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4E71" w14:textId="77777777" w:rsidR="004948BA" w:rsidRDefault="004948BA" w:rsidP="004948BA">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1C850369" wp14:editId="35E09049">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030C22C1" wp14:editId="039DFE9D">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7AC84F3"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5F3D7EDD" wp14:editId="5538CD19">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2B78C1E"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1BF21075" w14:textId="77777777" w:rsidR="00AD55E5" w:rsidRPr="002322FF" w:rsidRDefault="00AD55E5" w:rsidP="00AD55E5">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65014D4A" w14:textId="77777777" w:rsidR="004948BA" w:rsidRPr="002322FF" w:rsidRDefault="004948BA" w:rsidP="004948BA">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7DFEF7F4" w14:textId="77777777" w:rsidR="004948BA" w:rsidRPr="002322FF" w:rsidRDefault="004948BA" w:rsidP="004948BA">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397B574F" w14:textId="17A7A4D3" w:rsidR="004948BA" w:rsidRPr="005E0A83" w:rsidRDefault="004948BA" w:rsidP="004948BA">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sidR="00504B9F">
        <w:rPr>
          <w:rFonts w:ascii="Arial" w:hAnsi="Arial" w:cs="Arial"/>
          <w:szCs w:val="24"/>
        </w:rPr>
        <w:t>2318/2021</w:t>
      </w:r>
    </w:p>
    <w:p w14:paraId="4BD13B5A" w14:textId="77777777" w:rsidR="004948BA" w:rsidRPr="005E0A83" w:rsidRDefault="004948BA" w:rsidP="004948BA">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34DEDABD" w14:textId="77777777" w:rsidR="004948BA" w:rsidRPr="005E0A83" w:rsidRDefault="004948BA" w:rsidP="004948BA">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647A65D7" w14:textId="77777777" w:rsidR="004948BA" w:rsidRPr="005E0A83" w:rsidRDefault="004948BA" w:rsidP="004948BA">
      <w:pPr>
        <w:pStyle w:val="GW11"/>
        <w:rPr>
          <w:rFonts w:ascii="Arial" w:hAnsi="Arial" w:cs="Arial"/>
          <w:szCs w:val="24"/>
        </w:rPr>
      </w:pPr>
    </w:p>
    <w:p w14:paraId="46A1D97F" w14:textId="03DD13A6" w:rsidR="004948BA" w:rsidRDefault="00504B9F" w:rsidP="004948B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FIRE LOGIC (PTY) LTD</w:t>
      </w:r>
      <w:r>
        <w:rPr>
          <w:rFonts w:ascii="Arial" w:hAnsi="Arial" w:cs="Arial"/>
          <w:b/>
          <w:szCs w:val="24"/>
        </w:rPr>
        <w:tab/>
      </w:r>
      <w:r>
        <w:rPr>
          <w:rFonts w:ascii="Arial" w:hAnsi="Arial" w:cs="Arial"/>
          <w:b/>
          <w:szCs w:val="24"/>
        </w:rPr>
        <w:tab/>
      </w:r>
      <w:r w:rsidR="004948BA" w:rsidRPr="005E0A83">
        <w:rPr>
          <w:rFonts w:ascii="Arial" w:hAnsi="Arial" w:cs="Arial"/>
          <w:b/>
          <w:szCs w:val="24"/>
        </w:rPr>
        <w:t xml:space="preserve"> </w:t>
      </w:r>
      <w:r w:rsidR="004948BA">
        <w:rPr>
          <w:rFonts w:ascii="Arial" w:hAnsi="Arial" w:cs="Arial"/>
          <w:b/>
          <w:szCs w:val="24"/>
        </w:rPr>
        <w:tab/>
      </w:r>
      <w:r w:rsidR="004948BA" w:rsidRPr="000E7F54">
        <w:rPr>
          <w:rFonts w:ascii="Arial" w:hAnsi="Arial" w:cs="Arial"/>
          <w:bCs/>
          <w:szCs w:val="24"/>
        </w:rPr>
        <w:t>Applicant</w:t>
      </w:r>
    </w:p>
    <w:p w14:paraId="4A21C8A9" w14:textId="77777777" w:rsidR="004948BA" w:rsidRDefault="004948BA" w:rsidP="004948BA">
      <w:pPr>
        <w:pStyle w:val="GW12"/>
        <w:tabs>
          <w:tab w:val="clear" w:pos="6048"/>
          <w:tab w:val="clear" w:pos="8640"/>
          <w:tab w:val="left" w:pos="4820"/>
          <w:tab w:val="right" w:pos="8931"/>
        </w:tabs>
        <w:ind w:right="-46"/>
        <w:jc w:val="left"/>
        <w:rPr>
          <w:rFonts w:ascii="Arial" w:hAnsi="Arial" w:cs="Arial"/>
          <w:b/>
          <w:szCs w:val="24"/>
        </w:rPr>
      </w:pPr>
    </w:p>
    <w:p w14:paraId="0D1BC7FA" w14:textId="77777777" w:rsidR="004948BA" w:rsidRPr="000E7F54" w:rsidRDefault="004948BA" w:rsidP="004948BA">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7DD3675B" w14:textId="77777777" w:rsidR="004948BA" w:rsidRDefault="004948BA" w:rsidP="004948BA">
      <w:pPr>
        <w:pStyle w:val="GW12"/>
        <w:tabs>
          <w:tab w:val="clear" w:pos="6048"/>
          <w:tab w:val="clear" w:pos="8640"/>
          <w:tab w:val="left" w:pos="4820"/>
          <w:tab w:val="right" w:pos="8931"/>
        </w:tabs>
        <w:ind w:right="-46"/>
        <w:jc w:val="left"/>
        <w:rPr>
          <w:rFonts w:ascii="Arial" w:hAnsi="Arial" w:cs="Arial"/>
          <w:b/>
          <w:szCs w:val="24"/>
        </w:rPr>
      </w:pPr>
    </w:p>
    <w:p w14:paraId="32310E56" w14:textId="78488620" w:rsidR="004948BA" w:rsidRDefault="00504B9F" w:rsidP="004948BA">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LOGIC GROUP AFRICA (PTY) LTD</w:t>
      </w:r>
      <w:r w:rsidR="004948BA">
        <w:rPr>
          <w:rFonts w:ascii="Arial" w:hAnsi="Arial" w:cs="Arial"/>
          <w:b/>
          <w:szCs w:val="24"/>
        </w:rPr>
        <w:tab/>
      </w:r>
      <w:r w:rsidR="004948BA">
        <w:rPr>
          <w:rFonts w:ascii="Arial" w:hAnsi="Arial" w:cs="Arial"/>
          <w:b/>
          <w:szCs w:val="24"/>
        </w:rPr>
        <w:tab/>
      </w:r>
      <w:r w:rsidR="004948BA">
        <w:rPr>
          <w:rFonts w:ascii="Arial" w:hAnsi="Arial" w:cs="Arial"/>
          <w:b/>
          <w:szCs w:val="24"/>
        </w:rPr>
        <w:tab/>
      </w:r>
      <w:r w:rsidR="004948BA" w:rsidRPr="000E7F54">
        <w:rPr>
          <w:rFonts w:ascii="Arial" w:hAnsi="Arial" w:cs="Arial"/>
          <w:bCs/>
          <w:szCs w:val="24"/>
        </w:rPr>
        <w:t xml:space="preserve"> Respondent</w:t>
      </w:r>
    </w:p>
    <w:p w14:paraId="57604B86" w14:textId="74EEE998" w:rsidR="003D2163" w:rsidRDefault="00504B9F" w:rsidP="004948BA">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t/a FIRELOGIK</w:t>
      </w:r>
    </w:p>
    <w:p w14:paraId="5723A05E" w14:textId="77777777" w:rsidR="004948BA" w:rsidRPr="005E0A83" w:rsidRDefault="004948BA" w:rsidP="004948BA">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0CCC2B1D" w14:textId="77777777" w:rsidR="004948BA" w:rsidRPr="005E0A83" w:rsidRDefault="004948BA" w:rsidP="004948BA">
      <w:pPr>
        <w:pStyle w:val="GW13"/>
        <w:tabs>
          <w:tab w:val="clear" w:pos="8640"/>
        </w:tabs>
        <w:spacing w:line="240" w:lineRule="auto"/>
        <w:ind w:right="-45"/>
        <w:jc w:val="center"/>
        <w:rPr>
          <w:rFonts w:ascii="Arial" w:hAnsi="Arial" w:cs="Arial"/>
          <w:b/>
          <w:szCs w:val="24"/>
        </w:rPr>
      </w:pPr>
    </w:p>
    <w:p w14:paraId="0F9EBFC5" w14:textId="77777777" w:rsidR="004948BA" w:rsidRPr="005E0A83" w:rsidRDefault="004948BA" w:rsidP="004948B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582F9FF0" w14:textId="77777777" w:rsidR="004948BA" w:rsidRPr="005E0A83" w:rsidRDefault="004948BA" w:rsidP="004948B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36179CF2" w14:textId="77777777" w:rsidR="004948BA" w:rsidRPr="005E0A83" w:rsidRDefault="004948BA" w:rsidP="004948BA">
      <w:pPr>
        <w:pStyle w:val="GW13"/>
        <w:tabs>
          <w:tab w:val="clear" w:pos="8640"/>
          <w:tab w:val="right" w:pos="9072"/>
        </w:tabs>
        <w:spacing w:line="480" w:lineRule="auto"/>
        <w:ind w:right="-46"/>
        <w:rPr>
          <w:rFonts w:ascii="Arial" w:hAnsi="Arial" w:cs="Arial"/>
          <w:b/>
          <w:szCs w:val="24"/>
        </w:rPr>
      </w:pPr>
    </w:p>
    <w:p w14:paraId="42ECB2D3" w14:textId="77777777" w:rsidR="004948BA" w:rsidRPr="005E0A83" w:rsidRDefault="004948BA" w:rsidP="004948BA">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0D952A5D" w14:textId="77777777" w:rsidR="004948BA" w:rsidRDefault="004948BA" w:rsidP="004948BA">
      <w:pPr>
        <w:spacing w:after="0" w:line="480" w:lineRule="auto"/>
        <w:jc w:val="both"/>
        <w:rPr>
          <w:rFonts w:ascii="Arial" w:hAnsi="Arial" w:cs="Arial"/>
          <w:sz w:val="24"/>
          <w:szCs w:val="24"/>
        </w:rPr>
      </w:pPr>
    </w:p>
    <w:p w14:paraId="534B0525" w14:textId="45DA1B26" w:rsidR="008E351E"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FB6077" w:rsidRPr="00EA206A">
        <w:rPr>
          <w:rFonts w:ascii="Arial" w:hAnsi="Arial" w:cs="Arial"/>
          <w:sz w:val="24"/>
          <w:szCs w:val="24"/>
        </w:rPr>
        <w:t>Th</w:t>
      </w:r>
      <w:r w:rsidR="00535104" w:rsidRPr="00EA206A">
        <w:rPr>
          <w:rFonts w:ascii="Arial" w:hAnsi="Arial" w:cs="Arial"/>
          <w:sz w:val="24"/>
          <w:szCs w:val="24"/>
        </w:rPr>
        <w:t xml:space="preserve">is application </w:t>
      </w:r>
      <w:r w:rsidR="00FB6077" w:rsidRPr="00EA206A">
        <w:rPr>
          <w:rFonts w:ascii="Arial" w:hAnsi="Arial" w:cs="Arial"/>
          <w:sz w:val="24"/>
          <w:szCs w:val="24"/>
        </w:rPr>
        <w:t>concerns passing off proceedings between</w:t>
      </w:r>
      <w:r w:rsidR="00535104" w:rsidRPr="00EA206A">
        <w:rPr>
          <w:rFonts w:ascii="Arial" w:hAnsi="Arial" w:cs="Arial"/>
          <w:sz w:val="24"/>
          <w:szCs w:val="24"/>
        </w:rPr>
        <w:t xml:space="preserve"> two companies, </w:t>
      </w:r>
      <w:r w:rsidR="00535104" w:rsidRPr="00EA206A">
        <w:rPr>
          <w:rFonts w:ascii="Arial" w:hAnsi="Arial" w:cs="Arial"/>
          <w:b/>
          <w:szCs w:val="24"/>
        </w:rPr>
        <w:t xml:space="preserve">FIRE LOGIC (PTY) LTD </w:t>
      </w:r>
      <w:r w:rsidR="00535104" w:rsidRPr="00EA206A">
        <w:rPr>
          <w:rFonts w:ascii="Arial" w:hAnsi="Arial" w:cs="Arial"/>
          <w:bCs/>
          <w:szCs w:val="24"/>
        </w:rPr>
        <w:t>and</w:t>
      </w:r>
      <w:r w:rsidR="00535104" w:rsidRPr="00EA206A">
        <w:rPr>
          <w:rFonts w:ascii="Arial" w:hAnsi="Arial" w:cs="Arial"/>
          <w:sz w:val="24"/>
          <w:szCs w:val="24"/>
        </w:rPr>
        <w:t xml:space="preserve"> </w:t>
      </w:r>
      <w:r w:rsidR="00535104" w:rsidRPr="00EA206A">
        <w:rPr>
          <w:rFonts w:ascii="Arial" w:hAnsi="Arial" w:cs="Arial"/>
          <w:bCs/>
          <w:szCs w:val="24"/>
        </w:rPr>
        <w:t>LOGIC GROUP AFRICA (PTY) LTD,</w:t>
      </w:r>
      <w:r w:rsidR="00535104" w:rsidRPr="00EA206A">
        <w:rPr>
          <w:rFonts w:ascii="Arial" w:hAnsi="Arial" w:cs="Arial"/>
          <w:b/>
          <w:szCs w:val="24"/>
        </w:rPr>
        <w:t xml:space="preserve"> </w:t>
      </w:r>
      <w:r w:rsidR="00535104" w:rsidRPr="00EA206A">
        <w:rPr>
          <w:rFonts w:ascii="Arial" w:hAnsi="Arial" w:cs="Arial"/>
          <w:bCs/>
          <w:szCs w:val="24"/>
        </w:rPr>
        <w:t xml:space="preserve">trading under the name and style of </w:t>
      </w:r>
      <w:r w:rsidR="00535104" w:rsidRPr="00EA206A">
        <w:rPr>
          <w:rFonts w:ascii="Arial" w:hAnsi="Arial" w:cs="Arial"/>
          <w:b/>
          <w:szCs w:val="24"/>
        </w:rPr>
        <w:t>FIRELOGIK</w:t>
      </w:r>
      <w:r w:rsidR="00535104" w:rsidRPr="00EA206A">
        <w:rPr>
          <w:rFonts w:ascii="Arial" w:hAnsi="Arial" w:cs="Arial"/>
          <w:bCs/>
          <w:szCs w:val="24"/>
        </w:rPr>
        <w:t>.</w:t>
      </w:r>
      <w:r w:rsidR="00535104" w:rsidRPr="00EA206A">
        <w:rPr>
          <w:rFonts w:ascii="Arial" w:hAnsi="Arial" w:cs="Arial"/>
          <w:b/>
          <w:szCs w:val="24"/>
        </w:rPr>
        <w:t xml:space="preserve">  </w:t>
      </w:r>
      <w:r w:rsidR="00746107" w:rsidRPr="00EA206A">
        <w:rPr>
          <w:rFonts w:ascii="Arial" w:hAnsi="Arial" w:cs="Arial"/>
          <w:sz w:val="24"/>
          <w:szCs w:val="24"/>
        </w:rPr>
        <w:t>It is not in dispute that both parties operate within the Fixed Fire Protection Industry.</w:t>
      </w:r>
      <w:r w:rsidR="00746107" w:rsidRPr="00EA206A">
        <w:rPr>
          <w:rFonts w:ascii="Arial" w:hAnsi="Arial" w:cs="Arial"/>
          <w:bCs/>
          <w:szCs w:val="24"/>
        </w:rPr>
        <w:t xml:space="preserve">  </w:t>
      </w:r>
      <w:r w:rsidR="00535104" w:rsidRPr="00EA206A">
        <w:rPr>
          <w:rFonts w:ascii="Arial" w:hAnsi="Arial" w:cs="Arial"/>
          <w:bCs/>
          <w:szCs w:val="24"/>
        </w:rPr>
        <w:t xml:space="preserve">Antithetical </w:t>
      </w:r>
      <w:r w:rsidR="00535104" w:rsidRPr="00EA206A">
        <w:rPr>
          <w:rFonts w:ascii="Arial" w:hAnsi="Arial" w:cs="Arial"/>
          <w:sz w:val="24"/>
          <w:szCs w:val="24"/>
        </w:rPr>
        <w:t xml:space="preserve">to the parties’ respective names, </w:t>
      </w:r>
      <w:r w:rsidR="00535104" w:rsidRPr="00EA206A">
        <w:rPr>
          <w:rFonts w:ascii="Arial" w:hAnsi="Arial" w:cs="Arial"/>
          <w:sz w:val="24"/>
          <w:szCs w:val="24"/>
        </w:rPr>
        <w:lastRenderedPageBreak/>
        <w:t>the legal principles and factual nuances involved in the adjudication of proceedings of this nature</w:t>
      </w:r>
      <w:r w:rsidR="008C49C1" w:rsidRPr="00EA206A">
        <w:rPr>
          <w:rFonts w:ascii="Arial" w:hAnsi="Arial" w:cs="Arial"/>
          <w:sz w:val="24"/>
          <w:szCs w:val="24"/>
        </w:rPr>
        <w:t xml:space="preserve"> do not amount to a question of mere logic and </w:t>
      </w:r>
      <w:r w:rsidR="00535104" w:rsidRPr="00EA206A">
        <w:rPr>
          <w:rFonts w:ascii="Arial" w:hAnsi="Arial" w:cs="Arial"/>
          <w:sz w:val="24"/>
          <w:szCs w:val="24"/>
        </w:rPr>
        <w:t>require careful consideration</w:t>
      </w:r>
      <w:r w:rsidR="008C49C1" w:rsidRPr="00EA206A">
        <w:rPr>
          <w:rFonts w:ascii="Arial" w:hAnsi="Arial" w:cs="Arial"/>
          <w:sz w:val="24"/>
          <w:szCs w:val="24"/>
        </w:rPr>
        <w:t>.</w:t>
      </w:r>
    </w:p>
    <w:p w14:paraId="62B433F6" w14:textId="77777777" w:rsidR="008C49C1" w:rsidRDefault="008C49C1" w:rsidP="008C49C1">
      <w:pPr>
        <w:pStyle w:val="ListParagraph"/>
        <w:spacing w:after="0" w:line="480" w:lineRule="auto"/>
        <w:ind w:left="851"/>
        <w:jc w:val="both"/>
        <w:rPr>
          <w:rFonts w:ascii="Arial" w:hAnsi="Arial" w:cs="Arial"/>
          <w:sz w:val="24"/>
          <w:szCs w:val="24"/>
        </w:rPr>
      </w:pPr>
    </w:p>
    <w:p w14:paraId="7965DCFC" w14:textId="24B4AFFA" w:rsidR="00053B90" w:rsidRPr="00EA206A" w:rsidRDefault="00EA206A" w:rsidP="00EA206A">
      <w:pPr>
        <w:spacing w:after="0" w:line="480" w:lineRule="auto"/>
        <w:ind w:left="851" w:hanging="851"/>
        <w:jc w:val="both"/>
        <w:rPr>
          <w:rFonts w:ascii="Arial" w:hAnsi="Arial" w:cs="Arial"/>
          <w:sz w:val="24"/>
          <w:szCs w:val="24"/>
        </w:rPr>
      </w:pPr>
      <w:bookmarkStart w:id="0" w:name="_GoBack"/>
      <w:bookmarkEnd w:id="0"/>
      <w:r>
        <w:rPr>
          <w:rFonts w:ascii="Arial" w:hAnsi="Arial" w:cs="Arial"/>
          <w:sz w:val="24"/>
          <w:szCs w:val="24"/>
        </w:rPr>
        <w:t>[2]</w:t>
      </w:r>
      <w:r>
        <w:rPr>
          <w:rFonts w:ascii="Arial" w:hAnsi="Arial" w:cs="Arial"/>
          <w:sz w:val="24"/>
          <w:szCs w:val="24"/>
        </w:rPr>
        <w:tab/>
      </w:r>
      <w:r w:rsidR="00053B90" w:rsidRPr="00EA206A">
        <w:rPr>
          <w:rFonts w:ascii="Arial" w:hAnsi="Arial" w:cs="Arial"/>
          <w:sz w:val="24"/>
          <w:szCs w:val="24"/>
        </w:rPr>
        <w:t xml:space="preserve">The order sought by the applicant is an order interdicting and restraining the respondent from passing off its services as that of the applicant or as being connected in the course of trade with the applicant, by using, in regard thereto, the same trade name or any other trade name which is confusingly or deceptively similar to the applicant’s trade name. </w:t>
      </w:r>
      <w:r w:rsidR="00DC548A" w:rsidRPr="00EA206A">
        <w:rPr>
          <w:rFonts w:ascii="Arial" w:hAnsi="Arial" w:cs="Arial"/>
          <w:sz w:val="24"/>
          <w:szCs w:val="24"/>
        </w:rPr>
        <w:t xml:space="preserve"> The relief is final in nature.</w:t>
      </w:r>
    </w:p>
    <w:p w14:paraId="53DB9F44" w14:textId="77777777" w:rsidR="00053B90" w:rsidRPr="00053B90" w:rsidRDefault="00053B90" w:rsidP="00053B90">
      <w:pPr>
        <w:pStyle w:val="ListParagraph"/>
        <w:spacing w:after="0" w:line="480" w:lineRule="auto"/>
        <w:rPr>
          <w:rFonts w:ascii="Arial" w:hAnsi="Arial" w:cs="Arial"/>
          <w:sz w:val="24"/>
          <w:szCs w:val="24"/>
        </w:rPr>
      </w:pPr>
    </w:p>
    <w:p w14:paraId="086EA75C" w14:textId="772E8562" w:rsidR="00776689"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776689" w:rsidRPr="00EA206A">
        <w:rPr>
          <w:rFonts w:ascii="Arial" w:hAnsi="Arial" w:cs="Arial"/>
          <w:sz w:val="24"/>
          <w:szCs w:val="24"/>
        </w:rPr>
        <w:t xml:space="preserve">Passing off is a species of unlawful competition, which arises in trade or business.  It was defined by Rabie JA in </w:t>
      </w:r>
      <w:r w:rsidR="00776689" w:rsidRPr="00EA206A">
        <w:rPr>
          <w:rFonts w:ascii="Arial" w:hAnsi="Arial" w:cs="Arial"/>
          <w:i/>
          <w:iCs/>
          <w:sz w:val="24"/>
          <w:szCs w:val="24"/>
        </w:rPr>
        <w:t>Capital Estate and General Agencies (Pty) Ltd and Others v Holiday Inns Inc and Others</w:t>
      </w:r>
      <w:r w:rsidR="00776689">
        <w:rPr>
          <w:rStyle w:val="FootnoteReference"/>
          <w:rFonts w:ascii="Arial" w:hAnsi="Arial" w:cs="Arial"/>
          <w:i/>
          <w:iCs/>
          <w:sz w:val="24"/>
          <w:szCs w:val="24"/>
        </w:rPr>
        <w:footnoteReference w:id="1"/>
      </w:r>
      <w:r w:rsidR="00776689" w:rsidRPr="00EA206A">
        <w:rPr>
          <w:rFonts w:ascii="Arial" w:hAnsi="Arial" w:cs="Arial"/>
          <w:sz w:val="24"/>
          <w:szCs w:val="24"/>
        </w:rPr>
        <w:t xml:space="preserve"> as follows:</w:t>
      </w:r>
    </w:p>
    <w:p w14:paraId="18173C5C" w14:textId="77777777" w:rsidR="00776689" w:rsidRPr="00776689" w:rsidRDefault="00776689" w:rsidP="00776689">
      <w:pPr>
        <w:pStyle w:val="ListParagraph"/>
        <w:rPr>
          <w:rFonts w:ascii="Arial" w:hAnsi="Arial" w:cs="Arial"/>
          <w:sz w:val="24"/>
          <w:szCs w:val="24"/>
        </w:rPr>
      </w:pPr>
    </w:p>
    <w:p w14:paraId="7F307BA9" w14:textId="7B044EB0" w:rsidR="00504B9F" w:rsidRPr="00776689" w:rsidRDefault="00776689" w:rsidP="00665577">
      <w:pPr>
        <w:spacing w:after="0" w:line="360" w:lineRule="auto"/>
        <w:ind w:left="851"/>
        <w:jc w:val="both"/>
        <w:rPr>
          <w:rFonts w:ascii="Arial" w:hAnsi="Arial" w:cs="Arial"/>
          <w:i/>
          <w:iCs/>
        </w:rPr>
      </w:pPr>
      <w:r>
        <w:rPr>
          <w:rFonts w:ascii="Arial" w:hAnsi="Arial" w:cs="Arial"/>
          <w:i/>
          <w:iCs/>
        </w:rPr>
        <w:t>“</w:t>
      </w:r>
      <w:r w:rsidR="00504B9F" w:rsidRPr="00776689">
        <w:rPr>
          <w:rFonts w:ascii="Arial" w:hAnsi="Arial" w:cs="Arial"/>
          <w:i/>
          <w:iCs/>
        </w:rPr>
        <w:t>The wrong known as passing off consists in a representation by one person that his business (or merchandise, as the case may be) is that of another, or that it is associated with that of another, and, in order to determine whether a representation amounts to a passing-off, one enquires whether there is a reasonable likelihood that members of the public may be confused into believing that the business of the one is, or is connected with, that of another.</w:t>
      </w:r>
      <w:r w:rsidRPr="00776689">
        <w:rPr>
          <w:rFonts w:ascii="Arial" w:hAnsi="Arial" w:cs="Arial"/>
          <w:i/>
          <w:iCs/>
        </w:rPr>
        <w:t>”</w:t>
      </w:r>
      <w:r w:rsidR="00504B9F" w:rsidRPr="00776689">
        <w:rPr>
          <w:rFonts w:ascii="Arial" w:hAnsi="Arial" w:cs="Arial"/>
          <w:i/>
          <w:iCs/>
        </w:rPr>
        <w:t xml:space="preserve"> </w:t>
      </w:r>
    </w:p>
    <w:p w14:paraId="0205079F" w14:textId="77777777" w:rsidR="00504B9F" w:rsidRDefault="00504B9F" w:rsidP="00971FAA">
      <w:pPr>
        <w:spacing w:after="0" w:line="480" w:lineRule="auto"/>
      </w:pPr>
    </w:p>
    <w:p w14:paraId="72187280" w14:textId="0549E9F8" w:rsidR="005A2C32"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504B9F" w:rsidRPr="00EA206A">
        <w:rPr>
          <w:rFonts w:ascii="Arial" w:hAnsi="Arial" w:cs="Arial"/>
          <w:sz w:val="24"/>
          <w:szCs w:val="24"/>
        </w:rPr>
        <w:t>As</w:t>
      </w:r>
      <w:r w:rsidR="005A2C32" w:rsidRPr="00EA206A">
        <w:rPr>
          <w:rFonts w:ascii="Arial" w:hAnsi="Arial" w:cs="Arial"/>
          <w:sz w:val="24"/>
          <w:szCs w:val="24"/>
        </w:rPr>
        <w:t xml:space="preserve"> explained by</w:t>
      </w:r>
      <w:r w:rsidR="00504B9F" w:rsidRPr="00EA206A">
        <w:rPr>
          <w:rFonts w:ascii="Arial" w:hAnsi="Arial" w:cs="Arial"/>
          <w:sz w:val="24"/>
          <w:szCs w:val="24"/>
        </w:rPr>
        <w:t xml:space="preserve"> Corbett CJ in </w:t>
      </w:r>
      <w:r w:rsidR="00504B9F" w:rsidRPr="00EA206A">
        <w:rPr>
          <w:rFonts w:ascii="Arial" w:hAnsi="Arial" w:cs="Arial"/>
          <w:i/>
          <w:iCs/>
          <w:sz w:val="24"/>
          <w:szCs w:val="24"/>
        </w:rPr>
        <w:t>Williams t/a Jenifer Williams &amp; Associates and Another v Life Line Southern Transvaal</w:t>
      </w:r>
      <w:r w:rsidR="005A2C32" w:rsidRPr="00EA206A">
        <w:rPr>
          <w:rFonts w:ascii="Arial" w:hAnsi="Arial" w:cs="Arial"/>
          <w:sz w:val="24"/>
          <w:szCs w:val="24"/>
        </w:rPr>
        <w:t>:</w:t>
      </w:r>
      <w:r w:rsidR="005A2C32" w:rsidRPr="005A2C32">
        <w:rPr>
          <w:rStyle w:val="FootnoteReference"/>
          <w:rFonts w:ascii="Arial" w:hAnsi="Arial" w:cs="Arial"/>
          <w:sz w:val="24"/>
          <w:szCs w:val="24"/>
        </w:rPr>
        <w:footnoteReference w:id="2"/>
      </w:r>
      <w:r w:rsidR="00504B9F" w:rsidRPr="00EA206A">
        <w:rPr>
          <w:rFonts w:ascii="Arial" w:hAnsi="Arial" w:cs="Arial"/>
          <w:sz w:val="24"/>
          <w:szCs w:val="24"/>
        </w:rPr>
        <w:t xml:space="preserve"> </w:t>
      </w:r>
    </w:p>
    <w:p w14:paraId="6864AD09" w14:textId="77777777" w:rsidR="005A2C32" w:rsidRDefault="005A2C32" w:rsidP="005A2C32">
      <w:pPr>
        <w:pStyle w:val="ListParagraph"/>
        <w:spacing w:after="0" w:line="480" w:lineRule="auto"/>
        <w:ind w:left="851"/>
        <w:jc w:val="both"/>
        <w:rPr>
          <w:rFonts w:ascii="Arial" w:hAnsi="Arial" w:cs="Arial"/>
          <w:sz w:val="24"/>
          <w:szCs w:val="24"/>
        </w:rPr>
      </w:pPr>
    </w:p>
    <w:p w14:paraId="2060BF35" w14:textId="6B5454FC" w:rsidR="005A2C32" w:rsidRDefault="005A2C32" w:rsidP="005A2C32">
      <w:pPr>
        <w:pStyle w:val="ListParagraph"/>
        <w:spacing w:after="0" w:line="360" w:lineRule="auto"/>
        <w:ind w:left="851"/>
        <w:jc w:val="both"/>
        <w:rPr>
          <w:rFonts w:ascii="Arial" w:hAnsi="Arial" w:cs="Arial"/>
          <w:sz w:val="24"/>
          <w:szCs w:val="24"/>
        </w:rPr>
      </w:pPr>
      <w:r>
        <w:rPr>
          <w:rFonts w:ascii="Arial" w:hAnsi="Arial" w:cs="Arial"/>
          <w:sz w:val="24"/>
          <w:szCs w:val="24"/>
        </w:rPr>
        <w:lastRenderedPageBreak/>
        <w:t>“</w:t>
      </w:r>
      <w:r w:rsidR="00504B9F" w:rsidRPr="005A2C32">
        <w:rPr>
          <w:rFonts w:ascii="Arial" w:hAnsi="Arial" w:cs="Arial"/>
          <w:i/>
          <w:iCs/>
        </w:rPr>
        <w:t>In its classic form it usually consists in A representing, either expressly or impliedly (but almost invariably by the latter means), that the goods or services marketed by him emanate in the course of business from B or that there is an association between such goods or services and the business conducted by B.</w:t>
      </w:r>
      <w:r w:rsidR="00B220EB">
        <w:rPr>
          <w:rFonts w:ascii="Arial" w:hAnsi="Arial" w:cs="Arial"/>
          <w:i/>
          <w:iCs/>
        </w:rPr>
        <w:t xml:space="preserve"> </w:t>
      </w:r>
      <w:r w:rsidR="00504B9F" w:rsidRPr="005A2C32">
        <w:rPr>
          <w:rFonts w:ascii="Arial" w:hAnsi="Arial" w:cs="Arial"/>
          <w:i/>
          <w:iCs/>
        </w:rPr>
        <w:t xml:space="preserve"> Such conduct is treated by the law as being wrongful because it results, or is calculated to result, in the improper filching of another’s trade and/or in an improper infringement of his goodwill and/or in causing injury to that other’s trade reputation. </w:t>
      </w:r>
      <w:r w:rsidR="00B220EB">
        <w:rPr>
          <w:rFonts w:ascii="Arial" w:hAnsi="Arial" w:cs="Arial"/>
          <w:i/>
          <w:iCs/>
        </w:rPr>
        <w:t xml:space="preserve"> </w:t>
      </w:r>
      <w:r w:rsidR="00504B9F" w:rsidRPr="005A2C32">
        <w:rPr>
          <w:rFonts w:ascii="Arial" w:hAnsi="Arial" w:cs="Arial"/>
          <w:i/>
          <w:iCs/>
        </w:rPr>
        <w:t xml:space="preserve">Such a representation may be made impliedly by A adopting a trade name or a get-up or mark for his goods which so resembles B’s name or get-up or mark as to lead the public to be confused or to be deceived into thinking that A’s goods or services emanate from B or that there is the association between them referred to above. </w:t>
      </w:r>
      <w:r w:rsidR="00B220EB">
        <w:rPr>
          <w:rFonts w:ascii="Arial" w:hAnsi="Arial" w:cs="Arial"/>
          <w:i/>
          <w:iCs/>
        </w:rPr>
        <w:t xml:space="preserve"> </w:t>
      </w:r>
      <w:r w:rsidR="00504B9F" w:rsidRPr="005A2C32">
        <w:rPr>
          <w:rFonts w:ascii="Arial" w:hAnsi="Arial" w:cs="Arial"/>
          <w:i/>
          <w:iCs/>
        </w:rPr>
        <w:t>Thus, in order to succeed in a passing-off action based upon an implied representation it is generally incumbent upon the plaintiff to establish, inter alia: firstly, that the name, get-up or mark used by him has become distinctive of his goods or services, in the sense that the public associate the name, get-up or mark with the goods or services marketed by him (this is often referred to as the acquisition of reputation); and, secondly, that the name, get-up or mark used by the defendant is such or is so used as to cause the public to be confused or deceived in the manner described above</w:t>
      </w:r>
      <w:r w:rsidRPr="005A2C32">
        <w:rPr>
          <w:rFonts w:ascii="Arial" w:hAnsi="Arial" w:cs="Arial"/>
          <w:i/>
          <w:iCs/>
        </w:rPr>
        <w:t>.</w:t>
      </w:r>
      <w:r>
        <w:rPr>
          <w:rFonts w:ascii="Arial" w:hAnsi="Arial" w:cs="Arial"/>
          <w:sz w:val="24"/>
          <w:szCs w:val="24"/>
        </w:rPr>
        <w:t>”</w:t>
      </w:r>
    </w:p>
    <w:p w14:paraId="5E0A61D0" w14:textId="2324B0D7" w:rsidR="005A2C32" w:rsidRDefault="005A2C32" w:rsidP="005A2C32">
      <w:pPr>
        <w:pStyle w:val="ListParagraph"/>
        <w:spacing w:after="0" w:line="480" w:lineRule="auto"/>
        <w:ind w:left="851"/>
        <w:jc w:val="both"/>
        <w:rPr>
          <w:rFonts w:ascii="Arial" w:hAnsi="Arial" w:cs="Arial"/>
          <w:sz w:val="24"/>
          <w:szCs w:val="24"/>
        </w:rPr>
      </w:pPr>
    </w:p>
    <w:p w14:paraId="05E828CC" w14:textId="589564D4" w:rsidR="005D0DD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B220EB" w:rsidRPr="00EA206A">
        <w:rPr>
          <w:rFonts w:ascii="Arial" w:hAnsi="Arial" w:cs="Arial"/>
          <w:sz w:val="24"/>
          <w:szCs w:val="24"/>
        </w:rPr>
        <w:t xml:space="preserve">The applicant’s case, being one of an implied representation, </w:t>
      </w:r>
      <w:r w:rsidR="00804B56" w:rsidRPr="00EA206A">
        <w:rPr>
          <w:rFonts w:ascii="Arial" w:hAnsi="Arial" w:cs="Arial"/>
          <w:sz w:val="24"/>
          <w:szCs w:val="24"/>
        </w:rPr>
        <w:t>calls for</w:t>
      </w:r>
      <w:r w:rsidR="00B220EB" w:rsidRPr="00EA206A">
        <w:rPr>
          <w:rFonts w:ascii="Arial" w:hAnsi="Arial" w:cs="Arial"/>
          <w:sz w:val="24"/>
          <w:szCs w:val="24"/>
        </w:rPr>
        <w:t xml:space="preserve"> a consideration of the aforesaid factors. </w:t>
      </w:r>
      <w:r w:rsidR="005D0DD6" w:rsidRPr="00EA206A">
        <w:rPr>
          <w:rFonts w:ascii="Arial" w:hAnsi="Arial" w:cs="Arial"/>
          <w:sz w:val="24"/>
          <w:szCs w:val="24"/>
        </w:rPr>
        <w:t xml:space="preserve"> </w:t>
      </w:r>
      <w:r w:rsidR="00804B56" w:rsidRPr="00EA206A">
        <w:rPr>
          <w:rFonts w:ascii="Arial" w:hAnsi="Arial" w:cs="Arial"/>
          <w:sz w:val="24"/>
          <w:szCs w:val="24"/>
        </w:rPr>
        <w:t>Prior thereto, I turn to the facts of the present matter.</w:t>
      </w:r>
    </w:p>
    <w:p w14:paraId="5A6A1BDE" w14:textId="57E3EF1B" w:rsidR="00804B56" w:rsidRDefault="00804B56" w:rsidP="00804B56">
      <w:pPr>
        <w:pStyle w:val="ListParagraph"/>
        <w:spacing w:after="0" w:line="480" w:lineRule="auto"/>
        <w:ind w:left="851"/>
        <w:jc w:val="both"/>
        <w:rPr>
          <w:rFonts w:ascii="Arial" w:hAnsi="Arial" w:cs="Arial"/>
          <w:sz w:val="24"/>
          <w:szCs w:val="24"/>
        </w:rPr>
      </w:pPr>
    </w:p>
    <w:p w14:paraId="63ADE1F4" w14:textId="24C752D6" w:rsidR="00804B5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665577" w:rsidRPr="00EA206A">
        <w:rPr>
          <w:rFonts w:ascii="Arial" w:hAnsi="Arial" w:cs="Arial"/>
          <w:sz w:val="24"/>
          <w:szCs w:val="24"/>
        </w:rPr>
        <w:t>In short, the applicant</w:t>
      </w:r>
      <w:r w:rsidR="004737CE" w:rsidRPr="00EA206A">
        <w:rPr>
          <w:rFonts w:ascii="Arial" w:hAnsi="Arial" w:cs="Arial"/>
          <w:sz w:val="24"/>
          <w:szCs w:val="24"/>
        </w:rPr>
        <w:t xml:space="preserve"> contends </w:t>
      </w:r>
      <w:r w:rsidR="00665577" w:rsidRPr="00EA206A">
        <w:rPr>
          <w:rFonts w:ascii="Arial" w:hAnsi="Arial" w:cs="Arial"/>
          <w:sz w:val="24"/>
          <w:szCs w:val="24"/>
        </w:rPr>
        <w:t xml:space="preserve">as follows.  </w:t>
      </w:r>
      <w:r w:rsidR="00746107" w:rsidRPr="00EA206A">
        <w:rPr>
          <w:rFonts w:ascii="Arial" w:hAnsi="Arial" w:cs="Arial"/>
          <w:sz w:val="24"/>
          <w:szCs w:val="24"/>
        </w:rPr>
        <w:t xml:space="preserve">The applicant was incorporated on 25 February 1994, since which time, it has been known as, and traded as, </w:t>
      </w:r>
      <w:r w:rsidR="00746107" w:rsidRPr="00EA206A">
        <w:rPr>
          <w:rFonts w:ascii="Arial" w:hAnsi="Arial" w:cs="Arial"/>
          <w:b/>
          <w:bCs/>
          <w:sz w:val="24"/>
          <w:szCs w:val="24"/>
        </w:rPr>
        <w:t>FIRE LOGIC</w:t>
      </w:r>
      <w:r w:rsidR="00746107" w:rsidRPr="00EA206A">
        <w:rPr>
          <w:rFonts w:ascii="Arial" w:hAnsi="Arial" w:cs="Arial"/>
          <w:sz w:val="24"/>
          <w:szCs w:val="24"/>
        </w:rPr>
        <w:t xml:space="preserve">, in the Eastern and Western Cape provinces.  The applicant has been delivering the services of fire protection and maintenance in </w:t>
      </w:r>
      <w:r w:rsidR="00971FAA" w:rsidRPr="00EA206A">
        <w:rPr>
          <w:rFonts w:ascii="Arial" w:hAnsi="Arial" w:cs="Arial"/>
          <w:sz w:val="24"/>
          <w:szCs w:val="24"/>
        </w:rPr>
        <w:t>the</w:t>
      </w:r>
      <w:r w:rsidR="007F1515" w:rsidRPr="00EA206A">
        <w:rPr>
          <w:rFonts w:ascii="Arial" w:hAnsi="Arial" w:cs="Arial"/>
          <w:sz w:val="24"/>
          <w:szCs w:val="24"/>
        </w:rPr>
        <w:t>se</w:t>
      </w:r>
      <w:r w:rsidR="00971FAA" w:rsidRPr="00EA206A">
        <w:rPr>
          <w:rFonts w:ascii="Arial" w:hAnsi="Arial" w:cs="Arial"/>
          <w:sz w:val="24"/>
          <w:szCs w:val="24"/>
        </w:rPr>
        <w:t xml:space="preserve"> regions </w:t>
      </w:r>
      <w:r w:rsidR="00746107" w:rsidRPr="00EA206A">
        <w:rPr>
          <w:rFonts w:ascii="Arial" w:hAnsi="Arial" w:cs="Arial"/>
          <w:sz w:val="24"/>
          <w:szCs w:val="24"/>
        </w:rPr>
        <w:t xml:space="preserve">for </w:t>
      </w:r>
      <w:r w:rsidR="00971FAA" w:rsidRPr="00EA206A">
        <w:rPr>
          <w:rFonts w:ascii="Arial" w:hAnsi="Arial" w:cs="Arial"/>
          <w:sz w:val="24"/>
          <w:szCs w:val="24"/>
        </w:rPr>
        <w:t>more than</w:t>
      </w:r>
      <w:r w:rsidR="00746107" w:rsidRPr="00EA206A">
        <w:rPr>
          <w:rFonts w:ascii="Arial" w:hAnsi="Arial" w:cs="Arial"/>
          <w:sz w:val="24"/>
          <w:szCs w:val="24"/>
        </w:rPr>
        <w:t xml:space="preserve"> 27 years.  </w:t>
      </w:r>
      <w:r w:rsidR="00193D92" w:rsidRPr="00EA206A">
        <w:rPr>
          <w:rFonts w:ascii="Arial" w:hAnsi="Arial" w:cs="Arial"/>
          <w:sz w:val="24"/>
          <w:szCs w:val="24"/>
        </w:rPr>
        <w:t>It is said in the affidavit of the applicant’s director, Louise Scheffer</w:t>
      </w:r>
      <w:r w:rsidR="00180E2F" w:rsidRPr="00EA206A">
        <w:rPr>
          <w:rFonts w:ascii="Arial" w:hAnsi="Arial" w:cs="Arial"/>
          <w:sz w:val="24"/>
          <w:szCs w:val="24"/>
        </w:rPr>
        <w:t xml:space="preserve"> (“</w:t>
      </w:r>
      <w:r w:rsidR="00180E2F" w:rsidRPr="00EA206A">
        <w:rPr>
          <w:rFonts w:ascii="Arial" w:hAnsi="Arial" w:cs="Arial"/>
          <w:i/>
          <w:iCs/>
          <w:sz w:val="24"/>
          <w:szCs w:val="24"/>
        </w:rPr>
        <w:t>Ms Scheffer</w:t>
      </w:r>
      <w:r w:rsidR="00180E2F" w:rsidRPr="00EA206A">
        <w:rPr>
          <w:rFonts w:ascii="Arial" w:hAnsi="Arial" w:cs="Arial"/>
          <w:sz w:val="24"/>
          <w:szCs w:val="24"/>
        </w:rPr>
        <w:t>”)</w:t>
      </w:r>
      <w:r w:rsidR="00193D92" w:rsidRPr="00EA206A">
        <w:rPr>
          <w:rFonts w:ascii="Arial" w:hAnsi="Arial" w:cs="Arial"/>
          <w:sz w:val="24"/>
          <w:szCs w:val="24"/>
        </w:rPr>
        <w:t>, that o</w:t>
      </w:r>
      <w:r w:rsidR="00746107" w:rsidRPr="00EA206A">
        <w:rPr>
          <w:rFonts w:ascii="Arial" w:hAnsi="Arial" w:cs="Arial"/>
          <w:sz w:val="24"/>
          <w:szCs w:val="24"/>
        </w:rPr>
        <w:t xml:space="preserve">ver the course of this period, </w:t>
      </w:r>
      <w:r w:rsidR="00193D92" w:rsidRPr="00EA206A">
        <w:rPr>
          <w:rFonts w:ascii="Arial" w:hAnsi="Arial" w:cs="Arial"/>
          <w:sz w:val="24"/>
          <w:szCs w:val="24"/>
        </w:rPr>
        <w:t>“</w:t>
      </w:r>
      <w:r w:rsidR="00746107" w:rsidRPr="00EA206A">
        <w:rPr>
          <w:rFonts w:ascii="Arial" w:hAnsi="Arial" w:cs="Arial"/>
          <w:i/>
          <w:iCs/>
          <w:sz w:val="24"/>
          <w:szCs w:val="24"/>
        </w:rPr>
        <w:t xml:space="preserve">the </w:t>
      </w:r>
      <w:r w:rsidR="00193D92" w:rsidRPr="00EA206A">
        <w:rPr>
          <w:rFonts w:ascii="Arial" w:hAnsi="Arial" w:cs="Arial"/>
          <w:i/>
          <w:iCs/>
          <w:sz w:val="24"/>
          <w:szCs w:val="24"/>
        </w:rPr>
        <w:t>[</w:t>
      </w:r>
      <w:r w:rsidR="00746107" w:rsidRPr="00EA206A">
        <w:rPr>
          <w:rFonts w:ascii="Arial" w:hAnsi="Arial" w:cs="Arial"/>
          <w:i/>
          <w:iCs/>
          <w:sz w:val="24"/>
          <w:szCs w:val="24"/>
        </w:rPr>
        <w:t>a</w:t>
      </w:r>
      <w:r w:rsidR="00193D92" w:rsidRPr="00EA206A">
        <w:rPr>
          <w:rFonts w:ascii="Arial" w:hAnsi="Arial" w:cs="Arial"/>
          <w:i/>
          <w:iCs/>
          <w:sz w:val="24"/>
          <w:szCs w:val="24"/>
        </w:rPr>
        <w:t>]</w:t>
      </w:r>
      <w:r w:rsidR="00746107" w:rsidRPr="00EA206A">
        <w:rPr>
          <w:rFonts w:ascii="Arial" w:hAnsi="Arial" w:cs="Arial"/>
          <w:i/>
          <w:iCs/>
          <w:sz w:val="24"/>
          <w:szCs w:val="24"/>
        </w:rPr>
        <w:t xml:space="preserve">pplicant has built up a substantial reputation in the business of fire protection and maintenance in </w:t>
      </w:r>
      <w:r w:rsidR="00971FAA" w:rsidRPr="00EA206A">
        <w:rPr>
          <w:rFonts w:ascii="Arial" w:hAnsi="Arial" w:cs="Arial"/>
          <w:i/>
          <w:iCs/>
          <w:sz w:val="24"/>
          <w:szCs w:val="24"/>
        </w:rPr>
        <w:t xml:space="preserve">the </w:t>
      </w:r>
      <w:r w:rsidR="007F1515" w:rsidRPr="00EA206A">
        <w:rPr>
          <w:rFonts w:ascii="Arial" w:hAnsi="Arial" w:cs="Arial"/>
          <w:i/>
          <w:iCs/>
          <w:sz w:val="24"/>
          <w:szCs w:val="24"/>
        </w:rPr>
        <w:t xml:space="preserve">Eastern </w:t>
      </w:r>
      <w:r w:rsidR="00193D92" w:rsidRPr="00EA206A">
        <w:rPr>
          <w:rFonts w:ascii="Arial" w:hAnsi="Arial" w:cs="Arial"/>
          <w:i/>
          <w:iCs/>
          <w:sz w:val="24"/>
          <w:szCs w:val="24"/>
        </w:rPr>
        <w:t xml:space="preserve">Cape and </w:t>
      </w:r>
      <w:r w:rsidR="007F1515" w:rsidRPr="00EA206A">
        <w:rPr>
          <w:rFonts w:ascii="Arial" w:hAnsi="Arial" w:cs="Arial"/>
          <w:i/>
          <w:iCs/>
          <w:sz w:val="24"/>
          <w:szCs w:val="24"/>
        </w:rPr>
        <w:t>Western</w:t>
      </w:r>
      <w:r w:rsidR="00193D92" w:rsidRPr="00EA206A">
        <w:rPr>
          <w:rFonts w:ascii="Arial" w:hAnsi="Arial" w:cs="Arial"/>
          <w:i/>
          <w:iCs/>
          <w:sz w:val="24"/>
          <w:szCs w:val="24"/>
        </w:rPr>
        <w:t xml:space="preserve"> Cape</w:t>
      </w:r>
      <w:r w:rsidR="007F1515" w:rsidRPr="00EA206A">
        <w:rPr>
          <w:rFonts w:ascii="Arial" w:hAnsi="Arial" w:cs="Arial"/>
          <w:i/>
          <w:iCs/>
          <w:sz w:val="24"/>
          <w:szCs w:val="24"/>
        </w:rPr>
        <w:t xml:space="preserve"> </w:t>
      </w:r>
      <w:r w:rsidR="00746107" w:rsidRPr="00EA206A">
        <w:rPr>
          <w:rFonts w:ascii="Arial" w:hAnsi="Arial" w:cs="Arial"/>
          <w:i/>
          <w:iCs/>
          <w:sz w:val="24"/>
          <w:szCs w:val="24"/>
        </w:rPr>
        <w:t xml:space="preserve">and </w:t>
      </w:r>
      <w:r w:rsidR="00746107" w:rsidRPr="00EA206A">
        <w:rPr>
          <w:rFonts w:ascii="Arial" w:hAnsi="Arial" w:cs="Arial"/>
          <w:i/>
          <w:iCs/>
          <w:sz w:val="24"/>
          <w:szCs w:val="24"/>
        </w:rPr>
        <w:lastRenderedPageBreak/>
        <w:t>members of the public associate the</w:t>
      </w:r>
      <w:r w:rsidR="0063574C" w:rsidRPr="00EA206A">
        <w:rPr>
          <w:rFonts w:ascii="Arial" w:hAnsi="Arial" w:cs="Arial"/>
          <w:i/>
          <w:iCs/>
          <w:sz w:val="24"/>
          <w:szCs w:val="24"/>
        </w:rPr>
        <w:t xml:space="preserve">ir trade name with </w:t>
      </w:r>
      <w:r w:rsidR="00746107" w:rsidRPr="00EA206A">
        <w:rPr>
          <w:rFonts w:ascii="Arial" w:hAnsi="Arial" w:cs="Arial"/>
          <w:i/>
          <w:iCs/>
          <w:sz w:val="24"/>
          <w:szCs w:val="24"/>
        </w:rPr>
        <w:t>such services.</w:t>
      </w:r>
      <w:r w:rsidR="0063574C" w:rsidRPr="00EA206A">
        <w:rPr>
          <w:rFonts w:ascii="Arial" w:hAnsi="Arial" w:cs="Arial"/>
          <w:sz w:val="24"/>
          <w:szCs w:val="24"/>
        </w:rPr>
        <w:t>”</w:t>
      </w:r>
      <w:r w:rsidR="00746107" w:rsidRPr="00EA206A">
        <w:rPr>
          <w:rFonts w:ascii="Arial" w:hAnsi="Arial" w:cs="Arial"/>
          <w:sz w:val="24"/>
          <w:szCs w:val="24"/>
        </w:rPr>
        <w:t xml:space="preserve">  The applicant</w:t>
      </w:r>
      <w:r w:rsidR="007F1515" w:rsidRPr="00EA206A">
        <w:rPr>
          <w:rFonts w:ascii="Arial" w:hAnsi="Arial" w:cs="Arial"/>
          <w:sz w:val="24"/>
          <w:szCs w:val="24"/>
        </w:rPr>
        <w:t>’s</w:t>
      </w:r>
      <w:r w:rsidR="00746107" w:rsidRPr="00EA206A">
        <w:rPr>
          <w:rFonts w:ascii="Arial" w:hAnsi="Arial" w:cs="Arial"/>
          <w:sz w:val="24"/>
          <w:szCs w:val="24"/>
        </w:rPr>
        <w:t xml:space="preserve"> average annual turnover</w:t>
      </w:r>
      <w:r w:rsidR="007F1515" w:rsidRPr="00EA206A">
        <w:rPr>
          <w:rFonts w:ascii="Arial" w:hAnsi="Arial" w:cs="Arial"/>
          <w:sz w:val="24"/>
          <w:szCs w:val="24"/>
        </w:rPr>
        <w:t xml:space="preserve">, taking into account the </w:t>
      </w:r>
      <w:r w:rsidR="00746107" w:rsidRPr="00EA206A">
        <w:rPr>
          <w:rFonts w:ascii="Arial" w:hAnsi="Arial" w:cs="Arial"/>
          <w:sz w:val="24"/>
          <w:szCs w:val="24"/>
        </w:rPr>
        <w:t>past three years</w:t>
      </w:r>
      <w:r w:rsidR="007F1515" w:rsidRPr="00EA206A">
        <w:rPr>
          <w:rFonts w:ascii="Arial" w:hAnsi="Arial" w:cs="Arial"/>
          <w:sz w:val="24"/>
          <w:szCs w:val="24"/>
        </w:rPr>
        <w:t>,</w:t>
      </w:r>
      <w:r w:rsidR="00746107" w:rsidRPr="00EA206A">
        <w:rPr>
          <w:rFonts w:ascii="Arial" w:hAnsi="Arial" w:cs="Arial"/>
          <w:sz w:val="24"/>
          <w:szCs w:val="24"/>
        </w:rPr>
        <w:t xml:space="preserve"> was to the value of R30,000,000.00, with an average of R100,000.00 having been spent on marketing per year.</w:t>
      </w:r>
      <w:r w:rsidR="00804B56" w:rsidRPr="00EA206A">
        <w:rPr>
          <w:rFonts w:ascii="Arial" w:hAnsi="Arial" w:cs="Arial"/>
          <w:sz w:val="24"/>
          <w:szCs w:val="24"/>
        </w:rPr>
        <w:t xml:space="preserve"> </w:t>
      </w:r>
      <w:r w:rsidR="00B9286D" w:rsidRPr="00EA206A">
        <w:rPr>
          <w:rFonts w:ascii="Arial" w:hAnsi="Arial" w:cs="Arial"/>
          <w:sz w:val="24"/>
          <w:szCs w:val="24"/>
        </w:rPr>
        <w:t xml:space="preserve"> The applicant is registered with the Automatic Sprinkler Inspection Bureau (“</w:t>
      </w:r>
      <w:r w:rsidR="00B9286D" w:rsidRPr="00EA206A">
        <w:rPr>
          <w:rFonts w:ascii="Arial" w:hAnsi="Arial" w:cs="Arial"/>
          <w:i/>
          <w:iCs/>
          <w:sz w:val="24"/>
          <w:szCs w:val="24"/>
        </w:rPr>
        <w:t>ASIB</w:t>
      </w:r>
      <w:r w:rsidR="00B9286D" w:rsidRPr="00EA206A">
        <w:rPr>
          <w:rFonts w:ascii="Arial" w:hAnsi="Arial" w:cs="Arial"/>
          <w:sz w:val="24"/>
          <w:szCs w:val="24"/>
        </w:rPr>
        <w:t xml:space="preserve">”) under the name </w:t>
      </w:r>
      <w:r w:rsidR="00B9286D" w:rsidRPr="00EA206A">
        <w:rPr>
          <w:rFonts w:ascii="Arial" w:hAnsi="Arial" w:cs="Arial"/>
          <w:i/>
          <w:iCs/>
          <w:sz w:val="24"/>
          <w:szCs w:val="24"/>
        </w:rPr>
        <w:t>Firelogics</w:t>
      </w:r>
      <w:r w:rsidR="00B9286D" w:rsidRPr="00EA206A">
        <w:rPr>
          <w:rFonts w:ascii="Arial" w:hAnsi="Arial" w:cs="Arial"/>
          <w:sz w:val="24"/>
          <w:szCs w:val="24"/>
        </w:rPr>
        <w:t xml:space="preserve">.  </w:t>
      </w:r>
    </w:p>
    <w:p w14:paraId="13AB9DC6" w14:textId="77777777" w:rsidR="00B9286D" w:rsidRPr="00B9286D" w:rsidRDefault="00B9286D" w:rsidP="00053B90">
      <w:pPr>
        <w:pStyle w:val="ListParagraph"/>
        <w:spacing w:after="0" w:line="480" w:lineRule="auto"/>
        <w:rPr>
          <w:rFonts w:ascii="Arial" w:hAnsi="Arial" w:cs="Arial"/>
          <w:sz w:val="24"/>
          <w:szCs w:val="24"/>
        </w:rPr>
      </w:pPr>
    </w:p>
    <w:p w14:paraId="3B85247F" w14:textId="1E317455" w:rsidR="005C2911"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AF73A4" w:rsidRPr="00EA206A">
        <w:rPr>
          <w:rFonts w:ascii="Arial" w:hAnsi="Arial" w:cs="Arial"/>
          <w:sz w:val="24"/>
          <w:szCs w:val="24"/>
        </w:rPr>
        <w:t>Ms Scheffer contends that during</w:t>
      </w:r>
      <w:r w:rsidR="00B9286D" w:rsidRPr="00EA206A">
        <w:rPr>
          <w:rFonts w:ascii="Arial" w:hAnsi="Arial" w:cs="Arial"/>
          <w:sz w:val="24"/>
          <w:szCs w:val="24"/>
        </w:rPr>
        <w:t xml:space="preserve"> </w:t>
      </w:r>
      <w:r w:rsidR="00AF73A4" w:rsidRPr="00EA206A">
        <w:rPr>
          <w:rFonts w:ascii="Arial" w:hAnsi="Arial" w:cs="Arial"/>
          <w:sz w:val="24"/>
          <w:szCs w:val="24"/>
        </w:rPr>
        <w:t>mid-</w:t>
      </w:r>
      <w:r w:rsidR="00B9286D" w:rsidRPr="00EA206A">
        <w:rPr>
          <w:rFonts w:ascii="Arial" w:hAnsi="Arial" w:cs="Arial"/>
          <w:sz w:val="24"/>
          <w:szCs w:val="24"/>
        </w:rPr>
        <w:t>2016,</w:t>
      </w:r>
      <w:r w:rsidR="00F46C2A" w:rsidRPr="00EA206A">
        <w:rPr>
          <w:rFonts w:ascii="Arial" w:hAnsi="Arial" w:cs="Arial"/>
          <w:sz w:val="24"/>
          <w:szCs w:val="24"/>
        </w:rPr>
        <w:t xml:space="preserve"> some five years prior to the launch of the application,</w:t>
      </w:r>
      <w:r w:rsidR="00B9286D" w:rsidRPr="00EA206A">
        <w:rPr>
          <w:rFonts w:ascii="Arial" w:hAnsi="Arial" w:cs="Arial"/>
          <w:sz w:val="24"/>
          <w:szCs w:val="24"/>
        </w:rPr>
        <w:t xml:space="preserve"> it came to</w:t>
      </w:r>
      <w:r w:rsidR="00AF73A4" w:rsidRPr="00EA206A">
        <w:rPr>
          <w:rFonts w:ascii="Arial" w:hAnsi="Arial" w:cs="Arial"/>
          <w:sz w:val="24"/>
          <w:szCs w:val="24"/>
        </w:rPr>
        <w:t xml:space="preserve"> the applicant’s</w:t>
      </w:r>
      <w:r w:rsidR="00B9286D" w:rsidRPr="00EA206A">
        <w:rPr>
          <w:rFonts w:ascii="Arial" w:hAnsi="Arial" w:cs="Arial"/>
          <w:sz w:val="24"/>
          <w:szCs w:val="24"/>
        </w:rPr>
        <w:t xml:space="preserve"> attention</w:t>
      </w:r>
      <w:r w:rsidR="00AF73A4">
        <w:rPr>
          <w:rStyle w:val="FootnoteReference"/>
          <w:rFonts w:ascii="Arial" w:hAnsi="Arial" w:cs="Arial"/>
          <w:sz w:val="24"/>
          <w:szCs w:val="24"/>
        </w:rPr>
        <w:footnoteReference w:id="3"/>
      </w:r>
      <w:r w:rsidR="00B9286D" w:rsidRPr="00EA206A">
        <w:rPr>
          <w:rFonts w:ascii="Arial" w:hAnsi="Arial" w:cs="Arial"/>
          <w:sz w:val="24"/>
          <w:szCs w:val="24"/>
        </w:rPr>
        <w:t xml:space="preserve"> that the respondent had, in February of the same year, applied for an ASIB licence in the Gqeberha region.  </w:t>
      </w:r>
      <w:r w:rsidR="00AF73A4" w:rsidRPr="00EA206A">
        <w:rPr>
          <w:rFonts w:ascii="Arial" w:hAnsi="Arial" w:cs="Arial"/>
          <w:sz w:val="24"/>
          <w:szCs w:val="24"/>
        </w:rPr>
        <w:t xml:space="preserve">It is common cause that the applicant, through its attorney of record, on 1 June 2016, sought an undertaking from the respondent, </w:t>
      </w:r>
      <w:r w:rsidR="000F2390" w:rsidRPr="00EA206A">
        <w:rPr>
          <w:rFonts w:ascii="Arial" w:hAnsi="Arial" w:cs="Arial"/>
          <w:sz w:val="24"/>
          <w:szCs w:val="24"/>
        </w:rPr>
        <w:t xml:space="preserve">firstly, </w:t>
      </w:r>
      <w:r w:rsidR="00AF73A4" w:rsidRPr="00EA206A">
        <w:rPr>
          <w:rFonts w:ascii="Arial" w:hAnsi="Arial" w:cs="Arial"/>
          <w:sz w:val="24"/>
          <w:szCs w:val="24"/>
        </w:rPr>
        <w:t>not to trade in the Eastern and Western Cape</w:t>
      </w:r>
      <w:r w:rsidR="00F46C2A" w:rsidRPr="00EA206A">
        <w:rPr>
          <w:rFonts w:ascii="Arial" w:hAnsi="Arial" w:cs="Arial"/>
          <w:sz w:val="24"/>
          <w:szCs w:val="24"/>
        </w:rPr>
        <w:t xml:space="preserve"> regions</w:t>
      </w:r>
      <w:r w:rsidR="00AF73A4" w:rsidRPr="00EA206A">
        <w:rPr>
          <w:rFonts w:ascii="Arial" w:hAnsi="Arial" w:cs="Arial"/>
          <w:sz w:val="24"/>
          <w:szCs w:val="24"/>
        </w:rPr>
        <w:t xml:space="preserve"> under the name </w:t>
      </w:r>
      <w:r w:rsidR="00AF73A4" w:rsidRPr="00EA206A">
        <w:rPr>
          <w:rFonts w:ascii="Arial" w:hAnsi="Arial" w:cs="Arial"/>
          <w:b/>
          <w:bCs/>
          <w:sz w:val="24"/>
          <w:szCs w:val="24"/>
        </w:rPr>
        <w:t>FIRELOGIK</w:t>
      </w:r>
      <w:r w:rsidR="000F2390" w:rsidRPr="00EA206A">
        <w:rPr>
          <w:rFonts w:ascii="Arial" w:hAnsi="Arial" w:cs="Arial"/>
          <w:sz w:val="24"/>
          <w:szCs w:val="24"/>
        </w:rPr>
        <w:t>;</w:t>
      </w:r>
      <w:r w:rsidR="00AF73A4" w:rsidRPr="00EA206A">
        <w:rPr>
          <w:rFonts w:ascii="Arial" w:hAnsi="Arial" w:cs="Arial"/>
          <w:sz w:val="24"/>
          <w:szCs w:val="24"/>
        </w:rPr>
        <w:t xml:space="preserve"> and</w:t>
      </w:r>
      <w:r w:rsidR="000F2390" w:rsidRPr="00EA206A">
        <w:rPr>
          <w:rFonts w:ascii="Arial" w:hAnsi="Arial" w:cs="Arial"/>
          <w:sz w:val="24"/>
          <w:szCs w:val="24"/>
        </w:rPr>
        <w:t xml:space="preserve"> secondly,</w:t>
      </w:r>
      <w:r w:rsidR="00AF73A4" w:rsidRPr="00EA206A">
        <w:rPr>
          <w:rFonts w:ascii="Arial" w:hAnsi="Arial" w:cs="Arial"/>
          <w:sz w:val="24"/>
          <w:szCs w:val="24"/>
        </w:rPr>
        <w:t xml:space="preserve"> requested that the respondent, whose registered company name at </w:t>
      </w:r>
      <w:r w:rsidR="000F2390" w:rsidRPr="00EA206A">
        <w:rPr>
          <w:rFonts w:ascii="Arial" w:hAnsi="Arial" w:cs="Arial"/>
          <w:sz w:val="24"/>
          <w:szCs w:val="24"/>
        </w:rPr>
        <w:t>that</w:t>
      </w:r>
      <w:r w:rsidR="00AF73A4" w:rsidRPr="00EA206A">
        <w:rPr>
          <w:rFonts w:ascii="Arial" w:hAnsi="Arial" w:cs="Arial"/>
          <w:sz w:val="24"/>
          <w:szCs w:val="24"/>
        </w:rPr>
        <w:t xml:space="preserve"> time was FIRE LOGIK (PTY) LTD, attend to the change </w:t>
      </w:r>
      <w:r w:rsidR="003A0B5A" w:rsidRPr="00EA206A">
        <w:rPr>
          <w:rFonts w:ascii="Arial" w:hAnsi="Arial" w:cs="Arial"/>
          <w:sz w:val="24"/>
          <w:szCs w:val="24"/>
        </w:rPr>
        <w:t>thereof</w:t>
      </w:r>
      <w:r w:rsidR="00AF73A4" w:rsidRPr="00EA206A">
        <w:rPr>
          <w:rFonts w:ascii="Arial" w:hAnsi="Arial" w:cs="Arial"/>
          <w:sz w:val="24"/>
          <w:szCs w:val="24"/>
        </w:rPr>
        <w:t xml:space="preserve">.  </w:t>
      </w:r>
    </w:p>
    <w:p w14:paraId="7DD5EC3B" w14:textId="77777777" w:rsidR="005C2911" w:rsidRPr="005C2911" w:rsidRDefault="005C2911" w:rsidP="004B0CEE">
      <w:pPr>
        <w:pStyle w:val="ListParagraph"/>
        <w:spacing w:after="0" w:line="480" w:lineRule="auto"/>
        <w:rPr>
          <w:rFonts w:ascii="Arial" w:hAnsi="Arial" w:cs="Arial"/>
          <w:sz w:val="24"/>
          <w:szCs w:val="24"/>
        </w:rPr>
      </w:pPr>
    </w:p>
    <w:p w14:paraId="7139F2A6" w14:textId="1405F0FE" w:rsidR="005C2911" w:rsidRPr="00EA206A" w:rsidRDefault="00EA206A" w:rsidP="00EA206A">
      <w:pPr>
        <w:spacing w:after="0" w:line="480" w:lineRule="auto"/>
        <w:ind w:left="851" w:hanging="851"/>
        <w:jc w:val="both"/>
        <w:rPr>
          <w:rFonts w:ascii="Arial" w:hAnsi="Arial" w:cs="Arial"/>
          <w:sz w:val="24"/>
          <w:szCs w:val="24"/>
        </w:rPr>
      </w:pPr>
      <w:r w:rsidRPr="005C2911">
        <w:rPr>
          <w:rFonts w:ascii="Arial" w:hAnsi="Arial" w:cs="Arial"/>
          <w:sz w:val="24"/>
          <w:szCs w:val="24"/>
        </w:rPr>
        <w:t>[8]</w:t>
      </w:r>
      <w:r w:rsidRPr="005C2911">
        <w:rPr>
          <w:rFonts w:ascii="Arial" w:hAnsi="Arial" w:cs="Arial"/>
          <w:sz w:val="24"/>
          <w:szCs w:val="24"/>
        </w:rPr>
        <w:tab/>
      </w:r>
      <w:r w:rsidR="00102107" w:rsidRPr="00EA206A">
        <w:rPr>
          <w:rFonts w:ascii="Arial" w:hAnsi="Arial" w:cs="Arial"/>
          <w:sz w:val="24"/>
          <w:szCs w:val="24"/>
        </w:rPr>
        <w:t>On 7 July</w:t>
      </w:r>
      <w:r w:rsidR="00692383" w:rsidRPr="00EA206A">
        <w:rPr>
          <w:rFonts w:ascii="Arial" w:hAnsi="Arial" w:cs="Arial"/>
          <w:sz w:val="24"/>
          <w:szCs w:val="24"/>
        </w:rPr>
        <w:t xml:space="preserve"> 2016</w:t>
      </w:r>
      <w:r w:rsidR="00102107" w:rsidRPr="00EA206A">
        <w:rPr>
          <w:rFonts w:ascii="Arial" w:hAnsi="Arial" w:cs="Arial"/>
          <w:sz w:val="24"/>
          <w:szCs w:val="24"/>
        </w:rPr>
        <w:t>, the respondent</w:t>
      </w:r>
      <w:r w:rsidR="005C2911" w:rsidRPr="00EA206A">
        <w:rPr>
          <w:rFonts w:ascii="Arial" w:hAnsi="Arial" w:cs="Arial"/>
          <w:sz w:val="24"/>
          <w:szCs w:val="24"/>
        </w:rPr>
        <w:t xml:space="preserve">, through </w:t>
      </w:r>
      <w:r w:rsidR="008F44D9" w:rsidRPr="00EA206A">
        <w:rPr>
          <w:rFonts w:ascii="Arial" w:hAnsi="Arial" w:cs="Arial"/>
          <w:sz w:val="24"/>
          <w:szCs w:val="24"/>
        </w:rPr>
        <w:t>its Chief Executive Officer,</w:t>
      </w:r>
      <w:r w:rsidR="005C2911" w:rsidRPr="00EA206A">
        <w:rPr>
          <w:rFonts w:ascii="Arial" w:hAnsi="Arial" w:cs="Arial"/>
          <w:sz w:val="24"/>
          <w:szCs w:val="24"/>
        </w:rPr>
        <w:t xml:space="preserve"> Stephen Ayerst</w:t>
      </w:r>
      <w:r w:rsidR="004B0CEE" w:rsidRPr="00EA206A">
        <w:rPr>
          <w:rFonts w:ascii="Arial" w:hAnsi="Arial" w:cs="Arial"/>
          <w:sz w:val="24"/>
          <w:szCs w:val="24"/>
        </w:rPr>
        <w:t xml:space="preserve"> (“</w:t>
      </w:r>
      <w:r w:rsidR="00D10390" w:rsidRPr="00EA206A">
        <w:rPr>
          <w:rFonts w:ascii="Arial" w:hAnsi="Arial" w:cs="Arial"/>
          <w:i/>
          <w:iCs/>
          <w:sz w:val="24"/>
          <w:szCs w:val="24"/>
        </w:rPr>
        <w:t xml:space="preserve">Mr </w:t>
      </w:r>
      <w:r w:rsidR="004B0CEE" w:rsidRPr="00EA206A">
        <w:rPr>
          <w:rFonts w:ascii="Arial" w:hAnsi="Arial" w:cs="Arial"/>
          <w:i/>
          <w:iCs/>
          <w:sz w:val="24"/>
          <w:szCs w:val="24"/>
        </w:rPr>
        <w:t>Ayerst</w:t>
      </w:r>
      <w:r w:rsidR="004B0CEE" w:rsidRPr="00EA206A">
        <w:rPr>
          <w:rFonts w:ascii="Arial" w:hAnsi="Arial" w:cs="Arial"/>
          <w:sz w:val="24"/>
          <w:szCs w:val="24"/>
        </w:rPr>
        <w:t>”)</w:t>
      </w:r>
      <w:r w:rsidR="005C2911" w:rsidRPr="00EA206A">
        <w:rPr>
          <w:rFonts w:ascii="Arial" w:hAnsi="Arial" w:cs="Arial"/>
          <w:sz w:val="24"/>
          <w:szCs w:val="24"/>
        </w:rPr>
        <w:t>,</w:t>
      </w:r>
      <w:r w:rsidR="00102107" w:rsidRPr="00EA206A">
        <w:rPr>
          <w:rFonts w:ascii="Arial" w:hAnsi="Arial" w:cs="Arial"/>
          <w:sz w:val="24"/>
          <w:szCs w:val="24"/>
        </w:rPr>
        <w:t xml:space="preserve"> </w:t>
      </w:r>
      <w:r w:rsidR="008F44D9" w:rsidRPr="00EA206A">
        <w:rPr>
          <w:rFonts w:ascii="Arial" w:hAnsi="Arial" w:cs="Arial"/>
          <w:sz w:val="24"/>
          <w:szCs w:val="24"/>
        </w:rPr>
        <w:t>responded</w:t>
      </w:r>
      <w:r w:rsidR="005C2911" w:rsidRPr="00EA206A">
        <w:rPr>
          <w:rFonts w:ascii="Arial" w:hAnsi="Arial" w:cs="Arial"/>
          <w:sz w:val="24"/>
          <w:szCs w:val="24"/>
        </w:rPr>
        <w:t>,</w:t>
      </w:r>
      <w:r w:rsidR="00102107" w:rsidRPr="00EA206A">
        <w:rPr>
          <w:rFonts w:ascii="Arial" w:hAnsi="Arial" w:cs="Arial"/>
          <w:sz w:val="24"/>
          <w:szCs w:val="24"/>
        </w:rPr>
        <w:t xml:space="preserve"> </w:t>
      </w:r>
      <w:r w:rsidR="00E002D8" w:rsidRPr="00EA206A">
        <w:rPr>
          <w:rFonts w:ascii="Arial" w:hAnsi="Arial" w:cs="Arial"/>
          <w:sz w:val="24"/>
          <w:szCs w:val="24"/>
        </w:rPr>
        <w:t>asserting</w:t>
      </w:r>
      <w:r w:rsidR="00102107" w:rsidRPr="00EA206A">
        <w:rPr>
          <w:rFonts w:ascii="Arial" w:hAnsi="Arial" w:cs="Arial"/>
          <w:sz w:val="24"/>
          <w:szCs w:val="24"/>
        </w:rPr>
        <w:t xml:space="preserve"> that </w:t>
      </w:r>
      <w:r w:rsidR="005C2911" w:rsidRPr="00EA206A">
        <w:rPr>
          <w:rFonts w:ascii="Arial" w:hAnsi="Arial" w:cs="Arial"/>
          <w:sz w:val="24"/>
          <w:szCs w:val="24"/>
        </w:rPr>
        <w:t xml:space="preserve">the respondent </w:t>
      </w:r>
      <w:r w:rsidR="00102107" w:rsidRPr="00EA206A">
        <w:rPr>
          <w:rFonts w:ascii="Arial" w:hAnsi="Arial" w:cs="Arial"/>
          <w:sz w:val="24"/>
          <w:szCs w:val="24"/>
        </w:rPr>
        <w:t xml:space="preserve">had </w:t>
      </w:r>
      <w:r w:rsidR="00102107" w:rsidRPr="00EA206A">
        <w:rPr>
          <w:rFonts w:ascii="Arial" w:hAnsi="Arial" w:cs="Arial"/>
          <w:sz w:val="24"/>
          <w:szCs w:val="24"/>
          <w:lang w:val="en-US"/>
        </w:rPr>
        <w:t>never been granted, nor applied for an A</w:t>
      </w:r>
      <w:r w:rsidR="005C2911" w:rsidRPr="00EA206A">
        <w:rPr>
          <w:rFonts w:ascii="Arial" w:hAnsi="Arial" w:cs="Arial"/>
          <w:sz w:val="24"/>
          <w:szCs w:val="24"/>
          <w:lang w:val="en-US"/>
        </w:rPr>
        <w:t>SIB</w:t>
      </w:r>
      <w:r w:rsidR="00102107" w:rsidRPr="00EA206A">
        <w:rPr>
          <w:rFonts w:ascii="Arial" w:hAnsi="Arial" w:cs="Arial"/>
          <w:sz w:val="24"/>
          <w:szCs w:val="24"/>
          <w:lang w:val="en-US"/>
        </w:rPr>
        <w:t xml:space="preserve"> licen</w:t>
      </w:r>
      <w:r w:rsidR="005C2911" w:rsidRPr="00EA206A">
        <w:rPr>
          <w:rFonts w:ascii="Arial" w:hAnsi="Arial" w:cs="Arial"/>
          <w:sz w:val="24"/>
          <w:szCs w:val="24"/>
          <w:lang w:val="en-US"/>
        </w:rPr>
        <w:t>s</w:t>
      </w:r>
      <w:r w:rsidR="00102107" w:rsidRPr="00EA206A">
        <w:rPr>
          <w:rFonts w:ascii="Arial" w:hAnsi="Arial" w:cs="Arial"/>
          <w:sz w:val="24"/>
          <w:szCs w:val="24"/>
          <w:lang w:val="en-US"/>
        </w:rPr>
        <w:t xml:space="preserve">e to trade in the Eastern Cape region, nor did </w:t>
      </w:r>
      <w:r w:rsidR="005C2911" w:rsidRPr="00EA206A">
        <w:rPr>
          <w:rFonts w:ascii="Arial" w:hAnsi="Arial" w:cs="Arial"/>
          <w:sz w:val="24"/>
          <w:szCs w:val="24"/>
          <w:lang w:val="en-US"/>
        </w:rPr>
        <w:t>it</w:t>
      </w:r>
      <w:r w:rsidR="00102107" w:rsidRPr="00EA206A">
        <w:rPr>
          <w:rFonts w:ascii="Arial" w:hAnsi="Arial" w:cs="Arial"/>
          <w:sz w:val="24"/>
          <w:szCs w:val="24"/>
          <w:lang w:val="en-US"/>
        </w:rPr>
        <w:t xml:space="preserve"> intend</w:t>
      </w:r>
      <w:r w:rsidR="005C2911" w:rsidRPr="00EA206A">
        <w:rPr>
          <w:rFonts w:ascii="Arial" w:hAnsi="Arial" w:cs="Arial"/>
          <w:sz w:val="24"/>
          <w:szCs w:val="24"/>
          <w:lang w:val="en-US"/>
        </w:rPr>
        <w:t>,</w:t>
      </w:r>
      <w:r w:rsidR="00102107" w:rsidRPr="00EA206A">
        <w:rPr>
          <w:rFonts w:ascii="Arial" w:hAnsi="Arial" w:cs="Arial"/>
          <w:sz w:val="24"/>
          <w:szCs w:val="24"/>
          <w:lang w:val="en-US"/>
        </w:rPr>
        <w:t xml:space="preserve"> at that stage</w:t>
      </w:r>
      <w:r w:rsidR="005C2911" w:rsidRPr="00EA206A">
        <w:rPr>
          <w:rFonts w:ascii="Arial" w:hAnsi="Arial" w:cs="Arial"/>
          <w:sz w:val="24"/>
          <w:szCs w:val="24"/>
          <w:lang w:val="en-US"/>
        </w:rPr>
        <w:t>,</w:t>
      </w:r>
      <w:r w:rsidR="00102107" w:rsidRPr="00EA206A">
        <w:rPr>
          <w:rFonts w:ascii="Arial" w:hAnsi="Arial" w:cs="Arial"/>
          <w:sz w:val="24"/>
          <w:szCs w:val="24"/>
          <w:lang w:val="en-US"/>
        </w:rPr>
        <w:t xml:space="preserve"> of applying for </w:t>
      </w:r>
      <w:r w:rsidR="005C2911" w:rsidRPr="00EA206A">
        <w:rPr>
          <w:rFonts w:ascii="Arial" w:hAnsi="Arial" w:cs="Arial"/>
          <w:sz w:val="24"/>
          <w:szCs w:val="24"/>
          <w:lang w:val="en-US"/>
        </w:rPr>
        <w:t xml:space="preserve">such a </w:t>
      </w:r>
      <w:r w:rsidR="00102107" w:rsidRPr="00EA206A">
        <w:rPr>
          <w:rFonts w:ascii="Arial" w:hAnsi="Arial" w:cs="Arial"/>
          <w:sz w:val="24"/>
          <w:szCs w:val="24"/>
          <w:lang w:val="en-US"/>
        </w:rPr>
        <w:t xml:space="preserve">license to trade in the </w:t>
      </w:r>
      <w:r w:rsidR="005C2911" w:rsidRPr="00EA206A">
        <w:rPr>
          <w:rFonts w:ascii="Arial" w:hAnsi="Arial" w:cs="Arial"/>
          <w:sz w:val="24"/>
          <w:szCs w:val="24"/>
          <w:lang w:val="en-US"/>
        </w:rPr>
        <w:t>E</w:t>
      </w:r>
      <w:r w:rsidR="00102107" w:rsidRPr="00EA206A">
        <w:rPr>
          <w:rFonts w:ascii="Arial" w:hAnsi="Arial" w:cs="Arial"/>
          <w:sz w:val="24"/>
          <w:szCs w:val="24"/>
          <w:lang w:val="en-US"/>
        </w:rPr>
        <w:t xml:space="preserve">astern or </w:t>
      </w:r>
      <w:r w:rsidR="005C2911" w:rsidRPr="00EA206A">
        <w:rPr>
          <w:rFonts w:ascii="Arial" w:hAnsi="Arial" w:cs="Arial"/>
          <w:sz w:val="24"/>
          <w:szCs w:val="24"/>
          <w:lang w:val="en-US"/>
        </w:rPr>
        <w:t>West</w:t>
      </w:r>
      <w:r w:rsidR="00102107" w:rsidRPr="00EA206A">
        <w:rPr>
          <w:rFonts w:ascii="Arial" w:hAnsi="Arial" w:cs="Arial"/>
          <w:sz w:val="24"/>
          <w:szCs w:val="24"/>
          <w:lang w:val="en-US"/>
        </w:rPr>
        <w:t>ern Cape</w:t>
      </w:r>
      <w:r w:rsidR="005C2911" w:rsidRPr="00EA206A">
        <w:rPr>
          <w:rFonts w:ascii="Arial" w:hAnsi="Arial" w:cs="Arial"/>
          <w:sz w:val="24"/>
          <w:szCs w:val="24"/>
          <w:lang w:val="en-US"/>
        </w:rPr>
        <w:t xml:space="preserve"> regions</w:t>
      </w:r>
      <w:r w:rsidR="00102107" w:rsidRPr="00EA206A">
        <w:rPr>
          <w:rFonts w:ascii="Arial" w:hAnsi="Arial" w:cs="Arial"/>
          <w:sz w:val="24"/>
          <w:szCs w:val="24"/>
          <w:lang w:val="en-US"/>
        </w:rPr>
        <w:t>.</w:t>
      </w:r>
      <w:r w:rsidR="005C2911" w:rsidRPr="00EA206A">
        <w:rPr>
          <w:rFonts w:ascii="Arial" w:hAnsi="Arial" w:cs="Arial"/>
          <w:sz w:val="24"/>
          <w:szCs w:val="24"/>
          <w:lang w:val="en-US"/>
        </w:rPr>
        <w:t xml:space="preserve">  It was further recorded, on behalf of the respondent, that “</w:t>
      </w:r>
      <w:r w:rsidR="005C2911" w:rsidRPr="00EA206A">
        <w:rPr>
          <w:rFonts w:ascii="Arial" w:hAnsi="Arial" w:cs="Arial"/>
          <w:i/>
          <w:iCs/>
          <w:sz w:val="24"/>
          <w:szCs w:val="24"/>
          <w:lang w:val="en-US"/>
        </w:rPr>
        <w:t>[n]otwithstanding the above, we are in the process of changing our name to Logik Group in order to avoid any confusion in the eyes of the public between your client and our company</w:t>
      </w:r>
      <w:r w:rsidR="005C2911" w:rsidRPr="00EA206A">
        <w:rPr>
          <w:rFonts w:ascii="Arial" w:hAnsi="Arial" w:cs="Arial"/>
          <w:sz w:val="24"/>
          <w:szCs w:val="24"/>
          <w:lang w:val="en-US"/>
        </w:rPr>
        <w:t xml:space="preserve">.”  I pause to mention that </w:t>
      </w:r>
      <w:r w:rsidR="005C2911" w:rsidRPr="00EA206A">
        <w:rPr>
          <w:rFonts w:ascii="Arial" w:hAnsi="Arial" w:cs="Arial"/>
          <w:sz w:val="24"/>
          <w:szCs w:val="24"/>
          <w:lang w:val="en-US"/>
        </w:rPr>
        <w:lastRenderedPageBreak/>
        <w:t>the letterhead of the respondent</w:t>
      </w:r>
      <w:r w:rsidR="00424F1C" w:rsidRPr="00EA206A">
        <w:rPr>
          <w:rFonts w:ascii="Arial" w:hAnsi="Arial" w:cs="Arial"/>
          <w:sz w:val="24"/>
          <w:szCs w:val="24"/>
          <w:lang w:val="en-US"/>
        </w:rPr>
        <w:t>, on 7 July 2016, records</w:t>
      </w:r>
      <w:r w:rsidR="005C2911" w:rsidRPr="00EA206A">
        <w:rPr>
          <w:rFonts w:ascii="Arial" w:hAnsi="Arial" w:cs="Arial"/>
          <w:sz w:val="24"/>
          <w:szCs w:val="24"/>
          <w:lang w:val="en-US"/>
        </w:rPr>
        <w:t xml:space="preserve"> the respondent’s email address as, info@firelogik.co.za, and bares the following emblem:</w:t>
      </w:r>
    </w:p>
    <w:p w14:paraId="571EC3B0" w14:textId="77777777" w:rsidR="005C2911" w:rsidRPr="005C2911" w:rsidRDefault="005C2911" w:rsidP="005C2911">
      <w:pPr>
        <w:pStyle w:val="ListParagraph"/>
        <w:rPr>
          <w:rFonts w:ascii="Arial" w:hAnsi="Arial" w:cs="Arial"/>
          <w:sz w:val="24"/>
          <w:szCs w:val="24"/>
          <w:lang w:val="en-US"/>
        </w:rPr>
      </w:pPr>
    </w:p>
    <w:p w14:paraId="64627011" w14:textId="0DEC05CE" w:rsidR="005C2911" w:rsidRPr="005C2911" w:rsidRDefault="005C2911" w:rsidP="005C2911">
      <w:pPr>
        <w:pStyle w:val="ListParagraph"/>
        <w:spacing w:after="0" w:line="480" w:lineRule="auto"/>
        <w:ind w:left="851"/>
        <w:jc w:val="center"/>
        <w:rPr>
          <w:rFonts w:ascii="Arial" w:hAnsi="Arial" w:cs="Arial"/>
          <w:sz w:val="24"/>
          <w:szCs w:val="24"/>
        </w:rPr>
      </w:pPr>
      <w:r>
        <w:rPr>
          <w:rFonts w:ascii="Arial" w:hAnsi="Arial" w:cs="Arial"/>
          <w:noProof/>
          <w:sz w:val="24"/>
          <w:szCs w:val="24"/>
          <w:lang w:val="en-US"/>
        </w:rPr>
        <w:drawing>
          <wp:inline distT="0" distB="0" distL="0" distR="0" wp14:anchorId="299A847E" wp14:editId="2CE357F4">
            <wp:extent cx="1219200" cy="105994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772" cy="1107388"/>
                    </a:xfrm>
                    <a:prstGeom prst="rect">
                      <a:avLst/>
                    </a:prstGeom>
                  </pic:spPr>
                </pic:pic>
              </a:graphicData>
            </a:graphic>
          </wp:inline>
        </w:drawing>
      </w:r>
    </w:p>
    <w:p w14:paraId="4A4AD6F1" w14:textId="77777777" w:rsidR="00567D95" w:rsidRDefault="00567D95" w:rsidP="00567D95">
      <w:pPr>
        <w:pStyle w:val="ListParagraph"/>
        <w:spacing w:after="0" w:line="240" w:lineRule="auto"/>
        <w:ind w:left="851"/>
        <w:jc w:val="both"/>
        <w:rPr>
          <w:rFonts w:ascii="Arial" w:hAnsi="Arial" w:cs="Arial"/>
          <w:sz w:val="24"/>
          <w:szCs w:val="24"/>
        </w:rPr>
      </w:pPr>
    </w:p>
    <w:p w14:paraId="6F74130E" w14:textId="3E9064A8" w:rsidR="000D2F60"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223DC0" w:rsidRPr="00EA206A">
        <w:rPr>
          <w:rFonts w:ascii="Arial" w:hAnsi="Arial" w:cs="Arial"/>
          <w:sz w:val="24"/>
          <w:szCs w:val="24"/>
        </w:rPr>
        <w:t>Some seven and a half months later, o</w:t>
      </w:r>
      <w:r w:rsidR="004B0CEE" w:rsidRPr="00EA206A">
        <w:rPr>
          <w:rFonts w:ascii="Arial" w:hAnsi="Arial" w:cs="Arial"/>
          <w:sz w:val="24"/>
          <w:szCs w:val="24"/>
        </w:rPr>
        <w:t>n 29 March 2017, the applicant</w:t>
      </w:r>
      <w:r w:rsidR="00223DC0" w:rsidRPr="00EA206A">
        <w:rPr>
          <w:rFonts w:ascii="Arial" w:hAnsi="Arial" w:cs="Arial"/>
          <w:sz w:val="24"/>
          <w:szCs w:val="24"/>
        </w:rPr>
        <w:t xml:space="preserve"> </w:t>
      </w:r>
      <w:r w:rsidR="004B0CEE" w:rsidRPr="00EA206A">
        <w:rPr>
          <w:rFonts w:ascii="Arial" w:hAnsi="Arial" w:cs="Arial"/>
          <w:sz w:val="24"/>
          <w:szCs w:val="24"/>
        </w:rPr>
        <w:t xml:space="preserve">followed up with the respondent regarding </w:t>
      </w:r>
      <w:r w:rsidR="000F2390" w:rsidRPr="00EA206A">
        <w:rPr>
          <w:rFonts w:ascii="Arial" w:hAnsi="Arial" w:cs="Arial"/>
          <w:sz w:val="24"/>
          <w:szCs w:val="24"/>
        </w:rPr>
        <w:t>its</w:t>
      </w:r>
      <w:r w:rsidR="004B0CEE" w:rsidRPr="00EA206A">
        <w:rPr>
          <w:rFonts w:ascii="Arial" w:hAnsi="Arial" w:cs="Arial"/>
          <w:sz w:val="24"/>
          <w:szCs w:val="24"/>
        </w:rPr>
        <w:t xml:space="preserve"> </w:t>
      </w:r>
      <w:r w:rsidR="000F2390" w:rsidRPr="00EA206A">
        <w:rPr>
          <w:rFonts w:ascii="Arial" w:hAnsi="Arial" w:cs="Arial"/>
          <w:sz w:val="24"/>
          <w:szCs w:val="24"/>
        </w:rPr>
        <w:t>anticipated</w:t>
      </w:r>
      <w:r w:rsidR="004B0CEE" w:rsidRPr="00EA206A">
        <w:rPr>
          <w:rFonts w:ascii="Arial" w:hAnsi="Arial" w:cs="Arial"/>
          <w:sz w:val="24"/>
          <w:szCs w:val="24"/>
        </w:rPr>
        <w:t xml:space="preserve"> name change.  On the same da</w:t>
      </w:r>
      <w:r w:rsidR="007E02EC" w:rsidRPr="00EA206A">
        <w:rPr>
          <w:rFonts w:ascii="Arial" w:hAnsi="Arial" w:cs="Arial"/>
          <w:sz w:val="24"/>
          <w:szCs w:val="24"/>
        </w:rPr>
        <w:t>y</w:t>
      </w:r>
      <w:r w:rsidR="004B0CEE" w:rsidRPr="00EA206A">
        <w:rPr>
          <w:rFonts w:ascii="Arial" w:hAnsi="Arial" w:cs="Arial"/>
          <w:sz w:val="24"/>
          <w:szCs w:val="24"/>
        </w:rPr>
        <w:t xml:space="preserve">, </w:t>
      </w:r>
      <w:r w:rsidR="006A28D3" w:rsidRPr="00EA206A">
        <w:rPr>
          <w:rFonts w:ascii="Arial" w:hAnsi="Arial" w:cs="Arial"/>
          <w:sz w:val="24"/>
          <w:szCs w:val="24"/>
        </w:rPr>
        <w:t xml:space="preserve">Mr </w:t>
      </w:r>
      <w:r w:rsidR="004B0CEE" w:rsidRPr="00EA206A">
        <w:rPr>
          <w:rFonts w:ascii="Arial" w:hAnsi="Arial" w:cs="Arial"/>
          <w:sz w:val="24"/>
          <w:szCs w:val="24"/>
        </w:rPr>
        <w:t>Ayerst</w:t>
      </w:r>
      <w:r w:rsidR="002A75EC" w:rsidRPr="00EA206A">
        <w:rPr>
          <w:rFonts w:ascii="Arial" w:hAnsi="Arial" w:cs="Arial"/>
          <w:sz w:val="24"/>
          <w:szCs w:val="24"/>
        </w:rPr>
        <w:t>, via email,</w:t>
      </w:r>
      <w:r w:rsidR="004B0CEE" w:rsidRPr="00EA206A">
        <w:rPr>
          <w:rFonts w:ascii="Arial" w:hAnsi="Arial" w:cs="Arial"/>
          <w:sz w:val="24"/>
          <w:szCs w:val="24"/>
        </w:rPr>
        <w:t xml:space="preserve"> forwarded the respondent’s amended registration certificate to the applicant’s attorneys, </w:t>
      </w:r>
      <w:r w:rsidR="002A75EC" w:rsidRPr="00EA206A">
        <w:rPr>
          <w:rFonts w:ascii="Arial" w:hAnsi="Arial" w:cs="Arial"/>
          <w:sz w:val="24"/>
          <w:szCs w:val="24"/>
        </w:rPr>
        <w:t xml:space="preserve">from which it is apparent that </w:t>
      </w:r>
      <w:r w:rsidR="004B0CEE" w:rsidRPr="00EA206A">
        <w:rPr>
          <w:rFonts w:ascii="Arial" w:hAnsi="Arial" w:cs="Arial"/>
          <w:sz w:val="24"/>
          <w:szCs w:val="24"/>
        </w:rPr>
        <w:t>the respondent’s registered name had been changed</w:t>
      </w:r>
      <w:r w:rsidR="006A28D3" w:rsidRPr="00EA206A">
        <w:rPr>
          <w:rFonts w:ascii="Arial" w:hAnsi="Arial" w:cs="Arial"/>
          <w:sz w:val="24"/>
          <w:szCs w:val="24"/>
        </w:rPr>
        <w:t xml:space="preserve"> from FIRE LOGIK (PTY) LTD</w:t>
      </w:r>
      <w:r w:rsidR="004B0CEE" w:rsidRPr="00EA206A">
        <w:rPr>
          <w:rFonts w:ascii="Arial" w:hAnsi="Arial" w:cs="Arial"/>
          <w:sz w:val="24"/>
          <w:szCs w:val="24"/>
        </w:rPr>
        <w:t xml:space="preserve"> to </w:t>
      </w:r>
      <w:r w:rsidR="002A75EC" w:rsidRPr="00EA206A">
        <w:rPr>
          <w:rFonts w:ascii="Arial" w:hAnsi="Arial" w:cs="Arial"/>
          <w:sz w:val="24"/>
          <w:szCs w:val="24"/>
        </w:rPr>
        <w:t xml:space="preserve">LOGIK GROUP AFRICA (PTY) LTD, with effect from 10 August 2016.  </w:t>
      </w:r>
      <w:r w:rsidR="00C34948" w:rsidRPr="00EA206A">
        <w:rPr>
          <w:rFonts w:ascii="Arial" w:hAnsi="Arial" w:cs="Arial"/>
          <w:sz w:val="24"/>
          <w:szCs w:val="24"/>
        </w:rPr>
        <w:t>A</w:t>
      </w:r>
      <w:r w:rsidR="0047137C" w:rsidRPr="00EA206A">
        <w:rPr>
          <w:rFonts w:ascii="Arial" w:hAnsi="Arial" w:cs="Arial"/>
          <w:sz w:val="24"/>
          <w:szCs w:val="24"/>
        </w:rPr>
        <w:t xml:space="preserve">pparent from </w:t>
      </w:r>
      <w:r w:rsidR="002A75EC" w:rsidRPr="00EA206A">
        <w:rPr>
          <w:rFonts w:ascii="Arial" w:hAnsi="Arial" w:cs="Arial"/>
          <w:sz w:val="24"/>
          <w:szCs w:val="24"/>
        </w:rPr>
        <w:t>the email</w:t>
      </w:r>
      <w:r w:rsidR="007E02EC" w:rsidRPr="00EA206A">
        <w:rPr>
          <w:rFonts w:ascii="Arial" w:hAnsi="Arial" w:cs="Arial"/>
          <w:sz w:val="24"/>
          <w:szCs w:val="24"/>
        </w:rPr>
        <w:t>,</w:t>
      </w:r>
      <w:r w:rsidR="002A75EC" w:rsidRPr="00EA206A">
        <w:rPr>
          <w:rFonts w:ascii="Arial" w:hAnsi="Arial" w:cs="Arial"/>
          <w:sz w:val="24"/>
          <w:szCs w:val="24"/>
        </w:rPr>
        <w:t xml:space="preserve"> </w:t>
      </w:r>
      <w:r w:rsidR="0047137C" w:rsidRPr="00EA206A">
        <w:rPr>
          <w:rFonts w:ascii="Arial" w:hAnsi="Arial" w:cs="Arial"/>
          <w:sz w:val="24"/>
          <w:szCs w:val="24"/>
        </w:rPr>
        <w:t>is that</w:t>
      </w:r>
      <w:r w:rsidR="00C34948" w:rsidRPr="00EA206A">
        <w:rPr>
          <w:rFonts w:ascii="Arial" w:hAnsi="Arial" w:cs="Arial"/>
          <w:sz w:val="24"/>
          <w:szCs w:val="24"/>
        </w:rPr>
        <w:t xml:space="preserve"> notwithstanding the company’s name change, </w:t>
      </w:r>
      <w:r w:rsidR="0047137C" w:rsidRPr="00EA206A">
        <w:rPr>
          <w:rFonts w:ascii="Arial" w:hAnsi="Arial" w:cs="Arial"/>
          <w:sz w:val="24"/>
          <w:szCs w:val="24"/>
        </w:rPr>
        <w:t xml:space="preserve"> </w:t>
      </w:r>
      <w:r w:rsidR="006A28D3" w:rsidRPr="00EA206A">
        <w:rPr>
          <w:rFonts w:ascii="Arial" w:hAnsi="Arial" w:cs="Arial"/>
          <w:sz w:val="24"/>
          <w:szCs w:val="24"/>
        </w:rPr>
        <w:t xml:space="preserve">Mr </w:t>
      </w:r>
      <w:r w:rsidR="002A75EC" w:rsidRPr="00EA206A">
        <w:rPr>
          <w:rFonts w:ascii="Arial" w:hAnsi="Arial" w:cs="Arial"/>
          <w:sz w:val="24"/>
          <w:szCs w:val="24"/>
        </w:rPr>
        <w:t>Ayerst’s email address</w:t>
      </w:r>
      <w:r w:rsidR="007E02EC" w:rsidRPr="00EA206A">
        <w:rPr>
          <w:rFonts w:ascii="Arial" w:hAnsi="Arial" w:cs="Arial"/>
          <w:sz w:val="24"/>
          <w:szCs w:val="24"/>
        </w:rPr>
        <w:t xml:space="preserve"> and the</w:t>
      </w:r>
      <w:r w:rsidR="006A28D3" w:rsidRPr="00EA206A">
        <w:rPr>
          <w:rFonts w:ascii="Arial" w:hAnsi="Arial" w:cs="Arial"/>
          <w:sz w:val="24"/>
          <w:szCs w:val="24"/>
        </w:rPr>
        <w:t xml:space="preserve"> respondent’s </w:t>
      </w:r>
      <w:r w:rsidR="007E02EC" w:rsidRPr="00EA206A">
        <w:rPr>
          <w:rFonts w:ascii="Arial" w:hAnsi="Arial" w:cs="Arial"/>
          <w:sz w:val="24"/>
          <w:szCs w:val="24"/>
        </w:rPr>
        <w:t xml:space="preserve">website address </w:t>
      </w:r>
      <w:r w:rsidR="00AF1E92" w:rsidRPr="00EA206A">
        <w:rPr>
          <w:rFonts w:ascii="Arial" w:hAnsi="Arial" w:cs="Arial"/>
          <w:sz w:val="24"/>
          <w:szCs w:val="24"/>
        </w:rPr>
        <w:t xml:space="preserve">remained </w:t>
      </w:r>
      <w:r w:rsidR="007E02EC" w:rsidRPr="00EA206A">
        <w:rPr>
          <w:rFonts w:ascii="Arial" w:hAnsi="Arial" w:cs="Arial"/>
          <w:sz w:val="24"/>
          <w:szCs w:val="24"/>
        </w:rPr>
        <w:t>stephen@firelogik.co.za and www.firelogik.co.za respectively</w:t>
      </w:r>
      <w:r w:rsidR="00223DC0" w:rsidRPr="00EA206A">
        <w:rPr>
          <w:rFonts w:ascii="Arial" w:hAnsi="Arial" w:cs="Arial"/>
          <w:sz w:val="24"/>
          <w:szCs w:val="24"/>
        </w:rPr>
        <w:t>.  Accordingly, the respondent continued to utilise the name</w:t>
      </w:r>
      <w:r w:rsidR="00223DC0" w:rsidRPr="00EA206A">
        <w:rPr>
          <w:rFonts w:ascii="Arial" w:hAnsi="Arial" w:cs="Arial"/>
          <w:b/>
          <w:bCs/>
          <w:sz w:val="24"/>
          <w:szCs w:val="24"/>
        </w:rPr>
        <w:t xml:space="preserve"> FIRELOGIK</w:t>
      </w:r>
      <w:r w:rsidR="00317F2A" w:rsidRPr="00EA206A">
        <w:rPr>
          <w:rFonts w:ascii="Arial" w:hAnsi="Arial" w:cs="Arial"/>
          <w:b/>
          <w:bCs/>
          <w:sz w:val="24"/>
          <w:szCs w:val="24"/>
        </w:rPr>
        <w:t xml:space="preserve"> </w:t>
      </w:r>
      <w:r w:rsidR="00317F2A" w:rsidRPr="00EA206A">
        <w:rPr>
          <w:rFonts w:ascii="Arial" w:hAnsi="Arial" w:cs="Arial"/>
          <w:sz w:val="24"/>
          <w:szCs w:val="24"/>
        </w:rPr>
        <w:t>for trading purposes</w:t>
      </w:r>
      <w:r w:rsidR="007E02EC" w:rsidRPr="00EA206A">
        <w:rPr>
          <w:rFonts w:ascii="Arial" w:hAnsi="Arial" w:cs="Arial"/>
          <w:sz w:val="24"/>
          <w:szCs w:val="24"/>
        </w:rPr>
        <w:t>.</w:t>
      </w:r>
    </w:p>
    <w:p w14:paraId="1E37A85D" w14:textId="039F641F" w:rsidR="000D2F60" w:rsidRDefault="000D2F60" w:rsidP="000D2F60">
      <w:pPr>
        <w:pStyle w:val="ListParagraph"/>
        <w:spacing w:after="0" w:line="480" w:lineRule="auto"/>
        <w:ind w:left="851"/>
        <w:jc w:val="both"/>
        <w:rPr>
          <w:rFonts w:ascii="Arial" w:hAnsi="Arial" w:cs="Arial"/>
          <w:sz w:val="24"/>
          <w:szCs w:val="24"/>
        </w:rPr>
      </w:pPr>
    </w:p>
    <w:p w14:paraId="7912D147" w14:textId="2B1B8442" w:rsidR="00C14533"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7159E" w:rsidRPr="00EA206A">
        <w:rPr>
          <w:rFonts w:ascii="Arial" w:hAnsi="Arial" w:cs="Arial"/>
          <w:sz w:val="24"/>
          <w:szCs w:val="24"/>
        </w:rPr>
        <w:t>Thereafter, all was seemingly quiet for a period of two years</w:t>
      </w:r>
      <w:r w:rsidR="00EA24B5" w:rsidRPr="00EA206A">
        <w:rPr>
          <w:rFonts w:ascii="Arial" w:hAnsi="Arial" w:cs="Arial"/>
          <w:sz w:val="24"/>
          <w:szCs w:val="24"/>
        </w:rPr>
        <w:t xml:space="preserve"> until the applicant,</w:t>
      </w:r>
      <w:r w:rsidR="000D2F60" w:rsidRPr="00EA206A">
        <w:rPr>
          <w:rFonts w:ascii="Arial" w:hAnsi="Arial" w:cs="Arial"/>
          <w:sz w:val="24"/>
          <w:szCs w:val="24"/>
        </w:rPr>
        <w:t xml:space="preserve"> on 30 April 2019, caused further correspondence to be directed to the respondent</w:t>
      </w:r>
      <w:r w:rsidR="00BF1FC1" w:rsidRPr="00EA206A">
        <w:rPr>
          <w:rFonts w:ascii="Arial" w:hAnsi="Arial" w:cs="Arial"/>
          <w:sz w:val="24"/>
          <w:szCs w:val="24"/>
        </w:rPr>
        <w:t>,</w:t>
      </w:r>
      <w:r w:rsidR="000D2F60" w:rsidRPr="00EA206A">
        <w:rPr>
          <w:rFonts w:ascii="Arial" w:hAnsi="Arial" w:cs="Arial"/>
          <w:sz w:val="24"/>
          <w:szCs w:val="24"/>
        </w:rPr>
        <w:t xml:space="preserve"> contend</w:t>
      </w:r>
      <w:r w:rsidR="00BF1FC1" w:rsidRPr="00EA206A">
        <w:rPr>
          <w:rFonts w:ascii="Arial" w:hAnsi="Arial" w:cs="Arial"/>
          <w:sz w:val="24"/>
          <w:szCs w:val="24"/>
        </w:rPr>
        <w:t>ing</w:t>
      </w:r>
      <w:r w:rsidR="000D2F60" w:rsidRPr="00EA206A">
        <w:rPr>
          <w:rFonts w:ascii="Arial" w:hAnsi="Arial" w:cs="Arial"/>
          <w:sz w:val="24"/>
          <w:szCs w:val="24"/>
        </w:rPr>
        <w:t xml:space="preserve">, </w:t>
      </w:r>
      <w:r w:rsidR="000D2F60" w:rsidRPr="00EA206A">
        <w:rPr>
          <w:rFonts w:ascii="Arial" w:hAnsi="Arial" w:cs="Arial"/>
          <w:i/>
          <w:iCs/>
          <w:sz w:val="24"/>
          <w:szCs w:val="24"/>
        </w:rPr>
        <w:t>inter alia</w:t>
      </w:r>
      <w:r w:rsidR="000D2F60" w:rsidRPr="00EA206A">
        <w:rPr>
          <w:rFonts w:ascii="Arial" w:hAnsi="Arial" w:cs="Arial"/>
          <w:sz w:val="24"/>
          <w:szCs w:val="24"/>
        </w:rPr>
        <w:t xml:space="preserve">, that the respondent had failed to give effect </w:t>
      </w:r>
      <w:r w:rsidR="000D2F60" w:rsidRPr="00EA206A">
        <w:rPr>
          <w:rFonts w:ascii="Arial" w:hAnsi="Arial" w:cs="Arial"/>
          <w:sz w:val="24"/>
          <w:szCs w:val="24"/>
        </w:rPr>
        <w:lastRenderedPageBreak/>
        <w:t xml:space="preserve">to </w:t>
      </w:r>
      <w:r w:rsidR="00A95AB1" w:rsidRPr="00EA206A">
        <w:rPr>
          <w:rFonts w:ascii="Arial" w:hAnsi="Arial" w:cs="Arial"/>
          <w:sz w:val="24"/>
          <w:szCs w:val="24"/>
        </w:rPr>
        <w:t xml:space="preserve">its name change and that </w:t>
      </w:r>
      <w:r w:rsidR="00EA24B5" w:rsidRPr="00EA206A">
        <w:rPr>
          <w:rFonts w:ascii="Arial" w:hAnsi="Arial" w:cs="Arial"/>
          <w:sz w:val="24"/>
          <w:szCs w:val="24"/>
        </w:rPr>
        <w:t>the applicant</w:t>
      </w:r>
      <w:r w:rsidR="00A95AB1" w:rsidRPr="00EA206A">
        <w:rPr>
          <w:rFonts w:ascii="Arial" w:hAnsi="Arial" w:cs="Arial"/>
          <w:sz w:val="24"/>
          <w:szCs w:val="24"/>
        </w:rPr>
        <w:t xml:space="preserve"> had erroneously received purchase orders from Pick ‘n Pay, which were meant for the respondent.</w:t>
      </w:r>
      <w:r w:rsidR="004D1F4C">
        <w:rPr>
          <w:rStyle w:val="FootnoteReference"/>
          <w:rFonts w:ascii="Arial" w:hAnsi="Arial" w:cs="Arial"/>
          <w:sz w:val="24"/>
          <w:szCs w:val="24"/>
        </w:rPr>
        <w:footnoteReference w:id="4"/>
      </w:r>
      <w:r w:rsidR="00A95AB1" w:rsidRPr="00EA206A">
        <w:rPr>
          <w:rFonts w:ascii="Arial" w:hAnsi="Arial" w:cs="Arial"/>
          <w:sz w:val="24"/>
          <w:szCs w:val="24"/>
        </w:rPr>
        <w:t xml:space="preserve">  </w:t>
      </w:r>
    </w:p>
    <w:p w14:paraId="61F38D2C" w14:textId="77777777" w:rsidR="00C14533" w:rsidRPr="00C14533" w:rsidRDefault="00C14533" w:rsidP="00DC0542">
      <w:pPr>
        <w:pStyle w:val="ListParagraph"/>
        <w:spacing w:after="0" w:line="480" w:lineRule="auto"/>
        <w:rPr>
          <w:rFonts w:ascii="Arial" w:hAnsi="Arial" w:cs="Arial"/>
          <w:sz w:val="24"/>
          <w:szCs w:val="24"/>
        </w:rPr>
      </w:pPr>
    </w:p>
    <w:p w14:paraId="7A51E768" w14:textId="7A7D877A" w:rsidR="00E24C01"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95AB1" w:rsidRPr="00EA206A">
        <w:rPr>
          <w:rFonts w:ascii="Arial" w:hAnsi="Arial" w:cs="Arial"/>
          <w:sz w:val="24"/>
          <w:szCs w:val="24"/>
        </w:rPr>
        <w:t xml:space="preserve">The respondent, </w:t>
      </w:r>
      <w:r w:rsidR="00B67508" w:rsidRPr="00EA206A">
        <w:rPr>
          <w:rFonts w:ascii="Arial" w:hAnsi="Arial" w:cs="Arial"/>
          <w:sz w:val="24"/>
          <w:szCs w:val="24"/>
        </w:rPr>
        <w:t xml:space="preserve">on the strength </w:t>
      </w:r>
      <w:r w:rsidR="00A95AB1" w:rsidRPr="00EA206A">
        <w:rPr>
          <w:rFonts w:ascii="Arial" w:hAnsi="Arial" w:cs="Arial"/>
          <w:sz w:val="24"/>
          <w:szCs w:val="24"/>
        </w:rPr>
        <w:t>o</w:t>
      </w:r>
      <w:r w:rsidR="00B67508" w:rsidRPr="00EA206A">
        <w:rPr>
          <w:rFonts w:ascii="Arial" w:hAnsi="Arial" w:cs="Arial"/>
          <w:sz w:val="24"/>
          <w:szCs w:val="24"/>
        </w:rPr>
        <w:t xml:space="preserve">f its amended registration certificate, </w:t>
      </w:r>
      <w:r w:rsidR="00A95AB1" w:rsidRPr="00EA206A">
        <w:rPr>
          <w:rFonts w:ascii="Arial" w:hAnsi="Arial" w:cs="Arial"/>
          <w:sz w:val="24"/>
          <w:szCs w:val="24"/>
        </w:rPr>
        <w:t>denied</w:t>
      </w:r>
      <w:r w:rsidR="00DC0542" w:rsidRPr="00EA206A">
        <w:rPr>
          <w:rFonts w:ascii="Arial" w:hAnsi="Arial" w:cs="Arial"/>
          <w:sz w:val="24"/>
          <w:szCs w:val="24"/>
        </w:rPr>
        <w:t xml:space="preserve"> having failed to give effect to the company’s name change and </w:t>
      </w:r>
      <w:r w:rsidR="00E91C60" w:rsidRPr="00EA206A">
        <w:rPr>
          <w:rFonts w:ascii="Arial" w:hAnsi="Arial" w:cs="Arial"/>
          <w:sz w:val="24"/>
          <w:szCs w:val="24"/>
        </w:rPr>
        <w:t xml:space="preserve">further contended </w:t>
      </w:r>
      <w:r w:rsidR="00DC0542" w:rsidRPr="00EA206A">
        <w:rPr>
          <w:rFonts w:ascii="Arial" w:hAnsi="Arial" w:cs="Arial"/>
          <w:sz w:val="24"/>
          <w:szCs w:val="24"/>
        </w:rPr>
        <w:t xml:space="preserve">that </w:t>
      </w:r>
      <w:r w:rsidR="00E91C60" w:rsidRPr="00EA206A">
        <w:rPr>
          <w:rFonts w:ascii="Arial" w:hAnsi="Arial" w:cs="Arial"/>
          <w:sz w:val="24"/>
          <w:szCs w:val="24"/>
        </w:rPr>
        <w:t>it</w:t>
      </w:r>
      <w:r w:rsidR="00DC0542" w:rsidRPr="00EA206A">
        <w:rPr>
          <w:rFonts w:ascii="Arial" w:hAnsi="Arial" w:cs="Arial"/>
          <w:sz w:val="24"/>
          <w:szCs w:val="24"/>
        </w:rPr>
        <w:t xml:space="preserve"> had no dealings with Pick ‘n Pay in the Eastern and Western Cape regions</w:t>
      </w:r>
      <w:r w:rsidR="00A95AB1" w:rsidRPr="00EA206A">
        <w:rPr>
          <w:rFonts w:ascii="Arial" w:hAnsi="Arial" w:cs="Arial"/>
          <w:sz w:val="24"/>
          <w:szCs w:val="24"/>
        </w:rPr>
        <w:t xml:space="preserve">.  </w:t>
      </w:r>
      <w:r w:rsidR="00E24C01" w:rsidRPr="00EA206A">
        <w:rPr>
          <w:rFonts w:ascii="Arial" w:hAnsi="Arial" w:cs="Arial"/>
          <w:sz w:val="24"/>
          <w:szCs w:val="24"/>
        </w:rPr>
        <w:t>A</w:t>
      </w:r>
      <w:r w:rsidR="00B67508" w:rsidRPr="00EA206A">
        <w:rPr>
          <w:rFonts w:ascii="Arial" w:hAnsi="Arial" w:cs="Arial"/>
          <w:sz w:val="24"/>
          <w:szCs w:val="24"/>
        </w:rPr>
        <w:t>pparent</w:t>
      </w:r>
      <w:r w:rsidR="00E24C01" w:rsidRPr="00EA206A">
        <w:rPr>
          <w:rFonts w:ascii="Arial" w:hAnsi="Arial" w:cs="Arial"/>
          <w:sz w:val="24"/>
          <w:szCs w:val="24"/>
        </w:rPr>
        <w:t>,</w:t>
      </w:r>
      <w:r w:rsidR="00B67508" w:rsidRPr="00EA206A">
        <w:rPr>
          <w:rFonts w:ascii="Arial" w:hAnsi="Arial" w:cs="Arial"/>
          <w:sz w:val="24"/>
          <w:szCs w:val="24"/>
        </w:rPr>
        <w:t xml:space="preserve"> </w:t>
      </w:r>
      <w:r w:rsidR="00B67508" w:rsidRPr="00EA206A">
        <w:rPr>
          <w:rFonts w:ascii="Arial" w:hAnsi="Arial" w:cs="Arial"/>
          <w:i/>
          <w:iCs/>
          <w:sz w:val="24"/>
          <w:szCs w:val="24"/>
        </w:rPr>
        <w:t>ex facie</w:t>
      </w:r>
      <w:r w:rsidR="00B67508" w:rsidRPr="00EA206A">
        <w:rPr>
          <w:rFonts w:ascii="Arial" w:hAnsi="Arial" w:cs="Arial"/>
          <w:sz w:val="24"/>
          <w:szCs w:val="24"/>
        </w:rPr>
        <w:t xml:space="preserve"> the </w:t>
      </w:r>
      <w:r w:rsidR="00C077EE" w:rsidRPr="00EA206A">
        <w:rPr>
          <w:rFonts w:ascii="Arial" w:hAnsi="Arial" w:cs="Arial"/>
          <w:sz w:val="24"/>
          <w:szCs w:val="24"/>
        </w:rPr>
        <w:t xml:space="preserve">respondent’s </w:t>
      </w:r>
      <w:r w:rsidR="00E24C01" w:rsidRPr="00EA206A">
        <w:rPr>
          <w:rFonts w:ascii="Arial" w:hAnsi="Arial" w:cs="Arial"/>
          <w:sz w:val="24"/>
          <w:szCs w:val="24"/>
        </w:rPr>
        <w:t>letterhead</w:t>
      </w:r>
      <w:r w:rsidR="00C077EE" w:rsidRPr="00EA206A">
        <w:rPr>
          <w:rFonts w:ascii="Arial" w:hAnsi="Arial" w:cs="Arial"/>
          <w:sz w:val="24"/>
          <w:szCs w:val="24"/>
        </w:rPr>
        <w:t xml:space="preserve"> </w:t>
      </w:r>
      <w:r w:rsidR="00E24C01" w:rsidRPr="00EA206A">
        <w:rPr>
          <w:rFonts w:ascii="Arial" w:hAnsi="Arial" w:cs="Arial"/>
          <w:sz w:val="24"/>
          <w:szCs w:val="24"/>
        </w:rPr>
        <w:t>on 13 May 2019,</w:t>
      </w:r>
      <w:r w:rsidR="00F447A4" w:rsidRPr="00EA206A">
        <w:rPr>
          <w:rFonts w:ascii="Arial" w:hAnsi="Arial" w:cs="Arial"/>
          <w:sz w:val="24"/>
          <w:szCs w:val="24"/>
        </w:rPr>
        <w:t xml:space="preserve"> is that the respondent</w:t>
      </w:r>
      <w:r w:rsidR="00DC0542" w:rsidRPr="00EA206A">
        <w:rPr>
          <w:rFonts w:ascii="Arial" w:hAnsi="Arial" w:cs="Arial"/>
          <w:sz w:val="24"/>
          <w:szCs w:val="24"/>
        </w:rPr>
        <w:t xml:space="preserve"> continued to</w:t>
      </w:r>
      <w:r w:rsidR="00F447A4" w:rsidRPr="00EA206A">
        <w:rPr>
          <w:rFonts w:ascii="Arial" w:hAnsi="Arial" w:cs="Arial"/>
          <w:sz w:val="24"/>
          <w:szCs w:val="24"/>
        </w:rPr>
        <w:t>: (i)</w:t>
      </w:r>
      <w:r w:rsidR="00DC0542" w:rsidRPr="00EA206A">
        <w:rPr>
          <w:rFonts w:ascii="Arial" w:hAnsi="Arial" w:cs="Arial"/>
          <w:sz w:val="24"/>
          <w:szCs w:val="24"/>
        </w:rPr>
        <w:t xml:space="preserve"> trade under the name and style of </w:t>
      </w:r>
      <w:r w:rsidR="00DC0542" w:rsidRPr="00EA206A">
        <w:rPr>
          <w:rFonts w:ascii="Arial" w:hAnsi="Arial" w:cs="Arial"/>
          <w:b/>
          <w:bCs/>
          <w:sz w:val="24"/>
          <w:szCs w:val="24"/>
        </w:rPr>
        <w:t>FIRELOGIK</w:t>
      </w:r>
      <w:r w:rsidR="00F447A4" w:rsidRPr="00EA206A">
        <w:rPr>
          <w:rFonts w:ascii="Arial" w:hAnsi="Arial" w:cs="Arial"/>
          <w:sz w:val="24"/>
          <w:szCs w:val="24"/>
        </w:rPr>
        <w:t>; and (ii)</w:t>
      </w:r>
      <w:r w:rsidR="00E24C01" w:rsidRPr="00EA206A">
        <w:rPr>
          <w:rFonts w:ascii="Arial" w:hAnsi="Arial" w:cs="Arial"/>
          <w:sz w:val="24"/>
          <w:szCs w:val="24"/>
        </w:rPr>
        <w:t xml:space="preserve"> </w:t>
      </w:r>
      <w:r w:rsidR="00ED79BD" w:rsidRPr="00EA206A">
        <w:rPr>
          <w:rFonts w:ascii="Arial" w:hAnsi="Arial" w:cs="Arial"/>
          <w:sz w:val="24"/>
          <w:szCs w:val="24"/>
        </w:rPr>
        <w:t>utilise the</w:t>
      </w:r>
      <w:r w:rsidR="00E24C01" w:rsidRPr="00EA206A">
        <w:rPr>
          <w:rFonts w:ascii="Arial" w:hAnsi="Arial" w:cs="Arial"/>
          <w:sz w:val="24"/>
          <w:szCs w:val="24"/>
        </w:rPr>
        <w:t xml:space="preserve"> email address, info@firelogik</w:t>
      </w:r>
      <w:r w:rsidR="00F447A4" w:rsidRPr="00EA206A">
        <w:rPr>
          <w:rFonts w:ascii="Arial" w:hAnsi="Arial" w:cs="Arial"/>
          <w:sz w:val="24"/>
          <w:szCs w:val="24"/>
        </w:rPr>
        <w:t>, notwithstanding the change to its registered name</w:t>
      </w:r>
      <w:r w:rsidR="00DC0542" w:rsidRPr="00EA206A">
        <w:rPr>
          <w:rFonts w:ascii="Arial" w:hAnsi="Arial" w:cs="Arial"/>
          <w:sz w:val="24"/>
          <w:szCs w:val="24"/>
        </w:rPr>
        <w:t>.</w:t>
      </w:r>
      <w:r w:rsidR="00E24C01" w:rsidRPr="00EA206A">
        <w:rPr>
          <w:rFonts w:ascii="Arial" w:hAnsi="Arial" w:cs="Arial"/>
          <w:sz w:val="24"/>
          <w:szCs w:val="24"/>
        </w:rPr>
        <w:t xml:space="preserve">  </w:t>
      </w:r>
      <w:r w:rsidR="00BD63DA" w:rsidRPr="00EA206A">
        <w:rPr>
          <w:rFonts w:ascii="Arial" w:hAnsi="Arial" w:cs="Arial"/>
          <w:sz w:val="24"/>
          <w:szCs w:val="24"/>
        </w:rPr>
        <w:t xml:space="preserve">The respondent’s company is identified as follows on the letterhead under discussion: </w:t>
      </w:r>
    </w:p>
    <w:p w14:paraId="332776B8" w14:textId="77777777" w:rsidR="00E24C01" w:rsidRPr="00E24C01" w:rsidRDefault="00E24C01" w:rsidP="00E24C01">
      <w:pPr>
        <w:pStyle w:val="ListParagraph"/>
        <w:rPr>
          <w:rFonts w:ascii="Arial" w:hAnsi="Arial" w:cs="Arial"/>
          <w:sz w:val="24"/>
          <w:szCs w:val="24"/>
        </w:rPr>
      </w:pPr>
    </w:p>
    <w:p w14:paraId="51B1237F" w14:textId="267C1527" w:rsidR="00B9286D" w:rsidRPr="00102107" w:rsidRDefault="00102107" w:rsidP="00E24C01">
      <w:pPr>
        <w:pStyle w:val="ListParagraph"/>
        <w:spacing w:after="0" w:line="480" w:lineRule="auto"/>
        <w:ind w:left="851"/>
        <w:jc w:val="both"/>
        <w:rPr>
          <w:rFonts w:ascii="Arial" w:hAnsi="Arial" w:cs="Arial"/>
          <w:sz w:val="24"/>
          <w:szCs w:val="24"/>
        </w:rPr>
      </w:pPr>
      <w:r>
        <w:rPr>
          <w:rFonts w:ascii="Arial" w:hAnsi="Arial" w:cs="Arial"/>
          <w:sz w:val="24"/>
          <w:szCs w:val="24"/>
        </w:rPr>
        <w:t xml:space="preserve">                </w:t>
      </w:r>
      <w:r w:rsidR="00AC231C">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lang w:val="en-US"/>
        </w:rPr>
        <w:drawing>
          <wp:inline distT="0" distB="0" distL="0" distR="0" wp14:anchorId="66CC97C6" wp14:editId="27BFB034">
            <wp:extent cx="2819400" cy="96625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8636" cy="989981"/>
                    </a:xfrm>
                    <a:prstGeom prst="rect">
                      <a:avLst/>
                    </a:prstGeom>
                  </pic:spPr>
                </pic:pic>
              </a:graphicData>
            </a:graphic>
          </wp:inline>
        </w:drawing>
      </w:r>
    </w:p>
    <w:p w14:paraId="31AD8DE1" w14:textId="77777777" w:rsidR="00AC231C" w:rsidRDefault="00AC231C" w:rsidP="00AC231C">
      <w:pPr>
        <w:pStyle w:val="ListParagraph"/>
        <w:spacing w:after="0" w:line="240" w:lineRule="auto"/>
        <w:ind w:left="851"/>
        <w:jc w:val="both"/>
        <w:rPr>
          <w:rFonts w:ascii="Arial" w:hAnsi="Arial" w:cs="Arial"/>
          <w:sz w:val="24"/>
          <w:szCs w:val="24"/>
        </w:rPr>
      </w:pPr>
    </w:p>
    <w:p w14:paraId="67269220" w14:textId="62B502F7" w:rsidR="00C21F2A"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55A6A" w:rsidRPr="00EA206A">
        <w:rPr>
          <w:rFonts w:ascii="Arial" w:hAnsi="Arial" w:cs="Arial"/>
          <w:sz w:val="24"/>
          <w:szCs w:val="24"/>
        </w:rPr>
        <w:t>I</w:t>
      </w:r>
      <w:r w:rsidR="0035690E" w:rsidRPr="00EA206A">
        <w:rPr>
          <w:rFonts w:ascii="Arial" w:hAnsi="Arial" w:cs="Arial"/>
          <w:sz w:val="24"/>
          <w:szCs w:val="24"/>
        </w:rPr>
        <w:t>t is the applicant’s case that</w:t>
      </w:r>
      <w:r w:rsidR="00C426D1" w:rsidRPr="00EA206A">
        <w:rPr>
          <w:rFonts w:ascii="Arial" w:hAnsi="Arial" w:cs="Arial"/>
          <w:sz w:val="24"/>
          <w:szCs w:val="24"/>
        </w:rPr>
        <w:t xml:space="preserve"> in October 2020,</w:t>
      </w:r>
      <w:r w:rsidR="00C21F2A" w:rsidRPr="00EA206A">
        <w:rPr>
          <w:rFonts w:ascii="Arial" w:hAnsi="Arial" w:cs="Arial"/>
          <w:sz w:val="24"/>
          <w:szCs w:val="24"/>
        </w:rPr>
        <w:t xml:space="preserve"> </w:t>
      </w:r>
      <w:r w:rsidR="00F44A8D" w:rsidRPr="00EA206A">
        <w:rPr>
          <w:rFonts w:ascii="Arial" w:hAnsi="Arial" w:cs="Arial"/>
          <w:sz w:val="24"/>
          <w:szCs w:val="24"/>
        </w:rPr>
        <w:t>it</w:t>
      </w:r>
      <w:r w:rsidR="00C21F2A" w:rsidRPr="00EA206A">
        <w:rPr>
          <w:rFonts w:ascii="Arial" w:hAnsi="Arial" w:cs="Arial"/>
          <w:sz w:val="24"/>
          <w:szCs w:val="24"/>
        </w:rPr>
        <w:t xml:space="preserve"> established that the respondent was trading in the Eastern Cape under the name </w:t>
      </w:r>
      <w:r w:rsidR="00C21F2A" w:rsidRPr="00EA206A">
        <w:rPr>
          <w:rFonts w:ascii="Arial" w:hAnsi="Arial" w:cs="Arial"/>
          <w:b/>
          <w:bCs/>
          <w:sz w:val="24"/>
          <w:szCs w:val="24"/>
        </w:rPr>
        <w:t>FIRELOGIK</w:t>
      </w:r>
      <w:r w:rsidR="00C21F2A" w:rsidRPr="00EA206A">
        <w:rPr>
          <w:rFonts w:ascii="Arial" w:hAnsi="Arial" w:cs="Arial"/>
          <w:sz w:val="24"/>
          <w:szCs w:val="24"/>
        </w:rPr>
        <w:t xml:space="preserve">.  This again ignited </w:t>
      </w:r>
      <w:r w:rsidR="00F55A6A" w:rsidRPr="00EA206A">
        <w:rPr>
          <w:rFonts w:ascii="Arial" w:hAnsi="Arial" w:cs="Arial"/>
          <w:sz w:val="24"/>
          <w:szCs w:val="24"/>
        </w:rPr>
        <w:t>an</w:t>
      </w:r>
      <w:r w:rsidR="00C21F2A" w:rsidRPr="00EA206A">
        <w:rPr>
          <w:rFonts w:ascii="Arial" w:hAnsi="Arial" w:cs="Arial"/>
          <w:sz w:val="24"/>
          <w:szCs w:val="24"/>
        </w:rPr>
        <w:t xml:space="preserve"> exchange of correspondence between the parties</w:t>
      </w:r>
      <w:r w:rsidR="00C426D1" w:rsidRPr="00EA206A">
        <w:rPr>
          <w:rFonts w:ascii="Arial" w:hAnsi="Arial" w:cs="Arial"/>
          <w:sz w:val="24"/>
          <w:szCs w:val="24"/>
        </w:rPr>
        <w:t xml:space="preserve">.  </w:t>
      </w:r>
      <w:r w:rsidR="00387AA6" w:rsidRPr="00EA206A">
        <w:rPr>
          <w:rFonts w:ascii="Arial" w:hAnsi="Arial" w:cs="Arial"/>
          <w:sz w:val="24"/>
          <w:szCs w:val="24"/>
        </w:rPr>
        <w:t>T</w:t>
      </w:r>
      <w:r w:rsidR="007F6183" w:rsidRPr="00EA206A">
        <w:rPr>
          <w:rFonts w:ascii="Arial" w:hAnsi="Arial" w:cs="Arial"/>
          <w:sz w:val="24"/>
          <w:szCs w:val="24"/>
        </w:rPr>
        <w:t>he respondent</w:t>
      </w:r>
      <w:r w:rsidR="00387AA6" w:rsidRPr="00EA206A">
        <w:rPr>
          <w:rFonts w:ascii="Arial" w:hAnsi="Arial" w:cs="Arial"/>
          <w:sz w:val="24"/>
          <w:szCs w:val="24"/>
        </w:rPr>
        <w:t>’s stance was that:</w:t>
      </w:r>
      <w:r w:rsidR="007F6183" w:rsidRPr="00EA206A">
        <w:rPr>
          <w:rFonts w:ascii="Arial" w:hAnsi="Arial" w:cs="Arial"/>
          <w:sz w:val="24"/>
          <w:szCs w:val="24"/>
        </w:rPr>
        <w:t xml:space="preserve"> (i) </w:t>
      </w:r>
      <w:r w:rsidR="00387AA6" w:rsidRPr="00EA206A">
        <w:rPr>
          <w:rFonts w:ascii="Arial" w:hAnsi="Arial" w:cs="Arial"/>
          <w:sz w:val="24"/>
          <w:szCs w:val="24"/>
        </w:rPr>
        <w:t xml:space="preserve">it had, </w:t>
      </w:r>
      <w:r w:rsidR="007F6183" w:rsidRPr="00EA206A">
        <w:rPr>
          <w:rFonts w:ascii="Arial" w:hAnsi="Arial" w:cs="Arial"/>
          <w:sz w:val="24"/>
          <w:szCs w:val="24"/>
        </w:rPr>
        <w:t>at no time</w:t>
      </w:r>
      <w:r w:rsidR="00387AA6" w:rsidRPr="00EA206A">
        <w:rPr>
          <w:rFonts w:ascii="Arial" w:hAnsi="Arial" w:cs="Arial"/>
          <w:sz w:val="24"/>
          <w:szCs w:val="24"/>
        </w:rPr>
        <w:t>,</w:t>
      </w:r>
      <w:r w:rsidR="007F6183" w:rsidRPr="00EA206A">
        <w:rPr>
          <w:rFonts w:ascii="Arial" w:hAnsi="Arial" w:cs="Arial"/>
          <w:sz w:val="24"/>
          <w:szCs w:val="24"/>
        </w:rPr>
        <w:t xml:space="preserve"> represented that its business </w:t>
      </w:r>
      <w:r w:rsidR="00387AA6" w:rsidRPr="00EA206A">
        <w:rPr>
          <w:rFonts w:ascii="Arial" w:hAnsi="Arial" w:cs="Arial"/>
          <w:sz w:val="24"/>
          <w:szCs w:val="24"/>
        </w:rPr>
        <w:t>was</w:t>
      </w:r>
      <w:r w:rsidR="007F6183" w:rsidRPr="00EA206A">
        <w:rPr>
          <w:rFonts w:ascii="Arial" w:hAnsi="Arial" w:cs="Arial"/>
          <w:sz w:val="24"/>
          <w:szCs w:val="24"/>
        </w:rPr>
        <w:t xml:space="preserve"> that of the applicant; (ii) its letter head identifies the respondent as LOGIK GROUP AFRICA (PTY) LTD T/A </w:t>
      </w:r>
      <w:r w:rsidR="007F6183" w:rsidRPr="00EA206A">
        <w:rPr>
          <w:rFonts w:ascii="Arial" w:hAnsi="Arial" w:cs="Arial"/>
          <w:b/>
          <w:bCs/>
          <w:sz w:val="24"/>
          <w:szCs w:val="24"/>
        </w:rPr>
        <w:t>FIRELOGIK</w:t>
      </w:r>
      <w:r w:rsidR="007F6183" w:rsidRPr="00EA206A">
        <w:rPr>
          <w:rFonts w:ascii="Arial" w:hAnsi="Arial" w:cs="Arial"/>
          <w:sz w:val="24"/>
          <w:szCs w:val="24"/>
        </w:rPr>
        <w:t>; (iii)</w:t>
      </w:r>
      <w:r w:rsidR="00C21F2A" w:rsidRPr="00EA206A">
        <w:rPr>
          <w:rFonts w:ascii="Arial" w:hAnsi="Arial" w:cs="Arial"/>
          <w:sz w:val="24"/>
          <w:szCs w:val="24"/>
        </w:rPr>
        <w:t xml:space="preserve"> the respondent </w:t>
      </w:r>
      <w:r w:rsidR="00C21F2A" w:rsidRPr="00EA206A">
        <w:rPr>
          <w:rFonts w:ascii="Arial" w:hAnsi="Arial" w:cs="Arial"/>
          <w:sz w:val="24"/>
          <w:szCs w:val="24"/>
        </w:rPr>
        <w:lastRenderedPageBreak/>
        <w:t xml:space="preserve">had been awarded a project with Makro in Gqeberha </w:t>
      </w:r>
      <w:r w:rsidR="00387AA6" w:rsidRPr="00EA206A">
        <w:rPr>
          <w:rFonts w:ascii="Arial" w:hAnsi="Arial" w:cs="Arial"/>
          <w:sz w:val="24"/>
          <w:szCs w:val="24"/>
        </w:rPr>
        <w:t xml:space="preserve">based on </w:t>
      </w:r>
      <w:r w:rsidR="00C21F2A" w:rsidRPr="00EA206A">
        <w:rPr>
          <w:rFonts w:ascii="Arial" w:hAnsi="Arial" w:cs="Arial"/>
          <w:sz w:val="24"/>
          <w:szCs w:val="24"/>
        </w:rPr>
        <w:t xml:space="preserve">an existing relationship between the respondent and the fire consultant employed by Makro; (iv) </w:t>
      </w:r>
      <w:r w:rsidR="00387AA6" w:rsidRPr="00EA206A">
        <w:rPr>
          <w:rFonts w:ascii="Arial" w:hAnsi="Arial" w:cs="Arial"/>
          <w:sz w:val="24"/>
          <w:szCs w:val="24"/>
        </w:rPr>
        <w:t>it had</w:t>
      </w:r>
      <w:r w:rsidR="006D458B" w:rsidRPr="00EA206A">
        <w:rPr>
          <w:rFonts w:ascii="Arial" w:hAnsi="Arial" w:cs="Arial"/>
          <w:sz w:val="24"/>
          <w:szCs w:val="24"/>
        </w:rPr>
        <w:t xml:space="preserve">, with effect from 28 October 2020, registered </w:t>
      </w:r>
      <w:r w:rsidR="00C21F2A" w:rsidRPr="00EA206A">
        <w:rPr>
          <w:rFonts w:ascii="Arial" w:hAnsi="Arial" w:cs="Arial"/>
          <w:sz w:val="24"/>
          <w:szCs w:val="24"/>
        </w:rPr>
        <w:t>a new juristic entity, Logik Group Africa East Cape (Pty) Ltd, which would operate exclusively in the Eastern and Western Cape</w:t>
      </w:r>
      <w:r w:rsidR="003E123A" w:rsidRPr="00EA206A">
        <w:rPr>
          <w:rFonts w:ascii="Arial" w:hAnsi="Arial" w:cs="Arial"/>
          <w:sz w:val="24"/>
          <w:szCs w:val="24"/>
        </w:rPr>
        <w:t xml:space="preserve"> regions</w:t>
      </w:r>
      <w:r w:rsidR="00C21F2A" w:rsidRPr="00EA206A">
        <w:rPr>
          <w:rFonts w:ascii="Arial" w:hAnsi="Arial" w:cs="Arial"/>
          <w:sz w:val="24"/>
          <w:szCs w:val="24"/>
        </w:rPr>
        <w:t>, to the</w:t>
      </w:r>
      <w:r w:rsidR="00C446BB" w:rsidRPr="00EA206A">
        <w:rPr>
          <w:rFonts w:ascii="Arial" w:hAnsi="Arial" w:cs="Arial"/>
          <w:sz w:val="24"/>
          <w:szCs w:val="24"/>
        </w:rPr>
        <w:t xml:space="preserve"> exclusion of the</w:t>
      </w:r>
      <w:r w:rsidR="00C21F2A" w:rsidRPr="00EA206A">
        <w:rPr>
          <w:rFonts w:ascii="Arial" w:hAnsi="Arial" w:cs="Arial"/>
          <w:sz w:val="24"/>
          <w:szCs w:val="24"/>
        </w:rPr>
        <w:t xml:space="preserve"> respondent</w:t>
      </w:r>
      <w:r w:rsidR="001733EA" w:rsidRPr="00EA206A">
        <w:rPr>
          <w:rFonts w:ascii="Arial" w:hAnsi="Arial" w:cs="Arial"/>
          <w:sz w:val="24"/>
          <w:szCs w:val="24"/>
        </w:rPr>
        <w:t>; (v) until such time as th</w:t>
      </w:r>
      <w:r w:rsidR="00924814" w:rsidRPr="00EA206A">
        <w:rPr>
          <w:rFonts w:ascii="Arial" w:hAnsi="Arial" w:cs="Arial"/>
          <w:sz w:val="24"/>
          <w:szCs w:val="24"/>
        </w:rPr>
        <w:t>is new</w:t>
      </w:r>
      <w:r w:rsidR="001733EA" w:rsidRPr="00EA206A">
        <w:rPr>
          <w:rFonts w:ascii="Arial" w:hAnsi="Arial" w:cs="Arial"/>
          <w:sz w:val="24"/>
          <w:szCs w:val="24"/>
        </w:rPr>
        <w:t xml:space="preserve"> entity </w:t>
      </w:r>
      <w:r w:rsidR="00387AA6" w:rsidRPr="00EA206A">
        <w:rPr>
          <w:rFonts w:ascii="Arial" w:hAnsi="Arial" w:cs="Arial"/>
          <w:sz w:val="24"/>
          <w:szCs w:val="24"/>
        </w:rPr>
        <w:t>had been</w:t>
      </w:r>
      <w:r w:rsidR="001733EA" w:rsidRPr="00EA206A">
        <w:rPr>
          <w:rFonts w:ascii="Arial" w:hAnsi="Arial" w:cs="Arial"/>
          <w:sz w:val="24"/>
          <w:szCs w:val="24"/>
        </w:rPr>
        <w:t xml:space="preserve"> registered with SARS, the respondent would </w:t>
      </w:r>
      <w:r w:rsidR="001733EA" w:rsidRPr="00EA206A">
        <w:rPr>
          <w:rFonts w:ascii="Arial" w:hAnsi="Arial" w:cs="Arial"/>
          <w:b/>
          <w:bCs/>
          <w:i/>
          <w:iCs/>
          <w:sz w:val="24"/>
          <w:szCs w:val="24"/>
        </w:rPr>
        <w:t>not</w:t>
      </w:r>
      <w:r w:rsidR="001733EA" w:rsidRPr="00EA206A">
        <w:rPr>
          <w:rFonts w:ascii="Arial" w:hAnsi="Arial" w:cs="Arial"/>
          <w:sz w:val="24"/>
          <w:szCs w:val="24"/>
        </w:rPr>
        <w:t xml:space="preserve"> refrain from submitting tenders in its name in the Eastern and Western Cape, if </w:t>
      </w:r>
      <w:r w:rsidR="00C30B6B" w:rsidRPr="00EA206A">
        <w:rPr>
          <w:rFonts w:ascii="Arial" w:hAnsi="Arial" w:cs="Arial"/>
          <w:sz w:val="24"/>
          <w:szCs w:val="24"/>
        </w:rPr>
        <w:t>invited</w:t>
      </w:r>
      <w:r w:rsidR="001733EA" w:rsidRPr="00EA206A">
        <w:rPr>
          <w:rFonts w:ascii="Arial" w:hAnsi="Arial" w:cs="Arial"/>
          <w:sz w:val="24"/>
          <w:szCs w:val="24"/>
        </w:rPr>
        <w:t xml:space="preserve"> to</w:t>
      </w:r>
      <w:r w:rsidR="006D42D6" w:rsidRPr="00EA206A">
        <w:rPr>
          <w:rFonts w:ascii="Arial" w:hAnsi="Arial" w:cs="Arial"/>
          <w:sz w:val="24"/>
          <w:szCs w:val="24"/>
        </w:rPr>
        <w:t xml:space="preserve"> tender</w:t>
      </w:r>
      <w:r w:rsidR="001733EA" w:rsidRPr="00EA206A">
        <w:rPr>
          <w:rFonts w:ascii="Arial" w:hAnsi="Arial" w:cs="Arial"/>
          <w:sz w:val="24"/>
          <w:szCs w:val="24"/>
        </w:rPr>
        <w:t xml:space="preserve">; and (vi) </w:t>
      </w:r>
      <w:r w:rsidR="00387AA6" w:rsidRPr="00EA206A">
        <w:rPr>
          <w:rFonts w:ascii="Arial" w:hAnsi="Arial" w:cs="Arial"/>
          <w:sz w:val="24"/>
          <w:szCs w:val="24"/>
        </w:rPr>
        <w:t>it</w:t>
      </w:r>
      <w:r w:rsidR="001733EA" w:rsidRPr="00EA206A">
        <w:rPr>
          <w:rFonts w:ascii="Arial" w:hAnsi="Arial" w:cs="Arial"/>
          <w:sz w:val="24"/>
          <w:szCs w:val="24"/>
        </w:rPr>
        <w:t xml:space="preserve"> would update its website by 20 November 2020 to identify Logik Group Af</w:t>
      </w:r>
      <w:r w:rsidR="0015703F" w:rsidRPr="00EA206A">
        <w:rPr>
          <w:rFonts w:ascii="Arial" w:hAnsi="Arial" w:cs="Arial"/>
          <w:sz w:val="24"/>
          <w:szCs w:val="24"/>
        </w:rPr>
        <w:t>r</w:t>
      </w:r>
      <w:r w:rsidR="001733EA" w:rsidRPr="00EA206A">
        <w:rPr>
          <w:rFonts w:ascii="Arial" w:hAnsi="Arial" w:cs="Arial"/>
          <w:sz w:val="24"/>
          <w:szCs w:val="24"/>
        </w:rPr>
        <w:t xml:space="preserve">ica (Pty) Ltd as the </w:t>
      </w:r>
      <w:r w:rsidR="00AA3234" w:rsidRPr="00EA206A">
        <w:rPr>
          <w:rFonts w:ascii="Arial" w:hAnsi="Arial" w:cs="Arial"/>
          <w:sz w:val="24"/>
          <w:szCs w:val="24"/>
        </w:rPr>
        <w:t>correct</w:t>
      </w:r>
      <w:r w:rsidR="001733EA" w:rsidRPr="00EA206A">
        <w:rPr>
          <w:rFonts w:ascii="Arial" w:hAnsi="Arial" w:cs="Arial"/>
          <w:sz w:val="24"/>
          <w:szCs w:val="24"/>
        </w:rPr>
        <w:t xml:space="preserve"> juristic entity</w:t>
      </w:r>
      <w:r w:rsidR="00C21F2A" w:rsidRPr="00EA206A">
        <w:rPr>
          <w:rFonts w:ascii="Arial" w:hAnsi="Arial" w:cs="Arial"/>
          <w:sz w:val="24"/>
          <w:szCs w:val="24"/>
        </w:rPr>
        <w:t>.</w:t>
      </w:r>
    </w:p>
    <w:p w14:paraId="45C53A99" w14:textId="77777777" w:rsidR="001733EA" w:rsidRDefault="001733EA" w:rsidP="001733EA">
      <w:pPr>
        <w:pStyle w:val="ListParagraph"/>
        <w:spacing w:after="0" w:line="480" w:lineRule="auto"/>
        <w:ind w:left="851"/>
        <w:jc w:val="both"/>
        <w:rPr>
          <w:rFonts w:ascii="Arial" w:hAnsi="Arial" w:cs="Arial"/>
          <w:sz w:val="24"/>
          <w:szCs w:val="24"/>
        </w:rPr>
      </w:pPr>
    </w:p>
    <w:p w14:paraId="2A982259" w14:textId="6D7E9CF2" w:rsidR="00387AA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733EA" w:rsidRPr="00EA206A">
        <w:rPr>
          <w:rFonts w:ascii="Arial" w:hAnsi="Arial" w:cs="Arial"/>
          <w:sz w:val="24"/>
          <w:szCs w:val="24"/>
        </w:rPr>
        <w:t xml:space="preserve">It is common cause that </w:t>
      </w:r>
      <w:r w:rsidR="00387AA6" w:rsidRPr="00EA206A">
        <w:rPr>
          <w:rFonts w:ascii="Arial" w:hAnsi="Arial" w:cs="Arial"/>
          <w:sz w:val="24"/>
          <w:szCs w:val="24"/>
        </w:rPr>
        <w:t>when the application was launched in August 2021,</w:t>
      </w:r>
      <w:r w:rsidR="0015703F">
        <w:rPr>
          <w:rStyle w:val="FootnoteReference"/>
          <w:rFonts w:ascii="Arial" w:hAnsi="Arial" w:cs="Arial"/>
          <w:sz w:val="24"/>
          <w:szCs w:val="24"/>
        </w:rPr>
        <w:footnoteReference w:id="5"/>
      </w:r>
      <w:r w:rsidR="001733EA" w:rsidRPr="00EA206A">
        <w:rPr>
          <w:rFonts w:ascii="Arial" w:hAnsi="Arial" w:cs="Arial"/>
          <w:sz w:val="24"/>
          <w:szCs w:val="24"/>
        </w:rPr>
        <w:t xml:space="preserve"> </w:t>
      </w:r>
      <w:r w:rsidR="00387AA6" w:rsidRPr="00EA206A">
        <w:rPr>
          <w:rFonts w:ascii="Arial" w:hAnsi="Arial" w:cs="Arial"/>
          <w:sz w:val="24"/>
          <w:szCs w:val="24"/>
        </w:rPr>
        <w:t>the respondent’s website</w:t>
      </w:r>
      <w:r w:rsidR="00137F4B" w:rsidRPr="00EA206A">
        <w:rPr>
          <w:rFonts w:ascii="Arial" w:hAnsi="Arial" w:cs="Arial"/>
          <w:sz w:val="24"/>
          <w:szCs w:val="24"/>
        </w:rPr>
        <w:t xml:space="preserve"> had not been updated in accordance with the </w:t>
      </w:r>
      <w:r w:rsidR="004A0035" w:rsidRPr="00EA206A">
        <w:rPr>
          <w:rFonts w:ascii="Arial" w:hAnsi="Arial" w:cs="Arial"/>
          <w:sz w:val="24"/>
          <w:szCs w:val="24"/>
        </w:rPr>
        <w:t xml:space="preserve">respondent’s </w:t>
      </w:r>
      <w:r w:rsidR="00137F4B" w:rsidRPr="00EA206A">
        <w:rPr>
          <w:rFonts w:ascii="Arial" w:hAnsi="Arial" w:cs="Arial"/>
          <w:sz w:val="24"/>
          <w:szCs w:val="24"/>
        </w:rPr>
        <w:t xml:space="preserve">undertaking, </w:t>
      </w:r>
      <w:r w:rsidR="004A0035" w:rsidRPr="00EA206A">
        <w:rPr>
          <w:rFonts w:ascii="Arial" w:hAnsi="Arial" w:cs="Arial"/>
          <w:sz w:val="24"/>
          <w:szCs w:val="24"/>
        </w:rPr>
        <w:t xml:space="preserve">which it had </w:t>
      </w:r>
      <w:r w:rsidR="00137F4B" w:rsidRPr="00EA206A">
        <w:rPr>
          <w:rFonts w:ascii="Arial" w:hAnsi="Arial" w:cs="Arial"/>
          <w:sz w:val="24"/>
          <w:szCs w:val="24"/>
        </w:rPr>
        <w:t>made</w:t>
      </w:r>
      <w:r w:rsidR="004A0035" w:rsidRPr="00EA206A">
        <w:rPr>
          <w:rFonts w:ascii="Arial" w:hAnsi="Arial" w:cs="Arial"/>
          <w:sz w:val="24"/>
          <w:szCs w:val="24"/>
        </w:rPr>
        <w:t xml:space="preserve"> some</w:t>
      </w:r>
      <w:r w:rsidR="00137F4B" w:rsidRPr="00EA206A">
        <w:rPr>
          <w:rFonts w:ascii="Arial" w:hAnsi="Arial" w:cs="Arial"/>
          <w:sz w:val="24"/>
          <w:szCs w:val="24"/>
        </w:rPr>
        <w:t xml:space="preserve"> 9 months prior</w:t>
      </w:r>
      <w:r w:rsidR="004A0035" w:rsidRPr="00EA206A">
        <w:rPr>
          <w:rFonts w:ascii="Arial" w:hAnsi="Arial" w:cs="Arial"/>
          <w:sz w:val="24"/>
          <w:szCs w:val="24"/>
        </w:rPr>
        <w:t xml:space="preserve">.  The website recorded </w:t>
      </w:r>
      <w:r w:rsidR="00137F4B" w:rsidRPr="00EA206A">
        <w:rPr>
          <w:rFonts w:ascii="Arial" w:hAnsi="Arial" w:cs="Arial"/>
          <w:sz w:val="24"/>
          <w:szCs w:val="24"/>
        </w:rPr>
        <w:t xml:space="preserve">the respondent’s </w:t>
      </w:r>
      <w:r w:rsidR="00F6539B" w:rsidRPr="00EA206A">
        <w:rPr>
          <w:rFonts w:ascii="Arial" w:hAnsi="Arial" w:cs="Arial"/>
          <w:sz w:val="24"/>
          <w:szCs w:val="24"/>
        </w:rPr>
        <w:t>company details as follows</w:t>
      </w:r>
      <w:r w:rsidR="00387AA6" w:rsidRPr="00EA206A">
        <w:rPr>
          <w:rFonts w:ascii="Arial" w:hAnsi="Arial" w:cs="Arial"/>
          <w:sz w:val="24"/>
          <w:szCs w:val="24"/>
        </w:rPr>
        <w:t xml:space="preserve">: </w:t>
      </w:r>
    </w:p>
    <w:p w14:paraId="576879C3" w14:textId="77777777" w:rsidR="00387AA6" w:rsidRPr="00387AA6" w:rsidRDefault="00387AA6" w:rsidP="00387AA6">
      <w:pPr>
        <w:pStyle w:val="ListParagraph"/>
        <w:rPr>
          <w:rFonts w:ascii="Arial" w:hAnsi="Arial" w:cs="Arial"/>
          <w:sz w:val="24"/>
          <w:szCs w:val="24"/>
        </w:rPr>
      </w:pPr>
    </w:p>
    <w:p w14:paraId="396264BC" w14:textId="39843062" w:rsidR="00387AA6" w:rsidRDefault="00387AA6" w:rsidP="00387AA6">
      <w:pPr>
        <w:pStyle w:val="ListParagraph"/>
        <w:spacing w:after="0" w:line="480" w:lineRule="auto"/>
        <w:ind w:left="2291" w:firstLine="589"/>
        <w:jc w:val="both"/>
        <w:rPr>
          <w:rFonts w:ascii="Arial" w:hAnsi="Arial" w:cs="Arial"/>
          <w:sz w:val="24"/>
          <w:szCs w:val="24"/>
        </w:rPr>
      </w:pPr>
      <w:r>
        <w:rPr>
          <w:rFonts w:ascii="Arial" w:hAnsi="Arial" w:cs="Arial"/>
          <w:noProof/>
          <w:sz w:val="24"/>
          <w:szCs w:val="24"/>
          <w:lang w:val="en-US"/>
        </w:rPr>
        <w:drawing>
          <wp:inline distT="0" distB="0" distL="0" distR="0" wp14:anchorId="6B3F9B5C" wp14:editId="558E0885">
            <wp:extent cx="1129745" cy="2634906"/>
            <wp:effectExtent l="9525"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164277" cy="2715445"/>
                    </a:xfrm>
                    <a:prstGeom prst="rect">
                      <a:avLst/>
                    </a:prstGeom>
                  </pic:spPr>
                </pic:pic>
              </a:graphicData>
            </a:graphic>
          </wp:inline>
        </w:drawing>
      </w:r>
    </w:p>
    <w:p w14:paraId="57F1B3D8" w14:textId="77777777" w:rsidR="00AC231C" w:rsidRDefault="00AC231C" w:rsidP="00AC231C">
      <w:pPr>
        <w:spacing w:after="0" w:line="240" w:lineRule="auto"/>
        <w:ind w:left="851"/>
        <w:jc w:val="both"/>
        <w:rPr>
          <w:rFonts w:ascii="Arial" w:hAnsi="Arial" w:cs="Arial"/>
          <w:sz w:val="24"/>
          <w:szCs w:val="24"/>
        </w:rPr>
      </w:pPr>
    </w:p>
    <w:p w14:paraId="1F40EC7B" w14:textId="536CFF9D" w:rsidR="00387AA6" w:rsidRPr="00387AA6" w:rsidRDefault="00387AA6" w:rsidP="00F6539B">
      <w:pPr>
        <w:spacing w:after="0" w:line="480" w:lineRule="auto"/>
        <w:ind w:left="851"/>
        <w:jc w:val="both"/>
        <w:rPr>
          <w:rFonts w:ascii="Arial" w:hAnsi="Arial" w:cs="Arial"/>
          <w:sz w:val="24"/>
          <w:szCs w:val="24"/>
        </w:rPr>
      </w:pPr>
      <w:r>
        <w:rPr>
          <w:rFonts w:ascii="Arial" w:hAnsi="Arial" w:cs="Arial"/>
          <w:sz w:val="24"/>
          <w:szCs w:val="24"/>
        </w:rPr>
        <w:t xml:space="preserve">.  </w:t>
      </w:r>
    </w:p>
    <w:p w14:paraId="60D4DD83" w14:textId="4E09076A" w:rsidR="004051E3"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5B6DBB" w:rsidRPr="00EA206A">
        <w:rPr>
          <w:rFonts w:ascii="Arial" w:hAnsi="Arial" w:cs="Arial"/>
          <w:sz w:val="24"/>
          <w:szCs w:val="24"/>
        </w:rPr>
        <w:t>Thereafter, t</w:t>
      </w:r>
      <w:r w:rsidR="002A7D8D" w:rsidRPr="00EA206A">
        <w:rPr>
          <w:rFonts w:ascii="Arial" w:hAnsi="Arial" w:cs="Arial"/>
          <w:sz w:val="24"/>
          <w:szCs w:val="24"/>
        </w:rPr>
        <w:t>h</w:t>
      </w:r>
      <w:r w:rsidR="00464ECE" w:rsidRPr="00EA206A">
        <w:rPr>
          <w:rFonts w:ascii="Arial" w:hAnsi="Arial" w:cs="Arial"/>
          <w:sz w:val="24"/>
          <w:szCs w:val="24"/>
        </w:rPr>
        <w:t xml:space="preserve">e respondent’s use of the name </w:t>
      </w:r>
      <w:r w:rsidR="00464ECE" w:rsidRPr="00EA206A">
        <w:rPr>
          <w:rFonts w:ascii="Arial" w:hAnsi="Arial" w:cs="Arial"/>
          <w:b/>
          <w:bCs/>
          <w:sz w:val="24"/>
          <w:szCs w:val="24"/>
        </w:rPr>
        <w:t>FIRELOGIK</w:t>
      </w:r>
      <w:r w:rsidR="00464ECE" w:rsidRPr="00EA206A">
        <w:rPr>
          <w:rFonts w:ascii="Arial" w:hAnsi="Arial" w:cs="Arial"/>
          <w:sz w:val="24"/>
          <w:szCs w:val="24"/>
        </w:rPr>
        <w:t xml:space="preserve"> </w:t>
      </w:r>
      <w:r w:rsidR="002A7D8D" w:rsidRPr="00EA206A">
        <w:rPr>
          <w:rFonts w:ascii="Arial" w:hAnsi="Arial" w:cs="Arial"/>
          <w:sz w:val="24"/>
          <w:szCs w:val="24"/>
        </w:rPr>
        <w:t>continued unabated</w:t>
      </w:r>
      <w:r w:rsidR="00464ECE" w:rsidRPr="00EA206A">
        <w:rPr>
          <w:rFonts w:ascii="Arial" w:hAnsi="Arial" w:cs="Arial"/>
          <w:sz w:val="24"/>
          <w:szCs w:val="24"/>
        </w:rPr>
        <w:t xml:space="preserve">.  </w:t>
      </w:r>
      <w:r w:rsidR="004051E3" w:rsidRPr="00EA206A">
        <w:rPr>
          <w:rFonts w:ascii="Arial" w:hAnsi="Arial" w:cs="Arial"/>
          <w:sz w:val="24"/>
          <w:szCs w:val="24"/>
        </w:rPr>
        <w:t>A side-by-side comparison of the parties’ respective websites</w:t>
      </w:r>
      <w:r w:rsidR="002A7D8D" w:rsidRPr="00EA206A">
        <w:rPr>
          <w:rFonts w:ascii="Arial" w:hAnsi="Arial" w:cs="Arial"/>
          <w:sz w:val="24"/>
          <w:szCs w:val="24"/>
        </w:rPr>
        <w:t>,</w:t>
      </w:r>
      <w:r w:rsidR="004051E3" w:rsidRPr="00EA206A">
        <w:rPr>
          <w:rFonts w:ascii="Arial" w:hAnsi="Arial" w:cs="Arial"/>
          <w:sz w:val="24"/>
          <w:szCs w:val="24"/>
        </w:rPr>
        <w:t xml:space="preserve"> as they </w:t>
      </w:r>
      <w:r w:rsidR="00E76192" w:rsidRPr="00EA206A">
        <w:rPr>
          <w:rFonts w:ascii="Arial" w:hAnsi="Arial" w:cs="Arial"/>
          <w:sz w:val="24"/>
          <w:szCs w:val="24"/>
        </w:rPr>
        <w:t>looked</w:t>
      </w:r>
      <w:r w:rsidR="004051E3" w:rsidRPr="00EA206A">
        <w:rPr>
          <w:rFonts w:ascii="Arial" w:hAnsi="Arial" w:cs="Arial"/>
          <w:sz w:val="24"/>
          <w:szCs w:val="24"/>
        </w:rPr>
        <w:t xml:space="preserve"> on 8 September 2022, is seen below: </w:t>
      </w:r>
    </w:p>
    <w:p w14:paraId="0B871E33" w14:textId="14094067" w:rsidR="0044491F" w:rsidRDefault="0044491F" w:rsidP="0044491F">
      <w:pPr>
        <w:pStyle w:val="ListParagraph"/>
        <w:spacing w:after="0" w:line="240" w:lineRule="auto"/>
        <w:ind w:left="851"/>
        <w:jc w:val="both"/>
        <w:rPr>
          <w:rFonts w:ascii="Arial" w:hAnsi="Arial" w:cs="Arial"/>
          <w:sz w:val="24"/>
          <w:szCs w:val="24"/>
        </w:rPr>
      </w:pPr>
    </w:p>
    <w:p w14:paraId="41F85A94" w14:textId="1B714A41" w:rsidR="0044491F" w:rsidRDefault="0044491F" w:rsidP="0044491F">
      <w:pPr>
        <w:pStyle w:val="ListParagraph"/>
        <w:spacing w:after="0" w:line="480" w:lineRule="auto"/>
        <w:ind w:left="851"/>
        <w:jc w:val="both"/>
        <w:rPr>
          <w:rFonts w:ascii="Arial" w:hAnsi="Arial" w:cs="Arial"/>
          <w:sz w:val="24"/>
          <w:szCs w:val="24"/>
        </w:rPr>
      </w:pPr>
      <w:r>
        <w:rPr>
          <w:rFonts w:ascii="Arial" w:hAnsi="Arial" w:cs="Arial"/>
          <w:noProof/>
          <w:sz w:val="24"/>
          <w:szCs w:val="24"/>
          <w:lang w:val="en-US"/>
        </w:rPr>
        <w:drawing>
          <wp:inline distT="0" distB="0" distL="0" distR="0" wp14:anchorId="32AA15A7" wp14:editId="46CBC524">
            <wp:extent cx="2307055" cy="11760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8304" cy="1186852"/>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val="en-US"/>
        </w:rPr>
        <w:drawing>
          <wp:inline distT="0" distB="0" distL="0" distR="0" wp14:anchorId="643A6D89" wp14:editId="787879CD">
            <wp:extent cx="2333625" cy="1182325"/>
            <wp:effectExtent l="0" t="0" r="0" b="0"/>
            <wp:docPr id="9" name="Picture 9" descr="A close-up of a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not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0855" cy="1191054"/>
                    </a:xfrm>
                    <a:prstGeom prst="rect">
                      <a:avLst/>
                    </a:prstGeom>
                  </pic:spPr>
                </pic:pic>
              </a:graphicData>
            </a:graphic>
          </wp:inline>
        </w:drawing>
      </w:r>
    </w:p>
    <w:p w14:paraId="4427EF1D" w14:textId="3B8711B1" w:rsidR="0044491F" w:rsidRPr="0044491F" w:rsidRDefault="0044491F" w:rsidP="0044491F">
      <w:pPr>
        <w:pStyle w:val="ListParagraph"/>
        <w:spacing w:after="0" w:line="480" w:lineRule="auto"/>
        <w:ind w:left="851"/>
        <w:jc w:val="both"/>
        <w:rPr>
          <w:rFonts w:ascii="Arial" w:hAnsi="Arial" w:cs="Arial"/>
          <w:sz w:val="24"/>
          <w:szCs w:val="24"/>
        </w:rPr>
      </w:pPr>
      <w:r w:rsidRPr="0044491F">
        <w:rPr>
          <w:rFonts w:ascii="Arial" w:hAnsi="Arial" w:cs="Arial"/>
          <w:sz w:val="24"/>
          <w:szCs w:val="24"/>
        </w:rPr>
        <w:t xml:space="preserve">                    </w:t>
      </w:r>
      <w:r w:rsidRPr="0044491F">
        <w:rPr>
          <w:rFonts w:ascii="Arial" w:hAnsi="Arial" w:cs="Arial"/>
          <w:sz w:val="24"/>
          <w:szCs w:val="24"/>
          <w:u w:val="single"/>
        </w:rPr>
        <w:t xml:space="preserve">Image 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5113">
        <w:rPr>
          <w:rFonts w:ascii="Arial" w:hAnsi="Arial" w:cs="Arial"/>
          <w:sz w:val="24"/>
          <w:szCs w:val="24"/>
        </w:rPr>
        <w:t xml:space="preserve">          </w:t>
      </w:r>
      <w:r>
        <w:rPr>
          <w:rFonts w:ascii="Arial" w:hAnsi="Arial" w:cs="Arial"/>
          <w:sz w:val="24"/>
          <w:szCs w:val="24"/>
        </w:rPr>
        <w:t xml:space="preserve">     </w:t>
      </w:r>
      <w:r w:rsidRPr="00065113">
        <w:rPr>
          <w:rFonts w:ascii="Arial" w:hAnsi="Arial" w:cs="Arial"/>
          <w:sz w:val="24"/>
          <w:szCs w:val="24"/>
          <w:u w:val="single"/>
        </w:rPr>
        <w:t>Image 2:</w:t>
      </w:r>
    </w:p>
    <w:p w14:paraId="2A2196FB" w14:textId="54DAF5F9" w:rsidR="0044491F" w:rsidRDefault="0044491F" w:rsidP="0044491F">
      <w:pPr>
        <w:pStyle w:val="ListParagraph"/>
        <w:spacing w:after="0" w:line="480" w:lineRule="auto"/>
        <w:ind w:left="851"/>
        <w:jc w:val="both"/>
        <w:rPr>
          <w:rFonts w:ascii="Arial" w:hAnsi="Arial" w:cs="Arial"/>
          <w:sz w:val="24"/>
          <w:szCs w:val="24"/>
        </w:rPr>
      </w:pPr>
      <w:r>
        <w:rPr>
          <w:rFonts w:ascii="Arial" w:hAnsi="Arial" w:cs="Arial"/>
          <w:sz w:val="24"/>
          <w:szCs w:val="24"/>
        </w:rPr>
        <w:t xml:space="preserve">          The applicant’s website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The respondent’s website</w:t>
      </w:r>
    </w:p>
    <w:p w14:paraId="3FE5EBEC" w14:textId="6F1B3C87" w:rsidR="00065113" w:rsidRPr="00065113" w:rsidRDefault="00065113" w:rsidP="0044491F">
      <w:pPr>
        <w:pStyle w:val="ListParagraph"/>
        <w:spacing w:after="0" w:line="480" w:lineRule="auto"/>
        <w:ind w:left="851"/>
        <w:jc w:val="both"/>
        <w:rPr>
          <w:rFonts w:ascii="Arial" w:hAnsi="Arial" w:cs="Arial"/>
          <w:sz w:val="24"/>
          <w:szCs w:val="24"/>
        </w:rPr>
      </w:pPr>
      <w:r w:rsidRPr="00065113">
        <w:rPr>
          <w:rFonts w:ascii="Arial" w:hAnsi="Arial" w:cs="Arial"/>
          <w:sz w:val="24"/>
          <w:szCs w:val="24"/>
        </w:rPr>
        <w:t xml:space="preserve">             </w:t>
      </w:r>
      <w:hyperlink r:id="rId14" w:history="1">
        <w:r w:rsidRPr="00065113">
          <w:rPr>
            <w:rStyle w:val="Hyperlink"/>
            <w:rFonts w:ascii="Arial" w:hAnsi="Arial" w:cs="Arial"/>
            <w:color w:val="auto"/>
            <w:sz w:val="24"/>
            <w:szCs w:val="24"/>
          </w:rPr>
          <w:t>www.firelogics.co.za</w:t>
        </w:r>
      </w:hyperlink>
      <w:r w:rsidRPr="00065113">
        <w:rPr>
          <w:rFonts w:ascii="Arial" w:hAnsi="Arial" w:cs="Arial"/>
          <w:sz w:val="24"/>
          <w:szCs w:val="24"/>
        </w:rPr>
        <w:t xml:space="preserve">                                   </w:t>
      </w:r>
      <w:hyperlink r:id="rId15" w:history="1">
        <w:r w:rsidRPr="00065113">
          <w:rPr>
            <w:rStyle w:val="Hyperlink"/>
            <w:rFonts w:ascii="Arial" w:hAnsi="Arial" w:cs="Arial"/>
            <w:color w:val="auto"/>
            <w:sz w:val="24"/>
            <w:szCs w:val="24"/>
          </w:rPr>
          <w:t>www.firelogik.co.za</w:t>
        </w:r>
      </w:hyperlink>
      <w:r w:rsidRPr="00065113">
        <w:rPr>
          <w:rFonts w:ascii="Arial" w:hAnsi="Arial" w:cs="Arial"/>
          <w:sz w:val="24"/>
          <w:szCs w:val="24"/>
        </w:rPr>
        <w:t xml:space="preserve"> </w:t>
      </w:r>
    </w:p>
    <w:p w14:paraId="71F7A9BE" w14:textId="77777777" w:rsidR="00065113" w:rsidRDefault="00065113" w:rsidP="00065113">
      <w:pPr>
        <w:pStyle w:val="ListParagraph"/>
        <w:spacing w:after="0" w:line="480" w:lineRule="auto"/>
        <w:ind w:left="851"/>
        <w:jc w:val="both"/>
        <w:rPr>
          <w:rFonts w:ascii="Arial" w:hAnsi="Arial" w:cs="Arial"/>
          <w:sz w:val="24"/>
          <w:szCs w:val="24"/>
        </w:rPr>
      </w:pPr>
    </w:p>
    <w:p w14:paraId="4CA7C7E6" w14:textId="32AACC59" w:rsidR="000E653F"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76192" w:rsidRPr="00EA206A">
        <w:rPr>
          <w:rFonts w:ascii="Arial" w:hAnsi="Arial" w:cs="Arial"/>
          <w:sz w:val="24"/>
          <w:szCs w:val="24"/>
        </w:rPr>
        <w:t>This</w:t>
      </w:r>
      <w:r w:rsidR="00290D6D" w:rsidRPr="00EA206A">
        <w:rPr>
          <w:rFonts w:ascii="Arial" w:hAnsi="Arial" w:cs="Arial"/>
          <w:sz w:val="24"/>
          <w:szCs w:val="24"/>
        </w:rPr>
        <w:t xml:space="preserve"> comparison</w:t>
      </w:r>
      <w:r w:rsidR="00E76192" w:rsidRPr="00EA206A">
        <w:rPr>
          <w:rFonts w:ascii="Arial" w:hAnsi="Arial" w:cs="Arial"/>
          <w:sz w:val="24"/>
          <w:szCs w:val="24"/>
        </w:rPr>
        <w:t xml:space="preserve">, having been brought to the attention of the court in a further affidavit filed by the applicant, was met with a response from the respondent stating that it’s website, as depicted above, was no longer active as of 29 September 2022.  </w:t>
      </w:r>
      <w:r w:rsidR="009D53B4" w:rsidRPr="00EA206A">
        <w:rPr>
          <w:rFonts w:ascii="Arial" w:hAnsi="Arial" w:cs="Arial"/>
          <w:sz w:val="24"/>
          <w:szCs w:val="24"/>
        </w:rPr>
        <w:t xml:space="preserve">  </w:t>
      </w:r>
    </w:p>
    <w:p w14:paraId="6A2872DC" w14:textId="0415D656" w:rsidR="009D53B4" w:rsidRDefault="009D53B4" w:rsidP="009D53B4">
      <w:pPr>
        <w:pStyle w:val="ListParagraph"/>
        <w:spacing w:after="0" w:line="480" w:lineRule="auto"/>
        <w:ind w:left="851"/>
        <w:jc w:val="both"/>
        <w:rPr>
          <w:rFonts w:ascii="Arial" w:hAnsi="Arial" w:cs="Arial"/>
          <w:sz w:val="24"/>
          <w:szCs w:val="24"/>
        </w:rPr>
      </w:pPr>
    </w:p>
    <w:p w14:paraId="0196E7D1" w14:textId="3CF80099" w:rsidR="009D53B4"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13AFA" w:rsidRPr="00EA206A">
        <w:rPr>
          <w:rFonts w:ascii="Arial" w:hAnsi="Arial" w:cs="Arial"/>
          <w:sz w:val="24"/>
          <w:szCs w:val="24"/>
        </w:rPr>
        <w:t>In the main, t</w:t>
      </w:r>
      <w:r w:rsidR="009D53B4" w:rsidRPr="00EA206A">
        <w:rPr>
          <w:rFonts w:ascii="Arial" w:hAnsi="Arial" w:cs="Arial"/>
          <w:sz w:val="24"/>
          <w:szCs w:val="24"/>
        </w:rPr>
        <w:t>he respondent resists the relief sought by the applicant on the grounds that</w:t>
      </w:r>
      <w:r w:rsidR="00236DBF" w:rsidRPr="00EA206A">
        <w:rPr>
          <w:rFonts w:ascii="Arial" w:hAnsi="Arial" w:cs="Arial"/>
          <w:sz w:val="24"/>
          <w:szCs w:val="24"/>
        </w:rPr>
        <w:t>: (i)</w:t>
      </w:r>
      <w:r w:rsidR="009D53B4" w:rsidRPr="00EA206A">
        <w:rPr>
          <w:rFonts w:ascii="Arial" w:hAnsi="Arial" w:cs="Arial"/>
          <w:sz w:val="24"/>
          <w:szCs w:val="24"/>
        </w:rPr>
        <w:t xml:space="preserve"> the applicant has failed to establish a reputation; and </w:t>
      </w:r>
      <w:r w:rsidR="00236DBF" w:rsidRPr="00EA206A">
        <w:rPr>
          <w:rFonts w:ascii="Arial" w:hAnsi="Arial" w:cs="Arial"/>
          <w:sz w:val="24"/>
          <w:szCs w:val="24"/>
        </w:rPr>
        <w:t xml:space="preserve">(ii) </w:t>
      </w:r>
      <w:r w:rsidR="009D53B4" w:rsidRPr="00EA206A">
        <w:rPr>
          <w:rFonts w:ascii="Arial" w:hAnsi="Arial" w:cs="Arial"/>
          <w:sz w:val="24"/>
          <w:szCs w:val="24"/>
        </w:rPr>
        <w:t>that the applicant has failed to prove that the respondent trades upon and benefits from the reputation of</w:t>
      </w:r>
      <w:r w:rsidR="006D312B" w:rsidRPr="00EA206A">
        <w:rPr>
          <w:rFonts w:ascii="Arial" w:hAnsi="Arial" w:cs="Arial"/>
          <w:sz w:val="24"/>
          <w:szCs w:val="24"/>
        </w:rPr>
        <w:t xml:space="preserve"> the applicant; that the respondent’s business infringes upon the goodwill of the applicant; or that the applicant has suffered damages.  </w:t>
      </w:r>
      <w:r w:rsidR="00F13AFA" w:rsidRPr="00EA206A">
        <w:rPr>
          <w:rFonts w:ascii="Arial" w:hAnsi="Arial" w:cs="Arial"/>
          <w:sz w:val="24"/>
          <w:szCs w:val="24"/>
        </w:rPr>
        <w:t xml:space="preserve">Ancillary to </w:t>
      </w:r>
      <w:r w:rsidR="00236DBF" w:rsidRPr="00EA206A">
        <w:rPr>
          <w:rFonts w:ascii="Arial" w:hAnsi="Arial" w:cs="Arial"/>
          <w:sz w:val="24"/>
          <w:szCs w:val="24"/>
        </w:rPr>
        <w:t xml:space="preserve">the above, </w:t>
      </w:r>
      <w:r w:rsidR="00F13AFA" w:rsidRPr="00EA206A">
        <w:rPr>
          <w:rFonts w:ascii="Arial" w:hAnsi="Arial" w:cs="Arial"/>
          <w:sz w:val="24"/>
          <w:szCs w:val="24"/>
        </w:rPr>
        <w:t xml:space="preserve">the respondent contends that the relief sought by the applicant has been rendered moot </w:t>
      </w:r>
      <w:r w:rsidR="009D2318" w:rsidRPr="00EA206A">
        <w:rPr>
          <w:rFonts w:ascii="Arial" w:hAnsi="Arial" w:cs="Arial"/>
          <w:sz w:val="24"/>
          <w:szCs w:val="24"/>
        </w:rPr>
        <w:t xml:space="preserve">given the </w:t>
      </w:r>
      <w:r w:rsidR="00F13AFA" w:rsidRPr="00EA206A">
        <w:rPr>
          <w:rFonts w:ascii="Arial" w:hAnsi="Arial" w:cs="Arial"/>
          <w:sz w:val="24"/>
          <w:szCs w:val="24"/>
        </w:rPr>
        <w:t xml:space="preserve">respondent’s name change in August 2016 and its assertion that the respondent does not trade in the Eastern and Western Cape.  </w:t>
      </w:r>
      <w:r w:rsidR="00692BA0" w:rsidRPr="00EA206A">
        <w:rPr>
          <w:rFonts w:ascii="Arial" w:hAnsi="Arial" w:cs="Arial"/>
          <w:sz w:val="24"/>
          <w:szCs w:val="24"/>
        </w:rPr>
        <w:t>I disagree.</w:t>
      </w:r>
    </w:p>
    <w:p w14:paraId="78C33383" w14:textId="1EAC6DD8" w:rsidR="00ED56A8"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ED56A8" w:rsidRPr="00EA206A">
        <w:rPr>
          <w:rFonts w:ascii="Arial" w:hAnsi="Arial" w:cs="Arial"/>
          <w:sz w:val="24"/>
          <w:szCs w:val="24"/>
        </w:rPr>
        <w:t xml:space="preserve">I now turn to the essential issues.  </w:t>
      </w:r>
    </w:p>
    <w:p w14:paraId="739C3168" w14:textId="36AE6D14" w:rsidR="00ED56A8" w:rsidRDefault="00ED56A8" w:rsidP="003778B7">
      <w:pPr>
        <w:spacing w:after="0" w:line="480" w:lineRule="auto"/>
        <w:rPr>
          <w:rFonts w:ascii="Arial" w:hAnsi="Arial" w:cs="Arial"/>
          <w:sz w:val="24"/>
          <w:szCs w:val="24"/>
        </w:rPr>
      </w:pPr>
    </w:p>
    <w:p w14:paraId="5C9B6B23" w14:textId="35156357" w:rsidR="003778B7" w:rsidRPr="003778B7" w:rsidRDefault="003778B7" w:rsidP="003778B7">
      <w:pPr>
        <w:spacing w:after="0" w:line="480" w:lineRule="auto"/>
        <w:rPr>
          <w:rFonts w:ascii="Arial" w:hAnsi="Arial" w:cs="Arial"/>
          <w:b/>
          <w:bCs/>
          <w:i/>
          <w:iCs/>
          <w:sz w:val="24"/>
          <w:szCs w:val="24"/>
          <w:u w:val="single"/>
        </w:rPr>
      </w:pPr>
      <w:r w:rsidRPr="003778B7">
        <w:rPr>
          <w:rFonts w:ascii="Arial" w:hAnsi="Arial" w:cs="Arial"/>
          <w:b/>
          <w:bCs/>
          <w:i/>
          <w:iCs/>
          <w:sz w:val="24"/>
          <w:szCs w:val="24"/>
          <w:u w:val="single"/>
        </w:rPr>
        <w:t>Reputation</w:t>
      </w:r>
    </w:p>
    <w:p w14:paraId="1FB19DBE" w14:textId="77777777" w:rsidR="003778B7" w:rsidRDefault="003778B7" w:rsidP="003778B7">
      <w:pPr>
        <w:pStyle w:val="ListParagraph"/>
        <w:spacing w:after="0" w:line="480" w:lineRule="auto"/>
        <w:ind w:left="851"/>
        <w:jc w:val="both"/>
        <w:rPr>
          <w:rFonts w:ascii="Arial" w:hAnsi="Arial" w:cs="Arial"/>
          <w:sz w:val="24"/>
          <w:szCs w:val="24"/>
        </w:rPr>
      </w:pPr>
    </w:p>
    <w:p w14:paraId="0987F021" w14:textId="7A8CBD2B" w:rsidR="00ED56A8"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614A7E" w:rsidRPr="00EA206A">
        <w:rPr>
          <w:rFonts w:ascii="Arial" w:hAnsi="Arial" w:cs="Arial"/>
          <w:sz w:val="24"/>
          <w:szCs w:val="24"/>
        </w:rPr>
        <w:t>Having</w:t>
      </w:r>
      <w:r w:rsidR="00ED56A8" w:rsidRPr="00EA206A">
        <w:rPr>
          <w:rFonts w:ascii="Arial" w:hAnsi="Arial" w:cs="Arial"/>
          <w:sz w:val="24"/>
          <w:szCs w:val="24"/>
        </w:rPr>
        <w:t xml:space="preserve"> regard to the principles distilled in </w:t>
      </w:r>
      <w:r w:rsidR="00B220EB" w:rsidRPr="00EA206A">
        <w:rPr>
          <w:rFonts w:ascii="Arial" w:hAnsi="Arial" w:cs="Arial"/>
          <w:i/>
          <w:iCs/>
          <w:sz w:val="24"/>
          <w:szCs w:val="24"/>
        </w:rPr>
        <w:t>Williams t/a Jenifer Williams &amp; Associates and Another v Life Line Southern Transvaal</w:t>
      </w:r>
      <w:r w:rsidR="00ED56A8" w:rsidRPr="00EA206A">
        <w:rPr>
          <w:rFonts w:ascii="Arial" w:hAnsi="Arial" w:cs="Arial"/>
          <w:sz w:val="24"/>
          <w:szCs w:val="24"/>
        </w:rPr>
        <w:t xml:space="preserve"> (supra) and </w:t>
      </w:r>
      <w:r w:rsidR="00ED56A8" w:rsidRPr="00EA206A">
        <w:rPr>
          <w:rFonts w:ascii="Arial" w:hAnsi="Arial" w:cs="Arial"/>
          <w:i/>
          <w:iCs/>
          <w:sz w:val="24"/>
          <w:szCs w:val="24"/>
        </w:rPr>
        <w:t xml:space="preserve">Capital Estate and General Agencies (Pty) Ltd and Others v Holiday Inns Inc and Others </w:t>
      </w:r>
      <w:r w:rsidR="00ED56A8" w:rsidRPr="00EA206A">
        <w:rPr>
          <w:rFonts w:ascii="Arial" w:hAnsi="Arial" w:cs="Arial"/>
          <w:sz w:val="24"/>
          <w:szCs w:val="24"/>
        </w:rPr>
        <w:t>(supra), the first issue which I am called upon to determine is whether the applicant has established that its</w:t>
      </w:r>
      <w:r w:rsidR="00567D95" w:rsidRPr="00EA206A">
        <w:rPr>
          <w:rFonts w:ascii="Arial" w:hAnsi="Arial" w:cs="Arial"/>
          <w:sz w:val="24"/>
          <w:szCs w:val="24"/>
        </w:rPr>
        <w:t xml:space="preserve"> trading</w:t>
      </w:r>
      <w:r w:rsidR="00ED56A8" w:rsidRPr="00EA206A">
        <w:rPr>
          <w:rFonts w:ascii="Arial" w:hAnsi="Arial" w:cs="Arial"/>
          <w:sz w:val="24"/>
          <w:szCs w:val="24"/>
        </w:rPr>
        <w:t xml:space="preserve"> name</w:t>
      </w:r>
      <w:r w:rsidR="00567D95" w:rsidRPr="00EA206A">
        <w:rPr>
          <w:rFonts w:ascii="Arial" w:hAnsi="Arial" w:cs="Arial"/>
          <w:sz w:val="24"/>
          <w:szCs w:val="24"/>
        </w:rPr>
        <w:t xml:space="preserve"> has become distinctive of its services, in the sense that the public associate the </w:t>
      </w:r>
      <w:r w:rsidR="00443E4D" w:rsidRPr="00EA206A">
        <w:rPr>
          <w:rFonts w:ascii="Arial" w:hAnsi="Arial" w:cs="Arial"/>
          <w:sz w:val="24"/>
          <w:szCs w:val="24"/>
        </w:rPr>
        <w:t xml:space="preserve">applicant’s </w:t>
      </w:r>
      <w:r w:rsidR="00567D95" w:rsidRPr="00EA206A">
        <w:rPr>
          <w:rFonts w:ascii="Arial" w:hAnsi="Arial" w:cs="Arial"/>
          <w:sz w:val="24"/>
          <w:szCs w:val="24"/>
        </w:rPr>
        <w:t>trade name with the services marketed by the applicant.</w:t>
      </w:r>
      <w:r w:rsidR="00B550F3" w:rsidRPr="00EA206A">
        <w:rPr>
          <w:rFonts w:ascii="Arial" w:hAnsi="Arial" w:cs="Arial"/>
          <w:sz w:val="24"/>
          <w:szCs w:val="24"/>
        </w:rPr>
        <w:t xml:space="preserve"> </w:t>
      </w:r>
      <w:r w:rsidR="00ED56A8" w:rsidRPr="00EA206A">
        <w:rPr>
          <w:rFonts w:ascii="Arial" w:hAnsi="Arial" w:cs="Arial"/>
          <w:sz w:val="24"/>
          <w:szCs w:val="24"/>
        </w:rPr>
        <w:t xml:space="preserve"> </w:t>
      </w:r>
    </w:p>
    <w:p w14:paraId="3977ECF3" w14:textId="77777777" w:rsidR="00567D95" w:rsidRDefault="00567D95" w:rsidP="00567D95">
      <w:pPr>
        <w:pStyle w:val="ListParagraph"/>
        <w:spacing w:after="0" w:line="480" w:lineRule="auto"/>
        <w:ind w:left="851"/>
        <w:jc w:val="both"/>
        <w:rPr>
          <w:rFonts w:ascii="Arial" w:hAnsi="Arial" w:cs="Arial"/>
          <w:sz w:val="24"/>
          <w:szCs w:val="24"/>
        </w:rPr>
      </w:pPr>
    </w:p>
    <w:p w14:paraId="15B0BEDE" w14:textId="5B3EC7ED" w:rsidR="00F770E0"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57842" w:rsidRPr="00EA206A">
        <w:rPr>
          <w:rFonts w:ascii="Arial" w:hAnsi="Arial" w:cs="Arial"/>
          <w:sz w:val="24"/>
          <w:szCs w:val="24"/>
        </w:rPr>
        <w:t>In considering the first leg of the inquiry, a distinction needs to be drawn between cases in which descriptive words, as opposed to invented or fancy words</w:t>
      </w:r>
      <w:r w:rsidR="00A623A9" w:rsidRPr="00EA206A">
        <w:rPr>
          <w:rFonts w:ascii="Arial" w:hAnsi="Arial" w:cs="Arial"/>
          <w:sz w:val="24"/>
          <w:szCs w:val="24"/>
        </w:rPr>
        <w:t xml:space="preserve"> (often referred to as</w:t>
      </w:r>
      <w:r w:rsidR="005B42D0" w:rsidRPr="00EA206A">
        <w:rPr>
          <w:rFonts w:ascii="Arial" w:hAnsi="Arial" w:cs="Arial"/>
          <w:sz w:val="24"/>
          <w:szCs w:val="24"/>
        </w:rPr>
        <w:t xml:space="preserve"> a</w:t>
      </w:r>
      <w:r w:rsidR="00A623A9" w:rsidRPr="00EA206A">
        <w:rPr>
          <w:rFonts w:ascii="Arial" w:hAnsi="Arial" w:cs="Arial"/>
          <w:sz w:val="24"/>
          <w:szCs w:val="24"/>
        </w:rPr>
        <w:t xml:space="preserve"> fancy name)</w:t>
      </w:r>
      <w:r w:rsidR="00957842" w:rsidRPr="00EA206A">
        <w:rPr>
          <w:rFonts w:ascii="Arial" w:hAnsi="Arial" w:cs="Arial"/>
          <w:sz w:val="24"/>
          <w:szCs w:val="24"/>
        </w:rPr>
        <w:t>, are used in a trade name</w:t>
      </w:r>
      <w:r w:rsidR="0063172B" w:rsidRPr="00EA206A">
        <w:rPr>
          <w:rFonts w:ascii="Arial" w:hAnsi="Arial" w:cs="Arial"/>
          <w:sz w:val="24"/>
          <w:szCs w:val="24"/>
        </w:rPr>
        <w:t xml:space="preserve">.  This is an aspect which appears to have escaped the minds of the parties.  The importance of such distinction was dealt with </w:t>
      </w:r>
      <w:r w:rsidR="00F770E0" w:rsidRPr="00EA206A">
        <w:rPr>
          <w:rFonts w:ascii="Arial" w:hAnsi="Arial" w:cs="Arial"/>
          <w:sz w:val="24"/>
          <w:szCs w:val="24"/>
        </w:rPr>
        <w:t xml:space="preserve">by Zietsman JP in </w:t>
      </w:r>
      <w:r w:rsidR="00F770E0" w:rsidRPr="00EA206A">
        <w:rPr>
          <w:rFonts w:ascii="Arial" w:hAnsi="Arial" w:cs="Arial"/>
          <w:i/>
          <w:iCs/>
          <w:sz w:val="24"/>
          <w:szCs w:val="24"/>
        </w:rPr>
        <w:t>Van der Watt v Humansdorp Marketing CC</w:t>
      </w:r>
      <w:r w:rsidR="00443E4D" w:rsidRPr="00EA206A">
        <w:rPr>
          <w:rFonts w:ascii="Arial" w:hAnsi="Arial" w:cs="Arial"/>
          <w:sz w:val="24"/>
          <w:szCs w:val="24"/>
        </w:rPr>
        <w:t>:</w:t>
      </w:r>
      <w:r w:rsidR="00F770E0">
        <w:rPr>
          <w:rStyle w:val="FootnoteReference"/>
          <w:rFonts w:ascii="Arial" w:hAnsi="Arial" w:cs="Arial"/>
          <w:sz w:val="24"/>
          <w:szCs w:val="24"/>
        </w:rPr>
        <w:footnoteReference w:id="6"/>
      </w:r>
    </w:p>
    <w:p w14:paraId="43539DDB" w14:textId="77777777" w:rsidR="0063172B" w:rsidRDefault="0063172B" w:rsidP="00F770E0">
      <w:pPr>
        <w:pStyle w:val="ListParagraph"/>
        <w:spacing w:after="0" w:line="360" w:lineRule="auto"/>
        <w:ind w:left="851"/>
        <w:jc w:val="both"/>
        <w:rPr>
          <w:rFonts w:ascii="Arial" w:hAnsi="Arial" w:cs="Arial"/>
          <w:sz w:val="24"/>
          <w:szCs w:val="24"/>
        </w:rPr>
      </w:pPr>
    </w:p>
    <w:p w14:paraId="59EDB269" w14:textId="52A9489D" w:rsidR="00F770E0" w:rsidRDefault="00F770E0" w:rsidP="00F770E0">
      <w:pPr>
        <w:pStyle w:val="ListParagraph"/>
        <w:spacing w:after="0" w:line="360" w:lineRule="auto"/>
        <w:ind w:left="851"/>
        <w:jc w:val="both"/>
        <w:rPr>
          <w:rFonts w:ascii="Arial" w:hAnsi="Arial" w:cs="Arial"/>
          <w:sz w:val="24"/>
          <w:szCs w:val="24"/>
          <w:lang w:val="en-US"/>
        </w:rPr>
      </w:pPr>
      <w:r>
        <w:rPr>
          <w:rFonts w:ascii="Arial" w:hAnsi="Arial" w:cs="Arial"/>
          <w:sz w:val="24"/>
          <w:szCs w:val="24"/>
        </w:rPr>
        <w:t>“</w:t>
      </w:r>
      <w:r w:rsidRPr="00F770E0">
        <w:rPr>
          <w:rFonts w:ascii="Arial" w:hAnsi="Arial" w:cs="Arial"/>
          <w:i/>
          <w:iCs/>
          <w:sz w:val="24"/>
          <w:szCs w:val="24"/>
        </w:rPr>
        <w:t>W</w:t>
      </w:r>
      <w:r w:rsidRPr="00F770E0">
        <w:rPr>
          <w:rFonts w:ascii="Arial" w:hAnsi="Arial" w:cs="Arial"/>
          <w:i/>
          <w:iCs/>
          <w:lang w:val="en-US"/>
        </w:rPr>
        <w:t>here the applicant has used an invented or fancy name for his business it will more easily be found that the respondent, if he uses the same or a similar name for his own business, is falsely representing his business as be</w:t>
      </w:r>
      <w:r w:rsidR="002E58FC">
        <w:rPr>
          <w:rFonts w:ascii="Arial" w:hAnsi="Arial" w:cs="Arial"/>
          <w:i/>
          <w:iCs/>
          <w:lang w:val="en-US"/>
        </w:rPr>
        <w:t>ing</w:t>
      </w:r>
      <w:r w:rsidRPr="00F770E0">
        <w:rPr>
          <w:rFonts w:ascii="Arial" w:hAnsi="Arial" w:cs="Arial"/>
          <w:i/>
          <w:iCs/>
          <w:lang w:val="en-US"/>
        </w:rPr>
        <w:t xml:space="preserve"> that of, or being associated with, the business of the applicant. </w:t>
      </w:r>
      <w:r w:rsidR="002E58FC">
        <w:rPr>
          <w:rFonts w:ascii="Arial" w:hAnsi="Arial" w:cs="Arial"/>
          <w:i/>
          <w:iCs/>
          <w:lang w:val="en-US"/>
        </w:rPr>
        <w:t xml:space="preserve"> </w:t>
      </w:r>
      <w:r w:rsidRPr="00F770E0">
        <w:rPr>
          <w:rFonts w:ascii="Arial" w:hAnsi="Arial" w:cs="Arial"/>
          <w:i/>
          <w:iCs/>
          <w:lang w:val="en-US"/>
        </w:rPr>
        <w:t xml:space="preserve">However, when an applicant uses his own name or mere descriptive words in naming his business, an interdict will not easily be granted unless the applicant can show that his name, or the descriptive words used by him, have become so associated with his business or his products </w:t>
      </w:r>
      <w:r w:rsidRPr="00F770E0">
        <w:rPr>
          <w:rFonts w:ascii="Arial" w:hAnsi="Arial" w:cs="Arial"/>
          <w:i/>
          <w:iCs/>
          <w:lang w:val="en-US"/>
        </w:rPr>
        <w:lastRenderedPageBreak/>
        <w:t>that they have acquired a secondary meaning and are associated in the minds of the public with the applicants product or business, and that of no one else.</w:t>
      </w:r>
      <w:r>
        <w:rPr>
          <w:rFonts w:ascii="Arial" w:hAnsi="Arial" w:cs="Arial"/>
          <w:sz w:val="24"/>
          <w:szCs w:val="24"/>
          <w:lang w:val="en-US"/>
        </w:rPr>
        <w:t>”</w:t>
      </w:r>
    </w:p>
    <w:p w14:paraId="10197DDE" w14:textId="4C67A8B3" w:rsidR="002E58FC" w:rsidRDefault="002E58FC" w:rsidP="0063172B">
      <w:pPr>
        <w:spacing w:after="0" w:line="480" w:lineRule="auto"/>
        <w:jc w:val="both"/>
        <w:rPr>
          <w:rFonts w:ascii="Arial" w:hAnsi="Arial" w:cs="Arial"/>
          <w:sz w:val="24"/>
          <w:szCs w:val="24"/>
        </w:rPr>
      </w:pPr>
    </w:p>
    <w:p w14:paraId="4091F638" w14:textId="5041E693" w:rsidR="00A623A9"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E58FC" w:rsidRPr="00EA206A">
        <w:rPr>
          <w:rFonts w:ascii="Arial" w:hAnsi="Arial" w:cs="Arial"/>
          <w:sz w:val="24"/>
          <w:szCs w:val="24"/>
        </w:rPr>
        <w:t xml:space="preserve">Given that the primary function of descriptive words is to describe and not distinguish, the courts will not easily find that </w:t>
      </w:r>
      <w:r w:rsidR="0063172B" w:rsidRPr="00EA206A">
        <w:rPr>
          <w:rFonts w:ascii="Arial" w:hAnsi="Arial" w:cs="Arial"/>
          <w:sz w:val="24"/>
          <w:szCs w:val="24"/>
        </w:rPr>
        <w:t xml:space="preserve">descriptive words </w:t>
      </w:r>
      <w:r w:rsidR="002E58FC" w:rsidRPr="00EA206A">
        <w:rPr>
          <w:rFonts w:ascii="Arial" w:hAnsi="Arial" w:cs="Arial"/>
          <w:sz w:val="24"/>
          <w:szCs w:val="24"/>
        </w:rPr>
        <w:t xml:space="preserve">have become distinctive of the </w:t>
      </w:r>
      <w:r w:rsidR="00222C0F" w:rsidRPr="00EA206A">
        <w:rPr>
          <w:rFonts w:ascii="Arial" w:hAnsi="Arial" w:cs="Arial"/>
          <w:sz w:val="24"/>
          <w:szCs w:val="24"/>
        </w:rPr>
        <w:t>business,</w:t>
      </w:r>
      <w:r w:rsidR="002E58FC" w:rsidRPr="00EA206A">
        <w:rPr>
          <w:rFonts w:ascii="Arial" w:hAnsi="Arial" w:cs="Arial"/>
          <w:sz w:val="24"/>
          <w:szCs w:val="24"/>
        </w:rPr>
        <w:t xml:space="preserve"> or the products of the person using them</w:t>
      </w:r>
      <w:r w:rsidR="0063172B" w:rsidRPr="00EA206A">
        <w:rPr>
          <w:rFonts w:ascii="Arial" w:hAnsi="Arial" w:cs="Arial"/>
          <w:sz w:val="24"/>
          <w:szCs w:val="24"/>
        </w:rPr>
        <w:t xml:space="preserve"> </w:t>
      </w:r>
      <w:r w:rsidR="002E58FC" w:rsidRPr="00EA206A">
        <w:rPr>
          <w:rFonts w:ascii="Arial" w:hAnsi="Arial" w:cs="Arial"/>
          <w:sz w:val="24"/>
          <w:szCs w:val="24"/>
        </w:rPr>
        <w:t>and will not give what amounts to a monopoly in such words to one trader at the expense of another.</w:t>
      </w:r>
      <w:r w:rsidR="00A623A9" w:rsidRPr="00EA206A">
        <w:rPr>
          <w:rFonts w:ascii="Arial" w:hAnsi="Arial" w:cs="Arial"/>
          <w:sz w:val="24"/>
          <w:szCs w:val="24"/>
        </w:rPr>
        <w:t xml:space="preserve">  Conversely, fancy names are designed specifically to distinguish services or products of one competitor from those of another.  Accordingly, they are in themselves distinctive.</w:t>
      </w:r>
      <w:r w:rsidR="00A623A9">
        <w:rPr>
          <w:rStyle w:val="FootnoteReference"/>
          <w:rFonts w:ascii="Arial" w:hAnsi="Arial" w:cs="Arial"/>
          <w:sz w:val="24"/>
          <w:szCs w:val="24"/>
        </w:rPr>
        <w:footnoteReference w:id="7"/>
      </w:r>
    </w:p>
    <w:p w14:paraId="325958B7" w14:textId="0023A842" w:rsidR="00ED4484" w:rsidRDefault="00ED4484" w:rsidP="00ED4484">
      <w:pPr>
        <w:pStyle w:val="ListParagraph"/>
        <w:spacing w:after="0" w:line="480" w:lineRule="auto"/>
        <w:ind w:left="851"/>
        <w:jc w:val="both"/>
        <w:rPr>
          <w:rFonts w:ascii="Arial" w:hAnsi="Arial" w:cs="Arial"/>
          <w:sz w:val="24"/>
          <w:szCs w:val="24"/>
        </w:rPr>
      </w:pPr>
    </w:p>
    <w:p w14:paraId="2DE8BF7B" w14:textId="42E2D918" w:rsidR="00EE1BE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D4484" w:rsidRPr="00EA206A">
        <w:rPr>
          <w:rFonts w:ascii="Arial" w:hAnsi="Arial" w:cs="Arial"/>
          <w:sz w:val="24"/>
          <w:szCs w:val="24"/>
        </w:rPr>
        <w:t xml:space="preserve">As previously stated, both parties operate within the Fixed Fire Protection Industry.  The </w:t>
      </w:r>
      <w:r w:rsidR="005362AD" w:rsidRPr="00EA206A">
        <w:rPr>
          <w:rFonts w:ascii="Arial" w:hAnsi="Arial" w:cs="Arial"/>
          <w:sz w:val="24"/>
          <w:szCs w:val="24"/>
        </w:rPr>
        <w:t xml:space="preserve">first portion of the applicant’s name, </w:t>
      </w:r>
      <w:r w:rsidR="00ED4484" w:rsidRPr="00EA206A">
        <w:rPr>
          <w:rFonts w:ascii="Arial" w:hAnsi="Arial" w:cs="Arial"/>
          <w:sz w:val="24"/>
          <w:szCs w:val="24"/>
        </w:rPr>
        <w:t>“fire”</w:t>
      </w:r>
      <w:r w:rsidR="005362AD" w:rsidRPr="00EA206A">
        <w:rPr>
          <w:rFonts w:ascii="Arial" w:hAnsi="Arial" w:cs="Arial"/>
          <w:sz w:val="24"/>
          <w:szCs w:val="24"/>
        </w:rPr>
        <w:t xml:space="preserve">, </w:t>
      </w:r>
      <w:r w:rsidR="002E74FA" w:rsidRPr="00EA206A">
        <w:rPr>
          <w:rFonts w:ascii="Arial" w:hAnsi="Arial" w:cs="Arial"/>
          <w:sz w:val="24"/>
          <w:szCs w:val="24"/>
        </w:rPr>
        <w:t>i</w:t>
      </w:r>
      <w:r w:rsidR="005362AD" w:rsidRPr="00EA206A">
        <w:rPr>
          <w:rFonts w:ascii="Arial" w:hAnsi="Arial" w:cs="Arial"/>
          <w:sz w:val="24"/>
          <w:szCs w:val="24"/>
        </w:rPr>
        <w:t xml:space="preserve">s </w:t>
      </w:r>
      <w:r w:rsidR="00222C0F" w:rsidRPr="00EA206A">
        <w:rPr>
          <w:rFonts w:ascii="Arial" w:hAnsi="Arial" w:cs="Arial"/>
          <w:sz w:val="24"/>
          <w:szCs w:val="24"/>
        </w:rPr>
        <w:t>unquestionably</w:t>
      </w:r>
      <w:r w:rsidR="005362AD" w:rsidRPr="00EA206A">
        <w:rPr>
          <w:rFonts w:ascii="Arial" w:hAnsi="Arial" w:cs="Arial"/>
          <w:sz w:val="24"/>
          <w:szCs w:val="24"/>
        </w:rPr>
        <w:t xml:space="preserve"> descriptive of the industry in which </w:t>
      </w:r>
      <w:r w:rsidR="00046D1C" w:rsidRPr="00EA206A">
        <w:rPr>
          <w:rFonts w:ascii="Arial" w:hAnsi="Arial" w:cs="Arial"/>
          <w:sz w:val="24"/>
          <w:szCs w:val="24"/>
        </w:rPr>
        <w:t>the applicant</w:t>
      </w:r>
      <w:r w:rsidR="005362AD" w:rsidRPr="00EA206A">
        <w:rPr>
          <w:rFonts w:ascii="Arial" w:hAnsi="Arial" w:cs="Arial"/>
          <w:sz w:val="24"/>
          <w:szCs w:val="24"/>
        </w:rPr>
        <w:t xml:space="preserve"> operates.</w:t>
      </w:r>
      <w:r w:rsidR="00CA434D" w:rsidRPr="00EA206A">
        <w:rPr>
          <w:rFonts w:ascii="Arial" w:hAnsi="Arial" w:cs="Arial"/>
          <w:sz w:val="24"/>
          <w:szCs w:val="24"/>
        </w:rPr>
        <w:t xml:space="preserve">  It is an ordinary English word and cannot be said to have been constructed.  Accordingly, the word ‘fire’ is not in itself distinctive.  </w:t>
      </w:r>
      <w:r w:rsidR="005B42D0" w:rsidRPr="00EA206A">
        <w:rPr>
          <w:rFonts w:ascii="Arial" w:hAnsi="Arial" w:cs="Arial"/>
          <w:sz w:val="24"/>
          <w:szCs w:val="24"/>
        </w:rPr>
        <w:t xml:space="preserve">However, </w:t>
      </w:r>
      <w:r w:rsidR="00D63A40" w:rsidRPr="00EA206A">
        <w:rPr>
          <w:rFonts w:ascii="Arial" w:hAnsi="Arial" w:cs="Arial"/>
          <w:sz w:val="24"/>
          <w:szCs w:val="24"/>
        </w:rPr>
        <w:t>the applicant’s trading name is made up of two words, ‘fire’ and ‘logic’.  Whilst I accept that the word ‘logic’ is an ordinary English word</w:t>
      </w:r>
      <w:r w:rsidR="00C42BF0" w:rsidRPr="00EA206A">
        <w:rPr>
          <w:rFonts w:ascii="Arial" w:hAnsi="Arial" w:cs="Arial"/>
          <w:sz w:val="24"/>
          <w:szCs w:val="24"/>
        </w:rPr>
        <w:t>,</w:t>
      </w:r>
      <w:r w:rsidR="00CA1F2B" w:rsidRPr="00EA206A">
        <w:rPr>
          <w:rFonts w:ascii="Arial" w:hAnsi="Arial" w:cs="Arial"/>
          <w:sz w:val="24"/>
          <w:szCs w:val="24"/>
        </w:rPr>
        <w:t xml:space="preserve"> which denotes the ability to reason correctly</w:t>
      </w:r>
      <w:r w:rsidR="005B42D0" w:rsidRPr="00EA206A">
        <w:rPr>
          <w:rFonts w:ascii="Arial" w:hAnsi="Arial" w:cs="Arial"/>
          <w:sz w:val="24"/>
          <w:szCs w:val="24"/>
        </w:rPr>
        <w:t>;</w:t>
      </w:r>
      <w:r w:rsidR="00D63A40" w:rsidRPr="00EA206A">
        <w:rPr>
          <w:rFonts w:ascii="Arial" w:hAnsi="Arial" w:cs="Arial"/>
          <w:sz w:val="24"/>
          <w:szCs w:val="24"/>
        </w:rPr>
        <w:t xml:space="preserve"> </w:t>
      </w:r>
      <w:r w:rsidR="00C42BF0" w:rsidRPr="00EA206A">
        <w:rPr>
          <w:rFonts w:ascii="Arial" w:hAnsi="Arial" w:cs="Arial"/>
          <w:sz w:val="24"/>
          <w:szCs w:val="24"/>
        </w:rPr>
        <w:t>alternatively, the course of action as a necessary consequence of</w:t>
      </w:r>
      <w:r w:rsidR="003B2DA6" w:rsidRPr="00EA206A">
        <w:rPr>
          <w:rFonts w:ascii="Arial" w:hAnsi="Arial" w:cs="Arial"/>
          <w:sz w:val="24"/>
          <w:szCs w:val="24"/>
        </w:rPr>
        <w:t xml:space="preserve"> something else; when the words are utilised together, the name </w:t>
      </w:r>
      <w:r w:rsidR="003B2DA6" w:rsidRPr="00EA206A">
        <w:rPr>
          <w:rFonts w:ascii="Arial" w:hAnsi="Arial" w:cs="Arial"/>
          <w:b/>
          <w:bCs/>
          <w:sz w:val="24"/>
          <w:szCs w:val="24"/>
        </w:rPr>
        <w:t>FIRE LOGIC</w:t>
      </w:r>
      <w:r w:rsidR="003B2DA6" w:rsidRPr="00EA206A">
        <w:rPr>
          <w:rFonts w:ascii="Arial" w:hAnsi="Arial" w:cs="Arial"/>
          <w:sz w:val="24"/>
          <w:szCs w:val="24"/>
        </w:rPr>
        <w:t xml:space="preserve"> has no ordinary meaning in any official language other than to serve to distinguish the services of the applicant from those of its competitors.  This is distinguishable </w:t>
      </w:r>
      <w:r w:rsidR="003B2DA6" w:rsidRPr="00EA206A">
        <w:rPr>
          <w:rFonts w:ascii="Arial" w:hAnsi="Arial" w:cs="Arial"/>
          <w:sz w:val="24"/>
          <w:szCs w:val="24"/>
        </w:rPr>
        <w:lastRenderedPageBreak/>
        <w:t xml:space="preserve">from the </w:t>
      </w:r>
      <w:r w:rsidR="00EE1BE6" w:rsidRPr="00EA206A">
        <w:rPr>
          <w:rFonts w:ascii="Arial" w:hAnsi="Arial" w:cs="Arial"/>
          <w:sz w:val="24"/>
          <w:szCs w:val="24"/>
        </w:rPr>
        <w:t>position</w:t>
      </w:r>
      <w:r w:rsidR="003B2DA6" w:rsidRPr="00EA206A">
        <w:rPr>
          <w:rFonts w:ascii="Arial" w:hAnsi="Arial" w:cs="Arial"/>
          <w:sz w:val="24"/>
          <w:szCs w:val="24"/>
        </w:rPr>
        <w:t xml:space="preserve"> in </w:t>
      </w:r>
      <w:r w:rsidR="003B2DA6" w:rsidRPr="00EA206A">
        <w:rPr>
          <w:rFonts w:ascii="Arial" w:hAnsi="Arial" w:cs="Arial"/>
          <w:i/>
          <w:iCs/>
          <w:sz w:val="24"/>
          <w:szCs w:val="24"/>
        </w:rPr>
        <w:t>Sea Harvest Corporation (Pty) Ltd v Irvin &amp; Johnson Ltd</w:t>
      </w:r>
      <w:r w:rsidR="003B2DA6" w:rsidRPr="00EA206A">
        <w:rPr>
          <w:rFonts w:ascii="Arial" w:hAnsi="Arial" w:cs="Arial"/>
          <w:sz w:val="24"/>
          <w:szCs w:val="24"/>
        </w:rPr>
        <w:t>,</w:t>
      </w:r>
      <w:r w:rsidR="00DC548A">
        <w:rPr>
          <w:rStyle w:val="FootnoteReference"/>
          <w:rFonts w:ascii="Arial" w:hAnsi="Arial" w:cs="Arial"/>
          <w:sz w:val="24"/>
          <w:szCs w:val="24"/>
        </w:rPr>
        <w:footnoteReference w:id="8"/>
      </w:r>
      <w:r w:rsidR="003B2DA6" w:rsidRPr="00EA206A">
        <w:rPr>
          <w:rFonts w:ascii="Arial" w:hAnsi="Arial" w:cs="Arial"/>
          <w:sz w:val="24"/>
          <w:szCs w:val="24"/>
        </w:rPr>
        <w:t xml:space="preserve"> in which the court was called upon to consider the words “prime cut” </w:t>
      </w:r>
      <w:r w:rsidR="00B50D46" w:rsidRPr="00EA206A">
        <w:rPr>
          <w:rFonts w:ascii="Arial" w:hAnsi="Arial" w:cs="Arial"/>
          <w:sz w:val="24"/>
          <w:szCs w:val="24"/>
        </w:rPr>
        <w:t>in relation to the description of frozen fish</w:t>
      </w:r>
      <w:r w:rsidR="003B2DA6" w:rsidRPr="00EA206A">
        <w:rPr>
          <w:rFonts w:ascii="Arial" w:hAnsi="Arial" w:cs="Arial"/>
          <w:sz w:val="24"/>
          <w:szCs w:val="24"/>
        </w:rPr>
        <w:t xml:space="preserve">.  The court found that the words, when taken together, were a convenient and natural way of describing a selected piece of fish with superior quality, and which phrase is widely utilised elsewhere in the marketing of </w:t>
      </w:r>
      <w:r w:rsidR="00DC548A" w:rsidRPr="00EA206A">
        <w:rPr>
          <w:rFonts w:ascii="Arial" w:hAnsi="Arial" w:cs="Arial"/>
          <w:sz w:val="24"/>
          <w:szCs w:val="24"/>
        </w:rPr>
        <w:t>superior cuts of fish.</w:t>
      </w:r>
      <w:r w:rsidR="00EE1BE6" w:rsidRPr="00EA206A">
        <w:rPr>
          <w:rFonts w:ascii="Arial" w:hAnsi="Arial" w:cs="Arial"/>
          <w:sz w:val="24"/>
          <w:szCs w:val="24"/>
        </w:rPr>
        <w:t xml:space="preserve">  Th</w:t>
      </w:r>
      <w:r w:rsidR="00D87B56" w:rsidRPr="00EA206A">
        <w:rPr>
          <w:rFonts w:ascii="Arial" w:hAnsi="Arial" w:cs="Arial"/>
          <w:sz w:val="24"/>
          <w:szCs w:val="24"/>
        </w:rPr>
        <w:t xml:space="preserve">e same cannot be said of the words under consideration in the present matter.  </w:t>
      </w:r>
      <w:r w:rsidR="005B42D0" w:rsidRPr="00EA206A">
        <w:rPr>
          <w:rFonts w:ascii="Arial" w:hAnsi="Arial" w:cs="Arial"/>
          <w:sz w:val="24"/>
          <w:szCs w:val="24"/>
        </w:rPr>
        <w:t xml:space="preserve">I am satisfied that the name </w:t>
      </w:r>
      <w:r w:rsidR="005B42D0" w:rsidRPr="00EA206A">
        <w:rPr>
          <w:rFonts w:ascii="Arial" w:hAnsi="Arial" w:cs="Arial"/>
          <w:b/>
          <w:bCs/>
          <w:sz w:val="24"/>
          <w:szCs w:val="24"/>
        </w:rPr>
        <w:t>FIRE LOGIC</w:t>
      </w:r>
      <w:r w:rsidR="005B42D0" w:rsidRPr="00EA206A">
        <w:rPr>
          <w:rFonts w:ascii="Arial" w:hAnsi="Arial" w:cs="Arial"/>
          <w:sz w:val="24"/>
          <w:szCs w:val="24"/>
        </w:rPr>
        <w:t xml:space="preserve"> is a fancy name</w:t>
      </w:r>
      <w:r w:rsidR="00EE1BE6" w:rsidRPr="00EA206A">
        <w:rPr>
          <w:rFonts w:ascii="Arial" w:hAnsi="Arial" w:cs="Arial"/>
          <w:sz w:val="24"/>
          <w:szCs w:val="24"/>
        </w:rPr>
        <w:t>.</w:t>
      </w:r>
    </w:p>
    <w:p w14:paraId="69411491" w14:textId="5DACD8DF" w:rsidR="00EE1BE6" w:rsidRDefault="00EE1BE6" w:rsidP="00EE1BE6">
      <w:pPr>
        <w:pStyle w:val="ListParagraph"/>
        <w:spacing w:after="0" w:line="480" w:lineRule="auto"/>
        <w:ind w:left="851"/>
        <w:jc w:val="both"/>
        <w:rPr>
          <w:rFonts w:ascii="Arial" w:hAnsi="Arial" w:cs="Arial"/>
          <w:sz w:val="24"/>
          <w:szCs w:val="24"/>
        </w:rPr>
      </w:pPr>
    </w:p>
    <w:p w14:paraId="7DA76CD5" w14:textId="37A29678" w:rsidR="00EB2D00"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01D31" w:rsidRPr="00EA206A">
        <w:rPr>
          <w:rFonts w:ascii="Arial" w:hAnsi="Arial" w:cs="Arial"/>
          <w:sz w:val="24"/>
          <w:szCs w:val="24"/>
        </w:rPr>
        <w:t>S</w:t>
      </w:r>
      <w:r w:rsidR="00EB2D00" w:rsidRPr="00EA206A">
        <w:rPr>
          <w:rFonts w:ascii="Arial" w:hAnsi="Arial" w:cs="Arial"/>
          <w:sz w:val="24"/>
          <w:szCs w:val="24"/>
        </w:rPr>
        <w:t xml:space="preserve">hould I be incorrect in this regard, I am </w:t>
      </w:r>
      <w:r w:rsidR="00301D31" w:rsidRPr="00EA206A">
        <w:rPr>
          <w:rFonts w:ascii="Arial" w:hAnsi="Arial" w:cs="Arial"/>
          <w:sz w:val="24"/>
          <w:szCs w:val="24"/>
        </w:rPr>
        <w:t xml:space="preserve">in any event </w:t>
      </w:r>
      <w:r w:rsidR="00EB2D00" w:rsidRPr="00EA206A">
        <w:rPr>
          <w:rFonts w:ascii="Arial" w:hAnsi="Arial" w:cs="Arial"/>
          <w:sz w:val="24"/>
          <w:szCs w:val="24"/>
        </w:rPr>
        <w:t xml:space="preserve">satisfied that the </w:t>
      </w:r>
      <w:r w:rsidR="00EE1BE6" w:rsidRPr="00EA206A">
        <w:rPr>
          <w:rFonts w:ascii="Arial" w:hAnsi="Arial" w:cs="Arial"/>
          <w:sz w:val="24"/>
          <w:szCs w:val="24"/>
        </w:rPr>
        <w:t xml:space="preserve">  </w:t>
      </w:r>
      <w:r w:rsidR="00EB2D00" w:rsidRPr="00EA206A">
        <w:rPr>
          <w:rFonts w:ascii="Arial" w:hAnsi="Arial" w:cs="Arial"/>
          <w:sz w:val="24"/>
          <w:szCs w:val="24"/>
        </w:rPr>
        <w:t>applicant has established that the public associates its trade name with the applicant’s services</w:t>
      </w:r>
      <w:r w:rsidR="000B31DA" w:rsidRPr="00EA206A">
        <w:rPr>
          <w:rFonts w:ascii="Arial" w:hAnsi="Arial" w:cs="Arial"/>
          <w:sz w:val="24"/>
          <w:szCs w:val="24"/>
        </w:rPr>
        <w:t xml:space="preserve"> in the Eastern and Western Cape regions</w:t>
      </w:r>
      <w:r w:rsidR="00EB2D00" w:rsidRPr="00EA206A">
        <w:rPr>
          <w:rFonts w:ascii="Arial" w:hAnsi="Arial" w:cs="Arial"/>
          <w:sz w:val="24"/>
          <w:szCs w:val="24"/>
        </w:rPr>
        <w:t>.  Whilst it is so that a claimant must establish that it has a reputation among a substantial number of persons who are either clients or potential clients of its business</w:t>
      </w:r>
      <w:r w:rsidR="00E62BD9" w:rsidRPr="00EA206A">
        <w:rPr>
          <w:rFonts w:ascii="Arial" w:hAnsi="Arial" w:cs="Arial"/>
          <w:sz w:val="24"/>
          <w:szCs w:val="24"/>
        </w:rPr>
        <w:t>;</w:t>
      </w:r>
      <w:r w:rsidR="0050689A">
        <w:rPr>
          <w:rStyle w:val="FootnoteReference"/>
          <w:rFonts w:ascii="Arial" w:hAnsi="Arial" w:cs="Arial"/>
          <w:sz w:val="24"/>
          <w:szCs w:val="24"/>
        </w:rPr>
        <w:footnoteReference w:id="9"/>
      </w:r>
      <w:r w:rsidR="00EB2D00" w:rsidRPr="00EA206A">
        <w:rPr>
          <w:rFonts w:ascii="Arial" w:hAnsi="Arial" w:cs="Arial"/>
          <w:sz w:val="24"/>
          <w:szCs w:val="24"/>
        </w:rPr>
        <w:t xml:space="preserve"> what constitutes a </w:t>
      </w:r>
      <w:r w:rsidR="00E62BD9" w:rsidRPr="00EA206A">
        <w:rPr>
          <w:rFonts w:ascii="Arial" w:hAnsi="Arial" w:cs="Arial"/>
          <w:sz w:val="24"/>
          <w:szCs w:val="24"/>
        </w:rPr>
        <w:t>‘</w:t>
      </w:r>
      <w:r w:rsidR="00EB2D00" w:rsidRPr="00EA206A">
        <w:rPr>
          <w:rFonts w:ascii="Arial" w:hAnsi="Arial" w:cs="Arial"/>
          <w:sz w:val="24"/>
          <w:szCs w:val="24"/>
        </w:rPr>
        <w:t>su</w:t>
      </w:r>
      <w:r w:rsidR="00E62BD9" w:rsidRPr="00EA206A">
        <w:rPr>
          <w:rFonts w:ascii="Arial" w:hAnsi="Arial" w:cs="Arial"/>
          <w:sz w:val="24"/>
          <w:szCs w:val="24"/>
        </w:rPr>
        <w:t>bstantial</w:t>
      </w:r>
      <w:r w:rsidR="00EB2D00" w:rsidRPr="00EA206A">
        <w:rPr>
          <w:rFonts w:ascii="Arial" w:hAnsi="Arial" w:cs="Arial"/>
          <w:sz w:val="24"/>
          <w:szCs w:val="24"/>
        </w:rPr>
        <w:t xml:space="preserve"> number</w:t>
      </w:r>
      <w:r w:rsidR="00E62BD9" w:rsidRPr="00EA206A">
        <w:rPr>
          <w:rFonts w:ascii="Arial" w:hAnsi="Arial" w:cs="Arial"/>
          <w:sz w:val="24"/>
          <w:szCs w:val="24"/>
        </w:rPr>
        <w:t>’</w:t>
      </w:r>
      <w:r w:rsidR="00EB2D00" w:rsidRPr="00EA206A">
        <w:rPr>
          <w:rFonts w:ascii="Arial" w:hAnsi="Arial" w:cs="Arial"/>
          <w:sz w:val="24"/>
          <w:szCs w:val="24"/>
        </w:rPr>
        <w:t xml:space="preserve"> is </w:t>
      </w:r>
      <w:r w:rsidR="00E62BD9" w:rsidRPr="00EA206A">
        <w:rPr>
          <w:rFonts w:ascii="Arial" w:hAnsi="Arial" w:cs="Arial"/>
          <w:sz w:val="24"/>
          <w:szCs w:val="24"/>
        </w:rPr>
        <w:t>dependent</w:t>
      </w:r>
      <w:r w:rsidR="00EB2D00" w:rsidRPr="00EA206A">
        <w:rPr>
          <w:rFonts w:ascii="Arial" w:hAnsi="Arial" w:cs="Arial"/>
          <w:sz w:val="24"/>
          <w:szCs w:val="24"/>
        </w:rPr>
        <w:t xml:space="preserve"> upon the circumstances of each case, and is in my view, inextricably linked to the </w:t>
      </w:r>
      <w:r w:rsidR="00E62BD9" w:rsidRPr="00EA206A">
        <w:rPr>
          <w:rFonts w:ascii="Arial" w:hAnsi="Arial" w:cs="Arial"/>
          <w:sz w:val="24"/>
          <w:szCs w:val="24"/>
        </w:rPr>
        <w:t>industry in which a claimant operates or the market in which the products are advertised</w:t>
      </w:r>
      <w:r w:rsidR="00EB2D00" w:rsidRPr="00EA206A">
        <w:rPr>
          <w:rFonts w:ascii="Arial" w:hAnsi="Arial" w:cs="Arial"/>
          <w:sz w:val="24"/>
          <w:szCs w:val="24"/>
        </w:rPr>
        <w:t>.</w:t>
      </w:r>
      <w:r w:rsidR="00E62BD9" w:rsidRPr="00EA206A">
        <w:rPr>
          <w:rFonts w:ascii="Arial" w:hAnsi="Arial" w:cs="Arial"/>
          <w:sz w:val="24"/>
          <w:szCs w:val="24"/>
        </w:rPr>
        <w:t xml:space="preserve">  </w:t>
      </w:r>
      <w:r w:rsidR="0050689A" w:rsidRPr="00EA206A">
        <w:rPr>
          <w:rFonts w:ascii="Arial" w:hAnsi="Arial" w:cs="Arial"/>
          <w:sz w:val="24"/>
          <w:szCs w:val="24"/>
        </w:rPr>
        <w:t>For example</w:t>
      </w:r>
      <w:r w:rsidR="00E62BD9" w:rsidRPr="00EA206A">
        <w:rPr>
          <w:rFonts w:ascii="Arial" w:hAnsi="Arial" w:cs="Arial"/>
          <w:sz w:val="24"/>
          <w:szCs w:val="24"/>
        </w:rPr>
        <w:t xml:space="preserve">, the number of persons </w:t>
      </w:r>
      <w:r w:rsidR="0050689A" w:rsidRPr="00EA206A">
        <w:rPr>
          <w:rFonts w:ascii="Arial" w:hAnsi="Arial" w:cs="Arial"/>
          <w:sz w:val="24"/>
          <w:szCs w:val="24"/>
        </w:rPr>
        <w:t xml:space="preserve">required </w:t>
      </w:r>
      <w:r w:rsidR="00E62BD9" w:rsidRPr="00EA206A">
        <w:rPr>
          <w:rFonts w:ascii="Arial" w:hAnsi="Arial" w:cs="Arial"/>
          <w:sz w:val="24"/>
          <w:szCs w:val="24"/>
        </w:rPr>
        <w:t>to reach th</w:t>
      </w:r>
      <w:r w:rsidR="00244D8E" w:rsidRPr="00EA206A">
        <w:rPr>
          <w:rFonts w:ascii="Arial" w:hAnsi="Arial" w:cs="Arial"/>
          <w:sz w:val="24"/>
          <w:szCs w:val="24"/>
        </w:rPr>
        <w:t>e required</w:t>
      </w:r>
      <w:r w:rsidR="00E62BD9" w:rsidRPr="00EA206A">
        <w:rPr>
          <w:rFonts w:ascii="Arial" w:hAnsi="Arial" w:cs="Arial"/>
          <w:sz w:val="24"/>
          <w:szCs w:val="24"/>
        </w:rPr>
        <w:t xml:space="preserve"> threshold, in the case of a specialised market</w:t>
      </w:r>
      <w:r w:rsidR="0050689A" w:rsidRPr="00EA206A">
        <w:rPr>
          <w:rFonts w:ascii="Arial" w:hAnsi="Arial" w:cs="Arial"/>
          <w:sz w:val="24"/>
          <w:szCs w:val="24"/>
        </w:rPr>
        <w:t xml:space="preserve"> or industry</w:t>
      </w:r>
      <w:r w:rsidR="00E62BD9" w:rsidRPr="00EA206A">
        <w:rPr>
          <w:rFonts w:ascii="Arial" w:hAnsi="Arial" w:cs="Arial"/>
          <w:sz w:val="24"/>
          <w:szCs w:val="24"/>
        </w:rPr>
        <w:t xml:space="preserve">, such as </w:t>
      </w:r>
      <w:r w:rsidR="0050689A" w:rsidRPr="00EA206A">
        <w:rPr>
          <w:rFonts w:ascii="Arial" w:hAnsi="Arial" w:cs="Arial"/>
          <w:sz w:val="24"/>
          <w:szCs w:val="24"/>
        </w:rPr>
        <w:t xml:space="preserve">in </w:t>
      </w:r>
      <w:r w:rsidR="00E62BD9" w:rsidRPr="00EA206A">
        <w:rPr>
          <w:rFonts w:ascii="Arial" w:hAnsi="Arial" w:cs="Arial"/>
          <w:sz w:val="24"/>
          <w:szCs w:val="24"/>
        </w:rPr>
        <w:t>the present</w:t>
      </w:r>
      <w:r w:rsidR="0050689A" w:rsidRPr="00EA206A">
        <w:rPr>
          <w:rFonts w:ascii="Arial" w:hAnsi="Arial" w:cs="Arial"/>
          <w:sz w:val="24"/>
          <w:szCs w:val="24"/>
        </w:rPr>
        <w:t xml:space="preserve"> instance</w:t>
      </w:r>
      <w:r w:rsidR="00E62BD9" w:rsidRPr="00EA206A">
        <w:rPr>
          <w:rFonts w:ascii="Arial" w:hAnsi="Arial" w:cs="Arial"/>
          <w:sz w:val="24"/>
          <w:szCs w:val="24"/>
        </w:rPr>
        <w:t>, could be relatively small; whereas it would need to be significant</w:t>
      </w:r>
      <w:r w:rsidR="0050689A" w:rsidRPr="00EA206A">
        <w:rPr>
          <w:rFonts w:ascii="Arial" w:hAnsi="Arial" w:cs="Arial"/>
          <w:sz w:val="24"/>
          <w:szCs w:val="24"/>
        </w:rPr>
        <w:t>ly higher</w:t>
      </w:r>
      <w:r w:rsidR="00E62BD9" w:rsidRPr="00EA206A">
        <w:rPr>
          <w:rFonts w:ascii="Arial" w:hAnsi="Arial" w:cs="Arial"/>
          <w:sz w:val="24"/>
          <w:szCs w:val="24"/>
        </w:rPr>
        <w:t xml:space="preserve"> in the case of a product</w:t>
      </w:r>
      <w:r w:rsidR="0050689A" w:rsidRPr="00EA206A">
        <w:rPr>
          <w:rFonts w:ascii="Arial" w:hAnsi="Arial" w:cs="Arial"/>
          <w:sz w:val="24"/>
          <w:szCs w:val="24"/>
        </w:rPr>
        <w:t>,</w:t>
      </w:r>
      <w:r w:rsidR="00E62BD9" w:rsidRPr="00EA206A">
        <w:rPr>
          <w:rFonts w:ascii="Arial" w:hAnsi="Arial" w:cs="Arial"/>
          <w:sz w:val="24"/>
          <w:szCs w:val="24"/>
        </w:rPr>
        <w:t xml:space="preserve"> which is targeted at the mass market.</w:t>
      </w:r>
      <w:r w:rsidR="0050689A">
        <w:rPr>
          <w:rStyle w:val="FootnoteReference"/>
          <w:rFonts w:ascii="Arial" w:hAnsi="Arial" w:cs="Arial"/>
          <w:sz w:val="24"/>
          <w:szCs w:val="24"/>
        </w:rPr>
        <w:footnoteReference w:id="10"/>
      </w:r>
      <w:r w:rsidR="00EB2D00" w:rsidRPr="00EA206A">
        <w:rPr>
          <w:rFonts w:ascii="Arial" w:hAnsi="Arial" w:cs="Arial"/>
          <w:sz w:val="24"/>
          <w:szCs w:val="24"/>
        </w:rPr>
        <w:t xml:space="preserve"> </w:t>
      </w:r>
    </w:p>
    <w:p w14:paraId="1B073213" w14:textId="77777777" w:rsidR="00EB2D00" w:rsidRPr="00EB2D00" w:rsidRDefault="00EB2D00" w:rsidP="002E10EC">
      <w:pPr>
        <w:pStyle w:val="ListParagraph"/>
        <w:spacing w:after="0" w:line="480" w:lineRule="auto"/>
        <w:rPr>
          <w:rFonts w:ascii="Arial" w:hAnsi="Arial" w:cs="Arial"/>
          <w:sz w:val="24"/>
          <w:szCs w:val="24"/>
        </w:rPr>
      </w:pPr>
    </w:p>
    <w:p w14:paraId="3A342E6B" w14:textId="401E84E3" w:rsidR="005C56F8" w:rsidRPr="00EA206A" w:rsidRDefault="00EA206A" w:rsidP="00EA206A">
      <w:pPr>
        <w:spacing w:after="0" w:line="480" w:lineRule="auto"/>
        <w:ind w:left="851" w:hanging="851"/>
        <w:jc w:val="both"/>
        <w:rPr>
          <w:rFonts w:ascii="Arial" w:hAnsi="Arial" w:cs="Arial"/>
          <w:i/>
          <w:iCs/>
        </w:rPr>
      </w:pPr>
      <w:r w:rsidRPr="003778B7">
        <w:rPr>
          <w:rFonts w:ascii="Arial" w:hAnsi="Arial" w:cs="Arial"/>
          <w:sz w:val="24"/>
          <w:szCs w:val="24"/>
        </w:rPr>
        <w:lastRenderedPageBreak/>
        <w:t>[23]</w:t>
      </w:r>
      <w:r w:rsidRPr="003778B7">
        <w:rPr>
          <w:rFonts w:ascii="Arial" w:hAnsi="Arial" w:cs="Arial"/>
          <w:sz w:val="24"/>
          <w:szCs w:val="24"/>
        </w:rPr>
        <w:tab/>
      </w:r>
      <w:r w:rsidR="002E10EC" w:rsidRPr="00EA206A">
        <w:rPr>
          <w:rFonts w:ascii="Arial" w:hAnsi="Arial" w:cs="Arial"/>
          <w:sz w:val="24"/>
          <w:szCs w:val="24"/>
        </w:rPr>
        <w:t>T</w:t>
      </w:r>
      <w:r w:rsidR="00C50EAE" w:rsidRPr="00EA206A">
        <w:rPr>
          <w:rFonts w:ascii="Arial" w:hAnsi="Arial" w:cs="Arial"/>
          <w:sz w:val="24"/>
          <w:szCs w:val="24"/>
        </w:rPr>
        <w:t xml:space="preserve">he </w:t>
      </w:r>
      <w:r w:rsidR="008F68C1" w:rsidRPr="00EA206A">
        <w:rPr>
          <w:rFonts w:ascii="Arial" w:hAnsi="Arial" w:cs="Arial"/>
          <w:sz w:val="24"/>
          <w:szCs w:val="24"/>
        </w:rPr>
        <w:t xml:space="preserve">respondent’s </w:t>
      </w:r>
      <w:r w:rsidR="005C56F8" w:rsidRPr="00EA206A">
        <w:rPr>
          <w:rFonts w:ascii="Arial" w:hAnsi="Arial" w:cs="Arial"/>
          <w:sz w:val="24"/>
          <w:szCs w:val="24"/>
        </w:rPr>
        <w:t xml:space="preserve">allegations, regarding the applicant’s alleged failure to </w:t>
      </w:r>
      <w:r w:rsidR="006304AD" w:rsidRPr="00EA206A">
        <w:rPr>
          <w:rFonts w:ascii="Arial" w:hAnsi="Arial" w:cs="Arial"/>
          <w:sz w:val="24"/>
          <w:szCs w:val="24"/>
        </w:rPr>
        <w:t xml:space="preserve">establish a reputation, </w:t>
      </w:r>
      <w:r w:rsidR="005C56F8" w:rsidRPr="00EA206A">
        <w:rPr>
          <w:rFonts w:ascii="Arial" w:hAnsi="Arial" w:cs="Arial"/>
          <w:sz w:val="24"/>
          <w:szCs w:val="24"/>
        </w:rPr>
        <w:t>in the face of the applicant’s positive assertions, amounts to no more than a bare denial and are insufficient to raise a genuine dispute of fact.  The respondent</w:t>
      </w:r>
      <w:r w:rsidR="004D3405" w:rsidRPr="00EA206A">
        <w:rPr>
          <w:rFonts w:ascii="Arial" w:hAnsi="Arial" w:cs="Arial"/>
          <w:sz w:val="24"/>
          <w:szCs w:val="24"/>
        </w:rPr>
        <w:t>, in addition to raising what it contends the applicant ought to have alleged in its founding papers to establish a reputation,</w:t>
      </w:r>
      <w:r w:rsidR="004D3405">
        <w:rPr>
          <w:rStyle w:val="FootnoteReference"/>
          <w:rFonts w:ascii="Arial" w:hAnsi="Arial" w:cs="Arial"/>
          <w:sz w:val="24"/>
          <w:szCs w:val="24"/>
        </w:rPr>
        <w:footnoteReference w:id="11"/>
      </w:r>
      <w:r w:rsidR="005C56F8" w:rsidRPr="00EA206A">
        <w:rPr>
          <w:rFonts w:ascii="Arial" w:hAnsi="Arial" w:cs="Arial"/>
          <w:sz w:val="24"/>
          <w:szCs w:val="24"/>
        </w:rPr>
        <w:t xml:space="preserve"> goes no further than to state:</w:t>
      </w:r>
    </w:p>
    <w:p w14:paraId="0110507A" w14:textId="77777777" w:rsidR="005C56F8" w:rsidRPr="005C56F8" w:rsidRDefault="005C56F8" w:rsidP="005C56F8">
      <w:pPr>
        <w:pStyle w:val="ListParagraph"/>
        <w:spacing w:after="0" w:line="480" w:lineRule="auto"/>
        <w:rPr>
          <w:rFonts w:ascii="Arial" w:hAnsi="Arial" w:cs="Arial"/>
          <w:i/>
          <w:iCs/>
        </w:rPr>
      </w:pPr>
    </w:p>
    <w:p w14:paraId="2798D0AF" w14:textId="7EE59B67" w:rsidR="00C26BEF" w:rsidRPr="008E349C" w:rsidRDefault="00C26BEF" w:rsidP="008E349C">
      <w:pPr>
        <w:pStyle w:val="ListParagraph"/>
        <w:spacing w:after="0" w:line="360" w:lineRule="auto"/>
        <w:ind w:left="851"/>
        <w:jc w:val="both"/>
        <w:rPr>
          <w:rFonts w:ascii="Arial" w:hAnsi="Arial" w:cs="Arial"/>
          <w:b/>
          <w:bCs/>
          <w:i/>
          <w:iCs/>
          <w:u w:val="single"/>
        </w:rPr>
      </w:pPr>
      <w:r w:rsidRPr="008E349C">
        <w:rPr>
          <w:rFonts w:ascii="Arial" w:hAnsi="Arial" w:cs="Arial"/>
          <w:i/>
          <w:iCs/>
        </w:rPr>
        <w:t>“</w:t>
      </w:r>
      <w:r w:rsidRPr="008E349C">
        <w:rPr>
          <w:rFonts w:ascii="Arial" w:hAnsi="Arial" w:cs="Arial"/>
          <w:b/>
          <w:bCs/>
          <w:i/>
          <w:iCs/>
          <w:u w:val="single"/>
        </w:rPr>
        <w:t>AD PARAGRAPH 6:</w:t>
      </w:r>
    </w:p>
    <w:p w14:paraId="43C4D409" w14:textId="710727D2" w:rsidR="00C26BEF" w:rsidRPr="008E349C" w:rsidRDefault="00C26BEF" w:rsidP="008E349C">
      <w:pPr>
        <w:pStyle w:val="ListParagraph"/>
        <w:spacing w:after="0" w:line="360" w:lineRule="auto"/>
        <w:ind w:left="851"/>
        <w:jc w:val="both"/>
        <w:rPr>
          <w:rFonts w:ascii="Arial" w:hAnsi="Arial" w:cs="Arial"/>
          <w:b/>
          <w:bCs/>
          <w:i/>
          <w:iCs/>
          <w:u w:val="single"/>
        </w:rPr>
      </w:pPr>
    </w:p>
    <w:p w14:paraId="3A8F993A" w14:textId="498E2CC5" w:rsidR="00C26BEF" w:rsidRPr="008E349C" w:rsidRDefault="00C26BEF" w:rsidP="008E349C">
      <w:pPr>
        <w:pStyle w:val="ListParagraph"/>
        <w:spacing w:after="0" w:line="360" w:lineRule="auto"/>
        <w:ind w:left="1436" w:hanging="585"/>
        <w:jc w:val="both"/>
        <w:rPr>
          <w:rFonts w:ascii="Arial" w:hAnsi="Arial" w:cs="Arial"/>
          <w:i/>
          <w:iCs/>
        </w:rPr>
      </w:pPr>
      <w:r w:rsidRPr="008E349C">
        <w:rPr>
          <w:rFonts w:ascii="Arial" w:hAnsi="Arial" w:cs="Arial"/>
          <w:i/>
          <w:iCs/>
        </w:rPr>
        <w:t>90.</w:t>
      </w:r>
      <w:r w:rsidRPr="008E349C">
        <w:rPr>
          <w:rFonts w:ascii="Arial" w:hAnsi="Arial" w:cs="Arial"/>
          <w:i/>
          <w:iCs/>
        </w:rPr>
        <w:tab/>
        <w:t xml:space="preserve">Save to admit that the Applicant was incorporated in 1994 and converted from Fire Logic CC to Fire Logic (Pty) Ltd, the remainder of the contents </w:t>
      </w:r>
      <w:r w:rsidR="008E349C" w:rsidRPr="008E349C">
        <w:rPr>
          <w:rFonts w:ascii="Arial" w:hAnsi="Arial" w:cs="Arial"/>
          <w:i/>
          <w:iCs/>
        </w:rPr>
        <w:t>of this paragraph are denied and the Applicant is put to the proof thereof.</w:t>
      </w:r>
    </w:p>
    <w:p w14:paraId="060BB97C" w14:textId="0A92315A" w:rsidR="008E349C" w:rsidRPr="008E349C" w:rsidRDefault="008E349C" w:rsidP="008E349C">
      <w:pPr>
        <w:pStyle w:val="ListParagraph"/>
        <w:spacing w:after="0" w:line="360" w:lineRule="auto"/>
        <w:ind w:left="851"/>
        <w:jc w:val="both"/>
        <w:rPr>
          <w:rFonts w:ascii="Arial" w:hAnsi="Arial" w:cs="Arial"/>
          <w:i/>
          <w:iCs/>
        </w:rPr>
      </w:pPr>
    </w:p>
    <w:p w14:paraId="257BFFB8" w14:textId="6E5852A3" w:rsidR="008E349C" w:rsidRPr="008E349C" w:rsidRDefault="008E349C" w:rsidP="008E349C">
      <w:pPr>
        <w:pStyle w:val="ListParagraph"/>
        <w:spacing w:after="0" w:line="360" w:lineRule="auto"/>
        <w:ind w:left="851"/>
        <w:jc w:val="both"/>
        <w:rPr>
          <w:rFonts w:ascii="Arial" w:hAnsi="Arial" w:cs="Arial"/>
          <w:b/>
          <w:bCs/>
          <w:i/>
          <w:iCs/>
          <w:u w:val="single"/>
        </w:rPr>
      </w:pPr>
      <w:r w:rsidRPr="008E349C">
        <w:rPr>
          <w:rFonts w:ascii="Arial" w:hAnsi="Arial" w:cs="Arial"/>
          <w:b/>
          <w:bCs/>
          <w:i/>
          <w:iCs/>
          <w:u w:val="single"/>
        </w:rPr>
        <w:t>AD PARAGRAPHS 7 TO 9:</w:t>
      </w:r>
    </w:p>
    <w:p w14:paraId="4D672595" w14:textId="0919B467" w:rsidR="008E349C" w:rsidRPr="008E349C" w:rsidRDefault="008E349C" w:rsidP="008E349C">
      <w:pPr>
        <w:pStyle w:val="ListParagraph"/>
        <w:spacing w:after="0" w:line="360" w:lineRule="auto"/>
        <w:ind w:left="851"/>
        <w:jc w:val="both"/>
        <w:rPr>
          <w:rFonts w:ascii="Arial" w:hAnsi="Arial" w:cs="Arial"/>
          <w:b/>
          <w:bCs/>
          <w:i/>
          <w:iCs/>
          <w:u w:val="single"/>
        </w:rPr>
      </w:pPr>
    </w:p>
    <w:p w14:paraId="3A2A7CC7" w14:textId="366FE5EC" w:rsidR="008E349C" w:rsidRPr="008E349C" w:rsidRDefault="008E349C" w:rsidP="008E349C">
      <w:pPr>
        <w:pStyle w:val="ListParagraph"/>
        <w:spacing w:after="0" w:line="360" w:lineRule="auto"/>
        <w:ind w:left="1436" w:hanging="585"/>
        <w:jc w:val="both"/>
        <w:rPr>
          <w:rFonts w:ascii="Arial" w:hAnsi="Arial" w:cs="Arial"/>
          <w:i/>
          <w:iCs/>
        </w:rPr>
      </w:pPr>
      <w:r w:rsidRPr="008E349C">
        <w:rPr>
          <w:rFonts w:ascii="Arial" w:hAnsi="Arial" w:cs="Arial"/>
          <w:i/>
          <w:iCs/>
        </w:rPr>
        <w:t>91.</w:t>
      </w:r>
      <w:r w:rsidRPr="008E349C">
        <w:rPr>
          <w:rFonts w:ascii="Arial" w:hAnsi="Arial" w:cs="Arial"/>
          <w:i/>
          <w:iCs/>
        </w:rPr>
        <w:tab/>
        <w:t>The contents of these paragraphs are denied as if each and every allegation contained therein has been specifically traversed and the Applicant is put to the proof thereof.</w:t>
      </w:r>
    </w:p>
    <w:p w14:paraId="7DD45949" w14:textId="56723B75" w:rsidR="008E349C" w:rsidRPr="008E349C" w:rsidRDefault="008E349C" w:rsidP="008E349C">
      <w:pPr>
        <w:pStyle w:val="ListParagraph"/>
        <w:spacing w:after="0" w:line="360" w:lineRule="auto"/>
        <w:ind w:left="851"/>
        <w:jc w:val="both"/>
        <w:rPr>
          <w:rFonts w:ascii="Arial" w:hAnsi="Arial" w:cs="Arial"/>
          <w:i/>
          <w:iCs/>
        </w:rPr>
      </w:pPr>
    </w:p>
    <w:p w14:paraId="775FCDBE" w14:textId="5D885B69" w:rsidR="008E349C" w:rsidRPr="008E349C" w:rsidRDefault="008E349C" w:rsidP="008E349C">
      <w:pPr>
        <w:pStyle w:val="ListParagraph"/>
        <w:spacing w:after="0" w:line="360" w:lineRule="auto"/>
        <w:ind w:left="1436" w:hanging="585"/>
        <w:jc w:val="both"/>
        <w:rPr>
          <w:rFonts w:ascii="Arial" w:hAnsi="Arial" w:cs="Arial"/>
          <w:i/>
          <w:iCs/>
        </w:rPr>
      </w:pPr>
      <w:r w:rsidRPr="008E349C">
        <w:rPr>
          <w:rFonts w:ascii="Arial" w:hAnsi="Arial" w:cs="Arial"/>
          <w:i/>
          <w:iCs/>
        </w:rPr>
        <w:t>92.</w:t>
      </w:r>
      <w:r w:rsidRPr="008E349C">
        <w:rPr>
          <w:rFonts w:ascii="Arial" w:hAnsi="Arial" w:cs="Arial"/>
          <w:i/>
          <w:iCs/>
        </w:rPr>
        <w:tab/>
        <w:t>Without derogating from the generality of the aforesaid denial the Respondent submits the following:</w:t>
      </w:r>
    </w:p>
    <w:p w14:paraId="6269F62B" w14:textId="5327B6C7" w:rsidR="008E349C" w:rsidRPr="008E349C" w:rsidRDefault="008E349C" w:rsidP="008E349C">
      <w:pPr>
        <w:pStyle w:val="ListParagraph"/>
        <w:spacing w:after="0" w:line="360" w:lineRule="auto"/>
        <w:ind w:left="851"/>
        <w:jc w:val="both"/>
        <w:rPr>
          <w:rFonts w:ascii="Arial" w:hAnsi="Arial" w:cs="Arial"/>
          <w:i/>
          <w:iCs/>
        </w:rPr>
      </w:pPr>
    </w:p>
    <w:p w14:paraId="359BDA8B" w14:textId="46FAD1BF" w:rsidR="008E349C" w:rsidRPr="008E349C" w:rsidRDefault="008E349C" w:rsidP="008E349C">
      <w:pPr>
        <w:pStyle w:val="ListParagraph"/>
        <w:spacing w:after="0" w:line="360" w:lineRule="auto"/>
        <w:ind w:left="851" w:firstLine="585"/>
        <w:jc w:val="both"/>
        <w:rPr>
          <w:rFonts w:ascii="Arial" w:hAnsi="Arial" w:cs="Arial"/>
          <w:i/>
          <w:iCs/>
        </w:rPr>
      </w:pPr>
      <w:r w:rsidRPr="008E349C">
        <w:rPr>
          <w:rFonts w:ascii="Arial" w:hAnsi="Arial" w:cs="Arial"/>
          <w:i/>
          <w:iCs/>
        </w:rPr>
        <w:t>92.1.</w:t>
      </w:r>
      <w:r w:rsidRPr="008E349C">
        <w:rPr>
          <w:rFonts w:ascii="Arial" w:hAnsi="Arial" w:cs="Arial"/>
          <w:i/>
          <w:iCs/>
        </w:rPr>
        <w:tab/>
        <w:t>The Applicant has not established that it has a reputation;</w:t>
      </w:r>
    </w:p>
    <w:p w14:paraId="4AC71156" w14:textId="77777777" w:rsidR="008E349C" w:rsidRDefault="008E349C" w:rsidP="008E349C">
      <w:pPr>
        <w:pStyle w:val="ListParagraph"/>
        <w:spacing w:after="0" w:line="360" w:lineRule="auto"/>
        <w:ind w:left="851" w:firstLine="585"/>
        <w:jc w:val="both"/>
        <w:rPr>
          <w:rFonts w:ascii="Arial" w:hAnsi="Arial" w:cs="Arial"/>
          <w:i/>
          <w:iCs/>
        </w:rPr>
      </w:pPr>
    </w:p>
    <w:p w14:paraId="1F4D5705" w14:textId="43D4838A" w:rsidR="008E349C" w:rsidRPr="008E349C" w:rsidRDefault="008E349C" w:rsidP="008E349C">
      <w:pPr>
        <w:pStyle w:val="ListParagraph"/>
        <w:spacing w:after="0" w:line="360" w:lineRule="auto"/>
        <w:ind w:left="2156" w:hanging="720"/>
        <w:jc w:val="both"/>
        <w:rPr>
          <w:rFonts w:ascii="Arial" w:hAnsi="Arial" w:cs="Arial"/>
          <w:i/>
          <w:iCs/>
        </w:rPr>
      </w:pPr>
      <w:r w:rsidRPr="008E349C">
        <w:rPr>
          <w:rFonts w:ascii="Arial" w:hAnsi="Arial" w:cs="Arial"/>
          <w:i/>
          <w:iCs/>
        </w:rPr>
        <w:t>92.2.</w:t>
      </w:r>
      <w:r w:rsidRPr="008E349C">
        <w:rPr>
          <w:rFonts w:ascii="Arial" w:hAnsi="Arial" w:cs="Arial"/>
          <w:i/>
          <w:iCs/>
        </w:rPr>
        <w:tab/>
        <w:t>The Applicant’s alleged annual turnover is not an indication of its reputation;</w:t>
      </w:r>
    </w:p>
    <w:p w14:paraId="20C16B47" w14:textId="77777777" w:rsidR="008E349C" w:rsidRDefault="008E349C" w:rsidP="008E349C">
      <w:pPr>
        <w:pStyle w:val="ListParagraph"/>
        <w:spacing w:after="0" w:line="360" w:lineRule="auto"/>
        <w:ind w:left="1436" w:hanging="585"/>
        <w:jc w:val="both"/>
        <w:rPr>
          <w:rFonts w:ascii="Arial" w:hAnsi="Arial" w:cs="Arial"/>
          <w:i/>
          <w:iCs/>
        </w:rPr>
      </w:pPr>
    </w:p>
    <w:p w14:paraId="6296F93E" w14:textId="51F0DFAA" w:rsidR="008E349C" w:rsidRPr="008E349C" w:rsidRDefault="008E349C" w:rsidP="008E349C">
      <w:pPr>
        <w:pStyle w:val="ListParagraph"/>
        <w:spacing w:after="0" w:line="360" w:lineRule="auto"/>
        <w:ind w:left="2156" w:hanging="720"/>
        <w:jc w:val="both"/>
        <w:rPr>
          <w:rFonts w:ascii="Arial" w:hAnsi="Arial" w:cs="Arial"/>
          <w:i/>
          <w:iCs/>
        </w:rPr>
      </w:pPr>
      <w:r w:rsidRPr="008E349C">
        <w:rPr>
          <w:rFonts w:ascii="Arial" w:hAnsi="Arial" w:cs="Arial"/>
          <w:i/>
          <w:iCs/>
        </w:rPr>
        <w:t>93.3.</w:t>
      </w:r>
      <w:r w:rsidRPr="008E349C">
        <w:rPr>
          <w:rFonts w:ascii="Arial" w:hAnsi="Arial" w:cs="Arial"/>
          <w:i/>
          <w:iCs/>
        </w:rPr>
        <w:tab/>
        <w:t>The Applicant’s alleged registration with the ASIB under the name Firelogics does not establish a reputation.”</w:t>
      </w:r>
    </w:p>
    <w:p w14:paraId="2C8A9A0C" w14:textId="77777777" w:rsidR="00C26BEF" w:rsidRPr="00C26BEF" w:rsidRDefault="00C26BEF" w:rsidP="007E5B2A">
      <w:pPr>
        <w:pStyle w:val="ListParagraph"/>
        <w:spacing w:after="0" w:line="480" w:lineRule="auto"/>
        <w:rPr>
          <w:rFonts w:ascii="Arial" w:hAnsi="Arial" w:cs="Arial"/>
          <w:sz w:val="24"/>
          <w:szCs w:val="24"/>
        </w:rPr>
      </w:pPr>
    </w:p>
    <w:p w14:paraId="1BB8D960" w14:textId="627C7CDE" w:rsidR="006304AD"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6304AD" w:rsidRPr="00EA206A">
        <w:rPr>
          <w:rFonts w:ascii="Arial" w:hAnsi="Arial" w:cs="Arial"/>
          <w:sz w:val="24"/>
          <w:szCs w:val="24"/>
        </w:rPr>
        <w:t xml:space="preserve">As </w:t>
      </w:r>
      <w:r w:rsidR="002A1FB8" w:rsidRPr="00EA206A">
        <w:rPr>
          <w:rFonts w:ascii="Arial" w:hAnsi="Arial" w:cs="Arial"/>
          <w:sz w:val="24"/>
          <w:szCs w:val="24"/>
        </w:rPr>
        <w:t>articulated</w:t>
      </w:r>
      <w:r w:rsidR="006304AD" w:rsidRPr="00EA206A">
        <w:rPr>
          <w:rFonts w:ascii="Arial" w:hAnsi="Arial" w:cs="Arial"/>
          <w:sz w:val="24"/>
          <w:szCs w:val="24"/>
        </w:rPr>
        <w:t xml:space="preserve"> by Binns-Ward J in </w:t>
      </w:r>
      <w:r w:rsidR="006304AD" w:rsidRPr="00EA206A">
        <w:rPr>
          <w:rFonts w:ascii="Arial" w:hAnsi="Arial" w:cs="Arial"/>
          <w:i/>
          <w:iCs/>
          <w:sz w:val="24"/>
          <w:szCs w:val="24"/>
        </w:rPr>
        <w:t>Absa Bank Ltd v Erf 1252 Marine Drive (Pty) Ltd and Another</w:t>
      </w:r>
      <w:r w:rsidR="005C56F8" w:rsidRPr="00EA206A">
        <w:rPr>
          <w:rFonts w:ascii="Arial" w:hAnsi="Arial" w:cs="Arial"/>
          <w:sz w:val="24"/>
          <w:szCs w:val="24"/>
        </w:rPr>
        <w:t>:</w:t>
      </w:r>
      <w:r w:rsidR="006304AD">
        <w:rPr>
          <w:rStyle w:val="FootnoteReference"/>
          <w:rFonts w:ascii="Arial" w:hAnsi="Arial" w:cs="Arial"/>
          <w:sz w:val="24"/>
          <w:szCs w:val="24"/>
        </w:rPr>
        <w:footnoteReference w:id="12"/>
      </w:r>
      <w:r w:rsidR="006304AD" w:rsidRPr="00EA206A">
        <w:rPr>
          <w:rFonts w:ascii="Arial" w:hAnsi="Arial" w:cs="Arial"/>
          <w:sz w:val="24"/>
          <w:szCs w:val="24"/>
        </w:rPr>
        <w:t xml:space="preserve"> “</w:t>
      </w:r>
      <w:r w:rsidR="006304AD" w:rsidRPr="00EA206A">
        <w:rPr>
          <w:rFonts w:ascii="Arial" w:hAnsi="Arial" w:cs="Arial"/>
          <w:i/>
          <w:iCs/>
          <w:sz w:val="24"/>
          <w:szCs w:val="24"/>
        </w:rPr>
        <w:t xml:space="preserve">the import of the Plascon-Evans rule is so well established that it hardly bears stating: it is to the effect that where there is a dispute of fact on the papers final relief may be granted in an application only if it is justified by the averments in the affidavits of the applicant which are either admitted or not disputed by the respondent, together with the facts alleged by the respondent.  </w:t>
      </w:r>
      <w:r w:rsidR="006304AD" w:rsidRPr="00EA206A">
        <w:rPr>
          <w:rFonts w:ascii="Arial" w:hAnsi="Arial" w:cs="Arial"/>
          <w:i/>
          <w:iCs/>
          <w:sz w:val="24"/>
          <w:szCs w:val="24"/>
          <w:u w:val="single"/>
        </w:rPr>
        <w:t>It is, however, the qualifications and exceptions to that simple principle that are sometimes overlooked</w:t>
      </w:r>
      <w:r w:rsidR="006304AD" w:rsidRPr="00EA206A">
        <w:rPr>
          <w:rFonts w:ascii="Arial" w:hAnsi="Arial" w:cs="Arial"/>
          <w:i/>
          <w:iCs/>
          <w:sz w:val="24"/>
          <w:szCs w:val="24"/>
        </w:rPr>
        <w:t>…</w:t>
      </w:r>
      <w:r w:rsidR="006304AD" w:rsidRPr="00EA206A">
        <w:rPr>
          <w:rFonts w:ascii="Arial" w:hAnsi="Arial" w:cs="Arial"/>
          <w:sz w:val="24"/>
          <w:szCs w:val="24"/>
        </w:rPr>
        <w:t>” [Own emphasis].</w:t>
      </w:r>
    </w:p>
    <w:p w14:paraId="49BA5713" w14:textId="049C8CF5" w:rsidR="006304AD" w:rsidRDefault="006304AD" w:rsidP="006304AD">
      <w:pPr>
        <w:pStyle w:val="ListParagraph"/>
        <w:spacing w:after="0" w:line="480" w:lineRule="auto"/>
        <w:ind w:left="851"/>
        <w:jc w:val="both"/>
        <w:rPr>
          <w:rFonts w:ascii="Arial" w:hAnsi="Arial" w:cs="Arial"/>
          <w:sz w:val="24"/>
          <w:szCs w:val="24"/>
        </w:rPr>
      </w:pPr>
    </w:p>
    <w:p w14:paraId="6FA21295" w14:textId="006F5584" w:rsidR="006304AD" w:rsidRPr="00EA206A" w:rsidRDefault="00EA206A" w:rsidP="00EA206A">
      <w:pPr>
        <w:spacing w:after="0" w:line="480" w:lineRule="auto"/>
        <w:ind w:left="851" w:hanging="851"/>
        <w:jc w:val="both"/>
        <w:rPr>
          <w:rFonts w:ascii="Arial" w:hAnsi="Arial" w:cs="Arial"/>
          <w:sz w:val="24"/>
          <w:szCs w:val="24"/>
        </w:rPr>
      </w:pPr>
      <w:r w:rsidRPr="000A48E0">
        <w:rPr>
          <w:rFonts w:ascii="Arial" w:hAnsi="Arial" w:cs="Arial"/>
          <w:sz w:val="24"/>
          <w:szCs w:val="24"/>
        </w:rPr>
        <w:t>[25]</w:t>
      </w:r>
      <w:r w:rsidRPr="000A48E0">
        <w:rPr>
          <w:rFonts w:ascii="Arial" w:hAnsi="Arial" w:cs="Arial"/>
          <w:sz w:val="24"/>
          <w:szCs w:val="24"/>
        </w:rPr>
        <w:tab/>
      </w:r>
      <w:r w:rsidR="006304AD" w:rsidRPr="00EA206A">
        <w:rPr>
          <w:rFonts w:ascii="Arial" w:hAnsi="Arial" w:cs="Arial"/>
          <w:sz w:val="24"/>
          <w:szCs w:val="24"/>
        </w:rPr>
        <w:t xml:space="preserve">As </w:t>
      </w:r>
      <w:r w:rsidR="006A760B" w:rsidRPr="00EA206A">
        <w:rPr>
          <w:rFonts w:ascii="Arial" w:hAnsi="Arial" w:cs="Arial"/>
          <w:sz w:val="24"/>
          <w:szCs w:val="24"/>
        </w:rPr>
        <w:t xml:space="preserve">pointed out by the learned judge of appeal in </w:t>
      </w:r>
      <w:r w:rsidR="006A760B" w:rsidRPr="00EA206A">
        <w:rPr>
          <w:rFonts w:ascii="Arial" w:hAnsi="Arial" w:cs="Arial"/>
          <w:i/>
          <w:iCs/>
          <w:sz w:val="24"/>
          <w:szCs w:val="24"/>
        </w:rPr>
        <w:t>Plascon-Evans Paints v Van Riebeeck Paints</w:t>
      </w:r>
      <w:r w:rsidR="006A760B" w:rsidRPr="00EA206A">
        <w:rPr>
          <w:rFonts w:ascii="Arial" w:hAnsi="Arial" w:cs="Arial"/>
          <w:sz w:val="24"/>
          <w:szCs w:val="24"/>
        </w:rPr>
        <w:t>:</w:t>
      </w:r>
      <w:r w:rsidR="006A760B">
        <w:rPr>
          <w:rStyle w:val="FootnoteReference"/>
          <w:rFonts w:ascii="Arial" w:hAnsi="Arial" w:cs="Arial"/>
          <w:sz w:val="24"/>
          <w:szCs w:val="24"/>
        </w:rPr>
        <w:footnoteReference w:id="13"/>
      </w:r>
      <w:r w:rsidR="006A760B" w:rsidRPr="00EA206A">
        <w:rPr>
          <w:rFonts w:ascii="Arial" w:hAnsi="Arial" w:cs="Arial"/>
          <w:sz w:val="24"/>
          <w:szCs w:val="24"/>
        </w:rPr>
        <w:t xml:space="preserve"> </w:t>
      </w:r>
    </w:p>
    <w:p w14:paraId="00E291ED" w14:textId="77777777" w:rsidR="000A48E0" w:rsidRPr="006304AD" w:rsidRDefault="000A48E0" w:rsidP="000A48E0">
      <w:pPr>
        <w:pStyle w:val="ListParagraph"/>
        <w:spacing w:after="0" w:line="480" w:lineRule="auto"/>
        <w:ind w:left="851"/>
        <w:jc w:val="both"/>
        <w:rPr>
          <w:rFonts w:ascii="Arial" w:hAnsi="Arial" w:cs="Arial"/>
          <w:sz w:val="24"/>
          <w:szCs w:val="24"/>
        </w:rPr>
      </w:pPr>
    </w:p>
    <w:p w14:paraId="1D77EC07" w14:textId="0D853921" w:rsidR="006304AD" w:rsidRPr="00413382" w:rsidRDefault="000A48E0" w:rsidP="000A48E0">
      <w:pPr>
        <w:pStyle w:val="NormalWeb"/>
        <w:shd w:val="clear" w:color="auto" w:fill="FFFFFF"/>
        <w:spacing w:before="0" w:beforeAutospacing="0" w:after="0" w:afterAutospacing="0" w:line="360" w:lineRule="auto"/>
        <w:ind w:left="851"/>
        <w:jc w:val="both"/>
        <w:rPr>
          <w:rFonts w:ascii="Arial" w:hAnsi="Arial" w:cs="Arial"/>
          <w:i/>
          <w:iCs/>
          <w:sz w:val="22"/>
          <w:szCs w:val="22"/>
        </w:rPr>
      </w:pPr>
      <w:r w:rsidRPr="00413382">
        <w:rPr>
          <w:rFonts w:ascii="Arial" w:hAnsi="Arial" w:cs="Arial"/>
          <w:i/>
          <w:iCs/>
          <w:sz w:val="22"/>
          <w:szCs w:val="22"/>
        </w:rPr>
        <w:t>“</w:t>
      </w:r>
      <w:r w:rsidR="006304AD" w:rsidRPr="00413382">
        <w:rPr>
          <w:rFonts w:ascii="Arial" w:hAnsi="Arial" w:cs="Arial"/>
          <w:i/>
          <w:iCs/>
          <w:sz w:val="22"/>
          <w:szCs w:val="22"/>
        </w:rPr>
        <w:t>In certain instances the denial by respondent of a fact alleged by the applicant may not be such as to raise a real, genuine or bona fide dispute of fact (see in this regard Room Hire Co (Pty) Ltd v Jeppe Street Mansions (Pty) Ltd </w:t>
      </w:r>
      <w:hyperlink r:id="rId16" w:tooltip="View LawCiteRecord" w:history="1">
        <w:r w:rsidR="006304AD" w:rsidRPr="00413382">
          <w:rPr>
            <w:rStyle w:val="Hyperlink"/>
            <w:rFonts w:ascii="Arial" w:hAnsi="Arial" w:cs="Arial"/>
            <w:i/>
            <w:iCs/>
            <w:color w:val="auto"/>
            <w:sz w:val="22"/>
            <w:szCs w:val="22"/>
            <w:u w:val="none"/>
          </w:rPr>
          <w:t>1949 (3) SA 1155</w:t>
        </w:r>
      </w:hyperlink>
      <w:r w:rsidR="006304AD" w:rsidRPr="00413382">
        <w:rPr>
          <w:rFonts w:ascii="Arial" w:hAnsi="Arial" w:cs="Arial"/>
          <w:i/>
          <w:iCs/>
          <w:sz w:val="22"/>
          <w:szCs w:val="22"/>
        </w:rPr>
        <w:t> (T) at 1163 - 5; Da Mata v Otto NO </w:t>
      </w:r>
      <w:hyperlink r:id="rId17" w:tooltip="View LawCiteRecord" w:history="1">
        <w:r w:rsidR="006304AD" w:rsidRPr="00413382">
          <w:rPr>
            <w:rStyle w:val="Hyperlink"/>
            <w:rFonts w:ascii="Arial" w:hAnsi="Arial" w:cs="Arial"/>
            <w:i/>
            <w:iCs/>
            <w:color w:val="auto"/>
            <w:sz w:val="22"/>
            <w:szCs w:val="22"/>
            <w:u w:val="none"/>
          </w:rPr>
          <w:t>1972 (3) SA 858</w:t>
        </w:r>
      </w:hyperlink>
      <w:r w:rsidR="006304AD" w:rsidRPr="00413382">
        <w:rPr>
          <w:rFonts w:ascii="Arial" w:hAnsi="Arial" w:cs="Arial"/>
          <w:i/>
          <w:iCs/>
          <w:sz w:val="22"/>
          <w:szCs w:val="22"/>
        </w:rPr>
        <w:t> (A) at 882D - H). If in such a case the respondent has not availed himself of his right to apply for the deponents concerned to be called for cross-examination under Rule 6(5)(g) of the Uniform Rules of Court (cf Petersen v Cuthbert &amp; Co Ltd </w:t>
      </w:r>
      <w:hyperlink r:id="rId18" w:tooltip="View LawCiteRecord" w:history="1">
        <w:r w:rsidR="006304AD" w:rsidRPr="00413382">
          <w:rPr>
            <w:rStyle w:val="Hyperlink"/>
            <w:rFonts w:ascii="Arial" w:hAnsi="Arial" w:cs="Arial"/>
            <w:i/>
            <w:iCs/>
            <w:color w:val="auto"/>
            <w:sz w:val="22"/>
            <w:szCs w:val="22"/>
            <w:u w:val="none"/>
          </w:rPr>
          <w:t>1945 AD 420</w:t>
        </w:r>
      </w:hyperlink>
      <w:r w:rsidR="006304AD" w:rsidRPr="00413382">
        <w:rPr>
          <w:rFonts w:ascii="Arial" w:hAnsi="Arial" w:cs="Arial"/>
          <w:i/>
          <w:iCs/>
          <w:sz w:val="22"/>
          <w:szCs w:val="22"/>
        </w:rPr>
        <w:t> at 428; Room Hire case supra at 1164) and the Court is satisfied as to the inherent credibility of the applicant's factual averment, it may proceed on the basis of the correctness thereof and include this fact among those upon which it determines whether the applicant is entitled to the final relief which he seeks (see eg Rikhoto v East Rand Administration Board and Another </w:t>
      </w:r>
      <w:hyperlink r:id="rId19" w:tooltip="View LawCiteRecord" w:history="1">
        <w:r w:rsidR="006304AD" w:rsidRPr="00413382">
          <w:rPr>
            <w:rStyle w:val="Hyperlink"/>
            <w:rFonts w:ascii="Arial" w:hAnsi="Arial" w:cs="Arial"/>
            <w:i/>
            <w:iCs/>
            <w:color w:val="auto"/>
            <w:sz w:val="22"/>
            <w:szCs w:val="22"/>
            <w:u w:val="none"/>
          </w:rPr>
          <w:t>1983 (4) SA 278</w:t>
        </w:r>
      </w:hyperlink>
      <w:r w:rsidR="006304AD" w:rsidRPr="00413382">
        <w:rPr>
          <w:rFonts w:ascii="Arial" w:hAnsi="Arial" w:cs="Arial"/>
          <w:i/>
          <w:iCs/>
          <w:sz w:val="22"/>
          <w:szCs w:val="22"/>
        </w:rPr>
        <w:t> (W) at 283E - H). Moreover, there may be exceptions to this general rule, as, for example, where the allegations or denials of the respondent are so far-fetched or clearly untenable that the Court is justified in rejecting them merely on the papers (see the remarks of Botha AJA in the Associated South African Bakeries case, supra at 924A).</w:t>
      </w:r>
      <w:r w:rsidRPr="00413382">
        <w:rPr>
          <w:rFonts w:ascii="Arial" w:hAnsi="Arial" w:cs="Arial"/>
          <w:i/>
          <w:iCs/>
          <w:sz w:val="22"/>
          <w:szCs w:val="22"/>
        </w:rPr>
        <w:t>”</w:t>
      </w:r>
    </w:p>
    <w:p w14:paraId="274B9FD0" w14:textId="4563BE7C" w:rsidR="005C56F8"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026DB3" w:rsidRPr="00EA206A">
        <w:rPr>
          <w:rFonts w:ascii="Arial" w:hAnsi="Arial" w:cs="Arial"/>
          <w:sz w:val="24"/>
          <w:szCs w:val="24"/>
        </w:rPr>
        <w:t xml:space="preserve">Had the respondent intended on raising a genuine dispute of fact in respect of the applicant’s reputation, </w:t>
      </w:r>
      <w:r w:rsidR="00574853" w:rsidRPr="00EA206A">
        <w:rPr>
          <w:rFonts w:ascii="Arial" w:hAnsi="Arial" w:cs="Arial"/>
          <w:sz w:val="24"/>
          <w:szCs w:val="24"/>
        </w:rPr>
        <w:t>the respondent</w:t>
      </w:r>
      <w:r w:rsidR="00026DB3" w:rsidRPr="00EA206A">
        <w:rPr>
          <w:rFonts w:ascii="Arial" w:hAnsi="Arial" w:cs="Arial"/>
          <w:sz w:val="24"/>
          <w:szCs w:val="24"/>
        </w:rPr>
        <w:t xml:space="preserve"> was required to </w:t>
      </w:r>
      <w:r w:rsidR="004421BC" w:rsidRPr="00EA206A">
        <w:rPr>
          <w:rFonts w:ascii="Arial" w:hAnsi="Arial" w:cs="Arial"/>
          <w:sz w:val="24"/>
          <w:szCs w:val="24"/>
        </w:rPr>
        <w:t>seriously and unambiguously address the fact</w:t>
      </w:r>
      <w:r w:rsidR="00AB7567" w:rsidRPr="00EA206A">
        <w:rPr>
          <w:rFonts w:ascii="Arial" w:hAnsi="Arial" w:cs="Arial"/>
          <w:sz w:val="24"/>
          <w:szCs w:val="24"/>
        </w:rPr>
        <w:t>s that</w:t>
      </w:r>
      <w:r w:rsidR="004421BC" w:rsidRPr="00EA206A">
        <w:rPr>
          <w:rFonts w:ascii="Arial" w:hAnsi="Arial" w:cs="Arial"/>
          <w:sz w:val="24"/>
          <w:szCs w:val="24"/>
        </w:rPr>
        <w:t xml:space="preserve"> it wished to place in dispute.  This is particularly so in circumstances where “</w:t>
      </w:r>
      <w:r w:rsidR="004421BC" w:rsidRPr="00EA206A">
        <w:rPr>
          <w:rFonts w:ascii="Arial" w:hAnsi="Arial" w:cs="Arial"/>
          <w:i/>
          <w:iCs/>
          <w:sz w:val="24"/>
          <w:szCs w:val="24"/>
        </w:rPr>
        <w:t>the facts averred are such that the disputing party must necessarily possess knowledge of them and be able to provide an answer (or countervailing evidence) if they be not true or accurate</w:t>
      </w:r>
      <w:r w:rsidR="004421BC" w:rsidRPr="00EA206A">
        <w:rPr>
          <w:rFonts w:ascii="Arial" w:hAnsi="Arial" w:cs="Arial"/>
          <w:sz w:val="24"/>
          <w:szCs w:val="24"/>
        </w:rPr>
        <w:t>.”</w:t>
      </w:r>
      <w:r w:rsidR="004421BC">
        <w:rPr>
          <w:rStyle w:val="FootnoteReference"/>
          <w:rFonts w:ascii="Arial" w:hAnsi="Arial" w:cs="Arial"/>
          <w:sz w:val="24"/>
          <w:szCs w:val="24"/>
        </w:rPr>
        <w:footnoteReference w:id="14"/>
      </w:r>
      <w:r w:rsidR="004421BC" w:rsidRPr="00EA206A">
        <w:rPr>
          <w:rFonts w:ascii="Arial" w:hAnsi="Arial" w:cs="Arial"/>
          <w:sz w:val="24"/>
          <w:szCs w:val="24"/>
        </w:rPr>
        <w:t xml:space="preserve">  This is one such case.  </w:t>
      </w:r>
    </w:p>
    <w:p w14:paraId="4E67D975" w14:textId="1A5F71C8" w:rsidR="005C56F8" w:rsidRDefault="005C56F8" w:rsidP="005C56F8">
      <w:pPr>
        <w:pStyle w:val="ListParagraph"/>
        <w:spacing w:after="0" w:line="480" w:lineRule="auto"/>
        <w:ind w:left="851"/>
        <w:jc w:val="both"/>
        <w:rPr>
          <w:rFonts w:ascii="Arial" w:hAnsi="Arial" w:cs="Arial"/>
          <w:sz w:val="24"/>
          <w:szCs w:val="24"/>
        </w:rPr>
      </w:pPr>
    </w:p>
    <w:p w14:paraId="5CEAB5F6" w14:textId="6A4C9A55" w:rsidR="004421BC" w:rsidRPr="00EA206A" w:rsidRDefault="00EA206A" w:rsidP="00EA206A">
      <w:pPr>
        <w:spacing w:after="0" w:line="480" w:lineRule="auto"/>
        <w:ind w:left="851" w:hanging="851"/>
        <w:jc w:val="both"/>
        <w:rPr>
          <w:rFonts w:ascii="Arial" w:hAnsi="Arial" w:cs="Arial"/>
          <w:sz w:val="24"/>
          <w:szCs w:val="24"/>
        </w:rPr>
      </w:pPr>
      <w:r w:rsidRPr="004421BC">
        <w:rPr>
          <w:rFonts w:ascii="Arial" w:hAnsi="Arial" w:cs="Arial"/>
          <w:sz w:val="24"/>
          <w:szCs w:val="24"/>
        </w:rPr>
        <w:t>[27]</w:t>
      </w:r>
      <w:r w:rsidRPr="004421BC">
        <w:rPr>
          <w:rFonts w:ascii="Arial" w:hAnsi="Arial" w:cs="Arial"/>
          <w:sz w:val="24"/>
          <w:szCs w:val="24"/>
        </w:rPr>
        <w:tab/>
      </w:r>
      <w:r w:rsidR="004421BC" w:rsidRPr="00EA206A">
        <w:rPr>
          <w:rFonts w:ascii="Arial" w:hAnsi="Arial" w:cs="Arial"/>
          <w:sz w:val="24"/>
          <w:szCs w:val="24"/>
        </w:rPr>
        <w:t>In such circumstances, if the disputing party, instead of addressing the facts, rests his case on a bare or ambiguous denial</w:t>
      </w:r>
      <w:r w:rsidR="001A5492" w:rsidRPr="00EA206A">
        <w:rPr>
          <w:rFonts w:ascii="Arial" w:hAnsi="Arial" w:cs="Arial"/>
          <w:sz w:val="24"/>
          <w:szCs w:val="24"/>
        </w:rPr>
        <w:t>,</w:t>
      </w:r>
      <w:r w:rsidR="004421BC" w:rsidRPr="00EA206A">
        <w:rPr>
          <w:rFonts w:ascii="Arial" w:hAnsi="Arial" w:cs="Arial"/>
          <w:sz w:val="24"/>
          <w:szCs w:val="24"/>
        </w:rPr>
        <w:t xml:space="preserve"> the court will generally have difficulty in finding that the test is satisfied.</w:t>
      </w:r>
      <w:r w:rsidR="006E617C" w:rsidRPr="00EA206A">
        <w:rPr>
          <w:rFonts w:ascii="Arial" w:hAnsi="Arial" w:cs="Arial"/>
          <w:sz w:val="24"/>
          <w:szCs w:val="24"/>
        </w:rPr>
        <w:t xml:space="preserve">  The reliance by the respondent on the correspondence </w:t>
      </w:r>
      <w:r w:rsidR="00AC231C" w:rsidRPr="00EA206A">
        <w:rPr>
          <w:rFonts w:ascii="Arial" w:hAnsi="Arial" w:cs="Arial"/>
          <w:sz w:val="24"/>
          <w:szCs w:val="24"/>
        </w:rPr>
        <w:t xml:space="preserve">received </w:t>
      </w:r>
      <w:r w:rsidR="006E617C" w:rsidRPr="00EA206A">
        <w:rPr>
          <w:rFonts w:ascii="Arial" w:hAnsi="Arial" w:cs="Arial"/>
          <w:sz w:val="24"/>
          <w:szCs w:val="24"/>
        </w:rPr>
        <w:t>from Polygon Project Engineers and WBHO</w:t>
      </w:r>
      <w:r w:rsidR="001A5492" w:rsidRPr="00EA206A">
        <w:rPr>
          <w:rFonts w:ascii="Arial" w:hAnsi="Arial" w:cs="Arial"/>
          <w:sz w:val="24"/>
          <w:szCs w:val="24"/>
        </w:rPr>
        <w:t>,</w:t>
      </w:r>
      <w:r w:rsidR="006E617C" w:rsidRPr="00EA206A">
        <w:rPr>
          <w:rFonts w:ascii="Arial" w:hAnsi="Arial" w:cs="Arial"/>
          <w:sz w:val="24"/>
          <w:szCs w:val="24"/>
        </w:rPr>
        <w:t xml:space="preserve"> to cast aspersions on the applicant’s reputation</w:t>
      </w:r>
      <w:r w:rsidR="001A5492" w:rsidRPr="00EA206A">
        <w:rPr>
          <w:rFonts w:ascii="Arial" w:hAnsi="Arial" w:cs="Arial"/>
          <w:sz w:val="24"/>
          <w:szCs w:val="24"/>
        </w:rPr>
        <w:t>,</w:t>
      </w:r>
      <w:r w:rsidR="006E617C" w:rsidRPr="00EA206A">
        <w:rPr>
          <w:rFonts w:ascii="Arial" w:hAnsi="Arial" w:cs="Arial"/>
          <w:sz w:val="24"/>
          <w:szCs w:val="24"/>
        </w:rPr>
        <w:t xml:space="preserve"> do</w:t>
      </w:r>
      <w:r w:rsidR="001A5492" w:rsidRPr="00EA206A">
        <w:rPr>
          <w:rFonts w:ascii="Arial" w:hAnsi="Arial" w:cs="Arial"/>
          <w:sz w:val="24"/>
          <w:szCs w:val="24"/>
        </w:rPr>
        <w:t>es</w:t>
      </w:r>
      <w:r w:rsidR="006E617C" w:rsidRPr="00EA206A">
        <w:rPr>
          <w:rFonts w:ascii="Arial" w:hAnsi="Arial" w:cs="Arial"/>
          <w:sz w:val="24"/>
          <w:szCs w:val="24"/>
        </w:rPr>
        <w:t xml:space="preserve"> not assist the respondent and at best amounts to unsubstantiated hearsay. </w:t>
      </w:r>
    </w:p>
    <w:p w14:paraId="239C21E9" w14:textId="7A6B4BF6" w:rsidR="004421BC" w:rsidRDefault="004421BC" w:rsidP="006E617C">
      <w:pPr>
        <w:pStyle w:val="ListParagraph"/>
        <w:spacing w:after="0" w:line="480" w:lineRule="auto"/>
        <w:ind w:left="851"/>
        <w:jc w:val="both"/>
        <w:rPr>
          <w:color w:val="242121"/>
          <w:sz w:val="27"/>
          <w:szCs w:val="27"/>
          <w:shd w:val="clear" w:color="auto" w:fill="FFFFFF"/>
        </w:rPr>
      </w:pPr>
    </w:p>
    <w:p w14:paraId="4DD253C1" w14:textId="323FB0A6" w:rsidR="00CC2D5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A5492" w:rsidRPr="00EA206A">
        <w:rPr>
          <w:rFonts w:ascii="Arial" w:hAnsi="Arial" w:cs="Arial"/>
          <w:sz w:val="24"/>
          <w:szCs w:val="24"/>
        </w:rPr>
        <w:t>I am</w:t>
      </w:r>
      <w:r w:rsidR="00806439" w:rsidRPr="00EA206A">
        <w:rPr>
          <w:rFonts w:ascii="Arial" w:hAnsi="Arial" w:cs="Arial"/>
          <w:sz w:val="24"/>
          <w:szCs w:val="24"/>
        </w:rPr>
        <w:t xml:space="preserve"> accordingly</w:t>
      </w:r>
      <w:r w:rsidR="001A5492" w:rsidRPr="00EA206A">
        <w:rPr>
          <w:rFonts w:ascii="Arial" w:hAnsi="Arial" w:cs="Arial"/>
          <w:sz w:val="24"/>
          <w:szCs w:val="24"/>
        </w:rPr>
        <w:t xml:space="preserve"> satisfied that the applicant has established that the public associates its trade name with </w:t>
      </w:r>
      <w:r w:rsidR="00806439" w:rsidRPr="00EA206A">
        <w:rPr>
          <w:rFonts w:ascii="Arial" w:hAnsi="Arial" w:cs="Arial"/>
          <w:sz w:val="24"/>
          <w:szCs w:val="24"/>
        </w:rPr>
        <w:t xml:space="preserve">its </w:t>
      </w:r>
      <w:r w:rsidR="001A5492" w:rsidRPr="00EA206A">
        <w:rPr>
          <w:rFonts w:ascii="Arial" w:hAnsi="Arial" w:cs="Arial"/>
          <w:sz w:val="24"/>
          <w:szCs w:val="24"/>
        </w:rPr>
        <w:t>services in the Eastern and Western Cape region</w:t>
      </w:r>
      <w:r w:rsidR="004575D6" w:rsidRPr="00EA206A">
        <w:rPr>
          <w:rFonts w:ascii="Arial" w:hAnsi="Arial" w:cs="Arial"/>
          <w:sz w:val="24"/>
          <w:szCs w:val="24"/>
        </w:rPr>
        <w:t>s</w:t>
      </w:r>
      <w:r w:rsidR="00CC2D56" w:rsidRPr="00EA206A">
        <w:rPr>
          <w:rFonts w:ascii="Arial" w:hAnsi="Arial" w:cs="Arial"/>
          <w:sz w:val="24"/>
          <w:szCs w:val="24"/>
        </w:rPr>
        <w:t>.</w:t>
      </w:r>
      <w:r w:rsidR="004575D6" w:rsidRPr="00EA206A">
        <w:rPr>
          <w:rFonts w:ascii="Arial" w:hAnsi="Arial" w:cs="Arial"/>
          <w:sz w:val="24"/>
          <w:szCs w:val="24"/>
        </w:rPr>
        <w:t xml:space="preserve"> </w:t>
      </w:r>
    </w:p>
    <w:p w14:paraId="18E3F605" w14:textId="77777777" w:rsidR="00CC2D56" w:rsidRPr="00CC2D56" w:rsidRDefault="00CC2D56" w:rsidP="00CC2D56">
      <w:pPr>
        <w:pStyle w:val="ListParagraph"/>
        <w:spacing w:after="0" w:line="480" w:lineRule="auto"/>
        <w:rPr>
          <w:rFonts w:ascii="Arial" w:hAnsi="Arial" w:cs="Arial"/>
          <w:sz w:val="24"/>
          <w:szCs w:val="24"/>
        </w:rPr>
      </w:pPr>
    </w:p>
    <w:p w14:paraId="45E83A30" w14:textId="27471C91" w:rsidR="004575D6"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C2D56" w:rsidRPr="00EA206A">
        <w:rPr>
          <w:rFonts w:ascii="Arial" w:hAnsi="Arial" w:cs="Arial"/>
          <w:sz w:val="24"/>
          <w:szCs w:val="24"/>
        </w:rPr>
        <w:t>Having come to the above conclusion, I now</w:t>
      </w:r>
      <w:r w:rsidR="004575D6" w:rsidRPr="00EA206A">
        <w:rPr>
          <w:rFonts w:ascii="Arial" w:hAnsi="Arial" w:cs="Arial"/>
          <w:sz w:val="24"/>
          <w:szCs w:val="24"/>
        </w:rPr>
        <w:t xml:space="preserve"> turn to consider the second requirement alluded to by Corbett CJ in </w:t>
      </w:r>
      <w:r w:rsidR="004575D6" w:rsidRPr="00EA206A">
        <w:rPr>
          <w:rFonts w:ascii="Arial" w:hAnsi="Arial" w:cs="Arial"/>
          <w:i/>
          <w:iCs/>
          <w:sz w:val="24"/>
          <w:szCs w:val="24"/>
        </w:rPr>
        <w:t>Williams t/a Jenifer Williams &amp; Associates and Another v Life Line Southern Transvaal</w:t>
      </w:r>
      <w:r w:rsidR="004575D6" w:rsidRPr="00EA206A">
        <w:rPr>
          <w:rFonts w:ascii="Arial" w:hAnsi="Arial" w:cs="Arial"/>
          <w:sz w:val="24"/>
          <w:szCs w:val="24"/>
        </w:rPr>
        <w:t xml:space="preserve"> (supra).</w:t>
      </w:r>
    </w:p>
    <w:p w14:paraId="52A98E63" w14:textId="0F8E8B42" w:rsidR="004575D6" w:rsidRPr="004575D6" w:rsidRDefault="004575D6" w:rsidP="004575D6">
      <w:pPr>
        <w:rPr>
          <w:rFonts w:ascii="Arial" w:hAnsi="Arial" w:cs="Arial"/>
          <w:b/>
          <w:bCs/>
          <w:i/>
          <w:iCs/>
          <w:sz w:val="24"/>
          <w:szCs w:val="24"/>
          <w:u w:val="single"/>
        </w:rPr>
      </w:pPr>
      <w:r w:rsidRPr="004575D6">
        <w:rPr>
          <w:rFonts w:ascii="Arial" w:hAnsi="Arial" w:cs="Arial"/>
          <w:b/>
          <w:bCs/>
          <w:i/>
          <w:iCs/>
          <w:sz w:val="24"/>
          <w:szCs w:val="24"/>
          <w:u w:val="single"/>
        </w:rPr>
        <w:lastRenderedPageBreak/>
        <w:t>Confusion</w:t>
      </w:r>
    </w:p>
    <w:p w14:paraId="00AA7584" w14:textId="77777777" w:rsidR="004575D6" w:rsidRDefault="004575D6" w:rsidP="004575D6">
      <w:pPr>
        <w:pStyle w:val="ListParagraph"/>
        <w:spacing w:after="0" w:line="480" w:lineRule="auto"/>
        <w:ind w:left="851"/>
        <w:jc w:val="both"/>
        <w:rPr>
          <w:rFonts w:ascii="Arial" w:hAnsi="Arial" w:cs="Arial"/>
          <w:sz w:val="24"/>
          <w:szCs w:val="24"/>
        </w:rPr>
      </w:pPr>
    </w:p>
    <w:p w14:paraId="747DA038" w14:textId="03D4B837" w:rsidR="006E617C" w:rsidRPr="00EA206A" w:rsidRDefault="00EA206A" w:rsidP="00EA206A">
      <w:pPr>
        <w:spacing w:after="0" w:line="480" w:lineRule="auto"/>
        <w:ind w:left="851" w:hanging="851"/>
        <w:jc w:val="both"/>
        <w:rPr>
          <w:rFonts w:ascii="Arial" w:hAnsi="Arial" w:cs="Arial"/>
          <w:sz w:val="24"/>
          <w:szCs w:val="24"/>
        </w:rPr>
      </w:pPr>
      <w:r w:rsidRPr="00C32AA2">
        <w:rPr>
          <w:rFonts w:ascii="Arial" w:hAnsi="Arial" w:cs="Arial"/>
          <w:sz w:val="24"/>
          <w:szCs w:val="24"/>
        </w:rPr>
        <w:t>[30]</w:t>
      </w:r>
      <w:r w:rsidRPr="00C32AA2">
        <w:rPr>
          <w:rFonts w:ascii="Arial" w:hAnsi="Arial" w:cs="Arial"/>
          <w:sz w:val="24"/>
          <w:szCs w:val="24"/>
        </w:rPr>
        <w:tab/>
      </w:r>
      <w:r w:rsidR="00CC2D56" w:rsidRPr="00EA206A">
        <w:rPr>
          <w:rFonts w:ascii="Arial" w:hAnsi="Arial" w:cs="Arial"/>
          <w:sz w:val="24"/>
          <w:szCs w:val="24"/>
        </w:rPr>
        <w:t xml:space="preserve">In order to satisfy this requirement, the applicant must establish that the name utilised by the respondent, </w:t>
      </w:r>
      <w:r w:rsidR="00CC2D56" w:rsidRPr="00EA206A">
        <w:rPr>
          <w:rFonts w:ascii="Arial" w:hAnsi="Arial" w:cs="Arial"/>
          <w:b/>
          <w:bCs/>
          <w:sz w:val="24"/>
          <w:szCs w:val="24"/>
        </w:rPr>
        <w:t>FIRELOGIK</w:t>
      </w:r>
      <w:r w:rsidR="00CC2D56" w:rsidRPr="00EA206A">
        <w:rPr>
          <w:rFonts w:ascii="Arial" w:hAnsi="Arial" w:cs="Arial"/>
          <w:sz w:val="24"/>
          <w:szCs w:val="24"/>
        </w:rPr>
        <w:t>, is such, or is so used, as to cause the public to be confused</w:t>
      </w:r>
      <w:r w:rsidR="004575D6" w:rsidRPr="00EA206A">
        <w:rPr>
          <w:rFonts w:ascii="Arial" w:hAnsi="Arial" w:cs="Arial"/>
          <w:sz w:val="24"/>
          <w:szCs w:val="24"/>
        </w:rPr>
        <w:t xml:space="preserve"> </w:t>
      </w:r>
      <w:r w:rsidR="00CC2D56" w:rsidRPr="00EA206A">
        <w:rPr>
          <w:rFonts w:ascii="Arial" w:hAnsi="Arial" w:cs="Arial"/>
          <w:sz w:val="24"/>
          <w:szCs w:val="24"/>
        </w:rPr>
        <w:t xml:space="preserve">or to be deceived into thinking that the respondent’s services emanate from the </w:t>
      </w:r>
      <w:r w:rsidR="00715FC0" w:rsidRPr="00EA206A">
        <w:rPr>
          <w:rFonts w:ascii="Arial" w:hAnsi="Arial" w:cs="Arial"/>
          <w:sz w:val="24"/>
          <w:szCs w:val="24"/>
        </w:rPr>
        <w:t>applicant</w:t>
      </w:r>
      <w:r w:rsidR="00CC2D56" w:rsidRPr="00EA206A">
        <w:rPr>
          <w:rFonts w:ascii="Arial" w:hAnsi="Arial" w:cs="Arial"/>
          <w:sz w:val="24"/>
          <w:szCs w:val="24"/>
        </w:rPr>
        <w:t xml:space="preserve"> or that there is an association between the applicant and the respondent.</w:t>
      </w:r>
      <w:r w:rsidR="00C32AA2" w:rsidRPr="00EA206A">
        <w:rPr>
          <w:rFonts w:ascii="Arial" w:hAnsi="Arial" w:cs="Arial"/>
          <w:sz w:val="24"/>
          <w:szCs w:val="24"/>
        </w:rPr>
        <w:t xml:space="preserve">  Whether there is a reasonable likelihood of such confusion arising</w:t>
      </w:r>
      <w:r w:rsidR="009802E6" w:rsidRPr="00EA206A">
        <w:rPr>
          <w:rFonts w:ascii="Arial" w:hAnsi="Arial" w:cs="Arial"/>
          <w:sz w:val="24"/>
          <w:szCs w:val="24"/>
        </w:rPr>
        <w:t>,</w:t>
      </w:r>
      <w:r w:rsidR="00C32AA2" w:rsidRPr="00EA206A">
        <w:rPr>
          <w:rFonts w:ascii="Arial" w:hAnsi="Arial" w:cs="Arial"/>
          <w:sz w:val="24"/>
          <w:szCs w:val="24"/>
        </w:rPr>
        <w:t xml:space="preserve"> depends on the facts of each case.</w:t>
      </w:r>
      <w:r w:rsidR="009802E6">
        <w:rPr>
          <w:rStyle w:val="FootnoteReference"/>
          <w:rFonts w:ascii="Arial" w:hAnsi="Arial" w:cs="Arial"/>
          <w:sz w:val="24"/>
          <w:szCs w:val="24"/>
        </w:rPr>
        <w:footnoteReference w:id="15"/>
      </w:r>
    </w:p>
    <w:p w14:paraId="3233A365" w14:textId="77777777" w:rsidR="00C32AA2" w:rsidRPr="00C32AA2" w:rsidRDefault="00C32AA2" w:rsidP="00B76F04">
      <w:pPr>
        <w:pStyle w:val="ListParagraph"/>
        <w:spacing w:after="0" w:line="480" w:lineRule="auto"/>
        <w:rPr>
          <w:rFonts w:ascii="Arial" w:hAnsi="Arial" w:cs="Arial"/>
          <w:sz w:val="24"/>
          <w:szCs w:val="24"/>
        </w:rPr>
      </w:pPr>
    </w:p>
    <w:p w14:paraId="5262D41D" w14:textId="4C94F3FE" w:rsidR="00EE4447"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76F04" w:rsidRPr="00EA206A">
        <w:rPr>
          <w:rFonts w:ascii="Arial" w:hAnsi="Arial" w:cs="Arial"/>
          <w:sz w:val="24"/>
          <w:szCs w:val="24"/>
        </w:rPr>
        <w:t xml:space="preserve">Significantly, nowhere in the respondent’s papers does it address the issue of whether its name </w:t>
      </w:r>
      <w:r w:rsidR="00B76F04" w:rsidRPr="00EA206A">
        <w:rPr>
          <w:rFonts w:ascii="Arial" w:hAnsi="Arial" w:cs="Arial"/>
          <w:b/>
          <w:bCs/>
          <w:sz w:val="24"/>
          <w:szCs w:val="24"/>
        </w:rPr>
        <w:t>FIRELOGIK</w:t>
      </w:r>
      <w:r w:rsidR="00B76F04" w:rsidRPr="00EA206A">
        <w:rPr>
          <w:rFonts w:ascii="Arial" w:hAnsi="Arial" w:cs="Arial"/>
          <w:sz w:val="24"/>
          <w:szCs w:val="24"/>
        </w:rPr>
        <w:t xml:space="preserve"> is deceptively similar, so as to cause confusion, with that of </w:t>
      </w:r>
      <w:r w:rsidR="00B76F04" w:rsidRPr="00EA206A">
        <w:rPr>
          <w:rFonts w:ascii="Arial" w:hAnsi="Arial" w:cs="Arial"/>
          <w:b/>
          <w:bCs/>
          <w:sz w:val="24"/>
          <w:szCs w:val="24"/>
        </w:rPr>
        <w:t>FIRE LOGIC</w:t>
      </w:r>
      <w:r w:rsidR="00B76F04" w:rsidRPr="00EA206A">
        <w:rPr>
          <w:rFonts w:ascii="Arial" w:hAnsi="Arial" w:cs="Arial"/>
          <w:sz w:val="24"/>
          <w:szCs w:val="24"/>
        </w:rPr>
        <w:t>.  Instead, it go</w:t>
      </w:r>
      <w:r w:rsidR="006D277C" w:rsidRPr="00EA206A">
        <w:rPr>
          <w:rFonts w:ascii="Arial" w:hAnsi="Arial" w:cs="Arial"/>
          <w:sz w:val="24"/>
          <w:szCs w:val="24"/>
        </w:rPr>
        <w:t>es</w:t>
      </w:r>
      <w:r w:rsidR="00B76F04" w:rsidRPr="00EA206A">
        <w:rPr>
          <w:rFonts w:ascii="Arial" w:hAnsi="Arial" w:cs="Arial"/>
          <w:sz w:val="24"/>
          <w:szCs w:val="24"/>
        </w:rPr>
        <w:t xml:space="preserve"> to great lengths in an </w:t>
      </w:r>
      <w:r w:rsidR="00D123BF" w:rsidRPr="00EA206A">
        <w:rPr>
          <w:rFonts w:ascii="Arial" w:hAnsi="Arial" w:cs="Arial"/>
          <w:sz w:val="24"/>
          <w:szCs w:val="24"/>
        </w:rPr>
        <w:t>attempt</w:t>
      </w:r>
      <w:r w:rsidR="00B76F04" w:rsidRPr="00EA206A">
        <w:rPr>
          <w:rFonts w:ascii="Arial" w:hAnsi="Arial" w:cs="Arial"/>
          <w:sz w:val="24"/>
          <w:szCs w:val="24"/>
        </w:rPr>
        <w:t xml:space="preserve"> to </w:t>
      </w:r>
      <w:r w:rsidR="00D123BF" w:rsidRPr="00EA206A">
        <w:rPr>
          <w:rFonts w:ascii="Arial" w:hAnsi="Arial" w:cs="Arial"/>
          <w:sz w:val="24"/>
          <w:szCs w:val="24"/>
        </w:rPr>
        <w:t>prove</w:t>
      </w:r>
      <w:r w:rsidR="00B76F04" w:rsidRPr="00EA206A">
        <w:rPr>
          <w:rFonts w:ascii="Arial" w:hAnsi="Arial" w:cs="Arial"/>
          <w:sz w:val="24"/>
          <w:szCs w:val="24"/>
        </w:rPr>
        <w:t xml:space="preserve"> a failure on the part of the applicant to</w:t>
      </w:r>
      <w:r w:rsidR="009309CE" w:rsidRPr="00EA206A">
        <w:rPr>
          <w:rFonts w:ascii="Arial" w:hAnsi="Arial" w:cs="Arial"/>
          <w:sz w:val="24"/>
          <w:szCs w:val="24"/>
        </w:rPr>
        <w:t xml:space="preserve"> establish actual deception or confusion</w:t>
      </w:r>
      <w:r w:rsidR="00D123BF" w:rsidRPr="00EA206A">
        <w:rPr>
          <w:rFonts w:ascii="Arial" w:hAnsi="Arial" w:cs="Arial"/>
          <w:sz w:val="24"/>
          <w:szCs w:val="24"/>
        </w:rPr>
        <w:t xml:space="preserve">, which </w:t>
      </w:r>
      <w:r w:rsidR="006D277C" w:rsidRPr="00EA206A">
        <w:rPr>
          <w:rFonts w:ascii="Arial" w:hAnsi="Arial" w:cs="Arial"/>
          <w:sz w:val="24"/>
          <w:szCs w:val="24"/>
        </w:rPr>
        <w:t xml:space="preserve">gives </w:t>
      </w:r>
      <w:r w:rsidR="000848C5" w:rsidRPr="00EA206A">
        <w:rPr>
          <w:rFonts w:ascii="Arial" w:hAnsi="Arial" w:cs="Arial"/>
          <w:sz w:val="24"/>
          <w:szCs w:val="24"/>
        </w:rPr>
        <w:t>the</w:t>
      </w:r>
      <w:r w:rsidR="006D277C" w:rsidRPr="00EA206A">
        <w:rPr>
          <w:rFonts w:ascii="Arial" w:hAnsi="Arial" w:cs="Arial"/>
          <w:sz w:val="24"/>
          <w:szCs w:val="24"/>
        </w:rPr>
        <w:t xml:space="preserve"> distinct impression </w:t>
      </w:r>
      <w:r w:rsidR="00D123BF" w:rsidRPr="00EA206A">
        <w:rPr>
          <w:rFonts w:ascii="Arial" w:hAnsi="Arial" w:cs="Arial"/>
          <w:sz w:val="24"/>
          <w:szCs w:val="24"/>
        </w:rPr>
        <w:t xml:space="preserve">of an attempt </w:t>
      </w:r>
      <w:r w:rsidR="006D277C" w:rsidRPr="00EA206A">
        <w:rPr>
          <w:rFonts w:ascii="Arial" w:hAnsi="Arial" w:cs="Arial"/>
          <w:sz w:val="24"/>
          <w:szCs w:val="24"/>
        </w:rPr>
        <w:t>to do damage control</w:t>
      </w:r>
      <w:r w:rsidR="00D123BF" w:rsidRPr="00EA206A">
        <w:rPr>
          <w:rFonts w:ascii="Arial" w:hAnsi="Arial" w:cs="Arial"/>
          <w:sz w:val="24"/>
          <w:szCs w:val="24"/>
        </w:rPr>
        <w:t>.  T</w:t>
      </w:r>
      <w:r w:rsidR="00004AB6" w:rsidRPr="00EA206A">
        <w:rPr>
          <w:rFonts w:ascii="Arial" w:hAnsi="Arial" w:cs="Arial"/>
          <w:sz w:val="24"/>
          <w:szCs w:val="24"/>
        </w:rPr>
        <w:t>he famous words of Queen Gertrude in Shakespeare’s Hamlet, thou “</w:t>
      </w:r>
      <w:r w:rsidR="00004AB6" w:rsidRPr="00EA206A">
        <w:rPr>
          <w:rFonts w:ascii="Arial" w:hAnsi="Arial" w:cs="Arial"/>
          <w:i/>
          <w:iCs/>
          <w:sz w:val="24"/>
          <w:szCs w:val="24"/>
        </w:rPr>
        <w:t>doth protest too much</w:t>
      </w:r>
      <w:r w:rsidR="00004AB6" w:rsidRPr="00EA206A">
        <w:rPr>
          <w:rFonts w:ascii="Arial" w:hAnsi="Arial" w:cs="Arial"/>
          <w:sz w:val="24"/>
          <w:szCs w:val="24"/>
        </w:rPr>
        <w:t>”, come to mind</w:t>
      </w:r>
      <w:r w:rsidR="00B76F04" w:rsidRPr="00EA206A">
        <w:rPr>
          <w:rFonts w:ascii="Arial" w:hAnsi="Arial" w:cs="Arial"/>
          <w:sz w:val="24"/>
          <w:szCs w:val="24"/>
        </w:rPr>
        <w:t>.</w:t>
      </w:r>
      <w:r w:rsidR="00F33F13" w:rsidRPr="00EA206A">
        <w:rPr>
          <w:rFonts w:ascii="Arial" w:hAnsi="Arial" w:cs="Arial"/>
          <w:sz w:val="24"/>
          <w:szCs w:val="24"/>
        </w:rPr>
        <w:t xml:space="preserve">  </w:t>
      </w:r>
    </w:p>
    <w:p w14:paraId="34703C85" w14:textId="77777777" w:rsidR="00EE4447" w:rsidRPr="00EE4447" w:rsidRDefault="00EE4447" w:rsidP="00FB256A">
      <w:pPr>
        <w:pStyle w:val="ListParagraph"/>
        <w:spacing w:after="0" w:line="480" w:lineRule="auto"/>
        <w:rPr>
          <w:rFonts w:ascii="Arial" w:hAnsi="Arial" w:cs="Arial"/>
          <w:sz w:val="24"/>
          <w:szCs w:val="24"/>
        </w:rPr>
      </w:pPr>
    </w:p>
    <w:p w14:paraId="62F1A6F9" w14:textId="55994532" w:rsidR="00EE4447"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A8542F" w:rsidRPr="00EA206A">
        <w:rPr>
          <w:rFonts w:ascii="Arial" w:hAnsi="Arial" w:cs="Arial"/>
          <w:sz w:val="24"/>
          <w:szCs w:val="24"/>
        </w:rPr>
        <w:t>T</w:t>
      </w:r>
      <w:r w:rsidR="00EE4447" w:rsidRPr="00EA206A">
        <w:rPr>
          <w:rFonts w:ascii="Arial" w:hAnsi="Arial" w:cs="Arial"/>
          <w:sz w:val="24"/>
          <w:szCs w:val="24"/>
        </w:rPr>
        <w:t>he likelihood of deception or confusion is determined objectively, by reference to the ordinary or average customer of the class of persons who are likely to procure the services in question.</w:t>
      </w:r>
      <w:r w:rsidR="00FB256A">
        <w:rPr>
          <w:rStyle w:val="FootnoteReference"/>
          <w:rFonts w:ascii="Arial" w:hAnsi="Arial" w:cs="Arial"/>
          <w:sz w:val="24"/>
          <w:szCs w:val="24"/>
        </w:rPr>
        <w:footnoteReference w:id="16"/>
      </w:r>
      <w:r w:rsidR="00440946" w:rsidRPr="00EA206A">
        <w:rPr>
          <w:rFonts w:ascii="Arial" w:hAnsi="Arial" w:cs="Arial"/>
          <w:sz w:val="24"/>
          <w:szCs w:val="24"/>
        </w:rPr>
        <w:t xml:space="preserve">  It is not necessary for a plaintiff or an applicant to prove that anyone has subjectively been misled or that </w:t>
      </w:r>
      <w:r w:rsidR="00440946" w:rsidRPr="00EA206A">
        <w:rPr>
          <w:rFonts w:ascii="Arial" w:hAnsi="Arial" w:cs="Arial"/>
          <w:sz w:val="24"/>
          <w:szCs w:val="24"/>
        </w:rPr>
        <w:lastRenderedPageBreak/>
        <w:t>confusion has actually arisen.</w:t>
      </w:r>
      <w:r w:rsidR="00F3312F" w:rsidRPr="00EA206A">
        <w:rPr>
          <w:rFonts w:ascii="Arial" w:hAnsi="Arial" w:cs="Arial"/>
          <w:sz w:val="24"/>
          <w:szCs w:val="24"/>
        </w:rPr>
        <w:t xml:space="preserve">  Whilst </w:t>
      </w:r>
      <w:r w:rsidR="004B685B" w:rsidRPr="00EA206A">
        <w:rPr>
          <w:rFonts w:ascii="Arial" w:hAnsi="Arial" w:cs="Arial"/>
          <w:sz w:val="24"/>
          <w:szCs w:val="24"/>
        </w:rPr>
        <w:t>l</w:t>
      </w:r>
      <w:r w:rsidR="00F3312F" w:rsidRPr="00EA206A">
        <w:rPr>
          <w:rFonts w:ascii="Arial" w:hAnsi="Arial" w:cs="Arial"/>
          <w:sz w:val="24"/>
          <w:szCs w:val="24"/>
        </w:rPr>
        <w:t>ack of evidence of actual confusion o</w:t>
      </w:r>
      <w:r w:rsidR="00D23757" w:rsidRPr="00EA206A">
        <w:rPr>
          <w:rFonts w:ascii="Arial" w:hAnsi="Arial" w:cs="Arial"/>
          <w:sz w:val="24"/>
          <w:szCs w:val="24"/>
        </w:rPr>
        <w:t>r</w:t>
      </w:r>
      <w:r w:rsidR="00F3312F" w:rsidRPr="00EA206A">
        <w:rPr>
          <w:rFonts w:ascii="Arial" w:hAnsi="Arial" w:cs="Arial"/>
          <w:sz w:val="24"/>
          <w:szCs w:val="24"/>
        </w:rPr>
        <w:t xml:space="preserve"> deception</w:t>
      </w:r>
      <w:r w:rsidR="00D23757" w:rsidRPr="00EA206A">
        <w:rPr>
          <w:rFonts w:ascii="Arial" w:hAnsi="Arial" w:cs="Arial"/>
          <w:sz w:val="24"/>
          <w:szCs w:val="24"/>
        </w:rPr>
        <w:t xml:space="preserve"> </w:t>
      </w:r>
      <w:r w:rsidR="00F3312F" w:rsidRPr="00EA206A">
        <w:rPr>
          <w:rFonts w:ascii="Arial" w:hAnsi="Arial" w:cs="Arial"/>
          <w:sz w:val="24"/>
          <w:szCs w:val="24"/>
        </w:rPr>
        <w:t>is a factor which needs to be considered</w:t>
      </w:r>
      <w:r w:rsidR="000B5547" w:rsidRPr="00EA206A">
        <w:rPr>
          <w:rFonts w:ascii="Arial" w:hAnsi="Arial" w:cs="Arial"/>
          <w:sz w:val="24"/>
          <w:szCs w:val="24"/>
        </w:rPr>
        <w:t>,</w:t>
      </w:r>
      <w:r w:rsidR="000B5547">
        <w:rPr>
          <w:rStyle w:val="FootnoteReference"/>
          <w:rFonts w:ascii="Arial" w:hAnsi="Arial" w:cs="Arial"/>
          <w:sz w:val="24"/>
          <w:szCs w:val="24"/>
        </w:rPr>
        <w:footnoteReference w:id="17"/>
      </w:r>
      <w:r w:rsidR="00F3312F" w:rsidRPr="00EA206A">
        <w:rPr>
          <w:rFonts w:ascii="Arial" w:hAnsi="Arial" w:cs="Arial"/>
          <w:sz w:val="24"/>
          <w:szCs w:val="24"/>
        </w:rPr>
        <w:t xml:space="preserve"> </w:t>
      </w:r>
      <w:r w:rsidR="00D23757" w:rsidRPr="00EA206A">
        <w:rPr>
          <w:rFonts w:ascii="Arial" w:hAnsi="Arial" w:cs="Arial"/>
          <w:sz w:val="24"/>
          <w:szCs w:val="24"/>
        </w:rPr>
        <w:t>it is not in itself decisive. T</w:t>
      </w:r>
      <w:r w:rsidR="00440946" w:rsidRPr="00EA206A">
        <w:rPr>
          <w:rFonts w:ascii="Arial" w:hAnsi="Arial" w:cs="Arial"/>
          <w:sz w:val="24"/>
          <w:szCs w:val="24"/>
        </w:rPr>
        <w:t>he determination of a likelihood of deception is a value judgment, which is a function of the court.</w:t>
      </w:r>
      <w:r w:rsidR="00F3312F">
        <w:rPr>
          <w:rStyle w:val="FootnoteReference"/>
          <w:rFonts w:ascii="Arial" w:hAnsi="Arial" w:cs="Arial"/>
          <w:sz w:val="24"/>
          <w:szCs w:val="24"/>
        </w:rPr>
        <w:footnoteReference w:id="18"/>
      </w:r>
      <w:r w:rsidR="00440946" w:rsidRPr="00EA206A">
        <w:rPr>
          <w:rFonts w:ascii="Arial" w:hAnsi="Arial" w:cs="Arial"/>
          <w:sz w:val="24"/>
          <w:szCs w:val="24"/>
        </w:rPr>
        <w:t xml:space="preserve">  </w:t>
      </w:r>
    </w:p>
    <w:p w14:paraId="6B9F9238" w14:textId="77777777" w:rsidR="00EE4447" w:rsidRPr="00EE4447" w:rsidRDefault="00EE4447" w:rsidP="00AE03C9">
      <w:pPr>
        <w:pStyle w:val="ListParagraph"/>
        <w:spacing w:after="0" w:line="480" w:lineRule="auto"/>
        <w:rPr>
          <w:rFonts w:ascii="Arial" w:hAnsi="Arial" w:cs="Arial"/>
          <w:sz w:val="24"/>
          <w:szCs w:val="24"/>
        </w:rPr>
      </w:pPr>
    </w:p>
    <w:p w14:paraId="29543709" w14:textId="27E781A0" w:rsidR="00EE4447"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15A47" w:rsidRPr="00EA206A">
        <w:rPr>
          <w:rFonts w:ascii="Arial" w:hAnsi="Arial" w:cs="Arial"/>
          <w:sz w:val="24"/>
          <w:szCs w:val="24"/>
        </w:rPr>
        <w:t xml:space="preserve">As previously stated, the parties have a common field of activity.  This is not in dispute.  Implicit therein is that </w:t>
      </w:r>
      <w:r w:rsidR="00917102" w:rsidRPr="00EA206A">
        <w:rPr>
          <w:rFonts w:ascii="Arial" w:hAnsi="Arial" w:cs="Arial"/>
          <w:sz w:val="24"/>
          <w:szCs w:val="24"/>
        </w:rPr>
        <w:t xml:space="preserve">the parties </w:t>
      </w:r>
      <w:r w:rsidR="00A15A47" w:rsidRPr="00EA206A">
        <w:rPr>
          <w:rFonts w:ascii="Arial" w:hAnsi="Arial" w:cs="Arial"/>
          <w:sz w:val="24"/>
          <w:szCs w:val="24"/>
        </w:rPr>
        <w:t xml:space="preserve">are competitors, despite the protestations of the </w:t>
      </w:r>
      <w:r w:rsidR="00917102" w:rsidRPr="00EA206A">
        <w:rPr>
          <w:rFonts w:ascii="Arial" w:hAnsi="Arial" w:cs="Arial"/>
          <w:sz w:val="24"/>
          <w:szCs w:val="24"/>
        </w:rPr>
        <w:t xml:space="preserve">respondent that it </w:t>
      </w:r>
      <w:r w:rsidR="00B27865" w:rsidRPr="00EA206A">
        <w:rPr>
          <w:rFonts w:ascii="Arial" w:hAnsi="Arial" w:cs="Arial"/>
          <w:sz w:val="24"/>
          <w:szCs w:val="24"/>
        </w:rPr>
        <w:t>has</w:t>
      </w:r>
      <w:r w:rsidR="00917102" w:rsidRPr="00EA206A">
        <w:rPr>
          <w:rFonts w:ascii="Arial" w:hAnsi="Arial" w:cs="Arial"/>
          <w:sz w:val="24"/>
          <w:szCs w:val="24"/>
        </w:rPr>
        <w:t xml:space="preserve"> not</w:t>
      </w:r>
      <w:r w:rsidR="00A10F4F" w:rsidRPr="00EA206A">
        <w:rPr>
          <w:rFonts w:ascii="Arial" w:hAnsi="Arial" w:cs="Arial"/>
          <w:sz w:val="24"/>
          <w:szCs w:val="24"/>
        </w:rPr>
        <w:t xml:space="preserve"> operated, nor does it presently operate,</w:t>
      </w:r>
      <w:r w:rsidR="00917102" w:rsidRPr="00EA206A">
        <w:rPr>
          <w:rFonts w:ascii="Arial" w:hAnsi="Arial" w:cs="Arial"/>
          <w:sz w:val="24"/>
          <w:szCs w:val="24"/>
        </w:rPr>
        <w:t xml:space="preserve"> in the Eastern and Western Cape regions.  I return to this aspect later in this judgment, suffice at this juncture to state that such contention is a fallacy, on the respondent’s own version.   </w:t>
      </w:r>
    </w:p>
    <w:p w14:paraId="7C6B45D9" w14:textId="77777777" w:rsidR="0046479B" w:rsidRPr="0046479B" w:rsidRDefault="0046479B" w:rsidP="00EE6F9D">
      <w:pPr>
        <w:pStyle w:val="ListParagraph"/>
        <w:spacing w:after="0" w:line="480" w:lineRule="auto"/>
        <w:rPr>
          <w:rFonts w:ascii="Arial" w:hAnsi="Arial" w:cs="Arial"/>
          <w:sz w:val="24"/>
          <w:szCs w:val="24"/>
        </w:rPr>
      </w:pPr>
    </w:p>
    <w:p w14:paraId="6BDEBADD" w14:textId="74BB62A5" w:rsidR="00EA4702"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A60FD" w:rsidRPr="00EA206A">
        <w:rPr>
          <w:rFonts w:ascii="Arial" w:hAnsi="Arial" w:cs="Arial"/>
          <w:sz w:val="24"/>
          <w:szCs w:val="24"/>
        </w:rPr>
        <w:t>The fire protection industry</w:t>
      </w:r>
      <w:r w:rsidR="00EE6F9D" w:rsidRPr="00EA206A">
        <w:rPr>
          <w:rFonts w:ascii="Arial" w:hAnsi="Arial" w:cs="Arial"/>
          <w:sz w:val="24"/>
          <w:szCs w:val="24"/>
        </w:rPr>
        <w:t xml:space="preserve"> is,</w:t>
      </w:r>
      <w:r w:rsidR="006A60FD" w:rsidRPr="00EA206A">
        <w:rPr>
          <w:rFonts w:ascii="Arial" w:hAnsi="Arial" w:cs="Arial"/>
          <w:sz w:val="24"/>
          <w:szCs w:val="24"/>
        </w:rPr>
        <w:t xml:space="preserve"> by its very nature</w:t>
      </w:r>
      <w:r w:rsidR="00EE6F9D" w:rsidRPr="00EA206A">
        <w:rPr>
          <w:rFonts w:ascii="Arial" w:hAnsi="Arial" w:cs="Arial"/>
          <w:sz w:val="24"/>
          <w:szCs w:val="24"/>
        </w:rPr>
        <w:t>,</w:t>
      </w:r>
      <w:r w:rsidR="006A60FD" w:rsidRPr="00EA206A">
        <w:rPr>
          <w:rFonts w:ascii="Arial" w:hAnsi="Arial" w:cs="Arial"/>
          <w:sz w:val="24"/>
          <w:szCs w:val="24"/>
        </w:rPr>
        <w:t xml:space="preserve"> aimed at the provision of fire protection measures that are intended to prevent the development and spread of fires.  Such services are utilised in respect of new building works; the maintenance and servicing of existing works; and the certification of existing works for various purposes, such as insurance. </w:t>
      </w:r>
      <w:r w:rsidR="00EA4702" w:rsidRPr="00EA206A">
        <w:rPr>
          <w:rFonts w:ascii="Arial" w:hAnsi="Arial" w:cs="Arial"/>
          <w:sz w:val="24"/>
          <w:szCs w:val="24"/>
        </w:rPr>
        <w:t xml:space="preserve"> Regard being had to the respective trade names, set out above, I am of the considered view that deception or confusion may easily arise in respect of new or potential clients.  I say this for the following reasons.  </w:t>
      </w:r>
    </w:p>
    <w:p w14:paraId="24BADED2" w14:textId="6B0369B5" w:rsidR="007610E4" w:rsidRPr="00EA206A" w:rsidRDefault="00EA206A" w:rsidP="00EA206A">
      <w:pPr>
        <w:spacing w:after="0" w:line="480" w:lineRule="auto"/>
        <w:ind w:left="851" w:hanging="851"/>
        <w:jc w:val="both"/>
        <w:rPr>
          <w:rFonts w:ascii="Arial" w:hAnsi="Arial" w:cs="Arial"/>
          <w:sz w:val="24"/>
          <w:szCs w:val="24"/>
        </w:rPr>
      </w:pPr>
      <w:r w:rsidRPr="00AD5FCB">
        <w:rPr>
          <w:rFonts w:ascii="Arial" w:hAnsi="Arial" w:cs="Arial"/>
          <w:sz w:val="24"/>
          <w:szCs w:val="24"/>
        </w:rPr>
        <w:lastRenderedPageBreak/>
        <w:t>[35]</w:t>
      </w:r>
      <w:r w:rsidRPr="00AD5FCB">
        <w:rPr>
          <w:rFonts w:ascii="Arial" w:hAnsi="Arial" w:cs="Arial"/>
          <w:sz w:val="24"/>
          <w:szCs w:val="24"/>
        </w:rPr>
        <w:tab/>
      </w:r>
      <w:r w:rsidR="00EA4702" w:rsidRPr="00EA206A">
        <w:rPr>
          <w:rFonts w:ascii="Arial" w:hAnsi="Arial" w:cs="Arial"/>
          <w:sz w:val="24"/>
          <w:szCs w:val="24"/>
        </w:rPr>
        <w:t xml:space="preserve">Not only are the names </w:t>
      </w:r>
      <w:r w:rsidR="00EA4702" w:rsidRPr="00EA206A">
        <w:rPr>
          <w:rFonts w:ascii="Arial" w:hAnsi="Arial" w:cs="Arial"/>
          <w:b/>
          <w:bCs/>
          <w:sz w:val="24"/>
          <w:szCs w:val="24"/>
        </w:rPr>
        <w:t>FIRE LOGIC</w:t>
      </w:r>
      <w:r w:rsidR="00EA4702" w:rsidRPr="00EA206A">
        <w:rPr>
          <w:rFonts w:ascii="Arial" w:hAnsi="Arial" w:cs="Arial"/>
          <w:sz w:val="24"/>
          <w:szCs w:val="24"/>
        </w:rPr>
        <w:t xml:space="preserve"> and </w:t>
      </w:r>
      <w:r w:rsidR="00EA4702" w:rsidRPr="00EA206A">
        <w:rPr>
          <w:rFonts w:ascii="Arial" w:hAnsi="Arial" w:cs="Arial"/>
          <w:b/>
          <w:bCs/>
          <w:sz w:val="24"/>
          <w:szCs w:val="24"/>
        </w:rPr>
        <w:t>FIRELOGIK</w:t>
      </w:r>
      <w:r w:rsidR="00EA4702" w:rsidRPr="00EA206A">
        <w:rPr>
          <w:rFonts w:ascii="Arial" w:hAnsi="Arial" w:cs="Arial"/>
          <w:sz w:val="24"/>
          <w:szCs w:val="24"/>
        </w:rPr>
        <w:t xml:space="preserve"> deceptively similar, to the eye, but the pronunciation thereof is identical.</w:t>
      </w:r>
      <w:r w:rsidR="007610E4" w:rsidRPr="00EA206A">
        <w:rPr>
          <w:rFonts w:ascii="Arial" w:hAnsi="Arial" w:cs="Arial"/>
          <w:sz w:val="24"/>
          <w:szCs w:val="24"/>
        </w:rPr>
        <w:t xml:space="preserve">  Accordingly, not only are the two names deceptively similar to the sight</w:t>
      </w:r>
      <w:r w:rsidR="00AD5FCB" w:rsidRPr="00EA206A">
        <w:rPr>
          <w:rFonts w:ascii="Arial" w:hAnsi="Arial" w:cs="Arial"/>
          <w:sz w:val="24"/>
          <w:szCs w:val="24"/>
        </w:rPr>
        <w:t>, but they are deceptively similar by sound.</w:t>
      </w:r>
      <w:r w:rsidR="007610E4" w:rsidRPr="00EA206A">
        <w:rPr>
          <w:rFonts w:ascii="Arial" w:hAnsi="Arial" w:cs="Arial"/>
          <w:sz w:val="24"/>
          <w:szCs w:val="24"/>
        </w:rPr>
        <w:t xml:space="preserve"> </w:t>
      </w:r>
      <w:r w:rsidR="00EA4702" w:rsidRPr="00EA206A">
        <w:rPr>
          <w:rFonts w:ascii="Arial" w:hAnsi="Arial" w:cs="Arial"/>
          <w:sz w:val="24"/>
          <w:szCs w:val="24"/>
        </w:rPr>
        <w:t xml:space="preserve"> It cannot be gainsaid that in any industry, word of mouth </w:t>
      </w:r>
      <w:r w:rsidR="00D40065" w:rsidRPr="00EA206A">
        <w:rPr>
          <w:rFonts w:ascii="Arial" w:hAnsi="Arial" w:cs="Arial"/>
          <w:sz w:val="24"/>
          <w:szCs w:val="24"/>
        </w:rPr>
        <w:t xml:space="preserve">marketing is a powerful tool.  A consumer in the industry in which the parties operate, having heard from, or having been advised by, another person in the trade to utilise the services of </w:t>
      </w:r>
      <w:r w:rsidR="00D40065" w:rsidRPr="00EA206A">
        <w:rPr>
          <w:rFonts w:ascii="Arial" w:hAnsi="Arial" w:cs="Arial"/>
          <w:b/>
          <w:bCs/>
          <w:sz w:val="24"/>
          <w:szCs w:val="24"/>
        </w:rPr>
        <w:t>FIRE LOGIC</w:t>
      </w:r>
      <w:r w:rsidR="00D40065" w:rsidRPr="00EA206A">
        <w:rPr>
          <w:rFonts w:ascii="Arial" w:hAnsi="Arial" w:cs="Arial"/>
          <w:sz w:val="24"/>
          <w:szCs w:val="24"/>
        </w:rPr>
        <w:t xml:space="preserve">, could very easily </w:t>
      </w:r>
      <w:r w:rsidR="00940F2F" w:rsidRPr="00EA206A">
        <w:rPr>
          <w:rFonts w:ascii="Arial" w:hAnsi="Arial" w:cs="Arial"/>
          <w:sz w:val="24"/>
          <w:szCs w:val="24"/>
        </w:rPr>
        <w:t xml:space="preserve">approach the </w:t>
      </w:r>
      <w:r w:rsidR="00D40065" w:rsidRPr="00EA206A">
        <w:rPr>
          <w:rFonts w:ascii="Arial" w:hAnsi="Arial" w:cs="Arial"/>
          <w:sz w:val="24"/>
          <w:szCs w:val="24"/>
        </w:rPr>
        <w:t xml:space="preserve">respondent, trading as </w:t>
      </w:r>
      <w:r w:rsidR="00D40065" w:rsidRPr="00EA206A">
        <w:rPr>
          <w:rFonts w:ascii="Arial" w:hAnsi="Arial" w:cs="Arial"/>
          <w:b/>
          <w:bCs/>
          <w:sz w:val="24"/>
          <w:szCs w:val="24"/>
        </w:rPr>
        <w:t>FIRELOGIK</w:t>
      </w:r>
      <w:r w:rsidR="00D40065" w:rsidRPr="00EA206A">
        <w:rPr>
          <w:rFonts w:ascii="Arial" w:hAnsi="Arial" w:cs="Arial"/>
          <w:sz w:val="24"/>
          <w:szCs w:val="24"/>
        </w:rPr>
        <w:t>, and assume it to be the applicant’s company</w:t>
      </w:r>
      <w:r w:rsidR="00AD5FCB" w:rsidRPr="00EA206A">
        <w:rPr>
          <w:rFonts w:ascii="Arial" w:hAnsi="Arial" w:cs="Arial"/>
          <w:sz w:val="24"/>
          <w:szCs w:val="24"/>
        </w:rPr>
        <w:t xml:space="preserve">, which had </w:t>
      </w:r>
      <w:r w:rsidR="00E304F1" w:rsidRPr="00EA206A">
        <w:rPr>
          <w:rFonts w:ascii="Arial" w:hAnsi="Arial" w:cs="Arial"/>
          <w:sz w:val="24"/>
          <w:szCs w:val="24"/>
        </w:rPr>
        <w:t>been</w:t>
      </w:r>
      <w:r w:rsidR="00AD5FCB" w:rsidRPr="00EA206A">
        <w:rPr>
          <w:rFonts w:ascii="Arial" w:hAnsi="Arial" w:cs="Arial"/>
          <w:sz w:val="24"/>
          <w:szCs w:val="24"/>
        </w:rPr>
        <w:t xml:space="preserve"> recommended</w:t>
      </w:r>
      <w:r w:rsidR="00D40065" w:rsidRPr="00EA206A">
        <w:rPr>
          <w:rFonts w:ascii="Arial" w:hAnsi="Arial" w:cs="Arial"/>
          <w:sz w:val="24"/>
          <w:szCs w:val="24"/>
        </w:rPr>
        <w:t xml:space="preserve">.  </w:t>
      </w:r>
      <w:r w:rsidR="007610E4" w:rsidRPr="00EA206A">
        <w:rPr>
          <w:rFonts w:ascii="Arial" w:hAnsi="Arial" w:cs="Arial"/>
          <w:sz w:val="24"/>
          <w:szCs w:val="24"/>
        </w:rPr>
        <w:t>This is</w:t>
      </w:r>
      <w:r w:rsidR="00CB3DC2" w:rsidRPr="00EA206A">
        <w:rPr>
          <w:rFonts w:ascii="Arial" w:hAnsi="Arial" w:cs="Arial"/>
          <w:sz w:val="24"/>
          <w:szCs w:val="24"/>
        </w:rPr>
        <w:t xml:space="preserve"> more so in the modern era given the advances in </w:t>
      </w:r>
      <w:r w:rsidR="007610E4" w:rsidRPr="00EA206A">
        <w:rPr>
          <w:rFonts w:ascii="Arial" w:hAnsi="Arial" w:cs="Arial"/>
          <w:sz w:val="24"/>
          <w:szCs w:val="24"/>
        </w:rPr>
        <w:t>technology.  Up until the deactivation of the respondent’s website, which only occurred shortly prior to the hearing of the matter, and with particular reference to the parties respective domain names; company names as displayed on their respective websites; and email addresses, not only did the potential for confusion arise when the consumer searched for the applicant’s website, but such confusion would remain if he or she</w:t>
      </w:r>
      <w:r w:rsidR="005D198A" w:rsidRPr="00EA206A">
        <w:rPr>
          <w:rFonts w:ascii="Arial" w:hAnsi="Arial" w:cs="Arial"/>
          <w:sz w:val="24"/>
          <w:szCs w:val="24"/>
        </w:rPr>
        <w:t xml:space="preserve"> had</w:t>
      </w:r>
      <w:r w:rsidR="007610E4" w:rsidRPr="00EA206A">
        <w:rPr>
          <w:rFonts w:ascii="Arial" w:hAnsi="Arial" w:cs="Arial"/>
          <w:sz w:val="24"/>
          <w:szCs w:val="24"/>
        </w:rPr>
        <w:t xml:space="preserve"> reached the respondent’s website</w:t>
      </w:r>
      <w:r w:rsidR="005D198A" w:rsidRPr="00EA206A">
        <w:rPr>
          <w:rFonts w:ascii="Arial" w:hAnsi="Arial" w:cs="Arial"/>
          <w:sz w:val="24"/>
          <w:szCs w:val="24"/>
        </w:rPr>
        <w:t>, instead of the applicant’s website,</w:t>
      </w:r>
      <w:r w:rsidR="007610E4" w:rsidRPr="00EA206A">
        <w:rPr>
          <w:rFonts w:ascii="Arial" w:hAnsi="Arial" w:cs="Arial"/>
          <w:sz w:val="24"/>
          <w:szCs w:val="24"/>
        </w:rPr>
        <w:t xml:space="preserve"> in error.</w:t>
      </w:r>
    </w:p>
    <w:p w14:paraId="3002D19E" w14:textId="77777777" w:rsidR="007610E4" w:rsidRPr="007610E4" w:rsidRDefault="007610E4" w:rsidP="0060617C">
      <w:pPr>
        <w:pStyle w:val="ListParagraph"/>
        <w:spacing w:after="0" w:line="480" w:lineRule="auto"/>
        <w:rPr>
          <w:rFonts w:ascii="Arial" w:hAnsi="Arial" w:cs="Arial"/>
          <w:sz w:val="24"/>
          <w:szCs w:val="24"/>
        </w:rPr>
      </w:pPr>
    </w:p>
    <w:p w14:paraId="0B1F66EC" w14:textId="727BE4D7" w:rsidR="00B90BAA"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40065" w:rsidRPr="00EA206A">
        <w:rPr>
          <w:rFonts w:ascii="Arial" w:hAnsi="Arial" w:cs="Arial"/>
          <w:sz w:val="24"/>
          <w:szCs w:val="24"/>
        </w:rPr>
        <w:t xml:space="preserve">This too applies to a consumer, having seen an advertisement emanating from the applicant.  </w:t>
      </w:r>
      <w:r w:rsidR="007610E4" w:rsidRPr="00EA206A">
        <w:rPr>
          <w:rFonts w:ascii="Arial" w:hAnsi="Arial" w:cs="Arial"/>
          <w:sz w:val="24"/>
          <w:szCs w:val="24"/>
        </w:rPr>
        <w:t>The words in the mind of the consumer are “fire” and “logic”.  I must accept that a consumer, having seen an advertisement for the applicant’s services, with imperfect recollection, may not recall that the applicant’s trading name is spelt with a “</w:t>
      </w:r>
      <w:r w:rsidR="005D198A" w:rsidRPr="00EA206A">
        <w:rPr>
          <w:rFonts w:ascii="Arial" w:hAnsi="Arial" w:cs="Arial"/>
          <w:b/>
          <w:bCs/>
          <w:sz w:val="24"/>
          <w:szCs w:val="24"/>
        </w:rPr>
        <w:t>C</w:t>
      </w:r>
      <w:r w:rsidR="007610E4" w:rsidRPr="00EA206A">
        <w:rPr>
          <w:rFonts w:ascii="Arial" w:hAnsi="Arial" w:cs="Arial"/>
          <w:sz w:val="24"/>
          <w:szCs w:val="24"/>
        </w:rPr>
        <w:t xml:space="preserve">” and not with a </w:t>
      </w:r>
      <w:r w:rsidR="005D198A" w:rsidRPr="00EA206A">
        <w:rPr>
          <w:rFonts w:ascii="Arial" w:hAnsi="Arial" w:cs="Arial"/>
          <w:sz w:val="24"/>
          <w:szCs w:val="24"/>
        </w:rPr>
        <w:t>“</w:t>
      </w:r>
      <w:r w:rsidR="005D198A" w:rsidRPr="00EA206A">
        <w:rPr>
          <w:rFonts w:ascii="Arial" w:hAnsi="Arial" w:cs="Arial"/>
          <w:b/>
          <w:bCs/>
          <w:sz w:val="24"/>
          <w:szCs w:val="24"/>
        </w:rPr>
        <w:t>K</w:t>
      </w:r>
      <w:r w:rsidR="007610E4" w:rsidRPr="00EA206A">
        <w:rPr>
          <w:rFonts w:ascii="Arial" w:hAnsi="Arial" w:cs="Arial"/>
          <w:sz w:val="24"/>
          <w:szCs w:val="24"/>
        </w:rPr>
        <w:t xml:space="preserve">”.  </w:t>
      </w:r>
    </w:p>
    <w:p w14:paraId="387D37D3" w14:textId="77777777" w:rsidR="003D6572" w:rsidRPr="003D6572" w:rsidRDefault="003D6572" w:rsidP="00B06ABC">
      <w:pPr>
        <w:pStyle w:val="ListParagraph"/>
        <w:spacing w:after="0" w:line="480" w:lineRule="auto"/>
        <w:rPr>
          <w:rFonts w:ascii="Arial" w:hAnsi="Arial" w:cs="Arial"/>
          <w:sz w:val="24"/>
          <w:szCs w:val="24"/>
        </w:rPr>
      </w:pPr>
    </w:p>
    <w:p w14:paraId="546F00C0" w14:textId="69692F68" w:rsidR="00405183"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405183" w:rsidRPr="00EA206A">
        <w:rPr>
          <w:rFonts w:ascii="Arial" w:hAnsi="Arial" w:cs="Arial"/>
          <w:sz w:val="24"/>
          <w:szCs w:val="24"/>
        </w:rPr>
        <w:t>How easily such confusion can occur was illustrated on the respondent’s own version, where an email requesting a costing from Bantry Construction, which was meant for the respondent, was sent to the applicant in the circumstances</w:t>
      </w:r>
      <w:r w:rsidR="005D198A" w:rsidRPr="00EA206A">
        <w:rPr>
          <w:rFonts w:ascii="Arial" w:hAnsi="Arial" w:cs="Arial"/>
          <w:sz w:val="24"/>
          <w:szCs w:val="24"/>
        </w:rPr>
        <w:t xml:space="preserve"> </w:t>
      </w:r>
      <w:r w:rsidR="007A0299" w:rsidRPr="00EA206A">
        <w:rPr>
          <w:rFonts w:ascii="Arial" w:hAnsi="Arial" w:cs="Arial"/>
          <w:sz w:val="24"/>
          <w:szCs w:val="24"/>
        </w:rPr>
        <w:t>set out in the respondent’s answering affidavit to the applicant’s supplementary affidavit</w:t>
      </w:r>
      <w:r w:rsidR="00405183" w:rsidRPr="00EA206A">
        <w:rPr>
          <w:rFonts w:ascii="Arial" w:hAnsi="Arial" w:cs="Arial"/>
          <w:sz w:val="24"/>
          <w:szCs w:val="24"/>
        </w:rPr>
        <w:t>:</w:t>
      </w:r>
    </w:p>
    <w:p w14:paraId="417C9A0B" w14:textId="77777777" w:rsidR="00405183" w:rsidRPr="00405183" w:rsidRDefault="00405183" w:rsidP="00B06ABC">
      <w:pPr>
        <w:pStyle w:val="ListParagraph"/>
        <w:spacing w:after="0" w:line="480" w:lineRule="auto"/>
        <w:rPr>
          <w:rFonts w:ascii="Arial" w:hAnsi="Arial" w:cs="Arial"/>
          <w:sz w:val="24"/>
          <w:szCs w:val="24"/>
        </w:rPr>
      </w:pPr>
    </w:p>
    <w:p w14:paraId="6EB5B551" w14:textId="547B4141" w:rsidR="00405183" w:rsidRPr="00B06ABC" w:rsidRDefault="00405183" w:rsidP="00B06ABC">
      <w:pPr>
        <w:pStyle w:val="ListParagraph"/>
        <w:spacing w:after="0" w:line="360" w:lineRule="auto"/>
        <w:ind w:left="1435" w:hanging="584"/>
        <w:jc w:val="both"/>
        <w:rPr>
          <w:rFonts w:ascii="Arial" w:hAnsi="Arial" w:cs="Arial"/>
          <w:i/>
          <w:iCs/>
          <w:lang w:val="en-US"/>
        </w:rPr>
      </w:pPr>
      <w:r w:rsidRPr="00B06ABC">
        <w:rPr>
          <w:rFonts w:ascii="Arial" w:hAnsi="Arial" w:cs="Arial"/>
        </w:rPr>
        <w:t>“</w:t>
      </w:r>
      <w:r w:rsidRPr="00B06ABC">
        <w:rPr>
          <w:rFonts w:ascii="Arial" w:hAnsi="Arial" w:cs="Arial"/>
          <w:i/>
          <w:iCs/>
        </w:rPr>
        <w:t>33.</w:t>
      </w:r>
      <w:r w:rsidRPr="00B06ABC">
        <w:rPr>
          <w:rFonts w:ascii="Arial" w:hAnsi="Arial" w:cs="Arial"/>
          <w:i/>
          <w:iCs/>
        </w:rPr>
        <w:tab/>
        <w:t>I</w:t>
      </w:r>
      <w:r w:rsidRPr="00B06ABC">
        <w:rPr>
          <w:rFonts w:ascii="Arial" w:hAnsi="Arial" w:cs="Arial"/>
          <w:i/>
          <w:iCs/>
          <w:lang w:val="en-US"/>
        </w:rPr>
        <w:t xml:space="preserve">t has been confirmed by the </w:t>
      </w:r>
      <w:r w:rsidR="00B06ABC">
        <w:rPr>
          <w:rFonts w:ascii="Arial" w:hAnsi="Arial" w:cs="Arial"/>
          <w:i/>
          <w:iCs/>
          <w:lang w:val="en-US"/>
        </w:rPr>
        <w:t>R</w:t>
      </w:r>
      <w:r w:rsidRPr="00B06ABC">
        <w:rPr>
          <w:rFonts w:ascii="Arial" w:hAnsi="Arial" w:cs="Arial"/>
          <w:i/>
          <w:iCs/>
          <w:lang w:val="en-US"/>
        </w:rPr>
        <w:t>espondent</w:t>
      </w:r>
      <w:r w:rsidR="00B06ABC">
        <w:rPr>
          <w:rFonts w:ascii="Arial" w:hAnsi="Arial" w:cs="Arial"/>
          <w:i/>
          <w:iCs/>
          <w:lang w:val="en-US"/>
        </w:rPr>
        <w:t>’</w:t>
      </w:r>
      <w:r w:rsidRPr="00B06ABC">
        <w:rPr>
          <w:rFonts w:ascii="Arial" w:hAnsi="Arial" w:cs="Arial"/>
          <w:i/>
          <w:iCs/>
          <w:lang w:val="en-US"/>
        </w:rPr>
        <w:t>s management team that Chris Snyders (“Snyders” alternatively “Chris”), an employee of the Respondent, received a telephone call on his cellular telephone, from an individual at Bantry Construction, presumably David Cronje, notifying him that they would need a quotation for the JMP project.</w:t>
      </w:r>
    </w:p>
    <w:p w14:paraId="2E5F6047" w14:textId="1BFD5791" w:rsidR="00B06ABC" w:rsidRPr="00B06ABC" w:rsidRDefault="00B06ABC" w:rsidP="00B06ABC">
      <w:pPr>
        <w:pStyle w:val="ListParagraph"/>
        <w:spacing w:after="0" w:line="360" w:lineRule="auto"/>
        <w:ind w:left="1435" w:hanging="584"/>
        <w:jc w:val="both"/>
        <w:rPr>
          <w:rFonts w:ascii="Arial" w:hAnsi="Arial" w:cs="Arial"/>
          <w:i/>
          <w:iCs/>
          <w:lang w:val="en-US"/>
        </w:rPr>
      </w:pPr>
    </w:p>
    <w:p w14:paraId="22CB3B2E" w14:textId="09B31F20" w:rsidR="00405183" w:rsidRPr="00B06ABC" w:rsidRDefault="00B06ABC" w:rsidP="00B06ABC">
      <w:pPr>
        <w:pStyle w:val="ListParagraph"/>
        <w:spacing w:after="0" w:line="360" w:lineRule="auto"/>
        <w:ind w:left="1435" w:hanging="584"/>
        <w:jc w:val="both"/>
        <w:rPr>
          <w:rFonts w:ascii="Arial" w:hAnsi="Arial" w:cs="Arial"/>
          <w:i/>
          <w:iCs/>
        </w:rPr>
      </w:pPr>
      <w:r w:rsidRPr="00B06ABC">
        <w:rPr>
          <w:rFonts w:ascii="Arial" w:hAnsi="Arial" w:cs="Arial"/>
          <w:i/>
          <w:iCs/>
          <w:lang w:val="en-US"/>
        </w:rPr>
        <w:t>34.</w:t>
      </w:r>
      <w:r w:rsidRPr="00B06ABC">
        <w:rPr>
          <w:rFonts w:ascii="Arial" w:hAnsi="Arial" w:cs="Arial"/>
          <w:i/>
          <w:iCs/>
          <w:lang w:val="en-US"/>
        </w:rPr>
        <w:tab/>
      </w:r>
      <w:r w:rsidR="00405183" w:rsidRPr="00B06ABC">
        <w:rPr>
          <w:rFonts w:ascii="Arial" w:hAnsi="Arial" w:cs="Arial"/>
          <w:i/>
          <w:iCs/>
          <w:lang w:val="en-US"/>
        </w:rPr>
        <w:t xml:space="preserve">Snyders indicated that </w:t>
      </w:r>
      <w:r w:rsidRPr="00B06ABC">
        <w:rPr>
          <w:rFonts w:ascii="Arial" w:hAnsi="Arial" w:cs="Arial"/>
          <w:i/>
          <w:iCs/>
          <w:lang w:val="en-US"/>
        </w:rPr>
        <w:t>C</w:t>
      </w:r>
      <w:r w:rsidR="00405183" w:rsidRPr="00B06ABC">
        <w:rPr>
          <w:rFonts w:ascii="Arial" w:hAnsi="Arial" w:cs="Arial"/>
          <w:i/>
          <w:iCs/>
          <w:lang w:val="en-US"/>
        </w:rPr>
        <w:t>ron</w:t>
      </w:r>
      <w:r w:rsidRPr="00B06ABC">
        <w:rPr>
          <w:rFonts w:ascii="Arial" w:hAnsi="Arial" w:cs="Arial"/>
          <w:i/>
          <w:iCs/>
          <w:lang w:val="en-US"/>
        </w:rPr>
        <w:t>je</w:t>
      </w:r>
      <w:r w:rsidR="00405183" w:rsidRPr="00B06ABC">
        <w:rPr>
          <w:rFonts w:ascii="Arial" w:hAnsi="Arial" w:cs="Arial"/>
          <w:i/>
          <w:iCs/>
          <w:lang w:val="en-US"/>
        </w:rPr>
        <w:t xml:space="preserve"> could send him an email whereafter he would then reply ther</w:t>
      </w:r>
      <w:r w:rsidRPr="00B06ABC">
        <w:rPr>
          <w:rFonts w:ascii="Arial" w:hAnsi="Arial" w:cs="Arial"/>
          <w:i/>
          <w:iCs/>
          <w:lang w:val="en-US"/>
        </w:rPr>
        <w:t>e</w:t>
      </w:r>
      <w:r w:rsidR="00405183" w:rsidRPr="00B06ABC">
        <w:rPr>
          <w:rFonts w:ascii="Arial" w:hAnsi="Arial" w:cs="Arial"/>
          <w:i/>
          <w:iCs/>
          <w:lang w:val="en-US"/>
        </w:rPr>
        <w:t xml:space="preserve">to. Snyders requested from </w:t>
      </w:r>
      <w:r w:rsidRPr="00B06ABC">
        <w:rPr>
          <w:rFonts w:ascii="Arial" w:hAnsi="Arial" w:cs="Arial"/>
          <w:i/>
          <w:iCs/>
          <w:lang w:val="en-US"/>
        </w:rPr>
        <w:t>C</w:t>
      </w:r>
      <w:r w:rsidR="00405183" w:rsidRPr="00B06ABC">
        <w:rPr>
          <w:rFonts w:ascii="Arial" w:hAnsi="Arial" w:cs="Arial"/>
          <w:i/>
          <w:iCs/>
          <w:lang w:val="en-US"/>
        </w:rPr>
        <w:t>ron</w:t>
      </w:r>
      <w:r w:rsidRPr="00B06ABC">
        <w:rPr>
          <w:rFonts w:ascii="Arial" w:hAnsi="Arial" w:cs="Arial"/>
          <w:i/>
          <w:iCs/>
          <w:lang w:val="en-US"/>
        </w:rPr>
        <w:t>je</w:t>
      </w:r>
      <w:r w:rsidR="00405183" w:rsidRPr="00B06ABC">
        <w:rPr>
          <w:rFonts w:ascii="Arial" w:hAnsi="Arial" w:cs="Arial"/>
          <w:i/>
          <w:iCs/>
          <w:lang w:val="en-US"/>
        </w:rPr>
        <w:t xml:space="preserve"> whether he has his email address to which Snyder</w:t>
      </w:r>
      <w:r w:rsidRPr="00B06ABC">
        <w:rPr>
          <w:rFonts w:ascii="Arial" w:hAnsi="Arial" w:cs="Arial"/>
          <w:i/>
          <w:iCs/>
          <w:lang w:val="en-US"/>
        </w:rPr>
        <w:t>s</w:t>
      </w:r>
      <w:r w:rsidR="00405183" w:rsidRPr="00B06ABC">
        <w:rPr>
          <w:rFonts w:ascii="Arial" w:hAnsi="Arial" w:cs="Arial"/>
          <w:i/>
          <w:iCs/>
          <w:lang w:val="en-US"/>
        </w:rPr>
        <w:t xml:space="preserve"> responded that he did. </w:t>
      </w:r>
      <w:r w:rsidRPr="00B06ABC">
        <w:rPr>
          <w:rFonts w:ascii="Arial" w:hAnsi="Arial" w:cs="Arial"/>
          <w:i/>
          <w:iCs/>
          <w:lang w:val="en-US"/>
        </w:rPr>
        <w:t xml:space="preserve"> </w:t>
      </w:r>
      <w:r w:rsidR="00405183" w:rsidRPr="00B06ABC">
        <w:rPr>
          <w:rFonts w:ascii="Arial" w:hAnsi="Arial" w:cs="Arial"/>
          <w:i/>
          <w:iCs/>
          <w:lang w:val="en-US"/>
        </w:rPr>
        <w:t>C</w:t>
      </w:r>
      <w:r w:rsidRPr="00B06ABC">
        <w:rPr>
          <w:rFonts w:ascii="Arial" w:hAnsi="Arial" w:cs="Arial"/>
          <w:i/>
          <w:iCs/>
          <w:lang w:val="en-US"/>
        </w:rPr>
        <w:t>ronje</w:t>
      </w:r>
      <w:r w:rsidR="00405183" w:rsidRPr="00B06ABC">
        <w:rPr>
          <w:rFonts w:ascii="Arial" w:hAnsi="Arial" w:cs="Arial"/>
          <w:i/>
          <w:iCs/>
          <w:lang w:val="en-US"/>
        </w:rPr>
        <w:t xml:space="preserve"> advised that he would issue the request for a quotation….</w:t>
      </w:r>
      <w:r w:rsidR="00405183" w:rsidRPr="00B06ABC">
        <w:rPr>
          <w:rFonts w:ascii="Arial" w:hAnsi="Arial" w:cs="Arial"/>
          <w:i/>
          <w:iCs/>
        </w:rPr>
        <w:t xml:space="preserve"> </w:t>
      </w:r>
    </w:p>
    <w:p w14:paraId="37BDBD3B" w14:textId="05115987" w:rsidR="00B06ABC" w:rsidRPr="00B06ABC" w:rsidRDefault="00B06ABC" w:rsidP="00B06ABC">
      <w:pPr>
        <w:pStyle w:val="ListParagraph"/>
        <w:spacing w:after="0" w:line="360" w:lineRule="auto"/>
        <w:ind w:left="1435" w:hanging="584"/>
        <w:jc w:val="both"/>
        <w:rPr>
          <w:rFonts w:ascii="Arial" w:hAnsi="Arial" w:cs="Arial"/>
          <w:i/>
          <w:iCs/>
        </w:rPr>
      </w:pPr>
    </w:p>
    <w:p w14:paraId="56705E3E" w14:textId="6BFB8ED5" w:rsidR="00405183" w:rsidRPr="00B06ABC" w:rsidRDefault="00B06ABC" w:rsidP="00B06ABC">
      <w:pPr>
        <w:pStyle w:val="ListParagraph"/>
        <w:spacing w:after="0" w:line="360" w:lineRule="auto"/>
        <w:ind w:left="1435" w:hanging="584"/>
        <w:jc w:val="both"/>
        <w:rPr>
          <w:rFonts w:ascii="Arial" w:hAnsi="Arial" w:cs="Arial"/>
          <w:i/>
          <w:iCs/>
          <w:lang w:val="en-US"/>
        </w:rPr>
      </w:pPr>
      <w:r w:rsidRPr="00B06ABC">
        <w:rPr>
          <w:rFonts w:ascii="Arial" w:hAnsi="Arial" w:cs="Arial"/>
          <w:i/>
          <w:iCs/>
        </w:rPr>
        <w:t>35.</w:t>
      </w:r>
      <w:r w:rsidRPr="00B06ABC">
        <w:rPr>
          <w:rFonts w:ascii="Arial" w:hAnsi="Arial" w:cs="Arial"/>
          <w:i/>
          <w:iCs/>
        </w:rPr>
        <w:tab/>
      </w:r>
      <w:r w:rsidR="00405183" w:rsidRPr="00B06ABC">
        <w:rPr>
          <w:rFonts w:ascii="Arial" w:hAnsi="Arial" w:cs="Arial"/>
          <w:i/>
          <w:iCs/>
          <w:lang w:val="en-US"/>
        </w:rPr>
        <w:t>Cr</w:t>
      </w:r>
      <w:r w:rsidRPr="00B06ABC">
        <w:rPr>
          <w:rFonts w:ascii="Arial" w:hAnsi="Arial" w:cs="Arial"/>
          <w:i/>
          <w:iCs/>
          <w:lang w:val="en-US"/>
        </w:rPr>
        <w:t>onje</w:t>
      </w:r>
      <w:r w:rsidR="00405183" w:rsidRPr="00B06ABC">
        <w:rPr>
          <w:rFonts w:ascii="Arial" w:hAnsi="Arial" w:cs="Arial"/>
          <w:i/>
          <w:iCs/>
          <w:lang w:val="en-US"/>
        </w:rPr>
        <w:t xml:space="preserve"> confirmed that he was aware that the </w:t>
      </w:r>
      <w:r w:rsidRPr="00B06ABC">
        <w:rPr>
          <w:rFonts w:ascii="Arial" w:hAnsi="Arial" w:cs="Arial"/>
          <w:i/>
          <w:iCs/>
          <w:lang w:val="en-US"/>
        </w:rPr>
        <w:t>R</w:t>
      </w:r>
      <w:r w:rsidR="00405183" w:rsidRPr="00B06ABC">
        <w:rPr>
          <w:rFonts w:ascii="Arial" w:hAnsi="Arial" w:cs="Arial"/>
          <w:i/>
          <w:iCs/>
          <w:lang w:val="en-US"/>
        </w:rPr>
        <w:t xml:space="preserve">espondent was the initial installer for the JMP </w:t>
      </w:r>
      <w:r w:rsidRPr="00B06ABC">
        <w:rPr>
          <w:rFonts w:ascii="Arial" w:hAnsi="Arial" w:cs="Arial"/>
          <w:i/>
          <w:iCs/>
          <w:lang w:val="en-US"/>
        </w:rPr>
        <w:t>P</w:t>
      </w:r>
      <w:r w:rsidR="00405183" w:rsidRPr="00B06ABC">
        <w:rPr>
          <w:rFonts w:ascii="Arial" w:hAnsi="Arial" w:cs="Arial"/>
          <w:i/>
          <w:iCs/>
          <w:lang w:val="en-US"/>
        </w:rPr>
        <w:t xml:space="preserve">roject, as advised by the </w:t>
      </w:r>
      <w:r w:rsidRPr="00B06ABC">
        <w:rPr>
          <w:rFonts w:ascii="Arial" w:hAnsi="Arial" w:cs="Arial"/>
          <w:i/>
          <w:iCs/>
          <w:lang w:val="en-US"/>
        </w:rPr>
        <w:t>P</w:t>
      </w:r>
      <w:r w:rsidR="00405183" w:rsidRPr="00B06ABC">
        <w:rPr>
          <w:rFonts w:ascii="Arial" w:hAnsi="Arial" w:cs="Arial"/>
          <w:i/>
          <w:iCs/>
          <w:lang w:val="en-US"/>
        </w:rPr>
        <w:t xml:space="preserve">roject </w:t>
      </w:r>
      <w:r w:rsidRPr="00B06ABC">
        <w:rPr>
          <w:rFonts w:ascii="Arial" w:hAnsi="Arial" w:cs="Arial"/>
          <w:i/>
          <w:iCs/>
          <w:lang w:val="en-US"/>
        </w:rPr>
        <w:t>O</w:t>
      </w:r>
      <w:r w:rsidR="00405183" w:rsidRPr="00B06ABC">
        <w:rPr>
          <w:rFonts w:ascii="Arial" w:hAnsi="Arial" w:cs="Arial"/>
          <w:i/>
          <w:iCs/>
          <w:lang w:val="en-US"/>
        </w:rPr>
        <w:t xml:space="preserve">wner, who had provided him with </w:t>
      </w:r>
      <w:r w:rsidRPr="00B06ABC">
        <w:rPr>
          <w:rFonts w:ascii="Arial" w:hAnsi="Arial" w:cs="Arial"/>
          <w:i/>
          <w:iCs/>
          <w:lang w:val="en-US"/>
        </w:rPr>
        <w:t>S</w:t>
      </w:r>
      <w:r w:rsidR="00405183" w:rsidRPr="00B06ABC">
        <w:rPr>
          <w:rFonts w:ascii="Arial" w:hAnsi="Arial" w:cs="Arial"/>
          <w:i/>
          <w:iCs/>
          <w:lang w:val="en-US"/>
        </w:rPr>
        <w:t>nyders</w:t>
      </w:r>
      <w:r w:rsidRPr="00B06ABC">
        <w:rPr>
          <w:rFonts w:ascii="Arial" w:hAnsi="Arial" w:cs="Arial"/>
          <w:i/>
          <w:iCs/>
          <w:lang w:val="en-US"/>
        </w:rPr>
        <w:t>’</w:t>
      </w:r>
      <w:r w:rsidR="00405183" w:rsidRPr="00B06ABC">
        <w:rPr>
          <w:rFonts w:ascii="Arial" w:hAnsi="Arial" w:cs="Arial"/>
          <w:i/>
          <w:iCs/>
          <w:lang w:val="en-US"/>
        </w:rPr>
        <w:t xml:space="preserve"> telephone number.</w:t>
      </w:r>
    </w:p>
    <w:p w14:paraId="2CA3803C" w14:textId="177B4535" w:rsidR="00B06ABC" w:rsidRPr="00B06ABC" w:rsidRDefault="00B06ABC" w:rsidP="00B06ABC">
      <w:pPr>
        <w:pStyle w:val="ListParagraph"/>
        <w:spacing w:after="0" w:line="360" w:lineRule="auto"/>
        <w:ind w:left="1435" w:hanging="584"/>
        <w:jc w:val="both"/>
        <w:rPr>
          <w:rFonts w:ascii="Arial" w:hAnsi="Arial" w:cs="Arial"/>
          <w:i/>
          <w:iCs/>
          <w:lang w:val="en-US"/>
        </w:rPr>
      </w:pPr>
    </w:p>
    <w:p w14:paraId="1BCAE33F" w14:textId="650D5451" w:rsidR="00405183" w:rsidRPr="00B06ABC" w:rsidRDefault="00B06ABC" w:rsidP="00B06ABC">
      <w:pPr>
        <w:pStyle w:val="ListParagraph"/>
        <w:spacing w:after="0" w:line="360" w:lineRule="auto"/>
        <w:ind w:left="1435" w:hanging="584"/>
        <w:jc w:val="both"/>
        <w:rPr>
          <w:rFonts w:ascii="Arial" w:hAnsi="Arial" w:cs="Arial"/>
          <w:i/>
          <w:iCs/>
          <w:lang w:val="en-US"/>
        </w:rPr>
      </w:pPr>
      <w:r w:rsidRPr="00B06ABC">
        <w:rPr>
          <w:rFonts w:ascii="Arial" w:hAnsi="Arial" w:cs="Arial"/>
          <w:i/>
          <w:iCs/>
          <w:lang w:val="en-US"/>
        </w:rPr>
        <w:t>36.</w:t>
      </w:r>
      <w:r w:rsidRPr="00B06ABC">
        <w:rPr>
          <w:rFonts w:ascii="Arial" w:hAnsi="Arial" w:cs="Arial"/>
          <w:i/>
          <w:iCs/>
          <w:lang w:val="en-US"/>
        </w:rPr>
        <w:tab/>
        <w:t xml:space="preserve">As he did not </w:t>
      </w:r>
      <w:r w:rsidR="00405183" w:rsidRPr="00B06ABC">
        <w:rPr>
          <w:rFonts w:ascii="Arial" w:hAnsi="Arial" w:cs="Arial"/>
          <w:i/>
          <w:iCs/>
          <w:lang w:val="en-US"/>
        </w:rPr>
        <w:t xml:space="preserve">have further contact information of the </w:t>
      </w:r>
      <w:r w:rsidRPr="00B06ABC">
        <w:rPr>
          <w:rFonts w:ascii="Arial" w:hAnsi="Arial" w:cs="Arial"/>
          <w:i/>
          <w:iCs/>
          <w:lang w:val="en-US"/>
        </w:rPr>
        <w:t>R</w:t>
      </w:r>
      <w:r w:rsidR="00405183" w:rsidRPr="00B06ABC">
        <w:rPr>
          <w:rFonts w:ascii="Arial" w:hAnsi="Arial" w:cs="Arial"/>
          <w:i/>
          <w:iCs/>
          <w:lang w:val="en-US"/>
        </w:rPr>
        <w:t xml:space="preserve">espondent initially, he confirmed that following a Google search of the name </w:t>
      </w:r>
      <w:r w:rsidRPr="00B06ABC">
        <w:rPr>
          <w:rFonts w:ascii="Arial" w:hAnsi="Arial" w:cs="Arial"/>
          <w:i/>
          <w:iCs/>
          <w:lang w:val="en-US"/>
        </w:rPr>
        <w:t>“Firelogic”</w:t>
      </w:r>
      <w:r w:rsidR="00405183" w:rsidRPr="00B06ABC">
        <w:rPr>
          <w:rFonts w:ascii="Arial" w:hAnsi="Arial" w:cs="Arial"/>
          <w:i/>
          <w:iCs/>
          <w:lang w:val="en-US"/>
        </w:rPr>
        <w:t xml:space="preserve">, the </w:t>
      </w:r>
      <w:r w:rsidRPr="00B06ABC">
        <w:rPr>
          <w:rFonts w:ascii="Arial" w:hAnsi="Arial" w:cs="Arial"/>
          <w:i/>
          <w:iCs/>
          <w:lang w:val="en-US"/>
        </w:rPr>
        <w:t>A</w:t>
      </w:r>
      <w:r w:rsidR="00405183" w:rsidRPr="00B06ABC">
        <w:rPr>
          <w:rFonts w:ascii="Arial" w:hAnsi="Arial" w:cs="Arial"/>
          <w:i/>
          <w:iCs/>
          <w:lang w:val="en-US"/>
        </w:rPr>
        <w:t xml:space="preserve">pplicant's website popped up. </w:t>
      </w:r>
      <w:r w:rsidRPr="00B06ABC">
        <w:rPr>
          <w:rFonts w:ascii="Arial" w:hAnsi="Arial" w:cs="Arial"/>
          <w:i/>
          <w:iCs/>
          <w:lang w:val="en-US"/>
        </w:rPr>
        <w:t xml:space="preserve"> </w:t>
      </w:r>
      <w:r w:rsidR="00405183" w:rsidRPr="00B06ABC">
        <w:rPr>
          <w:rFonts w:ascii="Arial" w:hAnsi="Arial" w:cs="Arial"/>
          <w:i/>
          <w:iCs/>
          <w:lang w:val="en-US"/>
        </w:rPr>
        <w:t>Cron</w:t>
      </w:r>
      <w:r w:rsidRPr="00B06ABC">
        <w:rPr>
          <w:rFonts w:ascii="Arial" w:hAnsi="Arial" w:cs="Arial"/>
          <w:i/>
          <w:iCs/>
          <w:lang w:val="en-US"/>
        </w:rPr>
        <w:t>je</w:t>
      </w:r>
      <w:r w:rsidR="00405183" w:rsidRPr="00B06ABC">
        <w:rPr>
          <w:rFonts w:ascii="Arial" w:hAnsi="Arial" w:cs="Arial"/>
          <w:i/>
          <w:iCs/>
          <w:lang w:val="en-US"/>
        </w:rPr>
        <w:t xml:space="preserve"> then opened up the </w:t>
      </w:r>
      <w:r w:rsidRPr="00B06ABC">
        <w:rPr>
          <w:rFonts w:ascii="Arial" w:hAnsi="Arial" w:cs="Arial"/>
          <w:i/>
          <w:iCs/>
          <w:lang w:val="en-US"/>
        </w:rPr>
        <w:t>A</w:t>
      </w:r>
      <w:r w:rsidR="00405183" w:rsidRPr="00B06ABC">
        <w:rPr>
          <w:rFonts w:ascii="Arial" w:hAnsi="Arial" w:cs="Arial"/>
          <w:i/>
          <w:iCs/>
          <w:lang w:val="en-US"/>
        </w:rPr>
        <w:t>pplicant's website and found the email address info@firelogics.co</w:t>
      </w:r>
      <w:r w:rsidRPr="00B06ABC">
        <w:rPr>
          <w:rFonts w:ascii="Arial" w:hAnsi="Arial" w:cs="Arial"/>
          <w:i/>
          <w:iCs/>
          <w:lang w:val="en-US"/>
        </w:rPr>
        <w:t>.za</w:t>
      </w:r>
      <w:r w:rsidR="00405183" w:rsidRPr="00B06ABC">
        <w:rPr>
          <w:rFonts w:ascii="Arial" w:hAnsi="Arial" w:cs="Arial"/>
          <w:i/>
          <w:iCs/>
          <w:lang w:val="en-US"/>
        </w:rPr>
        <w:t xml:space="preserve"> on the website.</w:t>
      </w:r>
    </w:p>
    <w:p w14:paraId="4B688DA1" w14:textId="246CBEB7" w:rsidR="00B06ABC" w:rsidRPr="00B06ABC" w:rsidRDefault="00B06ABC" w:rsidP="00B06ABC">
      <w:pPr>
        <w:pStyle w:val="ListParagraph"/>
        <w:spacing w:after="0" w:line="360" w:lineRule="auto"/>
        <w:ind w:left="1435" w:hanging="584"/>
        <w:jc w:val="both"/>
        <w:rPr>
          <w:rFonts w:ascii="Arial" w:hAnsi="Arial" w:cs="Arial"/>
          <w:i/>
          <w:iCs/>
          <w:lang w:val="en-US"/>
        </w:rPr>
      </w:pPr>
    </w:p>
    <w:p w14:paraId="7ADD3EAE" w14:textId="79FB4319" w:rsidR="00B06ABC" w:rsidRPr="00B06ABC" w:rsidRDefault="00B06ABC" w:rsidP="00B06ABC">
      <w:pPr>
        <w:pStyle w:val="ListParagraph"/>
        <w:spacing w:after="0" w:line="360" w:lineRule="auto"/>
        <w:ind w:left="1435" w:hanging="584"/>
        <w:jc w:val="both"/>
        <w:rPr>
          <w:rFonts w:ascii="Arial" w:hAnsi="Arial" w:cs="Arial"/>
          <w:i/>
          <w:iCs/>
          <w:lang w:val="en-US"/>
        </w:rPr>
      </w:pPr>
      <w:r w:rsidRPr="00B06ABC">
        <w:rPr>
          <w:rFonts w:ascii="Arial" w:hAnsi="Arial" w:cs="Arial"/>
          <w:i/>
          <w:iCs/>
          <w:lang w:val="en-US"/>
        </w:rPr>
        <w:t>37.</w:t>
      </w:r>
      <w:r w:rsidRPr="00B06ABC">
        <w:rPr>
          <w:rFonts w:ascii="Arial" w:hAnsi="Arial" w:cs="Arial"/>
          <w:i/>
          <w:iCs/>
          <w:lang w:val="en-US"/>
        </w:rPr>
        <w:tab/>
        <w:t>…</w:t>
      </w:r>
    </w:p>
    <w:p w14:paraId="374A0AD2" w14:textId="2E8DF421" w:rsidR="00B06ABC" w:rsidRPr="00B06ABC" w:rsidRDefault="00B06ABC" w:rsidP="00B06ABC">
      <w:pPr>
        <w:pStyle w:val="ListParagraph"/>
        <w:spacing w:after="0" w:line="360" w:lineRule="auto"/>
        <w:ind w:left="1435" w:hanging="584"/>
        <w:jc w:val="both"/>
        <w:rPr>
          <w:rFonts w:ascii="Arial" w:hAnsi="Arial" w:cs="Arial"/>
          <w:i/>
          <w:iCs/>
          <w:lang w:val="en-US"/>
        </w:rPr>
      </w:pPr>
    </w:p>
    <w:p w14:paraId="1E77A3B6" w14:textId="77777777" w:rsidR="00B06ABC" w:rsidRDefault="00B06ABC" w:rsidP="00B06ABC">
      <w:pPr>
        <w:pStyle w:val="ListParagraph"/>
        <w:spacing w:after="0" w:line="360" w:lineRule="auto"/>
        <w:ind w:left="1435" w:hanging="584"/>
        <w:jc w:val="both"/>
        <w:rPr>
          <w:rFonts w:ascii="Arial" w:hAnsi="Arial" w:cs="Arial"/>
          <w:i/>
          <w:iCs/>
          <w:lang w:val="en-US"/>
        </w:rPr>
      </w:pPr>
      <w:r w:rsidRPr="00B06ABC">
        <w:rPr>
          <w:rFonts w:ascii="Arial" w:hAnsi="Arial" w:cs="Arial"/>
          <w:i/>
          <w:iCs/>
          <w:lang w:val="en-US"/>
        </w:rPr>
        <w:t>38.</w:t>
      </w:r>
      <w:r w:rsidRPr="00B06ABC">
        <w:rPr>
          <w:rFonts w:ascii="Arial" w:hAnsi="Arial" w:cs="Arial"/>
          <w:i/>
          <w:iCs/>
          <w:lang w:val="en-US"/>
        </w:rPr>
        <w:tab/>
      </w:r>
      <w:r w:rsidR="00405183" w:rsidRPr="00B06ABC">
        <w:rPr>
          <w:rFonts w:ascii="Arial" w:hAnsi="Arial" w:cs="Arial"/>
          <w:i/>
          <w:iCs/>
          <w:lang w:val="en-US"/>
        </w:rPr>
        <w:t>On the 4</w:t>
      </w:r>
      <w:r w:rsidR="00405183" w:rsidRPr="00B06ABC">
        <w:rPr>
          <w:rFonts w:ascii="Arial" w:hAnsi="Arial" w:cs="Arial"/>
          <w:i/>
          <w:iCs/>
          <w:vertAlign w:val="superscript"/>
          <w:lang w:val="en-US"/>
        </w:rPr>
        <w:t>th</w:t>
      </w:r>
      <w:r w:rsidR="00405183" w:rsidRPr="00B06ABC">
        <w:rPr>
          <w:rFonts w:ascii="Arial" w:hAnsi="Arial" w:cs="Arial"/>
          <w:i/>
          <w:iCs/>
          <w:lang w:val="en-US"/>
        </w:rPr>
        <w:t xml:space="preserve"> August 2022 </w:t>
      </w:r>
      <w:r w:rsidRPr="00B06ABC">
        <w:rPr>
          <w:rFonts w:ascii="Arial" w:hAnsi="Arial" w:cs="Arial"/>
          <w:i/>
          <w:iCs/>
          <w:lang w:val="en-US"/>
        </w:rPr>
        <w:t>C</w:t>
      </w:r>
      <w:r w:rsidR="00405183" w:rsidRPr="00B06ABC">
        <w:rPr>
          <w:rFonts w:ascii="Arial" w:hAnsi="Arial" w:cs="Arial"/>
          <w:i/>
          <w:iCs/>
          <w:lang w:val="en-US"/>
        </w:rPr>
        <w:t>ron</w:t>
      </w:r>
      <w:r w:rsidRPr="00B06ABC">
        <w:rPr>
          <w:rFonts w:ascii="Arial" w:hAnsi="Arial" w:cs="Arial"/>
          <w:i/>
          <w:iCs/>
          <w:lang w:val="en-US"/>
        </w:rPr>
        <w:t>je</w:t>
      </w:r>
      <w:r w:rsidR="00405183" w:rsidRPr="00B06ABC">
        <w:rPr>
          <w:rFonts w:ascii="Arial" w:hAnsi="Arial" w:cs="Arial"/>
          <w:i/>
          <w:iCs/>
          <w:lang w:val="en-US"/>
        </w:rPr>
        <w:t xml:space="preserve"> then used the email address he had sourced to send his email to the </w:t>
      </w:r>
      <w:r w:rsidRPr="00B06ABC">
        <w:rPr>
          <w:rFonts w:ascii="Arial" w:hAnsi="Arial" w:cs="Arial"/>
          <w:i/>
          <w:iCs/>
          <w:lang w:val="en-US"/>
        </w:rPr>
        <w:t>A</w:t>
      </w:r>
      <w:r w:rsidR="00405183" w:rsidRPr="00B06ABC">
        <w:rPr>
          <w:rFonts w:ascii="Arial" w:hAnsi="Arial" w:cs="Arial"/>
          <w:i/>
          <w:iCs/>
          <w:lang w:val="en-US"/>
        </w:rPr>
        <w:t>pplicant.</w:t>
      </w:r>
    </w:p>
    <w:p w14:paraId="2DB20817" w14:textId="77777777" w:rsidR="003477A3" w:rsidRDefault="003477A3" w:rsidP="00B06ABC">
      <w:pPr>
        <w:pStyle w:val="ListParagraph"/>
        <w:spacing w:after="0" w:line="360" w:lineRule="auto"/>
        <w:ind w:left="1435" w:hanging="584"/>
        <w:jc w:val="both"/>
        <w:rPr>
          <w:rFonts w:ascii="Arial" w:hAnsi="Arial" w:cs="Arial"/>
          <w:i/>
          <w:iCs/>
          <w:lang w:val="en-US"/>
        </w:rPr>
      </w:pPr>
    </w:p>
    <w:p w14:paraId="3FDDBBDF" w14:textId="6DAD5565" w:rsidR="003D6572" w:rsidRPr="00B06ABC" w:rsidRDefault="00B06ABC" w:rsidP="00B06ABC">
      <w:pPr>
        <w:pStyle w:val="ListParagraph"/>
        <w:spacing w:after="0" w:line="360" w:lineRule="auto"/>
        <w:ind w:left="1435" w:hanging="584"/>
        <w:jc w:val="both"/>
        <w:rPr>
          <w:rFonts w:ascii="Arial" w:hAnsi="Arial" w:cs="Arial"/>
          <w:lang w:val="en-US"/>
        </w:rPr>
      </w:pPr>
      <w:r>
        <w:rPr>
          <w:rFonts w:ascii="Arial" w:hAnsi="Arial" w:cs="Arial"/>
          <w:i/>
          <w:iCs/>
          <w:lang w:val="en-US"/>
        </w:rPr>
        <w:t>39.</w:t>
      </w:r>
      <w:r>
        <w:rPr>
          <w:rFonts w:ascii="Arial" w:hAnsi="Arial" w:cs="Arial"/>
          <w:i/>
          <w:iCs/>
          <w:lang w:val="en-US"/>
        </w:rPr>
        <w:tab/>
        <w:t>Cronje further commented that when he did not receive a reply, and needing an urgent response, he contacted the employer who provide (sic) him with the email address of the Respondent.</w:t>
      </w:r>
      <w:r w:rsidR="00405183" w:rsidRPr="00B06ABC">
        <w:rPr>
          <w:rFonts w:ascii="Arial" w:hAnsi="Arial" w:cs="Arial"/>
          <w:sz w:val="24"/>
          <w:szCs w:val="24"/>
          <w:lang w:val="en-US"/>
        </w:rPr>
        <w:t>”</w:t>
      </w:r>
      <w:r w:rsidR="00405183" w:rsidRPr="00B06ABC">
        <w:rPr>
          <w:rFonts w:ascii="Arial" w:hAnsi="Arial" w:cs="Arial"/>
          <w:sz w:val="24"/>
          <w:szCs w:val="24"/>
        </w:rPr>
        <w:t xml:space="preserve">  </w:t>
      </w:r>
    </w:p>
    <w:p w14:paraId="11A9F99C" w14:textId="0814AD8D" w:rsidR="0060617C"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B06ABC" w:rsidRPr="00EA206A">
        <w:rPr>
          <w:rFonts w:ascii="Arial" w:hAnsi="Arial" w:cs="Arial"/>
          <w:sz w:val="24"/>
          <w:szCs w:val="24"/>
        </w:rPr>
        <w:t xml:space="preserve">Whilst the aforesaid confusion was later </w:t>
      </w:r>
      <w:r w:rsidR="003477A3" w:rsidRPr="00EA206A">
        <w:rPr>
          <w:rFonts w:ascii="Arial" w:hAnsi="Arial" w:cs="Arial"/>
          <w:sz w:val="24"/>
          <w:szCs w:val="24"/>
        </w:rPr>
        <w:t xml:space="preserve">resolved as </w:t>
      </w:r>
      <w:r w:rsidR="007A0299" w:rsidRPr="00EA206A">
        <w:rPr>
          <w:rFonts w:ascii="Arial" w:hAnsi="Arial" w:cs="Arial"/>
          <w:sz w:val="24"/>
          <w:szCs w:val="24"/>
        </w:rPr>
        <w:t>the respondent was known to the employer</w:t>
      </w:r>
      <w:r w:rsidR="00B06ABC" w:rsidRPr="00EA206A">
        <w:rPr>
          <w:rFonts w:ascii="Arial" w:hAnsi="Arial" w:cs="Arial"/>
          <w:sz w:val="24"/>
          <w:szCs w:val="24"/>
        </w:rPr>
        <w:t xml:space="preserve">, </w:t>
      </w:r>
      <w:r w:rsidR="007A0299" w:rsidRPr="00EA206A">
        <w:rPr>
          <w:rFonts w:ascii="Arial" w:hAnsi="Arial" w:cs="Arial"/>
          <w:sz w:val="24"/>
          <w:szCs w:val="24"/>
        </w:rPr>
        <w:t>this is exactly the type of confusion to which I have referred above.  T</w:t>
      </w:r>
      <w:r w:rsidR="00B90BAA" w:rsidRPr="00EA206A">
        <w:rPr>
          <w:rFonts w:ascii="Arial" w:hAnsi="Arial" w:cs="Arial"/>
          <w:sz w:val="24"/>
          <w:szCs w:val="24"/>
        </w:rPr>
        <w:t xml:space="preserve">he respondent’s contention </w:t>
      </w:r>
      <w:r w:rsidR="0060617C" w:rsidRPr="00EA206A">
        <w:rPr>
          <w:rFonts w:ascii="Arial" w:hAnsi="Arial" w:cs="Arial"/>
          <w:sz w:val="24"/>
          <w:szCs w:val="24"/>
        </w:rPr>
        <w:t>as to the unlikelihood of</w:t>
      </w:r>
      <w:r w:rsidR="007A0299" w:rsidRPr="00EA206A">
        <w:rPr>
          <w:rFonts w:ascii="Arial" w:hAnsi="Arial" w:cs="Arial"/>
          <w:sz w:val="24"/>
          <w:szCs w:val="24"/>
        </w:rPr>
        <w:t xml:space="preserve"> </w:t>
      </w:r>
      <w:r w:rsidR="007A0299" w:rsidRPr="00EA206A">
        <w:rPr>
          <w:rFonts w:ascii="Arial" w:hAnsi="Arial" w:cs="Arial"/>
          <w:i/>
          <w:iCs/>
          <w:sz w:val="24"/>
          <w:szCs w:val="24"/>
        </w:rPr>
        <w:t>lasting</w:t>
      </w:r>
      <w:r w:rsidR="0060617C" w:rsidRPr="00EA206A">
        <w:rPr>
          <w:rFonts w:ascii="Arial" w:hAnsi="Arial" w:cs="Arial"/>
          <w:sz w:val="24"/>
          <w:szCs w:val="24"/>
        </w:rPr>
        <w:t xml:space="preserve"> confusion amongst </w:t>
      </w:r>
      <w:r w:rsidR="0060617C" w:rsidRPr="00EA206A">
        <w:rPr>
          <w:rFonts w:ascii="Arial" w:hAnsi="Arial" w:cs="Arial"/>
          <w:i/>
          <w:iCs/>
          <w:sz w:val="24"/>
          <w:szCs w:val="24"/>
        </w:rPr>
        <w:t>known clients</w:t>
      </w:r>
      <w:r w:rsidR="007A0299" w:rsidRPr="00EA206A">
        <w:rPr>
          <w:rFonts w:ascii="Arial" w:hAnsi="Arial" w:cs="Arial"/>
          <w:i/>
          <w:iCs/>
          <w:sz w:val="24"/>
          <w:szCs w:val="24"/>
        </w:rPr>
        <w:t>,</w:t>
      </w:r>
      <w:r w:rsidR="0060617C" w:rsidRPr="00EA206A">
        <w:rPr>
          <w:rFonts w:ascii="Arial" w:hAnsi="Arial" w:cs="Arial"/>
          <w:sz w:val="24"/>
          <w:szCs w:val="24"/>
        </w:rPr>
        <w:t xml:space="preserve"> takes the matter no further.</w:t>
      </w:r>
      <w:r w:rsidR="003D6572" w:rsidRPr="00EA206A">
        <w:rPr>
          <w:rFonts w:ascii="Arial" w:hAnsi="Arial" w:cs="Arial"/>
          <w:sz w:val="24"/>
          <w:szCs w:val="24"/>
        </w:rPr>
        <w:t xml:space="preserve">  </w:t>
      </w:r>
      <w:r w:rsidR="007A0299" w:rsidRPr="00EA206A">
        <w:rPr>
          <w:rFonts w:ascii="Arial" w:hAnsi="Arial" w:cs="Arial"/>
          <w:sz w:val="24"/>
          <w:szCs w:val="24"/>
        </w:rPr>
        <w:t>T</w:t>
      </w:r>
      <w:r w:rsidR="0060617C" w:rsidRPr="00EA206A">
        <w:rPr>
          <w:rFonts w:ascii="Arial" w:hAnsi="Arial" w:cs="Arial"/>
          <w:sz w:val="24"/>
          <w:szCs w:val="24"/>
        </w:rPr>
        <w:t xml:space="preserve">he question is not whether a person who has intimate knowledge of either of the parties will be confused or deceived, it is whether a person who does </w:t>
      </w:r>
      <w:r w:rsidR="0060617C" w:rsidRPr="00EA206A">
        <w:rPr>
          <w:rFonts w:ascii="Arial" w:hAnsi="Arial" w:cs="Arial"/>
          <w:b/>
          <w:bCs/>
          <w:i/>
          <w:iCs/>
          <w:sz w:val="24"/>
          <w:szCs w:val="24"/>
        </w:rPr>
        <w:t>not</w:t>
      </w:r>
      <w:r w:rsidR="0060617C" w:rsidRPr="00EA206A">
        <w:rPr>
          <w:rFonts w:ascii="Arial" w:hAnsi="Arial" w:cs="Arial"/>
          <w:sz w:val="24"/>
          <w:szCs w:val="24"/>
        </w:rPr>
        <w:t xml:space="preserve"> have such knowledge is likely to be confused or deceived.</w:t>
      </w:r>
      <w:r w:rsidR="0060617C">
        <w:rPr>
          <w:rStyle w:val="FootnoteReference"/>
          <w:rFonts w:ascii="Arial" w:hAnsi="Arial" w:cs="Arial"/>
          <w:sz w:val="24"/>
          <w:szCs w:val="24"/>
        </w:rPr>
        <w:footnoteReference w:id="19"/>
      </w:r>
      <w:r w:rsidR="00DD361E" w:rsidRPr="00EA206A">
        <w:rPr>
          <w:rFonts w:ascii="Arial" w:hAnsi="Arial" w:cs="Arial"/>
          <w:sz w:val="24"/>
          <w:szCs w:val="24"/>
        </w:rPr>
        <w:t xml:space="preserve">  </w:t>
      </w:r>
    </w:p>
    <w:p w14:paraId="761D0C47" w14:textId="4A4226EF" w:rsidR="007A0299" w:rsidRDefault="007A0299" w:rsidP="007A0299">
      <w:pPr>
        <w:pStyle w:val="ListParagraph"/>
        <w:spacing w:after="0" w:line="480" w:lineRule="auto"/>
        <w:ind w:left="851"/>
        <w:jc w:val="both"/>
        <w:rPr>
          <w:rFonts w:ascii="Arial" w:hAnsi="Arial" w:cs="Arial"/>
          <w:sz w:val="24"/>
          <w:szCs w:val="24"/>
        </w:rPr>
      </w:pPr>
    </w:p>
    <w:p w14:paraId="3D623BE5" w14:textId="006E075F" w:rsidR="00511032"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7A0299" w:rsidRPr="00EA206A">
        <w:rPr>
          <w:rFonts w:ascii="Arial" w:hAnsi="Arial" w:cs="Arial"/>
          <w:sz w:val="24"/>
          <w:szCs w:val="24"/>
        </w:rPr>
        <w:t>I am satisfied that the applicant has</w:t>
      </w:r>
      <w:r w:rsidR="00511032" w:rsidRPr="00EA206A">
        <w:rPr>
          <w:rFonts w:ascii="Arial" w:hAnsi="Arial" w:cs="Arial"/>
          <w:sz w:val="24"/>
          <w:szCs w:val="24"/>
        </w:rPr>
        <w:t xml:space="preserve"> met the second requirement set out in </w:t>
      </w:r>
      <w:r w:rsidR="00511032" w:rsidRPr="00EA206A">
        <w:rPr>
          <w:rFonts w:ascii="Arial" w:hAnsi="Arial" w:cs="Arial"/>
          <w:i/>
          <w:iCs/>
          <w:sz w:val="24"/>
          <w:szCs w:val="24"/>
        </w:rPr>
        <w:t>Williams t/a Jenifer Williams &amp; Associates and Another v Life Line Southern Transvaal</w:t>
      </w:r>
      <w:r w:rsidR="00511032" w:rsidRPr="00EA206A">
        <w:rPr>
          <w:rFonts w:ascii="Arial" w:hAnsi="Arial" w:cs="Arial"/>
          <w:sz w:val="24"/>
          <w:szCs w:val="24"/>
        </w:rPr>
        <w:t xml:space="preserve"> (supra).</w:t>
      </w:r>
    </w:p>
    <w:p w14:paraId="3C399136" w14:textId="77777777" w:rsidR="00511032" w:rsidRPr="00511032" w:rsidRDefault="00511032" w:rsidP="00F718F1">
      <w:pPr>
        <w:pStyle w:val="ListParagraph"/>
        <w:spacing w:after="0" w:line="480" w:lineRule="auto"/>
        <w:rPr>
          <w:rFonts w:ascii="Arial" w:hAnsi="Arial" w:cs="Arial"/>
          <w:sz w:val="24"/>
          <w:szCs w:val="24"/>
        </w:rPr>
      </w:pPr>
    </w:p>
    <w:p w14:paraId="760C0C31" w14:textId="317D188D" w:rsidR="00921E78"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57A4C" w:rsidRPr="00EA206A">
        <w:rPr>
          <w:rFonts w:ascii="Arial" w:hAnsi="Arial" w:cs="Arial"/>
          <w:sz w:val="24"/>
          <w:szCs w:val="24"/>
        </w:rPr>
        <w:t>Where the above two requirements have been met, a party may, depending on the circumstances, apply for an interdict o</w:t>
      </w:r>
      <w:r w:rsidR="000A1AEE" w:rsidRPr="00EA206A">
        <w:rPr>
          <w:rFonts w:ascii="Arial" w:hAnsi="Arial" w:cs="Arial"/>
          <w:sz w:val="24"/>
          <w:szCs w:val="24"/>
        </w:rPr>
        <w:t>r</w:t>
      </w:r>
      <w:r w:rsidR="00D57A4C" w:rsidRPr="00EA206A">
        <w:rPr>
          <w:rFonts w:ascii="Arial" w:hAnsi="Arial" w:cs="Arial"/>
          <w:sz w:val="24"/>
          <w:szCs w:val="24"/>
        </w:rPr>
        <w:t xml:space="preserve"> claim damages with the Aquilian action.</w:t>
      </w:r>
      <w:r w:rsidR="00D57A4C">
        <w:rPr>
          <w:rStyle w:val="FootnoteReference"/>
          <w:rFonts w:ascii="Arial" w:hAnsi="Arial" w:cs="Arial"/>
          <w:sz w:val="24"/>
          <w:szCs w:val="24"/>
        </w:rPr>
        <w:footnoteReference w:id="20"/>
      </w:r>
      <w:r w:rsidR="00D57A4C" w:rsidRPr="00EA206A">
        <w:rPr>
          <w:rFonts w:ascii="Arial" w:hAnsi="Arial" w:cs="Arial"/>
          <w:sz w:val="24"/>
          <w:szCs w:val="24"/>
        </w:rPr>
        <w:t xml:space="preserve">  </w:t>
      </w:r>
      <w:r w:rsidR="00F718F1" w:rsidRPr="00EA206A">
        <w:rPr>
          <w:rFonts w:ascii="Arial" w:hAnsi="Arial" w:cs="Arial"/>
          <w:sz w:val="24"/>
          <w:szCs w:val="24"/>
        </w:rPr>
        <w:t>As previously stated, the applicant seeks relief by way of an interdict.</w:t>
      </w:r>
      <w:r w:rsidR="0097065E" w:rsidRPr="00EA206A">
        <w:rPr>
          <w:rFonts w:ascii="Arial" w:hAnsi="Arial" w:cs="Arial"/>
          <w:sz w:val="24"/>
          <w:szCs w:val="24"/>
        </w:rPr>
        <w:t xml:space="preserve">  </w:t>
      </w:r>
      <w:r w:rsidR="00C118F0" w:rsidRPr="00EA206A">
        <w:rPr>
          <w:rFonts w:ascii="Arial" w:hAnsi="Arial" w:cs="Arial"/>
          <w:sz w:val="24"/>
          <w:szCs w:val="24"/>
        </w:rPr>
        <w:t>Given that an applicant need not prove actual deception or confusion, but only that there is a reasonable likelihood of same, it is not a requirement for an applicant to prove actual prejudice; that loss is likely to result</w:t>
      </w:r>
      <w:r w:rsidR="000709E4" w:rsidRPr="00EA206A">
        <w:rPr>
          <w:rFonts w:ascii="Arial" w:hAnsi="Arial" w:cs="Arial"/>
          <w:sz w:val="24"/>
          <w:szCs w:val="24"/>
        </w:rPr>
        <w:t>,</w:t>
      </w:r>
      <w:r w:rsidR="00C118F0" w:rsidRPr="00EA206A">
        <w:rPr>
          <w:rFonts w:ascii="Arial" w:hAnsi="Arial" w:cs="Arial"/>
          <w:sz w:val="24"/>
          <w:szCs w:val="24"/>
        </w:rPr>
        <w:t xml:space="preserve"> suffices.</w:t>
      </w:r>
      <w:r w:rsidR="000709E4" w:rsidRPr="00EA206A">
        <w:rPr>
          <w:rFonts w:ascii="Arial" w:hAnsi="Arial" w:cs="Arial"/>
          <w:sz w:val="24"/>
          <w:szCs w:val="24"/>
        </w:rPr>
        <w:t xml:space="preserve">  Where there is a likelihood of deception or confusion, </w:t>
      </w:r>
      <w:r w:rsidR="00335AE2" w:rsidRPr="00EA206A">
        <w:rPr>
          <w:rFonts w:ascii="Arial" w:hAnsi="Arial" w:cs="Arial"/>
          <w:sz w:val="24"/>
          <w:szCs w:val="24"/>
        </w:rPr>
        <w:t>a li</w:t>
      </w:r>
      <w:r w:rsidR="000709E4" w:rsidRPr="00EA206A">
        <w:rPr>
          <w:rFonts w:ascii="Arial" w:hAnsi="Arial" w:cs="Arial"/>
          <w:sz w:val="24"/>
          <w:szCs w:val="24"/>
        </w:rPr>
        <w:t xml:space="preserve">kelihood of damage </w:t>
      </w:r>
      <w:r w:rsidR="00F73DCD" w:rsidRPr="00EA206A">
        <w:rPr>
          <w:rFonts w:ascii="Arial" w:hAnsi="Arial" w:cs="Arial"/>
          <w:sz w:val="24"/>
          <w:szCs w:val="24"/>
        </w:rPr>
        <w:t>follows</w:t>
      </w:r>
      <w:r w:rsidR="000709E4" w:rsidRPr="00EA206A">
        <w:rPr>
          <w:rFonts w:ascii="Arial" w:hAnsi="Arial" w:cs="Arial"/>
          <w:sz w:val="24"/>
          <w:szCs w:val="24"/>
        </w:rPr>
        <w:t>.</w:t>
      </w:r>
      <w:r w:rsidR="000709E4">
        <w:rPr>
          <w:rStyle w:val="FootnoteReference"/>
          <w:rFonts w:ascii="Arial" w:hAnsi="Arial" w:cs="Arial"/>
          <w:sz w:val="24"/>
          <w:szCs w:val="24"/>
        </w:rPr>
        <w:footnoteReference w:id="21"/>
      </w:r>
      <w:r w:rsidR="00473E72" w:rsidRPr="00EA206A">
        <w:rPr>
          <w:rFonts w:ascii="Arial" w:hAnsi="Arial" w:cs="Arial"/>
          <w:sz w:val="24"/>
          <w:szCs w:val="24"/>
        </w:rPr>
        <w:t xml:space="preserve">  </w:t>
      </w:r>
      <w:r w:rsidR="00921E78" w:rsidRPr="00EA206A">
        <w:rPr>
          <w:rFonts w:ascii="Arial" w:hAnsi="Arial" w:cs="Arial"/>
          <w:sz w:val="24"/>
          <w:szCs w:val="24"/>
        </w:rPr>
        <w:t>F</w:t>
      </w:r>
      <w:r w:rsidR="00473E72" w:rsidRPr="00EA206A">
        <w:rPr>
          <w:rFonts w:ascii="Arial" w:hAnsi="Arial" w:cs="Arial"/>
          <w:sz w:val="24"/>
          <w:szCs w:val="24"/>
        </w:rPr>
        <w:t>ault, in the form of intent or negligence, is not a requirement for an interdict</w:t>
      </w:r>
      <w:r w:rsidR="00921E78" w:rsidRPr="00EA206A">
        <w:rPr>
          <w:rFonts w:ascii="Arial" w:hAnsi="Arial" w:cs="Arial"/>
          <w:sz w:val="24"/>
          <w:szCs w:val="24"/>
        </w:rPr>
        <w:t>,</w:t>
      </w:r>
      <w:r w:rsidR="00473E72">
        <w:rPr>
          <w:rStyle w:val="FootnoteReference"/>
          <w:rFonts w:ascii="Arial" w:hAnsi="Arial" w:cs="Arial"/>
          <w:sz w:val="24"/>
          <w:szCs w:val="24"/>
        </w:rPr>
        <w:footnoteReference w:id="22"/>
      </w:r>
      <w:r w:rsidR="00921E78" w:rsidRPr="00EA206A">
        <w:rPr>
          <w:rFonts w:ascii="Arial" w:hAnsi="Arial" w:cs="Arial"/>
          <w:sz w:val="24"/>
          <w:szCs w:val="24"/>
        </w:rPr>
        <w:t xml:space="preserve"> and accordingly passing off, which is innocent in nature, will found </w:t>
      </w:r>
      <w:r w:rsidR="00921E78" w:rsidRPr="00EA206A">
        <w:rPr>
          <w:rFonts w:ascii="Arial" w:hAnsi="Arial" w:cs="Arial"/>
          <w:sz w:val="24"/>
          <w:szCs w:val="24"/>
        </w:rPr>
        <w:lastRenderedPageBreak/>
        <w:t xml:space="preserve">an interdict.  Where a wrongdoer has given an undertaking not to continue with his or her unlawful conduct, an interdict is nevertheless still competent where </w:t>
      </w:r>
      <w:r w:rsidR="00A30B6B" w:rsidRPr="00EA206A">
        <w:rPr>
          <w:rFonts w:ascii="Arial" w:hAnsi="Arial" w:cs="Arial"/>
          <w:sz w:val="24"/>
          <w:szCs w:val="24"/>
        </w:rPr>
        <w:t>the</w:t>
      </w:r>
      <w:r w:rsidR="00921E78" w:rsidRPr="00EA206A">
        <w:rPr>
          <w:rFonts w:ascii="Arial" w:hAnsi="Arial" w:cs="Arial"/>
          <w:sz w:val="24"/>
          <w:szCs w:val="24"/>
        </w:rPr>
        <w:t xml:space="preserve"> conduct</w:t>
      </w:r>
      <w:r w:rsidR="00A30B6B" w:rsidRPr="00EA206A">
        <w:rPr>
          <w:rFonts w:ascii="Arial" w:hAnsi="Arial" w:cs="Arial"/>
          <w:sz w:val="24"/>
          <w:szCs w:val="24"/>
        </w:rPr>
        <w:t xml:space="preserve"> complained of</w:t>
      </w:r>
      <w:r w:rsidR="00921E78" w:rsidRPr="00EA206A">
        <w:rPr>
          <w:rFonts w:ascii="Arial" w:hAnsi="Arial" w:cs="Arial"/>
          <w:sz w:val="24"/>
          <w:szCs w:val="24"/>
        </w:rPr>
        <w:t xml:space="preserve"> was intentional.</w:t>
      </w:r>
      <w:r w:rsidR="00335AE2">
        <w:rPr>
          <w:rStyle w:val="FootnoteReference"/>
          <w:rFonts w:ascii="Arial" w:hAnsi="Arial" w:cs="Arial"/>
          <w:sz w:val="24"/>
          <w:szCs w:val="24"/>
        </w:rPr>
        <w:footnoteReference w:id="23"/>
      </w:r>
      <w:r w:rsidR="00084D45" w:rsidRPr="00EA206A">
        <w:rPr>
          <w:rFonts w:ascii="Arial" w:hAnsi="Arial" w:cs="Arial"/>
          <w:sz w:val="24"/>
          <w:szCs w:val="24"/>
        </w:rPr>
        <w:t xml:space="preserve">  That the respondent’s conduct was intentional</w:t>
      </w:r>
      <w:r w:rsidR="009E0E9A" w:rsidRPr="00EA206A">
        <w:rPr>
          <w:rFonts w:ascii="Arial" w:hAnsi="Arial" w:cs="Arial"/>
          <w:sz w:val="24"/>
          <w:szCs w:val="24"/>
        </w:rPr>
        <w:t>,</w:t>
      </w:r>
      <w:r w:rsidR="00084D45" w:rsidRPr="00EA206A">
        <w:rPr>
          <w:rFonts w:ascii="Arial" w:hAnsi="Arial" w:cs="Arial"/>
          <w:sz w:val="24"/>
          <w:szCs w:val="24"/>
        </w:rPr>
        <w:t xml:space="preserve"> is the only rational finding to which I can arrive.</w:t>
      </w:r>
      <w:r w:rsidR="00335AE2" w:rsidRPr="00EA206A">
        <w:rPr>
          <w:rFonts w:ascii="Arial" w:hAnsi="Arial" w:cs="Arial"/>
          <w:sz w:val="24"/>
          <w:szCs w:val="24"/>
        </w:rPr>
        <w:t xml:space="preserve">  </w:t>
      </w:r>
    </w:p>
    <w:p w14:paraId="217909D3" w14:textId="77777777" w:rsidR="003108B5" w:rsidRPr="003108B5" w:rsidRDefault="003108B5" w:rsidP="003108B5">
      <w:pPr>
        <w:pStyle w:val="ListParagraph"/>
        <w:spacing w:after="0" w:line="480" w:lineRule="auto"/>
        <w:rPr>
          <w:rFonts w:ascii="Arial" w:hAnsi="Arial" w:cs="Arial"/>
          <w:sz w:val="24"/>
          <w:szCs w:val="24"/>
        </w:rPr>
      </w:pPr>
    </w:p>
    <w:p w14:paraId="77054D72" w14:textId="01DA8C6C" w:rsidR="003108B5"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71F3E" w:rsidRPr="00EA206A">
        <w:rPr>
          <w:rFonts w:ascii="Arial" w:hAnsi="Arial" w:cs="Arial"/>
          <w:sz w:val="24"/>
          <w:szCs w:val="24"/>
        </w:rPr>
        <w:t>The respondent, on the papers before court, denies any wrongdoing on its part.  It proffers no explanation as to how it arrived at its trade</w:t>
      </w:r>
      <w:r w:rsidR="001471C8" w:rsidRPr="00EA206A">
        <w:rPr>
          <w:rFonts w:ascii="Arial" w:hAnsi="Arial" w:cs="Arial"/>
          <w:sz w:val="24"/>
          <w:szCs w:val="24"/>
        </w:rPr>
        <w:t xml:space="preserve"> </w:t>
      </w:r>
      <w:r w:rsidR="00671F3E" w:rsidRPr="00EA206A">
        <w:rPr>
          <w:rFonts w:ascii="Arial" w:hAnsi="Arial" w:cs="Arial"/>
          <w:sz w:val="24"/>
          <w:szCs w:val="24"/>
        </w:rPr>
        <w:t>name</w:t>
      </w:r>
      <w:r w:rsidR="001471C8" w:rsidRPr="00EA206A">
        <w:rPr>
          <w:rFonts w:ascii="Arial" w:hAnsi="Arial" w:cs="Arial"/>
          <w:sz w:val="24"/>
          <w:szCs w:val="24"/>
        </w:rPr>
        <w:t>,</w:t>
      </w:r>
      <w:r w:rsidR="00671F3E" w:rsidRPr="00EA206A">
        <w:rPr>
          <w:rFonts w:ascii="Arial" w:hAnsi="Arial" w:cs="Arial"/>
          <w:sz w:val="24"/>
          <w:szCs w:val="24"/>
        </w:rPr>
        <w:t xml:space="preserve"> nor does it address the similarity thereof to that of the applicant’s.  </w:t>
      </w:r>
      <w:r w:rsidR="003108B5" w:rsidRPr="00EA206A">
        <w:rPr>
          <w:rFonts w:ascii="Arial" w:hAnsi="Arial" w:cs="Arial"/>
          <w:sz w:val="24"/>
          <w:szCs w:val="24"/>
        </w:rPr>
        <w:t>It is</w:t>
      </w:r>
      <w:r w:rsidR="00671F3E" w:rsidRPr="00EA206A">
        <w:rPr>
          <w:rFonts w:ascii="Arial" w:hAnsi="Arial" w:cs="Arial"/>
          <w:sz w:val="24"/>
          <w:szCs w:val="24"/>
        </w:rPr>
        <w:t xml:space="preserve"> however</w:t>
      </w:r>
      <w:r w:rsidR="003108B5" w:rsidRPr="00EA206A">
        <w:rPr>
          <w:rFonts w:ascii="Arial" w:hAnsi="Arial" w:cs="Arial"/>
          <w:sz w:val="24"/>
          <w:szCs w:val="24"/>
        </w:rPr>
        <w:t xml:space="preserve"> telling that the respondent, in response to ongoing threat</w:t>
      </w:r>
      <w:r w:rsidR="001471C8" w:rsidRPr="00EA206A">
        <w:rPr>
          <w:rFonts w:ascii="Arial" w:hAnsi="Arial" w:cs="Arial"/>
          <w:sz w:val="24"/>
          <w:szCs w:val="24"/>
        </w:rPr>
        <w:t>s of l</w:t>
      </w:r>
      <w:r w:rsidR="003108B5" w:rsidRPr="00EA206A">
        <w:rPr>
          <w:rFonts w:ascii="Arial" w:hAnsi="Arial" w:cs="Arial"/>
          <w:sz w:val="24"/>
          <w:szCs w:val="24"/>
        </w:rPr>
        <w:t>egal proceedings</w:t>
      </w:r>
      <w:r w:rsidR="001471C8" w:rsidRPr="00EA206A">
        <w:rPr>
          <w:rFonts w:ascii="Arial" w:hAnsi="Arial" w:cs="Arial"/>
          <w:sz w:val="24"/>
          <w:szCs w:val="24"/>
        </w:rPr>
        <w:t xml:space="preserve">, has, </w:t>
      </w:r>
      <w:r w:rsidR="003108B5" w:rsidRPr="00EA206A">
        <w:rPr>
          <w:rFonts w:ascii="Arial" w:hAnsi="Arial" w:cs="Arial"/>
          <w:sz w:val="24"/>
          <w:szCs w:val="24"/>
        </w:rPr>
        <w:t>over</w:t>
      </w:r>
      <w:r w:rsidR="001471C8" w:rsidRPr="00EA206A">
        <w:rPr>
          <w:rFonts w:ascii="Arial" w:hAnsi="Arial" w:cs="Arial"/>
          <w:sz w:val="24"/>
          <w:szCs w:val="24"/>
        </w:rPr>
        <w:t xml:space="preserve"> a period spanning some six years since its registration, </w:t>
      </w:r>
      <w:r w:rsidR="003108B5" w:rsidRPr="00EA206A">
        <w:rPr>
          <w:rFonts w:ascii="Arial" w:hAnsi="Arial" w:cs="Arial"/>
          <w:sz w:val="24"/>
          <w:szCs w:val="24"/>
        </w:rPr>
        <w:t xml:space="preserve">attended to a company name change; has, through its CEO, seen to the incorporation of separate legal entities to trade in various geographical regions; and has more recently, shortly prior to the argument of the matter, disabled its website and amended its domain name and email address, all the while </w:t>
      </w:r>
      <w:r w:rsidR="001471C8" w:rsidRPr="00EA206A">
        <w:rPr>
          <w:rFonts w:ascii="Arial" w:hAnsi="Arial" w:cs="Arial"/>
          <w:sz w:val="24"/>
          <w:szCs w:val="24"/>
        </w:rPr>
        <w:t xml:space="preserve">continuing to trade under the name </w:t>
      </w:r>
      <w:r w:rsidR="001471C8" w:rsidRPr="00EA206A">
        <w:rPr>
          <w:rFonts w:ascii="Arial" w:hAnsi="Arial" w:cs="Arial"/>
          <w:b/>
          <w:bCs/>
          <w:sz w:val="24"/>
          <w:szCs w:val="24"/>
        </w:rPr>
        <w:t>FIRELOGIK</w:t>
      </w:r>
      <w:r w:rsidR="001471C8" w:rsidRPr="00EA206A">
        <w:rPr>
          <w:rFonts w:ascii="Arial" w:hAnsi="Arial" w:cs="Arial"/>
          <w:sz w:val="24"/>
          <w:szCs w:val="24"/>
        </w:rPr>
        <w:t xml:space="preserve">.  Whilst the respondent contends that </w:t>
      </w:r>
      <w:r w:rsidR="003108B5" w:rsidRPr="00EA206A">
        <w:rPr>
          <w:rFonts w:ascii="Arial" w:hAnsi="Arial" w:cs="Arial"/>
          <w:sz w:val="24"/>
          <w:szCs w:val="24"/>
        </w:rPr>
        <w:t>it has built its own name and reputation</w:t>
      </w:r>
      <w:r w:rsidR="001471C8" w:rsidRPr="00EA206A">
        <w:rPr>
          <w:rFonts w:ascii="Arial" w:hAnsi="Arial" w:cs="Arial"/>
          <w:sz w:val="24"/>
          <w:szCs w:val="24"/>
        </w:rPr>
        <w:t xml:space="preserve"> over the years, w</w:t>
      </w:r>
      <w:r w:rsidR="003108B5" w:rsidRPr="00EA206A">
        <w:rPr>
          <w:rFonts w:ascii="Arial" w:hAnsi="Arial" w:cs="Arial"/>
          <w:sz w:val="24"/>
          <w:szCs w:val="24"/>
        </w:rPr>
        <w:t>hy it sought to build a reputation, on a name so deceptively similar to that of the applicant, it does not attempt to answer.</w:t>
      </w:r>
      <w:r w:rsidR="00F914C5" w:rsidRPr="00EA206A">
        <w:rPr>
          <w:rFonts w:ascii="Arial" w:hAnsi="Arial" w:cs="Arial"/>
          <w:sz w:val="24"/>
          <w:szCs w:val="24"/>
        </w:rPr>
        <w:t xml:space="preserve">  </w:t>
      </w:r>
    </w:p>
    <w:p w14:paraId="6CEACC1F" w14:textId="77777777" w:rsidR="00F914C5" w:rsidRPr="00F914C5" w:rsidRDefault="00F914C5" w:rsidP="005703A3">
      <w:pPr>
        <w:pStyle w:val="ListParagraph"/>
        <w:spacing w:after="0" w:line="480" w:lineRule="auto"/>
        <w:rPr>
          <w:rFonts w:ascii="Arial" w:hAnsi="Arial" w:cs="Arial"/>
          <w:sz w:val="24"/>
          <w:szCs w:val="24"/>
        </w:rPr>
      </w:pPr>
    </w:p>
    <w:p w14:paraId="5424A044" w14:textId="76BB2FA9" w:rsidR="00277339"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914C5" w:rsidRPr="00EA206A">
        <w:rPr>
          <w:rFonts w:ascii="Arial" w:hAnsi="Arial" w:cs="Arial"/>
          <w:sz w:val="24"/>
          <w:szCs w:val="24"/>
        </w:rPr>
        <w:t xml:space="preserve">It bears mention that whilst the respondent initially denied trading in the Eastern and Western Cape regions, relying on its alleged absence of an ASIB license permitting it to do so, </w:t>
      </w:r>
      <w:r w:rsidR="005703A3" w:rsidRPr="00EA206A">
        <w:rPr>
          <w:rFonts w:ascii="Arial" w:hAnsi="Arial" w:cs="Arial"/>
          <w:sz w:val="24"/>
          <w:szCs w:val="24"/>
        </w:rPr>
        <w:t xml:space="preserve">the respondent, </w:t>
      </w:r>
      <w:r w:rsidR="00F914C5" w:rsidRPr="00EA206A">
        <w:rPr>
          <w:rFonts w:ascii="Arial" w:hAnsi="Arial" w:cs="Arial"/>
          <w:sz w:val="24"/>
          <w:szCs w:val="24"/>
        </w:rPr>
        <w:t xml:space="preserve">on </w:t>
      </w:r>
      <w:r w:rsidR="005703A3" w:rsidRPr="00EA206A">
        <w:rPr>
          <w:rFonts w:ascii="Arial" w:hAnsi="Arial" w:cs="Arial"/>
          <w:sz w:val="24"/>
          <w:szCs w:val="24"/>
        </w:rPr>
        <w:t>its</w:t>
      </w:r>
      <w:r w:rsidR="00F914C5" w:rsidRPr="00EA206A">
        <w:rPr>
          <w:rFonts w:ascii="Arial" w:hAnsi="Arial" w:cs="Arial"/>
          <w:sz w:val="24"/>
          <w:szCs w:val="24"/>
        </w:rPr>
        <w:t xml:space="preserve"> own version</w:t>
      </w:r>
      <w:r w:rsidR="000501FC" w:rsidRPr="00EA206A">
        <w:rPr>
          <w:rFonts w:ascii="Arial" w:hAnsi="Arial" w:cs="Arial"/>
          <w:sz w:val="24"/>
          <w:szCs w:val="24"/>
        </w:rPr>
        <w:t>,</w:t>
      </w:r>
      <w:r w:rsidR="00386811" w:rsidRPr="00EA206A">
        <w:rPr>
          <w:rFonts w:ascii="Arial" w:hAnsi="Arial" w:cs="Arial"/>
          <w:sz w:val="24"/>
          <w:szCs w:val="24"/>
        </w:rPr>
        <w:t xml:space="preserve"> </w:t>
      </w:r>
      <w:r w:rsidR="005703A3" w:rsidRPr="00EA206A">
        <w:rPr>
          <w:rFonts w:ascii="Arial" w:hAnsi="Arial" w:cs="Arial"/>
          <w:sz w:val="24"/>
          <w:szCs w:val="24"/>
        </w:rPr>
        <w:t>tendered for and was subsequently awarded a contract by Makro (in the Eastern Cape), for the installation of sprinklers.</w:t>
      </w:r>
      <w:r w:rsidR="000501FC" w:rsidRPr="00EA206A">
        <w:rPr>
          <w:rFonts w:ascii="Arial" w:hAnsi="Arial" w:cs="Arial"/>
          <w:sz w:val="24"/>
          <w:szCs w:val="24"/>
        </w:rPr>
        <w:t xml:space="preserve">  It is significant that this disclosure was only </w:t>
      </w:r>
      <w:r w:rsidR="000501FC" w:rsidRPr="00EA206A">
        <w:rPr>
          <w:rFonts w:ascii="Arial" w:hAnsi="Arial" w:cs="Arial"/>
          <w:sz w:val="24"/>
          <w:szCs w:val="24"/>
        </w:rPr>
        <w:lastRenderedPageBreak/>
        <w:t xml:space="preserve">forthcoming once the respondent had been shown to have been untruthful in its earlier contention.  </w:t>
      </w:r>
      <w:r w:rsidR="005703A3" w:rsidRPr="00EA206A">
        <w:rPr>
          <w:rFonts w:ascii="Arial" w:hAnsi="Arial" w:cs="Arial"/>
          <w:sz w:val="24"/>
          <w:szCs w:val="24"/>
        </w:rPr>
        <w:t>The fact that the respondent was invited to tender for the said project</w:t>
      </w:r>
      <w:r w:rsidR="00386811" w:rsidRPr="00EA206A">
        <w:rPr>
          <w:rFonts w:ascii="Arial" w:hAnsi="Arial" w:cs="Arial"/>
          <w:sz w:val="24"/>
          <w:szCs w:val="24"/>
        </w:rPr>
        <w:t xml:space="preserve">, upon which fact the respondent seeks to hide behind, </w:t>
      </w:r>
      <w:r w:rsidR="005703A3" w:rsidRPr="00EA206A">
        <w:rPr>
          <w:rFonts w:ascii="Arial" w:hAnsi="Arial" w:cs="Arial"/>
          <w:sz w:val="24"/>
          <w:szCs w:val="24"/>
        </w:rPr>
        <w:t>is of no consequence.</w:t>
      </w:r>
      <w:r w:rsidR="00EA025A" w:rsidRPr="00EA206A">
        <w:rPr>
          <w:rFonts w:ascii="Arial" w:hAnsi="Arial" w:cs="Arial"/>
          <w:sz w:val="24"/>
          <w:szCs w:val="24"/>
        </w:rPr>
        <w:t xml:space="preserve">  The respondent subsequently made it clear that until such time as its “sister company” Logik Group Africa East</w:t>
      </w:r>
      <w:r w:rsidR="00D42A91" w:rsidRPr="00EA206A">
        <w:rPr>
          <w:rFonts w:ascii="Arial" w:hAnsi="Arial" w:cs="Arial"/>
          <w:sz w:val="24"/>
          <w:szCs w:val="24"/>
        </w:rPr>
        <w:t>ern</w:t>
      </w:r>
      <w:r w:rsidR="00EA025A" w:rsidRPr="00EA206A">
        <w:rPr>
          <w:rFonts w:ascii="Arial" w:hAnsi="Arial" w:cs="Arial"/>
          <w:sz w:val="24"/>
          <w:szCs w:val="24"/>
        </w:rPr>
        <w:t xml:space="preserve"> Cape (Pty) Ltd had been registered with SARS, the respondent would </w:t>
      </w:r>
      <w:r w:rsidR="00EA025A" w:rsidRPr="00EA206A">
        <w:rPr>
          <w:rFonts w:ascii="Arial" w:hAnsi="Arial" w:cs="Arial"/>
          <w:b/>
          <w:bCs/>
          <w:i/>
          <w:iCs/>
          <w:sz w:val="24"/>
          <w:szCs w:val="24"/>
        </w:rPr>
        <w:t>not</w:t>
      </w:r>
      <w:r w:rsidR="00EA025A" w:rsidRPr="00EA206A">
        <w:rPr>
          <w:rFonts w:ascii="Arial" w:hAnsi="Arial" w:cs="Arial"/>
          <w:sz w:val="24"/>
          <w:szCs w:val="24"/>
        </w:rPr>
        <w:t xml:space="preserve"> refrain from submitting tenders in its name in the Eastern and Western Cape, if requested to.  </w:t>
      </w:r>
      <w:r w:rsidR="000501FC" w:rsidRPr="00EA206A">
        <w:rPr>
          <w:rFonts w:ascii="Arial" w:hAnsi="Arial" w:cs="Arial"/>
          <w:sz w:val="24"/>
          <w:szCs w:val="24"/>
        </w:rPr>
        <w:t xml:space="preserve">This conduct casts serious doubt upon the </w:t>
      </w:r>
      <w:r w:rsidR="000501FC" w:rsidRPr="00EA206A">
        <w:rPr>
          <w:rFonts w:ascii="Arial" w:hAnsi="Arial" w:cs="Arial"/>
          <w:i/>
          <w:iCs/>
          <w:sz w:val="24"/>
          <w:szCs w:val="24"/>
        </w:rPr>
        <w:t>bona fides</w:t>
      </w:r>
      <w:r w:rsidR="000501FC" w:rsidRPr="00EA206A">
        <w:rPr>
          <w:rFonts w:ascii="Arial" w:hAnsi="Arial" w:cs="Arial"/>
          <w:sz w:val="24"/>
          <w:szCs w:val="24"/>
        </w:rPr>
        <w:t xml:space="preserve"> of the respondent.</w:t>
      </w:r>
      <w:r w:rsidR="00277339" w:rsidRPr="00EA206A">
        <w:rPr>
          <w:rFonts w:ascii="Arial" w:hAnsi="Arial" w:cs="Arial"/>
          <w:sz w:val="24"/>
          <w:szCs w:val="24"/>
        </w:rPr>
        <w:t xml:space="preserve">  The respondent’s further submission that its “sister company”</w:t>
      </w:r>
      <w:r w:rsidR="00EA025A" w:rsidRPr="00EA206A">
        <w:rPr>
          <w:rFonts w:ascii="Arial" w:hAnsi="Arial" w:cs="Arial"/>
          <w:sz w:val="24"/>
          <w:szCs w:val="24"/>
        </w:rPr>
        <w:t>,</w:t>
      </w:r>
      <w:r w:rsidR="00277339" w:rsidRPr="00EA206A">
        <w:rPr>
          <w:rFonts w:ascii="Arial" w:hAnsi="Arial" w:cs="Arial"/>
          <w:sz w:val="24"/>
          <w:szCs w:val="24"/>
        </w:rPr>
        <w:t xml:space="preserve"> would operate exclusively in the Eastern and Western Cape</w:t>
      </w:r>
      <w:r w:rsidR="00EA025A" w:rsidRPr="00EA206A">
        <w:rPr>
          <w:rFonts w:ascii="Arial" w:hAnsi="Arial" w:cs="Arial"/>
          <w:sz w:val="24"/>
          <w:szCs w:val="24"/>
        </w:rPr>
        <w:t xml:space="preserve"> regions</w:t>
      </w:r>
      <w:r w:rsidR="00277339" w:rsidRPr="00EA206A">
        <w:rPr>
          <w:rFonts w:ascii="Arial" w:hAnsi="Arial" w:cs="Arial"/>
          <w:sz w:val="24"/>
          <w:szCs w:val="24"/>
        </w:rPr>
        <w:t>,</w:t>
      </w:r>
      <w:r w:rsidR="00EA025A">
        <w:rPr>
          <w:rStyle w:val="FootnoteReference"/>
          <w:rFonts w:ascii="Arial" w:hAnsi="Arial" w:cs="Arial"/>
          <w:sz w:val="24"/>
          <w:szCs w:val="24"/>
        </w:rPr>
        <w:footnoteReference w:id="24"/>
      </w:r>
      <w:r w:rsidR="00277339" w:rsidRPr="00EA206A">
        <w:rPr>
          <w:rFonts w:ascii="Arial" w:hAnsi="Arial" w:cs="Arial"/>
          <w:sz w:val="24"/>
          <w:szCs w:val="24"/>
        </w:rPr>
        <w:t xml:space="preserve"> to the exclusion of the respondent, which </w:t>
      </w:r>
      <w:r w:rsidR="00EA025A" w:rsidRPr="00EA206A">
        <w:rPr>
          <w:rFonts w:ascii="Arial" w:hAnsi="Arial" w:cs="Arial"/>
          <w:sz w:val="24"/>
          <w:szCs w:val="24"/>
        </w:rPr>
        <w:t>company</w:t>
      </w:r>
      <w:r w:rsidR="00277339" w:rsidRPr="00EA206A">
        <w:rPr>
          <w:rFonts w:ascii="Arial" w:hAnsi="Arial" w:cs="Arial"/>
          <w:sz w:val="24"/>
          <w:szCs w:val="24"/>
        </w:rPr>
        <w:t xml:space="preserve"> it categorically contends does not trade as </w:t>
      </w:r>
      <w:r w:rsidR="00277339" w:rsidRPr="00EA206A">
        <w:rPr>
          <w:rFonts w:ascii="Arial" w:hAnsi="Arial" w:cs="Arial"/>
          <w:b/>
          <w:bCs/>
          <w:sz w:val="24"/>
          <w:szCs w:val="24"/>
        </w:rPr>
        <w:t>FIRELOGIK</w:t>
      </w:r>
      <w:r w:rsidR="00277339" w:rsidRPr="00EA206A">
        <w:rPr>
          <w:rFonts w:ascii="Arial" w:hAnsi="Arial" w:cs="Arial"/>
          <w:sz w:val="24"/>
          <w:szCs w:val="24"/>
        </w:rPr>
        <w:t xml:space="preserve">, is also cast into doubt.  </w:t>
      </w:r>
      <w:r w:rsidR="001F45E3" w:rsidRPr="00EA206A">
        <w:rPr>
          <w:rFonts w:ascii="Arial" w:hAnsi="Arial" w:cs="Arial"/>
          <w:i/>
          <w:iCs/>
          <w:sz w:val="24"/>
          <w:szCs w:val="24"/>
        </w:rPr>
        <w:t>Ex facie</w:t>
      </w:r>
      <w:r w:rsidR="00277339" w:rsidRPr="00EA206A">
        <w:rPr>
          <w:rFonts w:ascii="Arial" w:hAnsi="Arial" w:cs="Arial"/>
          <w:sz w:val="24"/>
          <w:szCs w:val="24"/>
        </w:rPr>
        <w:t xml:space="preserve"> the covering letter submitted together with its bid documentation to Aspen Pharma</w:t>
      </w:r>
      <w:r w:rsidR="00EA025A" w:rsidRPr="00EA206A">
        <w:rPr>
          <w:rFonts w:ascii="Arial" w:hAnsi="Arial" w:cs="Arial"/>
          <w:sz w:val="24"/>
          <w:szCs w:val="24"/>
        </w:rPr>
        <w:t xml:space="preserve"> (in the Eastern Cape)</w:t>
      </w:r>
      <w:r w:rsidR="00277339" w:rsidRPr="00EA206A">
        <w:rPr>
          <w:rFonts w:ascii="Arial" w:hAnsi="Arial" w:cs="Arial"/>
          <w:sz w:val="24"/>
          <w:szCs w:val="24"/>
        </w:rPr>
        <w:t>,</w:t>
      </w:r>
      <w:r w:rsidR="001F45E3" w:rsidRPr="00EA206A">
        <w:rPr>
          <w:rFonts w:ascii="Arial" w:hAnsi="Arial" w:cs="Arial"/>
          <w:sz w:val="24"/>
          <w:szCs w:val="24"/>
        </w:rPr>
        <w:t xml:space="preserve"> it is clear that</w:t>
      </w:r>
      <w:r w:rsidR="00277339" w:rsidRPr="00EA206A">
        <w:rPr>
          <w:rFonts w:ascii="Arial" w:hAnsi="Arial" w:cs="Arial"/>
          <w:sz w:val="24"/>
          <w:szCs w:val="24"/>
        </w:rPr>
        <w:t xml:space="preserve"> </w:t>
      </w:r>
      <w:r w:rsidR="00EA025A" w:rsidRPr="00EA206A">
        <w:rPr>
          <w:rFonts w:ascii="Arial" w:hAnsi="Arial" w:cs="Arial"/>
          <w:sz w:val="24"/>
          <w:szCs w:val="24"/>
        </w:rPr>
        <w:t>the respondent’s “sister company”</w:t>
      </w:r>
      <w:r w:rsidR="001F45E3" w:rsidRPr="00EA206A">
        <w:rPr>
          <w:rFonts w:ascii="Arial" w:hAnsi="Arial" w:cs="Arial"/>
          <w:sz w:val="24"/>
          <w:szCs w:val="24"/>
        </w:rPr>
        <w:t xml:space="preserve"> utilised </w:t>
      </w:r>
      <w:r w:rsidR="00277339" w:rsidRPr="00EA206A">
        <w:rPr>
          <w:rFonts w:ascii="Arial" w:hAnsi="Arial" w:cs="Arial"/>
          <w:sz w:val="24"/>
          <w:szCs w:val="24"/>
        </w:rPr>
        <w:t xml:space="preserve">the name </w:t>
      </w:r>
      <w:r w:rsidR="00277339" w:rsidRPr="00EA206A">
        <w:rPr>
          <w:rFonts w:ascii="Arial" w:hAnsi="Arial" w:cs="Arial"/>
          <w:b/>
          <w:bCs/>
          <w:sz w:val="24"/>
          <w:szCs w:val="24"/>
        </w:rPr>
        <w:t>FIRELOGIK</w:t>
      </w:r>
      <w:r w:rsidR="00277339" w:rsidRPr="00EA206A">
        <w:rPr>
          <w:rFonts w:ascii="Arial" w:hAnsi="Arial" w:cs="Arial"/>
          <w:sz w:val="24"/>
          <w:szCs w:val="24"/>
        </w:rPr>
        <w:t xml:space="preserve">, albeit having </w:t>
      </w:r>
      <w:r w:rsidR="00EA025A" w:rsidRPr="00EA206A">
        <w:rPr>
          <w:rFonts w:ascii="Arial" w:hAnsi="Arial" w:cs="Arial"/>
          <w:sz w:val="24"/>
          <w:szCs w:val="24"/>
        </w:rPr>
        <w:t>been spelt</w:t>
      </w:r>
      <w:r w:rsidR="00277339" w:rsidRPr="00EA206A">
        <w:rPr>
          <w:rFonts w:ascii="Arial" w:hAnsi="Arial" w:cs="Arial"/>
          <w:sz w:val="24"/>
          <w:szCs w:val="24"/>
        </w:rPr>
        <w:t xml:space="preserve"> as “</w:t>
      </w:r>
      <w:r w:rsidR="00277339" w:rsidRPr="00EA206A">
        <w:rPr>
          <w:rFonts w:ascii="Arial" w:hAnsi="Arial" w:cs="Arial"/>
          <w:b/>
          <w:bCs/>
          <w:sz w:val="24"/>
          <w:szCs w:val="24"/>
        </w:rPr>
        <w:t>FIRE LOGIK</w:t>
      </w:r>
      <w:r w:rsidR="00277339" w:rsidRPr="00EA206A">
        <w:rPr>
          <w:rFonts w:ascii="Arial" w:hAnsi="Arial" w:cs="Arial"/>
          <w:sz w:val="24"/>
          <w:szCs w:val="24"/>
        </w:rPr>
        <w:t>”.</w:t>
      </w:r>
      <w:r w:rsidR="00EA025A" w:rsidRPr="00EA206A">
        <w:rPr>
          <w:rFonts w:ascii="Arial" w:hAnsi="Arial" w:cs="Arial"/>
          <w:sz w:val="24"/>
          <w:szCs w:val="24"/>
        </w:rPr>
        <w:t xml:space="preserve">  </w:t>
      </w:r>
    </w:p>
    <w:p w14:paraId="699DF202" w14:textId="42B6543F" w:rsidR="00EA025A" w:rsidRDefault="00EA025A" w:rsidP="00EA4EDB">
      <w:pPr>
        <w:pStyle w:val="ListParagraph"/>
        <w:spacing w:after="0" w:line="480" w:lineRule="auto"/>
        <w:ind w:left="851"/>
        <w:jc w:val="both"/>
        <w:rPr>
          <w:rFonts w:ascii="Arial" w:hAnsi="Arial" w:cs="Arial"/>
          <w:sz w:val="24"/>
          <w:szCs w:val="24"/>
        </w:rPr>
      </w:pPr>
    </w:p>
    <w:p w14:paraId="4089BB96" w14:textId="47FAF109" w:rsidR="008154CB"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EA025A" w:rsidRPr="00EA206A">
        <w:rPr>
          <w:rFonts w:ascii="Arial" w:hAnsi="Arial" w:cs="Arial"/>
          <w:sz w:val="24"/>
          <w:szCs w:val="24"/>
        </w:rPr>
        <w:t xml:space="preserve">Accordingly, the respondent’s contention that it no longer trades under the name of </w:t>
      </w:r>
      <w:r w:rsidR="00EA025A" w:rsidRPr="00EA206A">
        <w:rPr>
          <w:rFonts w:ascii="Arial" w:hAnsi="Arial" w:cs="Arial"/>
          <w:b/>
          <w:bCs/>
          <w:sz w:val="24"/>
          <w:szCs w:val="24"/>
        </w:rPr>
        <w:t xml:space="preserve">FIRELOGIK </w:t>
      </w:r>
      <w:r w:rsidR="00EA025A" w:rsidRPr="00EA206A">
        <w:rPr>
          <w:rFonts w:ascii="Arial" w:hAnsi="Arial" w:cs="Arial"/>
          <w:sz w:val="24"/>
          <w:szCs w:val="24"/>
        </w:rPr>
        <w:t xml:space="preserve">in the Eastern and Western Cape regions, together with the fact that it has since amended its website; domain name and email addresses, </w:t>
      </w:r>
      <w:r w:rsidR="000D7DC1" w:rsidRPr="00EA206A">
        <w:rPr>
          <w:rFonts w:ascii="Arial" w:hAnsi="Arial" w:cs="Arial"/>
          <w:sz w:val="24"/>
          <w:szCs w:val="24"/>
        </w:rPr>
        <w:t xml:space="preserve">is </w:t>
      </w:r>
      <w:r w:rsidR="00EA025A" w:rsidRPr="00EA206A">
        <w:rPr>
          <w:rFonts w:ascii="Arial" w:hAnsi="Arial" w:cs="Arial"/>
          <w:sz w:val="24"/>
          <w:szCs w:val="24"/>
        </w:rPr>
        <w:t>at best for the respondent a</w:t>
      </w:r>
      <w:r w:rsidR="00D42A91" w:rsidRPr="00EA206A">
        <w:rPr>
          <w:rFonts w:ascii="Arial" w:hAnsi="Arial" w:cs="Arial"/>
          <w:sz w:val="24"/>
          <w:szCs w:val="24"/>
        </w:rPr>
        <w:t xml:space="preserve">n undertaking not to continue with its unlawful conduct, the </w:t>
      </w:r>
      <w:r w:rsidR="00D42A91" w:rsidRPr="00EA206A">
        <w:rPr>
          <w:rFonts w:ascii="Arial" w:hAnsi="Arial" w:cs="Arial"/>
          <w:i/>
          <w:iCs/>
          <w:sz w:val="24"/>
          <w:szCs w:val="24"/>
        </w:rPr>
        <w:t xml:space="preserve">bona fides </w:t>
      </w:r>
      <w:r w:rsidR="00D42A91" w:rsidRPr="00EA206A">
        <w:rPr>
          <w:rFonts w:ascii="Arial" w:hAnsi="Arial" w:cs="Arial"/>
          <w:sz w:val="24"/>
          <w:szCs w:val="24"/>
        </w:rPr>
        <w:t>of which is doubtful, given the respondent’s prior conduct</w:t>
      </w:r>
      <w:r w:rsidR="000D7DC1" w:rsidRPr="00EA206A">
        <w:rPr>
          <w:rFonts w:ascii="Arial" w:hAnsi="Arial" w:cs="Arial"/>
          <w:sz w:val="24"/>
          <w:szCs w:val="24"/>
        </w:rPr>
        <w:t xml:space="preserve"> to which I have referred</w:t>
      </w:r>
      <w:r w:rsidR="00D42A91" w:rsidRPr="00EA206A">
        <w:rPr>
          <w:rFonts w:ascii="Arial" w:hAnsi="Arial" w:cs="Arial"/>
          <w:sz w:val="24"/>
          <w:szCs w:val="24"/>
        </w:rPr>
        <w:t xml:space="preserve">.  </w:t>
      </w:r>
    </w:p>
    <w:p w14:paraId="7EEE33E4" w14:textId="77777777" w:rsidR="008154CB" w:rsidRPr="008154CB" w:rsidRDefault="008154CB" w:rsidP="00EA4EDB">
      <w:pPr>
        <w:pStyle w:val="ListParagraph"/>
        <w:spacing w:after="0" w:line="480" w:lineRule="auto"/>
        <w:rPr>
          <w:rFonts w:ascii="Arial" w:hAnsi="Arial" w:cs="Arial"/>
          <w:sz w:val="24"/>
          <w:szCs w:val="24"/>
        </w:rPr>
      </w:pPr>
    </w:p>
    <w:p w14:paraId="0110FA76" w14:textId="3C3BB9C5" w:rsidR="00D42A91"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D42A91" w:rsidRPr="00EA206A">
        <w:rPr>
          <w:rFonts w:ascii="Arial" w:hAnsi="Arial" w:cs="Arial"/>
          <w:sz w:val="24"/>
          <w:szCs w:val="24"/>
        </w:rPr>
        <w:t>I am accordingly satisfied that in the present circumstances, the applicant is entitled to interdictory relief against the respondent</w:t>
      </w:r>
      <w:r w:rsidR="00EE6CA8" w:rsidRPr="00EA206A">
        <w:rPr>
          <w:rFonts w:ascii="Arial" w:hAnsi="Arial" w:cs="Arial"/>
          <w:sz w:val="24"/>
          <w:szCs w:val="24"/>
        </w:rPr>
        <w:t>, in the locations in which it has prove</w:t>
      </w:r>
      <w:r w:rsidR="00C41875" w:rsidRPr="00EA206A">
        <w:rPr>
          <w:rFonts w:ascii="Arial" w:hAnsi="Arial" w:cs="Arial"/>
          <w:sz w:val="24"/>
          <w:szCs w:val="24"/>
        </w:rPr>
        <w:t>d</w:t>
      </w:r>
      <w:r w:rsidR="00EE6CA8" w:rsidRPr="00EA206A">
        <w:rPr>
          <w:rFonts w:ascii="Arial" w:hAnsi="Arial" w:cs="Arial"/>
          <w:sz w:val="24"/>
          <w:szCs w:val="24"/>
        </w:rPr>
        <w:t xml:space="preserve"> to have a reputation</w:t>
      </w:r>
      <w:r w:rsidR="00D42A91" w:rsidRPr="00EA206A">
        <w:rPr>
          <w:rFonts w:ascii="Arial" w:hAnsi="Arial" w:cs="Arial"/>
          <w:sz w:val="24"/>
          <w:szCs w:val="24"/>
        </w:rPr>
        <w:t xml:space="preserve">.  Neither Logik Group Africa Eastern Cape (Pty) Ltd nor Logik Group Africa Western Cape (Pty) Ltd are party to these proceedings and accordingly the relief belatedly sought against these entities, in the applicant’s heads of argument, is incompetent.  </w:t>
      </w:r>
    </w:p>
    <w:p w14:paraId="71EF8AAD" w14:textId="77777777" w:rsidR="008154CB" w:rsidRPr="008154CB" w:rsidRDefault="008154CB" w:rsidP="00EA4EDB">
      <w:pPr>
        <w:pStyle w:val="ListParagraph"/>
        <w:spacing w:after="0" w:line="480" w:lineRule="auto"/>
        <w:rPr>
          <w:rFonts w:ascii="Arial" w:hAnsi="Arial" w:cs="Arial"/>
          <w:sz w:val="24"/>
          <w:szCs w:val="24"/>
        </w:rPr>
      </w:pPr>
    </w:p>
    <w:p w14:paraId="3DEE16DA" w14:textId="631280E5" w:rsidR="008154CB"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C4981" w:rsidRPr="00EA206A">
        <w:rPr>
          <w:rFonts w:ascii="Arial" w:hAnsi="Arial" w:cs="Arial"/>
          <w:sz w:val="24"/>
          <w:szCs w:val="24"/>
        </w:rPr>
        <w:t xml:space="preserve">The applicant also applied for the striking out of </w:t>
      </w:r>
      <w:r w:rsidR="00C03A15" w:rsidRPr="00EA206A">
        <w:rPr>
          <w:rFonts w:ascii="Arial" w:hAnsi="Arial" w:cs="Arial"/>
          <w:sz w:val="24"/>
          <w:szCs w:val="24"/>
        </w:rPr>
        <w:t>limited</w:t>
      </w:r>
      <w:r w:rsidR="001C4981" w:rsidRPr="00EA206A">
        <w:rPr>
          <w:rFonts w:ascii="Arial" w:hAnsi="Arial" w:cs="Arial"/>
          <w:sz w:val="24"/>
          <w:szCs w:val="24"/>
        </w:rPr>
        <w:t xml:space="preserve"> matter in the respondent’s answering affidavit</w:t>
      </w:r>
      <w:r w:rsidR="00DE1D48" w:rsidRPr="00EA206A">
        <w:rPr>
          <w:rFonts w:ascii="Arial" w:hAnsi="Arial" w:cs="Arial"/>
          <w:sz w:val="24"/>
          <w:szCs w:val="24"/>
        </w:rPr>
        <w:t xml:space="preserve"> on the basis that certain paragraphs contained allegations which were irrelevant and/or scandalous</w:t>
      </w:r>
      <w:r w:rsidR="001C4981" w:rsidRPr="00EA206A">
        <w:rPr>
          <w:rFonts w:ascii="Arial" w:hAnsi="Arial" w:cs="Arial"/>
          <w:sz w:val="24"/>
          <w:szCs w:val="24"/>
        </w:rPr>
        <w:t>.</w:t>
      </w:r>
      <w:r w:rsidR="00DE1D48" w:rsidRPr="00EA206A">
        <w:rPr>
          <w:rFonts w:ascii="Arial" w:hAnsi="Arial" w:cs="Arial"/>
          <w:sz w:val="24"/>
          <w:szCs w:val="24"/>
        </w:rPr>
        <w:t xml:space="preserve">  In part, </w:t>
      </w:r>
      <w:r w:rsidR="004B132C" w:rsidRPr="00EA206A">
        <w:rPr>
          <w:rFonts w:ascii="Arial" w:hAnsi="Arial" w:cs="Arial"/>
          <w:sz w:val="24"/>
          <w:szCs w:val="24"/>
        </w:rPr>
        <w:t xml:space="preserve">the paragraphs identified by the applicant </w:t>
      </w:r>
      <w:r w:rsidR="00DE1D48" w:rsidRPr="00EA206A">
        <w:rPr>
          <w:rFonts w:ascii="Arial" w:hAnsi="Arial" w:cs="Arial"/>
          <w:sz w:val="24"/>
          <w:szCs w:val="24"/>
        </w:rPr>
        <w:t xml:space="preserve">dealt with the correspondence and allegations emanating from Polygon Project Engineers and WBHO, which I have already stated </w:t>
      </w:r>
      <w:r w:rsidR="004B132C" w:rsidRPr="00EA206A">
        <w:rPr>
          <w:rFonts w:ascii="Arial" w:hAnsi="Arial" w:cs="Arial"/>
          <w:sz w:val="24"/>
          <w:szCs w:val="24"/>
        </w:rPr>
        <w:t xml:space="preserve">constitutes, at best, unsubstantiated </w:t>
      </w:r>
      <w:r w:rsidR="00DE1D48" w:rsidRPr="00EA206A">
        <w:rPr>
          <w:rFonts w:ascii="Arial" w:hAnsi="Arial" w:cs="Arial"/>
          <w:sz w:val="24"/>
          <w:szCs w:val="24"/>
        </w:rPr>
        <w:t>hearsay</w:t>
      </w:r>
      <w:r w:rsidR="00E602CF" w:rsidRPr="00EA206A">
        <w:rPr>
          <w:rFonts w:ascii="Arial" w:hAnsi="Arial" w:cs="Arial"/>
          <w:sz w:val="24"/>
          <w:szCs w:val="24"/>
        </w:rPr>
        <w:t>, and to which no weight is attached</w:t>
      </w:r>
      <w:r w:rsidR="00DE1D48" w:rsidRPr="00EA206A">
        <w:rPr>
          <w:rFonts w:ascii="Arial" w:hAnsi="Arial" w:cs="Arial"/>
          <w:sz w:val="24"/>
          <w:szCs w:val="24"/>
        </w:rPr>
        <w:t>.</w:t>
      </w:r>
      <w:r w:rsidR="004B132C" w:rsidRPr="00EA206A">
        <w:rPr>
          <w:rFonts w:ascii="Arial" w:hAnsi="Arial" w:cs="Arial"/>
          <w:sz w:val="24"/>
          <w:szCs w:val="24"/>
        </w:rPr>
        <w:t xml:space="preserve">  The </w:t>
      </w:r>
      <w:r w:rsidR="001B00D2" w:rsidRPr="00EA206A">
        <w:rPr>
          <w:rFonts w:ascii="Arial" w:hAnsi="Arial" w:cs="Arial"/>
          <w:sz w:val="24"/>
          <w:szCs w:val="24"/>
        </w:rPr>
        <w:t>remainder of the</w:t>
      </w:r>
      <w:r w:rsidR="004B132C" w:rsidRPr="00EA206A">
        <w:rPr>
          <w:rFonts w:ascii="Arial" w:hAnsi="Arial" w:cs="Arial"/>
          <w:sz w:val="24"/>
          <w:szCs w:val="24"/>
        </w:rPr>
        <w:t xml:space="preserve"> paragraphs referred to</w:t>
      </w:r>
      <w:r w:rsidR="001B00D2" w:rsidRPr="00EA206A">
        <w:rPr>
          <w:rFonts w:ascii="Arial" w:hAnsi="Arial" w:cs="Arial"/>
          <w:sz w:val="24"/>
          <w:szCs w:val="24"/>
        </w:rPr>
        <w:t xml:space="preserve"> by the applicant</w:t>
      </w:r>
      <w:r w:rsidR="004B132C" w:rsidRPr="00EA206A">
        <w:rPr>
          <w:rFonts w:ascii="Arial" w:hAnsi="Arial" w:cs="Arial"/>
          <w:sz w:val="24"/>
          <w:szCs w:val="24"/>
        </w:rPr>
        <w:t xml:space="preserve"> pertain to the allegations which relate to the operation of the Fire Protection Industry, which I do not </w:t>
      </w:r>
      <w:r w:rsidR="00C03A15" w:rsidRPr="00EA206A">
        <w:rPr>
          <w:rFonts w:ascii="Arial" w:hAnsi="Arial" w:cs="Arial"/>
          <w:sz w:val="24"/>
          <w:szCs w:val="24"/>
        </w:rPr>
        <w:t>consider to be</w:t>
      </w:r>
      <w:r w:rsidR="004B132C" w:rsidRPr="00EA206A">
        <w:rPr>
          <w:rFonts w:ascii="Arial" w:hAnsi="Arial" w:cs="Arial"/>
          <w:sz w:val="24"/>
          <w:szCs w:val="24"/>
        </w:rPr>
        <w:t xml:space="preserve"> irrelevant given the nature of these proceedings. </w:t>
      </w:r>
      <w:r w:rsidR="00DE1D48" w:rsidRPr="00EA206A">
        <w:rPr>
          <w:rFonts w:ascii="Arial" w:hAnsi="Arial" w:cs="Arial"/>
          <w:sz w:val="24"/>
          <w:szCs w:val="24"/>
        </w:rPr>
        <w:t xml:space="preserve"> I do not deem it necessary </w:t>
      </w:r>
      <w:r w:rsidR="00217129" w:rsidRPr="00EA206A">
        <w:rPr>
          <w:rFonts w:ascii="Arial" w:hAnsi="Arial" w:cs="Arial"/>
          <w:sz w:val="24"/>
          <w:szCs w:val="24"/>
        </w:rPr>
        <w:t xml:space="preserve"> </w:t>
      </w:r>
      <w:r w:rsidR="00DE1D48" w:rsidRPr="00EA206A">
        <w:rPr>
          <w:rFonts w:ascii="Arial" w:hAnsi="Arial" w:cs="Arial"/>
          <w:sz w:val="24"/>
          <w:szCs w:val="24"/>
        </w:rPr>
        <w:t xml:space="preserve">to </w:t>
      </w:r>
      <w:r w:rsidR="001C4981" w:rsidRPr="00EA206A">
        <w:rPr>
          <w:rFonts w:ascii="Arial" w:hAnsi="Arial" w:cs="Arial"/>
          <w:sz w:val="24"/>
          <w:szCs w:val="24"/>
        </w:rPr>
        <w:t>determine the application</w:t>
      </w:r>
      <w:r w:rsidR="00DE1D48" w:rsidRPr="00EA206A">
        <w:rPr>
          <w:rFonts w:ascii="Arial" w:hAnsi="Arial" w:cs="Arial"/>
          <w:sz w:val="24"/>
          <w:szCs w:val="24"/>
        </w:rPr>
        <w:t>, which</w:t>
      </w:r>
      <w:r w:rsidR="00E602CF" w:rsidRPr="00EA206A">
        <w:rPr>
          <w:rFonts w:ascii="Arial" w:hAnsi="Arial" w:cs="Arial"/>
          <w:sz w:val="24"/>
          <w:szCs w:val="24"/>
        </w:rPr>
        <w:t xml:space="preserve"> will in no way change the result of the main proceedings and</w:t>
      </w:r>
      <w:r w:rsidR="00DE1D48" w:rsidRPr="00EA206A">
        <w:rPr>
          <w:rFonts w:ascii="Arial" w:hAnsi="Arial" w:cs="Arial"/>
          <w:sz w:val="24"/>
          <w:szCs w:val="24"/>
        </w:rPr>
        <w:t xml:space="preserve"> will only serve to unduly burden this judgment</w:t>
      </w:r>
      <w:r w:rsidR="001C4981" w:rsidRPr="00EA206A">
        <w:rPr>
          <w:rFonts w:ascii="Arial" w:hAnsi="Arial" w:cs="Arial"/>
          <w:sz w:val="24"/>
          <w:szCs w:val="24"/>
        </w:rPr>
        <w:t xml:space="preserve">. </w:t>
      </w:r>
      <w:r w:rsidR="00DE1D48" w:rsidRPr="00EA206A">
        <w:rPr>
          <w:rFonts w:ascii="Arial" w:hAnsi="Arial" w:cs="Arial"/>
          <w:sz w:val="24"/>
          <w:szCs w:val="24"/>
        </w:rPr>
        <w:t xml:space="preserve"> </w:t>
      </w:r>
      <w:r w:rsidR="001C4981" w:rsidRPr="00EA206A">
        <w:rPr>
          <w:rFonts w:ascii="Arial" w:hAnsi="Arial" w:cs="Arial"/>
          <w:sz w:val="24"/>
          <w:szCs w:val="24"/>
        </w:rPr>
        <w:t>The</w:t>
      </w:r>
      <w:r w:rsidR="001B00D2" w:rsidRPr="00EA206A">
        <w:rPr>
          <w:rFonts w:ascii="Arial" w:hAnsi="Arial" w:cs="Arial"/>
          <w:sz w:val="24"/>
          <w:szCs w:val="24"/>
        </w:rPr>
        <w:t xml:space="preserve"> respondent’s</w:t>
      </w:r>
      <w:r w:rsidR="001C4981" w:rsidRPr="00EA206A">
        <w:rPr>
          <w:rFonts w:ascii="Arial" w:hAnsi="Arial" w:cs="Arial"/>
          <w:sz w:val="24"/>
          <w:szCs w:val="24"/>
        </w:rPr>
        <w:t xml:space="preserve"> allegations were in any event </w:t>
      </w:r>
      <w:r w:rsidR="004B132C" w:rsidRPr="00EA206A">
        <w:rPr>
          <w:rFonts w:ascii="Arial" w:hAnsi="Arial" w:cs="Arial"/>
          <w:sz w:val="24"/>
          <w:szCs w:val="24"/>
        </w:rPr>
        <w:t>expressly dealt with by the applicant in the replying affidavit filed of record.</w:t>
      </w:r>
      <w:r w:rsidR="00E602CF" w:rsidRPr="00EA206A">
        <w:rPr>
          <w:rFonts w:ascii="Arial" w:hAnsi="Arial" w:cs="Arial"/>
          <w:sz w:val="24"/>
          <w:szCs w:val="24"/>
        </w:rPr>
        <w:t xml:space="preserve">  Given the </w:t>
      </w:r>
      <w:r w:rsidR="00D00F00" w:rsidRPr="00EA206A">
        <w:rPr>
          <w:rFonts w:ascii="Arial" w:hAnsi="Arial" w:cs="Arial"/>
          <w:sz w:val="24"/>
          <w:szCs w:val="24"/>
        </w:rPr>
        <w:t xml:space="preserve">partial </w:t>
      </w:r>
      <w:r w:rsidR="00E602CF" w:rsidRPr="00EA206A">
        <w:rPr>
          <w:rFonts w:ascii="Arial" w:hAnsi="Arial" w:cs="Arial"/>
          <w:sz w:val="24"/>
          <w:szCs w:val="24"/>
        </w:rPr>
        <w:t xml:space="preserve">success, which each party enjoyed in the striking out proceedings, which was evenly balanced, I am of the view that each party ought to pay their own costs in respect of such application.  </w:t>
      </w:r>
      <w:r w:rsidR="004B132C" w:rsidRPr="00EA206A">
        <w:rPr>
          <w:rFonts w:ascii="Arial" w:hAnsi="Arial" w:cs="Arial"/>
          <w:sz w:val="24"/>
          <w:szCs w:val="24"/>
        </w:rPr>
        <w:t xml:space="preserve">  </w:t>
      </w:r>
    </w:p>
    <w:p w14:paraId="03653612" w14:textId="77777777" w:rsidR="00D42A91" w:rsidRPr="00D42A91" w:rsidRDefault="00D42A91" w:rsidP="00EA4EDB">
      <w:pPr>
        <w:pStyle w:val="ListParagraph"/>
        <w:spacing w:after="0" w:line="480" w:lineRule="auto"/>
        <w:rPr>
          <w:rFonts w:ascii="Arial" w:hAnsi="Arial" w:cs="Arial"/>
          <w:sz w:val="24"/>
          <w:szCs w:val="24"/>
        </w:rPr>
      </w:pPr>
    </w:p>
    <w:p w14:paraId="462971EA" w14:textId="4B66CFA3" w:rsidR="00D42A91" w:rsidRPr="00EA206A" w:rsidRDefault="00EA206A" w:rsidP="00EA206A">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C03A15" w:rsidRPr="00EA206A">
        <w:rPr>
          <w:rFonts w:ascii="Arial" w:hAnsi="Arial" w:cs="Arial"/>
          <w:sz w:val="24"/>
          <w:szCs w:val="24"/>
        </w:rPr>
        <w:t>In the result, the following order is issued:</w:t>
      </w:r>
    </w:p>
    <w:p w14:paraId="266DA44C" w14:textId="695F9AFE" w:rsidR="00C03A15" w:rsidRPr="00EA206A" w:rsidRDefault="00EA206A" w:rsidP="00EA206A">
      <w:pPr>
        <w:spacing w:after="0" w:line="480" w:lineRule="auto"/>
        <w:ind w:left="1418" w:hanging="567"/>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D00F00" w:rsidRPr="00EA206A">
        <w:rPr>
          <w:rFonts w:ascii="Arial" w:hAnsi="Arial" w:cs="Arial"/>
          <w:sz w:val="24"/>
          <w:szCs w:val="24"/>
        </w:rPr>
        <w:t>The respondent is interdicted and restrained from passing off its services as that of the applicant or being connected in the course of trade with the applicant, by using, in regard thereto, the name “</w:t>
      </w:r>
      <w:r w:rsidR="00D00F00" w:rsidRPr="00EA206A">
        <w:rPr>
          <w:rFonts w:ascii="Arial" w:hAnsi="Arial" w:cs="Arial"/>
          <w:b/>
          <w:bCs/>
          <w:sz w:val="24"/>
          <w:szCs w:val="24"/>
        </w:rPr>
        <w:t>FIRELOGIK</w:t>
      </w:r>
      <w:r w:rsidR="00D00F00" w:rsidRPr="00EA206A">
        <w:rPr>
          <w:rFonts w:ascii="Arial" w:hAnsi="Arial" w:cs="Arial"/>
          <w:sz w:val="24"/>
          <w:szCs w:val="24"/>
        </w:rPr>
        <w:t>” in the Eastern Cape and Western Cape provinces.</w:t>
      </w:r>
    </w:p>
    <w:p w14:paraId="2E046385" w14:textId="77777777" w:rsidR="00D00F00" w:rsidRDefault="00D00F00" w:rsidP="00D00F00">
      <w:pPr>
        <w:pStyle w:val="ListParagraph"/>
        <w:spacing w:after="0" w:line="480" w:lineRule="auto"/>
        <w:ind w:left="1418"/>
        <w:jc w:val="both"/>
        <w:rPr>
          <w:rFonts w:ascii="Arial" w:hAnsi="Arial" w:cs="Arial"/>
          <w:sz w:val="24"/>
          <w:szCs w:val="24"/>
        </w:rPr>
      </w:pPr>
    </w:p>
    <w:p w14:paraId="309ECEFE" w14:textId="68750C65" w:rsidR="00D00F00" w:rsidRPr="00EA206A" w:rsidRDefault="00EA206A" w:rsidP="00EA206A">
      <w:pPr>
        <w:spacing w:after="0" w:line="480" w:lineRule="auto"/>
        <w:ind w:left="1418"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D00F00" w:rsidRPr="00EA206A">
        <w:rPr>
          <w:rFonts w:ascii="Arial" w:hAnsi="Arial" w:cs="Arial"/>
          <w:sz w:val="24"/>
          <w:szCs w:val="24"/>
        </w:rPr>
        <w:t>The respondent is ordered to pay the costs of the passing off proceedings.</w:t>
      </w:r>
    </w:p>
    <w:p w14:paraId="10C778AD" w14:textId="77777777" w:rsidR="00D00F00" w:rsidRPr="00D00F00" w:rsidRDefault="00D00F00" w:rsidP="00D00F00">
      <w:pPr>
        <w:pStyle w:val="ListParagraph"/>
        <w:spacing w:after="0" w:line="480" w:lineRule="auto"/>
        <w:rPr>
          <w:rFonts w:ascii="Arial" w:hAnsi="Arial" w:cs="Arial"/>
          <w:sz w:val="24"/>
          <w:szCs w:val="24"/>
        </w:rPr>
      </w:pPr>
    </w:p>
    <w:p w14:paraId="76BDE094" w14:textId="46353E23" w:rsidR="00D00F00" w:rsidRPr="00EA206A" w:rsidRDefault="00EA206A" w:rsidP="00EA206A">
      <w:pPr>
        <w:spacing w:after="0" w:line="480" w:lineRule="auto"/>
        <w:ind w:left="1418" w:hanging="567"/>
        <w:jc w:val="both"/>
        <w:rPr>
          <w:rFonts w:ascii="Arial" w:hAnsi="Arial" w:cs="Arial"/>
          <w:sz w:val="24"/>
          <w:szCs w:val="24"/>
        </w:rPr>
      </w:pPr>
      <w:r w:rsidRPr="00C03A15">
        <w:rPr>
          <w:rFonts w:ascii="Arial" w:hAnsi="Arial" w:cs="Arial"/>
          <w:sz w:val="24"/>
          <w:szCs w:val="24"/>
        </w:rPr>
        <w:t>3.</w:t>
      </w:r>
      <w:r w:rsidRPr="00C03A15">
        <w:rPr>
          <w:rFonts w:ascii="Arial" w:hAnsi="Arial" w:cs="Arial"/>
          <w:sz w:val="24"/>
          <w:szCs w:val="24"/>
        </w:rPr>
        <w:tab/>
      </w:r>
      <w:r w:rsidR="00D00F00" w:rsidRPr="00EA206A">
        <w:rPr>
          <w:rFonts w:ascii="Arial" w:hAnsi="Arial" w:cs="Arial"/>
          <w:sz w:val="24"/>
          <w:szCs w:val="24"/>
        </w:rPr>
        <w:t>Each party is to pay their own costs in the applicant’s application to strike out.</w:t>
      </w:r>
    </w:p>
    <w:p w14:paraId="09A187FC" w14:textId="77777777" w:rsidR="004948BA" w:rsidRPr="000B610C" w:rsidRDefault="004948BA" w:rsidP="00D00F00">
      <w:pPr>
        <w:pStyle w:val="ListParagraph"/>
        <w:spacing w:after="0" w:line="480" w:lineRule="auto"/>
        <w:rPr>
          <w:rFonts w:ascii="Arial" w:hAnsi="Arial" w:cs="Arial"/>
          <w:sz w:val="24"/>
          <w:szCs w:val="24"/>
        </w:rPr>
      </w:pPr>
    </w:p>
    <w:p w14:paraId="6CFECF48" w14:textId="60A9BEA0" w:rsidR="004948BA" w:rsidRDefault="004948BA" w:rsidP="004948BA">
      <w:pPr>
        <w:spacing w:after="0" w:line="480" w:lineRule="auto"/>
        <w:jc w:val="both"/>
        <w:rPr>
          <w:rStyle w:val="Hyperlink"/>
          <w:rFonts w:ascii="Arial" w:hAnsi="Arial" w:cs="Arial"/>
          <w:i/>
          <w:iCs/>
          <w:sz w:val="24"/>
          <w:szCs w:val="24"/>
        </w:rPr>
      </w:pPr>
    </w:p>
    <w:p w14:paraId="6B02DC96" w14:textId="77777777" w:rsidR="00DB57A9" w:rsidRDefault="00DB57A9" w:rsidP="004948BA">
      <w:pPr>
        <w:spacing w:after="0" w:line="480" w:lineRule="auto"/>
        <w:jc w:val="both"/>
        <w:rPr>
          <w:rStyle w:val="Hyperlink"/>
          <w:rFonts w:ascii="Arial" w:hAnsi="Arial" w:cs="Arial"/>
          <w:i/>
          <w:iCs/>
          <w:sz w:val="24"/>
          <w:szCs w:val="24"/>
        </w:rPr>
      </w:pPr>
    </w:p>
    <w:p w14:paraId="0662F007" w14:textId="77777777" w:rsidR="004948BA" w:rsidRPr="004948BA" w:rsidRDefault="004948BA" w:rsidP="004948BA">
      <w:pPr>
        <w:spacing w:after="0" w:line="480" w:lineRule="auto"/>
        <w:jc w:val="both"/>
        <w:rPr>
          <w:rStyle w:val="Hyperlink"/>
          <w:rFonts w:ascii="Arial" w:hAnsi="Arial" w:cs="Arial"/>
          <w:i/>
          <w:iCs/>
          <w:color w:val="auto"/>
          <w:sz w:val="24"/>
          <w:szCs w:val="24"/>
        </w:rPr>
      </w:pPr>
      <w:r w:rsidRPr="004948BA">
        <w:rPr>
          <w:rStyle w:val="Hyperlink"/>
          <w:rFonts w:ascii="Arial" w:hAnsi="Arial" w:cs="Arial"/>
          <w:i/>
          <w:iCs/>
          <w:color w:val="auto"/>
          <w:sz w:val="24"/>
          <w:szCs w:val="24"/>
        </w:rPr>
        <w:t>________________________________</w:t>
      </w:r>
    </w:p>
    <w:p w14:paraId="1C9EF21F" w14:textId="77777777" w:rsidR="004948BA" w:rsidRPr="004948BA" w:rsidRDefault="004948BA" w:rsidP="004948BA">
      <w:pPr>
        <w:spacing w:after="0" w:line="480" w:lineRule="auto"/>
        <w:jc w:val="both"/>
        <w:rPr>
          <w:rFonts w:ascii="Arial" w:hAnsi="Arial" w:cs="Arial"/>
          <w:b/>
          <w:bCs/>
          <w:sz w:val="24"/>
          <w:szCs w:val="24"/>
        </w:rPr>
      </w:pPr>
      <w:r w:rsidRPr="004948BA">
        <w:rPr>
          <w:rFonts w:ascii="Arial" w:hAnsi="Arial" w:cs="Arial"/>
          <w:b/>
          <w:bCs/>
          <w:sz w:val="24"/>
          <w:szCs w:val="24"/>
        </w:rPr>
        <w:t xml:space="preserve">I BANDS </w:t>
      </w:r>
    </w:p>
    <w:p w14:paraId="18BB3DDF" w14:textId="77777777" w:rsidR="004948BA" w:rsidRPr="005E0A83" w:rsidRDefault="004948BA" w:rsidP="004948BA">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624146BD" w14:textId="77777777" w:rsidR="004948BA" w:rsidRDefault="004948BA" w:rsidP="004948BA">
      <w:pPr>
        <w:spacing w:after="0" w:line="480" w:lineRule="auto"/>
        <w:jc w:val="both"/>
        <w:rPr>
          <w:rFonts w:ascii="Arial" w:hAnsi="Arial" w:cs="Arial"/>
          <w:sz w:val="24"/>
          <w:szCs w:val="24"/>
        </w:rPr>
      </w:pPr>
    </w:p>
    <w:p w14:paraId="7D43995F" w14:textId="77777777" w:rsidR="004948BA" w:rsidRPr="005E0A83" w:rsidRDefault="004948BA" w:rsidP="00DB57A9">
      <w:pPr>
        <w:spacing w:after="0" w:line="240" w:lineRule="auto"/>
        <w:jc w:val="both"/>
        <w:rPr>
          <w:rFonts w:ascii="Arial" w:hAnsi="Arial" w:cs="Arial"/>
          <w:b/>
          <w:bCs/>
          <w:sz w:val="24"/>
          <w:szCs w:val="24"/>
        </w:rPr>
      </w:pPr>
      <w:r w:rsidRPr="005E0A83">
        <w:rPr>
          <w:rFonts w:ascii="Arial" w:hAnsi="Arial" w:cs="Arial"/>
          <w:b/>
          <w:bCs/>
          <w:sz w:val="24"/>
          <w:szCs w:val="24"/>
        </w:rPr>
        <w:t xml:space="preserve">Appearances: </w:t>
      </w:r>
    </w:p>
    <w:p w14:paraId="255FD41D" w14:textId="733E0FEB" w:rsidR="004948BA" w:rsidRPr="005E0A83" w:rsidRDefault="004948BA" w:rsidP="00DB57A9">
      <w:pPr>
        <w:spacing w:after="0" w:line="24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sidR="00DB57A9">
        <w:rPr>
          <w:rFonts w:ascii="Arial" w:hAnsi="Arial" w:cs="Arial"/>
          <w:sz w:val="24"/>
          <w:szCs w:val="24"/>
        </w:rPr>
        <w:t>Ms Zietsman</w:t>
      </w:r>
      <w:r w:rsidRPr="005E0A83">
        <w:rPr>
          <w:rFonts w:ascii="Arial" w:hAnsi="Arial" w:cs="Arial"/>
          <w:sz w:val="24"/>
          <w:szCs w:val="24"/>
        </w:rPr>
        <w:tab/>
      </w:r>
    </w:p>
    <w:p w14:paraId="68592716" w14:textId="2EF59F69" w:rsidR="004948BA" w:rsidRDefault="004948BA" w:rsidP="00DB57A9">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DB57A9">
        <w:rPr>
          <w:rFonts w:ascii="Arial" w:hAnsi="Arial" w:cs="Arial"/>
          <w:sz w:val="24"/>
          <w:szCs w:val="24"/>
        </w:rPr>
        <w:t>Greyvensteins Attorneys</w:t>
      </w:r>
    </w:p>
    <w:p w14:paraId="6A3B380E" w14:textId="1FF14E7F" w:rsidR="00DB57A9" w:rsidRDefault="00DB57A9" w:rsidP="00DB57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104 Park Drive, Central, Gqeberha</w:t>
      </w:r>
    </w:p>
    <w:p w14:paraId="3288BC8E" w14:textId="77777777" w:rsidR="004948BA" w:rsidRDefault="004948BA" w:rsidP="00DB57A9">
      <w:pPr>
        <w:spacing w:after="0" w:line="240" w:lineRule="auto"/>
        <w:jc w:val="both"/>
        <w:rPr>
          <w:rFonts w:ascii="Arial" w:hAnsi="Arial" w:cs="Arial"/>
          <w:sz w:val="24"/>
          <w:szCs w:val="24"/>
        </w:rPr>
      </w:pPr>
    </w:p>
    <w:p w14:paraId="42B6621C" w14:textId="075D1F54" w:rsidR="004948BA" w:rsidRPr="005E0A83" w:rsidRDefault="004948BA" w:rsidP="00DB57A9">
      <w:pPr>
        <w:spacing w:after="0" w:line="24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504B9F">
        <w:rPr>
          <w:rFonts w:ascii="Arial" w:hAnsi="Arial" w:cs="Arial"/>
          <w:sz w:val="24"/>
          <w:szCs w:val="24"/>
        </w:rPr>
        <w:tab/>
      </w:r>
      <w:r>
        <w:rPr>
          <w:rFonts w:ascii="Arial" w:hAnsi="Arial" w:cs="Arial"/>
          <w:sz w:val="24"/>
          <w:szCs w:val="24"/>
        </w:rPr>
        <w:t>Mr</w:t>
      </w:r>
      <w:r w:rsidR="00DB57A9">
        <w:rPr>
          <w:rFonts w:ascii="Arial" w:hAnsi="Arial" w:cs="Arial"/>
          <w:sz w:val="24"/>
          <w:szCs w:val="24"/>
        </w:rPr>
        <w:t xml:space="preserve"> Glendinning</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69DEB3CC" w14:textId="1A878E0B" w:rsidR="004948BA" w:rsidRDefault="004948BA" w:rsidP="00DB57A9">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DB57A9">
        <w:rPr>
          <w:rFonts w:ascii="Arial" w:hAnsi="Arial" w:cs="Arial"/>
          <w:sz w:val="24"/>
          <w:szCs w:val="24"/>
        </w:rPr>
        <w:t>E Taylor Attorneys</w:t>
      </w:r>
    </w:p>
    <w:p w14:paraId="352B1B99" w14:textId="77777777" w:rsidR="00DB57A9" w:rsidRDefault="00DB57A9" w:rsidP="00586AFC">
      <w:pPr>
        <w:spacing w:after="0" w:line="240" w:lineRule="auto"/>
        <w:ind w:left="2160" w:firstLine="720"/>
        <w:jc w:val="both"/>
        <w:rPr>
          <w:rFonts w:ascii="Arial" w:hAnsi="Arial" w:cs="Arial"/>
          <w:sz w:val="24"/>
          <w:szCs w:val="24"/>
        </w:rPr>
      </w:pPr>
      <w:r>
        <w:rPr>
          <w:rFonts w:ascii="Arial" w:hAnsi="Arial" w:cs="Arial"/>
          <w:sz w:val="24"/>
          <w:szCs w:val="24"/>
        </w:rPr>
        <w:t xml:space="preserve">22 Soutpansberg Street, Noordeuwel, Krugersdorp </w:t>
      </w:r>
    </w:p>
    <w:p w14:paraId="3921D028" w14:textId="77777777" w:rsidR="00586AFC" w:rsidRDefault="00586AFC" w:rsidP="00586AFC">
      <w:pPr>
        <w:spacing w:after="0" w:line="240" w:lineRule="auto"/>
        <w:ind w:left="2880" w:firstLine="720"/>
        <w:jc w:val="both"/>
        <w:rPr>
          <w:rFonts w:ascii="Arial" w:hAnsi="Arial" w:cs="Arial"/>
          <w:sz w:val="24"/>
          <w:szCs w:val="24"/>
        </w:rPr>
      </w:pPr>
    </w:p>
    <w:p w14:paraId="46795299" w14:textId="139E409F" w:rsidR="00DB57A9" w:rsidRDefault="00DB57A9" w:rsidP="00586AFC">
      <w:pPr>
        <w:spacing w:after="0" w:line="240" w:lineRule="auto"/>
        <w:ind w:left="2160" w:firstLine="720"/>
        <w:jc w:val="both"/>
        <w:rPr>
          <w:rFonts w:ascii="Arial" w:hAnsi="Arial" w:cs="Arial"/>
          <w:sz w:val="24"/>
          <w:szCs w:val="24"/>
        </w:rPr>
      </w:pPr>
      <w:r>
        <w:rPr>
          <w:rFonts w:ascii="Arial" w:hAnsi="Arial" w:cs="Arial"/>
          <w:sz w:val="24"/>
          <w:szCs w:val="24"/>
        </w:rPr>
        <w:t>c/o Lawrence Masiza Vorster Inc.</w:t>
      </w:r>
    </w:p>
    <w:p w14:paraId="550F48DE" w14:textId="7BF76094" w:rsidR="00DB57A9" w:rsidRDefault="00DB57A9" w:rsidP="00586AFC">
      <w:pPr>
        <w:spacing w:after="0" w:line="240" w:lineRule="auto"/>
        <w:ind w:left="2160" w:firstLine="720"/>
        <w:jc w:val="both"/>
        <w:rPr>
          <w:rFonts w:ascii="Arial" w:hAnsi="Arial" w:cs="Arial"/>
          <w:sz w:val="24"/>
          <w:szCs w:val="24"/>
        </w:rPr>
      </w:pPr>
      <w:r>
        <w:rPr>
          <w:rFonts w:ascii="Arial" w:hAnsi="Arial" w:cs="Arial"/>
          <w:sz w:val="24"/>
          <w:szCs w:val="24"/>
        </w:rPr>
        <w:t>214 Cape Road, Mill Park, Gqeberha</w:t>
      </w:r>
    </w:p>
    <w:p w14:paraId="5C40F551" w14:textId="77777777" w:rsidR="00586AFC" w:rsidRDefault="00586AFC" w:rsidP="00DB57A9">
      <w:pPr>
        <w:spacing w:after="0" w:line="240" w:lineRule="auto"/>
        <w:ind w:left="4320"/>
        <w:jc w:val="both"/>
        <w:rPr>
          <w:rFonts w:ascii="Arial" w:hAnsi="Arial" w:cs="Arial"/>
          <w:sz w:val="24"/>
          <w:szCs w:val="24"/>
        </w:rPr>
      </w:pPr>
    </w:p>
    <w:p w14:paraId="308B76F8" w14:textId="77777777" w:rsidR="004948BA" w:rsidRDefault="004948BA" w:rsidP="00DB57A9">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715FD80A" w14:textId="6CB590C5" w:rsidR="004948BA" w:rsidRPr="005E0A83" w:rsidRDefault="004948BA" w:rsidP="00586AFC">
      <w:pPr>
        <w:pStyle w:val="GW12"/>
        <w:pBdr>
          <w:top w:val="single" w:sz="4" w:space="1" w:color="auto"/>
        </w:pBdr>
        <w:tabs>
          <w:tab w:val="clear" w:pos="2592"/>
          <w:tab w:val="clear" w:pos="6048"/>
          <w:tab w:val="clear" w:pos="8640"/>
          <w:tab w:val="left" w:pos="2835"/>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04EFF092" w14:textId="4B870B6A" w:rsidR="004948BA" w:rsidRPr="005E0A83" w:rsidRDefault="004948BA" w:rsidP="00586AFC">
      <w:pPr>
        <w:pStyle w:val="GW12"/>
        <w:tabs>
          <w:tab w:val="clear" w:pos="2592"/>
          <w:tab w:val="clear" w:pos="6048"/>
          <w:tab w:val="clear" w:pos="8640"/>
          <w:tab w:val="left" w:pos="2835"/>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1 December</w:t>
      </w:r>
      <w:r w:rsidRPr="005E0A83">
        <w:rPr>
          <w:rFonts w:ascii="Arial" w:hAnsi="Arial" w:cs="Arial"/>
          <w:szCs w:val="24"/>
        </w:rPr>
        <w:t xml:space="preserve"> 2022</w:t>
      </w:r>
    </w:p>
    <w:p w14:paraId="5280B2E4" w14:textId="7EA27F19" w:rsidR="007D43D0" w:rsidRDefault="004948BA" w:rsidP="0013301A">
      <w:pPr>
        <w:pStyle w:val="GW12"/>
        <w:tabs>
          <w:tab w:val="clear" w:pos="2592"/>
          <w:tab w:val="clear" w:pos="6048"/>
          <w:tab w:val="clear" w:pos="8640"/>
          <w:tab w:val="left" w:pos="2835"/>
          <w:tab w:val="right" w:pos="8931"/>
        </w:tabs>
        <w:spacing w:line="240" w:lineRule="auto"/>
        <w:ind w:right="-46"/>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8239EC">
        <w:rPr>
          <w:rFonts w:ascii="Arial" w:hAnsi="Arial" w:cs="Arial"/>
          <w:szCs w:val="24"/>
        </w:rPr>
        <w:t>1</w:t>
      </w:r>
      <w:r w:rsidR="00F240E3">
        <w:rPr>
          <w:rFonts w:ascii="Arial" w:hAnsi="Arial" w:cs="Arial"/>
          <w:szCs w:val="24"/>
        </w:rPr>
        <w:t>7</w:t>
      </w:r>
      <w:r w:rsidR="008239EC">
        <w:rPr>
          <w:rFonts w:ascii="Arial" w:hAnsi="Arial" w:cs="Arial"/>
          <w:szCs w:val="24"/>
        </w:rPr>
        <w:t xml:space="preserve"> March</w:t>
      </w:r>
      <w:r>
        <w:rPr>
          <w:rFonts w:ascii="Arial" w:hAnsi="Arial" w:cs="Arial"/>
          <w:szCs w:val="24"/>
        </w:rPr>
        <w:t xml:space="preserve"> 2023</w:t>
      </w:r>
    </w:p>
    <w:sectPr w:rsidR="007D43D0" w:rsidSect="00533254">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F2F6" w14:textId="77777777" w:rsidR="00CF4D9D" w:rsidRDefault="00CF4D9D" w:rsidP="004948BA">
      <w:pPr>
        <w:spacing w:after="0" w:line="240" w:lineRule="auto"/>
      </w:pPr>
      <w:r>
        <w:separator/>
      </w:r>
    </w:p>
  </w:endnote>
  <w:endnote w:type="continuationSeparator" w:id="0">
    <w:p w14:paraId="2F515CE5" w14:textId="77777777" w:rsidR="00CF4D9D" w:rsidRDefault="00CF4D9D" w:rsidP="0049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D430" w14:textId="77777777" w:rsidR="00D154BB" w:rsidRDefault="00C43F66"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DFD2" w14:textId="77777777" w:rsidR="00CF4D9D" w:rsidRDefault="00CF4D9D" w:rsidP="004948BA">
      <w:pPr>
        <w:spacing w:after="0" w:line="240" w:lineRule="auto"/>
      </w:pPr>
      <w:r>
        <w:separator/>
      </w:r>
    </w:p>
  </w:footnote>
  <w:footnote w:type="continuationSeparator" w:id="0">
    <w:p w14:paraId="09A74C9C" w14:textId="77777777" w:rsidR="00CF4D9D" w:rsidRDefault="00CF4D9D" w:rsidP="004948BA">
      <w:pPr>
        <w:spacing w:after="0" w:line="240" w:lineRule="auto"/>
      </w:pPr>
      <w:r>
        <w:continuationSeparator/>
      </w:r>
    </w:p>
  </w:footnote>
  <w:footnote w:id="1">
    <w:p w14:paraId="4CD92D6F" w14:textId="40B8A13D" w:rsidR="00776689" w:rsidRPr="00F46C2A" w:rsidRDefault="00776689" w:rsidP="00F46C2A">
      <w:pPr>
        <w:pStyle w:val="FootnoteText"/>
        <w:spacing w:line="360" w:lineRule="auto"/>
        <w:rPr>
          <w:rFonts w:ascii="Arial" w:hAnsi="Arial" w:cs="Arial"/>
          <w:sz w:val="22"/>
          <w:szCs w:val="22"/>
        </w:rPr>
      </w:pPr>
      <w:r w:rsidRPr="00F46C2A">
        <w:rPr>
          <w:rStyle w:val="FootnoteReference"/>
          <w:rFonts w:ascii="Arial" w:hAnsi="Arial" w:cs="Arial"/>
          <w:sz w:val="22"/>
          <w:szCs w:val="22"/>
        </w:rPr>
        <w:footnoteRef/>
      </w:r>
      <w:r w:rsidRPr="00F46C2A">
        <w:rPr>
          <w:rFonts w:ascii="Arial" w:hAnsi="Arial" w:cs="Arial"/>
          <w:sz w:val="22"/>
          <w:szCs w:val="22"/>
        </w:rPr>
        <w:t xml:space="preserve"> 1977 (2) SA 916 (A) at 929C-E.</w:t>
      </w:r>
    </w:p>
  </w:footnote>
  <w:footnote w:id="2">
    <w:p w14:paraId="6B2DA002" w14:textId="79FBED86" w:rsidR="005A2C32" w:rsidRPr="00F46C2A" w:rsidRDefault="005A2C32" w:rsidP="00F46C2A">
      <w:pPr>
        <w:pStyle w:val="FootnoteText"/>
        <w:spacing w:line="360" w:lineRule="auto"/>
        <w:rPr>
          <w:rFonts w:ascii="Arial" w:hAnsi="Arial" w:cs="Arial"/>
          <w:sz w:val="22"/>
          <w:szCs w:val="22"/>
        </w:rPr>
      </w:pPr>
      <w:r w:rsidRPr="00F46C2A">
        <w:rPr>
          <w:rStyle w:val="FootnoteReference"/>
          <w:rFonts w:ascii="Arial" w:hAnsi="Arial" w:cs="Arial"/>
          <w:sz w:val="22"/>
          <w:szCs w:val="22"/>
        </w:rPr>
        <w:footnoteRef/>
      </w:r>
      <w:r w:rsidRPr="00F46C2A">
        <w:rPr>
          <w:rFonts w:ascii="Arial" w:hAnsi="Arial" w:cs="Arial"/>
          <w:sz w:val="22"/>
          <w:szCs w:val="22"/>
        </w:rPr>
        <w:t xml:space="preserve"> 1996 (3) SA 408 (A) at 418F-H.</w:t>
      </w:r>
    </w:p>
  </w:footnote>
  <w:footnote w:id="3">
    <w:p w14:paraId="3B81FB5F" w14:textId="22BC4DC5" w:rsidR="00AF73A4" w:rsidRPr="004B0CEE" w:rsidRDefault="00AF73A4">
      <w:pPr>
        <w:pStyle w:val="FootnoteText"/>
        <w:rPr>
          <w:rFonts w:ascii="Arial" w:hAnsi="Arial" w:cs="Arial"/>
          <w:sz w:val="22"/>
          <w:szCs w:val="22"/>
        </w:rPr>
      </w:pPr>
      <w:r w:rsidRPr="004B0CEE">
        <w:rPr>
          <w:rStyle w:val="FootnoteReference"/>
          <w:rFonts w:ascii="Arial" w:hAnsi="Arial" w:cs="Arial"/>
          <w:sz w:val="22"/>
          <w:szCs w:val="22"/>
        </w:rPr>
        <w:footnoteRef/>
      </w:r>
      <w:r w:rsidRPr="004B0CEE">
        <w:rPr>
          <w:rFonts w:ascii="Arial" w:hAnsi="Arial" w:cs="Arial"/>
          <w:sz w:val="22"/>
          <w:szCs w:val="22"/>
        </w:rPr>
        <w:t xml:space="preserve"> How this came to the applicant’s attention is not apparent from the papers.</w:t>
      </w:r>
    </w:p>
  </w:footnote>
  <w:footnote w:id="4">
    <w:p w14:paraId="5CF87A4F" w14:textId="54272C53" w:rsidR="004D1F4C" w:rsidRPr="004D1F4C" w:rsidRDefault="004D1F4C" w:rsidP="004D1F4C">
      <w:pPr>
        <w:pStyle w:val="FootnoteText"/>
        <w:spacing w:line="360" w:lineRule="auto"/>
        <w:jc w:val="both"/>
        <w:rPr>
          <w:rFonts w:ascii="Arial" w:hAnsi="Arial" w:cs="Arial"/>
          <w:sz w:val="22"/>
          <w:szCs w:val="22"/>
        </w:rPr>
      </w:pPr>
      <w:r w:rsidRPr="004D1F4C">
        <w:rPr>
          <w:rStyle w:val="FootnoteReference"/>
          <w:rFonts w:ascii="Arial" w:hAnsi="Arial" w:cs="Arial"/>
          <w:sz w:val="22"/>
          <w:szCs w:val="22"/>
        </w:rPr>
        <w:footnoteRef/>
      </w:r>
      <w:r w:rsidRPr="004D1F4C">
        <w:rPr>
          <w:rFonts w:ascii="Arial" w:hAnsi="Arial" w:cs="Arial"/>
          <w:sz w:val="22"/>
          <w:szCs w:val="22"/>
        </w:rPr>
        <w:t xml:space="preserve"> Curiously, the purchase orders did not form part of the applicant’s papers.  One purchase order, dated 20 September 2017, was later disclosed to the court by the respondent as an annexure to the respondent’s answering affidavit, having obtained a copy thereof by way of Rule 35(12).  </w:t>
      </w:r>
    </w:p>
  </w:footnote>
  <w:footnote w:id="5">
    <w:p w14:paraId="0A51BE42" w14:textId="3EFA6856" w:rsidR="0015703F" w:rsidRPr="0015703F" w:rsidRDefault="0015703F" w:rsidP="0015703F">
      <w:pPr>
        <w:pStyle w:val="FootnoteText"/>
        <w:spacing w:line="360" w:lineRule="auto"/>
        <w:jc w:val="both"/>
        <w:rPr>
          <w:rFonts w:ascii="Arial" w:hAnsi="Arial" w:cs="Arial"/>
          <w:sz w:val="22"/>
          <w:szCs w:val="22"/>
        </w:rPr>
      </w:pPr>
      <w:r w:rsidRPr="0015703F">
        <w:rPr>
          <w:rStyle w:val="FootnoteReference"/>
          <w:rFonts w:ascii="Arial" w:hAnsi="Arial" w:cs="Arial"/>
          <w:sz w:val="22"/>
          <w:szCs w:val="22"/>
        </w:rPr>
        <w:footnoteRef/>
      </w:r>
      <w:r w:rsidRPr="0015703F">
        <w:rPr>
          <w:rFonts w:ascii="Arial" w:hAnsi="Arial" w:cs="Arial"/>
          <w:sz w:val="22"/>
          <w:szCs w:val="22"/>
        </w:rPr>
        <w:t xml:space="preserve"> Whilst this was originally denied by the respondent on the papers before court, a printout of the website, which had erroneously been omitted from the applicant’s founding affidavit (mention of it being made at paragraph 30 </w:t>
      </w:r>
      <w:r w:rsidR="00F6539B">
        <w:rPr>
          <w:rFonts w:ascii="Arial" w:hAnsi="Arial" w:cs="Arial"/>
          <w:sz w:val="22"/>
          <w:szCs w:val="22"/>
        </w:rPr>
        <w:t>there</w:t>
      </w:r>
      <w:r w:rsidRPr="0015703F">
        <w:rPr>
          <w:rFonts w:ascii="Arial" w:hAnsi="Arial" w:cs="Arial"/>
          <w:sz w:val="22"/>
          <w:szCs w:val="22"/>
        </w:rPr>
        <w:t>of), was handed up by agreement between the parties at the hearing of the matter.</w:t>
      </w:r>
    </w:p>
  </w:footnote>
  <w:footnote w:id="6">
    <w:p w14:paraId="5EDC91FC" w14:textId="6784BA8E" w:rsidR="00F770E0" w:rsidRPr="00DC548A" w:rsidRDefault="00F770E0" w:rsidP="00DC548A">
      <w:pPr>
        <w:pStyle w:val="FootnoteText"/>
        <w:spacing w:line="360" w:lineRule="auto"/>
        <w:rPr>
          <w:rFonts w:ascii="Arial" w:hAnsi="Arial" w:cs="Arial"/>
          <w:sz w:val="22"/>
          <w:szCs w:val="22"/>
        </w:rPr>
      </w:pPr>
      <w:r w:rsidRPr="00DC548A">
        <w:rPr>
          <w:rStyle w:val="FootnoteReference"/>
          <w:rFonts w:ascii="Arial" w:hAnsi="Arial" w:cs="Arial"/>
          <w:sz w:val="22"/>
          <w:szCs w:val="22"/>
        </w:rPr>
        <w:footnoteRef/>
      </w:r>
      <w:r w:rsidRPr="00DC548A">
        <w:rPr>
          <w:rFonts w:ascii="Arial" w:hAnsi="Arial" w:cs="Arial"/>
          <w:sz w:val="22"/>
          <w:szCs w:val="22"/>
        </w:rPr>
        <w:t xml:space="preserve"> 1993 (4) SA 799 (SEC) 782-783.</w:t>
      </w:r>
    </w:p>
  </w:footnote>
  <w:footnote w:id="7">
    <w:p w14:paraId="609B163F" w14:textId="77777777" w:rsidR="00A623A9" w:rsidRPr="00DC548A" w:rsidRDefault="00A623A9" w:rsidP="00DC548A">
      <w:pPr>
        <w:pStyle w:val="FootnoteText"/>
        <w:spacing w:line="360" w:lineRule="auto"/>
        <w:rPr>
          <w:rFonts w:ascii="Arial" w:hAnsi="Arial" w:cs="Arial"/>
          <w:sz w:val="22"/>
          <w:szCs w:val="22"/>
        </w:rPr>
      </w:pPr>
      <w:r w:rsidRPr="00DC548A">
        <w:rPr>
          <w:rStyle w:val="FootnoteReference"/>
          <w:rFonts w:ascii="Arial" w:hAnsi="Arial" w:cs="Arial"/>
          <w:sz w:val="22"/>
          <w:szCs w:val="22"/>
        </w:rPr>
        <w:footnoteRef/>
      </w:r>
      <w:r w:rsidRPr="00DC548A">
        <w:rPr>
          <w:rFonts w:ascii="Arial" w:hAnsi="Arial" w:cs="Arial"/>
          <w:sz w:val="22"/>
          <w:szCs w:val="22"/>
        </w:rPr>
        <w:t xml:space="preserve"> </w:t>
      </w:r>
      <w:r w:rsidRPr="00AD55E5">
        <w:rPr>
          <w:rFonts w:ascii="Arial" w:hAnsi="Arial" w:cs="Arial"/>
          <w:i/>
          <w:iCs/>
          <w:sz w:val="22"/>
          <w:szCs w:val="22"/>
        </w:rPr>
        <w:t>Sea Harvest Corporation (Pty) Ltd v Irvin &amp; Johnson Ltd</w:t>
      </w:r>
      <w:r w:rsidRPr="00DC548A">
        <w:rPr>
          <w:rFonts w:ascii="Arial" w:hAnsi="Arial" w:cs="Arial"/>
          <w:sz w:val="22"/>
          <w:szCs w:val="22"/>
        </w:rPr>
        <w:t xml:space="preserve"> 1985 (2) 335 (CPD) at 360B-C.</w:t>
      </w:r>
    </w:p>
    <w:p w14:paraId="38B15C82" w14:textId="77777777" w:rsidR="00A623A9" w:rsidRPr="00DC548A" w:rsidRDefault="00A623A9" w:rsidP="00DC548A">
      <w:pPr>
        <w:pStyle w:val="FootnoteText"/>
        <w:spacing w:line="360" w:lineRule="auto"/>
        <w:rPr>
          <w:rFonts w:ascii="Arial" w:hAnsi="Arial" w:cs="Arial"/>
          <w:sz w:val="22"/>
          <w:szCs w:val="22"/>
        </w:rPr>
      </w:pPr>
      <w:r w:rsidRPr="00AD55E5">
        <w:rPr>
          <w:rFonts w:ascii="Arial" w:hAnsi="Arial" w:cs="Arial"/>
          <w:i/>
          <w:iCs/>
          <w:sz w:val="22"/>
          <w:szCs w:val="22"/>
        </w:rPr>
        <w:t>Truck and Car Co Ltd v Kar-N-Truck Auctions</w:t>
      </w:r>
      <w:r w:rsidRPr="00DC548A">
        <w:rPr>
          <w:rFonts w:ascii="Arial" w:hAnsi="Arial" w:cs="Arial"/>
          <w:sz w:val="22"/>
          <w:szCs w:val="22"/>
        </w:rPr>
        <w:t xml:space="preserve"> 1954 (4) SA 552 (A) at 557.</w:t>
      </w:r>
    </w:p>
    <w:p w14:paraId="0736B71B" w14:textId="77777777" w:rsidR="00A623A9" w:rsidRDefault="00A623A9" w:rsidP="00A623A9">
      <w:pPr>
        <w:pStyle w:val="FootnoteText"/>
      </w:pPr>
    </w:p>
  </w:footnote>
  <w:footnote w:id="8">
    <w:p w14:paraId="775B89E0" w14:textId="245A1BB7" w:rsidR="00DC548A" w:rsidRPr="00AD55E5" w:rsidRDefault="00DC548A" w:rsidP="00AD55E5">
      <w:pPr>
        <w:pStyle w:val="FootnoteText"/>
        <w:spacing w:line="360" w:lineRule="auto"/>
        <w:rPr>
          <w:rFonts w:ascii="Arial" w:hAnsi="Arial" w:cs="Arial"/>
          <w:sz w:val="22"/>
          <w:szCs w:val="22"/>
        </w:rPr>
      </w:pPr>
      <w:r w:rsidRPr="00AD55E5">
        <w:rPr>
          <w:rStyle w:val="FootnoteReference"/>
          <w:rFonts w:ascii="Arial" w:hAnsi="Arial" w:cs="Arial"/>
          <w:sz w:val="22"/>
          <w:szCs w:val="22"/>
        </w:rPr>
        <w:footnoteRef/>
      </w:r>
      <w:r w:rsidRPr="00AD55E5">
        <w:rPr>
          <w:rFonts w:ascii="Arial" w:hAnsi="Arial" w:cs="Arial"/>
          <w:sz w:val="22"/>
          <w:szCs w:val="22"/>
        </w:rPr>
        <w:t xml:space="preserve"> Supra at 360G-J.</w:t>
      </w:r>
    </w:p>
  </w:footnote>
  <w:footnote w:id="9">
    <w:p w14:paraId="0A8BE806" w14:textId="0AE87BC0" w:rsidR="0050689A" w:rsidRPr="007E5B2A" w:rsidRDefault="0050689A" w:rsidP="007E5B2A">
      <w:pPr>
        <w:pStyle w:val="FootnoteText"/>
        <w:spacing w:line="360" w:lineRule="auto"/>
        <w:rPr>
          <w:rFonts w:ascii="Arial" w:hAnsi="Arial" w:cs="Arial"/>
          <w:sz w:val="22"/>
          <w:szCs w:val="22"/>
        </w:rPr>
      </w:pPr>
      <w:r w:rsidRPr="007E5B2A">
        <w:rPr>
          <w:rStyle w:val="FootnoteReference"/>
          <w:rFonts w:ascii="Arial" w:hAnsi="Arial" w:cs="Arial"/>
          <w:sz w:val="22"/>
          <w:szCs w:val="22"/>
        </w:rPr>
        <w:footnoteRef/>
      </w:r>
      <w:r w:rsidRPr="007E5B2A">
        <w:rPr>
          <w:rFonts w:ascii="Arial" w:hAnsi="Arial" w:cs="Arial"/>
          <w:sz w:val="22"/>
          <w:szCs w:val="22"/>
        </w:rPr>
        <w:t xml:space="preserve"> </w:t>
      </w:r>
      <w:r w:rsidRPr="007E5B2A">
        <w:rPr>
          <w:rFonts w:ascii="Arial" w:hAnsi="Arial" w:cs="Arial"/>
          <w:i/>
          <w:iCs/>
          <w:sz w:val="22"/>
          <w:szCs w:val="22"/>
        </w:rPr>
        <w:t>Caterham Car Sales &amp; Coach Works Ltd v Birkin Cars (Pty) Ltd</w:t>
      </w:r>
      <w:r w:rsidRPr="007E5B2A">
        <w:rPr>
          <w:rFonts w:ascii="Arial" w:hAnsi="Arial" w:cs="Arial"/>
          <w:sz w:val="22"/>
          <w:szCs w:val="22"/>
        </w:rPr>
        <w:t xml:space="preserve"> 1998 (3) SA 938 (SCA).</w:t>
      </w:r>
    </w:p>
  </w:footnote>
  <w:footnote w:id="10">
    <w:p w14:paraId="2DEE7B9B" w14:textId="1B3B59D2" w:rsidR="0050689A" w:rsidRPr="007E5B2A" w:rsidRDefault="0050689A" w:rsidP="007E5B2A">
      <w:pPr>
        <w:pStyle w:val="FootnoteText"/>
        <w:spacing w:line="360" w:lineRule="auto"/>
        <w:rPr>
          <w:rFonts w:ascii="Arial" w:hAnsi="Arial" w:cs="Arial"/>
          <w:sz w:val="22"/>
          <w:szCs w:val="22"/>
        </w:rPr>
      </w:pPr>
      <w:r w:rsidRPr="007E5B2A">
        <w:rPr>
          <w:rStyle w:val="FootnoteReference"/>
          <w:rFonts w:ascii="Arial" w:hAnsi="Arial" w:cs="Arial"/>
          <w:sz w:val="22"/>
          <w:szCs w:val="22"/>
        </w:rPr>
        <w:footnoteRef/>
      </w:r>
      <w:r w:rsidRPr="007E5B2A">
        <w:rPr>
          <w:rFonts w:ascii="Arial" w:hAnsi="Arial" w:cs="Arial"/>
          <w:sz w:val="22"/>
          <w:szCs w:val="22"/>
        </w:rPr>
        <w:t xml:space="preserve"> Dean, O. and Dyer, A. Dean &amp; Dyer </w:t>
      </w:r>
      <w:r w:rsidRPr="007E5B2A">
        <w:rPr>
          <w:rFonts w:ascii="Arial" w:hAnsi="Arial" w:cs="Arial"/>
          <w:i/>
          <w:iCs/>
          <w:sz w:val="22"/>
          <w:szCs w:val="22"/>
        </w:rPr>
        <w:t>Introduction to Intellectual Property Law</w:t>
      </w:r>
      <w:r w:rsidRPr="007E5B2A">
        <w:rPr>
          <w:rFonts w:ascii="Arial" w:hAnsi="Arial" w:cs="Arial"/>
          <w:sz w:val="22"/>
          <w:szCs w:val="22"/>
        </w:rPr>
        <w:t>. Oxford University Press, First Impression, 2014, at page 167.</w:t>
      </w:r>
    </w:p>
  </w:footnote>
  <w:footnote w:id="11">
    <w:p w14:paraId="589EB164" w14:textId="64930E1F" w:rsidR="004D3405" w:rsidRPr="004D3405" w:rsidRDefault="004D3405">
      <w:pPr>
        <w:pStyle w:val="FootnoteText"/>
        <w:rPr>
          <w:rFonts w:ascii="Arial" w:hAnsi="Arial" w:cs="Arial"/>
          <w:sz w:val="22"/>
          <w:szCs w:val="22"/>
          <w:lang w:val="en-US"/>
        </w:rPr>
      </w:pPr>
      <w:r w:rsidRPr="004D3405">
        <w:rPr>
          <w:rStyle w:val="FootnoteReference"/>
          <w:rFonts w:ascii="Arial" w:hAnsi="Arial" w:cs="Arial"/>
          <w:sz w:val="22"/>
          <w:szCs w:val="22"/>
        </w:rPr>
        <w:footnoteRef/>
      </w:r>
      <w:r w:rsidRPr="004D3405">
        <w:rPr>
          <w:rFonts w:ascii="Arial" w:hAnsi="Arial" w:cs="Arial"/>
          <w:sz w:val="22"/>
          <w:szCs w:val="22"/>
        </w:rPr>
        <w:t xml:space="preserve"> </w:t>
      </w:r>
      <w:r w:rsidRPr="004D3405">
        <w:rPr>
          <w:rFonts w:ascii="Arial" w:hAnsi="Arial" w:cs="Arial"/>
          <w:sz w:val="22"/>
          <w:szCs w:val="22"/>
          <w:lang w:val="en-US"/>
        </w:rPr>
        <w:t>At paragraphs 48.1 to 48.6 of the respondent’s answering affidavit.</w:t>
      </w:r>
    </w:p>
  </w:footnote>
  <w:footnote w:id="12">
    <w:p w14:paraId="43FC5DB4" w14:textId="4052284E" w:rsidR="006304AD" w:rsidRPr="009C43DE" w:rsidRDefault="006304AD" w:rsidP="009C43DE">
      <w:pPr>
        <w:pStyle w:val="FootnoteText"/>
        <w:spacing w:line="360" w:lineRule="auto"/>
        <w:rPr>
          <w:rFonts w:ascii="Arial" w:hAnsi="Arial" w:cs="Arial"/>
          <w:sz w:val="22"/>
          <w:szCs w:val="22"/>
        </w:rPr>
      </w:pPr>
      <w:r w:rsidRPr="009C43DE">
        <w:rPr>
          <w:rStyle w:val="FootnoteReference"/>
          <w:rFonts w:ascii="Arial" w:hAnsi="Arial" w:cs="Arial"/>
          <w:sz w:val="22"/>
          <w:szCs w:val="22"/>
        </w:rPr>
        <w:footnoteRef/>
      </w:r>
      <w:r w:rsidRPr="009C43DE">
        <w:rPr>
          <w:rFonts w:ascii="Arial" w:hAnsi="Arial" w:cs="Arial"/>
          <w:sz w:val="22"/>
          <w:szCs w:val="22"/>
        </w:rPr>
        <w:t xml:space="preserve"> (23255/2010) [2012] ZAWCHC 43 (15 May 2012)</w:t>
      </w:r>
      <w:r w:rsidR="005C56F8" w:rsidRPr="009C43DE">
        <w:rPr>
          <w:rFonts w:ascii="Arial" w:hAnsi="Arial" w:cs="Arial"/>
          <w:sz w:val="22"/>
          <w:szCs w:val="22"/>
        </w:rPr>
        <w:t>.</w:t>
      </w:r>
    </w:p>
  </w:footnote>
  <w:footnote w:id="13">
    <w:p w14:paraId="72A0466B" w14:textId="32ACAEFB" w:rsidR="006A760B" w:rsidRPr="009C43DE" w:rsidRDefault="006A760B" w:rsidP="009C43DE">
      <w:pPr>
        <w:pStyle w:val="FootnoteText"/>
        <w:spacing w:line="360" w:lineRule="auto"/>
        <w:rPr>
          <w:rFonts w:ascii="Arial" w:hAnsi="Arial" w:cs="Arial"/>
          <w:sz w:val="22"/>
          <w:szCs w:val="22"/>
        </w:rPr>
      </w:pPr>
      <w:r w:rsidRPr="009C43DE">
        <w:rPr>
          <w:rStyle w:val="FootnoteReference"/>
          <w:rFonts w:ascii="Arial" w:hAnsi="Arial" w:cs="Arial"/>
          <w:sz w:val="22"/>
          <w:szCs w:val="22"/>
        </w:rPr>
        <w:footnoteRef/>
      </w:r>
      <w:r w:rsidRPr="009C43DE">
        <w:rPr>
          <w:rFonts w:ascii="Arial" w:hAnsi="Arial" w:cs="Arial"/>
          <w:sz w:val="22"/>
          <w:szCs w:val="22"/>
        </w:rPr>
        <w:t xml:space="preserve"> 1984 (3) 623 (AD) at 634I – 635A-C</w:t>
      </w:r>
    </w:p>
  </w:footnote>
  <w:footnote w:id="14">
    <w:p w14:paraId="2315754F" w14:textId="063B8EE1" w:rsidR="004421BC" w:rsidRPr="004421BC" w:rsidRDefault="004421BC" w:rsidP="004421BC">
      <w:pPr>
        <w:pStyle w:val="FootnoteText"/>
        <w:spacing w:line="360" w:lineRule="auto"/>
        <w:jc w:val="both"/>
        <w:rPr>
          <w:rStyle w:val="FootnoteReference"/>
          <w:rFonts w:ascii="Arial" w:hAnsi="Arial" w:cs="Arial"/>
          <w:sz w:val="22"/>
          <w:szCs w:val="22"/>
          <w:vertAlign w:val="baseline"/>
        </w:rPr>
      </w:pPr>
      <w:r w:rsidRPr="004421BC">
        <w:rPr>
          <w:rStyle w:val="FootnoteReference"/>
          <w:rFonts w:ascii="Arial" w:hAnsi="Arial" w:cs="Arial"/>
          <w:sz w:val="22"/>
          <w:szCs w:val="22"/>
        </w:rPr>
        <w:footnoteRef/>
      </w:r>
      <w:r w:rsidRPr="004421BC">
        <w:rPr>
          <w:rFonts w:ascii="Arial" w:hAnsi="Arial" w:cs="Arial"/>
          <w:sz w:val="22"/>
          <w:szCs w:val="22"/>
        </w:rPr>
        <w:t xml:space="preserve"> </w:t>
      </w:r>
      <w:r w:rsidRPr="004421BC">
        <w:rPr>
          <w:rStyle w:val="FootnoteReference"/>
          <w:rFonts w:ascii="Arial" w:hAnsi="Arial" w:cs="Arial"/>
          <w:i/>
          <w:iCs/>
          <w:sz w:val="22"/>
          <w:szCs w:val="22"/>
          <w:vertAlign w:val="baseline"/>
        </w:rPr>
        <w:t>Wightman t/a J W Construction v Headfour (Pty) Ltd and Another</w:t>
      </w:r>
      <w:r w:rsidRPr="004421BC">
        <w:rPr>
          <w:rStyle w:val="FootnoteReference"/>
          <w:rFonts w:ascii="Arial" w:hAnsi="Arial" w:cs="Arial"/>
          <w:sz w:val="22"/>
          <w:szCs w:val="22"/>
          <w:vertAlign w:val="baseline"/>
        </w:rPr>
        <w:t xml:space="preserve"> 2008 (3) SA 371 (SCA) </w:t>
      </w:r>
      <w:r>
        <w:rPr>
          <w:rFonts w:ascii="Arial" w:hAnsi="Arial" w:cs="Arial"/>
          <w:sz w:val="22"/>
          <w:szCs w:val="22"/>
        </w:rPr>
        <w:t>at paragraph 13.</w:t>
      </w:r>
    </w:p>
    <w:p w14:paraId="7BF3CA68" w14:textId="77777777" w:rsidR="004421BC" w:rsidRDefault="004421BC">
      <w:pPr>
        <w:pStyle w:val="FootnoteText"/>
      </w:pPr>
    </w:p>
  </w:footnote>
  <w:footnote w:id="15">
    <w:p w14:paraId="4BE8515B" w14:textId="7F0A4197" w:rsidR="009802E6" w:rsidRPr="009802E6" w:rsidRDefault="009802E6" w:rsidP="009802E6">
      <w:pPr>
        <w:pStyle w:val="FootnoteText"/>
        <w:spacing w:line="360" w:lineRule="auto"/>
        <w:rPr>
          <w:rFonts w:ascii="Arial" w:hAnsi="Arial" w:cs="Arial"/>
          <w:sz w:val="22"/>
          <w:szCs w:val="22"/>
        </w:rPr>
      </w:pPr>
      <w:r w:rsidRPr="009802E6">
        <w:rPr>
          <w:rStyle w:val="FootnoteReference"/>
          <w:rFonts w:ascii="Arial" w:hAnsi="Arial" w:cs="Arial"/>
          <w:sz w:val="22"/>
          <w:szCs w:val="22"/>
        </w:rPr>
        <w:footnoteRef/>
      </w:r>
      <w:r w:rsidRPr="009802E6">
        <w:rPr>
          <w:rFonts w:ascii="Arial" w:hAnsi="Arial" w:cs="Arial"/>
          <w:sz w:val="22"/>
          <w:szCs w:val="22"/>
        </w:rPr>
        <w:t xml:space="preserve"> </w:t>
      </w:r>
      <w:r w:rsidRPr="009802E6">
        <w:rPr>
          <w:rFonts w:ascii="Arial" w:hAnsi="Arial" w:cs="Arial"/>
          <w:i/>
          <w:iCs/>
          <w:sz w:val="22"/>
          <w:szCs w:val="22"/>
        </w:rPr>
        <w:t>Quad Africa Energy (Pty) Ltd v The Sugarless Company (Pty) Ltd and Another</w:t>
      </w:r>
      <w:r w:rsidRPr="009802E6">
        <w:rPr>
          <w:rFonts w:ascii="Arial" w:hAnsi="Arial" w:cs="Arial"/>
          <w:sz w:val="22"/>
          <w:szCs w:val="22"/>
        </w:rPr>
        <w:t xml:space="preserve"> (Case no 1176/2018) [2020] ZASCA 37 (9 April 2020) at paragraph 37.</w:t>
      </w:r>
    </w:p>
  </w:footnote>
  <w:footnote w:id="16">
    <w:p w14:paraId="02938782" w14:textId="21A6C98C" w:rsidR="00FB256A" w:rsidRPr="00EA4702" w:rsidRDefault="00FB256A" w:rsidP="00EA4702">
      <w:pPr>
        <w:pStyle w:val="FootnoteText"/>
        <w:spacing w:line="360" w:lineRule="auto"/>
        <w:jc w:val="both"/>
        <w:rPr>
          <w:rFonts w:ascii="Arial" w:hAnsi="Arial" w:cs="Arial"/>
          <w:sz w:val="22"/>
          <w:szCs w:val="22"/>
          <w:lang w:val="en-US"/>
        </w:rPr>
      </w:pPr>
      <w:r w:rsidRPr="00EA4702">
        <w:rPr>
          <w:rStyle w:val="FootnoteReference"/>
          <w:rFonts w:ascii="Arial" w:hAnsi="Arial" w:cs="Arial"/>
          <w:sz w:val="22"/>
          <w:szCs w:val="22"/>
        </w:rPr>
        <w:footnoteRef/>
      </w:r>
      <w:r w:rsidRPr="00EA4702">
        <w:rPr>
          <w:rFonts w:ascii="Arial" w:hAnsi="Arial" w:cs="Arial"/>
          <w:sz w:val="22"/>
          <w:szCs w:val="22"/>
        </w:rPr>
        <w:t xml:space="preserve"> </w:t>
      </w:r>
      <w:r w:rsidRPr="00EA4702">
        <w:rPr>
          <w:rFonts w:ascii="Arial" w:hAnsi="Arial" w:cs="Arial"/>
          <w:i/>
          <w:iCs/>
          <w:sz w:val="22"/>
          <w:szCs w:val="22"/>
          <w:lang w:val="en-US"/>
        </w:rPr>
        <w:t>Blue Lion Manufacturing (Pty) Ltd v National Brands Ltd</w:t>
      </w:r>
      <w:r w:rsidRPr="00EA4702">
        <w:rPr>
          <w:rFonts w:ascii="Arial" w:hAnsi="Arial" w:cs="Arial"/>
          <w:sz w:val="22"/>
          <w:szCs w:val="22"/>
          <w:lang w:val="en-US"/>
        </w:rPr>
        <w:t xml:space="preserve"> 2001 (3) SCA SA 884 (SCA).</w:t>
      </w:r>
    </w:p>
    <w:p w14:paraId="168ECB64" w14:textId="18549120" w:rsidR="00FB256A" w:rsidRPr="00EA4702" w:rsidRDefault="00FB256A" w:rsidP="00EA4702">
      <w:pPr>
        <w:pStyle w:val="FootnoteText"/>
        <w:spacing w:line="360" w:lineRule="auto"/>
        <w:jc w:val="both"/>
        <w:rPr>
          <w:rFonts w:ascii="Arial" w:hAnsi="Arial" w:cs="Arial"/>
          <w:sz w:val="22"/>
          <w:szCs w:val="22"/>
          <w:lang w:val="en-US"/>
        </w:rPr>
      </w:pPr>
      <w:r w:rsidRPr="00EA4702">
        <w:rPr>
          <w:rFonts w:ascii="Arial" w:hAnsi="Arial" w:cs="Arial"/>
          <w:i/>
          <w:iCs/>
          <w:sz w:val="22"/>
          <w:szCs w:val="22"/>
          <w:lang w:val="en-US"/>
        </w:rPr>
        <w:t>Reckitt &amp; Colman SA (Pty) Ltd v SC Johnson &amp; Son SA (Pty) Ltd</w:t>
      </w:r>
      <w:r w:rsidRPr="00EA4702">
        <w:rPr>
          <w:rFonts w:ascii="Arial" w:hAnsi="Arial" w:cs="Arial"/>
          <w:sz w:val="22"/>
          <w:szCs w:val="22"/>
          <w:lang w:val="en-US"/>
        </w:rPr>
        <w:t xml:space="preserve"> 1993 (2) SA 307 (A).</w:t>
      </w:r>
    </w:p>
    <w:p w14:paraId="7F503F5B" w14:textId="322D4D0D" w:rsidR="00DE0319" w:rsidRPr="00EA4702" w:rsidRDefault="00DE0319" w:rsidP="00EA4702">
      <w:pPr>
        <w:pStyle w:val="FootnoteText"/>
        <w:spacing w:line="360" w:lineRule="auto"/>
        <w:jc w:val="both"/>
        <w:rPr>
          <w:rFonts w:ascii="Arial" w:hAnsi="Arial" w:cs="Arial"/>
          <w:sz w:val="22"/>
          <w:szCs w:val="22"/>
          <w:lang w:val="en-US"/>
        </w:rPr>
      </w:pPr>
      <w:r w:rsidRPr="00EA4702">
        <w:rPr>
          <w:rFonts w:ascii="Arial" w:hAnsi="Arial" w:cs="Arial"/>
          <w:i/>
          <w:iCs/>
          <w:sz w:val="22"/>
          <w:szCs w:val="22"/>
          <w:lang w:val="en-US"/>
        </w:rPr>
        <w:t xml:space="preserve">Adidas AG &amp; </w:t>
      </w:r>
      <w:r w:rsidR="00EA4702" w:rsidRPr="00EA4702">
        <w:rPr>
          <w:rFonts w:ascii="Arial" w:hAnsi="Arial" w:cs="Arial"/>
          <w:i/>
          <w:iCs/>
          <w:sz w:val="22"/>
          <w:szCs w:val="22"/>
          <w:lang w:val="en-US"/>
        </w:rPr>
        <w:t>A</w:t>
      </w:r>
      <w:r w:rsidRPr="00EA4702">
        <w:rPr>
          <w:rFonts w:ascii="Arial" w:hAnsi="Arial" w:cs="Arial"/>
          <w:i/>
          <w:iCs/>
          <w:sz w:val="22"/>
          <w:szCs w:val="22"/>
          <w:lang w:val="en-US"/>
        </w:rPr>
        <w:t>nother v Pepkor Retail Limited</w:t>
      </w:r>
      <w:r w:rsidRPr="00EA4702">
        <w:rPr>
          <w:rFonts w:ascii="Arial" w:hAnsi="Arial" w:cs="Arial"/>
          <w:sz w:val="22"/>
          <w:szCs w:val="22"/>
          <w:lang w:val="en-US"/>
        </w:rPr>
        <w:t xml:space="preserve"> (187/12) [2013] ZASCA 3 (28 February 2013).</w:t>
      </w:r>
    </w:p>
  </w:footnote>
  <w:footnote w:id="17">
    <w:p w14:paraId="1E1E8DB4" w14:textId="6A64C2E6" w:rsidR="000B5547" w:rsidRPr="00EA4702" w:rsidRDefault="000B5547" w:rsidP="00EA4702">
      <w:pPr>
        <w:pStyle w:val="FootnoteText"/>
        <w:spacing w:line="360" w:lineRule="auto"/>
        <w:jc w:val="both"/>
        <w:rPr>
          <w:rFonts w:ascii="Arial" w:hAnsi="Arial" w:cs="Arial"/>
          <w:sz w:val="22"/>
          <w:szCs w:val="22"/>
          <w:lang w:val="en-US"/>
        </w:rPr>
      </w:pPr>
      <w:r w:rsidRPr="00EA4702">
        <w:rPr>
          <w:rStyle w:val="FootnoteReference"/>
          <w:rFonts w:ascii="Arial" w:hAnsi="Arial" w:cs="Arial"/>
          <w:sz w:val="22"/>
          <w:szCs w:val="22"/>
        </w:rPr>
        <w:footnoteRef/>
      </w:r>
      <w:r w:rsidRPr="00EA4702">
        <w:rPr>
          <w:rFonts w:ascii="Arial" w:hAnsi="Arial" w:cs="Arial"/>
          <w:sz w:val="22"/>
          <w:szCs w:val="22"/>
        </w:rPr>
        <w:t xml:space="preserve"> And which may in certain circumstances militate against a finding of the likelihood of deception or confusion.</w:t>
      </w:r>
    </w:p>
  </w:footnote>
  <w:footnote w:id="18">
    <w:p w14:paraId="5445E99D" w14:textId="08A1F364" w:rsidR="00F3312F" w:rsidRPr="00EA4702" w:rsidRDefault="00F3312F" w:rsidP="00EA4702">
      <w:pPr>
        <w:pStyle w:val="FootnoteText"/>
        <w:spacing w:line="360" w:lineRule="auto"/>
        <w:jc w:val="both"/>
        <w:rPr>
          <w:rFonts w:ascii="Arial" w:hAnsi="Arial" w:cs="Arial"/>
          <w:sz w:val="22"/>
          <w:szCs w:val="22"/>
          <w:lang w:val="en-US"/>
        </w:rPr>
      </w:pPr>
      <w:r w:rsidRPr="00EA4702">
        <w:rPr>
          <w:rStyle w:val="FootnoteReference"/>
          <w:rFonts w:ascii="Arial" w:hAnsi="Arial" w:cs="Arial"/>
          <w:sz w:val="22"/>
          <w:szCs w:val="22"/>
        </w:rPr>
        <w:footnoteRef/>
      </w:r>
      <w:r w:rsidRPr="00EA4702">
        <w:rPr>
          <w:rFonts w:ascii="Arial" w:hAnsi="Arial" w:cs="Arial"/>
          <w:sz w:val="22"/>
          <w:szCs w:val="22"/>
        </w:rPr>
        <w:t xml:space="preserve"> </w:t>
      </w:r>
      <w:r w:rsidRPr="00EA4702">
        <w:rPr>
          <w:rFonts w:ascii="Arial" w:hAnsi="Arial" w:cs="Arial"/>
          <w:i/>
          <w:iCs/>
          <w:sz w:val="22"/>
          <w:szCs w:val="22"/>
          <w:lang w:val="en-US"/>
        </w:rPr>
        <w:t>Royal Beech-nut (Pty) Ltd t/a Manhattan Confectioners v United Tobacco Co Ltd t/a Willards Foods</w:t>
      </w:r>
      <w:r w:rsidRPr="00EA4702">
        <w:rPr>
          <w:rFonts w:ascii="Arial" w:hAnsi="Arial" w:cs="Arial"/>
          <w:sz w:val="22"/>
          <w:szCs w:val="22"/>
          <w:lang w:val="en-US"/>
        </w:rPr>
        <w:t xml:space="preserve"> 1992 (4) SA 118 (A).</w:t>
      </w:r>
    </w:p>
    <w:p w14:paraId="48030A49" w14:textId="55AF0CE5" w:rsidR="000F1CDE" w:rsidRPr="00EA4702" w:rsidRDefault="000F1CDE" w:rsidP="00EA4702">
      <w:pPr>
        <w:pStyle w:val="FootnoteText"/>
        <w:spacing w:line="360" w:lineRule="auto"/>
        <w:jc w:val="both"/>
        <w:rPr>
          <w:rFonts w:ascii="Arial" w:hAnsi="Arial" w:cs="Arial"/>
          <w:sz w:val="22"/>
          <w:szCs w:val="22"/>
          <w:lang w:val="en-US"/>
        </w:rPr>
      </w:pPr>
      <w:r w:rsidRPr="00EA4702">
        <w:rPr>
          <w:rFonts w:ascii="Arial" w:hAnsi="Arial" w:cs="Arial"/>
          <w:i/>
          <w:iCs/>
          <w:sz w:val="22"/>
          <w:szCs w:val="22"/>
          <w:lang w:val="en-US"/>
        </w:rPr>
        <w:t>Plascon-Evans Paints Ltd</w:t>
      </w:r>
      <w:r w:rsidRPr="00EA4702">
        <w:rPr>
          <w:rFonts w:ascii="Arial" w:hAnsi="Arial" w:cs="Arial"/>
          <w:sz w:val="22"/>
          <w:szCs w:val="22"/>
          <w:lang w:val="en-US"/>
        </w:rPr>
        <w:t xml:space="preserve"> (supra).</w:t>
      </w:r>
    </w:p>
    <w:p w14:paraId="292E9132" w14:textId="1E3F9774" w:rsidR="008638BF" w:rsidRPr="00EA4702" w:rsidRDefault="008638BF" w:rsidP="00EA4702">
      <w:pPr>
        <w:pStyle w:val="FootnoteText"/>
        <w:spacing w:line="360" w:lineRule="auto"/>
        <w:jc w:val="both"/>
        <w:rPr>
          <w:rFonts w:ascii="Arial" w:hAnsi="Arial" w:cs="Arial"/>
          <w:sz w:val="22"/>
          <w:szCs w:val="22"/>
          <w:lang w:val="en-US"/>
        </w:rPr>
      </w:pPr>
      <w:r w:rsidRPr="00EA4702">
        <w:rPr>
          <w:rFonts w:ascii="Arial" w:hAnsi="Arial" w:cs="Arial"/>
          <w:i/>
          <w:iCs/>
          <w:sz w:val="22"/>
          <w:szCs w:val="22"/>
          <w:lang w:val="en-US"/>
        </w:rPr>
        <w:t>Tri</w:t>
      </w:r>
      <w:r w:rsidR="000F1CDE" w:rsidRPr="00EA4702">
        <w:rPr>
          <w:rFonts w:ascii="Arial" w:hAnsi="Arial" w:cs="Arial"/>
          <w:i/>
          <w:iCs/>
          <w:sz w:val="22"/>
          <w:szCs w:val="22"/>
          <w:lang w:val="en-US"/>
        </w:rPr>
        <w:t>-ang Pedigree (SA) (Pty) Ltd v Prima Toys (Pty) Ltd</w:t>
      </w:r>
      <w:r w:rsidR="000F1CDE" w:rsidRPr="00EA4702">
        <w:rPr>
          <w:rFonts w:ascii="Arial" w:hAnsi="Arial" w:cs="Arial"/>
          <w:sz w:val="22"/>
          <w:szCs w:val="22"/>
          <w:lang w:val="en-US"/>
        </w:rPr>
        <w:t xml:space="preserve"> 1985 (1) 448 (A).</w:t>
      </w:r>
    </w:p>
    <w:p w14:paraId="7EB0690C" w14:textId="77777777" w:rsidR="00F3312F" w:rsidRPr="00F3312F" w:rsidRDefault="00F3312F">
      <w:pPr>
        <w:pStyle w:val="FootnoteText"/>
        <w:rPr>
          <w:lang w:val="en-US"/>
        </w:rPr>
      </w:pPr>
    </w:p>
  </w:footnote>
  <w:footnote w:id="19">
    <w:p w14:paraId="45F2A7F7" w14:textId="20E3D283" w:rsidR="00692BA6" w:rsidRPr="003108B5" w:rsidRDefault="0060617C" w:rsidP="003108B5">
      <w:pPr>
        <w:pStyle w:val="FootnoteText"/>
        <w:spacing w:line="360" w:lineRule="auto"/>
        <w:rPr>
          <w:rFonts w:ascii="Arial" w:hAnsi="Arial" w:cs="Arial"/>
          <w:sz w:val="22"/>
          <w:szCs w:val="22"/>
          <w:lang w:val="en-US"/>
        </w:rPr>
      </w:pPr>
      <w:r w:rsidRPr="00692BA6">
        <w:rPr>
          <w:rStyle w:val="FootnoteReference"/>
          <w:rFonts w:ascii="Arial" w:hAnsi="Arial" w:cs="Arial"/>
          <w:sz w:val="22"/>
          <w:szCs w:val="22"/>
        </w:rPr>
        <w:footnoteRef/>
      </w:r>
      <w:r w:rsidRPr="00692BA6">
        <w:rPr>
          <w:rFonts w:ascii="Arial" w:hAnsi="Arial" w:cs="Arial"/>
          <w:sz w:val="22"/>
          <w:szCs w:val="22"/>
        </w:rPr>
        <w:t xml:space="preserve"> </w:t>
      </w:r>
      <w:r w:rsidRPr="00692BA6">
        <w:rPr>
          <w:rFonts w:ascii="Arial" w:hAnsi="Arial" w:cs="Arial"/>
          <w:i/>
          <w:iCs/>
          <w:sz w:val="22"/>
          <w:szCs w:val="22"/>
          <w:lang w:val="en-US"/>
        </w:rPr>
        <w:t>Tri-ang Pedigree (SA) (Pty) Ltd v Prima Toys (Pty) Ltd</w:t>
      </w:r>
      <w:r w:rsidRPr="00692BA6">
        <w:rPr>
          <w:rFonts w:ascii="Arial" w:hAnsi="Arial" w:cs="Arial"/>
          <w:sz w:val="22"/>
          <w:szCs w:val="22"/>
          <w:lang w:val="en-US"/>
        </w:rPr>
        <w:t xml:space="preserve"> (supra).</w:t>
      </w:r>
    </w:p>
  </w:footnote>
  <w:footnote w:id="20">
    <w:p w14:paraId="396BE170" w14:textId="1B54407D" w:rsidR="00D57A4C" w:rsidRPr="00D57A4C" w:rsidRDefault="00D57A4C" w:rsidP="00D57A4C">
      <w:pPr>
        <w:pStyle w:val="FootnoteText"/>
        <w:spacing w:line="360" w:lineRule="auto"/>
        <w:rPr>
          <w:rFonts w:ascii="Arial" w:hAnsi="Arial" w:cs="Arial"/>
          <w:sz w:val="22"/>
          <w:szCs w:val="22"/>
        </w:rPr>
      </w:pPr>
      <w:r w:rsidRPr="00D57A4C">
        <w:rPr>
          <w:rStyle w:val="FootnoteReference"/>
          <w:rFonts w:ascii="Arial" w:hAnsi="Arial" w:cs="Arial"/>
          <w:sz w:val="22"/>
          <w:szCs w:val="22"/>
        </w:rPr>
        <w:footnoteRef/>
      </w:r>
      <w:r w:rsidRPr="00D57A4C">
        <w:rPr>
          <w:rFonts w:ascii="Arial" w:hAnsi="Arial" w:cs="Arial"/>
          <w:sz w:val="22"/>
          <w:szCs w:val="22"/>
        </w:rPr>
        <w:t xml:space="preserve"> Van Heerden-Neethling, </w:t>
      </w:r>
      <w:r w:rsidRPr="00D57A4C">
        <w:rPr>
          <w:rFonts w:ascii="Arial" w:hAnsi="Arial" w:cs="Arial"/>
          <w:i/>
          <w:iCs/>
          <w:sz w:val="22"/>
          <w:szCs w:val="22"/>
        </w:rPr>
        <w:t>Unlawful Competition</w:t>
      </w:r>
      <w:r w:rsidRPr="00D57A4C">
        <w:rPr>
          <w:rFonts w:ascii="Arial" w:hAnsi="Arial" w:cs="Arial"/>
          <w:sz w:val="22"/>
          <w:szCs w:val="22"/>
        </w:rPr>
        <w:t>, 2</w:t>
      </w:r>
      <w:r w:rsidRPr="00D57A4C">
        <w:rPr>
          <w:rFonts w:ascii="Arial" w:hAnsi="Arial" w:cs="Arial"/>
          <w:sz w:val="22"/>
          <w:szCs w:val="22"/>
          <w:vertAlign w:val="superscript"/>
        </w:rPr>
        <w:t>nd</w:t>
      </w:r>
      <w:r w:rsidRPr="00D57A4C">
        <w:rPr>
          <w:rFonts w:ascii="Arial" w:hAnsi="Arial" w:cs="Arial"/>
          <w:sz w:val="22"/>
          <w:szCs w:val="22"/>
        </w:rPr>
        <w:t xml:space="preserve"> Edition.  LexisNexis, 2008. P 189 at paragraphs 2.5 and 2.5.1.  </w:t>
      </w:r>
    </w:p>
  </w:footnote>
  <w:footnote w:id="21">
    <w:p w14:paraId="60AF1F8C" w14:textId="4340B423" w:rsidR="000709E4" w:rsidRPr="00473E72" w:rsidRDefault="000709E4" w:rsidP="00473E72">
      <w:pPr>
        <w:pStyle w:val="FootnoteText"/>
        <w:spacing w:line="360" w:lineRule="auto"/>
        <w:rPr>
          <w:rFonts w:ascii="Arial" w:hAnsi="Arial" w:cs="Arial"/>
          <w:sz w:val="22"/>
          <w:szCs w:val="22"/>
        </w:rPr>
      </w:pPr>
      <w:r w:rsidRPr="00473E72">
        <w:rPr>
          <w:rStyle w:val="FootnoteReference"/>
          <w:rFonts w:ascii="Arial" w:hAnsi="Arial" w:cs="Arial"/>
          <w:sz w:val="22"/>
          <w:szCs w:val="22"/>
        </w:rPr>
        <w:footnoteRef/>
      </w:r>
      <w:r w:rsidRPr="00473E72">
        <w:rPr>
          <w:rFonts w:ascii="Arial" w:hAnsi="Arial" w:cs="Arial"/>
          <w:sz w:val="22"/>
          <w:szCs w:val="22"/>
        </w:rPr>
        <w:t xml:space="preserve"> </w:t>
      </w:r>
      <w:r w:rsidRPr="00473E72">
        <w:rPr>
          <w:rFonts w:ascii="Arial" w:hAnsi="Arial" w:cs="Arial"/>
          <w:i/>
          <w:iCs/>
          <w:sz w:val="22"/>
          <w:szCs w:val="22"/>
        </w:rPr>
        <w:t>Pioneer Foods (Pty) Ltd v Bothaville Milling (Pty) Ltd</w:t>
      </w:r>
      <w:r w:rsidRPr="00473E72">
        <w:rPr>
          <w:rFonts w:ascii="Arial" w:hAnsi="Arial" w:cs="Arial"/>
          <w:sz w:val="22"/>
          <w:szCs w:val="22"/>
        </w:rPr>
        <w:t xml:space="preserve"> [2014] 2 All SA 282 (SCA).</w:t>
      </w:r>
    </w:p>
  </w:footnote>
  <w:footnote w:id="22">
    <w:p w14:paraId="1F2BE5C8" w14:textId="02DE5B6E" w:rsidR="00473E72" w:rsidRPr="00473E72" w:rsidRDefault="00473E72" w:rsidP="00473E72">
      <w:pPr>
        <w:pStyle w:val="FootnoteText"/>
        <w:spacing w:line="360" w:lineRule="auto"/>
        <w:rPr>
          <w:rFonts w:ascii="Arial" w:hAnsi="Arial" w:cs="Arial"/>
          <w:sz w:val="22"/>
          <w:szCs w:val="22"/>
        </w:rPr>
      </w:pPr>
      <w:r w:rsidRPr="00473E72">
        <w:rPr>
          <w:rStyle w:val="FootnoteReference"/>
          <w:rFonts w:ascii="Arial" w:hAnsi="Arial" w:cs="Arial"/>
          <w:sz w:val="22"/>
          <w:szCs w:val="22"/>
        </w:rPr>
        <w:footnoteRef/>
      </w:r>
      <w:r w:rsidRPr="00473E72">
        <w:rPr>
          <w:rFonts w:ascii="Arial" w:hAnsi="Arial" w:cs="Arial"/>
          <w:sz w:val="22"/>
          <w:szCs w:val="22"/>
        </w:rPr>
        <w:t xml:space="preserve"> </w:t>
      </w:r>
      <w:r>
        <w:rPr>
          <w:rFonts w:ascii="Arial" w:hAnsi="Arial" w:cs="Arial"/>
          <w:sz w:val="22"/>
          <w:szCs w:val="22"/>
        </w:rPr>
        <w:t xml:space="preserve">See: </w:t>
      </w:r>
      <w:r w:rsidRPr="00473E72">
        <w:rPr>
          <w:rFonts w:ascii="Arial" w:hAnsi="Arial" w:cs="Arial"/>
          <w:i/>
          <w:iCs/>
          <w:sz w:val="22"/>
          <w:szCs w:val="22"/>
        </w:rPr>
        <w:t>Setlogelo v Setlogelo</w:t>
      </w:r>
      <w:r w:rsidRPr="00473E72">
        <w:rPr>
          <w:rFonts w:ascii="Arial" w:hAnsi="Arial" w:cs="Arial"/>
          <w:sz w:val="22"/>
          <w:szCs w:val="22"/>
        </w:rPr>
        <w:t xml:space="preserve"> 1914 AD 221</w:t>
      </w:r>
      <w:r>
        <w:rPr>
          <w:rFonts w:ascii="Arial" w:hAnsi="Arial" w:cs="Arial"/>
          <w:sz w:val="22"/>
          <w:szCs w:val="22"/>
        </w:rPr>
        <w:t xml:space="preserve"> for the requirements of a final interdict</w:t>
      </w:r>
      <w:r w:rsidRPr="00473E72">
        <w:rPr>
          <w:rFonts w:ascii="Arial" w:hAnsi="Arial" w:cs="Arial"/>
          <w:sz w:val="22"/>
          <w:szCs w:val="22"/>
        </w:rPr>
        <w:t>.</w:t>
      </w:r>
    </w:p>
  </w:footnote>
  <w:footnote w:id="23">
    <w:p w14:paraId="7667DAC8" w14:textId="0C815530" w:rsidR="00335AE2" w:rsidRPr="00335AE2" w:rsidRDefault="00335AE2">
      <w:pPr>
        <w:pStyle w:val="FootnoteText"/>
        <w:rPr>
          <w:rFonts w:ascii="Arial" w:hAnsi="Arial" w:cs="Arial"/>
          <w:sz w:val="22"/>
          <w:szCs w:val="22"/>
        </w:rPr>
      </w:pPr>
      <w:r w:rsidRPr="00335AE2">
        <w:rPr>
          <w:rStyle w:val="FootnoteReference"/>
          <w:rFonts w:ascii="Arial" w:hAnsi="Arial" w:cs="Arial"/>
          <w:sz w:val="22"/>
          <w:szCs w:val="22"/>
        </w:rPr>
        <w:footnoteRef/>
      </w:r>
      <w:r w:rsidRPr="00335AE2">
        <w:rPr>
          <w:rFonts w:ascii="Arial" w:hAnsi="Arial" w:cs="Arial"/>
          <w:sz w:val="22"/>
          <w:szCs w:val="22"/>
        </w:rPr>
        <w:t xml:space="preserve"> </w:t>
      </w:r>
      <w:r w:rsidRPr="00335AE2">
        <w:rPr>
          <w:rFonts w:ascii="Arial" w:hAnsi="Arial" w:cs="Arial"/>
          <w:i/>
          <w:iCs/>
          <w:sz w:val="22"/>
          <w:szCs w:val="22"/>
        </w:rPr>
        <w:t xml:space="preserve">Peter Jackson (Overseas) Ltd v Rand Tobacco Co. (1936) Ltd </w:t>
      </w:r>
      <w:r w:rsidRPr="00335AE2">
        <w:rPr>
          <w:rFonts w:ascii="Arial" w:hAnsi="Arial" w:cs="Arial"/>
          <w:sz w:val="22"/>
          <w:szCs w:val="22"/>
        </w:rPr>
        <w:t xml:space="preserve">1938 TPD 450. </w:t>
      </w:r>
    </w:p>
  </w:footnote>
  <w:footnote w:id="24">
    <w:p w14:paraId="40161779" w14:textId="1F9B6E2A" w:rsidR="00EA025A" w:rsidRPr="00C41875" w:rsidRDefault="00EA025A">
      <w:pPr>
        <w:pStyle w:val="FootnoteText"/>
        <w:rPr>
          <w:rFonts w:ascii="Arial" w:hAnsi="Arial" w:cs="Arial"/>
          <w:sz w:val="22"/>
          <w:szCs w:val="22"/>
        </w:rPr>
      </w:pPr>
      <w:r w:rsidRPr="00C41875">
        <w:rPr>
          <w:rStyle w:val="FootnoteReference"/>
          <w:rFonts w:ascii="Arial" w:hAnsi="Arial" w:cs="Arial"/>
          <w:sz w:val="22"/>
          <w:szCs w:val="22"/>
        </w:rPr>
        <w:footnoteRef/>
      </w:r>
      <w:r w:rsidRPr="00C41875">
        <w:rPr>
          <w:rFonts w:ascii="Arial" w:hAnsi="Arial" w:cs="Arial"/>
          <w:sz w:val="22"/>
          <w:szCs w:val="22"/>
        </w:rPr>
        <w:t xml:space="preserve"> Once registered with SARS.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5CD12D95" w14:textId="7FD82940" w:rsidR="00840E2F" w:rsidRDefault="00C43F66">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20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06A">
          <w:rPr>
            <w:b/>
            <w:bCs/>
            <w:noProof/>
          </w:rPr>
          <w:t>23</w:t>
        </w:r>
        <w:r>
          <w:rPr>
            <w:b/>
            <w:bCs/>
            <w:sz w:val="24"/>
            <w:szCs w:val="24"/>
          </w:rPr>
          <w:fldChar w:fldCharType="end"/>
        </w:r>
      </w:p>
    </w:sdtContent>
  </w:sdt>
  <w:p w14:paraId="5FCEA4B6" w14:textId="77777777" w:rsidR="00840E2F" w:rsidRDefault="00CF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F54732"/>
    <w:multiLevelType w:val="hybridMultilevel"/>
    <w:tmpl w:val="264A673E"/>
    <w:lvl w:ilvl="0" w:tplc="B9DCB93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3FD62897"/>
    <w:multiLevelType w:val="hybridMultilevel"/>
    <w:tmpl w:val="2988AB5E"/>
    <w:lvl w:ilvl="0" w:tplc="B690635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40AB2146"/>
    <w:multiLevelType w:val="hybridMultilevel"/>
    <w:tmpl w:val="9266D756"/>
    <w:lvl w:ilvl="0" w:tplc="B0203820">
      <w:start w:val="9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8946799"/>
    <w:multiLevelType w:val="hybridMultilevel"/>
    <w:tmpl w:val="A72CB108"/>
    <w:lvl w:ilvl="0" w:tplc="14568B9E">
      <w:start w:val="1"/>
      <w:numFmt w:val="lowerRoman"/>
      <w:lvlText w:val="(%1)"/>
      <w:lvlJc w:val="left"/>
      <w:pPr>
        <w:ind w:left="1931" w:hanging="1080"/>
      </w:pPr>
      <w:rPr>
        <w:rFonts w:ascii="Arial" w:hAnsi="Arial" w:cs="Arial" w:hint="default"/>
        <w:i/>
        <w:iCs/>
        <w:sz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BA"/>
    <w:rsid w:val="00004AB6"/>
    <w:rsid w:val="00005346"/>
    <w:rsid w:val="00011351"/>
    <w:rsid w:val="00026DB3"/>
    <w:rsid w:val="00046D1C"/>
    <w:rsid w:val="00047B55"/>
    <w:rsid w:val="000501FC"/>
    <w:rsid w:val="00053B90"/>
    <w:rsid w:val="00065113"/>
    <w:rsid w:val="00066E22"/>
    <w:rsid w:val="00067751"/>
    <w:rsid w:val="000709E4"/>
    <w:rsid w:val="00076E15"/>
    <w:rsid w:val="000848C5"/>
    <w:rsid w:val="00084D45"/>
    <w:rsid w:val="000A1AEE"/>
    <w:rsid w:val="000A48E0"/>
    <w:rsid w:val="000B21D6"/>
    <w:rsid w:val="000B31DA"/>
    <w:rsid w:val="000B5547"/>
    <w:rsid w:val="000D2F60"/>
    <w:rsid w:val="000D7DC1"/>
    <w:rsid w:val="000E653F"/>
    <w:rsid w:val="000E7D3B"/>
    <w:rsid w:val="000F1CDE"/>
    <w:rsid w:val="000F2390"/>
    <w:rsid w:val="000F73A2"/>
    <w:rsid w:val="00102107"/>
    <w:rsid w:val="0010214A"/>
    <w:rsid w:val="00107133"/>
    <w:rsid w:val="00114E4C"/>
    <w:rsid w:val="00117D8D"/>
    <w:rsid w:val="0013301A"/>
    <w:rsid w:val="00137F4B"/>
    <w:rsid w:val="001471C8"/>
    <w:rsid w:val="0015703F"/>
    <w:rsid w:val="001733EA"/>
    <w:rsid w:val="00174D6D"/>
    <w:rsid w:val="00180E2F"/>
    <w:rsid w:val="00193D92"/>
    <w:rsid w:val="001A386A"/>
    <w:rsid w:val="001A5492"/>
    <w:rsid w:val="001B00D2"/>
    <w:rsid w:val="001B4D56"/>
    <w:rsid w:val="001B6C47"/>
    <w:rsid w:val="001C4981"/>
    <w:rsid w:val="001D052B"/>
    <w:rsid w:val="001E7289"/>
    <w:rsid w:val="001F45E3"/>
    <w:rsid w:val="001F4EC6"/>
    <w:rsid w:val="001F70B4"/>
    <w:rsid w:val="00204B21"/>
    <w:rsid w:val="002105F9"/>
    <w:rsid w:val="00217129"/>
    <w:rsid w:val="00221B8E"/>
    <w:rsid w:val="00222C0F"/>
    <w:rsid w:val="00223DC0"/>
    <w:rsid w:val="00235975"/>
    <w:rsid w:val="00236DBF"/>
    <w:rsid w:val="00244D8E"/>
    <w:rsid w:val="0024512B"/>
    <w:rsid w:val="00262517"/>
    <w:rsid w:val="00271780"/>
    <w:rsid w:val="00277339"/>
    <w:rsid w:val="0029075B"/>
    <w:rsid w:val="00290D6D"/>
    <w:rsid w:val="002A1FB8"/>
    <w:rsid w:val="002A75EC"/>
    <w:rsid w:val="002A7D8D"/>
    <w:rsid w:val="002B4F82"/>
    <w:rsid w:val="002C13A0"/>
    <w:rsid w:val="002D6B11"/>
    <w:rsid w:val="002D759D"/>
    <w:rsid w:val="002E10EC"/>
    <w:rsid w:val="002E1978"/>
    <w:rsid w:val="002E58FC"/>
    <w:rsid w:val="002E74FA"/>
    <w:rsid w:val="002F08BD"/>
    <w:rsid w:val="002F4CD8"/>
    <w:rsid w:val="00301D31"/>
    <w:rsid w:val="003064E2"/>
    <w:rsid w:val="00307A39"/>
    <w:rsid w:val="003108B5"/>
    <w:rsid w:val="00317F2A"/>
    <w:rsid w:val="00332AFB"/>
    <w:rsid w:val="0033591C"/>
    <w:rsid w:val="00335AE2"/>
    <w:rsid w:val="003477A3"/>
    <w:rsid w:val="00355AE0"/>
    <w:rsid w:val="0035690E"/>
    <w:rsid w:val="003778B7"/>
    <w:rsid w:val="00386811"/>
    <w:rsid w:val="00387AA6"/>
    <w:rsid w:val="00390C7E"/>
    <w:rsid w:val="00392626"/>
    <w:rsid w:val="003977D6"/>
    <w:rsid w:val="003A0B5A"/>
    <w:rsid w:val="003A1446"/>
    <w:rsid w:val="003A4138"/>
    <w:rsid w:val="003B2DA6"/>
    <w:rsid w:val="003B58F9"/>
    <w:rsid w:val="003C476A"/>
    <w:rsid w:val="003C7639"/>
    <w:rsid w:val="003D2163"/>
    <w:rsid w:val="003D4B9D"/>
    <w:rsid w:val="003D6572"/>
    <w:rsid w:val="003E123A"/>
    <w:rsid w:val="003E3593"/>
    <w:rsid w:val="003F417A"/>
    <w:rsid w:val="00405183"/>
    <w:rsid w:val="004051E3"/>
    <w:rsid w:val="00407811"/>
    <w:rsid w:val="00413382"/>
    <w:rsid w:val="00424F1C"/>
    <w:rsid w:val="00437947"/>
    <w:rsid w:val="00440946"/>
    <w:rsid w:val="0044139E"/>
    <w:rsid w:val="004421BC"/>
    <w:rsid w:val="00443E4D"/>
    <w:rsid w:val="0044491F"/>
    <w:rsid w:val="004550E9"/>
    <w:rsid w:val="004575D6"/>
    <w:rsid w:val="0046479B"/>
    <w:rsid w:val="00464ECE"/>
    <w:rsid w:val="00467F77"/>
    <w:rsid w:val="0047137C"/>
    <w:rsid w:val="004737CE"/>
    <w:rsid w:val="00473E72"/>
    <w:rsid w:val="0048670B"/>
    <w:rsid w:val="004948BA"/>
    <w:rsid w:val="004A0035"/>
    <w:rsid w:val="004A4D7D"/>
    <w:rsid w:val="004B0CEE"/>
    <w:rsid w:val="004B132C"/>
    <w:rsid w:val="004B3688"/>
    <w:rsid w:val="004B685B"/>
    <w:rsid w:val="004C1E06"/>
    <w:rsid w:val="004D1F4C"/>
    <w:rsid w:val="004D3405"/>
    <w:rsid w:val="004E3720"/>
    <w:rsid w:val="00501E21"/>
    <w:rsid w:val="0050262B"/>
    <w:rsid w:val="00504B9F"/>
    <w:rsid w:val="0050689A"/>
    <w:rsid w:val="00511032"/>
    <w:rsid w:val="00515031"/>
    <w:rsid w:val="00530B79"/>
    <w:rsid w:val="00535104"/>
    <w:rsid w:val="00535F14"/>
    <w:rsid w:val="005362AD"/>
    <w:rsid w:val="00540074"/>
    <w:rsid w:val="005434EB"/>
    <w:rsid w:val="005573AA"/>
    <w:rsid w:val="00565B02"/>
    <w:rsid w:val="00567D95"/>
    <w:rsid w:val="005703A3"/>
    <w:rsid w:val="00572FF5"/>
    <w:rsid w:val="00574853"/>
    <w:rsid w:val="00586AFC"/>
    <w:rsid w:val="005933BB"/>
    <w:rsid w:val="005A2C32"/>
    <w:rsid w:val="005B42D0"/>
    <w:rsid w:val="005B6DBB"/>
    <w:rsid w:val="005B7B18"/>
    <w:rsid w:val="005C2911"/>
    <w:rsid w:val="005C5391"/>
    <w:rsid w:val="005C56F8"/>
    <w:rsid w:val="005D0DD6"/>
    <w:rsid w:val="005D198A"/>
    <w:rsid w:val="005D7C66"/>
    <w:rsid w:val="005E73C8"/>
    <w:rsid w:val="0060617C"/>
    <w:rsid w:val="00612829"/>
    <w:rsid w:val="00614A7E"/>
    <w:rsid w:val="00626EF3"/>
    <w:rsid w:val="006304AD"/>
    <w:rsid w:val="0063172B"/>
    <w:rsid w:val="0063574C"/>
    <w:rsid w:val="00640D6E"/>
    <w:rsid w:val="00654AAC"/>
    <w:rsid w:val="00662D2D"/>
    <w:rsid w:val="00665577"/>
    <w:rsid w:val="00671F3E"/>
    <w:rsid w:val="00692383"/>
    <w:rsid w:val="00692BA0"/>
    <w:rsid w:val="00692BA6"/>
    <w:rsid w:val="006A28D3"/>
    <w:rsid w:val="006A60FD"/>
    <w:rsid w:val="006A760B"/>
    <w:rsid w:val="006B330D"/>
    <w:rsid w:val="006B6149"/>
    <w:rsid w:val="006D277C"/>
    <w:rsid w:val="006D312B"/>
    <w:rsid w:val="006D42D6"/>
    <w:rsid w:val="006D458B"/>
    <w:rsid w:val="006D720A"/>
    <w:rsid w:val="006E617C"/>
    <w:rsid w:val="00712E13"/>
    <w:rsid w:val="00715FC0"/>
    <w:rsid w:val="0072471F"/>
    <w:rsid w:val="00725496"/>
    <w:rsid w:val="00730D38"/>
    <w:rsid w:val="007315D0"/>
    <w:rsid w:val="007373A0"/>
    <w:rsid w:val="00746107"/>
    <w:rsid w:val="00756E28"/>
    <w:rsid w:val="007610E4"/>
    <w:rsid w:val="00776689"/>
    <w:rsid w:val="007842C6"/>
    <w:rsid w:val="007A0299"/>
    <w:rsid w:val="007D43D0"/>
    <w:rsid w:val="007D53DC"/>
    <w:rsid w:val="007D7CE2"/>
    <w:rsid w:val="007E02EC"/>
    <w:rsid w:val="007E5B2A"/>
    <w:rsid w:val="007F1515"/>
    <w:rsid w:val="007F4E6E"/>
    <w:rsid w:val="007F6183"/>
    <w:rsid w:val="007F7631"/>
    <w:rsid w:val="00804B56"/>
    <w:rsid w:val="00806439"/>
    <w:rsid w:val="00811CEA"/>
    <w:rsid w:val="008154CB"/>
    <w:rsid w:val="008239EC"/>
    <w:rsid w:val="0083030D"/>
    <w:rsid w:val="008339B8"/>
    <w:rsid w:val="0084666F"/>
    <w:rsid w:val="008510B8"/>
    <w:rsid w:val="00855C05"/>
    <w:rsid w:val="008638BF"/>
    <w:rsid w:val="00863F71"/>
    <w:rsid w:val="0087723D"/>
    <w:rsid w:val="00894816"/>
    <w:rsid w:val="008A570D"/>
    <w:rsid w:val="008C49C1"/>
    <w:rsid w:val="008C5466"/>
    <w:rsid w:val="008C75DC"/>
    <w:rsid w:val="008D542A"/>
    <w:rsid w:val="008E349C"/>
    <w:rsid w:val="008E351E"/>
    <w:rsid w:val="008F44D9"/>
    <w:rsid w:val="008F68C1"/>
    <w:rsid w:val="00917102"/>
    <w:rsid w:val="00921E78"/>
    <w:rsid w:val="00924814"/>
    <w:rsid w:val="00925CF5"/>
    <w:rsid w:val="009309CE"/>
    <w:rsid w:val="00931E64"/>
    <w:rsid w:val="00940537"/>
    <w:rsid w:val="00940F2F"/>
    <w:rsid w:val="0094206E"/>
    <w:rsid w:val="00951BA3"/>
    <w:rsid w:val="00957842"/>
    <w:rsid w:val="0097065E"/>
    <w:rsid w:val="00971FAA"/>
    <w:rsid w:val="009802E6"/>
    <w:rsid w:val="009C43DE"/>
    <w:rsid w:val="009D2318"/>
    <w:rsid w:val="009D53B4"/>
    <w:rsid w:val="009E0E9A"/>
    <w:rsid w:val="009F0719"/>
    <w:rsid w:val="009F4EC4"/>
    <w:rsid w:val="00A00710"/>
    <w:rsid w:val="00A019D5"/>
    <w:rsid w:val="00A05E75"/>
    <w:rsid w:val="00A06B5E"/>
    <w:rsid w:val="00A10F4F"/>
    <w:rsid w:val="00A15A47"/>
    <w:rsid w:val="00A30B6B"/>
    <w:rsid w:val="00A57FFB"/>
    <w:rsid w:val="00A623A9"/>
    <w:rsid w:val="00A8542F"/>
    <w:rsid w:val="00A95AB1"/>
    <w:rsid w:val="00AA18A8"/>
    <w:rsid w:val="00AA3234"/>
    <w:rsid w:val="00AA67E1"/>
    <w:rsid w:val="00AB5982"/>
    <w:rsid w:val="00AB7567"/>
    <w:rsid w:val="00AC231C"/>
    <w:rsid w:val="00AD55E5"/>
    <w:rsid w:val="00AD5689"/>
    <w:rsid w:val="00AD5FCB"/>
    <w:rsid w:val="00AE03C9"/>
    <w:rsid w:val="00AE7481"/>
    <w:rsid w:val="00AF1E92"/>
    <w:rsid w:val="00AF2C64"/>
    <w:rsid w:val="00AF73A4"/>
    <w:rsid w:val="00B049B2"/>
    <w:rsid w:val="00B06ABC"/>
    <w:rsid w:val="00B220EB"/>
    <w:rsid w:val="00B27865"/>
    <w:rsid w:val="00B50D46"/>
    <w:rsid w:val="00B550F3"/>
    <w:rsid w:val="00B67508"/>
    <w:rsid w:val="00B76F04"/>
    <w:rsid w:val="00B817BD"/>
    <w:rsid w:val="00B90BAA"/>
    <w:rsid w:val="00B9286D"/>
    <w:rsid w:val="00BA13E0"/>
    <w:rsid w:val="00BB7B65"/>
    <w:rsid w:val="00BD63DA"/>
    <w:rsid w:val="00BD7E58"/>
    <w:rsid w:val="00BF1FC1"/>
    <w:rsid w:val="00BF69A1"/>
    <w:rsid w:val="00C03A15"/>
    <w:rsid w:val="00C066A7"/>
    <w:rsid w:val="00C077EE"/>
    <w:rsid w:val="00C118F0"/>
    <w:rsid w:val="00C14533"/>
    <w:rsid w:val="00C14C51"/>
    <w:rsid w:val="00C21F2A"/>
    <w:rsid w:val="00C23BFE"/>
    <w:rsid w:val="00C26BEF"/>
    <w:rsid w:val="00C30B6B"/>
    <w:rsid w:val="00C32AA2"/>
    <w:rsid w:val="00C34948"/>
    <w:rsid w:val="00C357D8"/>
    <w:rsid w:val="00C41875"/>
    <w:rsid w:val="00C426D1"/>
    <w:rsid w:val="00C42BF0"/>
    <w:rsid w:val="00C43F66"/>
    <w:rsid w:val="00C446BB"/>
    <w:rsid w:val="00C451CA"/>
    <w:rsid w:val="00C46196"/>
    <w:rsid w:val="00C50EAE"/>
    <w:rsid w:val="00C537B4"/>
    <w:rsid w:val="00C772BD"/>
    <w:rsid w:val="00C85483"/>
    <w:rsid w:val="00CA1F2B"/>
    <w:rsid w:val="00CA434D"/>
    <w:rsid w:val="00CB2BFA"/>
    <w:rsid w:val="00CB3DC2"/>
    <w:rsid w:val="00CB5474"/>
    <w:rsid w:val="00CC15E4"/>
    <w:rsid w:val="00CC2D56"/>
    <w:rsid w:val="00CD58AD"/>
    <w:rsid w:val="00CF0F6D"/>
    <w:rsid w:val="00CF4D9D"/>
    <w:rsid w:val="00CF504C"/>
    <w:rsid w:val="00D00F00"/>
    <w:rsid w:val="00D10390"/>
    <w:rsid w:val="00D123BF"/>
    <w:rsid w:val="00D14904"/>
    <w:rsid w:val="00D23757"/>
    <w:rsid w:val="00D237B7"/>
    <w:rsid w:val="00D36EAD"/>
    <w:rsid w:val="00D40065"/>
    <w:rsid w:val="00D42A91"/>
    <w:rsid w:val="00D56267"/>
    <w:rsid w:val="00D57A4C"/>
    <w:rsid w:val="00D61721"/>
    <w:rsid w:val="00D62322"/>
    <w:rsid w:val="00D63A40"/>
    <w:rsid w:val="00D8640E"/>
    <w:rsid w:val="00D87B56"/>
    <w:rsid w:val="00DB48C0"/>
    <w:rsid w:val="00DB52AF"/>
    <w:rsid w:val="00DB57A9"/>
    <w:rsid w:val="00DC0542"/>
    <w:rsid w:val="00DC548A"/>
    <w:rsid w:val="00DD361E"/>
    <w:rsid w:val="00DE0319"/>
    <w:rsid w:val="00DE1D48"/>
    <w:rsid w:val="00E002D8"/>
    <w:rsid w:val="00E22D9E"/>
    <w:rsid w:val="00E24C01"/>
    <w:rsid w:val="00E304F1"/>
    <w:rsid w:val="00E32438"/>
    <w:rsid w:val="00E50230"/>
    <w:rsid w:val="00E55B19"/>
    <w:rsid w:val="00E602CF"/>
    <w:rsid w:val="00E62BD9"/>
    <w:rsid w:val="00E7159E"/>
    <w:rsid w:val="00E75D6F"/>
    <w:rsid w:val="00E76192"/>
    <w:rsid w:val="00E91C60"/>
    <w:rsid w:val="00EA025A"/>
    <w:rsid w:val="00EA206A"/>
    <w:rsid w:val="00EA24B5"/>
    <w:rsid w:val="00EA4702"/>
    <w:rsid w:val="00EA4EDB"/>
    <w:rsid w:val="00EB2D00"/>
    <w:rsid w:val="00ED4484"/>
    <w:rsid w:val="00ED56A8"/>
    <w:rsid w:val="00ED7354"/>
    <w:rsid w:val="00ED79BD"/>
    <w:rsid w:val="00EE1BE6"/>
    <w:rsid w:val="00EE4447"/>
    <w:rsid w:val="00EE6CA8"/>
    <w:rsid w:val="00EE6F9D"/>
    <w:rsid w:val="00F13AFA"/>
    <w:rsid w:val="00F1565D"/>
    <w:rsid w:val="00F22320"/>
    <w:rsid w:val="00F240E3"/>
    <w:rsid w:val="00F3312F"/>
    <w:rsid w:val="00F33F13"/>
    <w:rsid w:val="00F447A4"/>
    <w:rsid w:val="00F44A8D"/>
    <w:rsid w:val="00F46C2A"/>
    <w:rsid w:val="00F4770D"/>
    <w:rsid w:val="00F55A6A"/>
    <w:rsid w:val="00F6539B"/>
    <w:rsid w:val="00F718F1"/>
    <w:rsid w:val="00F73DCD"/>
    <w:rsid w:val="00F770E0"/>
    <w:rsid w:val="00F914C5"/>
    <w:rsid w:val="00F9741A"/>
    <w:rsid w:val="00FB256A"/>
    <w:rsid w:val="00FB6077"/>
    <w:rsid w:val="00FD5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6E75"/>
  <w15:chartTrackingRefBased/>
  <w15:docId w15:val="{266685CA-5F2F-413E-9D08-5FA4D69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BA"/>
    <w:pPr>
      <w:spacing w:after="200" w:line="276" w:lineRule="auto"/>
    </w:pPr>
  </w:style>
  <w:style w:type="paragraph" w:styleId="Heading2">
    <w:name w:val="heading 2"/>
    <w:basedOn w:val="Normal"/>
    <w:link w:val="Heading2Char"/>
    <w:uiPriority w:val="9"/>
    <w:qFormat/>
    <w:rsid w:val="00117D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48BA"/>
    <w:pPr>
      <w:spacing w:after="0" w:line="240" w:lineRule="auto"/>
    </w:pPr>
    <w:rPr>
      <w:sz w:val="20"/>
      <w:szCs w:val="20"/>
    </w:rPr>
  </w:style>
  <w:style w:type="character" w:customStyle="1" w:styleId="FootnoteTextChar">
    <w:name w:val="Footnote Text Char"/>
    <w:basedOn w:val="DefaultParagraphFont"/>
    <w:link w:val="FootnoteText"/>
    <w:uiPriority w:val="99"/>
    <w:rsid w:val="004948BA"/>
    <w:rPr>
      <w:sz w:val="20"/>
      <w:szCs w:val="20"/>
    </w:rPr>
  </w:style>
  <w:style w:type="character" w:styleId="FootnoteReference">
    <w:name w:val="footnote reference"/>
    <w:basedOn w:val="DefaultParagraphFont"/>
    <w:uiPriority w:val="99"/>
    <w:semiHidden/>
    <w:unhideWhenUsed/>
    <w:rsid w:val="004948BA"/>
    <w:rPr>
      <w:vertAlign w:val="superscript"/>
    </w:rPr>
  </w:style>
  <w:style w:type="paragraph" w:styleId="ListParagraph">
    <w:name w:val="List Paragraph"/>
    <w:basedOn w:val="Normal"/>
    <w:link w:val="ListParagraphChar"/>
    <w:uiPriority w:val="34"/>
    <w:qFormat/>
    <w:rsid w:val="004948BA"/>
    <w:pPr>
      <w:ind w:left="720"/>
      <w:contextualSpacing/>
    </w:pPr>
  </w:style>
  <w:style w:type="paragraph" w:styleId="Header">
    <w:name w:val="header"/>
    <w:basedOn w:val="Normal"/>
    <w:link w:val="HeaderChar"/>
    <w:uiPriority w:val="99"/>
    <w:unhideWhenUsed/>
    <w:rsid w:val="0049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BA"/>
  </w:style>
  <w:style w:type="paragraph" w:styleId="Footer">
    <w:name w:val="footer"/>
    <w:basedOn w:val="Normal"/>
    <w:link w:val="FooterChar"/>
    <w:uiPriority w:val="99"/>
    <w:unhideWhenUsed/>
    <w:rsid w:val="0049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BA"/>
  </w:style>
  <w:style w:type="paragraph" w:customStyle="1" w:styleId="GW11">
    <w:name w:val="GW1.1"/>
    <w:basedOn w:val="Normal"/>
    <w:rsid w:val="004948BA"/>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4948BA"/>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4948BA"/>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4948BA"/>
  </w:style>
  <w:style w:type="character" w:styleId="Hyperlink">
    <w:name w:val="Hyperlink"/>
    <w:basedOn w:val="DefaultParagraphFont"/>
    <w:uiPriority w:val="99"/>
    <w:unhideWhenUsed/>
    <w:rsid w:val="004948BA"/>
    <w:rPr>
      <w:color w:val="0000FF"/>
      <w:u w:val="single"/>
    </w:rPr>
  </w:style>
  <w:style w:type="character" w:customStyle="1" w:styleId="Heading2Char">
    <w:name w:val="Heading 2 Char"/>
    <w:basedOn w:val="DefaultParagraphFont"/>
    <w:link w:val="Heading2"/>
    <w:uiPriority w:val="9"/>
    <w:rsid w:val="00117D8D"/>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9F4EC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2A75EC"/>
    <w:rPr>
      <w:color w:val="605E5C"/>
      <w:shd w:val="clear" w:color="auto" w:fill="E1DFDD"/>
    </w:rPr>
  </w:style>
  <w:style w:type="paragraph" w:customStyle="1" w:styleId="Normal1">
    <w:name w:val="Normal1"/>
    <w:basedOn w:val="Normal"/>
    <w:rsid w:val="003108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3108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31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061">
      <w:bodyDiv w:val="1"/>
      <w:marLeft w:val="0"/>
      <w:marRight w:val="0"/>
      <w:marTop w:val="0"/>
      <w:marBottom w:val="0"/>
      <w:divBdr>
        <w:top w:val="none" w:sz="0" w:space="0" w:color="auto"/>
        <w:left w:val="none" w:sz="0" w:space="0" w:color="auto"/>
        <w:bottom w:val="none" w:sz="0" w:space="0" w:color="auto"/>
        <w:right w:val="none" w:sz="0" w:space="0" w:color="auto"/>
      </w:divBdr>
    </w:div>
    <w:div w:id="305933958">
      <w:bodyDiv w:val="1"/>
      <w:marLeft w:val="0"/>
      <w:marRight w:val="0"/>
      <w:marTop w:val="0"/>
      <w:marBottom w:val="0"/>
      <w:divBdr>
        <w:top w:val="none" w:sz="0" w:space="0" w:color="auto"/>
        <w:left w:val="none" w:sz="0" w:space="0" w:color="auto"/>
        <w:bottom w:val="none" w:sz="0" w:space="0" w:color="auto"/>
        <w:right w:val="none" w:sz="0" w:space="0" w:color="auto"/>
      </w:divBdr>
    </w:div>
    <w:div w:id="847908294">
      <w:bodyDiv w:val="1"/>
      <w:marLeft w:val="0"/>
      <w:marRight w:val="0"/>
      <w:marTop w:val="0"/>
      <w:marBottom w:val="0"/>
      <w:divBdr>
        <w:top w:val="none" w:sz="0" w:space="0" w:color="auto"/>
        <w:left w:val="none" w:sz="0" w:space="0" w:color="auto"/>
        <w:bottom w:val="none" w:sz="0" w:space="0" w:color="auto"/>
        <w:right w:val="none" w:sz="0" w:space="0" w:color="auto"/>
      </w:divBdr>
    </w:div>
    <w:div w:id="1108694286">
      <w:bodyDiv w:val="1"/>
      <w:marLeft w:val="0"/>
      <w:marRight w:val="0"/>
      <w:marTop w:val="0"/>
      <w:marBottom w:val="0"/>
      <w:divBdr>
        <w:top w:val="none" w:sz="0" w:space="0" w:color="auto"/>
        <w:left w:val="none" w:sz="0" w:space="0" w:color="auto"/>
        <w:bottom w:val="none" w:sz="0" w:space="0" w:color="auto"/>
        <w:right w:val="none" w:sz="0" w:space="0" w:color="auto"/>
      </w:divBdr>
    </w:div>
    <w:div w:id="1341279107">
      <w:bodyDiv w:val="1"/>
      <w:marLeft w:val="0"/>
      <w:marRight w:val="0"/>
      <w:marTop w:val="0"/>
      <w:marBottom w:val="0"/>
      <w:divBdr>
        <w:top w:val="none" w:sz="0" w:space="0" w:color="auto"/>
        <w:left w:val="none" w:sz="0" w:space="0" w:color="auto"/>
        <w:bottom w:val="none" w:sz="0" w:space="0" w:color="auto"/>
        <w:right w:val="none" w:sz="0" w:space="0" w:color="auto"/>
      </w:divBdr>
    </w:div>
    <w:div w:id="1342510649">
      <w:bodyDiv w:val="1"/>
      <w:marLeft w:val="0"/>
      <w:marRight w:val="0"/>
      <w:marTop w:val="0"/>
      <w:marBottom w:val="0"/>
      <w:divBdr>
        <w:top w:val="none" w:sz="0" w:space="0" w:color="auto"/>
        <w:left w:val="none" w:sz="0" w:space="0" w:color="auto"/>
        <w:bottom w:val="none" w:sz="0" w:space="0" w:color="auto"/>
        <w:right w:val="none" w:sz="0" w:space="0" w:color="auto"/>
      </w:divBdr>
    </w:div>
    <w:div w:id="1417286760">
      <w:bodyDiv w:val="1"/>
      <w:marLeft w:val="0"/>
      <w:marRight w:val="0"/>
      <w:marTop w:val="0"/>
      <w:marBottom w:val="0"/>
      <w:divBdr>
        <w:top w:val="none" w:sz="0" w:space="0" w:color="auto"/>
        <w:left w:val="none" w:sz="0" w:space="0" w:color="auto"/>
        <w:bottom w:val="none" w:sz="0" w:space="0" w:color="auto"/>
        <w:right w:val="none" w:sz="0" w:space="0" w:color="auto"/>
      </w:divBdr>
    </w:div>
    <w:div w:id="1799840695">
      <w:bodyDiv w:val="1"/>
      <w:marLeft w:val="0"/>
      <w:marRight w:val="0"/>
      <w:marTop w:val="0"/>
      <w:marBottom w:val="0"/>
      <w:divBdr>
        <w:top w:val="none" w:sz="0" w:space="0" w:color="auto"/>
        <w:left w:val="none" w:sz="0" w:space="0" w:color="auto"/>
        <w:bottom w:val="none" w:sz="0" w:space="0" w:color="auto"/>
        <w:right w:val="none" w:sz="0" w:space="0" w:color="auto"/>
      </w:divBdr>
    </w:div>
    <w:div w:id="1806387501">
      <w:bodyDiv w:val="1"/>
      <w:marLeft w:val="0"/>
      <w:marRight w:val="0"/>
      <w:marTop w:val="0"/>
      <w:marBottom w:val="0"/>
      <w:divBdr>
        <w:top w:val="none" w:sz="0" w:space="0" w:color="auto"/>
        <w:left w:val="none" w:sz="0" w:space="0" w:color="auto"/>
        <w:bottom w:val="none" w:sz="0" w:space="0" w:color="auto"/>
        <w:right w:val="none" w:sz="0" w:space="0" w:color="auto"/>
      </w:divBdr>
    </w:div>
    <w:div w:id="1938053340">
      <w:bodyDiv w:val="1"/>
      <w:marLeft w:val="0"/>
      <w:marRight w:val="0"/>
      <w:marTop w:val="0"/>
      <w:marBottom w:val="0"/>
      <w:divBdr>
        <w:top w:val="none" w:sz="0" w:space="0" w:color="auto"/>
        <w:left w:val="none" w:sz="0" w:space="0" w:color="auto"/>
        <w:bottom w:val="none" w:sz="0" w:space="0" w:color="auto"/>
        <w:right w:val="none" w:sz="0" w:space="0" w:color="auto"/>
      </w:divBdr>
    </w:div>
    <w:div w:id="19759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saflii.org/cgi-bin/LawCite?cit=1945%20AD%204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aflii.org/cgi-bin/LawCite?cit=1972%20%283%29%20SA%20858" TargetMode="External"/><Relationship Id="rId2" Type="http://schemas.openxmlformats.org/officeDocument/2006/relationships/numbering" Target="numbering.xml"/><Relationship Id="rId16" Type="http://schemas.openxmlformats.org/officeDocument/2006/relationships/hyperlink" Target="https://www.saflii.org/cgi-bin/LawCite?cit=1949%20%283%29%20SA%20115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irelogik.co.z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aflii.org/cgi-bin/LawCite?cit=1983%20%284%29%20SA%202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relogics.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21B3-04BC-4B43-8A46-ABC0E459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2023-03-17T07:16:00Z</cp:lastPrinted>
  <dcterms:created xsi:type="dcterms:W3CDTF">2023-03-17T09:30:00Z</dcterms:created>
  <dcterms:modified xsi:type="dcterms:W3CDTF">2023-03-17T09:30:00Z</dcterms:modified>
</cp:coreProperties>
</file>