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DF04" w14:textId="0C9E63C6" w:rsidR="009C2CA6" w:rsidRDefault="009C2CA6"/>
    <w:p w14:paraId="33665788" w14:textId="7838C383" w:rsidR="00942794" w:rsidRDefault="00942794"/>
    <w:p w14:paraId="5860BD3F" w14:textId="77777777" w:rsidR="00E65293" w:rsidRDefault="00E65293" w:rsidP="00E65293">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2B0F86D2" wp14:editId="0DB3FDBC">
            <wp:extent cx="1987550" cy="1652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Pr>
          <w:noProof/>
          <w:lang w:val="en-US"/>
        </w:rPr>
        <mc:AlternateContent>
          <mc:Choice Requires="wps">
            <w:drawing>
              <wp:inline distT="0" distB="0" distL="0" distR="0" wp14:anchorId="4D19C7CC" wp14:editId="7112C748">
                <wp:extent cx="301625" cy="301625"/>
                <wp:effectExtent l="0" t="0" r="0" b="0"/>
                <wp:docPr id="2" name="AutoShape 3"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60BA0654" id="AutoShape 3"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Pr="00D275D6">
        <w:rPr>
          <w:rFonts w:ascii="Arial" w:hAnsi="Arial" w:cs="Arial"/>
          <w:b/>
          <w:noProof/>
          <w:sz w:val="24"/>
          <w:szCs w:val="24"/>
          <w:lang w:val="en-US"/>
        </w:rPr>
        <mc:AlternateContent>
          <mc:Choice Requires="wps">
            <w:drawing>
              <wp:inline distT="0" distB="0" distL="0" distR="0" wp14:anchorId="7873FDC1" wp14:editId="14DAC4D6">
                <wp:extent cx="301625" cy="301625"/>
                <wp:effectExtent l="0" t="0" r="0" b="0"/>
                <wp:docPr id="1" name="Rectangl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A218FA9" id="Rectangle 1" o:spid="_x0000_s1026" alt="lo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1248F3CE" w14:textId="77777777" w:rsidR="00E65293" w:rsidRPr="002322FF" w:rsidRDefault="00E65293" w:rsidP="00E65293">
      <w:pPr>
        <w:jc w:val="center"/>
        <w:rPr>
          <w:rFonts w:ascii="Arial" w:hAnsi="Arial" w:cs="Arial"/>
          <w:b/>
          <w:sz w:val="24"/>
          <w:szCs w:val="24"/>
        </w:rPr>
      </w:pPr>
      <w:r w:rsidRPr="002322FF">
        <w:rPr>
          <w:rFonts w:ascii="Arial" w:hAnsi="Arial" w:cs="Arial"/>
          <w:b/>
          <w:sz w:val="24"/>
          <w:szCs w:val="24"/>
        </w:rPr>
        <w:t>IN THE HIGH COURT OF SOUTH AFRICA</w:t>
      </w:r>
    </w:p>
    <w:p w14:paraId="13BDD81E" w14:textId="77777777" w:rsidR="00E65293" w:rsidRPr="002322FF" w:rsidRDefault="00E65293" w:rsidP="00E65293">
      <w:pPr>
        <w:spacing w:line="600" w:lineRule="auto"/>
        <w:jc w:val="center"/>
        <w:rPr>
          <w:rFonts w:ascii="Arial" w:hAnsi="Arial" w:cs="Arial"/>
          <w:b/>
          <w:sz w:val="24"/>
          <w:szCs w:val="24"/>
        </w:rPr>
      </w:pPr>
      <w:r w:rsidRPr="002322FF">
        <w:rPr>
          <w:rFonts w:ascii="Arial" w:hAnsi="Arial" w:cs="Arial"/>
          <w:b/>
          <w:sz w:val="24"/>
          <w:szCs w:val="24"/>
        </w:rPr>
        <w:t>(EASTERN CAPE DIVISION, GQEBERHA)</w:t>
      </w:r>
    </w:p>
    <w:p w14:paraId="7518A5CD" w14:textId="77777777" w:rsidR="00E65293" w:rsidRPr="002322FF" w:rsidRDefault="00E65293" w:rsidP="00E65293">
      <w:pPr>
        <w:jc w:val="right"/>
        <w:rPr>
          <w:rFonts w:ascii="Arial" w:hAnsi="Arial" w:cs="Arial"/>
          <w:b/>
          <w:sz w:val="24"/>
          <w:szCs w:val="24"/>
        </w:rPr>
      </w:pP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r w:rsidRPr="002322FF">
        <w:rPr>
          <w:rFonts w:ascii="Arial" w:hAnsi="Arial" w:cs="Arial"/>
          <w:b/>
          <w:sz w:val="24"/>
          <w:szCs w:val="24"/>
        </w:rPr>
        <w:tab/>
      </w:r>
    </w:p>
    <w:p w14:paraId="4D9D9E6F" w14:textId="717B392B" w:rsidR="00E65293" w:rsidRPr="00B22FF5" w:rsidRDefault="00E65293" w:rsidP="00E65293">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w:t>
      </w:r>
      <w:r w:rsidRPr="00B22FF5">
        <w:rPr>
          <w:rFonts w:ascii="Arial" w:hAnsi="Arial" w:cs="Arial"/>
          <w:szCs w:val="24"/>
        </w:rPr>
        <w:t xml:space="preserve">Case No. </w:t>
      </w:r>
      <w:r w:rsidR="00D9394A">
        <w:rPr>
          <w:rFonts w:ascii="Arial" w:hAnsi="Arial" w:cs="Arial"/>
          <w:szCs w:val="24"/>
        </w:rPr>
        <w:t>CC49/2021</w:t>
      </w:r>
    </w:p>
    <w:p w14:paraId="32D3F6FF" w14:textId="77777777" w:rsidR="00E65293" w:rsidRPr="00B22FF5" w:rsidRDefault="00E65293" w:rsidP="00E65293">
      <w:pPr>
        <w:pStyle w:val="GW11"/>
        <w:tabs>
          <w:tab w:val="clear" w:pos="4464"/>
          <w:tab w:val="clear" w:pos="6048"/>
          <w:tab w:val="left" w:pos="4820"/>
          <w:tab w:val="left" w:pos="5103"/>
          <w:tab w:val="left" w:pos="9071"/>
        </w:tabs>
        <w:ind w:left="720" w:right="-45"/>
        <w:jc w:val="left"/>
        <w:rPr>
          <w:rFonts w:ascii="Arial" w:hAnsi="Arial" w:cs="Arial"/>
          <w:szCs w:val="24"/>
        </w:rPr>
      </w:pPr>
      <w:r w:rsidRPr="00B22FF5">
        <w:rPr>
          <w:rFonts w:ascii="Arial" w:hAnsi="Arial" w:cs="Arial"/>
          <w:szCs w:val="24"/>
        </w:rPr>
        <w:tab/>
      </w:r>
      <w:r w:rsidRPr="00B22FF5">
        <w:rPr>
          <w:rFonts w:ascii="Arial" w:hAnsi="Arial" w:cs="Arial"/>
          <w:szCs w:val="24"/>
        </w:rPr>
        <w:tab/>
      </w:r>
      <w:r w:rsidRPr="00B22FF5">
        <w:rPr>
          <w:rFonts w:ascii="Arial" w:hAnsi="Arial" w:cs="Arial"/>
          <w:szCs w:val="24"/>
        </w:rPr>
        <w:tab/>
      </w:r>
    </w:p>
    <w:p w14:paraId="08B752FB" w14:textId="77777777" w:rsidR="00E65293" w:rsidRPr="00B22FF5" w:rsidRDefault="00E65293" w:rsidP="00E65293">
      <w:pPr>
        <w:pStyle w:val="GW11"/>
        <w:tabs>
          <w:tab w:val="clear" w:pos="4464"/>
          <w:tab w:val="clear" w:pos="6048"/>
          <w:tab w:val="left" w:pos="4820"/>
          <w:tab w:val="left" w:pos="5103"/>
          <w:tab w:val="left" w:pos="9071"/>
        </w:tabs>
        <w:ind w:right="-45"/>
        <w:jc w:val="left"/>
        <w:rPr>
          <w:rFonts w:ascii="Arial" w:hAnsi="Arial" w:cs="Arial"/>
          <w:szCs w:val="24"/>
        </w:rPr>
      </w:pPr>
      <w:r w:rsidRPr="00B22FF5">
        <w:rPr>
          <w:rFonts w:ascii="Arial" w:hAnsi="Arial" w:cs="Arial"/>
          <w:szCs w:val="24"/>
        </w:rPr>
        <w:t>In the matter between:-</w:t>
      </w:r>
    </w:p>
    <w:p w14:paraId="7BF71F74" w14:textId="77777777" w:rsidR="00E65293" w:rsidRPr="00B22FF5" w:rsidRDefault="00E65293" w:rsidP="00E65293">
      <w:pPr>
        <w:pStyle w:val="GW11"/>
        <w:rPr>
          <w:rFonts w:ascii="Arial" w:hAnsi="Arial" w:cs="Arial"/>
          <w:szCs w:val="24"/>
        </w:rPr>
      </w:pPr>
    </w:p>
    <w:p w14:paraId="5C38B9B7" w14:textId="21506A82" w:rsidR="00E65293" w:rsidRPr="00B22FF5" w:rsidRDefault="00D9394A" w:rsidP="00E65293">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THE STATE</w:t>
      </w:r>
    </w:p>
    <w:p w14:paraId="073995A0" w14:textId="77777777" w:rsidR="00E65293" w:rsidRPr="00B22FF5" w:rsidRDefault="00E65293" w:rsidP="00E65293">
      <w:pPr>
        <w:pStyle w:val="GW12"/>
        <w:tabs>
          <w:tab w:val="clear" w:pos="6048"/>
          <w:tab w:val="clear" w:pos="8640"/>
          <w:tab w:val="left" w:pos="4820"/>
          <w:tab w:val="right" w:pos="8931"/>
        </w:tabs>
        <w:ind w:right="-46"/>
        <w:jc w:val="left"/>
        <w:rPr>
          <w:rFonts w:ascii="Arial" w:hAnsi="Arial" w:cs="Arial"/>
          <w:b/>
          <w:szCs w:val="24"/>
        </w:rPr>
      </w:pPr>
    </w:p>
    <w:p w14:paraId="472DBD11" w14:textId="77777777" w:rsidR="00E65293" w:rsidRPr="00B22FF5" w:rsidRDefault="00E65293" w:rsidP="00E65293">
      <w:pPr>
        <w:pStyle w:val="GW12"/>
        <w:tabs>
          <w:tab w:val="clear" w:pos="6048"/>
          <w:tab w:val="clear" w:pos="8640"/>
          <w:tab w:val="left" w:pos="4820"/>
          <w:tab w:val="right" w:pos="8931"/>
        </w:tabs>
        <w:ind w:right="-46"/>
        <w:jc w:val="left"/>
        <w:rPr>
          <w:rFonts w:ascii="Arial" w:hAnsi="Arial" w:cs="Arial"/>
          <w:bCs/>
          <w:szCs w:val="24"/>
        </w:rPr>
      </w:pPr>
      <w:r w:rsidRPr="00B22FF5">
        <w:rPr>
          <w:rFonts w:ascii="Arial" w:hAnsi="Arial" w:cs="Arial"/>
          <w:bCs/>
          <w:szCs w:val="24"/>
        </w:rPr>
        <w:t>and</w:t>
      </w:r>
    </w:p>
    <w:p w14:paraId="40BB19E1" w14:textId="77777777" w:rsidR="00E65293" w:rsidRPr="00B22FF5" w:rsidRDefault="00E65293" w:rsidP="00E65293">
      <w:pPr>
        <w:pStyle w:val="GW12"/>
        <w:tabs>
          <w:tab w:val="clear" w:pos="6048"/>
          <w:tab w:val="clear" w:pos="8640"/>
          <w:tab w:val="left" w:pos="4820"/>
          <w:tab w:val="right" w:pos="8931"/>
        </w:tabs>
        <w:ind w:right="-46"/>
        <w:jc w:val="left"/>
        <w:rPr>
          <w:rFonts w:ascii="Arial" w:hAnsi="Arial" w:cs="Arial"/>
          <w:b/>
          <w:szCs w:val="24"/>
        </w:rPr>
      </w:pPr>
    </w:p>
    <w:p w14:paraId="64DCAB5F" w14:textId="35AEA830" w:rsidR="00E65293" w:rsidRPr="00B22FF5" w:rsidRDefault="00D9394A" w:rsidP="00E65293">
      <w:pPr>
        <w:pStyle w:val="GW12"/>
        <w:tabs>
          <w:tab w:val="clear" w:pos="6048"/>
          <w:tab w:val="clear" w:pos="8640"/>
          <w:tab w:val="left" w:pos="4820"/>
          <w:tab w:val="right" w:pos="8931"/>
        </w:tabs>
        <w:ind w:right="-46"/>
        <w:jc w:val="left"/>
        <w:rPr>
          <w:rFonts w:ascii="Arial" w:hAnsi="Arial" w:cs="Arial"/>
          <w:bCs/>
          <w:szCs w:val="24"/>
        </w:rPr>
      </w:pPr>
      <w:r>
        <w:rPr>
          <w:rFonts w:ascii="Arial" w:hAnsi="Arial" w:cs="Arial"/>
          <w:b/>
          <w:szCs w:val="24"/>
        </w:rPr>
        <w:t xml:space="preserve">ATHENKOSI </w:t>
      </w:r>
      <w:r w:rsidR="002326E3">
        <w:rPr>
          <w:rFonts w:ascii="Arial" w:hAnsi="Arial" w:cs="Arial"/>
          <w:b/>
          <w:szCs w:val="24"/>
        </w:rPr>
        <w:t>MAPUMA</w:t>
      </w:r>
      <w:r w:rsidR="00E65293" w:rsidRPr="00B22FF5">
        <w:rPr>
          <w:rFonts w:ascii="Arial" w:hAnsi="Arial" w:cs="Arial"/>
          <w:b/>
          <w:szCs w:val="24"/>
        </w:rPr>
        <w:tab/>
      </w:r>
      <w:r w:rsidR="00E65293" w:rsidRPr="00B22FF5">
        <w:rPr>
          <w:rFonts w:ascii="Arial" w:hAnsi="Arial" w:cs="Arial"/>
          <w:b/>
          <w:szCs w:val="24"/>
        </w:rPr>
        <w:tab/>
      </w:r>
      <w:r w:rsidR="00E65293" w:rsidRPr="00B22FF5">
        <w:rPr>
          <w:rFonts w:ascii="Arial" w:hAnsi="Arial" w:cs="Arial"/>
          <w:b/>
          <w:szCs w:val="24"/>
        </w:rPr>
        <w:tab/>
      </w:r>
      <w:r w:rsidR="002326E3">
        <w:rPr>
          <w:rFonts w:ascii="Arial" w:hAnsi="Arial" w:cs="Arial"/>
          <w:b/>
          <w:szCs w:val="24"/>
        </w:rPr>
        <w:t xml:space="preserve">                                             </w:t>
      </w:r>
      <w:r w:rsidR="002326E3" w:rsidRPr="002326E3">
        <w:rPr>
          <w:rFonts w:ascii="Arial" w:hAnsi="Arial" w:cs="Arial"/>
          <w:b/>
          <w:szCs w:val="24"/>
        </w:rPr>
        <w:t>ACCUSED</w:t>
      </w:r>
    </w:p>
    <w:p w14:paraId="3FB02978" w14:textId="77777777" w:rsidR="00E65293" w:rsidRPr="005E0A83" w:rsidRDefault="00E65293" w:rsidP="00E65293">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6433BCA4" w14:textId="77777777" w:rsidR="00E65293" w:rsidRPr="005E0A83" w:rsidRDefault="00E65293" w:rsidP="00E65293">
      <w:pPr>
        <w:pStyle w:val="GW13"/>
        <w:tabs>
          <w:tab w:val="clear" w:pos="8640"/>
        </w:tabs>
        <w:spacing w:line="240" w:lineRule="auto"/>
        <w:ind w:right="-45"/>
        <w:jc w:val="center"/>
        <w:rPr>
          <w:rFonts w:ascii="Arial" w:hAnsi="Arial" w:cs="Arial"/>
          <w:b/>
          <w:szCs w:val="24"/>
        </w:rPr>
      </w:pPr>
    </w:p>
    <w:p w14:paraId="2FD8D238" w14:textId="77777777" w:rsidR="00E65293" w:rsidRPr="005E0A83" w:rsidRDefault="00E65293" w:rsidP="00E65293">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2C0584BD" w14:textId="77777777" w:rsidR="00E65293" w:rsidRPr="005E0A83" w:rsidRDefault="00E65293" w:rsidP="00E65293">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6AC20AB1" w14:textId="77777777" w:rsidR="00E65293" w:rsidRPr="005E0A83" w:rsidRDefault="00E65293" w:rsidP="00E65293">
      <w:pPr>
        <w:pStyle w:val="GW13"/>
        <w:tabs>
          <w:tab w:val="clear" w:pos="8640"/>
          <w:tab w:val="right" w:pos="9072"/>
        </w:tabs>
        <w:spacing w:line="480" w:lineRule="auto"/>
        <w:ind w:right="-46"/>
        <w:rPr>
          <w:rFonts w:ascii="Arial" w:hAnsi="Arial" w:cs="Arial"/>
          <w:b/>
          <w:szCs w:val="24"/>
        </w:rPr>
      </w:pPr>
    </w:p>
    <w:p w14:paraId="312125CF" w14:textId="77777777" w:rsidR="00E65293" w:rsidRPr="005E0A83" w:rsidRDefault="00E65293" w:rsidP="00E65293">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AJ:</w:t>
      </w:r>
    </w:p>
    <w:p w14:paraId="5FB43330" w14:textId="77777777" w:rsidR="00E65293" w:rsidRDefault="00E65293" w:rsidP="00E65293">
      <w:pPr>
        <w:spacing w:after="0" w:line="480" w:lineRule="auto"/>
        <w:jc w:val="both"/>
        <w:rPr>
          <w:rFonts w:ascii="Arial" w:hAnsi="Arial" w:cs="Arial"/>
          <w:sz w:val="24"/>
          <w:szCs w:val="24"/>
        </w:rPr>
      </w:pPr>
    </w:p>
    <w:p w14:paraId="5C6DAFF7" w14:textId="5EA22626" w:rsidR="00662ED7"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w:t>
      </w:r>
      <w:r>
        <w:rPr>
          <w:rFonts w:ascii="Arial" w:hAnsi="Arial" w:cs="Arial"/>
          <w:sz w:val="24"/>
          <w:szCs w:val="24"/>
        </w:rPr>
        <w:tab/>
      </w:r>
      <w:r w:rsidR="00E65293" w:rsidRPr="007E372C">
        <w:rPr>
          <w:rFonts w:ascii="Arial" w:hAnsi="Arial" w:cs="Arial"/>
          <w:sz w:val="24"/>
          <w:szCs w:val="24"/>
        </w:rPr>
        <w:t xml:space="preserve">Whilst </w:t>
      </w:r>
      <w:r w:rsidR="00BF13CC" w:rsidRPr="007E372C">
        <w:rPr>
          <w:rFonts w:ascii="Arial" w:hAnsi="Arial" w:cs="Arial"/>
          <w:sz w:val="24"/>
          <w:szCs w:val="24"/>
        </w:rPr>
        <w:t xml:space="preserve">the prevalence of sexual offences in our society, particularly </w:t>
      </w:r>
      <w:r w:rsidR="00662ED7" w:rsidRPr="007E372C">
        <w:rPr>
          <w:rFonts w:ascii="Arial" w:hAnsi="Arial" w:cs="Arial"/>
          <w:sz w:val="24"/>
          <w:szCs w:val="24"/>
        </w:rPr>
        <w:t>against vulnerable children, women and men,</w:t>
      </w:r>
      <w:r w:rsidR="00BF13CC" w:rsidRPr="007E372C">
        <w:rPr>
          <w:rFonts w:ascii="Arial" w:hAnsi="Arial" w:cs="Arial"/>
          <w:sz w:val="24"/>
          <w:szCs w:val="24"/>
        </w:rPr>
        <w:t xml:space="preserve"> continues unabated</w:t>
      </w:r>
      <w:r w:rsidR="00662ED7" w:rsidRPr="007E372C">
        <w:rPr>
          <w:rFonts w:ascii="Arial" w:hAnsi="Arial" w:cs="Arial"/>
          <w:sz w:val="24"/>
          <w:szCs w:val="24"/>
        </w:rPr>
        <w:t xml:space="preserve">, and is nothing short of abhorrent, </w:t>
      </w:r>
      <w:r w:rsidR="000170A5" w:rsidRPr="007E372C">
        <w:rPr>
          <w:rFonts w:ascii="Arial" w:hAnsi="Arial" w:cs="Arial"/>
          <w:sz w:val="24"/>
          <w:szCs w:val="24"/>
        </w:rPr>
        <w:t xml:space="preserve">one </w:t>
      </w:r>
      <w:r w:rsidR="003468CA" w:rsidRPr="007E372C">
        <w:rPr>
          <w:rFonts w:ascii="Arial" w:hAnsi="Arial" w:cs="Arial"/>
          <w:sz w:val="24"/>
          <w:szCs w:val="24"/>
        </w:rPr>
        <w:t>must not</w:t>
      </w:r>
      <w:r w:rsidR="000170A5" w:rsidRPr="007E372C">
        <w:rPr>
          <w:rFonts w:ascii="Arial" w:hAnsi="Arial" w:cs="Arial"/>
          <w:sz w:val="24"/>
          <w:szCs w:val="24"/>
        </w:rPr>
        <w:t xml:space="preserve"> lose sight of the fundamental principle of our </w:t>
      </w:r>
      <w:r w:rsidR="000170A5" w:rsidRPr="007E372C">
        <w:rPr>
          <w:rFonts w:ascii="Arial" w:hAnsi="Arial" w:cs="Arial"/>
          <w:sz w:val="24"/>
          <w:szCs w:val="24"/>
        </w:rPr>
        <w:lastRenderedPageBreak/>
        <w:t>law that</w:t>
      </w:r>
      <w:r w:rsidR="003468CA" w:rsidRPr="007E372C">
        <w:rPr>
          <w:rFonts w:ascii="Arial" w:hAnsi="Arial" w:cs="Arial"/>
          <w:sz w:val="24"/>
          <w:szCs w:val="24"/>
        </w:rPr>
        <w:t>,</w:t>
      </w:r>
      <w:r w:rsidR="000170A5" w:rsidRPr="007E372C">
        <w:rPr>
          <w:rFonts w:ascii="Arial" w:hAnsi="Arial" w:cs="Arial"/>
          <w:sz w:val="24"/>
          <w:szCs w:val="24"/>
        </w:rPr>
        <w:t xml:space="preserve"> in a criminal trial, the state is required to prove the guilt of an accused beyond reasonable doubt.</w:t>
      </w:r>
    </w:p>
    <w:p w14:paraId="56BF8C02" w14:textId="77777777" w:rsidR="000170A5" w:rsidRDefault="000170A5" w:rsidP="000170A5">
      <w:pPr>
        <w:pStyle w:val="ListParagraph"/>
        <w:spacing w:after="0" w:line="480" w:lineRule="auto"/>
        <w:ind w:left="851"/>
        <w:jc w:val="both"/>
        <w:rPr>
          <w:rFonts w:ascii="Arial" w:hAnsi="Arial" w:cs="Arial"/>
          <w:sz w:val="24"/>
          <w:szCs w:val="24"/>
        </w:rPr>
      </w:pPr>
    </w:p>
    <w:p w14:paraId="426ACDD6" w14:textId="507673AE" w:rsidR="00B50104"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w:t>
      </w:r>
      <w:r>
        <w:rPr>
          <w:rFonts w:ascii="Arial" w:hAnsi="Arial" w:cs="Arial"/>
          <w:sz w:val="24"/>
          <w:szCs w:val="24"/>
        </w:rPr>
        <w:tab/>
      </w:r>
      <w:r w:rsidR="00B50104" w:rsidRPr="007E372C">
        <w:rPr>
          <w:rFonts w:ascii="Arial" w:hAnsi="Arial" w:cs="Arial"/>
          <w:sz w:val="24"/>
          <w:szCs w:val="24"/>
        </w:rPr>
        <w:t>The accused, a twenty-nine (29) year old male, stands arraigned on two counts of rape.  The charges brought against him are worded in identical terms and allege that “</w:t>
      </w:r>
      <w:r w:rsidR="00B50104" w:rsidRPr="007E372C">
        <w:rPr>
          <w:rFonts w:ascii="Arial" w:hAnsi="Arial" w:cs="Arial"/>
          <w:i/>
          <w:iCs/>
          <w:sz w:val="24"/>
          <w:szCs w:val="24"/>
        </w:rPr>
        <w:t>upon or about 4 January 2021 and at or near Soweto-on-Sea within the district of Gqeberha, the accused did unlawfully and intentionally commit an act of sexual penetration with one [O.L.], a seven year old boy, by inserting his penis into his anus without his consent and against his will and did thereby rape him.</w:t>
      </w:r>
      <w:r w:rsidR="00B50104" w:rsidRPr="007E372C">
        <w:rPr>
          <w:rFonts w:ascii="Arial" w:hAnsi="Arial" w:cs="Arial"/>
          <w:sz w:val="24"/>
          <w:szCs w:val="24"/>
        </w:rPr>
        <w:t>”</w:t>
      </w:r>
    </w:p>
    <w:p w14:paraId="65657289" w14:textId="77777777" w:rsidR="00B50104" w:rsidRPr="00B50104" w:rsidRDefault="00B50104" w:rsidP="00CD720E">
      <w:pPr>
        <w:pStyle w:val="ListParagraph"/>
        <w:spacing w:after="0" w:line="480" w:lineRule="auto"/>
        <w:rPr>
          <w:rFonts w:ascii="Arial" w:hAnsi="Arial" w:cs="Arial"/>
          <w:sz w:val="24"/>
          <w:szCs w:val="24"/>
        </w:rPr>
      </w:pPr>
    </w:p>
    <w:p w14:paraId="3812D6F9" w14:textId="66EB361B" w:rsidR="00CD720E"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w:t>
      </w:r>
      <w:r>
        <w:rPr>
          <w:rFonts w:ascii="Arial" w:hAnsi="Arial" w:cs="Arial"/>
          <w:sz w:val="24"/>
          <w:szCs w:val="24"/>
        </w:rPr>
        <w:tab/>
      </w:r>
      <w:r w:rsidR="00CD720E" w:rsidRPr="007E372C">
        <w:rPr>
          <w:rFonts w:ascii="Arial" w:hAnsi="Arial" w:cs="Arial"/>
          <w:sz w:val="24"/>
          <w:szCs w:val="24"/>
        </w:rPr>
        <w:t>The accused pleaded not guilty to the aforesaid charges, and declined to proffer any formal plea explanation, save to record</w:t>
      </w:r>
      <w:r w:rsidR="00E661B0" w:rsidRPr="007E372C">
        <w:rPr>
          <w:rFonts w:ascii="Arial" w:hAnsi="Arial" w:cs="Arial"/>
          <w:sz w:val="24"/>
          <w:szCs w:val="24"/>
        </w:rPr>
        <w:t>,</w:t>
      </w:r>
      <w:r w:rsidR="00CD720E" w:rsidRPr="007E372C">
        <w:rPr>
          <w:rFonts w:ascii="Arial" w:hAnsi="Arial" w:cs="Arial"/>
          <w:sz w:val="24"/>
          <w:szCs w:val="24"/>
        </w:rPr>
        <w:t xml:space="preserve"> through his legal representative, Ms Theron, that his version would be put in full to the state’s witnesses.</w:t>
      </w:r>
    </w:p>
    <w:p w14:paraId="45CDD1E4" w14:textId="77777777" w:rsidR="00CD720E" w:rsidRPr="00CD720E" w:rsidRDefault="00CD720E" w:rsidP="00CD720E">
      <w:pPr>
        <w:pStyle w:val="ListParagraph"/>
        <w:spacing w:after="0" w:line="480" w:lineRule="auto"/>
        <w:rPr>
          <w:rFonts w:ascii="Arial" w:hAnsi="Arial" w:cs="Arial"/>
          <w:sz w:val="24"/>
          <w:szCs w:val="24"/>
        </w:rPr>
      </w:pPr>
    </w:p>
    <w:p w14:paraId="3A1165E3" w14:textId="4E20E604" w:rsidR="003C22E9"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w:t>
      </w:r>
      <w:r>
        <w:rPr>
          <w:rFonts w:ascii="Arial" w:hAnsi="Arial" w:cs="Arial"/>
          <w:sz w:val="24"/>
          <w:szCs w:val="24"/>
        </w:rPr>
        <w:tab/>
      </w:r>
      <w:r w:rsidR="00B50104" w:rsidRPr="007E372C">
        <w:rPr>
          <w:rFonts w:ascii="Arial" w:hAnsi="Arial" w:cs="Arial"/>
          <w:sz w:val="24"/>
          <w:szCs w:val="24"/>
        </w:rPr>
        <w:t xml:space="preserve">At the time of the alleged commission of the offences, the complainant resided predominantly with his maternal grandparents in Soweto-on-Sea.  </w:t>
      </w:r>
      <w:r w:rsidR="00F17FBB" w:rsidRPr="007E372C">
        <w:rPr>
          <w:rFonts w:ascii="Arial" w:hAnsi="Arial" w:cs="Arial"/>
          <w:sz w:val="24"/>
          <w:szCs w:val="24"/>
        </w:rPr>
        <w:t>The house in which he resided is located next door to the accused’s family home, which the complainant frequently</w:t>
      </w:r>
      <w:r w:rsidR="004B5789" w:rsidRPr="007E372C">
        <w:rPr>
          <w:rFonts w:ascii="Arial" w:hAnsi="Arial" w:cs="Arial"/>
          <w:sz w:val="24"/>
          <w:szCs w:val="24"/>
        </w:rPr>
        <w:t xml:space="preserve"> visited</w:t>
      </w:r>
      <w:r w:rsidR="00F17FBB" w:rsidRPr="007E372C">
        <w:rPr>
          <w:rFonts w:ascii="Arial" w:hAnsi="Arial" w:cs="Arial"/>
          <w:sz w:val="24"/>
          <w:szCs w:val="24"/>
        </w:rPr>
        <w:t xml:space="preserve">.  </w:t>
      </w:r>
      <w:r w:rsidR="004B5789" w:rsidRPr="007E372C">
        <w:rPr>
          <w:rFonts w:ascii="Arial" w:hAnsi="Arial" w:cs="Arial"/>
          <w:sz w:val="24"/>
          <w:szCs w:val="24"/>
        </w:rPr>
        <w:t>It is common cause that</w:t>
      </w:r>
      <w:r w:rsidR="00F17FBB" w:rsidRPr="007E372C">
        <w:rPr>
          <w:rFonts w:ascii="Arial" w:hAnsi="Arial" w:cs="Arial"/>
          <w:sz w:val="24"/>
          <w:szCs w:val="24"/>
        </w:rPr>
        <w:t xml:space="preserve"> </w:t>
      </w:r>
      <w:r w:rsidR="004B5789" w:rsidRPr="007E372C">
        <w:rPr>
          <w:rFonts w:ascii="Arial" w:hAnsi="Arial" w:cs="Arial"/>
          <w:sz w:val="24"/>
          <w:szCs w:val="24"/>
        </w:rPr>
        <w:t xml:space="preserve">the </w:t>
      </w:r>
      <w:r w:rsidR="00F17FBB" w:rsidRPr="007E372C">
        <w:rPr>
          <w:rFonts w:ascii="Arial" w:hAnsi="Arial" w:cs="Arial"/>
          <w:sz w:val="24"/>
          <w:szCs w:val="24"/>
        </w:rPr>
        <w:t>complainant shared a close bond with the accused’s mother, to whom I shall refer as S.G.M.</w:t>
      </w:r>
      <w:r w:rsidR="003C22E9" w:rsidRPr="007E372C">
        <w:rPr>
          <w:rFonts w:ascii="Arial" w:hAnsi="Arial" w:cs="Arial"/>
          <w:sz w:val="24"/>
          <w:szCs w:val="24"/>
        </w:rPr>
        <w:t xml:space="preserve">  S.G.M</w:t>
      </w:r>
      <w:r w:rsidR="00F95B9A" w:rsidRPr="007E372C">
        <w:rPr>
          <w:rFonts w:ascii="Arial" w:hAnsi="Arial" w:cs="Arial"/>
          <w:sz w:val="24"/>
          <w:szCs w:val="24"/>
        </w:rPr>
        <w:t>.</w:t>
      </w:r>
      <w:r w:rsidR="003C22E9" w:rsidRPr="007E372C">
        <w:rPr>
          <w:rFonts w:ascii="Arial" w:hAnsi="Arial" w:cs="Arial"/>
          <w:sz w:val="24"/>
          <w:szCs w:val="24"/>
        </w:rPr>
        <w:t xml:space="preserve"> </w:t>
      </w:r>
      <w:r w:rsidR="004B5789" w:rsidRPr="007E372C">
        <w:rPr>
          <w:rFonts w:ascii="Arial" w:hAnsi="Arial" w:cs="Arial"/>
          <w:sz w:val="24"/>
          <w:szCs w:val="24"/>
        </w:rPr>
        <w:t>would often care for the complainant by providing for his basic needs</w:t>
      </w:r>
      <w:r w:rsidR="003C22E9" w:rsidRPr="007E372C">
        <w:rPr>
          <w:rFonts w:ascii="Arial" w:hAnsi="Arial" w:cs="Arial"/>
          <w:sz w:val="24"/>
          <w:szCs w:val="24"/>
        </w:rPr>
        <w:t xml:space="preserve">, such as the provision of food and care in the evenings after work.  Once or twice a month, the complainant would sleep over at the home of S.G.M. </w:t>
      </w:r>
      <w:r w:rsidR="003C22E9" w:rsidRPr="007E372C">
        <w:rPr>
          <w:rFonts w:ascii="Arial" w:hAnsi="Arial" w:cs="Arial"/>
          <w:sz w:val="24"/>
          <w:szCs w:val="24"/>
        </w:rPr>
        <w:lastRenderedPageBreak/>
        <w:t xml:space="preserve">when his maternal grandmother was unavailable to look after him.  </w:t>
      </w:r>
      <w:r w:rsidR="00F95B9A" w:rsidRPr="007E372C">
        <w:rPr>
          <w:rFonts w:ascii="Arial" w:hAnsi="Arial" w:cs="Arial"/>
          <w:sz w:val="24"/>
          <w:szCs w:val="24"/>
        </w:rPr>
        <w:t>4 January 2021 was one such occasion.</w:t>
      </w:r>
    </w:p>
    <w:p w14:paraId="11E4C98A" w14:textId="77777777" w:rsidR="003E30EF" w:rsidRPr="003E30EF" w:rsidRDefault="003E30EF" w:rsidP="003E30EF">
      <w:pPr>
        <w:pStyle w:val="ListParagraph"/>
        <w:spacing w:after="0" w:line="480" w:lineRule="auto"/>
        <w:rPr>
          <w:rFonts w:ascii="Arial" w:hAnsi="Arial" w:cs="Arial"/>
          <w:sz w:val="24"/>
          <w:szCs w:val="24"/>
        </w:rPr>
      </w:pPr>
    </w:p>
    <w:p w14:paraId="3B528D62" w14:textId="32CAFB49" w:rsidR="00E61DF2"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[5]</w:t>
      </w:r>
      <w:r>
        <w:rPr>
          <w:rFonts w:ascii="Arial" w:hAnsi="Arial" w:cs="Arial"/>
          <w:sz w:val="24"/>
          <w:szCs w:val="24"/>
        </w:rPr>
        <w:tab/>
      </w:r>
      <w:r w:rsidR="003E30EF" w:rsidRPr="007E372C">
        <w:rPr>
          <w:rFonts w:ascii="Arial" w:hAnsi="Arial" w:cs="Arial"/>
          <w:sz w:val="24"/>
          <w:szCs w:val="24"/>
        </w:rPr>
        <w:t xml:space="preserve">It is common cause that </w:t>
      </w:r>
      <w:r w:rsidR="000F7494" w:rsidRPr="007E372C">
        <w:rPr>
          <w:rFonts w:ascii="Arial" w:hAnsi="Arial" w:cs="Arial"/>
          <w:sz w:val="24"/>
          <w:szCs w:val="24"/>
        </w:rPr>
        <w:t xml:space="preserve">the erf on which </w:t>
      </w:r>
      <w:r w:rsidR="003E30EF" w:rsidRPr="007E372C">
        <w:rPr>
          <w:rFonts w:ascii="Arial" w:hAnsi="Arial" w:cs="Arial"/>
          <w:sz w:val="24"/>
          <w:szCs w:val="24"/>
        </w:rPr>
        <w:t>S.G.M.</w:t>
      </w:r>
      <w:r w:rsidR="000F7494" w:rsidRPr="007E372C">
        <w:rPr>
          <w:rFonts w:ascii="Arial" w:hAnsi="Arial" w:cs="Arial"/>
          <w:sz w:val="24"/>
          <w:szCs w:val="24"/>
        </w:rPr>
        <w:t xml:space="preserve"> resides </w:t>
      </w:r>
      <w:r w:rsidR="003E30EF" w:rsidRPr="007E372C">
        <w:rPr>
          <w:rFonts w:ascii="Arial" w:hAnsi="Arial" w:cs="Arial"/>
          <w:sz w:val="24"/>
          <w:szCs w:val="24"/>
        </w:rPr>
        <w:t>consists of two immovable properties</w:t>
      </w:r>
      <w:r w:rsidR="006D16EA" w:rsidRPr="007E372C">
        <w:rPr>
          <w:rFonts w:ascii="Arial" w:hAnsi="Arial" w:cs="Arial"/>
          <w:sz w:val="24"/>
          <w:szCs w:val="24"/>
        </w:rPr>
        <w:t>, t</w:t>
      </w:r>
      <w:r w:rsidR="003E30EF" w:rsidRPr="007E372C">
        <w:rPr>
          <w:rFonts w:ascii="Arial" w:hAnsi="Arial" w:cs="Arial"/>
          <w:sz w:val="24"/>
          <w:szCs w:val="24"/>
        </w:rPr>
        <w:t xml:space="preserve">he main house, a one-bedroom home, </w:t>
      </w:r>
      <w:r w:rsidR="000F7494" w:rsidRPr="007E372C">
        <w:rPr>
          <w:rFonts w:ascii="Arial" w:hAnsi="Arial" w:cs="Arial"/>
          <w:sz w:val="24"/>
          <w:szCs w:val="24"/>
        </w:rPr>
        <w:t xml:space="preserve">with an open plan kitchen and living room, </w:t>
      </w:r>
      <w:r w:rsidR="003E30EF" w:rsidRPr="007E372C">
        <w:rPr>
          <w:rFonts w:ascii="Arial" w:hAnsi="Arial" w:cs="Arial"/>
          <w:sz w:val="24"/>
          <w:szCs w:val="24"/>
        </w:rPr>
        <w:t>in which S.G.M. reside</w:t>
      </w:r>
      <w:r w:rsidR="000F7494" w:rsidRPr="007E372C">
        <w:rPr>
          <w:rFonts w:ascii="Arial" w:hAnsi="Arial" w:cs="Arial"/>
          <w:sz w:val="24"/>
          <w:szCs w:val="24"/>
        </w:rPr>
        <w:t>s (“</w:t>
      </w:r>
      <w:r w:rsidR="000F7494" w:rsidRPr="007E372C">
        <w:rPr>
          <w:rFonts w:ascii="Arial" w:hAnsi="Arial" w:cs="Arial"/>
          <w:i/>
          <w:iCs/>
          <w:sz w:val="24"/>
          <w:szCs w:val="24"/>
        </w:rPr>
        <w:t>the main house</w:t>
      </w:r>
      <w:r w:rsidR="000F7494" w:rsidRPr="007E372C">
        <w:rPr>
          <w:rFonts w:ascii="Arial" w:hAnsi="Arial" w:cs="Arial"/>
          <w:sz w:val="24"/>
          <w:szCs w:val="24"/>
        </w:rPr>
        <w:t>”),</w:t>
      </w:r>
      <w:r w:rsidR="003E30EF" w:rsidRPr="007E372C">
        <w:rPr>
          <w:rFonts w:ascii="Arial" w:hAnsi="Arial" w:cs="Arial"/>
          <w:sz w:val="24"/>
          <w:szCs w:val="24"/>
        </w:rPr>
        <w:t xml:space="preserve"> and a second smaller property, </w:t>
      </w:r>
      <w:r w:rsidR="000F7494" w:rsidRPr="007E372C">
        <w:rPr>
          <w:rFonts w:ascii="Arial" w:hAnsi="Arial" w:cs="Arial"/>
          <w:sz w:val="24"/>
          <w:szCs w:val="24"/>
        </w:rPr>
        <w:t>which is divided into two separate</w:t>
      </w:r>
      <w:r w:rsidR="008809CA" w:rsidRPr="007E372C">
        <w:rPr>
          <w:rFonts w:ascii="Arial" w:hAnsi="Arial" w:cs="Arial"/>
          <w:sz w:val="24"/>
          <w:szCs w:val="24"/>
        </w:rPr>
        <w:t xml:space="preserve"> small</w:t>
      </w:r>
      <w:r w:rsidR="000F7494" w:rsidRPr="007E372C">
        <w:rPr>
          <w:rFonts w:ascii="Arial" w:hAnsi="Arial" w:cs="Arial"/>
          <w:sz w:val="24"/>
          <w:szCs w:val="24"/>
        </w:rPr>
        <w:t xml:space="preserve"> rooms with the use of cardboard and 3-ply board (“</w:t>
      </w:r>
      <w:r w:rsidR="000F7494" w:rsidRPr="007E372C">
        <w:rPr>
          <w:rFonts w:ascii="Arial" w:hAnsi="Arial" w:cs="Arial"/>
          <w:i/>
          <w:iCs/>
          <w:sz w:val="24"/>
          <w:szCs w:val="24"/>
        </w:rPr>
        <w:t>the accused’s house</w:t>
      </w:r>
      <w:r w:rsidR="000F7494" w:rsidRPr="007E372C">
        <w:rPr>
          <w:rFonts w:ascii="Arial" w:hAnsi="Arial" w:cs="Arial"/>
          <w:sz w:val="24"/>
          <w:szCs w:val="24"/>
        </w:rPr>
        <w:t xml:space="preserve">”).  </w:t>
      </w:r>
      <w:r w:rsidR="00E028CE" w:rsidRPr="007E372C">
        <w:rPr>
          <w:rFonts w:ascii="Arial" w:hAnsi="Arial" w:cs="Arial"/>
          <w:sz w:val="24"/>
          <w:szCs w:val="24"/>
        </w:rPr>
        <w:t xml:space="preserve">The two houses are situated </w:t>
      </w:r>
      <w:r w:rsidR="005F7F14" w:rsidRPr="007E372C">
        <w:rPr>
          <w:rFonts w:ascii="Arial" w:hAnsi="Arial" w:cs="Arial"/>
          <w:sz w:val="24"/>
          <w:szCs w:val="24"/>
        </w:rPr>
        <w:t xml:space="preserve">approximately 12 paces in distance from each other, </w:t>
      </w:r>
      <w:r w:rsidR="00E028CE" w:rsidRPr="007E372C">
        <w:rPr>
          <w:rFonts w:ascii="Arial" w:hAnsi="Arial" w:cs="Arial"/>
          <w:sz w:val="24"/>
          <w:szCs w:val="24"/>
        </w:rPr>
        <w:t xml:space="preserve">with the main door of main house facing that of the accused’s house.  </w:t>
      </w:r>
    </w:p>
    <w:p w14:paraId="6906B8B3" w14:textId="77777777" w:rsidR="00E61DF2" w:rsidRPr="00E61DF2" w:rsidRDefault="00E61DF2" w:rsidP="00E61DF2">
      <w:pPr>
        <w:pStyle w:val="ListParagraph"/>
        <w:spacing w:after="0" w:line="480" w:lineRule="auto"/>
        <w:rPr>
          <w:rFonts w:ascii="Arial" w:hAnsi="Arial" w:cs="Arial"/>
          <w:sz w:val="24"/>
          <w:szCs w:val="24"/>
        </w:rPr>
      </w:pPr>
    </w:p>
    <w:p w14:paraId="21B29ACD" w14:textId="0EB39DAA" w:rsidR="00990341"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[6]</w:t>
      </w:r>
      <w:r>
        <w:rPr>
          <w:rFonts w:ascii="Arial" w:hAnsi="Arial" w:cs="Arial"/>
          <w:sz w:val="24"/>
          <w:szCs w:val="24"/>
        </w:rPr>
        <w:tab/>
      </w:r>
      <w:r w:rsidR="000F7494" w:rsidRPr="007E372C">
        <w:rPr>
          <w:rFonts w:ascii="Arial" w:hAnsi="Arial" w:cs="Arial"/>
          <w:sz w:val="24"/>
          <w:szCs w:val="24"/>
        </w:rPr>
        <w:t>At the time of the commission of the alleged offen</w:t>
      </w:r>
      <w:r w:rsidR="006D16EA" w:rsidRPr="007E372C">
        <w:rPr>
          <w:rFonts w:ascii="Arial" w:hAnsi="Arial" w:cs="Arial"/>
          <w:sz w:val="24"/>
          <w:szCs w:val="24"/>
        </w:rPr>
        <w:t>ces</w:t>
      </w:r>
      <w:r w:rsidR="000F7494" w:rsidRPr="007E372C">
        <w:rPr>
          <w:rFonts w:ascii="Arial" w:hAnsi="Arial" w:cs="Arial"/>
          <w:sz w:val="24"/>
          <w:szCs w:val="24"/>
        </w:rPr>
        <w:t xml:space="preserve">, S.G.M. resided with her boyfriend in the main house, </w:t>
      </w:r>
      <w:r w:rsidR="006D16EA" w:rsidRPr="007E372C">
        <w:rPr>
          <w:rFonts w:ascii="Arial" w:hAnsi="Arial" w:cs="Arial"/>
          <w:sz w:val="24"/>
          <w:szCs w:val="24"/>
        </w:rPr>
        <w:t>whilst</w:t>
      </w:r>
      <w:r w:rsidR="000F7494" w:rsidRPr="007E372C">
        <w:rPr>
          <w:rFonts w:ascii="Arial" w:hAnsi="Arial" w:cs="Arial"/>
          <w:sz w:val="24"/>
          <w:szCs w:val="24"/>
        </w:rPr>
        <w:t xml:space="preserve"> the accused </w:t>
      </w:r>
      <w:r w:rsidR="006D16EA" w:rsidRPr="007E372C">
        <w:rPr>
          <w:rFonts w:ascii="Arial" w:hAnsi="Arial" w:cs="Arial"/>
          <w:sz w:val="24"/>
          <w:szCs w:val="24"/>
        </w:rPr>
        <w:t xml:space="preserve">and his </w:t>
      </w:r>
      <w:r w:rsidR="005F7F14" w:rsidRPr="007E372C">
        <w:rPr>
          <w:rFonts w:ascii="Arial" w:hAnsi="Arial" w:cs="Arial"/>
          <w:sz w:val="24"/>
          <w:szCs w:val="24"/>
        </w:rPr>
        <w:t>housemate, to whom I shall refer as N.</w:t>
      </w:r>
      <w:r w:rsidR="002110F4" w:rsidRPr="007E372C">
        <w:rPr>
          <w:rFonts w:ascii="Arial" w:hAnsi="Arial" w:cs="Arial"/>
          <w:sz w:val="24"/>
          <w:szCs w:val="24"/>
        </w:rPr>
        <w:t>N</w:t>
      </w:r>
      <w:r w:rsidR="005F7F14" w:rsidRPr="007E372C">
        <w:rPr>
          <w:rFonts w:ascii="Arial" w:hAnsi="Arial" w:cs="Arial"/>
          <w:sz w:val="24"/>
          <w:szCs w:val="24"/>
        </w:rPr>
        <w:t>,</w:t>
      </w:r>
      <w:r w:rsidR="006D16EA" w:rsidRPr="007E372C">
        <w:rPr>
          <w:rFonts w:ascii="Arial" w:hAnsi="Arial" w:cs="Arial"/>
          <w:sz w:val="24"/>
          <w:szCs w:val="24"/>
        </w:rPr>
        <w:t xml:space="preserve"> resided</w:t>
      </w:r>
      <w:r w:rsidR="00D57B3C" w:rsidRPr="007E372C">
        <w:rPr>
          <w:rFonts w:ascii="Arial" w:hAnsi="Arial" w:cs="Arial"/>
          <w:sz w:val="24"/>
          <w:szCs w:val="24"/>
        </w:rPr>
        <w:t xml:space="preserve"> in the accused’s house</w:t>
      </w:r>
      <w:r w:rsidR="006D16EA" w:rsidRPr="007E372C">
        <w:rPr>
          <w:rFonts w:ascii="Arial" w:hAnsi="Arial" w:cs="Arial"/>
          <w:sz w:val="24"/>
          <w:szCs w:val="24"/>
        </w:rPr>
        <w:t xml:space="preserve"> on opposite sides of the partition.  The accused and</w:t>
      </w:r>
      <w:r w:rsidR="005F7F14" w:rsidRPr="007E372C">
        <w:rPr>
          <w:rFonts w:ascii="Arial" w:hAnsi="Arial" w:cs="Arial"/>
          <w:sz w:val="24"/>
          <w:szCs w:val="24"/>
        </w:rPr>
        <w:t xml:space="preserve"> N.</w:t>
      </w:r>
      <w:r w:rsidR="002110F4" w:rsidRPr="007E372C">
        <w:rPr>
          <w:rFonts w:ascii="Arial" w:hAnsi="Arial" w:cs="Arial"/>
          <w:sz w:val="24"/>
          <w:szCs w:val="24"/>
        </w:rPr>
        <w:t>N.</w:t>
      </w:r>
      <w:r w:rsidR="006D16EA" w:rsidRPr="007E372C">
        <w:rPr>
          <w:rFonts w:ascii="Arial" w:hAnsi="Arial" w:cs="Arial"/>
          <w:sz w:val="24"/>
          <w:szCs w:val="24"/>
        </w:rPr>
        <w:t xml:space="preserve"> resided together with their respective girlfriends.  It is further common cause that there is a make-shift doorway in the partition, allowing access from the one room to the other; and that if you are one side of the partition</w:t>
      </w:r>
      <w:r w:rsidR="00A805F1" w:rsidRPr="007E372C">
        <w:rPr>
          <w:rFonts w:ascii="Arial" w:hAnsi="Arial" w:cs="Arial"/>
          <w:sz w:val="24"/>
          <w:szCs w:val="24"/>
        </w:rPr>
        <w:t>,</w:t>
      </w:r>
      <w:r w:rsidR="006D16EA" w:rsidRPr="007E372C">
        <w:rPr>
          <w:rFonts w:ascii="Arial" w:hAnsi="Arial" w:cs="Arial"/>
          <w:sz w:val="24"/>
          <w:szCs w:val="24"/>
        </w:rPr>
        <w:t xml:space="preserve"> </w:t>
      </w:r>
      <w:r w:rsidR="00A805F1" w:rsidRPr="007E372C">
        <w:rPr>
          <w:rFonts w:ascii="Arial" w:hAnsi="Arial" w:cs="Arial"/>
          <w:sz w:val="24"/>
          <w:szCs w:val="24"/>
        </w:rPr>
        <w:t>persons on the other side are clearly audible.</w:t>
      </w:r>
      <w:r w:rsidR="006C7560" w:rsidRPr="007E372C">
        <w:rPr>
          <w:rFonts w:ascii="Arial" w:hAnsi="Arial" w:cs="Arial"/>
          <w:sz w:val="24"/>
          <w:szCs w:val="24"/>
        </w:rPr>
        <w:t xml:space="preserve">  </w:t>
      </w:r>
    </w:p>
    <w:p w14:paraId="5BE97E51" w14:textId="77777777" w:rsidR="00990341" w:rsidRPr="00990341" w:rsidRDefault="00990341" w:rsidP="00990341">
      <w:pPr>
        <w:pStyle w:val="ListParagraph"/>
        <w:spacing w:after="0" w:line="480" w:lineRule="auto"/>
        <w:rPr>
          <w:rFonts w:ascii="Arial" w:hAnsi="Arial" w:cs="Arial"/>
          <w:sz w:val="24"/>
          <w:szCs w:val="24"/>
        </w:rPr>
      </w:pPr>
    </w:p>
    <w:p w14:paraId="075A8D08" w14:textId="03C54AFD" w:rsidR="00990341"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[7]</w:t>
      </w:r>
      <w:r>
        <w:rPr>
          <w:rFonts w:ascii="Arial" w:hAnsi="Arial" w:cs="Arial"/>
          <w:sz w:val="24"/>
          <w:szCs w:val="24"/>
        </w:rPr>
        <w:tab/>
      </w:r>
      <w:r w:rsidR="006C7560" w:rsidRPr="007E372C">
        <w:rPr>
          <w:rFonts w:ascii="Arial" w:hAnsi="Arial" w:cs="Arial"/>
          <w:sz w:val="24"/>
          <w:szCs w:val="24"/>
        </w:rPr>
        <w:t xml:space="preserve">Photographs of the respective houses were tendered into evidence.  Immediately apparent </w:t>
      </w:r>
      <w:r w:rsidR="00A91200" w:rsidRPr="007E372C">
        <w:rPr>
          <w:rFonts w:ascii="Arial" w:hAnsi="Arial" w:cs="Arial"/>
          <w:sz w:val="24"/>
          <w:szCs w:val="24"/>
        </w:rPr>
        <w:t xml:space="preserve">from the photographs of the main house is that it was built without a ceiling.  Accordingly, the wall dividing the bedroom from the remainder of the house does not fully enclose the bedroom, given the significant gap between the top of the dividing wall and the roof.  This results in a lack of complete separation of the two spaces and does not act to prevent </w:t>
      </w:r>
      <w:r w:rsidR="00A91200" w:rsidRPr="007E372C">
        <w:rPr>
          <w:rFonts w:ascii="Arial" w:hAnsi="Arial" w:cs="Arial"/>
          <w:sz w:val="24"/>
          <w:szCs w:val="24"/>
        </w:rPr>
        <w:lastRenderedPageBreak/>
        <w:t xml:space="preserve">the passage of sound between the bedroom and the remainder of the house, which </w:t>
      </w:r>
      <w:r w:rsidR="008845FE" w:rsidRPr="007E372C">
        <w:rPr>
          <w:rFonts w:ascii="Arial" w:hAnsi="Arial" w:cs="Arial"/>
          <w:sz w:val="24"/>
          <w:szCs w:val="24"/>
        </w:rPr>
        <w:t>on the whole,</w:t>
      </w:r>
      <w:r w:rsidR="004C0A10" w:rsidRPr="007E372C">
        <w:rPr>
          <w:rFonts w:ascii="Arial" w:hAnsi="Arial" w:cs="Arial"/>
          <w:sz w:val="24"/>
          <w:szCs w:val="24"/>
        </w:rPr>
        <w:t xml:space="preserve"> has a small footprint</w:t>
      </w:r>
      <w:r w:rsidR="00A91200" w:rsidRPr="007E372C">
        <w:rPr>
          <w:rFonts w:ascii="Arial" w:hAnsi="Arial" w:cs="Arial"/>
          <w:sz w:val="24"/>
          <w:szCs w:val="24"/>
        </w:rPr>
        <w:t xml:space="preserve">.  </w:t>
      </w:r>
      <w:r w:rsidR="00990341" w:rsidRPr="007E372C">
        <w:rPr>
          <w:rFonts w:ascii="Arial" w:hAnsi="Arial" w:cs="Arial"/>
          <w:sz w:val="24"/>
          <w:szCs w:val="24"/>
        </w:rPr>
        <w:t xml:space="preserve">Entrance to the bedroom from the living room is gained through a blue wooden door, which is depicted as open in the photographs.  The furniture in the living room, consists of two 1-seater wooden armchairs; one small 2-seater wooden couch with armrests; a </w:t>
      </w:r>
      <w:r w:rsidR="00DB4FD3" w:rsidRPr="007E372C">
        <w:rPr>
          <w:rFonts w:ascii="Arial" w:hAnsi="Arial" w:cs="Arial"/>
          <w:sz w:val="24"/>
          <w:szCs w:val="24"/>
        </w:rPr>
        <w:t xml:space="preserve">wooden </w:t>
      </w:r>
      <w:r w:rsidR="00990341" w:rsidRPr="007E372C">
        <w:rPr>
          <w:rFonts w:ascii="Arial" w:hAnsi="Arial" w:cs="Arial"/>
          <w:sz w:val="24"/>
          <w:szCs w:val="24"/>
        </w:rPr>
        <w:t xml:space="preserve">coffee table; and a TV stand, which houses a small television set and  </w:t>
      </w:r>
      <w:r w:rsidR="00DB4FD3" w:rsidRPr="007E372C">
        <w:rPr>
          <w:rFonts w:ascii="Arial" w:hAnsi="Arial" w:cs="Arial"/>
          <w:sz w:val="24"/>
          <w:szCs w:val="24"/>
        </w:rPr>
        <w:t>other personal effects</w:t>
      </w:r>
      <w:r w:rsidR="00990341" w:rsidRPr="007E372C">
        <w:rPr>
          <w:rFonts w:ascii="Arial" w:hAnsi="Arial" w:cs="Arial"/>
          <w:sz w:val="24"/>
          <w:szCs w:val="24"/>
        </w:rPr>
        <w:t>.</w:t>
      </w:r>
      <w:r w:rsidR="00DB4FD3" w:rsidRPr="007E372C">
        <w:rPr>
          <w:rFonts w:ascii="Arial" w:hAnsi="Arial" w:cs="Arial"/>
          <w:sz w:val="24"/>
          <w:szCs w:val="24"/>
        </w:rPr>
        <w:t xml:space="preserve">  The bedroom</w:t>
      </w:r>
      <w:r w:rsidR="00AF017C" w:rsidRPr="007E372C">
        <w:rPr>
          <w:rFonts w:ascii="Arial" w:hAnsi="Arial" w:cs="Arial"/>
          <w:sz w:val="24"/>
          <w:szCs w:val="24"/>
        </w:rPr>
        <w:t xml:space="preserve"> door</w:t>
      </w:r>
      <w:r w:rsidR="00DB4FD3" w:rsidRPr="007E372C">
        <w:rPr>
          <w:rFonts w:ascii="Arial" w:hAnsi="Arial" w:cs="Arial"/>
          <w:sz w:val="24"/>
          <w:szCs w:val="24"/>
        </w:rPr>
        <w:t xml:space="preserve"> and the 2-seater wooden couch are approximately one-meter apart.  </w:t>
      </w:r>
      <w:r w:rsidR="00013CC3" w:rsidRPr="007E372C">
        <w:rPr>
          <w:rFonts w:ascii="Arial" w:hAnsi="Arial" w:cs="Arial"/>
          <w:sz w:val="24"/>
          <w:szCs w:val="24"/>
        </w:rPr>
        <w:t>T</w:t>
      </w:r>
      <w:r w:rsidR="005C61AF" w:rsidRPr="007E372C">
        <w:rPr>
          <w:rFonts w:ascii="Arial" w:hAnsi="Arial" w:cs="Arial"/>
          <w:sz w:val="24"/>
          <w:szCs w:val="24"/>
        </w:rPr>
        <w:t>he</w:t>
      </w:r>
      <w:r w:rsidR="00013CC3" w:rsidRPr="007E372C">
        <w:rPr>
          <w:rFonts w:ascii="Arial" w:hAnsi="Arial" w:cs="Arial"/>
          <w:sz w:val="24"/>
          <w:szCs w:val="24"/>
        </w:rPr>
        <w:t xml:space="preserve"> significance </w:t>
      </w:r>
      <w:r w:rsidR="00DB4FD3" w:rsidRPr="007E372C">
        <w:rPr>
          <w:rFonts w:ascii="Arial" w:hAnsi="Arial" w:cs="Arial"/>
          <w:sz w:val="24"/>
          <w:szCs w:val="24"/>
        </w:rPr>
        <w:t>of th</w:t>
      </w:r>
      <w:r w:rsidR="0003596D" w:rsidRPr="007E372C">
        <w:rPr>
          <w:rFonts w:ascii="Arial" w:hAnsi="Arial" w:cs="Arial"/>
          <w:sz w:val="24"/>
          <w:szCs w:val="24"/>
        </w:rPr>
        <w:t>is</w:t>
      </w:r>
      <w:r w:rsidR="005C61AF" w:rsidRPr="007E372C">
        <w:rPr>
          <w:rFonts w:ascii="Arial" w:hAnsi="Arial" w:cs="Arial"/>
          <w:sz w:val="24"/>
          <w:szCs w:val="24"/>
        </w:rPr>
        <w:t xml:space="preserve"> </w:t>
      </w:r>
      <w:r w:rsidR="00013CC3" w:rsidRPr="007E372C">
        <w:rPr>
          <w:rFonts w:ascii="Arial" w:hAnsi="Arial" w:cs="Arial"/>
          <w:sz w:val="24"/>
          <w:szCs w:val="24"/>
        </w:rPr>
        <w:t>becomes apparent shortly.</w:t>
      </w:r>
    </w:p>
    <w:p w14:paraId="6F43F832" w14:textId="77777777" w:rsidR="00AF017C" w:rsidRPr="00AF017C" w:rsidRDefault="00AF017C" w:rsidP="00013CC3">
      <w:pPr>
        <w:pStyle w:val="ListParagraph"/>
        <w:spacing w:after="0" w:line="480" w:lineRule="auto"/>
        <w:rPr>
          <w:rFonts w:ascii="Arial" w:hAnsi="Arial" w:cs="Arial"/>
          <w:sz w:val="24"/>
          <w:szCs w:val="24"/>
        </w:rPr>
      </w:pPr>
    </w:p>
    <w:p w14:paraId="22CC5325" w14:textId="417B4A2A" w:rsidR="00F4024B"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[8</w:t>
      </w:r>
      <w:bookmarkStart w:id="0" w:name="_GoBack"/>
      <w:bookmarkEnd w:id="0"/>
      <w:r>
        <w:rPr>
          <w:rFonts w:ascii="Arial" w:hAnsi="Arial" w:cs="Arial"/>
          <w:sz w:val="24"/>
          <w:szCs w:val="24"/>
        </w:rPr>
        <w:t>]</w:t>
      </w:r>
      <w:r>
        <w:rPr>
          <w:rFonts w:ascii="Arial" w:hAnsi="Arial" w:cs="Arial"/>
          <w:sz w:val="24"/>
          <w:szCs w:val="24"/>
        </w:rPr>
        <w:tab/>
      </w:r>
      <w:r w:rsidR="00C00FB1" w:rsidRPr="007E372C">
        <w:rPr>
          <w:rFonts w:ascii="Arial" w:hAnsi="Arial" w:cs="Arial"/>
          <w:sz w:val="24"/>
          <w:szCs w:val="24"/>
        </w:rPr>
        <w:t xml:space="preserve">Four witnesses testified in support of the state’s case.  The complainant, who was 9 years old when he testified; the complainant’s maternal grandmother, to whom I shall refer as I.K.; </w:t>
      </w:r>
      <w:r w:rsidR="00F4024B" w:rsidRPr="007E372C">
        <w:rPr>
          <w:rFonts w:ascii="Arial" w:hAnsi="Arial" w:cs="Arial"/>
          <w:sz w:val="24"/>
          <w:szCs w:val="24"/>
        </w:rPr>
        <w:t xml:space="preserve">Constable </w:t>
      </w:r>
      <w:r w:rsidR="00C00FB1" w:rsidRPr="007E372C">
        <w:rPr>
          <w:rFonts w:ascii="Arial" w:hAnsi="Arial" w:cs="Arial"/>
          <w:sz w:val="24"/>
          <w:szCs w:val="24"/>
        </w:rPr>
        <w:t>Lorenzo Lance Caesar</w:t>
      </w:r>
      <w:r w:rsidR="00F4024B" w:rsidRPr="007E372C">
        <w:rPr>
          <w:rFonts w:ascii="Arial" w:hAnsi="Arial" w:cs="Arial"/>
          <w:sz w:val="24"/>
          <w:szCs w:val="24"/>
        </w:rPr>
        <w:t xml:space="preserve"> (“</w:t>
      </w:r>
      <w:r w:rsidR="00F4024B" w:rsidRPr="007E372C">
        <w:rPr>
          <w:rFonts w:ascii="Arial" w:hAnsi="Arial" w:cs="Arial"/>
          <w:i/>
          <w:iCs/>
          <w:sz w:val="24"/>
          <w:szCs w:val="24"/>
        </w:rPr>
        <w:t>Constable Ceaser</w:t>
      </w:r>
      <w:r w:rsidR="00F4024B" w:rsidRPr="007E372C">
        <w:rPr>
          <w:rFonts w:ascii="Arial" w:hAnsi="Arial" w:cs="Arial"/>
          <w:sz w:val="24"/>
          <w:szCs w:val="24"/>
        </w:rPr>
        <w:t>”)</w:t>
      </w:r>
      <w:r w:rsidR="00C00FB1" w:rsidRPr="007E372C">
        <w:rPr>
          <w:rFonts w:ascii="Arial" w:hAnsi="Arial" w:cs="Arial"/>
          <w:sz w:val="24"/>
          <w:szCs w:val="24"/>
        </w:rPr>
        <w:t xml:space="preserve">, a member of the South African Police Services, stationed at the Mount Road Criminal Record Centre as a forensic fieldworker, and who attended upon the alleged crime scene in order to document </w:t>
      </w:r>
      <w:r w:rsidR="00F4024B" w:rsidRPr="007E372C">
        <w:rPr>
          <w:rFonts w:ascii="Arial" w:hAnsi="Arial" w:cs="Arial"/>
          <w:sz w:val="24"/>
          <w:szCs w:val="24"/>
        </w:rPr>
        <w:t xml:space="preserve">it photographically; and Sister Nompelo Vellem, a nursing sister at Dora Nginza, Thuthuzela Care Centre, who conducted a medical examination of the complainant on 5 January 2021.  The accused, together with </w:t>
      </w:r>
      <w:r w:rsidR="00CD720E" w:rsidRPr="007E372C">
        <w:rPr>
          <w:rFonts w:ascii="Arial" w:hAnsi="Arial" w:cs="Arial"/>
          <w:sz w:val="24"/>
          <w:szCs w:val="24"/>
        </w:rPr>
        <w:t>a further three witnesses gave evidence in support of the accused’s defence.</w:t>
      </w:r>
      <w:r w:rsidR="00F4024B" w:rsidRPr="007E372C">
        <w:rPr>
          <w:rFonts w:ascii="Arial" w:hAnsi="Arial" w:cs="Arial"/>
          <w:sz w:val="24"/>
          <w:szCs w:val="24"/>
        </w:rPr>
        <w:t xml:space="preserve">   </w:t>
      </w:r>
    </w:p>
    <w:p w14:paraId="5B4D7163" w14:textId="77777777" w:rsidR="00CD720E" w:rsidRPr="00CD720E" w:rsidRDefault="00CD720E" w:rsidP="00147756">
      <w:pPr>
        <w:pStyle w:val="ListParagraph"/>
        <w:spacing w:after="0" w:line="480" w:lineRule="auto"/>
        <w:rPr>
          <w:rFonts w:ascii="Arial" w:hAnsi="Arial" w:cs="Arial"/>
          <w:sz w:val="24"/>
          <w:szCs w:val="24"/>
        </w:rPr>
      </w:pPr>
    </w:p>
    <w:p w14:paraId="687E9600" w14:textId="1EE3DD38" w:rsidR="00CD720E"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[9]</w:t>
      </w:r>
      <w:r>
        <w:rPr>
          <w:rFonts w:ascii="Arial" w:hAnsi="Arial" w:cs="Arial"/>
          <w:sz w:val="24"/>
          <w:szCs w:val="24"/>
        </w:rPr>
        <w:tab/>
      </w:r>
      <w:r w:rsidR="00CD720E" w:rsidRPr="007E372C">
        <w:rPr>
          <w:rFonts w:ascii="Arial" w:hAnsi="Arial" w:cs="Arial"/>
          <w:sz w:val="24"/>
          <w:szCs w:val="24"/>
        </w:rPr>
        <w:t>Having been satisfied that the complainant had the ability to differentiate between fact and fiction</w:t>
      </w:r>
      <w:r w:rsidR="00147756" w:rsidRPr="007E372C">
        <w:rPr>
          <w:rFonts w:ascii="Arial" w:hAnsi="Arial" w:cs="Arial"/>
          <w:sz w:val="24"/>
          <w:szCs w:val="24"/>
        </w:rPr>
        <w:t xml:space="preserve"> and was competent to give evidence; I </w:t>
      </w:r>
      <w:r w:rsidR="00CD720E" w:rsidRPr="007E372C">
        <w:rPr>
          <w:rFonts w:ascii="Arial" w:hAnsi="Arial" w:cs="Arial"/>
          <w:sz w:val="24"/>
          <w:szCs w:val="24"/>
        </w:rPr>
        <w:t xml:space="preserve">explained </w:t>
      </w:r>
      <w:r w:rsidR="00147756" w:rsidRPr="007E372C">
        <w:rPr>
          <w:rFonts w:ascii="Arial" w:hAnsi="Arial" w:cs="Arial"/>
          <w:sz w:val="24"/>
          <w:szCs w:val="24"/>
        </w:rPr>
        <w:t xml:space="preserve">the importance to him of telling the truth in what he told the court.  I was, however, not satisfied that the complainant was able to understand the nature and </w:t>
      </w:r>
      <w:r w:rsidR="00147756" w:rsidRPr="007E372C">
        <w:rPr>
          <w:rFonts w:ascii="Arial" w:hAnsi="Arial" w:cs="Arial"/>
          <w:sz w:val="24"/>
          <w:szCs w:val="24"/>
        </w:rPr>
        <w:lastRenderedPageBreak/>
        <w:t xml:space="preserve">import of the oath and accordingly he was </w:t>
      </w:r>
      <w:r w:rsidR="00CD720E" w:rsidRPr="007E372C">
        <w:rPr>
          <w:rFonts w:ascii="Arial" w:hAnsi="Arial" w:cs="Arial"/>
          <w:sz w:val="24"/>
          <w:szCs w:val="24"/>
        </w:rPr>
        <w:t xml:space="preserve">admonished </w:t>
      </w:r>
      <w:r w:rsidR="00147756" w:rsidRPr="007E372C">
        <w:rPr>
          <w:rFonts w:ascii="Arial" w:hAnsi="Arial" w:cs="Arial"/>
          <w:sz w:val="24"/>
          <w:szCs w:val="24"/>
        </w:rPr>
        <w:t xml:space="preserve">to tell the truth </w:t>
      </w:r>
      <w:r w:rsidR="00CD720E" w:rsidRPr="007E372C">
        <w:rPr>
          <w:rFonts w:ascii="Arial" w:hAnsi="Arial" w:cs="Arial"/>
          <w:sz w:val="24"/>
          <w:szCs w:val="24"/>
        </w:rPr>
        <w:t>in terms of section 164(1) of the Criminal Procedure Act</w:t>
      </w:r>
      <w:r w:rsidR="00147756" w:rsidRPr="007E372C">
        <w:rPr>
          <w:rFonts w:ascii="Arial" w:hAnsi="Arial" w:cs="Arial"/>
          <w:sz w:val="24"/>
          <w:szCs w:val="24"/>
        </w:rPr>
        <w:t xml:space="preserve">, 51 of 1977.  The complainant’s evidence was thereafter led through an intermediary and the proceedings were conducted </w:t>
      </w:r>
      <w:r w:rsidR="00147756" w:rsidRPr="007E372C">
        <w:rPr>
          <w:rFonts w:ascii="Arial" w:hAnsi="Arial" w:cs="Arial"/>
          <w:i/>
          <w:iCs/>
          <w:sz w:val="24"/>
          <w:szCs w:val="24"/>
        </w:rPr>
        <w:t>in camera</w:t>
      </w:r>
      <w:r w:rsidR="00147756" w:rsidRPr="007E372C">
        <w:rPr>
          <w:rFonts w:ascii="Arial" w:hAnsi="Arial" w:cs="Arial"/>
          <w:sz w:val="24"/>
          <w:szCs w:val="24"/>
        </w:rPr>
        <w:t>.</w:t>
      </w:r>
    </w:p>
    <w:p w14:paraId="2DC5DF43" w14:textId="4BB4280F" w:rsidR="00767090" w:rsidRDefault="00767090" w:rsidP="00013CC3">
      <w:pPr>
        <w:pStyle w:val="ListParagraph"/>
        <w:spacing w:after="0" w:line="480" w:lineRule="auto"/>
        <w:ind w:left="851"/>
        <w:jc w:val="both"/>
        <w:rPr>
          <w:rFonts w:ascii="Arial" w:hAnsi="Arial" w:cs="Arial"/>
          <w:sz w:val="24"/>
          <w:szCs w:val="24"/>
        </w:rPr>
      </w:pPr>
    </w:p>
    <w:p w14:paraId="33FC76D5" w14:textId="11BC0190" w:rsidR="00C107CD"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13CC3" w:rsidRPr="007E372C">
        <w:rPr>
          <w:rFonts w:ascii="Arial" w:hAnsi="Arial" w:cs="Arial"/>
          <w:sz w:val="24"/>
          <w:szCs w:val="24"/>
        </w:rPr>
        <w:t xml:space="preserve">The complainant testified that </w:t>
      </w:r>
      <w:r w:rsidR="00A03996" w:rsidRPr="007E372C">
        <w:rPr>
          <w:rFonts w:ascii="Arial" w:hAnsi="Arial" w:cs="Arial"/>
          <w:sz w:val="24"/>
          <w:szCs w:val="24"/>
        </w:rPr>
        <w:t>he would regularly visit the accused’s home, which he loved to do.  Where reference was made to the accused’s home in evidence, it became clear that the complainant was referring to the home of the accused’s mother, S.G.M.  O</w:t>
      </w:r>
      <w:r w:rsidR="00BE3ACF" w:rsidRPr="007E372C">
        <w:rPr>
          <w:rFonts w:ascii="Arial" w:hAnsi="Arial" w:cs="Arial"/>
          <w:sz w:val="24"/>
          <w:szCs w:val="24"/>
        </w:rPr>
        <w:t>n</w:t>
      </w:r>
      <w:r w:rsidR="00A03996" w:rsidRPr="007E372C">
        <w:rPr>
          <w:rFonts w:ascii="Arial" w:hAnsi="Arial" w:cs="Arial"/>
          <w:sz w:val="24"/>
          <w:szCs w:val="24"/>
        </w:rPr>
        <w:t xml:space="preserve"> the day in question, the complainant </w:t>
      </w:r>
      <w:r w:rsidR="00BE3ACF" w:rsidRPr="007E372C">
        <w:rPr>
          <w:rFonts w:ascii="Arial" w:hAnsi="Arial" w:cs="Arial"/>
          <w:sz w:val="24"/>
          <w:szCs w:val="24"/>
        </w:rPr>
        <w:t>visited S.G.M’s home. Shortly after his arrival, S.G.M.</w:t>
      </w:r>
      <w:r w:rsidR="00955E63" w:rsidRPr="007E372C">
        <w:rPr>
          <w:rFonts w:ascii="Arial" w:hAnsi="Arial" w:cs="Arial"/>
          <w:sz w:val="24"/>
          <w:szCs w:val="24"/>
        </w:rPr>
        <w:t xml:space="preserve"> allegedly</w:t>
      </w:r>
      <w:r w:rsidR="00BE3ACF" w:rsidRPr="007E372C">
        <w:rPr>
          <w:rFonts w:ascii="Arial" w:hAnsi="Arial" w:cs="Arial"/>
          <w:sz w:val="24"/>
          <w:szCs w:val="24"/>
        </w:rPr>
        <w:t xml:space="preserve"> sent him to the shop to purchase a number of goods for her, which he duly did.  After delivering the goods to S.G.M, he went to play football with some friends on a</w:t>
      </w:r>
      <w:r w:rsidR="00534A2D" w:rsidRPr="007E372C">
        <w:rPr>
          <w:rFonts w:ascii="Arial" w:hAnsi="Arial" w:cs="Arial"/>
          <w:sz w:val="24"/>
          <w:szCs w:val="24"/>
        </w:rPr>
        <w:t xml:space="preserve"> nearby</w:t>
      </w:r>
      <w:r w:rsidR="00BE3ACF" w:rsidRPr="007E372C">
        <w:rPr>
          <w:rFonts w:ascii="Arial" w:hAnsi="Arial" w:cs="Arial"/>
          <w:sz w:val="24"/>
          <w:szCs w:val="24"/>
        </w:rPr>
        <w:t xml:space="preserve"> school field.  When he was finished playing, he returned to his paternal grandmother’s home </w:t>
      </w:r>
      <w:r w:rsidR="003B3297" w:rsidRPr="007E372C">
        <w:rPr>
          <w:rFonts w:ascii="Arial" w:hAnsi="Arial" w:cs="Arial"/>
          <w:sz w:val="24"/>
          <w:szCs w:val="24"/>
        </w:rPr>
        <w:t xml:space="preserve">to find that </w:t>
      </w:r>
      <w:r w:rsidR="00BE3ACF" w:rsidRPr="007E372C">
        <w:rPr>
          <w:rFonts w:ascii="Arial" w:hAnsi="Arial" w:cs="Arial"/>
          <w:sz w:val="24"/>
          <w:szCs w:val="24"/>
        </w:rPr>
        <w:t>no one</w:t>
      </w:r>
      <w:r w:rsidR="00D81A35" w:rsidRPr="007E372C">
        <w:rPr>
          <w:rFonts w:ascii="Arial" w:hAnsi="Arial" w:cs="Arial"/>
          <w:sz w:val="24"/>
          <w:szCs w:val="24"/>
        </w:rPr>
        <w:t xml:space="preserve"> was</w:t>
      </w:r>
      <w:r w:rsidR="00BE3ACF" w:rsidRPr="007E372C">
        <w:rPr>
          <w:rFonts w:ascii="Arial" w:hAnsi="Arial" w:cs="Arial"/>
          <w:sz w:val="24"/>
          <w:szCs w:val="24"/>
        </w:rPr>
        <w:t xml:space="preserve"> there.  He then proceeded back to S.G.M.’s home</w:t>
      </w:r>
      <w:r w:rsidR="003B3297" w:rsidRPr="007E372C">
        <w:rPr>
          <w:rFonts w:ascii="Arial" w:hAnsi="Arial" w:cs="Arial"/>
          <w:sz w:val="24"/>
          <w:szCs w:val="24"/>
        </w:rPr>
        <w:t>,</w:t>
      </w:r>
      <w:r w:rsidR="00BE3ACF" w:rsidRPr="007E372C">
        <w:rPr>
          <w:rFonts w:ascii="Arial" w:hAnsi="Arial" w:cs="Arial"/>
          <w:sz w:val="24"/>
          <w:szCs w:val="24"/>
        </w:rPr>
        <w:t xml:space="preserve"> </w:t>
      </w:r>
      <w:r w:rsidR="003B3297" w:rsidRPr="007E372C">
        <w:rPr>
          <w:rFonts w:ascii="Arial" w:hAnsi="Arial" w:cs="Arial"/>
          <w:sz w:val="24"/>
          <w:szCs w:val="24"/>
        </w:rPr>
        <w:t xml:space="preserve">where </w:t>
      </w:r>
      <w:r w:rsidR="00BE3ACF" w:rsidRPr="007E372C">
        <w:rPr>
          <w:rFonts w:ascii="Arial" w:hAnsi="Arial" w:cs="Arial"/>
          <w:sz w:val="24"/>
          <w:szCs w:val="24"/>
        </w:rPr>
        <w:t xml:space="preserve">S.G.M. had prepared </w:t>
      </w:r>
      <w:r w:rsidR="00BE3ACF" w:rsidRPr="007E372C">
        <w:rPr>
          <w:rFonts w:ascii="Arial" w:hAnsi="Arial" w:cs="Arial"/>
          <w:i/>
          <w:iCs/>
          <w:sz w:val="24"/>
          <w:szCs w:val="24"/>
        </w:rPr>
        <w:t>vetkoek</w:t>
      </w:r>
      <w:r w:rsidR="00BE3ACF" w:rsidRPr="007E372C">
        <w:rPr>
          <w:rFonts w:ascii="Arial" w:hAnsi="Arial" w:cs="Arial"/>
          <w:sz w:val="24"/>
          <w:szCs w:val="24"/>
        </w:rPr>
        <w:t xml:space="preserve"> for lunch.  </w:t>
      </w:r>
      <w:r w:rsidR="00E7433C" w:rsidRPr="007E372C">
        <w:rPr>
          <w:rFonts w:ascii="Arial" w:hAnsi="Arial" w:cs="Arial"/>
          <w:sz w:val="24"/>
          <w:szCs w:val="24"/>
        </w:rPr>
        <w:t>He testified that t</w:t>
      </w:r>
      <w:r w:rsidR="00BE3ACF" w:rsidRPr="007E372C">
        <w:rPr>
          <w:rFonts w:ascii="Arial" w:hAnsi="Arial" w:cs="Arial"/>
          <w:sz w:val="24"/>
          <w:szCs w:val="24"/>
        </w:rPr>
        <w:t xml:space="preserve">he accused fetched </w:t>
      </w:r>
      <w:r w:rsidR="00BE3ACF" w:rsidRPr="007E372C">
        <w:rPr>
          <w:rFonts w:ascii="Arial" w:hAnsi="Arial" w:cs="Arial"/>
          <w:i/>
          <w:iCs/>
          <w:sz w:val="24"/>
          <w:szCs w:val="24"/>
        </w:rPr>
        <w:t>vetkoek</w:t>
      </w:r>
      <w:r w:rsidR="00BE3ACF" w:rsidRPr="007E372C">
        <w:rPr>
          <w:rFonts w:ascii="Arial" w:hAnsi="Arial" w:cs="Arial"/>
          <w:sz w:val="24"/>
          <w:szCs w:val="24"/>
        </w:rPr>
        <w:t xml:space="preserve"> from the main house for his lunch; took </w:t>
      </w:r>
      <w:r w:rsidR="00115110" w:rsidRPr="007E372C">
        <w:rPr>
          <w:rFonts w:ascii="Arial" w:hAnsi="Arial" w:cs="Arial"/>
          <w:sz w:val="24"/>
          <w:szCs w:val="24"/>
        </w:rPr>
        <w:t xml:space="preserve">the </w:t>
      </w:r>
      <w:r w:rsidR="00115110" w:rsidRPr="007E372C">
        <w:rPr>
          <w:rFonts w:ascii="Arial" w:hAnsi="Arial" w:cs="Arial"/>
          <w:i/>
          <w:iCs/>
          <w:sz w:val="24"/>
          <w:szCs w:val="24"/>
        </w:rPr>
        <w:t>vetkoek</w:t>
      </w:r>
      <w:r w:rsidR="00115110" w:rsidRPr="007E372C">
        <w:rPr>
          <w:rFonts w:ascii="Arial" w:hAnsi="Arial" w:cs="Arial"/>
          <w:sz w:val="24"/>
          <w:szCs w:val="24"/>
        </w:rPr>
        <w:t xml:space="preserve"> </w:t>
      </w:r>
      <w:r w:rsidR="00BE3ACF" w:rsidRPr="007E372C">
        <w:rPr>
          <w:rFonts w:ascii="Arial" w:hAnsi="Arial" w:cs="Arial"/>
          <w:sz w:val="24"/>
          <w:szCs w:val="24"/>
        </w:rPr>
        <w:t>to his room</w:t>
      </w:r>
      <w:r w:rsidR="00E7433C" w:rsidRPr="007E372C">
        <w:rPr>
          <w:rFonts w:ascii="Arial" w:hAnsi="Arial" w:cs="Arial"/>
          <w:sz w:val="24"/>
          <w:szCs w:val="24"/>
        </w:rPr>
        <w:t xml:space="preserve">; </w:t>
      </w:r>
      <w:r w:rsidR="00115110" w:rsidRPr="007E372C">
        <w:rPr>
          <w:rFonts w:ascii="Arial" w:hAnsi="Arial" w:cs="Arial"/>
          <w:sz w:val="24"/>
          <w:szCs w:val="24"/>
        </w:rPr>
        <w:t>and</w:t>
      </w:r>
      <w:r w:rsidR="00E7433C" w:rsidRPr="007E372C">
        <w:rPr>
          <w:rFonts w:ascii="Arial" w:hAnsi="Arial" w:cs="Arial"/>
          <w:sz w:val="24"/>
          <w:szCs w:val="24"/>
        </w:rPr>
        <w:t xml:space="preserve"> thereafter brought the</w:t>
      </w:r>
      <w:r w:rsidR="00115110" w:rsidRPr="007E372C">
        <w:rPr>
          <w:rFonts w:ascii="Arial" w:hAnsi="Arial" w:cs="Arial"/>
          <w:sz w:val="24"/>
          <w:szCs w:val="24"/>
        </w:rPr>
        <w:t>m back</w:t>
      </w:r>
      <w:r w:rsidR="00E7433C" w:rsidRPr="007E372C">
        <w:rPr>
          <w:rFonts w:ascii="Arial" w:hAnsi="Arial" w:cs="Arial"/>
          <w:sz w:val="24"/>
          <w:szCs w:val="24"/>
        </w:rPr>
        <w:t xml:space="preserve"> to the main house</w:t>
      </w:r>
      <w:r w:rsidR="00115110" w:rsidRPr="007E372C">
        <w:rPr>
          <w:rFonts w:ascii="Arial" w:hAnsi="Arial" w:cs="Arial"/>
          <w:sz w:val="24"/>
          <w:szCs w:val="24"/>
        </w:rPr>
        <w:t xml:space="preserve">.  Why the accused </w:t>
      </w:r>
      <w:r w:rsidR="00A05E81" w:rsidRPr="007E372C">
        <w:rPr>
          <w:rFonts w:ascii="Arial" w:hAnsi="Arial" w:cs="Arial"/>
          <w:sz w:val="24"/>
          <w:szCs w:val="24"/>
        </w:rPr>
        <w:t>allegedly</w:t>
      </w:r>
      <w:r w:rsidR="00115110" w:rsidRPr="007E372C">
        <w:rPr>
          <w:rFonts w:ascii="Arial" w:hAnsi="Arial" w:cs="Arial"/>
          <w:sz w:val="24"/>
          <w:szCs w:val="24"/>
        </w:rPr>
        <w:t xml:space="preserve"> return</w:t>
      </w:r>
      <w:r w:rsidR="00A05E81" w:rsidRPr="007E372C">
        <w:rPr>
          <w:rFonts w:ascii="Arial" w:hAnsi="Arial" w:cs="Arial"/>
          <w:sz w:val="24"/>
          <w:szCs w:val="24"/>
        </w:rPr>
        <w:t>ed</w:t>
      </w:r>
      <w:r w:rsidR="00115110" w:rsidRPr="007E372C">
        <w:rPr>
          <w:rFonts w:ascii="Arial" w:hAnsi="Arial" w:cs="Arial"/>
          <w:sz w:val="24"/>
          <w:szCs w:val="24"/>
        </w:rPr>
        <w:t xml:space="preserve"> the </w:t>
      </w:r>
      <w:r w:rsidR="00115110" w:rsidRPr="007E372C">
        <w:rPr>
          <w:rFonts w:ascii="Arial" w:hAnsi="Arial" w:cs="Arial"/>
          <w:i/>
          <w:iCs/>
          <w:sz w:val="24"/>
          <w:szCs w:val="24"/>
        </w:rPr>
        <w:t>vetkoek</w:t>
      </w:r>
      <w:r w:rsidR="00A05E81" w:rsidRPr="007E372C">
        <w:rPr>
          <w:rFonts w:ascii="Arial" w:hAnsi="Arial" w:cs="Arial"/>
          <w:sz w:val="24"/>
          <w:szCs w:val="24"/>
        </w:rPr>
        <w:t>,</w:t>
      </w:r>
      <w:r w:rsidR="00115110" w:rsidRPr="007E372C">
        <w:rPr>
          <w:rFonts w:ascii="Arial" w:hAnsi="Arial" w:cs="Arial"/>
          <w:sz w:val="24"/>
          <w:szCs w:val="24"/>
        </w:rPr>
        <w:t xml:space="preserve"> was not explained.</w:t>
      </w:r>
      <w:r w:rsidR="00E7433C" w:rsidRPr="007E372C">
        <w:rPr>
          <w:rFonts w:ascii="Arial" w:hAnsi="Arial" w:cs="Arial"/>
          <w:sz w:val="24"/>
          <w:szCs w:val="24"/>
        </w:rPr>
        <w:t xml:space="preserve"> </w:t>
      </w:r>
      <w:r w:rsidR="00115110" w:rsidRPr="007E372C">
        <w:rPr>
          <w:rFonts w:ascii="Arial" w:hAnsi="Arial" w:cs="Arial"/>
          <w:sz w:val="24"/>
          <w:szCs w:val="24"/>
        </w:rPr>
        <w:t xml:space="preserve"> The accused allegedly </w:t>
      </w:r>
      <w:r w:rsidR="00E7433C" w:rsidRPr="007E372C">
        <w:rPr>
          <w:rFonts w:ascii="Arial" w:hAnsi="Arial" w:cs="Arial"/>
          <w:sz w:val="24"/>
          <w:szCs w:val="24"/>
        </w:rPr>
        <w:t>proceeded to leave the house to visit his friends.</w:t>
      </w:r>
      <w:r w:rsidR="00C107CD" w:rsidRPr="007E372C">
        <w:rPr>
          <w:rFonts w:ascii="Arial" w:hAnsi="Arial" w:cs="Arial"/>
          <w:sz w:val="24"/>
          <w:szCs w:val="24"/>
        </w:rPr>
        <w:t xml:space="preserve">  </w:t>
      </w:r>
    </w:p>
    <w:p w14:paraId="776791D5" w14:textId="77777777" w:rsidR="00C107CD" w:rsidRPr="00C107CD" w:rsidRDefault="00C107CD" w:rsidP="00A05E81">
      <w:pPr>
        <w:pStyle w:val="ListParagraph"/>
        <w:spacing w:after="0" w:line="480" w:lineRule="auto"/>
        <w:rPr>
          <w:rFonts w:ascii="Arial" w:hAnsi="Arial" w:cs="Arial"/>
          <w:sz w:val="24"/>
          <w:szCs w:val="24"/>
        </w:rPr>
      </w:pPr>
    </w:p>
    <w:p w14:paraId="0B7AE115" w14:textId="11907C19" w:rsidR="00E028CE"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[11]</w:t>
      </w:r>
      <w:r>
        <w:rPr>
          <w:rFonts w:ascii="Arial" w:hAnsi="Arial" w:cs="Arial"/>
          <w:sz w:val="24"/>
          <w:szCs w:val="24"/>
        </w:rPr>
        <w:tab/>
      </w:r>
      <w:r w:rsidR="00E7433C" w:rsidRPr="007E372C">
        <w:rPr>
          <w:rFonts w:ascii="Arial" w:hAnsi="Arial" w:cs="Arial"/>
          <w:sz w:val="24"/>
          <w:szCs w:val="24"/>
        </w:rPr>
        <w:t>At some time prior to dinner, the accused arrived home</w:t>
      </w:r>
      <w:r w:rsidR="007077D1" w:rsidRPr="007E372C">
        <w:rPr>
          <w:rFonts w:ascii="Arial" w:hAnsi="Arial" w:cs="Arial"/>
          <w:sz w:val="24"/>
          <w:szCs w:val="24"/>
        </w:rPr>
        <w:t xml:space="preserve">.  He </w:t>
      </w:r>
      <w:r w:rsidR="00E7433C" w:rsidRPr="007E372C">
        <w:rPr>
          <w:rFonts w:ascii="Arial" w:hAnsi="Arial" w:cs="Arial"/>
          <w:sz w:val="24"/>
          <w:szCs w:val="24"/>
        </w:rPr>
        <w:t>took dinner from the main house to have with his girlfriend</w:t>
      </w:r>
      <w:r w:rsidR="007077D1" w:rsidRPr="007E372C">
        <w:rPr>
          <w:rFonts w:ascii="Arial" w:hAnsi="Arial" w:cs="Arial"/>
          <w:sz w:val="24"/>
          <w:szCs w:val="24"/>
        </w:rPr>
        <w:t>, who was in the accused’s house at the relevant time</w:t>
      </w:r>
      <w:r w:rsidR="00E7433C" w:rsidRPr="007E372C">
        <w:rPr>
          <w:rFonts w:ascii="Arial" w:hAnsi="Arial" w:cs="Arial"/>
          <w:sz w:val="24"/>
          <w:szCs w:val="24"/>
        </w:rPr>
        <w:t>.</w:t>
      </w:r>
      <w:r w:rsidR="00E028CE" w:rsidRPr="007E372C">
        <w:rPr>
          <w:rFonts w:ascii="Arial" w:hAnsi="Arial" w:cs="Arial"/>
          <w:sz w:val="24"/>
          <w:szCs w:val="24"/>
        </w:rPr>
        <w:t xml:space="preserve">  Thereafter, S.G.M. pushed the door to the</w:t>
      </w:r>
      <w:r w:rsidR="006A071B" w:rsidRPr="007E372C">
        <w:rPr>
          <w:rFonts w:ascii="Arial" w:hAnsi="Arial" w:cs="Arial"/>
          <w:sz w:val="24"/>
          <w:szCs w:val="24"/>
        </w:rPr>
        <w:t xml:space="preserve"> main</w:t>
      </w:r>
      <w:r w:rsidR="00E028CE" w:rsidRPr="007E372C">
        <w:rPr>
          <w:rFonts w:ascii="Arial" w:hAnsi="Arial" w:cs="Arial"/>
          <w:sz w:val="24"/>
          <w:szCs w:val="24"/>
        </w:rPr>
        <w:t xml:space="preserve"> house closed, without locking it, and he, S.G.M. and S.G.M.’s boyfriend, went to sleep.</w:t>
      </w:r>
      <w:r w:rsidR="0048358C" w:rsidRPr="007E372C">
        <w:rPr>
          <w:rFonts w:ascii="Arial" w:hAnsi="Arial" w:cs="Arial"/>
          <w:sz w:val="24"/>
          <w:szCs w:val="24"/>
        </w:rPr>
        <w:t xml:space="preserve">  S.G.M. and her boyfriend slept in the bedroom of the main house, whilst </w:t>
      </w:r>
      <w:r w:rsidR="0048358C" w:rsidRPr="007E372C">
        <w:rPr>
          <w:rFonts w:ascii="Arial" w:hAnsi="Arial" w:cs="Arial"/>
          <w:sz w:val="24"/>
          <w:szCs w:val="24"/>
        </w:rPr>
        <w:lastRenderedPageBreak/>
        <w:t>the complainant slept on the small 2-seater couch in the living room.  When retiring to the bedroom, S.G.M. and her boyfriend</w:t>
      </w:r>
      <w:r w:rsidR="00A05E81" w:rsidRPr="007E372C">
        <w:rPr>
          <w:rFonts w:ascii="Arial" w:hAnsi="Arial" w:cs="Arial"/>
          <w:sz w:val="24"/>
          <w:szCs w:val="24"/>
        </w:rPr>
        <w:t xml:space="preserve"> allegedly</w:t>
      </w:r>
      <w:r w:rsidR="004752F3" w:rsidRPr="007E372C">
        <w:rPr>
          <w:rFonts w:ascii="Arial" w:hAnsi="Arial" w:cs="Arial"/>
          <w:sz w:val="24"/>
          <w:szCs w:val="24"/>
        </w:rPr>
        <w:t xml:space="preserve"> closed the bedroom door.</w:t>
      </w:r>
      <w:r w:rsidR="008A0092" w:rsidRPr="007E372C">
        <w:rPr>
          <w:rFonts w:ascii="Arial" w:hAnsi="Arial" w:cs="Arial"/>
          <w:sz w:val="24"/>
          <w:szCs w:val="24"/>
        </w:rPr>
        <w:t xml:space="preserve">  </w:t>
      </w:r>
    </w:p>
    <w:p w14:paraId="710BA94C" w14:textId="77777777" w:rsidR="0048358C" w:rsidRDefault="0048358C" w:rsidP="0048358C">
      <w:pPr>
        <w:pStyle w:val="ListParagraph"/>
        <w:spacing w:after="0" w:line="480" w:lineRule="auto"/>
        <w:ind w:left="851"/>
        <w:jc w:val="both"/>
        <w:rPr>
          <w:rFonts w:ascii="Arial" w:hAnsi="Arial" w:cs="Arial"/>
          <w:sz w:val="24"/>
          <w:szCs w:val="24"/>
        </w:rPr>
      </w:pPr>
    </w:p>
    <w:p w14:paraId="0DD67D3A" w14:textId="5DAB824D" w:rsidR="002877D7"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[12]</w:t>
      </w:r>
      <w:r>
        <w:rPr>
          <w:rFonts w:ascii="Arial" w:hAnsi="Arial" w:cs="Arial"/>
          <w:sz w:val="24"/>
          <w:szCs w:val="24"/>
        </w:rPr>
        <w:tab/>
      </w:r>
      <w:r w:rsidR="004752F3" w:rsidRPr="007E372C">
        <w:rPr>
          <w:rFonts w:ascii="Arial" w:hAnsi="Arial" w:cs="Arial"/>
          <w:sz w:val="24"/>
          <w:szCs w:val="24"/>
        </w:rPr>
        <w:t xml:space="preserve">Notwithstanding </w:t>
      </w:r>
      <w:r w:rsidR="00A115E3" w:rsidRPr="007E372C">
        <w:rPr>
          <w:rFonts w:ascii="Arial" w:hAnsi="Arial" w:cs="Arial"/>
          <w:sz w:val="24"/>
          <w:szCs w:val="24"/>
        </w:rPr>
        <w:t xml:space="preserve">the complainant’s prior </w:t>
      </w:r>
      <w:r w:rsidR="004752F3" w:rsidRPr="007E372C">
        <w:rPr>
          <w:rFonts w:ascii="Arial" w:hAnsi="Arial" w:cs="Arial"/>
          <w:sz w:val="24"/>
          <w:szCs w:val="24"/>
        </w:rPr>
        <w:t xml:space="preserve">evidence that he had gone to sleep, the complainant thereafter </w:t>
      </w:r>
      <w:r w:rsidR="0048358C" w:rsidRPr="007E372C">
        <w:rPr>
          <w:rFonts w:ascii="Arial" w:hAnsi="Arial" w:cs="Arial"/>
          <w:sz w:val="24"/>
          <w:szCs w:val="24"/>
        </w:rPr>
        <w:t>testified that</w:t>
      </w:r>
      <w:r w:rsidR="004752F3" w:rsidRPr="007E372C">
        <w:rPr>
          <w:rFonts w:ascii="Arial" w:hAnsi="Arial" w:cs="Arial"/>
          <w:sz w:val="24"/>
          <w:szCs w:val="24"/>
        </w:rPr>
        <w:t xml:space="preserve"> some time later, </w:t>
      </w:r>
      <w:r w:rsidR="0048358C" w:rsidRPr="007E372C">
        <w:rPr>
          <w:rFonts w:ascii="Arial" w:hAnsi="Arial" w:cs="Arial"/>
          <w:sz w:val="24"/>
          <w:szCs w:val="24"/>
        </w:rPr>
        <w:t>whilst he was watching Popeye on the television, the accused entered the main house</w:t>
      </w:r>
      <w:r w:rsidR="004752F3" w:rsidRPr="007E372C">
        <w:rPr>
          <w:rFonts w:ascii="Arial" w:hAnsi="Arial" w:cs="Arial"/>
          <w:sz w:val="24"/>
          <w:szCs w:val="24"/>
        </w:rPr>
        <w:t xml:space="preserve"> and watched television with him.  This was but one of the many inconsistencies in </w:t>
      </w:r>
      <w:r w:rsidR="00F1545C" w:rsidRPr="007E372C">
        <w:rPr>
          <w:rFonts w:ascii="Arial" w:hAnsi="Arial" w:cs="Arial"/>
          <w:sz w:val="24"/>
          <w:szCs w:val="24"/>
        </w:rPr>
        <w:t>the complainant’s</w:t>
      </w:r>
      <w:r w:rsidR="004752F3" w:rsidRPr="007E372C">
        <w:rPr>
          <w:rFonts w:ascii="Arial" w:hAnsi="Arial" w:cs="Arial"/>
          <w:sz w:val="24"/>
          <w:szCs w:val="24"/>
        </w:rPr>
        <w:t xml:space="preserve"> evidence.  He thereafter</w:t>
      </w:r>
      <w:r w:rsidR="00165E92" w:rsidRPr="007E372C">
        <w:rPr>
          <w:rFonts w:ascii="Arial" w:hAnsi="Arial" w:cs="Arial"/>
          <w:sz w:val="24"/>
          <w:szCs w:val="24"/>
        </w:rPr>
        <w:t xml:space="preserve"> contends that he</w:t>
      </w:r>
      <w:r w:rsidR="004752F3" w:rsidRPr="007E372C">
        <w:rPr>
          <w:rFonts w:ascii="Arial" w:hAnsi="Arial" w:cs="Arial"/>
          <w:sz w:val="24"/>
          <w:szCs w:val="24"/>
        </w:rPr>
        <w:t xml:space="preserve"> fell asleep</w:t>
      </w:r>
      <w:r w:rsidR="00506E35" w:rsidRPr="007E372C">
        <w:rPr>
          <w:rFonts w:ascii="Arial" w:hAnsi="Arial" w:cs="Arial"/>
          <w:sz w:val="24"/>
          <w:szCs w:val="24"/>
        </w:rPr>
        <w:t xml:space="preserve"> in the presence of the accused</w:t>
      </w:r>
      <w:r w:rsidR="003B4BE4" w:rsidRPr="007E372C">
        <w:rPr>
          <w:rFonts w:ascii="Arial" w:hAnsi="Arial" w:cs="Arial"/>
          <w:sz w:val="24"/>
          <w:szCs w:val="24"/>
        </w:rPr>
        <w:t xml:space="preserve">, who then </w:t>
      </w:r>
      <w:r w:rsidR="004752F3" w:rsidRPr="007E372C">
        <w:rPr>
          <w:rFonts w:ascii="Arial" w:hAnsi="Arial" w:cs="Arial"/>
          <w:sz w:val="24"/>
          <w:szCs w:val="24"/>
        </w:rPr>
        <w:t>did “</w:t>
      </w:r>
      <w:r w:rsidR="004752F3" w:rsidRPr="007E372C">
        <w:rPr>
          <w:rFonts w:ascii="Arial" w:hAnsi="Arial" w:cs="Arial"/>
          <w:i/>
          <w:iCs/>
          <w:sz w:val="24"/>
          <w:szCs w:val="24"/>
        </w:rPr>
        <w:t>dirty things</w:t>
      </w:r>
      <w:r w:rsidR="004752F3" w:rsidRPr="007E372C">
        <w:rPr>
          <w:rFonts w:ascii="Arial" w:hAnsi="Arial" w:cs="Arial"/>
          <w:sz w:val="24"/>
          <w:szCs w:val="24"/>
        </w:rPr>
        <w:t xml:space="preserve">” to him.  </w:t>
      </w:r>
      <w:r w:rsidR="002877D7" w:rsidRPr="007E372C">
        <w:rPr>
          <w:rFonts w:ascii="Arial" w:hAnsi="Arial" w:cs="Arial"/>
          <w:sz w:val="24"/>
          <w:szCs w:val="24"/>
        </w:rPr>
        <w:t>I pause to mention that it was clarified in evidence that where reference was made to “</w:t>
      </w:r>
      <w:r w:rsidR="002877D7" w:rsidRPr="007E372C">
        <w:rPr>
          <w:rFonts w:ascii="Arial" w:hAnsi="Arial" w:cs="Arial"/>
          <w:i/>
          <w:iCs/>
          <w:sz w:val="24"/>
          <w:szCs w:val="24"/>
        </w:rPr>
        <w:t>dirty things</w:t>
      </w:r>
      <w:r w:rsidR="002877D7" w:rsidRPr="007E372C">
        <w:rPr>
          <w:rFonts w:ascii="Arial" w:hAnsi="Arial" w:cs="Arial"/>
          <w:sz w:val="24"/>
          <w:szCs w:val="24"/>
        </w:rPr>
        <w:t>”</w:t>
      </w:r>
      <w:r w:rsidR="000E6886" w:rsidRPr="007E372C">
        <w:rPr>
          <w:rFonts w:ascii="Arial" w:hAnsi="Arial" w:cs="Arial"/>
          <w:sz w:val="24"/>
          <w:szCs w:val="24"/>
        </w:rPr>
        <w:t xml:space="preserve"> by the complainant</w:t>
      </w:r>
      <w:r w:rsidR="002877D7" w:rsidRPr="007E372C">
        <w:rPr>
          <w:rFonts w:ascii="Arial" w:hAnsi="Arial" w:cs="Arial"/>
          <w:sz w:val="24"/>
          <w:szCs w:val="24"/>
        </w:rPr>
        <w:t xml:space="preserve">, it meant sexual intercourse by the penetration of the accused’s penis into the complainant’s anus.  </w:t>
      </w:r>
      <w:r w:rsidR="004752F3" w:rsidRPr="007E372C">
        <w:rPr>
          <w:rFonts w:ascii="Arial" w:hAnsi="Arial" w:cs="Arial"/>
          <w:sz w:val="24"/>
          <w:szCs w:val="24"/>
        </w:rPr>
        <w:t xml:space="preserve">The complainant gave a detailed, but somewhat evolving, description of the </w:t>
      </w:r>
      <w:r w:rsidR="000E6886" w:rsidRPr="007E372C">
        <w:rPr>
          <w:rFonts w:ascii="Arial" w:hAnsi="Arial" w:cs="Arial"/>
          <w:sz w:val="24"/>
          <w:szCs w:val="24"/>
        </w:rPr>
        <w:t xml:space="preserve">alleged </w:t>
      </w:r>
      <w:r w:rsidR="004752F3" w:rsidRPr="007E372C">
        <w:rPr>
          <w:rFonts w:ascii="Arial" w:hAnsi="Arial" w:cs="Arial"/>
          <w:sz w:val="24"/>
          <w:szCs w:val="24"/>
        </w:rPr>
        <w:t xml:space="preserve">sexual assault.  </w:t>
      </w:r>
    </w:p>
    <w:p w14:paraId="788EC4B4" w14:textId="77777777" w:rsidR="002877D7" w:rsidRPr="002877D7" w:rsidRDefault="002877D7" w:rsidP="00925FAB">
      <w:pPr>
        <w:pStyle w:val="ListParagraph"/>
        <w:spacing w:after="0" w:line="480" w:lineRule="auto"/>
        <w:rPr>
          <w:rFonts w:ascii="Arial" w:hAnsi="Arial" w:cs="Arial"/>
          <w:sz w:val="24"/>
          <w:szCs w:val="24"/>
        </w:rPr>
      </w:pPr>
    </w:p>
    <w:p w14:paraId="5E84CCE8" w14:textId="15208E77" w:rsidR="00404111"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752F3" w:rsidRPr="007E372C">
        <w:rPr>
          <w:rFonts w:ascii="Arial" w:hAnsi="Arial" w:cs="Arial"/>
          <w:sz w:val="24"/>
          <w:szCs w:val="24"/>
        </w:rPr>
        <w:t>He stated that he was lying on his back when the accused approached him and did dirty things to him.</w:t>
      </w:r>
      <w:r w:rsidR="002877D7" w:rsidRPr="007E372C">
        <w:rPr>
          <w:rFonts w:ascii="Arial" w:hAnsi="Arial" w:cs="Arial"/>
          <w:sz w:val="24"/>
          <w:szCs w:val="24"/>
        </w:rPr>
        <w:t xml:space="preserve">  He</w:t>
      </w:r>
      <w:r w:rsidR="00404111" w:rsidRPr="007E372C">
        <w:rPr>
          <w:rFonts w:ascii="Arial" w:hAnsi="Arial" w:cs="Arial"/>
          <w:sz w:val="24"/>
          <w:szCs w:val="24"/>
        </w:rPr>
        <w:t xml:space="preserve"> further contended that he</w:t>
      </w:r>
      <w:r w:rsidR="002877D7" w:rsidRPr="007E372C">
        <w:rPr>
          <w:rFonts w:ascii="Arial" w:hAnsi="Arial" w:cs="Arial"/>
          <w:sz w:val="24"/>
          <w:szCs w:val="24"/>
        </w:rPr>
        <w:t xml:space="preserve"> was asleep at the time and </w:t>
      </w:r>
      <w:r w:rsidR="00404111" w:rsidRPr="007E372C">
        <w:rPr>
          <w:rFonts w:ascii="Arial" w:hAnsi="Arial" w:cs="Arial"/>
          <w:sz w:val="24"/>
          <w:szCs w:val="24"/>
        </w:rPr>
        <w:t xml:space="preserve">only </w:t>
      </w:r>
      <w:r w:rsidR="002877D7" w:rsidRPr="007E372C">
        <w:rPr>
          <w:rFonts w:ascii="Arial" w:hAnsi="Arial" w:cs="Arial"/>
          <w:sz w:val="24"/>
          <w:szCs w:val="24"/>
        </w:rPr>
        <w:t>awoke whilst the accused was in the process of the commission of the offence</w:t>
      </w:r>
      <w:r w:rsidR="00596D74" w:rsidRPr="007E372C">
        <w:rPr>
          <w:rFonts w:ascii="Arial" w:hAnsi="Arial" w:cs="Arial"/>
          <w:sz w:val="24"/>
          <w:szCs w:val="24"/>
        </w:rPr>
        <w:t>.</w:t>
      </w:r>
      <w:r w:rsidR="002877D7" w:rsidRPr="007E372C">
        <w:rPr>
          <w:rFonts w:ascii="Arial" w:hAnsi="Arial" w:cs="Arial"/>
          <w:sz w:val="24"/>
          <w:szCs w:val="24"/>
        </w:rPr>
        <w:t xml:space="preserve"> </w:t>
      </w:r>
      <w:r w:rsidR="004752F3" w:rsidRPr="007E372C">
        <w:rPr>
          <w:rFonts w:ascii="Arial" w:hAnsi="Arial" w:cs="Arial"/>
          <w:sz w:val="24"/>
          <w:szCs w:val="24"/>
        </w:rPr>
        <w:t xml:space="preserve"> </w:t>
      </w:r>
      <w:r w:rsidR="00404111" w:rsidRPr="007E372C">
        <w:rPr>
          <w:rFonts w:ascii="Arial" w:hAnsi="Arial" w:cs="Arial"/>
          <w:sz w:val="24"/>
          <w:szCs w:val="24"/>
        </w:rPr>
        <w:t>He stated that w</w:t>
      </w:r>
      <w:r w:rsidR="004752F3" w:rsidRPr="007E372C">
        <w:rPr>
          <w:rFonts w:ascii="Arial" w:hAnsi="Arial" w:cs="Arial"/>
          <w:sz w:val="24"/>
          <w:szCs w:val="24"/>
        </w:rPr>
        <w:t xml:space="preserve">hen </w:t>
      </w:r>
      <w:r w:rsidR="002877D7" w:rsidRPr="007E372C">
        <w:rPr>
          <w:rFonts w:ascii="Arial" w:hAnsi="Arial" w:cs="Arial"/>
          <w:sz w:val="24"/>
          <w:szCs w:val="24"/>
        </w:rPr>
        <w:t>t</w:t>
      </w:r>
      <w:r w:rsidR="004752F3" w:rsidRPr="007E372C">
        <w:rPr>
          <w:rFonts w:ascii="Arial" w:hAnsi="Arial" w:cs="Arial"/>
          <w:sz w:val="24"/>
          <w:szCs w:val="24"/>
        </w:rPr>
        <w:t>he</w:t>
      </w:r>
      <w:r w:rsidR="002877D7" w:rsidRPr="007E372C">
        <w:rPr>
          <w:rFonts w:ascii="Arial" w:hAnsi="Arial" w:cs="Arial"/>
          <w:sz w:val="24"/>
          <w:szCs w:val="24"/>
        </w:rPr>
        <w:t xml:space="preserve"> accused was finished</w:t>
      </w:r>
      <w:r w:rsidR="004752F3" w:rsidRPr="007E372C">
        <w:rPr>
          <w:rFonts w:ascii="Arial" w:hAnsi="Arial" w:cs="Arial"/>
          <w:sz w:val="24"/>
          <w:szCs w:val="24"/>
        </w:rPr>
        <w:t xml:space="preserve">, </w:t>
      </w:r>
      <w:r w:rsidR="002877D7" w:rsidRPr="007E372C">
        <w:rPr>
          <w:rFonts w:ascii="Arial" w:hAnsi="Arial" w:cs="Arial"/>
          <w:sz w:val="24"/>
          <w:szCs w:val="24"/>
        </w:rPr>
        <w:t xml:space="preserve">the complainant wanted to </w:t>
      </w:r>
      <w:r w:rsidR="009C176F" w:rsidRPr="007E372C">
        <w:rPr>
          <w:rFonts w:ascii="Arial" w:hAnsi="Arial" w:cs="Arial"/>
          <w:sz w:val="24"/>
          <w:szCs w:val="24"/>
        </w:rPr>
        <w:t>continue watching television</w:t>
      </w:r>
      <w:r w:rsidR="00404111" w:rsidRPr="007E372C">
        <w:rPr>
          <w:rFonts w:ascii="Arial" w:hAnsi="Arial" w:cs="Arial"/>
          <w:sz w:val="24"/>
          <w:szCs w:val="24"/>
        </w:rPr>
        <w:t>,</w:t>
      </w:r>
      <w:r w:rsidR="009C176F" w:rsidRPr="007E372C">
        <w:rPr>
          <w:rFonts w:ascii="Arial" w:hAnsi="Arial" w:cs="Arial"/>
          <w:sz w:val="24"/>
          <w:szCs w:val="24"/>
        </w:rPr>
        <w:t xml:space="preserve"> </w:t>
      </w:r>
      <w:r w:rsidR="002877D7" w:rsidRPr="007E372C">
        <w:rPr>
          <w:rFonts w:ascii="Arial" w:hAnsi="Arial" w:cs="Arial"/>
          <w:sz w:val="24"/>
          <w:szCs w:val="24"/>
        </w:rPr>
        <w:t xml:space="preserve">but the </w:t>
      </w:r>
      <w:r w:rsidR="004752F3" w:rsidRPr="007E372C">
        <w:rPr>
          <w:rFonts w:ascii="Arial" w:hAnsi="Arial" w:cs="Arial"/>
          <w:sz w:val="24"/>
          <w:szCs w:val="24"/>
        </w:rPr>
        <w:t xml:space="preserve">accused </w:t>
      </w:r>
      <w:r w:rsidR="002877D7" w:rsidRPr="007E372C">
        <w:rPr>
          <w:rFonts w:ascii="Arial" w:hAnsi="Arial" w:cs="Arial"/>
          <w:sz w:val="24"/>
          <w:szCs w:val="24"/>
        </w:rPr>
        <w:t xml:space="preserve">grabbed him and </w:t>
      </w:r>
      <w:r w:rsidR="004752F3" w:rsidRPr="007E372C">
        <w:rPr>
          <w:rFonts w:ascii="Arial" w:hAnsi="Arial" w:cs="Arial"/>
          <w:sz w:val="24"/>
          <w:szCs w:val="24"/>
        </w:rPr>
        <w:t>told him to lie on his stomach</w:t>
      </w:r>
      <w:r w:rsidR="002877D7" w:rsidRPr="007E372C">
        <w:rPr>
          <w:rFonts w:ascii="Arial" w:hAnsi="Arial" w:cs="Arial"/>
          <w:sz w:val="24"/>
          <w:szCs w:val="24"/>
        </w:rPr>
        <w:t>.</w:t>
      </w:r>
      <w:r w:rsidR="00651329" w:rsidRPr="007E372C">
        <w:rPr>
          <w:rFonts w:ascii="Arial" w:hAnsi="Arial" w:cs="Arial"/>
          <w:sz w:val="24"/>
          <w:szCs w:val="24"/>
        </w:rPr>
        <w:t xml:space="preserve">  As to where </w:t>
      </w:r>
      <w:r w:rsidR="00831902" w:rsidRPr="007E372C">
        <w:rPr>
          <w:rFonts w:ascii="Arial" w:hAnsi="Arial" w:cs="Arial"/>
          <w:sz w:val="24"/>
          <w:szCs w:val="24"/>
        </w:rPr>
        <w:t xml:space="preserve">on his body </w:t>
      </w:r>
      <w:r w:rsidR="00404111" w:rsidRPr="007E372C">
        <w:rPr>
          <w:rFonts w:ascii="Arial" w:hAnsi="Arial" w:cs="Arial"/>
          <w:sz w:val="24"/>
          <w:szCs w:val="24"/>
        </w:rPr>
        <w:t xml:space="preserve">the accused had grabbed him, </w:t>
      </w:r>
      <w:r w:rsidR="00651329" w:rsidRPr="007E372C">
        <w:rPr>
          <w:rFonts w:ascii="Arial" w:hAnsi="Arial" w:cs="Arial"/>
          <w:sz w:val="24"/>
          <w:szCs w:val="24"/>
        </w:rPr>
        <w:t xml:space="preserve">changed as the evidence </w:t>
      </w:r>
      <w:r w:rsidR="00B233D1" w:rsidRPr="007E372C">
        <w:rPr>
          <w:rFonts w:ascii="Arial" w:hAnsi="Arial" w:cs="Arial"/>
          <w:sz w:val="24"/>
          <w:szCs w:val="24"/>
        </w:rPr>
        <w:t xml:space="preserve">proceeded, from </w:t>
      </w:r>
      <w:r w:rsidR="00651329" w:rsidRPr="007E372C">
        <w:rPr>
          <w:rFonts w:ascii="Arial" w:hAnsi="Arial" w:cs="Arial"/>
          <w:sz w:val="24"/>
          <w:szCs w:val="24"/>
        </w:rPr>
        <w:t xml:space="preserve">around his waist; </w:t>
      </w:r>
      <w:r w:rsidR="00B233D1" w:rsidRPr="007E372C">
        <w:rPr>
          <w:rFonts w:ascii="Arial" w:hAnsi="Arial" w:cs="Arial"/>
          <w:sz w:val="24"/>
          <w:szCs w:val="24"/>
        </w:rPr>
        <w:t xml:space="preserve">to </w:t>
      </w:r>
      <w:r w:rsidR="00651329" w:rsidRPr="007E372C">
        <w:rPr>
          <w:rFonts w:ascii="Arial" w:hAnsi="Arial" w:cs="Arial"/>
          <w:sz w:val="24"/>
          <w:szCs w:val="24"/>
        </w:rPr>
        <w:t xml:space="preserve">on his shoulders; and </w:t>
      </w:r>
      <w:r w:rsidR="00B233D1" w:rsidRPr="007E372C">
        <w:rPr>
          <w:rFonts w:ascii="Arial" w:hAnsi="Arial" w:cs="Arial"/>
          <w:sz w:val="24"/>
          <w:szCs w:val="24"/>
        </w:rPr>
        <w:t xml:space="preserve">lastly, to </w:t>
      </w:r>
      <w:r w:rsidR="00651329" w:rsidRPr="007E372C">
        <w:rPr>
          <w:rFonts w:ascii="Arial" w:hAnsi="Arial" w:cs="Arial"/>
          <w:sz w:val="24"/>
          <w:szCs w:val="24"/>
        </w:rPr>
        <w:t>around his neck.</w:t>
      </w:r>
      <w:r w:rsidR="002877D7" w:rsidRPr="007E372C">
        <w:rPr>
          <w:rFonts w:ascii="Arial" w:hAnsi="Arial" w:cs="Arial"/>
          <w:sz w:val="24"/>
          <w:szCs w:val="24"/>
        </w:rPr>
        <w:t xml:space="preserve">  </w:t>
      </w:r>
    </w:p>
    <w:p w14:paraId="27B5D3D3" w14:textId="77777777" w:rsidR="00404111" w:rsidRPr="00404111" w:rsidRDefault="00404111" w:rsidP="00404111">
      <w:pPr>
        <w:pStyle w:val="ListParagraph"/>
        <w:spacing w:after="0" w:line="480" w:lineRule="auto"/>
        <w:rPr>
          <w:rFonts w:ascii="Arial" w:hAnsi="Arial" w:cs="Arial"/>
          <w:sz w:val="24"/>
          <w:szCs w:val="24"/>
        </w:rPr>
      </w:pPr>
    </w:p>
    <w:p w14:paraId="5D84AB24" w14:textId="3F9EC166" w:rsidR="00831902"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B233D1" w:rsidRPr="007E372C">
        <w:rPr>
          <w:rFonts w:ascii="Arial" w:hAnsi="Arial" w:cs="Arial"/>
          <w:sz w:val="24"/>
          <w:szCs w:val="24"/>
        </w:rPr>
        <w:t>In any event, t</w:t>
      </w:r>
      <w:r w:rsidR="002877D7" w:rsidRPr="007E372C">
        <w:rPr>
          <w:rFonts w:ascii="Arial" w:hAnsi="Arial" w:cs="Arial"/>
          <w:sz w:val="24"/>
          <w:szCs w:val="24"/>
        </w:rPr>
        <w:t>he complainant</w:t>
      </w:r>
      <w:r w:rsidR="00831902" w:rsidRPr="007E372C">
        <w:rPr>
          <w:rFonts w:ascii="Arial" w:hAnsi="Arial" w:cs="Arial"/>
          <w:sz w:val="24"/>
          <w:szCs w:val="24"/>
        </w:rPr>
        <w:t xml:space="preserve"> testified that he</w:t>
      </w:r>
      <w:r w:rsidR="002877D7" w:rsidRPr="007E372C">
        <w:rPr>
          <w:rFonts w:ascii="Arial" w:hAnsi="Arial" w:cs="Arial"/>
          <w:sz w:val="24"/>
          <w:szCs w:val="24"/>
        </w:rPr>
        <w:t xml:space="preserve"> complied</w:t>
      </w:r>
      <w:r w:rsidR="00B233D1" w:rsidRPr="007E372C">
        <w:rPr>
          <w:rFonts w:ascii="Arial" w:hAnsi="Arial" w:cs="Arial"/>
          <w:sz w:val="24"/>
          <w:szCs w:val="24"/>
        </w:rPr>
        <w:t xml:space="preserve"> </w:t>
      </w:r>
      <w:r w:rsidR="00831902" w:rsidRPr="007E372C">
        <w:rPr>
          <w:rFonts w:ascii="Arial" w:hAnsi="Arial" w:cs="Arial"/>
          <w:sz w:val="24"/>
          <w:szCs w:val="24"/>
        </w:rPr>
        <w:t xml:space="preserve">with the accused’s instructions </w:t>
      </w:r>
      <w:r w:rsidR="00B233D1" w:rsidRPr="007E372C">
        <w:rPr>
          <w:rFonts w:ascii="Arial" w:hAnsi="Arial" w:cs="Arial"/>
          <w:sz w:val="24"/>
          <w:szCs w:val="24"/>
        </w:rPr>
        <w:t>and lay on his stomach</w:t>
      </w:r>
      <w:r w:rsidR="0002710C" w:rsidRPr="007E372C">
        <w:rPr>
          <w:rFonts w:ascii="Arial" w:hAnsi="Arial" w:cs="Arial"/>
          <w:sz w:val="24"/>
          <w:szCs w:val="24"/>
        </w:rPr>
        <w:t xml:space="preserve">.  The accused </w:t>
      </w:r>
      <w:r w:rsidR="00831902" w:rsidRPr="007E372C">
        <w:rPr>
          <w:rFonts w:ascii="Arial" w:hAnsi="Arial" w:cs="Arial"/>
          <w:sz w:val="24"/>
          <w:szCs w:val="24"/>
        </w:rPr>
        <w:t xml:space="preserve">proceeded to lie </w:t>
      </w:r>
      <w:r w:rsidR="0002710C" w:rsidRPr="007E372C">
        <w:rPr>
          <w:rFonts w:ascii="Arial" w:hAnsi="Arial" w:cs="Arial"/>
          <w:sz w:val="24"/>
          <w:szCs w:val="24"/>
        </w:rPr>
        <w:t>on top of the complainant and inserted his penis into the complainant’s anus.</w:t>
      </w:r>
      <w:r w:rsidR="00880D2C" w:rsidRPr="007E372C">
        <w:rPr>
          <w:rFonts w:ascii="Arial" w:hAnsi="Arial" w:cs="Arial"/>
          <w:sz w:val="24"/>
          <w:szCs w:val="24"/>
        </w:rPr>
        <w:t xml:space="preserve">  The complainant described the </w:t>
      </w:r>
      <w:r w:rsidR="00404111" w:rsidRPr="007E372C">
        <w:rPr>
          <w:rFonts w:ascii="Arial" w:hAnsi="Arial" w:cs="Arial"/>
          <w:sz w:val="24"/>
          <w:szCs w:val="24"/>
        </w:rPr>
        <w:t xml:space="preserve">alleged </w:t>
      </w:r>
      <w:r w:rsidR="00880D2C" w:rsidRPr="007E372C">
        <w:rPr>
          <w:rFonts w:ascii="Arial" w:hAnsi="Arial" w:cs="Arial"/>
          <w:sz w:val="24"/>
          <w:szCs w:val="24"/>
        </w:rPr>
        <w:t>sexual assault as having carried on for a long period of time</w:t>
      </w:r>
      <w:r w:rsidR="00506E35" w:rsidRPr="007E372C">
        <w:rPr>
          <w:rFonts w:ascii="Arial" w:hAnsi="Arial" w:cs="Arial"/>
          <w:sz w:val="24"/>
          <w:szCs w:val="24"/>
        </w:rPr>
        <w:t xml:space="preserve">, all the while, the accused’s mother and her boyfriend were asleep in a room no more than one meter away, in the </w:t>
      </w:r>
      <w:r w:rsidR="00831902" w:rsidRPr="007E372C">
        <w:rPr>
          <w:rFonts w:ascii="Arial" w:hAnsi="Arial" w:cs="Arial"/>
          <w:sz w:val="24"/>
          <w:szCs w:val="24"/>
        </w:rPr>
        <w:t xml:space="preserve">architectural </w:t>
      </w:r>
      <w:r w:rsidR="00506E35" w:rsidRPr="007E372C">
        <w:rPr>
          <w:rFonts w:ascii="Arial" w:hAnsi="Arial" w:cs="Arial"/>
          <w:sz w:val="24"/>
          <w:szCs w:val="24"/>
        </w:rPr>
        <w:t>circumstances</w:t>
      </w:r>
      <w:r w:rsidR="00F32933" w:rsidRPr="007E372C">
        <w:rPr>
          <w:rFonts w:ascii="Arial" w:hAnsi="Arial" w:cs="Arial"/>
          <w:sz w:val="24"/>
          <w:szCs w:val="24"/>
        </w:rPr>
        <w:t>, which I have</w:t>
      </w:r>
      <w:r w:rsidR="00506E35" w:rsidRPr="007E372C">
        <w:rPr>
          <w:rFonts w:ascii="Arial" w:hAnsi="Arial" w:cs="Arial"/>
          <w:sz w:val="24"/>
          <w:szCs w:val="24"/>
        </w:rPr>
        <w:t xml:space="preserve"> described above</w:t>
      </w:r>
      <w:r w:rsidR="00880D2C" w:rsidRPr="007E372C">
        <w:rPr>
          <w:rFonts w:ascii="Arial" w:hAnsi="Arial" w:cs="Arial"/>
          <w:sz w:val="24"/>
          <w:szCs w:val="24"/>
        </w:rPr>
        <w:t>.</w:t>
      </w:r>
      <w:r w:rsidR="0002710C" w:rsidRPr="007E372C">
        <w:rPr>
          <w:rFonts w:ascii="Arial" w:hAnsi="Arial" w:cs="Arial"/>
          <w:sz w:val="24"/>
          <w:szCs w:val="24"/>
        </w:rPr>
        <w:t xml:space="preserve">  </w:t>
      </w:r>
    </w:p>
    <w:p w14:paraId="45A67F43" w14:textId="77777777" w:rsidR="00831902" w:rsidRPr="00831902" w:rsidRDefault="00831902" w:rsidP="00B03F0B">
      <w:pPr>
        <w:pStyle w:val="ListParagraph"/>
        <w:spacing w:after="0" w:line="480" w:lineRule="auto"/>
        <w:rPr>
          <w:rFonts w:ascii="Arial" w:hAnsi="Arial" w:cs="Arial"/>
          <w:sz w:val="24"/>
          <w:szCs w:val="24"/>
        </w:rPr>
      </w:pPr>
    </w:p>
    <w:p w14:paraId="54CBC503" w14:textId="7A36D863" w:rsidR="00150804"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2710C" w:rsidRPr="007E372C">
        <w:rPr>
          <w:rFonts w:ascii="Arial" w:hAnsi="Arial" w:cs="Arial"/>
          <w:sz w:val="24"/>
          <w:szCs w:val="24"/>
        </w:rPr>
        <w:t xml:space="preserve">The complainant </w:t>
      </w:r>
      <w:r w:rsidR="003F6C54" w:rsidRPr="007E372C">
        <w:rPr>
          <w:rFonts w:ascii="Arial" w:hAnsi="Arial" w:cs="Arial"/>
          <w:sz w:val="24"/>
          <w:szCs w:val="24"/>
        </w:rPr>
        <w:t xml:space="preserve">alleged that he </w:t>
      </w:r>
      <w:r w:rsidR="0002710C" w:rsidRPr="007E372C">
        <w:rPr>
          <w:rFonts w:ascii="Arial" w:hAnsi="Arial" w:cs="Arial"/>
          <w:sz w:val="24"/>
          <w:szCs w:val="24"/>
        </w:rPr>
        <w:t xml:space="preserve">felt pain in his back and in his anus. </w:t>
      </w:r>
      <w:r w:rsidR="00245BA6" w:rsidRPr="007E372C">
        <w:rPr>
          <w:rFonts w:ascii="Arial" w:hAnsi="Arial" w:cs="Arial"/>
          <w:sz w:val="24"/>
          <w:szCs w:val="24"/>
        </w:rPr>
        <w:t xml:space="preserve"> When queried as to who </w:t>
      </w:r>
      <w:r w:rsidR="0072424B" w:rsidRPr="007E372C">
        <w:rPr>
          <w:rFonts w:ascii="Arial" w:hAnsi="Arial" w:cs="Arial"/>
          <w:sz w:val="24"/>
          <w:szCs w:val="24"/>
        </w:rPr>
        <w:t xml:space="preserve">had </w:t>
      </w:r>
      <w:r w:rsidR="00245BA6" w:rsidRPr="007E372C">
        <w:rPr>
          <w:rFonts w:ascii="Arial" w:hAnsi="Arial" w:cs="Arial"/>
          <w:sz w:val="24"/>
          <w:szCs w:val="24"/>
        </w:rPr>
        <w:t>removed his cloth</w:t>
      </w:r>
      <w:r w:rsidR="0072424B" w:rsidRPr="007E372C">
        <w:rPr>
          <w:rFonts w:ascii="Arial" w:hAnsi="Arial" w:cs="Arial"/>
          <w:sz w:val="24"/>
          <w:szCs w:val="24"/>
        </w:rPr>
        <w:t>ing</w:t>
      </w:r>
      <w:r w:rsidR="00245BA6" w:rsidRPr="007E372C">
        <w:rPr>
          <w:rFonts w:ascii="Arial" w:hAnsi="Arial" w:cs="Arial"/>
          <w:sz w:val="24"/>
          <w:szCs w:val="24"/>
        </w:rPr>
        <w:t xml:space="preserve">, the complainant testified that the accused had knelt on top of him, whilst he was lying on his stomach, and </w:t>
      </w:r>
      <w:r w:rsidR="00056722" w:rsidRPr="007E372C">
        <w:rPr>
          <w:rFonts w:ascii="Arial" w:hAnsi="Arial" w:cs="Arial"/>
          <w:sz w:val="24"/>
          <w:szCs w:val="24"/>
        </w:rPr>
        <w:t xml:space="preserve">that </w:t>
      </w:r>
      <w:r w:rsidR="00245BA6" w:rsidRPr="007E372C">
        <w:rPr>
          <w:rFonts w:ascii="Arial" w:hAnsi="Arial" w:cs="Arial"/>
          <w:sz w:val="24"/>
          <w:szCs w:val="24"/>
        </w:rPr>
        <w:t>the accused had pulled both his</w:t>
      </w:r>
      <w:r w:rsidR="00056722" w:rsidRPr="007E372C">
        <w:rPr>
          <w:rFonts w:ascii="Arial" w:hAnsi="Arial" w:cs="Arial"/>
          <w:sz w:val="24"/>
          <w:szCs w:val="24"/>
        </w:rPr>
        <w:t xml:space="preserve"> own</w:t>
      </w:r>
      <w:r w:rsidR="00245BA6" w:rsidRPr="007E372C">
        <w:rPr>
          <w:rFonts w:ascii="Arial" w:hAnsi="Arial" w:cs="Arial"/>
          <w:sz w:val="24"/>
          <w:szCs w:val="24"/>
        </w:rPr>
        <w:t xml:space="preserve"> and the complainant’s pants and underwear down beneath buttocks</w:t>
      </w:r>
      <w:r w:rsidR="00056722" w:rsidRPr="007E372C">
        <w:rPr>
          <w:rFonts w:ascii="Arial" w:hAnsi="Arial" w:cs="Arial"/>
          <w:sz w:val="24"/>
          <w:szCs w:val="24"/>
        </w:rPr>
        <w:t xml:space="preserve"> level</w:t>
      </w:r>
      <w:r w:rsidR="00245BA6" w:rsidRPr="007E372C">
        <w:rPr>
          <w:rFonts w:ascii="Arial" w:hAnsi="Arial" w:cs="Arial"/>
          <w:sz w:val="24"/>
          <w:szCs w:val="24"/>
        </w:rPr>
        <w:t>.</w:t>
      </w:r>
      <w:r w:rsidR="00651329" w:rsidRPr="007E372C">
        <w:rPr>
          <w:rFonts w:ascii="Arial" w:hAnsi="Arial" w:cs="Arial"/>
          <w:sz w:val="24"/>
          <w:szCs w:val="24"/>
        </w:rPr>
        <w:t xml:space="preserve">  </w:t>
      </w:r>
      <w:r w:rsidR="00245BA6" w:rsidRPr="007E372C">
        <w:rPr>
          <w:rFonts w:ascii="Arial" w:hAnsi="Arial" w:cs="Arial"/>
          <w:sz w:val="24"/>
          <w:szCs w:val="24"/>
        </w:rPr>
        <w:t xml:space="preserve">  </w:t>
      </w:r>
    </w:p>
    <w:p w14:paraId="2851F276" w14:textId="77777777" w:rsidR="00150804" w:rsidRPr="00150804" w:rsidRDefault="00150804" w:rsidP="00B03F0B">
      <w:pPr>
        <w:pStyle w:val="ListParagraph"/>
        <w:spacing w:after="0" w:line="480" w:lineRule="auto"/>
        <w:rPr>
          <w:rFonts w:ascii="Arial" w:hAnsi="Arial" w:cs="Arial"/>
          <w:sz w:val="24"/>
          <w:szCs w:val="24"/>
        </w:rPr>
      </w:pPr>
    </w:p>
    <w:p w14:paraId="19321CF9" w14:textId="055169EC" w:rsidR="00056722" w:rsidRPr="007E372C" w:rsidRDefault="007E372C" w:rsidP="007E372C">
      <w:pPr>
        <w:spacing w:after="0" w:line="480" w:lineRule="auto"/>
        <w:ind w:left="851" w:hanging="851"/>
        <w:jc w:val="both"/>
        <w:rPr>
          <w:rFonts w:ascii="Arial" w:hAnsi="Arial" w:cs="Arial"/>
          <w:sz w:val="24"/>
          <w:szCs w:val="24"/>
        </w:rPr>
      </w:pPr>
      <w:r w:rsidRPr="00150804">
        <w:rPr>
          <w:rFonts w:ascii="Arial" w:hAnsi="Arial" w:cs="Arial"/>
          <w:sz w:val="24"/>
          <w:szCs w:val="24"/>
        </w:rPr>
        <w:t>[16]</w:t>
      </w:r>
      <w:r w:rsidRPr="00150804">
        <w:rPr>
          <w:rFonts w:ascii="Arial" w:hAnsi="Arial" w:cs="Arial"/>
          <w:sz w:val="24"/>
          <w:szCs w:val="24"/>
        </w:rPr>
        <w:tab/>
      </w:r>
      <w:r w:rsidR="00150804" w:rsidRPr="007E372C">
        <w:rPr>
          <w:rFonts w:ascii="Arial" w:hAnsi="Arial" w:cs="Arial"/>
          <w:sz w:val="24"/>
          <w:szCs w:val="24"/>
        </w:rPr>
        <w:t xml:space="preserve">At this juncture, I pause to mention that </w:t>
      </w:r>
      <w:r w:rsidR="00056722" w:rsidRPr="007E372C">
        <w:rPr>
          <w:rFonts w:ascii="Arial" w:hAnsi="Arial" w:cs="Arial"/>
          <w:sz w:val="24"/>
          <w:szCs w:val="24"/>
        </w:rPr>
        <w:t>not only is this evidence</w:t>
      </w:r>
      <w:r w:rsidR="00150804" w:rsidRPr="007E372C">
        <w:rPr>
          <w:rFonts w:ascii="Arial" w:hAnsi="Arial" w:cs="Arial"/>
          <w:sz w:val="24"/>
          <w:szCs w:val="24"/>
        </w:rPr>
        <w:t>, in itself</w:t>
      </w:r>
      <w:r w:rsidR="00056722" w:rsidRPr="007E372C">
        <w:rPr>
          <w:rFonts w:ascii="Arial" w:hAnsi="Arial" w:cs="Arial"/>
          <w:sz w:val="24"/>
          <w:szCs w:val="24"/>
        </w:rPr>
        <w:t xml:space="preserve"> contradictory, but it is also improbable.  I say th</w:t>
      </w:r>
      <w:r w:rsidR="00F16C16" w:rsidRPr="007E372C">
        <w:rPr>
          <w:rFonts w:ascii="Arial" w:hAnsi="Arial" w:cs="Arial"/>
          <w:sz w:val="24"/>
          <w:szCs w:val="24"/>
        </w:rPr>
        <w:t>is</w:t>
      </w:r>
      <w:r w:rsidR="00056722" w:rsidRPr="007E372C">
        <w:rPr>
          <w:rFonts w:ascii="Arial" w:hAnsi="Arial" w:cs="Arial"/>
          <w:sz w:val="24"/>
          <w:szCs w:val="24"/>
        </w:rPr>
        <w:t xml:space="preserve"> for the following reasons.  Had the complainant awoken during the commission of the offence, he would have had no recollection of how or when either his or the accused’s clothing had been removed.  Moreover, implicit in his evidence that the</w:t>
      </w:r>
      <w:r w:rsidR="00150804" w:rsidRPr="007E372C">
        <w:rPr>
          <w:rFonts w:ascii="Arial" w:hAnsi="Arial" w:cs="Arial"/>
          <w:sz w:val="24"/>
          <w:szCs w:val="24"/>
        </w:rPr>
        <w:t>ir</w:t>
      </w:r>
      <w:r w:rsidR="00056722" w:rsidRPr="007E372C">
        <w:rPr>
          <w:rFonts w:ascii="Arial" w:hAnsi="Arial" w:cs="Arial"/>
          <w:sz w:val="24"/>
          <w:szCs w:val="24"/>
        </w:rPr>
        <w:t xml:space="preserve"> clothing had been removed whilst he was lying on his stomach</w:t>
      </w:r>
      <w:r w:rsidR="00150804" w:rsidRPr="007E372C">
        <w:rPr>
          <w:rFonts w:ascii="Arial" w:hAnsi="Arial" w:cs="Arial"/>
          <w:sz w:val="24"/>
          <w:szCs w:val="24"/>
        </w:rPr>
        <w:t xml:space="preserve">, </w:t>
      </w:r>
      <w:r w:rsidR="00056722" w:rsidRPr="007E372C">
        <w:rPr>
          <w:rFonts w:ascii="Arial" w:hAnsi="Arial" w:cs="Arial"/>
          <w:sz w:val="24"/>
          <w:szCs w:val="24"/>
        </w:rPr>
        <w:t xml:space="preserve">is that </w:t>
      </w:r>
      <w:r w:rsidR="00A037F7" w:rsidRPr="007E372C">
        <w:rPr>
          <w:rFonts w:ascii="Arial" w:hAnsi="Arial" w:cs="Arial"/>
          <w:sz w:val="24"/>
          <w:szCs w:val="24"/>
        </w:rPr>
        <w:t>the sexual assault</w:t>
      </w:r>
      <w:r w:rsidR="00056722" w:rsidRPr="007E372C">
        <w:rPr>
          <w:rFonts w:ascii="Arial" w:hAnsi="Arial" w:cs="Arial"/>
          <w:sz w:val="24"/>
          <w:szCs w:val="24"/>
        </w:rPr>
        <w:t xml:space="preserve"> had not previously taken place whilst he</w:t>
      </w:r>
      <w:r w:rsidR="00A037F7" w:rsidRPr="007E372C">
        <w:rPr>
          <w:rFonts w:ascii="Arial" w:hAnsi="Arial" w:cs="Arial"/>
          <w:sz w:val="24"/>
          <w:szCs w:val="24"/>
        </w:rPr>
        <w:t xml:space="preserve"> was</w:t>
      </w:r>
      <w:r w:rsidR="00056722" w:rsidRPr="007E372C">
        <w:rPr>
          <w:rFonts w:ascii="Arial" w:hAnsi="Arial" w:cs="Arial"/>
          <w:sz w:val="24"/>
          <w:szCs w:val="24"/>
        </w:rPr>
        <w:t xml:space="preserve"> </w:t>
      </w:r>
      <w:r w:rsidR="00150804" w:rsidRPr="007E372C">
        <w:rPr>
          <w:rFonts w:ascii="Arial" w:hAnsi="Arial" w:cs="Arial"/>
          <w:sz w:val="24"/>
          <w:szCs w:val="24"/>
        </w:rPr>
        <w:t xml:space="preserve">lying </w:t>
      </w:r>
      <w:r w:rsidR="00056722" w:rsidRPr="007E372C">
        <w:rPr>
          <w:rFonts w:ascii="Arial" w:hAnsi="Arial" w:cs="Arial"/>
          <w:sz w:val="24"/>
          <w:szCs w:val="24"/>
        </w:rPr>
        <w:t>on his back</w:t>
      </w:r>
      <w:r w:rsidR="00150804" w:rsidRPr="007E372C">
        <w:rPr>
          <w:rFonts w:ascii="Arial" w:hAnsi="Arial" w:cs="Arial"/>
          <w:sz w:val="24"/>
          <w:szCs w:val="24"/>
        </w:rPr>
        <w:t xml:space="preserve">, as he had </w:t>
      </w:r>
      <w:r w:rsidR="00A037F7" w:rsidRPr="007E372C">
        <w:rPr>
          <w:rFonts w:ascii="Arial" w:hAnsi="Arial" w:cs="Arial"/>
          <w:sz w:val="24"/>
          <w:szCs w:val="24"/>
        </w:rPr>
        <w:t>testified</w:t>
      </w:r>
      <w:r w:rsidR="00056722" w:rsidRPr="007E372C">
        <w:rPr>
          <w:rFonts w:ascii="Arial" w:hAnsi="Arial" w:cs="Arial"/>
          <w:sz w:val="24"/>
          <w:szCs w:val="24"/>
        </w:rPr>
        <w:t xml:space="preserve">.  </w:t>
      </w:r>
      <w:r w:rsidR="00BB2C09" w:rsidRPr="007E372C">
        <w:rPr>
          <w:rFonts w:ascii="Arial" w:hAnsi="Arial" w:cs="Arial"/>
          <w:sz w:val="24"/>
          <w:szCs w:val="24"/>
        </w:rPr>
        <w:t xml:space="preserve">In respect of the </w:t>
      </w:r>
      <w:r w:rsidR="00150804" w:rsidRPr="007E372C">
        <w:rPr>
          <w:rFonts w:ascii="Arial" w:hAnsi="Arial" w:cs="Arial"/>
          <w:sz w:val="24"/>
          <w:szCs w:val="24"/>
        </w:rPr>
        <w:t>probabilities, if one has regard to the size of the couch in question and the position of the wooden arms, it would be required of a child with small stature to sleep</w:t>
      </w:r>
      <w:r w:rsidR="00651329" w:rsidRPr="007E372C">
        <w:rPr>
          <w:rFonts w:ascii="Arial" w:hAnsi="Arial" w:cs="Arial"/>
          <w:sz w:val="24"/>
          <w:szCs w:val="24"/>
        </w:rPr>
        <w:t xml:space="preserve"> on his side,</w:t>
      </w:r>
      <w:r w:rsidR="00150804" w:rsidRPr="007E372C">
        <w:rPr>
          <w:rFonts w:ascii="Arial" w:hAnsi="Arial" w:cs="Arial"/>
          <w:sz w:val="24"/>
          <w:szCs w:val="24"/>
        </w:rPr>
        <w:t xml:space="preserve"> in </w:t>
      </w:r>
      <w:r w:rsidR="00D5512A" w:rsidRPr="007E372C">
        <w:rPr>
          <w:rFonts w:ascii="Arial" w:hAnsi="Arial" w:cs="Arial"/>
          <w:sz w:val="24"/>
          <w:szCs w:val="24"/>
        </w:rPr>
        <w:t>a</w:t>
      </w:r>
      <w:r w:rsidR="00150804" w:rsidRPr="007E372C">
        <w:rPr>
          <w:rFonts w:ascii="Arial" w:hAnsi="Arial" w:cs="Arial"/>
          <w:sz w:val="24"/>
          <w:szCs w:val="24"/>
        </w:rPr>
        <w:t xml:space="preserve"> foetal position.</w:t>
      </w:r>
      <w:r w:rsidR="00651329" w:rsidRPr="007E372C">
        <w:rPr>
          <w:rFonts w:ascii="Arial" w:hAnsi="Arial" w:cs="Arial"/>
          <w:sz w:val="24"/>
          <w:szCs w:val="24"/>
        </w:rPr>
        <w:t xml:space="preserve">  This was conceded by the complainant </w:t>
      </w:r>
      <w:r w:rsidR="00CF32AC" w:rsidRPr="007E372C">
        <w:rPr>
          <w:rFonts w:ascii="Arial" w:hAnsi="Arial" w:cs="Arial"/>
          <w:sz w:val="24"/>
          <w:szCs w:val="24"/>
        </w:rPr>
        <w:t>during</w:t>
      </w:r>
      <w:r w:rsidR="00651329" w:rsidRPr="007E372C">
        <w:rPr>
          <w:rFonts w:ascii="Arial" w:hAnsi="Arial" w:cs="Arial"/>
          <w:sz w:val="24"/>
          <w:szCs w:val="24"/>
        </w:rPr>
        <w:t xml:space="preserve"> cross examination.</w:t>
      </w:r>
      <w:r w:rsidR="00150804" w:rsidRPr="007E372C">
        <w:rPr>
          <w:rFonts w:ascii="Arial" w:hAnsi="Arial" w:cs="Arial"/>
          <w:sz w:val="24"/>
          <w:szCs w:val="24"/>
        </w:rPr>
        <w:t xml:space="preserve">  It is simply not </w:t>
      </w:r>
      <w:r w:rsidR="00150804" w:rsidRPr="007E372C">
        <w:rPr>
          <w:rFonts w:ascii="Arial" w:hAnsi="Arial" w:cs="Arial"/>
          <w:sz w:val="24"/>
          <w:szCs w:val="24"/>
        </w:rPr>
        <w:lastRenderedPageBreak/>
        <w:t xml:space="preserve">possible that </w:t>
      </w:r>
      <w:r w:rsidR="00831902" w:rsidRPr="007E372C">
        <w:rPr>
          <w:rFonts w:ascii="Arial" w:hAnsi="Arial" w:cs="Arial"/>
          <w:sz w:val="24"/>
          <w:szCs w:val="24"/>
        </w:rPr>
        <w:t xml:space="preserve">the </w:t>
      </w:r>
      <w:r w:rsidR="00150804" w:rsidRPr="007E372C">
        <w:rPr>
          <w:rFonts w:ascii="Arial" w:hAnsi="Arial" w:cs="Arial"/>
          <w:sz w:val="24"/>
          <w:szCs w:val="24"/>
        </w:rPr>
        <w:t xml:space="preserve">complainant, let alone an adult man, could lie outstretched on the couch.  </w:t>
      </w:r>
      <w:r w:rsidR="00056722" w:rsidRPr="007E372C">
        <w:rPr>
          <w:rFonts w:ascii="Arial" w:hAnsi="Arial" w:cs="Arial"/>
          <w:sz w:val="24"/>
          <w:szCs w:val="24"/>
        </w:rPr>
        <w:t xml:space="preserve">I also find it highly improbable, </w:t>
      </w:r>
      <w:r w:rsidR="00506E35" w:rsidRPr="007E372C">
        <w:rPr>
          <w:rFonts w:ascii="Arial" w:hAnsi="Arial" w:cs="Arial"/>
          <w:sz w:val="24"/>
          <w:szCs w:val="24"/>
        </w:rPr>
        <w:t xml:space="preserve">that the accused would </w:t>
      </w:r>
      <w:r w:rsidR="00686C76" w:rsidRPr="007E372C">
        <w:rPr>
          <w:rFonts w:ascii="Arial" w:hAnsi="Arial" w:cs="Arial"/>
          <w:sz w:val="24"/>
          <w:szCs w:val="24"/>
        </w:rPr>
        <w:t xml:space="preserve">risk </w:t>
      </w:r>
      <w:r w:rsidR="00506E35" w:rsidRPr="007E372C">
        <w:rPr>
          <w:rFonts w:ascii="Arial" w:hAnsi="Arial" w:cs="Arial"/>
          <w:sz w:val="24"/>
          <w:szCs w:val="24"/>
        </w:rPr>
        <w:t xml:space="preserve">committing such an act </w:t>
      </w:r>
      <w:r w:rsidR="00686C76" w:rsidRPr="007E372C">
        <w:rPr>
          <w:rFonts w:ascii="Arial" w:hAnsi="Arial" w:cs="Arial"/>
          <w:sz w:val="24"/>
          <w:szCs w:val="24"/>
        </w:rPr>
        <w:t>no more than one meter away,</w:t>
      </w:r>
      <w:r w:rsidR="00506E35" w:rsidRPr="007E372C">
        <w:rPr>
          <w:rFonts w:ascii="Arial" w:hAnsi="Arial" w:cs="Arial"/>
          <w:sz w:val="24"/>
          <w:szCs w:val="24"/>
        </w:rPr>
        <w:t xml:space="preserve"> </w:t>
      </w:r>
      <w:r w:rsidR="00686C76" w:rsidRPr="007E372C">
        <w:rPr>
          <w:rFonts w:ascii="Arial" w:hAnsi="Arial" w:cs="Arial"/>
          <w:sz w:val="24"/>
          <w:szCs w:val="24"/>
        </w:rPr>
        <w:t>and in earshot, of</w:t>
      </w:r>
      <w:r w:rsidR="00506E35" w:rsidRPr="007E372C">
        <w:rPr>
          <w:rFonts w:ascii="Arial" w:hAnsi="Arial" w:cs="Arial"/>
          <w:sz w:val="24"/>
          <w:szCs w:val="24"/>
        </w:rPr>
        <w:t xml:space="preserve"> his mother and her boyfriend</w:t>
      </w:r>
      <w:r w:rsidR="00686C76" w:rsidRPr="007E372C">
        <w:rPr>
          <w:rFonts w:ascii="Arial" w:hAnsi="Arial" w:cs="Arial"/>
          <w:sz w:val="24"/>
          <w:szCs w:val="24"/>
        </w:rPr>
        <w:t xml:space="preserve">.  That </w:t>
      </w:r>
      <w:r w:rsidR="00056722" w:rsidRPr="007E372C">
        <w:rPr>
          <w:rFonts w:ascii="Arial" w:hAnsi="Arial" w:cs="Arial"/>
          <w:sz w:val="24"/>
          <w:szCs w:val="24"/>
        </w:rPr>
        <w:t>a child of such a tender age, having been assaulted in th</w:t>
      </w:r>
      <w:r w:rsidR="00150804" w:rsidRPr="007E372C">
        <w:rPr>
          <w:rFonts w:ascii="Arial" w:hAnsi="Arial" w:cs="Arial"/>
          <w:sz w:val="24"/>
          <w:szCs w:val="24"/>
        </w:rPr>
        <w:t>e</w:t>
      </w:r>
      <w:r w:rsidR="00056722" w:rsidRPr="007E372C">
        <w:rPr>
          <w:rFonts w:ascii="Arial" w:hAnsi="Arial" w:cs="Arial"/>
          <w:sz w:val="24"/>
          <w:szCs w:val="24"/>
        </w:rPr>
        <w:t xml:space="preserve"> manner</w:t>
      </w:r>
      <w:r w:rsidR="00150804" w:rsidRPr="007E372C">
        <w:rPr>
          <w:rFonts w:ascii="Arial" w:hAnsi="Arial" w:cs="Arial"/>
          <w:sz w:val="24"/>
          <w:szCs w:val="24"/>
        </w:rPr>
        <w:t xml:space="preserve"> in which he described</w:t>
      </w:r>
      <w:r w:rsidR="00056722" w:rsidRPr="007E372C">
        <w:rPr>
          <w:rFonts w:ascii="Arial" w:hAnsi="Arial" w:cs="Arial"/>
          <w:sz w:val="24"/>
          <w:szCs w:val="24"/>
        </w:rPr>
        <w:t xml:space="preserve">, would without much ado, seek </w:t>
      </w:r>
      <w:r w:rsidR="00150804" w:rsidRPr="007E372C">
        <w:rPr>
          <w:rFonts w:ascii="Arial" w:hAnsi="Arial" w:cs="Arial"/>
          <w:sz w:val="24"/>
          <w:szCs w:val="24"/>
        </w:rPr>
        <w:t xml:space="preserve">to continue </w:t>
      </w:r>
      <w:r w:rsidR="00056722" w:rsidRPr="007E372C">
        <w:rPr>
          <w:rFonts w:ascii="Arial" w:hAnsi="Arial" w:cs="Arial"/>
          <w:sz w:val="24"/>
          <w:szCs w:val="24"/>
        </w:rPr>
        <w:t>watch</w:t>
      </w:r>
      <w:r w:rsidR="00150804" w:rsidRPr="007E372C">
        <w:rPr>
          <w:rFonts w:ascii="Arial" w:hAnsi="Arial" w:cs="Arial"/>
          <w:sz w:val="24"/>
          <w:szCs w:val="24"/>
        </w:rPr>
        <w:t>ing</w:t>
      </w:r>
      <w:r w:rsidR="00056722" w:rsidRPr="007E372C">
        <w:rPr>
          <w:rFonts w:ascii="Arial" w:hAnsi="Arial" w:cs="Arial"/>
          <w:sz w:val="24"/>
          <w:szCs w:val="24"/>
        </w:rPr>
        <w:t xml:space="preserve"> television</w:t>
      </w:r>
      <w:r w:rsidR="00686C76" w:rsidRPr="007E372C">
        <w:rPr>
          <w:rFonts w:ascii="Arial" w:hAnsi="Arial" w:cs="Arial"/>
          <w:sz w:val="24"/>
          <w:szCs w:val="24"/>
        </w:rPr>
        <w:t>, is also against the inherent probabilities</w:t>
      </w:r>
      <w:r w:rsidR="00056722" w:rsidRPr="007E372C">
        <w:rPr>
          <w:rFonts w:ascii="Arial" w:hAnsi="Arial" w:cs="Arial"/>
          <w:sz w:val="24"/>
          <w:szCs w:val="24"/>
        </w:rPr>
        <w:t>.</w:t>
      </w:r>
    </w:p>
    <w:p w14:paraId="159DA0CF" w14:textId="77777777" w:rsidR="00056722" w:rsidRDefault="00056722" w:rsidP="00F12001">
      <w:pPr>
        <w:pStyle w:val="ListParagraph"/>
        <w:spacing w:after="0" w:line="480" w:lineRule="auto"/>
        <w:ind w:left="851"/>
        <w:jc w:val="both"/>
        <w:rPr>
          <w:rFonts w:ascii="Arial" w:hAnsi="Arial" w:cs="Arial"/>
          <w:sz w:val="24"/>
          <w:szCs w:val="24"/>
        </w:rPr>
      </w:pPr>
    </w:p>
    <w:p w14:paraId="05533418" w14:textId="5976372B" w:rsidR="00F12001"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50804" w:rsidRPr="007E372C">
        <w:rPr>
          <w:rFonts w:ascii="Arial" w:hAnsi="Arial" w:cs="Arial"/>
          <w:sz w:val="24"/>
          <w:szCs w:val="24"/>
        </w:rPr>
        <w:t xml:space="preserve">I return to the events as narrated by the complainant.  </w:t>
      </w:r>
    </w:p>
    <w:p w14:paraId="6402251A" w14:textId="77777777" w:rsidR="00F12001" w:rsidRPr="00F12001" w:rsidRDefault="00F12001" w:rsidP="00F12001">
      <w:pPr>
        <w:pStyle w:val="ListParagraph"/>
        <w:spacing w:after="0" w:line="480" w:lineRule="auto"/>
        <w:rPr>
          <w:rFonts w:ascii="Arial" w:hAnsi="Arial" w:cs="Arial"/>
          <w:sz w:val="24"/>
          <w:szCs w:val="24"/>
        </w:rPr>
      </w:pPr>
    </w:p>
    <w:p w14:paraId="6B643A3D" w14:textId="63B9B5E4" w:rsidR="0060275D"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2710C" w:rsidRPr="007E372C">
        <w:rPr>
          <w:rFonts w:ascii="Arial" w:hAnsi="Arial" w:cs="Arial"/>
          <w:sz w:val="24"/>
          <w:szCs w:val="24"/>
        </w:rPr>
        <w:t xml:space="preserve">After </w:t>
      </w:r>
      <w:r w:rsidR="00880D2C" w:rsidRPr="007E372C">
        <w:rPr>
          <w:rFonts w:ascii="Arial" w:hAnsi="Arial" w:cs="Arial"/>
          <w:sz w:val="24"/>
          <w:szCs w:val="24"/>
        </w:rPr>
        <w:t>t</w:t>
      </w:r>
      <w:r w:rsidR="0002710C" w:rsidRPr="007E372C">
        <w:rPr>
          <w:rFonts w:ascii="Arial" w:hAnsi="Arial" w:cs="Arial"/>
          <w:sz w:val="24"/>
          <w:szCs w:val="24"/>
        </w:rPr>
        <w:t>he</w:t>
      </w:r>
      <w:r w:rsidR="00686C76" w:rsidRPr="007E372C">
        <w:rPr>
          <w:rFonts w:ascii="Arial" w:hAnsi="Arial" w:cs="Arial"/>
          <w:sz w:val="24"/>
          <w:szCs w:val="24"/>
        </w:rPr>
        <w:t xml:space="preserve"> accused</w:t>
      </w:r>
      <w:r w:rsidR="0002710C" w:rsidRPr="007E372C">
        <w:rPr>
          <w:rFonts w:ascii="Arial" w:hAnsi="Arial" w:cs="Arial"/>
          <w:sz w:val="24"/>
          <w:szCs w:val="24"/>
        </w:rPr>
        <w:t xml:space="preserve"> was finished</w:t>
      </w:r>
      <w:r w:rsidR="00E97FFD" w:rsidRPr="007E372C">
        <w:rPr>
          <w:rFonts w:ascii="Arial" w:hAnsi="Arial" w:cs="Arial"/>
          <w:sz w:val="24"/>
          <w:szCs w:val="24"/>
        </w:rPr>
        <w:t xml:space="preserve"> sexually assaulting the complainant</w:t>
      </w:r>
      <w:r w:rsidR="0002710C" w:rsidRPr="007E372C">
        <w:rPr>
          <w:rFonts w:ascii="Arial" w:hAnsi="Arial" w:cs="Arial"/>
          <w:sz w:val="24"/>
          <w:szCs w:val="24"/>
        </w:rPr>
        <w:t>,</w:t>
      </w:r>
      <w:r w:rsidR="00880D2C" w:rsidRPr="007E372C">
        <w:rPr>
          <w:rFonts w:ascii="Arial" w:hAnsi="Arial" w:cs="Arial"/>
          <w:sz w:val="24"/>
          <w:szCs w:val="24"/>
        </w:rPr>
        <w:t xml:space="preserve"> and whilst remaining on top of </w:t>
      </w:r>
      <w:r w:rsidR="00E97FFD" w:rsidRPr="007E372C">
        <w:rPr>
          <w:rFonts w:ascii="Arial" w:hAnsi="Arial" w:cs="Arial"/>
          <w:sz w:val="24"/>
          <w:szCs w:val="24"/>
        </w:rPr>
        <w:t>his back</w:t>
      </w:r>
      <w:r w:rsidR="00880D2C" w:rsidRPr="007E372C">
        <w:rPr>
          <w:rFonts w:ascii="Arial" w:hAnsi="Arial" w:cs="Arial"/>
          <w:sz w:val="24"/>
          <w:szCs w:val="24"/>
        </w:rPr>
        <w:t>,</w:t>
      </w:r>
      <w:r w:rsidR="00E97FFD" w:rsidRPr="007E372C">
        <w:rPr>
          <w:rFonts w:ascii="Arial" w:hAnsi="Arial" w:cs="Arial"/>
          <w:sz w:val="24"/>
          <w:szCs w:val="24"/>
        </w:rPr>
        <w:t xml:space="preserve"> the complainant contends that</w:t>
      </w:r>
      <w:r w:rsidR="0002710C" w:rsidRPr="007E372C">
        <w:rPr>
          <w:rFonts w:ascii="Arial" w:hAnsi="Arial" w:cs="Arial"/>
          <w:sz w:val="24"/>
          <w:szCs w:val="24"/>
        </w:rPr>
        <w:t xml:space="preserve"> </w:t>
      </w:r>
      <w:r w:rsidR="00686C76" w:rsidRPr="007E372C">
        <w:rPr>
          <w:rFonts w:ascii="Arial" w:hAnsi="Arial" w:cs="Arial"/>
          <w:sz w:val="24"/>
          <w:szCs w:val="24"/>
        </w:rPr>
        <w:t>t</w:t>
      </w:r>
      <w:r w:rsidR="00880D2C" w:rsidRPr="007E372C">
        <w:rPr>
          <w:rFonts w:ascii="Arial" w:hAnsi="Arial" w:cs="Arial"/>
          <w:sz w:val="24"/>
          <w:szCs w:val="24"/>
        </w:rPr>
        <w:t>he</w:t>
      </w:r>
      <w:r w:rsidR="00686C76" w:rsidRPr="007E372C">
        <w:rPr>
          <w:rFonts w:ascii="Arial" w:hAnsi="Arial" w:cs="Arial"/>
          <w:sz w:val="24"/>
          <w:szCs w:val="24"/>
        </w:rPr>
        <w:t xml:space="preserve"> accused</w:t>
      </w:r>
      <w:r w:rsidR="0002710C" w:rsidRPr="007E372C">
        <w:rPr>
          <w:rFonts w:ascii="Arial" w:hAnsi="Arial" w:cs="Arial"/>
          <w:sz w:val="24"/>
          <w:szCs w:val="24"/>
        </w:rPr>
        <w:t xml:space="preserve"> reached for a roll of </w:t>
      </w:r>
      <w:r w:rsidR="00682385" w:rsidRPr="007E372C">
        <w:rPr>
          <w:rFonts w:ascii="Arial" w:hAnsi="Arial" w:cs="Arial"/>
          <w:sz w:val="24"/>
          <w:szCs w:val="24"/>
        </w:rPr>
        <w:t>S</w:t>
      </w:r>
      <w:r w:rsidR="0002710C" w:rsidRPr="007E372C">
        <w:rPr>
          <w:rFonts w:ascii="Arial" w:hAnsi="Arial" w:cs="Arial"/>
          <w:sz w:val="24"/>
          <w:szCs w:val="24"/>
        </w:rPr>
        <w:t xml:space="preserve">ellotape, which was positioned on a </w:t>
      </w:r>
      <w:r w:rsidR="00D414D2" w:rsidRPr="007E372C">
        <w:rPr>
          <w:rFonts w:ascii="Arial" w:hAnsi="Arial" w:cs="Arial"/>
          <w:sz w:val="24"/>
          <w:szCs w:val="24"/>
        </w:rPr>
        <w:t>small side table in the corner of the living room</w:t>
      </w:r>
      <w:r w:rsidR="0060275D" w:rsidRPr="007E372C">
        <w:rPr>
          <w:rFonts w:ascii="Arial" w:hAnsi="Arial" w:cs="Arial"/>
          <w:sz w:val="24"/>
          <w:szCs w:val="24"/>
        </w:rPr>
        <w:t xml:space="preserve"> and </w:t>
      </w:r>
      <w:r w:rsidR="00D414D2" w:rsidRPr="007E372C">
        <w:rPr>
          <w:rFonts w:ascii="Arial" w:hAnsi="Arial" w:cs="Arial"/>
          <w:sz w:val="24"/>
          <w:szCs w:val="24"/>
        </w:rPr>
        <w:t xml:space="preserve">taped </w:t>
      </w:r>
      <w:r w:rsidR="0002710C" w:rsidRPr="007E372C">
        <w:rPr>
          <w:rFonts w:ascii="Arial" w:hAnsi="Arial" w:cs="Arial"/>
          <w:sz w:val="24"/>
          <w:szCs w:val="24"/>
        </w:rPr>
        <w:t>the complainant’s mouth closed</w:t>
      </w:r>
      <w:r w:rsidR="00880D2C" w:rsidRPr="007E372C">
        <w:rPr>
          <w:rFonts w:ascii="Arial" w:hAnsi="Arial" w:cs="Arial"/>
          <w:sz w:val="24"/>
          <w:szCs w:val="24"/>
        </w:rPr>
        <w:t>.</w:t>
      </w:r>
      <w:r w:rsidR="00D414D2" w:rsidRPr="007E372C">
        <w:rPr>
          <w:rFonts w:ascii="Arial" w:hAnsi="Arial" w:cs="Arial"/>
          <w:sz w:val="24"/>
          <w:szCs w:val="24"/>
        </w:rPr>
        <w:t xml:space="preserve"> </w:t>
      </w:r>
      <w:r w:rsidR="00880D2C" w:rsidRPr="007E372C">
        <w:rPr>
          <w:rFonts w:ascii="Arial" w:hAnsi="Arial" w:cs="Arial"/>
          <w:sz w:val="24"/>
          <w:szCs w:val="24"/>
        </w:rPr>
        <w:t xml:space="preserve"> He later testified that the </w:t>
      </w:r>
      <w:r w:rsidR="00682385" w:rsidRPr="007E372C">
        <w:rPr>
          <w:rFonts w:ascii="Arial" w:hAnsi="Arial" w:cs="Arial"/>
          <w:sz w:val="24"/>
          <w:szCs w:val="24"/>
        </w:rPr>
        <w:t>S</w:t>
      </w:r>
      <w:r w:rsidR="00880D2C" w:rsidRPr="007E372C">
        <w:rPr>
          <w:rFonts w:ascii="Arial" w:hAnsi="Arial" w:cs="Arial"/>
          <w:sz w:val="24"/>
          <w:szCs w:val="24"/>
        </w:rPr>
        <w:t xml:space="preserve">ellotape was applied to his mouth </w:t>
      </w:r>
      <w:r w:rsidR="00880D2C" w:rsidRPr="007E372C">
        <w:rPr>
          <w:rFonts w:ascii="Arial" w:hAnsi="Arial" w:cs="Arial"/>
          <w:i/>
          <w:iCs/>
          <w:sz w:val="24"/>
          <w:szCs w:val="24"/>
        </w:rPr>
        <w:t>during</w:t>
      </w:r>
      <w:r w:rsidR="00880D2C" w:rsidRPr="007E372C">
        <w:rPr>
          <w:rFonts w:ascii="Arial" w:hAnsi="Arial" w:cs="Arial"/>
          <w:sz w:val="24"/>
          <w:szCs w:val="24"/>
        </w:rPr>
        <w:t xml:space="preserve"> the commission of the sexual assault </w:t>
      </w:r>
      <w:r w:rsidR="00E97FFD" w:rsidRPr="007E372C">
        <w:rPr>
          <w:rFonts w:ascii="Arial" w:hAnsi="Arial" w:cs="Arial"/>
          <w:sz w:val="24"/>
          <w:szCs w:val="24"/>
        </w:rPr>
        <w:t>a</w:t>
      </w:r>
      <w:r w:rsidR="00880D2C" w:rsidRPr="007E372C">
        <w:rPr>
          <w:rFonts w:ascii="Arial" w:hAnsi="Arial" w:cs="Arial"/>
          <w:sz w:val="24"/>
          <w:szCs w:val="24"/>
        </w:rPr>
        <w:t xml:space="preserve">nd not at the end.  When finished, the </w:t>
      </w:r>
      <w:r w:rsidR="00EB6915" w:rsidRPr="007E372C">
        <w:rPr>
          <w:rFonts w:ascii="Arial" w:hAnsi="Arial" w:cs="Arial"/>
          <w:sz w:val="24"/>
          <w:szCs w:val="24"/>
        </w:rPr>
        <w:t>accused</w:t>
      </w:r>
      <w:r w:rsidR="00506E35" w:rsidRPr="007E372C">
        <w:rPr>
          <w:rFonts w:ascii="Arial" w:hAnsi="Arial" w:cs="Arial"/>
          <w:sz w:val="24"/>
          <w:szCs w:val="24"/>
        </w:rPr>
        <w:t xml:space="preserve"> got up; dressed himself</w:t>
      </w:r>
      <w:r w:rsidR="00686C76" w:rsidRPr="007E372C">
        <w:rPr>
          <w:rFonts w:ascii="Arial" w:hAnsi="Arial" w:cs="Arial"/>
          <w:sz w:val="24"/>
          <w:szCs w:val="24"/>
        </w:rPr>
        <w:t xml:space="preserve"> first</w:t>
      </w:r>
      <w:r w:rsidR="00506E35" w:rsidRPr="007E372C">
        <w:rPr>
          <w:rFonts w:ascii="Arial" w:hAnsi="Arial" w:cs="Arial"/>
          <w:sz w:val="24"/>
          <w:szCs w:val="24"/>
        </w:rPr>
        <w:t xml:space="preserve">; and then dressed the complainant.  </w:t>
      </w:r>
    </w:p>
    <w:p w14:paraId="7F1B354F" w14:textId="77777777" w:rsidR="0060275D" w:rsidRPr="0060275D" w:rsidRDefault="0060275D" w:rsidP="00B80312">
      <w:pPr>
        <w:pStyle w:val="ListParagraph"/>
        <w:spacing w:after="0" w:line="480" w:lineRule="auto"/>
        <w:rPr>
          <w:rFonts w:ascii="Arial" w:hAnsi="Arial" w:cs="Arial"/>
          <w:sz w:val="24"/>
          <w:szCs w:val="24"/>
        </w:rPr>
      </w:pPr>
    </w:p>
    <w:p w14:paraId="608F0287" w14:textId="3C5766F4" w:rsidR="00711011"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r>
      <w:r w:rsidR="0060275D" w:rsidRPr="007E372C">
        <w:rPr>
          <w:rFonts w:ascii="Arial" w:hAnsi="Arial" w:cs="Arial"/>
          <w:sz w:val="24"/>
          <w:szCs w:val="24"/>
        </w:rPr>
        <w:t>The accused</w:t>
      </w:r>
      <w:r w:rsidR="00506E35" w:rsidRPr="007E372C">
        <w:rPr>
          <w:rFonts w:ascii="Arial" w:hAnsi="Arial" w:cs="Arial"/>
          <w:sz w:val="24"/>
          <w:szCs w:val="24"/>
        </w:rPr>
        <w:t xml:space="preserve"> </w:t>
      </w:r>
      <w:r w:rsidR="00F25141" w:rsidRPr="007E372C">
        <w:rPr>
          <w:rFonts w:ascii="Arial" w:hAnsi="Arial" w:cs="Arial"/>
          <w:sz w:val="24"/>
          <w:szCs w:val="24"/>
        </w:rPr>
        <w:t xml:space="preserve">allegedly </w:t>
      </w:r>
      <w:r w:rsidR="00506E35" w:rsidRPr="007E372C">
        <w:rPr>
          <w:rFonts w:ascii="Arial" w:hAnsi="Arial" w:cs="Arial"/>
          <w:sz w:val="24"/>
          <w:szCs w:val="24"/>
        </w:rPr>
        <w:t xml:space="preserve">carried the complainant </w:t>
      </w:r>
      <w:r w:rsidR="00686C76" w:rsidRPr="007E372C">
        <w:rPr>
          <w:rFonts w:ascii="Arial" w:hAnsi="Arial" w:cs="Arial"/>
          <w:sz w:val="24"/>
          <w:szCs w:val="24"/>
        </w:rPr>
        <w:t xml:space="preserve">outside </w:t>
      </w:r>
      <w:r w:rsidR="00506E35" w:rsidRPr="007E372C">
        <w:rPr>
          <w:rFonts w:ascii="Arial" w:hAnsi="Arial" w:cs="Arial"/>
          <w:sz w:val="24"/>
          <w:szCs w:val="24"/>
        </w:rPr>
        <w:t>to his</w:t>
      </w:r>
      <w:r w:rsidR="00686C76" w:rsidRPr="007E372C">
        <w:rPr>
          <w:rFonts w:ascii="Arial" w:hAnsi="Arial" w:cs="Arial"/>
          <w:sz w:val="24"/>
          <w:szCs w:val="24"/>
        </w:rPr>
        <w:t xml:space="preserve"> vacant</w:t>
      </w:r>
      <w:r w:rsidR="00506E35" w:rsidRPr="007E372C">
        <w:rPr>
          <w:rFonts w:ascii="Arial" w:hAnsi="Arial" w:cs="Arial"/>
          <w:sz w:val="24"/>
          <w:szCs w:val="24"/>
        </w:rPr>
        <w:t xml:space="preserve"> room</w:t>
      </w:r>
      <w:r w:rsidR="00686C76" w:rsidRPr="007E372C">
        <w:rPr>
          <w:rFonts w:ascii="Arial" w:hAnsi="Arial" w:cs="Arial"/>
          <w:sz w:val="24"/>
          <w:szCs w:val="24"/>
        </w:rPr>
        <w:t xml:space="preserve"> and proceeded to</w:t>
      </w:r>
      <w:r w:rsidR="00506E35" w:rsidRPr="007E372C">
        <w:rPr>
          <w:rFonts w:ascii="Arial" w:hAnsi="Arial" w:cs="Arial"/>
          <w:sz w:val="24"/>
          <w:szCs w:val="24"/>
        </w:rPr>
        <w:t xml:space="preserve"> sexually assault </w:t>
      </w:r>
      <w:r w:rsidR="00686C76" w:rsidRPr="007E372C">
        <w:rPr>
          <w:rFonts w:ascii="Arial" w:hAnsi="Arial" w:cs="Arial"/>
          <w:sz w:val="24"/>
          <w:szCs w:val="24"/>
        </w:rPr>
        <w:t>the complainant</w:t>
      </w:r>
      <w:r w:rsidR="00F25141" w:rsidRPr="007E372C">
        <w:rPr>
          <w:rFonts w:ascii="Arial" w:hAnsi="Arial" w:cs="Arial"/>
          <w:sz w:val="24"/>
          <w:szCs w:val="24"/>
        </w:rPr>
        <w:t>,</w:t>
      </w:r>
      <w:r w:rsidR="00686C76" w:rsidRPr="007E372C">
        <w:rPr>
          <w:rFonts w:ascii="Arial" w:hAnsi="Arial" w:cs="Arial"/>
          <w:sz w:val="24"/>
          <w:szCs w:val="24"/>
        </w:rPr>
        <w:t xml:space="preserve"> </w:t>
      </w:r>
      <w:r w:rsidR="00441237" w:rsidRPr="007E372C">
        <w:rPr>
          <w:rFonts w:ascii="Arial" w:hAnsi="Arial" w:cs="Arial"/>
          <w:sz w:val="24"/>
          <w:szCs w:val="24"/>
        </w:rPr>
        <w:t xml:space="preserve">first </w:t>
      </w:r>
      <w:r w:rsidR="00506E35" w:rsidRPr="007E372C">
        <w:rPr>
          <w:rFonts w:ascii="Arial" w:hAnsi="Arial" w:cs="Arial"/>
          <w:sz w:val="24"/>
          <w:szCs w:val="24"/>
        </w:rPr>
        <w:t>on the accused’s bed</w:t>
      </w:r>
      <w:r w:rsidR="00441237" w:rsidRPr="007E372C">
        <w:rPr>
          <w:rFonts w:ascii="Arial" w:hAnsi="Arial" w:cs="Arial"/>
          <w:sz w:val="24"/>
          <w:szCs w:val="24"/>
        </w:rPr>
        <w:t xml:space="preserve"> and thereafter </w:t>
      </w:r>
      <w:r w:rsidR="00605E94" w:rsidRPr="007E372C">
        <w:rPr>
          <w:rFonts w:ascii="Arial" w:hAnsi="Arial" w:cs="Arial"/>
          <w:sz w:val="24"/>
          <w:szCs w:val="24"/>
        </w:rPr>
        <w:t>on</w:t>
      </w:r>
      <w:r w:rsidR="00441237" w:rsidRPr="007E372C">
        <w:rPr>
          <w:rFonts w:ascii="Arial" w:hAnsi="Arial" w:cs="Arial"/>
          <w:sz w:val="24"/>
          <w:szCs w:val="24"/>
        </w:rPr>
        <w:t xml:space="preserve"> </w:t>
      </w:r>
      <w:r w:rsidR="00F25141" w:rsidRPr="007E372C">
        <w:rPr>
          <w:rFonts w:ascii="Arial" w:hAnsi="Arial" w:cs="Arial"/>
          <w:sz w:val="24"/>
          <w:szCs w:val="24"/>
        </w:rPr>
        <w:t>a</w:t>
      </w:r>
      <w:r w:rsidR="00441237" w:rsidRPr="007E372C">
        <w:rPr>
          <w:rFonts w:ascii="Arial" w:hAnsi="Arial" w:cs="Arial"/>
          <w:sz w:val="24"/>
          <w:szCs w:val="24"/>
        </w:rPr>
        <w:t xml:space="preserve"> couch in the accused’s room</w:t>
      </w:r>
      <w:r w:rsidR="00506E35" w:rsidRPr="007E372C">
        <w:rPr>
          <w:rFonts w:ascii="Arial" w:hAnsi="Arial" w:cs="Arial"/>
          <w:sz w:val="24"/>
          <w:szCs w:val="24"/>
        </w:rPr>
        <w:t>.</w:t>
      </w:r>
      <w:r w:rsidR="00605E94" w:rsidRPr="007E372C">
        <w:rPr>
          <w:rFonts w:ascii="Arial" w:hAnsi="Arial" w:cs="Arial"/>
          <w:sz w:val="24"/>
          <w:szCs w:val="24"/>
        </w:rPr>
        <w:t xml:space="preserve">  The complainant testified that the accused positioned him on his stomach and lay on top of him whilst sexually assaulting him on the couch.  It later emerged in the accused’s evidence, which evidence was uncontested, that the couch in question was a one-seater couch.</w:t>
      </w:r>
      <w:r w:rsidR="0015203A" w:rsidRPr="007E372C">
        <w:rPr>
          <w:rFonts w:ascii="Arial" w:hAnsi="Arial" w:cs="Arial"/>
          <w:sz w:val="24"/>
          <w:szCs w:val="24"/>
        </w:rPr>
        <w:t xml:space="preserve">  In such circumstances, the manner in which the alleged sexual assault had taken place, as testified by the complainant</w:t>
      </w:r>
      <w:r w:rsidR="00300865" w:rsidRPr="007E372C">
        <w:rPr>
          <w:rFonts w:ascii="Arial" w:hAnsi="Arial" w:cs="Arial"/>
          <w:sz w:val="24"/>
          <w:szCs w:val="24"/>
        </w:rPr>
        <w:t>,</w:t>
      </w:r>
      <w:r w:rsidR="0015203A" w:rsidRPr="007E372C">
        <w:rPr>
          <w:rFonts w:ascii="Arial" w:hAnsi="Arial" w:cs="Arial"/>
          <w:sz w:val="24"/>
          <w:szCs w:val="24"/>
        </w:rPr>
        <w:t xml:space="preserve"> is highly </w:t>
      </w:r>
      <w:r w:rsidR="0015203A" w:rsidRPr="007E372C">
        <w:rPr>
          <w:rFonts w:ascii="Arial" w:hAnsi="Arial" w:cs="Arial"/>
          <w:sz w:val="24"/>
          <w:szCs w:val="24"/>
        </w:rPr>
        <w:lastRenderedPageBreak/>
        <w:t>improbable.</w:t>
      </w:r>
      <w:r w:rsidR="00506E35" w:rsidRPr="007E372C">
        <w:rPr>
          <w:rFonts w:ascii="Arial" w:hAnsi="Arial" w:cs="Arial"/>
          <w:sz w:val="24"/>
          <w:szCs w:val="24"/>
        </w:rPr>
        <w:t xml:space="preserve"> </w:t>
      </w:r>
      <w:r w:rsidR="00686C76" w:rsidRPr="007E372C">
        <w:rPr>
          <w:rFonts w:ascii="Arial" w:hAnsi="Arial" w:cs="Arial"/>
          <w:sz w:val="24"/>
          <w:szCs w:val="24"/>
        </w:rPr>
        <w:t xml:space="preserve"> When queried as to where the accused’s girlfriend was</w:t>
      </w:r>
      <w:r w:rsidR="00BD2E22" w:rsidRPr="007E372C">
        <w:rPr>
          <w:rFonts w:ascii="Arial" w:hAnsi="Arial" w:cs="Arial"/>
          <w:sz w:val="24"/>
          <w:szCs w:val="24"/>
        </w:rPr>
        <w:t xml:space="preserve"> as the relevant time</w:t>
      </w:r>
      <w:r w:rsidR="00686C76" w:rsidRPr="007E372C">
        <w:rPr>
          <w:rFonts w:ascii="Arial" w:hAnsi="Arial" w:cs="Arial"/>
          <w:sz w:val="24"/>
          <w:szCs w:val="24"/>
        </w:rPr>
        <w:t>, the complainant testified that he had seen her leave the accused’s room whilst he was being carried out of the main house.</w:t>
      </w:r>
      <w:r w:rsidR="00711011" w:rsidRPr="007E372C">
        <w:rPr>
          <w:rFonts w:ascii="Arial" w:hAnsi="Arial" w:cs="Arial"/>
          <w:sz w:val="24"/>
          <w:szCs w:val="24"/>
        </w:rPr>
        <w:t xml:space="preserve">  That the accused would carry the complainant to his room, </w:t>
      </w:r>
      <w:r w:rsidR="00BD2E22" w:rsidRPr="007E372C">
        <w:rPr>
          <w:rFonts w:ascii="Arial" w:hAnsi="Arial" w:cs="Arial"/>
          <w:sz w:val="24"/>
          <w:szCs w:val="24"/>
        </w:rPr>
        <w:t xml:space="preserve">in which he had </w:t>
      </w:r>
      <w:r w:rsidR="00367BE8" w:rsidRPr="007E372C">
        <w:rPr>
          <w:rFonts w:ascii="Arial" w:hAnsi="Arial" w:cs="Arial"/>
          <w:sz w:val="24"/>
          <w:szCs w:val="24"/>
        </w:rPr>
        <w:t xml:space="preserve">previously </w:t>
      </w:r>
      <w:r w:rsidR="00BD2E22" w:rsidRPr="007E372C">
        <w:rPr>
          <w:rFonts w:ascii="Arial" w:hAnsi="Arial" w:cs="Arial"/>
          <w:sz w:val="24"/>
          <w:szCs w:val="24"/>
        </w:rPr>
        <w:t xml:space="preserve">left his girlfriend, </w:t>
      </w:r>
      <w:r w:rsidR="00711011" w:rsidRPr="007E372C">
        <w:rPr>
          <w:rFonts w:ascii="Arial" w:hAnsi="Arial" w:cs="Arial"/>
          <w:sz w:val="24"/>
          <w:szCs w:val="24"/>
        </w:rPr>
        <w:t xml:space="preserve">on the off chance that she would leave </w:t>
      </w:r>
      <w:r w:rsidR="008764BC" w:rsidRPr="007E372C">
        <w:rPr>
          <w:rFonts w:ascii="Arial" w:hAnsi="Arial" w:cs="Arial"/>
          <w:sz w:val="24"/>
          <w:szCs w:val="24"/>
        </w:rPr>
        <w:t>prior to his return</w:t>
      </w:r>
      <w:r w:rsidR="00711011" w:rsidRPr="007E372C">
        <w:rPr>
          <w:rFonts w:ascii="Arial" w:hAnsi="Arial" w:cs="Arial"/>
          <w:sz w:val="24"/>
          <w:szCs w:val="24"/>
        </w:rPr>
        <w:t xml:space="preserve">, is </w:t>
      </w:r>
      <w:r w:rsidR="00FC1988" w:rsidRPr="007E372C">
        <w:rPr>
          <w:rFonts w:ascii="Arial" w:hAnsi="Arial" w:cs="Arial"/>
          <w:sz w:val="24"/>
          <w:szCs w:val="24"/>
        </w:rPr>
        <w:t xml:space="preserve">also </w:t>
      </w:r>
      <w:r w:rsidR="00711011" w:rsidRPr="007E372C">
        <w:rPr>
          <w:rFonts w:ascii="Arial" w:hAnsi="Arial" w:cs="Arial"/>
          <w:sz w:val="24"/>
          <w:szCs w:val="24"/>
        </w:rPr>
        <w:t>highly improbable.</w:t>
      </w:r>
      <w:r w:rsidR="00605E94" w:rsidRPr="007E372C">
        <w:rPr>
          <w:rFonts w:ascii="Arial" w:hAnsi="Arial" w:cs="Arial"/>
          <w:sz w:val="24"/>
          <w:szCs w:val="24"/>
        </w:rPr>
        <w:t xml:space="preserve">  </w:t>
      </w:r>
    </w:p>
    <w:p w14:paraId="44184CD0" w14:textId="77777777" w:rsidR="00711011" w:rsidRDefault="00711011" w:rsidP="00711011">
      <w:pPr>
        <w:pStyle w:val="ListParagraph"/>
        <w:spacing w:after="0" w:line="480" w:lineRule="auto"/>
        <w:ind w:left="851"/>
        <w:jc w:val="both"/>
        <w:rPr>
          <w:rFonts w:ascii="Arial" w:hAnsi="Arial" w:cs="Arial"/>
          <w:sz w:val="24"/>
          <w:szCs w:val="24"/>
        </w:rPr>
      </w:pPr>
    </w:p>
    <w:p w14:paraId="2D28B805" w14:textId="7D7CD0B9" w:rsidR="0060275D"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[20]</w:t>
      </w:r>
      <w:r>
        <w:rPr>
          <w:rFonts w:ascii="Arial" w:hAnsi="Arial" w:cs="Arial"/>
          <w:sz w:val="24"/>
          <w:szCs w:val="24"/>
        </w:rPr>
        <w:tab/>
      </w:r>
      <w:r w:rsidR="00441237" w:rsidRPr="007E372C">
        <w:rPr>
          <w:rFonts w:ascii="Arial" w:hAnsi="Arial" w:cs="Arial"/>
          <w:sz w:val="24"/>
          <w:szCs w:val="24"/>
        </w:rPr>
        <w:t xml:space="preserve">When </w:t>
      </w:r>
      <w:r w:rsidR="00DF00D1" w:rsidRPr="007E372C">
        <w:rPr>
          <w:rFonts w:ascii="Arial" w:hAnsi="Arial" w:cs="Arial"/>
          <w:sz w:val="24"/>
          <w:szCs w:val="24"/>
        </w:rPr>
        <w:t xml:space="preserve">he was finished being sexually assaulted, the complainant testified that the </w:t>
      </w:r>
      <w:r w:rsidR="00605E94" w:rsidRPr="007E372C">
        <w:rPr>
          <w:rFonts w:ascii="Arial" w:hAnsi="Arial" w:cs="Arial"/>
          <w:sz w:val="24"/>
          <w:szCs w:val="24"/>
        </w:rPr>
        <w:t xml:space="preserve">accused chased </w:t>
      </w:r>
      <w:r w:rsidR="00DF00D1" w:rsidRPr="007E372C">
        <w:rPr>
          <w:rFonts w:ascii="Arial" w:hAnsi="Arial" w:cs="Arial"/>
          <w:sz w:val="24"/>
          <w:szCs w:val="24"/>
        </w:rPr>
        <w:t>him</w:t>
      </w:r>
      <w:r w:rsidR="00605E94" w:rsidRPr="007E372C">
        <w:rPr>
          <w:rFonts w:ascii="Arial" w:hAnsi="Arial" w:cs="Arial"/>
          <w:sz w:val="24"/>
          <w:szCs w:val="24"/>
        </w:rPr>
        <w:t xml:space="preserve"> away, stating that he needed to use the toilet.  </w:t>
      </w:r>
      <w:r w:rsidR="00711011" w:rsidRPr="007E372C">
        <w:rPr>
          <w:rFonts w:ascii="Arial" w:hAnsi="Arial" w:cs="Arial"/>
          <w:sz w:val="24"/>
          <w:szCs w:val="24"/>
        </w:rPr>
        <w:t xml:space="preserve">This evidence thereafter vacillated between different versions.  </w:t>
      </w:r>
      <w:r w:rsidR="0060275D" w:rsidRPr="007E372C">
        <w:rPr>
          <w:rFonts w:ascii="Arial" w:hAnsi="Arial" w:cs="Arial"/>
          <w:sz w:val="24"/>
          <w:szCs w:val="24"/>
        </w:rPr>
        <w:t>The complainant</w:t>
      </w:r>
      <w:r w:rsidR="00605E94" w:rsidRPr="007E372C">
        <w:rPr>
          <w:rFonts w:ascii="Arial" w:hAnsi="Arial" w:cs="Arial"/>
          <w:sz w:val="24"/>
          <w:szCs w:val="24"/>
        </w:rPr>
        <w:t xml:space="preserve"> later testified that as he was being chased away, the accused had threatened to obtain a firearm and shoot him should he tell anyone what had happened. </w:t>
      </w:r>
      <w:r w:rsidR="00711011" w:rsidRPr="007E372C">
        <w:rPr>
          <w:rFonts w:ascii="Arial" w:hAnsi="Arial" w:cs="Arial"/>
          <w:sz w:val="24"/>
          <w:szCs w:val="24"/>
        </w:rPr>
        <w:t xml:space="preserve"> </w:t>
      </w:r>
      <w:r w:rsidR="0075771D" w:rsidRPr="007E372C">
        <w:rPr>
          <w:rFonts w:ascii="Arial" w:hAnsi="Arial" w:cs="Arial"/>
          <w:sz w:val="24"/>
          <w:szCs w:val="24"/>
        </w:rPr>
        <w:t>During</w:t>
      </w:r>
      <w:r w:rsidR="00711011" w:rsidRPr="007E372C">
        <w:rPr>
          <w:rFonts w:ascii="Arial" w:hAnsi="Arial" w:cs="Arial"/>
          <w:sz w:val="24"/>
          <w:szCs w:val="24"/>
        </w:rPr>
        <w:t xml:space="preserve"> cross examination, the complainant </w:t>
      </w:r>
      <w:r w:rsidR="004927C1" w:rsidRPr="007E372C">
        <w:rPr>
          <w:rFonts w:ascii="Arial" w:hAnsi="Arial" w:cs="Arial"/>
          <w:sz w:val="24"/>
          <w:szCs w:val="24"/>
        </w:rPr>
        <w:t xml:space="preserve">stated that </w:t>
      </w:r>
      <w:r w:rsidR="00711011" w:rsidRPr="007E372C">
        <w:rPr>
          <w:rFonts w:ascii="Arial" w:hAnsi="Arial" w:cs="Arial"/>
          <w:sz w:val="24"/>
          <w:szCs w:val="24"/>
        </w:rPr>
        <w:t>following the sexual assault on the couch</w:t>
      </w:r>
      <w:r w:rsidR="0075771D" w:rsidRPr="007E372C">
        <w:rPr>
          <w:rFonts w:ascii="Arial" w:hAnsi="Arial" w:cs="Arial"/>
          <w:sz w:val="24"/>
          <w:szCs w:val="24"/>
        </w:rPr>
        <w:t xml:space="preserve"> in the accused’s room</w:t>
      </w:r>
      <w:r w:rsidR="00711011" w:rsidRPr="007E372C">
        <w:rPr>
          <w:rFonts w:ascii="Arial" w:hAnsi="Arial" w:cs="Arial"/>
          <w:sz w:val="24"/>
          <w:szCs w:val="24"/>
        </w:rPr>
        <w:t>, he had gone to sleep, whereafter he had been chased away by the accused the next morning, in the presence of the accused’s mother.</w:t>
      </w:r>
      <w:r w:rsidR="0075771D" w:rsidRPr="007E372C">
        <w:rPr>
          <w:rFonts w:ascii="Arial" w:hAnsi="Arial" w:cs="Arial"/>
          <w:sz w:val="24"/>
          <w:szCs w:val="24"/>
        </w:rPr>
        <w:t xml:space="preserve">  In </w:t>
      </w:r>
      <w:r w:rsidR="0037240D" w:rsidRPr="007E372C">
        <w:rPr>
          <w:rFonts w:ascii="Arial" w:hAnsi="Arial" w:cs="Arial"/>
          <w:sz w:val="24"/>
          <w:szCs w:val="24"/>
        </w:rPr>
        <w:t>a</w:t>
      </w:r>
      <w:r w:rsidR="0075771D" w:rsidRPr="007E372C">
        <w:rPr>
          <w:rFonts w:ascii="Arial" w:hAnsi="Arial" w:cs="Arial"/>
          <w:sz w:val="24"/>
          <w:szCs w:val="24"/>
        </w:rPr>
        <w:t xml:space="preserve"> statement given by the complainant to  members of the South African Police Services, </w:t>
      </w:r>
      <w:r w:rsidR="00925FE7" w:rsidRPr="007E372C">
        <w:rPr>
          <w:rFonts w:ascii="Arial" w:hAnsi="Arial" w:cs="Arial"/>
          <w:sz w:val="24"/>
          <w:szCs w:val="24"/>
        </w:rPr>
        <w:t>t</w:t>
      </w:r>
      <w:r w:rsidR="0075771D" w:rsidRPr="007E372C">
        <w:rPr>
          <w:rFonts w:ascii="Arial" w:hAnsi="Arial" w:cs="Arial"/>
          <w:sz w:val="24"/>
          <w:szCs w:val="24"/>
        </w:rPr>
        <w:t>he</w:t>
      </w:r>
      <w:r w:rsidR="00925FE7" w:rsidRPr="007E372C">
        <w:rPr>
          <w:rFonts w:ascii="Arial" w:hAnsi="Arial" w:cs="Arial"/>
          <w:sz w:val="24"/>
          <w:szCs w:val="24"/>
        </w:rPr>
        <w:t xml:space="preserve"> complainant alleged that he was </w:t>
      </w:r>
      <w:r w:rsidR="0075771D" w:rsidRPr="007E372C">
        <w:rPr>
          <w:rFonts w:ascii="Arial" w:hAnsi="Arial" w:cs="Arial"/>
          <w:sz w:val="24"/>
          <w:szCs w:val="24"/>
        </w:rPr>
        <w:t xml:space="preserve">sexually assaulted in the main house, whereafter he had spent the night in the accused’s room, sleeping on the couch. </w:t>
      </w:r>
      <w:r w:rsidR="00E40011" w:rsidRPr="007E372C">
        <w:rPr>
          <w:rFonts w:ascii="Arial" w:hAnsi="Arial" w:cs="Arial"/>
          <w:sz w:val="24"/>
          <w:szCs w:val="24"/>
        </w:rPr>
        <w:t xml:space="preserve">  </w:t>
      </w:r>
    </w:p>
    <w:p w14:paraId="0E285DE1" w14:textId="77777777" w:rsidR="0060275D" w:rsidRPr="0060275D" w:rsidRDefault="0060275D" w:rsidP="0060275D">
      <w:pPr>
        <w:pStyle w:val="ListParagraph"/>
        <w:spacing w:after="0" w:line="480" w:lineRule="auto"/>
        <w:rPr>
          <w:rFonts w:ascii="Arial" w:hAnsi="Arial" w:cs="Arial"/>
          <w:sz w:val="24"/>
          <w:szCs w:val="24"/>
        </w:rPr>
      </w:pPr>
    </w:p>
    <w:p w14:paraId="53D5E3DC" w14:textId="266290F2" w:rsidR="005B0EA5"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0275D" w:rsidRPr="007E372C">
        <w:rPr>
          <w:rFonts w:ascii="Arial" w:hAnsi="Arial" w:cs="Arial"/>
          <w:sz w:val="24"/>
          <w:szCs w:val="24"/>
        </w:rPr>
        <w:t>During examination in chief, n</w:t>
      </w:r>
      <w:r w:rsidR="00E40011" w:rsidRPr="007E372C">
        <w:rPr>
          <w:rFonts w:ascii="Arial" w:hAnsi="Arial" w:cs="Arial"/>
          <w:sz w:val="24"/>
          <w:szCs w:val="24"/>
        </w:rPr>
        <w:t xml:space="preserve">o further mention was made by the </w:t>
      </w:r>
      <w:r w:rsidR="003405BC" w:rsidRPr="007E372C">
        <w:rPr>
          <w:rFonts w:ascii="Arial" w:hAnsi="Arial" w:cs="Arial"/>
          <w:sz w:val="24"/>
          <w:szCs w:val="24"/>
        </w:rPr>
        <w:t>complainant</w:t>
      </w:r>
      <w:r w:rsidR="00E40011" w:rsidRPr="007E372C">
        <w:rPr>
          <w:rFonts w:ascii="Arial" w:hAnsi="Arial" w:cs="Arial"/>
          <w:sz w:val="24"/>
          <w:szCs w:val="24"/>
        </w:rPr>
        <w:t xml:space="preserve"> of the </w:t>
      </w:r>
      <w:r w:rsidR="003405BC" w:rsidRPr="007E372C">
        <w:rPr>
          <w:rFonts w:ascii="Arial" w:hAnsi="Arial" w:cs="Arial"/>
          <w:sz w:val="24"/>
          <w:szCs w:val="24"/>
        </w:rPr>
        <w:t>S</w:t>
      </w:r>
      <w:r w:rsidR="00E40011" w:rsidRPr="007E372C">
        <w:rPr>
          <w:rFonts w:ascii="Arial" w:hAnsi="Arial" w:cs="Arial"/>
          <w:sz w:val="24"/>
          <w:szCs w:val="24"/>
        </w:rPr>
        <w:t>ellotape</w:t>
      </w:r>
      <w:r w:rsidR="007448DE" w:rsidRPr="007E372C">
        <w:rPr>
          <w:rFonts w:ascii="Arial" w:hAnsi="Arial" w:cs="Arial"/>
          <w:sz w:val="24"/>
          <w:szCs w:val="24"/>
        </w:rPr>
        <w:t>,</w:t>
      </w:r>
      <w:r w:rsidR="00E40011" w:rsidRPr="007E372C">
        <w:rPr>
          <w:rFonts w:ascii="Arial" w:hAnsi="Arial" w:cs="Arial"/>
          <w:sz w:val="24"/>
          <w:szCs w:val="24"/>
        </w:rPr>
        <w:t xml:space="preserve"> which had </w:t>
      </w:r>
      <w:r w:rsidR="00B7050D" w:rsidRPr="007E372C">
        <w:rPr>
          <w:rFonts w:ascii="Arial" w:hAnsi="Arial" w:cs="Arial"/>
          <w:sz w:val="24"/>
          <w:szCs w:val="24"/>
        </w:rPr>
        <w:t xml:space="preserve">allegedly </w:t>
      </w:r>
      <w:r w:rsidR="00E40011" w:rsidRPr="007E372C">
        <w:rPr>
          <w:rFonts w:ascii="Arial" w:hAnsi="Arial" w:cs="Arial"/>
          <w:sz w:val="24"/>
          <w:szCs w:val="24"/>
        </w:rPr>
        <w:t>been placed on his mouth</w:t>
      </w:r>
      <w:r w:rsidR="0060275D" w:rsidRPr="007E372C">
        <w:rPr>
          <w:rFonts w:ascii="Arial" w:hAnsi="Arial" w:cs="Arial"/>
          <w:sz w:val="24"/>
          <w:szCs w:val="24"/>
        </w:rPr>
        <w:t xml:space="preserve">.  </w:t>
      </w:r>
      <w:r w:rsidR="004927C1" w:rsidRPr="007E372C">
        <w:rPr>
          <w:rFonts w:ascii="Arial" w:hAnsi="Arial" w:cs="Arial"/>
          <w:sz w:val="24"/>
          <w:szCs w:val="24"/>
        </w:rPr>
        <w:t xml:space="preserve">During cross examination, the complainant </w:t>
      </w:r>
      <w:r w:rsidR="00474FFB" w:rsidRPr="007E372C">
        <w:rPr>
          <w:rFonts w:ascii="Arial" w:hAnsi="Arial" w:cs="Arial"/>
          <w:sz w:val="24"/>
          <w:szCs w:val="24"/>
        </w:rPr>
        <w:t>asserted</w:t>
      </w:r>
      <w:r w:rsidR="004927C1" w:rsidRPr="007E372C">
        <w:rPr>
          <w:rFonts w:ascii="Arial" w:hAnsi="Arial" w:cs="Arial"/>
          <w:sz w:val="24"/>
          <w:szCs w:val="24"/>
        </w:rPr>
        <w:t xml:space="preserve"> that the accused had removed the </w:t>
      </w:r>
      <w:r w:rsidR="00B419ED" w:rsidRPr="007E372C">
        <w:rPr>
          <w:rFonts w:ascii="Arial" w:hAnsi="Arial" w:cs="Arial"/>
          <w:sz w:val="24"/>
          <w:szCs w:val="24"/>
        </w:rPr>
        <w:t>S</w:t>
      </w:r>
      <w:r w:rsidR="004927C1" w:rsidRPr="007E372C">
        <w:rPr>
          <w:rFonts w:ascii="Arial" w:hAnsi="Arial" w:cs="Arial"/>
          <w:sz w:val="24"/>
          <w:szCs w:val="24"/>
        </w:rPr>
        <w:t xml:space="preserve">ellotape </w:t>
      </w:r>
      <w:r w:rsidR="004849CE" w:rsidRPr="007E372C">
        <w:rPr>
          <w:rFonts w:ascii="Arial" w:hAnsi="Arial" w:cs="Arial"/>
          <w:sz w:val="24"/>
          <w:szCs w:val="24"/>
        </w:rPr>
        <w:t xml:space="preserve">from his mouth </w:t>
      </w:r>
      <w:r w:rsidR="004927C1" w:rsidRPr="007E372C">
        <w:rPr>
          <w:rFonts w:ascii="Arial" w:hAnsi="Arial" w:cs="Arial"/>
          <w:sz w:val="24"/>
          <w:szCs w:val="24"/>
        </w:rPr>
        <w:t>at some point.  When queried as to why he had not screamed for assistance</w:t>
      </w:r>
      <w:r w:rsidR="00B419ED" w:rsidRPr="007E372C">
        <w:rPr>
          <w:rFonts w:ascii="Arial" w:hAnsi="Arial" w:cs="Arial"/>
          <w:sz w:val="24"/>
          <w:szCs w:val="24"/>
        </w:rPr>
        <w:t xml:space="preserve"> from</w:t>
      </w:r>
      <w:r w:rsidR="004927C1" w:rsidRPr="007E372C">
        <w:rPr>
          <w:rFonts w:ascii="Arial" w:hAnsi="Arial" w:cs="Arial"/>
          <w:sz w:val="24"/>
          <w:szCs w:val="24"/>
        </w:rPr>
        <w:t xml:space="preserve"> </w:t>
      </w:r>
      <w:r w:rsidR="00F97320" w:rsidRPr="007E372C">
        <w:rPr>
          <w:rFonts w:ascii="Arial" w:hAnsi="Arial" w:cs="Arial"/>
          <w:sz w:val="24"/>
          <w:szCs w:val="24"/>
        </w:rPr>
        <w:t xml:space="preserve">N.N. and his girlfriend, given that they were in </w:t>
      </w:r>
      <w:r w:rsidR="00F97320" w:rsidRPr="007E372C">
        <w:rPr>
          <w:rFonts w:ascii="Arial" w:hAnsi="Arial" w:cs="Arial"/>
          <w:sz w:val="24"/>
          <w:szCs w:val="24"/>
        </w:rPr>
        <w:lastRenderedPageBreak/>
        <w:t xml:space="preserve">earshot of the complainant and the accused, the complainant contended, for the first time, that they had not slept at home that night, </w:t>
      </w:r>
      <w:r w:rsidR="004927C1" w:rsidRPr="007E372C">
        <w:rPr>
          <w:rFonts w:ascii="Arial" w:hAnsi="Arial" w:cs="Arial"/>
          <w:sz w:val="24"/>
          <w:szCs w:val="24"/>
        </w:rPr>
        <w:t>having left earlier that day.</w:t>
      </w:r>
      <w:r w:rsidR="00E40011" w:rsidRPr="007E372C">
        <w:rPr>
          <w:rFonts w:ascii="Arial" w:hAnsi="Arial" w:cs="Arial"/>
          <w:sz w:val="24"/>
          <w:szCs w:val="24"/>
        </w:rPr>
        <w:t xml:space="preserve"> </w:t>
      </w:r>
      <w:r w:rsidR="004927C1" w:rsidRPr="007E372C">
        <w:rPr>
          <w:rFonts w:ascii="Arial" w:hAnsi="Arial" w:cs="Arial"/>
          <w:sz w:val="24"/>
          <w:szCs w:val="24"/>
        </w:rPr>
        <w:t xml:space="preserve"> </w:t>
      </w:r>
      <w:r w:rsidR="00D20DA0" w:rsidRPr="007E372C">
        <w:rPr>
          <w:rFonts w:ascii="Arial" w:hAnsi="Arial" w:cs="Arial"/>
          <w:sz w:val="24"/>
          <w:szCs w:val="24"/>
        </w:rPr>
        <w:t xml:space="preserve">Not only </w:t>
      </w:r>
      <w:r w:rsidR="004927C1" w:rsidRPr="007E372C">
        <w:rPr>
          <w:rFonts w:ascii="Arial" w:hAnsi="Arial" w:cs="Arial"/>
          <w:sz w:val="24"/>
          <w:szCs w:val="24"/>
        </w:rPr>
        <w:t xml:space="preserve">was </w:t>
      </w:r>
      <w:r w:rsidR="006D67E6" w:rsidRPr="007E372C">
        <w:rPr>
          <w:rFonts w:ascii="Arial" w:hAnsi="Arial" w:cs="Arial"/>
          <w:sz w:val="24"/>
          <w:szCs w:val="24"/>
        </w:rPr>
        <w:t xml:space="preserve">this </w:t>
      </w:r>
      <w:r w:rsidR="004927C1" w:rsidRPr="007E372C">
        <w:rPr>
          <w:rFonts w:ascii="Arial" w:hAnsi="Arial" w:cs="Arial"/>
          <w:sz w:val="24"/>
          <w:szCs w:val="24"/>
        </w:rPr>
        <w:t>the first time that this alleged version</w:t>
      </w:r>
      <w:r w:rsidR="00D20DA0" w:rsidRPr="007E372C">
        <w:rPr>
          <w:rFonts w:ascii="Arial" w:hAnsi="Arial" w:cs="Arial"/>
          <w:sz w:val="24"/>
          <w:szCs w:val="24"/>
        </w:rPr>
        <w:t xml:space="preserve"> had</w:t>
      </w:r>
      <w:r w:rsidR="004927C1" w:rsidRPr="007E372C">
        <w:rPr>
          <w:rFonts w:ascii="Arial" w:hAnsi="Arial" w:cs="Arial"/>
          <w:sz w:val="24"/>
          <w:szCs w:val="24"/>
        </w:rPr>
        <w:t xml:space="preserve"> emerged</w:t>
      </w:r>
      <w:r w:rsidR="005B0EA5" w:rsidRPr="007E372C">
        <w:rPr>
          <w:rFonts w:ascii="Arial" w:hAnsi="Arial" w:cs="Arial"/>
          <w:sz w:val="24"/>
          <w:szCs w:val="24"/>
        </w:rPr>
        <w:t xml:space="preserve"> </w:t>
      </w:r>
      <w:r w:rsidR="0060275D" w:rsidRPr="007E372C">
        <w:rPr>
          <w:rFonts w:ascii="Arial" w:hAnsi="Arial" w:cs="Arial"/>
          <w:sz w:val="24"/>
          <w:szCs w:val="24"/>
        </w:rPr>
        <w:t>in the evidence</w:t>
      </w:r>
      <w:r w:rsidR="00D20DA0" w:rsidRPr="007E372C">
        <w:rPr>
          <w:rFonts w:ascii="Arial" w:hAnsi="Arial" w:cs="Arial"/>
          <w:sz w:val="24"/>
          <w:szCs w:val="24"/>
        </w:rPr>
        <w:t>, but it</w:t>
      </w:r>
      <w:r w:rsidR="005B0EA5" w:rsidRPr="007E372C">
        <w:rPr>
          <w:rFonts w:ascii="Arial" w:hAnsi="Arial" w:cs="Arial"/>
          <w:sz w:val="24"/>
          <w:szCs w:val="24"/>
        </w:rPr>
        <w:t xml:space="preserve"> was contrary to </w:t>
      </w:r>
      <w:r w:rsidR="0060275D" w:rsidRPr="007E372C">
        <w:rPr>
          <w:rFonts w:ascii="Arial" w:hAnsi="Arial" w:cs="Arial"/>
          <w:sz w:val="24"/>
          <w:szCs w:val="24"/>
        </w:rPr>
        <w:t xml:space="preserve">the complainant’s </w:t>
      </w:r>
      <w:r w:rsidR="005B0EA5" w:rsidRPr="007E372C">
        <w:rPr>
          <w:rFonts w:ascii="Arial" w:hAnsi="Arial" w:cs="Arial"/>
          <w:sz w:val="24"/>
          <w:szCs w:val="24"/>
        </w:rPr>
        <w:t xml:space="preserve">prior evidence that the accused and </w:t>
      </w:r>
      <w:r w:rsidR="00DE4197" w:rsidRPr="007E372C">
        <w:rPr>
          <w:rFonts w:ascii="Arial" w:hAnsi="Arial" w:cs="Arial"/>
          <w:sz w:val="24"/>
          <w:szCs w:val="24"/>
        </w:rPr>
        <w:t xml:space="preserve">N.N. </w:t>
      </w:r>
      <w:r w:rsidR="005B0EA5" w:rsidRPr="007E372C">
        <w:rPr>
          <w:rFonts w:ascii="Arial" w:hAnsi="Arial" w:cs="Arial"/>
          <w:sz w:val="24"/>
          <w:szCs w:val="24"/>
        </w:rPr>
        <w:t xml:space="preserve">had been burning rubbish around a fire in the yard on the night in question.  When confronted with </w:t>
      </w:r>
      <w:r w:rsidR="00153E2D" w:rsidRPr="007E372C">
        <w:rPr>
          <w:rFonts w:ascii="Arial" w:hAnsi="Arial" w:cs="Arial"/>
          <w:sz w:val="24"/>
          <w:szCs w:val="24"/>
        </w:rPr>
        <w:t>t</w:t>
      </w:r>
      <w:r w:rsidR="005B0EA5" w:rsidRPr="007E372C">
        <w:rPr>
          <w:rFonts w:ascii="Arial" w:hAnsi="Arial" w:cs="Arial"/>
          <w:sz w:val="24"/>
          <w:szCs w:val="24"/>
        </w:rPr>
        <w:t xml:space="preserve">his inconsistent evidence, the complainant testified that there had been two fires, one during the day with the accused and </w:t>
      </w:r>
      <w:r w:rsidR="00DE4197" w:rsidRPr="007E372C">
        <w:rPr>
          <w:rFonts w:ascii="Arial" w:hAnsi="Arial" w:cs="Arial"/>
          <w:sz w:val="24"/>
          <w:szCs w:val="24"/>
        </w:rPr>
        <w:t>N.N.</w:t>
      </w:r>
      <w:r w:rsidR="005B0EA5" w:rsidRPr="007E372C">
        <w:rPr>
          <w:rFonts w:ascii="Arial" w:hAnsi="Arial" w:cs="Arial"/>
          <w:sz w:val="24"/>
          <w:szCs w:val="24"/>
        </w:rPr>
        <w:t xml:space="preserve">, and another during the night, with only the accused being present.  </w:t>
      </w:r>
    </w:p>
    <w:p w14:paraId="62ED74E5" w14:textId="77777777" w:rsidR="005B0EA5" w:rsidRDefault="005B0EA5" w:rsidP="0060275D">
      <w:pPr>
        <w:pStyle w:val="ListParagraph"/>
        <w:spacing w:after="0" w:line="480" w:lineRule="auto"/>
        <w:ind w:left="851"/>
        <w:jc w:val="both"/>
        <w:rPr>
          <w:rFonts w:ascii="Arial" w:hAnsi="Arial" w:cs="Arial"/>
          <w:sz w:val="24"/>
          <w:szCs w:val="24"/>
        </w:rPr>
      </w:pPr>
    </w:p>
    <w:p w14:paraId="3F90A86F" w14:textId="315C4F7E" w:rsidR="00250B3A"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50B3A" w:rsidRPr="007E372C">
        <w:rPr>
          <w:rFonts w:ascii="Arial" w:hAnsi="Arial" w:cs="Arial"/>
          <w:sz w:val="24"/>
          <w:szCs w:val="24"/>
        </w:rPr>
        <w:t xml:space="preserve">During cross examination, it was </w:t>
      </w:r>
      <w:r w:rsidR="00C069D7" w:rsidRPr="007E372C">
        <w:rPr>
          <w:rFonts w:ascii="Arial" w:hAnsi="Arial" w:cs="Arial"/>
          <w:sz w:val="24"/>
          <w:szCs w:val="24"/>
        </w:rPr>
        <w:t xml:space="preserve">further </w:t>
      </w:r>
      <w:r w:rsidR="00250B3A" w:rsidRPr="007E372C">
        <w:rPr>
          <w:rFonts w:ascii="Arial" w:hAnsi="Arial" w:cs="Arial"/>
          <w:sz w:val="24"/>
          <w:szCs w:val="24"/>
        </w:rPr>
        <w:t xml:space="preserve">put to the complainant that the area in which S.G.M resides is dangerous and </w:t>
      </w:r>
      <w:r w:rsidR="00182D22" w:rsidRPr="007E372C">
        <w:rPr>
          <w:rFonts w:ascii="Arial" w:hAnsi="Arial" w:cs="Arial"/>
          <w:sz w:val="24"/>
          <w:szCs w:val="24"/>
        </w:rPr>
        <w:t xml:space="preserve">for this reason, </w:t>
      </w:r>
      <w:r w:rsidR="00250B3A" w:rsidRPr="007E372C">
        <w:rPr>
          <w:rFonts w:ascii="Arial" w:hAnsi="Arial" w:cs="Arial"/>
          <w:sz w:val="24"/>
          <w:szCs w:val="24"/>
        </w:rPr>
        <w:t>the door to the main house is kept locked at night</w:t>
      </w:r>
      <w:r w:rsidR="00182D22" w:rsidRPr="007E372C">
        <w:rPr>
          <w:rFonts w:ascii="Arial" w:hAnsi="Arial" w:cs="Arial"/>
          <w:sz w:val="24"/>
          <w:szCs w:val="24"/>
        </w:rPr>
        <w:t xml:space="preserve">.  In such circumstances, it would be impossible for the </w:t>
      </w:r>
      <w:r w:rsidR="00250B3A" w:rsidRPr="007E372C">
        <w:rPr>
          <w:rFonts w:ascii="Arial" w:hAnsi="Arial" w:cs="Arial"/>
          <w:sz w:val="24"/>
          <w:szCs w:val="24"/>
        </w:rPr>
        <w:t xml:space="preserve">accused </w:t>
      </w:r>
      <w:r w:rsidR="00182D22" w:rsidRPr="007E372C">
        <w:rPr>
          <w:rFonts w:ascii="Arial" w:hAnsi="Arial" w:cs="Arial"/>
          <w:sz w:val="24"/>
          <w:szCs w:val="24"/>
        </w:rPr>
        <w:t xml:space="preserve">to gain access </w:t>
      </w:r>
      <w:r w:rsidR="00250B3A" w:rsidRPr="007E372C">
        <w:rPr>
          <w:rFonts w:ascii="Arial" w:hAnsi="Arial" w:cs="Arial"/>
          <w:sz w:val="24"/>
          <w:szCs w:val="24"/>
        </w:rPr>
        <w:t>into the main house</w:t>
      </w:r>
      <w:r w:rsidR="00182D22" w:rsidRPr="007E372C">
        <w:rPr>
          <w:rFonts w:ascii="Arial" w:hAnsi="Arial" w:cs="Arial"/>
          <w:sz w:val="24"/>
          <w:szCs w:val="24"/>
        </w:rPr>
        <w:t>.  T</w:t>
      </w:r>
      <w:r w:rsidR="00250B3A" w:rsidRPr="007E372C">
        <w:rPr>
          <w:rFonts w:ascii="Arial" w:hAnsi="Arial" w:cs="Arial"/>
          <w:sz w:val="24"/>
          <w:szCs w:val="24"/>
        </w:rPr>
        <w:t>he complainant testified that he had only ever seen the door being locked on one occasion.  Not only is this highly improbable, but it is contrary to the evidence of S.G.M., who testified that in addition to the door being locked every night, with two internal bolts, making access from outside impossible; a security gate, which is fitted on the outside of the door, is kept locked with a padlock.  This evidence was corroborated by the accused as well as the remaining defence witnesses.  I return to this aspect later.</w:t>
      </w:r>
    </w:p>
    <w:p w14:paraId="5279C0A0" w14:textId="77777777" w:rsidR="00250B3A" w:rsidRPr="00250B3A" w:rsidRDefault="00250B3A" w:rsidP="008F7223">
      <w:pPr>
        <w:pStyle w:val="ListParagraph"/>
        <w:spacing w:after="0" w:line="480" w:lineRule="auto"/>
        <w:rPr>
          <w:rFonts w:ascii="Arial" w:hAnsi="Arial" w:cs="Arial"/>
          <w:sz w:val="24"/>
          <w:szCs w:val="24"/>
        </w:rPr>
      </w:pPr>
    </w:p>
    <w:p w14:paraId="2AC08766" w14:textId="278D76F7" w:rsidR="009559EE"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82517" w:rsidRPr="007E372C">
        <w:rPr>
          <w:rFonts w:ascii="Arial" w:hAnsi="Arial" w:cs="Arial"/>
          <w:sz w:val="24"/>
          <w:szCs w:val="24"/>
        </w:rPr>
        <w:t>D</w:t>
      </w:r>
      <w:r w:rsidR="00250B3A" w:rsidRPr="007E372C">
        <w:rPr>
          <w:rFonts w:ascii="Arial" w:hAnsi="Arial" w:cs="Arial"/>
          <w:sz w:val="24"/>
          <w:szCs w:val="24"/>
        </w:rPr>
        <w:t>uring cross-examination,</w:t>
      </w:r>
      <w:r w:rsidR="0036658F" w:rsidRPr="007E372C">
        <w:rPr>
          <w:rFonts w:ascii="Arial" w:hAnsi="Arial" w:cs="Arial"/>
          <w:sz w:val="24"/>
          <w:szCs w:val="24"/>
        </w:rPr>
        <w:t xml:space="preserve"> </w:t>
      </w:r>
      <w:r w:rsidR="000C1C98" w:rsidRPr="007E372C">
        <w:rPr>
          <w:rFonts w:ascii="Arial" w:hAnsi="Arial" w:cs="Arial"/>
          <w:sz w:val="24"/>
          <w:szCs w:val="24"/>
        </w:rPr>
        <w:t xml:space="preserve">the complainant stated </w:t>
      </w:r>
      <w:r w:rsidR="0036658F" w:rsidRPr="007E372C">
        <w:rPr>
          <w:rFonts w:ascii="Arial" w:hAnsi="Arial" w:cs="Arial"/>
          <w:sz w:val="24"/>
          <w:szCs w:val="24"/>
        </w:rPr>
        <w:t xml:space="preserve">that on leaving the accused’s mother’s home, he went to play with his siblings, who </w:t>
      </w:r>
      <w:r w:rsidR="000C1C98" w:rsidRPr="007E372C">
        <w:rPr>
          <w:rFonts w:ascii="Arial" w:hAnsi="Arial" w:cs="Arial"/>
          <w:sz w:val="24"/>
          <w:szCs w:val="24"/>
        </w:rPr>
        <w:t xml:space="preserve">in turn </w:t>
      </w:r>
      <w:r w:rsidR="0036658F" w:rsidRPr="007E372C">
        <w:rPr>
          <w:rFonts w:ascii="Arial" w:hAnsi="Arial" w:cs="Arial"/>
          <w:sz w:val="24"/>
          <w:szCs w:val="24"/>
        </w:rPr>
        <w:t xml:space="preserve">alerted his grandmother </w:t>
      </w:r>
      <w:r w:rsidR="000C1C98" w:rsidRPr="007E372C">
        <w:rPr>
          <w:rFonts w:ascii="Arial" w:hAnsi="Arial" w:cs="Arial"/>
          <w:sz w:val="24"/>
          <w:szCs w:val="24"/>
        </w:rPr>
        <w:t xml:space="preserve">to the fact </w:t>
      </w:r>
      <w:r w:rsidR="0036658F" w:rsidRPr="007E372C">
        <w:rPr>
          <w:rFonts w:ascii="Arial" w:hAnsi="Arial" w:cs="Arial"/>
          <w:sz w:val="24"/>
          <w:szCs w:val="24"/>
        </w:rPr>
        <w:t>that he “</w:t>
      </w:r>
      <w:r w:rsidR="0036658F" w:rsidRPr="007E372C">
        <w:rPr>
          <w:rFonts w:ascii="Arial" w:hAnsi="Arial" w:cs="Arial"/>
          <w:i/>
          <w:iCs/>
          <w:sz w:val="24"/>
          <w:szCs w:val="24"/>
        </w:rPr>
        <w:t>was stinking</w:t>
      </w:r>
      <w:r w:rsidR="0036658F" w:rsidRPr="007E372C">
        <w:rPr>
          <w:rFonts w:ascii="Arial" w:hAnsi="Arial" w:cs="Arial"/>
          <w:sz w:val="24"/>
          <w:szCs w:val="24"/>
        </w:rPr>
        <w:t xml:space="preserve">”.  It later transpired that the </w:t>
      </w:r>
      <w:r w:rsidR="0036658F" w:rsidRPr="007E372C">
        <w:rPr>
          <w:rFonts w:ascii="Arial" w:hAnsi="Arial" w:cs="Arial"/>
          <w:sz w:val="24"/>
          <w:szCs w:val="24"/>
        </w:rPr>
        <w:lastRenderedPageBreak/>
        <w:t>complainant had soiled himself, this being something which</w:t>
      </w:r>
      <w:r w:rsidR="001302E8" w:rsidRPr="007E372C">
        <w:rPr>
          <w:rFonts w:ascii="Arial" w:hAnsi="Arial" w:cs="Arial"/>
          <w:sz w:val="24"/>
          <w:szCs w:val="24"/>
        </w:rPr>
        <w:t xml:space="preserve"> </w:t>
      </w:r>
      <w:r w:rsidR="0036658F" w:rsidRPr="007E372C">
        <w:rPr>
          <w:rFonts w:ascii="Arial" w:hAnsi="Arial" w:cs="Arial"/>
          <w:sz w:val="24"/>
          <w:szCs w:val="24"/>
        </w:rPr>
        <w:t>the complainant had a history of</w:t>
      </w:r>
      <w:r w:rsidR="001302E8" w:rsidRPr="007E372C">
        <w:rPr>
          <w:rFonts w:ascii="Arial" w:hAnsi="Arial" w:cs="Arial"/>
          <w:sz w:val="24"/>
          <w:szCs w:val="24"/>
        </w:rPr>
        <w:t xml:space="preserve"> doing</w:t>
      </w:r>
      <w:r w:rsidR="0036658F" w:rsidRPr="007E372C">
        <w:rPr>
          <w:rFonts w:ascii="Arial" w:hAnsi="Arial" w:cs="Arial"/>
          <w:sz w:val="24"/>
          <w:szCs w:val="24"/>
        </w:rPr>
        <w:t>.</w:t>
      </w:r>
      <w:r w:rsidR="001302E8" w:rsidRPr="007E372C">
        <w:rPr>
          <w:rFonts w:ascii="Arial" w:hAnsi="Arial" w:cs="Arial"/>
          <w:sz w:val="24"/>
          <w:szCs w:val="24"/>
        </w:rPr>
        <w:t xml:space="preserve">  This fact is common cause.</w:t>
      </w:r>
      <w:r w:rsidR="00605E94" w:rsidRPr="007E372C">
        <w:rPr>
          <w:rFonts w:ascii="Arial" w:hAnsi="Arial" w:cs="Arial"/>
          <w:sz w:val="24"/>
          <w:szCs w:val="24"/>
        </w:rPr>
        <w:t xml:space="preserve"> </w:t>
      </w:r>
      <w:r w:rsidR="0036658F" w:rsidRPr="007E372C">
        <w:rPr>
          <w:rFonts w:ascii="Arial" w:hAnsi="Arial" w:cs="Arial"/>
          <w:sz w:val="24"/>
          <w:szCs w:val="24"/>
        </w:rPr>
        <w:t xml:space="preserve"> The complainant thereafter had a bath and noticed that there was blood on his anus.  When queried as to how he had he noticed the blood, he stated that he </w:t>
      </w:r>
      <w:r w:rsidR="0047380C" w:rsidRPr="007E372C">
        <w:rPr>
          <w:rFonts w:ascii="Arial" w:hAnsi="Arial" w:cs="Arial"/>
          <w:sz w:val="24"/>
          <w:szCs w:val="24"/>
        </w:rPr>
        <w:t>had seen</w:t>
      </w:r>
      <w:r w:rsidR="0036658F" w:rsidRPr="007E372C">
        <w:rPr>
          <w:rFonts w:ascii="Arial" w:hAnsi="Arial" w:cs="Arial"/>
          <w:sz w:val="24"/>
          <w:szCs w:val="24"/>
        </w:rPr>
        <w:t xml:space="preserve"> blood </w:t>
      </w:r>
      <w:r w:rsidR="0047380C" w:rsidRPr="007E372C">
        <w:rPr>
          <w:rFonts w:ascii="Arial" w:hAnsi="Arial" w:cs="Arial"/>
          <w:sz w:val="24"/>
          <w:szCs w:val="24"/>
        </w:rPr>
        <w:t>on</w:t>
      </w:r>
      <w:r w:rsidR="0036658F" w:rsidRPr="007E372C">
        <w:rPr>
          <w:rFonts w:ascii="Arial" w:hAnsi="Arial" w:cs="Arial"/>
          <w:sz w:val="24"/>
          <w:szCs w:val="24"/>
        </w:rPr>
        <w:t xml:space="preserve"> his clothing and that </w:t>
      </w:r>
      <w:r w:rsidR="0047380C" w:rsidRPr="007E372C">
        <w:rPr>
          <w:rFonts w:ascii="Arial" w:hAnsi="Arial" w:cs="Arial"/>
          <w:sz w:val="24"/>
          <w:szCs w:val="24"/>
        </w:rPr>
        <w:t xml:space="preserve">he </w:t>
      </w:r>
      <w:r w:rsidR="0036658F" w:rsidRPr="007E372C">
        <w:rPr>
          <w:rFonts w:ascii="Arial" w:hAnsi="Arial" w:cs="Arial"/>
          <w:sz w:val="24"/>
          <w:szCs w:val="24"/>
        </w:rPr>
        <w:t xml:space="preserve">had </w:t>
      </w:r>
      <w:r w:rsidR="0047380C" w:rsidRPr="007E372C">
        <w:rPr>
          <w:rFonts w:ascii="Arial" w:hAnsi="Arial" w:cs="Arial"/>
          <w:sz w:val="24"/>
          <w:szCs w:val="24"/>
        </w:rPr>
        <w:t xml:space="preserve">witnessed blood </w:t>
      </w:r>
      <w:r w:rsidR="0036658F" w:rsidRPr="007E372C">
        <w:rPr>
          <w:rFonts w:ascii="Arial" w:hAnsi="Arial" w:cs="Arial"/>
          <w:sz w:val="24"/>
          <w:szCs w:val="24"/>
        </w:rPr>
        <w:t>dripping from his anus onto the floor.  The complainant’s grandmother, having seen that the complainant had soiled himself, enquired what had happened</w:t>
      </w:r>
      <w:r w:rsidR="004C7F0D" w:rsidRPr="007E372C">
        <w:rPr>
          <w:rFonts w:ascii="Arial" w:hAnsi="Arial" w:cs="Arial"/>
          <w:sz w:val="24"/>
          <w:szCs w:val="24"/>
        </w:rPr>
        <w:t xml:space="preserve"> to him</w:t>
      </w:r>
      <w:r w:rsidR="0036658F" w:rsidRPr="007E372C">
        <w:rPr>
          <w:rFonts w:ascii="Arial" w:hAnsi="Arial" w:cs="Arial"/>
          <w:sz w:val="24"/>
          <w:szCs w:val="24"/>
        </w:rPr>
        <w:t xml:space="preserve">.  The complainant did not answer.  It was only when she offered to pay him R100.00 to tell her what had happened that the </w:t>
      </w:r>
      <w:r w:rsidR="003129F7" w:rsidRPr="007E372C">
        <w:rPr>
          <w:rFonts w:ascii="Arial" w:hAnsi="Arial" w:cs="Arial"/>
          <w:sz w:val="24"/>
          <w:szCs w:val="24"/>
        </w:rPr>
        <w:t>complainant</w:t>
      </w:r>
      <w:r w:rsidR="0036658F" w:rsidRPr="007E372C">
        <w:rPr>
          <w:rFonts w:ascii="Arial" w:hAnsi="Arial" w:cs="Arial"/>
          <w:sz w:val="24"/>
          <w:szCs w:val="24"/>
        </w:rPr>
        <w:t xml:space="preserve"> had, on his own version, spoken out as to the alleged sexual assault.</w:t>
      </w:r>
      <w:r w:rsidR="00250B3A" w:rsidRPr="007E372C">
        <w:rPr>
          <w:rFonts w:ascii="Arial" w:hAnsi="Arial" w:cs="Arial"/>
          <w:sz w:val="24"/>
          <w:szCs w:val="24"/>
        </w:rPr>
        <w:t xml:space="preserve">  She thereafter examined him; applied cream to his anus; called the police; and took the complainant to Dora Nginza for examination.  At one stage the </w:t>
      </w:r>
      <w:r w:rsidR="00165926" w:rsidRPr="007E372C">
        <w:rPr>
          <w:rFonts w:ascii="Arial" w:hAnsi="Arial" w:cs="Arial"/>
          <w:sz w:val="24"/>
          <w:szCs w:val="24"/>
        </w:rPr>
        <w:t>complainant</w:t>
      </w:r>
      <w:r w:rsidR="00250B3A" w:rsidRPr="007E372C">
        <w:rPr>
          <w:rFonts w:ascii="Arial" w:hAnsi="Arial" w:cs="Arial"/>
          <w:sz w:val="24"/>
          <w:szCs w:val="24"/>
        </w:rPr>
        <w:t xml:space="preserve"> testified that his grandmother had seen blood on his anus, whilst at another stage</w:t>
      </w:r>
      <w:r w:rsidR="00437088" w:rsidRPr="007E372C">
        <w:rPr>
          <w:rFonts w:ascii="Arial" w:hAnsi="Arial" w:cs="Arial"/>
          <w:sz w:val="24"/>
          <w:szCs w:val="24"/>
        </w:rPr>
        <w:t>,</w:t>
      </w:r>
      <w:r w:rsidR="00250B3A" w:rsidRPr="007E372C">
        <w:rPr>
          <w:rFonts w:ascii="Arial" w:hAnsi="Arial" w:cs="Arial"/>
          <w:sz w:val="24"/>
          <w:szCs w:val="24"/>
        </w:rPr>
        <w:t xml:space="preserve"> he </w:t>
      </w:r>
      <w:r w:rsidR="00437088" w:rsidRPr="007E372C">
        <w:rPr>
          <w:rFonts w:ascii="Arial" w:hAnsi="Arial" w:cs="Arial"/>
          <w:sz w:val="24"/>
          <w:szCs w:val="24"/>
        </w:rPr>
        <w:t>contended</w:t>
      </w:r>
      <w:r w:rsidR="00250B3A" w:rsidRPr="007E372C">
        <w:rPr>
          <w:rFonts w:ascii="Arial" w:hAnsi="Arial" w:cs="Arial"/>
          <w:sz w:val="24"/>
          <w:szCs w:val="24"/>
        </w:rPr>
        <w:t xml:space="preserve"> that she had seen the blood </w:t>
      </w:r>
      <w:r w:rsidR="002325FF" w:rsidRPr="007E372C">
        <w:rPr>
          <w:rFonts w:ascii="Arial" w:hAnsi="Arial" w:cs="Arial"/>
          <w:sz w:val="24"/>
          <w:szCs w:val="24"/>
        </w:rPr>
        <w:t>on</w:t>
      </w:r>
      <w:r w:rsidR="00250B3A" w:rsidRPr="007E372C">
        <w:rPr>
          <w:rFonts w:ascii="Arial" w:hAnsi="Arial" w:cs="Arial"/>
          <w:sz w:val="24"/>
          <w:szCs w:val="24"/>
        </w:rPr>
        <w:t xml:space="preserve"> his clothing.</w:t>
      </w:r>
      <w:r w:rsidR="002325FF" w:rsidRPr="007E372C">
        <w:rPr>
          <w:rFonts w:ascii="Arial" w:hAnsi="Arial" w:cs="Arial"/>
          <w:sz w:val="24"/>
          <w:szCs w:val="24"/>
        </w:rPr>
        <w:t xml:space="preserve">  The extent of the complainant’s injury, as testified to by him, is inconsistent with the evidence of his grandmother and that of the nursing sister, to which I return. </w:t>
      </w:r>
      <w:r w:rsidR="00651329" w:rsidRPr="007E372C">
        <w:rPr>
          <w:rFonts w:ascii="Arial" w:hAnsi="Arial" w:cs="Arial"/>
          <w:sz w:val="24"/>
          <w:szCs w:val="24"/>
        </w:rPr>
        <w:t xml:space="preserve"> </w:t>
      </w:r>
    </w:p>
    <w:p w14:paraId="0A12B7E0" w14:textId="77777777" w:rsidR="009559EE" w:rsidRDefault="009559EE" w:rsidP="009559EE">
      <w:pPr>
        <w:pStyle w:val="ListParagraph"/>
        <w:spacing w:after="0" w:line="480" w:lineRule="auto"/>
        <w:ind w:left="851"/>
        <w:jc w:val="both"/>
        <w:rPr>
          <w:rFonts w:ascii="Arial" w:hAnsi="Arial" w:cs="Arial"/>
          <w:sz w:val="24"/>
          <w:szCs w:val="24"/>
        </w:rPr>
      </w:pPr>
    </w:p>
    <w:p w14:paraId="1E037B08" w14:textId="3C28D0ED" w:rsidR="00651329"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[24]</w:t>
      </w:r>
      <w:r>
        <w:rPr>
          <w:rFonts w:ascii="Arial" w:hAnsi="Arial" w:cs="Arial"/>
          <w:sz w:val="24"/>
          <w:szCs w:val="24"/>
        </w:rPr>
        <w:tab/>
      </w:r>
      <w:r w:rsidR="00651329" w:rsidRPr="007E372C">
        <w:rPr>
          <w:rFonts w:ascii="Arial" w:hAnsi="Arial" w:cs="Arial"/>
          <w:sz w:val="24"/>
          <w:szCs w:val="24"/>
        </w:rPr>
        <w:t>I interpose to highlight that the complainant, in</w:t>
      </w:r>
      <w:r w:rsidR="009559EE" w:rsidRPr="007E372C">
        <w:rPr>
          <w:rFonts w:ascii="Arial" w:hAnsi="Arial" w:cs="Arial"/>
          <w:sz w:val="24"/>
          <w:szCs w:val="24"/>
        </w:rPr>
        <w:t>: (i)</w:t>
      </w:r>
      <w:r w:rsidR="00651329" w:rsidRPr="007E372C">
        <w:rPr>
          <w:rFonts w:ascii="Arial" w:hAnsi="Arial" w:cs="Arial"/>
          <w:sz w:val="24"/>
          <w:szCs w:val="24"/>
        </w:rPr>
        <w:t xml:space="preserve"> his statement to his grandmother; </w:t>
      </w:r>
      <w:r w:rsidR="009559EE" w:rsidRPr="007E372C">
        <w:rPr>
          <w:rFonts w:ascii="Arial" w:hAnsi="Arial" w:cs="Arial"/>
          <w:sz w:val="24"/>
          <w:szCs w:val="24"/>
        </w:rPr>
        <w:t xml:space="preserve">(ii) </w:t>
      </w:r>
      <w:r w:rsidR="00651329" w:rsidRPr="007E372C">
        <w:rPr>
          <w:rFonts w:ascii="Arial" w:hAnsi="Arial" w:cs="Arial"/>
          <w:sz w:val="24"/>
          <w:szCs w:val="24"/>
        </w:rPr>
        <w:t>his statement to the members of the South African Police Services</w:t>
      </w:r>
      <w:r w:rsidR="00051A73" w:rsidRPr="007E372C">
        <w:rPr>
          <w:rFonts w:ascii="Arial" w:hAnsi="Arial" w:cs="Arial"/>
          <w:sz w:val="24"/>
          <w:szCs w:val="24"/>
        </w:rPr>
        <w:t>, to which I have referred</w:t>
      </w:r>
      <w:r w:rsidR="00651329" w:rsidRPr="007E372C">
        <w:rPr>
          <w:rFonts w:ascii="Arial" w:hAnsi="Arial" w:cs="Arial"/>
          <w:sz w:val="24"/>
          <w:szCs w:val="24"/>
        </w:rPr>
        <w:t xml:space="preserve">; and </w:t>
      </w:r>
      <w:r w:rsidR="009559EE" w:rsidRPr="007E372C">
        <w:rPr>
          <w:rFonts w:ascii="Arial" w:hAnsi="Arial" w:cs="Arial"/>
          <w:sz w:val="24"/>
          <w:szCs w:val="24"/>
        </w:rPr>
        <w:t xml:space="preserve">(iii) his statement </w:t>
      </w:r>
      <w:r w:rsidR="00651329" w:rsidRPr="007E372C">
        <w:rPr>
          <w:rFonts w:ascii="Arial" w:hAnsi="Arial" w:cs="Arial"/>
          <w:sz w:val="24"/>
          <w:szCs w:val="24"/>
        </w:rPr>
        <w:t>to the nurs</w:t>
      </w:r>
      <w:r w:rsidR="00051A73" w:rsidRPr="007E372C">
        <w:rPr>
          <w:rFonts w:ascii="Arial" w:hAnsi="Arial" w:cs="Arial"/>
          <w:sz w:val="24"/>
          <w:szCs w:val="24"/>
        </w:rPr>
        <w:t>ing sister</w:t>
      </w:r>
      <w:r w:rsidR="00651329" w:rsidRPr="007E372C">
        <w:rPr>
          <w:rFonts w:ascii="Arial" w:hAnsi="Arial" w:cs="Arial"/>
          <w:sz w:val="24"/>
          <w:szCs w:val="24"/>
        </w:rPr>
        <w:t xml:space="preserve"> who later examined him, made no mention of the alleged sexual assault</w:t>
      </w:r>
      <w:r w:rsidR="00051A73" w:rsidRPr="007E372C">
        <w:rPr>
          <w:rFonts w:ascii="Arial" w:hAnsi="Arial" w:cs="Arial"/>
          <w:sz w:val="24"/>
          <w:szCs w:val="24"/>
        </w:rPr>
        <w:t>,</w:t>
      </w:r>
      <w:r w:rsidR="00651329" w:rsidRPr="007E372C">
        <w:rPr>
          <w:rFonts w:ascii="Arial" w:hAnsi="Arial" w:cs="Arial"/>
          <w:sz w:val="24"/>
          <w:szCs w:val="24"/>
        </w:rPr>
        <w:t xml:space="preserve"> which took place in the accused’s house, and only gave a recount of what he contended to have happened in the main house.</w:t>
      </w:r>
    </w:p>
    <w:p w14:paraId="746A3EC2" w14:textId="450D4420" w:rsidR="00651329" w:rsidRDefault="00651329" w:rsidP="00651329">
      <w:pPr>
        <w:pStyle w:val="ListParagraph"/>
        <w:spacing w:after="0" w:line="480" w:lineRule="auto"/>
        <w:ind w:left="851"/>
        <w:jc w:val="both"/>
        <w:rPr>
          <w:rFonts w:ascii="Arial" w:hAnsi="Arial" w:cs="Arial"/>
          <w:sz w:val="24"/>
          <w:szCs w:val="24"/>
        </w:rPr>
      </w:pPr>
    </w:p>
    <w:p w14:paraId="79F11058" w14:textId="57227241" w:rsidR="00246FD9"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lastRenderedPageBreak/>
        <w:t>[25]</w:t>
      </w:r>
      <w:r>
        <w:rPr>
          <w:rFonts w:ascii="Arial" w:hAnsi="Arial" w:cs="Arial"/>
          <w:sz w:val="24"/>
          <w:szCs w:val="24"/>
        </w:rPr>
        <w:tab/>
      </w:r>
      <w:r w:rsidR="00405919" w:rsidRPr="007E372C">
        <w:rPr>
          <w:rFonts w:ascii="Arial" w:hAnsi="Arial" w:cs="Arial"/>
          <w:sz w:val="24"/>
          <w:szCs w:val="24"/>
        </w:rPr>
        <w:t xml:space="preserve">On </w:t>
      </w:r>
      <w:r w:rsidR="00DC5635" w:rsidRPr="007E372C">
        <w:rPr>
          <w:rFonts w:ascii="Arial" w:hAnsi="Arial" w:cs="Arial"/>
          <w:sz w:val="24"/>
          <w:szCs w:val="24"/>
        </w:rPr>
        <w:t>the</w:t>
      </w:r>
      <w:r w:rsidR="00405919" w:rsidRPr="007E372C">
        <w:rPr>
          <w:rFonts w:ascii="Arial" w:hAnsi="Arial" w:cs="Arial"/>
          <w:sz w:val="24"/>
          <w:szCs w:val="24"/>
        </w:rPr>
        <w:t xml:space="preserve"> whole, the complainant’s evidence was fraught with inconsistencies and inherent contradictions,</w:t>
      </w:r>
      <w:r w:rsidR="00C069D7" w:rsidRPr="007E372C">
        <w:rPr>
          <w:rFonts w:ascii="Arial" w:hAnsi="Arial" w:cs="Arial"/>
          <w:sz w:val="24"/>
          <w:szCs w:val="24"/>
        </w:rPr>
        <w:t xml:space="preserve"> which were numerous, and in many respects, material.  The evolving nature of the complainant’s evidence when he was faced with his own contradictory versions and improbabilities was a pattern which emerged early on during cross-examination.  It gave the distinct impression that the complainant was attempting to explain away the apparent contradictions in his evidence in order to marry such evidence with his original narrative.  Save as aforesaid,</w:t>
      </w:r>
      <w:r w:rsidR="003366C7" w:rsidRPr="007E372C">
        <w:rPr>
          <w:rFonts w:ascii="Arial" w:hAnsi="Arial" w:cs="Arial"/>
          <w:sz w:val="24"/>
          <w:szCs w:val="24"/>
        </w:rPr>
        <w:t xml:space="preserve"> and for the purposes of the present judgment,</w:t>
      </w:r>
      <w:r w:rsidR="00C069D7" w:rsidRPr="007E372C">
        <w:rPr>
          <w:rFonts w:ascii="Arial" w:hAnsi="Arial" w:cs="Arial"/>
          <w:sz w:val="24"/>
          <w:szCs w:val="24"/>
        </w:rPr>
        <w:t xml:space="preserve"> I do not deem it necessary to traverse and analyse the </w:t>
      </w:r>
      <w:r w:rsidR="003366C7" w:rsidRPr="007E372C">
        <w:rPr>
          <w:rFonts w:ascii="Arial" w:hAnsi="Arial" w:cs="Arial"/>
          <w:sz w:val="24"/>
          <w:szCs w:val="24"/>
        </w:rPr>
        <w:t xml:space="preserve">further </w:t>
      </w:r>
      <w:r w:rsidR="00C069D7" w:rsidRPr="007E372C">
        <w:rPr>
          <w:rFonts w:ascii="Arial" w:hAnsi="Arial" w:cs="Arial"/>
          <w:sz w:val="24"/>
          <w:szCs w:val="24"/>
        </w:rPr>
        <w:t xml:space="preserve">contradictions, all of which are apparent from the record.  </w:t>
      </w:r>
    </w:p>
    <w:p w14:paraId="300D0019" w14:textId="77777777" w:rsidR="00246FD9" w:rsidRPr="00246FD9" w:rsidRDefault="00246FD9" w:rsidP="00100CD1">
      <w:pPr>
        <w:pStyle w:val="ListParagraph"/>
        <w:spacing w:after="0" w:line="480" w:lineRule="auto"/>
        <w:rPr>
          <w:rFonts w:ascii="Arial" w:hAnsi="Arial" w:cs="Arial"/>
          <w:sz w:val="24"/>
          <w:szCs w:val="24"/>
        </w:rPr>
      </w:pPr>
    </w:p>
    <w:p w14:paraId="23D4B48D" w14:textId="6CB9EF0D" w:rsidR="00234654"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[26]</w:t>
      </w:r>
      <w:r>
        <w:rPr>
          <w:rFonts w:ascii="Arial" w:hAnsi="Arial" w:cs="Arial"/>
          <w:sz w:val="24"/>
          <w:szCs w:val="24"/>
        </w:rPr>
        <w:tab/>
      </w:r>
      <w:r w:rsidR="00BF546B" w:rsidRPr="007E372C">
        <w:rPr>
          <w:rFonts w:ascii="Arial" w:hAnsi="Arial" w:cs="Arial"/>
          <w:sz w:val="24"/>
          <w:szCs w:val="24"/>
        </w:rPr>
        <w:t>According to the medical evidence,</w:t>
      </w:r>
      <w:r w:rsidR="005C3A43" w:rsidRPr="007E372C">
        <w:rPr>
          <w:rFonts w:ascii="Arial" w:hAnsi="Arial" w:cs="Arial"/>
          <w:sz w:val="24"/>
          <w:szCs w:val="24"/>
        </w:rPr>
        <w:t xml:space="preserve"> which was obtained on 5 January 2021, no swelling nor any bruising around the complainant’s anus was noted.  T</w:t>
      </w:r>
      <w:r w:rsidR="00BF546B" w:rsidRPr="007E372C">
        <w:rPr>
          <w:rFonts w:ascii="Arial" w:hAnsi="Arial" w:cs="Arial"/>
          <w:sz w:val="24"/>
          <w:szCs w:val="24"/>
        </w:rPr>
        <w:t xml:space="preserve">he complainant </w:t>
      </w:r>
      <w:r w:rsidR="00B376BF" w:rsidRPr="007E372C">
        <w:rPr>
          <w:rFonts w:ascii="Arial" w:hAnsi="Arial" w:cs="Arial"/>
          <w:sz w:val="24"/>
          <w:szCs w:val="24"/>
        </w:rPr>
        <w:t xml:space="preserve">did however </w:t>
      </w:r>
      <w:r w:rsidR="00BF546B" w:rsidRPr="007E372C">
        <w:rPr>
          <w:rFonts w:ascii="Arial" w:hAnsi="Arial" w:cs="Arial"/>
          <w:sz w:val="24"/>
          <w:szCs w:val="24"/>
        </w:rPr>
        <w:t>present with redness around the anus and two small tears, positioned at 11 and 12 o’clock</w:t>
      </w:r>
      <w:r w:rsidR="001254E3" w:rsidRPr="007E372C">
        <w:rPr>
          <w:rFonts w:ascii="Arial" w:hAnsi="Arial" w:cs="Arial"/>
          <w:sz w:val="24"/>
          <w:szCs w:val="24"/>
        </w:rPr>
        <w:t xml:space="preserve"> respectively</w:t>
      </w:r>
      <w:r w:rsidR="00BF546B" w:rsidRPr="007E372C">
        <w:rPr>
          <w:rFonts w:ascii="Arial" w:hAnsi="Arial" w:cs="Arial"/>
          <w:sz w:val="24"/>
          <w:szCs w:val="24"/>
        </w:rPr>
        <w:t xml:space="preserve">.  </w:t>
      </w:r>
      <w:r w:rsidR="00B376BF" w:rsidRPr="007E372C">
        <w:rPr>
          <w:rFonts w:ascii="Arial" w:hAnsi="Arial" w:cs="Arial"/>
          <w:sz w:val="24"/>
          <w:szCs w:val="24"/>
        </w:rPr>
        <w:t>Based on these observations, t</w:t>
      </w:r>
      <w:r w:rsidR="00BF546B" w:rsidRPr="007E372C">
        <w:rPr>
          <w:rFonts w:ascii="Arial" w:hAnsi="Arial" w:cs="Arial"/>
          <w:sz w:val="24"/>
          <w:szCs w:val="24"/>
        </w:rPr>
        <w:t>he nursing sister concluded that the injuries seen</w:t>
      </w:r>
      <w:r w:rsidR="00100CD1" w:rsidRPr="007E372C">
        <w:rPr>
          <w:rFonts w:ascii="Arial" w:hAnsi="Arial" w:cs="Arial"/>
          <w:sz w:val="24"/>
          <w:szCs w:val="24"/>
        </w:rPr>
        <w:t>,</w:t>
      </w:r>
      <w:r w:rsidR="00BF546B" w:rsidRPr="007E372C">
        <w:rPr>
          <w:rFonts w:ascii="Arial" w:hAnsi="Arial" w:cs="Arial"/>
          <w:sz w:val="24"/>
          <w:szCs w:val="24"/>
        </w:rPr>
        <w:t xml:space="preserve"> </w:t>
      </w:r>
      <w:r w:rsidR="005C3A43" w:rsidRPr="007E372C">
        <w:rPr>
          <w:rFonts w:ascii="Arial" w:hAnsi="Arial" w:cs="Arial"/>
          <w:sz w:val="24"/>
          <w:szCs w:val="24"/>
        </w:rPr>
        <w:t>were consistent with forced anal penetration and that rape could not be excluded.</w:t>
      </w:r>
      <w:r w:rsidR="00B376BF" w:rsidRPr="007E372C">
        <w:rPr>
          <w:rFonts w:ascii="Arial" w:hAnsi="Arial" w:cs="Arial"/>
          <w:sz w:val="24"/>
          <w:szCs w:val="24"/>
        </w:rPr>
        <w:t xml:space="preserve">  </w:t>
      </w:r>
    </w:p>
    <w:p w14:paraId="321F412B" w14:textId="77777777" w:rsidR="00234654" w:rsidRPr="00234654" w:rsidRDefault="00234654" w:rsidP="009D7002">
      <w:pPr>
        <w:pStyle w:val="ListParagraph"/>
        <w:spacing w:after="0" w:line="480" w:lineRule="auto"/>
        <w:rPr>
          <w:rFonts w:ascii="Arial" w:hAnsi="Arial" w:cs="Arial"/>
          <w:sz w:val="24"/>
          <w:szCs w:val="24"/>
        </w:rPr>
      </w:pPr>
    </w:p>
    <w:p w14:paraId="691E2500" w14:textId="07B6552C" w:rsidR="00B060B0"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060B0" w:rsidRPr="007E372C">
        <w:rPr>
          <w:rFonts w:ascii="Arial" w:hAnsi="Arial" w:cs="Arial"/>
          <w:sz w:val="24"/>
          <w:szCs w:val="24"/>
        </w:rPr>
        <w:t xml:space="preserve">The likelihood of the lack of swelling and the </w:t>
      </w:r>
      <w:r w:rsidR="00A31CF2" w:rsidRPr="007E372C">
        <w:rPr>
          <w:rFonts w:ascii="Arial" w:hAnsi="Arial" w:cs="Arial"/>
          <w:sz w:val="24"/>
          <w:szCs w:val="24"/>
        </w:rPr>
        <w:t>absence</w:t>
      </w:r>
      <w:r w:rsidR="00B060B0" w:rsidRPr="007E372C">
        <w:rPr>
          <w:rFonts w:ascii="Arial" w:hAnsi="Arial" w:cs="Arial"/>
          <w:sz w:val="24"/>
          <w:szCs w:val="24"/>
        </w:rPr>
        <w:t xml:space="preserve"> of bruising, together with the presence of what can be described as minor injuries being noted on examination, within 24 hours of the alleged sexual assault on a seven year old boy by an adult man, which had </w:t>
      </w:r>
      <w:r w:rsidR="00A31CF2" w:rsidRPr="007E372C">
        <w:rPr>
          <w:rFonts w:ascii="Arial" w:hAnsi="Arial" w:cs="Arial"/>
          <w:sz w:val="24"/>
          <w:szCs w:val="24"/>
        </w:rPr>
        <w:t xml:space="preserve">allegedly </w:t>
      </w:r>
      <w:r w:rsidR="00B060B0" w:rsidRPr="007E372C">
        <w:rPr>
          <w:rFonts w:ascii="Arial" w:hAnsi="Arial" w:cs="Arial"/>
          <w:sz w:val="24"/>
          <w:szCs w:val="24"/>
        </w:rPr>
        <w:t xml:space="preserve">been prolonged and had occurred on multiple occasions throughout the night, was not pursued during cross-examination.  Presumably, this line of questioning was not pursued, given the </w:t>
      </w:r>
      <w:r w:rsidR="00B060B0" w:rsidRPr="007E372C">
        <w:rPr>
          <w:rFonts w:ascii="Arial" w:hAnsi="Arial" w:cs="Arial"/>
          <w:sz w:val="24"/>
          <w:szCs w:val="24"/>
        </w:rPr>
        <w:lastRenderedPageBreak/>
        <w:t xml:space="preserve">material concessions which were made by the nursing sister, to which I now turn.     </w:t>
      </w:r>
    </w:p>
    <w:p w14:paraId="6A680B7A" w14:textId="77777777" w:rsidR="00B060B0" w:rsidRDefault="00B060B0" w:rsidP="009D7002">
      <w:pPr>
        <w:pStyle w:val="ListParagraph"/>
        <w:spacing w:after="0" w:line="480" w:lineRule="auto"/>
        <w:ind w:left="851"/>
        <w:jc w:val="both"/>
        <w:rPr>
          <w:rFonts w:ascii="Arial" w:hAnsi="Arial" w:cs="Arial"/>
          <w:sz w:val="24"/>
          <w:szCs w:val="24"/>
        </w:rPr>
      </w:pPr>
    </w:p>
    <w:p w14:paraId="6902498E" w14:textId="050BEF06" w:rsidR="00B060B0" w:rsidRPr="007E372C" w:rsidRDefault="007E372C" w:rsidP="007E372C">
      <w:pPr>
        <w:spacing w:after="0" w:line="480" w:lineRule="auto"/>
        <w:ind w:left="851" w:hanging="851"/>
        <w:jc w:val="both"/>
        <w:rPr>
          <w:rFonts w:ascii="Arial" w:hAnsi="Arial" w:cs="Arial"/>
          <w:sz w:val="24"/>
          <w:szCs w:val="24"/>
        </w:rPr>
      </w:pPr>
      <w:r w:rsidRPr="00853685">
        <w:rPr>
          <w:rFonts w:ascii="Arial" w:hAnsi="Arial" w:cs="Arial"/>
          <w:sz w:val="24"/>
          <w:szCs w:val="24"/>
        </w:rPr>
        <w:t>[28]</w:t>
      </w:r>
      <w:r w:rsidRPr="00853685">
        <w:rPr>
          <w:rFonts w:ascii="Arial" w:hAnsi="Arial" w:cs="Arial"/>
          <w:sz w:val="24"/>
          <w:szCs w:val="24"/>
        </w:rPr>
        <w:tab/>
      </w:r>
      <w:r w:rsidR="00234654" w:rsidRPr="007E372C">
        <w:rPr>
          <w:rFonts w:ascii="Arial" w:hAnsi="Arial" w:cs="Arial"/>
          <w:sz w:val="24"/>
          <w:szCs w:val="24"/>
        </w:rPr>
        <w:t xml:space="preserve">On her own version, </w:t>
      </w:r>
      <w:r w:rsidR="00100CD1" w:rsidRPr="007E372C">
        <w:rPr>
          <w:rFonts w:ascii="Arial" w:hAnsi="Arial" w:cs="Arial"/>
          <w:sz w:val="24"/>
          <w:szCs w:val="24"/>
        </w:rPr>
        <w:t>Sister Vellem</w:t>
      </w:r>
      <w:r w:rsidR="00234654" w:rsidRPr="007E372C">
        <w:rPr>
          <w:rFonts w:ascii="Arial" w:hAnsi="Arial" w:cs="Arial"/>
          <w:sz w:val="24"/>
          <w:szCs w:val="24"/>
        </w:rPr>
        <w:t xml:space="preserve"> </w:t>
      </w:r>
      <w:r w:rsidR="00B57394" w:rsidRPr="007E372C">
        <w:rPr>
          <w:rFonts w:ascii="Arial" w:hAnsi="Arial" w:cs="Arial"/>
          <w:sz w:val="24"/>
          <w:szCs w:val="24"/>
        </w:rPr>
        <w:t>testified that the redness, apart from forced penetration, could have been caused by itching, friction or infection and that</w:t>
      </w:r>
      <w:r w:rsidR="00B060B0" w:rsidRPr="007E372C">
        <w:rPr>
          <w:rFonts w:ascii="Arial" w:hAnsi="Arial" w:cs="Arial"/>
          <w:sz w:val="24"/>
          <w:szCs w:val="24"/>
        </w:rPr>
        <w:t xml:space="preserve"> other causes, such as </w:t>
      </w:r>
      <w:r w:rsidR="00B57394" w:rsidRPr="007E372C">
        <w:rPr>
          <w:rFonts w:ascii="Arial" w:hAnsi="Arial" w:cs="Arial"/>
          <w:sz w:val="24"/>
          <w:szCs w:val="24"/>
        </w:rPr>
        <w:t>haemorrhoids</w:t>
      </w:r>
      <w:r w:rsidR="00B060B0" w:rsidRPr="007E372C">
        <w:rPr>
          <w:rFonts w:ascii="Arial" w:hAnsi="Arial" w:cs="Arial"/>
          <w:sz w:val="24"/>
          <w:szCs w:val="24"/>
        </w:rPr>
        <w:t>, could have caused the tears noted</w:t>
      </w:r>
      <w:r w:rsidR="00B57394" w:rsidRPr="007E372C">
        <w:rPr>
          <w:rFonts w:ascii="Arial" w:hAnsi="Arial" w:cs="Arial"/>
          <w:sz w:val="24"/>
          <w:szCs w:val="24"/>
        </w:rPr>
        <w:t xml:space="preserve">.  </w:t>
      </w:r>
      <w:r w:rsidR="00485F48" w:rsidRPr="007E372C">
        <w:rPr>
          <w:rFonts w:ascii="Arial" w:hAnsi="Arial" w:cs="Arial"/>
          <w:sz w:val="24"/>
          <w:szCs w:val="24"/>
        </w:rPr>
        <w:t>During</w:t>
      </w:r>
      <w:r w:rsidR="00B57394" w:rsidRPr="007E372C">
        <w:rPr>
          <w:rFonts w:ascii="Arial" w:hAnsi="Arial" w:cs="Arial"/>
          <w:sz w:val="24"/>
          <w:szCs w:val="24"/>
        </w:rPr>
        <w:t xml:space="preserve"> cross examination, she conceded that the redness could be attributed to diarrhrea and that if the condition was chronic, it could lead to the dryness of skin </w:t>
      </w:r>
      <w:r w:rsidR="00B060B0" w:rsidRPr="007E372C">
        <w:rPr>
          <w:rFonts w:ascii="Arial" w:hAnsi="Arial" w:cs="Arial"/>
          <w:sz w:val="24"/>
          <w:szCs w:val="24"/>
        </w:rPr>
        <w:t xml:space="preserve">resulting in cracks and tears.  This too could lead to slight bleeding.  As the complainant’s family had failed to inform </w:t>
      </w:r>
      <w:r w:rsidR="00587CA2" w:rsidRPr="007E372C">
        <w:rPr>
          <w:rFonts w:ascii="Arial" w:hAnsi="Arial" w:cs="Arial"/>
          <w:sz w:val="24"/>
          <w:szCs w:val="24"/>
        </w:rPr>
        <w:t>Sister Vellem</w:t>
      </w:r>
      <w:r w:rsidR="00B060B0" w:rsidRPr="007E372C">
        <w:rPr>
          <w:rFonts w:ascii="Arial" w:hAnsi="Arial" w:cs="Arial"/>
          <w:sz w:val="24"/>
          <w:szCs w:val="24"/>
        </w:rPr>
        <w:t xml:space="preserve"> of the complainant’s medical history pertaining to him </w:t>
      </w:r>
      <w:r w:rsidR="006C6005" w:rsidRPr="007E372C">
        <w:rPr>
          <w:rFonts w:ascii="Arial" w:hAnsi="Arial" w:cs="Arial"/>
          <w:sz w:val="24"/>
          <w:szCs w:val="24"/>
        </w:rPr>
        <w:t>soil</w:t>
      </w:r>
      <w:r w:rsidR="00853685" w:rsidRPr="007E372C">
        <w:rPr>
          <w:rFonts w:ascii="Arial" w:hAnsi="Arial" w:cs="Arial"/>
          <w:sz w:val="24"/>
          <w:szCs w:val="24"/>
        </w:rPr>
        <w:t>ing</w:t>
      </w:r>
      <w:r w:rsidR="00B060B0" w:rsidRPr="007E372C">
        <w:rPr>
          <w:rFonts w:ascii="Arial" w:hAnsi="Arial" w:cs="Arial"/>
          <w:sz w:val="24"/>
          <w:szCs w:val="24"/>
        </w:rPr>
        <w:t xml:space="preserve"> himself, this was not an aspect which had been considered by the nursing sister at the time of her examination.  She readily conceded that the injuries observed by her could </w:t>
      </w:r>
      <w:r w:rsidR="0073689D" w:rsidRPr="007E372C">
        <w:rPr>
          <w:rFonts w:ascii="Arial" w:hAnsi="Arial" w:cs="Arial"/>
          <w:sz w:val="24"/>
          <w:szCs w:val="24"/>
        </w:rPr>
        <w:t xml:space="preserve">also </w:t>
      </w:r>
      <w:r w:rsidR="00B060B0" w:rsidRPr="007E372C">
        <w:rPr>
          <w:rFonts w:ascii="Arial" w:hAnsi="Arial" w:cs="Arial"/>
          <w:sz w:val="24"/>
          <w:szCs w:val="24"/>
        </w:rPr>
        <w:t>have been caused by the medical circumstances referred to.  The medical evidence was accordingly neutral and inconclusive.</w:t>
      </w:r>
    </w:p>
    <w:p w14:paraId="283380D7" w14:textId="77777777" w:rsidR="00B060B0" w:rsidRPr="00B060B0" w:rsidRDefault="00B060B0" w:rsidP="009D7002">
      <w:pPr>
        <w:pStyle w:val="ListParagraph"/>
        <w:spacing w:after="0" w:line="480" w:lineRule="auto"/>
        <w:rPr>
          <w:rFonts w:ascii="Arial" w:hAnsi="Arial" w:cs="Arial"/>
          <w:sz w:val="24"/>
          <w:szCs w:val="24"/>
        </w:rPr>
      </w:pPr>
    </w:p>
    <w:p w14:paraId="03FFE5B5" w14:textId="06D8C101" w:rsidR="009C1318"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9C1318" w:rsidRPr="007E372C">
        <w:rPr>
          <w:rFonts w:ascii="Arial" w:hAnsi="Arial" w:cs="Arial"/>
          <w:sz w:val="24"/>
          <w:szCs w:val="24"/>
        </w:rPr>
        <w:t>Constable Caesar testified that on 8 September 2021</w:t>
      </w:r>
      <w:r w:rsidR="004113D5" w:rsidRPr="007E372C">
        <w:rPr>
          <w:rFonts w:ascii="Arial" w:hAnsi="Arial" w:cs="Arial"/>
          <w:sz w:val="24"/>
          <w:szCs w:val="24"/>
        </w:rPr>
        <w:t>,</w:t>
      </w:r>
      <w:r w:rsidR="009C1318" w:rsidRPr="007E372C">
        <w:rPr>
          <w:rFonts w:ascii="Arial" w:hAnsi="Arial" w:cs="Arial"/>
          <w:sz w:val="24"/>
          <w:szCs w:val="24"/>
        </w:rPr>
        <w:t xml:space="preserve"> he attended upon the alleged crime scene, which was pointed out to him by the complainant and his mother, in order to document it photographically.  He thereafter compiled the photograph album, which was tendered into evidence at trial and which consist</w:t>
      </w:r>
      <w:r w:rsidR="004113D5" w:rsidRPr="007E372C">
        <w:rPr>
          <w:rFonts w:ascii="Arial" w:hAnsi="Arial" w:cs="Arial"/>
          <w:sz w:val="24"/>
          <w:szCs w:val="24"/>
        </w:rPr>
        <w:t>s</w:t>
      </w:r>
      <w:r w:rsidR="009C1318" w:rsidRPr="007E372C">
        <w:rPr>
          <w:rFonts w:ascii="Arial" w:hAnsi="Arial" w:cs="Arial"/>
          <w:sz w:val="24"/>
          <w:szCs w:val="24"/>
        </w:rPr>
        <w:t xml:space="preserve"> of photographs of the main house.  At no stage was Constable Caesar’s attention directed to an alleged </w:t>
      </w:r>
      <w:r w:rsidR="00AC1111" w:rsidRPr="007E372C">
        <w:rPr>
          <w:rFonts w:ascii="Arial" w:hAnsi="Arial" w:cs="Arial"/>
          <w:sz w:val="24"/>
          <w:szCs w:val="24"/>
        </w:rPr>
        <w:t xml:space="preserve">sexual assault, </w:t>
      </w:r>
      <w:r w:rsidR="009C1318" w:rsidRPr="007E372C">
        <w:rPr>
          <w:rFonts w:ascii="Arial" w:hAnsi="Arial" w:cs="Arial"/>
          <w:sz w:val="24"/>
          <w:szCs w:val="24"/>
        </w:rPr>
        <w:t xml:space="preserve">which had occurred in the accused’s house.  </w:t>
      </w:r>
    </w:p>
    <w:p w14:paraId="0B1BFCE4" w14:textId="77777777" w:rsidR="009C1318" w:rsidRPr="009C1318" w:rsidRDefault="009C1318" w:rsidP="009D7002">
      <w:pPr>
        <w:pStyle w:val="ListParagraph"/>
        <w:spacing w:after="0" w:line="480" w:lineRule="auto"/>
        <w:rPr>
          <w:rFonts w:ascii="Arial" w:hAnsi="Arial" w:cs="Arial"/>
          <w:sz w:val="24"/>
          <w:szCs w:val="24"/>
        </w:rPr>
      </w:pPr>
    </w:p>
    <w:p w14:paraId="6177E30C" w14:textId="274B9FE5" w:rsidR="009C1318" w:rsidRPr="007E372C" w:rsidRDefault="007E372C" w:rsidP="007E372C">
      <w:pPr>
        <w:spacing w:after="0" w:line="480" w:lineRule="auto"/>
        <w:ind w:left="851" w:hanging="851"/>
        <w:jc w:val="both"/>
        <w:rPr>
          <w:rFonts w:ascii="Arial" w:hAnsi="Arial" w:cs="Arial"/>
          <w:sz w:val="24"/>
          <w:szCs w:val="24"/>
        </w:rPr>
      </w:pPr>
      <w:r w:rsidRPr="00EB4A9B">
        <w:rPr>
          <w:rFonts w:ascii="Arial" w:hAnsi="Arial" w:cs="Arial"/>
          <w:sz w:val="24"/>
          <w:szCs w:val="24"/>
        </w:rPr>
        <w:lastRenderedPageBreak/>
        <w:t>[30]</w:t>
      </w:r>
      <w:r w:rsidRPr="00EB4A9B">
        <w:rPr>
          <w:rFonts w:ascii="Arial" w:hAnsi="Arial" w:cs="Arial"/>
          <w:sz w:val="24"/>
          <w:szCs w:val="24"/>
        </w:rPr>
        <w:tab/>
      </w:r>
      <w:r w:rsidR="009C1318" w:rsidRPr="007E372C">
        <w:rPr>
          <w:rFonts w:ascii="Arial" w:hAnsi="Arial" w:cs="Arial"/>
          <w:sz w:val="24"/>
          <w:szCs w:val="24"/>
        </w:rPr>
        <w:t>I.K, the complainant’s maternal grandmother</w:t>
      </w:r>
      <w:r w:rsidR="00EB4A9B" w:rsidRPr="007E372C">
        <w:rPr>
          <w:rFonts w:ascii="Arial" w:hAnsi="Arial" w:cs="Arial"/>
          <w:sz w:val="24"/>
          <w:szCs w:val="24"/>
        </w:rPr>
        <w:t>,</w:t>
      </w:r>
      <w:r w:rsidR="009C1318" w:rsidRPr="007E372C">
        <w:rPr>
          <w:rFonts w:ascii="Arial" w:hAnsi="Arial" w:cs="Arial"/>
          <w:sz w:val="24"/>
          <w:szCs w:val="24"/>
        </w:rPr>
        <w:t xml:space="preserve"> testified </w:t>
      </w:r>
      <w:r w:rsidR="00EB4A9B" w:rsidRPr="007E372C">
        <w:rPr>
          <w:rFonts w:ascii="Arial" w:hAnsi="Arial" w:cs="Arial"/>
          <w:sz w:val="24"/>
          <w:szCs w:val="24"/>
        </w:rPr>
        <w:t>that</w:t>
      </w:r>
      <w:r w:rsidR="004934A7" w:rsidRPr="007E372C">
        <w:rPr>
          <w:rFonts w:ascii="Arial" w:hAnsi="Arial" w:cs="Arial"/>
          <w:sz w:val="24"/>
          <w:szCs w:val="24"/>
        </w:rPr>
        <w:t xml:space="preserve"> the</w:t>
      </w:r>
      <w:r w:rsidR="00EB4A9B" w:rsidRPr="007E372C">
        <w:rPr>
          <w:rFonts w:ascii="Arial" w:hAnsi="Arial" w:cs="Arial"/>
          <w:sz w:val="24"/>
          <w:szCs w:val="24"/>
        </w:rPr>
        <w:t xml:space="preserve"> complainant had a long history of </w:t>
      </w:r>
      <w:r w:rsidR="00107A24" w:rsidRPr="007E372C">
        <w:rPr>
          <w:rFonts w:ascii="Arial" w:hAnsi="Arial" w:cs="Arial"/>
          <w:sz w:val="24"/>
          <w:szCs w:val="24"/>
        </w:rPr>
        <w:t>soiling</w:t>
      </w:r>
      <w:r w:rsidR="00EB4A9B" w:rsidRPr="007E372C">
        <w:rPr>
          <w:rFonts w:ascii="Arial" w:hAnsi="Arial" w:cs="Arial"/>
          <w:sz w:val="24"/>
          <w:szCs w:val="24"/>
        </w:rPr>
        <w:t xml:space="preserve"> himself and that this had resulted in a traditional cerem</w:t>
      </w:r>
      <w:r w:rsidR="00B21675" w:rsidRPr="007E372C">
        <w:rPr>
          <w:rFonts w:ascii="Arial" w:hAnsi="Arial" w:cs="Arial"/>
          <w:sz w:val="24"/>
          <w:szCs w:val="24"/>
        </w:rPr>
        <w:t>ony being</w:t>
      </w:r>
      <w:r w:rsidR="00EB4A9B" w:rsidRPr="007E372C">
        <w:rPr>
          <w:rFonts w:ascii="Arial" w:hAnsi="Arial" w:cs="Arial"/>
          <w:sz w:val="24"/>
          <w:szCs w:val="24"/>
        </w:rPr>
        <w:t xml:space="preserve"> performed</w:t>
      </w:r>
      <w:r w:rsidR="00285B18" w:rsidRPr="007E372C">
        <w:rPr>
          <w:rFonts w:ascii="Arial" w:hAnsi="Arial" w:cs="Arial"/>
          <w:sz w:val="24"/>
          <w:szCs w:val="24"/>
        </w:rPr>
        <w:t xml:space="preserve"> by the family</w:t>
      </w:r>
      <w:r w:rsidR="00EB4A9B" w:rsidRPr="007E372C">
        <w:rPr>
          <w:rFonts w:ascii="Arial" w:hAnsi="Arial" w:cs="Arial"/>
          <w:sz w:val="24"/>
          <w:szCs w:val="24"/>
        </w:rPr>
        <w:t xml:space="preserve"> to enlist the assistance of the</w:t>
      </w:r>
      <w:r w:rsidR="00285B18" w:rsidRPr="007E372C">
        <w:rPr>
          <w:rFonts w:ascii="Arial" w:hAnsi="Arial" w:cs="Arial"/>
          <w:sz w:val="24"/>
          <w:szCs w:val="24"/>
        </w:rPr>
        <w:t>ir</w:t>
      </w:r>
      <w:r w:rsidR="00EB4A9B" w:rsidRPr="007E372C">
        <w:rPr>
          <w:rFonts w:ascii="Arial" w:hAnsi="Arial" w:cs="Arial"/>
          <w:sz w:val="24"/>
          <w:szCs w:val="24"/>
        </w:rPr>
        <w:t xml:space="preserve"> ancestors.  Whilst th</w:t>
      </w:r>
      <w:r w:rsidR="008B6552" w:rsidRPr="007E372C">
        <w:rPr>
          <w:rFonts w:ascii="Arial" w:hAnsi="Arial" w:cs="Arial"/>
          <w:sz w:val="24"/>
          <w:szCs w:val="24"/>
        </w:rPr>
        <w:t xml:space="preserve">e ceremony </w:t>
      </w:r>
      <w:r w:rsidR="00EB4A9B" w:rsidRPr="007E372C">
        <w:rPr>
          <w:rFonts w:ascii="Arial" w:hAnsi="Arial" w:cs="Arial"/>
          <w:sz w:val="24"/>
          <w:szCs w:val="24"/>
        </w:rPr>
        <w:t>had initially appeared to have resulted in the abatement of the</w:t>
      </w:r>
      <w:r w:rsidR="008B6552" w:rsidRPr="007E372C">
        <w:rPr>
          <w:rFonts w:ascii="Arial" w:hAnsi="Arial" w:cs="Arial"/>
          <w:sz w:val="24"/>
          <w:szCs w:val="24"/>
        </w:rPr>
        <w:t xml:space="preserve"> complainant’s</w:t>
      </w:r>
      <w:r w:rsidR="00EB4A9B" w:rsidRPr="007E372C">
        <w:rPr>
          <w:rFonts w:ascii="Arial" w:hAnsi="Arial" w:cs="Arial"/>
          <w:sz w:val="24"/>
          <w:szCs w:val="24"/>
        </w:rPr>
        <w:t xml:space="preserve"> condition, it had returned some time thereafter.  O</w:t>
      </w:r>
      <w:r w:rsidR="00B15F87" w:rsidRPr="007E372C">
        <w:rPr>
          <w:rFonts w:ascii="Arial" w:hAnsi="Arial" w:cs="Arial"/>
          <w:sz w:val="24"/>
          <w:szCs w:val="24"/>
        </w:rPr>
        <w:t xml:space="preserve">n the morning of 5 January 2021, the complainant arrived home whilst </w:t>
      </w:r>
      <w:r w:rsidR="008B6552" w:rsidRPr="007E372C">
        <w:rPr>
          <w:rFonts w:ascii="Arial" w:hAnsi="Arial" w:cs="Arial"/>
          <w:sz w:val="24"/>
          <w:szCs w:val="24"/>
        </w:rPr>
        <w:t>I.K.</w:t>
      </w:r>
      <w:r w:rsidR="00B15F87" w:rsidRPr="007E372C">
        <w:rPr>
          <w:rFonts w:ascii="Arial" w:hAnsi="Arial" w:cs="Arial"/>
          <w:sz w:val="24"/>
          <w:szCs w:val="24"/>
        </w:rPr>
        <w:t xml:space="preserve"> </w:t>
      </w:r>
      <w:r w:rsidR="00E579EE" w:rsidRPr="007E372C">
        <w:rPr>
          <w:rFonts w:ascii="Arial" w:hAnsi="Arial" w:cs="Arial"/>
          <w:sz w:val="24"/>
          <w:szCs w:val="24"/>
        </w:rPr>
        <w:t xml:space="preserve">was </w:t>
      </w:r>
      <w:r w:rsidR="00B15F87" w:rsidRPr="007E372C">
        <w:rPr>
          <w:rFonts w:ascii="Arial" w:hAnsi="Arial" w:cs="Arial"/>
          <w:sz w:val="24"/>
          <w:szCs w:val="24"/>
        </w:rPr>
        <w:t>cleaning.  She was advised by his siblings that the complainant “</w:t>
      </w:r>
      <w:r w:rsidR="00B15F87" w:rsidRPr="007E372C">
        <w:rPr>
          <w:rFonts w:ascii="Arial" w:hAnsi="Arial" w:cs="Arial"/>
          <w:i/>
          <w:iCs/>
          <w:sz w:val="24"/>
          <w:szCs w:val="24"/>
        </w:rPr>
        <w:t>was smelling</w:t>
      </w:r>
      <w:r w:rsidR="00B15F87" w:rsidRPr="007E372C">
        <w:rPr>
          <w:rFonts w:ascii="Arial" w:hAnsi="Arial" w:cs="Arial"/>
          <w:sz w:val="24"/>
          <w:szCs w:val="24"/>
        </w:rPr>
        <w:t xml:space="preserve">”.  </w:t>
      </w:r>
      <w:r w:rsidR="00E72FFC" w:rsidRPr="007E372C">
        <w:rPr>
          <w:rFonts w:ascii="Arial" w:hAnsi="Arial" w:cs="Arial"/>
          <w:sz w:val="24"/>
          <w:szCs w:val="24"/>
        </w:rPr>
        <w:t>She beckoned for the complainant to come inside</w:t>
      </w:r>
      <w:r w:rsidR="00565671" w:rsidRPr="007E372C">
        <w:rPr>
          <w:rFonts w:ascii="Arial" w:hAnsi="Arial" w:cs="Arial"/>
          <w:sz w:val="24"/>
          <w:szCs w:val="24"/>
        </w:rPr>
        <w:t>, at which point</w:t>
      </w:r>
      <w:r w:rsidR="00E72FFC" w:rsidRPr="007E372C">
        <w:rPr>
          <w:rFonts w:ascii="Arial" w:hAnsi="Arial" w:cs="Arial"/>
          <w:sz w:val="24"/>
          <w:szCs w:val="24"/>
        </w:rPr>
        <w:t xml:space="preserve"> </w:t>
      </w:r>
      <w:r w:rsidR="00565671" w:rsidRPr="007E372C">
        <w:rPr>
          <w:rFonts w:ascii="Arial" w:hAnsi="Arial" w:cs="Arial"/>
          <w:sz w:val="24"/>
          <w:szCs w:val="24"/>
        </w:rPr>
        <w:t>she</w:t>
      </w:r>
      <w:r w:rsidR="00E72FFC" w:rsidRPr="007E372C">
        <w:rPr>
          <w:rFonts w:ascii="Arial" w:hAnsi="Arial" w:cs="Arial"/>
          <w:sz w:val="24"/>
          <w:szCs w:val="24"/>
        </w:rPr>
        <w:t xml:space="preserve"> noted that </w:t>
      </w:r>
      <w:r w:rsidR="00565671" w:rsidRPr="007E372C">
        <w:rPr>
          <w:rFonts w:ascii="Arial" w:hAnsi="Arial" w:cs="Arial"/>
          <w:sz w:val="24"/>
          <w:szCs w:val="24"/>
        </w:rPr>
        <w:t>t</w:t>
      </w:r>
      <w:r w:rsidR="00E72FFC" w:rsidRPr="007E372C">
        <w:rPr>
          <w:rFonts w:ascii="Arial" w:hAnsi="Arial" w:cs="Arial"/>
          <w:sz w:val="24"/>
          <w:szCs w:val="24"/>
        </w:rPr>
        <w:t>he</w:t>
      </w:r>
      <w:r w:rsidR="00565671" w:rsidRPr="007E372C">
        <w:rPr>
          <w:rFonts w:ascii="Arial" w:hAnsi="Arial" w:cs="Arial"/>
          <w:sz w:val="24"/>
          <w:szCs w:val="24"/>
        </w:rPr>
        <w:t xml:space="preserve"> complainant </w:t>
      </w:r>
      <w:r w:rsidR="00E72FFC" w:rsidRPr="007E372C">
        <w:rPr>
          <w:rFonts w:ascii="Arial" w:hAnsi="Arial" w:cs="Arial"/>
          <w:sz w:val="24"/>
          <w:szCs w:val="24"/>
        </w:rPr>
        <w:t xml:space="preserve">had soiled </w:t>
      </w:r>
      <w:r w:rsidR="00565671" w:rsidRPr="007E372C">
        <w:rPr>
          <w:rFonts w:ascii="Arial" w:hAnsi="Arial" w:cs="Arial"/>
          <w:sz w:val="24"/>
          <w:szCs w:val="24"/>
        </w:rPr>
        <w:t>himself</w:t>
      </w:r>
      <w:r w:rsidR="00E72FFC" w:rsidRPr="007E372C">
        <w:rPr>
          <w:rFonts w:ascii="Arial" w:hAnsi="Arial" w:cs="Arial"/>
          <w:sz w:val="24"/>
          <w:szCs w:val="24"/>
        </w:rPr>
        <w:t>.  With the assistance of one of the older children, a bath was prepared for the complainant.  The complainant</w:t>
      </w:r>
      <w:r w:rsidR="005457A2" w:rsidRPr="007E372C">
        <w:rPr>
          <w:rFonts w:ascii="Arial" w:hAnsi="Arial" w:cs="Arial"/>
          <w:sz w:val="24"/>
          <w:szCs w:val="24"/>
        </w:rPr>
        <w:t>, after</w:t>
      </w:r>
      <w:r w:rsidR="00E72FFC" w:rsidRPr="007E372C">
        <w:rPr>
          <w:rFonts w:ascii="Arial" w:hAnsi="Arial" w:cs="Arial"/>
          <w:sz w:val="24"/>
          <w:szCs w:val="24"/>
        </w:rPr>
        <w:t xml:space="preserve"> enter</w:t>
      </w:r>
      <w:r w:rsidR="005457A2" w:rsidRPr="007E372C">
        <w:rPr>
          <w:rFonts w:ascii="Arial" w:hAnsi="Arial" w:cs="Arial"/>
          <w:sz w:val="24"/>
          <w:szCs w:val="24"/>
        </w:rPr>
        <w:t>ing</w:t>
      </w:r>
      <w:r w:rsidR="0036388B" w:rsidRPr="007E372C">
        <w:rPr>
          <w:rFonts w:ascii="Arial" w:hAnsi="Arial" w:cs="Arial"/>
          <w:sz w:val="24"/>
          <w:szCs w:val="24"/>
        </w:rPr>
        <w:t xml:space="preserve"> the bath</w:t>
      </w:r>
      <w:r w:rsidR="005457A2" w:rsidRPr="007E372C">
        <w:rPr>
          <w:rFonts w:ascii="Arial" w:hAnsi="Arial" w:cs="Arial"/>
          <w:sz w:val="24"/>
          <w:szCs w:val="24"/>
        </w:rPr>
        <w:t>,</w:t>
      </w:r>
      <w:r w:rsidR="00E72FFC" w:rsidRPr="007E372C">
        <w:rPr>
          <w:rFonts w:ascii="Arial" w:hAnsi="Arial" w:cs="Arial"/>
          <w:sz w:val="24"/>
          <w:szCs w:val="24"/>
        </w:rPr>
        <w:t xml:space="preserve"> quickly exited the water, complaining that his anus was sore.  On examination, I.K. noticed a small scratch, which was bleeding </w:t>
      </w:r>
      <w:r w:rsidR="000056CA" w:rsidRPr="007E372C">
        <w:rPr>
          <w:rFonts w:ascii="Arial" w:hAnsi="Arial" w:cs="Arial"/>
          <w:sz w:val="24"/>
          <w:szCs w:val="24"/>
        </w:rPr>
        <w:t>as well as</w:t>
      </w:r>
      <w:r w:rsidR="00E72FFC" w:rsidRPr="007E372C">
        <w:rPr>
          <w:rFonts w:ascii="Arial" w:hAnsi="Arial" w:cs="Arial"/>
          <w:sz w:val="24"/>
          <w:szCs w:val="24"/>
        </w:rPr>
        <w:t xml:space="preserve"> faeces around his anus.  She enquired from the complainant what had happened</w:t>
      </w:r>
      <w:r w:rsidR="00066D15" w:rsidRPr="007E372C">
        <w:rPr>
          <w:rFonts w:ascii="Arial" w:hAnsi="Arial" w:cs="Arial"/>
          <w:sz w:val="24"/>
          <w:szCs w:val="24"/>
        </w:rPr>
        <w:t>.  H</w:t>
      </w:r>
      <w:r w:rsidR="00E72FFC" w:rsidRPr="007E372C">
        <w:rPr>
          <w:rFonts w:ascii="Arial" w:hAnsi="Arial" w:cs="Arial"/>
          <w:sz w:val="24"/>
          <w:szCs w:val="24"/>
        </w:rPr>
        <w:t>e did not respond</w:t>
      </w:r>
      <w:r w:rsidR="00EB4A9B" w:rsidRPr="007E372C">
        <w:rPr>
          <w:rFonts w:ascii="Arial" w:hAnsi="Arial" w:cs="Arial"/>
          <w:sz w:val="24"/>
          <w:szCs w:val="24"/>
        </w:rPr>
        <w:t>.  It was only after she offered to pay him R100.00 for him to speak, that he told her that the accused had “</w:t>
      </w:r>
      <w:r w:rsidR="00EB4A9B" w:rsidRPr="007E372C">
        <w:rPr>
          <w:rFonts w:ascii="Arial" w:hAnsi="Arial" w:cs="Arial"/>
          <w:i/>
          <w:iCs/>
          <w:sz w:val="24"/>
          <w:szCs w:val="24"/>
        </w:rPr>
        <w:t>done dirty things to him</w:t>
      </w:r>
      <w:r w:rsidR="00EB4A9B" w:rsidRPr="007E372C">
        <w:rPr>
          <w:rFonts w:ascii="Arial" w:hAnsi="Arial" w:cs="Arial"/>
          <w:sz w:val="24"/>
          <w:szCs w:val="24"/>
        </w:rPr>
        <w:t xml:space="preserve">”.  According to I.K., she </w:t>
      </w:r>
      <w:r w:rsidR="001D120B" w:rsidRPr="007E372C">
        <w:rPr>
          <w:rFonts w:ascii="Arial" w:hAnsi="Arial" w:cs="Arial"/>
          <w:sz w:val="24"/>
          <w:szCs w:val="24"/>
        </w:rPr>
        <w:t>thought</w:t>
      </w:r>
      <w:r w:rsidR="00EB4A9B" w:rsidRPr="007E372C">
        <w:rPr>
          <w:rFonts w:ascii="Arial" w:hAnsi="Arial" w:cs="Arial"/>
          <w:sz w:val="24"/>
          <w:szCs w:val="24"/>
        </w:rPr>
        <w:t xml:space="preserve"> that offering the complainant money would encourage him to speak as he liked money very much.</w:t>
      </w:r>
      <w:r w:rsidR="00E72FFC" w:rsidRPr="007E372C">
        <w:rPr>
          <w:rFonts w:ascii="Arial" w:hAnsi="Arial" w:cs="Arial"/>
          <w:sz w:val="24"/>
          <w:szCs w:val="24"/>
        </w:rPr>
        <w:t xml:space="preserve">  </w:t>
      </w:r>
      <w:r w:rsidR="00B15F87" w:rsidRPr="007E372C">
        <w:rPr>
          <w:rFonts w:ascii="Arial" w:hAnsi="Arial" w:cs="Arial"/>
          <w:sz w:val="24"/>
          <w:szCs w:val="24"/>
        </w:rPr>
        <w:t xml:space="preserve">   </w:t>
      </w:r>
      <w:r w:rsidR="009C1318" w:rsidRPr="007E372C">
        <w:rPr>
          <w:rFonts w:ascii="Arial" w:hAnsi="Arial" w:cs="Arial"/>
          <w:sz w:val="24"/>
          <w:szCs w:val="24"/>
        </w:rPr>
        <w:t xml:space="preserve">  </w:t>
      </w:r>
    </w:p>
    <w:p w14:paraId="20FDAD24" w14:textId="77777777" w:rsidR="00E72FFC" w:rsidRPr="00E72FFC" w:rsidRDefault="00E72FFC" w:rsidP="009D7002">
      <w:pPr>
        <w:pStyle w:val="ListParagraph"/>
        <w:spacing w:after="0" w:line="480" w:lineRule="auto"/>
        <w:rPr>
          <w:rFonts w:ascii="Arial" w:hAnsi="Arial" w:cs="Arial"/>
          <w:sz w:val="24"/>
          <w:szCs w:val="24"/>
        </w:rPr>
      </w:pPr>
    </w:p>
    <w:p w14:paraId="5E1F589D" w14:textId="2792575E" w:rsidR="00286253"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E72FFC" w:rsidRPr="007E372C">
        <w:rPr>
          <w:rFonts w:ascii="Arial" w:hAnsi="Arial" w:cs="Arial"/>
          <w:sz w:val="24"/>
          <w:szCs w:val="24"/>
        </w:rPr>
        <w:t xml:space="preserve">I.K. </w:t>
      </w:r>
      <w:r w:rsidR="00EB4A9B" w:rsidRPr="007E372C">
        <w:rPr>
          <w:rFonts w:ascii="Arial" w:hAnsi="Arial" w:cs="Arial"/>
          <w:sz w:val="24"/>
          <w:szCs w:val="24"/>
        </w:rPr>
        <w:t xml:space="preserve">conceded </w:t>
      </w:r>
      <w:r w:rsidR="005527BF" w:rsidRPr="007E372C">
        <w:rPr>
          <w:rFonts w:ascii="Arial" w:hAnsi="Arial" w:cs="Arial"/>
          <w:sz w:val="24"/>
          <w:szCs w:val="24"/>
        </w:rPr>
        <w:t>during</w:t>
      </w:r>
      <w:r w:rsidR="00EB4A9B" w:rsidRPr="007E372C">
        <w:rPr>
          <w:rFonts w:ascii="Arial" w:hAnsi="Arial" w:cs="Arial"/>
          <w:sz w:val="24"/>
          <w:szCs w:val="24"/>
        </w:rPr>
        <w:t xml:space="preserve"> cross examination that on prior occasions when the complainant had </w:t>
      </w:r>
      <w:r w:rsidR="00AD6A5C" w:rsidRPr="007E372C">
        <w:rPr>
          <w:rFonts w:ascii="Arial" w:hAnsi="Arial" w:cs="Arial"/>
          <w:sz w:val="24"/>
          <w:szCs w:val="24"/>
        </w:rPr>
        <w:t>soiled</w:t>
      </w:r>
      <w:r w:rsidR="00EB4A9B" w:rsidRPr="007E372C">
        <w:rPr>
          <w:rFonts w:ascii="Arial" w:hAnsi="Arial" w:cs="Arial"/>
          <w:sz w:val="24"/>
          <w:szCs w:val="24"/>
        </w:rPr>
        <w:t xml:space="preserve"> himself, she had not inspected his anus nor had he been taken to be </w:t>
      </w:r>
      <w:r w:rsidR="002C3764" w:rsidRPr="007E372C">
        <w:rPr>
          <w:rFonts w:ascii="Arial" w:hAnsi="Arial" w:cs="Arial"/>
          <w:sz w:val="24"/>
          <w:szCs w:val="24"/>
        </w:rPr>
        <w:t>examined</w:t>
      </w:r>
      <w:r w:rsidR="00EB4A9B" w:rsidRPr="007E372C">
        <w:rPr>
          <w:rFonts w:ascii="Arial" w:hAnsi="Arial" w:cs="Arial"/>
          <w:sz w:val="24"/>
          <w:szCs w:val="24"/>
        </w:rPr>
        <w:t xml:space="preserve"> by a medical officer.  He did not like to speak about his condition.  The scratch noted by her, on inspection, was small in size and there was little bleeding around the scratch.  She noticed no other blood</w:t>
      </w:r>
      <w:r w:rsidR="00AD37BA" w:rsidRPr="007E372C">
        <w:rPr>
          <w:rFonts w:ascii="Arial" w:hAnsi="Arial" w:cs="Arial"/>
          <w:sz w:val="24"/>
          <w:szCs w:val="24"/>
        </w:rPr>
        <w:t xml:space="preserve"> on the complainant nor on his clothing, which she had personally washed</w:t>
      </w:r>
      <w:r w:rsidR="00EB4A9B" w:rsidRPr="007E372C">
        <w:rPr>
          <w:rFonts w:ascii="Arial" w:hAnsi="Arial" w:cs="Arial"/>
          <w:sz w:val="24"/>
          <w:szCs w:val="24"/>
        </w:rPr>
        <w:t>.</w:t>
      </w:r>
      <w:r w:rsidR="00556E66" w:rsidRPr="007E372C">
        <w:rPr>
          <w:rFonts w:ascii="Arial" w:hAnsi="Arial" w:cs="Arial"/>
          <w:sz w:val="24"/>
          <w:szCs w:val="24"/>
        </w:rPr>
        <w:t xml:space="preserve">  She </w:t>
      </w:r>
      <w:r w:rsidR="00556E66" w:rsidRPr="007E372C">
        <w:rPr>
          <w:rFonts w:ascii="Arial" w:hAnsi="Arial" w:cs="Arial"/>
          <w:sz w:val="24"/>
          <w:szCs w:val="24"/>
        </w:rPr>
        <w:lastRenderedPageBreak/>
        <w:t>did not apply cream to the complainant’s anus.</w:t>
      </w:r>
      <w:r w:rsidR="00EB4A9B" w:rsidRPr="007E372C">
        <w:rPr>
          <w:rFonts w:ascii="Arial" w:hAnsi="Arial" w:cs="Arial"/>
          <w:sz w:val="24"/>
          <w:szCs w:val="24"/>
        </w:rPr>
        <w:t xml:space="preserve">  </w:t>
      </w:r>
      <w:r w:rsidR="002C3764" w:rsidRPr="007E372C">
        <w:rPr>
          <w:rFonts w:ascii="Arial" w:hAnsi="Arial" w:cs="Arial"/>
          <w:sz w:val="24"/>
          <w:szCs w:val="24"/>
        </w:rPr>
        <w:t>As previously alluded to, this</w:t>
      </w:r>
      <w:r w:rsidR="00EB4A9B" w:rsidRPr="007E372C">
        <w:rPr>
          <w:rFonts w:ascii="Arial" w:hAnsi="Arial" w:cs="Arial"/>
          <w:sz w:val="24"/>
          <w:szCs w:val="24"/>
        </w:rPr>
        <w:t xml:space="preserve"> is inconsistent with the evidence of the complainant</w:t>
      </w:r>
      <w:r w:rsidR="00AD37BA" w:rsidRPr="007E372C">
        <w:rPr>
          <w:rFonts w:ascii="Arial" w:hAnsi="Arial" w:cs="Arial"/>
          <w:sz w:val="24"/>
          <w:szCs w:val="24"/>
        </w:rPr>
        <w:t>,</w:t>
      </w:r>
      <w:r w:rsidR="00EB4A9B" w:rsidRPr="007E372C">
        <w:rPr>
          <w:rFonts w:ascii="Arial" w:hAnsi="Arial" w:cs="Arial"/>
          <w:sz w:val="24"/>
          <w:szCs w:val="24"/>
        </w:rPr>
        <w:t xml:space="preserve"> </w:t>
      </w:r>
      <w:r w:rsidR="002C3764" w:rsidRPr="007E372C">
        <w:rPr>
          <w:rFonts w:ascii="Arial" w:hAnsi="Arial" w:cs="Arial"/>
          <w:sz w:val="24"/>
          <w:szCs w:val="24"/>
        </w:rPr>
        <w:t>which</w:t>
      </w:r>
      <w:r w:rsidR="00AD37BA" w:rsidRPr="007E372C">
        <w:rPr>
          <w:rFonts w:ascii="Arial" w:hAnsi="Arial" w:cs="Arial"/>
          <w:sz w:val="24"/>
          <w:szCs w:val="24"/>
        </w:rPr>
        <w:t xml:space="preserve"> I have canvassed above, and which </w:t>
      </w:r>
      <w:r w:rsidR="002C3764" w:rsidRPr="007E372C">
        <w:rPr>
          <w:rFonts w:ascii="Arial" w:hAnsi="Arial" w:cs="Arial"/>
          <w:sz w:val="24"/>
          <w:szCs w:val="24"/>
        </w:rPr>
        <w:t>differs</w:t>
      </w:r>
      <w:r w:rsidR="006E5196" w:rsidRPr="007E372C">
        <w:rPr>
          <w:rFonts w:ascii="Arial" w:hAnsi="Arial" w:cs="Arial"/>
          <w:sz w:val="24"/>
          <w:szCs w:val="24"/>
        </w:rPr>
        <w:t xml:space="preserve"> </w:t>
      </w:r>
      <w:r w:rsidR="002C3764" w:rsidRPr="007E372C">
        <w:rPr>
          <w:rFonts w:ascii="Arial" w:hAnsi="Arial" w:cs="Arial"/>
          <w:sz w:val="24"/>
          <w:szCs w:val="24"/>
        </w:rPr>
        <w:t>from that of his grandmother.</w:t>
      </w:r>
      <w:r w:rsidR="0089393A" w:rsidRPr="007E372C">
        <w:rPr>
          <w:rFonts w:ascii="Arial" w:hAnsi="Arial" w:cs="Arial"/>
          <w:sz w:val="24"/>
          <w:szCs w:val="24"/>
        </w:rPr>
        <w:t xml:space="preserve">  </w:t>
      </w:r>
    </w:p>
    <w:p w14:paraId="73975B1F" w14:textId="77777777" w:rsidR="00286253" w:rsidRPr="00286253" w:rsidRDefault="00286253" w:rsidP="009D7002">
      <w:pPr>
        <w:pStyle w:val="ListParagraph"/>
        <w:spacing w:after="0" w:line="480" w:lineRule="auto"/>
        <w:rPr>
          <w:rFonts w:ascii="Arial" w:hAnsi="Arial" w:cs="Arial"/>
          <w:sz w:val="24"/>
          <w:szCs w:val="24"/>
        </w:rPr>
      </w:pPr>
    </w:p>
    <w:p w14:paraId="4103CD91" w14:textId="74B4EFC2" w:rsidR="00646F39"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[32]</w:t>
      </w:r>
      <w:r>
        <w:rPr>
          <w:rFonts w:ascii="Arial" w:hAnsi="Arial" w:cs="Arial"/>
          <w:sz w:val="24"/>
          <w:szCs w:val="24"/>
        </w:rPr>
        <w:tab/>
      </w:r>
      <w:r w:rsidR="000E3B45" w:rsidRPr="007E372C">
        <w:rPr>
          <w:rFonts w:ascii="Arial" w:hAnsi="Arial" w:cs="Arial"/>
          <w:sz w:val="24"/>
          <w:szCs w:val="24"/>
        </w:rPr>
        <w:t>I.K.</w:t>
      </w:r>
      <w:r w:rsidR="0089393A" w:rsidRPr="007E372C">
        <w:rPr>
          <w:rFonts w:ascii="Arial" w:hAnsi="Arial" w:cs="Arial"/>
          <w:sz w:val="24"/>
          <w:szCs w:val="24"/>
        </w:rPr>
        <w:t xml:space="preserve"> further conceded </w:t>
      </w:r>
      <w:r w:rsidR="008D37BA" w:rsidRPr="007E372C">
        <w:rPr>
          <w:rFonts w:ascii="Arial" w:hAnsi="Arial" w:cs="Arial"/>
          <w:sz w:val="24"/>
          <w:szCs w:val="24"/>
        </w:rPr>
        <w:t xml:space="preserve">under cross-examination </w:t>
      </w:r>
      <w:r w:rsidR="0089393A" w:rsidRPr="007E372C">
        <w:rPr>
          <w:rFonts w:ascii="Arial" w:hAnsi="Arial" w:cs="Arial"/>
          <w:sz w:val="24"/>
          <w:szCs w:val="24"/>
        </w:rPr>
        <w:t>that</w:t>
      </w:r>
      <w:r w:rsidR="00556E66" w:rsidRPr="007E372C">
        <w:rPr>
          <w:rFonts w:ascii="Arial" w:hAnsi="Arial" w:cs="Arial"/>
          <w:sz w:val="24"/>
          <w:szCs w:val="24"/>
        </w:rPr>
        <w:t xml:space="preserve">: (i) the complainant was afraid that she would give him a hiding as he was </w:t>
      </w:r>
      <w:r w:rsidR="00286253" w:rsidRPr="007E372C">
        <w:rPr>
          <w:rFonts w:ascii="Arial" w:hAnsi="Arial" w:cs="Arial"/>
          <w:sz w:val="24"/>
          <w:szCs w:val="24"/>
        </w:rPr>
        <w:t>the only child that had “</w:t>
      </w:r>
      <w:r w:rsidR="00286253" w:rsidRPr="007E372C">
        <w:rPr>
          <w:rFonts w:ascii="Arial" w:hAnsi="Arial" w:cs="Arial"/>
          <w:i/>
          <w:iCs/>
          <w:sz w:val="24"/>
          <w:szCs w:val="24"/>
        </w:rPr>
        <w:t>this problem</w:t>
      </w:r>
      <w:r w:rsidR="00286253" w:rsidRPr="007E372C">
        <w:rPr>
          <w:rFonts w:ascii="Arial" w:hAnsi="Arial" w:cs="Arial"/>
          <w:sz w:val="24"/>
          <w:szCs w:val="24"/>
        </w:rPr>
        <w:t xml:space="preserve">”, same being reference to him </w:t>
      </w:r>
      <w:r w:rsidR="00E701A6" w:rsidRPr="007E372C">
        <w:rPr>
          <w:rFonts w:ascii="Arial" w:hAnsi="Arial" w:cs="Arial"/>
          <w:sz w:val="24"/>
          <w:szCs w:val="24"/>
        </w:rPr>
        <w:t>soiling</w:t>
      </w:r>
      <w:r w:rsidR="00286253" w:rsidRPr="007E372C">
        <w:rPr>
          <w:rFonts w:ascii="Arial" w:hAnsi="Arial" w:cs="Arial"/>
          <w:sz w:val="24"/>
          <w:szCs w:val="24"/>
        </w:rPr>
        <w:t xml:space="preserve"> himself; (ii)</w:t>
      </w:r>
      <w:r w:rsidR="0089393A" w:rsidRPr="007E372C">
        <w:rPr>
          <w:rFonts w:ascii="Arial" w:hAnsi="Arial" w:cs="Arial"/>
          <w:sz w:val="24"/>
          <w:szCs w:val="24"/>
        </w:rPr>
        <w:t xml:space="preserve"> prior to the complainant telling her of the alleged sexual assault, she had threatened </w:t>
      </w:r>
      <w:r w:rsidR="00E61EB2" w:rsidRPr="007E372C">
        <w:rPr>
          <w:rFonts w:ascii="Arial" w:hAnsi="Arial" w:cs="Arial"/>
          <w:sz w:val="24"/>
          <w:szCs w:val="24"/>
        </w:rPr>
        <w:t xml:space="preserve">to call </w:t>
      </w:r>
      <w:r w:rsidR="0089393A" w:rsidRPr="007E372C">
        <w:rPr>
          <w:rFonts w:ascii="Arial" w:hAnsi="Arial" w:cs="Arial"/>
          <w:sz w:val="24"/>
          <w:szCs w:val="24"/>
        </w:rPr>
        <w:t>the police, of whom he was afraid,</w:t>
      </w:r>
      <w:r w:rsidR="00E61EB2" w:rsidRPr="007E372C">
        <w:rPr>
          <w:rFonts w:ascii="Arial" w:hAnsi="Arial" w:cs="Arial"/>
          <w:sz w:val="24"/>
          <w:szCs w:val="24"/>
        </w:rPr>
        <w:t xml:space="preserve"> if he did not inform her of what had happened</w:t>
      </w:r>
      <w:r w:rsidR="00286253" w:rsidRPr="007E372C">
        <w:rPr>
          <w:rFonts w:ascii="Arial" w:hAnsi="Arial" w:cs="Arial"/>
          <w:sz w:val="24"/>
          <w:szCs w:val="24"/>
        </w:rPr>
        <w:t xml:space="preserve">; and (iii) that she had thereafter </w:t>
      </w:r>
      <w:r w:rsidR="0089393A" w:rsidRPr="007E372C">
        <w:rPr>
          <w:rFonts w:ascii="Arial" w:hAnsi="Arial" w:cs="Arial"/>
          <w:sz w:val="24"/>
          <w:szCs w:val="24"/>
        </w:rPr>
        <w:t xml:space="preserve">promised to give him R100.00 if he </w:t>
      </w:r>
      <w:r w:rsidR="003362EE" w:rsidRPr="007E372C">
        <w:rPr>
          <w:rFonts w:ascii="Arial" w:hAnsi="Arial" w:cs="Arial"/>
          <w:sz w:val="24"/>
          <w:szCs w:val="24"/>
        </w:rPr>
        <w:t>agreed to speak</w:t>
      </w:r>
      <w:r w:rsidR="0089393A" w:rsidRPr="007E372C">
        <w:rPr>
          <w:rFonts w:ascii="Arial" w:hAnsi="Arial" w:cs="Arial"/>
          <w:sz w:val="24"/>
          <w:szCs w:val="24"/>
        </w:rPr>
        <w:t>.</w:t>
      </w:r>
      <w:r w:rsidR="00286253" w:rsidRPr="007E372C">
        <w:rPr>
          <w:rFonts w:ascii="Arial" w:hAnsi="Arial" w:cs="Arial"/>
          <w:sz w:val="24"/>
          <w:szCs w:val="24"/>
        </w:rPr>
        <w:t xml:space="preserve">  The complainant thereafter informed her of the alleged sexual assault, which was limited to one incident in the main house.  </w:t>
      </w:r>
    </w:p>
    <w:p w14:paraId="2A4E3883" w14:textId="77777777" w:rsidR="00205093" w:rsidRPr="00205093" w:rsidRDefault="00205093" w:rsidP="00471ACD">
      <w:pPr>
        <w:pStyle w:val="ListParagraph"/>
        <w:spacing w:after="0" w:line="480" w:lineRule="auto"/>
        <w:rPr>
          <w:rFonts w:ascii="Arial" w:hAnsi="Arial" w:cs="Arial"/>
          <w:sz w:val="24"/>
          <w:szCs w:val="24"/>
        </w:rPr>
      </w:pPr>
    </w:p>
    <w:p w14:paraId="15D67ED1" w14:textId="76ED6E36" w:rsidR="00205093" w:rsidRPr="007E372C" w:rsidRDefault="007E372C" w:rsidP="007E372C">
      <w:pPr>
        <w:spacing w:after="0" w:line="480" w:lineRule="auto"/>
        <w:ind w:left="851" w:hanging="851"/>
        <w:jc w:val="both"/>
        <w:rPr>
          <w:rFonts w:ascii="Arial" w:hAnsi="Arial" w:cs="Arial"/>
          <w:sz w:val="24"/>
          <w:szCs w:val="24"/>
        </w:rPr>
      </w:pPr>
      <w:r w:rsidRPr="00205093">
        <w:rPr>
          <w:rFonts w:ascii="Arial" w:hAnsi="Arial" w:cs="Arial"/>
          <w:sz w:val="24"/>
          <w:szCs w:val="24"/>
        </w:rPr>
        <w:t>[33]</w:t>
      </w:r>
      <w:r w:rsidRPr="00205093">
        <w:rPr>
          <w:rFonts w:ascii="Arial" w:hAnsi="Arial" w:cs="Arial"/>
          <w:sz w:val="24"/>
          <w:szCs w:val="24"/>
        </w:rPr>
        <w:tab/>
      </w:r>
      <w:r w:rsidR="00205093" w:rsidRPr="007E372C">
        <w:rPr>
          <w:rFonts w:ascii="Arial" w:hAnsi="Arial" w:cs="Arial"/>
          <w:sz w:val="24"/>
          <w:szCs w:val="24"/>
        </w:rPr>
        <w:t>I interpose</w:t>
      </w:r>
      <w:r w:rsidR="00382BC6" w:rsidRPr="007E372C">
        <w:rPr>
          <w:rFonts w:ascii="Arial" w:hAnsi="Arial" w:cs="Arial"/>
          <w:sz w:val="24"/>
          <w:szCs w:val="24"/>
        </w:rPr>
        <w:t>,</w:t>
      </w:r>
      <w:r w:rsidR="00205093" w:rsidRPr="007E372C">
        <w:rPr>
          <w:rFonts w:ascii="Arial" w:hAnsi="Arial" w:cs="Arial"/>
          <w:sz w:val="24"/>
          <w:szCs w:val="24"/>
        </w:rPr>
        <w:t xml:space="preserve"> at this stage</w:t>
      </w:r>
      <w:r w:rsidR="00382BC6" w:rsidRPr="007E372C">
        <w:rPr>
          <w:rFonts w:ascii="Arial" w:hAnsi="Arial" w:cs="Arial"/>
          <w:sz w:val="24"/>
          <w:szCs w:val="24"/>
        </w:rPr>
        <w:t>,</w:t>
      </w:r>
      <w:r w:rsidR="00205093" w:rsidRPr="007E372C">
        <w:rPr>
          <w:rFonts w:ascii="Arial" w:hAnsi="Arial" w:cs="Arial"/>
          <w:sz w:val="24"/>
          <w:szCs w:val="24"/>
        </w:rPr>
        <w:t xml:space="preserve"> to highlight</w:t>
      </w:r>
      <w:r w:rsidR="00382BC6" w:rsidRPr="007E372C">
        <w:rPr>
          <w:rFonts w:ascii="Arial" w:hAnsi="Arial" w:cs="Arial"/>
          <w:sz w:val="24"/>
          <w:szCs w:val="24"/>
        </w:rPr>
        <w:t xml:space="preserve"> the trite principle </w:t>
      </w:r>
      <w:r w:rsidR="00205093" w:rsidRPr="007E372C">
        <w:rPr>
          <w:rFonts w:ascii="Arial" w:hAnsi="Arial" w:cs="Arial"/>
          <w:sz w:val="24"/>
          <w:szCs w:val="24"/>
        </w:rPr>
        <w:t xml:space="preserve">that where no voluntary report of rape </w:t>
      </w:r>
      <w:r w:rsidR="00471ACD" w:rsidRPr="007E372C">
        <w:rPr>
          <w:rFonts w:ascii="Arial" w:hAnsi="Arial" w:cs="Arial"/>
          <w:sz w:val="24"/>
          <w:szCs w:val="24"/>
        </w:rPr>
        <w:t>is</w:t>
      </w:r>
      <w:r w:rsidR="00205093" w:rsidRPr="007E372C">
        <w:rPr>
          <w:rFonts w:ascii="Arial" w:hAnsi="Arial" w:cs="Arial"/>
          <w:sz w:val="24"/>
          <w:szCs w:val="24"/>
        </w:rPr>
        <w:t xml:space="preserve"> made, the court must determine whether the evidence, excluding the report obtained by coercion, proves the charges of rape against an accused beyond reasonable doubt</w:t>
      </w:r>
      <w:r w:rsidR="005D0044" w:rsidRPr="007E372C">
        <w:rPr>
          <w:rFonts w:ascii="Arial" w:hAnsi="Arial" w:cs="Arial"/>
          <w:sz w:val="24"/>
          <w:szCs w:val="24"/>
        </w:rPr>
        <w:t>.</w:t>
      </w:r>
      <w:r w:rsidR="001F76E3">
        <w:rPr>
          <w:rStyle w:val="FootnoteReference"/>
          <w:rFonts w:ascii="Arial" w:hAnsi="Arial" w:cs="Arial"/>
          <w:sz w:val="24"/>
          <w:szCs w:val="24"/>
        </w:rPr>
        <w:footnoteReference w:id="1"/>
      </w:r>
    </w:p>
    <w:p w14:paraId="49F1FEE7" w14:textId="77777777" w:rsidR="00646F39" w:rsidRPr="00646F39" w:rsidRDefault="00646F39" w:rsidP="009D7002">
      <w:pPr>
        <w:pStyle w:val="ListParagraph"/>
        <w:spacing w:after="0" w:line="480" w:lineRule="auto"/>
        <w:rPr>
          <w:rFonts w:ascii="Arial" w:hAnsi="Arial" w:cs="Arial"/>
          <w:sz w:val="24"/>
          <w:szCs w:val="24"/>
        </w:rPr>
      </w:pPr>
    </w:p>
    <w:p w14:paraId="074AFF15" w14:textId="19CE6D15" w:rsidR="00646F39"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[34]</w:t>
      </w:r>
      <w:r>
        <w:rPr>
          <w:rFonts w:ascii="Arial" w:hAnsi="Arial" w:cs="Arial"/>
          <w:sz w:val="24"/>
          <w:szCs w:val="24"/>
        </w:rPr>
        <w:tab/>
      </w:r>
      <w:r w:rsidR="00646F39" w:rsidRPr="007E372C">
        <w:rPr>
          <w:rFonts w:ascii="Arial" w:hAnsi="Arial" w:cs="Arial"/>
          <w:sz w:val="24"/>
          <w:szCs w:val="24"/>
        </w:rPr>
        <w:t>Lastly, I.K. testified that the complainant was prone to telling stories and that he had recently alleged that his grandfather had been giving him hidings and had</w:t>
      </w:r>
      <w:r w:rsidR="00E4129C" w:rsidRPr="007E372C">
        <w:rPr>
          <w:rFonts w:ascii="Arial" w:hAnsi="Arial" w:cs="Arial"/>
          <w:sz w:val="24"/>
          <w:szCs w:val="24"/>
        </w:rPr>
        <w:t xml:space="preserve"> chased him away</w:t>
      </w:r>
      <w:r w:rsidR="00646F39" w:rsidRPr="007E372C">
        <w:rPr>
          <w:rFonts w:ascii="Arial" w:hAnsi="Arial" w:cs="Arial"/>
          <w:sz w:val="24"/>
          <w:szCs w:val="24"/>
        </w:rPr>
        <w:t xml:space="preserve">, which I.K. </w:t>
      </w:r>
      <w:r w:rsidR="00E4129C" w:rsidRPr="007E372C">
        <w:rPr>
          <w:rFonts w:ascii="Arial" w:hAnsi="Arial" w:cs="Arial"/>
          <w:sz w:val="24"/>
          <w:szCs w:val="24"/>
        </w:rPr>
        <w:t xml:space="preserve">maintained, </w:t>
      </w:r>
      <w:r w:rsidR="00646F39" w:rsidRPr="007E372C">
        <w:rPr>
          <w:rFonts w:ascii="Arial" w:hAnsi="Arial" w:cs="Arial"/>
          <w:sz w:val="24"/>
          <w:szCs w:val="24"/>
        </w:rPr>
        <w:t xml:space="preserve">was </w:t>
      </w:r>
      <w:r w:rsidR="00E4129C" w:rsidRPr="007E372C">
        <w:rPr>
          <w:rFonts w:ascii="Arial" w:hAnsi="Arial" w:cs="Arial"/>
          <w:sz w:val="24"/>
          <w:szCs w:val="24"/>
        </w:rPr>
        <w:t>un</w:t>
      </w:r>
      <w:r w:rsidR="00646F39" w:rsidRPr="007E372C">
        <w:rPr>
          <w:rFonts w:ascii="Arial" w:hAnsi="Arial" w:cs="Arial"/>
          <w:sz w:val="24"/>
          <w:szCs w:val="24"/>
        </w:rPr>
        <w:t>true.</w:t>
      </w:r>
      <w:r w:rsidR="00AD37BA" w:rsidRPr="007E372C">
        <w:rPr>
          <w:rFonts w:ascii="Arial" w:hAnsi="Arial" w:cs="Arial"/>
          <w:sz w:val="24"/>
          <w:szCs w:val="24"/>
        </w:rPr>
        <w:t xml:space="preserve"> </w:t>
      </w:r>
      <w:r w:rsidR="00646F39" w:rsidRPr="007E372C">
        <w:rPr>
          <w:rFonts w:ascii="Arial" w:hAnsi="Arial" w:cs="Arial"/>
          <w:sz w:val="24"/>
          <w:szCs w:val="24"/>
        </w:rPr>
        <w:t xml:space="preserve"> As this</w:t>
      </w:r>
      <w:r w:rsidR="00BF5A61" w:rsidRPr="007E372C">
        <w:rPr>
          <w:rFonts w:ascii="Arial" w:hAnsi="Arial" w:cs="Arial"/>
          <w:sz w:val="24"/>
          <w:szCs w:val="24"/>
        </w:rPr>
        <w:t xml:space="preserve"> evidence only emerged for the first time during I’K.’s cross examination, </w:t>
      </w:r>
      <w:r w:rsidR="00646F39" w:rsidRPr="007E372C">
        <w:rPr>
          <w:rFonts w:ascii="Arial" w:hAnsi="Arial" w:cs="Arial"/>
          <w:sz w:val="24"/>
          <w:szCs w:val="24"/>
        </w:rPr>
        <w:t>it was not canvassed with the complainant.</w:t>
      </w:r>
    </w:p>
    <w:p w14:paraId="23533FE6" w14:textId="4D8A9875" w:rsidR="00271FDE"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C330A3" w:rsidRPr="007E372C">
        <w:rPr>
          <w:rFonts w:ascii="Arial" w:hAnsi="Arial" w:cs="Arial"/>
          <w:sz w:val="24"/>
          <w:szCs w:val="24"/>
        </w:rPr>
        <w:t>The state thereafter closed its case.</w:t>
      </w:r>
    </w:p>
    <w:p w14:paraId="4BC71500" w14:textId="77777777" w:rsidR="00271FDE" w:rsidRPr="00271FDE" w:rsidRDefault="00271FDE" w:rsidP="009D7002">
      <w:pPr>
        <w:pStyle w:val="ListParagraph"/>
        <w:spacing w:after="0" w:line="480" w:lineRule="auto"/>
        <w:rPr>
          <w:rFonts w:ascii="Arial" w:hAnsi="Arial" w:cs="Arial"/>
          <w:sz w:val="24"/>
          <w:szCs w:val="24"/>
        </w:rPr>
      </w:pPr>
    </w:p>
    <w:p w14:paraId="2BE9A4C7" w14:textId="43317F3E" w:rsidR="00E056D0"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[36]</w:t>
      </w:r>
      <w:r>
        <w:rPr>
          <w:rFonts w:ascii="Arial" w:hAnsi="Arial" w:cs="Arial"/>
          <w:sz w:val="24"/>
          <w:szCs w:val="24"/>
        </w:rPr>
        <w:tab/>
      </w:r>
      <w:r w:rsidR="00E056D0" w:rsidRPr="007E372C">
        <w:rPr>
          <w:rFonts w:ascii="Arial" w:hAnsi="Arial" w:cs="Arial"/>
          <w:sz w:val="24"/>
          <w:szCs w:val="24"/>
        </w:rPr>
        <w:t>The accused; his mother</w:t>
      </w:r>
      <w:r w:rsidR="002003A1" w:rsidRPr="007E372C">
        <w:rPr>
          <w:rFonts w:ascii="Arial" w:hAnsi="Arial" w:cs="Arial"/>
          <w:sz w:val="24"/>
          <w:szCs w:val="24"/>
        </w:rPr>
        <w:t>, S.G.M</w:t>
      </w:r>
      <w:r w:rsidR="00E056D0" w:rsidRPr="007E372C">
        <w:rPr>
          <w:rFonts w:ascii="Arial" w:hAnsi="Arial" w:cs="Arial"/>
          <w:sz w:val="24"/>
          <w:szCs w:val="24"/>
        </w:rPr>
        <w:t xml:space="preserve">; </w:t>
      </w:r>
      <w:r w:rsidR="002003A1" w:rsidRPr="007E372C">
        <w:rPr>
          <w:rFonts w:ascii="Arial" w:hAnsi="Arial" w:cs="Arial"/>
          <w:sz w:val="24"/>
          <w:szCs w:val="24"/>
        </w:rPr>
        <w:t>the accused’s housemate, N</w:t>
      </w:r>
      <w:r w:rsidR="002110F4" w:rsidRPr="007E372C">
        <w:rPr>
          <w:rFonts w:ascii="Arial" w:hAnsi="Arial" w:cs="Arial"/>
          <w:sz w:val="24"/>
          <w:szCs w:val="24"/>
        </w:rPr>
        <w:t>.N.</w:t>
      </w:r>
      <w:r w:rsidR="00E056D0" w:rsidRPr="007E372C">
        <w:rPr>
          <w:rFonts w:ascii="Arial" w:hAnsi="Arial" w:cs="Arial"/>
          <w:sz w:val="24"/>
          <w:szCs w:val="24"/>
        </w:rPr>
        <w:t>; and his mother’s boyfriend, to whom I shall refer as M.D., testified in support of the accused’s defence.</w:t>
      </w:r>
    </w:p>
    <w:p w14:paraId="6D55F124" w14:textId="77777777" w:rsidR="002003A1" w:rsidRPr="002003A1" w:rsidRDefault="002003A1" w:rsidP="009D7002">
      <w:pPr>
        <w:pStyle w:val="ListParagraph"/>
        <w:spacing w:after="0" w:line="480" w:lineRule="auto"/>
        <w:rPr>
          <w:rFonts w:ascii="Arial" w:hAnsi="Arial" w:cs="Arial"/>
          <w:sz w:val="24"/>
          <w:szCs w:val="24"/>
        </w:rPr>
      </w:pPr>
    </w:p>
    <w:p w14:paraId="11C977DA" w14:textId="67472990" w:rsidR="00E0008E"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[37]</w:t>
      </w:r>
      <w:r>
        <w:rPr>
          <w:rFonts w:ascii="Arial" w:hAnsi="Arial" w:cs="Arial"/>
          <w:sz w:val="24"/>
          <w:szCs w:val="24"/>
        </w:rPr>
        <w:tab/>
      </w:r>
      <w:r w:rsidR="002003A1" w:rsidRPr="007E372C">
        <w:rPr>
          <w:rFonts w:ascii="Arial" w:hAnsi="Arial" w:cs="Arial"/>
          <w:sz w:val="24"/>
          <w:szCs w:val="24"/>
        </w:rPr>
        <w:t>The accused testified that o</w:t>
      </w:r>
      <w:r w:rsidR="005F7F14" w:rsidRPr="007E372C">
        <w:rPr>
          <w:rFonts w:ascii="Arial" w:hAnsi="Arial" w:cs="Arial"/>
          <w:sz w:val="24"/>
          <w:szCs w:val="24"/>
        </w:rPr>
        <w:t>n 4 January 2021,</w:t>
      </w:r>
      <w:r w:rsidR="002003A1" w:rsidRPr="007E372C">
        <w:rPr>
          <w:rFonts w:ascii="Arial" w:hAnsi="Arial" w:cs="Arial"/>
          <w:sz w:val="24"/>
          <w:szCs w:val="24"/>
        </w:rPr>
        <w:t xml:space="preserve"> he had not attended work as it had rained the previous day.  He was involved in the construction trade, laying bricks, and accordingly when it rained, he was unable to work.  At the request of his mother, he had spent the day clearing rubbish in the yard and had prepared a fire to burn the rubbish that night.</w:t>
      </w:r>
      <w:r w:rsidR="0082634B" w:rsidRPr="007E372C">
        <w:rPr>
          <w:rFonts w:ascii="Arial" w:hAnsi="Arial" w:cs="Arial"/>
          <w:sz w:val="24"/>
          <w:szCs w:val="24"/>
        </w:rPr>
        <w:t xml:space="preserve">  This was the only fire that had been lit </w:t>
      </w:r>
      <w:r w:rsidR="00B34315" w:rsidRPr="007E372C">
        <w:rPr>
          <w:rFonts w:ascii="Arial" w:hAnsi="Arial" w:cs="Arial"/>
          <w:sz w:val="24"/>
          <w:szCs w:val="24"/>
        </w:rPr>
        <w:t xml:space="preserve">on the day in question as he was not permitted </w:t>
      </w:r>
      <w:r w:rsidR="0082634B" w:rsidRPr="007E372C">
        <w:rPr>
          <w:rFonts w:ascii="Arial" w:hAnsi="Arial" w:cs="Arial"/>
          <w:sz w:val="24"/>
          <w:szCs w:val="24"/>
        </w:rPr>
        <w:t xml:space="preserve">to burn fires during the day whilst </w:t>
      </w:r>
      <w:r w:rsidR="00B34315" w:rsidRPr="007E372C">
        <w:rPr>
          <w:rFonts w:ascii="Arial" w:hAnsi="Arial" w:cs="Arial"/>
          <w:sz w:val="24"/>
          <w:szCs w:val="24"/>
        </w:rPr>
        <w:t>his</w:t>
      </w:r>
      <w:r w:rsidR="0082634B" w:rsidRPr="007E372C">
        <w:rPr>
          <w:rFonts w:ascii="Arial" w:hAnsi="Arial" w:cs="Arial"/>
          <w:sz w:val="24"/>
          <w:szCs w:val="24"/>
        </w:rPr>
        <w:t xml:space="preserve"> neighbours washing was hanging </w:t>
      </w:r>
      <w:r w:rsidR="00B34315" w:rsidRPr="007E372C">
        <w:rPr>
          <w:rFonts w:ascii="Arial" w:hAnsi="Arial" w:cs="Arial"/>
          <w:sz w:val="24"/>
          <w:szCs w:val="24"/>
        </w:rPr>
        <w:t>out</w:t>
      </w:r>
      <w:r w:rsidR="0082634B" w:rsidRPr="007E372C">
        <w:rPr>
          <w:rFonts w:ascii="Arial" w:hAnsi="Arial" w:cs="Arial"/>
          <w:sz w:val="24"/>
          <w:szCs w:val="24"/>
        </w:rPr>
        <w:t xml:space="preserve"> to dry. </w:t>
      </w:r>
      <w:r w:rsidR="002003A1" w:rsidRPr="007E372C">
        <w:rPr>
          <w:rFonts w:ascii="Arial" w:hAnsi="Arial" w:cs="Arial"/>
          <w:sz w:val="24"/>
          <w:szCs w:val="24"/>
        </w:rPr>
        <w:t xml:space="preserve"> He, together with N</w:t>
      </w:r>
      <w:r w:rsidR="002110F4" w:rsidRPr="007E372C">
        <w:rPr>
          <w:rFonts w:ascii="Arial" w:hAnsi="Arial" w:cs="Arial"/>
          <w:sz w:val="24"/>
          <w:szCs w:val="24"/>
        </w:rPr>
        <w:t>.N</w:t>
      </w:r>
      <w:r w:rsidR="002003A1" w:rsidRPr="007E372C">
        <w:rPr>
          <w:rFonts w:ascii="Arial" w:hAnsi="Arial" w:cs="Arial"/>
          <w:sz w:val="24"/>
          <w:szCs w:val="24"/>
        </w:rPr>
        <w:t>, attended to the fire</w:t>
      </w:r>
      <w:r w:rsidR="00D06908" w:rsidRPr="007E372C">
        <w:rPr>
          <w:rFonts w:ascii="Arial" w:hAnsi="Arial" w:cs="Arial"/>
          <w:sz w:val="24"/>
          <w:szCs w:val="24"/>
        </w:rPr>
        <w:t>.</w:t>
      </w:r>
      <w:r w:rsidR="00E0008E" w:rsidRPr="007E372C">
        <w:rPr>
          <w:rFonts w:ascii="Arial" w:hAnsi="Arial" w:cs="Arial"/>
          <w:sz w:val="24"/>
          <w:szCs w:val="24"/>
        </w:rPr>
        <w:t xml:space="preserve">  Both the accused’s and N</w:t>
      </w:r>
      <w:r w:rsidR="002110F4" w:rsidRPr="007E372C">
        <w:rPr>
          <w:rFonts w:ascii="Arial" w:hAnsi="Arial" w:cs="Arial"/>
          <w:sz w:val="24"/>
          <w:szCs w:val="24"/>
        </w:rPr>
        <w:t>.N</w:t>
      </w:r>
      <w:r w:rsidR="00E0008E" w:rsidRPr="007E372C">
        <w:rPr>
          <w:rFonts w:ascii="Arial" w:hAnsi="Arial" w:cs="Arial"/>
          <w:sz w:val="24"/>
          <w:szCs w:val="24"/>
        </w:rPr>
        <w:t>’s girlfriends were at home</w:t>
      </w:r>
      <w:r w:rsidR="00D06908" w:rsidRPr="007E372C">
        <w:rPr>
          <w:rFonts w:ascii="Arial" w:hAnsi="Arial" w:cs="Arial"/>
          <w:sz w:val="24"/>
          <w:szCs w:val="24"/>
        </w:rPr>
        <w:t xml:space="preserve"> on the night in question.</w:t>
      </w:r>
      <w:r w:rsidR="002003A1" w:rsidRPr="007E372C">
        <w:rPr>
          <w:rFonts w:ascii="Arial" w:hAnsi="Arial" w:cs="Arial"/>
          <w:sz w:val="24"/>
          <w:szCs w:val="24"/>
        </w:rPr>
        <w:t xml:space="preserve">  </w:t>
      </w:r>
    </w:p>
    <w:p w14:paraId="79079B17" w14:textId="77777777" w:rsidR="00E0008E" w:rsidRPr="00E0008E" w:rsidRDefault="00E0008E" w:rsidP="009D7002">
      <w:pPr>
        <w:pStyle w:val="ListParagraph"/>
        <w:spacing w:after="0" w:line="480" w:lineRule="auto"/>
        <w:rPr>
          <w:rFonts w:ascii="Arial" w:hAnsi="Arial" w:cs="Arial"/>
          <w:sz w:val="24"/>
          <w:szCs w:val="24"/>
        </w:rPr>
      </w:pPr>
    </w:p>
    <w:p w14:paraId="093EC808" w14:textId="5D3BEB31" w:rsidR="0083527A"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0008E" w:rsidRPr="007E372C">
        <w:rPr>
          <w:rFonts w:ascii="Arial" w:hAnsi="Arial" w:cs="Arial"/>
          <w:sz w:val="24"/>
          <w:szCs w:val="24"/>
        </w:rPr>
        <w:t>The accused testified that he knew the complainant well and that he would often visit the main house and play in the yard.  On 4 January 2021, h</w:t>
      </w:r>
      <w:r w:rsidR="002003A1" w:rsidRPr="007E372C">
        <w:rPr>
          <w:rFonts w:ascii="Arial" w:hAnsi="Arial" w:cs="Arial"/>
          <w:sz w:val="24"/>
          <w:szCs w:val="24"/>
        </w:rPr>
        <w:t>e saw the complainant at some stage between 19h00 and 20h00, whilst attending to the fire.</w:t>
      </w:r>
      <w:r w:rsidR="00E0008E" w:rsidRPr="007E372C">
        <w:rPr>
          <w:rFonts w:ascii="Arial" w:hAnsi="Arial" w:cs="Arial"/>
          <w:sz w:val="24"/>
          <w:szCs w:val="24"/>
        </w:rPr>
        <w:t xml:space="preserve">  He had not </w:t>
      </w:r>
      <w:r w:rsidR="002110F4" w:rsidRPr="007E372C">
        <w:rPr>
          <w:rFonts w:ascii="Arial" w:hAnsi="Arial" w:cs="Arial"/>
          <w:sz w:val="24"/>
          <w:szCs w:val="24"/>
        </w:rPr>
        <w:t xml:space="preserve">previously </w:t>
      </w:r>
      <w:r w:rsidR="00E0008E" w:rsidRPr="007E372C">
        <w:rPr>
          <w:rFonts w:ascii="Arial" w:hAnsi="Arial" w:cs="Arial"/>
          <w:sz w:val="24"/>
          <w:szCs w:val="24"/>
        </w:rPr>
        <w:t>seen him that day.</w:t>
      </w:r>
      <w:r w:rsidR="002110F4" w:rsidRPr="007E372C">
        <w:rPr>
          <w:rFonts w:ascii="Arial" w:hAnsi="Arial" w:cs="Arial"/>
          <w:sz w:val="24"/>
          <w:szCs w:val="24"/>
        </w:rPr>
        <w:t xml:space="preserve">  N.N. instructed the complainant to return to the main house, as it was getting late.  This is the last time that the accused saw the complainant on 4 January 2021.</w:t>
      </w:r>
      <w:r w:rsidR="00E0008E" w:rsidRPr="007E372C">
        <w:rPr>
          <w:rFonts w:ascii="Arial" w:hAnsi="Arial" w:cs="Arial"/>
          <w:sz w:val="24"/>
          <w:szCs w:val="24"/>
        </w:rPr>
        <w:t xml:space="preserve"> </w:t>
      </w:r>
      <w:r w:rsidR="002110F4" w:rsidRPr="007E372C">
        <w:rPr>
          <w:rFonts w:ascii="Arial" w:hAnsi="Arial" w:cs="Arial"/>
          <w:sz w:val="24"/>
          <w:szCs w:val="24"/>
        </w:rPr>
        <w:t xml:space="preserve"> Thereafter, his girlfriend fetched food and something to drink from the main house.  At this stage, the security gate on the door of the main house was already locked, and accordingly the food and drink </w:t>
      </w:r>
      <w:r w:rsidR="00D06908" w:rsidRPr="007E372C">
        <w:rPr>
          <w:rFonts w:ascii="Arial" w:hAnsi="Arial" w:cs="Arial"/>
          <w:sz w:val="24"/>
          <w:szCs w:val="24"/>
        </w:rPr>
        <w:t>were</w:t>
      </w:r>
      <w:r w:rsidR="002110F4" w:rsidRPr="007E372C">
        <w:rPr>
          <w:rFonts w:ascii="Arial" w:hAnsi="Arial" w:cs="Arial"/>
          <w:sz w:val="24"/>
          <w:szCs w:val="24"/>
        </w:rPr>
        <w:t xml:space="preserve"> passed through the door to the </w:t>
      </w:r>
      <w:r w:rsidR="002110F4" w:rsidRPr="007E372C">
        <w:rPr>
          <w:rFonts w:ascii="Arial" w:hAnsi="Arial" w:cs="Arial"/>
          <w:sz w:val="24"/>
          <w:szCs w:val="24"/>
        </w:rPr>
        <w:lastRenderedPageBreak/>
        <w:t xml:space="preserve">accused’s girlfriend by M.D. </w:t>
      </w:r>
      <w:r w:rsidR="007961CB" w:rsidRPr="007E372C">
        <w:rPr>
          <w:rFonts w:ascii="Arial" w:hAnsi="Arial" w:cs="Arial"/>
          <w:sz w:val="24"/>
          <w:szCs w:val="24"/>
        </w:rPr>
        <w:t xml:space="preserve"> This was corroborated by both the accused’s mother and M.D.</w:t>
      </w:r>
      <w:r w:rsidR="002110F4" w:rsidRPr="007E372C">
        <w:rPr>
          <w:rFonts w:ascii="Arial" w:hAnsi="Arial" w:cs="Arial"/>
          <w:sz w:val="24"/>
          <w:szCs w:val="24"/>
        </w:rPr>
        <w:t xml:space="preserve"> </w:t>
      </w:r>
      <w:r w:rsidR="007961CB" w:rsidRPr="007E372C">
        <w:rPr>
          <w:rFonts w:ascii="Arial" w:hAnsi="Arial" w:cs="Arial"/>
          <w:sz w:val="24"/>
          <w:szCs w:val="24"/>
        </w:rPr>
        <w:t xml:space="preserve"> </w:t>
      </w:r>
      <w:r w:rsidR="0082634B" w:rsidRPr="007E372C">
        <w:rPr>
          <w:rFonts w:ascii="Arial" w:hAnsi="Arial" w:cs="Arial"/>
          <w:sz w:val="24"/>
          <w:szCs w:val="24"/>
        </w:rPr>
        <w:t>Between the hours of 23h00 and 00h00, the fire was put out and</w:t>
      </w:r>
      <w:r w:rsidR="00D06908" w:rsidRPr="007E372C">
        <w:rPr>
          <w:rFonts w:ascii="Arial" w:hAnsi="Arial" w:cs="Arial"/>
          <w:sz w:val="24"/>
          <w:szCs w:val="24"/>
        </w:rPr>
        <w:t xml:space="preserve"> he and N.N. retired to their rooms</w:t>
      </w:r>
      <w:r w:rsidR="006704A2" w:rsidRPr="007E372C">
        <w:rPr>
          <w:rFonts w:ascii="Arial" w:hAnsi="Arial" w:cs="Arial"/>
          <w:sz w:val="24"/>
          <w:szCs w:val="24"/>
        </w:rPr>
        <w:t>, where they conversed for a short while before going to bed.  At no stage did the accused or his girlfriend leave the accused’s house after going to bed until the next morning.  Similarly, N.N. and his girlfriend, remained home that night.</w:t>
      </w:r>
      <w:r w:rsidR="00B22FF5" w:rsidRPr="007E372C">
        <w:rPr>
          <w:rFonts w:ascii="Arial" w:hAnsi="Arial" w:cs="Arial"/>
          <w:sz w:val="24"/>
          <w:szCs w:val="24"/>
        </w:rPr>
        <w:t xml:space="preserve">  The evidence of N.N. was consistent with </w:t>
      </w:r>
      <w:r w:rsidR="007F0903" w:rsidRPr="007E372C">
        <w:rPr>
          <w:rFonts w:ascii="Arial" w:hAnsi="Arial" w:cs="Arial"/>
          <w:sz w:val="24"/>
          <w:szCs w:val="24"/>
        </w:rPr>
        <w:t>that of the accused</w:t>
      </w:r>
      <w:r w:rsidR="00B22FF5" w:rsidRPr="007E372C">
        <w:rPr>
          <w:rFonts w:ascii="Arial" w:hAnsi="Arial" w:cs="Arial"/>
          <w:sz w:val="24"/>
          <w:szCs w:val="24"/>
        </w:rPr>
        <w:t>.</w:t>
      </w:r>
      <w:r w:rsidR="006704A2" w:rsidRPr="007E372C">
        <w:rPr>
          <w:rFonts w:ascii="Arial" w:hAnsi="Arial" w:cs="Arial"/>
          <w:sz w:val="24"/>
          <w:szCs w:val="24"/>
        </w:rPr>
        <w:t xml:space="preserve">  </w:t>
      </w:r>
    </w:p>
    <w:p w14:paraId="488C89A9" w14:textId="77777777" w:rsidR="0083527A" w:rsidRPr="0083527A" w:rsidRDefault="0083527A" w:rsidP="009D7002">
      <w:pPr>
        <w:pStyle w:val="ListParagraph"/>
        <w:spacing w:after="0" w:line="480" w:lineRule="auto"/>
        <w:rPr>
          <w:rFonts w:ascii="Arial" w:hAnsi="Arial" w:cs="Arial"/>
          <w:sz w:val="24"/>
          <w:szCs w:val="24"/>
        </w:rPr>
      </w:pPr>
    </w:p>
    <w:p w14:paraId="75D8D4A0" w14:textId="1915C9A1" w:rsidR="007961CB"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[39]</w:t>
      </w:r>
      <w:r>
        <w:rPr>
          <w:rFonts w:ascii="Arial" w:hAnsi="Arial" w:cs="Arial"/>
          <w:sz w:val="24"/>
          <w:szCs w:val="24"/>
        </w:rPr>
        <w:tab/>
      </w:r>
      <w:r w:rsidR="0083527A" w:rsidRPr="007E372C">
        <w:rPr>
          <w:rFonts w:ascii="Arial" w:hAnsi="Arial" w:cs="Arial"/>
          <w:sz w:val="24"/>
          <w:szCs w:val="24"/>
        </w:rPr>
        <w:t xml:space="preserve">The accused testified that the neighbourhood in which they reside is very dangerous.  Some years back, his father, who was </w:t>
      </w:r>
      <w:r w:rsidR="005F14B6" w:rsidRPr="007E372C">
        <w:rPr>
          <w:rFonts w:ascii="Arial" w:hAnsi="Arial" w:cs="Arial"/>
          <w:sz w:val="24"/>
          <w:szCs w:val="24"/>
        </w:rPr>
        <w:t xml:space="preserve">still </w:t>
      </w:r>
      <w:r w:rsidR="0083527A" w:rsidRPr="007E372C">
        <w:rPr>
          <w:rFonts w:ascii="Arial" w:hAnsi="Arial" w:cs="Arial"/>
          <w:sz w:val="24"/>
          <w:szCs w:val="24"/>
        </w:rPr>
        <w:t>alive at the time, had installed two bolts on the inside of the door of the main house for added security.  Without fail, each night, the security gate is locked with the use of a padlock</w:t>
      </w:r>
      <w:r w:rsidR="00E94D6F" w:rsidRPr="007E372C">
        <w:rPr>
          <w:rFonts w:ascii="Arial" w:hAnsi="Arial" w:cs="Arial"/>
          <w:sz w:val="24"/>
          <w:szCs w:val="24"/>
        </w:rPr>
        <w:t>.  Similarly,</w:t>
      </w:r>
      <w:r w:rsidR="0083527A" w:rsidRPr="007E372C">
        <w:rPr>
          <w:rFonts w:ascii="Arial" w:hAnsi="Arial" w:cs="Arial"/>
          <w:sz w:val="24"/>
          <w:szCs w:val="24"/>
        </w:rPr>
        <w:t xml:space="preserve"> the door to the main house is locked with the two bolts, from the inside, making it impossible for anyone to gain entry into the main house.  </w:t>
      </w:r>
      <w:r w:rsidR="007961CB" w:rsidRPr="007E372C">
        <w:rPr>
          <w:rFonts w:ascii="Arial" w:hAnsi="Arial" w:cs="Arial"/>
          <w:sz w:val="24"/>
          <w:szCs w:val="24"/>
        </w:rPr>
        <w:t>Not only was this corroborated by the accused’s mother and M.D., but they respectively testified that on the night of 4 January 2021, M.D. had personally locked and bolted the door prior to retiring to the bedroom, whereafter the accused’s mother had checked to make sure that the door was locked.</w:t>
      </w:r>
    </w:p>
    <w:p w14:paraId="1A61E741" w14:textId="77777777" w:rsidR="007961CB" w:rsidRPr="007961CB" w:rsidRDefault="007961CB" w:rsidP="009D7002">
      <w:pPr>
        <w:pStyle w:val="ListParagraph"/>
        <w:spacing w:after="0" w:line="480" w:lineRule="auto"/>
        <w:rPr>
          <w:rFonts w:ascii="Arial" w:hAnsi="Arial" w:cs="Arial"/>
          <w:sz w:val="24"/>
          <w:szCs w:val="24"/>
        </w:rPr>
      </w:pPr>
    </w:p>
    <w:p w14:paraId="7519F0C0" w14:textId="02646EEC" w:rsidR="00F1455D"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3527A" w:rsidRPr="007E372C">
        <w:rPr>
          <w:rFonts w:ascii="Arial" w:hAnsi="Arial" w:cs="Arial"/>
          <w:sz w:val="24"/>
          <w:szCs w:val="24"/>
        </w:rPr>
        <w:t xml:space="preserve">The next morning, on 5 January 2021, </w:t>
      </w:r>
      <w:r w:rsidR="007961CB" w:rsidRPr="007E372C">
        <w:rPr>
          <w:rFonts w:ascii="Arial" w:hAnsi="Arial" w:cs="Arial"/>
          <w:sz w:val="24"/>
          <w:szCs w:val="24"/>
        </w:rPr>
        <w:t>the</w:t>
      </w:r>
      <w:r w:rsidR="0083527A" w:rsidRPr="007E372C">
        <w:rPr>
          <w:rFonts w:ascii="Arial" w:hAnsi="Arial" w:cs="Arial"/>
          <w:sz w:val="24"/>
          <w:szCs w:val="24"/>
        </w:rPr>
        <w:t xml:space="preserve"> </w:t>
      </w:r>
      <w:r w:rsidR="00526FD6" w:rsidRPr="007E372C">
        <w:rPr>
          <w:rFonts w:ascii="Arial" w:hAnsi="Arial" w:cs="Arial"/>
          <w:sz w:val="24"/>
          <w:szCs w:val="24"/>
        </w:rPr>
        <w:t xml:space="preserve">accused </w:t>
      </w:r>
      <w:r w:rsidR="0083527A" w:rsidRPr="007E372C">
        <w:rPr>
          <w:rFonts w:ascii="Arial" w:hAnsi="Arial" w:cs="Arial"/>
          <w:sz w:val="24"/>
          <w:szCs w:val="24"/>
        </w:rPr>
        <w:t xml:space="preserve">woke up at approximately 09h00.  At </w:t>
      </w:r>
      <w:r w:rsidR="00526FD6" w:rsidRPr="007E372C">
        <w:rPr>
          <w:rFonts w:ascii="Arial" w:hAnsi="Arial" w:cs="Arial"/>
          <w:sz w:val="24"/>
          <w:szCs w:val="24"/>
        </w:rPr>
        <w:t xml:space="preserve">that stage, the door to the main house was already </w:t>
      </w:r>
      <w:r w:rsidR="0083527A" w:rsidRPr="007E372C">
        <w:rPr>
          <w:rFonts w:ascii="Arial" w:hAnsi="Arial" w:cs="Arial"/>
          <w:sz w:val="24"/>
          <w:szCs w:val="24"/>
        </w:rPr>
        <w:t>open.  He entered the main house to make porridge for his girlfriend and saw only his mother.  He was informed by his mother that the complainant had left the main house after having broken a mug</w:t>
      </w:r>
      <w:r w:rsidR="00131218" w:rsidRPr="007E372C">
        <w:rPr>
          <w:rFonts w:ascii="Arial" w:hAnsi="Arial" w:cs="Arial"/>
          <w:sz w:val="24"/>
          <w:szCs w:val="24"/>
        </w:rPr>
        <w:t xml:space="preserve">.  The </w:t>
      </w:r>
      <w:r w:rsidR="0083527A" w:rsidRPr="007E372C">
        <w:rPr>
          <w:rFonts w:ascii="Arial" w:hAnsi="Arial" w:cs="Arial"/>
          <w:sz w:val="24"/>
          <w:szCs w:val="24"/>
        </w:rPr>
        <w:t xml:space="preserve">accused returned to his girlfriend who </w:t>
      </w:r>
      <w:r w:rsidR="0083527A" w:rsidRPr="007E372C">
        <w:rPr>
          <w:rFonts w:ascii="Arial" w:hAnsi="Arial" w:cs="Arial"/>
          <w:sz w:val="24"/>
          <w:szCs w:val="24"/>
        </w:rPr>
        <w:lastRenderedPageBreak/>
        <w:t xml:space="preserve">was still in the accused’s house. </w:t>
      </w:r>
      <w:r w:rsidR="009F1CC2" w:rsidRPr="007E372C">
        <w:rPr>
          <w:rFonts w:ascii="Arial" w:hAnsi="Arial" w:cs="Arial"/>
          <w:sz w:val="24"/>
          <w:szCs w:val="24"/>
        </w:rPr>
        <w:t xml:space="preserve"> A while later, the complainant and his mother entered the yard making accusations regarding the alleged sexual assault</w:t>
      </w:r>
      <w:r w:rsidR="00EF7ACF" w:rsidRPr="007E372C">
        <w:rPr>
          <w:rFonts w:ascii="Arial" w:hAnsi="Arial" w:cs="Arial"/>
          <w:sz w:val="24"/>
          <w:szCs w:val="24"/>
        </w:rPr>
        <w:t xml:space="preserve">.  </w:t>
      </w:r>
      <w:r w:rsidR="00F1455D" w:rsidRPr="007E372C">
        <w:rPr>
          <w:rFonts w:ascii="Arial" w:hAnsi="Arial" w:cs="Arial"/>
          <w:sz w:val="24"/>
          <w:szCs w:val="24"/>
        </w:rPr>
        <w:t xml:space="preserve">The accused maintained his innocence throughout.  When advised that the police had been called, the accused </w:t>
      </w:r>
      <w:r w:rsidR="00EF7ACF" w:rsidRPr="007E372C">
        <w:rPr>
          <w:rFonts w:ascii="Arial" w:hAnsi="Arial" w:cs="Arial"/>
          <w:sz w:val="24"/>
          <w:szCs w:val="24"/>
        </w:rPr>
        <w:t>remained at home and stated that they</w:t>
      </w:r>
      <w:r w:rsidR="00F1455D" w:rsidRPr="007E372C">
        <w:rPr>
          <w:rFonts w:ascii="Arial" w:hAnsi="Arial" w:cs="Arial"/>
          <w:sz w:val="24"/>
          <w:szCs w:val="24"/>
        </w:rPr>
        <w:t xml:space="preserve"> could find him in the yard, where he waited.  He was later arrested.</w:t>
      </w:r>
      <w:r w:rsidR="003467A8" w:rsidRPr="007E372C">
        <w:rPr>
          <w:rFonts w:ascii="Arial" w:hAnsi="Arial" w:cs="Arial"/>
          <w:sz w:val="24"/>
          <w:szCs w:val="24"/>
        </w:rPr>
        <w:t xml:space="preserve">  S.G.M testified that she had kept the remains of the broken cup as well as the complainant’s t-shirt, which she had helped him remove after he had spilt tea on himself prior to him leaving the main house</w:t>
      </w:r>
      <w:r w:rsidR="006C3B44" w:rsidRPr="007E372C">
        <w:rPr>
          <w:rFonts w:ascii="Arial" w:hAnsi="Arial" w:cs="Arial"/>
          <w:sz w:val="24"/>
          <w:szCs w:val="24"/>
        </w:rPr>
        <w:t xml:space="preserve"> on 5 January 2021</w:t>
      </w:r>
      <w:r w:rsidR="003467A8" w:rsidRPr="007E372C">
        <w:rPr>
          <w:rFonts w:ascii="Arial" w:hAnsi="Arial" w:cs="Arial"/>
          <w:sz w:val="24"/>
          <w:szCs w:val="24"/>
        </w:rPr>
        <w:t>.  She denied</w:t>
      </w:r>
      <w:r w:rsidR="00C6004B" w:rsidRPr="007E372C">
        <w:rPr>
          <w:rFonts w:ascii="Arial" w:hAnsi="Arial" w:cs="Arial"/>
          <w:sz w:val="24"/>
          <w:szCs w:val="24"/>
        </w:rPr>
        <w:t xml:space="preserve"> having sent the complainant to the shops on 4 January 2021 and </w:t>
      </w:r>
      <w:r w:rsidR="003467A8" w:rsidRPr="007E372C">
        <w:rPr>
          <w:rFonts w:ascii="Arial" w:hAnsi="Arial" w:cs="Arial"/>
          <w:sz w:val="24"/>
          <w:szCs w:val="24"/>
        </w:rPr>
        <w:t>having seen the accused chasing the complainant out of the main house</w:t>
      </w:r>
      <w:r w:rsidR="00C6004B" w:rsidRPr="007E372C">
        <w:rPr>
          <w:rFonts w:ascii="Arial" w:hAnsi="Arial" w:cs="Arial"/>
          <w:sz w:val="24"/>
          <w:szCs w:val="24"/>
        </w:rPr>
        <w:t xml:space="preserve"> </w:t>
      </w:r>
      <w:r w:rsidR="00784110" w:rsidRPr="007E372C">
        <w:rPr>
          <w:rFonts w:ascii="Arial" w:hAnsi="Arial" w:cs="Arial"/>
          <w:sz w:val="24"/>
          <w:szCs w:val="24"/>
        </w:rPr>
        <w:t>the next morning.</w:t>
      </w:r>
      <w:r w:rsidR="003467A8" w:rsidRPr="007E372C">
        <w:rPr>
          <w:rFonts w:ascii="Arial" w:hAnsi="Arial" w:cs="Arial"/>
          <w:sz w:val="24"/>
          <w:szCs w:val="24"/>
        </w:rPr>
        <w:t xml:space="preserve">  </w:t>
      </w:r>
    </w:p>
    <w:p w14:paraId="73D0899D" w14:textId="77777777" w:rsidR="009938BF" w:rsidRPr="009938BF" w:rsidRDefault="009938BF" w:rsidP="009D7002">
      <w:pPr>
        <w:pStyle w:val="ListParagraph"/>
        <w:spacing w:after="0" w:line="480" w:lineRule="auto"/>
        <w:rPr>
          <w:rFonts w:ascii="Arial" w:hAnsi="Arial" w:cs="Arial"/>
          <w:sz w:val="24"/>
          <w:szCs w:val="24"/>
        </w:rPr>
      </w:pPr>
    </w:p>
    <w:p w14:paraId="4264682F" w14:textId="405172A6" w:rsidR="00E72FFC"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1455D" w:rsidRPr="007E372C">
        <w:rPr>
          <w:rFonts w:ascii="Arial" w:hAnsi="Arial" w:cs="Arial"/>
          <w:sz w:val="24"/>
          <w:szCs w:val="24"/>
        </w:rPr>
        <w:t xml:space="preserve">The accused, when questioned regarding the architectural set-up in the main house, confirmed that the bedroom wall did not act to prevent the passage of sound between the bedroom and the remainder of the house, </w:t>
      </w:r>
      <w:r w:rsidR="007961CB" w:rsidRPr="007E372C">
        <w:rPr>
          <w:rFonts w:ascii="Arial" w:hAnsi="Arial" w:cs="Arial"/>
          <w:sz w:val="24"/>
          <w:szCs w:val="24"/>
        </w:rPr>
        <w:t xml:space="preserve">so much so that </w:t>
      </w:r>
      <w:r w:rsidR="00F1455D" w:rsidRPr="007E372C">
        <w:rPr>
          <w:rFonts w:ascii="Arial" w:hAnsi="Arial" w:cs="Arial"/>
          <w:sz w:val="24"/>
          <w:szCs w:val="24"/>
        </w:rPr>
        <w:t xml:space="preserve">you </w:t>
      </w:r>
      <w:r w:rsidR="007961CB" w:rsidRPr="007E372C">
        <w:rPr>
          <w:rFonts w:ascii="Arial" w:hAnsi="Arial" w:cs="Arial"/>
          <w:sz w:val="24"/>
          <w:szCs w:val="24"/>
        </w:rPr>
        <w:t>are</w:t>
      </w:r>
      <w:r w:rsidR="00F1455D" w:rsidRPr="007E372C">
        <w:rPr>
          <w:rFonts w:ascii="Arial" w:hAnsi="Arial" w:cs="Arial"/>
          <w:sz w:val="24"/>
          <w:szCs w:val="24"/>
        </w:rPr>
        <w:t xml:space="preserve"> able to hear people whispering from one room to another.  He further stated that the bedroom door was unable to close, given that it was resting on the floor.  The accused’s mother further explained that the hinges to the door were broken and accordingly it could not close.  This too was corroborated by M.D.</w:t>
      </w:r>
      <w:r w:rsidR="00375986" w:rsidRPr="007E372C">
        <w:rPr>
          <w:rFonts w:ascii="Arial" w:hAnsi="Arial" w:cs="Arial"/>
          <w:sz w:val="24"/>
          <w:szCs w:val="24"/>
        </w:rPr>
        <w:t xml:space="preserve">  This factor alone, if viewed in light of the evidence of the complainant renders his version as to the commission of the sexual assault in the main house even more improbable.</w:t>
      </w:r>
      <w:r w:rsidR="00F1455D" w:rsidRPr="007E372C">
        <w:rPr>
          <w:rFonts w:ascii="Arial" w:hAnsi="Arial" w:cs="Arial"/>
          <w:sz w:val="24"/>
          <w:szCs w:val="24"/>
        </w:rPr>
        <w:t xml:space="preserve">      </w:t>
      </w:r>
      <w:r w:rsidR="009F1CC2" w:rsidRPr="007E372C">
        <w:rPr>
          <w:rFonts w:ascii="Arial" w:hAnsi="Arial" w:cs="Arial"/>
          <w:sz w:val="24"/>
          <w:szCs w:val="24"/>
        </w:rPr>
        <w:t xml:space="preserve">  </w:t>
      </w:r>
    </w:p>
    <w:p w14:paraId="454EC8A7" w14:textId="77777777" w:rsidR="009938BF" w:rsidRPr="009938BF" w:rsidRDefault="009938BF" w:rsidP="009D7002">
      <w:pPr>
        <w:pStyle w:val="ListParagraph"/>
        <w:spacing w:after="0" w:line="480" w:lineRule="auto"/>
        <w:rPr>
          <w:rFonts w:ascii="Arial" w:hAnsi="Arial" w:cs="Arial"/>
          <w:sz w:val="24"/>
          <w:szCs w:val="24"/>
        </w:rPr>
      </w:pPr>
    </w:p>
    <w:p w14:paraId="4D2FE530" w14:textId="5A0E9680" w:rsidR="00FA36E0"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[42]</w:t>
      </w:r>
      <w:r>
        <w:rPr>
          <w:rFonts w:ascii="Arial" w:hAnsi="Arial" w:cs="Arial"/>
          <w:sz w:val="24"/>
          <w:szCs w:val="24"/>
        </w:rPr>
        <w:tab/>
      </w:r>
      <w:r w:rsidR="00FA36E0" w:rsidRPr="007E372C">
        <w:rPr>
          <w:rFonts w:ascii="Arial" w:hAnsi="Arial" w:cs="Arial"/>
          <w:sz w:val="24"/>
          <w:szCs w:val="24"/>
        </w:rPr>
        <w:t>At trial, the accused emphatically denied</w:t>
      </w:r>
      <w:r w:rsidR="00DF2696" w:rsidRPr="007E372C">
        <w:rPr>
          <w:rFonts w:ascii="Arial" w:hAnsi="Arial" w:cs="Arial"/>
          <w:sz w:val="24"/>
          <w:szCs w:val="24"/>
        </w:rPr>
        <w:t>: (i)</w:t>
      </w:r>
      <w:r w:rsidR="00FA36E0" w:rsidRPr="007E372C">
        <w:rPr>
          <w:rFonts w:ascii="Arial" w:hAnsi="Arial" w:cs="Arial"/>
          <w:sz w:val="24"/>
          <w:szCs w:val="24"/>
        </w:rPr>
        <w:t xml:space="preserve"> having entered the </w:t>
      </w:r>
      <w:r w:rsidR="00DF2696" w:rsidRPr="007E372C">
        <w:rPr>
          <w:rFonts w:ascii="Arial" w:hAnsi="Arial" w:cs="Arial"/>
          <w:sz w:val="24"/>
          <w:szCs w:val="24"/>
        </w:rPr>
        <w:t xml:space="preserve">main </w:t>
      </w:r>
      <w:r w:rsidR="00FA36E0" w:rsidRPr="007E372C">
        <w:rPr>
          <w:rFonts w:ascii="Arial" w:hAnsi="Arial" w:cs="Arial"/>
          <w:sz w:val="24"/>
          <w:szCs w:val="24"/>
        </w:rPr>
        <w:t>house on the night in question</w:t>
      </w:r>
      <w:r w:rsidR="00196720" w:rsidRPr="007E372C">
        <w:rPr>
          <w:rFonts w:ascii="Arial" w:hAnsi="Arial" w:cs="Arial"/>
          <w:sz w:val="24"/>
          <w:szCs w:val="24"/>
        </w:rPr>
        <w:t>;</w:t>
      </w:r>
      <w:r w:rsidR="00DF2696" w:rsidRPr="007E372C">
        <w:rPr>
          <w:rFonts w:ascii="Arial" w:hAnsi="Arial" w:cs="Arial"/>
          <w:sz w:val="24"/>
          <w:szCs w:val="24"/>
        </w:rPr>
        <w:t xml:space="preserve"> (ii)</w:t>
      </w:r>
      <w:r w:rsidR="00196720" w:rsidRPr="007E372C">
        <w:rPr>
          <w:rFonts w:ascii="Arial" w:hAnsi="Arial" w:cs="Arial"/>
          <w:sz w:val="24"/>
          <w:szCs w:val="24"/>
        </w:rPr>
        <w:t xml:space="preserve"> </w:t>
      </w:r>
      <w:r w:rsidR="00FA36E0" w:rsidRPr="007E372C">
        <w:rPr>
          <w:rFonts w:ascii="Arial" w:hAnsi="Arial" w:cs="Arial"/>
          <w:sz w:val="24"/>
          <w:szCs w:val="24"/>
        </w:rPr>
        <w:t>having committed the alleged sexual assaults on the complainant</w:t>
      </w:r>
      <w:r w:rsidR="00196720" w:rsidRPr="007E372C">
        <w:rPr>
          <w:rFonts w:ascii="Arial" w:hAnsi="Arial" w:cs="Arial"/>
          <w:sz w:val="24"/>
          <w:szCs w:val="24"/>
        </w:rPr>
        <w:t xml:space="preserve">; and </w:t>
      </w:r>
      <w:r w:rsidR="00DF2696" w:rsidRPr="007E372C">
        <w:rPr>
          <w:rFonts w:ascii="Arial" w:hAnsi="Arial" w:cs="Arial"/>
          <w:sz w:val="24"/>
          <w:szCs w:val="24"/>
        </w:rPr>
        <w:t xml:space="preserve">(iii) </w:t>
      </w:r>
      <w:r w:rsidR="00196720" w:rsidRPr="007E372C">
        <w:rPr>
          <w:rFonts w:ascii="Arial" w:hAnsi="Arial" w:cs="Arial"/>
          <w:sz w:val="24"/>
          <w:szCs w:val="24"/>
        </w:rPr>
        <w:t>having threatened the complainant in any manner</w:t>
      </w:r>
      <w:r w:rsidR="00FA36E0" w:rsidRPr="007E372C">
        <w:rPr>
          <w:rFonts w:ascii="Arial" w:hAnsi="Arial" w:cs="Arial"/>
          <w:sz w:val="24"/>
          <w:szCs w:val="24"/>
        </w:rPr>
        <w:t>.</w:t>
      </w:r>
    </w:p>
    <w:p w14:paraId="1450F17B" w14:textId="2F6F1039" w:rsidR="009D7002" w:rsidRPr="007E372C" w:rsidRDefault="007E372C" w:rsidP="007E372C">
      <w:pPr>
        <w:spacing w:after="0" w:line="480" w:lineRule="auto"/>
        <w:ind w:left="851" w:hanging="851"/>
        <w:jc w:val="both"/>
        <w:rPr>
          <w:rFonts w:ascii="Arial" w:hAnsi="Arial" w:cs="Arial"/>
          <w:sz w:val="24"/>
          <w:szCs w:val="24"/>
        </w:rPr>
      </w:pPr>
      <w:r w:rsidRPr="009D7002">
        <w:rPr>
          <w:rFonts w:ascii="Arial" w:hAnsi="Arial" w:cs="Arial"/>
          <w:sz w:val="24"/>
          <w:szCs w:val="24"/>
        </w:rPr>
        <w:lastRenderedPageBreak/>
        <w:t>[43]</w:t>
      </w:r>
      <w:r w:rsidRPr="009D7002">
        <w:rPr>
          <w:rFonts w:ascii="Arial" w:hAnsi="Arial" w:cs="Arial"/>
          <w:sz w:val="24"/>
          <w:szCs w:val="24"/>
        </w:rPr>
        <w:tab/>
      </w:r>
      <w:r w:rsidR="00362F91" w:rsidRPr="007E372C">
        <w:rPr>
          <w:rFonts w:ascii="Arial" w:hAnsi="Arial" w:cs="Arial"/>
          <w:sz w:val="24"/>
          <w:szCs w:val="24"/>
        </w:rPr>
        <w:t>T</w:t>
      </w:r>
      <w:r w:rsidR="009D7002" w:rsidRPr="007E372C">
        <w:rPr>
          <w:rFonts w:ascii="Arial" w:hAnsi="Arial" w:cs="Arial"/>
          <w:sz w:val="24"/>
          <w:szCs w:val="24"/>
        </w:rPr>
        <w:t>he accused struck me as honest and credible witnesses, with his evidence according with the inherent probabilities.  His answers, both in examination in chief and under cross-examination, were consistent; candid; and spontaneous.</w:t>
      </w:r>
      <w:r w:rsidR="00651B58" w:rsidRPr="007E372C">
        <w:rPr>
          <w:rFonts w:ascii="Arial" w:hAnsi="Arial" w:cs="Arial"/>
          <w:sz w:val="24"/>
          <w:szCs w:val="24"/>
        </w:rPr>
        <w:t xml:space="preserve">  The same can be said of the evidence of S.G.M; N.N.; and M.D, whose evidence </w:t>
      </w:r>
      <w:r w:rsidR="009D7002" w:rsidRPr="007E372C">
        <w:rPr>
          <w:rFonts w:ascii="Arial" w:hAnsi="Arial" w:cs="Arial"/>
          <w:sz w:val="24"/>
          <w:szCs w:val="24"/>
        </w:rPr>
        <w:t>corroborated</w:t>
      </w:r>
      <w:r w:rsidR="00651B58" w:rsidRPr="007E372C">
        <w:rPr>
          <w:rFonts w:ascii="Arial" w:hAnsi="Arial" w:cs="Arial"/>
          <w:sz w:val="24"/>
          <w:szCs w:val="24"/>
        </w:rPr>
        <w:t xml:space="preserve"> that of the accused,</w:t>
      </w:r>
      <w:r w:rsidR="009D7002" w:rsidRPr="007E372C">
        <w:rPr>
          <w:rFonts w:ascii="Arial" w:hAnsi="Arial" w:cs="Arial"/>
          <w:sz w:val="24"/>
          <w:szCs w:val="24"/>
        </w:rPr>
        <w:t xml:space="preserve"> in all material respects</w:t>
      </w:r>
      <w:r w:rsidR="00651B58" w:rsidRPr="007E372C">
        <w:rPr>
          <w:rFonts w:ascii="Arial" w:hAnsi="Arial" w:cs="Arial"/>
          <w:sz w:val="24"/>
          <w:szCs w:val="24"/>
        </w:rPr>
        <w:t xml:space="preserve">.  </w:t>
      </w:r>
      <w:r w:rsidR="009D7002" w:rsidRPr="007E372C">
        <w:rPr>
          <w:rFonts w:ascii="Arial" w:hAnsi="Arial" w:cs="Arial"/>
          <w:sz w:val="24"/>
          <w:szCs w:val="24"/>
        </w:rPr>
        <w:t xml:space="preserve">I am alive to the minor discrepancies in their evidence, such as N.N.’s </w:t>
      </w:r>
      <w:r w:rsidR="00651B58" w:rsidRPr="007E372C">
        <w:rPr>
          <w:rFonts w:ascii="Arial" w:hAnsi="Arial" w:cs="Arial"/>
          <w:sz w:val="24"/>
          <w:szCs w:val="24"/>
        </w:rPr>
        <w:t>version</w:t>
      </w:r>
      <w:r w:rsidR="009D7002" w:rsidRPr="007E372C">
        <w:rPr>
          <w:rFonts w:ascii="Arial" w:hAnsi="Arial" w:cs="Arial"/>
          <w:sz w:val="24"/>
          <w:szCs w:val="24"/>
        </w:rPr>
        <w:t xml:space="preserve"> as to why the accused did not attend work on 4 January 2021, but nothing turns on this.  This in any event was inconsistent with the evidence of M.D., who worked together with the accused at the relevant time, and whose evidence accorded with that of the accused.</w:t>
      </w:r>
    </w:p>
    <w:p w14:paraId="13B0F526" w14:textId="6E31BD1B" w:rsidR="009D7002" w:rsidRDefault="009D7002" w:rsidP="00454CD7">
      <w:pPr>
        <w:pStyle w:val="ListParagraph"/>
        <w:spacing w:after="0" w:line="480" w:lineRule="auto"/>
        <w:ind w:left="851"/>
        <w:jc w:val="both"/>
        <w:rPr>
          <w:rFonts w:ascii="Arial" w:hAnsi="Arial" w:cs="Arial"/>
          <w:sz w:val="24"/>
          <w:szCs w:val="24"/>
        </w:rPr>
      </w:pPr>
    </w:p>
    <w:p w14:paraId="670A18F3" w14:textId="1D894878" w:rsidR="00356A4F" w:rsidRPr="007E372C" w:rsidRDefault="007E372C" w:rsidP="007E372C">
      <w:pPr>
        <w:spacing w:after="0" w:line="480" w:lineRule="auto"/>
        <w:ind w:left="851" w:hanging="851"/>
        <w:jc w:val="both"/>
        <w:rPr>
          <w:rFonts w:ascii="Arial" w:hAnsi="Arial" w:cs="Arial"/>
          <w:sz w:val="24"/>
          <w:szCs w:val="24"/>
        </w:rPr>
      </w:pPr>
      <w:r w:rsidRPr="00407785">
        <w:rPr>
          <w:rFonts w:ascii="Arial" w:hAnsi="Arial" w:cs="Arial"/>
          <w:sz w:val="24"/>
          <w:szCs w:val="24"/>
        </w:rPr>
        <w:t>[44]</w:t>
      </w:r>
      <w:r w:rsidRPr="00407785">
        <w:rPr>
          <w:rFonts w:ascii="Arial" w:hAnsi="Arial" w:cs="Arial"/>
          <w:sz w:val="24"/>
          <w:szCs w:val="24"/>
        </w:rPr>
        <w:tab/>
      </w:r>
      <w:r w:rsidR="009D7002" w:rsidRPr="007E372C">
        <w:rPr>
          <w:rFonts w:ascii="Arial" w:hAnsi="Arial" w:cs="Arial"/>
          <w:sz w:val="24"/>
          <w:szCs w:val="24"/>
        </w:rPr>
        <w:t>Unsurprisingly, in argument,</w:t>
      </w:r>
      <w:r w:rsidR="00356A4F" w:rsidRPr="007E372C">
        <w:rPr>
          <w:rFonts w:ascii="Arial" w:hAnsi="Arial" w:cs="Arial"/>
          <w:sz w:val="24"/>
          <w:szCs w:val="24"/>
        </w:rPr>
        <w:t xml:space="preserve"> the state levelled</w:t>
      </w:r>
      <w:r w:rsidR="009D7002" w:rsidRPr="007E372C">
        <w:rPr>
          <w:rFonts w:ascii="Arial" w:hAnsi="Arial" w:cs="Arial"/>
          <w:sz w:val="24"/>
          <w:szCs w:val="24"/>
        </w:rPr>
        <w:t xml:space="preserve"> no criticism</w:t>
      </w:r>
      <w:r w:rsidR="005A43D6" w:rsidRPr="007E372C">
        <w:rPr>
          <w:rFonts w:ascii="Arial" w:hAnsi="Arial" w:cs="Arial"/>
          <w:sz w:val="24"/>
          <w:szCs w:val="24"/>
        </w:rPr>
        <w:t xml:space="preserve"> of any significance</w:t>
      </w:r>
      <w:r w:rsidR="009D7002" w:rsidRPr="007E372C">
        <w:rPr>
          <w:rFonts w:ascii="Arial" w:hAnsi="Arial" w:cs="Arial"/>
          <w:sz w:val="24"/>
          <w:szCs w:val="24"/>
        </w:rPr>
        <w:t xml:space="preserve"> </w:t>
      </w:r>
      <w:r w:rsidR="00356A4F" w:rsidRPr="007E372C">
        <w:rPr>
          <w:rFonts w:ascii="Arial" w:hAnsi="Arial" w:cs="Arial"/>
          <w:sz w:val="24"/>
          <w:szCs w:val="24"/>
        </w:rPr>
        <w:t xml:space="preserve">against the evidence of the accused or that of his witnesses. </w:t>
      </w:r>
    </w:p>
    <w:p w14:paraId="096C1273" w14:textId="77777777" w:rsidR="00356A4F" w:rsidRPr="00407785" w:rsidRDefault="00356A4F" w:rsidP="00407785">
      <w:pPr>
        <w:pStyle w:val="ListParagraph"/>
        <w:spacing w:after="0" w:line="480" w:lineRule="auto"/>
        <w:rPr>
          <w:rFonts w:ascii="Arial" w:hAnsi="Arial" w:cs="Arial"/>
          <w:sz w:val="24"/>
          <w:szCs w:val="24"/>
        </w:rPr>
      </w:pPr>
    </w:p>
    <w:p w14:paraId="773F1D5B" w14:textId="4484B8CB" w:rsidR="00407785"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[45]</w:t>
      </w:r>
      <w:r>
        <w:rPr>
          <w:rFonts w:ascii="Arial" w:hAnsi="Arial" w:cs="Arial"/>
          <w:sz w:val="24"/>
          <w:szCs w:val="24"/>
        </w:rPr>
        <w:tab/>
      </w:r>
      <w:r w:rsidR="00407785" w:rsidRPr="007E372C">
        <w:rPr>
          <w:rFonts w:ascii="Arial" w:hAnsi="Arial" w:cs="Arial"/>
          <w:sz w:val="24"/>
          <w:szCs w:val="24"/>
        </w:rPr>
        <w:t>Cases involving the leading of evidence from young witnesses are undoubtably difficult.  This is more so in cases concerning alleged sexual offences.</w:t>
      </w:r>
      <w:r w:rsidR="00C25629" w:rsidRPr="007E372C">
        <w:rPr>
          <w:rFonts w:ascii="Arial" w:hAnsi="Arial" w:cs="Arial"/>
          <w:sz w:val="24"/>
          <w:szCs w:val="24"/>
        </w:rPr>
        <w:t xml:space="preserve">  This case was no exception.  </w:t>
      </w:r>
      <w:r w:rsidR="00407785" w:rsidRPr="007E372C">
        <w:rPr>
          <w:rFonts w:ascii="Arial" w:hAnsi="Arial" w:cs="Arial"/>
          <w:sz w:val="24"/>
          <w:szCs w:val="24"/>
        </w:rPr>
        <w:t xml:space="preserve"> </w:t>
      </w:r>
    </w:p>
    <w:p w14:paraId="4B5635ED" w14:textId="77777777" w:rsidR="00407785" w:rsidRPr="00407785" w:rsidRDefault="00407785" w:rsidP="00407785">
      <w:pPr>
        <w:pStyle w:val="ListParagraph"/>
        <w:spacing w:after="0" w:line="480" w:lineRule="auto"/>
        <w:rPr>
          <w:rFonts w:ascii="Arial" w:hAnsi="Arial" w:cs="Arial"/>
          <w:sz w:val="24"/>
          <w:szCs w:val="24"/>
        </w:rPr>
      </w:pPr>
    </w:p>
    <w:p w14:paraId="2CCC011C" w14:textId="598415CE" w:rsidR="00407785"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[46]</w:t>
      </w:r>
      <w:r>
        <w:rPr>
          <w:rFonts w:ascii="Arial" w:hAnsi="Arial" w:cs="Arial"/>
          <w:sz w:val="24"/>
          <w:szCs w:val="24"/>
        </w:rPr>
        <w:tab/>
      </w:r>
      <w:r w:rsidR="00407785" w:rsidRPr="007E372C">
        <w:rPr>
          <w:rFonts w:ascii="Arial" w:hAnsi="Arial" w:cs="Arial"/>
          <w:sz w:val="24"/>
          <w:szCs w:val="24"/>
        </w:rPr>
        <w:t xml:space="preserve">In </w:t>
      </w:r>
      <w:r w:rsidR="00407785" w:rsidRPr="007E372C">
        <w:rPr>
          <w:rFonts w:ascii="Arial" w:hAnsi="Arial" w:cs="Arial"/>
          <w:i/>
          <w:iCs/>
          <w:sz w:val="24"/>
          <w:szCs w:val="24"/>
        </w:rPr>
        <w:t>S v Vilakazi</w:t>
      </w:r>
      <w:r w:rsidR="00407785" w:rsidRPr="007E372C">
        <w:rPr>
          <w:rFonts w:ascii="Arial" w:hAnsi="Arial" w:cs="Arial"/>
          <w:sz w:val="24"/>
          <w:szCs w:val="24"/>
        </w:rPr>
        <w:t>,</w:t>
      </w:r>
      <w:r w:rsidR="006E7D3D">
        <w:rPr>
          <w:rStyle w:val="FootnoteReference"/>
          <w:rFonts w:ascii="Arial" w:hAnsi="Arial" w:cs="Arial"/>
          <w:sz w:val="24"/>
          <w:szCs w:val="24"/>
        </w:rPr>
        <w:footnoteReference w:id="2"/>
      </w:r>
      <w:r w:rsidR="00407785" w:rsidRPr="007E372C">
        <w:rPr>
          <w:rFonts w:ascii="Arial" w:hAnsi="Arial" w:cs="Arial"/>
          <w:sz w:val="24"/>
          <w:szCs w:val="24"/>
        </w:rPr>
        <w:t xml:space="preserve"> Nugent JA observed as follows</w:t>
      </w:r>
      <w:r w:rsidR="006E7D3D" w:rsidRPr="007E372C">
        <w:rPr>
          <w:rFonts w:ascii="Arial" w:hAnsi="Arial" w:cs="Arial"/>
          <w:sz w:val="24"/>
          <w:szCs w:val="24"/>
        </w:rPr>
        <w:t xml:space="preserve"> at paragraph [21]</w:t>
      </w:r>
      <w:r w:rsidR="00407785" w:rsidRPr="007E372C">
        <w:rPr>
          <w:rFonts w:ascii="Arial" w:hAnsi="Arial" w:cs="Arial"/>
          <w:sz w:val="24"/>
          <w:szCs w:val="24"/>
        </w:rPr>
        <w:t>:</w:t>
      </w:r>
    </w:p>
    <w:p w14:paraId="29536591" w14:textId="77777777" w:rsidR="00407785" w:rsidRPr="00407785" w:rsidRDefault="00407785" w:rsidP="00407785">
      <w:pPr>
        <w:pStyle w:val="ListParagraph"/>
        <w:rPr>
          <w:rFonts w:ascii="Arial" w:hAnsi="Arial" w:cs="Arial"/>
          <w:sz w:val="24"/>
          <w:szCs w:val="24"/>
        </w:rPr>
      </w:pPr>
    </w:p>
    <w:p w14:paraId="713C3CB9" w14:textId="25B2DA41" w:rsidR="00407785" w:rsidRPr="00CD4421" w:rsidRDefault="006E7D3D" w:rsidP="00005339">
      <w:pPr>
        <w:pStyle w:val="ListParagraph"/>
        <w:spacing w:after="0" w:line="360" w:lineRule="auto"/>
        <w:ind w:left="851"/>
        <w:jc w:val="both"/>
        <w:rPr>
          <w:rFonts w:ascii="Arial" w:hAnsi="Arial" w:cs="Arial"/>
        </w:rPr>
      </w:pPr>
      <w:r w:rsidRPr="00CD4421">
        <w:rPr>
          <w:rFonts w:ascii="Arial" w:hAnsi="Arial" w:cs="Arial"/>
        </w:rPr>
        <w:t>“</w:t>
      </w:r>
      <w:r w:rsidR="00407785" w:rsidRPr="00CD4421">
        <w:rPr>
          <w:rFonts w:ascii="Arial" w:hAnsi="Arial" w:cs="Arial"/>
          <w:i/>
          <w:iCs/>
        </w:rPr>
        <w:t xml:space="preserve">The prosecution of rape presents peculiar difficulties that always call for the greatest care to be taken, and even more so where the complainant is young. From prosecutors it calls for thoughtful preparation, patient and sensitive presentation of all the available evidence, and meticulous attention to detail. From judicial officers who try such cases it calls for accurate understanding and careful analysis of all the evidence. For it is in the nature of such cases that the available evidence is often </w:t>
      </w:r>
      <w:r w:rsidR="00407785" w:rsidRPr="00CD4421">
        <w:rPr>
          <w:rFonts w:ascii="Arial" w:hAnsi="Arial" w:cs="Arial"/>
          <w:i/>
          <w:iCs/>
        </w:rPr>
        <w:lastRenderedPageBreak/>
        <w:t>scant and many prosecutions fail for that reason alone. In those circumstances each detail can be vitally important.</w:t>
      </w:r>
      <w:r w:rsidRPr="00CD4421">
        <w:rPr>
          <w:rFonts w:ascii="Arial" w:hAnsi="Arial" w:cs="Arial"/>
        </w:rPr>
        <w:t>”</w:t>
      </w:r>
    </w:p>
    <w:p w14:paraId="2EF28C27" w14:textId="3DE58BF2" w:rsidR="00407785" w:rsidRDefault="00407785" w:rsidP="00407785">
      <w:pPr>
        <w:pStyle w:val="ListParagraph"/>
        <w:spacing w:after="0" w:line="480" w:lineRule="auto"/>
        <w:ind w:left="851"/>
        <w:jc w:val="both"/>
        <w:rPr>
          <w:rFonts w:ascii="Arial" w:hAnsi="Arial" w:cs="Arial"/>
          <w:sz w:val="24"/>
          <w:szCs w:val="24"/>
        </w:rPr>
      </w:pPr>
    </w:p>
    <w:p w14:paraId="55E81FA7" w14:textId="59DBF72A" w:rsidR="000A623F"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[47]</w:t>
      </w:r>
      <w:r>
        <w:rPr>
          <w:rFonts w:ascii="Arial" w:hAnsi="Arial" w:cs="Arial"/>
          <w:sz w:val="24"/>
          <w:szCs w:val="24"/>
        </w:rPr>
        <w:tab/>
      </w:r>
      <w:r w:rsidR="002D07F3" w:rsidRPr="007E372C">
        <w:rPr>
          <w:rFonts w:ascii="Arial" w:hAnsi="Arial" w:cs="Arial"/>
          <w:sz w:val="24"/>
          <w:szCs w:val="24"/>
        </w:rPr>
        <w:t xml:space="preserve">In </w:t>
      </w:r>
      <w:r w:rsidR="00407785" w:rsidRPr="007E372C">
        <w:rPr>
          <w:rFonts w:ascii="Arial" w:hAnsi="Arial" w:cs="Arial"/>
          <w:i/>
          <w:iCs/>
          <w:sz w:val="24"/>
          <w:szCs w:val="24"/>
        </w:rPr>
        <w:t>Woji v Santam Insurance Co Ltd</w:t>
      </w:r>
      <w:r w:rsidR="002D07F3" w:rsidRPr="007E372C">
        <w:rPr>
          <w:rFonts w:ascii="Arial" w:hAnsi="Arial" w:cs="Arial"/>
          <w:i/>
          <w:iCs/>
          <w:sz w:val="24"/>
          <w:szCs w:val="24"/>
        </w:rPr>
        <w:t>,</w:t>
      </w:r>
      <w:r w:rsidR="002D07F3" w:rsidRPr="002D07F3">
        <w:rPr>
          <w:rStyle w:val="FootnoteReference"/>
          <w:rFonts w:ascii="Arial" w:hAnsi="Arial" w:cs="Arial"/>
          <w:sz w:val="24"/>
          <w:szCs w:val="24"/>
        </w:rPr>
        <w:footnoteReference w:id="3"/>
      </w:r>
      <w:r w:rsidR="00407785" w:rsidRPr="007E372C">
        <w:rPr>
          <w:rFonts w:ascii="Arial" w:hAnsi="Arial" w:cs="Arial"/>
          <w:sz w:val="24"/>
          <w:szCs w:val="24"/>
        </w:rPr>
        <w:t xml:space="preserve"> the court </w:t>
      </w:r>
      <w:r w:rsidR="00EF5EB3" w:rsidRPr="007E372C">
        <w:rPr>
          <w:rFonts w:ascii="Arial" w:hAnsi="Arial" w:cs="Arial"/>
          <w:sz w:val="24"/>
          <w:szCs w:val="24"/>
        </w:rPr>
        <w:t>found</w:t>
      </w:r>
      <w:r w:rsidR="00407785" w:rsidRPr="007E372C">
        <w:rPr>
          <w:rFonts w:ascii="Arial" w:hAnsi="Arial" w:cs="Arial"/>
          <w:sz w:val="24"/>
          <w:szCs w:val="24"/>
        </w:rPr>
        <w:t xml:space="preserve"> that, just as with the evidence of any witness, a child’s evidence must be assessed with regard</w:t>
      </w:r>
      <w:r w:rsidR="00EF5EB3" w:rsidRPr="007E372C">
        <w:rPr>
          <w:rFonts w:ascii="Arial" w:hAnsi="Arial" w:cs="Arial"/>
          <w:sz w:val="24"/>
          <w:szCs w:val="24"/>
        </w:rPr>
        <w:t>s</w:t>
      </w:r>
      <w:r w:rsidR="00407785" w:rsidRPr="007E372C">
        <w:rPr>
          <w:rFonts w:ascii="Arial" w:hAnsi="Arial" w:cs="Arial"/>
          <w:sz w:val="24"/>
          <w:szCs w:val="24"/>
        </w:rPr>
        <w:t xml:space="preserve"> to the witness’s evident powers of observation</w:t>
      </w:r>
      <w:r w:rsidR="00EF5EB3" w:rsidRPr="007E372C">
        <w:rPr>
          <w:rFonts w:ascii="Arial" w:hAnsi="Arial" w:cs="Arial"/>
          <w:sz w:val="24"/>
          <w:szCs w:val="24"/>
        </w:rPr>
        <w:t>; their</w:t>
      </w:r>
      <w:r w:rsidR="00407785" w:rsidRPr="007E372C">
        <w:rPr>
          <w:rFonts w:ascii="Arial" w:hAnsi="Arial" w:cs="Arial"/>
          <w:sz w:val="24"/>
          <w:szCs w:val="24"/>
        </w:rPr>
        <w:t xml:space="preserve"> capacity of narration</w:t>
      </w:r>
      <w:r w:rsidR="00EF5EB3" w:rsidRPr="007E372C">
        <w:rPr>
          <w:rFonts w:ascii="Arial" w:hAnsi="Arial" w:cs="Arial"/>
          <w:sz w:val="24"/>
          <w:szCs w:val="24"/>
        </w:rPr>
        <w:t>;</w:t>
      </w:r>
      <w:r w:rsidR="00407785" w:rsidRPr="007E372C">
        <w:rPr>
          <w:rFonts w:ascii="Arial" w:hAnsi="Arial" w:cs="Arial"/>
          <w:sz w:val="24"/>
          <w:szCs w:val="24"/>
        </w:rPr>
        <w:t xml:space="preserve"> and</w:t>
      </w:r>
      <w:r w:rsidR="00EF5EB3" w:rsidRPr="007E372C">
        <w:rPr>
          <w:rFonts w:ascii="Arial" w:hAnsi="Arial" w:cs="Arial"/>
          <w:sz w:val="24"/>
          <w:szCs w:val="24"/>
        </w:rPr>
        <w:t xml:space="preserve"> their</w:t>
      </w:r>
      <w:r w:rsidR="00407785" w:rsidRPr="007E372C">
        <w:rPr>
          <w:rFonts w:ascii="Arial" w:hAnsi="Arial" w:cs="Arial"/>
          <w:sz w:val="24"/>
          <w:szCs w:val="24"/>
        </w:rPr>
        <w:t xml:space="preserve"> trustworthiness</w:t>
      </w:r>
      <w:r w:rsidR="00EF5EB3" w:rsidRPr="007E372C">
        <w:rPr>
          <w:rFonts w:ascii="Arial" w:hAnsi="Arial" w:cs="Arial"/>
          <w:sz w:val="24"/>
          <w:szCs w:val="24"/>
        </w:rPr>
        <w:t xml:space="preserve">.  However, it was further pointed out, by the learned </w:t>
      </w:r>
      <w:r w:rsidR="00407785" w:rsidRPr="007E372C">
        <w:rPr>
          <w:rFonts w:ascii="Arial" w:hAnsi="Arial" w:cs="Arial"/>
          <w:sz w:val="24"/>
          <w:szCs w:val="24"/>
        </w:rPr>
        <w:t>judge of appeal</w:t>
      </w:r>
      <w:r w:rsidR="00EF5EB3" w:rsidRPr="007E372C">
        <w:rPr>
          <w:rFonts w:ascii="Arial" w:hAnsi="Arial" w:cs="Arial"/>
          <w:sz w:val="24"/>
          <w:szCs w:val="24"/>
        </w:rPr>
        <w:t xml:space="preserve">, </w:t>
      </w:r>
      <w:r w:rsidR="00407785" w:rsidRPr="007E372C">
        <w:rPr>
          <w:rFonts w:ascii="Arial" w:hAnsi="Arial" w:cs="Arial"/>
          <w:sz w:val="24"/>
          <w:szCs w:val="24"/>
        </w:rPr>
        <w:t xml:space="preserve">that </w:t>
      </w:r>
      <w:r w:rsidR="00EF5EB3" w:rsidRPr="007E372C">
        <w:rPr>
          <w:rFonts w:ascii="Arial" w:hAnsi="Arial" w:cs="Arial"/>
          <w:sz w:val="24"/>
          <w:szCs w:val="24"/>
        </w:rPr>
        <w:t>“</w:t>
      </w:r>
      <w:r w:rsidR="00EF5EB3" w:rsidRPr="007E372C">
        <w:rPr>
          <w:rFonts w:ascii="Arial" w:hAnsi="Arial" w:cs="Arial"/>
          <w:i/>
          <w:iCs/>
          <w:sz w:val="24"/>
          <w:szCs w:val="24"/>
        </w:rPr>
        <w:t>[a]</w:t>
      </w:r>
      <w:r w:rsidR="00407785" w:rsidRPr="007E372C">
        <w:rPr>
          <w:rFonts w:ascii="Arial" w:hAnsi="Arial" w:cs="Arial"/>
          <w:i/>
          <w:iCs/>
          <w:sz w:val="24"/>
          <w:szCs w:val="24"/>
        </w:rPr>
        <w:t>t the same time</w:t>
      </w:r>
      <w:r w:rsidR="00EF5EB3" w:rsidRPr="007E372C">
        <w:rPr>
          <w:rFonts w:ascii="Arial" w:hAnsi="Arial" w:cs="Arial"/>
          <w:i/>
          <w:iCs/>
          <w:sz w:val="24"/>
          <w:szCs w:val="24"/>
        </w:rPr>
        <w:t>,</w:t>
      </w:r>
      <w:r w:rsidR="00407785" w:rsidRPr="007E372C">
        <w:rPr>
          <w:rFonts w:ascii="Arial" w:hAnsi="Arial" w:cs="Arial"/>
          <w:i/>
          <w:iCs/>
          <w:sz w:val="24"/>
          <w:szCs w:val="24"/>
        </w:rPr>
        <w:t xml:space="preserve"> the danger of believing a child where evidence stands alone</w:t>
      </w:r>
      <w:r w:rsidR="00EF5EB3" w:rsidRPr="007E372C">
        <w:rPr>
          <w:rFonts w:ascii="Arial" w:hAnsi="Arial" w:cs="Arial"/>
          <w:i/>
          <w:iCs/>
          <w:sz w:val="24"/>
          <w:szCs w:val="24"/>
        </w:rPr>
        <w:t>,</w:t>
      </w:r>
      <w:r w:rsidR="00407785" w:rsidRPr="007E372C">
        <w:rPr>
          <w:rFonts w:ascii="Arial" w:hAnsi="Arial" w:cs="Arial"/>
          <w:i/>
          <w:iCs/>
          <w:sz w:val="24"/>
          <w:szCs w:val="24"/>
        </w:rPr>
        <w:t xml:space="preserve"> must not be underrated</w:t>
      </w:r>
      <w:r w:rsidR="00EF5EB3" w:rsidRPr="007E372C">
        <w:rPr>
          <w:rFonts w:ascii="Arial" w:hAnsi="Arial" w:cs="Arial"/>
          <w:sz w:val="24"/>
          <w:szCs w:val="24"/>
        </w:rPr>
        <w:t xml:space="preserve">”.  </w:t>
      </w:r>
    </w:p>
    <w:p w14:paraId="0A9C5706" w14:textId="77777777" w:rsidR="000A623F" w:rsidRDefault="000A623F" w:rsidP="000A623F">
      <w:pPr>
        <w:pStyle w:val="ListParagraph"/>
        <w:spacing w:after="0" w:line="480" w:lineRule="auto"/>
        <w:ind w:left="851"/>
        <w:jc w:val="both"/>
        <w:rPr>
          <w:rFonts w:ascii="Arial" w:hAnsi="Arial" w:cs="Arial"/>
          <w:sz w:val="24"/>
          <w:szCs w:val="24"/>
        </w:rPr>
      </w:pPr>
    </w:p>
    <w:p w14:paraId="028A438C" w14:textId="1FACB9D8" w:rsidR="00EF5EB3"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[48]</w:t>
      </w:r>
      <w:r>
        <w:rPr>
          <w:rFonts w:ascii="Arial" w:hAnsi="Arial" w:cs="Arial"/>
          <w:sz w:val="24"/>
          <w:szCs w:val="24"/>
        </w:rPr>
        <w:tab/>
      </w:r>
      <w:r w:rsidR="00EF5EB3" w:rsidRPr="007E372C">
        <w:rPr>
          <w:rFonts w:ascii="Arial" w:hAnsi="Arial" w:cs="Arial"/>
          <w:sz w:val="24"/>
          <w:szCs w:val="24"/>
        </w:rPr>
        <w:t xml:space="preserve">This observation had previously been referred to </w:t>
      </w:r>
      <w:r w:rsidR="00407785" w:rsidRPr="007E372C">
        <w:rPr>
          <w:rFonts w:ascii="Arial" w:hAnsi="Arial" w:cs="Arial"/>
          <w:sz w:val="24"/>
          <w:szCs w:val="24"/>
        </w:rPr>
        <w:t>by Schreiner JA</w:t>
      </w:r>
      <w:r w:rsidR="00EF5EB3" w:rsidRPr="007E372C">
        <w:rPr>
          <w:rFonts w:ascii="Arial" w:hAnsi="Arial" w:cs="Arial"/>
          <w:sz w:val="24"/>
          <w:szCs w:val="24"/>
        </w:rPr>
        <w:t>,</w:t>
      </w:r>
      <w:r w:rsidR="00407785" w:rsidRPr="007E372C">
        <w:rPr>
          <w:rFonts w:ascii="Arial" w:hAnsi="Arial" w:cs="Arial"/>
          <w:sz w:val="24"/>
          <w:szCs w:val="24"/>
        </w:rPr>
        <w:t xml:space="preserve"> in </w:t>
      </w:r>
      <w:r w:rsidR="00407785" w:rsidRPr="007E372C">
        <w:rPr>
          <w:rFonts w:ascii="Arial" w:hAnsi="Arial" w:cs="Arial"/>
          <w:i/>
          <w:iCs/>
          <w:sz w:val="24"/>
          <w:szCs w:val="24"/>
        </w:rPr>
        <w:t>R v Manda</w:t>
      </w:r>
      <w:r w:rsidR="00EF5EB3" w:rsidRPr="007E372C">
        <w:rPr>
          <w:rFonts w:ascii="Arial" w:hAnsi="Arial" w:cs="Arial"/>
          <w:i/>
          <w:iCs/>
          <w:sz w:val="24"/>
          <w:szCs w:val="24"/>
        </w:rPr>
        <w:t>,</w:t>
      </w:r>
      <w:r w:rsidR="00EF5EB3" w:rsidRPr="00EF5EB3">
        <w:rPr>
          <w:rStyle w:val="FootnoteReference"/>
          <w:rFonts w:ascii="Arial" w:hAnsi="Arial" w:cs="Arial"/>
          <w:sz w:val="24"/>
          <w:szCs w:val="24"/>
        </w:rPr>
        <w:footnoteReference w:id="4"/>
      </w:r>
      <w:r w:rsidR="00407785" w:rsidRPr="007E372C">
        <w:rPr>
          <w:rFonts w:ascii="Arial" w:hAnsi="Arial" w:cs="Arial"/>
          <w:sz w:val="24"/>
          <w:szCs w:val="24"/>
        </w:rPr>
        <w:t xml:space="preserve"> </w:t>
      </w:r>
      <w:r w:rsidR="00EF5EB3" w:rsidRPr="007E372C">
        <w:rPr>
          <w:rFonts w:ascii="Arial" w:hAnsi="Arial" w:cs="Arial"/>
          <w:sz w:val="24"/>
          <w:szCs w:val="24"/>
        </w:rPr>
        <w:t>in which i</w:t>
      </w:r>
      <w:r w:rsidR="000A623F" w:rsidRPr="007E372C">
        <w:rPr>
          <w:rFonts w:ascii="Arial" w:hAnsi="Arial" w:cs="Arial"/>
          <w:sz w:val="24"/>
          <w:szCs w:val="24"/>
        </w:rPr>
        <w:t>t</w:t>
      </w:r>
      <w:r w:rsidR="00EF5EB3" w:rsidRPr="007E372C">
        <w:rPr>
          <w:rFonts w:ascii="Arial" w:hAnsi="Arial" w:cs="Arial"/>
          <w:sz w:val="24"/>
          <w:szCs w:val="24"/>
        </w:rPr>
        <w:t xml:space="preserve"> was stated that:</w:t>
      </w:r>
    </w:p>
    <w:p w14:paraId="04E1E969" w14:textId="77777777" w:rsidR="00EF5EB3" w:rsidRDefault="00EF5EB3" w:rsidP="00EF5EB3">
      <w:pPr>
        <w:pStyle w:val="ListParagraph"/>
        <w:spacing w:after="0" w:line="480" w:lineRule="auto"/>
        <w:ind w:left="851"/>
        <w:jc w:val="both"/>
        <w:rPr>
          <w:rFonts w:ascii="Arial" w:hAnsi="Arial" w:cs="Arial"/>
          <w:sz w:val="24"/>
          <w:szCs w:val="24"/>
        </w:rPr>
      </w:pPr>
    </w:p>
    <w:p w14:paraId="29F79341" w14:textId="3C0817B1" w:rsidR="00407785" w:rsidRPr="00CD4421" w:rsidRDefault="00EF5EB3" w:rsidP="000A623F">
      <w:pPr>
        <w:pStyle w:val="ListParagraph"/>
        <w:spacing w:after="0" w:line="360" w:lineRule="auto"/>
        <w:ind w:left="851"/>
        <w:jc w:val="both"/>
        <w:rPr>
          <w:rFonts w:ascii="Arial" w:hAnsi="Arial" w:cs="Arial"/>
        </w:rPr>
      </w:pPr>
      <w:r w:rsidRPr="00CD4421">
        <w:rPr>
          <w:rFonts w:ascii="Arial" w:hAnsi="Arial" w:cs="Arial"/>
        </w:rPr>
        <w:t>“</w:t>
      </w:r>
      <w:r w:rsidRPr="00CD4421">
        <w:rPr>
          <w:rFonts w:ascii="Arial" w:hAnsi="Arial" w:cs="Arial"/>
          <w:i/>
          <w:iCs/>
        </w:rPr>
        <w:t xml:space="preserve">… </w:t>
      </w:r>
      <w:r w:rsidR="00407785" w:rsidRPr="00CD4421">
        <w:rPr>
          <w:rFonts w:ascii="Arial" w:hAnsi="Arial" w:cs="Arial"/>
          <w:i/>
          <w:iCs/>
        </w:rPr>
        <w:t xml:space="preserve">the dangers inherent in reliance upon the uncorroborated evidence of a young child must not be underrated. </w:t>
      </w:r>
      <w:r w:rsidRPr="00CD4421">
        <w:rPr>
          <w:rFonts w:ascii="Arial" w:hAnsi="Arial" w:cs="Arial"/>
          <w:i/>
          <w:iCs/>
        </w:rPr>
        <w:t xml:space="preserve"> </w:t>
      </w:r>
      <w:r w:rsidR="00407785" w:rsidRPr="00CD4421">
        <w:rPr>
          <w:rFonts w:ascii="Arial" w:hAnsi="Arial" w:cs="Arial"/>
          <w:i/>
          <w:iCs/>
        </w:rPr>
        <w:t>The imaginativeness and suggestibility of children are only two of a number of elements that require their evidence to be scrutinised with care amounting, perhaps, to suspicion. … The trial court must fully appreciate the dangers inherent in the acceptance of such evidence</w:t>
      </w:r>
      <w:r w:rsidRPr="00CD4421">
        <w:rPr>
          <w:rFonts w:ascii="Arial" w:hAnsi="Arial" w:cs="Arial"/>
          <w:i/>
          <w:iCs/>
        </w:rPr>
        <w:t>.</w:t>
      </w:r>
      <w:r w:rsidRPr="00CD4421">
        <w:rPr>
          <w:rFonts w:ascii="Arial" w:hAnsi="Arial" w:cs="Arial"/>
        </w:rPr>
        <w:t>”</w:t>
      </w:r>
    </w:p>
    <w:p w14:paraId="19D8EB59" w14:textId="77777777" w:rsidR="00407785" w:rsidRPr="00407785" w:rsidRDefault="00407785" w:rsidP="00407785">
      <w:pPr>
        <w:pStyle w:val="ListParagraph"/>
        <w:spacing w:after="0" w:line="480" w:lineRule="auto"/>
        <w:ind w:left="851"/>
        <w:jc w:val="both"/>
        <w:rPr>
          <w:rFonts w:ascii="Arial" w:hAnsi="Arial" w:cs="Arial"/>
          <w:sz w:val="24"/>
          <w:szCs w:val="24"/>
        </w:rPr>
      </w:pPr>
    </w:p>
    <w:p w14:paraId="61D0D4A3" w14:textId="5D24BE35" w:rsidR="00E057DE"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lastRenderedPageBreak/>
        <w:t>[49]</w:t>
      </w:r>
      <w:r>
        <w:rPr>
          <w:rFonts w:ascii="Arial" w:hAnsi="Arial" w:cs="Arial"/>
          <w:sz w:val="24"/>
          <w:szCs w:val="24"/>
        </w:rPr>
        <w:tab/>
      </w:r>
      <w:r w:rsidR="00EF5EB3" w:rsidRPr="007E372C">
        <w:rPr>
          <w:rFonts w:ascii="Arial" w:hAnsi="Arial" w:cs="Arial"/>
          <w:sz w:val="24"/>
          <w:szCs w:val="24"/>
        </w:rPr>
        <w:t>I am alive to such dangers.  I am</w:t>
      </w:r>
      <w:r w:rsidR="00DD483D" w:rsidRPr="007E372C">
        <w:rPr>
          <w:rFonts w:ascii="Arial" w:hAnsi="Arial" w:cs="Arial"/>
          <w:sz w:val="24"/>
          <w:szCs w:val="24"/>
        </w:rPr>
        <w:t xml:space="preserve"> also</w:t>
      </w:r>
      <w:r w:rsidR="00EF5EB3" w:rsidRPr="007E372C">
        <w:rPr>
          <w:rFonts w:ascii="Arial" w:hAnsi="Arial" w:cs="Arial"/>
          <w:sz w:val="24"/>
          <w:szCs w:val="24"/>
        </w:rPr>
        <w:t xml:space="preserve"> acutely aware that</w:t>
      </w:r>
      <w:r w:rsidR="00E057DE" w:rsidRPr="007E372C">
        <w:rPr>
          <w:rFonts w:ascii="Arial" w:hAnsi="Arial" w:cs="Arial"/>
          <w:sz w:val="24"/>
          <w:szCs w:val="24"/>
        </w:rPr>
        <w:t xml:space="preserve"> inconsistency in the evidence of a complainant is not always sufficient reason to reject</w:t>
      </w:r>
      <w:r w:rsidR="000A623F" w:rsidRPr="007E372C">
        <w:rPr>
          <w:rFonts w:ascii="Arial" w:hAnsi="Arial" w:cs="Arial"/>
          <w:sz w:val="24"/>
          <w:szCs w:val="24"/>
        </w:rPr>
        <w:t xml:space="preserve"> his or her</w:t>
      </w:r>
      <w:r w:rsidR="00E057DE" w:rsidRPr="007E372C">
        <w:rPr>
          <w:rFonts w:ascii="Arial" w:hAnsi="Arial" w:cs="Arial"/>
          <w:sz w:val="24"/>
          <w:szCs w:val="24"/>
        </w:rPr>
        <w:t xml:space="preserve"> evidence, and that such evidence needs to be adjudicated upon having regard to all the evidence</w:t>
      </w:r>
      <w:r w:rsidR="00C504B2" w:rsidRPr="007E372C">
        <w:rPr>
          <w:rFonts w:ascii="Arial" w:hAnsi="Arial" w:cs="Arial"/>
          <w:sz w:val="24"/>
          <w:szCs w:val="24"/>
        </w:rPr>
        <w:t xml:space="preserve"> before court</w:t>
      </w:r>
      <w:r w:rsidR="00E057DE" w:rsidRPr="007E372C">
        <w:rPr>
          <w:rFonts w:ascii="Arial" w:hAnsi="Arial" w:cs="Arial"/>
          <w:sz w:val="24"/>
          <w:szCs w:val="24"/>
        </w:rPr>
        <w:t>.</w:t>
      </w:r>
      <w:r w:rsidR="00C25C4A" w:rsidRPr="007E372C">
        <w:rPr>
          <w:rFonts w:ascii="Arial" w:hAnsi="Arial" w:cs="Arial"/>
          <w:sz w:val="24"/>
          <w:szCs w:val="24"/>
        </w:rPr>
        <w:t xml:space="preserve">  The question which remains to be answered, is whether the state has prove</w:t>
      </w:r>
      <w:r w:rsidR="000A623F" w:rsidRPr="007E372C">
        <w:rPr>
          <w:rFonts w:ascii="Arial" w:hAnsi="Arial" w:cs="Arial"/>
          <w:sz w:val="24"/>
          <w:szCs w:val="24"/>
        </w:rPr>
        <w:t>d</w:t>
      </w:r>
      <w:r w:rsidR="00C25C4A" w:rsidRPr="007E372C">
        <w:rPr>
          <w:rFonts w:ascii="Arial" w:hAnsi="Arial" w:cs="Arial"/>
          <w:sz w:val="24"/>
          <w:szCs w:val="24"/>
        </w:rPr>
        <w:t xml:space="preserve"> the accused’s guilt, beyond reasonable doubt.</w:t>
      </w:r>
    </w:p>
    <w:p w14:paraId="798107FC" w14:textId="29B46AB7" w:rsidR="00C25C4A" w:rsidRDefault="00C25C4A" w:rsidP="00C85A39">
      <w:pPr>
        <w:pStyle w:val="ListParagraph"/>
        <w:spacing w:after="0" w:line="480" w:lineRule="auto"/>
        <w:ind w:left="851"/>
        <w:jc w:val="both"/>
        <w:rPr>
          <w:rFonts w:ascii="Arial" w:hAnsi="Arial" w:cs="Arial"/>
          <w:sz w:val="24"/>
          <w:szCs w:val="24"/>
        </w:rPr>
      </w:pPr>
    </w:p>
    <w:p w14:paraId="73ACF0FA" w14:textId="7AD14F6F" w:rsidR="00C85A39" w:rsidRPr="007E372C" w:rsidRDefault="007E372C" w:rsidP="007E372C">
      <w:pPr>
        <w:spacing w:after="0" w:line="480" w:lineRule="auto"/>
        <w:ind w:left="851" w:hanging="851"/>
        <w:jc w:val="both"/>
        <w:rPr>
          <w:rFonts w:ascii="Arial" w:hAnsi="Arial" w:cs="Arial"/>
          <w:sz w:val="24"/>
          <w:szCs w:val="24"/>
          <w:shd w:val="clear" w:color="auto" w:fill="FFFFFF"/>
        </w:rPr>
      </w:pPr>
      <w:r w:rsidRPr="00407785">
        <w:rPr>
          <w:rFonts w:ascii="Arial" w:hAnsi="Arial" w:cs="Arial"/>
          <w:sz w:val="24"/>
          <w:szCs w:val="24"/>
        </w:rPr>
        <w:t>[50]</w:t>
      </w:r>
      <w:r w:rsidRPr="00407785">
        <w:rPr>
          <w:rFonts w:ascii="Arial" w:hAnsi="Arial" w:cs="Arial"/>
          <w:sz w:val="24"/>
          <w:szCs w:val="24"/>
        </w:rPr>
        <w:tab/>
      </w:r>
      <w:r w:rsidR="00C85A39" w:rsidRPr="007E372C">
        <w:rPr>
          <w:rFonts w:ascii="Arial" w:hAnsi="Arial" w:cs="Arial"/>
          <w:sz w:val="24"/>
          <w:szCs w:val="24"/>
          <w:shd w:val="clear" w:color="auto" w:fill="FFFFFF"/>
        </w:rPr>
        <w:t>What was termed ‘</w:t>
      </w:r>
      <w:r w:rsidR="00C85A39" w:rsidRPr="007E372C">
        <w:rPr>
          <w:rFonts w:ascii="Arial" w:hAnsi="Arial" w:cs="Arial"/>
          <w:i/>
          <w:iCs/>
          <w:sz w:val="24"/>
          <w:szCs w:val="24"/>
          <w:shd w:val="clear" w:color="auto" w:fill="FFFFFF"/>
        </w:rPr>
        <w:t>a compartmentalised approach</w:t>
      </w:r>
      <w:r w:rsidR="00C85A39" w:rsidRPr="007E372C">
        <w:rPr>
          <w:rFonts w:ascii="Arial" w:hAnsi="Arial" w:cs="Arial"/>
          <w:sz w:val="24"/>
          <w:szCs w:val="24"/>
          <w:shd w:val="clear" w:color="auto" w:fill="FFFFFF"/>
        </w:rPr>
        <w:t xml:space="preserve">’ to the assessment of evidence, was cautioned against in </w:t>
      </w:r>
      <w:r w:rsidR="00C85A39" w:rsidRPr="007E372C">
        <w:rPr>
          <w:rFonts w:ascii="Arial" w:hAnsi="Arial" w:cs="Arial"/>
          <w:i/>
          <w:iCs/>
          <w:sz w:val="24"/>
          <w:szCs w:val="24"/>
          <w:shd w:val="clear" w:color="auto" w:fill="FFFFFF"/>
        </w:rPr>
        <w:t>Stevens v S</w:t>
      </w:r>
      <w:r w:rsidR="00C85A39" w:rsidRPr="007E372C">
        <w:rPr>
          <w:rFonts w:ascii="Arial" w:hAnsi="Arial" w:cs="Arial"/>
          <w:sz w:val="24"/>
          <w:szCs w:val="24"/>
          <w:shd w:val="clear" w:color="auto" w:fill="FFFFFF"/>
        </w:rPr>
        <w:t>,</w:t>
      </w:r>
      <w:r w:rsidR="00C85A39">
        <w:rPr>
          <w:rStyle w:val="FootnoteReference"/>
          <w:rFonts w:ascii="Arial" w:hAnsi="Arial" w:cs="Arial"/>
          <w:sz w:val="24"/>
          <w:szCs w:val="24"/>
          <w:shd w:val="clear" w:color="auto" w:fill="FFFFFF"/>
        </w:rPr>
        <w:footnoteReference w:id="5"/>
      </w:r>
      <w:r w:rsidR="00C85A39" w:rsidRPr="007E372C">
        <w:rPr>
          <w:rFonts w:ascii="Arial" w:hAnsi="Arial" w:cs="Arial"/>
          <w:sz w:val="24"/>
          <w:szCs w:val="24"/>
          <w:shd w:val="clear" w:color="auto" w:fill="FFFFFF"/>
        </w:rPr>
        <w:t xml:space="preserve"> such approach being that which separates the evidence before the court into compartments by examining the ‘defence case’ in isolation from the ‘state’s case’. </w:t>
      </w:r>
    </w:p>
    <w:p w14:paraId="4CA59138" w14:textId="77777777" w:rsidR="00C85A39" w:rsidRPr="00407785" w:rsidRDefault="00C85A39" w:rsidP="00C85A39">
      <w:pPr>
        <w:pStyle w:val="ListParagraph"/>
        <w:spacing w:after="0" w:line="480" w:lineRule="auto"/>
        <w:ind w:left="851"/>
        <w:jc w:val="both"/>
        <w:rPr>
          <w:rFonts w:ascii="Arial" w:hAnsi="Arial" w:cs="Arial"/>
          <w:sz w:val="24"/>
          <w:szCs w:val="24"/>
          <w:shd w:val="clear" w:color="auto" w:fill="FFFFFF"/>
        </w:rPr>
      </w:pPr>
    </w:p>
    <w:p w14:paraId="06C0E87D" w14:textId="4C820FF0" w:rsidR="00C85A39" w:rsidRPr="007E372C" w:rsidRDefault="007E372C" w:rsidP="007E372C">
      <w:pPr>
        <w:spacing w:after="0" w:line="480" w:lineRule="auto"/>
        <w:ind w:left="851" w:hanging="851"/>
        <w:jc w:val="both"/>
        <w:rPr>
          <w:rFonts w:ascii="Arial" w:hAnsi="Arial" w:cs="Arial"/>
          <w:color w:val="242121"/>
          <w:sz w:val="24"/>
          <w:szCs w:val="24"/>
          <w:shd w:val="clear" w:color="auto" w:fill="FFFFFF"/>
        </w:rPr>
      </w:pPr>
      <w:r w:rsidRPr="00407785">
        <w:rPr>
          <w:rFonts w:ascii="Arial" w:hAnsi="Arial" w:cs="Arial"/>
          <w:color w:val="242121"/>
          <w:sz w:val="24"/>
          <w:szCs w:val="24"/>
        </w:rPr>
        <w:t>[51]</w:t>
      </w:r>
      <w:r w:rsidRPr="00407785">
        <w:rPr>
          <w:rFonts w:ascii="Arial" w:hAnsi="Arial" w:cs="Arial"/>
          <w:color w:val="242121"/>
          <w:sz w:val="24"/>
          <w:szCs w:val="24"/>
        </w:rPr>
        <w:tab/>
      </w:r>
      <w:r w:rsidR="00C85A39" w:rsidRPr="007E372C">
        <w:rPr>
          <w:rFonts w:ascii="Arial" w:hAnsi="Arial" w:cs="Arial"/>
          <w:sz w:val="24"/>
          <w:szCs w:val="24"/>
          <w:shd w:val="clear" w:color="auto" w:fill="FFFFFF"/>
        </w:rPr>
        <w:t>In </w:t>
      </w:r>
      <w:r w:rsidR="00C85A39" w:rsidRPr="007E372C">
        <w:rPr>
          <w:rFonts w:ascii="Arial" w:hAnsi="Arial" w:cs="Arial"/>
          <w:i/>
          <w:iCs/>
          <w:sz w:val="24"/>
          <w:szCs w:val="24"/>
          <w:shd w:val="clear" w:color="auto" w:fill="FFFFFF"/>
        </w:rPr>
        <w:t>S v Van der Meyden</w:t>
      </w:r>
      <w:r w:rsidR="006976FF" w:rsidRPr="007E372C">
        <w:rPr>
          <w:rFonts w:ascii="Arial" w:hAnsi="Arial" w:cs="Arial"/>
          <w:i/>
          <w:iCs/>
          <w:sz w:val="24"/>
          <w:szCs w:val="24"/>
          <w:shd w:val="clear" w:color="auto" w:fill="FFFFFF"/>
        </w:rPr>
        <w:t>,</w:t>
      </w:r>
      <w:r w:rsidR="006976FF" w:rsidRPr="006976FF">
        <w:rPr>
          <w:rStyle w:val="FootnoteReference"/>
          <w:rFonts w:ascii="Arial" w:hAnsi="Arial" w:cs="Arial"/>
          <w:sz w:val="24"/>
          <w:szCs w:val="24"/>
          <w:shd w:val="clear" w:color="auto" w:fill="FFFFFF"/>
        </w:rPr>
        <w:footnoteReference w:id="6"/>
      </w:r>
      <w:r w:rsidR="00C85A39" w:rsidRPr="007E372C">
        <w:rPr>
          <w:rFonts w:ascii="Arial" w:hAnsi="Arial" w:cs="Arial"/>
          <w:sz w:val="24"/>
          <w:szCs w:val="24"/>
          <w:shd w:val="clear" w:color="auto" w:fill="FFFFFF"/>
        </w:rPr>
        <w:t xml:space="preserve"> and as articulated by Nugent </w:t>
      </w:r>
      <w:r w:rsidR="00C85A39" w:rsidRPr="007E372C">
        <w:rPr>
          <w:rFonts w:ascii="Arial" w:hAnsi="Arial" w:cs="Arial"/>
          <w:color w:val="242121"/>
          <w:sz w:val="24"/>
          <w:szCs w:val="24"/>
          <w:shd w:val="clear" w:color="auto" w:fill="FFFFFF"/>
        </w:rPr>
        <w:t>J at 449c-450b:</w:t>
      </w:r>
    </w:p>
    <w:p w14:paraId="31A3C067" w14:textId="77777777" w:rsidR="00C85A39" w:rsidRPr="00407785" w:rsidRDefault="00C85A39" w:rsidP="00C85A39">
      <w:pPr>
        <w:spacing w:after="0" w:line="480" w:lineRule="auto"/>
        <w:ind w:left="851"/>
        <w:jc w:val="both"/>
        <w:rPr>
          <w:rStyle w:val="Hyperlink"/>
          <w:rFonts w:ascii="Arial" w:hAnsi="Arial" w:cs="Arial"/>
          <w:i/>
          <w:iCs/>
          <w:color w:val="auto"/>
          <w:sz w:val="24"/>
          <w:szCs w:val="24"/>
          <w:u w:val="none"/>
        </w:rPr>
      </w:pPr>
    </w:p>
    <w:p w14:paraId="721903B6" w14:textId="77777777" w:rsidR="00C85A39" w:rsidRPr="00CD4421" w:rsidRDefault="00C85A39" w:rsidP="00CD4421">
      <w:pPr>
        <w:spacing w:after="0" w:line="360" w:lineRule="auto"/>
        <w:ind w:left="851"/>
        <w:jc w:val="both"/>
        <w:rPr>
          <w:rStyle w:val="Hyperlink"/>
          <w:rFonts w:ascii="Arial" w:hAnsi="Arial" w:cs="Arial"/>
          <w:i/>
          <w:iCs/>
          <w:color w:val="auto"/>
          <w:u w:val="none"/>
        </w:rPr>
      </w:pPr>
      <w:r w:rsidRPr="00CD4421">
        <w:rPr>
          <w:rStyle w:val="Hyperlink"/>
          <w:rFonts w:ascii="Arial" w:hAnsi="Arial" w:cs="Arial"/>
          <w:i/>
          <w:iCs/>
          <w:color w:val="auto"/>
          <w:u w:val="none"/>
        </w:rPr>
        <w:t>‘Purely as a matter of logic, the prosecution evidence does not need to be rejected in order to conclude that there is a reasonable possibility that the accused might be innocent. But what is required in order to reach that conclusion is at least the equivalent possibility that the incriminating evidence might not be true. Evidence which incriminates the accused, and evidence which exculpates him, cannot both be true – there is not even a possibility that both might be true – the one is possibly true only if there is an equivalent possibility that the other is untrue. There will be cases where the State evidence is so convincing and conclusive as to exclude the reasonable possibility that the accused might be innocent, no matter that his evidence might suggest the contrary when viewed in isolation.</w:t>
      </w:r>
    </w:p>
    <w:p w14:paraId="44B04438" w14:textId="77777777" w:rsidR="00C85A39" w:rsidRPr="00CD4421" w:rsidRDefault="00C85A39" w:rsidP="00CD4421">
      <w:pPr>
        <w:spacing w:after="0" w:line="360" w:lineRule="auto"/>
        <w:ind w:left="851"/>
        <w:jc w:val="both"/>
        <w:rPr>
          <w:rStyle w:val="Hyperlink"/>
          <w:rFonts w:ascii="Arial" w:hAnsi="Arial" w:cs="Arial"/>
          <w:i/>
          <w:iCs/>
          <w:color w:val="auto"/>
          <w:u w:val="none"/>
        </w:rPr>
      </w:pPr>
      <w:r w:rsidRPr="00CD4421">
        <w:rPr>
          <w:rStyle w:val="Hyperlink"/>
          <w:rFonts w:ascii="Arial" w:hAnsi="Arial" w:cs="Arial"/>
          <w:i/>
          <w:iCs/>
          <w:color w:val="auto"/>
          <w:u w:val="none"/>
        </w:rPr>
        <w:t xml:space="preserve">. . . The proper test is that an accused is bound to be convicted if the evidence establishes his guilt beyond reasonable doubt, and the logical corollary is that he must be acquitted if it is reasonably possible that he might be innocent. The process of reasoning which is appropriate to the application of that test in any particular case will depend on the nature of the evidence which the court has before it. What must </w:t>
      </w:r>
      <w:r w:rsidRPr="00CD4421">
        <w:rPr>
          <w:rStyle w:val="Hyperlink"/>
          <w:rFonts w:ascii="Arial" w:hAnsi="Arial" w:cs="Arial"/>
          <w:i/>
          <w:iCs/>
          <w:color w:val="auto"/>
          <w:u w:val="none"/>
        </w:rPr>
        <w:lastRenderedPageBreak/>
        <w:t>be borne in mind, however, is that the conclusion which is reached (whether it be to convict or to acquit) must account for all the evidence. Some of the evidence might be found to be false; some of it might be found to be unreliable; and some of it might be found to be only possibly false or unreliable; but none of it may simply be ignored.’</w:t>
      </w:r>
    </w:p>
    <w:p w14:paraId="5A86BAC9" w14:textId="0B2AEDEA" w:rsidR="00C85A39" w:rsidRDefault="00C85A39" w:rsidP="00C85A39">
      <w:pPr>
        <w:pStyle w:val="ListParagraph"/>
        <w:spacing w:after="0" w:line="480" w:lineRule="auto"/>
        <w:ind w:left="851"/>
        <w:jc w:val="both"/>
        <w:rPr>
          <w:rFonts w:ascii="Arial" w:hAnsi="Arial" w:cs="Arial"/>
          <w:sz w:val="24"/>
          <w:szCs w:val="24"/>
        </w:rPr>
      </w:pPr>
    </w:p>
    <w:p w14:paraId="4269B866" w14:textId="2756F8BB" w:rsidR="006C41EC" w:rsidRPr="007E372C" w:rsidRDefault="007E372C" w:rsidP="007E372C">
      <w:pPr>
        <w:spacing w:after="0" w:line="480" w:lineRule="auto"/>
        <w:ind w:left="851" w:hanging="851"/>
        <w:jc w:val="both"/>
        <w:rPr>
          <w:rFonts w:ascii="Arial" w:hAnsi="Arial" w:cs="Arial"/>
          <w:sz w:val="24"/>
          <w:szCs w:val="24"/>
        </w:rPr>
      </w:pPr>
      <w:r w:rsidRPr="00B40BDA">
        <w:rPr>
          <w:rFonts w:ascii="Arial" w:hAnsi="Arial" w:cs="Arial"/>
          <w:sz w:val="24"/>
          <w:szCs w:val="24"/>
        </w:rPr>
        <w:t>[52]</w:t>
      </w:r>
      <w:r w:rsidRPr="00B40BDA">
        <w:rPr>
          <w:rFonts w:ascii="Arial" w:hAnsi="Arial" w:cs="Arial"/>
          <w:sz w:val="24"/>
          <w:szCs w:val="24"/>
        </w:rPr>
        <w:tab/>
      </w:r>
      <w:r w:rsidR="006C41EC" w:rsidRPr="007E372C">
        <w:rPr>
          <w:rFonts w:ascii="Arial" w:hAnsi="Arial" w:cs="Arial"/>
          <w:sz w:val="24"/>
          <w:szCs w:val="24"/>
        </w:rPr>
        <w:t>Where the evidence leaves room for reasonable doubt, it does not suffice for the purposes of convicting an accused person that the evidence establishes a case of suspicion, or even a strong suspicion.</w:t>
      </w:r>
      <w:r w:rsidR="004621AA">
        <w:rPr>
          <w:rStyle w:val="FootnoteReference"/>
          <w:rFonts w:ascii="Arial" w:hAnsi="Arial" w:cs="Arial"/>
          <w:sz w:val="24"/>
          <w:szCs w:val="24"/>
        </w:rPr>
        <w:footnoteReference w:id="7"/>
      </w:r>
    </w:p>
    <w:p w14:paraId="473E2B74" w14:textId="1CFD787A" w:rsidR="00C85A39" w:rsidRDefault="00C85A39" w:rsidP="004C72A1">
      <w:pPr>
        <w:pStyle w:val="ListParagraph"/>
        <w:spacing w:after="0" w:line="480" w:lineRule="auto"/>
        <w:ind w:left="851"/>
        <w:jc w:val="both"/>
        <w:rPr>
          <w:rFonts w:ascii="Arial" w:hAnsi="Arial" w:cs="Arial"/>
          <w:sz w:val="24"/>
          <w:szCs w:val="24"/>
        </w:rPr>
      </w:pPr>
    </w:p>
    <w:p w14:paraId="55173163" w14:textId="1D5239C1" w:rsidR="004C72A1"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[53]</w:t>
      </w:r>
      <w:r>
        <w:rPr>
          <w:rFonts w:ascii="Arial" w:hAnsi="Arial" w:cs="Arial"/>
          <w:sz w:val="24"/>
          <w:szCs w:val="24"/>
        </w:rPr>
        <w:tab/>
      </w:r>
      <w:r w:rsidR="004621AA" w:rsidRPr="007E372C">
        <w:rPr>
          <w:rFonts w:ascii="Arial" w:hAnsi="Arial" w:cs="Arial"/>
          <w:sz w:val="24"/>
          <w:szCs w:val="24"/>
        </w:rPr>
        <w:t>On a conspectus of the evidence before court, t</w:t>
      </w:r>
      <w:r w:rsidR="00F1481A" w:rsidRPr="007E372C">
        <w:rPr>
          <w:rFonts w:ascii="Arial" w:hAnsi="Arial" w:cs="Arial"/>
          <w:sz w:val="24"/>
          <w:szCs w:val="24"/>
        </w:rPr>
        <w:t xml:space="preserve">here </w:t>
      </w:r>
      <w:r w:rsidR="00593F67" w:rsidRPr="007E372C">
        <w:rPr>
          <w:rFonts w:ascii="Arial" w:hAnsi="Arial" w:cs="Arial"/>
          <w:sz w:val="24"/>
          <w:szCs w:val="24"/>
        </w:rPr>
        <w:t>exist no inherent probabilities, which favour the state’s case</w:t>
      </w:r>
      <w:r w:rsidR="004621AA" w:rsidRPr="007E372C">
        <w:rPr>
          <w:rFonts w:ascii="Arial" w:hAnsi="Arial" w:cs="Arial"/>
          <w:sz w:val="24"/>
          <w:szCs w:val="24"/>
        </w:rPr>
        <w:t>.  To the contrary, they favour the case of the accused.</w:t>
      </w:r>
      <w:r w:rsidR="002D5026" w:rsidRPr="007E372C">
        <w:rPr>
          <w:rFonts w:ascii="Arial" w:hAnsi="Arial" w:cs="Arial"/>
          <w:sz w:val="24"/>
          <w:szCs w:val="24"/>
        </w:rPr>
        <w:t xml:space="preserve">  </w:t>
      </w:r>
      <w:r w:rsidR="00AB6721" w:rsidRPr="007E372C">
        <w:rPr>
          <w:rFonts w:ascii="Arial" w:hAnsi="Arial" w:cs="Arial"/>
          <w:sz w:val="24"/>
          <w:szCs w:val="24"/>
        </w:rPr>
        <w:t>I have previously dealt with the weight to be attached to the medical evidence</w:t>
      </w:r>
      <w:r w:rsidR="009627BF" w:rsidRPr="007E372C">
        <w:rPr>
          <w:rFonts w:ascii="Arial" w:hAnsi="Arial" w:cs="Arial"/>
          <w:sz w:val="24"/>
          <w:szCs w:val="24"/>
        </w:rPr>
        <w:t>, in the circumstances of this case,</w:t>
      </w:r>
      <w:r w:rsidR="00AB6721" w:rsidRPr="007E372C">
        <w:rPr>
          <w:rFonts w:ascii="Arial" w:hAnsi="Arial" w:cs="Arial"/>
          <w:sz w:val="24"/>
          <w:szCs w:val="24"/>
        </w:rPr>
        <w:t xml:space="preserve"> and the </w:t>
      </w:r>
      <w:r w:rsidR="0075536F" w:rsidRPr="007E372C">
        <w:rPr>
          <w:rFonts w:ascii="Arial" w:hAnsi="Arial" w:cs="Arial"/>
          <w:sz w:val="24"/>
          <w:szCs w:val="24"/>
        </w:rPr>
        <w:t xml:space="preserve">first report, which was not voluntary in nature.  </w:t>
      </w:r>
      <w:r w:rsidR="00BB3700" w:rsidRPr="007E372C">
        <w:rPr>
          <w:rFonts w:ascii="Arial" w:hAnsi="Arial" w:cs="Arial"/>
          <w:sz w:val="24"/>
          <w:szCs w:val="24"/>
        </w:rPr>
        <w:t>F</w:t>
      </w:r>
      <w:r w:rsidR="00F1481A" w:rsidRPr="007E372C">
        <w:rPr>
          <w:rFonts w:ascii="Arial" w:hAnsi="Arial" w:cs="Arial"/>
          <w:sz w:val="24"/>
          <w:szCs w:val="24"/>
        </w:rPr>
        <w:t xml:space="preserve">or the </w:t>
      </w:r>
      <w:r w:rsidR="00BC2C56" w:rsidRPr="007E372C">
        <w:rPr>
          <w:rFonts w:ascii="Arial" w:hAnsi="Arial" w:cs="Arial"/>
          <w:sz w:val="24"/>
          <w:szCs w:val="24"/>
        </w:rPr>
        <w:t xml:space="preserve">reasons </w:t>
      </w:r>
      <w:r w:rsidR="00F1481A" w:rsidRPr="007E372C">
        <w:rPr>
          <w:rFonts w:ascii="Arial" w:hAnsi="Arial" w:cs="Arial"/>
          <w:sz w:val="24"/>
          <w:szCs w:val="24"/>
        </w:rPr>
        <w:t xml:space="preserve">already </w:t>
      </w:r>
      <w:r w:rsidR="00BC2C56" w:rsidRPr="007E372C">
        <w:rPr>
          <w:rFonts w:ascii="Arial" w:hAnsi="Arial" w:cs="Arial"/>
          <w:sz w:val="24"/>
          <w:szCs w:val="24"/>
        </w:rPr>
        <w:t>stated</w:t>
      </w:r>
      <w:r w:rsidR="00F1481A" w:rsidRPr="007E372C">
        <w:rPr>
          <w:rFonts w:ascii="Arial" w:hAnsi="Arial" w:cs="Arial"/>
          <w:sz w:val="24"/>
          <w:szCs w:val="24"/>
        </w:rPr>
        <w:t>,</w:t>
      </w:r>
      <w:r w:rsidR="00BC2C56" w:rsidRPr="007E372C">
        <w:rPr>
          <w:rFonts w:ascii="Arial" w:hAnsi="Arial" w:cs="Arial"/>
          <w:sz w:val="24"/>
          <w:szCs w:val="24"/>
        </w:rPr>
        <w:t xml:space="preserve"> the complainant’s evidence</w:t>
      </w:r>
      <w:r w:rsidR="004621AA" w:rsidRPr="007E372C">
        <w:rPr>
          <w:rFonts w:ascii="Arial" w:hAnsi="Arial" w:cs="Arial"/>
          <w:sz w:val="24"/>
          <w:szCs w:val="24"/>
        </w:rPr>
        <w:t>, which was uncorroborated,</w:t>
      </w:r>
      <w:r w:rsidR="00BC2C56" w:rsidRPr="007E372C">
        <w:rPr>
          <w:rFonts w:ascii="Arial" w:hAnsi="Arial" w:cs="Arial"/>
          <w:sz w:val="24"/>
          <w:szCs w:val="24"/>
        </w:rPr>
        <w:t xml:space="preserve"> was demonstrably unreliable</w:t>
      </w:r>
      <w:r w:rsidR="004C72A1" w:rsidRPr="007E372C">
        <w:rPr>
          <w:rFonts w:ascii="Arial" w:hAnsi="Arial" w:cs="Arial"/>
          <w:sz w:val="24"/>
          <w:szCs w:val="24"/>
        </w:rPr>
        <w:t>, leaving me with significant doubt</w:t>
      </w:r>
      <w:r w:rsidR="00593F67" w:rsidRPr="007E372C">
        <w:rPr>
          <w:rFonts w:ascii="Arial" w:hAnsi="Arial" w:cs="Arial"/>
          <w:sz w:val="24"/>
          <w:szCs w:val="24"/>
        </w:rPr>
        <w:t>.</w:t>
      </w:r>
      <w:r w:rsidR="00F821ED">
        <w:rPr>
          <w:rStyle w:val="FootnoteReference"/>
          <w:rFonts w:ascii="Arial" w:hAnsi="Arial" w:cs="Arial"/>
          <w:sz w:val="24"/>
          <w:szCs w:val="24"/>
        </w:rPr>
        <w:footnoteReference w:id="8"/>
      </w:r>
      <w:r w:rsidR="004C72A1" w:rsidRPr="007E372C">
        <w:rPr>
          <w:rFonts w:ascii="Arial" w:hAnsi="Arial" w:cs="Arial"/>
          <w:sz w:val="24"/>
          <w:szCs w:val="24"/>
        </w:rPr>
        <w:t xml:space="preserve">  </w:t>
      </w:r>
      <w:r w:rsidR="001F3D9B" w:rsidRPr="007E372C">
        <w:rPr>
          <w:rFonts w:ascii="Arial" w:hAnsi="Arial" w:cs="Arial"/>
          <w:sz w:val="24"/>
          <w:szCs w:val="24"/>
        </w:rPr>
        <w:t xml:space="preserve">Moreover, I am of the considered view that the accused’s version is reasonably possibly true.  </w:t>
      </w:r>
      <w:r w:rsidR="004C72A1" w:rsidRPr="007E372C">
        <w:rPr>
          <w:rFonts w:ascii="Arial" w:hAnsi="Arial" w:cs="Arial"/>
          <w:sz w:val="24"/>
          <w:szCs w:val="24"/>
        </w:rPr>
        <w:t>There can accordingly be only one result, for our law enjoins the state to prove its case beyond reasonable doubt, which it has failed to do.</w:t>
      </w:r>
    </w:p>
    <w:p w14:paraId="75CE82DF" w14:textId="77777777" w:rsidR="004C72A1" w:rsidRPr="004C72A1" w:rsidRDefault="004C72A1" w:rsidP="004C72A1">
      <w:pPr>
        <w:pStyle w:val="ListParagraph"/>
        <w:spacing w:after="0" w:line="480" w:lineRule="auto"/>
        <w:rPr>
          <w:rFonts w:ascii="Arial" w:hAnsi="Arial" w:cs="Arial"/>
          <w:sz w:val="24"/>
          <w:szCs w:val="24"/>
        </w:rPr>
      </w:pPr>
    </w:p>
    <w:p w14:paraId="444C87C2" w14:textId="70C9E593" w:rsidR="004C72A1" w:rsidRPr="007E372C" w:rsidRDefault="007E372C" w:rsidP="007E372C">
      <w:pPr>
        <w:spacing w:after="0" w:line="480" w:lineRule="auto"/>
        <w:ind w:left="851" w:hanging="851"/>
        <w:jc w:val="both"/>
        <w:rPr>
          <w:rFonts w:ascii="Arial" w:hAnsi="Arial" w:cs="Arial"/>
          <w:sz w:val="24"/>
          <w:szCs w:val="24"/>
        </w:rPr>
      </w:pPr>
      <w:r>
        <w:rPr>
          <w:rFonts w:ascii="Arial" w:hAnsi="Arial" w:cs="Arial"/>
          <w:sz w:val="24"/>
          <w:szCs w:val="24"/>
        </w:rPr>
        <w:t>[54]</w:t>
      </w:r>
      <w:r>
        <w:rPr>
          <w:rFonts w:ascii="Arial" w:hAnsi="Arial" w:cs="Arial"/>
          <w:sz w:val="24"/>
          <w:szCs w:val="24"/>
        </w:rPr>
        <w:tab/>
      </w:r>
      <w:r w:rsidR="004C72A1" w:rsidRPr="007E372C">
        <w:rPr>
          <w:rFonts w:ascii="Arial" w:hAnsi="Arial" w:cs="Arial"/>
          <w:sz w:val="24"/>
          <w:szCs w:val="24"/>
        </w:rPr>
        <w:t>In the result, the following order shall issue:</w:t>
      </w:r>
    </w:p>
    <w:p w14:paraId="659C9BBA" w14:textId="77777777" w:rsidR="004C72A1" w:rsidRPr="004C72A1" w:rsidRDefault="004C72A1" w:rsidP="004C72A1">
      <w:pPr>
        <w:pStyle w:val="ListParagraph"/>
        <w:spacing w:after="0" w:line="480" w:lineRule="auto"/>
        <w:rPr>
          <w:rFonts w:ascii="Arial" w:hAnsi="Arial" w:cs="Arial"/>
          <w:sz w:val="24"/>
          <w:szCs w:val="24"/>
        </w:rPr>
      </w:pPr>
    </w:p>
    <w:p w14:paraId="7847628C" w14:textId="40103B2A" w:rsidR="004C72A1" w:rsidRDefault="004C72A1" w:rsidP="004C72A1">
      <w:pPr>
        <w:pStyle w:val="ListParagraph"/>
        <w:spacing w:after="0" w:line="480" w:lineRule="auto"/>
        <w:ind w:left="851"/>
        <w:jc w:val="both"/>
        <w:rPr>
          <w:rFonts w:ascii="Arial" w:hAnsi="Arial" w:cs="Arial"/>
          <w:sz w:val="24"/>
          <w:szCs w:val="24"/>
        </w:rPr>
      </w:pPr>
      <w:r>
        <w:rPr>
          <w:rFonts w:ascii="Arial" w:hAnsi="Arial" w:cs="Arial"/>
          <w:sz w:val="24"/>
          <w:szCs w:val="24"/>
        </w:rPr>
        <w:t>The accused is found not guilty on both charges and is acquitted.</w:t>
      </w:r>
    </w:p>
    <w:p w14:paraId="342EC830" w14:textId="77777777" w:rsidR="0042755D" w:rsidRDefault="0042755D" w:rsidP="0042755D">
      <w:pPr>
        <w:spacing w:after="0" w:line="480" w:lineRule="auto"/>
        <w:jc w:val="both"/>
        <w:rPr>
          <w:rStyle w:val="Hyperlink"/>
          <w:rFonts w:ascii="Arial" w:hAnsi="Arial" w:cs="Arial"/>
          <w:i/>
          <w:iCs/>
          <w:sz w:val="24"/>
          <w:szCs w:val="24"/>
        </w:rPr>
      </w:pPr>
    </w:p>
    <w:p w14:paraId="01C29DB4" w14:textId="77777777" w:rsidR="0042755D" w:rsidRPr="00691E3E" w:rsidRDefault="0042755D" w:rsidP="0042755D">
      <w:pPr>
        <w:spacing w:after="0" w:line="480" w:lineRule="auto"/>
        <w:jc w:val="both"/>
        <w:rPr>
          <w:rStyle w:val="Hyperlink"/>
          <w:rFonts w:ascii="Arial" w:hAnsi="Arial" w:cs="Arial"/>
          <w:sz w:val="24"/>
          <w:szCs w:val="24"/>
        </w:rPr>
      </w:pPr>
    </w:p>
    <w:p w14:paraId="2228A1B6" w14:textId="77777777" w:rsidR="0042755D" w:rsidRPr="00BE7468" w:rsidRDefault="0042755D" w:rsidP="0042755D">
      <w:pPr>
        <w:spacing w:after="0" w:line="480" w:lineRule="auto"/>
        <w:jc w:val="both"/>
        <w:rPr>
          <w:rStyle w:val="Hyperlink"/>
          <w:rFonts w:ascii="Arial" w:hAnsi="Arial" w:cs="Arial"/>
          <w:i/>
          <w:iCs/>
          <w:color w:val="auto"/>
          <w:sz w:val="24"/>
          <w:szCs w:val="24"/>
        </w:rPr>
      </w:pPr>
      <w:r w:rsidRPr="00BE7468">
        <w:rPr>
          <w:rStyle w:val="Hyperlink"/>
          <w:rFonts w:ascii="Arial" w:hAnsi="Arial" w:cs="Arial"/>
          <w:i/>
          <w:iCs/>
          <w:color w:val="auto"/>
          <w:sz w:val="24"/>
          <w:szCs w:val="24"/>
        </w:rPr>
        <w:t>________________________________</w:t>
      </w:r>
    </w:p>
    <w:p w14:paraId="0BD09A1D" w14:textId="77777777" w:rsidR="0042755D" w:rsidRPr="004948BA" w:rsidRDefault="0042755D" w:rsidP="0042755D">
      <w:pPr>
        <w:spacing w:after="0" w:line="480" w:lineRule="auto"/>
        <w:jc w:val="both"/>
        <w:rPr>
          <w:rFonts w:ascii="Arial" w:hAnsi="Arial" w:cs="Arial"/>
          <w:b/>
          <w:bCs/>
          <w:sz w:val="24"/>
          <w:szCs w:val="24"/>
        </w:rPr>
      </w:pPr>
      <w:r w:rsidRPr="004948BA">
        <w:rPr>
          <w:rFonts w:ascii="Arial" w:hAnsi="Arial" w:cs="Arial"/>
          <w:b/>
          <w:bCs/>
          <w:sz w:val="24"/>
          <w:szCs w:val="24"/>
        </w:rPr>
        <w:t xml:space="preserve">I BANDS </w:t>
      </w:r>
    </w:p>
    <w:p w14:paraId="5CB51097" w14:textId="77777777" w:rsidR="0042755D" w:rsidRPr="005E0A83" w:rsidRDefault="0042755D" w:rsidP="0042755D">
      <w:pPr>
        <w:spacing w:after="0" w:line="480" w:lineRule="auto"/>
        <w:jc w:val="both"/>
        <w:rPr>
          <w:rFonts w:ascii="Arial" w:hAnsi="Arial" w:cs="Arial"/>
          <w:b/>
          <w:bCs/>
          <w:sz w:val="24"/>
          <w:szCs w:val="24"/>
        </w:rPr>
      </w:pPr>
      <w:r w:rsidRPr="005E0A83">
        <w:rPr>
          <w:rFonts w:ascii="Arial" w:hAnsi="Arial" w:cs="Arial"/>
          <w:b/>
          <w:bCs/>
          <w:sz w:val="24"/>
          <w:szCs w:val="24"/>
        </w:rPr>
        <w:t xml:space="preserve">ACTING JUDGE OF THE HIGH COURT </w:t>
      </w:r>
    </w:p>
    <w:p w14:paraId="294A6AB1" w14:textId="77777777" w:rsidR="0042755D" w:rsidRDefault="0042755D" w:rsidP="0042755D">
      <w:pPr>
        <w:spacing w:after="0" w:line="480" w:lineRule="auto"/>
        <w:jc w:val="both"/>
        <w:rPr>
          <w:rFonts w:ascii="Arial" w:hAnsi="Arial" w:cs="Arial"/>
          <w:sz w:val="24"/>
          <w:szCs w:val="24"/>
        </w:rPr>
      </w:pPr>
    </w:p>
    <w:p w14:paraId="26EBC91E" w14:textId="77777777" w:rsidR="0042755D" w:rsidRPr="005E0A83" w:rsidRDefault="0042755D" w:rsidP="0042755D">
      <w:pPr>
        <w:spacing w:after="0" w:line="480" w:lineRule="auto"/>
        <w:jc w:val="both"/>
        <w:rPr>
          <w:rFonts w:ascii="Arial" w:hAnsi="Arial" w:cs="Arial"/>
          <w:b/>
          <w:bCs/>
          <w:sz w:val="24"/>
          <w:szCs w:val="24"/>
        </w:rPr>
      </w:pPr>
      <w:r w:rsidRPr="005E0A83">
        <w:rPr>
          <w:rFonts w:ascii="Arial" w:hAnsi="Arial" w:cs="Arial"/>
          <w:b/>
          <w:bCs/>
          <w:sz w:val="24"/>
          <w:szCs w:val="24"/>
        </w:rPr>
        <w:t xml:space="preserve">Appearances: </w:t>
      </w:r>
    </w:p>
    <w:p w14:paraId="3E8F3BF2" w14:textId="485F9095" w:rsidR="0042755D" w:rsidRPr="005E0A83" w:rsidRDefault="0042755D" w:rsidP="0042755D">
      <w:pPr>
        <w:spacing w:after="0"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Grootboom</w:t>
      </w:r>
      <w:r>
        <w:rPr>
          <w:rFonts w:ascii="Arial" w:hAnsi="Arial" w:cs="Arial"/>
          <w:sz w:val="24"/>
          <w:szCs w:val="24"/>
        </w:rPr>
        <w:tab/>
      </w:r>
      <w:r w:rsidRPr="005E0A83">
        <w:rPr>
          <w:rFonts w:ascii="Arial" w:hAnsi="Arial" w:cs="Arial"/>
          <w:sz w:val="24"/>
          <w:szCs w:val="24"/>
        </w:rPr>
        <w:tab/>
      </w:r>
    </w:p>
    <w:p w14:paraId="27902295" w14:textId="6213D947" w:rsidR="0042755D" w:rsidRDefault="0042755D" w:rsidP="0042755D">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NDPP</w:t>
      </w:r>
    </w:p>
    <w:p w14:paraId="5F8B6CD8" w14:textId="77777777" w:rsidR="0042755D" w:rsidRDefault="0042755D" w:rsidP="0042755D">
      <w:pPr>
        <w:spacing w:after="0" w:line="360" w:lineRule="auto"/>
        <w:jc w:val="both"/>
        <w:rPr>
          <w:rFonts w:ascii="Arial" w:hAnsi="Arial" w:cs="Arial"/>
          <w:sz w:val="24"/>
          <w:szCs w:val="24"/>
        </w:rPr>
      </w:pPr>
    </w:p>
    <w:p w14:paraId="02DB7596" w14:textId="01455A1A" w:rsidR="0042755D" w:rsidRPr="005E0A83" w:rsidRDefault="0042755D" w:rsidP="0042755D">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Theron</w:t>
      </w:r>
      <w:r w:rsidRPr="005E0A83">
        <w:rPr>
          <w:rFonts w:ascii="Arial" w:hAnsi="Arial" w:cs="Arial"/>
          <w:sz w:val="24"/>
          <w:szCs w:val="24"/>
        </w:rPr>
        <w:tab/>
      </w:r>
      <w:r>
        <w:rPr>
          <w:rFonts w:ascii="Arial" w:hAnsi="Arial" w:cs="Arial"/>
          <w:sz w:val="24"/>
          <w:szCs w:val="24"/>
        </w:rPr>
        <w:tab/>
      </w:r>
      <w:r w:rsidRPr="005E0A83">
        <w:rPr>
          <w:rFonts w:ascii="Arial" w:hAnsi="Arial" w:cs="Arial"/>
          <w:sz w:val="24"/>
          <w:szCs w:val="24"/>
        </w:rPr>
        <w:tab/>
      </w:r>
    </w:p>
    <w:p w14:paraId="2082A398" w14:textId="58F7E416" w:rsidR="0042755D" w:rsidRPr="005E0A83" w:rsidRDefault="0042755D" w:rsidP="00122756">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Legal-Aid, South Africa</w:t>
      </w:r>
    </w:p>
    <w:p w14:paraId="4ECAD1C3" w14:textId="77777777" w:rsidR="0042755D" w:rsidRDefault="0042755D" w:rsidP="0042755D">
      <w:pPr>
        <w:pStyle w:val="GW12"/>
        <w:pBdr>
          <w:top w:val="single" w:sz="4" w:space="1" w:color="auto"/>
        </w:pBdr>
        <w:tabs>
          <w:tab w:val="clear" w:pos="6048"/>
          <w:tab w:val="clear" w:pos="8640"/>
          <w:tab w:val="right" w:pos="8931"/>
        </w:tabs>
        <w:spacing w:line="240" w:lineRule="auto"/>
        <w:ind w:right="-46"/>
        <w:rPr>
          <w:rFonts w:ascii="Arial" w:hAnsi="Arial" w:cs="Arial"/>
          <w:szCs w:val="24"/>
        </w:rPr>
      </w:pPr>
    </w:p>
    <w:p w14:paraId="55DE13FC" w14:textId="77777777" w:rsidR="0042755D" w:rsidRPr="005E0A83" w:rsidRDefault="0042755D" w:rsidP="0042755D">
      <w:pPr>
        <w:pStyle w:val="GW12"/>
        <w:pBdr>
          <w:top w:val="single" w:sz="4" w:space="1" w:color="auto"/>
        </w:pBdr>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 xml:space="preserve">Coram: </w:t>
      </w:r>
      <w:r w:rsidRPr="005E0A83">
        <w:rPr>
          <w:rFonts w:ascii="Arial" w:hAnsi="Arial" w:cs="Arial"/>
          <w:szCs w:val="24"/>
        </w:rPr>
        <w:tab/>
      </w:r>
      <w:r w:rsidRPr="005E0A83">
        <w:rPr>
          <w:rFonts w:ascii="Arial" w:hAnsi="Arial" w:cs="Arial"/>
          <w:szCs w:val="24"/>
        </w:rPr>
        <w:tab/>
        <w:t>Bands AJ</w:t>
      </w:r>
    </w:p>
    <w:p w14:paraId="6E3CAD96" w14:textId="77777777" w:rsidR="00C95B31"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p>
    <w:p w14:paraId="2FAD8AEF" w14:textId="19A51C55" w:rsidR="0079773D" w:rsidRDefault="0042755D" w:rsidP="0079773D">
      <w:pPr>
        <w:pStyle w:val="GW12"/>
        <w:tabs>
          <w:tab w:val="clear" w:pos="6048"/>
          <w:tab w:val="clear" w:pos="8640"/>
          <w:tab w:val="right" w:pos="8931"/>
        </w:tabs>
        <w:spacing w:line="240" w:lineRule="auto"/>
        <w:ind w:left="2160" w:right="-46" w:hanging="2160"/>
        <w:rPr>
          <w:rFonts w:ascii="Arial" w:hAnsi="Arial" w:cs="Arial"/>
          <w:szCs w:val="24"/>
        </w:rPr>
      </w:pPr>
      <w:r w:rsidRPr="005E0A83">
        <w:rPr>
          <w:rFonts w:ascii="Arial" w:hAnsi="Arial" w:cs="Arial"/>
          <w:szCs w:val="24"/>
        </w:rPr>
        <w:t>Date</w:t>
      </w:r>
      <w:r w:rsidR="0079773D">
        <w:rPr>
          <w:rFonts w:ascii="Arial" w:hAnsi="Arial" w:cs="Arial"/>
          <w:szCs w:val="24"/>
        </w:rPr>
        <w:t>s</w:t>
      </w:r>
      <w:r w:rsidRPr="005E0A83">
        <w:rPr>
          <w:rFonts w:ascii="Arial" w:hAnsi="Arial" w:cs="Arial"/>
          <w:szCs w:val="24"/>
        </w:rPr>
        <w:t xml:space="preserve"> heard: </w:t>
      </w:r>
      <w:r w:rsidRPr="005E0A83">
        <w:rPr>
          <w:rFonts w:ascii="Arial" w:hAnsi="Arial" w:cs="Arial"/>
          <w:szCs w:val="24"/>
        </w:rPr>
        <w:tab/>
      </w:r>
      <w:r w:rsidR="0079773D">
        <w:rPr>
          <w:rFonts w:ascii="Arial" w:hAnsi="Arial" w:cs="Arial"/>
          <w:szCs w:val="24"/>
        </w:rPr>
        <w:tab/>
        <w:t xml:space="preserve">25 July 2022 – 28 July 2022; </w:t>
      </w:r>
    </w:p>
    <w:p w14:paraId="02CC9E21" w14:textId="77777777" w:rsidR="0079773D" w:rsidRDefault="0079773D"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15 August 2022 – 19 August 2022; </w:t>
      </w:r>
    </w:p>
    <w:p w14:paraId="41CD9DD0" w14:textId="77777777" w:rsidR="0079773D" w:rsidRDefault="0079773D"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25 August 2022 – 26 August 2022; </w:t>
      </w:r>
    </w:p>
    <w:p w14:paraId="3B653617" w14:textId="77777777" w:rsidR="00C95B31" w:rsidRDefault="0079773D"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6 September 2022; </w:t>
      </w:r>
    </w:p>
    <w:p w14:paraId="6F5FF14E" w14:textId="7CFA5DEE" w:rsidR="0079773D"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79773D">
        <w:rPr>
          <w:rFonts w:ascii="Arial" w:hAnsi="Arial" w:cs="Arial"/>
          <w:szCs w:val="24"/>
        </w:rPr>
        <w:t xml:space="preserve">8 September 2022 – 9 September 2022; </w:t>
      </w:r>
    </w:p>
    <w:p w14:paraId="0B5E3C20" w14:textId="26CB6CCC" w:rsidR="0079773D" w:rsidRDefault="0079773D"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13 September 2022 – 15 September 2022; </w:t>
      </w:r>
    </w:p>
    <w:p w14:paraId="04A0861D" w14:textId="77777777" w:rsidR="0079773D" w:rsidRDefault="0079773D"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20 September 2022;</w:t>
      </w:r>
    </w:p>
    <w:p w14:paraId="1555667A" w14:textId="77777777" w:rsidR="00C95B31" w:rsidRDefault="0079773D"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17 October 2022</w:t>
      </w:r>
      <w:r w:rsidR="00C95B31">
        <w:rPr>
          <w:rFonts w:ascii="Arial" w:hAnsi="Arial" w:cs="Arial"/>
          <w:szCs w:val="24"/>
        </w:rPr>
        <w:t xml:space="preserve"> – 18 October 2022;</w:t>
      </w:r>
    </w:p>
    <w:p w14:paraId="20541126" w14:textId="24DC1012" w:rsidR="00C95B31"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20 October 2022;</w:t>
      </w:r>
    </w:p>
    <w:p w14:paraId="0C04C3CF" w14:textId="7D4CA343" w:rsidR="00C95B31"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24 October 2022 – 25 October 2022;</w:t>
      </w:r>
    </w:p>
    <w:p w14:paraId="0020394E" w14:textId="7F63AFE6" w:rsidR="00C95B31"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27 October 2022;</w:t>
      </w:r>
    </w:p>
    <w:p w14:paraId="2E601147" w14:textId="4F99CEC0" w:rsidR="00C95B31"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27 February 2023 – 28 February 2023;</w:t>
      </w:r>
    </w:p>
    <w:p w14:paraId="5A9D7703" w14:textId="1E052E74" w:rsidR="00C95B31"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1 March 2023 – 3 March 2023;</w:t>
      </w:r>
    </w:p>
    <w:p w14:paraId="47D3DD99" w14:textId="572AEDBA" w:rsidR="00C95B31" w:rsidRDefault="00C95B31" w:rsidP="0079773D">
      <w:pPr>
        <w:pStyle w:val="GW12"/>
        <w:tabs>
          <w:tab w:val="clear" w:pos="6048"/>
          <w:tab w:val="clear" w:pos="8640"/>
          <w:tab w:val="right" w:pos="8931"/>
        </w:tabs>
        <w:spacing w:line="240" w:lineRule="auto"/>
        <w:ind w:left="2160" w:right="-46" w:hanging="216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6 March 2023 – 9 March 2023.</w:t>
      </w:r>
    </w:p>
    <w:p w14:paraId="7D5AA627" w14:textId="77777777" w:rsidR="00C95B31" w:rsidRDefault="00C95B31" w:rsidP="0042755D">
      <w:pPr>
        <w:pStyle w:val="GW12"/>
        <w:tabs>
          <w:tab w:val="clear" w:pos="6048"/>
          <w:tab w:val="clear" w:pos="8640"/>
          <w:tab w:val="right" w:pos="8931"/>
        </w:tabs>
        <w:spacing w:line="240" w:lineRule="auto"/>
        <w:ind w:right="-46"/>
        <w:rPr>
          <w:rFonts w:ascii="Arial" w:hAnsi="Arial" w:cs="Arial"/>
          <w:szCs w:val="24"/>
        </w:rPr>
      </w:pPr>
    </w:p>
    <w:p w14:paraId="557610F3" w14:textId="4D68C46D" w:rsidR="0042755D" w:rsidRPr="00312727" w:rsidRDefault="0042755D" w:rsidP="00312727">
      <w:pPr>
        <w:pStyle w:val="GW12"/>
        <w:tabs>
          <w:tab w:val="clear" w:pos="6048"/>
          <w:tab w:val="clear" w:pos="8640"/>
          <w:tab w:val="right" w:pos="8931"/>
        </w:tabs>
        <w:spacing w:line="240" w:lineRule="auto"/>
        <w:ind w:right="-46"/>
        <w:rPr>
          <w:rFonts w:ascii="Arial" w:hAnsi="Arial" w:cs="Arial"/>
          <w:szCs w:val="24"/>
        </w:rPr>
      </w:pPr>
      <w:r w:rsidRPr="005E0A83">
        <w:rPr>
          <w:rFonts w:ascii="Arial" w:hAnsi="Arial" w:cs="Arial"/>
          <w:szCs w:val="24"/>
        </w:rPr>
        <w:t>Delivered:</w:t>
      </w:r>
      <w:r w:rsidRPr="005E0A83">
        <w:rPr>
          <w:rFonts w:ascii="Arial" w:hAnsi="Arial" w:cs="Arial"/>
          <w:szCs w:val="24"/>
        </w:rPr>
        <w:tab/>
      </w:r>
      <w:r w:rsidRPr="005E0A83">
        <w:rPr>
          <w:rFonts w:ascii="Arial" w:hAnsi="Arial" w:cs="Arial"/>
          <w:szCs w:val="24"/>
        </w:rPr>
        <w:tab/>
      </w:r>
      <w:r>
        <w:rPr>
          <w:rFonts w:ascii="Arial" w:hAnsi="Arial" w:cs="Arial"/>
          <w:szCs w:val="24"/>
        </w:rPr>
        <w:t>13 March 2023</w:t>
      </w:r>
    </w:p>
    <w:sectPr w:rsidR="0042755D" w:rsidRPr="00312727" w:rsidSect="00FD65C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1DBF2" w14:textId="77777777" w:rsidR="00F631B4" w:rsidRDefault="00F631B4" w:rsidP="00E65293">
      <w:pPr>
        <w:spacing w:after="0" w:line="240" w:lineRule="auto"/>
      </w:pPr>
      <w:r>
        <w:separator/>
      </w:r>
    </w:p>
  </w:endnote>
  <w:endnote w:type="continuationSeparator" w:id="0">
    <w:p w14:paraId="78E6A4C3" w14:textId="77777777" w:rsidR="00F631B4" w:rsidRDefault="00F631B4" w:rsidP="00E6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67BA5" w14:textId="77777777" w:rsidR="00F631B4" w:rsidRDefault="00F631B4" w:rsidP="00E65293">
      <w:pPr>
        <w:spacing w:after="0" w:line="240" w:lineRule="auto"/>
      </w:pPr>
      <w:r>
        <w:separator/>
      </w:r>
    </w:p>
  </w:footnote>
  <w:footnote w:type="continuationSeparator" w:id="0">
    <w:p w14:paraId="2EF7AA8A" w14:textId="77777777" w:rsidR="00F631B4" w:rsidRDefault="00F631B4" w:rsidP="00E65293">
      <w:pPr>
        <w:spacing w:after="0" w:line="240" w:lineRule="auto"/>
      </w:pPr>
      <w:r>
        <w:continuationSeparator/>
      </w:r>
    </w:p>
  </w:footnote>
  <w:footnote w:id="1">
    <w:p w14:paraId="523FB18C" w14:textId="018C9FFE" w:rsidR="001F76E3" w:rsidRPr="00CA5D06" w:rsidRDefault="001F76E3" w:rsidP="00CA5D06">
      <w:pPr>
        <w:pStyle w:val="FootnoteText"/>
        <w:spacing w:line="480" w:lineRule="auto"/>
        <w:rPr>
          <w:rFonts w:ascii="Arial" w:hAnsi="Arial" w:cs="Arial"/>
          <w:sz w:val="22"/>
          <w:szCs w:val="22"/>
        </w:rPr>
      </w:pPr>
      <w:r w:rsidRPr="001F76E3">
        <w:rPr>
          <w:rStyle w:val="FootnoteReference"/>
          <w:rFonts w:ascii="Arial" w:hAnsi="Arial" w:cs="Arial"/>
          <w:sz w:val="22"/>
          <w:szCs w:val="22"/>
        </w:rPr>
        <w:footnoteRef/>
      </w:r>
      <w:r w:rsidRPr="001F76E3">
        <w:rPr>
          <w:rFonts w:ascii="Arial" w:hAnsi="Arial" w:cs="Arial"/>
          <w:sz w:val="22"/>
          <w:szCs w:val="22"/>
        </w:rPr>
        <w:t xml:space="preserve"> </w:t>
      </w:r>
      <w:r w:rsidRPr="001F76E3">
        <w:rPr>
          <w:rFonts w:ascii="Arial" w:eastAsia="Times New Roman" w:hAnsi="Arial" w:cs="Arial"/>
          <w:i/>
          <w:iCs/>
          <w:color w:val="64473A"/>
          <w:sz w:val="22"/>
          <w:szCs w:val="22"/>
          <w:lang w:eastAsia="en-ZA"/>
        </w:rPr>
        <w:t>Vilakazi v S</w:t>
      </w:r>
      <w:r w:rsidRPr="001F76E3">
        <w:rPr>
          <w:rFonts w:ascii="Arial" w:eastAsia="Times New Roman" w:hAnsi="Arial" w:cs="Arial"/>
          <w:color w:val="64473A"/>
          <w:sz w:val="22"/>
          <w:szCs w:val="22"/>
          <w:lang w:eastAsia="en-ZA"/>
        </w:rPr>
        <w:t xml:space="preserve"> 2016 (2) SACR 365 (SCA)</w:t>
      </w:r>
      <w:r>
        <w:rPr>
          <w:rFonts w:ascii="Arial" w:eastAsia="Times New Roman" w:hAnsi="Arial" w:cs="Arial"/>
          <w:color w:val="64473A"/>
          <w:sz w:val="22"/>
          <w:szCs w:val="22"/>
          <w:lang w:eastAsia="en-ZA"/>
        </w:rPr>
        <w:t>.</w:t>
      </w:r>
    </w:p>
  </w:footnote>
  <w:footnote w:id="2">
    <w:p w14:paraId="4BB9D4A9" w14:textId="12A6F953" w:rsidR="006E7D3D" w:rsidRPr="00C25629" w:rsidRDefault="006E7D3D">
      <w:pPr>
        <w:pStyle w:val="FootnoteText"/>
        <w:rPr>
          <w:rFonts w:ascii="Arial" w:hAnsi="Arial" w:cs="Arial"/>
          <w:sz w:val="22"/>
          <w:szCs w:val="22"/>
        </w:rPr>
      </w:pPr>
      <w:r w:rsidRPr="00C25629">
        <w:rPr>
          <w:rStyle w:val="FootnoteReference"/>
          <w:rFonts w:ascii="Arial" w:hAnsi="Arial" w:cs="Arial"/>
          <w:sz w:val="22"/>
          <w:szCs w:val="22"/>
        </w:rPr>
        <w:footnoteRef/>
      </w:r>
      <w:r w:rsidRPr="00C25629">
        <w:rPr>
          <w:rFonts w:ascii="Arial" w:hAnsi="Arial" w:cs="Arial"/>
          <w:sz w:val="22"/>
          <w:szCs w:val="22"/>
        </w:rPr>
        <w:t xml:space="preserve"> 2009 (1) SACR 552</w:t>
      </w:r>
      <w:r w:rsidR="00C25629">
        <w:rPr>
          <w:rFonts w:ascii="Arial" w:hAnsi="Arial" w:cs="Arial"/>
          <w:sz w:val="22"/>
          <w:szCs w:val="22"/>
        </w:rPr>
        <w:t>.</w:t>
      </w:r>
    </w:p>
  </w:footnote>
  <w:footnote w:id="3">
    <w:p w14:paraId="06B0985E" w14:textId="18431083" w:rsidR="002D07F3" w:rsidRPr="00BB2574" w:rsidRDefault="002D07F3" w:rsidP="00BB2574">
      <w:pPr>
        <w:pStyle w:val="FootnoteText"/>
        <w:spacing w:line="360" w:lineRule="auto"/>
        <w:jc w:val="both"/>
        <w:rPr>
          <w:rFonts w:ascii="Arial" w:hAnsi="Arial" w:cs="Arial"/>
          <w:sz w:val="22"/>
          <w:szCs w:val="22"/>
        </w:rPr>
      </w:pPr>
      <w:r w:rsidRPr="00BB2574">
        <w:rPr>
          <w:rStyle w:val="FootnoteReference"/>
          <w:rFonts w:ascii="Arial" w:hAnsi="Arial" w:cs="Arial"/>
          <w:sz w:val="22"/>
          <w:szCs w:val="22"/>
        </w:rPr>
        <w:footnoteRef/>
      </w:r>
      <w:r w:rsidRPr="00BB2574">
        <w:rPr>
          <w:rFonts w:ascii="Arial" w:hAnsi="Arial" w:cs="Arial"/>
          <w:sz w:val="22"/>
          <w:szCs w:val="22"/>
        </w:rPr>
        <w:t xml:space="preserve"> 1981 (1) SA 1020 (A)</w:t>
      </w:r>
      <w:r w:rsidR="00BB2574">
        <w:rPr>
          <w:rFonts w:ascii="Arial" w:hAnsi="Arial" w:cs="Arial"/>
          <w:sz w:val="22"/>
          <w:szCs w:val="22"/>
        </w:rPr>
        <w:t>.</w:t>
      </w:r>
    </w:p>
    <w:p w14:paraId="76B4AA27" w14:textId="18A35009" w:rsidR="00BB2574" w:rsidRPr="00BB2574" w:rsidRDefault="00BB2574" w:rsidP="00BB2574">
      <w:pPr>
        <w:pStyle w:val="NormalWeb"/>
        <w:shd w:val="clear" w:color="auto" w:fill="FFFFFF"/>
        <w:spacing w:before="0" w:beforeAutospacing="0" w:after="0" w:afterAutospacing="0" w:line="360" w:lineRule="auto"/>
        <w:jc w:val="both"/>
        <w:rPr>
          <w:rFonts w:ascii="Arial" w:hAnsi="Arial" w:cs="Arial"/>
          <w:color w:val="242121"/>
          <w:sz w:val="22"/>
          <w:szCs w:val="22"/>
        </w:rPr>
      </w:pPr>
      <w:r w:rsidRPr="00BB2574">
        <w:rPr>
          <w:rFonts w:ascii="Arial" w:hAnsi="Arial" w:cs="Arial"/>
          <w:color w:val="242121"/>
          <w:sz w:val="22"/>
          <w:szCs w:val="22"/>
        </w:rPr>
        <w:t>The court held that:</w:t>
      </w:r>
    </w:p>
    <w:p w14:paraId="7D3747D2" w14:textId="0D31174D" w:rsidR="00BB2574" w:rsidRPr="00BB2574" w:rsidRDefault="000A623F" w:rsidP="00BB2574">
      <w:pPr>
        <w:pStyle w:val="NormalWeb"/>
        <w:shd w:val="clear" w:color="auto" w:fill="FFFFFF"/>
        <w:spacing w:before="0" w:beforeAutospacing="0" w:after="0" w:afterAutospacing="0" w:line="360" w:lineRule="auto"/>
        <w:jc w:val="both"/>
        <w:rPr>
          <w:rFonts w:ascii="Arial" w:hAnsi="Arial" w:cs="Arial"/>
          <w:color w:val="242121"/>
          <w:sz w:val="22"/>
          <w:szCs w:val="22"/>
        </w:rPr>
      </w:pPr>
      <w:r>
        <w:rPr>
          <w:rFonts w:ascii="Arial" w:hAnsi="Arial" w:cs="Arial"/>
          <w:color w:val="242121"/>
          <w:sz w:val="22"/>
          <w:szCs w:val="22"/>
        </w:rPr>
        <w:t>“</w:t>
      </w:r>
      <w:r w:rsidR="00BB2574" w:rsidRPr="000A623F">
        <w:rPr>
          <w:rFonts w:ascii="Arial" w:hAnsi="Arial" w:cs="Arial"/>
          <w:i/>
          <w:iCs/>
          <w:color w:val="242121"/>
          <w:sz w:val="22"/>
          <w:szCs w:val="22"/>
        </w:rPr>
        <w:t>Trustworthiness . . . depends on factors such as the child’s power of observation, his power of recollection, and his power of narration on the specific matter to be testified. . . . His capacity of observation will depend on whether he appears “intelligent enough to observe”. Whether he has the capacity of recollection will depend again on whether he has sufficient years of discretion “to remember what occurs” while the capacity of narration or communication raises the question whether the child has the “capacity to understand the questions put, and to frame and express intelligent answers.</w:t>
      </w:r>
      <w:r w:rsidR="00BB2574" w:rsidRPr="00BB2574">
        <w:rPr>
          <w:rFonts w:ascii="Arial" w:hAnsi="Arial" w:cs="Arial"/>
          <w:color w:val="242121"/>
          <w:sz w:val="22"/>
          <w:szCs w:val="22"/>
        </w:rPr>
        <w:t xml:space="preserve">”’ </w:t>
      </w:r>
    </w:p>
  </w:footnote>
  <w:footnote w:id="4">
    <w:p w14:paraId="0E81D5E2" w14:textId="5FDD3759" w:rsidR="00EF5EB3" w:rsidRPr="00BB2574" w:rsidRDefault="00EF5EB3" w:rsidP="00BB2574">
      <w:pPr>
        <w:pStyle w:val="FootnoteText"/>
        <w:spacing w:line="360" w:lineRule="auto"/>
        <w:jc w:val="both"/>
        <w:rPr>
          <w:rFonts w:ascii="Arial" w:hAnsi="Arial" w:cs="Arial"/>
          <w:sz w:val="22"/>
          <w:szCs w:val="22"/>
        </w:rPr>
      </w:pPr>
      <w:r w:rsidRPr="00BB2574">
        <w:rPr>
          <w:rStyle w:val="FootnoteReference"/>
          <w:rFonts w:ascii="Arial" w:hAnsi="Arial" w:cs="Arial"/>
          <w:sz w:val="22"/>
          <w:szCs w:val="22"/>
        </w:rPr>
        <w:footnoteRef/>
      </w:r>
      <w:r w:rsidRPr="00BB2574">
        <w:rPr>
          <w:rFonts w:ascii="Arial" w:hAnsi="Arial" w:cs="Arial"/>
          <w:sz w:val="22"/>
          <w:szCs w:val="22"/>
        </w:rPr>
        <w:t xml:space="preserve"> 1951 (3) SA 158 (A)</w:t>
      </w:r>
      <w:r w:rsidR="00BB2574">
        <w:rPr>
          <w:rFonts w:ascii="Arial" w:hAnsi="Arial" w:cs="Arial"/>
          <w:sz w:val="22"/>
          <w:szCs w:val="22"/>
        </w:rPr>
        <w:t>.</w:t>
      </w:r>
    </w:p>
  </w:footnote>
  <w:footnote w:id="5">
    <w:p w14:paraId="7AB0E56E" w14:textId="68971F63" w:rsidR="00C85A39" w:rsidRPr="006976FF" w:rsidRDefault="00C85A39" w:rsidP="006976FF">
      <w:pPr>
        <w:pStyle w:val="FootnoteText"/>
        <w:spacing w:line="360" w:lineRule="auto"/>
        <w:rPr>
          <w:rFonts w:ascii="Arial" w:hAnsi="Arial" w:cs="Arial"/>
          <w:sz w:val="22"/>
          <w:szCs w:val="22"/>
        </w:rPr>
      </w:pPr>
      <w:r w:rsidRPr="006976FF">
        <w:rPr>
          <w:rStyle w:val="FootnoteReference"/>
          <w:rFonts w:ascii="Arial" w:hAnsi="Arial" w:cs="Arial"/>
          <w:sz w:val="22"/>
          <w:szCs w:val="22"/>
        </w:rPr>
        <w:footnoteRef/>
      </w:r>
      <w:r w:rsidRPr="006976FF">
        <w:rPr>
          <w:rFonts w:ascii="Arial" w:hAnsi="Arial" w:cs="Arial"/>
          <w:sz w:val="22"/>
          <w:szCs w:val="22"/>
        </w:rPr>
        <w:t xml:space="preserve"> </w:t>
      </w:r>
      <w:r w:rsidRPr="006976FF">
        <w:rPr>
          <w:rFonts w:ascii="Arial" w:hAnsi="Arial" w:cs="Arial"/>
          <w:sz w:val="22"/>
          <w:szCs w:val="22"/>
          <w:shd w:val="clear" w:color="auto" w:fill="FFFFFF"/>
        </w:rPr>
        <w:t>[2005] 1 All SA 1 (SCA)</w:t>
      </w:r>
      <w:r w:rsidR="006976FF">
        <w:rPr>
          <w:rFonts w:ascii="Arial" w:hAnsi="Arial" w:cs="Arial"/>
          <w:sz w:val="22"/>
          <w:szCs w:val="22"/>
          <w:shd w:val="clear" w:color="auto" w:fill="FFFFFF"/>
        </w:rPr>
        <w:t>.</w:t>
      </w:r>
    </w:p>
  </w:footnote>
  <w:footnote w:id="6">
    <w:p w14:paraId="5F639AFF" w14:textId="089C119A" w:rsidR="006976FF" w:rsidRPr="006976FF" w:rsidRDefault="006976FF" w:rsidP="006976FF">
      <w:pPr>
        <w:pStyle w:val="FootnoteText"/>
        <w:spacing w:line="360" w:lineRule="auto"/>
        <w:rPr>
          <w:rFonts w:ascii="Arial" w:hAnsi="Arial" w:cs="Arial"/>
          <w:sz w:val="22"/>
          <w:szCs w:val="22"/>
        </w:rPr>
      </w:pPr>
      <w:r w:rsidRPr="006976FF">
        <w:rPr>
          <w:rStyle w:val="FootnoteReference"/>
          <w:rFonts w:ascii="Arial" w:hAnsi="Arial" w:cs="Arial"/>
          <w:sz w:val="22"/>
          <w:szCs w:val="22"/>
        </w:rPr>
        <w:footnoteRef/>
      </w:r>
      <w:r w:rsidRPr="006976FF">
        <w:rPr>
          <w:rFonts w:ascii="Arial" w:hAnsi="Arial" w:cs="Arial"/>
          <w:sz w:val="22"/>
          <w:szCs w:val="22"/>
        </w:rPr>
        <w:t xml:space="preserve"> </w:t>
      </w:r>
      <w:hyperlink r:id="rId1" w:tooltip="View LawCiteRecord" w:history="1">
        <w:r w:rsidRPr="006976FF">
          <w:rPr>
            <w:rFonts w:ascii="Arial" w:hAnsi="Arial" w:cs="Arial"/>
            <w:sz w:val="22"/>
            <w:szCs w:val="22"/>
            <w:shd w:val="clear" w:color="auto" w:fill="FFFFFF"/>
          </w:rPr>
          <w:t>1999 (1) SACR 447</w:t>
        </w:r>
      </w:hyperlink>
      <w:r w:rsidRPr="006976FF">
        <w:rPr>
          <w:rFonts w:ascii="Arial" w:hAnsi="Arial" w:cs="Arial"/>
          <w:sz w:val="22"/>
          <w:szCs w:val="22"/>
          <w:shd w:val="clear" w:color="auto" w:fill="FFFFFF"/>
        </w:rPr>
        <w:t> (W)</w:t>
      </w:r>
      <w:r>
        <w:rPr>
          <w:rFonts w:ascii="Arial" w:hAnsi="Arial" w:cs="Arial"/>
          <w:sz w:val="22"/>
          <w:szCs w:val="22"/>
          <w:shd w:val="clear" w:color="auto" w:fill="FFFFFF"/>
        </w:rPr>
        <w:t>.</w:t>
      </w:r>
    </w:p>
  </w:footnote>
  <w:footnote w:id="7">
    <w:p w14:paraId="71C9630F" w14:textId="51054BB7" w:rsidR="004621AA" w:rsidRPr="00F821ED" w:rsidRDefault="004621AA" w:rsidP="00F821ED">
      <w:pPr>
        <w:pStyle w:val="FootnoteText"/>
        <w:spacing w:line="360" w:lineRule="auto"/>
        <w:jc w:val="both"/>
        <w:rPr>
          <w:rFonts w:ascii="Arial" w:hAnsi="Arial" w:cs="Arial"/>
          <w:i/>
          <w:iCs/>
          <w:sz w:val="22"/>
          <w:szCs w:val="22"/>
        </w:rPr>
      </w:pPr>
      <w:r w:rsidRPr="00A166AB">
        <w:rPr>
          <w:rStyle w:val="FootnoteReference"/>
          <w:rFonts w:ascii="Arial" w:hAnsi="Arial" w:cs="Arial"/>
          <w:sz w:val="22"/>
          <w:szCs w:val="22"/>
        </w:rPr>
        <w:footnoteRef/>
      </w:r>
      <w:r w:rsidRPr="00F821ED">
        <w:rPr>
          <w:rFonts w:ascii="Arial" w:hAnsi="Arial" w:cs="Arial"/>
          <w:i/>
          <w:iCs/>
          <w:sz w:val="22"/>
          <w:szCs w:val="22"/>
        </w:rPr>
        <w:t xml:space="preserve"> R v Manda </w:t>
      </w:r>
      <w:r w:rsidRPr="00BF2E64">
        <w:rPr>
          <w:rFonts w:ascii="Arial" w:hAnsi="Arial" w:cs="Arial"/>
          <w:sz w:val="22"/>
          <w:szCs w:val="22"/>
        </w:rPr>
        <w:t>1951 (3) SA 158 (A).</w:t>
      </w:r>
    </w:p>
  </w:footnote>
  <w:footnote w:id="8">
    <w:p w14:paraId="0D5A8565" w14:textId="409B732C" w:rsidR="00F821ED" w:rsidRPr="00F821ED" w:rsidRDefault="00F821ED" w:rsidP="00F821ED">
      <w:pPr>
        <w:pStyle w:val="FootnoteText"/>
        <w:spacing w:line="360" w:lineRule="auto"/>
        <w:jc w:val="both"/>
        <w:rPr>
          <w:rFonts w:ascii="Arial" w:hAnsi="Arial" w:cs="Arial"/>
          <w:i/>
          <w:iCs/>
          <w:color w:val="242121"/>
          <w:sz w:val="22"/>
          <w:szCs w:val="22"/>
        </w:rPr>
      </w:pPr>
      <w:r w:rsidRPr="00A166AB">
        <w:rPr>
          <w:rFonts w:ascii="Arial" w:hAnsi="Arial" w:cs="Arial"/>
          <w:sz w:val="22"/>
          <w:szCs w:val="22"/>
          <w:vertAlign w:val="superscript"/>
        </w:rPr>
        <w:footnoteRef/>
      </w:r>
      <w:r w:rsidRPr="00F821ED">
        <w:rPr>
          <w:rFonts w:ascii="Arial" w:hAnsi="Arial" w:cs="Arial"/>
          <w:i/>
          <w:iCs/>
          <w:sz w:val="22"/>
          <w:szCs w:val="22"/>
        </w:rPr>
        <w:t xml:space="preserve"> </w:t>
      </w:r>
      <w:r w:rsidRPr="009C5295">
        <w:rPr>
          <w:rFonts w:ascii="Arial" w:hAnsi="Arial" w:cs="Arial"/>
          <w:sz w:val="22"/>
          <w:szCs w:val="22"/>
        </w:rPr>
        <w:t>See also</w:t>
      </w:r>
      <w:r w:rsidRPr="00F821ED">
        <w:rPr>
          <w:rFonts w:ascii="Arial" w:hAnsi="Arial" w:cs="Arial"/>
          <w:i/>
          <w:iCs/>
          <w:sz w:val="22"/>
          <w:szCs w:val="22"/>
        </w:rPr>
        <w:t xml:space="preserve"> Maila v The State </w:t>
      </w:r>
      <w:r w:rsidRPr="00F821ED">
        <w:rPr>
          <w:rFonts w:ascii="Arial" w:hAnsi="Arial" w:cs="Arial"/>
          <w:sz w:val="22"/>
          <w:szCs w:val="22"/>
        </w:rPr>
        <w:t>(429/2022) </w:t>
      </w:r>
      <w:hyperlink r:id="rId2" w:tooltip="View LawCiteRecord" w:history="1">
        <w:r w:rsidRPr="00F821ED">
          <w:rPr>
            <w:rFonts w:ascii="Arial" w:hAnsi="Arial" w:cs="Arial"/>
            <w:sz w:val="22"/>
            <w:szCs w:val="22"/>
          </w:rPr>
          <w:t>[2023] ZASCA 3</w:t>
        </w:r>
      </w:hyperlink>
      <w:r w:rsidRPr="00F821ED">
        <w:rPr>
          <w:rFonts w:ascii="Arial" w:hAnsi="Arial" w:cs="Arial"/>
          <w:sz w:val="22"/>
          <w:szCs w:val="22"/>
        </w:rPr>
        <w:t> (23 January 2023) at paragraph 18, in which the court stated:</w:t>
      </w:r>
      <w:r w:rsidRPr="00F821ED">
        <w:rPr>
          <w:rFonts w:ascii="Arial" w:hAnsi="Arial" w:cs="Arial"/>
          <w:i/>
          <w:iCs/>
          <w:sz w:val="22"/>
          <w:szCs w:val="22"/>
        </w:rPr>
        <w:t xml:space="preserve"> “</w:t>
      </w:r>
      <w:r w:rsidRPr="00F821ED">
        <w:rPr>
          <w:rFonts w:ascii="Arial" w:hAnsi="Arial" w:cs="Arial"/>
          <w:i/>
          <w:iCs/>
          <w:color w:val="242121"/>
          <w:sz w:val="22"/>
          <w:szCs w:val="22"/>
        </w:rPr>
        <w:t>This Court has, since Woji, cautioned against what is now commonly known as the double cautionary rule.</w:t>
      </w:r>
      <w:bookmarkStart w:id="1" w:name="_ftnref5"/>
      <w:r w:rsidRPr="00F821ED">
        <w:rPr>
          <w:rFonts w:ascii="Arial" w:hAnsi="Arial" w:cs="Arial"/>
          <w:i/>
          <w:iCs/>
          <w:color w:val="242121"/>
          <w:sz w:val="22"/>
          <w:szCs w:val="22"/>
        </w:rPr>
        <w:fldChar w:fldCharType="begin"/>
      </w:r>
      <w:r w:rsidRPr="00F821ED">
        <w:rPr>
          <w:rFonts w:ascii="Arial" w:hAnsi="Arial" w:cs="Arial"/>
          <w:i/>
          <w:iCs/>
          <w:color w:val="242121"/>
          <w:sz w:val="22"/>
          <w:szCs w:val="22"/>
        </w:rPr>
        <w:instrText xml:space="preserve"> HYPERLINK "http://www.saflii.org/za/cases/ZASCA/2023/3.html" \l "_ftn5" </w:instrText>
      </w:r>
      <w:r w:rsidRPr="00F821ED">
        <w:rPr>
          <w:rFonts w:ascii="Arial" w:hAnsi="Arial" w:cs="Arial"/>
          <w:i/>
          <w:iCs/>
          <w:color w:val="242121"/>
          <w:sz w:val="22"/>
          <w:szCs w:val="22"/>
        </w:rPr>
        <w:fldChar w:fldCharType="separate"/>
      </w:r>
      <w:r w:rsidRPr="00F821ED">
        <w:rPr>
          <w:rStyle w:val="Hyperlink"/>
          <w:rFonts w:ascii="Arial" w:hAnsi="Arial" w:cs="Arial"/>
          <w:b/>
          <w:bCs/>
          <w:i/>
          <w:iCs/>
          <w:color w:val="0B4B0B"/>
          <w:sz w:val="22"/>
          <w:szCs w:val="22"/>
          <w:vertAlign w:val="superscript"/>
        </w:rPr>
        <w:t>]</w:t>
      </w:r>
      <w:r w:rsidRPr="00F821ED">
        <w:rPr>
          <w:rFonts w:ascii="Arial" w:hAnsi="Arial" w:cs="Arial"/>
          <w:i/>
          <w:iCs/>
          <w:color w:val="242121"/>
          <w:sz w:val="22"/>
          <w:szCs w:val="22"/>
        </w:rPr>
        <w:fldChar w:fldCharType="end"/>
      </w:r>
      <w:bookmarkEnd w:id="1"/>
      <w:r w:rsidRPr="00F821ED">
        <w:rPr>
          <w:rFonts w:ascii="Arial" w:hAnsi="Arial" w:cs="Arial"/>
          <w:i/>
          <w:iCs/>
          <w:color w:val="242121"/>
          <w:sz w:val="22"/>
          <w:szCs w:val="22"/>
        </w:rPr>
        <w:t> It has stated that the double cautionary rule should not be used to disadvantage a child witness on that basis alone. The evidence of a child witness must be considered as a whole, taking into account all the evidence. This means that, at the end of the case, the single child witness’s evidence, tested through (in most cases, rigorous) cross-examination, should be ‘trustworthy’.</w:t>
      </w:r>
      <w:r>
        <w:rPr>
          <w:rFonts w:ascii="Arial" w:hAnsi="Arial" w:cs="Arial"/>
          <w:i/>
          <w:iCs/>
          <w:color w:val="242121"/>
          <w:sz w:val="22"/>
          <w:szCs w:val="22"/>
        </w:rPr>
        <w:t>”</w:t>
      </w:r>
      <w:r w:rsidRPr="00F821ED">
        <w:rPr>
          <w:rFonts w:ascii="Arial" w:hAnsi="Arial" w:cs="Arial"/>
          <w:i/>
          <w:iCs/>
          <w:color w:val="242121"/>
          <w:sz w:val="22"/>
          <w:szCs w:val="22"/>
        </w:rPr>
        <w:t xml:space="preserve"> </w:t>
      </w:r>
    </w:p>
    <w:p w14:paraId="66428CB4" w14:textId="77777777" w:rsidR="00F821ED" w:rsidRPr="00F821ED" w:rsidRDefault="00F821ED" w:rsidP="00F821ED">
      <w:pPr>
        <w:pStyle w:val="FootnoteText"/>
        <w:spacing w:line="360" w:lineRule="auto"/>
        <w:jc w:val="both"/>
        <w:rPr>
          <w:rFonts w:ascii="Arial" w:hAnsi="Arial" w:cs="Arial"/>
          <w:i/>
          <w:iCs/>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14:paraId="62B192B1" w14:textId="05A98DA4" w:rsidR="00BE7468" w:rsidRDefault="00BE7468">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372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372C">
          <w:rPr>
            <w:b/>
            <w:bCs/>
            <w:noProof/>
          </w:rPr>
          <w:t>23</w:t>
        </w:r>
        <w:r>
          <w:rPr>
            <w:b/>
            <w:bCs/>
            <w:sz w:val="24"/>
            <w:szCs w:val="24"/>
          </w:rPr>
          <w:fldChar w:fldCharType="end"/>
        </w:r>
      </w:p>
    </w:sdtContent>
  </w:sdt>
  <w:p w14:paraId="5C533753" w14:textId="77777777" w:rsidR="00BE7468" w:rsidRDefault="00BE7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D62897"/>
    <w:multiLevelType w:val="hybridMultilevel"/>
    <w:tmpl w:val="2988AB5E"/>
    <w:lvl w:ilvl="0" w:tplc="B690635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94"/>
    <w:rsid w:val="00005339"/>
    <w:rsid w:val="000056CA"/>
    <w:rsid w:val="00013CC3"/>
    <w:rsid w:val="000170A5"/>
    <w:rsid w:val="0002710C"/>
    <w:rsid w:val="0003596D"/>
    <w:rsid w:val="00051A73"/>
    <w:rsid w:val="00056722"/>
    <w:rsid w:val="00066D15"/>
    <w:rsid w:val="00082517"/>
    <w:rsid w:val="00083678"/>
    <w:rsid w:val="000A623F"/>
    <w:rsid w:val="000C1C98"/>
    <w:rsid w:val="000E3B45"/>
    <w:rsid w:val="000E6886"/>
    <w:rsid w:val="000F7494"/>
    <w:rsid w:val="00100CD1"/>
    <w:rsid w:val="00107A24"/>
    <w:rsid w:val="00115110"/>
    <w:rsid w:val="00122756"/>
    <w:rsid w:val="001254E3"/>
    <w:rsid w:val="001302E8"/>
    <w:rsid w:val="00131218"/>
    <w:rsid w:val="00147756"/>
    <w:rsid w:val="00150804"/>
    <w:rsid w:val="0015203A"/>
    <w:rsid w:val="00153E2D"/>
    <w:rsid w:val="00165926"/>
    <w:rsid w:val="00165E92"/>
    <w:rsid w:val="00182D22"/>
    <w:rsid w:val="0018425A"/>
    <w:rsid w:val="001907A4"/>
    <w:rsid w:val="00196720"/>
    <w:rsid w:val="001C1917"/>
    <w:rsid w:val="001D120B"/>
    <w:rsid w:val="001F3D9B"/>
    <w:rsid w:val="001F76E3"/>
    <w:rsid w:val="002003A1"/>
    <w:rsid w:val="00205093"/>
    <w:rsid w:val="002110F4"/>
    <w:rsid w:val="002325FF"/>
    <w:rsid w:val="002326E3"/>
    <w:rsid w:val="00234654"/>
    <w:rsid w:val="00245BA6"/>
    <w:rsid w:val="00246FD9"/>
    <w:rsid w:val="00250B3A"/>
    <w:rsid w:val="00271FDE"/>
    <w:rsid w:val="00285B18"/>
    <w:rsid w:val="00286253"/>
    <w:rsid w:val="002877D7"/>
    <w:rsid w:val="002C3764"/>
    <w:rsid w:val="002D07F3"/>
    <w:rsid w:val="002D5026"/>
    <w:rsid w:val="00300865"/>
    <w:rsid w:val="00312727"/>
    <w:rsid w:val="003129F7"/>
    <w:rsid w:val="003362EE"/>
    <w:rsid w:val="003366C7"/>
    <w:rsid w:val="003405BC"/>
    <w:rsid w:val="003467A8"/>
    <w:rsid w:val="003468CA"/>
    <w:rsid w:val="00351013"/>
    <w:rsid w:val="00356A4F"/>
    <w:rsid w:val="00362F91"/>
    <w:rsid w:val="0036388B"/>
    <w:rsid w:val="0036658F"/>
    <w:rsid w:val="00367BE8"/>
    <w:rsid w:val="0037240D"/>
    <w:rsid w:val="00375986"/>
    <w:rsid w:val="00382BC6"/>
    <w:rsid w:val="00383844"/>
    <w:rsid w:val="003B3297"/>
    <w:rsid w:val="003B4BE4"/>
    <w:rsid w:val="003B6591"/>
    <w:rsid w:val="003C22E9"/>
    <w:rsid w:val="003E30EF"/>
    <w:rsid w:val="003E37EA"/>
    <w:rsid w:val="003F6C54"/>
    <w:rsid w:val="00404111"/>
    <w:rsid w:val="00405919"/>
    <w:rsid w:val="00407785"/>
    <w:rsid w:val="004113D5"/>
    <w:rsid w:val="0042755D"/>
    <w:rsid w:val="00437088"/>
    <w:rsid w:val="00441237"/>
    <w:rsid w:val="00454CD7"/>
    <w:rsid w:val="004621AA"/>
    <w:rsid w:val="00471ACD"/>
    <w:rsid w:val="0047380C"/>
    <w:rsid w:val="00474FFB"/>
    <w:rsid w:val="004752F3"/>
    <w:rsid w:val="0048358C"/>
    <w:rsid w:val="004849CE"/>
    <w:rsid w:val="00485F48"/>
    <w:rsid w:val="004927C1"/>
    <w:rsid w:val="004934A7"/>
    <w:rsid w:val="004B1CF6"/>
    <w:rsid w:val="004B5789"/>
    <w:rsid w:val="004C0A10"/>
    <w:rsid w:val="004C72A1"/>
    <w:rsid w:val="004C7F0D"/>
    <w:rsid w:val="0050696D"/>
    <w:rsid w:val="00506E35"/>
    <w:rsid w:val="00526FD6"/>
    <w:rsid w:val="00534A2D"/>
    <w:rsid w:val="005457A2"/>
    <w:rsid w:val="005527BF"/>
    <w:rsid w:val="00556E66"/>
    <w:rsid w:val="00565671"/>
    <w:rsid w:val="00587CA2"/>
    <w:rsid w:val="00593EA1"/>
    <w:rsid w:val="00593F67"/>
    <w:rsid w:val="00596D74"/>
    <w:rsid w:val="005A43D6"/>
    <w:rsid w:val="005A61AB"/>
    <w:rsid w:val="005B0EA5"/>
    <w:rsid w:val="005C3A43"/>
    <w:rsid w:val="005C61AF"/>
    <w:rsid w:val="005D0044"/>
    <w:rsid w:val="005D1207"/>
    <w:rsid w:val="005F14B6"/>
    <w:rsid w:val="005F7F14"/>
    <w:rsid w:val="0060275D"/>
    <w:rsid w:val="00605E94"/>
    <w:rsid w:val="0062032F"/>
    <w:rsid w:val="00631A0F"/>
    <w:rsid w:val="00646F39"/>
    <w:rsid w:val="00651329"/>
    <w:rsid w:val="00651B58"/>
    <w:rsid w:val="00651C4B"/>
    <w:rsid w:val="00662ED7"/>
    <w:rsid w:val="006704A2"/>
    <w:rsid w:val="00682385"/>
    <w:rsid w:val="00686C76"/>
    <w:rsid w:val="00691E3E"/>
    <w:rsid w:val="006976FF"/>
    <w:rsid w:val="006A071B"/>
    <w:rsid w:val="006A6525"/>
    <w:rsid w:val="006C3B44"/>
    <w:rsid w:val="006C41EC"/>
    <w:rsid w:val="006C6005"/>
    <w:rsid w:val="006C7560"/>
    <w:rsid w:val="006D16EA"/>
    <w:rsid w:val="006D67E6"/>
    <w:rsid w:val="006E5196"/>
    <w:rsid w:val="006E7D3D"/>
    <w:rsid w:val="007077D1"/>
    <w:rsid w:val="00711011"/>
    <w:rsid w:val="0072424B"/>
    <w:rsid w:val="00724DF4"/>
    <w:rsid w:val="0073689D"/>
    <w:rsid w:val="007448DE"/>
    <w:rsid w:val="00752ACC"/>
    <w:rsid w:val="0075536F"/>
    <w:rsid w:val="0075771D"/>
    <w:rsid w:val="00767090"/>
    <w:rsid w:val="00784110"/>
    <w:rsid w:val="007940A8"/>
    <w:rsid w:val="007961CB"/>
    <w:rsid w:val="0079773D"/>
    <w:rsid w:val="007A579C"/>
    <w:rsid w:val="007B1F10"/>
    <w:rsid w:val="007E372C"/>
    <w:rsid w:val="007F0903"/>
    <w:rsid w:val="00804FEB"/>
    <w:rsid w:val="0082634B"/>
    <w:rsid w:val="00831902"/>
    <w:rsid w:val="0083527A"/>
    <w:rsid w:val="00853685"/>
    <w:rsid w:val="008764BC"/>
    <w:rsid w:val="008809CA"/>
    <w:rsid w:val="00880D2C"/>
    <w:rsid w:val="008845FE"/>
    <w:rsid w:val="008847C9"/>
    <w:rsid w:val="0088652F"/>
    <w:rsid w:val="0089393A"/>
    <w:rsid w:val="008A0092"/>
    <w:rsid w:val="008A328E"/>
    <w:rsid w:val="008B6552"/>
    <w:rsid w:val="008D3034"/>
    <w:rsid w:val="008D31A5"/>
    <w:rsid w:val="008D37BA"/>
    <w:rsid w:val="008E27FA"/>
    <w:rsid w:val="008F7223"/>
    <w:rsid w:val="00925FAB"/>
    <w:rsid w:val="00925FE7"/>
    <w:rsid w:val="009301C6"/>
    <w:rsid w:val="00942794"/>
    <w:rsid w:val="009439C7"/>
    <w:rsid w:val="00955813"/>
    <w:rsid w:val="009559EE"/>
    <w:rsid w:val="00955E63"/>
    <w:rsid w:val="009627BF"/>
    <w:rsid w:val="00963B62"/>
    <w:rsid w:val="00967CDE"/>
    <w:rsid w:val="00990341"/>
    <w:rsid w:val="009938BF"/>
    <w:rsid w:val="00997586"/>
    <w:rsid w:val="009C0E21"/>
    <w:rsid w:val="009C1318"/>
    <w:rsid w:val="009C176F"/>
    <w:rsid w:val="009C2CA6"/>
    <w:rsid w:val="009C5295"/>
    <w:rsid w:val="009D7002"/>
    <w:rsid w:val="009E1A3E"/>
    <w:rsid w:val="009F1CC2"/>
    <w:rsid w:val="00A037F7"/>
    <w:rsid w:val="00A03996"/>
    <w:rsid w:val="00A05E81"/>
    <w:rsid w:val="00A115E3"/>
    <w:rsid w:val="00A166AB"/>
    <w:rsid w:val="00A31CF2"/>
    <w:rsid w:val="00A805F1"/>
    <w:rsid w:val="00A91200"/>
    <w:rsid w:val="00A91383"/>
    <w:rsid w:val="00AA6C4B"/>
    <w:rsid w:val="00AB6721"/>
    <w:rsid w:val="00AC1111"/>
    <w:rsid w:val="00AD37BA"/>
    <w:rsid w:val="00AD6A5C"/>
    <w:rsid w:val="00AF017C"/>
    <w:rsid w:val="00AF0731"/>
    <w:rsid w:val="00B03F0B"/>
    <w:rsid w:val="00B060B0"/>
    <w:rsid w:val="00B1146D"/>
    <w:rsid w:val="00B15F87"/>
    <w:rsid w:val="00B21675"/>
    <w:rsid w:val="00B22FF5"/>
    <w:rsid w:val="00B233D1"/>
    <w:rsid w:val="00B34315"/>
    <w:rsid w:val="00B376BF"/>
    <w:rsid w:val="00B40BDA"/>
    <w:rsid w:val="00B419ED"/>
    <w:rsid w:val="00B50104"/>
    <w:rsid w:val="00B57394"/>
    <w:rsid w:val="00B7050D"/>
    <w:rsid w:val="00B80312"/>
    <w:rsid w:val="00BB2574"/>
    <w:rsid w:val="00BB2C09"/>
    <w:rsid w:val="00BB3700"/>
    <w:rsid w:val="00BC2C56"/>
    <w:rsid w:val="00BD2E22"/>
    <w:rsid w:val="00BE3ACF"/>
    <w:rsid w:val="00BE7468"/>
    <w:rsid w:val="00BF13CC"/>
    <w:rsid w:val="00BF2E64"/>
    <w:rsid w:val="00BF546B"/>
    <w:rsid w:val="00BF5A61"/>
    <w:rsid w:val="00C00FB1"/>
    <w:rsid w:val="00C069D7"/>
    <w:rsid w:val="00C07C8F"/>
    <w:rsid w:val="00C107CD"/>
    <w:rsid w:val="00C25629"/>
    <w:rsid w:val="00C25C4A"/>
    <w:rsid w:val="00C330A3"/>
    <w:rsid w:val="00C504B2"/>
    <w:rsid w:val="00C53C8E"/>
    <w:rsid w:val="00C6004B"/>
    <w:rsid w:val="00C85A39"/>
    <w:rsid w:val="00C95B31"/>
    <w:rsid w:val="00CA5D06"/>
    <w:rsid w:val="00CD4421"/>
    <w:rsid w:val="00CD720E"/>
    <w:rsid w:val="00CF0C16"/>
    <w:rsid w:val="00CF32AC"/>
    <w:rsid w:val="00D06908"/>
    <w:rsid w:val="00D20DA0"/>
    <w:rsid w:val="00D251F7"/>
    <w:rsid w:val="00D3638F"/>
    <w:rsid w:val="00D414D2"/>
    <w:rsid w:val="00D5512A"/>
    <w:rsid w:val="00D57B3C"/>
    <w:rsid w:val="00D81A35"/>
    <w:rsid w:val="00D9394A"/>
    <w:rsid w:val="00DB4FD3"/>
    <w:rsid w:val="00DB6E79"/>
    <w:rsid w:val="00DC5635"/>
    <w:rsid w:val="00DD483D"/>
    <w:rsid w:val="00DE4197"/>
    <w:rsid w:val="00DE748F"/>
    <w:rsid w:val="00DF00D1"/>
    <w:rsid w:val="00DF2696"/>
    <w:rsid w:val="00E0008E"/>
    <w:rsid w:val="00E028CE"/>
    <w:rsid w:val="00E056D0"/>
    <w:rsid w:val="00E057DE"/>
    <w:rsid w:val="00E0781C"/>
    <w:rsid w:val="00E40011"/>
    <w:rsid w:val="00E4129C"/>
    <w:rsid w:val="00E579EE"/>
    <w:rsid w:val="00E61DF2"/>
    <w:rsid w:val="00E61EB2"/>
    <w:rsid w:val="00E65293"/>
    <w:rsid w:val="00E661B0"/>
    <w:rsid w:val="00E701A6"/>
    <w:rsid w:val="00E72FFC"/>
    <w:rsid w:val="00E7433C"/>
    <w:rsid w:val="00E94D6F"/>
    <w:rsid w:val="00E97FFD"/>
    <w:rsid w:val="00EB4A9B"/>
    <w:rsid w:val="00EB6915"/>
    <w:rsid w:val="00EB75F4"/>
    <w:rsid w:val="00EE6AE2"/>
    <w:rsid w:val="00EF5EB3"/>
    <w:rsid w:val="00EF7ACF"/>
    <w:rsid w:val="00F00032"/>
    <w:rsid w:val="00F12001"/>
    <w:rsid w:val="00F1455D"/>
    <w:rsid w:val="00F1481A"/>
    <w:rsid w:val="00F1545C"/>
    <w:rsid w:val="00F16C16"/>
    <w:rsid w:val="00F17FBB"/>
    <w:rsid w:val="00F25141"/>
    <w:rsid w:val="00F32933"/>
    <w:rsid w:val="00F4024B"/>
    <w:rsid w:val="00F604DA"/>
    <w:rsid w:val="00F631B4"/>
    <w:rsid w:val="00F821ED"/>
    <w:rsid w:val="00F864D2"/>
    <w:rsid w:val="00F95B9A"/>
    <w:rsid w:val="00F97320"/>
    <w:rsid w:val="00FA36E0"/>
    <w:rsid w:val="00FC1988"/>
    <w:rsid w:val="00FD65C4"/>
    <w:rsid w:val="00FF38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29F6"/>
  <w15:chartTrackingRefBased/>
  <w15:docId w15:val="{783CE7E6-27F5-49FA-BEBF-321E348A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76E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529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65293"/>
    <w:rPr>
      <w:color w:val="0000FF"/>
      <w:u w:val="single"/>
    </w:rPr>
  </w:style>
  <w:style w:type="paragraph" w:styleId="FootnoteText">
    <w:name w:val="footnote text"/>
    <w:basedOn w:val="Normal"/>
    <w:link w:val="FootnoteTextChar"/>
    <w:uiPriority w:val="99"/>
    <w:unhideWhenUsed/>
    <w:rsid w:val="00E65293"/>
    <w:pPr>
      <w:spacing w:after="0" w:line="240" w:lineRule="auto"/>
    </w:pPr>
    <w:rPr>
      <w:sz w:val="20"/>
      <w:szCs w:val="20"/>
    </w:rPr>
  </w:style>
  <w:style w:type="character" w:customStyle="1" w:styleId="FootnoteTextChar">
    <w:name w:val="Footnote Text Char"/>
    <w:basedOn w:val="DefaultParagraphFont"/>
    <w:link w:val="FootnoteText"/>
    <w:uiPriority w:val="99"/>
    <w:rsid w:val="00E65293"/>
    <w:rPr>
      <w:sz w:val="20"/>
      <w:szCs w:val="20"/>
    </w:rPr>
  </w:style>
  <w:style w:type="character" w:styleId="FootnoteReference">
    <w:name w:val="footnote reference"/>
    <w:basedOn w:val="DefaultParagraphFont"/>
    <w:uiPriority w:val="99"/>
    <w:semiHidden/>
    <w:unhideWhenUsed/>
    <w:rsid w:val="00E65293"/>
    <w:rPr>
      <w:vertAlign w:val="superscript"/>
    </w:rPr>
  </w:style>
  <w:style w:type="paragraph" w:styleId="ListParagraph">
    <w:name w:val="List Paragraph"/>
    <w:basedOn w:val="Normal"/>
    <w:link w:val="ListParagraphChar"/>
    <w:uiPriority w:val="34"/>
    <w:qFormat/>
    <w:rsid w:val="00E65293"/>
    <w:pPr>
      <w:spacing w:after="200" w:line="276" w:lineRule="auto"/>
      <w:ind w:left="720"/>
      <w:contextualSpacing/>
    </w:pPr>
  </w:style>
  <w:style w:type="paragraph" w:customStyle="1" w:styleId="GW11">
    <w:name w:val="GW1.1"/>
    <w:basedOn w:val="Normal"/>
    <w:rsid w:val="00E65293"/>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E65293"/>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E65293"/>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E65293"/>
  </w:style>
  <w:style w:type="paragraph" w:customStyle="1" w:styleId="western">
    <w:name w:val="western"/>
    <w:basedOn w:val="Normal"/>
    <w:rsid w:val="004B1CF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BE7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468"/>
  </w:style>
  <w:style w:type="paragraph" w:styleId="Footer">
    <w:name w:val="footer"/>
    <w:basedOn w:val="Normal"/>
    <w:link w:val="FooterChar"/>
    <w:uiPriority w:val="99"/>
    <w:unhideWhenUsed/>
    <w:rsid w:val="00BE7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468"/>
  </w:style>
  <w:style w:type="character" w:customStyle="1" w:styleId="Heading2Char">
    <w:name w:val="Heading 2 Char"/>
    <w:basedOn w:val="DefaultParagraphFont"/>
    <w:link w:val="Heading2"/>
    <w:uiPriority w:val="9"/>
    <w:rsid w:val="001F76E3"/>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5420">
      <w:bodyDiv w:val="1"/>
      <w:marLeft w:val="0"/>
      <w:marRight w:val="0"/>
      <w:marTop w:val="0"/>
      <w:marBottom w:val="0"/>
      <w:divBdr>
        <w:top w:val="none" w:sz="0" w:space="0" w:color="auto"/>
        <w:left w:val="none" w:sz="0" w:space="0" w:color="auto"/>
        <w:bottom w:val="none" w:sz="0" w:space="0" w:color="auto"/>
        <w:right w:val="none" w:sz="0" w:space="0" w:color="auto"/>
      </w:divBdr>
    </w:div>
    <w:div w:id="317344110">
      <w:bodyDiv w:val="1"/>
      <w:marLeft w:val="0"/>
      <w:marRight w:val="0"/>
      <w:marTop w:val="0"/>
      <w:marBottom w:val="0"/>
      <w:divBdr>
        <w:top w:val="none" w:sz="0" w:space="0" w:color="auto"/>
        <w:left w:val="none" w:sz="0" w:space="0" w:color="auto"/>
        <w:bottom w:val="none" w:sz="0" w:space="0" w:color="auto"/>
        <w:right w:val="none" w:sz="0" w:space="0" w:color="auto"/>
      </w:divBdr>
    </w:div>
    <w:div w:id="563760640">
      <w:bodyDiv w:val="1"/>
      <w:marLeft w:val="0"/>
      <w:marRight w:val="0"/>
      <w:marTop w:val="0"/>
      <w:marBottom w:val="0"/>
      <w:divBdr>
        <w:top w:val="none" w:sz="0" w:space="0" w:color="auto"/>
        <w:left w:val="none" w:sz="0" w:space="0" w:color="auto"/>
        <w:bottom w:val="none" w:sz="0" w:space="0" w:color="auto"/>
        <w:right w:val="none" w:sz="0" w:space="0" w:color="auto"/>
      </w:divBdr>
    </w:div>
    <w:div w:id="587620682">
      <w:bodyDiv w:val="1"/>
      <w:marLeft w:val="0"/>
      <w:marRight w:val="0"/>
      <w:marTop w:val="0"/>
      <w:marBottom w:val="0"/>
      <w:divBdr>
        <w:top w:val="none" w:sz="0" w:space="0" w:color="auto"/>
        <w:left w:val="none" w:sz="0" w:space="0" w:color="auto"/>
        <w:bottom w:val="none" w:sz="0" w:space="0" w:color="auto"/>
        <w:right w:val="none" w:sz="0" w:space="0" w:color="auto"/>
      </w:divBdr>
    </w:div>
    <w:div w:id="617369612">
      <w:bodyDiv w:val="1"/>
      <w:marLeft w:val="0"/>
      <w:marRight w:val="0"/>
      <w:marTop w:val="0"/>
      <w:marBottom w:val="0"/>
      <w:divBdr>
        <w:top w:val="none" w:sz="0" w:space="0" w:color="auto"/>
        <w:left w:val="none" w:sz="0" w:space="0" w:color="auto"/>
        <w:bottom w:val="none" w:sz="0" w:space="0" w:color="auto"/>
        <w:right w:val="none" w:sz="0" w:space="0" w:color="auto"/>
      </w:divBdr>
    </w:div>
    <w:div w:id="718633573">
      <w:bodyDiv w:val="1"/>
      <w:marLeft w:val="0"/>
      <w:marRight w:val="0"/>
      <w:marTop w:val="0"/>
      <w:marBottom w:val="0"/>
      <w:divBdr>
        <w:top w:val="none" w:sz="0" w:space="0" w:color="auto"/>
        <w:left w:val="none" w:sz="0" w:space="0" w:color="auto"/>
        <w:bottom w:val="none" w:sz="0" w:space="0" w:color="auto"/>
        <w:right w:val="none" w:sz="0" w:space="0" w:color="auto"/>
      </w:divBdr>
    </w:div>
    <w:div w:id="761952250">
      <w:bodyDiv w:val="1"/>
      <w:marLeft w:val="0"/>
      <w:marRight w:val="0"/>
      <w:marTop w:val="0"/>
      <w:marBottom w:val="0"/>
      <w:divBdr>
        <w:top w:val="none" w:sz="0" w:space="0" w:color="auto"/>
        <w:left w:val="none" w:sz="0" w:space="0" w:color="auto"/>
        <w:bottom w:val="none" w:sz="0" w:space="0" w:color="auto"/>
        <w:right w:val="none" w:sz="0" w:space="0" w:color="auto"/>
      </w:divBdr>
    </w:div>
    <w:div w:id="76769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5b2023%5d%20ZASCA%203" TargetMode="External"/><Relationship Id="rId1" Type="http://schemas.openxmlformats.org/officeDocument/2006/relationships/hyperlink" Target="http://www.saflii.org/cgi-bin/LawCite?cit=1999%20%281%29%20SACR%20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D9192-7D30-4690-984E-B8664818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5230</Words>
  <Characters>29815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2023-03-14T07:19:00Z</cp:lastPrinted>
  <dcterms:created xsi:type="dcterms:W3CDTF">2023-03-23T08:16:00Z</dcterms:created>
  <dcterms:modified xsi:type="dcterms:W3CDTF">2023-03-23T08:17:00Z</dcterms:modified>
</cp:coreProperties>
</file>