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5E2AA41D"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C00D68">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195C8874" w:rsidR="00D450B5" w:rsidRPr="00044B50" w:rsidRDefault="00D450B5" w:rsidP="00772E4B">
      <w:pPr>
        <w:ind w:right="-52"/>
        <w:jc w:val="center"/>
        <w:rPr>
          <w:b/>
          <w:bCs/>
          <w:lang w:val="en-GB"/>
        </w:rPr>
      </w:pPr>
      <w:r w:rsidRPr="00044B50">
        <w:rPr>
          <w:lang w:val="en-GB"/>
        </w:rPr>
        <w:t xml:space="preserve">                                                                                           </w:t>
      </w:r>
    </w:p>
    <w:p w14:paraId="101AD6EF" w14:textId="77777777" w:rsidR="008A75F3" w:rsidRDefault="00E44987" w:rsidP="008A75F3">
      <w:pPr>
        <w:jc w:val="center"/>
        <w:rPr>
          <w:lang w:val="en-GB"/>
        </w:rPr>
      </w:pPr>
      <w:r w:rsidRPr="00044B50">
        <w:rPr>
          <w:lang w:val="en-GB"/>
        </w:rPr>
        <w:t xml:space="preserve">                                                                                                  </w:t>
      </w:r>
    </w:p>
    <w:p w14:paraId="4934DB4B" w14:textId="2F49089F" w:rsidR="00E44987" w:rsidRPr="00044B50" w:rsidRDefault="00E44987" w:rsidP="00557DC6">
      <w:pPr>
        <w:ind w:left="5760"/>
        <w:rPr>
          <w:lang w:val="en-GB"/>
        </w:rPr>
      </w:pPr>
      <w:r w:rsidRPr="00044B50">
        <w:rPr>
          <w:lang w:val="en-GB"/>
        </w:rPr>
        <w:t xml:space="preserve">Case no: </w:t>
      </w:r>
      <w:r w:rsidR="00557DC6">
        <w:rPr>
          <w:lang w:val="en-GB"/>
        </w:rPr>
        <w:t>CA&amp;R 125/2022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4F6B4FB7" w:rsidR="00D450B5" w:rsidRDefault="00557DC6" w:rsidP="00AA219B">
      <w:pPr>
        <w:tabs>
          <w:tab w:val="right" w:pos="9072"/>
        </w:tabs>
        <w:suppressAutoHyphens/>
        <w:ind w:right="231"/>
        <w:jc w:val="both"/>
        <w:rPr>
          <w:lang w:val="en-GB"/>
        </w:rPr>
      </w:pPr>
      <w:r>
        <w:rPr>
          <w:lang w:val="en-GB"/>
        </w:rPr>
        <w:t>MORNE VAN TONDER</w:t>
      </w:r>
      <w:r w:rsidR="00AA219B">
        <w:rPr>
          <w:lang w:val="en-GB"/>
        </w:rPr>
        <w:tab/>
      </w:r>
      <w:r>
        <w:rPr>
          <w:lang w:val="en-GB"/>
        </w:rPr>
        <w:t>APPEL</w:t>
      </w:r>
      <w:r w:rsidR="00EC14CA">
        <w:rPr>
          <w:lang w:val="en-GB"/>
        </w:rPr>
        <w:t>L</w:t>
      </w:r>
      <w:r>
        <w:rPr>
          <w:lang w:val="en-GB"/>
        </w:rPr>
        <w:t>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718F1EE4" w:rsidR="00C246F2" w:rsidRPr="00044B50" w:rsidRDefault="00EC14CA" w:rsidP="00AA219B">
      <w:pPr>
        <w:ind w:right="89"/>
        <w:jc w:val="both"/>
        <w:rPr>
          <w:b/>
          <w:bCs/>
          <w:lang w:val="en-GB"/>
        </w:rPr>
      </w:pPr>
      <w:r>
        <w:rPr>
          <w:lang w:val="en-GB"/>
        </w:rPr>
        <w:t>THE STATE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RESPONDENT</w:t>
      </w:r>
      <w:r w:rsidR="00C246F2" w:rsidRPr="00044B50">
        <w:rPr>
          <w:lang w:val="en-GB"/>
        </w:rPr>
        <w:tab/>
      </w:r>
      <w:r w:rsidR="00C246F2" w:rsidRPr="00044B50">
        <w:rPr>
          <w:lang w:val="en-GB"/>
        </w:rPr>
        <w:tab/>
      </w:r>
      <w:r w:rsidR="00C246F2" w:rsidRPr="00044B50">
        <w:rPr>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15057235" w14:textId="11933186" w:rsidR="00823CFE" w:rsidRPr="00D94300" w:rsidRDefault="00D94300" w:rsidP="00D94300">
      <w:pPr>
        <w:autoSpaceDE w:val="0"/>
        <w:autoSpaceDN w:val="0"/>
        <w:adjustRightInd w:val="0"/>
        <w:jc w:val="both"/>
        <w:rPr>
          <w:lang w:val="en-GB"/>
        </w:rPr>
      </w:pPr>
      <w:r>
        <w:rPr>
          <w:lang w:val="en-GB"/>
        </w:rPr>
        <w:t>[1]</w:t>
      </w:r>
      <w:r>
        <w:rPr>
          <w:lang w:val="en-GB"/>
        </w:rPr>
        <w:tab/>
      </w:r>
      <w:r w:rsidR="006A7DA6" w:rsidRPr="00D94300">
        <w:rPr>
          <w:lang w:val="en-GB"/>
        </w:rPr>
        <w:t xml:space="preserve">The </w:t>
      </w:r>
      <w:r w:rsidR="000A451D" w:rsidRPr="00D94300">
        <w:rPr>
          <w:lang w:val="en-GB"/>
        </w:rPr>
        <w:t xml:space="preserve">appellant was convicted of murder (count 1), theft (count 2) and two counts of negligent driving (counts 3 and 4). He was sentenced </w:t>
      </w:r>
      <w:r w:rsidR="00AA3E30" w:rsidRPr="00D94300">
        <w:rPr>
          <w:lang w:val="en-GB"/>
        </w:rPr>
        <w:t xml:space="preserve">by the Regional Court </w:t>
      </w:r>
      <w:r w:rsidR="001572D1" w:rsidRPr="00D94300">
        <w:rPr>
          <w:lang w:val="en-GB"/>
        </w:rPr>
        <w:t xml:space="preserve">in Gqeberha </w:t>
      </w:r>
      <w:r w:rsidR="000A451D" w:rsidRPr="00D94300">
        <w:rPr>
          <w:lang w:val="en-GB"/>
        </w:rPr>
        <w:t>to 20 years</w:t>
      </w:r>
      <w:r w:rsidR="00522A69" w:rsidRPr="00D94300">
        <w:rPr>
          <w:lang w:val="en-GB"/>
        </w:rPr>
        <w:t>’</w:t>
      </w:r>
      <w:r w:rsidR="000A451D" w:rsidRPr="00D94300">
        <w:rPr>
          <w:lang w:val="en-GB"/>
        </w:rPr>
        <w:t xml:space="preserve"> imprisonment on count 1, five years</w:t>
      </w:r>
      <w:r w:rsidR="0014491D" w:rsidRPr="00D94300">
        <w:rPr>
          <w:lang w:val="en-GB"/>
        </w:rPr>
        <w:t>’</w:t>
      </w:r>
      <w:r w:rsidR="000A451D" w:rsidRPr="00D94300">
        <w:rPr>
          <w:lang w:val="en-GB"/>
        </w:rPr>
        <w:t xml:space="preserve"> imprisonment on count </w:t>
      </w:r>
      <w:r w:rsidR="00FE14A5" w:rsidRPr="00D94300">
        <w:rPr>
          <w:lang w:val="en-GB"/>
        </w:rPr>
        <w:t>2, and six</w:t>
      </w:r>
      <w:r w:rsidR="0014491D" w:rsidRPr="00D94300">
        <w:rPr>
          <w:lang w:val="en-GB"/>
        </w:rPr>
        <w:t xml:space="preserve"> </w:t>
      </w:r>
      <w:r w:rsidR="00FE14A5" w:rsidRPr="00D94300">
        <w:rPr>
          <w:lang w:val="en-GB"/>
        </w:rPr>
        <w:t>months</w:t>
      </w:r>
      <w:r w:rsidR="0014491D" w:rsidRPr="00D94300">
        <w:rPr>
          <w:lang w:val="en-GB"/>
        </w:rPr>
        <w:t>’</w:t>
      </w:r>
      <w:r w:rsidR="000A451D" w:rsidRPr="00D94300">
        <w:rPr>
          <w:lang w:val="en-GB"/>
        </w:rPr>
        <w:t xml:space="preserve"> imprisonment each for counts 3 and 4. The sentences were not ordered to </w:t>
      </w:r>
      <w:r w:rsidR="00A652F6" w:rsidRPr="00D94300">
        <w:rPr>
          <w:lang w:val="en-GB"/>
        </w:rPr>
        <w:t>run concurrently, so that a sentence of 26 years</w:t>
      </w:r>
      <w:r w:rsidR="008C4A15" w:rsidRPr="00D94300">
        <w:rPr>
          <w:lang w:val="en-GB"/>
        </w:rPr>
        <w:t>’ imprisonment</w:t>
      </w:r>
      <w:r w:rsidR="00A652F6" w:rsidRPr="00D94300">
        <w:rPr>
          <w:lang w:val="en-GB"/>
        </w:rPr>
        <w:t xml:space="preserve"> was effectively imposed.</w:t>
      </w:r>
      <w:r w:rsidR="00BB2F64" w:rsidRPr="00D94300">
        <w:rPr>
          <w:lang w:val="en-GB"/>
        </w:rPr>
        <w:t xml:space="preserve"> On petition, the appellant obtained leave to appeal against his </w:t>
      </w:r>
      <w:r w:rsidR="00BB2F64" w:rsidRPr="00D94300">
        <w:rPr>
          <w:lang w:val="en-GB"/>
        </w:rPr>
        <w:lastRenderedPageBreak/>
        <w:t>conviction and sentence.</w:t>
      </w:r>
      <w:r w:rsidR="00AA3E30" w:rsidRPr="00D94300">
        <w:rPr>
          <w:lang w:val="en-GB"/>
        </w:rPr>
        <w:t xml:space="preserve"> As to his conviction, the appellant argues that </w:t>
      </w:r>
      <w:r w:rsidR="00FE14A5" w:rsidRPr="00D94300">
        <w:rPr>
          <w:lang w:val="en-GB"/>
        </w:rPr>
        <w:t>the magistrate erred in finding that the state had proved his guilt beyond reasonable doubt. The main basis for this argument is that the court a quo erred in accepting the evidence of the appellant’s ex-wife, who was potentially biased against him, and because the court relied on the evidence of a single witness testifying about a matter of identification, whose evidence should have been treated with caution.</w:t>
      </w:r>
      <w:r w:rsidR="00667F23" w:rsidRPr="00D94300">
        <w:rPr>
          <w:lang w:val="en-GB"/>
        </w:rPr>
        <w:t xml:space="preserve"> As there was nothing inherently improbable in the version of the appellant, it was argued that it was reasonably possible that he was not the person who </w:t>
      </w:r>
      <w:r w:rsidR="00F41CCB" w:rsidRPr="00D94300">
        <w:rPr>
          <w:lang w:val="en-GB"/>
        </w:rPr>
        <w:t>murdered</w:t>
      </w:r>
      <w:r w:rsidR="00667F23" w:rsidRPr="00D94300">
        <w:rPr>
          <w:lang w:val="en-GB"/>
        </w:rPr>
        <w:t xml:space="preserve"> the deceased.</w:t>
      </w:r>
      <w:r w:rsidR="00810C45" w:rsidRPr="00D94300">
        <w:rPr>
          <w:lang w:val="en-GB"/>
        </w:rPr>
        <w:t xml:space="preserve"> </w:t>
      </w:r>
      <w:r w:rsidR="00754D7E" w:rsidRPr="00D94300">
        <w:rPr>
          <w:lang w:val="en-GB"/>
        </w:rPr>
        <w:t>Regarding</w:t>
      </w:r>
      <w:r w:rsidR="00810C45" w:rsidRPr="00D94300">
        <w:rPr>
          <w:lang w:val="en-GB"/>
        </w:rPr>
        <w:t xml:space="preserve"> sentence,</w:t>
      </w:r>
      <w:r w:rsidR="00AD4C2D" w:rsidRPr="00D94300">
        <w:rPr>
          <w:lang w:val="en-GB"/>
        </w:rPr>
        <w:t xml:space="preserve"> </w:t>
      </w:r>
      <w:r w:rsidR="00810C45" w:rsidRPr="00D94300">
        <w:rPr>
          <w:lang w:val="en-GB"/>
        </w:rPr>
        <w:t xml:space="preserve">it was submitted that the trial court failed to properly appreciate the time spent by the appellant </w:t>
      </w:r>
      <w:r w:rsidR="007B138F" w:rsidRPr="00D94300">
        <w:rPr>
          <w:lang w:val="en-GB"/>
        </w:rPr>
        <w:t>in custody awaiting trial</w:t>
      </w:r>
      <w:r w:rsidR="006E4B7E" w:rsidRPr="00D94300">
        <w:rPr>
          <w:lang w:val="en-GB"/>
        </w:rPr>
        <w:t>, and that his state of mind (he was under the influence of intoxicating liquor and drugs during the incident) should have counted as a mitigating factor.</w:t>
      </w:r>
      <w:r w:rsidR="00AD4C2D" w:rsidRPr="00D94300">
        <w:rPr>
          <w:lang w:val="en-GB"/>
        </w:rPr>
        <w:t xml:space="preserve"> The court a quo ought not to have imposed a sentence </w:t>
      </w:r>
      <w:r w:rsidR="008E745C" w:rsidRPr="00D94300">
        <w:rPr>
          <w:lang w:val="en-GB"/>
        </w:rPr>
        <w:t xml:space="preserve">five years </w:t>
      </w:r>
      <w:r w:rsidR="00AD4C2D" w:rsidRPr="00D94300">
        <w:rPr>
          <w:lang w:val="en-GB"/>
        </w:rPr>
        <w:t>in excess of the prescribed minimum sentence for count 1, and the cumulative effect of the sentences was unduly harsh</w:t>
      </w:r>
      <w:r w:rsidR="00673DF8" w:rsidRPr="00D94300">
        <w:rPr>
          <w:lang w:val="en-GB"/>
        </w:rPr>
        <w:t>. The sentence imposed was, it was argued, reflective of a material misdirection on the part of the magistrate.</w:t>
      </w:r>
    </w:p>
    <w:p w14:paraId="65C32D05" w14:textId="77777777" w:rsidR="00AC0E1A" w:rsidRDefault="00AC0E1A" w:rsidP="00AC0E1A">
      <w:pPr>
        <w:pStyle w:val="ListParagraph"/>
        <w:autoSpaceDE w:val="0"/>
        <w:autoSpaceDN w:val="0"/>
        <w:adjustRightInd w:val="0"/>
        <w:ind w:left="0"/>
        <w:jc w:val="both"/>
        <w:rPr>
          <w:lang w:val="en-GB"/>
        </w:rPr>
      </w:pPr>
    </w:p>
    <w:p w14:paraId="5203A008" w14:textId="262834A8" w:rsidR="00956409" w:rsidRPr="00D94300" w:rsidRDefault="00D94300" w:rsidP="00D94300">
      <w:pPr>
        <w:autoSpaceDE w:val="0"/>
        <w:autoSpaceDN w:val="0"/>
        <w:adjustRightInd w:val="0"/>
        <w:jc w:val="both"/>
        <w:rPr>
          <w:lang w:val="en-GB"/>
        </w:rPr>
      </w:pPr>
      <w:r>
        <w:rPr>
          <w:lang w:val="en-GB"/>
        </w:rPr>
        <w:t>[2]</w:t>
      </w:r>
      <w:r>
        <w:rPr>
          <w:lang w:val="en-GB"/>
        </w:rPr>
        <w:tab/>
      </w:r>
      <w:r w:rsidR="00964430" w:rsidRPr="00D94300">
        <w:rPr>
          <w:lang w:val="en-GB"/>
        </w:rPr>
        <w:t>Much of the factual matrix of the case is not in dispute.</w:t>
      </w:r>
      <w:r w:rsidR="00C14323" w:rsidRPr="00D94300">
        <w:rPr>
          <w:lang w:val="en-GB"/>
        </w:rPr>
        <w:t xml:space="preserve"> The appellant and deceased knew each other. The deceased visited the appellant’s home on the day in question. They subsequently spent time together at the deceased’s </w:t>
      </w:r>
      <w:r w:rsidR="009D425A" w:rsidRPr="00D94300">
        <w:rPr>
          <w:lang w:val="en-GB"/>
        </w:rPr>
        <w:t>flat</w:t>
      </w:r>
      <w:r w:rsidR="00A17C7E" w:rsidRPr="00D94300">
        <w:rPr>
          <w:lang w:val="en-GB"/>
        </w:rPr>
        <w:t>, consuming drugs</w:t>
      </w:r>
      <w:r w:rsidR="00CC549C" w:rsidRPr="00D94300">
        <w:rPr>
          <w:lang w:val="en-GB"/>
        </w:rPr>
        <w:t xml:space="preserve"> and alcohol</w:t>
      </w:r>
      <w:r w:rsidR="004D690D" w:rsidRPr="00D94300">
        <w:rPr>
          <w:lang w:val="en-GB"/>
        </w:rPr>
        <w:t xml:space="preserve">. </w:t>
      </w:r>
      <w:r w:rsidR="00C065BD" w:rsidRPr="00D94300">
        <w:rPr>
          <w:lang w:val="en-GB"/>
        </w:rPr>
        <w:t>It is common cause that t</w:t>
      </w:r>
      <w:r w:rsidR="00AC0E1A" w:rsidRPr="00D94300">
        <w:rPr>
          <w:lang w:val="en-GB"/>
        </w:rPr>
        <w:t>he appellant was at the home of the deceased on the night in question</w:t>
      </w:r>
      <w:r w:rsidR="006C697C" w:rsidRPr="00D94300">
        <w:rPr>
          <w:lang w:val="en-GB"/>
        </w:rPr>
        <w:t xml:space="preserve">, returning to his home, where his ex-wife lived, sometime </w:t>
      </w:r>
      <w:r w:rsidR="00BE6AAC" w:rsidRPr="00D94300">
        <w:rPr>
          <w:lang w:val="en-GB"/>
        </w:rPr>
        <w:t>during the early hours of the following morning</w:t>
      </w:r>
      <w:r w:rsidR="006C697C" w:rsidRPr="00D94300">
        <w:rPr>
          <w:lang w:val="en-GB"/>
        </w:rPr>
        <w:t>.</w:t>
      </w:r>
      <w:r w:rsidR="002100DD" w:rsidRPr="00D94300">
        <w:rPr>
          <w:lang w:val="en-GB"/>
        </w:rPr>
        <w:t xml:space="preserve"> </w:t>
      </w:r>
      <w:r w:rsidR="00DB6FDA" w:rsidRPr="00D94300">
        <w:rPr>
          <w:lang w:val="en-GB"/>
        </w:rPr>
        <w:t xml:space="preserve">He did so wearing a different top than he had worn when he had </w:t>
      </w:r>
      <w:r w:rsidR="00D30451" w:rsidRPr="00D94300">
        <w:rPr>
          <w:lang w:val="en-GB"/>
        </w:rPr>
        <w:t xml:space="preserve">accompanied </w:t>
      </w:r>
      <w:r w:rsidR="00DB6FDA" w:rsidRPr="00D94300">
        <w:rPr>
          <w:lang w:val="en-GB"/>
        </w:rPr>
        <w:t>the deceased</w:t>
      </w:r>
      <w:r w:rsidR="00D30451" w:rsidRPr="00D94300">
        <w:rPr>
          <w:lang w:val="en-GB"/>
        </w:rPr>
        <w:t xml:space="preserve"> to his house to drink with him</w:t>
      </w:r>
      <w:r w:rsidR="00DB6FDA" w:rsidRPr="00D94300">
        <w:rPr>
          <w:lang w:val="en-GB"/>
        </w:rPr>
        <w:t xml:space="preserve">. </w:t>
      </w:r>
      <w:r w:rsidR="005B0D1B" w:rsidRPr="00D94300">
        <w:rPr>
          <w:lang w:val="en-GB"/>
        </w:rPr>
        <w:t xml:space="preserve">Given the available DNA evidence, and the appellant’s own testimony, it may be accepted that he had been wearing socks when he stepped in the blood of the deceased prior to leaving the deceased’s home. </w:t>
      </w:r>
    </w:p>
    <w:p w14:paraId="573AE864" w14:textId="77777777" w:rsidR="00DB6FDA" w:rsidRPr="00DB6FDA" w:rsidRDefault="00DB6FDA" w:rsidP="00DB6FDA">
      <w:pPr>
        <w:pStyle w:val="ListParagraph"/>
        <w:rPr>
          <w:lang w:val="en-GB"/>
        </w:rPr>
      </w:pPr>
    </w:p>
    <w:p w14:paraId="61B0D76E" w14:textId="59C36D6F" w:rsidR="00956409" w:rsidRPr="00D94300" w:rsidRDefault="00D94300" w:rsidP="00D94300">
      <w:pPr>
        <w:autoSpaceDE w:val="0"/>
        <w:autoSpaceDN w:val="0"/>
        <w:adjustRightInd w:val="0"/>
        <w:jc w:val="both"/>
        <w:rPr>
          <w:lang w:val="en-GB"/>
        </w:rPr>
      </w:pPr>
      <w:r>
        <w:rPr>
          <w:lang w:val="en-GB"/>
        </w:rPr>
        <w:t>[3]</w:t>
      </w:r>
      <w:r>
        <w:rPr>
          <w:lang w:val="en-GB"/>
        </w:rPr>
        <w:tab/>
      </w:r>
      <w:r w:rsidR="002100DD" w:rsidRPr="00D94300">
        <w:rPr>
          <w:lang w:val="en-GB"/>
        </w:rPr>
        <w:t>Various witnesses were called to prove that it was the appellant who stabbed the deceased to death, and that he subsequently drove the deceased’s car and was involved in an accident.</w:t>
      </w:r>
      <w:r w:rsidR="004241D2" w:rsidRPr="00D94300">
        <w:rPr>
          <w:lang w:val="en-GB"/>
        </w:rPr>
        <w:t xml:space="preserve"> The state relied, in particular, on the </w:t>
      </w:r>
      <w:r w:rsidR="00DA74BF" w:rsidRPr="00D94300">
        <w:rPr>
          <w:lang w:val="en-GB"/>
        </w:rPr>
        <w:t xml:space="preserve">following two </w:t>
      </w:r>
      <w:r w:rsidR="008C4A15" w:rsidRPr="00D94300">
        <w:rPr>
          <w:lang w:val="en-GB"/>
        </w:rPr>
        <w:t>witnesses</w:t>
      </w:r>
      <w:r w:rsidR="00DA74BF" w:rsidRPr="00D94300">
        <w:rPr>
          <w:lang w:val="en-GB"/>
        </w:rPr>
        <w:t>.</w:t>
      </w:r>
      <w:r w:rsidR="004241D2" w:rsidRPr="00D94300">
        <w:rPr>
          <w:lang w:val="en-GB"/>
        </w:rPr>
        <w:t xml:space="preserve"> </w:t>
      </w:r>
      <w:r w:rsidR="00DA74BF" w:rsidRPr="00D94300">
        <w:rPr>
          <w:lang w:val="en-GB"/>
        </w:rPr>
        <w:t>Firstly,</w:t>
      </w:r>
      <w:r w:rsidR="004241D2" w:rsidRPr="00D94300">
        <w:rPr>
          <w:lang w:val="en-GB"/>
        </w:rPr>
        <w:t xml:space="preserve"> Mr Edward Vorster</w:t>
      </w:r>
      <w:r w:rsidR="00DA74BF" w:rsidRPr="00D94300">
        <w:rPr>
          <w:lang w:val="en-GB"/>
        </w:rPr>
        <w:t xml:space="preserve"> </w:t>
      </w:r>
      <w:r w:rsidR="00941E09" w:rsidRPr="00D94300">
        <w:rPr>
          <w:lang w:val="en-GB"/>
        </w:rPr>
        <w:t xml:space="preserve">(‘Vorster’) </w:t>
      </w:r>
      <w:r w:rsidR="004241D2" w:rsidRPr="00D94300">
        <w:rPr>
          <w:lang w:val="en-GB"/>
        </w:rPr>
        <w:t xml:space="preserve">identified the appellant </w:t>
      </w:r>
      <w:r w:rsidR="001149F2" w:rsidRPr="00D94300">
        <w:rPr>
          <w:lang w:val="en-GB"/>
        </w:rPr>
        <w:t xml:space="preserve">running </w:t>
      </w:r>
      <w:r w:rsidR="00D05382" w:rsidRPr="00D94300">
        <w:rPr>
          <w:lang w:val="en-GB"/>
        </w:rPr>
        <w:t xml:space="preserve">past him </w:t>
      </w:r>
      <w:r w:rsidR="004241D2" w:rsidRPr="00D94300">
        <w:rPr>
          <w:lang w:val="en-GB"/>
        </w:rPr>
        <w:t>close to the scene of a motor vehicle accident in the vicinity of Milner Street</w:t>
      </w:r>
      <w:r w:rsidR="00291FB9" w:rsidRPr="00D94300">
        <w:rPr>
          <w:lang w:val="en-GB"/>
        </w:rPr>
        <w:t xml:space="preserve"> just after midnight. </w:t>
      </w:r>
      <w:r w:rsidR="0006445F" w:rsidRPr="00D94300">
        <w:rPr>
          <w:lang w:val="en-GB"/>
        </w:rPr>
        <w:t>Secondly, the appellant’s ex-wife, Ms van Tonder</w:t>
      </w:r>
      <w:r w:rsidR="00941E09" w:rsidRPr="00D94300">
        <w:rPr>
          <w:lang w:val="en-GB"/>
        </w:rPr>
        <w:t xml:space="preserve"> (‘</w:t>
      </w:r>
      <w:r w:rsidR="00516675" w:rsidRPr="00D94300">
        <w:rPr>
          <w:lang w:val="en-GB"/>
        </w:rPr>
        <w:t>V</w:t>
      </w:r>
      <w:r w:rsidR="00941E09" w:rsidRPr="00D94300">
        <w:rPr>
          <w:lang w:val="en-GB"/>
        </w:rPr>
        <w:t>an Tonder’)</w:t>
      </w:r>
      <w:r w:rsidR="0006445F" w:rsidRPr="00D94300">
        <w:rPr>
          <w:lang w:val="en-GB"/>
        </w:rPr>
        <w:t>, testified that the appellant had admitted to her that he had stabbed the deceased</w:t>
      </w:r>
      <w:r w:rsidR="009B76DA" w:rsidRPr="00D94300">
        <w:rPr>
          <w:lang w:val="en-GB"/>
        </w:rPr>
        <w:t>.</w:t>
      </w:r>
      <w:r w:rsidR="002C5CC6" w:rsidRPr="00D94300">
        <w:rPr>
          <w:lang w:val="en-GB"/>
        </w:rPr>
        <w:t xml:space="preserve"> The outcome of the </w:t>
      </w:r>
      <w:r w:rsidR="002C5CC6" w:rsidRPr="00D94300">
        <w:rPr>
          <w:lang w:val="en-GB"/>
        </w:rPr>
        <w:lastRenderedPageBreak/>
        <w:t>post-mortem examination reflects that the deceased’s injuries had mainly been caused by a knife</w:t>
      </w:r>
      <w:r w:rsidR="00C66CE6" w:rsidRPr="00D94300">
        <w:rPr>
          <w:lang w:val="en-GB"/>
        </w:rPr>
        <w:t xml:space="preserve">. </w:t>
      </w:r>
      <w:r w:rsidR="00B228A9" w:rsidRPr="00D94300">
        <w:rPr>
          <w:lang w:val="en-GB"/>
        </w:rPr>
        <w:t xml:space="preserve">In addition to two bruises, there were 14 knife wounds and various injuries to the deceased’s face. </w:t>
      </w:r>
      <w:r w:rsidR="00C66CE6" w:rsidRPr="00D94300">
        <w:rPr>
          <w:lang w:val="en-GB"/>
        </w:rPr>
        <w:t xml:space="preserve">It must be accepted that the murder weapon, containing the deceased’s blood, was found on the scene. The appellant’s DNA was found on the steering wheel of the deceased’s vehicle. </w:t>
      </w:r>
    </w:p>
    <w:p w14:paraId="58459151" w14:textId="77777777" w:rsidR="00956409" w:rsidRPr="00956409" w:rsidRDefault="00956409" w:rsidP="00956409">
      <w:pPr>
        <w:pStyle w:val="ListParagraph"/>
        <w:rPr>
          <w:lang w:val="en-GB"/>
        </w:rPr>
      </w:pPr>
    </w:p>
    <w:p w14:paraId="00109480" w14:textId="5A824A47" w:rsidR="00AC0E1A" w:rsidRPr="00D94300" w:rsidRDefault="00D94300" w:rsidP="00D94300">
      <w:pPr>
        <w:autoSpaceDE w:val="0"/>
        <w:autoSpaceDN w:val="0"/>
        <w:adjustRightInd w:val="0"/>
        <w:jc w:val="both"/>
        <w:rPr>
          <w:lang w:val="en-GB"/>
        </w:rPr>
      </w:pPr>
      <w:r>
        <w:rPr>
          <w:lang w:val="en-GB"/>
        </w:rPr>
        <w:t>[4]</w:t>
      </w:r>
      <w:r>
        <w:rPr>
          <w:lang w:val="en-GB"/>
        </w:rPr>
        <w:tab/>
      </w:r>
      <w:r w:rsidR="00956409" w:rsidRPr="00D94300">
        <w:rPr>
          <w:lang w:val="en-GB"/>
        </w:rPr>
        <w:t xml:space="preserve">The appellant’s version was that the deceased had made </w:t>
      </w:r>
      <w:r w:rsidR="00A93624" w:rsidRPr="00D94300">
        <w:rPr>
          <w:lang w:val="en-GB"/>
        </w:rPr>
        <w:t xml:space="preserve">sexual </w:t>
      </w:r>
      <w:r w:rsidR="00956409" w:rsidRPr="00D94300">
        <w:rPr>
          <w:lang w:val="en-GB"/>
        </w:rPr>
        <w:t xml:space="preserve">advances towards him. He had lay down on the deceased’s bed. Another man, now deceased, had arrived with two associates, one of whom had assaulted the deceased. He had left the deceased’s home on foot and been robbed of the blue top he had been wearing, obtaining a red top en route to his home. </w:t>
      </w:r>
    </w:p>
    <w:p w14:paraId="44AB99DB" w14:textId="78296D90" w:rsidR="00A2425F" w:rsidRDefault="00A2425F" w:rsidP="00A2425F">
      <w:pPr>
        <w:pStyle w:val="ListParagraph"/>
        <w:autoSpaceDE w:val="0"/>
        <w:autoSpaceDN w:val="0"/>
        <w:adjustRightInd w:val="0"/>
        <w:ind w:left="0"/>
        <w:jc w:val="both"/>
        <w:rPr>
          <w:lang w:val="en-GB"/>
        </w:rPr>
      </w:pPr>
    </w:p>
    <w:p w14:paraId="685D3707" w14:textId="6A7954B1" w:rsidR="00A2425F" w:rsidRDefault="00A2425F" w:rsidP="00A2425F">
      <w:pPr>
        <w:pStyle w:val="ListParagraph"/>
        <w:autoSpaceDE w:val="0"/>
        <w:autoSpaceDN w:val="0"/>
        <w:adjustRightInd w:val="0"/>
        <w:ind w:left="0"/>
        <w:jc w:val="both"/>
        <w:rPr>
          <w:b/>
          <w:bCs/>
          <w:lang w:val="en-GB"/>
        </w:rPr>
      </w:pPr>
      <w:r>
        <w:rPr>
          <w:b/>
          <w:bCs/>
          <w:lang w:val="en-GB"/>
        </w:rPr>
        <w:t>The judgment</w:t>
      </w:r>
    </w:p>
    <w:p w14:paraId="4BB2EC4E" w14:textId="77777777" w:rsidR="00A2425F" w:rsidRPr="00A2425F" w:rsidRDefault="00A2425F" w:rsidP="00A2425F">
      <w:pPr>
        <w:pStyle w:val="ListParagraph"/>
        <w:autoSpaceDE w:val="0"/>
        <w:autoSpaceDN w:val="0"/>
        <w:adjustRightInd w:val="0"/>
        <w:ind w:left="0"/>
        <w:jc w:val="both"/>
        <w:rPr>
          <w:b/>
          <w:bCs/>
          <w:lang w:val="en-GB"/>
        </w:rPr>
      </w:pPr>
    </w:p>
    <w:p w14:paraId="01C110A2" w14:textId="392D57D4" w:rsidR="00A2425F" w:rsidRPr="00D94300" w:rsidRDefault="00D94300" w:rsidP="00D94300">
      <w:pPr>
        <w:autoSpaceDE w:val="0"/>
        <w:autoSpaceDN w:val="0"/>
        <w:adjustRightInd w:val="0"/>
        <w:jc w:val="both"/>
        <w:rPr>
          <w:lang w:val="en-GB"/>
        </w:rPr>
      </w:pPr>
      <w:r>
        <w:rPr>
          <w:lang w:val="en-GB"/>
        </w:rPr>
        <w:t>[5]</w:t>
      </w:r>
      <w:r>
        <w:rPr>
          <w:lang w:val="en-GB"/>
        </w:rPr>
        <w:tab/>
      </w:r>
      <w:r w:rsidR="00E236C2" w:rsidRPr="00D94300">
        <w:rPr>
          <w:lang w:val="en-GB"/>
        </w:rPr>
        <w:t xml:space="preserve">The court a quo was alive to the fact that there was no direct evidence that the appellant murdered the deceased, or that he had driven the vehicle of the deceased. The conviction was premised on the available circumstantial evidence, the court concluding that the only reasonable inference to drawn, to the exclusion of all other reasonable inferences, was that the appellant was guilty </w:t>
      </w:r>
      <w:r w:rsidR="00501875" w:rsidRPr="00D94300">
        <w:rPr>
          <w:lang w:val="en-GB"/>
        </w:rPr>
        <w:t xml:space="preserve">of </w:t>
      </w:r>
      <w:r w:rsidR="00437A7F" w:rsidRPr="00D94300">
        <w:rPr>
          <w:lang w:val="en-GB"/>
        </w:rPr>
        <w:t>murder</w:t>
      </w:r>
      <w:r w:rsidR="005669EF" w:rsidRPr="00D94300">
        <w:rPr>
          <w:lang w:val="en-GB"/>
        </w:rPr>
        <w:t>, theft and two counts of negligent driving</w:t>
      </w:r>
      <w:r w:rsidR="00BD60EC" w:rsidRPr="00D94300">
        <w:rPr>
          <w:lang w:val="en-GB"/>
        </w:rPr>
        <w:t>. The analysis proceeded as follows:</w:t>
      </w:r>
    </w:p>
    <w:p w14:paraId="18008513" w14:textId="54104B9C" w:rsidR="001121A6" w:rsidRPr="000D7843" w:rsidRDefault="00BD60EC" w:rsidP="000D7843">
      <w:pPr>
        <w:pStyle w:val="ListParagraph"/>
        <w:autoSpaceDE w:val="0"/>
        <w:autoSpaceDN w:val="0"/>
        <w:adjustRightInd w:val="0"/>
        <w:ind w:left="0"/>
        <w:jc w:val="both"/>
        <w:rPr>
          <w:sz w:val="22"/>
          <w:szCs w:val="22"/>
          <w:lang w:val="en-GB"/>
        </w:rPr>
      </w:pPr>
      <w:r>
        <w:rPr>
          <w:sz w:val="22"/>
          <w:szCs w:val="22"/>
          <w:lang w:val="en-GB"/>
        </w:rPr>
        <w:t>‘The circumstantial evidence is that he was indeed there at the residence of the deceased. That he admitted to his ex-wife that he had stabbed the deceased and that he came from the direction of where the vehicle had been involved in an accident. The witness who saw him coming from the direction of the vehicle made a good impression on me. I am convinced that he was an honest and credible witness. The same may be said of his ex-wife. A</w:t>
      </w:r>
      <w:r w:rsidR="0081794E">
        <w:rPr>
          <w:sz w:val="22"/>
          <w:szCs w:val="22"/>
          <w:lang w:val="en-GB"/>
        </w:rPr>
        <w:t>s</w:t>
      </w:r>
      <w:r>
        <w:rPr>
          <w:sz w:val="22"/>
          <w:szCs w:val="22"/>
          <w:lang w:val="en-GB"/>
        </w:rPr>
        <w:t xml:space="preserve"> I have already said she was very offended when it was put to her that he never told her that he had stabbed the deceased. I accept the evidence of these two witnesses. The accused’s denial in this regard … is thus rejected as false. I am </w:t>
      </w:r>
      <w:r w:rsidR="00073624">
        <w:rPr>
          <w:sz w:val="22"/>
          <w:szCs w:val="22"/>
          <w:lang w:val="en-GB"/>
        </w:rPr>
        <w:t>satisfied that the State has proven beyond reasonable doubt that he caused the death of the deceased and that he then took his vehicle and raced away in it before getting into an accident with it</w:t>
      </w:r>
      <w:r w:rsidR="00862F47">
        <w:rPr>
          <w:sz w:val="22"/>
          <w:szCs w:val="22"/>
          <w:lang w:val="en-GB"/>
        </w:rPr>
        <w:t xml:space="preserve"> … I am however satisfied that he caused the death of the deceased and if one bears in mind the injuries inflicted as they appear from the post mortem report it is clear that he had direct intent to kill the deceased.’</w:t>
      </w:r>
    </w:p>
    <w:p w14:paraId="0C1137D6" w14:textId="5126AD45" w:rsidR="00A2425F" w:rsidRDefault="00A2425F" w:rsidP="00A2425F">
      <w:pPr>
        <w:pStyle w:val="ListParagraph"/>
        <w:autoSpaceDE w:val="0"/>
        <w:autoSpaceDN w:val="0"/>
        <w:adjustRightInd w:val="0"/>
        <w:ind w:left="0"/>
        <w:jc w:val="both"/>
        <w:rPr>
          <w:lang w:val="en-GB"/>
        </w:rPr>
      </w:pPr>
    </w:p>
    <w:p w14:paraId="53D21FDC" w14:textId="3F1D1510" w:rsidR="00B3595B" w:rsidRDefault="00B3595B" w:rsidP="00A2425F">
      <w:pPr>
        <w:pStyle w:val="ListParagraph"/>
        <w:autoSpaceDE w:val="0"/>
        <w:autoSpaceDN w:val="0"/>
        <w:adjustRightInd w:val="0"/>
        <w:ind w:left="0"/>
        <w:jc w:val="both"/>
        <w:rPr>
          <w:lang w:val="en-GB"/>
        </w:rPr>
      </w:pPr>
    </w:p>
    <w:p w14:paraId="59BDCDFE" w14:textId="6194788A" w:rsidR="00B3595B" w:rsidRDefault="00B3595B" w:rsidP="00A2425F">
      <w:pPr>
        <w:pStyle w:val="ListParagraph"/>
        <w:autoSpaceDE w:val="0"/>
        <w:autoSpaceDN w:val="0"/>
        <w:adjustRightInd w:val="0"/>
        <w:ind w:left="0"/>
        <w:jc w:val="both"/>
        <w:rPr>
          <w:lang w:val="en-GB"/>
        </w:rPr>
      </w:pPr>
    </w:p>
    <w:p w14:paraId="17E13C39" w14:textId="77777777" w:rsidR="00B3595B" w:rsidRDefault="00B3595B" w:rsidP="00A2425F">
      <w:pPr>
        <w:pStyle w:val="ListParagraph"/>
        <w:autoSpaceDE w:val="0"/>
        <w:autoSpaceDN w:val="0"/>
        <w:adjustRightInd w:val="0"/>
        <w:ind w:left="0"/>
        <w:jc w:val="both"/>
        <w:rPr>
          <w:lang w:val="en-GB"/>
        </w:rPr>
      </w:pPr>
    </w:p>
    <w:p w14:paraId="368F5739" w14:textId="270F6AFA" w:rsidR="00A2425F" w:rsidRDefault="0042686A" w:rsidP="00A2425F">
      <w:pPr>
        <w:pStyle w:val="ListParagraph"/>
        <w:autoSpaceDE w:val="0"/>
        <w:autoSpaceDN w:val="0"/>
        <w:adjustRightInd w:val="0"/>
        <w:ind w:left="0"/>
        <w:jc w:val="both"/>
        <w:rPr>
          <w:b/>
          <w:bCs/>
          <w:lang w:val="en-GB"/>
        </w:rPr>
      </w:pPr>
      <w:r>
        <w:rPr>
          <w:b/>
          <w:bCs/>
          <w:lang w:val="en-GB"/>
        </w:rPr>
        <w:t>The law</w:t>
      </w:r>
    </w:p>
    <w:p w14:paraId="03E7CA0A" w14:textId="77777777" w:rsidR="00A2425F" w:rsidRPr="00A2425F" w:rsidRDefault="00A2425F" w:rsidP="00A2425F">
      <w:pPr>
        <w:pStyle w:val="ListParagraph"/>
        <w:autoSpaceDE w:val="0"/>
        <w:autoSpaceDN w:val="0"/>
        <w:adjustRightInd w:val="0"/>
        <w:ind w:left="0"/>
        <w:jc w:val="both"/>
        <w:rPr>
          <w:b/>
          <w:bCs/>
          <w:lang w:val="en-GB"/>
        </w:rPr>
      </w:pPr>
    </w:p>
    <w:p w14:paraId="117214BE" w14:textId="4EADA319" w:rsidR="001121A6" w:rsidRPr="00D94300" w:rsidRDefault="00D94300" w:rsidP="00D94300">
      <w:pPr>
        <w:autoSpaceDE w:val="0"/>
        <w:autoSpaceDN w:val="0"/>
        <w:adjustRightInd w:val="0"/>
        <w:jc w:val="both"/>
        <w:rPr>
          <w:lang w:val="en-GB"/>
        </w:rPr>
      </w:pPr>
      <w:r>
        <w:rPr>
          <w:lang w:val="en-GB"/>
        </w:rPr>
        <w:t>[6]</w:t>
      </w:r>
      <w:r>
        <w:rPr>
          <w:lang w:val="en-GB"/>
        </w:rPr>
        <w:tab/>
      </w:r>
      <w:r w:rsidR="001121A6" w:rsidRPr="00D94300">
        <w:rPr>
          <w:lang w:val="en-GB"/>
        </w:rPr>
        <w:t xml:space="preserve">Appeals on fact are disposed of in accordance with the principles set out in </w:t>
      </w:r>
      <w:r w:rsidR="001121A6" w:rsidRPr="00D94300">
        <w:rPr>
          <w:i/>
          <w:iCs/>
          <w:lang w:val="en-GB"/>
        </w:rPr>
        <w:t>R v Dhlumayo and Another</w:t>
      </w:r>
      <w:r w:rsidR="001121A6" w:rsidRPr="00D94300">
        <w:rPr>
          <w:lang w:val="en-GB"/>
        </w:rPr>
        <w:t>.</w:t>
      </w:r>
      <w:r w:rsidR="001121A6">
        <w:rPr>
          <w:rStyle w:val="FootnoteReference"/>
          <w:lang w:val="en-GB"/>
        </w:rPr>
        <w:footnoteReference w:id="1"/>
      </w:r>
      <w:r w:rsidR="001121A6" w:rsidRPr="00D94300">
        <w:rPr>
          <w:lang w:val="en-GB"/>
        </w:rPr>
        <w:t xml:space="preserve"> There is a presumption that the trial court’s evaluation of the evidence is correct and it will only be disregarded if it is clearly wrong.</w:t>
      </w:r>
      <w:r w:rsidR="001121A6">
        <w:rPr>
          <w:rStyle w:val="FootnoteReference"/>
          <w:lang w:val="en-GB"/>
        </w:rPr>
        <w:footnoteReference w:id="2"/>
      </w:r>
      <w:r w:rsidR="001121A6" w:rsidRPr="00D94300">
        <w:rPr>
          <w:lang w:val="en-GB"/>
        </w:rPr>
        <w:t xml:space="preserve"> In the absence of any misdirection, the trial court’s conclusion, including its acceptance of particular evidence, is presumed to be correct: </w:t>
      </w:r>
    </w:p>
    <w:p w14:paraId="6092863A" w14:textId="0C8DDBAD" w:rsidR="001121A6" w:rsidRDefault="001121A6" w:rsidP="001121A6">
      <w:pPr>
        <w:pStyle w:val="ListParagraph"/>
        <w:autoSpaceDE w:val="0"/>
        <w:autoSpaceDN w:val="0"/>
        <w:adjustRightInd w:val="0"/>
        <w:ind w:left="0"/>
        <w:jc w:val="both"/>
        <w:rPr>
          <w:sz w:val="22"/>
          <w:szCs w:val="22"/>
          <w:lang w:val="en-GB"/>
        </w:rPr>
      </w:pPr>
      <w:r w:rsidRPr="00E20614">
        <w:rPr>
          <w:sz w:val="22"/>
          <w:szCs w:val="22"/>
          <w:lang w:val="en-GB"/>
        </w:rPr>
        <w:t>‘In order to succeed on appeal [the appellant] must therefore convince us on adequate grounds that the trial Court was wrong in accepting [the] evidence – a reasonable doubt will not suffice to justify interference with its findings … Bearing in mind the advantage which a trial Court has of seeing, hearing and appraising a witness, it is only in exceptional cases that this Court will be entitled to interfere with a trial Court’s evaluation of oral testimony.’</w:t>
      </w:r>
      <w:r w:rsidRPr="00E20614">
        <w:rPr>
          <w:rStyle w:val="FootnoteReference"/>
          <w:sz w:val="22"/>
          <w:szCs w:val="22"/>
          <w:lang w:val="en-GB"/>
        </w:rPr>
        <w:footnoteReference w:id="3"/>
      </w:r>
    </w:p>
    <w:p w14:paraId="3931462D" w14:textId="77777777" w:rsidR="00D40814" w:rsidRPr="00E20614" w:rsidRDefault="00D40814" w:rsidP="001121A6">
      <w:pPr>
        <w:pStyle w:val="ListParagraph"/>
        <w:autoSpaceDE w:val="0"/>
        <w:autoSpaceDN w:val="0"/>
        <w:adjustRightInd w:val="0"/>
        <w:ind w:left="0"/>
        <w:jc w:val="both"/>
        <w:rPr>
          <w:sz w:val="22"/>
          <w:szCs w:val="22"/>
          <w:lang w:val="en-GB"/>
        </w:rPr>
      </w:pPr>
    </w:p>
    <w:p w14:paraId="554BEEF1" w14:textId="76B81B55" w:rsidR="00A2425F" w:rsidRPr="00D94300" w:rsidRDefault="00D94300" w:rsidP="00D94300">
      <w:pPr>
        <w:autoSpaceDE w:val="0"/>
        <w:autoSpaceDN w:val="0"/>
        <w:adjustRightInd w:val="0"/>
        <w:jc w:val="both"/>
        <w:rPr>
          <w:bCs/>
          <w:lang w:val="en-GB"/>
        </w:rPr>
      </w:pPr>
      <w:r w:rsidRPr="00C51C30">
        <w:rPr>
          <w:bCs/>
          <w:lang w:val="en-GB"/>
        </w:rPr>
        <w:t>[7]</w:t>
      </w:r>
      <w:r w:rsidRPr="00C51C30">
        <w:rPr>
          <w:bCs/>
          <w:lang w:val="en-GB"/>
        </w:rPr>
        <w:tab/>
      </w:r>
      <w:r w:rsidR="00215E80" w:rsidRPr="00D94300">
        <w:rPr>
          <w:lang w:val="en-GB"/>
        </w:rPr>
        <w:t>It is trite that conviction on the evidence of a single witness is possible, and that there is no rule of thumb test or formula to apply when it comes to consideration of the credibility of the single witness.</w:t>
      </w:r>
      <w:r w:rsidR="00215E80">
        <w:rPr>
          <w:rStyle w:val="FootnoteReference"/>
          <w:lang w:val="en-GB"/>
        </w:rPr>
        <w:footnoteReference w:id="4"/>
      </w:r>
      <w:r w:rsidR="00215E80" w:rsidRPr="00D94300">
        <w:rPr>
          <w:lang w:val="en-GB"/>
        </w:rPr>
        <w:t xml:space="preserve"> </w:t>
      </w:r>
      <w:r w:rsidR="00A2425F" w:rsidRPr="00D94300">
        <w:rPr>
          <w:lang w:val="en-GB"/>
        </w:rPr>
        <w:t xml:space="preserve">Where the identity of the perpetrator of a crime depends on human observation and is in dispute, the court must exercise caution in carefully considering all the surrounding circumstances before deciding whether the state has proved beyond reasonable doubt that the accused is the perpetrator. Reliability of observation is also of fundamental importance. As the Court held in </w:t>
      </w:r>
      <w:r w:rsidR="00A2425F" w:rsidRPr="00D94300">
        <w:rPr>
          <w:bCs/>
          <w:i/>
          <w:lang w:val="en-GB"/>
        </w:rPr>
        <w:t>S v Mthetwa</w:t>
      </w:r>
      <w:r w:rsidR="00A2425F" w:rsidRPr="00D94300">
        <w:rPr>
          <w:bCs/>
          <w:lang w:val="en-GB"/>
        </w:rPr>
        <w:t>:</w:t>
      </w:r>
      <w:r w:rsidR="00A2425F" w:rsidRPr="00BA1522">
        <w:rPr>
          <w:rStyle w:val="FootnoteReference"/>
          <w:bCs/>
          <w:lang w:val="en-GB"/>
        </w:rPr>
        <w:footnoteReference w:id="5"/>
      </w:r>
    </w:p>
    <w:p w14:paraId="5D1A7BA0" w14:textId="77777777" w:rsidR="00A2425F" w:rsidRDefault="00A2425F" w:rsidP="00A2425F">
      <w:pPr>
        <w:ind w:right="-52"/>
        <w:jc w:val="both"/>
        <w:rPr>
          <w:sz w:val="22"/>
          <w:szCs w:val="22"/>
          <w:lang w:val="en-GB"/>
        </w:rPr>
      </w:pPr>
      <w:r w:rsidRPr="00BA1522">
        <w:rPr>
          <w:i/>
          <w:iCs/>
          <w:sz w:val="22"/>
          <w:szCs w:val="22"/>
          <w:lang w:val="en-GB"/>
        </w:rPr>
        <w:t>“</w:t>
      </w:r>
      <w:r w:rsidRPr="00BA1522">
        <w:rPr>
          <w:sz w:val="22"/>
          <w:szCs w:val="22"/>
          <w:lang w:val="en-GB"/>
        </w:rPr>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w:t>
      </w:r>
      <w:r w:rsidRPr="00BA1522">
        <w:rPr>
          <w:sz w:val="22"/>
          <w:szCs w:val="22"/>
          <w:lang w:val="en-GB"/>
        </w:rPr>
        <w:lastRenderedPageBreak/>
        <w:t>not individually decisive, but must be weighed one against the other, in the light of the totality of the evidence, and the probabilities…”</w:t>
      </w:r>
    </w:p>
    <w:p w14:paraId="5C058E6D" w14:textId="77777777" w:rsidR="00A2425F" w:rsidRPr="007C7638" w:rsidRDefault="00A2425F" w:rsidP="00A2425F">
      <w:pPr>
        <w:ind w:right="-52"/>
        <w:jc w:val="both"/>
        <w:rPr>
          <w:sz w:val="22"/>
          <w:szCs w:val="22"/>
          <w:lang w:val="en-GB"/>
        </w:rPr>
      </w:pPr>
    </w:p>
    <w:p w14:paraId="34708E11" w14:textId="000ABDFD" w:rsidR="00D40814" w:rsidRPr="00D94300" w:rsidRDefault="00D94300" w:rsidP="00D94300">
      <w:pPr>
        <w:autoSpaceDE w:val="0"/>
        <w:autoSpaceDN w:val="0"/>
        <w:adjustRightInd w:val="0"/>
        <w:jc w:val="both"/>
        <w:rPr>
          <w:lang w:val="en-GB"/>
        </w:rPr>
      </w:pPr>
      <w:r>
        <w:rPr>
          <w:lang w:val="en-GB"/>
        </w:rPr>
        <w:t>[8]</w:t>
      </w:r>
      <w:r>
        <w:rPr>
          <w:lang w:val="en-GB"/>
        </w:rPr>
        <w:tab/>
      </w:r>
      <w:r w:rsidR="008B3005" w:rsidRPr="00D94300">
        <w:rPr>
          <w:lang w:val="en-GB"/>
        </w:rPr>
        <w:t>The best indication of whether appropriate caution was applied by the trial court to the evaluation of the evidence is to be found in its reasons for judgment.</w:t>
      </w:r>
      <w:r w:rsidR="008B3005" w:rsidRPr="001272EE">
        <w:rPr>
          <w:rStyle w:val="FootnoteReference"/>
          <w:lang w:val="en-GB"/>
        </w:rPr>
        <w:footnoteReference w:id="6"/>
      </w:r>
      <w:r w:rsidR="008B3005" w:rsidRPr="00D94300">
        <w:rPr>
          <w:lang w:val="en-GB"/>
        </w:rPr>
        <w:t xml:space="preserve"> </w:t>
      </w:r>
      <w:r w:rsidR="0057278E" w:rsidRPr="00D94300">
        <w:rPr>
          <w:lang w:val="en-GB"/>
        </w:rPr>
        <w:t xml:space="preserve">It is evident that the court a quo thought highly of the evidence of the single witness who identified the appellant shortly after the vehicle collision. </w:t>
      </w:r>
      <w:r w:rsidR="008654E0" w:rsidRPr="00D94300">
        <w:rPr>
          <w:lang w:val="en-GB"/>
        </w:rPr>
        <w:t xml:space="preserve">The court failed, however, to engage with the reliability of that witness’ observations given that the identification of the appellant close to the scene of the collision is in issue. </w:t>
      </w:r>
      <w:r w:rsidR="008B3005" w:rsidRPr="00D94300">
        <w:rPr>
          <w:lang w:val="en-GB"/>
        </w:rPr>
        <w:t>There is no reflection in the judgment to suggest that the various considerations in respect of identification were properly appreciated</w:t>
      </w:r>
      <w:r w:rsidR="0081794E" w:rsidRPr="00D94300">
        <w:rPr>
          <w:lang w:val="en-GB"/>
        </w:rPr>
        <w:t xml:space="preserve"> and, ultimately, little explanation as to why Vorster’s evidence regarding identification was reliable.</w:t>
      </w:r>
      <w:r w:rsidR="00916F09">
        <w:rPr>
          <w:rStyle w:val="FootnoteReference"/>
          <w:lang w:val="en-GB"/>
        </w:rPr>
        <w:footnoteReference w:id="7"/>
      </w:r>
      <w:r w:rsidR="00051AAE" w:rsidRPr="00D94300">
        <w:rPr>
          <w:lang w:val="en-GB"/>
        </w:rPr>
        <w:t xml:space="preserve"> That shortcoming amounts to a material misdirection of fact. The consequence is that this court is at liberty to disregard the presiding officer’s findings on fact, even though based on credibility, in whole or in part according to the nature of the misdirection and the circumstances of the case, and to come to its own conclusion on the matter.</w:t>
      </w:r>
    </w:p>
    <w:p w14:paraId="021953BA" w14:textId="6696F0FE" w:rsidR="00D40814" w:rsidRDefault="00D40814" w:rsidP="00D40814">
      <w:pPr>
        <w:pStyle w:val="ListParagraph"/>
        <w:autoSpaceDE w:val="0"/>
        <w:autoSpaceDN w:val="0"/>
        <w:adjustRightInd w:val="0"/>
        <w:ind w:left="0"/>
        <w:jc w:val="both"/>
        <w:rPr>
          <w:lang w:val="en-GB"/>
        </w:rPr>
      </w:pPr>
    </w:p>
    <w:p w14:paraId="47A82C9F" w14:textId="35E8C720" w:rsidR="004D4570" w:rsidRDefault="004D4570" w:rsidP="00D40814">
      <w:pPr>
        <w:pStyle w:val="ListParagraph"/>
        <w:autoSpaceDE w:val="0"/>
        <w:autoSpaceDN w:val="0"/>
        <w:adjustRightInd w:val="0"/>
        <w:ind w:left="0"/>
        <w:jc w:val="both"/>
        <w:rPr>
          <w:b/>
          <w:bCs/>
          <w:lang w:val="en-GB"/>
        </w:rPr>
      </w:pPr>
      <w:r>
        <w:rPr>
          <w:b/>
          <w:bCs/>
          <w:lang w:val="en-GB"/>
        </w:rPr>
        <w:t>The evidence</w:t>
      </w:r>
    </w:p>
    <w:p w14:paraId="3E2BF483" w14:textId="77777777" w:rsidR="004D4570" w:rsidRPr="004D4570" w:rsidRDefault="004D4570" w:rsidP="00D40814">
      <w:pPr>
        <w:pStyle w:val="ListParagraph"/>
        <w:autoSpaceDE w:val="0"/>
        <w:autoSpaceDN w:val="0"/>
        <w:adjustRightInd w:val="0"/>
        <w:ind w:left="0"/>
        <w:jc w:val="both"/>
        <w:rPr>
          <w:b/>
          <w:bCs/>
          <w:lang w:val="en-GB"/>
        </w:rPr>
      </w:pPr>
    </w:p>
    <w:p w14:paraId="1451A502" w14:textId="33446ED6" w:rsidR="00D40814" w:rsidRPr="00D94300" w:rsidRDefault="00D94300" w:rsidP="00D94300">
      <w:pPr>
        <w:autoSpaceDE w:val="0"/>
        <w:autoSpaceDN w:val="0"/>
        <w:adjustRightInd w:val="0"/>
        <w:jc w:val="both"/>
        <w:rPr>
          <w:lang w:val="en-GB"/>
        </w:rPr>
      </w:pPr>
      <w:r>
        <w:rPr>
          <w:lang w:val="en-GB"/>
        </w:rPr>
        <w:t>[9]</w:t>
      </w:r>
      <w:r>
        <w:rPr>
          <w:lang w:val="en-GB"/>
        </w:rPr>
        <w:tab/>
      </w:r>
      <w:r w:rsidR="00C21125" w:rsidRPr="00D94300">
        <w:rPr>
          <w:lang w:val="en-GB"/>
        </w:rPr>
        <w:t xml:space="preserve">The evidence reflects that </w:t>
      </w:r>
      <w:r w:rsidR="00FD38D2" w:rsidRPr="00D94300">
        <w:rPr>
          <w:lang w:val="en-GB"/>
        </w:rPr>
        <w:t>a person driving a white Kia, owned by the deceased,</w:t>
      </w:r>
      <w:r w:rsidR="00C21125" w:rsidRPr="00D94300">
        <w:rPr>
          <w:lang w:val="en-GB"/>
        </w:rPr>
        <w:t xml:space="preserve"> had been trying to exit the parking area of </w:t>
      </w:r>
      <w:r w:rsidR="001E3C91" w:rsidRPr="00D94300">
        <w:rPr>
          <w:lang w:val="en-GB"/>
        </w:rPr>
        <w:t>the block of flats where the deceased lived</w:t>
      </w:r>
      <w:r w:rsidR="00C21125" w:rsidRPr="00D94300">
        <w:rPr>
          <w:lang w:val="en-GB"/>
        </w:rPr>
        <w:t>, colliding with other parked vehicles</w:t>
      </w:r>
      <w:r w:rsidR="00725C28" w:rsidRPr="00D94300">
        <w:rPr>
          <w:lang w:val="en-GB"/>
        </w:rPr>
        <w:t xml:space="preserve"> in the process.</w:t>
      </w:r>
      <w:r w:rsidR="002B560B" w:rsidRPr="00D94300">
        <w:rPr>
          <w:lang w:val="en-GB"/>
        </w:rPr>
        <w:t xml:space="preserve"> </w:t>
      </w:r>
      <w:r w:rsidR="00F051BD" w:rsidRPr="00D94300">
        <w:rPr>
          <w:lang w:val="en-GB"/>
        </w:rPr>
        <w:t>Approximately ten or fifteen minu</w:t>
      </w:r>
      <w:r w:rsidR="00425ABC" w:rsidRPr="00D94300">
        <w:rPr>
          <w:lang w:val="en-GB"/>
        </w:rPr>
        <w:t>t</w:t>
      </w:r>
      <w:r w:rsidR="00F051BD" w:rsidRPr="00D94300">
        <w:rPr>
          <w:lang w:val="en-GB"/>
        </w:rPr>
        <w:t>es</w:t>
      </w:r>
      <w:r w:rsidR="002B560B" w:rsidRPr="00D94300">
        <w:rPr>
          <w:lang w:val="en-GB"/>
        </w:rPr>
        <w:t xml:space="preserve"> </w:t>
      </w:r>
      <w:r w:rsidR="00F051BD" w:rsidRPr="00D94300">
        <w:rPr>
          <w:lang w:val="en-GB"/>
        </w:rPr>
        <w:t>later</w:t>
      </w:r>
      <w:r w:rsidR="002B560B" w:rsidRPr="00D94300">
        <w:rPr>
          <w:lang w:val="en-GB"/>
        </w:rPr>
        <w:t xml:space="preserve">, the Kia was observed </w:t>
      </w:r>
      <w:r w:rsidR="00D01418" w:rsidRPr="00D94300">
        <w:rPr>
          <w:lang w:val="en-GB"/>
        </w:rPr>
        <w:t>approximately two kilometres from the block of flats</w:t>
      </w:r>
      <w:r w:rsidR="002B560B" w:rsidRPr="00D94300">
        <w:rPr>
          <w:lang w:val="en-GB"/>
        </w:rPr>
        <w:t xml:space="preserve">. It had seemingly been involved in an accident and had overturned. </w:t>
      </w:r>
    </w:p>
    <w:p w14:paraId="0A0FF9AF" w14:textId="77777777" w:rsidR="00415C7E" w:rsidRPr="00415C7E" w:rsidRDefault="00415C7E" w:rsidP="00415C7E">
      <w:pPr>
        <w:pStyle w:val="ListParagraph"/>
        <w:rPr>
          <w:lang w:val="en-GB"/>
        </w:rPr>
      </w:pPr>
    </w:p>
    <w:p w14:paraId="05C84637" w14:textId="3A6B65C9" w:rsidR="00C007A9" w:rsidRPr="00D94300" w:rsidRDefault="00D94300" w:rsidP="00D94300">
      <w:pPr>
        <w:autoSpaceDE w:val="0"/>
        <w:autoSpaceDN w:val="0"/>
        <w:adjustRightInd w:val="0"/>
        <w:jc w:val="both"/>
        <w:rPr>
          <w:lang w:val="en-GB"/>
        </w:rPr>
      </w:pPr>
      <w:r>
        <w:rPr>
          <w:lang w:val="en-GB"/>
        </w:rPr>
        <w:t>[10]</w:t>
      </w:r>
      <w:r>
        <w:rPr>
          <w:lang w:val="en-GB"/>
        </w:rPr>
        <w:tab/>
      </w:r>
      <w:r w:rsidR="00415C7E" w:rsidRPr="00D94300">
        <w:rPr>
          <w:lang w:val="en-GB"/>
        </w:rPr>
        <w:t xml:space="preserve">Vorster testified that he knew </w:t>
      </w:r>
      <w:r w:rsidR="00B3595B" w:rsidRPr="00D94300">
        <w:rPr>
          <w:lang w:val="en-GB"/>
        </w:rPr>
        <w:t>the</w:t>
      </w:r>
      <w:r w:rsidR="00415C7E" w:rsidRPr="00D94300">
        <w:rPr>
          <w:lang w:val="en-GB"/>
        </w:rPr>
        <w:t xml:space="preserve"> appellant because his ex-wif</w:t>
      </w:r>
      <w:r w:rsidR="008F571C" w:rsidRPr="00D94300">
        <w:rPr>
          <w:lang w:val="en-GB"/>
        </w:rPr>
        <w:t>e</w:t>
      </w:r>
      <w:r w:rsidR="00415C7E" w:rsidRPr="00D94300">
        <w:rPr>
          <w:lang w:val="en-GB"/>
        </w:rPr>
        <w:t xml:space="preserve"> had </w:t>
      </w:r>
      <w:r w:rsidR="00666129" w:rsidRPr="00D94300">
        <w:rPr>
          <w:lang w:val="en-GB"/>
        </w:rPr>
        <w:t xml:space="preserve">previously </w:t>
      </w:r>
      <w:r w:rsidR="00415C7E" w:rsidRPr="00D94300">
        <w:rPr>
          <w:lang w:val="en-GB"/>
        </w:rPr>
        <w:t>pointed him out</w:t>
      </w:r>
      <w:r w:rsidR="00666129" w:rsidRPr="00D94300">
        <w:rPr>
          <w:lang w:val="en-GB"/>
        </w:rPr>
        <w:t xml:space="preserve">, while they had been driving, </w:t>
      </w:r>
      <w:r w:rsidR="00415C7E" w:rsidRPr="00D94300">
        <w:rPr>
          <w:lang w:val="en-GB"/>
        </w:rPr>
        <w:t>as the father of her child.</w:t>
      </w:r>
      <w:r w:rsidR="00787A06" w:rsidRPr="00D94300">
        <w:rPr>
          <w:lang w:val="en-GB"/>
        </w:rPr>
        <w:t xml:space="preserve"> On the night in question, </w:t>
      </w:r>
      <w:r w:rsidR="00284BED" w:rsidRPr="00D94300">
        <w:rPr>
          <w:lang w:val="en-GB"/>
        </w:rPr>
        <w:t xml:space="preserve">just after midnight, </w:t>
      </w:r>
      <w:r w:rsidR="00787A06" w:rsidRPr="00D94300">
        <w:rPr>
          <w:lang w:val="en-GB"/>
        </w:rPr>
        <w:t>he had observed a vehicle travelling at high speed near the stadium</w:t>
      </w:r>
      <w:r w:rsidR="0000740E" w:rsidRPr="00D94300">
        <w:rPr>
          <w:lang w:val="en-GB"/>
        </w:rPr>
        <w:t>, losing control as it came around a bend, overturning and crashing</w:t>
      </w:r>
      <w:r w:rsidR="001202CF" w:rsidRPr="00D94300">
        <w:rPr>
          <w:lang w:val="en-GB"/>
        </w:rPr>
        <w:t xml:space="preserve">. </w:t>
      </w:r>
      <w:r w:rsidR="00D8141A" w:rsidRPr="00D94300">
        <w:rPr>
          <w:lang w:val="en-GB"/>
        </w:rPr>
        <w:t xml:space="preserve">The lighting at the scene of the collision was poor. </w:t>
      </w:r>
      <w:r w:rsidR="001202CF" w:rsidRPr="00D94300">
        <w:rPr>
          <w:lang w:val="en-GB"/>
        </w:rPr>
        <w:t>A person was observed running</w:t>
      </w:r>
      <w:r w:rsidR="00507560" w:rsidRPr="00D94300">
        <w:rPr>
          <w:lang w:val="en-GB"/>
        </w:rPr>
        <w:t xml:space="preserve"> towards him. </w:t>
      </w:r>
      <w:r w:rsidR="00503188" w:rsidRPr="00D94300">
        <w:rPr>
          <w:lang w:val="en-GB"/>
        </w:rPr>
        <w:t xml:space="preserve">Vorster recognised </w:t>
      </w:r>
      <w:r w:rsidR="008C0E14" w:rsidRPr="00D94300">
        <w:rPr>
          <w:lang w:val="en-GB"/>
        </w:rPr>
        <w:t>that it was the appellant, based on his facial features</w:t>
      </w:r>
      <w:r w:rsidR="00D8141A" w:rsidRPr="00D94300">
        <w:rPr>
          <w:lang w:val="en-GB"/>
        </w:rPr>
        <w:t xml:space="preserve">. Vorster </w:t>
      </w:r>
      <w:r w:rsidR="00D8141A" w:rsidRPr="00D94300">
        <w:rPr>
          <w:lang w:val="en-GB"/>
        </w:rPr>
        <w:lastRenderedPageBreak/>
        <w:t>spoke to him and asked him if he was alright or required any assistance. The appellant replied that he thought he was in trouble and continued running.</w:t>
      </w:r>
      <w:r w:rsidR="00943FF0" w:rsidRPr="00D94300">
        <w:rPr>
          <w:lang w:val="en-GB"/>
        </w:rPr>
        <w:t xml:space="preserve"> </w:t>
      </w:r>
    </w:p>
    <w:p w14:paraId="0677AEE2" w14:textId="77777777" w:rsidR="00AA219B" w:rsidRPr="00AA219B" w:rsidRDefault="00AA219B" w:rsidP="00AA219B">
      <w:pPr>
        <w:pStyle w:val="ListParagraph"/>
        <w:autoSpaceDE w:val="0"/>
        <w:autoSpaceDN w:val="0"/>
        <w:adjustRightInd w:val="0"/>
        <w:ind w:left="0"/>
        <w:jc w:val="both"/>
        <w:rPr>
          <w:lang w:val="en-GB"/>
        </w:rPr>
      </w:pPr>
    </w:p>
    <w:p w14:paraId="6F430CEA" w14:textId="09421431" w:rsidR="004B4C8C" w:rsidRPr="00D94300" w:rsidRDefault="00D94300" w:rsidP="00D94300">
      <w:pPr>
        <w:autoSpaceDE w:val="0"/>
        <w:autoSpaceDN w:val="0"/>
        <w:adjustRightInd w:val="0"/>
        <w:jc w:val="both"/>
        <w:rPr>
          <w:lang w:val="en-GB"/>
        </w:rPr>
      </w:pPr>
      <w:r>
        <w:rPr>
          <w:lang w:val="en-GB"/>
        </w:rPr>
        <w:t>[11]</w:t>
      </w:r>
      <w:r>
        <w:rPr>
          <w:lang w:val="en-GB"/>
        </w:rPr>
        <w:tab/>
      </w:r>
      <w:r w:rsidR="00C007A9" w:rsidRPr="00D94300">
        <w:rPr>
          <w:lang w:val="en-GB"/>
        </w:rPr>
        <w:t>During cross-examination, Vorster explained that he had seen the appellant on more than five occasions, but not for a few months prior to the incident.</w:t>
      </w:r>
      <w:r w:rsidR="005C3DFB" w:rsidRPr="00D94300">
        <w:rPr>
          <w:lang w:val="en-GB"/>
        </w:rPr>
        <w:t xml:space="preserve"> He had never spoken to him</w:t>
      </w:r>
      <w:r w:rsidR="004F6CA2" w:rsidRPr="00D94300">
        <w:rPr>
          <w:lang w:val="en-GB"/>
        </w:rPr>
        <w:t xml:space="preserve"> </w:t>
      </w:r>
      <w:r w:rsidR="006728CC" w:rsidRPr="00D94300">
        <w:rPr>
          <w:lang w:val="en-GB"/>
        </w:rPr>
        <w:t xml:space="preserve">but had seen him at least twice when he stood on the pavement. </w:t>
      </w:r>
      <w:r w:rsidR="00D2102C" w:rsidRPr="00D94300">
        <w:rPr>
          <w:lang w:val="en-GB"/>
        </w:rPr>
        <w:t>He had not seen any person exiting the vehicle</w:t>
      </w:r>
      <w:r w:rsidR="001F53EA" w:rsidRPr="00D94300">
        <w:rPr>
          <w:lang w:val="en-GB"/>
        </w:rPr>
        <w:t xml:space="preserve"> and the entire incident had occurred very quickly. </w:t>
      </w:r>
      <w:r w:rsidR="00401121" w:rsidRPr="00D94300">
        <w:rPr>
          <w:lang w:val="en-GB"/>
        </w:rPr>
        <w:t xml:space="preserve">The person he had seen had tattoos </w:t>
      </w:r>
      <w:r w:rsidR="00761041" w:rsidRPr="00D94300">
        <w:rPr>
          <w:lang w:val="en-GB"/>
        </w:rPr>
        <w:t>on his neck</w:t>
      </w:r>
      <w:r w:rsidR="00327BDB" w:rsidRPr="00D94300">
        <w:rPr>
          <w:lang w:val="en-GB"/>
        </w:rPr>
        <w:t xml:space="preserve"> </w:t>
      </w:r>
      <w:r w:rsidR="00401121" w:rsidRPr="00D94300">
        <w:rPr>
          <w:lang w:val="en-GB"/>
        </w:rPr>
        <w:t xml:space="preserve">and a </w:t>
      </w:r>
      <w:r w:rsidR="00F103C4" w:rsidRPr="00D94300">
        <w:rPr>
          <w:lang w:val="en-GB"/>
        </w:rPr>
        <w:t xml:space="preserve">small </w:t>
      </w:r>
      <w:r w:rsidR="00401121" w:rsidRPr="00D94300">
        <w:rPr>
          <w:lang w:val="en-GB"/>
        </w:rPr>
        <w:t>goatee</w:t>
      </w:r>
      <w:r w:rsidR="00386325" w:rsidRPr="00D94300">
        <w:rPr>
          <w:lang w:val="en-GB"/>
        </w:rPr>
        <w:t xml:space="preserve"> and the street lights made it possible for him to observe </w:t>
      </w:r>
      <w:r w:rsidR="00EC3649" w:rsidRPr="00D94300">
        <w:rPr>
          <w:lang w:val="en-GB"/>
        </w:rPr>
        <w:t xml:space="preserve">that it was </w:t>
      </w:r>
      <w:r w:rsidR="00386325" w:rsidRPr="00D94300">
        <w:rPr>
          <w:lang w:val="en-GB"/>
        </w:rPr>
        <w:t>the appellant</w:t>
      </w:r>
      <w:r w:rsidR="00401121" w:rsidRPr="00D94300">
        <w:rPr>
          <w:lang w:val="en-GB"/>
        </w:rPr>
        <w:t>.</w:t>
      </w:r>
      <w:r w:rsidR="00386325" w:rsidRPr="00D94300">
        <w:rPr>
          <w:lang w:val="en-GB"/>
        </w:rPr>
        <w:t xml:space="preserve"> They had encountered one another under a light. </w:t>
      </w:r>
      <w:r w:rsidR="00712A5D" w:rsidRPr="00D94300">
        <w:rPr>
          <w:lang w:val="en-GB"/>
        </w:rPr>
        <w:t>On the appellant’s version he did not encounter Vorster at all when he walked home from the deceased’s flat.</w:t>
      </w:r>
    </w:p>
    <w:p w14:paraId="7A535F1F" w14:textId="77777777" w:rsidR="004B4C8C" w:rsidRPr="004B4C8C" w:rsidRDefault="004B4C8C" w:rsidP="004B4C8C">
      <w:pPr>
        <w:pStyle w:val="ListParagraph"/>
        <w:rPr>
          <w:lang w:val="en-GB"/>
        </w:rPr>
      </w:pPr>
    </w:p>
    <w:p w14:paraId="28A2BA0D" w14:textId="0FC20892" w:rsidR="00C007A9" w:rsidRPr="00D94300" w:rsidRDefault="00D94300" w:rsidP="00D94300">
      <w:pPr>
        <w:autoSpaceDE w:val="0"/>
        <w:autoSpaceDN w:val="0"/>
        <w:adjustRightInd w:val="0"/>
        <w:jc w:val="both"/>
        <w:rPr>
          <w:lang w:val="en-GB"/>
        </w:rPr>
      </w:pPr>
      <w:r>
        <w:rPr>
          <w:lang w:val="en-GB"/>
        </w:rPr>
        <w:t>[12]</w:t>
      </w:r>
      <w:r>
        <w:rPr>
          <w:lang w:val="en-GB"/>
        </w:rPr>
        <w:tab/>
      </w:r>
      <w:r w:rsidR="004B4C8C" w:rsidRPr="00D94300">
        <w:rPr>
          <w:lang w:val="en-GB"/>
        </w:rPr>
        <w:t xml:space="preserve">Van Tonder testified </w:t>
      </w:r>
      <w:r w:rsidR="00DB76A2" w:rsidRPr="00D94300">
        <w:rPr>
          <w:lang w:val="en-GB"/>
        </w:rPr>
        <w:t xml:space="preserve">she had been married </w:t>
      </w:r>
      <w:r w:rsidR="00B6076D" w:rsidRPr="00D94300">
        <w:rPr>
          <w:lang w:val="en-GB"/>
        </w:rPr>
        <w:t xml:space="preserve">to the appellant </w:t>
      </w:r>
      <w:r w:rsidR="00DB76A2" w:rsidRPr="00D94300">
        <w:rPr>
          <w:lang w:val="en-GB"/>
        </w:rPr>
        <w:t xml:space="preserve">for 14 years prior to their divorce. </w:t>
      </w:r>
      <w:r w:rsidR="002258E7" w:rsidRPr="00D94300">
        <w:rPr>
          <w:lang w:val="en-GB"/>
        </w:rPr>
        <w:t>T</w:t>
      </w:r>
      <w:r w:rsidR="004B4C8C" w:rsidRPr="00D94300">
        <w:rPr>
          <w:lang w:val="en-GB"/>
        </w:rPr>
        <w:t>he appellant had woken her after midnight on the night of the incident. He was drunk and told her he had been robbed.</w:t>
      </w:r>
      <w:r w:rsidR="000E3401" w:rsidRPr="00D94300">
        <w:rPr>
          <w:lang w:val="en-GB"/>
        </w:rPr>
        <w:t xml:space="preserve"> He was now wearing a red top, having left her home wearing </w:t>
      </w:r>
      <w:r w:rsidR="009D39D1" w:rsidRPr="00D94300">
        <w:rPr>
          <w:lang w:val="en-GB"/>
        </w:rPr>
        <w:t xml:space="preserve">a </w:t>
      </w:r>
      <w:r w:rsidR="00D36A1D" w:rsidRPr="00D94300">
        <w:rPr>
          <w:lang w:val="en-GB"/>
        </w:rPr>
        <w:t xml:space="preserve">dark </w:t>
      </w:r>
      <w:r w:rsidR="00436603" w:rsidRPr="00D94300">
        <w:rPr>
          <w:lang w:val="en-GB"/>
        </w:rPr>
        <w:t>navy</w:t>
      </w:r>
      <w:r w:rsidR="009D39D1" w:rsidRPr="00D94300">
        <w:rPr>
          <w:lang w:val="en-GB"/>
        </w:rPr>
        <w:t xml:space="preserve"> top</w:t>
      </w:r>
      <w:r w:rsidR="00660C98" w:rsidRPr="00D94300">
        <w:rPr>
          <w:lang w:val="en-GB"/>
        </w:rPr>
        <w:t>.</w:t>
      </w:r>
      <w:r w:rsidR="00EB6B1B" w:rsidRPr="00D94300">
        <w:rPr>
          <w:lang w:val="en-GB"/>
        </w:rPr>
        <w:t xml:space="preserve"> The appellant indicated t</w:t>
      </w:r>
      <w:r w:rsidR="004C0AD4" w:rsidRPr="00D94300">
        <w:rPr>
          <w:lang w:val="en-GB"/>
        </w:rPr>
        <w:t>o her that he had returned to the deceased’s flat after being robbed, and t</w:t>
      </w:r>
      <w:r w:rsidR="00EB6B1B" w:rsidRPr="00D94300">
        <w:rPr>
          <w:lang w:val="en-GB"/>
        </w:rPr>
        <w:t>hat the deceased had dropped him off.</w:t>
      </w:r>
      <w:r w:rsidR="00C55ACA" w:rsidRPr="00D94300">
        <w:rPr>
          <w:lang w:val="en-GB"/>
        </w:rPr>
        <w:t xml:space="preserve"> </w:t>
      </w:r>
    </w:p>
    <w:p w14:paraId="28AA3D27" w14:textId="77777777" w:rsidR="00C55ACA" w:rsidRPr="00C55ACA" w:rsidRDefault="00C55ACA" w:rsidP="00C55ACA">
      <w:pPr>
        <w:pStyle w:val="ListParagraph"/>
        <w:rPr>
          <w:lang w:val="en-GB"/>
        </w:rPr>
      </w:pPr>
    </w:p>
    <w:p w14:paraId="0AE25A2E" w14:textId="736909B1" w:rsidR="00C55ACA" w:rsidRPr="00D94300" w:rsidRDefault="00D94300" w:rsidP="00D94300">
      <w:pPr>
        <w:autoSpaceDE w:val="0"/>
        <w:autoSpaceDN w:val="0"/>
        <w:adjustRightInd w:val="0"/>
        <w:jc w:val="both"/>
        <w:rPr>
          <w:lang w:val="en-GB"/>
        </w:rPr>
      </w:pPr>
      <w:r>
        <w:rPr>
          <w:lang w:val="en-GB"/>
        </w:rPr>
        <w:t>[13]</w:t>
      </w:r>
      <w:r>
        <w:rPr>
          <w:lang w:val="en-GB"/>
        </w:rPr>
        <w:tab/>
      </w:r>
      <w:r w:rsidR="00C55ACA" w:rsidRPr="00D94300">
        <w:rPr>
          <w:lang w:val="en-GB"/>
        </w:rPr>
        <w:t>Van Tonder and the appellant had an altercation sometime during January 2019. He had been away for some time but had returned. The appellant then admitted that he had stabbed the deceased with a knife he had found in the kitchen. Van Tonder had conveyed the information to Warrant Officer Steyn.</w:t>
      </w:r>
    </w:p>
    <w:p w14:paraId="58690F78" w14:textId="77777777" w:rsidR="00F464C8" w:rsidRPr="00F464C8" w:rsidRDefault="00F464C8" w:rsidP="00F464C8">
      <w:pPr>
        <w:pStyle w:val="ListParagraph"/>
        <w:rPr>
          <w:lang w:val="en-GB"/>
        </w:rPr>
      </w:pPr>
    </w:p>
    <w:p w14:paraId="7ED54FF3" w14:textId="178FAB7F" w:rsidR="00F464C8" w:rsidRPr="00D94300" w:rsidRDefault="00D94300" w:rsidP="00D94300">
      <w:pPr>
        <w:autoSpaceDE w:val="0"/>
        <w:autoSpaceDN w:val="0"/>
        <w:adjustRightInd w:val="0"/>
        <w:jc w:val="both"/>
        <w:rPr>
          <w:lang w:val="en-GB"/>
        </w:rPr>
      </w:pPr>
      <w:r>
        <w:rPr>
          <w:lang w:val="en-GB"/>
        </w:rPr>
        <w:t>[14]</w:t>
      </w:r>
      <w:r>
        <w:rPr>
          <w:lang w:val="en-GB"/>
        </w:rPr>
        <w:tab/>
      </w:r>
      <w:r w:rsidR="00F464C8" w:rsidRPr="00D94300">
        <w:rPr>
          <w:lang w:val="en-GB"/>
        </w:rPr>
        <w:t>During cross-examination, the witness admitted to selling drugs at the time of the incident</w:t>
      </w:r>
      <w:r w:rsidR="008A4F3A" w:rsidRPr="00D94300">
        <w:rPr>
          <w:lang w:val="en-GB"/>
        </w:rPr>
        <w:t>, also to the deceased</w:t>
      </w:r>
      <w:r w:rsidR="00F464C8" w:rsidRPr="00D94300">
        <w:rPr>
          <w:lang w:val="en-GB"/>
        </w:rPr>
        <w:t xml:space="preserve">. </w:t>
      </w:r>
      <w:r w:rsidR="008A4F3A" w:rsidRPr="00D94300">
        <w:rPr>
          <w:lang w:val="en-GB"/>
        </w:rPr>
        <w:t>She had been arrested after the appellant</w:t>
      </w:r>
      <w:r w:rsidR="00F6030F" w:rsidRPr="00D94300">
        <w:rPr>
          <w:lang w:val="en-GB"/>
        </w:rPr>
        <w:t>, who also used drugs,</w:t>
      </w:r>
      <w:r w:rsidR="008A4F3A" w:rsidRPr="00D94300">
        <w:rPr>
          <w:lang w:val="en-GB"/>
        </w:rPr>
        <w:t xml:space="preserve"> had reported her to a detective. </w:t>
      </w:r>
      <w:r w:rsidR="001F2243" w:rsidRPr="00D94300">
        <w:rPr>
          <w:lang w:val="en-GB"/>
        </w:rPr>
        <w:t xml:space="preserve">She had been in prison for two days. </w:t>
      </w:r>
      <w:r w:rsidR="00F6030F" w:rsidRPr="00D94300">
        <w:rPr>
          <w:lang w:val="en-GB"/>
        </w:rPr>
        <w:t>While she had been angry with him, she had allowed him to live with her as he had no place to go.</w:t>
      </w:r>
      <w:r w:rsidR="00A153A4" w:rsidRPr="00D94300">
        <w:rPr>
          <w:lang w:val="en-GB"/>
        </w:rPr>
        <w:t xml:space="preserve"> </w:t>
      </w:r>
      <w:r w:rsidR="00F529E0" w:rsidRPr="00D94300">
        <w:rPr>
          <w:lang w:val="en-GB"/>
        </w:rPr>
        <w:t xml:space="preserve">The deceased and the appellant had left her home together with a bag of drugs, driving in a white vehicle. </w:t>
      </w:r>
      <w:r w:rsidR="00060164" w:rsidRPr="00D94300">
        <w:rPr>
          <w:lang w:val="en-GB"/>
        </w:rPr>
        <w:t>The appellant was usually clean shaven, but sometimes sported a goatee.</w:t>
      </w:r>
      <w:r w:rsidR="00955118" w:rsidRPr="00D94300">
        <w:rPr>
          <w:lang w:val="en-GB"/>
        </w:rPr>
        <w:t xml:space="preserve"> At the time of the incident the appellant had been clean shaven.</w:t>
      </w:r>
      <w:r w:rsidR="00E87356" w:rsidRPr="00D94300">
        <w:rPr>
          <w:lang w:val="en-GB"/>
        </w:rPr>
        <w:t xml:space="preserve"> </w:t>
      </w:r>
    </w:p>
    <w:p w14:paraId="6D609C95" w14:textId="77777777" w:rsidR="003F181C" w:rsidRPr="003F181C" w:rsidRDefault="003F181C" w:rsidP="003F181C">
      <w:pPr>
        <w:pStyle w:val="ListParagraph"/>
        <w:rPr>
          <w:lang w:val="en-GB"/>
        </w:rPr>
      </w:pPr>
    </w:p>
    <w:p w14:paraId="60C502BE" w14:textId="3A7E8B23" w:rsidR="00B02217" w:rsidRPr="00D94300" w:rsidRDefault="00D94300" w:rsidP="00D94300">
      <w:pPr>
        <w:autoSpaceDE w:val="0"/>
        <w:autoSpaceDN w:val="0"/>
        <w:adjustRightInd w:val="0"/>
        <w:jc w:val="both"/>
        <w:rPr>
          <w:lang w:val="en-GB"/>
        </w:rPr>
      </w:pPr>
      <w:r>
        <w:rPr>
          <w:lang w:val="en-GB"/>
        </w:rPr>
        <w:lastRenderedPageBreak/>
        <w:t>[15]</w:t>
      </w:r>
      <w:r>
        <w:rPr>
          <w:lang w:val="en-GB"/>
        </w:rPr>
        <w:tab/>
      </w:r>
      <w:r w:rsidR="003F181C" w:rsidRPr="00D94300">
        <w:rPr>
          <w:lang w:val="en-GB"/>
        </w:rPr>
        <w:t xml:space="preserve">Van Tonder </w:t>
      </w:r>
      <w:r w:rsidR="00833F91" w:rsidRPr="00D94300">
        <w:rPr>
          <w:lang w:val="en-GB"/>
        </w:rPr>
        <w:t>appeared</w:t>
      </w:r>
      <w:r w:rsidR="003F181C" w:rsidRPr="00D94300">
        <w:rPr>
          <w:lang w:val="en-GB"/>
        </w:rPr>
        <w:t xml:space="preserve"> incredulous when confronted with the notion that she had lied in order to obtain revenge</w:t>
      </w:r>
      <w:r w:rsidR="00B02217" w:rsidRPr="00D94300">
        <w:rPr>
          <w:lang w:val="en-GB"/>
        </w:rPr>
        <w:t xml:space="preserve"> for her own imprisonment:</w:t>
      </w:r>
    </w:p>
    <w:p w14:paraId="5431AC79" w14:textId="11149F22"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‘Van Tonder: </w:t>
      </w:r>
      <w:r>
        <w:rPr>
          <w:sz w:val="22"/>
          <w:szCs w:val="22"/>
          <w:lang w:val="en-GB"/>
        </w:rPr>
        <w:tab/>
        <w:t>I was angry with him at that time.</w:t>
      </w:r>
    </w:p>
    <w:p w14:paraId="526407B5" w14:textId="5F299F46"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Ms Baatjes: </w:t>
      </w:r>
      <w:r>
        <w:rPr>
          <w:sz w:val="22"/>
          <w:szCs w:val="22"/>
          <w:lang w:val="en-GB"/>
        </w:rPr>
        <w:tab/>
        <w:t>And you are still angry.</w:t>
      </w:r>
    </w:p>
    <w:p w14:paraId="1F679D63" w14:textId="5AD0204D" w:rsidR="00833F91" w:rsidRDefault="00833F91" w:rsidP="00833F91">
      <w:pPr>
        <w:pStyle w:val="ListParagraph"/>
        <w:autoSpaceDE w:val="0"/>
        <w:autoSpaceDN w:val="0"/>
        <w:adjustRightInd w:val="0"/>
        <w:ind w:left="1440" w:hanging="1440"/>
        <w:jc w:val="both"/>
        <w:rPr>
          <w:sz w:val="22"/>
          <w:szCs w:val="22"/>
          <w:lang w:val="en-GB"/>
        </w:rPr>
      </w:pPr>
      <w:r>
        <w:rPr>
          <w:sz w:val="22"/>
          <w:szCs w:val="22"/>
          <w:lang w:val="en-GB"/>
        </w:rPr>
        <w:t xml:space="preserve">Van Tonder: </w:t>
      </w:r>
      <w:r>
        <w:rPr>
          <w:sz w:val="22"/>
          <w:szCs w:val="22"/>
          <w:lang w:val="en-GB"/>
        </w:rPr>
        <w:tab/>
        <w:t>I can’t still hold that against him now but yes, at that time I was very, very angry with him.</w:t>
      </w:r>
    </w:p>
    <w:p w14:paraId="01071449" w14:textId="663BFA50" w:rsidR="00B02217" w:rsidRDefault="00833F91" w:rsidP="00833F91">
      <w:pPr>
        <w:pStyle w:val="ListParagraph"/>
        <w:autoSpaceDE w:val="0"/>
        <w:autoSpaceDN w:val="0"/>
        <w:adjustRightInd w:val="0"/>
        <w:ind w:left="0"/>
        <w:jc w:val="both"/>
        <w:rPr>
          <w:sz w:val="22"/>
          <w:szCs w:val="22"/>
          <w:lang w:val="en-GB"/>
        </w:rPr>
      </w:pPr>
      <w:r>
        <w:rPr>
          <w:sz w:val="22"/>
          <w:szCs w:val="22"/>
          <w:lang w:val="en-GB"/>
        </w:rPr>
        <w:t>Ms Baatjes:</w:t>
      </w:r>
      <w:r>
        <w:rPr>
          <w:sz w:val="22"/>
          <w:szCs w:val="22"/>
          <w:lang w:val="en-GB"/>
        </w:rPr>
        <w:tab/>
        <w:t>And he says that is why you went to speak to the police about this case.</w:t>
      </w:r>
    </w:p>
    <w:p w14:paraId="1486BCDE" w14:textId="25FEAA67"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Van Tonder: </w:t>
      </w:r>
      <w:r>
        <w:rPr>
          <w:sz w:val="22"/>
          <w:szCs w:val="22"/>
          <w:lang w:val="en-GB"/>
        </w:rPr>
        <w:tab/>
        <w:t>About this case?</w:t>
      </w:r>
    </w:p>
    <w:p w14:paraId="259AA092" w14:textId="35DBF501"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Ms Baatjes: </w:t>
      </w:r>
      <w:r>
        <w:rPr>
          <w:sz w:val="22"/>
          <w:szCs w:val="22"/>
          <w:lang w:val="en-GB"/>
        </w:rPr>
        <w:tab/>
        <w:t>Yes.</w:t>
      </w:r>
    </w:p>
    <w:p w14:paraId="35C70E04" w14:textId="5252FB0F"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Van Tonder: </w:t>
      </w:r>
      <w:r>
        <w:rPr>
          <w:sz w:val="22"/>
          <w:szCs w:val="22"/>
          <w:lang w:val="en-GB"/>
        </w:rPr>
        <w:tab/>
        <w:t>I felt that it was my right to tell them what he had told me about this.</w:t>
      </w:r>
    </w:p>
    <w:p w14:paraId="40587542" w14:textId="5476442B"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Ms Baatjes: </w:t>
      </w:r>
      <w:r>
        <w:rPr>
          <w:sz w:val="22"/>
          <w:szCs w:val="22"/>
          <w:lang w:val="en-GB"/>
        </w:rPr>
        <w:tab/>
        <w:t>And to go and speak untruths to the police about him.</w:t>
      </w:r>
    </w:p>
    <w:p w14:paraId="7F785C11" w14:textId="5821F7AB"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Van Tonder: </w:t>
      </w:r>
      <w:r>
        <w:rPr>
          <w:sz w:val="22"/>
          <w:szCs w:val="22"/>
          <w:lang w:val="en-GB"/>
        </w:rPr>
        <w:tab/>
        <w:t>Untruths?</w:t>
      </w:r>
    </w:p>
    <w:p w14:paraId="2DBA5E7B" w14:textId="2A2730FE"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Ms Baatjes: </w:t>
      </w:r>
      <w:r>
        <w:rPr>
          <w:sz w:val="22"/>
          <w:szCs w:val="22"/>
          <w:lang w:val="en-GB"/>
        </w:rPr>
        <w:tab/>
        <w:t>Yes.</w:t>
      </w:r>
    </w:p>
    <w:p w14:paraId="3FDBEA0B" w14:textId="3C8F39E5"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Van Tonder: </w:t>
      </w:r>
      <w:r>
        <w:rPr>
          <w:sz w:val="22"/>
          <w:szCs w:val="22"/>
          <w:lang w:val="en-GB"/>
        </w:rPr>
        <w:tab/>
        <w:t>What untruths did I go and discuss with them?</w:t>
      </w:r>
    </w:p>
    <w:p w14:paraId="64A07F49" w14:textId="5DACD3D1"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Ms Baatjes: </w:t>
      </w:r>
      <w:r>
        <w:rPr>
          <w:sz w:val="22"/>
          <w:szCs w:val="22"/>
          <w:lang w:val="en-GB"/>
        </w:rPr>
        <w:tab/>
        <w:t>About these things that he allegedly told you.</w:t>
      </w:r>
    </w:p>
    <w:p w14:paraId="6643B370" w14:textId="4A46D9A8" w:rsidR="00833F91" w:rsidRDefault="00833F91" w:rsidP="00833F91">
      <w:pPr>
        <w:pStyle w:val="ListParagraph"/>
        <w:autoSpaceDE w:val="0"/>
        <w:autoSpaceDN w:val="0"/>
        <w:adjustRightInd w:val="0"/>
        <w:ind w:left="0"/>
        <w:jc w:val="both"/>
        <w:rPr>
          <w:sz w:val="22"/>
          <w:szCs w:val="22"/>
          <w:lang w:val="en-GB"/>
        </w:rPr>
      </w:pPr>
      <w:r>
        <w:rPr>
          <w:sz w:val="22"/>
          <w:szCs w:val="22"/>
          <w:lang w:val="en-GB"/>
        </w:rPr>
        <w:t xml:space="preserve">Van Tonder: </w:t>
      </w:r>
      <w:r>
        <w:rPr>
          <w:sz w:val="22"/>
          <w:szCs w:val="22"/>
          <w:lang w:val="en-GB"/>
        </w:rPr>
        <w:tab/>
        <w:t>Just say that again?</w:t>
      </w:r>
    </w:p>
    <w:p w14:paraId="470958D1" w14:textId="2694CAB5" w:rsidR="00833F91" w:rsidRDefault="00833F91" w:rsidP="00833F91">
      <w:pPr>
        <w:pStyle w:val="ListParagraph"/>
        <w:autoSpaceDE w:val="0"/>
        <w:autoSpaceDN w:val="0"/>
        <w:adjustRightInd w:val="0"/>
        <w:ind w:left="1440" w:hanging="1440"/>
        <w:jc w:val="both"/>
        <w:rPr>
          <w:sz w:val="22"/>
          <w:szCs w:val="22"/>
          <w:lang w:val="en-GB"/>
        </w:rPr>
      </w:pPr>
      <w:r>
        <w:rPr>
          <w:sz w:val="22"/>
          <w:szCs w:val="22"/>
          <w:lang w:val="en-GB"/>
        </w:rPr>
        <w:t xml:space="preserve">Ms Baatjes: </w:t>
      </w:r>
      <w:r>
        <w:rPr>
          <w:sz w:val="22"/>
          <w:szCs w:val="22"/>
          <w:lang w:val="en-GB"/>
        </w:rPr>
        <w:tab/>
        <w:t>He says that you went and reported untruths to the police about things that you say he did such as that he was angry with the deceased because he allegedly said something bad about you.</w:t>
      </w:r>
    </w:p>
    <w:p w14:paraId="35314C15" w14:textId="0C8D3BB6" w:rsidR="00833F91" w:rsidRDefault="00833F91" w:rsidP="00833F91">
      <w:pPr>
        <w:pStyle w:val="ListParagraph"/>
        <w:autoSpaceDE w:val="0"/>
        <w:autoSpaceDN w:val="0"/>
        <w:adjustRightInd w:val="0"/>
        <w:ind w:left="1440" w:hanging="1440"/>
        <w:jc w:val="both"/>
        <w:rPr>
          <w:sz w:val="22"/>
          <w:szCs w:val="22"/>
          <w:lang w:val="en-GB"/>
        </w:rPr>
      </w:pPr>
      <w:r>
        <w:rPr>
          <w:sz w:val="22"/>
          <w:szCs w:val="22"/>
          <w:lang w:val="en-GB"/>
        </w:rPr>
        <w:t xml:space="preserve">Van Tonder: </w:t>
      </w:r>
      <w:r>
        <w:rPr>
          <w:sz w:val="22"/>
          <w:szCs w:val="22"/>
          <w:lang w:val="en-GB"/>
        </w:rPr>
        <w:tab/>
        <w:t>So you mean he wants to say that I made these things up because he had me locked up? I would never do such a thing</w:t>
      </w:r>
      <w:r w:rsidR="00D57CCA">
        <w:rPr>
          <w:sz w:val="22"/>
          <w:szCs w:val="22"/>
          <w:lang w:val="en-GB"/>
        </w:rPr>
        <w:t>…He is lying, he is a liar…He was still living with me, I was still accommodating him</w:t>
      </w:r>
      <w:r w:rsidR="00B77F4E">
        <w:rPr>
          <w:sz w:val="22"/>
          <w:szCs w:val="22"/>
          <w:lang w:val="en-GB"/>
        </w:rPr>
        <w:t>…that is the father of my child.’</w:t>
      </w:r>
    </w:p>
    <w:p w14:paraId="18766530" w14:textId="0DF518C0" w:rsidR="00833F91" w:rsidRDefault="00833F91" w:rsidP="00833F91">
      <w:pPr>
        <w:pStyle w:val="ListParagraph"/>
        <w:autoSpaceDE w:val="0"/>
        <w:autoSpaceDN w:val="0"/>
        <w:adjustRightInd w:val="0"/>
        <w:ind w:left="0"/>
        <w:jc w:val="both"/>
        <w:rPr>
          <w:sz w:val="22"/>
          <w:szCs w:val="22"/>
          <w:lang w:val="en-GB"/>
        </w:rPr>
      </w:pPr>
    </w:p>
    <w:p w14:paraId="0EC33593" w14:textId="59D331ED" w:rsidR="00CD68D5" w:rsidRDefault="00CD68D5" w:rsidP="00833F91">
      <w:pPr>
        <w:pStyle w:val="ListParagraph"/>
        <w:autoSpaceDE w:val="0"/>
        <w:autoSpaceDN w:val="0"/>
        <w:adjustRightInd w:val="0"/>
        <w:ind w:left="0"/>
        <w:jc w:val="both"/>
        <w:rPr>
          <w:b/>
          <w:bCs/>
          <w:sz w:val="22"/>
          <w:szCs w:val="22"/>
          <w:lang w:val="en-GB"/>
        </w:rPr>
      </w:pPr>
      <w:r>
        <w:rPr>
          <w:b/>
          <w:bCs/>
          <w:sz w:val="22"/>
          <w:szCs w:val="22"/>
          <w:lang w:val="en-GB"/>
        </w:rPr>
        <w:t>Analysis</w:t>
      </w:r>
    </w:p>
    <w:p w14:paraId="162F3847" w14:textId="77777777" w:rsidR="00CD68D5" w:rsidRPr="00CD68D5" w:rsidRDefault="00CD68D5" w:rsidP="00833F91">
      <w:pPr>
        <w:pStyle w:val="ListParagraph"/>
        <w:autoSpaceDE w:val="0"/>
        <w:autoSpaceDN w:val="0"/>
        <w:adjustRightInd w:val="0"/>
        <w:ind w:left="0"/>
        <w:jc w:val="both"/>
        <w:rPr>
          <w:b/>
          <w:bCs/>
          <w:sz w:val="22"/>
          <w:szCs w:val="22"/>
          <w:lang w:val="en-GB"/>
        </w:rPr>
      </w:pPr>
    </w:p>
    <w:p w14:paraId="4533B693" w14:textId="164A6EF1" w:rsidR="00AE53CC" w:rsidRPr="00D94300" w:rsidRDefault="00D94300" w:rsidP="00D94300">
      <w:pPr>
        <w:autoSpaceDE w:val="0"/>
        <w:autoSpaceDN w:val="0"/>
        <w:adjustRightInd w:val="0"/>
        <w:jc w:val="both"/>
        <w:rPr>
          <w:lang w:val="en-GB"/>
        </w:rPr>
      </w:pPr>
      <w:r>
        <w:rPr>
          <w:lang w:val="en-GB"/>
        </w:rPr>
        <w:t>[16]</w:t>
      </w:r>
      <w:r>
        <w:rPr>
          <w:lang w:val="en-GB"/>
        </w:rPr>
        <w:tab/>
      </w:r>
      <w:r w:rsidR="00B02217" w:rsidRPr="00D94300">
        <w:rPr>
          <w:lang w:val="en-GB"/>
        </w:rPr>
        <w:t xml:space="preserve"> </w:t>
      </w:r>
      <w:r w:rsidR="00A439A1" w:rsidRPr="00D94300">
        <w:rPr>
          <w:lang w:val="en-GB"/>
        </w:rPr>
        <w:t>On his own version i</w:t>
      </w:r>
      <w:r w:rsidR="00AD4AF1" w:rsidRPr="00D94300">
        <w:rPr>
          <w:lang w:val="en-GB"/>
        </w:rPr>
        <w:t xml:space="preserve">t must be accepted that the </w:t>
      </w:r>
      <w:r w:rsidR="00284F7B" w:rsidRPr="00D94300">
        <w:rPr>
          <w:lang w:val="en-GB"/>
        </w:rPr>
        <w:t xml:space="preserve">appellant was on the scene at the time of the deceased’s murder. It is not in dispute that he stepped in the blood of the deceased while exiting the flat. It is also apparent that the </w:t>
      </w:r>
      <w:r w:rsidR="00AD4AF1" w:rsidRPr="00D94300">
        <w:rPr>
          <w:lang w:val="en-GB"/>
        </w:rPr>
        <w:t>deceased’s vehicle was driven after his death</w:t>
      </w:r>
      <w:r w:rsidR="00284F7B" w:rsidRPr="00D94300">
        <w:rPr>
          <w:lang w:val="en-GB"/>
        </w:rPr>
        <w:t xml:space="preserve">. The driver drove poorly, colliding with other vehicles in the parking area, cornering at high speed and causing the vehicle to roll. </w:t>
      </w:r>
      <w:r w:rsidR="00E95DFA" w:rsidRPr="00D94300">
        <w:rPr>
          <w:lang w:val="en-GB"/>
        </w:rPr>
        <w:t xml:space="preserve">Vorster’s evidence that he saw the appellant coming towards him, in a state of shock, soon thereafter, requires </w:t>
      </w:r>
      <w:r w:rsidR="001955D1" w:rsidRPr="00D94300">
        <w:rPr>
          <w:lang w:val="en-GB"/>
        </w:rPr>
        <w:t xml:space="preserve">careful </w:t>
      </w:r>
      <w:r w:rsidR="00E95DFA" w:rsidRPr="00D94300">
        <w:rPr>
          <w:lang w:val="en-GB"/>
        </w:rPr>
        <w:t>consideration</w:t>
      </w:r>
      <w:r w:rsidR="001955D1" w:rsidRPr="00D94300">
        <w:rPr>
          <w:lang w:val="en-GB"/>
        </w:rPr>
        <w:t xml:space="preserve"> and a measure of caution</w:t>
      </w:r>
      <w:r w:rsidR="00E95DFA" w:rsidRPr="00D94300">
        <w:rPr>
          <w:lang w:val="en-GB"/>
        </w:rPr>
        <w:t>.</w:t>
      </w:r>
      <w:r w:rsidR="001955D1" w:rsidRPr="00D94300">
        <w:rPr>
          <w:lang w:val="en-GB"/>
        </w:rPr>
        <w:t xml:space="preserve"> While the lighting where the collision occurred was poor, Vorster was standing under a street lamp when he encountered the person he believed was the appellant. Given the collision that had occurred, and the pace with which he was approached, it is apparent that the scene </w:t>
      </w:r>
      <w:r w:rsidR="001955D1" w:rsidRPr="00D94300">
        <w:rPr>
          <w:lang w:val="en-GB"/>
        </w:rPr>
        <w:lastRenderedPageBreak/>
        <w:t>was fast moving. But Vorster saw the person at close quarters</w:t>
      </w:r>
      <w:r w:rsidR="006E0B67" w:rsidRPr="00D94300">
        <w:rPr>
          <w:lang w:val="en-GB"/>
        </w:rPr>
        <w:t xml:space="preserve"> and spoke </w:t>
      </w:r>
      <w:r w:rsidR="001955D1" w:rsidRPr="00D94300">
        <w:rPr>
          <w:lang w:val="en-GB"/>
        </w:rPr>
        <w:t xml:space="preserve">to him </w:t>
      </w:r>
      <w:r w:rsidR="00D41034" w:rsidRPr="00D94300">
        <w:rPr>
          <w:lang w:val="en-GB"/>
        </w:rPr>
        <w:t>with apparent</w:t>
      </w:r>
      <w:r w:rsidR="006E0B67" w:rsidRPr="00D94300">
        <w:rPr>
          <w:lang w:val="en-GB"/>
        </w:rPr>
        <w:t xml:space="preserve"> concern. </w:t>
      </w:r>
      <w:r w:rsidR="00D41034" w:rsidRPr="00D94300">
        <w:rPr>
          <w:lang w:val="en-GB"/>
        </w:rPr>
        <w:t>Importantly, it is plausible that he would have recalled the facial features of the appellant</w:t>
      </w:r>
      <w:r w:rsidR="00AA219B" w:rsidRPr="00D94300">
        <w:rPr>
          <w:lang w:val="en-GB"/>
        </w:rPr>
        <w:t>, including his tattoos,</w:t>
      </w:r>
      <w:r w:rsidR="00D41034" w:rsidRPr="00D94300">
        <w:rPr>
          <w:lang w:val="en-GB"/>
        </w:rPr>
        <w:t xml:space="preserve"> when his ex-wife pointed him out as the father of her child. Given the previous relationship between the appellant and his ex-wife, Vorster would have remembered what he looked like and testified that he had seen him on a few occasions. </w:t>
      </w:r>
      <w:r w:rsidR="004D4570" w:rsidRPr="00D94300">
        <w:rPr>
          <w:lang w:val="en-GB"/>
        </w:rPr>
        <w:t xml:space="preserve">He recognised him that evening based on his </w:t>
      </w:r>
      <w:r w:rsidR="00CD6CD0" w:rsidRPr="00D94300">
        <w:rPr>
          <w:lang w:val="en-GB"/>
        </w:rPr>
        <w:t xml:space="preserve">facial features, in particular his tattoos and a goatee. </w:t>
      </w:r>
      <w:r w:rsidR="00483F55" w:rsidRPr="00D94300">
        <w:rPr>
          <w:lang w:val="en-GB"/>
        </w:rPr>
        <w:t>The latter feature is questionable given Van Tonder’s testimony that the appellant was usually clean shaven, and the appellant’s own version in that respect</w:t>
      </w:r>
      <w:r w:rsidR="000650C2" w:rsidRPr="00D94300">
        <w:rPr>
          <w:lang w:val="en-GB"/>
        </w:rPr>
        <w:t>, although it is apparent that the appellant sported a small goatee during his trial</w:t>
      </w:r>
      <w:r w:rsidR="00483F55" w:rsidRPr="00D94300">
        <w:rPr>
          <w:lang w:val="en-GB"/>
        </w:rPr>
        <w:t xml:space="preserve">. Nevertheless, considering the various factors relating to the identification of the appellant near the scene of the collision, in the light of the totality of the evidence and the probabilities, </w:t>
      </w:r>
      <w:r w:rsidR="00E9616E" w:rsidRPr="00D94300">
        <w:rPr>
          <w:lang w:val="en-GB"/>
        </w:rPr>
        <w:t xml:space="preserve">it was </w:t>
      </w:r>
      <w:r w:rsidR="005C0234" w:rsidRPr="00D94300">
        <w:rPr>
          <w:lang w:val="en-GB"/>
        </w:rPr>
        <w:t>indeed the appellant that was the driver of the vehicle</w:t>
      </w:r>
      <w:r w:rsidR="001E5DBB" w:rsidRPr="00D94300">
        <w:rPr>
          <w:lang w:val="en-GB"/>
        </w:rPr>
        <w:t xml:space="preserve">. </w:t>
      </w:r>
      <w:r w:rsidR="00D86530" w:rsidRPr="00D94300">
        <w:rPr>
          <w:lang w:val="en-GB"/>
        </w:rPr>
        <w:t>Th</w:t>
      </w:r>
      <w:r w:rsidR="00C04A83" w:rsidRPr="00D94300">
        <w:rPr>
          <w:lang w:val="en-GB"/>
        </w:rPr>
        <w:t>is conclusion is supported by various factors, including his state of intoxication at the time, which is consistent with the poor driving observed by the witness at the block of flats and by Vorster. His DNA was also found on the steering wheel</w:t>
      </w:r>
      <w:r w:rsidR="001A0CCE" w:rsidRPr="00D94300">
        <w:rPr>
          <w:lang w:val="en-GB"/>
        </w:rPr>
        <w:t xml:space="preserve">. On his own version he did not notice </w:t>
      </w:r>
      <w:r w:rsidR="00B10D57" w:rsidRPr="00D94300">
        <w:rPr>
          <w:lang w:val="en-GB"/>
        </w:rPr>
        <w:t xml:space="preserve">or hear </w:t>
      </w:r>
      <w:r w:rsidR="001A0CCE" w:rsidRPr="00D94300">
        <w:rPr>
          <w:lang w:val="en-GB"/>
        </w:rPr>
        <w:t>anybody</w:t>
      </w:r>
      <w:r w:rsidR="00A501CA" w:rsidRPr="00D94300">
        <w:rPr>
          <w:lang w:val="en-GB"/>
        </w:rPr>
        <w:t xml:space="preserve"> else</w:t>
      </w:r>
      <w:r w:rsidR="001A0CCE" w:rsidRPr="00D94300">
        <w:rPr>
          <w:lang w:val="en-GB"/>
        </w:rPr>
        <w:t xml:space="preserve"> driving the deceased’s vehicle when he left the flat, having stepped in the deceased’s blood. </w:t>
      </w:r>
      <w:r w:rsidR="00B443DC" w:rsidRPr="00D94300">
        <w:rPr>
          <w:lang w:val="en-GB"/>
        </w:rPr>
        <w:t xml:space="preserve">The overwhelming probabilities are that he drove the vehicle in leaving the scene of the crime. </w:t>
      </w:r>
    </w:p>
    <w:p w14:paraId="18E61F14" w14:textId="77777777" w:rsidR="00F66ADC" w:rsidRDefault="00F66ADC" w:rsidP="00F66ADC">
      <w:pPr>
        <w:pStyle w:val="ListParagraph"/>
        <w:autoSpaceDE w:val="0"/>
        <w:autoSpaceDN w:val="0"/>
        <w:adjustRightInd w:val="0"/>
        <w:ind w:left="0"/>
        <w:jc w:val="both"/>
        <w:rPr>
          <w:lang w:val="en-GB"/>
        </w:rPr>
      </w:pPr>
    </w:p>
    <w:p w14:paraId="49CFD4BB" w14:textId="599AB0BA" w:rsidR="00F66ADC" w:rsidRPr="00D94300" w:rsidRDefault="00D94300" w:rsidP="00D94300">
      <w:pPr>
        <w:autoSpaceDE w:val="0"/>
        <w:autoSpaceDN w:val="0"/>
        <w:adjustRightInd w:val="0"/>
        <w:jc w:val="both"/>
        <w:rPr>
          <w:lang w:val="en-GB"/>
        </w:rPr>
      </w:pPr>
      <w:r>
        <w:rPr>
          <w:lang w:val="en-GB"/>
        </w:rPr>
        <w:t>[17]</w:t>
      </w:r>
      <w:r>
        <w:rPr>
          <w:lang w:val="en-GB"/>
        </w:rPr>
        <w:tab/>
      </w:r>
      <w:r w:rsidR="000E201B" w:rsidRPr="00D94300">
        <w:rPr>
          <w:lang w:val="en-GB"/>
        </w:rPr>
        <w:t xml:space="preserve">Van Tonder’s evidence regarding the admissions made by the appellant </w:t>
      </w:r>
      <w:r w:rsidR="004972A3" w:rsidRPr="00D94300">
        <w:rPr>
          <w:lang w:val="en-GB"/>
        </w:rPr>
        <w:t>was</w:t>
      </w:r>
      <w:r w:rsidR="000E201B" w:rsidRPr="00D94300">
        <w:rPr>
          <w:lang w:val="en-GB"/>
        </w:rPr>
        <w:t>, in my view, correctly accepted by the magistrate, who was impressed by her testimony. The record re</w:t>
      </w:r>
      <w:r w:rsidR="001729C6" w:rsidRPr="00D94300">
        <w:rPr>
          <w:lang w:val="en-GB"/>
        </w:rPr>
        <w:t xml:space="preserve">flects that her evidence was consistent and clear, and that she was an excellent witness. She had no difficulty in conceding her own involvement with drugs, explained her initial anger towards the appellant when he had reported her to the police, and the </w:t>
      </w:r>
      <w:r w:rsidR="00CB3167" w:rsidRPr="00D94300">
        <w:rPr>
          <w:lang w:val="en-GB"/>
        </w:rPr>
        <w:t xml:space="preserve">cogent </w:t>
      </w:r>
      <w:r w:rsidR="001729C6" w:rsidRPr="00D94300">
        <w:rPr>
          <w:lang w:val="en-GB"/>
        </w:rPr>
        <w:t>reasons</w:t>
      </w:r>
      <w:r w:rsidR="00CB3167" w:rsidRPr="00D94300">
        <w:rPr>
          <w:lang w:val="en-GB"/>
        </w:rPr>
        <w:t xml:space="preserve"> why she had allowed him to live with her thereafter. Her conduct in reporting what he had told her to the police was independently motivated, and not a fabrication born</w:t>
      </w:r>
      <w:r w:rsidR="00D24AAA" w:rsidRPr="00D94300">
        <w:rPr>
          <w:lang w:val="en-GB"/>
        </w:rPr>
        <w:t>e</w:t>
      </w:r>
      <w:r w:rsidR="00CB3167" w:rsidRPr="00D94300">
        <w:rPr>
          <w:lang w:val="en-GB"/>
        </w:rPr>
        <w:t xml:space="preserve"> out of revenge.</w:t>
      </w:r>
      <w:r w:rsidR="00643DD9" w:rsidRPr="00D94300">
        <w:rPr>
          <w:lang w:val="en-GB"/>
        </w:rPr>
        <w:t xml:space="preserve"> Th</w:t>
      </w:r>
      <w:r w:rsidR="009C227F" w:rsidRPr="00D94300">
        <w:rPr>
          <w:lang w:val="en-GB"/>
        </w:rPr>
        <w:t xml:space="preserve">e conversation between the appellant and Van Tonder confirms what is clear from analysis of the appellant’s own version. He offered the most improbable of narratives as a counter to his own involvement in the deceased’s death. The notion that he may have half slept through a vicious attack, involving multiple stab wounds and the deceased bleeding to death in the room where he lay, is </w:t>
      </w:r>
      <w:r w:rsidR="004D202C" w:rsidRPr="00D94300">
        <w:rPr>
          <w:lang w:val="en-GB"/>
        </w:rPr>
        <w:t xml:space="preserve">far-fetched. Even accepting that he was under the influence of alcohol and drugs at the time, the conduct he described, on his own </w:t>
      </w:r>
      <w:r w:rsidR="004D202C" w:rsidRPr="00D94300">
        <w:rPr>
          <w:lang w:val="en-GB"/>
        </w:rPr>
        <w:lastRenderedPageBreak/>
        <w:t xml:space="preserve">version, is implausible. To walk over the deceased’s body, step in his blood, leave the scene without </w:t>
      </w:r>
      <w:r w:rsidR="00A308AE" w:rsidRPr="00D94300">
        <w:rPr>
          <w:lang w:val="en-GB"/>
        </w:rPr>
        <w:t xml:space="preserve">raising any alarm, return home and not mention a word of the stabbing of his </w:t>
      </w:r>
      <w:r w:rsidR="005E35B8" w:rsidRPr="00D94300">
        <w:rPr>
          <w:lang w:val="en-GB"/>
        </w:rPr>
        <w:t xml:space="preserve">long-time </w:t>
      </w:r>
      <w:r w:rsidR="00A308AE" w:rsidRPr="00D94300">
        <w:rPr>
          <w:lang w:val="en-GB"/>
        </w:rPr>
        <w:t xml:space="preserve">acquaintance to Van Tonder, </w:t>
      </w:r>
      <w:r w:rsidR="002D1E4B" w:rsidRPr="00D94300">
        <w:rPr>
          <w:lang w:val="en-GB"/>
        </w:rPr>
        <w:t>beggars’</w:t>
      </w:r>
      <w:r w:rsidR="00A308AE" w:rsidRPr="00D94300">
        <w:rPr>
          <w:lang w:val="en-GB"/>
        </w:rPr>
        <w:t xml:space="preserve"> belief.</w:t>
      </w:r>
      <w:r w:rsidR="002D1E4B" w:rsidRPr="00D94300">
        <w:rPr>
          <w:lang w:val="en-GB"/>
        </w:rPr>
        <w:t xml:space="preserve"> There are also the </w:t>
      </w:r>
      <w:r w:rsidR="005A21A2" w:rsidRPr="00D94300">
        <w:rPr>
          <w:lang w:val="en-GB"/>
        </w:rPr>
        <w:t xml:space="preserve">unexplained </w:t>
      </w:r>
      <w:r w:rsidR="002D1E4B" w:rsidRPr="00D94300">
        <w:rPr>
          <w:lang w:val="en-GB"/>
        </w:rPr>
        <w:t xml:space="preserve">inconsistencies in his version regarding </w:t>
      </w:r>
      <w:r w:rsidR="005A21A2" w:rsidRPr="00D94300">
        <w:rPr>
          <w:lang w:val="en-GB"/>
        </w:rPr>
        <w:t>how he came to change his top during the course of events</w:t>
      </w:r>
      <w:r w:rsidR="00FE4FF0" w:rsidRPr="00D94300">
        <w:rPr>
          <w:lang w:val="en-GB"/>
        </w:rPr>
        <w:t>.</w:t>
      </w:r>
      <w:r w:rsidR="0066384B" w:rsidRPr="00D94300">
        <w:rPr>
          <w:lang w:val="en-GB"/>
        </w:rPr>
        <w:t xml:space="preserve"> This conclusion is consistent with the magistrate’s assessment of Van Tonder’s evidence, and the rejection of the appellant’s version. That version was not reasonably possibly true</w:t>
      </w:r>
      <w:r w:rsidR="00D502F9" w:rsidRPr="00D94300">
        <w:rPr>
          <w:lang w:val="en-GB"/>
        </w:rPr>
        <w:t>.</w:t>
      </w:r>
      <w:r w:rsidR="00AE36EC" w:rsidRPr="00D94300">
        <w:rPr>
          <w:lang w:val="en-GB"/>
        </w:rPr>
        <w:t xml:space="preserve"> While the magistrate erred in failing to explain the reasons for the acceptance of Vorster’s identification of the appellant, no mistake was made in convicting the appellant. </w:t>
      </w:r>
    </w:p>
    <w:p w14:paraId="12FC3EAA" w14:textId="7A1D2398" w:rsidR="00935A8C" w:rsidRDefault="00935A8C" w:rsidP="00935A8C">
      <w:pPr>
        <w:pStyle w:val="ListParagraph"/>
        <w:autoSpaceDE w:val="0"/>
        <w:autoSpaceDN w:val="0"/>
        <w:adjustRightInd w:val="0"/>
        <w:ind w:left="0"/>
        <w:jc w:val="both"/>
        <w:rPr>
          <w:lang w:val="en-GB"/>
        </w:rPr>
      </w:pPr>
    </w:p>
    <w:p w14:paraId="4AEB88D6" w14:textId="0AE3E0F6" w:rsidR="000B5465" w:rsidRDefault="000B5465" w:rsidP="00935A8C">
      <w:pPr>
        <w:pStyle w:val="ListParagraph"/>
        <w:autoSpaceDE w:val="0"/>
        <w:autoSpaceDN w:val="0"/>
        <w:adjustRightInd w:val="0"/>
        <w:ind w:left="0"/>
        <w:jc w:val="both"/>
        <w:rPr>
          <w:b/>
          <w:lang w:val="en-GB"/>
        </w:rPr>
      </w:pPr>
      <w:r>
        <w:rPr>
          <w:b/>
          <w:lang w:val="en-GB"/>
        </w:rPr>
        <w:t>Sentence</w:t>
      </w:r>
    </w:p>
    <w:p w14:paraId="6339FFD4" w14:textId="77777777" w:rsidR="000B5465" w:rsidRPr="000B5465" w:rsidRDefault="000B5465" w:rsidP="00935A8C">
      <w:pPr>
        <w:pStyle w:val="ListParagraph"/>
        <w:autoSpaceDE w:val="0"/>
        <w:autoSpaceDN w:val="0"/>
        <w:adjustRightInd w:val="0"/>
        <w:ind w:left="0"/>
        <w:jc w:val="both"/>
        <w:rPr>
          <w:b/>
          <w:lang w:val="en-GB"/>
        </w:rPr>
      </w:pPr>
    </w:p>
    <w:p w14:paraId="43DB4437" w14:textId="5DA13A56" w:rsidR="00DE2C05" w:rsidRPr="00D94300" w:rsidRDefault="00D94300" w:rsidP="00D94300">
      <w:pPr>
        <w:autoSpaceDE w:val="0"/>
        <w:autoSpaceDN w:val="0"/>
        <w:adjustRightInd w:val="0"/>
        <w:jc w:val="both"/>
        <w:rPr>
          <w:lang w:val="en-GB"/>
        </w:rPr>
      </w:pPr>
      <w:r>
        <w:rPr>
          <w:lang w:val="en-GB"/>
        </w:rPr>
        <w:t>[18]</w:t>
      </w:r>
      <w:r>
        <w:rPr>
          <w:lang w:val="en-GB"/>
        </w:rPr>
        <w:tab/>
      </w:r>
      <w:r w:rsidR="00492449" w:rsidRPr="00D94300">
        <w:rPr>
          <w:lang w:val="en-GB"/>
        </w:rPr>
        <w:t xml:space="preserve">It is open to a court of appeal to interfere with a sentence that is excessive or disturbingly inappropriate. </w:t>
      </w:r>
      <w:r w:rsidR="00492449" w:rsidRPr="00D94300">
        <w:rPr>
          <w:i/>
          <w:iCs/>
          <w:lang w:val="en-GB"/>
        </w:rPr>
        <w:t>Mrs Obermeyer</w:t>
      </w:r>
      <w:r w:rsidR="00492449" w:rsidRPr="00D94300">
        <w:rPr>
          <w:lang w:val="en-GB"/>
        </w:rPr>
        <w:t xml:space="preserve"> conceded, correctly, that this was the case</w:t>
      </w:r>
      <w:r w:rsidR="005C0295" w:rsidRPr="00D94300">
        <w:rPr>
          <w:lang w:val="en-GB"/>
        </w:rPr>
        <w:t xml:space="preserve"> given the circumstances of the matter. </w:t>
      </w:r>
    </w:p>
    <w:p w14:paraId="7A53A9A9" w14:textId="77777777" w:rsidR="00DE2C05" w:rsidRDefault="00DE2C05" w:rsidP="00DE2C05">
      <w:pPr>
        <w:pStyle w:val="ListParagraph"/>
        <w:autoSpaceDE w:val="0"/>
        <w:autoSpaceDN w:val="0"/>
        <w:adjustRightInd w:val="0"/>
        <w:ind w:left="0"/>
        <w:jc w:val="both"/>
        <w:rPr>
          <w:lang w:val="en-GB"/>
        </w:rPr>
      </w:pPr>
    </w:p>
    <w:p w14:paraId="36D8A1A1" w14:textId="135BFD0A" w:rsidR="00935A8C" w:rsidRPr="00D94300" w:rsidRDefault="00D94300" w:rsidP="00D94300">
      <w:pPr>
        <w:autoSpaceDE w:val="0"/>
        <w:autoSpaceDN w:val="0"/>
        <w:adjustRightInd w:val="0"/>
        <w:jc w:val="both"/>
        <w:rPr>
          <w:lang w:val="en-GB"/>
        </w:rPr>
      </w:pPr>
      <w:r>
        <w:rPr>
          <w:lang w:val="en-GB"/>
        </w:rPr>
        <w:t>[19]</w:t>
      </w:r>
      <w:r>
        <w:rPr>
          <w:lang w:val="en-GB"/>
        </w:rPr>
        <w:tab/>
      </w:r>
      <w:r w:rsidR="008003D5" w:rsidRPr="00D94300">
        <w:rPr>
          <w:lang w:val="en-GB"/>
        </w:rPr>
        <w:t>The presiding officer appeared to over-emphasise the appellant’s prior convictions</w:t>
      </w:r>
      <w:r w:rsidR="00CD190A" w:rsidRPr="00D94300">
        <w:rPr>
          <w:lang w:val="en-GB"/>
        </w:rPr>
        <w:t xml:space="preserve">, </w:t>
      </w:r>
      <w:r w:rsidR="008003D5" w:rsidRPr="00D94300">
        <w:rPr>
          <w:lang w:val="en-GB"/>
        </w:rPr>
        <w:t>the seriousness of the various offences</w:t>
      </w:r>
      <w:r w:rsidR="00CD190A" w:rsidRPr="00D94300">
        <w:rPr>
          <w:lang w:val="en-GB"/>
        </w:rPr>
        <w:t xml:space="preserve"> and the evidence in aggravation</w:t>
      </w:r>
      <w:r w:rsidR="008003D5" w:rsidRPr="00D94300">
        <w:rPr>
          <w:lang w:val="en-GB"/>
        </w:rPr>
        <w:t xml:space="preserve">, </w:t>
      </w:r>
      <w:r w:rsidR="00CD190A" w:rsidRPr="00D94300">
        <w:rPr>
          <w:lang w:val="en-GB"/>
        </w:rPr>
        <w:t xml:space="preserve">while </w:t>
      </w:r>
      <w:r w:rsidR="008003D5" w:rsidRPr="00D94300">
        <w:rPr>
          <w:lang w:val="en-GB"/>
        </w:rPr>
        <w:t>underplaying the fact that he had been in custody awaiting trial since 2019</w:t>
      </w:r>
      <w:r w:rsidR="00C34989" w:rsidRPr="00D94300">
        <w:rPr>
          <w:lang w:val="en-GB"/>
        </w:rPr>
        <w:t xml:space="preserve">, a period in </w:t>
      </w:r>
      <w:r w:rsidR="004454A1" w:rsidRPr="00D94300">
        <w:rPr>
          <w:lang w:val="en-GB"/>
        </w:rPr>
        <w:t>excess of three years.</w:t>
      </w:r>
      <w:r w:rsidR="001613B0" w:rsidRPr="00D94300">
        <w:rPr>
          <w:lang w:val="en-GB"/>
        </w:rPr>
        <w:t xml:space="preserve"> </w:t>
      </w:r>
      <w:r w:rsidR="0070455C" w:rsidRPr="00D94300">
        <w:rPr>
          <w:lang w:val="en-GB"/>
        </w:rPr>
        <w:t xml:space="preserve">No mention was made of the effect of alcohol and drugs on the sentence to be imposed. </w:t>
      </w:r>
      <w:r w:rsidR="00D05D79" w:rsidRPr="00D94300">
        <w:rPr>
          <w:lang w:val="en-GB"/>
        </w:rPr>
        <w:t xml:space="preserve">Improper consideration was also given to the cumulative effect of the sentences imposed. </w:t>
      </w:r>
      <w:r w:rsidR="001613B0" w:rsidRPr="00D94300">
        <w:rPr>
          <w:lang w:val="en-GB"/>
        </w:rPr>
        <w:t xml:space="preserve">Considering all the circumstances, the difference between the sentence imposed and the sentence that </w:t>
      </w:r>
      <w:r w:rsidR="0087572A" w:rsidRPr="00D94300">
        <w:rPr>
          <w:lang w:val="en-GB"/>
        </w:rPr>
        <w:t>this court would have imposed had it been sitting as the trial court.</w:t>
      </w:r>
      <w:r w:rsidR="001613B0" w:rsidRPr="00D94300">
        <w:rPr>
          <w:lang w:val="en-GB"/>
        </w:rPr>
        <w:t xml:space="preserve"> </w:t>
      </w:r>
      <w:r w:rsidR="0087572A" w:rsidRPr="00D94300">
        <w:rPr>
          <w:lang w:val="en-GB"/>
        </w:rPr>
        <w:t xml:space="preserve">As such, </w:t>
      </w:r>
      <w:r w:rsidR="001613B0" w:rsidRPr="00D94300">
        <w:rPr>
          <w:lang w:val="en-GB"/>
        </w:rPr>
        <w:t xml:space="preserve">the inference can be </w:t>
      </w:r>
      <w:r w:rsidR="0087572A" w:rsidRPr="00D94300">
        <w:rPr>
          <w:lang w:val="en-GB"/>
        </w:rPr>
        <w:t>drawn</w:t>
      </w:r>
      <w:r w:rsidR="001613B0" w:rsidRPr="00D94300">
        <w:rPr>
          <w:lang w:val="en-GB"/>
        </w:rPr>
        <w:t xml:space="preserve"> that the trial court acted unreasonably, and therefore improperly. This warrants this court’s alteration of sentence.</w:t>
      </w:r>
      <w:r w:rsidR="00651E44" w:rsidRPr="00D94300">
        <w:rPr>
          <w:lang w:val="en-GB"/>
        </w:rPr>
        <w:t xml:space="preserve"> Considering all the circumstances a sentence of fifteen years’ imprisonment for the murder conviction would be appropriate, the sentences for the other convictions to run concurrently.</w:t>
      </w:r>
    </w:p>
    <w:p w14:paraId="3282AC8D" w14:textId="708F6994" w:rsidR="00651E44" w:rsidRDefault="00651E44" w:rsidP="00651E44">
      <w:pPr>
        <w:pStyle w:val="ListParagraph"/>
        <w:autoSpaceDE w:val="0"/>
        <w:autoSpaceDN w:val="0"/>
        <w:adjustRightInd w:val="0"/>
        <w:ind w:left="0"/>
        <w:jc w:val="both"/>
        <w:rPr>
          <w:lang w:val="en-GB"/>
        </w:rPr>
      </w:pPr>
    </w:p>
    <w:p w14:paraId="48D245A2" w14:textId="24D34340" w:rsidR="003801BA" w:rsidRDefault="003801BA" w:rsidP="00651E44">
      <w:pPr>
        <w:pStyle w:val="ListParagraph"/>
        <w:autoSpaceDE w:val="0"/>
        <w:autoSpaceDN w:val="0"/>
        <w:adjustRightInd w:val="0"/>
        <w:ind w:left="0"/>
        <w:jc w:val="both"/>
        <w:rPr>
          <w:b/>
          <w:bCs/>
          <w:lang w:val="en-GB"/>
        </w:rPr>
      </w:pPr>
      <w:r>
        <w:rPr>
          <w:b/>
          <w:bCs/>
          <w:lang w:val="en-GB"/>
        </w:rPr>
        <w:t>Order</w:t>
      </w:r>
    </w:p>
    <w:p w14:paraId="57C7B6DB" w14:textId="77777777" w:rsidR="003801BA" w:rsidRPr="003801BA" w:rsidRDefault="003801BA" w:rsidP="00651E44">
      <w:pPr>
        <w:pStyle w:val="ListParagraph"/>
        <w:autoSpaceDE w:val="0"/>
        <w:autoSpaceDN w:val="0"/>
        <w:adjustRightInd w:val="0"/>
        <w:ind w:left="0"/>
        <w:jc w:val="both"/>
        <w:rPr>
          <w:b/>
          <w:bCs/>
          <w:lang w:val="en-GB"/>
        </w:rPr>
      </w:pPr>
    </w:p>
    <w:p w14:paraId="0667AA2C" w14:textId="620E1C72" w:rsidR="00651E44" w:rsidRPr="00D94300" w:rsidRDefault="00D94300" w:rsidP="00D94300">
      <w:pPr>
        <w:autoSpaceDE w:val="0"/>
        <w:autoSpaceDN w:val="0"/>
        <w:adjustRightInd w:val="0"/>
        <w:jc w:val="both"/>
        <w:rPr>
          <w:lang w:val="en-GB"/>
        </w:rPr>
      </w:pPr>
      <w:r>
        <w:rPr>
          <w:lang w:val="en-GB"/>
        </w:rPr>
        <w:t>[20]</w:t>
      </w:r>
      <w:r>
        <w:rPr>
          <w:lang w:val="en-GB"/>
        </w:rPr>
        <w:tab/>
      </w:r>
      <w:r w:rsidR="002A411D" w:rsidRPr="00D94300">
        <w:rPr>
          <w:lang w:val="en-GB"/>
        </w:rPr>
        <w:t>The following order will issue:</w:t>
      </w:r>
    </w:p>
    <w:p w14:paraId="1FDF61C9" w14:textId="57B7260C" w:rsidR="002A411D" w:rsidRDefault="002A411D" w:rsidP="002A411D">
      <w:pPr>
        <w:pStyle w:val="ListParagraph"/>
        <w:autoSpaceDE w:val="0"/>
        <w:autoSpaceDN w:val="0"/>
        <w:adjustRightInd w:val="0"/>
        <w:ind w:left="0"/>
        <w:jc w:val="both"/>
        <w:rPr>
          <w:lang w:val="en-GB"/>
        </w:rPr>
      </w:pPr>
    </w:p>
    <w:p w14:paraId="283B85E2" w14:textId="1E83F379" w:rsidR="002A411D" w:rsidRPr="00D94300" w:rsidRDefault="00D94300" w:rsidP="00D94300">
      <w:pPr>
        <w:autoSpaceDE w:val="0"/>
        <w:autoSpaceDN w:val="0"/>
        <w:adjustRightInd w:val="0"/>
        <w:ind w:left="720" w:hanging="360"/>
        <w:jc w:val="both"/>
        <w:rPr>
          <w:lang w:val="en-GB"/>
        </w:rPr>
      </w:pPr>
      <w:r>
        <w:rPr>
          <w:lang w:val="en-GB"/>
        </w:rPr>
        <w:t>1.</w:t>
      </w:r>
      <w:r>
        <w:rPr>
          <w:lang w:val="en-GB"/>
        </w:rPr>
        <w:tab/>
      </w:r>
      <w:r w:rsidR="002A411D" w:rsidRPr="00D94300">
        <w:rPr>
          <w:lang w:val="en-GB"/>
        </w:rPr>
        <w:t>The appeal against conviction is dismissed.</w:t>
      </w:r>
    </w:p>
    <w:p w14:paraId="1CD74B19" w14:textId="171EA181" w:rsidR="002A411D" w:rsidRPr="00D94300" w:rsidRDefault="00D94300" w:rsidP="00D94300">
      <w:pPr>
        <w:autoSpaceDE w:val="0"/>
        <w:autoSpaceDN w:val="0"/>
        <w:adjustRightInd w:val="0"/>
        <w:ind w:left="720" w:hanging="360"/>
        <w:jc w:val="both"/>
        <w:rPr>
          <w:lang w:val="en-GB"/>
        </w:rPr>
      </w:pPr>
      <w:r>
        <w:rPr>
          <w:lang w:val="en-GB"/>
        </w:rPr>
        <w:lastRenderedPageBreak/>
        <w:t>2.</w:t>
      </w:r>
      <w:r>
        <w:rPr>
          <w:lang w:val="en-GB"/>
        </w:rPr>
        <w:tab/>
      </w:r>
      <w:r w:rsidR="002A411D" w:rsidRPr="00D94300">
        <w:rPr>
          <w:lang w:val="en-GB"/>
        </w:rPr>
        <w:t>The appeal against sentence is upheld.</w:t>
      </w:r>
    </w:p>
    <w:p w14:paraId="4BE208EB" w14:textId="4D800096" w:rsidR="002A411D" w:rsidRPr="00D94300" w:rsidRDefault="00D94300" w:rsidP="00D94300">
      <w:pPr>
        <w:autoSpaceDE w:val="0"/>
        <w:autoSpaceDN w:val="0"/>
        <w:adjustRightInd w:val="0"/>
        <w:ind w:left="720" w:hanging="360"/>
        <w:jc w:val="both"/>
        <w:rPr>
          <w:lang w:val="en-GB"/>
        </w:rPr>
      </w:pPr>
      <w:r>
        <w:rPr>
          <w:lang w:val="en-GB"/>
        </w:rPr>
        <w:t>3.</w:t>
      </w:r>
      <w:r>
        <w:rPr>
          <w:lang w:val="en-GB"/>
        </w:rPr>
        <w:tab/>
      </w:r>
      <w:r w:rsidR="002A411D" w:rsidRPr="00D94300">
        <w:rPr>
          <w:lang w:val="en-GB"/>
        </w:rPr>
        <w:t>The sentence imposed is set aside and the following is substituted for it:</w:t>
      </w:r>
    </w:p>
    <w:p w14:paraId="5B740F93" w14:textId="0E8656DE" w:rsidR="002A411D" w:rsidRDefault="002A411D" w:rsidP="002A411D">
      <w:pPr>
        <w:pStyle w:val="ListParagraph"/>
        <w:autoSpaceDE w:val="0"/>
        <w:autoSpaceDN w:val="0"/>
        <w:adjustRightInd w:val="0"/>
        <w:jc w:val="both"/>
        <w:rPr>
          <w:lang w:val="en-GB"/>
        </w:rPr>
      </w:pPr>
    </w:p>
    <w:p w14:paraId="52BF3BAB" w14:textId="1B526EA1" w:rsidR="002A411D" w:rsidRDefault="009565BF" w:rsidP="002A411D">
      <w:pPr>
        <w:pStyle w:val="ListParagraph"/>
        <w:autoSpaceDE w:val="0"/>
        <w:autoSpaceDN w:val="0"/>
        <w:adjustRightInd w:val="0"/>
        <w:jc w:val="both"/>
        <w:rPr>
          <w:lang w:val="en-GB"/>
        </w:rPr>
      </w:pPr>
      <w:r>
        <w:rPr>
          <w:lang w:val="en-GB"/>
        </w:rPr>
        <w:t>‘</w:t>
      </w:r>
      <w:r w:rsidR="002A411D">
        <w:rPr>
          <w:lang w:val="en-GB"/>
        </w:rPr>
        <w:t>Count 1: 15 years’ imprisonment;</w:t>
      </w:r>
    </w:p>
    <w:p w14:paraId="06028F65" w14:textId="7069725C" w:rsidR="002A411D" w:rsidRDefault="002A411D" w:rsidP="002A411D">
      <w:pPr>
        <w:pStyle w:val="ListParagraph"/>
        <w:autoSpaceDE w:val="0"/>
        <w:autoSpaceDN w:val="0"/>
        <w:adjustRightInd w:val="0"/>
        <w:jc w:val="both"/>
        <w:rPr>
          <w:lang w:val="en-GB"/>
        </w:rPr>
      </w:pPr>
      <w:r>
        <w:rPr>
          <w:lang w:val="en-GB"/>
        </w:rPr>
        <w:t>Count 2: 5 years’ imprisonment;</w:t>
      </w:r>
    </w:p>
    <w:p w14:paraId="1855314E" w14:textId="66D226FD" w:rsidR="002A411D" w:rsidRDefault="002A411D" w:rsidP="002A411D">
      <w:pPr>
        <w:pStyle w:val="ListParagraph"/>
        <w:autoSpaceDE w:val="0"/>
        <w:autoSpaceDN w:val="0"/>
        <w:adjustRightInd w:val="0"/>
        <w:jc w:val="both"/>
        <w:rPr>
          <w:lang w:val="en-GB"/>
        </w:rPr>
      </w:pPr>
      <w:r>
        <w:rPr>
          <w:lang w:val="en-GB"/>
        </w:rPr>
        <w:t>Count 3: 6 months’ imprisonment;</w:t>
      </w:r>
    </w:p>
    <w:p w14:paraId="272EAC5A" w14:textId="6E97027B" w:rsidR="002A411D" w:rsidRDefault="002A411D" w:rsidP="002A411D">
      <w:pPr>
        <w:pStyle w:val="ListParagraph"/>
        <w:autoSpaceDE w:val="0"/>
        <w:autoSpaceDN w:val="0"/>
        <w:adjustRightInd w:val="0"/>
        <w:jc w:val="both"/>
        <w:rPr>
          <w:lang w:val="en-GB"/>
        </w:rPr>
      </w:pPr>
      <w:r>
        <w:rPr>
          <w:lang w:val="en-GB"/>
        </w:rPr>
        <w:t>Count 4: 6 months’ imprisonment</w:t>
      </w:r>
    </w:p>
    <w:p w14:paraId="12D79D80" w14:textId="77777777" w:rsidR="009565BF" w:rsidRDefault="009565BF" w:rsidP="002A411D">
      <w:pPr>
        <w:pStyle w:val="ListParagraph"/>
        <w:autoSpaceDE w:val="0"/>
        <w:autoSpaceDN w:val="0"/>
        <w:adjustRightInd w:val="0"/>
        <w:jc w:val="both"/>
        <w:rPr>
          <w:lang w:val="en-GB"/>
        </w:rPr>
      </w:pPr>
    </w:p>
    <w:p w14:paraId="32472BF6" w14:textId="7AFE8F97" w:rsidR="002A411D" w:rsidRDefault="002A411D" w:rsidP="002A411D">
      <w:pPr>
        <w:pStyle w:val="ListParagraph"/>
        <w:autoSpaceDE w:val="0"/>
        <w:autoSpaceDN w:val="0"/>
        <w:adjustRightInd w:val="0"/>
        <w:jc w:val="both"/>
        <w:rPr>
          <w:lang w:val="en-GB"/>
        </w:rPr>
      </w:pPr>
      <w:r>
        <w:rPr>
          <w:lang w:val="en-GB"/>
        </w:rPr>
        <w:t>The sentences imposed on counts 2, 3 and 4 are to run concurrently with the sentence imposed on count 1.</w:t>
      </w:r>
    </w:p>
    <w:p w14:paraId="5242DDBF" w14:textId="77777777" w:rsidR="009565BF" w:rsidRDefault="009565BF" w:rsidP="002A411D">
      <w:pPr>
        <w:pStyle w:val="ListParagraph"/>
        <w:autoSpaceDE w:val="0"/>
        <w:autoSpaceDN w:val="0"/>
        <w:adjustRightInd w:val="0"/>
        <w:jc w:val="both"/>
        <w:rPr>
          <w:lang w:val="en-GB"/>
        </w:rPr>
      </w:pPr>
    </w:p>
    <w:p w14:paraId="0150B717" w14:textId="4BEE376F" w:rsidR="009565BF" w:rsidRDefault="009565BF" w:rsidP="002A411D">
      <w:pPr>
        <w:pStyle w:val="ListParagraph"/>
        <w:autoSpaceDE w:val="0"/>
        <w:autoSpaceDN w:val="0"/>
        <w:adjustRightInd w:val="0"/>
        <w:jc w:val="both"/>
        <w:rPr>
          <w:lang w:val="en-GB"/>
        </w:rPr>
      </w:pPr>
      <w:r>
        <w:rPr>
          <w:lang w:val="en-GB"/>
        </w:rPr>
        <w:t>The accused is deemed unfit to possess a firearm.’</w:t>
      </w:r>
    </w:p>
    <w:p w14:paraId="76BC88A3" w14:textId="77777777" w:rsidR="009565BF" w:rsidRDefault="009565BF" w:rsidP="009565BF">
      <w:pPr>
        <w:pStyle w:val="ListParagraph"/>
        <w:autoSpaceDE w:val="0"/>
        <w:autoSpaceDN w:val="0"/>
        <w:adjustRightInd w:val="0"/>
        <w:jc w:val="both"/>
        <w:rPr>
          <w:lang w:val="en-GB"/>
        </w:rPr>
      </w:pPr>
    </w:p>
    <w:p w14:paraId="739EE67D" w14:textId="78F6CFCE" w:rsidR="002A411D" w:rsidRPr="00D94300" w:rsidRDefault="00D94300" w:rsidP="00D94300">
      <w:pPr>
        <w:autoSpaceDE w:val="0"/>
        <w:autoSpaceDN w:val="0"/>
        <w:adjustRightInd w:val="0"/>
        <w:ind w:left="720" w:hanging="360"/>
        <w:jc w:val="both"/>
        <w:rPr>
          <w:lang w:val="en-GB"/>
        </w:rPr>
      </w:pPr>
      <w:r w:rsidRPr="009565BF">
        <w:rPr>
          <w:lang w:val="en-GB"/>
        </w:rPr>
        <w:t>4</w:t>
      </w:r>
      <w:bookmarkStart w:id="0" w:name="_GoBack"/>
      <w:bookmarkEnd w:id="0"/>
      <w:r w:rsidRPr="009565BF">
        <w:rPr>
          <w:lang w:val="en-GB"/>
        </w:rPr>
        <w:t>.</w:t>
      </w:r>
      <w:r w:rsidRPr="009565BF">
        <w:rPr>
          <w:lang w:val="en-GB"/>
        </w:rPr>
        <w:tab/>
      </w:r>
      <w:r w:rsidR="009565BF" w:rsidRPr="00D94300">
        <w:rPr>
          <w:lang w:val="en-GB"/>
        </w:rPr>
        <w:t>In terms of s 282 of the Criminal Procedure Act, 1977 (Act 51 of 1977), the substituted sentence is antedated to 30 May 2022, being the date on which the appellant was sentence.</w:t>
      </w:r>
    </w:p>
    <w:p w14:paraId="5D06EE00" w14:textId="77777777" w:rsidR="00D40814" w:rsidRPr="00D40814" w:rsidRDefault="00D40814" w:rsidP="00D40814">
      <w:pPr>
        <w:autoSpaceDE w:val="0"/>
        <w:autoSpaceDN w:val="0"/>
        <w:adjustRightInd w:val="0"/>
        <w:jc w:val="both"/>
        <w:rPr>
          <w:lang w:val="en-GB"/>
        </w:rPr>
      </w:pPr>
    </w:p>
    <w:p w14:paraId="6ECAB172" w14:textId="77777777" w:rsidR="00A2425F" w:rsidRDefault="00A2425F" w:rsidP="00A2425F">
      <w:pPr>
        <w:pStyle w:val="ListParagraph"/>
        <w:autoSpaceDE w:val="0"/>
        <w:autoSpaceDN w:val="0"/>
        <w:adjustRightInd w:val="0"/>
        <w:ind w:left="142"/>
        <w:jc w:val="both"/>
        <w:rPr>
          <w:lang w:val="en-GB"/>
        </w:rPr>
      </w:pPr>
    </w:p>
    <w:p w14:paraId="14118CE8" w14:textId="77777777" w:rsidR="00754D7E" w:rsidRDefault="00754D7E" w:rsidP="00754D7E">
      <w:pPr>
        <w:pStyle w:val="ListParagraph"/>
        <w:autoSpaceDE w:val="0"/>
        <w:autoSpaceDN w:val="0"/>
        <w:adjustRightInd w:val="0"/>
        <w:ind w:left="0"/>
        <w:jc w:val="both"/>
        <w:rPr>
          <w:lang w:val="en-GB"/>
        </w:rPr>
      </w:pPr>
    </w:p>
    <w:p w14:paraId="142D459C" w14:textId="77777777" w:rsidR="00754D7E" w:rsidRPr="00A2425F" w:rsidRDefault="00754D7E" w:rsidP="00A2425F">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6A7DF624" w:rsidR="00D450B5" w:rsidRDefault="00D450B5" w:rsidP="00CA056D">
      <w:pPr>
        <w:jc w:val="both"/>
        <w:rPr>
          <w:b/>
          <w:bCs/>
          <w:lang w:val="en-GB"/>
        </w:rPr>
      </w:pPr>
      <w:r w:rsidRPr="00044B50">
        <w:rPr>
          <w:b/>
          <w:bCs/>
          <w:lang w:val="en-GB"/>
        </w:rPr>
        <w:t>JUDGE OF THE HIGH COURT</w:t>
      </w:r>
    </w:p>
    <w:p w14:paraId="7D58AC20" w14:textId="7E1BAF95" w:rsidR="00EC14CA" w:rsidRDefault="00EC14CA" w:rsidP="00CA056D">
      <w:pPr>
        <w:jc w:val="both"/>
        <w:rPr>
          <w:b/>
          <w:bCs/>
          <w:lang w:val="en-GB"/>
        </w:rPr>
      </w:pPr>
    </w:p>
    <w:p w14:paraId="072BCFBC" w14:textId="47435239" w:rsidR="00EC14CA" w:rsidRDefault="00B81F61" w:rsidP="00CA056D">
      <w:pPr>
        <w:jc w:val="both"/>
        <w:rPr>
          <w:b/>
          <w:bCs/>
          <w:lang w:val="en-GB"/>
        </w:rPr>
      </w:pPr>
      <w:r>
        <w:rPr>
          <w:b/>
          <w:bCs/>
          <w:lang w:val="en-GB"/>
        </w:rPr>
        <w:t xml:space="preserve">G </w:t>
      </w:r>
      <w:r w:rsidR="00EC14CA">
        <w:rPr>
          <w:b/>
          <w:bCs/>
          <w:lang w:val="en-GB"/>
        </w:rPr>
        <w:t>BLOEM:</w:t>
      </w:r>
    </w:p>
    <w:p w14:paraId="098D67F3" w14:textId="54115082" w:rsidR="00EC14CA" w:rsidRDefault="00EC14CA" w:rsidP="00CA056D">
      <w:pPr>
        <w:jc w:val="both"/>
        <w:rPr>
          <w:b/>
          <w:bCs/>
          <w:lang w:val="en-GB"/>
        </w:rPr>
      </w:pPr>
      <w:r>
        <w:rPr>
          <w:b/>
          <w:bCs/>
          <w:lang w:val="en-GB"/>
        </w:rPr>
        <w:t>I agree</w:t>
      </w:r>
    </w:p>
    <w:p w14:paraId="0865CAE3" w14:textId="2DC8482A" w:rsidR="00EC14CA" w:rsidRDefault="00EC14CA" w:rsidP="00CA056D">
      <w:pPr>
        <w:jc w:val="both"/>
        <w:rPr>
          <w:b/>
          <w:bCs/>
          <w:lang w:val="en-GB"/>
        </w:rPr>
      </w:pPr>
    </w:p>
    <w:p w14:paraId="77853EEF" w14:textId="77777777" w:rsidR="00EC14CA" w:rsidRPr="00044B50" w:rsidRDefault="00EC14CA" w:rsidP="00CA056D">
      <w:pPr>
        <w:jc w:val="both"/>
        <w:rPr>
          <w:b/>
          <w:bCs/>
          <w:lang w:val="en-GB"/>
        </w:rPr>
      </w:pPr>
    </w:p>
    <w:p w14:paraId="583086A1" w14:textId="77777777" w:rsidR="00EC14CA" w:rsidRPr="00044B50" w:rsidRDefault="00EC14CA" w:rsidP="00EC14CA">
      <w:pPr>
        <w:jc w:val="both"/>
        <w:rPr>
          <w:lang w:val="en-GB"/>
        </w:rPr>
      </w:pPr>
      <w:r w:rsidRPr="00044B50">
        <w:rPr>
          <w:lang w:val="en-GB"/>
        </w:rPr>
        <w:t xml:space="preserve">_________________________ </w:t>
      </w:r>
    </w:p>
    <w:p w14:paraId="58A9B9DC" w14:textId="2031B128" w:rsidR="00EC14CA" w:rsidRPr="00044B50" w:rsidRDefault="00B81F61" w:rsidP="00EC14CA">
      <w:pPr>
        <w:jc w:val="both"/>
        <w:rPr>
          <w:b/>
          <w:bCs/>
          <w:lang w:val="en-GB"/>
        </w:rPr>
      </w:pPr>
      <w:r>
        <w:rPr>
          <w:b/>
          <w:bCs/>
          <w:lang w:val="en-GB"/>
        </w:rPr>
        <w:t xml:space="preserve">G </w:t>
      </w:r>
      <w:r w:rsidR="00EC14CA">
        <w:rPr>
          <w:b/>
          <w:bCs/>
          <w:lang w:val="en-GB"/>
        </w:rPr>
        <w:t>BLOEM</w:t>
      </w:r>
    </w:p>
    <w:p w14:paraId="024C11EE" w14:textId="77777777" w:rsidR="00EC14CA" w:rsidRPr="00044B50" w:rsidRDefault="00EC14CA" w:rsidP="00EC14CA">
      <w:pPr>
        <w:jc w:val="both"/>
        <w:rPr>
          <w:b/>
          <w:bCs/>
          <w:lang w:val="en-GB"/>
        </w:rPr>
      </w:pPr>
      <w:r w:rsidRPr="00044B50">
        <w:rPr>
          <w:b/>
          <w:bCs/>
          <w:lang w:val="en-GB"/>
        </w:rPr>
        <w:t>JUDGE OF THE HIGH COURT</w:t>
      </w:r>
    </w:p>
    <w:p w14:paraId="56442A86" w14:textId="2AF7F9E4" w:rsidR="00AA32DA" w:rsidRDefault="00AA32DA" w:rsidP="004A5151">
      <w:pPr>
        <w:autoSpaceDE w:val="0"/>
        <w:autoSpaceDN w:val="0"/>
        <w:adjustRightInd w:val="0"/>
        <w:jc w:val="both"/>
        <w:rPr>
          <w:lang w:val="en-GB"/>
        </w:rPr>
      </w:pPr>
    </w:p>
    <w:p w14:paraId="063A5B06" w14:textId="77777777" w:rsidR="00EC14CA" w:rsidRDefault="00EC14CA" w:rsidP="004A5151">
      <w:pPr>
        <w:autoSpaceDE w:val="0"/>
        <w:autoSpaceDN w:val="0"/>
        <w:adjustRightInd w:val="0"/>
        <w:jc w:val="both"/>
        <w:rPr>
          <w:lang w:val="en-GB"/>
        </w:rPr>
      </w:pPr>
    </w:p>
    <w:p w14:paraId="4E913372" w14:textId="77777777" w:rsidR="008A75F3" w:rsidRDefault="008A75F3" w:rsidP="00DE2C05">
      <w:pPr>
        <w:widowControl w:val="0"/>
        <w:rPr>
          <w:spacing w:val="14"/>
          <w:kern w:val="2"/>
          <w:lang w:val="en-GB"/>
        </w:rPr>
      </w:pPr>
    </w:p>
    <w:p w14:paraId="04EEEF0A" w14:textId="07479423" w:rsidR="007A7BBE" w:rsidRPr="00A87D38" w:rsidRDefault="007A7BBE" w:rsidP="00CA056D">
      <w:pPr>
        <w:widowControl w:val="0"/>
        <w:ind w:right="656"/>
        <w:rPr>
          <w:spacing w:val="14"/>
          <w:kern w:val="2"/>
          <w:lang w:val="en-GB"/>
        </w:rPr>
      </w:pPr>
      <w:r w:rsidRPr="00A87D38">
        <w:rPr>
          <w:spacing w:val="14"/>
          <w:kern w:val="2"/>
          <w:lang w:val="en-GB"/>
        </w:rPr>
        <w:t>Heard:</w:t>
      </w:r>
      <w:r w:rsidR="00557DC6">
        <w:rPr>
          <w:spacing w:val="14"/>
          <w:kern w:val="2"/>
          <w:lang w:val="en-GB"/>
        </w:rPr>
        <w:t xml:space="preserve"> 08 March 2023</w:t>
      </w:r>
    </w:p>
    <w:p w14:paraId="299C01BC" w14:textId="77777777" w:rsidR="00CA056D" w:rsidRDefault="00CA056D" w:rsidP="000D4C7F">
      <w:pPr>
        <w:widowControl w:val="0"/>
        <w:ind w:left="4320" w:right="656" w:firstLine="720"/>
        <w:jc w:val="right"/>
        <w:rPr>
          <w:spacing w:val="14"/>
          <w:kern w:val="2"/>
          <w:lang w:val="en-GB"/>
        </w:rPr>
      </w:pPr>
    </w:p>
    <w:p w14:paraId="5D550954" w14:textId="51850331" w:rsidR="007A7BBE" w:rsidRPr="00A87D38" w:rsidRDefault="007A7BBE" w:rsidP="00CA056D">
      <w:pPr>
        <w:widowControl w:val="0"/>
        <w:ind w:right="656"/>
        <w:rPr>
          <w:spacing w:val="14"/>
          <w:kern w:val="2"/>
          <w:lang w:val="en-GB"/>
        </w:rPr>
      </w:pPr>
      <w:r w:rsidRPr="00A87D38">
        <w:rPr>
          <w:spacing w:val="14"/>
          <w:kern w:val="2"/>
          <w:lang w:val="en-GB"/>
        </w:rPr>
        <w:t>Delivered:</w:t>
      </w:r>
      <w:r w:rsidR="00557DC6">
        <w:rPr>
          <w:spacing w:val="14"/>
          <w:kern w:val="2"/>
          <w:lang w:val="en-GB"/>
        </w:rPr>
        <w:t xml:space="preserve"> 14 March 2023</w:t>
      </w: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5EC9E877" w14:textId="76D67C29" w:rsidR="00D065E6" w:rsidRDefault="00AC235B" w:rsidP="00772E4B">
      <w:pPr>
        <w:jc w:val="both"/>
        <w:rPr>
          <w:lang w:val="en-GB"/>
        </w:rPr>
      </w:pPr>
      <w:r>
        <w:rPr>
          <w:lang w:val="en-GB"/>
        </w:rPr>
        <w:t>For the appellant</w:t>
      </w:r>
      <w:r w:rsidR="00C33845">
        <w:rPr>
          <w:lang w:val="en-GB"/>
        </w:rPr>
        <w:t>:</w:t>
      </w:r>
      <w:r w:rsidR="00C33845">
        <w:rPr>
          <w:lang w:val="en-GB"/>
        </w:rPr>
        <w:tab/>
      </w:r>
      <w:r w:rsidR="000947DB">
        <w:rPr>
          <w:lang w:val="en-GB"/>
        </w:rPr>
        <w:tab/>
      </w:r>
      <w:r w:rsidR="000947DB">
        <w:rPr>
          <w:lang w:val="en-GB"/>
        </w:rPr>
        <w:tab/>
      </w:r>
      <w:r>
        <w:rPr>
          <w:lang w:val="en-GB"/>
        </w:rPr>
        <w:t>Adv Geldenhuys</w:t>
      </w:r>
      <w:r w:rsidR="00C33845">
        <w:rPr>
          <w:lang w:val="en-GB"/>
        </w:rPr>
        <w:tab/>
      </w:r>
    </w:p>
    <w:p w14:paraId="1A96B021" w14:textId="796CD23A" w:rsidR="00C33845" w:rsidRDefault="00C33845" w:rsidP="00772E4B">
      <w:pPr>
        <w:jc w:val="both"/>
        <w:rPr>
          <w:lang w:val="en-GB"/>
        </w:rPr>
      </w:pPr>
      <w:r>
        <w:rPr>
          <w:lang w:val="en-GB"/>
        </w:rPr>
        <w:tab/>
      </w:r>
      <w:r>
        <w:rPr>
          <w:lang w:val="en-GB"/>
        </w:rPr>
        <w:tab/>
      </w:r>
      <w:r>
        <w:rPr>
          <w:lang w:val="en-GB"/>
        </w:rPr>
        <w:tab/>
      </w:r>
    </w:p>
    <w:p w14:paraId="37ABD924" w14:textId="3CCFEF91" w:rsidR="00AC235B" w:rsidRPr="00AC235B" w:rsidRDefault="00AC235B" w:rsidP="00AC235B">
      <w:pPr>
        <w:spacing w:line="480" w:lineRule="auto"/>
        <w:jc w:val="both"/>
        <w:rPr>
          <w:color w:val="auto"/>
          <w:lang w:val="en-US"/>
        </w:rPr>
      </w:pPr>
      <w:r w:rsidRPr="00AC235B">
        <w:rPr>
          <w:color w:val="auto"/>
          <w:lang w:val="en-US"/>
        </w:rPr>
        <w:t xml:space="preserve">Instructed by: </w:t>
      </w:r>
      <w:r w:rsidRPr="00AC235B">
        <w:rPr>
          <w:color w:val="auto"/>
          <w:lang w:val="en-US"/>
        </w:rPr>
        <w:tab/>
      </w:r>
      <w:r w:rsidRPr="00AC235B">
        <w:rPr>
          <w:color w:val="auto"/>
          <w:lang w:val="en-US"/>
        </w:rPr>
        <w:tab/>
      </w:r>
      <w:r w:rsidRPr="00AC235B">
        <w:rPr>
          <w:color w:val="auto"/>
          <w:lang w:val="en-US"/>
        </w:rPr>
        <w:tab/>
      </w:r>
      <w:r w:rsidR="00D065E6">
        <w:rPr>
          <w:color w:val="auto"/>
          <w:lang w:val="en-US"/>
        </w:rPr>
        <w:t>Legal-Aid South Africa</w:t>
      </w:r>
    </w:p>
    <w:p w14:paraId="56B60322" w14:textId="36D3531B" w:rsidR="00AC235B" w:rsidRPr="00AC235B" w:rsidRDefault="00AC235B" w:rsidP="00AC235B">
      <w:pPr>
        <w:spacing w:line="480" w:lineRule="auto"/>
        <w:jc w:val="both"/>
        <w:rPr>
          <w:color w:val="auto"/>
          <w:lang w:val="en-US"/>
        </w:rPr>
      </w:pP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00D065E6">
        <w:rPr>
          <w:color w:val="auto"/>
          <w:lang w:val="en-US"/>
        </w:rPr>
        <w:t>69 High</w:t>
      </w:r>
      <w:r w:rsidRPr="00AC235B">
        <w:rPr>
          <w:color w:val="auto"/>
          <w:lang w:val="en-US"/>
        </w:rPr>
        <w:t xml:space="preserve"> Street</w:t>
      </w:r>
    </w:p>
    <w:p w14:paraId="1FA30D04" w14:textId="7D297E30" w:rsidR="00AC235B" w:rsidRPr="00AC235B" w:rsidRDefault="00AC235B" w:rsidP="00AC235B">
      <w:pPr>
        <w:spacing w:line="480" w:lineRule="auto"/>
        <w:jc w:val="both"/>
        <w:rPr>
          <w:color w:val="auto"/>
          <w:lang w:val="en-US"/>
        </w:rPr>
      </w:pP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00703590">
        <w:rPr>
          <w:color w:val="auto"/>
          <w:lang w:val="en-US"/>
        </w:rPr>
        <w:t>Makhanda</w:t>
      </w:r>
    </w:p>
    <w:p w14:paraId="20C8D51C" w14:textId="77777777" w:rsidR="00703590" w:rsidRDefault="00D065E6" w:rsidP="00703590">
      <w:pPr>
        <w:jc w:val="both"/>
        <w:rPr>
          <w:lang w:val="en-GB"/>
        </w:rPr>
      </w:pPr>
      <w:r>
        <w:rPr>
          <w:lang w:val="en-GB"/>
        </w:rPr>
        <w:tab/>
      </w:r>
      <w:r>
        <w:rPr>
          <w:lang w:val="en-GB"/>
        </w:rPr>
        <w:tab/>
      </w:r>
      <w:r>
        <w:rPr>
          <w:lang w:val="en-GB"/>
        </w:rPr>
        <w:tab/>
      </w:r>
      <w:r>
        <w:rPr>
          <w:lang w:val="en-GB"/>
        </w:rPr>
        <w:tab/>
      </w:r>
      <w:r>
        <w:rPr>
          <w:lang w:val="en-GB"/>
        </w:rPr>
        <w:tab/>
        <w:t>6140</w:t>
      </w:r>
    </w:p>
    <w:p w14:paraId="7816CB2C" w14:textId="243BAF82" w:rsidR="00703590" w:rsidRPr="00703590" w:rsidRDefault="00703590" w:rsidP="00703590">
      <w:pPr>
        <w:ind w:left="2880" w:firstLine="720"/>
        <w:jc w:val="both"/>
        <w:rPr>
          <w:lang w:val="en-GB"/>
        </w:rPr>
      </w:pPr>
      <w:r w:rsidRPr="00703590">
        <w:rPr>
          <w:rFonts w:eastAsiaTheme="minorEastAsia"/>
          <w:color w:val="auto"/>
          <w:lang w:eastAsia="en-ZA"/>
        </w:rPr>
        <w:t>046</w:t>
      </w:r>
      <w:r w:rsidRPr="00703590">
        <w:rPr>
          <w:rFonts w:eastAsiaTheme="minorEastAsia"/>
          <w:color w:val="auto"/>
          <w:spacing w:val="-8"/>
          <w:lang w:eastAsia="en-ZA"/>
        </w:rPr>
        <w:t xml:space="preserve"> </w:t>
      </w:r>
      <w:r w:rsidRPr="00703590">
        <w:rPr>
          <w:rFonts w:eastAsiaTheme="minorEastAsia"/>
          <w:color w:val="auto"/>
          <w:lang w:eastAsia="en-ZA"/>
        </w:rPr>
        <w:t>622</w:t>
      </w:r>
      <w:r w:rsidRPr="00703590">
        <w:rPr>
          <w:rFonts w:eastAsiaTheme="minorEastAsia"/>
          <w:color w:val="auto"/>
          <w:spacing w:val="-5"/>
          <w:lang w:eastAsia="en-ZA"/>
        </w:rPr>
        <w:t xml:space="preserve"> </w:t>
      </w:r>
      <w:r w:rsidRPr="00703590">
        <w:rPr>
          <w:rFonts w:eastAsiaTheme="minorEastAsia"/>
          <w:color w:val="auto"/>
          <w:spacing w:val="-4"/>
          <w:lang w:eastAsia="en-ZA"/>
        </w:rPr>
        <w:t>9350</w:t>
      </w:r>
    </w:p>
    <w:p w14:paraId="3F07D89C" w14:textId="19128650" w:rsidR="00703590" w:rsidRDefault="00703590" w:rsidP="00772E4B">
      <w:pPr>
        <w:jc w:val="both"/>
        <w:rPr>
          <w:lang w:val="en-GB"/>
        </w:rPr>
      </w:pPr>
    </w:p>
    <w:p w14:paraId="23A2D137" w14:textId="77777777" w:rsidR="00C33845" w:rsidRDefault="00C33845" w:rsidP="00772E4B">
      <w:pPr>
        <w:jc w:val="both"/>
        <w:rPr>
          <w:lang w:val="en-GB"/>
        </w:rPr>
      </w:pPr>
    </w:p>
    <w:p w14:paraId="6190544B" w14:textId="7214F93E" w:rsidR="00C33845" w:rsidRPr="00044B50" w:rsidRDefault="00D065E6" w:rsidP="00772E4B">
      <w:pPr>
        <w:jc w:val="both"/>
        <w:rPr>
          <w:lang w:val="en-GB"/>
        </w:rPr>
      </w:pPr>
      <w:r>
        <w:rPr>
          <w:lang w:val="en-GB"/>
        </w:rPr>
        <w:t>For the respondent</w:t>
      </w:r>
      <w:r w:rsidR="00C33845">
        <w:rPr>
          <w:lang w:val="en-GB"/>
        </w:rPr>
        <w:t>:</w:t>
      </w:r>
      <w:r w:rsidR="00C33845">
        <w:rPr>
          <w:lang w:val="en-GB"/>
        </w:rPr>
        <w:tab/>
      </w:r>
      <w:r w:rsidR="000947DB">
        <w:rPr>
          <w:lang w:val="en-GB"/>
        </w:rPr>
        <w:tab/>
      </w:r>
      <w:r w:rsidR="000947DB">
        <w:rPr>
          <w:lang w:val="en-GB"/>
        </w:rPr>
        <w:tab/>
      </w:r>
      <w:r>
        <w:rPr>
          <w:lang w:val="en-GB"/>
        </w:rPr>
        <w:t>Adv Obermeyer</w:t>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1F72BF46" w14:textId="2FC94BC4" w:rsidR="00D065E6" w:rsidRPr="00AC235B" w:rsidRDefault="00D065E6" w:rsidP="00D065E6">
      <w:pPr>
        <w:spacing w:line="480" w:lineRule="auto"/>
        <w:jc w:val="both"/>
        <w:rPr>
          <w:color w:val="auto"/>
          <w:lang w:val="en-US"/>
        </w:rPr>
      </w:pPr>
      <w:r w:rsidRPr="00AC235B">
        <w:rPr>
          <w:color w:val="auto"/>
          <w:lang w:val="en-US"/>
        </w:rPr>
        <w:t xml:space="preserve">Instructed by: </w:t>
      </w:r>
      <w:r w:rsidRPr="00AC235B">
        <w:rPr>
          <w:color w:val="auto"/>
          <w:lang w:val="en-US"/>
        </w:rPr>
        <w:tab/>
      </w:r>
      <w:r w:rsidRPr="00AC235B">
        <w:rPr>
          <w:color w:val="auto"/>
          <w:lang w:val="en-US"/>
        </w:rPr>
        <w:tab/>
      </w:r>
      <w:r w:rsidRPr="00AC235B">
        <w:rPr>
          <w:color w:val="auto"/>
          <w:lang w:val="en-US"/>
        </w:rPr>
        <w:tab/>
      </w:r>
      <w:r w:rsidR="00703590">
        <w:rPr>
          <w:color w:val="auto"/>
          <w:lang w:val="en-US"/>
        </w:rPr>
        <w:t>Director of Public Prosecutions</w:t>
      </w:r>
    </w:p>
    <w:p w14:paraId="745F9791" w14:textId="77777777" w:rsidR="00703590" w:rsidRDefault="00D065E6" w:rsidP="00703590">
      <w:pPr>
        <w:spacing w:line="480" w:lineRule="auto"/>
        <w:jc w:val="both"/>
        <w:rPr>
          <w:color w:val="auto"/>
          <w:lang w:val="en-US"/>
        </w:rPr>
      </w:pP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00703590">
        <w:rPr>
          <w:color w:val="auto"/>
          <w:lang w:val="en-US"/>
        </w:rPr>
        <w:t>Makhanda</w:t>
      </w:r>
    </w:p>
    <w:p w14:paraId="40D89D9F" w14:textId="317BC5CA" w:rsidR="00703590" w:rsidRPr="00703590" w:rsidRDefault="00703590" w:rsidP="00703590">
      <w:pPr>
        <w:spacing w:line="480" w:lineRule="auto"/>
        <w:ind w:left="2880" w:firstLine="720"/>
        <w:jc w:val="both"/>
        <w:rPr>
          <w:lang w:val="en-GB"/>
        </w:rPr>
      </w:pPr>
      <w:r w:rsidRPr="00703590">
        <w:rPr>
          <w:rFonts w:eastAsiaTheme="minorEastAsia"/>
          <w:color w:val="auto"/>
          <w:lang w:eastAsia="en-ZA"/>
        </w:rPr>
        <w:t>046</w:t>
      </w:r>
      <w:r w:rsidRPr="00703590">
        <w:rPr>
          <w:rFonts w:eastAsiaTheme="minorEastAsia"/>
          <w:color w:val="auto"/>
          <w:spacing w:val="-8"/>
          <w:lang w:eastAsia="en-ZA"/>
        </w:rPr>
        <w:t xml:space="preserve"> </w:t>
      </w:r>
      <w:r w:rsidRPr="00703590">
        <w:rPr>
          <w:rFonts w:eastAsiaTheme="minorEastAsia"/>
          <w:color w:val="auto"/>
          <w:lang w:eastAsia="en-ZA"/>
        </w:rPr>
        <w:t>602</w:t>
      </w:r>
      <w:r w:rsidRPr="00703590">
        <w:rPr>
          <w:rFonts w:eastAsiaTheme="minorEastAsia"/>
          <w:color w:val="auto"/>
          <w:spacing w:val="-5"/>
          <w:lang w:eastAsia="en-ZA"/>
        </w:rPr>
        <w:t xml:space="preserve"> </w:t>
      </w:r>
      <w:r w:rsidRPr="00703590">
        <w:rPr>
          <w:rFonts w:eastAsiaTheme="minorEastAsia"/>
          <w:color w:val="auto"/>
          <w:spacing w:val="-4"/>
          <w:lang w:eastAsia="en-ZA"/>
        </w:rPr>
        <w:t>3000</w:t>
      </w:r>
    </w:p>
    <w:p w14:paraId="2E5260E3" w14:textId="31854DBA"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5E2F2" w14:textId="77777777" w:rsidR="00AC4F28" w:rsidRDefault="00AC4F28" w:rsidP="00005691">
      <w:r>
        <w:separator/>
      </w:r>
    </w:p>
  </w:endnote>
  <w:endnote w:type="continuationSeparator" w:id="0">
    <w:p w14:paraId="3E1C334D" w14:textId="77777777" w:rsidR="00AC4F28" w:rsidRDefault="00AC4F28"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3648B" w14:textId="77777777" w:rsidR="00AC4F28" w:rsidRDefault="00AC4F28" w:rsidP="00005691">
      <w:r>
        <w:separator/>
      </w:r>
    </w:p>
  </w:footnote>
  <w:footnote w:type="continuationSeparator" w:id="0">
    <w:p w14:paraId="12FEBA80" w14:textId="77777777" w:rsidR="00AC4F28" w:rsidRDefault="00AC4F28" w:rsidP="00005691">
      <w:r>
        <w:continuationSeparator/>
      </w:r>
    </w:p>
  </w:footnote>
  <w:footnote w:id="1">
    <w:p w14:paraId="70344AAA" w14:textId="77777777" w:rsidR="001121A6" w:rsidRPr="00BA1522" w:rsidRDefault="001121A6" w:rsidP="00C16E98">
      <w:pPr>
        <w:pStyle w:val="FootnoteText"/>
        <w:spacing w:line="240" w:lineRule="auto"/>
        <w:jc w:val="both"/>
        <w:rPr>
          <w:lang w:val="en-US"/>
        </w:rPr>
      </w:pPr>
      <w:r>
        <w:rPr>
          <w:rStyle w:val="FootnoteReference"/>
        </w:rPr>
        <w:footnoteRef/>
      </w:r>
      <w:r>
        <w:t xml:space="preserve"> </w:t>
      </w:r>
      <w:r>
        <w:rPr>
          <w:i/>
          <w:iCs/>
          <w:lang w:val="en-US"/>
        </w:rPr>
        <w:t xml:space="preserve">R v Dhlumayo and Another </w:t>
      </w:r>
      <w:r>
        <w:rPr>
          <w:lang w:val="en-US"/>
        </w:rPr>
        <w:t>[1948] 2 All SA 566 (A); 1948 (2) SA 677 (A).</w:t>
      </w:r>
    </w:p>
  </w:footnote>
  <w:footnote w:id="2">
    <w:p w14:paraId="212155AB" w14:textId="77777777" w:rsidR="001121A6" w:rsidRPr="00BA1522" w:rsidRDefault="001121A6" w:rsidP="00C16E9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Francis</w:t>
      </w:r>
      <w:r>
        <w:rPr>
          <w:lang w:val="en-US"/>
        </w:rPr>
        <w:t xml:space="preserve"> 1991 (1) SACR 198 (A).</w:t>
      </w:r>
    </w:p>
  </w:footnote>
  <w:footnote w:id="3">
    <w:p w14:paraId="16E048FB" w14:textId="77777777" w:rsidR="001121A6" w:rsidRPr="001E43D5" w:rsidRDefault="001121A6" w:rsidP="00C16E98">
      <w:pPr>
        <w:pStyle w:val="FootnoteText"/>
        <w:spacing w:line="240" w:lineRule="auto"/>
        <w:jc w:val="both"/>
        <w:rPr>
          <w:lang w:val="en-US"/>
        </w:rPr>
      </w:pPr>
      <w:r>
        <w:rPr>
          <w:rStyle w:val="FootnoteReference"/>
        </w:rPr>
        <w:footnoteRef/>
      </w:r>
      <w:r>
        <w:t xml:space="preserve"> </w:t>
      </w:r>
      <w:r>
        <w:rPr>
          <w:i/>
          <w:iCs/>
          <w:lang w:val="en-US"/>
        </w:rPr>
        <w:t xml:space="preserve">S v Francis </w:t>
      </w:r>
      <w:r>
        <w:rPr>
          <w:lang w:val="en-US"/>
        </w:rPr>
        <w:t xml:space="preserve">ibid at </w:t>
      </w:r>
      <w:r w:rsidRPr="009A099D">
        <w:rPr>
          <w:lang w:val="en-US"/>
        </w:rPr>
        <w:t>204</w:t>
      </w:r>
      <w:r w:rsidRPr="009A099D">
        <w:rPr>
          <w:i/>
          <w:iCs/>
          <w:lang w:val="en-US"/>
        </w:rPr>
        <w:t>c-f</w:t>
      </w:r>
      <w:r>
        <w:rPr>
          <w:lang w:val="en-US"/>
        </w:rPr>
        <w:t>.</w:t>
      </w:r>
    </w:p>
  </w:footnote>
  <w:footnote w:id="4">
    <w:p w14:paraId="4508BBF4" w14:textId="7176EF1D" w:rsidR="00215E80" w:rsidRPr="00215E80" w:rsidRDefault="00215E80" w:rsidP="00C16E98">
      <w:pPr>
        <w:pStyle w:val="FootnoteText"/>
        <w:spacing w:line="240" w:lineRule="auto"/>
        <w:jc w:val="both"/>
        <w:rPr>
          <w:lang w:val="en-US"/>
        </w:rPr>
      </w:pPr>
      <w:r>
        <w:rPr>
          <w:rStyle w:val="FootnoteReference"/>
        </w:rPr>
        <w:footnoteRef/>
      </w:r>
      <w:r>
        <w:t xml:space="preserve"> </w:t>
      </w:r>
      <w:r>
        <w:rPr>
          <w:i/>
          <w:iCs/>
          <w:lang w:val="en-US"/>
        </w:rPr>
        <w:t>S v Sauls and Others</w:t>
      </w:r>
      <w:r>
        <w:rPr>
          <w:lang w:val="en-US"/>
        </w:rPr>
        <w:t xml:space="preserve"> 1981 (3) SA 173 (A) at 179G-180G.</w:t>
      </w:r>
    </w:p>
  </w:footnote>
  <w:footnote w:id="5">
    <w:p w14:paraId="710652CE" w14:textId="33A7524A" w:rsidR="00A2425F" w:rsidRPr="007A0DED" w:rsidRDefault="00A2425F" w:rsidP="00C16E98">
      <w:pPr>
        <w:pStyle w:val="FootnoteText"/>
        <w:spacing w:line="240" w:lineRule="auto"/>
        <w:jc w:val="both"/>
        <w:rPr>
          <w:lang w:val="en-US"/>
        </w:rPr>
      </w:pPr>
      <w:r>
        <w:rPr>
          <w:rStyle w:val="FootnoteReference"/>
        </w:rPr>
        <w:footnoteRef/>
      </w:r>
      <w:r>
        <w:t xml:space="preserve"> </w:t>
      </w:r>
      <w:r w:rsidR="001C27DF">
        <w:rPr>
          <w:i/>
          <w:iCs/>
        </w:rPr>
        <w:t xml:space="preserve">S v Mthetwa </w:t>
      </w:r>
      <w:r>
        <w:rPr>
          <w:lang w:val="en-US"/>
        </w:rPr>
        <w:t>[1972] 3 All SA 568 (A); 1972 (3) SA 766 (A) at 768A-C.</w:t>
      </w:r>
    </w:p>
  </w:footnote>
  <w:footnote w:id="6">
    <w:p w14:paraId="7349EC4A" w14:textId="75B6F3BD" w:rsidR="008B3005" w:rsidRPr="00600BB7" w:rsidRDefault="008B3005" w:rsidP="00C16E98">
      <w:pPr>
        <w:pStyle w:val="FootnoteText"/>
        <w:spacing w:line="240" w:lineRule="auto"/>
        <w:jc w:val="both"/>
        <w:rPr>
          <w:lang w:val="en-US"/>
        </w:rPr>
      </w:pPr>
      <w:r>
        <w:rPr>
          <w:rStyle w:val="FootnoteReference"/>
        </w:rPr>
        <w:footnoteRef/>
      </w:r>
      <w:r>
        <w:t xml:space="preserve"> </w:t>
      </w:r>
      <w:r>
        <w:rPr>
          <w:i/>
          <w:iCs/>
          <w:lang w:val="en-US"/>
        </w:rPr>
        <w:t>S v Ergie</w:t>
      </w:r>
      <w:r>
        <w:rPr>
          <w:lang w:val="en-US"/>
        </w:rPr>
        <w:t xml:space="preserve"> </w:t>
      </w:r>
      <w:r w:rsidR="00BE7EE7">
        <w:rPr>
          <w:lang w:val="en-US"/>
        </w:rPr>
        <w:t xml:space="preserve">2021 (1) SACR 127 (WCC) </w:t>
      </w:r>
      <w:r>
        <w:rPr>
          <w:lang w:val="en-US"/>
        </w:rPr>
        <w:t>para 6.</w:t>
      </w:r>
    </w:p>
  </w:footnote>
  <w:footnote w:id="7">
    <w:p w14:paraId="4C236A67" w14:textId="4FBE1C1F" w:rsidR="00916F09" w:rsidRPr="00916F09" w:rsidRDefault="00916F09" w:rsidP="00C16E9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Schoonwinkel v Swart’s Trustee</w:t>
      </w:r>
      <w:r>
        <w:rPr>
          <w:lang w:val="en-US"/>
        </w:rPr>
        <w:t xml:space="preserve"> 1911 TPD 397 at 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72B659EE"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4300">
          <w:rPr>
            <w:rStyle w:val="PageNumber"/>
            <w:noProof/>
          </w:rPr>
          <w:t>10</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672A9A"/>
    <w:multiLevelType w:val="hybridMultilevel"/>
    <w:tmpl w:val="006C9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9"/>
  </w:num>
  <w:num w:numId="6">
    <w:abstractNumId w:val="7"/>
  </w:num>
  <w:num w:numId="7">
    <w:abstractNumId w:val="11"/>
  </w:num>
  <w:num w:numId="8">
    <w:abstractNumId w:val="1"/>
  </w:num>
  <w:num w:numId="9">
    <w:abstractNumId w:val="6"/>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40E"/>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AAE"/>
    <w:rsid w:val="00051F6C"/>
    <w:rsid w:val="000536DD"/>
    <w:rsid w:val="00053D81"/>
    <w:rsid w:val="00054DEC"/>
    <w:rsid w:val="00055C33"/>
    <w:rsid w:val="00056042"/>
    <w:rsid w:val="00056FBA"/>
    <w:rsid w:val="000574BF"/>
    <w:rsid w:val="00060164"/>
    <w:rsid w:val="00063188"/>
    <w:rsid w:val="00063C6E"/>
    <w:rsid w:val="00063D5A"/>
    <w:rsid w:val="0006445F"/>
    <w:rsid w:val="000650C2"/>
    <w:rsid w:val="0007050F"/>
    <w:rsid w:val="0007234C"/>
    <w:rsid w:val="00073624"/>
    <w:rsid w:val="00073EFC"/>
    <w:rsid w:val="000778A4"/>
    <w:rsid w:val="00080D4E"/>
    <w:rsid w:val="000815F5"/>
    <w:rsid w:val="00083322"/>
    <w:rsid w:val="00083386"/>
    <w:rsid w:val="000833DB"/>
    <w:rsid w:val="00084C6F"/>
    <w:rsid w:val="00086278"/>
    <w:rsid w:val="00086A06"/>
    <w:rsid w:val="0009015D"/>
    <w:rsid w:val="000910CD"/>
    <w:rsid w:val="00091F8C"/>
    <w:rsid w:val="000947DB"/>
    <w:rsid w:val="0009497C"/>
    <w:rsid w:val="00096BC1"/>
    <w:rsid w:val="000976CA"/>
    <w:rsid w:val="000A451D"/>
    <w:rsid w:val="000A59DC"/>
    <w:rsid w:val="000B0946"/>
    <w:rsid w:val="000B0B98"/>
    <w:rsid w:val="000B0DC8"/>
    <w:rsid w:val="000B26AE"/>
    <w:rsid w:val="000B26CF"/>
    <w:rsid w:val="000B5465"/>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D66DF"/>
    <w:rsid w:val="000D7843"/>
    <w:rsid w:val="000E1C45"/>
    <w:rsid w:val="000E201B"/>
    <w:rsid w:val="000E2444"/>
    <w:rsid w:val="000E3401"/>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1A6"/>
    <w:rsid w:val="001124A5"/>
    <w:rsid w:val="001149F2"/>
    <w:rsid w:val="00116EB9"/>
    <w:rsid w:val="001202CF"/>
    <w:rsid w:val="00120E93"/>
    <w:rsid w:val="001226DE"/>
    <w:rsid w:val="00123296"/>
    <w:rsid w:val="0012621C"/>
    <w:rsid w:val="00130228"/>
    <w:rsid w:val="00131984"/>
    <w:rsid w:val="00131A28"/>
    <w:rsid w:val="001337CC"/>
    <w:rsid w:val="00134C11"/>
    <w:rsid w:val="001354B1"/>
    <w:rsid w:val="00135C81"/>
    <w:rsid w:val="00137E08"/>
    <w:rsid w:val="00142F79"/>
    <w:rsid w:val="001435EB"/>
    <w:rsid w:val="0014491D"/>
    <w:rsid w:val="00144974"/>
    <w:rsid w:val="00146BA3"/>
    <w:rsid w:val="001517E0"/>
    <w:rsid w:val="001572D1"/>
    <w:rsid w:val="00157785"/>
    <w:rsid w:val="00157898"/>
    <w:rsid w:val="00157C19"/>
    <w:rsid w:val="00160EBC"/>
    <w:rsid w:val="00160F58"/>
    <w:rsid w:val="001613B0"/>
    <w:rsid w:val="00163A58"/>
    <w:rsid w:val="00164B7B"/>
    <w:rsid w:val="001729C6"/>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55D1"/>
    <w:rsid w:val="00196742"/>
    <w:rsid w:val="001A0CCE"/>
    <w:rsid w:val="001A4F33"/>
    <w:rsid w:val="001B0D01"/>
    <w:rsid w:val="001B2578"/>
    <w:rsid w:val="001B2FE4"/>
    <w:rsid w:val="001B505F"/>
    <w:rsid w:val="001B69E3"/>
    <w:rsid w:val="001C04BC"/>
    <w:rsid w:val="001C27DF"/>
    <w:rsid w:val="001C2DD7"/>
    <w:rsid w:val="001C48A5"/>
    <w:rsid w:val="001C7061"/>
    <w:rsid w:val="001D0962"/>
    <w:rsid w:val="001D214B"/>
    <w:rsid w:val="001D4C5E"/>
    <w:rsid w:val="001D5A9D"/>
    <w:rsid w:val="001D5F83"/>
    <w:rsid w:val="001D61C8"/>
    <w:rsid w:val="001E0F36"/>
    <w:rsid w:val="001E1834"/>
    <w:rsid w:val="001E1B07"/>
    <w:rsid w:val="001E24E0"/>
    <w:rsid w:val="001E3C91"/>
    <w:rsid w:val="001E4824"/>
    <w:rsid w:val="001E5DBB"/>
    <w:rsid w:val="001E640A"/>
    <w:rsid w:val="001E6A6E"/>
    <w:rsid w:val="001E701F"/>
    <w:rsid w:val="001E7844"/>
    <w:rsid w:val="001E78D5"/>
    <w:rsid w:val="001E7C8F"/>
    <w:rsid w:val="001F2243"/>
    <w:rsid w:val="001F2276"/>
    <w:rsid w:val="001F335C"/>
    <w:rsid w:val="001F3A41"/>
    <w:rsid w:val="001F53EA"/>
    <w:rsid w:val="001F59AB"/>
    <w:rsid w:val="00201DC6"/>
    <w:rsid w:val="00201F12"/>
    <w:rsid w:val="00206D6C"/>
    <w:rsid w:val="00207573"/>
    <w:rsid w:val="002100DD"/>
    <w:rsid w:val="002115FE"/>
    <w:rsid w:val="00213565"/>
    <w:rsid w:val="0021430F"/>
    <w:rsid w:val="00215E80"/>
    <w:rsid w:val="00215EBC"/>
    <w:rsid w:val="0021730A"/>
    <w:rsid w:val="00217399"/>
    <w:rsid w:val="002203EC"/>
    <w:rsid w:val="00222854"/>
    <w:rsid w:val="00224363"/>
    <w:rsid w:val="002258E7"/>
    <w:rsid w:val="0022594E"/>
    <w:rsid w:val="00226444"/>
    <w:rsid w:val="00226ADA"/>
    <w:rsid w:val="00227379"/>
    <w:rsid w:val="00230B10"/>
    <w:rsid w:val="00231325"/>
    <w:rsid w:val="002327AF"/>
    <w:rsid w:val="0023410F"/>
    <w:rsid w:val="0023677B"/>
    <w:rsid w:val="00236B9D"/>
    <w:rsid w:val="0023768E"/>
    <w:rsid w:val="002402F6"/>
    <w:rsid w:val="00245504"/>
    <w:rsid w:val="00245756"/>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4BED"/>
    <w:rsid w:val="00284F7B"/>
    <w:rsid w:val="002852C4"/>
    <w:rsid w:val="00285664"/>
    <w:rsid w:val="00287A18"/>
    <w:rsid w:val="00287A26"/>
    <w:rsid w:val="00290DC6"/>
    <w:rsid w:val="00290E92"/>
    <w:rsid w:val="00291FB9"/>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11D"/>
    <w:rsid w:val="002A61D9"/>
    <w:rsid w:val="002A6332"/>
    <w:rsid w:val="002A6593"/>
    <w:rsid w:val="002A6B82"/>
    <w:rsid w:val="002A73A7"/>
    <w:rsid w:val="002B0DEA"/>
    <w:rsid w:val="002B31B7"/>
    <w:rsid w:val="002B3FE3"/>
    <w:rsid w:val="002B54B7"/>
    <w:rsid w:val="002B560B"/>
    <w:rsid w:val="002B6730"/>
    <w:rsid w:val="002B7874"/>
    <w:rsid w:val="002C1ECF"/>
    <w:rsid w:val="002C1ED3"/>
    <w:rsid w:val="002C3A0D"/>
    <w:rsid w:val="002C45D8"/>
    <w:rsid w:val="002C5CC6"/>
    <w:rsid w:val="002C7128"/>
    <w:rsid w:val="002D1E4B"/>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3F62"/>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BDB"/>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0A04"/>
    <w:rsid w:val="0037217E"/>
    <w:rsid w:val="00373BB6"/>
    <w:rsid w:val="00374F02"/>
    <w:rsid w:val="00375614"/>
    <w:rsid w:val="003801BA"/>
    <w:rsid w:val="00380E60"/>
    <w:rsid w:val="00381483"/>
    <w:rsid w:val="00381C36"/>
    <w:rsid w:val="00381D62"/>
    <w:rsid w:val="00382ADF"/>
    <w:rsid w:val="00386325"/>
    <w:rsid w:val="003869D5"/>
    <w:rsid w:val="003905B9"/>
    <w:rsid w:val="0039206E"/>
    <w:rsid w:val="00392A4B"/>
    <w:rsid w:val="00392AA2"/>
    <w:rsid w:val="00393BA3"/>
    <w:rsid w:val="0039527F"/>
    <w:rsid w:val="00395A71"/>
    <w:rsid w:val="003966BB"/>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443D"/>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5F3"/>
    <w:rsid w:val="003F0D9E"/>
    <w:rsid w:val="003F181C"/>
    <w:rsid w:val="003F1974"/>
    <w:rsid w:val="003F2109"/>
    <w:rsid w:val="003F2790"/>
    <w:rsid w:val="003F50FF"/>
    <w:rsid w:val="003F5900"/>
    <w:rsid w:val="003F6355"/>
    <w:rsid w:val="00400266"/>
    <w:rsid w:val="00401121"/>
    <w:rsid w:val="00401841"/>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5C7E"/>
    <w:rsid w:val="004165B0"/>
    <w:rsid w:val="004165D6"/>
    <w:rsid w:val="00417295"/>
    <w:rsid w:val="0042163E"/>
    <w:rsid w:val="00423163"/>
    <w:rsid w:val="004241D2"/>
    <w:rsid w:val="004244A5"/>
    <w:rsid w:val="00425ABC"/>
    <w:rsid w:val="0042686A"/>
    <w:rsid w:val="00427318"/>
    <w:rsid w:val="004276CD"/>
    <w:rsid w:val="0042778E"/>
    <w:rsid w:val="00427843"/>
    <w:rsid w:val="004302B6"/>
    <w:rsid w:val="0043230A"/>
    <w:rsid w:val="0043511C"/>
    <w:rsid w:val="00435538"/>
    <w:rsid w:val="00436603"/>
    <w:rsid w:val="00437A7F"/>
    <w:rsid w:val="00437E88"/>
    <w:rsid w:val="00440672"/>
    <w:rsid w:val="00441E70"/>
    <w:rsid w:val="00443779"/>
    <w:rsid w:val="00443CCC"/>
    <w:rsid w:val="004441E4"/>
    <w:rsid w:val="004448E8"/>
    <w:rsid w:val="004454A1"/>
    <w:rsid w:val="004474FB"/>
    <w:rsid w:val="00450294"/>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71DE"/>
    <w:rsid w:val="00477226"/>
    <w:rsid w:val="004813E8"/>
    <w:rsid w:val="004827F3"/>
    <w:rsid w:val="004829F2"/>
    <w:rsid w:val="00483F55"/>
    <w:rsid w:val="00486114"/>
    <w:rsid w:val="004863E4"/>
    <w:rsid w:val="004868A7"/>
    <w:rsid w:val="00487264"/>
    <w:rsid w:val="00490D2A"/>
    <w:rsid w:val="0049105D"/>
    <w:rsid w:val="004918C4"/>
    <w:rsid w:val="00492449"/>
    <w:rsid w:val="004932A2"/>
    <w:rsid w:val="00496E8C"/>
    <w:rsid w:val="00496EAA"/>
    <w:rsid w:val="004972A3"/>
    <w:rsid w:val="004A00B9"/>
    <w:rsid w:val="004A08D7"/>
    <w:rsid w:val="004A5151"/>
    <w:rsid w:val="004A5DB1"/>
    <w:rsid w:val="004A687F"/>
    <w:rsid w:val="004A7359"/>
    <w:rsid w:val="004B3161"/>
    <w:rsid w:val="004B4C8C"/>
    <w:rsid w:val="004B5BAF"/>
    <w:rsid w:val="004B5CB4"/>
    <w:rsid w:val="004B632A"/>
    <w:rsid w:val="004B7E82"/>
    <w:rsid w:val="004C06AD"/>
    <w:rsid w:val="004C0946"/>
    <w:rsid w:val="004C0AD4"/>
    <w:rsid w:val="004C0C08"/>
    <w:rsid w:val="004C13CF"/>
    <w:rsid w:val="004C7EB2"/>
    <w:rsid w:val="004D0163"/>
    <w:rsid w:val="004D0AC5"/>
    <w:rsid w:val="004D19EB"/>
    <w:rsid w:val="004D1AAF"/>
    <w:rsid w:val="004D202C"/>
    <w:rsid w:val="004D3210"/>
    <w:rsid w:val="004D35C6"/>
    <w:rsid w:val="004D4570"/>
    <w:rsid w:val="004D690D"/>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6CA2"/>
    <w:rsid w:val="004F79D9"/>
    <w:rsid w:val="005014BC"/>
    <w:rsid w:val="00501617"/>
    <w:rsid w:val="00501875"/>
    <w:rsid w:val="00502229"/>
    <w:rsid w:val="0050257B"/>
    <w:rsid w:val="005030DE"/>
    <w:rsid w:val="00503188"/>
    <w:rsid w:val="00504BCF"/>
    <w:rsid w:val="0050634D"/>
    <w:rsid w:val="00507560"/>
    <w:rsid w:val="005078B2"/>
    <w:rsid w:val="005079C1"/>
    <w:rsid w:val="00507BBF"/>
    <w:rsid w:val="00511260"/>
    <w:rsid w:val="00511565"/>
    <w:rsid w:val="0051172C"/>
    <w:rsid w:val="00513000"/>
    <w:rsid w:val="0051380C"/>
    <w:rsid w:val="00514878"/>
    <w:rsid w:val="00516675"/>
    <w:rsid w:val="0051706E"/>
    <w:rsid w:val="00520E7F"/>
    <w:rsid w:val="00522A69"/>
    <w:rsid w:val="00523DBC"/>
    <w:rsid w:val="005244E9"/>
    <w:rsid w:val="00525DF3"/>
    <w:rsid w:val="00530509"/>
    <w:rsid w:val="00532080"/>
    <w:rsid w:val="00545009"/>
    <w:rsid w:val="00545140"/>
    <w:rsid w:val="00545668"/>
    <w:rsid w:val="0055098F"/>
    <w:rsid w:val="005517B9"/>
    <w:rsid w:val="00552B7A"/>
    <w:rsid w:val="00553E7D"/>
    <w:rsid w:val="005542BD"/>
    <w:rsid w:val="00556489"/>
    <w:rsid w:val="00556EDA"/>
    <w:rsid w:val="00556FC7"/>
    <w:rsid w:val="005573D6"/>
    <w:rsid w:val="00557DC6"/>
    <w:rsid w:val="0056029F"/>
    <w:rsid w:val="0056509F"/>
    <w:rsid w:val="00565326"/>
    <w:rsid w:val="005669EF"/>
    <w:rsid w:val="005703D6"/>
    <w:rsid w:val="00570A0D"/>
    <w:rsid w:val="0057278E"/>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1A2"/>
    <w:rsid w:val="005A23B0"/>
    <w:rsid w:val="005A2449"/>
    <w:rsid w:val="005A2C73"/>
    <w:rsid w:val="005A3E4D"/>
    <w:rsid w:val="005A4FC0"/>
    <w:rsid w:val="005A71F7"/>
    <w:rsid w:val="005B0D1B"/>
    <w:rsid w:val="005B1333"/>
    <w:rsid w:val="005B1872"/>
    <w:rsid w:val="005B649F"/>
    <w:rsid w:val="005B7922"/>
    <w:rsid w:val="005B7CEE"/>
    <w:rsid w:val="005C0234"/>
    <w:rsid w:val="005C0295"/>
    <w:rsid w:val="005C1439"/>
    <w:rsid w:val="005C15DC"/>
    <w:rsid w:val="005C1DEC"/>
    <w:rsid w:val="005C28AE"/>
    <w:rsid w:val="005C36E4"/>
    <w:rsid w:val="005C3DFB"/>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35B8"/>
    <w:rsid w:val="005E411E"/>
    <w:rsid w:val="005E560B"/>
    <w:rsid w:val="005E601A"/>
    <w:rsid w:val="005F03D5"/>
    <w:rsid w:val="005F04A5"/>
    <w:rsid w:val="005F158C"/>
    <w:rsid w:val="005F236B"/>
    <w:rsid w:val="005F6D85"/>
    <w:rsid w:val="005F77BC"/>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626E"/>
    <w:rsid w:val="00637A17"/>
    <w:rsid w:val="00641035"/>
    <w:rsid w:val="00641661"/>
    <w:rsid w:val="00643DD9"/>
    <w:rsid w:val="00644FB0"/>
    <w:rsid w:val="006476E6"/>
    <w:rsid w:val="00650EE2"/>
    <w:rsid w:val="006511A4"/>
    <w:rsid w:val="006513E2"/>
    <w:rsid w:val="00651916"/>
    <w:rsid w:val="00651DE7"/>
    <w:rsid w:val="00651E44"/>
    <w:rsid w:val="006531C9"/>
    <w:rsid w:val="006535E1"/>
    <w:rsid w:val="0066025E"/>
    <w:rsid w:val="00660C98"/>
    <w:rsid w:val="00661D64"/>
    <w:rsid w:val="00662682"/>
    <w:rsid w:val="00662BDF"/>
    <w:rsid w:val="0066384B"/>
    <w:rsid w:val="006639A0"/>
    <w:rsid w:val="00663D7F"/>
    <w:rsid w:val="00664CD0"/>
    <w:rsid w:val="00665D94"/>
    <w:rsid w:val="00666129"/>
    <w:rsid w:val="006668FE"/>
    <w:rsid w:val="00667591"/>
    <w:rsid w:val="00667F23"/>
    <w:rsid w:val="00667F9F"/>
    <w:rsid w:val="006710E7"/>
    <w:rsid w:val="00671A0B"/>
    <w:rsid w:val="0067210D"/>
    <w:rsid w:val="006728CC"/>
    <w:rsid w:val="00673DF8"/>
    <w:rsid w:val="00675C81"/>
    <w:rsid w:val="0068034D"/>
    <w:rsid w:val="00681152"/>
    <w:rsid w:val="00682987"/>
    <w:rsid w:val="00682CE5"/>
    <w:rsid w:val="006841DC"/>
    <w:rsid w:val="0068468E"/>
    <w:rsid w:val="00685DAD"/>
    <w:rsid w:val="0068615D"/>
    <w:rsid w:val="0068675A"/>
    <w:rsid w:val="0069106B"/>
    <w:rsid w:val="00691AF2"/>
    <w:rsid w:val="00691CB2"/>
    <w:rsid w:val="006930F4"/>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C697C"/>
    <w:rsid w:val="006D067F"/>
    <w:rsid w:val="006D07FB"/>
    <w:rsid w:val="006D5A67"/>
    <w:rsid w:val="006D762E"/>
    <w:rsid w:val="006D7DFD"/>
    <w:rsid w:val="006E0B67"/>
    <w:rsid w:val="006E16D1"/>
    <w:rsid w:val="006E2B6D"/>
    <w:rsid w:val="006E3C88"/>
    <w:rsid w:val="006E4B7E"/>
    <w:rsid w:val="006E4C1C"/>
    <w:rsid w:val="006F09D8"/>
    <w:rsid w:val="006F1624"/>
    <w:rsid w:val="006F3052"/>
    <w:rsid w:val="006F31BD"/>
    <w:rsid w:val="006F3259"/>
    <w:rsid w:val="006F3C00"/>
    <w:rsid w:val="006F78DB"/>
    <w:rsid w:val="00702C42"/>
    <w:rsid w:val="00703590"/>
    <w:rsid w:val="0070455C"/>
    <w:rsid w:val="00704A2E"/>
    <w:rsid w:val="007057AB"/>
    <w:rsid w:val="00705F57"/>
    <w:rsid w:val="00707343"/>
    <w:rsid w:val="007073FB"/>
    <w:rsid w:val="00710C28"/>
    <w:rsid w:val="00711C08"/>
    <w:rsid w:val="00711CC1"/>
    <w:rsid w:val="00712A5D"/>
    <w:rsid w:val="00712ED3"/>
    <w:rsid w:val="00714697"/>
    <w:rsid w:val="00714C9E"/>
    <w:rsid w:val="00715651"/>
    <w:rsid w:val="00715B63"/>
    <w:rsid w:val="007172F3"/>
    <w:rsid w:val="00717903"/>
    <w:rsid w:val="00717B10"/>
    <w:rsid w:val="00724B29"/>
    <w:rsid w:val="00725C28"/>
    <w:rsid w:val="00727A78"/>
    <w:rsid w:val="00730A5A"/>
    <w:rsid w:val="00731207"/>
    <w:rsid w:val="00734430"/>
    <w:rsid w:val="0074053C"/>
    <w:rsid w:val="007420FA"/>
    <w:rsid w:val="00743D4D"/>
    <w:rsid w:val="00743EB1"/>
    <w:rsid w:val="0074485F"/>
    <w:rsid w:val="007451A8"/>
    <w:rsid w:val="0074527C"/>
    <w:rsid w:val="00745BF2"/>
    <w:rsid w:val="00745E2B"/>
    <w:rsid w:val="00746757"/>
    <w:rsid w:val="00751ADD"/>
    <w:rsid w:val="007520F6"/>
    <w:rsid w:val="007532C0"/>
    <w:rsid w:val="00754D7E"/>
    <w:rsid w:val="00756020"/>
    <w:rsid w:val="00756098"/>
    <w:rsid w:val="00757F3C"/>
    <w:rsid w:val="00761041"/>
    <w:rsid w:val="007631E0"/>
    <w:rsid w:val="00763628"/>
    <w:rsid w:val="00763BF3"/>
    <w:rsid w:val="00764F87"/>
    <w:rsid w:val="00767345"/>
    <w:rsid w:val="00767A6B"/>
    <w:rsid w:val="00771094"/>
    <w:rsid w:val="00771421"/>
    <w:rsid w:val="00772E4B"/>
    <w:rsid w:val="007744D5"/>
    <w:rsid w:val="0077459E"/>
    <w:rsid w:val="00775448"/>
    <w:rsid w:val="0077676B"/>
    <w:rsid w:val="00782782"/>
    <w:rsid w:val="007841E0"/>
    <w:rsid w:val="007863FC"/>
    <w:rsid w:val="007866DC"/>
    <w:rsid w:val="00787A06"/>
    <w:rsid w:val="00791465"/>
    <w:rsid w:val="0079276A"/>
    <w:rsid w:val="00794AA8"/>
    <w:rsid w:val="00796986"/>
    <w:rsid w:val="00796F39"/>
    <w:rsid w:val="00796F7A"/>
    <w:rsid w:val="00797A49"/>
    <w:rsid w:val="007A1488"/>
    <w:rsid w:val="007A1A81"/>
    <w:rsid w:val="007A2884"/>
    <w:rsid w:val="007A3705"/>
    <w:rsid w:val="007A39B0"/>
    <w:rsid w:val="007A7BBE"/>
    <w:rsid w:val="007B072A"/>
    <w:rsid w:val="007B138F"/>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7F5034"/>
    <w:rsid w:val="008003D5"/>
    <w:rsid w:val="00800438"/>
    <w:rsid w:val="008019A5"/>
    <w:rsid w:val="008020C2"/>
    <w:rsid w:val="008020CD"/>
    <w:rsid w:val="00803543"/>
    <w:rsid w:val="00806AFC"/>
    <w:rsid w:val="00810336"/>
    <w:rsid w:val="00810C45"/>
    <w:rsid w:val="0081156D"/>
    <w:rsid w:val="00811B30"/>
    <w:rsid w:val="00812D95"/>
    <w:rsid w:val="00813448"/>
    <w:rsid w:val="00814EDE"/>
    <w:rsid w:val="0081612B"/>
    <w:rsid w:val="00816ED1"/>
    <w:rsid w:val="0081794E"/>
    <w:rsid w:val="00821D82"/>
    <w:rsid w:val="008230F2"/>
    <w:rsid w:val="00823442"/>
    <w:rsid w:val="00823CFE"/>
    <w:rsid w:val="008242ED"/>
    <w:rsid w:val="008276BB"/>
    <w:rsid w:val="00830F6A"/>
    <w:rsid w:val="00832EA6"/>
    <w:rsid w:val="00832FD6"/>
    <w:rsid w:val="0083336E"/>
    <w:rsid w:val="00833F91"/>
    <w:rsid w:val="00834066"/>
    <w:rsid w:val="008343B4"/>
    <w:rsid w:val="00837B9A"/>
    <w:rsid w:val="00837E1F"/>
    <w:rsid w:val="008405CE"/>
    <w:rsid w:val="008405CF"/>
    <w:rsid w:val="00841726"/>
    <w:rsid w:val="008417D1"/>
    <w:rsid w:val="008426AA"/>
    <w:rsid w:val="0084295A"/>
    <w:rsid w:val="0084393F"/>
    <w:rsid w:val="00846269"/>
    <w:rsid w:val="00851511"/>
    <w:rsid w:val="008536CA"/>
    <w:rsid w:val="008547C2"/>
    <w:rsid w:val="00854A89"/>
    <w:rsid w:val="00855355"/>
    <w:rsid w:val="008557C2"/>
    <w:rsid w:val="00855F97"/>
    <w:rsid w:val="0086080D"/>
    <w:rsid w:val="00862F47"/>
    <w:rsid w:val="008634DE"/>
    <w:rsid w:val="008647BD"/>
    <w:rsid w:val="008654E0"/>
    <w:rsid w:val="008665C4"/>
    <w:rsid w:val="0086751C"/>
    <w:rsid w:val="008677E3"/>
    <w:rsid w:val="00870B41"/>
    <w:rsid w:val="0087195C"/>
    <w:rsid w:val="00872A38"/>
    <w:rsid w:val="00873C6E"/>
    <w:rsid w:val="00873EB9"/>
    <w:rsid w:val="0087572A"/>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3F05"/>
    <w:rsid w:val="0089533C"/>
    <w:rsid w:val="00895554"/>
    <w:rsid w:val="008957A8"/>
    <w:rsid w:val="00895A54"/>
    <w:rsid w:val="00896B6A"/>
    <w:rsid w:val="008A0454"/>
    <w:rsid w:val="008A1381"/>
    <w:rsid w:val="008A1A60"/>
    <w:rsid w:val="008A3B56"/>
    <w:rsid w:val="008A4281"/>
    <w:rsid w:val="008A4F3A"/>
    <w:rsid w:val="008A537D"/>
    <w:rsid w:val="008A7240"/>
    <w:rsid w:val="008A75F3"/>
    <w:rsid w:val="008A7BFC"/>
    <w:rsid w:val="008A7CF7"/>
    <w:rsid w:val="008A7FAD"/>
    <w:rsid w:val="008B100F"/>
    <w:rsid w:val="008B1DA6"/>
    <w:rsid w:val="008B3005"/>
    <w:rsid w:val="008B3660"/>
    <w:rsid w:val="008C0E14"/>
    <w:rsid w:val="008C210D"/>
    <w:rsid w:val="008C3E59"/>
    <w:rsid w:val="008C480D"/>
    <w:rsid w:val="008C4A15"/>
    <w:rsid w:val="008C4C45"/>
    <w:rsid w:val="008C651B"/>
    <w:rsid w:val="008C7138"/>
    <w:rsid w:val="008D136B"/>
    <w:rsid w:val="008D2564"/>
    <w:rsid w:val="008D3C26"/>
    <w:rsid w:val="008E1626"/>
    <w:rsid w:val="008E270C"/>
    <w:rsid w:val="008E51D4"/>
    <w:rsid w:val="008E66F8"/>
    <w:rsid w:val="008E745C"/>
    <w:rsid w:val="008E74EF"/>
    <w:rsid w:val="008E7904"/>
    <w:rsid w:val="008E7EFA"/>
    <w:rsid w:val="008F051D"/>
    <w:rsid w:val="008F0AD7"/>
    <w:rsid w:val="008F0FC5"/>
    <w:rsid w:val="008F0FD2"/>
    <w:rsid w:val="008F17A3"/>
    <w:rsid w:val="008F4376"/>
    <w:rsid w:val="008F571C"/>
    <w:rsid w:val="008F59AF"/>
    <w:rsid w:val="008F5B07"/>
    <w:rsid w:val="008F5E59"/>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16F09"/>
    <w:rsid w:val="00921597"/>
    <w:rsid w:val="00921696"/>
    <w:rsid w:val="0092525C"/>
    <w:rsid w:val="009257EE"/>
    <w:rsid w:val="009262E3"/>
    <w:rsid w:val="00927E7F"/>
    <w:rsid w:val="009300E6"/>
    <w:rsid w:val="00931856"/>
    <w:rsid w:val="00931957"/>
    <w:rsid w:val="00932259"/>
    <w:rsid w:val="00935A8C"/>
    <w:rsid w:val="00937B2D"/>
    <w:rsid w:val="00937F6E"/>
    <w:rsid w:val="00940225"/>
    <w:rsid w:val="00941E09"/>
    <w:rsid w:val="009429D4"/>
    <w:rsid w:val="00943D4D"/>
    <w:rsid w:val="00943FF0"/>
    <w:rsid w:val="00944464"/>
    <w:rsid w:val="00945BC4"/>
    <w:rsid w:val="009503FE"/>
    <w:rsid w:val="0095291D"/>
    <w:rsid w:val="00954778"/>
    <w:rsid w:val="00955118"/>
    <w:rsid w:val="00956409"/>
    <w:rsid w:val="009565BF"/>
    <w:rsid w:val="0095687B"/>
    <w:rsid w:val="00957730"/>
    <w:rsid w:val="00960CDB"/>
    <w:rsid w:val="00962E0E"/>
    <w:rsid w:val="00964430"/>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5CC0"/>
    <w:rsid w:val="00987780"/>
    <w:rsid w:val="0099005D"/>
    <w:rsid w:val="00992B0D"/>
    <w:rsid w:val="009949C6"/>
    <w:rsid w:val="009969E0"/>
    <w:rsid w:val="00996B5C"/>
    <w:rsid w:val="009A0545"/>
    <w:rsid w:val="009A0B4E"/>
    <w:rsid w:val="009A1EC2"/>
    <w:rsid w:val="009A36AF"/>
    <w:rsid w:val="009A3E97"/>
    <w:rsid w:val="009A591E"/>
    <w:rsid w:val="009A5E61"/>
    <w:rsid w:val="009A77E7"/>
    <w:rsid w:val="009B1B5C"/>
    <w:rsid w:val="009B306D"/>
    <w:rsid w:val="009B469C"/>
    <w:rsid w:val="009B5983"/>
    <w:rsid w:val="009B76DA"/>
    <w:rsid w:val="009B7B65"/>
    <w:rsid w:val="009C052D"/>
    <w:rsid w:val="009C09A0"/>
    <w:rsid w:val="009C2135"/>
    <w:rsid w:val="009C227F"/>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9D1"/>
    <w:rsid w:val="009D3D26"/>
    <w:rsid w:val="009D425A"/>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53A4"/>
    <w:rsid w:val="00A167B8"/>
    <w:rsid w:val="00A17060"/>
    <w:rsid w:val="00A17C7E"/>
    <w:rsid w:val="00A17ED7"/>
    <w:rsid w:val="00A20492"/>
    <w:rsid w:val="00A2185E"/>
    <w:rsid w:val="00A21919"/>
    <w:rsid w:val="00A2425F"/>
    <w:rsid w:val="00A26381"/>
    <w:rsid w:val="00A308AE"/>
    <w:rsid w:val="00A31C08"/>
    <w:rsid w:val="00A32889"/>
    <w:rsid w:val="00A331C2"/>
    <w:rsid w:val="00A36A40"/>
    <w:rsid w:val="00A36D42"/>
    <w:rsid w:val="00A414A1"/>
    <w:rsid w:val="00A41BC0"/>
    <w:rsid w:val="00A42893"/>
    <w:rsid w:val="00A42906"/>
    <w:rsid w:val="00A439A1"/>
    <w:rsid w:val="00A43E5D"/>
    <w:rsid w:val="00A45490"/>
    <w:rsid w:val="00A4723D"/>
    <w:rsid w:val="00A47250"/>
    <w:rsid w:val="00A501CA"/>
    <w:rsid w:val="00A5180C"/>
    <w:rsid w:val="00A521EE"/>
    <w:rsid w:val="00A5427C"/>
    <w:rsid w:val="00A55929"/>
    <w:rsid w:val="00A603C3"/>
    <w:rsid w:val="00A61267"/>
    <w:rsid w:val="00A63829"/>
    <w:rsid w:val="00A64250"/>
    <w:rsid w:val="00A64FD8"/>
    <w:rsid w:val="00A652F6"/>
    <w:rsid w:val="00A6550F"/>
    <w:rsid w:val="00A67C97"/>
    <w:rsid w:val="00A711F9"/>
    <w:rsid w:val="00A71760"/>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3624"/>
    <w:rsid w:val="00A9381F"/>
    <w:rsid w:val="00A958D5"/>
    <w:rsid w:val="00A95B9A"/>
    <w:rsid w:val="00A95CB4"/>
    <w:rsid w:val="00A969D9"/>
    <w:rsid w:val="00A976E6"/>
    <w:rsid w:val="00AA00D8"/>
    <w:rsid w:val="00AA1E05"/>
    <w:rsid w:val="00AA219B"/>
    <w:rsid w:val="00AA32DA"/>
    <w:rsid w:val="00AA3E30"/>
    <w:rsid w:val="00AA45A4"/>
    <w:rsid w:val="00AA4712"/>
    <w:rsid w:val="00AA4FAB"/>
    <w:rsid w:val="00AA65F4"/>
    <w:rsid w:val="00AA7A71"/>
    <w:rsid w:val="00AB01B3"/>
    <w:rsid w:val="00AB1B2B"/>
    <w:rsid w:val="00AB43EE"/>
    <w:rsid w:val="00AB4F07"/>
    <w:rsid w:val="00AB5121"/>
    <w:rsid w:val="00AB51EA"/>
    <w:rsid w:val="00AB6E52"/>
    <w:rsid w:val="00AB6F0C"/>
    <w:rsid w:val="00AC0E1A"/>
    <w:rsid w:val="00AC1EC5"/>
    <w:rsid w:val="00AC235B"/>
    <w:rsid w:val="00AC4AC4"/>
    <w:rsid w:val="00AC4F28"/>
    <w:rsid w:val="00AC7F40"/>
    <w:rsid w:val="00AC7FDF"/>
    <w:rsid w:val="00AD0544"/>
    <w:rsid w:val="00AD061A"/>
    <w:rsid w:val="00AD1C15"/>
    <w:rsid w:val="00AD35F0"/>
    <w:rsid w:val="00AD4AF1"/>
    <w:rsid w:val="00AD4C2D"/>
    <w:rsid w:val="00AD6B3C"/>
    <w:rsid w:val="00AE099A"/>
    <w:rsid w:val="00AE154F"/>
    <w:rsid w:val="00AE18E1"/>
    <w:rsid w:val="00AE1EE1"/>
    <w:rsid w:val="00AE207E"/>
    <w:rsid w:val="00AE2782"/>
    <w:rsid w:val="00AE2C20"/>
    <w:rsid w:val="00AE36EC"/>
    <w:rsid w:val="00AE3DAE"/>
    <w:rsid w:val="00AE412E"/>
    <w:rsid w:val="00AE53CC"/>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2217"/>
    <w:rsid w:val="00B04260"/>
    <w:rsid w:val="00B04A4E"/>
    <w:rsid w:val="00B0511A"/>
    <w:rsid w:val="00B05D39"/>
    <w:rsid w:val="00B100BE"/>
    <w:rsid w:val="00B10D57"/>
    <w:rsid w:val="00B11284"/>
    <w:rsid w:val="00B11F80"/>
    <w:rsid w:val="00B13A6B"/>
    <w:rsid w:val="00B14FF9"/>
    <w:rsid w:val="00B15D9A"/>
    <w:rsid w:val="00B160F4"/>
    <w:rsid w:val="00B1684F"/>
    <w:rsid w:val="00B1722F"/>
    <w:rsid w:val="00B17CCB"/>
    <w:rsid w:val="00B207AC"/>
    <w:rsid w:val="00B20D36"/>
    <w:rsid w:val="00B21512"/>
    <w:rsid w:val="00B21FA2"/>
    <w:rsid w:val="00B228A9"/>
    <w:rsid w:val="00B235FF"/>
    <w:rsid w:val="00B24486"/>
    <w:rsid w:val="00B24846"/>
    <w:rsid w:val="00B26963"/>
    <w:rsid w:val="00B26AA4"/>
    <w:rsid w:val="00B30BDA"/>
    <w:rsid w:val="00B30C98"/>
    <w:rsid w:val="00B32AE8"/>
    <w:rsid w:val="00B3323A"/>
    <w:rsid w:val="00B34ECD"/>
    <w:rsid w:val="00B3595B"/>
    <w:rsid w:val="00B36696"/>
    <w:rsid w:val="00B418D6"/>
    <w:rsid w:val="00B443DC"/>
    <w:rsid w:val="00B446F9"/>
    <w:rsid w:val="00B46ADF"/>
    <w:rsid w:val="00B50382"/>
    <w:rsid w:val="00B512A3"/>
    <w:rsid w:val="00B51F04"/>
    <w:rsid w:val="00B53331"/>
    <w:rsid w:val="00B559B2"/>
    <w:rsid w:val="00B565D4"/>
    <w:rsid w:val="00B56BAF"/>
    <w:rsid w:val="00B56D2F"/>
    <w:rsid w:val="00B56DA8"/>
    <w:rsid w:val="00B57BF8"/>
    <w:rsid w:val="00B6076D"/>
    <w:rsid w:val="00B60E51"/>
    <w:rsid w:val="00B63F7F"/>
    <w:rsid w:val="00B6537F"/>
    <w:rsid w:val="00B65433"/>
    <w:rsid w:val="00B65D0C"/>
    <w:rsid w:val="00B65DEE"/>
    <w:rsid w:val="00B673D7"/>
    <w:rsid w:val="00B71571"/>
    <w:rsid w:val="00B715B1"/>
    <w:rsid w:val="00B7619E"/>
    <w:rsid w:val="00B77677"/>
    <w:rsid w:val="00B77BF3"/>
    <w:rsid w:val="00B77F4E"/>
    <w:rsid w:val="00B81F61"/>
    <w:rsid w:val="00B83257"/>
    <w:rsid w:val="00B8381D"/>
    <w:rsid w:val="00B84964"/>
    <w:rsid w:val="00B849F3"/>
    <w:rsid w:val="00B85F87"/>
    <w:rsid w:val="00B9092D"/>
    <w:rsid w:val="00B91527"/>
    <w:rsid w:val="00B92470"/>
    <w:rsid w:val="00B929D1"/>
    <w:rsid w:val="00B93AC6"/>
    <w:rsid w:val="00B947EA"/>
    <w:rsid w:val="00B94C96"/>
    <w:rsid w:val="00B95349"/>
    <w:rsid w:val="00B955C0"/>
    <w:rsid w:val="00B95B9C"/>
    <w:rsid w:val="00B961E2"/>
    <w:rsid w:val="00BA0067"/>
    <w:rsid w:val="00BA0F9A"/>
    <w:rsid w:val="00BA2179"/>
    <w:rsid w:val="00BA65AC"/>
    <w:rsid w:val="00BB2985"/>
    <w:rsid w:val="00BB2F64"/>
    <w:rsid w:val="00BB6ED7"/>
    <w:rsid w:val="00BC0A20"/>
    <w:rsid w:val="00BC21A0"/>
    <w:rsid w:val="00BC4EF3"/>
    <w:rsid w:val="00BC71A2"/>
    <w:rsid w:val="00BC77C0"/>
    <w:rsid w:val="00BD0B25"/>
    <w:rsid w:val="00BD234D"/>
    <w:rsid w:val="00BD2561"/>
    <w:rsid w:val="00BD29E9"/>
    <w:rsid w:val="00BD5DCD"/>
    <w:rsid w:val="00BD60EC"/>
    <w:rsid w:val="00BD616D"/>
    <w:rsid w:val="00BD6C4D"/>
    <w:rsid w:val="00BE0997"/>
    <w:rsid w:val="00BE1907"/>
    <w:rsid w:val="00BE1A97"/>
    <w:rsid w:val="00BE3AF3"/>
    <w:rsid w:val="00BE485B"/>
    <w:rsid w:val="00BE6A74"/>
    <w:rsid w:val="00BE6AAC"/>
    <w:rsid w:val="00BE7D08"/>
    <w:rsid w:val="00BE7EE7"/>
    <w:rsid w:val="00BF0840"/>
    <w:rsid w:val="00BF0DFF"/>
    <w:rsid w:val="00BF22B8"/>
    <w:rsid w:val="00BF2603"/>
    <w:rsid w:val="00BF51CE"/>
    <w:rsid w:val="00BF6541"/>
    <w:rsid w:val="00C007A9"/>
    <w:rsid w:val="00C00D68"/>
    <w:rsid w:val="00C01A0D"/>
    <w:rsid w:val="00C028D9"/>
    <w:rsid w:val="00C036E4"/>
    <w:rsid w:val="00C038B8"/>
    <w:rsid w:val="00C03B35"/>
    <w:rsid w:val="00C04A83"/>
    <w:rsid w:val="00C06574"/>
    <w:rsid w:val="00C065BD"/>
    <w:rsid w:val="00C06F31"/>
    <w:rsid w:val="00C102F9"/>
    <w:rsid w:val="00C11EC6"/>
    <w:rsid w:val="00C11EE9"/>
    <w:rsid w:val="00C12B8C"/>
    <w:rsid w:val="00C14323"/>
    <w:rsid w:val="00C155D9"/>
    <w:rsid w:val="00C16E98"/>
    <w:rsid w:val="00C21125"/>
    <w:rsid w:val="00C2211D"/>
    <w:rsid w:val="00C2344F"/>
    <w:rsid w:val="00C246F2"/>
    <w:rsid w:val="00C26707"/>
    <w:rsid w:val="00C27719"/>
    <w:rsid w:val="00C31BCD"/>
    <w:rsid w:val="00C320EB"/>
    <w:rsid w:val="00C32F7B"/>
    <w:rsid w:val="00C33845"/>
    <w:rsid w:val="00C34989"/>
    <w:rsid w:val="00C3513F"/>
    <w:rsid w:val="00C355AA"/>
    <w:rsid w:val="00C36223"/>
    <w:rsid w:val="00C40725"/>
    <w:rsid w:val="00C4207E"/>
    <w:rsid w:val="00C451A3"/>
    <w:rsid w:val="00C4577E"/>
    <w:rsid w:val="00C50C8F"/>
    <w:rsid w:val="00C50D41"/>
    <w:rsid w:val="00C51156"/>
    <w:rsid w:val="00C53FD7"/>
    <w:rsid w:val="00C55ACA"/>
    <w:rsid w:val="00C55C61"/>
    <w:rsid w:val="00C57047"/>
    <w:rsid w:val="00C64F44"/>
    <w:rsid w:val="00C650ED"/>
    <w:rsid w:val="00C65132"/>
    <w:rsid w:val="00C65F6A"/>
    <w:rsid w:val="00C66CE6"/>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2ACC"/>
    <w:rsid w:val="00C953C0"/>
    <w:rsid w:val="00C96E5A"/>
    <w:rsid w:val="00C97ACC"/>
    <w:rsid w:val="00CA056D"/>
    <w:rsid w:val="00CA181F"/>
    <w:rsid w:val="00CA22C7"/>
    <w:rsid w:val="00CA2A54"/>
    <w:rsid w:val="00CA3219"/>
    <w:rsid w:val="00CB01EB"/>
    <w:rsid w:val="00CB0DFA"/>
    <w:rsid w:val="00CB250C"/>
    <w:rsid w:val="00CB3167"/>
    <w:rsid w:val="00CB34D5"/>
    <w:rsid w:val="00CB6CB0"/>
    <w:rsid w:val="00CC134C"/>
    <w:rsid w:val="00CC36F9"/>
    <w:rsid w:val="00CC3E8F"/>
    <w:rsid w:val="00CC549C"/>
    <w:rsid w:val="00CD0BA2"/>
    <w:rsid w:val="00CD18DE"/>
    <w:rsid w:val="00CD190A"/>
    <w:rsid w:val="00CD2E30"/>
    <w:rsid w:val="00CD4841"/>
    <w:rsid w:val="00CD643B"/>
    <w:rsid w:val="00CD68D5"/>
    <w:rsid w:val="00CD6CD0"/>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418"/>
    <w:rsid w:val="00D01E61"/>
    <w:rsid w:val="00D02296"/>
    <w:rsid w:val="00D02B99"/>
    <w:rsid w:val="00D0306C"/>
    <w:rsid w:val="00D034FA"/>
    <w:rsid w:val="00D05382"/>
    <w:rsid w:val="00D05D79"/>
    <w:rsid w:val="00D06027"/>
    <w:rsid w:val="00D065E6"/>
    <w:rsid w:val="00D0751A"/>
    <w:rsid w:val="00D078F8"/>
    <w:rsid w:val="00D07D25"/>
    <w:rsid w:val="00D110F0"/>
    <w:rsid w:val="00D116BA"/>
    <w:rsid w:val="00D12852"/>
    <w:rsid w:val="00D13010"/>
    <w:rsid w:val="00D133F0"/>
    <w:rsid w:val="00D143ED"/>
    <w:rsid w:val="00D16C5A"/>
    <w:rsid w:val="00D16DAA"/>
    <w:rsid w:val="00D17E12"/>
    <w:rsid w:val="00D20F59"/>
    <w:rsid w:val="00D2102C"/>
    <w:rsid w:val="00D21B84"/>
    <w:rsid w:val="00D22983"/>
    <w:rsid w:val="00D24AAA"/>
    <w:rsid w:val="00D25359"/>
    <w:rsid w:val="00D25E7D"/>
    <w:rsid w:val="00D261EA"/>
    <w:rsid w:val="00D26D6A"/>
    <w:rsid w:val="00D27732"/>
    <w:rsid w:val="00D27842"/>
    <w:rsid w:val="00D30451"/>
    <w:rsid w:val="00D30628"/>
    <w:rsid w:val="00D30CEE"/>
    <w:rsid w:val="00D31D6C"/>
    <w:rsid w:val="00D32B3D"/>
    <w:rsid w:val="00D33C8D"/>
    <w:rsid w:val="00D36A1D"/>
    <w:rsid w:val="00D37148"/>
    <w:rsid w:val="00D37A00"/>
    <w:rsid w:val="00D40814"/>
    <w:rsid w:val="00D40860"/>
    <w:rsid w:val="00D41034"/>
    <w:rsid w:val="00D4280D"/>
    <w:rsid w:val="00D42B76"/>
    <w:rsid w:val="00D43787"/>
    <w:rsid w:val="00D447D8"/>
    <w:rsid w:val="00D447FF"/>
    <w:rsid w:val="00D450B5"/>
    <w:rsid w:val="00D45623"/>
    <w:rsid w:val="00D45942"/>
    <w:rsid w:val="00D45968"/>
    <w:rsid w:val="00D468AF"/>
    <w:rsid w:val="00D470FA"/>
    <w:rsid w:val="00D47F57"/>
    <w:rsid w:val="00D502F9"/>
    <w:rsid w:val="00D50983"/>
    <w:rsid w:val="00D53B35"/>
    <w:rsid w:val="00D5648F"/>
    <w:rsid w:val="00D56E3B"/>
    <w:rsid w:val="00D57CC2"/>
    <w:rsid w:val="00D57CCA"/>
    <w:rsid w:val="00D616EC"/>
    <w:rsid w:val="00D625B8"/>
    <w:rsid w:val="00D648BA"/>
    <w:rsid w:val="00D66709"/>
    <w:rsid w:val="00D66A4D"/>
    <w:rsid w:val="00D724E1"/>
    <w:rsid w:val="00D75A60"/>
    <w:rsid w:val="00D76A95"/>
    <w:rsid w:val="00D801E1"/>
    <w:rsid w:val="00D8141A"/>
    <w:rsid w:val="00D82515"/>
    <w:rsid w:val="00D82682"/>
    <w:rsid w:val="00D82E21"/>
    <w:rsid w:val="00D840E2"/>
    <w:rsid w:val="00D846FE"/>
    <w:rsid w:val="00D860CB"/>
    <w:rsid w:val="00D86530"/>
    <w:rsid w:val="00D87C68"/>
    <w:rsid w:val="00D92783"/>
    <w:rsid w:val="00D92B70"/>
    <w:rsid w:val="00D92D3B"/>
    <w:rsid w:val="00D94300"/>
    <w:rsid w:val="00D9456A"/>
    <w:rsid w:val="00D94B4E"/>
    <w:rsid w:val="00D94DBD"/>
    <w:rsid w:val="00DA00BB"/>
    <w:rsid w:val="00DA38F9"/>
    <w:rsid w:val="00DA74BF"/>
    <w:rsid w:val="00DA776D"/>
    <w:rsid w:val="00DA7AAB"/>
    <w:rsid w:val="00DB0815"/>
    <w:rsid w:val="00DB1859"/>
    <w:rsid w:val="00DB3ABE"/>
    <w:rsid w:val="00DB6676"/>
    <w:rsid w:val="00DB6FDA"/>
    <w:rsid w:val="00DB76A2"/>
    <w:rsid w:val="00DC2ABE"/>
    <w:rsid w:val="00DC59DE"/>
    <w:rsid w:val="00DC7217"/>
    <w:rsid w:val="00DC79BB"/>
    <w:rsid w:val="00DD11EB"/>
    <w:rsid w:val="00DD1B8B"/>
    <w:rsid w:val="00DD1F32"/>
    <w:rsid w:val="00DD23D6"/>
    <w:rsid w:val="00DD4855"/>
    <w:rsid w:val="00DD75C4"/>
    <w:rsid w:val="00DE1FBA"/>
    <w:rsid w:val="00DE2C05"/>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363"/>
    <w:rsid w:val="00E20D15"/>
    <w:rsid w:val="00E236C2"/>
    <w:rsid w:val="00E25A13"/>
    <w:rsid w:val="00E26F75"/>
    <w:rsid w:val="00E3064C"/>
    <w:rsid w:val="00E33007"/>
    <w:rsid w:val="00E34483"/>
    <w:rsid w:val="00E3456D"/>
    <w:rsid w:val="00E406B2"/>
    <w:rsid w:val="00E4190D"/>
    <w:rsid w:val="00E44987"/>
    <w:rsid w:val="00E44F34"/>
    <w:rsid w:val="00E45859"/>
    <w:rsid w:val="00E47666"/>
    <w:rsid w:val="00E47C2B"/>
    <w:rsid w:val="00E504E9"/>
    <w:rsid w:val="00E507A9"/>
    <w:rsid w:val="00E5253D"/>
    <w:rsid w:val="00E53860"/>
    <w:rsid w:val="00E554E7"/>
    <w:rsid w:val="00E5688C"/>
    <w:rsid w:val="00E57C72"/>
    <w:rsid w:val="00E60AEE"/>
    <w:rsid w:val="00E61F05"/>
    <w:rsid w:val="00E6547E"/>
    <w:rsid w:val="00E65E36"/>
    <w:rsid w:val="00E669A1"/>
    <w:rsid w:val="00E67625"/>
    <w:rsid w:val="00E700D9"/>
    <w:rsid w:val="00E75FF6"/>
    <w:rsid w:val="00E77A6F"/>
    <w:rsid w:val="00E8390A"/>
    <w:rsid w:val="00E83A3B"/>
    <w:rsid w:val="00E87356"/>
    <w:rsid w:val="00E901D7"/>
    <w:rsid w:val="00E9172D"/>
    <w:rsid w:val="00E91BD8"/>
    <w:rsid w:val="00E922BE"/>
    <w:rsid w:val="00E9258D"/>
    <w:rsid w:val="00E9268E"/>
    <w:rsid w:val="00E92B00"/>
    <w:rsid w:val="00E9368B"/>
    <w:rsid w:val="00E94D9A"/>
    <w:rsid w:val="00E951CA"/>
    <w:rsid w:val="00E953FA"/>
    <w:rsid w:val="00E95DFA"/>
    <w:rsid w:val="00E9616E"/>
    <w:rsid w:val="00E97D0F"/>
    <w:rsid w:val="00E97E28"/>
    <w:rsid w:val="00EA484D"/>
    <w:rsid w:val="00EA4A96"/>
    <w:rsid w:val="00EB1A14"/>
    <w:rsid w:val="00EB1C95"/>
    <w:rsid w:val="00EB3B0A"/>
    <w:rsid w:val="00EB3DAC"/>
    <w:rsid w:val="00EB4093"/>
    <w:rsid w:val="00EB46F3"/>
    <w:rsid w:val="00EB4958"/>
    <w:rsid w:val="00EB6B1B"/>
    <w:rsid w:val="00EC1371"/>
    <w:rsid w:val="00EC14CA"/>
    <w:rsid w:val="00EC2445"/>
    <w:rsid w:val="00EC33B2"/>
    <w:rsid w:val="00EC3649"/>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51BD"/>
    <w:rsid w:val="00F0620D"/>
    <w:rsid w:val="00F07ECC"/>
    <w:rsid w:val="00F10116"/>
    <w:rsid w:val="00F103C4"/>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1CCB"/>
    <w:rsid w:val="00F43DFC"/>
    <w:rsid w:val="00F45E5A"/>
    <w:rsid w:val="00F464C8"/>
    <w:rsid w:val="00F50172"/>
    <w:rsid w:val="00F529E0"/>
    <w:rsid w:val="00F54740"/>
    <w:rsid w:val="00F565D0"/>
    <w:rsid w:val="00F57A3E"/>
    <w:rsid w:val="00F6030F"/>
    <w:rsid w:val="00F60A5E"/>
    <w:rsid w:val="00F62899"/>
    <w:rsid w:val="00F637A9"/>
    <w:rsid w:val="00F63A4A"/>
    <w:rsid w:val="00F63E31"/>
    <w:rsid w:val="00F645AE"/>
    <w:rsid w:val="00F66ADC"/>
    <w:rsid w:val="00F67D00"/>
    <w:rsid w:val="00F67D2C"/>
    <w:rsid w:val="00F70011"/>
    <w:rsid w:val="00F720FA"/>
    <w:rsid w:val="00F733B2"/>
    <w:rsid w:val="00F75BE8"/>
    <w:rsid w:val="00F75DF6"/>
    <w:rsid w:val="00F772EA"/>
    <w:rsid w:val="00F77698"/>
    <w:rsid w:val="00F83BC2"/>
    <w:rsid w:val="00F84ED2"/>
    <w:rsid w:val="00F87AC1"/>
    <w:rsid w:val="00F90290"/>
    <w:rsid w:val="00F915B8"/>
    <w:rsid w:val="00F91B3B"/>
    <w:rsid w:val="00F94EC0"/>
    <w:rsid w:val="00F976C6"/>
    <w:rsid w:val="00FA0C52"/>
    <w:rsid w:val="00FA215D"/>
    <w:rsid w:val="00FA2451"/>
    <w:rsid w:val="00FA2726"/>
    <w:rsid w:val="00FA3FB9"/>
    <w:rsid w:val="00FA457D"/>
    <w:rsid w:val="00FA5E9B"/>
    <w:rsid w:val="00FA6E33"/>
    <w:rsid w:val="00FA72B1"/>
    <w:rsid w:val="00FC479C"/>
    <w:rsid w:val="00FC6E57"/>
    <w:rsid w:val="00FC7151"/>
    <w:rsid w:val="00FD0560"/>
    <w:rsid w:val="00FD0C02"/>
    <w:rsid w:val="00FD1FCF"/>
    <w:rsid w:val="00FD282F"/>
    <w:rsid w:val="00FD38D2"/>
    <w:rsid w:val="00FD6EAA"/>
    <w:rsid w:val="00FE0ABB"/>
    <w:rsid w:val="00FE141F"/>
    <w:rsid w:val="00FE14A5"/>
    <w:rsid w:val="00FE187C"/>
    <w:rsid w:val="00FE20F0"/>
    <w:rsid w:val="00FE4FF0"/>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odyText">
    <w:name w:val="Body Text"/>
    <w:basedOn w:val="Normal"/>
    <w:link w:val="BodyTextChar"/>
    <w:uiPriority w:val="99"/>
    <w:semiHidden/>
    <w:unhideWhenUsed/>
    <w:rsid w:val="00703590"/>
    <w:pPr>
      <w:spacing w:after="120"/>
    </w:pPr>
  </w:style>
  <w:style w:type="character" w:customStyle="1" w:styleId="BodyTextChar">
    <w:name w:val="Body Text Char"/>
    <w:basedOn w:val="DefaultParagraphFont"/>
    <w:link w:val="BodyText"/>
    <w:uiPriority w:val="99"/>
    <w:semiHidden/>
    <w:rsid w:val="00703590"/>
  </w:style>
  <w:style w:type="paragraph" w:styleId="BalloonText">
    <w:name w:val="Balloon Text"/>
    <w:basedOn w:val="Normal"/>
    <w:link w:val="BalloonTextChar"/>
    <w:uiPriority w:val="99"/>
    <w:semiHidden/>
    <w:unhideWhenUsed/>
    <w:rsid w:val="00C11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6206-089A-4B26-A7D8-A50376E1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2023-03-10T06:44:00Z</cp:lastPrinted>
  <dcterms:created xsi:type="dcterms:W3CDTF">2023-03-23T08:34:00Z</dcterms:created>
  <dcterms:modified xsi:type="dcterms:W3CDTF">2023-03-23T08:40:00Z</dcterms:modified>
</cp:coreProperties>
</file>