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B5" w:rsidRPr="00044B50" w:rsidRDefault="00D450B5" w:rsidP="00772E4B">
      <w:pPr>
        <w:autoSpaceDE w:val="0"/>
        <w:autoSpaceDN w:val="0"/>
        <w:adjustRightInd w:val="0"/>
        <w:jc w:val="right"/>
        <w:rPr>
          <w:lang w:val="en-GB"/>
        </w:rPr>
      </w:pPr>
    </w:p>
    <w:p w:rsidR="00D450B5" w:rsidRPr="00044B50" w:rsidRDefault="00D450B5" w:rsidP="00772E4B">
      <w:pPr>
        <w:jc w:val="center"/>
        <w:rPr>
          <w:lang w:val="en-GB"/>
        </w:rPr>
      </w:pPr>
      <w:r w:rsidRPr="00044B50">
        <w:rPr>
          <w:noProof/>
          <w:lang w:val="en-US"/>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rsidR="00D450B5" w:rsidRPr="00044B50" w:rsidRDefault="00D450B5" w:rsidP="00772E4B">
      <w:pPr>
        <w:jc w:val="center"/>
        <w:rPr>
          <w:b/>
          <w:bCs/>
          <w:lang w:val="en-GB"/>
        </w:rPr>
      </w:pPr>
      <w:r w:rsidRPr="00044B50">
        <w:rPr>
          <w:b/>
          <w:bCs/>
          <w:lang w:val="en-GB"/>
        </w:rPr>
        <w:t>IN THE HIGH COURT OF SOUTH AFRICA</w:t>
      </w:r>
    </w:p>
    <w:p w:rsidR="00D450B5" w:rsidRPr="00044B50" w:rsidRDefault="00D53BC5" w:rsidP="00772E4B">
      <w:pPr>
        <w:jc w:val="center"/>
        <w:rPr>
          <w:b/>
          <w:bCs/>
          <w:lang w:val="en-GB"/>
        </w:rPr>
      </w:pPr>
      <w:r>
        <w:rPr>
          <w:b/>
          <w:bCs/>
          <w:lang w:val="en-GB"/>
        </w:rPr>
        <w:t>EASTERN CAPE DIVISION, MAKHANDA</w:t>
      </w:r>
    </w:p>
    <w:p w:rsidR="00D450B5" w:rsidRPr="00044B50" w:rsidRDefault="00D450B5" w:rsidP="00772E4B">
      <w:pPr>
        <w:widowControl w:val="0"/>
        <w:jc w:val="both"/>
        <w:rPr>
          <w:spacing w:val="14"/>
          <w:kern w:val="2"/>
          <w:u w:val="single"/>
          <w:lang w:val="en-GB"/>
        </w:rPr>
      </w:pPr>
    </w:p>
    <w:p w:rsidR="008A75F3" w:rsidRDefault="00E44987" w:rsidP="008A75F3">
      <w:pPr>
        <w:jc w:val="center"/>
        <w:rPr>
          <w:lang w:val="en-GB"/>
        </w:rPr>
      </w:pPr>
      <w:r w:rsidRPr="00044B50">
        <w:rPr>
          <w:lang w:val="en-GB"/>
        </w:rPr>
        <w:t xml:space="preserve">                                                                                                  </w:t>
      </w:r>
    </w:p>
    <w:p w:rsidR="00E44987" w:rsidRPr="00044B50" w:rsidRDefault="00E44987" w:rsidP="008A75F3">
      <w:pPr>
        <w:ind w:left="5760" w:firstLine="720"/>
        <w:rPr>
          <w:lang w:val="en-GB"/>
        </w:rPr>
      </w:pPr>
      <w:r w:rsidRPr="00044B50">
        <w:rPr>
          <w:lang w:val="en-GB"/>
        </w:rPr>
        <w:t xml:space="preserve">Case no: </w:t>
      </w:r>
      <w:r w:rsidR="00D53BC5">
        <w:rPr>
          <w:lang w:val="en-GB"/>
        </w:rPr>
        <w:t>795/2023</w:t>
      </w:r>
    </w:p>
    <w:p w:rsidR="00D450B5" w:rsidRPr="00044B50" w:rsidRDefault="00D450B5" w:rsidP="00772E4B">
      <w:pPr>
        <w:widowControl w:val="0"/>
        <w:jc w:val="right"/>
        <w:rPr>
          <w:spacing w:val="14"/>
          <w:kern w:val="2"/>
          <w:lang w:val="en-GB"/>
        </w:rPr>
      </w:pPr>
    </w:p>
    <w:p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rsidR="00D450B5" w:rsidRPr="00044B50" w:rsidRDefault="00D450B5" w:rsidP="00772E4B">
      <w:pPr>
        <w:widowControl w:val="0"/>
        <w:tabs>
          <w:tab w:val="right" w:pos="8198"/>
        </w:tabs>
        <w:jc w:val="both"/>
        <w:rPr>
          <w:spacing w:val="14"/>
          <w:kern w:val="2"/>
          <w:lang w:val="en-GB"/>
        </w:rPr>
      </w:pPr>
    </w:p>
    <w:p w:rsidR="00D450B5" w:rsidRDefault="00D53BC5" w:rsidP="00772E4B">
      <w:pPr>
        <w:tabs>
          <w:tab w:val="right" w:pos="9072"/>
        </w:tabs>
        <w:suppressAutoHyphens/>
        <w:jc w:val="both"/>
        <w:rPr>
          <w:lang w:val="en-GB"/>
        </w:rPr>
      </w:pPr>
      <w:r>
        <w:rPr>
          <w:lang w:val="en-GB"/>
        </w:rPr>
        <w:t>LOVEDALE TVET COLLEGE</w:t>
      </w:r>
      <w:r w:rsidR="00CD2E30">
        <w:rPr>
          <w:lang w:val="en-GB"/>
        </w:rPr>
        <w:t xml:space="preserve"> </w:t>
      </w:r>
      <w:r w:rsidR="00DC40DF">
        <w:rPr>
          <w:lang w:val="en-GB"/>
        </w:rPr>
        <w:tab/>
        <w:t>Applicant</w:t>
      </w:r>
    </w:p>
    <w:p w:rsidR="00F565D0" w:rsidRPr="00044B50" w:rsidRDefault="00F565D0" w:rsidP="00772E4B">
      <w:pPr>
        <w:tabs>
          <w:tab w:val="right" w:pos="9072"/>
        </w:tabs>
        <w:suppressAutoHyphens/>
        <w:jc w:val="both"/>
        <w:rPr>
          <w:lang w:val="en-GB"/>
        </w:rPr>
      </w:pPr>
    </w:p>
    <w:p w:rsidR="00D450B5" w:rsidRPr="00044B50" w:rsidRDefault="00D450B5" w:rsidP="00772E4B">
      <w:pPr>
        <w:jc w:val="both"/>
        <w:rPr>
          <w:lang w:val="en-GB"/>
        </w:rPr>
      </w:pPr>
      <w:r w:rsidRPr="00044B50">
        <w:rPr>
          <w:lang w:val="en-GB"/>
        </w:rPr>
        <w:t>and</w:t>
      </w:r>
    </w:p>
    <w:p w:rsidR="00D450B5" w:rsidRPr="00044B50" w:rsidRDefault="00D450B5" w:rsidP="00772E4B">
      <w:pPr>
        <w:jc w:val="both"/>
        <w:rPr>
          <w:lang w:val="en-GB"/>
        </w:rPr>
      </w:pP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t xml:space="preserve">THE NATIONAL EDUCATION HEALTH &amp; </w:t>
      </w: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t>ALLIED WORKERS UNION (NEHAWU)</w:t>
      </w:r>
      <w:r w:rsidRPr="00DC40DF">
        <w:rPr>
          <w:rFonts w:ascii="Arial" w:hAnsi="Arial" w:cs="Arial"/>
        </w:rPr>
        <w:tab/>
        <w:t>First Respondent</w:t>
      </w:r>
    </w:p>
    <w:p w:rsidR="00DC40DF" w:rsidRPr="00DC40DF" w:rsidRDefault="00DC40DF" w:rsidP="00DC40DF">
      <w:pPr>
        <w:pStyle w:val="BodyText"/>
        <w:tabs>
          <w:tab w:val="right" w:pos="9356"/>
        </w:tabs>
        <w:spacing w:line="240" w:lineRule="auto"/>
        <w:rPr>
          <w:rFonts w:ascii="Arial" w:hAnsi="Arial" w:cs="Arial"/>
        </w:rPr>
      </w:pP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t>MLULEKI JAMA</w:t>
      </w:r>
      <w:r w:rsidRPr="00DC40DF">
        <w:rPr>
          <w:rFonts w:ascii="Arial" w:hAnsi="Arial" w:cs="Arial"/>
        </w:rPr>
        <w:tab/>
        <w:t>Second Respondent</w:t>
      </w:r>
    </w:p>
    <w:p w:rsidR="00DC40DF" w:rsidRPr="00DC40DF" w:rsidRDefault="00DC40DF" w:rsidP="00DC40DF">
      <w:pPr>
        <w:pStyle w:val="BodyText"/>
        <w:tabs>
          <w:tab w:val="right" w:pos="9356"/>
        </w:tabs>
        <w:spacing w:line="240" w:lineRule="auto"/>
        <w:rPr>
          <w:rFonts w:ascii="Arial" w:hAnsi="Arial" w:cs="Arial"/>
        </w:rPr>
      </w:pP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t>NOSIMO VENFOLO</w:t>
      </w:r>
      <w:r w:rsidRPr="00DC40DF">
        <w:rPr>
          <w:rFonts w:ascii="Arial" w:hAnsi="Arial" w:cs="Arial"/>
        </w:rPr>
        <w:tab/>
        <w:t>Third Respondent</w:t>
      </w:r>
    </w:p>
    <w:p w:rsidR="00DC40DF" w:rsidRPr="00DC40DF" w:rsidRDefault="00DC40DF" w:rsidP="00DC40DF">
      <w:pPr>
        <w:pStyle w:val="BodyText"/>
        <w:tabs>
          <w:tab w:val="right" w:pos="9356"/>
        </w:tabs>
        <w:spacing w:line="240" w:lineRule="auto"/>
        <w:rPr>
          <w:rFonts w:ascii="Arial" w:hAnsi="Arial" w:cs="Arial"/>
        </w:rPr>
      </w:pP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t>YANDISA KLAAS</w:t>
      </w:r>
      <w:r w:rsidRPr="00DC40DF">
        <w:rPr>
          <w:rFonts w:ascii="Arial" w:hAnsi="Arial" w:cs="Arial"/>
        </w:rPr>
        <w:tab/>
        <w:t>Fourth Respondent</w:t>
      </w:r>
    </w:p>
    <w:p w:rsidR="00DC40DF" w:rsidRPr="00DC40DF" w:rsidRDefault="00DC40DF" w:rsidP="00DC40DF">
      <w:pPr>
        <w:pStyle w:val="BodyText"/>
        <w:tabs>
          <w:tab w:val="right" w:pos="9356"/>
        </w:tabs>
        <w:spacing w:line="240" w:lineRule="auto"/>
        <w:rPr>
          <w:rFonts w:ascii="Arial" w:hAnsi="Arial" w:cs="Arial"/>
        </w:rPr>
      </w:pP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t>MDUDUZI MZANYWA</w:t>
      </w:r>
      <w:r w:rsidRPr="00DC40DF">
        <w:rPr>
          <w:rFonts w:ascii="Arial" w:hAnsi="Arial" w:cs="Arial"/>
        </w:rPr>
        <w:tab/>
        <w:t>Fifth Respondent</w:t>
      </w:r>
    </w:p>
    <w:p w:rsidR="00DC40DF" w:rsidRPr="00DC40DF" w:rsidRDefault="00DC40DF" w:rsidP="00DC40DF">
      <w:pPr>
        <w:pStyle w:val="BodyText"/>
        <w:tabs>
          <w:tab w:val="right" w:pos="9356"/>
        </w:tabs>
        <w:spacing w:line="240" w:lineRule="auto"/>
        <w:rPr>
          <w:rFonts w:ascii="Arial" w:hAnsi="Arial" w:cs="Arial"/>
        </w:rPr>
      </w:pP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t>ZUKO SICWETSHA</w:t>
      </w:r>
      <w:r w:rsidRPr="00DC40DF">
        <w:rPr>
          <w:rFonts w:ascii="Arial" w:hAnsi="Arial" w:cs="Arial"/>
        </w:rPr>
        <w:tab/>
        <w:t>Sixth Respondent</w:t>
      </w:r>
    </w:p>
    <w:p w:rsidR="00DC40DF" w:rsidRPr="00DC40DF" w:rsidRDefault="00DC40DF" w:rsidP="00DC40DF">
      <w:pPr>
        <w:pStyle w:val="BodyText"/>
        <w:tabs>
          <w:tab w:val="right" w:pos="9356"/>
        </w:tabs>
        <w:spacing w:line="240" w:lineRule="auto"/>
        <w:rPr>
          <w:rFonts w:ascii="Arial" w:hAnsi="Arial" w:cs="Arial"/>
        </w:rPr>
      </w:pP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t>SIVUYISIWE NGETE</w:t>
      </w:r>
      <w:r w:rsidRPr="00DC40DF">
        <w:rPr>
          <w:rFonts w:ascii="Arial" w:hAnsi="Arial" w:cs="Arial"/>
        </w:rPr>
        <w:tab/>
        <w:t>Seventh Respondent</w:t>
      </w:r>
    </w:p>
    <w:p w:rsidR="00DC40DF" w:rsidRPr="00DC40DF" w:rsidRDefault="00DC40DF" w:rsidP="00DC40DF">
      <w:pPr>
        <w:pStyle w:val="BodyText"/>
        <w:tabs>
          <w:tab w:val="right" w:pos="9356"/>
        </w:tabs>
        <w:spacing w:line="240" w:lineRule="auto"/>
        <w:rPr>
          <w:rFonts w:ascii="Arial" w:hAnsi="Arial" w:cs="Arial"/>
        </w:rPr>
      </w:pP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t>MELIKHAYA MKHEPHULA</w:t>
      </w:r>
      <w:r w:rsidRPr="00DC40DF">
        <w:rPr>
          <w:rFonts w:ascii="Arial" w:hAnsi="Arial" w:cs="Arial"/>
        </w:rPr>
        <w:tab/>
        <w:t>Eighth Respondent</w:t>
      </w:r>
    </w:p>
    <w:p w:rsidR="00DC40DF" w:rsidRPr="00DC40DF" w:rsidRDefault="00DC40DF" w:rsidP="00DC40DF">
      <w:pPr>
        <w:pStyle w:val="BodyText"/>
        <w:tabs>
          <w:tab w:val="right" w:pos="9356"/>
        </w:tabs>
        <w:spacing w:line="240" w:lineRule="auto"/>
        <w:rPr>
          <w:rFonts w:ascii="Arial" w:hAnsi="Arial" w:cs="Arial"/>
        </w:rPr>
      </w:pP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t>NOMA AFRIKA MAGODONGO</w:t>
      </w:r>
      <w:r w:rsidRPr="00DC40DF">
        <w:rPr>
          <w:rFonts w:ascii="Arial" w:hAnsi="Arial" w:cs="Arial"/>
        </w:rPr>
        <w:tab/>
        <w:t>Ninth Respondent</w:t>
      </w:r>
    </w:p>
    <w:p w:rsidR="00DC40DF" w:rsidRPr="00DC40DF" w:rsidRDefault="00DC40DF" w:rsidP="00DC40DF">
      <w:pPr>
        <w:pStyle w:val="BodyText"/>
        <w:tabs>
          <w:tab w:val="right" w:pos="9356"/>
        </w:tabs>
        <w:spacing w:line="240" w:lineRule="auto"/>
        <w:rPr>
          <w:rFonts w:ascii="Arial" w:hAnsi="Arial" w:cs="Arial"/>
        </w:rPr>
      </w:pP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t>PHINDILE MGALELA</w:t>
      </w:r>
      <w:r w:rsidRPr="00DC40DF">
        <w:rPr>
          <w:rFonts w:ascii="Arial" w:hAnsi="Arial" w:cs="Arial"/>
        </w:rPr>
        <w:tab/>
        <w:t>Tenth Respondent</w:t>
      </w:r>
    </w:p>
    <w:p w:rsidR="00DC40DF" w:rsidRPr="00DC40DF" w:rsidRDefault="00DC40DF" w:rsidP="00DC40DF">
      <w:pPr>
        <w:pStyle w:val="BodyText"/>
        <w:tabs>
          <w:tab w:val="right" w:pos="9356"/>
        </w:tabs>
        <w:spacing w:line="240" w:lineRule="auto"/>
        <w:rPr>
          <w:rFonts w:ascii="Arial" w:hAnsi="Arial" w:cs="Arial"/>
        </w:rPr>
      </w:pP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t>ANELISA MEMA</w:t>
      </w:r>
      <w:r w:rsidRPr="00DC40DF">
        <w:rPr>
          <w:rFonts w:ascii="Arial" w:hAnsi="Arial" w:cs="Arial"/>
        </w:rPr>
        <w:tab/>
        <w:t>Eleventh Respondent</w:t>
      </w:r>
    </w:p>
    <w:p w:rsidR="00DC40DF" w:rsidRPr="00DC40DF" w:rsidRDefault="00DC40DF" w:rsidP="00DC40DF">
      <w:pPr>
        <w:pStyle w:val="BodyText"/>
        <w:tabs>
          <w:tab w:val="right" w:pos="9356"/>
        </w:tabs>
        <w:spacing w:line="240" w:lineRule="auto"/>
        <w:rPr>
          <w:rFonts w:ascii="Arial" w:hAnsi="Arial" w:cs="Arial"/>
        </w:rPr>
      </w:pP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lastRenderedPageBreak/>
        <w:t>ASANDA MTWA</w:t>
      </w:r>
      <w:r w:rsidRPr="00DC40DF">
        <w:rPr>
          <w:rFonts w:ascii="Arial" w:hAnsi="Arial" w:cs="Arial"/>
        </w:rPr>
        <w:tab/>
        <w:t>Twelfth Respondent</w:t>
      </w:r>
    </w:p>
    <w:p w:rsidR="00DC40DF" w:rsidRPr="00DC40DF" w:rsidRDefault="00DC40DF" w:rsidP="00DC40DF">
      <w:pPr>
        <w:pStyle w:val="BodyText"/>
        <w:tabs>
          <w:tab w:val="right" w:pos="9356"/>
        </w:tabs>
        <w:spacing w:line="240" w:lineRule="auto"/>
        <w:rPr>
          <w:rFonts w:ascii="Arial" w:hAnsi="Arial" w:cs="Arial"/>
        </w:rPr>
      </w:pP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t>FANELWA SAUL</w:t>
      </w:r>
      <w:r w:rsidRPr="00DC40DF">
        <w:rPr>
          <w:rFonts w:ascii="Arial" w:hAnsi="Arial" w:cs="Arial"/>
        </w:rPr>
        <w:tab/>
        <w:t>Thirteenth Respondent</w:t>
      </w:r>
    </w:p>
    <w:p w:rsidR="00DC40DF" w:rsidRPr="00DC40DF" w:rsidRDefault="00DC40DF" w:rsidP="00DC40DF">
      <w:pPr>
        <w:pStyle w:val="BodyText"/>
        <w:tabs>
          <w:tab w:val="right" w:pos="9356"/>
        </w:tabs>
        <w:spacing w:line="240" w:lineRule="auto"/>
        <w:rPr>
          <w:rFonts w:ascii="Arial" w:hAnsi="Arial" w:cs="Arial"/>
        </w:rPr>
      </w:pP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t>MQOKELELI GANTSHO</w:t>
      </w:r>
      <w:r w:rsidRPr="00DC40DF">
        <w:rPr>
          <w:rFonts w:ascii="Arial" w:hAnsi="Arial" w:cs="Arial"/>
        </w:rPr>
        <w:tab/>
        <w:t>Fourteenth Respondent</w:t>
      </w:r>
    </w:p>
    <w:p w:rsidR="00DC40DF" w:rsidRPr="00DC40DF" w:rsidRDefault="00DC40DF" w:rsidP="00DC40DF">
      <w:pPr>
        <w:pStyle w:val="BodyText"/>
        <w:tabs>
          <w:tab w:val="right" w:pos="9356"/>
        </w:tabs>
        <w:spacing w:line="240" w:lineRule="auto"/>
        <w:rPr>
          <w:rFonts w:ascii="Arial" w:hAnsi="Arial" w:cs="Arial"/>
        </w:rPr>
      </w:pP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t>EUGENE WITBOOI</w:t>
      </w:r>
      <w:r w:rsidRPr="00DC40DF">
        <w:rPr>
          <w:rFonts w:ascii="Arial" w:hAnsi="Arial" w:cs="Arial"/>
        </w:rPr>
        <w:tab/>
        <w:t>Fifteenth Respondent</w:t>
      </w:r>
    </w:p>
    <w:p w:rsidR="00DC40DF" w:rsidRPr="00DC40DF" w:rsidRDefault="00DC40DF" w:rsidP="00DC40DF">
      <w:pPr>
        <w:pStyle w:val="BodyText"/>
        <w:tabs>
          <w:tab w:val="right" w:pos="9356"/>
        </w:tabs>
        <w:spacing w:line="240" w:lineRule="auto"/>
        <w:rPr>
          <w:rFonts w:ascii="Arial" w:hAnsi="Arial" w:cs="Arial"/>
        </w:rPr>
      </w:pP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t>MNCEDISI FIGLAN</w:t>
      </w:r>
      <w:r w:rsidRPr="00DC40DF">
        <w:rPr>
          <w:rFonts w:ascii="Arial" w:hAnsi="Arial" w:cs="Arial"/>
        </w:rPr>
        <w:tab/>
        <w:t>Sixteenth Respondent</w:t>
      </w:r>
    </w:p>
    <w:p w:rsidR="00DC40DF" w:rsidRPr="00DC40DF" w:rsidRDefault="00DC40DF" w:rsidP="00DC40DF">
      <w:pPr>
        <w:pStyle w:val="BodyText"/>
        <w:tabs>
          <w:tab w:val="right" w:pos="9356"/>
        </w:tabs>
        <w:spacing w:line="240" w:lineRule="auto"/>
        <w:rPr>
          <w:rFonts w:ascii="Arial" w:hAnsi="Arial" w:cs="Arial"/>
        </w:rPr>
      </w:pP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t>WANDISILE NTUSANA</w:t>
      </w:r>
      <w:r w:rsidRPr="00DC40DF">
        <w:rPr>
          <w:rFonts w:ascii="Arial" w:hAnsi="Arial" w:cs="Arial"/>
        </w:rPr>
        <w:tab/>
        <w:t>Seventeenth Respondent</w:t>
      </w:r>
    </w:p>
    <w:p w:rsidR="00DC40DF" w:rsidRPr="00DC40DF" w:rsidRDefault="00DC40DF" w:rsidP="00DC40DF">
      <w:pPr>
        <w:pStyle w:val="BodyText"/>
        <w:tabs>
          <w:tab w:val="right" w:pos="9356"/>
        </w:tabs>
        <w:spacing w:line="240" w:lineRule="auto"/>
        <w:rPr>
          <w:rFonts w:ascii="Arial" w:hAnsi="Arial" w:cs="Arial"/>
        </w:rPr>
      </w:pP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t>THULISWA MAXHELA</w:t>
      </w:r>
      <w:r w:rsidRPr="00DC40DF">
        <w:rPr>
          <w:rFonts w:ascii="Arial" w:hAnsi="Arial" w:cs="Arial"/>
        </w:rPr>
        <w:tab/>
        <w:t>Eighteenth Respondent</w:t>
      </w:r>
    </w:p>
    <w:p w:rsidR="00DC40DF" w:rsidRPr="00DC40DF" w:rsidRDefault="00DC40DF" w:rsidP="00DC40DF">
      <w:pPr>
        <w:pStyle w:val="BodyText"/>
        <w:tabs>
          <w:tab w:val="right" w:pos="9356"/>
        </w:tabs>
        <w:spacing w:line="240" w:lineRule="auto"/>
        <w:rPr>
          <w:rFonts w:ascii="Arial" w:hAnsi="Arial" w:cs="Arial"/>
        </w:rPr>
      </w:pPr>
    </w:p>
    <w:p w:rsidR="00DC40DF" w:rsidRPr="00DC40DF" w:rsidRDefault="00DC40DF" w:rsidP="00DC40DF">
      <w:pPr>
        <w:pStyle w:val="BodyText"/>
        <w:tabs>
          <w:tab w:val="right" w:pos="9356"/>
        </w:tabs>
        <w:spacing w:line="240" w:lineRule="auto"/>
        <w:rPr>
          <w:rFonts w:ascii="Arial" w:hAnsi="Arial" w:cs="Arial"/>
        </w:rPr>
      </w:pPr>
      <w:r w:rsidRPr="00DC40DF">
        <w:rPr>
          <w:rFonts w:ascii="Arial" w:hAnsi="Arial" w:cs="Arial"/>
        </w:rPr>
        <w:t>LUTHANDO NJAMINI</w:t>
      </w:r>
      <w:r w:rsidRPr="00DC40DF">
        <w:rPr>
          <w:rFonts w:ascii="Arial" w:hAnsi="Arial" w:cs="Arial"/>
        </w:rPr>
        <w:tab/>
        <w:t>Nineteenth Respondent</w:t>
      </w:r>
    </w:p>
    <w:p w:rsidR="00DC40DF" w:rsidRPr="00DC40DF" w:rsidRDefault="00DC40DF" w:rsidP="00DC40DF">
      <w:pPr>
        <w:pStyle w:val="BodyText"/>
        <w:tabs>
          <w:tab w:val="right" w:pos="9356"/>
        </w:tabs>
        <w:spacing w:line="240" w:lineRule="auto"/>
        <w:rPr>
          <w:rFonts w:ascii="Arial" w:hAnsi="Arial" w:cs="Arial"/>
        </w:rPr>
      </w:pPr>
    </w:p>
    <w:p w:rsidR="00DC40DF" w:rsidRDefault="00DC40DF" w:rsidP="00DC40DF">
      <w:pPr>
        <w:pStyle w:val="BodyText"/>
        <w:tabs>
          <w:tab w:val="right" w:pos="9356"/>
        </w:tabs>
        <w:spacing w:line="240" w:lineRule="auto"/>
        <w:rPr>
          <w:rFonts w:ascii="Arial" w:hAnsi="Arial" w:cs="Arial"/>
        </w:rPr>
      </w:pPr>
      <w:r w:rsidRPr="00DC40DF">
        <w:rPr>
          <w:rFonts w:ascii="Arial" w:hAnsi="Arial" w:cs="Arial"/>
        </w:rPr>
        <w:t>NOSIMPHIWE PAKADE-NTUSANA</w:t>
      </w:r>
      <w:r w:rsidRPr="00DC40DF">
        <w:rPr>
          <w:rFonts w:ascii="Arial" w:hAnsi="Arial" w:cs="Arial"/>
        </w:rPr>
        <w:tab/>
        <w:t>Twentieth Respondent</w:t>
      </w:r>
    </w:p>
    <w:p w:rsidR="00DC40DF" w:rsidRDefault="00DC40DF" w:rsidP="00DC40DF">
      <w:pPr>
        <w:pStyle w:val="BodyText"/>
        <w:tabs>
          <w:tab w:val="right" w:pos="9356"/>
        </w:tabs>
        <w:spacing w:line="240" w:lineRule="auto"/>
        <w:rPr>
          <w:rFonts w:ascii="Arial" w:hAnsi="Arial" w:cs="Arial"/>
        </w:rPr>
      </w:pPr>
    </w:p>
    <w:p w:rsidR="00DC40DF" w:rsidRDefault="00DC40DF" w:rsidP="00DC40DF">
      <w:pPr>
        <w:pStyle w:val="BodyText"/>
        <w:tabs>
          <w:tab w:val="right" w:pos="9356"/>
        </w:tabs>
        <w:spacing w:line="240" w:lineRule="auto"/>
        <w:rPr>
          <w:rFonts w:ascii="Arial" w:hAnsi="Arial" w:cs="Arial"/>
        </w:rPr>
      </w:pPr>
      <w:r>
        <w:rPr>
          <w:rFonts w:ascii="Arial" w:hAnsi="Arial" w:cs="Arial"/>
        </w:rPr>
        <w:t xml:space="preserve">THE GROUP OF EMPLOYEES AND </w:t>
      </w:r>
    </w:p>
    <w:p w:rsidR="00DC40DF" w:rsidRDefault="00DC40DF" w:rsidP="00DC40DF">
      <w:pPr>
        <w:pStyle w:val="BodyText"/>
        <w:tabs>
          <w:tab w:val="right" w:pos="9356"/>
        </w:tabs>
        <w:spacing w:line="240" w:lineRule="auto"/>
        <w:rPr>
          <w:rFonts w:ascii="Arial" w:hAnsi="Arial" w:cs="Arial"/>
        </w:rPr>
      </w:pPr>
      <w:r>
        <w:rPr>
          <w:rFonts w:ascii="Arial" w:hAnsi="Arial" w:cs="Arial"/>
        </w:rPr>
        <w:t>THOSE WHO MAKE COMMON CAUSE</w:t>
      </w:r>
    </w:p>
    <w:p w:rsidR="00DC40DF" w:rsidRDefault="00DC40DF" w:rsidP="00DC40DF">
      <w:pPr>
        <w:pStyle w:val="BodyText"/>
        <w:tabs>
          <w:tab w:val="right" w:pos="9356"/>
        </w:tabs>
        <w:spacing w:line="240" w:lineRule="auto"/>
        <w:rPr>
          <w:rFonts w:ascii="Arial" w:hAnsi="Arial" w:cs="Arial"/>
        </w:rPr>
      </w:pPr>
      <w:r>
        <w:rPr>
          <w:rFonts w:ascii="Arial" w:hAnsi="Arial" w:cs="Arial"/>
        </w:rPr>
        <w:t xml:space="preserve">WITH THEM INFRINGING THE RIGHTS </w:t>
      </w:r>
    </w:p>
    <w:p w:rsidR="00DC40DF" w:rsidRDefault="00DC40DF" w:rsidP="00DC40DF">
      <w:pPr>
        <w:pStyle w:val="BodyText"/>
        <w:tabs>
          <w:tab w:val="right" w:pos="9356"/>
        </w:tabs>
        <w:spacing w:line="240" w:lineRule="auto"/>
        <w:rPr>
          <w:rFonts w:ascii="Arial" w:hAnsi="Arial" w:cs="Arial"/>
        </w:rPr>
      </w:pPr>
      <w:r>
        <w:rPr>
          <w:rFonts w:ascii="Arial" w:hAnsi="Arial" w:cs="Arial"/>
        </w:rPr>
        <w:t>AND INTERESTS OF THE APPLICANT</w:t>
      </w:r>
      <w:r>
        <w:rPr>
          <w:rFonts w:ascii="Arial" w:hAnsi="Arial" w:cs="Arial"/>
        </w:rPr>
        <w:tab/>
        <w:t>The Remaining Respondents</w:t>
      </w:r>
    </w:p>
    <w:p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rsidR="0009497C" w:rsidRPr="00044B50" w:rsidRDefault="0009497C" w:rsidP="00772E4B">
      <w:pPr>
        <w:jc w:val="center"/>
        <w:rPr>
          <w:lang w:val="en-GB"/>
        </w:rPr>
      </w:pPr>
    </w:p>
    <w:p w:rsidR="00D450B5" w:rsidRPr="00044B50" w:rsidRDefault="00D450B5" w:rsidP="00772E4B">
      <w:pPr>
        <w:jc w:val="center"/>
        <w:rPr>
          <w:b/>
          <w:bCs/>
          <w:lang w:val="en-GB"/>
        </w:rPr>
      </w:pPr>
      <w:r w:rsidRPr="00044B50">
        <w:rPr>
          <w:b/>
          <w:bCs/>
          <w:lang w:val="en-GB"/>
        </w:rPr>
        <w:t xml:space="preserve">JUDGMENT </w:t>
      </w:r>
    </w:p>
    <w:p w:rsidR="00D450B5" w:rsidRPr="00044B50" w:rsidRDefault="00D450B5" w:rsidP="00772E4B">
      <w:pPr>
        <w:jc w:val="both"/>
        <w:rPr>
          <w:lang w:val="en-GB"/>
        </w:rPr>
      </w:pPr>
      <w:r w:rsidRPr="00044B50">
        <w:rPr>
          <w:lang w:val="en-GB"/>
        </w:rPr>
        <w:t>___________________________________________________________________</w:t>
      </w:r>
    </w:p>
    <w:p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rsidR="00D468AF" w:rsidRPr="00044B50" w:rsidRDefault="00D468AF" w:rsidP="00682CE5">
      <w:pPr>
        <w:autoSpaceDE w:val="0"/>
        <w:autoSpaceDN w:val="0"/>
        <w:adjustRightInd w:val="0"/>
        <w:jc w:val="both"/>
        <w:rPr>
          <w:lang w:val="en-GB"/>
        </w:rPr>
      </w:pPr>
    </w:p>
    <w:p w:rsidR="00823CFE" w:rsidRPr="00572F7E" w:rsidRDefault="00572F7E" w:rsidP="00572F7E">
      <w:pPr>
        <w:autoSpaceDE w:val="0"/>
        <w:autoSpaceDN w:val="0"/>
        <w:adjustRightInd w:val="0"/>
        <w:jc w:val="both"/>
        <w:rPr>
          <w:lang w:val="en-GB"/>
        </w:rPr>
      </w:pPr>
      <w:r>
        <w:rPr>
          <w:lang w:val="en-GB"/>
        </w:rPr>
        <w:t>[1</w:t>
      </w:r>
      <w:bookmarkStart w:id="0" w:name="_GoBack"/>
      <w:bookmarkEnd w:id="0"/>
      <w:r>
        <w:rPr>
          <w:lang w:val="en-GB"/>
        </w:rPr>
        <w:t>]</w:t>
      </w:r>
      <w:r>
        <w:rPr>
          <w:lang w:val="en-GB"/>
        </w:rPr>
        <w:tab/>
      </w:r>
      <w:r w:rsidR="006A7DA6" w:rsidRPr="00572F7E">
        <w:rPr>
          <w:lang w:val="en-GB"/>
        </w:rPr>
        <w:t xml:space="preserve">The </w:t>
      </w:r>
      <w:r w:rsidR="00E13ACF" w:rsidRPr="00572F7E">
        <w:rPr>
          <w:lang w:val="en-GB"/>
        </w:rPr>
        <w:t>Lovedale TVET College is a Public College duly established under the Further Education and Training Colleges Act, 2006</w:t>
      </w:r>
      <w:r w:rsidR="00404905" w:rsidRPr="00572F7E">
        <w:rPr>
          <w:lang w:val="en-GB"/>
        </w:rPr>
        <w:t xml:space="preserve"> (‘the </w:t>
      </w:r>
      <w:r w:rsidR="00136FDC" w:rsidRPr="00572F7E">
        <w:rPr>
          <w:lang w:val="en-GB"/>
        </w:rPr>
        <w:t>College’</w:t>
      </w:r>
      <w:r w:rsidR="00404905" w:rsidRPr="00572F7E">
        <w:rPr>
          <w:lang w:val="en-GB"/>
        </w:rPr>
        <w:t>)</w:t>
      </w:r>
      <w:r w:rsidR="00F76DA8" w:rsidRPr="00572F7E">
        <w:rPr>
          <w:lang w:val="en-GB"/>
        </w:rPr>
        <w:t>.</w:t>
      </w:r>
      <w:r w:rsidR="00E13ACF">
        <w:rPr>
          <w:rStyle w:val="FootnoteReference"/>
          <w:lang w:val="en-GB"/>
        </w:rPr>
        <w:footnoteReference w:id="1"/>
      </w:r>
      <w:r w:rsidR="00404905" w:rsidRPr="00572F7E">
        <w:rPr>
          <w:lang w:val="en-GB"/>
        </w:rPr>
        <w:t xml:space="preserve"> NEHAWU, the first respondent, is engaged in strike action throughout the country, in which the remaining respondents participate. The </w:t>
      </w:r>
      <w:r w:rsidR="00136FDC" w:rsidRPr="00572F7E">
        <w:rPr>
          <w:lang w:val="en-GB"/>
        </w:rPr>
        <w:t>College</w:t>
      </w:r>
      <w:r w:rsidR="00404905" w:rsidRPr="00572F7E">
        <w:rPr>
          <w:lang w:val="en-GB"/>
        </w:rPr>
        <w:t xml:space="preserve"> frames the basis for the relief it seeks as follows:</w:t>
      </w:r>
    </w:p>
    <w:p w:rsidR="00404905" w:rsidRDefault="00404905" w:rsidP="00404905">
      <w:pPr>
        <w:pStyle w:val="ListParagraph"/>
        <w:autoSpaceDE w:val="0"/>
        <w:autoSpaceDN w:val="0"/>
        <w:adjustRightInd w:val="0"/>
        <w:ind w:left="0"/>
        <w:jc w:val="both"/>
        <w:rPr>
          <w:sz w:val="22"/>
          <w:szCs w:val="22"/>
          <w:lang w:val="en-GB"/>
        </w:rPr>
      </w:pPr>
      <w:r>
        <w:rPr>
          <w:sz w:val="22"/>
          <w:szCs w:val="22"/>
          <w:lang w:val="en-GB"/>
        </w:rPr>
        <w:t>‘The applicant does not purport to prevent any lawful strike action but seeks to interdict illegal conduct which unlawfully is interfering with the business and service delivery objectives of the applicant, and other individuals who are referred to below</w:t>
      </w:r>
      <w:r w:rsidR="006A50DE">
        <w:rPr>
          <w:sz w:val="22"/>
          <w:szCs w:val="22"/>
          <w:lang w:val="en-GB"/>
        </w:rPr>
        <w:t>…the respondents have been moving between the two campuses, disrupting the business of the applicant, its staff and service delivery in the manner set out below…the purpose of this application is to interdict the respondents from conducting themselves in an illegal and unlawful manner in order to restore safety on the campuses of the applicant, and to restore the ability of the applicant to carry out its core function, namely the teaching of students on its campuses</w:t>
      </w:r>
      <w:r w:rsidR="008F6554">
        <w:rPr>
          <w:sz w:val="22"/>
          <w:szCs w:val="22"/>
          <w:lang w:val="en-GB"/>
        </w:rPr>
        <w:t xml:space="preserve">…all teaching and all </w:t>
      </w:r>
      <w:r w:rsidR="008F6554">
        <w:rPr>
          <w:sz w:val="22"/>
          <w:szCs w:val="22"/>
          <w:lang w:val="en-GB"/>
        </w:rPr>
        <w:lastRenderedPageBreak/>
        <w:t>learning at the Campus of the applicant in both King William’s Town and Zwelitsha has come to a standstill as the safety of all persons involved cannot be guaranteed…the applicant has a clear right…to persist with its business, peacefully and without interruption, and that all employees and students and staff have a right to work and render the services that they have contracted either to receive or to provide</w:t>
      </w:r>
      <w:r w:rsidR="00281FB4">
        <w:rPr>
          <w:sz w:val="22"/>
          <w:szCs w:val="22"/>
          <w:lang w:val="en-GB"/>
        </w:rPr>
        <w:t>…it is the applicant’s intention to ensure that strike action does not interfere with the business of the applicant, its other employees and the constitutional rights of all concerned…’</w:t>
      </w:r>
    </w:p>
    <w:p w:rsidR="00281FB4" w:rsidRPr="00404905" w:rsidRDefault="00281FB4" w:rsidP="00404905">
      <w:pPr>
        <w:pStyle w:val="ListParagraph"/>
        <w:autoSpaceDE w:val="0"/>
        <w:autoSpaceDN w:val="0"/>
        <w:adjustRightInd w:val="0"/>
        <w:ind w:left="0"/>
        <w:jc w:val="both"/>
        <w:rPr>
          <w:sz w:val="22"/>
          <w:szCs w:val="22"/>
          <w:lang w:val="en-GB"/>
        </w:rPr>
      </w:pPr>
    </w:p>
    <w:p w:rsidR="00404905" w:rsidRPr="00572F7E" w:rsidRDefault="00572F7E" w:rsidP="00572F7E">
      <w:pPr>
        <w:autoSpaceDE w:val="0"/>
        <w:autoSpaceDN w:val="0"/>
        <w:adjustRightInd w:val="0"/>
        <w:jc w:val="both"/>
        <w:rPr>
          <w:lang w:val="en-GB"/>
        </w:rPr>
      </w:pPr>
      <w:r>
        <w:rPr>
          <w:lang w:val="en-GB"/>
        </w:rPr>
        <w:t>[2]</w:t>
      </w:r>
      <w:r>
        <w:rPr>
          <w:lang w:val="en-GB"/>
        </w:rPr>
        <w:tab/>
      </w:r>
      <w:r w:rsidR="00F16656" w:rsidRPr="00572F7E">
        <w:rPr>
          <w:lang w:val="en-GB"/>
        </w:rPr>
        <w:t xml:space="preserve">The relief sought is couched in the form of a rule nisi interdicting conduct ‘that obstructs or frustrates the effective rendering of educational services and administration services’ by the College or the ‘ability of the applicant’s employees to do their work’. </w:t>
      </w:r>
      <w:r w:rsidR="00281FB4" w:rsidRPr="00572F7E">
        <w:rPr>
          <w:lang w:val="en-GB"/>
        </w:rPr>
        <w:t>NEHAWU takes the point</w:t>
      </w:r>
      <w:r w:rsidR="000A627D" w:rsidRPr="00572F7E">
        <w:rPr>
          <w:lang w:val="en-GB"/>
        </w:rPr>
        <w:t>, without filing opposing papers on the facts,</w:t>
      </w:r>
      <w:r w:rsidR="00281FB4" w:rsidRPr="00572F7E">
        <w:rPr>
          <w:lang w:val="en-GB"/>
        </w:rPr>
        <w:t xml:space="preserve"> that this court lacks jurisdiction based on the exclusive jurisdiction of the Labour Court, in terms of s 68 of the Labour Relations Act, 1995</w:t>
      </w:r>
      <w:r w:rsidR="00281FB4">
        <w:rPr>
          <w:rStyle w:val="FootnoteReference"/>
          <w:lang w:val="en-GB"/>
        </w:rPr>
        <w:footnoteReference w:id="2"/>
      </w:r>
      <w:r w:rsidR="00281FB4" w:rsidRPr="00572F7E">
        <w:rPr>
          <w:lang w:val="en-GB"/>
        </w:rPr>
        <w:t xml:space="preserve"> (‘LRA’) to grant relief in respect of unprotected strikes.</w:t>
      </w:r>
      <w:r w:rsidR="00E04B8E">
        <w:rPr>
          <w:rStyle w:val="FootnoteReference"/>
          <w:lang w:val="en-GB"/>
        </w:rPr>
        <w:footnoteReference w:id="3"/>
      </w:r>
    </w:p>
    <w:p w:rsidR="00B63584" w:rsidRDefault="00B63584" w:rsidP="00B63584">
      <w:pPr>
        <w:pStyle w:val="ListParagraph"/>
        <w:autoSpaceDE w:val="0"/>
        <w:autoSpaceDN w:val="0"/>
        <w:adjustRightInd w:val="0"/>
        <w:ind w:left="0"/>
        <w:jc w:val="both"/>
        <w:rPr>
          <w:lang w:val="en-GB"/>
        </w:rPr>
      </w:pPr>
    </w:p>
    <w:p w:rsidR="00B63584" w:rsidRPr="00572F7E" w:rsidRDefault="00572F7E" w:rsidP="00572F7E">
      <w:pPr>
        <w:autoSpaceDE w:val="0"/>
        <w:autoSpaceDN w:val="0"/>
        <w:adjustRightInd w:val="0"/>
        <w:jc w:val="both"/>
        <w:rPr>
          <w:lang w:val="en-GB"/>
        </w:rPr>
      </w:pPr>
      <w:r>
        <w:rPr>
          <w:lang w:val="en-GB"/>
        </w:rPr>
        <w:t>[3]</w:t>
      </w:r>
      <w:r>
        <w:rPr>
          <w:lang w:val="en-GB"/>
        </w:rPr>
        <w:tab/>
      </w:r>
      <w:r w:rsidR="00B63584" w:rsidRPr="00572F7E">
        <w:rPr>
          <w:lang w:val="en-GB"/>
        </w:rPr>
        <w:t>S</w:t>
      </w:r>
      <w:r w:rsidR="00017F0B" w:rsidRPr="00572F7E">
        <w:rPr>
          <w:lang w:val="en-GB"/>
        </w:rPr>
        <w:t>ection</w:t>
      </w:r>
      <w:r w:rsidR="00B63584" w:rsidRPr="00572F7E">
        <w:rPr>
          <w:lang w:val="en-GB"/>
        </w:rPr>
        <w:t xml:space="preserve"> 157 of the LRA deals with the jurisdiction of the Labour Court and, in the context of determining a High Court’s concurrent jurisdiction in respect of matters arising from employment and labour relations, has resulted in at least four relevant judgments of the Constitutional Court</w:t>
      </w:r>
      <w:r w:rsidR="003C02D4" w:rsidRPr="00572F7E">
        <w:rPr>
          <w:lang w:val="en-GB"/>
        </w:rPr>
        <w:t>, which itself describes the issue as vexed.</w:t>
      </w:r>
      <w:r w:rsidR="003C02D4">
        <w:rPr>
          <w:rStyle w:val="FootnoteReference"/>
          <w:lang w:val="en-GB"/>
        </w:rPr>
        <w:footnoteReference w:id="4"/>
      </w:r>
      <w:r w:rsidR="003C02D4" w:rsidRPr="00572F7E">
        <w:rPr>
          <w:lang w:val="en-GB"/>
        </w:rPr>
        <w:t xml:space="preserve"> The section is framed as follows:</w:t>
      </w:r>
    </w:p>
    <w:p w:rsidR="003C02D4" w:rsidRPr="003C02D4" w:rsidRDefault="003C02D4" w:rsidP="003C02D4">
      <w:pPr>
        <w:pStyle w:val="ListParagraph"/>
        <w:rPr>
          <w:lang w:val="en-GB"/>
        </w:rPr>
      </w:pPr>
    </w:p>
    <w:p w:rsidR="003C02D4" w:rsidRDefault="003C02D4" w:rsidP="003C02D4">
      <w:pPr>
        <w:pStyle w:val="ListParagraph"/>
        <w:autoSpaceDE w:val="0"/>
        <w:autoSpaceDN w:val="0"/>
        <w:adjustRightInd w:val="0"/>
        <w:ind w:left="0"/>
        <w:jc w:val="both"/>
        <w:rPr>
          <w:sz w:val="22"/>
          <w:szCs w:val="22"/>
          <w:lang w:val="en-GB"/>
        </w:rPr>
      </w:pPr>
      <w:r>
        <w:rPr>
          <w:sz w:val="22"/>
          <w:szCs w:val="22"/>
          <w:lang w:val="en-GB"/>
        </w:rPr>
        <w:t>‘(1) Subject to the Constitution and section 173, and except where this Act provides otherwise, the Labour Court has exclusive jurisdiction in respect of all matters that elsewhere in terms of this Act or in terms of any other law are to be determined by the Labour Court.</w:t>
      </w:r>
    </w:p>
    <w:p w:rsidR="003C02D4" w:rsidRDefault="003C02D4" w:rsidP="003C02D4">
      <w:pPr>
        <w:pStyle w:val="ListParagraph"/>
        <w:autoSpaceDE w:val="0"/>
        <w:autoSpaceDN w:val="0"/>
        <w:adjustRightInd w:val="0"/>
        <w:ind w:left="0"/>
        <w:jc w:val="both"/>
        <w:rPr>
          <w:sz w:val="22"/>
          <w:szCs w:val="22"/>
          <w:lang w:val="en-GB"/>
        </w:rPr>
      </w:pPr>
    </w:p>
    <w:p w:rsidR="003C02D4" w:rsidRDefault="003C02D4" w:rsidP="003C02D4">
      <w:pPr>
        <w:pStyle w:val="ListParagraph"/>
        <w:autoSpaceDE w:val="0"/>
        <w:autoSpaceDN w:val="0"/>
        <w:adjustRightInd w:val="0"/>
        <w:ind w:left="0"/>
        <w:jc w:val="both"/>
        <w:rPr>
          <w:sz w:val="22"/>
          <w:szCs w:val="22"/>
          <w:lang w:val="en-GB"/>
        </w:rPr>
      </w:pPr>
      <w:r>
        <w:rPr>
          <w:sz w:val="22"/>
          <w:szCs w:val="22"/>
          <w:lang w:val="en-GB"/>
        </w:rPr>
        <w:lastRenderedPageBreak/>
        <w:t xml:space="preserve">(2) The Labour Court has concurrent jurisdiction with the High Court in respect of any alleged or threatened violation of any fundamental right entrenched in Chapter 2 of the Constitution of the Republic of South Africa, 1996, and arising from – </w:t>
      </w:r>
    </w:p>
    <w:p w:rsidR="003C02D4" w:rsidRPr="003C02D4" w:rsidRDefault="003C02D4" w:rsidP="003C02D4">
      <w:pPr>
        <w:pStyle w:val="ListParagraph"/>
        <w:autoSpaceDE w:val="0"/>
        <w:autoSpaceDN w:val="0"/>
        <w:adjustRightInd w:val="0"/>
        <w:ind w:left="0"/>
        <w:jc w:val="both"/>
        <w:rPr>
          <w:sz w:val="22"/>
          <w:szCs w:val="22"/>
          <w:lang w:val="en-GB"/>
        </w:rPr>
      </w:pPr>
      <w:r>
        <w:rPr>
          <w:sz w:val="22"/>
          <w:szCs w:val="22"/>
          <w:lang w:val="en-GB"/>
        </w:rPr>
        <w:tab/>
        <w:t>(a)</w:t>
      </w:r>
      <w:r>
        <w:rPr>
          <w:sz w:val="22"/>
          <w:szCs w:val="22"/>
          <w:lang w:val="en-GB"/>
        </w:rPr>
        <w:tab/>
        <w:t>employment and from labour relations…’</w:t>
      </w:r>
    </w:p>
    <w:p w:rsidR="003C02D4" w:rsidRPr="003C02D4" w:rsidRDefault="003C02D4" w:rsidP="003C02D4">
      <w:pPr>
        <w:pStyle w:val="ListParagraph"/>
        <w:rPr>
          <w:lang w:val="en-GB"/>
        </w:rPr>
      </w:pPr>
    </w:p>
    <w:p w:rsidR="003C02D4" w:rsidRPr="00572F7E" w:rsidRDefault="00572F7E" w:rsidP="00572F7E">
      <w:pPr>
        <w:autoSpaceDE w:val="0"/>
        <w:autoSpaceDN w:val="0"/>
        <w:adjustRightInd w:val="0"/>
        <w:jc w:val="both"/>
        <w:rPr>
          <w:lang w:val="en-GB"/>
        </w:rPr>
      </w:pPr>
      <w:r>
        <w:rPr>
          <w:lang w:val="en-GB"/>
        </w:rPr>
        <w:t>[4]</w:t>
      </w:r>
      <w:r>
        <w:rPr>
          <w:lang w:val="en-GB"/>
        </w:rPr>
        <w:tab/>
      </w:r>
      <w:r w:rsidR="007E4ABB" w:rsidRPr="00572F7E">
        <w:rPr>
          <w:lang w:val="en-GB"/>
        </w:rPr>
        <w:t>To the trilogy of well-known initial judgments of the Constitutional Court dealing with the question (</w:t>
      </w:r>
      <w:r w:rsidR="007E4ABB" w:rsidRPr="00572F7E">
        <w:rPr>
          <w:i/>
          <w:iCs/>
          <w:lang w:val="en-GB"/>
        </w:rPr>
        <w:t>‘Fredericks</w:t>
      </w:r>
      <w:r w:rsidR="007E4ABB" w:rsidRPr="00572F7E">
        <w:rPr>
          <w:lang w:val="en-GB"/>
        </w:rPr>
        <w:t>’,</w:t>
      </w:r>
      <w:r w:rsidR="006E3957">
        <w:rPr>
          <w:rStyle w:val="FootnoteReference"/>
          <w:lang w:val="en-GB"/>
        </w:rPr>
        <w:footnoteReference w:id="5"/>
      </w:r>
      <w:r w:rsidR="007E4ABB" w:rsidRPr="00572F7E">
        <w:rPr>
          <w:lang w:val="en-GB"/>
        </w:rPr>
        <w:t xml:space="preserve"> ‘</w:t>
      </w:r>
      <w:r w:rsidR="007E4ABB" w:rsidRPr="00572F7E">
        <w:rPr>
          <w:i/>
          <w:iCs/>
          <w:lang w:val="en-GB"/>
        </w:rPr>
        <w:t>Chirwa</w:t>
      </w:r>
      <w:r w:rsidR="007E4ABB" w:rsidRPr="00572F7E">
        <w:rPr>
          <w:lang w:val="en-GB"/>
        </w:rPr>
        <w:t>’</w:t>
      </w:r>
      <w:r w:rsidR="006E3957">
        <w:rPr>
          <w:rStyle w:val="FootnoteReference"/>
          <w:lang w:val="en-GB"/>
        </w:rPr>
        <w:footnoteReference w:id="6"/>
      </w:r>
      <w:r w:rsidR="007E4ABB" w:rsidRPr="00572F7E">
        <w:rPr>
          <w:lang w:val="en-GB"/>
        </w:rPr>
        <w:t xml:space="preserve"> and ‘</w:t>
      </w:r>
      <w:r w:rsidR="007E4ABB" w:rsidRPr="00572F7E">
        <w:rPr>
          <w:i/>
          <w:iCs/>
          <w:lang w:val="en-GB"/>
        </w:rPr>
        <w:t>Gcaba</w:t>
      </w:r>
      <w:r w:rsidR="007E4ABB" w:rsidRPr="00572F7E">
        <w:rPr>
          <w:lang w:val="en-GB"/>
        </w:rPr>
        <w:t>’</w:t>
      </w:r>
      <w:r w:rsidR="004D61A9">
        <w:rPr>
          <w:rStyle w:val="FootnoteReference"/>
          <w:lang w:val="en-GB"/>
        </w:rPr>
        <w:footnoteReference w:id="7"/>
      </w:r>
      <w:r w:rsidR="007E4ABB" w:rsidRPr="00572F7E">
        <w:rPr>
          <w:lang w:val="en-GB"/>
        </w:rPr>
        <w:t xml:space="preserve">) has recently been added the decision in </w:t>
      </w:r>
      <w:r w:rsidR="007E4ABB" w:rsidRPr="00572F7E">
        <w:rPr>
          <w:i/>
          <w:iCs/>
          <w:lang w:val="en-GB"/>
        </w:rPr>
        <w:t>Baloyi</w:t>
      </w:r>
      <w:r w:rsidR="007E4ABB" w:rsidRPr="00572F7E">
        <w:rPr>
          <w:lang w:val="en-GB"/>
        </w:rPr>
        <w:t xml:space="preserve">, and the judgment of Theron J, </w:t>
      </w:r>
      <w:r w:rsidR="006C1CD3" w:rsidRPr="00572F7E">
        <w:rPr>
          <w:lang w:val="en-GB"/>
        </w:rPr>
        <w:t>on behalf of a unanimous court</w:t>
      </w:r>
      <w:r w:rsidR="00B7369A" w:rsidRPr="00572F7E">
        <w:rPr>
          <w:lang w:val="en-GB"/>
        </w:rPr>
        <w:t xml:space="preserve">, which </w:t>
      </w:r>
      <w:r w:rsidR="007E4ABB" w:rsidRPr="00572F7E">
        <w:rPr>
          <w:lang w:val="en-GB"/>
        </w:rPr>
        <w:t xml:space="preserve">has further elucidated </w:t>
      </w:r>
      <w:r w:rsidR="00422CB9" w:rsidRPr="00572F7E">
        <w:rPr>
          <w:lang w:val="en-GB"/>
        </w:rPr>
        <w:t>the appropriate approach</w:t>
      </w:r>
      <w:r w:rsidR="00B7369A" w:rsidRPr="00572F7E">
        <w:rPr>
          <w:lang w:val="en-GB"/>
        </w:rPr>
        <w:t>.</w:t>
      </w:r>
      <w:r w:rsidR="006055F8">
        <w:rPr>
          <w:rStyle w:val="FootnoteReference"/>
          <w:lang w:val="en-GB"/>
        </w:rPr>
        <w:footnoteReference w:id="8"/>
      </w:r>
      <w:r w:rsidR="00B7369A" w:rsidRPr="00572F7E">
        <w:rPr>
          <w:lang w:val="en-GB"/>
        </w:rPr>
        <w:t xml:space="preserve"> This court relies heavily on that judgment in arriving at its conclusion.</w:t>
      </w:r>
    </w:p>
    <w:p w:rsidR="006C1CD3" w:rsidRDefault="006C1CD3" w:rsidP="006C1CD3">
      <w:pPr>
        <w:pStyle w:val="ListParagraph"/>
        <w:autoSpaceDE w:val="0"/>
        <w:autoSpaceDN w:val="0"/>
        <w:adjustRightInd w:val="0"/>
        <w:ind w:left="0"/>
        <w:jc w:val="both"/>
        <w:rPr>
          <w:lang w:val="en-GB"/>
        </w:rPr>
      </w:pPr>
    </w:p>
    <w:p w:rsidR="006C1CD3" w:rsidRPr="00572F7E" w:rsidRDefault="00572F7E" w:rsidP="00572F7E">
      <w:pPr>
        <w:autoSpaceDE w:val="0"/>
        <w:autoSpaceDN w:val="0"/>
        <w:adjustRightInd w:val="0"/>
        <w:jc w:val="both"/>
        <w:rPr>
          <w:lang w:val="en-GB"/>
        </w:rPr>
      </w:pPr>
      <w:r>
        <w:rPr>
          <w:lang w:val="en-GB"/>
        </w:rPr>
        <w:t>[5]</w:t>
      </w:r>
      <w:r>
        <w:rPr>
          <w:lang w:val="en-GB"/>
        </w:rPr>
        <w:tab/>
      </w:r>
      <w:r w:rsidR="006C1CD3" w:rsidRPr="00572F7E">
        <w:rPr>
          <w:lang w:val="en-GB"/>
        </w:rPr>
        <w:t>It is clear that the jurisdiction of this court is not ousted simply because a dispute is one that falls within the overall sphere of employment relations, as in the present instance.</w:t>
      </w:r>
      <w:r w:rsidR="006C1CD3">
        <w:rPr>
          <w:rStyle w:val="FootnoteReference"/>
          <w:lang w:val="en-GB"/>
        </w:rPr>
        <w:footnoteReference w:id="9"/>
      </w:r>
      <w:r w:rsidR="00981C0B" w:rsidRPr="00572F7E">
        <w:rPr>
          <w:lang w:val="en-GB"/>
        </w:rPr>
        <w:t xml:space="preserve"> Leaving aside cases where the jurisdiction of the Constitutional Court is engaged, this court has jurisdiction to adjudicate any matter except if it may be said that the matter has been assigned by legislation to another court with a similar status to the High Court, such as the Labour Court.</w:t>
      </w:r>
      <w:r w:rsidR="001877FF">
        <w:rPr>
          <w:rStyle w:val="FootnoteReference"/>
          <w:lang w:val="en-GB"/>
        </w:rPr>
        <w:footnoteReference w:id="10"/>
      </w:r>
    </w:p>
    <w:p w:rsidR="00B80AFC" w:rsidRPr="00B80AFC" w:rsidRDefault="00B80AFC" w:rsidP="00B80AFC">
      <w:pPr>
        <w:pStyle w:val="ListParagraph"/>
        <w:rPr>
          <w:lang w:val="en-GB"/>
        </w:rPr>
      </w:pPr>
    </w:p>
    <w:p w:rsidR="00B80AFC" w:rsidRPr="00572F7E" w:rsidRDefault="00572F7E" w:rsidP="00572F7E">
      <w:pPr>
        <w:autoSpaceDE w:val="0"/>
        <w:autoSpaceDN w:val="0"/>
        <w:adjustRightInd w:val="0"/>
        <w:jc w:val="both"/>
        <w:rPr>
          <w:lang w:val="en-GB"/>
        </w:rPr>
      </w:pPr>
      <w:r>
        <w:rPr>
          <w:lang w:val="en-GB"/>
        </w:rPr>
        <w:t>[6]</w:t>
      </w:r>
      <w:r>
        <w:rPr>
          <w:lang w:val="en-GB"/>
        </w:rPr>
        <w:tab/>
      </w:r>
      <w:r w:rsidR="00B80AFC" w:rsidRPr="00572F7E">
        <w:rPr>
          <w:lang w:val="en-GB"/>
        </w:rPr>
        <w:t>The Labour Court and Labour Appeal Court have been established by the LRA as superior courts with ‘exclusive jurisdiction to decide</w:t>
      </w:r>
      <w:r w:rsidR="00B80AFC" w:rsidRPr="00572F7E">
        <w:rPr>
          <w:i/>
          <w:iCs/>
          <w:lang w:val="en-GB"/>
        </w:rPr>
        <w:t xml:space="preserve"> matters arising from the Act</w:t>
      </w:r>
      <w:r w:rsidR="00B80AFC" w:rsidRPr="00572F7E">
        <w:rPr>
          <w:lang w:val="en-GB"/>
        </w:rPr>
        <w:t>.’</w:t>
      </w:r>
      <w:r w:rsidR="00E056B7">
        <w:rPr>
          <w:rStyle w:val="FootnoteReference"/>
          <w:lang w:val="en-GB"/>
        </w:rPr>
        <w:footnoteReference w:id="11"/>
      </w:r>
      <w:r w:rsidR="004A0862" w:rsidRPr="00572F7E">
        <w:rPr>
          <w:lang w:val="en-GB"/>
        </w:rPr>
        <w:t xml:space="preserve"> It is so that </w:t>
      </w:r>
      <w:r w:rsidR="008F70C4" w:rsidRPr="00572F7E">
        <w:rPr>
          <w:lang w:val="en-GB"/>
        </w:rPr>
        <w:t xml:space="preserve">a </w:t>
      </w:r>
      <w:r w:rsidR="004A0862" w:rsidRPr="00572F7E">
        <w:rPr>
          <w:lang w:val="en-GB"/>
        </w:rPr>
        <w:t xml:space="preserve">s 68(1) </w:t>
      </w:r>
      <w:r w:rsidR="008F70C4" w:rsidRPr="00572F7E">
        <w:rPr>
          <w:lang w:val="en-GB"/>
        </w:rPr>
        <w:t>application for an interdict or order constitutes an</w:t>
      </w:r>
      <w:r w:rsidR="004A0862" w:rsidRPr="00572F7E">
        <w:rPr>
          <w:lang w:val="en-GB"/>
        </w:rPr>
        <w:t xml:space="preserve"> example of</w:t>
      </w:r>
      <w:r w:rsidR="008F70C4" w:rsidRPr="00572F7E">
        <w:rPr>
          <w:lang w:val="en-GB"/>
        </w:rPr>
        <w:t xml:space="preserve"> a</w:t>
      </w:r>
      <w:r w:rsidR="004A0862" w:rsidRPr="00572F7E">
        <w:rPr>
          <w:lang w:val="en-GB"/>
        </w:rPr>
        <w:t xml:space="preserve"> matter that is ‘to be determined by’ the Labour Court</w:t>
      </w:r>
      <w:r w:rsidR="009F078B" w:rsidRPr="00572F7E">
        <w:rPr>
          <w:lang w:val="en-GB"/>
        </w:rPr>
        <w:t xml:space="preserve"> so that that court enjoys exclusive jurisdiction.</w:t>
      </w:r>
      <w:r w:rsidR="003E718A" w:rsidRPr="00572F7E">
        <w:rPr>
          <w:lang w:val="en-GB"/>
        </w:rPr>
        <w:t xml:space="preserve"> The High Court’s jurisdiction may indeed be ousted in respect of an employment-related dispute where the dispute is one for which the LRA has created a specific remedy, such as the s 68(1) interdict to restrain participation in a strike not </w:t>
      </w:r>
      <w:r w:rsidR="003E718A" w:rsidRPr="00572F7E">
        <w:rPr>
          <w:lang w:val="en-GB"/>
        </w:rPr>
        <w:lastRenderedPageBreak/>
        <w:t>in compliance with the LRA.</w:t>
      </w:r>
      <w:r w:rsidR="007A74AE" w:rsidRPr="00572F7E">
        <w:rPr>
          <w:lang w:val="en-GB"/>
        </w:rPr>
        <w:t xml:space="preserve"> The reason for this is described in </w:t>
      </w:r>
      <w:r w:rsidR="007A74AE" w:rsidRPr="00572F7E">
        <w:rPr>
          <w:i/>
          <w:iCs/>
          <w:lang w:val="en-GB"/>
        </w:rPr>
        <w:t>Baloyi</w:t>
      </w:r>
      <w:r w:rsidR="007A74AE" w:rsidRPr="00572F7E">
        <w:rPr>
          <w:lang w:val="en-GB"/>
        </w:rPr>
        <w:t>, namely that the LC and LAC were ‘designed as specialist courts that would be steeped in workplace issues and be best able to deal with complaints relating to labour practices and collective bargaining’.</w:t>
      </w:r>
      <w:r w:rsidR="00A46CE8">
        <w:rPr>
          <w:rStyle w:val="FootnoteReference"/>
          <w:lang w:val="en-GB"/>
        </w:rPr>
        <w:footnoteReference w:id="12"/>
      </w:r>
      <w:r w:rsidR="00465D8B" w:rsidRPr="00572F7E">
        <w:rPr>
          <w:lang w:val="en-GB"/>
        </w:rPr>
        <w:t xml:space="preserve"> It is so that those courts have been held to be ‘uniquely qualified’ and a ‘one-stop shop’ to address labour-related disputes</w:t>
      </w:r>
      <w:r w:rsidR="00336DE6" w:rsidRPr="00572F7E">
        <w:rPr>
          <w:lang w:val="en-GB"/>
        </w:rPr>
        <w:t>.</w:t>
      </w:r>
      <w:r w:rsidR="0024651B">
        <w:rPr>
          <w:rStyle w:val="FootnoteReference"/>
          <w:lang w:val="en-GB"/>
        </w:rPr>
        <w:footnoteReference w:id="13"/>
      </w:r>
    </w:p>
    <w:p w:rsidR="009B75D9" w:rsidRPr="009B75D9" w:rsidRDefault="009B75D9" w:rsidP="009B75D9">
      <w:pPr>
        <w:pStyle w:val="ListParagraph"/>
        <w:rPr>
          <w:lang w:val="en-GB"/>
        </w:rPr>
      </w:pPr>
    </w:p>
    <w:p w:rsidR="00447AF1" w:rsidRPr="00572F7E" w:rsidRDefault="00572F7E" w:rsidP="00572F7E">
      <w:pPr>
        <w:autoSpaceDE w:val="0"/>
        <w:autoSpaceDN w:val="0"/>
        <w:adjustRightInd w:val="0"/>
        <w:jc w:val="both"/>
        <w:rPr>
          <w:lang w:val="en-GB"/>
        </w:rPr>
      </w:pPr>
      <w:r>
        <w:rPr>
          <w:lang w:val="en-GB"/>
        </w:rPr>
        <w:t>[7]</w:t>
      </w:r>
      <w:r>
        <w:rPr>
          <w:lang w:val="en-GB"/>
        </w:rPr>
        <w:tab/>
      </w:r>
      <w:r w:rsidR="009B75D9" w:rsidRPr="00572F7E">
        <w:rPr>
          <w:lang w:val="en-GB"/>
        </w:rPr>
        <w:t>But the High Court’s jurisdiction is not ousted by s 157(1) only because a dispute is one that falls within the overall sphere of employment relations.</w:t>
      </w:r>
      <w:r w:rsidR="00FB5598">
        <w:rPr>
          <w:rStyle w:val="FootnoteReference"/>
          <w:lang w:val="en-GB"/>
        </w:rPr>
        <w:footnoteReference w:id="14"/>
      </w:r>
      <w:r w:rsidR="00743DE2" w:rsidRPr="00572F7E">
        <w:rPr>
          <w:lang w:val="en-GB"/>
        </w:rPr>
        <w:t xml:space="preserve"> S</w:t>
      </w:r>
      <w:r w:rsidR="00CC50AB" w:rsidRPr="00572F7E">
        <w:rPr>
          <w:lang w:val="en-GB"/>
        </w:rPr>
        <w:t>ection</w:t>
      </w:r>
      <w:r w:rsidR="00743DE2" w:rsidRPr="00572F7E">
        <w:rPr>
          <w:lang w:val="en-GB"/>
        </w:rPr>
        <w:t xml:space="preserve"> 157(2) confirms the concurrent jurisdiction of the Labour Court and this court in respect of ‘any alleged or threatened violation of any fundamental [constitutional] right…</w:t>
      </w:r>
      <w:r w:rsidR="007E5572" w:rsidRPr="00572F7E">
        <w:rPr>
          <w:lang w:val="en-GB"/>
        </w:rPr>
        <w:t>arising from employment and from labour relations</w:t>
      </w:r>
      <w:r w:rsidR="007A74AE" w:rsidRPr="00572F7E">
        <w:rPr>
          <w:lang w:val="en-GB"/>
        </w:rPr>
        <w:t>’.</w:t>
      </w:r>
      <w:r w:rsidR="00C8620A">
        <w:rPr>
          <w:rStyle w:val="FootnoteReference"/>
          <w:lang w:val="en-GB"/>
        </w:rPr>
        <w:footnoteReference w:id="15"/>
      </w:r>
      <w:r w:rsidR="00A33C3C" w:rsidRPr="00572F7E">
        <w:rPr>
          <w:lang w:val="en-GB"/>
        </w:rPr>
        <w:t xml:space="preserve"> </w:t>
      </w:r>
    </w:p>
    <w:p w:rsidR="00447AF1" w:rsidRPr="00447AF1" w:rsidRDefault="00447AF1" w:rsidP="00447AF1">
      <w:pPr>
        <w:pStyle w:val="ListParagraph"/>
        <w:rPr>
          <w:lang w:val="en-GB"/>
        </w:rPr>
      </w:pPr>
    </w:p>
    <w:p w:rsidR="00A10709" w:rsidRPr="00572F7E" w:rsidRDefault="00572F7E" w:rsidP="00572F7E">
      <w:pPr>
        <w:autoSpaceDE w:val="0"/>
        <w:autoSpaceDN w:val="0"/>
        <w:adjustRightInd w:val="0"/>
        <w:jc w:val="both"/>
        <w:rPr>
          <w:lang w:val="en-GB"/>
        </w:rPr>
      </w:pPr>
      <w:r>
        <w:rPr>
          <w:lang w:val="en-GB"/>
        </w:rPr>
        <w:t>[8]</w:t>
      </w:r>
      <w:r>
        <w:rPr>
          <w:lang w:val="en-GB"/>
        </w:rPr>
        <w:tab/>
      </w:r>
      <w:r w:rsidR="00A33C3C" w:rsidRPr="00572F7E">
        <w:rPr>
          <w:lang w:val="en-GB"/>
        </w:rPr>
        <w:t>The real question is whether the present claim is of such a nature that it is required, in terms of the LRA, to be determined exclusively by the Labour Court.</w:t>
      </w:r>
      <w:r w:rsidR="00447AF1" w:rsidRPr="00572F7E">
        <w:rPr>
          <w:lang w:val="en-GB"/>
        </w:rPr>
        <w:t xml:space="preserve"> </w:t>
      </w:r>
      <w:r w:rsidR="00447AF1" w:rsidRPr="00572F7E">
        <w:rPr>
          <w:i/>
          <w:iCs/>
          <w:lang w:val="en-GB"/>
        </w:rPr>
        <w:t>Gcaba</w:t>
      </w:r>
      <w:r w:rsidR="00447AF1" w:rsidRPr="00572F7E">
        <w:rPr>
          <w:lang w:val="en-GB"/>
        </w:rPr>
        <w:t xml:space="preserve"> is authority for basing that assessment of jurisdiction on the applicant’s pleadings, as opposed to the substantive merits of the case:</w:t>
      </w:r>
      <w:r w:rsidR="00447AF1">
        <w:rPr>
          <w:rStyle w:val="FootnoteReference"/>
          <w:lang w:val="en-GB"/>
        </w:rPr>
        <w:footnoteReference w:id="16"/>
      </w:r>
    </w:p>
    <w:p w:rsidR="002971BA" w:rsidRPr="002971BA" w:rsidRDefault="002971BA" w:rsidP="002971BA">
      <w:pPr>
        <w:pStyle w:val="ListParagraph"/>
        <w:autoSpaceDE w:val="0"/>
        <w:autoSpaceDN w:val="0"/>
        <w:adjustRightInd w:val="0"/>
        <w:ind w:left="0"/>
        <w:jc w:val="both"/>
        <w:rPr>
          <w:lang w:val="en-GB"/>
        </w:rPr>
      </w:pPr>
    </w:p>
    <w:p w:rsidR="00A10709" w:rsidRPr="00A10709" w:rsidRDefault="00A10709" w:rsidP="00A10709">
      <w:pPr>
        <w:pStyle w:val="ListParagraph"/>
        <w:autoSpaceDE w:val="0"/>
        <w:autoSpaceDN w:val="0"/>
        <w:adjustRightInd w:val="0"/>
        <w:ind w:left="0"/>
        <w:jc w:val="both"/>
        <w:rPr>
          <w:sz w:val="22"/>
          <w:szCs w:val="22"/>
          <w:lang w:val="en-GB"/>
        </w:rPr>
      </w:pPr>
      <w:r>
        <w:rPr>
          <w:sz w:val="22"/>
          <w:szCs w:val="22"/>
          <w:lang w:val="en-GB"/>
        </w:rPr>
        <w:t>‘In the event of the Court’s jurisdiction being challenged … the applicant’s pleadings are the determining factor. They contain the legal basis of the claim under which the applicant seeks to invoke the court’s competence. While the pleadings – including in motion proceedings, not only the formal terminology of the notice of motion, but also the contents of the supporting affidavits – must be interpreted to establish what the legal basis of the applicant’s claim is, it is not for the court to say that the facts asserted by the applicant would also sustain another claim, cognisable only in another court. If however the pleadings, properly interpreted, establish that the applicant is asserting a claim under the LRA, one that is to be determined exclusively by the Labour Court, the High Court would lack jurisdiction.’</w:t>
      </w:r>
    </w:p>
    <w:p w:rsidR="00595CC1" w:rsidRPr="00595CC1" w:rsidRDefault="00595CC1" w:rsidP="00595CC1">
      <w:pPr>
        <w:rPr>
          <w:lang w:val="en-GB"/>
        </w:rPr>
      </w:pPr>
    </w:p>
    <w:p w:rsidR="00A33C3C" w:rsidRPr="00572F7E" w:rsidRDefault="00572F7E" w:rsidP="00572F7E">
      <w:pPr>
        <w:autoSpaceDE w:val="0"/>
        <w:autoSpaceDN w:val="0"/>
        <w:adjustRightInd w:val="0"/>
        <w:jc w:val="both"/>
        <w:rPr>
          <w:lang w:val="en-GB"/>
        </w:rPr>
      </w:pPr>
      <w:r>
        <w:rPr>
          <w:lang w:val="en-GB"/>
        </w:rPr>
        <w:t>[9]</w:t>
      </w:r>
      <w:r>
        <w:rPr>
          <w:lang w:val="en-GB"/>
        </w:rPr>
        <w:tab/>
      </w:r>
      <w:r w:rsidR="00FB43EB" w:rsidRPr="00572F7E">
        <w:rPr>
          <w:lang w:val="en-GB"/>
        </w:rPr>
        <w:t xml:space="preserve">In answering the core question, it must be appreciated that the same set of facts may give rise to several different causes of action, and that a litigant may choose </w:t>
      </w:r>
      <w:r w:rsidR="00FB43EB" w:rsidRPr="00572F7E">
        <w:rPr>
          <w:lang w:val="en-GB"/>
        </w:rPr>
        <w:lastRenderedPageBreak/>
        <w:t>the cause of action they wish to pursue and prepare their pleadings accordingly.</w:t>
      </w:r>
      <w:r w:rsidR="001D363F">
        <w:rPr>
          <w:rStyle w:val="FootnoteReference"/>
          <w:lang w:val="en-GB"/>
        </w:rPr>
        <w:footnoteReference w:id="17"/>
      </w:r>
      <w:r w:rsidR="00416007" w:rsidRPr="00572F7E">
        <w:rPr>
          <w:lang w:val="en-GB"/>
        </w:rPr>
        <w:t xml:space="preserve"> </w:t>
      </w:r>
      <w:r w:rsidR="00416007" w:rsidRPr="00572F7E">
        <w:rPr>
          <w:i/>
          <w:iCs/>
          <w:lang w:val="en-GB"/>
        </w:rPr>
        <w:t>Baloyi</w:t>
      </w:r>
      <w:r w:rsidR="00416007" w:rsidRPr="00572F7E">
        <w:rPr>
          <w:lang w:val="en-GB"/>
        </w:rPr>
        <w:t xml:space="preserve"> cites the example of a person seeking to pursue a claim of unfair dismissal, which would have necessitated an approach to the Labour Court in terms of s 157(1) of the LRA. Similarly, a case based on interdicting participation in</w:t>
      </w:r>
      <w:r w:rsidR="00485D12" w:rsidRPr="00572F7E">
        <w:rPr>
          <w:lang w:val="en-GB"/>
        </w:rPr>
        <w:t>-</w:t>
      </w:r>
      <w:r w:rsidR="00416007" w:rsidRPr="00572F7E">
        <w:rPr>
          <w:lang w:val="en-GB"/>
        </w:rPr>
        <w:t xml:space="preserve"> or strike-related conduct </w:t>
      </w:r>
      <w:r w:rsidR="008449E4" w:rsidRPr="00572F7E">
        <w:rPr>
          <w:lang w:val="en-GB"/>
        </w:rPr>
        <w:t>associated with a strike not in compliance with the provisions of Chapter IV of the LRA would engage the exclusive jurisdiction of the La</w:t>
      </w:r>
      <w:r w:rsidR="003E6913" w:rsidRPr="00572F7E">
        <w:rPr>
          <w:lang w:val="en-GB"/>
        </w:rPr>
        <w:t>b</w:t>
      </w:r>
      <w:r w:rsidR="008449E4" w:rsidRPr="00572F7E">
        <w:rPr>
          <w:lang w:val="en-GB"/>
        </w:rPr>
        <w:t>our Court.</w:t>
      </w:r>
      <w:r w:rsidR="00ED6742">
        <w:rPr>
          <w:rStyle w:val="FootnoteReference"/>
          <w:lang w:val="en-GB"/>
        </w:rPr>
        <w:footnoteReference w:id="18"/>
      </w:r>
      <w:r w:rsidR="00425B29" w:rsidRPr="00572F7E">
        <w:rPr>
          <w:lang w:val="en-GB"/>
        </w:rPr>
        <w:t xml:space="preserve"> That avenue was clearly open to the </w:t>
      </w:r>
      <w:r w:rsidR="00136FDC" w:rsidRPr="00572F7E">
        <w:rPr>
          <w:lang w:val="en-GB"/>
        </w:rPr>
        <w:t>College</w:t>
      </w:r>
      <w:r w:rsidR="00425B29" w:rsidRPr="00572F7E">
        <w:rPr>
          <w:lang w:val="en-GB"/>
        </w:rPr>
        <w:t xml:space="preserve">. </w:t>
      </w:r>
      <w:r w:rsidR="00425B29" w:rsidRPr="00572F7E">
        <w:rPr>
          <w:i/>
          <w:iCs/>
          <w:lang w:val="en-GB"/>
        </w:rPr>
        <w:t>Baloyi</w:t>
      </w:r>
      <w:r w:rsidR="00425B29" w:rsidRPr="00572F7E">
        <w:rPr>
          <w:lang w:val="en-GB"/>
        </w:rPr>
        <w:t xml:space="preserve"> confirms, however, that it does not follow that that path was obligatory.</w:t>
      </w:r>
      <w:r w:rsidR="00B45A36">
        <w:rPr>
          <w:rStyle w:val="FootnoteReference"/>
          <w:lang w:val="en-GB"/>
        </w:rPr>
        <w:footnoteReference w:id="19"/>
      </w:r>
      <w:r w:rsidR="00DB52A9" w:rsidRPr="00572F7E">
        <w:rPr>
          <w:lang w:val="en-GB"/>
        </w:rPr>
        <w:t xml:space="preserve"> The point is illustrated again with reference to an unfair dismissal claim, and the dictum of the SCA in </w:t>
      </w:r>
      <w:r w:rsidR="00DB52A9" w:rsidRPr="00572F7E">
        <w:rPr>
          <w:i/>
          <w:iCs/>
          <w:lang w:val="en-GB"/>
        </w:rPr>
        <w:t>Makhany</w:t>
      </w:r>
      <w:r w:rsidR="00800E41" w:rsidRPr="00572F7E">
        <w:rPr>
          <w:i/>
          <w:iCs/>
          <w:lang w:val="en-GB"/>
        </w:rPr>
        <w:t>a</w:t>
      </w:r>
      <w:r w:rsidR="00DB52A9" w:rsidRPr="00572F7E">
        <w:rPr>
          <w:lang w:val="en-GB"/>
        </w:rPr>
        <w:t>:</w:t>
      </w:r>
      <w:r w:rsidR="00066DA2">
        <w:rPr>
          <w:rStyle w:val="FootnoteReference"/>
          <w:lang w:val="en-GB"/>
        </w:rPr>
        <w:footnoteReference w:id="20"/>
      </w:r>
    </w:p>
    <w:p w:rsidR="00DB52A9" w:rsidRDefault="00DB52A9" w:rsidP="00DB52A9">
      <w:pPr>
        <w:pStyle w:val="ListParagraph"/>
        <w:autoSpaceDE w:val="0"/>
        <w:autoSpaceDN w:val="0"/>
        <w:adjustRightInd w:val="0"/>
        <w:ind w:left="0"/>
        <w:jc w:val="both"/>
        <w:rPr>
          <w:sz w:val="22"/>
          <w:szCs w:val="22"/>
          <w:lang w:val="en-GB"/>
        </w:rPr>
      </w:pPr>
      <w:r>
        <w:rPr>
          <w:sz w:val="22"/>
          <w:szCs w:val="22"/>
          <w:lang w:val="en-GB"/>
        </w:rPr>
        <w:t>‘The mere potential for an unfair dismissal claim does not obligate a litigant to frame her claim as one of unfair dismissal and to approach the Labour Court, notwithstanding the fact that other potential causes of action exist</w:t>
      </w:r>
      <w:r w:rsidR="00066DA2">
        <w:rPr>
          <w:sz w:val="22"/>
          <w:szCs w:val="22"/>
          <w:lang w:val="en-GB"/>
        </w:rPr>
        <w:t xml:space="preserve">. In other words, the termination of a contract of employment has the potential to found a claim for relief for infringement of the LRA, </w:t>
      </w:r>
      <w:r w:rsidR="00066DA2">
        <w:rPr>
          <w:i/>
          <w:iCs/>
          <w:sz w:val="22"/>
          <w:szCs w:val="22"/>
          <w:lang w:val="en-GB"/>
        </w:rPr>
        <w:t>and</w:t>
      </w:r>
      <w:r w:rsidR="00066DA2">
        <w:rPr>
          <w:sz w:val="22"/>
          <w:szCs w:val="22"/>
          <w:lang w:val="en-GB"/>
        </w:rPr>
        <w:t xml:space="preserve"> a claim for enforcement of a right that does not emanate from the LRA (for example, a contractual right)… [citing </w:t>
      </w:r>
      <w:r w:rsidR="00066DA2">
        <w:rPr>
          <w:i/>
          <w:iCs/>
          <w:sz w:val="22"/>
          <w:szCs w:val="22"/>
          <w:lang w:val="en-GB"/>
        </w:rPr>
        <w:t>Makhanya</w:t>
      </w:r>
      <w:r w:rsidR="00066DA2">
        <w:rPr>
          <w:sz w:val="22"/>
          <w:szCs w:val="22"/>
          <w:lang w:val="en-GB"/>
        </w:rPr>
        <w:t>]</w:t>
      </w:r>
      <w:r w:rsidR="00E77CA9">
        <w:rPr>
          <w:sz w:val="22"/>
          <w:szCs w:val="22"/>
          <w:lang w:val="en-GB"/>
        </w:rPr>
        <w:t>:</w:t>
      </w:r>
      <w:r w:rsidR="00E77CA9">
        <w:rPr>
          <w:rStyle w:val="FootnoteReference"/>
          <w:sz w:val="22"/>
          <w:szCs w:val="22"/>
          <w:lang w:val="en-GB"/>
        </w:rPr>
        <w:footnoteReference w:id="21"/>
      </w:r>
    </w:p>
    <w:p w:rsidR="000A5B1B" w:rsidRDefault="000A5B1B" w:rsidP="00635C3E">
      <w:pPr>
        <w:pStyle w:val="ListParagraph"/>
        <w:autoSpaceDE w:val="0"/>
        <w:autoSpaceDN w:val="0"/>
        <w:adjustRightInd w:val="0"/>
        <w:jc w:val="both"/>
        <w:rPr>
          <w:sz w:val="22"/>
          <w:szCs w:val="22"/>
          <w:lang w:val="en-GB"/>
        </w:rPr>
      </w:pPr>
      <w:r>
        <w:rPr>
          <w:sz w:val="22"/>
          <w:szCs w:val="22"/>
          <w:lang w:val="en-GB"/>
        </w:rPr>
        <w:t>“When a claimant says that the claim arises from the infringement of the common-law right to enforce a contract, then that is the claim, as a fact, and the court must deal with it accordingly. When a claimant says that the claim is to enforce a right that is created by the LRA, then that is the claim that the court has before it, as a fact. When he or she says that the claim is to enforce a right derived from the Constitution, then, as a fact, that is the claim. That the claim might be a bad claim is beside the point.”</w:t>
      </w:r>
      <w:r w:rsidR="00635C3E">
        <w:rPr>
          <w:sz w:val="22"/>
          <w:szCs w:val="22"/>
          <w:lang w:val="en-GB"/>
        </w:rPr>
        <w:t>’</w:t>
      </w:r>
    </w:p>
    <w:p w:rsidR="00B206DE" w:rsidRPr="00066DA2" w:rsidRDefault="00B206DE" w:rsidP="00635C3E">
      <w:pPr>
        <w:pStyle w:val="ListParagraph"/>
        <w:autoSpaceDE w:val="0"/>
        <w:autoSpaceDN w:val="0"/>
        <w:adjustRightInd w:val="0"/>
        <w:jc w:val="both"/>
        <w:rPr>
          <w:sz w:val="22"/>
          <w:szCs w:val="22"/>
          <w:lang w:val="en-GB"/>
        </w:rPr>
      </w:pPr>
    </w:p>
    <w:p w:rsidR="00DB52A9" w:rsidRPr="00572F7E" w:rsidRDefault="00572F7E" w:rsidP="00572F7E">
      <w:pPr>
        <w:autoSpaceDE w:val="0"/>
        <w:autoSpaceDN w:val="0"/>
        <w:adjustRightInd w:val="0"/>
        <w:jc w:val="both"/>
        <w:rPr>
          <w:lang w:val="en-GB"/>
        </w:rPr>
      </w:pPr>
      <w:r>
        <w:rPr>
          <w:lang w:val="en-GB"/>
        </w:rPr>
        <w:t>[10]</w:t>
      </w:r>
      <w:r>
        <w:rPr>
          <w:lang w:val="en-GB"/>
        </w:rPr>
        <w:tab/>
      </w:r>
      <w:r w:rsidR="00B206DE" w:rsidRPr="00572F7E">
        <w:rPr>
          <w:lang w:val="en-GB"/>
        </w:rPr>
        <w:t xml:space="preserve">The Constitutional Court has confirmed that it would be incorrect, and a misapplication of </w:t>
      </w:r>
      <w:r w:rsidR="00B206DE" w:rsidRPr="00572F7E">
        <w:rPr>
          <w:i/>
          <w:iCs/>
          <w:lang w:val="en-GB"/>
        </w:rPr>
        <w:t>Chirwa</w:t>
      </w:r>
      <w:r w:rsidR="00B206DE" w:rsidRPr="00572F7E">
        <w:rPr>
          <w:lang w:val="en-GB"/>
        </w:rPr>
        <w:t>, to base a finding of lack of jurisdiction on a holistic determination of whether the dispute is located ‘within the compass of labour law’.</w:t>
      </w:r>
      <w:r w:rsidR="007E3546">
        <w:rPr>
          <w:rStyle w:val="FootnoteReference"/>
          <w:lang w:val="en-GB"/>
        </w:rPr>
        <w:footnoteReference w:id="22"/>
      </w:r>
      <w:r w:rsidR="00B206DE" w:rsidRPr="00572F7E">
        <w:rPr>
          <w:lang w:val="en-GB"/>
        </w:rPr>
        <w:t xml:space="preserve"> </w:t>
      </w:r>
      <w:r w:rsidR="00136FDC" w:rsidRPr="00572F7E">
        <w:rPr>
          <w:lang w:val="en-GB"/>
        </w:rPr>
        <w:t>To repeat, the question is whether the specific causes of action relied upon by the College</w:t>
      </w:r>
      <w:r w:rsidR="00603696" w:rsidRPr="00572F7E">
        <w:rPr>
          <w:lang w:val="en-GB"/>
        </w:rPr>
        <w:t xml:space="preserve"> fall within the jurisdiction of the High Court or the Labour Court (or both).</w:t>
      </w:r>
    </w:p>
    <w:p w:rsidR="00230640" w:rsidRDefault="00230640" w:rsidP="00230640">
      <w:pPr>
        <w:pStyle w:val="ListParagraph"/>
        <w:autoSpaceDE w:val="0"/>
        <w:autoSpaceDN w:val="0"/>
        <w:adjustRightInd w:val="0"/>
        <w:ind w:left="0"/>
        <w:jc w:val="both"/>
        <w:rPr>
          <w:lang w:val="en-GB"/>
        </w:rPr>
      </w:pPr>
    </w:p>
    <w:p w:rsidR="00230640" w:rsidRPr="00572F7E" w:rsidRDefault="00572F7E" w:rsidP="00572F7E">
      <w:pPr>
        <w:autoSpaceDE w:val="0"/>
        <w:autoSpaceDN w:val="0"/>
        <w:adjustRightInd w:val="0"/>
        <w:jc w:val="both"/>
        <w:rPr>
          <w:lang w:val="en-GB"/>
        </w:rPr>
      </w:pPr>
      <w:r>
        <w:rPr>
          <w:lang w:val="en-GB"/>
        </w:rPr>
        <w:t>[11]</w:t>
      </w:r>
      <w:r>
        <w:rPr>
          <w:lang w:val="en-GB"/>
        </w:rPr>
        <w:tab/>
      </w:r>
      <w:r w:rsidR="00230640" w:rsidRPr="00572F7E">
        <w:rPr>
          <w:lang w:val="en-GB"/>
        </w:rPr>
        <w:t xml:space="preserve">Considering the notice of motion and supporting affidavits, it is sufficiently clear that the College forsakes reliance on its right to apply for an interdict on the basis that </w:t>
      </w:r>
      <w:r w:rsidR="00230640" w:rsidRPr="00572F7E">
        <w:rPr>
          <w:lang w:val="en-GB"/>
        </w:rPr>
        <w:lastRenderedPageBreak/>
        <w:t>NEHAWU’s strike action was unprotected.</w:t>
      </w:r>
      <w:r w:rsidR="002837F3" w:rsidRPr="00572F7E">
        <w:rPr>
          <w:lang w:val="en-GB"/>
        </w:rPr>
        <w:t xml:space="preserve"> </w:t>
      </w:r>
      <w:r w:rsidR="00B3005A" w:rsidRPr="00572F7E">
        <w:rPr>
          <w:lang w:val="en-GB"/>
        </w:rPr>
        <w:t>Approaching the matter on the basis that any labour or employment-related dispute associated with interdicting strike-related conduct must be dealt with by the Labour Court would have the effect of destroying other causes of action or remedies</w:t>
      </w:r>
      <w:r w:rsidR="00B94653" w:rsidRPr="00572F7E">
        <w:rPr>
          <w:lang w:val="en-GB"/>
        </w:rPr>
        <w:t>, which was not the intention of the LRA.</w:t>
      </w:r>
      <w:r w:rsidR="00212344">
        <w:rPr>
          <w:rStyle w:val="FootnoteReference"/>
          <w:lang w:val="en-GB"/>
        </w:rPr>
        <w:footnoteReference w:id="23"/>
      </w:r>
      <w:r w:rsidR="009A2CD9" w:rsidRPr="00572F7E">
        <w:rPr>
          <w:lang w:val="en-GB"/>
        </w:rPr>
        <w:t xml:space="preserve"> </w:t>
      </w:r>
      <w:r w:rsidR="00A041B3" w:rsidRPr="00572F7E">
        <w:rPr>
          <w:lang w:val="en-GB"/>
        </w:rPr>
        <w:t>While other options may have been pursued, a</w:t>
      </w:r>
      <w:r w:rsidR="009A2CD9" w:rsidRPr="00572F7E">
        <w:rPr>
          <w:lang w:val="en-GB"/>
        </w:rPr>
        <w:t xml:space="preserve">n alleged or threatened violation of fundamental rights is discernible </w:t>
      </w:r>
      <w:r w:rsidR="008414F1" w:rsidRPr="00572F7E">
        <w:rPr>
          <w:lang w:val="en-GB"/>
        </w:rPr>
        <w:t xml:space="preserve">on the papers </w:t>
      </w:r>
      <w:r w:rsidR="009A2CD9" w:rsidRPr="00572F7E">
        <w:rPr>
          <w:lang w:val="en-GB"/>
        </w:rPr>
        <w:t>as the basis for th</w:t>
      </w:r>
      <w:r w:rsidR="004C0617" w:rsidRPr="00572F7E">
        <w:rPr>
          <w:lang w:val="en-GB"/>
        </w:rPr>
        <w:t>is</w:t>
      </w:r>
      <w:r w:rsidR="009A2CD9" w:rsidRPr="00572F7E">
        <w:rPr>
          <w:lang w:val="en-GB"/>
        </w:rPr>
        <w:t xml:space="preserve"> application</w:t>
      </w:r>
      <w:r w:rsidR="001A5035" w:rsidRPr="00572F7E">
        <w:rPr>
          <w:lang w:val="en-GB"/>
        </w:rPr>
        <w:t>.</w:t>
      </w:r>
      <w:r w:rsidR="003A0A65" w:rsidRPr="00572F7E">
        <w:rPr>
          <w:lang w:val="en-GB"/>
        </w:rPr>
        <w:t xml:space="preserve"> The focus is </w:t>
      </w:r>
      <w:r w:rsidR="00820A77" w:rsidRPr="00572F7E">
        <w:rPr>
          <w:lang w:val="en-GB"/>
        </w:rPr>
        <w:t>ultimately</w:t>
      </w:r>
      <w:r w:rsidR="00131D4E" w:rsidRPr="00572F7E">
        <w:rPr>
          <w:lang w:val="en-GB"/>
        </w:rPr>
        <w:t>, and somewhat widely,</w:t>
      </w:r>
      <w:r w:rsidR="00820A77" w:rsidRPr="00572F7E">
        <w:rPr>
          <w:lang w:val="en-GB"/>
        </w:rPr>
        <w:t xml:space="preserve"> </w:t>
      </w:r>
      <w:r w:rsidR="003A0A65" w:rsidRPr="00572F7E">
        <w:rPr>
          <w:lang w:val="en-GB"/>
        </w:rPr>
        <w:t xml:space="preserve">on constitutional rights – </w:t>
      </w:r>
      <w:r w:rsidR="00820A77" w:rsidRPr="00572F7E">
        <w:rPr>
          <w:lang w:val="en-GB"/>
        </w:rPr>
        <w:t>including the rights</w:t>
      </w:r>
      <w:r w:rsidR="003A0A65" w:rsidRPr="00572F7E">
        <w:rPr>
          <w:lang w:val="en-GB"/>
        </w:rPr>
        <w:t xml:space="preserve"> </w:t>
      </w:r>
      <w:r w:rsidR="00820A77" w:rsidRPr="00572F7E">
        <w:rPr>
          <w:lang w:val="en-GB"/>
        </w:rPr>
        <w:t>of</w:t>
      </w:r>
      <w:r w:rsidR="003A0A65" w:rsidRPr="00572F7E">
        <w:rPr>
          <w:lang w:val="en-GB"/>
        </w:rPr>
        <w:t xml:space="preserve"> students </w:t>
      </w:r>
      <w:r w:rsidR="00820A77" w:rsidRPr="00572F7E">
        <w:rPr>
          <w:lang w:val="en-GB"/>
        </w:rPr>
        <w:t>(to education)</w:t>
      </w:r>
      <w:r w:rsidR="001009AB" w:rsidRPr="00572F7E">
        <w:rPr>
          <w:lang w:val="en-GB"/>
        </w:rPr>
        <w:t xml:space="preserve">, </w:t>
      </w:r>
      <w:r w:rsidR="003A0A65" w:rsidRPr="00572F7E">
        <w:rPr>
          <w:lang w:val="en-GB"/>
        </w:rPr>
        <w:t>staff</w:t>
      </w:r>
      <w:r w:rsidR="00820A77" w:rsidRPr="00572F7E">
        <w:rPr>
          <w:lang w:val="en-GB"/>
        </w:rPr>
        <w:t xml:space="preserve"> (to freedom and security of </w:t>
      </w:r>
      <w:r w:rsidR="00170B58" w:rsidRPr="00572F7E">
        <w:rPr>
          <w:lang w:val="en-GB"/>
        </w:rPr>
        <w:t xml:space="preserve">the </w:t>
      </w:r>
      <w:r w:rsidR="00820A77" w:rsidRPr="00572F7E">
        <w:rPr>
          <w:lang w:val="en-GB"/>
        </w:rPr>
        <w:t>person and to work, which forms part of the constitutional right to dignity) and</w:t>
      </w:r>
      <w:r w:rsidR="001009AB" w:rsidRPr="00572F7E">
        <w:rPr>
          <w:lang w:val="en-GB"/>
        </w:rPr>
        <w:t xml:space="preserve"> the College </w:t>
      </w:r>
      <w:r w:rsidR="00131D4E" w:rsidRPr="00572F7E">
        <w:rPr>
          <w:lang w:val="en-GB"/>
        </w:rPr>
        <w:t>(</w:t>
      </w:r>
      <w:r w:rsidR="001009AB" w:rsidRPr="00572F7E">
        <w:rPr>
          <w:lang w:val="en-GB"/>
        </w:rPr>
        <w:t>to trade</w:t>
      </w:r>
      <w:r w:rsidR="00131D4E" w:rsidRPr="00572F7E">
        <w:rPr>
          <w:lang w:val="en-GB"/>
        </w:rPr>
        <w:t>)</w:t>
      </w:r>
      <w:r w:rsidR="003A0A65" w:rsidRPr="00572F7E">
        <w:rPr>
          <w:lang w:val="en-GB"/>
        </w:rPr>
        <w:t>.</w:t>
      </w:r>
      <w:r w:rsidR="00E5398F" w:rsidRPr="00572F7E">
        <w:rPr>
          <w:lang w:val="en-GB"/>
        </w:rPr>
        <w:t xml:space="preserve"> It arises from ‘employment and the labour relations’ </w:t>
      </w:r>
      <w:r w:rsidR="00A11BF0" w:rsidRPr="00572F7E">
        <w:rPr>
          <w:lang w:val="en-GB"/>
        </w:rPr>
        <w:t>but</w:t>
      </w:r>
      <w:r w:rsidR="00E5398F" w:rsidRPr="00572F7E">
        <w:rPr>
          <w:lang w:val="en-GB"/>
        </w:rPr>
        <w:t xml:space="preserve"> falls within what was contemplated by s 157(2) of the LRA, so that the concurrent jurisdiction of the High Court and Labour Court was engaged. </w:t>
      </w:r>
      <w:r w:rsidR="007E2231" w:rsidRPr="00572F7E">
        <w:rPr>
          <w:lang w:val="en-GB"/>
        </w:rPr>
        <w:t xml:space="preserve">The pleaded case </w:t>
      </w:r>
      <w:r w:rsidR="00572471" w:rsidRPr="00572F7E">
        <w:rPr>
          <w:lang w:val="en-GB"/>
        </w:rPr>
        <w:t xml:space="preserve">therefore </w:t>
      </w:r>
      <w:r w:rsidR="007E2231" w:rsidRPr="00572F7E">
        <w:rPr>
          <w:lang w:val="en-GB"/>
        </w:rPr>
        <w:t>cannot be said to fall within the exclusive jurisdiction of the Labour Court.</w:t>
      </w:r>
    </w:p>
    <w:p w:rsidR="00CA2F7B" w:rsidRDefault="00CA2F7B" w:rsidP="00CA2F7B">
      <w:pPr>
        <w:pStyle w:val="ListParagraph"/>
        <w:autoSpaceDE w:val="0"/>
        <w:autoSpaceDN w:val="0"/>
        <w:adjustRightInd w:val="0"/>
        <w:ind w:left="0"/>
        <w:jc w:val="both"/>
        <w:rPr>
          <w:lang w:val="en-GB"/>
        </w:rPr>
      </w:pPr>
    </w:p>
    <w:p w:rsidR="00CA2F7B" w:rsidRPr="00572F7E" w:rsidRDefault="00572F7E" w:rsidP="00572F7E">
      <w:pPr>
        <w:autoSpaceDE w:val="0"/>
        <w:autoSpaceDN w:val="0"/>
        <w:adjustRightInd w:val="0"/>
        <w:jc w:val="both"/>
        <w:rPr>
          <w:lang w:val="en-GB"/>
        </w:rPr>
      </w:pPr>
      <w:r w:rsidRPr="00FA1CFB">
        <w:rPr>
          <w:lang w:val="en-GB"/>
        </w:rPr>
        <w:t>[12]</w:t>
      </w:r>
      <w:r w:rsidRPr="00FA1CFB">
        <w:rPr>
          <w:lang w:val="en-GB"/>
        </w:rPr>
        <w:tab/>
      </w:r>
      <w:r w:rsidR="00CA2F7B" w:rsidRPr="00572F7E">
        <w:rPr>
          <w:lang w:val="en-GB"/>
        </w:rPr>
        <w:t>The jurisdictional point failing, there is no opposition on the papers to the interim relief sought. The papers make out the case for an order in terms of the draft submitted, other than 2.1.6 and 2.17 of that draft</w:t>
      </w:r>
      <w:r w:rsidR="00F57327" w:rsidRPr="00572F7E">
        <w:rPr>
          <w:lang w:val="en-GB"/>
        </w:rPr>
        <w:t>.</w:t>
      </w:r>
    </w:p>
    <w:p w:rsidR="00AF6DF0" w:rsidRPr="004D1AAF" w:rsidRDefault="00AF6DF0" w:rsidP="004D1AAF">
      <w:pPr>
        <w:autoSpaceDE w:val="0"/>
        <w:autoSpaceDN w:val="0"/>
        <w:adjustRightInd w:val="0"/>
        <w:jc w:val="both"/>
        <w:rPr>
          <w:lang w:val="en-GB"/>
        </w:rPr>
      </w:pPr>
    </w:p>
    <w:p w:rsidR="003C3BC6" w:rsidRPr="00044B50" w:rsidRDefault="00BE5684" w:rsidP="00AF6DF0">
      <w:pPr>
        <w:autoSpaceDE w:val="0"/>
        <w:autoSpaceDN w:val="0"/>
        <w:adjustRightInd w:val="0"/>
        <w:jc w:val="both"/>
        <w:rPr>
          <w:lang w:val="en-GB"/>
        </w:rPr>
      </w:pPr>
      <w:r w:rsidRPr="00FD5CA5">
        <w:rPr>
          <w:rFonts w:ascii="Calibri" w:hAnsi="Calibri" w:cs="Calibri"/>
          <w:noProof/>
          <w:sz w:val="22"/>
          <w:szCs w:val="22"/>
          <w:lang w:val="en-US"/>
        </w:rPr>
        <w:drawing>
          <wp:anchor distT="36576" distB="36576" distL="36576" distR="36576" simplePos="0" relativeHeight="251659264" behindDoc="0" locked="0" layoutInCell="1" allowOverlap="1" wp14:anchorId="2F6E50FF" wp14:editId="362615B0">
            <wp:simplePos x="0" y="0"/>
            <wp:positionH relativeFrom="column">
              <wp:posOffset>420283</wp:posOffset>
            </wp:positionH>
            <wp:positionV relativeFrom="paragraph">
              <wp:posOffset>53545</wp:posOffset>
            </wp:positionV>
            <wp:extent cx="746760" cy="644525"/>
            <wp:effectExtent l="0" t="0" r="0" b="0"/>
            <wp:wrapThrough wrapText="bothSides">
              <wp:wrapPolygon edited="0">
                <wp:start x="0" y="0"/>
                <wp:lineTo x="0" y="20430"/>
                <wp:lineTo x="20571" y="20430"/>
                <wp:lineTo x="20571" y="0"/>
                <wp:lineTo x="0" y="0"/>
              </wp:wrapPolygon>
            </wp:wrapThrough>
            <wp:docPr id="2" name="Picture 2" descr="9CFF83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CFF83D2"/>
                    <pic:cNvPicPr>
                      <a:picLocks noChangeAspect="1" noChangeArrowheads="1"/>
                    </pic:cNvPicPr>
                  </pic:nvPicPr>
                  <pic:blipFill>
                    <a:blip r:embed="rId9" cstate="print">
                      <a:extLst>
                        <a:ext uri="{28A0092B-C50C-407E-A947-70E740481C1C}">
                          <a14:useLocalDpi xmlns:a14="http://schemas.microsoft.com/office/drawing/2010/main" val="0"/>
                        </a:ext>
                      </a:extLst>
                    </a:blip>
                    <a:srcRect l="42511" t="32741" r="36382" b="53981"/>
                    <a:stretch>
                      <a:fillRect/>
                    </a:stretch>
                  </pic:blipFill>
                  <pic:spPr bwMode="auto">
                    <a:xfrm>
                      <a:off x="0" y="0"/>
                      <a:ext cx="746760" cy="644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C3BC6" w:rsidRDefault="003C3BC6" w:rsidP="00682CE5">
      <w:pPr>
        <w:autoSpaceDE w:val="0"/>
        <w:autoSpaceDN w:val="0"/>
        <w:adjustRightInd w:val="0"/>
        <w:jc w:val="both"/>
        <w:rPr>
          <w:lang w:val="en-GB"/>
        </w:rPr>
      </w:pPr>
    </w:p>
    <w:p w:rsidR="00BE5684" w:rsidRPr="00044B50" w:rsidRDefault="00BE5684" w:rsidP="00682CE5">
      <w:pPr>
        <w:autoSpaceDE w:val="0"/>
        <w:autoSpaceDN w:val="0"/>
        <w:adjustRightInd w:val="0"/>
        <w:jc w:val="both"/>
        <w:rPr>
          <w:lang w:val="en-GB"/>
        </w:rPr>
      </w:pPr>
    </w:p>
    <w:p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rsidR="00D450B5" w:rsidRPr="00044B50" w:rsidRDefault="00D450B5" w:rsidP="00CA056D">
      <w:pPr>
        <w:jc w:val="both"/>
        <w:rPr>
          <w:b/>
          <w:bCs/>
          <w:lang w:val="en-GB"/>
        </w:rPr>
      </w:pPr>
      <w:r w:rsidRPr="00044B50">
        <w:rPr>
          <w:b/>
          <w:bCs/>
          <w:lang w:val="en-GB"/>
        </w:rPr>
        <w:t xml:space="preserve">A GOVINDJEE                                                                                                                                                       </w:t>
      </w:r>
    </w:p>
    <w:p w:rsidR="00D450B5" w:rsidRPr="00044B50" w:rsidRDefault="00D450B5" w:rsidP="00CA056D">
      <w:pPr>
        <w:jc w:val="both"/>
        <w:rPr>
          <w:b/>
          <w:bCs/>
          <w:lang w:val="en-GB"/>
        </w:rPr>
      </w:pPr>
      <w:r w:rsidRPr="00044B50">
        <w:rPr>
          <w:b/>
          <w:bCs/>
          <w:lang w:val="en-GB"/>
        </w:rPr>
        <w:t>JUDGE OF THE HIGH COURT</w:t>
      </w:r>
    </w:p>
    <w:p w:rsidR="00AA32DA" w:rsidRDefault="00AA32DA" w:rsidP="004A5151">
      <w:pPr>
        <w:autoSpaceDE w:val="0"/>
        <w:autoSpaceDN w:val="0"/>
        <w:adjustRightInd w:val="0"/>
        <w:jc w:val="both"/>
        <w:rPr>
          <w:lang w:val="en-GB"/>
        </w:rPr>
      </w:pPr>
    </w:p>
    <w:p w:rsidR="008A75F3" w:rsidRDefault="008A75F3" w:rsidP="008A75F3">
      <w:pPr>
        <w:widowControl w:val="0"/>
        <w:jc w:val="center"/>
        <w:rPr>
          <w:spacing w:val="14"/>
          <w:kern w:val="2"/>
          <w:lang w:val="en-GB"/>
        </w:rPr>
      </w:pPr>
    </w:p>
    <w:p w:rsidR="007A7BBE" w:rsidRPr="00A87D38" w:rsidRDefault="007A7BBE" w:rsidP="00CA056D">
      <w:pPr>
        <w:widowControl w:val="0"/>
        <w:ind w:right="656"/>
        <w:rPr>
          <w:spacing w:val="14"/>
          <w:kern w:val="2"/>
          <w:lang w:val="en-GB"/>
        </w:rPr>
      </w:pPr>
      <w:r w:rsidRPr="00A87D38">
        <w:rPr>
          <w:spacing w:val="14"/>
          <w:kern w:val="2"/>
          <w:lang w:val="en-GB"/>
        </w:rPr>
        <w:t>Heard:</w:t>
      </w:r>
      <w:r w:rsidR="00AF29FE">
        <w:rPr>
          <w:spacing w:val="14"/>
          <w:kern w:val="2"/>
          <w:lang w:val="en-GB"/>
        </w:rPr>
        <w:t xml:space="preserve"> 14 March 2023</w:t>
      </w:r>
    </w:p>
    <w:p w:rsidR="00CA056D" w:rsidRDefault="00CA056D" w:rsidP="000D4C7F">
      <w:pPr>
        <w:widowControl w:val="0"/>
        <w:ind w:left="4320" w:right="656" w:firstLine="720"/>
        <w:jc w:val="right"/>
        <w:rPr>
          <w:spacing w:val="14"/>
          <w:kern w:val="2"/>
          <w:lang w:val="en-GB"/>
        </w:rPr>
      </w:pPr>
    </w:p>
    <w:p w:rsidR="007A7BBE" w:rsidRPr="00A87D38" w:rsidRDefault="007A7BBE" w:rsidP="00CA056D">
      <w:pPr>
        <w:widowControl w:val="0"/>
        <w:ind w:right="656"/>
        <w:rPr>
          <w:spacing w:val="14"/>
          <w:kern w:val="2"/>
          <w:lang w:val="en-GB"/>
        </w:rPr>
      </w:pPr>
      <w:r w:rsidRPr="00A87D38">
        <w:rPr>
          <w:spacing w:val="14"/>
          <w:kern w:val="2"/>
          <w:lang w:val="en-GB"/>
        </w:rPr>
        <w:t>Delivered:</w:t>
      </w:r>
      <w:r w:rsidR="00AF29FE">
        <w:rPr>
          <w:spacing w:val="14"/>
          <w:kern w:val="2"/>
          <w:lang w:val="en-GB"/>
        </w:rPr>
        <w:t xml:space="preserve"> 15 March 2023</w:t>
      </w:r>
    </w:p>
    <w:p w:rsidR="007A7BBE" w:rsidRPr="00044B50" w:rsidRDefault="007A7BBE" w:rsidP="004A5151">
      <w:pPr>
        <w:autoSpaceDE w:val="0"/>
        <w:autoSpaceDN w:val="0"/>
        <w:adjustRightInd w:val="0"/>
        <w:jc w:val="both"/>
        <w:rPr>
          <w:lang w:val="en-GB"/>
        </w:rPr>
      </w:pPr>
    </w:p>
    <w:p w:rsidR="007C247A" w:rsidRDefault="007C247A" w:rsidP="00772E4B">
      <w:pPr>
        <w:jc w:val="both"/>
        <w:rPr>
          <w:lang w:val="en-GB"/>
        </w:rPr>
      </w:pPr>
    </w:p>
    <w:p w:rsidR="008E49AB" w:rsidRDefault="008E49AB" w:rsidP="00772E4B">
      <w:pPr>
        <w:jc w:val="both"/>
        <w:rPr>
          <w:lang w:val="en-GB"/>
        </w:rPr>
      </w:pPr>
    </w:p>
    <w:p w:rsidR="00C33845" w:rsidRDefault="00C33845" w:rsidP="00772E4B">
      <w:pPr>
        <w:jc w:val="both"/>
        <w:rPr>
          <w:lang w:val="en-GB"/>
        </w:rPr>
      </w:pPr>
    </w:p>
    <w:p w:rsidR="006A1D42" w:rsidRDefault="006A1D42" w:rsidP="006A1D42">
      <w:pPr>
        <w:jc w:val="both"/>
        <w:rPr>
          <w:lang w:val="en-GB"/>
        </w:rPr>
      </w:pPr>
      <w:r w:rsidRPr="00044B50">
        <w:rPr>
          <w:lang w:val="en-GB"/>
        </w:rPr>
        <w:t>Appearances:</w:t>
      </w:r>
    </w:p>
    <w:p w:rsidR="006A1D42" w:rsidRDefault="006A1D42" w:rsidP="006A1D42">
      <w:pPr>
        <w:jc w:val="both"/>
        <w:rPr>
          <w:lang w:val="en-GB"/>
        </w:rPr>
      </w:pPr>
    </w:p>
    <w:p w:rsidR="006A1D42" w:rsidRDefault="006A1D42" w:rsidP="006A1D42">
      <w:pPr>
        <w:jc w:val="both"/>
        <w:rPr>
          <w:lang w:val="en-GB"/>
        </w:rPr>
      </w:pPr>
      <w:r>
        <w:rPr>
          <w:lang w:val="en-GB"/>
        </w:rPr>
        <w:t>For the applicant:</w:t>
      </w:r>
      <w:r>
        <w:rPr>
          <w:lang w:val="en-GB"/>
        </w:rPr>
        <w:tab/>
      </w:r>
      <w:r>
        <w:rPr>
          <w:lang w:val="en-GB"/>
        </w:rPr>
        <w:tab/>
      </w:r>
      <w:r>
        <w:rPr>
          <w:lang w:val="en-GB"/>
        </w:rPr>
        <w:tab/>
        <w:t xml:space="preserve">Adv </w:t>
      </w:r>
      <w:r w:rsidR="006F3927">
        <w:rPr>
          <w:lang w:val="en-GB"/>
        </w:rPr>
        <w:t xml:space="preserve">S </w:t>
      </w:r>
      <w:r>
        <w:rPr>
          <w:lang w:val="en-GB"/>
        </w:rPr>
        <w:t>Cole</w:t>
      </w:r>
      <w:r w:rsidR="00072650">
        <w:rPr>
          <w:lang w:val="en-GB"/>
        </w:rPr>
        <w:t xml:space="preserve"> </w:t>
      </w:r>
      <w:r>
        <w:rPr>
          <w:lang w:val="en-GB"/>
        </w:rPr>
        <w:t>SC</w:t>
      </w:r>
      <w:r>
        <w:rPr>
          <w:lang w:val="en-GB"/>
        </w:rPr>
        <w:tab/>
      </w:r>
    </w:p>
    <w:p w:rsidR="006A1D42" w:rsidRDefault="006A1D42" w:rsidP="006A1D42">
      <w:pPr>
        <w:jc w:val="both"/>
        <w:rPr>
          <w:lang w:val="en-GB"/>
        </w:rPr>
      </w:pPr>
      <w:r>
        <w:rPr>
          <w:lang w:val="en-GB"/>
        </w:rPr>
        <w:tab/>
      </w:r>
      <w:r>
        <w:rPr>
          <w:lang w:val="en-GB"/>
        </w:rPr>
        <w:tab/>
      </w:r>
      <w:r>
        <w:rPr>
          <w:lang w:val="en-GB"/>
        </w:rPr>
        <w:tab/>
      </w:r>
    </w:p>
    <w:p w:rsidR="006A1D42" w:rsidRPr="00AC235B" w:rsidRDefault="006A1D42" w:rsidP="006A1D42">
      <w:pPr>
        <w:spacing w:line="480" w:lineRule="auto"/>
        <w:jc w:val="both"/>
        <w:rPr>
          <w:color w:val="auto"/>
          <w:lang w:val="en-US"/>
        </w:rPr>
      </w:pPr>
      <w:r w:rsidRPr="00AC235B">
        <w:rPr>
          <w:color w:val="auto"/>
          <w:lang w:val="en-US"/>
        </w:rPr>
        <w:t xml:space="preserve">Instructed by: </w:t>
      </w:r>
      <w:r w:rsidRPr="00AC235B">
        <w:rPr>
          <w:color w:val="auto"/>
          <w:lang w:val="en-US"/>
        </w:rPr>
        <w:tab/>
      </w:r>
      <w:r w:rsidRPr="00AC235B">
        <w:rPr>
          <w:color w:val="auto"/>
          <w:lang w:val="en-US"/>
        </w:rPr>
        <w:tab/>
      </w:r>
      <w:r w:rsidRPr="00AC235B">
        <w:rPr>
          <w:color w:val="auto"/>
          <w:lang w:val="en-US"/>
        </w:rPr>
        <w:tab/>
      </w:r>
      <w:r>
        <w:rPr>
          <w:color w:val="auto"/>
          <w:lang w:val="en-US"/>
        </w:rPr>
        <w:t>N N DULLABH &amp; CO</w:t>
      </w:r>
    </w:p>
    <w:p w:rsidR="006A1D42" w:rsidRPr="00AC235B" w:rsidRDefault="006A1D42" w:rsidP="006A1D42">
      <w:pPr>
        <w:spacing w:line="480" w:lineRule="auto"/>
        <w:jc w:val="both"/>
        <w:rPr>
          <w:color w:val="auto"/>
          <w:lang w:val="en-US"/>
        </w:rPr>
      </w:pPr>
      <w:r w:rsidRPr="00AC235B">
        <w:rPr>
          <w:color w:val="auto"/>
          <w:lang w:val="en-US"/>
        </w:rPr>
        <w:tab/>
      </w:r>
      <w:r w:rsidRPr="00AC235B">
        <w:rPr>
          <w:color w:val="auto"/>
          <w:lang w:val="en-US"/>
        </w:rPr>
        <w:tab/>
      </w:r>
      <w:r w:rsidRPr="00AC235B">
        <w:rPr>
          <w:color w:val="auto"/>
          <w:lang w:val="en-US"/>
        </w:rPr>
        <w:tab/>
      </w:r>
      <w:r w:rsidRPr="00AC235B">
        <w:rPr>
          <w:color w:val="auto"/>
          <w:lang w:val="en-US"/>
        </w:rPr>
        <w:tab/>
      </w:r>
      <w:r w:rsidRPr="00AC235B">
        <w:rPr>
          <w:color w:val="auto"/>
          <w:lang w:val="en-US"/>
        </w:rPr>
        <w:tab/>
      </w:r>
      <w:r>
        <w:rPr>
          <w:color w:val="auto"/>
          <w:lang w:val="en-US"/>
        </w:rPr>
        <w:t>5 Betram Street</w:t>
      </w:r>
    </w:p>
    <w:p w:rsidR="006A1D42" w:rsidRPr="00AC235B" w:rsidRDefault="006A1D42" w:rsidP="006A1D42">
      <w:pPr>
        <w:spacing w:line="480" w:lineRule="auto"/>
        <w:jc w:val="both"/>
        <w:rPr>
          <w:color w:val="auto"/>
          <w:lang w:val="en-US"/>
        </w:rPr>
      </w:pPr>
      <w:r w:rsidRPr="00AC235B">
        <w:rPr>
          <w:color w:val="auto"/>
          <w:lang w:val="en-US"/>
        </w:rPr>
        <w:tab/>
      </w:r>
      <w:r w:rsidRPr="00AC235B">
        <w:rPr>
          <w:color w:val="auto"/>
          <w:lang w:val="en-US"/>
        </w:rPr>
        <w:tab/>
      </w:r>
      <w:r w:rsidRPr="00AC235B">
        <w:rPr>
          <w:color w:val="auto"/>
          <w:lang w:val="en-US"/>
        </w:rPr>
        <w:tab/>
      </w:r>
      <w:r w:rsidRPr="00AC235B">
        <w:rPr>
          <w:color w:val="auto"/>
          <w:lang w:val="en-US"/>
        </w:rPr>
        <w:tab/>
      </w:r>
      <w:r w:rsidRPr="00AC235B">
        <w:rPr>
          <w:color w:val="auto"/>
          <w:lang w:val="en-US"/>
        </w:rPr>
        <w:tab/>
      </w:r>
      <w:r>
        <w:rPr>
          <w:color w:val="auto"/>
          <w:lang w:val="en-US"/>
        </w:rPr>
        <w:t>Makhanda</w:t>
      </w:r>
    </w:p>
    <w:p w:rsidR="006A1D42" w:rsidRDefault="006A1D42" w:rsidP="006A1D42">
      <w:pPr>
        <w:jc w:val="both"/>
        <w:rPr>
          <w:lang w:val="en-GB"/>
        </w:rPr>
      </w:pPr>
      <w:r>
        <w:rPr>
          <w:lang w:val="en-GB"/>
        </w:rPr>
        <w:tab/>
      </w:r>
      <w:r>
        <w:rPr>
          <w:lang w:val="en-GB"/>
        </w:rPr>
        <w:tab/>
      </w:r>
      <w:r>
        <w:rPr>
          <w:lang w:val="en-GB"/>
        </w:rPr>
        <w:tab/>
      </w:r>
      <w:r>
        <w:rPr>
          <w:lang w:val="en-GB"/>
        </w:rPr>
        <w:tab/>
      </w:r>
      <w:r>
        <w:rPr>
          <w:lang w:val="en-GB"/>
        </w:rPr>
        <w:tab/>
        <w:t>6140</w:t>
      </w:r>
    </w:p>
    <w:p w:rsidR="006A1D42" w:rsidRDefault="006A1D42" w:rsidP="006A1D42">
      <w:pPr>
        <w:jc w:val="both"/>
        <w:rPr>
          <w:lang w:val="en-GB"/>
        </w:rPr>
      </w:pPr>
    </w:p>
    <w:p w:rsidR="006A1D42" w:rsidRDefault="006A1D42" w:rsidP="006A1D42">
      <w:pPr>
        <w:jc w:val="both"/>
        <w:rPr>
          <w:lang w:val="en-GB"/>
        </w:rPr>
      </w:pPr>
    </w:p>
    <w:p w:rsidR="006A1D42" w:rsidRPr="00044B50" w:rsidRDefault="006A1D42" w:rsidP="006A1D42">
      <w:pPr>
        <w:jc w:val="both"/>
        <w:rPr>
          <w:lang w:val="en-GB"/>
        </w:rPr>
      </w:pPr>
      <w:r>
        <w:rPr>
          <w:lang w:val="en-GB"/>
        </w:rPr>
        <w:t>For the respondent:</w:t>
      </w:r>
      <w:r>
        <w:rPr>
          <w:lang w:val="en-GB"/>
        </w:rPr>
        <w:tab/>
      </w:r>
      <w:r>
        <w:rPr>
          <w:lang w:val="en-GB"/>
        </w:rPr>
        <w:tab/>
      </w:r>
      <w:r>
        <w:rPr>
          <w:lang w:val="en-GB"/>
        </w:rPr>
        <w:tab/>
        <w:t xml:space="preserve">Adv </w:t>
      </w:r>
      <w:r w:rsidR="006F3927">
        <w:rPr>
          <w:lang w:val="en-GB"/>
        </w:rPr>
        <w:t xml:space="preserve">C </w:t>
      </w:r>
      <w:r>
        <w:rPr>
          <w:lang w:val="en-GB"/>
        </w:rPr>
        <w:t>Cordell</w:t>
      </w:r>
      <w:r>
        <w:rPr>
          <w:lang w:val="en-GB"/>
        </w:rPr>
        <w:tab/>
      </w:r>
      <w:r>
        <w:rPr>
          <w:lang w:val="en-GB"/>
        </w:rPr>
        <w:tab/>
      </w:r>
      <w:r>
        <w:rPr>
          <w:lang w:val="en-GB"/>
        </w:rPr>
        <w:tab/>
      </w:r>
      <w:r>
        <w:rPr>
          <w:lang w:val="en-GB"/>
        </w:rPr>
        <w:tab/>
      </w:r>
    </w:p>
    <w:p w:rsidR="006A1D42" w:rsidRPr="00044B50" w:rsidRDefault="006A1D42" w:rsidP="006A1D42">
      <w:pPr>
        <w:jc w:val="both"/>
        <w:rPr>
          <w:lang w:val="en-GB"/>
        </w:rPr>
      </w:pPr>
    </w:p>
    <w:p w:rsidR="006A1D42" w:rsidRPr="00AC235B" w:rsidRDefault="006A1D42" w:rsidP="006A1D42">
      <w:pPr>
        <w:spacing w:line="480" w:lineRule="auto"/>
        <w:jc w:val="both"/>
        <w:rPr>
          <w:color w:val="auto"/>
          <w:lang w:val="en-US"/>
        </w:rPr>
      </w:pPr>
      <w:r w:rsidRPr="00AC235B">
        <w:rPr>
          <w:color w:val="auto"/>
          <w:lang w:val="en-US"/>
        </w:rPr>
        <w:t xml:space="preserve">Instructed by: </w:t>
      </w:r>
      <w:r w:rsidRPr="00AC235B">
        <w:rPr>
          <w:color w:val="auto"/>
          <w:lang w:val="en-US"/>
        </w:rPr>
        <w:tab/>
      </w:r>
      <w:r w:rsidRPr="00AC235B">
        <w:rPr>
          <w:color w:val="auto"/>
          <w:lang w:val="en-US"/>
        </w:rPr>
        <w:tab/>
      </w:r>
      <w:r w:rsidRPr="00AC235B">
        <w:rPr>
          <w:color w:val="auto"/>
          <w:lang w:val="en-US"/>
        </w:rPr>
        <w:tab/>
      </w:r>
      <w:r>
        <w:rPr>
          <w:color w:val="auto"/>
          <w:lang w:val="en-US"/>
        </w:rPr>
        <w:t>NEHAWU</w:t>
      </w:r>
    </w:p>
    <w:p w:rsidR="006A1D42" w:rsidRDefault="006A1D42" w:rsidP="006A1D42">
      <w:pPr>
        <w:spacing w:line="480" w:lineRule="auto"/>
        <w:jc w:val="both"/>
        <w:rPr>
          <w:color w:val="auto"/>
          <w:lang w:val="en-US"/>
        </w:rPr>
      </w:pPr>
      <w:r w:rsidRPr="00AC235B">
        <w:rPr>
          <w:color w:val="auto"/>
          <w:lang w:val="en-US"/>
        </w:rPr>
        <w:tab/>
      </w:r>
      <w:r w:rsidRPr="00AC235B">
        <w:rPr>
          <w:color w:val="auto"/>
          <w:lang w:val="en-US"/>
        </w:rPr>
        <w:tab/>
      </w:r>
      <w:r w:rsidRPr="00AC235B">
        <w:rPr>
          <w:color w:val="auto"/>
          <w:lang w:val="en-US"/>
        </w:rPr>
        <w:tab/>
      </w:r>
      <w:r w:rsidRPr="00AC235B">
        <w:rPr>
          <w:color w:val="auto"/>
          <w:lang w:val="en-US"/>
        </w:rPr>
        <w:tab/>
      </w:r>
      <w:r w:rsidRPr="00AC235B">
        <w:rPr>
          <w:color w:val="auto"/>
          <w:lang w:val="en-US"/>
        </w:rPr>
        <w:tab/>
      </w:r>
      <w:r>
        <w:rPr>
          <w:color w:val="auto"/>
          <w:lang w:val="en-US"/>
        </w:rPr>
        <w:t>King William’s Town</w:t>
      </w:r>
    </w:p>
    <w:p w:rsidR="00C33845" w:rsidRPr="00044B50" w:rsidRDefault="00C33845" w:rsidP="00772E4B">
      <w:pPr>
        <w:jc w:val="both"/>
        <w:rPr>
          <w:lang w:val="en-GB"/>
        </w:rPr>
      </w:pPr>
      <w:r>
        <w:rPr>
          <w:lang w:val="en-GB"/>
        </w:rPr>
        <w:tab/>
      </w:r>
      <w:r>
        <w:rPr>
          <w:lang w:val="en-GB"/>
        </w:rPr>
        <w:tab/>
      </w:r>
      <w:r>
        <w:rPr>
          <w:lang w:val="en-GB"/>
        </w:rPr>
        <w:tab/>
      </w:r>
      <w:r>
        <w:rPr>
          <w:lang w:val="en-GB"/>
        </w:rPr>
        <w:tab/>
      </w:r>
    </w:p>
    <w:p w:rsidR="007C247A" w:rsidRPr="00044B50" w:rsidRDefault="007C247A" w:rsidP="00772E4B">
      <w:pPr>
        <w:jc w:val="both"/>
        <w:rPr>
          <w:lang w:val="en-GB"/>
        </w:rPr>
      </w:pPr>
    </w:p>
    <w:p w:rsidR="00C038B8" w:rsidRPr="00044B50" w:rsidRDefault="00C038B8" w:rsidP="00772E4B">
      <w:pPr>
        <w:tabs>
          <w:tab w:val="left" w:pos="3402"/>
          <w:tab w:val="center" w:pos="4003"/>
        </w:tabs>
        <w:ind w:hanging="142"/>
        <w:jc w:val="both"/>
        <w:rPr>
          <w:lang w:val="en-GB"/>
        </w:rPr>
      </w:pPr>
    </w:p>
    <w:p w:rsidR="00C038B8" w:rsidRPr="00044B50" w:rsidRDefault="00C038B8" w:rsidP="00772E4B">
      <w:pPr>
        <w:tabs>
          <w:tab w:val="left" w:pos="3402"/>
          <w:tab w:val="center" w:pos="4003"/>
        </w:tabs>
        <w:ind w:hanging="142"/>
        <w:jc w:val="both"/>
        <w:rPr>
          <w:lang w:val="en-GB"/>
        </w:rPr>
      </w:pPr>
    </w:p>
    <w:p w:rsidR="007C247A" w:rsidRPr="00044B50" w:rsidRDefault="007C247A" w:rsidP="00772E4B">
      <w:pPr>
        <w:tabs>
          <w:tab w:val="left" w:pos="3402"/>
          <w:tab w:val="center" w:pos="4003"/>
        </w:tabs>
        <w:ind w:hanging="142"/>
        <w:jc w:val="both"/>
        <w:rPr>
          <w:lang w:val="en-GB"/>
        </w:rPr>
      </w:pPr>
      <w:r w:rsidRPr="00044B50">
        <w:rPr>
          <w:lang w:val="en-GB"/>
        </w:rPr>
        <w:tab/>
      </w:r>
    </w:p>
    <w:p w:rsidR="007C247A" w:rsidRPr="00044B50" w:rsidRDefault="007C247A" w:rsidP="00772E4B">
      <w:pPr>
        <w:tabs>
          <w:tab w:val="left" w:pos="3261"/>
          <w:tab w:val="left" w:pos="3544"/>
        </w:tabs>
        <w:jc w:val="both"/>
        <w:rPr>
          <w:lang w:val="en-GB"/>
        </w:rPr>
      </w:pPr>
      <w:r w:rsidRPr="00044B50">
        <w:rPr>
          <w:lang w:val="en-GB"/>
        </w:rPr>
        <w:t xml:space="preserve">                                                 </w:t>
      </w:r>
    </w:p>
    <w:p w:rsidR="007C247A" w:rsidRPr="00044B50" w:rsidRDefault="007C247A" w:rsidP="00772E4B">
      <w:pPr>
        <w:tabs>
          <w:tab w:val="center" w:pos="4003"/>
        </w:tabs>
        <w:rPr>
          <w:lang w:val="en-GB"/>
        </w:rPr>
      </w:pPr>
    </w:p>
    <w:p w:rsidR="007C247A" w:rsidRPr="00044B50" w:rsidRDefault="006E4C1C" w:rsidP="00772E4B">
      <w:pPr>
        <w:tabs>
          <w:tab w:val="left" w:pos="3402"/>
          <w:tab w:val="center" w:pos="3989"/>
        </w:tabs>
        <w:ind w:hanging="142"/>
        <w:rPr>
          <w:lang w:val="en-GB"/>
        </w:rPr>
      </w:pPr>
      <w:r w:rsidRPr="00044B50">
        <w:rPr>
          <w:lang w:val="en-GB"/>
        </w:rPr>
        <w:tab/>
      </w:r>
    </w:p>
    <w:p w:rsidR="00AA32DA" w:rsidRPr="00044B50" w:rsidRDefault="00AA32DA" w:rsidP="00772E4B">
      <w:pPr>
        <w:tabs>
          <w:tab w:val="left" w:pos="3119"/>
          <w:tab w:val="center" w:pos="3989"/>
        </w:tabs>
        <w:rPr>
          <w:lang w:val="en-GB"/>
        </w:rPr>
      </w:pPr>
      <w:r w:rsidRPr="00044B50">
        <w:rPr>
          <w:lang w:val="en-GB"/>
        </w:rPr>
        <w:t xml:space="preserve">                                                 </w:t>
      </w:r>
    </w:p>
    <w:p w:rsidR="008677E3" w:rsidRPr="00044B50" w:rsidRDefault="008677E3" w:rsidP="00772E4B">
      <w:pPr>
        <w:autoSpaceDE w:val="0"/>
        <w:autoSpaceDN w:val="0"/>
        <w:adjustRightInd w:val="0"/>
        <w:jc w:val="both"/>
        <w:rPr>
          <w:lang w:val="en-GB"/>
        </w:rPr>
      </w:pPr>
    </w:p>
    <w:sectPr w:rsidR="008677E3" w:rsidRPr="00044B50" w:rsidSect="00146BA3">
      <w:headerReference w:type="even" r:id="rId10"/>
      <w:head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77F" w:rsidRDefault="001B377F" w:rsidP="00005691">
      <w:r>
        <w:separator/>
      </w:r>
    </w:p>
  </w:endnote>
  <w:endnote w:type="continuationSeparator" w:id="0">
    <w:p w:rsidR="001B377F" w:rsidRDefault="001B377F"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77F" w:rsidRDefault="001B377F" w:rsidP="00005691">
      <w:r>
        <w:separator/>
      </w:r>
    </w:p>
  </w:footnote>
  <w:footnote w:type="continuationSeparator" w:id="0">
    <w:p w:rsidR="001B377F" w:rsidRDefault="001B377F" w:rsidP="00005691">
      <w:r>
        <w:continuationSeparator/>
      </w:r>
    </w:p>
  </w:footnote>
  <w:footnote w:id="1">
    <w:p w:rsidR="00E13ACF" w:rsidRPr="00E13ACF" w:rsidRDefault="00E13ACF" w:rsidP="00AB2494">
      <w:pPr>
        <w:pStyle w:val="FootnoteText"/>
        <w:spacing w:line="240" w:lineRule="auto"/>
        <w:jc w:val="both"/>
        <w:rPr>
          <w:lang w:val="en-US"/>
        </w:rPr>
      </w:pPr>
      <w:r>
        <w:rPr>
          <w:rStyle w:val="FootnoteReference"/>
        </w:rPr>
        <w:footnoteRef/>
      </w:r>
      <w:r>
        <w:t xml:space="preserve"> </w:t>
      </w:r>
      <w:r>
        <w:rPr>
          <w:lang w:val="en-US"/>
        </w:rPr>
        <w:t>Act 16 of 2006.</w:t>
      </w:r>
    </w:p>
  </w:footnote>
  <w:footnote w:id="2">
    <w:p w:rsidR="00281FB4" w:rsidRPr="00281FB4" w:rsidRDefault="00281FB4" w:rsidP="00AB2494">
      <w:pPr>
        <w:pStyle w:val="FootnoteText"/>
        <w:spacing w:line="240" w:lineRule="auto"/>
        <w:jc w:val="both"/>
        <w:rPr>
          <w:lang w:val="en-US"/>
        </w:rPr>
      </w:pPr>
      <w:r>
        <w:rPr>
          <w:rStyle w:val="FootnoteReference"/>
        </w:rPr>
        <w:footnoteRef/>
      </w:r>
      <w:r>
        <w:t xml:space="preserve"> </w:t>
      </w:r>
      <w:r>
        <w:rPr>
          <w:lang w:val="en-US"/>
        </w:rPr>
        <w:t>Act 66 of 1995.</w:t>
      </w:r>
    </w:p>
  </w:footnote>
  <w:footnote w:id="3">
    <w:p w:rsidR="00E04B8E" w:rsidRDefault="00E04B8E" w:rsidP="00AB2494">
      <w:pPr>
        <w:pStyle w:val="FootnoteText"/>
        <w:spacing w:line="240" w:lineRule="auto"/>
        <w:jc w:val="both"/>
        <w:rPr>
          <w:lang w:val="en-US"/>
        </w:rPr>
      </w:pPr>
      <w:r>
        <w:rPr>
          <w:rStyle w:val="FootnoteReference"/>
        </w:rPr>
        <w:footnoteRef/>
      </w:r>
      <w:r>
        <w:t xml:space="preserve"> </w:t>
      </w:r>
      <w:r>
        <w:rPr>
          <w:lang w:val="en-US"/>
        </w:rPr>
        <w:t xml:space="preserve">S 68(1) provides that: ‘In the case of any strike or lock out, or any conduct in contemplation or in furtherance of a strike or lock-out, that does not comply with the provisions of this Chapter, the Labour Court has exclusive jurisdiction – </w:t>
      </w:r>
    </w:p>
    <w:p w:rsidR="00E04B8E" w:rsidRDefault="00572F7E" w:rsidP="00572F7E">
      <w:pPr>
        <w:pStyle w:val="FootnoteText"/>
        <w:spacing w:line="240" w:lineRule="auto"/>
        <w:ind w:left="720" w:hanging="360"/>
        <w:jc w:val="both"/>
        <w:rPr>
          <w:lang w:val="en-US"/>
        </w:rPr>
      </w:pPr>
      <w:r>
        <w:rPr>
          <w:lang w:val="en-US"/>
        </w:rPr>
        <w:t>(a)</w:t>
      </w:r>
      <w:r>
        <w:rPr>
          <w:lang w:val="en-US"/>
        </w:rPr>
        <w:tab/>
      </w:r>
      <w:r w:rsidR="00E04B8E">
        <w:rPr>
          <w:lang w:val="en-US"/>
        </w:rPr>
        <w:t xml:space="preserve">To grant an interdict or order to restrain – </w:t>
      </w:r>
    </w:p>
    <w:p w:rsidR="00E04B8E" w:rsidRDefault="00572F7E" w:rsidP="00572F7E">
      <w:pPr>
        <w:pStyle w:val="FootnoteText"/>
        <w:spacing w:line="240" w:lineRule="auto"/>
        <w:ind w:left="1080" w:hanging="360"/>
        <w:jc w:val="both"/>
        <w:rPr>
          <w:lang w:val="en-US"/>
        </w:rPr>
      </w:pPr>
      <w:r>
        <w:rPr>
          <w:lang w:val="en-US"/>
        </w:rPr>
        <w:t>i.</w:t>
      </w:r>
      <w:r>
        <w:rPr>
          <w:lang w:val="en-US"/>
        </w:rPr>
        <w:tab/>
      </w:r>
      <w:r w:rsidR="00E04B8E">
        <w:rPr>
          <w:lang w:val="en-US"/>
        </w:rPr>
        <w:t>any person from participating in a strike or any conduct in contemplation or in furtherance of a strike; or</w:t>
      </w:r>
    </w:p>
    <w:p w:rsidR="00E04B8E" w:rsidRDefault="00E04B8E" w:rsidP="00AB2494">
      <w:pPr>
        <w:pStyle w:val="FootnoteText"/>
        <w:tabs>
          <w:tab w:val="left" w:pos="1134"/>
        </w:tabs>
        <w:spacing w:line="240" w:lineRule="auto"/>
        <w:ind w:firstLine="720"/>
        <w:jc w:val="both"/>
        <w:rPr>
          <w:lang w:val="en-US"/>
        </w:rPr>
      </w:pPr>
      <w:r>
        <w:rPr>
          <w:lang w:val="en-US"/>
        </w:rPr>
        <w:t>ii.</w:t>
      </w:r>
      <w:r>
        <w:rPr>
          <w:lang w:val="en-US"/>
        </w:rPr>
        <w:tab/>
        <w:t>…</w:t>
      </w:r>
      <w:r>
        <w:rPr>
          <w:lang w:val="en-US"/>
        </w:rPr>
        <w:tab/>
      </w:r>
      <w:r>
        <w:rPr>
          <w:lang w:val="en-US"/>
        </w:rPr>
        <w:tab/>
      </w:r>
      <w:r>
        <w:rPr>
          <w:lang w:val="en-US"/>
        </w:rPr>
        <w:tab/>
      </w:r>
    </w:p>
    <w:p w:rsidR="00E04B8E" w:rsidRPr="00E04B8E" w:rsidRDefault="00572F7E" w:rsidP="00572F7E">
      <w:pPr>
        <w:pStyle w:val="FootnoteText"/>
        <w:spacing w:line="240" w:lineRule="auto"/>
        <w:ind w:left="720" w:hanging="360"/>
        <w:jc w:val="both"/>
        <w:rPr>
          <w:lang w:val="en-US"/>
        </w:rPr>
      </w:pPr>
      <w:r w:rsidRPr="00E04B8E">
        <w:rPr>
          <w:lang w:val="en-US"/>
        </w:rPr>
        <w:t>(b)</w:t>
      </w:r>
      <w:r w:rsidRPr="00E04B8E">
        <w:rPr>
          <w:lang w:val="en-US"/>
        </w:rPr>
        <w:tab/>
      </w:r>
      <w:r w:rsidR="00E04B8E">
        <w:rPr>
          <w:lang w:val="en-US"/>
        </w:rPr>
        <w:t>…</w:t>
      </w:r>
    </w:p>
  </w:footnote>
  <w:footnote w:id="4">
    <w:p w:rsidR="003C02D4" w:rsidRPr="003C02D4" w:rsidRDefault="003C02D4" w:rsidP="00AB2494">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Baloyi v Public Protector and Others</w:t>
      </w:r>
      <w:r>
        <w:rPr>
          <w:lang w:val="en-US"/>
        </w:rPr>
        <w:t xml:space="preserve"> [2020] ZACC 27 (‘</w:t>
      </w:r>
      <w:r w:rsidRPr="003C02D4">
        <w:rPr>
          <w:i/>
          <w:iCs/>
          <w:lang w:val="en-US"/>
        </w:rPr>
        <w:t>Baloyi</w:t>
      </w:r>
      <w:r w:rsidR="00B30E4E">
        <w:rPr>
          <w:lang w:val="en-US"/>
        </w:rPr>
        <w:t>’</w:t>
      </w:r>
      <w:r>
        <w:rPr>
          <w:lang w:val="en-US"/>
        </w:rPr>
        <w:t>) para 1.</w:t>
      </w:r>
    </w:p>
  </w:footnote>
  <w:footnote w:id="5">
    <w:p w:rsidR="006E3957" w:rsidRPr="006E3957" w:rsidRDefault="006E3957" w:rsidP="00AB2494">
      <w:pPr>
        <w:pStyle w:val="FootnoteText"/>
        <w:spacing w:line="240" w:lineRule="auto"/>
        <w:jc w:val="both"/>
        <w:rPr>
          <w:lang w:val="en-US"/>
        </w:rPr>
      </w:pPr>
      <w:r>
        <w:rPr>
          <w:rStyle w:val="FootnoteReference"/>
        </w:rPr>
        <w:footnoteRef/>
      </w:r>
      <w:r>
        <w:t xml:space="preserve"> </w:t>
      </w:r>
      <w:r>
        <w:rPr>
          <w:i/>
          <w:iCs/>
          <w:lang w:val="en-US"/>
        </w:rPr>
        <w:t>Fredericks v MEC for Education and Training Eastern Cape</w:t>
      </w:r>
      <w:r>
        <w:rPr>
          <w:lang w:val="en-US"/>
        </w:rPr>
        <w:t xml:space="preserve"> [2001] ZACC 6. </w:t>
      </w:r>
    </w:p>
  </w:footnote>
  <w:footnote w:id="6">
    <w:p w:rsidR="006E3957" w:rsidRPr="006E3957" w:rsidRDefault="006E3957" w:rsidP="00AB2494">
      <w:pPr>
        <w:pStyle w:val="FootnoteText"/>
        <w:spacing w:line="240" w:lineRule="auto"/>
        <w:jc w:val="both"/>
        <w:rPr>
          <w:lang w:val="en-US"/>
        </w:rPr>
      </w:pPr>
      <w:r>
        <w:rPr>
          <w:rStyle w:val="FootnoteReference"/>
        </w:rPr>
        <w:footnoteRef/>
      </w:r>
      <w:r>
        <w:t xml:space="preserve"> </w:t>
      </w:r>
      <w:r>
        <w:rPr>
          <w:i/>
          <w:iCs/>
          <w:lang w:val="en-US"/>
        </w:rPr>
        <w:t>Chirwa v Transnet Limited</w:t>
      </w:r>
      <w:r>
        <w:rPr>
          <w:lang w:val="en-US"/>
        </w:rPr>
        <w:t xml:space="preserve"> [2007] ZACC 23.</w:t>
      </w:r>
    </w:p>
  </w:footnote>
  <w:footnote w:id="7">
    <w:p w:rsidR="004D61A9" w:rsidRPr="001B48BE" w:rsidRDefault="004D61A9" w:rsidP="00AB2494">
      <w:pPr>
        <w:pStyle w:val="FootnoteText"/>
        <w:spacing w:line="240" w:lineRule="auto"/>
        <w:jc w:val="both"/>
        <w:rPr>
          <w:lang w:val="en-US"/>
        </w:rPr>
      </w:pPr>
      <w:r>
        <w:rPr>
          <w:rStyle w:val="FootnoteReference"/>
        </w:rPr>
        <w:footnoteRef/>
      </w:r>
      <w:r>
        <w:t xml:space="preserve"> </w:t>
      </w:r>
      <w:r w:rsidR="001B48BE">
        <w:rPr>
          <w:i/>
          <w:iCs/>
        </w:rPr>
        <w:t>Gcaba v Minister of Safety and Security</w:t>
      </w:r>
      <w:r w:rsidR="001B48BE">
        <w:t xml:space="preserve"> [2009] ZACC 26.</w:t>
      </w:r>
    </w:p>
  </w:footnote>
  <w:footnote w:id="8">
    <w:p w:rsidR="006055F8" w:rsidRPr="006055F8" w:rsidRDefault="006055F8" w:rsidP="00AB2494">
      <w:pPr>
        <w:pStyle w:val="FootnoteText"/>
        <w:spacing w:line="240" w:lineRule="auto"/>
        <w:jc w:val="both"/>
        <w:rPr>
          <w:lang w:val="en-US"/>
        </w:rPr>
      </w:pPr>
      <w:r>
        <w:rPr>
          <w:rStyle w:val="FootnoteReference"/>
        </w:rPr>
        <w:footnoteRef/>
      </w:r>
      <w:r>
        <w:t xml:space="preserve"> </w:t>
      </w:r>
      <w:r>
        <w:rPr>
          <w:lang w:val="en-US"/>
        </w:rPr>
        <w:t xml:space="preserve">While </w:t>
      </w:r>
      <w:r>
        <w:rPr>
          <w:i/>
          <w:iCs/>
          <w:lang w:val="en-US"/>
        </w:rPr>
        <w:t>Fredericks</w:t>
      </w:r>
      <w:r>
        <w:rPr>
          <w:lang w:val="en-US"/>
        </w:rPr>
        <w:t xml:space="preserve">, </w:t>
      </w:r>
      <w:r>
        <w:rPr>
          <w:i/>
          <w:iCs/>
          <w:lang w:val="en-US"/>
        </w:rPr>
        <w:t>Chirwa</w:t>
      </w:r>
      <w:r>
        <w:rPr>
          <w:lang w:val="en-US"/>
        </w:rPr>
        <w:t xml:space="preserve"> and </w:t>
      </w:r>
      <w:r>
        <w:rPr>
          <w:i/>
          <w:iCs/>
          <w:lang w:val="en-US"/>
        </w:rPr>
        <w:t>Gcaba</w:t>
      </w:r>
      <w:r>
        <w:rPr>
          <w:lang w:val="en-US"/>
        </w:rPr>
        <w:t xml:space="preserve"> considered whether the High Court has jurisdiction over administrative law claims in the employment setting, </w:t>
      </w:r>
      <w:r>
        <w:rPr>
          <w:i/>
          <w:iCs/>
          <w:lang w:val="en-US"/>
        </w:rPr>
        <w:t>Baloyi</w:t>
      </w:r>
      <w:r>
        <w:rPr>
          <w:lang w:val="en-US"/>
        </w:rPr>
        <w:t xml:space="preserve"> dealt with the High Court’s jurisdiction over contractual claims arising in the employment setting.</w:t>
      </w:r>
    </w:p>
  </w:footnote>
  <w:footnote w:id="9">
    <w:p w:rsidR="006C1CD3" w:rsidRPr="006C1CD3" w:rsidRDefault="006C1CD3" w:rsidP="00AB2494">
      <w:pPr>
        <w:pStyle w:val="FootnoteText"/>
        <w:spacing w:line="240" w:lineRule="auto"/>
        <w:jc w:val="both"/>
        <w:rPr>
          <w:lang w:val="en-US"/>
        </w:rPr>
      </w:pPr>
      <w:r>
        <w:rPr>
          <w:rStyle w:val="FootnoteReference"/>
        </w:rPr>
        <w:footnoteRef/>
      </w:r>
      <w:r>
        <w:t xml:space="preserve"> </w:t>
      </w:r>
      <w:r>
        <w:rPr>
          <w:i/>
          <w:iCs/>
          <w:lang w:val="en-US"/>
        </w:rPr>
        <w:t>Chirwa</w:t>
      </w:r>
      <w:r>
        <w:rPr>
          <w:lang w:val="en-US"/>
        </w:rPr>
        <w:t xml:space="preserve"> </w:t>
      </w:r>
      <w:r w:rsidR="004D61A9">
        <w:rPr>
          <w:lang w:val="en-US"/>
        </w:rPr>
        <w:t>op cit</w:t>
      </w:r>
      <w:r>
        <w:rPr>
          <w:lang w:val="en-US"/>
        </w:rPr>
        <w:t xml:space="preserve"> </w:t>
      </w:r>
      <w:r w:rsidR="00DA4DAF">
        <w:rPr>
          <w:lang w:val="en-US"/>
        </w:rPr>
        <w:t xml:space="preserve">fn 6 </w:t>
      </w:r>
      <w:r>
        <w:rPr>
          <w:lang w:val="en-US"/>
        </w:rPr>
        <w:t>para 60.</w:t>
      </w:r>
    </w:p>
  </w:footnote>
  <w:footnote w:id="10">
    <w:p w:rsidR="001877FF" w:rsidRDefault="001877FF" w:rsidP="00AB2494">
      <w:pPr>
        <w:pStyle w:val="FootnoteText"/>
        <w:spacing w:line="240" w:lineRule="auto"/>
        <w:jc w:val="both"/>
        <w:rPr>
          <w:lang w:val="en-US"/>
        </w:rPr>
      </w:pPr>
      <w:r>
        <w:rPr>
          <w:rStyle w:val="FootnoteReference"/>
        </w:rPr>
        <w:footnoteRef/>
      </w:r>
      <w:r>
        <w:t xml:space="preserve"> </w:t>
      </w:r>
      <w:r>
        <w:rPr>
          <w:lang w:val="en-US"/>
        </w:rPr>
        <w:t>S 169(1) of the Constitution</w:t>
      </w:r>
      <w:r w:rsidR="00A8297C">
        <w:rPr>
          <w:lang w:val="en-US"/>
        </w:rPr>
        <w:t xml:space="preserve"> provides as follows:</w:t>
      </w:r>
    </w:p>
    <w:p w:rsidR="00A8297C" w:rsidRDefault="00A8297C" w:rsidP="00AB2494">
      <w:pPr>
        <w:pStyle w:val="FootnoteText"/>
        <w:spacing w:line="240" w:lineRule="auto"/>
        <w:jc w:val="both"/>
        <w:rPr>
          <w:lang w:val="en-US"/>
        </w:rPr>
      </w:pPr>
      <w:r>
        <w:rPr>
          <w:lang w:val="en-US"/>
        </w:rPr>
        <w:t xml:space="preserve">‘The High Court of South Africa may decide – </w:t>
      </w:r>
    </w:p>
    <w:p w:rsidR="00A8297C" w:rsidRDefault="00572F7E" w:rsidP="00572F7E">
      <w:pPr>
        <w:pStyle w:val="FootnoteText"/>
        <w:spacing w:line="240" w:lineRule="auto"/>
        <w:ind w:left="720" w:hanging="360"/>
        <w:jc w:val="both"/>
        <w:rPr>
          <w:lang w:val="en-US"/>
        </w:rPr>
      </w:pPr>
      <w:r>
        <w:rPr>
          <w:lang w:val="en-US"/>
        </w:rPr>
        <w:t>(a)</w:t>
      </w:r>
      <w:r>
        <w:rPr>
          <w:lang w:val="en-US"/>
        </w:rPr>
        <w:tab/>
      </w:r>
      <w:r w:rsidR="00A8297C">
        <w:rPr>
          <w:lang w:val="en-US"/>
        </w:rPr>
        <w:t xml:space="preserve">any constitutional matter except a matter that – </w:t>
      </w:r>
    </w:p>
    <w:p w:rsidR="00A8297C" w:rsidRDefault="00572F7E" w:rsidP="00572F7E">
      <w:pPr>
        <w:pStyle w:val="FootnoteText"/>
        <w:spacing w:line="240" w:lineRule="auto"/>
        <w:ind w:left="1080" w:hanging="360"/>
        <w:jc w:val="both"/>
        <w:rPr>
          <w:lang w:val="en-US"/>
        </w:rPr>
      </w:pPr>
      <w:r>
        <w:rPr>
          <w:lang w:val="en-US"/>
        </w:rPr>
        <w:t>i.</w:t>
      </w:r>
      <w:r>
        <w:rPr>
          <w:lang w:val="en-US"/>
        </w:rPr>
        <w:tab/>
      </w:r>
      <w:r w:rsidR="00A8297C">
        <w:rPr>
          <w:lang w:val="en-US"/>
        </w:rPr>
        <w:t>…</w:t>
      </w:r>
    </w:p>
    <w:p w:rsidR="00A8297C" w:rsidRPr="00A8297C" w:rsidRDefault="00572F7E" w:rsidP="00572F7E">
      <w:pPr>
        <w:pStyle w:val="FootnoteText"/>
        <w:spacing w:line="240" w:lineRule="auto"/>
        <w:ind w:left="1080" w:hanging="371"/>
        <w:jc w:val="both"/>
        <w:rPr>
          <w:lang w:val="en-US"/>
        </w:rPr>
      </w:pPr>
      <w:r w:rsidRPr="00A8297C">
        <w:rPr>
          <w:lang w:val="en-US"/>
        </w:rPr>
        <w:t>ii.</w:t>
      </w:r>
      <w:r w:rsidRPr="00A8297C">
        <w:rPr>
          <w:lang w:val="en-US"/>
        </w:rPr>
        <w:tab/>
      </w:r>
      <w:r w:rsidR="00A8297C">
        <w:rPr>
          <w:lang w:val="en-US"/>
        </w:rPr>
        <w:t>is assigned by an Act of Parliament to another court of a similar status similar to the High Court of South Africa …’</w:t>
      </w:r>
    </w:p>
  </w:footnote>
  <w:footnote w:id="11">
    <w:p w:rsidR="00E056B7" w:rsidRPr="00E056B7" w:rsidRDefault="00E056B7" w:rsidP="00AB2494">
      <w:pPr>
        <w:pStyle w:val="FootnoteText"/>
        <w:spacing w:line="240" w:lineRule="auto"/>
        <w:jc w:val="both"/>
        <w:rPr>
          <w:lang w:val="en-US"/>
        </w:rPr>
      </w:pPr>
      <w:r>
        <w:rPr>
          <w:rStyle w:val="FootnoteReference"/>
        </w:rPr>
        <w:footnoteRef/>
      </w:r>
      <w:r>
        <w:t xml:space="preserve"> </w:t>
      </w:r>
      <w:r>
        <w:rPr>
          <w:lang w:val="en-US"/>
        </w:rPr>
        <w:t>Preamble to the LRA.</w:t>
      </w:r>
    </w:p>
  </w:footnote>
  <w:footnote w:id="12">
    <w:p w:rsidR="00A46CE8" w:rsidRPr="00A46CE8" w:rsidRDefault="00A46CE8" w:rsidP="00AB2494">
      <w:pPr>
        <w:pStyle w:val="FootnoteText"/>
        <w:spacing w:line="240" w:lineRule="auto"/>
        <w:jc w:val="both"/>
        <w:rPr>
          <w:lang w:val="en-US"/>
        </w:rPr>
      </w:pPr>
      <w:r>
        <w:rPr>
          <w:rStyle w:val="FootnoteReference"/>
        </w:rPr>
        <w:footnoteRef/>
      </w:r>
      <w:r>
        <w:t xml:space="preserve"> </w:t>
      </w:r>
      <w:r>
        <w:rPr>
          <w:i/>
          <w:iCs/>
          <w:lang w:val="en-US"/>
        </w:rPr>
        <w:t>Motor Industry Staff Association v Macun N.O.</w:t>
      </w:r>
      <w:r>
        <w:rPr>
          <w:lang w:val="en-US"/>
        </w:rPr>
        <w:t xml:space="preserve"> [2015] ZASCA 190 as cited in </w:t>
      </w:r>
      <w:r>
        <w:rPr>
          <w:i/>
          <w:iCs/>
          <w:lang w:val="en-US"/>
        </w:rPr>
        <w:t>Baloyi</w:t>
      </w:r>
      <w:r>
        <w:rPr>
          <w:lang w:val="en-US"/>
        </w:rPr>
        <w:t xml:space="preserve"> para 30.</w:t>
      </w:r>
    </w:p>
  </w:footnote>
  <w:footnote w:id="13">
    <w:p w:rsidR="0024651B" w:rsidRPr="0024651B" w:rsidRDefault="0024651B" w:rsidP="00AB2494">
      <w:pPr>
        <w:pStyle w:val="FootnoteText"/>
        <w:spacing w:line="240" w:lineRule="auto"/>
        <w:jc w:val="both"/>
        <w:rPr>
          <w:lang w:val="en-US"/>
        </w:rPr>
      </w:pPr>
      <w:r>
        <w:rPr>
          <w:rStyle w:val="FootnoteReference"/>
        </w:rPr>
        <w:footnoteRef/>
      </w:r>
      <w:r>
        <w:t xml:space="preserve"> </w:t>
      </w:r>
      <w:r>
        <w:rPr>
          <w:i/>
          <w:iCs/>
          <w:lang w:val="en-US"/>
        </w:rPr>
        <w:t>Baloyi</w:t>
      </w:r>
      <w:r>
        <w:rPr>
          <w:lang w:val="en-US"/>
        </w:rPr>
        <w:t xml:space="preserve"> op cit</w:t>
      </w:r>
      <w:r w:rsidR="004A7889">
        <w:rPr>
          <w:lang w:val="en-US"/>
        </w:rPr>
        <w:t xml:space="preserve"> fn 4</w:t>
      </w:r>
      <w:r>
        <w:rPr>
          <w:lang w:val="en-US"/>
        </w:rPr>
        <w:t xml:space="preserve"> para 30; </w:t>
      </w:r>
      <w:r>
        <w:rPr>
          <w:i/>
          <w:iCs/>
          <w:lang w:val="en-US"/>
        </w:rPr>
        <w:t>Chirwa</w:t>
      </w:r>
      <w:r>
        <w:rPr>
          <w:lang w:val="en-US"/>
        </w:rPr>
        <w:t xml:space="preserve"> op cit </w:t>
      </w:r>
      <w:r w:rsidR="00496B02">
        <w:rPr>
          <w:lang w:val="en-US"/>
        </w:rPr>
        <w:t xml:space="preserve">fn 6 </w:t>
      </w:r>
      <w:r>
        <w:rPr>
          <w:lang w:val="en-US"/>
        </w:rPr>
        <w:t>para 47.</w:t>
      </w:r>
    </w:p>
  </w:footnote>
  <w:footnote w:id="14">
    <w:p w:rsidR="00FB5598" w:rsidRPr="00FB5598" w:rsidRDefault="00FB5598" w:rsidP="00AB2494">
      <w:pPr>
        <w:pStyle w:val="FootnoteText"/>
        <w:spacing w:line="240" w:lineRule="auto"/>
        <w:jc w:val="both"/>
        <w:rPr>
          <w:lang w:val="en-US"/>
        </w:rPr>
      </w:pPr>
      <w:r>
        <w:rPr>
          <w:rStyle w:val="FootnoteReference"/>
        </w:rPr>
        <w:footnoteRef/>
      </w:r>
      <w:r>
        <w:t xml:space="preserve"> </w:t>
      </w:r>
      <w:r w:rsidR="00431246">
        <w:rPr>
          <w:i/>
          <w:iCs/>
          <w:lang w:val="en-US"/>
        </w:rPr>
        <w:t>Fredericks</w:t>
      </w:r>
      <w:r>
        <w:rPr>
          <w:lang w:val="en-US"/>
        </w:rPr>
        <w:t xml:space="preserve"> op cit </w:t>
      </w:r>
      <w:r w:rsidR="0043512E">
        <w:rPr>
          <w:lang w:val="en-US"/>
        </w:rPr>
        <w:t xml:space="preserve">fn 5 </w:t>
      </w:r>
      <w:r>
        <w:rPr>
          <w:lang w:val="en-US"/>
        </w:rPr>
        <w:t xml:space="preserve">para </w:t>
      </w:r>
      <w:r w:rsidR="00431246">
        <w:rPr>
          <w:lang w:val="en-US"/>
        </w:rPr>
        <w:t>40</w:t>
      </w:r>
      <w:r>
        <w:rPr>
          <w:lang w:val="en-US"/>
        </w:rPr>
        <w:t>.</w:t>
      </w:r>
    </w:p>
  </w:footnote>
  <w:footnote w:id="15">
    <w:p w:rsidR="00C8620A" w:rsidRPr="00C8620A" w:rsidRDefault="00C8620A" w:rsidP="00AB2494">
      <w:pPr>
        <w:pStyle w:val="FootnoteText"/>
        <w:spacing w:line="240" w:lineRule="auto"/>
        <w:jc w:val="both"/>
        <w:rPr>
          <w:lang w:val="en-US"/>
        </w:rPr>
      </w:pPr>
      <w:r>
        <w:rPr>
          <w:rStyle w:val="FootnoteReference"/>
        </w:rPr>
        <w:footnoteRef/>
      </w:r>
      <w:r>
        <w:t xml:space="preserve"> </w:t>
      </w:r>
      <w:r>
        <w:rPr>
          <w:lang w:val="en-US"/>
        </w:rPr>
        <w:t xml:space="preserve">This adds to, rather than diminishes, the jurisdiction of the Labour Court and Labour Appeal Court: </w:t>
      </w:r>
      <w:r>
        <w:rPr>
          <w:i/>
          <w:iCs/>
          <w:lang w:val="en-US"/>
        </w:rPr>
        <w:t>Gcaba</w:t>
      </w:r>
      <w:r>
        <w:rPr>
          <w:lang w:val="en-US"/>
        </w:rPr>
        <w:t xml:space="preserve"> op cit </w:t>
      </w:r>
      <w:r w:rsidR="001106C0">
        <w:rPr>
          <w:lang w:val="en-US"/>
        </w:rPr>
        <w:t xml:space="preserve">fn 7 </w:t>
      </w:r>
      <w:r>
        <w:rPr>
          <w:lang w:val="en-US"/>
        </w:rPr>
        <w:t xml:space="preserve">para 71. </w:t>
      </w:r>
    </w:p>
  </w:footnote>
  <w:footnote w:id="16">
    <w:p w:rsidR="00447AF1" w:rsidRPr="00447AF1" w:rsidRDefault="00447AF1" w:rsidP="00AB2494">
      <w:pPr>
        <w:pStyle w:val="FootnoteText"/>
        <w:spacing w:line="240" w:lineRule="auto"/>
        <w:jc w:val="both"/>
        <w:rPr>
          <w:lang w:val="en-US"/>
        </w:rPr>
      </w:pPr>
      <w:r>
        <w:rPr>
          <w:rStyle w:val="FootnoteReference"/>
        </w:rPr>
        <w:footnoteRef/>
      </w:r>
      <w:r>
        <w:t xml:space="preserve"> </w:t>
      </w:r>
      <w:r>
        <w:rPr>
          <w:i/>
          <w:iCs/>
          <w:lang w:val="en-US"/>
        </w:rPr>
        <w:t>Gcaba</w:t>
      </w:r>
      <w:r>
        <w:rPr>
          <w:lang w:val="en-US"/>
        </w:rPr>
        <w:t xml:space="preserve"> </w:t>
      </w:r>
      <w:r w:rsidR="001106C0">
        <w:rPr>
          <w:lang w:val="en-US"/>
        </w:rPr>
        <w:t xml:space="preserve">ibid </w:t>
      </w:r>
      <w:r>
        <w:rPr>
          <w:lang w:val="en-US"/>
        </w:rPr>
        <w:t>para 75.</w:t>
      </w:r>
    </w:p>
  </w:footnote>
  <w:footnote w:id="17">
    <w:p w:rsidR="001D363F" w:rsidRPr="001D363F" w:rsidRDefault="001D363F" w:rsidP="00AB2494">
      <w:pPr>
        <w:pStyle w:val="FootnoteText"/>
        <w:spacing w:line="240" w:lineRule="auto"/>
        <w:jc w:val="both"/>
        <w:rPr>
          <w:lang w:val="en-US"/>
        </w:rPr>
      </w:pPr>
      <w:r>
        <w:rPr>
          <w:rStyle w:val="FootnoteReference"/>
        </w:rPr>
        <w:footnoteRef/>
      </w:r>
      <w:r>
        <w:t xml:space="preserve"> </w:t>
      </w:r>
      <w:r>
        <w:rPr>
          <w:i/>
          <w:iCs/>
          <w:lang w:val="en-US"/>
        </w:rPr>
        <w:t>Baloyi</w:t>
      </w:r>
      <w:r>
        <w:rPr>
          <w:lang w:val="en-US"/>
        </w:rPr>
        <w:t xml:space="preserve"> op cit </w:t>
      </w:r>
      <w:r w:rsidR="00EF62CD">
        <w:rPr>
          <w:lang w:val="en-US"/>
        </w:rPr>
        <w:t xml:space="preserve">fn 4 </w:t>
      </w:r>
      <w:r>
        <w:rPr>
          <w:lang w:val="en-US"/>
        </w:rPr>
        <w:t>para 38.</w:t>
      </w:r>
    </w:p>
  </w:footnote>
  <w:footnote w:id="18">
    <w:p w:rsidR="00ED6742" w:rsidRPr="00ED6742" w:rsidRDefault="00ED6742" w:rsidP="00AB2494">
      <w:pPr>
        <w:pStyle w:val="FootnoteText"/>
        <w:spacing w:line="240" w:lineRule="auto"/>
        <w:jc w:val="both"/>
        <w:rPr>
          <w:lang w:val="en-US"/>
        </w:rPr>
      </w:pPr>
      <w:r>
        <w:rPr>
          <w:rStyle w:val="FootnoteReference"/>
        </w:rPr>
        <w:footnoteRef/>
      </w:r>
      <w:r>
        <w:t xml:space="preserve"> </w:t>
      </w:r>
      <w:r>
        <w:rPr>
          <w:lang w:val="en-US"/>
        </w:rPr>
        <w:t>S 68(1) read with s 157(1) of the LRA.</w:t>
      </w:r>
    </w:p>
  </w:footnote>
  <w:footnote w:id="19">
    <w:p w:rsidR="00B45A36" w:rsidRPr="00B45A36" w:rsidRDefault="00B45A36" w:rsidP="00AB2494">
      <w:pPr>
        <w:pStyle w:val="FootnoteText"/>
        <w:spacing w:line="240" w:lineRule="auto"/>
        <w:jc w:val="both"/>
        <w:rPr>
          <w:lang w:val="en-US"/>
        </w:rPr>
      </w:pPr>
      <w:r>
        <w:rPr>
          <w:rStyle w:val="FootnoteReference"/>
        </w:rPr>
        <w:footnoteRef/>
      </w:r>
      <w:r>
        <w:t xml:space="preserve"> </w:t>
      </w:r>
      <w:r>
        <w:rPr>
          <w:i/>
          <w:iCs/>
          <w:lang w:val="en-US"/>
        </w:rPr>
        <w:t>Baloyi</w:t>
      </w:r>
      <w:r>
        <w:rPr>
          <w:lang w:val="en-US"/>
        </w:rPr>
        <w:t xml:space="preserve"> op cit </w:t>
      </w:r>
      <w:r w:rsidR="00227A3A">
        <w:rPr>
          <w:lang w:val="en-US"/>
        </w:rPr>
        <w:t xml:space="preserve">fn 4 </w:t>
      </w:r>
      <w:r>
        <w:rPr>
          <w:lang w:val="en-US"/>
        </w:rPr>
        <w:t>para 39.</w:t>
      </w:r>
    </w:p>
  </w:footnote>
  <w:footnote w:id="20">
    <w:p w:rsidR="00066DA2" w:rsidRPr="00066DA2" w:rsidRDefault="00066DA2" w:rsidP="00AB2494">
      <w:pPr>
        <w:pStyle w:val="FootnoteText"/>
        <w:spacing w:line="240" w:lineRule="auto"/>
        <w:jc w:val="both"/>
        <w:rPr>
          <w:lang w:val="en-US"/>
        </w:rPr>
      </w:pPr>
      <w:r>
        <w:rPr>
          <w:rStyle w:val="FootnoteReference"/>
        </w:rPr>
        <w:footnoteRef/>
      </w:r>
      <w:r>
        <w:t xml:space="preserve"> </w:t>
      </w:r>
      <w:r>
        <w:rPr>
          <w:i/>
          <w:iCs/>
          <w:lang w:val="en-US"/>
        </w:rPr>
        <w:t>Baloyi</w:t>
      </w:r>
      <w:r>
        <w:rPr>
          <w:lang w:val="en-US"/>
        </w:rPr>
        <w:t xml:space="preserve"> op cit </w:t>
      </w:r>
      <w:r w:rsidR="006B380A">
        <w:rPr>
          <w:lang w:val="en-US"/>
        </w:rPr>
        <w:t xml:space="preserve">fn 4 </w:t>
      </w:r>
      <w:r>
        <w:rPr>
          <w:lang w:val="en-US"/>
        </w:rPr>
        <w:t>para 40.</w:t>
      </w:r>
    </w:p>
  </w:footnote>
  <w:footnote w:id="21">
    <w:p w:rsidR="00E77CA9" w:rsidRPr="00E77CA9" w:rsidRDefault="00E77CA9" w:rsidP="00AB2494">
      <w:pPr>
        <w:pStyle w:val="FootnoteText"/>
        <w:spacing w:line="240" w:lineRule="auto"/>
        <w:jc w:val="both"/>
        <w:rPr>
          <w:lang w:val="en-US"/>
        </w:rPr>
      </w:pPr>
      <w:r>
        <w:rPr>
          <w:rStyle w:val="FootnoteReference"/>
        </w:rPr>
        <w:footnoteRef/>
      </w:r>
      <w:r>
        <w:t xml:space="preserve"> </w:t>
      </w:r>
      <w:r>
        <w:rPr>
          <w:i/>
          <w:iCs/>
          <w:lang w:val="en-US"/>
        </w:rPr>
        <w:t>Makhanya v University of Zululand</w:t>
      </w:r>
      <w:r>
        <w:rPr>
          <w:lang w:val="en-US"/>
        </w:rPr>
        <w:t xml:space="preserve"> [2009] ZASCA 69 paras 11 and 71.</w:t>
      </w:r>
    </w:p>
  </w:footnote>
  <w:footnote w:id="22">
    <w:p w:rsidR="007E3546" w:rsidRPr="007E3546" w:rsidRDefault="007E3546" w:rsidP="00AB2494">
      <w:pPr>
        <w:pStyle w:val="FootnoteText"/>
        <w:spacing w:line="240" w:lineRule="auto"/>
        <w:jc w:val="both"/>
        <w:rPr>
          <w:lang w:val="en-US"/>
        </w:rPr>
      </w:pPr>
      <w:r>
        <w:rPr>
          <w:rStyle w:val="FootnoteReference"/>
        </w:rPr>
        <w:footnoteRef/>
      </w:r>
      <w:r>
        <w:t xml:space="preserve"> </w:t>
      </w:r>
      <w:r>
        <w:rPr>
          <w:i/>
          <w:iCs/>
          <w:lang w:val="en-US"/>
        </w:rPr>
        <w:t>Baloyi</w:t>
      </w:r>
      <w:r>
        <w:rPr>
          <w:lang w:val="en-US"/>
        </w:rPr>
        <w:t xml:space="preserve"> op cit </w:t>
      </w:r>
      <w:r w:rsidR="00CD094F">
        <w:rPr>
          <w:lang w:val="en-US"/>
        </w:rPr>
        <w:t xml:space="preserve">fn 4 </w:t>
      </w:r>
      <w:r>
        <w:rPr>
          <w:lang w:val="en-US"/>
        </w:rPr>
        <w:t>para 43.</w:t>
      </w:r>
    </w:p>
  </w:footnote>
  <w:footnote w:id="23">
    <w:p w:rsidR="00212344" w:rsidRPr="00212344" w:rsidRDefault="00212344" w:rsidP="00AB2494">
      <w:pPr>
        <w:pStyle w:val="FootnoteText"/>
        <w:spacing w:line="240" w:lineRule="auto"/>
        <w:jc w:val="both"/>
        <w:rPr>
          <w:lang w:val="en-US"/>
        </w:rPr>
      </w:pPr>
      <w:r>
        <w:rPr>
          <w:rStyle w:val="FootnoteReference"/>
        </w:rPr>
        <w:footnoteRef/>
      </w:r>
      <w:r>
        <w:t xml:space="preserve"> </w:t>
      </w:r>
      <w:r>
        <w:rPr>
          <w:i/>
          <w:iCs/>
          <w:lang w:val="en-US"/>
        </w:rPr>
        <w:t>Gcaba</w:t>
      </w:r>
      <w:r>
        <w:rPr>
          <w:lang w:val="en-US"/>
        </w:rPr>
        <w:t xml:space="preserve"> op cit </w:t>
      </w:r>
      <w:r w:rsidR="0032222B">
        <w:rPr>
          <w:lang w:val="en-US"/>
        </w:rPr>
        <w:t xml:space="preserve">fn 7 </w:t>
      </w:r>
      <w:r>
        <w:rPr>
          <w:lang w:val="en-US"/>
        </w:rPr>
        <w:t>para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2F7E">
          <w:rPr>
            <w:rStyle w:val="PageNumber"/>
            <w:noProof/>
          </w:rPr>
          <w:t>3</w:t>
        </w:r>
        <w:r>
          <w:rPr>
            <w:rStyle w:val="PageNumber"/>
          </w:rPr>
          <w:fldChar w:fldCharType="end"/>
        </w:r>
      </w:p>
    </w:sdtContent>
  </w:sdt>
  <w:p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337009"/>
    <w:multiLevelType w:val="hybridMultilevel"/>
    <w:tmpl w:val="BED45072"/>
    <w:lvl w:ilvl="0" w:tplc="1AD4B3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900262"/>
    <w:multiLevelType w:val="hybridMultilevel"/>
    <w:tmpl w:val="BF28EECE"/>
    <w:lvl w:ilvl="0" w:tplc="1304C86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601002"/>
    <w:multiLevelType w:val="hybridMultilevel"/>
    <w:tmpl w:val="EAA2D564"/>
    <w:lvl w:ilvl="0" w:tplc="08090019">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4B5434"/>
    <w:multiLevelType w:val="hybridMultilevel"/>
    <w:tmpl w:val="A050AF20"/>
    <w:lvl w:ilvl="0" w:tplc="74EAAE0C">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045532"/>
    <w:multiLevelType w:val="hybridMultilevel"/>
    <w:tmpl w:val="3536BA1C"/>
    <w:lvl w:ilvl="0" w:tplc="EC82E55A">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B5074F5"/>
    <w:multiLevelType w:val="hybridMultilevel"/>
    <w:tmpl w:val="9A4847E6"/>
    <w:lvl w:ilvl="0" w:tplc="C5062C0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6F75A17"/>
    <w:multiLevelType w:val="hybridMultilevel"/>
    <w:tmpl w:val="A82873C8"/>
    <w:lvl w:ilvl="0" w:tplc="6850603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5"/>
  </w:num>
  <w:num w:numId="6">
    <w:abstractNumId w:val="9"/>
  </w:num>
  <w:num w:numId="7">
    <w:abstractNumId w:val="17"/>
  </w:num>
  <w:num w:numId="8">
    <w:abstractNumId w:val="1"/>
  </w:num>
  <w:num w:numId="9">
    <w:abstractNumId w:val="7"/>
  </w:num>
  <w:num w:numId="10">
    <w:abstractNumId w:val="11"/>
  </w:num>
  <w:num w:numId="11">
    <w:abstractNumId w:val="16"/>
  </w:num>
  <w:num w:numId="12">
    <w:abstractNumId w:val="3"/>
  </w:num>
  <w:num w:numId="13">
    <w:abstractNumId w:val="13"/>
  </w:num>
  <w:num w:numId="14">
    <w:abstractNumId w:val="10"/>
  </w:num>
  <w:num w:numId="15">
    <w:abstractNumId w:val="14"/>
  </w:num>
  <w:num w:numId="16">
    <w:abstractNumId w:val="8"/>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4E1E"/>
    <w:rsid w:val="00005691"/>
    <w:rsid w:val="00005ABB"/>
    <w:rsid w:val="00005BC2"/>
    <w:rsid w:val="0000642E"/>
    <w:rsid w:val="00006EF3"/>
    <w:rsid w:val="00007087"/>
    <w:rsid w:val="00007904"/>
    <w:rsid w:val="000109B4"/>
    <w:rsid w:val="00012A2F"/>
    <w:rsid w:val="00014437"/>
    <w:rsid w:val="00014770"/>
    <w:rsid w:val="00016FDA"/>
    <w:rsid w:val="00017F0B"/>
    <w:rsid w:val="000220C3"/>
    <w:rsid w:val="00022804"/>
    <w:rsid w:val="00027DA3"/>
    <w:rsid w:val="00030A25"/>
    <w:rsid w:val="000323B0"/>
    <w:rsid w:val="000341AF"/>
    <w:rsid w:val="00034B32"/>
    <w:rsid w:val="0003553E"/>
    <w:rsid w:val="0004040E"/>
    <w:rsid w:val="00040F79"/>
    <w:rsid w:val="000422CD"/>
    <w:rsid w:val="0004347D"/>
    <w:rsid w:val="0004373B"/>
    <w:rsid w:val="00044B50"/>
    <w:rsid w:val="000451D0"/>
    <w:rsid w:val="00047035"/>
    <w:rsid w:val="000478E8"/>
    <w:rsid w:val="0005061D"/>
    <w:rsid w:val="00051F6C"/>
    <w:rsid w:val="000536DD"/>
    <w:rsid w:val="00053D81"/>
    <w:rsid w:val="00054DEC"/>
    <w:rsid w:val="00055C33"/>
    <w:rsid w:val="00056042"/>
    <w:rsid w:val="00056FBA"/>
    <w:rsid w:val="000574BF"/>
    <w:rsid w:val="00063188"/>
    <w:rsid w:val="00063C6E"/>
    <w:rsid w:val="00063D5A"/>
    <w:rsid w:val="00066DA2"/>
    <w:rsid w:val="0007050F"/>
    <w:rsid w:val="0007234C"/>
    <w:rsid w:val="00072650"/>
    <w:rsid w:val="00073EFC"/>
    <w:rsid w:val="000778A4"/>
    <w:rsid w:val="00080D4E"/>
    <w:rsid w:val="000815F5"/>
    <w:rsid w:val="00083322"/>
    <w:rsid w:val="00083386"/>
    <w:rsid w:val="000833DB"/>
    <w:rsid w:val="00084C6F"/>
    <w:rsid w:val="00086278"/>
    <w:rsid w:val="00086A06"/>
    <w:rsid w:val="0009015D"/>
    <w:rsid w:val="000910CD"/>
    <w:rsid w:val="00091F8C"/>
    <w:rsid w:val="0009497C"/>
    <w:rsid w:val="00096BC1"/>
    <w:rsid w:val="000976CA"/>
    <w:rsid w:val="000A59DC"/>
    <w:rsid w:val="000A5B1B"/>
    <w:rsid w:val="000A627D"/>
    <w:rsid w:val="000B0946"/>
    <w:rsid w:val="000B0DC8"/>
    <w:rsid w:val="000B20FC"/>
    <w:rsid w:val="000B26AE"/>
    <w:rsid w:val="000B26CF"/>
    <w:rsid w:val="000B5790"/>
    <w:rsid w:val="000B5FBC"/>
    <w:rsid w:val="000B6309"/>
    <w:rsid w:val="000B643B"/>
    <w:rsid w:val="000B78EC"/>
    <w:rsid w:val="000C2D21"/>
    <w:rsid w:val="000C3531"/>
    <w:rsid w:val="000C3620"/>
    <w:rsid w:val="000C39A5"/>
    <w:rsid w:val="000C450C"/>
    <w:rsid w:val="000C7746"/>
    <w:rsid w:val="000C7A27"/>
    <w:rsid w:val="000D085B"/>
    <w:rsid w:val="000D0D78"/>
    <w:rsid w:val="000D22FB"/>
    <w:rsid w:val="000D487F"/>
    <w:rsid w:val="000D4BFA"/>
    <w:rsid w:val="000D4C7F"/>
    <w:rsid w:val="000D667A"/>
    <w:rsid w:val="000E1C45"/>
    <w:rsid w:val="000E2444"/>
    <w:rsid w:val="000E3E15"/>
    <w:rsid w:val="000E4F0D"/>
    <w:rsid w:val="000E5100"/>
    <w:rsid w:val="000E7ECD"/>
    <w:rsid w:val="000F05E0"/>
    <w:rsid w:val="000F1A95"/>
    <w:rsid w:val="000F6BFE"/>
    <w:rsid w:val="000F7DF4"/>
    <w:rsid w:val="0010068E"/>
    <w:rsid w:val="001009AB"/>
    <w:rsid w:val="00100F9A"/>
    <w:rsid w:val="0010218C"/>
    <w:rsid w:val="00102D5B"/>
    <w:rsid w:val="001044DB"/>
    <w:rsid w:val="00105EB6"/>
    <w:rsid w:val="0010622C"/>
    <w:rsid w:val="001078B5"/>
    <w:rsid w:val="00107A5F"/>
    <w:rsid w:val="0011026A"/>
    <w:rsid w:val="001106C0"/>
    <w:rsid w:val="0011077B"/>
    <w:rsid w:val="00110EF0"/>
    <w:rsid w:val="001124A5"/>
    <w:rsid w:val="00116EB9"/>
    <w:rsid w:val="00120E93"/>
    <w:rsid w:val="001226DE"/>
    <w:rsid w:val="00123296"/>
    <w:rsid w:val="0012621C"/>
    <w:rsid w:val="00130228"/>
    <w:rsid w:val="00131984"/>
    <w:rsid w:val="00131A28"/>
    <w:rsid w:val="00131D4E"/>
    <w:rsid w:val="001337CC"/>
    <w:rsid w:val="00134C11"/>
    <w:rsid w:val="00135C81"/>
    <w:rsid w:val="00136FDC"/>
    <w:rsid w:val="00137E08"/>
    <w:rsid w:val="00142F79"/>
    <w:rsid w:val="001435EB"/>
    <w:rsid w:val="00144974"/>
    <w:rsid w:val="00146BA3"/>
    <w:rsid w:val="001517E0"/>
    <w:rsid w:val="00157785"/>
    <w:rsid w:val="00157898"/>
    <w:rsid w:val="00157C19"/>
    <w:rsid w:val="00160EBC"/>
    <w:rsid w:val="00160F58"/>
    <w:rsid w:val="00163A58"/>
    <w:rsid w:val="00164B7B"/>
    <w:rsid w:val="00170B58"/>
    <w:rsid w:val="00172B5C"/>
    <w:rsid w:val="00173547"/>
    <w:rsid w:val="00174B6D"/>
    <w:rsid w:val="0017614D"/>
    <w:rsid w:val="0018006A"/>
    <w:rsid w:val="00180F4E"/>
    <w:rsid w:val="00181923"/>
    <w:rsid w:val="00181E7E"/>
    <w:rsid w:val="00182175"/>
    <w:rsid w:val="00184625"/>
    <w:rsid w:val="00186769"/>
    <w:rsid w:val="001870AF"/>
    <w:rsid w:val="001877FF"/>
    <w:rsid w:val="00191768"/>
    <w:rsid w:val="00192869"/>
    <w:rsid w:val="001943D2"/>
    <w:rsid w:val="001954F0"/>
    <w:rsid w:val="00195571"/>
    <w:rsid w:val="001955AB"/>
    <w:rsid w:val="00196742"/>
    <w:rsid w:val="001A4F33"/>
    <w:rsid w:val="001A5035"/>
    <w:rsid w:val="001A7B64"/>
    <w:rsid w:val="001B0D01"/>
    <w:rsid w:val="001B2578"/>
    <w:rsid w:val="001B2FE4"/>
    <w:rsid w:val="001B377F"/>
    <w:rsid w:val="001B48BE"/>
    <w:rsid w:val="001B505F"/>
    <w:rsid w:val="001B69E3"/>
    <w:rsid w:val="001C04BC"/>
    <w:rsid w:val="001C2DD7"/>
    <w:rsid w:val="001C48A5"/>
    <w:rsid w:val="001C7061"/>
    <w:rsid w:val="001D0962"/>
    <w:rsid w:val="001D214B"/>
    <w:rsid w:val="001D363F"/>
    <w:rsid w:val="001D4C5E"/>
    <w:rsid w:val="001D5A9D"/>
    <w:rsid w:val="001D5F83"/>
    <w:rsid w:val="001D61C8"/>
    <w:rsid w:val="001E0F36"/>
    <w:rsid w:val="001E1834"/>
    <w:rsid w:val="001E1B07"/>
    <w:rsid w:val="001E24E0"/>
    <w:rsid w:val="001E4824"/>
    <w:rsid w:val="001E640A"/>
    <w:rsid w:val="001E6A6E"/>
    <w:rsid w:val="001E701F"/>
    <w:rsid w:val="001E7844"/>
    <w:rsid w:val="001E78D5"/>
    <w:rsid w:val="001E7C8F"/>
    <w:rsid w:val="001F2276"/>
    <w:rsid w:val="001F335C"/>
    <w:rsid w:val="001F3A41"/>
    <w:rsid w:val="001F59AB"/>
    <w:rsid w:val="00201DC6"/>
    <w:rsid w:val="00201F12"/>
    <w:rsid w:val="00206D6C"/>
    <w:rsid w:val="00207573"/>
    <w:rsid w:val="002115FE"/>
    <w:rsid w:val="00212344"/>
    <w:rsid w:val="00213565"/>
    <w:rsid w:val="0021430F"/>
    <w:rsid w:val="00215EBC"/>
    <w:rsid w:val="0021730A"/>
    <w:rsid w:val="00217399"/>
    <w:rsid w:val="002203EC"/>
    <w:rsid w:val="00222854"/>
    <w:rsid w:val="00224363"/>
    <w:rsid w:val="0022594E"/>
    <w:rsid w:val="00226444"/>
    <w:rsid w:val="00226ADA"/>
    <w:rsid w:val="00227379"/>
    <w:rsid w:val="00227A3A"/>
    <w:rsid w:val="00230640"/>
    <w:rsid w:val="00230B10"/>
    <w:rsid w:val="00231325"/>
    <w:rsid w:val="002327AF"/>
    <w:rsid w:val="0023410F"/>
    <w:rsid w:val="002363B6"/>
    <w:rsid w:val="0023677B"/>
    <w:rsid w:val="00236B9D"/>
    <w:rsid w:val="0023768E"/>
    <w:rsid w:val="002402F6"/>
    <w:rsid w:val="00245504"/>
    <w:rsid w:val="00245BEB"/>
    <w:rsid w:val="0024651B"/>
    <w:rsid w:val="00247551"/>
    <w:rsid w:val="00250530"/>
    <w:rsid w:val="0025056A"/>
    <w:rsid w:val="00252FC1"/>
    <w:rsid w:val="00253273"/>
    <w:rsid w:val="00256208"/>
    <w:rsid w:val="00256FCC"/>
    <w:rsid w:val="00257A15"/>
    <w:rsid w:val="002606D8"/>
    <w:rsid w:val="00260A94"/>
    <w:rsid w:val="00260B67"/>
    <w:rsid w:val="002612A5"/>
    <w:rsid w:val="00261583"/>
    <w:rsid w:val="0026158F"/>
    <w:rsid w:val="002617D8"/>
    <w:rsid w:val="00262D2A"/>
    <w:rsid w:val="002635B7"/>
    <w:rsid w:val="00263B8D"/>
    <w:rsid w:val="0026495C"/>
    <w:rsid w:val="00265010"/>
    <w:rsid w:val="00265180"/>
    <w:rsid w:val="00265AEB"/>
    <w:rsid w:val="0026634E"/>
    <w:rsid w:val="0026645C"/>
    <w:rsid w:val="002705E9"/>
    <w:rsid w:val="00273903"/>
    <w:rsid w:val="00274C64"/>
    <w:rsid w:val="00275410"/>
    <w:rsid w:val="00276100"/>
    <w:rsid w:val="00277EB6"/>
    <w:rsid w:val="0028182D"/>
    <w:rsid w:val="00281FB4"/>
    <w:rsid w:val="002837F3"/>
    <w:rsid w:val="002852C4"/>
    <w:rsid w:val="00285664"/>
    <w:rsid w:val="00287A18"/>
    <w:rsid w:val="00287A26"/>
    <w:rsid w:val="00290DC6"/>
    <w:rsid w:val="00290E92"/>
    <w:rsid w:val="0029395B"/>
    <w:rsid w:val="00294129"/>
    <w:rsid w:val="00294313"/>
    <w:rsid w:val="002960D0"/>
    <w:rsid w:val="002971BA"/>
    <w:rsid w:val="002A01B5"/>
    <w:rsid w:val="002A080F"/>
    <w:rsid w:val="002A0EB5"/>
    <w:rsid w:val="002A157A"/>
    <w:rsid w:val="002A1950"/>
    <w:rsid w:val="002A1D97"/>
    <w:rsid w:val="002A1E2F"/>
    <w:rsid w:val="002A21AF"/>
    <w:rsid w:val="002A2AA4"/>
    <w:rsid w:val="002A3836"/>
    <w:rsid w:val="002A3C5C"/>
    <w:rsid w:val="002A61D9"/>
    <w:rsid w:val="002A6332"/>
    <w:rsid w:val="002A6593"/>
    <w:rsid w:val="002A6B82"/>
    <w:rsid w:val="002A73A7"/>
    <w:rsid w:val="002B0DEA"/>
    <w:rsid w:val="002B31B7"/>
    <w:rsid w:val="002B3FE3"/>
    <w:rsid w:val="002B54B7"/>
    <w:rsid w:val="002B6730"/>
    <w:rsid w:val="002B7874"/>
    <w:rsid w:val="002C1ECF"/>
    <w:rsid w:val="002C1ED3"/>
    <w:rsid w:val="002C3A0D"/>
    <w:rsid w:val="002C45D8"/>
    <w:rsid w:val="002C7128"/>
    <w:rsid w:val="002D4CBC"/>
    <w:rsid w:val="002D6D70"/>
    <w:rsid w:val="002D7292"/>
    <w:rsid w:val="002E0CCA"/>
    <w:rsid w:val="002E141A"/>
    <w:rsid w:val="002E1B95"/>
    <w:rsid w:val="002E3EC7"/>
    <w:rsid w:val="002E4808"/>
    <w:rsid w:val="002E483E"/>
    <w:rsid w:val="002E5F4E"/>
    <w:rsid w:val="002E6D7C"/>
    <w:rsid w:val="002E7045"/>
    <w:rsid w:val="002E7199"/>
    <w:rsid w:val="002F012F"/>
    <w:rsid w:val="002F0513"/>
    <w:rsid w:val="002F0990"/>
    <w:rsid w:val="002F0C58"/>
    <w:rsid w:val="002F13D1"/>
    <w:rsid w:val="002F37F8"/>
    <w:rsid w:val="002F4EDB"/>
    <w:rsid w:val="002F60D3"/>
    <w:rsid w:val="002F7574"/>
    <w:rsid w:val="00300A59"/>
    <w:rsid w:val="0030214A"/>
    <w:rsid w:val="00302E78"/>
    <w:rsid w:val="003035F7"/>
    <w:rsid w:val="00306288"/>
    <w:rsid w:val="003140F9"/>
    <w:rsid w:val="003148EA"/>
    <w:rsid w:val="003150CA"/>
    <w:rsid w:val="00315CB8"/>
    <w:rsid w:val="00315D8D"/>
    <w:rsid w:val="003168ED"/>
    <w:rsid w:val="003172EB"/>
    <w:rsid w:val="00317AB4"/>
    <w:rsid w:val="00321E11"/>
    <w:rsid w:val="0032222B"/>
    <w:rsid w:val="003228A7"/>
    <w:rsid w:val="00324CE8"/>
    <w:rsid w:val="00325BD4"/>
    <w:rsid w:val="00326A33"/>
    <w:rsid w:val="0032785C"/>
    <w:rsid w:val="00327E36"/>
    <w:rsid w:val="00327E53"/>
    <w:rsid w:val="00330795"/>
    <w:rsid w:val="00330E85"/>
    <w:rsid w:val="0033219D"/>
    <w:rsid w:val="00334624"/>
    <w:rsid w:val="00335693"/>
    <w:rsid w:val="00335897"/>
    <w:rsid w:val="0033634C"/>
    <w:rsid w:val="0033669D"/>
    <w:rsid w:val="003367DD"/>
    <w:rsid w:val="00336DE6"/>
    <w:rsid w:val="0034206E"/>
    <w:rsid w:val="00343E5D"/>
    <w:rsid w:val="0034439B"/>
    <w:rsid w:val="003455A7"/>
    <w:rsid w:val="003469BB"/>
    <w:rsid w:val="00350743"/>
    <w:rsid w:val="00350A47"/>
    <w:rsid w:val="003513CA"/>
    <w:rsid w:val="00351FAC"/>
    <w:rsid w:val="003529AF"/>
    <w:rsid w:val="00353652"/>
    <w:rsid w:val="003564CA"/>
    <w:rsid w:val="0035756C"/>
    <w:rsid w:val="00357751"/>
    <w:rsid w:val="003601F1"/>
    <w:rsid w:val="00360BFC"/>
    <w:rsid w:val="00362A40"/>
    <w:rsid w:val="00363BF3"/>
    <w:rsid w:val="003649E8"/>
    <w:rsid w:val="00366631"/>
    <w:rsid w:val="003679D5"/>
    <w:rsid w:val="00367B79"/>
    <w:rsid w:val="003700BB"/>
    <w:rsid w:val="0037015D"/>
    <w:rsid w:val="0037217E"/>
    <w:rsid w:val="00373BB6"/>
    <w:rsid w:val="00374F02"/>
    <w:rsid w:val="00375614"/>
    <w:rsid w:val="00380E60"/>
    <w:rsid w:val="00381483"/>
    <w:rsid w:val="00381C36"/>
    <w:rsid w:val="00381D62"/>
    <w:rsid w:val="00382ADF"/>
    <w:rsid w:val="003869D5"/>
    <w:rsid w:val="003905B9"/>
    <w:rsid w:val="0039206E"/>
    <w:rsid w:val="00392A4B"/>
    <w:rsid w:val="00392AA2"/>
    <w:rsid w:val="00393BA3"/>
    <w:rsid w:val="0039527F"/>
    <w:rsid w:val="00395A71"/>
    <w:rsid w:val="0039682A"/>
    <w:rsid w:val="003A0A65"/>
    <w:rsid w:val="003A37F4"/>
    <w:rsid w:val="003A4F1D"/>
    <w:rsid w:val="003A4F95"/>
    <w:rsid w:val="003A51A4"/>
    <w:rsid w:val="003A6F71"/>
    <w:rsid w:val="003A745C"/>
    <w:rsid w:val="003A7AA6"/>
    <w:rsid w:val="003A7BAA"/>
    <w:rsid w:val="003B01D4"/>
    <w:rsid w:val="003B10EC"/>
    <w:rsid w:val="003B1570"/>
    <w:rsid w:val="003B15C9"/>
    <w:rsid w:val="003B21BF"/>
    <w:rsid w:val="003B3C31"/>
    <w:rsid w:val="003B43B8"/>
    <w:rsid w:val="003B5FEE"/>
    <w:rsid w:val="003B76D9"/>
    <w:rsid w:val="003C02D4"/>
    <w:rsid w:val="003C0CEB"/>
    <w:rsid w:val="003C351A"/>
    <w:rsid w:val="003C3BC6"/>
    <w:rsid w:val="003C3CDF"/>
    <w:rsid w:val="003C5934"/>
    <w:rsid w:val="003C7080"/>
    <w:rsid w:val="003D11D0"/>
    <w:rsid w:val="003D239A"/>
    <w:rsid w:val="003D2C74"/>
    <w:rsid w:val="003D5245"/>
    <w:rsid w:val="003D5507"/>
    <w:rsid w:val="003D5A10"/>
    <w:rsid w:val="003D5E6D"/>
    <w:rsid w:val="003D7CB9"/>
    <w:rsid w:val="003E0F7C"/>
    <w:rsid w:val="003E2B73"/>
    <w:rsid w:val="003E2F03"/>
    <w:rsid w:val="003E3BBF"/>
    <w:rsid w:val="003E424A"/>
    <w:rsid w:val="003E6913"/>
    <w:rsid w:val="003E718A"/>
    <w:rsid w:val="003E75F3"/>
    <w:rsid w:val="003F0D9E"/>
    <w:rsid w:val="003F1974"/>
    <w:rsid w:val="003F2109"/>
    <w:rsid w:val="003F2790"/>
    <w:rsid w:val="003F50FF"/>
    <w:rsid w:val="003F5900"/>
    <w:rsid w:val="003F6355"/>
    <w:rsid w:val="00400266"/>
    <w:rsid w:val="00401A9A"/>
    <w:rsid w:val="00402EEA"/>
    <w:rsid w:val="00404201"/>
    <w:rsid w:val="00404905"/>
    <w:rsid w:val="00405CEF"/>
    <w:rsid w:val="00406337"/>
    <w:rsid w:val="00406A00"/>
    <w:rsid w:val="004074B3"/>
    <w:rsid w:val="004075EA"/>
    <w:rsid w:val="00410C82"/>
    <w:rsid w:val="0041108E"/>
    <w:rsid w:val="00412DF2"/>
    <w:rsid w:val="004138F5"/>
    <w:rsid w:val="00413D22"/>
    <w:rsid w:val="00414C90"/>
    <w:rsid w:val="00416007"/>
    <w:rsid w:val="004165B0"/>
    <w:rsid w:val="004165D6"/>
    <w:rsid w:val="0042163E"/>
    <w:rsid w:val="00422CB9"/>
    <w:rsid w:val="00423163"/>
    <w:rsid w:val="004244A5"/>
    <w:rsid w:val="00425B29"/>
    <w:rsid w:val="00427318"/>
    <w:rsid w:val="004276CD"/>
    <w:rsid w:val="0042778E"/>
    <w:rsid w:val="00427843"/>
    <w:rsid w:val="004302B6"/>
    <w:rsid w:val="00431246"/>
    <w:rsid w:val="0043230A"/>
    <w:rsid w:val="0043511C"/>
    <w:rsid w:val="0043512E"/>
    <w:rsid w:val="00435538"/>
    <w:rsid w:val="00437E88"/>
    <w:rsid w:val="00440672"/>
    <w:rsid w:val="00441E70"/>
    <w:rsid w:val="00443779"/>
    <w:rsid w:val="00443CCC"/>
    <w:rsid w:val="004441E4"/>
    <w:rsid w:val="004448E8"/>
    <w:rsid w:val="004474FB"/>
    <w:rsid w:val="00447AF1"/>
    <w:rsid w:val="004528CC"/>
    <w:rsid w:val="004529C3"/>
    <w:rsid w:val="0045608B"/>
    <w:rsid w:val="004652FD"/>
    <w:rsid w:val="004657F4"/>
    <w:rsid w:val="00465D8B"/>
    <w:rsid w:val="00466979"/>
    <w:rsid w:val="00466D17"/>
    <w:rsid w:val="00467E20"/>
    <w:rsid w:val="00472A4C"/>
    <w:rsid w:val="00472B05"/>
    <w:rsid w:val="00472E85"/>
    <w:rsid w:val="00473068"/>
    <w:rsid w:val="004735D5"/>
    <w:rsid w:val="0047556B"/>
    <w:rsid w:val="00475C2D"/>
    <w:rsid w:val="00477226"/>
    <w:rsid w:val="004813E8"/>
    <w:rsid w:val="004827F3"/>
    <w:rsid w:val="004829F2"/>
    <w:rsid w:val="00485D12"/>
    <w:rsid w:val="00486114"/>
    <w:rsid w:val="004863E4"/>
    <w:rsid w:val="00487264"/>
    <w:rsid w:val="00490D2A"/>
    <w:rsid w:val="0049105D"/>
    <w:rsid w:val="004918C4"/>
    <w:rsid w:val="004932A2"/>
    <w:rsid w:val="00496B02"/>
    <w:rsid w:val="00496E8C"/>
    <w:rsid w:val="00496EAA"/>
    <w:rsid w:val="004A00B9"/>
    <w:rsid w:val="004A0862"/>
    <w:rsid w:val="004A08D7"/>
    <w:rsid w:val="004A5151"/>
    <w:rsid w:val="004A5DB1"/>
    <w:rsid w:val="004A687F"/>
    <w:rsid w:val="004A7359"/>
    <w:rsid w:val="004A7889"/>
    <w:rsid w:val="004B3161"/>
    <w:rsid w:val="004B5BAF"/>
    <w:rsid w:val="004B5CB4"/>
    <w:rsid w:val="004B632A"/>
    <w:rsid w:val="004B7E82"/>
    <w:rsid w:val="004C0617"/>
    <w:rsid w:val="004C06AD"/>
    <w:rsid w:val="004C0946"/>
    <w:rsid w:val="004C0C08"/>
    <w:rsid w:val="004C13CF"/>
    <w:rsid w:val="004C7EB2"/>
    <w:rsid w:val="004D0163"/>
    <w:rsid w:val="004D0AC5"/>
    <w:rsid w:val="004D19EB"/>
    <w:rsid w:val="004D1AAF"/>
    <w:rsid w:val="004D3210"/>
    <w:rsid w:val="004D35C6"/>
    <w:rsid w:val="004D61A9"/>
    <w:rsid w:val="004E06B4"/>
    <w:rsid w:val="004E189A"/>
    <w:rsid w:val="004E1A28"/>
    <w:rsid w:val="004E2076"/>
    <w:rsid w:val="004E2F8E"/>
    <w:rsid w:val="004E318F"/>
    <w:rsid w:val="004E5A0A"/>
    <w:rsid w:val="004E6694"/>
    <w:rsid w:val="004E6764"/>
    <w:rsid w:val="004E791F"/>
    <w:rsid w:val="004F021C"/>
    <w:rsid w:val="004F1757"/>
    <w:rsid w:val="004F1D20"/>
    <w:rsid w:val="004F326C"/>
    <w:rsid w:val="004F38A6"/>
    <w:rsid w:val="004F444A"/>
    <w:rsid w:val="004F5575"/>
    <w:rsid w:val="004F79D9"/>
    <w:rsid w:val="005014BC"/>
    <w:rsid w:val="00501617"/>
    <w:rsid w:val="00502229"/>
    <w:rsid w:val="005030DE"/>
    <w:rsid w:val="00504BCF"/>
    <w:rsid w:val="0050634D"/>
    <w:rsid w:val="005078B2"/>
    <w:rsid w:val="005079C1"/>
    <w:rsid w:val="00507BBF"/>
    <w:rsid w:val="00511260"/>
    <w:rsid w:val="00511565"/>
    <w:rsid w:val="0051172C"/>
    <w:rsid w:val="0051380C"/>
    <w:rsid w:val="00514878"/>
    <w:rsid w:val="0051706E"/>
    <w:rsid w:val="00520E7F"/>
    <w:rsid w:val="00523DBC"/>
    <w:rsid w:val="005244E9"/>
    <w:rsid w:val="00525DF3"/>
    <w:rsid w:val="00530509"/>
    <w:rsid w:val="00532080"/>
    <w:rsid w:val="00545009"/>
    <w:rsid w:val="00545140"/>
    <w:rsid w:val="00545668"/>
    <w:rsid w:val="0055098F"/>
    <w:rsid w:val="005517B9"/>
    <w:rsid w:val="00553E7D"/>
    <w:rsid w:val="005542BD"/>
    <w:rsid w:val="00556489"/>
    <w:rsid w:val="00556EDA"/>
    <w:rsid w:val="00556FC7"/>
    <w:rsid w:val="005573D6"/>
    <w:rsid w:val="0056029F"/>
    <w:rsid w:val="0056509F"/>
    <w:rsid w:val="00565326"/>
    <w:rsid w:val="005703D6"/>
    <w:rsid w:val="00570A0D"/>
    <w:rsid w:val="00572471"/>
    <w:rsid w:val="00572F7E"/>
    <w:rsid w:val="005754FC"/>
    <w:rsid w:val="00575F9C"/>
    <w:rsid w:val="00576979"/>
    <w:rsid w:val="00577D50"/>
    <w:rsid w:val="00580D85"/>
    <w:rsid w:val="005813AC"/>
    <w:rsid w:val="0058354A"/>
    <w:rsid w:val="00584BA7"/>
    <w:rsid w:val="00586CFB"/>
    <w:rsid w:val="00587D29"/>
    <w:rsid w:val="00591072"/>
    <w:rsid w:val="005934B8"/>
    <w:rsid w:val="00594C9D"/>
    <w:rsid w:val="00595C65"/>
    <w:rsid w:val="00595CC1"/>
    <w:rsid w:val="005964E5"/>
    <w:rsid w:val="005969E2"/>
    <w:rsid w:val="00597705"/>
    <w:rsid w:val="005A2449"/>
    <w:rsid w:val="005A2C73"/>
    <w:rsid w:val="005A3E4D"/>
    <w:rsid w:val="005A4FC0"/>
    <w:rsid w:val="005A71F7"/>
    <w:rsid w:val="005B1333"/>
    <w:rsid w:val="005B1872"/>
    <w:rsid w:val="005B649F"/>
    <w:rsid w:val="005B7922"/>
    <w:rsid w:val="005B7CEE"/>
    <w:rsid w:val="005C1439"/>
    <w:rsid w:val="005C15DC"/>
    <w:rsid w:val="005C1DEC"/>
    <w:rsid w:val="005C28AE"/>
    <w:rsid w:val="005C36E4"/>
    <w:rsid w:val="005C4FDA"/>
    <w:rsid w:val="005C5C47"/>
    <w:rsid w:val="005C6A41"/>
    <w:rsid w:val="005D0320"/>
    <w:rsid w:val="005D0B78"/>
    <w:rsid w:val="005D25D6"/>
    <w:rsid w:val="005D3407"/>
    <w:rsid w:val="005D3941"/>
    <w:rsid w:val="005D411A"/>
    <w:rsid w:val="005D47C3"/>
    <w:rsid w:val="005D5E9D"/>
    <w:rsid w:val="005D6BF3"/>
    <w:rsid w:val="005D6D77"/>
    <w:rsid w:val="005E2F30"/>
    <w:rsid w:val="005E3541"/>
    <w:rsid w:val="005E411E"/>
    <w:rsid w:val="005E560B"/>
    <w:rsid w:val="005E601A"/>
    <w:rsid w:val="005F03D5"/>
    <w:rsid w:val="005F04A5"/>
    <w:rsid w:val="005F158C"/>
    <w:rsid w:val="005F236B"/>
    <w:rsid w:val="005F6D85"/>
    <w:rsid w:val="005F77BC"/>
    <w:rsid w:val="00600269"/>
    <w:rsid w:val="0060138F"/>
    <w:rsid w:val="00603696"/>
    <w:rsid w:val="0060391E"/>
    <w:rsid w:val="0060443D"/>
    <w:rsid w:val="0060486E"/>
    <w:rsid w:val="006055F8"/>
    <w:rsid w:val="006062FB"/>
    <w:rsid w:val="00606867"/>
    <w:rsid w:val="00607419"/>
    <w:rsid w:val="006101AF"/>
    <w:rsid w:val="00612393"/>
    <w:rsid w:val="00612ACF"/>
    <w:rsid w:val="00613E36"/>
    <w:rsid w:val="00614A7A"/>
    <w:rsid w:val="00616B35"/>
    <w:rsid w:val="00617A30"/>
    <w:rsid w:val="00617F99"/>
    <w:rsid w:val="006215E6"/>
    <w:rsid w:val="00621B4B"/>
    <w:rsid w:val="006232F1"/>
    <w:rsid w:val="00623DDE"/>
    <w:rsid w:val="00624695"/>
    <w:rsid w:val="006249C3"/>
    <w:rsid w:val="00625D2D"/>
    <w:rsid w:val="006271A4"/>
    <w:rsid w:val="00630138"/>
    <w:rsid w:val="006313FC"/>
    <w:rsid w:val="006332F2"/>
    <w:rsid w:val="00634B17"/>
    <w:rsid w:val="00635C3E"/>
    <w:rsid w:val="00637A17"/>
    <w:rsid w:val="00641035"/>
    <w:rsid w:val="00641661"/>
    <w:rsid w:val="00644FB0"/>
    <w:rsid w:val="006476E6"/>
    <w:rsid w:val="00650EE2"/>
    <w:rsid w:val="006511A4"/>
    <w:rsid w:val="006513E2"/>
    <w:rsid w:val="00651916"/>
    <w:rsid w:val="00651DE7"/>
    <w:rsid w:val="006531C9"/>
    <w:rsid w:val="006535E1"/>
    <w:rsid w:val="0066025E"/>
    <w:rsid w:val="00661D64"/>
    <w:rsid w:val="00662682"/>
    <w:rsid w:val="006639A0"/>
    <w:rsid w:val="00663D7F"/>
    <w:rsid w:val="00664CD0"/>
    <w:rsid w:val="00665D94"/>
    <w:rsid w:val="006668FE"/>
    <w:rsid w:val="00667591"/>
    <w:rsid w:val="00667F9F"/>
    <w:rsid w:val="006710E7"/>
    <w:rsid w:val="00671A0B"/>
    <w:rsid w:val="0067210D"/>
    <w:rsid w:val="00675C81"/>
    <w:rsid w:val="0068034D"/>
    <w:rsid w:val="00681152"/>
    <w:rsid w:val="00682987"/>
    <w:rsid w:val="00682CE5"/>
    <w:rsid w:val="006841DC"/>
    <w:rsid w:val="0068468E"/>
    <w:rsid w:val="00685DAD"/>
    <w:rsid w:val="0068615D"/>
    <w:rsid w:val="0068675A"/>
    <w:rsid w:val="0069106B"/>
    <w:rsid w:val="00691AF2"/>
    <w:rsid w:val="00691CB2"/>
    <w:rsid w:val="00694527"/>
    <w:rsid w:val="0069550C"/>
    <w:rsid w:val="00697465"/>
    <w:rsid w:val="00697EB1"/>
    <w:rsid w:val="006A1D42"/>
    <w:rsid w:val="006A2310"/>
    <w:rsid w:val="006A2706"/>
    <w:rsid w:val="006A498B"/>
    <w:rsid w:val="006A50DE"/>
    <w:rsid w:val="006A7DA6"/>
    <w:rsid w:val="006B150C"/>
    <w:rsid w:val="006B1DCE"/>
    <w:rsid w:val="006B380A"/>
    <w:rsid w:val="006B42B2"/>
    <w:rsid w:val="006B6180"/>
    <w:rsid w:val="006B692B"/>
    <w:rsid w:val="006C177A"/>
    <w:rsid w:val="006C1B13"/>
    <w:rsid w:val="006C1CD3"/>
    <w:rsid w:val="006C32C4"/>
    <w:rsid w:val="006D067F"/>
    <w:rsid w:val="006D07FB"/>
    <w:rsid w:val="006D5A67"/>
    <w:rsid w:val="006D762E"/>
    <w:rsid w:val="006D7DFD"/>
    <w:rsid w:val="006E16D1"/>
    <w:rsid w:val="006E2B6D"/>
    <w:rsid w:val="006E3957"/>
    <w:rsid w:val="006E3C88"/>
    <w:rsid w:val="006E4C1C"/>
    <w:rsid w:val="006F09D8"/>
    <w:rsid w:val="006F1624"/>
    <w:rsid w:val="006F3052"/>
    <w:rsid w:val="006F31BD"/>
    <w:rsid w:val="006F3259"/>
    <w:rsid w:val="006F3927"/>
    <w:rsid w:val="006F3C00"/>
    <w:rsid w:val="006F78DB"/>
    <w:rsid w:val="00702C42"/>
    <w:rsid w:val="00704A2E"/>
    <w:rsid w:val="007057AB"/>
    <w:rsid w:val="00705F57"/>
    <w:rsid w:val="00707343"/>
    <w:rsid w:val="007073FB"/>
    <w:rsid w:val="00710C28"/>
    <w:rsid w:val="00711C08"/>
    <w:rsid w:val="00711CC1"/>
    <w:rsid w:val="00712ED3"/>
    <w:rsid w:val="00714697"/>
    <w:rsid w:val="00714C9E"/>
    <w:rsid w:val="00715651"/>
    <w:rsid w:val="00717903"/>
    <w:rsid w:val="00717B10"/>
    <w:rsid w:val="00724B29"/>
    <w:rsid w:val="00727A78"/>
    <w:rsid w:val="00730A5A"/>
    <w:rsid w:val="00731207"/>
    <w:rsid w:val="00734430"/>
    <w:rsid w:val="0074053C"/>
    <w:rsid w:val="00743D4D"/>
    <w:rsid w:val="00743DE2"/>
    <w:rsid w:val="00743EB1"/>
    <w:rsid w:val="0074485F"/>
    <w:rsid w:val="007451A8"/>
    <w:rsid w:val="0074527C"/>
    <w:rsid w:val="00745BF2"/>
    <w:rsid w:val="00745E2B"/>
    <w:rsid w:val="00746757"/>
    <w:rsid w:val="00751ADD"/>
    <w:rsid w:val="007520F6"/>
    <w:rsid w:val="007532C0"/>
    <w:rsid w:val="00756020"/>
    <w:rsid w:val="00756098"/>
    <w:rsid w:val="00757F3C"/>
    <w:rsid w:val="007631E0"/>
    <w:rsid w:val="00763628"/>
    <w:rsid w:val="00763BF3"/>
    <w:rsid w:val="00764F87"/>
    <w:rsid w:val="00767A6B"/>
    <w:rsid w:val="00771094"/>
    <w:rsid w:val="00771421"/>
    <w:rsid w:val="00772E4B"/>
    <w:rsid w:val="007744D5"/>
    <w:rsid w:val="0077459E"/>
    <w:rsid w:val="00775448"/>
    <w:rsid w:val="0077676B"/>
    <w:rsid w:val="00780ACA"/>
    <w:rsid w:val="00782782"/>
    <w:rsid w:val="007841E0"/>
    <w:rsid w:val="007863FC"/>
    <w:rsid w:val="007866DC"/>
    <w:rsid w:val="00787463"/>
    <w:rsid w:val="00791465"/>
    <w:rsid w:val="0079276A"/>
    <w:rsid w:val="00794AA8"/>
    <w:rsid w:val="00796986"/>
    <w:rsid w:val="00796F39"/>
    <w:rsid w:val="00796F7A"/>
    <w:rsid w:val="00797A49"/>
    <w:rsid w:val="007A1488"/>
    <w:rsid w:val="007A1A81"/>
    <w:rsid w:val="007A2884"/>
    <w:rsid w:val="007A3705"/>
    <w:rsid w:val="007A39B0"/>
    <w:rsid w:val="007A74AE"/>
    <w:rsid w:val="007A7BBE"/>
    <w:rsid w:val="007B196E"/>
    <w:rsid w:val="007B1F09"/>
    <w:rsid w:val="007B566C"/>
    <w:rsid w:val="007B686F"/>
    <w:rsid w:val="007B6CEF"/>
    <w:rsid w:val="007C17AD"/>
    <w:rsid w:val="007C247A"/>
    <w:rsid w:val="007C4731"/>
    <w:rsid w:val="007C546A"/>
    <w:rsid w:val="007D0644"/>
    <w:rsid w:val="007D0A2D"/>
    <w:rsid w:val="007D3ACE"/>
    <w:rsid w:val="007D64EC"/>
    <w:rsid w:val="007E05A2"/>
    <w:rsid w:val="007E1089"/>
    <w:rsid w:val="007E1B26"/>
    <w:rsid w:val="007E1F8D"/>
    <w:rsid w:val="007E2231"/>
    <w:rsid w:val="007E3546"/>
    <w:rsid w:val="007E4ABB"/>
    <w:rsid w:val="007E5572"/>
    <w:rsid w:val="007E5E24"/>
    <w:rsid w:val="007F1E72"/>
    <w:rsid w:val="007F2C37"/>
    <w:rsid w:val="007F4798"/>
    <w:rsid w:val="00800438"/>
    <w:rsid w:val="00800E41"/>
    <w:rsid w:val="008019A5"/>
    <w:rsid w:val="008020C2"/>
    <w:rsid w:val="008020CD"/>
    <w:rsid w:val="00802CC9"/>
    <w:rsid w:val="00803543"/>
    <w:rsid w:val="00806AFC"/>
    <w:rsid w:val="00810336"/>
    <w:rsid w:val="0081156D"/>
    <w:rsid w:val="00811B30"/>
    <w:rsid w:val="00812D95"/>
    <w:rsid w:val="00813448"/>
    <w:rsid w:val="00814EDE"/>
    <w:rsid w:val="0081612B"/>
    <w:rsid w:val="00816ED1"/>
    <w:rsid w:val="00820A77"/>
    <w:rsid w:val="00821D82"/>
    <w:rsid w:val="008230F2"/>
    <w:rsid w:val="00823442"/>
    <w:rsid w:val="00823CFE"/>
    <w:rsid w:val="008242ED"/>
    <w:rsid w:val="008276BB"/>
    <w:rsid w:val="00830F6A"/>
    <w:rsid w:val="00832EA6"/>
    <w:rsid w:val="00832FD6"/>
    <w:rsid w:val="0083336E"/>
    <w:rsid w:val="00834066"/>
    <w:rsid w:val="008343B4"/>
    <w:rsid w:val="00837B9A"/>
    <w:rsid w:val="00837E1F"/>
    <w:rsid w:val="008405CE"/>
    <w:rsid w:val="008405CF"/>
    <w:rsid w:val="008414F1"/>
    <w:rsid w:val="00841726"/>
    <w:rsid w:val="008417D1"/>
    <w:rsid w:val="008426AA"/>
    <w:rsid w:val="0084295A"/>
    <w:rsid w:val="0084393F"/>
    <w:rsid w:val="008449E4"/>
    <w:rsid w:val="00846269"/>
    <w:rsid w:val="00851511"/>
    <w:rsid w:val="008536CA"/>
    <w:rsid w:val="008547C2"/>
    <w:rsid w:val="00854A89"/>
    <w:rsid w:val="00855355"/>
    <w:rsid w:val="008557C2"/>
    <w:rsid w:val="00855F97"/>
    <w:rsid w:val="0086080D"/>
    <w:rsid w:val="008634DE"/>
    <w:rsid w:val="008647BD"/>
    <w:rsid w:val="008665C4"/>
    <w:rsid w:val="0086751C"/>
    <w:rsid w:val="008677E3"/>
    <w:rsid w:val="00870B41"/>
    <w:rsid w:val="0087195C"/>
    <w:rsid w:val="00873C6E"/>
    <w:rsid w:val="00873EB9"/>
    <w:rsid w:val="00875D5A"/>
    <w:rsid w:val="00875F1E"/>
    <w:rsid w:val="00880351"/>
    <w:rsid w:val="0088086C"/>
    <w:rsid w:val="008825BB"/>
    <w:rsid w:val="00882735"/>
    <w:rsid w:val="0088275A"/>
    <w:rsid w:val="00882EFE"/>
    <w:rsid w:val="00885C05"/>
    <w:rsid w:val="00885F6F"/>
    <w:rsid w:val="00890F28"/>
    <w:rsid w:val="00892541"/>
    <w:rsid w:val="0089372D"/>
    <w:rsid w:val="00893E14"/>
    <w:rsid w:val="0089533C"/>
    <w:rsid w:val="00895554"/>
    <w:rsid w:val="008957A8"/>
    <w:rsid w:val="00895A54"/>
    <w:rsid w:val="00896B6A"/>
    <w:rsid w:val="0089773E"/>
    <w:rsid w:val="008A0454"/>
    <w:rsid w:val="008A1381"/>
    <w:rsid w:val="008A1A60"/>
    <w:rsid w:val="008A3B56"/>
    <w:rsid w:val="008A4281"/>
    <w:rsid w:val="008A537D"/>
    <w:rsid w:val="008A7240"/>
    <w:rsid w:val="008A75F3"/>
    <w:rsid w:val="008A7BFC"/>
    <w:rsid w:val="008A7CF7"/>
    <w:rsid w:val="008A7FAD"/>
    <w:rsid w:val="008B100F"/>
    <w:rsid w:val="008B1DA6"/>
    <w:rsid w:val="008B3660"/>
    <w:rsid w:val="008C210D"/>
    <w:rsid w:val="008C3E59"/>
    <w:rsid w:val="008C480D"/>
    <w:rsid w:val="008C4C45"/>
    <w:rsid w:val="008C651B"/>
    <w:rsid w:val="008C7138"/>
    <w:rsid w:val="008D136B"/>
    <w:rsid w:val="008D2564"/>
    <w:rsid w:val="008D3C26"/>
    <w:rsid w:val="008E1626"/>
    <w:rsid w:val="008E270C"/>
    <w:rsid w:val="008E49AB"/>
    <w:rsid w:val="008E51D4"/>
    <w:rsid w:val="008E5DD7"/>
    <w:rsid w:val="008E66F8"/>
    <w:rsid w:val="008E74EF"/>
    <w:rsid w:val="008E7904"/>
    <w:rsid w:val="008E7EFA"/>
    <w:rsid w:val="008F051D"/>
    <w:rsid w:val="008F0FC5"/>
    <w:rsid w:val="008F0FD2"/>
    <w:rsid w:val="008F17A3"/>
    <w:rsid w:val="008F4376"/>
    <w:rsid w:val="008F59AF"/>
    <w:rsid w:val="008F5B07"/>
    <w:rsid w:val="008F5E59"/>
    <w:rsid w:val="008F61FC"/>
    <w:rsid w:val="008F6554"/>
    <w:rsid w:val="008F70C4"/>
    <w:rsid w:val="008F74A5"/>
    <w:rsid w:val="00901474"/>
    <w:rsid w:val="009014FD"/>
    <w:rsid w:val="00902AA7"/>
    <w:rsid w:val="00902C55"/>
    <w:rsid w:val="00903496"/>
    <w:rsid w:val="00903A37"/>
    <w:rsid w:val="009041F8"/>
    <w:rsid w:val="00904D53"/>
    <w:rsid w:val="00905C49"/>
    <w:rsid w:val="00906C53"/>
    <w:rsid w:val="0090737A"/>
    <w:rsid w:val="00911315"/>
    <w:rsid w:val="0091491D"/>
    <w:rsid w:val="0091517B"/>
    <w:rsid w:val="00921597"/>
    <w:rsid w:val="00921696"/>
    <w:rsid w:val="0092525C"/>
    <w:rsid w:val="009257EE"/>
    <w:rsid w:val="009262E3"/>
    <w:rsid w:val="00927E7F"/>
    <w:rsid w:val="009300E6"/>
    <w:rsid w:val="00931856"/>
    <w:rsid w:val="00931957"/>
    <w:rsid w:val="00932259"/>
    <w:rsid w:val="00937B2D"/>
    <w:rsid w:val="00937F6E"/>
    <w:rsid w:val="00940225"/>
    <w:rsid w:val="009429D4"/>
    <w:rsid w:val="00943D4D"/>
    <w:rsid w:val="00944464"/>
    <w:rsid w:val="00945BC4"/>
    <w:rsid w:val="009503FE"/>
    <w:rsid w:val="0095291D"/>
    <w:rsid w:val="00954778"/>
    <w:rsid w:val="0095687B"/>
    <w:rsid w:val="00957730"/>
    <w:rsid w:val="00960CDB"/>
    <w:rsid w:val="00962E0E"/>
    <w:rsid w:val="00964882"/>
    <w:rsid w:val="009648F1"/>
    <w:rsid w:val="00964C44"/>
    <w:rsid w:val="00964DFA"/>
    <w:rsid w:val="0096634B"/>
    <w:rsid w:val="0097136D"/>
    <w:rsid w:val="00971D2F"/>
    <w:rsid w:val="009737E6"/>
    <w:rsid w:val="0097492C"/>
    <w:rsid w:val="00974E2D"/>
    <w:rsid w:val="00975DB5"/>
    <w:rsid w:val="00975FB3"/>
    <w:rsid w:val="00976DCD"/>
    <w:rsid w:val="00976F0D"/>
    <w:rsid w:val="0098066C"/>
    <w:rsid w:val="009812F2"/>
    <w:rsid w:val="009814B0"/>
    <w:rsid w:val="00981871"/>
    <w:rsid w:val="00981C0B"/>
    <w:rsid w:val="00984181"/>
    <w:rsid w:val="0098571F"/>
    <w:rsid w:val="00987780"/>
    <w:rsid w:val="0099005D"/>
    <w:rsid w:val="00992B0D"/>
    <w:rsid w:val="009949C6"/>
    <w:rsid w:val="009969E0"/>
    <w:rsid w:val="00996B5C"/>
    <w:rsid w:val="009A0545"/>
    <w:rsid w:val="009A0B4E"/>
    <w:rsid w:val="009A1EC2"/>
    <w:rsid w:val="009A2CD9"/>
    <w:rsid w:val="009A36AF"/>
    <w:rsid w:val="009A3E97"/>
    <w:rsid w:val="009A591E"/>
    <w:rsid w:val="009A77E7"/>
    <w:rsid w:val="009B1B5C"/>
    <w:rsid w:val="009B306D"/>
    <w:rsid w:val="009B5983"/>
    <w:rsid w:val="009B75D9"/>
    <w:rsid w:val="009B7B65"/>
    <w:rsid w:val="009C052D"/>
    <w:rsid w:val="009C09A0"/>
    <w:rsid w:val="009C2135"/>
    <w:rsid w:val="009C323D"/>
    <w:rsid w:val="009C36F1"/>
    <w:rsid w:val="009C3B51"/>
    <w:rsid w:val="009C3E3C"/>
    <w:rsid w:val="009C4F54"/>
    <w:rsid w:val="009C5271"/>
    <w:rsid w:val="009C63A4"/>
    <w:rsid w:val="009C63D5"/>
    <w:rsid w:val="009C6B5F"/>
    <w:rsid w:val="009C787C"/>
    <w:rsid w:val="009C7FC6"/>
    <w:rsid w:val="009D161A"/>
    <w:rsid w:val="009D1693"/>
    <w:rsid w:val="009D1BCC"/>
    <w:rsid w:val="009D3D26"/>
    <w:rsid w:val="009D4AB7"/>
    <w:rsid w:val="009D5302"/>
    <w:rsid w:val="009D62F3"/>
    <w:rsid w:val="009D754F"/>
    <w:rsid w:val="009E1896"/>
    <w:rsid w:val="009E1980"/>
    <w:rsid w:val="009E1ACC"/>
    <w:rsid w:val="009E20B0"/>
    <w:rsid w:val="009E2833"/>
    <w:rsid w:val="009E2BB3"/>
    <w:rsid w:val="009E325E"/>
    <w:rsid w:val="009E3484"/>
    <w:rsid w:val="009E569F"/>
    <w:rsid w:val="009E5FDA"/>
    <w:rsid w:val="009E646F"/>
    <w:rsid w:val="009E776E"/>
    <w:rsid w:val="009F078B"/>
    <w:rsid w:val="009F1760"/>
    <w:rsid w:val="009F4396"/>
    <w:rsid w:val="009F5BAA"/>
    <w:rsid w:val="009F5D93"/>
    <w:rsid w:val="009F6F14"/>
    <w:rsid w:val="009F7433"/>
    <w:rsid w:val="00A00F3C"/>
    <w:rsid w:val="00A0144A"/>
    <w:rsid w:val="00A02844"/>
    <w:rsid w:val="00A034F2"/>
    <w:rsid w:val="00A041B3"/>
    <w:rsid w:val="00A042CC"/>
    <w:rsid w:val="00A06BF5"/>
    <w:rsid w:val="00A076B8"/>
    <w:rsid w:val="00A07E9C"/>
    <w:rsid w:val="00A10709"/>
    <w:rsid w:val="00A11066"/>
    <w:rsid w:val="00A1196D"/>
    <w:rsid w:val="00A11A36"/>
    <w:rsid w:val="00A11BF0"/>
    <w:rsid w:val="00A122F8"/>
    <w:rsid w:val="00A1243E"/>
    <w:rsid w:val="00A12914"/>
    <w:rsid w:val="00A12EEB"/>
    <w:rsid w:val="00A14173"/>
    <w:rsid w:val="00A167B8"/>
    <w:rsid w:val="00A17060"/>
    <w:rsid w:val="00A17ED7"/>
    <w:rsid w:val="00A20492"/>
    <w:rsid w:val="00A2185E"/>
    <w:rsid w:val="00A21919"/>
    <w:rsid w:val="00A26381"/>
    <w:rsid w:val="00A31C08"/>
    <w:rsid w:val="00A32889"/>
    <w:rsid w:val="00A331C2"/>
    <w:rsid w:val="00A33C3C"/>
    <w:rsid w:val="00A36A40"/>
    <w:rsid w:val="00A36D42"/>
    <w:rsid w:val="00A414A1"/>
    <w:rsid w:val="00A41BC0"/>
    <w:rsid w:val="00A42893"/>
    <w:rsid w:val="00A42906"/>
    <w:rsid w:val="00A43E5D"/>
    <w:rsid w:val="00A45490"/>
    <w:rsid w:val="00A46CE8"/>
    <w:rsid w:val="00A4723D"/>
    <w:rsid w:val="00A47250"/>
    <w:rsid w:val="00A5180C"/>
    <w:rsid w:val="00A521EE"/>
    <w:rsid w:val="00A5427C"/>
    <w:rsid w:val="00A603C3"/>
    <w:rsid w:val="00A61267"/>
    <w:rsid w:val="00A63829"/>
    <w:rsid w:val="00A64250"/>
    <w:rsid w:val="00A64FD8"/>
    <w:rsid w:val="00A6550F"/>
    <w:rsid w:val="00A67C97"/>
    <w:rsid w:val="00A711F9"/>
    <w:rsid w:val="00A71783"/>
    <w:rsid w:val="00A719FE"/>
    <w:rsid w:val="00A74937"/>
    <w:rsid w:val="00A75B8E"/>
    <w:rsid w:val="00A80111"/>
    <w:rsid w:val="00A81DF8"/>
    <w:rsid w:val="00A8297C"/>
    <w:rsid w:val="00A82B55"/>
    <w:rsid w:val="00A83F39"/>
    <w:rsid w:val="00A84210"/>
    <w:rsid w:val="00A85465"/>
    <w:rsid w:val="00A866AE"/>
    <w:rsid w:val="00A878A5"/>
    <w:rsid w:val="00A87D38"/>
    <w:rsid w:val="00A915D9"/>
    <w:rsid w:val="00A92225"/>
    <w:rsid w:val="00A9381F"/>
    <w:rsid w:val="00A958D5"/>
    <w:rsid w:val="00A95B9A"/>
    <w:rsid w:val="00A95CB4"/>
    <w:rsid w:val="00A976E6"/>
    <w:rsid w:val="00AA00D8"/>
    <w:rsid w:val="00AA1826"/>
    <w:rsid w:val="00AA32DA"/>
    <w:rsid w:val="00AA45A4"/>
    <w:rsid w:val="00AA4712"/>
    <w:rsid w:val="00AA4FAB"/>
    <w:rsid w:val="00AA65F4"/>
    <w:rsid w:val="00AA7A71"/>
    <w:rsid w:val="00AB01B3"/>
    <w:rsid w:val="00AB1B2B"/>
    <w:rsid w:val="00AB2494"/>
    <w:rsid w:val="00AB43EE"/>
    <w:rsid w:val="00AB4F07"/>
    <w:rsid w:val="00AB5121"/>
    <w:rsid w:val="00AB51EA"/>
    <w:rsid w:val="00AB6F0C"/>
    <w:rsid w:val="00AC1EC5"/>
    <w:rsid w:val="00AC4AC4"/>
    <w:rsid w:val="00AC5580"/>
    <w:rsid w:val="00AC7F40"/>
    <w:rsid w:val="00AC7FDF"/>
    <w:rsid w:val="00AD0544"/>
    <w:rsid w:val="00AD061A"/>
    <w:rsid w:val="00AD1C15"/>
    <w:rsid w:val="00AD35F0"/>
    <w:rsid w:val="00AD6B3C"/>
    <w:rsid w:val="00AE099A"/>
    <w:rsid w:val="00AE154F"/>
    <w:rsid w:val="00AE18E1"/>
    <w:rsid w:val="00AE1EE1"/>
    <w:rsid w:val="00AE207E"/>
    <w:rsid w:val="00AE2782"/>
    <w:rsid w:val="00AE2C20"/>
    <w:rsid w:val="00AE3DAE"/>
    <w:rsid w:val="00AE412E"/>
    <w:rsid w:val="00AE5E46"/>
    <w:rsid w:val="00AF05EC"/>
    <w:rsid w:val="00AF252E"/>
    <w:rsid w:val="00AF29FE"/>
    <w:rsid w:val="00AF2AE0"/>
    <w:rsid w:val="00AF399D"/>
    <w:rsid w:val="00AF3D6B"/>
    <w:rsid w:val="00AF4917"/>
    <w:rsid w:val="00AF4DC9"/>
    <w:rsid w:val="00AF6292"/>
    <w:rsid w:val="00AF680F"/>
    <w:rsid w:val="00AF6DF0"/>
    <w:rsid w:val="00B00514"/>
    <w:rsid w:val="00B00C04"/>
    <w:rsid w:val="00B01C2D"/>
    <w:rsid w:val="00B01FAF"/>
    <w:rsid w:val="00B04260"/>
    <w:rsid w:val="00B04A4E"/>
    <w:rsid w:val="00B0511A"/>
    <w:rsid w:val="00B05D39"/>
    <w:rsid w:val="00B100BE"/>
    <w:rsid w:val="00B11284"/>
    <w:rsid w:val="00B11F80"/>
    <w:rsid w:val="00B13A6B"/>
    <w:rsid w:val="00B14FF9"/>
    <w:rsid w:val="00B15D9A"/>
    <w:rsid w:val="00B160F4"/>
    <w:rsid w:val="00B1684F"/>
    <w:rsid w:val="00B1722F"/>
    <w:rsid w:val="00B17CCB"/>
    <w:rsid w:val="00B206DE"/>
    <w:rsid w:val="00B207AC"/>
    <w:rsid w:val="00B20D36"/>
    <w:rsid w:val="00B21512"/>
    <w:rsid w:val="00B21FA2"/>
    <w:rsid w:val="00B235FF"/>
    <w:rsid w:val="00B24486"/>
    <w:rsid w:val="00B24846"/>
    <w:rsid w:val="00B26963"/>
    <w:rsid w:val="00B26AA4"/>
    <w:rsid w:val="00B3005A"/>
    <w:rsid w:val="00B30BDA"/>
    <w:rsid w:val="00B30C98"/>
    <w:rsid w:val="00B30E4E"/>
    <w:rsid w:val="00B32AE8"/>
    <w:rsid w:val="00B3323A"/>
    <w:rsid w:val="00B34ECD"/>
    <w:rsid w:val="00B36696"/>
    <w:rsid w:val="00B418D6"/>
    <w:rsid w:val="00B446F9"/>
    <w:rsid w:val="00B45A36"/>
    <w:rsid w:val="00B46ADF"/>
    <w:rsid w:val="00B50382"/>
    <w:rsid w:val="00B512A3"/>
    <w:rsid w:val="00B51F04"/>
    <w:rsid w:val="00B53331"/>
    <w:rsid w:val="00B559B2"/>
    <w:rsid w:val="00B565D4"/>
    <w:rsid w:val="00B56BAF"/>
    <w:rsid w:val="00B56D2F"/>
    <w:rsid w:val="00B56DA8"/>
    <w:rsid w:val="00B57BF8"/>
    <w:rsid w:val="00B60E51"/>
    <w:rsid w:val="00B63584"/>
    <w:rsid w:val="00B63F7F"/>
    <w:rsid w:val="00B6537F"/>
    <w:rsid w:val="00B65433"/>
    <w:rsid w:val="00B65D0C"/>
    <w:rsid w:val="00B65DEE"/>
    <w:rsid w:val="00B673D7"/>
    <w:rsid w:val="00B71571"/>
    <w:rsid w:val="00B715B1"/>
    <w:rsid w:val="00B7369A"/>
    <w:rsid w:val="00B7619E"/>
    <w:rsid w:val="00B77677"/>
    <w:rsid w:val="00B77BF3"/>
    <w:rsid w:val="00B77C55"/>
    <w:rsid w:val="00B80AFC"/>
    <w:rsid w:val="00B83257"/>
    <w:rsid w:val="00B8381D"/>
    <w:rsid w:val="00B84964"/>
    <w:rsid w:val="00B849F3"/>
    <w:rsid w:val="00B85F87"/>
    <w:rsid w:val="00B9092D"/>
    <w:rsid w:val="00B91527"/>
    <w:rsid w:val="00B92470"/>
    <w:rsid w:val="00B929D1"/>
    <w:rsid w:val="00B93AC6"/>
    <w:rsid w:val="00B94653"/>
    <w:rsid w:val="00B95349"/>
    <w:rsid w:val="00B955C0"/>
    <w:rsid w:val="00B95B9C"/>
    <w:rsid w:val="00B961E2"/>
    <w:rsid w:val="00BA0067"/>
    <w:rsid w:val="00BA0F9A"/>
    <w:rsid w:val="00BA2179"/>
    <w:rsid w:val="00BA65AC"/>
    <w:rsid w:val="00BB2985"/>
    <w:rsid w:val="00BC0A20"/>
    <w:rsid w:val="00BC1AC4"/>
    <w:rsid w:val="00BC21A0"/>
    <w:rsid w:val="00BC4EF3"/>
    <w:rsid w:val="00BC77C0"/>
    <w:rsid w:val="00BD0B25"/>
    <w:rsid w:val="00BD234D"/>
    <w:rsid w:val="00BD2561"/>
    <w:rsid w:val="00BD5DCD"/>
    <w:rsid w:val="00BD616D"/>
    <w:rsid w:val="00BD6C4D"/>
    <w:rsid w:val="00BE0997"/>
    <w:rsid w:val="00BE1907"/>
    <w:rsid w:val="00BE1A97"/>
    <w:rsid w:val="00BE3AF3"/>
    <w:rsid w:val="00BE485B"/>
    <w:rsid w:val="00BE5684"/>
    <w:rsid w:val="00BE6A74"/>
    <w:rsid w:val="00BE7D08"/>
    <w:rsid w:val="00BF0840"/>
    <w:rsid w:val="00BF0DFF"/>
    <w:rsid w:val="00BF22B8"/>
    <w:rsid w:val="00BF2603"/>
    <w:rsid w:val="00BF51CE"/>
    <w:rsid w:val="00BF6541"/>
    <w:rsid w:val="00C01A0D"/>
    <w:rsid w:val="00C028D9"/>
    <w:rsid w:val="00C036E4"/>
    <w:rsid w:val="00C03892"/>
    <w:rsid w:val="00C038B8"/>
    <w:rsid w:val="00C03B35"/>
    <w:rsid w:val="00C06574"/>
    <w:rsid w:val="00C06F31"/>
    <w:rsid w:val="00C11EE9"/>
    <w:rsid w:val="00C12B8C"/>
    <w:rsid w:val="00C155D9"/>
    <w:rsid w:val="00C2211D"/>
    <w:rsid w:val="00C2344F"/>
    <w:rsid w:val="00C246F2"/>
    <w:rsid w:val="00C26707"/>
    <w:rsid w:val="00C27719"/>
    <w:rsid w:val="00C31BCD"/>
    <w:rsid w:val="00C320EB"/>
    <w:rsid w:val="00C32F7B"/>
    <w:rsid w:val="00C33845"/>
    <w:rsid w:val="00C3513F"/>
    <w:rsid w:val="00C355AA"/>
    <w:rsid w:val="00C36223"/>
    <w:rsid w:val="00C40725"/>
    <w:rsid w:val="00C4207E"/>
    <w:rsid w:val="00C451A3"/>
    <w:rsid w:val="00C4577E"/>
    <w:rsid w:val="00C50C8F"/>
    <w:rsid w:val="00C50D41"/>
    <w:rsid w:val="00C51156"/>
    <w:rsid w:val="00C53FD7"/>
    <w:rsid w:val="00C55C61"/>
    <w:rsid w:val="00C57047"/>
    <w:rsid w:val="00C64F44"/>
    <w:rsid w:val="00C650ED"/>
    <w:rsid w:val="00C65132"/>
    <w:rsid w:val="00C65F6A"/>
    <w:rsid w:val="00C67F3E"/>
    <w:rsid w:val="00C70CD5"/>
    <w:rsid w:val="00C7194E"/>
    <w:rsid w:val="00C7216F"/>
    <w:rsid w:val="00C730E4"/>
    <w:rsid w:val="00C73BB8"/>
    <w:rsid w:val="00C74CC5"/>
    <w:rsid w:val="00C76B48"/>
    <w:rsid w:val="00C76CC4"/>
    <w:rsid w:val="00C77815"/>
    <w:rsid w:val="00C823C5"/>
    <w:rsid w:val="00C82D42"/>
    <w:rsid w:val="00C8322A"/>
    <w:rsid w:val="00C83583"/>
    <w:rsid w:val="00C84B12"/>
    <w:rsid w:val="00C8620A"/>
    <w:rsid w:val="00C869BC"/>
    <w:rsid w:val="00C8737E"/>
    <w:rsid w:val="00C90444"/>
    <w:rsid w:val="00C9243B"/>
    <w:rsid w:val="00C953C0"/>
    <w:rsid w:val="00C96E5A"/>
    <w:rsid w:val="00C97ACC"/>
    <w:rsid w:val="00CA056D"/>
    <w:rsid w:val="00CA181F"/>
    <w:rsid w:val="00CA22C7"/>
    <w:rsid w:val="00CA2A54"/>
    <w:rsid w:val="00CA2BB0"/>
    <w:rsid w:val="00CA2F7B"/>
    <w:rsid w:val="00CA3219"/>
    <w:rsid w:val="00CB01EB"/>
    <w:rsid w:val="00CB0DFA"/>
    <w:rsid w:val="00CB250C"/>
    <w:rsid w:val="00CB34D5"/>
    <w:rsid w:val="00CB6CB0"/>
    <w:rsid w:val="00CC134C"/>
    <w:rsid w:val="00CC36F9"/>
    <w:rsid w:val="00CC3E8F"/>
    <w:rsid w:val="00CC50AB"/>
    <w:rsid w:val="00CD094F"/>
    <w:rsid w:val="00CD0BA2"/>
    <w:rsid w:val="00CD18DE"/>
    <w:rsid w:val="00CD2E30"/>
    <w:rsid w:val="00CD643B"/>
    <w:rsid w:val="00CD7B7F"/>
    <w:rsid w:val="00CE0D42"/>
    <w:rsid w:val="00CE19D1"/>
    <w:rsid w:val="00CE23EF"/>
    <w:rsid w:val="00CE6197"/>
    <w:rsid w:val="00CE6490"/>
    <w:rsid w:val="00CE6BEE"/>
    <w:rsid w:val="00CE702E"/>
    <w:rsid w:val="00CE7723"/>
    <w:rsid w:val="00CF088A"/>
    <w:rsid w:val="00CF1AEC"/>
    <w:rsid w:val="00CF38F2"/>
    <w:rsid w:val="00CF5CD7"/>
    <w:rsid w:val="00CF79DF"/>
    <w:rsid w:val="00D00702"/>
    <w:rsid w:val="00D01E61"/>
    <w:rsid w:val="00D02296"/>
    <w:rsid w:val="00D02B99"/>
    <w:rsid w:val="00D0306C"/>
    <w:rsid w:val="00D034FA"/>
    <w:rsid w:val="00D06027"/>
    <w:rsid w:val="00D0751A"/>
    <w:rsid w:val="00D078F8"/>
    <w:rsid w:val="00D07D25"/>
    <w:rsid w:val="00D110F0"/>
    <w:rsid w:val="00D116BA"/>
    <w:rsid w:val="00D12852"/>
    <w:rsid w:val="00D13010"/>
    <w:rsid w:val="00D133F0"/>
    <w:rsid w:val="00D143ED"/>
    <w:rsid w:val="00D16C5A"/>
    <w:rsid w:val="00D16DAA"/>
    <w:rsid w:val="00D17E12"/>
    <w:rsid w:val="00D20F59"/>
    <w:rsid w:val="00D21B84"/>
    <w:rsid w:val="00D22983"/>
    <w:rsid w:val="00D25359"/>
    <w:rsid w:val="00D25E7D"/>
    <w:rsid w:val="00D261EA"/>
    <w:rsid w:val="00D26D6A"/>
    <w:rsid w:val="00D27732"/>
    <w:rsid w:val="00D27842"/>
    <w:rsid w:val="00D30628"/>
    <w:rsid w:val="00D30CEE"/>
    <w:rsid w:val="00D31D6C"/>
    <w:rsid w:val="00D32B3D"/>
    <w:rsid w:val="00D33C8D"/>
    <w:rsid w:val="00D37148"/>
    <w:rsid w:val="00D37A00"/>
    <w:rsid w:val="00D40860"/>
    <w:rsid w:val="00D4280D"/>
    <w:rsid w:val="00D42B76"/>
    <w:rsid w:val="00D43787"/>
    <w:rsid w:val="00D447D8"/>
    <w:rsid w:val="00D447FF"/>
    <w:rsid w:val="00D450B5"/>
    <w:rsid w:val="00D45623"/>
    <w:rsid w:val="00D45942"/>
    <w:rsid w:val="00D45968"/>
    <w:rsid w:val="00D468AF"/>
    <w:rsid w:val="00D470FA"/>
    <w:rsid w:val="00D47F57"/>
    <w:rsid w:val="00D50983"/>
    <w:rsid w:val="00D53B35"/>
    <w:rsid w:val="00D53BC5"/>
    <w:rsid w:val="00D5648F"/>
    <w:rsid w:val="00D56E3B"/>
    <w:rsid w:val="00D57CC2"/>
    <w:rsid w:val="00D616EC"/>
    <w:rsid w:val="00D625B8"/>
    <w:rsid w:val="00D648BA"/>
    <w:rsid w:val="00D66709"/>
    <w:rsid w:val="00D66A4D"/>
    <w:rsid w:val="00D724E1"/>
    <w:rsid w:val="00D76A95"/>
    <w:rsid w:val="00D801E1"/>
    <w:rsid w:val="00D82515"/>
    <w:rsid w:val="00D82682"/>
    <w:rsid w:val="00D82E21"/>
    <w:rsid w:val="00D840E2"/>
    <w:rsid w:val="00D846FE"/>
    <w:rsid w:val="00D860CB"/>
    <w:rsid w:val="00D87C68"/>
    <w:rsid w:val="00D92783"/>
    <w:rsid w:val="00D92B70"/>
    <w:rsid w:val="00D92D3B"/>
    <w:rsid w:val="00D9456A"/>
    <w:rsid w:val="00D94B4E"/>
    <w:rsid w:val="00D94DBD"/>
    <w:rsid w:val="00DA00BB"/>
    <w:rsid w:val="00DA38F9"/>
    <w:rsid w:val="00DA4DAF"/>
    <w:rsid w:val="00DA776D"/>
    <w:rsid w:val="00DA7AAB"/>
    <w:rsid w:val="00DB0815"/>
    <w:rsid w:val="00DB1859"/>
    <w:rsid w:val="00DB3ABE"/>
    <w:rsid w:val="00DB52A9"/>
    <w:rsid w:val="00DB6676"/>
    <w:rsid w:val="00DC2ABE"/>
    <w:rsid w:val="00DC40DF"/>
    <w:rsid w:val="00DC59DE"/>
    <w:rsid w:val="00DC7217"/>
    <w:rsid w:val="00DC79BB"/>
    <w:rsid w:val="00DD11EB"/>
    <w:rsid w:val="00DD1B8B"/>
    <w:rsid w:val="00DD1F32"/>
    <w:rsid w:val="00DD23D6"/>
    <w:rsid w:val="00DD4855"/>
    <w:rsid w:val="00DD75C4"/>
    <w:rsid w:val="00DE1FBA"/>
    <w:rsid w:val="00DE4550"/>
    <w:rsid w:val="00DE55DE"/>
    <w:rsid w:val="00DE5968"/>
    <w:rsid w:val="00DE6A2A"/>
    <w:rsid w:val="00DF1227"/>
    <w:rsid w:val="00DF131F"/>
    <w:rsid w:val="00DF2C98"/>
    <w:rsid w:val="00DF77FD"/>
    <w:rsid w:val="00DF7AB6"/>
    <w:rsid w:val="00E00DCA"/>
    <w:rsid w:val="00E033B7"/>
    <w:rsid w:val="00E038DB"/>
    <w:rsid w:val="00E04B8E"/>
    <w:rsid w:val="00E04FFB"/>
    <w:rsid w:val="00E056B7"/>
    <w:rsid w:val="00E05EEE"/>
    <w:rsid w:val="00E065DD"/>
    <w:rsid w:val="00E075A8"/>
    <w:rsid w:val="00E07D5A"/>
    <w:rsid w:val="00E105EE"/>
    <w:rsid w:val="00E10D91"/>
    <w:rsid w:val="00E134FC"/>
    <w:rsid w:val="00E13ACF"/>
    <w:rsid w:val="00E1436B"/>
    <w:rsid w:val="00E14F22"/>
    <w:rsid w:val="00E151BD"/>
    <w:rsid w:val="00E170FA"/>
    <w:rsid w:val="00E2020E"/>
    <w:rsid w:val="00E20D15"/>
    <w:rsid w:val="00E25A13"/>
    <w:rsid w:val="00E26F75"/>
    <w:rsid w:val="00E3064C"/>
    <w:rsid w:val="00E33007"/>
    <w:rsid w:val="00E34483"/>
    <w:rsid w:val="00E3456D"/>
    <w:rsid w:val="00E406B2"/>
    <w:rsid w:val="00E4190D"/>
    <w:rsid w:val="00E44987"/>
    <w:rsid w:val="00E44EB9"/>
    <w:rsid w:val="00E44F34"/>
    <w:rsid w:val="00E45859"/>
    <w:rsid w:val="00E47666"/>
    <w:rsid w:val="00E47C2B"/>
    <w:rsid w:val="00E504E9"/>
    <w:rsid w:val="00E507A9"/>
    <w:rsid w:val="00E5253D"/>
    <w:rsid w:val="00E527EF"/>
    <w:rsid w:val="00E53860"/>
    <w:rsid w:val="00E5398F"/>
    <w:rsid w:val="00E554E7"/>
    <w:rsid w:val="00E5688C"/>
    <w:rsid w:val="00E57C72"/>
    <w:rsid w:val="00E60AEE"/>
    <w:rsid w:val="00E6547E"/>
    <w:rsid w:val="00E65E36"/>
    <w:rsid w:val="00E669A1"/>
    <w:rsid w:val="00E67625"/>
    <w:rsid w:val="00E700D9"/>
    <w:rsid w:val="00E75FF6"/>
    <w:rsid w:val="00E77A6F"/>
    <w:rsid w:val="00E77CA9"/>
    <w:rsid w:val="00E8390A"/>
    <w:rsid w:val="00E83A3B"/>
    <w:rsid w:val="00E901D7"/>
    <w:rsid w:val="00E9172D"/>
    <w:rsid w:val="00E91BD8"/>
    <w:rsid w:val="00E922BE"/>
    <w:rsid w:val="00E9258D"/>
    <w:rsid w:val="00E9268E"/>
    <w:rsid w:val="00E92B00"/>
    <w:rsid w:val="00E9368B"/>
    <w:rsid w:val="00E94D9A"/>
    <w:rsid w:val="00E951CA"/>
    <w:rsid w:val="00E953FA"/>
    <w:rsid w:val="00E97D0F"/>
    <w:rsid w:val="00E97E28"/>
    <w:rsid w:val="00EA142E"/>
    <w:rsid w:val="00EA484D"/>
    <w:rsid w:val="00EA4A96"/>
    <w:rsid w:val="00EB1A14"/>
    <w:rsid w:val="00EB1C95"/>
    <w:rsid w:val="00EB3B0A"/>
    <w:rsid w:val="00EB3DAC"/>
    <w:rsid w:val="00EB4093"/>
    <w:rsid w:val="00EB46F3"/>
    <w:rsid w:val="00EB4958"/>
    <w:rsid w:val="00EC1371"/>
    <w:rsid w:val="00EC2445"/>
    <w:rsid w:val="00EC33B2"/>
    <w:rsid w:val="00EC3796"/>
    <w:rsid w:val="00EC41A4"/>
    <w:rsid w:val="00EC5D78"/>
    <w:rsid w:val="00EC6563"/>
    <w:rsid w:val="00EC7294"/>
    <w:rsid w:val="00EC7555"/>
    <w:rsid w:val="00EC7728"/>
    <w:rsid w:val="00ED0109"/>
    <w:rsid w:val="00ED0680"/>
    <w:rsid w:val="00ED10A6"/>
    <w:rsid w:val="00ED27B9"/>
    <w:rsid w:val="00ED2905"/>
    <w:rsid w:val="00ED3D65"/>
    <w:rsid w:val="00ED4940"/>
    <w:rsid w:val="00ED6742"/>
    <w:rsid w:val="00ED7E7A"/>
    <w:rsid w:val="00EE0D8C"/>
    <w:rsid w:val="00EE149D"/>
    <w:rsid w:val="00EE172B"/>
    <w:rsid w:val="00EE3F56"/>
    <w:rsid w:val="00EE4BB2"/>
    <w:rsid w:val="00EE560A"/>
    <w:rsid w:val="00EE6B47"/>
    <w:rsid w:val="00EE733B"/>
    <w:rsid w:val="00EE7B6D"/>
    <w:rsid w:val="00EF13A5"/>
    <w:rsid w:val="00EF1724"/>
    <w:rsid w:val="00EF1AA9"/>
    <w:rsid w:val="00EF1B4E"/>
    <w:rsid w:val="00EF1CC2"/>
    <w:rsid w:val="00EF3963"/>
    <w:rsid w:val="00EF5079"/>
    <w:rsid w:val="00EF62CD"/>
    <w:rsid w:val="00EF7A77"/>
    <w:rsid w:val="00EF7DE3"/>
    <w:rsid w:val="00F006C9"/>
    <w:rsid w:val="00F02F54"/>
    <w:rsid w:val="00F03638"/>
    <w:rsid w:val="00F039ED"/>
    <w:rsid w:val="00F03F16"/>
    <w:rsid w:val="00F0620D"/>
    <w:rsid w:val="00F07ECC"/>
    <w:rsid w:val="00F10116"/>
    <w:rsid w:val="00F11B23"/>
    <w:rsid w:val="00F1344F"/>
    <w:rsid w:val="00F13850"/>
    <w:rsid w:val="00F13A34"/>
    <w:rsid w:val="00F146CB"/>
    <w:rsid w:val="00F14B1E"/>
    <w:rsid w:val="00F15D92"/>
    <w:rsid w:val="00F16656"/>
    <w:rsid w:val="00F220EF"/>
    <w:rsid w:val="00F2298C"/>
    <w:rsid w:val="00F24CF2"/>
    <w:rsid w:val="00F25235"/>
    <w:rsid w:val="00F254F6"/>
    <w:rsid w:val="00F3022D"/>
    <w:rsid w:val="00F30708"/>
    <w:rsid w:val="00F31B3B"/>
    <w:rsid w:val="00F31E35"/>
    <w:rsid w:val="00F3228A"/>
    <w:rsid w:val="00F3395E"/>
    <w:rsid w:val="00F33A72"/>
    <w:rsid w:val="00F3415D"/>
    <w:rsid w:val="00F363F1"/>
    <w:rsid w:val="00F37256"/>
    <w:rsid w:val="00F43DFC"/>
    <w:rsid w:val="00F45E5A"/>
    <w:rsid w:val="00F50172"/>
    <w:rsid w:val="00F54740"/>
    <w:rsid w:val="00F565D0"/>
    <w:rsid w:val="00F57327"/>
    <w:rsid w:val="00F57A3E"/>
    <w:rsid w:val="00F62899"/>
    <w:rsid w:val="00F637A9"/>
    <w:rsid w:val="00F63A4A"/>
    <w:rsid w:val="00F63E31"/>
    <w:rsid w:val="00F645AE"/>
    <w:rsid w:val="00F67D00"/>
    <w:rsid w:val="00F67D2C"/>
    <w:rsid w:val="00F70011"/>
    <w:rsid w:val="00F720FA"/>
    <w:rsid w:val="00F733B2"/>
    <w:rsid w:val="00F75DF6"/>
    <w:rsid w:val="00F76DA8"/>
    <w:rsid w:val="00F772EA"/>
    <w:rsid w:val="00F77698"/>
    <w:rsid w:val="00F83BC2"/>
    <w:rsid w:val="00F84ED2"/>
    <w:rsid w:val="00F87AC1"/>
    <w:rsid w:val="00F90290"/>
    <w:rsid w:val="00F915B8"/>
    <w:rsid w:val="00F91B3B"/>
    <w:rsid w:val="00F94EC0"/>
    <w:rsid w:val="00F976C6"/>
    <w:rsid w:val="00FA0C52"/>
    <w:rsid w:val="00FA1CFB"/>
    <w:rsid w:val="00FA215D"/>
    <w:rsid w:val="00FA2451"/>
    <w:rsid w:val="00FA2726"/>
    <w:rsid w:val="00FA3FB9"/>
    <w:rsid w:val="00FA457D"/>
    <w:rsid w:val="00FA6E33"/>
    <w:rsid w:val="00FA72B1"/>
    <w:rsid w:val="00FB43EB"/>
    <w:rsid w:val="00FB5598"/>
    <w:rsid w:val="00FC479C"/>
    <w:rsid w:val="00FC6E57"/>
    <w:rsid w:val="00FC7151"/>
    <w:rsid w:val="00FD0560"/>
    <w:rsid w:val="00FD0C02"/>
    <w:rsid w:val="00FD1FCF"/>
    <w:rsid w:val="00FD282F"/>
    <w:rsid w:val="00FD6EAA"/>
    <w:rsid w:val="00FE0ABB"/>
    <w:rsid w:val="00FE141F"/>
    <w:rsid w:val="00FE20F0"/>
    <w:rsid w:val="00FE7911"/>
    <w:rsid w:val="00FF1735"/>
    <w:rsid w:val="00FF31C9"/>
    <w:rsid w:val="00FF3D51"/>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BodyText">
    <w:name w:val="Body Text"/>
    <w:basedOn w:val="Normal"/>
    <w:link w:val="BodyTextChar"/>
    <w:rsid w:val="00DC40DF"/>
    <w:pPr>
      <w:widowControl w:val="0"/>
      <w:autoSpaceDE w:val="0"/>
      <w:autoSpaceDN w:val="0"/>
      <w:adjustRightInd w:val="0"/>
      <w:jc w:val="both"/>
    </w:pPr>
    <w:rPr>
      <w:rFonts w:ascii="Times New Roman" w:eastAsia="Times New Roman" w:hAnsi="Times New Roman" w:cs="Times New Roman"/>
      <w:color w:val="auto"/>
      <w:lang w:val="en-GB"/>
    </w:rPr>
  </w:style>
  <w:style w:type="character" w:customStyle="1" w:styleId="BodyTextChar">
    <w:name w:val="Body Text Char"/>
    <w:basedOn w:val="DefaultParagraphFont"/>
    <w:link w:val="BodyText"/>
    <w:rsid w:val="00DC40DF"/>
    <w:rPr>
      <w:rFonts w:ascii="Times New Roman" w:eastAsia="Times New Roman" w:hAnsi="Times New Roman"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A4931-F9AC-4908-BC15-DF4228F3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Mokone</cp:lastModifiedBy>
  <cp:revision>3</cp:revision>
  <dcterms:created xsi:type="dcterms:W3CDTF">2023-03-23T08:56:00Z</dcterms:created>
  <dcterms:modified xsi:type="dcterms:W3CDTF">2023-03-23T08:57:00Z</dcterms:modified>
</cp:coreProperties>
</file>