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67309" w14:textId="77777777" w:rsidR="0008561F" w:rsidRPr="00D04FE6" w:rsidRDefault="0008561F" w:rsidP="0008561F">
      <w:pPr>
        <w:spacing w:line="240" w:lineRule="auto"/>
        <w:jc w:val="center"/>
        <w:rPr>
          <w:rFonts w:cs="Arial"/>
          <w:b/>
        </w:rPr>
      </w:pPr>
      <w:bookmarkStart w:id="0" w:name="_GoBack"/>
      <w:bookmarkEnd w:id="0"/>
      <w:r w:rsidRPr="00D04FE6">
        <w:rPr>
          <w:rFonts w:cs="Arial"/>
          <w:noProof/>
          <w:lang w:val="en-US"/>
        </w:rPr>
        <w:drawing>
          <wp:inline distT="0" distB="0" distL="0" distR="0" wp14:anchorId="0DF87B96" wp14:editId="10A9EB95">
            <wp:extent cx="1609725" cy="1476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3CC7DF0F" w14:textId="77777777" w:rsidR="00802433" w:rsidRPr="00D04FE6" w:rsidRDefault="00802433" w:rsidP="0008561F">
      <w:pPr>
        <w:spacing w:line="240" w:lineRule="auto"/>
        <w:jc w:val="center"/>
        <w:rPr>
          <w:rFonts w:cs="Arial"/>
          <w:b/>
        </w:rPr>
      </w:pPr>
    </w:p>
    <w:p w14:paraId="5AC52487" w14:textId="77777777" w:rsidR="0008561F" w:rsidRPr="0034599E" w:rsidRDefault="0008561F" w:rsidP="00A26639">
      <w:pPr>
        <w:jc w:val="center"/>
        <w:rPr>
          <w:rFonts w:cs="Arial"/>
          <w:b/>
          <w:szCs w:val="24"/>
        </w:rPr>
      </w:pPr>
      <w:r w:rsidRPr="0034599E">
        <w:rPr>
          <w:rFonts w:cs="Arial"/>
          <w:b/>
          <w:szCs w:val="24"/>
        </w:rPr>
        <w:t>IN THE HIGH COURT OF SOUTH AFRICA</w:t>
      </w:r>
    </w:p>
    <w:p w14:paraId="58174654" w14:textId="6A96379C" w:rsidR="0008561F" w:rsidRPr="0034599E" w:rsidRDefault="0008561F" w:rsidP="00A26639">
      <w:pPr>
        <w:jc w:val="center"/>
        <w:rPr>
          <w:rFonts w:cs="Arial"/>
          <w:b/>
          <w:szCs w:val="24"/>
        </w:rPr>
      </w:pPr>
      <w:r w:rsidRPr="0034599E">
        <w:rPr>
          <w:rFonts w:cs="Arial"/>
          <w:b/>
          <w:szCs w:val="24"/>
        </w:rPr>
        <w:t>(EA</w:t>
      </w:r>
      <w:r w:rsidR="004647D4" w:rsidRPr="0034599E">
        <w:rPr>
          <w:rFonts w:cs="Arial"/>
          <w:b/>
          <w:szCs w:val="24"/>
        </w:rPr>
        <w:t>STERN CAPE</w:t>
      </w:r>
      <w:r w:rsidR="00D00BE5" w:rsidRPr="0034599E">
        <w:rPr>
          <w:rFonts w:cs="Arial"/>
          <w:b/>
          <w:szCs w:val="24"/>
        </w:rPr>
        <w:t xml:space="preserve"> </w:t>
      </w:r>
      <w:r w:rsidR="004647D4" w:rsidRPr="0034599E">
        <w:rPr>
          <w:rFonts w:cs="Arial"/>
          <w:b/>
          <w:szCs w:val="24"/>
        </w:rPr>
        <w:t xml:space="preserve">DIVISION, </w:t>
      </w:r>
      <w:r w:rsidR="008E30A1">
        <w:rPr>
          <w:rFonts w:cs="Arial"/>
          <w:b/>
          <w:szCs w:val="24"/>
        </w:rPr>
        <w:t>MAKHANDA</w:t>
      </w:r>
      <w:r w:rsidRPr="0034599E">
        <w:rPr>
          <w:rFonts w:cs="Arial"/>
          <w:b/>
          <w:szCs w:val="24"/>
        </w:rPr>
        <w:t>)</w:t>
      </w:r>
    </w:p>
    <w:p w14:paraId="0FF1E4F4" w14:textId="77777777" w:rsidR="00F17E23" w:rsidRPr="0034599E" w:rsidRDefault="00F17E23" w:rsidP="00A26639">
      <w:pPr>
        <w:jc w:val="center"/>
        <w:rPr>
          <w:rFonts w:cs="Arial"/>
          <w:b/>
          <w:szCs w:val="24"/>
        </w:rPr>
      </w:pPr>
    </w:p>
    <w:p w14:paraId="4DE90F59" w14:textId="526C4BDA" w:rsidR="0008561F" w:rsidRPr="0034599E" w:rsidRDefault="0034599E" w:rsidP="00D04FE6">
      <w:pPr>
        <w:ind w:left="5400" w:firstLine="360"/>
        <w:jc w:val="right"/>
        <w:rPr>
          <w:rFonts w:cs="Arial"/>
          <w:b/>
          <w:szCs w:val="24"/>
        </w:rPr>
      </w:pPr>
      <w:r>
        <w:rPr>
          <w:rFonts w:cs="Arial"/>
          <w:b/>
          <w:szCs w:val="24"/>
        </w:rPr>
        <w:t xml:space="preserve">   </w:t>
      </w:r>
      <w:r w:rsidR="0008561F" w:rsidRPr="0034599E">
        <w:rPr>
          <w:rFonts w:cs="Arial"/>
          <w:b/>
          <w:szCs w:val="24"/>
        </w:rPr>
        <w:t xml:space="preserve">CASE NO: </w:t>
      </w:r>
      <w:r w:rsidR="008E30A1">
        <w:rPr>
          <w:rFonts w:cs="Arial"/>
          <w:b/>
          <w:szCs w:val="24"/>
        </w:rPr>
        <w:t>906</w:t>
      </w:r>
      <w:r w:rsidR="00EB4C32" w:rsidRPr="0034599E">
        <w:rPr>
          <w:rFonts w:cs="Arial"/>
          <w:b/>
          <w:szCs w:val="24"/>
        </w:rPr>
        <w:t>/20</w:t>
      </w:r>
      <w:r w:rsidR="008E30A1">
        <w:rPr>
          <w:rFonts w:cs="Arial"/>
          <w:b/>
          <w:szCs w:val="24"/>
        </w:rPr>
        <w:t>22</w:t>
      </w:r>
    </w:p>
    <w:p w14:paraId="00FEB7B5" w14:textId="77777777" w:rsidR="006E325F" w:rsidRPr="0034599E" w:rsidRDefault="006E325F" w:rsidP="006E325F">
      <w:pPr>
        <w:ind w:left="0" w:firstLine="0"/>
        <w:jc w:val="left"/>
        <w:rPr>
          <w:rFonts w:cs="Arial"/>
          <w:b/>
          <w:szCs w:val="24"/>
        </w:rPr>
      </w:pPr>
    </w:p>
    <w:p w14:paraId="46DA3D39" w14:textId="77777777" w:rsidR="0008561F" w:rsidRPr="0034599E" w:rsidRDefault="0008561F" w:rsidP="006E325F">
      <w:pPr>
        <w:spacing w:line="276" w:lineRule="auto"/>
        <w:ind w:left="0" w:firstLine="0"/>
        <w:jc w:val="left"/>
        <w:rPr>
          <w:rFonts w:cs="Arial"/>
          <w:szCs w:val="24"/>
        </w:rPr>
      </w:pPr>
      <w:r w:rsidRPr="0034599E">
        <w:rPr>
          <w:rFonts w:cs="Arial"/>
          <w:szCs w:val="24"/>
        </w:rPr>
        <w:t>In the matter between:</w:t>
      </w:r>
    </w:p>
    <w:p w14:paraId="3D6B7C77" w14:textId="77777777" w:rsidR="0008561F" w:rsidRPr="0034599E" w:rsidRDefault="0008561F" w:rsidP="006E325F">
      <w:pPr>
        <w:rPr>
          <w:rFonts w:cs="Arial"/>
          <w:szCs w:val="24"/>
        </w:rPr>
      </w:pPr>
    </w:p>
    <w:p w14:paraId="5F92AE7B" w14:textId="5CF16CA6" w:rsidR="00CA43CC" w:rsidRDefault="006D4DFA" w:rsidP="002A04A4">
      <w:pPr>
        <w:rPr>
          <w:rFonts w:cs="Arial"/>
          <w:bCs/>
          <w:szCs w:val="24"/>
        </w:rPr>
      </w:pPr>
      <w:r w:rsidRPr="0034599E">
        <w:rPr>
          <w:rFonts w:cs="Arial"/>
          <w:b/>
          <w:szCs w:val="24"/>
        </w:rPr>
        <w:t>E</w:t>
      </w:r>
      <w:r w:rsidR="008E30A1">
        <w:rPr>
          <w:rFonts w:cs="Arial"/>
          <w:b/>
          <w:szCs w:val="24"/>
        </w:rPr>
        <w:t>STELLE BUCHNER</w:t>
      </w:r>
      <w:r w:rsidRPr="0034599E">
        <w:rPr>
          <w:rFonts w:cs="Arial"/>
          <w:b/>
          <w:szCs w:val="24"/>
        </w:rPr>
        <w:t xml:space="preserve"> N</w:t>
      </w:r>
      <w:r w:rsidR="008E5574">
        <w:rPr>
          <w:rFonts w:cs="Arial"/>
          <w:b/>
          <w:szCs w:val="24"/>
        </w:rPr>
        <w:t>.</w:t>
      </w:r>
      <w:r w:rsidRPr="0034599E">
        <w:rPr>
          <w:rFonts w:cs="Arial"/>
          <w:b/>
          <w:szCs w:val="24"/>
        </w:rPr>
        <w:t>O</w:t>
      </w:r>
      <w:r w:rsidR="008E5574">
        <w:rPr>
          <w:rFonts w:cs="Arial"/>
          <w:b/>
          <w:szCs w:val="24"/>
        </w:rPr>
        <w:t>.</w:t>
      </w:r>
      <w:r w:rsidR="00F17E23" w:rsidRPr="0034599E">
        <w:rPr>
          <w:rFonts w:cs="Arial"/>
          <w:b/>
          <w:szCs w:val="24"/>
        </w:rPr>
        <w:tab/>
      </w:r>
      <w:r w:rsidR="00F17E23" w:rsidRPr="0034599E">
        <w:rPr>
          <w:rFonts w:cs="Arial"/>
          <w:b/>
          <w:szCs w:val="24"/>
        </w:rPr>
        <w:tab/>
      </w:r>
      <w:r w:rsidR="00F17E23" w:rsidRPr="0034599E">
        <w:rPr>
          <w:rFonts w:cs="Arial"/>
          <w:b/>
          <w:szCs w:val="24"/>
        </w:rPr>
        <w:tab/>
      </w:r>
      <w:r w:rsidR="00F17E23" w:rsidRPr="0034599E">
        <w:rPr>
          <w:rFonts w:cs="Arial"/>
          <w:b/>
          <w:szCs w:val="24"/>
        </w:rPr>
        <w:tab/>
      </w:r>
      <w:r w:rsidR="00F17E23" w:rsidRPr="0034599E">
        <w:rPr>
          <w:rFonts w:cs="Arial"/>
          <w:b/>
          <w:szCs w:val="24"/>
        </w:rPr>
        <w:tab/>
      </w:r>
      <w:r w:rsidR="008E30A1">
        <w:rPr>
          <w:rFonts w:cs="Arial"/>
          <w:b/>
          <w:szCs w:val="24"/>
        </w:rPr>
        <w:t xml:space="preserve">        </w:t>
      </w:r>
      <w:r w:rsidR="008E30A1">
        <w:rPr>
          <w:rFonts w:cs="Arial"/>
          <w:bCs/>
          <w:szCs w:val="24"/>
        </w:rPr>
        <w:t>First Plaintiff/Excipient</w:t>
      </w:r>
    </w:p>
    <w:p w14:paraId="12C9CE8C" w14:textId="77777777" w:rsidR="00EF7093" w:rsidRDefault="00EF7093" w:rsidP="002A04A4">
      <w:pPr>
        <w:rPr>
          <w:rFonts w:cs="Arial"/>
          <w:b/>
          <w:szCs w:val="24"/>
        </w:rPr>
      </w:pPr>
    </w:p>
    <w:p w14:paraId="34E1FC4A" w14:textId="781683C3" w:rsidR="00EF7093" w:rsidRDefault="00EF7093" w:rsidP="002A04A4">
      <w:pPr>
        <w:rPr>
          <w:rFonts w:cs="Arial"/>
          <w:bCs/>
          <w:szCs w:val="24"/>
        </w:rPr>
      </w:pPr>
      <w:r>
        <w:rPr>
          <w:rFonts w:cs="Arial"/>
          <w:b/>
          <w:szCs w:val="24"/>
        </w:rPr>
        <w:t>MALCOLM GRAHAM MAC KENZIE N.</w:t>
      </w:r>
      <w:r>
        <w:rPr>
          <w:rFonts w:cs="Arial"/>
          <w:b/>
          <w:bCs/>
          <w:szCs w:val="24"/>
        </w:rPr>
        <w:t>O.</w:t>
      </w:r>
      <w:r>
        <w:rPr>
          <w:rFonts w:cs="Arial"/>
          <w:b/>
          <w:bCs/>
          <w:szCs w:val="24"/>
        </w:rPr>
        <w:tab/>
      </w:r>
      <w:r>
        <w:rPr>
          <w:rFonts w:cs="Arial"/>
          <w:b/>
          <w:bCs/>
          <w:szCs w:val="24"/>
        </w:rPr>
        <w:tab/>
      </w:r>
      <w:r>
        <w:rPr>
          <w:rFonts w:cs="Arial"/>
          <w:b/>
          <w:bCs/>
          <w:szCs w:val="24"/>
        </w:rPr>
        <w:tab/>
        <w:t xml:space="preserve">  </w:t>
      </w:r>
      <w:r>
        <w:rPr>
          <w:rFonts w:cs="Arial"/>
          <w:bCs/>
          <w:szCs w:val="24"/>
        </w:rPr>
        <w:t>Second Plaintiff/Excipient</w:t>
      </w:r>
    </w:p>
    <w:p w14:paraId="3A7C596F" w14:textId="78E00681" w:rsidR="00EF7093" w:rsidRDefault="00EF7093" w:rsidP="002A04A4">
      <w:pPr>
        <w:rPr>
          <w:rFonts w:cs="Arial"/>
          <w:bCs/>
          <w:szCs w:val="24"/>
        </w:rPr>
      </w:pPr>
    </w:p>
    <w:p w14:paraId="155A1D79" w14:textId="03302AE0" w:rsidR="00EF7093" w:rsidRDefault="00EF7093" w:rsidP="00EF7093">
      <w:pPr>
        <w:rPr>
          <w:rFonts w:cs="Arial"/>
          <w:bCs/>
          <w:szCs w:val="24"/>
        </w:rPr>
      </w:pPr>
      <w:r>
        <w:rPr>
          <w:rFonts w:cs="Arial"/>
          <w:b/>
          <w:szCs w:val="24"/>
        </w:rPr>
        <w:t>FRANCES BUCHNER N.</w:t>
      </w:r>
      <w:r>
        <w:rPr>
          <w:rFonts w:cs="Arial"/>
          <w:b/>
          <w:bCs/>
          <w:szCs w:val="24"/>
        </w:rPr>
        <w:t>O.</w:t>
      </w:r>
      <w:r>
        <w:rPr>
          <w:rFonts w:cs="Arial"/>
          <w:b/>
          <w:bCs/>
          <w:szCs w:val="24"/>
        </w:rPr>
        <w:tab/>
      </w:r>
      <w:r>
        <w:rPr>
          <w:rFonts w:cs="Arial"/>
          <w:b/>
          <w:bCs/>
          <w:szCs w:val="24"/>
        </w:rPr>
        <w:tab/>
      </w:r>
      <w:r>
        <w:rPr>
          <w:rFonts w:cs="Arial"/>
          <w:b/>
          <w:bCs/>
          <w:szCs w:val="24"/>
        </w:rPr>
        <w:tab/>
        <w:t xml:space="preserve">                            </w:t>
      </w:r>
      <w:r>
        <w:rPr>
          <w:rFonts w:cs="Arial"/>
          <w:bCs/>
          <w:szCs w:val="24"/>
        </w:rPr>
        <w:t>Third Plaintiff/Excipient</w:t>
      </w:r>
    </w:p>
    <w:p w14:paraId="69E983DA" w14:textId="104B9ED2" w:rsidR="00EF7093" w:rsidRDefault="00EF7093" w:rsidP="00EF7093">
      <w:pPr>
        <w:rPr>
          <w:rFonts w:cs="Arial"/>
          <w:bCs/>
          <w:szCs w:val="24"/>
        </w:rPr>
      </w:pPr>
    </w:p>
    <w:p w14:paraId="5175AE6E" w14:textId="706444BD" w:rsidR="00EF7093" w:rsidRDefault="00EF7093" w:rsidP="00EF7093">
      <w:pPr>
        <w:rPr>
          <w:rFonts w:cs="Arial"/>
          <w:bCs/>
          <w:szCs w:val="24"/>
        </w:rPr>
      </w:pPr>
      <w:r>
        <w:rPr>
          <w:rFonts w:cs="Arial"/>
          <w:b/>
          <w:szCs w:val="24"/>
        </w:rPr>
        <w:t>DANEEL IGNATIUS BUCHNER N.</w:t>
      </w:r>
      <w:r>
        <w:rPr>
          <w:rFonts w:cs="Arial"/>
          <w:b/>
          <w:bCs/>
          <w:szCs w:val="24"/>
        </w:rPr>
        <w:t>O.</w:t>
      </w:r>
      <w:r>
        <w:rPr>
          <w:rFonts w:cs="Arial"/>
          <w:b/>
          <w:bCs/>
          <w:szCs w:val="24"/>
        </w:rPr>
        <w:tab/>
      </w:r>
      <w:r>
        <w:rPr>
          <w:rFonts w:cs="Arial"/>
          <w:b/>
          <w:bCs/>
          <w:szCs w:val="24"/>
        </w:rPr>
        <w:tab/>
      </w:r>
      <w:r>
        <w:rPr>
          <w:rFonts w:cs="Arial"/>
          <w:b/>
          <w:bCs/>
          <w:szCs w:val="24"/>
        </w:rPr>
        <w:tab/>
        <w:t xml:space="preserve">               </w:t>
      </w:r>
      <w:r>
        <w:rPr>
          <w:rFonts w:cs="Arial"/>
          <w:bCs/>
          <w:szCs w:val="24"/>
        </w:rPr>
        <w:t>Fourth Plaintiff/Excipient</w:t>
      </w:r>
    </w:p>
    <w:p w14:paraId="51ADEBBD" w14:textId="6D82ACA6" w:rsidR="00EF7093" w:rsidRDefault="00EF7093" w:rsidP="00EF7093">
      <w:pPr>
        <w:rPr>
          <w:rFonts w:cs="Arial"/>
          <w:bCs/>
          <w:szCs w:val="24"/>
        </w:rPr>
      </w:pPr>
    </w:p>
    <w:p w14:paraId="547DE01A" w14:textId="0F5364EB" w:rsidR="00EF7093" w:rsidRDefault="00EF7093" w:rsidP="00EF7093">
      <w:pPr>
        <w:rPr>
          <w:rFonts w:cs="Arial"/>
          <w:bCs/>
          <w:szCs w:val="24"/>
        </w:rPr>
      </w:pPr>
      <w:r>
        <w:rPr>
          <w:rFonts w:cs="Arial"/>
          <w:b/>
          <w:szCs w:val="24"/>
        </w:rPr>
        <w:t>WERNER CORNḖ BUCHNER N.</w:t>
      </w:r>
      <w:r>
        <w:rPr>
          <w:rFonts w:cs="Arial"/>
          <w:b/>
          <w:bCs/>
          <w:szCs w:val="24"/>
        </w:rPr>
        <w:t>O.</w:t>
      </w:r>
      <w:r>
        <w:rPr>
          <w:rFonts w:cs="Arial"/>
          <w:b/>
          <w:bCs/>
          <w:szCs w:val="24"/>
        </w:rPr>
        <w:tab/>
      </w:r>
      <w:r>
        <w:rPr>
          <w:rFonts w:cs="Arial"/>
          <w:b/>
          <w:bCs/>
          <w:szCs w:val="24"/>
        </w:rPr>
        <w:tab/>
      </w:r>
      <w:r>
        <w:rPr>
          <w:rFonts w:cs="Arial"/>
          <w:b/>
          <w:bCs/>
          <w:szCs w:val="24"/>
        </w:rPr>
        <w:tab/>
        <w:t xml:space="preserve">                  </w:t>
      </w:r>
      <w:r>
        <w:rPr>
          <w:rFonts w:cs="Arial"/>
          <w:bCs/>
          <w:szCs w:val="24"/>
        </w:rPr>
        <w:t>Fifth Plaintiff/Excipient</w:t>
      </w:r>
    </w:p>
    <w:p w14:paraId="492653D1" w14:textId="77777777" w:rsidR="00EF7093" w:rsidRDefault="00EF7093" w:rsidP="00EF7093">
      <w:pPr>
        <w:rPr>
          <w:rFonts w:cs="Arial"/>
          <w:bCs/>
          <w:szCs w:val="24"/>
        </w:rPr>
      </w:pPr>
    </w:p>
    <w:p w14:paraId="425E3A60" w14:textId="77777777" w:rsidR="0008561F" w:rsidRPr="0034599E" w:rsidRDefault="00CA43CC" w:rsidP="002A04A4">
      <w:pPr>
        <w:rPr>
          <w:rFonts w:cs="Arial"/>
          <w:szCs w:val="24"/>
        </w:rPr>
      </w:pPr>
      <w:r w:rsidRPr="0034599E">
        <w:rPr>
          <w:rFonts w:cs="Arial"/>
          <w:szCs w:val="24"/>
        </w:rPr>
        <w:t>and</w:t>
      </w:r>
    </w:p>
    <w:p w14:paraId="33F250E3" w14:textId="77777777" w:rsidR="00442F7A" w:rsidRPr="0034599E" w:rsidRDefault="00442F7A" w:rsidP="001875D6">
      <w:pPr>
        <w:tabs>
          <w:tab w:val="left" w:pos="5670"/>
        </w:tabs>
        <w:ind w:left="0" w:firstLine="0"/>
        <w:rPr>
          <w:rFonts w:cs="Arial"/>
          <w:b/>
          <w:szCs w:val="24"/>
        </w:rPr>
      </w:pPr>
    </w:p>
    <w:p w14:paraId="7215F066" w14:textId="0AC2DB8B" w:rsidR="00442F7A" w:rsidRDefault="008E30A1" w:rsidP="00F17E23">
      <w:pPr>
        <w:tabs>
          <w:tab w:val="left" w:pos="5670"/>
        </w:tabs>
        <w:ind w:left="0" w:firstLine="0"/>
        <w:jc w:val="left"/>
        <w:rPr>
          <w:rFonts w:cs="Arial"/>
          <w:szCs w:val="24"/>
        </w:rPr>
      </w:pPr>
      <w:r>
        <w:rPr>
          <w:rFonts w:cs="Arial"/>
          <w:b/>
          <w:szCs w:val="24"/>
        </w:rPr>
        <w:t>GIDEON GERHARDUS BUCHNER N.O.</w:t>
      </w:r>
      <w:r w:rsidR="00F17E23" w:rsidRPr="0034599E">
        <w:rPr>
          <w:rFonts w:cs="Arial"/>
          <w:b/>
          <w:szCs w:val="24"/>
        </w:rPr>
        <w:tab/>
      </w:r>
      <w:r w:rsidR="003A3C34" w:rsidRPr="0034599E">
        <w:rPr>
          <w:rFonts w:cs="Arial"/>
          <w:b/>
          <w:szCs w:val="24"/>
        </w:rPr>
        <w:t xml:space="preserve">         </w:t>
      </w:r>
      <w:r>
        <w:rPr>
          <w:rFonts w:cs="Arial"/>
          <w:b/>
          <w:szCs w:val="24"/>
        </w:rPr>
        <w:t xml:space="preserve"> </w:t>
      </w:r>
      <w:r>
        <w:rPr>
          <w:rFonts w:cs="Arial"/>
          <w:bCs/>
          <w:szCs w:val="24"/>
        </w:rPr>
        <w:t>First Defendant</w:t>
      </w:r>
      <w:r>
        <w:rPr>
          <w:rFonts w:cs="Arial"/>
          <w:b/>
          <w:szCs w:val="24"/>
        </w:rPr>
        <w:t>/</w:t>
      </w:r>
      <w:r>
        <w:rPr>
          <w:rFonts w:cs="Arial"/>
          <w:szCs w:val="24"/>
        </w:rPr>
        <w:t>Respo</w:t>
      </w:r>
      <w:r w:rsidR="003A3C34" w:rsidRPr="0034599E">
        <w:rPr>
          <w:rFonts w:cs="Arial"/>
          <w:szCs w:val="24"/>
        </w:rPr>
        <w:t>nd</w:t>
      </w:r>
      <w:r>
        <w:rPr>
          <w:rFonts w:cs="Arial"/>
          <w:szCs w:val="24"/>
        </w:rPr>
        <w:t>e</w:t>
      </w:r>
      <w:r w:rsidR="003A3C34" w:rsidRPr="0034599E">
        <w:rPr>
          <w:rFonts w:cs="Arial"/>
          <w:szCs w:val="24"/>
        </w:rPr>
        <w:t>nt</w:t>
      </w:r>
    </w:p>
    <w:p w14:paraId="706D21AF" w14:textId="5005F65E" w:rsidR="00EF7093" w:rsidRDefault="00EF7093" w:rsidP="00F17E23">
      <w:pPr>
        <w:tabs>
          <w:tab w:val="left" w:pos="5670"/>
        </w:tabs>
        <w:ind w:left="0" w:firstLine="0"/>
        <w:jc w:val="left"/>
        <w:rPr>
          <w:rFonts w:cs="Arial"/>
          <w:szCs w:val="24"/>
        </w:rPr>
      </w:pPr>
    </w:p>
    <w:p w14:paraId="44F37FB9" w14:textId="7736587B" w:rsidR="00EF7093" w:rsidRDefault="00EF7093" w:rsidP="00EF7093">
      <w:pPr>
        <w:tabs>
          <w:tab w:val="left" w:pos="5670"/>
        </w:tabs>
        <w:ind w:left="0" w:firstLine="0"/>
        <w:jc w:val="left"/>
        <w:rPr>
          <w:rFonts w:cs="Arial"/>
          <w:bCs/>
          <w:szCs w:val="24"/>
        </w:rPr>
      </w:pPr>
      <w:r>
        <w:rPr>
          <w:rFonts w:cs="Arial"/>
          <w:b/>
          <w:szCs w:val="24"/>
        </w:rPr>
        <w:t>MARIA NEL BUCHNER N.O.</w:t>
      </w:r>
      <w:r w:rsidRPr="0034599E">
        <w:rPr>
          <w:rFonts w:cs="Arial"/>
          <w:b/>
          <w:szCs w:val="24"/>
        </w:rPr>
        <w:tab/>
        <w:t xml:space="preserve">         </w:t>
      </w:r>
      <w:r>
        <w:rPr>
          <w:rFonts w:cs="Arial"/>
          <w:b/>
          <w:szCs w:val="24"/>
        </w:rPr>
        <w:t xml:space="preserve">                </w:t>
      </w:r>
      <w:r>
        <w:rPr>
          <w:rFonts w:cs="Arial"/>
          <w:bCs/>
          <w:szCs w:val="24"/>
        </w:rPr>
        <w:t>Second Defendant</w:t>
      </w:r>
    </w:p>
    <w:p w14:paraId="7AED508E" w14:textId="4A17877C" w:rsidR="00EF7093" w:rsidRDefault="00EF7093" w:rsidP="00EF7093">
      <w:pPr>
        <w:tabs>
          <w:tab w:val="left" w:pos="5670"/>
        </w:tabs>
        <w:ind w:left="0" w:firstLine="0"/>
        <w:jc w:val="left"/>
        <w:rPr>
          <w:rFonts w:cs="Arial"/>
          <w:bCs/>
          <w:szCs w:val="24"/>
        </w:rPr>
      </w:pPr>
    </w:p>
    <w:p w14:paraId="6F3C5198" w14:textId="1ACEC754" w:rsidR="00EF7093" w:rsidRPr="0034599E" w:rsidRDefault="00EF7093" w:rsidP="00EF7093">
      <w:pPr>
        <w:tabs>
          <w:tab w:val="left" w:pos="5670"/>
        </w:tabs>
        <w:ind w:left="0" w:firstLine="0"/>
        <w:jc w:val="left"/>
        <w:rPr>
          <w:rFonts w:cs="Arial"/>
          <w:szCs w:val="24"/>
        </w:rPr>
      </w:pPr>
      <w:r>
        <w:rPr>
          <w:rFonts w:cs="Arial"/>
          <w:b/>
          <w:szCs w:val="24"/>
        </w:rPr>
        <w:t xml:space="preserve">MARIA NEL BUCHNER </w:t>
      </w:r>
      <w:r w:rsidRPr="0034599E">
        <w:rPr>
          <w:rFonts w:cs="Arial"/>
          <w:b/>
          <w:szCs w:val="24"/>
        </w:rPr>
        <w:tab/>
        <w:t xml:space="preserve">         </w:t>
      </w:r>
      <w:r>
        <w:rPr>
          <w:rFonts w:cs="Arial"/>
          <w:b/>
          <w:szCs w:val="24"/>
        </w:rPr>
        <w:t xml:space="preserve">                    </w:t>
      </w:r>
      <w:r>
        <w:rPr>
          <w:rFonts w:cs="Arial"/>
          <w:bCs/>
          <w:szCs w:val="24"/>
        </w:rPr>
        <w:t>Third Defendant</w:t>
      </w:r>
    </w:p>
    <w:p w14:paraId="03B56B0E" w14:textId="77777777" w:rsidR="00EF7093" w:rsidRPr="0034599E" w:rsidRDefault="00EF7093" w:rsidP="00EF7093">
      <w:pPr>
        <w:tabs>
          <w:tab w:val="left" w:pos="5670"/>
        </w:tabs>
        <w:ind w:left="0" w:firstLine="0"/>
        <w:jc w:val="left"/>
        <w:rPr>
          <w:rFonts w:cs="Arial"/>
          <w:szCs w:val="24"/>
        </w:rPr>
      </w:pPr>
    </w:p>
    <w:p w14:paraId="6E01A0A3" w14:textId="77777777" w:rsidR="0034599E" w:rsidRPr="0034599E" w:rsidRDefault="0034599E" w:rsidP="0034599E">
      <w:pPr>
        <w:tabs>
          <w:tab w:val="left" w:pos="5670"/>
        </w:tabs>
        <w:ind w:left="0" w:firstLine="0"/>
        <w:jc w:val="right"/>
        <w:rPr>
          <w:rFonts w:cs="Arial"/>
          <w:b/>
          <w:szCs w:val="24"/>
        </w:rPr>
      </w:pPr>
      <w:r>
        <w:rPr>
          <w:noProof/>
          <w:lang w:val="en-US"/>
        </w:rPr>
        <w:lastRenderedPageBreak/>
        <w:drawing>
          <wp:inline distT="0" distB="0" distL="0" distR="0" wp14:anchorId="61BF6E8C" wp14:editId="0800CC47">
            <wp:extent cx="3943350" cy="1183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4F7C8CBE" w14:textId="77777777" w:rsidR="00C05ED0" w:rsidRPr="0034599E" w:rsidRDefault="00C05ED0" w:rsidP="00B62A5B">
      <w:pPr>
        <w:pBdr>
          <w:bottom w:val="single" w:sz="12" w:space="1" w:color="auto"/>
        </w:pBdr>
        <w:tabs>
          <w:tab w:val="left" w:pos="5670"/>
        </w:tabs>
        <w:ind w:left="0" w:firstLine="0"/>
        <w:rPr>
          <w:rFonts w:cs="Arial"/>
          <w:b/>
          <w:szCs w:val="24"/>
        </w:rPr>
      </w:pPr>
    </w:p>
    <w:p w14:paraId="783034DB" w14:textId="77777777" w:rsidR="008E5574" w:rsidRPr="0034599E" w:rsidRDefault="008E5574" w:rsidP="002A04A4">
      <w:pPr>
        <w:tabs>
          <w:tab w:val="left" w:pos="5670"/>
        </w:tabs>
        <w:ind w:left="0" w:firstLine="0"/>
        <w:rPr>
          <w:rFonts w:cs="Arial"/>
          <w:b/>
          <w:szCs w:val="24"/>
        </w:rPr>
      </w:pPr>
    </w:p>
    <w:p w14:paraId="6C689B9C" w14:textId="77777777" w:rsidR="0008561F" w:rsidRPr="0034599E" w:rsidRDefault="0008561F" w:rsidP="00A26639">
      <w:pPr>
        <w:pBdr>
          <w:bottom w:val="single" w:sz="12" w:space="1" w:color="auto"/>
        </w:pBdr>
        <w:jc w:val="center"/>
        <w:rPr>
          <w:rFonts w:cs="Arial"/>
          <w:b/>
          <w:szCs w:val="24"/>
          <w:u w:val="single"/>
        </w:rPr>
      </w:pPr>
      <w:r w:rsidRPr="0034599E">
        <w:rPr>
          <w:rFonts w:cs="Arial"/>
          <w:b/>
          <w:szCs w:val="24"/>
        </w:rPr>
        <w:t>JUDGMENT</w:t>
      </w:r>
    </w:p>
    <w:p w14:paraId="042698CD" w14:textId="77777777" w:rsidR="008E5574" w:rsidRPr="0034599E" w:rsidRDefault="008E5574" w:rsidP="00A63D9E">
      <w:pPr>
        <w:spacing w:line="480" w:lineRule="auto"/>
        <w:jc w:val="left"/>
        <w:rPr>
          <w:rFonts w:cs="Arial"/>
          <w:b/>
          <w:szCs w:val="24"/>
          <w:u w:val="single"/>
        </w:rPr>
      </w:pPr>
    </w:p>
    <w:p w14:paraId="13787D4C" w14:textId="17479004" w:rsidR="00D80AE1" w:rsidRDefault="00D80AE1" w:rsidP="00D80AE1">
      <w:pPr>
        <w:ind w:left="0" w:firstLine="0"/>
        <w:contextualSpacing/>
        <w:rPr>
          <w:rFonts w:cs="Arial"/>
          <w:b/>
          <w:bCs/>
          <w:szCs w:val="24"/>
          <w:lang w:val="en-ZA"/>
        </w:rPr>
      </w:pPr>
      <w:r>
        <w:rPr>
          <w:rFonts w:cs="Arial"/>
          <w:b/>
          <w:bCs/>
          <w:szCs w:val="24"/>
          <w:lang w:val="en-ZA"/>
        </w:rPr>
        <w:t>POTGIETER J</w:t>
      </w:r>
    </w:p>
    <w:p w14:paraId="7782ACF8" w14:textId="77777777" w:rsidR="00EF7093" w:rsidRDefault="00EF7093" w:rsidP="00D80AE1">
      <w:pPr>
        <w:ind w:left="0" w:firstLine="0"/>
        <w:contextualSpacing/>
        <w:rPr>
          <w:rFonts w:cs="Arial"/>
          <w:i/>
          <w:iCs/>
          <w:szCs w:val="24"/>
          <w:lang w:val="en-ZA"/>
        </w:rPr>
      </w:pPr>
    </w:p>
    <w:p w14:paraId="2F6C9703" w14:textId="7F122E2F" w:rsidR="00DD1F9B" w:rsidRPr="00DD1F9B" w:rsidRDefault="00DD1F9B" w:rsidP="00D80AE1">
      <w:pPr>
        <w:ind w:left="0" w:firstLine="0"/>
        <w:contextualSpacing/>
        <w:rPr>
          <w:rFonts w:cs="Arial"/>
          <w:i/>
          <w:iCs/>
          <w:szCs w:val="24"/>
          <w:lang w:val="en-ZA"/>
        </w:rPr>
      </w:pPr>
      <w:r>
        <w:rPr>
          <w:rFonts w:cs="Arial"/>
          <w:i/>
          <w:iCs/>
          <w:szCs w:val="24"/>
          <w:lang w:val="en-ZA"/>
        </w:rPr>
        <w:t>Introduction</w:t>
      </w:r>
    </w:p>
    <w:p w14:paraId="106B966B" w14:textId="77777777" w:rsidR="00D80AE1" w:rsidRPr="00D80AE1" w:rsidRDefault="00D80AE1" w:rsidP="00D80AE1">
      <w:pPr>
        <w:ind w:left="0" w:firstLine="0"/>
        <w:contextualSpacing/>
        <w:rPr>
          <w:rFonts w:cs="Arial"/>
          <w:b/>
          <w:bCs/>
          <w:szCs w:val="24"/>
          <w:lang w:val="en-ZA"/>
        </w:rPr>
      </w:pPr>
    </w:p>
    <w:p w14:paraId="0C3B1D05" w14:textId="7794FC3B" w:rsidR="00E518E3" w:rsidRDefault="00D80AE1" w:rsidP="00E518E3">
      <w:pPr>
        <w:numPr>
          <w:ilvl w:val="0"/>
          <w:numId w:val="29"/>
        </w:numPr>
        <w:spacing w:after="160"/>
        <w:ind w:left="0" w:firstLine="0"/>
        <w:contextualSpacing/>
        <w:rPr>
          <w:rFonts w:cs="Arial"/>
          <w:bCs/>
          <w:szCs w:val="24"/>
          <w:lang w:val="en-ZA"/>
        </w:rPr>
      </w:pPr>
      <w:r w:rsidRPr="00D80AE1">
        <w:rPr>
          <w:rFonts w:cs="Arial"/>
          <w:bCs/>
          <w:szCs w:val="24"/>
          <w:lang w:val="en-ZA"/>
        </w:rPr>
        <w:t>Th</w:t>
      </w:r>
      <w:r w:rsidR="00E518E3">
        <w:rPr>
          <w:rFonts w:cs="Arial"/>
          <w:bCs/>
          <w:szCs w:val="24"/>
          <w:lang w:val="en-ZA"/>
        </w:rPr>
        <w:t xml:space="preserve">e excipients, who are the plaintiffs in a pending action under the above case number, are excepting to the </w:t>
      </w:r>
      <w:r w:rsidR="0030311D">
        <w:rPr>
          <w:rFonts w:cs="Arial"/>
          <w:bCs/>
          <w:szCs w:val="24"/>
          <w:lang w:val="en-ZA"/>
        </w:rPr>
        <w:t xml:space="preserve">respondent’s </w:t>
      </w:r>
      <w:r w:rsidR="00E518E3">
        <w:rPr>
          <w:rFonts w:cs="Arial"/>
          <w:bCs/>
          <w:szCs w:val="24"/>
          <w:lang w:val="en-ZA"/>
        </w:rPr>
        <w:t xml:space="preserve">first and third claims in </w:t>
      </w:r>
      <w:r w:rsidR="0030311D">
        <w:rPr>
          <w:rFonts w:cs="Arial"/>
          <w:bCs/>
          <w:szCs w:val="24"/>
          <w:lang w:val="en-ZA"/>
        </w:rPr>
        <w:t>re</w:t>
      </w:r>
      <w:r w:rsidR="00E518E3">
        <w:rPr>
          <w:rFonts w:cs="Arial"/>
          <w:bCs/>
          <w:szCs w:val="24"/>
          <w:lang w:val="en-ZA"/>
        </w:rPr>
        <w:t>convention (in the pending action)</w:t>
      </w:r>
      <w:r w:rsidR="0030311D">
        <w:rPr>
          <w:rFonts w:cs="Arial"/>
          <w:bCs/>
          <w:szCs w:val="24"/>
          <w:lang w:val="en-ZA"/>
        </w:rPr>
        <w:t>.</w:t>
      </w:r>
      <w:r w:rsidR="00E518E3">
        <w:rPr>
          <w:rFonts w:cs="Arial"/>
          <w:bCs/>
          <w:szCs w:val="24"/>
          <w:lang w:val="en-ZA"/>
        </w:rPr>
        <w:t xml:space="preserve"> </w:t>
      </w:r>
      <w:r w:rsidR="0030311D">
        <w:rPr>
          <w:rFonts w:cs="Arial"/>
          <w:bCs/>
          <w:szCs w:val="24"/>
          <w:lang w:val="en-ZA"/>
        </w:rPr>
        <w:t>T</w:t>
      </w:r>
      <w:r w:rsidR="00E518E3">
        <w:rPr>
          <w:rFonts w:cs="Arial"/>
          <w:bCs/>
          <w:szCs w:val="24"/>
          <w:lang w:val="en-ZA"/>
        </w:rPr>
        <w:t>he respondent is the first defendant in the pending action. The second claim</w:t>
      </w:r>
      <w:r w:rsidR="0030311D">
        <w:rPr>
          <w:rFonts w:cs="Arial"/>
          <w:bCs/>
          <w:szCs w:val="24"/>
          <w:lang w:val="en-ZA"/>
        </w:rPr>
        <w:t xml:space="preserve"> </w:t>
      </w:r>
      <w:r w:rsidR="00E518E3">
        <w:rPr>
          <w:rFonts w:cs="Arial"/>
          <w:bCs/>
          <w:szCs w:val="24"/>
          <w:lang w:val="en-ZA"/>
        </w:rPr>
        <w:t xml:space="preserve">in </w:t>
      </w:r>
      <w:r w:rsidR="00871BAA">
        <w:rPr>
          <w:rFonts w:cs="Arial"/>
          <w:bCs/>
          <w:szCs w:val="24"/>
          <w:lang w:val="en-ZA"/>
        </w:rPr>
        <w:t>reconvention</w:t>
      </w:r>
      <w:r w:rsidR="00E518E3">
        <w:rPr>
          <w:rFonts w:cs="Arial"/>
          <w:bCs/>
          <w:szCs w:val="24"/>
          <w:lang w:val="en-ZA"/>
        </w:rPr>
        <w:t xml:space="preserve"> has been withdrawn.</w:t>
      </w:r>
    </w:p>
    <w:p w14:paraId="299D595F" w14:textId="77777777" w:rsidR="00EF7093" w:rsidRDefault="00EF7093" w:rsidP="00EF7093">
      <w:pPr>
        <w:spacing w:after="160"/>
        <w:ind w:left="0" w:firstLine="0"/>
        <w:contextualSpacing/>
        <w:rPr>
          <w:rFonts w:cs="Arial"/>
          <w:bCs/>
          <w:szCs w:val="24"/>
          <w:lang w:val="en-ZA"/>
        </w:rPr>
      </w:pPr>
    </w:p>
    <w:p w14:paraId="20349A8D" w14:textId="5752B790" w:rsidR="00E518E3" w:rsidRDefault="00E518E3" w:rsidP="00E518E3">
      <w:pPr>
        <w:spacing w:after="160"/>
        <w:ind w:left="0" w:firstLine="0"/>
        <w:contextualSpacing/>
        <w:rPr>
          <w:rFonts w:cs="Arial"/>
          <w:bCs/>
          <w:szCs w:val="24"/>
          <w:lang w:val="en-ZA"/>
        </w:rPr>
      </w:pPr>
      <w:r>
        <w:rPr>
          <w:rFonts w:cs="Arial"/>
          <w:bCs/>
          <w:szCs w:val="24"/>
          <w:lang w:val="en-ZA"/>
        </w:rPr>
        <w:t>[2] The respondent is the co-executor in the estate of the late Thomas Ignatius Buchner (”the deceased”) who leased certain cattle during 1997 to the Werner Buchner Family Trust (“the Trust”). The excipients are the trustees of the Trust.</w:t>
      </w:r>
    </w:p>
    <w:p w14:paraId="1B58E28F" w14:textId="77777777" w:rsidR="00EF7093" w:rsidRDefault="00EF7093" w:rsidP="00E518E3">
      <w:pPr>
        <w:spacing w:after="160"/>
        <w:ind w:left="0" w:firstLine="0"/>
        <w:contextualSpacing/>
        <w:rPr>
          <w:rFonts w:cs="Arial"/>
          <w:bCs/>
          <w:szCs w:val="24"/>
          <w:lang w:val="en-ZA"/>
        </w:rPr>
      </w:pPr>
    </w:p>
    <w:p w14:paraId="04C29337" w14:textId="73FC182F" w:rsidR="00E518E3" w:rsidRDefault="00E518E3" w:rsidP="00E518E3">
      <w:pPr>
        <w:spacing w:after="160"/>
        <w:ind w:left="0" w:firstLine="0"/>
        <w:contextualSpacing/>
        <w:rPr>
          <w:rFonts w:cs="Arial"/>
          <w:bCs/>
          <w:szCs w:val="24"/>
          <w:lang w:val="en-ZA"/>
        </w:rPr>
      </w:pPr>
      <w:r>
        <w:rPr>
          <w:rFonts w:cs="Arial"/>
          <w:bCs/>
          <w:szCs w:val="24"/>
          <w:lang w:val="en-ZA"/>
        </w:rPr>
        <w:t>[3] The grounds of exception are identical in respect of both claims, namely that they do not disclose a cause of action, alternatively lack averments necessary to sustain a cause of action.</w:t>
      </w:r>
    </w:p>
    <w:p w14:paraId="5C20D686" w14:textId="77777777" w:rsidR="00EF7093" w:rsidRDefault="00EF7093" w:rsidP="00E518E3">
      <w:pPr>
        <w:spacing w:after="160"/>
        <w:ind w:left="0" w:firstLine="0"/>
        <w:contextualSpacing/>
        <w:rPr>
          <w:rFonts w:cs="Arial"/>
          <w:bCs/>
          <w:szCs w:val="24"/>
          <w:lang w:val="en-ZA"/>
        </w:rPr>
      </w:pPr>
    </w:p>
    <w:p w14:paraId="3921A39A" w14:textId="6F881CF7" w:rsidR="00DD1F9B" w:rsidRDefault="00DD1F9B" w:rsidP="00E518E3">
      <w:pPr>
        <w:spacing w:after="160"/>
        <w:ind w:left="0" w:firstLine="0"/>
        <w:contextualSpacing/>
        <w:rPr>
          <w:rFonts w:cs="Arial"/>
          <w:bCs/>
          <w:i/>
          <w:iCs/>
          <w:szCs w:val="24"/>
          <w:lang w:val="en-ZA"/>
        </w:rPr>
      </w:pPr>
      <w:r>
        <w:rPr>
          <w:rFonts w:cs="Arial"/>
          <w:bCs/>
          <w:i/>
          <w:iCs/>
          <w:szCs w:val="24"/>
          <w:lang w:val="en-ZA"/>
        </w:rPr>
        <w:t>Exception in respect of the first claim in reconvention</w:t>
      </w:r>
    </w:p>
    <w:p w14:paraId="53CC18DB" w14:textId="77777777" w:rsidR="00DD1F9B" w:rsidRPr="00DD1F9B" w:rsidRDefault="00DD1F9B" w:rsidP="00E518E3">
      <w:pPr>
        <w:spacing w:after="160"/>
        <w:ind w:left="0" w:firstLine="0"/>
        <w:contextualSpacing/>
        <w:rPr>
          <w:rFonts w:cs="Arial"/>
          <w:bCs/>
          <w:szCs w:val="24"/>
          <w:lang w:val="en-ZA"/>
        </w:rPr>
      </w:pPr>
    </w:p>
    <w:p w14:paraId="19BAB070" w14:textId="5DEDB16D" w:rsidR="00BF4AAF" w:rsidRDefault="00E518E3" w:rsidP="00E518E3">
      <w:pPr>
        <w:spacing w:after="160"/>
        <w:ind w:left="0" w:firstLine="0"/>
        <w:contextualSpacing/>
        <w:rPr>
          <w:rFonts w:cs="Arial"/>
          <w:bCs/>
          <w:iCs/>
          <w:szCs w:val="24"/>
          <w:lang w:val="en-ZA"/>
        </w:rPr>
      </w:pPr>
      <w:r>
        <w:rPr>
          <w:rFonts w:cs="Arial"/>
          <w:bCs/>
          <w:szCs w:val="24"/>
          <w:lang w:val="en-ZA"/>
        </w:rPr>
        <w:t>[4] The</w:t>
      </w:r>
      <w:r w:rsidR="00871BAA">
        <w:rPr>
          <w:rFonts w:cs="Arial"/>
          <w:bCs/>
          <w:szCs w:val="24"/>
          <w:lang w:val="en-ZA"/>
        </w:rPr>
        <w:t xml:space="preserve"> excipients aver in respect of the first claim in reconvention, which is for delivery of the leased cattle</w:t>
      </w:r>
      <w:r w:rsidR="006370BD">
        <w:rPr>
          <w:rFonts w:cs="Arial"/>
          <w:bCs/>
          <w:szCs w:val="24"/>
          <w:lang w:val="en-ZA"/>
        </w:rPr>
        <w:t xml:space="preserve"> alternatively damages</w:t>
      </w:r>
      <w:r w:rsidR="00871BAA">
        <w:rPr>
          <w:rFonts w:cs="Arial"/>
          <w:bCs/>
          <w:szCs w:val="24"/>
          <w:lang w:val="en-ZA"/>
        </w:rPr>
        <w:t xml:space="preserve">, that it is based upon an alleged written cancellation of the relevant lease. It is averred that no valid cancellation is alleged by the </w:t>
      </w:r>
      <w:r w:rsidR="00871BAA">
        <w:rPr>
          <w:rFonts w:cs="Arial"/>
          <w:bCs/>
          <w:szCs w:val="24"/>
          <w:lang w:val="en-ZA"/>
        </w:rPr>
        <w:lastRenderedPageBreak/>
        <w:t>respondent. More specifically, clause 11</w:t>
      </w:r>
      <w:r w:rsidR="00151C95">
        <w:rPr>
          <w:rStyle w:val="FootnoteReference"/>
          <w:rFonts w:cs="Arial"/>
          <w:bCs/>
          <w:szCs w:val="24"/>
          <w:lang w:val="en-ZA"/>
        </w:rPr>
        <w:footnoteReference w:id="1"/>
      </w:r>
      <w:r w:rsidR="00871BAA">
        <w:rPr>
          <w:rFonts w:cs="Arial"/>
          <w:bCs/>
          <w:szCs w:val="24"/>
          <w:lang w:val="en-ZA"/>
        </w:rPr>
        <w:t xml:space="preserve"> of the lease provides that the </w:t>
      </w:r>
      <w:r w:rsidR="00871BAA" w:rsidRPr="00871BAA">
        <w:rPr>
          <w:rFonts w:cs="Arial"/>
          <w:bCs/>
          <w:i/>
          <w:iCs/>
          <w:szCs w:val="24"/>
          <w:lang w:val="en-ZA"/>
        </w:rPr>
        <w:t>domicilium</w:t>
      </w:r>
      <w:r w:rsidR="00871BAA">
        <w:rPr>
          <w:rFonts w:cs="Arial"/>
          <w:bCs/>
          <w:szCs w:val="24"/>
          <w:lang w:val="en-ZA"/>
        </w:rPr>
        <w:t xml:space="preserve"> of the Trust for purposes of the notice of cancellation of the lease shall be the farm Boslaagte, district Alexandria</w:t>
      </w:r>
      <w:r w:rsidR="001E4E07">
        <w:rPr>
          <w:rFonts w:cs="Arial"/>
          <w:bCs/>
          <w:szCs w:val="24"/>
          <w:lang w:val="en-ZA"/>
        </w:rPr>
        <w:t>, Eastern Cape Province</w:t>
      </w:r>
      <w:r w:rsidR="00871BAA">
        <w:rPr>
          <w:rFonts w:cs="Arial"/>
          <w:bCs/>
          <w:szCs w:val="24"/>
          <w:lang w:val="en-ZA"/>
        </w:rPr>
        <w:t>. Contrary to this provision, the notice of cancellation was not delivered to the chosen</w:t>
      </w:r>
      <w:r w:rsidR="00871BAA" w:rsidRPr="00871BAA">
        <w:rPr>
          <w:rFonts w:cs="Arial"/>
          <w:bCs/>
          <w:i/>
          <w:iCs/>
          <w:szCs w:val="24"/>
          <w:lang w:val="en-ZA"/>
        </w:rPr>
        <w:t xml:space="preserve"> domicili</w:t>
      </w:r>
      <w:r w:rsidR="00871BAA">
        <w:rPr>
          <w:rFonts w:cs="Arial"/>
          <w:bCs/>
          <w:i/>
          <w:iCs/>
          <w:szCs w:val="24"/>
          <w:lang w:val="en-ZA"/>
        </w:rPr>
        <w:t>um</w:t>
      </w:r>
      <w:r w:rsidR="00871BAA">
        <w:rPr>
          <w:rFonts w:cs="Arial"/>
          <w:bCs/>
          <w:iCs/>
          <w:szCs w:val="24"/>
          <w:lang w:val="en-ZA"/>
        </w:rPr>
        <w:t xml:space="preserve"> of the Trust</w:t>
      </w:r>
      <w:r w:rsidR="006370BD">
        <w:rPr>
          <w:rFonts w:cs="Arial"/>
          <w:bCs/>
          <w:iCs/>
          <w:szCs w:val="24"/>
          <w:lang w:val="en-ZA"/>
        </w:rPr>
        <w:t xml:space="preserve"> but was sent to the attorneys of the Trust</w:t>
      </w:r>
      <w:r w:rsidR="00871BAA">
        <w:rPr>
          <w:rFonts w:cs="Arial"/>
          <w:bCs/>
          <w:iCs/>
          <w:szCs w:val="24"/>
          <w:lang w:val="en-ZA"/>
        </w:rPr>
        <w:t xml:space="preserve">. The notice was accordingly ineffectual and cannot be relied upon to sustain any cause of action based upon the alleged notice of cancellation and the cancellation of the lease. In the absence of proper cancellation of the lease, no cause of action is disclosed in respect of either delivery of the cattle or damages and the averments necessary to sustain the cause of action are lacking. The </w:t>
      </w:r>
      <w:r w:rsidR="006370BD">
        <w:rPr>
          <w:rFonts w:cs="Arial"/>
          <w:bCs/>
          <w:iCs/>
          <w:szCs w:val="24"/>
          <w:lang w:val="en-ZA"/>
        </w:rPr>
        <w:t xml:space="preserve">excipients averred that the </w:t>
      </w:r>
      <w:r w:rsidR="00871BAA">
        <w:rPr>
          <w:rFonts w:cs="Arial"/>
          <w:bCs/>
          <w:iCs/>
          <w:szCs w:val="24"/>
          <w:lang w:val="en-ZA"/>
        </w:rPr>
        <w:t xml:space="preserve">exception in respect of the first claim in reconvention should accordingly be upheld and the claim be struck out, set aside or dismissed with costs. </w:t>
      </w:r>
    </w:p>
    <w:p w14:paraId="76D216CF" w14:textId="77777777" w:rsidR="00EF7093" w:rsidRDefault="00EF7093" w:rsidP="00E518E3">
      <w:pPr>
        <w:spacing w:after="160"/>
        <w:ind w:left="0" w:firstLine="0"/>
        <w:contextualSpacing/>
        <w:rPr>
          <w:rFonts w:cs="Arial"/>
          <w:bCs/>
          <w:iCs/>
          <w:szCs w:val="24"/>
          <w:lang w:val="en-ZA"/>
        </w:rPr>
      </w:pPr>
    </w:p>
    <w:p w14:paraId="0A763721" w14:textId="570FD70C" w:rsidR="00D80AE1" w:rsidRDefault="00BF4AAF" w:rsidP="00E518E3">
      <w:pPr>
        <w:spacing w:after="160"/>
        <w:ind w:left="0" w:firstLine="0"/>
        <w:contextualSpacing/>
        <w:rPr>
          <w:rFonts w:cs="Arial"/>
          <w:bCs/>
          <w:iCs/>
          <w:szCs w:val="24"/>
          <w:lang w:val="en-ZA"/>
        </w:rPr>
      </w:pPr>
      <w:r>
        <w:rPr>
          <w:rFonts w:cs="Arial"/>
          <w:bCs/>
          <w:iCs/>
          <w:szCs w:val="24"/>
          <w:lang w:val="en-ZA"/>
        </w:rPr>
        <w:t xml:space="preserve">[5] </w:t>
      </w:r>
      <w:r w:rsidR="00871BAA">
        <w:rPr>
          <w:rFonts w:cs="Arial"/>
          <w:bCs/>
          <w:iCs/>
          <w:szCs w:val="24"/>
          <w:lang w:val="en-ZA"/>
        </w:rPr>
        <w:t>The</w:t>
      </w:r>
      <w:r>
        <w:rPr>
          <w:rFonts w:cs="Arial"/>
          <w:bCs/>
          <w:iCs/>
          <w:szCs w:val="24"/>
          <w:lang w:val="en-ZA"/>
        </w:rPr>
        <w:t xml:space="preserve"> gravamen </w:t>
      </w:r>
      <w:r w:rsidR="00871BAA">
        <w:rPr>
          <w:rFonts w:cs="Arial"/>
          <w:bCs/>
          <w:iCs/>
          <w:szCs w:val="24"/>
          <w:lang w:val="en-ZA"/>
        </w:rPr>
        <w:t>of the ground relied upon</w:t>
      </w:r>
      <w:r>
        <w:rPr>
          <w:rFonts w:cs="Arial"/>
          <w:bCs/>
          <w:iCs/>
          <w:szCs w:val="24"/>
          <w:lang w:val="en-ZA"/>
        </w:rPr>
        <w:t xml:space="preserve"> in this regard</w:t>
      </w:r>
      <w:r w:rsidR="00871BAA">
        <w:rPr>
          <w:rFonts w:cs="Arial"/>
          <w:bCs/>
          <w:iCs/>
          <w:szCs w:val="24"/>
          <w:lang w:val="en-ZA"/>
        </w:rPr>
        <w:t xml:space="preserve"> by the excipients appears from paragraph 1.6 of the notice of exception which is to the following effect</w:t>
      </w:r>
      <w:r>
        <w:rPr>
          <w:rFonts w:cs="Arial"/>
          <w:bCs/>
          <w:iCs/>
          <w:szCs w:val="24"/>
          <w:lang w:val="en-ZA"/>
        </w:rPr>
        <w:t>:</w:t>
      </w:r>
    </w:p>
    <w:p w14:paraId="15B9BA62" w14:textId="77777777" w:rsidR="00EF7093" w:rsidRDefault="00EF7093" w:rsidP="00E518E3">
      <w:pPr>
        <w:spacing w:after="160"/>
        <w:ind w:left="0" w:firstLine="0"/>
        <w:contextualSpacing/>
        <w:rPr>
          <w:rFonts w:cs="Arial"/>
          <w:bCs/>
          <w:iCs/>
          <w:szCs w:val="24"/>
          <w:lang w:val="en-ZA"/>
        </w:rPr>
      </w:pPr>
    </w:p>
    <w:p w14:paraId="03FE85BD" w14:textId="205B1B43" w:rsidR="00BF4AAF" w:rsidRDefault="00BF4AAF" w:rsidP="00BF4AAF">
      <w:pPr>
        <w:spacing w:after="160"/>
        <w:ind w:firstLine="0"/>
        <w:contextualSpacing/>
        <w:rPr>
          <w:rFonts w:cs="Arial"/>
          <w:bCs/>
          <w:i/>
          <w:szCs w:val="24"/>
          <w:lang w:val="en-ZA"/>
        </w:rPr>
      </w:pPr>
      <w:r>
        <w:rPr>
          <w:rFonts w:cs="Arial"/>
          <w:bCs/>
          <w:i/>
          <w:szCs w:val="24"/>
          <w:lang w:val="en-ZA"/>
        </w:rPr>
        <w:t>“1.6 The First Defendant has failed to allege that notice of cancellation was given to the Werner Buchner Family Trust in compliance with clause 11.1 of the lease agreement.”</w:t>
      </w:r>
    </w:p>
    <w:p w14:paraId="62319E6C" w14:textId="77777777" w:rsidR="00EF7093" w:rsidRDefault="00EF7093" w:rsidP="00BF4AAF">
      <w:pPr>
        <w:spacing w:after="160"/>
        <w:ind w:firstLine="0"/>
        <w:contextualSpacing/>
        <w:rPr>
          <w:rFonts w:cs="Arial"/>
          <w:bCs/>
          <w:i/>
          <w:szCs w:val="24"/>
          <w:lang w:val="en-ZA"/>
        </w:rPr>
      </w:pPr>
    </w:p>
    <w:p w14:paraId="25EBD0BD" w14:textId="1435077F" w:rsidR="00BF4AAF" w:rsidRDefault="00BF4AAF" w:rsidP="00BF4AAF">
      <w:pPr>
        <w:spacing w:after="160"/>
        <w:ind w:left="0" w:firstLine="0"/>
        <w:contextualSpacing/>
        <w:rPr>
          <w:rFonts w:cs="Arial"/>
          <w:bCs/>
          <w:szCs w:val="24"/>
          <w:lang w:val="en-ZA"/>
        </w:rPr>
      </w:pPr>
      <w:r>
        <w:rPr>
          <w:rFonts w:cs="Arial"/>
          <w:bCs/>
          <w:iCs/>
          <w:szCs w:val="24"/>
          <w:lang w:val="en-ZA"/>
        </w:rPr>
        <w:t>[6] Mr Grun</w:t>
      </w:r>
      <w:r w:rsidR="00BF12F3">
        <w:rPr>
          <w:rFonts w:cs="Arial"/>
          <w:bCs/>
          <w:iCs/>
          <w:szCs w:val="24"/>
          <w:lang w:val="en-ZA"/>
        </w:rPr>
        <w:t>d</w:t>
      </w:r>
      <w:r>
        <w:rPr>
          <w:rFonts w:cs="Arial"/>
          <w:bCs/>
          <w:iCs/>
          <w:szCs w:val="24"/>
          <w:lang w:val="en-ZA"/>
        </w:rPr>
        <w:t>lingh</w:t>
      </w:r>
      <w:r w:rsidR="00BF12F3">
        <w:rPr>
          <w:rFonts w:cs="Arial"/>
          <w:bCs/>
          <w:iCs/>
          <w:szCs w:val="24"/>
          <w:lang w:val="en-ZA"/>
        </w:rPr>
        <w:t>,</w:t>
      </w:r>
      <w:r>
        <w:rPr>
          <w:rFonts w:cs="Arial"/>
          <w:bCs/>
          <w:iCs/>
          <w:szCs w:val="24"/>
          <w:lang w:val="en-ZA"/>
        </w:rPr>
        <w:t xml:space="preserve"> who appeared on behalf of the excipients together with Mr Van Wyk</w:t>
      </w:r>
      <w:r w:rsidR="00BF12F3">
        <w:rPr>
          <w:rFonts w:cs="Arial"/>
          <w:bCs/>
          <w:iCs/>
          <w:szCs w:val="24"/>
          <w:lang w:val="en-ZA"/>
        </w:rPr>
        <w:t>,</w:t>
      </w:r>
      <w:r>
        <w:rPr>
          <w:rFonts w:cs="Arial"/>
          <w:bCs/>
          <w:iCs/>
          <w:szCs w:val="24"/>
          <w:lang w:val="en-ZA"/>
        </w:rPr>
        <w:t xml:space="preserve"> </w:t>
      </w:r>
      <w:r w:rsidR="006370BD">
        <w:rPr>
          <w:rFonts w:cs="Arial"/>
          <w:bCs/>
          <w:iCs/>
          <w:szCs w:val="24"/>
          <w:lang w:val="en-ZA"/>
        </w:rPr>
        <w:t>reiterated</w:t>
      </w:r>
      <w:r>
        <w:rPr>
          <w:rFonts w:cs="Arial"/>
          <w:bCs/>
          <w:iCs/>
          <w:szCs w:val="24"/>
          <w:lang w:val="en-ZA"/>
        </w:rPr>
        <w:t xml:space="preserve"> that</w:t>
      </w:r>
      <w:r w:rsidR="001679DB">
        <w:rPr>
          <w:rFonts w:cs="Arial"/>
          <w:bCs/>
          <w:iCs/>
          <w:szCs w:val="24"/>
          <w:lang w:val="en-ZA"/>
        </w:rPr>
        <w:t xml:space="preserve"> the notice of cancellation was not sent or delivered</w:t>
      </w:r>
      <w:r w:rsidR="005F1F02">
        <w:rPr>
          <w:rFonts w:cs="Arial"/>
          <w:bCs/>
          <w:iCs/>
          <w:szCs w:val="24"/>
          <w:lang w:val="en-ZA"/>
        </w:rPr>
        <w:t xml:space="preserve"> to</w:t>
      </w:r>
      <w:r w:rsidR="001679DB">
        <w:rPr>
          <w:rFonts w:cs="Arial"/>
          <w:bCs/>
          <w:iCs/>
          <w:szCs w:val="24"/>
          <w:lang w:val="en-ZA"/>
        </w:rPr>
        <w:t xml:space="preserve"> the chosen</w:t>
      </w:r>
      <w:r w:rsidR="001679DB" w:rsidRPr="001679DB">
        <w:rPr>
          <w:rFonts w:cs="Arial"/>
          <w:bCs/>
          <w:i/>
          <w:szCs w:val="24"/>
          <w:lang w:val="en-ZA"/>
        </w:rPr>
        <w:t xml:space="preserve"> domicili</w:t>
      </w:r>
      <w:r w:rsidR="001679DB">
        <w:rPr>
          <w:rFonts w:cs="Arial"/>
          <w:bCs/>
          <w:i/>
          <w:szCs w:val="24"/>
          <w:lang w:val="en-ZA"/>
        </w:rPr>
        <w:t>um</w:t>
      </w:r>
      <w:r w:rsidR="001679DB">
        <w:rPr>
          <w:rFonts w:cs="Arial"/>
          <w:bCs/>
          <w:szCs w:val="24"/>
          <w:lang w:val="en-ZA"/>
        </w:rPr>
        <w:t xml:space="preserve"> but was instead sent to the attorneys of the Trust.</w:t>
      </w:r>
      <w:r w:rsidR="005F1F02">
        <w:rPr>
          <w:rFonts w:cs="Arial"/>
          <w:bCs/>
          <w:szCs w:val="24"/>
          <w:lang w:val="en-ZA"/>
        </w:rPr>
        <w:t xml:space="preserve"> </w:t>
      </w:r>
      <w:r w:rsidR="006370BD">
        <w:rPr>
          <w:rFonts w:cs="Arial"/>
          <w:bCs/>
          <w:szCs w:val="24"/>
          <w:lang w:val="en-ZA"/>
        </w:rPr>
        <w:t>He submitted that t</w:t>
      </w:r>
      <w:r w:rsidR="005F1F02">
        <w:rPr>
          <w:rFonts w:cs="Arial"/>
          <w:bCs/>
          <w:szCs w:val="24"/>
          <w:lang w:val="en-ZA"/>
        </w:rPr>
        <w:t xml:space="preserve">he wording of clause 11.1 of the lease agreement is clear and unambiguous and requires that notice of cancellation should be given </w:t>
      </w:r>
      <w:r w:rsidR="006370BD">
        <w:rPr>
          <w:rFonts w:cs="Arial"/>
          <w:bCs/>
          <w:szCs w:val="24"/>
          <w:lang w:val="en-ZA"/>
        </w:rPr>
        <w:t>at</w:t>
      </w:r>
      <w:r w:rsidR="005F1F02">
        <w:rPr>
          <w:rFonts w:cs="Arial"/>
          <w:bCs/>
          <w:szCs w:val="24"/>
          <w:lang w:val="en-ZA"/>
        </w:rPr>
        <w:t xml:space="preserve"> the chosen</w:t>
      </w:r>
      <w:r w:rsidR="005F1F02" w:rsidRPr="005F1F02">
        <w:rPr>
          <w:rFonts w:cs="Arial"/>
          <w:bCs/>
          <w:i/>
          <w:iCs/>
          <w:szCs w:val="24"/>
          <w:lang w:val="en-ZA"/>
        </w:rPr>
        <w:t xml:space="preserve"> domicili</w:t>
      </w:r>
      <w:r w:rsidR="005F1F02">
        <w:rPr>
          <w:rFonts w:cs="Arial"/>
          <w:bCs/>
          <w:i/>
          <w:iCs/>
          <w:szCs w:val="24"/>
          <w:lang w:val="en-ZA"/>
        </w:rPr>
        <w:t>um</w:t>
      </w:r>
      <w:r w:rsidR="005F1F02">
        <w:rPr>
          <w:rFonts w:cs="Arial"/>
          <w:bCs/>
          <w:iCs/>
          <w:szCs w:val="24"/>
          <w:lang w:val="en-ZA"/>
        </w:rPr>
        <w:t xml:space="preserve"> address. He referred to the following dicta in </w:t>
      </w:r>
      <w:r w:rsidR="005F1F02" w:rsidRPr="005F1F02">
        <w:rPr>
          <w:rFonts w:cs="Arial"/>
          <w:bCs/>
          <w:i/>
          <w:szCs w:val="24"/>
          <w:lang w:val="en-ZA"/>
        </w:rPr>
        <w:t>Amcoal Collieries Limited v T</w:t>
      </w:r>
      <w:r w:rsidR="005F1F02">
        <w:rPr>
          <w:rFonts w:cs="Arial"/>
          <w:bCs/>
          <w:i/>
          <w:szCs w:val="24"/>
          <w:lang w:val="en-ZA"/>
        </w:rPr>
        <w:t>ruter</w:t>
      </w:r>
      <w:r w:rsidR="005F1F02">
        <w:rPr>
          <w:rStyle w:val="FootnoteReference"/>
          <w:rFonts w:cs="Arial"/>
          <w:bCs/>
          <w:i/>
          <w:szCs w:val="24"/>
          <w:lang w:val="en-ZA"/>
        </w:rPr>
        <w:footnoteReference w:id="2"/>
      </w:r>
      <w:r w:rsidR="005F1F02">
        <w:rPr>
          <w:rFonts w:cs="Arial"/>
          <w:bCs/>
          <w:szCs w:val="24"/>
          <w:lang w:val="en-ZA"/>
        </w:rPr>
        <w:t>:</w:t>
      </w:r>
    </w:p>
    <w:p w14:paraId="762182EA" w14:textId="77777777" w:rsidR="00EF7093" w:rsidRDefault="00EF7093" w:rsidP="00BF4AAF">
      <w:pPr>
        <w:spacing w:after="160"/>
        <w:ind w:left="0" w:firstLine="0"/>
        <w:contextualSpacing/>
        <w:rPr>
          <w:rFonts w:cs="Arial"/>
          <w:bCs/>
          <w:szCs w:val="24"/>
          <w:lang w:val="en-ZA"/>
        </w:rPr>
      </w:pPr>
    </w:p>
    <w:p w14:paraId="6F24245D" w14:textId="718138DA" w:rsidR="005F1F02" w:rsidRDefault="005F1F02" w:rsidP="005F1F02">
      <w:pPr>
        <w:spacing w:after="160"/>
        <w:ind w:firstLine="0"/>
        <w:contextualSpacing/>
        <w:rPr>
          <w:rFonts w:cs="Arial"/>
          <w:bCs/>
          <w:i/>
          <w:iCs/>
          <w:szCs w:val="24"/>
          <w:lang w:val="en-ZA"/>
        </w:rPr>
      </w:pPr>
      <w:r>
        <w:rPr>
          <w:rFonts w:cs="Arial"/>
          <w:bCs/>
          <w:i/>
          <w:iCs/>
          <w:szCs w:val="24"/>
          <w:lang w:val="en-ZA"/>
        </w:rPr>
        <w:lastRenderedPageBreak/>
        <w:t>“</w:t>
      </w:r>
      <w:r w:rsidR="00120B4C">
        <w:rPr>
          <w:rFonts w:cs="Arial"/>
          <w:bCs/>
          <w:i/>
          <w:iCs/>
          <w:szCs w:val="24"/>
          <w:lang w:val="en-ZA"/>
        </w:rPr>
        <w:t>P</w:t>
      </w:r>
      <w:r>
        <w:rPr>
          <w:rFonts w:cs="Arial"/>
          <w:bCs/>
          <w:i/>
          <w:iCs/>
          <w:szCs w:val="24"/>
          <w:lang w:val="en-ZA"/>
        </w:rPr>
        <w:t>arties to a contract may, however, choose an address for the service of notices under the contract. The consequences of such a choice must in principle be the same as a choice of a domicilium citandi et executandi, namely that service at the address chosen is good service, whether or not the addressee is present at the time.”</w:t>
      </w:r>
    </w:p>
    <w:p w14:paraId="056F0905" w14:textId="77777777" w:rsidR="00EF7093" w:rsidRDefault="00EF7093" w:rsidP="005F1F02">
      <w:pPr>
        <w:spacing w:after="160"/>
        <w:ind w:firstLine="0"/>
        <w:contextualSpacing/>
        <w:rPr>
          <w:rFonts w:cs="Arial"/>
          <w:bCs/>
          <w:iCs/>
          <w:szCs w:val="24"/>
          <w:lang w:val="en-ZA"/>
        </w:rPr>
      </w:pPr>
    </w:p>
    <w:p w14:paraId="52B8B849" w14:textId="3B872332" w:rsidR="0051656C" w:rsidRDefault="005F1F02" w:rsidP="005F1F02">
      <w:pPr>
        <w:spacing w:after="160"/>
        <w:ind w:left="0" w:firstLine="0"/>
        <w:contextualSpacing/>
        <w:rPr>
          <w:rFonts w:cs="Arial"/>
          <w:bCs/>
          <w:szCs w:val="24"/>
          <w:lang w:val="en-ZA"/>
        </w:rPr>
      </w:pPr>
      <w:r>
        <w:rPr>
          <w:rFonts w:cs="Arial"/>
          <w:bCs/>
          <w:szCs w:val="24"/>
          <w:lang w:val="en-ZA"/>
        </w:rPr>
        <w:t>[7]</w:t>
      </w:r>
      <w:r w:rsidR="0051656C">
        <w:rPr>
          <w:rFonts w:cs="Arial"/>
          <w:bCs/>
          <w:szCs w:val="24"/>
          <w:lang w:val="en-ZA"/>
        </w:rPr>
        <w:t xml:space="preserve"> Mr Grundlingh referred to a number of other cases which he submitted supported the excipients’</w:t>
      </w:r>
      <w:r w:rsidR="001E4E07">
        <w:rPr>
          <w:rFonts w:cs="Arial"/>
          <w:bCs/>
          <w:szCs w:val="24"/>
          <w:lang w:val="en-ZA"/>
        </w:rPr>
        <w:t xml:space="preserve"> </w:t>
      </w:r>
      <w:r w:rsidR="0051656C">
        <w:rPr>
          <w:rFonts w:cs="Arial"/>
          <w:bCs/>
          <w:szCs w:val="24"/>
          <w:lang w:val="en-ZA"/>
        </w:rPr>
        <w:t>case that the notice of cancellation in this case should have been given at the chosen</w:t>
      </w:r>
      <w:r w:rsidR="0051656C" w:rsidRPr="0051656C">
        <w:rPr>
          <w:rFonts w:cs="Arial"/>
          <w:bCs/>
          <w:i/>
          <w:iCs/>
          <w:szCs w:val="24"/>
          <w:lang w:val="en-ZA"/>
        </w:rPr>
        <w:t xml:space="preserve"> domicili</w:t>
      </w:r>
      <w:r w:rsidR="0051656C">
        <w:rPr>
          <w:rFonts w:cs="Arial"/>
          <w:bCs/>
          <w:i/>
          <w:iCs/>
          <w:szCs w:val="24"/>
          <w:lang w:val="en-ZA"/>
        </w:rPr>
        <w:t>um</w:t>
      </w:r>
      <w:r w:rsidR="0051656C">
        <w:rPr>
          <w:rFonts w:cs="Arial"/>
          <w:bCs/>
          <w:szCs w:val="24"/>
          <w:lang w:val="en-ZA"/>
        </w:rPr>
        <w:t xml:space="preserve">. The notice relied upon by the respondent is accordingly </w:t>
      </w:r>
      <w:r w:rsidR="00EF7093">
        <w:rPr>
          <w:rFonts w:cs="Arial"/>
          <w:bCs/>
          <w:szCs w:val="24"/>
          <w:lang w:val="en-ZA"/>
        </w:rPr>
        <w:t>legally ineffective</w:t>
      </w:r>
      <w:r w:rsidR="0051656C">
        <w:rPr>
          <w:rFonts w:cs="Arial"/>
          <w:bCs/>
          <w:szCs w:val="24"/>
          <w:lang w:val="en-ZA"/>
        </w:rPr>
        <w:t xml:space="preserve"> and cannot be relied upon in support of the first claim in reconvention which does not disclose a cause of action against the Trust.</w:t>
      </w:r>
    </w:p>
    <w:p w14:paraId="3E44B12C" w14:textId="77777777" w:rsidR="00EF7093" w:rsidRDefault="00EF7093" w:rsidP="005F1F02">
      <w:pPr>
        <w:spacing w:after="160"/>
        <w:ind w:left="0" w:firstLine="0"/>
        <w:contextualSpacing/>
        <w:rPr>
          <w:rFonts w:cs="Arial"/>
          <w:bCs/>
          <w:szCs w:val="24"/>
          <w:lang w:val="en-ZA"/>
        </w:rPr>
      </w:pPr>
    </w:p>
    <w:p w14:paraId="7D8540E6" w14:textId="4F4D98D1" w:rsidR="0051656C" w:rsidRDefault="0051656C" w:rsidP="005F1F02">
      <w:pPr>
        <w:spacing w:after="160"/>
        <w:ind w:left="0" w:firstLine="0"/>
        <w:contextualSpacing/>
        <w:rPr>
          <w:rFonts w:cs="Arial"/>
          <w:bCs/>
          <w:szCs w:val="24"/>
          <w:lang w:val="en-ZA"/>
        </w:rPr>
      </w:pPr>
      <w:r>
        <w:rPr>
          <w:rFonts w:cs="Arial"/>
          <w:bCs/>
          <w:szCs w:val="24"/>
          <w:lang w:val="en-ZA"/>
        </w:rPr>
        <w:t>[8] Mr Nepgen, who appeared on behalf of the respondent, indicated that the respondent made the following averments with regard to cancellation in the claim in reconvention:</w:t>
      </w:r>
    </w:p>
    <w:p w14:paraId="6EEC6CC1" w14:textId="77777777" w:rsidR="00EF7093" w:rsidRDefault="00EF7093" w:rsidP="005F1F02">
      <w:pPr>
        <w:spacing w:after="160"/>
        <w:ind w:left="0" w:firstLine="0"/>
        <w:contextualSpacing/>
        <w:rPr>
          <w:rFonts w:cs="Arial"/>
          <w:bCs/>
          <w:szCs w:val="24"/>
          <w:lang w:val="en-ZA"/>
        </w:rPr>
      </w:pPr>
    </w:p>
    <w:p w14:paraId="16EEE474" w14:textId="7FA30AAA" w:rsidR="003C6576" w:rsidRDefault="0051656C" w:rsidP="0051656C">
      <w:pPr>
        <w:spacing w:after="160"/>
        <w:ind w:firstLine="0"/>
        <w:contextualSpacing/>
        <w:rPr>
          <w:rFonts w:cs="Arial"/>
          <w:bCs/>
          <w:i/>
          <w:iCs/>
          <w:szCs w:val="24"/>
          <w:lang w:val="en-ZA"/>
        </w:rPr>
      </w:pPr>
      <w:r>
        <w:rPr>
          <w:rFonts w:cs="Arial"/>
          <w:bCs/>
          <w:i/>
          <w:iCs/>
          <w:szCs w:val="24"/>
          <w:lang w:val="en-ZA"/>
        </w:rPr>
        <w:t>“9. The First Defendant</w:t>
      </w:r>
      <w:r w:rsidR="003C6576">
        <w:rPr>
          <w:rFonts w:cs="Arial"/>
          <w:bCs/>
          <w:i/>
          <w:iCs/>
          <w:szCs w:val="24"/>
          <w:lang w:val="en-ZA"/>
        </w:rPr>
        <w:t xml:space="preserve"> pleads that on 14 December 2021 written notice of cancellation of the lease was given to the Werner Buchner Family Trust as provided for therein, with the lease terminating on 31 March 2022. A copy of the relevant correspondence is annexed to the particulars of claim marked ‘G’.”</w:t>
      </w:r>
    </w:p>
    <w:p w14:paraId="2CDD27A7" w14:textId="77777777" w:rsidR="00EF7093" w:rsidRDefault="00EF7093" w:rsidP="0051656C">
      <w:pPr>
        <w:spacing w:after="160"/>
        <w:ind w:firstLine="0"/>
        <w:contextualSpacing/>
        <w:rPr>
          <w:rFonts w:cs="Arial"/>
          <w:bCs/>
          <w:iCs/>
          <w:szCs w:val="24"/>
          <w:lang w:val="en-ZA"/>
        </w:rPr>
      </w:pPr>
    </w:p>
    <w:p w14:paraId="1F70CAE0" w14:textId="5360A00F" w:rsidR="001330D6" w:rsidRDefault="003C6576" w:rsidP="003C6576">
      <w:pPr>
        <w:spacing w:after="160"/>
        <w:ind w:left="0" w:firstLine="0"/>
        <w:contextualSpacing/>
        <w:rPr>
          <w:rFonts w:cs="Arial"/>
          <w:bCs/>
          <w:szCs w:val="24"/>
          <w:lang w:val="en-ZA"/>
        </w:rPr>
      </w:pPr>
      <w:r>
        <w:rPr>
          <w:rFonts w:cs="Arial"/>
          <w:bCs/>
          <w:szCs w:val="24"/>
          <w:lang w:val="en-ZA"/>
        </w:rPr>
        <w:t>[9] He submitted that the respondent thus pleaded that the notice of cancellation was given</w:t>
      </w:r>
      <w:r>
        <w:rPr>
          <w:rFonts w:cs="Arial"/>
          <w:bCs/>
          <w:i/>
          <w:szCs w:val="24"/>
          <w:lang w:val="en-ZA"/>
        </w:rPr>
        <w:t xml:space="preserve"> “as provided for”</w:t>
      </w:r>
      <w:r>
        <w:rPr>
          <w:rFonts w:cs="Arial"/>
          <w:bCs/>
          <w:szCs w:val="24"/>
          <w:lang w:val="en-ZA"/>
        </w:rPr>
        <w:t xml:space="preserve"> in the lease. This averment must be accepted as true in accordance with the applicable rule relating to exceptions. The factual contention to the contrary by the excipients cannot be considered in determining the exception. It is only the averments by the respondent that are relevant for purposes of the exception. The claim in reconvention can be reasonably interpreted to particularise compliance with the lease agreement. In any event</w:t>
      </w:r>
      <w:r w:rsidR="008D4E9F">
        <w:rPr>
          <w:rFonts w:cs="Arial"/>
          <w:bCs/>
          <w:szCs w:val="24"/>
          <w:lang w:val="en-ZA"/>
        </w:rPr>
        <w:t>,</w:t>
      </w:r>
      <w:r>
        <w:rPr>
          <w:rFonts w:cs="Arial"/>
          <w:bCs/>
          <w:szCs w:val="24"/>
          <w:lang w:val="en-ZA"/>
        </w:rPr>
        <w:t xml:space="preserve"> the notice </w:t>
      </w:r>
      <w:r w:rsidR="008D4E9F">
        <w:rPr>
          <w:rFonts w:cs="Arial"/>
          <w:bCs/>
          <w:szCs w:val="24"/>
          <w:lang w:val="en-ZA"/>
        </w:rPr>
        <w:t>provision</w:t>
      </w:r>
      <w:r>
        <w:rPr>
          <w:rFonts w:cs="Arial"/>
          <w:bCs/>
          <w:szCs w:val="24"/>
          <w:lang w:val="en-ZA"/>
        </w:rPr>
        <w:t xml:space="preserve"> is not framed as a peremptory requirement in respect of the method of delivering of notices or the address for delivery. There is accordingly no merit in the exception to the first claim in reconvention.</w:t>
      </w:r>
    </w:p>
    <w:p w14:paraId="3CE94294" w14:textId="77777777" w:rsidR="00EF7093" w:rsidRDefault="00EF7093" w:rsidP="003C6576">
      <w:pPr>
        <w:spacing w:after="160"/>
        <w:ind w:left="0" w:firstLine="0"/>
        <w:contextualSpacing/>
        <w:rPr>
          <w:rFonts w:cs="Arial"/>
          <w:bCs/>
          <w:szCs w:val="24"/>
          <w:lang w:val="en-ZA"/>
        </w:rPr>
      </w:pPr>
    </w:p>
    <w:p w14:paraId="4064E438" w14:textId="4BC8531C" w:rsidR="004A7760" w:rsidRDefault="001330D6" w:rsidP="003C6576">
      <w:pPr>
        <w:spacing w:after="160"/>
        <w:ind w:left="0" w:firstLine="0"/>
        <w:contextualSpacing/>
        <w:rPr>
          <w:rFonts w:cs="Arial"/>
          <w:bCs/>
          <w:iCs/>
          <w:szCs w:val="24"/>
          <w:lang w:val="en-ZA"/>
        </w:rPr>
      </w:pPr>
      <w:r>
        <w:rPr>
          <w:rFonts w:cs="Arial"/>
          <w:bCs/>
          <w:iCs/>
          <w:szCs w:val="24"/>
          <w:lang w:val="en-ZA"/>
        </w:rPr>
        <w:t>[10] In supplementary heads of argument, it was submitted on behalf of the excipients that the correctness of the factual averments in the claim in reconvention is assumed</w:t>
      </w:r>
      <w:r w:rsidRPr="001330D6">
        <w:rPr>
          <w:rFonts w:cs="Arial"/>
          <w:b/>
          <w:iCs/>
          <w:szCs w:val="24"/>
          <w:lang w:val="en-ZA"/>
        </w:rPr>
        <w:t>,</w:t>
      </w:r>
      <w:r>
        <w:rPr>
          <w:rFonts w:cs="Arial"/>
          <w:b/>
          <w:iCs/>
          <w:szCs w:val="24"/>
          <w:lang w:val="en-ZA"/>
        </w:rPr>
        <w:t xml:space="preserve"> </w:t>
      </w:r>
      <w:r>
        <w:rPr>
          <w:rFonts w:cs="Arial"/>
          <w:bCs/>
          <w:iCs/>
          <w:szCs w:val="24"/>
          <w:lang w:val="en-ZA"/>
        </w:rPr>
        <w:lastRenderedPageBreak/>
        <w:t>unless</w:t>
      </w:r>
      <w:r>
        <w:rPr>
          <w:rFonts w:cs="Arial"/>
          <w:b/>
          <w:iCs/>
          <w:szCs w:val="24"/>
          <w:lang w:val="en-ZA"/>
        </w:rPr>
        <w:t xml:space="preserve"> </w:t>
      </w:r>
      <w:r w:rsidRPr="001330D6">
        <w:rPr>
          <w:rFonts w:cs="Arial"/>
          <w:bCs/>
          <w:iCs/>
          <w:szCs w:val="24"/>
          <w:lang w:val="en-ZA"/>
        </w:rPr>
        <w:t>they are palpably unt</w:t>
      </w:r>
      <w:r>
        <w:rPr>
          <w:rFonts w:cs="Arial"/>
          <w:bCs/>
          <w:iCs/>
          <w:szCs w:val="24"/>
          <w:lang w:val="en-ZA"/>
        </w:rPr>
        <w:t>rue</w:t>
      </w:r>
      <w:r w:rsidRPr="001330D6">
        <w:rPr>
          <w:rFonts w:cs="Arial"/>
          <w:bCs/>
          <w:iCs/>
          <w:szCs w:val="24"/>
          <w:lang w:val="en-ZA"/>
        </w:rPr>
        <w:t xml:space="preserve">, manifestly false </w:t>
      </w:r>
      <w:r>
        <w:rPr>
          <w:rFonts w:cs="Arial"/>
          <w:bCs/>
          <w:iCs/>
          <w:szCs w:val="24"/>
          <w:lang w:val="en-ZA"/>
        </w:rPr>
        <w:t>or</w:t>
      </w:r>
      <w:r w:rsidRPr="001330D6">
        <w:rPr>
          <w:rFonts w:cs="Arial"/>
          <w:bCs/>
          <w:iCs/>
          <w:szCs w:val="24"/>
          <w:lang w:val="en-ZA"/>
        </w:rPr>
        <w:t xml:space="preserve"> so improbable that they cannot be accepted</w:t>
      </w:r>
      <w:r>
        <w:rPr>
          <w:rFonts w:cs="Arial"/>
          <w:bCs/>
          <w:iCs/>
          <w:szCs w:val="24"/>
          <w:lang w:val="en-ZA"/>
        </w:rPr>
        <w:t>. The respondent is relying on annexure “G” to the particulars of claim as the basis for the cancellation of the lease. The case of the respondent must be considered on the basis of the averments in the claim in reconvention together with the supporting annexures. The reference to annexure “G” and the document itself cannot simply be ignored in determining the exception.</w:t>
      </w:r>
      <w:r w:rsidR="004A7760">
        <w:rPr>
          <w:rFonts w:cs="Arial"/>
          <w:bCs/>
          <w:iCs/>
          <w:szCs w:val="24"/>
          <w:lang w:val="en-ZA"/>
        </w:rPr>
        <w:t xml:space="preserve"> Annexure “G” is a notice addressed to the attorneys of the Trust and not to the</w:t>
      </w:r>
      <w:r w:rsidR="004A7760" w:rsidRPr="004A7760">
        <w:rPr>
          <w:rFonts w:cs="Arial"/>
          <w:bCs/>
          <w:i/>
          <w:szCs w:val="24"/>
          <w:lang w:val="en-ZA"/>
        </w:rPr>
        <w:t xml:space="preserve"> domicili</w:t>
      </w:r>
      <w:r w:rsidR="004A7760">
        <w:rPr>
          <w:rFonts w:cs="Arial"/>
          <w:bCs/>
          <w:i/>
          <w:szCs w:val="24"/>
          <w:lang w:val="en-ZA"/>
        </w:rPr>
        <w:t>um</w:t>
      </w:r>
      <w:r w:rsidR="004A7760">
        <w:rPr>
          <w:rFonts w:cs="Arial"/>
          <w:bCs/>
          <w:szCs w:val="24"/>
          <w:lang w:val="en-ZA"/>
        </w:rPr>
        <w:t xml:space="preserve"> of the Trust. Clause 11.1 is peremptory and stipulates that notice “</w:t>
      </w:r>
      <w:r w:rsidR="004A7760">
        <w:rPr>
          <w:rFonts w:cs="Arial"/>
          <w:bCs/>
          <w:i/>
          <w:szCs w:val="24"/>
          <w:lang w:val="en-ZA"/>
        </w:rPr>
        <w:t>shall”</w:t>
      </w:r>
      <w:r w:rsidR="004A7760">
        <w:rPr>
          <w:rFonts w:cs="Arial"/>
          <w:bCs/>
          <w:szCs w:val="24"/>
          <w:lang w:val="en-ZA"/>
        </w:rPr>
        <w:t xml:space="preserve"> be given at the</w:t>
      </w:r>
      <w:r w:rsidR="004A7760" w:rsidRPr="004A7760">
        <w:rPr>
          <w:rFonts w:cs="Arial"/>
          <w:bCs/>
          <w:i/>
          <w:iCs/>
          <w:szCs w:val="24"/>
          <w:lang w:val="en-ZA"/>
        </w:rPr>
        <w:t xml:space="preserve"> domicili</w:t>
      </w:r>
      <w:r w:rsidR="004A7760">
        <w:rPr>
          <w:rFonts w:cs="Arial"/>
          <w:bCs/>
          <w:i/>
          <w:iCs/>
          <w:szCs w:val="24"/>
          <w:lang w:val="en-ZA"/>
        </w:rPr>
        <w:t>um</w:t>
      </w:r>
      <w:r w:rsidR="004A7760">
        <w:rPr>
          <w:rFonts w:cs="Arial"/>
          <w:bCs/>
          <w:iCs/>
          <w:szCs w:val="24"/>
          <w:lang w:val="en-ZA"/>
        </w:rPr>
        <w:t xml:space="preserve"> of the Trust which did not occur. The opposition of the respondent to the exception in respect of the first claim in reconvention accordingly lacks any merit.</w:t>
      </w:r>
    </w:p>
    <w:p w14:paraId="5F293F73" w14:textId="77777777" w:rsidR="00EF7093" w:rsidRDefault="00EF7093" w:rsidP="003C6576">
      <w:pPr>
        <w:spacing w:after="160"/>
        <w:ind w:left="0" w:firstLine="0"/>
        <w:contextualSpacing/>
        <w:rPr>
          <w:rFonts w:cs="Arial"/>
          <w:bCs/>
          <w:iCs/>
          <w:szCs w:val="24"/>
          <w:lang w:val="en-ZA"/>
        </w:rPr>
      </w:pPr>
    </w:p>
    <w:p w14:paraId="628AF912" w14:textId="2642C1C4" w:rsidR="006E3FE5" w:rsidRDefault="004A7760" w:rsidP="003C6576">
      <w:pPr>
        <w:spacing w:after="160"/>
        <w:ind w:left="0" w:firstLine="0"/>
        <w:contextualSpacing/>
        <w:rPr>
          <w:rFonts w:cs="Arial"/>
          <w:bCs/>
          <w:iCs/>
          <w:szCs w:val="24"/>
          <w:lang w:val="en-ZA"/>
        </w:rPr>
      </w:pPr>
      <w:r>
        <w:rPr>
          <w:rFonts w:cs="Arial"/>
          <w:bCs/>
          <w:iCs/>
          <w:szCs w:val="24"/>
          <w:lang w:val="en-ZA"/>
        </w:rPr>
        <w:t>[11] I have considered the arguments advanced on behalf of the parties and</w:t>
      </w:r>
      <w:r w:rsidR="00DD7345">
        <w:rPr>
          <w:rFonts w:cs="Arial"/>
          <w:bCs/>
          <w:iCs/>
          <w:szCs w:val="24"/>
          <w:lang w:val="en-ZA"/>
        </w:rPr>
        <w:t xml:space="preserve"> had regard to </w:t>
      </w:r>
      <w:r w:rsidR="000C1F2A">
        <w:rPr>
          <w:rFonts w:cs="Arial"/>
          <w:bCs/>
          <w:iCs/>
          <w:szCs w:val="24"/>
          <w:lang w:val="en-ZA"/>
        </w:rPr>
        <w:t xml:space="preserve">the </w:t>
      </w:r>
      <w:r w:rsidR="00DD7345">
        <w:rPr>
          <w:rFonts w:cs="Arial"/>
          <w:bCs/>
          <w:iCs/>
          <w:szCs w:val="24"/>
          <w:lang w:val="en-ZA"/>
        </w:rPr>
        <w:t xml:space="preserve">general principles applicable to deciding exceptions </w:t>
      </w:r>
      <w:r w:rsidR="000C1F2A">
        <w:rPr>
          <w:rFonts w:cs="Arial"/>
          <w:bCs/>
          <w:iCs/>
          <w:szCs w:val="24"/>
          <w:lang w:val="en-ZA"/>
        </w:rPr>
        <w:t>as</w:t>
      </w:r>
      <w:r w:rsidR="00DD7345">
        <w:rPr>
          <w:rFonts w:cs="Arial"/>
          <w:bCs/>
          <w:iCs/>
          <w:szCs w:val="24"/>
          <w:lang w:val="en-ZA"/>
        </w:rPr>
        <w:t xml:space="preserve"> set out in the applicable case law which I was referred to</w:t>
      </w:r>
      <w:r w:rsidR="000C1F2A">
        <w:rPr>
          <w:rFonts w:cs="Arial"/>
          <w:bCs/>
          <w:iCs/>
          <w:szCs w:val="24"/>
          <w:lang w:val="en-ZA"/>
        </w:rPr>
        <w:t xml:space="preserve"> by counsel</w:t>
      </w:r>
      <w:r w:rsidR="00DD7345">
        <w:rPr>
          <w:rFonts w:cs="Arial"/>
          <w:bCs/>
          <w:iCs/>
          <w:szCs w:val="24"/>
          <w:lang w:val="en-ZA"/>
        </w:rPr>
        <w:t>.  I</w:t>
      </w:r>
      <w:r>
        <w:rPr>
          <w:rFonts w:cs="Arial"/>
          <w:bCs/>
          <w:iCs/>
          <w:szCs w:val="24"/>
          <w:lang w:val="en-ZA"/>
        </w:rPr>
        <w:t xml:space="preserve"> </w:t>
      </w:r>
      <w:r w:rsidR="006420BD">
        <w:rPr>
          <w:rFonts w:cs="Arial"/>
          <w:bCs/>
          <w:iCs/>
          <w:szCs w:val="24"/>
          <w:lang w:val="en-ZA"/>
        </w:rPr>
        <w:t>a</w:t>
      </w:r>
      <w:r>
        <w:rPr>
          <w:rFonts w:cs="Arial"/>
          <w:bCs/>
          <w:iCs/>
          <w:szCs w:val="24"/>
          <w:lang w:val="en-ZA"/>
        </w:rPr>
        <w:t>m satisfied that the averments contained in paragraph 9 of the claim in reconvention can reasonably be interpreted as averring due compliance with the notice requirements of clause 11.1 of the lease agreement.</w:t>
      </w:r>
      <w:r w:rsidR="006420BD">
        <w:rPr>
          <w:rFonts w:cs="Arial"/>
          <w:bCs/>
          <w:iCs/>
          <w:szCs w:val="24"/>
          <w:lang w:val="en-ZA"/>
        </w:rPr>
        <w:t xml:space="preserve"> The narrow basis of the exception is that </w:t>
      </w:r>
      <w:r w:rsidR="000C1F2A">
        <w:rPr>
          <w:rFonts w:cs="Arial"/>
          <w:bCs/>
          <w:iCs/>
          <w:szCs w:val="24"/>
          <w:lang w:val="en-ZA"/>
        </w:rPr>
        <w:t>the claim in reconvention</w:t>
      </w:r>
      <w:r w:rsidR="006420BD">
        <w:rPr>
          <w:rFonts w:cs="Arial"/>
          <w:bCs/>
          <w:iCs/>
          <w:szCs w:val="24"/>
          <w:lang w:val="en-ZA"/>
        </w:rPr>
        <w:t xml:space="preserve"> does not </w:t>
      </w:r>
      <w:r w:rsidR="008201EE">
        <w:rPr>
          <w:rFonts w:cs="Arial"/>
          <w:bCs/>
          <w:iCs/>
          <w:szCs w:val="24"/>
          <w:lang w:val="en-ZA"/>
        </w:rPr>
        <w:t>make such averment</w:t>
      </w:r>
      <w:r w:rsidR="006420BD">
        <w:rPr>
          <w:rFonts w:cs="Arial"/>
          <w:bCs/>
          <w:iCs/>
          <w:szCs w:val="24"/>
          <w:lang w:val="en-ZA"/>
        </w:rPr>
        <w:t xml:space="preserve">. </w:t>
      </w:r>
      <w:r w:rsidR="008201EE">
        <w:rPr>
          <w:rFonts w:cs="Arial"/>
          <w:bCs/>
          <w:iCs/>
          <w:szCs w:val="24"/>
          <w:lang w:val="en-ZA"/>
        </w:rPr>
        <w:t xml:space="preserve">This contention is misguided given the express wording of paragraph 9. </w:t>
      </w:r>
      <w:r w:rsidR="00D47B6E">
        <w:rPr>
          <w:rFonts w:cs="Arial"/>
          <w:bCs/>
          <w:iCs/>
          <w:szCs w:val="24"/>
          <w:lang w:val="en-ZA"/>
        </w:rPr>
        <w:t>The stance of the excipients</w:t>
      </w:r>
      <w:r w:rsidR="00CE1BED">
        <w:rPr>
          <w:rFonts w:cs="Arial"/>
          <w:bCs/>
          <w:iCs/>
          <w:szCs w:val="24"/>
          <w:lang w:val="en-ZA"/>
        </w:rPr>
        <w:t xml:space="preserve"> appears to raise a dispute of fact in this regard which is in any event not appropriate to resolve in exception proceedings in the absence any evidence having been led. This is </w:t>
      </w:r>
      <w:r w:rsidR="006E3FE5">
        <w:rPr>
          <w:rFonts w:cs="Arial"/>
          <w:bCs/>
          <w:iCs/>
          <w:szCs w:val="24"/>
          <w:lang w:val="en-ZA"/>
        </w:rPr>
        <w:t xml:space="preserve">quintessentially </w:t>
      </w:r>
      <w:r w:rsidR="00CE1BED">
        <w:rPr>
          <w:rFonts w:cs="Arial"/>
          <w:bCs/>
          <w:iCs/>
          <w:szCs w:val="24"/>
          <w:lang w:val="en-ZA"/>
        </w:rPr>
        <w:t xml:space="preserve">an issue for determination by the trial court. </w:t>
      </w:r>
    </w:p>
    <w:p w14:paraId="6C814528" w14:textId="77777777" w:rsidR="00EF7093" w:rsidRDefault="00EF7093" w:rsidP="003C6576">
      <w:pPr>
        <w:spacing w:after="160"/>
        <w:ind w:left="0" w:firstLine="0"/>
        <w:contextualSpacing/>
        <w:rPr>
          <w:rFonts w:cs="Arial"/>
          <w:bCs/>
          <w:iCs/>
          <w:szCs w:val="24"/>
          <w:lang w:val="en-ZA"/>
        </w:rPr>
      </w:pPr>
    </w:p>
    <w:p w14:paraId="2CED55AB" w14:textId="6092F539" w:rsidR="00CE1BED" w:rsidRDefault="006E3FE5" w:rsidP="003C6576">
      <w:pPr>
        <w:spacing w:after="160"/>
        <w:ind w:left="0" w:firstLine="0"/>
        <w:contextualSpacing/>
        <w:rPr>
          <w:rFonts w:cs="Arial"/>
          <w:bCs/>
          <w:iCs/>
          <w:szCs w:val="24"/>
          <w:lang w:val="en-ZA"/>
        </w:rPr>
      </w:pPr>
      <w:r>
        <w:rPr>
          <w:rFonts w:cs="Arial"/>
          <w:bCs/>
          <w:iCs/>
          <w:szCs w:val="24"/>
          <w:lang w:val="en-ZA"/>
        </w:rPr>
        <w:t xml:space="preserve">[12] </w:t>
      </w:r>
      <w:r w:rsidR="006420BD">
        <w:rPr>
          <w:rFonts w:cs="Arial"/>
          <w:bCs/>
          <w:iCs/>
          <w:szCs w:val="24"/>
          <w:lang w:val="en-ZA"/>
        </w:rPr>
        <w:t xml:space="preserve">Clause 11.1 is furthermore reasonably susceptible to the interpretation that service at the </w:t>
      </w:r>
      <w:r w:rsidR="006420BD">
        <w:rPr>
          <w:rFonts w:cs="Arial"/>
          <w:bCs/>
          <w:i/>
          <w:szCs w:val="24"/>
          <w:lang w:val="en-ZA"/>
        </w:rPr>
        <w:t>domicilium</w:t>
      </w:r>
      <w:r w:rsidR="006420BD">
        <w:rPr>
          <w:rFonts w:cs="Arial"/>
          <w:bCs/>
          <w:iCs/>
          <w:szCs w:val="24"/>
          <w:lang w:val="en-ZA"/>
        </w:rPr>
        <w:t xml:space="preserve"> address of the Trust is not a peremptory requirement, but </w:t>
      </w:r>
      <w:r w:rsidR="008201EE">
        <w:rPr>
          <w:rFonts w:cs="Arial"/>
          <w:bCs/>
          <w:iCs/>
          <w:szCs w:val="24"/>
          <w:lang w:val="en-ZA"/>
        </w:rPr>
        <w:t xml:space="preserve">rather </w:t>
      </w:r>
      <w:r w:rsidR="006420BD">
        <w:rPr>
          <w:rFonts w:cs="Arial"/>
          <w:bCs/>
          <w:iCs/>
          <w:szCs w:val="24"/>
          <w:lang w:val="en-ZA"/>
        </w:rPr>
        <w:t>that</w:t>
      </w:r>
      <w:r w:rsidR="008201EE">
        <w:rPr>
          <w:rFonts w:cs="Arial"/>
          <w:bCs/>
          <w:iCs/>
          <w:szCs w:val="24"/>
          <w:lang w:val="en-ZA"/>
        </w:rPr>
        <w:t xml:space="preserve"> the clause provides that</w:t>
      </w:r>
      <w:r w:rsidR="006420BD">
        <w:rPr>
          <w:rFonts w:cs="Arial"/>
          <w:bCs/>
          <w:iCs/>
          <w:szCs w:val="24"/>
          <w:lang w:val="en-ZA"/>
        </w:rPr>
        <w:t xml:space="preserve"> if service</w:t>
      </w:r>
      <w:r w:rsidR="008201EE">
        <w:rPr>
          <w:rFonts w:cs="Arial"/>
          <w:bCs/>
          <w:iCs/>
          <w:szCs w:val="24"/>
          <w:lang w:val="en-ZA"/>
        </w:rPr>
        <w:t xml:space="preserve"> at the </w:t>
      </w:r>
      <w:r w:rsidR="008201EE">
        <w:rPr>
          <w:rFonts w:cs="Arial"/>
          <w:bCs/>
          <w:i/>
          <w:szCs w:val="24"/>
          <w:lang w:val="en-ZA"/>
        </w:rPr>
        <w:t xml:space="preserve">domicilium </w:t>
      </w:r>
      <w:r w:rsidR="008201EE" w:rsidRPr="008201EE">
        <w:rPr>
          <w:rFonts w:cs="Arial"/>
          <w:bCs/>
          <w:iCs/>
          <w:szCs w:val="24"/>
          <w:lang w:val="en-ZA"/>
        </w:rPr>
        <w:t>is resorted to</w:t>
      </w:r>
      <w:r w:rsidR="006420BD">
        <w:rPr>
          <w:rFonts w:cs="Arial"/>
          <w:bCs/>
          <w:iCs/>
          <w:szCs w:val="24"/>
          <w:lang w:val="en-ZA"/>
        </w:rPr>
        <w:t xml:space="preserve"> it must</w:t>
      </w:r>
      <w:r>
        <w:rPr>
          <w:rFonts w:cs="Arial"/>
          <w:bCs/>
          <w:iCs/>
          <w:szCs w:val="24"/>
          <w:lang w:val="en-ZA"/>
        </w:rPr>
        <w:t xml:space="preserve"> (“sal”)</w:t>
      </w:r>
      <w:r w:rsidR="006420BD">
        <w:rPr>
          <w:rFonts w:cs="Arial"/>
          <w:bCs/>
          <w:iCs/>
          <w:szCs w:val="24"/>
          <w:lang w:val="en-ZA"/>
        </w:rPr>
        <w:t xml:space="preserve"> be effected at the address</w:t>
      </w:r>
      <w:r w:rsidR="008201EE">
        <w:rPr>
          <w:rFonts w:cs="Arial"/>
          <w:bCs/>
          <w:iCs/>
          <w:szCs w:val="24"/>
          <w:lang w:val="en-ZA"/>
        </w:rPr>
        <w:t xml:space="preserve"> nominated by the Trust. In those circumstances, service of the notice on the attorneys of the Trust</w:t>
      </w:r>
      <w:r>
        <w:rPr>
          <w:rFonts w:cs="Arial"/>
          <w:bCs/>
          <w:iCs/>
          <w:szCs w:val="24"/>
          <w:lang w:val="en-ZA"/>
        </w:rPr>
        <w:t xml:space="preserve"> as happened</w:t>
      </w:r>
      <w:r w:rsidR="008201EE">
        <w:rPr>
          <w:rFonts w:cs="Arial"/>
          <w:bCs/>
          <w:iCs/>
          <w:szCs w:val="24"/>
          <w:lang w:val="en-ZA"/>
        </w:rPr>
        <w:t xml:space="preserve"> by means of annexure “G”</w:t>
      </w:r>
      <w:r w:rsidR="00CE1BED">
        <w:rPr>
          <w:rFonts w:cs="Arial"/>
          <w:bCs/>
          <w:iCs/>
          <w:szCs w:val="24"/>
          <w:lang w:val="en-ZA"/>
        </w:rPr>
        <w:t xml:space="preserve"> to the excipients’ particulars of claim, would constitute effective service in terms of clause 11.1.</w:t>
      </w:r>
      <w:r w:rsidR="00D47B6E">
        <w:rPr>
          <w:rFonts w:cs="Arial"/>
          <w:bCs/>
          <w:iCs/>
          <w:szCs w:val="24"/>
          <w:lang w:val="en-ZA"/>
        </w:rPr>
        <w:t xml:space="preserve"> It should be added that the notice clearly came to the attention of the excipients in view of the fact that they enclosed it as an annexure to their particulars of claim.</w:t>
      </w:r>
      <w:r w:rsidR="00CE1BED">
        <w:rPr>
          <w:rFonts w:cs="Arial"/>
          <w:bCs/>
          <w:iCs/>
          <w:szCs w:val="24"/>
          <w:lang w:val="en-ZA"/>
        </w:rPr>
        <w:t xml:space="preserve"> </w:t>
      </w:r>
      <w:r w:rsidR="004A7760">
        <w:rPr>
          <w:rFonts w:cs="Arial"/>
          <w:bCs/>
          <w:iCs/>
          <w:szCs w:val="24"/>
          <w:lang w:val="en-ZA"/>
        </w:rPr>
        <w:t xml:space="preserve"> </w:t>
      </w:r>
    </w:p>
    <w:p w14:paraId="5E8FFB44" w14:textId="77777777" w:rsidR="00EF7093" w:rsidRDefault="00EF7093" w:rsidP="003C6576">
      <w:pPr>
        <w:spacing w:after="160"/>
        <w:ind w:left="0" w:firstLine="0"/>
        <w:contextualSpacing/>
        <w:rPr>
          <w:rFonts w:cs="Arial"/>
          <w:bCs/>
          <w:iCs/>
          <w:szCs w:val="24"/>
          <w:lang w:val="en-ZA"/>
        </w:rPr>
      </w:pPr>
    </w:p>
    <w:p w14:paraId="7C5B6B84" w14:textId="047CFAF5" w:rsidR="005F1F02" w:rsidRDefault="00CE1BED" w:rsidP="003C6576">
      <w:pPr>
        <w:spacing w:after="160"/>
        <w:ind w:left="0" w:firstLine="0"/>
        <w:contextualSpacing/>
        <w:rPr>
          <w:rFonts w:cs="Arial"/>
          <w:bCs/>
          <w:iCs/>
          <w:szCs w:val="24"/>
          <w:lang w:val="en-ZA"/>
        </w:rPr>
      </w:pPr>
      <w:r>
        <w:rPr>
          <w:rFonts w:cs="Arial"/>
          <w:bCs/>
          <w:iCs/>
          <w:szCs w:val="24"/>
          <w:lang w:val="en-ZA"/>
        </w:rPr>
        <w:lastRenderedPageBreak/>
        <w:t>[1</w:t>
      </w:r>
      <w:r w:rsidR="006E3FE5">
        <w:rPr>
          <w:rFonts w:cs="Arial"/>
          <w:bCs/>
          <w:iCs/>
          <w:szCs w:val="24"/>
          <w:lang w:val="en-ZA"/>
        </w:rPr>
        <w:t>3</w:t>
      </w:r>
      <w:r>
        <w:rPr>
          <w:rFonts w:cs="Arial"/>
          <w:bCs/>
          <w:iCs/>
          <w:szCs w:val="24"/>
          <w:lang w:val="en-ZA"/>
        </w:rPr>
        <w:t>] It follows that the claim in reconvention</w:t>
      </w:r>
      <w:r w:rsidR="004A7760">
        <w:rPr>
          <w:rFonts w:cs="Arial"/>
          <w:bCs/>
          <w:iCs/>
          <w:szCs w:val="24"/>
          <w:lang w:val="en-ZA"/>
        </w:rPr>
        <w:t xml:space="preserve"> does disclose a cause of action and contains the averments which are necessary to sustain a cause of action against the </w:t>
      </w:r>
      <w:r>
        <w:rPr>
          <w:rFonts w:cs="Arial"/>
          <w:bCs/>
          <w:iCs/>
          <w:szCs w:val="24"/>
          <w:lang w:val="en-ZA"/>
        </w:rPr>
        <w:t>T</w:t>
      </w:r>
      <w:r w:rsidR="004A7760">
        <w:rPr>
          <w:rFonts w:cs="Arial"/>
          <w:bCs/>
          <w:iCs/>
          <w:szCs w:val="24"/>
          <w:lang w:val="en-ZA"/>
        </w:rPr>
        <w:t>rust in respect of the first claim in reconvention.</w:t>
      </w:r>
    </w:p>
    <w:p w14:paraId="6EBF950F" w14:textId="46C6466D" w:rsidR="004A7760" w:rsidRDefault="004A7760" w:rsidP="003C6576">
      <w:pPr>
        <w:spacing w:after="160"/>
        <w:ind w:left="0" w:firstLine="0"/>
        <w:contextualSpacing/>
        <w:rPr>
          <w:rFonts w:cs="Arial"/>
          <w:bCs/>
          <w:iCs/>
          <w:szCs w:val="24"/>
          <w:lang w:val="en-ZA"/>
        </w:rPr>
      </w:pPr>
    </w:p>
    <w:p w14:paraId="3F88A5AE" w14:textId="57E25D67" w:rsidR="004A7760" w:rsidRDefault="00DD1F9B" w:rsidP="003C6576">
      <w:pPr>
        <w:spacing w:after="160"/>
        <w:ind w:left="0" w:firstLine="0"/>
        <w:contextualSpacing/>
        <w:rPr>
          <w:rFonts w:cs="Arial"/>
          <w:bCs/>
          <w:i/>
          <w:szCs w:val="24"/>
          <w:lang w:val="en-ZA"/>
        </w:rPr>
      </w:pPr>
      <w:r>
        <w:rPr>
          <w:rFonts w:cs="Arial"/>
          <w:bCs/>
          <w:i/>
          <w:szCs w:val="24"/>
          <w:lang w:val="en-ZA"/>
        </w:rPr>
        <w:t>Exception in respect of the third claim in reconvention</w:t>
      </w:r>
    </w:p>
    <w:p w14:paraId="22261C13" w14:textId="2B0FCEB5" w:rsidR="00DD1F9B" w:rsidRDefault="00DD1F9B" w:rsidP="003C6576">
      <w:pPr>
        <w:spacing w:after="160"/>
        <w:ind w:left="0" w:firstLine="0"/>
        <w:contextualSpacing/>
        <w:rPr>
          <w:rFonts w:cs="Arial"/>
          <w:bCs/>
          <w:i/>
          <w:szCs w:val="24"/>
          <w:lang w:val="en-ZA"/>
        </w:rPr>
      </w:pPr>
    </w:p>
    <w:p w14:paraId="532227A3" w14:textId="6D5E541E" w:rsidR="001F72C1" w:rsidRDefault="00DD1F9B" w:rsidP="003C6576">
      <w:pPr>
        <w:spacing w:after="160"/>
        <w:ind w:left="0" w:firstLine="0"/>
        <w:contextualSpacing/>
        <w:rPr>
          <w:rFonts w:cs="Arial"/>
          <w:bCs/>
          <w:szCs w:val="24"/>
          <w:lang w:val="en-ZA"/>
        </w:rPr>
      </w:pPr>
      <w:r>
        <w:rPr>
          <w:rFonts w:cs="Arial"/>
          <w:bCs/>
          <w:iCs/>
          <w:szCs w:val="24"/>
          <w:lang w:val="en-ZA"/>
        </w:rPr>
        <w:t>[1</w:t>
      </w:r>
      <w:r w:rsidR="006E3FE5">
        <w:rPr>
          <w:rFonts w:cs="Arial"/>
          <w:bCs/>
          <w:iCs/>
          <w:szCs w:val="24"/>
          <w:lang w:val="en-ZA"/>
        </w:rPr>
        <w:t>4</w:t>
      </w:r>
      <w:r>
        <w:rPr>
          <w:rFonts w:cs="Arial"/>
          <w:bCs/>
          <w:iCs/>
          <w:szCs w:val="24"/>
          <w:lang w:val="en-ZA"/>
        </w:rPr>
        <w:t>]</w:t>
      </w:r>
      <w:r w:rsidR="001F72C1">
        <w:rPr>
          <w:rFonts w:cs="Arial"/>
          <w:bCs/>
          <w:iCs/>
          <w:szCs w:val="24"/>
          <w:lang w:val="en-ZA"/>
        </w:rPr>
        <w:t xml:space="preserve"> The </w:t>
      </w:r>
      <w:r w:rsidR="00D47B6E">
        <w:rPr>
          <w:rFonts w:cs="Arial"/>
          <w:bCs/>
          <w:iCs/>
          <w:szCs w:val="24"/>
          <w:lang w:val="en-ZA"/>
        </w:rPr>
        <w:t>respondent’s</w:t>
      </w:r>
      <w:r w:rsidR="001F72C1">
        <w:rPr>
          <w:rFonts w:cs="Arial"/>
          <w:bCs/>
          <w:iCs/>
          <w:szCs w:val="24"/>
          <w:lang w:val="en-ZA"/>
        </w:rPr>
        <w:t xml:space="preserve"> third claim in reconvention is for the return of</w:t>
      </w:r>
      <w:r w:rsidR="00D47B6E">
        <w:rPr>
          <w:rFonts w:cs="Arial"/>
          <w:bCs/>
          <w:iCs/>
          <w:szCs w:val="24"/>
          <w:lang w:val="en-ZA"/>
        </w:rPr>
        <w:t xml:space="preserve"> certain</w:t>
      </w:r>
      <w:r w:rsidR="001F72C1">
        <w:rPr>
          <w:rFonts w:cs="Arial"/>
          <w:bCs/>
          <w:iCs/>
          <w:szCs w:val="24"/>
          <w:lang w:val="en-ZA"/>
        </w:rPr>
        <w:t xml:space="preserve"> cattle premised upon the</w:t>
      </w:r>
      <w:r w:rsidR="001F72C1">
        <w:rPr>
          <w:rFonts w:cs="Arial"/>
          <w:bCs/>
          <w:i/>
          <w:iCs/>
          <w:szCs w:val="24"/>
          <w:lang w:val="en-ZA"/>
        </w:rPr>
        <w:t xml:space="preserve"> rei </w:t>
      </w:r>
      <w:r w:rsidR="00D47B6E">
        <w:rPr>
          <w:rFonts w:cs="Arial"/>
          <w:bCs/>
          <w:i/>
          <w:iCs/>
          <w:szCs w:val="24"/>
          <w:lang w:val="en-ZA"/>
        </w:rPr>
        <w:t>vindicatio,</w:t>
      </w:r>
      <w:r w:rsidR="001F72C1">
        <w:rPr>
          <w:rFonts w:cs="Arial"/>
          <w:bCs/>
          <w:iCs/>
          <w:szCs w:val="24"/>
          <w:lang w:val="en-ZA"/>
        </w:rPr>
        <w:t xml:space="preserve"> alternatively</w:t>
      </w:r>
      <w:r w:rsidR="00D47B6E">
        <w:rPr>
          <w:rFonts w:cs="Arial"/>
          <w:bCs/>
          <w:iCs/>
          <w:szCs w:val="24"/>
          <w:lang w:val="en-ZA"/>
        </w:rPr>
        <w:t xml:space="preserve"> and in the event of a failure to return the cattle,</w:t>
      </w:r>
      <w:r w:rsidR="001F72C1">
        <w:rPr>
          <w:rFonts w:cs="Arial"/>
          <w:bCs/>
          <w:iCs/>
          <w:szCs w:val="24"/>
          <w:lang w:val="en-ZA"/>
        </w:rPr>
        <w:t xml:space="preserve"> for payment of damages premised upon the</w:t>
      </w:r>
      <w:r w:rsidR="001F72C1">
        <w:rPr>
          <w:rFonts w:cs="Arial"/>
          <w:bCs/>
          <w:i/>
          <w:szCs w:val="24"/>
          <w:lang w:val="en-ZA"/>
        </w:rPr>
        <w:t xml:space="preserve"> actio ad exhibendum.</w:t>
      </w:r>
    </w:p>
    <w:p w14:paraId="56CDE6A0" w14:textId="5405750A" w:rsidR="00DD7345" w:rsidRDefault="00DD7345" w:rsidP="003C6576">
      <w:pPr>
        <w:spacing w:after="160"/>
        <w:ind w:left="0" w:firstLine="0"/>
        <w:contextualSpacing/>
        <w:rPr>
          <w:rFonts w:cs="Arial"/>
          <w:bCs/>
          <w:szCs w:val="24"/>
          <w:lang w:val="en-ZA"/>
        </w:rPr>
      </w:pPr>
    </w:p>
    <w:p w14:paraId="7067DED1" w14:textId="1A200F10" w:rsidR="00DD7345" w:rsidRPr="00DD7345" w:rsidRDefault="00DD7345" w:rsidP="00DD7345">
      <w:pPr>
        <w:pStyle w:val="ListParagraph"/>
        <w:numPr>
          <w:ilvl w:val="0"/>
          <w:numId w:val="34"/>
        </w:numPr>
        <w:spacing w:after="160"/>
        <w:rPr>
          <w:rFonts w:cs="Arial"/>
          <w:bCs/>
          <w:i/>
          <w:szCs w:val="24"/>
          <w:lang w:val="en-ZA"/>
        </w:rPr>
      </w:pPr>
      <w:r w:rsidRPr="00DD7345">
        <w:rPr>
          <w:rFonts w:cs="Arial"/>
          <w:bCs/>
          <w:i/>
          <w:szCs w:val="24"/>
          <w:lang w:val="en-ZA"/>
        </w:rPr>
        <w:t>Rei vindicatio</w:t>
      </w:r>
    </w:p>
    <w:p w14:paraId="5FE86AEE" w14:textId="77777777" w:rsidR="00EF7093" w:rsidRDefault="00EF7093" w:rsidP="003C6576">
      <w:pPr>
        <w:spacing w:after="160"/>
        <w:ind w:left="0" w:firstLine="0"/>
        <w:contextualSpacing/>
        <w:rPr>
          <w:rFonts w:cs="Arial"/>
          <w:bCs/>
          <w:szCs w:val="24"/>
          <w:lang w:val="en-ZA"/>
        </w:rPr>
      </w:pPr>
    </w:p>
    <w:p w14:paraId="1ACCAADF" w14:textId="0329240F" w:rsidR="005C6B99" w:rsidRDefault="001F72C1" w:rsidP="003C6576">
      <w:pPr>
        <w:spacing w:after="160"/>
        <w:ind w:left="0" w:firstLine="0"/>
        <w:contextualSpacing/>
        <w:rPr>
          <w:rFonts w:cs="Arial"/>
          <w:bCs/>
          <w:iCs/>
          <w:szCs w:val="24"/>
          <w:lang w:val="en-ZA"/>
        </w:rPr>
      </w:pPr>
      <w:r>
        <w:rPr>
          <w:rFonts w:cs="Arial"/>
          <w:bCs/>
          <w:szCs w:val="24"/>
          <w:lang w:val="en-ZA"/>
        </w:rPr>
        <w:t>[15] It was</w:t>
      </w:r>
      <w:r w:rsidR="005C6B99">
        <w:rPr>
          <w:rFonts w:cs="Arial"/>
          <w:bCs/>
          <w:szCs w:val="24"/>
          <w:lang w:val="en-ZA"/>
        </w:rPr>
        <w:t xml:space="preserve"> correctly</w:t>
      </w:r>
      <w:r>
        <w:rPr>
          <w:rFonts w:cs="Arial"/>
          <w:bCs/>
          <w:szCs w:val="24"/>
          <w:lang w:val="en-ZA"/>
        </w:rPr>
        <w:t xml:space="preserve"> pointed out on behalf of the excipients that in order to succeed with a claim premised on the </w:t>
      </w:r>
      <w:r>
        <w:rPr>
          <w:rFonts w:cs="Arial"/>
          <w:bCs/>
          <w:i/>
          <w:iCs/>
          <w:szCs w:val="24"/>
          <w:lang w:val="en-ZA"/>
        </w:rPr>
        <w:t>rei vindicatio</w:t>
      </w:r>
      <w:r>
        <w:rPr>
          <w:rFonts w:cs="Arial"/>
          <w:bCs/>
          <w:iCs/>
          <w:szCs w:val="24"/>
          <w:lang w:val="en-ZA"/>
        </w:rPr>
        <w:t xml:space="preserve"> the respondent was required to allege that the Trust was in possession of the cattle when the claim in reconvention was instituted.</w:t>
      </w:r>
      <w:r w:rsidR="005C6B99">
        <w:rPr>
          <w:rStyle w:val="FootnoteReference"/>
          <w:rFonts w:cs="Arial"/>
          <w:bCs/>
          <w:iCs/>
          <w:szCs w:val="24"/>
          <w:lang w:val="en-ZA"/>
        </w:rPr>
        <w:footnoteReference w:id="3"/>
      </w:r>
    </w:p>
    <w:p w14:paraId="51E86BA5" w14:textId="77777777" w:rsidR="00EF7093" w:rsidRDefault="00EF7093" w:rsidP="003C6576">
      <w:pPr>
        <w:spacing w:after="160"/>
        <w:ind w:left="0" w:firstLine="0"/>
        <w:contextualSpacing/>
        <w:rPr>
          <w:rFonts w:cs="Arial"/>
          <w:bCs/>
          <w:iCs/>
          <w:szCs w:val="24"/>
          <w:lang w:val="en-ZA"/>
        </w:rPr>
      </w:pPr>
    </w:p>
    <w:p w14:paraId="1E4B61A9" w14:textId="17C8EBBA" w:rsidR="005C6B99" w:rsidRDefault="005C6B99" w:rsidP="003C6576">
      <w:pPr>
        <w:spacing w:after="160"/>
        <w:ind w:left="0" w:firstLine="0"/>
        <w:contextualSpacing/>
        <w:rPr>
          <w:rFonts w:cs="Arial"/>
          <w:bCs/>
          <w:iCs/>
          <w:szCs w:val="24"/>
          <w:lang w:val="en-ZA"/>
        </w:rPr>
      </w:pPr>
      <w:r>
        <w:rPr>
          <w:rFonts w:cs="Arial"/>
          <w:bCs/>
          <w:iCs/>
          <w:szCs w:val="24"/>
          <w:lang w:val="en-ZA"/>
        </w:rPr>
        <w:t>[16] The respondent relies upon the following averments in the claim in reconvention for the return of the cattle:</w:t>
      </w:r>
    </w:p>
    <w:p w14:paraId="1208018F" w14:textId="77777777" w:rsidR="00EF7093" w:rsidRDefault="00EF7093" w:rsidP="003C6576">
      <w:pPr>
        <w:spacing w:after="160"/>
        <w:ind w:left="0" w:firstLine="0"/>
        <w:contextualSpacing/>
        <w:rPr>
          <w:rFonts w:cs="Arial"/>
          <w:bCs/>
          <w:iCs/>
          <w:szCs w:val="24"/>
          <w:lang w:val="en-ZA"/>
        </w:rPr>
      </w:pPr>
    </w:p>
    <w:p w14:paraId="1879CC60" w14:textId="361E47E4" w:rsidR="00DD1F9B" w:rsidRDefault="005C6B99" w:rsidP="005C6B99">
      <w:pPr>
        <w:spacing w:after="160"/>
        <w:ind w:firstLine="0"/>
        <w:contextualSpacing/>
        <w:rPr>
          <w:rFonts w:cs="Arial"/>
          <w:bCs/>
          <w:i/>
          <w:iCs/>
          <w:szCs w:val="24"/>
          <w:lang w:val="en-ZA"/>
        </w:rPr>
      </w:pPr>
      <w:r>
        <w:rPr>
          <w:rFonts w:cs="Arial"/>
          <w:bCs/>
          <w:i/>
          <w:iCs/>
          <w:szCs w:val="24"/>
          <w:lang w:val="en-ZA"/>
        </w:rPr>
        <w:t>“23. The</w:t>
      </w:r>
      <w:r w:rsidR="00842F0A">
        <w:rPr>
          <w:rFonts w:cs="Arial"/>
          <w:bCs/>
          <w:i/>
          <w:iCs/>
          <w:szCs w:val="24"/>
          <w:lang w:val="en-ZA"/>
        </w:rPr>
        <w:t xml:space="preserve"> herd</w:t>
      </w:r>
      <w:r>
        <w:rPr>
          <w:rFonts w:cs="Arial"/>
          <w:bCs/>
          <w:i/>
          <w:iCs/>
          <w:szCs w:val="24"/>
          <w:lang w:val="en-ZA"/>
        </w:rPr>
        <w:t xml:space="preserve"> was thereafter dealt with by the Werner Buchner Family Trust as if it was the owner and </w:t>
      </w:r>
      <w:r w:rsidRPr="00842F0A">
        <w:rPr>
          <w:rFonts w:cs="Arial"/>
          <w:bCs/>
          <w:i/>
          <w:iCs/>
          <w:szCs w:val="24"/>
          <w:u w:val="single"/>
          <w:lang w:val="en-ZA"/>
        </w:rPr>
        <w:t>the current whereabouts of the cattle concerned</w:t>
      </w:r>
      <w:r>
        <w:rPr>
          <w:rFonts w:cs="Arial"/>
          <w:bCs/>
          <w:i/>
          <w:iCs/>
          <w:szCs w:val="24"/>
          <w:lang w:val="en-ZA"/>
        </w:rPr>
        <w:t xml:space="preserve">, or whether they are still alive </w:t>
      </w:r>
      <w:r w:rsidRPr="005C6B99">
        <w:rPr>
          <w:rFonts w:cs="Arial"/>
          <w:bCs/>
          <w:i/>
          <w:iCs/>
          <w:szCs w:val="24"/>
          <w:u w:val="single"/>
          <w:lang w:val="en-ZA"/>
        </w:rPr>
        <w:t>are unknown</w:t>
      </w:r>
      <w:r>
        <w:rPr>
          <w:rFonts w:cs="Arial"/>
          <w:bCs/>
          <w:i/>
          <w:iCs/>
          <w:szCs w:val="24"/>
          <w:lang w:val="en-ZA"/>
        </w:rPr>
        <w:t xml:space="preserve"> to the First Defendant.”</w:t>
      </w:r>
    </w:p>
    <w:p w14:paraId="42B8D211" w14:textId="4CDDE0A7" w:rsidR="00842F0A" w:rsidRDefault="00842F0A" w:rsidP="005C6B99">
      <w:pPr>
        <w:spacing w:after="160"/>
        <w:ind w:firstLine="0"/>
        <w:contextualSpacing/>
        <w:rPr>
          <w:rFonts w:cs="Arial"/>
          <w:bCs/>
          <w:szCs w:val="24"/>
          <w:lang w:val="en-ZA"/>
        </w:rPr>
      </w:pPr>
      <w:r>
        <w:rPr>
          <w:rFonts w:cs="Arial"/>
          <w:bCs/>
          <w:szCs w:val="24"/>
          <w:lang w:val="en-ZA"/>
        </w:rPr>
        <w:t xml:space="preserve">                                                                                               (emphasis supplied)</w:t>
      </w:r>
    </w:p>
    <w:p w14:paraId="77004B25" w14:textId="77777777" w:rsidR="00EF7093" w:rsidRDefault="00EF7093" w:rsidP="005C6B99">
      <w:pPr>
        <w:spacing w:after="160"/>
        <w:ind w:firstLine="0"/>
        <w:contextualSpacing/>
        <w:rPr>
          <w:rFonts w:cs="Arial"/>
          <w:bCs/>
          <w:szCs w:val="24"/>
          <w:lang w:val="en-ZA"/>
        </w:rPr>
      </w:pPr>
    </w:p>
    <w:p w14:paraId="066232F3" w14:textId="074587FB" w:rsidR="00842F0A" w:rsidRDefault="00842F0A" w:rsidP="00842F0A">
      <w:pPr>
        <w:spacing w:after="160"/>
        <w:ind w:left="0" w:firstLine="0"/>
        <w:contextualSpacing/>
        <w:rPr>
          <w:rFonts w:cs="Arial"/>
          <w:bCs/>
          <w:iCs/>
          <w:szCs w:val="24"/>
          <w:lang w:val="en-ZA"/>
        </w:rPr>
      </w:pPr>
      <w:r>
        <w:rPr>
          <w:rFonts w:cs="Arial"/>
          <w:bCs/>
          <w:szCs w:val="24"/>
          <w:lang w:val="en-ZA"/>
        </w:rPr>
        <w:t xml:space="preserve">[17] It was submitted on behalf of the excipients that the failure by the respondent to aver that the cattle were in the possession of the Trust </w:t>
      </w:r>
      <w:r w:rsidR="00D47B6E">
        <w:rPr>
          <w:rFonts w:cs="Arial"/>
          <w:bCs/>
          <w:szCs w:val="24"/>
          <w:lang w:val="en-ZA"/>
        </w:rPr>
        <w:t>when</w:t>
      </w:r>
      <w:r>
        <w:rPr>
          <w:rFonts w:cs="Arial"/>
          <w:bCs/>
          <w:szCs w:val="24"/>
          <w:lang w:val="en-ZA"/>
        </w:rPr>
        <w:t xml:space="preserve"> the claim in reconvention</w:t>
      </w:r>
      <w:r w:rsidR="002B5782">
        <w:rPr>
          <w:rFonts w:cs="Arial"/>
          <w:bCs/>
          <w:szCs w:val="24"/>
          <w:lang w:val="en-ZA"/>
        </w:rPr>
        <w:t xml:space="preserve"> was instituted</w:t>
      </w:r>
      <w:r>
        <w:rPr>
          <w:rFonts w:cs="Arial"/>
          <w:bCs/>
          <w:szCs w:val="24"/>
          <w:lang w:val="en-ZA"/>
        </w:rPr>
        <w:t xml:space="preserve">, was fatal for any reliance on the </w:t>
      </w:r>
      <w:r>
        <w:rPr>
          <w:rFonts w:cs="Arial"/>
          <w:bCs/>
          <w:i/>
          <w:iCs/>
          <w:szCs w:val="24"/>
          <w:lang w:val="en-ZA"/>
        </w:rPr>
        <w:t>rei vindicatio.</w:t>
      </w:r>
      <w:r>
        <w:rPr>
          <w:rFonts w:cs="Arial"/>
          <w:bCs/>
          <w:iCs/>
          <w:szCs w:val="24"/>
          <w:lang w:val="en-ZA"/>
        </w:rPr>
        <w:t xml:space="preserve"> The claim based on this ground </w:t>
      </w:r>
      <w:r>
        <w:rPr>
          <w:rFonts w:cs="Arial"/>
          <w:bCs/>
          <w:iCs/>
          <w:szCs w:val="24"/>
          <w:lang w:val="en-ZA"/>
        </w:rPr>
        <w:lastRenderedPageBreak/>
        <w:t>accordingly does not disclose a cause of action, alternatively lacks averments necessary to sustain a cause of action against the Trust.</w:t>
      </w:r>
    </w:p>
    <w:p w14:paraId="24B5B67E" w14:textId="77777777" w:rsidR="00EF7093" w:rsidRDefault="00EF7093" w:rsidP="00842F0A">
      <w:pPr>
        <w:spacing w:after="160"/>
        <w:ind w:left="0" w:firstLine="0"/>
        <w:contextualSpacing/>
        <w:rPr>
          <w:rFonts w:cs="Arial"/>
          <w:bCs/>
          <w:iCs/>
          <w:szCs w:val="24"/>
          <w:lang w:val="en-ZA"/>
        </w:rPr>
      </w:pPr>
    </w:p>
    <w:p w14:paraId="0DF6B66A" w14:textId="2EEEF5FD" w:rsidR="00E326BA" w:rsidRDefault="00842F0A" w:rsidP="00842F0A">
      <w:pPr>
        <w:spacing w:after="160"/>
        <w:ind w:left="0" w:firstLine="0"/>
        <w:contextualSpacing/>
        <w:rPr>
          <w:rFonts w:cs="Arial"/>
          <w:bCs/>
          <w:iCs/>
          <w:szCs w:val="24"/>
          <w:lang w:val="en-ZA"/>
        </w:rPr>
      </w:pPr>
      <w:r>
        <w:rPr>
          <w:rFonts w:cs="Arial"/>
          <w:bCs/>
          <w:iCs/>
          <w:szCs w:val="24"/>
          <w:lang w:val="en-ZA"/>
        </w:rPr>
        <w:t xml:space="preserve">[18] Mr Nepgen submitted that paragraph 23 must be read together with paragraphs 24 and 25 of the claim in reconvention. It is plainly </w:t>
      </w:r>
      <w:r w:rsidR="002B5782">
        <w:rPr>
          <w:rFonts w:cs="Arial"/>
          <w:bCs/>
          <w:iCs/>
          <w:szCs w:val="24"/>
          <w:lang w:val="en-ZA"/>
        </w:rPr>
        <w:t>implicit</w:t>
      </w:r>
      <w:r>
        <w:rPr>
          <w:rFonts w:cs="Arial"/>
          <w:bCs/>
          <w:iCs/>
          <w:szCs w:val="24"/>
          <w:lang w:val="en-ZA"/>
        </w:rPr>
        <w:t xml:space="preserve"> in paragraph</w:t>
      </w:r>
      <w:r w:rsidR="002B5782">
        <w:rPr>
          <w:rFonts w:cs="Arial"/>
          <w:bCs/>
          <w:iCs/>
          <w:szCs w:val="24"/>
          <w:lang w:val="en-ZA"/>
        </w:rPr>
        <w:t>s</w:t>
      </w:r>
      <w:r>
        <w:rPr>
          <w:rFonts w:cs="Arial"/>
          <w:bCs/>
          <w:iCs/>
          <w:szCs w:val="24"/>
          <w:lang w:val="en-ZA"/>
        </w:rPr>
        <w:t xml:space="preserve"> 24 and 25 that the claim for the return of the cattle is premised on the basis that the cattle are in the possession of the Trust. He submitted that it is evident that the alternative claim for damages is premised on the basis that the cattle are either no longer alive or have been disposed of by the Trust. This carries with it an implicit averment that the claim for the return of the cattle</w:t>
      </w:r>
      <w:r w:rsidR="00E326BA">
        <w:rPr>
          <w:rFonts w:cs="Arial"/>
          <w:bCs/>
          <w:iCs/>
          <w:szCs w:val="24"/>
          <w:lang w:val="en-ZA"/>
        </w:rPr>
        <w:t xml:space="preserve"> is premised on the basis that they are still alive and have not been disposed of and are thus in possession of the Trust. The claim in reconvention can be reasonably interpreted to contain such an implicit averment.</w:t>
      </w:r>
    </w:p>
    <w:p w14:paraId="04E9CE67" w14:textId="77777777" w:rsidR="00EF7093" w:rsidRDefault="00EF7093" w:rsidP="00842F0A">
      <w:pPr>
        <w:spacing w:after="160"/>
        <w:ind w:left="0" w:firstLine="0"/>
        <w:contextualSpacing/>
        <w:rPr>
          <w:rFonts w:cs="Arial"/>
          <w:bCs/>
          <w:iCs/>
          <w:szCs w:val="24"/>
          <w:lang w:val="en-ZA"/>
        </w:rPr>
      </w:pPr>
    </w:p>
    <w:p w14:paraId="40A64C85" w14:textId="565A92AB" w:rsidR="00E326BA" w:rsidRDefault="00E326BA" w:rsidP="00842F0A">
      <w:pPr>
        <w:spacing w:after="160"/>
        <w:ind w:left="0" w:firstLine="0"/>
        <w:contextualSpacing/>
        <w:rPr>
          <w:rFonts w:cs="Arial"/>
          <w:bCs/>
          <w:iCs/>
          <w:szCs w:val="24"/>
          <w:lang w:val="en-ZA"/>
        </w:rPr>
      </w:pPr>
      <w:r>
        <w:rPr>
          <w:rFonts w:cs="Arial"/>
          <w:bCs/>
          <w:iCs/>
          <w:szCs w:val="24"/>
          <w:lang w:val="en-ZA"/>
        </w:rPr>
        <w:t xml:space="preserve">[19] Mr Grundlingh submitted in reply that the respondent does not take issue with the trite principle that he had to allege that the Trust was in possession of the cattle when the claim in reconvention was instituted in order to succeed with the </w:t>
      </w:r>
      <w:r>
        <w:rPr>
          <w:rFonts w:cs="Arial"/>
          <w:bCs/>
          <w:i/>
          <w:szCs w:val="24"/>
          <w:lang w:val="en-ZA"/>
        </w:rPr>
        <w:t>rei vindicatio</w:t>
      </w:r>
      <w:r>
        <w:rPr>
          <w:rFonts w:cs="Arial"/>
          <w:bCs/>
          <w:iCs/>
          <w:szCs w:val="24"/>
          <w:lang w:val="en-ZA"/>
        </w:rPr>
        <w:t>. It is common cause that no such pertinent allegation appears from the claim in reconvention. The reliance on paragraphs 24 and 25 of the claim in reconvention was misplaced. These paragraphs can by no stretch of the imagination be construed as by necessary implication averring that the Trust was in possession of the cattle at the time that the claim in reconvention was instituted. This ignores the clear wording of paragraph 23 that the whereabouts of the cattle was unknown to the respondent.</w:t>
      </w:r>
    </w:p>
    <w:p w14:paraId="6BB99DCF" w14:textId="77777777" w:rsidR="00EF7093" w:rsidRDefault="00EF7093" w:rsidP="00842F0A">
      <w:pPr>
        <w:spacing w:after="160"/>
        <w:ind w:left="0" w:firstLine="0"/>
        <w:contextualSpacing/>
        <w:rPr>
          <w:rFonts w:cs="Arial"/>
          <w:bCs/>
          <w:iCs/>
          <w:szCs w:val="24"/>
          <w:lang w:val="en-ZA"/>
        </w:rPr>
      </w:pPr>
    </w:p>
    <w:p w14:paraId="75D97475" w14:textId="7CDC28D4" w:rsidR="004B6B98" w:rsidRDefault="00E326BA" w:rsidP="00842F0A">
      <w:pPr>
        <w:spacing w:after="160"/>
        <w:ind w:left="0" w:firstLine="0"/>
        <w:contextualSpacing/>
        <w:rPr>
          <w:rFonts w:cs="Arial"/>
          <w:bCs/>
          <w:iCs/>
          <w:szCs w:val="24"/>
          <w:lang w:val="en-ZA"/>
        </w:rPr>
      </w:pPr>
      <w:r>
        <w:rPr>
          <w:rFonts w:cs="Arial"/>
          <w:bCs/>
          <w:iCs/>
          <w:szCs w:val="24"/>
          <w:lang w:val="en-ZA"/>
        </w:rPr>
        <w:t>[20] I agree with the submission of Mr</w:t>
      </w:r>
      <w:r w:rsidR="004B6B98">
        <w:rPr>
          <w:rFonts w:cs="Arial"/>
          <w:bCs/>
          <w:iCs/>
          <w:szCs w:val="24"/>
          <w:lang w:val="en-ZA"/>
        </w:rPr>
        <w:t xml:space="preserve"> Grundlingh that the averment</w:t>
      </w:r>
      <w:r w:rsidR="002B5782">
        <w:rPr>
          <w:rFonts w:cs="Arial"/>
          <w:bCs/>
          <w:iCs/>
          <w:szCs w:val="24"/>
          <w:lang w:val="en-ZA"/>
        </w:rPr>
        <w:t>s</w:t>
      </w:r>
      <w:r w:rsidR="004B6B98">
        <w:rPr>
          <w:rFonts w:cs="Arial"/>
          <w:bCs/>
          <w:iCs/>
          <w:szCs w:val="24"/>
          <w:lang w:val="en-ZA"/>
        </w:rPr>
        <w:t xml:space="preserve"> in paragraphs 24 and 25 are not susceptible to the interpretation that the cattle were in the possession of the Trust at </w:t>
      </w:r>
      <w:r w:rsidR="002B5782">
        <w:rPr>
          <w:rFonts w:cs="Arial"/>
          <w:bCs/>
          <w:iCs/>
          <w:szCs w:val="24"/>
          <w:lang w:val="en-ZA"/>
        </w:rPr>
        <w:t>the</w:t>
      </w:r>
      <w:r w:rsidR="004B6B98">
        <w:rPr>
          <w:rFonts w:cs="Arial"/>
          <w:bCs/>
          <w:iCs/>
          <w:szCs w:val="24"/>
          <w:lang w:val="en-ZA"/>
        </w:rPr>
        <w:t xml:space="preserve"> time when the claim in reconvention was instituted. This conflicts with the express averment in paragraph 23 that the respondent was unaware of the whereabouts of the cattle.</w:t>
      </w:r>
    </w:p>
    <w:p w14:paraId="25175610" w14:textId="77777777" w:rsidR="00EF7093" w:rsidRDefault="00EF7093" w:rsidP="00842F0A">
      <w:pPr>
        <w:spacing w:after="160"/>
        <w:ind w:left="0" w:firstLine="0"/>
        <w:contextualSpacing/>
        <w:rPr>
          <w:rFonts w:cs="Arial"/>
          <w:bCs/>
          <w:iCs/>
          <w:szCs w:val="24"/>
          <w:lang w:val="en-ZA"/>
        </w:rPr>
      </w:pPr>
    </w:p>
    <w:p w14:paraId="61BFCEAA" w14:textId="374ECF28" w:rsidR="004B6B98" w:rsidRDefault="004B6B98" w:rsidP="00842F0A">
      <w:pPr>
        <w:spacing w:after="160"/>
        <w:ind w:left="0" w:firstLine="0"/>
        <w:contextualSpacing/>
        <w:rPr>
          <w:rFonts w:cs="Arial"/>
          <w:bCs/>
          <w:iCs/>
          <w:szCs w:val="24"/>
          <w:lang w:val="en-ZA"/>
        </w:rPr>
      </w:pPr>
      <w:r>
        <w:rPr>
          <w:rFonts w:cs="Arial"/>
          <w:bCs/>
          <w:iCs/>
          <w:szCs w:val="24"/>
          <w:lang w:val="en-ZA"/>
        </w:rPr>
        <w:t>[21] It follows that the exception in this regard must be sustained.</w:t>
      </w:r>
    </w:p>
    <w:p w14:paraId="656DFF3B" w14:textId="23BE859E" w:rsidR="00DD7345" w:rsidRDefault="00DD7345" w:rsidP="00842F0A">
      <w:pPr>
        <w:spacing w:after="160"/>
        <w:ind w:left="0" w:firstLine="0"/>
        <w:contextualSpacing/>
        <w:rPr>
          <w:rFonts w:cs="Arial"/>
          <w:bCs/>
          <w:iCs/>
          <w:szCs w:val="24"/>
          <w:lang w:val="en-ZA"/>
        </w:rPr>
      </w:pPr>
    </w:p>
    <w:p w14:paraId="5F18CCFF" w14:textId="59A22D8F" w:rsidR="00DD7345" w:rsidRPr="00DD7345" w:rsidRDefault="00DD7345" w:rsidP="00DD7345">
      <w:pPr>
        <w:pStyle w:val="ListParagraph"/>
        <w:numPr>
          <w:ilvl w:val="0"/>
          <w:numId w:val="34"/>
        </w:numPr>
        <w:spacing w:after="160"/>
        <w:rPr>
          <w:rFonts w:cs="Arial"/>
          <w:bCs/>
          <w:i/>
          <w:iCs/>
          <w:szCs w:val="24"/>
          <w:lang w:val="en-ZA"/>
        </w:rPr>
      </w:pPr>
      <w:r w:rsidRPr="00DD7345">
        <w:rPr>
          <w:rFonts w:cs="Arial"/>
          <w:bCs/>
          <w:i/>
          <w:iCs/>
          <w:szCs w:val="24"/>
          <w:lang w:val="en-ZA"/>
        </w:rPr>
        <w:lastRenderedPageBreak/>
        <w:t>Actio ad exhibendum</w:t>
      </w:r>
    </w:p>
    <w:p w14:paraId="70B2E918" w14:textId="77777777" w:rsidR="00EF7093" w:rsidRDefault="00EF7093" w:rsidP="00842F0A">
      <w:pPr>
        <w:spacing w:after="160"/>
        <w:ind w:left="0" w:firstLine="0"/>
        <w:contextualSpacing/>
        <w:rPr>
          <w:rFonts w:cs="Arial"/>
          <w:bCs/>
          <w:iCs/>
          <w:szCs w:val="24"/>
          <w:lang w:val="en-ZA"/>
        </w:rPr>
      </w:pPr>
    </w:p>
    <w:p w14:paraId="4400B584" w14:textId="6403FD12" w:rsidR="000165E4" w:rsidRDefault="004B6B98" w:rsidP="00842F0A">
      <w:pPr>
        <w:spacing w:after="160"/>
        <w:ind w:left="0" w:firstLine="0"/>
        <w:contextualSpacing/>
        <w:rPr>
          <w:rFonts w:cs="Arial"/>
          <w:bCs/>
          <w:iCs/>
          <w:szCs w:val="24"/>
          <w:lang w:val="en-ZA"/>
        </w:rPr>
      </w:pPr>
      <w:r>
        <w:rPr>
          <w:rFonts w:cs="Arial"/>
          <w:bCs/>
          <w:iCs/>
          <w:szCs w:val="24"/>
          <w:lang w:val="en-ZA"/>
        </w:rPr>
        <w:t>[22] With regard to the alternative damages claim based on the</w:t>
      </w:r>
      <w:r>
        <w:rPr>
          <w:rFonts w:cs="Arial"/>
          <w:bCs/>
          <w:i/>
          <w:iCs/>
          <w:szCs w:val="24"/>
          <w:lang w:val="en-ZA"/>
        </w:rPr>
        <w:t xml:space="preserve"> actio ad exhibendum,</w:t>
      </w:r>
      <w:r>
        <w:rPr>
          <w:rFonts w:cs="Arial"/>
          <w:bCs/>
          <w:iCs/>
          <w:szCs w:val="24"/>
          <w:lang w:val="en-ZA"/>
        </w:rPr>
        <w:t xml:space="preserve"> it was submitted on behalf of the excipients that it was incumbent upon the respondent to aver that the loss of possession of the cattle by the Trust was </w:t>
      </w:r>
      <w:r>
        <w:rPr>
          <w:rFonts w:cs="Arial"/>
          <w:bCs/>
          <w:i/>
          <w:iCs/>
          <w:szCs w:val="24"/>
          <w:lang w:val="en-ZA"/>
        </w:rPr>
        <w:t>mala fide.</w:t>
      </w:r>
      <w:r>
        <w:rPr>
          <w:rFonts w:cs="Arial"/>
          <w:bCs/>
          <w:iCs/>
          <w:szCs w:val="24"/>
          <w:lang w:val="en-ZA"/>
        </w:rPr>
        <w:t xml:space="preserve"> The respondent failed to do so in the claim in reconvention.</w:t>
      </w:r>
      <w:r w:rsidR="000165E4">
        <w:rPr>
          <w:rFonts w:cs="Arial"/>
          <w:bCs/>
          <w:iCs/>
          <w:szCs w:val="24"/>
          <w:lang w:val="en-ZA"/>
        </w:rPr>
        <w:t xml:space="preserve"> The exception is to the following effect:</w:t>
      </w:r>
    </w:p>
    <w:p w14:paraId="08107D79" w14:textId="77777777" w:rsidR="00EF7093" w:rsidRDefault="00EF7093" w:rsidP="00842F0A">
      <w:pPr>
        <w:spacing w:after="160"/>
        <w:ind w:left="0" w:firstLine="0"/>
        <w:contextualSpacing/>
        <w:rPr>
          <w:rFonts w:cs="Arial"/>
          <w:bCs/>
          <w:iCs/>
          <w:szCs w:val="24"/>
          <w:lang w:val="en-ZA"/>
        </w:rPr>
      </w:pPr>
    </w:p>
    <w:p w14:paraId="1062A6CB" w14:textId="3B476DD4" w:rsidR="000165E4" w:rsidRDefault="000165E4" w:rsidP="000165E4">
      <w:pPr>
        <w:spacing w:after="160"/>
        <w:ind w:left="720" w:firstLine="0"/>
        <w:contextualSpacing/>
        <w:rPr>
          <w:rFonts w:cs="Arial"/>
          <w:bCs/>
          <w:i/>
          <w:iCs/>
          <w:szCs w:val="24"/>
          <w:lang w:val="en-ZA"/>
        </w:rPr>
      </w:pPr>
      <w:r>
        <w:rPr>
          <w:rFonts w:cs="Arial"/>
          <w:bCs/>
          <w:i/>
          <w:iCs/>
          <w:szCs w:val="24"/>
          <w:lang w:val="en-ZA"/>
        </w:rPr>
        <w:t xml:space="preserve">“3.6 In order to succeed with the alternative claim premised on the actio ad exhibendum the First Defendant </w:t>
      </w:r>
      <w:r w:rsidR="002B5782">
        <w:rPr>
          <w:rFonts w:cs="Arial"/>
          <w:bCs/>
          <w:i/>
          <w:iCs/>
          <w:szCs w:val="24"/>
          <w:lang w:val="en-ZA"/>
        </w:rPr>
        <w:t>has</w:t>
      </w:r>
      <w:r>
        <w:rPr>
          <w:rFonts w:cs="Arial"/>
          <w:bCs/>
          <w:i/>
          <w:iCs/>
          <w:szCs w:val="24"/>
          <w:lang w:val="en-ZA"/>
        </w:rPr>
        <w:t xml:space="preserve"> to allege that the loss of possession of the cattle by the Werner Buchner Family Trust was mala fide.</w:t>
      </w:r>
    </w:p>
    <w:p w14:paraId="7734F42E" w14:textId="77777777" w:rsidR="000165E4" w:rsidRPr="00AE63C8" w:rsidRDefault="000165E4" w:rsidP="000165E4">
      <w:pPr>
        <w:spacing w:after="160"/>
        <w:ind w:left="720" w:firstLine="0"/>
        <w:contextualSpacing/>
        <w:rPr>
          <w:rFonts w:cs="Arial"/>
          <w:bCs/>
          <w:i/>
          <w:szCs w:val="24"/>
          <w:lang w:val="en-ZA"/>
        </w:rPr>
      </w:pPr>
      <w:r w:rsidRPr="00AE63C8">
        <w:rPr>
          <w:rFonts w:cs="Arial"/>
          <w:bCs/>
          <w:i/>
          <w:szCs w:val="24"/>
          <w:lang w:val="en-ZA"/>
        </w:rPr>
        <w:t>3.7 The First Defendant has failed to aver that the loss of possession of the cattle by the Werner Buchner Family Trust was mala fide.</w:t>
      </w:r>
    </w:p>
    <w:p w14:paraId="348C0DDC" w14:textId="73B2A161" w:rsidR="000165E4" w:rsidRDefault="000165E4" w:rsidP="000165E4">
      <w:pPr>
        <w:spacing w:after="160"/>
        <w:ind w:left="720" w:firstLine="0"/>
        <w:contextualSpacing/>
        <w:rPr>
          <w:rFonts w:cs="Arial"/>
          <w:bCs/>
          <w:iCs/>
          <w:szCs w:val="24"/>
          <w:lang w:val="en-ZA"/>
        </w:rPr>
      </w:pPr>
      <w:r w:rsidRPr="00AE63C8">
        <w:rPr>
          <w:rFonts w:cs="Arial"/>
          <w:bCs/>
          <w:i/>
          <w:szCs w:val="24"/>
          <w:lang w:val="en-ZA"/>
        </w:rPr>
        <w:t>3.8 The First Defendant’s</w:t>
      </w:r>
      <w:r w:rsidR="00AE63C8" w:rsidRPr="00AE63C8">
        <w:rPr>
          <w:rFonts w:cs="Arial"/>
          <w:bCs/>
          <w:i/>
          <w:szCs w:val="24"/>
          <w:lang w:val="en-ZA"/>
        </w:rPr>
        <w:t xml:space="preserve"> claim alternative</w:t>
      </w:r>
      <w:r w:rsidR="00AE63C8">
        <w:rPr>
          <w:rFonts w:cs="Arial"/>
          <w:bCs/>
          <w:iCs/>
          <w:szCs w:val="24"/>
          <w:lang w:val="en-ZA"/>
        </w:rPr>
        <w:t xml:space="preserve"> (sic)</w:t>
      </w:r>
      <w:r w:rsidR="00AE63C8">
        <w:rPr>
          <w:rFonts w:cs="Arial"/>
          <w:bCs/>
          <w:i/>
          <w:iCs/>
          <w:szCs w:val="24"/>
          <w:lang w:val="en-ZA"/>
        </w:rPr>
        <w:t xml:space="preserve"> based on the actio ad exhibendum accordingly does not disclose a cause of action alternatively lacks averments necessary to sustain a cause of action against the Werner Buchner Family Trust.”</w:t>
      </w:r>
      <w:r w:rsidR="004B6B98">
        <w:rPr>
          <w:rFonts w:cs="Arial"/>
          <w:bCs/>
          <w:iCs/>
          <w:szCs w:val="24"/>
          <w:lang w:val="en-ZA"/>
        </w:rPr>
        <w:t xml:space="preserve"> </w:t>
      </w:r>
    </w:p>
    <w:p w14:paraId="26E5F642" w14:textId="77777777" w:rsidR="00EF7093" w:rsidRDefault="00EF7093" w:rsidP="000165E4">
      <w:pPr>
        <w:spacing w:after="160"/>
        <w:ind w:left="720" w:firstLine="0"/>
        <w:contextualSpacing/>
        <w:rPr>
          <w:rFonts w:cs="Arial"/>
          <w:bCs/>
          <w:iCs/>
          <w:szCs w:val="24"/>
          <w:lang w:val="en-ZA"/>
        </w:rPr>
      </w:pPr>
    </w:p>
    <w:p w14:paraId="16D7A512" w14:textId="5CE88E7F" w:rsidR="00B37FBB" w:rsidRDefault="00B37FBB" w:rsidP="00B37FBB">
      <w:pPr>
        <w:spacing w:after="160"/>
        <w:ind w:left="0" w:firstLine="0"/>
        <w:contextualSpacing/>
        <w:rPr>
          <w:rFonts w:cs="Arial"/>
          <w:bCs/>
          <w:iCs/>
          <w:szCs w:val="24"/>
          <w:lang w:val="en-ZA"/>
        </w:rPr>
      </w:pPr>
      <w:r>
        <w:rPr>
          <w:rFonts w:cs="Arial"/>
          <w:bCs/>
          <w:iCs/>
          <w:szCs w:val="24"/>
          <w:lang w:val="en-ZA"/>
        </w:rPr>
        <w:t xml:space="preserve">[23] Mr Nepgen indicated that through an oversight the present ground of exception was not dealt with in his heads of argument. It should not be understood as a concession that there is merit in this ground. He in fact submitted that the short answer to the exception is that it is not supported by the applicable law in that it is not a requirement for the respondent to have alleged </w:t>
      </w:r>
      <w:r>
        <w:rPr>
          <w:rFonts w:cs="Arial"/>
          <w:bCs/>
          <w:i/>
          <w:szCs w:val="24"/>
          <w:lang w:val="en-ZA"/>
        </w:rPr>
        <w:t>mala fides</w:t>
      </w:r>
      <w:r>
        <w:rPr>
          <w:rFonts w:cs="Arial"/>
          <w:bCs/>
          <w:iCs/>
          <w:szCs w:val="24"/>
          <w:lang w:val="en-ZA"/>
        </w:rPr>
        <w:t xml:space="preserve"> on the part of the Trust as contended by the excipients.</w:t>
      </w:r>
    </w:p>
    <w:p w14:paraId="60AF732E" w14:textId="77777777" w:rsidR="00EF7093" w:rsidRPr="00B37FBB" w:rsidRDefault="00EF7093" w:rsidP="00B37FBB">
      <w:pPr>
        <w:spacing w:after="160"/>
        <w:ind w:left="0" w:firstLine="0"/>
        <w:contextualSpacing/>
        <w:rPr>
          <w:rFonts w:cs="Arial"/>
          <w:bCs/>
          <w:iCs/>
          <w:szCs w:val="24"/>
          <w:lang w:val="en-ZA"/>
        </w:rPr>
      </w:pPr>
    </w:p>
    <w:p w14:paraId="49B452F7" w14:textId="22D841E8" w:rsidR="00E635AB" w:rsidRDefault="00AE63C8" w:rsidP="00842F0A">
      <w:pPr>
        <w:spacing w:after="160"/>
        <w:ind w:left="0" w:firstLine="0"/>
        <w:contextualSpacing/>
        <w:rPr>
          <w:rFonts w:cs="Arial"/>
          <w:bCs/>
          <w:i/>
          <w:iCs/>
          <w:szCs w:val="24"/>
          <w:lang w:val="en-ZA"/>
        </w:rPr>
      </w:pPr>
      <w:r>
        <w:rPr>
          <w:rFonts w:cs="Arial"/>
          <w:bCs/>
          <w:iCs/>
          <w:szCs w:val="24"/>
          <w:lang w:val="en-ZA"/>
        </w:rPr>
        <w:t>[2</w:t>
      </w:r>
      <w:r w:rsidR="00C0602F">
        <w:rPr>
          <w:rFonts w:cs="Arial"/>
          <w:bCs/>
          <w:iCs/>
          <w:szCs w:val="24"/>
          <w:lang w:val="en-ZA"/>
        </w:rPr>
        <w:t>4</w:t>
      </w:r>
      <w:r>
        <w:rPr>
          <w:rFonts w:cs="Arial"/>
          <w:bCs/>
          <w:iCs/>
          <w:szCs w:val="24"/>
          <w:lang w:val="en-ZA"/>
        </w:rPr>
        <w:t xml:space="preserve">] </w:t>
      </w:r>
      <w:r w:rsidR="004B6B98">
        <w:rPr>
          <w:rFonts w:cs="Arial"/>
          <w:bCs/>
          <w:iCs/>
          <w:szCs w:val="24"/>
          <w:lang w:val="en-ZA"/>
        </w:rPr>
        <w:t xml:space="preserve">Reference was made to a number of authorities in the excipients’ heads of argument </w:t>
      </w:r>
      <w:r w:rsidR="00B37FBB">
        <w:rPr>
          <w:rFonts w:cs="Arial"/>
          <w:bCs/>
          <w:iCs/>
          <w:szCs w:val="24"/>
          <w:lang w:val="en-ZA"/>
        </w:rPr>
        <w:t xml:space="preserve">(which was repeated in oral argument) </w:t>
      </w:r>
      <w:r w:rsidR="004B6B98">
        <w:rPr>
          <w:rFonts w:cs="Arial"/>
          <w:bCs/>
          <w:iCs/>
          <w:szCs w:val="24"/>
          <w:lang w:val="en-ZA"/>
        </w:rPr>
        <w:t>in apparent support of th</w:t>
      </w:r>
      <w:r>
        <w:rPr>
          <w:rFonts w:cs="Arial"/>
          <w:bCs/>
          <w:iCs/>
          <w:szCs w:val="24"/>
          <w:lang w:val="en-ZA"/>
        </w:rPr>
        <w:t>eir</w:t>
      </w:r>
      <w:r w:rsidR="004B6B98">
        <w:rPr>
          <w:rFonts w:cs="Arial"/>
          <w:bCs/>
          <w:iCs/>
          <w:szCs w:val="24"/>
          <w:lang w:val="en-ZA"/>
        </w:rPr>
        <w:t xml:space="preserve"> contention</w:t>
      </w:r>
      <w:r w:rsidR="00B37FBB">
        <w:rPr>
          <w:rFonts w:cs="Arial"/>
          <w:bCs/>
          <w:iCs/>
          <w:szCs w:val="24"/>
          <w:lang w:val="en-ZA"/>
        </w:rPr>
        <w:t xml:space="preserve"> that an allegation of </w:t>
      </w:r>
      <w:r w:rsidR="00B37FBB">
        <w:rPr>
          <w:rFonts w:cs="Arial"/>
          <w:bCs/>
          <w:i/>
          <w:szCs w:val="24"/>
          <w:lang w:val="en-ZA"/>
        </w:rPr>
        <w:t>mala fides</w:t>
      </w:r>
      <w:r w:rsidR="00B37FBB">
        <w:rPr>
          <w:rFonts w:cs="Arial"/>
          <w:bCs/>
          <w:iCs/>
          <w:szCs w:val="24"/>
          <w:lang w:val="en-ZA"/>
        </w:rPr>
        <w:t xml:space="preserve"> was necessary to sustain a cause of action based on the </w:t>
      </w:r>
      <w:r w:rsidR="00B37FBB">
        <w:rPr>
          <w:rFonts w:cs="Arial"/>
          <w:bCs/>
          <w:i/>
          <w:szCs w:val="24"/>
          <w:lang w:val="en-ZA"/>
        </w:rPr>
        <w:t>actio ad exhibendum</w:t>
      </w:r>
      <w:r w:rsidR="004B6B98">
        <w:rPr>
          <w:rFonts w:cs="Arial"/>
          <w:bCs/>
          <w:iCs/>
          <w:szCs w:val="24"/>
          <w:lang w:val="en-ZA"/>
        </w:rPr>
        <w:t>.</w:t>
      </w:r>
      <w:r w:rsidR="005E004B">
        <w:rPr>
          <w:rFonts w:cs="Arial"/>
          <w:bCs/>
          <w:iCs/>
          <w:szCs w:val="24"/>
          <w:lang w:val="en-ZA"/>
        </w:rPr>
        <w:t xml:space="preserve"> Only two of the authorities referred to come anywhere close to</w:t>
      </w:r>
      <w:r>
        <w:rPr>
          <w:rFonts w:cs="Arial"/>
          <w:bCs/>
          <w:iCs/>
          <w:szCs w:val="24"/>
          <w:lang w:val="en-ZA"/>
        </w:rPr>
        <w:t xml:space="preserve"> supporting</w:t>
      </w:r>
      <w:r w:rsidR="005E004B">
        <w:rPr>
          <w:rFonts w:cs="Arial"/>
          <w:bCs/>
          <w:iCs/>
          <w:szCs w:val="24"/>
          <w:lang w:val="en-ZA"/>
        </w:rPr>
        <w:t xml:space="preserve"> this submission. Both are judgements by single judges in the Gauteng Division handed down </w:t>
      </w:r>
      <w:r w:rsidR="002B5782">
        <w:rPr>
          <w:rFonts w:cs="Arial"/>
          <w:bCs/>
          <w:iCs/>
          <w:szCs w:val="24"/>
          <w:lang w:val="en-ZA"/>
        </w:rPr>
        <w:t>in quick succession</w:t>
      </w:r>
      <w:r w:rsidR="005E004B">
        <w:rPr>
          <w:rFonts w:cs="Arial"/>
          <w:bCs/>
          <w:iCs/>
          <w:szCs w:val="24"/>
          <w:lang w:val="en-ZA"/>
        </w:rPr>
        <w:t xml:space="preserve"> during August 2019.</w:t>
      </w:r>
      <w:r w:rsidR="005E004B">
        <w:rPr>
          <w:rStyle w:val="FootnoteReference"/>
          <w:rFonts w:cs="Arial"/>
          <w:bCs/>
          <w:iCs/>
          <w:szCs w:val="24"/>
          <w:lang w:val="en-ZA"/>
        </w:rPr>
        <w:footnoteReference w:id="4"/>
      </w:r>
      <w:r w:rsidR="005E004B">
        <w:rPr>
          <w:rFonts w:cs="Arial"/>
          <w:bCs/>
          <w:iCs/>
          <w:szCs w:val="24"/>
          <w:lang w:val="en-ZA"/>
        </w:rPr>
        <w:t xml:space="preserve"> I d</w:t>
      </w:r>
      <w:r>
        <w:rPr>
          <w:rFonts w:cs="Arial"/>
          <w:bCs/>
          <w:iCs/>
          <w:szCs w:val="24"/>
          <w:lang w:val="en-ZA"/>
        </w:rPr>
        <w:t>o</w:t>
      </w:r>
      <w:r w:rsidR="005E004B">
        <w:rPr>
          <w:rFonts w:cs="Arial"/>
          <w:bCs/>
          <w:iCs/>
          <w:szCs w:val="24"/>
          <w:lang w:val="en-ZA"/>
        </w:rPr>
        <w:t xml:space="preserve"> not read these judgements as</w:t>
      </w:r>
      <w:r w:rsidR="00E635AB">
        <w:rPr>
          <w:rFonts w:cs="Arial"/>
          <w:bCs/>
          <w:iCs/>
          <w:szCs w:val="24"/>
          <w:lang w:val="en-ZA"/>
        </w:rPr>
        <w:t xml:space="preserve"> </w:t>
      </w:r>
      <w:r w:rsidR="00E635AB">
        <w:rPr>
          <w:rFonts w:cs="Arial"/>
          <w:bCs/>
          <w:iCs/>
          <w:szCs w:val="24"/>
          <w:lang w:val="en-ZA"/>
        </w:rPr>
        <w:lastRenderedPageBreak/>
        <w:t xml:space="preserve">authority for the proposition that </w:t>
      </w:r>
      <w:r>
        <w:rPr>
          <w:rFonts w:cs="Arial"/>
          <w:bCs/>
          <w:iCs/>
          <w:szCs w:val="24"/>
          <w:lang w:val="en-ZA"/>
        </w:rPr>
        <w:t>a</w:t>
      </w:r>
      <w:r w:rsidR="00E635AB">
        <w:rPr>
          <w:rFonts w:cs="Arial"/>
          <w:bCs/>
          <w:iCs/>
          <w:szCs w:val="24"/>
          <w:lang w:val="en-ZA"/>
        </w:rPr>
        <w:t xml:space="preserve"> claimant must allege</w:t>
      </w:r>
      <w:r w:rsidR="00E635AB">
        <w:rPr>
          <w:rFonts w:cs="Arial"/>
          <w:bCs/>
          <w:i/>
          <w:iCs/>
          <w:szCs w:val="24"/>
          <w:lang w:val="en-ZA"/>
        </w:rPr>
        <w:t xml:space="preserve"> mala fides</w:t>
      </w:r>
      <w:r w:rsidR="00E635AB">
        <w:rPr>
          <w:rFonts w:cs="Arial"/>
          <w:bCs/>
          <w:iCs/>
          <w:szCs w:val="24"/>
          <w:lang w:val="en-ZA"/>
        </w:rPr>
        <w:t xml:space="preserve"> on the part of the defendant as one of the necessary elements of the </w:t>
      </w:r>
      <w:r w:rsidR="00E635AB" w:rsidRPr="00E635AB">
        <w:rPr>
          <w:rFonts w:cs="Arial"/>
          <w:bCs/>
          <w:i/>
          <w:szCs w:val="24"/>
          <w:lang w:val="en-ZA"/>
        </w:rPr>
        <w:t>actio</w:t>
      </w:r>
      <w:r w:rsidR="00E635AB">
        <w:rPr>
          <w:rFonts w:cs="Arial"/>
          <w:bCs/>
          <w:iCs/>
          <w:szCs w:val="24"/>
          <w:lang w:val="en-ZA"/>
        </w:rPr>
        <w:t>.</w:t>
      </w:r>
      <w:r w:rsidR="00B37FBB">
        <w:rPr>
          <w:rFonts w:cs="Arial"/>
          <w:bCs/>
          <w:iCs/>
          <w:szCs w:val="24"/>
          <w:lang w:val="en-ZA"/>
        </w:rPr>
        <w:t xml:space="preserve"> If </w:t>
      </w:r>
      <w:r w:rsidR="00C638FE">
        <w:rPr>
          <w:rFonts w:cs="Arial"/>
          <w:bCs/>
          <w:iCs/>
          <w:szCs w:val="24"/>
          <w:lang w:val="en-ZA"/>
        </w:rPr>
        <w:t>this had been their effect</w:t>
      </w:r>
      <w:r w:rsidR="00B37FBB">
        <w:rPr>
          <w:rFonts w:cs="Arial"/>
          <w:bCs/>
          <w:iCs/>
          <w:szCs w:val="24"/>
          <w:lang w:val="en-ZA"/>
        </w:rPr>
        <w:t xml:space="preserve"> I</w:t>
      </w:r>
      <w:r w:rsidR="00C638FE">
        <w:rPr>
          <w:rFonts w:cs="Arial"/>
          <w:bCs/>
          <w:iCs/>
          <w:szCs w:val="24"/>
          <w:lang w:val="en-ZA"/>
        </w:rPr>
        <w:t xml:space="preserve"> would be</w:t>
      </w:r>
      <w:r w:rsidR="00B37FBB">
        <w:rPr>
          <w:rFonts w:cs="Arial"/>
          <w:bCs/>
          <w:iCs/>
          <w:szCs w:val="24"/>
          <w:lang w:val="en-ZA"/>
        </w:rPr>
        <w:t xml:space="preserve"> in respectful disagreement</w:t>
      </w:r>
      <w:r w:rsidR="00C0602F">
        <w:rPr>
          <w:rFonts w:cs="Arial"/>
          <w:bCs/>
          <w:iCs/>
          <w:szCs w:val="24"/>
          <w:lang w:val="en-ZA"/>
        </w:rPr>
        <w:t>.</w:t>
      </w:r>
      <w:r w:rsidR="00E635AB">
        <w:rPr>
          <w:rFonts w:cs="Arial"/>
          <w:bCs/>
          <w:iCs/>
          <w:szCs w:val="24"/>
          <w:lang w:val="en-ZA"/>
        </w:rPr>
        <w:t xml:space="preserve"> </w:t>
      </w:r>
      <w:r w:rsidR="00E635AB" w:rsidRPr="00E635AB">
        <w:rPr>
          <w:rFonts w:cs="Arial"/>
          <w:bCs/>
          <w:iCs/>
          <w:szCs w:val="24"/>
          <w:lang w:val="en-ZA"/>
        </w:rPr>
        <w:t>Both</w:t>
      </w:r>
      <w:r w:rsidR="00E635AB">
        <w:rPr>
          <w:rFonts w:cs="Arial"/>
          <w:bCs/>
          <w:iCs/>
          <w:szCs w:val="24"/>
          <w:lang w:val="en-ZA"/>
        </w:rPr>
        <w:t xml:space="preserve"> judgements</w:t>
      </w:r>
      <w:r w:rsidR="00250DA8">
        <w:rPr>
          <w:rFonts w:cs="Arial"/>
          <w:bCs/>
          <w:iCs/>
          <w:szCs w:val="24"/>
          <w:lang w:val="en-ZA"/>
        </w:rPr>
        <w:t xml:space="preserve"> baldly state, without reference to authority, that the plaintiff must aver and prove that the defendant’s loss of possession was</w:t>
      </w:r>
      <w:r>
        <w:rPr>
          <w:rFonts w:cs="Arial"/>
          <w:bCs/>
          <w:iCs/>
          <w:szCs w:val="24"/>
          <w:lang w:val="en-ZA"/>
        </w:rPr>
        <w:t xml:space="preserve"> </w:t>
      </w:r>
      <w:r>
        <w:rPr>
          <w:rFonts w:cs="Arial"/>
          <w:bCs/>
          <w:i/>
          <w:szCs w:val="24"/>
          <w:lang w:val="en-ZA"/>
        </w:rPr>
        <w:t>mala fide</w:t>
      </w:r>
      <w:r w:rsidR="00250DA8">
        <w:rPr>
          <w:rFonts w:cs="Arial"/>
          <w:bCs/>
          <w:i/>
          <w:szCs w:val="24"/>
          <w:lang w:val="en-ZA"/>
        </w:rPr>
        <w:t>.</w:t>
      </w:r>
      <w:r w:rsidR="002465F0">
        <w:rPr>
          <w:rFonts w:cs="Arial"/>
          <w:bCs/>
          <w:i/>
          <w:szCs w:val="24"/>
          <w:lang w:val="en-ZA"/>
        </w:rPr>
        <w:t xml:space="preserve"> </w:t>
      </w:r>
      <w:r w:rsidR="000705AF">
        <w:rPr>
          <w:rFonts w:cs="Arial"/>
          <w:bCs/>
          <w:iCs/>
          <w:szCs w:val="24"/>
          <w:lang w:val="en-ZA"/>
        </w:rPr>
        <w:t>The judgments go on to state</w:t>
      </w:r>
      <w:r w:rsidR="00E635AB">
        <w:rPr>
          <w:rFonts w:cs="Arial"/>
          <w:bCs/>
          <w:iCs/>
          <w:szCs w:val="24"/>
          <w:lang w:val="en-ZA"/>
        </w:rPr>
        <w:t xml:space="preserve"> that the </w:t>
      </w:r>
      <w:r w:rsidR="000705AF">
        <w:rPr>
          <w:rFonts w:cs="Arial"/>
          <w:bCs/>
          <w:iCs/>
          <w:szCs w:val="24"/>
          <w:lang w:val="en-ZA"/>
        </w:rPr>
        <w:t>plaintiff</w:t>
      </w:r>
      <w:r w:rsidR="00E635AB">
        <w:rPr>
          <w:rFonts w:cs="Arial"/>
          <w:bCs/>
          <w:iCs/>
          <w:szCs w:val="24"/>
          <w:lang w:val="en-ZA"/>
        </w:rPr>
        <w:t xml:space="preserve"> has to prove that the defendant intentionally disposed of the property or caused its destruction intentionally or negligently. Th</w:t>
      </w:r>
      <w:r w:rsidR="000705AF">
        <w:rPr>
          <w:rFonts w:cs="Arial"/>
          <w:bCs/>
          <w:iCs/>
          <w:szCs w:val="24"/>
          <w:lang w:val="en-ZA"/>
        </w:rPr>
        <w:t>e latter statement</w:t>
      </w:r>
      <w:r w:rsidR="00E635AB">
        <w:rPr>
          <w:rFonts w:cs="Arial"/>
          <w:bCs/>
          <w:iCs/>
          <w:szCs w:val="24"/>
          <w:lang w:val="en-ZA"/>
        </w:rPr>
        <w:t xml:space="preserve"> is in line with the requirements for the </w:t>
      </w:r>
      <w:r w:rsidR="00E635AB">
        <w:rPr>
          <w:rFonts w:cs="Arial"/>
          <w:bCs/>
          <w:i/>
          <w:iCs/>
          <w:szCs w:val="24"/>
          <w:lang w:val="en-ZA"/>
        </w:rPr>
        <w:t>actio</w:t>
      </w:r>
      <w:r w:rsidR="00E635AB">
        <w:rPr>
          <w:rFonts w:cs="Arial"/>
          <w:bCs/>
          <w:iCs/>
          <w:szCs w:val="24"/>
          <w:lang w:val="en-ZA"/>
        </w:rPr>
        <w:t xml:space="preserve"> set out by the Supreme Court of Appeal in</w:t>
      </w:r>
      <w:r w:rsidR="00E635AB">
        <w:rPr>
          <w:rFonts w:cs="Arial"/>
          <w:bCs/>
          <w:i/>
          <w:iCs/>
          <w:szCs w:val="24"/>
          <w:lang w:val="en-ZA"/>
        </w:rPr>
        <w:t xml:space="preserve"> Rossouw NO v Land &amp; Agricultural Development Bank of South Africa:</w:t>
      </w:r>
      <w:r w:rsidR="00E635AB">
        <w:rPr>
          <w:rStyle w:val="FootnoteReference"/>
          <w:rFonts w:cs="Arial"/>
          <w:bCs/>
          <w:i/>
          <w:iCs/>
          <w:szCs w:val="24"/>
          <w:lang w:val="en-ZA"/>
        </w:rPr>
        <w:footnoteReference w:id="5"/>
      </w:r>
    </w:p>
    <w:p w14:paraId="5D651BCC" w14:textId="77777777" w:rsidR="00EF7093" w:rsidRPr="000165E4" w:rsidRDefault="00EF7093" w:rsidP="00842F0A">
      <w:pPr>
        <w:spacing w:after="160"/>
        <w:ind w:left="0" w:firstLine="0"/>
        <w:contextualSpacing/>
        <w:rPr>
          <w:rFonts w:cs="Arial"/>
          <w:bCs/>
          <w:iCs/>
          <w:szCs w:val="24"/>
          <w:lang w:val="en-ZA"/>
        </w:rPr>
      </w:pPr>
    </w:p>
    <w:p w14:paraId="471F3F30" w14:textId="3BD78E8C" w:rsidR="000165E4" w:rsidRDefault="00E635AB" w:rsidP="00E635AB">
      <w:pPr>
        <w:spacing w:after="160"/>
        <w:ind w:left="720" w:firstLine="0"/>
        <w:contextualSpacing/>
        <w:rPr>
          <w:rFonts w:cs="Arial"/>
          <w:bCs/>
          <w:i/>
          <w:iCs/>
          <w:szCs w:val="24"/>
          <w:lang w:val="en-ZA"/>
        </w:rPr>
      </w:pPr>
      <w:r>
        <w:rPr>
          <w:rFonts w:cs="Arial"/>
          <w:bCs/>
          <w:i/>
          <w:iCs/>
          <w:szCs w:val="24"/>
          <w:lang w:val="en-ZA"/>
        </w:rPr>
        <w:t>“In order to succeed with the actio ad exhibendum, the Bank</w:t>
      </w:r>
      <w:r w:rsidR="000165E4">
        <w:rPr>
          <w:rFonts w:cs="Arial"/>
          <w:bCs/>
          <w:i/>
          <w:iCs/>
          <w:szCs w:val="24"/>
          <w:lang w:val="en-ZA"/>
        </w:rPr>
        <w:t xml:space="preserve"> had to prove the following requirements:</w:t>
      </w:r>
    </w:p>
    <w:p w14:paraId="63B8E471" w14:textId="77777777" w:rsidR="000165E4" w:rsidRDefault="000165E4" w:rsidP="000165E4">
      <w:pPr>
        <w:spacing w:after="160"/>
        <w:ind w:left="1440" w:firstLine="0"/>
        <w:contextualSpacing/>
        <w:rPr>
          <w:rFonts w:cs="Arial"/>
          <w:bCs/>
          <w:i/>
          <w:iCs/>
          <w:szCs w:val="24"/>
          <w:lang w:val="en-ZA"/>
        </w:rPr>
      </w:pPr>
      <w:r>
        <w:rPr>
          <w:rFonts w:cs="Arial"/>
          <w:bCs/>
          <w:i/>
          <w:iCs/>
          <w:szCs w:val="24"/>
          <w:lang w:val="en-ZA"/>
        </w:rPr>
        <w:t>(a) that it was the owner of the pivots at the time of its disposal by the Trust;</w:t>
      </w:r>
    </w:p>
    <w:p w14:paraId="6E1CB4FF" w14:textId="77777777" w:rsidR="000165E4" w:rsidRDefault="000165E4" w:rsidP="000165E4">
      <w:pPr>
        <w:spacing w:after="160"/>
        <w:ind w:left="1440" w:firstLine="0"/>
        <w:contextualSpacing/>
        <w:rPr>
          <w:rFonts w:cs="Arial"/>
          <w:bCs/>
          <w:i/>
          <w:iCs/>
          <w:szCs w:val="24"/>
          <w:lang w:val="en-ZA"/>
        </w:rPr>
      </w:pPr>
      <w:r>
        <w:rPr>
          <w:rFonts w:cs="Arial"/>
          <w:bCs/>
          <w:i/>
          <w:iCs/>
          <w:szCs w:val="24"/>
          <w:lang w:val="en-ZA"/>
        </w:rPr>
        <w:t>(b) that the Trust had been in possession of the pivots when it disposed of them;</w:t>
      </w:r>
    </w:p>
    <w:p w14:paraId="5CC14AF6" w14:textId="11DB3CE9" w:rsidR="000165E4" w:rsidRDefault="000165E4" w:rsidP="000165E4">
      <w:pPr>
        <w:spacing w:after="160"/>
        <w:ind w:left="1440" w:firstLine="0"/>
        <w:contextualSpacing/>
        <w:rPr>
          <w:rFonts w:cs="Arial"/>
          <w:bCs/>
          <w:i/>
          <w:iCs/>
          <w:szCs w:val="24"/>
          <w:lang w:val="en-ZA"/>
        </w:rPr>
      </w:pPr>
      <w:r>
        <w:rPr>
          <w:rFonts w:cs="Arial"/>
          <w:bCs/>
          <w:i/>
          <w:iCs/>
          <w:szCs w:val="24"/>
          <w:lang w:val="en-ZA"/>
        </w:rPr>
        <w:t>(c) that the Trust acted intentionally</w:t>
      </w:r>
      <w:r w:rsidR="008E3189">
        <w:rPr>
          <w:rFonts w:cs="Arial"/>
          <w:bCs/>
          <w:i/>
          <w:iCs/>
          <w:szCs w:val="24"/>
          <w:lang w:val="en-ZA"/>
        </w:rPr>
        <w:t xml:space="preserve"> in</w:t>
      </w:r>
      <w:r>
        <w:rPr>
          <w:rFonts w:cs="Arial"/>
          <w:bCs/>
          <w:i/>
          <w:iCs/>
          <w:szCs w:val="24"/>
          <w:lang w:val="en-ZA"/>
        </w:rPr>
        <w:t xml:space="preserve"> that</w:t>
      </w:r>
      <w:r w:rsidR="008E3189">
        <w:rPr>
          <w:rFonts w:cs="Arial"/>
          <w:bCs/>
          <w:i/>
          <w:iCs/>
          <w:szCs w:val="24"/>
          <w:lang w:val="en-ZA"/>
        </w:rPr>
        <w:t xml:space="preserve"> it had</w:t>
      </w:r>
      <w:r>
        <w:rPr>
          <w:rFonts w:cs="Arial"/>
          <w:bCs/>
          <w:i/>
          <w:iCs/>
          <w:szCs w:val="24"/>
          <w:lang w:val="en-ZA"/>
        </w:rPr>
        <w:t xml:space="preserve"> knowledge of the Bank’s ownership or its claim to ownership when </w:t>
      </w:r>
      <w:r w:rsidR="008E3189">
        <w:rPr>
          <w:rFonts w:cs="Arial"/>
          <w:bCs/>
          <w:i/>
          <w:iCs/>
          <w:szCs w:val="24"/>
          <w:lang w:val="en-ZA"/>
        </w:rPr>
        <w:t xml:space="preserve">it </w:t>
      </w:r>
      <w:r>
        <w:rPr>
          <w:rFonts w:cs="Arial"/>
          <w:bCs/>
          <w:i/>
          <w:iCs/>
          <w:szCs w:val="24"/>
          <w:lang w:val="en-ZA"/>
        </w:rPr>
        <w:t>parted with possession of the pivots;</w:t>
      </w:r>
    </w:p>
    <w:p w14:paraId="7EA2700F" w14:textId="19483313" w:rsidR="00E635AB" w:rsidRDefault="000165E4" w:rsidP="000165E4">
      <w:pPr>
        <w:spacing w:after="160"/>
        <w:ind w:left="1440" w:firstLine="0"/>
        <w:contextualSpacing/>
        <w:rPr>
          <w:rFonts w:cs="Arial"/>
          <w:bCs/>
          <w:i/>
          <w:iCs/>
          <w:szCs w:val="24"/>
          <w:lang w:val="en-ZA"/>
        </w:rPr>
      </w:pPr>
      <w:r>
        <w:rPr>
          <w:rFonts w:cs="Arial"/>
          <w:bCs/>
          <w:i/>
          <w:iCs/>
          <w:szCs w:val="24"/>
          <w:lang w:val="en-ZA"/>
        </w:rPr>
        <w:t>(d) that the Bank would be entitled to d</w:t>
      </w:r>
      <w:r w:rsidR="008E3189">
        <w:rPr>
          <w:rFonts w:cs="Arial"/>
          <w:bCs/>
          <w:i/>
          <w:iCs/>
          <w:szCs w:val="24"/>
          <w:lang w:val="en-ZA"/>
        </w:rPr>
        <w:t>elic</w:t>
      </w:r>
      <w:r>
        <w:rPr>
          <w:rFonts w:cs="Arial"/>
          <w:bCs/>
          <w:i/>
          <w:iCs/>
          <w:szCs w:val="24"/>
          <w:lang w:val="en-ZA"/>
        </w:rPr>
        <w:t>tual damages as well as the extent thereof (taking into account inter-alia the value of the pivots when the Trust had sold them).”</w:t>
      </w:r>
    </w:p>
    <w:p w14:paraId="01DC2C8F" w14:textId="77777777" w:rsidR="00EF7093" w:rsidRDefault="00EF7093" w:rsidP="000165E4">
      <w:pPr>
        <w:spacing w:after="160"/>
        <w:ind w:left="1440" w:firstLine="0"/>
        <w:contextualSpacing/>
        <w:rPr>
          <w:rFonts w:cs="Arial"/>
          <w:bCs/>
          <w:szCs w:val="24"/>
          <w:lang w:val="en-ZA"/>
        </w:rPr>
      </w:pPr>
    </w:p>
    <w:p w14:paraId="0988D3FE" w14:textId="504AD16C" w:rsidR="000165E4" w:rsidRDefault="000165E4" w:rsidP="000165E4">
      <w:pPr>
        <w:spacing w:after="160"/>
        <w:ind w:left="0" w:firstLine="0"/>
        <w:contextualSpacing/>
        <w:rPr>
          <w:rFonts w:cs="Arial"/>
          <w:bCs/>
          <w:iCs/>
          <w:szCs w:val="24"/>
          <w:lang w:val="en-ZA"/>
        </w:rPr>
      </w:pPr>
      <w:r>
        <w:rPr>
          <w:rFonts w:cs="Arial"/>
          <w:bCs/>
          <w:szCs w:val="24"/>
          <w:lang w:val="en-ZA"/>
        </w:rPr>
        <w:t>[2</w:t>
      </w:r>
      <w:r w:rsidR="00C0602F">
        <w:rPr>
          <w:rFonts w:cs="Arial"/>
          <w:bCs/>
          <w:szCs w:val="24"/>
          <w:lang w:val="en-ZA"/>
        </w:rPr>
        <w:t>5</w:t>
      </w:r>
      <w:r>
        <w:rPr>
          <w:rFonts w:cs="Arial"/>
          <w:bCs/>
          <w:szCs w:val="24"/>
          <w:lang w:val="en-ZA"/>
        </w:rPr>
        <w:t>]</w:t>
      </w:r>
      <w:r w:rsidR="00AE63C8">
        <w:rPr>
          <w:rFonts w:cs="Arial"/>
          <w:bCs/>
          <w:szCs w:val="24"/>
          <w:lang w:val="en-ZA"/>
        </w:rPr>
        <w:t xml:space="preserve"> It is of note that neither of the abovesaid two decisions in the Gauteng Division referred to the earlier decision in that Division in the matter of</w:t>
      </w:r>
      <w:r w:rsidR="00AE63C8">
        <w:rPr>
          <w:rFonts w:cs="Arial"/>
          <w:bCs/>
          <w:i/>
          <w:szCs w:val="24"/>
          <w:lang w:val="en-ZA"/>
        </w:rPr>
        <w:t xml:space="preserve"> Uni</w:t>
      </w:r>
      <w:r w:rsidR="008A7CAA">
        <w:rPr>
          <w:rFonts w:cs="Arial"/>
          <w:bCs/>
          <w:i/>
          <w:szCs w:val="24"/>
          <w:lang w:val="en-ZA"/>
        </w:rPr>
        <w:t>m</w:t>
      </w:r>
      <w:r w:rsidR="00AE63C8">
        <w:rPr>
          <w:rFonts w:cs="Arial"/>
          <w:bCs/>
          <w:i/>
          <w:szCs w:val="24"/>
          <w:lang w:val="en-ZA"/>
        </w:rPr>
        <w:t xml:space="preserve">ark Distributors (Pty) Ltd v </w:t>
      </w:r>
      <w:r w:rsidR="008A7CAA">
        <w:rPr>
          <w:rFonts w:cs="Arial"/>
          <w:bCs/>
          <w:i/>
          <w:szCs w:val="24"/>
          <w:lang w:val="en-ZA"/>
        </w:rPr>
        <w:t xml:space="preserve">Erf </w:t>
      </w:r>
      <w:r w:rsidR="00AE63C8">
        <w:rPr>
          <w:rFonts w:cs="Arial"/>
          <w:bCs/>
          <w:i/>
          <w:szCs w:val="24"/>
          <w:lang w:val="en-ZA"/>
        </w:rPr>
        <w:t>94 Silver</w:t>
      </w:r>
      <w:r w:rsidR="008A7CAA">
        <w:rPr>
          <w:rFonts w:cs="Arial"/>
          <w:bCs/>
          <w:i/>
          <w:szCs w:val="24"/>
          <w:lang w:val="en-ZA"/>
        </w:rPr>
        <w:t>tondale</w:t>
      </w:r>
      <w:r w:rsidR="00AE63C8">
        <w:rPr>
          <w:rFonts w:cs="Arial"/>
          <w:bCs/>
          <w:i/>
          <w:szCs w:val="24"/>
          <w:lang w:val="en-ZA"/>
        </w:rPr>
        <w:t xml:space="preserve"> (Pty) Ltd</w:t>
      </w:r>
      <w:r w:rsidR="008A7CAA">
        <w:rPr>
          <w:rStyle w:val="FootnoteReference"/>
          <w:rFonts w:cs="Arial"/>
          <w:bCs/>
          <w:i/>
          <w:szCs w:val="24"/>
          <w:lang w:val="en-ZA"/>
        </w:rPr>
        <w:footnoteReference w:id="6"/>
      </w:r>
      <w:r w:rsidR="008A7CAA">
        <w:rPr>
          <w:rFonts w:cs="Arial"/>
          <w:bCs/>
          <w:iCs/>
          <w:szCs w:val="24"/>
          <w:lang w:val="en-ZA"/>
        </w:rPr>
        <w:t xml:space="preserve"> where the following was stated:</w:t>
      </w:r>
    </w:p>
    <w:p w14:paraId="6151020F" w14:textId="77777777" w:rsidR="00EF7093" w:rsidRDefault="00EF7093" w:rsidP="000165E4">
      <w:pPr>
        <w:spacing w:after="160"/>
        <w:ind w:left="0" w:firstLine="0"/>
        <w:contextualSpacing/>
        <w:rPr>
          <w:rFonts w:cs="Arial"/>
          <w:bCs/>
          <w:iCs/>
          <w:szCs w:val="24"/>
          <w:lang w:val="en-ZA"/>
        </w:rPr>
      </w:pPr>
    </w:p>
    <w:p w14:paraId="0FDAE119" w14:textId="643AA6BD" w:rsidR="008A7CAA" w:rsidRPr="0069497F" w:rsidRDefault="008A7CAA" w:rsidP="008A7CAA">
      <w:pPr>
        <w:spacing w:after="160"/>
        <w:ind w:left="720" w:firstLine="0"/>
        <w:contextualSpacing/>
        <w:rPr>
          <w:rFonts w:cs="Arial"/>
          <w:bCs/>
          <w:i/>
          <w:szCs w:val="24"/>
          <w:lang w:val="en-ZA"/>
        </w:rPr>
      </w:pPr>
      <w:r>
        <w:rPr>
          <w:rFonts w:cs="Arial"/>
          <w:bCs/>
          <w:i/>
          <w:szCs w:val="24"/>
          <w:lang w:val="en-ZA"/>
        </w:rPr>
        <w:t xml:space="preserve">“For the actio ad exhibendum to succeed, the plaintiff must prove, in addition to ownership, that the defendant was in possession of the property, that the defendant disposed of the property with knowledge of the plaintiff’s ownership and </w:t>
      </w:r>
      <w:r>
        <w:rPr>
          <w:rFonts w:cs="Arial"/>
          <w:bCs/>
          <w:i/>
          <w:szCs w:val="24"/>
          <w:lang w:val="en-ZA"/>
        </w:rPr>
        <w:lastRenderedPageBreak/>
        <w:t xml:space="preserve">that the plaintiff suffered patrimonial loss, as well as the amount which the plaintiff is entitled to. </w:t>
      </w:r>
      <w:r w:rsidRPr="008A7CAA">
        <w:rPr>
          <w:rFonts w:cs="Arial"/>
          <w:bCs/>
          <w:i/>
          <w:szCs w:val="24"/>
          <w:lang w:val="en-ZA"/>
        </w:rPr>
        <w:t xml:space="preserve">What is required is therefore an intentional act of dispossessing and </w:t>
      </w:r>
      <w:r w:rsidRPr="008A7CAA">
        <w:rPr>
          <w:rFonts w:cs="Arial"/>
          <w:bCs/>
          <w:i/>
          <w:szCs w:val="24"/>
          <w:u w:val="single"/>
          <w:lang w:val="en-ZA"/>
        </w:rPr>
        <w:t>an element of mala fides</w:t>
      </w:r>
      <w:r>
        <w:rPr>
          <w:rFonts w:cs="Arial"/>
          <w:bCs/>
          <w:i/>
          <w:szCs w:val="24"/>
          <w:lang w:val="en-ZA"/>
        </w:rPr>
        <w:t>.”</w:t>
      </w:r>
    </w:p>
    <w:p w14:paraId="391B95B3" w14:textId="2F38A3A9" w:rsidR="008A7CAA" w:rsidRDefault="008A7CAA" w:rsidP="008A7CAA">
      <w:pPr>
        <w:spacing w:after="160"/>
        <w:ind w:left="720" w:firstLine="0"/>
        <w:contextualSpacing/>
        <w:rPr>
          <w:rFonts w:cs="Arial"/>
          <w:bCs/>
          <w:i/>
          <w:szCs w:val="24"/>
          <w:lang w:val="en-ZA"/>
        </w:rPr>
      </w:pPr>
      <w:r w:rsidRPr="0069497F">
        <w:rPr>
          <w:rFonts w:cs="Arial"/>
          <w:bCs/>
          <w:i/>
          <w:szCs w:val="24"/>
          <w:lang w:val="en-ZA"/>
        </w:rPr>
        <w:t xml:space="preserve">                                                                                (emphasis supplied)</w:t>
      </w:r>
    </w:p>
    <w:p w14:paraId="2AEB6103" w14:textId="77777777" w:rsidR="00EF7093" w:rsidRPr="0069497F" w:rsidRDefault="00EF7093" w:rsidP="008A7CAA">
      <w:pPr>
        <w:spacing w:after="160"/>
        <w:ind w:left="720" w:firstLine="0"/>
        <w:contextualSpacing/>
        <w:rPr>
          <w:rFonts w:cs="Arial"/>
          <w:bCs/>
          <w:i/>
          <w:szCs w:val="24"/>
          <w:lang w:val="en-ZA"/>
        </w:rPr>
      </w:pPr>
    </w:p>
    <w:p w14:paraId="06B0BF56" w14:textId="574863C4" w:rsidR="0069497F" w:rsidRDefault="00C0602F" w:rsidP="00C0602F">
      <w:pPr>
        <w:spacing w:after="160"/>
        <w:ind w:left="0" w:firstLine="0"/>
        <w:contextualSpacing/>
        <w:rPr>
          <w:rFonts w:cs="Arial"/>
          <w:bCs/>
          <w:i/>
          <w:szCs w:val="24"/>
          <w:lang w:val="en-ZA"/>
        </w:rPr>
      </w:pPr>
      <w:r>
        <w:rPr>
          <w:rFonts w:cs="Arial"/>
          <w:bCs/>
          <w:iCs/>
          <w:szCs w:val="24"/>
          <w:lang w:val="en-ZA"/>
        </w:rPr>
        <w:t xml:space="preserve">[26] In my view the statement in the above </w:t>
      </w:r>
      <w:r w:rsidR="008E3189">
        <w:rPr>
          <w:rFonts w:cs="Arial"/>
          <w:bCs/>
          <w:iCs/>
          <w:szCs w:val="24"/>
          <w:lang w:val="en-ZA"/>
        </w:rPr>
        <w:t>extract</w:t>
      </w:r>
      <w:r>
        <w:rPr>
          <w:rFonts w:cs="Arial"/>
          <w:bCs/>
          <w:iCs/>
          <w:szCs w:val="24"/>
          <w:lang w:val="en-ZA"/>
        </w:rPr>
        <w:t xml:space="preserve"> constitutes the highwater mark with regard to </w:t>
      </w:r>
      <w:r>
        <w:rPr>
          <w:rFonts w:cs="Arial"/>
          <w:bCs/>
          <w:i/>
          <w:szCs w:val="24"/>
          <w:lang w:val="en-ZA"/>
        </w:rPr>
        <w:t xml:space="preserve">mala fides </w:t>
      </w:r>
      <w:r>
        <w:rPr>
          <w:rFonts w:cs="Arial"/>
          <w:bCs/>
          <w:iCs/>
          <w:szCs w:val="24"/>
          <w:lang w:val="en-ZA"/>
        </w:rPr>
        <w:t xml:space="preserve">in the present context. It is a manner of characterising the required state of mind of the possessor of the </w:t>
      </w:r>
      <w:r>
        <w:rPr>
          <w:rFonts w:cs="Arial"/>
          <w:bCs/>
          <w:i/>
          <w:szCs w:val="24"/>
          <w:lang w:val="en-ZA"/>
        </w:rPr>
        <w:t xml:space="preserve">res </w:t>
      </w:r>
      <w:r>
        <w:rPr>
          <w:rFonts w:cs="Arial"/>
          <w:bCs/>
          <w:iCs/>
          <w:szCs w:val="24"/>
          <w:lang w:val="en-ZA"/>
        </w:rPr>
        <w:t>at the time of disposing thereof.</w:t>
      </w:r>
      <w:r w:rsidR="0069497F">
        <w:rPr>
          <w:rFonts w:cs="Arial"/>
          <w:bCs/>
          <w:iCs/>
          <w:szCs w:val="24"/>
          <w:lang w:val="en-ZA"/>
        </w:rPr>
        <w:t xml:space="preserve"> Where the possessor intentionally disposes of the </w:t>
      </w:r>
      <w:r w:rsidR="0069497F">
        <w:rPr>
          <w:rFonts w:cs="Arial"/>
          <w:bCs/>
          <w:i/>
          <w:szCs w:val="24"/>
          <w:lang w:val="en-ZA"/>
        </w:rPr>
        <w:t xml:space="preserve">res </w:t>
      </w:r>
      <w:r w:rsidR="0069497F" w:rsidRPr="0069497F">
        <w:rPr>
          <w:rFonts w:cs="Arial"/>
          <w:bCs/>
          <w:iCs/>
          <w:szCs w:val="24"/>
          <w:lang w:val="en-ZA"/>
        </w:rPr>
        <w:t>while being aware of the ownership of the claimant</w:t>
      </w:r>
      <w:r w:rsidR="0069497F">
        <w:rPr>
          <w:rFonts w:cs="Arial"/>
          <w:bCs/>
          <w:iCs/>
          <w:szCs w:val="24"/>
          <w:lang w:val="en-ZA"/>
        </w:rPr>
        <w:t xml:space="preserve">, it is convenient to describe such conduct as entailing </w:t>
      </w:r>
      <w:r w:rsidR="0069497F">
        <w:rPr>
          <w:rFonts w:cs="Arial"/>
          <w:bCs/>
          <w:i/>
          <w:szCs w:val="24"/>
          <w:lang w:val="en-ZA"/>
        </w:rPr>
        <w:t>“an element of mala fides”.</w:t>
      </w:r>
      <w:r w:rsidR="0069497F">
        <w:rPr>
          <w:rFonts w:cs="Arial"/>
          <w:bCs/>
          <w:iCs/>
          <w:szCs w:val="24"/>
          <w:lang w:val="en-ZA"/>
        </w:rPr>
        <w:t xml:space="preserve"> This is clearly not equivalent to stating that </w:t>
      </w:r>
      <w:r w:rsidR="0069497F">
        <w:rPr>
          <w:rFonts w:cs="Arial"/>
          <w:bCs/>
          <w:i/>
          <w:szCs w:val="24"/>
          <w:lang w:val="en-ZA"/>
        </w:rPr>
        <w:t>mala fides</w:t>
      </w:r>
      <w:r w:rsidR="0069497F">
        <w:rPr>
          <w:rFonts w:cs="Arial"/>
          <w:bCs/>
          <w:iCs/>
          <w:szCs w:val="24"/>
          <w:lang w:val="en-ZA"/>
        </w:rPr>
        <w:t xml:space="preserve"> is an independent element of the </w:t>
      </w:r>
      <w:r w:rsidR="0069497F">
        <w:rPr>
          <w:rFonts w:cs="Arial"/>
          <w:bCs/>
          <w:i/>
          <w:szCs w:val="24"/>
          <w:lang w:val="en-ZA"/>
        </w:rPr>
        <w:t xml:space="preserve">actio ad exhibendum </w:t>
      </w:r>
      <w:r w:rsidR="0069497F">
        <w:rPr>
          <w:rFonts w:cs="Arial"/>
          <w:bCs/>
          <w:iCs/>
          <w:szCs w:val="24"/>
          <w:lang w:val="en-ZA"/>
        </w:rPr>
        <w:t xml:space="preserve">which must be </w:t>
      </w:r>
      <w:r w:rsidR="005B7868">
        <w:rPr>
          <w:rFonts w:cs="Arial"/>
          <w:bCs/>
          <w:iCs/>
          <w:szCs w:val="24"/>
          <w:lang w:val="en-ZA"/>
        </w:rPr>
        <w:t>pleaded</w:t>
      </w:r>
      <w:r w:rsidR="0069497F">
        <w:rPr>
          <w:rFonts w:cs="Arial"/>
          <w:bCs/>
          <w:iCs/>
          <w:szCs w:val="24"/>
          <w:lang w:val="en-ZA"/>
        </w:rPr>
        <w:t xml:space="preserve"> so as not to render a claim based on </w:t>
      </w:r>
      <w:r w:rsidR="005B7868">
        <w:rPr>
          <w:rFonts w:cs="Arial"/>
          <w:bCs/>
          <w:iCs/>
          <w:szCs w:val="24"/>
          <w:lang w:val="en-ZA"/>
        </w:rPr>
        <w:t xml:space="preserve">the </w:t>
      </w:r>
      <w:r w:rsidR="005B7868">
        <w:rPr>
          <w:rFonts w:cs="Arial"/>
          <w:bCs/>
          <w:i/>
          <w:szCs w:val="24"/>
          <w:lang w:val="en-ZA"/>
        </w:rPr>
        <w:t>actio</w:t>
      </w:r>
      <w:r w:rsidR="005B7868">
        <w:rPr>
          <w:rFonts w:cs="Arial"/>
          <w:bCs/>
          <w:iCs/>
          <w:szCs w:val="24"/>
          <w:lang w:val="en-ZA"/>
        </w:rPr>
        <w:t xml:space="preserve"> to be</w:t>
      </w:r>
      <w:r w:rsidR="0069497F">
        <w:rPr>
          <w:rFonts w:cs="Arial"/>
          <w:bCs/>
          <w:iCs/>
          <w:szCs w:val="24"/>
          <w:lang w:val="en-ZA"/>
        </w:rPr>
        <w:t xml:space="preserve"> excipiable</w:t>
      </w:r>
      <w:r w:rsidR="0069497F">
        <w:rPr>
          <w:rFonts w:cs="Arial"/>
          <w:bCs/>
          <w:i/>
          <w:szCs w:val="24"/>
          <w:lang w:val="en-ZA"/>
        </w:rPr>
        <w:t>.</w:t>
      </w:r>
      <w:r w:rsidR="00D809A9">
        <w:rPr>
          <w:rFonts w:cs="Arial"/>
          <w:bCs/>
          <w:iCs/>
          <w:szCs w:val="24"/>
          <w:lang w:val="en-ZA"/>
        </w:rPr>
        <w:t xml:space="preserve"> I have not been referred to any binding authority to that effect nor am I aware of such authority. It accords with considerations of justice, fairness and logic that the claimant </w:t>
      </w:r>
      <w:r w:rsidR="005B7868">
        <w:rPr>
          <w:rFonts w:cs="Arial"/>
          <w:bCs/>
          <w:iCs/>
          <w:szCs w:val="24"/>
          <w:lang w:val="en-ZA"/>
        </w:rPr>
        <w:t xml:space="preserve">should </w:t>
      </w:r>
      <w:r w:rsidR="00D809A9">
        <w:rPr>
          <w:rFonts w:cs="Arial"/>
          <w:bCs/>
          <w:iCs/>
          <w:szCs w:val="24"/>
          <w:lang w:val="en-ZA"/>
        </w:rPr>
        <w:t xml:space="preserve">not be burdened with an onus of establishing </w:t>
      </w:r>
      <w:r w:rsidR="00D809A9">
        <w:rPr>
          <w:rFonts w:cs="Arial"/>
          <w:bCs/>
          <w:i/>
          <w:szCs w:val="24"/>
          <w:lang w:val="en-ZA"/>
        </w:rPr>
        <w:t>mala fides</w:t>
      </w:r>
      <w:r w:rsidR="00D809A9">
        <w:rPr>
          <w:rFonts w:cs="Arial"/>
          <w:bCs/>
          <w:iCs/>
          <w:szCs w:val="24"/>
          <w:lang w:val="en-ZA"/>
        </w:rPr>
        <w:t xml:space="preserve"> as an independent element of liability for claims in terms of the </w:t>
      </w:r>
      <w:r w:rsidR="00D809A9">
        <w:rPr>
          <w:rFonts w:cs="Arial"/>
          <w:bCs/>
          <w:i/>
          <w:szCs w:val="24"/>
          <w:lang w:val="en-ZA"/>
        </w:rPr>
        <w:t>actio ad exhibendum</w:t>
      </w:r>
      <w:r w:rsidR="00B64367">
        <w:rPr>
          <w:rFonts w:cs="Arial"/>
          <w:bCs/>
          <w:iCs/>
          <w:szCs w:val="24"/>
          <w:lang w:val="en-ZA"/>
        </w:rPr>
        <w:t xml:space="preserve"> over and above the requirement of either </w:t>
      </w:r>
      <w:r w:rsidR="00B64367">
        <w:rPr>
          <w:rFonts w:cs="Arial"/>
          <w:bCs/>
          <w:i/>
          <w:szCs w:val="24"/>
          <w:lang w:val="en-ZA"/>
        </w:rPr>
        <w:t>dolus</w:t>
      </w:r>
      <w:r w:rsidR="00B64367">
        <w:rPr>
          <w:rFonts w:cs="Arial"/>
          <w:bCs/>
          <w:iCs/>
          <w:szCs w:val="24"/>
          <w:lang w:val="en-ZA"/>
        </w:rPr>
        <w:t xml:space="preserve"> or </w:t>
      </w:r>
      <w:r w:rsidR="00B64367">
        <w:rPr>
          <w:rFonts w:cs="Arial"/>
          <w:bCs/>
          <w:i/>
          <w:szCs w:val="24"/>
          <w:lang w:val="en-ZA"/>
        </w:rPr>
        <w:t xml:space="preserve">culpa </w:t>
      </w:r>
      <w:r w:rsidR="00B64367">
        <w:rPr>
          <w:rFonts w:cs="Arial"/>
          <w:bCs/>
          <w:iCs/>
          <w:szCs w:val="24"/>
          <w:lang w:val="en-ZA"/>
        </w:rPr>
        <w:t xml:space="preserve">on the part of the </w:t>
      </w:r>
      <w:r w:rsidR="005B7868">
        <w:rPr>
          <w:rFonts w:cs="Arial"/>
          <w:bCs/>
          <w:iCs/>
          <w:szCs w:val="24"/>
          <w:lang w:val="en-ZA"/>
        </w:rPr>
        <w:t>possessor</w:t>
      </w:r>
      <w:r w:rsidR="00D809A9">
        <w:rPr>
          <w:rFonts w:cs="Arial"/>
          <w:bCs/>
          <w:i/>
          <w:szCs w:val="24"/>
          <w:lang w:val="en-ZA"/>
        </w:rPr>
        <w:t>.</w:t>
      </w:r>
    </w:p>
    <w:p w14:paraId="252BB7F9" w14:textId="77777777" w:rsidR="00EF7093" w:rsidRPr="00B64367" w:rsidRDefault="00EF7093" w:rsidP="00C0602F">
      <w:pPr>
        <w:spacing w:after="160"/>
        <w:ind w:left="0" w:firstLine="0"/>
        <w:contextualSpacing/>
        <w:rPr>
          <w:rFonts w:cs="Arial"/>
          <w:bCs/>
          <w:iCs/>
          <w:szCs w:val="24"/>
          <w:lang w:val="en-ZA"/>
        </w:rPr>
      </w:pPr>
    </w:p>
    <w:p w14:paraId="1CE403A3" w14:textId="079DAF4F" w:rsidR="00C0602F" w:rsidRDefault="0069497F" w:rsidP="00C0602F">
      <w:pPr>
        <w:spacing w:after="160"/>
        <w:ind w:left="0" w:firstLine="0"/>
        <w:contextualSpacing/>
        <w:rPr>
          <w:rFonts w:cs="Arial"/>
          <w:bCs/>
          <w:i/>
          <w:szCs w:val="24"/>
          <w:lang w:val="en-ZA"/>
        </w:rPr>
      </w:pPr>
      <w:r>
        <w:rPr>
          <w:rFonts w:cs="Arial"/>
          <w:bCs/>
          <w:iCs/>
          <w:szCs w:val="24"/>
          <w:lang w:val="en-ZA"/>
        </w:rPr>
        <w:t xml:space="preserve">[27] </w:t>
      </w:r>
      <w:r w:rsidR="00B64367">
        <w:rPr>
          <w:rFonts w:cs="Arial"/>
          <w:bCs/>
          <w:iCs/>
          <w:szCs w:val="24"/>
          <w:lang w:val="en-ZA"/>
        </w:rPr>
        <w:t xml:space="preserve">For the purpose of deciding the exception, I accordingly proceed on the basis of the legal position as expounded above. I therefore find that it was not a legal requirement </w:t>
      </w:r>
      <w:r w:rsidR="000705AF">
        <w:rPr>
          <w:rFonts w:cs="Arial"/>
          <w:bCs/>
          <w:iCs/>
          <w:szCs w:val="24"/>
          <w:lang w:val="en-ZA"/>
        </w:rPr>
        <w:t>in respect of</w:t>
      </w:r>
      <w:r w:rsidR="00B64367">
        <w:rPr>
          <w:rFonts w:cs="Arial"/>
          <w:bCs/>
          <w:iCs/>
          <w:szCs w:val="24"/>
          <w:lang w:val="en-ZA"/>
        </w:rPr>
        <w:t xml:space="preserve"> the claim premised upon the </w:t>
      </w:r>
      <w:r w:rsidR="00B64367">
        <w:rPr>
          <w:rFonts w:cs="Arial"/>
          <w:bCs/>
          <w:i/>
          <w:szCs w:val="24"/>
          <w:lang w:val="en-ZA"/>
        </w:rPr>
        <w:t xml:space="preserve">actio ad exhibendum </w:t>
      </w:r>
      <w:r w:rsidR="00B64367">
        <w:rPr>
          <w:rFonts w:cs="Arial"/>
          <w:bCs/>
          <w:iCs/>
          <w:szCs w:val="24"/>
          <w:lang w:val="en-ZA"/>
        </w:rPr>
        <w:t>for the respondent to have averred that the actions of the Trust in disposing of the cattle w</w:t>
      </w:r>
      <w:r w:rsidR="000705AF">
        <w:rPr>
          <w:rFonts w:cs="Arial"/>
          <w:bCs/>
          <w:iCs/>
          <w:szCs w:val="24"/>
          <w:lang w:val="en-ZA"/>
        </w:rPr>
        <w:t>ere</w:t>
      </w:r>
      <w:r w:rsidR="00B64367">
        <w:rPr>
          <w:rFonts w:cs="Arial"/>
          <w:bCs/>
          <w:iCs/>
          <w:szCs w:val="24"/>
          <w:lang w:val="en-ZA"/>
        </w:rPr>
        <w:t xml:space="preserve"> </w:t>
      </w:r>
      <w:r w:rsidR="00B64367">
        <w:rPr>
          <w:rFonts w:cs="Arial"/>
          <w:bCs/>
          <w:i/>
          <w:szCs w:val="24"/>
          <w:lang w:val="en-ZA"/>
        </w:rPr>
        <w:t>mala fide.</w:t>
      </w:r>
    </w:p>
    <w:p w14:paraId="475B2FFB" w14:textId="77777777" w:rsidR="00EF7093" w:rsidRDefault="00EF7093" w:rsidP="00C0602F">
      <w:pPr>
        <w:spacing w:after="160"/>
        <w:ind w:left="0" w:firstLine="0"/>
        <w:contextualSpacing/>
        <w:rPr>
          <w:rFonts w:cs="Arial"/>
          <w:bCs/>
          <w:iCs/>
          <w:szCs w:val="24"/>
          <w:lang w:val="en-ZA"/>
        </w:rPr>
      </w:pPr>
    </w:p>
    <w:p w14:paraId="5262186B" w14:textId="009540B8" w:rsidR="00B64367" w:rsidRDefault="00B64367" w:rsidP="00C0602F">
      <w:pPr>
        <w:spacing w:after="160"/>
        <w:ind w:left="0" w:firstLine="0"/>
        <w:contextualSpacing/>
        <w:rPr>
          <w:rFonts w:cs="Arial"/>
          <w:bCs/>
          <w:iCs/>
          <w:szCs w:val="24"/>
          <w:lang w:val="en-ZA"/>
        </w:rPr>
      </w:pPr>
      <w:r>
        <w:rPr>
          <w:rFonts w:cs="Arial"/>
          <w:bCs/>
          <w:iCs/>
          <w:szCs w:val="24"/>
          <w:lang w:val="en-ZA"/>
        </w:rPr>
        <w:t>[28] It follows that there is no merit in th</w:t>
      </w:r>
      <w:r w:rsidR="00C90909">
        <w:rPr>
          <w:rFonts w:cs="Arial"/>
          <w:bCs/>
          <w:iCs/>
          <w:szCs w:val="24"/>
          <w:lang w:val="en-ZA"/>
        </w:rPr>
        <w:t>e exception to the alternative damages claim under the third claim in reconvention and that the exception falls to be dismissed.</w:t>
      </w:r>
    </w:p>
    <w:p w14:paraId="78E088D4" w14:textId="58EE1521" w:rsidR="00C90909" w:rsidRDefault="00C90909" w:rsidP="00C0602F">
      <w:pPr>
        <w:spacing w:after="160"/>
        <w:ind w:left="0" w:firstLine="0"/>
        <w:contextualSpacing/>
        <w:rPr>
          <w:rFonts w:cs="Arial"/>
          <w:bCs/>
          <w:iCs/>
          <w:szCs w:val="24"/>
          <w:lang w:val="en-ZA"/>
        </w:rPr>
      </w:pPr>
    </w:p>
    <w:p w14:paraId="40AD742C" w14:textId="0C4CD979" w:rsidR="00C90909" w:rsidRDefault="00C90909" w:rsidP="00C0602F">
      <w:pPr>
        <w:spacing w:after="160"/>
        <w:ind w:left="0" w:firstLine="0"/>
        <w:contextualSpacing/>
        <w:rPr>
          <w:rFonts w:cs="Arial"/>
          <w:bCs/>
          <w:iCs/>
          <w:szCs w:val="24"/>
          <w:lang w:val="en-ZA"/>
        </w:rPr>
      </w:pPr>
      <w:r>
        <w:rPr>
          <w:rFonts w:cs="Arial"/>
          <w:bCs/>
          <w:i/>
          <w:szCs w:val="24"/>
          <w:lang w:val="en-ZA"/>
        </w:rPr>
        <w:t>Costs</w:t>
      </w:r>
      <w:r w:rsidR="008E661A">
        <w:rPr>
          <w:rFonts w:cs="Arial"/>
          <w:bCs/>
          <w:i/>
          <w:szCs w:val="24"/>
          <w:lang w:val="en-ZA"/>
        </w:rPr>
        <w:t xml:space="preserve"> and relief</w:t>
      </w:r>
    </w:p>
    <w:p w14:paraId="35062327" w14:textId="477F5E38" w:rsidR="00C90909" w:rsidRDefault="00C90909" w:rsidP="00C0602F">
      <w:pPr>
        <w:spacing w:after="160"/>
        <w:ind w:left="0" w:firstLine="0"/>
        <w:contextualSpacing/>
        <w:rPr>
          <w:rFonts w:cs="Arial"/>
          <w:bCs/>
          <w:iCs/>
          <w:szCs w:val="24"/>
          <w:lang w:val="en-ZA"/>
        </w:rPr>
      </w:pPr>
    </w:p>
    <w:p w14:paraId="5CD62E58" w14:textId="180660A5" w:rsidR="008E661A" w:rsidRDefault="00C90909" w:rsidP="00C0602F">
      <w:pPr>
        <w:spacing w:after="160"/>
        <w:ind w:left="0" w:firstLine="0"/>
        <w:contextualSpacing/>
        <w:rPr>
          <w:rFonts w:cs="Arial"/>
          <w:bCs/>
          <w:iCs/>
          <w:szCs w:val="24"/>
          <w:lang w:val="en-ZA"/>
        </w:rPr>
      </w:pPr>
      <w:r>
        <w:rPr>
          <w:rFonts w:cs="Arial"/>
          <w:bCs/>
          <w:iCs/>
          <w:szCs w:val="24"/>
          <w:lang w:val="en-ZA"/>
        </w:rPr>
        <w:t xml:space="preserve">[29] </w:t>
      </w:r>
      <w:r w:rsidR="00605623">
        <w:rPr>
          <w:rFonts w:cs="Arial"/>
          <w:bCs/>
          <w:iCs/>
          <w:szCs w:val="24"/>
          <w:lang w:val="en-ZA"/>
        </w:rPr>
        <w:t>Mr Grundlingh submitted</w:t>
      </w:r>
      <w:r w:rsidR="008E661A">
        <w:rPr>
          <w:rFonts w:cs="Arial"/>
          <w:bCs/>
          <w:iCs/>
          <w:szCs w:val="24"/>
          <w:lang w:val="en-ZA"/>
        </w:rPr>
        <w:t xml:space="preserve"> </w:t>
      </w:r>
      <w:r w:rsidR="00605623">
        <w:rPr>
          <w:rFonts w:cs="Arial"/>
          <w:bCs/>
          <w:iCs/>
          <w:szCs w:val="24"/>
          <w:lang w:val="en-ZA"/>
        </w:rPr>
        <w:t>that</w:t>
      </w:r>
      <w:r w:rsidR="008E661A">
        <w:rPr>
          <w:rFonts w:cs="Arial"/>
          <w:bCs/>
          <w:iCs/>
          <w:szCs w:val="24"/>
          <w:lang w:val="en-ZA"/>
        </w:rPr>
        <w:t xml:space="preserve"> if the exceptions are upheld, the defects in the claim in reconvention are incapable of being cured and the claim should be dismissed out of hand. No useful purpose would be served by affording the respondent an opportunity to amend </w:t>
      </w:r>
      <w:r w:rsidR="008E661A">
        <w:rPr>
          <w:rFonts w:cs="Arial"/>
          <w:bCs/>
          <w:iCs/>
          <w:szCs w:val="24"/>
          <w:lang w:val="en-ZA"/>
        </w:rPr>
        <w:lastRenderedPageBreak/>
        <w:t xml:space="preserve">the claim in reconvention. </w:t>
      </w:r>
      <w:r w:rsidR="00123F84">
        <w:rPr>
          <w:rFonts w:cs="Arial"/>
          <w:bCs/>
          <w:iCs/>
          <w:szCs w:val="24"/>
          <w:lang w:val="en-ZA"/>
        </w:rPr>
        <w:t>In the event of</w:t>
      </w:r>
      <w:r w:rsidR="00605623">
        <w:rPr>
          <w:rFonts w:cs="Arial"/>
          <w:bCs/>
          <w:iCs/>
          <w:szCs w:val="24"/>
          <w:lang w:val="en-ZA"/>
        </w:rPr>
        <w:t xml:space="preserve"> the court find</w:t>
      </w:r>
      <w:r w:rsidR="00123F84">
        <w:rPr>
          <w:rFonts w:cs="Arial"/>
          <w:bCs/>
          <w:iCs/>
          <w:szCs w:val="24"/>
          <w:lang w:val="en-ZA"/>
        </w:rPr>
        <w:t>ing</w:t>
      </w:r>
      <w:r w:rsidR="00605623">
        <w:rPr>
          <w:rFonts w:cs="Arial"/>
          <w:bCs/>
          <w:iCs/>
          <w:szCs w:val="24"/>
          <w:lang w:val="en-ZA"/>
        </w:rPr>
        <w:t xml:space="preserve"> in the excipients’ favour in respect of some </w:t>
      </w:r>
      <w:r w:rsidR="008E661A">
        <w:rPr>
          <w:rFonts w:cs="Arial"/>
          <w:bCs/>
          <w:iCs/>
          <w:szCs w:val="24"/>
          <w:lang w:val="en-ZA"/>
        </w:rPr>
        <w:t xml:space="preserve">of the </w:t>
      </w:r>
      <w:r w:rsidR="00605623">
        <w:rPr>
          <w:rFonts w:cs="Arial"/>
          <w:bCs/>
          <w:iCs/>
          <w:szCs w:val="24"/>
          <w:lang w:val="en-ZA"/>
        </w:rPr>
        <w:t>exceptions</w:t>
      </w:r>
      <w:r w:rsidR="008E661A">
        <w:rPr>
          <w:rFonts w:cs="Arial"/>
          <w:bCs/>
          <w:iCs/>
          <w:szCs w:val="24"/>
          <w:lang w:val="en-ZA"/>
        </w:rPr>
        <w:t xml:space="preserve"> only</w:t>
      </w:r>
      <w:r w:rsidR="00123F84">
        <w:rPr>
          <w:rFonts w:cs="Arial"/>
          <w:bCs/>
          <w:iCs/>
          <w:szCs w:val="24"/>
          <w:lang w:val="en-ZA"/>
        </w:rPr>
        <w:t>,</w:t>
      </w:r>
      <w:r w:rsidR="00605623">
        <w:rPr>
          <w:rFonts w:cs="Arial"/>
          <w:bCs/>
          <w:iCs/>
          <w:szCs w:val="24"/>
          <w:lang w:val="en-ZA"/>
        </w:rPr>
        <w:t xml:space="preserve"> t</w:t>
      </w:r>
      <w:r w:rsidR="00123F84">
        <w:rPr>
          <w:rFonts w:cs="Arial"/>
          <w:bCs/>
          <w:iCs/>
          <w:szCs w:val="24"/>
          <w:lang w:val="en-ZA"/>
        </w:rPr>
        <w:t>his</w:t>
      </w:r>
      <w:r w:rsidR="00605623">
        <w:rPr>
          <w:rFonts w:cs="Arial"/>
          <w:bCs/>
          <w:iCs/>
          <w:szCs w:val="24"/>
          <w:lang w:val="en-ZA"/>
        </w:rPr>
        <w:t xml:space="preserve"> would</w:t>
      </w:r>
      <w:r w:rsidR="00123F84">
        <w:rPr>
          <w:rFonts w:cs="Arial"/>
          <w:bCs/>
          <w:iCs/>
          <w:szCs w:val="24"/>
          <w:lang w:val="en-ZA"/>
        </w:rPr>
        <w:t xml:space="preserve"> still</w:t>
      </w:r>
      <w:r w:rsidR="00605623">
        <w:rPr>
          <w:rFonts w:cs="Arial"/>
          <w:bCs/>
          <w:iCs/>
          <w:szCs w:val="24"/>
          <w:lang w:val="en-ZA"/>
        </w:rPr>
        <w:t xml:space="preserve"> amount to substantial success in which</w:t>
      </w:r>
      <w:r w:rsidR="008E661A">
        <w:rPr>
          <w:rFonts w:cs="Arial"/>
          <w:bCs/>
          <w:iCs/>
          <w:szCs w:val="24"/>
          <w:lang w:val="en-ZA"/>
        </w:rPr>
        <w:t xml:space="preserve"> event</w:t>
      </w:r>
      <w:r w:rsidR="00605623">
        <w:rPr>
          <w:rFonts w:cs="Arial"/>
          <w:bCs/>
          <w:iCs/>
          <w:szCs w:val="24"/>
          <w:lang w:val="en-ZA"/>
        </w:rPr>
        <w:t xml:space="preserve"> they should be awarded </w:t>
      </w:r>
      <w:r w:rsidR="008E661A">
        <w:rPr>
          <w:rFonts w:cs="Arial"/>
          <w:bCs/>
          <w:iCs/>
          <w:szCs w:val="24"/>
          <w:lang w:val="en-ZA"/>
        </w:rPr>
        <w:t xml:space="preserve">their </w:t>
      </w:r>
      <w:r w:rsidR="00605623">
        <w:rPr>
          <w:rFonts w:cs="Arial"/>
          <w:bCs/>
          <w:iCs/>
          <w:szCs w:val="24"/>
          <w:lang w:val="en-ZA"/>
        </w:rPr>
        <w:t>costs.</w:t>
      </w:r>
      <w:r w:rsidR="008E661A">
        <w:rPr>
          <w:rFonts w:cs="Arial"/>
          <w:bCs/>
          <w:iCs/>
          <w:szCs w:val="24"/>
          <w:lang w:val="en-ZA"/>
        </w:rPr>
        <w:t xml:space="preserve"> </w:t>
      </w:r>
      <w:r w:rsidR="005B7868">
        <w:rPr>
          <w:rFonts w:cs="Arial"/>
          <w:bCs/>
          <w:iCs/>
          <w:szCs w:val="24"/>
          <w:lang w:val="en-ZA"/>
        </w:rPr>
        <w:t>He submitted that i</w:t>
      </w:r>
      <w:r w:rsidR="008E661A">
        <w:rPr>
          <w:rFonts w:cs="Arial"/>
          <w:bCs/>
          <w:iCs/>
          <w:szCs w:val="24"/>
          <w:lang w:val="en-ZA"/>
        </w:rPr>
        <w:t>n view of the complexity of the matter, it was reasonable for the excipients to engage the services of two counsel and they are entitled to recover such costs.</w:t>
      </w:r>
      <w:r w:rsidR="00123F84">
        <w:rPr>
          <w:rFonts w:cs="Arial"/>
          <w:bCs/>
          <w:iCs/>
          <w:szCs w:val="24"/>
          <w:lang w:val="en-ZA"/>
        </w:rPr>
        <w:t xml:space="preserve"> He submitted that the court also has the option of referring the exceptions for adjudication by the trial court.</w:t>
      </w:r>
    </w:p>
    <w:p w14:paraId="47B64A0C" w14:textId="77777777" w:rsidR="00EF7093" w:rsidRDefault="00EF7093" w:rsidP="00C0602F">
      <w:pPr>
        <w:spacing w:after="160"/>
        <w:ind w:left="0" w:firstLine="0"/>
        <w:contextualSpacing/>
        <w:rPr>
          <w:rFonts w:cs="Arial"/>
          <w:bCs/>
          <w:iCs/>
          <w:szCs w:val="24"/>
          <w:lang w:val="en-ZA"/>
        </w:rPr>
      </w:pPr>
    </w:p>
    <w:p w14:paraId="08448564" w14:textId="4DD1AC0A" w:rsidR="00C55803" w:rsidRDefault="008E661A" w:rsidP="00C0602F">
      <w:pPr>
        <w:spacing w:after="160"/>
        <w:ind w:left="0" w:firstLine="0"/>
        <w:contextualSpacing/>
        <w:rPr>
          <w:rFonts w:cs="Arial"/>
          <w:bCs/>
          <w:iCs/>
          <w:szCs w:val="24"/>
          <w:lang w:val="en-ZA"/>
        </w:rPr>
      </w:pPr>
      <w:r>
        <w:rPr>
          <w:rFonts w:cs="Arial"/>
          <w:bCs/>
          <w:iCs/>
          <w:szCs w:val="24"/>
          <w:lang w:val="en-ZA"/>
        </w:rPr>
        <w:t>[30] Mr Nepgen submitted that in the event of the court finding for the excipients in respect of only some of the exceptions,</w:t>
      </w:r>
      <w:r w:rsidR="00C55803">
        <w:rPr>
          <w:rFonts w:cs="Arial"/>
          <w:bCs/>
          <w:iCs/>
          <w:szCs w:val="24"/>
          <w:lang w:val="en-ZA"/>
        </w:rPr>
        <w:t xml:space="preserve"> each party should be ordered to pay their own costs. In any event</w:t>
      </w:r>
      <w:r w:rsidR="005B7868">
        <w:rPr>
          <w:rFonts w:cs="Arial"/>
          <w:bCs/>
          <w:iCs/>
          <w:szCs w:val="24"/>
          <w:lang w:val="en-ZA"/>
        </w:rPr>
        <w:t>,</w:t>
      </w:r>
      <w:r w:rsidR="00C55803">
        <w:rPr>
          <w:rFonts w:cs="Arial"/>
          <w:bCs/>
          <w:iCs/>
          <w:szCs w:val="24"/>
          <w:lang w:val="en-ZA"/>
        </w:rPr>
        <w:t xml:space="preserve"> </w:t>
      </w:r>
      <w:r w:rsidR="00123F84">
        <w:rPr>
          <w:rFonts w:cs="Arial"/>
          <w:bCs/>
          <w:iCs/>
          <w:szCs w:val="24"/>
          <w:lang w:val="en-ZA"/>
        </w:rPr>
        <w:t xml:space="preserve">the </w:t>
      </w:r>
      <w:r w:rsidR="00C55803">
        <w:rPr>
          <w:rFonts w:cs="Arial"/>
          <w:bCs/>
          <w:iCs/>
          <w:szCs w:val="24"/>
          <w:lang w:val="en-ZA"/>
        </w:rPr>
        <w:t>excipients are not entitled to the costs of two counsel which is not justified in the circumstances of the present matter. Both the particulars of claim as well as the notice of exception were prepared and signed under the name of an attorney.</w:t>
      </w:r>
      <w:r w:rsidR="005B7868">
        <w:rPr>
          <w:rFonts w:cs="Arial"/>
          <w:bCs/>
          <w:iCs/>
          <w:szCs w:val="24"/>
          <w:lang w:val="en-ZA"/>
        </w:rPr>
        <w:t xml:space="preserve"> Counsel was only engaged by the excipients to argue the exception.</w:t>
      </w:r>
      <w:r w:rsidR="00C55803">
        <w:rPr>
          <w:rFonts w:cs="Arial"/>
          <w:bCs/>
          <w:iCs/>
          <w:szCs w:val="24"/>
          <w:lang w:val="en-ZA"/>
        </w:rPr>
        <w:t xml:space="preserve"> </w:t>
      </w:r>
      <w:r w:rsidR="005B7868">
        <w:rPr>
          <w:rFonts w:cs="Arial"/>
          <w:bCs/>
          <w:iCs/>
          <w:szCs w:val="24"/>
          <w:lang w:val="en-ZA"/>
        </w:rPr>
        <w:t>Furthermore, t</w:t>
      </w:r>
      <w:r w:rsidR="00C55803">
        <w:rPr>
          <w:rFonts w:cs="Arial"/>
          <w:bCs/>
          <w:iCs/>
          <w:szCs w:val="24"/>
          <w:lang w:val="en-ZA"/>
        </w:rPr>
        <w:t>he respondent has only engaged the services of one counsel.</w:t>
      </w:r>
      <w:r w:rsidR="00123F84">
        <w:rPr>
          <w:rFonts w:cs="Arial"/>
          <w:bCs/>
          <w:iCs/>
          <w:szCs w:val="24"/>
          <w:lang w:val="en-ZA"/>
        </w:rPr>
        <w:t xml:space="preserve"> Mr Nepgen submitted that it would not be appropriate to refer the exceptions to the trial court</w:t>
      </w:r>
      <w:r w:rsidR="001E4E07">
        <w:rPr>
          <w:rFonts w:cs="Arial"/>
          <w:bCs/>
          <w:iCs/>
          <w:szCs w:val="24"/>
          <w:lang w:val="en-ZA"/>
        </w:rPr>
        <w:t>. I agree with this submission. In my view it would be in the best interests of both parties for the exceptions to be disposed of. The matter has been fully argued and is ripe for a decision.</w:t>
      </w:r>
      <w:r w:rsidR="00DD7345">
        <w:rPr>
          <w:rFonts w:cs="Arial"/>
          <w:bCs/>
          <w:iCs/>
          <w:szCs w:val="24"/>
          <w:lang w:val="en-ZA"/>
        </w:rPr>
        <w:t xml:space="preserve">  For the sake of completeness, it should be pointed out that I am in agreement with the submission of Mr Nepgen that the employment of two counsel was not justified in this matter.</w:t>
      </w:r>
    </w:p>
    <w:p w14:paraId="020B89E6" w14:textId="77777777" w:rsidR="00EF7093" w:rsidRDefault="00EF7093" w:rsidP="00C0602F">
      <w:pPr>
        <w:spacing w:after="160"/>
        <w:ind w:left="0" w:firstLine="0"/>
        <w:contextualSpacing/>
        <w:rPr>
          <w:rFonts w:cs="Arial"/>
          <w:bCs/>
          <w:iCs/>
          <w:szCs w:val="24"/>
          <w:lang w:val="en-ZA"/>
        </w:rPr>
      </w:pPr>
    </w:p>
    <w:p w14:paraId="3C6DFAED" w14:textId="77777777" w:rsidR="00C55803" w:rsidRDefault="00C55803" w:rsidP="00C0602F">
      <w:pPr>
        <w:spacing w:after="160"/>
        <w:ind w:left="0" w:firstLine="0"/>
        <w:contextualSpacing/>
        <w:rPr>
          <w:rFonts w:cs="Arial"/>
          <w:bCs/>
          <w:iCs/>
          <w:szCs w:val="24"/>
          <w:lang w:val="en-ZA"/>
        </w:rPr>
      </w:pPr>
      <w:r>
        <w:rPr>
          <w:rFonts w:cs="Arial"/>
          <w:bCs/>
          <w:iCs/>
          <w:szCs w:val="24"/>
          <w:lang w:val="en-ZA"/>
        </w:rPr>
        <w:t>[31] In light of the mixed success of the parties I am of the view that it would be just and fair for each party to pay their own costs.</w:t>
      </w:r>
    </w:p>
    <w:p w14:paraId="5048A0B7" w14:textId="77777777" w:rsidR="00C55803" w:rsidRDefault="00C55803" w:rsidP="00C0602F">
      <w:pPr>
        <w:spacing w:after="160"/>
        <w:ind w:left="0" w:firstLine="0"/>
        <w:contextualSpacing/>
        <w:rPr>
          <w:rFonts w:cs="Arial"/>
          <w:bCs/>
          <w:iCs/>
          <w:szCs w:val="24"/>
          <w:lang w:val="en-ZA"/>
        </w:rPr>
      </w:pPr>
    </w:p>
    <w:p w14:paraId="220DC258" w14:textId="77777777" w:rsidR="00C55803" w:rsidRDefault="00C55803" w:rsidP="00C0602F">
      <w:pPr>
        <w:spacing w:after="160"/>
        <w:ind w:left="0" w:firstLine="0"/>
        <w:contextualSpacing/>
        <w:rPr>
          <w:rFonts w:cs="Arial"/>
          <w:bCs/>
          <w:i/>
          <w:szCs w:val="24"/>
          <w:lang w:val="en-ZA"/>
        </w:rPr>
      </w:pPr>
      <w:r>
        <w:rPr>
          <w:rFonts w:cs="Arial"/>
          <w:bCs/>
          <w:i/>
          <w:szCs w:val="24"/>
          <w:lang w:val="en-ZA"/>
        </w:rPr>
        <w:t>Conclusion</w:t>
      </w:r>
    </w:p>
    <w:p w14:paraId="71EAA5CB" w14:textId="77777777" w:rsidR="00C55803" w:rsidRDefault="00C55803" w:rsidP="00C0602F">
      <w:pPr>
        <w:spacing w:after="160"/>
        <w:ind w:left="0" w:firstLine="0"/>
        <w:contextualSpacing/>
        <w:rPr>
          <w:rFonts w:cs="Arial"/>
          <w:bCs/>
          <w:i/>
          <w:szCs w:val="24"/>
          <w:lang w:val="en-ZA"/>
        </w:rPr>
      </w:pPr>
    </w:p>
    <w:p w14:paraId="0B26CF29" w14:textId="61503888" w:rsidR="00C55803" w:rsidRDefault="00C55803" w:rsidP="00C0602F">
      <w:pPr>
        <w:spacing w:after="160"/>
        <w:ind w:left="0" w:firstLine="0"/>
        <w:contextualSpacing/>
        <w:rPr>
          <w:rFonts w:cs="Arial"/>
          <w:bCs/>
          <w:iCs/>
          <w:szCs w:val="24"/>
          <w:lang w:val="en-ZA"/>
        </w:rPr>
      </w:pPr>
      <w:r>
        <w:rPr>
          <w:rFonts w:cs="Arial"/>
          <w:bCs/>
          <w:iCs/>
          <w:szCs w:val="24"/>
          <w:lang w:val="en-ZA"/>
        </w:rPr>
        <w:t>[32] In the result I make the following order:</w:t>
      </w:r>
    </w:p>
    <w:p w14:paraId="5D95AD2C" w14:textId="77777777" w:rsidR="00EF7093" w:rsidRDefault="00EF7093" w:rsidP="00C0602F">
      <w:pPr>
        <w:spacing w:after="160"/>
        <w:ind w:left="0" w:firstLine="0"/>
        <w:contextualSpacing/>
        <w:rPr>
          <w:rFonts w:cs="Arial"/>
          <w:bCs/>
          <w:iCs/>
          <w:szCs w:val="24"/>
          <w:lang w:val="en-ZA"/>
        </w:rPr>
      </w:pPr>
    </w:p>
    <w:p w14:paraId="76222E7D" w14:textId="6982BBD6" w:rsidR="00C55803" w:rsidRPr="00DD7345" w:rsidRDefault="00C55803" w:rsidP="00DD7345">
      <w:pPr>
        <w:pStyle w:val="ListParagraph"/>
        <w:numPr>
          <w:ilvl w:val="0"/>
          <w:numId w:val="35"/>
        </w:numPr>
        <w:spacing w:after="160"/>
        <w:rPr>
          <w:rFonts w:cs="Arial"/>
          <w:bCs/>
          <w:szCs w:val="24"/>
          <w:lang w:val="en-ZA"/>
        </w:rPr>
      </w:pPr>
      <w:r w:rsidRPr="00DD7345">
        <w:rPr>
          <w:rFonts w:cs="Arial"/>
          <w:bCs/>
          <w:iCs/>
          <w:szCs w:val="24"/>
          <w:lang w:val="en-ZA"/>
        </w:rPr>
        <w:t xml:space="preserve">the exception to the respondent’s third claim in reconvention premised upon the </w:t>
      </w:r>
      <w:r w:rsidRPr="00DD7345">
        <w:rPr>
          <w:rFonts w:cs="Arial"/>
          <w:bCs/>
          <w:i/>
          <w:szCs w:val="24"/>
          <w:lang w:val="en-ZA"/>
        </w:rPr>
        <w:t>rei vindicatio</w:t>
      </w:r>
      <w:r w:rsidRPr="00DD7345">
        <w:rPr>
          <w:rFonts w:cs="Arial"/>
          <w:bCs/>
          <w:szCs w:val="24"/>
          <w:lang w:val="en-ZA"/>
        </w:rPr>
        <w:t xml:space="preserve"> is upheld;</w:t>
      </w:r>
    </w:p>
    <w:p w14:paraId="0F474FCE" w14:textId="77777777" w:rsidR="00DD7345" w:rsidRPr="00DD7345" w:rsidRDefault="00DD7345" w:rsidP="00DD7345">
      <w:pPr>
        <w:pStyle w:val="ListParagraph"/>
        <w:spacing w:after="160"/>
        <w:ind w:left="1095" w:firstLine="0"/>
        <w:rPr>
          <w:rFonts w:cs="Arial"/>
          <w:bCs/>
          <w:szCs w:val="24"/>
          <w:lang w:val="en-ZA"/>
        </w:rPr>
      </w:pPr>
    </w:p>
    <w:p w14:paraId="5EFE694B" w14:textId="31ADC57E" w:rsidR="00C55803" w:rsidRPr="00DD7345" w:rsidRDefault="00C55803" w:rsidP="00DD7345">
      <w:pPr>
        <w:pStyle w:val="ListParagraph"/>
        <w:numPr>
          <w:ilvl w:val="0"/>
          <w:numId w:val="35"/>
        </w:numPr>
        <w:spacing w:after="160"/>
        <w:rPr>
          <w:rFonts w:cs="Arial"/>
          <w:bCs/>
          <w:szCs w:val="24"/>
          <w:lang w:val="en-ZA"/>
        </w:rPr>
      </w:pPr>
      <w:r w:rsidRPr="00DD7345">
        <w:rPr>
          <w:rFonts w:cs="Arial"/>
          <w:bCs/>
          <w:szCs w:val="24"/>
          <w:lang w:val="en-ZA"/>
        </w:rPr>
        <w:lastRenderedPageBreak/>
        <w:t>the respondent is granted leave to amend the abovesaid third claim in reconvention within 30 days of the date of this order;</w:t>
      </w:r>
    </w:p>
    <w:p w14:paraId="50FEC67B" w14:textId="77777777" w:rsidR="00DD7345" w:rsidRPr="00DD7345" w:rsidRDefault="00DD7345" w:rsidP="00DD7345">
      <w:pPr>
        <w:pStyle w:val="ListParagraph"/>
        <w:rPr>
          <w:rFonts w:cs="Arial"/>
          <w:bCs/>
          <w:szCs w:val="24"/>
          <w:lang w:val="en-ZA"/>
        </w:rPr>
      </w:pPr>
    </w:p>
    <w:p w14:paraId="7683800D" w14:textId="64D39C20" w:rsidR="00C55803" w:rsidRPr="00DD7345" w:rsidRDefault="00C55803" w:rsidP="00DD7345">
      <w:pPr>
        <w:pStyle w:val="ListParagraph"/>
        <w:numPr>
          <w:ilvl w:val="0"/>
          <w:numId w:val="35"/>
        </w:numPr>
        <w:spacing w:after="160"/>
        <w:rPr>
          <w:rFonts w:cs="Arial"/>
          <w:bCs/>
          <w:szCs w:val="24"/>
          <w:lang w:val="en-ZA"/>
        </w:rPr>
      </w:pPr>
      <w:r w:rsidRPr="00DD7345">
        <w:rPr>
          <w:rFonts w:cs="Arial"/>
          <w:bCs/>
          <w:szCs w:val="24"/>
          <w:lang w:val="en-ZA"/>
        </w:rPr>
        <w:t>save as aforesaid, the exception is dismissed;</w:t>
      </w:r>
    </w:p>
    <w:p w14:paraId="691E7CA1" w14:textId="77777777" w:rsidR="00DD7345" w:rsidRPr="00DD7345" w:rsidRDefault="00DD7345" w:rsidP="00DD7345">
      <w:pPr>
        <w:pStyle w:val="ListParagraph"/>
        <w:rPr>
          <w:rFonts w:cs="Arial"/>
          <w:bCs/>
          <w:szCs w:val="24"/>
          <w:lang w:val="en-ZA"/>
        </w:rPr>
      </w:pPr>
    </w:p>
    <w:p w14:paraId="7C4E5605" w14:textId="5F57DB35" w:rsidR="00C90909" w:rsidRPr="00C90909" w:rsidRDefault="00C55803" w:rsidP="00C55803">
      <w:pPr>
        <w:spacing w:after="160"/>
        <w:ind w:left="720" w:firstLine="0"/>
        <w:contextualSpacing/>
        <w:rPr>
          <w:rFonts w:cs="Arial"/>
          <w:bCs/>
          <w:iCs/>
          <w:szCs w:val="24"/>
          <w:lang w:val="en-ZA"/>
        </w:rPr>
      </w:pPr>
      <w:r>
        <w:rPr>
          <w:rFonts w:cs="Arial"/>
          <w:bCs/>
          <w:szCs w:val="24"/>
          <w:lang w:val="en-ZA"/>
        </w:rPr>
        <w:t>(d) each party shall pay their own costs.</w:t>
      </w:r>
      <w:r w:rsidR="00605623">
        <w:rPr>
          <w:rFonts w:cs="Arial"/>
          <w:bCs/>
          <w:iCs/>
          <w:szCs w:val="24"/>
          <w:lang w:val="en-ZA"/>
        </w:rPr>
        <w:t xml:space="preserve"> </w:t>
      </w:r>
    </w:p>
    <w:p w14:paraId="31FBFE58" w14:textId="4FC81401" w:rsidR="00842F0A" w:rsidRPr="00E635AB" w:rsidRDefault="00E635AB" w:rsidP="00E635AB">
      <w:pPr>
        <w:spacing w:after="160"/>
        <w:ind w:firstLine="0"/>
        <w:contextualSpacing/>
        <w:rPr>
          <w:rFonts w:cs="Arial"/>
          <w:bCs/>
          <w:i/>
          <w:szCs w:val="24"/>
          <w:lang w:val="en-ZA"/>
        </w:rPr>
      </w:pPr>
      <w:r>
        <w:rPr>
          <w:rFonts w:cs="Arial"/>
          <w:bCs/>
          <w:i/>
          <w:iCs/>
          <w:szCs w:val="24"/>
          <w:lang w:val="en-ZA"/>
        </w:rPr>
        <w:t xml:space="preserve"> </w:t>
      </w:r>
    </w:p>
    <w:p w14:paraId="1D9B6EC6" w14:textId="1BFF0FC4" w:rsidR="00D80AE1" w:rsidRDefault="00D80AE1" w:rsidP="00D80AE1">
      <w:pPr>
        <w:spacing w:after="160"/>
        <w:ind w:left="0" w:firstLine="0"/>
        <w:contextualSpacing/>
        <w:rPr>
          <w:rFonts w:cs="Arial"/>
          <w:szCs w:val="24"/>
          <w:lang w:val="en-ZA"/>
        </w:rPr>
      </w:pPr>
    </w:p>
    <w:p w14:paraId="230C8934" w14:textId="77777777" w:rsidR="00EF7093" w:rsidRDefault="00EF7093" w:rsidP="00D80AE1">
      <w:pPr>
        <w:spacing w:after="160"/>
        <w:ind w:left="0" w:firstLine="0"/>
        <w:contextualSpacing/>
        <w:rPr>
          <w:rFonts w:cs="Arial"/>
          <w:szCs w:val="24"/>
          <w:lang w:val="en-ZA"/>
        </w:rPr>
      </w:pPr>
    </w:p>
    <w:p w14:paraId="6EF5533B" w14:textId="77777777" w:rsidR="00D80AE1" w:rsidRDefault="00D80AE1" w:rsidP="00D80AE1">
      <w:pPr>
        <w:spacing w:after="160"/>
        <w:ind w:left="0" w:firstLine="0"/>
        <w:contextualSpacing/>
        <w:rPr>
          <w:rFonts w:cs="Arial"/>
          <w:szCs w:val="24"/>
          <w:lang w:val="en-ZA"/>
        </w:rPr>
      </w:pPr>
    </w:p>
    <w:p w14:paraId="5486EC34" w14:textId="77777777" w:rsidR="00D80AE1" w:rsidRPr="0034599E" w:rsidRDefault="00D80AE1" w:rsidP="00D80AE1">
      <w:pPr>
        <w:spacing w:line="480" w:lineRule="auto"/>
        <w:rPr>
          <w:rFonts w:cs="Arial"/>
          <w:b/>
          <w:szCs w:val="24"/>
        </w:rPr>
      </w:pPr>
      <w:r w:rsidRPr="0034599E">
        <w:rPr>
          <w:rFonts w:cs="Arial"/>
          <w:b/>
          <w:szCs w:val="24"/>
        </w:rPr>
        <w:t>______________________</w:t>
      </w:r>
    </w:p>
    <w:p w14:paraId="572064C6" w14:textId="77777777" w:rsidR="00D80AE1" w:rsidRPr="0034599E" w:rsidRDefault="00D80AE1" w:rsidP="00D80AE1">
      <w:pPr>
        <w:spacing w:line="480" w:lineRule="auto"/>
        <w:rPr>
          <w:rFonts w:cs="Arial"/>
          <w:b/>
          <w:szCs w:val="24"/>
        </w:rPr>
      </w:pPr>
      <w:r>
        <w:rPr>
          <w:rFonts w:cs="Arial"/>
          <w:b/>
          <w:szCs w:val="24"/>
        </w:rPr>
        <w:t>D.O. POTGIETER</w:t>
      </w:r>
    </w:p>
    <w:p w14:paraId="10C6F0A0" w14:textId="77777777" w:rsidR="00D80AE1" w:rsidRPr="0034599E" w:rsidRDefault="00D80AE1" w:rsidP="00D80AE1">
      <w:pPr>
        <w:spacing w:line="480" w:lineRule="auto"/>
        <w:rPr>
          <w:rFonts w:cs="Arial"/>
          <w:b/>
          <w:szCs w:val="24"/>
        </w:rPr>
      </w:pPr>
      <w:r w:rsidRPr="0034599E">
        <w:rPr>
          <w:rFonts w:cs="Arial"/>
          <w:b/>
          <w:szCs w:val="24"/>
        </w:rPr>
        <w:t>JUDGE OF THE HIGH COURT</w:t>
      </w:r>
    </w:p>
    <w:p w14:paraId="3B09E4CB" w14:textId="77777777" w:rsidR="00D80AE1" w:rsidRPr="00D80AE1" w:rsidRDefault="00D80AE1" w:rsidP="00D80AE1">
      <w:pPr>
        <w:spacing w:after="160"/>
        <w:ind w:left="0" w:firstLine="0"/>
        <w:contextualSpacing/>
        <w:rPr>
          <w:rFonts w:cs="Arial"/>
          <w:szCs w:val="24"/>
          <w:lang w:val="en-ZA"/>
        </w:rPr>
      </w:pPr>
    </w:p>
    <w:p w14:paraId="059B2235" w14:textId="77777777" w:rsidR="0034599E" w:rsidRDefault="0034599E" w:rsidP="00D80AE1">
      <w:pPr>
        <w:rPr>
          <w:rFonts w:cs="Arial"/>
          <w:szCs w:val="24"/>
        </w:rPr>
      </w:pPr>
    </w:p>
    <w:p w14:paraId="2B7BF24B" w14:textId="77777777" w:rsidR="00D80AE1" w:rsidRDefault="00D80AE1" w:rsidP="00D80AE1">
      <w:pPr>
        <w:rPr>
          <w:rFonts w:cs="Arial"/>
          <w:szCs w:val="24"/>
        </w:rPr>
      </w:pPr>
    </w:p>
    <w:p w14:paraId="23404B98" w14:textId="77777777" w:rsidR="00D04FE6" w:rsidRPr="00D04FE6" w:rsidRDefault="00D04FE6" w:rsidP="00D80AE1">
      <w:pPr>
        <w:ind w:left="0" w:firstLine="0"/>
        <w:rPr>
          <w:rFonts w:cs="Arial"/>
          <w:b/>
          <w:bCs/>
          <w:szCs w:val="24"/>
          <w:lang w:val="en-ZA"/>
        </w:rPr>
      </w:pPr>
      <w:r w:rsidRPr="00D04FE6">
        <w:rPr>
          <w:rFonts w:cs="Arial"/>
          <w:b/>
          <w:bCs/>
          <w:szCs w:val="24"/>
          <w:lang w:val="en-ZA"/>
        </w:rPr>
        <w:t>APPEARANCE</w:t>
      </w:r>
    </w:p>
    <w:p w14:paraId="74A0DB1C" w14:textId="77777777" w:rsidR="00D04FE6" w:rsidRPr="00D04FE6" w:rsidRDefault="00D04FE6" w:rsidP="00D80AE1">
      <w:pPr>
        <w:ind w:left="0" w:firstLine="0"/>
        <w:rPr>
          <w:rFonts w:cs="Arial"/>
          <w:b/>
          <w:bCs/>
          <w:szCs w:val="24"/>
          <w:lang w:val="en-ZA"/>
        </w:rPr>
      </w:pPr>
    </w:p>
    <w:p w14:paraId="5A02B9A8" w14:textId="65577330" w:rsidR="00D04FE6" w:rsidRDefault="00D04FE6" w:rsidP="00D80AE1">
      <w:pPr>
        <w:ind w:left="3600" w:hanging="3600"/>
        <w:rPr>
          <w:rFonts w:cs="Arial"/>
          <w:bCs/>
          <w:szCs w:val="24"/>
          <w:lang w:val="en-ZA"/>
        </w:rPr>
      </w:pPr>
      <w:r w:rsidRPr="00D04FE6">
        <w:rPr>
          <w:rFonts w:cs="Arial"/>
          <w:bCs/>
          <w:szCs w:val="24"/>
          <w:lang w:val="en-ZA"/>
        </w:rPr>
        <w:t xml:space="preserve">Counsel for the </w:t>
      </w:r>
      <w:r w:rsidR="00D80AE1">
        <w:rPr>
          <w:rFonts w:cs="Arial"/>
          <w:bCs/>
          <w:szCs w:val="24"/>
          <w:lang w:val="en-ZA"/>
        </w:rPr>
        <w:t>p</w:t>
      </w:r>
      <w:r w:rsidR="0034599E">
        <w:rPr>
          <w:rFonts w:cs="Arial"/>
          <w:bCs/>
          <w:szCs w:val="24"/>
          <w:lang w:val="en-ZA"/>
        </w:rPr>
        <w:t>laintiff</w:t>
      </w:r>
      <w:r w:rsidR="00EF7093">
        <w:rPr>
          <w:rFonts w:cs="Arial"/>
          <w:bCs/>
          <w:szCs w:val="24"/>
          <w:lang w:val="en-ZA"/>
        </w:rPr>
        <w:t>s/excipients</w:t>
      </w:r>
      <w:r w:rsidRPr="00D04FE6">
        <w:rPr>
          <w:rFonts w:cs="Arial"/>
          <w:bCs/>
          <w:szCs w:val="24"/>
          <w:lang w:val="en-ZA"/>
        </w:rPr>
        <w:t>:</w:t>
      </w:r>
      <w:r w:rsidRPr="00D04FE6">
        <w:rPr>
          <w:rFonts w:cs="Arial"/>
          <w:bCs/>
          <w:szCs w:val="24"/>
          <w:lang w:val="en-ZA"/>
        </w:rPr>
        <w:tab/>
        <w:t xml:space="preserve">Adv </w:t>
      </w:r>
      <w:r w:rsidR="00EF7093">
        <w:rPr>
          <w:rFonts w:cs="Arial"/>
          <w:bCs/>
          <w:szCs w:val="24"/>
          <w:lang w:val="en-ZA"/>
        </w:rPr>
        <w:t>R Grundling and Adv ASL van Wyk</w:t>
      </w:r>
      <w:r w:rsidRPr="00D04FE6">
        <w:rPr>
          <w:rFonts w:cs="Arial"/>
          <w:bCs/>
          <w:szCs w:val="24"/>
          <w:lang w:val="en-ZA"/>
        </w:rPr>
        <w:t xml:space="preserve">, instructed by </w:t>
      </w:r>
      <w:r w:rsidR="007B2DB2">
        <w:rPr>
          <w:rFonts w:cs="Arial"/>
          <w:bCs/>
          <w:szCs w:val="24"/>
          <w:lang w:val="en-ZA"/>
        </w:rPr>
        <w:t xml:space="preserve">Hefferman Attorneys, c/o </w:t>
      </w:r>
      <w:r w:rsidR="00263181">
        <w:rPr>
          <w:rFonts w:cs="Arial"/>
          <w:bCs/>
          <w:szCs w:val="24"/>
          <w:lang w:val="en-ZA"/>
        </w:rPr>
        <w:t>Dold &amp; Stone, 10 African Street, Makhanda</w:t>
      </w:r>
    </w:p>
    <w:p w14:paraId="35993EDE" w14:textId="77777777" w:rsidR="0034599E" w:rsidRPr="00D04FE6" w:rsidRDefault="0034599E" w:rsidP="00D80AE1">
      <w:pPr>
        <w:ind w:left="3600" w:hanging="3600"/>
        <w:rPr>
          <w:rFonts w:cs="Arial"/>
          <w:bCs/>
          <w:szCs w:val="24"/>
          <w:lang w:val="en-ZA"/>
        </w:rPr>
      </w:pPr>
    </w:p>
    <w:p w14:paraId="530DA682" w14:textId="77777777" w:rsidR="00D04FE6" w:rsidRPr="00D04FE6" w:rsidRDefault="00D04FE6" w:rsidP="00D80AE1">
      <w:pPr>
        <w:ind w:left="3600" w:hanging="3600"/>
        <w:rPr>
          <w:rFonts w:cs="Arial"/>
          <w:bCs/>
          <w:szCs w:val="24"/>
          <w:lang w:val="en-ZA"/>
        </w:rPr>
      </w:pPr>
    </w:p>
    <w:p w14:paraId="4DB9BD97" w14:textId="1B181F20" w:rsidR="00D04FE6" w:rsidRPr="00D04FE6" w:rsidRDefault="00D04FE6" w:rsidP="00D80AE1">
      <w:pPr>
        <w:ind w:left="3600" w:hanging="3600"/>
        <w:rPr>
          <w:rFonts w:cs="Arial"/>
          <w:bCs/>
          <w:szCs w:val="24"/>
          <w:lang w:val="en-ZA"/>
        </w:rPr>
      </w:pPr>
      <w:r w:rsidRPr="00D04FE6">
        <w:rPr>
          <w:rFonts w:cs="Arial"/>
          <w:bCs/>
          <w:szCs w:val="24"/>
          <w:lang w:val="en-ZA"/>
        </w:rPr>
        <w:t xml:space="preserve">For the </w:t>
      </w:r>
      <w:r w:rsidR="00EF7093">
        <w:rPr>
          <w:rFonts w:cs="Arial"/>
          <w:bCs/>
          <w:szCs w:val="24"/>
          <w:lang w:val="en-ZA"/>
        </w:rPr>
        <w:t>first d</w:t>
      </w:r>
      <w:r w:rsidR="0034599E">
        <w:rPr>
          <w:rFonts w:cs="Arial"/>
          <w:bCs/>
          <w:szCs w:val="24"/>
          <w:lang w:val="en-ZA"/>
        </w:rPr>
        <w:t>efendant</w:t>
      </w:r>
      <w:r w:rsidRPr="00D04FE6">
        <w:rPr>
          <w:rFonts w:cs="Arial"/>
          <w:bCs/>
          <w:szCs w:val="24"/>
          <w:lang w:val="en-ZA"/>
        </w:rPr>
        <w:t>:</w:t>
      </w:r>
      <w:r w:rsidRPr="00D04FE6">
        <w:rPr>
          <w:rFonts w:cs="Arial"/>
          <w:bCs/>
          <w:szCs w:val="24"/>
          <w:lang w:val="en-ZA"/>
        </w:rPr>
        <w:tab/>
        <w:t xml:space="preserve">Adv </w:t>
      </w:r>
      <w:r w:rsidR="00EF7093">
        <w:rPr>
          <w:rFonts w:cs="Arial"/>
          <w:bCs/>
          <w:szCs w:val="24"/>
          <w:lang w:val="en-ZA"/>
        </w:rPr>
        <w:t>JJ Nepgen</w:t>
      </w:r>
      <w:r w:rsidRPr="00D04FE6">
        <w:rPr>
          <w:rFonts w:cs="Arial"/>
          <w:bCs/>
          <w:szCs w:val="24"/>
          <w:lang w:val="en-ZA"/>
        </w:rPr>
        <w:t xml:space="preserve">, instructed by </w:t>
      </w:r>
      <w:r w:rsidR="00EF7093">
        <w:rPr>
          <w:rFonts w:cs="Arial"/>
          <w:bCs/>
          <w:szCs w:val="24"/>
          <w:lang w:val="en-ZA"/>
        </w:rPr>
        <w:t>Goldberg &amp; de Villiers Inc, c/o Netteltons, 118A High Street, Makhanda</w:t>
      </w:r>
    </w:p>
    <w:p w14:paraId="69AB2710" w14:textId="77777777" w:rsidR="00D04FE6" w:rsidRPr="00D04FE6" w:rsidRDefault="00D04FE6" w:rsidP="00D80AE1">
      <w:pPr>
        <w:ind w:left="3600" w:hanging="3600"/>
        <w:rPr>
          <w:rFonts w:cs="Arial"/>
          <w:bCs/>
          <w:szCs w:val="24"/>
          <w:lang w:val="en-ZA"/>
        </w:rPr>
      </w:pPr>
    </w:p>
    <w:p w14:paraId="66068F84" w14:textId="77777777" w:rsidR="00D04FE6" w:rsidRPr="00D04FE6" w:rsidRDefault="00D04FE6" w:rsidP="00D80AE1">
      <w:pPr>
        <w:ind w:left="3600" w:hanging="3600"/>
        <w:rPr>
          <w:rFonts w:cs="Arial"/>
          <w:bCs/>
          <w:szCs w:val="24"/>
          <w:lang w:val="en-ZA"/>
        </w:rPr>
      </w:pPr>
    </w:p>
    <w:p w14:paraId="24BC9AB7" w14:textId="05AA8534" w:rsidR="00D04FE6" w:rsidRPr="00D04FE6" w:rsidRDefault="00D04FE6" w:rsidP="00D80AE1">
      <w:pPr>
        <w:ind w:left="3600" w:hanging="3600"/>
        <w:rPr>
          <w:rFonts w:cs="Arial"/>
          <w:bCs/>
          <w:szCs w:val="24"/>
          <w:lang w:val="en-ZA"/>
        </w:rPr>
      </w:pPr>
      <w:r w:rsidRPr="00D04FE6">
        <w:rPr>
          <w:rFonts w:cs="Arial"/>
          <w:bCs/>
          <w:szCs w:val="24"/>
          <w:lang w:val="en-ZA"/>
        </w:rPr>
        <w:t>Date of hearing:</w:t>
      </w:r>
      <w:r w:rsidRPr="00D04FE6">
        <w:rPr>
          <w:rFonts w:cs="Arial"/>
          <w:bCs/>
          <w:szCs w:val="24"/>
          <w:lang w:val="en-ZA"/>
        </w:rPr>
        <w:tab/>
      </w:r>
      <w:r w:rsidR="00263181">
        <w:rPr>
          <w:rFonts w:cs="Arial"/>
          <w:bCs/>
          <w:szCs w:val="24"/>
          <w:lang w:val="en-ZA"/>
        </w:rPr>
        <w:t>23 February 2023</w:t>
      </w:r>
    </w:p>
    <w:p w14:paraId="72881733" w14:textId="77777777" w:rsidR="00D04FE6" w:rsidRPr="00D04FE6" w:rsidRDefault="00D04FE6" w:rsidP="00D80AE1">
      <w:pPr>
        <w:ind w:left="3600" w:hanging="3600"/>
        <w:rPr>
          <w:rFonts w:cs="Arial"/>
          <w:bCs/>
          <w:szCs w:val="24"/>
          <w:lang w:val="en-ZA"/>
        </w:rPr>
      </w:pPr>
    </w:p>
    <w:p w14:paraId="69EEEC9F" w14:textId="13FBB6A1" w:rsidR="00062FA9" w:rsidRPr="00D04FE6" w:rsidRDefault="00D04FE6" w:rsidP="00D80AE1">
      <w:pPr>
        <w:ind w:left="3600" w:hanging="3600"/>
        <w:rPr>
          <w:rFonts w:cs="Arial"/>
          <w:b/>
          <w:sz w:val="28"/>
          <w:szCs w:val="28"/>
        </w:rPr>
      </w:pPr>
      <w:r w:rsidRPr="00D04FE6">
        <w:rPr>
          <w:rFonts w:cs="Arial"/>
          <w:bCs/>
          <w:szCs w:val="24"/>
          <w:lang w:val="en-ZA"/>
        </w:rPr>
        <w:t>Date of delivery of judgment:</w:t>
      </w:r>
      <w:r w:rsidRPr="00D04FE6">
        <w:rPr>
          <w:rFonts w:cs="Arial"/>
          <w:bCs/>
          <w:szCs w:val="24"/>
          <w:lang w:val="en-ZA"/>
        </w:rPr>
        <w:tab/>
      </w:r>
      <w:r w:rsidR="00263181">
        <w:rPr>
          <w:rFonts w:cs="Arial"/>
          <w:bCs/>
          <w:szCs w:val="24"/>
          <w:lang w:val="en-ZA"/>
        </w:rPr>
        <w:t>16 March 2023</w:t>
      </w:r>
    </w:p>
    <w:sectPr w:rsidR="00062FA9" w:rsidRPr="00D04FE6"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0434D" w14:textId="77777777" w:rsidR="00850BF4" w:rsidRDefault="00850BF4" w:rsidP="00665272">
      <w:pPr>
        <w:spacing w:line="240" w:lineRule="auto"/>
      </w:pPr>
      <w:r>
        <w:separator/>
      </w:r>
    </w:p>
  </w:endnote>
  <w:endnote w:type="continuationSeparator" w:id="0">
    <w:p w14:paraId="15EFC518" w14:textId="77777777" w:rsidR="00850BF4" w:rsidRDefault="00850BF4"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4A604" w14:textId="77777777" w:rsidR="00850BF4" w:rsidRDefault="00850BF4" w:rsidP="00665272">
      <w:pPr>
        <w:spacing w:line="240" w:lineRule="auto"/>
      </w:pPr>
      <w:r>
        <w:separator/>
      </w:r>
    </w:p>
  </w:footnote>
  <w:footnote w:type="continuationSeparator" w:id="0">
    <w:p w14:paraId="53E5F90D" w14:textId="77777777" w:rsidR="00850BF4" w:rsidRDefault="00850BF4" w:rsidP="00665272">
      <w:pPr>
        <w:spacing w:line="240" w:lineRule="auto"/>
      </w:pPr>
      <w:r>
        <w:continuationSeparator/>
      </w:r>
    </w:p>
  </w:footnote>
  <w:footnote w:id="1">
    <w:p w14:paraId="4802319E" w14:textId="190F0971" w:rsidR="00151C95" w:rsidRDefault="00151C95">
      <w:pPr>
        <w:pStyle w:val="FootnoteText"/>
        <w:rPr>
          <w:lang w:val="en-ZA"/>
        </w:rPr>
      </w:pPr>
      <w:r>
        <w:rPr>
          <w:rStyle w:val="FootnoteReference"/>
        </w:rPr>
        <w:footnoteRef/>
      </w:r>
      <w:r>
        <w:t xml:space="preserve"> </w:t>
      </w:r>
      <w:r>
        <w:rPr>
          <w:lang w:val="en-ZA"/>
        </w:rPr>
        <w:t>Clause 11.1 of the lease agreement stipulates as follows:</w:t>
      </w:r>
    </w:p>
    <w:p w14:paraId="7034F6F2" w14:textId="5B2CD7A4" w:rsidR="00151C95" w:rsidRDefault="00151C95" w:rsidP="00151C95">
      <w:pPr>
        <w:pStyle w:val="FootnoteText"/>
        <w:ind w:left="720"/>
        <w:rPr>
          <w:i/>
          <w:iCs/>
          <w:lang w:val="en-ZA"/>
        </w:rPr>
      </w:pPr>
      <w:r>
        <w:rPr>
          <w:i/>
          <w:iCs/>
          <w:lang w:val="en-ZA"/>
        </w:rPr>
        <w:t>“Die Verhuurder en die Huurder kom hiermee ooreen dat hierdie ooreenkoms gekanselleer kan word deur skriftelike kennis aan die ander party te gee dat hierdie ooreenkoms binne drie maande na die datum van kennisgewing beendig sal word. Die partye kom verder ooreen dat hulle verskeie domicilia vir hierdie kennisgewing die volgende sal wees:</w:t>
      </w:r>
    </w:p>
    <w:p w14:paraId="67AE348F" w14:textId="2D9BE196" w:rsidR="00151C95" w:rsidRDefault="00151C95" w:rsidP="00151C95">
      <w:pPr>
        <w:pStyle w:val="FootnoteText"/>
        <w:ind w:left="720"/>
        <w:rPr>
          <w:i/>
          <w:iCs/>
          <w:lang w:val="en-ZA"/>
        </w:rPr>
      </w:pPr>
      <w:r>
        <w:rPr>
          <w:i/>
          <w:iCs/>
          <w:lang w:val="en-ZA"/>
        </w:rPr>
        <w:t>Die Verhuurder: Lidney plaas, distrik Alexandria</w:t>
      </w:r>
    </w:p>
    <w:p w14:paraId="502A0DE2" w14:textId="2CD15131" w:rsidR="00151C95" w:rsidRPr="00151C95" w:rsidRDefault="00151C95" w:rsidP="00151C95">
      <w:pPr>
        <w:pStyle w:val="FootnoteText"/>
        <w:ind w:left="720"/>
        <w:rPr>
          <w:i/>
          <w:iCs/>
          <w:lang w:val="en-ZA"/>
        </w:rPr>
      </w:pPr>
      <w:r>
        <w:rPr>
          <w:i/>
          <w:iCs/>
          <w:lang w:val="en-ZA"/>
        </w:rPr>
        <w:t>Die Huurder:     Boslaagte plaas, distrik Alexandria”</w:t>
      </w:r>
    </w:p>
  </w:footnote>
  <w:footnote w:id="2">
    <w:p w14:paraId="693CAA08" w14:textId="32E2E8BF" w:rsidR="005F1F02" w:rsidRPr="005F1F02" w:rsidRDefault="005F1F02">
      <w:pPr>
        <w:pStyle w:val="FootnoteText"/>
        <w:rPr>
          <w:lang w:val="en-ZA"/>
        </w:rPr>
      </w:pPr>
      <w:r>
        <w:rPr>
          <w:rStyle w:val="FootnoteReference"/>
        </w:rPr>
        <w:footnoteRef/>
      </w:r>
      <w:r>
        <w:t xml:space="preserve"> </w:t>
      </w:r>
      <w:r>
        <w:rPr>
          <w:lang w:val="en-ZA"/>
        </w:rPr>
        <w:t>1990(1) SA 1 (A) at 6</w:t>
      </w:r>
    </w:p>
  </w:footnote>
  <w:footnote w:id="3">
    <w:p w14:paraId="6E0E9063" w14:textId="68EC4AA4" w:rsidR="005C6B99" w:rsidRPr="005C6B99" w:rsidRDefault="005C6B99">
      <w:pPr>
        <w:pStyle w:val="FootnoteText"/>
        <w:rPr>
          <w:lang w:val="en-ZA"/>
        </w:rPr>
      </w:pPr>
      <w:r>
        <w:rPr>
          <w:rStyle w:val="FootnoteReference"/>
        </w:rPr>
        <w:footnoteRef/>
      </w:r>
      <w:r>
        <w:t xml:space="preserve"> </w:t>
      </w:r>
      <w:r>
        <w:rPr>
          <w:i/>
          <w:iCs/>
          <w:lang w:val="en-ZA"/>
        </w:rPr>
        <w:t>Vulcan Rubber Works (Pty) Ltd v South African Railways and Harbours</w:t>
      </w:r>
      <w:r>
        <w:rPr>
          <w:lang w:val="en-ZA"/>
        </w:rPr>
        <w:t xml:space="preserve"> 1958 (3) SA 285 (A) at 289F-G; Chetty v Naidoo 1974(3) SA 13 (A) at 20B-C.</w:t>
      </w:r>
    </w:p>
  </w:footnote>
  <w:footnote w:id="4">
    <w:p w14:paraId="63C80EE3" w14:textId="34018A45" w:rsidR="005E004B" w:rsidRPr="005E004B" w:rsidRDefault="005E004B">
      <w:pPr>
        <w:pStyle w:val="FootnoteText"/>
        <w:rPr>
          <w:lang w:val="en-ZA"/>
        </w:rPr>
      </w:pPr>
      <w:r>
        <w:rPr>
          <w:rStyle w:val="FootnoteReference"/>
        </w:rPr>
        <w:footnoteRef/>
      </w:r>
      <w:r>
        <w:t xml:space="preserve"> </w:t>
      </w:r>
      <w:r>
        <w:rPr>
          <w:i/>
          <w:iCs/>
          <w:lang w:val="en-ZA"/>
        </w:rPr>
        <w:t>Iceland Industrial Projects (Pty)Ltd v Matthews</w:t>
      </w:r>
      <w:r>
        <w:rPr>
          <w:lang w:val="en-ZA"/>
        </w:rPr>
        <w:t xml:space="preserve"> (53514/2011) [2019] ZAGPPHC 411 at para [36];</w:t>
      </w:r>
      <w:r>
        <w:rPr>
          <w:i/>
          <w:iCs/>
          <w:lang w:val="en-ZA"/>
        </w:rPr>
        <w:t xml:space="preserve"> Visser &amp; Ano v Moore</w:t>
      </w:r>
      <w:r>
        <w:rPr>
          <w:lang w:val="en-ZA"/>
        </w:rPr>
        <w:t xml:space="preserve"> (27676/2014) [2019] ZAGPPHC 426 (30 August 2019) at para [15].</w:t>
      </w:r>
    </w:p>
  </w:footnote>
  <w:footnote w:id="5">
    <w:p w14:paraId="0166F719" w14:textId="602ADEA5" w:rsidR="00E635AB" w:rsidRPr="000705AF" w:rsidRDefault="00E635AB">
      <w:pPr>
        <w:pStyle w:val="FootnoteText"/>
        <w:rPr>
          <w:i/>
          <w:iCs/>
          <w:lang w:val="en-ZA"/>
        </w:rPr>
      </w:pPr>
      <w:r>
        <w:rPr>
          <w:rStyle w:val="FootnoteReference"/>
        </w:rPr>
        <w:footnoteRef/>
      </w:r>
      <w:r>
        <w:t xml:space="preserve"> </w:t>
      </w:r>
      <w:r>
        <w:rPr>
          <w:lang w:val="en-ZA"/>
        </w:rPr>
        <w:t>[2013] 4 All SA 318 (SCA) at para [4]</w:t>
      </w:r>
      <w:r w:rsidR="000705AF">
        <w:rPr>
          <w:lang w:val="en-ZA"/>
        </w:rPr>
        <w:t xml:space="preserve">. No reference was made by the court to a requirement of </w:t>
      </w:r>
      <w:r w:rsidR="000705AF">
        <w:rPr>
          <w:i/>
          <w:iCs/>
          <w:lang w:val="en-ZA"/>
        </w:rPr>
        <w:t>mala fides.</w:t>
      </w:r>
    </w:p>
  </w:footnote>
  <w:footnote w:id="6">
    <w:p w14:paraId="49544D7B" w14:textId="284DE3D0" w:rsidR="008A7CAA" w:rsidRPr="008A7CAA" w:rsidRDefault="008A7CAA">
      <w:pPr>
        <w:pStyle w:val="FootnoteText"/>
        <w:rPr>
          <w:lang w:val="en-ZA"/>
        </w:rPr>
      </w:pPr>
      <w:r>
        <w:rPr>
          <w:rStyle w:val="FootnoteReference"/>
        </w:rPr>
        <w:footnoteRef/>
      </w:r>
      <w:r>
        <w:t xml:space="preserve"> </w:t>
      </w:r>
      <w:r>
        <w:rPr>
          <w:lang w:val="en-ZA"/>
        </w:rPr>
        <w:t>1999(2) SA 986 (D) at 1011I-1012B.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347964"/>
      <w:docPartObj>
        <w:docPartGallery w:val="Page Numbers (Top of Page)"/>
        <w:docPartUnique/>
      </w:docPartObj>
    </w:sdtPr>
    <w:sdtEndPr>
      <w:rPr>
        <w:noProof/>
      </w:rPr>
    </w:sdtEndPr>
    <w:sdtContent>
      <w:p w14:paraId="5F3A9F0B" w14:textId="5A6387FE" w:rsidR="009421B1" w:rsidRDefault="009421B1">
        <w:pPr>
          <w:pStyle w:val="Header"/>
          <w:jc w:val="right"/>
        </w:pPr>
        <w:r>
          <w:fldChar w:fldCharType="begin"/>
        </w:r>
        <w:r>
          <w:instrText xml:space="preserve"> PAGE   \* MERGEFORMAT </w:instrText>
        </w:r>
        <w:r>
          <w:fldChar w:fldCharType="separate"/>
        </w:r>
        <w:r w:rsidR="00886C91">
          <w:rPr>
            <w:noProof/>
          </w:rPr>
          <w:t>3</w:t>
        </w:r>
        <w:r>
          <w:rPr>
            <w:noProof/>
          </w:rPr>
          <w:fldChar w:fldCharType="end"/>
        </w:r>
      </w:p>
    </w:sdtContent>
  </w:sdt>
  <w:p w14:paraId="66F44468" w14:textId="77777777" w:rsidR="009421B1" w:rsidRDefault="00942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C71A3B"/>
    <w:multiLevelType w:val="hybridMultilevel"/>
    <w:tmpl w:val="F4EEEC70"/>
    <w:lvl w:ilvl="0" w:tplc="3C526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19">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6C07CD"/>
    <w:multiLevelType w:val="hybridMultilevel"/>
    <w:tmpl w:val="B8EAA174"/>
    <w:lvl w:ilvl="0" w:tplc="E3CE154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16"/>
  </w:num>
  <w:num w:numId="3">
    <w:abstractNumId w:val="0"/>
  </w:num>
  <w:num w:numId="4">
    <w:abstractNumId w:val="3"/>
  </w:num>
  <w:num w:numId="5">
    <w:abstractNumId w:val="1"/>
  </w:num>
  <w:num w:numId="6">
    <w:abstractNumId w:val="17"/>
  </w:num>
  <w:num w:numId="7">
    <w:abstractNumId w:val="8"/>
  </w:num>
  <w:num w:numId="8">
    <w:abstractNumId w:val="12"/>
  </w:num>
  <w:num w:numId="9">
    <w:abstractNumId w:val="26"/>
  </w:num>
  <w:num w:numId="10">
    <w:abstractNumId w:val="5"/>
  </w:num>
  <w:num w:numId="11">
    <w:abstractNumId w:val="13"/>
  </w:num>
  <w:num w:numId="12">
    <w:abstractNumId w:val="33"/>
  </w:num>
  <w:num w:numId="13">
    <w:abstractNumId w:val="2"/>
  </w:num>
  <w:num w:numId="14">
    <w:abstractNumId w:val="6"/>
  </w:num>
  <w:num w:numId="15">
    <w:abstractNumId w:val="4"/>
  </w:num>
  <w:num w:numId="16">
    <w:abstractNumId w:val="29"/>
  </w:num>
  <w:num w:numId="17">
    <w:abstractNumId w:val="21"/>
  </w:num>
  <w:num w:numId="18">
    <w:abstractNumId w:val="14"/>
  </w:num>
  <w:num w:numId="19">
    <w:abstractNumId w:val="9"/>
  </w:num>
  <w:num w:numId="20">
    <w:abstractNumId w:val="25"/>
  </w:num>
  <w:num w:numId="21">
    <w:abstractNumId w:val="27"/>
  </w:num>
  <w:num w:numId="22">
    <w:abstractNumId w:val="28"/>
  </w:num>
  <w:num w:numId="23">
    <w:abstractNumId w:val="34"/>
  </w:num>
  <w:num w:numId="24">
    <w:abstractNumId w:val="20"/>
  </w:num>
  <w:num w:numId="25">
    <w:abstractNumId w:val="22"/>
  </w:num>
  <w:num w:numId="26">
    <w:abstractNumId w:val="15"/>
  </w:num>
  <w:num w:numId="27">
    <w:abstractNumId w:val="7"/>
  </w:num>
  <w:num w:numId="28">
    <w:abstractNumId w:val="18"/>
  </w:num>
  <w:num w:numId="29">
    <w:abstractNumId w:val="11"/>
  </w:num>
  <w:num w:numId="30">
    <w:abstractNumId w:val="32"/>
  </w:num>
  <w:num w:numId="31">
    <w:abstractNumId w:val="24"/>
  </w:num>
  <w:num w:numId="32">
    <w:abstractNumId w:val="19"/>
  </w:num>
  <w:num w:numId="33">
    <w:abstractNumId w:val="30"/>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D22178-0618-46E6-86F4-96DB3A7CAE46}"/>
    <w:docVar w:name="dgnword-eventsink" w:val="541114736"/>
  </w:docVars>
  <w:rsids>
    <w:rsidRoot w:val="0008561F"/>
    <w:rsid w:val="000101A2"/>
    <w:rsid w:val="00010A78"/>
    <w:rsid w:val="000165E4"/>
    <w:rsid w:val="000275E2"/>
    <w:rsid w:val="000345BA"/>
    <w:rsid w:val="00037B06"/>
    <w:rsid w:val="0004351F"/>
    <w:rsid w:val="00044B22"/>
    <w:rsid w:val="000542E5"/>
    <w:rsid w:val="0006014A"/>
    <w:rsid w:val="00062FA9"/>
    <w:rsid w:val="00065A6D"/>
    <w:rsid w:val="000705AF"/>
    <w:rsid w:val="00071510"/>
    <w:rsid w:val="000824EB"/>
    <w:rsid w:val="00084A1A"/>
    <w:rsid w:val="0008561F"/>
    <w:rsid w:val="00085D74"/>
    <w:rsid w:val="000A7481"/>
    <w:rsid w:val="000B02B0"/>
    <w:rsid w:val="000C1F2A"/>
    <w:rsid w:val="000C270F"/>
    <w:rsid w:val="000C5C07"/>
    <w:rsid w:val="000D025A"/>
    <w:rsid w:val="000D681E"/>
    <w:rsid w:val="000F1E32"/>
    <w:rsid w:val="000F5A69"/>
    <w:rsid w:val="00101724"/>
    <w:rsid w:val="001079BC"/>
    <w:rsid w:val="00113662"/>
    <w:rsid w:val="00117F75"/>
    <w:rsid w:val="00120B4C"/>
    <w:rsid w:val="00123F84"/>
    <w:rsid w:val="001330D6"/>
    <w:rsid w:val="001336A0"/>
    <w:rsid w:val="001359AD"/>
    <w:rsid w:val="00151C95"/>
    <w:rsid w:val="00156DCD"/>
    <w:rsid w:val="001679DB"/>
    <w:rsid w:val="00172ABC"/>
    <w:rsid w:val="00174D41"/>
    <w:rsid w:val="001757C0"/>
    <w:rsid w:val="0017630B"/>
    <w:rsid w:val="00176802"/>
    <w:rsid w:val="001875D6"/>
    <w:rsid w:val="00191F1E"/>
    <w:rsid w:val="001943D6"/>
    <w:rsid w:val="00197E13"/>
    <w:rsid w:val="001A61A9"/>
    <w:rsid w:val="001C1D38"/>
    <w:rsid w:val="001C3FEF"/>
    <w:rsid w:val="001C4759"/>
    <w:rsid w:val="001E4E07"/>
    <w:rsid w:val="001E768C"/>
    <w:rsid w:val="001F3966"/>
    <w:rsid w:val="001F3C76"/>
    <w:rsid w:val="001F72C1"/>
    <w:rsid w:val="00203255"/>
    <w:rsid w:val="00217A3D"/>
    <w:rsid w:val="00220D31"/>
    <w:rsid w:val="0022290F"/>
    <w:rsid w:val="0022489D"/>
    <w:rsid w:val="002251C1"/>
    <w:rsid w:val="002256BC"/>
    <w:rsid w:val="00231A43"/>
    <w:rsid w:val="00232753"/>
    <w:rsid w:val="00236766"/>
    <w:rsid w:val="0024065D"/>
    <w:rsid w:val="00245A93"/>
    <w:rsid w:val="002465F0"/>
    <w:rsid w:val="00250CED"/>
    <w:rsid w:val="00250DA8"/>
    <w:rsid w:val="00256096"/>
    <w:rsid w:val="00263181"/>
    <w:rsid w:val="00272FA0"/>
    <w:rsid w:val="00274411"/>
    <w:rsid w:val="00275AFA"/>
    <w:rsid w:val="002858E5"/>
    <w:rsid w:val="00287A0E"/>
    <w:rsid w:val="002A04A4"/>
    <w:rsid w:val="002A3220"/>
    <w:rsid w:val="002A5AD4"/>
    <w:rsid w:val="002A7217"/>
    <w:rsid w:val="002B5782"/>
    <w:rsid w:val="002B5BE3"/>
    <w:rsid w:val="002B736F"/>
    <w:rsid w:val="002D4671"/>
    <w:rsid w:val="002F14AE"/>
    <w:rsid w:val="002F48C3"/>
    <w:rsid w:val="0030270B"/>
    <w:rsid w:val="0030311D"/>
    <w:rsid w:val="00311FC0"/>
    <w:rsid w:val="00313D62"/>
    <w:rsid w:val="00321F0A"/>
    <w:rsid w:val="00325B09"/>
    <w:rsid w:val="00326ACC"/>
    <w:rsid w:val="003326AF"/>
    <w:rsid w:val="00336E00"/>
    <w:rsid w:val="00337C08"/>
    <w:rsid w:val="00342170"/>
    <w:rsid w:val="0034599E"/>
    <w:rsid w:val="00362AEC"/>
    <w:rsid w:val="00366D9C"/>
    <w:rsid w:val="00375290"/>
    <w:rsid w:val="00376F7C"/>
    <w:rsid w:val="00377BD5"/>
    <w:rsid w:val="00382333"/>
    <w:rsid w:val="00383012"/>
    <w:rsid w:val="00385DCE"/>
    <w:rsid w:val="0039436F"/>
    <w:rsid w:val="003A1F11"/>
    <w:rsid w:val="003A3B37"/>
    <w:rsid w:val="003A3C34"/>
    <w:rsid w:val="003B3E15"/>
    <w:rsid w:val="003C0287"/>
    <w:rsid w:val="003C5B44"/>
    <w:rsid w:val="003C6576"/>
    <w:rsid w:val="003D51E3"/>
    <w:rsid w:val="003D53C3"/>
    <w:rsid w:val="003E2DBC"/>
    <w:rsid w:val="003E658F"/>
    <w:rsid w:val="003F4A18"/>
    <w:rsid w:val="004007D1"/>
    <w:rsid w:val="004023A7"/>
    <w:rsid w:val="004030F5"/>
    <w:rsid w:val="00411863"/>
    <w:rsid w:val="00414D10"/>
    <w:rsid w:val="00415A74"/>
    <w:rsid w:val="004245B7"/>
    <w:rsid w:val="00433D96"/>
    <w:rsid w:val="004346D1"/>
    <w:rsid w:val="004400C0"/>
    <w:rsid w:val="00442F7A"/>
    <w:rsid w:val="00443342"/>
    <w:rsid w:val="004443D4"/>
    <w:rsid w:val="0044562C"/>
    <w:rsid w:val="004537D0"/>
    <w:rsid w:val="00457538"/>
    <w:rsid w:val="004647D4"/>
    <w:rsid w:val="004663F2"/>
    <w:rsid w:val="004724D8"/>
    <w:rsid w:val="00483D58"/>
    <w:rsid w:val="00496AF3"/>
    <w:rsid w:val="004A1B2B"/>
    <w:rsid w:val="004A7760"/>
    <w:rsid w:val="004A7BCC"/>
    <w:rsid w:val="004A7E4B"/>
    <w:rsid w:val="004B2A93"/>
    <w:rsid w:val="004B6B98"/>
    <w:rsid w:val="004B7236"/>
    <w:rsid w:val="004C4E8B"/>
    <w:rsid w:val="004D109A"/>
    <w:rsid w:val="004D4D92"/>
    <w:rsid w:val="004E3275"/>
    <w:rsid w:val="004E57DF"/>
    <w:rsid w:val="004F219A"/>
    <w:rsid w:val="004F224F"/>
    <w:rsid w:val="004F7374"/>
    <w:rsid w:val="005060DA"/>
    <w:rsid w:val="005074FC"/>
    <w:rsid w:val="00507F8B"/>
    <w:rsid w:val="00510A6F"/>
    <w:rsid w:val="0051656C"/>
    <w:rsid w:val="005201DA"/>
    <w:rsid w:val="005262F9"/>
    <w:rsid w:val="00546AB6"/>
    <w:rsid w:val="00560785"/>
    <w:rsid w:val="005621B4"/>
    <w:rsid w:val="005744EC"/>
    <w:rsid w:val="005830EF"/>
    <w:rsid w:val="0058592D"/>
    <w:rsid w:val="0058714C"/>
    <w:rsid w:val="005873AE"/>
    <w:rsid w:val="00592140"/>
    <w:rsid w:val="00595395"/>
    <w:rsid w:val="005B232E"/>
    <w:rsid w:val="005B5EDA"/>
    <w:rsid w:val="005B7868"/>
    <w:rsid w:val="005C20A4"/>
    <w:rsid w:val="005C6B99"/>
    <w:rsid w:val="005E004B"/>
    <w:rsid w:val="005E02EB"/>
    <w:rsid w:val="005E41C2"/>
    <w:rsid w:val="005E58DA"/>
    <w:rsid w:val="005F1F02"/>
    <w:rsid w:val="005F4510"/>
    <w:rsid w:val="00601F12"/>
    <w:rsid w:val="00605623"/>
    <w:rsid w:val="00606049"/>
    <w:rsid w:val="00610C12"/>
    <w:rsid w:val="00613ADB"/>
    <w:rsid w:val="006155C0"/>
    <w:rsid w:val="006260DE"/>
    <w:rsid w:val="00634443"/>
    <w:rsid w:val="006344A9"/>
    <w:rsid w:val="00636E53"/>
    <w:rsid w:val="006370BD"/>
    <w:rsid w:val="00640E2D"/>
    <w:rsid w:val="00640F11"/>
    <w:rsid w:val="006420BD"/>
    <w:rsid w:val="00653CCD"/>
    <w:rsid w:val="00664ACE"/>
    <w:rsid w:val="00665272"/>
    <w:rsid w:val="00666BBD"/>
    <w:rsid w:val="006679A8"/>
    <w:rsid w:val="00673491"/>
    <w:rsid w:val="006748BA"/>
    <w:rsid w:val="00684071"/>
    <w:rsid w:val="00686210"/>
    <w:rsid w:val="0069497F"/>
    <w:rsid w:val="00697F6F"/>
    <w:rsid w:val="006A1733"/>
    <w:rsid w:val="006A3090"/>
    <w:rsid w:val="006A41CA"/>
    <w:rsid w:val="006B4AE3"/>
    <w:rsid w:val="006C42DE"/>
    <w:rsid w:val="006D21AD"/>
    <w:rsid w:val="006D4DFA"/>
    <w:rsid w:val="006E0BFA"/>
    <w:rsid w:val="006E325F"/>
    <w:rsid w:val="006E3FE5"/>
    <w:rsid w:val="006E6C8C"/>
    <w:rsid w:val="006F07E1"/>
    <w:rsid w:val="006F2029"/>
    <w:rsid w:val="006F62E2"/>
    <w:rsid w:val="006F681A"/>
    <w:rsid w:val="007053CA"/>
    <w:rsid w:val="0070711C"/>
    <w:rsid w:val="007079BA"/>
    <w:rsid w:val="00714D3C"/>
    <w:rsid w:val="00715783"/>
    <w:rsid w:val="00727BEB"/>
    <w:rsid w:val="00730489"/>
    <w:rsid w:val="007326B6"/>
    <w:rsid w:val="00735C38"/>
    <w:rsid w:val="00740476"/>
    <w:rsid w:val="00747007"/>
    <w:rsid w:val="007509D8"/>
    <w:rsid w:val="00755AAE"/>
    <w:rsid w:val="00756314"/>
    <w:rsid w:val="007614E9"/>
    <w:rsid w:val="00763703"/>
    <w:rsid w:val="00770D9D"/>
    <w:rsid w:val="00772A85"/>
    <w:rsid w:val="00773D06"/>
    <w:rsid w:val="007745FC"/>
    <w:rsid w:val="00780B9F"/>
    <w:rsid w:val="007913F2"/>
    <w:rsid w:val="0079211B"/>
    <w:rsid w:val="007A54DC"/>
    <w:rsid w:val="007B2DB2"/>
    <w:rsid w:val="007B714D"/>
    <w:rsid w:val="007C5AFE"/>
    <w:rsid w:val="007D0F8A"/>
    <w:rsid w:val="007D7C46"/>
    <w:rsid w:val="007E0946"/>
    <w:rsid w:val="007E77EC"/>
    <w:rsid w:val="007F066A"/>
    <w:rsid w:val="007F610D"/>
    <w:rsid w:val="008012A9"/>
    <w:rsid w:val="00802433"/>
    <w:rsid w:val="0080300B"/>
    <w:rsid w:val="00811ECA"/>
    <w:rsid w:val="008201EE"/>
    <w:rsid w:val="008213E2"/>
    <w:rsid w:val="00822754"/>
    <w:rsid w:val="00824AB8"/>
    <w:rsid w:val="008317EE"/>
    <w:rsid w:val="008415B4"/>
    <w:rsid w:val="00842F0A"/>
    <w:rsid w:val="00850BF4"/>
    <w:rsid w:val="008529AD"/>
    <w:rsid w:val="00867800"/>
    <w:rsid w:val="00871BAA"/>
    <w:rsid w:val="00871F72"/>
    <w:rsid w:val="0087228E"/>
    <w:rsid w:val="008727B6"/>
    <w:rsid w:val="008741BF"/>
    <w:rsid w:val="008830EA"/>
    <w:rsid w:val="00886C91"/>
    <w:rsid w:val="00897FEC"/>
    <w:rsid w:val="008A1B5D"/>
    <w:rsid w:val="008A7CAA"/>
    <w:rsid w:val="008B686D"/>
    <w:rsid w:val="008C3276"/>
    <w:rsid w:val="008D4E9F"/>
    <w:rsid w:val="008E0EFA"/>
    <w:rsid w:val="008E30A1"/>
    <w:rsid w:val="008E3189"/>
    <w:rsid w:val="008E5574"/>
    <w:rsid w:val="008E661A"/>
    <w:rsid w:val="008F05EE"/>
    <w:rsid w:val="00902944"/>
    <w:rsid w:val="009031BB"/>
    <w:rsid w:val="00903D7F"/>
    <w:rsid w:val="00905944"/>
    <w:rsid w:val="00906C4A"/>
    <w:rsid w:val="009154F3"/>
    <w:rsid w:val="009162DA"/>
    <w:rsid w:val="00924ADB"/>
    <w:rsid w:val="00930915"/>
    <w:rsid w:val="00941044"/>
    <w:rsid w:val="009421B1"/>
    <w:rsid w:val="00944CC9"/>
    <w:rsid w:val="009519D1"/>
    <w:rsid w:val="00951D35"/>
    <w:rsid w:val="009524DB"/>
    <w:rsid w:val="009638EE"/>
    <w:rsid w:val="0097110E"/>
    <w:rsid w:val="00986320"/>
    <w:rsid w:val="0099480D"/>
    <w:rsid w:val="00994D70"/>
    <w:rsid w:val="009A7118"/>
    <w:rsid w:val="009B067E"/>
    <w:rsid w:val="009B069E"/>
    <w:rsid w:val="009C071C"/>
    <w:rsid w:val="009C5BAB"/>
    <w:rsid w:val="009C7FE4"/>
    <w:rsid w:val="009D1B27"/>
    <w:rsid w:val="009D6D68"/>
    <w:rsid w:val="009D7B1D"/>
    <w:rsid w:val="00A0331E"/>
    <w:rsid w:val="00A05877"/>
    <w:rsid w:val="00A142CC"/>
    <w:rsid w:val="00A218D2"/>
    <w:rsid w:val="00A26639"/>
    <w:rsid w:val="00A27357"/>
    <w:rsid w:val="00A332DA"/>
    <w:rsid w:val="00A4483A"/>
    <w:rsid w:val="00A55496"/>
    <w:rsid w:val="00A6262D"/>
    <w:rsid w:val="00A63D9E"/>
    <w:rsid w:val="00A661A3"/>
    <w:rsid w:val="00A70798"/>
    <w:rsid w:val="00A73734"/>
    <w:rsid w:val="00A73EC9"/>
    <w:rsid w:val="00A7640E"/>
    <w:rsid w:val="00A76F4D"/>
    <w:rsid w:val="00AD7ECA"/>
    <w:rsid w:val="00AE0F13"/>
    <w:rsid w:val="00AE63C8"/>
    <w:rsid w:val="00AF2C96"/>
    <w:rsid w:val="00B17412"/>
    <w:rsid w:val="00B2312E"/>
    <w:rsid w:val="00B33588"/>
    <w:rsid w:val="00B37FBB"/>
    <w:rsid w:val="00B40A46"/>
    <w:rsid w:val="00B41FF3"/>
    <w:rsid w:val="00B5047A"/>
    <w:rsid w:val="00B62A5B"/>
    <w:rsid w:val="00B64367"/>
    <w:rsid w:val="00B651D0"/>
    <w:rsid w:val="00B707C9"/>
    <w:rsid w:val="00B737B2"/>
    <w:rsid w:val="00B753C9"/>
    <w:rsid w:val="00BA5968"/>
    <w:rsid w:val="00BB0894"/>
    <w:rsid w:val="00BB3E19"/>
    <w:rsid w:val="00BB7C2C"/>
    <w:rsid w:val="00BC2A2C"/>
    <w:rsid w:val="00BC591C"/>
    <w:rsid w:val="00BC7ECB"/>
    <w:rsid w:val="00BE1AFD"/>
    <w:rsid w:val="00BE3824"/>
    <w:rsid w:val="00BF12F3"/>
    <w:rsid w:val="00BF4AAF"/>
    <w:rsid w:val="00C03ADE"/>
    <w:rsid w:val="00C051D5"/>
    <w:rsid w:val="00C05B6B"/>
    <w:rsid w:val="00C05ED0"/>
    <w:rsid w:val="00C0602F"/>
    <w:rsid w:val="00C1524A"/>
    <w:rsid w:val="00C24E43"/>
    <w:rsid w:val="00C30A65"/>
    <w:rsid w:val="00C31FF4"/>
    <w:rsid w:val="00C35C85"/>
    <w:rsid w:val="00C3781B"/>
    <w:rsid w:val="00C443CD"/>
    <w:rsid w:val="00C46246"/>
    <w:rsid w:val="00C46655"/>
    <w:rsid w:val="00C55803"/>
    <w:rsid w:val="00C55D29"/>
    <w:rsid w:val="00C638FE"/>
    <w:rsid w:val="00C644CB"/>
    <w:rsid w:val="00C70840"/>
    <w:rsid w:val="00C7608B"/>
    <w:rsid w:val="00C819A6"/>
    <w:rsid w:val="00C90909"/>
    <w:rsid w:val="00C91EC2"/>
    <w:rsid w:val="00CA23A4"/>
    <w:rsid w:val="00CA3A6B"/>
    <w:rsid w:val="00CA43CC"/>
    <w:rsid w:val="00CB035D"/>
    <w:rsid w:val="00CB13CE"/>
    <w:rsid w:val="00CB17A1"/>
    <w:rsid w:val="00CB217D"/>
    <w:rsid w:val="00CB2D1D"/>
    <w:rsid w:val="00CB6B3B"/>
    <w:rsid w:val="00CC3E36"/>
    <w:rsid w:val="00CC4543"/>
    <w:rsid w:val="00CD0F4B"/>
    <w:rsid w:val="00CD3DA9"/>
    <w:rsid w:val="00CE0033"/>
    <w:rsid w:val="00CE0D22"/>
    <w:rsid w:val="00CE1BED"/>
    <w:rsid w:val="00CE28C8"/>
    <w:rsid w:val="00CE5269"/>
    <w:rsid w:val="00CE57B2"/>
    <w:rsid w:val="00CF2722"/>
    <w:rsid w:val="00CF2850"/>
    <w:rsid w:val="00CF2DD4"/>
    <w:rsid w:val="00D00BE5"/>
    <w:rsid w:val="00D03342"/>
    <w:rsid w:val="00D04FE6"/>
    <w:rsid w:val="00D0639F"/>
    <w:rsid w:val="00D15B5C"/>
    <w:rsid w:val="00D35634"/>
    <w:rsid w:val="00D41FF0"/>
    <w:rsid w:val="00D453CA"/>
    <w:rsid w:val="00D47B6E"/>
    <w:rsid w:val="00D65E04"/>
    <w:rsid w:val="00D67E9A"/>
    <w:rsid w:val="00D773F9"/>
    <w:rsid w:val="00D809A9"/>
    <w:rsid w:val="00D80AE1"/>
    <w:rsid w:val="00D8438C"/>
    <w:rsid w:val="00D87401"/>
    <w:rsid w:val="00DA005F"/>
    <w:rsid w:val="00DA2ADC"/>
    <w:rsid w:val="00DA408D"/>
    <w:rsid w:val="00DC5170"/>
    <w:rsid w:val="00DC6C31"/>
    <w:rsid w:val="00DD1F9B"/>
    <w:rsid w:val="00DD7345"/>
    <w:rsid w:val="00DE05D4"/>
    <w:rsid w:val="00DE6D93"/>
    <w:rsid w:val="00DE7A38"/>
    <w:rsid w:val="00DF5352"/>
    <w:rsid w:val="00E015B5"/>
    <w:rsid w:val="00E0384C"/>
    <w:rsid w:val="00E052C3"/>
    <w:rsid w:val="00E104D2"/>
    <w:rsid w:val="00E11D57"/>
    <w:rsid w:val="00E136C0"/>
    <w:rsid w:val="00E1622A"/>
    <w:rsid w:val="00E20BE5"/>
    <w:rsid w:val="00E22F2E"/>
    <w:rsid w:val="00E2373A"/>
    <w:rsid w:val="00E31430"/>
    <w:rsid w:val="00E326BA"/>
    <w:rsid w:val="00E45082"/>
    <w:rsid w:val="00E518E3"/>
    <w:rsid w:val="00E51A81"/>
    <w:rsid w:val="00E55742"/>
    <w:rsid w:val="00E635AB"/>
    <w:rsid w:val="00E6646D"/>
    <w:rsid w:val="00E679C6"/>
    <w:rsid w:val="00E70F18"/>
    <w:rsid w:val="00E73726"/>
    <w:rsid w:val="00E74FB5"/>
    <w:rsid w:val="00E9078F"/>
    <w:rsid w:val="00EA0D3B"/>
    <w:rsid w:val="00EA4CDB"/>
    <w:rsid w:val="00EA6706"/>
    <w:rsid w:val="00EB17B6"/>
    <w:rsid w:val="00EB3949"/>
    <w:rsid w:val="00EB4C32"/>
    <w:rsid w:val="00ED1259"/>
    <w:rsid w:val="00EE6120"/>
    <w:rsid w:val="00EF0216"/>
    <w:rsid w:val="00EF7093"/>
    <w:rsid w:val="00F0049D"/>
    <w:rsid w:val="00F0183A"/>
    <w:rsid w:val="00F05DDA"/>
    <w:rsid w:val="00F1439B"/>
    <w:rsid w:val="00F15205"/>
    <w:rsid w:val="00F17E23"/>
    <w:rsid w:val="00F21872"/>
    <w:rsid w:val="00F2443D"/>
    <w:rsid w:val="00F26EF9"/>
    <w:rsid w:val="00F562CB"/>
    <w:rsid w:val="00F57DBF"/>
    <w:rsid w:val="00F57F69"/>
    <w:rsid w:val="00F62BBF"/>
    <w:rsid w:val="00F66F2C"/>
    <w:rsid w:val="00F709C1"/>
    <w:rsid w:val="00F83391"/>
    <w:rsid w:val="00F940F5"/>
    <w:rsid w:val="00F947CB"/>
    <w:rsid w:val="00FB269B"/>
    <w:rsid w:val="00FB3FBA"/>
    <w:rsid w:val="00FB63E1"/>
    <w:rsid w:val="00FC73D4"/>
    <w:rsid w:val="00FD02B1"/>
    <w:rsid w:val="00FD05FD"/>
    <w:rsid w:val="00FD0C14"/>
    <w:rsid w:val="00FD4047"/>
    <w:rsid w:val="00F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A428"/>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36C9-0DC3-4341-900C-13807ADF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Mokone</cp:lastModifiedBy>
  <cp:revision>2</cp:revision>
  <cp:lastPrinted>2023-03-17T13:54:00Z</cp:lastPrinted>
  <dcterms:created xsi:type="dcterms:W3CDTF">2023-03-23T09:28:00Z</dcterms:created>
  <dcterms:modified xsi:type="dcterms:W3CDTF">2023-03-23T09:28:00Z</dcterms:modified>
</cp:coreProperties>
</file>