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0A74" w14:textId="77777777" w:rsidR="00E92BEA" w:rsidRPr="00DB2A06" w:rsidRDefault="00E92BEA" w:rsidP="00E92BEA">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3D360B15" w14:textId="77777777" w:rsidR="00E92BEA" w:rsidRDefault="00E92BEA" w:rsidP="009A3984">
      <w:pPr>
        <w:contextualSpacing/>
        <w:jc w:val="center"/>
        <w:rPr>
          <w:rFonts w:ascii="Times New Roman" w:hAnsi="Times New Roman" w:cs="Times New Roman"/>
          <w:noProof/>
          <w:sz w:val="26"/>
          <w:szCs w:val="26"/>
          <w:lang w:val="en-US"/>
        </w:rPr>
      </w:pPr>
    </w:p>
    <w:p w14:paraId="44EF7908" w14:textId="77777777" w:rsidR="00C80AE2" w:rsidRPr="007F677C" w:rsidRDefault="00C80AE2" w:rsidP="009A3984">
      <w:pPr>
        <w:contextualSpacing/>
        <w:jc w:val="center"/>
        <w:rPr>
          <w:rFonts w:ascii="Times New Roman" w:hAnsi="Times New Roman" w:cs="Times New Roman"/>
          <w:b/>
          <w:sz w:val="26"/>
          <w:szCs w:val="26"/>
        </w:rPr>
      </w:pPr>
      <w:r w:rsidRPr="007F677C">
        <w:rPr>
          <w:rFonts w:ascii="Times New Roman" w:hAnsi="Times New Roman" w:cs="Times New Roman"/>
          <w:noProof/>
          <w:sz w:val="26"/>
          <w:szCs w:val="26"/>
          <w:lang w:val="en-US"/>
        </w:rPr>
        <w:drawing>
          <wp:inline distT="0" distB="0" distL="0" distR="0" wp14:anchorId="2DA96EA9" wp14:editId="58071AFE">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3936A70A" w14:textId="77777777" w:rsidR="00C4246B" w:rsidRDefault="00C4246B" w:rsidP="00E1326E">
      <w:pPr>
        <w:contextualSpacing/>
        <w:rPr>
          <w:rFonts w:ascii="Times New Roman" w:hAnsi="Times New Roman" w:cs="Times New Roman"/>
          <w:b/>
          <w:sz w:val="26"/>
          <w:szCs w:val="26"/>
        </w:rPr>
      </w:pPr>
    </w:p>
    <w:p w14:paraId="32030A5D" w14:textId="7CC1FDE8" w:rsidR="00C80AE2" w:rsidRPr="007F677C" w:rsidRDefault="00C80AE2" w:rsidP="009A3984">
      <w:pPr>
        <w:contextualSpacing/>
        <w:jc w:val="right"/>
        <w:rPr>
          <w:rFonts w:ascii="Times New Roman" w:hAnsi="Times New Roman" w:cs="Times New Roman"/>
          <w:b/>
          <w:sz w:val="26"/>
          <w:szCs w:val="26"/>
        </w:rPr>
      </w:pPr>
      <w:r w:rsidRPr="007F677C">
        <w:rPr>
          <w:rFonts w:ascii="Times New Roman" w:hAnsi="Times New Roman" w:cs="Times New Roman"/>
          <w:b/>
          <w:sz w:val="26"/>
          <w:szCs w:val="26"/>
        </w:rPr>
        <w:t>NOT REPORTABLE</w:t>
      </w:r>
    </w:p>
    <w:p w14:paraId="39B15F30" w14:textId="77777777" w:rsidR="00C80AE2" w:rsidRPr="007F677C" w:rsidRDefault="00C80AE2" w:rsidP="00E1326E">
      <w:pPr>
        <w:contextualSpacing/>
        <w:rPr>
          <w:rFonts w:ascii="Times New Roman" w:hAnsi="Times New Roman" w:cs="Times New Roman"/>
          <w:b/>
          <w:sz w:val="26"/>
          <w:szCs w:val="26"/>
        </w:rPr>
      </w:pPr>
    </w:p>
    <w:p w14:paraId="649D8043" w14:textId="77777777" w:rsidR="00C80AE2" w:rsidRPr="007F677C" w:rsidRDefault="00C80AE2" w:rsidP="00E1326E">
      <w:pPr>
        <w:contextualSpacing/>
        <w:rPr>
          <w:rFonts w:ascii="Times New Roman" w:hAnsi="Times New Roman" w:cs="Times New Roman"/>
          <w:b/>
          <w:sz w:val="26"/>
          <w:szCs w:val="26"/>
        </w:rPr>
      </w:pPr>
      <w:r w:rsidRPr="007F677C">
        <w:rPr>
          <w:rFonts w:ascii="Times New Roman" w:hAnsi="Times New Roman" w:cs="Times New Roman"/>
          <w:b/>
          <w:sz w:val="26"/>
          <w:szCs w:val="26"/>
        </w:rPr>
        <w:t>IN THE HIGH COURT OF SOUTH AFRICA</w:t>
      </w:r>
    </w:p>
    <w:p w14:paraId="094E83A7" w14:textId="4288A83F" w:rsidR="00C80AE2" w:rsidRPr="007F677C" w:rsidRDefault="003C4230" w:rsidP="00E1326E">
      <w:pPr>
        <w:contextualSpacing/>
        <w:rPr>
          <w:rFonts w:ascii="Times New Roman" w:hAnsi="Times New Roman" w:cs="Times New Roman"/>
          <w:b/>
          <w:sz w:val="26"/>
          <w:szCs w:val="26"/>
        </w:rPr>
      </w:pPr>
      <w:r w:rsidRPr="007F677C">
        <w:rPr>
          <w:rFonts w:ascii="Times New Roman" w:hAnsi="Times New Roman" w:cs="Times New Roman"/>
          <w:b/>
          <w:sz w:val="26"/>
          <w:szCs w:val="26"/>
        </w:rPr>
        <w:t>(</w:t>
      </w:r>
      <w:r w:rsidR="00D336F1" w:rsidRPr="007F677C">
        <w:rPr>
          <w:rFonts w:ascii="Times New Roman" w:hAnsi="Times New Roman" w:cs="Times New Roman"/>
          <w:b/>
          <w:sz w:val="26"/>
          <w:szCs w:val="26"/>
        </w:rPr>
        <w:t>EASTERN CAPE DIVISION, GQEBERHA</w:t>
      </w:r>
      <w:r w:rsidRPr="007F677C">
        <w:rPr>
          <w:rFonts w:ascii="Times New Roman" w:hAnsi="Times New Roman" w:cs="Times New Roman"/>
          <w:b/>
          <w:sz w:val="26"/>
          <w:szCs w:val="26"/>
        </w:rPr>
        <w:t>)</w:t>
      </w:r>
    </w:p>
    <w:p w14:paraId="241D5411" w14:textId="77777777" w:rsidR="00C80AE2" w:rsidRPr="007F677C" w:rsidRDefault="00C80AE2" w:rsidP="00E1326E">
      <w:pPr>
        <w:contextualSpacing/>
        <w:rPr>
          <w:rFonts w:ascii="Times New Roman" w:hAnsi="Times New Roman" w:cs="Times New Roman"/>
          <w:b/>
          <w:sz w:val="26"/>
          <w:szCs w:val="26"/>
        </w:rPr>
      </w:pPr>
    </w:p>
    <w:p w14:paraId="142EE513" w14:textId="3ABBCD29" w:rsidR="00C80AE2" w:rsidRPr="007F677C" w:rsidRDefault="00C80AE2" w:rsidP="00E1326E">
      <w:pPr>
        <w:widowControl w:val="0"/>
        <w:autoSpaceDE w:val="0"/>
        <w:autoSpaceDN w:val="0"/>
        <w:adjustRightInd w:val="0"/>
        <w:contextualSpacing/>
        <w:rPr>
          <w:rFonts w:ascii="Times New Roman" w:hAnsi="Times New Roman" w:cs="Times New Roman"/>
          <w:color w:val="000000"/>
          <w:sz w:val="26"/>
          <w:szCs w:val="26"/>
        </w:rPr>
      </w:pPr>
      <w:r w:rsidRPr="007F677C">
        <w:rPr>
          <w:rFonts w:ascii="Times New Roman" w:hAnsi="Times New Roman" w:cs="Times New Roman"/>
          <w:b/>
          <w:sz w:val="26"/>
          <w:szCs w:val="26"/>
        </w:rPr>
        <w:tab/>
      </w:r>
      <w:r w:rsidRPr="007F677C">
        <w:rPr>
          <w:rFonts w:ascii="Times New Roman" w:hAnsi="Times New Roman" w:cs="Times New Roman"/>
          <w:b/>
          <w:sz w:val="26"/>
          <w:szCs w:val="26"/>
        </w:rPr>
        <w:tab/>
      </w:r>
      <w:r w:rsidRPr="007F677C">
        <w:rPr>
          <w:rFonts w:ascii="Times New Roman" w:hAnsi="Times New Roman" w:cs="Times New Roman"/>
          <w:b/>
          <w:sz w:val="26"/>
          <w:szCs w:val="26"/>
        </w:rPr>
        <w:tab/>
      </w:r>
      <w:r w:rsidR="009A3984">
        <w:rPr>
          <w:rFonts w:ascii="Times New Roman" w:hAnsi="Times New Roman" w:cs="Times New Roman"/>
          <w:b/>
          <w:sz w:val="26"/>
          <w:szCs w:val="26"/>
        </w:rPr>
        <w:tab/>
      </w:r>
      <w:r w:rsidR="009A3984">
        <w:rPr>
          <w:rFonts w:ascii="Times New Roman" w:hAnsi="Times New Roman" w:cs="Times New Roman"/>
          <w:b/>
          <w:sz w:val="26"/>
          <w:szCs w:val="26"/>
        </w:rPr>
        <w:tab/>
      </w:r>
      <w:r w:rsidR="009A3984">
        <w:rPr>
          <w:rFonts w:ascii="Times New Roman" w:hAnsi="Times New Roman" w:cs="Times New Roman"/>
          <w:b/>
          <w:sz w:val="26"/>
          <w:szCs w:val="26"/>
        </w:rPr>
        <w:tab/>
      </w:r>
      <w:r w:rsidR="009A3984">
        <w:rPr>
          <w:rFonts w:ascii="Times New Roman" w:hAnsi="Times New Roman" w:cs="Times New Roman"/>
          <w:b/>
          <w:sz w:val="26"/>
          <w:szCs w:val="26"/>
        </w:rPr>
        <w:tab/>
      </w:r>
      <w:r w:rsidR="009A3984">
        <w:rPr>
          <w:rFonts w:ascii="Times New Roman" w:hAnsi="Times New Roman" w:cs="Times New Roman"/>
          <w:b/>
          <w:sz w:val="26"/>
          <w:szCs w:val="26"/>
        </w:rPr>
        <w:tab/>
      </w:r>
      <w:r w:rsidR="009A3984">
        <w:rPr>
          <w:rFonts w:ascii="Times New Roman" w:hAnsi="Times New Roman" w:cs="Times New Roman"/>
          <w:b/>
          <w:sz w:val="26"/>
          <w:szCs w:val="26"/>
        </w:rPr>
        <w:tab/>
      </w:r>
      <w:r w:rsidRPr="007F677C">
        <w:rPr>
          <w:rFonts w:ascii="Times New Roman" w:hAnsi="Times New Roman" w:cs="Times New Roman"/>
          <w:color w:val="000000"/>
          <w:sz w:val="26"/>
          <w:szCs w:val="26"/>
        </w:rPr>
        <w:t>CASE NO.  3912/2021</w:t>
      </w:r>
    </w:p>
    <w:p w14:paraId="71EBC3C3" w14:textId="77777777" w:rsidR="00C4246B" w:rsidRDefault="00C4246B" w:rsidP="00E1326E">
      <w:pPr>
        <w:widowControl w:val="0"/>
        <w:autoSpaceDE w:val="0"/>
        <w:autoSpaceDN w:val="0"/>
        <w:adjustRightInd w:val="0"/>
        <w:contextualSpacing/>
        <w:rPr>
          <w:rFonts w:ascii="Times New Roman" w:hAnsi="Times New Roman" w:cs="Times New Roman"/>
          <w:color w:val="000000"/>
          <w:sz w:val="26"/>
          <w:szCs w:val="26"/>
        </w:rPr>
      </w:pPr>
    </w:p>
    <w:p w14:paraId="1043F13C" w14:textId="3ECA4CA9" w:rsidR="00C80AE2" w:rsidRPr="007F677C" w:rsidRDefault="00C80AE2" w:rsidP="00E1326E">
      <w:pPr>
        <w:widowControl w:val="0"/>
        <w:autoSpaceDE w:val="0"/>
        <w:autoSpaceDN w:val="0"/>
        <w:adjustRightInd w:val="0"/>
        <w:contextualSpacing/>
        <w:rPr>
          <w:rFonts w:ascii="Times New Roman" w:hAnsi="Times New Roman" w:cs="Times New Roman"/>
          <w:color w:val="000000"/>
          <w:sz w:val="26"/>
          <w:szCs w:val="26"/>
        </w:rPr>
      </w:pPr>
      <w:r w:rsidRPr="007F677C">
        <w:rPr>
          <w:rFonts w:ascii="Times New Roman" w:hAnsi="Times New Roman" w:cs="Times New Roman"/>
          <w:color w:val="000000"/>
          <w:sz w:val="26"/>
          <w:szCs w:val="26"/>
        </w:rPr>
        <w:t>In the matter between:</w:t>
      </w:r>
    </w:p>
    <w:p w14:paraId="54A93AFD" w14:textId="77777777" w:rsidR="00C80AE2" w:rsidRPr="007F677C" w:rsidRDefault="00C80AE2" w:rsidP="00E1326E">
      <w:pPr>
        <w:widowControl w:val="0"/>
        <w:autoSpaceDE w:val="0"/>
        <w:autoSpaceDN w:val="0"/>
        <w:adjustRightInd w:val="0"/>
        <w:contextualSpacing/>
        <w:rPr>
          <w:rFonts w:ascii="Times New Roman" w:hAnsi="Times New Roman" w:cs="Times New Roman"/>
          <w:color w:val="000000"/>
          <w:sz w:val="26"/>
          <w:szCs w:val="26"/>
        </w:rPr>
      </w:pPr>
    </w:p>
    <w:p w14:paraId="4B3AF909" w14:textId="77777777" w:rsidR="00397049" w:rsidRPr="007F677C" w:rsidRDefault="00C80AE2" w:rsidP="00E1326E">
      <w:pPr>
        <w:widowControl w:val="0"/>
        <w:autoSpaceDE w:val="0"/>
        <w:autoSpaceDN w:val="0"/>
        <w:adjustRightInd w:val="0"/>
        <w:contextualSpacing/>
        <w:rPr>
          <w:rFonts w:ascii="Times New Roman" w:hAnsi="Times New Roman" w:cs="Times New Roman"/>
          <w:b/>
          <w:color w:val="000000"/>
          <w:sz w:val="26"/>
          <w:szCs w:val="26"/>
        </w:rPr>
      </w:pPr>
      <w:r w:rsidRPr="007F677C">
        <w:rPr>
          <w:rFonts w:ascii="Times New Roman" w:hAnsi="Times New Roman" w:cs="Times New Roman"/>
          <w:b/>
          <w:color w:val="000000"/>
          <w:sz w:val="26"/>
          <w:szCs w:val="26"/>
        </w:rPr>
        <w:t>ZUKISWA VIVIAN RAYI</w:t>
      </w:r>
    </w:p>
    <w:p w14:paraId="30709DD8" w14:textId="0EBEE506" w:rsidR="00C80AE2" w:rsidRPr="007F677C" w:rsidRDefault="00E92BEA" w:rsidP="00E1326E">
      <w:pPr>
        <w:widowControl w:val="0"/>
        <w:autoSpaceDE w:val="0"/>
        <w:autoSpaceDN w:val="0"/>
        <w:adjustRightInd w:val="0"/>
        <w:contextualSpacing/>
        <w:rPr>
          <w:rFonts w:ascii="Times New Roman" w:hAnsi="Times New Roman" w:cs="Times New Roman"/>
          <w:color w:val="000000"/>
          <w:sz w:val="26"/>
          <w:szCs w:val="26"/>
        </w:rPr>
      </w:pPr>
      <w:r>
        <w:rPr>
          <w:rFonts w:ascii="Times New Roman" w:hAnsi="Times New Roman" w:cs="Times New Roman"/>
          <w:b/>
          <w:color w:val="000000"/>
          <w:sz w:val="26"/>
          <w:szCs w:val="26"/>
        </w:rPr>
        <w:t>IDENTITY NO. […]</w:t>
      </w:r>
      <w:r w:rsidR="00C80AE2" w:rsidRPr="007F677C">
        <w:rPr>
          <w:rFonts w:ascii="Times New Roman" w:hAnsi="Times New Roman" w:cs="Times New Roman"/>
          <w:b/>
          <w:color w:val="000000"/>
          <w:sz w:val="26"/>
          <w:szCs w:val="26"/>
        </w:rPr>
        <w:t xml:space="preserve"> </w:t>
      </w:r>
      <w:r w:rsidR="00C80AE2" w:rsidRPr="007F677C">
        <w:rPr>
          <w:rFonts w:ascii="Times New Roman" w:hAnsi="Times New Roman" w:cs="Times New Roman"/>
          <w:b/>
          <w:color w:val="000000"/>
          <w:sz w:val="26"/>
          <w:szCs w:val="26"/>
        </w:rPr>
        <w:tab/>
        <w:t xml:space="preserve"> </w:t>
      </w:r>
      <w:r w:rsidR="00C80AE2" w:rsidRPr="007F677C">
        <w:rPr>
          <w:rFonts w:ascii="Times New Roman" w:hAnsi="Times New Roman" w:cs="Times New Roman"/>
          <w:b/>
          <w:color w:val="000000"/>
          <w:sz w:val="26"/>
          <w:szCs w:val="26"/>
        </w:rPr>
        <w:tab/>
      </w:r>
      <w:r w:rsidR="00C80AE2" w:rsidRPr="007F677C">
        <w:rPr>
          <w:rFonts w:ascii="Times New Roman" w:hAnsi="Times New Roman" w:cs="Times New Roman"/>
          <w:b/>
          <w:color w:val="000000"/>
          <w:sz w:val="26"/>
          <w:szCs w:val="26"/>
        </w:rPr>
        <w:tab/>
      </w:r>
      <w:r w:rsidR="00C80AE2" w:rsidRPr="007F677C">
        <w:rPr>
          <w:rFonts w:ascii="Times New Roman" w:hAnsi="Times New Roman" w:cs="Times New Roman"/>
          <w:color w:val="000000"/>
          <w:sz w:val="26"/>
          <w:szCs w:val="26"/>
        </w:rPr>
        <w:tab/>
        <w:t xml:space="preserve">First </w:t>
      </w:r>
      <w:r w:rsidR="006917D6">
        <w:rPr>
          <w:rFonts w:ascii="Times New Roman" w:hAnsi="Times New Roman" w:cs="Times New Roman"/>
          <w:color w:val="000000"/>
          <w:sz w:val="26"/>
          <w:szCs w:val="26"/>
        </w:rPr>
        <w:t>Applicant</w:t>
      </w:r>
    </w:p>
    <w:p w14:paraId="6B643D8F" w14:textId="77777777" w:rsidR="00C80AE2" w:rsidRPr="007F677C" w:rsidRDefault="00C80AE2" w:rsidP="00E1326E">
      <w:pPr>
        <w:widowControl w:val="0"/>
        <w:autoSpaceDE w:val="0"/>
        <w:autoSpaceDN w:val="0"/>
        <w:adjustRightInd w:val="0"/>
        <w:contextualSpacing/>
        <w:rPr>
          <w:rFonts w:ascii="Times New Roman" w:hAnsi="Times New Roman" w:cs="Times New Roman"/>
          <w:color w:val="000000"/>
          <w:sz w:val="26"/>
          <w:szCs w:val="26"/>
        </w:rPr>
      </w:pPr>
    </w:p>
    <w:p w14:paraId="7F9A8BD5" w14:textId="77777777" w:rsidR="00397049" w:rsidRPr="007F677C" w:rsidRDefault="00C80AE2" w:rsidP="00E1326E">
      <w:pPr>
        <w:widowControl w:val="0"/>
        <w:autoSpaceDE w:val="0"/>
        <w:autoSpaceDN w:val="0"/>
        <w:adjustRightInd w:val="0"/>
        <w:contextualSpacing/>
        <w:rPr>
          <w:rFonts w:ascii="Times New Roman" w:hAnsi="Times New Roman" w:cs="Times New Roman"/>
          <w:b/>
          <w:color w:val="000000"/>
          <w:sz w:val="26"/>
          <w:szCs w:val="26"/>
        </w:rPr>
      </w:pPr>
      <w:r w:rsidRPr="007F677C">
        <w:rPr>
          <w:rFonts w:ascii="Times New Roman" w:hAnsi="Times New Roman" w:cs="Times New Roman"/>
          <w:b/>
          <w:color w:val="000000"/>
          <w:sz w:val="26"/>
          <w:szCs w:val="26"/>
        </w:rPr>
        <w:t xml:space="preserve">SIMO RAYI </w:t>
      </w:r>
    </w:p>
    <w:p w14:paraId="66F3785E" w14:textId="5AE1C6C0" w:rsidR="00C80AE2" w:rsidRPr="007F677C" w:rsidRDefault="00E92BEA" w:rsidP="00E1326E">
      <w:pPr>
        <w:widowControl w:val="0"/>
        <w:autoSpaceDE w:val="0"/>
        <w:autoSpaceDN w:val="0"/>
        <w:adjustRightInd w:val="0"/>
        <w:contextualSpacing/>
        <w:rPr>
          <w:rFonts w:ascii="Times New Roman" w:hAnsi="Times New Roman" w:cs="Times New Roman"/>
          <w:color w:val="000000"/>
          <w:sz w:val="26"/>
          <w:szCs w:val="26"/>
        </w:rPr>
      </w:pPr>
      <w:r>
        <w:rPr>
          <w:rFonts w:ascii="Times New Roman" w:hAnsi="Times New Roman" w:cs="Times New Roman"/>
          <w:b/>
          <w:color w:val="000000"/>
          <w:sz w:val="26"/>
          <w:szCs w:val="26"/>
        </w:rPr>
        <w:t>ID NO. […]</w:t>
      </w:r>
      <w:r w:rsidR="00C80AE2" w:rsidRPr="007F677C">
        <w:rPr>
          <w:rFonts w:ascii="Times New Roman" w:hAnsi="Times New Roman" w:cs="Times New Roman"/>
          <w:b/>
          <w:color w:val="000000"/>
          <w:sz w:val="26"/>
          <w:szCs w:val="26"/>
        </w:rPr>
        <w:tab/>
        <w:t xml:space="preserve"> </w:t>
      </w:r>
      <w:r w:rsidR="00C80AE2" w:rsidRPr="007F677C">
        <w:rPr>
          <w:rFonts w:ascii="Times New Roman" w:hAnsi="Times New Roman" w:cs="Times New Roman"/>
          <w:b/>
          <w:color w:val="000000"/>
          <w:sz w:val="26"/>
          <w:szCs w:val="26"/>
        </w:rPr>
        <w:tab/>
      </w:r>
      <w:r w:rsidR="00C80AE2" w:rsidRPr="007F677C">
        <w:rPr>
          <w:rFonts w:ascii="Times New Roman" w:hAnsi="Times New Roman" w:cs="Times New Roman"/>
          <w:color w:val="000000"/>
          <w:sz w:val="26"/>
          <w:szCs w:val="26"/>
        </w:rPr>
        <w:t xml:space="preserve"> </w:t>
      </w:r>
      <w:r w:rsidR="00C80AE2" w:rsidRPr="007F677C">
        <w:rPr>
          <w:rFonts w:ascii="Times New Roman" w:hAnsi="Times New Roman" w:cs="Times New Roman"/>
          <w:color w:val="000000"/>
          <w:sz w:val="26"/>
          <w:szCs w:val="26"/>
        </w:rPr>
        <w:tab/>
      </w:r>
      <w:r w:rsidR="00C80AE2" w:rsidRPr="007F677C">
        <w:rPr>
          <w:rFonts w:ascii="Times New Roman" w:hAnsi="Times New Roman" w:cs="Times New Roman"/>
          <w:color w:val="000000"/>
          <w:sz w:val="26"/>
          <w:szCs w:val="26"/>
        </w:rPr>
        <w:tab/>
      </w:r>
      <w:r w:rsidR="00C80AE2" w:rsidRPr="007F677C">
        <w:rPr>
          <w:rFonts w:ascii="Times New Roman" w:hAnsi="Times New Roman" w:cs="Times New Roman"/>
          <w:color w:val="000000"/>
          <w:sz w:val="26"/>
          <w:szCs w:val="26"/>
        </w:rPr>
        <w:tab/>
      </w:r>
      <w:r w:rsidR="007F677C">
        <w:rPr>
          <w:rFonts w:ascii="Times New Roman" w:hAnsi="Times New Roman" w:cs="Times New Roman"/>
          <w:color w:val="000000"/>
          <w:sz w:val="26"/>
          <w:szCs w:val="26"/>
        </w:rPr>
        <w:tab/>
      </w:r>
      <w:r w:rsidR="00C80AE2" w:rsidRPr="007F677C">
        <w:rPr>
          <w:rFonts w:ascii="Times New Roman" w:hAnsi="Times New Roman" w:cs="Times New Roman"/>
          <w:color w:val="000000"/>
          <w:sz w:val="26"/>
          <w:szCs w:val="26"/>
        </w:rPr>
        <w:t xml:space="preserve">Second </w:t>
      </w:r>
      <w:r w:rsidR="006917D6">
        <w:rPr>
          <w:rFonts w:ascii="Times New Roman" w:hAnsi="Times New Roman" w:cs="Times New Roman"/>
          <w:color w:val="000000"/>
          <w:sz w:val="26"/>
          <w:szCs w:val="26"/>
        </w:rPr>
        <w:t>Applicant</w:t>
      </w:r>
    </w:p>
    <w:p w14:paraId="255D9015" w14:textId="116F090B" w:rsidR="00397049" w:rsidRDefault="00397049" w:rsidP="00E1326E">
      <w:pPr>
        <w:widowControl w:val="0"/>
        <w:autoSpaceDE w:val="0"/>
        <w:autoSpaceDN w:val="0"/>
        <w:adjustRightInd w:val="0"/>
        <w:contextualSpacing/>
        <w:rPr>
          <w:rFonts w:ascii="Times New Roman" w:hAnsi="Times New Roman" w:cs="Times New Roman"/>
          <w:color w:val="000000"/>
          <w:sz w:val="26"/>
          <w:szCs w:val="26"/>
        </w:rPr>
      </w:pPr>
    </w:p>
    <w:p w14:paraId="44502CB7" w14:textId="04469E52" w:rsidR="006917D6" w:rsidRDefault="006917D6" w:rsidP="00E1326E">
      <w:pPr>
        <w:widowControl w:val="0"/>
        <w:autoSpaceDE w:val="0"/>
        <w:autoSpaceDN w:val="0"/>
        <w:adjustRightInd w:val="0"/>
        <w:contextualSpacing/>
        <w:rPr>
          <w:rFonts w:ascii="Times New Roman" w:hAnsi="Times New Roman" w:cs="Times New Roman"/>
          <w:color w:val="000000"/>
          <w:sz w:val="26"/>
          <w:szCs w:val="26"/>
        </w:rPr>
      </w:pPr>
      <w:r>
        <w:rPr>
          <w:rFonts w:ascii="Times New Roman" w:hAnsi="Times New Roman" w:cs="Times New Roman"/>
          <w:color w:val="000000"/>
          <w:sz w:val="26"/>
          <w:szCs w:val="26"/>
        </w:rPr>
        <w:t>And</w:t>
      </w:r>
    </w:p>
    <w:p w14:paraId="0EE9C713" w14:textId="24346225" w:rsidR="006917D6" w:rsidRDefault="006917D6" w:rsidP="00E1326E">
      <w:pPr>
        <w:widowControl w:val="0"/>
        <w:autoSpaceDE w:val="0"/>
        <w:autoSpaceDN w:val="0"/>
        <w:adjustRightInd w:val="0"/>
        <w:contextualSpacing/>
        <w:rPr>
          <w:rFonts w:ascii="Times New Roman" w:hAnsi="Times New Roman" w:cs="Times New Roman"/>
          <w:color w:val="000000"/>
          <w:sz w:val="26"/>
          <w:szCs w:val="26"/>
        </w:rPr>
      </w:pPr>
    </w:p>
    <w:p w14:paraId="485398E3" w14:textId="77777777" w:rsidR="006917D6" w:rsidRPr="007F677C" w:rsidRDefault="006917D6" w:rsidP="00E1326E">
      <w:pPr>
        <w:widowControl w:val="0"/>
        <w:autoSpaceDE w:val="0"/>
        <w:autoSpaceDN w:val="0"/>
        <w:adjustRightInd w:val="0"/>
        <w:contextualSpacing/>
        <w:rPr>
          <w:rFonts w:ascii="Times New Roman" w:hAnsi="Times New Roman" w:cs="Times New Roman"/>
          <w:b/>
          <w:color w:val="000000"/>
          <w:sz w:val="26"/>
          <w:szCs w:val="26"/>
        </w:rPr>
      </w:pPr>
      <w:r w:rsidRPr="007F677C">
        <w:rPr>
          <w:rFonts w:ascii="Times New Roman" w:hAnsi="Times New Roman" w:cs="Times New Roman"/>
          <w:b/>
          <w:color w:val="000000"/>
          <w:sz w:val="26"/>
          <w:szCs w:val="26"/>
        </w:rPr>
        <w:t>THOZAMA DORA GXABEKA</w:t>
      </w:r>
    </w:p>
    <w:p w14:paraId="4A1D16AE" w14:textId="64930D80" w:rsidR="006917D6" w:rsidRPr="007F677C" w:rsidRDefault="006917D6" w:rsidP="00E1326E">
      <w:pPr>
        <w:widowControl w:val="0"/>
        <w:autoSpaceDE w:val="0"/>
        <w:autoSpaceDN w:val="0"/>
        <w:adjustRightInd w:val="0"/>
        <w:contextualSpacing/>
        <w:rPr>
          <w:rFonts w:ascii="Times New Roman" w:hAnsi="Times New Roman" w:cs="Times New Roman"/>
          <w:b/>
          <w:color w:val="000000"/>
          <w:sz w:val="26"/>
          <w:szCs w:val="26"/>
        </w:rPr>
      </w:pPr>
      <w:r w:rsidRPr="007F677C">
        <w:rPr>
          <w:rFonts w:ascii="Times New Roman" w:hAnsi="Times New Roman" w:cs="Times New Roman"/>
          <w:b/>
          <w:color w:val="000000"/>
          <w:sz w:val="26"/>
          <w:szCs w:val="26"/>
        </w:rPr>
        <w:t>(In her capacity as execut</w:t>
      </w:r>
      <w:r w:rsidR="00A05825">
        <w:rPr>
          <w:rFonts w:ascii="Times New Roman" w:hAnsi="Times New Roman" w:cs="Times New Roman"/>
          <w:b/>
          <w:color w:val="000000"/>
          <w:sz w:val="26"/>
          <w:szCs w:val="26"/>
        </w:rPr>
        <w:t>rix</w:t>
      </w:r>
      <w:r w:rsidRPr="007F677C">
        <w:rPr>
          <w:rFonts w:ascii="Times New Roman" w:hAnsi="Times New Roman" w:cs="Times New Roman"/>
          <w:b/>
          <w:color w:val="000000"/>
          <w:sz w:val="26"/>
          <w:szCs w:val="26"/>
        </w:rPr>
        <w:t xml:space="preserve"> of </w:t>
      </w:r>
    </w:p>
    <w:p w14:paraId="58FBDF5C" w14:textId="3D505370" w:rsidR="006917D6" w:rsidRPr="007F677C" w:rsidRDefault="006917D6" w:rsidP="00E1326E">
      <w:pPr>
        <w:widowControl w:val="0"/>
        <w:autoSpaceDE w:val="0"/>
        <w:autoSpaceDN w:val="0"/>
        <w:adjustRightInd w:val="0"/>
        <w:contextualSpacing/>
        <w:rPr>
          <w:rFonts w:ascii="Times New Roman" w:hAnsi="Times New Roman" w:cs="Times New Roman"/>
          <w:color w:val="000000"/>
          <w:sz w:val="26"/>
          <w:szCs w:val="26"/>
        </w:rPr>
      </w:pPr>
      <w:r w:rsidRPr="007F677C">
        <w:rPr>
          <w:rFonts w:ascii="Times New Roman" w:hAnsi="Times New Roman" w:cs="Times New Roman"/>
          <w:b/>
          <w:color w:val="000000"/>
          <w:sz w:val="26"/>
          <w:szCs w:val="26"/>
        </w:rPr>
        <w:t>Estate No. 001457/2021)</w:t>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Pr>
          <w:rFonts w:ascii="Times New Roman" w:hAnsi="Times New Roman" w:cs="Times New Roman"/>
          <w:color w:val="000000"/>
          <w:sz w:val="26"/>
          <w:szCs w:val="26"/>
        </w:rPr>
        <w:t>Respondent</w:t>
      </w:r>
    </w:p>
    <w:p w14:paraId="08A5DB52" w14:textId="2D39E075" w:rsidR="006917D6" w:rsidRDefault="006917D6" w:rsidP="00E1326E">
      <w:pPr>
        <w:widowControl w:val="0"/>
        <w:autoSpaceDE w:val="0"/>
        <w:autoSpaceDN w:val="0"/>
        <w:adjustRightInd w:val="0"/>
        <w:contextualSpacing/>
        <w:rPr>
          <w:rFonts w:ascii="Times New Roman" w:hAnsi="Times New Roman" w:cs="Times New Roman"/>
          <w:color w:val="000000"/>
          <w:sz w:val="26"/>
          <w:szCs w:val="26"/>
        </w:rPr>
      </w:pPr>
    </w:p>
    <w:p w14:paraId="6FB69C81" w14:textId="77777777" w:rsidR="00C4246B" w:rsidRDefault="00397049" w:rsidP="00E1326E">
      <w:pPr>
        <w:widowControl w:val="0"/>
        <w:autoSpaceDE w:val="0"/>
        <w:autoSpaceDN w:val="0"/>
        <w:adjustRightInd w:val="0"/>
        <w:contextualSpacing/>
        <w:rPr>
          <w:rFonts w:ascii="Times New Roman" w:hAnsi="Times New Roman" w:cs="Times New Roman"/>
          <w:b/>
          <w:sz w:val="26"/>
          <w:szCs w:val="26"/>
        </w:rPr>
      </w:pPr>
      <w:r w:rsidRPr="007F677C">
        <w:rPr>
          <w:rFonts w:ascii="Times New Roman" w:hAnsi="Times New Roman" w:cs="Times New Roman"/>
          <w:b/>
          <w:sz w:val="26"/>
          <w:szCs w:val="26"/>
        </w:rPr>
        <w:tab/>
      </w:r>
      <w:r w:rsidRPr="007F677C">
        <w:rPr>
          <w:rFonts w:ascii="Times New Roman" w:hAnsi="Times New Roman" w:cs="Times New Roman"/>
          <w:b/>
          <w:sz w:val="26"/>
          <w:szCs w:val="26"/>
        </w:rPr>
        <w:tab/>
      </w:r>
      <w:r w:rsidRPr="007F677C">
        <w:rPr>
          <w:rFonts w:ascii="Times New Roman" w:hAnsi="Times New Roman" w:cs="Times New Roman"/>
          <w:b/>
          <w:sz w:val="26"/>
          <w:szCs w:val="26"/>
        </w:rPr>
        <w:tab/>
      </w:r>
    </w:p>
    <w:p w14:paraId="2C88D704" w14:textId="77777777" w:rsidR="00C4246B" w:rsidRDefault="00C4246B" w:rsidP="00E1326E">
      <w:pPr>
        <w:rPr>
          <w:rFonts w:ascii="Times New Roman" w:hAnsi="Times New Roman" w:cs="Times New Roman"/>
          <w:b/>
          <w:sz w:val="26"/>
          <w:szCs w:val="26"/>
        </w:rPr>
      </w:pPr>
      <w:r>
        <w:rPr>
          <w:rFonts w:ascii="Times New Roman" w:hAnsi="Times New Roman" w:cs="Times New Roman"/>
          <w:b/>
          <w:sz w:val="26"/>
          <w:szCs w:val="26"/>
        </w:rPr>
        <w:br w:type="page"/>
      </w:r>
    </w:p>
    <w:p w14:paraId="2621C7B6" w14:textId="4B9EF77A" w:rsidR="00397049" w:rsidRPr="007F677C" w:rsidRDefault="00397049" w:rsidP="00E1326E">
      <w:pPr>
        <w:widowControl w:val="0"/>
        <w:autoSpaceDE w:val="0"/>
        <w:autoSpaceDN w:val="0"/>
        <w:adjustRightInd w:val="0"/>
        <w:contextualSpacing/>
        <w:rPr>
          <w:rFonts w:ascii="Times New Roman" w:hAnsi="Times New Roman" w:cs="Times New Roman"/>
          <w:color w:val="000000"/>
          <w:sz w:val="26"/>
          <w:szCs w:val="26"/>
        </w:rPr>
      </w:pPr>
      <w:r w:rsidRPr="007F677C">
        <w:rPr>
          <w:rFonts w:ascii="Times New Roman" w:hAnsi="Times New Roman" w:cs="Times New Roman"/>
          <w:color w:val="000000"/>
          <w:sz w:val="26"/>
          <w:szCs w:val="26"/>
        </w:rPr>
        <w:lastRenderedPageBreak/>
        <w:t>CASE NO.  444/2022</w:t>
      </w:r>
    </w:p>
    <w:p w14:paraId="549A8C08" w14:textId="77777777" w:rsidR="00C4246B" w:rsidRDefault="00C4246B" w:rsidP="00E1326E">
      <w:pPr>
        <w:widowControl w:val="0"/>
        <w:autoSpaceDE w:val="0"/>
        <w:autoSpaceDN w:val="0"/>
        <w:adjustRightInd w:val="0"/>
        <w:contextualSpacing/>
        <w:rPr>
          <w:rFonts w:ascii="Times New Roman" w:hAnsi="Times New Roman" w:cs="Times New Roman"/>
          <w:color w:val="000000"/>
          <w:sz w:val="26"/>
          <w:szCs w:val="26"/>
        </w:rPr>
      </w:pPr>
    </w:p>
    <w:p w14:paraId="065BD08B" w14:textId="18AD8A2C" w:rsidR="00397049" w:rsidRPr="007F677C" w:rsidRDefault="00397049" w:rsidP="00E1326E">
      <w:pPr>
        <w:widowControl w:val="0"/>
        <w:autoSpaceDE w:val="0"/>
        <w:autoSpaceDN w:val="0"/>
        <w:adjustRightInd w:val="0"/>
        <w:contextualSpacing/>
        <w:rPr>
          <w:rFonts w:ascii="Times New Roman" w:hAnsi="Times New Roman" w:cs="Times New Roman"/>
          <w:color w:val="000000"/>
          <w:sz w:val="26"/>
          <w:szCs w:val="26"/>
        </w:rPr>
      </w:pPr>
      <w:r w:rsidRPr="007F677C">
        <w:rPr>
          <w:rFonts w:ascii="Times New Roman" w:hAnsi="Times New Roman" w:cs="Times New Roman"/>
          <w:color w:val="000000"/>
          <w:sz w:val="26"/>
          <w:szCs w:val="26"/>
        </w:rPr>
        <w:t>In the matter between:</w:t>
      </w:r>
    </w:p>
    <w:p w14:paraId="0B5C1A39" w14:textId="77777777" w:rsidR="00397049" w:rsidRPr="007F677C" w:rsidRDefault="00397049" w:rsidP="00E1326E">
      <w:pPr>
        <w:widowControl w:val="0"/>
        <w:autoSpaceDE w:val="0"/>
        <w:autoSpaceDN w:val="0"/>
        <w:adjustRightInd w:val="0"/>
        <w:contextualSpacing/>
        <w:rPr>
          <w:rFonts w:ascii="Times New Roman" w:hAnsi="Times New Roman" w:cs="Times New Roman"/>
          <w:b/>
          <w:color w:val="000000"/>
          <w:sz w:val="26"/>
          <w:szCs w:val="26"/>
        </w:rPr>
      </w:pPr>
    </w:p>
    <w:p w14:paraId="6766B93F" w14:textId="77777777" w:rsidR="00397049" w:rsidRPr="007F677C" w:rsidRDefault="00397049" w:rsidP="00E1326E">
      <w:pPr>
        <w:widowControl w:val="0"/>
        <w:autoSpaceDE w:val="0"/>
        <w:autoSpaceDN w:val="0"/>
        <w:adjustRightInd w:val="0"/>
        <w:contextualSpacing/>
        <w:rPr>
          <w:rFonts w:ascii="Times New Roman" w:hAnsi="Times New Roman" w:cs="Times New Roman"/>
          <w:b/>
          <w:color w:val="000000"/>
          <w:sz w:val="26"/>
          <w:szCs w:val="26"/>
        </w:rPr>
      </w:pPr>
      <w:r w:rsidRPr="007F677C">
        <w:rPr>
          <w:rFonts w:ascii="Times New Roman" w:hAnsi="Times New Roman" w:cs="Times New Roman"/>
          <w:b/>
          <w:color w:val="000000"/>
          <w:sz w:val="26"/>
          <w:szCs w:val="26"/>
        </w:rPr>
        <w:t>ZUKISWA VIVIAN RAYI</w:t>
      </w:r>
    </w:p>
    <w:p w14:paraId="6ADD9D18" w14:textId="25BCA82D" w:rsidR="00397049" w:rsidRPr="007F677C" w:rsidRDefault="00E92BEA" w:rsidP="00E1326E">
      <w:pPr>
        <w:widowControl w:val="0"/>
        <w:autoSpaceDE w:val="0"/>
        <w:autoSpaceDN w:val="0"/>
        <w:adjustRightInd w:val="0"/>
        <w:contextualSpacing/>
        <w:rPr>
          <w:rFonts w:ascii="Times New Roman" w:hAnsi="Times New Roman" w:cs="Times New Roman"/>
          <w:color w:val="000000"/>
          <w:sz w:val="26"/>
          <w:szCs w:val="26"/>
        </w:rPr>
      </w:pPr>
      <w:r>
        <w:rPr>
          <w:rFonts w:ascii="Times New Roman" w:hAnsi="Times New Roman" w:cs="Times New Roman"/>
          <w:b/>
          <w:color w:val="000000"/>
          <w:sz w:val="26"/>
          <w:szCs w:val="26"/>
        </w:rPr>
        <w:t>IDENTITY NO. […]</w:t>
      </w:r>
      <w:r w:rsidR="00397049" w:rsidRPr="007F677C">
        <w:rPr>
          <w:rFonts w:ascii="Times New Roman" w:hAnsi="Times New Roman" w:cs="Times New Roman"/>
          <w:b/>
          <w:color w:val="000000"/>
          <w:sz w:val="26"/>
          <w:szCs w:val="26"/>
        </w:rPr>
        <w:t xml:space="preserve"> </w:t>
      </w:r>
      <w:r w:rsidR="00397049" w:rsidRPr="007F677C">
        <w:rPr>
          <w:rFonts w:ascii="Times New Roman" w:hAnsi="Times New Roman" w:cs="Times New Roman"/>
          <w:b/>
          <w:color w:val="000000"/>
          <w:sz w:val="26"/>
          <w:szCs w:val="26"/>
        </w:rPr>
        <w:tab/>
        <w:t xml:space="preserve"> </w:t>
      </w:r>
      <w:r w:rsidR="00397049" w:rsidRPr="007F677C">
        <w:rPr>
          <w:rFonts w:ascii="Times New Roman" w:hAnsi="Times New Roman" w:cs="Times New Roman"/>
          <w:b/>
          <w:color w:val="000000"/>
          <w:sz w:val="26"/>
          <w:szCs w:val="26"/>
        </w:rPr>
        <w:tab/>
      </w:r>
      <w:r w:rsidR="00397049" w:rsidRPr="007F677C">
        <w:rPr>
          <w:rFonts w:ascii="Times New Roman" w:hAnsi="Times New Roman" w:cs="Times New Roman"/>
          <w:b/>
          <w:color w:val="000000"/>
          <w:sz w:val="26"/>
          <w:szCs w:val="26"/>
        </w:rPr>
        <w:tab/>
      </w:r>
      <w:r w:rsidR="00397049" w:rsidRPr="007F677C">
        <w:rPr>
          <w:rFonts w:ascii="Times New Roman" w:hAnsi="Times New Roman" w:cs="Times New Roman"/>
          <w:color w:val="000000"/>
          <w:sz w:val="26"/>
          <w:szCs w:val="26"/>
        </w:rPr>
        <w:tab/>
        <w:t>First</w:t>
      </w:r>
      <w:r w:rsidR="006917D6">
        <w:rPr>
          <w:rFonts w:ascii="Times New Roman" w:hAnsi="Times New Roman" w:cs="Times New Roman"/>
          <w:color w:val="000000"/>
          <w:sz w:val="26"/>
          <w:szCs w:val="26"/>
        </w:rPr>
        <w:t xml:space="preserve"> Applicant</w:t>
      </w:r>
    </w:p>
    <w:p w14:paraId="52E0A18C" w14:textId="77777777" w:rsidR="00397049" w:rsidRPr="007F677C" w:rsidRDefault="00397049" w:rsidP="00E1326E">
      <w:pPr>
        <w:widowControl w:val="0"/>
        <w:autoSpaceDE w:val="0"/>
        <w:autoSpaceDN w:val="0"/>
        <w:adjustRightInd w:val="0"/>
        <w:contextualSpacing/>
        <w:rPr>
          <w:rFonts w:ascii="Times New Roman" w:hAnsi="Times New Roman" w:cs="Times New Roman"/>
          <w:color w:val="000000"/>
          <w:sz w:val="26"/>
          <w:szCs w:val="26"/>
        </w:rPr>
      </w:pPr>
    </w:p>
    <w:p w14:paraId="0EA24D35" w14:textId="77777777" w:rsidR="00397049" w:rsidRPr="007F677C" w:rsidRDefault="00397049" w:rsidP="00E1326E">
      <w:pPr>
        <w:widowControl w:val="0"/>
        <w:autoSpaceDE w:val="0"/>
        <w:autoSpaceDN w:val="0"/>
        <w:adjustRightInd w:val="0"/>
        <w:contextualSpacing/>
        <w:rPr>
          <w:rFonts w:ascii="Times New Roman" w:hAnsi="Times New Roman" w:cs="Times New Roman"/>
          <w:b/>
          <w:color w:val="000000"/>
          <w:sz w:val="26"/>
          <w:szCs w:val="26"/>
        </w:rPr>
      </w:pPr>
      <w:r w:rsidRPr="007F677C">
        <w:rPr>
          <w:rFonts w:ascii="Times New Roman" w:hAnsi="Times New Roman" w:cs="Times New Roman"/>
          <w:b/>
          <w:color w:val="000000"/>
          <w:sz w:val="26"/>
          <w:szCs w:val="26"/>
        </w:rPr>
        <w:t xml:space="preserve">SIMO RAYI </w:t>
      </w:r>
    </w:p>
    <w:p w14:paraId="04D8EB4A" w14:textId="70E679D4" w:rsidR="006917D6" w:rsidRDefault="00397049" w:rsidP="00E1326E">
      <w:pPr>
        <w:widowControl w:val="0"/>
        <w:autoSpaceDE w:val="0"/>
        <w:autoSpaceDN w:val="0"/>
        <w:adjustRightInd w:val="0"/>
        <w:contextualSpacing/>
        <w:rPr>
          <w:rFonts w:ascii="Times New Roman" w:hAnsi="Times New Roman" w:cs="Times New Roman"/>
          <w:color w:val="000000"/>
          <w:sz w:val="26"/>
          <w:szCs w:val="26"/>
        </w:rPr>
      </w:pPr>
      <w:r w:rsidRPr="007F677C">
        <w:rPr>
          <w:rFonts w:ascii="Times New Roman" w:hAnsi="Times New Roman" w:cs="Times New Roman"/>
          <w:b/>
          <w:color w:val="000000"/>
          <w:sz w:val="26"/>
          <w:szCs w:val="26"/>
        </w:rPr>
        <w:t xml:space="preserve">ID </w:t>
      </w:r>
      <w:r w:rsidR="00E92BEA">
        <w:rPr>
          <w:rFonts w:ascii="Times New Roman" w:hAnsi="Times New Roman" w:cs="Times New Roman"/>
          <w:b/>
          <w:color w:val="000000"/>
          <w:sz w:val="26"/>
          <w:szCs w:val="26"/>
        </w:rPr>
        <w:t>NO. […]</w:t>
      </w:r>
      <w:bookmarkStart w:id="0" w:name="_GoBack"/>
      <w:bookmarkEnd w:id="0"/>
      <w:r w:rsidRPr="007F677C">
        <w:rPr>
          <w:rFonts w:ascii="Times New Roman" w:hAnsi="Times New Roman" w:cs="Times New Roman"/>
          <w:b/>
          <w:color w:val="000000"/>
          <w:sz w:val="26"/>
          <w:szCs w:val="26"/>
        </w:rPr>
        <w:tab/>
        <w:t xml:space="preserve"> </w:t>
      </w:r>
      <w:r w:rsidRPr="007F677C">
        <w:rPr>
          <w:rFonts w:ascii="Times New Roman" w:hAnsi="Times New Roman" w:cs="Times New Roman"/>
          <w:b/>
          <w:color w:val="000000"/>
          <w:sz w:val="26"/>
          <w:szCs w:val="26"/>
        </w:rPr>
        <w:tab/>
      </w:r>
      <w:r w:rsidRPr="007F677C">
        <w:rPr>
          <w:rFonts w:ascii="Times New Roman" w:hAnsi="Times New Roman" w:cs="Times New Roman"/>
          <w:color w:val="000000"/>
          <w:sz w:val="26"/>
          <w:szCs w:val="26"/>
        </w:rPr>
        <w:t xml:space="preserve"> </w:t>
      </w:r>
      <w:r w:rsidRPr="007F677C">
        <w:rPr>
          <w:rFonts w:ascii="Times New Roman" w:hAnsi="Times New Roman" w:cs="Times New Roman"/>
          <w:color w:val="000000"/>
          <w:sz w:val="26"/>
          <w:szCs w:val="26"/>
        </w:rPr>
        <w:tab/>
      </w:r>
      <w:r w:rsidRPr="007F677C">
        <w:rPr>
          <w:rFonts w:ascii="Times New Roman" w:hAnsi="Times New Roman" w:cs="Times New Roman"/>
          <w:color w:val="000000"/>
          <w:sz w:val="26"/>
          <w:szCs w:val="26"/>
        </w:rPr>
        <w:tab/>
      </w:r>
      <w:r w:rsidRPr="007F677C">
        <w:rPr>
          <w:rFonts w:ascii="Times New Roman" w:hAnsi="Times New Roman" w:cs="Times New Roman"/>
          <w:color w:val="000000"/>
          <w:sz w:val="26"/>
          <w:szCs w:val="26"/>
        </w:rPr>
        <w:tab/>
      </w:r>
      <w:r w:rsidR="007F677C">
        <w:rPr>
          <w:rFonts w:ascii="Times New Roman" w:hAnsi="Times New Roman" w:cs="Times New Roman"/>
          <w:color w:val="000000"/>
          <w:sz w:val="26"/>
          <w:szCs w:val="26"/>
        </w:rPr>
        <w:tab/>
      </w:r>
      <w:r w:rsidRPr="007F677C">
        <w:rPr>
          <w:rFonts w:ascii="Times New Roman" w:hAnsi="Times New Roman" w:cs="Times New Roman"/>
          <w:color w:val="000000"/>
          <w:sz w:val="26"/>
          <w:szCs w:val="26"/>
        </w:rPr>
        <w:t xml:space="preserve">Second </w:t>
      </w:r>
      <w:r w:rsidR="006917D6">
        <w:rPr>
          <w:rFonts w:ascii="Times New Roman" w:hAnsi="Times New Roman" w:cs="Times New Roman"/>
          <w:color w:val="000000"/>
          <w:sz w:val="26"/>
          <w:szCs w:val="26"/>
        </w:rPr>
        <w:t>Applicant</w:t>
      </w:r>
    </w:p>
    <w:p w14:paraId="43BB5DE5" w14:textId="77777777" w:rsidR="006917D6" w:rsidRDefault="006917D6" w:rsidP="00E1326E">
      <w:pPr>
        <w:widowControl w:val="0"/>
        <w:autoSpaceDE w:val="0"/>
        <w:autoSpaceDN w:val="0"/>
        <w:adjustRightInd w:val="0"/>
        <w:contextualSpacing/>
        <w:rPr>
          <w:rFonts w:ascii="Times New Roman" w:hAnsi="Times New Roman" w:cs="Times New Roman"/>
          <w:color w:val="000000"/>
          <w:sz w:val="26"/>
          <w:szCs w:val="26"/>
        </w:rPr>
      </w:pPr>
    </w:p>
    <w:p w14:paraId="060DFA41" w14:textId="62F36863" w:rsidR="006917D6" w:rsidRPr="007F677C" w:rsidRDefault="006917D6" w:rsidP="00E1326E">
      <w:pPr>
        <w:widowControl w:val="0"/>
        <w:autoSpaceDE w:val="0"/>
        <w:autoSpaceDN w:val="0"/>
        <w:adjustRightInd w:val="0"/>
        <w:contextualSpacing/>
        <w:rPr>
          <w:rFonts w:ascii="Times New Roman" w:hAnsi="Times New Roman" w:cs="Times New Roman"/>
          <w:color w:val="000000"/>
          <w:sz w:val="26"/>
          <w:szCs w:val="26"/>
        </w:rPr>
      </w:pPr>
      <w:r>
        <w:rPr>
          <w:rFonts w:ascii="Times New Roman" w:hAnsi="Times New Roman" w:cs="Times New Roman"/>
          <w:color w:val="000000"/>
          <w:sz w:val="26"/>
          <w:szCs w:val="26"/>
        </w:rPr>
        <w:t xml:space="preserve">And </w:t>
      </w:r>
    </w:p>
    <w:p w14:paraId="61463DD8" w14:textId="77777777" w:rsidR="006917D6" w:rsidRPr="007F677C" w:rsidRDefault="006917D6" w:rsidP="00E1326E">
      <w:pPr>
        <w:widowControl w:val="0"/>
        <w:autoSpaceDE w:val="0"/>
        <w:autoSpaceDN w:val="0"/>
        <w:adjustRightInd w:val="0"/>
        <w:contextualSpacing/>
        <w:rPr>
          <w:rFonts w:ascii="Times New Roman" w:hAnsi="Times New Roman" w:cs="Times New Roman"/>
          <w:b/>
          <w:color w:val="000000"/>
          <w:sz w:val="26"/>
          <w:szCs w:val="26"/>
        </w:rPr>
      </w:pPr>
    </w:p>
    <w:p w14:paraId="5EBF6414" w14:textId="77777777" w:rsidR="006917D6" w:rsidRPr="007F677C" w:rsidRDefault="006917D6" w:rsidP="00E1326E">
      <w:pPr>
        <w:widowControl w:val="0"/>
        <w:autoSpaceDE w:val="0"/>
        <w:autoSpaceDN w:val="0"/>
        <w:adjustRightInd w:val="0"/>
        <w:contextualSpacing/>
        <w:rPr>
          <w:rFonts w:ascii="Times New Roman" w:hAnsi="Times New Roman" w:cs="Times New Roman"/>
          <w:b/>
          <w:color w:val="000000"/>
          <w:sz w:val="26"/>
          <w:szCs w:val="26"/>
        </w:rPr>
      </w:pPr>
      <w:r w:rsidRPr="007F677C">
        <w:rPr>
          <w:rFonts w:ascii="Times New Roman" w:hAnsi="Times New Roman" w:cs="Times New Roman"/>
          <w:b/>
          <w:color w:val="000000"/>
          <w:sz w:val="26"/>
          <w:szCs w:val="26"/>
        </w:rPr>
        <w:t>THOZAMA DORA GXABEKA</w:t>
      </w:r>
    </w:p>
    <w:p w14:paraId="6F6F4095" w14:textId="3ED1964C" w:rsidR="006917D6" w:rsidRPr="007F677C" w:rsidRDefault="006917D6" w:rsidP="00E1326E">
      <w:pPr>
        <w:widowControl w:val="0"/>
        <w:autoSpaceDE w:val="0"/>
        <w:autoSpaceDN w:val="0"/>
        <w:adjustRightInd w:val="0"/>
        <w:contextualSpacing/>
        <w:rPr>
          <w:rFonts w:ascii="Times New Roman" w:hAnsi="Times New Roman" w:cs="Times New Roman"/>
          <w:b/>
          <w:color w:val="000000"/>
          <w:sz w:val="26"/>
          <w:szCs w:val="26"/>
        </w:rPr>
      </w:pPr>
      <w:r w:rsidRPr="007F677C">
        <w:rPr>
          <w:rFonts w:ascii="Times New Roman" w:hAnsi="Times New Roman" w:cs="Times New Roman"/>
          <w:b/>
          <w:color w:val="000000"/>
          <w:sz w:val="26"/>
          <w:szCs w:val="26"/>
        </w:rPr>
        <w:t>(In her capacity as execu</w:t>
      </w:r>
      <w:r w:rsidR="00A05825">
        <w:rPr>
          <w:rFonts w:ascii="Times New Roman" w:hAnsi="Times New Roman" w:cs="Times New Roman"/>
          <w:b/>
          <w:color w:val="000000"/>
          <w:sz w:val="26"/>
          <w:szCs w:val="26"/>
        </w:rPr>
        <w:t>trix</w:t>
      </w:r>
      <w:r w:rsidRPr="007F677C">
        <w:rPr>
          <w:rFonts w:ascii="Times New Roman" w:hAnsi="Times New Roman" w:cs="Times New Roman"/>
          <w:b/>
          <w:color w:val="000000"/>
          <w:sz w:val="26"/>
          <w:szCs w:val="26"/>
        </w:rPr>
        <w:t xml:space="preserve"> of </w:t>
      </w:r>
    </w:p>
    <w:p w14:paraId="1A0D94DC" w14:textId="0FC126CF" w:rsidR="006917D6" w:rsidRPr="007F677C" w:rsidRDefault="006917D6" w:rsidP="00E1326E">
      <w:pPr>
        <w:widowControl w:val="0"/>
        <w:autoSpaceDE w:val="0"/>
        <w:autoSpaceDN w:val="0"/>
        <w:adjustRightInd w:val="0"/>
        <w:contextualSpacing/>
        <w:rPr>
          <w:rFonts w:ascii="Times New Roman" w:hAnsi="Times New Roman" w:cs="Times New Roman"/>
          <w:color w:val="000000"/>
          <w:sz w:val="26"/>
          <w:szCs w:val="26"/>
        </w:rPr>
      </w:pPr>
      <w:r w:rsidRPr="007F677C">
        <w:rPr>
          <w:rFonts w:ascii="Times New Roman" w:hAnsi="Times New Roman" w:cs="Times New Roman"/>
          <w:b/>
          <w:color w:val="000000"/>
          <w:sz w:val="26"/>
          <w:szCs w:val="26"/>
        </w:rPr>
        <w:t>Estate No. 001457/2021)</w:t>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sidRPr="007F677C">
        <w:rPr>
          <w:rFonts w:ascii="Times New Roman" w:hAnsi="Times New Roman" w:cs="Times New Roman"/>
          <w:b/>
          <w:color w:val="000000"/>
          <w:sz w:val="26"/>
          <w:szCs w:val="26"/>
        </w:rPr>
        <w:tab/>
      </w:r>
      <w:r>
        <w:rPr>
          <w:rFonts w:ascii="Times New Roman" w:hAnsi="Times New Roman" w:cs="Times New Roman"/>
          <w:color w:val="000000"/>
          <w:sz w:val="26"/>
          <w:szCs w:val="26"/>
        </w:rPr>
        <w:t>Respondent</w:t>
      </w:r>
    </w:p>
    <w:p w14:paraId="63D2DFEE" w14:textId="77777777" w:rsidR="00C80AE2" w:rsidRPr="007F677C" w:rsidRDefault="00C80AE2" w:rsidP="00E1326E">
      <w:pPr>
        <w:pBdr>
          <w:bottom w:val="single" w:sz="12" w:space="1" w:color="auto"/>
        </w:pBdr>
        <w:contextualSpacing/>
        <w:rPr>
          <w:rFonts w:ascii="Times New Roman" w:hAnsi="Times New Roman" w:cs="Times New Roman"/>
          <w:b/>
          <w:sz w:val="26"/>
          <w:szCs w:val="26"/>
        </w:rPr>
      </w:pPr>
    </w:p>
    <w:p w14:paraId="2BE58CB2" w14:textId="77777777" w:rsidR="00C80AE2" w:rsidRPr="007F677C" w:rsidRDefault="00C80AE2" w:rsidP="00E1326E">
      <w:pPr>
        <w:contextualSpacing/>
        <w:rPr>
          <w:rFonts w:ascii="Times New Roman" w:hAnsi="Times New Roman" w:cs="Times New Roman"/>
          <w:sz w:val="26"/>
          <w:szCs w:val="26"/>
        </w:rPr>
      </w:pPr>
      <w:r w:rsidRPr="007F677C">
        <w:rPr>
          <w:rFonts w:ascii="Times New Roman" w:hAnsi="Times New Roman" w:cs="Times New Roman"/>
          <w:sz w:val="26"/>
          <w:szCs w:val="26"/>
        </w:rPr>
        <w:t xml:space="preserve"> </w:t>
      </w:r>
    </w:p>
    <w:p w14:paraId="20535D56" w14:textId="5D4E96AF" w:rsidR="00C80AE2" w:rsidRPr="007F677C" w:rsidRDefault="00C80AE2" w:rsidP="009A3984">
      <w:pPr>
        <w:pBdr>
          <w:bottom w:val="single" w:sz="12" w:space="1" w:color="auto"/>
        </w:pBdr>
        <w:contextualSpacing/>
        <w:jc w:val="center"/>
        <w:rPr>
          <w:rFonts w:ascii="Times New Roman" w:hAnsi="Times New Roman" w:cs="Times New Roman"/>
          <w:b/>
          <w:sz w:val="26"/>
          <w:szCs w:val="26"/>
        </w:rPr>
      </w:pPr>
      <w:r w:rsidRPr="007F677C">
        <w:rPr>
          <w:rFonts w:ascii="Times New Roman" w:hAnsi="Times New Roman" w:cs="Times New Roman"/>
          <w:b/>
          <w:sz w:val="26"/>
          <w:szCs w:val="26"/>
        </w:rPr>
        <w:t xml:space="preserve">JUDGMENT </w:t>
      </w:r>
      <w:r w:rsidR="007F677C" w:rsidRPr="007F677C">
        <w:rPr>
          <w:rFonts w:ascii="Times New Roman" w:hAnsi="Times New Roman" w:cs="Times New Roman"/>
          <w:b/>
          <w:sz w:val="26"/>
          <w:szCs w:val="26"/>
        </w:rPr>
        <w:t>IN RESPECT OF</w:t>
      </w:r>
    </w:p>
    <w:p w14:paraId="615491FF" w14:textId="2685128B" w:rsidR="007F677C" w:rsidRPr="007F677C" w:rsidRDefault="007F677C" w:rsidP="009A3984">
      <w:pPr>
        <w:pBdr>
          <w:bottom w:val="single" w:sz="12" w:space="1" w:color="auto"/>
        </w:pBdr>
        <w:contextualSpacing/>
        <w:jc w:val="center"/>
        <w:rPr>
          <w:rFonts w:ascii="Times New Roman" w:hAnsi="Times New Roman" w:cs="Times New Roman"/>
          <w:b/>
          <w:sz w:val="26"/>
          <w:szCs w:val="26"/>
        </w:rPr>
      </w:pPr>
      <w:r w:rsidRPr="007F677C">
        <w:rPr>
          <w:rFonts w:ascii="Times New Roman" w:hAnsi="Times New Roman" w:cs="Times New Roman"/>
          <w:b/>
          <w:sz w:val="26"/>
          <w:szCs w:val="26"/>
        </w:rPr>
        <w:t>APPLICATION FOR LEAVE TO APPEAL</w:t>
      </w:r>
    </w:p>
    <w:p w14:paraId="39306976" w14:textId="77777777" w:rsidR="00C80AE2" w:rsidRPr="007F677C" w:rsidRDefault="00C80AE2" w:rsidP="009A3984">
      <w:pPr>
        <w:pBdr>
          <w:bottom w:val="single" w:sz="12" w:space="1" w:color="auto"/>
        </w:pBdr>
        <w:contextualSpacing/>
        <w:jc w:val="center"/>
        <w:rPr>
          <w:rFonts w:ascii="Times New Roman" w:hAnsi="Times New Roman" w:cs="Times New Roman"/>
          <w:b/>
          <w:sz w:val="26"/>
          <w:szCs w:val="26"/>
        </w:rPr>
      </w:pPr>
    </w:p>
    <w:p w14:paraId="114A96B5" w14:textId="77777777" w:rsidR="00C80AE2" w:rsidRPr="007F677C" w:rsidRDefault="00C80AE2" w:rsidP="00E1326E">
      <w:pPr>
        <w:tabs>
          <w:tab w:val="left" w:pos="567"/>
        </w:tabs>
        <w:ind w:hanging="709"/>
        <w:contextualSpacing/>
        <w:rPr>
          <w:rFonts w:ascii="Times New Roman" w:hAnsi="Times New Roman" w:cs="Times New Roman"/>
          <w:sz w:val="26"/>
          <w:szCs w:val="26"/>
        </w:rPr>
      </w:pPr>
    </w:p>
    <w:p w14:paraId="704F948D" w14:textId="77777777" w:rsidR="00C80AE2" w:rsidRPr="007F677C" w:rsidRDefault="00C80AE2" w:rsidP="00E1326E">
      <w:pPr>
        <w:pStyle w:val="ListParagraph"/>
        <w:tabs>
          <w:tab w:val="left" w:pos="0"/>
        </w:tabs>
        <w:spacing w:after="100" w:line="360" w:lineRule="auto"/>
        <w:ind w:left="0"/>
        <w:rPr>
          <w:rFonts w:ascii="Times New Roman" w:hAnsi="Times New Roman"/>
          <w:b/>
          <w:sz w:val="26"/>
          <w:szCs w:val="26"/>
        </w:rPr>
      </w:pPr>
      <w:r w:rsidRPr="007F677C">
        <w:rPr>
          <w:rFonts w:ascii="Times New Roman" w:hAnsi="Times New Roman"/>
          <w:b/>
          <w:sz w:val="26"/>
          <w:szCs w:val="26"/>
        </w:rPr>
        <w:t>HARTLE J</w:t>
      </w:r>
    </w:p>
    <w:p w14:paraId="3A82BF7B" w14:textId="1F4C669C" w:rsidR="00E923CE" w:rsidRPr="007F677C" w:rsidRDefault="00E923CE" w:rsidP="00E1326E">
      <w:pPr>
        <w:pStyle w:val="ListParagraph"/>
        <w:spacing w:after="100" w:line="360" w:lineRule="auto"/>
        <w:rPr>
          <w:rFonts w:ascii="Times New Roman" w:hAnsi="Times New Roman"/>
          <w:sz w:val="26"/>
          <w:szCs w:val="26"/>
        </w:rPr>
      </w:pPr>
    </w:p>
    <w:p w14:paraId="76700F85" w14:textId="045CB78B" w:rsidR="007F677C"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[1]</w:t>
      </w:r>
      <w:r>
        <w:rPr>
          <w:rFonts w:ascii="Times New Roman" w:eastAsia="Calibri" w:hAnsi="Times New Roman" w:cs="Times New Roman"/>
          <w:sz w:val="26"/>
          <w:szCs w:val="26"/>
          <w:lang w:val="en-US"/>
        </w:rPr>
        <w:tab/>
      </w:r>
      <w:r w:rsidR="007F677C" w:rsidRPr="007529C4">
        <w:rPr>
          <w:rFonts w:ascii="Times New Roman" w:hAnsi="Times New Roman"/>
          <w:sz w:val="26"/>
          <w:szCs w:val="26"/>
        </w:rPr>
        <w:t xml:space="preserve">The applicants applied for leave to appeal against the whole of my </w:t>
      </w:r>
      <w:r w:rsidR="006917D6" w:rsidRPr="007529C4">
        <w:rPr>
          <w:rFonts w:ascii="Times New Roman" w:hAnsi="Times New Roman"/>
          <w:sz w:val="26"/>
          <w:szCs w:val="26"/>
        </w:rPr>
        <w:t xml:space="preserve">combined </w:t>
      </w:r>
      <w:r w:rsidR="007F677C" w:rsidRPr="007529C4">
        <w:rPr>
          <w:rFonts w:ascii="Times New Roman" w:hAnsi="Times New Roman"/>
          <w:sz w:val="26"/>
          <w:szCs w:val="26"/>
        </w:rPr>
        <w:t>judgment delivered on 16</w:t>
      </w:r>
      <w:r w:rsidR="007F677C" w:rsidRPr="007529C4">
        <w:rPr>
          <w:rFonts w:ascii="Times New Roman" w:hAnsi="Times New Roman"/>
          <w:sz w:val="26"/>
          <w:szCs w:val="26"/>
          <w:vertAlign w:val="superscript"/>
        </w:rPr>
        <w:t>th</w:t>
      </w:r>
      <w:r w:rsidR="007F677C" w:rsidRPr="007529C4">
        <w:rPr>
          <w:rFonts w:ascii="Times New Roman" w:hAnsi="Times New Roman"/>
          <w:sz w:val="26"/>
          <w:szCs w:val="26"/>
        </w:rPr>
        <w:t xml:space="preserve"> September 2022 under the case numbers 3912/2021 and 444/2022 referred to above “on facts and points of law”.</w:t>
      </w:r>
    </w:p>
    <w:p w14:paraId="7B281343" w14:textId="77777777" w:rsidR="007F677C" w:rsidRPr="007F677C" w:rsidRDefault="007F677C" w:rsidP="00E1326E">
      <w:pPr>
        <w:pStyle w:val="ListParagraph"/>
        <w:spacing w:after="100" w:line="360" w:lineRule="auto"/>
        <w:rPr>
          <w:rFonts w:ascii="Times New Roman" w:hAnsi="Times New Roman"/>
          <w:sz w:val="26"/>
          <w:szCs w:val="26"/>
        </w:rPr>
      </w:pPr>
    </w:p>
    <w:p w14:paraId="047A5ED4" w14:textId="67DBD221" w:rsidR="007F677C"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lastRenderedPageBreak/>
        <w:t>[2]</w:t>
      </w:r>
      <w:r>
        <w:rPr>
          <w:rFonts w:ascii="Times New Roman" w:eastAsia="Calibri" w:hAnsi="Times New Roman" w:cs="Times New Roman"/>
          <w:sz w:val="26"/>
          <w:szCs w:val="26"/>
          <w:lang w:val="en-US"/>
        </w:rPr>
        <w:tab/>
      </w:r>
      <w:r w:rsidR="007F677C" w:rsidRPr="007529C4">
        <w:rPr>
          <w:rFonts w:ascii="Times New Roman" w:hAnsi="Times New Roman"/>
          <w:sz w:val="26"/>
          <w:szCs w:val="26"/>
        </w:rPr>
        <w:t>The respondent opposes the application on the basis that in both matters no reasonable prospects of success exist in the envisaged appeals. This is indeed the threshold for an application such as the present one as provided for in section 17 (1) (a) of the Superior Courts Act, No. 10 of 2013</w:t>
      </w:r>
      <w:r w:rsidR="004A3118" w:rsidRPr="007529C4">
        <w:rPr>
          <w:rFonts w:ascii="Times New Roman" w:hAnsi="Times New Roman"/>
          <w:sz w:val="26"/>
          <w:szCs w:val="26"/>
        </w:rPr>
        <w:t xml:space="preserve"> (“SCA”)</w:t>
      </w:r>
      <w:r w:rsidR="007F677C" w:rsidRPr="007529C4">
        <w:rPr>
          <w:rFonts w:ascii="Times New Roman" w:hAnsi="Times New Roman"/>
          <w:sz w:val="26"/>
          <w:szCs w:val="26"/>
        </w:rPr>
        <w:t>.</w:t>
      </w:r>
      <w:r w:rsidR="004A3118" w:rsidRPr="007529C4">
        <w:rPr>
          <w:rFonts w:ascii="Times New Roman" w:hAnsi="Times New Roman"/>
          <w:sz w:val="26"/>
          <w:szCs w:val="26"/>
        </w:rPr>
        <w:t xml:space="preserve">  It is however </w:t>
      </w:r>
      <w:r w:rsidR="00B465A7" w:rsidRPr="007529C4">
        <w:rPr>
          <w:rFonts w:ascii="Times New Roman" w:hAnsi="Times New Roman"/>
          <w:sz w:val="26"/>
          <w:szCs w:val="26"/>
        </w:rPr>
        <w:t xml:space="preserve">also </w:t>
      </w:r>
      <w:r w:rsidR="004A3118" w:rsidRPr="007529C4">
        <w:rPr>
          <w:rFonts w:ascii="Times New Roman" w:hAnsi="Times New Roman"/>
          <w:sz w:val="26"/>
          <w:szCs w:val="26"/>
        </w:rPr>
        <w:t xml:space="preserve">relevant to refer </w:t>
      </w:r>
      <w:r w:rsidR="00B465A7" w:rsidRPr="007529C4">
        <w:rPr>
          <w:rFonts w:ascii="Times New Roman" w:hAnsi="Times New Roman"/>
          <w:sz w:val="26"/>
          <w:szCs w:val="26"/>
        </w:rPr>
        <w:t xml:space="preserve">to </w:t>
      </w:r>
      <w:r w:rsidR="004A3118" w:rsidRPr="007529C4">
        <w:rPr>
          <w:rFonts w:ascii="Times New Roman" w:hAnsi="Times New Roman"/>
          <w:sz w:val="26"/>
          <w:szCs w:val="26"/>
        </w:rPr>
        <w:t>the</w:t>
      </w:r>
      <w:r w:rsidR="00B465A7" w:rsidRPr="007529C4">
        <w:rPr>
          <w:rFonts w:ascii="Times New Roman" w:hAnsi="Times New Roman"/>
          <w:sz w:val="26"/>
          <w:szCs w:val="26"/>
        </w:rPr>
        <w:t xml:space="preserve"> provisions of</w:t>
      </w:r>
      <w:r w:rsidR="004A3118" w:rsidRPr="007529C4">
        <w:rPr>
          <w:rFonts w:ascii="Times New Roman" w:hAnsi="Times New Roman"/>
          <w:sz w:val="26"/>
          <w:szCs w:val="26"/>
        </w:rPr>
        <w:t xml:space="preserve"> section 16 (2) (a)(</w:t>
      </w:r>
      <w:proofErr w:type="spellStart"/>
      <w:r w:rsidR="004A3118" w:rsidRPr="007529C4">
        <w:rPr>
          <w:rFonts w:ascii="Times New Roman" w:hAnsi="Times New Roman"/>
          <w:sz w:val="26"/>
          <w:szCs w:val="26"/>
        </w:rPr>
        <w:t>i</w:t>
      </w:r>
      <w:proofErr w:type="spellEnd"/>
      <w:r w:rsidR="004A3118" w:rsidRPr="007529C4">
        <w:rPr>
          <w:rFonts w:ascii="Times New Roman" w:hAnsi="Times New Roman"/>
          <w:sz w:val="26"/>
          <w:szCs w:val="26"/>
        </w:rPr>
        <w:t>) of the SCA that provide that when at the hearing of an appeal the issues are of such a nature that the dec</w:t>
      </w:r>
      <w:r w:rsidR="00B465A7" w:rsidRPr="007529C4">
        <w:rPr>
          <w:rFonts w:ascii="Times New Roman" w:hAnsi="Times New Roman"/>
          <w:sz w:val="26"/>
          <w:szCs w:val="26"/>
        </w:rPr>
        <w:t>ision</w:t>
      </w:r>
      <w:r w:rsidR="004A3118" w:rsidRPr="007529C4">
        <w:rPr>
          <w:rFonts w:ascii="Times New Roman" w:hAnsi="Times New Roman"/>
          <w:sz w:val="26"/>
          <w:szCs w:val="26"/>
        </w:rPr>
        <w:t xml:space="preserve"> will have no practical effect or result</w:t>
      </w:r>
      <w:r w:rsidR="00B465A7" w:rsidRPr="007529C4">
        <w:rPr>
          <w:rFonts w:ascii="Times New Roman" w:hAnsi="Times New Roman"/>
          <w:sz w:val="26"/>
          <w:szCs w:val="26"/>
        </w:rPr>
        <w:t>, t</w:t>
      </w:r>
      <w:r w:rsidR="004A3118" w:rsidRPr="007529C4">
        <w:rPr>
          <w:rFonts w:ascii="Times New Roman" w:hAnsi="Times New Roman"/>
          <w:sz w:val="26"/>
          <w:szCs w:val="26"/>
        </w:rPr>
        <w:t>he appeal may be dismissed on this ground alone.</w:t>
      </w:r>
      <w:r w:rsidR="00B465A7" w:rsidRPr="007529C4">
        <w:rPr>
          <w:rFonts w:ascii="Times New Roman" w:hAnsi="Times New Roman"/>
          <w:sz w:val="26"/>
          <w:szCs w:val="26"/>
        </w:rPr>
        <w:t xml:space="preserve">  The relevance of this provision to the present scenario will soon become apparent.</w:t>
      </w:r>
    </w:p>
    <w:p w14:paraId="65949E31" w14:textId="77777777" w:rsidR="007F677C" w:rsidRPr="007F677C" w:rsidRDefault="007F677C" w:rsidP="00E1326E">
      <w:pPr>
        <w:pStyle w:val="ListParagraph"/>
        <w:spacing w:after="100" w:line="360" w:lineRule="auto"/>
        <w:rPr>
          <w:rFonts w:ascii="Times New Roman" w:hAnsi="Times New Roman"/>
          <w:sz w:val="26"/>
          <w:szCs w:val="26"/>
        </w:rPr>
      </w:pPr>
    </w:p>
    <w:p w14:paraId="4AB614FF" w14:textId="626DE67E" w:rsidR="007F677C"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[3]</w:t>
      </w:r>
      <w:r>
        <w:rPr>
          <w:rFonts w:ascii="Times New Roman" w:eastAsia="Calibri" w:hAnsi="Times New Roman" w:cs="Times New Roman"/>
          <w:sz w:val="26"/>
          <w:szCs w:val="26"/>
          <w:lang w:val="en-US"/>
        </w:rPr>
        <w:tab/>
      </w:r>
      <w:r w:rsidR="007F677C" w:rsidRPr="007529C4">
        <w:rPr>
          <w:rFonts w:ascii="Times New Roman" w:hAnsi="Times New Roman"/>
          <w:sz w:val="26"/>
          <w:szCs w:val="26"/>
        </w:rPr>
        <w:t>In respect of the spoliation matter firstly, the applicants contend that I erred in upholding the application and in granting costs and also that I ought to have found that the non</w:t>
      </w:r>
      <w:r w:rsidR="002E4A03" w:rsidRPr="007529C4">
        <w:rPr>
          <w:rFonts w:ascii="Times New Roman" w:hAnsi="Times New Roman"/>
          <w:sz w:val="26"/>
          <w:szCs w:val="26"/>
        </w:rPr>
        <w:t>-</w:t>
      </w:r>
      <w:r w:rsidR="007F677C" w:rsidRPr="007529C4">
        <w:rPr>
          <w:rFonts w:ascii="Times New Roman" w:hAnsi="Times New Roman"/>
          <w:sz w:val="26"/>
          <w:szCs w:val="26"/>
        </w:rPr>
        <w:t xml:space="preserve">joinder of the </w:t>
      </w:r>
      <w:r w:rsidR="006917D6" w:rsidRPr="007529C4">
        <w:rPr>
          <w:rFonts w:ascii="Times New Roman" w:hAnsi="Times New Roman"/>
          <w:sz w:val="26"/>
          <w:szCs w:val="26"/>
        </w:rPr>
        <w:t>M</w:t>
      </w:r>
      <w:r w:rsidR="007F677C" w:rsidRPr="007529C4">
        <w:rPr>
          <w:rFonts w:ascii="Times New Roman" w:hAnsi="Times New Roman"/>
          <w:sz w:val="26"/>
          <w:szCs w:val="26"/>
        </w:rPr>
        <w:t>aster was fatally defective to the application.</w:t>
      </w:r>
    </w:p>
    <w:p w14:paraId="1E70ECC8" w14:textId="77777777" w:rsidR="00A05825" w:rsidRPr="00A05825" w:rsidRDefault="00A05825" w:rsidP="00E1326E">
      <w:pPr>
        <w:pStyle w:val="ListParagraph"/>
        <w:spacing w:after="100" w:line="360" w:lineRule="auto"/>
        <w:rPr>
          <w:rFonts w:ascii="Times New Roman" w:hAnsi="Times New Roman"/>
          <w:sz w:val="26"/>
          <w:szCs w:val="26"/>
        </w:rPr>
      </w:pPr>
    </w:p>
    <w:p w14:paraId="0558102B" w14:textId="3EEE4B10" w:rsidR="00A05825"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[4]</w:t>
      </w:r>
      <w:r>
        <w:rPr>
          <w:rFonts w:ascii="Times New Roman" w:eastAsia="Calibri" w:hAnsi="Times New Roman" w:cs="Times New Roman"/>
          <w:sz w:val="26"/>
          <w:szCs w:val="26"/>
          <w:lang w:val="en-US"/>
        </w:rPr>
        <w:tab/>
      </w:r>
      <w:r w:rsidR="00A05825" w:rsidRPr="007529C4">
        <w:rPr>
          <w:rFonts w:ascii="Times New Roman" w:hAnsi="Times New Roman"/>
          <w:sz w:val="26"/>
          <w:szCs w:val="26"/>
          <w:lang w:val="en-GB"/>
        </w:rPr>
        <w:t>The applicant appears</w:t>
      </w:r>
      <w:r w:rsidR="004A3118" w:rsidRPr="007529C4">
        <w:rPr>
          <w:rFonts w:ascii="Times New Roman" w:hAnsi="Times New Roman"/>
          <w:sz w:val="26"/>
          <w:szCs w:val="26"/>
          <w:lang w:val="en-GB"/>
        </w:rPr>
        <w:t xml:space="preserve"> however</w:t>
      </w:r>
      <w:r w:rsidR="00A05825" w:rsidRPr="007529C4">
        <w:rPr>
          <w:rFonts w:ascii="Times New Roman" w:hAnsi="Times New Roman"/>
          <w:sz w:val="26"/>
          <w:szCs w:val="26"/>
          <w:lang w:val="en-GB"/>
        </w:rPr>
        <w:t xml:space="preserve"> to have misunderstood the nature of the spoliation remedy or its utility to the unique scenario that pertained.</w:t>
      </w:r>
    </w:p>
    <w:p w14:paraId="1E91134A" w14:textId="77777777" w:rsidR="006917D6" w:rsidRPr="006917D6" w:rsidRDefault="006917D6" w:rsidP="00E1326E">
      <w:pPr>
        <w:pStyle w:val="ListParagraph"/>
        <w:spacing w:after="100" w:line="360" w:lineRule="auto"/>
        <w:rPr>
          <w:rFonts w:ascii="Times New Roman" w:hAnsi="Times New Roman"/>
          <w:sz w:val="26"/>
          <w:szCs w:val="26"/>
        </w:rPr>
      </w:pPr>
    </w:p>
    <w:p w14:paraId="59174F29" w14:textId="599D5E1B" w:rsidR="00650754"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[5]</w:t>
      </w:r>
      <w:r>
        <w:rPr>
          <w:rFonts w:ascii="Times New Roman" w:eastAsia="Calibri" w:hAnsi="Times New Roman" w:cs="Times New Roman"/>
          <w:sz w:val="26"/>
          <w:szCs w:val="26"/>
          <w:lang w:val="en-US"/>
        </w:rPr>
        <w:tab/>
      </w:r>
      <w:r w:rsidR="006917D6" w:rsidRPr="007529C4">
        <w:rPr>
          <w:rFonts w:ascii="Times New Roman" w:hAnsi="Times New Roman"/>
          <w:sz w:val="26"/>
          <w:szCs w:val="26"/>
        </w:rPr>
        <w:t>The respondent’s allegation in her founding affidavit in the spoliation application that she assumed conscious physical control of the property after her sister died was not gainsaid by the applicants.  Not only did she take possession but she took steps both before and after her appointment as executor in both estates, initially in the nature envisaged by section 11 (1)(b) of the Administrati</w:t>
      </w:r>
      <w:r w:rsidR="00650754" w:rsidRPr="007529C4">
        <w:rPr>
          <w:rFonts w:ascii="Times New Roman" w:hAnsi="Times New Roman"/>
          <w:sz w:val="26"/>
          <w:szCs w:val="26"/>
        </w:rPr>
        <w:t>on</w:t>
      </w:r>
      <w:r w:rsidR="006917D6" w:rsidRPr="007529C4">
        <w:rPr>
          <w:rFonts w:ascii="Times New Roman" w:hAnsi="Times New Roman"/>
          <w:sz w:val="26"/>
          <w:szCs w:val="26"/>
        </w:rPr>
        <w:t xml:space="preserve"> of Estates Ac</w:t>
      </w:r>
      <w:r w:rsidR="002E4A03" w:rsidRPr="007529C4">
        <w:rPr>
          <w:rFonts w:ascii="Times New Roman" w:hAnsi="Times New Roman"/>
          <w:sz w:val="26"/>
          <w:szCs w:val="26"/>
        </w:rPr>
        <w:t>t, No. 66 of 1965 (“the Act”)</w:t>
      </w:r>
      <w:r w:rsidR="006917D6" w:rsidRPr="007529C4">
        <w:rPr>
          <w:rFonts w:ascii="Times New Roman" w:hAnsi="Times New Roman"/>
          <w:sz w:val="26"/>
          <w:szCs w:val="26"/>
        </w:rPr>
        <w:t xml:space="preserve"> with a view to obtaining and retaining possession or custody of the property that her late sister</w:t>
      </w:r>
      <w:r w:rsidR="00650754" w:rsidRPr="007529C4">
        <w:rPr>
          <w:rFonts w:ascii="Times New Roman" w:hAnsi="Times New Roman"/>
          <w:sz w:val="26"/>
          <w:szCs w:val="26"/>
        </w:rPr>
        <w:t xml:space="preserve"> (</w:t>
      </w:r>
      <w:r w:rsidR="006917D6" w:rsidRPr="007529C4">
        <w:rPr>
          <w:rFonts w:ascii="Times New Roman" w:hAnsi="Times New Roman"/>
          <w:sz w:val="26"/>
          <w:szCs w:val="26"/>
        </w:rPr>
        <w:t xml:space="preserve">as an executor herself in her late son’s estate and </w:t>
      </w:r>
      <w:r w:rsidR="00650754" w:rsidRPr="007529C4">
        <w:rPr>
          <w:rFonts w:ascii="Times New Roman" w:hAnsi="Times New Roman"/>
          <w:sz w:val="26"/>
          <w:szCs w:val="26"/>
        </w:rPr>
        <w:t xml:space="preserve">as </w:t>
      </w:r>
      <w:r w:rsidR="006917D6" w:rsidRPr="007529C4">
        <w:rPr>
          <w:rFonts w:ascii="Times New Roman" w:hAnsi="Times New Roman"/>
          <w:sz w:val="26"/>
          <w:szCs w:val="26"/>
        </w:rPr>
        <w:t>a possible intestate heir</w:t>
      </w:r>
      <w:r w:rsidR="00993D8D" w:rsidRPr="007529C4">
        <w:rPr>
          <w:rFonts w:ascii="Times New Roman" w:hAnsi="Times New Roman"/>
          <w:sz w:val="26"/>
          <w:szCs w:val="26"/>
        </w:rPr>
        <w:t>)</w:t>
      </w:r>
      <w:r w:rsidR="006917D6" w:rsidRPr="007529C4">
        <w:rPr>
          <w:rFonts w:ascii="Times New Roman" w:hAnsi="Times New Roman"/>
          <w:sz w:val="26"/>
          <w:szCs w:val="26"/>
        </w:rPr>
        <w:t xml:space="preserve"> had assumed control and custody of</w:t>
      </w:r>
      <w:r w:rsidR="009B7C85" w:rsidRPr="007529C4">
        <w:rPr>
          <w:rFonts w:ascii="Times New Roman" w:hAnsi="Times New Roman"/>
          <w:sz w:val="26"/>
          <w:szCs w:val="26"/>
        </w:rPr>
        <w:t>,</w:t>
      </w:r>
      <w:r w:rsidR="00030F34" w:rsidRPr="007529C4">
        <w:rPr>
          <w:rFonts w:ascii="Times New Roman" w:hAnsi="Times New Roman"/>
          <w:sz w:val="26"/>
          <w:szCs w:val="26"/>
        </w:rPr>
        <w:t xml:space="preserve"> and later in terms of section 26 (1)</w:t>
      </w:r>
      <w:r w:rsidR="00650754" w:rsidRPr="007529C4">
        <w:rPr>
          <w:rFonts w:ascii="Times New Roman" w:hAnsi="Times New Roman"/>
          <w:sz w:val="26"/>
          <w:szCs w:val="26"/>
        </w:rPr>
        <w:t xml:space="preserve"> </w:t>
      </w:r>
      <w:r w:rsidR="00650754" w:rsidRPr="007529C4">
        <w:rPr>
          <w:rFonts w:ascii="Times New Roman" w:hAnsi="Times New Roman"/>
          <w:sz w:val="26"/>
          <w:szCs w:val="26"/>
        </w:rPr>
        <w:lastRenderedPageBreak/>
        <w:t>of the Act</w:t>
      </w:r>
      <w:r w:rsidR="00030F34" w:rsidRPr="007529C4">
        <w:rPr>
          <w:rFonts w:ascii="Times New Roman" w:hAnsi="Times New Roman"/>
          <w:sz w:val="26"/>
          <w:szCs w:val="26"/>
        </w:rPr>
        <w:t xml:space="preserve"> to manage</w:t>
      </w:r>
      <w:r w:rsidR="00650754" w:rsidRPr="007529C4">
        <w:rPr>
          <w:rFonts w:ascii="Times New Roman" w:hAnsi="Times New Roman"/>
          <w:sz w:val="26"/>
          <w:szCs w:val="26"/>
        </w:rPr>
        <w:t xml:space="preserve"> the property</w:t>
      </w:r>
      <w:r w:rsidR="00030F34" w:rsidRPr="007529C4">
        <w:rPr>
          <w:rFonts w:ascii="Times New Roman" w:hAnsi="Times New Roman"/>
          <w:sz w:val="26"/>
          <w:szCs w:val="26"/>
        </w:rPr>
        <w:t xml:space="preserve"> in the interest</w:t>
      </w:r>
      <w:r w:rsidR="00DA5EB5" w:rsidRPr="007529C4">
        <w:rPr>
          <w:rFonts w:ascii="Times New Roman" w:hAnsi="Times New Roman"/>
          <w:sz w:val="26"/>
          <w:szCs w:val="26"/>
        </w:rPr>
        <w:t>s</w:t>
      </w:r>
      <w:r w:rsidR="00030F34" w:rsidRPr="007529C4">
        <w:rPr>
          <w:rFonts w:ascii="Times New Roman" w:hAnsi="Times New Roman"/>
          <w:sz w:val="26"/>
          <w:szCs w:val="26"/>
        </w:rPr>
        <w:t xml:space="preserve"> of </w:t>
      </w:r>
      <w:r w:rsidR="00A05825" w:rsidRPr="007529C4">
        <w:rPr>
          <w:rFonts w:ascii="Times New Roman" w:hAnsi="Times New Roman"/>
          <w:sz w:val="26"/>
          <w:szCs w:val="26"/>
        </w:rPr>
        <w:t>her sister and nephew’s</w:t>
      </w:r>
      <w:r w:rsidR="00030F34" w:rsidRPr="007529C4">
        <w:rPr>
          <w:rFonts w:ascii="Times New Roman" w:hAnsi="Times New Roman"/>
          <w:sz w:val="26"/>
          <w:szCs w:val="26"/>
        </w:rPr>
        <w:t xml:space="preserve"> estates</w:t>
      </w:r>
      <w:r w:rsidR="00A05825" w:rsidRPr="007529C4">
        <w:rPr>
          <w:rFonts w:ascii="Times New Roman" w:hAnsi="Times New Roman"/>
          <w:sz w:val="26"/>
          <w:szCs w:val="26"/>
        </w:rPr>
        <w:t xml:space="preserve"> respectively</w:t>
      </w:r>
      <w:r w:rsidR="00030F34" w:rsidRPr="007529C4">
        <w:rPr>
          <w:rFonts w:ascii="Times New Roman" w:hAnsi="Times New Roman"/>
          <w:sz w:val="26"/>
          <w:szCs w:val="26"/>
        </w:rPr>
        <w:t>.</w:t>
      </w:r>
      <w:r w:rsidR="00B465A7">
        <w:rPr>
          <w:rStyle w:val="FootnoteReference"/>
          <w:rFonts w:ascii="Times New Roman" w:hAnsi="Times New Roman"/>
          <w:sz w:val="26"/>
          <w:szCs w:val="26"/>
        </w:rPr>
        <w:footnoteReference w:id="1"/>
      </w:r>
      <w:r w:rsidR="00030F34" w:rsidRPr="007529C4">
        <w:rPr>
          <w:rFonts w:ascii="Times New Roman" w:hAnsi="Times New Roman"/>
          <w:sz w:val="26"/>
          <w:szCs w:val="26"/>
        </w:rPr>
        <w:t xml:space="preserve">  </w:t>
      </w:r>
    </w:p>
    <w:p w14:paraId="6E44C9A2" w14:textId="77777777" w:rsidR="00650754" w:rsidRPr="00650754" w:rsidRDefault="00650754" w:rsidP="00E1326E">
      <w:pPr>
        <w:pStyle w:val="ListParagraph"/>
        <w:spacing w:after="100" w:line="360" w:lineRule="auto"/>
        <w:rPr>
          <w:rFonts w:ascii="Times New Roman" w:hAnsi="Times New Roman"/>
          <w:sz w:val="26"/>
          <w:szCs w:val="26"/>
        </w:rPr>
      </w:pPr>
    </w:p>
    <w:p w14:paraId="058370F5" w14:textId="14508201" w:rsidR="006917D6"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[6]</w:t>
      </w:r>
      <w:r>
        <w:rPr>
          <w:rFonts w:ascii="Times New Roman" w:eastAsia="Calibri" w:hAnsi="Times New Roman" w:cs="Times New Roman"/>
          <w:sz w:val="26"/>
          <w:szCs w:val="26"/>
          <w:lang w:val="en-US"/>
        </w:rPr>
        <w:tab/>
      </w:r>
      <w:r w:rsidR="00A05825" w:rsidRPr="007529C4">
        <w:rPr>
          <w:rFonts w:ascii="Times New Roman" w:hAnsi="Times New Roman"/>
          <w:sz w:val="26"/>
          <w:szCs w:val="26"/>
        </w:rPr>
        <w:t>The respondent was</w:t>
      </w:r>
      <w:r w:rsidR="00030F34" w:rsidRPr="007529C4">
        <w:rPr>
          <w:rFonts w:ascii="Times New Roman" w:hAnsi="Times New Roman"/>
          <w:sz w:val="26"/>
          <w:szCs w:val="26"/>
        </w:rPr>
        <w:t xml:space="preserve"> both entitled and obliged to take the property under her protection and control in her official capacity</w:t>
      </w:r>
      <w:r w:rsidR="00B465A7">
        <w:rPr>
          <w:rStyle w:val="FootnoteReference"/>
          <w:rFonts w:ascii="Times New Roman" w:hAnsi="Times New Roman"/>
          <w:sz w:val="26"/>
          <w:szCs w:val="26"/>
        </w:rPr>
        <w:footnoteReference w:id="2"/>
      </w:r>
      <w:r w:rsidR="00650754" w:rsidRPr="007529C4">
        <w:rPr>
          <w:rFonts w:ascii="Times New Roman" w:hAnsi="Times New Roman"/>
          <w:sz w:val="26"/>
          <w:szCs w:val="26"/>
        </w:rPr>
        <w:t xml:space="preserve"> and indeed her </w:t>
      </w:r>
      <w:r w:rsidR="00030F34" w:rsidRPr="007529C4">
        <w:rPr>
          <w:rFonts w:ascii="Times New Roman" w:hAnsi="Times New Roman"/>
          <w:sz w:val="26"/>
          <w:szCs w:val="26"/>
        </w:rPr>
        <w:t xml:space="preserve">possession </w:t>
      </w:r>
      <w:r w:rsidR="00A05825" w:rsidRPr="007529C4">
        <w:rPr>
          <w:rFonts w:ascii="Times New Roman" w:hAnsi="Times New Roman"/>
          <w:sz w:val="26"/>
          <w:szCs w:val="26"/>
        </w:rPr>
        <w:t xml:space="preserve">at the relevant time </w:t>
      </w:r>
      <w:r w:rsidR="00030F34" w:rsidRPr="007529C4">
        <w:rPr>
          <w:rFonts w:ascii="Times New Roman" w:hAnsi="Times New Roman"/>
          <w:sz w:val="26"/>
          <w:szCs w:val="26"/>
        </w:rPr>
        <w:t xml:space="preserve">was exactly the sort protected by the </w:t>
      </w:r>
      <w:proofErr w:type="spellStart"/>
      <w:r w:rsidR="00030F34" w:rsidRPr="007529C4">
        <w:rPr>
          <w:rFonts w:ascii="Times New Roman" w:hAnsi="Times New Roman"/>
          <w:i/>
          <w:iCs/>
          <w:sz w:val="26"/>
          <w:szCs w:val="26"/>
        </w:rPr>
        <w:t>mandament</w:t>
      </w:r>
      <w:proofErr w:type="spellEnd"/>
      <w:r w:rsidR="00030F34" w:rsidRPr="007529C4">
        <w:rPr>
          <w:rFonts w:ascii="Times New Roman" w:hAnsi="Times New Roman"/>
          <w:i/>
          <w:iCs/>
          <w:sz w:val="26"/>
          <w:szCs w:val="26"/>
        </w:rPr>
        <w:t xml:space="preserve"> van </w:t>
      </w:r>
      <w:proofErr w:type="spellStart"/>
      <w:r w:rsidR="00030F34" w:rsidRPr="007529C4">
        <w:rPr>
          <w:rFonts w:ascii="Times New Roman" w:hAnsi="Times New Roman"/>
          <w:i/>
          <w:iCs/>
          <w:sz w:val="26"/>
          <w:szCs w:val="26"/>
        </w:rPr>
        <w:t>spolie</w:t>
      </w:r>
      <w:proofErr w:type="spellEnd"/>
      <w:r w:rsidR="00030F34" w:rsidRPr="007529C4">
        <w:rPr>
          <w:rFonts w:ascii="Times New Roman" w:hAnsi="Times New Roman"/>
          <w:sz w:val="26"/>
          <w:szCs w:val="26"/>
        </w:rPr>
        <w:t>.</w:t>
      </w:r>
      <w:r w:rsidR="00A05825">
        <w:rPr>
          <w:rStyle w:val="FootnoteReference"/>
          <w:rFonts w:ascii="Times New Roman" w:hAnsi="Times New Roman"/>
          <w:sz w:val="26"/>
          <w:szCs w:val="26"/>
        </w:rPr>
        <w:footnoteReference w:id="3"/>
      </w:r>
    </w:p>
    <w:p w14:paraId="6E745756" w14:textId="77777777" w:rsidR="00030F34" w:rsidRPr="00030F34" w:rsidRDefault="00030F34" w:rsidP="00E1326E">
      <w:pPr>
        <w:pStyle w:val="ListParagraph"/>
        <w:spacing w:after="100" w:line="360" w:lineRule="auto"/>
        <w:rPr>
          <w:rFonts w:ascii="Times New Roman" w:hAnsi="Times New Roman"/>
          <w:sz w:val="26"/>
          <w:szCs w:val="26"/>
        </w:rPr>
      </w:pPr>
    </w:p>
    <w:p w14:paraId="5ED6B897" w14:textId="22CB15C9" w:rsidR="00030F34"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[7]</w:t>
      </w:r>
      <w:r>
        <w:rPr>
          <w:rFonts w:ascii="Times New Roman" w:eastAsia="Calibri" w:hAnsi="Times New Roman" w:cs="Times New Roman"/>
          <w:sz w:val="26"/>
          <w:szCs w:val="26"/>
          <w:lang w:val="en-US"/>
        </w:rPr>
        <w:tab/>
      </w:r>
      <w:r w:rsidR="00030F34" w:rsidRPr="007529C4">
        <w:rPr>
          <w:rFonts w:ascii="Times New Roman" w:hAnsi="Times New Roman"/>
          <w:sz w:val="26"/>
          <w:szCs w:val="26"/>
        </w:rPr>
        <w:t xml:space="preserve">Apart from possession having been established, the respondent also established that she </w:t>
      </w:r>
      <w:r w:rsidR="00650754" w:rsidRPr="007529C4">
        <w:rPr>
          <w:rFonts w:ascii="Times New Roman" w:hAnsi="Times New Roman"/>
          <w:sz w:val="26"/>
          <w:szCs w:val="26"/>
        </w:rPr>
        <w:t>(</w:t>
      </w:r>
      <w:r w:rsidR="00030F34" w:rsidRPr="007529C4">
        <w:rPr>
          <w:rFonts w:ascii="Times New Roman" w:hAnsi="Times New Roman"/>
          <w:sz w:val="26"/>
          <w:szCs w:val="26"/>
        </w:rPr>
        <w:t>or her placeholder</w:t>
      </w:r>
      <w:r w:rsidR="00650754" w:rsidRPr="007529C4">
        <w:rPr>
          <w:rFonts w:ascii="Times New Roman" w:hAnsi="Times New Roman"/>
          <w:sz w:val="26"/>
          <w:szCs w:val="26"/>
        </w:rPr>
        <w:t>,</w:t>
      </w:r>
      <w:r w:rsidR="00030F34" w:rsidRPr="007529C4">
        <w:rPr>
          <w:rFonts w:ascii="Times New Roman" w:hAnsi="Times New Roman"/>
          <w:sz w:val="26"/>
          <w:szCs w:val="26"/>
        </w:rPr>
        <w:t xml:space="preserve"> the second applicant</w:t>
      </w:r>
      <w:r w:rsidR="00724C46" w:rsidRPr="007529C4">
        <w:rPr>
          <w:rFonts w:ascii="Times New Roman" w:hAnsi="Times New Roman"/>
          <w:sz w:val="26"/>
          <w:szCs w:val="26"/>
        </w:rPr>
        <w:t>)</w:t>
      </w:r>
      <w:r w:rsidR="00650754" w:rsidRPr="007529C4">
        <w:rPr>
          <w:rFonts w:ascii="Times New Roman" w:hAnsi="Times New Roman"/>
          <w:sz w:val="26"/>
          <w:szCs w:val="26"/>
        </w:rPr>
        <w:t xml:space="preserve"> were</w:t>
      </w:r>
      <w:r w:rsidR="00030F34" w:rsidRPr="007529C4">
        <w:rPr>
          <w:rFonts w:ascii="Times New Roman" w:hAnsi="Times New Roman"/>
          <w:sz w:val="26"/>
          <w:szCs w:val="26"/>
        </w:rPr>
        <w:t xml:space="preserve"> unlawfully deprived of </w:t>
      </w:r>
      <w:r w:rsidR="00650754" w:rsidRPr="007529C4">
        <w:rPr>
          <w:rFonts w:ascii="Times New Roman" w:hAnsi="Times New Roman"/>
          <w:sz w:val="26"/>
          <w:szCs w:val="26"/>
        </w:rPr>
        <w:t>their possession</w:t>
      </w:r>
      <w:r w:rsidR="00030F34" w:rsidRPr="007529C4">
        <w:rPr>
          <w:rFonts w:ascii="Times New Roman" w:hAnsi="Times New Roman"/>
          <w:sz w:val="26"/>
          <w:szCs w:val="26"/>
        </w:rPr>
        <w:t xml:space="preserve"> by being forced off the premises by the applicants on</w:t>
      </w:r>
      <w:r w:rsidR="00DA5EB5" w:rsidRPr="007529C4">
        <w:rPr>
          <w:rFonts w:ascii="Times New Roman" w:hAnsi="Times New Roman"/>
          <w:sz w:val="26"/>
          <w:szCs w:val="26"/>
        </w:rPr>
        <w:t xml:space="preserve"> 16 December 2021.</w:t>
      </w:r>
    </w:p>
    <w:p w14:paraId="60908337" w14:textId="77777777" w:rsidR="00030F34" w:rsidRPr="00030F34" w:rsidRDefault="00030F34" w:rsidP="00E1326E">
      <w:pPr>
        <w:pStyle w:val="ListParagraph"/>
        <w:spacing w:after="100" w:line="360" w:lineRule="auto"/>
        <w:rPr>
          <w:rFonts w:ascii="Times New Roman" w:hAnsi="Times New Roman"/>
          <w:sz w:val="26"/>
          <w:szCs w:val="26"/>
        </w:rPr>
      </w:pPr>
    </w:p>
    <w:p w14:paraId="413670C1" w14:textId="25852E45" w:rsidR="00030F34" w:rsidRPr="007529C4" w:rsidRDefault="007529C4" w:rsidP="007529C4">
      <w:pPr>
        <w:rPr>
          <w:rFonts w:ascii="Times New Roman" w:hAnsi="Times New Roman"/>
          <w:sz w:val="26"/>
          <w:szCs w:val="26"/>
        </w:rPr>
      </w:pPr>
      <w:r w:rsidRPr="006A565E">
        <w:rPr>
          <w:rFonts w:ascii="Times New Roman" w:eastAsia="Calibri" w:hAnsi="Times New Roman" w:cs="Times New Roman"/>
          <w:sz w:val="26"/>
          <w:szCs w:val="26"/>
          <w:lang w:val="en-US"/>
        </w:rPr>
        <w:t>[8]</w:t>
      </w:r>
      <w:r w:rsidRPr="006A565E">
        <w:rPr>
          <w:rFonts w:ascii="Times New Roman" w:eastAsia="Calibri" w:hAnsi="Times New Roman" w:cs="Times New Roman"/>
          <w:sz w:val="26"/>
          <w:szCs w:val="26"/>
          <w:lang w:val="en-US"/>
        </w:rPr>
        <w:tab/>
      </w:r>
      <w:r w:rsidR="00030F34" w:rsidRPr="007529C4">
        <w:rPr>
          <w:rFonts w:ascii="Times New Roman" w:hAnsi="Times New Roman"/>
          <w:sz w:val="26"/>
          <w:szCs w:val="26"/>
        </w:rPr>
        <w:t xml:space="preserve">The respondent had both </w:t>
      </w:r>
      <w:proofErr w:type="spellStart"/>
      <w:r w:rsidR="00030F34" w:rsidRPr="007529C4">
        <w:rPr>
          <w:rFonts w:ascii="Times New Roman" w:hAnsi="Times New Roman"/>
          <w:i/>
          <w:iCs/>
          <w:sz w:val="26"/>
          <w:szCs w:val="26"/>
        </w:rPr>
        <w:t>detentio</w:t>
      </w:r>
      <w:proofErr w:type="spellEnd"/>
      <w:r w:rsidR="00030F34" w:rsidRPr="007529C4">
        <w:rPr>
          <w:rFonts w:ascii="Times New Roman" w:hAnsi="Times New Roman"/>
          <w:sz w:val="26"/>
          <w:szCs w:val="26"/>
        </w:rPr>
        <w:t xml:space="preserve"> of the property (the physical holding and control over it) and </w:t>
      </w:r>
      <w:r w:rsidR="00030F34" w:rsidRPr="007529C4">
        <w:rPr>
          <w:rFonts w:ascii="Times New Roman" w:hAnsi="Times New Roman"/>
          <w:i/>
          <w:iCs/>
          <w:sz w:val="26"/>
          <w:szCs w:val="26"/>
        </w:rPr>
        <w:t>animus</w:t>
      </w:r>
      <w:r w:rsidR="00030F34" w:rsidRPr="007529C4">
        <w:rPr>
          <w:rFonts w:ascii="Times New Roman" w:hAnsi="Times New Roman"/>
          <w:sz w:val="26"/>
          <w:szCs w:val="26"/>
        </w:rPr>
        <w:t xml:space="preserve"> (the intention of securi</w:t>
      </w:r>
      <w:r w:rsidR="00650754" w:rsidRPr="007529C4">
        <w:rPr>
          <w:rFonts w:ascii="Times New Roman" w:hAnsi="Times New Roman"/>
          <w:sz w:val="26"/>
          <w:szCs w:val="26"/>
        </w:rPr>
        <w:t>ng</w:t>
      </w:r>
      <w:r w:rsidR="00030F34" w:rsidRPr="007529C4">
        <w:rPr>
          <w:rFonts w:ascii="Times New Roman" w:hAnsi="Times New Roman"/>
          <w:sz w:val="26"/>
          <w:szCs w:val="26"/>
        </w:rPr>
        <w:t xml:space="preserve"> an </w:t>
      </w:r>
      <w:r w:rsidR="00DA5EB5" w:rsidRPr="007529C4">
        <w:rPr>
          <w:rFonts w:ascii="Times New Roman" w:hAnsi="Times New Roman"/>
          <w:sz w:val="26"/>
          <w:szCs w:val="26"/>
        </w:rPr>
        <w:t>interest</w:t>
      </w:r>
      <w:r w:rsidR="00030F34" w:rsidRPr="007529C4">
        <w:rPr>
          <w:rFonts w:ascii="Times New Roman" w:hAnsi="Times New Roman"/>
          <w:sz w:val="26"/>
          <w:szCs w:val="26"/>
        </w:rPr>
        <w:t xml:space="preserve"> in </w:t>
      </w:r>
      <w:r w:rsidR="00DA5EB5" w:rsidRPr="007529C4">
        <w:rPr>
          <w:rFonts w:ascii="Times New Roman" w:hAnsi="Times New Roman"/>
          <w:sz w:val="26"/>
          <w:szCs w:val="26"/>
        </w:rPr>
        <w:t xml:space="preserve">the property in </w:t>
      </w:r>
      <w:r w:rsidR="00030F34" w:rsidRPr="007529C4">
        <w:rPr>
          <w:rFonts w:ascii="Times New Roman" w:hAnsi="Times New Roman"/>
          <w:sz w:val="26"/>
          <w:szCs w:val="26"/>
        </w:rPr>
        <w:t>her appointed capacity as executrix</w:t>
      </w:r>
      <w:r w:rsidR="00650754" w:rsidRPr="007529C4">
        <w:rPr>
          <w:rFonts w:ascii="Times New Roman" w:hAnsi="Times New Roman"/>
          <w:sz w:val="26"/>
          <w:szCs w:val="26"/>
        </w:rPr>
        <w:t>)</w:t>
      </w:r>
      <w:r w:rsidR="00030F34" w:rsidRPr="007529C4">
        <w:rPr>
          <w:rFonts w:ascii="Times New Roman" w:hAnsi="Times New Roman"/>
          <w:sz w:val="26"/>
          <w:szCs w:val="26"/>
        </w:rPr>
        <w:t>.</w:t>
      </w:r>
      <w:r w:rsidR="00030F34">
        <w:rPr>
          <w:rStyle w:val="FootnoteReference"/>
          <w:rFonts w:ascii="Times New Roman" w:hAnsi="Times New Roman"/>
          <w:sz w:val="26"/>
          <w:szCs w:val="26"/>
        </w:rPr>
        <w:footnoteReference w:id="4"/>
      </w:r>
      <w:r w:rsidR="00DA5EB5" w:rsidRPr="007529C4">
        <w:rPr>
          <w:rFonts w:ascii="Times New Roman" w:hAnsi="Times New Roman"/>
          <w:sz w:val="26"/>
          <w:szCs w:val="26"/>
        </w:rPr>
        <w:t xml:space="preserve"> That </w:t>
      </w:r>
      <w:r w:rsidR="006A565E" w:rsidRPr="007529C4">
        <w:rPr>
          <w:rFonts w:ascii="Times New Roman" w:hAnsi="Times New Roman"/>
          <w:sz w:val="26"/>
          <w:szCs w:val="26"/>
        </w:rPr>
        <w:t>interest</w:t>
      </w:r>
      <w:r w:rsidR="00DA5EB5" w:rsidRPr="007529C4">
        <w:rPr>
          <w:rFonts w:ascii="Times New Roman" w:hAnsi="Times New Roman"/>
          <w:sz w:val="26"/>
          <w:szCs w:val="26"/>
        </w:rPr>
        <w:t xml:space="preserve"> </w:t>
      </w:r>
      <w:r w:rsidR="006A565E" w:rsidRPr="007529C4">
        <w:rPr>
          <w:rFonts w:ascii="Times New Roman" w:hAnsi="Times New Roman"/>
          <w:sz w:val="26"/>
          <w:szCs w:val="26"/>
        </w:rPr>
        <w:t xml:space="preserve">was established </w:t>
      </w:r>
      <w:r w:rsidR="006A565E" w:rsidRPr="007529C4">
        <w:rPr>
          <w:rFonts w:ascii="Times New Roman" w:hAnsi="Times New Roman"/>
          <w:sz w:val="26"/>
          <w:szCs w:val="26"/>
          <w:lang w:val="en-GB"/>
        </w:rPr>
        <w:t>ultimately (by the time letters of executorship were issued in her favour) by</w:t>
      </w:r>
      <w:r w:rsidR="004A3118" w:rsidRPr="007529C4">
        <w:rPr>
          <w:rFonts w:ascii="Times New Roman" w:hAnsi="Times New Roman"/>
          <w:sz w:val="26"/>
          <w:szCs w:val="26"/>
          <w:lang w:val="en-GB"/>
        </w:rPr>
        <w:t xml:space="preserve"> virtue of</w:t>
      </w:r>
      <w:r w:rsidR="006A565E" w:rsidRPr="007529C4">
        <w:rPr>
          <w:rFonts w:ascii="Times New Roman" w:hAnsi="Times New Roman"/>
          <w:sz w:val="26"/>
          <w:szCs w:val="26"/>
          <w:lang w:val="en-GB"/>
        </w:rPr>
        <w:t xml:space="preserve"> the machinery of the Act. </w:t>
      </w:r>
    </w:p>
    <w:p w14:paraId="1E28DD4E" w14:textId="77777777" w:rsidR="006A565E" w:rsidRPr="006A565E" w:rsidRDefault="006A565E" w:rsidP="00E1326E">
      <w:pPr>
        <w:pStyle w:val="ListParagraph"/>
        <w:spacing w:after="100" w:line="360" w:lineRule="auto"/>
        <w:rPr>
          <w:rFonts w:ascii="Times New Roman" w:hAnsi="Times New Roman"/>
          <w:sz w:val="26"/>
          <w:szCs w:val="26"/>
        </w:rPr>
      </w:pPr>
    </w:p>
    <w:p w14:paraId="069E7B34" w14:textId="1D0D6852" w:rsidR="00993D8D" w:rsidRPr="007529C4" w:rsidRDefault="007529C4" w:rsidP="007529C4">
      <w:pPr>
        <w:rPr>
          <w:rFonts w:ascii="Times New Roman" w:hAnsi="Times New Roman"/>
          <w:sz w:val="26"/>
          <w:szCs w:val="26"/>
        </w:rPr>
      </w:pPr>
      <w:r w:rsidRPr="00993D8D">
        <w:rPr>
          <w:rFonts w:ascii="Times New Roman" w:eastAsia="Calibri" w:hAnsi="Times New Roman" w:cs="Times New Roman"/>
          <w:sz w:val="26"/>
          <w:szCs w:val="26"/>
          <w:lang w:val="en-US"/>
        </w:rPr>
        <w:lastRenderedPageBreak/>
        <w:t>[9]</w:t>
      </w:r>
      <w:r w:rsidRPr="00993D8D">
        <w:rPr>
          <w:rFonts w:ascii="Times New Roman" w:eastAsia="Calibri" w:hAnsi="Times New Roman" w:cs="Times New Roman"/>
          <w:sz w:val="26"/>
          <w:szCs w:val="26"/>
          <w:lang w:val="en-US"/>
        </w:rPr>
        <w:tab/>
      </w:r>
      <w:r w:rsidR="006A565E" w:rsidRPr="007529C4">
        <w:rPr>
          <w:rFonts w:ascii="Times New Roman" w:hAnsi="Times New Roman"/>
          <w:sz w:val="26"/>
          <w:szCs w:val="26"/>
          <w:lang w:val="en-GB"/>
        </w:rPr>
        <w:t xml:space="preserve">The administration of a deceased estate devolves on the executor of the estate, who does not succeed to the person of the deceased. In relation to contracts, the executor’s duty is not simply to take over where the deceased left off and to carry on indefinitely, but to reduce the estate into possession, pay the liabilities out of the assets, pay the legatees and transfer the </w:t>
      </w:r>
      <w:r w:rsidR="00036DC8" w:rsidRPr="007529C4">
        <w:rPr>
          <w:rFonts w:ascii="Times New Roman" w:hAnsi="Times New Roman"/>
          <w:sz w:val="26"/>
          <w:szCs w:val="26"/>
          <w:lang w:val="en-GB"/>
        </w:rPr>
        <w:t xml:space="preserve">residue </w:t>
      </w:r>
      <w:r w:rsidR="006A565E" w:rsidRPr="007529C4">
        <w:rPr>
          <w:rFonts w:ascii="Times New Roman" w:hAnsi="Times New Roman"/>
          <w:sz w:val="26"/>
          <w:szCs w:val="26"/>
          <w:lang w:val="en-GB"/>
        </w:rPr>
        <w:t>to the residuary legatee or the administrator or as appropriate</w:t>
      </w:r>
      <w:r w:rsidR="00036DC8" w:rsidRPr="007529C4">
        <w:rPr>
          <w:rFonts w:ascii="Times New Roman" w:hAnsi="Times New Roman"/>
          <w:sz w:val="26"/>
          <w:szCs w:val="26"/>
          <w:lang w:val="en-GB"/>
        </w:rPr>
        <w:t xml:space="preserve">. The question what direction to take, whether to enforce the </w:t>
      </w:r>
      <w:r w:rsidR="004A3118" w:rsidRPr="007529C4">
        <w:rPr>
          <w:rFonts w:ascii="Times New Roman" w:hAnsi="Times New Roman"/>
          <w:sz w:val="26"/>
          <w:szCs w:val="26"/>
          <w:lang w:val="en-GB"/>
        </w:rPr>
        <w:t xml:space="preserve">deed of sale </w:t>
      </w:r>
      <w:proofErr w:type="spellStart"/>
      <w:r w:rsidR="004A3118" w:rsidRPr="007529C4">
        <w:rPr>
          <w:rFonts w:ascii="Times New Roman" w:hAnsi="Times New Roman"/>
          <w:sz w:val="26"/>
          <w:szCs w:val="26"/>
          <w:lang w:val="en-GB"/>
        </w:rPr>
        <w:t>Mr.</w:t>
      </w:r>
      <w:proofErr w:type="spellEnd"/>
      <w:r w:rsidR="004A3118" w:rsidRPr="007529C4">
        <w:rPr>
          <w:rFonts w:ascii="Times New Roman" w:hAnsi="Times New Roman"/>
          <w:sz w:val="26"/>
          <w:szCs w:val="26"/>
          <w:lang w:val="en-GB"/>
        </w:rPr>
        <w:t xml:space="preserve"> </w:t>
      </w:r>
      <w:proofErr w:type="spellStart"/>
      <w:r w:rsidR="004A3118" w:rsidRPr="007529C4">
        <w:rPr>
          <w:rFonts w:ascii="Times New Roman" w:hAnsi="Times New Roman"/>
          <w:sz w:val="26"/>
          <w:szCs w:val="26"/>
          <w:lang w:val="en-GB"/>
        </w:rPr>
        <w:t>Gxabeka</w:t>
      </w:r>
      <w:proofErr w:type="spellEnd"/>
      <w:r w:rsidR="004A3118" w:rsidRPr="007529C4">
        <w:rPr>
          <w:rFonts w:ascii="Times New Roman" w:hAnsi="Times New Roman"/>
          <w:sz w:val="26"/>
          <w:szCs w:val="26"/>
          <w:lang w:val="en-GB"/>
        </w:rPr>
        <w:t xml:space="preserve"> had en</w:t>
      </w:r>
      <w:r w:rsidR="00B465A7" w:rsidRPr="007529C4">
        <w:rPr>
          <w:rFonts w:ascii="Times New Roman" w:hAnsi="Times New Roman"/>
          <w:sz w:val="26"/>
          <w:szCs w:val="26"/>
          <w:lang w:val="en-GB"/>
        </w:rPr>
        <w:t>tered</w:t>
      </w:r>
      <w:r w:rsidR="004A3118" w:rsidRPr="007529C4">
        <w:rPr>
          <w:rFonts w:ascii="Times New Roman" w:hAnsi="Times New Roman"/>
          <w:sz w:val="26"/>
          <w:szCs w:val="26"/>
          <w:lang w:val="en-GB"/>
        </w:rPr>
        <w:t xml:space="preserve"> into before his death</w:t>
      </w:r>
      <w:r w:rsidR="00036DC8" w:rsidRPr="007529C4">
        <w:rPr>
          <w:rFonts w:ascii="Times New Roman" w:hAnsi="Times New Roman"/>
          <w:sz w:val="26"/>
          <w:szCs w:val="26"/>
          <w:lang w:val="en-GB"/>
        </w:rPr>
        <w:t xml:space="preserve"> or not, would have been informed on the basis of what the contract itself provided</w:t>
      </w:r>
      <w:r w:rsidR="004A3118" w:rsidRPr="007529C4">
        <w:rPr>
          <w:rFonts w:ascii="Times New Roman" w:hAnsi="Times New Roman"/>
          <w:sz w:val="26"/>
          <w:szCs w:val="26"/>
          <w:lang w:val="en-GB"/>
        </w:rPr>
        <w:t xml:space="preserve"> together with the surrounding circumstances</w:t>
      </w:r>
      <w:r w:rsidR="00036DC8" w:rsidRPr="007529C4">
        <w:rPr>
          <w:rFonts w:ascii="Times New Roman" w:hAnsi="Times New Roman"/>
          <w:sz w:val="26"/>
          <w:szCs w:val="26"/>
          <w:lang w:val="en-GB"/>
        </w:rPr>
        <w:t xml:space="preserve">.  In the absence of any suggestion that the contract provided for its discharge upon </w:t>
      </w:r>
      <w:r w:rsidR="004A3118" w:rsidRPr="007529C4">
        <w:rPr>
          <w:rFonts w:ascii="Times New Roman" w:hAnsi="Times New Roman"/>
          <w:sz w:val="26"/>
          <w:szCs w:val="26"/>
          <w:lang w:val="en-GB"/>
        </w:rPr>
        <w:t>his</w:t>
      </w:r>
      <w:r w:rsidR="00036DC8" w:rsidRPr="007529C4">
        <w:rPr>
          <w:rFonts w:ascii="Times New Roman" w:hAnsi="Times New Roman"/>
          <w:sz w:val="26"/>
          <w:szCs w:val="26"/>
          <w:lang w:val="en-GB"/>
        </w:rPr>
        <w:t xml:space="preserve"> death, the general principle is that the rights and duties arising from</w:t>
      </w:r>
      <w:r w:rsidR="00110A4A" w:rsidRPr="007529C4">
        <w:rPr>
          <w:rFonts w:ascii="Times New Roman" w:hAnsi="Times New Roman"/>
          <w:sz w:val="26"/>
          <w:szCs w:val="26"/>
          <w:lang w:val="en-GB"/>
        </w:rPr>
        <w:t xml:space="preserve"> </w:t>
      </w:r>
      <w:r w:rsidR="004A3118" w:rsidRPr="007529C4">
        <w:rPr>
          <w:rFonts w:ascii="Times New Roman" w:hAnsi="Times New Roman"/>
          <w:sz w:val="26"/>
          <w:szCs w:val="26"/>
          <w:lang w:val="en-GB"/>
        </w:rPr>
        <w:t xml:space="preserve">such an obligation </w:t>
      </w:r>
      <w:r w:rsidR="00110A4A" w:rsidRPr="007529C4">
        <w:rPr>
          <w:rFonts w:ascii="Times New Roman" w:hAnsi="Times New Roman"/>
          <w:sz w:val="26"/>
          <w:szCs w:val="26"/>
          <w:lang w:val="en-GB"/>
        </w:rPr>
        <w:t>are transmitted and enforceable by or against the executor.</w:t>
      </w:r>
      <w:r w:rsidR="00993D8D">
        <w:rPr>
          <w:rStyle w:val="FootnoteReference"/>
          <w:rFonts w:ascii="Times New Roman" w:hAnsi="Times New Roman"/>
          <w:sz w:val="26"/>
          <w:szCs w:val="26"/>
          <w:lang w:val="en-GB"/>
        </w:rPr>
        <w:footnoteReference w:id="5"/>
      </w:r>
      <w:r w:rsidR="00110A4A" w:rsidRPr="007529C4">
        <w:rPr>
          <w:rFonts w:ascii="Times New Roman" w:hAnsi="Times New Roman"/>
          <w:sz w:val="26"/>
          <w:szCs w:val="26"/>
          <w:lang w:val="en-GB"/>
        </w:rPr>
        <w:t xml:space="preserve"> </w:t>
      </w:r>
    </w:p>
    <w:p w14:paraId="08E91FE2" w14:textId="77777777" w:rsidR="00993D8D" w:rsidRPr="00993D8D" w:rsidRDefault="00993D8D" w:rsidP="00E1326E">
      <w:pPr>
        <w:pStyle w:val="ListParagraph"/>
        <w:spacing w:after="100" w:line="360" w:lineRule="auto"/>
        <w:rPr>
          <w:rFonts w:ascii="Times New Roman" w:hAnsi="Times New Roman"/>
          <w:sz w:val="26"/>
          <w:szCs w:val="26"/>
          <w:lang w:val="en-GB"/>
        </w:rPr>
      </w:pPr>
    </w:p>
    <w:p w14:paraId="712B1DF3" w14:textId="455FB942" w:rsidR="006A565E" w:rsidRPr="007529C4" w:rsidRDefault="007529C4" w:rsidP="007529C4">
      <w:pPr>
        <w:rPr>
          <w:rFonts w:ascii="Times New Roman" w:hAnsi="Times New Roman"/>
          <w:sz w:val="26"/>
          <w:szCs w:val="26"/>
        </w:rPr>
      </w:pPr>
      <w:r w:rsidRPr="00110A4A">
        <w:rPr>
          <w:rFonts w:ascii="Times New Roman" w:eastAsia="Calibri" w:hAnsi="Times New Roman" w:cs="Times New Roman"/>
          <w:sz w:val="26"/>
          <w:szCs w:val="26"/>
          <w:lang w:val="en-US"/>
        </w:rPr>
        <w:t>[10]</w:t>
      </w:r>
      <w:r w:rsidRPr="00110A4A">
        <w:rPr>
          <w:rFonts w:ascii="Times New Roman" w:eastAsia="Calibri" w:hAnsi="Times New Roman" w:cs="Times New Roman"/>
          <w:sz w:val="26"/>
          <w:szCs w:val="26"/>
          <w:lang w:val="en-US"/>
        </w:rPr>
        <w:tab/>
      </w:r>
      <w:r w:rsidR="00110A4A" w:rsidRPr="007529C4">
        <w:rPr>
          <w:rFonts w:ascii="Times New Roman" w:hAnsi="Times New Roman"/>
          <w:sz w:val="26"/>
          <w:szCs w:val="26"/>
          <w:lang w:val="en-GB"/>
        </w:rPr>
        <w:t xml:space="preserve">The respondent was mindful of her duty in this respect and had taken the early step of </w:t>
      </w:r>
      <w:r w:rsidR="004A3118" w:rsidRPr="007529C4">
        <w:rPr>
          <w:rFonts w:ascii="Times New Roman" w:hAnsi="Times New Roman"/>
          <w:sz w:val="26"/>
          <w:szCs w:val="26"/>
          <w:lang w:val="en-GB"/>
        </w:rPr>
        <w:t>re</w:t>
      </w:r>
      <w:r w:rsidR="00B465A7" w:rsidRPr="007529C4">
        <w:rPr>
          <w:rFonts w:ascii="Times New Roman" w:hAnsi="Times New Roman"/>
          <w:sz w:val="26"/>
          <w:szCs w:val="26"/>
          <w:lang w:val="en-GB"/>
        </w:rPr>
        <w:t>ducing</w:t>
      </w:r>
      <w:r w:rsidR="00110A4A" w:rsidRPr="007529C4">
        <w:rPr>
          <w:rFonts w:ascii="Times New Roman" w:hAnsi="Times New Roman"/>
          <w:sz w:val="26"/>
          <w:szCs w:val="26"/>
          <w:lang w:val="en-GB"/>
        </w:rPr>
        <w:t xml:space="preserve"> the property which had been in the possession of her sister, and before that her nephew, into her custody </w:t>
      </w:r>
      <w:r w:rsidR="004A3118" w:rsidRPr="007529C4">
        <w:rPr>
          <w:rFonts w:ascii="Times New Roman" w:hAnsi="Times New Roman"/>
          <w:sz w:val="26"/>
          <w:szCs w:val="26"/>
          <w:lang w:val="en-GB"/>
        </w:rPr>
        <w:t xml:space="preserve">after her sister’s death </w:t>
      </w:r>
      <w:r w:rsidR="00110A4A" w:rsidRPr="007529C4">
        <w:rPr>
          <w:rFonts w:ascii="Times New Roman" w:hAnsi="Times New Roman"/>
          <w:sz w:val="26"/>
          <w:szCs w:val="26"/>
          <w:lang w:val="en-GB"/>
        </w:rPr>
        <w:t xml:space="preserve">with a view to perfecting the sale by registration especially since it was common cause that her nephew had paid R160 000,00 of the purchase price </w:t>
      </w:r>
      <w:r w:rsidR="00993D8D" w:rsidRPr="007529C4">
        <w:rPr>
          <w:rFonts w:ascii="Times New Roman" w:hAnsi="Times New Roman"/>
          <w:sz w:val="26"/>
          <w:szCs w:val="26"/>
          <w:lang w:val="en-GB"/>
        </w:rPr>
        <w:t>provided for</w:t>
      </w:r>
      <w:r w:rsidR="00110A4A" w:rsidRPr="007529C4">
        <w:rPr>
          <w:rFonts w:ascii="Times New Roman" w:hAnsi="Times New Roman"/>
          <w:sz w:val="26"/>
          <w:szCs w:val="26"/>
          <w:lang w:val="en-GB"/>
        </w:rPr>
        <w:t xml:space="preserve"> in the deed of sale</w:t>
      </w:r>
      <w:r w:rsidR="0007119F" w:rsidRPr="007529C4">
        <w:rPr>
          <w:rFonts w:ascii="Times New Roman" w:hAnsi="Times New Roman"/>
          <w:sz w:val="26"/>
          <w:szCs w:val="26"/>
          <w:lang w:val="en-GB"/>
        </w:rPr>
        <w:t xml:space="preserve"> and had been occupying the property in terms of that agreement since 2004</w:t>
      </w:r>
      <w:r w:rsidR="00B465A7" w:rsidRPr="007529C4">
        <w:rPr>
          <w:rFonts w:ascii="Times New Roman" w:hAnsi="Times New Roman"/>
          <w:sz w:val="26"/>
          <w:szCs w:val="26"/>
          <w:lang w:val="en-GB"/>
        </w:rPr>
        <w:t>, a clear incident arising from the transaction.</w:t>
      </w:r>
    </w:p>
    <w:p w14:paraId="1AF26F36" w14:textId="77777777" w:rsidR="00110A4A" w:rsidRPr="00110A4A" w:rsidRDefault="00110A4A" w:rsidP="00E1326E">
      <w:pPr>
        <w:pStyle w:val="ListParagraph"/>
        <w:spacing w:after="100" w:line="360" w:lineRule="auto"/>
        <w:ind w:left="0"/>
        <w:rPr>
          <w:rFonts w:ascii="Times New Roman" w:hAnsi="Times New Roman"/>
          <w:sz w:val="26"/>
          <w:szCs w:val="26"/>
        </w:rPr>
      </w:pPr>
    </w:p>
    <w:p w14:paraId="0DE86300" w14:textId="44CD9595" w:rsidR="00993D8D" w:rsidRPr="007529C4" w:rsidRDefault="007529C4" w:rsidP="007529C4">
      <w:pPr>
        <w:rPr>
          <w:rFonts w:ascii="Times New Roman" w:hAnsi="Times New Roman"/>
          <w:sz w:val="26"/>
          <w:szCs w:val="26"/>
        </w:rPr>
      </w:pPr>
      <w:r w:rsidRPr="00993D8D">
        <w:rPr>
          <w:rFonts w:ascii="Times New Roman" w:eastAsia="Calibri" w:hAnsi="Times New Roman" w:cs="Times New Roman"/>
          <w:sz w:val="26"/>
          <w:szCs w:val="26"/>
          <w:lang w:val="en-US"/>
        </w:rPr>
        <w:t>[11]</w:t>
      </w:r>
      <w:r w:rsidRPr="00993D8D">
        <w:rPr>
          <w:rFonts w:ascii="Times New Roman" w:eastAsia="Calibri" w:hAnsi="Times New Roman" w:cs="Times New Roman"/>
          <w:sz w:val="26"/>
          <w:szCs w:val="26"/>
          <w:lang w:val="en-US"/>
        </w:rPr>
        <w:tab/>
      </w:r>
      <w:r w:rsidR="00993D8D" w:rsidRPr="007529C4">
        <w:rPr>
          <w:rFonts w:ascii="Times New Roman" w:hAnsi="Times New Roman"/>
          <w:sz w:val="26"/>
          <w:szCs w:val="26"/>
        </w:rPr>
        <w:t>It was not open to her to have ignored the terms of the deed of sale to which her late nephew had personally bound himself</w:t>
      </w:r>
      <w:r w:rsidR="00EC0AE7" w:rsidRPr="007529C4">
        <w:rPr>
          <w:rFonts w:ascii="Times New Roman" w:hAnsi="Times New Roman"/>
          <w:sz w:val="26"/>
          <w:szCs w:val="26"/>
        </w:rPr>
        <w:t xml:space="preserve"> especially since he had paid a substantial amount in respect of the agreed upon purchase price, indeed had prepaid this sum of monies even before the deed of sale had been reduced to </w:t>
      </w:r>
      <w:r w:rsidR="0007119F" w:rsidRPr="007529C4">
        <w:rPr>
          <w:rFonts w:ascii="Times New Roman" w:hAnsi="Times New Roman"/>
          <w:sz w:val="26"/>
          <w:szCs w:val="26"/>
        </w:rPr>
        <w:t>writing.</w:t>
      </w:r>
      <w:r w:rsidR="00B465A7">
        <w:rPr>
          <w:rStyle w:val="FootnoteReference"/>
          <w:rFonts w:ascii="Times New Roman" w:hAnsi="Times New Roman"/>
          <w:sz w:val="26"/>
          <w:szCs w:val="26"/>
        </w:rPr>
        <w:footnoteReference w:id="6"/>
      </w:r>
      <w:r w:rsidR="00B465A7" w:rsidRPr="007529C4">
        <w:rPr>
          <w:rFonts w:ascii="Times New Roman" w:hAnsi="Times New Roman"/>
          <w:sz w:val="26"/>
          <w:szCs w:val="26"/>
        </w:rPr>
        <w:t xml:space="preserve"> </w:t>
      </w:r>
      <w:r w:rsidR="00993D8D" w:rsidRPr="007529C4">
        <w:rPr>
          <w:rFonts w:ascii="Times New Roman" w:hAnsi="Times New Roman"/>
          <w:sz w:val="26"/>
          <w:szCs w:val="26"/>
        </w:rPr>
        <w:t xml:space="preserve"> </w:t>
      </w:r>
      <w:r w:rsidR="00110A4A" w:rsidRPr="007529C4">
        <w:rPr>
          <w:rFonts w:ascii="Times New Roman" w:hAnsi="Times New Roman"/>
          <w:sz w:val="26"/>
          <w:szCs w:val="26"/>
        </w:rPr>
        <w:t xml:space="preserve">As </w:t>
      </w:r>
      <w:r w:rsidR="00110A4A" w:rsidRPr="007529C4">
        <w:rPr>
          <w:rFonts w:ascii="Times New Roman" w:hAnsi="Times New Roman"/>
          <w:sz w:val="26"/>
          <w:szCs w:val="26"/>
          <w:lang w:val="en-GB"/>
        </w:rPr>
        <w:t xml:space="preserve">was stated in </w:t>
      </w:r>
      <w:proofErr w:type="spellStart"/>
      <w:r w:rsidR="00110A4A" w:rsidRPr="007529C4">
        <w:rPr>
          <w:rFonts w:ascii="Times New Roman" w:hAnsi="Times New Roman"/>
          <w:i/>
          <w:iCs/>
          <w:sz w:val="26"/>
          <w:szCs w:val="26"/>
          <w:lang w:val="en-GB"/>
        </w:rPr>
        <w:lastRenderedPageBreak/>
        <w:t>Colly</w:t>
      </w:r>
      <w:proofErr w:type="spellEnd"/>
      <w:r w:rsidR="00110A4A" w:rsidRPr="007529C4">
        <w:rPr>
          <w:rFonts w:ascii="Times New Roman" w:hAnsi="Times New Roman"/>
          <w:i/>
          <w:iCs/>
          <w:sz w:val="26"/>
          <w:szCs w:val="26"/>
          <w:lang w:val="en-GB"/>
        </w:rPr>
        <w:t xml:space="preserve"> v </w:t>
      </w:r>
      <w:proofErr w:type="spellStart"/>
      <w:r w:rsidR="00110A4A" w:rsidRPr="007529C4">
        <w:rPr>
          <w:rFonts w:ascii="Times New Roman" w:hAnsi="Times New Roman"/>
          <w:i/>
          <w:iCs/>
          <w:sz w:val="26"/>
          <w:szCs w:val="26"/>
          <w:lang w:val="en-GB"/>
        </w:rPr>
        <w:t>Colly’s</w:t>
      </w:r>
      <w:proofErr w:type="spellEnd"/>
      <w:r w:rsidR="00110A4A" w:rsidRPr="007529C4">
        <w:rPr>
          <w:rFonts w:ascii="Times New Roman" w:hAnsi="Times New Roman"/>
          <w:i/>
          <w:iCs/>
          <w:sz w:val="26"/>
          <w:szCs w:val="26"/>
          <w:lang w:val="en-GB"/>
        </w:rPr>
        <w:t xml:space="preserve"> Estate</w:t>
      </w:r>
      <w:r w:rsidR="00110A4A" w:rsidRPr="007529C4">
        <w:rPr>
          <w:rFonts w:ascii="Times New Roman" w:hAnsi="Times New Roman"/>
          <w:sz w:val="26"/>
          <w:szCs w:val="26"/>
          <w:lang w:val="en-GB"/>
        </w:rPr>
        <w:t>,</w:t>
      </w:r>
      <w:r w:rsidR="00110A4A">
        <w:rPr>
          <w:rStyle w:val="FootnoteReference"/>
          <w:rFonts w:ascii="Times New Roman" w:hAnsi="Times New Roman"/>
          <w:sz w:val="26"/>
          <w:szCs w:val="26"/>
          <w:lang w:val="en-GB"/>
        </w:rPr>
        <w:footnoteReference w:id="7"/>
      </w:r>
      <w:r w:rsidR="00110A4A" w:rsidRPr="007529C4">
        <w:rPr>
          <w:rFonts w:ascii="Times New Roman" w:hAnsi="Times New Roman"/>
          <w:sz w:val="26"/>
          <w:szCs w:val="26"/>
          <w:lang w:val="en-GB"/>
        </w:rPr>
        <w:t xml:space="preserve"> adopting the words of the Privy Council in </w:t>
      </w:r>
      <w:proofErr w:type="spellStart"/>
      <w:r w:rsidR="00110A4A" w:rsidRPr="007529C4">
        <w:rPr>
          <w:rFonts w:ascii="Times New Roman" w:hAnsi="Times New Roman"/>
          <w:i/>
          <w:iCs/>
          <w:sz w:val="26"/>
          <w:szCs w:val="26"/>
          <w:lang w:val="en-GB"/>
        </w:rPr>
        <w:t>Agullia</w:t>
      </w:r>
      <w:proofErr w:type="spellEnd"/>
      <w:r w:rsidR="00110A4A" w:rsidRPr="007529C4">
        <w:rPr>
          <w:rFonts w:ascii="Times New Roman" w:hAnsi="Times New Roman"/>
          <w:i/>
          <w:iCs/>
          <w:sz w:val="26"/>
          <w:szCs w:val="26"/>
          <w:lang w:val="en-GB"/>
        </w:rPr>
        <w:t xml:space="preserve"> v Estate Trust Agencies</w:t>
      </w:r>
      <w:r w:rsidR="009118B0" w:rsidRPr="007529C4">
        <w:rPr>
          <w:rFonts w:ascii="Times New Roman" w:hAnsi="Times New Roman"/>
          <w:i/>
          <w:iCs/>
          <w:sz w:val="26"/>
          <w:szCs w:val="26"/>
          <w:lang w:val="en-GB"/>
        </w:rPr>
        <w:t xml:space="preserve"> (1927 Ltd</w:t>
      </w:r>
      <w:r w:rsidR="00993D8D" w:rsidRPr="007529C4">
        <w:rPr>
          <w:rFonts w:ascii="Times New Roman" w:hAnsi="Times New Roman"/>
          <w:i/>
          <w:iCs/>
          <w:sz w:val="26"/>
          <w:szCs w:val="26"/>
          <w:lang w:val="en-GB"/>
        </w:rPr>
        <w:t>:</w:t>
      </w:r>
      <w:r w:rsidR="00110A4A">
        <w:rPr>
          <w:rStyle w:val="FootnoteReference"/>
          <w:rFonts w:ascii="Times New Roman" w:hAnsi="Times New Roman"/>
          <w:sz w:val="26"/>
          <w:szCs w:val="26"/>
          <w:lang w:val="en-GB"/>
        </w:rPr>
        <w:footnoteReference w:id="8"/>
      </w:r>
      <w:r w:rsidR="00110A4A" w:rsidRPr="007529C4">
        <w:rPr>
          <w:rFonts w:ascii="Times New Roman" w:hAnsi="Times New Roman"/>
          <w:sz w:val="26"/>
          <w:szCs w:val="26"/>
          <w:lang w:val="en-GB"/>
        </w:rPr>
        <w:t xml:space="preserve"> </w:t>
      </w:r>
    </w:p>
    <w:p w14:paraId="272AA0D0" w14:textId="77777777" w:rsidR="00993D8D" w:rsidRPr="00993D8D" w:rsidRDefault="00993D8D" w:rsidP="00E1326E">
      <w:pPr>
        <w:pStyle w:val="ListParagraph"/>
        <w:spacing w:after="100" w:line="360" w:lineRule="auto"/>
        <w:rPr>
          <w:rFonts w:ascii="Times New Roman" w:hAnsi="Times New Roman"/>
          <w:sz w:val="26"/>
          <w:szCs w:val="26"/>
          <w:lang w:val="en-GB"/>
        </w:rPr>
      </w:pPr>
    </w:p>
    <w:p w14:paraId="30D96E67" w14:textId="51D1294B" w:rsidR="00110A4A" w:rsidRPr="00993D8D" w:rsidRDefault="00110A4A" w:rsidP="00E1326E">
      <w:pPr>
        <w:pStyle w:val="ListParagraph"/>
        <w:spacing w:after="100" w:line="360" w:lineRule="auto"/>
        <w:rPr>
          <w:rFonts w:ascii="Times New Roman" w:hAnsi="Times New Roman"/>
          <w:sz w:val="24"/>
          <w:szCs w:val="24"/>
        </w:rPr>
      </w:pPr>
      <w:r w:rsidRPr="00993D8D">
        <w:rPr>
          <w:rFonts w:ascii="Times New Roman" w:hAnsi="Times New Roman"/>
          <w:sz w:val="24"/>
          <w:szCs w:val="24"/>
          <w:lang w:val="en-GB"/>
        </w:rPr>
        <w:t>“</w:t>
      </w:r>
      <w:r w:rsidR="00993D8D" w:rsidRPr="00B465A7">
        <w:rPr>
          <w:rFonts w:ascii="Times New Roman" w:hAnsi="Times New Roman"/>
          <w:i/>
          <w:iCs/>
          <w:sz w:val="24"/>
          <w:szCs w:val="24"/>
          <w:lang w:val="en-GB"/>
        </w:rPr>
        <w:t>P</w:t>
      </w:r>
      <w:r w:rsidRPr="00B465A7">
        <w:rPr>
          <w:rFonts w:ascii="Times New Roman" w:hAnsi="Times New Roman"/>
          <w:i/>
          <w:iCs/>
          <w:sz w:val="24"/>
          <w:szCs w:val="24"/>
          <w:lang w:val="en-GB"/>
        </w:rPr>
        <w:t>rima fa</w:t>
      </w:r>
      <w:r w:rsidR="00993D8D" w:rsidRPr="00B465A7">
        <w:rPr>
          <w:rFonts w:ascii="Times New Roman" w:hAnsi="Times New Roman"/>
          <w:i/>
          <w:iCs/>
          <w:sz w:val="24"/>
          <w:szCs w:val="24"/>
          <w:lang w:val="en-GB"/>
        </w:rPr>
        <w:t>c</w:t>
      </w:r>
      <w:r w:rsidRPr="00B465A7">
        <w:rPr>
          <w:rFonts w:ascii="Times New Roman" w:hAnsi="Times New Roman"/>
          <w:i/>
          <w:iCs/>
          <w:sz w:val="24"/>
          <w:szCs w:val="24"/>
          <w:lang w:val="en-GB"/>
        </w:rPr>
        <w:t>i</w:t>
      </w:r>
      <w:r w:rsidR="00993D8D" w:rsidRPr="00B465A7">
        <w:rPr>
          <w:rFonts w:ascii="Times New Roman" w:hAnsi="Times New Roman"/>
          <w:i/>
          <w:iCs/>
          <w:sz w:val="24"/>
          <w:szCs w:val="24"/>
          <w:lang w:val="en-GB"/>
        </w:rPr>
        <w:t>e</w:t>
      </w:r>
      <w:r w:rsidRPr="00993D8D">
        <w:rPr>
          <w:rFonts w:ascii="Times New Roman" w:hAnsi="Times New Roman"/>
          <w:sz w:val="24"/>
          <w:szCs w:val="24"/>
          <w:lang w:val="en-GB"/>
        </w:rPr>
        <w:t xml:space="preserve"> it is the duty of the legal personal representative to perform all contacts of his testator or intestate that can be enforced against him whether by way of specific performance or otherwise. In the case of an onerous contract he ought to not neglect an opportunity of coming to terms. But it can never be his duty to break an enforceable contract.”</w:t>
      </w:r>
    </w:p>
    <w:p w14:paraId="3F193800" w14:textId="77777777" w:rsidR="00DA5EB5" w:rsidRDefault="00DA5EB5" w:rsidP="00E1326E">
      <w:pPr>
        <w:pStyle w:val="ListParagraph"/>
        <w:spacing w:after="100" w:line="360" w:lineRule="auto"/>
        <w:ind w:left="0"/>
        <w:rPr>
          <w:rFonts w:ascii="Times New Roman" w:hAnsi="Times New Roman"/>
          <w:sz w:val="26"/>
          <w:szCs w:val="26"/>
        </w:rPr>
      </w:pPr>
    </w:p>
    <w:p w14:paraId="7B527E81" w14:textId="4E36D41E" w:rsidR="00030F34" w:rsidRPr="007529C4" w:rsidRDefault="007529C4" w:rsidP="007529C4">
      <w:pPr>
        <w:rPr>
          <w:rFonts w:ascii="Times New Roman" w:hAnsi="Times New Roman"/>
          <w:sz w:val="26"/>
          <w:szCs w:val="26"/>
        </w:rPr>
      </w:pPr>
      <w:r w:rsidRPr="00EC0AE7">
        <w:rPr>
          <w:rFonts w:ascii="Times New Roman" w:eastAsia="Calibri" w:hAnsi="Times New Roman" w:cs="Times New Roman"/>
          <w:sz w:val="26"/>
          <w:szCs w:val="26"/>
          <w:lang w:val="en-US"/>
        </w:rPr>
        <w:t>[12]</w:t>
      </w:r>
      <w:r w:rsidRPr="00EC0AE7">
        <w:rPr>
          <w:rFonts w:ascii="Times New Roman" w:eastAsia="Calibri" w:hAnsi="Times New Roman" w:cs="Times New Roman"/>
          <w:sz w:val="26"/>
          <w:szCs w:val="26"/>
          <w:lang w:val="en-US"/>
        </w:rPr>
        <w:tab/>
      </w:r>
      <w:r w:rsidR="00030F34" w:rsidRPr="007529C4">
        <w:rPr>
          <w:rFonts w:ascii="Times New Roman" w:hAnsi="Times New Roman"/>
          <w:sz w:val="26"/>
          <w:szCs w:val="26"/>
        </w:rPr>
        <w:t>For purpose</w:t>
      </w:r>
      <w:r w:rsidR="00C4246B" w:rsidRPr="007529C4">
        <w:rPr>
          <w:rFonts w:ascii="Times New Roman" w:hAnsi="Times New Roman"/>
          <w:sz w:val="26"/>
          <w:szCs w:val="26"/>
        </w:rPr>
        <w:t>s</w:t>
      </w:r>
      <w:r w:rsidR="00030F34" w:rsidRPr="007529C4">
        <w:rPr>
          <w:rFonts w:ascii="Times New Roman" w:hAnsi="Times New Roman"/>
          <w:sz w:val="26"/>
          <w:szCs w:val="26"/>
        </w:rPr>
        <w:t xml:space="preserve"> of determining the spoliation application it </w:t>
      </w:r>
      <w:r w:rsidR="00650754" w:rsidRPr="007529C4">
        <w:rPr>
          <w:rFonts w:ascii="Times New Roman" w:hAnsi="Times New Roman"/>
          <w:sz w:val="26"/>
          <w:szCs w:val="26"/>
        </w:rPr>
        <w:t>was</w:t>
      </w:r>
      <w:r w:rsidR="00030F34" w:rsidRPr="007529C4">
        <w:rPr>
          <w:rFonts w:ascii="Times New Roman" w:hAnsi="Times New Roman"/>
          <w:sz w:val="26"/>
          <w:szCs w:val="26"/>
        </w:rPr>
        <w:t xml:space="preserve"> unnecessary for me to have reflected upon the applicants</w:t>
      </w:r>
      <w:r w:rsidR="00EC0AE7" w:rsidRPr="007529C4">
        <w:rPr>
          <w:rFonts w:ascii="Times New Roman" w:hAnsi="Times New Roman"/>
          <w:sz w:val="26"/>
          <w:szCs w:val="26"/>
        </w:rPr>
        <w:t>’</w:t>
      </w:r>
      <w:r w:rsidR="00030F34" w:rsidRPr="007529C4">
        <w:rPr>
          <w:rFonts w:ascii="Times New Roman" w:hAnsi="Times New Roman"/>
          <w:sz w:val="26"/>
          <w:szCs w:val="26"/>
        </w:rPr>
        <w:t xml:space="preserve"> claimed </w:t>
      </w:r>
      <w:r w:rsidR="00C4246B" w:rsidRPr="007529C4">
        <w:rPr>
          <w:rFonts w:ascii="Times New Roman" w:hAnsi="Times New Roman"/>
          <w:sz w:val="26"/>
          <w:szCs w:val="26"/>
        </w:rPr>
        <w:t>title to</w:t>
      </w:r>
      <w:r w:rsidR="00EC0AE7" w:rsidRPr="007529C4">
        <w:rPr>
          <w:rFonts w:ascii="Times New Roman" w:hAnsi="Times New Roman"/>
          <w:sz w:val="26"/>
          <w:szCs w:val="26"/>
        </w:rPr>
        <w:t xml:space="preserve"> of the property</w:t>
      </w:r>
      <w:r w:rsidR="00030F34" w:rsidRPr="007529C4">
        <w:rPr>
          <w:rFonts w:ascii="Times New Roman" w:hAnsi="Times New Roman"/>
          <w:sz w:val="26"/>
          <w:szCs w:val="26"/>
        </w:rPr>
        <w:t xml:space="preserve">.  The purpose of </w:t>
      </w:r>
      <w:r w:rsidR="00993D8D" w:rsidRPr="007529C4">
        <w:rPr>
          <w:rFonts w:ascii="Times New Roman" w:hAnsi="Times New Roman"/>
          <w:sz w:val="26"/>
          <w:szCs w:val="26"/>
        </w:rPr>
        <w:t xml:space="preserve">a spoliation </w:t>
      </w:r>
      <w:r w:rsidR="00030F34" w:rsidRPr="007529C4">
        <w:rPr>
          <w:rFonts w:ascii="Times New Roman" w:hAnsi="Times New Roman"/>
          <w:sz w:val="26"/>
          <w:szCs w:val="26"/>
        </w:rPr>
        <w:t xml:space="preserve">application is </w:t>
      </w:r>
      <w:r w:rsidR="00993D8D" w:rsidRPr="007529C4">
        <w:rPr>
          <w:rFonts w:ascii="Times New Roman" w:hAnsi="Times New Roman"/>
          <w:sz w:val="26"/>
          <w:szCs w:val="26"/>
        </w:rPr>
        <w:t>(</w:t>
      </w:r>
      <w:r w:rsidR="00030F34" w:rsidRPr="007529C4">
        <w:rPr>
          <w:rFonts w:ascii="Times New Roman" w:hAnsi="Times New Roman"/>
          <w:sz w:val="26"/>
          <w:szCs w:val="26"/>
        </w:rPr>
        <w:t>and was in the circumstances which pertained</w:t>
      </w:r>
      <w:r w:rsidR="00993D8D" w:rsidRPr="007529C4">
        <w:rPr>
          <w:rFonts w:ascii="Times New Roman" w:hAnsi="Times New Roman"/>
          <w:sz w:val="26"/>
          <w:szCs w:val="26"/>
        </w:rPr>
        <w:t>)</w:t>
      </w:r>
      <w:r w:rsidR="00030F34" w:rsidRPr="007529C4">
        <w:rPr>
          <w:rFonts w:ascii="Times New Roman" w:hAnsi="Times New Roman"/>
          <w:sz w:val="26"/>
          <w:szCs w:val="26"/>
        </w:rPr>
        <w:t xml:space="preserve"> to</w:t>
      </w:r>
      <w:r w:rsidR="00650754" w:rsidRPr="007529C4">
        <w:rPr>
          <w:rFonts w:ascii="Times New Roman" w:hAnsi="Times New Roman"/>
          <w:sz w:val="26"/>
          <w:szCs w:val="26"/>
        </w:rPr>
        <w:t xml:space="preserve"> </w:t>
      </w:r>
      <w:r w:rsidR="00030F34" w:rsidRPr="007529C4">
        <w:rPr>
          <w:rFonts w:ascii="Times New Roman" w:hAnsi="Times New Roman"/>
          <w:sz w:val="26"/>
          <w:szCs w:val="26"/>
        </w:rPr>
        <w:t xml:space="preserve">prevent the applicants from taking the law into their own hands and to ensure the restoration </w:t>
      </w:r>
      <w:r w:rsidR="00030F34" w:rsidRPr="007529C4">
        <w:rPr>
          <w:rFonts w:ascii="Times New Roman" w:hAnsi="Times New Roman"/>
          <w:i/>
          <w:iCs/>
          <w:sz w:val="26"/>
          <w:szCs w:val="26"/>
        </w:rPr>
        <w:t xml:space="preserve">ante </w:t>
      </w:r>
      <w:proofErr w:type="spellStart"/>
      <w:r w:rsidR="00EC0AE7" w:rsidRPr="007529C4">
        <w:rPr>
          <w:rFonts w:ascii="Times New Roman" w:hAnsi="Times New Roman"/>
          <w:i/>
          <w:iCs/>
          <w:sz w:val="26"/>
          <w:szCs w:val="26"/>
        </w:rPr>
        <w:t>om</w:t>
      </w:r>
      <w:r w:rsidR="00030F34" w:rsidRPr="007529C4">
        <w:rPr>
          <w:rFonts w:ascii="Times New Roman" w:hAnsi="Times New Roman"/>
          <w:i/>
          <w:iCs/>
          <w:sz w:val="26"/>
          <w:szCs w:val="26"/>
        </w:rPr>
        <w:t>nia</w:t>
      </w:r>
      <w:proofErr w:type="spellEnd"/>
      <w:r w:rsidR="00030F34" w:rsidRPr="007529C4">
        <w:rPr>
          <w:rFonts w:ascii="Times New Roman" w:hAnsi="Times New Roman"/>
          <w:sz w:val="26"/>
          <w:szCs w:val="26"/>
        </w:rPr>
        <w:t xml:space="preserve"> of the property involuntarily taken from the respondent’s possession.</w:t>
      </w:r>
      <w:r w:rsidR="00EC0AE7" w:rsidRPr="007529C4">
        <w:rPr>
          <w:rFonts w:ascii="Times New Roman" w:hAnsi="Times New Roman"/>
          <w:sz w:val="26"/>
          <w:szCs w:val="26"/>
        </w:rPr>
        <w:t xml:space="preserve"> For one the respondent was in possession of the property and was retaining it for a statutory purpose. Additionally</w:t>
      </w:r>
      <w:r w:rsidR="009118B0" w:rsidRPr="007529C4">
        <w:rPr>
          <w:rFonts w:ascii="Times New Roman" w:hAnsi="Times New Roman"/>
          <w:sz w:val="26"/>
          <w:szCs w:val="26"/>
        </w:rPr>
        <w:t>,</w:t>
      </w:r>
      <w:r w:rsidR="00EC0AE7" w:rsidRPr="007529C4">
        <w:rPr>
          <w:rFonts w:ascii="Times New Roman" w:hAnsi="Times New Roman"/>
          <w:sz w:val="26"/>
          <w:szCs w:val="26"/>
        </w:rPr>
        <w:t xml:space="preserve"> she had been forcibly dispossessed of it by the applicants opportunistically asserting their registered ownership of it whereas their</w:t>
      </w:r>
      <w:r w:rsidR="000B2544" w:rsidRPr="007529C4">
        <w:rPr>
          <w:rFonts w:ascii="Times New Roman" w:hAnsi="Times New Roman"/>
          <w:sz w:val="26"/>
          <w:szCs w:val="26"/>
        </w:rPr>
        <w:t xml:space="preserve"> legal remedy lay </w:t>
      </w:r>
      <w:r w:rsidR="00650754" w:rsidRPr="007529C4">
        <w:rPr>
          <w:rFonts w:ascii="Times New Roman" w:hAnsi="Times New Roman"/>
          <w:sz w:val="26"/>
          <w:szCs w:val="26"/>
        </w:rPr>
        <w:t xml:space="preserve">under the auspices </w:t>
      </w:r>
      <w:r w:rsidR="00DC39CB" w:rsidRPr="007529C4">
        <w:rPr>
          <w:rFonts w:ascii="Times New Roman" w:hAnsi="Times New Roman"/>
          <w:sz w:val="26"/>
          <w:szCs w:val="26"/>
        </w:rPr>
        <w:t>of the Act</w:t>
      </w:r>
      <w:r w:rsidR="000B2544" w:rsidRPr="007529C4">
        <w:rPr>
          <w:rFonts w:ascii="Times New Roman" w:hAnsi="Times New Roman"/>
          <w:sz w:val="26"/>
          <w:szCs w:val="26"/>
        </w:rPr>
        <w:t xml:space="preserve"> (by proving a claim, on their version that the deed of sale had been cancelled and that they were thus entitled to take repossession)</w:t>
      </w:r>
      <w:proofErr w:type="gramStart"/>
      <w:r w:rsidR="000B2544" w:rsidRPr="007529C4">
        <w:rPr>
          <w:rFonts w:ascii="Times New Roman" w:hAnsi="Times New Roman"/>
          <w:sz w:val="26"/>
          <w:szCs w:val="26"/>
        </w:rPr>
        <w:t xml:space="preserve">, </w:t>
      </w:r>
      <w:r w:rsidR="00DC39CB" w:rsidRPr="007529C4">
        <w:rPr>
          <w:rFonts w:ascii="Times New Roman" w:hAnsi="Times New Roman"/>
          <w:sz w:val="26"/>
          <w:szCs w:val="26"/>
        </w:rPr>
        <w:t xml:space="preserve"> </w:t>
      </w:r>
      <w:r w:rsidR="00EC0AE7" w:rsidRPr="007529C4">
        <w:rPr>
          <w:rFonts w:ascii="Times New Roman" w:hAnsi="Times New Roman"/>
          <w:sz w:val="26"/>
          <w:szCs w:val="26"/>
        </w:rPr>
        <w:t>alternatively</w:t>
      </w:r>
      <w:proofErr w:type="gramEnd"/>
      <w:r w:rsidR="00EC0AE7" w:rsidRPr="007529C4">
        <w:rPr>
          <w:rFonts w:ascii="Times New Roman" w:hAnsi="Times New Roman"/>
          <w:sz w:val="26"/>
          <w:szCs w:val="26"/>
        </w:rPr>
        <w:t xml:space="preserve"> </w:t>
      </w:r>
      <w:r w:rsidR="00DC39CB" w:rsidRPr="007529C4">
        <w:rPr>
          <w:rFonts w:ascii="Times New Roman" w:hAnsi="Times New Roman"/>
          <w:sz w:val="26"/>
          <w:szCs w:val="26"/>
        </w:rPr>
        <w:t>through the court</w:t>
      </w:r>
      <w:r w:rsidR="000B2544" w:rsidRPr="007529C4">
        <w:rPr>
          <w:rFonts w:ascii="Times New Roman" w:hAnsi="Times New Roman"/>
          <w:sz w:val="26"/>
          <w:szCs w:val="26"/>
        </w:rPr>
        <w:t xml:space="preserve"> (by seeking an appropriate </w:t>
      </w:r>
      <w:proofErr w:type="spellStart"/>
      <w:r w:rsidR="000B2544" w:rsidRPr="007529C4">
        <w:rPr>
          <w:rFonts w:ascii="Times New Roman" w:hAnsi="Times New Roman"/>
          <w:sz w:val="26"/>
          <w:szCs w:val="26"/>
        </w:rPr>
        <w:t>declarator</w:t>
      </w:r>
      <w:proofErr w:type="spellEnd"/>
      <w:r w:rsidR="000B2544" w:rsidRPr="007529C4">
        <w:rPr>
          <w:rFonts w:ascii="Times New Roman" w:hAnsi="Times New Roman"/>
          <w:sz w:val="26"/>
          <w:szCs w:val="26"/>
        </w:rPr>
        <w:t>)</w:t>
      </w:r>
      <w:r w:rsidR="00030F34" w:rsidRPr="007529C4">
        <w:rPr>
          <w:rFonts w:ascii="Times New Roman" w:hAnsi="Times New Roman"/>
          <w:sz w:val="26"/>
          <w:szCs w:val="26"/>
        </w:rPr>
        <w:t>,</w:t>
      </w:r>
      <w:r w:rsidR="00613EF8">
        <w:rPr>
          <w:rStyle w:val="FootnoteReference"/>
          <w:rFonts w:ascii="Times New Roman" w:hAnsi="Times New Roman"/>
          <w:sz w:val="26"/>
          <w:szCs w:val="26"/>
        </w:rPr>
        <w:footnoteReference w:id="9"/>
      </w:r>
      <w:r w:rsidR="00030F34" w:rsidRPr="007529C4">
        <w:rPr>
          <w:rFonts w:ascii="Times New Roman" w:hAnsi="Times New Roman"/>
          <w:sz w:val="26"/>
          <w:szCs w:val="26"/>
        </w:rPr>
        <w:t xml:space="preserve"> rather than their obvious resort to self-help.</w:t>
      </w:r>
    </w:p>
    <w:p w14:paraId="4D5B951A" w14:textId="77777777" w:rsidR="00030F34" w:rsidRPr="00030F34" w:rsidRDefault="00030F34" w:rsidP="00E1326E">
      <w:pPr>
        <w:pStyle w:val="ListParagraph"/>
        <w:spacing w:after="100" w:line="360" w:lineRule="auto"/>
        <w:rPr>
          <w:rFonts w:ascii="Times New Roman" w:hAnsi="Times New Roman"/>
          <w:sz w:val="26"/>
          <w:szCs w:val="26"/>
        </w:rPr>
      </w:pPr>
    </w:p>
    <w:p w14:paraId="79E7D176" w14:textId="1E5B74AD" w:rsidR="00030F34"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[13]</w:t>
      </w:r>
      <w:r>
        <w:rPr>
          <w:rFonts w:ascii="Times New Roman" w:eastAsia="Calibri" w:hAnsi="Times New Roman" w:cs="Times New Roman"/>
          <w:sz w:val="26"/>
          <w:szCs w:val="26"/>
          <w:lang w:val="en-US"/>
        </w:rPr>
        <w:tab/>
      </w:r>
      <w:r w:rsidR="00437877" w:rsidRPr="007529C4">
        <w:rPr>
          <w:rFonts w:ascii="Times New Roman" w:hAnsi="Times New Roman"/>
          <w:sz w:val="26"/>
          <w:szCs w:val="26"/>
        </w:rPr>
        <w:t>There is in my view no prospect that another court will find that the respondent was not entitled to have</w:t>
      </w:r>
      <w:r w:rsidR="009118B0" w:rsidRPr="007529C4">
        <w:rPr>
          <w:rFonts w:ascii="Times New Roman" w:hAnsi="Times New Roman"/>
          <w:sz w:val="26"/>
          <w:szCs w:val="26"/>
        </w:rPr>
        <w:t xml:space="preserve"> had</w:t>
      </w:r>
      <w:r w:rsidR="00437877" w:rsidRPr="007529C4">
        <w:rPr>
          <w:rFonts w:ascii="Times New Roman" w:hAnsi="Times New Roman"/>
          <w:sz w:val="26"/>
          <w:szCs w:val="26"/>
        </w:rPr>
        <w:t xml:space="preserve"> the possessory </w:t>
      </w:r>
      <w:r w:rsidR="00613EF8" w:rsidRPr="007529C4">
        <w:rPr>
          <w:rFonts w:ascii="Times New Roman" w:hAnsi="Times New Roman"/>
          <w:sz w:val="26"/>
          <w:szCs w:val="26"/>
        </w:rPr>
        <w:t>claim</w:t>
      </w:r>
      <w:r w:rsidR="00437877" w:rsidRPr="007529C4">
        <w:rPr>
          <w:rFonts w:ascii="Times New Roman" w:hAnsi="Times New Roman"/>
          <w:sz w:val="26"/>
          <w:szCs w:val="26"/>
        </w:rPr>
        <w:t xml:space="preserve"> decided in her favour</w:t>
      </w:r>
      <w:r w:rsidR="00030F34" w:rsidRPr="007529C4">
        <w:rPr>
          <w:rFonts w:ascii="Times New Roman" w:hAnsi="Times New Roman"/>
          <w:sz w:val="26"/>
          <w:szCs w:val="26"/>
        </w:rPr>
        <w:t>.</w:t>
      </w:r>
    </w:p>
    <w:p w14:paraId="6EB7ECCF" w14:textId="77777777" w:rsidR="00030F34" w:rsidRPr="00030F34" w:rsidRDefault="00030F34" w:rsidP="00E1326E">
      <w:pPr>
        <w:pStyle w:val="ListParagraph"/>
        <w:spacing w:after="100" w:line="360" w:lineRule="auto"/>
        <w:rPr>
          <w:rFonts w:ascii="Times New Roman" w:hAnsi="Times New Roman"/>
          <w:sz w:val="26"/>
          <w:szCs w:val="26"/>
        </w:rPr>
      </w:pPr>
    </w:p>
    <w:p w14:paraId="3861896B" w14:textId="235F7874" w:rsidR="002E4A03" w:rsidRPr="007529C4" w:rsidRDefault="007529C4" w:rsidP="007529C4">
      <w:pPr>
        <w:rPr>
          <w:rFonts w:ascii="Times New Roman" w:hAnsi="Times New Roman"/>
          <w:sz w:val="26"/>
          <w:szCs w:val="26"/>
        </w:rPr>
      </w:pPr>
      <w:r w:rsidRPr="00C4246B">
        <w:rPr>
          <w:rFonts w:ascii="Times New Roman" w:eastAsia="Calibri" w:hAnsi="Times New Roman" w:cs="Times New Roman"/>
          <w:sz w:val="26"/>
          <w:szCs w:val="26"/>
          <w:lang w:val="en-US"/>
        </w:rPr>
        <w:t>[14]</w:t>
      </w:r>
      <w:r w:rsidRPr="00C4246B">
        <w:rPr>
          <w:rFonts w:ascii="Times New Roman" w:eastAsia="Calibri" w:hAnsi="Times New Roman" w:cs="Times New Roman"/>
          <w:sz w:val="26"/>
          <w:szCs w:val="26"/>
          <w:lang w:val="en-US"/>
        </w:rPr>
        <w:tab/>
      </w:r>
      <w:r w:rsidR="000B2544" w:rsidRPr="007529C4">
        <w:rPr>
          <w:rFonts w:ascii="Times New Roman" w:hAnsi="Times New Roman"/>
          <w:sz w:val="26"/>
          <w:szCs w:val="26"/>
        </w:rPr>
        <w:t>Although not a ground raised before me in the present application, I accept that by the time I issued the order restoring possession</w:t>
      </w:r>
      <w:r w:rsidR="009118B0" w:rsidRPr="007529C4">
        <w:rPr>
          <w:rFonts w:ascii="Times New Roman" w:hAnsi="Times New Roman"/>
          <w:sz w:val="26"/>
          <w:szCs w:val="26"/>
        </w:rPr>
        <w:t xml:space="preserve"> of the property</w:t>
      </w:r>
      <w:r w:rsidR="000B2544" w:rsidRPr="007529C4">
        <w:rPr>
          <w:rFonts w:ascii="Times New Roman" w:hAnsi="Times New Roman"/>
          <w:sz w:val="26"/>
          <w:szCs w:val="26"/>
        </w:rPr>
        <w:t xml:space="preserve"> to </w:t>
      </w:r>
      <w:r w:rsidR="009118B0" w:rsidRPr="007529C4">
        <w:rPr>
          <w:rFonts w:ascii="Times New Roman" w:hAnsi="Times New Roman"/>
          <w:sz w:val="26"/>
          <w:szCs w:val="26"/>
        </w:rPr>
        <w:t>the respondent</w:t>
      </w:r>
      <w:r w:rsidR="000B2544" w:rsidRPr="007529C4">
        <w:rPr>
          <w:rFonts w:ascii="Times New Roman" w:hAnsi="Times New Roman"/>
          <w:sz w:val="26"/>
          <w:szCs w:val="26"/>
        </w:rPr>
        <w:t>, that the applicants had committed a further act of spoliation that possibly rendered my order</w:t>
      </w:r>
      <w:r w:rsidR="009118B0" w:rsidRPr="007529C4">
        <w:rPr>
          <w:rFonts w:ascii="Times New Roman" w:hAnsi="Times New Roman"/>
          <w:sz w:val="26"/>
          <w:szCs w:val="26"/>
        </w:rPr>
        <w:t xml:space="preserve"> (relative to the spoliation on 16 December 2021)</w:t>
      </w:r>
      <w:r w:rsidR="00C4246B" w:rsidRPr="007529C4">
        <w:rPr>
          <w:rFonts w:ascii="Times New Roman" w:hAnsi="Times New Roman"/>
          <w:sz w:val="26"/>
          <w:szCs w:val="26"/>
        </w:rPr>
        <w:t xml:space="preserve"> </w:t>
      </w:r>
      <w:r w:rsidR="00613EF8" w:rsidRPr="007529C4">
        <w:rPr>
          <w:rFonts w:ascii="Times New Roman" w:hAnsi="Times New Roman"/>
          <w:sz w:val="26"/>
          <w:szCs w:val="26"/>
        </w:rPr>
        <w:t xml:space="preserve">moot </w:t>
      </w:r>
      <w:r w:rsidR="00C4246B" w:rsidRPr="007529C4">
        <w:rPr>
          <w:rFonts w:ascii="Times New Roman" w:hAnsi="Times New Roman"/>
          <w:sz w:val="26"/>
          <w:szCs w:val="26"/>
        </w:rPr>
        <w:t>as at the</w:t>
      </w:r>
      <w:r w:rsidR="00613EF8" w:rsidRPr="007529C4">
        <w:rPr>
          <w:rFonts w:ascii="Times New Roman" w:hAnsi="Times New Roman"/>
          <w:sz w:val="26"/>
          <w:szCs w:val="26"/>
        </w:rPr>
        <w:t xml:space="preserve"> latter</w:t>
      </w:r>
      <w:r w:rsidR="00C4246B" w:rsidRPr="007529C4">
        <w:rPr>
          <w:rFonts w:ascii="Times New Roman" w:hAnsi="Times New Roman"/>
          <w:sz w:val="26"/>
          <w:szCs w:val="26"/>
        </w:rPr>
        <w:t xml:space="preserve"> date</w:t>
      </w:r>
      <w:r w:rsidR="009118B0" w:rsidRPr="007529C4">
        <w:rPr>
          <w:rFonts w:ascii="Times New Roman" w:hAnsi="Times New Roman"/>
          <w:sz w:val="26"/>
          <w:szCs w:val="26"/>
        </w:rPr>
        <w:t>.</w:t>
      </w:r>
      <w:r w:rsidR="00DC39CB">
        <w:rPr>
          <w:rStyle w:val="FootnoteReference"/>
          <w:rFonts w:ascii="Times New Roman" w:hAnsi="Times New Roman"/>
          <w:sz w:val="26"/>
          <w:szCs w:val="26"/>
        </w:rPr>
        <w:footnoteReference w:id="10"/>
      </w:r>
      <w:r w:rsidR="002E4A03" w:rsidRPr="007529C4">
        <w:rPr>
          <w:rFonts w:ascii="Times New Roman" w:hAnsi="Times New Roman"/>
          <w:sz w:val="26"/>
          <w:szCs w:val="26"/>
        </w:rPr>
        <w:t xml:space="preserve">  </w:t>
      </w:r>
      <w:r w:rsidR="00C4246B" w:rsidRPr="007529C4">
        <w:rPr>
          <w:rFonts w:ascii="Times New Roman" w:hAnsi="Times New Roman"/>
          <w:sz w:val="26"/>
          <w:szCs w:val="26"/>
        </w:rPr>
        <w:t>I am mindful that another court might find that in these circumstances I should not have issued the order which I did in prayer 1, since a lot of water had passed under the bridge so to speak</w:t>
      </w:r>
      <w:r w:rsidR="00613EF8" w:rsidRPr="007529C4">
        <w:rPr>
          <w:rFonts w:ascii="Times New Roman" w:hAnsi="Times New Roman"/>
          <w:sz w:val="26"/>
          <w:szCs w:val="26"/>
        </w:rPr>
        <w:t xml:space="preserve">, since then.  For this reason, </w:t>
      </w:r>
      <w:r w:rsidR="00C4246B" w:rsidRPr="007529C4">
        <w:rPr>
          <w:rFonts w:ascii="Times New Roman" w:hAnsi="Times New Roman"/>
          <w:sz w:val="26"/>
          <w:szCs w:val="26"/>
        </w:rPr>
        <w:t>I am not inclined to g</w:t>
      </w:r>
      <w:r w:rsidR="00613EF8" w:rsidRPr="007529C4">
        <w:rPr>
          <w:rFonts w:ascii="Times New Roman" w:hAnsi="Times New Roman"/>
          <w:sz w:val="26"/>
          <w:szCs w:val="26"/>
        </w:rPr>
        <w:t>rant</w:t>
      </w:r>
      <w:r w:rsidR="00C4246B" w:rsidRPr="007529C4">
        <w:rPr>
          <w:rFonts w:ascii="Times New Roman" w:hAnsi="Times New Roman"/>
          <w:sz w:val="26"/>
          <w:szCs w:val="26"/>
        </w:rPr>
        <w:t xml:space="preserve"> the applicants leave to appeal in respect of this narrow </w:t>
      </w:r>
      <w:r w:rsidR="00613EF8" w:rsidRPr="007529C4">
        <w:rPr>
          <w:rFonts w:ascii="Times New Roman" w:hAnsi="Times New Roman"/>
          <w:sz w:val="26"/>
          <w:szCs w:val="26"/>
        </w:rPr>
        <w:t>issue</w:t>
      </w:r>
      <w:r w:rsidR="00C4246B" w:rsidRPr="007529C4">
        <w:rPr>
          <w:rFonts w:ascii="Times New Roman" w:hAnsi="Times New Roman"/>
          <w:sz w:val="26"/>
          <w:szCs w:val="26"/>
        </w:rPr>
        <w:t xml:space="preserve"> as it will have no practical effect or result.</w:t>
      </w:r>
      <w:r w:rsidR="00613EF8">
        <w:rPr>
          <w:rStyle w:val="FootnoteReference"/>
          <w:rFonts w:ascii="Times New Roman" w:hAnsi="Times New Roman"/>
          <w:sz w:val="26"/>
          <w:szCs w:val="26"/>
        </w:rPr>
        <w:footnoteReference w:id="11"/>
      </w:r>
      <w:r w:rsidR="00C4246B" w:rsidRPr="007529C4">
        <w:rPr>
          <w:rFonts w:ascii="Times New Roman" w:hAnsi="Times New Roman"/>
          <w:sz w:val="26"/>
          <w:szCs w:val="26"/>
        </w:rPr>
        <w:t xml:space="preserve">  </w:t>
      </w:r>
      <w:r w:rsidR="002E4A03" w:rsidRPr="007529C4">
        <w:rPr>
          <w:rFonts w:ascii="Times New Roman" w:hAnsi="Times New Roman"/>
          <w:sz w:val="26"/>
          <w:szCs w:val="26"/>
        </w:rPr>
        <w:t>Academic appeals should not be encouraged</w:t>
      </w:r>
      <w:r w:rsidR="009118B0" w:rsidRPr="007529C4">
        <w:rPr>
          <w:rFonts w:ascii="Times New Roman" w:hAnsi="Times New Roman"/>
          <w:sz w:val="26"/>
          <w:szCs w:val="26"/>
        </w:rPr>
        <w:t>.</w:t>
      </w:r>
    </w:p>
    <w:p w14:paraId="427FAF41" w14:textId="77777777" w:rsidR="002E4A03" w:rsidRPr="002E4A03" w:rsidRDefault="002E4A03" w:rsidP="00E1326E">
      <w:pPr>
        <w:pStyle w:val="ListParagraph"/>
        <w:spacing w:after="100" w:line="360" w:lineRule="auto"/>
        <w:rPr>
          <w:rFonts w:ascii="Times New Roman" w:hAnsi="Times New Roman"/>
          <w:sz w:val="26"/>
          <w:szCs w:val="26"/>
        </w:rPr>
      </w:pPr>
    </w:p>
    <w:p w14:paraId="182E47A8" w14:textId="2991FCEB" w:rsidR="002E4A03"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[15]</w:t>
      </w:r>
      <w:r>
        <w:rPr>
          <w:rFonts w:ascii="Times New Roman" w:eastAsia="Calibri" w:hAnsi="Times New Roman" w:cs="Times New Roman"/>
          <w:sz w:val="26"/>
          <w:szCs w:val="26"/>
          <w:lang w:val="en-US"/>
        </w:rPr>
        <w:tab/>
      </w:r>
      <w:r w:rsidR="002E4A03" w:rsidRPr="007529C4">
        <w:rPr>
          <w:rFonts w:ascii="Times New Roman" w:hAnsi="Times New Roman"/>
          <w:sz w:val="26"/>
          <w:szCs w:val="26"/>
        </w:rPr>
        <w:t xml:space="preserve">As for </w:t>
      </w:r>
      <w:r w:rsidR="008012DC" w:rsidRPr="007529C4">
        <w:rPr>
          <w:rFonts w:ascii="Times New Roman" w:hAnsi="Times New Roman"/>
          <w:sz w:val="26"/>
          <w:szCs w:val="26"/>
        </w:rPr>
        <w:t xml:space="preserve">the costs order granted in favour of the respondent in her representative capacity, </w:t>
      </w:r>
      <w:r w:rsidR="002E4A03" w:rsidRPr="007529C4">
        <w:rPr>
          <w:rFonts w:ascii="Times New Roman" w:hAnsi="Times New Roman"/>
          <w:sz w:val="26"/>
          <w:szCs w:val="26"/>
        </w:rPr>
        <w:t xml:space="preserve">no grounds were stated why I should grant leave to challenge </w:t>
      </w:r>
      <w:r w:rsidR="008012DC" w:rsidRPr="007529C4">
        <w:rPr>
          <w:rFonts w:ascii="Times New Roman" w:hAnsi="Times New Roman"/>
          <w:sz w:val="26"/>
          <w:szCs w:val="26"/>
        </w:rPr>
        <w:t>that</w:t>
      </w:r>
      <w:r w:rsidR="002E4A03" w:rsidRPr="007529C4">
        <w:rPr>
          <w:rFonts w:ascii="Times New Roman" w:hAnsi="Times New Roman"/>
          <w:sz w:val="26"/>
          <w:szCs w:val="26"/>
        </w:rPr>
        <w:t xml:space="preserve"> order </w:t>
      </w:r>
      <w:r w:rsidR="002E4A03" w:rsidRPr="007529C4">
        <w:rPr>
          <w:rFonts w:ascii="Times New Roman" w:hAnsi="Times New Roman"/>
          <w:i/>
          <w:iCs/>
          <w:sz w:val="26"/>
          <w:szCs w:val="26"/>
        </w:rPr>
        <w:t>per</w:t>
      </w:r>
      <w:r w:rsidR="00DC39CB" w:rsidRPr="007529C4">
        <w:rPr>
          <w:rFonts w:ascii="Times New Roman" w:hAnsi="Times New Roman"/>
          <w:i/>
          <w:iCs/>
          <w:sz w:val="26"/>
          <w:szCs w:val="26"/>
        </w:rPr>
        <w:t xml:space="preserve"> </w:t>
      </w:r>
      <w:r w:rsidR="002E4A03" w:rsidRPr="007529C4">
        <w:rPr>
          <w:rFonts w:ascii="Times New Roman" w:hAnsi="Times New Roman"/>
          <w:i/>
          <w:iCs/>
          <w:sz w:val="26"/>
          <w:szCs w:val="26"/>
        </w:rPr>
        <w:t>se</w:t>
      </w:r>
      <w:r w:rsidR="002E4A03" w:rsidRPr="007529C4">
        <w:rPr>
          <w:rFonts w:ascii="Times New Roman" w:hAnsi="Times New Roman"/>
          <w:sz w:val="26"/>
          <w:szCs w:val="26"/>
        </w:rPr>
        <w:t xml:space="preserve">.  For the reasons I </w:t>
      </w:r>
      <w:r w:rsidR="00BA0B5B" w:rsidRPr="007529C4">
        <w:rPr>
          <w:rFonts w:ascii="Times New Roman" w:hAnsi="Times New Roman"/>
          <w:sz w:val="26"/>
          <w:szCs w:val="26"/>
        </w:rPr>
        <w:t xml:space="preserve">have </w:t>
      </w:r>
      <w:r w:rsidR="002E4A03" w:rsidRPr="007529C4">
        <w:rPr>
          <w:rFonts w:ascii="Times New Roman" w:hAnsi="Times New Roman"/>
          <w:sz w:val="26"/>
          <w:szCs w:val="26"/>
        </w:rPr>
        <w:t xml:space="preserve">outlined above </w:t>
      </w:r>
      <w:r w:rsidR="00BA0B5B" w:rsidRPr="007529C4">
        <w:rPr>
          <w:rFonts w:ascii="Times New Roman" w:hAnsi="Times New Roman"/>
          <w:sz w:val="26"/>
          <w:szCs w:val="26"/>
        </w:rPr>
        <w:t xml:space="preserve">and in my judgment </w:t>
      </w:r>
      <w:r w:rsidR="002E4A03" w:rsidRPr="007529C4">
        <w:rPr>
          <w:rFonts w:ascii="Times New Roman" w:hAnsi="Times New Roman"/>
          <w:sz w:val="26"/>
          <w:szCs w:val="26"/>
        </w:rPr>
        <w:t>why the notional order of restoration was justified on the</w:t>
      </w:r>
      <w:r w:rsidR="009118B0" w:rsidRPr="007529C4">
        <w:rPr>
          <w:rFonts w:ascii="Times New Roman" w:hAnsi="Times New Roman"/>
          <w:sz w:val="26"/>
          <w:szCs w:val="26"/>
        </w:rPr>
        <w:t xml:space="preserve"> </w:t>
      </w:r>
      <w:r w:rsidR="002E4A03" w:rsidRPr="007529C4">
        <w:rPr>
          <w:rFonts w:ascii="Times New Roman" w:hAnsi="Times New Roman"/>
          <w:sz w:val="26"/>
          <w:szCs w:val="26"/>
        </w:rPr>
        <w:t>facts</w:t>
      </w:r>
      <w:r w:rsidR="00C4246B" w:rsidRPr="007529C4">
        <w:rPr>
          <w:rFonts w:ascii="Times New Roman" w:hAnsi="Times New Roman"/>
          <w:sz w:val="26"/>
          <w:szCs w:val="26"/>
        </w:rPr>
        <w:t xml:space="preserve"> set out in the papers</w:t>
      </w:r>
      <w:r w:rsidR="002E4A03" w:rsidRPr="007529C4">
        <w:rPr>
          <w:rFonts w:ascii="Times New Roman" w:hAnsi="Times New Roman"/>
          <w:sz w:val="26"/>
          <w:szCs w:val="26"/>
        </w:rPr>
        <w:t>, the cost</w:t>
      </w:r>
      <w:r w:rsidR="005B7EE7" w:rsidRPr="007529C4">
        <w:rPr>
          <w:rFonts w:ascii="Times New Roman" w:hAnsi="Times New Roman"/>
          <w:sz w:val="26"/>
          <w:szCs w:val="26"/>
        </w:rPr>
        <w:t>s</w:t>
      </w:r>
      <w:r w:rsidR="002E4A03" w:rsidRPr="007529C4">
        <w:rPr>
          <w:rFonts w:ascii="Times New Roman" w:hAnsi="Times New Roman"/>
          <w:sz w:val="26"/>
          <w:szCs w:val="26"/>
        </w:rPr>
        <w:t xml:space="preserve"> </w:t>
      </w:r>
      <w:r w:rsidR="005B7EE7" w:rsidRPr="007529C4">
        <w:rPr>
          <w:rFonts w:ascii="Times New Roman" w:hAnsi="Times New Roman"/>
          <w:sz w:val="26"/>
          <w:szCs w:val="26"/>
        </w:rPr>
        <w:t xml:space="preserve">order which I granted </w:t>
      </w:r>
      <w:r w:rsidR="002E4A03" w:rsidRPr="007529C4">
        <w:rPr>
          <w:rFonts w:ascii="Times New Roman" w:hAnsi="Times New Roman"/>
          <w:sz w:val="26"/>
          <w:szCs w:val="26"/>
        </w:rPr>
        <w:t>naturally follow</w:t>
      </w:r>
      <w:r w:rsidR="00BA0B5B" w:rsidRPr="007529C4">
        <w:rPr>
          <w:rFonts w:ascii="Times New Roman" w:hAnsi="Times New Roman"/>
          <w:sz w:val="26"/>
          <w:szCs w:val="26"/>
        </w:rPr>
        <w:t>ed</w:t>
      </w:r>
      <w:r w:rsidR="002E4A03" w:rsidRPr="007529C4">
        <w:rPr>
          <w:rFonts w:ascii="Times New Roman" w:hAnsi="Times New Roman"/>
          <w:sz w:val="26"/>
          <w:szCs w:val="26"/>
        </w:rPr>
        <w:t xml:space="preserve"> that result.</w:t>
      </w:r>
      <w:r w:rsidR="00BA0B5B" w:rsidRPr="007529C4">
        <w:rPr>
          <w:rFonts w:ascii="Times New Roman" w:hAnsi="Times New Roman"/>
          <w:sz w:val="26"/>
          <w:szCs w:val="26"/>
        </w:rPr>
        <w:t xml:space="preserve"> Even if I had reflected at the time that my order restoring possession of the property to the respondent had become academic and </w:t>
      </w:r>
      <w:r w:rsidR="0007119F" w:rsidRPr="007529C4">
        <w:rPr>
          <w:rFonts w:ascii="Times New Roman" w:hAnsi="Times New Roman"/>
          <w:sz w:val="26"/>
          <w:szCs w:val="26"/>
        </w:rPr>
        <w:t xml:space="preserve">had </w:t>
      </w:r>
      <w:r w:rsidR="0007119F" w:rsidRPr="007529C4">
        <w:rPr>
          <w:rFonts w:ascii="Times New Roman" w:hAnsi="Times New Roman"/>
          <w:sz w:val="26"/>
          <w:szCs w:val="26"/>
        </w:rPr>
        <w:lastRenderedPageBreak/>
        <w:t xml:space="preserve">been </w:t>
      </w:r>
      <w:r w:rsidR="00BA0B5B" w:rsidRPr="007529C4">
        <w:rPr>
          <w:rFonts w:ascii="Times New Roman" w:hAnsi="Times New Roman"/>
          <w:sz w:val="26"/>
          <w:szCs w:val="26"/>
        </w:rPr>
        <w:t>overtaken by events</w:t>
      </w:r>
      <w:r w:rsidR="0007119F" w:rsidRPr="007529C4">
        <w:rPr>
          <w:rFonts w:ascii="Times New Roman" w:hAnsi="Times New Roman"/>
          <w:sz w:val="26"/>
          <w:szCs w:val="26"/>
        </w:rPr>
        <w:t>,</w:t>
      </w:r>
      <w:r w:rsidR="00BA0B5B" w:rsidRPr="007529C4">
        <w:rPr>
          <w:rFonts w:ascii="Times New Roman" w:hAnsi="Times New Roman"/>
          <w:sz w:val="26"/>
          <w:szCs w:val="26"/>
        </w:rPr>
        <w:t xml:space="preserve"> given the lengthy </w:t>
      </w:r>
      <w:r w:rsidR="0007119F" w:rsidRPr="007529C4">
        <w:rPr>
          <w:rFonts w:ascii="Times New Roman" w:hAnsi="Times New Roman"/>
          <w:sz w:val="26"/>
          <w:szCs w:val="26"/>
        </w:rPr>
        <w:t>interval</w:t>
      </w:r>
      <w:r w:rsidR="00BA0B5B" w:rsidRPr="007529C4">
        <w:rPr>
          <w:rFonts w:ascii="Times New Roman" w:hAnsi="Times New Roman"/>
          <w:sz w:val="26"/>
          <w:szCs w:val="26"/>
        </w:rPr>
        <w:t xml:space="preserve"> that interposed </w:t>
      </w:r>
      <w:r w:rsidR="0007119F" w:rsidRPr="007529C4">
        <w:rPr>
          <w:rFonts w:ascii="Times New Roman" w:hAnsi="Times New Roman"/>
          <w:sz w:val="26"/>
          <w:szCs w:val="26"/>
        </w:rPr>
        <w:t xml:space="preserve">itself </w:t>
      </w:r>
      <w:r w:rsidR="00BA0B5B" w:rsidRPr="007529C4">
        <w:rPr>
          <w:rFonts w:ascii="Times New Roman" w:hAnsi="Times New Roman"/>
          <w:sz w:val="26"/>
          <w:szCs w:val="26"/>
        </w:rPr>
        <w:t xml:space="preserve">before the spoliation application could be argued, I would </w:t>
      </w:r>
      <w:r w:rsidR="009118B0" w:rsidRPr="007529C4">
        <w:rPr>
          <w:rFonts w:ascii="Times New Roman" w:hAnsi="Times New Roman"/>
          <w:sz w:val="26"/>
          <w:szCs w:val="26"/>
        </w:rPr>
        <w:t xml:space="preserve">in my opinion </w:t>
      </w:r>
      <w:r w:rsidR="00BA0B5B" w:rsidRPr="007529C4">
        <w:rPr>
          <w:rFonts w:ascii="Times New Roman" w:hAnsi="Times New Roman"/>
          <w:sz w:val="26"/>
          <w:szCs w:val="26"/>
        </w:rPr>
        <w:t xml:space="preserve">still have been justified in awarding those costs </w:t>
      </w:r>
      <w:r w:rsidR="00613EF8" w:rsidRPr="007529C4">
        <w:rPr>
          <w:rFonts w:ascii="Times New Roman" w:hAnsi="Times New Roman"/>
          <w:sz w:val="26"/>
          <w:szCs w:val="26"/>
        </w:rPr>
        <w:t xml:space="preserve">in </w:t>
      </w:r>
      <w:proofErr w:type="spellStart"/>
      <w:r w:rsidR="00613EF8" w:rsidRPr="007529C4">
        <w:rPr>
          <w:rFonts w:ascii="Times New Roman" w:hAnsi="Times New Roman"/>
          <w:sz w:val="26"/>
          <w:szCs w:val="26"/>
        </w:rPr>
        <w:t>favour</w:t>
      </w:r>
      <w:proofErr w:type="spellEnd"/>
      <w:r w:rsidR="00613EF8" w:rsidRPr="007529C4">
        <w:rPr>
          <w:rFonts w:ascii="Times New Roman" w:hAnsi="Times New Roman"/>
          <w:sz w:val="26"/>
          <w:szCs w:val="26"/>
        </w:rPr>
        <w:t xml:space="preserve"> of</w:t>
      </w:r>
      <w:r w:rsidR="00BA0B5B" w:rsidRPr="007529C4">
        <w:rPr>
          <w:rFonts w:ascii="Times New Roman" w:hAnsi="Times New Roman"/>
          <w:sz w:val="26"/>
          <w:szCs w:val="26"/>
        </w:rPr>
        <w:t xml:space="preserve"> the estate</w:t>
      </w:r>
      <w:r w:rsidR="009118B0" w:rsidRPr="007529C4">
        <w:rPr>
          <w:rFonts w:ascii="Times New Roman" w:hAnsi="Times New Roman"/>
          <w:sz w:val="26"/>
          <w:szCs w:val="26"/>
        </w:rPr>
        <w:t xml:space="preserve"> even without the main prayer</w:t>
      </w:r>
      <w:r w:rsidR="00BA0B5B" w:rsidRPr="007529C4">
        <w:rPr>
          <w:rFonts w:ascii="Times New Roman" w:hAnsi="Times New Roman"/>
          <w:sz w:val="26"/>
          <w:szCs w:val="26"/>
        </w:rPr>
        <w:t>.</w:t>
      </w:r>
    </w:p>
    <w:p w14:paraId="4650499C" w14:textId="62D78E34" w:rsidR="007F677C" w:rsidRPr="007F677C" w:rsidRDefault="007F677C" w:rsidP="00E1326E">
      <w:pPr>
        <w:pStyle w:val="ListParagraph"/>
        <w:spacing w:after="100" w:line="360" w:lineRule="auto"/>
        <w:rPr>
          <w:rFonts w:ascii="Times New Roman" w:hAnsi="Times New Roman"/>
          <w:sz w:val="26"/>
          <w:szCs w:val="26"/>
        </w:rPr>
      </w:pPr>
    </w:p>
    <w:p w14:paraId="478429D7" w14:textId="1D4320CE" w:rsidR="007F677C"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[16]</w:t>
      </w:r>
      <w:r>
        <w:rPr>
          <w:rFonts w:ascii="Times New Roman" w:eastAsia="Calibri" w:hAnsi="Times New Roman" w:cs="Times New Roman"/>
          <w:sz w:val="26"/>
          <w:szCs w:val="26"/>
          <w:lang w:val="en-US"/>
        </w:rPr>
        <w:tab/>
      </w:r>
      <w:r w:rsidR="005B7EE7" w:rsidRPr="007529C4">
        <w:rPr>
          <w:rFonts w:ascii="Times New Roman" w:hAnsi="Times New Roman"/>
          <w:sz w:val="26"/>
          <w:szCs w:val="26"/>
        </w:rPr>
        <w:t>As for the technical point raised (surprising</w:t>
      </w:r>
      <w:r w:rsidR="00BA0B5B" w:rsidRPr="007529C4">
        <w:rPr>
          <w:rFonts w:ascii="Times New Roman" w:hAnsi="Times New Roman"/>
          <w:sz w:val="26"/>
          <w:szCs w:val="26"/>
        </w:rPr>
        <w:t>ly</w:t>
      </w:r>
      <w:r w:rsidR="005B7EE7" w:rsidRPr="007529C4">
        <w:rPr>
          <w:rFonts w:ascii="Times New Roman" w:hAnsi="Times New Roman"/>
          <w:sz w:val="26"/>
          <w:szCs w:val="26"/>
        </w:rPr>
        <w:t xml:space="preserve"> only in the </w:t>
      </w:r>
      <w:r w:rsidR="00BA0B5B" w:rsidRPr="007529C4">
        <w:rPr>
          <w:rFonts w:ascii="Times New Roman" w:hAnsi="Times New Roman"/>
          <w:sz w:val="26"/>
          <w:szCs w:val="26"/>
        </w:rPr>
        <w:t>spoliation</w:t>
      </w:r>
      <w:r w:rsidR="005B7EE7" w:rsidRPr="007529C4">
        <w:rPr>
          <w:rFonts w:ascii="Times New Roman" w:hAnsi="Times New Roman"/>
          <w:sz w:val="26"/>
          <w:szCs w:val="26"/>
        </w:rPr>
        <w:t xml:space="preserve"> application)</w:t>
      </w:r>
      <w:r w:rsidR="00BA0B5B" w:rsidRPr="007529C4">
        <w:rPr>
          <w:rFonts w:ascii="Times New Roman" w:hAnsi="Times New Roman"/>
          <w:sz w:val="26"/>
          <w:szCs w:val="26"/>
        </w:rPr>
        <w:t>,</w:t>
      </w:r>
      <w:r w:rsidR="005B7EE7" w:rsidRPr="007529C4">
        <w:rPr>
          <w:rFonts w:ascii="Times New Roman" w:hAnsi="Times New Roman"/>
          <w:sz w:val="26"/>
          <w:szCs w:val="26"/>
        </w:rPr>
        <w:t xml:space="preserve"> t</w:t>
      </w:r>
      <w:r w:rsidR="007F677C" w:rsidRPr="007529C4">
        <w:rPr>
          <w:rFonts w:ascii="Times New Roman" w:hAnsi="Times New Roman"/>
          <w:sz w:val="26"/>
          <w:szCs w:val="26"/>
        </w:rPr>
        <w:t xml:space="preserve">he </w:t>
      </w:r>
      <w:proofErr w:type="spellStart"/>
      <w:r w:rsidR="007F677C" w:rsidRPr="007529C4">
        <w:rPr>
          <w:rFonts w:ascii="Times New Roman" w:hAnsi="Times New Roman"/>
          <w:i/>
          <w:iCs/>
          <w:sz w:val="26"/>
          <w:szCs w:val="26"/>
        </w:rPr>
        <w:t>mandament</w:t>
      </w:r>
      <w:proofErr w:type="spellEnd"/>
      <w:r w:rsidR="008C154D" w:rsidRPr="007529C4">
        <w:rPr>
          <w:rFonts w:ascii="Times New Roman" w:hAnsi="Times New Roman"/>
          <w:i/>
          <w:iCs/>
          <w:sz w:val="26"/>
          <w:szCs w:val="26"/>
        </w:rPr>
        <w:t xml:space="preserve"> van</w:t>
      </w:r>
      <w:r w:rsidR="007F677C" w:rsidRPr="007529C4">
        <w:rPr>
          <w:rFonts w:ascii="Times New Roman" w:hAnsi="Times New Roman"/>
          <w:i/>
          <w:iCs/>
          <w:sz w:val="26"/>
          <w:szCs w:val="26"/>
        </w:rPr>
        <w:t xml:space="preserve"> </w:t>
      </w:r>
      <w:proofErr w:type="spellStart"/>
      <w:r w:rsidR="007F677C" w:rsidRPr="007529C4">
        <w:rPr>
          <w:rFonts w:ascii="Times New Roman" w:hAnsi="Times New Roman"/>
          <w:i/>
          <w:iCs/>
          <w:sz w:val="26"/>
          <w:szCs w:val="26"/>
        </w:rPr>
        <w:t>spolie</w:t>
      </w:r>
      <w:proofErr w:type="spellEnd"/>
      <w:r w:rsidR="007F677C" w:rsidRPr="007529C4">
        <w:rPr>
          <w:rFonts w:ascii="Times New Roman" w:hAnsi="Times New Roman"/>
          <w:sz w:val="26"/>
          <w:szCs w:val="26"/>
        </w:rPr>
        <w:t xml:space="preserve"> remedy is an urgent possessory one and should not have concerned the </w:t>
      </w:r>
      <w:r w:rsidR="008C154D" w:rsidRPr="007529C4">
        <w:rPr>
          <w:rFonts w:ascii="Times New Roman" w:hAnsi="Times New Roman"/>
          <w:sz w:val="26"/>
          <w:szCs w:val="26"/>
        </w:rPr>
        <w:t>Ma</w:t>
      </w:r>
      <w:r w:rsidR="007F677C" w:rsidRPr="007529C4">
        <w:rPr>
          <w:rFonts w:ascii="Times New Roman" w:hAnsi="Times New Roman"/>
          <w:sz w:val="26"/>
          <w:szCs w:val="26"/>
        </w:rPr>
        <w:t>ster</w:t>
      </w:r>
      <w:r w:rsidR="00BA0B5B" w:rsidRPr="007529C4">
        <w:rPr>
          <w:rFonts w:ascii="Times New Roman" w:hAnsi="Times New Roman"/>
          <w:sz w:val="26"/>
          <w:szCs w:val="26"/>
        </w:rPr>
        <w:t xml:space="preserve"> at all</w:t>
      </w:r>
      <w:r w:rsidR="007F677C" w:rsidRPr="007529C4">
        <w:rPr>
          <w:rFonts w:ascii="Times New Roman" w:hAnsi="Times New Roman"/>
          <w:sz w:val="26"/>
          <w:szCs w:val="26"/>
        </w:rPr>
        <w:t xml:space="preserve">. The respondent had been entitled by virtue of the provisions of section 26 </w:t>
      </w:r>
      <w:r w:rsidR="008C154D" w:rsidRPr="007529C4">
        <w:rPr>
          <w:rFonts w:ascii="Times New Roman" w:hAnsi="Times New Roman"/>
          <w:sz w:val="26"/>
          <w:szCs w:val="26"/>
        </w:rPr>
        <w:t>(1)</w:t>
      </w:r>
      <w:r w:rsidR="007F677C" w:rsidRPr="007529C4">
        <w:rPr>
          <w:rFonts w:ascii="Times New Roman" w:hAnsi="Times New Roman"/>
          <w:sz w:val="26"/>
          <w:szCs w:val="26"/>
        </w:rPr>
        <w:t xml:space="preserve"> of the </w:t>
      </w:r>
      <w:r w:rsidR="008C154D" w:rsidRPr="007529C4">
        <w:rPr>
          <w:rFonts w:ascii="Times New Roman" w:hAnsi="Times New Roman"/>
          <w:sz w:val="26"/>
          <w:szCs w:val="26"/>
        </w:rPr>
        <w:t>Act</w:t>
      </w:r>
      <w:r w:rsidR="007F677C" w:rsidRPr="007529C4">
        <w:rPr>
          <w:rFonts w:ascii="Times New Roman" w:hAnsi="Times New Roman"/>
          <w:sz w:val="26"/>
          <w:szCs w:val="26"/>
        </w:rPr>
        <w:t xml:space="preserve"> to take control of the property and to assert the statutory rights bestowed upon her</w:t>
      </w:r>
      <w:r w:rsidR="005B7EE7" w:rsidRPr="007529C4">
        <w:rPr>
          <w:rFonts w:ascii="Times New Roman" w:hAnsi="Times New Roman"/>
          <w:sz w:val="26"/>
          <w:szCs w:val="26"/>
        </w:rPr>
        <w:t xml:space="preserve"> pursuant to the issue of </w:t>
      </w:r>
      <w:r w:rsidR="00BA0B5B" w:rsidRPr="007529C4">
        <w:rPr>
          <w:rFonts w:ascii="Times New Roman" w:hAnsi="Times New Roman"/>
          <w:sz w:val="26"/>
          <w:szCs w:val="26"/>
        </w:rPr>
        <w:t>his</w:t>
      </w:r>
      <w:r w:rsidR="007F677C" w:rsidRPr="007529C4">
        <w:rPr>
          <w:rFonts w:ascii="Times New Roman" w:hAnsi="Times New Roman"/>
          <w:sz w:val="26"/>
          <w:szCs w:val="26"/>
        </w:rPr>
        <w:t xml:space="preserve"> letters of authority</w:t>
      </w:r>
      <w:r w:rsidR="00BA0B5B" w:rsidRPr="007529C4">
        <w:rPr>
          <w:rFonts w:ascii="Times New Roman" w:hAnsi="Times New Roman"/>
          <w:sz w:val="26"/>
          <w:szCs w:val="26"/>
        </w:rPr>
        <w:t xml:space="preserve"> to her</w:t>
      </w:r>
      <w:r w:rsidR="007F677C" w:rsidRPr="007529C4">
        <w:rPr>
          <w:rFonts w:ascii="Times New Roman" w:hAnsi="Times New Roman"/>
          <w:sz w:val="26"/>
          <w:szCs w:val="26"/>
        </w:rPr>
        <w:t xml:space="preserve"> </w:t>
      </w:r>
      <w:r w:rsidR="008C154D" w:rsidRPr="007529C4">
        <w:rPr>
          <w:rFonts w:ascii="Times New Roman" w:hAnsi="Times New Roman"/>
          <w:sz w:val="26"/>
          <w:szCs w:val="26"/>
        </w:rPr>
        <w:t>i</w:t>
      </w:r>
      <w:r w:rsidR="007F677C" w:rsidRPr="007529C4">
        <w:rPr>
          <w:rFonts w:ascii="Times New Roman" w:hAnsi="Times New Roman"/>
          <w:sz w:val="26"/>
          <w:szCs w:val="26"/>
        </w:rPr>
        <w:t xml:space="preserve">ncluding obtaining and maintaining possession of the property that the deceased had purchased. The effort by her to </w:t>
      </w:r>
      <w:r w:rsidR="00BA0B5B" w:rsidRPr="007529C4">
        <w:rPr>
          <w:rFonts w:ascii="Times New Roman" w:hAnsi="Times New Roman"/>
          <w:sz w:val="26"/>
          <w:szCs w:val="26"/>
        </w:rPr>
        <w:t xml:space="preserve">vindicate the </w:t>
      </w:r>
      <w:r w:rsidR="008C154D" w:rsidRPr="007529C4">
        <w:rPr>
          <w:rFonts w:ascii="Times New Roman" w:hAnsi="Times New Roman"/>
          <w:sz w:val="26"/>
          <w:szCs w:val="26"/>
        </w:rPr>
        <w:t>involuntary</w:t>
      </w:r>
      <w:r w:rsidR="007F677C" w:rsidRPr="007529C4">
        <w:rPr>
          <w:rFonts w:ascii="Times New Roman" w:hAnsi="Times New Roman"/>
          <w:sz w:val="26"/>
          <w:szCs w:val="26"/>
        </w:rPr>
        <w:t xml:space="preserve"> </w:t>
      </w:r>
      <w:r w:rsidR="0007119F" w:rsidRPr="007529C4">
        <w:rPr>
          <w:rFonts w:ascii="Times New Roman" w:hAnsi="Times New Roman"/>
          <w:sz w:val="26"/>
          <w:szCs w:val="26"/>
        </w:rPr>
        <w:t xml:space="preserve">lost </w:t>
      </w:r>
      <w:r w:rsidR="007F677C" w:rsidRPr="007529C4">
        <w:rPr>
          <w:rFonts w:ascii="Times New Roman" w:hAnsi="Times New Roman"/>
          <w:sz w:val="26"/>
          <w:szCs w:val="26"/>
        </w:rPr>
        <w:t>possession of the property</w:t>
      </w:r>
      <w:r w:rsidR="00B7393A" w:rsidRPr="007529C4">
        <w:rPr>
          <w:rFonts w:ascii="Times New Roman" w:hAnsi="Times New Roman"/>
          <w:sz w:val="26"/>
          <w:szCs w:val="26"/>
        </w:rPr>
        <w:t xml:space="preserve"> </w:t>
      </w:r>
      <w:r w:rsidR="0085168D" w:rsidRPr="007529C4">
        <w:rPr>
          <w:rFonts w:ascii="Times New Roman" w:hAnsi="Times New Roman"/>
          <w:sz w:val="26"/>
          <w:szCs w:val="26"/>
        </w:rPr>
        <w:t>would</w:t>
      </w:r>
      <w:r w:rsidR="007F677C" w:rsidRPr="007529C4">
        <w:rPr>
          <w:rFonts w:ascii="Times New Roman" w:hAnsi="Times New Roman"/>
          <w:sz w:val="26"/>
          <w:szCs w:val="26"/>
        </w:rPr>
        <w:t xml:space="preserve"> not</w:t>
      </w:r>
      <w:r w:rsidR="00B7393A" w:rsidRPr="007529C4">
        <w:rPr>
          <w:rFonts w:ascii="Times New Roman" w:hAnsi="Times New Roman"/>
          <w:sz w:val="26"/>
          <w:szCs w:val="26"/>
        </w:rPr>
        <w:t xml:space="preserve"> in my view</w:t>
      </w:r>
      <w:r w:rsidR="007F677C" w:rsidRPr="007529C4">
        <w:rPr>
          <w:rFonts w:ascii="Times New Roman" w:hAnsi="Times New Roman"/>
          <w:sz w:val="26"/>
          <w:szCs w:val="26"/>
        </w:rPr>
        <w:t xml:space="preserve"> </w:t>
      </w:r>
      <w:r w:rsidR="0085168D" w:rsidRPr="007529C4">
        <w:rPr>
          <w:rFonts w:ascii="Times New Roman" w:hAnsi="Times New Roman"/>
          <w:sz w:val="26"/>
          <w:szCs w:val="26"/>
        </w:rPr>
        <w:t xml:space="preserve">have </w:t>
      </w:r>
      <w:r w:rsidR="007F677C" w:rsidRPr="007529C4">
        <w:rPr>
          <w:rFonts w:ascii="Times New Roman" w:hAnsi="Times New Roman"/>
          <w:sz w:val="26"/>
          <w:szCs w:val="26"/>
        </w:rPr>
        <w:t>require</w:t>
      </w:r>
      <w:r w:rsidR="0085168D" w:rsidRPr="007529C4">
        <w:rPr>
          <w:rFonts w:ascii="Times New Roman" w:hAnsi="Times New Roman"/>
          <w:sz w:val="26"/>
          <w:szCs w:val="26"/>
        </w:rPr>
        <w:t>d</w:t>
      </w:r>
      <w:r w:rsidR="007F677C" w:rsidRPr="007529C4">
        <w:rPr>
          <w:rFonts w:ascii="Times New Roman" w:hAnsi="Times New Roman"/>
          <w:sz w:val="26"/>
          <w:szCs w:val="26"/>
        </w:rPr>
        <w:t xml:space="preserve"> the </w:t>
      </w:r>
      <w:r w:rsidR="0085168D" w:rsidRPr="007529C4">
        <w:rPr>
          <w:rFonts w:ascii="Times New Roman" w:hAnsi="Times New Roman"/>
          <w:sz w:val="26"/>
          <w:szCs w:val="26"/>
        </w:rPr>
        <w:t>M</w:t>
      </w:r>
      <w:r w:rsidR="007F677C" w:rsidRPr="007529C4">
        <w:rPr>
          <w:rFonts w:ascii="Times New Roman" w:hAnsi="Times New Roman"/>
          <w:sz w:val="26"/>
          <w:szCs w:val="26"/>
        </w:rPr>
        <w:t>aster’s consent (already given</w:t>
      </w:r>
      <w:r w:rsidR="005B7EE7" w:rsidRPr="007529C4">
        <w:rPr>
          <w:rFonts w:ascii="Times New Roman" w:hAnsi="Times New Roman"/>
          <w:sz w:val="26"/>
          <w:szCs w:val="26"/>
        </w:rPr>
        <w:t>)</w:t>
      </w:r>
      <w:r w:rsidR="007F677C" w:rsidRPr="007529C4">
        <w:rPr>
          <w:rFonts w:ascii="Times New Roman" w:hAnsi="Times New Roman"/>
          <w:sz w:val="26"/>
          <w:szCs w:val="26"/>
        </w:rPr>
        <w:t xml:space="preserve"> to take the steps deemed necessary by section 26 of the </w:t>
      </w:r>
      <w:r w:rsidR="002E4A03" w:rsidRPr="007529C4">
        <w:rPr>
          <w:rFonts w:ascii="Times New Roman" w:hAnsi="Times New Roman"/>
          <w:sz w:val="26"/>
          <w:szCs w:val="26"/>
        </w:rPr>
        <w:t>Act</w:t>
      </w:r>
      <w:r w:rsidR="00B7393A" w:rsidRPr="007529C4">
        <w:rPr>
          <w:rFonts w:ascii="Times New Roman" w:hAnsi="Times New Roman"/>
          <w:sz w:val="26"/>
          <w:szCs w:val="26"/>
        </w:rPr>
        <w:t xml:space="preserve"> to jealously protect her control over the property</w:t>
      </w:r>
      <w:r w:rsidR="007F677C" w:rsidRPr="007529C4">
        <w:rPr>
          <w:rFonts w:ascii="Times New Roman" w:hAnsi="Times New Roman"/>
          <w:sz w:val="26"/>
          <w:szCs w:val="26"/>
        </w:rPr>
        <w:t>.</w:t>
      </w:r>
      <w:r w:rsidR="0085168D" w:rsidRPr="007529C4">
        <w:rPr>
          <w:rFonts w:ascii="Times New Roman" w:hAnsi="Times New Roman"/>
          <w:sz w:val="26"/>
          <w:szCs w:val="26"/>
        </w:rPr>
        <w:t xml:space="preserve"> The consent of this court would not even have been a requirement.  In deciding whether to bring or defend an action on the contract of a deceased to which he was a party</w:t>
      </w:r>
      <w:r w:rsidR="00B7393A" w:rsidRPr="007529C4">
        <w:rPr>
          <w:rFonts w:ascii="Times New Roman" w:hAnsi="Times New Roman"/>
          <w:sz w:val="26"/>
          <w:szCs w:val="26"/>
        </w:rPr>
        <w:t xml:space="preserve"> (including </w:t>
      </w:r>
      <w:r w:rsidR="00C4246B" w:rsidRPr="007529C4">
        <w:rPr>
          <w:rFonts w:ascii="Times New Roman" w:hAnsi="Times New Roman"/>
          <w:sz w:val="26"/>
          <w:szCs w:val="26"/>
        </w:rPr>
        <w:t>by</w:t>
      </w:r>
      <w:r w:rsidR="00B7393A" w:rsidRPr="007529C4">
        <w:rPr>
          <w:rFonts w:ascii="Times New Roman" w:hAnsi="Times New Roman"/>
          <w:sz w:val="26"/>
          <w:szCs w:val="26"/>
        </w:rPr>
        <w:t xml:space="preserve"> necessary implication the bringing of a related spoliation application)</w:t>
      </w:r>
      <w:r w:rsidR="0085168D" w:rsidRPr="007529C4">
        <w:rPr>
          <w:rFonts w:ascii="Times New Roman" w:hAnsi="Times New Roman"/>
          <w:sz w:val="26"/>
          <w:szCs w:val="26"/>
        </w:rPr>
        <w:t xml:space="preserve">, the executor is merely expected to exercise his or her discretion </w:t>
      </w:r>
      <w:proofErr w:type="spellStart"/>
      <w:r w:rsidR="0085168D" w:rsidRPr="007529C4">
        <w:rPr>
          <w:rFonts w:ascii="Times New Roman" w:hAnsi="Times New Roman"/>
          <w:i/>
          <w:iCs/>
          <w:sz w:val="26"/>
          <w:szCs w:val="26"/>
        </w:rPr>
        <w:t>boni</w:t>
      </w:r>
      <w:proofErr w:type="spellEnd"/>
      <w:r w:rsidR="0085168D" w:rsidRPr="007529C4">
        <w:rPr>
          <w:rFonts w:ascii="Times New Roman" w:hAnsi="Times New Roman"/>
          <w:i/>
          <w:iCs/>
          <w:sz w:val="26"/>
          <w:szCs w:val="26"/>
        </w:rPr>
        <w:t xml:space="preserve"> </w:t>
      </w:r>
      <w:proofErr w:type="spellStart"/>
      <w:r w:rsidR="0085168D" w:rsidRPr="007529C4">
        <w:rPr>
          <w:rFonts w:ascii="Times New Roman" w:hAnsi="Times New Roman"/>
          <w:i/>
          <w:iCs/>
          <w:sz w:val="26"/>
          <w:szCs w:val="26"/>
        </w:rPr>
        <w:t>viri</w:t>
      </w:r>
      <w:proofErr w:type="spellEnd"/>
      <w:r w:rsidR="0085168D" w:rsidRPr="007529C4">
        <w:rPr>
          <w:rFonts w:ascii="Times New Roman" w:hAnsi="Times New Roman"/>
          <w:sz w:val="26"/>
          <w:szCs w:val="26"/>
        </w:rPr>
        <w:t>.</w:t>
      </w:r>
      <w:r w:rsidR="0085168D">
        <w:rPr>
          <w:rStyle w:val="FootnoteReference"/>
          <w:rFonts w:ascii="Times New Roman" w:hAnsi="Times New Roman"/>
          <w:sz w:val="26"/>
          <w:szCs w:val="26"/>
        </w:rPr>
        <w:footnoteReference w:id="12"/>
      </w:r>
      <w:r w:rsidR="0085168D" w:rsidRPr="007529C4">
        <w:rPr>
          <w:rFonts w:ascii="Times New Roman" w:hAnsi="Times New Roman"/>
          <w:sz w:val="26"/>
          <w:szCs w:val="26"/>
        </w:rPr>
        <w:t xml:space="preserve"> It is not understood what input the Master would have been expected to make in the relevant circumstances that would have assisted the court</w:t>
      </w:r>
      <w:r w:rsidR="00B7393A" w:rsidRPr="007529C4">
        <w:rPr>
          <w:rFonts w:ascii="Times New Roman" w:hAnsi="Times New Roman"/>
          <w:sz w:val="26"/>
          <w:szCs w:val="26"/>
        </w:rPr>
        <w:t>.  Neither</w:t>
      </w:r>
      <w:r w:rsidR="00C4246B" w:rsidRPr="007529C4">
        <w:rPr>
          <w:rFonts w:ascii="Times New Roman" w:hAnsi="Times New Roman"/>
          <w:sz w:val="26"/>
          <w:szCs w:val="26"/>
        </w:rPr>
        <w:t xml:space="preserve"> do</w:t>
      </w:r>
      <w:r w:rsidR="00B7393A" w:rsidRPr="007529C4">
        <w:rPr>
          <w:rFonts w:ascii="Times New Roman" w:hAnsi="Times New Roman"/>
          <w:sz w:val="26"/>
          <w:szCs w:val="26"/>
        </w:rPr>
        <w:t xml:space="preserve"> </w:t>
      </w:r>
      <w:r w:rsidR="007F677C" w:rsidRPr="007529C4">
        <w:rPr>
          <w:rFonts w:ascii="Times New Roman" w:hAnsi="Times New Roman"/>
          <w:sz w:val="26"/>
          <w:szCs w:val="26"/>
        </w:rPr>
        <w:t xml:space="preserve">the provisions of </w:t>
      </w:r>
      <w:r w:rsidR="005B7EE7" w:rsidRPr="007529C4">
        <w:rPr>
          <w:rFonts w:ascii="Times New Roman" w:hAnsi="Times New Roman"/>
          <w:sz w:val="26"/>
          <w:szCs w:val="26"/>
        </w:rPr>
        <w:t xml:space="preserve">Uniform </w:t>
      </w:r>
      <w:r w:rsidR="008C154D" w:rsidRPr="007529C4">
        <w:rPr>
          <w:rFonts w:ascii="Times New Roman" w:hAnsi="Times New Roman"/>
          <w:sz w:val="26"/>
          <w:szCs w:val="26"/>
        </w:rPr>
        <w:t>R</w:t>
      </w:r>
      <w:r w:rsidR="007F677C" w:rsidRPr="007529C4">
        <w:rPr>
          <w:rFonts w:ascii="Times New Roman" w:hAnsi="Times New Roman"/>
          <w:sz w:val="26"/>
          <w:szCs w:val="26"/>
        </w:rPr>
        <w:t>ule 6</w:t>
      </w:r>
      <w:r w:rsidR="008C154D" w:rsidRPr="007529C4">
        <w:rPr>
          <w:rFonts w:ascii="Times New Roman" w:hAnsi="Times New Roman"/>
          <w:sz w:val="26"/>
          <w:szCs w:val="26"/>
        </w:rPr>
        <w:t xml:space="preserve"> (</w:t>
      </w:r>
      <w:r w:rsidR="007F677C" w:rsidRPr="007529C4">
        <w:rPr>
          <w:rFonts w:ascii="Times New Roman" w:hAnsi="Times New Roman"/>
          <w:sz w:val="26"/>
          <w:szCs w:val="26"/>
        </w:rPr>
        <w:t>9</w:t>
      </w:r>
      <w:r w:rsidR="008C154D" w:rsidRPr="007529C4">
        <w:rPr>
          <w:rFonts w:ascii="Times New Roman" w:hAnsi="Times New Roman"/>
          <w:sz w:val="26"/>
          <w:szCs w:val="26"/>
        </w:rPr>
        <w:t>)</w:t>
      </w:r>
      <w:r w:rsidR="007F677C" w:rsidRPr="007529C4">
        <w:rPr>
          <w:rFonts w:ascii="Times New Roman" w:hAnsi="Times New Roman"/>
          <w:sz w:val="26"/>
          <w:szCs w:val="26"/>
        </w:rPr>
        <w:t xml:space="preserve"> impose an</w:t>
      </w:r>
      <w:r w:rsidR="0085168D" w:rsidRPr="007529C4">
        <w:rPr>
          <w:rFonts w:ascii="Times New Roman" w:hAnsi="Times New Roman"/>
          <w:sz w:val="26"/>
          <w:szCs w:val="26"/>
        </w:rPr>
        <w:t>y</w:t>
      </w:r>
      <w:r w:rsidR="007F677C" w:rsidRPr="007529C4">
        <w:rPr>
          <w:rFonts w:ascii="Times New Roman" w:hAnsi="Times New Roman"/>
          <w:sz w:val="26"/>
          <w:szCs w:val="26"/>
        </w:rPr>
        <w:t xml:space="preserve"> obligation on the </w:t>
      </w:r>
      <w:r w:rsidR="005B7EE7" w:rsidRPr="007529C4">
        <w:rPr>
          <w:rFonts w:ascii="Times New Roman" w:hAnsi="Times New Roman"/>
          <w:sz w:val="26"/>
          <w:szCs w:val="26"/>
        </w:rPr>
        <w:t>M</w:t>
      </w:r>
      <w:r w:rsidR="007F677C" w:rsidRPr="007529C4">
        <w:rPr>
          <w:rFonts w:ascii="Times New Roman" w:hAnsi="Times New Roman"/>
          <w:sz w:val="26"/>
          <w:szCs w:val="26"/>
        </w:rPr>
        <w:t>aster to f</w:t>
      </w:r>
      <w:r w:rsidR="0085168D" w:rsidRPr="007529C4">
        <w:rPr>
          <w:rFonts w:ascii="Times New Roman" w:hAnsi="Times New Roman"/>
          <w:sz w:val="26"/>
          <w:szCs w:val="26"/>
        </w:rPr>
        <w:t>ur</w:t>
      </w:r>
      <w:r w:rsidR="007F677C" w:rsidRPr="007529C4">
        <w:rPr>
          <w:rFonts w:ascii="Times New Roman" w:hAnsi="Times New Roman"/>
          <w:sz w:val="26"/>
          <w:szCs w:val="26"/>
        </w:rPr>
        <w:t>nish a report in such urgent proceedings</w:t>
      </w:r>
      <w:r w:rsidR="00B7393A" w:rsidRPr="007529C4">
        <w:rPr>
          <w:rFonts w:ascii="Times New Roman" w:hAnsi="Times New Roman"/>
          <w:sz w:val="26"/>
          <w:szCs w:val="26"/>
        </w:rPr>
        <w:t>.  Even if the spoliation application was in the wide sense of the word “in connection with the estate”</w:t>
      </w:r>
      <w:r w:rsidR="00C4246B" w:rsidRPr="007529C4">
        <w:rPr>
          <w:rFonts w:ascii="Times New Roman" w:hAnsi="Times New Roman"/>
          <w:sz w:val="26"/>
          <w:szCs w:val="26"/>
        </w:rPr>
        <w:t>,</w:t>
      </w:r>
      <w:r w:rsidR="00B7393A" w:rsidRPr="007529C4">
        <w:rPr>
          <w:rFonts w:ascii="Times New Roman" w:hAnsi="Times New Roman"/>
          <w:sz w:val="26"/>
          <w:szCs w:val="26"/>
        </w:rPr>
        <w:t xml:space="preserve"> I cannot imagine that another court will agree with the applicants that the failure to have joined the Master was fatal to the spoliation application.</w:t>
      </w:r>
      <w:r w:rsidR="00C4246B">
        <w:rPr>
          <w:rStyle w:val="FootnoteReference"/>
          <w:rFonts w:ascii="Times New Roman" w:hAnsi="Times New Roman"/>
          <w:sz w:val="26"/>
          <w:szCs w:val="26"/>
        </w:rPr>
        <w:footnoteReference w:id="13"/>
      </w:r>
    </w:p>
    <w:p w14:paraId="093A9A51" w14:textId="77777777" w:rsidR="0085168D" w:rsidRPr="0085168D" w:rsidRDefault="0085168D" w:rsidP="00E1326E">
      <w:pPr>
        <w:pStyle w:val="ListParagraph"/>
        <w:spacing w:after="100" w:line="360" w:lineRule="auto"/>
        <w:ind w:left="0"/>
        <w:rPr>
          <w:rFonts w:ascii="Times New Roman" w:hAnsi="Times New Roman"/>
          <w:sz w:val="26"/>
          <w:szCs w:val="26"/>
        </w:rPr>
      </w:pPr>
    </w:p>
    <w:p w14:paraId="7D65F114" w14:textId="2C44B042" w:rsidR="00510290"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[17]</w:t>
      </w:r>
      <w:r>
        <w:rPr>
          <w:rFonts w:ascii="Times New Roman" w:eastAsia="Calibri" w:hAnsi="Times New Roman" w:cs="Times New Roman"/>
          <w:sz w:val="26"/>
          <w:szCs w:val="26"/>
          <w:lang w:val="en-US"/>
        </w:rPr>
        <w:tab/>
      </w:r>
      <w:r w:rsidR="007F677C" w:rsidRPr="007529C4">
        <w:rPr>
          <w:rFonts w:ascii="Times New Roman" w:hAnsi="Times New Roman"/>
          <w:sz w:val="26"/>
          <w:szCs w:val="26"/>
        </w:rPr>
        <w:t>Regarding the second application</w:t>
      </w:r>
      <w:r w:rsidR="00437877" w:rsidRPr="007529C4">
        <w:rPr>
          <w:rFonts w:ascii="Times New Roman" w:hAnsi="Times New Roman"/>
          <w:sz w:val="26"/>
          <w:szCs w:val="26"/>
        </w:rPr>
        <w:t>,</w:t>
      </w:r>
      <w:r w:rsidR="00510290" w:rsidRPr="007529C4">
        <w:rPr>
          <w:rFonts w:ascii="Times New Roman" w:hAnsi="Times New Roman"/>
          <w:sz w:val="26"/>
          <w:szCs w:val="26"/>
        </w:rPr>
        <w:t xml:space="preserve"> </w:t>
      </w:r>
      <w:r w:rsidR="007F677C" w:rsidRPr="007529C4">
        <w:rPr>
          <w:rFonts w:ascii="Times New Roman" w:hAnsi="Times New Roman"/>
          <w:sz w:val="26"/>
          <w:szCs w:val="26"/>
        </w:rPr>
        <w:t>I am not convinced that another court could find that the</w:t>
      </w:r>
      <w:r w:rsidR="00E1326E" w:rsidRPr="007529C4">
        <w:rPr>
          <w:rFonts w:ascii="Times New Roman" w:hAnsi="Times New Roman"/>
          <w:sz w:val="26"/>
          <w:szCs w:val="26"/>
        </w:rPr>
        <w:t xml:space="preserve"> respondent was obliged to regard the</w:t>
      </w:r>
      <w:r w:rsidR="007F677C" w:rsidRPr="007529C4">
        <w:rPr>
          <w:rFonts w:ascii="Times New Roman" w:hAnsi="Times New Roman"/>
          <w:sz w:val="26"/>
          <w:szCs w:val="26"/>
        </w:rPr>
        <w:t xml:space="preserve"> agreement of sale </w:t>
      </w:r>
      <w:r w:rsidR="00E1326E" w:rsidRPr="007529C4">
        <w:rPr>
          <w:rFonts w:ascii="Times New Roman" w:hAnsi="Times New Roman"/>
          <w:sz w:val="26"/>
          <w:szCs w:val="26"/>
        </w:rPr>
        <w:t xml:space="preserve">as </w:t>
      </w:r>
      <w:r w:rsidR="007F677C" w:rsidRPr="007529C4">
        <w:rPr>
          <w:rFonts w:ascii="Times New Roman" w:hAnsi="Times New Roman"/>
          <w:sz w:val="26"/>
          <w:szCs w:val="26"/>
        </w:rPr>
        <w:t>no longer ha</w:t>
      </w:r>
      <w:r w:rsidR="00E1326E" w:rsidRPr="007529C4">
        <w:rPr>
          <w:rFonts w:ascii="Times New Roman" w:hAnsi="Times New Roman"/>
          <w:sz w:val="26"/>
          <w:szCs w:val="26"/>
        </w:rPr>
        <w:t xml:space="preserve">ving any </w:t>
      </w:r>
      <w:r w:rsidR="007F677C" w:rsidRPr="007529C4">
        <w:rPr>
          <w:rFonts w:ascii="Times New Roman" w:hAnsi="Times New Roman"/>
          <w:sz w:val="26"/>
          <w:szCs w:val="26"/>
        </w:rPr>
        <w:t xml:space="preserve">force on the basis of any </w:t>
      </w:r>
      <w:r w:rsidR="005B7EE7" w:rsidRPr="007529C4">
        <w:rPr>
          <w:rFonts w:ascii="Times New Roman" w:hAnsi="Times New Roman"/>
          <w:sz w:val="26"/>
          <w:szCs w:val="26"/>
        </w:rPr>
        <w:t xml:space="preserve">of the </w:t>
      </w:r>
      <w:r w:rsidR="007F677C" w:rsidRPr="007529C4">
        <w:rPr>
          <w:rFonts w:ascii="Times New Roman" w:hAnsi="Times New Roman"/>
          <w:sz w:val="26"/>
          <w:szCs w:val="26"/>
        </w:rPr>
        <w:t>reason</w:t>
      </w:r>
      <w:r w:rsidR="005B7EE7" w:rsidRPr="007529C4">
        <w:rPr>
          <w:rFonts w:ascii="Times New Roman" w:hAnsi="Times New Roman"/>
          <w:sz w:val="26"/>
          <w:szCs w:val="26"/>
        </w:rPr>
        <w:t>s</w:t>
      </w:r>
      <w:r w:rsidR="007F677C" w:rsidRPr="007529C4">
        <w:rPr>
          <w:rFonts w:ascii="Times New Roman" w:hAnsi="Times New Roman"/>
          <w:sz w:val="26"/>
          <w:szCs w:val="26"/>
        </w:rPr>
        <w:t xml:space="preserve"> suggested by the applicants. I dealt with all of these</w:t>
      </w:r>
      <w:r w:rsidR="005B7EE7" w:rsidRPr="007529C4">
        <w:rPr>
          <w:rFonts w:ascii="Times New Roman" w:hAnsi="Times New Roman"/>
          <w:sz w:val="26"/>
          <w:szCs w:val="26"/>
        </w:rPr>
        <w:t xml:space="preserve"> in my judgment and reasoned</w:t>
      </w:r>
      <w:r w:rsidR="007F677C" w:rsidRPr="007529C4">
        <w:rPr>
          <w:rFonts w:ascii="Times New Roman" w:hAnsi="Times New Roman"/>
          <w:sz w:val="26"/>
          <w:szCs w:val="26"/>
        </w:rPr>
        <w:t xml:space="preserve"> why I thought that the</w:t>
      </w:r>
      <w:r w:rsidR="00510290" w:rsidRPr="007529C4">
        <w:rPr>
          <w:rFonts w:ascii="Times New Roman" w:hAnsi="Times New Roman"/>
          <w:sz w:val="26"/>
          <w:szCs w:val="26"/>
        </w:rPr>
        <w:t xml:space="preserve"> applicants’</w:t>
      </w:r>
      <w:r w:rsidR="007F677C" w:rsidRPr="007529C4">
        <w:rPr>
          <w:rFonts w:ascii="Times New Roman" w:hAnsi="Times New Roman"/>
          <w:sz w:val="26"/>
          <w:szCs w:val="26"/>
        </w:rPr>
        <w:t xml:space="preserve"> opposition </w:t>
      </w:r>
      <w:r w:rsidR="00510290" w:rsidRPr="007529C4">
        <w:rPr>
          <w:rFonts w:ascii="Times New Roman" w:hAnsi="Times New Roman"/>
          <w:sz w:val="26"/>
          <w:szCs w:val="26"/>
        </w:rPr>
        <w:t xml:space="preserve">to the premise that the executor was expected to enforce the contract and perfect the sale by taking transfer </w:t>
      </w:r>
      <w:r w:rsidR="007F677C" w:rsidRPr="007529C4">
        <w:rPr>
          <w:rFonts w:ascii="Times New Roman" w:hAnsi="Times New Roman"/>
          <w:sz w:val="26"/>
          <w:szCs w:val="26"/>
        </w:rPr>
        <w:t>was quite patently absurd and did not raise a genuine dispute of fact.</w:t>
      </w:r>
    </w:p>
    <w:p w14:paraId="4ADE90AA" w14:textId="77777777" w:rsidR="00510290" w:rsidRPr="00510290" w:rsidRDefault="00510290" w:rsidP="00E1326E">
      <w:pPr>
        <w:pStyle w:val="ListParagraph"/>
        <w:spacing w:after="100" w:line="360" w:lineRule="auto"/>
        <w:rPr>
          <w:rFonts w:ascii="Times New Roman" w:hAnsi="Times New Roman"/>
          <w:sz w:val="26"/>
          <w:szCs w:val="26"/>
        </w:rPr>
      </w:pPr>
    </w:p>
    <w:p w14:paraId="21F6AB95" w14:textId="43FEDA64" w:rsidR="003101A1"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[18]</w:t>
      </w:r>
      <w:r>
        <w:rPr>
          <w:rFonts w:ascii="Times New Roman" w:eastAsia="Calibri" w:hAnsi="Times New Roman" w:cs="Times New Roman"/>
          <w:sz w:val="26"/>
          <w:szCs w:val="26"/>
          <w:lang w:val="en-US"/>
        </w:rPr>
        <w:tab/>
      </w:r>
      <w:r w:rsidR="00510290" w:rsidRPr="007529C4">
        <w:rPr>
          <w:rFonts w:ascii="Times New Roman" w:hAnsi="Times New Roman"/>
          <w:sz w:val="26"/>
          <w:szCs w:val="26"/>
        </w:rPr>
        <w:t xml:space="preserve">Upon a consideration of the papers that were before me, it is common cause that the late </w:t>
      </w:r>
      <w:proofErr w:type="spellStart"/>
      <w:r w:rsidR="00510290" w:rsidRPr="007529C4">
        <w:rPr>
          <w:rFonts w:ascii="Times New Roman" w:hAnsi="Times New Roman"/>
          <w:sz w:val="26"/>
          <w:szCs w:val="26"/>
        </w:rPr>
        <w:t>Mr.</w:t>
      </w:r>
      <w:proofErr w:type="spellEnd"/>
      <w:r w:rsidR="00510290" w:rsidRPr="007529C4">
        <w:rPr>
          <w:rFonts w:ascii="Times New Roman" w:hAnsi="Times New Roman"/>
          <w:sz w:val="26"/>
          <w:szCs w:val="26"/>
        </w:rPr>
        <w:t xml:space="preserve"> </w:t>
      </w:r>
      <w:proofErr w:type="spellStart"/>
      <w:r w:rsidR="00510290" w:rsidRPr="007529C4">
        <w:rPr>
          <w:rFonts w:ascii="Times New Roman" w:hAnsi="Times New Roman"/>
          <w:sz w:val="26"/>
          <w:szCs w:val="26"/>
        </w:rPr>
        <w:t>Gxabeka</w:t>
      </w:r>
      <w:proofErr w:type="spellEnd"/>
      <w:r w:rsidR="00510290" w:rsidRPr="007529C4">
        <w:rPr>
          <w:rFonts w:ascii="Times New Roman" w:hAnsi="Times New Roman"/>
          <w:sz w:val="26"/>
          <w:szCs w:val="26"/>
        </w:rPr>
        <w:t xml:space="preserve"> was given possession of the property in 2004</w:t>
      </w:r>
      <w:r w:rsidR="00B7393A" w:rsidRPr="007529C4">
        <w:rPr>
          <w:rFonts w:ascii="Times New Roman" w:hAnsi="Times New Roman"/>
          <w:sz w:val="26"/>
          <w:szCs w:val="26"/>
        </w:rPr>
        <w:t xml:space="preserve"> already</w:t>
      </w:r>
      <w:r w:rsidR="00510290" w:rsidRPr="007529C4">
        <w:rPr>
          <w:rFonts w:ascii="Times New Roman" w:hAnsi="Times New Roman"/>
          <w:sz w:val="26"/>
          <w:szCs w:val="26"/>
        </w:rPr>
        <w:t xml:space="preserve"> despite the agreement providing that vacant occupation would only be given</w:t>
      </w:r>
      <w:r w:rsidR="00E1326E" w:rsidRPr="007529C4">
        <w:rPr>
          <w:rFonts w:ascii="Times New Roman" w:hAnsi="Times New Roman"/>
          <w:sz w:val="26"/>
          <w:szCs w:val="26"/>
        </w:rPr>
        <w:t xml:space="preserve"> to him</w:t>
      </w:r>
      <w:r w:rsidR="00510290" w:rsidRPr="007529C4">
        <w:rPr>
          <w:rFonts w:ascii="Times New Roman" w:hAnsi="Times New Roman"/>
          <w:sz w:val="26"/>
          <w:szCs w:val="26"/>
        </w:rPr>
        <w:t xml:space="preserve"> on registration</w:t>
      </w:r>
      <w:r w:rsidR="0037024D" w:rsidRPr="007529C4">
        <w:rPr>
          <w:rFonts w:ascii="Times New Roman" w:hAnsi="Times New Roman"/>
          <w:sz w:val="26"/>
          <w:szCs w:val="26"/>
        </w:rPr>
        <w:t xml:space="preserve"> and that his late mother</w:t>
      </w:r>
      <w:r w:rsidR="00D77CB8" w:rsidRPr="007529C4">
        <w:rPr>
          <w:rFonts w:ascii="Times New Roman" w:hAnsi="Times New Roman"/>
          <w:sz w:val="26"/>
          <w:szCs w:val="26"/>
        </w:rPr>
        <w:t xml:space="preserve"> (similarly to the respondent acting in a representative capacity in the interests of his estate) continued</w:t>
      </w:r>
      <w:r w:rsidR="0037024D" w:rsidRPr="007529C4">
        <w:rPr>
          <w:rFonts w:ascii="Times New Roman" w:hAnsi="Times New Roman"/>
          <w:sz w:val="26"/>
          <w:szCs w:val="26"/>
        </w:rPr>
        <w:t xml:space="preserve"> to occupy the property for several more years after his death until her demise as well</w:t>
      </w:r>
      <w:r w:rsidR="00510290" w:rsidRPr="007529C4">
        <w:rPr>
          <w:rFonts w:ascii="Times New Roman" w:hAnsi="Times New Roman"/>
          <w:sz w:val="26"/>
          <w:szCs w:val="26"/>
        </w:rPr>
        <w:t xml:space="preserve">.  </w:t>
      </w:r>
      <w:r w:rsidR="00D77CB8" w:rsidRPr="007529C4">
        <w:rPr>
          <w:rFonts w:ascii="Times New Roman" w:hAnsi="Times New Roman"/>
          <w:sz w:val="26"/>
          <w:szCs w:val="26"/>
        </w:rPr>
        <w:t>(Mr</w:t>
      </w:r>
      <w:r w:rsidR="00B7393A" w:rsidRPr="007529C4">
        <w:rPr>
          <w:rFonts w:ascii="Times New Roman" w:hAnsi="Times New Roman"/>
          <w:sz w:val="26"/>
          <w:szCs w:val="26"/>
        </w:rPr>
        <w:t>.</w:t>
      </w:r>
      <w:r w:rsidR="00D77CB8" w:rsidRPr="007529C4">
        <w:rPr>
          <w:rFonts w:ascii="Times New Roman" w:hAnsi="Times New Roman"/>
          <w:sz w:val="26"/>
          <w:szCs w:val="26"/>
        </w:rPr>
        <w:t xml:space="preserve"> </w:t>
      </w:r>
      <w:proofErr w:type="spellStart"/>
      <w:r w:rsidR="00D77CB8" w:rsidRPr="007529C4">
        <w:rPr>
          <w:rFonts w:ascii="Times New Roman" w:hAnsi="Times New Roman"/>
          <w:sz w:val="26"/>
          <w:szCs w:val="26"/>
        </w:rPr>
        <w:t>Gxabeka’s</w:t>
      </w:r>
      <w:proofErr w:type="spellEnd"/>
      <w:r w:rsidR="00D77CB8" w:rsidRPr="007529C4">
        <w:rPr>
          <w:rFonts w:ascii="Times New Roman" w:hAnsi="Times New Roman"/>
          <w:sz w:val="26"/>
          <w:szCs w:val="26"/>
        </w:rPr>
        <w:t xml:space="preserve"> right of occupation</w:t>
      </w:r>
      <w:r w:rsidR="00510290" w:rsidRPr="007529C4">
        <w:rPr>
          <w:rFonts w:ascii="Times New Roman" w:hAnsi="Times New Roman"/>
          <w:sz w:val="26"/>
          <w:szCs w:val="26"/>
        </w:rPr>
        <w:t xml:space="preserve"> would have included the right to recover any fruits thereby.</w:t>
      </w:r>
      <w:r w:rsidR="00D77CB8" w:rsidRPr="007529C4">
        <w:rPr>
          <w:rFonts w:ascii="Times New Roman" w:hAnsi="Times New Roman"/>
          <w:sz w:val="26"/>
          <w:szCs w:val="26"/>
        </w:rPr>
        <w:t>)</w:t>
      </w:r>
      <w:r w:rsidR="00510290" w:rsidRPr="007529C4">
        <w:rPr>
          <w:rFonts w:ascii="Times New Roman" w:hAnsi="Times New Roman"/>
          <w:sz w:val="26"/>
          <w:szCs w:val="26"/>
        </w:rPr>
        <w:t xml:space="preserve">  It also appears to be the case that he assumed the risk in respect of the property from th</w:t>
      </w:r>
      <w:r w:rsidR="0014362F" w:rsidRPr="007529C4">
        <w:rPr>
          <w:rFonts w:ascii="Times New Roman" w:hAnsi="Times New Roman"/>
          <w:sz w:val="26"/>
          <w:szCs w:val="26"/>
        </w:rPr>
        <w:t>e</w:t>
      </w:r>
      <w:r w:rsidR="00510290" w:rsidRPr="007529C4">
        <w:rPr>
          <w:rFonts w:ascii="Times New Roman" w:hAnsi="Times New Roman"/>
          <w:sz w:val="26"/>
          <w:szCs w:val="26"/>
        </w:rPr>
        <w:t xml:space="preserve"> date</w:t>
      </w:r>
      <w:r w:rsidR="0014362F" w:rsidRPr="007529C4">
        <w:rPr>
          <w:rFonts w:ascii="Times New Roman" w:hAnsi="Times New Roman"/>
          <w:sz w:val="26"/>
          <w:szCs w:val="26"/>
        </w:rPr>
        <w:t xml:space="preserve"> of occupation</w:t>
      </w:r>
      <w:r w:rsidR="00510290" w:rsidRPr="007529C4">
        <w:rPr>
          <w:rFonts w:ascii="Times New Roman" w:hAnsi="Times New Roman"/>
          <w:sz w:val="26"/>
          <w:szCs w:val="26"/>
        </w:rPr>
        <w:t>.  (There is a dispute concerning what, if any agreement was reached in respect of the payment of occupational rental and whether he was “in default” of paying such monies, but that is neither here nor there for present purposes.)</w:t>
      </w:r>
      <w:r w:rsidR="0037024D" w:rsidRPr="007529C4">
        <w:rPr>
          <w:rFonts w:ascii="Times New Roman" w:hAnsi="Times New Roman"/>
          <w:sz w:val="26"/>
          <w:szCs w:val="26"/>
        </w:rPr>
        <w:t xml:space="preserve"> </w:t>
      </w:r>
      <w:r w:rsidR="00B7393A" w:rsidRPr="007529C4">
        <w:rPr>
          <w:rFonts w:ascii="Times New Roman" w:hAnsi="Times New Roman"/>
          <w:sz w:val="26"/>
          <w:szCs w:val="26"/>
        </w:rPr>
        <w:t xml:space="preserve"> </w:t>
      </w:r>
      <w:r w:rsidR="0037024D" w:rsidRPr="007529C4">
        <w:rPr>
          <w:rFonts w:ascii="Times New Roman" w:hAnsi="Times New Roman"/>
          <w:sz w:val="26"/>
          <w:szCs w:val="26"/>
        </w:rPr>
        <w:t>The suggestion that Mr</w:t>
      </w:r>
      <w:r w:rsidR="00B7393A" w:rsidRPr="007529C4">
        <w:rPr>
          <w:rFonts w:ascii="Times New Roman" w:hAnsi="Times New Roman"/>
          <w:sz w:val="26"/>
          <w:szCs w:val="26"/>
        </w:rPr>
        <w:t>.</w:t>
      </w:r>
      <w:r w:rsidR="0037024D" w:rsidRPr="007529C4">
        <w:rPr>
          <w:rFonts w:ascii="Times New Roman" w:hAnsi="Times New Roman"/>
          <w:sz w:val="26"/>
          <w:szCs w:val="26"/>
        </w:rPr>
        <w:t xml:space="preserve"> </w:t>
      </w:r>
      <w:proofErr w:type="spellStart"/>
      <w:r w:rsidR="0037024D" w:rsidRPr="007529C4">
        <w:rPr>
          <w:rFonts w:ascii="Times New Roman" w:hAnsi="Times New Roman"/>
          <w:sz w:val="26"/>
          <w:szCs w:val="26"/>
        </w:rPr>
        <w:t>Gxabeka</w:t>
      </w:r>
      <w:proofErr w:type="spellEnd"/>
      <w:r w:rsidR="0037024D" w:rsidRPr="007529C4">
        <w:rPr>
          <w:rFonts w:ascii="Times New Roman" w:hAnsi="Times New Roman"/>
          <w:sz w:val="26"/>
          <w:szCs w:val="26"/>
        </w:rPr>
        <w:t xml:space="preserve"> had been in default of paying </w:t>
      </w:r>
      <w:r w:rsidR="0014362F" w:rsidRPr="007529C4">
        <w:rPr>
          <w:rFonts w:ascii="Times New Roman" w:hAnsi="Times New Roman"/>
          <w:sz w:val="26"/>
          <w:szCs w:val="26"/>
        </w:rPr>
        <w:t xml:space="preserve">a different </w:t>
      </w:r>
      <w:r w:rsidR="0037024D" w:rsidRPr="007529C4">
        <w:rPr>
          <w:rFonts w:ascii="Times New Roman" w:hAnsi="Times New Roman"/>
          <w:sz w:val="26"/>
          <w:szCs w:val="26"/>
        </w:rPr>
        <w:t>purchase price</w:t>
      </w:r>
      <w:r w:rsidR="0014362F" w:rsidRPr="007529C4">
        <w:rPr>
          <w:rFonts w:ascii="Times New Roman" w:hAnsi="Times New Roman"/>
          <w:sz w:val="26"/>
          <w:szCs w:val="26"/>
        </w:rPr>
        <w:t xml:space="preserve"> than indicated in the deed of sale</w:t>
      </w:r>
      <w:r w:rsidR="0037024D" w:rsidRPr="007529C4">
        <w:rPr>
          <w:rFonts w:ascii="Times New Roman" w:hAnsi="Times New Roman"/>
          <w:sz w:val="26"/>
          <w:szCs w:val="26"/>
        </w:rPr>
        <w:t xml:space="preserve"> simply had no substance.  The applicants </w:t>
      </w:r>
      <w:r w:rsidR="00177DCC" w:rsidRPr="007529C4">
        <w:rPr>
          <w:rFonts w:ascii="Times New Roman" w:hAnsi="Times New Roman"/>
          <w:sz w:val="26"/>
          <w:szCs w:val="26"/>
        </w:rPr>
        <w:t>averred</w:t>
      </w:r>
      <w:r w:rsidR="0037024D" w:rsidRPr="007529C4">
        <w:rPr>
          <w:rFonts w:ascii="Times New Roman" w:hAnsi="Times New Roman"/>
          <w:sz w:val="26"/>
          <w:szCs w:val="26"/>
        </w:rPr>
        <w:t xml:space="preserve"> that the purchase price </w:t>
      </w:r>
      <w:r w:rsidR="00177DCC" w:rsidRPr="007529C4">
        <w:rPr>
          <w:rFonts w:ascii="Times New Roman" w:hAnsi="Times New Roman"/>
          <w:sz w:val="26"/>
          <w:szCs w:val="26"/>
        </w:rPr>
        <w:t>had been</w:t>
      </w:r>
      <w:r w:rsidR="0037024D" w:rsidRPr="007529C4">
        <w:rPr>
          <w:rFonts w:ascii="Times New Roman" w:hAnsi="Times New Roman"/>
          <w:sz w:val="26"/>
          <w:szCs w:val="26"/>
        </w:rPr>
        <w:t xml:space="preserve"> increased but even on their version that payment would have related to “additional items” that </w:t>
      </w:r>
      <w:r w:rsidR="00177DCC" w:rsidRPr="007529C4">
        <w:rPr>
          <w:rFonts w:ascii="Times New Roman" w:hAnsi="Times New Roman"/>
          <w:sz w:val="26"/>
          <w:szCs w:val="26"/>
        </w:rPr>
        <w:t>Mr</w:t>
      </w:r>
      <w:r w:rsidR="00B7393A" w:rsidRPr="007529C4">
        <w:rPr>
          <w:rFonts w:ascii="Times New Roman" w:hAnsi="Times New Roman"/>
          <w:sz w:val="26"/>
          <w:szCs w:val="26"/>
        </w:rPr>
        <w:t>.</w:t>
      </w:r>
      <w:r w:rsidR="00177DCC" w:rsidRPr="007529C4">
        <w:rPr>
          <w:rFonts w:ascii="Times New Roman" w:hAnsi="Times New Roman"/>
          <w:sz w:val="26"/>
          <w:szCs w:val="26"/>
        </w:rPr>
        <w:t xml:space="preserve"> </w:t>
      </w:r>
      <w:proofErr w:type="spellStart"/>
      <w:r w:rsidR="00177DCC" w:rsidRPr="007529C4">
        <w:rPr>
          <w:rFonts w:ascii="Times New Roman" w:hAnsi="Times New Roman"/>
          <w:sz w:val="26"/>
          <w:szCs w:val="26"/>
        </w:rPr>
        <w:t>Gxabeka</w:t>
      </w:r>
      <w:proofErr w:type="spellEnd"/>
      <w:r w:rsidR="0037024D" w:rsidRPr="007529C4">
        <w:rPr>
          <w:rFonts w:ascii="Times New Roman" w:hAnsi="Times New Roman"/>
          <w:sz w:val="26"/>
          <w:szCs w:val="26"/>
        </w:rPr>
        <w:t xml:space="preserve"> purportedly </w:t>
      </w:r>
      <w:r w:rsidR="00177DCC" w:rsidRPr="007529C4">
        <w:rPr>
          <w:rFonts w:ascii="Times New Roman" w:hAnsi="Times New Roman"/>
          <w:sz w:val="26"/>
          <w:szCs w:val="26"/>
        </w:rPr>
        <w:t>acquired from them</w:t>
      </w:r>
      <w:r w:rsidR="0037024D" w:rsidRPr="007529C4">
        <w:rPr>
          <w:rFonts w:ascii="Times New Roman" w:hAnsi="Times New Roman"/>
          <w:sz w:val="26"/>
          <w:szCs w:val="26"/>
        </w:rPr>
        <w:t xml:space="preserve">.  </w:t>
      </w:r>
      <w:r w:rsidR="0014362F" w:rsidRPr="007529C4">
        <w:rPr>
          <w:rFonts w:ascii="Times New Roman" w:hAnsi="Times New Roman"/>
          <w:sz w:val="26"/>
          <w:szCs w:val="26"/>
        </w:rPr>
        <w:t>I</w:t>
      </w:r>
      <w:r w:rsidR="00177DCC" w:rsidRPr="007529C4">
        <w:rPr>
          <w:rFonts w:ascii="Times New Roman" w:hAnsi="Times New Roman"/>
          <w:sz w:val="26"/>
          <w:szCs w:val="26"/>
        </w:rPr>
        <w:t>f true</w:t>
      </w:r>
      <w:r w:rsidR="0033436E" w:rsidRPr="007529C4">
        <w:rPr>
          <w:rFonts w:ascii="Times New Roman" w:hAnsi="Times New Roman"/>
          <w:sz w:val="26"/>
          <w:szCs w:val="26"/>
        </w:rPr>
        <w:t>,</w:t>
      </w:r>
      <w:r w:rsidR="00B7393A" w:rsidRPr="007529C4">
        <w:rPr>
          <w:rFonts w:ascii="Times New Roman" w:hAnsi="Times New Roman"/>
          <w:sz w:val="26"/>
          <w:szCs w:val="26"/>
        </w:rPr>
        <w:t xml:space="preserve"> such a sale </w:t>
      </w:r>
      <w:r w:rsidR="00177DCC" w:rsidRPr="007529C4">
        <w:rPr>
          <w:rFonts w:ascii="Times New Roman" w:hAnsi="Times New Roman"/>
          <w:sz w:val="26"/>
          <w:szCs w:val="26"/>
        </w:rPr>
        <w:t>is</w:t>
      </w:r>
      <w:r w:rsidR="0037024D" w:rsidRPr="007529C4">
        <w:rPr>
          <w:rFonts w:ascii="Times New Roman" w:hAnsi="Times New Roman"/>
          <w:sz w:val="26"/>
          <w:szCs w:val="26"/>
        </w:rPr>
        <w:t xml:space="preserve"> suggestive of movable assets </w:t>
      </w:r>
      <w:r w:rsidR="0033436E" w:rsidRPr="007529C4">
        <w:rPr>
          <w:rFonts w:ascii="Times New Roman" w:hAnsi="Times New Roman"/>
          <w:sz w:val="26"/>
          <w:szCs w:val="26"/>
        </w:rPr>
        <w:t xml:space="preserve">disposed of to him </w:t>
      </w:r>
      <w:r w:rsidR="0037024D" w:rsidRPr="007529C4">
        <w:rPr>
          <w:rFonts w:ascii="Times New Roman" w:hAnsi="Times New Roman"/>
          <w:sz w:val="26"/>
          <w:szCs w:val="26"/>
        </w:rPr>
        <w:t xml:space="preserve">that would not have impacted on </w:t>
      </w:r>
      <w:r w:rsidR="00B7393A" w:rsidRPr="007529C4">
        <w:rPr>
          <w:rFonts w:ascii="Times New Roman" w:hAnsi="Times New Roman"/>
          <w:sz w:val="26"/>
          <w:szCs w:val="26"/>
        </w:rPr>
        <w:t>his</w:t>
      </w:r>
      <w:r w:rsidR="0037024D" w:rsidRPr="007529C4">
        <w:rPr>
          <w:rFonts w:ascii="Times New Roman" w:hAnsi="Times New Roman"/>
          <w:sz w:val="26"/>
          <w:szCs w:val="26"/>
        </w:rPr>
        <w:t xml:space="preserve"> strict obligations arising from the deed of sale to pay the agreed upon price to acquire and </w:t>
      </w:r>
      <w:r w:rsidR="00177DCC" w:rsidRPr="007529C4">
        <w:rPr>
          <w:rFonts w:ascii="Times New Roman" w:hAnsi="Times New Roman"/>
          <w:sz w:val="26"/>
          <w:szCs w:val="26"/>
        </w:rPr>
        <w:t xml:space="preserve">ultimately to </w:t>
      </w:r>
      <w:r w:rsidR="0037024D" w:rsidRPr="007529C4">
        <w:rPr>
          <w:rFonts w:ascii="Times New Roman" w:hAnsi="Times New Roman"/>
          <w:sz w:val="26"/>
          <w:szCs w:val="26"/>
        </w:rPr>
        <w:t>take transfer of the immovable property.  The applicants ma</w:t>
      </w:r>
      <w:r w:rsidR="00177DCC" w:rsidRPr="007529C4">
        <w:rPr>
          <w:rFonts w:ascii="Times New Roman" w:hAnsi="Times New Roman"/>
          <w:sz w:val="26"/>
          <w:szCs w:val="26"/>
        </w:rPr>
        <w:t>d</w:t>
      </w:r>
      <w:r w:rsidR="0037024D" w:rsidRPr="007529C4">
        <w:rPr>
          <w:rFonts w:ascii="Times New Roman" w:hAnsi="Times New Roman"/>
          <w:sz w:val="26"/>
          <w:szCs w:val="26"/>
        </w:rPr>
        <w:t xml:space="preserve">e no averment in their papers that the purchase price in respect of the </w:t>
      </w:r>
      <w:r w:rsidR="0014362F" w:rsidRPr="007529C4">
        <w:rPr>
          <w:rFonts w:ascii="Times New Roman" w:hAnsi="Times New Roman"/>
          <w:sz w:val="26"/>
          <w:szCs w:val="26"/>
        </w:rPr>
        <w:t xml:space="preserve">deceased’s acquisition of the </w:t>
      </w:r>
      <w:r w:rsidR="0037024D" w:rsidRPr="007529C4">
        <w:rPr>
          <w:rFonts w:ascii="Times New Roman" w:hAnsi="Times New Roman"/>
          <w:sz w:val="26"/>
          <w:szCs w:val="26"/>
        </w:rPr>
        <w:t>property</w:t>
      </w:r>
      <w:r w:rsidR="0014362F" w:rsidRPr="007529C4">
        <w:rPr>
          <w:rFonts w:ascii="Times New Roman" w:hAnsi="Times New Roman"/>
          <w:sz w:val="26"/>
          <w:szCs w:val="26"/>
        </w:rPr>
        <w:t xml:space="preserve"> had been formally v</w:t>
      </w:r>
      <w:r w:rsidR="0037024D" w:rsidRPr="007529C4">
        <w:rPr>
          <w:rFonts w:ascii="Times New Roman" w:hAnsi="Times New Roman"/>
          <w:sz w:val="26"/>
          <w:szCs w:val="26"/>
        </w:rPr>
        <w:t xml:space="preserve">aried and indeed put up no proof of this.  </w:t>
      </w:r>
      <w:r w:rsidR="00D77CB8" w:rsidRPr="007529C4">
        <w:rPr>
          <w:rFonts w:ascii="Times New Roman" w:hAnsi="Times New Roman"/>
          <w:sz w:val="26"/>
          <w:szCs w:val="26"/>
        </w:rPr>
        <w:t xml:space="preserve">Any sale of immovable property is </w:t>
      </w:r>
      <w:r w:rsidR="00D77CB8" w:rsidRPr="007529C4">
        <w:rPr>
          <w:rFonts w:ascii="Times New Roman" w:hAnsi="Times New Roman"/>
          <w:sz w:val="26"/>
          <w:szCs w:val="26"/>
        </w:rPr>
        <w:lastRenderedPageBreak/>
        <w:t xml:space="preserve">required to be recorded in writing in terms of the Alienation of </w:t>
      </w:r>
      <w:r w:rsidR="00B7393A" w:rsidRPr="007529C4">
        <w:rPr>
          <w:rFonts w:ascii="Times New Roman" w:hAnsi="Times New Roman"/>
          <w:sz w:val="26"/>
          <w:szCs w:val="26"/>
        </w:rPr>
        <w:t>Land</w:t>
      </w:r>
      <w:r w:rsidR="00D77CB8" w:rsidRPr="007529C4">
        <w:rPr>
          <w:rFonts w:ascii="Times New Roman" w:hAnsi="Times New Roman"/>
          <w:sz w:val="26"/>
          <w:szCs w:val="26"/>
        </w:rPr>
        <w:t xml:space="preserve"> Act</w:t>
      </w:r>
      <w:r w:rsidR="00177DCC" w:rsidRPr="007529C4">
        <w:rPr>
          <w:rFonts w:ascii="Times New Roman" w:hAnsi="Times New Roman"/>
          <w:sz w:val="26"/>
          <w:szCs w:val="26"/>
        </w:rPr>
        <w:t>.</w:t>
      </w:r>
      <w:r w:rsidR="00D77CB8">
        <w:rPr>
          <w:rStyle w:val="FootnoteReference"/>
          <w:rFonts w:ascii="Times New Roman" w:hAnsi="Times New Roman"/>
          <w:sz w:val="26"/>
          <w:szCs w:val="26"/>
        </w:rPr>
        <w:footnoteReference w:id="14"/>
      </w:r>
      <w:r w:rsidR="00D77CB8" w:rsidRPr="007529C4">
        <w:rPr>
          <w:rFonts w:ascii="Times New Roman" w:hAnsi="Times New Roman"/>
          <w:sz w:val="26"/>
          <w:szCs w:val="26"/>
        </w:rPr>
        <w:t xml:space="preserve">  </w:t>
      </w:r>
      <w:r w:rsidR="00177DCC" w:rsidRPr="007529C4">
        <w:rPr>
          <w:rFonts w:ascii="Times New Roman" w:hAnsi="Times New Roman"/>
          <w:sz w:val="26"/>
          <w:szCs w:val="26"/>
        </w:rPr>
        <w:t xml:space="preserve">This </w:t>
      </w:r>
      <w:r w:rsidR="00D77CB8" w:rsidRPr="007529C4">
        <w:rPr>
          <w:rFonts w:ascii="Times New Roman" w:hAnsi="Times New Roman"/>
          <w:sz w:val="26"/>
          <w:szCs w:val="26"/>
        </w:rPr>
        <w:t xml:space="preserve">likewise </w:t>
      </w:r>
      <w:r w:rsidR="00177DCC" w:rsidRPr="007529C4">
        <w:rPr>
          <w:rFonts w:ascii="Times New Roman" w:hAnsi="Times New Roman"/>
          <w:sz w:val="26"/>
          <w:szCs w:val="26"/>
        </w:rPr>
        <w:t xml:space="preserve">applies to </w:t>
      </w:r>
      <w:r w:rsidR="00D77CB8" w:rsidRPr="007529C4">
        <w:rPr>
          <w:rFonts w:ascii="Times New Roman" w:hAnsi="Times New Roman"/>
          <w:sz w:val="26"/>
          <w:szCs w:val="26"/>
        </w:rPr>
        <w:t>any variation to the formal agreement</w:t>
      </w:r>
      <w:r w:rsidR="0014362F" w:rsidRPr="007529C4">
        <w:rPr>
          <w:rFonts w:ascii="Times New Roman" w:hAnsi="Times New Roman"/>
          <w:sz w:val="26"/>
          <w:szCs w:val="26"/>
        </w:rPr>
        <w:t xml:space="preserve"> in respect of price</w:t>
      </w:r>
      <w:r w:rsidR="00D77CB8" w:rsidRPr="007529C4">
        <w:rPr>
          <w:rFonts w:ascii="Times New Roman" w:hAnsi="Times New Roman"/>
          <w:sz w:val="26"/>
          <w:szCs w:val="26"/>
        </w:rPr>
        <w:t>.</w:t>
      </w:r>
      <w:r w:rsidR="0014362F">
        <w:rPr>
          <w:rStyle w:val="FootnoteReference"/>
          <w:rFonts w:ascii="Times New Roman" w:hAnsi="Times New Roman"/>
          <w:sz w:val="26"/>
          <w:szCs w:val="26"/>
        </w:rPr>
        <w:footnoteReference w:id="15"/>
      </w:r>
      <w:r w:rsidR="00D77CB8" w:rsidRPr="007529C4">
        <w:rPr>
          <w:rFonts w:ascii="Times New Roman" w:hAnsi="Times New Roman"/>
          <w:sz w:val="26"/>
          <w:szCs w:val="26"/>
        </w:rPr>
        <w:t xml:space="preserve">  </w:t>
      </w:r>
      <w:r w:rsidR="00177DCC" w:rsidRPr="007529C4">
        <w:rPr>
          <w:rFonts w:ascii="Times New Roman" w:hAnsi="Times New Roman"/>
          <w:sz w:val="26"/>
          <w:szCs w:val="26"/>
        </w:rPr>
        <w:t xml:space="preserve">There was no </w:t>
      </w:r>
      <w:proofErr w:type="spellStart"/>
      <w:r w:rsidR="00177DCC" w:rsidRPr="007529C4">
        <w:rPr>
          <w:rFonts w:ascii="Times New Roman" w:hAnsi="Times New Roman"/>
          <w:sz w:val="26"/>
          <w:szCs w:val="26"/>
        </w:rPr>
        <w:t>suspensive</w:t>
      </w:r>
      <w:proofErr w:type="spellEnd"/>
      <w:r w:rsidR="00177DCC" w:rsidRPr="007529C4">
        <w:rPr>
          <w:rFonts w:ascii="Times New Roman" w:hAnsi="Times New Roman"/>
          <w:sz w:val="26"/>
          <w:szCs w:val="26"/>
        </w:rPr>
        <w:t xml:space="preserve"> condition in place</w:t>
      </w:r>
      <w:r w:rsidR="00B7393A" w:rsidRPr="007529C4">
        <w:rPr>
          <w:rFonts w:ascii="Times New Roman" w:hAnsi="Times New Roman"/>
          <w:sz w:val="26"/>
          <w:szCs w:val="26"/>
        </w:rPr>
        <w:t xml:space="preserve"> (presumably because the bulk of the purchase price </w:t>
      </w:r>
      <w:r w:rsidR="00DE7833" w:rsidRPr="007529C4">
        <w:rPr>
          <w:rFonts w:ascii="Times New Roman" w:hAnsi="Times New Roman"/>
          <w:sz w:val="26"/>
          <w:szCs w:val="26"/>
        </w:rPr>
        <w:t>was</w:t>
      </w:r>
      <w:r w:rsidR="00B7393A" w:rsidRPr="007529C4">
        <w:rPr>
          <w:rFonts w:ascii="Times New Roman" w:hAnsi="Times New Roman"/>
          <w:sz w:val="26"/>
          <w:szCs w:val="26"/>
        </w:rPr>
        <w:t xml:space="preserve"> prepaid by the deceased)</w:t>
      </w:r>
      <w:r w:rsidR="00DE7833" w:rsidRPr="007529C4">
        <w:rPr>
          <w:rFonts w:ascii="Times New Roman" w:hAnsi="Times New Roman"/>
          <w:sz w:val="26"/>
          <w:szCs w:val="26"/>
        </w:rPr>
        <w:t>,</w:t>
      </w:r>
      <w:r w:rsidR="00177DCC" w:rsidRPr="007529C4">
        <w:rPr>
          <w:rFonts w:ascii="Times New Roman" w:hAnsi="Times New Roman"/>
          <w:sz w:val="26"/>
          <w:szCs w:val="26"/>
        </w:rPr>
        <w:t xml:space="preserve"> neither did the applicants suggest that the deed of sale had been </w:t>
      </w:r>
      <w:r w:rsidR="0033436E" w:rsidRPr="007529C4">
        <w:rPr>
          <w:rFonts w:ascii="Times New Roman" w:hAnsi="Times New Roman"/>
          <w:sz w:val="26"/>
          <w:szCs w:val="26"/>
        </w:rPr>
        <w:t>ex</w:t>
      </w:r>
      <w:r w:rsidR="00177DCC" w:rsidRPr="007529C4">
        <w:rPr>
          <w:rFonts w:ascii="Times New Roman" w:hAnsi="Times New Roman"/>
          <w:sz w:val="26"/>
          <w:szCs w:val="26"/>
        </w:rPr>
        <w:t>tinguished on such a natural basis.  Their argument, even that an increased purchase price</w:t>
      </w:r>
      <w:r w:rsidR="00B7393A" w:rsidRPr="007529C4">
        <w:rPr>
          <w:rFonts w:ascii="Times New Roman" w:hAnsi="Times New Roman"/>
          <w:sz w:val="26"/>
          <w:szCs w:val="26"/>
        </w:rPr>
        <w:t xml:space="preserve"> (</w:t>
      </w:r>
      <w:r w:rsidR="00B7393A" w:rsidRPr="007529C4">
        <w:rPr>
          <w:rFonts w:ascii="Times New Roman" w:hAnsi="Times New Roman"/>
          <w:i/>
          <w:iCs/>
          <w:sz w:val="26"/>
          <w:szCs w:val="26"/>
        </w:rPr>
        <w:t>sic</w:t>
      </w:r>
      <w:r w:rsidR="00B7393A" w:rsidRPr="007529C4">
        <w:rPr>
          <w:rFonts w:ascii="Times New Roman" w:hAnsi="Times New Roman"/>
          <w:sz w:val="26"/>
          <w:szCs w:val="26"/>
        </w:rPr>
        <w:t>)</w:t>
      </w:r>
      <w:r w:rsidR="00177DCC" w:rsidRPr="007529C4">
        <w:rPr>
          <w:rFonts w:ascii="Times New Roman" w:hAnsi="Times New Roman"/>
          <w:sz w:val="26"/>
          <w:szCs w:val="26"/>
        </w:rPr>
        <w:t xml:space="preserve"> had not been paid similarly had no merit on the simple basis that whatever was owing beyond the prepaid amount of R160 000,00 (which self-evidently extinguished the bond over the property that existed at that point), </w:t>
      </w:r>
      <w:r w:rsidR="003468D3" w:rsidRPr="007529C4">
        <w:rPr>
          <w:rFonts w:ascii="Times New Roman" w:hAnsi="Times New Roman"/>
          <w:sz w:val="26"/>
          <w:szCs w:val="26"/>
        </w:rPr>
        <w:t>the balance</w:t>
      </w:r>
      <w:r w:rsidR="00177DCC" w:rsidRPr="007529C4">
        <w:rPr>
          <w:rFonts w:ascii="Times New Roman" w:hAnsi="Times New Roman"/>
          <w:sz w:val="26"/>
          <w:szCs w:val="26"/>
        </w:rPr>
        <w:t xml:space="preserve"> was only payable on demand by the conveyancer and upon registration.</w:t>
      </w:r>
      <w:r w:rsidR="00E1326E">
        <w:rPr>
          <w:rStyle w:val="FootnoteReference"/>
          <w:rFonts w:ascii="Times New Roman" w:hAnsi="Times New Roman"/>
          <w:sz w:val="26"/>
          <w:szCs w:val="26"/>
        </w:rPr>
        <w:footnoteReference w:id="16"/>
      </w:r>
      <w:r w:rsidR="00177DCC" w:rsidRPr="007529C4">
        <w:rPr>
          <w:rFonts w:ascii="Times New Roman" w:hAnsi="Times New Roman"/>
          <w:sz w:val="26"/>
          <w:szCs w:val="26"/>
        </w:rPr>
        <w:t xml:space="preserve"> This ball was in the applicants</w:t>
      </w:r>
      <w:r w:rsidR="003468D3" w:rsidRPr="007529C4">
        <w:rPr>
          <w:rFonts w:ascii="Times New Roman" w:hAnsi="Times New Roman"/>
          <w:sz w:val="26"/>
          <w:szCs w:val="26"/>
        </w:rPr>
        <w:t>’</w:t>
      </w:r>
      <w:r w:rsidR="00177DCC" w:rsidRPr="007529C4">
        <w:rPr>
          <w:rFonts w:ascii="Times New Roman" w:hAnsi="Times New Roman"/>
          <w:sz w:val="26"/>
          <w:szCs w:val="26"/>
        </w:rPr>
        <w:t xml:space="preserve"> court </w:t>
      </w:r>
      <w:r w:rsidR="003468D3" w:rsidRPr="007529C4">
        <w:rPr>
          <w:rFonts w:ascii="Times New Roman" w:hAnsi="Times New Roman"/>
          <w:sz w:val="26"/>
          <w:szCs w:val="26"/>
        </w:rPr>
        <w:t xml:space="preserve">in this respect </w:t>
      </w:r>
      <w:r w:rsidR="00177DCC" w:rsidRPr="007529C4">
        <w:rPr>
          <w:rFonts w:ascii="Times New Roman" w:hAnsi="Times New Roman"/>
          <w:sz w:val="26"/>
          <w:szCs w:val="26"/>
        </w:rPr>
        <w:t xml:space="preserve">but it appears from Annexure </w:t>
      </w:r>
      <w:r w:rsidR="00DE7833" w:rsidRPr="007529C4">
        <w:rPr>
          <w:rFonts w:ascii="Times New Roman" w:hAnsi="Times New Roman"/>
          <w:sz w:val="26"/>
          <w:szCs w:val="26"/>
        </w:rPr>
        <w:t>B</w:t>
      </w:r>
      <w:r w:rsidR="00177DCC" w:rsidRPr="007529C4">
        <w:rPr>
          <w:rFonts w:ascii="Times New Roman" w:hAnsi="Times New Roman"/>
          <w:sz w:val="26"/>
          <w:szCs w:val="26"/>
        </w:rPr>
        <w:t xml:space="preserve"> relied upon</w:t>
      </w:r>
      <w:r w:rsidR="00DE7833" w:rsidRPr="007529C4">
        <w:rPr>
          <w:rFonts w:ascii="Times New Roman" w:hAnsi="Times New Roman"/>
          <w:sz w:val="26"/>
          <w:szCs w:val="26"/>
        </w:rPr>
        <w:t xml:space="preserve"> by them in their answering affidavits</w:t>
      </w:r>
      <w:r w:rsidR="00177DCC" w:rsidRPr="007529C4">
        <w:rPr>
          <w:rFonts w:ascii="Times New Roman" w:hAnsi="Times New Roman"/>
          <w:sz w:val="26"/>
          <w:szCs w:val="26"/>
        </w:rPr>
        <w:t xml:space="preserve"> that it was not a ball they intended playing as they</w:t>
      </w:r>
      <w:r w:rsidR="003468D3" w:rsidRPr="007529C4">
        <w:rPr>
          <w:rFonts w:ascii="Times New Roman" w:hAnsi="Times New Roman"/>
          <w:sz w:val="26"/>
          <w:szCs w:val="26"/>
        </w:rPr>
        <w:t xml:space="preserve"> evidently</w:t>
      </w:r>
      <w:r w:rsidR="00DE7833" w:rsidRPr="007529C4">
        <w:rPr>
          <w:rFonts w:ascii="Times New Roman" w:hAnsi="Times New Roman"/>
          <w:sz w:val="26"/>
          <w:szCs w:val="26"/>
        </w:rPr>
        <w:t xml:space="preserve"> no longer</w:t>
      </w:r>
      <w:r w:rsidR="003468D3" w:rsidRPr="007529C4">
        <w:rPr>
          <w:rFonts w:ascii="Times New Roman" w:hAnsi="Times New Roman"/>
          <w:sz w:val="26"/>
          <w:szCs w:val="26"/>
        </w:rPr>
        <w:t xml:space="preserve"> </w:t>
      </w:r>
      <w:r w:rsidR="00177DCC" w:rsidRPr="007529C4">
        <w:rPr>
          <w:rFonts w:ascii="Times New Roman" w:hAnsi="Times New Roman"/>
          <w:sz w:val="26"/>
          <w:szCs w:val="26"/>
        </w:rPr>
        <w:t>wanted to proceed with the transfer</w:t>
      </w:r>
      <w:r w:rsidR="003101A1" w:rsidRPr="007529C4">
        <w:rPr>
          <w:rFonts w:ascii="Times New Roman" w:hAnsi="Times New Roman"/>
          <w:sz w:val="26"/>
          <w:szCs w:val="26"/>
        </w:rPr>
        <w:t xml:space="preserve">. That choice was however not </w:t>
      </w:r>
      <w:r w:rsidR="00E1326E" w:rsidRPr="007529C4">
        <w:rPr>
          <w:rFonts w:ascii="Times New Roman" w:hAnsi="Times New Roman"/>
          <w:sz w:val="26"/>
          <w:szCs w:val="26"/>
        </w:rPr>
        <w:t xml:space="preserve">open </w:t>
      </w:r>
      <w:r w:rsidR="003101A1" w:rsidRPr="007529C4">
        <w:rPr>
          <w:rFonts w:ascii="Times New Roman" w:hAnsi="Times New Roman"/>
          <w:sz w:val="26"/>
          <w:szCs w:val="26"/>
        </w:rPr>
        <w:t xml:space="preserve">to them as a unilateral </w:t>
      </w:r>
      <w:r w:rsidR="003468D3" w:rsidRPr="007529C4">
        <w:rPr>
          <w:rFonts w:ascii="Times New Roman" w:hAnsi="Times New Roman"/>
          <w:sz w:val="26"/>
          <w:szCs w:val="26"/>
        </w:rPr>
        <w:t>one</w:t>
      </w:r>
      <w:r w:rsidR="003101A1" w:rsidRPr="007529C4">
        <w:rPr>
          <w:rFonts w:ascii="Times New Roman" w:hAnsi="Times New Roman"/>
          <w:sz w:val="26"/>
          <w:szCs w:val="26"/>
        </w:rPr>
        <w:t xml:space="preserve"> to make and all the indications are that deceased did not give in to them in this respect. (Indeed why would he/his estate</w:t>
      </w:r>
      <w:r w:rsidR="003468D3" w:rsidRPr="007529C4">
        <w:rPr>
          <w:rFonts w:ascii="Times New Roman" w:hAnsi="Times New Roman"/>
          <w:sz w:val="26"/>
          <w:szCs w:val="26"/>
        </w:rPr>
        <w:t xml:space="preserve"> have</w:t>
      </w:r>
      <w:r w:rsidR="003101A1" w:rsidRPr="007529C4">
        <w:rPr>
          <w:rFonts w:ascii="Times New Roman" w:hAnsi="Times New Roman"/>
          <w:sz w:val="26"/>
          <w:szCs w:val="26"/>
        </w:rPr>
        <w:t xml:space="preserve"> continue</w:t>
      </w:r>
      <w:r w:rsidR="003468D3" w:rsidRPr="007529C4">
        <w:rPr>
          <w:rFonts w:ascii="Times New Roman" w:hAnsi="Times New Roman"/>
          <w:sz w:val="26"/>
          <w:szCs w:val="26"/>
        </w:rPr>
        <w:t>d</w:t>
      </w:r>
      <w:r w:rsidR="003101A1" w:rsidRPr="007529C4">
        <w:rPr>
          <w:rFonts w:ascii="Times New Roman" w:hAnsi="Times New Roman"/>
          <w:sz w:val="26"/>
          <w:szCs w:val="26"/>
        </w:rPr>
        <w:t xml:space="preserve"> to occupy the property for another 17 years</w:t>
      </w:r>
      <w:r w:rsidR="00177DCC" w:rsidRPr="007529C4">
        <w:rPr>
          <w:rFonts w:ascii="Times New Roman" w:hAnsi="Times New Roman"/>
          <w:sz w:val="26"/>
          <w:szCs w:val="26"/>
        </w:rPr>
        <w:t xml:space="preserve"> </w:t>
      </w:r>
      <w:r w:rsidR="00DE7833" w:rsidRPr="007529C4">
        <w:rPr>
          <w:rFonts w:ascii="Times New Roman" w:hAnsi="Times New Roman"/>
          <w:sz w:val="26"/>
          <w:szCs w:val="26"/>
        </w:rPr>
        <w:t>there</w:t>
      </w:r>
      <w:r w:rsidR="003101A1" w:rsidRPr="007529C4">
        <w:rPr>
          <w:rFonts w:ascii="Times New Roman" w:hAnsi="Times New Roman"/>
          <w:sz w:val="26"/>
          <w:szCs w:val="26"/>
        </w:rPr>
        <w:t>after</w:t>
      </w:r>
      <w:r w:rsidR="00DE7833" w:rsidRPr="007529C4">
        <w:rPr>
          <w:rFonts w:ascii="Times New Roman" w:hAnsi="Times New Roman"/>
          <w:sz w:val="26"/>
          <w:szCs w:val="26"/>
        </w:rPr>
        <w:t xml:space="preserve"> if there had been a formal cancellation of the deed of sale</w:t>
      </w:r>
      <w:r w:rsidR="003101A1" w:rsidRPr="007529C4">
        <w:rPr>
          <w:rFonts w:ascii="Times New Roman" w:hAnsi="Times New Roman"/>
          <w:sz w:val="26"/>
          <w:szCs w:val="26"/>
        </w:rPr>
        <w:t>?)</w:t>
      </w:r>
      <w:r w:rsidR="00177DCC" w:rsidRPr="007529C4">
        <w:rPr>
          <w:rFonts w:ascii="Times New Roman" w:hAnsi="Times New Roman"/>
          <w:sz w:val="26"/>
          <w:szCs w:val="26"/>
        </w:rPr>
        <w:t xml:space="preserve"> </w:t>
      </w:r>
      <w:r w:rsidR="00D77CB8" w:rsidRPr="007529C4">
        <w:rPr>
          <w:rFonts w:ascii="Times New Roman" w:hAnsi="Times New Roman"/>
          <w:sz w:val="26"/>
          <w:szCs w:val="26"/>
        </w:rPr>
        <w:t xml:space="preserve">The applicants claim that </w:t>
      </w:r>
      <w:r w:rsidR="003101A1" w:rsidRPr="007529C4">
        <w:rPr>
          <w:rFonts w:ascii="Times New Roman" w:hAnsi="Times New Roman"/>
          <w:sz w:val="26"/>
          <w:szCs w:val="26"/>
        </w:rPr>
        <w:t xml:space="preserve">Annexure </w:t>
      </w:r>
      <w:r w:rsidR="00E1326E" w:rsidRPr="007529C4">
        <w:rPr>
          <w:rFonts w:ascii="Times New Roman" w:hAnsi="Times New Roman"/>
          <w:sz w:val="26"/>
          <w:szCs w:val="26"/>
        </w:rPr>
        <w:t>B</w:t>
      </w:r>
      <w:r w:rsidR="003101A1" w:rsidRPr="007529C4">
        <w:rPr>
          <w:rFonts w:ascii="Times New Roman" w:hAnsi="Times New Roman"/>
          <w:sz w:val="26"/>
          <w:szCs w:val="26"/>
        </w:rPr>
        <w:t xml:space="preserve"> (which by no stretch of the imagination  placed the deceased regarding a clearly delineated default arising from the deed of sale on terms) </w:t>
      </w:r>
      <w:r w:rsidR="00D77CB8" w:rsidRPr="007529C4">
        <w:rPr>
          <w:rFonts w:ascii="Times New Roman" w:hAnsi="Times New Roman"/>
          <w:sz w:val="26"/>
          <w:szCs w:val="26"/>
        </w:rPr>
        <w:t xml:space="preserve"> preceded a formal cancellation of the agreement that on their own admission was not even communicated to the deceased was simply untenable and provided no </w:t>
      </w:r>
      <w:r w:rsidR="00177DCC" w:rsidRPr="007529C4">
        <w:rPr>
          <w:rFonts w:ascii="Times New Roman" w:hAnsi="Times New Roman"/>
          <w:sz w:val="26"/>
          <w:szCs w:val="26"/>
        </w:rPr>
        <w:t>realistic</w:t>
      </w:r>
      <w:r w:rsidR="00D77CB8" w:rsidRPr="007529C4">
        <w:rPr>
          <w:rFonts w:ascii="Times New Roman" w:hAnsi="Times New Roman"/>
          <w:sz w:val="26"/>
          <w:szCs w:val="26"/>
        </w:rPr>
        <w:t xml:space="preserve"> basis to depart from the clear indication  that </w:t>
      </w:r>
      <w:r w:rsidR="003101A1" w:rsidRPr="007529C4">
        <w:rPr>
          <w:rFonts w:ascii="Times New Roman" w:hAnsi="Times New Roman"/>
          <w:sz w:val="26"/>
          <w:szCs w:val="26"/>
        </w:rPr>
        <w:t>s</w:t>
      </w:r>
      <w:r w:rsidR="00D77CB8" w:rsidRPr="007529C4">
        <w:rPr>
          <w:rFonts w:ascii="Times New Roman" w:hAnsi="Times New Roman"/>
          <w:sz w:val="26"/>
          <w:szCs w:val="26"/>
        </w:rPr>
        <w:t xml:space="preserve">urrender of the control of the property to the respondent was certainly required (and in this respect I do not believe that another court will find differently that a basis existed </w:t>
      </w:r>
      <w:r w:rsidR="003101A1" w:rsidRPr="007529C4">
        <w:rPr>
          <w:rFonts w:ascii="Times New Roman" w:hAnsi="Times New Roman"/>
          <w:sz w:val="26"/>
          <w:szCs w:val="26"/>
        </w:rPr>
        <w:t xml:space="preserve">for the estate </w:t>
      </w:r>
      <w:r w:rsidR="00D77CB8" w:rsidRPr="007529C4">
        <w:rPr>
          <w:rFonts w:ascii="Times New Roman" w:hAnsi="Times New Roman"/>
          <w:sz w:val="26"/>
          <w:szCs w:val="26"/>
        </w:rPr>
        <w:t xml:space="preserve">to </w:t>
      </w:r>
      <w:r w:rsidR="003101A1" w:rsidRPr="007529C4">
        <w:rPr>
          <w:rFonts w:ascii="Times New Roman" w:hAnsi="Times New Roman"/>
          <w:sz w:val="26"/>
          <w:szCs w:val="26"/>
        </w:rPr>
        <w:t xml:space="preserve">have </w:t>
      </w:r>
      <w:r w:rsidR="00D77CB8" w:rsidRPr="007529C4">
        <w:rPr>
          <w:rFonts w:ascii="Times New Roman" w:hAnsi="Times New Roman"/>
          <w:sz w:val="26"/>
          <w:szCs w:val="26"/>
        </w:rPr>
        <w:t>yield</w:t>
      </w:r>
      <w:r w:rsidR="003101A1" w:rsidRPr="007529C4">
        <w:rPr>
          <w:rFonts w:ascii="Times New Roman" w:hAnsi="Times New Roman"/>
          <w:sz w:val="26"/>
          <w:szCs w:val="26"/>
        </w:rPr>
        <w:t>ed</w:t>
      </w:r>
      <w:r w:rsidR="00D77CB8" w:rsidRPr="007529C4">
        <w:rPr>
          <w:rFonts w:ascii="Times New Roman" w:hAnsi="Times New Roman"/>
          <w:sz w:val="26"/>
          <w:szCs w:val="26"/>
        </w:rPr>
        <w:t xml:space="preserve"> </w:t>
      </w:r>
      <w:r w:rsidR="003101A1" w:rsidRPr="007529C4">
        <w:rPr>
          <w:rFonts w:ascii="Times New Roman" w:hAnsi="Times New Roman"/>
          <w:sz w:val="26"/>
          <w:szCs w:val="26"/>
        </w:rPr>
        <w:t xml:space="preserve">possession of the property </w:t>
      </w:r>
      <w:r w:rsidR="00D77CB8" w:rsidRPr="007529C4">
        <w:rPr>
          <w:rFonts w:ascii="Times New Roman" w:hAnsi="Times New Roman"/>
          <w:sz w:val="26"/>
          <w:szCs w:val="26"/>
        </w:rPr>
        <w:t>to the respondents</w:t>
      </w:r>
      <w:r w:rsidR="003101A1" w:rsidRPr="007529C4">
        <w:rPr>
          <w:rFonts w:ascii="Times New Roman" w:hAnsi="Times New Roman"/>
          <w:sz w:val="26"/>
          <w:szCs w:val="26"/>
        </w:rPr>
        <w:t xml:space="preserve"> even against </w:t>
      </w:r>
      <w:r w:rsidR="003101A1" w:rsidRPr="007529C4">
        <w:rPr>
          <w:rFonts w:ascii="Times New Roman" w:hAnsi="Times New Roman"/>
          <w:sz w:val="26"/>
          <w:szCs w:val="26"/>
        </w:rPr>
        <w:lastRenderedPageBreak/>
        <w:t>their title</w:t>
      </w:r>
      <w:r w:rsidR="00D77CB8" w:rsidRPr="007529C4">
        <w:rPr>
          <w:rFonts w:ascii="Times New Roman" w:hAnsi="Times New Roman"/>
          <w:sz w:val="26"/>
          <w:szCs w:val="26"/>
        </w:rPr>
        <w:t>)</w:t>
      </w:r>
      <w:r w:rsidR="0033436E" w:rsidRPr="007529C4">
        <w:rPr>
          <w:rFonts w:ascii="Times New Roman" w:hAnsi="Times New Roman"/>
          <w:sz w:val="26"/>
          <w:szCs w:val="26"/>
        </w:rPr>
        <w:t xml:space="preserve"> on the premise that a valid and enforceable agreement existed that was not in the purview of the respondent’s statutory duties to simply ignore or forgo compliance with.</w:t>
      </w:r>
    </w:p>
    <w:p w14:paraId="1A18A527" w14:textId="77777777" w:rsidR="0033436E" w:rsidRDefault="0033436E" w:rsidP="00E1326E">
      <w:pPr>
        <w:pStyle w:val="ListParagraph"/>
        <w:spacing w:after="100" w:line="360" w:lineRule="auto"/>
        <w:ind w:left="0"/>
        <w:rPr>
          <w:rFonts w:ascii="Times New Roman" w:hAnsi="Times New Roman"/>
          <w:sz w:val="26"/>
          <w:szCs w:val="26"/>
        </w:rPr>
      </w:pPr>
    </w:p>
    <w:p w14:paraId="7F9ACDC3" w14:textId="0F924E06" w:rsidR="00437877"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[19]</w:t>
      </w:r>
      <w:r>
        <w:rPr>
          <w:rFonts w:ascii="Times New Roman" w:eastAsia="Calibri" w:hAnsi="Times New Roman" w:cs="Times New Roman"/>
          <w:sz w:val="26"/>
          <w:szCs w:val="26"/>
          <w:lang w:val="en-US"/>
        </w:rPr>
        <w:tab/>
      </w:r>
      <w:r w:rsidR="00D77CB8" w:rsidRPr="007529C4">
        <w:rPr>
          <w:rFonts w:ascii="Times New Roman" w:hAnsi="Times New Roman"/>
          <w:sz w:val="26"/>
          <w:szCs w:val="26"/>
        </w:rPr>
        <w:t xml:space="preserve">The order which I granted ultimately assumed a valid and binding sale agreement </w:t>
      </w:r>
      <w:r w:rsidR="00DE7833" w:rsidRPr="007529C4">
        <w:rPr>
          <w:rFonts w:ascii="Times New Roman" w:hAnsi="Times New Roman"/>
          <w:sz w:val="26"/>
          <w:szCs w:val="26"/>
        </w:rPr>
        <w:t xml:space="preserve">that had not been cancelled </w:t>
      </w:r>
      <w:r w:rsidR="00D77CB8" w:rsidRPr="007529C4">
        <w:rPr>
          <w:rFonts w:ascii="Times New Roman" w:hAnsi="Times New Roman"/>
          <w:sz w:val="26"/>
          <w:szCs w:val="26"/>
        </w:rPr>
        <w:t>that the respondent in her official capacity was entitled to enforce going forward</w:t>
      </w:r>
      <w:r w:rsidR="003101A1" w:rsidRPr="007529C4">
        <w:rPr>
          <w:rFonts w:ascii="Times New Roman" w:hAnsi="Times New Roman"/>
          <w:sz w:val="26"/>
          <w:szCs w:val="26"/>
        </w:rPr>
        <w:t>.  The applicants chose to</w:t>
      </w:r>
      <w:r w:rsidR="0007119F" w:rsidRPr="007529C4">
        <w:rPr>
          <w:rFonts w:ascii="Times New Roman" w:hAnsi="Times New Roman"/>
          <w:sz w:val="26"/>
          <w:szCs w:val="26"/>
        </w:rPr>
        <w:t xml:space="preserve"> prove their </w:t>
      </w:r>
      <w:r w:rsidR="003468D3" w:rsidRPr="007529C4">
        <w:rPr>
          <w:rFonts w:ascii="Times New Roman" w:hAnsi="Times New Roman"/>
          <w:sz w:val="26"/>
          <w:szCs w:val="26"/>
        </w:rPr>
        <w:t>“</w:t>
      </w:r>
      <w:r w:rsidR="0007119F" w:rsidRPr="007529C4">
        <w:rPr>
          <w:rFonts w:ascii="Times New Roman" w:hAnsi="Times New Roman"/>
          <w:sz w:val="26"/>
          <w:szCs w:val="26"/>
        </w:rPr>
        <w:t>claim</w:t>
      </w:r>
      <w:r w:rsidR="003468D3" w:rsidRPr="007529C4">
        <w:rPr>
          <w:rFonts w:ascii="Times New Roman" w:hAnsi="Times New Roman"/>
          <w:sz w:val="26"/>
          <w:szCs w:val="26"/>
        </w:rPr>
        <w:t>” (to cancellation)</w:t>
      </w:r>
      <w:r w:rsidR="0007119F" w:rsidRPr="007529C4">
        <w:rPr>
          <w:rFonts w:ascii="Times New Roman" w:hAnsi="Times New Roman"/>
          <w:sz w:val="26"/>
          <w:szCs w:val="26"/>
        </w:rPr>
        <w:t xml:space="preserve"> by opposing the relief sought in the interdict application</w:t>
      </w:r>
      <w:r w:rsidR="003468D3" w:rsidRPr="007529C4">
        <w:rPr>
          <w:rFonts w:ascii="Times New Roman" w:hAnsi="Times New Roman"/>
          <w:sz w:val="26"/>
          <w:szCs w:val="26"/>
        </w:rPr>
        <w:t xml:space="preserve"> on the limited assertions on which they relied</w:t>
      </w:r>
      <w:r w:rsidR="0007119F" w:rsidRPr="007529C4">
        <w:rPr>
          <w:rFonts w:ascii="Times New Roman" w:hAnsi="Times New Roman"/>
          <w:sz w:val="26"/>
          <w:szCs w:val="26"/>
        </w:rPr>
        <w:t>, rather than filing a counter application or asserting their right to first follow the administrative processes under the Act.</w:t>
      </w:r>
      <w:r w:rsidR="0033436E" w:rsidRPr="007529C4">
        <w:rPr>
          <w:rFonts w:ascii="Times New Roman" w:hAnsi="Times New Roman"/>
          <w:sz w:val="26"/>
          <w:szCs w:val="26"/>
        </w:rPr>
        <w:t xml:space="preserve"> That was their election</w:t>
      </w:r>
      <w:r w:rsidR="003468D3" w:rsidRPr="007529C4">
        <w:rPr>
          <w:rFonts w:ascii="Times New Roman" w:hAnsi="Times New Roman"/>
          <w:sz w:val="26"/>
          <w:szCs w:val="26"/>
        </w:rPr>
        <w:t>,</w:t>
      </w:r>
      <w:r w:rsidR="0033436E" w:rsidRPr="007529C4">
        <w:rPr>
          <w:rFonts w:ascii="Times New Roman" w:hAnsi="Times New Roman"/>
          <w:sz w:val="26"/>
          <w:szCs w:val="26"/>
        </w:rPr>
        <w:t xml:space="preserve"> though I doubt that the</w:t>
      </w:r>
      <w:r w:rsidR="008423DA" w:rsidRPr="007529C4">
        <w:rPr>
          <w:rFonts w:ascii="Times New Roman" w:hAnsi="Times New Roman"/>
          <w:sz w:val="26"/>
          <w:szCs w:val="26"/>
        </w:rPr>
        <w:t xml:space="preserve">y would be precluded from proving a claim in due course in the administration of the estate(s), in </w:t>
      </w:r>
      <w:r w:rsidR="003468D3" w:rsidRPr="007529C4">
        <w:rPr>
          <w:rFonts w:ascii="Times New Roman" w:hAnsi="Times New Roman"/>
          <w:sz w:val="26"/>
          <w:szCs w:val="26"/>
        </w:rPr>
        <w:t xml:space="preserve">the process perhaps </w:t>
      </w:r>
      <w:r w:rsidR="00DE7833" w:rsidRPr="007529C4">
        <w:rPr>
          <w:rFonts w:ascii="Times New Roman" w:hAnsi="Times New Roman"/>
          <w:sz w:val="26"/>
          <w:szCs w:val="26"/>
        </w:rPr>
        <w:t>having</w:t>
      </w:r>
      <w:r w:rsidR="008423DA" w:rsidRPr="007529C4">
        <w:rPr>
          <w:rFonts w:ascii="Times New Roman" w:hAnsi="Times New Roman"/>
          <w:sz w:val="26"/>
          <w:szCs w:val="26"/>
        </w:rPr>
        <w:t xml:space="preserve"> another bite at the cherry. </w:t>
      </w:r>
    </w:p>
    <w:p w14:paraId="09A99B4D" w14:textId="77777777" w:rsidR="008423DA" w:rsidRPr="008423DA" w:rsidRDefault="008423DA" w:rsidP="00E1326E">
      <w:pPr>
        <w:pStyle w:val="ListParagraph"/>
        <w:spacing w:after="100" w:line="360" w:lineRule="auto"/>
        <w:ind w:left="0"/>
        <w:rPr>
          <w:rFonts w:ascii="Times New Roman" w:hAnsi="Times New Roman"/>
          <w:sz w:val="26"/>
          <w:szCs w:val="26"/>
        </w:rPr>
      </w:pPr>
    </w:p>
    <w:p w14:paraId="14F5662D" w14:textId="2B4C7B49" w:rsidR="00F0101D" w:rsidRPr="007529C4" w:rsidRDefault="007529C4" w:rsidP="007529C4">
      <w:pPr>
        <w:rPr>
          <w:rFonts w:ascii="Times New Roman" w:hAnsi="Times New Roman"/>
          <w:sz w:val="26"/>
          <w:szCs w:val="26"/>
        </w:rPr>
      </w:pPr>
      <w:r w:rsidRPr="008423DA">
        <w:rPr>
          <w:rFonts w:ascii="Times New Roman" w:eastAsia="Calibri" w:hAnsi="Times New Roman" w:cs="Times New Roman"/>
          <w:sz w:val="26"/>
          <w:szCs w:val="26"/>
          <w:lang w:val="en-US"/>
        </w:rPr>
        <w:t>[20]</w:t>
      </w:r>
      <w:r w:rsidRPr="008423DA">
        <w:rPr>
          <w:rFonts w:ascii="Times New Roman" w:eastAsia="Calibri" w:hAnsi="Times New Roman" w:cs="Times New Roman"/>
          <w:sz w:val="26"/>
          <w:szCs w:val="26"/>
          <w:lang w:val="en-US"/>
        </w:rPr>
        <w:tab/>
      </w:r>
      <w:r w:rsidR="008423DA" w:rsidRPr="007529C4">
        <w:rPr>
          <w:rFonts w:ascii="Times New Roman" w:hAnsi="Times New Roman"/>
          <w:sz w:val="26"/>
          <w:szCs w:val="26"/>
        </w:rPr>
        <w:t>Having made that concession I expect that</w:t>
      </w:r>
      <w:r w:rsidR="00437877" w:rsidRPr="007529C4">
        <w:rPr>
          <w:rFonts w:ascii="Times New Roman" w:hAnsi="Times New Roman"/>
          <w:sz w:val="26"/>
          <w:szCs w:val="26"/>
        </w:rPr>
        <w:t xml:space="preserve"> another court might find</w:t>
      </w:r>
      <w:r w:rsidR="005B7EE7" w:rsidRPr="007529C4">
        <w:rPr>
          <w:rFonts w:ascii="Times New Roman" w:hAnsi="Times New Roman"/>
          <w:sz w:val="26"/>
          <w:szCs w:val="26"/>
        </w:rPr>
        <w:t xml:space="preserve"> that</w:t>
      </w:r>
      <w:r w:rsidR="00B62771" w:rsidRPr="007529C4">
        <w:rPr>
          <w:rFonts w:ascii="Times New Roman" w:hAnsi="Times New Roman"/>
          <w:sz w:val="26"/>
          <w:szCs w:val="26"/>
        </w:rPr>
        <w:t xml:space="preserve"> it was premature to have made </w:t>
      </w:r>
      <w:r w:rsidR="008423DA" w:rsidRPr="007529C4">
        <w:rPr>
          <w:rFonts w:ascii="Times New Roman" w:hAnsi="Times New Roman"/>
          <w:sz w:val="26"/>
          <w:szCs w:val="26"/>
        </w:rPr>
        <w:t xml:space="preserve">the </w:t>
      </w:r>
      <w:r w:rsidR="00B62771" w:rsidRPr="007529C4">
        <w:rPr>
          <w:rFonts w:ascii="Times New Roman" w:hAnsi="Times New Roman"/>
          <w:sz w:val="26"/>
          <w:szCs w:val="26"/>
        </w:rPr>
        <w:t xml:space="preserve">order </w:t>
      </w:r>
      <w:r w:rsidR="008423DA" w:rsidRPr="007529C4">
        <w:rPr>
          <w:rFonts w:ascii="Times New Roman" w:hAnsi="Times New Roman"/>
          <w:sz w:val="26"/>
          <w:szCs w:val="26"/>
        </w:rPr>
        <w:t xml:space="preserve">which I did </w:t>
      </w:r>
      <w:r w:rsidR="00B62771" w:rsidRPr="007529C4">
        <w:rPr>
          <w:rFonts w:ascii="Times New Roman" w:hAnsi="Times New Roman"/>
          <w:sz w:val="26"/>
          <w:szCs w:val="26"/>
        </w:rPr>
        <w:t>before the antecedent steps necessary to get to that point had unfurled or ha</w:t>
      </w:r>
      <w:r w:rsidR="005B7EE7" w:rsidRPr="007529C4">
        <w:rPr>
          <w:rFonts w:ascii="Times New Roman" w:hAnsi="Times New Roman"/>
          <w:sz w:val="26"/>
          <w:szCs w:val="26"/>
        </w:rPr>
        <w:t>d</w:t>
      </w:r>
      <w:r w:rsidR="00B62771" w:rsidRPr="007529C4">
        <w:rPr>
          <w:rFonts w:ascii="Times New Roman" w:hAnsi="Times New Roman"/>
          <w:sz w:val="26"/>
          <w:szCs w:val="26"/>
        </w:rPr>
        <w:t xml:space="preserve"> been</w:t>
      </w:r>
      <w:r w:rsidR="00437877" w:rsidRPr="007529C4">
        <w:rPr>
          <w:rFonts w:ascii="Times New Roman" w:hAnsi="Times New Roman"/>
          <w:sz w:val="26"/>
          <w:szCs w:val="26"/>
        </w:rPr>
        <w:t xml:space="preserve"> </w:t>
      </w:r>
      <w:r w:rsidR="002B6C72" w:rsidRPr="007529C4">
        <w:rPr>
          <w:rFonts w:ascii="Times New Roman" w:hAnsi="Times New Roman"/>
          <w:sz w:val="26"/>
          <w:szCs w:val="26"/>
        </w:rPr>
        <w:t>allowed to unfurl</w:t>
      </w:r>
      <w:r w:rsidR="008423DA" w:rsidRPr="007529C4">
        <w:rPr>
          <w:rFonts w:ascii="Times New Roman" w:hAnsi="Times New Roman"/>
          <w:sz w:val="26"/>
          <w:szCs w:val="26"/>
        </w:rPr>
        <w:t xml:space="preserve"> under the mantle of the Act</w:t>
      </w:r>
      <w:r w:rsidR="002B6C72" w:rsidRPr="007529C4">
        <w:rPr>
          <w:rFonts w:ascii="Times New Roman" w:hAnsi="Times New Roman"/>
          <w:sz w:val="26"/>
          <w:szCs w:val="26"/>
        </w:rPr>
        <w:t xml:space="preserve">.  </w:t>
      </w:r>
      <w:r w:rsidR="008423DA" w:rsidRPr="007529C4">
        <w:rPr>
          <w:rFonts w:ascii="Times New Roman" w:hAnsi="Times New Roman"/>
          <w:sz w:val="26"/>
          <w:szCs w:val="26"/>
        </w:rPr>
        <w:t xml:space="preserve">It is a process and </w:t>
      </w:r>
      <w:r w:rsidR="00E21E6C" w:rsidRPr="007529C4">
        <w:rPr>
          <w:rFonts w:ascii="Times New Roman" w:hAnsi="Times New Roman"/>
          <w:sz w:val="26"/>
          <w:szCs w:val="26"/>
        </w:rPr>
        <w:t>the circumstances under which transfer ultimately happens (if it does) follows the Master’s approval of the liquidation and distribution account</w:t>
      </w:r>
      <w:r w:rsidR="00DE7833" w:rsidRPr="007529C4">
        <w:rPr>
          <w:rFonts w:ascii="Times New Roman" w:hAnsi="Times New Roman"/>
          <w:sz w:val="26"/>
          <w:szCs w:val="26"/>
        </w:rPr>
        <w:t xml:space="preserve"> and specific directions resolved upon</w:t>
      </w:r>
      <w:r w:rsidR="00E21E6C" w:rsidRPr="007529C4">
        <w:rPr>
          <w:rFonts w:ascii="Times New Roman" w:hAnsi="Times New Roman"/>
          <w:sz w:val="26"/>
          <w:szCs w:val="26"/>
        </w:rPr>
        <w:t>.</w:t>
      </w:r>
      <w:r w:rsidR="003468D3" w:rsidRPr="007529C4">
        <w:rPr>
          <w:rFonts w:ascii="Times New Roman" w:hAnsi="Times New Roman"/>
          <w:sz w:val="26"/>
          <w:szCs w:val="26"/>
        </w:rPr>
        <w:t xml:space="preserve">  The transfer itself would have followed as a final act and would then of necessity require the applicants to sign off on the Power of Attorney to pass transfer unless they succeed in the </w:t>
      </w:r>
      <w:proofErr w:type="spellStart"/>
      <w:r w:rsidR="003468D3" w:rsidRPr="007529C4">
        <w:rPr>
          <w:rFonts w:ascii="Times New Roman" w:hAnsi="Times New Roman"/>
          <w:sz w:val="26"/>
          <w:szCs w:val="26"/>
        </w:rPr>
        <w:t>endeavours</w:t>
      </w:r>
      <w:proofErr w:type="spellEnd"/>
      <w:r w:rsidR="003468D3" w:rsidRPr="007529C4">
        <w:rPr>
          <w:rFonts w:ascii="Times New Roman" w:hAnsi="Times New Roman"/>
          <w:sz w:val="26"/>
          <w:szCs w:val="26"/>
        </w:rPr>
        <w:t xml:space="preserve"> to have the sale agreement declared cancelled.  </w:t>
      </w:r>
    </w:p>
    <w:p w14:paraId="0DD76879" w14:textId="77777777" w:rsidR="00F0101D" w:rsidRPr="00F0101D" w:rsidRDefault="00F0101D" w:rsidP="00E1326E">
      <w:pPr>
        <w:pStyle w:val="ListParagraph"/>
        <w:spacing w:after="100" w:line="360" w:lineRule="auto"/>
        <w:rPr>
          <w:rFonts w:ascii="Times New Roman" w:hAnsi="Times New Roman"/>
          <w:sz w:val="26"/>
          <w:szCs w:val="26"/>
        </w:rPr>
      </w:pPr>
    </w:p>
    <w:p w14:paraId="2BFD1246" w14:textId="13A84E22" w:rsidR="0007119F" w:rsidRPr="007529C4" w:rsidRDefault="007529C4" w:rsidP="007529C4">
      <w:pPr>
        <w:rPr>
          <w:rFonts w:ascii="Times New Roman" w:hAnsi="Times New Roman"/>
          <w:sz w:val="26"/>
          <w:szCs w:val="26"/>
        </w:rPr>
      </w:pPr>
      <w:r w:rsidRPr="00DE7833">
        <w:rPr>
          <w:rFonts w:ascii="Times New Roman" w:eastAsia="Calibri" w:hAnsi="Times New Roman" w:cs="Times New Roman"/>
          <w:sz w:val="26"/>
          <w:szCs w:val="26"/>
          <w:lang w:val="en-US"/>
        </w:rPr>
        <w:t>[21]</w:t>
      </w:r>
      <w:r w:rsidRPr="00DE7833">
        <w:rPr>
          <w:rFonts w:ascii="Times New Roman" w:eastAsia="Calibri" w:hAnsi="Times New Roman" w:cs="Times New Roman"/>
          <w:sz w:val="26"/>
          <w:szCs w:val="26"/>
          <w:lang w:val="en-US"/>
        </w:rPr>
        <w:tab/>
      </w:r>
      <w:r w:rsidR="0007119F" w:rsidRPr="007529C4">
        <w:rPr>
          <w:rFonts w:ascii="Times New Roman" w:hAnsi="Times New Roman"/>
          <w:sz w:val="26"/>
          <w:szCs w:val="26"/>
        </w:rPr>
        <w:t xml:space="preserve">The supposed objection raised at that hearing that the respondent had no </w:t>
      </w:r>
      <w:r w:rsidR="0007119F" w:rsidRPr="007529C4">
        <w:rPr>
          <w:rFonts w:ascii="Times New Roman" w:hAnsi="Times New Roman"/>
          <w:i/>
          <w:iCs/>
          <w:sz w:val="26"/>
          <w:szCs w:val="26"/>
        </w:rPr>
        <w:t xml:space="preserve">locus </w:t>
      </w:r>
      <w:proofErr w:type="spellStart"/>
      <w:r w:rsidR="0007119F" w:rsidRPr="007529C4">
        <w:rPr>
          <w:rFonts w:ascii="Times New Roman" w:hAnsi="Times New Roman"/>
          <w:i/>
          <w:iCs/>
          <w:sz w:val="26"/>
          <w:szCs w:val="26"/>
        </w:rPr>
        <w:t>standi</w:t>
      </w:r>
      <w:proofErr w:type="spellEnd"/>
      <w:r w:rsidR="0007119F" w:rsidRPr="007529C4">
        <w:rPr>
          <w:rFonts w:ascii="Times New Roman" w:hAnsi="Times New Roman"/>
          <w:sz w:val="26"/>
          <w:szCs w:val="26"/>
        </w:rPr>
        <w:t xml:space="preserve"> to bring the application in her personal capacity was self-evidently premised on a mistake made plain in the papers. </w:t>
      </w:r>
      <w:r w:rsidR="002C5CC8" w:rsidRPr="007529C4">
        <w:rPr>
          <w:rFonts w:ascii="Times New Roman" w:hAnsi="Times New Roman"/>
          <w:sz w:val="26"/>
          <w:szCs w:val="26"/>
        </w:rPr>
        <w:t xml:space="preserve"> Despite how prayer 1 of the notice of motion read</w:t>
      </w:r>
      <w:r w:rsidR="00DE7833" w:rsidRPr="007529C4">
        <w:rPr>
          <w:rFonts w:ascii="Times New Roman" w:hAnsi="Times New Roman"/>
          <w:sz w:val="26"/>
          <w:szCs w:val="26"/>
        </w:rPr>
        <w:t xml:space="preserve">, </w:t>
      </w:r>
      <w:r w:rsidR="00DE7833" w:rsidRPr="007529C4">
        <w:rPr>
          <w:rFonts w:ascii="Times New Roman" w:hAnsi="Times New Roman"/>
          <w:sz w:val="26"/>
          <w:szCs w:val="26"/>
        </w:rPr>
        <w:lastRenderedPageBreak/>
        <w:t>it was clear that t</w:t>
      </w:r>
      <w:r w:rsidR="00E1326E" w:rsidRPr="007529C4">
        <w:rPr>
          <w:rFonts w:ascii="Times New Roman" w:hAnsi="Times New Roman"/>
          <w:sz w:val="26"/>
          <w:szCs w:val="26"/>
        </w:rPr>
        <w:t>he</w:t>
      </w:r>
      <w:r w:rsidR="002C5CC8" w:rsidRPr="007529C4">
        <w:rPr>
          <w:rFonts w:ascii="Times New Roman" w:hAnsi="Times New Roman"/>
          <w:sz w:val="26"/>
          <w:szCs w:val="26"/>
        </w:rPr>
        <w:t xml:space="preserve"> respondent asked </w:t>
      </w:r>
      <w:r w:rsidR="0007119F" w:rsidRPr="007529C4">
        <w:rPr>
          <w:rFonts w:ascii="Times New Roman" w:hAnsi="Times New Roman"/>
          <w:sz w:val="26"/>
          <w:szCs w:val="26"/>
        </w:rPr>
        <w:t>for the relief</w:t>
      </w:r>
      <w:r w:rsidR="00DE7833" w:rsidRPr="007529C4">
        <w:rPr>
          <w:rFonts w:ascii="Times New Roman" w:hAnsi="Times New Roman"/>
          <w:sz w:val="26"/>
          <w:szCs w:val="26"/>
        </w:rPr>
        <w:t xml:space="preserve"> which she did</w:t>
      </w:r>
      <w:r w:rsidR="0007119F" w:rsidRPr="007529C4">
        <w:rPr>
          <w:rFonts w:ascii="Times New Roman" w:hAnsi="Times New Roman"/>
          <w:sz w:val="26"/>
          <w:szCs w:val="26"/>
        </w:rPr>
        <w:t xml:space="preserve"> in her official capacity and not for the property to be transferred to her as a final resort in her </w:t>
      </w:r>
      <w:r w:rsidR="00DE7833" w:rsidRPr="007529C4">
        <w:rPr>
          <w:rFonts w:ascii="Times New Roman" w:hAnsi="Times New Roman"/>
          <w:sz w:val="26"/>
          <w:szCs w:val="26"/>
        </w:rPr>
        <w:t xml:space="preserve">personal </w:t>
      </w:r>
      <w:r w:rsidR="0007119F" w:rsidRPr="007529C4">
        <w:rPr>
          <w:rFonts w:ascii="Times New Roman" w:hAnsi="Times New Roman"/>
          <w:sz w:val="26"/>
          <w:szCs w:val="26"/>
        </w:rPr>
        <w:t>capacity as</w:t>
      </w:r>
      <w:r w:rsidR="00DE7833" w:rsidRPr="007529C4">
        <w:rPr>
          <w:rFonts w:ascii="Times New Roman" w:hAnsi="Times New Roman"/>
          <w:sz w:val="26"/>
          <w:szCs w:val="26"/>
        </w:rPr>
        <w:t xml:space="preserve"> heir</w:t>
      </w:r>
      <w:r w:rsidR="0007119F" w:rsidRPr="007529C4">
        <w:rPr>
          <w:rFonts w:ascii="Times New Roman" w:hAnsi="Times New Roman"/>
          <w:sz w:val="26"/>
          <w:szCs w:val="26"/>
        </w:rPr>
        <w:t xml:space="preserve">. </w:t>
      </w:r>
      <w:r w:rsidR="00DE7833" w:rsidRPr="007529C4">
        <w:rPr>
          <w:rFonts w:ascii="Times New Roman" w:hAnsi="Times New Roman"/>
          <w:sz w:val="26"/>
          <w:szCs w:val="26"/>
        </w:rPr>
        <w:t xml:space="preserve"> </w:t>
      </w:r>
      <w:r w:rsidR="0007119F" w:rsidRPr="007529C4">
        <w:rPr>
          <w:rFonts w:ascii="Times New Roman" w:hAnsi="Times New Roman"/>
          <w:sz w:val="26"/>
          <w:szCs w:val="26"/>
        </w:rPr>
        <w:t>I can think of no reason why the obvious mistake in the notice of motion did not warrant a correction from the bar when the matter was argued before me</w:t>
      </w:r>
      <w:r w:rsidR="00E21E6C" w:rsidRPr="007529C4">
        <w:rPr>
          <w:rFonts w:ascii="Times New Roman" w:hAnsi="Times New Roman"/>
          <w:sz w:val="26"/>
          <w:szCs w:val="26"/>
        </w:rPr>
        <w:t>, but as indicated in the preceding paragraph this relief (mandating the signing off on the transfer) may have been prematurely granted.</w:t>
      </w:r>
    </w:p>
    <w:p w14:paraId="7BF31098" w14:textId="77777777" w:rsidR="00F055CB" w:rsidRPr="00F055CB" w:rsidRDefault="00F055CB" w:rsidP="00E1326E">
      <w:pPr>
        <w:pStyle w:val="ListParagraph"/>
        <w:spacing w:after="100" w:line="360" w:lineRule="auto"/>
        <w:rPr>
          <w:rFonts w:ascii="Times New Roman" w:hAnsi="Times New Roman"/>
          <w:sz w:val="26"/>
          <w:szCs w:val="26"/>
        </w:rPr>
      </w:pPr>
    </w:p>
    <w:p w14:paraId="74DEFF90" w14:textId="7E90EC91" w:rsidR="00621915"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[22]</w:t>
      </w:r>
      <w:r>
        <w:rPr>
          <w:rFonts w:ascii="Times New Roman" w:eastAsia="Calibri" w:hAnsi="Times New Roman" w:cs="Times New Roman"/>
          <w:sz w:val="26"/>
          <w:szCs w:val="26"/>
          <w:lang w:val="en-US"/>
        </w:rPr>
        <w:tab/>
      </w:r>
      <w:r w:rsidR="009B7C85" w:rsidRPr="007529C4">
        <w:rPr>
          <w:rFonts w:ascii="Times New Roman" w:hAnsi="Times New Roman"/>
          <w:sz w:val="26"/>
          <w:szCs w:val="26"/>
        </w:rPr>
        <w:t>Still t</w:t>
      </w:r>
      <w:r w:rsidR="00F055CB" w:rsidRPr="007529C4">
        <w:rPr>
          <w:rFonts w:ascii="Times New Roman" w:hAnsi="Times New Roman"/>
          <w:sz w:val="26"/>
          <w:szCs w:val="26"/>
        </w:rPr>
        <w:t>he executrix would have been expected and statutorily obliged to take the steps she took at the outset</w:t>
      </w:r>
      <w:r w:rsidR="00E21E6C" w:rsidRPr="007529C4">
        <w:rPr>
          <w:rFonts w:ascii="Times New Roman" w:hAnsi="Times New Roman"/>
          <w:sz w:val="26"/>
          <w:szCs w:val="26"/>
        </w:rPr>
        <w:t xml:space="preserve"> to reduce the estate into her possession as a start and </w:t>
      </w:r>
      <w:r w:rsidR="004F31FE" w:rsidRPr="007529C4">
        <w:rPr>
          <w:rFonts w:ascii="Times New Roman" w:hAnsi="Times New Roman"/>
          <w:sz w:val="26"/>
          <w:szCs w:val="26"/>
        </w:rPr>
        <w:t>ultimately to take the formal steps necessary to</w:t>
      </w:r>
      <w:r w:rsidR="002C5CC8" w:rsidRPr="007529C4">
        <w:rPr>
          <w:rFonts w:ascii="Times New Roman" w:hAnsi="Times New Roman"/>
          <w:sz w:val="26"/>
          <w:szCs w:val="26"/>
        </w:rPr>
        <w:t xml:space="preserve"> galvanize the process along.  Perhaps that is the relief I should have granted with a direction that the applicants prove their claim to cancellation in the ordinary course, failing which</w:t>
      </w:r>
      <w:r w:rsidR="00DE7833" w:rsidRPr="007529C4">
        <w:rPr>
          <w:rFonts w:ascii="Times New Roman" w:hAnsi="Times New Roman"/>
          <w:sz w:val="26"/>
          <w:szCs w:val="26"/>
        </w:rPr>
        <w:t xml:space="preserve"> that</w:t>
      </w:r>
      <w:r w:rsidR="002C5CC8" w:rsidRPr="007529C4">
        <w:rPr>
          <w:rFonts w:ascii="Times New Roman" w:hAnsi="Times New Roman"/>
          <w:sz w:val="26"/>
          <w:szCs w:val="26"/>
        </w:rPr>
        <w:t xml:space="preserve"> they be prevailed upon </w:t>
      </w:r>
      <w:r w:rsidR="00DE7833" w:rsidRPr="007529C4">
        <w:rPr>
          <w:rFonts w:ascii="Times New Roman" w:hAnsi="Times New Roman"/>
          <w:sz w:val="26"/>
          <w:szCs w:val="26"/>
        </w:rPr>
        <w:t xml:space="preserve">at that juncture </w:t>
      </w:r>
      <w:r w:rsidR="002C5CC8" w:rsidRPr="007529C4">
        <w:rPr>
          <w:rFonts w:ascii="Times New Roman" w:hAnsi="Times New Roman"/>
          <w:sz w:val="26"/>
          <w:szCs w:val="26"/>
        </w:rPr>
        <w:t>to sign off on the</w:t>
      </w:r>
      <w:r w:rsidR="00DE7833" w:rsidRPr="007529C4">
        <w:rPr>
          <w:rFonts w:ascii="Times New Roman" w:hAnsi="Times New Roman"/>
          <w:sz w:val="26"/>
          <w:szCs w:val="26"/>
        </w:rPr>
        <w:t xml:space="preserve"> necessary</w:t>
      </w:r>
      <w:r w:rsidR="002C5CC8" w:rsidRPr="007529C4">
        <w:rPr>
          <w:rFonts w:ascii="Times New Roman" w:hAnsi="Times New Roman"/>
          <w:sz w:val="26"/>
          <w:szCs w:val="26"/>
        </w:rPr>
        <w:t xml:space="preserve"> transfer</w:t>
      </w:r>
      <w:r w:rsidR="00DE7833" w:rsidRPr="007529C4">
        <w:rPr>
          <w:rFonts w:ascii="Times New Roman" w:hAnsi="Times New Roman"/>
          <w:sz w:val="26"/>
          <w:szCs w:val="26"/>
        </w:rPr>
        <w:t xml:space="preserve"> documentation.</w:t>
      </w:r>
    </w:p>
    <w:p w14:paraId="2E5FE8BA" w14:textId="77777777" w:rsidR="004F31FE" w:rsidRPr="004F31FE" w:rsidRDefault="004F31FE" w:rsidP="00E1326E">
      <w:pPr>
        <w:pStyle w:val="ListParagraph"/>
        <w:spacing w:after="100" w:line="360" w:lineRule="auto"/>
        <w:ind w:left="0"/>
        <w:rPr>
          <w:rFonts w:ascii="Times New Roman" w:hAnsi="Times New Roman"/>
          <w:sz w:val="26"/>
          <w:szCs w:val="26"/>
        </w:rPr>
      </w:pPr>
    </w:p>
    <w:p w14:paraId="7D139F9B" w14:textId="0F59B3BC" w:rsidR="00621915"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[23]</w:t>
      </w:r>
      <w:r>
        <w:rPr>
          <w:rFonts w:ascii="Times New Roman" w:eastAsia="Calibri" w:hAnsi="Times New Roman" w:cs="Times New Roman"/>
          <w:sz w:val="26"/>
          <w:szCs w:val="26"/>
          <w:lang w:val="en-US"/>
        </w:rPr>
        <w:tab/>
      </w:r>
      <w:r w:rsidR="00621915" w:rsidRPr="007529C4">
        <w:rPr>
          <w:rFonts w:ascii="Times New Roman" w:hAnsi="Times New Roman"/>
          <w:sz w:val="26"/>
          <w:szCs w:val="26"/>
        </w:rPr>
        <w:t>Whilst I maintain that there is no prospect</w:t>
      </w:r>
      <w:r w:rsidR="00E1326E" w:rsidRPr="007529C4">
        <w:rPr>
          <w:rFonts w:ascii="Times New Roman" w:hAnsi="Times New Roman"/>
          <w:sz w:val="26"/>
          <w:szCs w:val="26"/>
        </w:rPr>
        <w:t xml:space="preserve"> of another court determining</w:t>
      </w:r>
      <w:r w:rsidR="00621915" w:rsidRPr="007529C4">
        <w:rPr>
          <w:rFonts w:ascii="Times New Roman" w:hAnsi="Times New Roman"/>
          <w:sz w:val="26"/>
          <w:szCs w:val="26"/>
        </w:rPr>
        <w:t xml:space="preserve"> that I erred in finding that the agreement</w:t>
      </w:r>
      <w:r w:rsidR="00E1326E" w:rsidRPr="007529C4">
        <w:rPr>
          <w:rFonts w:ascii="Times New Roman" w:hAnsi="Times New Roman"/>
          <w:sz w:val="26"/>
          <w:szCs w:val="26"/>
        </w:rPr>
        <w:t xml:space="preserve"> of sale</w:t>
      </w:r>
      <w:r w:rsidR="00621915" w:rsidRPr="007529C4">
        <w:rPr>
          <w:rFonts w:ascii="Times New Roman" w:hAnsi="Times New Roman"/>
          <w:sz w:val="26"/>
          <w:szCs w:val="26"/>
        </w:rPr>
        <w:t xml:space="preserve"> was and continues to remain valid and enforceable</w:t>
      </w:r>
      <w:r w:rsidR="004F31FE" w:rsidRPr="007529C4">
        <w:rPr>
          <w:rFonts w:ascii="Times New Roman" w:hAnsi="Times New Roman"/>
          <w:sz w:val="26"/>
          <w:szCs w:val="26"/>
        </w:rPr>
        <w:t xml:space="preserve"> at least as a premise </w:t>
      </w:r>
      <w:r w:rsidR="00E1326E" w:rsidRPr="007529C4">
        <w:rPr>
          <w:rFonts w:ascii="Times New Roman" w:hAnsi="Times New Roman"/>
          <w:sz w:val="26"/>
          <w:szCs w:val="26"/>
        </w:rPr>
        <w:t xml:space="preserve">for the respondent </w:t>
      </w:r>
      <w:r w:rsidR="004F31FE" w:rsidRPr="007529C4">
        <w:rPr>
          <w:rFonts w:ascii="Times New Roman" w:hAnsi="Times New Roman"/>
          <w:sz w:val="26"/>
          <w:szCs w:val="26"/>
        </w:rPr>
        <w:t>to have taken the property into her custody</w:t>
      </w:r>
      <w:r w:rsidR="00621915" w:rsidRPr="007529C4">
        <w:rPr>
          <w:rFonts w:ascii="Times New Roman" w:hAnsi="Times New Roman"/>
          <w:sz w:val="26"/>
          <w:szCs w:val="26"/>
        </w:rPr>
        <w:t xml:space="preserve">, I am yet of the view that another court may find that the </w:t>
      </w:r>
      <w:r w:rsidR="004F31FE" w:rsidRPr="007529C4">
        <w:rPr>
          <w:rFonts w:ascii="Times New Roman" w:hAnsi="Times New Roman"/>
          <w:sz w:val="26"/>
          <w:szCs w:val="26"/>
        </w:rPr>
        <w:t>order</w:t>
      </w:r>
      <w:r w:rsidR="00621915" w:rsidRPr="007529C4">
        <w:rPr>
          <w:rFonts w:ascii="Times New Roman" w:hAnsi="Times New Roman"/>
          <w:sz w:val="26"/>
          <w:szCs w:val="26"/>
        </w:rPr>
        <w:t xml:space="preserve"> granted by me</w:t>
      </w:r>
      <w:r w:rsidR="004F31FE" w:rsidRPr="007529C4">
        <w:rPr>
          <w:rFonts w:ascii="Times New Roman" w:hAnsi="Times New Roman"/>
          <w:sz w:val="26"/>
          <w:szCs w:val="26"/>
        </w:rPr>
        <w:t>, though seemingly inevitable, was</w:t>
      </w:r>
      <w:r w:rsidR="00621915" w:rsidRPr="007529C4">
        <w:rPr>
          <w:rFonts w:ascii="Times New Roman" w:hAnsi="Times New Roman"/>
          <w:sz w:val="26"/>
          <w:szCs w:val="26"/>
        </w:rPr>
        <w:t xml:space="preserve"> not competent </w:t>
      </w:r>
      <w:r w:rsidR="004F31FE" w:rsidRPr="007529C4">
        <w:rPr>
          <w:rFonts w:ascii="Times New Roman" w:hAnsi="Times New Roman"/>
          <w:sz w:val="26"/>
          <w:szCs w:val="26"/>
        </w:rPr>
        <w:t xml:space="preserve">to be made </w:t>
      </w:r>
      <w:r w:rsidR="00621915" w:rsidRPr="007529C4">
        <w:rPr>
          <w:rFonts w:ascii="Times New Roman" w:hAnsi="Times New Roman"/>
          <w:sz w:val="26"/>
          <w:szCs w:val="26"/>
        </w:rPr>
        <w:t>at th</w:t>
      </w:r>
      <w:r w:rsidR="009B7C85" w:rsidRPr="007529C4">
        <w:rPr>
          <w:rFonts w:ascii="Times New Roman" w:hAnsi="Times New Roman"/>
          <w:sz w:val="26"/>
          <w:szCs w:val="26"/>
        </w:rPr>
        <w:t>at juncture</w:t>
      </w:r>
      <w:r w:rsidR="00DE7833" w:rsidRPr="007529C4">
        <w:rPr>
          <w:rFonts w:ascii="Times New Roman" w:hAnsi="Times New Roman"/>
          <w:sz w:val="26"/>
          <w:szCs w:val="26"/>
        </w:rPr>
        <w:t xml:space="preserve"> and that it would be appropriate to grant the applicants’ leave to appeal in this respect.</w:t>
      </w:r>
    </w:p>
    <w:p w14:paraId="437CC33E" w14:textId="77777777" w:rsidR="00621915" w:rsidRPr="00621915" w:rsidRDefault="00621915" w:rsidP="00E1326E">
      <w:pPr>
        <w:pStyle w:val="ListParagraph"/>
        <w:spacing w:after="100" w:line="360" w:lineRule="auto"/>
        <w:rPr>
          <w:rFonts w:ascii="Times New Roman" w:hAnsi="Times New Roman"/>
          <w:sz w:val="26"/>
          <w:szCs w:val="26"/>
        </w:rPr>
      </w:pPr>
    </w:p>
    <w:p w14:paraId="77E2E319" w14:textId="4CEB8352" w:rsidR="00E2340D"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t>[24]</w:t>
      </w:r>
      <w:r>
        <w:rPr>
          <w:rFonts w:ascii="Times New Roman" w:eastAsia="Calibri" w:hAnsi="Times New Roman" w:cs="Times New Roman"/>
          <w:sz w:val="26"/>
          <w:szCs w:val="26"/>
          <w:lang w:val="en-US"/>
        </w:rPr>
        <w:tab/>
      </w:r>
      <w:r w:rsidR="00621915" w:rsidRPr="007529C4">
        <w:rPr>
          <w:rFonts w:ascii="Times New Roman" w:hAnsi="Times New Roman"/>
          <w:sz w:val="26"/>
          <w:szCs w:val="26"/>
        </w:rPr>
        <w:t xml:space="preserve">Since we are here dealing with the </w:t>
      </w:r>
      <w:r w:rsidR="00E2340D" w:rsidRPr="007529C4">
        <w:rPr>
          <w:rFonts w:ascii="Times New Roman" w:hAnsi="Times New Roman"/>
          <w:sz w:val="26"/>
          <w:szCs w:val="26"/>
        </w:rPr>
        <w:t xml:space="preserve">administration of </w:t>
      </w:r>
      <w:r w:rsidR="009B7C85" w:rsidRPr="007529C4">
        <w:rPr>
          <w:rFonts w:ascii="Times New Roman" w:hAnsi="Times New Roman"/>
          <w:sz w:val="26"/>
          <w:szCs w:val="26"/>
        </w:rPr>
        <w:t>two consecutive deceased</w:t>
      </w:r>
      <w:r w:rsidR="00E2340D" w:rsidRPr="007529C4">
        <w:rPr>
          <w:rFonts w:ascii="Times New Roman" w:hAnsi="Times New Roman"/>
          <w:sz w:val="26"/>
          <w:szCs w:val="26"/>
        </w:rPr>
        <w:t xml:space="preserve"> estate</w:t>
      </w:r>
      <w:r w:rsidR="009B7C85" w:rsidRPr="007529C4">
        <w:rPr>
          <w:rFonts w:ascii="Times New Roman" w:hAnsi="Times New Roman"/>
          <w:sz w:val="26"/>
          <w:szCs w:val="26"/>
        </w:rPr>
        <w:t>s</w:t>
      </w:r>
      <w:r w:rsidR="00E2340D" w:rsidRPr="007529C4">
        <w:rPr>
          <w:rFonts w:ascii="Times New Roman" w:hAnsi="Times New Roman"/>
          <w:sz w:val="26"/>
          <w:szCs w:val="26"/>
        </w:rPr>
        <w:t xml:space="preserve">, I would </w:t>
      </w:r>
      <w:r w:rsidR="002C5CC8" w:rsidRPr="007529C4">
        <w:rPr>
          <w:rFonts w:ascii="Times New Roman" w:hAnsi="Times New Roman"/>
          <w:sz w:val="26"/>
          <w:szCs w:val="26"/>
        </w:rPr>
        <w:t xml:space="preserve">however </w:t>
      </w:r>
      <w:r w:rsidR="00E2340D" w:rsidRPr="007529C4">
        <w:rPr>
          <w:rFonts w:ascii="Times New Roman" w:hAnsi="Times New Roman"/>
          <w:sz w:val="26"/>
          <w:szCs w:val="26"/>
        </w:rPr>
        <w:t>urge</w:t>
      </w:r>
      <w:r w:rsidR="00DE7833" w:rsidRPr="007529C4">
        <w:rPr>
          <w:rFonts w:ascii="Times New Roman" w:hAnsi="Times New Roman"/>
          <w:sz w:val="26"/>
          <w:szCs w:val="26"/>
        </w:rPr>
        <w:t xml:space="preserve"> upon</w:t>
      </w:r>
      <w:r w:rsidR="00E2340D" w:rsidRPr="007529C4">
        <w:rPr>
          <w:rFonts w:ascii="Times New Roman" w:hAnsi="Times New Roman"/>
          <w:sz w:val="26"/>
          <w:szCs w:val="26"/>
        </w:rPr>
        <w:t xml:space="preserve"> the parties to try and resolve the matter within the machinery of the Act rather than in purs</w:t>
      </w:r>
      <w:r w:rsidR="004F31FE" w:rsidRPr="007529C4">
        <w:rPr>
          <w:rFonts w:ascii="Times New Roman" w:hAnsi="Times New Roman"/>
          <w:sz w:val="26"/>
          <w:szCs w:val="26"/>
        </w:rPr>
        <w:t>uit</w:t>
      </w:r>
      <w:r w:rsidR="00E2340D" w:rsidRPr="007529C4">
        <w:rPr>
          <w:rFonts w:ascii="Times New Roman" w:hAnsi="Times New Roman"/>
          <w:sz w:val="26"/>
          <w:szCs w:val="26"/>
        </w:rPr>
        <w:t xml:space="preserve"> of the anticipated appeal that will at the end of the day </w:t>
      </w:r>
      <w:r w:rsidR="002C5CC8" w:rsidRPr="007529C4">
        <w:rPr>
          <w:rFonts w:ascii="Times New Roman" w:hAnsi="Times New Roman"/>
          <w:sz w:val="26"/>
          <w:szCs w:val="26"/>
        </w:rPr>
        <w:t xml:space="preserve">simply run up unnecessary costs for the </w:t>
      </w:r>
      <w:r w:rsidR="00E1326E" w:rsidRPr="007529C4">
        <w:rPr>
          <w:rFonts w:ascii="Times New Roman" w:hAnsi="Times New Roman"/>
          <w:sz w:val="26"/>
          <w:szCs w:val="26"/>
        </w:rPr>
        <w:t xml:space="preserve">two </w:t>
      </w:r>
      <w:r w:rsidR="002C5CC8" w:rsidRPr="007529C4">
        <w:rPr>
          <w:rFonts w:ascii="Times New Roman" w:hAnsi="Times New Roman"/>
          <w:sz w:val="26"/>
          <w:szCs w:val="26"/>
        </w:rPr>
        <w:t>estate</w:t>
      </w:r>
      <w:r w:rsidR="00DE7833" w:rsidRPr="007529C4">
        <w:rPr>
          <w:rFonts w:ascii="Times New Roman" w:hAnsi="Times New Roman"/>
          <w:sz w:val="26"/>
          <w:szCs w:val="26"/>
        </w:rPr>
        <w:t>s</w:t>
      </w:r>
      <w:r w:rsidR="002C5CC8" w:rsidRPr="007529C4">
        <w:rPr>
          <w:rFonts w:ascii="Times New Roman" w:hAnsi="Times New Roman"/>
          <w:sz w:val="26"/>
          <w:szCs w:val="26"/>
        </w:rPr>
        <w:t xml:space="preserve">.  </w:t>
      </w:r>
      <w:r w:rsidR="004F31FE" w:rsidRPr="007529C4">
        <w:rPr>
          <w:rFonts w:ascii="Times New Roman" w:hAnsi="Times New Roman"/>
          <w:sz w:val="26"/>
          <w:szCs w:val="26"/>
        </w:rPr>
        <w:t xml:space="preserve"> </w:t>
      </w:r>
    </w:p>
    <w:p w14:paraId="562F3A08" w14:textId="77777777" w:rsidR="00E2340D" w:rsidRPr="00E2340D" w:rsidRDefault="00E2340D" w:rsidP="00E1326E">
      <w:pPr>
        <w:pStyle w:val="ListParagraph"/>
        <w:spacing w:after="100" w:line="360" w:lineRule="auto"/>
        <w:rPr>
          <w:rFonts w:ascii="Times New Roman" w:hAnsi="Times New Roman"/>
          <w:sz w:val="26"/>
          <w:szCs w:val="26"/>
        </w:rPr>
      </w:pPr>
    </w:p>
    <w:p w14:paraId="4A406174" w14:textId="53E9B5C5" w:rsidR="00E2340D" w:rsidRPr="007529C4" w:rsidRDefault="007529C4" w:rsidP="007529C4">
      <w:pPr>
        <w:rPr>
          <w:rFonts w:ascii="Times New Roman" w:hAnsi="Times New Roman"/>
          <w:sz w:val="26"/>
          <w:szCs w:val="26"/>
        </w:rPr>
      </w:pPr>
      <w:r>
        <w:rPr>
          <w:rFonts w:ascii="Times New Roman" w:eastAsia="Calibri" w:hAnsi="Times New Roman" w:cs="Times New Roman"/>
          <w:sz w:val="26"/>
          <w:szCs w:val="26"/>
          <w:lang w:val="en-US"/>
        </w:rPr>
        <w:lastRenderedPageBreak/>
        <w:t>[25]</w:t>
      </w:r>
      <w:r>
        <w:rPr>
          <w:rFonts w:ascii="Times New Roman" w:eastAsia="Calibri" w:hAnsi="Times New Roman" w:cs="Times New Roman"/>
          <w:sz w:val="26"/>
          <w:szCs w:val="26"/>
          <w:lang w:val="en-US"/>
        </w:rPr>
        <w:tab/>
      </w:r>
      <w:r w:rsidR="00E2340D" w:rsidRPr="007529C4">
        <w:rPr>
          <w:rFonts w:ascii="Times New Roman" w:hAnsi="Times New Roman"/>
          <w:sz w:val="26"/>
          <w:szCs w:val="26"/>
        </w:rPr>
        <w:t>In the result I issue the following order:</w:t>
      </w:r>
    </w:p>
    <w:p w14:paraId="22E76F64" w14:textId="77777777" w:rsidR="00E2340D" w:rsidRPr="00E2340D" w:rsidRDefault="00E2340D" w:rsidP="00E1326E">
      <w:pPr>
        <w:pStyle w:val="ListParagraph"/>
        <w:spacing w:after="100" w:line="360" w:lineRule="auto"/>
        <w:rPr>
          <w:rFonts w:ascii="Times New Roman" w:hAnsi="Times New Roman"/>
          <w:sz w:val="26"/>
          <w:szCs w:val="26"/>
        </w:rPr>
      </w:pPr>
    </w:p>
    <w:p w14:paraId="281EDFCF" w14:textId="11581D89" w:rsidR="00621915" w:rsidRPr="007529C4" w:rsidRDefault="007529C4" w:rsidP="007529C4">
      <w:pPr>
        <w:ind w:left="1080" w:hanging="360"/>
        <w:rPr>
          <w:rFonts w:ascii="Times New Roman" w:hAnsi="Times New Roman"/>
          <w:sz w:val="26"/>
          <w:szCs w:val="26"/>
        </w:rPr>
      </w:pPr>
      <w:r>
        <w:rPr>
          <w:rFonts w:ascii="Times New Roman" w:eastAsia="Calibri" w:hAnsi="Times New Roman" w:cs="Times New Roman"/>
          <w:sz w:val="26"/>
          <w:szCs w:val="26"/>
          <w:lang w:val="en-US"/>
        </w:rPr>
        <w:t>1.</w:t>
      </w:r>
      <w:r>
        <w:rPr>
          <w:rFonts w:ascii="Times New Roman" w:eastAsia="Calibri" w:hAnsi="Times New Roman" w:cs="Times New Roman"/>
          <w:sz w:val="26"/>
          <w:szCs w:val="26"/>
          <w:lang w:val="en-US"/>
        </w:rPr>
        <w:tab/>
      </w:r>
      <w:r w:rsidR="00E2340D" w:rsidRPr="007529C4">
        <w:rPr>
          <w:rFonts w:ascii="Times New Roman" w:hAnsi="Times New Roman"/>
          <w:sz w:val="26"/>
          <w:szCs w:val="26"/>
        </w:rPr>
        <w:t xml:space="preserve">The appeal in case number 3912/2021 is dismissed, with costs. </w:t>
      </w:r>
    </w:p>
    <w:p w14:paraId="376FC9BC" w14:textId="60696EE0" w:rsidR="00E2340D" w:rsidRPr="007529C4" w:rsidRDefault="007529C4" w:rsidP="007529C4">
      <w:pPr>
        <w:ind w:left="1080" w:hanging="360"/>
        <w:rPr>
          <w:rFonts w:ascii="Times New Roman" w:hAnsi="Times New Roman"/>
          <w:sz w:val="26"/>
          <w:szCs w:val="26"/>
        </w:rPr>
      </w:pPr>
      <w:r>
        <w:rPr>
          <w:rFonts w:ascii="Times New Roman" w:eastAsia="Calibri" w:hAnsi="Times New Roman" w:cs="Times New Roman"/>
          <w:sz w:val="26"/>
          <w:szCs w:val="26"/>
          <w:lang w:val="en-US"/>
        </w:rPr>
        <w:t>2.</w:t>
      </w:r>
      <w:r>
        <w:rPr>
          <w:rFonts w:ascii="Times New Roman" w:eastAsia="Calibri" w:hAnsi="Times New Roman" w:cs="Times New Roman"/>
          <w:sz w:val="26"/>
          <w:szCs w:val="26"/>
          <w:lang w:val="en-US"/>
        </w:rPr>
        <w:tab/>
      </w:r>
      <w:r w:rsidR="00E2340D" w:rsidRPr="007529C4">
        <w:rPr>
          <w:rFonts w:ascii="Times New Roman" w:hAnsi="Times New Roman"/>
          <w:sz w:val="26"/>
          <w:szCs w:val="26"/>
        </w:rPr>
        <w:t>The applicants are given leave in case number 444/2022 to appeal to the full bench of this division against my order</w:t>
      </w:r>
      <w:r w:rsidR="004F31FE" w:rsidRPr="007529C4">
        <w:rPr>
          <w:rFonts w:ascii="Times New Roman" w:hAnsi="Times New Roman"/>
          <w:sz w:val="26"/>
          <w:szCs w:val="26"/>
        </w:rPr>
        <w:t xml:space="preserve"> that </w:t>
      </w:r>
      <w:r w:rsidR="00DE7833" w:rsidRPr="007529C4">
        <w:rPr>
          <w:rFonts w:ascii="Times New Roman" w:hAnsi="Times New Roman"/>
          <w:sz w:val="26"/>
          <w:szCs w:val="26"/>
        </w:rPr>
        <w:t xml:space="preserve">they be compelled at this juncture to </w:t>
      </w:r>
      <w:r w:rsidR="00BF3264" w:rsidRPr="007529C4">
        <w:rPr>
          <w:rFonts w:ascii="Times New Roman" w:hAnsi="Times New Roman"/>
          <w:sz w:val="26"/>
          <w:szCs w:val="26"/>
        </w:rPr>
        <w:t xml:space="preserve">sign the necessary </w:t>
      </w:r>
      <w:r w:rsidR="004F31FE" w:rsidRPr="007529C4">
        <w:rPr>
          <w:rFonts w:ascii="Times New Roman" w:hAnsi="Times New Roman"/>
          <w:sz w:val="26"/>
          <w:szCs w:val="26"/>
        </w:rPr>
        <w:t>transfer</w:t>
      </w:r>
      <w:r w:rsidR="00BF3264" w:rsidRPr="007529C4">
        <w:rPr>
          <w:rFonts w:ascii="Times New Roman" w:hAnsi="Times New Roman"/>
          <w:sz w:val="26"/>
          <w:szCs w:val="26"/>
        </w:rPr>
        <w:t xml:space="preserve"> documents and to cause the transfer to the estate of the late Mr. M </w:t>
      </w:r>
      <w:proofErr w:type="spellStart"/>
      <w:r w:rsidR="00BF3264" w:rsidRPr="007529C4">
        <w:rPr>
          <w:rFonts w:ascii="Times New Roman" w:hAnsi="Times New Roman"/>
          <w:sz w:val="26"/>
          <w:szCs w:val="26"/>
        </w:rPr>
        <w:t>M</w:t>
      </w:r>
      <w:proofErr w:type="spellEnd"/>
      <w:r w:rsidR="00BF3264" w:rsidRPr="007529C4">
        <w:rPr>
          <w:rFonts w:ascii="Times New Roman" w:hAnsi="Times New Roman"/>
          <w:sz w:val="26"/>
          <w:szCs w:val="26"/>
        </w:rPr>
        <w:t xml:space="preserve"> </w:t>
      </w:r>
      <w:proofErr w:type="spellStart"/>
      <w:r w:rsidR="00BF3264" w:rsidRPr="007529C4">
        <w:rPr>
          <w:rFonts w:ascii="Times New Roman" w:hAnsi="Times New Roman"/>
          <w:sz w:val="26"/>
          <w:szCs w:val="26"/>
        </w:rPr>
        <w:t>Gqabeka</w:t>
      </w:r>
      <w:proofErr w:type="spellEnd"/>
      <w:r w:rsidR="00BF3264" w:rsidRPr="007529C4">
        <w:rPr>
          <w:rFonts w:ascii="Times New Roman" w:hAnsi="Times New Roman"/>
          <w:sz w:val="26"/>
          <w:szCs w:val="26"/>
        </w:rPr>
        <w:t xml:space="preserve"> (Estate No. 1457/2021) of the property known as </w:t>
      </w:r>
      <w:proofErr w:type="spellStart"/>
      <w:r w:rsidR="00BF3264" w:rsidRPr="007529C4">
        <w:rPr>
          <w:rFonts w:ascii="Times New Roman" w:hAnsi="Times New Roman"/>
          <w:sz w:val="26"/>
          <w:szCs w:val="26"/>
        </w:rPr>
        <w:t>Erf</w:t>
      </w:r>
      <w:proofErr w:type="spellEnd"/>
      <w:r w:rsidR="00BF3264" w:rsidRPr="007529C4">
        <w:rPr>
          <w:rFonts w:ascii="Times New Roman" w:hAnsi="Times New Roman"/>
          <w:sz w:val="26"/>
          <w:szCs w:val="26"/>
        </w:rPr>
        <w:t xml:space="preserve"> 715 Parsons </w:t>
      </w:r>
      <w:proofErr w:type="spellStart"/>
      <w:r w:rsidR="00BF3264" w:rsidRPr="007529C4">
        <w:rPr>
          <w:rFonts w:ascii="Times New Roman" w:hAnsi="Times New Roman"/>
          <w:sz w:val="26"/>
          <w:szCs w:val="26"/>
        </w:rPr>
        <w:t>Vlei</w:t>
      </w:r>
      <w:proofErr w:type="spellEnd"/>
      <w:r w:rsidR="004F31FE" w:rsidRPr="007529C4">
        <w:rPr>
          <w:rFonts w:ascii="Times New Roman" w:hAnsi="Times New Roman"/>
          <w:sz w:val="26"/>
          <w:szCs w:val="26"/>
        </w:rPr>
        <w:t xml:space="preserve"> </w:t>
      </w:r>
      <w:r w:rsidR="00E1326E" w:rsidRPr="007529C4">
        <w:rPr>
          <w:rFonts w:ascii="Times New Roman" w:hAnsi="Times New Roman"/>
          <w:sz w:val="26"/>
          <w:szCs w:val="26"/>
        </w:rPr>
        <w:t>before being a</w:t>
      </w:r>
      <w:r w:rsidR="00E966DA" w:rsidRPr="007529C4">
        <w:rPr>
          <w:rFonts w:ascii="Times New Roman" w:hAnsi="Times New Roman"/>
          <w:sz w:val="26"/>
          <w:szCs w:val="26"/>
        </w:rPr>
        <w:t>fforded</w:t>
      </w:r>
      <w:r w:rsidR="00E1326E" w:rsidRPr="007529C4">
        <w:rPr>
          <w:rFonts w:ascii="Times New Roman" w:hAnsi="Times New Roman"/>
          <w:sz w:val="26"/>
          <w:szCs w:val="26"/>
        </w:rPr>
        <w:t xml:space="preserve"> an opportunity to prove their claim against the estate</w:t>
      </w:r>
      <w:r w:rsidR="00E2340D" w:rsidRPr="007529C4">
        <w:rPr>
          <w:rFonts w:ascii="Times New Roman" w:hAnsi="Times New Roman"/>
          <w:sz w:val="26"/>
          <w:szCs w:val="26"/>
        </w:rPr>
        <w:t>.</w:t>
      </w:r>
    </w:p>
    <w:p w14:paraId="404555FC" w14:textId="7353072A" w:rsidR="00E2340D" w:rsidRPr="007529C4" w:rsidRDefault="007529C4" w:rsidP="007529C4">
      <w:pPr>
        <w:ind w:left="1080" w:hanging="360"/>
        <w:rPr>
          <w:rFonts w:ascii="Times New Roman" w:hAnsi="Times New Roman"/>
          <w:sz w:val="26"/>
          <w:szCs w:val="26"/>
        </w:rPr>
      </w:pPr>
      <w:r w:rsidRPr="00E2340D">
        <w:rPr>
          <w:rFonts w:ascii="Times New Roman" w:eastAsia="Calibri" w:hAnsi="Times New Roman" w:cs="Times New Roman"/>
          <w:sz w:val="26"/>
          <w:szCs w:val="26"/>
          <w:lang w:val="en-US"/>
        </w:rPr>
        <w:t>3.</w:t>
      </w:r>
      <w:r w:rsidRPr="00E2340D">
        <w:rPr>
          <w:rFonts w:ascii="Times New Roman" w:eastAsia="Calibri" w:hAnsi="Times New Roman" w:cs="Times New Roman"/>
          <w:sz w:val="26"/>
          <w:szCs w:val="26"/>
          <w:lang w:val="en-US"/>
        </w:rPr>
        <w:tab/>
      </w:r>
      <w:r w:rsidR="00E2340D" w:rsidRPr="007529C4">
        <w:rPr>
          <w:rFonts w:ascii="Times New Roman" w:hAnsi="Times New Roman"/>
          <w:sz w:val="26"/>
          <w:szCs w:val="26"/>
        </w:rPr>
        <w:t xml:space="preserve">The costs of the application </w:t>
      </w:r>
      <w:r w:rsidR="00BF3264" w:rsidRPr="007529C4">
        <w:rPr>
          <w:rFonts w:ascii="Times New Roman" w:hAnsi="Times New Roman"/>
          <w:sz w:val="26"/>
          <w:szCs w:val="26"/>
        </w:rPr>
        <w:t xml:space="preserve">in case number 444/2021 </w:t>
      </w:r>
      <w:r w:rsidR="00E2340D" w:rsidRPr="007529C4">
        <w:rPr>
          <w:rFonts w:ascii="Times New Roman" w:hAnsi="Times New Roman"/>
          <w:sz w:val="26"/>
          <w:szCs w:val="26"/>
        </w:rPr>
        <w:t xml:space="preserve">will be in the appeal. </w:t>
      </w:r>
    </w:p>
    <w:p w14:paraId="3F47E4A3" w14:textId="77777777" w:rsidR="007F677C" w:rsidRPr="007F677C" w:rsidRDefault="007F677C" w:rsidP="00E1326E">
      <w:pPr>
        <w:contextualSpacing/>
        <w:rPr>
          <w:rFonts w:ascii="Times New Roman" w:hAnsi="Times New Roman" w:cs="Times New Roman"/>
          <w:sz w:val="26"/>
          <w:szCs w:val="26"/>
        </w:rPr>
      </w:pPr>
    </w:p>
    <w:p w14:paraId="1DD047CE" w14:textId="77777777" w:rsidR="0012630A" w:rsidRPr="007F677C" w:rsidRDefault="0012630A" w:rsidP="00E1326E">
      <w:pPr>
        <w:pStyle w:val="ListParagraph"/>
        <w:spacing w:after="100" w:line="360" w:lineRule="auto"/>
        <w:rPr>
          <w:rFonts w:ascii="Times New Roman" w:hAnsi="Times New Roman"/>
          <w:sz w:val="26"/>
          <w:szCs w:val="26"/>
        </w:rPr>
      </w:pPr>
    </w:p>
    <w:p w14:paraId="44F8A4B4" w14:textId="77777777" w:rsidR="00254561" w:rsidRPr="007F677C" w:rsidRDefault="00254561" w:rsidP="00E1326E">
      <w:pPr>
        <w:contextualSpacing/>
        <w:rPr>
          <w:rFonts w:ascii="Times New Roman" w:hAnsi="Times New Roman" w:cs="Times New Roman"/>
          <w:sz w:val="26"/>
          <w:szCs w:val="26"/>
        </w:rPr>
      </w:pPr>
    </w:p>
    <w:p w14:paraId="11D37120" w14:textId="77777777" w:rsidR="00254561" w:rsidRPr="007F677C" w:rsidRDefault="00254561" w:rsidP="00E1326E">
      <w:pPr>
        <w:contextualSpacing/>
        <w:rPr>
          <w:rFonts w:ascii="Times New Roman" w:hAnsi="Times New Roman" w:cs="Times New Roman"/>
          <w:b/>
          <w:sz w:val="26"/>
          <w:szCs w:val="26"/>
        </w:rPr>
      </w:pPr>
      <w:r w:rsidRPr="007F677C">
        <w:rPr>
          <w:rFonts w:ascii="Times New Roman" w:hAnsi="Times New Roman" w:cs="Times New Roman"/>
          <w:b/>
          <w:sz w:val="26"/>
          <w:szCs w:val="26"/>
        </w:rPr>
        <w:t>________________</w:t>
      </w:r>
    </w:p>
    <w:p w14:paraId="77A78308" w14:textId="77777777" w:rsidR="00254561" w:rsidRPr="007F677C" w:rsidRDefault="00254561" w:rsidP="00E1326E">
      <w:pPr>
        <w:contextualSpacing/>
        <w:rPr>
          <w:rFonts w:ascii="Times New Roman" w:hAnsi="Times New Roman" w:cs="Times New Roman"/>
          <w:b/>
          <w:sz w:val="26"/>
          <w:szCs w:val="26"/>
        </w:rPr>
      </w:pPr>
      <w:r w:rsidRPr="007F677C">
        <w:rPr>
          <w:rFonts w:ascii="Times New Roman" w:hAnsi="Times New Roman" w:cs="Times New Roman"/>
          <w:b/>
          <w:sz w:val="26"/>
          <w:szCs w:val="26"/>
        </w:rPr>
        <w:t xml:space="preserve">B HARTLE </w:t>
      </w:r>
    </w:p>
    <w:p w14:paraId="705AC2C3" w14:textId="77777777" w:rsidR="00254561" w:rsidRPr="007F677C" w:rsidRDefault="00254561" w:rsidP="00E1326E">
      <w:pPr>
        <w:contextualSpacing/>
        <w:rPr>
          <w:rFonts w:ascii="Times New Roman" w:hAnsi="Times New Roman" w:cs="Times New Roman"/>
          <w:b/>
          <w:sz w:val="26"/>
          <w:szCs w:val="26"/>
        </w:rPr>
      </w:pPr>
      <w:r w:rsidRPr="007F677C">
        <w:rPr>
          <w:rFonts w:ascii="Times New Roman" w:hAnsi="Times New Roman" w:cs="Times New Roman"/>
          <w:b/>
          <w:sz w:val="26"/>
          <w:szCs w:val="26"/>
        </w:rPr>
        <w:t>JUDGE OF THE HIGH COURT</w:t>
      </w:r>
    </w:p>
    <w:p w14:paraId="34463F85" w14:textId="77777777" w:rsidR="00254561" w:rsidRPr="007F677C" w:rsidRDefault="00254561" w:rsidP="00E1326E">
      <w:pPr>
        <w:pStyle w:val="ListParagraph"/>
        <w:spacing w:after="100" w:line="360" w:lineRule="auto"/>
        <w:ind w:left="0"/>
        <w:rPr>
          <w:rFonts w:ascii="Times New Roman" w:hAnsi="Times New Roman"/>
          <w:sz w:val="26"/>
          <w:szCs w:val="26"/>
        </w:rPr>
      </w:pPr>
    </w:p>
    <w:p w14:paraId="05FFA40B" w14:textId="2161340E" w:rsidR="00254561" w:rsidRPr="007F677C" w:rsidRDefault="00254561" w:rsidP="00E1326E">
      <w:pPr>
        <w:contextualSpacing/>
        <w:rPr>
          <w:rFonts w:ascii="Times New Roman" w:hAnsi="Times New Roman" w:cs="Times New Roman"/>
          <w:sz w:val="26"/>
          <w:szCs w:val="26"/>
        </w:rPr>
      </w:pPr>
      <w:r w:rsidRPr="007F677C">
        <w:rPr>
          <w:rFonts w:ascii="Times New Roman" w:hAnsi="Times New Roman" w:cs="Times New Roman"/>
          <w:sz w:val="26"/>
          <w:szCs w:val="26"/>
        </w:rPr>
        <w:t>DATE OF HEARING:</w:t>
      </w:r>
      <w:r w:rsidRPr="007F677C">
        <w:rPr>
          <w:rFonts w:ascii="Times New Roman" w:hAnsi="Times New Roman" w:cs="Times New Roman"/>
          <w:sz w:val="26"/>
          <w:szCs w:val="26"/>
        </w:rPr>
        <w:tab/>
      </w:r>
      <w:r w:rsidRPr="007F677C">
        <w:rPr>
          <w:rFonts w:ascii="Times New Roman" w:hAnsi="Times New Roman" w:cs="Times New Roman"/>
          <w:sz w:val="26"/>
          <w:szCs w:val="26"/>
        </w:rPr>
        <w:tab/>
        <w:t xml:space="preserve"> </w:t>
      </w:r>
      <w:r w:rsidRPr="007F677C">
        <w:rPr>
          <w:rFonts w:ascii="Times New Roman" w:hAnsi="Times New Roman" w:cs="Times New Roman"/>
          <w:sz w:val="26"/>
          <w:szCs w:val="26"/>
        </w:rPr>
        <w:tab/>
      </w:r>
      <w:r w:rsidR="0089010A">
        <w:rPr>
          <w:rFonts w:ascii="Times New Roman" w:hAnsi="Times New Roman" w:cs="Times New Roman"/>
          <w:sz w:val="26"/>
          <w:szCs w:val="26"/>
        </w:rPr>
        <w:t>17 January</w:t>
      </w:r>
      <w:r w:rsidRPr="007F677C">
        <w:rPr>
          <w:rFonts w:ascii="Times New Roman" w:hAnsi="Times New Roman" w:cs="Times New Roman"/>
          <w:sz w:val="26"/>
          <w:szCs w:val="26"/>
        </w:rPr>
        <w:t xml:space="preserve"> 202</w:t>
      </w:r>
      <w:r w:rsidR="0089010A">
        <w:rPr>
          <w:rFonts w:ascii="Times New Roman" w:hAnsi="Times New Roman" w:cs="Times New Roman"/>
          <w:sz w:val="26"/>
          <w:szCs w:val="26"/>
        </w:rPr>
        <w:t>3</w:t>
      </w:r>
    </w:p>
    <w:p w14:paraId="5BA52BAA" w14:textId="5BF8E493" w:rsidR="00254561" w:rsidRPr="007F677C" w:rsidRDefault="00254561" w:rsidP="00E1326E">
      <w:pPr>
        <w:pStyle w:val="ListParagraph"/>
        <w:spacing w:after="100" w:line="360" w:lineRule="auto"/>
        <w:ind w:left="0"/>
        <w:rPr>
          <w:rFonts w:ascii="Times New Roman" w:hAnsi="Times New Roman"/>
          <w:sz w:val="26"/>
          <w:szCs w:val="26"/>
        </w:rPr>
      </w:pPr>
      <w:r w:rsidRPr="007F677C">
        <w:rPr>
          <w:rFonts w:ascii="Times New Roman" w:hAnsi="Times New Roman"/>
          <w:sz w:val="26"/>
          <w:szCs w:val="26"/>
        </w:rPr>
        <w:t>DATE OF JUDGMENT:</w:t>
      </w:r>
      <w:r w:rsidRPr="007F677C">
        <w:rPr>
          <w:rFonts w:ascii="Times New Roman" w:hAnsi="Times New Roman"/>
          <w:sz w:val="26"/>
          <w:szCs w:val="26"/>
        </w:rPr>
        <w:tab/>
      </w:r>
      <w:r w:rsidRPr="007F677C">
        <w:rPr>
          <w:rFonts w:ascii="Times New Roman" w:hAnsi="Times New Roman"/>
          <w:sz w:val="26"/>
          <w:szCs w:val="26"/>
        </w:rPr>
        <w:tab/>
      </w:r>
      <w:r w:rsidRPr="007F677C">
        <w:rPr>
          <w:rFonts w:ascii="Times New Roman" w:hAnsi="Times New Roman"/>
          <w:sz w:val="26"/>
          <w:szCs w:val="26"/>
        </w:rPr>
        <w:tab/>
      </w:r>
      <w:r w:rsidR="002C5CC8">
        <w:rPr>
          <w:rFonts w:ascii="Times New Roman" w:hAnsi="Times New Roman"/>
          <w:sz w:val="26"/>
          <w:szCs w:val="26"/>
        </w:rPr>
        <w:t>9</w:t>
      </w:r>
      <w:r w:rsidR="0089010A">
        <w:rPr>
          <w:rFonts w:ascii="Times New Roman" w:hAnsi="Times New Roman"/>
          <w:sz w:val="26"/>
          <w:szCs w:val="26"/>
        </w:rPr>
        <w:t xml:space="preserve"> February</w:t>
      </w:r>
      <w:r w:rsidR="005B20BB" w:rsidRPr="007F677C">
        <w:rPr>
          <w:rFonts w:ascii="Times New Roman" w:hAnsi="Times New Roman"/>
          <w:sz w:val="26"/>
          <w:szCs w:val="26"/>
        </w:rPr>
        <w:t xml:space="preserve"> </w:t>
      </w:r>
      <w:r w:rsidRPr="007F677C">
        <w:rPr>
          <w:rFonts w:ascii="Times New Roman" w:hAnsi="Times New Roman"/>
          <w:sz w:val="26"/>
          <w:szCs w:val="26"/>
        </w:rPr>
        <w:t>202</w:t>
      </w:r>
      <w:r w:rsidR="0089010A">
        <w:rPr>
          <w:rFonts w:ascii="Times New Roman" w:hAnsi="Times New Roman"/>
          <w:sz w:val="26"/>
          <w:szCs w:val="26"/>
        </w:rPr>
        <w:t>3</w:t>
      </w:r>
    </w:p>
    <w:p w14:paraId="6A89101E" w14:textId="77777777" w:rsidR="00254561" w:rsidRPr="007F677C" w:rsidRDefault="00254561" w:rsidP="00E1326E">
      <w:pPr>
        <w:contextualSpacing/>
        <w:rPr>
          <w:rFonts w:ascii="Times New Roman" w:hAnsi="Times New Roman" w:cs="Times New Roman"/>
          <w:sz w:val="26"/>
          <w:szCs w:val="26"/>
        </w:rPr>
      </w:pPr>
    </w:p>
    <w:p w14:paraId="4BFBF4EC" w14:textId="77777777" w:rsidR="00254561" w:rsidRPr="007F677C" w:rsidRDefault="00254561" w:rsidP="00E1326E">
      <w:pPr>
        <w:contextualSpacing/>
        <w:rPr>
          <w:rFonts w:ascii="Times New Roman" w:hAnsi="Times New Roman" w:cs="Times New Roman"/>
          <w:i/>
          <w:sz w:val="26"/>
          <w:szCs w:val="26"/>
        </w:rPr>
      </w:pPr>
      <w:r w:rsidRPr="007F677C">
        <w:rPr>
          <w:rFonts w:ascii="Times New Roman" w:hAnsi="Times New Roman" w:cs="Times New Roman"/>
          <w:i/>
          <w:sz w:val="26"/>
          <w:szCs w:val="26"/>
          <w:u w:val="single"/>
        </w:rPr>
        <w:t>APPEARANCES</w:t>
      </w:r>
      <w:r w:rsidRPr="007F677C">
        <w:rPr>
          <w:rFonts w:ascii="Times New Roman" w:hAnsi="Times New Roman" w:cs="Times New Roman"/>
          <w:i/>
          <w:sz w:val="26"/>
          <w:szCs w:val="26"/>
        </w:rPr>
        <w:t>:</w:t>
      </w:r>
    </w:p>
    <w:p w14:paraId="1BEFF07B" w14:textId="77777777" w:rsidR="00254561" w:rsidRPr="007F677C" w:rsidRDefault="00254561" w:rsidP="00E1326E">
      <w:pPr>
        <w:contextualSpacing/>
        <w:rPr>
          <w:rFonts w:ascii="Times New Roman" w:hAnsi="Times New Roman" w:cs="Times New Roman"/>
          <w:sz w:val="26"/>
          <w:szCs w:val="26"/>
        </w:rPr>
      </w:pPr>
    </w:p>
    <w:p w14:paraId="5EE963FE" w14:textId="77777777" w:rsidR="00254561" w:rsidRPr="007F677C" w:rsidRDefault="00254561" w:rsidP="00E1326E">
      <w:pPr>
        <w:contextualSpacing/>
        <w:rPr>
          <w:rFonts w:ascii="Times New Roman" w:hAnsi="Times New Roman" w:cs="Times New Roman"/>
          <w:i/>
          <w:sz w:val="26"/>
          <w:szCs w:val="26"/>
        </w:rPr>
      </w:pPr>
      <w:r w:rsidRPr="007F677C">
        <w:rPr>
          <w:rFonts w:ascii="Times New Roman" w:hAnsi="Times New Roman" w:cs="Times New Roman"/>
          <w:i/>
          <w:sz w:val="26"/>
          <w:szCs w:val="26"/>
        </w:rPr>
        <w:lastRenderedPageBreak/>
        <w:t xml:space="preserve">For the applicants:   </w:t>
      </w:r>
      <w:proofErr w:type="spellStart"/>
      <w:r w:rsidRPr="007F677C">
        <w:rPr>
          <w:rFonts w:ascii="Times New Roman" w:hAnsi="Times New Roman" w:cs="Times New Roman"/>
          <w:i/>
          <w:sz w:val="26"/>
          <w:szCs w:val="26"/>
        </w:rPr>
        <w:t>Mr.</w:t>
      </w:r>
      <w:proofErr w:type="spellEnd"/>
      <w:r w:rsidRPr="007F677C">
        <w:rPr>
          <w:rFonts w:ascii="Times New Roman" w:hAnsi="Times New Roman" w:cs="Times New Roman"/>
          <w:i/>
          <w:sz w:val="26"/>
          <w:szCs w:val="26"/>
        </w:rPr>
        <w:t xml:space="preserve"> </w:t>
      </w:r>
      <w:r w:rsidR="008305F0" w:rsidRPr="007F677C">
        <w:rPr>
          <w:rFonts w:ascii="Times New Roman" w:hAnsi="Times New Roman" w:cs="Times New Roman"/>
          <w:i/>
          <w:sz w:val="26"/>
          <w:szCs w:val="26"/>
        </w:rPr>
        <w:t xml:space="preserve">MPG </w:t>
      </w:r>
      <w:proofErr w:type="spellStart"/>
      <w:r w:rsidRPr="007F677C">
        <w:rPr>
          <w:rFonts w:ascii="Times New Roman" w:hAnsi="Times New Roman" w:cs="Times New Roman"/>
          <w:i/>
          <w:sz w:val="26"/>
          <w:szCs w:val="26"/>
        </w:rPr>
        <w:t>Notyawa</w:t>
      </w:r>
      <w:proofErr w:type="spellEnd"/>
      <w:r w:rsidRPr="007F677C">
        <w:rPr>
          <w:rFonts w:ascii="Times New Roman" w:hAnsi="Times New Roman" w:cs="Times New Roman"/>
          <w:i/>
          <w:sz w:val="26"/>
          <w:szCs w:val="26"/>
        </w:rPr>
        <w:t xml:space="preserve"> instructed by </w:t>
      </w:r>
      <w:proofErr w:type="spellStart"/>
      <w:r w:rsidRPr="007F677C">
        <w:rPr>
          <w:rFonts w:ascii="Times New Roman" w:hAnsi="Times New Roman" w:cs="Times New Roman"/>
          <w:i/>
          <w:sz w:val="26"/>
          <w:szCs w:val="26"/>
        </w:rPr>
        <w:t>Simpiwe</w:t>
      </w:r>
      <w:proofErr w:type="spellEnd"/>
      <w:r w:rsidRPr="007F677C">
        <w:rPr>
          <w:rFonts w:ascii="Times New Roman" w:hAnsi="Times New Roman" w:cs="Times New Roman"/>
          <w:i/>
          <w:sz w:val="26"/>
          <w:szCs w:val="26"/>
        </w:rPr>
        <w:t xml:space="preserve"> Jacobs &amp; Associates, </w:t>
      </w:r>
      <w:proofErr w:type="spellStart"/>
      <w:r w:rsidRPr="007F677C">
        <w:rPr>
          <w:rFonts w:ascii="Times New Roman" w:hAnsi="Times New Roman" w:cs="Times New Roman"/>
          <w:i/>
          <w:sz w:val="26"/>
          <w:szCs w:val="26"/>
        </w:rPr>
        <w:t>Gqeberha</w:t>
      </w:r>
      <w:proofErr w:type="spellEnd"/>
      <w:r w:rsidRPr="007F677C">
        <w:rPr>
          <w:rFonts w:ascii="Times New Roman" w:hAnsi="Times New Roman" w:cs="Times New Roman"/>
          <w:i/>
          <w:sz w:val="26"/>
          <w:szCs w:val="26"/>
        </w:rPr>
        <w:t xml:space="preserve"> (ref. S Jacobs).</w:t>
      </w:r>
    </w:p>
    <w:p w14:paraId="7D728F7D" w14:textId="0F11B7F2" w:rsidR="007F677C" w:rsidRPr="007F677C" w:rsidRDefault="00254561" w:rsidP="008A575F">
      <w:pPr>
        <w:contextualSpacing/>
        <w:rPr>
          <w:rFonts w:ascii="Times New Roman" w:hAnsi="Times New Roman"/>
          <w:sz w:val="26"/>
          <w:szCs w:val="26"/>
        </w:rPr>
      </w:pPr>
      <w:r w:rsidRPr="007F677C">
        <w:rPr>
          <w:rFonts w:ascii="Times New Roman" w:hAnsi="Times New Roman" w:cs="Times New Roman"/>
          <w:i/>
          <w:sz w:val="26"/>
          <w:szCs w:val="26"/>
        </w:rPr>
        <w:t xml:space="preserve">For the </w:t>
      </w:r>
      <w:proofErr w:type="gramStart"/>
      <w:r w:rsidRPr="007F677C">
        <w:rPr>
          <w:rFonts w:ascii="Times New Roman" w:hAnsi="Times New Roman" w:cs="Times New Roman"/>
          <w:i/>
          <w:sz w:val="26"/>
          <w:szCs w:val="26"/>
        </w:rPr>
        <w:t>responden</w:t>
      </w:r>
      <w:r w:rsidR="0089010A">
        <w:rPr>
          <w:rFonts w:ascii="Times New Roman" w:hAnsi="Times New Roman" w:cs="Times New Roman"/>
          <w:i/>
          <w:sz w:val="26"/>
          <w:szCs w:val="26"/>
        </w:rPr>
        <w:t>ts</w:t>
      </w:r>
      <w:r w:rsidRPr="007F677C">
        <w:rPr>
          <w:rFonts w:ascii="Times New Roman" w:hAnsi="Times New Roman" w:cs="Times New Roman"/>
          <w:i/>
          <w:sz w:val="26"/>
          <w:szCs w:val="26"/>
        </w:rPr>
        <w:t xml:space="preserve"> :</w:t>
      </w:r>
      <w:proofErr w:type="gramEnd"/>
      <w:r w:rsidRPr="007F677C">
        <w:rPr>
          <w:rFonts w:ascii="Times New Roman" w:hAnsi="Times New Roman" w:cs="Times New Roman"/>
          <w:i/>
          <w:sz w:val="26"/>
          <w:szCs w:val="26"/>
        </w:rPr>
        <w:t xml:space="preserve"> </w:t>
      </w:r>
      <w:proofErr w:type="spellStart"/>
      <w:r w:rsidRPr="007F677C">
        <w:rPr>
          <w:rFonts w:ascii="Times New Roman" w:hAnsi="Times New Roman" w:cs="Times New Roman"/>
          <w:i/>
          <w:sz w:val="26"/>
          <w:szCs w:val="26"/>
        </w:rPr>
        <w:t>Mr.</w:t>
      </w:r>
      <w:proofErr w:type="spellEnd"/>
      <w:r w:rsidR="008305F0" w:rsidRPr="007F677C">
        <w:rPr>
          <w:rFonts w:ascii="Times New Roman" w:hAnsi="Times New Roman" w:cs="Times New Roman"/>
          <w:i/>
          <w:sz w:val="26"/>
          <w:szCs w:val="26"/>
        </w:rPr>
        <w:t xml:space="preserve"> ME</w:t>
      </w:r>
      <w:r w:rsidRPr="007F677C">
        <w:rPr>
          <w:rFonts w:ascii="Times New Roman" w:hAnsi="Times New Roman" w:cs="Times New Roman"/>
          <w:i/>
          <w:sz w:val="26"/>
          <w:szCs w:val="26"/>
        </w:rPr>
        <w:t xml:space="preserve"> </w:t>
      </w:r>
      <w:proofErr w:type="spellStart"/>
      <w:r w:rsidRPr="007F677C">
        <w:rPr>
          <w:rFonts w:ascii="Times New Roman" w:hAnsi="Times New Roman" w:cs="Times New Roman"/>
          <w:i/>
          <w:sz w:val="26"/>
          <w:szCs w:val="26"/>
        </w:rPr>
        <w:t>Menti</w:t>
      </w:r>
      <w:proofErr w:type="spellEnd"/>
      <w:r w:rsidRPr="007F677C">
        <w:rPr>
          <w:rFonts w:ascii="Times New Roman" w:hAnsi="Times New Roman" w:cs="Times New Roman"/>
          <w:i/>
          <w:sz w:val="26"/>
          <w:szCs w:val="26"/>
        </w:rPr>
        <w:t xml:space="preserve"> instructed by N E </w:t>
      </w:r>
      <w:proofErr w:type="spellStart"/>
      <w:r w:rsidRPr="007F677C">
        <w:rPr>
          <w:rFonts w:ascii="Times New Roman" w:hAnsi="Times New Roman" w:cs="Times New Roman"/>
          <w:i/>
          <w:sz w:val="26"/>
          <w:szCs w:val="26"/>
        </w:rPr>
        <w:t>Mbewana</w:t>
      </w:r>
      <w:proofErr w:type="spellEnd"/>
      <w:r w:rsidRPr="007F677C">
        <w:rPr>
          <w:rFonts w:ascii="Times New Roman" w:hAnsi="Times New Roman" w:cs="Times New Roman"/>
          <w:i/>
          <w:sz w:val="26"/>
          <w:szCs w:val="26"/>
        </w:rPr>
        <w:t xml:space="preserve"> Attorneys Inc., </w:t>
      </w:r>
      <w:proofErr w:type="spellStart"/>
      <w:r w:rsidRPr="007F677C">
        <w:rPr>
          <w:rFonts w:ascii="Times New Roman" w:hAnsi="Times New Roman" w:cs="Times New Roman"/>
          <w:i/>
          <w:sz w:val="26"/>
          <w:szCs w:val="26"/>
        </w:rPr>
        <w:t>Gqeberha</w:t>
      </w:r>
      <w:proofErr w:type="spellEnd"/>
      <w:r w:rsidRPr="007F677C">
        <w:rPr>
          <w:rFonts w:ascii="Times New Roman" w:hAnsi="Times New Roman" w:cs="Times New Roman"/>
          <w:i/>
          <w:sz w:val="26"/>
          <w:szCs w:val="26"/>
        </w:rPr>
        <w:t xml:space="preserve"> (ref. </w:t>
      </w:r>
      <w:proofErr w:type="spellStart"/>
      <w:r w:rsidRPr="007F677C">
        <w:rPr>
          <w:rFonts w:ascii="Times New Roman" w:hAnsi="Times New Roman" w:cs="Times New Roman"/>
          <w:i/>
          <w:sz w:val="26"/>
          <w:szCs w:val="26"/>
        </w:rPr>
        <w:t>Rayi</w:t>
      </w:r>
      <w:proofErr w:type="spellEnd"/>
      <w:r w:rsidRPr="007F677C">
        <w:rPr>
          <w:rFonts w:ascii="Times New Roman" w:hAnsi="Times New Roman" w:cs="Times New Roman"/>
          <w:i/>
          <w:sz w:val="26"/>
          <w:szCs w:val="26"/>
        </w:rPr>
        <w:t>/000586/IM).</w:t>
      </w:r>
    </w:p>
    <w:sectPr w:rsidR="007F677C" w:rsidRPr="007F677C" w:rsidSect="00C4246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AD34D" w14:textId="77777777" w:rsidR="00AF3270" w:rsidRDefault="00AF3270" w:rsidP="00A857EB">
      <w:pPr>
        <w:spacing w:before="0" w:after="0" w:line="240" w:lineRule="auto"/>
      </w:pPr>
      <w:r>
        <w:separator/>
      </w:r>
    </w:p>
  </w:endnote>
  <w:endnote w:type="continuationSeparator" w:id="0">
    <w:p w14:paraId="2D3ED93B" w14:textId="77777777" w:rsidR="00AF3270" w:rsidRDefault="00AF3270" w:rsidP="00A857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BE00E" w14:textId="77777777" w:rsidR="00AF3270" w:rsidRDefault="00AF3270" w:rsidP="00A857EB">
      <w:pPr>
        <w:spacing w:before="0" w:after="0" w:line="240" w:lineRule="auto"/>
      </w:pPr>
      <w:r>
        <w:separator/>
      </w:r>
    </w:p>
  </w:footnote>
  <w:footnote w:type="continuationSeparator" w:id="0">
    <w:p w14:paraId="7C186956" w14:textId="77777777" w:rsidR="00AF3270" w:rsidRDefault="00AF3270" w:rsidP="00A857EB">
      <w:pPr>
        <w:spacing w:before="0" w:after="0" w:line="240" w:lineRule="auto"/>
      </w:pPr>
      <w:r>
        <w:continuationSeparator/>
      </w:r>
    </w:p>
  </w:footnote>
  <w:footnote w:id="1">
    <w:p w14:paraId="1742D3DD" w14:textId="22669717" w:rsidR="00B465A7" w:rsidRDefault="00B465A7" w:rsidP="00613EF8">
      <w:pPr>
        <w:pStyle w:val="FootnoteText"/>
        <w:spacing w:after="100"/>
        <w:contextualSpacing/>
      </w:pPr>
      <w:r>
        <w:rPr>
          <w:rStyle w:val="FootnoteReference"/>
        </w:rPr>
        <w:footnoteRef/>
      </w:r>
      <w:r>
        <w:t xml:space="preserve"> This is, for example, evident from Annexure “F” to the founding affidavit in which the respondent’s attorneys invited the applicant (among other family members) to note that she had taken occupation, that they were to refrain from taking the law into their own hands and, if they thought that any of them had “a legal claim to the property”, to approach the courts and to serve her with the necessary court papers.</w:t>
      </w:r>
    </w:p>
  </w:footnote>
  <w:footnote w:id="2">
    <w:p w14:paraId="3F75B2B4" w14:textId="1C841340" w:rsidR="00B465A7" w:rsidRDefault="00B465A7" w:rsidP="00613EF8">
      <w:pPr>
        <w:pStyle w:val="FootnoteText"/>
        <w:spacing w:after="100"/>
        <w:contextualSpacing/>
      </w:pPr>
      <w:r>
        <w:rPr>
          <w:rStyle w:val="FootnoteReference"/>
        </w:rPr>
        <w:footnoteRef/>
      </w:r>
      <w:r>
        <w:t xml:space="preserve"> See sections 11 (1</w:t>
      </w:r>
      <w:proofErr w:type="gramStart"/>
      <w:r>
        <w:t>)(</w:t>
      </w:r>
      <w:proofErr w:type="gramEnd"/>
      <w:r>
        <w:t xml:space="preserve">b) and 26 (1) of the Act.  See also </w:t>
      </w:r>
      <w:proofErr w:type="spellStart"/>
      <w:r>
        <w:t>Meyerowitz</w:t>
      </w:r>
      <w:proofErr w:type="spellEnd"/>
      <w:r>
        <w:t xml:space="preserve"> on Administration of Estates and Estate Duty, 2004 Ed, at 12.</w:t>
      </w:r>
      <w:r w:rsidRPr="00B465A7">
        <w:t>24 and 12.26</w:t>
      </w:r>
      <w:r w:rsidRPr="00E1326E">
        <w:rPr>
          <w:i/>
          <w:iCs/>
        </w:rPr>
        <w:t xml:space="preserve">; </w:t>
      </w:r>
      <w:proofErr w:type="spellStart"/>
      <w:r w:rsidRPr="00E1326E">
        <w:rPr>
          <w:i/>
          <w:iCs/>
        </w:rPr>
        <w:t>Lockhat’s</w:t>
      </w:r>
      <w:proofErr w:type="spellEnd"/>
      <w:r w:rsidRPr="00E1326E">
        <w:rPr>
          <w:i/>
          <w:iCs/>
        </w:rPr>
        <w:t xml:space="preserve"> Estate v North British and Mercantile Insurance Company Ltd</w:t>
      </w:r>
      <w:r w:rsidRPr="00B465A7">
        <w:t xml:space="preserve"> 1959 (3) SA 295 (A) at 302 F – G.</w:t>
      </w:r>
    </w:p>
    <w:p w14:paraId="11E34FB3" w14:textId="77777777" w:rsidR="00E1326E" w:rsidRPr="00B465A7" w:rsidRDefault="00E1326E" w:rsidP="00613EF8">
      <w:pPr>
        <w:pStyle w:val="FootnoteText"/>
        <w:spacing w:after="100"/>
        <w:contextualSpacing/>
      </w:pPr>
    </w:p>
  </w:footnote>
  <w:footnote w:id="3">
    <w:p w14:paraId="39204CC6" w14:textId="58754A83" w:rsidR="00A05825" w:rsidRDefault="00A05825" w:rsidP="00613EF8">
      <w:pPr>
        <w:pStyle w:val="FootnoteText"/>
        <w:spacing w:after="100"/>
        <w:contextualSpacing/>
        <w:rPr>
          <w:lang w:val="en-GB"/>
        </w:rPr>
      </w:pPr>
      <w:r w:rsidRPr="00B465A7">
        <w:rPr>
          <w:rStyle w:val="FootnoteReference"/>
        </w:rPr>
        <w:footnoteRef/>
      </w:r>
      <w:r w:rsidRPr="00B465A7">
        <w:t xml:space="preserve"> </w:t>
      </w:r>
      <w:r w:rsidRPr="00E1326E">
        <w:rPr>
          <w:i/>
          <w:iCs/>
          <w:lang w:val="en-GB"/>
        </w:rPr>
        <w:t xml:space="preserve">Agha v </w:t>
      </w:r>
      <w:proofErr w:type="spellStart"/>
      <w:r w:rsidRPr="00E1326E">
        <w:rPr>
          <w:i/>
          <w:iCs/>
          <w:lang w:val="en-GB"/>
        </w:rPr>
        <w:t>Sukan</w:t>
      </w:r>
      <w:proofErr w:type="spellEnd"/>
      <w:r w:rsidRPr="00B465A7">
        <w:rPr>
          <w:lang w:val="en-GB"/>
        </w:rPr>
        <w:t xml:space="preserve"> [2004] 3 All SA 421 (D)</w:t>
      </w:r>
      <w:r w:rsidR="00DA5EB5" w:rsidRPr="00B465A7">
        <w:rPr>
          <w:lang w:val="en-GB"/>
        </w:rPr>
        <w:t>.</w:t>
      </w:r>
    </w:p>
    <w:p w14:paraId="26B85E2E" w14:textId="77777777" w:rsidR="00E1326E" w:rsidRPr="00B465A7" w:rsidRDefault="00E1326E" w:rsidP="00613EF8">
      <w:pPr>
        <w:pStyle w:val="FootnoteText"/>
        <w:spacing w:after="100"/>
        <w:contextualSpacing/>
        <w:rPr>
          <w:lang w:val="en-GB"/>
        </w:rPr>
      </w:pPr>
    </w:p>
  </w:footnote>
  <w:footnote w:id="4">
    <w:p w14:paraId="6837D5C9" w14:textId="0B9EDC52" w:rsidR="00030F34" w:rsidRPr="00B465A7" w:rsidRDefault="00030F34" w:rsidP="00613EF8">
      <w:pPr>
        <w:pStyle w:val="FootnoteText"/>
        <w:spacing w:after="100"/>
        <w:contextualSpacing/>
        <w:rPr>
          <w:lang w:val="en-GB"/>
        </w:rPr>
      </w:pPr>
      <w:r w:rsidRPr="00B465A7">
        <w:rPr>
          <w:rStyle w:val="FootnoteReference"/>
        </w:rPr>
        <w:footnoteRef/>
      </w:r>
      <w:r w:rsidRPr="00B465A7">
        <w:t xml:space="preserve"> </w:t>
      </w:r>
      <w:r w:rsidRPr="00E1326E">
        <w:rPr>
          <w:i/>
          <w:iCs/>
          <w:lang w:val="en-US"/>
        </w:rPr>
        <w:t xml:space="preserve">Agha v </w:t>
      </w:r>
      <w:proofErr w:type="spellStart"/>
      <w:r w:rsidRPr="00E1326E">
        <w:rPr>
          <w:i/>
          <w:iCs/>
          <w:lang w:val="en-US"/>
        </w:rPr>
        <w:t>Sukan</w:t>
      </w:r>
      <w:proofErr w:type="spellEnd"/>
      <w:r w:rsidR="00DA5EB5" w:rsidRPr="00E1326E">
        <w:rPr>
          <w:i/>
          <w:iCs/>
          <w:lang w:val="en-US"/>
        </w:rPr>
        <w:t>,</w:t>
      </w:r>
      <w:r w:rsidR="00DA5EB5" w:rsidRPr="00B465A7">
        <w:rPr>
          <w:lang w:val="en-US"/>
        </w:rPr>
        <w:t xml:space="preserve"> </w:t>
      </w:r>
      <w:r w:rsidR="00DA5EB5" w:rsidRPr="00B465A7">
        <w:rPr>
          <w:i/>
          <w:iCs/>
          <w:lang w:val="en-US"/>
        </w:rPr>
        <w:t>Supra</w:t>
      </w:r>
      <w:r w:rsidR="00DA5EB5" w:rsidRPr="00B465A7">
        <w:rPr>
          <w:lang w:val="en-US"/>
        </w:rPr>
        <w:t xml:space="preserve">, </w:t>
      </w:r>
      <w:r w:rsidR="00DA5EB5" w:rsidRPr="00B465A7">
        <w:rPr>
          <w:lang w:val="en-GB"/>
        </w:rPr>
        <w:t>at page 433.  The respondent qualified as a possessor with sufficient interest in the property to claim spoliation.</w:t>
      </w:r>
    </w:p>
  </w:footnote>
  <w:footnote w:id="5">
    <w:p w14:paraId="03624127" w14:textId="77777777" w:rsidR="00E1326E" w:rsidRDefault="00E1326E" w:rsidP="00613EF8">
      <w:pPr>
        <w:pStyle w:val="FootnoteText"/>
        <w:spacing w:after="100"/>
        <w:contextualSpacing/>
      </w:pPr>
    </w:p>
    <w:p w14:paraId="17E5FF55" w14:textId="0A01D558" w:rsidR="00993D8D" w:rsidRPr="00993D8D" w:rsidRDefault="00993D8D" w:rsidP="00613EF8">
      <w:pPr>
        <w:pStyle w:val="FootnoteText"/>
        <w:spacing w:after="100"/>
        <w:contextualSpacing/>
        <w:rPr>
          <w:lang w:val="en-GB"/>
        </w:rPr>
      </w:pPr>
      <w:r w:rsidRPr="00B465A7">
        <w:rPr>
          <w:rStyle w:val="FootnoteReference"/>
        </w:rPr>
        <w:footnoteRef/>
      </w:r>
      <w:r w:rsidRPr="00B465A7">
        <w:t xml:space="preserve"> </w:t>
      </w:r>
      <w:r w:rsidR="004A3118" w:rsidRPr="00B465A7">
        <w:t>Christie</w:t>
      </w:r>
      <w:r w:rsidR="00B465A7">
        <w:t>’</w:t>
      </w:r>
      <w:r w:rsidR="004A3118" w:rsidRPr="00B465A7">
        <w:t>s Law of Contract</w:t>
      </w:r>
      <w:r w:rsidR="004A3118">
        <w:t xml:space="preserve"> in SA, 7</w:t>
      </w:r>
      <w:r w:rsidR="004A3118" w:rsidRPr="004A3118">
        <w:rPr>
          <w:vertAlign w:val="superscript"/>
        </w:rPr>
        <w:t>th</w:t>
      </w:r>
      <w:r w:rsidR="004A3118">
        <w:t xml:space="preserve"> Ed, at 12.3.6 (page 583 – 4).</w:t>
      </w:r>
    </w:p>
  </w:footnote>
  <w:footnote w:id="6">
    <w:p w14:paraId="0ACF5688" w14:textId="77777777" w:rsidR="00E1326E" w:rsidRDefault="00E1326E" w:rsidP="00613EF8">
      <w:pPr>
        <w:pStyle w:val="FootnoteText"/>
        <w:spacing w:after="100"/>
        <w:contextualSpacing/>
      </w:pPr>
    </w:p>
    <w:p w14:paraId="2B02E4D1" w14:textId="2041A8C6" w:rsidR="00B465A7" w:rsidRDefault="00B465A7" w:rsidP="00613EF8">
      <w:pPr>
        <w:pStyle w:val="FootnoteText"/>
        <w:spacing w:after="100"/>
        <w:contextualSpacing/>
      </w:pPr>
      <w:r>
        <w:rPr>
          <w:rStyle w:val="FootnoteReference"/>
        </w:rPr>
        <w:footnoteRef/>
      </w:r>
      <w:r>
        <w:t xml:space="preserve"> Christie’s Law of Contract </w:t>
      </w:r>
      <w:r w:rsidRPr="00B465A7">
        <w:rPr>
          <w:i/>
          <w:iCs/>
        </w:rPr>
        <w:t>Supra</w:t>
      </w:r>
      <w:r>
        <w:t xml:space="preserve"> at 584.  See also </w:t>
      </w:r>
      <w:proofErr w:type="spellStart"/>
      <w:r>
        <w:t>Kernick’s</w:t>
      </w:r>
      <w:proofErr w:type="spellEnd"/>
      <w:r>
        <w:t xml:space="preserve"> Administration of Estates and Drafting of Wills, 4</w:t>
      </w:r>
      <w:r w:rsidRPr="00B465A7">
        <w:rPr>
          <w:vertAlign w:val="superscript"/>
        </w:rPr>
        <w:t>th</w:t>
      </w:r>
      <w:r>
        <w:t xml:space="preserve"> </w:t>
      </w:r>
      <w:r w:rsidR="00E1326E">
        <w:t>E</w:t>
      </w:r>
      <w:r>
        <w:t>d, at 56.1.2 (page 63); Norman’s Law of Purchase and Sale in SA, 5t</w:t>
      </w:r>
      <w:r w:rsidR="00613EF8">
        <w:t>h</w:t>
      </w:r>
      <w:r>
        <w:t xml:space="preserve"> Ed, at 8.11 (page 71). </w:t>
      </w:r>
    </w:p>
  </w:footnote>
  <w:footnote w:id="7">
    <w:p w14:paraId="61784131" w14:textId="77777777" w:rsidR="00E1326E" w:rsidRDefault="00E1326E" w:rsidP="00613EF8">
      <w:pPr>
        <w:pStyle w:val="FootnoteText"/>
        <w:spacing w:after="100"/>
        <w:contextualSpacing/>
      </w:pPr>
    </w:p>
    <w:p w14:paraId="24EFDB17" w14:textId="6B6A20C6" w:rsidR="00110A4A" w:rsidRPr="00110A4A" w:rsidRDefault="00110A4A" w:rsidP="00613EF8">
      <w:pPr>
        <w:pStyle w:val="FootnoteText"/>
        <w:spacing w:after="100"/>
        <w:contextualSpacing/>
        <w:rPr>
          <w:lang w:val="en-GB"/>
        </w:rPr>
      </w:pPr>
      <w:r>
        <w:rPr>
          <w:rStyle w:val="FootnoteReference"/>
        </w:rPr>
        <w:footnoteRef/>
      </w:r>
      <w:r>
        <w:t xml:space="preserve"> </w:t>
      </w:r>
      <w:r w:rsidR="009118B0">
        <w:t>1946 WLD 83.</w:t>
      </w:r>
    </w:p>
  </w:footnote>
  <w:footnote w:id="8">
    <w:p w14:paraId="40B5E967" w14:textId="77777777" w:rsidR="00E1326E" w:rsidRDefault="00E1326E" w:rsidP="00613EF8">
      <w:pPr>
        <w:pStyle w:val="FootnoteText"/>
        <w:spacing w:after="100"/>
        <w:contextualSpacing/>
      </w:pPr>
    </w:p>
    <w:p w14:paraId="073789CA" w14:textId="5D69D8FA" w:rsidR="00110A4A" w:rsidRPr="00110A4A" w:rsidRDefault="00110A4A" w:rsidP="00613EF8">
      <w:pPr>
        <w:pStyle w:val="FootnoteText"/>
        <w:spacing w:after="100"/>
        <w:contextualSpacing/>
        <w:rPr>
          <w:lang w:val="en-GB"/>
        </w:rPr>
      </w:pPr>
      <w:r>
        <w:rPr>
          <w:rStyle w:val="FootnoteReference"/>
        </w:rPr>
        <w:footnoteRef/>
      </w:r>
      <w:r>
        <w:t xml:space="preserve"> </w:t>
      </w:r>
      <w:r w:rsidR="009118B0">
        <w:t xml:space="preserve"> AC 624 (PC) 634-5.</w:t>
      </w:r>
    </w:p>
  </w:footnote>
  <w:footnote w:id="9">
    <w:p w14:paraId="0782CD2A" w14:textId="462F47A0" w:rsidR="00613EF8" w:rsidRDefault="00613EF8" w:rsidP="00613EF8">
      <w:pPr>
        <w:pStyle w:val="FootnoteText"/>
        <w:spacing w:after="100"/>
        <w:contextualSpacing/>
      </w:pPr>
      <w:r>
        <w:rPr>
          <w:rStyle w:val="FootnoteReference"/>
        </w:rPr>
        <w:footnoteRef/>
      </w:r>
      <w:r>
        <w:t xml:space="preserve"> A creditor is not precluded by the Act from instituting action in terms of his/her common law rights against the deceased estate for the recovery of a debt owed by the estate.  See </w:t>
      </w:r>
      <w:proofErr w:type="spellStart"/>
      <w:r w:rsidRPr="00613EF8">
        <w:rPr>
          <w:i/>
          <w:iCs/>
        </w:rPr>
        <w:t>Nedbank</w:t>
      </w:r>
      <w:proofErr w:type="spellEnd"/>
      <w:r w:rsidRPr="00613EF8">
        <w:rPr>
          <w:i/>
          <w:iCs/>
        </w:rPr>
        <w:t xml:space="preserve"> Ltd v </w:t>
      </w:r>
      <w:proofErr w:type="spellStart"/>
      <w:r w:rsidRPr="00613EF8">
        <w:rPr>
          <w:i/>
          <w:iCs/>
        </w:rPr>
        <w:t>Steyn</w:t>
      </w:r>
      <w:proofErr w:type="spellEnd"/>
      <w:r>
        <w:t xml:space="preserve"> 2016 (2) SA 416 (SCA).</w:t>
      </w:r>
    </w:p>
  </w:footnote>
  <w:footnote w:id="10">
    <w:p w14:paraId="2259EA46" w14:textId="43E1110F" w:rsidR="00DC39CB" w:rsidRPr="009118B0" w:rsidRDefault="00DC39CB" w:rsidP="00613EF8">
      <w:pPr>
        <w:pStyle w:val="ListParagraph"/>
        <w:spacing w:after="100" w:line="240" w:lineRule="auto"/>
        <w:ind w:left="0"/>
        <w:rPr>
          <w:rFonts w:asciiTheme="minorHAnsi" w:hAnsiTheme="minorHAnsi" w:cstheme="minorHAnsi"/>
          <w:sz w:val="20"/>
          <w:szCs w:val="20"/>
        </w:rPr>
      </w:pPr>
      <w:r>
        <w:rPr>
          <w:rStyle w:val="FootnoteReference"/>
        </w:rPr>
        <w:footnoteRef/>
      </w:r>
      <w:r>
        <w:t xml:space="preserve"> </w:t>
      </w:r>
      <w:r w:rsidR="008012DC">
        <w:rPr>
          <w:rFonts w:asciiTheme="minorHAnsi" w:hAnsiTheme="minorHAnsi" w:cstheme="minorHAnsi"/>
          <w:sz w:val="20"/>
          <w:szCs w:val="20"/>
        </w:rPr>
        <w:t>P</w:t>
      </w:r>
      <w:r w:rsidRPr="00756108">
        <w:rPr>
          <w:rFonts w:asciiTheme="minorHAnsi" w:hAnsiTheme="minorHAnsi" w:cstheme="minorHAnsi"/>
          <w:sz w:val="20"/>
          <w:szCs w:val="20"/>
        </w:rPr>
        <w:t xml:space="preserve">ursuant to the despoiling </w:t>
      </w:r>
      <w:r w:rsidR="008012DC" w:rsidRPr="00756108">
        <w:rPr>
          <w:rFonts w:asciiTheme="minorHAnsi" w:hAnsiTheme="minorHAnsi" w:cstheme="minorHAnsi"/>
          <w:sz w:val="20"/>
          <w:szCs w:val="20"/>
        </w:rPr>
        <w:t xml:space="preserve">of </w:t>
      </w:r>
      <w:r w:rsidR="008012DC">
        <w:rPr>
          <w:rFonts w:asciiTheme="minorHAnsi" w:hAnsiTheme="minorHAnsi" w:cstheme="minorHAnsi"/>
          <w:sz w:val="20"/>
          <w:szCs w:val="20"/>
        </w:rPr>
        <w:t xml:space="preserve">15 </w:t>
      </w:r>
      <w:r w:rsidRPr="00756108">
        <w:rPr>
          <w:rFonts w:asciiTheme="minorHAnsi" w:hAnsiTheme="minorHAnsi" w:cstheme="minorHAnsi"/>
          <w:sz w:val="20"/>
          <w:szCs w:val="20"/>
        </w:rPr>
        <w:t>December</w:t>
      </w:r>
      <w:r w:rsidR="008012DC">
        <w:rPr>
          <w:rFonts w:asciiTheme="minorHAnsi" w:hAnsiTheme="minorHAnsi" w:cstheme="minorHAnsi"/>
          <w:sz w:val="20"/>
          <w:szCs w:val="20"/>
        </w:rPr>
        <w:t xml:space="preserve"> 2021</w:t>
      </w:r>
      <w:r w:rsidR="009118B0">
        <w:rPr>
          <w:rFonts w:asciiTheme="minorHAnsi" w:hAnsiTheme="minorHAnsi" w:cstheme="minorHAnsi"/>
          <w:sz w:val="20"/>
          <w:szCs w:val="20"/>
        </w:rPr>
        <w:t xml:space="preserve"> and the launch of the spoliation application,</w:t>
      </w:r>
      <w:r w:rsidR="008012DC">
        <w:rPr>
          <w:rFonts w:asciiTheme="minorHAnsi" w:hAnsiTheme="minorHAnsi" w:cstheme="minorHAnsi"/>
          <w:sz w:val="20"/>
          <w:szCs w:val="20"/>
        </w:rPr>
        <w:t xml:space="preserve"> the applicants</w:t>
      </w:r>
      <w:r w:rsidRPr="00756108">
        <w:rPr>
          <w:rFonts w:asciiTheme="minorHAnsi" w:hAnsiTheme="minorHAnsi" w:cstheme="minorHAnsi"/>
          <w:sz w:val="20"/>
          <w:szCs w:val="20"/>
        </w:rPr>
        <w:t xml:space="preserve"> opportunistically entrenched themselves in their occupation of the property and remained in unlawful occupation thereafter.  I was further advised from the bar</w:t>
      </w:r>
      <w:r w:rsidR="008012DC">
        <w:rPr>
          <w:rFonts w:asciiTheme="minorHAnsi" w:hAnsiTheme="minorHAnsi" w:cstheme="minorHAnsi"/>
          <w:sz w:val="20"/>
          <w:szCs w:val="20"/>
        </w:rPr>
        <w:t xml:space="preserve"> (by counsel when arguing the present application)</w:t>
      </w:r>
      <w:r w:rsidRPr="00756108">
        <w:rPr>
          <w:rFonts w:asciiTheme="minorHAnsi" w:hAnsiTheme="minorHAnsi" w:cstheme="minorHAnsi"/>
          <w:sz w:val="20"/>
          <w:szCs w:val="20"/>
        </w:rPr>
        <w:t xml:space="preserve"> that despite my order restoring possession </w:t>
      </w:r>
      <w:r w:rsidR="008012DC">
        <w:rPr>
          <w:rFonts w:asciiTheme="minorHAnsi" w:hAnsiTheme="minorHAnsi" w:cstheme="minorHAnsi"/>
          <w:sz w:val="20"/>
          <w:szCs w:val="20"/>
        </w:rPr>
        <w:t xml:space="preserve">of the property to the respondent </w:t>
      </w:r>
      <w:r w:rsidRPr="00756108">
        <w:rPr>
          <w:rFonts w:asciiTheme="minorHAnsi" w:hAnsiTheme="minorHAnsi" w:cstheme="minorHAnsi"/>
          <w:sz w:val="20"/>
          <w:szCs w:val="20"/>
        </w:rPr>
        <w:t xml:space="preserve">and </w:t>
      </w:r>
      <w:r w:rsidR="008012DC">
        <w:rPr>
          <w:rFonts w:asciiTheme="minorHAnsi" w:hAnsiTheme="minorHAnsi" w:cstheme="minorHAnsi"/>
          <w:sz w:val="20"/>
          <w:szCs w:val="20"/>
        </w:rPr>
        <w:t xml:space="preserve">even </w:t>
      </w:r>
      <w:r w:rsidRPr="00756108">
        <w:rPr>
          <w:rFonts w:asciiTheme="minorHAnsi" w:hAnsiTheme="minorHAnsi" w:cstheme="minorHAnsi"/>
          <w:sz w:val="20"/>
          <w:szCs w:val="20"/>
        </w:rPr>
        <w:t xml:space="preserve">after </w:t>
      </w:r>
      <w:r w:rsidR="008012DC">
        <w:rPr>
          <w:rFonts w:asciiTheme="minorHAnsi" w:hAnsiTheme="minorHAnsi" w:cstheme="minorHAnsi"/>
          <w:sz w:val="20"/>
          <w:szCs w:val="20"/>
        </w:rPr>
        <w:t xml:space="preserve">having </w:t>
      </w:r>
      <w:r w:rsidRPr="00756108">
        <w:rPr>
          <w:rFonts w:asciiTheme="minorHAnsi" w:hAnsiTheme="minorHAnsi" w:cstheme="minorHAnsi"/>
          <w:sz w:val="20"/>
          <w:szCs w:val="20"/>
        </w:rPr>
        <w:t>be</w:t>
      </w:r>
      <w:r w:rsidR="008012DC">
        <w:rPr>
          <w:rFonts w:asciiTheme="minorHAnsi" w:hAnsiTheme="minorHAnsi" w:cstheme="minorHAnsi"/>
          <w:sz w:val="20"/>
          <w:szCs w:val="20"/>
        </w:rPr>
        <w:t>en</w:t>
      </w:r>
      <w:r w:rsidRPr="00756108">
        <w:rPr>
          <w:rFonts w:asciiTheme="minorHAnsi" w:hAnsiTheme="minorHAnsi" w:cstheme="minorHAnsi"/>
          <w:sz w:val="20"/>
          <w:szCs w:val="20"/>
        </w:rPr>
        <w:t xml:space="preserve"> “ejected” by the </w:t>
      </w:r>
      <w:r w:rsidR="00C4246B">
        <w:rPr>
          <w:rFonts w:asciiTheme="minorHAnsi" w:hAnsiTheme="minorHAnsi" w:cstheme="minorHAnsi"/>
          <w:sz w:val="20"/>
          <w:szCs w:val="20"/>
        </w:rPr>
        <w:t>sherif</w:t>
      </w:r>
      <w:r w:rsidRPr="00756108">
        <w:rPr>
          <w:rFonts w:asciiTheme="minorHAnsi" w:hAnsiTheme="minorHAnsi" w:cstheme="minorHAnsi"/>
          <w:sz w:val="20"/>
          <w:szCs w:val="20"/>
        </w:rPr>
        <w:t>f</w:t>
      </w:r>
      <w:r w:rsidR="00C4246B">
        <w:rPr>
          <w:rFonts w:asciiTheme="minorHAnsi" w:hAnsiTheme="minorHAnsi" w:cstheme="minorHAnsi"/>
          <w:sz w:val="20"/>
          <w:szCs w:val="20"/>
        </w:rPr>
        <w:t>,</w:t>
      </w:r>
      <w:r w:rsidR="008012DC">
        <w:rPr>
          <w:rFonts w:asciiTheme="minorHAnsi" w:hAnsiTheme="minorHAnsi" w:cstheme="minorHAnsi"/>
          <w:sz w:val="20"/>
          <w:szCs w:val="20"/>
        </w:rPr>
        <w:t xml:space="preserve"> that the applicants had </w:t>
      </w:r>
      <w:r w:rsidRPr="00756108">
        <w:rPr>
          <w:rFonts w:asciiTheme="minorHAnsi" w:hAnsiTheme="minorHAnsi" w:cstheme="minorHAnsi"/>
          <w:sz w:val="20"/>
          <w:szCs w:val="20"/>
        </w:rPr>
        <w:t>again moved back onto the premises.</w:t>
      </w:r>
    </w:p>
  </w:footnote>
  <w:footnote w:id="11">
    <w:p w14:paraId="0FD09AFE" w14:textId="21C8993B" w:rsidR="00613EF8" w:rsidRDefault="00613EF8">
      <w:pPr>
        <w:pStyle w:val="FootnoteText"/>
      </w:pPr>
      <w:r>
        <w:rPr>
          <w:rStyle w:val="FootnoteReference"/>
        </w:rPr>
        <w:footnoteRef/>
      </w:r>
      <w:r>
        <w:t xml:space="preserve"> The estate has other avenues open to it in terms of the provisions of the Act.  For example, it may invoke the provisions of section 26 (3) or seek a </w:t>
      </w:r>
      <w:proofErr w:type="spellStart"/>
      <w:r>
        <w:t>declarator</w:t>
      </w:r>
      <w:proofErr w:type="spellEnd"/>
      <w:r>
        <w:t xml:space="preserve"> that the executor is entitled to maintain control of the property in her official capacity until the applicants have pursued their claim against the estate.</w:t>
      </w:r>
    </w:p>
  </w:footnote>
  <w:footnote w:id="12">
    <w:p w14:paraId="06B4A2F6" w14:textId="72875A16" w:rsidR="0085168D" w:rsidRPr="0085168D" w:rsidRDefault="0085168D" w:rsidP="00613EF8">
      <w:pPr>
        <w:pStyle w:val="FootnoteText"/>
        <w:spacing w:after="100"/>
        <w:contextualSpacing/>
        <w:rPr>
          <w:lang w:val="en-GB"/>
        </w:rPr>
      </w:pPr>
      <w:r>
        <w:rPr>
          <w:rStyle w:val="FootnoteReference"/>
        </w:rPr>
        <w:footnoteRef/>
      </w:r>
      <w:r>
        <w:t xml:space="preserve"> </w:t>
      </w:r>
      <w:r w:rsidR="00C4246B">
        <w:t xml:space="preserve">Christie’s Law of Contract </w:t>
      </w:r>
      <w:r w:rsidR="00C4246B" w:rsidRPr="00C4246B">
        <w:rPr>
          <w:i/>
          <w:iCs/>
        </w:rPr>
        <w:t>Supra</w:t>
      </w:r>
      <w:r w:rsidR="00C4246B">
        <w:t xml:space="preserve"> at page 583.</w:t>
      </w:r>
    </w:p>
  </w:footnote>
  <w:footnote w:id="13">
    <w:p w14:paraId="3C5ABB24" w14:textId="77777777" w:rsidR="00C4246B" w:rsidRPr="00B7393A" w:rsidRDefault="00C4246B" w:rsidP="00613EF8">
      <w:pPr>
        <w:pStyle w:val="FootnoteText"/>
        <w:spacing w:after="100"/>
        <w:contextualSpacing/>
        <w:rPr>
          <w:lang w:val="en-US"/>
        </w:rPr>
      </w:pPr>
      <w:r>
        <w:rPr>
          <w:rStyle w:val="FootnoteReference"/>
        </w:rPr>
        <w:footnoteRef/>
      </w:r>
      <w:r>
        <w:t xml:space="preserve"> </w:t>
      </w:r>
      <w:r>
        <w:rPr>
          <w:lang w:val="en-US"/>
        </w:rPr>
        <w:t xml:space="preserve">Rule 6 (9) does not operate where the Master’s involvement is neither legally necessary or of assistance to the court.  </w:t>
      </w:r>
      <w:r w:rsidRPr="00E1326E">
        <w:rPr>
          <w:i/>
          <w:iCs/>
          <w:lang w:val="en-US"/>
        </w:rPr>
        <w:t xml:space="preserve">Manton v </w:t>
      </w:r>
      <w:proofErr w:type="spellStart"/>
      <w:r w:rsidRPr="00E1326E">
        <w:rPr>
          <w:i/>
          <w:iCs/>
          <w:lang w:val="en-US"/>
        </w:rPr>
        <w:t>Croucamp</w:t>
      </w:r>
      <w:proofErr w:type="spellEnd"/>
      <w:r w:rsidRPr="00E1326E">
        <w:rPr>
          <w:i/>
          <w:iCs/>
          <w:lang w:val="en-US"/>
        </w:rPr>
        <w:t xml:space="preserve"> N.O. &amp; Others</w:t>
      </w:r>
      <w:r>
        <w:rPr>
          <w:lang w:val="en-US"/>
        </w:rPr>
        <w:t xml:space="preserve"> 2001 (4) SA 374 (W) at 379.</w:t>
      </w:r>
    </w:p>
  </w:footnote>
  <w:footnote w:id="14">
    <w:p w14:paraId="23E31585" w14:textId="11F48202" w:rsidR="00D77CB8" w:rsidRDefault="00D77CB8" w:rsidP="00613EF8">
      <w:pPr>
        <w:pStyle w:val="FootnoteText"/>
        <w:spacing w:after="100"/>
        <w:contextualSpacing/>
      </w:pPr>
      <w:r>
        <w:rPr>
          <w:rStyle w:val="FootnoteReference"/>
        </w:rPr>
        <w:footnoteRef/>
      </w:r>
      <w:r>
        <w:t xml:space="preserve"> </w:t>
      </w:r>
      <w:r w:rsidR="003468D3">
        <w:t>No. 68 of 1981.  See section 2 (1).</w:t>
      </w:r>
    </w:p>
    <w:p w14:paraId="6C2C448A" w14:textId="77777777" w:rsidR="008A575F" w:rsidRPr="00D77CB8" w:rsidRDefault="008A575F" w:rsidP="00613EF8">
      <w:pPr>
        <w:pStyle w:val="FootnoteText"/>
        <w:spacing w:after="100"/>
        <w:contextualSpacing/>
        <w:rPr>
          <w:lang w:val="en-GB"/>
        </w:rPr>
      </w:pPr>
    </w:p>
  </w:footnote>
  <w:footnote w:id="15">
    <w:p w14:paraId="7ACAC61A" w14:textId="55B0F99F" w:rsidR="0014362F" w:rsidRDefault="0014362F" w:rsidP="00613EF8">
      <w:pPr>
        <w:pStyle w:val="FootnoteText"/>
        <w:spacing w:after="100"/>
        <w:contextualSpacing/>
      </w:pPr>
      <w:r>
        <w:rPr>
          <w:rStyle w:val="FootnoteReference"/>
        </w:rPr>
        <w:footnoteRef/>
      </w:r>
      <w:r>
        <w:t xml:space="preserve"> The price is a material term of a deed of alienation an</w:t>
      </w:r>
      <w:r w:rsidR="00E1326E">
        <w:t>d</w:t>
      </w:r>
      <w:r>
        <w:t xml:space="preserve"> a variation of such a term must comply with the prescribed formalities to be valid.  </w:t>
      </w:r>
      <w:proofErr w:type="spellStart"/>
      <w:r w:rsidRPr="0014362F">
        <w:rPr>
          <w:i/>
          <w:iCs/>
        </w:rPr>
        <w:t>Sidlali</w:t>
      </w:r>
      <w:proofErr w:type="spellEnd"/>
      <w:r w:rsidRPr="0014362F">
        <w:rPr>
          <w:i/>
          <w:iCs/>
        </w:rPr>
        <w:t xml:space="preserve"> v </w:t>
      </w:r>
      <w:proofErr w:type="spellStart"/>
      <w:r w:rsidRPr="0014362F">
        <w:rPr>
          <w:i/>
          <w:iCs/>
        </w:rPr>
        <w:t>Mpolongwana</w:t>
      </w:r>
      <w:proofErr w:type="spellEnd"/>
      <w:r>
        <w:t xml:space="preserve"> 1990 (4) SA 212 (C), </w:t>
      </w:r>
      <w:proofErr w:type="spellStart"/>
      <w:r w:rsidRPr="0014362F">
        <w:rPr>
          <w:i/>
          <w:iCs/>
        </w:rPr>
        <w:t>Bailes</w:t>
      </w:r>
      <w:proofErr w:type="spellEnd"/>
      <w:r w:rsidRPr="0014362F">
        <w:rPr>
          <w:i/>
          <w:iCs/>
        </w:rPr>
        <w:t xml:space="preserve"> v Highveld 7 Properties (Pty) Ltd</w:t>
      </w:r>
      <w:r>
        <w:t xml:space="preserve"> 1998 (4) SA 42 (N). </w:t>
      </w:r>
    </w:p>
  </w:footnote>
  <w:footnote w:id="16">
    <w:p w14:paraId="4E47B89D" w14:textId="77777777" w:rsidR="008A575F" w:rsidRDefault="008A575F">
      <w:pPr>
        <w:pStyle w:val="FootnoteText"/>
      </w:pPr>
    </w:p>
    <w:p w14:paraId="1516218B" w14:textId="794E5CB6" w:rsidR="00E1326E" w:rsidRDefault="00E1326E">
      <w:pPr>
        <w:pStyle w:val="FootnoteText"/>
      </w:pPr>
      <w:r>
        <w:rPr>
          <w:rStyle w:val="FootnoteReference"/>
        </w:rPr>
        <w:footnoteRef/>
      </w:r>
      <w:r>
        <w:t xml:space="preserve"> “Registered” has its own unique meaning in terms of the Deeds Registries Act, No. 47 of 1937.  See section 102 (1).  See also section 13 which provides when registration takes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763677"/>
      <w:docPartObj>
        <w:docPartGallery w:val="Page Numbers (Top of Page)"/>
        <w:docPartUnique/>
      </w:docPartObj>
    </w:sdtPr>
    <w:sdtEndPr>
      <w:rPr>
        <w:noProof/>
      </w:rPr>
    </w:sdtEndPr>
    <w:sdtContent>
      <w:p w14:paraId="4684A644" w14:textId="1805CAAE" w:rsidR="0089010A" w:rsidRDefault="0089010A">
        <w:pPr>
          <w:pStyle w:val="Header"/>
          <w:jc w:val="center"/>
        </w:pPr>
        <w:r>
          <w:fldChar w:fldCharType="begin"/>
        </w:r>
        <w:r>
          <w:instrText xml:space="preserve"> PAGE   \* MERGEFORMAT </w:instrText>
        </w:r>
        <w:r>
          <w:fldChar w:fldCharType="separate"/>
        </w:r>
        <w:r w:rsidR="00E92BEA">
          <w:rPr>
            <w:noProof/>
          </w:rPr>
          <w:t>14</w:t>
        </w:r>
        <w:r>
          <w:rPr>
            <w:noProof/>
          </w:rPr>
          <w:fldChar w:fldCharType="end"/>
        </w:r>
      </w:p>
    </w:sdtContent>
  </w:sdt>
  <w:p w14:paraId="359273C5" w14:textId="77777777" w:rsidR="0033202C" w:rsidRDefault="0033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205C"/>
    <w:multiLevelType w:val="hybridMultilevel"/>
    <w:tmpl w:val="C29C4FC4"/>
    <w:lvl w:ilvl="0" w:tplc="866A1482">
      <w:start w:val="1"/>
      <w:numFmt w:val="decimal"/>
      <w:lvlText w:val="%1."/>
      <w:lvlJc w:val="left"/>
      <w:pPr>
        <w:ind w:left="1440" w:hanging="360"/>
      </w:pPr>
      <w:rPr>
        <w:rFonts w:ascii="Times New Roman" w:eastAsiaTheme="minorHAnsi" w:hAnsi="Times New Roman" w:cstheme="minorBid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0780405"/>
    <w:multiLevelType w:val="hybridMultilevel"/>
    <w:tmpl w:val="A70620F8"/>
    <w:lvl w:ilvl="0" w:tplc="5F0A8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FA16F8"/>
    <w:multiLevelType w:val="hybridMultilevel"/>
    <w:tmpl w:val="C4BC0A16"/>
    <w:lvl w:ilvl="0" w:tplc="E88AA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0541A2"/>
    <w:multiLevelType w:val="hybridMultilevel"/>
    <w:tmpl w:val="4B9855AA"/>
    <w:lvl w:ilvl="0" w:tplc="5F0A8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9930793"/>
    <w:multiLevelType w:val="multilevel"/>
    <w:tmpl w:val="143235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59600E0F"/>
    <w:multiLevelType w:val="hybridMultilevel"/>
    <w:tmpl w:val="EC8C4BC6"/>
    <w:lvl w:ilvl="0" w:tplc="5F0A8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590"/>
    <w:multiLevelType w:val="hybridMultilevel"/>
    <w:tmpl w:val="76807526"/>
    <w:lvl w:ilvl="0" w:tplc="C2A82966">
      <w:start w:val="1"/>
      <w:numFmt w:val="decimal"/>
      <w:lvlText w:val="%1."/>
      <w:lvlJc w:val="left"/>
      <w:pPr>
        <w:ind w:left="1420" w:hanging="71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E2"/>
    <w:rsid w:val="00012B65"/>
    <w:rsid w:val="0002119D"/>
    <w:rsid w:val="00030F34"/>
    <w:rsid w:val="000340D6"/>
    <w:rsid w:val="00035A2E"/>
    <w:rsid w:val="00036DC8"/>
    <w:rsid w:val="000513C2"/>
    <w:rsid w:val="00055374"/>
    <w:rsid w:val="0005638A"/>
    <w:rsid w:val="0007119F"/>
    <w:rsid w:val="000842EA"/>
    <w:rsid w:val="000851A5"/>
    <w:rsid w:val="000B2544"/>
    <w:rsid w:val="000E483A"/>
    <w:rsid w:val="000F32BE"/>
    <w:rsid w:val="00110A4A"/>
    <w:rsid w:val="001137F6"/>
    <w:rsid w:val="001158B5"/>
    <w:rsid w:val="0012630A"/>
    <w:rsid w:val="0013357F"/>
    <w:rsid w:val="0014362F"/>
    <w:rsid w:val="00177DCC"/>
    <w:rsid w:val="0018368D"/>
    <w:rsid w:val="001926A2"/>
    <w:rsid w:val="001E3EF6"/>
    <w:rsid w:val="002001BC"/>
    <w:rsid w:val="00215093"/>
    <w:rsid w:val="002211F0"/>
    <w:rsid w:val="002219AE"/>
    <w:rsid w:val="00233140"/>
    <w:rsid w:val="00254561"/>
    <w:rsid w:val="00257C42"/>
    <w:rsid w:val="00270483"/>
    <w:rsid w:val="0028313A"/>
    <w:rsid w:val="0028643D"/>
    <w:rsid w:val="00296BCB"/>
    <w:rsid w:val="002B6C72"/>
    <w:rsid w:val="002C2FC7"/>
    <w:rsid w:val="002C5CC8"/>
    <w:rsid w:val="002D6095"/>
    <w:rsid w:val="002E4A03"/>
    <w:rsid w:val="002F2681"/>
    <w:rsid w:val="002F5498"/>
    <w:rsid w:val="003101A1"/>
    <w:rsid w:val="0033202C"/>
    <w:rsid w:val="00333990"/>
    <w:rsid w:val="0033436E"/>
    <w:rsid w:val="003468D3"/>
    <w:rsid w:val="00352EC8"/>
    <w:rsid w:val="0037024D"/>
    <w:rsid w:val="00376393"/>
    <w:rsid w:val="00390069"/>
    <w:rsid w:val="00397049"/>
    <w:rsid w:val="003C4230"/>
    <w:rsid w:val="00425FF2"/>
    <w:rsid w:val="00437877"/>
    <w:rsid w:val="00446D49"/>
    <w:rsid w:val="004568C1"/>
    <w:rsid w:val="004A3118"/>
    <w:rsid w:val="004D1816"/>
    <w:rsid w:val="004E399B"/>
    <w:rsid w:val="004F31FE"/>
    <w:rsid w:val="00510290"/>
    <w:rsid w:val="0052418D"/>
    <w:rsid w:val="005308E1"/>
    <w:rsid w:val="00574F0A"/>
    <w:rsid w:val="005B0868"/>
    <w:rsid w:val="005B20BB"/>
    <w:rsid w:val="005B79BD"/>
    <w:rsid w:val="005B7EE7"/>
    <w:rsid w:val="005D4AB7"/>
    <w:rsid w:val="00613EF8"/>
    <w:rsid w:val="00621915"/>
    <w:rsid w:val="00644A91"/>
    <w:rsid w:val="00644DB4"/>
    <w:rsid w:val="00650754"/>
    <w:rsid w:val="00654909"/>
    <w:rsid w:val="00664067"/>
    <w:rsid w:val="00685118"/>
    <w:rsid w:val="006917D6"/>
    <w:rsid w:val="006A565E"/>
    <w:rsid w:val="0072033A"/>
    <w:rsid w:val="00724C46"/>
    <w:rsid w:val="007529C4"/>
    <w:rsid w:val="007A3E58"/>
    <w:rsid w:val="007A724E"/>
    <w:rsid w:val="007D388D"/>
    <w:rsid w:val="007D5002"/>
    <w:rsid w:val="007D7B35"/>
    <w:rsid w:val="007F677C"/>
    <w:rsid w:val="007F6843"/>
    <w:rsid w:val="008012DC"/>
    <w:rsid w:val="008031BB"/>
    <w:rsid w:val="008305F0"/>
    <w:rsid w:val="008423DA"/>
    <w:rsid w:val="0085168D"/>
    <w:rsid w:val="00856689"/>
    <w:rsid w:val="00875258"/>
    <w:rsid w:val="00880600"/>
    <w:rsid w:val="0089010A"/>
    <w:rsid w:val="008912ED"/>
    <w:rsid w:val="008A575F"/>
    <w:rsid w:val="008C154D"/>
    <w:rsid w:val="009118B0"/>
    <w:rsid w:val="00916069"/>
    <w:rsid w:val="00944C1F"/>
    <w:rsid w:val="00983E7F"/>
    <w:rsid w:val="009902BD"/>
    <w:rsid w:val="00993D8D"/>
    <w:rsid w:val="009A3984"/>
    <w:rsid w:val="009B628F"/>
    <w:rsid w:val="009B7C85"/>
    <w:rsid w:val="00A05825"/>
    <w:rsid w:val="00A16842"/>
    <w:rsid w:val="00A172D2"/>
    <w:rsid w:val="00A72665"/>
    <w:rsid w:val="00A857EB"/>
    <w:rsid w:val="00A92E85"/>
    <w:rsid w:val="00AF3270"/>
    <w:rsid w:val="00B34508"/>
    <w:rsid w:val="00B465A7"/>
    <w:rsid w:val="00B47754"/>
    <w:rsid w:val="00B611FB"/>
    <w:rsid w:val="00B62771"/>
    <w:rsid w:val="00B714B8"/>
    <w:rsid w:val="00B7393A"/>
    <w:rsid w:val="00B803AA"/>
    <w:rsid w:val="00B92384"/>
    <w:rsid w:val="00BA0B5B"/>
    <w:rsid w:val="00BA1C9A"/>
    <w:rsid w:val="00BE168A"/>
    <w:rsid w:val="00BF1A75"/>
    <w:rsid w:val="00BF3264"/>
    <w:rsid w:val="00C11610"/>
    <w:rsid w:val="00C4246B"/>
    <w:rsid w:val="00C4526A"/>
    <w:rsid w:val="00C75A27"/>
    <w:rsid w:val="00C80AE2"/>
    <w:rsid w:val="00CB197E"/>
    <w:rsid w:val="00CB4EB0"/>
    <w:rsid w:val="00CC12C7"/>
    <w:rsid w:val="00CF0825"/>
    <w:rsid w:val="00CF4DFB"/>
    <w:rsid w:val="00D15D70"/>
    <w:rsid w:val="00D336F1"/>
    <w:rsid w:val="00D432D7"/>
    <w:rsid w:val="00D57A9F"/>
    <w:rsid w:val="00D65B63"/>
    <w:rsid w:val="00D73C9F"/>
    <w:rsid w:val="00D77CB8"/>
    <w:rsid w:val="00DA5EB5"/>
    <w:rsid w:val="00DA64BB"/>
    <w:rsid w:val="00DC39CB"/>
    <w:rsid w:val="00DE7833"/>
    <w:rsid w:val="00E0213E"/>
    <w:rsid w:val="00E06214"/>
    <w:rsid w:val="00E1326E"/>
    <w:rsid w:val="00E21E6C"/>
    <w:rsid w:val="00E2340D"/>
    <w:rsid w:val="00E414AA"/>
    <w:rsid w:val="00E72C6B"/>
    <w:rsid w:val="00E923CE"/>
    <w:rsid w:val="00E92BEA"/>
    <w:rsid w:val="00E966DA"/>
    <w:rsid w:val="00EA4EE5"/>
    <w:rsid w:val="00EB4E99"/>
    <w:rsid w:val="00EC0AE7"/>
    <w:rsid w:val="00EC0C51"/>
    <w:rsid w:val="00ED6BC5"/>
    <w:rsid w:val="00F0092C"/>
    <w:rsid w:val="00F0101D"/>
    <w:rsid w:val="00F055CB"/>
    <w:rsid w:val="00F21310"/>
    <w:rsid w:val="00F220AA"/>
    <w:rsid w:val="00F30C16"/>
    <w:rsid w:val="00F52498"/>
    <w:rsid w:val="00F82FE2"/>
    <w:rsid w:val="00FD5F78"/>
    <w:rsid w:val="00FE54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52DD"/>
  <w15:docId w15:val="{42FA7BE6-1F3E-42B5-8E6A-66B57772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E2"/>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A85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7EB"/>
    <w:rPr>
      <w:sz w:val="20"/>
      <w:szCs w:val="20"/>
    </w:rPr>
  </w:style>
  <w:style w:type="character" w:styleId="FootnoteReference">
    <w:name w:val="footnote reference"/>
    <w:basedOn w:val="DefaultParagraphFont"/>
    <w:uiPriority w:val="99"/>
    <w:semiHidden/>
    <w:unhideWhenUsed/>
    <w:rsid w:val="00A857EB"/>
    <w:rPr>
      <w:vertAlign w:val="superscript"/>
    </w:rPr>
  </w:style>
  <w:style w:type="paragraph" w:styleId="Header">
    <w:name w:val="header"/>
    <w:basedOn w:val="Normal"/>
    <w:link w:val="HeaderChar"/>
    <w:uiPriority w:val="99"/>
    <w:unhideWhenUsed/>
    <w:rsid w:val="0025456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4561"/>
  </w:style>
  <w:style w:type="paragraph" w:styleId="Footer">
    <w:name w:val="footer"/>
    <w:basedOn w:val="Normal"/>
    <w:link w:val="FooterChar"/>
    <w:uiPriority w:val="99"/>
    <w:unhideWhenUsed/>
    <w:rsid w:val="0025456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4561"/>
  </w:style>
  <w:style w:type="paragraph" w:styleId="BalloonText">
    <w:name w:val="Balloon Text"/>
    <w:basedOn w:val="Normal"/>
    <w:link w:val="BalloonTextChar"/>
    <w:uiPriority w:val="99"/>
    <w:semiHidden/>
    <w:unhideWhenUsed/>
    <w:rsid w:val="002C2F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FBFF-4FB2-48B7-AA04-811E11CF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4</cp:revision>
  <cp:lastPrinted>2023-02-08T12:40:00Z</cp:lastPrinted>
  <dcterms:created xsi:type="dcterms:W3CDTF">2023-03-29T09:01:00Z</dcterms:created>
  <dcterms:modified xsi:type="dcterms:W3CDTF">2023-03-29T09:03:00Z</dcterms:modified>
</cp:coreProperties>
</file>