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60191" w14:textId="77777777" w:rsidR="00D44D17" w:rsidRPr="00F8747C" w:rsidRDefault="00D44D17" w:rsidP="00D44D17">
      <w:pPr>
        <w:widowControl w:val="0"/>
        <w:spacing w:after="0" w:line="360" w:lineRule="auto"/>
        <w:jc w:val="center"/>
        <w:rPr>
          <w:rFonts w:ascii="Arial" w:eastAsia="Times New Roman" w:hAnsi="Arial" w:cs="Arial"/>
          <w:kern w:val="0"/>
          <w:sz w:val="24"/>
          <w:szCs w:val="24"/>
          <w14:ligatures w14:val="none"/>
        </w:rPr>
      </w:pPr>
      <w:r w:rsidRPr="00F8747C">
        <w:rPr>
          <w:rFonts w:ascii="Arial" w:eastAsia="Times New Roman" w:hAnsi="Arial" w:cs="Arial"/>
          <w:noProof/>
          <w:kern w:val="0"/>
          <w:sz w:val="24"/>
          <w:szCs w:val="24"/>
          <w:lang w:val="en-US"/>
          <w14:ligatures w14:val="none"/>
        </w:rPr>
        <w:drawing>
          <wp:inline distT="0" distB="0" distL="0" distR="0" wp14:anchorId="24594AEC" wp14:editId="109BF65D">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3F46F0D7" w14:textId="77777777" w:rsidR="00D44D17" w:rsidRPr="00F8747C" w:rsidRDefault="00D44D17" w:rsidP="00D44D17">
      <w:pPr>
        <w:widowControl w:val="0"/>
        <w:spacing w:after="0" w:line="360" w:lineRule="auto"/>
        <w:jc w:val="center"/>
        <w:rPr>
          <w:rFonts w:ascii="Arial" w:eastAsia="Times New Roman" w:hAnsi="Arial" w:cs="Arial"/>
          <w:b/>
          <w:kern w:val="0"/>
          <w:sz w:val="24"/>
          <w:szCs w:val="24"/>
          <w14:ligatures w14:val="none"/>
        </w:rPr>
      </w:pPr>
      <w:r w:rsidRPr="00F8747C">
        <w:rPr>
          <w:rFonts w:ascii="Arial" w:eastAsia="Times New Roman" w:hAnsi="Arial" w:cs="Arial"/>
          <w:b/>
          <w:kern w:val="0"/>
          <w:sz w:val="24"/>
          <w:szCs w:val="24"/>
          <w14:ligatures w14:val="none"/>
        </w:rPr>
        <w:t>IN THE HIGH COURT OF SOUTH AFRICA</w:t>
      </w:r>
    </w:p>
    <w:p w14:paraId="1F9247CB" w14:textId="15554ACD" w:rsidR="00D44D17" w:rsidRPr="00F8747C" w:rsidRDefault="00EA720C" w:rsidP="00D44D17">
      <w:pPr>
        <w:widowControl w:val="0"/>
        <w:tabs>
          <w:tab w:val="right" w:pos="9213"/>
        </w:tabs>
        <w:spacing w:line="720" w:lineRule="auto"/>
        <w:jc w:val="center"/>
        <w:rPr>
          <w:rFonts w:ascii="Arial" w:hAnsi="Arial" w:cs="Arial"/>
          <w:kern w:val="0"/>
          <w:sz w:val="24"/>
          <w:szCs w:val="24"/>
          <w14:ligatures w14:val="none"/>
        </w:rPr>
      </w:pPr>
      <w:r>
        <w:rPr>
          <w:rFonts w:ascii="Arial" w:hAnsi="Arial" w:cs="Arial"/>
          <w:b/>
          <w:kern w:val="0"/>
          <w:sz w:val="24"/>
          <w:szCs w:val="24"/>
          <w14:ligatures w14:val="none"/>
        </w:rPr>
        <w:t>(</w:t>
      </w:r>
      <w:r w:rsidR="00D44D17">
        <w:rPr>
          <w:rFonts w:ascii="Arial" w:hAnsi="Arial" w:cs="Arial"/>
          <w:b/>
          <w:kern w:val="0"/>
          <w:sz w:val="24"/>
          <w:szCs w:val="24"/>
          <w14:ligatures w14:val="none"/>
        </w:rPr>
        <w:t>EASTERN CAPE DIVISION, GQEBERHA</w:t>
      </w:r>
      <w:r>
        <w:rPr>
          <w:rFonts w:ascii="Arial" w:hAnsi="Arial" w:cs="Arial"/>
          <w:b/>
          <w:kern w:val="0"/>
          <w:sz w:val="24"/>
          <w:szCs w:val="24"/>
          <w14:ligatures w14:val="none"/>
        </w:rPr>
        <w:t>)</w:t>
      </w:r>
    </w:p>
    <w:p w14:paraId="49D8E880" w14:textId="77777777" w:rsidR="00D44D17" w:rsidRDefault="00D44D17" w:rsidP="00D44D17">
      <w:pPr>
        <w:widowControl w:val="0"/>
        <w:tabs>
          <w:tab w:val="right" w:pos="9213"/>
        </w:tabs>
        <w:spacing w:line="240" w:lineRule="auto"/>
        <w:rPr>
          <w:rFonts w:ascii="Arial" w:hAnsi="Arial" w:cs="Arial"/>
          <w:kern w:val="0"/>
          <w:sz w:val="24"/>
          <w:szCs w:val="24"/>
          <w14:ligatures w14:val="none"/>
        </w:rPr>
      </w:pPr>
      <w:r w:rsidRPr="00F8747C">
        <w:rPr>
          <w:rFonts w:ascii="Arial" w:hAnsi="Arial" w:cs="Arial"/>
          <w:kern w:val="0"/>
          <w:sz w:val="24"/>
          <w:szCs w:val="24"/>
          <w14:ligatures w14:val="none"/>
        </w:rPr>
        <w:tab/>
        <w:t xml:space="preserve">CASE NO. </w:t>
      </w:r>
      <w:r>
        <w:rPr>
          <w:rFonts w:ascii="Arial" w:hAnsi="Arial" w:cs="Arial"/>
          <w:kern w:val="0"/>
          <w:sz w:val="24"/>
          <w:szCs w:val="24"/>
          <w14:ligatures w14:val="none"/>
        </w:rPr>
        <w:t>849/2018</w:t>
      </w:r>
    </w:p>
    <w:p w14:paraId="215C415B" w14:textId="77777777" w:rsidR="00D44D17" w:rsidRPr="00F8747C" w:rsidRDefault="00D44D17" w:rsidP="00D44D17">
      <w:pPr>
        <w:widowControl w:val="0"/>
        <w:tabs>
          <w:tab w:val="right" w:pos="9213"/>
        </w:tabs>
        <w:spacing w:line="240" w:lineRule="auto"/>
        <w:rPr>
          <w:rFonts w:ascii="Arial" w:hAnsi="Arial" w:cs="Arial"/>
          <w:kern w:val="0"/>
          <w:sz w:val="24"/>
          <w:szCs w:val="24"/>
          <w14:ligatures w14:val="none"/>
        </w:rPr>
      </w:pPr>
      <w:r>
        <w:rPr>
          <w:rFonts w:ascii="Arial" w:hAnsi="Arial" w:cs="Arial"/>
          <w:kern w:val="0"/>
          <w:sz w:val="24"/>
          <w:szCs w:val="24"/>
          <w14:ligatures w14:val="none"/>
        </w:rPr>
        <w:tab/>
        <w:t>895/2018</w:t>
      </w:r>
    </w:p>
    <w:p w14:paraId="6B440524" w14:textId="77777777" w:rsidR="00D44D17" w:rsidRPr="00F8747C" w:rsidRDefault="00D44D17" w:rsidP="00D44D17">
      <w:pPr>
        <w:widowControl w:val="0"/>
        <w:tabs>
          <w:tab w:val="right" w:pos="9213"/>
        </w:tabs>
        <w:spacing w:line="240" w:lineRule="auto"/>
        <w:rPr>
          <w:rFonts w:ascii="Arial" w:hAnsi="Arial" w:cs="Arial"/>
          <w:kern w:val="0"/>
          <w:sz w:val="24"/>
          <w:szCs w:val="24"/>
          <w14:ligatures w14:val="none"/>
        </w:rPr>
      </w:pPr>
      <w:r>
        <w:rPr>
          <w:rFonts w:ascii="Arial" w:hAnsi="Arial" w:cs="Arial"/>
          <w:kern w:val="0"/>
          <w:sz w:val="24"/>
          <w:szCs w:val="24"/>
          <w14:ligatures w14:val="none"/>
        </w:rPr>
        <w:tab/>
      </w:r>
    </w:p>
    <w:p w14:paraId="2B86220D" w14:textId="77777777" w:rsidR="00D44D17" w:rsidRPr="00F8747C" w:rsidRDefault="00D44D17" w:rsidP="00D44D17">
      <w:pPr>
        <w:widowControl w:val="0"/>
        <w:tabs>
          <w:tab w:val="right" w:pos="9213"/>
        </w:tabs>
        <w:spacing w:line="360" w:lineRule="auto"/>
        <w:rPr>
          <w:rFonts w:ascii="Arial" w:hAnsi="Arial" w:cs="Arial"/>
          <w:kern w:val="0"/>
          <w:sz w:val="24"/>
          <w:szCs w:val="24"/>
          <w14:ligatures w14:val="none"/>
        </w:rPr>
      </w:pPr>
      <w:r w:rsidRPr="00F8747C">
        <w:rPr>
          <w:rFonts w:ascii="Arial" w:hAnsi="Arial" w:cs="Arial"/>
          <w:kern w:val="0"/>
          <w:sz w:val="24"/>
          <w:szCs w:val="24"/>
          <w14:ligatures w14:val="none"/>
        </w:rPr>
        <w:t>In the matter between:</w:t>
      </w:r>
    </w:p>
    <w:p w14:paraId="53D51CD2" w14:textId="77777777" w:rsidR="00D44D17" w:rsidRPr="00F8747C" w:rsidRDefault="00D44D17" w:rsidP="00D44D17">
      <w:pPr>
        <w:widowControl w:val="0"/>
        <w:tabs>
          <w:tab w:val="right" w:pos="9213"/>
        </w:tabs>
        <w:spacing w:line="360" w:lineRule="auto"/>
        <w:rPr>
          <w:rFonts w:ascii="Arial" w:hAnsi="Arial" w:cs="Arial"/>
          <w:b/>
          <w:kern w:val="0"/>
          <w:sz w:val="24"/>
          <w:szCs w:val="24"/>
          <w14:ligatures w14:val="none"/>
        </w:rPr>
      </w:pPr>
      <w:r>
        <w:rPr>
          <w:rFonts w:ascii="Arial" w:hAnsi="Arial" w:cs="Arial"/>
          <w:b/>
          <w:kern w:val="0"/>
          <w:sz w:val="24"/>
          <w:szCs w:val="24"/>
          <w14:ligatures w14:val="none"/>
        </w:rPr>
        <w:t>GIDEON DE BRUIN</w:t>
      </w:r>
      <w:r w:rsidRPr="00F8747C">
        <w:rPr>
          <w:rFonts w:ascii="Arial" w:hAnsi="Arial" w:cs="Arial"/>
          <w:b/>
          <w:kern w:val="0"/>
          <w:sz w:val="24"/>
          <w:szCs w:val="24"/>
          <w14:ligatures w14:val="none"/>
        </w:rPr>
        <w:t xml:space="preserve"> </w:t>
      </w:r>
      <w:r w:rsidRPr="00F8747C">
        <w:rPr>
          <w:rFonts w:ascii="Arial" w:hAnsi="Arial" w:cs="Arial"/>
          <w:b/>
          <w:kern w:val="0"/>
          <w:sz w:val="24"/>
          <w:szCs w:val="24"/>
          <w14:ligatures w14:val="none"/>
        </w:rPr>
        <w:tab/>
      </w:r>
      <w:r>
        <w:rPr>
          <w:rFonts w:ascii="Arial" w:hAnsi="Arial" w:cs="Arial"/>
          <w:b/>
          <w:kern w:val="0"/>
          <w:sz w:val="24"/>
          <w:szCs w:val="24"/>
          <w14:ligatures w14:val="none"/>
        </w:rPr>
        <w:t>First p</w:t>
      </w:r>
      <w:r w:rsidRPr="00F8747C">
        <w:rPr>
          <w:rFonts w:ascii="Arial" w:hAnsi="Arial" w:cs="Arial"/>
          <w:b/>
          <w:kern w:val="0"/>
          <w:sz w:val="24"/>
          <w:szCs w:val="24"/>
          <w14:ligatures w14:val="none"/>
        </w:rPr>
        <w:t>laintiff</w:t>
      </w:r>
    </w:p>
    <w:p w14:paraId="31BF84CC" w14:textId="77777777" w:rsidR="00D44D17" w:rsidRPr="00F8747C" w:rsidRDefault="00D44D17" w:rsidP="00D44D17">
      <w:pPr>
        <w:widowControl w:val="0"/>
        <w:tabs>
          <w:tab w:val="right" w:pos="9213"/>
        </w:tabs>
        <w:spacing w:line="360" w:lineRule="auto"/>
        <w:rPr>
          <w:rFonts w:ascii="Arial" w:hAnsi="Arial" w:cs="Arial"/>
          <w:b/>
          <w:kern w:val="0"/>
          <w:sz w:val="24"/>
          <w:szCs w:val="24"/>
          <w14:ligatures w14:val="none"/>
        </w:rPr>
      </w:pPr>
      <w:r>
        <w:rPr>
          <w:rFonts w:ascii="Arial" w:hAnsi="Arial" w:cs="Arial"/>
          <w:b/>
          <w:kern w:val="0"/>
          <w:sz w:val="24"/>
          <w:szCs w:val="24"/>
          <w14:ligatures w14:val="none"/>
        </w:rPr>
        <w:t>NEVILLE PETERSON</w:t>
      </w:r>
      <w:r>
        <w:rPr>
          <w:rFonts w:ascii="Arial" w:hAnsi="Arial" w:cs="Arial"/>
          <w:b/>
          <w:kern w:val="0"/>
          <w:sz w:val="24"/>
          <w:szCs w:val="24"/>
          <w14:ligatures w14:val="none"/>
        </w:rPr>
        <w:tab/>
        <w:t>Second p</w:t>
      </w:r>
      <w:r w:rsidRPr="00F8747C">
        <w:rPr>
          <w:rFonts w:ascii="Arial" w:hAnsi="Arial" w:cs="Arial"/>
          <w:b/>
          <w:kern w:val="0"/>
          <w:sz w:val="24"/>
          <w:szCs w:val="24"/>
          <w14:ligatures w14:val="none"/>
        </w:rPr>
        <w:t>laintiff</w:t>
      </w:r>
    </w:p>
    <w:p w14:paraId="1B565E27" w14:textId="77777777" w:rsidR="00D44D17" w:rsidRPr="00F8747C" w:rsidRDefault="00D44D17" w:rsidP="00D44D17">
      <w:pPr>
        <w:widowControl w:val="0"/>
        <w:tabs>
          <w:tab w:val="right" w:pos="9213"/>
        </w:tabs>
        <w:spacing w:line="240" w:lineRule="auto"/>
        <w:rPr>
          <w:rFonts w:ascii="Arial" w:hAnsi="Arial" w:cs="Arial"/>
          <w:b/>
          <w:kern w:val="0"/>
          <w:sz w:val="24"/>
          <w:szCs w:val="24"/>
          <w14:ligatures w14:val="none"/>
        </w:rPr>
      </w:pPr>
    </w:p>
    <w:p w14:paraId="5B66C20D" w14:textId="77777777" w:rsidR="00D44D17" w:rsidRPr="00F8747C" w:rsidRDefault="00D44D17" w:rsidP="00D44D17">
      <w:pPr>
        <w:widowControl w:val="0"/>
        <w:tabs>
          <w:tab w:val="right" w:pos="9213"/>
        </w:tabs>
        <w:spacing w:line="240" w:lineRule="auto"/>
        <w:rPr>
          <w:rFonts w:ascii="Arial" w:hAnsi="Arial" w:cs="Arial"/>
          <w:kern w:val="0"/>
          <w:sz w:val="24"/>
          <w:szCs w:val="24"/>
          <w14:ligatures w14:val="none"/>
        </w:rPr>
      </w:pPr>
      <w:r w:rsidRPr="00F8747C">
        <w:rPr>
          <w:rFonts w:ascii="Arial" w:hAnsi="Arial" w:cs="Arial"/>
          <w:kern w:val="0"/>
          <w:sz w:val="24"/>
          <w:szCs w:val="24"/>
          <w14:ligatures w14:val="none"/>
        </w:rPr>
        <w:t>and</w:t>
      </w:r>
    </w:p>
    <w:p w14:paraId="102F5C4B" w14:textId="77777777" w:rsidR="00D44D17" w:rsidRPr="00F8747C" w:rsidRDefault="00D44D17" w:rsidP="00D44D17">
      <w:pPr>
        <w:widowControl w:val="0"/>
        <w:tabs>
          <w:tab w:val="right" w:pos="9213"/>
        </w:tabs>
        <w:spacing w:line="240" w:lineRule="auto"/>
        <w:rPr>
          <w:rFonts w:ascii="Arial" w:hAnsi="Arial" w:cs="Arial"/>
          <w:kern w:val="0"/>
          <w:sz w:val="24"/>
          <w:szCs w:val="24"/>
          <w14:ligatures w14:val="none"/>
        </w:rPr>
      </w:pPr>
    </w:p>
    <w:p w14:paraId="03F46E7C" w14:textId="77777777" w:rsidR="00D44D17" w:rsidRDefault="00D44D17" w:rsidP="00D44D17">
      <w:pPr>
        <w:widowControl w:val="0"/>
        <w:tabs>
          <w:tab w:val="right" w:pos="9213"/>
        </w:tabs>
        <w:spacing w:line="360" w:lineRule="auto"/>
        <w:rPr>
          <w:rFonts w:ascii="Arial" w:hAnsi="Arial" w:cs="Arial"/>
          <w:b/>
          <w:kern w:val="0"/>
          <w:sz w:val="24"/>
          <w:szCs w:val="24"/>
          <w14:ligatures w14:val="none"/>
        </w:rPr>
      </w:pPr>
      <w:r w:rsidRPr="00F8747C">
        <w:rPr>
          <w:rFonts w:ascii="Arial" w:hAnsi="Arial" w:cs="Arial"/>
          <w:b/>
          <w:kern w:val="0"/>
          <w:sz w:val="24"/>
          <w:szCs w:val="24"/>
          <w14:ligatures w14:val="none"/>
        </w:rPr>
        <w:t>MINISTER OF POLICE</w:t>
      </w:r>
      <w:r>
        <w:rPr>
          <w:rFonts w:ascii="Arial" w:hAnsi="Arial" w:cs="Arial"/>
          <w:b/>
          <w:kern w:val="0"/>
          <w:sz w:val="24"/>
          <w:szCs w:val="24"/>
          <w14:ligatures w14:val="none"/>
        </w:rPr>
        <w:t xml:space="preserve"> N.O.</w:t>
      </w:r>
      <w:r w:rsidRPr="00F8747C">
        <w:rPr>
          <w:rFonts w:ascii="Arial" w:hAnsi="Arial" w:cs="Arial"/>
          <w:b/>
          <w:kern w:val="0"/>
          <w:sz w:val="24"/>
          <w:szCs w:val="24"/>
          <w14:ligatures w14:val="none"/>
        </w:rPr>
        <w:tab/>
      </w:r>
      <w:r>
        <w:rPr>
          <w:rFonts w:ascii="Arial" w:hAnsi="Arial" w:cs="Arial"/>
          <w:b/>
          <w:kern w:val="0"/>
          <w:sz w:val="24"/>
          <w:szCs w:val="24"/>
          <w14:ligatures w14:val="none"/>
        </w:rPr>
        <w:t>First d</w:t>
      </w:r>
      <w:r w:rsidRPr="00F8747C">
        <w:rPr>
          <w:rFonts w:ascii="Arial" w:hAnsi="Arial" w:cs="Arial"/>
          <w:b/>
          <w:kern w:val="0"/>
          <w:sz w:val="24"/>
          <w:szCs w:val="24"/>
          <w14:ligatures w14:val="none"/>
        </w:rPr>
        <w:t>efendant</w:t>
      </w:r>
    </w:p>
    <w:p w14:paraId="533F383A" w14:textId="77777777" w:rsidR="00D44D17" w:rsidRPr="00F8747C" w:rsidRDefault="00D44D17" w:rsidP="00D44D17">
      <w:pPr>
        <w:widowControl w:val="0"/>
        <w:tabs>
          <w:tab w:val="right" w:pos="9213"/>
        </w:tabs>
        <w:spacing w:line="360" w:lineRule="auto"/>
        <w:rPr>
          <w:rFonts w:ascii="Arial" w:hAnsi="Arial" w:cs="Arial"/>
          <w:b/>
          <w:kern w:val="0"/>
          <w:sz w:val="24"/>
          <w:szCs w:val="24"/>
          <w:lang w:val="en-GB"/>
          <w14:ligatures w14:val="none"/>
        </w:rPr>
      </w:pPr>
      <w:r>
        <w:rPr>
          <w:rFonts w:ascii="Arial" w:hAnsi="Arial" w:cs="Arial"/>
          <w:b/>
          <w:kern w:val="0"/>
          <w:sz w:val="24"/>
          <w:szCs w:val="24"/>
          <w14:ligatures w14:val="none"/>
        </w:rPr>
        <w:t>NATIONAL DIRECTOR OF PUBLIC PROSECUTIONS</w:t>
      </w:r>
      <w:r>
        <w:rPr>
          <w:rFonts w:ascii="Arial" w:hAnsi="Arial" w:cs="Arial"/>
          <w:b/>
          <w:kern w:val="0"/>
          <w:sz w:val="24"/>
          <w:szCs w:val="24"/>
          <w14:ligatures w14:val="none"/>
        </w:rPr>
        <w:tab/>
        <w:t>Second defendant</w:t>
      </w:r>
    </w:p>
    <w:p w14:paraId="3B5CF737" w14:textId="77777777" w:rsidR="00D44D17" w:rsidRPr="00F8747C" w:rsidRDefault="00D44D17" w:rsidP="00D44D17">
      <w:pPr>
        <w:spacing w:line="360" w:lineRule="auto"/>
        <w:rPr>
          <w:rFonts w:ascii="Arial" w:hAnsi="Arial" w:cs="Arial"/>
          <w:kern w:val="0"/>
          <w:sz w:val="24"/>
          <w:szCs w:val="24"/>
          <w:lang w:val="en-GB"/>
          <w14:ligatures w14:val="none"/>
        </w:rPr>
      </w:pPr>
      <w:r w:rsidRPr="00F8747C">
        <w:rPr>
          <w:rFonts w:ascii="Arial" w:hAnsi="Arial" w:cs="Arial"/>
          <w:kern w:val="0"/>
          <w:sz w:val="24"/>
          <w:szCs w:val="24"/>
          <w:lang w:val="en-GB"/>
          <w14:ligatures w14:val="none"/>
        </w:rPr>
        <w:t>______________________________________________________________________</w:t>
      </w:r>
    </w:p>
    <w:p w14:paraId="7884D344" w14:textId="77777777" w:rsidR="00D44D17" w:rsidRPr="00F8747C" w:rsidRDefault="00D44D17" w:rsidP="00D44D17">
      <w:pPr>
        <w:spacing w:line="360" w:lineRule="auto"/>
        <w:jc w:val="center"/>
        <w:rPr>
          <w:rFonts w:ascii="Arial" w:hAnsi="Arial" w:cs="Arial"/>
          <w:b/>
          <w:kern w:val="0"/>
          <w:sz w:val="24"/>
          <w:szCs w:val="24"/>
          <w:lang w:val="en-GB"/>
          <w14:ligatures w14:val="none"/>
        </w:rPr>
      </w:pPr>
      <w:r w:rsidRPr="00F8747C">
        <w:rPr>
          <w:rFonts w:ascii="Arial" w:hAnsi="Arial" w:cs="Arial"/>
          <w:b/>
          <w:kern w:val="0"/>
          <w:sz w:val="24"/>
          <w:szCs w:val="24"/>
          <w:lang w:val="en-GB"/>
          <w14:ligatures w14:val="none"/>
        </w:rPr>
        <w:t>JUDGMENT</w:t>
      </w:r>
    </w:p>
    <w:p w14:paraId="1AA9D330" w14:textId="77777777" w:rsidR="00D44D17" w:rsidRPr="00F8747C" w:rsidRDefault="00D44D17" w:rsidP="00D44D17">
      <w:pPr>
        <w:spacing w:line="360" w:lineRule="auto"/>
        <w:rPr>
          <w:rFonts w:ascii="Arial" w:hAnsi="Arial" w:cs="Arial"/>
          <w:kern w:val="0"/>
          <w:sz w:val="24"/>
          <w:szCs w:val="24"/>
          <w:lang w:val="en-GB"/>
          <w14:ligatures w14:val="none"/>
        </w:rPr>
      </w:pPr>
      <w:r w:rsidRPr="00F8747C">
        <w:rPr>
          <w:rFonts w:ascii="Arial" w:hAnsi="Arial" w:cs="Arial"/>
          <w:kern w:val="0"/>
          <w:sz w:val="24"/>
          <w:szCs w:val="24"/>
          <w:lang w:val="en-GB"/>
          <w14:ligatures w14:val="none"/>
        </w:rPr>
        <w:t>______________________________________________________________________</w:t>
      </w:r>
    </w:p>
    <w:p w14:paraId="0017991B" w14:textId="77777777" w:rsidR="00D44D17" w:rsidRDefault="00D44D17" w:rsidP="00D44D17">
      <w:pPr>
        <w:spacing w:line="240" w:lineRule="auto"/>
        <w:jc w:val="both"/>
        <w:rPr>
          <w:rFonts w:ascii="Arial" w:hAnsi="Arial" w:cs="Arial"/>
          <w:b/>
          <w:kern w:val="0"/>
          <w:sz w:val="24"/>
          <w:szCs w:val="24"/>
          <w:lang w:val="en-GB"/>
          <w14:ligatures w14:val="none"/>
        </w:rPr>
      </w:pPr>
      <w:r w:rsidRPr="00F8747C">
        <w:rPr>
          <w:rFonts w:ascii="Arial" w:hAnsi="Arial" w:cs="Arial"/>
          <w:b/>
          <w:kern w:val="0"/>
          <w:sz w:val="24"/>
          <w:szCs w:val="24"/>
          <w:lang w:val="en-GB"/>
          <w14:ligatures w14:val="none"/>
        </w:rPr>
        <w:t>LAING J</w:t>
      </w:r>
    </w:p>
    <w:p w14:paraId="0DD59FED" w14:textId="77777777" w:rsidR="00D44D17" w:rsidRDefault="00D44D17" w:rsidP="00D44D17">
      <w:pPr>
        <w:spacing w:line="240" w:lineRule="auto"/>
        <w:rPr>
          <w:rFonts w:ascii="Arial" w:hAnsi="Arial" w:cs="Arial"/>
          <w:sz w:val="24"/>
          <w:szCs w:val="24"/>
        </w:rPr>
      </w:pPr>
    </w:p>
    <w:p w14:paraId="5F6905D6" w14:textId="4DD326C3" w:rsidR="00D44D17" w:rsidRPr="00743CB1" w:rsidRDefault="00743CB1" w:rsidP="00743CB1">
      <w:pPr>
        <w:spacing w:line="360" w:lineRule="auto"/>
        <w:jc w:val="both"/>
        <w:rPr>
          <w:rFonts w:ascii="Arial" w:hAnsi="Arial" w:cs="Arial"/>
          <w:sz w:val="24"/>
          <w:szCs w:val="24"/>
        </w:rPr>
      </w:pPr>
      <w:bookmarkStart w:id="0" w:name="_GoBack"/>
      <w:bookmarkEnd w:id="0"/>
      <w:r>
        <w:rPr>
          <w:rFonts w:ascii="Arial" w:hAnsi="Arial" w:cs="Arial"/>
          <w:sz w:val="24"/>
          <w:szCs w:val="24"/>
        </w:rPr>
        <w:t>[1]</w:t>
      </w:r>
      <w:r>
        <w:rPr>
          <w:rFonts w:ascii="Arial" w:hAnsi="Arial" w:cs="Arial"/>
          <w:sz w:val="24"/>
          <w:szCs w:val="24"/>
        </w:rPr>
        <w:tab/>
      </w:r>
      <w:r w:rsidR="00466616" w:rsidRPr="00743CB1">
        <w:rPr>
          <w:rFonts w:ascii="Arial" w:hAnsi="Arial" w:cs="Arial"/>
          <w:sz w:val="24"/>
          <w:szCs w:val="24"/>
        </w:rPr>
        <w:t xml:space="preserve">This is an application for absolution from a claim for </w:t>
      </w:r>
      <w:r w:rsidR="00F24C66" w:rsidRPr="00743CB1">
        <w:rPr>
          <w:rFonts w:ascii="Arial" w:hAnsi="Arial" w:cs="Arial"/>
          <w:sz w:val="24"/>
          <w:szCs w:val="24"/>
        </w:rPr>
        <w:t>damages</w:t>
      </w:r>
      <w:r w:rsidR="00466616" w:rsidRPr="00743CB1">
        <w:rPr>
          <w:rFonts w:ascii="Arial" w:hAnsi="Arial" w:cs="Arial"/>
          <w:sz w:val="24"/>
          <w:szCs w:val="24"/>
        </w:rPr>
        <w:t>.</w:t>
      </w:r>
      <w:r w:rsidR="00BC7E89" w:rsidRPr="00743CB1">
        <w:rPr>
          <w:rFonts w:ascii="Arial" w:hAnsi="Arial" w:cs="Arial"/>
          <w:sz w:val="24"/>
          <w:szCs w:val="24"/>
        </w:rPr>
        <w:t xml:space="preserve"> The plaintiffs </w:t>
      </w:r>
      <w:r w:rsidR="004B29F0" w:rsidRPr="00743CB1">
        <w:rPr>
          <w:rFonts w:ascii="Arial" w:hAnsi="Arial" w:cs="Arial"/>
          <w:sz w:val="24"/>
          <w:szCs w:val="24"/>
        </w:rPr>
        <w:t xml:space="preserve">brought three claims against </w:t>
      </w:r>
      <w:r w:rsidR="00177613" w:rsidRPr="00743CB1">
        <w:rPr>
          <w:rFonts w:ascii="Arial" w:hAnsi="Arial" w:cs="Arial"/>
          <w:sz w:val="24"/>
          <w:szCs w:val="24"/>
        </w:rPr>
        <w:t>the defendants</w:t>
      </w:r>
      <w:r w:rsidR="004B29F0" w:rsidRPr="00743CB1">
        <w:rPr>
          <w:rFonts w:ascii="Arial" w:hAnsi="Arial" w:cs="Arial"/>
          <w:sz w:val="24"/>
          <w:szCs w:val="24"/>
        </w:rPr>
        <w:t xml:space="preserve">: </w:t>
      </w:r>
      <w:r w:rsidR="00231B4B" w:rsidRPr="00743CB1">
        <w:rPr>
          <w:rFonts w:ascii="Arial" w:hAnsi="Arial" w:cs="Arial"/>
          <w:sz w:val="24"/>
          <w:szCs w:val="24"/>
        </w:rPr>
        <w:t xml:space="preserve">wrongful </w:t>
      </w:r>
      <w:r w:rsidR="00245C98" w:rsidRPr="00743CB1">
        <w:rPr>
          <w:rFonts w:ascii="Arial" w:hAnsi="Arial" w:cs="Arial"/>
          <w:sz w:val="24"/>
          <w:szCs w:val="24"/>
        </w:rPr>
        <w:t xml:space="preserve">and unlawful arrest and detention; </w:t>
      </w:r>
      <w:r w:rsidR="00245C98" w:rsidRPr="00743CB1">
        <w:rPr>
          <w:rFonts w:ascii="Arial" w:hAnsi="Arial" w:cs="Arial"/>
          <w:sz w:val="24"/>
          <w:szCs w:val="24"/>
        </w:rPr>
        <w:lastRenderedPageBreak/>
        <w:t xml:space="preserve">wrongful and unlawful assault; and unlawful </w:t>
      </w:r>
      <w:r w:rsidR="00AC27E8" w:rsidRPr="00743CB1">
        <w:rPr>
          <w:rFonts w:ascii="Arial" w:hAnsi="Arial" w:cs="Arial"/>
          <w:sz w:val="24"/>
          <w:szCs w:val="24"/>
        </w:rPr>
        <w:t>prosecution.</w:t>
      </w:r>
      <w:r w:rsidR="00862A58">
        <w:rPr>
          <w:rStyle w:val="FootnoteReference"/>
          <w:rFonts w:ascii="Arial" w:hAnsi="Arial" w:cs="Arial"/>
          <w:sz w:val="24"/>
          <w:szCs w:val="24"/>
        </w:rPr>
        <w:footnoteReference w:id="1"/>
      </w:r>
      <w:r w:rsidR="00AC27E8" w:rsidRPr="00743CB1">
        <w:rPr>
          <w:rFonts w:ascii="Arial" w:hAnsi="Arial" w:cs="Arial"/>
          <w:sz w:val="24"/>
          <w:szCs w:val="24"/>
        </w:rPr>
        <w:t xml:space="preserve"> The third and final claim </w:t>
      </w:r>
      <w:r w:rsidR="00724A48" w:rsidRPr="00743CB1">
        <w:rPr>
          <w:rFonts w:ascii="Arial" w:hAnsi="Arial" w:cs="Arial"/>
          <w:sz w:val="24"/>
          <w:szCs w:val="24"/>
        </w:rPr>
        <w:t>forms the subject of the defendants’ application.</w:t>
      </w:r>
      <w:r w:rsidR="00177613" w:rsidRPr="00743CB1">
        <w:rPr>
          <w:rFonts w:ascii="Arial" w:hAnsi="Arial" w:cs="Arial"/>
          <w:sz w:val="24"/>
          <w:szCs w:val="24"/>
        </w:rPr>
        <w:t xml:space="preserve"> </w:t>
      </w:r>
    </w:p>
    <w:p w14:paraId="4BA5ADB8" w14:textId="77777777" w:rsidR="00D44D17" w:rsidRDefault="00D44D17" w:rsidP="00D44D17">
      <w:pPr>
        <w:pStyle w:val="ListParagraph"/>
        <w:spacing w:line="360" w:lineRule="auto"/>
        <w:ind w:left="0"/>
        <w:jc w:val="both"/>
        <w:rPr>
          <w:rFonts w:ascii="Arial" w:hAnsi="Arial" w:cs="Arial"/>
          <w:sz w:val="24"/>
          <w:szCs w:val="24"/>
        </w:rPr>
      </w:pPr>
    </w:p>
    <w:p w14:paraId="458E94AA" w14:textId="77777777" w:rsidR="00D44D17" w:rsidRDefault="00D44D17" w:rsidP="00D44D17">
      <w:pPr>
        <w:pStyle w:val="ListParagraph"/>
        <w:spacing w:line="360" w:lineRule="auto"/>
        <w:ind w:left="0"/>
        <w:jc w:val="both"/>
        <w:rPr>
          <w:rFonts w:ascii="Arial" w:hAnsi="Arial" w:cs="Arial"/>
          <w:sz w:val="24"/>
          <w:szCs w:val="24"/>
        </w:rPr>
      </w:pPr>
    </w:p>
    <w:p w14:paraId="7C11E7FB" w14:textId="77777777" w:rsidR="00D44D17" w:rsidRPr="00D44D17" w:rsidRDefault="00EB4F1E" w:rsidP="00D44D17">
      <w:pPr>
        <w:pStyle w:val="ListParagraph"/>
        <w:spacing w:line="360" w:lineRule="auto"/>
        <w:ind w:left="0"/>
        <w:jc w:val="both"/>
        <w:rPr>
          <w:rFonts w:ascii="Arial" w:hAnsi="Arial" w:cs="Arial"/>
          <w:sz w:val="24"/>
          <w:szCs w:val="24"/>
        </w:rPr>
      </w:pPr>
      <w:r w:rsidRPr="00D44D17">
        <w:rPr>
          <w:rFonts w:ascii="Arial" w:hAnsi="Arial" w:cs="Arial"/>
          <w:b/>
          <w:bCs/>
          <w:sz w:val="24"/>
          <w:szCs w:val="24"/>
        </w:rPr>
        <w:t>The plaintiffs’ case</w:t>
      </w:r>
    </w:p>
    <w:p w14:paraId="7E6F4146" w14:textId="41AD291F" w:rsidR="00D44D17" w:rsidRDefault="00D44D17" w:rsidP="00D44D17">
      <w:pPr>
        <w:pStyle w:val="ListParagraph"/>
        <w:spacing w:line="360" w:lineRule="auto"/>
        <w:ind w:left="0"/>
        <w:jc w:val="both"/>
        <w:rPr>
          <w:rFonts w:ascii="Arial" w:hAnsi="Arial" w:cs="Arial"/>
          <w:sz w:val="24"/>
          <w:szCs w:val="24"/>
        </w:rPr>
      </w:pPr>
    </w:p>
    <w:p w14:paraId="2B0F5651" w14:textId="77777777" w:rsidR="00D44D17" w:rsidRPr="00D44D17" w:rsidRDefault="00D44D17" w:rsidP="00D44D17">
      <w:pPr>
        <w:pStyle w:val="ListParagraph"/>
        <w:spacing w:line="360" w:lineRule="auto"/>
        <w:ind w:left="0"/>
        <w:jc w:val="both"/>
        <w:rPr>
          <w:rFonts w:ascii="Arial" w:hAnsi="Arial" w:cs="Arial"/>
          <w:sz w:val="24"/>
          <w:szCs w:val="24"/>
        </w:rPr>
      </w:pPr>
    </w:p>
    <w:p w14:paraId="1B7AA196" w14:textId="572ED37D"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F746B" w:rsidRPr="00743CB1">
        <w:rPr>
          <w:rFonts w:ascii="Arial" w:hAnsi="Arial" w:cs="Arial"/>
          <w:sz w:val="24"/>
          <w:szCs w:val="24"/>
        </w:rPr>
        <w:t xml:space="preserve">The plaintiffs </w:t>
      </w:r>
      <w:r w:rsidR="009A6733" w:rsidRPr="00743CB1">
        <w:rPr>
          <w:rFonts w:ascii="Arial" w:hAnsi="Arial" w:cs="Arial"/>
          <w:sz w:val="24"/>
          <w:szCs w:val="24"/>
        </w:rPr>
        <w:t>pleaded</w:t>
      </w:r>
      <w:r w:rsidR="005F746B" w:rsidRPr="00743CB1">
        <w:rPr>
          <w:rFonts w:ascii="Arial" w:hAnsi="Arial" w:cs="Arial"/>
          <w:sz w:val="24"/>
          <w:szCs w:val="24"/>
        </w:rPr>
        <w:t xml:space="preserve"> that </w:t>
      </w:r>
      <w:r w:rsidR="00E326B2" w:rsidRPr="00743CB1">
        <w:rPr>
          <w:rFonts w:ascii="Arial" w:hAnsi="Arial" w:cs="Arial"/>
          <w:sz w:val="24"/>
          <w:szCs w:val="24"/>
        </w:rPr>
        <w:t>police officers arrested them on 4 June 2017</w:t>
      </w:r>
      <w:r w:rsidR="00EF0AE5" w:rsidRPr="00743CB1">
        <w:rPr>
          <w:rFonts w:ascii="Arial" w:hAnsi="Arial" w:cs="Arial"/>
          <w:sz w:val="24"/>
          <w:szCs w:val="24"/>
        </w:rPr>
        <w:t xml:space="preserve"> </w:t>
      </w:r>
      <w:r w:rsidR="0084621F" w:rsidRPr="00743CB1">
        <w:rPr>
          <w:rFonts w:ascii="Arial" w:hAnsi="Arial" w:cs="Arial"/>
          <w:sz w:val="24"/>
          <w:szCs w:val="24"/>
        </w:rPr>
        <w:t>in</w:t>
      </w:r>
      <w:r w:rsidR="00EF0AE5" w:rsidRPr="00743CB1">
        <w:rPr>
          <w:rFonts w:ascii="Arial" w:hAnsi="Arial" w:cs="Arial"/>
          <w:sz w:val="24"/>
          <w:szCs w:val="24"/>
        </w:rPr>
        <w:t xml:space="preserve"> Cannon Street, Kariega (Uitenhage). </w:t>
      </w:r>
      <w:r w:rsidR="00F57976" w:rsidRPr="00743CB1">
        <w:rPr>
          <w:rFonts w:ascii="Arial" w:hAnsi="Arial" w:cs="Arial"/>
          <w:sz w:val="24"/>
          <w:szCs w:val="24"/>
        </w:rPr>
        <w:t xml:space="preserve">They </w:t>
      </w:r>
      <w:r w:rsidR="000636D6" w:rsidRPr="00743CB1">
        <w:rPr>
          <w:rFonts w:ascii="Arial" w:hAnsi="Arial" w:cs="Arial"/>
          <w:sz w:val="24"/>
          <w:szCs w:val="24"/>
        </w:rPr>
        <w:t>allege</w:t>
      </w:r>
      <w:r w:rsidR="00C774BD" w:rsidRPr="00743CB1">
        <w:rPr>
          <w:rFonts w:ascii="Arial" w:hAnsi="Arial" w:cs="Arial"/>
          <w:sz w:val="24"/>
          <w:szCs w:val="24"/>
        </w:rPr>
        <w:t>d</w:t>
      </w:r>
      <w:r w:rsidR="000636D6" w:rsidRPr="00743CB1">
        <w:rPr>
          <w:rFonts w:ascii="Arial" w:hAnsi="Arial" w:cs="Arial"/>
          <w:sz w:val="24"/>
          <w:szCs w:val="24"/>
        </w:rPr>
        <w:t xml:space="preserve"> that the </w:t>
      </w:r>
      <w:r w:rsidR="00EF0AE5" w:rsidRPr="00743CB1">
        <w:rPr>
          <w:rFonts w:ascii="Arial" w:hAnsi="Arial" w:cs="Arial"/>
          <w:sz w:val="24"/>
          <w:szCs w:val="24"/>
        </w:rPr>
        <w:t xml:space="preserve">officers in question assaulted </w:t>
      </w:r>
      <w:r w:rsidR="009969A7" w:rsidRPr="00743CB1">
        <w:rPr>
          <w:rFonts w:ascii="Arial" w:hAnsi="Arial" w:cs="Arial"/>
          <w:sz w:val="24"/>
          <w:szCs w:val="24"/>
        </w:rPr>
        <w:t>the</w:t>
      </w:r>
      <w:r w:rsidR="000636D6" w:rsidRPr="00743CB1">
        <w:rPr>
          <w:rFonts w:ascii="Arial" w:hAnsi="Arial" w:cs="Arial"/>
          <w:sz w:val="24"/>
          <w:szCs w:val="24"/>
        </w:rPr>
        <w:t xml:space="preserve">m prior to the arrest and </w:t>
      </w:r>
      <w:r w:rsidR="00FD0A51" w:rsidRPr="00743CB1">
        <w:rPr>
          <w:rFonts w:ascii="Arial" w:hAnsi="Arial" w:cs="Arial"/>
          <w:sz w:val="24"/>
          <w:szCs w:val="24"/>
        </w:rPr>
        <w:t xml:space="preserve">again </w:t>
      </w:r>
      <w:r w:rsidR="000636D6" w:rsidRPr="00743CB1">
        <w:rPr>
          <w:rFonts w:ascii="Arial" w:hAnsi="Arial" w:cs="Arial"/>
          <w:sz w:val="24"/>
          <w:szCs w:val="24"/>
        </w:rPr>
        <w:t xml:space="preserve">at the </w:t>
      </w:r>
      <w:r w:rsidR="00A1275F" w:rsidRPr="00743CB1">
        <w:rPr>
          <w:rFonts w:ascii="Arial" w:hAnsi="Arial" w:cs="Arial"/>
          <w:sz w:val="24"/>
          <w:szCs w:val="24"/>
        </w:rPr>
        <w:t>police station in Church Street</w:t>
      </w:r>
      <w:r w:rsidR="004C540F" w:rsidRPr="00743CB1">
        <w:rPr>
          <w:rFonts w:ascii="Arial" w:hAnsi="Arial" w:cs="Arial"/>
          <w:sz w:val="24"/>
          <w:szCs w:val="24"/>
        </w:rPr>
        <w:t xml:space="preserve">, before detaining them </w:t>
      </w:r>
      <w:r w:rsidR="00761184" w:rsidRPr="00743CB1">
        <w:rPr>
          <w:rFonts w:ascii="Arial" w:hAnsi="Arial" w:cs="Arial"/>
          <w:sz w:val="24"/>
          <w:szCs w:val="24"/>
        </w:rPr>
        <w:t>in a holding cell</w:t>
      </w:r>
      <w:r w:rsidR="00FD0A51" w:rsidRPr="00743CB1">
        <w:rPr>
          <w:rFonts w:ascii="Arial" w:hAnsi="Arial" w:cs="Arial"/>
          <w:sz w:val="24"/>
          <w:szCs w:val="24"/>
        </w:rPr>
        <w:t xml:space="preserve">. The </w:t>
      </w:r>
      <w:r w:rsidR="00F97FC5" w:rsidRPr="00743CB1">
        <w:rPr>
          <w:rFonts w:ascii="Arial" w:hAnsi="Arial" w:cs="Arial"/>
          <w:sz w:val="24"/>
          <w:szCs w:val="24"/>
        </w:rPr>
        <w:t xml:space="preserve">plaintiffs </w:t>
      </w:r>
      <w:r w:rsidR="00B8251B" w:rsidRPr="00743CB1">
        <w:rPr>
          <w:rFonts w:ascii="Arial" w:hAnsi="Arial" w:cs="Arial"/>
          <w:sz w:val="24"/>
          <w:szCs w:val="24"/>
        </w:rPr>
        <w:t>appeared in the Magistrates’ Court on 6</w:t>
      </w:r>
      <w:r w:rsidR="00FD0A51" w:rsidRPr="00743CB1">
        <w:rPr>
          <w:rFonts w:ascii="Arial" w:hAnsi="Arial" w:cs="Arial"/>
          <w:sz w:val="24"/>
          <w:szCs w:val="24"/>
        </w:rPr>
        <w:t xml:space="preserve"> June 2017</w:t>
      </w:r>
      <w:r w:rsidR="00A34530" w:rsidRPr="00743CB1">
        <w:rPr>
          <w:rFonts w:ascii="Arial" w:hAnsi="Arial" w:cs="Arial"/>
          <w:sz w:val="24"/>
          <w:szCs w:val="24"/>
        </w:rPr>
        <w:t xml:space="preserve">, whereafter they were released. The criminal proceedings were postponed on </w:t>
      </w:r>
      <w:r w:rsidR="007E25AF" w:rsidRPr="00743CB1">
        <w:rPr>
          <w:rFonts w:ascii="Arial" w:hAnsi="Arial" w:cs="Arial"/>
          <w:sz w:val="24"/>
          <w:szCs w:val="24"/>
        </w:rPr>
        <w:t>several</w:t>
      </w:r>
      <w:r w:rsidR="00A34530" w:rsidRPr="00743CB1">
        <w:rPr>
          <w:rFonts w:ascii="Arial" w:hAnsi="Arial" w:cs="Arial"/>
          <w:sz w:val="24"/>
          <w:szCs w:val="24"/>
        </w:rPr>
        <w:t xml:space="preserve"> occasions before </w:t>
      </w:r>
      <w:r w:rsidR="002A0682" w:rsidRPr="00743CB1">
        <w:rPr>
          <w:rFonts w:ascii="Arial" w:hAnsi="Arial" w:cs="Arial"/>
          <w:sz w:val="24"/>
          <w:szCs w:val="24"/>
        </w:rPr>
        <w:t xml:space="preserve">charges </w:t>
      </w:r>
      <w:r w:rsidR="00D306E8" w:rsidRPr="00743CB1">
        <w:rPr>
          <w:rFonts w:ascii="Arial" w:hAnsi="Arial" w:cs="Arial"/>
          <w:sz w:val="24"/>
          <w:szCs w:val="24"/>
        </w:rPr>
        <w:t>were withdrawn on 13 July 2017.</w:t>
      </w:r>
      <w:r w:rsidR="00761184" w:rsidRPr="00743CB1">
        <w:rPr>
          <w:rFonts w:ascii="Arial" w:hAnsi="Arial" w:cs="Arial"/>
          <w:sz w:val="24"/>
          <w:szCs w:val="24"/>
        </w:rPr>
        <w:t xml:space="preserve"> </w:t>
      </w:r>
    </w:p>
    <w:p w14:paraId="1A8775F8" w14:textId="77777777" w:rsidR="00D44D17" w:rsidRDefault="00D44D17" w:rsidP="00D44D17">
      <w:pPr>
        <w:pStyle w:val="ListParagraph"/>
        <w:spacing w:line="360" w:lineRule="auto"/>
        <w:ind w:left="0"/>
        <w:jc w:val="both"/>
        <w:rPr>
          <w:rFonts w:ascii="Arial" w:hAnsi="Arial" w:cs="Arial"/>
          <w:sz w:val="24"/>
          <w:szCs w:val="24"/>
        </w:rPr>
      </w:pPr>
    </w:p>
    <w:p w14:paraId="5DA516C6" w14:textId="364838AA"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153CB" w:rsidRPr="00743CB1">
        <w:rPr>
          <w:rFonts w:ascii="Arial" w:hAnsi="Arial" w:cs="Arial"/>
          <w:sz w:val="24"/>
          <w:szCs w:val="24"/>
        </w:rPr>
        <w:t xml:space="preserve">In </w:t>
      </w:r>
      <w:r w:rsidR="00FE2E4A" w:rsidRPr="00743CB1">
        <w:rPr>
          <w:rFonts w:ascii="Arial" w:hAnsi="Arial" w:cs="Arial"/>
          <w:sz w:val="24"/>
          <w:szCs w:val="24"/>
        </w:rPr>
        <w:t>his</w:t>
      </w:r>
      <w:r w:rsidR="004153CB" w:rsidRPr="00743CB1">
        <w:rPr>
          <w:rFonts w:ascii="Arial" w:hAnsi="Arial" w:cs="Arial"/>
          <w:sz w:val="24"/>
          <w:szCs w:val="24"/>
        </w:rPr>
        <w:t xml:space="preserve"> particulars</w:t>
      </w:r>
      <w:r w:rsidR="004C48E3" w:rsidRPr="00743CB1">
        <w:rPr>
          <w:rFonts w:ascii="Arial" w:hAnsi="Arial" w:cs="Arial"/>
          <w:sz w:val="24"/>
          <w:szCs w:val="24"/>
        </w:rPr>
        <w:t xml:space="preserve"> of claim, the </w:t>
      </w:r>
      <w:r w:rsidR="004038A0" w:rsidRPr="00743CB1">
        <w:rPr>
          <w:rFonts w:ascii="Arial" w:hAnsi="Arial" w:cs="Arial"/>
          <w:sz w:val="24"/>
          <w:szCs w:val="24"/>
        </w:rPr>
        <w:t xml:space="preserve">first </w:t>
      </w:r>
      <w:r w:rsidR="004C48E3" w:rsidRPr="00743CB1">
        <w:rPr>
          <w:rFonts w:ascii="Arial" w:hAnsi="Arial" w:cs="Arial"/>
          <w:sz w:val="24"/>
          <w:szCs w:val="24"/>
        </w:rPr>
        <w:t xml:space="preserve">plaintiff </w:t>
      </w:r>
      <w:r w:rsidR="005835A4" w:rsidRPr="00743CB1">
        <w:rPr>
          <w:rFonts w:ascii="Arial" w:hAnsi="Arial" w:cs="Arial"/>
          <w:sz w:val="24"/>
          <w:szCs w:val="24"/>
        </w:rPr>
        <w:t>allege</w:t>
      </w:r>
      <w:r w:rsidR="00C774BD" w:rsidRPr="00743CB1">
        <w:rPr>
          <w:rFonts w:ascii="Arial" w:hAnsi="Arial" w:cs="Arial"/>
          <w:sz w:val="24"/>
          <w:szCs w:val="24"/>
        </w:rPr>
        <w:t>d</w:t>
      </w:r>
      <w:r w:rsidR="005835A4" w:rsidRPr="00743CB1">
        <w:rPr>
          <w:rFonts w:ascii="Arial" w:hAnsi="Arial" w:cs="Arial"/>
          <w:sz w:val="24"/>
          <w:szCs w:val="24"/>
        </w:rPr>
        <w:t xml:space="preserve"> that the </w:t>
      </w:r>
      <w:r w:rsidR="00E63A5B" w:rsidRPr="00743CB1">
        <w:rPr>
          <w:rFonts w:ascii="Arial" w:hAnsi="Arial" w:cs="Arial"/>
          <w:sz w:val="24"/>
          <w:szCs w:val="24"/>
        </w:rPr>
        <w:t xml:space="preserve">officers wrongfully </w:t>
      </w:r>
      <w:r w:rsidR="00C508D9" w:rsidRPr="00743CB1">
        <w:rPr>
          <w:rFonts w:ascii="Arial" w:hAnsi="Arial" w:cs="Arial"/>
          <w:sz w:val="24"/>
          <w:szCs w:val="24"/>
        </w:rPr>
        <w:t xml:space="preserve">and unlawfully set the law in motion by laying charges of common assault against </w:t>
      </w:r>
      <w:r w:rsidR="004038A0" w:rsidRPr="00743CB1">
        <w:rPr>
          <w:rFonts w:ascii="Arial" w:hAnsi="Arial" w:cs="Arial"/>
          <w:sz w:val="24"/>
          <w:szCs w:val="24"/>
        </w:rPr>
        <w:t>hi</w:t>
      </w:r>
      <w:r w:rsidR="00490076" w:rsidRPr="00743CB1">
        <w:rPr>
          <w:rFonts w:ascii="Arial" w:hAnsi="Arial" w:cs="Arial"/>
          <w:sz w:val="24"/>
          <w:szCs w:val="24"/>
        </w:rPr>
        <w:t>m and opening an investigation docket</w:t>
      </w:r>
      <w:r w:rsidR="00B0442E" w:rsidRPr="00743CB1">
        <w:rPr>
          <w:rFonts w:ascii="Arial" w:hAnsi="Arial" w:cs="Arial"/>
          <w:sz w:val="24"/>
          <w:szCs w:val="24"/>
        </w:rPr>
        <w:t xml:space="preserve">. </w:t>
      </w:r>
      <w:r w:rsidR="004038A0" w:rsidRPr="00743CB1">
        <w:rPr>
          <w:rFonts w:ascii="Arial" w:hAnsi="Arial" w:cs="Arial"/>
          <w:sz w:val="24"/>
          <w:szCs w:val="24"/>
        </w:rPr>
        <w:t>He</w:t>
      </w:r>
      <w:r w:rsidR="00FE2E4A" w:rsidRPr="00743CB1">
        <w:rPr>
          <w:rFonts w:ascii="Arial" w:hAnsi="Arial" w:cs="Arial"/>
          <w:sz w:val="24"/>
          <w:szCs w:val="24"/>
        </w:rPr>
        <w:t xml:space="preserve"> aver</w:t>
      </w:r>
      <w:r w:rsidR="00C774BD" w:rsidRPr="00743CB1">
        <w:rPr>
          <w:rFonts w:ascii="Arial" w:hAnsi="Arial" w:cs="Arial"/>
          <w:sz w:val="24"/>
          <w:szCs w:val="24"/>
        </w:rPr>
        <w:t>red</w:t>
      </w:r>
      <w:r w:rsidR="00FE2E4A" w:rsidRPr="00743CB1">
        <w:rPr>
          <w:rFonts w:ascii="Arial" w:hAnsi="Arial" w:cs="Arial"/>
          <w:sz w:val="24"/>
          <w:szCs w:val="24"/>
        </w:rPr>
        <w:t xml:space="preserve"> that the </w:t>
      </w:r>
      <w:r w:rsidR="009E0A76" w:rsidRPr="00743CB1">
        <w:rPr>
          <w:rFonts w:ascii="Arial" w:hAnsi="Arial" w:cs="Arial"/>
          <w:sz w:val="24"/>
          <w:szCs w:val="24"/>
        </w:rPr>
        <w:t xml:space="preserve">officers and the state </w:t>
      </w:r>
      <w:r w:rsidR="00623ED3" w:rsidRPr="00743CB1">
        <w:rPr>
          <w:rFonts w:ascii="Arial" w:hAnsi="Arial" w:cs="Arial"/>
          <w:sz w:val="24"/>
          <w:szCs w:val="24"/>
        </w:rPr>
        <w:t xml:space="preserve">prosecutor assessed the docket and ought to have known that </w:t>
      </w:r>
      <w:r w:rsidR="008940F4" w:rsidRPr="00743CB1">
        <w:rPr>
          <w:rFonts w:ascii="Arial" w:hAnsi="Arial" w:cs="Arial"/>
          <w:sz w:val="24"/>
          <w:szCs w:val="24"/>
        </w:rPr>
        <w:t xml:space="preserve">there was no </w:t>
      </w:r>
      <w:r w:rsidR="008940F4" w:rsidRPr="00743CB1">
        <w:rPr>
          <w:rFonts w:ascii="Arial" w:hAnsi="Arial" w:cs="Arial"/>
          <w:i/>
          <w:iCs/>
          <w:sz w:val="24"/>
          <w:szCs w:val="24"/>
        </w:rPr>
        <w:t>prima facie</w:t>
      </w:r>
      <w:r w:rsidR="008940F4" w:rsidRPr="00743CB1">
        <w:rPr>
          <w:rFonts w:ascii="Arial" w:hAnsi="Arial" w:cs="Arial"/>
          <w:sz w:val="24"/>
          <w:szCs w:val="24"/>
        </w:rPr>
        <w:t xml:space="preserve"> case against him and that </w:t>
      </w:r>
      <w:r w:rsidR="00D22BCC" w:rsidRPr="00743CB1">
        <w:rPr>
          <w:rFonts w:ascii="Arial" w:hAnsi="Arial" w:cs="Arial"/>
          <w:sz w:val="24"/>
          <w:szCs w:val="24"/>
        </w:rPr>
        <w:t xml:space="preserve">the </w:t>
      </w:r>
      <w:r w:rsidR="008940F4" w:rsidRPr="00743CB1">
        <w:rPr>
          <w:rFonts w:ascii="Arial" w:hAnsi="Arial" w:cs="Arial"/>
          <w:sz w:val="24"/>
          <w:szCs w:val="24"/>
        </w:rPr>
        <w:t>charge</w:t>
      </w:r>
      <w:r w:rsidR="00D22BCC" w:rsidRPr="00743CB1">
        <w:rPr>
          <w:rFonts w:ascii="Arial" w:hAnsi="Arial" w:cs="Arial"/>
          <w:sz w:val="24"/>
          <w:szCs w:val="24"/>
        </w:rPr>
        <w:t xml:space="preserve"> should have been withdrawn. </w:t>
      </w:r>
      <w:r w:rsidR="002C0096" w:rsidRPr="00743CB1">
        <w:rPr>
          <w:rFonts w:ascii="Arial" w:hAnsi="Arial" w:cs="Arial"/>
          <w:sz w:val="24"/>
          <w:szCs w:val="24"/>
        </w:rPr>
        <w:t>He allege</w:t>
      </w:r>
      <w:r w:rsidR="00C774BD" w:rsidRPr="00743CB1">
        <w:rPr>
          <w:rFonts w:ascii="Arial" w:hAnsi="Arial" w:cs="Arial"/>
          <w:sz w:val="24"/>
          <w:szCs w:val="24"/>
        </w:rPr>
        <w:t>d</w:t>
      </w:r>
      <w:r w:rsidR="002C0096" w:rsidRPr="00743CB1">
        <w:rPr>
          <w:rFonts w:ascii="Arial" w:hAnsi="Arial" w:cs="Arial"/>
          <w:sz w:val="24"/>
          <w:szCs w:val="24"/>
        </w:rPr>
        <w:t xml:space="preserve"> that the</w:t>
      </w:r>
      <w:r w:rsidR="006F376D" w:rsidRPr="00743CB1">
        <w:rPr>
          <w:rFonts w:ascii="Arial" w:hAnsi="Arial" w:cs="Arial"/>
          <w:sz w:val="24"/>
          <w:szCs w:val="24"/>
        </w:rPr>
        <w:t>y owed him a duty of care</w:t>
      </w:r>
      <w:r w:rsidR="00ED3C5E" w:rsidRPr="00743CB1">
        <w:rPr>
          <w:rFonts w:ascii="Arial" w:hAnsi="Arial" w:cs="Arial"/>
          <w:sz w:val="24"/>
          <w:szCs w:val="24"/>
        </w:rPr>
        <w:t xml:space="preserve"> in that regard</w:t>
      </w:r>
      <w:r w:rsidR="00684F58" w:rsidRPr="00743CB1">
        <w:rPr>
          <w:rFonts w:ascii="Arial" w:hAnsi="Arial" w:cs="Arial"/>
          <w:sz w:val="24"/>
          <w:szCs w:val="24"/>
        </w:rPr>
        <w:t>. The continued prosecution</w:t>
      </w:r>
      <w:r w:rsidR="00EB6E3C" w:rsidRPr="00743CB1">
        <w:rPr>
          <w:rFonts w:ascii="Arial" w:hAnsi="Arial" w:cs="Arial"/>
          <w:sz w:val="24"/>
          <w:szCs w:val="24"/>
        </w:rPr>
        <w:t>, he sa</w:t>
      </w:r>
      <w:r w:rsidR="00FC6327" w:rsidRPr="00743CB1">
        <w:rPr>
          <w:rFonts w:ascii="Arial" w:hAnsi="Arial" w:cs="Arial"/>
          <w:sz w:val="24"/>
          <w:szCs w:val="24"/>
        </w:rPr>
        <w:t>id</w:t>
      </w:r>
      <w:r w:rsidR="00EB6E3C" w:rsidRPr="00743CB1">
        <w:rPr>
          <w:rFonts w:ascii="Arial" w:hAnsi="Arial" w:cs="Arial"/>
          <w:sz w:val="24"/>
          <w:szCs w:val="24"/>
        </w:rPr>
        <w:t>, amounted to wrongful, unlawful</w:t>
      </w:r>
      <w:r w:rsidR="007D1A1D" w:rsidRPr="00743CB1">
        <w:rPr>
          <w:rFonts w:ascii="Arial" w:hAnsi="Arial" w:cs="Arial"/>
          <w:sz w:val="24"/>
          <w:szCs w:val="24"/>
        </w:rPr>
        <w:t xml:space="preserve"> and negligent conduct</w:t>
      </w:r>
      <w:r w:rsidR="00A8502F" w:rsidRPr="00743CB1">
        <w:rPr>
          <w:rFonts w:ascii="Arial" w:hAnsi="Arial" w:cs="Arial"/>
          <w:sz w:val="24"/>
          <w:szCs w:val="24"/>
        </w:rPr>
        <w:t xml:space="preserve">, </w:t>
      </w:r>
      <w:r w:rsidR="002A75AB" w:rsidRPr="00743CB1">
        <w:rPr>
          <w:rFonts w:ascii="Arial" w:hAnsi="Arial" w:cs="Arial"/>
          <w:sz w:val="24"/>
          <w:szCs w:val="24"/>
        </w:rPr>
        <w:t xml:space="preserve">the result of which being that </w:t>
      </w:r>
      <w:r w:rsidR="000F245D" w:rsidRPr="00743CB1">
        <w:rPr>
          <w:rFonts w:ascii="Arial" w:hAnsi="Arial" w:cs="Arial"/>
          <w:sz w:val="24"/>
          <w:szCs w:val="24"/>
        </w:rPr>
        <w:t>he suffered damages</w:t>
      </w:r>
      <w:r w:rsidR="00106868" w:rsidRPr="00743CB1">
        <w:rPr>
          <w:rFonts w:ascii="Arial" w:hAnsi="Arial" w:cs="Arial"/>
          <w:sz w:val="24"/>
          <w:szCs w:val="24"/>
        </w:rPr>
        <w:t xml:space="preserve"> </w:t>
      </w:r>
      <w:r w:rsidR="00C6320E" w:rsidRPr="00743CB1">
        <w:rPr>
          <w:rFonts w:ascii="Arial" w:hAnsi="Arial" w:cs="Arial"/>
          <w:sz w:val="24"/>
          <w:szCs w:val="24"/>
        </w:rPr>
        <w:t>in the sum of R 400,000.</w:t>
      </w:r>
    </w:p>
    <w:p w14:paraId="2F19FE61" w14:textId="77777777" w:rsidR="00D44D17" w:rsidRPr="00D44D17" w:rsidRDefault="00D44D17" w:rsidP="00D44D17">
      <w:pPr>
        <w:pStyle w:val="ListParagraph"/>
        <w:rPr>
          <w:rFonts w:ascii="Arial" w:hAnsi="Arial" w:cs="Arial"/>
          <w:sz w:val="24"/>
          <w:szCs w:val="24"/>
        </w:rPr>
      </w:pPr>
    </w:p>
    <w:p w14:paraId="74C6A31F" w14:textId="73C4903D"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6320E" w:rsidRPr="00743CB1">
        <w:rPr>
          <w:rFonts w:ascii="Arial" w:hAnsi="Arial" w:cs="Arial"/>
          <w:sz w:val="24"/>
          <w:szCs w:val="24"/>
        </w:rPr>
        <w:t xml:space="preserve">The second </w:t>
      </w:r>
      <w:r w:rsidR="00EB4F1E" w:rsidRPr="00743CB1">
        <w:rPr>
          <w:rFonts w:ascii="Arial" w:hAnsi="Arial" w:cs="Arial"/>
          <w:sz w:val="24"/>
          <w:szCs w:val="24"/>
        </w:rPr>
        <w:t xml:space="preserve">plaintiff’s </w:t>
      </w:r>
      <w:r w:rsidR="00A77EC8" w:rsidRPr="00743CB1">
        <w:rPr>
          <w:rFonts w:ascii="Arial" w:hAnsi="Arial" w:cs="Arial"/>
          <w:sz w:val="24"/>
          <w:szCs w:val="24"/>
        </w:rPr>
        <w:t>particulars of claim were almost identical</w:t>
      </w:r>
      <w:r w:rsidR="001B65D0" w:rsidRPr="00743CB1">
        <w:rPr>
          <w:rFonts w:ascii="Arial" w:hAnsi="Arial" w:cs="Arial"/>
          <w:sz w:val="24"/>
          <w:szCs w:val="24"/>
        </w:rPr>
        <w:t>. However, he also made</w:t>
      </w:r>
      <w:r w:rsidR="00AC42DB" w:rsidRPr="00743CB1">
        <w:rPr>
          <w:rFonts w:ascii="Arial" w:hAnsi="Arial" w:cs="Arial"/>
          <w:sz w:val="24"/>
          <w:szCs w:val="24"/>
        </w:rPr>
        <w:t xml:space="preserve"> the averment that the </w:t>
      </w:r>
      <w:r w:rsidR="00AC6AEE" w:rsidRPr="00743CB1">
        <w:rPr>
          <w:rFonts w:ascii="Arial" w:hAnsi="Arial" w:cs="Arial"/>
          <w:sz w:val="24"/>
          <w:szCs w:val="24"/>
        </w:rPr>
        <w:t xml:space="preserve">state prosecutor </w:t>
      </w:r>
      <w:r w:rsidR="00AE0964" w:rsidRPr="00743CB1">
        <w:rPr>
          <w:rFonts w:ascii="Arial" w:hAnsi="Arial" w:cs="Arial"/>
          <w:sz w:val="24"/>
          <w:szCs w:val="24"/>
        </w:rPr>
        <w:t>proceeded against him without reasonable and probable cause</w:t>
      </w:r>
      <w:r w:rsidR="007C6D81" w:rsidRPr="00743CB1">
        <w:rPr>
          <w:rFonts w:ascii="Arial" w:hAnsi="Arial" w:cs="Arial"/>
          <w:sz w:val="24"/>
          <w:szCs w:val="24"/>
        </w:rPr>
        <w:t xml:space="preserve"> and </w:t>
      </w:r>
      <w:r w:rsidR="00E75F33" w:rsidRPr="00743CB1">
        <w:rPr>
          <w:rFonts w:ascii="Arial" w:hAnsi="Arial" w:cs="Arial"/>
          <w:sz w:val="24"/>
          <w:szCs w:val="24"/>
        </w:rPr>
        <w:t>that he or she, and the officers</w:t>
      </w:r>
      <w:r w:rsidR="00DE3659" w:rsidRPr="00743CB1">
        <w:rPr>
          <w:rFonts w:ascii="Arial" w:hAnsi="Arial" w:cs="Arial"/>
          <w:sz w:val="24"/>
          <w:szCs w:val="24"/>
        </w:rPr>
        <w:t xml:space="preserve"> in question, acted </w:t>
      </w:r>
      <w:r w:rsidR="00DE3659" w:rsidRPr="00743CB1">
        <w:rPr>
          <w:rFonts w:ascii="Arial" w:hAnsi="Arial" w:cs="Arial"/>
          <w:i/>
          <w:iCs/>
          <w:sz w:val="24"/>
          <w:szCs w:val="24"/>
        </w:rPr>
        <w:t>animo iniuriandi</w:t>
      </w:r>
      <w:r w:rsidR="00DE3659" w:rsidRPr="00743CB1">
        <w:rPr>
          <w:rFonts w:ascii="Arial" w:hAnsi="Arial" w:cs="Arial"/>
          <w:sz w:val="24"/>
          <w:szCs w:val="24"/>
        </w:rPr>
        <w:t>.</w:t>
      </w:r>
      <w:r w:rsidR="00D22666" w:rsidRPr="00743CB1">
        <w:rPr>
          <w:rFonts w:ascii="Arial" w:hAnsi="Arial" w:cs="Arial"/>
          <w:sz w:val="24"/>
          <w:szCs w:val="24"/>
        </w:rPr>
        <w:t xml:space="preserve"> </w:t>
      </w:r>
      <w:r w:rsidR="00A62CFC" w:rsidRPr="00743CB1">
        <w:rPr>
          <w:rFonts w:ascii="Arial" w:hAnsi="Arial" w:cs="Arial"/>
          <w:sz w:val="24"/>
          <w:szCs w:val="24"/>
        </w:rPr>
        <w:t>He, too, claimed damages in the sum of R 400,000.</w:t>
      </w:r>
    </w:p>
    <w:p w14:paraId="5FF4E5B5" w14:textId="77777777" w:rsidR="00D44D17" w:rsidRPr="00D44D17" w:rsidRDefault="00D44D17" w:rsidP="00D44D17">
      <w:pPr>
        <w:pStyle w:val="ListParagraph"/>
        <w:rPr>
          <w:rFonts w:ascii="Arial" w:hAnsi="Arial" w:cs="Arial"/>
          <w:sz w:val="24"/>
          <w:szCs w:val="24"/>
        </w:rPr>
      </w:pPr>
    </w:p>
    <w:p w14:paraId="673FF3F6" w14:textId="01902215"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F2010" w:rsidRPr="00743CB1">
        <w:rPr>
          <w:rFonts w:ascii="Arial" w:hAnsi="Arial" w:cs="Arial"/>
          <w:sz w:val="24"/>
          <w:szCs w:val="24"/>
        </w:rPr>
        <w:t xml:space="preserve">It is necessary to pause and mention that the </w:t>
      </w:r>
      <w:r w:rsidR="00463DDD" w:rsidRPr="00743CB1">
        <w:rPr>
          <w:rFonts w:ascii="Arial" w:hAnsi="Arial" w:cs="Arial"/>
          <w:sz w:val="24"/>
          <w:szCs w:val="24"/>
        </w:rPr>
        <w:t xml:space="preserve">second plaintiff’s particulars of claim were amended after </w:t>
      </w:r>
      <w:r w:rsidR="00BD725F" w:rsidRPr="00743CB1">
        <w:rPr>
          <w:rFonts w:ascii="Arial" w:hAnsi="Arial" w:cs="Arial"/>
          <w:sz w:val="24"/>
          <w:szCs w:val="24"/>
        </w:rPr>
        <w:t>the defendants had raised an exception. They argued, at the time, that the second plain</w:t>
      </w:r>
      <w:r w:rsidR="004461C2" w:rsidRPr="00743CB1">
        <w:rPr>
          <w:rFonts w:ascii="Arial" w:hAnsi="Arial" w:cs="Arial"/>
          <w:sz w:val="24"/>
          <w:szCs w:val="24"/>
        </w:rPr>
        <w:t>tiff</w:t>
      </w:r>
      <w:r w:rsidR="00F566A9" w:rsidRPr="00743CB1">
        <w:rPr>
          <w:rFonts w:ascii="Arial" w:hAnsi="Arial" w:cs="Arial"/>
          <w:sz w:val="24"/>
          <w:szCs w:val="24"/>
        </w:rPr>
        <w:t>’s claim failed to disclose a cause of action</w:t>
      </w:r>
      <w:r w:rsidR="004860E9" w:rsidRPr="00743CB1">
        <w:rPr>
          <w:rFonts w:ascii="Arial" w:hAnsi="Arial" w:cs="Arial"/>
          <w:sz w:val="24"/>
          <w:szCs w:val="24"/>
        </w:rPr>
        <w:t xml:space="preserve"> based on malicious prosecution.</w:t>
      </w:r>
      <w:r w:rsidR="004D6EA5" w:rsidRPr="00743CB1">
        <w:rPr>
          <w:rFonts w:ascii="Arial" w:hAnsi="Arial" w:cs="Arial"/>
          <w:sz w:val="24"/>
          <w:szCs w:val="24"/>
        </w:rPr>
        <w:t xml:space="preserve"> No exception was raised in relation to the first plaintiff’s particulars.</w:t>
      </w:r>
    </w:p>
    <w:p w14:paraId="1A559E27" w14:textId="77777777" w:rsidR="00D44D17" w:rsidRPr="00D44D17" w:rsidRDefault="00D44D17" w:rsidP="00D44D17">
      <w:pPr>
        <w:pStyle w:val="ListParagraph"/>
        <w:rPr>
          <w:rFonts w:ascii="Arial" w:hAnsi="Arial" w:cs="Arial"/>
          <w:sz w:val="24"/>
          <w:szCs w:val="24"/>
        </w:rPr>
      </w:pPr>
    </w:p>
    <w:p w14:paraId="4129E651" w14:textId="77777777" w:rsidR="00D44D17" w:rsidRDefault="00D44D17" w:rsidP="00D44D17">
      <w:pPr>
        <w:pStyle w:val="ListParagraph"/>
        <w:spacing w:line="360" w:lineRule="auto"/>
        <w:ind w:left="0"/>
        <w:jc w:val="both"/>
        <w:rPr>
          <w:rFonts w:ascii="Arial" w:hAnsi="Arial" w:cs="Arial"/>
          <w:sz w:val="24"/>
          <w:szCs w:val="24"/>
        </w:rPr>
      </w:pPr>
    </w:p>
    <w:p w14:paraId="274EE893" w14:textId="77777777" w:rsidR="00D44D17" w:rsidRPr="00D44D17" w:rsidRDefault="00D44D17" w:rsidP="00D44D17">
      <w:pPr>
        <w:pStyle w:val="ListParagraph"/>
        <w:rPr>
          <w:rFonts w:ascii="Arial" w:hAnsi="Arial" w:cs="Arial"/>
          <w:b/>
          <w:bCs/>
          <w:sz w:val="24"/>
          <w:szCs w:val="24"/>
        </w:rPr>
      </w:pPr>
    </w:p>
    <w:p w14:paraId="1D3AE6D1" w14:textId="77777777" w:rsidR="00D44D17" w:rsidRPr="00D44D17" w:rsidRDefault="00F70464" w:rsidP="00D44D17">
      <w:pPr>
        <w:pStyle w:val="ListParagraph"/>
        <w:spacing w:line="360" w:lineRule="auto"/>
        <w:ind w:left="0"/>
        <w:jc w:val="both"/>
        <w:rPr>
          <w:rFonts w:ascii="Arial" w:hAnsi="Arial" w:cs="Arial"/>
          <w:sz w:val="24"/>
          <w:szCs w:val="24"/>
        </w:rPr>
      </w:pPr>
      <w:r w:rsidRPr="00D44D17">
        <w:rPr>
          <w:rFonts w:ascii="Arial" w:hAnsi="Arial" w:cs="Arial"/>
          <w:b/>
          <w:bCs/>
          <w:sz w:val="24"/>
          <w:szCs w:val="24"/>
        </w:rPr>
        <w:t>First defendant’s case</w:t>
      </w:r>
    </w:p>
    <w:p w14:paraId="6777C3AC" w14:textId="77777777" w:rsidR="00D44D17" w:rsidRPr="00D44D17" w:rsidRDefault="00D44D17" w:rsidP="00D44D17">
      <w:pPr>
        <w:pStyle w:val="ListParagraph"/>
        <w:spacing w:line="360" w:lineRule="auto"/>
        <w:ind w:left="0"/>
        <w:jc w:val="both"/>
        <w:rPr>
          <w:rFonts w:ascii="Arial" w:hAnsi="Arial" w:cs="Arial"/>
          <w:sz w:val="24"/>
          <w:szCs w:val="24"/>
        </w:rPr>
      </w:pPr>
    </w:p>
    <w:p w14:paraId="21BCA784" w14:textId="77777777" w:rsidR="00D44D17" w:rsidRPr="00D44D17" w:rsidRDefault="00D44D17" w:rsidP="00D44D17">
      <w:pPr>
        <w:pStyle w:val="ListParagraph"/>
        <w:spacing w:line="360" w:lineRule="auto"/>
        <w:ind w:left="0"/>
        <w:jc w:val="both"/>
        <w:rPr>
          <w:rFonts w:ascii="Arial" w:hAnsi="Arial" w:cs="Arial"/>
          <w:sz w:val="24"/>
          <w:szCs w:val="24"/>
        </w:rPr>
      </w:pPr>
    </w:p>
    <w:p w14:paraId="3386303B" w14:textId="4E332873"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3C14DC" w:rsidRPr="00743CB1">
        <w:rPr>
          <w:rFonts w:ascii="Arial" w:hAnsi="Arial" w:cs="Arial"/>
          <w:sz w:val="24"/>
          <w:szCs w:val="24"/>
        </w:rPr>
        <w:t>T</w:t>
      </w:r>
      <w:r w:rsidR="005D1BE1" w:rsidRPr="00743CB1">
        <w:rPr>
          <w:rFonts w:ascii="Arial" w:hAnsi="Arial" w:cs="Arial"/>
          <w:sz w:val="24"/>
          <w:szCs w:val="24"/>
        </w:rPr>
        <w:t>he first defendant admit</w:t>
      </w:r>
      <w:r w:rsidR="00FC6327" w:rsidRPr="00743CB1">
        <w:rPr>
          <w:rFonts w:ascii="Arial" w:hAnsi="Arial" w:cs="Arial"/>
          <w:sz w:val="24"/>
          <w:szCs w:val="24"/>
        </w:rPr>
        <w:t>ted</w:t>
      </w:r>
      <w:r w:rsidR="005D1BE1" w:rsidRPr="00743CB1">
        <w:rPr>
          <w:rFonts w:ascii="Arial" w:hAnsi="Arial" w:cs="Arial"/>
          <w:sz w:val="24"/>
          <w:szCs w:val="24"/>
        </w:rPr>
        <w:t xml:space="preserve"> that police officers opened a docket to facilitate </w:t>
      </w:r>
      <w:r w:rsidR="00C46797" w:rsidRPr="00743CB1">
        <w:rPr>
          <w:rFonts w:ascii="Arial" w:hAnsi="Arial" w:cs="Arial"/>
          <w:sz w:val="24"/>
          <w:szCs w:val="24"/>
        </w:rPr>
        <w:t xml:space="preserve">the prosecution of the first plaintiff but denied </w:t>
      </w:r>
      <w:r w:rsidR="001F11A8" w:rsidRPr="00743CB1">
        <w:rPr>
          <w:rFonts w:ascii="Arial" w:hAnsi="Arial" w:cs="Arial"/>
          <w:sz w:val="24"/>
          <w:szCs w:val="24"/>
        </w:rPr>
        <w:t xml:space="preserve">the remaining allegations. He pleaded that the charges against the </w:t>
      </w:r>
      <w:r w:rsidR="00F8143E" w:rsidRPr="00743CB1">
        <w:rPr>
          <w:rFonts w:ascii="Arial" w:hAnsi="Arial" w:cs="Arial"/>
          <w:sz w:val="24"/>
          <w:szCs w:val="24"/>
        </w:rPr>
        <w:t xml:space="preserve">first plaintiff were withdrawn </w:t>
      </w:r>
      <w:r w:rsidR="00870635" w:rsidRPr="00743CB1">
        <w:rPr>
          <w:rFonts w:ascii="Arial" w:hAnsi="Arial" w:cs="Arial"/>
          <w:sz w:val="24"/>
          <w:szCs w:val="24"/>
        </w:rPr>
        <w:t>because of</w:t>
      </w:r>
      <w:r w:rsidR="00F8143E" w:rsidRPr="00743CB1">
        <w:rPr>
          <w:rFonts w:ascii="Arial" w:hAnsi="Arial" w:cs="Arial"/>
          <w:sz w:val="24"/>
          <w:szCs w:val="24"/>
        </w:rPr>
        <w:t xml:space="preserve"> a mediation process initiated </w:t>
      </w:r>
      <w:r w:rsidR="00D00137" w:rsidRPr="00743CB1">
        <w:rPr>
          <w:rFonts w:ascii="Arial" w:hAnsi="Arial" w:cs="Arial"/>
          <w:sz w:val="24"/>
          <w:szCs w:val="24"/>
        </w:rPr>
        <w:t xml:space="preserve">by the latter’s attorneys, which culminated </w:t>
      </w:r>
      <w:r w:rsidR="007C4125" w:rsidRPr="00743CB1">
        <w:rPr>
          <w:rFonts w:ascii="Arial" w:hAnsi="Arial" w:cs="Arial"/>
          <w:sz w:val="24"/>
          <w:szCs w:val="24"/>
        </w:rPr>
        <w:t xml:space="preserve">in the first plaintiff’s having apologised to the </w:t>
      </w:r>
      <w:r w:rsidR="00870635" w:rsidRPr="00743CB1">
        <w:rPr>
          <w:rFonts w:ascii="Arial" w:hAnsi="Arial" w:cs="Arial"/>
          <w:sz w:val="24"/>
          <w:szCs w:val="24"/>
        </w:rPr>
        <w:t xml:space="preserve">officer involved, </w:t>
      </w:r>
      <w:r w:rsidR="00711265" w:rsidRPr="00743CB1">
        <w:rPr>
          <w:rFonts w:ascii="Arial" w:hAnsi="Arial" w:cs="Arial"/>
          <w:sz w:val="24"/>
          <w:szCs w:val="24"/>
        </w:rPr>
        <w:t xml:space="preserve">Sgt </w:t>
      </w:r>
      <w:r w:rsidR="00C51534" w:rsidRPr="00743CB1">
        <w:rPr>
          <w:rFonts w:ascii="Arial" w:hAnsi="Arial" w:cs="Arial"/>
          <w:sz w:val="24"/>
          <w:szCs w:val="24"/>
        </w:rPr>
        <w:t>Eric</w:t>
      </w:r>
      <w:r w:rsidR="00711265" w:rsidRPr="00743CB1">
        <w:rPr>
          <w:rFonts w:ascii="Arial" w:hAnsi="Arial" w:cs="Arial"/>
          <w:sz w:val="24"/>
          <w:szCs w:val="24"/>
        </w:rPr>
        <w:t xml:space="preserve"> Kriedeman</w:t>
      </w:r>
      <w:r w:rsidR="00C51534" w:rsidRPr="00743CB1">
        <w:rPr>
          <w:rFonts w:ascii="Arial" w:hAnsi="Arial" w:cs="Arial"/>
          <w:sz w:val="24"/>
          <w:szCs w:val="24"/>
        </w:rPr>
        <w:t>n</w:t>
      </w:r>
      <w:r w:rsidR="00711265" w:rsidRPr="00743CB1">
        <w:rPr>
          <w:rFonts w:ascii="Arial" w:hAnsi="Arial" w:cs="Arial"/>
          <w:sz w:val="24"/>
          <w:szCs w:val="24"/>
        </w:rPr>
        <w:t>.</w:t>
      </w:r>
      <w:r w:rsidR="00F71BEF" w:rsidRPr="00743CB1">
        <w:rPr>
          <w:rFonts w:ascii="Arial" w:hAnsi="Arial" w:cs="Arial"/>
          <w:sz w:val="24"/>
          <w:szCs w:val="24"/>
        </w:rPr>
        <w:t xml:space="preserve"> He denied liability for the damages claimed.</w:t>
      </w:r>
    </w:p>
    <w:p w14:paraId="578E73F3" w14:textId="77777777" w:rsidR="00D44D17" w:rsidRDefault="00D44D17" w:rsidP="00D44D17">
      <w:pPr>
        <w:pStyle w:val="ListParagraph"/>
        <w:spacing w:line="360" w:lineRule="auto"/>
        <w:ind w:left="0"/>
        <w:jc w:val="both"/>
        <w:rPr>
          <w:rFonts w:ascii="Arial" w:hAnsi="Arial" w:cs="Arial"/>
          <w:sz w:val="24"/>
          <w:szCs w:val="24"/>
        </w:rPr>
      </w:pPr>
    </w:p>
    <w:p w14:paraId="6E7DCBF5" w14:textId="2B92CF3C"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F71BEF" w:rsidRPr="00743CB1">
        <w:rPr>
          <w:rFonts w:ascii="Arial" w:hAnsi="Arial" w:cs="Arial"/>
          <w:sz w:val="24"/>
          <w:szCs w:val="24"/>
        </w:rPr>
        <w:t xml:space="preserve">Similarly, the first defendant denied liability for the damages claimed by the second </w:t>
      </w:r>
      <w:r w:rsidR="0082503A" w:rsidRPr="00743CB1">
        <w:rPr>
          <w:rFonts w:ascii="Arial" w:hAnsi="Arial" w:cs="Arial"/>
          <w:sz w:val="24"/>
          <w:szCs w:val="24"/>
        </w:rPr>
        <w:t>plaintiff</w:t>
      </w:r>
      <w:r w:rsidR="00EE3400" w:rsidRPr="00743CB1">
        <w:rPr>
          <w:rFonts w:ascii="Arial" w:hAnsi="Arial" w:cs="Arial"/>
          <w:sz w:val="24"/>
          <w:szCs w:val="24"/>
        </w:rPr>
        <w:t xml:space="preserve">. </w:t>
      </w:r>
      <w:r w:rsidR="0082503A" w:rsidRPr="00743CB1">
        <w:rPr>
          <w:rFonts w:ascii="Arial" w:hAnsi="Arial" w:cs="Arial"/>
          <w:sz w:val="24"/>
          <w:szCs w:val="24"/>
        </w:rPr>
        <w:t>His plea was essentially the same as that i</w:t>
      </w:r>
      <w:r w:rsidR="004022FD" w:rsidRPr="00743CB1">
        <w:rPr>
          <w:rFonts w:ascii="Arial" w:hAnsi="Arial" w:cs="Arial"/>
          <w:sz w:val="24"/>
          <w:szCs w:val="24"/>
        </w:rPr>
        <w:t xml:space="preserve">n relation to the </w:t>
      </w:r>
      <w:r w:rsidR="007407E3" w:rsidRPr="00743CB1">
        <w:rPr>
          <w:rFonts w:ascii="Arial" w:hAnsi="Arial" w:cs="Arial"/>
          <w:sz w:val="24"/>
          <w:szCs w:val="24"/>
        </w:rPr>
        <w:t xml:space="preserve">first </w:t>
      </w:r>
      <w:r w:rsidR="00F71BEF" w:rsidRPr="00743CB1">
        <w:rPr>
          <w:rFonts w:ascii="Arial" w:hAnsi="Arial" w:cs="Arial"/>
          <w:sz w:val="24"/>
          <w:szCs w:val="24"/>
        </w:rPr>
        <w:t>plaintiff</w:t>
      </w:r>
      <w:r w:rsidR="007407E3" w:rsidRPr="00743CB1">
        <w:rPr>
          <w:rFonts w:ascii="Arial" w:hAnsi="Arial" w:cs="Arial"/>
          <w:sz w:val="24"/>
          <w:szCs w:val="24"/>
        </w:rPr>
        <w:t>.</w:t>
      </w:r>
    </w:p>
    <w:p w14:paraId="0B8CA998" w14:textId="77777777" w:rsidR="00D44D17" w:rsidRPr="00D44D17" w:rsidRDefault="00D44D17" w:rsidP="00D44D17">
      <w:pPr>
        <w:pStyle w:val="ListParagraph"/>
        <w:rPr>
          <w:rFonts w:ascii="Arial" w:hAnsi="Arial" w:cs="Arial"/>
          <w:b/>
          <w:bCs/>
          <w:sz w:val="24"/>
          <w:szCs w:val="24"/>
        </w:rPr>
      </w:pPr>
    </w:p>
    <w:p w14:paraId="0B8D1F2D" w14:textId="77777777" w:rsidR="00D44D17" w:rsidRPr="00D44D17" w:rsidRDefault="00D44D17" w:rsidP="00D44D17">
      <w:pPr>
        <w:pStyle w:val="ListParagraph"/>
        <w:spacing w:line="360" w:lineRule="auto"/>
        <w:ind w:left="0"/>
        <w:jc w:val="both"/>
        <w:rPr>
          <w:rFonts w:ascii="Arial" w:hAnsi="Arial" w:cs="Arial"/>
          <w:sz w:val="24"/>
          <w:szCs w:val="24"/>
        </w:rPr>
      </w:pPr>
    </w:p>
    <w:p w14:paraId="18C1531B" w14:textId="77777777" w:rsidR="00D44D17" w:rsidRPr="00D44D17" w:rsidRDefault="00D44D17" w:rsidP="00D44D17">
      <w:pPr>
        <w:pStyle w:val="ListParagraph"/>
        <w:rPr>
          <w:rFonts w:ascii="Arial" w:hAnsi="Arial" w:cs="Arial"/>
          <w:b/>
          <w:bCs/>
          <w:sz w:val="24"/>
          <w:szCs w:val="24"/>
        </w:rPr>
      </w:pPr>
    </w:p>
    <w:p w14:paraId="3D6906E3" w14:textId="77777777" w:rsidR="00D44D17" w:rsidRPr="00D44D17" w:rsidRDefault="007407E3" w:rsidP="00D44D17">
      <w:pPr>
        <w:pStyle w:val="ListParagraph"/>
        <w:spacing w:line="360" w:lineRule="auto"/>
        <w:ind w:left="0"/>
        <w:jc w:val="both"/>
        <w:rPr>
          <w:rFonts w:ascii="Arial" w:hAnsi="Arial" w:cs="Arial"/>
          <w:sz w:val="24"/>
          <w:szCs w:val="24"/>
        </w:rPr>
      </w:pPr>
      <w:r w:rsidRPr="00D44D17">
        <w:rPr>
          <w:rFonts w:ascii="Arial" w:hAnsi="Arial" w:cs="Arial"/>
          <w:b/>
          <w:bCs/>
          <w:sz w:val="24"/>
          <w:szCs w:val="24"/>
        </w:rPr>
        <w:t>Second defendant’s case</w:t>
      </w:r>
    </w:p>
    <w:p w14:paraId="1E9C5B44" w14:textId="64CE7378" w:rsidR="00D44D17" w:rsidRDefault="00D44D17" w:rsidP="00D44D17">
      <w:pPr>
        <w:pStyle w:val="ListParagraph"/>
        <w:spacing w:line="360" w:lineRule="auto"/>
        <w:ind w:left="0"/>
        <w:jc w:val="both"/>
        <w:rPr>
          <w:rFonts w:ascii="Arial" w:hAnsi="Arial" w:cs="Arial"/>
          <w:sz w:val="24"/>
          <w:szCs w:val="24"/>
        </w:rPr>
      </w:pPr>
    </w:p>
    <w:p w14:paraId="5F30C0EC" w14:textId="77777777" w:rsidR="00D44D17" w:rsidRPr="00D44D17" w:rsidRDefault="00D44D17" w:rsidP="00D44D17">
      <w:pPr>
        <w:pStyle w:val="ListParagraph"/>
        <w:spacing w:line="360" w:lineRule="auto"/>
        <w:ind w:left="0"/>
        <w:jc w:val="both"/>
        <w:rPr>
          <w:rFonts w:ascii="Arial" w:hAnsi="Arial" w:cs="Arial"/>
          <w:sz w:val="24"/>
          <w:szCs w:val="24"/>
        </w:rPr>
      </w:pPr>
    </w:p>
    <w:p w14:paraId="34C521C4" w14:textId="4D3A8F38"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657F3" w:rsidRPr="00743CB1">
        <w:rPr>
          <w:rFonts w:ascii="Arial" w:hAnsi="Arial" w:cs="Arial"/>
          <w:sz w:val="24"/>
          <w:szCs w:val="24"/>
        </w:rPr>
        <w:t xml:space="preserve">The </w:t>
      </w:r>
      <w:r w:rsidR="003577C2" w:rsidRPr="00743CB1">
        <w:rPr>
          <w:rFonts w:ascii="Arial" w:hAnsi="Arial" w:cs="Arial"/>
          <w:sz w:val="24"/>
          <w:szCs w:val="24"/>
        </w:rPr>
        <w:t xml:space="preserve">second defendant pleaded that the relevant state prosecutor had </w:t>
      </w:r>
      <w:r w:rsidR="00F87888" w:rsidRPr="00743CB1">
        <w:rPr>
          <w:rFonts w:ascii="Arial" w:hAnsi="Arial" w:cs="Arial"/>
          <w:sz w:val="24"/>
          <w:szCs w:val="24"/>
        </w:rPr>
        <w:t xml:space="preserve">proceeded with the prosecution of the </w:t>
      </w:r>
      <w:r w:rsidR="00B048D1" w:rsidRPr="00743CB1">
        <w:rPr>
          <w:rFonts w:ascii="Arial" w:hAnsi="Arial" w:cs="Arial"/>
          <w:sz w:val="24"/>
          <w:szCs w:val="24"/>
        </w:rPr>
        <w:t>first plaintiff on the strength of the statements submitted by Sgt Kriedeman</w:t>
      </w:r>
      <w:r w:rsidR="00C51534" w:rsidRPr="00743CB1">
        <w:rPr>
          <w:rFonts w:ascii="Arial" w:hAnsi="Arial" w:cs="Arial"/>
          <w:sz w:val="24"/>
          <w:szCs w:val="24"/>
        </w:rPr>
        <w:t>n</w:t>
      </w:r>
      <w:r w:rsidR="00B048D1" w:rsidRPr="00743CB1">
        <w:rPr>
          <w:rFonts w:ascii="Arial" w:hAnsi="Arial" w:cs="Arial"/>
          <w:sz w:val="24"/>
          <w:szCs w:val="24"/>
        </w:rPr>
        <w:t xml:space="preserve"> and Const </w:t>
      </w:r>
      <w:r w:rsidR="00C51534" w:rsidRPr="00743CB1">
        <w:rPr>
          <w:rFonts w:ascii="Arial" w:hAnsi="Arial" w:cs="Arial"/>
          <w:sz w:val="24"/>
          <w:szCs w:val="24"/>
        </w:rPr>
        <w:t>Ntsikelelo</w:t>
      </w:r>
      <w:r w:rsidR="00B048D1" w:rsidRPr="00743CB1">
        <w:rPr>
          <w:rFonts w:ascii="Arial" w:hAnsi="Arial" w:cs="Arial"/>
          <w:sz w:val="24"/>
          <w:szCs w:val="24"/>
        </w:rPr>
        <w:t xml:space="preserve"> Roman</w:t>
      </w:r>
      <w:r w:rsidR="00E35FBA" w:rsidRPr="00743CB1">
        <w:rPr>
          <w:rFonts w:ascii="Arial" w:hAnsi="Arial" w:cs="Arial"/>
          <w:sz w:val="24"/>
          <w:szCs w:val="24"/>
        </w:rPr>
        <w:t>.</w:t>
      </w:r>
      <w:r w:rsidR="00123689" w:rsidRPr="00743CB1">
        <w:rPr>
          <w:rFonts w:ascii="Arial" w:hAnsi="Arial" w:cs="Arial"/>
          <w:sz w:val="24"/>
          <w:szCs w:val="24"/>
        </w:rPr>
        <w:t xml:space="preserve"> She averred that the </w:t>
      </w:r>
      <w:r w:rsidR="00D27BCA" w:rsidRPr="00743CB1">
        <w:rPr>
          <w:rFonts w:ascii="Arial" w:hAnsi="Arial" w:cs="Arial"/>
          <w:sz w:val="24"/>
          <w:szCs w:val="24"/>
        </w:rPr>
        <w:t xml:space="preserve">state prosecutor had provided the first plaintiff’s attorneys with copies of the contents of the docket and that the matter had been </w:t>
      </w:r>
      <w:r w:rsidR="00141145" w:rsidRPr="00743CB1">
        <w:rPr>
          <w:rFonts w:ascii="Arial" w:hAnsi="Arial" w:cs="Arial"/>
          <w:sz w:val="24"/>
          <w:szCs w:val="24"/>
        </w:rPr>
        <w:t>remanded for trial on 25 August 2017</w:t>
      </w:r>
      <w:r w:rsidR="00694C31" w:rsidRPr="00743CB1">
        <w:rPr>
          <w:rFonts w:ascii="Arial" w:hAnsi="Arial" w:cs="Arial"/>
          <w:sz w:val="24"/>
          <w:szCs w:val="24"/>
        </w:rPr>
        <w:t xml:space="preserve">. </w:t>
      </w:r>
    </w:p>
    <w:p w14:paraId="46A2CF46" w14:textId="77777777" w:rsidR="00D44D17" w:rsidRDefault="00D44D17" w:rsidP="00D44D17">
      <w:pPr>
        <w:pStyle w:val="ListParagraph"/>
        <w:spacing w:line="360" w:lineRule="auto"/>
        <w:ind w:left="0"/>
        <w:jc w:val="both"/>
        <w:rPr>
          <w:rFonts w:ascii="Arial" w:hAnsi="Arial" w:cs="Arial"/>
          <w:sz w:val="24"/>
          <w:szCs w:val="24"/>
        </w:rPr>
      </w:pPr>
    </w:p>
    <w:p w14:paraId="35B4DB69" w14:textId="7BA9039D"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694C31" w:rsidRPr="00743CB1">
        <w:rPr>
          <w:rFonts w:ascii="Arial" w:hAnsi="Arial" w:cs="Arial"/>
          <w:sz w:val="24"/>
          <w:szCs w:val="24"/>
        </w:rPr>
        <w:t>Before the trial commenced,</w:t>
      </w:r>
      <w:r w:rsidR="00C04732" w:rsidRPr="00743CB1">
        <w:rPr>
          <w:rFonts w:ascii="Arial" w:hAnsi="Arial" w:cs="Arial"/>
          <w:sz w:val="24"/>
          <w:szCs w:val="24"/>
        </w:rPr>
        <w:t xml:space="preserve"> the </w:t>
      </w:r>
      <w:r w:rsidR="003A6928" w:rsidRPr="00743CB1">
        <w:rPr>
          <w:rFonts w:ascii="Arial" w:hAnsi="Arial" w:cs="Arial"/>
          <w:sz w:val="24"/>
          <w:szCs w:val="24"/>
        </w:rPr>
        <w:t>above attorneys requested</w:t>
      </w:r>
      <w:r w:rsidR="001E57D4" w:rsidRPr="00743CB1">
        <w:rPr>
          <w:rFonts w:ascii="Arial" w:hAnsi="Arial" w:cs="Arial"/>
          <w:sz w:val="24"/>
          <w:szCs w:val="24"/>
        </w:rPr>
        <w:t xml:space="preserve"> that the matter be considered for mediation. </w:t>
      </w:r>
      <w:r w:rsidR="0035350B" w:rsidRPr="00743CB1">
        <w:rPr>
          <w:rFonts w:ascii="Arial" w:hAnsi="Arial" w:cs="Arial"/>
          <w:sz w:val="24"/>
          <w:szCs w:val="24"/>
        </w:rPr>
        <w:t xml:space="preserve">The complainant, Sgt Kriedeman, agreed thereto, which led to the first plaintiff’s </w:t>
      </w:r>
      <w:r w:rsidR="00651BCF" w:rsidRPr="00743CB1">
        <w:rPr>
          <w:rFonts w:ascii="Arial" w:hAnsi="Arial" w:cs="Arial"/>
          <w:sz w:val="24"/>
          <w:szCs w:val="24"/>
        </w:rPr>
        <w:t xml:space="preserve">offering an apology for the </w:t>
      </w:r>
      <w:r w:rsidR="001606FB" w:rsidRPr="00743CB1">
        <w:rPr>
          <w:rFonts w:ascii="Arial" w:hAnsi="Arial" w:cs="Arial"/>
          <w:sz w:val="24"/>
          <w:szCs w:val="24"/>
        </w:rPr>
        <w:t>assault</w:t>
      </w:r>
      <w:r w:rsidR="008A7A29" w:rsidRPr="00743CB1">
        <w:rPr>
          <w:rFonts w:ascii="Arial" w:hAnsi="Arial" w:cs="Arial"/>
          <w:sz w:val="24"/>
          <w:szCs w:val="24"/>
        </w:rPr>
        <w:t xml:space="preserve">, </w:t>
      </w:r>
      <w:r w:rsidR="00746070" w:rsidRPr="00743CB1">
        <w:rPr>
          <w:rFonts w:ascii="Arial" w:hAnsi="Arial" w:cs="Arial"/>
          <w:sz w:val="24"/>
          <w:szCs w:val="24"/>
        </w:rPr>
        <w:t xml:space="preserve">which </w:t>
      </w:r>
      <w:r w:rsidR="008A7A29" w:rsidRPr="00743CB1">
        <w:rPr>
          <w:rFonts w:ascii="Arial" w:hAnsi="Arial" w:cs="Arial"/>
          <w:sz w:val="24"/>
          <w:szCs w:val="24"/>
        </w:rPr>
        <w:t xml:space="preserve">was </w:t>
      </w:r>
      <w:r w:rsidR="00746070" w:rsidRPr="00743CB1">
        <w:rPr>
          <w:rFonts w:ascii="Arial" w:hAnsi="Arial" w:cs="Arial"/>
          <w:sz w:val="24"/>
          <w:szCs w:val="24"/>
        </w:rPr>
        <w:t>accepted. The charges were withdrawn.</w:t>
      </w:r>
      <w:r w:rsidR="00F248AC" w:rsidRPr="00743CB1">
        <w:rPr>
          <w:rFonts w:ascii="Arial" w:hAnsi="Arial" w:cs="Arial"/>
          <w:sz w:val="24"/>
          <w:szCs w:val="24"/>
        </w:rPr>
        <w:t xml:space="preserve"> Consequently, the second defendant denied liability for the first plaintif</w:t>
      </w:r>
      <w:r w:rsidR="00374A74" w:rsidRPr="00743CB1">
        <w:rPr>
          <w:rFonts w:ascii="Arial" w:hAnsi="Arial" w:cs="Arial"/>
          <w:sz w:val="24"/>
          <w:szCs w:val="24"/>
        </w:rPr>
        <w:t>f’s claim for damages.</w:t>
      </w:r>
    </w:p>
    <w:p w14:paraId="71116DAF" w14:textId="77777777" w:rsidR="00D44D17" w:rsidRPr="00D44D17" w:rsidRDefault="00D44D17" w:rsidP="00D44D17">
      <w:pPr>
        <w:pStyle w:val="ListParagraph"/>
        <w:rPr>
          <w:rFonts w:ascii="Arial" w:hAnsi="Arial" w:cs="Arial"/>
          <w:sz w:val="24"/>
          <w:szCs w:val="24"/>
        </w:rPr>
      </w:pPr>
    </w:p>
    <w:p w14:paraId="48557EBC" w14:textId="50571D62"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55A34" w:rsidRPr="00743CB1">
        <w:rPr>
          <w:rFonts w:ascii="Arial" w:hAnsi="Arial" w:cs="Arial"/>
          <w:sz w:val="24"/>
          <w:szCs w:val="24"/>
        </w:rPr>
        <w:t>The second defendant</w:t>
      </w:r>
      <w:r w:rsidR="00D906A4" w:rsidRPr="00743CB1">
        <w:rPr>
          <w:rFonts w:ascii="Arial" w:hAnsi="Arial" w:cs="Arial"/>
          <w:sz w:val="24"/>
          <w:szCs w:val="24"/>
        </w:rPr>
        <w:t xml:space="preserve">’s plea to the second plaintiff’s claim was almost identical. </w:t>
      </w:r>
      <w:r w:rsidR="00F7120C" w:rsidRPr="00743CB1">
        <w:rPr>
          <w:rFonts w:ascii="Arial" w:hAnsi="Arial" w:cs="Arial"/>
          <w:sz w:val="24"/>
          <w:szCs w:val="24"/>
        </w:rPr>
        <w:t>Likewise, s</w:t>
      </w:r>
      <w:r w:rsidR="00D906A4" w:rsidRPr="00743CB1">
        <w:rPr>
          <w:rFonts w:ascii="Arial" w:hAnsi="Arial" w:cs="Arial"/>
          <w:sz w:val="24"/>
          <w:szCs w:val="24"/>
        </w:rPr>
        <w:t>he denied liability.</w:t>
      </w:r>
      <w:r w:rsidR="00555A34" w:rsidRPr="00743CB1">
        <w:rPr>
          <w:rFonts w:ascii="Arial" w:hAnsi="Arial" w:cs="Arial"/>
          <w:sz w:val="24"/>
          <w:szCs w:val="24"/>
        </w:rPr>
        <w:t xml:space="preserve"> </w:t>
      </w:r>
    </w:p>
    <w:p w14:paraId="55CFD1D0" w14:textId="77777777" w:rsidR="00D44D17" w:rsidRPr="00D44D17" w:rsidRDefault="00D44D17" w:rsidP="00D44D17">
      <w:pPr>
        <w:pStyle w:val="ListParagraph"/>
        <w:rPr>
          <w:rFonts w:ascii="Arial" w:hAnsi="Arial" w:cs="Arial"/>
          <w:b/>
          <w:bCs/>
          <w:sz w:val="24"/>
          <w:szCs w:val="24"/>
        </w:rPr>
      </w:pPr>
    </w:p>
    <w:p w14:paraId="273C2994" w14:textId="77777777" w:rsidR="00D44D17" w:rsidRPr="00D44D17" w:rsidRDefault="00D44D17" w:rsidP="00D44D17">
      <w:pPr>
        <w:pStyle w:val="ListParagraph"/>
        <w:spacing w:line="360" w:lineRule="auto"/>
        <w:ind w:left="0"/>
        <w:jc w:val="both"/>
        <w:rPr>
          <w:rFonts w:ascii="Arial" w:hAnsi="Arial" w:cs="Arial"/>
          <w:sz w:val="24"/>
          <w:szCs w:val="24"/>
        </w:rPr>
      </w:pPr>
    </w:p>
    <w:p w14:paraId="63F2D0BD" w14:textId="77777777" w:rsidR="00D44D17" w:rsidRPr="00D44D17" w:rsidRDefault="00D44D17" w:rsidP="00D44D17">
      <w:pPr>
        <w:pStyle w:val="ListParagraph"/>
        <w:rPr>
          <w:rFonts w:ascii="Arial" w:hAnsi="Arial" w:cs="Arial"/>
          <w:b/>
          <w:bCs/>
          <w:sz w:val="24"/>
          <w:szCs w:val="24"/>
        </w:rPr>
      </w:pPr>
    </w:p>
    <w:p w14:paraId="0898097B" w14:textId="77777777" w:rsidR="00D44D17" w:rsidRPr="00D44D17" w:rsidRDefault="006225F4" w:rsidP="00D44D17">
      <w:pPr>
        <w:pStyle w:val="ListParagraph"/>
        <w:spacing w:line="360" w:lineRule="auto"/>
        <w:ind w:left="0"/>
        <w:jc w:val="both"/>
        <w:rPr>
          <w:rFonts w:ascii="Arial" w:hAnsi="Arial" w:cs="Arial"/>
          <w:sz w:val="24"/>
          <w:szCs w:val="24"/>
        </w:rPr>
      </w:pPr>
      <w:r w:rsidRPr="00D44D17">
        <w:rPr>
          <w:rFonts w:ascii="Arial" w:hAnsi="Arial" w:cs="Arial"/>
          <w:b/>
          <w:bCs/>
          <w:sz w:val="24"/>
          <w:szCs w:val="24"/>
        </w:rPr>
        <w:t>Trial proceedings</w:t>
      </w:r>
    </w:p>
    <w:p w14:paraId="2901AF46" w14:textId="77777777" w:rsidR="00D44D17" w:rsidRPr="00D44D17" w:rsidRDefault="00D44D17" w:rsidP="00D44D17">
      <w:pPr>
        <w:pStyle w:val="ListParagraph"/>
        <w:spacing w:line="360" w:lineRule="auto"/>
        <w:ind w:left="0"/>
        <w:jc w:val="both"/>
        <w:rPr>
          <w:rFonts w:ascii="Arial" w:hAnsi="Arial" w:cs="Arial"/>
          <w:sz w:val="24"/>
          <w:szCs w:val="24"/>
        </w:rPr>
      </w:pPr>
    </w:p>
    <w:p w14:paraId="2100E9FD" w14:textId="77777777" w:rsidR="00D44D17" w:rsidRPr="00D44D17" w:rsidRDefault="00D44D17" w:rsidP="00D44D17">
      <w:pPr>
        <w:pStyle w:val="ListParagraph"/>
        <w:spacing w:line="360" w:lineRule="auto"/>
        <w:ind w:left="0"/>
        <w:jc w:val="both"/>
        <w:rPr>
          <w:rFonts w:ascii="Arial" w:hAnsi="Arial" w:cs="Arial"/>
          <w:sz w:val="24"/>
          <w:szCs w:val="24"/>
        </w:rPr>
      </w:pPr>
    </w:p>
    <w:p w14:paraId="3EBE2ABB" w14:textId="4CDCF80A"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E4C99" w:rsidRPr="00743CB1">
        <w:rPr>
          <w:rFonts w:ascii="Arial" w:hAnsi="Arial" w:cs="Arial"/>
          <w:sz w:val="24"/>
          <w:szCs w:val="24"/>
        </w:rPr>
        <w:t>The matter went to trial on all three of the plaintiffs’ claims</w:t>
      </w:r>
      <w:r w:rsidR="005F5B7D" w:rsidRPr="00743CB1">
        <w:rPr>
          <w:rFonts w:ascii="Arial" w:hAnsi="Arial" w:cs="Arial"/>
          <w:sz w:val="24"/>
          <w:szCs w:val="24"/>
        </w:rPr>
        <w:t xml:space="preserve">. Whereas the plaintiffs led a considerable amount of evidence regarding the </w:t>
      </w:r>
      <w:r w:rsidR="00E90783" w:rsidRPr="00743CB1">
        <w:rPr>
          <w:rFonts w:ascii="Arial" w:hAnsi="Arial" w:cs="Arial"/>
          <w:sz w:val="24"/>
          <w:szCs w:val="24"/>
        </w:rPr>
        <w:t xml:space="preserve">assault and the </w:t>
      </w:r>
      <w:r w:rsidR="006E35F8" w:rsidRPr="00743CB1">
        <w:rPr>
          <w:rFonts w:ascii="Arial" w:hAnsi="Arial" w:cs="Arial"/>
          <w:sz w:val="24"/>
          <w:szCs w:val="24"/>
        </w:rPr>
        <w:t xml:space="preserve">events leading to their arrest and incarceration, very little was </w:t>
      </w:r>
      <w:r w:rsidR="008D4703" w:rsidRPr="00743CB1">
        <w:rPr>
          <w:rFonts w:ascii="Arial" w:hAnsi="Arial" w:cs="Arial"/>
          <w:sz w:val="24"/>
          <w:szCs w:val="24"/>
        </w:rPr>
        <w:t xml:space="preserve">advanced in relation to </w:t>
      </w:r>
      <w:r w:rsidR="005236EC" w:rsidRPr="00743CB1">
        <w:rPr>
          <w:rFonts w:ascii="Arial" w:hAnsi="Arial" w:cs="Arial"/>
          <w:sz w:val="24"/>
          <w:szCs w:val="24"/>
        </w:rPr>
        <w:t>the prosecution of the criminal charge</w:t>
      </w:r>
      <w:r w:rsidR="00261B1B" w:rsidRPr="00743CB1">
        <w:rPr>
          <w:rFonts w:ascii="Arial" w:hAnsi="Arial" w:cs="Arial"/>
          <w:sz w:val="24"/>
          <w:szCs w:val="24"/>
        </w:rPr>
        <w:t xml:space="preserve">s. </w:t>
      </w:r>
    </w:p>
    <w:p w14:paraId="2C3D48E9" w14:textId="77777777" w:rsidR="00D44D17" w:rsidRDefault="00D44D17" w:rsidP="00D44D17">
      <w:pPr>
        <w:pStyle w:val="ListParagraph"/>
        <w:spacing w:line="360" w:lineRule="auto"/>
        <w:ind w:left="0"/>
        <w:jc w:val="both"/>
        <w:rPr>
          <w:rFonts w:ascii="Arial" w:hAnsi="Arial" w:cs="Arial"/>
          <w:sz w:val="24"/>
          <w:szCs w:val="24"/>
        </w:rPr>
      </w:pPr>
    </w:p>
    <w:p w14:paraId="11888CEE" w14:textId="72FDBFFC"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61B1B" w:rsidRPr="00743CB1">
        <w:rPr>
          <w:rFonts w:ascii="Arial" w:hAnsi="Arial" w:cs="Arial"/>
          <w:sz w:val="24"/>
          <w:szCs w:val="24"/>
        </w:rPr>
        <w:t xml:space="preserve">To complicate the matter, there </w:t>
      </w:r>
      <w:r w:rsidR="002B13B1" w:rsidRPr="00743CB1">
        <w:rPr>
          <w:rFonts w:ascii="Arial" w:hAnsi="Arial" w:cs="Arial"/>
          <w:sz w:val="24"/>
          <w:szCs w:val="24"/>
        </w:rPr>
        <w:t xml:space="preserve">was confusion </w:t>
      </w:r>
      <w:r w:rsidR="009862FF" w:rsidRPr="00743CB1">
        <w:rPr>
          <w:rFonts w:ascii="Arial" w:hAnsi="Arial" w:cs="Arial"/>
          <w:sz w:val="24"/>
          <w:szCs w:val="24"/>
        </w:rPr>
        <w:t xml:space="preserve">as to </w:t>
      </w:r>
      <w:r w:rsidR="006B0A1C" w:rsidRPr="00743CB1">
        <w:rPr>
          <w:rFonts w:ascii="Arial" w:hAnsi="Arial" w:cs="Arial"/>
          <w:sz w:val="24"/>
          <w:szCs w:val="24"/>
        </w:rPr>
        <w:t xml:space="preserve">the legal basis for the </w:t>
      </w:r>
      <w:r w:rsidR="00FF5537" w:rsidRPr="00743CB1">
        <w:rPr>
          <w:rFonts w:ascii="Arial" w:hAnsi="Arial" w:cs="Arial"/>
          <w:sz w:val="24"/>
          <w:szCs w:val="24"/>
        </w:rPr>
        <w:t xml:space="preserve">plaintiffs’ </w:t>
      </w:r>
      <w:r w:rsidR="00457694" w:rsidRPr="00743CB1">
        <w:rPr>
          <w:rFonts w:ascii="Arial" w:hAnsi="Arial" w:cs="Arial"/>
          <w:sz w:val="24"/>
          <w:szCs w:val="24"/>
        </w:rPr>
        <w:t xml:space="preserve">claims. This </w:t>
      </w:r>
      <w:r w:rsidR="00C7761F" w:rsidRPr="00743CB1">
        <w:rPr>
          <w:rFonts w:ascii="Arial" w:hAnsi="Arial" w:cs="Arial"/>
          <w:sz w:val="24"/>
          <w:szCs w:val="24"/>
        </w:rPr>
        <w:t xml:space="preserve">needs to </w:t>
      </w:r>
      <w:r w:rsidR="00457694" w:rsidRPr="00743CB1">
        <w:rPr>
          <w:rFonts w:ascii="Arial" w:hAnsi="Arial" w:cs="Arial"/>
          <w:sz w:val="24"/>
          <w:szCs w:val="24"/>
        </w:rPr>
        <w:t xml:space="preserve">be </w:t>
      </w:r>
      <w:r w:rsidR="009961A3" w:rsidRPr="00743CB1">
        <w:rPr>
          <w:rFonts w:ascii="Arial" w:hAnsi="Arial" w:cs="Arial"/>
          <w:sz w:val="24"/>
          <w:szCs w:val="24"/>
        </w:rPr>
        <w:t>discussed</w:t>
      </w:r>
      <w:r w:rsidR="00457694" w:rsidRPr="00743CB1">
        <w:rPr>
          <w:rFonts w:ascii="Arial" w:hAnsi="Arial" w:cs="Arial"/>
          <w:sz w:val="24"/>
          <w:szCs w:val="24"/>
        </w:rPr>
        <w:t xml:space="preserve"> further.</w:t>
      </w:r>
    </w:p>
    <w:p w14:paraId="69568BAD" w14:textId="77777777" w:rsidR="00D44D17" w:rsidRPr="00D44D17" w:rsidRDefault="00D44D17" w:rsidP="00D44D17">
      <w:pPr>
        <w:pStyle w:val="ListParagraph"/>
        <w:rPr>
          <w:rFonts w:ascii="Arial" w:hAnsi="Arial" w:cs="Arial"/>
          <w:b/>
          <w:bCs/>
          <w:sz w:val="24"/>
          <w:szCs w:val="24"/>
        </w:rPr>
      </w:pPr>
    </w:p>
    <w:p w14:paraId="26351307" w14:textId="77777777" w:rsidR="00D44D17" w:rsidRDefault="00D44D17" w:rsidP="00D44D17">
      <w:pPr>
        <w:pStyle w:val="ListParagraph"/>
        <w:spacing w:line="360" w:lineRule="auto"/>
        <w:ind w:left="0"/>
        <w:jc w:val="both"/>
        <w:rPr>
          <w:rFonts w:ascii="Arial" w:hAnsi="Arial" w:cs="Arial"/>
          <w:b/>
          <w:bCs/>
          <w:sz w:val="24"/>
          <w:szCs w:val="24"/>
        </w:rPr>
      </w:pPr>
      <w:r>
        <w:rPr>
          <w:rFonts w:ascii="Arial" w:hAnsi="Arial" w:cs="Arial"/>
          <w:b/>
          <w:bCs/>
          <w:sz w:val="24"/>
          <w:szCs w:val="24"/>
        </w:rPr>
        <w:br/>
      </w:r>
      <w:r w:rsidR="000C038A" w:rsidRPr="00D44D17">
        <w:rPr>
          <w:rFonts w:ascii="Arial" w:hAnsi="Arial" w:cs="Arial"/>
          <w:b/>
          <w:bCs/>
          <w:sz w:val="24"/>
          <w:szCs w:val="24"/>
        </w:rPr>
        <w:t>Issues to be decided</w:t>
      </w:r>
    </w:p>
    <w:p w14:paraId="06A18AD6" w14:textId="6A76B0ED" w:rsidR="00D44D17" w:rsidRDefault="00D44D17" w:rsidP="00D44D17">
      <w:pPr>
        <w:pStyle w:val="ListParagraph"/>
        <w:spacing w:line="360" w:lineRule="auto"/>
        <w:ind w:left="0"/>
        <w:jc w:val="both"/>
        <w:rPr>
          <w:rFonts w:ascii="Arial" w:hAnsi="Arial" w:cs="Arial"/>
          <w:b/>
          <w:bCs/>
          <w:sz w:val="24"/>
          <w:szCs w:val="24"/>
        </w:rPr>
      </w:pPr>
    </w:p>
    <w:p w14:paraId="666E5CD8" w14:textId="77777777" w:rsidR="00D44D17" w:rsidRDefault="00D44D17" w:rsidP="00D44D17">
      <w:pPr>
        <w:pStyle w:val="ListParagraph"/>
        <w:spacing w:line="360" w:lineRule="auto"/>
        <w:ind w:left="0"/>
        <w:jc w:val="both"/>
        <w:rPr>
          <w:rFonts w:ascii="Arial" w:hAnsi="Arial" w:cs="Arial"/>
          <w:b/>
          <w:bCs/>
          <w:sz w:val="24"/>
          <w:szCs w:val="24"/>
        </w:rPr>
      </w:pPr>
    </w:p>
    <w:p w14:paraId="34FE7E14" w14:textId="05A7A47F"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F277A" w:rsidRPr="00743CB1">
        <w:rPr>
          <w:rFonts w:ascii="Arial" w:hAnsi="Arial" w:cs="Arial"/>
          <w:sz w:val="24"/>
          <w:szCs w:val="24"/>
        </w:rPr>
        <w:t xml:space="preserve">Both plaintiffs </w:t>
      </w:r>
      <w:r w:rsidR="00715C44" w:rsidRPr="00743CB1">
        <w:rPr>
          <w:rFonts w:ascii="Arial" w:hAnsi="Arial" w:cs="Arial"/>
          <w:sz w:val="24"/>
          <w:szCs w:val="24"/>
        </w:rPr>
        <w:t>indicat</w:t>
      </w:r>
      <w:r w:rsidR="00BA2703" w:rsidRPr="00743CB1">
        <w:rPr>
          <w:rFonts w:ascii="Arial" w:hAnsi="Arial" w:cs="Arial"/>
          <w:sz w:val="24"/>
          <w:szCs w:val="24"/>
        </w:rPr>
        <w:t xml:space="preserve">ed </w:t>
      </w:r>
      <w:r w:rsidR="00715C44" w:rsidRPr="00743CB1">
        <w:rPr>
          <w:rFonts w:ascii="Arial" w:hAnsi="Arial" w:cs="Arial"/>
          <w:sz w:val="24"/>
          <w:szCs w:val="24"/>
        </w:rPr>
        <w:t xml:space="preserve">in </w:t>
      </w:r>
      <w:r w:rsidR="00BA2703" w:rsidRPr="00743CB1">
        <w:rPr>
          <w:rFonts w:ascii="Arial" w:hAnsi="Arial" w:cs="Arial"/>
          <w:sz w:val="24"/>
          <w:szCs w:val="24"/>
        </w:rPr>
        <w:t xml:space="preserve">their </w:t>
      </w:r>
      <w:r w:rsidR="00715C44" w:rsidRPr="00743CB1">
        <w:rPr>
          <w:rFonts w:ascii="Arial" w:hAnsi="Arial" w:cs="Arial"/>
          <w:sz w:val="24"/>
          <w:szCs w:val="24"/>
        </w:rPr>
        <w:t xml:space="preserve">particulars that their </w:t>
      </w:r>
      <w:r w:rsidR="00BA2703" w:rsidRPr="00743CB1">
        <w:rPr>
          <w:rFonts w:ascii="Arial" w:hAnsi="Arial" w:cs="Arial"/>
          <w:sz w:val="24"/>
          <w:szCs w:val="24"/>
        </w:rPr>
        <w:t>third and final claims</w:t>
      </w:r>
      <w:r w:rsidR="00381934" w:rsidRPr="00743CB1">
        <w:rPr>
          <w:rFonts w:ascii="Arial" w:hAnsi="Arial" w:cs="Arial"/>
          <w:sz w:val="24"/>
          <w:szCs w:val="24"/>
        </w:rPr>
        <w:t xml:space="preserve"> </w:t>
      </w:r>
      <w:r w:rsidR="00715C44" w:rsidRPr="00743CB1">
        <w:rPr>
          <w:rFonts w:ascii="Arial" w:hAnsi="Arial" w:cs="Arial"/>
          <w:sz w:val="24"/>
          <w:szCs w:val="24"/>
        </w:rPr>
        <w:t xml:space="preserve">were </w:t>
      </w:r>
      <w:r w:rsidR="00362539" w:rsidRPr="00743CB1">
        <w:rPr>
          <w:rFonts w:ascii="Arial" w:hAnsi="Arial" w:cs="Arial"/>
          <w:sz w:val="24"/>
          <w:szCs w:val="24"/>
        </w:rPr>
        <w:t xml:space="preserve">for </w:t>
      </w:r>
      <w:r w:rsidR="00715C44" w:rsidRPr="00743CB1">
        <w:rPr>
          <w:rFonts w:ascii="Arial" w:hAnsi="Arial" w:cs="Arial"/>
          <w:sz w:val="24"/>
          <w:szCs w:val="24"/>
        </w:rPr>
        <w:t>unlawful prosecu</w:t>
      </w:r>
      <w:r w:rsidR="00CD0B78" w:rsidRPr="00743CB1">
        <w:rPr>
          <w:rFonts w:ascii="Arial" w:hAnsi="Arial" w:cs="Arial"/>
          <w:sz w:val="24"/>
          <w:szCs w:val="24"/>
        </w:rPr>
        <w:t>tion.</w:t>
      </w:r>
      <w:r w:rsidR="00A6672D" w:rsidRPr="00743CB1">
        <w:rPr>
          <w:rFonts w:ascii="Arial" w:hAnsi="Arial" w:cs="Arial"/>
          <w:sz w:val="24"/>
          <w:szCs w:val="24"/>
        </w:rPr>
        <w:t xml:space="preserve"> </w:t>
      </w:r>
      <w:r w:rsidR="00F84159" w:rsidRPr="00743CB1">
        <w:rPr>
          <w:rFonts w:ascii="Arial" w:hAnsi="Arial" w:cs="Arial"/>
          <w:sz w:val="24"/>
          <w:szCs w:val="24"/>
        </w:rPr>
        <w:t xml:space="preserve">On closer examination, </w:t>
      </w:r>
      <w:r w:rsidR="006E2F3C" w:rsidRPr="00743CB1">
        <w:rPr>
          <w:rFonts w:ascii="Arial" w:hAnsi="Arial" w:cs="Arial"/>
          <w:sz w:val="24"/>
          <w:szCs w:val="24"/>
        </w:rPr>
        <w:t xml:space="preserve">each of </w:t>
      </w:r>
      <w:r w:rsidR="00F84159" w:rsidRPr="00743CB1">
        <w:rPr>
          <w:rFonts w:ascii="Arial" w:hAnsi="Arial" w:cs="Arial"/>
          <w:sz w:val="24"/>
          <w:szCs w:val="24"/>
        </w:rPr>
        <w:t>the claim</w:t>
      </w:r>
      <w:r w:rsidR="004E6ECF" w:rsidRPr="00743CB1">
        <w:rPr>
          <w:rFonts w:ascii="Arial" w:hAnsi="Arial" w:cs="Arial"/>
          <w:sz w:val="24"/>
          <w:szCs w:val="24"/>
        </w:rPr>
        <w:t>s</w:t>
      </w:r>
      <w:r w:rsidR="00F84159" w:rsidRPr="00743CB1">
        <w:rPr>
          <w:rFonts w:ascii="Arial" w:hAnsi="Arial" w:cs="Arial"/>
          <w:sz w:val="24"/>
          <w:szCs w:val="24"/>
        </w:rPr>
        <w:t xml:space="preserve"> appear</w:t>
      </w:r>
      <w:r w:rsidR="006E2F3C" w:rsidRPr="00743CB1">
        <w:rPr>
          <w:rFonts w:ascii="Arial" w:hAnsi="Arial" w:cs="Arial"/>
          <w:sz w:val="24"/>
          <w:szCs w:val="24"/>
        </w:rPr>
        <w:t>s</w:t>
      </w:r>
      <w:r w:rsidR="00F84159" w:rsidRPr="00743CB1">
        <w:rPr>
          <w:rFonts w:ascii="Arial" w:hAnsi="Arial" w:cs="Arial"/>
          <w:sz w:val="24"/>
          <w:szCs w:val="24"/>
        </w:rPr>
        <w:t xml:space="preserve"> to be </w:t>
      </w:r>
      <w:r w:rsidR="006E2F3C" w:rsidRPr="00743CB1">
        <w:rPr>
          <w:rFonts w:ascii="Arial" w:hAnsi="Arial" w:cs="Arial"/>
          <w:sz w:val="24"/>
          <w:szCs w:val="24"/>
        </w:rPr>
        <w:t xml:space="preserve">a </w:t>
      </w:r>
      <w:r w:rsidR="00E30981" w:rsidRPr="00743CB1">
        <w:rPr>
          <w:rFonts w:ascii="Arial" w:hAnsi="Arial" w:cs="Arial"/>
          <w:sz w:val="24"/>
          <w:szCs w:val="24"/>
        </w:rPr>
        <w:t xml:space="preserve">delictual </w:t>
      </w:r>
      <w:r w:rsidR="00E30981" w:rsidRPr="00743CB1">
        <w:rPr>
          <w:rFonts w:ascii="Arial" w:hAnsi="Arial" w:cs="Arial"/>
          <w:sz w:val="24"/>
          <w:szCs w:val="24"/>
        </w:rPr>
        <w:lastRenderedPageBreak/>
        <w:t xml:space="preserve">action for damages, </w:t>
      </w:r>
      <w:r w:rsidR="007B6D67" w:rsidRPr="00743CB1">
        <w:rPr>
          <w:rFonts w:ascii="Arial" w:hAnsi="Arial" w:cs="Arial"/>
          <w:sz w:val="24"/>
          <w:szCs w:val="24"/>
        </w:rPr>
        <w:t xml:space="preserve">alleging </w:t>
      </w:r>
      <w:r w:rsidR="00E0368E" w:rsidRPr="00743CB1">
        <w:rPr>
          <w:rFonts w:ascii="Arial" w:hAnsi="Arial" w:cs="Arial"/>
          <w:sz w:val="24"/>
          <w:szCs w:val="24"/>
        </w:rPr>
        <w:t xml:space="preserve">wrongful and </w:t>
      </w:r>
      <w:r w:rsidR="00134A6F" w:rsidRPr="00743CB1">
        <w:rPr>
          <w:rFonts w:ascii="Arial" w:hAnsi="Arial" w:cs="Arial"/>
          <w:sz w:val="24"/>
          <w:szCs w:val="24"/>
        </w:rPr>
        <w:t xml:space="preserve">negligent conduct on the part of the defendants. </w:t>
      </w:r>
      <w:r w:rsidR="005A7B43" w:rsidRPr="00743CB1">
        <w:rPr>
          <w:rFonts w:ascii="Arial" w:hAnsi="Arial" w:cs="Arial"/>
          <w:sz w:val="24"/>
          <w:szCs w:val="24"/>
        </w:rPr>
        <w:t>T</w:t>
      </w:r>
      <w:r w:rsidR="00271AA7" w:rsidRPr="00743CB1">
        <w:rPr>
          <w:rFonts w:ascii="Arial" w:hAnsi="Arial" w:cs="Arial"/>
          <w:sz w:val="24"/>
          <w:szCs w:val="24"/>
        </w:rPr>
        <w:t>here are</w:t>
      </w:r>
      <w:r w:rsidR="005A7B43" w:rsidRPr="00743CB1">
        <w:rPr>
          <w:rFonts w:ascii="Arial" w:hAnsi="Arial" w:cs="Arial"/>
          <w:sz w:val="24"/>
          <w:szCs w:val="24"/>
        </w:rPr>
        <w:t>, however,</w:t>
      </w:r>
      <w:r w:rsidR="00271AA7" w:rsidRPr="00743CB1">
        <w:rPr>
          <w:rFonts w:ascii="Arial" w:hAnsi="Arial" w:cs="Arial"/>
          <w:sz w:val="24"/>
          <w:szCs w:val="24"/>
        </w:rPr>
        <w:t xml:space="preserve"> </w:t>
      </w:r>
      <w:r w:rsidR="002F7608" w:rsidRPr="00743CB1">
        <w:rPr>
          <w:rFonts w:ascii="Arial" w:hAnsi="Arial" w:cs="Arial"/>
          <w:sz w:val="24"/>
          <w:szCs w:val="24"/>
        </w:rPr>
        <w:t xml:space="preserve">also </w:t>
      </w:r>
      <w:r w:rsidR="00A432C5" w:rsidRPr="00743CB1">
        <w:rPr>
          <w:rFonts w:ascii="Arial" w:hAnsi="Arial" w:cs="Arial"/>
          <w:sz w:val="24"/>
          <w:szCs w:val="24"/>
        </w:rPr>
        <w:t xml:space="preserve">faint </w:t>
      </w:r>
      <w:r w:rsidR="00631D04" w:rsidRPr="00743CB1">
        <w:rPr>
          <w:rFonts w:ascii="Arial" w:hAnsi="Arial" w:cs="Arial"/>
          <w:sz w:val="24"/>
          <w:szCs w:val="24"/>
        </w:rPr>
        <w:t>traces</w:t>
      </w:r>
      <w:r w:rsidR="002F7608" w:rsidRPr="00743CB1">
        <w:rPr>
          <w:rFonts w:ascii="Arial" w:hAnsi="Arial" w:cs="Arial"/>
          <w:sz w:val="24"/>
          <w:szCs w:val="24"/>
        </w:rPr>
        <w:t xml:space="preserve"> </w:t>
      </w:r>
      <w:r w:rsidR="00271AA7" w:rsidRPr="00743CB1">
        <w:rPr>
          <w:rFonts w:ascii="Arial" w:hAnsi="Arial" w:cs="Arial"/>
          <w:sz w:val="24"/>
          <w:szCs w:val="24"/>
        </w:rPr>
        <w:t xml:space="preserve">of </w:t>
      </w:r>
      <w:r w:rsidR="00360806" w:rsidRPr="00743CB1">
        <w:rPr>
          <w:rFonts w:ascii="Arial" w:hAnsi="Arial" w:cs="Arial"/>
          <w:sz w:val="24"/>
          <w:szCs w:val="24"/>
        </w:rPr>
        <w:t>a claim for damages arising from malicious prosecution</w:t>
      </w:r>
      <w:r w:rsidR="00390858" w:rsidRPr="00743CB1">
        <w:rPr>
          <w:rFonts w:ascii="Arial" w:hAnsi="Arial" w:cs="Arial"/>
          <w:sz w:val="24"/>
          <w:szCs w:val="24"/>
        </w:rPr>
        <w:t>. This is especially so in relation to the second plaintiff’s claim</w:t>
      </w:r>
      <w:r w:rsidR="007A718E" w:rsidRPr="00743CB1">
        <w:rPr>
          <w:rFonts w:ascii="Arial" w:hAnsi="Arial" w:cs="Arial"/>
          <w:sz w:val="24"/>
          <w:szCs w:val="24"/>
        </w:rPr>
        <w:t>.</w:t>
      </w:r>
    </w:p>
    <w:p w14:paraId="1D673A23" w14:textId="77777777" w:rsidR="00D44D17" w:rsidRDefault="00D44D17" w:rsidP="00D44D17">
      <w:pPr>
        <w:pStyle w:val="ListParagraph"/>
        <w:spacing w:line="360" w:lineRule="auto"/>
        <w:ind w:left="0"/>
        <w:jc w:val="both"/>
        <w:rPr>
          <w:rFonts w:ascii="Arial" w:hAnsi="Arial" w:cs="Arial"/>
          <w:sz w:val="24"/>
          <w:szCs w:val="24"/>
        </w:rPr>
      </w:pPr>
    </w:p>
    <w:p w14:paraId="6CAFA4DB" w14:textId="17D036F8"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414E6" w:rsidRPr="00743CB1">
        <w:rPr>
          <w:rFonts w:ascii="Arial" w:hAnsi="Arial" w:cs="Arial"/>
          <w:sz w:val="24"/>
          <w:szCs w:val="24"/>
        </w:rPr>
        <w:t xml:space="preserve">In argument, </w:t>
      </w:r>
      <w:r w:rsidR="009A1D3C" w:rsidRPr="00743CB1">
        <w:rPr>
          <w:rFonts w:ascii="Arial" w:hAnsi="Arial" w:cs="Arial"/>
          <w:sz w:val="24"/>
          <w:szCs w:val="24"/>
        </w:rPr>
        <w:t xml:space="preserve">counsel for </w:t>
      </w:r>
      <w:r w:rsidR="000414E6" w:rsidRPr="00743CB1">
        <w:rPr>
          <w:rFonts w:ascii="Arial" w:hAnsi="Arial" w:cs="Arial"/>
          <w:sz w:val="24"/>
          <w:szCs w:val="24"/>
        </w:rPr>
        <w:t xml:space="preserve">the </w:t>
      </w:r>
      <w:r w:rsidR="004B272C" w:rsidRPr="00743CB1">
        <w:rPr>
          <w:rFonts w:ascii="Arial" w:hAnsi="Arial" w:cs="Arial"/>
          <w:sz w:val="24"/>
          <w:szCs w:val="24"/>
        </w:rPr>
        <w:t xml:space="preserve">first </w:t>
      </w:r>
      <w:r w:rsidR="000414E6" w:rsidRPr="00743CB1">
        <w:rPr>
          <w:rFonts w:ascii="Arial" w:hAnsi="Arial" w:cs="Arial"/>
          <w:sz w:val="24"/>
          <w:szCs w:val="24"/>
        </w:rPr>
        <w:t>defendant point</w:t>
      </w:r>
      <w:r w:rsidR="00F71655" w:rsidRPr="00743CB1">
        <w:rPr>
          <w:rFonts w:ascii="Arial" w:hAnsi="Arial" w:cs="Arial"/>
          <w:sz w:val="24"/>
          <w:szCs w:val="24"/>
        </w:rPr>
        <w:t>ed</w:t>
      </w:r>
      <w:r w:rsidR="000414E6" w:rsidRPr="00743CB1">
        <w:rPr>
          <w:rFonts w:ascii="Arial" w:hAnsi="Arial" w:cs="Arial"/>
          <w:sz w:val="24"/>
          <w:szCs w:val="24"/>
        </w:rPr>
        <w:t xml:space="preserve"> out that the</w:t>
      </w:r>
      <w:r w:rsidR="00476770" w:rsidRPr="00743CB1">
        <w:rPr>
          <w:rFonts w:ascii="Arial" w:hAnsi="Arial" w:cs="Arial"/>
          <w:sz w:val="24"/>
          <w:szCs w:val="24"/>
        </w:rPr>
        <w:t xml:space="preserve">re </w:t>
      </w:r>
      <w:r w:rsidR="00C84E69" w:rsidRPr="00743CB1">
        <w:rPr>
          <w:rFonts w:ascii="Arial" w:hAnsi="Arial" w:cs="Arial"/>
          <w:sz w:val="24"/>
          <w:szCs w:val="24"/>
        </w:rPr>
        <w:t xml:space="preserve">is a difference between a claim </w:t>
      </w:r>
      <w:r w:rsidR="00CB2A1E" w:rsidRPr="00743CB1">
        <w:rPr>
          <w:rFonts w:ascii="Arial" w:hAnsi="Arial" w:cs="Arial"/>
          <w:sz w:val="24"/>
          <w:szCs w:val="24"/>
        </w:rPr>
        <w:t xml:space="preserve">for </w:t>
      </w:r>
      <w:r w:rsidR="00B7197C" w:rsidRPr="00743CB1">
        <w:rPr>
          <w:rFonts w:ascii="Arial" w:hAnsi="Arial" w:cs="Arial"/>
          <w:sz w:val="24"/>
          <w:szCs w:val="24"/>
        </w:rPr>
        <w:t>unlawful</w:t>
      </w:r>
      <w:r w:rsidR="006158EA" w:rsidRPr="00743CB1">
        <w:rPr>
          <w:rFonts w:ascii="Arial" w:hAnsi="Arial" w:cs="Arial"/>
          <w:sz w:val="24"/>
          <w:szCs w:val="24"/>
        </w:rPr>
        <w:t xml:space="preserve"> prosecution </w:t>
      </w:r>
      <w:r w:rsidR="00C16AF6" w:rsidRPr="00743CB1">
        <w:rPr>
          <w:rFonts w:ascii="Arial" w:hAnsi="Arial" w:cs="Arial"/>
          <w:sz w:val="24"/>
          <w:szCs w:val="24"/>
        </w:rPr>
        <w:t xml:space="preserve">and one </w:t>
      </w:r>
      <w:r w:rsidR="00CB2A1E" w:rsidRPr="00743CB1">
        <w:rPr>
          <w:rFonts w:ascii="Arial" w:hAnsi="Arial" w:cs="Arial"/>
          <w:sz w:val="24"/>
          <w:szCs w:val="24"/>
        </w:rPr>
        <w:t xml:space="preserve">for </w:t>
      </w:r>
      <w:r w:rsidR="007A6A4F" w:rsidRPr="00743CB1">
        <w:rPr>
          <w:rFonts w:ascii="Arial" w:hAnsi="Arial" w:cs="Arial"/>
          <w:sz w:val="24"/>
          <w:szCs w:val="24"/>
        </w:rPr>
        <w:t>malicious</w:t>
      </w:r>
      <w:r w:rsidR="00B7197C" w:rsidRPr="00743CB1">
        <w:rPr>
          <w:rFonts w:ascii="Arial" w:hAnsi="Arial" w:cs="Arial"/>
          <w:sz w:val="24"/>
          <w:szCs w:val="24"/>
        </w:rPr>
        <w:t xml:space="preserve"> prosecution</w:t>
      </w:r>
      <w:r w:rsidR="007A6A4F" w:rsidRPr="00743CB1">
        <w:rPr>
          <w:rFonts w:ascii="Arial" w:hAnsi="Arial" w:cs="Arial"/>
          <w:sz w:val="24"/>
          <w:szCs w:val="24"/>
        </w:rPr>
        <w:t xml:space="preserve">. The </w:t>
      </w:r>
      <w:r w:rsidR="00DF5884" w:rsidRPr="00743CB1">
        <w:rPr>
          <w:rFonts w:ascii="Arial" w:hAnsi="Arial" w:cs="Arial"/>
          <w:sz w:val="24"/>
          <w:szCs w:val="24"/>
        </w:rPr>
        <w:t>plaintiffs seem</w:t>
      </w:r>
      <w:r w:rsidR="000414E6" w:rsidRPr="00743CB1">
        <w:rPr>
          <w:rFonts w:ascii="Arial" w:hAnsi="Arial" w:cs="Arial"/>
          <w:sz w:val="24"/>
          <w:szCs w:val="24"/>
        </w:rPr>
        <w:t xml:space="preserve"> to</w:t>
      </w:r>
      <w:r w:rsidR="00476770" w:rsidRPr="00743CB1">
        <w:rPr>
          <w:rFonts w:ascii="Arial" w:hAnsi="Arial" w:cs="Arial"/>
          <w:sz w:val="24"/>
          <w:szCs w:val="24"/>
        </w:rPr>
        <w:t xml:space="preserve"> </w:t>
      </w:r>
      <w:r w:rsidR="000414E6" w:rsidRPr="00743CB1">
        <w:rPr>
          <w:rFonts w:ascii="Arial" w:hAnsi="Arial" w:cs="Arial"/>
          <w:sz w:val="24"/>
          <w:szCs w:val="24"/>
        </w:rPr>
        <w:t xml:space="preserve">have </w:t>
      </w:r>
      <w:r w:rsidR="00476770" w:rsidRPr="00743CB1">
        <w:rPr>
          <w:rFonts w:ascii="Arial" w:hAnsi="Arial" w:cs="Arial"/>
          <w:sz w:val="24"/>
          <w:szCs w:val="24"/>
        </w:rPr>
        <w:t xml:space="preserve">conflated </w:t>
      </w:r>
      <w:r w:rsidR="00DF5884" w:rsidRPr="00743CB1">
        <w:rPr>
          <w:rFonts w:ascii="Arial" w:hAnsi="Arial" w:cs="Arial"/>
          <w:sz w:val="24"/>
          <w:szCs w:val="24"/>
        </w:rPr>
        <w:t>the concepts.</w:t>
      </w:r>
      <w:r w:rsidR="00B842E2" w:rsidRPr="00743CB1">
        <w:rPr>
          <w:rFonts w:ascii="Arial" w:hAnsi="Arial" w:cs="Arial"/>
          <w:sz w:val="24"/>
          <w:szCs w:val="24"/>
        </w:rPr>
        <w:t xml:space="preserve"> </w:t>
      </w:r>
      <w:r w:rsidR="00E51D57" w:rsidRPr="00743CB1">
        <w:rPr>
          <w:rFonts w:ascii="Arial" w:hAnsi="Arial" w:cs="Arial"/>
          <w:sz w:val="24"/>
          <w:szCs w:val="24"/>
        </w:rPr>
        <w:t>The court is inclined to agree.</w:t>
      </w:r>
    </w:p>
    <w:p w14:paraId="19C43A8F" w14:textId="43445E98"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BF3336" w:rsidRPr="00743CB1">
        <w:rPr>
          <w:rFonts w:ascii="Arial" w:hAnsi="Arial" w:cs="Arial"/>
          <w:sz w:val="24"/>
          <w:szCs w:val="24"/>
        </w:rPr>
        <w:t>T</w:t>
      </w:r>
      <w:r w:rsidR="00691CCC" w:rsidRPr="00743CB1">
        <w:rPr>
          <w:rFonts w:ascii="Arial" w:hAnsi="Arial" w:cs="Arial"/>
          <w:sz w:val="24"/>
          <w:szCs w:val="24"/>
        </w:rPr>
        <w:t xml:space="preserve">he confusing </w:t>
      </w:r>
      <w:r w:rsidR="008C5581" w:rsidRPr="00743CB1">
        <w:rPr>
          <w:rFonts w:ascii="Arial" w:hAnsi="Arial" w:cs="Arial"/>
          <w:sz w:val="24"/>
          <w:szCs w:val="24"/>
        </w:rPr>
        <w:t>nature of</w:t>
      </w:r>
      <w:r w:rsidR="00525E63" w:rsidRPr="00743CB1">
        <w:rPr>
          <w:rFonts w:ascii="Arial" w:hAnsi="Arial" w:cs="Arial"/>
          <w:sz w:val="24"/>
          <w:szCs w:val="24"/>
        </w:rPr>
        <w:t xml:space="preserve"> </w:t>
      </w:r>
      <w:r w:rsidR="00691CCC" w:rsidRPr="00743CB1">
        <w:rPr>
          <w:rFonts w:ascii="Arial" w:hAnsi="Arial" w:cs="Arial"/>
          <w:sz w:val="24"/>
          <w:szCs w:val="24"/>
        </w:rPr>
        <w:t>the pleadings attract</w:t>
      </w:r>
      <w:r w:rsidR="00BF3336" w:rsidRPr="00743CB1">
        <w:rPr>
          <w:rFonts w:ascii="Arial" w:hAnsi="Arial" w:cs="Arial"/>
          <w:sz w:val="24"/>
          <w:szCs w:val="24"/>
        </w:rPr>
        <w:t xml:space="preserve">ed an exception </w:t>
      </w:r>
      <w:r w:rsidR="002563E1" w:rsidRPr="00743CB1">
        <w:rPr>
          <w:rFonts w:ascii="Arial" w:hAnsi="Arial" w:cs="Arial"/>
          <w:sz w:val="24"/>
          <w:szCs w:val="24"/>
        </w:rPr>
        <w:t xml:space="preserve">to </w:t>
      </w:r>
      <w:r w:rsidR="00BF3336" w:rsidRPr="00743CB1">
        <w:rPr>
          <w:rFonts w:ascii="Arial" w:hAnsi="Arial" w:cs="Arial"/>
          <w:sz w:val="24"/>
          <w:szCs w:val="24"/>
        </w:rPr>
        <w:t xml:space="preserve">the </w:t>
      </w:r>
      <w:r w:rsidR="009B1931" w:rsidRPr="00743CB1">
        <w:rPr>
          <w:rFonts w:ascii="Arial" w:hAnsi="Arial" w:cs="Arial"/>
          <w:sz w:val="24"/>
          <w:szCs w:val="24"/>
        </w:rPr>
        <w:t>second</w:t>
      </w:r>
      <w:r w:rsidR="00812ADE" w:rsidRPr="00743CB1">
        <w:rPr>
          <w:rFonts w:ascii="Arial" w:hAnsi="Arial" w:cs="Arial"/>
          <w:sz w:val="24"/>
          <w:szCs w:val="24"/>
        </w:rPr>
        <w:t xml:space="preserve"> plaintiff’s </w:t>
      </w:r>
      <w:r w:rsidR="00FD6CE0" w:rsidRPr="00743CB1">
        <w:rPr>
          <w:rFonts w:ascii="Arial" w:hAnsi="Arial" w:cs="Arial"/>
          <w:sz w:val="24"/>
          <w:szCs w:val="24"/>
        </w:rPr>
        <w:t>particulars</w:t>
      </w:r>
      <w:r w:rsidR="00812ADE" w:rsidRPr="00743CB1">
        <w:rPr>
          <w:rFonts w:ascii="Arial" w:hAnsi="Arial" w:cs="Arial"/>
          <w:sz w:val="24"/>
          <w:szCs w:val="24"/>
        </w:rPr>
        <w:t xml:space="preserve">. It is </w:t>
      </w:r>
      <w:r w:rsidR="00481B36" w:rsidRPr="00743CB1">
        <w:rPr>
          <w:rFonts w:ascii="Arial" w:hAnsi="Arial" w:cs="Arial"/>
          <w:sz w:val="24"/>
          <w:szCs w:val="24"/>
        </w:rPr>
        <w:t>un</w:t>
      </w:r>
      <w:r w:rsidR="00812ADE" w:rsidRPr="00743CB1">
        <w:rPr>
          <w:rFonts w:ascii="Arial" w:hAnsi="Arial" w:cs="Arial"/>
          <w:sz w:val="24"/>
          <w:szCs w:val="24"/>
        </w:rPr>
        <w:t>clear why th</w:t>
      </w:r>
      <w:r w:rsidR="00162913" w:rsidRPr="00743CB1">
        <w:rPr>
          <w:rFonts w:ascii="Arial" w:hAnsi="Arial" w:cs="Arial"/>
          <w:sz w:val="24"/>
          <w:szCs w:val="24"/>
        </w:rPr>
        <w:t>is</w:t>
      </w:r>
      <w:r w:rsidR="00812ADE" w:rsidRPr="00743CB1">
        <w:rPr>
          <w:rFonts w:ascii="Arial" w:hAnsi="Arial" w:cs="Arial"/>
          <w:sz w:val="24"/>
          <w:szCs w:val="24"/>
        </w:rPr>
        <w:t xml:space="preserve"> was no</w:t>
      </w:r>
      <w:r w:rsidR="00162913" w:rsidRPr="00743CB1">
        <w:rPr>
          <w:rFonts w:ascii="Arial" w:hAnsi="Arial" w:cs="Arial"/>
          <w:sz w:val="24"/>
          <w:szCs w:val="24"/>
        </w:rPr>
        <w:t>t do</w:t>
      </w:r>
      <w:r w:rsidR="00812ADE" w:rsidRPr="00743CB1">
        <w:rPr>
          <w:rFonts w:ascii="Arial" w:hAnsi="Arial" w:cs="Arial"/>
          <w:sz w:val="24"/>
          <w:szCs w:val="24"/>
        </w:rPr>
        <w:t xml:space="preserve">ne regarding the </w:t>
      </w:r>
      <w:r w:rsidR="009B1931" w:rsidRPr="00743CB1">
        <w:rPr>
          <w:rFonts w:ascii="Arial" w:hAnsi="Arial" w:cs="Arial"/>
          <w:sz w:val="24"/>
          <w:szCs w:val="24"/>
        </w:rPr>
        <w:t>first</w:t>
      </w:r>
      <w:r w:rsidR="00D3006D" w:rsidRPr="00743CB1">
        <w:rPr>
          <w:rFonts w:ascii="Arial" w:hAnsi="Arial" w:cs="Arial"/>
          <w:sz w:val="24"/>
          <w:szCs w:val="24"/>
        </w:rPr>
        <w:t xml:space="preserve"> plaintiff</w:t>
      </w:r>
      <w:r w:rsidR="00FD6CE0" w:rsidRPr="00743CB1">
        <w:rPr>
          <w:rFonts w:ascii="Arial" w:hAnsi="Arial" w:cs="Arial"/>
          <w:sz w:val="24"/>
          <w:szCs w:val="24"/>
        </w:rPr>
        <w:t>,</w:t>
      </w:r>
      <w:r w:rsidR="00D3006D" w:rsidRPr="00743CB1">
        <w:rPr>
          <w:rFonts w:ascii="Arial" w:hAnsi="Arial" w:cs="Arial"/>
          <w:sz w:val="24"/>
          <w:szCs w:val="24"/>
        </w:rPr>
        <w:t xml:space="preserve"> although </w:t>
      </w:r>
      <w:r w:rsidR="00481B36" w:rsidRPr="00743CB1">
        <w:rPr>
          <w:rFonts w:ascii="Arial" w:hAnsi="Arial" w:cs="Arial"/>
          <w:sz w:val="24"/>
          <w:szCs w:val="24"/>
        </w:rPr>
        <w:t>it</w:t>
      </w:r>
      <w:r w:rsidR="00D3006D" w:rsidRPr="00743CB1">
        <w:rPr>
          <w:rFonts w:ascii="Arial" w:hAnsi="Arial" w:cs="Arial"/>
          <w:sz w:val="24"/>
          <w:szCs w:val="24"/>
        </w:rPr>
        <w:t xml:space="preserve"> may have had something to do with the</w:t>
      </w:r>
      <w:r w:rsidR="00162913" w:rsidRPr="00743CB1">
        <w:rPr>
          <w:rFonts w:ascii="Arial" w:hAnsi="Arial" w:cs="Arial"/>
          <w:sz w:val="24"/>
          <w:szCs w:val="24"/>
        </w:rPr>
        <w:t xml:space="preserve"> management of the respective cases prior to their consolidation</w:t>
      </w:r>
      <w:r w:rsidR="0026227E" w:rsidRPr="00743CB1">
        <w:rPr>
          <w:rFonts w:ascii="Arial" w:hAnsi="Arial" w:cs="Arial"/>
          <w:sz w:val="24"/>
          <w:szCs w:val="24"/>
        </w:rPr>
        <w:t xml:space="preserve">. Notwithstanding the </w:t>
      </w:r>
      <w:r w:rsidR="001F3096" w:rsidRPr="00743CB1">
        <w:rPr>
          <w:rFonts w:ascii="Arial" w:hAnsi="Arial" w:cs="Arial"/>
          <w:sz w:val="24"/>
          <w:szCs w:val="24"/>
        </w:rPr>
        <w:t xml:space="preserve">subsequent amendment of the second plaintiff’s particulars, </w:t>
      </w:r>
      <w:r w:rsidR="009D3D84" w:rsidRPr="00743CB1">
        <w:rPr>
          <w:rFonts w:ascii="Arial" w:hAnsi="Arial" w:cs="Arial"/>
          <w:sz w:val="24"/>
          <w:szCs w:val="24"/>
        </w:rPr>
        <w:t xml:space="preserve">it can </w:t>
      </w:r>
      <w:r w:rsidR="00AF588E" w:rsidRPr="00743CB1">
        <w:rPr>
          <w:rFonts w:ascii="Arial" w:hAnsi="Arial" w:cs="Arial"/>
          <w:sz w:val="24"/>
          <w:szCs w:val="24"/>
        </w:rPr>
        <w:t xml:space="preserve">well </w:t>
      </w:r>
      <w:r w:rsidR="009D3D84" w:rsidRPr="00743CB1">
        <w:rPr>
          <w:rFonts w:ascii="Arial" w:hAnsi="Arial" w:cs="Arial"/>
          <w:sz w:val="24"/>
          <w:szCs w:val="24"/>
        </w:rPr>
        <w:t xml:space="preserve">be </w:t>
      </w:r>
      <w:r w:rsidR="00AF588E" w:rsidRPr="00743CB1">
        <w:rPr>
          <w:rFonts w:ascii="Arial" w:hAnsi="Arial" w:cs="Arial"/>
          <w:sz w:val="24"/>
          <w:szCs w:val="24"/>
        </w:rPr>
        <w:t xml:space="preserve">contended </w:t>
      </w:r>
      <w:r w:rsidR="009D3D84" w:rsidRPr="00743CB1">
        <w:rPr>
          <w:rFonts w:ascii="Arial" w:hAnsi="Arial" w:cs="Arial"/>
          <w:sz w:val="24"/>
          <w:szCs w:val="24"/>
        </w:rPr>
        <w:t xml:space="preserve">that </w:t>
      </w:r>
      <w:r w:rsidR="004B2C73" w:rsidRPr="00743CB1">
        <w:rPr>
          <w:rFonts w:ascii="Arial" w:hAnsi="Arial" w:cs="Arial"/>
          <w:sz w:val="24"/>
          <w:szCs w:val="24"/>
        </w:rPr>
        <w:t xml:space="preserve">both sets of particulars </w:t>
      </w:r>
      <w:r w:rsidR="00425D84" w:rsidRPr="00743CB1">
        <w:rPr>
          <w:rFonts w:ascii="Arial" w:hAnsi="Arial" w:cs="Arial"/>
          <w:sz w:val="24"/>
          <w:szCs w:val="24"/>
        </w:rPr>
        <w:t>remain</w:t>
      </w:r>
      <w:r w:rsidR="004B2C73" w:rsidRPr="00743CB1">
        <w:rPr>
          <w:rFonts w:ascii="Arial" w:hAnsi="Arial" w:cs="Arial"/>
          <w:sz w:val="24"/>
          <w:szCs w:val="24"/>
        </w:rPr>
        <w:t xml:space="preserve"> vague, embarrassing, </w:t>
      </w:r>
      <w:r w:rsidR="0030407B" w:rsidRPr="00743CB1">
        <w:rPr>
          <w:rFonts w:ascii="Arial" w:hAnsi="Arial" w:cs="Arial"/>
          <w:sz w:val="24"/>
          <w:szCs w:val="24"/>
        </w:rPr>
        <w:t>and</w:t>
      </w:r>
      <w:r w:rsidR="004B2C73" w:rsidRPr="00743CB1">
        <w:rPr>
          <w:rFonts w:ascii="Arial" w:hAnsi="Arial" w:cs="Arial"/>
          <w:sz w:val="24"/>
          <w:szCs w:val="24"/>
        </w:rPr>
        <w:t xml:space="preserve"> lack the averments necessary to sustain a cause of action</w:t>
      </w:r>
      <w:r w:rsidR="0030407B" w:rsidRPr="00743CB1">
        <w:rPr>
          <w:rFonts w:ascii="Arial" w:hAnsi="Arial" w:cs="Arial"/>
          <w:sz w:val="24"/>
          <w:szCs w:val="24"/>
        </w:rPr>
        <w:t>, as contemplated under the provisions of rule 23 of the Uniform Rules of Court (‘URC’)</w:t>
      </w:r>
      <w:r w:rsidR="004B2C73" w:rsidRPr="00743CB1">
        <w:rPr>
          <w:rFonts w:ascii="Arial" w:hAnsi="Arial" w:cs="Arial"/>
          <w:sz w:val="24"/>
          <w:szCs w:val="24"/>
        </w:rPr>
        <w:t>.</w:t>
      </w:r>
      <w:r w:rsidR="00A42D39" w:rsidRPr="00743CB1">
        <w:rPr>
          <w:rFonts w:ascii="Arial" w:hAnsi="Arial" w:cs="Arial"/>
          <w:sz w:val="24"/>
          <w:szCs w:val="24"/>
        </w:rPr>
        <w:t xml:space="preserve"> It is unfortunate that </w:t>
      </w:r>
      <w:r w:rsidR="007E1368" w:rsidRPr="00743CB1">
        <w:rPr>
          <w:rFonts w:ascii="Arial" w:hAnsi="Arial" w:cs="Arial"/>
          <w:sz w:val="24"/>
          <w:szCs w:val="24"/>
        </w:rPr>
        <w:t>th</w:t>
      </w:r>
      <w:r w:rsidR="00DC47AD" w:rsidRPr="00743CB1">
        <w:rPr>
          <w:rFonts w:ascii="Arial" w:hAnsi="Arial" w:cs="Arial"/>
          <w:sz w:val="24"/>
          <w:szCs w:val="24"/>
        </w:rPr>
        <w:t>is</w:t>
      </w:r>
      <w:r w:rsidR="007E1368" w:rsidRPr="00743CB1">
        <w:rPr>
          <w:rFonts w:ascii="Arial" w:hAnsi="Arial" w:cs="Arial"/>
          <w:sz w:val="24"/>
          <w:szCs w:val="24"/>
        </w:rPr>
        <w:t xml:space="preserve"> issue was not dealt with conclusively</w:t>
      </w:r>
      <w:r w:rsidR="00E51D57" w:rsidRPr="00743CB1">
        <w:rPr>
          <w:rFonts w:ascii="Arial" w:hAnsi="Arial" w:cs="Arial"/>
          <w:sz w:val="24"/>
          <w:szCs w:val="24"/>
        </w:rPr>
        <w:t xml:space="preserve"> </w:t>
      </w:r>
      <w:r w:rsidR="007E1368" w:rsidRPr="00743CB1">
        <w:rPr>
          <w:rFonts w:ascii="Arial" w:hAnsi="Arial" w:cs="Arial"/>
          <w:sz w:val="24"/>
          <w:szCs w:val="24"/>
        </w:rPr>
        <w:t>either before the close of pleadings or before the commencement of trial</w:t>
      </w:r>
      <w:r w:rsidR="003D6CDD" w:rsidRPr="00743CB1">
        <w:rPr>
          <w:rFonts w:ascii="Arial" w:hAnsi="Arial" w:cs="Arial"/>
          <w:sz w:val="24"/>
          <w:szCs w:val="24"/>
        </w:rPr>
        <w:t xml:space="preserve">. The difficulties posed by the confusing nature of the pleadings </w:t>
      </w:r>
      <w:r w:rsidR="00094620" w:rsidRPr="00743CB1">
        <w:rPr>
          <w:rFonts w:ascii="Arial" w:hAnsi="Arial" w:cs="Arial"/>
          <w:sz w:val="24"/>
          <w:szCs w:val="24"/>
        </w:rPr>
        <w:t>manifest</w:t>
      </w:r>
      <w:r w:rsidR="00D133BE" w:rsidRPr="00743CB1">
        <w:rPr>
          <w:rFonts w:ascii="Arial" w:hAnsi="Arial" w:cs="Arial"/>
          <w:sz w:val="24"/>
          <w:szCs w:val="24"/>
        </w:rPr>
        <w:t>ed</w:t>
      </w:r>
      <w:r w:rsidR="00094620" w:rsidRPr="00743CB1">
        <w:rPr>
          <w:rFonts w:ascii="Arial" w:hAnsi="Arial" w:cs="Arial"/>
          <w:sz w:val="24"/>
          <w:szCs w:val="24"/>
        </w:rPr>
        <w:t xml:space="preserve"> themselves in the </w:t>
      </w:r>
      <w:r w:rsidR="00FE0ABC" w:rsidRPr="00743CB1">
        <w:rPr>
          <w:rFonts w:ascii="Arial" w:hAnsi="Arial" w:cs="Arial"/>
          <w:sz w:val="24"/>
          <w:szCs w:val="24"/>
        </w:rPr>
        <w:t>partie</w:t>
      </w:r>
      <w:r w:rsidR="00094620" w:rsidRPr="00743CB1">
        <w:rPr>
          <w:rFonts w:ascii="Arial" w:hAnsi="Arial" w:cs="Arial"/>
          <w:sz w:val="24"/>
          <w:szCs w:val="24"/>
        </w:rPr>
        <w:t xml:space="preserve">s’ arguments, where </w:t>
      </w:r>
      <w:r w:rsidR="005D19DB" w:rsidRPr="00743CB1">
        <w:rPr>
          <w:rFonts w:ascii="Arial" w:hAnsi="Arial" w:cs="Arial"/>
          <w:sz w:val="24"/>
          <w:szCs w:val="24"/>
        </w:rPr>
        <w:t>aspec</w:t>
      </w:r>
      <w:r w:rsidR="00FE0ABC" w:rsidRPr="00743CB1">
        <w:rPr>
          <w:rFonts w:ascii="Arial" w:hAnsi="Arial" w:cs="Arial"/>
          <w:sz w:val="24"/>
          <w:szCs w:val="24"/>
        </w:rPr>
        <w:t xml:space="preserve">ts of both </w:t>
      </w:r>
      <w:r w:rsidR="00427100" w:rsidRPr="00743CB1">
        <w:rPr>
          <w:rFonts w:ascii="Arial" w:hAnsi="Arial" w:cs="Arial"/>
          <w:sz w:val="24"/>
          <w:szCs w:val="24"/>
        </w:rPr>
        <w:t>unlawful and malicious prosecution</w:t>
      </w:r>
      <w:r w:rsidR="00FE0ABC" w:rsidRPr="00743CB1">
        <w:rPr>
          <w:rFonts w:ascii="Arial" w:hAnsi="Arial" w:cs="Arial"/>
          <w:sz w:val="24"/>
          <w:szCs w:val="24"/>
        </w:rPr>
        <w:t xml:space="preserve"> </w:t>
      </w:r>
      <w:r w:rsidR="00D133BE" w:rsidRPr="00743CB1">
        <w:rPr>
          <w:rFonts w:ascii="Arial" w:hAnsi="Arial" w:cs="Arial"/>
          <w:sz w:val="24"/>
          <w:szCs w:val="24"/>
        </w:rPr>
        <w:t>we</w:t>
      </w:r>
      <w:r w:rsidR="00213466" w:rsidRPr="00743CB1">
        <w:rPr>
          <w:rFonts w:ascii="Arial" w:hAnsi="Arial" w:cs="Arial"/>
          <w:sz w:val="24"/>
          <w:szCs w:val="24"/>
        </w:rPr>
        <w:t>re addressed</w:t>
      </w:r>
      <w:r w:rsidR="00427100" w:rsidRPr="00743CB1">
        <w:rPr>
          <w:rFonts w:ascii="Arial" w:hAnsi="Arial" w:cs="Arial"/>
          <w:sz w:val="24"/>
          <w:szCs w:val="24"/>
        </w:rPr>
        <w:t>.</w:t>
      </w:r>
    </w:p>
    <w:p w14:paraId="1458A635" w14:textId="77777777" w:rsidR="00D44D17" w:rsidRDefault="00D44D17" w:rsidP="00D44D17">
      <w:pPr>
        <w:pStyle w:val="ListParagraph"/>
        <w:spacing w:line="360" w:lineRule="auto"/>
        <w:ind w:left="0"/>
        <w:jc w:val="both"/>
        <w:rPr>
          <w:rFonts w:ascii="Arial" w:hAnsi="Arial" w:cs="Arial"/>
          <w:sz w:val="24"/>
          <w:szCs w:val="24"/>
        </w:rPr>
      </w:pPr>
    </w:p>
    <w:p w14:paraId="1CDEEC4E" w14:textId="30AF5053"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295268" w:rsidRPr="00743CB1">
        <w:rPr>
          <w:rFonts w:ascii="Arial" w:hAnsi="Arial" w:cs="Arial"/>
          <w:sz w:val="24"/>
          <w:szCs w:val="24"/>
        </w:rPr>
        <w:t xml:space="preserve">In the end, </w:t>
      </w:r>
      <w:r w:rsidR="00251B75" w:rsidRPr="00743CB1">
        <w:rPr>
          <w:rFonts w:ascii="Arial" w:hAnsi="Arial" w:cs="Arial"/>
          <w:sz w:val="24"/>
          <w:szCs w:val="24"/>
        </w:rPr>
        <w:t xml:space="preserve">it is left to </w:t>
      </w:r>
      <w:r w:rsidR="002C2C1F" w:rsidRPr="00743CB1">
        <w:rPr>
          <w:rFonts w:ascii="Arial" w:hAnsi="Arial" w:cs="Arial"/>
          <w:sz w:val="24"/>
          <w:szCs w:val="24"/>
        </w:rPr>
        <w:t xml:space="preserve">the court </w:t>
      </w:r>
      <w:r w:rsidR="00251B75" w:rsidRPr="00743CB1">
        <w:rPr>
          <w:rFonts w:ascii="Arial" w:hAnsi="Arial" w:cs="Arial"/>
          <w:sz w:val="24"/>
          <w:szCs w:val="24"/>
        </w:rPr>
        <w:t xml:space="preserve">to </w:t>
      </w:r>
      <w:r w:rsidR="002C2C1F" w:rsidRPr="00743CB1">
        <w:rPr>
          <w:rFonts w:ascii="Arial" w:hAnsi="Arial" w:cs="Arial"/>
          <w:sz w:val="24"/>
          <w:szCs w:val="24"/>
        </w:rPr>
        <w:t>decide</w:t>
      </w:r>
      <w:r w:rsidR="00251B75" w:rsidRPr="00743CB1">
        <w:rPr>
          <w:rFonts w:ascii="Arial" w:hAnsi="Arial" w:cs="Arial"/>
          <w:sz w:val="24"/>
          <w:szCs w:val="24"/>
        </w:rPr>
        <w:t xml:space="preserve"> </w:t>
      </w:r>
      <w:r w:rsidR="005B4B93" w:rsidRPr="00743CB1">
        <w:rPr>
          <w:rFonts w:ascii="Arial" w:hAnsi="Arial" w:cs="Arial"/>
          <w:sz w:val="24"/>
          <w:szCs w:val="24"/>
        </w:rPr>
        <w:t xml:space="preserve">merely what has been placed before it. </w:t>
      </w:r>
      <w:r w:rsidR="0033155F" w:rsidRPr="00743CB1">
        <w:rPr>
          <w:rFonts w:ascii="Arial" w:hAnsi="Arial" w:cs="Arial"/>
          <w:sz w:val="24"/>
          <w:szCs w:val="24"/>
        </w:rPr>
        <w:t xml:space="preserve">The chief issue for determination is whether the application for absolution </w:t>
      </w:r>
      <w:r w:rsidR="00540A89" w:rsidRPr="00743CB1">
        <w:rPr>
          <w:rFonts w:ascii="Arial" w:hAnsi="Arial" w:cs="Arial"/>
          <w:sz w:val="24"/>
          <w:szCs w:val="24"/>
        </w:rPr>
        <w:t>succeeds.</w:t>
      </w:r>
    </w:p>
    <w:p w14:paraId="1D1A2E63" w14:textId="77777777" w:rsidR="00D44D17" w:rsidRPr="00D44D17" w:rsidRDefault="00D44D17" w:rsidP="00D44D17">
      <w:pPr>
        <w:pStyle w:val="ListParagraph"/>
        <w:rPr>
          <w:rFonts w:ascii="Arial" w:hAnsi="Arial" w:cs="Arial"/>
          <w:b/>
          <w:bCs/>
          <w:sz w:val="24"/>
          <w:szCs w:val="24"/>
        </w:rPr>
      </w:pPr>
    </w:p>
    <w:p w14:paraId="45274CF5" w14:textId="77777777" w:rsidR="00D44D17" w:rsidRPr="00D44D17" w:rsidRDefault="00D44D17" w:rsidP="00D44D17">
      <w:pPr>
        <w:pStyle w:val="ListParagraph"/>
        <w:spacing w:line="360" w:lineRule="auto"/>
        <w:ind w:left="0"/>
        <w:jc w:val="both"/>
        <w:rPr>
          <w:rFonts w:ascii="Arial" w:hAnsi="Arial" w:cs="Arial"/>
          <w:sz w:val="24"/>
          <w:szCs w:val="24"/>
        </w:rPr>
      </w:pPr>
    </w:p>
    <w:p w14:paraId="0738E90F" w14:textId="77777777" w:rsidR="00D44D17" w:rsidRPr="00D44D17" w:rsidRDefault="00D44D17" w:rsidP="00D44D17">
      <w:pPr>
        <w:pStyle w:val="ListParagraph"/>
        <w:rPr>
          <w:rFonts w:ascii="Arial" w:hAnsi="Arial" w:cs="Arial"/>
          <w:b/>
          <w:bCs/>
          <w:sz w:val="24"/>
          <w:szCs w:val="24"/>
        </w:rPr>
      </w:pPr>
    </w:p>
    <w:p w14:paraId="0B11A039" w14:textId="77777777" w:rsidR="00D44D17" w:rsidRPr="00D44D17" w:rsidRDefault="00540A89" w:rsidP="00D44D17">
      <w:pPr>
        <w:pStyle w:val="ListParagraph"/>
        <w:spacing w:line="360" w:lineRule="auto"/>
        <w:ind w:left="0"/>
        <w:jc w:val="both"/>
        <w:rPr>
          <w:rFonts w:ascii="Arial" w:hAnsi="Arial" w:cs="Arial"/>
          <w:sz w:val="24"/>
          <w:szCs w:val="24"/>
        </w:rPr>
      </w:pPr>
      <w:r w:rsidRPr="00D44D17">
        <w:rPr>
          <w:rFonts w:ascii="Arial" w:hAnsi="Arial" w:cs="Arial"/>
          <w:b/>
          <w:bCs/>
          <w:sz w:val="24"/>
          <w:szCs w:val="24"/>
        </w:rPr>
        <w:t>Legal framework</w:t>
      </w:r>
    </w:p>
    <w:p w14:paraId="3C38D75C" w14:textId="77777777" w:rsidR="00D44D17" w:rsidRPr="00D44D17" w:rsidRDefault="00D44D17" w:rsidP="00D44D17">
      <w:pPr>
        <w:pStyle w:val="ListParagraph"/>
        <w:spacing w:line="360" w:lineRule="auto"/>
        <w:ind w:left="0"/>
        <w:jc w:val="both"/>
        <w:rPr>
          <w:rFonts w:ascii="Arial" w:hAnsi="Arial" w:cs="Arial"/>
          <w:sz w:val="24"/>
          <w:szCs w:val="24"/>
        </w:rPr>
      </w:pPr>
    </w:p>
    <w:p w14:paraId="3539AA96" w14:textId="77777777" w:rsidR="00D44D17" w:rsidRPr="00D44D17" w:rsidRDefault="00D44D17" w:rsidP="00D44D17">
      <w:pPr>
        <w:pStyle w:val="ListParagraph"/>
        <w:spacing w:line="360" w:lineRule="auto"/>
        <w:ind w:left="0"/>
        <w:jc w:val="both"/>
        <w:rPr>
          <w:rFonts w:ascii="Arial" w:hAnsi="Arial" w:cs="Arial"/>
          <w:sz w:val="24"/>
          <w:szCs w:val="24"/>
        </w:rPr>
      </w:pPr>
    </w:p>
    <w:p w14:paraId="7C6D99AA" w14:textId="379B1A48" w:rsidR="001059C3" w:rsidRPr="00743CB1" w:rsidRDefault="00743CB1" w:rsidP="00743CB1">
      <w:pPr>
        <w:spacing w:line="360" w:lineRule="auto"/>
        <w:jc w:val="both"/>
        <w:rPr>
          <w:rFonts w:ascii="Arial" w:hAnsi="Arial" w:cs="Arial"/>
          <w:sz w:val="24"/>
          <w:szCs w:val="24"/>
        </w:rPr>
      </w:pPr>
      <w:r w:rsidRPr="00D44D17">
        <w:rPr>
          <w:rFonts w:ascii="Arial" w:hAnsi="Arial" w:cs="Arial"/>
          <w:sz w:val="24"/>
          <w:szCs w:val="24"/>
        </w:rPr>
        <w:t>[17]</w:t>
      </w:r>
      <w:r w:rsidRPr="00D44D17">
        <w:rPr>
          <w:rFonts w:ascii="Arial" w:hAnsi="Arial" w:cs="Arial"/>
          <w:sz w:val="24"/>
          <w:szCs w:val="24"/>
        </w:rPr>
        <w:tab/>
      </w:r>
      <w:r w:rsidR="00820625" w:rsidRPr="00743CB1">
        <w:rPr>
          <w:rFonts w:ascii="Arial" w:hAnsi="Arial" w:cs="Arial"/>
          <w:sz w:val="24"/>
          <w:szCs w:val="24"/>
        </w:rPr>
        <w:t xml:space="preserve">Under rule 39(6) of the URC, a defendant may apply for absolution </w:t>
      </w:r>
      <w:r w:rsidR="00EC4365" w:rsidRPr="00743CB1">
        <w:rPr>
          <w:rFonts w:ascii="Arial" w:hAnsi="Arial" w:cs="Arial"/>
          <w:sz w:val="24"/>
          <w:szCs w:val="24"/>
        </w:rPr>
        <w:t xml:space="preserve">from the instance at </w:t>
      </w:r>
      <w:r w:rsidR="007D17E0" w:rsidRPr="00743CB1">
        <w:rPr>
          <w:rFonts w:ascii="Arial" w:hAnsi="Arial" w:cs="Arial"/>
          <w:sz w:val="24"/>
          <w:szCs w:val="24"/>
        </w:rPr>
        <w:t>the close of the plaintiff’s</w:t>
      </w:r>
      <w:r w:rsidR="00EC4365" w:rsidRPr="00743CB1">
        <w:rPr>
          <w:rFonts w:ascii="Arial" w:hAnsi="Arial" w:cs="Arial"/>
          <w:sz w:val="24"/>
          <w:szCs w:val="24"/>
        </w:rPr>
        <w:t xml:space="preserve"> case.</w:t>
      </w:r>
      <w:r w:rsidR="007813E6" w:rsidRPr="00743CB1">
        <w:rPr>
          <w:rFonts w:ascii="Arial" w:hAnsi="Arial" w:cs="Arial"/>
          <w:sz w:val="24"/>
          <w:szCs w:val="24"/>
        </w:rPr>
        <w:t xml:space="preserve"> </w:t>
      </w:r>
      <w:r w:rsidR="0069043B" w:rsidRPr="00743CB1">
        <w:rPr>
          <w:rFonts w:ascii="Arial" w:hAnsi="Arial" w:cs="Arial"/>
          <w:sz w:val="24"/>
          <w:szCs w:val="24"/>
        </w:rPr>
        <w:t xml:space="preserve">In </w:t>
      </w:r>
      <w:r w:rsidR="002B20CB" w:rsidRPr="00743CB1">
        <w:rPr>
          <w:rFonts w:ascii="Arial" w:hAnsi="Arial" w:cs="Arial"/>
          <w:i/>
          <w:iCs/>
          <w:sz w:val="24"/>
          <w:szCs w:val="24"/>
        </w:rPr>
        <w:t xml:space="preserve">Carmichele v Minister of </w:t>
      </w:r>
      <w:r w:rsidR="00A53659" w:rsidRPr="00743CB1">
        <w:rPr>
          <w:rFonts w:ascii="Arial" w:hAnsi="Arial" w:cs="Arial"/>
          <w:i/>
          <w:iCs/>
          <w:sz w:val="24"/>
          <w:szCs w:val="24"/>
        </w:rPr>
        <w:t>S</w:t>
      </w:r>
      <w:r w:rsidR="002B20CB" w:rsidRPr="00743CB1">
        <w:rPr>
          <w:rFonts w:ascii="Arial" w:hAnsi="Arial" w:cs="Arial"/>
          <w:i/>
          <w:iCs/>
          <w:sz w:val="24"/>
          <w:szCs w:val="24"/>
        </w:rPr>
        <w:t xml:space="preserve">afety and Security </w:t>
      </w:r>
      <w:r w:rsidR="002B20CB" w:rsidRPr="00743CB1">
        <w:rPr>
          <w:rFonts w:ascii="Arial" w:hAnsi="Arial" w:cs="Arial"/>
          <w:i/>
          <w:iCs/>
          <w:sz w:val="24"/>
          <w:szCs w:val="24"/>
        </w:rPr>
        <w:lastRenderedPageBreak/>
        <w:t>and another</w:t>
      </w:r>
      <w:r w:rsidR="002B20CB" w:rsidRPr="00743CB1">
        <w:rPr>
          <w:rFonts w:ascii="Arial" w:hAnsi="Arial" w:cs="Arial"/>
          <w:sz w:val="24"/>
          <w:szCs w:val="24"/>
        </w:rPr>
        <w:t>,</w:t>
      </w:r>
      <w:r w:rsidR="00C25BF2">
        <w:rPr>
          <w:rStyle w:val="FootnoteReference"/>
          <w:rFonts w:ascii="Arial" w:hAnsi="Arial" w:cs="Arial"/>
          <w:sz w:val="24"/>
          <w:szCs w:val="24"/>
        </w:rPr>
        <w:footnoteReference w:id="2"/>
      </w:r>
      <w:r w:rsidR="002B20CB" w:rsidRPr="00743CB1">
        <w:rPr>
          <w:rFonts w:ascii="Arial" w:hAnsi="Arial" w:cs="Arial"/>
          <w:sz w:val="24"/>
          <w:szCs w:val="24"/>
        </w:rPr>
        <w:t xml:space="preserve"> t</w:t>
      </w:r>
      <w:r w:rsidR="0069043B" w:rsidRPr="00743CB1">
        <w:rPr>
          <w:rFonts w:ascii="Arial" w:hAnsi="Arial" w:cs="Arial"/>
          <w:sz w:val="24"/>
          <w:szCs w:val="24"/>
        </w:rPr>
        <w:t xml:space="preserve">he </w:t>
      </w:r>
      <w:r w:rsidR="00BA292C" w:rsidRPr="00743CB1">
        <w:rPr>
          <w:rFonts w:ascii="Arial" w:hAnsi="Arial" w:cs="Arial"/>
          <w:sz w:val="24"/>
          <w:szCs w:val="24"/>
        </w:rPr>
        <w:t>Constitutional Court confirmed</w:t>
      </w:r>
      <w:r w:rsidR="00921BCE">
        <w:rPr>
          <w:rStyle w:val="FootnoteReference"/>
          <w:rFonts w:ascii="Arial" w:hAnsi="Arial" w:cs="Arial"/>
          <w:sz w:val="24"/>
          <w:szCs w:val="24"/>
        </w:rPr>
        <w:footnoteReference w:id="3"/>
      </w:r>
      <w:r w:rsidR="00BA292C" w:rsidRPr="00743CB1">
        <w:rPr>
          <w:rFonts w:ascii="Arial" w:hAnsi="Arial" w:cs="Arial"/>
          <w:sz w:val="24"/>
          <w:szCs w:val="24"/>
        </w:rPr>
        <w:t xml:space="preserve"> that the </w:t>
      </w:r>
      <w:r w:rsidR="0069043B" w:rsidRPr="00743CB1">
        <w:rPr>
          <w:rFonts w:ascii="Arial" w:hAnsi="Arial" w:cs="Arial"/>
          <w:sz w:val="24"/>
          <w:szCs w:val="24"/>
        </w:rPr>
        <w:t>test to be applied</w:t>
      </w:r>
      <w:r w:rsidR="00845B47" w:rsidRPr="00743CB1">
        <w:rPr>
          <w:rFonts w:ascii="Arial" w:hAnsi="Arial" w:cs="Arial"/>
          <w:sz w:val="24"/>
          <w:szCs w:val="24"/>
        </w:rPr>
        <w:t xml:space="preserve"> is </w:t>
      </w:r>
      <w:r w:rsidR="000465E6" w:rsidRPr="00743CB1">
        <w:rPr>
          <w:rFonts w:ascii="Arial" w:hAnsi="Arial" w:cs="Arial"/>
          <w:sz w:val="24"/>
          <w:szCs w:val="24"/>
        </w:rPr>
        <w:t xml:space="preserve">that </w:t>
      </w:r>
      <w:r w:rsidR="00E7520A" w:rsidRPr="00743CB1">
        <w:rPr>
          <w:rFonts w:ascii="Arial" w:hAnsi="Arial" w:cs="Arial"/>
          <w:sz w:val="24"/>
          <w:szCs w:val="24"/>
        </w:rPr>
        <w:t xml:space="preserve">set out </w:t>
      </w:r>
      <w:r w:rsidR="001059C3" w:rsidRPr="00743CB1">
        <w:rPr>
          <w:rFonts w:ascii="Arial" w:hAnsi="Arial" w:cs="Arial"/>
          <w:sz w:val="24"/>
          <w:szCs w:val="24"/>
        </w:rPr>
        <w:t xml:space="preserve">by the erstwhile Appellate Division </w:t>
      </w:r>
      <w:r w:rsidR="00E7520A" w:rsidRPr="00743CB1">
        <w:rPr>
          <w:rFonts w:ascii="Arial" w:hAnsi="Arial" w:cs="Arial"/>
          <w:sz w:val="24"/>
          <w:szCs w:val="24"/>
        </w:rPr>
        <w:t xml:space="preserve">in </w:t>
      </w:r>
      <w:r w:rsidR="00E7520A" w:rsidRPr="00743CB1">
        <w:rPr>
          <w:rFonts w:ascii="Arial" w:hAnsi="Arial" w:cs="Arial"/>
          <w:i/>
          <w:iCs/>
          <w:sz w:val="24"/>
          <w:szCs w:val="24"/>
        </w:rPr>
        <w:t xml:space="preserve">Claude </w:t>
      </w:r>
      <w:r w:rsidR="00361A89" w:rsidRPr="00743CB1">
        <w:rPr>
          <w:rFonts w:ascii="Arial" w:hAnsi="Arial" w:cs="Arial"/>
          <w:i/>
          <w:iCs/>
          <w:sz w:val="24"/>
          <w:szCs w:val="24"/>
        </w:rPr>
        <w:t>Neon Lights (SA) Ltd v Daniel</w:t>
      </w:r>
      <w:r w:rsidR="00361A89" w:rsidRPr="00743CB1">
        <w:rPr>
          <w:rFonts w:ascii="Arial" w:hAnsi="Arial" w:cs="Arial"/>
          <w:sz w:val="24"/>
          <w:szCs w:val="24"/>
        </w:rPr>
        <w:t>,</w:t>
      </w:r>
      <w:r w:rsidR="00361A89">
        <w:rPr>
          <w:rStyle w:val="FootnoteReference"/>
          <w:rFonts w:ascii="Arial" w:hAnsi="Arial" w:cs="Arial"/>
          <w:sz w:val="24"/>
          <w:szCs w:val="24"/>
        </w:rPr>
        <w:footnoteReference w:id="4"/>
      </w:r>
      <w:r w:rsidR="00F72289" w:rsidRPr="00743CB1">
        <w:rPr>
          <w:rFonts w:ascii="Arial" w:hAnsi="Arial" w:cs="Arial"/>
          <w:sz w:val="24"/>
          <w:szCs w:val="24"/>
        </w:rPr>
        <w:t xml:space="preserve"> where </w:t>
      </w:r>
      <w:r w:rsidR="0070477E" w:rsidRPr="00743CB1">
        <w:rPr>
          <w:rFonts w:ascii="Arial" w:hAnsi="Arial" w:cs="Arial"/>
          <w:sz w:val="24"/>
          <w:szCs w:val="24"/>
        </w:rPr>
        <w:t>Miller AJA</w:t>
      </w:r>
      <w:r w:rsidR="001059C3" w:rsidRPr="00743CB1">
        <w:rPr>
          <w:rFonts w:ascii="Arial" w:hAnsi="Arial" w:cs="Arial"/>
          <w:sz w:val="24"/>
          <w:szCs w:val="24"/>
        </w:rPr>
        <w:t xml:space="preserve"> held:</w:t>
      </w:r>
    </w:p>
    <w:p w14:paraId="75F31891" w14:textId="3332E71C" w:rsidR="00540A89" w:rsidRPr="00BF3CE3" w:rsidRDefault="001059C3" w:rsidP="00D44D17">
      <w:pPr>
        <w:spacing w:line="360" w:lineRule="auto"/>
        <w:ind w:left="720"/>
        <w:jc w:val="both"/>
        <w:rPr>
          <w:rFonts w:ascii="Arial" w:hAnsi="Arial" w:cs="Arial"/>
          <w:sz w:val="20"/>
          <w:szCs w:val="20"/>
        </w:rPr>
      </w:pPr>
      <w:r w:rsidRPr="00BF3CE3">
        <w:rPr>
          <w:rFonts w:ascii="Arial" w:hAnsi="Arial" w:cs="Arial"/>
          <w:sz w:val="20"/>
          <w:szCs w:val="20"/>
        </w:rPr>
        <w:t>‘</w:t>
      </w:r>
      <w:r w:rsidR="00BB0A81" w:rsidRPr="00BF3CE3">
        <w:rPr>
          <w:rFonts w:ascii="Arial" w:hAnsi="Arial" w:cs="Arial"/>
          <w:sz w:val="20"/>
          <w:szCs w:val="20"/>
        </w:rPr>
        <w:t xml:space="preserve">when absolution from the instance is sought at the close of plaintiff’s case, </w:t>
      </w:r>
      <w:r w:rsidR="002E6F26" w:rsidRPr="00BF3CE3">
        <w:rPr>
          <w:rFonts w:ascii="Arial" w:hAnsi="Arial" w:cs="Arial"/>
          <w:sz w:val="20"/>
          <w:szCs w:val="20"/>
        </w:rPr>
        <w:t>the test</w:t>
      </w:r>
      <w:r w:rsidR="00714952" w:rsidRPr="00BF3CE3">
        <w:rPr>
          <w:rFonts w:ascii="Arial" w:hAnsi="Arial" w:cs="Arial"/>
          <w:sz w:val="20"/>
          <w:szCs w:val="20"/>
        </w:rPr>
        <w:t xml:space="preserve"> to be applied is not whether the evidence led by plaintiff establishes </w:t>
      </w:r>
      <w:r w:rsidR="005C3BF5" w:rsidRPr="00BF3CE3">
        <w:rPr>
          <w:rFonts w:ascii="Arial" w:hAnsi="Arial" w:cs="Arial"/>
          <w:sz w:val="20"/>
          <w:szCs w:val="20"/>
        </w:rPr>
        <w:t xml:space="preserve">what would finally be required to be established, but whether there is evidence </w:t>
      </w:r>
      <w:r w:rsidR="00A90A4E" w:rsidRPr="00BF3CE3">
        <w:rPr>
          <w:rFonts w:ascii="Arial" w:hAnsi="Arial" w:cs="Arial"/>
          <w:sz w:val="20"/>
          <w:szCs w:val="20"/>
        </w:rPr>
        <w:t xml:space="preserve">upon which </w:t>
      </w:r>
      <w:r w:rsidR="00845B47" w:rsidRPr="00BF3CE3">
        <w:rPr>
          <w:rFonts w:ascii="Arial" w:hAnsi="Arial" w:cs="Arial"/>
          <w:sz w:val="20"/>
          <w:szCs w:val="20"/>
        </w:rPr>
        <w:t xml:space="preserve">a </w:t>
      </w:r>
      <w:r w:rsidR="00A90A4E" w:rsidRPr="00BF3CE3">
        <w:rPr>
          <w:rFonts w:ascii="Arial" w:hAnsi="Arial" w:cs="Arial"/>
          <w:sz w:val="20"/>
          <w:szCs w:val="20"/>
        </w:rPr>
        <w:t>C</w:t>
      </w:r>
      <w:r w:rsidR="00845B47" w:rsidRPr="00BF3CE3">
        <w:rPr>
          <w:rFonts w:ascii="Arial" w:hAnsi="Arial" w:cs="Arial"/>
          <w:sz w:val="20"/>
          <w:szCs w:val="20"/>
        </w:rPr>
        <w:t>ourt, applying its mind reasonably to the evidence</w:t>
      </w:r>
      <w:r w:rsidR="0053080B" w:rsidRPr="00BF3CE3">
        <w:rPr>
          <w:rFonts w:ascii="Arial" w:hAnsi="Arial" w:cs="Arial"/>
          <w:sz w:val="20"/>
          <w:szCs w:val="20"/>
        </w:rPr>
        <w:t>, could or might (not should or ought to)</w:t>
      </w:r>
      <w:r w:rsidR="00CF7EA8" w:rsidRPr="00BF3CE3">
        <w:rPr>
          <w:rFonts w:ascii="Arial" w:hAnsi="Arial" w:cs="Arial"/>
          <w:sz w:val="20"/>
          <w:szCs w:val="20"/>
        </w:rPr>
        <w:t xml:space="preserve"> find </w:t>
      </w:r>
      <w:r w:rsidR="002C753C" w:rsidRPr="00BF3CE3">
        <w:rPr>
          <w:rFonts w:ascii="Arial" w:hAnsi="Arial" w:cs="Arial"/>
          <w:sz w:val="20"/>
          <w:szCs w:val="20"/>
        </w:rPr>
        <w:t xml:space="preserve">for </w:t>
      </w:r>
      <w:r w:rsidR="00CF7EA8" w:rsidRPr="00BF3CE3">
        <w:rPr>
          <w:rFonts w:ascii="Arial" w:hAnsi="Arial" w:cs="Arial"/>
          <w:sz w:val="20"/>
          <w:szCs w:val="20"/>
        </w:rPr>
        <w:t>the plaintiff.</w:t>
      </w:r>
      <w:r w:rsidR="00D60DA5" w:rsidRPr="00BF3CE3">
        <w:rPr>
          <w:rFonts w:ascii="Arial" w:hAnsi="Arial" w:cs="Arial"/>
          <w:sz w:val="20"/>
          <w:szCs w:val="20"/>
        </w:rPr>
        <w:t>’</w:t>
      </w:r>
      <w:r w:rsidR="00EC29F1" w:rsidRPr="00BF3CE3">
        <w:rPr>
          <w:rStyle w:val="FootnoteReference"/>
          <w:rFonts w:ascii="Arial" w:hAnsi="Arial" w:cs="Arial"/>
          <w:sz w:val="20"/>
          <w:szCs w:val="20"/>
        </w:rPr>
        <w:footnoteReference w:id="5"/>
      </w:r>
    </w:p>
    <w:p w14:paraId="42D8DEBC" w14:textId="14E5A9AB" w:rsidR="00267649" w:rsidRDefault="00267649" w:rsidP="00267649">
      <w:pPr>
        <w:spacing w:line="360" w:lineRule="auto"/>
        <w:rPr>
          <w:rFonts w:ascii="Arial" w:hAnsi="Arial" w:cs="Arial"/>
          <w:sz w:val="24"/>
          <w:szCs w:val="24"/>
        </w:rPr>
      </w:pPr>
    </w:p>
    <w:p w14:paraId="45D45B89" w14:textId="6951AB5C"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67649" w:rsidRPr="00743CB1">
        <w:rPr>
          <w:rFonts w:ascii="Arial" w:hAnsi="Arial" w:cs="Arial"/>
          <w:sz w:val="24"/>
          <w:szCs w:val="24"/>
        </w:rPr>
        <w:t xml:space="preserve">To avoid a ruling of absolution from the instance, the </w:t>
      </w:r>
      <w:r w:rsidR="00F12B4D" w:rsidRPr="00743CB1">
        <w:rPr>
          <w:rFonts w:ascii="Arial" w:hAnsi="Arial" w:cs="Arial"/>
          <w:sz w:val="24"/>
          <w:szCs w:val="24"/>
        </w:rPr>
        <w:t xml:space="preserve">plaintiff is required to adduce </w:t>
      </w:r>
      <w:r w:rsidR="00F12B4D" w:rsidRPr="00743CB1">
        <w:rPr>
          <w:rFonts w:ascii="Arial" w:hAnsi="Arial" w:cs="Arial"/>
          <w:i/>
          <w:iCs/>
          <w:sz w:val="24"/>
          <w:szCs w:val="24"/>
        </w:rPr>
        <w:t>prima facie</w:t>
      </w:r>
      <w:r w:rsidR="00F12B4D" w:rsidRPr="00743CB1">
        <w:rPr>
          <w:rFonts w:ascii="Arial" w:hAnsi="Arial" w:cs="Arial"/>
          <w:sz w:val="24"/>
          <w:szCs w:val="24"/>
        </w:rPr>
        <w:t xml:space="preserve"> evidence</w:t>
      </w:r>
      <w:r w:rsidR="00267921" w:rsidRPr="00743CB1">
        <w:rPr>
          <w:rFonts w:ascii="Arial" w:hAnsi="Arial" w:cs="Arial"/>
          <w:sz w:val="24"/>
          <w:szCs w:val="24"/>
        </w:rPr>
        <w:t xml:space="preserve"> or proof</w:t>
      </w:r>
      <w:r w:rsidR="00766873" w:rsidRPr="00743CB1">
        <w:rPr>
          <w:rFonts w:ascii="Arial" w:hAnsi="Arial" w:cs="Arial"/>
          <w:sz w:val="24"/>
          <w:szCs w:val="24"/>
        </w:rPr>
        <w:t xml:space="preserve">, which </w:t>
      </w:r>
      <w:r w:rsidR="00EF2A5A" w:rsidRPr="00743CB1">
        <w:rPr>
          <w:rFonts w:ascii="Arial" w:hAnsi="Arial" w:cs="Arial"/>
          <w:sz w:val="24"/>
          <w:szCs w:val="24"/>
        </w:rPr>
        <w:t xml:space="preserve">must be assumed </w:t>
      </w:r>
      <w:r w:rsidR="00766873" w:rsidRPr="00743CB1">
        <w:rPr>
          <w:rFonts w:ascii="Arial" w:hAnsi="Arial" w:cs="Arial"/>
          <w:sz w:val="24"/>
          <w:szCs w:val="24"/>
        </w:rPr>
        <w:t xml:space="preserve">to be </w:t>
      </w:r>
      <w:r w:rsidR="00EF2A5A" w:rsidRPr="00743CB1">
        <w:rPr>
          <w:rFonts w:ascii="Arial" w:hAnsi="Arial" w:cs="Arial"/>
          <w:sz w:val="24"/>
          <w:szCs w:val="24"/>
        </w:rPr>
        <w:t xml:space="preserve">true unless there are </w:t>
      </w:r>
      <w:r w:rsidR="009B40E1" w:rsidRPr="00743CB1">
        <w:rPr>
          <w:rFonts w:ascii="Arial" w:hAnsi="Arial" w:cs="Arial"/>
          <w:sz w:val="24"/>
          <w:szCs w:val="24"/>
        </w:rPr>
        <w:t>clear indications to the contrary</w:t>
      </w:r>
      <w:r w:rsidR="00B27619" w:rsidRPr="00743CB1">
        <w:rPr>
          <w:rFonts w:ascii="Arial" w:hAnsi="Arial" w:cs="Arial"/>
          <w:sz w:val="24"/>
          <w:szCs w:val="24"/>
        </w:rPr>
        <w:t>.</w:t>
      </w:r>
      <w:r w:rsidR="00AA2468">
        <w:rPr>
          <w:rStyle w:val="FootnoteReference"/>
          <w:rFonts w:ascii="Arial" w:hAnsi="Arial" w:cs="Arial"/>
          <w:sz w:val="24"/>
          <w:szCs w:val="24"/>
        </w:rPr>
        <w:footnoteReference w:id="6"/>
      </w:r>
      <w:r w:rsidR="007262A6" w:rsidRPr="00743CB1">
        <w:rPr>
          <w:rFonts w:ascii="Arial" w:hAnsi="Arial" w:cs="Arial"/>
          <w:sz w:val="24"/>
          <w:szCs w:val="24"/>
        </w:rPr>
        <w:t xml:space="preserve"> The court is not required to make credibility findings at this stage</w:t>
      </w:r>
      <w:r w:rsidR="00CF043F" w:rsidRPr="00743CB1">
        <w:rPr>
          <w:rFonts w:ascii="Arial" w:hAnsi="Arial" w:cs="Arial"/>
          <w:sz w:val="24"/>
          <w:szCs w:val="24"/>
        </w:rPr>
        <w:t xml:space="preserve">, except where the witnesses have </w:t>
      </w:r>
      <w:r w:rsidR="00B47295" w:rsidRPr="00743CB1">
        <w:rPr>
          <w:rFonts w:ascii="Arial" w:hAnsi="Arial" w:cs="Arial"/>
          <w:sz w:val="24"/>
          <w:szCs w:val="24"/>
        </w:rPr>
        <w:t xml:space="preserve">palpably broken down and where it is clear that </w:t>
      </w:r>
      <w:r w:rsidR="00C151CB" w:rsidRPr="00743CB1">
        <w:rPr>
          <w:rFonts w:ascii="Arial" w:hAnsi="Arial" w:cs="Arial"/>
          <w:sz w:val="24"/>
          <w:szCs w:val="24"/>
        </w:rPr>
        <w:t>what they have stated is not true.</w:t>
      </w:r>
      <w:r w:rsidR="00C151CB">
        <w:rPr>
          <w:rStyle w:val="FootnoteReference"/>
          <w:rFonts w:ascii="Arial" w:hAnsi="Arial" w:cs="Arial"/>
          <w:sz w:val="24"/>
          <w:szCs w:val="24"/>
        </w:rPr>
        <w:footnoteReference w:id="7"/>
      </w:r>
    </w:p>
    <w:p w14:paraId="103CE565" w14:textId="77777777" w:rsidR="00D44D17" w:rsidRDefault="00D44D17" w:rsidP="00D44D17">
      <w:pPr>
        <w:pStyle w:val="ListParagraph"/>
        <w:spacing w:line="360" w:lineRule="auto"/>
        <w:ind w:left="0"/>
        <w:jc w:val="both"/>
        <w:rPr>
          <w:rFonts w:ascii="Arial" w:hAnsi="Arial" w:cs="Arial"/>
          <w:sz w:val="24"/>
          <w:szCs w:val="24"/>
        </w:rPr>
      </w:pPr>
    </w:p>
    <w:p w14:paraId="580ACEAC" w14:textId="548F4A03"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8E0BEB" w:rsidRPr="00743CB1">
        <w:rPr>
          <w:rFonts w:ascii="Arial" w:hAnsi="Arial" w:cs="Arial"/>
          <w:sz w:val="24"/>
          <w:szCs w:val="24"/>
        </w:rPr>
        <w:t xml:space="preserve">This, briefly, is the </w:t>
      </w:r>
      <w:r w:rsidR="008E2301" w:rsidRPr="00743CB1">
        <w:rPr>
          <w:rFonts w:ascii="Arial" w:hAnsi="Arial" w:cs="Arial"/>
          <w:sz w:val="24"/>
          <w:szCs w:val="24"/>
        </w:rPr>
        <w:t xml:space="preserve">framework that </w:t>
      </w:r>
      <w:r w:rsidR="00885BFE" w:rsidRPr="00743CB1">
        <w:rPr>
          <w:rFonts w:ascii="Arial" w:hAnsi="Arial" w:cs="Arial"/>
          <w:sz w:val="24"/>
          <w:szCs w:val="24"/>
        </w:rPr>
        <w:t xml:space="preserve">is relevant to </w:t>
      </w:r>
      <w:r w:rsidR="008E2301" w:rsidRPr="00743CB1">
        <w:rPr>
          <w:rFonts w:ascii="Arial" w:hAnsi="Arial" w:cs="Arial"/>
          <w:sz w:val="24"/>
          <w:szCs w:val="24"/>
        </w:rPr>
        <w:t xml:space="preserve">the present matter. We proceed </w:t>
      </w:r>
      <w:r w:rsidR="00885BFE" w:rsidRPr="00743CB1">
        <w:rPr>
          <w:rFonts w:ascii="Arial" w:hAnsi="Arial" w:cs="Arial"/>
          <w:sz w:val="24"/>
          <w:szCs w:val="24"/>
        </w:rPr>
        <w:t xml:space="preserve">now </w:t>
      </w:r>
      <w:r w:rsidR="008E2301" w:rsidRPr="00743CB1">
        <w:rPr>
          <w:rFonts w:ascii="Arial" w:hAnsi="Arial" w:cs="Arial"/>
          <w:sz w:val="24"/>
          <w:szCs w:val="24"/>
        </w:rPr>
        <w:t>to apply the principles.</w:t>
      </w:r>
    </w:p>
    <w:p w14:paraId="67213088" w14:textId="77777777" w:rsidR="00D44D17" w:rsidRPr="00D44D17" w:rsidRDefault="00D44D17" w:rsidP="00D44D17">
      <w:pPr>
        <w:pStyle w:val="ListParagraph"/>
        <w:rPr>
          <w:rFonts w:ascii="Arial" w:hAnsi="Arial" w:cs="Arial"/>
          <w:b/>
          <w:bCs/>
          <w:sz w:val="24"/>
          <w:szCs w:val="24"/>
        </w:rPr>
      </w:pPr>
    </w:p>
    <w:p w14:paraId="7D3FD621" w14:textId="77777777" w:rsidR="00D44D17" w:rsidRPr="00D44D17" w:rsidRDefault="00D44D17" w:rsidP="00D44D17">
      <w:pPr>
        <w:pStyle w:val="ListParagraph"/>
        <w:spacing w:line="360" w:lineRule="auto"/>
        <w:ind w:left="0"/>
        <w:jc w:val="both"/>
        <w:rPr>
          <w:rFonts w:ascii="Arial" w:hAnsi="Arial" w:cs="Arial"/>
          <w:sz w:val="24"/>
          <w:szCs w:val="24"/>
        </w:rPr>
      </w:pPr>
    </w:p>
    <w:p w14:paraId="7ED26945" w14:textId="77777777" w:rsidR="00D44D17" w:rsidRPr="00D44D17" w:rsidRDefault="00D44D17" w:rsidP="00D44D17">
      <w:pPr>
        <w:pStyle w:val="ListParagraph"/>
        <w:rPr>
          <w:rFonts w:ascii="Arial" w:hAnsi="Arial" w:cs="Arial"/>
          <w:b/>
          <w:bCs/>
          <w:sz w:val="24"/>
          <w:szCs w:val="24"/>
        </w:rPr>
      </w:pPr>
    </w:p>
    <w:p w14:paraId="3400AF2E" w14:textId="77777777" w:rsidR="00D44D17" w:rsidRPr="00D44D17" w:rsidRDefault="008E2301" w:rsidP="00D44D17">
      <w:pPr>
        <w:pStyle w:val="ListParagraph"/>
        <w:spacing w:line="360" w:lineRule="auto"/>
        <w:ind w:left="0"/>
        <w:jc w:val="both"/>
        <w:rPr>
          <w:rFonts w:ascii="Arial" w:hAnsi="Arial" w:cs="Arial"/>
          <w:sz w:val="24"/>
          <w:szCs w:val="24"/>
        </w:rPr>
      </w:pPr>
      <w:r w:rsidRPr="00D44D17">
        <w:rPr>
          <w:rFonts w:ascii="Arial" w:hAnsi="Arial" w:cs="Arial"/>
          <w:b/>
          <w:bCs/>
          <w:sz w:val="24"/>
          <w:szCs w:val="24"/>
        </w:rPr>
        <w:t xml:space="preserve">Application </w:t>
      </w:r>
      <w:r w:rsidR="00BF7885" w:rsidRPr="00D44D17">
        <w:rPr>
          <w:rFonts w:ascii="Arial" w:hAnsi="Arial" w:cs="Arial"/>
          <w:b/>
          <w:bCs/>
          <w:sz w:val="24"/>
          <w:szCs w:val="24"/>
        </w:rPr>
        <w:t xml:space="preserve">of the principles </w:t>
      </w:r>
      <w:r w:rsidRPr="00D44D17">
        <w:rPr>
          <w:rFonts w:ascii="Arial" w:hAnsi="Arial" w:cs="Arial"/>
          <w:b/>
          <w:bCs/>
          <w:sz w:val="24"/>
          <w:szCs w:val="24"/>
        </w:rPr>
        <w:t>to the facts</w:t>
      </w:r>
    </w:p>
    <w:p w14:paraId="263E2D88" w14:textId="77777777" w:rsidR="00D44D17" w:rsidRPr="00D44D17" w:rsidRDefault="00D44D17" w:rsidP="00D44D17">
      <w:pPr>
        <w:pStyle w:val="ListParagraph"/>
        <w:spacing w:line="360" w:lineRule="auto"/>
        <w:ind w:left="0"/>
        <w:jc w:val="both"/>
        <w:rPr>
          <w:rFonts w:ascii="Arial" w:hAnsi="Arial" w:cs="Arial"/>
          <w:sz w:val="24"/>
          <w:szCs w:val="24"/>
        </w:rPr>
      </w:pPr>
    </w:p>
    <w:p w14:paraId="2283096F" w14:textId="77777777" w:rsidR="00D44D17" w:rsidRPr="00D44D17" w:rsidRDefault="00D44D17" w:rsidP="00D44D17">
      <w:pPr>
        <w:pStyle w:val="ListParagraph"/>
        <w:spacing w:line="360" w:lineRule="auto"/>
        <w:ind w:left="0"/>
        <w:jc w:val="both"/>
        <w:rPr>
          <w:rFonts w:ascii="Arial" w:hAnsi="Arial" w:cs="Arial"/>
          <w:sz w:val="24"/>
          <w:szCs w:val="24"/>
        </w:rPr>
      </w:pPr>
    </w:p>
    <w:p w14:paraId="224F5AC5" w14:textId="07AA7FCC" w:rsidR="00D44D17" w:rsidRPr="00743CB1" w:rsidRDefault="00743CB1" w:rsidP="00743CB1">
      <w:pPr>
        <w:spacing w:line="360" w:lineRule="auto"/>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00A80249" w:rsidRPr="00743CB1">
        <w:rPr>
          <w:rFonts w:ascii="Arial" w:hAnsi="Arial" w:cs="Arial"/>
          <w:sz w:val="24"/>
          <w:szCs w:val="24"/>
        </w:rPr>
        <w:t>I</w:t>
      </w:r>
      <w:r w:rsidR="005A3D3F" w:rsidRPr="00743CB1">
        <w:rPr>
          <w:rFonts w:ascii="Arial" w:hAnsi="Arial" w:cs="Arial"/>
          <w:sz w:val="24"/>
          <w:szCs w:val="24"/>
        </w:rPr>
        <w:t>t is necessary</w:t>
      </w:r>
      <w:r w:rsidR="002C7243" w:rsidRPr="00743CB1">
        <w:rPr>
          <w:rFonts w:ascii="Arial" w:hAnsi="Arial" w:cs="Arial"/>
          <w:sz w:val="24"/>
          <w:szCs w:val="24"/>
        </w:rPr>
        <w:t xml:space="preserve">, before </w:t>
      </w:r>
      <w:r w:rsidR="00FB7803" w:rsidRPr="00743CB1">
        <w:rPr>
          <w:rFonts w:ascii="Arial" w:hAnsi="Arial" w:cs="Arial"/>
          <w:sz w:val="24"/>
          <w:szCs w:val="24"/>
        </w:rPr>
        <w:t xml:space="preserve">embarking upon an assessment of the </w:t>
      </w:r>
      <w:r w:rsidR="00F47FD3" w:rsidRPr="00743CB1">
        <w:rPr>
          <w:rFonts w:ascii="Arial" w:hAnsi="Arial" w:cs="Arial"/>
          <w:sz w:val="24"/>
          <w:szCs w:val="24"/>
        </w:rPr>
        <w:t>plaintiffs’ c</w:t>
      </w:r>
      <w:r w:rsidR="009F2E88" w:rsidRPr="00743CB1">
        <w:rPr>
          <w:rFonts w:ascii="Arial" w:hAnsi="Arial" w:cs="Arial"/>
          <w:sz w:val="24"/>
          <w:szCs w:val="24"/>
        </w:rPr>
        <w:t>laims</w:t>
      </w:r>
      <w:r w:rsidR="00F47FD3" w:rsidRPr="00743CB1">
        <w:rPr>
          <w:rFonts w:ascii="Arial" w:hAnsi="Arial" w:cs="Arial"/>
          <w:sz w:val="24"/>
          <w:szCs w:val="24"/>
        </w:rPr>
        <w:t>,</w:t>
      </w:r>
      <w:r w:rsidR="005A3D3F" w:rsidRPr="00743CB1">
        <w:rPr>
          <w:rFonts w:ascii="Arial" w:hAnsi="Arial" w:cs="Arial"/>
          <w:sz w:val="24"/>
          <w:szCs w:val="24"/>
        </w:rPr>
        <w:t xml:space="preserve"> to point out the obvious: the </w:t>
      </w:r>
      <w:r w:rsidR="00182B5C" w:rsidRPr="00743CB1">
        <w:rPr>
          <w:rFonts w:ascii="Arial" w:hAnsi="Arial" w:cs="Arial"/>
          <w:i/>
          <w:iCs/>
          <w:sz w:val="24"/>
          <w:szCs w:val="24"/>
        </w:rPr>
        <w:t>prima facie</w:t>
      </w:r>
      <w:r w:rsidR="00182B5C" w:rsidRPr="00743CB1">
        <w:rPr>
          <w:rFonts w:ascii="Arial" w:hAnsi="Arial" w:cs="Arial"/>
          <w:sz w:val="24"/>
          <w:szCs w:val="24"/>
        </w:rPr>
        <w:t xml:space="preserve"> evidence or </w:t>
      </w:r>
      <w:r w:rsidR="00DF4E43" w:rsidRPr="00743CB1">
        <w:rPr>
          <w:rFonts w:ascii="Arial" w:hAnsi="Arial" w:cs="Arial"/>
          <w:sz w:val="24"/>
          <w:szCs w:val="24"/>
        </w:rPr>
        <w:t xml:space="preserve">proof </w:t>
      </w:r>
      <w:r w:rsidR="00182B5C" w:rsidRPr="00743CB1">
        <w:rPr>
          <w:rFonts w:ascii="Arial" w:hAnsi="Arial" w:cs="Arial"/>
          <w:sz w:val="24"/>
          <w:szCs w:val="24"/>
        </w:rPr>
        <w:t xml:space="preserve">presented </w:t>
      </w:r>
      <w:r w:rsidR="00E527EE" w:rsidRPr="00743CB1">
        <w:rPr>
          <w:rFonts w:ascii="Arial" w:hAnsi="Arial" w:cs="Arial"/>
          <w:sz w:val="24"/>
          <w:szCs w:val="24"/>
        </w:rPr>
        <w:t xml:space="preserve">by the plaintiffs must </w:t>
      </w:r>
      <w:r w:rsidR="00182B5C" w:rsidRPr="00743CB1">
        <w:rPr>
          <w:rFonts w:ascii="Arial" w:hAnsi="Arial" w:cs="Arial"/>
          <w:sz w:val="24"/>
          <w:szCs w:val="24"/>
        </w:rPr>
        <w:t>sustain th</w:t>
      </w:r>
      <w:r w:rsidR="00AA36E6" w:rsidRPr="00743CB1">
        <w:rPr>
          <w:rFonts w:ascii="Arial" w:hAnsi="Arial" w:cs="Arial"/>
          <w:sz w:val="24"/>
          <w:szCs w:val="24"/>
        </w:rPr>
        <w:t xml:space="preserve">e </w:t>
      </w:r>
      <w:r w:rsidR="003C2CC0" w:rsidRPr="00743CB1">
        <w:rPr>
          <w:rFonts w:ascii="Arial" w:hAnsi="Arial" w:cs="Arial"/>
          <w:sz w:val="24"/>
          <w:szCs w:val="24"/>
        </w:rPr>
        <w:t>cases</w:t>
      </w:r>
      <w:r w:rsidR="00AA36E6" w:rsidRPr="00743CB1">
        <w:rPr>
          <w:rFonts w:ascii="Arial" w:hAnsi="Arial" w:cs="Arial"/>
          <w:sz w:val="24"/>
          <w:szCs w:val="24"/>
        </w:rPr>
        <w:t xml:space="preserve"> pleaded in their particulars</w:t>
      </w:r>
      <w:r w:rsidR="00FE41BE" w:rsidRPr="00743CB1">
        <w:rPr>
          <w:rFonts w:ascii="Arial" w:hAnsi="Arial" w:cs="Arial"/>
          <w:sz w:val="24"/>
          <w:szCs w:val="24"/>
        </w:rPr>
        <w:t>.</w:t>
      </w:r>
      <w:r w:rsidR="00C82F94" w:rsidRPr="00743CB1">
        <w:rPr>
          <w:rFonts w:ascii="Arial" w:hAnsi="Arial" w:cs="Arial"/>
          <w:sz w:val="24"/>
          <w:szCs w:val="24"/>
        </w:rPr>
        <w:t xml:space="preserve"> </w:t>
      </w:r>
      <w:r w:rsidR="00E55D9E" w:rsidRPr="00743CB1">
        <w:rPr>
          <w:rFonts w:ascii="Arial" w:hAnsi="Arial" w:cs="Arial"/>
          <w:sz w:val="24"/>
          <w:szCs w:val="24"/>
        </w:rPr>
        <w:t xml:space="preserve">This requires us, </w:t>
      </w:r>
      <w:r w:rsidR="00A80249" w:rsidRPr="00743CB1">
        <w:rPr>
          <w:rFonts w:ascii="Arial" w:hAnsi="Arial" w:cs="Arial"/>
          <w:sz w:val="24"/>
          <w:szCs w:val="24"/>
        </w:rPr>
        <w:t>at the outset</w:t>
      </w:r>
      <w:r w:rsidR="00E55D9E" w:rsidRPr="00743CB1">
        <w:rPr>
          <w:rFonts w:ascii="Arial" w:hAnsi="Arial" w:cs="Arial"/>
          <w:sz w:val="24"/>
          <w:szCs w:val="24"/>
        </w:rPr>
        <w:t xml:space="preserve">, to </w:t>
      </w:r>
      <w:r w:rsidR="00FE41BE" w:rsidRPr="00743CB1">
        <w:rPr>
          <w:rFonts w:ascii="Arial" w:hAnsi="Arial" w:cs="Arial"/>
          <w:sz w:val="24"/>
          <w:szCs w:val="24"/>
        </w:rPr>
        <w:t xml:space="preserve">return to </w:t>
      </w:r>
      <w:r w:rsidR="00E55D9E" w:rsidRPr="00743CB1">
        <w:rPr>
          <w:rFonts w:ascii="Arial" w:hAnsi="Arial" w:cs="Arial"/>
          <w:sz w:val="24"/>
          <w:szCs w:val="24"/>
        </w:rPr>
        <w:t xml:space="preserve">the question of </w:t>
      </w:r>
      <w:r w:rsidR="00170C9B" w:rsidRPr="00743CB1">
        <w:rPr>
          <w:rFonts w:ascii="Arial" w:hAnsi="Arial" w:cs="Arial"/>
          <w:sz w:val="24"/>
          <w:szCs w:val="24"/>
        </w:rPr>
        <w:t xml:space="preserve">what exactly comprises </w:t>
      </w:r>
      <w:r w:rsidR="00C541C5" w:rsidRPr="00743CB1">
        <w:rPr>
          <w:rFonts w:ascii="Arial" w:hAnsi="Arial" w:cs="Arial"/>
          <w:sz w:val="24"/>
          <w:szCs w:val="24"/>
        </w:rPr>
        <w:t xml:space="preserve">the basis of </w:t>
      </w:r>
      <w:r w:rsidR="00A80249" w:rsidRPr="00743CB1">
        <w:rPr>
          <w:rFonts w:ascii="Arial" w:hAnsi="Arial" w:cs="Arial"/>
          <w:sz w:val="24"/>
          <w:szCs w:val="24"/>
        </w:rPr>
        <w:t xml:space="preserve">each of the </w:t>
      </w:r>
      <w:r w:rsidR="00170C9B" w:rsidRPr="00743CB1">
        <w:rPr>
          <w:rFonts w:ascii="Arial" w:hAnsi="Arial" w:cs="Arial"/>
          <w:sz w:val="24"/>
          <w:szCs w:val="24"/>
        </w:rPr>
        <w:t xml:space="preserve">plaintiffs’ respective </w:t>
      </w:r>
      <w:r w:rsidR="00340C78" w:rsidRPr="00743CB1">
        <w:rPr>
          <w:rFonts w:ascii="Arial" w:hAnsi="Arial" w:cs="Arial"/>
          <w:sz w:val="24"/>
          <w:szCs w:val="24"/>
        </w:rPr>
        <w:t>claims</w:t>
      </w:r>
      <w:r w:rsidR="009501B7" w:rsidRPr="00743CB1">
        <w:rPr>
          <w:rFonts w:ascii="Arial" w:hAnsi="Arial" w:cs="Arial"/>
          <w:sz w:val="24"/>
          <w:szCs w:val="24"/>
        </w:rPr>
        <w:t>.</w:t>
      </w:r>
      <w:r w:rsidR="00FE31E8" w:rsidRPr="00743CB1">
        <w:rPr>
          <w:rFonts w:ascii="Arial" w:hAnsi="Arial" w:cs="Arial"/>
          <w:sz w:val="24"/>
          <w:szCs w:val="24"/>
        </w:rPr>
        <w:t xml:space="preserve"> </w:t>
      </w:r>
      <w:r w:rsidR="00986E59" w:rsidRPr="00743CB1">
        <w:rPr>
          <w:rFonts w:ascii="Arial" w:hAnsi="Arial" w:cs="Arial"/>
          <w:sz w:val="24"/>
          <w:szCs w:val="24"/>
        </w:rPr>
        <w:t>To that effect, b</w:t>
      </w:r>
      <w:r w:rsidR="00EC741B" w:rsidRPr="00743CB1">
        <w:rPr>
          <w:rFonts w:ascii="Arial" w:hAnsi="Arial" w:cs="Arial"/>
          <w:sz w:val="24"/>
          <w:szCs w:val="24"/>
        </w:rPr>
        <w:t xml:space="preserve">oth plaintiffs have relied on </w:t>
      </w:r>
      <w:r w:rsidR="00AB18B8" w:rsidRPr="00743CB1">
        <w:rPr>
          <w:rFonts w:ascii="Arial" w:hAnsi="Arial" w:cs="Arial"/>
          <w:sz w:val="24"/>
          <w:szCs w:val="24"/>
        </w:rPr>
        <w:t>unlawful prosecution</w:t>
      </w:r>
      <w:r w:rsidR="00BD1655" w:rsidRPr="00743CB1">
        <w:rPr>
          <w:rFonts w:ascii="Arial" w:hAnsi="Arial" w:cs="Arial"/>
          <w:sz w:val="24"/>
          <w:szCs w:val="24"/>
        </w:rPr>
        <w:t>.</w:t>
      </w:r>
      <w:r w:rsidR="000D7471">
        <w:rPr>
          <w:rStyle w:val="FootnoteReference"/>
          <w:rFonts w:ascii="Arial" w:hAnsi="Arial" w:cs="Arial"/>
          <w:sz w:val="24"/>
          <w:szCs w:val="24"/>
        </w:rPr>
        <w:footnoteReference w:id="8"/>
      </w:r>
    </w:p>
    <w:p w14:paraId="08FCFD78" w14:textId="77777777" w:rsidR="00D44D17" w:rsidRDefault="00D44D17" w:rsidP="00D44D17">
      <w:pPr>
        <w:pStyle w:val="ListParagraph"/>
        <w:spacing w:line="360" w:lineRule="auto"/>
        <w:ind w:left="0"/>
        <w:jc w:val="both"/>
        <w:rPr>
          <w:rFonts w:ascii="Arial" w:hAnsi="Arial" w:cs="Arial"/>
          <w:sz w:val="24"/>
          <w:szCs w:val="24"/>
        </w:rPr>
      </w:pPr>
    </w:p>
    <w:p w14:paraId="295BFD45" w14:textId="77777777" w:rsidR="00D44D17" w:rsidRDefault="00D44D17" w:rsidP="00D44D17">
      <w:pPr>
        <w:pStyle w:val="ListParagraph"/>
        <w:spacing w:line="360" w:lineRule="auto"/>
        <w:ind w:left="0"/>
        <w:jc w:val="both"/>
        <w:rPr>
          <w:rFonts w:ascii="Arial" w:hAnsi="Arial" w:cs="Arial"/>
          <w:sz w:val="24"/>
          <w:szCs w:val="24"/>
        </w:rPr>
      </w:pPr>
    </w:p>
    <w:p w14:paraId="108F1657" w14:textId="77777777" w:rsidR="00D44D17" w:rsidRDefault="00D44D17" w:rsidP="00D44D17">
      <w:pPr>
        <w:pStyle w:val="ListParagraph"/>
        <w:spacing w:line="360" w:lineRule="auto"/>
        <w:ind w:left="0"/>
        <w:jc w:val="both"/>
        <w:rPr>
          <w:rFonts w:ascii="Arial" w:hAnsi="Arial" w:cs="Arial"/>
          <w:i/>
          <w:iCs/>
          <w:sz w:val="24"/>
          <w:szCs w:val="24"/>
        </w:rPr>
      </w:pPr>
      <w:r>
        <w:rPr>
          <w:rFonts w:ascii="Arial" w:hAnsi="Arial" w:cs="Arial"/>
          <w:i/>
          <w:iCs/>
          <w:sz w:val="24"/>
          <w:szCs w:val="24"/>
        </w:rPr>
        <w:t>.</w:t>
      </w:r>
    </w:p>
    <w:p w14:paraId="0C603FE1" w14:textId="77777777" w:rsidR="00D44D17" w:rsidRDefault="00D44D17" w:rsidP="00D44D17">
      <w:pPr>
        <w:pStyle w:val="ListParagraph"/>
        <w:spacing w:line="360" w:lineRule="auto"/>
        <w:ind w:left="0"/>
        <w:jc w:val="both"/>
        <w:rPr>
          <w:rFonts w:ascii="Arial" w:hAnsi="Arial" w:cs="Arial"/>
          <w:i/>
          <w:iCs/>
          <w:sz w:val="24"/>
          <w:szCs w:val="24"/>
        </w:rPr>
      </w:pPr>
    </w:p>
    <w:p w14:paraId="756C7B1E" w14:textId="78212412" w:rsidR="00D44D17" w:rsidRDefault="00DC5B74" w:rsidP="00D44D17">
      <w:pPr>
        <w:pStyle w:val="ListParagraph"/>
        <w:spacing w:line="360" w:lineRule="auto"/>
        <w:ind w:left="0"/>
        <w:jc w:val="both"/>
        <w:rPr>
          <w:rFonts w:ascii="Arial" w:hAnsi="Arial" w:cs="Arial"/>
          <w:i/>
          <w:iCs/>
          <w:sz w:val="24"/>
          <w:szCs w:val="24"/>
        </w:rPr>
      </w:pPr>
      <w:r w:rsidRPr="00D44D17">
        <w:rPr>
          <w:rFonts w:ascii="Arial" w:hAnsi="Arial" w:cs="Arial"/>
          <w:i/>
          <w:iCs/>
          <w:sz w:val="24"/>
          <w:szCs w:val="24"/>
        </w:rPr>
        <w:t>Unlawful prosecution</w:t>
      </w:r>
    </w:p>
    <w:p w14:paraId="2A71B044" w14:textId="77777777" w:rsidR="00566A6D" w:rsidRPr="00D44D17" w:rsidRDefault="00566A6D" w:rsidP="00D44D17">
      <w:pPr>
        <w:pStyle w:val="ListParagraph"/>
        <w:spacing w:line="360" w:lineRule="auto"/>
        <w:ind w:left="0"/>
        <w:jc w:val="both"/>
        <w:rPr>
          <w:rFonts w:ascii="Arial" w:hAnsi="Arial" w:cs="Arial"/>
          <w:sz w:val="24"/>
          <w:szCs w:val="24"/>
        </w:rPr>
      </w:pPr>
    </w:p>
    <w:p w14:paraId="6FFD9DF2" w14:textId="77777777" w:rsidR="00D44D17" w:rsidRPr="00D44D17" w:rsidRDefault="00D44D17" w:rsidP="00D44D17">
      <w:pPr>
        <w:pStyle w:val="ListParagraph"/>
        <w:spacing w:line="360" w:lineRule="auto"/>
        <w:ind w:left="0"/>
        <w:jc w:val="both"/>
        <w:rPr>
          <w:rFonts w:ascii="Arial" w:hAnsi="Arial" w:cs="Arial"/>
          <w:sz w:val="24"/>
          <w:szCs w:val="24"/>
        </w:rPr>
      </w:pPr>
    </w:p>
    <w:p w14:paraId="1E6DFE75" w14:textId="7D19EE08" w:rsidR="00D44D17" w:rsidRPr="00743CB1" w:rsidRDefault="00743CB1" w:rsidP="00743CB1">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E51D57" w:rsidRPr="00743CB1">
        <w:rPr>
          <w:rFonts w:ascii="Arial" w:hAnsi="Arial" w:cs="Arial"/>
          <w:sz w:val="24"/>
          <w:szCs w:val="24"/>
        </w:rPr>
        <w:t>The Constitutional Court</w:t>
      </w:r>
      <w:r w:rsidR="00226605" w:rsidRPr="00743CB1">
        <w:rPr>
          <w:rFonts w:ascii="Arial" w:hAnsi="Arial" w:cs="Arial"/>
          <w:sz w:val="24"/>
          <w:szCs w:val="24"/>
        </w:rPr>
        <w:t xml:space="preserve">, in </w:t>
      </w:r>
      <w:r w:rsidR="00226605" w:rsidRPr="00743CB1">
        <w:rPr>
          <w:rFonts w:ascii="Arial" w:hAnsi="Arial" w:cs="Arial"/>
          <w:i/>
          <w:iCs/>
          <w:sz w:val="24"/>
          <w:szCs w:val="24"/>
        </w:rPr>
        <w:t>Carmichele</w:t>
      </w:r>
      <w:r w:rsidR="00226605" w:rsidRPr="00743CB1">
        <w:rPr>
          <w:rFonts w:ascii="Arial" w:hAnsi="Arial" w:cs="Arial"/>
          <w:sz w:val="24"/>
          <w:szCs w:val="24"/>
        </w:rPr>
        <w:t>,</w:t>
      </w:r>
      <w:r w:rsidR="00226605">
        <w:rPr>
          <w:rStyle w:val="FootnoteReference"/>
          <w:rFonts w:ascii="Arial" w:hAnsi="Arial" w:cs="Arial"/>
          <w:sz w:val="24"/>
          <w:szCs w:val="24"/>
        </w:rPr>
        <w:footnoteReference w:id="9"/>
      </w:r>
      <w:r w:rsidR="00226605" w:rsidRPr="00743CB1">
        <w:rPr>
          <w:rFonts w:ascii="Arial" w:hAnsi="Arial" w:cs="Arial"/>
          <w:sz w:val="24"/>
          <w:szCs w:val="24"/>
        </w:rPr>
        <w:t xml:space="preserve"> </w:t>
      </w:r>
      <w:r w:rsidR="00E51D57" w:rsidRPr="00743CB1">
        <w:rPr>
          <w:rFonts w:ascii="Arial" w:hAnsi="Arial" w:cs="Arial"/>
          <w:sz w:val="24"/>
          <w:szCs w:val="24"/>
        </w:rPr>
        <w:t xml:space="preserve">was prepared to develop the </w:t>
      </w:r>
      <w:r w:rsidR="00226605" w:rsidRPr="00743CB1">
        <w:rPr>
          <w:rFonts w:ascii="Arial" w:hAnsi="Arial" w:cs="Arial"/>
          <w:sz w:val="24"/>
          <w:szCs w:val="24"/>
        </w:rPr>
        <w:t xml:space="preserve">common law to recognise a claim for damages brought by a third party regarding the negligent conduct of a prosecutor. The position was affirmed more recently in </w:t>
      </w:r>
      <w:r w:rsidR="00226605" w:rsidRPr="00743CB1">
        <w:rPr>
          <w:rFonts w:ascii="Arial" w:hAnsi="Arial" w:cs="Arial"/>
          <w:i/>
          <w:iCs/>
          <w:sz w:val="24"/>
          <w:szCs w:val="24"/>
        </w:rPr>
        <w:t>Minister of Justice and Constitutional Development v X</w:t>
      </w:r>
      <w:r w:rsidR="00226605" w:rsidRPr="00743CB1">
        <w:rPr>
          <w:rFonts w:ascii="Arial" w:hAnsi="Arial" w:cs="Arial"/>
          <w:sz w:val="24"/>
          <w:szCs w:val="24"/>
        </w:rPr>
        <w:t>,</w:t>
      </w:r>
      <w:r w:rsidR="00226605">
        <w:rPr>
          <w:rStyle w:val="FootnoteReference"/>
          <w:rFonts w:ascii="Arial" w:hAnsi="Arial" w:cs="Arial"/>
          <w:sz w:val="24"/>
          <w:szCs w:val="24"/>
        </w:rPr>
        <w:footnoteReference w:id="10"/>
      </w:r>
      <w:r w:rsidR="00226605" w:rsidRPr="00743CB1">
        <w:rPr>
          <w:rFonts w:ascii="Arial" w:hAnsi="Arial" w:cs="Arial"/>
          <w:sz w:val="24"/>
          <w:szCs w:val="24"/>
        </w:rPr>
        <w:t xml:space="preserve"> where the Supreme Court of Appeal awarded damages to </w:t>
      </w:r>
      <w:r w:rsidR="00566357" w:rsidRPr="00743CB1">
        <w:rPr>
          <w:rFonts w:ascii="Arial" w:hAnsi="Arial" w:cs="Arial"/>
          <w:sz w:val="24"/>
          <w:szCs w:val="24"/>
        </w:rPr>
        <w:t xml:space="preserve">a mother and her five-year old daughter because of a prosecutor’s failure to have taken reasonable steps to prevent the release of a convicted rapist. The law does not seem to have reached a stage of development, however, where an accused person in criminal proceedings can </w:t>
      </w:r>
      <w:r w:rsidR="00DC5B74" w:rsidRPr="00743CB1">
        <w:rPr>
          <w:rFonts w:ascii="Arial" w:hAnsi="Arial" w:cs="Arial"/>
          <w:sz w:val="24"/>
          <w:szCs w:val="24"/>
        </w:rPr>
        <w:t>be awarded</w:t>
      </w:r>
      <w:r w:rsidR="00566357" w:rsidRPr="00743CB1">
        <w:rPr>
          <w:rFonts w:ascii="Arial" w:hAnsi="Arial" w:cs="Arial"/>
          <w:sz w:val="24"/>
          <w:szCs w:val="24"/>
        </w:rPr>
        <w:t xml:space="preserve"> damages </w:t>
      </w:r>
      <w:r w:rsidR="00DC5B74" w:rsidRPr="00743CB1">
        <w:rPr>
          <w:rFonts w:ascii="Arial" w:hAnsi="Arial" w:cs="Arial"/>
          <w:sz w:val="24"/>
          <w:szCs w:val="24"/>
        </w:rPr>
        <w:t xml:space="preserve">for </w:t>
      </w:r>
      <w:r w:rsidR="00566357" w:rsidRPr="00743CB1">
        <w:rPr>
          <w:rFonts w:ascii="Arial" w:hAnsi="Arial" w:cs="Arial"/>
          <w:sz w:val="24"/>
          <w:szCs w:val="24"/>
        </w:rPr>
        <w:t xml:space="preserve">ordinary negligence on the part of the prosecuting authority or delegated officials. </w:t>
      </w:r>
    </w:p>
    <w:p w14:paraId="76FCCEF2" w14:textId="77777777" w:rsidR="00D44D17" w:rsidRDefault="00D44D17" w:rsidP="00D44D17">
      <w:pPr>
        <w:pStyle w:val="ListParagraph"/>
        <w:spacing w:line="360" w:lineRule="auto"/>
        <w:ind w:left="0"/>
        <w:jc w:val="both"/>
        <w:rPr>
          <w:rFonts w:ascii="Arial" w:hAnsi="Arial" w:cs="Arial"/>
          <w:sz w:val="24"/>
          <w:szCs w:val="24"/>
        </w:rPr>
      </w:pPr>
    </w:p>
    <w:p w14:paraId="098AE6BF" w14:textId="755E83D1" w:rsidR="0056164F" w:rsidRPr="00743CB1" w:rsidRDefault="00743CB1" w:rsidP="00743CB1">
      <w:pPr>
        <w:spacing w:line="360" w:lineRule="auto"/>
        <w:jc w:val="both"/>
        <w:rPr>
          <w:rFonts w:ascii="Arial" w:hAnsi="Arial" w:cs="Arial"/>
          <w:sz w:val="24"/>
          <w:szCs w:val="24"/>
        </w:rPr>
      </w:pPr>
      <w:r w:rsidRPr="00D44D17">
        <w:rPr>
          <w:rFonts w:ascii="Arial" w:hAnsi="Arial" w:cs="Arial"/>
          <w:sz w:val="24"/>
          <w:szCs w:val="24"/>
        </w:rPr>
        <w:t>[22]</w:t>
      </w:r>
      <w:r w:rsidRPr="00D44D17">
        <w:rPr>
          <w:rFonts w:ascii="Arial" w:hAnsi="Arial" w:cs="Arial"/>
          <w:sz w:val="24"/>
          <w:szCs w:val="24"/>
        </w:rPr>
        <w:tab/>
      </w:r>
      <w:r w:rsidR="00BF23E2" w:rsidRPr="00743CB1">
        <w:rPr>
          <w:rFonts w:ascii="Arial" w:hAnsi="Arial" w:cs="Arial"/>
          <w:sz w:val="24"/>
          <w:szCs w:val="24"/>
        </w:rPr>
        <w:t xml:space="preserve">In </w:t>
      </w:r>
      <w:r w:rsidR="00BF23E2" w:rsidRPr="00743CB1">
        <w:rPr>
          <w:rFonts w:ascii="Arial" w:hAnsi="Arial" w:cs="Arial"/>
          <w:i/>
          <w:iCs/>
          <w:sz w:val="24"/>
          <w:szCs w:val="24"/>
        </w:rPr>
        <w:t>Matshego v Minister of Police</w:t>
      </w:r>
      <w:r w:rsidR="00F73828" w:rsidRPr="00743CB1">
        <w:rPr>
          <w:rFonts w:ascii="Arial" w:hAnsi="Arial" w:cs="Arial"/>
          <w:sz w:val="24"/>
          <w:szCs w:val="24"/>
        </w:rPr>
        <w:t>,</w:t>
      </w:r>
      <w:r w:rsidR="00F73828">
        <w:rPr>
          <w:rStyle w:val="FootnoteReference"/>
          <w:rFonts w:ascii="Arial" w:hAnsi="Arial" w:cs="Arial"/>
          <w:sz w:val="24"/>
          <w:szCs w:val="24"/>
        </w:rPr>
        <w:footnoteReference w:id="11"/>
      </w:r>
      <w:r w:rsidR="00F73828" w:rsidRPr="00743CB1">
        <w:rPr>
          <w:rFonts w:ascii="Arial" w:hAnsi="Arial" w:cs="Arial"/>
          <w:sz w:val="24"/>
          <w:szCs w:val="24"/>
        </w:rPr>
        <w:t xml:space="preserve"> the court considered a claim arising from the plaintiff’s arrest and prosecution on a charge of rape.</w:t>
      </w:r>
      <w:r w:rsidR="00240EB7" w:rsidRPr="00743CB1">
        <w:rPr>
          <w:rFonts w:ascii="Arial" w:hAnsi="Arial" w:cs="Arial"/>
          <w:sz w:val="24"/>
          <w:szCs w:val="24"/>
        </w:rPr>
        <w:t xml:space="preserve"> </w:t>
      </w:r>
      <w:r w:rsidR="0056164F" w:rsidRPr="00743CB1">
        <w:rPr>
          <w:rFonts w:ascii="Arial" w:hAnsi="Arial" w:cs="Arial"/>
          <w:sz w:val="24"/>
          <w:szCs w:val="24"/>
        </w:rPr>
        <w:t xml:space="preserve">In his amended particulars, the plaintiff alleged </w:t>
      </w:r>
      <w:r w:rsidR="00434FE7" w:rsidRPr="00743CB1">
        <w:rPr>
          <w:rFonts w:ascii="Arial" w:hAnsi="Arial" w:cs="Arial"/>
          <w:sz w:val="24"/>
          <w:szCs w:val="24"/>
        </w:rPr>
        <w:t>that</w:t>
      </w:r>
      <w:r w:rsidR="0056164F" w:rsidRPr="00743CB1">
        <w:rPr>
          <w:rFonts w:ascii="Arial" w:hAnsi="Arial" w:cs="Arial"/>
          <w:sz w:val="24"/>
          <w:szCs w:val="24"/>
        </w:rPr>
        <w:t>:</w:t>
      </w:r>
    </w:p>
    <w:p w14:paraId="5B76EB10" w14:textId="6134339C" w:rsidR="00E8676D" w:rsidRPr="0038700D" w:rsidRDefault="00E8676D" w:rsidP="00D44D17">
      <w:pPr>
        <w:spacing w:line="360" w:lineRule="auto"/>
        <w:ind w:left="720"/>
        <w:jc w:val="both"/>
        <w:rPr>
          <w:rFonts w:ascii="Arial" w:hAnsi="Arial" w:cs="Arial"/>
          <w:sz w:val="20"/>
          <w:szCs w:val="20"/>
        </w:rPr>
      </w:pPr>
      <w:r w:rsidRPr="0038700D">
        <w:rPr>
          <w:rFonts w:ascii="Arial" w:hAnsi="Arial" w:cs="Arial"/>
          <w:sz w:val="20"/>
          <w:szCs w:val="20"/>
        </w:rPr>
        <w:lastRenderedPageBreak/>
        <w:t>‘The defendant alternatively the prosecutor</w:t>
      </w:r>
      <w:r w:rsidR="00816B63" w:rsidRPr="0038700D">
        <w:rPr>
          <w:rFonts w:ascii="Arial" w:hAnsi="Arial" w:cs="Arial"/>
          <w:sz w:val="20"/>
          <w:szCs w:val="20"/>
        </w:rPr>
        <w:t xml:space="preserve"> in charge of alternatively handling the prosecution of the plaintiff</w:t>
      </w:r>
      <w:r w:rsidR="008E2C29" w:rsidRPr="0038700D">
        <w:rPr>
          <w:rFonts w:ascii="Arial" w:hAnsi="Arial" w:cs="Arial"/>
          <w:sz w:val="20"/>
          <w:szCs w:val="20"/>
        </w:rPr>
        <w:t xml:space="preserve"> failed to properly consider the complaint of the rape complainant</w:t>
      </w:r>
      <w:r w:rsidR="00674B16" w:rsidRPr="0038700D">
        <w:rPr>
          <w:rFonts w:ascii="Arial" w:hAnsi="Arial" w:cs="Arial"/>
          <w:sz w:val="20"/>
          <w:szCs w:val="20"/>
        </w:rPr>
        <w:t xml:space="preserve"> and the available evidence when he decided to proceed with the prosecution of the plaintiff</w:t>
      </w:r>
      <w:r w:rsidR="00BD6F73" w:rsidRPr="0038700D">
        <w:rPr>
          <w:rFonts w:ascii="Arial" w:hAnsi="Arial" w:cs="Arial"/>
          <w:sz w:val="20"/>
          <w:szCs w:val="20"/>
        </w:rPr>
        <w:t xml:space="preserve"> alternatively to oppose the plaintiff’s application for bail.’</w:t>
      </w:r>
      <w:r w:rsidR="000A1BA6">
        <w:rPr>
          <w:rStyle w:val="FootnoteReference"/>
          <w:rFonts w:ascii="Arial" w:hAnsi="Arial" w:cs="Arial"/>
          <w:sz w:val="20"/>
          <w:szCs w:val="20"/>
        </w:rPr>
        <w:footnoteReference w:id="12"/>
      </w:r>
    </w:p>
    <w:p w14:paraId="604F7E60" w14:textId="71589083" w:rsidR="00BD6F73" w:rsidRDefault="00BD6F73" w:rsidP="00466616">
      <w:pPr>
        <w:spacing w:line="360" w:lineRule="auto"/>
        <w:rPr>
          <w:rFonts w:ascii="Arial" w:hAnsi="Arial" w:cs="Arial"/>
          <w:sz w:val="24"/>
          <w:szCs w:val="24"/>
        </w:rPr>
      </w:pPr>
    </w:p>
    <w:p w14:paraId="25843249" w14:textId="452F10C3" w:rsidR="009501B7" w:rsidRPr="00743CB1" w:rsidRDefault="00743CB1" w:rsidP="00743CB1">
      <w:pPr>
        <w:spacing w:line="360" w:lineRule="auto"/>
        <w:jc w:val="both"/>
        <w:rPr>
          <w:rFonts w:ascii="Arial" w:hAnsi="Arial" w:cs="Arial"/>
          <w:sz w:val="24"/>
          <w:szCs w:val="24"/>
        </w:rPr>
      </w:pPr>
      <w:r w:rsidRPr="00D44D17">
        <w:rPr>
          <w:rFonts w:ascii="Arial" w:hAnsi="Arial" w:cs="Arial"/>
          <w:sz w:val="24"/>
          <w:szCs w:val="24"/>
        </w:rPr>
        <w:t>[23]</w:t>
      </w:r>
      <w:r w:rsidRPr="00D44D17">
        <w:rPr>
          <w:rFonts w:ascii="Arial" w:hAnsi="Arial" w:cs="Arial"/>
          <w:sz w:val="24"/>
          <w:szCs w:val="24"/>
        </w:rPr>
        <w:tab/>
      </w:r>
      <w:r w:rsidR="0038700D" w:rsidRPr="00743CB1">
        <w:rPr>
          <w:rFonts w:ascii="Arial" w:hAnsi="Arial" w:cs="Arial"/>
          <w:sz w:val="24"/>
          <w:szCs w:val="24"/>
        </w:rPr>
        <w:t>The court</w:t>
      </w:r>
      <w:r w:rsidR="00240EB7" w:rsidRPr="00743CB1">
        <w:rPr>
          <w:rFonts w:ascii="Arial" w:hAnsi="Arial" w:cs="Arial"/>
          <w:sz w:val="24"/>
          <w:szCs w:val="24"/>
        </w:rPr>
        <w:t xml:space="preserve"> </w:t>
      </w:r>
      <w:r w:rsidR="004F459C" w:rsidRPr="00743CB1">
        <w:rPr>
          <w:rFonts w:ascii="Arial" w:hAnsi="Arial" w:cs="Arial"/>
          <w:sz w:val="24"/>
          <w:szCs w:val="24"/>
        </w:rPr>
        <w:t xml:space="preserve">interpreted the </w:t>
      </w:r>
      <w:r w:rsidR="00911008" w:rsidRPr="00743CB1">
        <w:rPr>
          <w:rFonts w:ascii="Arial" w:hAnsi="Arial" w:cs="Arial"/>
          <w:sz w:val="24"/>
          <w:szCs w:val="24"/>
        </w:rPr>
        <w:t xml:space="preserve">claim to be that the Director of Public Prosecutions </w:t>
      </w:r>
      <w:r w:rsidR="005C61C7" w:rsidRPr="00743CB1">
        <w:rPr>
          <w:rFonts w:ascii="Arial" w:hAnsi="Arial" w:cs="Arial"/>
          <w:sz w:val="24"/>
          <w:szCs w:val="24"/>
        </w:rPr>
        <w:t xml:space="preserve">had negligently failed to appreciate that </w:t>
      </w:r>
      <w:r w:rsidR="00FD7E42" w:rsidRPr="00743CB1">
        <w:rPr>
          <w:rFonts w:ascii="Arial" w:hAnsi="Arial" w:cs="Arial"/>
          <w:sz w:val="24"/>
          <w:szCs w:val="24"/>
        </w:rPr>
        <w:t xml:space="preserve">the state’s case had such slender prospects of success </w:t>
      </w:r>
      <w:r w:rsidR="00DF341F" w:rsidRPr="00743CB1">
        <w:rPr>
          <w:rFonts w:ascii="Arial" w:hAnsi="Arial" w:cs="Arial"/>
          <w:sz w:val="24"/>
          <w:szCs w:val="24"/>
        </w:rPr>
        <w:t>that it ought not to have been allowed to proceed</w:t>
      </w:r>
      <w:r w:rsidR="00610A62" w:rsidRPr="00743CB1">
        <w:rPr>
          <w:rFonts w:ascii="Arial" w:hAnsi="Arial" w:cs="Arial"/>
          <w:sz w:val="24"/>
          <w:szCs w:val="24"/>
        </w:rPr>
        <w:t xml:space="preserve"> or that it would have been inimical to the interests of justice </w:t>
      </w:r>
      <w:r w:rsidR="00734719" w:rsidRPr="00743CB1">
        <w:rPr>
          <w:rFonts w:ascii="Arial" w:hAnsi="Arial" w:cs="Arial"/>
          <w:sz w:val="24"/>
          <w:szCs w:val="24"/>
        </w:rPr>
        <w:t>for the state to have opposed the granting of bai</w:t>
      </w:r>
      <w:r w:rsidR="00E825BB" w:rsidRPr="00743CB1">
        <w:rPr>
          <w:rFonts w:ascii="Arial" w:hAnsi="Arial" w:cs="Arial"/>
          <w:sz w:val="24"/>
          <w:szCs w:val="24"/>
        </w:rPr>
        <w:t>l. T</w:t>
      </w:r>
      <w:r w:rsidR="00240EB7" w:rsidRPr="00743CB1">
        <w:rPr>
          <w:rFonts w:ascii="Arial" w:hAnsi="Arial" w:cs="Arial"/>
          <w:sz w:val="24"/>
          <w:szCs w:val="24"/>
        </w:rPr>
        <w:t>he</w:t>
      </w:r>
      <w:r w:rsidR="00E321A0" w:rsidRPr="00743CB1">
        <w:rPr>
          <w:rFonts w:ascii="Arial" w:hAnsi="Arial" w:cs="Arial"/>
          <w:sz w:val="24"/>
          <w:szCs w:val="24"/>
        </w:rPr>
        <w:t xml:space="preserve">re were two </w:t>
      </w:r>
      <w:r w:rsidR="00B403A9" w:rsidRPr="00743CB1">
        <w:rPr>
          <w:rFonts w:ascii="Arial" w:hAnsi="Arial" w:cs="Arial"/>
          <w:sz w:val="24"/>
          <w:szCs w:val="24"/>
        </w:rPr>
        <w:t>component</w:t>
      </w:r>
      <w:r w:rsidR="00E321A0" w:rsidRPr="00743CB1">
        <w:rPr>
          <w:rFonts w:ascii="Arial" w:hAnsi="Arial" w:cs="Arial"/>
          <w:sz w:val="24"/>
          <w:szCs w:val="24"/>
        </w:rPr>
        <w:t>s to</w:t>
      </w:r>
      <w:r w:rsidR="00B403A9" w:rsidRPr="00743CB1">
        <w:rPr>
          <w:rFonts w:ascii="Arial" w:hAnsi="Arial" w:cs="Arial"/>
          <w:sz w:val="24"/>
          <w:szCs w:val="24"/>
        </w:rPr>
        <w:t xml:space="preserve"> the </w:t>
      </w:r>
      <w:r w:rsidR="00240EB7" w:rsidRPr="00743CB1">
        <w:rPr>
          <w:rFonts w:ascii="Arial" w:hAnsi="Arial" w:cs="Arial"/>
          <w:sz w:val="24"/>
          <w:szCs w:val="24"/>
        </w:rPr>
        <w:t>plaintiff’s case</w:t>
      </w:r>
      <w:r w:rsidR="00E321A0" w:rsidRPr="00743CB1">
        <w:rPr>
          <w:rFonts w:ascii="Arial" w:hAnsi="Arial" w:cs="Arial"/>
          <w:sz w:val="24"/>
          <w:szCs w:val="24"/>
        </w:rPr>
        <w:t>:</w:t>
      </w:r>
      <w:r w:rsidR="00B403A9" w:rsidRPr="00743CB1">
        <w:rPr>
          <w:rFonts w:ascii="Arial" w:hAnsi="Arial" w:cs="Arial"/>
          <w:sz w:val="24"/>
          <w:szCs w:val="24"/>
        </w:rPr>
        <w:t xml:space="preserve"> wrongful arrest</w:t>
      </w:r>
      <w:r w:rsidR="00E321A0" w:rsidRPr="00743CB1">
        <w:rPr>
          <w:rFonts w:ascii="Arial" w:hAnsi="Arial" w:cs="Arial"/>
          <w:sz w:val="24"/>
          <w:szCs w:val="24"/>
        </w:rPr>
        <w:t xml:space="preserve"> and </w:t>
      </w:r>
      <w:r w:rsidR="003D0F33" w:rsidRPr="00743CB1">
        <w:rPr>
          <w:rFonts w:ascii="Arial" w:hAnsi="Arial" w:cs="Arial"/>
          <w:sz w:val="24"/>
          <w:szCs w:val="24"/>
        </w:rPr>
        <w:t xml:space="preserve">negligent prosecution. In relation to the latter, </w:t>
      </w:r>
      <w:r w:rsidR="000A1BA6" w:rsidRPr="00743CB1">
        <w:rPr>
          <w:rFonts w:ascii="Arial" w:hAnsi="Arial" w:cs="Arial"/>
          <w:sz w:val="24"/>
          <w:szCs w:val="24"/>
        </w:rPr>
        <w:t xml:space="preserve">Tuchten J went on to </w:t>
      </w:r>
      <w:r w:rsidR="00E825BB" w:rsidRPr="00743CB1">
        <w:rPr>
          <w:rFonts w:ascii="Arial" w:hAnsi="Arial" w:cs="Arial"/>
          <w:sz w:val="24"/>
          <w:szCs w:val="24"/>
        </w:rPr>
        <w:t>hold as follows</w:t>
      </w:r>
      <w:r w:rsidR="006F5CBB" w:rsidRPr="00743CB1">
        <w:rPr>
          <w:rFonts w:ascii="Arial" w:hAnsi="Arial" w:cs="Arial"/>
          <w:sz w:val="24"/>
          <w:szCs w:val="24"/>
        </w:rPr>
        <w:t>:</w:t>
      </w:r>
    </w:p>
    <w:p w14:paraId="463D939C" w14:textId="3C470666" w:rsidR="003C6426" w:rsidRPr="00655700" w:rsidRDefault="003C6426" w:rsidP="00D44D17">
      <w:pPr>
        <w:spacing w:line="360" w:lineRule="auto"/>
        <w:ind w:left="720"/>
        <w:jc w:val="both"/>
        <w:rPr>
          <w:rFonts w:ascii="Arial" w:hAnsi="Arial" w:cs="Arial"/>
          <w:sz w:val="20"/>
          <w:szCs w:val="20"/>
        </w:rPr>
      </w:pPr>
      <w:r w:rsidRPr="00655700">
        <w:rPr>
          <w:rFonts w:ascii="Arial" w:hAnsi="Arial" w:cs="Arial"/>
          <w:sz w:val="20"/>
          <w:szCs w:val="20"/>
        </w:rPr>
        <w:t>‘This cause of action was not known to our common law</w:t>
      </w:r>
      <w:r w:rsidR="00616E12" w:rsidRPr="00655700">
        <w:rPr>
          <w:rFonts w:ascii="Arial" w:hAnsi="Arial" w:cs="Arial"/>
          <w:sz w:val="20"/>
          <w:szCs w:val="20"/>
        </w:rPr>
        <w:t>, which recognised in this field only the delict of malicious prosecution</w:t>
      </w:r>
      <w:r w:rsidR="000C6D59" w:rsidRPr="00655700">
        <w:rPr>
          <w:rFonts w:ascii="Arial" w:hAnsi="Arial" w:cs="Arial"/>
          <w:sz w:val="20"/>
          <w:szCs w:val="20"/>
        </w:rPr>
        <w:t>, a claim which arises, all other things being equal,</w:t>
      </w:r>
      <w:r w:rsidR="00395818" w:rsidRPr="00655700">
        <w:rPr>
          <w:rFonts w:ascii="Arial" w:hAnsi="Arial" w:cs="Arial"/>
          <w:sz w:val="20"/>
          <w:szCs w:val="20"/>
        </w:rPr>
        <w:t xml:space="preserve"> when the defendant sets the criminal law in motion against a plaintiff</w:t>
      </w:r>
      <w:r w:rsidR="00CC2B8B" w:rsidRPr="00655700">
        <w:rPr>
          <w:rFonts w:ascii="Arial" w:hAnsi="Arial" w:cs="Arial"/>
          <w:sz w:val="20"/>
          <w:szCs w:val="20"/>
        </w:rPr>
        <w:t xml:space="preserve"> while knowing full well that the prosecution cannot succeed</w:t>
      </w:r>
      <w:r w:rsidR="003332B3" w:rsidRPr="00655700">
        <w:rPr>
          <w:rFonts w:ascii="Arial" w:hAnsi="Arial" w:cs="Arial"/>
          <w:sz w:val="20"/>
          <w:szCs w:val="20"/>
        </w:rPr>
        <w:t xml:space="preserve">… Counsel </w:t>
      </w:r>
      <w:r w:rsidR="00C90879" w:rsidRPr="00655700">
        <w:rPr>
          <w:rFonts w:ascii="Arial" w:hAnsi="Arial" w:cs="Arial"/>
          <w:sz w:val="20"/>
          <w:szCs w:val="20"/>
        </w:rPr>
        <w:t>submitted… that our law had recognised</w:t>
      </w:r>
      <w:r w:rsidR="00015B9A" w:rsidRPr="00655700">
        <w:rPr>
          <w:rFonts w:ascii="Arial" w:hAnsi="Arial" w:cs="Arial"/>
          <w:sz w:val="20"/>
          <w:szCs w:val="20"/>
        </w:rPr>
        <w:t xml:space="preserve"> the delict of negligent prosecution… I do not read any of these cases</w:t>
      </w:r>
      <w:r w:rsidR="00FC702A" w:rsidRPr="00655700">
        <w:rPr>
          <w:rFonts w:ascii="Arial" w:hAnsi="Arial" w:cs="Arial"/>
          <w:sz w:val="20"/>
          <w:szCs w:val="20"/>
        </w:rPr>
        <w:t xml:space="preserve"> as developing the common law so as to create the delict of negligent prosecution.</w:t>
      </w:r>
      <w:r w:rsidR="007B286B" w:rsidRPr="00655700">
        <w:rPr>
          <w:rFonts w:ascii="Arial" w:hAnsi="Arial" w:cs="Arial"/>
          <w:sz w:val="20"/>
          <w:szCs w:val="20"/>
        </w:rPr>
        <w:t xml:space="preserve"> In the absence of authority binding on me, I view such a development of the common law</w:t>
      </w:r>
      <w:r w:rsidR="00822140" w:rsidRPr="00655700">
        <w:rPr>
          <w:rFonts w:ascii="Arial" w:hAnsi="Arial" w:cs="Arial"/>
          <w:sz w:val="20"/>
          <w:szCs w:val="20"/>
        </w:rPr>
        <w:t xml:space="preserve"> as undesirable. It would have a harmful effect on the administration of the criminal law</w:t>
      </w:r>
      <w:r w:rsidR="003C2798" w:rsidRPr="00655700">
        <w:rPr>
          <w:rFonts w:ascii="Arial" w:hAnsi="Arial" w:cs="Arial"/>
          <w:sz w:val="20"/>
          <w:szCs w:val="20"/>
        </w:rPr>
        <w:t xml:space="preserve"> if prosecutors ran the risk of being held liable in damages</w:t>
      </w:r>
      <w:r w:rsidR="00C4071C" w:rsidRPr="00655700">
        <w:rPr>
          <w:rFonts w:ascii="Arial" w:hAnsi="Arial" w:cs="Arial"/>
          <w:sz w:val="20"/>
          <w:szCs w:val="20"/>
        </w:rPr>
        <w:t xml:space="preserve"> if they honestly applied their minds to the</w:t>
      </w:r>
      <w:r w:rsidR="00D51443" w:rsidRPr="00655700">
        <w:rPr>
          <w:rFonts w:ascii="Arial" w:hAnsi="Arial" w:cs="Arial"/>
          <w:sz w:val="20"/>
          <w:szCs w:val="20"/>
        </w:rPr>
        <w:t xml:space="preserve"> question whether a case should be withdrawn at the first appearance</w:t>
      </w:r>
      <w:r w:rsidR="00236D7A" w:rsidRPr="00655700">
        <w:rPr>
          <w:rFonts w:ascii="Arial" w:hAnsi="Arial" w:cs="Arial"/>
          <w:sz w:val="20"/>
          <w:szCs w:val="20"/>
        </w:rPr>
        <w:t xml:space="preserve"> of the accused in court and negligently decided that the case</w:t>
      </w:r>
      <w:r w:rsidR="00B23853" w:rsidRPr="00655700">
        <w:rPr>
          <w:rFonts w:ascii="Arial" w:hAnsi="Arial" w:cs="Arial"/>
          <w:sz w:val="20"/>
          <w:szCs w:val="20"/>
        </w:rPr>
        <w:t xml:space="preserve"> should not be withdrawn. In the vast majority of cases</w:t>
      </w:r>
      <w:r w:rsidR="006A3CBD" w:rsidRPr="00655700">
        <w:rPr>
          <w:rFonts w:ascii="Arial" w:hAnsi="Arial" w:cs="Arial"/>
          <w:sz w:val="20"/>
          <w:szCs w:val="20"/>
        </w:rPr>
        <w:t xml:space="preserve"> and nearly all, if not all, serious cases</w:t>
      </w:r>
      <w:r w:rsidR="00FC55D5" w:rsidRPr="00655700">
        <w:rPr>
          <w:rFonts w:ascii="Arial" w:hAnsi="Arial" w:cs="Arial"/>
          <w:sz w:val="20"/>
          <w:szCs w:val="20"/>
        </w:rPr>
        <w:t>, further investigation is required after the first appearance of the accused</w:t>
      </w:r>
      <w:r w:rsidR="00AA39EA" w:rsidRPr="00655700">
        <w:rPr>
          <w:rFonts w:ascii="Arial" w:hAnsi="Arial" w:cs="Arial"/>
          <w:sz w:val="20"/>
          <w:szCs w:val="20"/>
        </w:rPr>
        <w:t xml:space="preserve"> in court before the case is ready for trial. Recognising the delict of negligent prosecution</w:t>
      </w:r>
      <w:r w:rsidR="0035233D" w:rsidRPr="00655700">
        <w:rPr>
          <w:rFonts w:ascii="Arial" w:hAnsi="Arial" w:cs="Arial"/>
          <w:sz w:val="20"/>
          <w:szCs w:val="20"/>
        </w:rPr>
        <w:t xml:space="preserve"> would require a prosecutor to anticipate the outcome of the investigation</w:t>
      </w:r>
      <w:r w:rsidR="00BC4FCE" w:rsidRPr="00655700">
        <w:rPr>
          <w:rFonts w:ascii="Arial" w:hAnsi="Arial" w:cs="Arial"/>
          <w:sz w:val="20"/>
          <w:szCs w:val="20"/>
        </w:rPr>
        <w:t>. It would also enable an accused person to place pressure on a prosecutor</w:t>
      </w:r>
      <w:r w:rsidR="00B0076F" w:rsidRPr="00655700">
        <w:rPr>
          <w:rFonts w:ascii="Arial" w:hAnsi="Arial" w:cs="Arial"/>
          <w:sz w:val="20"/>
          <w:szCs w:val="20"/>
        </w:rPr>
        <w:t xml:space="preserve"> by suggesting personal liability or damage to the prosecutor’s career prospects</w:t>
      </w:r>
      <w:r w:rsidR="00183617" w:rsidRPr="00655700">
        <w:rPr>
          <w:rFonts w:ascii="Arial" w:hAnsi="Arial" w:cs="Arial"/>
          <w:sz w:val="20"/>
          <w:szCs w:val="20"/>
        </w:rPr>
        <w:t xml:space="preserve"> if the case were allowed to continue past the first appearance in court</w:t>
      </w:r>
      <w:r w:rsidR="007D45D2" w:rsidRPr="00655700">
        <w:rPr>
          <w:rFonts w:ascii="Arial" w:hAnsi="Arial" w:cs="Arial"/>
          <w:sz w:val="20"/>
          <w:szCs w:val="20"/>
        </w:rPr>
        <w:t>. In short, a prosecutor who ran the risk of being held liable for negligent prosecution</w:t>
      </w:r>
      <w:r w:rsidR="00496690" w:rsidRPr="00655700">
        <w:rPr>
          <w:rFonts w:ascii="Arial" w:hAnsi="Arial" w:cs="Arial"/>
          <w:sz w:val="20"/>
          <w:szCs w:val="20"/>
        </w:rPr>
        <w:t xml:space="preserve"> would find it difficult to carry out his duties</w:t>
      </w:r>
      <w:r w:rsidR="000D0A23" w:rsidRPr="00655700">
        <w:rPr>
          <w:rFonts w:ascii="Arial" w:hAnsi="Arial" w:cs="Arial"/>
          <w:sz w:val="20"/>
          <w:szCs w:val="20"/>
        </w:rPr>
        <w:t xml:space="preserve"> without fear as required under</w:t>
      </w:r>
      <w:r w:rsidR="00FB6983" w:rsidRPr="00655700">
        <w:rPr>
          <w:rFonts w:ascii="Arial" w:hAnsi="Arial" w:cs="Arial"/>
          <w:sz w:val="20"/>
          <w:szCs w:val="20"/>
        </w:rPr>
        <w:t xml:space="preserve"> section 176(4) of the Constitution.’</w:t>
      </w:r>
      <w:r w:rsidR="002D61EF" w:rsidRPr="00655700">
        <w:rPr>
          <w:rStyle w:val="FootnoteReference"/>
          <w:rFonts w:ascii="Arial" w:hAnsi="Arial" w:cs="Arial"/>
          <w:sz w:val="20"/>
          <w:szCs w:val="20"/>
        </w:rPr>
        <w:footnoteReference w:id="13"/>
      </w:r>
    </w:p>
    <w:p w14:paraId="0BCD517F" w14:textId="5EBC31D4" w:rsidR="00BD7AD3" w:rsidRDefault="00BD7AD3" w:rsidP="00BD7AD3">
      <w:pPr>
        <w:spacing w:line="360" w:lineRule="auto"/>
        <w:rPr>
          <w:rFonts w:ascii="Arial" w:hAnsi="Arial" w:cs="Arial"/>
          <w:sz w:val="24"/>
          <w:szCs w:val="24"/>
        </w:rPr>
      </w:pPr>
    </w:p>
    <w:p w14:paraId="7DABED08" w14:textId="5B183870" w:rsidR="00D44D17" w:rsidRPr="00743CB1" w:rsidRDefault="00743CB1" w:rsidP="00743CB1">
      <w:pPr>
        <w:spacing w:line="360" w:lineRule="auto"/>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r>
      <w:r w:rsidR="00A62E6C" w:rsidRPr="00743CB1">
        <w:rPr>
          <w:rFonts w:ascii="Arial" w:hAnsi="Arial" w:cs="Arial"/>
          <w:sz w:val="24"/>
          <w:szCs w:val="24"/>
        </w:rPr>
        <w:t>T</w:t>
      </w:r>
      <w:r w:rsidR="00AE5BBC" w:rsidRPr="00743CB1">
        <w:rPr>
          <w:rFonts w:ascii="Arial" w:hAnsi="Arial" w:cs="Arial"/>
          <w:sz w:val="24"/>
          <w:szCs w:val="24"/>
        </w:rPr>
        <w:t xml:space="preserve">he same principles </w:t>
      </w:r>
      <w:r w:rsidR="00A62E6C" w:rsidRPr="00743CB1">
        <w:rPr>
          <w:rFonts w:ascii="Arial" w:hAnsi="Arial" w:cs="Arial"/>
          <w:sz w:val="24"/>
          <w:szCs w:val="24"/>
        </w:rPr>
        <w:t xml:space="preserve">can be said to </w:t>
      </w:r>
      <w:r w:rsidR="00AE5BBC" w:rsidRPr="00743CB1">
        <w:rPr>
          <w:rFonts w:ascii="Arial" w:hAnsi="Arial" w:cs="Arial"/>
          <w:sz w:val="24"/>
          <w:szCs w:val="24"/>
        </w:rPr>
        <w:t xml:space="preserve">apply when, as in the present matter, the </w:t>
      </w:r>
      <w:r w:rsidR="00A62E6C" w:rsidRPr="00743CB1">
        <w:rPr>
          <w:rFonts w:ascii="Arial" w:hAnsi="Arial" w:cs="Arial"/>
          <w:sz w:val="24"/>
          <w:szCs w:val="24"/>
        </w:rPr>
        <w:t xml:space="preserve">case has reached trial stage. </w:t>
      </w:r>
      <w:r w:rsidR="00E25B9B" w:rsidRPr="00743CB1">
        <w:rPr>
          <w:rFonts w:ascii="Arial" w:hAnsi="Arial" w:cs="Arial"/>
          <w:sz w:val="24"/>
          <w:szCs w:val="24"/>
        </w:rPr>
        <w:t>Recognis</w:t>
      </w:r>
      <w:r w:rsidR="0067098B" w:rsidRPr="00743CB1">
        <w:rPr>
          <w:rFonts w:ascii="Arial" w:hAnsi="Arial" w:cs="Arial"/>
          <w:sz w:val="24"/>
          <w:szCs w:val="24"/>
        </w:rPr>
        <w:t xml:space="preserve">ing </w:t>
      </w:r>
      <w:r w:rsidR="00DC5B74" w:rsidRPr="00743CB1">
        <w:rPr>
          <w:rFonts w:ascii="Arial" w:hAnsi="Arial" w:cs="Arial"/>
          <w:sz w:val="24"/>
          <w:szCs w:val="24"/>
        </w:rPr>
        <w:t xml:space="preserve">a claim for damages because of the </w:t>
      </w:r>
      <w:r w:rsidR="001E5438" w:rsidRPr="00743CB1">
        <w:rPr>
          <w:rFonts w:ascii="Arial" w:hAnsi="Arial" w:cs="Arial"/>
          <w:sz w:val="24"/>
          <w:szCs w:val="24"/>
        </w:rPr>
        <w:t xml:space="preserve">negligent prosecution </w:t>
      </w:r>
      <w:r w:rsidR="00DC5B74" w:rsidRPr="00743CB1">
        <w:rPr>
          <w:rFonts w:ascii="Arial" w:hAnsi="Arial" w:cs="Arial"/>
          <w:sz w:val="24"/>
          <w:szCs w:val="24"/>
        </w:rPr>
        <w:t xml:space="preserve">of an accused person </w:t>
      </w:r>
      <w:r w:rsidR="001E5438" w:rsidRPr="00743CB1">
        <w:rPr>
          <w:rFonts w:ascii="Arial" w:hAnsi="Arial" w:cs="Arial"/>
          <w:sz w:val="24"/>
          <w:szCs w:val="24"/>
        </w:rPr>
        <w:t>would require the</w:t>
      </w:r>
      <w:r w:rsidR="00E25B9B" w:rsidRPr="00743CB1">
        <w:rPr>
          <w:rFonts w:ascii="Arial" w:hAnsi="Arial" w:cs="Arial"/>
          <w:sz w:val="24"/>
          <w:szCs w:val="24"/>
        </w:rPr>
        <w:t xml:space="preserve"> prosecutor to anticipate the outcome of the trial itself</w:t>
      </w:r>
      <w:r w:rsidR="00E34643" w:rsidRPr="00743CB1">
        <w:rPr>
          <w:rFonts w:ascii="Arial" w:hAnsi="Arial" w:cs="Arial"/>
          <w:sz w:val="24"/>
          <w:szCs w:val="24"/>
        </w:rPr>
        <w:t>.</w:t>
      </w:r>
    </w:p>
    <w:p w14:paraId="4A60D83D" w14:textId="77777777" w:rsidR="00D44D17" w:rsidRDefault="00D44D17" w:rsidP="00D44D17">
      <w:pPr>
        <w:pStyle w:val="ListParagraph"/>
        <w:spacing w:line="360" w:lineRule="auto"/>
        <w:ind w:left="0"/>
        <w:jc w:val="both"/>
        <w:rPr>
          <w:rFonts w:ascii="Arial" w:hAnsi="Arial" w:cs="Arial"/>
          <w:sz w:val="24"/>
          <w:szCs w:val="24"/>
        </w:rPr>
      </w:pPr>
    </w:p>
    <w:p w14:paraId="144AD400" w14:textId="78F20BBC" w:rsidR="006D260F" w:rsidRPr="00743CB1" w:rsidRDefault="00743CB1" w:rsidP="00743CB1">
      <w:pPr>
        <w:spacing w:line="360" w:lineRule="auto"/>
        <w:jc w:val="both"/>
        <w:rPr>
          <w:rFonts w:ascii="Arial" w:hAnsi="Arial" w:cs="Arial"/>
          <w:sz w:val="24"/>
          <w:szCs w:val="24"/>
        </w:rPr>
      </w:pPr>
      <w:r w:rsidRPr="00D44D17">
        <w:rPr>
          <w:rFonts w:ascii="Arial" w:hAnsi="Arial" w:cs="Arial"/>
          <w:sz w:val="24"/>
          <w:szCs w:val="24"/>
        </w:rPr>
        <w:t>[25]</w:t>
      </w:r>
      <w:r w:rsidRPr="00D44D17">
        <w:rPr>
          <w:rFonts w:ascii="Arial" w:hAnsi="Arial" w:cs="Arial"/>
          <w:sz w:val="24"/>
          <w:szCs w:val="24"/>
        </w:rPr>
        <w:tab/>
      </w:r>
      <w:r w:rsidR="006D260F" w:rsidRPr="00743CB1">
        <w:rPr>
          <w:rFonts w:ascii="Arial" w:hAnsi="Arial" w:cs="Arial"/>
          <w:sz w:val="24"/>
          <w:szCs w:val="24"/>
        </w:rPr>
        <w:t xml:space="preserve">Similarly, in </w:t>
      </w:r>
      <w:r w:rsidR="006D260F" w:rsidRPr="00743CB1">
        <w:rPr>
          <w:rFonts w:ascii="Arial" w:hAnsi="Arial" w:cs="Arial"/>
          <w:i/>
          <w:iCs/>
          <w:sz w:val="24"/>
          <w:szCs w:val="24"/>
        </w:rPr>
        <w:t>Minister of Police v Gombakomba</w:t>
      </w:r>
      <w:r w:rsidR="006D260F" w:rsidRPr="00743CB1">
        <w:rPr>
          <w:rFonts w:ascii="Arial" w:hAnsi="Arial" w:cs="Arial"/>
          <w:sz w:val="24"/>
          <w:szCs w:val="24"/>
        </w:rPr>
        <w:t>,</w:t>
      </w:r>
      <w:r w:rsidR="00C35918">
        <w:rPr>
          <w:rStyle w:val="FootnoteReference"/>
          <w:rFonts w:ascii="Arial" w:hAnsi="Arial" w:cs="Arial"/>
          <w:sz w:val="24"/>
          <w:szCs w:val="24"/>
        </w:rPr>
        <w:footnoteReference w:id="14"/>
      </w:r>
      <w:r w:rsidR="00C35918" w:rsidRPr="00743CB1">
        <w:rPr>
          <w:rFonts w:ascii="Arial" w:hAnsi="Arial" w:cs="Arial"/>
          <w:sz w:val="24"/>
          <w:szCs w:val="24"/>
        </w:rPr>
        <w:t xml:space="preserve"> </w:t>
      </w:r>
      <w:r w:rsidR="002865A9" w:rsidRPr="00743CB1">
        <w:rPr>
          <w:rFonts w:ascii="Arial" w:hAnsi="Arial" w:cs="Arial"/>
          <w:sz w:val="24"/>
          <w:szCs w:val="24"/>
        </w:rPr>
        <w:t>a full bench</w:t>
      </w:r>
      <w:r w:rsidR="008D1C02" w:rsidRPr="00743CB1">
        <w:rPr>
          <w:rFonts w:ascii="Arial" w:hAnsi="Arial" w:cs="Arial"/>
          <w:sz w:val="24"/>
          <w:szCs w:val="24"/>
        </w:rPr>
        <w:t xml:space="preserve"> considered the </w:t>
      </w:r>
      <w:r w:rsidR="00006495" w:rsidRPr="00743CB1">
        <w:rPr>
          <w:rFonts w:ascii="Arial" w:hAnsi="Arial" w:cs="Arial"/>
          <w:sz w:val="24"/>
          <w:szCs w:val="24"/>
        </w:rPr>
        <w:t xml:space="preserve">first </w:t>
      </w:r>
      <w:r w:rsidR="008D1C02" w:rsidRPr="00743CB1">
        <w:rPr>
          <w:rFonts w:ascii="Arial" w:hAnsi="Arial" w:cs="Arial"/>
          <w:sz w:val="24"/>
          <w:szCs w:val="24"/>
        </w:rPr>
        <w:t>respondent</w:t>
      </w:r>
      <w:r w:rsidR="00006495" w:rsidRPr="00743CB1">
        <w:rPr>
          <w:rFonts w:ascii="Arial" w:hAnsi="Arial" w:cs="Arial"/>
          <w:sz w:val="24"/>
          <w:szCs w:val="24"/>
        </w:rPr>
        <w:t>’s</w:t>
      </w:r>
      <w:r w:rsidR="008D1C02" w:rsidRPr="00743CB1">
        <w:rPr>
          <w:rFonts w:ascii="Arial" w:hAnsi="Arial" w:cs="Arial"/>
          <w:sz w:val="24"/>
          <w:szCs w:val="24"/>
        </w:rPr>
        <w:t xml:space="preserve"> claim for damages arising from his arrest and prosecution </w:t>
      </w:r>
      <w:r w:rsidR="008C2FA4" w:rsidRPr="00743CB1">
        <w:rPr>
          <w:rFonts w:ascii="Arial" w:hAnsi="Arial" w:cs="Arial"/>
          <w:sz w:val="24"/>
          <w:szCs w:val="24"/>
        </w:rPr>
        <w:t xml:space="preserve">for </w:t>
      </w:r>
      <w:r w:rsidR="00A879C2" w:rsidRPr="00743CB1">
        <w:rPr>
          <w:rFonts w:ascii="Arial" w:hAnsi="Arial" w:cs="Arial"/>
          <w:sz w:val="24"/>
          <w:szCs w:val="24"/>
        </w:rPr>
        <w:t>the transportation of contraband cigarettes.</w:t>
      </w:r>
      <w:r w:rsidR="00A231D5" w:rsidRPr="00743CB1">
        <w:rPr>
          <w:rFonts w:ascii="Arial" w:hAnsi="Arial" w:cs="Arial"/>
          <w:sz w:val="24"/>
          <w:szCs w:val="24"/>
        </w:rPr>
        <w:t xml:space="preserve"> </w:t>
      </w:r>
      <w:r w:rsidR="00C802E7" w:rsidRPr="00743CB1">
        <w:rPr>
          <w:rFonts w:ascii="Arial" w:hAnsi="Arial" w:cs="Arial"/>
          <w:sz w:val="24"/>
          <w:szCs w:val="24"/>
        </w:rPr>
        <w:t xml:space="preserve">The </w:t>
      </w:r>
      <w:r w:rsidR="00B06AEE" w:rsidRPr="00743CB1">
        <w:rPr>
          <w:rFonts w:ascii="Arial" w:hAnsi="Arial" w:cs="Arial"/>
          <w:sz w:val="24"/>
          <w:szCs w:val="24"/>
        </w:rPr>
        <w:t xml:space="preserve">first </w:t>
      </w:r>
      <w:r w:rsidR="00C802E7" w:rsidRPr="00743CB1">
        <w:rPr>
          <w:rFonts w:ascii="Arial" w:hAnsi="Arial" w:cs="Arial"/>
          <w:sz w:val="24"/>
          <w:szCs w:val="24"/>
        </w:rPr>
        <w:t>respondent</w:t>
      </w:r>
      <w:r w:rsidR="00DF27F8" w:rsidRPr="00743CB1">
        <w:rPr>
          <w:rFonts w:ascii="Arial" w:hAnsi="Arial" w:cs="Arial"/>
          <w:sz w:val="24"/>
          <w:szCs w:val="24"/>
        </w:rPr>
        <w:t>, a Zimbabwean citizen,</w:t>
      </w:r>
      <w:r w:rsidR="00C802E7" w:rsidRPr="00743CB1">
        <w:rPr>
          <w:rFonts w:ascii="Arial" w:hAnsi="Arial" w:cs="Arial"/>
          <w:sz w:val="24"/>
          <w:szCs w:val="24"/>
        </w:rPr>
        <w:t xml:space="preserve"> claimed for loss of income </w:t>
      </w:r>
      <w:r w:rsidR="006A1097" w:rsidRPr="00743CB1">
        <w:rPr>
          <w:rFonts w:ascii="Arial" w:hAnsi="Arial" w:cs="Arial"/>
          <w:sz w:val="24"/>
          <w:szCs w:val="24"/>
        </w:rPr>
        <w:t xml:space="preserve">by reason of a bail condition that had </w:t>
      </w:r>
      <w:r w:rsidR="00313373" w:rsidRPr="00743CB1">
        <w:rPr>
          <w:rFonts w:ascii="Arial" w:hAnsi="Arial" w:cs="Arial"/>
          <w:sz w:val="24"/>
          <w:szCs w:val="24"/>
        </w:rPr>
        <w:t xml:space="preserve">required him </w:t>
      </w:r>
      <w:r w:rsidR="006A1097" w:rsidRPr="00743CB1">
        <w:rPr>
          <w:rFonts w:ascii="Arial" w:hAnsi="Arial" w:cs="Arial"/>
          <w:sz w:val="24"/>
          <w:szCs w:val="24"/>
        </w:rPr>
        <w:t xml:space="preserve">to surrender his passport, pending the finalisation of </w:t>
      </w:r>
      <w:r w:rsidR="00C802E7" w:rsidRPr="00743CB1">
        <w:rPr>
          <w:rFonts w:ascii="Arial" w:hAnsi="Arial" w:cs="Arial"/>
          <w:sz w:val="24"/>
          <w:szCs w:val="24"/>
        </w:rPr>
        <w:t>criminal proceedings</w:t>
      </w:r>
      <w:r w:rsidR="00313373" w:rsidRPr="00743CB1">
        <w:rPr>
          <w:rFonts w:ascii="Arial" w:hAnsi="Arial" w:cs="Arial"/>
          <w:sz w:val="24"/>
          <w:szCs w:val="24"/>
        </w:rPr>
        <w:t>.</w:t>
      </w:r>
      <w:r w:rsidR="008E3C14" w:rsidRPr="00743CB1">
        <w:rPr>
          <w:rFonts w:ascii="Arial" w:hAnsi="Arial" w:cs="Arial"/>
          <w:sz w:val="24"/>
          <w:szCs w:val="24"/>
        </w:rPr>
        <w:t xml:space="preserve"> The court observed that:</w:t>
      </w:r>
    </w:p>
    <w:p w14:paraId="0EA4F913" w14:textId="7F08315A" w:rsidR="00B06AEE" w:rsidRPr="00B06AEE" w:rsidRDefault="008E3C14" w:rsidP="00B315F8">
      <w:pPr>
        <w:spacing w:line="360" w:lineRule="auto"/>
        <w:ind w:left="720"/>
        <w:jc w:val="both"/>
        <w:rPr>
          <w:rFonts w:ascii="Arial" w:hAnsi="Arial" w:cs="Arial"/>
          <w:sz w:val="20"/>
          <w:szCs w:val="20"/>
        </w:rPr>
      </w:pPr>
      <w:r w:rsidRPr="00B06AEE">
        <w:rPr>
          <w:rFonts w:ascii="Arial" w:hAnsi="Arial" w:cs="Arial"/>
          <w:sz w:val="20"/>
          <w:szCs w:val="20"/>
        </w:rPr>
        <w:t>‘</w:t>
      </w:r>
      <w:r w:rsidR="00901ADA" w:rsidRPr="00B06AEE">
        <w:rPr>
          <w:rFonts w:ascii="Arial" w:hAnsi="Arial" w:cs="Arial"/>
          <w:sz w:val="20"/>
          <w:szCs w:val="20"/>
        </w:rPr>
        <w:t xml:space="preserve">As to the second claim, it was conceded by counsel for the </w:t>
      </w:r>
      <w:r w:rsidR="0008571E" w:rsidRPr="00B06AEE">
        <w:rPr>
          <w:rFonts w:ascii="Arial" w:hAnsi="Arial" w:cs="Arial"/>
          <w:sz w:val="20"/>
          <w:szCs w:val="20"/>
        </w:rPr>
        <w:t>respondents in the hearing before us that the basis for the second claim was that the representative</w:t>
      </w:r>
      <w:r w:rsidR="00581656" w:rsidRPr="00B06AEE">
        <w:rPr>
          <w:rFonts w:ascii="Arial" w:hAnsi="Arial" w:cs="Arial"/>
          <w:sz w:val="20"/>
          <w:szCs w:val="20"/>
        </w:rPr>
        <w:t xml:space="preserve"> of the second appellant took too long to determine that the state could not succeed in the prosecution of the first respondent.</w:t>
      </w:r>
      <w:r w:rsidR="00FA2793" w:rsidRPr="00B06AEE">
        <w:rPr>
          <w:rFonts w:ascii="Arial" w:hAnsi="Arial" w:cs="Arial"/>
          <w:sz w:val="20"/>
          <w:szCs w:val="20"/>
        </w:rPr>
        <w:t xml:space="preserve"> This amounts to the contention that the second appellant, through his representative, </w:t>
      </w:r>
      <w:r w:rsidR="00B23D74" w:rsidRPr="00B06AEE">
        <w:rPr>
          <w:rFonts w:ascii="Arial" w:hAnsi="Arial" w:cs="Arial"/>
          <w:sz w:val="20"/>
          <w:szCs w:val="20"/>
        </w:rPr>
        <w:t>the local prosecutor, was negligent. As counsel readily conceded</w:t>
      </w:r>
      <w:r w:rsidR="00132590" w:rsidRPr="00B06AEE">
        <w:rPr>
          <w:rFonts w:ascii="Arial" w:hAnsi="Arial" w:cs="Arial"/>
          <w:sz w:val="20"/>
          <w:szCs w:val="20"/>
        </w:rPr>
        <w:t>, in our law negligent prosecution does not give rise to a delictual claim</w:t>
      </w:r>
      <w:r w:rsidR="009865F7" w:rsidRPr="00B06AEE">
        <w:rPr>
          <w:rFonts w:ascii="Arial" w:hAnsi="Arial" w:cs="Arial"/>
          <w:sz w:val="20"/>
          <w:szCs w:val="20"/>
        </w:rPr>
        <w:t xml:space="preserve"> on the part of an accused person and this second claim could not succeed.’</w:t>
      </w:r>
      <w:r w:rsidR="009865F7" w:rsidRPr="00B06AEE">
        <w:rPr>
          <w:rStyle w:val="FootnoteReference"/>
          <w:rFonts w:ascii="Arial" w:hAnsi="Arial" w:cs="Arial"/>
          <w:sz w:val="20"/>
          <w:szCs w:val="20"/>
        </w:rPr>
        <w:footnoteReference w:id="15"/>
      </w:r>
    </w:p>
    <w:p w14:paraId="585ACA51" w14:textId="1EFBA608" w:rsidR="00B06AEE" w:rsidRDefault="00B06AEE" w:rsidP="00466616">
      <w:pPr>
        <w:spacing w:line="360" w:lineRule="auto"/>
        <w:rPr>
          <w:rFonts w:ascii="Arial" w:hAnsi="Arial" w:cs="Arial"/>
          <w:sz w:val="24"/>
          <w:szCs w:val="24"/>
        </w:rPr>
      </w:pPr>
    </w:p>
    <w:p w14:paraId="7F381B23" w14:textId="228EC1E9" w:rsidR="00B315F8" w:rsidRPr="00743CB1" w:rsidRDefault="00743CB1" w:rsidP="00743CB1">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050FC6" w:rsidRPr="00743CB1">
        <w:rPr>
          <w:rFonts w:ascii="Arial" w:hAnsi="Arial" w:cs="Arial"/>
          <w:sz w:val="24"/>
          <w:szCs w:val="24"/>
        </w:rPr>
        <w:t>The law</w:t>
      </w:r>
      <w:r w:rsidR="004A119C" w:rsidRPr="00743CB1">
        <w:rPr>
          <w:rFonts w:ascii="Arial" w:hAnsi="Arial" w:cs="Arial"/>
          <w:sz w:val="24"/>
          <w:szCs w:val="24"/>
        </w:rPr>
        <w:t xml:space="preserve"> appears </w:t>
      </w:r>
      <w:r w:rsidR="00DC5B74" w:rsidRPr="00743CB1">
        <w:rPr>
          <w:rFonts w:ascii="Arial" w:hAnsi="Arial" w:cs="Arial"/>
          <w:sz w:val="24"/>
          <w:szCs w:val="24"/>
        </w:rPr>
        <w:t xml:space="preserve">not </w:t>
      </w:r>
      <w:r w:rsidR="004A119C" w:rsidRPr="00743CB1">
        <w:rPr>
          <w:rFonts w:ascii="Arial" w:hAnsi="Arial" w:cs="Arial"/>
          <w:sz w:val="24"/>
          <w:szCs w:val="24"/>
        </w:rPr>
        <w:t>to</w:t>
      </w:r>
      <w:r w:rsidR="00DC5B74" w:rsidRPr="00743CB1">
        <w:rPr>
          <w:rFonts w:ascii="Arial" w:hAnsi="Arial" w:cs="Arial"/>
          <w:sz w:val="24"/>
          <w:szCs w:val="24"/>
        </w:rPr>
        <w:t xml:space="preserve"> have arrived</w:t>
      </w:r>
      <w:r w:rsidR="00432E8B" w:rsidRPr="00743CB1">
        <w:rPr>
          <w:rFonts w:ascii="Arial" w:hAnsi="Arial" w:cs="Arial"/>
          <w:sz w:val="24"/>
          <w:szCs w:val="24"/>
        </w:rPr>
        <w:t xml:space="preserve"> </w:t>
      </w:r>
      <w:r w:rsidR="00DC5B74" w:rsidRPr="00743CB1">
        <w:rPr>
          <w:rFonts w:ascii="Arial" w:hAnsi="Arial" w:cs="Arial"/>
          <w:sz w:val="24"/>
          <w:szCs w:val="24"/>
        </w:rPr>
        <w:t xml:space="preserve">at a point where </w:t>
      </w:r>
      <w:r w:rsidR="003B71BB" w:rsidRPr="00743CB1">
        <w:rPr>
          <w:rFonts w:ascii="Arial" w:hAnsi="Arial" w:cs="Arial"/>
          <w:sz w:val="24"/>
          <w:szCs w:val="24"/>
        </w:rPr>
        <w:t xml:space="preserve">the </w:t>
      </w:r>
      <w:r w:rsidR="00DC5B74" w:rsidRPr="00743CB1">
        <w:rPr>
          <w:rFonts w:ascii="Arial" w:hAnsi="Arial" w:cs="Arial"/>
          <w:sz w:val="24"/>
          <w:szCs w:val="24"/>
        </w:rPr>
        <w:t xml:space="preserve">ordinary negligence </w:t>
      </w:r>
      <w:r w:rsidR="003B71BB" w:rsidRPr="00743CB1">
        <w:rPr>
          <w:rFonts w:ascii="Arial" w:hAnsi="Arial" w:cs="Arial"/>
          <w:sz w:val="24"/>
          <w:szCs w:val="24"/>
        </w:rPr>
        <w:t xml:space="preserve">of </w:t>
      </w:r>
      <w:r w:rsidR="00DC5B74" w:rsidRPr="00743CB1">
        <w:rPr>
          <w:rFonts w:ascii="Arial" w:hAnsi="Arial" w:cs="Arial"/>
          <w:sz w:val="24"/>
          <w:szCs w:val="24"/>
        </w:rPr>
        <w:t>a prosecutor would give rise to a claim for damages on the part of an accused person.</w:t>
      </w:r>
      <w:r w:rsidR="004A119C" w:rsidRPr="004A119C">
        <w:rPr>
          <w:vertAlign w:val="superscript"/>
        </w:rPr>
        <w:footnoteReference w:id="16"/>
      </w:r>
      <w:r w:rsidR="004A119C" w:rsidRPr="00743CB1">
        <w:rPr>
          <w:rFonts w:ascii="Arial" w:hAnsi="Arial" w:cs="Arial"/>
          <w:sz w:val="24"/>
          <w:szCs w:val="24"/>
        </w:rPr>
        <w:t xml:space="preserve"> </w:t>
      </w:r>
      <w:r w:rsidR="008F585F" w:rsidRPr="00743CB1">
        <w:rPr>
          <w:rFonts w:ascii="Arial" w:hAnsi="Arial" w:cs="Arial"/>
          <w:sz w:val="24"/>
          <w:szCs w:val="24"/>
        </w:rPr>
        <w:t xml:space="preserve">There </w:t>
      </w:r>
      <w:r w:rsidR="00FC08E9" w:rsidRPr="00743CB1">
        <w:rPr>
          <w:rFonts w:ascii="Arial" w:hAnsi="Arial" w:cs="Arial"/>
          <w:sz w:val="24"/>
          <w:szCs w:val="24"/>
        </w:rPr>
        <w:t xml:space="preserve">would be </w:t>
      </w:r>
      <w:r w:rsidR="00D11B12" w:rsidRPr="00743CB1">
        <w:rPr>
          <w:rFonts w:ascii="Arial" w:hAnsi="Arial" w:cs="Arial"/>
          <w:sz w:val="24"/>
          <w:szCs w:val="24"/>
        </w:rPr>
        <w:t>obvious</w:t>
      </w:r>
      <w:r w:rsidR="00895888" w:rsidRPr="00743CB1">
        <w:rPr>
          <w:rFonts w:ascii="Arial" w:hAnsi="Arial" w:cs="Arial"/>
          <w:sz w:val="24"/>
          <w:szCs w:val="24"/>
        </w:rPr>
        <w:t xml:space="preserve"> and </w:t>
      </w:r>
      <w:r w:rsidR="00D11B12" w:rsidRPr="00743CB1">
        <w:rPr>
          <w:rFonts w:ascii="Arial" w:hAnsi="Arial" w:cs="Arial"/>
          <w:sz w:val="24"/>
          <w:szCs w:val="24"/>
        </w:rPr>
        <w:t xml:space="preserve">sound policy considerations behind </w:t>
      </w:r>
      <w:r w:rsidR="00FC08E9" w:rsidRPr="00743CB1">
        <w:rPr>
          <w:rFonts w:ascii="Arial" w:hAnsi="Arial" w:cs="Arial"/>
          <w:sz w:val="24"/>
          <w:szCs w:val="24"/>
        </w:rPr>
        <w:t xml:space="preserve">a </w:t>
      </w:r>
      <w:r w:rsidR="000C36EA" w:rsidRPr="00743CB1">
        <w:rPr>
          <w:rFonts w:ascii="Arial" w:hAnsi="Arial" w:cs="Arial"/>
          <w:sz w:val="24"/>
          <w:szCs w:val="24"/>
        </w:rPr>
        <w:t>court</w:t>
      </w:r>
      <w:r w:rsidR="00FC08E9" w:rsidRPr="00743CB1">
        <w:rPr>
          <w:rFonts w:ascii="Arial" w:hAnsi="Arial" w:cs="Arial"/>
          <w:sz w:val="24"/>
          <w:szCs w:val="24"/>
        </w:rPr>
        <w:t>’s</w:t>
      </w:r>
      <w:r w:rsidR="000C36EA" w:rsidRPr="00743CB1">
        <w:rPr>
          <w:rFonts w:ascii="Arial" w:hAnsi="Arial" w:cs="Arial"/>
          <w:sz w:val="24"/>
          <w:szCs w:val="24"/>
        </w:rPr>
        <w:t xml:space="preserve"> reluctance to</w:t>
      </w:r>
      <w:r w:rsidR="009927DA" w:rsidRPr="00743CB1">
        <w:rPr>
          <w:rFonts w:ascii="Arial" w:hAnsi="Arial" w:cs="Arial"/>
          <w:sz w:val="24"/>
          <w:szCs w:val="24"/>
        </w:rPr>
        <w:t xml:space="preserve"> develop the law to that extent</w:t>
      </w:r>
      <w:r w:rsidR="00423C59" w:rsidRPr="00743CB1">
        <w:rPr>
          <w:rFonts w:ascii="Arial" w:hAnsi="Arial" w:cs="Arial"/>
          <w:sz w:val="24"/>
          <w:szCs w:val="24"/>
        </w:rPr>
        <w:t xml:space="preserve">, which would seem to </w:t>
      </w:r>
      <w:r w:rsidR="0043449B" w:rsidRPr="00743CB1">
        <w:rPr>
          <w:rFonts w:ascii="Arial" w:hAnsi="Arial" w:cs="Arial"/>
          <w:sz w:val="24"/>
          <w:szCs w:val="24"/>
        </w:rPr>
        <w:t xml:space="preserve">hamper or unfairly constrain </w:t>
      </w:r>
      <w:r w:rsidR="00E83559" w:rsidRPr="00743CB1">
        <w:rPr>
          <w:rFonts w:ascii="Arial" w:hAnsi="Arial" w:cs="Arial"/>
          <w:sz w:val="24"/>
          <w:szCs w:val="24"/>
        </w:rPr>
        <w:t xml:space="preserve">a prosecutor </w:t>
      </w:r>
      <w:r w:rsidR="003310F6" w:rsidRPr="00743CB1">
        <w:rPr>
          <w:rFonts w:ascii="Arial" w:hAnsi="Arial" w:cs="Arial"/>
          <w:sz w:val="24"/>
          <w:szCs w:val="24"/>
        </w:rPr>
        <w:t xml:space="preserve">in the effective fulfilment of </w:t>
      </w:r>
      <w:r w:rsidR="00E83559" w:rsidRPr="00743CB1">
        <w:rPr>
          <w:rFonts w:ascii="Arial" w:hAnsi="Arial" w:cs="Arial"/>
          <w:sz w:val="24"/>
          <w:szCs w:val="24"/>
        </w:rPr>
        <w:t>his or her role</w:t>
      </w:r>
      <w:r w:rsidR="003310F6" w:rsidRPr="00743CB1">
        <w:rPr>
          <w:rFonts w:ascii="Arial" w:hAnsi="Arial" w:cs="Arial"/>
          <w:sz w:val="24"/>
          <w:szCs w:val="24"/>
        </w:rPr>
        <w:t>.</w:t>
      </w:r>
      <w:r w:rsidR="000C36EA" w:rsidRPr="00743CB1">
        <w:rPr>
          <w:rFonts w:ascii="Arial" w:hAnsi="Arial" w:cs="Arial"/>
          <w:sz w:val="24"/>
          <w:szCs w:val="24"/>
        </w:rPr>
        <w:t xml:space="preserve"> </w:t>
      </w:r>
      <w:r w:rsidR="00AA3925" w:rsidRPr="00743CB1">
        <w:rPr>
          <w:rFonts w:ascii="Arial" w:hAnsi="Arial" w:cs="Arial"/>
          <w:sz w:val="24"/>
          <w:szCs w:val="24"/>
        </w:rPr>
        <w:t xml:space="preserve">Consequently, </w:t>
      </w:r>
      <w:r w:rsidR="003310F6" w:rsidRPr="00743CB1">
        <w:rPr>
          <w:rFonts w:ascii="Arial" w:hAnsi="Arial" w:cs="Arial"/>
          <w:sz w:val="24"/>
          <w:szCs w:val="24"/>
        </w:rPr>
        <w:t xml:space="preserve">in the present matter, </w:t>
      </w:r>
      <w:r w:rsidR="00AA3925" w:rsidRPr="00743CB1">
        <w:rPr>
          <w:rFonts w:ascii="Arial" w:hAnsi="Arial" w:cs="Arial"/>
          <w:sz w:val="24"/>
          <w:szCs w:val="24"/>
        </w:rPr>
        <w:t xml:space="preserve">the plaintiffs’ </w:t>
      </w:r>
      <w:r w:rsidR="00157589" w:rsidRPr="00743CB1">
        <w:rPr>
          <w:rFonts w:ascii="Arial" w:hAnsi="Arial" w:cs="Arial"/>
          <w:sz w:val="24"/>
          <w:szCs w:val="24"/>
        </w:rPr>
        <w:t xml:space="preserve">reliance on a </w:t>
      </w:r>
      <w:r w:rsidR="00AA3925" w:rsidRPr="00743CB1">
        <w:rPr>
          <w:rFonts w:ascii="Arial" w:hAnsi="Arial" w:cs="Arial"/>
          <w:sz w:val="24"/>
          <w:szCs w:val="24"/>
        </w:rPr>
        <w:t xml:space="preserve">cause </w:t>
      </w:r>
      <w:r w:rsidR="00157589" w:rsidRPr="00743CB1">
        <w:rPr>
          <w:rFonts w:ascii="Arial" w:hAnsi="Arial" w:cs="Arial"/>
          <w:sz w:val="24"/>
          <w:szCs w:val="24"/>
        </w:rPr>
        <w:t xml:space="preserve">of action </w:t>
      </w:r>
      <w:r w:rsidR="00730ABB" w:rsidRPr="00743CB1">
        <w:rPr>
          <w:rFonts w:ascii="Arial" w:hAnsi="Arial" w:cs="Arial"/>
          <w:sz w:val="24"/>
          <w:szCs w:val="24"/>
        </w:rPr>
        <w:t xml:space="preserve">based on </w:t>
      </w:r>
      <w:r w:rsidR="00157589" w:rsidRPr="00743CB1">
        <w:rPr>
          <w:rFonts w:ascii="Arial" w:hAnsi="Arial" w:cs="Arial"/>
          <w:sz w:val="24"/>
          <w:szCs w:val="24"/>
        </w:rPr>
        <w:t xml:space="preserve">unlawful </w:t>
      </w:r>
      <w:r w:rsidR="00452EA1" w:rsidRPr="00743CB1">
        <w:rPr>
          <w:rFonts w:ascii="Arial" w:hAnsi="Arial" w:cs="Arial"/>
          <w:sz w:val="24"/>
          <w:szCs w:val="24"/>
        </w:rPr>
        <w:t xml:space="preserve">(negligent) </w:t>
      </w:r>
      <w:r w:rsidR="00157589" w:rsidRPr="00743CB1">
        <w:rPr>
          <w:rFonts w:ascii="Arial" w:hAnsi="Arial" w:cs="Arial"/>
          <w:sz w:val="24"/>
          <w:szCs w:val="24"/>
        </w:rPr>
        <w:t xml:space="preserve">prosecution is misplaced. </w:t>
      </w:r>
    </w:p>
    <w:p w14:paraId="59C15A34" w14:textId="77777777" w:rsidR="00B315F8" w:rsidRDefault="00B315F8" w:rsidP="00B315F8">
      <w:pPr>
        <w:pStyle w:val="ListParagraph"/>
        <w:spacing w:line="360" w:lineRule="auto"/>
        <w:ind w:left="0"/>
        <w:jc w:val="both"/>
        <w:rPr>
          <w:rFonts w:ascii="Arial" w:hAnsi="Arial" w:cs="Arial"/>
          <w:sz w:val="24"/>
          <w:szCs w:val="24"/>
        </w:rPr>
      </w:pPr>
    </w:p>
    <w:p w14:paraId="7C9EE583" w14:textId="2D2F4337" w:rsidR="00B315F8" w:rsidRPr="00743CB1" w:rsidRDefault="00743CB1" w:rsidP="00743CB1">
      <w:pPr>
        <w:spacing w:line="360" w:lineRule="auto"/>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157589" w:rsidRPr="00743CB1">
        <w:rPr>
          <w:rFonts w:ascii="Arial" w:hAnsi="Arial" w:cs="Arial"/>
          <w:sz w:val="24"/>
          <w:szCs w:val="24"/>
        </w:rPr>
        <w:t xml:space="preserve">The usual route available to the plaintiffs would be a cause of action </w:t>
      </w:r>
      <w:r w:rsidR="006C14BA" w:rsidRPr="00743CB1">
        <w:rPr>
          <w:rFonts w:ascii="Arial" w:hAnsi="Arial" w:cs="Arial"/>
          <w:sz w:val="24"/>
          <w:szCs w:val="24"/>
        </w:rPr>
        <w:t xml:space="preserve">based on </w:t>
      </w:r>
      <w:r w:rsidR="00157589" w:rsidRPr="00743CB1">
        <w:rPr>
          <w:rFonts w:ascii="Arial" w:hAnsi="Arial" w:cs="Arial"/>
          <w:sz w:val="24"/>
          <w:szCs w:val="24"/>
        </w:rPr>
        <w:t>malicious prosecution</w:t>
      </w:r>
      <w:r w:rsidR="00121C1B" w:rsidRPr="00743CB1">
        <w:rPr>
          <w:rFonts w:ascii="Arial" w:hAnsi="Arial" w:cs="Arial"/>
          <w:sz w:val="24"/>
          <w:szCs w:val="24"/>
        </w:rPr>
        <w:t xml:space="preserve">, i.e. the </w:t>
      </w:r>
      <w:r w:rsidR="00121C1B" w:rsidRPr="00743CB1">
        <w:rPr>
          <w:rFonts w:ascii="Arial" w:hAnsi="Arial" w:cs="Arial"/>
          <w:i/>
          <w:iCs/>
          <w:sz w:val="24"/>
          <w:szCs w:val="24"/>
        </w:rPr>
        <w:t>actio iniuriarum</w:t>
      </w:r>
      <w:r w:rsidR="00157589" w:rsidRPr="00743CB1">
        <w:rPr>
          <w:rFonts w:ascii="Arial" w:hAnsi="Arial" w:cs="Arial"/>
          <w:sz w:val="24"/>
          <w:szCs w:val="24"/>
        </w:rPr>
        <w:t>. Th</w:t>
      </w:r>
      <w:r w:rsidR="00BA55BE" w:rsidRPr="00743CB1">
        <w:rPr>
          <w:rFonts w:ascii="Arial" w:hAnsi="Arial" w:cs="Arial"/>
          <w:sz w:val="24"/>
          <w:szCs w:val="24"/>
        </w:rPr>
        <w:t xml:space="preserve">e implications thereof for the present matter </w:t>
      </w:r>
      <w:r w:rsidR="00157589" w:rsidRPr="00743CB1">
        <w:rPr>
          <w:rFonts w:ascii="Arial" w:hAnsi="Arial" w:cs="Arial"/>
          <w:sz w:val="24"/>
          <w:szCs w:val="24"/>
        </w:rPr>
        <w:t>will be discussed in the paragraphs that follow.</w:t>
      </w:r>
    </w:p>
    <w:p w14:paraId="08EB96F2" w14:textId="77777777" w:rsidR="00B315F8" w:rsidRPr="00B315F8" w:rsidRDefault="00B315F8" w:rsidP="00B315F8">
      <w:pPr>
        <w:pStyle w:val="ListParagraph"/>
        <w:rPr>
          <w:rFonts w:ascii="Arial" w:hAnsi="Arial" w:cs="Arial"/>
          <w:i/>
          <w:iCs/>
          <w:sz w:val="24"/>
          <w:szCs w:val="24"/>
        </w:rPr>
      </w:pPr>
    </w:p>
    <w:p w14:paraId="5D9F2C65" w14:textId="77777777" w:rsidR="00B315F8" w:rsidRPr="00B315F8" w:rsidRDefault="00B315F8" w:rsidP="00B315F8">
      <w:pPr>
        <w:pStyle w:val="ListParagraph"/>
        <w:spacing w:line="360" w:lineRule="auto"/>
        <w:ind w:left="0"/>
        <w:jc w:val="both"/>
        <w:rPr>
          <w:rFonts w:ascii="Arial" w:hAnsi="Arial" w:cs="Arial"/>
          <w:sz w:val="24"/>
          <w:szCs w:val="24"/>
        </w:rPr>
      </w:pPr>
    </w:p>
    <w:p w14:paraId="013FBCE1" w14:textId="77777777" w:rsidR="00B315F8" w:rsidRPr="00B315F8" w:rsidRDefault="00B315F8" w:rsidP="00B315F8">
      <w:pPr>
        <w:pStyle w:val="ListParagraph"/>
        <w:rPr>
          <w:rFonts w:ascii="Arial" w:hAnsi="Arial" w:cs="Arial"/>
          <w:i/>
          <w:iCs/>
          <w:sz w:val="24"/>
          <w:szCs w:val="24"/>
        </w:rPr>
      </w:pPr>
    </w:p>
    <w:p w14:paraId="1D98229F" w14:textId="77777777" w:rsidR="00B315F8" w:rsidRPr="00B315F8" w:rsidRDefault="00157589" w:rsidP="00B315F8">
      <w:pPr>
        <w:pStyle w:val="ListParagraph"/>
        <w:spacing w:line="360" w:lineRule="auto"/>
        <w:ind w:left="0"/>
        <w:jc w:val="both"/>
        <w:rPr>
          <w:rFonts w:ascii="Arial" w:hAnsi="Arial" w:cs="Arial"/>
          <w:sz w:val="24"/>
          <w:szCs w:val="24"/>
        </w:rPr>
      </w:pPr>
      <w:r w:rsidRPr="00B315F8">
        <w:rPr>
          <w:rFonts w:ascii="Arial" w:hAnsi="Arial" w:cs="Arial"/>
          <w:i/>
          <w:iCs/>
          <w:sz w:val="24"/>
          <w:szCs w:val="24"/>
        </w:rPr>
        <w:t>Malicious prosecution</w:t>
      </w:r>
    </w:p>
    <w:p w14:paraId="15D3CD5D" w14:textId="77777777" w:rsidR="00B315F8" w:rsidRPr="00B315F8" w:rsidRDefault="00B315F8" w:rsidP="00B315F8">
      <w:pPr>
        <w:pStyle w:val="ListParagraph"/>
        <w:spacing w:line="360" w:lineRule="auto"/>
        <w:ind w:left="0"/>
        <w:jc w:val="both"/>
        <w:rPr>
          <w:rFonts w:ascii="Arial" w:hAnsi="Arial" w:cs="Arial"/>
          <w:sz w:val="24"/>
          <w:szCs w:val="24"/>
        </w:rPr>
      </w:pPr>
    </w:p>
    <w:p w14:paraId="7E8B07CF" w14:textId="77777777" w:rsidR="00B315F8" w:rsidRPr="00B315F8" w:rsidRDefault="00B315F8" w:rsidP="00B315F8">
      <w:pPr>
        <w:pStyle w:val="ListParagraph"/>
        <w:spacing w:line="360" w:lineRule="auto"/>
        <w:ind w:left="0"/>
        <w:jc w:val="both"/>
        <w:rPr>
          <w:rFonts w:ascii="Arial" w:hAnsi="Arial" w:cs="Arial"/>
          <w:sz w:val="24"/>
          <w:szCs w:val="24"/>
        </w:rPr>
      </w:pPr>
    </w:p>
    <w:p w14:paraId="2E74D88C" w14:textId="4E05347F" w:rsidR="00B315F8" w:rsidRPr="00743CB1" w:rsidRDefault="00743CB1" w:rsidP="00743CB1">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157589" w:rsidRPr="00743CB1">
        <w:rPr>
          <w:rFonts w:ascii="Arial" w:hAnsi="Arial" w:cs="Arial"/>
          <w:sz w:val="24"/>
          <w:szCs w:val="24"/>
        </w:rPr>
        <w:t xml:space="preserve">As a starting point, there is a clear distinction between </w:t>
      </w:r>
      <w:r w:rsidR="00B11816" w:rsidRPr="00743CB1">
        <w:rPr>
          <w:rFonts w:ascii="Arial" w:hAnsi="Arial" w:cs="Arial"/>
          <w:sz w:val="24"/>
          <w:szCs w:val="24"/>
        </w:rPr>
        <w:t xml:space="preserve">a claim </w:t>
      </w:r>
      <w:r w:rsidR="006C14BA" w:rsidRPr="00743CB1">
        <w:rPr>
          <w:rFonts w:ascii="Arial" w:hAnsi="Arial" w:cs="Arial"/>
          <w:sz w:val="24"/>
          <w:szCs w:val="24"/>
        </w:rPr>
        <w:t xml:space="preserve">for </w:t>
      </w:r>
      <w:r w:rsidR="00B11816" w:rsidRPr="00743CB1">
        <w:rPr>
          <w:rFonts w:ascii="Arial" w:hAnsi="Arial" w:cs="Arial"/>
          <w:sz w:val="24"/>
          <w:szCs w:val="24"/>
        </w:rPr>
        <w:t xml:space="preserve">malicious prosecution and </w:t>
      </w:r>
      <w:r w:rsidR="000D59BB" w:rsidRPr="00743CB1">
        <w:rPr>
          <w:rFonts w:ascii="Arial" w:hAnsi="Arial" w:cs="Arial"/>
          <w:sz w:val="24"/>
          <w:szCs w:val="24"/>
        </w:rPr>
        <w:t xml:space="preserve">one </w:t>
      </w:r>
      <w:r w:rsidR="006C14BA" w:rsidRPr="00743CB1">
        <w:rPr>
          <w:rFonts w:ascii="Arial" w:hAnsi="Arial" w:cs="Arial"/>
          <w:sz w:val="24"/>
          <w:szCs w:val="24"/>
        </w:rPr>
        <w:t xml:space="preserve">for </w:t>
      </w:r>
      <w:r w:rsidR="00B11816" w:rsidRPr="00743CB1">
        <w:rPr>
          <w:rFonts w:ascii="Arial" w:hAnsi="Arial" w:cs="Arial"/>
          <w:sz w:val="24"/>
          <w:szCs w:val="24"/>
        </w:rPr>
        <w:t>wrongful legal proceedings. An example of the latter would be the attachment or execution of property without a valid writ; another example would be an arrest without a warrant. The defendant would be required to prove the lawfulness of the attachment or execution, or the arrest</w:t>
      </w:r>
      <w:r w:rsidR="00034DC5" w:rsidRPr="00743CB1">
        <w:rPr>
          <w:rFonts w:ascii="Arial" w:hAnsi="Arial" w:cs="Arial"/>
          <w:sz w:val="24"/>
          <w:szCs w:val="24"/>
        </w:rPr>
        <w:t xml:space="preserve">, and </w:t>
      </w:r>
      <w:r w:rsidR="00B11816" w:rsidRPr="00743CB1">
        <w:rPr>
          <w:rFonts w:ascii="Arial" w:hAnsi="Arial" w:cs="Arial"/>
          <w:sz w:val="24"/>
          <w:szCs w:val="24"/>
        </w:rPr>
        <w:t xml:space="preserve">would not be able to rely on the absence of </w:t>
      </w:r>
      <w:r w:rsidR="00B11816" w:rsidRPr="00743CB1">
        <w:rPr>
          <w:rFonts w:ascii="Arial" w:hAnsi="Arial" w:cs="Arial"/>
          <w:i/>
          <w:iCs/>
          <w:sz w:val="24"/>
          <w:szCs w:val="24"/>
        </w:rPr>
        <w:t>animus iniuriandi</w:t>
      </w:r>
      <w:r w:rsidR="00B11816" w:rsidRPr="00743CB1">
        <w:rPr>
          <w:rFonts w:ascii="Arial" w:hAnsi="Arial" w:cs="Arial"/>
          <w:sz w:val="24"/>
          <w:szCs w:val="24"/>
        </w:rPr>
        <w:t>.</w:t>
      </w:r>
      <w:r w:rsidR="00B11816">
        <w:rPr>
          <w:rStyle w:val="FootnoteReference"/>
          <w:rFonts w:ascii="Arial" w:hAnsi="Arial" w:cs="Arial"/>
          <w:sz w:val="24"/>
          <w:szCs w:val="24"/>
        </w:rPr>
        <w:footnoteReference w:id="17"/>
      </w:r>
      <w:r w:rsidR="00FC0391" w:rsidRPr="00743CB1">
        <w:rPr>
          <w:rFonts w:ascii="Arial" w:hAnsi="Arial" w:cs="Arial"/>
          <w:sz w:val="24"/>
          <w:szCs w:val="24"/>
        </w:rPr>
        <w:t xml:space="preserve"> The present matter does not pertain to </w:t>
      </w:r>
      <w:r w:rsidR="00045045" w:rsidRPr="00743CB1">
        <w:rPr>
          <w:rFonts w:ascii="Arial" w:hAnsi="Arial" w:cs="Arial"/>
          <w:sz w:val="24"/>
          <w:szCs w:val="24"/>
        </w:rPr>
        <w:t>wrongful legal proceedings.</w:t>
      </w:r>
    </w:p>
    <w:p w14:paraId="3DC093E8" w14:textId="77777777" w:rsidR="00B315F8" w:rsidRDefault="00B315F8" w:rsidP="00B315F8">
      <w:pPr>
        <w:pStyle w:val="ListParagraph"/>
        <w:spacing w:line="360" w:lineRule="auto"/>
        <w:ind w:left="0"/>
        <w:jc w:val="both"/>
        <w:rPr>
          <w:rFonts w:ascii="Arial" w:hAnsi="Arial" w:cs="Arial"/>
          <w:sz w:val="24"/>
          <w:szCs w:val="24"/>
        </w:rPr>
      </w:pPr>
    </w:p>
    <w:p w14:paraId="11A019FB" w14:textId="3F642022" w:rsidR="00CA2EDE" w:rsidRPr="00743CB1" w:rsidRDefault="00743CB1" w:rsidP="00743CB1">
      <w:pPr>
        <w:spacing w:line="360" w:lineRule="auto"/>
        <w:jc w:val="both"/>
        <w:rPr>
          <w:rFonts w:ascii="Arial" w:hAnsi="Arial" w:cs="Arial"/>
          <w:sz w:val="24"/>
          <w:szCs w:val="24"/>
        </w:rPr>
      </w:pPr>
      <w:r w:rsidRPr="00B315F8">
        <w:rPr>
          <w:rFonts w:ascii="Arial" w:hAnsi="Arial" w:cs="Arial"/>
          <w:sz w:val="24"/>
          <w:szCs w:val="24"/>
        </w:rPr>
        <w:t>[29]</w:t>
      </w:r>
      <w:r w:rsidRPr="00B315F8">
        <w:rPr>
          <w:rFonts w:ascii="Arial" w:hAnsi="Arial" w:cs="Arial"/>
          <w:sz w:val="24"/>
          <w:szCs w:val="24"/>
        </w:rPr>
        <w:tab/>
      </w:r>
      <w:r w:rsidR="00045045" w:rsidRPr="00743CB1">
        <w:rPr>
          <w:rFonts w:ascii="Arial" w:hAnsi="Arial" w:cs="Arial"/>
          <w:sz w:val="24"/>
          <w:szCs w:val="24"/>
        </w:rPr>
        <w:t>T</w:t>
      </w:r>
      <w:r w:rsidR="00157589" w:rsidRPr="00743CB1">
        <w:rPr>
          <w:rFonts w:ascii="Arial" w:hAnsi="Arial" w:cs="Arial"/>
          <w:sz w:val="24"/>
          <w:szCs w:val="24"/>
        </w:rPr>
        <w:t xml:space="preserve">he </w:t>
      </w:r>
      <w:r w:rsidR="00034DC5" w:rsidRPr="00743CB1">
        <w:rPr>
          <w:rFonts w:ascii="Arial" w:hAnsi="Arial" w:cs="Arial"/>
          <w:sz w:val="24"/>
          <w:szCs w:val="24"/>
        </w:rPr>
        <w:t>el</w:t>
      </w:r>
      <w:r w:rsidR="00157589" w:rsidRPr="00743CB1">
        <w:rPr>
          <w:rFonts w:ascii="Arial" w:hAnsi="Arial" w:cs="Arial"/>
          <w:sz w:val="24"/>
          <w:szCs w:val="24"/>
        </w:rPr>
        <w:t xml:space="preserve">ements </w:t>
      </w:r>
      <w:r w:rsidR="00034DC5" w:rsidRPr="00743CB1">
        <w:rPr>
          <w:rFonts w:ascii="Arial" w:hAnsi="Arial" w:cs="Arial"/>
          <w:sz w:val="24"/>
          <w:szCs w:val="24"/>
        </w:rPr>
        <w:t>of a successful claim for</w:t>
      </w:r>
      <w:r w:rsidR="003D28E0" w:rsidRPr="00743CB1">
        <w:rPr>
          <w:rFonts w:ascii="Arial" w:hAnsi="Arial" w:cs="Arial"/>
          <w:sz w:val="24"/>
          <w:szCs w:val="24"/>
        </w:rPr>
        <w:t xml:space="preserve"> malicious prosecution </w:t>
      </w:r>
      <w:r w:rsidR="00034DC5" w:rsidRPr="00743CB1">
        <w:rPr>
          <w:rFonts w:ascii="Arial" w:hAnsi="Arial" w:cs="Arial"/>
          <w:sz w:val="24"/>
          <w:szCs w:val="24"/>
        </w:rPr>
        <w:t xml:space="preserve">were </w:t>
      </w:r>
      <w:r w:rsidR="00133C1D" w:rsidRPr="00743CB1">
        <w:rPr>
          <w:rFonts w:ascii="Arial" w:hAnsi="Arial" w:cs="Arial"/>
          <w:sz w:val="24"/>
          <w:szCs w:val="24"/>
        </w:rPr>
        <w:t>confirmed</w:t>
      </w:r>
      <w:r w:rsidR="00034DC5" w:rsidRPr="00743CB1">
        <w:rPr>
          <w:rFonts w:ascii="Arial" w:hAnsi="Arial" w:cs="Arial"/>
          <w:sz w:val="24"/>
          <w:szCs w:val="24"/>
        </w:rPr>
        <w:t xml:space="preserve"> in </w:t>
      </w:r>
      <w:r w:rsidR="00034DC5" w:rsidRPr="00743CB1">
        <w:rPr>
          <w:rFonts w:ascii="Arial" w:hAnsi="Arial" w:cs="Arial"/>
          <w:i/>
          <w:iCs/>
          <w:sz w:val="24"/>
          <w:szCs w:val="24"/>
        </w:rPr>
        <w:t>Minister of Justice and Constitutional Development v Moleko</w:t>
      </w:r>
      <w:r w:rsidR="00133C1D" w:rsidRPr="00743CB1">
        <w:rPr>
          <w:rFonts w:ascii="Arial" w:hAnsi="Arial" w:cs="Arial"/>
          <w:sz w:val="24"/>
          <w:szCs w:val="24"/>
        </w:rPr>
        <w:t>,</w:t>
      </w:r>
      <w:r w:rsidR="00034DC5">
        <w:rPr>
          <w:rStyle w:val="FootnoteReference"/>
          <w:rFonts w:ascii="Arial" w:hAnsi="Arial" w:cs="Arial"/>
          <w:sz w:val="24"/>
          <w:szCs w:val="24"/>
        </w:rPr>
        <w:footnoteReference w:id="18"/>
      </w:r>
      <w:r w:rsidR="00034DC5" w:rsidRPr="00743CB1">
        <w:rPr>
          <w:rFonts w:ascii="Arial" w:hAnsi="Arial" w:cs="Arial"/>
          <w:sz w:val="24"/>
          <w:szCs w:val="24"/>
        </w:rPr>
        <w:t xml:space="preserve"> </w:t>
      </w:r>
      <w:r w:rsidR="00133C1D" w:rsidRPr="00743CB1">
        <w:rPr>
          <w:rFonts w:ascii="Arial" w:hAnsi="Arial" w:cs="Arial"/>
          <w:sz w:val="24"/>
          <w:szCs w:val="24"/>
        </w:rPr>
        <w:t xml:space="preserve">where </w:t>
      </w:r>
      <w:r w:rsidR="00CA2EDE" w:rsidRPr="00743CB1">
        <w:rPr>
          <w:rFonts w:ascii="Arial" w:hAnsi="Arial" w:cs="Arial"/>
          <w:sz w:val="24"/>
          <w:szCs w:val="24"/>
        </w:rPr>
        <w:t>Van Heerden JA held as follows:</w:t>
      </w:r>
    </w:p>
    <w:p w14:paraId="043BA6FF" w14:textId="77777777" w:rsidR="007E6967" w:rsidRPr="00B92D9C" w:rsidRDefault="000453A3" w:rsidP="00B315F8">
      <w:pPr>
        <w:spacing w:line="360" w:lineRule="auto"/>
        <w:ind w:left="720"/>
        <w:jc w:val="both"/>
        <w:rPr>
          <w:rFonts w:ascii="Arial" w:hAnsi="Arial" w:cs="Arial"/>
          <w:sz w:val="20"/>
          <w:szCs w:val="20"/>
        </w:rPr>
      </w:pPr>
      <w:r w:rsidRPr="00B92D9C">
        <w:rPr>
          <w:rFonts w:ascii="Arial" w:hAnsi="Arial" w:cs="Arial"/>
          <w:sz w:val="20"/>
          <w:szCs w:val="20"/>
        </w:rPr>
        <w:t xml:space="preserve">‘…In order to succeed (on the merits) with a </w:t>
      </w:r>
      <w:r w:rsidR="00444130" w:rsidRPr="00B92D9C">
        <w:rPr>
          <w:rFonts w:ascii="Arial" w:hAnsi="Arial" w:cs="Arial"/>
          <w:sz w:val="20"/>
          <w:szCs w:val="20"/>
        </w:rPr>
        <w:t>claim for malicious prosecution, a claimant must allege and prove–</w:t>
      </w:r>
    </w:p>
    <w:p w14:paraId="6E251E96" w14:textId="77777777" w:rsidR="000835CE" w:rsidRPr="00B92D9C" w:rsidRDefault="000835CE" w:rsidP="00B315F8">
      <w:pPr>
        <w:pStyle w:val="ListParagraph"/>
        <w:spacing w:line="360" w:lineRule="auto"/>
        <w:ind w:left="1080"/>
        <w:jc w:val="both"/>
        <w:rPr>
          <w:rFonts w:ascii="Arial" w:hAnsi="Arial" w:cs="Arial"/>
          <w:sz w:val="20"/>
          <w:szCs w:val="20"/>
        </w:rPr>
      </w:pPr>
    </w:p>
    <w:p w14:paraId="62DB9B1D" w14:textId="320948F2" w:rsidR="009B5F26" w:rsidRPr="00743CB1" w:rsidRDefault="00743CB1" w:rsidP="00743CB1">
      <w:pPr>
        <w:spacing w:line="360" w:lineRule="auto"/>
        <w:ind w:left="1080" w:hanging="360"/>
        <w:jc w:val="both"/>
        <w:rPr>
          <w:rFonts w:ascii="Arial" w:hAnsi="Arial" w:cs="Arial"/>
          <w:sz w:val="20"/>
          <w:szCs w:val="20"/>
        </w:rPr>
      </w:pPr>
      <w:r w:rsidRPr="00B92D9C">
        <w:rPr>
          <w:rFonts w:ascii="Arial" w:hAnsi="Arial" w:cs="Arial"/>
          <w:sz w:val="20"/>
          <w:szCs w:val="20"/>
        </w:rPr>
        <w:t>(a)</w:t>
      </w:r>
      <w:r w:rsidRPr="00B92D9C">
        <w:rPr>
          <w:rFonts w:ascii="Arial" w:hAnsi="Arial" w:cs="Arial"/>
          <w:sz w:val="20"/>
          <w:szCs w:val="20"/>
        </w:rPr>
        <w:tab/>
      </w:r>
      <w:r w:rsidR="007E6967" w:rsidRPr="00743CB1">
        <w:rPr>
          <w:rFonts w:ascii="Arial" w:hAnsi="Arial" w:cs="Arial"/>
          <w:sz w:val="20"/>
          <w:szCs w:val="20"/>
        </w:rPr>
        <w:t xml:space="preserve">that </w:t>
      </w:r>
      <w:r w:rsidR="00034DC5" w:rsidRPr="00743CB1">
        <w:rPr>
          <w:rFonts w:ascii="Arial" w:hAnsi="Arial" w:cs="Arial"/>
          <w:sz w:val="20"/>
          <w:szCs w:val="20"/>
        </w:rPr>
        <w:t>the defendants set the law in motion</w:t>
      </w:r>
      <w:r w:rsidR="009B5F26" w:rsidRPr="00743CB1">
        <w:rPr>
          <w:rFonts w:ascii="Arial" w:hAnsi="Arial" w:cs="Arial"/>
          <w:sz w:val="20"/>
          <w:szCs w:val="20"/>
        </w:rPr>
        <w:t xml:space="preserve"> (</w:t>
      </w:r>
      <w:r w:rsidR="00034DC5" w:rsidRPr="00743CB1">
        <w:rPr>
          <w:rFonts w:ascii="Arial" w:hAnsi="Arial" w:cs="Arial"/>
          <w:sz w:val="20"/>
          <w:szCs w:val="20"/>
        </w:rPr>
        <w:t xml:space="preserve">instigated or instituted </w:t>
      </w:r>
      <w:r w:rsidR="009B5F26" w:rsidRPr="00743CB1">
        <w:rPr>
          <w:rFonts w:ascii="Arial" w:hAnsi="Arial" w:cs="Arial"/>
          <w:sz w:val="20"/>
          <w:szCs w:val="20"/>
        </w:rPr>
        <w:t xml:space="preserve">the </w:t>
      </w:r>
      <w:r w:rsidR="00034DC5" w:rsidRPr="00743CB1">
        <w:rPr>
          <w:rFonts w:ascii="Arial" w:hAnsi="Arial" w:cs="Arial"/>
          <w:sz w:val="20"/>
          <w:szCs w:val="20"/>
        </w:rPr>
        <w:t>proceedings</w:t>
      </w:r>
      <w:r w:rsidR="009B5F26" w:rsidRPr="00743CB1">
        <w:rPr>
          <w:rFonts w:ascii="Arial" w:hAnsi="Arial" w:cs="Arial"/>
          <w:sz w:val="20"/>
          <w:szCs w:val="20"/>
        </w:rPr>
        <w:t>)</w:t>
      </w:r>
      <w:r w:rsidR="00034DC5" w:rsidRPr="00743CB1">
        <w:rPr>
          <w:rFonts w:ascii="Arial" w:hAnsi="Arial" w:cs="Arial"/>
          <w:sz w:val="20"/>
          <w:szCs w:val="20"/>
        </w:rPr>
        <w:t xml:space="preserve">; </w:t>
      </w:r>
    </w:p>
    <w:p w14:paraId="53546916" w14:textId="77777777" w:rsidR="000835CE" w:rsidRPr="00B92D9C" w:rsidRDefault="000835CE" w:rsidP="00B315F8">
      <w:pPr>
        <w:pStyle w:val="ListParagraph"/>
        <w:spacing w:line="360" w:lineRule="auto"/>
        <w:ind w:left="1080"/>
        <w:jc w:val="both"/>
        <w:rPr>
          <w:rFonts w:ascii="Arial" w:hAnsi="Arial" w:cs="Arial"/>
          <w:sz w:val="20"/>
          <w:szCs w:val="20"/>
        </w:rPr>
      </w:pPr>
    </w:p>
    <w:p w14:paraId="0C0E8D46" w14:textId="2B1F93AC" w:rsidR="00BA1DCC" w:rsidRPr="00743CB1" w:rsidRDefault="00743CB1" w:rsidP="00743CB1">
      <w:pPr>
        <w:spacing w:line="360" w:lineRule="auto"/>
        <w:ind w:left="1080" w:hanging="360"/>
        <w:jc w:val="both"/>
        <w:rPr>
          <w:rFonts w:ascii="Arial" w:hAnsi="Arial" w:cs="Arial"/>
          <w:sz w:val="20"/>
          <w:szCs w:val="20"/>
        </w:rPr>
      </w:pPr>
      <w:r w:rsidRPr="00B92D9C">
        <w:rPr>
          <w:rFonts w:ascii="Arial" w:hAnsi="Arial" w:cs="Arial"/>
          <w:sz w:val="20"/>
          <w:szCs w:val="20"/>
        </w:rPr>
        <w:t>(b)</w:t>
      </w:r>
      <w:r w:rsidRPr="00B92D9C">
        <w:rPr>
          <w:rFonts w:ascii="Arial" w:hAnsi="Arial" w:cs="Arial"/>
          <w:sz w:val="20"/>
          <w:szCs w:val="20"/>
        </w:rPr>
        <w:tab/>
      </w:r>
      <w:r w:rsidR="00BA1DCC" w:rsidRPr="00743CB1">
        <w:rPr>
          <w:rFonts w:ascii="Arial" w:hAnsi="Arial" w:cs="Arial"/>
          <w:sz w:val="20"/>
          <w:szCs w:val="20"/>
        </w:rPr>
        <w:t xml:space="preserve">that </w:t>
      </w:r>
      <w:r w:rsidR="00034DC5" w:rsidRPr="00743CB1">
        <w:rPr>
          <w:rFonts w:ascii="Arial" w:hAnsi="Arial" w:cs="Arial"/>
          <w:sz w:val="20"/>
          <w:szCs w:val="20"/>
        </w:rPr>
        <w:t xml:space="preserve">the defendants acted without reasonable and probable cause; </w:t>
      </w:r>
    </w:p>
    <w:p w14:paraId="7F96BCA7" w14:textId="77777777" w:rsidR="000835CE" w:rsidRPr="00B92D9C" w:rsidRDefault="000835CE" w:rsidP="00B315F8">
      <w:pPr>
        <w:pStyle w:val="ListParagraph"/>
        <w:spacing w:line="360" w:lineRule="auto"/>
        <w:ind w:left="1080"/>
        <w:jc w:val="both"/>
        <w:rPr>
          <w:rFonts w:ascii="Arial" w:hAnsi="Arial" w:cs="Arial"/>
          <w:sz w:val="20"/>
          <w:szCs w:val="20"/>
        </w:rPr>
      </w:pPr>
    </w:p>
    <w:p w14:paraId="09498DDE" w14:textId="56BD2B61" w:rsidR="003A6FDA" w:rsidRPr="00743CB1" w:rsidRDefault="00743CB1" w:rsidP="00743CB1">
      <w:pPr>
        <w:spacing w:line="360" w:lineRule="auto"/>
        <w:ind w:left="1080" w:hanging="360"/>
        <w:jc w:val="both"/>
        <w:rPr>
          <w:rFonts w:ascii="Arial" w:hAnsi="Arial" w:cs="Arial"/>
          <w:sz w:val="20"/>
          <w:szCs w:val="20"/>
        </w:rPr>
      </w:pPr>
      <w:r w:rsidRPr="00B92D9C">
        <w:rPr>
          <w:rFonts w:ascii="Arial" w:hAnsi="Arial" w:cs="Arial"/>
          <w:sz w:val="20"/>
          <w:szCs w:val="20"/>
        </w:rPr>
        <w:lastRenderedPageBreak/>
        <w:t>(c)</w:t>
      </w:r>
      <w:r w:rsidRPr="00B92D9C">
        <w:rPr>
          <w:rFonts w:ascii="Arial" w:hAnsi="Arial" w:cs="Arial"/>
          <w:sz w:val="20"/>
          <w:szCs w:val="20"/>
        </w:rPr>
        <w:tab/>
      </w:r>
      <w:r w:rsidR="00BA1DCC" w:rsidRPr="00743CB1">
        <w:rPr>
          <w:rFonts w:ascii="Arial" w:hAnsi="Arial" w:cs="Arial"/>
          <w:sz w:val="20"/>
          <w:szCs w:val="20"/>
        </w:rPr>
        <w:t xml:space="preserve">that </w:t>
      </w:r>
      <w:r w:rsidR="00034DC5" w:rsidRPr="00743CB1">
        <w:rPr>
          <w:rFonts w:ascii="Arial" w:hAnsi="Arial" w:cs="Arial"/>
          <w:sz w:val="20"/>
          <w:szCs w:val="20"/>
        </w:rPr>
        <w:t xml:space="preserve">the defendants acted with </w:t>
      </w:r>
      <w:r w:rsidR="00BA1DCC" w:rsidRPr="00743CB1">
        <w:rPr>
          <w:rFonts w:ascii="Arial" w:hAnsi="Arial" w:cs="Arial"/>
          <w:sz w:val="20"/>
          <w:szCs w:val="20"/>
        </w:rPr>
        <w:t>“</w:t>
      </w:r>
      <w:r w:rsidR="00034DC5" w:rsidRPr="00743CB1">
        <w:rPr>
          <w:rFonts w:ascii="Arial" w:hAnsi="Arial" w:cs="Arial"/>
          <w:sz w:val="20"/>
          <w:szCs w:val="20"/>
        </w:rPr>
        <w:t>malice</w:t>
      </w:r>
      <w:r w:rsidR="00BA1DCC" w:rsidRPr="00743CB1">
        <w:rPr>
          <w:rFonts w:ascii="Arial" w:hAnsi="Arial" w:cs="Arial"/>
          <w:sz w:val="20"/>
          <w:szCs w:val="20"/>
        </w:rPr>
        <w:t>”</w:t>
      </w:r>
      <w:r w:rsidR="00865FF4" w:rsidRPr="00743CB1">
        <w:rPr>
          <w:rFonts w:ascii="Arial" w:hAnsi="Arial" w:cs="Arial"/>
          <w:sz w:val="20"/>
          <w:szCs w:val="20"/>
        </w:rPr>
        <w:t xml:space="preserve"> (or</w:t>
      </w:r>
      <w:r w:rsidR="00034DC5" w:rsidRPr="00743CB1">
        <w:rPr>
          <w:rFonts w:ascii="Arial" w:hAnsi="Arial" w:cs="Arial"/>
          <w:sz w:val="20"/>
          <w:szCs w:val="20"/>
        </w:rPr>
        <w:t xml:space="preserve"> </w:t>
      </w:r>
      <w:r w:rsidR="00034DC5" w:rsidRPr="00743CB1">
        <w:rPr>
          <w:rFonts w:ascii="Arial" w:hAnsi="Arial" w:cs="Arial"/>
          <w:i/>
          <w:iCs/>
          <w:sz w:val="20"/>
          <w:szCs w:val="20"/>
        </w:rPr>
        <w:t>animo iniuriandi</w:t>
      </w:r>
      <w:r w:rsidR="00865FF4" w:rsidRPr="00743CB1">
        <w:rPr>
          <w:rFonts w:ascii="Arial" w:hAnsi="Arial" w:cs="Arial"/>
          <w:sz w:val="20"/>
          <w:szCs w:val="20"/>
        </w:rPr>
        <w:t>)</w:t>
      </w:r>
      <w:r w:rsidR="00034DC5" w:rsidRPr="00743CB1">
        <w:rPr>
          <w:rFonts w:ascii="Arial" w:hAnsi="Arial" w:cs="Arial"/>
          <w:sz w:val="20"/>
          <w:szCs w:val="20"/>
        </w:rPr>
        <w:t xml:space="preserve">; and </w:t>
      </w:r>
    </w:p>
    <w:p w14:paraId="54AF41DD" w14:textId="77777777" w:rsidR="000835CE" w:rsidRPr="00B92D9C" w:rsidRDefault="000835CE" w:rsidP="00B315F8">
      <w:pPr>
        <w:pStyle w:val="ListParagraph"/>
        <w:spacing w:line="360" w:lineRule="auto"/>
        <w:ind w:left="1080"/>
        <w:jc w:val="both"/>
        <w:rPr>
          <w:rFonts w:ascii="Arial" w:hAnsi="Arial" w:cs="Arial"/>
          <w:sz w:val="20"/>
          <w:szCs w:val="20"/>
        </w:rPr>
      </w:pPr>
    </w:p>
    <w:p w14:paraId="1F0FAEA5" w14:textId="57318672" w:rsidR="00157589" w:rsidRPr="00743CB1" w:rsidRDefault="00743CB1" w:rsidP="00743CB1">
      <w:pPr>
        <w:spacing w:line="360" w:lineRule="auto"/>
        <w:ind w:left="1080" w:hanging="360"/>
        <w:jc w:val="both"/>
        <w:rPr>
          <w:rFonts w:ascii="Arial" w:hAnsi="Arial" w:cs="Arial"/>
          <w:sz w:val="20"/>
          <w:szCs w:val="20"/>
        </w:rPr>
      </w:pPr>
      <w:r w:rsidRPr="00B92D9C">
        <w:rPr>
          <w:rFonts w:ascii="Arial" w:hAnsi="Arial" w:cs="Arial"/>
          <w:sz w:val="20"/>
          <w:szCs w:val="20"/>
        </w:rPr>
        <w:t>(d)</w:t>
      </w:r>
      <w:r w:rsidRPr="00B92D9C">
        <w:rPr>
          <w:rFonts w:ascii="Arial" w:hAnsi="Arial" w:cs="Arial"/>
          <w:sz w:val="20"/>
          <w:szCs w:val="20"/>
        </w:rPr>
        <w:tab/>
      </w:r>
      <w:r w:rsidR="003A6FDA" w:rsidRPr="00743CB1">
        <w:rPr>
          <w:rFonts w:ascii="Arial" w:hAnsi="Arial" w:cs="Arial"/>
          <w:sz w:val="20"/>
          <w:szCs w:val="20"/>
        </w:rPr>
        <w:t xml:space="preserve">that </w:t>
      </w:r>
      <w:r w:rsidR="00034DC5" w:rsidRPr="00743CB1">
        <w:rPr>
          <w:rFonts w:ascii="Arial" w:hAnsi="Arial" w:cs="Arial"/>
          <w:sz w:val="20"/>
          <w:szCs w:val="20"/>
        </w:rPr>
        <w:t xml:space="preserve">the prosecution </w:t>
      </w:r>
      <w:r w:rsidR="003A6FDA" w:rsidRPr="00743CB1">
        <w:rPr>
          <w:rFonts w:ascii="Arial" w:hAnsi="Arial" w:cs="Arial"/>
          <w:sz w:val="20"/>
          <w:szCs w:val="20"/>
        </w:rPr>
        <w:t xml:space="preserve">has </w:t>
      </w:r>
      <w:r w:rsidR="00034DC5" w:rsidRPr="00743CB1">
        <w:rPr>
          <w:rFonts w:ascii="Arial" w:hAnsi="Arial" w:cs="Arial"/>
          <w:sz w:val="20"/>
          <w:szCs w:val="20"/>
        </w:rPr>
        <w:t>failed.</w:t>
      </w:r>
      <w:r w:rsidR="003A6FDA" w:rsidRPr="00743CB1">
        <w:rPr>
          <w:rFonts w:ascii="Arial" w:hAnsi="Arial" w:cs="Arial"/>
          <w:sz w:val="20"/>
          <w:szCs w:val="20"/>
        </w:rPr>
        <w:t>’</w:t>
      </w:r>
      <w:r w:rsidR="00034DC5" w:rsidRPr="00B92D9C">
        <w:rPr>
          <w:rStyle w:val="FootnoteReference"/>
          <w:rFonts w:ascii="Arial" w:hAnsi="Arial" w:cs="Arial"/>
          <w:sz w:val="20"/>
          <w:szCs w:val="20"/>
        </w:rPr>
        <w:footnoteReference w:id="19"/>
      </w:r>
    </w:p>
    <w:p w14:paraId="2C096B5C" w14:textId="77777777" w:rsidR="000835CE" w:rsidRDefault="000835CE" w:rsidP="00466616">
      <w:pPr>
        <w:spacing w:line="360" w:lineRule="auto"/>
        <w:rPr>
          <w:rFonts w:ascii="Arial" w:hAnsi="Arial" w:cs="Arial"/>
          <w:sz w:val="24"/>
          <w:szCs w:val="24"/>
        </w:rPr>
      </w:pPr>
    </w:p>
    <w:p w14:paraId="087DC668" w14:textId="4EFABA82" w:rsidR="00B315F8" w:rsidRPr="00743CB1" w:rsidRDefault="00743CB1" w:rsidP="00743CB1">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8E7DA2" w:rsidRPr="00743CB1">
        <w:rPr>
          <w:rFonts w:ascii="Arial" w:hAnsi="Arial" w:cs="Arial"/>
          <w:sz w:val="24"/>
          <w:szCs w:val="24"/>
        </w:rPr>
        <w:t xml:space="preserve">It was common cause, in the present matter, that </w:t>
      </w:r>
      <w:r w:rsidR="000B1887" w:rsidRPr="00743CB1">
        <w:rPr>
          <w:rFonts w:ascii="Arial" w:hAnsi="Arial" w:cs="Arial"/>
          <w:sz w:val="24"/>
          <w:szCs w:val="24"/>
        </w:rPr>
        <w:t xml:space="preserve">there had been an altercation between the plaintiffs and two police officers. It was also common cause that </w:t>
      </w:r>
      <w:r w:rsidR="008E7DA2" w:rsidRPr="00743CB1">
        <w:rPr>
          <w:rFonts w:ascii="Arial" w:hAnsi="Arial" w:cs="Arial"/>
          <w:sz w:val="24"/>
          <w:szCs w:val="24"/>
        </w:rPr>
        <w:t xml:space="preserve">Sgt Kriedemann’s statement </w:t>
      </w:r>
      <w:r w:rsidR="000B1887" w:rsidRPr="00743CB1">
        <w:rPr>
          <w:rFonts w:ascii="Arial" w:hAnsi="Arial" w:cs="Arial"/>
          <w:sz w:val="24"/>
          <w:szCs w:val="24"/>
        </w:rPr>
        <w:t xml:space="preserve">had </w:t>
      </w:r>
      <w:r w:rsidR="008E7DA2" w:rsidRPr="00743CB1">
        <w:rPr>
          <w:rFonts w:ascii="Arial" w:hAnsi="Arial" w:cs="Arial"/>
          <w:sz w:val="24"/>
          <w:szCs w:val="24"/>
        </w:rPr>
        <w:t xml:space="preserve">formed the basis for charges of common assault against the plaintiffs. It was not disputed that the statement </w:t>
      </w:r>
      <w:r w:rsidR="000B1887" w:rsidRPr="00743CB1">
        <w:rPr>
          <w:rFonts w:ascii="Arial" w:hAnsi="Arial" w:cs="Arial"/>
          <w:sz w:val="24"/>
          <w:szCs w:val="24"/>
        </w:rPr>
        <w:t>had been</w:t>
      </w:r>
      <w:r w:rsidR="008E7DA2" w:rsidRPr="00743CB1">
        <w:rPr>
          <w:rFonts w:ascii="Arial" w:hAnsi="Arial" w:cs="Arial"/>
          <w:sz w:val="24"/>
          <w:szCs w:val="24"/>
        </w:rPr>
        <w:t xml:space="preserve"> accompanied by those of Const Roman and two other officers. It was</w:t>
      </w:r>
      <w:r w:rsidR="000B1887" w:rsidRPr="00743CB1">
        <w:rPr>
          <w:rFonts w:ascii="Arial" w:hAnsi="Arial" w:cs="Arial"/>
          <w:sz w:val="24"/>
          <w:szCs w:val="24"/>
        </w:rPr>
        <w:t>, furthermore,</w:t>
      </w:r>
      <w:r w:rsidR="008E7DA2" w:rsidRPr="00743CB1">
        <w:rPr>
          <w:rFonts w:ascii="Arial" w:hAnsi="Arial" w:cs="Arial"/>
          <w:sz w:val="24"/>
          <w:szCs w:val="24"/>
        </w:rPr>
        <w:t xml:space="preserve"> common cause that the proceedings </w:t>
      </w:r>
      <w:r w:rsidR="000B1887" w:rsidRPr="00743CB1">
        <w:rPr>
          <w:rFonts w:ascii="Arial" w:hAnsi="Arial" w:cs="Arial"/>
          <w:sz w:val="24"/>
          <w:szCs w:val="24"/>
        </w:rPr>
        <w:t xml:space="preserve">had </w:t>
      </w:r>
      <w:r w:rsidR="008E7DA2" w:rsidRPr="00743CB1">
        <w:rPr>
          <w:rFonts w:ascii="Arial" w:hAnsi="Arial" w:cs="Arial"/>
          <w:sz w:val="24"/>
          <w:szCs w:val="24"/>
        </w:rPr>
        <w:t xml:space="preserve">culminated in a mediated outcome, whereby the plaintiffs </w:t>
      </w:r>
      <w:r w:rsidR="000B1887" w:rsidRPr="00743CB1">
        <w:rPr>
          <w:rFonts w:ascii="Arial" w:hAnsi="Arial" w:cs="Arial"/>
          <w:sz w:val="24"/>
          <w:szCs w:val="24"/>
        </w:rPr>
        <w:t xml:space="preserve">had </w:t>
      </w:r>
      <w:r w:rsidR="00624D26" w:rsidRPr="00743CB1">
        <w:rPr>
          <w:rFonts w:ascii="Arial" w:hAnsi="Arial" w:cs="Arial"/>
          <w:sz w:val="24"/>
          <w:szCs w:val="24"/>
        </w:rPr>
        <w:t xml:space="preserve">apologised and </w:t>
      </w:r>
      <w:r w:rsidR="008E7DA2" w:rsidRPr="00743CB1">
        <w:rPr>
          <w:rFonts w:ascii="Arial" w:hAnsi="Arial" w:cs="Arial"/>
          <w:sz w:val="24"/>
          <w:szCs w:val="24"/>
        </w:rPr>
        <w:t>agreed not to assault Sgt Kriedemann</w:t>
      </w:r>
      <w:r w:rsidR="00410C0D" w:rsidRPr="00743CB1">
        <w:rPr>
          <w:rFonts w:ascii="Arial" w:hAnsi="Arial" w:cs="Arial"/>
          <w:sz w:val="24"/>
          <w:szCs w:val="24"/>
        </w:rPr>
        <w:t xml:space="preserve"> in the future</w:t>
      </w:r>
      <w:r w:rsidR="008E7DA2" w:rsidRPr="00743CB1">
        <w:rPr>
          <w:rFonts w:ascii="Arial" w:hAnsi="Arial" w:cs="Arial"/>
          <w:sz w:val="24"/>
          <w:szCs w:val="24"/>
        </w:rPr>
        <w:t xml:space="preserve">. </w:t>
      </w:r>
    </w:p>
    <w:p w14:paraId="667E828C" w14:textId="77777777" w:rsidR="00B315F8" w:rsidRDefault="00B315F8" w:rsidP="00B315F8">
      <w:pPr>
        <w:pStyle w:val="ListParagraph"/>
        <w:spacing w:line="360" w:lineRule="auto"/>
        <w:ind w:left="0"/>
        <w:jc w:val="both"/>
        <w:rPr>
          <w:rFonts w:ascii="Arial" w:hAnsi="Arial" w:cs="Arial"/>
          <w:sz w:val="24"/>
          <w:szCs w:val="24"/>
        </w:rPr>
      </w:pPr>
    </w:p>
    <w:p w14:paraId="6F559EA7" w14:textId="1C21AB6E" w:rsidR="00B315F8" w:rsidRPr="00743CB1" w:rsidRDefault="00743CB1" w:rsidP="00743CB1">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8E7DA2" w:rsidRPr="00743CB1">
        <w:rPr>
          <w:rFonts w:ascii="Arial" w:hAnsi="Arial" w:cs="Arial"/>
          <w:sz w:val="24"/>
          <w:szCs w:val="24"/>
        </w:rPr>
        <w:t>To th</w:t>
      </w:r>
      <w:r w:rsidR="000B1887" w:rsidRPr="00743CB1">
        <w:rPr>
          <w:rFonts w:ascii="Arial" w:hAnsi="Arial" w:cs="Arial"/>
          <w:sz w:val="24"/>
          <w:szCs w:val="24"/>
        </w:rPr>
        <w:t>e above</w:t>
      </w:r>
      <w:r w:rsidR="008E7DA2" w:rsidRPr="00743CB1">
        <w:rPr>
          <w:rFonts w:ascii="Arial" w:hAnsi="Arial" w:cs="Arial"/>
          <w:sz w:val="24"/>
          <w:szCs w:val="24"/>
        </w:rPr>
        <w:t>, the plaintiffs vehemently denied that either of them had assault</w:t>
      </w:r>
      <w:r w:rsidR="00F04E09" w:rsidRPr="00743CB1">
        <w:rPr>
          <w:rFonts w:ascii="Arial" w:hAnsi="Arial" w:cs="Arial"/>
          <w:sz w:val="24"/>
          <w:szCs w:val="24"/>
        </w:rPr>
        <w:t xml:space="preserve">ed Sgt Kriedemann. They </w:t>
      </w:r>
      <w:r w:rsidR="008E7DA2" w:rsidRPr="00743CB1">
        <w:rPr>
          <w:rFonts w:ascii="Arial" w:hAnsi="Arial" w:cs="Arial"/>
          <w:sz w:val="24"/>
          <w:szCs w:val="24"/>
        </w:rPr>
        <w:t>alleged</w:t>
      </w:r>
      <w:r w:rsidR="00F04E09" w:rsidRPr="00743CB1">
        <w:rPr>
          <w:rFonts w:ascii="Arial" w:hAnsi="Arial" w:cs="Arial"/>
          <w:sz w:val="24"/>
          <w:szCs w:val="24"/>
        </w:rPr>
        <w:t>, moreover,</w:t>
      </w:r>
      <w:r w:rsidR="008E7DA2" w:rsidRPr="00743CB1">
        <w:rPr>
          <w:rFonts w:ascii="Arial" w:hAnsi="Arial" w:cs="Arial"/>
          <w:sz w:val="24"/>
          <w:szCs w:val="24"/>
        </w:rPr>
        <w:t xml:space="preserve"> that they had </w:t>
      </w:r>
      <w:r w:rsidR="00C45D62" w:rsidRPr="00743CB1">
        <w:rPr>
          <w:rFonts w:ascii="Arial" w:hAnsi="Arial" w:cs="Arial"/>
          <w:sz w:val="24"/>
          <w:szCs w:val="24"/>
        </w:rPr>
        <w:t xml:space="preserve">entered mediation proceedings and </w:t>
      </w:r>
      <w:r w:rsidR="008E7DA2" w:rsidRPr="00743CB1">
        <w:rPr>
          <w:rFonts w:ascii="Arial" w:hAnsi="Arial" w:cs="Arial"/>
          <w:sz w:val="24"/>
          <w:szCs w:val="24"/>
        </w:rPr>
        <w:t xml:space="preserve">concluded the </w:t>
      </w:r>
      <w:r w:rsidR="00C45D62" w:rsidRPr="00743CB1">
        <w:rPr>
          <w:rFonts w:ascii="Arial" w:hAnsi="Arial" w:cs="Arial"/>
          <w:sz w:val="24"/>
          <w:szCs w:val="24"/>
        </w:rPr>
        <w:t xml:space="preserve">subsequent </w:t>
      </w:r>
      <w:r w:rsidR="008E7DA2" w:rsidRPr="00743CB1">
        <w:rPr>
          <w:rFonts w:ascii="Arial" w:hAnsi="Arial" w:cs="Arial"/>
          <w:sz w:val="24"/>
          <w:szCs w:val="24"/>
        </w:rPr>
        <w:t>agreement under duress, without legal representation.</w:t>
      </w:r>
    </w:p>
    <w:p w14:paraId="64078FB5" w14:textId="48FBBC83" w:rsidR="00B315F8" w:rsidRPr="00743CB1" w:rsidRDefault="00743CB1" w:rsidP="00743CB1">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C51534" w:rsidRPr="00743CB1">
        <w:rPr>
          <w:rFonts w:ascii="Arial" w:hAnsi="Arial" w:cs="Arial"/>
          <w:sz w:val="24"/>
          <w:szCs w:val="24"/>
        </w:rPr>
        <w:t xml:space="preserve">Counsel for both defendants argued that the plaintiffs failed to produce any evidence to support </w:t>
      </w:r>
      <w:r w:rsidR="00D353D0" w:rsidRPr="00743CB1">
        <w:rPr>
          <w:rFonts w:ascii="Arial" w:hAnsi="Arial" w:cs="Arial"/>
          <w:sz w:val="24"/>
          <w:szCs w:val="24"/>
        </w:rPr>
        <w:t xml:space="preserve">a </w:t>
      </w:r>
      <w:r w:rsidR="00C51534" w:rsidRPr="00743CB1">
        <w:rPr>
          <w:rFonts w:ascii="Arial" w:hAnsi="Arial" w:cs="Arial"/>
          <w:sz w:val="24"/>
          <w:szCs w:val="24"/>
        </w:rPr>
        <w:t>cause of action</w:t>
      </w:r>
      <w:r w:rsidR="00D353D0" w:rsidRPr="00743CB1">
        <w:rPr>
          <w:rFonts w:ascii="Arial" w:hAnsi="Arial" w:cs="Arial"/>
          <w:sz w:val="24"/>
          <w:szCs w:val="24"/>
        </w:rPr>
        <w:t xml:space="preserve"> </w:t>
      </w:r>
      <w:r w:rsidR="00940824" w:rsidRPr="00743CB1">
        <w:rPr>
          <w:rFonts w:ascii="Arial" w:hAnsi="Arial" w:cs="Arial"/>
          <w:sz w:val="24"/>
          <w:szCs w:val="24"/>
        </w:rPr>
        <w:t>based on</w:t>
      </w:r>
      <w:r w:rsidR="00D353D0" w:rsidRPr="00743CB1">
        <w:rPr>
          <w:rFonts w:ascii="Arial" w:hAnsi="Arial" w:cs="Arial"/>
          <w:sz w:val="24"/>
          <w:szCs w:val="24"/>
        </w:rPr>
        <w:t xml:space="preserve"> malicious prosecution</w:t>
      </w:r>
      <w:r w:rsidR="00C51534" w:rsidRPr="00743CB1">
        <w:rPr>
          <w:rFonts w:ascii="Arial" w:hAnsi="Arial" w:cs="Arial"/>
          <w:sz w:val="24"/>
          <w:szCs w:val="24"/>
        </w:rPr>
        <w:t xml:space="preserve">. The court, having considered the record in detail, </w:t>
      </w:r>
      <w:r w:rsidR="008E7DA2" w:rsidRPr="00743CB1">
        <w:rPr>
          <w:rFonts w:ascii="Arial" w:hAnsi="Arial" w:cs="Arial"/>
          <w:sz w:val="24"/>
          <w:szCs w:val="24"/>
        </w:rPr>
        <w:t xml:space="preserve">tends to </w:t>
      </w:r>
      <w:r w:rsidR="00C51534" w:rsidRPr="00743CB1">
        <w:rPr>
          <w:rFonts w:ascii="Arial" w:hAnsi="Arial" w:cs="Arial"/>
          <w:sz w:val="24"/>
          <w:szCs w:val="24"/>
        </w:rPr>
        <w:t xml:space="preserve">agree. Whereas the plaintiffs presented a detailed description of the circumstances that led to their arrest and detention, they did not advance any material facts </w:t>
      </w:r>
      <w:r w:rsidR="008E7DA2" w:rsidRPr="00743CB1">
        <w:rPr>
          <w:rFonts w:ascii="Arial" w:hAnsi="Arial" w:cs="Arial"/>
          <w:sz w:val="24"/>
          <w:szCs w:val="24"/>
        </w:rPr>
        <w:t xml:space="preserve">to </w:t>
      </w:r>
      <w:r w:rsidR="00B905DE" w:rsidRPr="00743CB1">
        <w:rPr>
          <w:rFonts w:ascii="Arial" w:hAnsi="Arial" w:cs="Arial"/>
          <w:sz w:val="24"/>
          <w:szCs w:val="24"/>
        </w:rPr>
        <w:t>demonstrate</w:t>
      </w:r>
      <w:r w:rsidR="008E7DA2" w:rsidRPr="00743CB1">
        <w:rPr>
          <w:rFonts w:ascii="Arial" w:hAnsi="Arial" w:cs="Arial"/>
          <w:sz w:val="24"/>
          <w:szCs w:val="24"/>
        </w:rPr>
        <w:t xml:space="preserve"> that the police officers </w:t>
      </w:r>
      <w:r w:rsidR="00B905DE" w:rsidRPr="00743CB1">
        <w:rPr>
          <w:rFonts w:ascii="Arial" w:hAnsi="Arial" w:cs="Arial"/>
          <w:sz w:val="24"/>
          <w:szCs w:val="24"/>
        </w:rPr>
        <w:t>involved, and</w:t>
      </w:r>
      <w:r w:rsidR="008E7DA2" w:rsidRPr="00743CB1">
        <w:rPr>
          <w:rFonts w:ascii="Arial" w:hAnsi="Arial" w:cs="Arial"/>
          <w:sz w:val="24"/>
          <w:szCs w:val="24"/>
        </w:rPr>
        <w:t xml:space="preserve"> the prosecutor</w:t>
      </w:r>
      <w:r w:rsidR="00B905DE" w:rsidRPr="00743CB1">
        <w:rPr>
          <w:rFonts w:ascii="Arial" w:hAnsi="Arial" w:cs="Arial"/>
          <w:sz w:val="24"/>
          <w:szCs w:val="24"/>
        </w:rPr>
        <w:t>,</w:t>
      </w:r>
      <w:r w:rsidR="008E7DA2" w:rsidRPr="00743CB1">
        <w:rPr>
          <w:rFonts w:ascii="Arial" w:hAnsi="Arial" w:cs="Arial"/>
          <w:sz w:val="24"/>
          <w:szCs w:val="24"/>
        </w:rPr>
        <w:t xml:space="preserve"> had </w:t>
      </w:r>
      <w:r w:rsidR="00B905DE" w:rsidRPr="00743CB1">
        <w:rPr>
          <w:rFonts w:ascii="Arial" w:hAnsi="Arial" w:cs="Arial"/>
          <w:sz w:val="24"/>
          <w:szCs w:val="24"/>
        </w:rPr>
        <w:t>lacked an honest belief, based on reasonable grounds, that the instigation or institution of proceedings was justified.</w:t>
      </w:r>
      <w:r w:rsidR="00912476">
        <w:rPr>
          <w:rStyle w:val="FootnoteReference"/>
          <w:rFonts w:ascii="Arial" w:hAnsi="Arial" w:cs="Arial"/>
          <w:sz w:val="24"/>
          <w:szCs w:val="24"/>
        </w:rPr>
        <w:footnoteReference w:id="20"/>
      </w:r>
      <w:r w:rsidR="00B905DE" w:rsidRPr="00743CB1">
        <w:rPr>
          <w:rFonts w:ascii="Arial" w:hAnsi="Arial" w:cs="Arial"/>
          <w:sz w:val="24"/>
          <w:szCs w:val="24"/>
        </w:rPr>
        <w:t xml:space="preserve"> Similarly, </w:t>
      </w:r>
      <w:r w:rsidR="000B1887" w:rsidRPr="00743CB1">
        <w:rPr>
          <w:rFonts w:ascii="Arial" w:hAnsi="Arial" w:cs="Arial"/>
          <w:sz w:val="24"/>
          <w:szCs w:val="24"/>
        </w:rPr>
        <w:t xml:space="preserve">the plaintiffs failed to demonstrate that the defendants had the intention to injure them, whether in the form of </w:t>
      </w:r>
      <w:r w:rsidR="000B1887" w:rsidRPr="00743CB1">
        <w:rPr>
          <w:rFonts w:ascii="Arial" w:hAnsi="Arial" w:cs="Arial"/>
          <w:i/>
          <w:iCs/>
          <w:sz w:val="24"/>
          <w:szCs w:val="24"/>
        </w:rPr>
        <w:t>dolus directus</w:t>
      </w:r>
      <w:r w:rsidR="000B1887" w:rsidRPr="00743CB1">
        <w:rPr>
          <w:rFonts w:ascii="Arial" w:hAnsi="Arial" w:cs="Arial"/>
          <w:sz w:val="24"/>
          <w:szCs w:val="24"/>
        </w:rPr>
        <w:t xml:space="preserve"> or </w:t>
      </w:r>
      <w:r w:rsidR="000B1887" w:rsidRPr="00743CB1">
        <w:rPr>
          <w:rFonts w:ascii="Arial" w:hAnsi="Arial" w:cs="Arial"/>
          <w:i/>
          <w:iCs/>
          <w:sz w:val="24"/>
          <w:szCs w:val="24"/>
        </w:rPr>
        <w:t>indirectus</w:t>
      </w:r>
      <w:r w:rsidR="000B1887" w:rsidRPr="00743CB1">
        <w:rPr>
          <w:rFonts w:ascii="Arial" w:hAnsi="Arial" w:cs="Arial"/>
          <w:sz w:val="24"/>
          <w:szCs w:val="24"/>
        </w:rPr>
        <w:t>.</w:t>
      </w:r>
      <w:r w:rsidR="000B1887">
        <w:rPr>
          <w:rStyle w:val="FootnoteReference"/>
          <w:rFonts w:ascii="Arial" w:hAnsi="Arial" w:cs="Arial"/>
          <w:sz w:val="24"/>
          <w:szCs w:val="24"/>
        </w:rPr>
        <w:footnoteReference w:id="21"/>
      </w:r>
      <w:r w:rsidR="000B1887" w:rsidRPr="00743CB1">
        <w:rPr>
          <w:rFonts w:ascii="Arial" w:hAnsi="Arial" w:cs="Arial"/>
          <w:sz w:val="24"/>
          <w:szCs w:val="24"/>
        </w:rPr>
        <w:t xml:space="preserve"> </w:t>
      </w:r>
    </w:p>
    <w:p w14:paraId="22698C4E" w14:textId="77777777" w:rsidR="00B315F8" w:rsidRDefault="00B315F8" w:rsidP="00B315F8">
      <w:pPr>
        <w:pStyle w:val="ListParagraph"/>
        <w:spacing w:line="360" w:lineRule="auto"/>
        <w:ind w:left="0"/>
        <w:jc w:val="both"/>
        <w:rPr>
          <w:rFonts w:ascii="Arial" w:hAnsi="Arial" w:cs="Arial"/>
          <w:sz w:val="24"/>
          <w:szCs w:val="24"/>
        </w:rPr>
      </w:pPr>
    </w:p>
    <w:p w14:paraId="74945B2A" w14:textId="1DA8ABDD" w:rsidR="00B315F8" w:rsidRPr="00743CB1" w:rsidRDefault="00743CB1" w:rsidP="00743CB1">
      <w:pPr>
        <w:spacing w:line="360" w:lineRule="auto"/>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F04E09" w:rsidRPr="00743CB1">
        <w:rPr>
          <w:rFonts w:ascii="Arial" w:hAnsi="Arial" w:cs="Arial"/>
          <w:sz w:val="24"/>
          <w:szCs w:val="24"/>
        </w:rPr>
        <w:t xml:space="preserve">Of more concern, however, is the </w:t>
      </w:r>
      <w:r w:rsidR="00F36FF6" w:rsidRPr="00743CB1">
        <w:rPr>
          <w:rFonts w:ascii="Arial" w:hAnsi="Arial" w:cs="Arial"/>
          <w:sz w:val="24"/>
          <w:szCs w:val="24"/>
        </w:rPr>
        <w:t xml:space="preserve">nature of the </w:t>
      </w:r>
      <w:r w:rsidR="00F04E09" w:rsidRPr="00743CB1">
        <w:rPr>
          <w:rFonts w:ascii="Arial" w:hAnsi="Arial" w:cs="Arial"/>
          <w:sz w:val="24"/>
          <w:szCs w:val="24"/>
        </w:rPr>
        <w:t xml:space="preserve">cause of action </w:t>
      </w:r>
      <w:r w:rsidR="00D82E6A" w:rsidRPr="00743CB1">
        <w:rPr>
          <w:rFonts w:ascii="Arial" w:hAnsi="Arial" w:cs="Arial"/>
          <w:sz w:val="24"/>
          <w:szCs w:val="24"/>
        </w:rPr>
        <w:t xml:space="preserve">for </w:t>
      </w:r>
      <w:r w:rsidR="00F04E09" w:rsidRPr="00743CB1">
        <w:rPr>
          <w:rFonts w:ascii="Arial" w:hAnsi="Arial" w:cs="Arial"/>
          <w:sz w:val="24"/>
          <w:szCs w:val="24"/>
        </w:rPr>
        <w:t>the plaintiffs</w:t>
      </w:r>
      <w:r w:rsidR="00866FDA" w:rsidRPr="00743CB1">
        <w:rPr>
          <w:rFonts w:ascii="Arial" w:hAnsi="Arial" w:cs="Arial"/>
          <w:sz w:val="24"/>
          <w:szCs w:val="24"/>
        </w:rPr>
        <w:t>’</w:t>
      </w:r>
      <w:r w:rsidR="00F04E09" w:rsidRPr="00743CB1">
        <w:rPr>
          <w:rFonts w:ascii="Arial" w:hAnsi="Arial" w:cs="Arial"/>
          <w:sz w:val="24"/>
          <w:szCs w:val="24"/>
        </w:rPr>
        <w:t xml:space="preserve"> </w:t>
      </w:r>
      <w:r w:rsidR="00D345C4" w:rsidRPr="00743CB1">
        <w:rPr>
          <w:rFonts w:ascii="Arial" w:hAnsi="Arial" w:cs="Arial"/>
          <w:sz w:val="24"/>
          <w:szCs w:val="24"/>
        </w:rPr>
        <w:t xml:space="preserve">third and final </w:t>
      </w:r>
      <w:r w:rsidR="00F04E09" w:rsidRPr="00743CB1">
        <w:rPr>
          <w:rFonts w:ascii="Arial" w:hAnsi="Arial" w:cs="Arial"/>
          <w:sz w:val="24"/>
          <w:szCs w:val="24"/>
        </w:rPr>
        <w:t xml:space="preserve">claims. </w:t>
      </w:r>
      <w:r w:rsidR="00830F02" w:rsidRPr="00743CB1">
        <w:rPr>
          <w:rFonts w:ascii="Arial" w:hAnsi="Arial" w:cs="Arial"/>
          <w:sz w:val="24"/>
          <w:szCs w:val="24"/>
        </w:rPr>
        <w:t>Besides</w:t>
      </w:r>
      <w:r w:rsidR="00F04E09" w:rsidRPr="00743CB1">
        <w:rPr>
          <w:rFonts w:ascii="Arial" w:hAnsi="Arial" w:cs="Arial"/>
          <w:sz w:val="24"/>
          <w:szCs w:val="24"/>
        </w:rPr>
        <w:t xml:space="preserve"> the </w:t>
      </w:r>
      <w:r w:rsidR="00830F02" w:rsidRPr="00743CB1">
        <w:rPr>
          <w:rFonts w:ascii="Arial" w:hAnsi="Arial" w:cs="Arial"/>
          <w:sz w:val="24"/>
          <w:szCs w:val="24"/>
        </w:rPr>
        <w:t xml:space="preserve">problems </w:t>
      </w:r>
      <w:r w:rsidR="00DD5FA9" w:rsidRPr="00743CB1">
        <w:rPr>
          <w:rFonts w:ascii="Arial" w:hAnsi="Arial" w:cs="Arial"/>
          <w:sz w:val="24"/>
          <w:szCs w:val="24"/>
        </w:rPr>
        <w:t>creat</w:t>
      </w:r>
      <w:r w:rsidR="00830F02" w:rsidRPr="00743CB1">
        <w:rPr>
          <w:rFonts w:ascii="Arial" w:hAnsi="Arial" w:cs="Arial"/>
          <w:sz w:val="24"/>
          <w:szCs w:val="24"/>
        </w:rPr>
        <w:t xml:space="preserve">ed by the </w:t>
      </w:r>
      <w:r w:rsidR="00F04E09" w:rsidRPr="00743CB1">
        <w:rPr>
          <w:rFonts w:ascii="Arial" w:hAnsi="Arial" w:cs="Arial"/>
          <w:sz w:val="24"/>
          <w:szCs w:val="24"/>
        </w:rPr>
        <w:t>paucity of the plaintiffs’ evidence</w:t>
      </w:r>
      <w:r w:rsidR="004B4712" w:rsidRPr="00743CB1">
        <w:rPr>
          <w:rFonts w:ascii="Arial" w:hAnsi="Arial" w:cs="Arial"/>
          <w:sz w:val="24"/>
          <w:szCs w:val="24"/>
        </w:rPr>
        <w:t xml:space="preserve"> regarding the</w:t>
      </w:r>
      <w:r w:rsidR="00D345C4" w:rsidRPr="00743CB1">
        <w:rPr>
          <w:rFonts w:ascii="Arial" w:hAnsi="Arial" w:cs="Arial"/>
          <w:sz w:val="24"/>
          <w:szCs w:val="24"/>
        </w:rPr>
        <w:t xml:space="preserve"> above claims</w:t>
      </w:r>
      <w:r w:rsidR="00F04E09" w:rsidRPr="00743CB1">
        <w:rPr>
          <w:rFonts w:ascii="Arial" w:hAnsi="Arial" w:cs="Arial"/>
          <w:sz w:val="24"/>
          <w:szCs w:val="24"/>
        </w:rPr>
        <w:t xml:space="preserve">, the court is drawn back, ineluctably, to the </w:t>
      </w:r>
      <w:r w:rsidR="00830F02" w:rsidRPr="00743CB1">
        <w:rPr>
          <w:rFonts w:ascii="Arial" w:hAnsi="Arial" w:cs="Arial"/>
          <w:sz w:val="24"/>
          <w:szCs w:val="24"/>
        </w:rPr>
        <w:t xml:space="preserve">difficulties </w:t>
      </w:r>
      <w:r w:rsidR="0085009E" w:rsidRPr="00743CB1">
        <w:rPr>
          <w:rFonts w:ascii="Arial" w:hAnsi="Arial" w:cs="Arial"/>
          <w:sz w:val="24"/>
          <w:szCs w:val="24"/>
        </w:rPr>
        <w:t>pos</w:t>
      </w:r>
      <w:r w:rsidR="00830F02" w:rsidRPr="00743CB1">
        <w:rPr>
          <w:rFonts w:ascii="Arial" w:hAnsi="Arial" w:cs="Arial"/>
          <w:sz w:val="24"/>
          <w:szCs w:val="24"/>
        </w:rPr>
        <w:t xml:space="preserve">ed by the cases that they pleaded. </w:t>
      </w:r>
      <w:r w:rsidR="00DD7C84" w:rsidRPr="00743CB1">
        <w:rPr>
          <w:rFonts w:ascii="Arial" w:hAnsi="Arial" w:cs="Arial"/>
          <w:sz w:val="24"/>
          <w:szCs w:val="24"/>
        </w:rPr>
        <w:t>T</w:t>
      </w:r>
      <w:r w:rsidR="00830F02" w:rsidRPr="00743CB1">
        <w:rPr>
          <w:rFonts w:ascii="Arial" w:hAnsi="Arial" w:cs="Arial"/>
          <w:sz w:val="24"/>
          <w:szCs w:val="24"/>
        </w:rPr>
        <w:t xml:space="preserve">here are </w:t>
      </w:r>
      <w:r w:rsidR="00C6245C" w:rsidRPr="00743CB1">
        <w:rPr>
          <w:rFonts w:ascii="Arial" w:hAnsi="Arial" w:cs="Arial"/>
          <w:sz w:val="24"/>
          <w:szCs w:val="24"/>
        </w:rPr>
        <w:t>hints</w:t>
      </w:r>
      <w:r w:rsidR="00830F02" w:rsidRPr="00743CB1">
        <w:rPr>
          <w:rFonts w:ascii="Arial" w:hAnsi="Arial" w:cs="Arial"/>
          <w:sz w:val="24"/>
          <w:szCs w:val="24"/>
        </w:rPr>
        <w:t xml:space="preserve"> of </w:t>
      </w:r>
      <w:r w:rsidR="0085009E" w:rsidRPr="00743CB1">
        <w:rPr>
          <w:rFonts w:ascii="Arial" w:hAnsi="Arial" w:cs="Arial"/>
          <w:sz w:val="24"/>
          <w:szCs w:val="24"/>
        </w:rPr>
        <w:t xml:space="preserve">the </w:t>
      </w:r>
      <w:r w:rsidR="0085009E" w:rsidRPr="00743CB1">
        <w:rPr>
          <w:rFonts w:ascii="Arial" w:hAnsi="Arial" w:cs="Arial"/>
          <w:i/>
          <w:iCs/>
          <w:sz w:val="24"/>
          <w:szCs w:val="24"/>
        </w:rPr>
        <w:t>actio iniuriarum</w:t>
      </w:r>
      <w:r w:rsidR="0085009E" w:rsidRPr="00743CB1">
        <w:rPr>
          <w:rFonts w:ascii="Arial" w:hAnsi="Arial" w:cs="Arial"/>
          <w:sz w:val="24"/>
          <w:szCs w:val="24"/>
        </w:rPr>
        <w:t xml:space="preserve"> </w:t>
      </w:r>
      <w:r w:rsidR="00830F02" w:rsidRPr="00743CB1">
        <w:rPr>
          <w:rFonts w:ascii="Arial" w:hAnsi="Arial" w:cs="Arial"/>
          <w:sz w:val="24"/>
          <w:szCs w:val="24"/>
        </w:rPr>
        <w:t>in each of the claims</w:t>
      </w:r>
      <w:r w:rsidR="00C6245C" w:rsidRPr="00743CB1">
        <w:rPr>
          <w:rFonts w:ascii="Arial" w:hAnsi="Arial" w:cs="Arial"/>
          <w:sz w:val="24"/>
          <w:szCs w:val="24"/>
        </w:rPr>
        <w:t xml:space="preserve">, </w:t>
      </w:r>
      <w:r w:rsidR="00A97640" w:rsidRPr="00743CB1">
        <w:rPr>
          <w:rFonts w:ascii="Arial" w:hAnsi="Arial" w:cs="Arial"/>
          <w:sz w:val="24"/>
          <w:szCs w:val="24"/>
        </w:rPr>
        <w:t>even more</w:t>
      </w:r>
      <w:r w:rsidR="00203317" w:rsidRPr="00743CB1">
        <w:rPr>
          <w:rFonts w:ascii="Arial" w:hAnsi="Arial" w:cs="Arial"/>
          <w:sz w:val="24"/>
          <w:szCs w:val="24"/>
        </w:rPr>
        <w:t xml:space="preserve"> so in relation to the second plaintiff’s amended particulars. </w:t>
      </w:r>
      <w:r w:rsidR="00FE5ADB" w:rsidRPr="00743CB1">
        <w:rPr>
          <w:rFonts w:ascii="Arial" w:hAnsi="Arial" w:cs="Arial"/>
          <w:sz w:val="24"/>
          <w:szCs w:val="24"/>
        </w:rPr>
        <w:t>However</w:t>
      </w:r>
      <w:r w:rsidR="00830F02" w:rsidRPr="00743CB1">
        <w:rPr>
          <w:rFonts w:ascii="Arial" w:hAnsi="Arial" w:cs="Arial"/>
          <w:sz w:val="24"/>
          <w:szCs w:val="24"/>
        </w:rPr>
        <w:t>, when reduced to their essence, the</w:t>
      </w:r>
      <w:r w:rsidR="00FE5ADB" w:rsidRPr="00743CB1">
        <w:rPr>
          <w:rFonts w:ascii="Arial" w:hAnsi="Arial" w:cs="Arial"/>
          <w:sz w:val="24"/>
          <w:szCs w:val="24"/>
        </w:rPr>
        <w:t xml:space="preserve"> claims</w:t>
      </w:r>
      <w:r w:rsidR="00830F02" w:rsidRPr="00743CB1">
        <w:rPr>
          <w:rFonts w:ascii="Arial" w:hAnsi="Arial" w:cs="Arial"/>
          <w:sz w:val="24"/>
          <w:szCs w:val="24"/>
        </w:rPr>
        <w:t xml:space="preserve"> reveal a </w:t>
      </w:r>
      <w:r w:rsidR="004213BE" w:rsidRPr="00743CB1">
        <w:rPr>
          <w:rFonts w:ascii="Arial" w:hAnsi="Arial" w:cs="Arial"/>
          <w:sz w:val="24"/>
          <w:szCs w:val="24"/>
        </w:rPr>
        <w:t xml:space="preserve">delictual </w:t>
      </w:r>
      <w:r w:rsidR="00830F02" w:rsidRPr="00743CB1">
        <w:rPr>
          <w:rFonts w:ascii="Arial" w:hAnsi="Arial" w:cs="Arial"/>
          <w:sz w:val="24"/>
          <w:szCs w:val="24"/>
        </w:rPr>
        <w:t xml:space="preserve">cause of action </w:t>
      </w:r>
      <w:r w:rsidR="00866FDA" w:rsidRPr="00743CB1">
        <w:rPr>
          <w:rFonts w:ascii="Arial" w:hAnsi="Arial" w:cs="Arial"/>
          <w:sz w:val="24"/>
          <w:szCs w:val="24"/>
        </w:rPr>
        <w:t xml:space="preserve">based on </w:t>
      </w:r>
      <w:r w:rsidR="004D1B59" w:rsidRPr="00743CB1">
        <w:rPr>
          <w:rFonts w:ascii="Arial" w:hAnsi="Arial" w:cs="Arial"/>
          <w:sz w:val="24"/>
          <w:szCs w:val="24"/>
        </w:rPr>
        <w:t xml:space="preserve">unlawful </w:t>
      </w:r>
      <w:r w:rsidR="00600B07" w:rsidRPr="00743CB1">
        <w:rPr>
          <w:rFonts w:ascii="Arial" w:hAnsi="Arial" w:cs="Arial"/>
          <w:sz w:val="24"/>
          <w:szCs w:val="24"/>
        </w:rPr>
        <w:t>(</w:t>
      </w:r>
      <w:r w:rsidR="00830F02" w:rsidRPr="00743CB1">
        <w:rPr>
          <w:rFonts w:ascii="Arial" w:hAnsi="Arial" w:cs="Arial"/>
          <w:sz w:val="24"/>
          <w:szCs w:val="24"/>
        </w:rPr>
        <w:t>negligent</w:t>
      </w:r>
      <w:r w:rsidR="00600B07" w:rsidRPr="00743CB1">
        <w:rPr>
          <w:rFonts w:ascii="Arial" w:hAnsi="Arial" w:cs="Arial"/>
          <w:sz w:val="24"/>
          <w:szCs w:val="24"/>
        </w:rPr>
        <w:t>)</w:t>
      </w:r>
      <w:r w:rsidR="00830F02" w:rsidRPr="00743CB1">
        <w:rPr>
          <w:rFonts w:ascii="Arial" w:hAnsi="Arial" w:cs="Arial"/>
          <w:sz w:val="24"/>
          <w:szCs w:val="24"/>
        </w:rPr>
        <w:t xml:space="preserve"> prosecution.</w:t>
      </w:r>
      <w:r w:rsidR="00A42C15">
        <w:rPr>
          <w:rStyle w:val="FootnoteReference"/>
          <w:rFonts w:ascii="Arial" w:hAnsi="Arial" w:cs="Arial"/>
          <w:sz w:val="24"/>
          <w:szCs w:val="24"/>
        </w:rPr>
        <w:footnoteReference w:id="22"/>
      </w:r>
      <w:r w:rsidR="00830F02" w:rsidRPr="00743CB1">
        <w:rPr>
          <w:rFonts w:ascii="Arial" w:hAnsi="Arial" w:cs="Arial"/>
          <w:sz w:val="24"/>
          <w:szCs w:val="24"/>
        </w:rPr>
        <w:t xml:space="preserve"> </w:t>
      </w:r>
    </w:p>
    <w:p w14:paraId="5030C7BC" w14:textId="77777777" w:rsidR="00B315F8" w:rsidRPr="00B315F8" w:rsidRDefault="00B315F8" w:rsidP="00B315F8">
      <w:pPr>
        <w:pStyle w:val="ListParagraph"/>
        <w:rPr>
          <w:rFonts w:ascii="Arial" w:hAnsi="Arial" w:cs="Arial"/>
          <w:sz w:val="24"/>
          <w:szCs w:val="24"/>
        </w:rPr>
      </w:pPr>
    </w:p>
    <w:p w14:paraId="21442422" w14:textId="2C81F491" w:rsidR="00B315F8" w:rsidRPr="00743CB1" w:rsidRDefault="00743CB1" w:rsidP="00743CB1">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830F02" w:rsidRPr="00743CB1">
        <w:rPr>
          <w:rFonts w:ascii="Arial" w:hAnsi="Arial" w:cs="Arial"/>
          <w:sz w:val="24"/>
          <w:szCs w:val="24"/>
        </w:rPr>
        <w:t>At the very commencement of trial, counsel for the plaintiffs addressed the court and explained that the third and final claim</w:t>
      </w:r>
      <w:r w:rsidR="006E5322" w:rsidRPr="00743CB1">
        <w:rPr>
          <w:rFonts w:ascii="Arial" w:hAnsi="Arial" w:cs="Arial"/>
          <w:sz w:val="24"/>
          <w:szCs w:val="24"/>
        </w:rPr>
        <w:t>s were</w:t>
      </w:r>
      <w:r w:rsidR="00830F02" w:rsidRPr="00743CB1">
        <w:rPr>
          <w:rFonts w:ascii="Arial" w:hAnsi="Arial" w:cs="Arial"/>
          <w:sz w:val="24"/>
          <w:szCs w:val="24"/>
        </w:rPr>
        <w:t xml:space="preserve"> for damages </w:t>
      </w:r>
      <w:r w:rsidR="00A97640" w:rsidRPr="00743CB1">
        <w:rPr>
          <w:rFonts w:ascii="Arial" w:hAnsi="Arial" w:cs="Arial"/>
          <w:sz w:val="24"/>
          <w:szCs w:val="24"/>
        </w:rPr>
        <w:t>arising from</w:t>
      </w:r>
      <w:r w:rsidR="00830F02" w:rsidRPr="00743CB1">
        <w:rPr>
          <w:rFonts w:ascii="Arial" w:hAnsi="Arial" w:cs="Arial"/>
          <w:sz w:val="24"/>
          <w:szCs w:val="24"/>
        </w:rPr>
        <w:t xml:space="preserve"> malicious prosecution. </w:t>
      </w:r>
      <w:r w:rsidR="00FD2EA4" w:rsidRPr="00743CB1">
        <w:rPr>
          <w:rFonts w:ascii="Arial" w:hAnsi="Arial" w:cs="Arial"/>
          <w:sz w:val="24"/>
          <w:szCs w:val="24"/>
        </w:rPr>
        <w:t xml:space="preserve">Counsel for the </w:t>
      </w:r>
      <w:r w:rsidR="00830F02" w:rsidRPr="00743CB1">
        <w:rPr>
          <w:rFonts w:ascii="Arial" w:hAnsi="Arial" w:cs="Arial"/>
          <w:sz w:val="24"/>
          <w:szCs w:val="24"/>
        </w:rPr>
        <w:t xml:space="preserve">first </w:t>
      </w:r>
      <w:r w:rsidR="00E17722" w:rsidRPr="00743CB1">
        <w:rPr>
          <w:rFonts w:ascii="Arial" w:hAnsi="Arial" w:cs="Arial"/>
          <w:sz w:val="24"/>
          <w:szCs w:val="24"/>
        </w:rPr>
        <w:t>defenda</w:t>
      </w:r>
      <w:r w:rsidR="00830F02" w:rsidRPr="00743CB1">
        <w:rPr>
          <w:rFonts w:ascii="Arial" w:hAnsi="Arial" w:cs="Arial"/>
          <w:sz w:val="24"/>
          <w:szCs w:val="24"/>
        </w:rPr>
        <w:t xml:space="preserve">nt </w:t>
      </w:r>
      <w:r w:rsidR="00FD2EA4" w:rsidRPr="00743CB1">
        <w:rPr>
          <w:rFonts w:ascii="Arial" w:hAnsi="Arial" w:cs="Arial"/>
          <w:sz w:val="24"/>
          <w:szCs w:val="24"/>
        </w:rPr>
        <w:t>immediately took issue with this and contended that the claim</w:t>
      </w:r>
      <w:r w:rsidR="006F6AD7" w:rsidRPr="00743CB1">
        <w:rPr>
          <w:rFonts w:ascii="Arial" w:hAnsi="Arial" w:cs="Arial"/>
          <w:sz w:val="24"/>
          <w:szCs w:val="24"/>
        </w:rPr>
        <w:t>s were</w:t>
      </w:r>
      <w:r w:rsidR="00FD2EA4" w:rsidRPr="00743CB1">
        <w:rPr>
          <w:rFonts w:ascii="Arial" w:hAnsi="Arial" w:cs="Arial"/>
          <w:sz w:val="24"/>
          <w:szCs w:val="24"/>
        </w:rPr>
        <w:t xml:space="preserve"> </w:t>
      </w:r>
      <w:r w:rsidR="00547DD8" w:rsidRPr="00743CB1">
        <w:rPr>
          <w:rFonts w:ascii="Arial" w:hAnsi="Arial" w:cs="Arial"/>
          <w:sz w:val="24"/>
          <w:szCs w:val="24"/>
        </w:rPr>
        <w:t>based</w:t>
      </w:r>
      <w:r w:rsidR="00FD2EA4" w:rsidRPr="00743CB1">
        <w:rPr>
          <w:rFonts w:ascii="Arial" w:hAnsi="Arial" w:cs="Arial"/>
          <w:sz w:val="24"/>
          <w:szCs w:val="24"/>
        </w:rPr>
        <w:t xml:space="preserve"> on unlawful prosecution. </w:t>
      </w:r>
      <w:r w:rsidR="006F6AD7" w:rsidRPr="00743CB1">
        <w:rPr>
          <w:rFonts w:ascii="Arial" w:hAnsi="Arial" w:cs="Arial"/>
          <w:sz w:val="24"/>
          <w:szCs w:val="24"/>
        </w:rPr>
        <w:t xml:space="preserve">Importantly, </w:t>
      </w:r>
      <w:r w:rsidR="00B95D95" w:rsidRPr="00743CB1">
        <w:rPr>
          <w:rFonts w:ascii="Arial" w:hAnsi="Arial" w:cs="Arial"/>
          <w:sz w:val="24"/>
          <w:szCs w:val="24"/>
        </w:rPr>
        <w:t>c</w:t>
      </w:r>
      <w:r w:rsidR="00FD2EA4" w:rsidRPr="00743CB1">
        <w:rPr>
          <w:rFonts w:ascii="Arial" w:hAnsi="Arial" w:cs="Arial"/>
          <w:sz w:val="24"/>
          <w:szCs w:val="24"/>
        </w:rPr>
        <w:t>ounsel for the plaintiffs</w:t>
      </w:r>
      <w:r w:rsidR="0039252E" w:rsidRPr="00743CB1">
        <w:rPr>
          <w:rFonts w:ascii="Arial" w:hAnsi="Arial" w:cs="Arial"/>
          <w:sz w:val="24"/>
          <w:szCs w:val="24"/>
        </w:rPr>
        <w:t xml:space="preserve"> </w:t>
      </w:r>
      <w:r w:rsidR="006F6AD7" w:rsidRPr="00743CB1">
        <w:rPr>
          <w:rFonts w:ascii="Arial" w:hAnsi="Arial" w:cs="Arial"/>
          <w:sz w:val="24"/>
          <w:szCs w:val="24"/>
        </w:rPr>
        <w:t xml:space="preserve">merely </w:t>
      </w:r>
      <w:r w:rsidR="00FD2EA4" w:rsidRPr="00743CB1">
        <w:rPr>
          <w:rFonts w:ascii="Arial" w:hAnsi="Arial" w:cs="Arial"/>
          <w:sz w:val="24"/>
          <w:szCs w:val="24"/>
        </w:rPr>
        <w:t>acknowledged the point</w:t>
      </w:r>
      <w:r w:rsidR="00506D1C" w:rsidRPr="00743CB1">
        <w:rPr>
          <w:rFonts w:ascii="Arial" w:hAnsi="Arial" w:cs="Arial"/>
          <w:sz w:val="24"/>
          <w:szCs w:val="24"/>
        </w:rPr>
        <w:t>,</w:t>
      </w:r>
      <w:r w:rsidR="00FD2EA4" w:rsidRPr="00743CB1">
        <w:rPr>
          <w:rFonts w:ascii="Arial" w:hAnsi="Arial" w:cs="Arial"/>
          <w:sz w:val="24"/>
          <w:szCs w:val="24"/>
        </w:rPr>
        <w:t xml:space="preserve"> </w:t>
      </w:r>
      <w:r w:rsidR="00506D1C" w:rsidRPr="00743CB1">
        <w:rPr>
          <w:rFonts w:ascii="Arial" w:hAnsi="Arial" w:cs="Arial"/>
          <w:sz w:val="24"/>
          <w:szCs w:val="24"/>
        </w:rPr>
        <w:t xml:space="preserve">without </w:t>
      </w:r>
      <w:r w:rsidR="00671282" w:rsidRPr="00743CB1">
        <w:rPr>
          <w:rFonts w:ascii="Arial" w:hAnsi="Arial" w:cs="Arial"/>
          <w:sz w:val="24"/>
          <w:szCs w:val="24"/>
        </w:rPr>
        <w:t>disputing the contention</w:t>
      </w:r>
      <w:r w:rsidR="00506D1C" w:rsidRPr="00743CB1">
        <w:rPr>
          <w:rFonts w:ascii="Arial" w:hAnsi="Arial" w:cs="Arial"/>
          <w:sz w:val="24"/>
          <w:szCs w:val="24"/>
        </w:rPr>
        <w:t xml:space="preserve"> made</w:t>
      </w:r>
      <w:r w:rsidR="004C447F" w:rsidRPr="00743CB1">
        <w:rPr>
          <w:rFonts w:ascii="Arial" w:hAnsi="Arial" w:cs="Arial"/>
          <w:sz w:val="24"/>
          <w:szCs w:val="24"/>
        </w:rPr>
        <w:t xml:space="preserve">. She </w:t>
      </w:r>
      <w:r w:rsidR="00FD2EA4" w:rsidRPr="00743CB1">
        <w:rPr>
          <w:rFonts w:ascii="Arial" w:hAnsi="Arial" w:cs="Arial"/>
          <w:sz w:val="24"/>
          <w:szCs w:val="24"/>
        </w:rPr>
        <w:t xml:space="preserve">proceeded further in accordance with </w:t>
      </w:r>
      <w:r w:rsidR="009C4EFF" w:rsidRPr="00743CB1">
        <w:rPr>
          <w:rFonts w:ascii="Arial" w:hAnsi="Arial" w:cs="Arial"/>
          <w:sz w:val="24"/>
          <w:szCs w:val="24"/>
        </w:rPr>
        <w:t xml:space="preserve">the cases pleaded </w:t>
      </w:r>
      <w:r w:rsidR="00FD2EA4" w:rsidRPr="00743CB1">
        <w:rPr>
          <w:rFonts w:ascii="Arial" w:hAnsi="Arial" w:cs="Arial"/>
          <w:sz w:val="24"/>
          <w:szCs w:val="24"/>
        </w:rPr>
        <w:t xml:space="preserve">in her clients’ particulars, viz. unlawful prosecution. Later in the proceedings, counsel for the first </w:t>
      </w:r>
      <w:r w:rsidR="007B36B3" w:rsidRPr="00743CB1">
        <w:rPr>
          <w:rFonts w:ascii="Arial" w:hAnsi="Arial" w:cs="Arial"/>
          <w:sz w:val="24"/>
          <w:szCs w:val="24"/>
        </w:rPr>
        <w:t>defenda</w:t>
      </w:r>
      <w:r w:rsidR="00FD2EA4" w:rsidRPr="00743CB1">
        <w:rPr>
          <w:rFonts w:ascii="Arial" w:hAnsi="Arial" w:cs="Arial"/>
          <w:sz w:val="24"/>
          <w:szCs w:val="24"/>
        </w:rPr>
        <w:t xml:space="preserve">nt started his cross-examination of the first plaintiff by reminding the latter that he had sued for damages arising from unlawful prosecution. Counsel for the plaintiffs never challenged this assertion. In her heads of argument, moreover, </w:t>
      </w:r>
      <w:r w:rsidR="00F04E09" w:rsidRPr="00743CB1">
        <w:rPr>
          <w:rFonts w:ascii="Arial" w:hAnsi="Arial" w:cs="Arial"/>
          <w:sz w:val="24"/>
          <w:szCs w:val="24"/>
        </w:rPr>
        <w:t>counsel for the plaintiffs expressly disavowed reliance on malice</w:t>
      </w:r>
      <w:r w:rsidR="00FD2EA4" w:rsidRPr="00743CB1">
        <w:rPr>
          <w:rFonts w:ascii="Arial" w:hAnsi="Arial" w:cs="Arial"/>
          <w:sz w:val="24"/>
          <w:szCs w:val="24"/>
        </w:rPr>
        <w:t>, indicating instead that t</w:t>
      </w:r>
      <w:r w:rsidR="00F04E09" w:rsidRPr="00743CB1">
        <w:rPr>
          <w:rFonts w:ascii="Arial" w:hAnsi="Arial" w:cs="Arial"/>
          <w:sz w:val="24"/>
          <w:szCs w:val="24"/>
        </w:rPr>
        <w:t>he</w:t>
      </w:r>
      <w:r w:rsidR="00FD5E98" w:rsidRPr="00743CB1">
        <w:rPr>
          <w:rFonts w:ascii="Arial" w:hAnsi="Arial" w:cs="Arial"/>
          <w:sz w:val="24"/>
          <w:szCs w:val="24"/>
        </w:rPr>
        <w:t xml:space="preserve"> plaintiffs’</w:t>
      </w:r>
      <w:r w:rsidR="00F04E09" w:rsidRPr="00743CB1">
        <w:rPr>
          <w:rFonts w:ascii="Arial" w:hAnsi="Arial" w:cs="Arial"/>
          <w:sz w:val="24"/>
          <w:szCs w:val="24"/>
        </w:rPr>
        <w:t xml:space="preserve"> cases were based on the unlawfulness of the defendants’ conduct.</w:t>
      </w:r>
      <w:r w:rsidR="00FD2EA4">
        <w:rPr>
          <w:rStyle w:val="FootnoteReference"/>
          <w:rFonts w:ascii="Arial" w:hAnsi="Arial" w:cs="Arial"/>
          <w:sz w:val="24"/>
          <w:szCs w:val="24"/>
        </w:rPr>
        <w:footnoteReference w:id="23"/>
      </w:r>
      <w:r w:rsidR="00FD5E98" w:rsidRPr="00743CB1">
        <w:rPr>
          <w:rFonts w:ascii="Arial" w:hAnsi="Arial" w:cs="Arial"/>
          <w:sz w:val="24"/>
          <w:szCs w:val="24"/>
        </w:rPr>
        <w:t xml:space="preserve"> </w:t>
      </w:r>
    </w:p>
    <w:p w14:paraId="26BF2397" w14:textId="77777777" w:rsidR="00B315F8" w:rsidRPr="00B315F8" w:rsidRDefault="00B315F8" w:rsidP="00B315F8">
      <w:pPr>
        <w:pStyle w:val="ListParagraph"/>
        <w:rPr>
          <w:rFonts w:ascii="Arial" w:hAnsi="Arial" w:cs="Arial"/>
          <w:sz w:val="24"/>
          <w:szCs w:val="24"/>
        </w:rPr>
      </w:pPr>
    </w:p>
    <w:p w14:paraId="5297162E" w14:textId="7E938046" w:rsidR="00F04E09" w:rsidRPr="00743CB1" w:rsidRDefault="00743CB1" w:rsidP="00743CB1">
      <w:pPr>
        <w:spacing w:line="360" w:lineRule="auto"/>
        <w:jc w:val="both"/>
        <w:rPr>
          <w:rFonts w:ascii="Arial" w:hAnsi="Arial" w:cs="Arial"/>
          <w:sz w:val="24"/>
          <w:szCs w:val="24"/>
        </w:rPr>
      </w:pPr>
      <w:r w:rsidRPr="00B315F8">
        <w:rPr>
          <w:rFonts w:ascii="Arial" w:hAnsi="Arial" w:cs="Arial"/>
          <w:sz w:val="24"/>
          <w:szCs w:val="24"/>
        </w:rPr>
        <w:t>[35]</w:t>
      </w:r>
      <w:r w:rsidRPr="00B315F8">
        <w:rPr>
          <w:rFonts w:ascii="Arial" w:hAnsi="Arial" w:cs="Arial"/>
          <w:sz w:val="24"/>
          <w:szCs w:val="24"/>
        </w:rPr>
        <w:tab/>
      </w:r>
      <w:r w:rsidR="004A03CD" w:rsidRPr="00743CB1">
        <w:rPr>
          <w:rFonts w:ascii="Arial" w:hAnsi="Arial" w:cs="Arial"/>
          <w:sz w:val="24"/>
          <w:szCs w:val="24"/>
        </w:rPr>
        <w:t xml:space="preserve">In </w:t>
      </w:r>
      <w:r w:rsidR="004A03CD" w:rsidRPr="00743CB1">
        <w:rPr>
          <w:rFonts w:ascii="Arial" w:hAnsi="Arial" w:cs="Arial"/>
          <w:i/>
          <w:iCs/>
          <w:sz w:val="24"/>
          <w:szCs w:val="24"/>
        </w:rPr>
        <w:t>Minister of Safety and Security v Slabbert</w:t>
      </w:r>
      <w:r w:rsidR="004A03CD" w:rsidRPr="00743CB1">
        <w:rPr>
          <w:rFonts w:ascii="Arial" w:hAnsi="Arial" w:cs="Arial"/>
          <w:sz w:val="24"/>
          <w:szCs w:val="24"/>
        </w:rPr>
        <w:t>,</w:t>
      </w:r>
      <w:r w:rsidR="004A03CD">
        <w:rPr>
          <w:rStyle w:val="FootnoteReference"/>
          <w:rFonts w:ascii="Arial" w:hAnsi="Arial" w:cs="Arial"/>
          <w:sz w:val="24"/>
          <w:szCs w:val="24"/>
        </w:rPr>
        <w:footnoteReference w:id="24"/>
      </w:r>
      <w:r w:rsidR="004A03CD" w:rsidRPr="00743CB1">
        <w:rPr>
          <w:rFonts w:ascii="Arial" w:hAnsi="Arial" w:cs="Arial"/>
          <w:sz w:val="24"/>
          <w:szCs w:val="24"/>
        </w:rPr>
        <w:t xml:space="preserve"> Mhlantla JA observed that:</w:t>
      </w:r>
    </w:p>
    <w:p w14:paraId="631E4819" w14:textId="1136C334" w:rsidR="004A03CD" w:rsidRPr="00484AD0" w:rsidRDefault="004A03CD" w:rsidP="00B315F8">
      <w:pPr>
        <w:spacing w:line="360" w:lineRule="auto"/>
        <w:ind w:left="720"/>
        <w:jc w:val="both"/>
        <w:rPr>
          <w:rFonts w:ascii="Arial" w:hAnsi="Arial" w:cs="Arial"/>
          <w:sz w:val="20"/>
          <w:szCs w:val="20"/>
        </w:rPr>
      </w:pPr>
      <w:r w:rsidRPr="00484AD0">
        <w:rPr>
          <w:rFonts w:ascii="Arial" w:hAnsi="Arial" w:cs="Arial"/>
          <w:sz w:val="20"/>
          <w:szCs w:val="20"/>
        </w:rPr>
        <w:t>‘…The purpose of the pleadings</w:t>
      </w:r>
      <w:r w:rsidR="00D479A7" w:rsidRPr="00484AD0">
        <w:rPr>
          <w:rFonts w:ascii="Arial" w:hAnsi="Arial" w:cs="Arial"/>
          <w:sz w:val="20"/>
          <w:szCs w:val="20"/>
        </w:rPr>
        <w:t xml:space="preserve"> is to define the issues for the other party and the court. A party has a duty to allege in the pleadings the material facts upon which it relies. It is impermissible for a plaintiff to plead a particular case and seek to establish a different case at the trial. It is equally not </w:t>
      </w:r>
      <w:r w:rsidR="00D479A7" w:rsidRPr="00484AD0">
        <w:rPr>
          <w:rFonts w:ascii="Arial" w:hAnsi="Arial" w:cs="Arial"/>
          <w:sz w:val="20"/>
          <w:szCs w:val="20"/>
        </w:rPr>
        <w:lastRenderedPageBreak/>
        <w:t>permissible for the trial court to have recourse to issues falling outside the pleadings when deciding a case.</w:t>
      </w:r>
    </w:p>
    <w:p w14:paraId="2CA16315" w14:textId="5D0391DC" w:rsidR="00D479A7" w:rsidRPr="00484AD0" w:rsidRDefault="00D479A7" w:rsidP="00B315F8">
      <w:pPr>
        <w:spacing w:line="360" w:lineRule="auto"/>
        <w:ind w:left="720"/>
        <w:jc w:val="both"/>
        <w:rPr>
          <w:rFonts w:ascii="Arial" w:hAnsi="Arial" w:cs="Arial"/>
          <w:sz w:val="20"/>
          <w:szCs w:val="20"/>
        </w:rPr>
      </w:pPr>
      <w:r w:rsidRPr="00484AD0">
        <w:rPr>
          <w:rFonts w:ascii="Arial" w:hAnsi="Arial" w:cs="Arial"/>
          <w:sz w:val="20"/>
          <w:szCs w:val="20"/>
        </w:rPr>
        <w:t>…There are, however, circumstances in which a party may be allowed to rely on an issue which was not covered by the pleadings. This occurs where the issue in question was canvassed fully by both sides at the trial.’</w:t>
      </w:r>
      <w:r w:rsidRPr="00484AD0">
        <w:rPr>
          <w:rStyle w:val="FootnoteReference"/>
          <w:rFonts w:ascii="Arial" w:hAnsi="Arial" w:cs="Arial"/>
          <w:sz w:val="20"/>
          <w:szCs w:val="20"/>
        </w:rPr>
        <w:footnoteReference w:id="25"/>
      </w:r>
    </w:p>
    <w:p w14:paraId="6CFF90AB" w14:textId="235DD19B" w:rsidR="00D479A7" w:rsidRDefault="00D479A7" w:rsidP="00466616">
      <w:pPr>
        <w:spacing w:line="360" w:lineRule="auto"/>
        <w:rPr>
          <w:rFonts w:ascii="Arial" w:hAnsi="Arial" w:cs="Arial"/>
          <w:sz w:val="24"/>
          <w:szCs w:val="24"/>
        </w:rPr>
      </w:pPr>
    </w:p>
    <w:p w14:paraId="445832A0" w14:textId="42CEE490" w:rsidR="00B315F8" w:rsidRPr="00743CB1" w:rsidRDefault="00743CB1" w:rsidP="00743CB1">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D52C31" w:rsidRPr="00743CB1">
        <w:rPr>
          <w:rFonts w:ascii="Arial" w:hAnsi="Arial" w:cs="Arial"/>
          <w:sz w:val="24"/>
          <w:szCs w:val="24"/>
        </w:rPr>
        <w:t xml:space="preserve">The above principles apply in the present matter. </w:t>
      </w:r>
      <w:r w:rsidR="00D479A7" w:rsidRPr="00743CB1">
        <w:rPr>
          <w:rFonts w:ascii="Arial" w:hAnsi="Arial" w:cs="Arial"/>
          <w:sz w:val="24"/>
          <w:szCs w:val="24"/>
        </w:rPr>
        <w:t xml:space="preserve">The plaintiffs’ pleadings, as imperfect as they may be, were not designed </w:t>
      </w:r>
      <w:r w:rsidR="00513014" w:rsidRPr="00743CB1">
        <w:rPr>
          <w:rFonts w:ascii="Arial" w:hAnsi="Arial" w:cs="Arial"/>
          <w:sz w:val="24"/>
          <w:szCs w:val="24"/>
        </w:rPr>
        <w:t xml:space="preserve">to support </w:t>
      </w:r>
      <w:r w:rsidR="00D479A7" w:rsidRPr="00743CB1">
        <w:rPr>
          <w:rFonts w:ascii="Arial" w:hAnsi="Arial" w:cs="Arial"/>
          <w:sz w:val="24"/>
          <w:szCs w:val="24"/>
        </w:rPr>
        <w:t xml:space="preserve">claims </w:t>
      </w:r>
      <w:r w:rsidR="00513014" w:rsidRPr="00743CB1">
        <w:rPr>
          <w:rFonts w:ascii="Arial" w:hAnsi="Arial" w:cs="Arial"/>
          <w:sz w:val="24"/>
          <w:szCs w:val="24"/>
        </w:rPr>
        <w:t xml:space="preserve">for </w:t>
      </w:r>
      <w:r w:rsidR="00D479A7" w:rsidRPr="00743CB1">
        <w:rPr>
          <w:rFonts w:ascii="Arial" w:hAnsi="Arial" w:cs="Arial"/>
          <w:sz w:val="24"/>
          <w:szCs w:val="24"/>
        </w:rPr>
        <w:t>malicious prosecution. Instead, as plaintiffs’ counsel made clear</w:t>
      </w:r>
      <w:r w:rsidR="00572EFB" w:rsidRPr="00743CB1">
        <w:rPr>
          <w:rFonts w:ascii="Arial" w:hAnsi="Arial" w:cs="Arial"/>
          <w:sz w:val="24"/>
          <w:szCs w:val="24"/>
        </w:rPr>
        <w:t xml:space="preserve"> at the start of </w:t>
      </w:r>
      <w:r w:rsidR="00D42F4F" w:rsidRPr="00743CB1">
        <w:rPr>
          <w:rFonts w:ascii="Arial" w:hAnsi="Arial" w:cs="Arial"/>
          <w:sz w:val="24"/>
          <w:szCs w:val="24"/>
        </w:rPr>
        <w:t xml:space="preserve">the </w:t>
      </w:r>
      <w:r w:rsidR="00572EFB" w:rsidRPr="00743CB1">
        <w:rPr>
          <w:rFonts w:ascii="Arial" w:hAnsi="Arial" w:cs="Arial"/>
          <w:sz w:val="24"/>
          <w:szCs w:val="24"/>
        </w:rPr>
        <w:t>trial</w:t>
      </w:r>
      <w:r w:rsidR="00364AE8" w:rsidRPr="00743CB1">
        <w:rPr>
          <w:rFonts w:ascii="Arial" w:hAnsi="Arial" w:cs="Arial"/>
          <w:sz w:val="24"/>
          <w:szCs w:val="24"/>
        </w:rPr>
        <w:t xml:space="preserve"> and confirmed </w:t>
      </w:r>
      <w:r w:rsidR="00367239" w:rsidRPr="00743CB1">
        <w:rPr>
          <w:rFonts w:ascii="Arial" w:hAnsi="Arial" w:cs="Arial"/>
          <w:sz w:val="24"/>
          <w:szCs w:val="24"/>
        </w:rPr>
        <w:t>in argument</w:t>
      </w:r>
      <w:r w:rsidR="00D479A7" w:rsidRPr="00743CB1">
        <w:rPr>
          <w:rFonts w:ascii="Arial" w:hAnsi="Arial" w:cs="Arial"/>
          <w:sz w:val="24"/>
          <w:szCs w:val="24"/>
        </w:rPr>
        <w:t xml:space="preserve">, the claims were based on unlawful prosecution. </w:t>
      </w:r>
      <w:r w:rsidR="00572EFB" w:rsidRPr="00743CB1">
        <w:rPr>
          <w:rFonts w:ascii="Arial" w:hAnsi="Arial" w:cs="Arial"/>
          <w:sz w:val="24"/>
          <w:szCs w:val="24"/>
        </w:rPr>
        <w:t>This was the case which the defendants were called upon to meet.</w:t>
      </w:r>
      <w:r w:rsidR="00D42F4F" w:rsidRPr="00743CB1">
        <w:rPr>
          <w:rFonts w:ascii="Arial" w:hAnsi="Arial" w:cs="Arial"/>
          <w:sz w:val="24"/>
          <w:szCs w:val="24"/>
        </w:rPr>
        <w:t xml:space="preserve"> </w:t>
      </w:r>
      <w:r w:rsidR="00484AD0" w:rsidRPr="00743CB1">
        <w:rPr>
          <w:rFonts w:ascii="Arial" w:hAnsi="Arial" w:cs="Arial"/>
          <w:sz w:val="24"/>
          <w:szCs w:val="24"/>
        </w:rPr>
        <w:t xml:space="preserve">It is not permissible for this court to entertain anything to the contrary, especially where nothing to that effect was apparent from the </w:t>
      </w:r>
      <w:r w:rsidR="005D50A0" w:rsidRPr="00743CB1">
        <w:rPr>
          <w:rFonts w:ascii="Arial" w:hAnsi="Arial" w:cs="Arial"/>
          <w:sz w:val="24"/>
          <w:szCs w:val="24"/>
        </w:rPr>
        <w:t xml:space="preserve">plaintiffs’ </w:t>
      </w:r>
      <w:r w:rsidR="00484AD0" w:rsidRPr="00743CB1">
        <w:rPr>
          <w:rFonts w:ascii="Arial" w:hAnsi="Arial" w:cs="Arial"/>
          <w:sz w:val="24"/>
          <w:szCs w:val="24"/>
        </w:rPr>
        <w:t>evidence.</w:t>
      </w:r>
    </w:p>
    <w:p w14:paraId="05BA069C" w14:textId="77777777" w:rsidR="00B315F8" w:rsidRDefault="00B315F8" w:rsidP="00B315F8">
      <w:pPr>
        <w:pStyle w:val="ListParagraph"/>
        <w:spacing w:line="360" w:lineRule="auto"/>
        <w:ind w:left="0"/>
        <w:jc w:val="both"/>
        <w:rPr>
          <w:rFonts w:ascii="Arial" w:hAnsi="Arial" w:cs="Arial"/>
          <w:sz w:val="24"/>
          <w:szCs w:val="24"/>
        </w:rPr>
      </w:pPr>
    </w:p>
    <w:p w14:paraId="7FCE983F" w14:textId="77777777" w:rsidR="00B315F8" w:rsidRDefault="00B315F8" w:rsidP="00B315F8">
      <w:pPr>
        <w:pStyle w:val="ListParagraph"/>
        <w:spacing w:line="360" w:lineRule="auto"/>
        <w:ind w:left="0"/>
        <w:jc w:val="both"/>
        <w:rPr>
          <w:rFonts w:ascii="Arial" w:hAnsi="Arial" w:cs="Arial"/>
          <w:sz w:val="24"/>
          <w:szCs w:val="24"/>
        </w:rPr>
      </w:pPr>
    </w:p>
    <w:p w14:paraId="3347EABA" w14:textId="0CCD75F5" w:rsidR="00B315F8" w:rsidRDefault="00EF140F" w:rsidP="00B315F8">
      <w:pPr>
        <w:pStyle w:val="ListParagraph"/>
        <w:spacing w:line="360" w:lineRule="auto"/>
        <w:ind w:left="0"/>
        <w:jc w:val="both"/>
        <w:rPr>
          <w:rFonts w:ascii="Arial" w:hAnsi="Arial" w:cs="Arial"/>
          <w:b/>
          <w:bCs/>
          <w:sz w:val="24"/>
          <w:szCs w:val="24"/>
        </w:rPr>
      </w:pPr>
      <w:r w:rsidRPr="00B315F8">
        <w:rPr>
          <w:rFonts w:ascii="Arial" w:hAnsi="Arial" w:cs="Arial"/>
          <w:b/>
          <w:bCs/>
          <w:sz w:val="24"/>
          <w:szCs w:val="24"/>
        </w:rPr>
        <w:t>Relief and order to be made</w:t>
      </w:r>
    </w:p>
    <w:p w14:paraId="4132DD52" w14:textId="77777777" w:rsidR="00B315F8" w:rsidRPr="00B315F8" w:rsidRDefault="00B315F8" w:rsidP="00B315F8">
      <w:pPr>
        <w:pStyle w:val="ListParagraph"/>
        <w:spacing w:line="360" w:lineRule="auto"/>
        <w:ind w:left="0"/>
        <w:jc w:val="both"/>
        <w:rPr>
          <w:rFonts w:ascii="Arial" w:hAnsi="Arial" w:cs="Arial"/>
          <w:sz w:val="24"/>
          <w:szCs w:val="24"/>
        </w:rPr>
      </w:pPr>
    </w:p>
    <w:p w14:paraId="19B5D8E9" w14:textId="77777777" w:rsidR="00B315F8" w:rsidRPr="00B315F8" w:rsidRDefault="00B315F8" w:rsidP="00B315F8">
      <w:pPr>
        <w:pStyle w:val="ListParagraph"/>
        <w:spacing w:line="360" w:lineRule="auto"/>
        <w:ind w:left="0"/>
        <w:jc w:val="both"/>
        <w:rPr>
          <w:rFonts w:ascii="Arial" w:hAnsi="Arial" w:cs="Arial"/>
          <w:sz w:val="24"/>
          <w:szCs w:val="24"/>
        </w:rPr>
      </w:pPr>
    </w:p>
    <w:p w14:paraId="1C1F62E3" w14:textId="1CA7A9A8" w:rsidR="00B315F8" w:rsidRPr="00743CB1" w:rsidRDefault="00743CB1" w:rsidP="00743CB1">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09279B" w:rsidRPr="00743CB1">
        <w:rPr>
          <w:rFonts w:ascii="Arial" w:hAnsi="Arial" w:cs="Arial"/>
          <w:sz w:val="24"/>
          <w:szCs w:val="24"/>
        </w:rPr>
        <w:t xml:space="preserve">The plaintiffs’ </w:t>
      </w:r>
      <w:r w:rsidR="00CF08D6" w:rsidRPr="00743CB1">
        <w:rPr>
          <w:rFonts w:ascii="Arial" w:hAnsi="Arial" w:cs="Arial"/>
          <w:sz w:val="24"/>
          <w:szCs w:val="24"/>
        </w:rPr>
        <w:t>claims were based</w:t>
      </w:r>
      <w:r w:rsidR="00BE5595" w:rsidRPr="00743CB1">
        <w:rPr>
          <w:rFonts w:ascii="Arial" w:hAnsi="Arial" w:cs="Arial"/>
          <w:sz w:val="24"/>
          <w:szCs w:val="24"/>
        </w:rPr>
        <w:t xml:space="preserve"> on </w:t>
      </w:r>
      <w:r w:rsidR="0009279B" w:rsidRPr="00743CB1">
        <w:rPr>
          <w:rFonts w:ascii="Arial" w:hAnsi="Arial" w:cs="Arial"/>
          <w:sz w:val="24"/>
          <w:szCs w:val="24"/>
        </w:rPr>
        <w:t xml:space="preserve">unlawful </w:t>
      </w:r>
      <w:r w:rsidR="00C57857" w:rsidRPr="00743CB1">
        <w:rPr>
          <w:rFonts w:ascii="Arial" w:hAnsi="Arial" w:cs="Arial"/>
          <w:sz w:val="24"/>
          <w:szCs w:val="24"/>
        </w:rPr>
        <w:t xml:space="preserve">(negligent) </w:t>
      </w:r>
      <w:r w:rsidR="00CF08D6" w:rsidRPr="00743CB1">
        <w:rPr>
          <w:rFonts w:ascii="Arial" w:hAnsi="Arial" w:cs="Arial"/>
          <w:sz w:val="24"/>
          <w:szCs w:val="24"/>
        </w:rPr>
        <w:t xml:space="preserve">prosecution. </w:t>
      </w:r>
      <w:r w:rsidR="00094979" w:rsidRPr="00743CB1">
        <w:rPr>
          <w:rFonts w:ascii="Arial" w:hAnsi="Arial" w:cs="Arial"/>
          <w:sz w:val="24"/>
          <w:szCs w:val="24"/>
        </w:rPr>
        <w:t xml:space="preserve">The </w:t>
      </w:r>
      <w:r w:rsidR="009F54C4" w:rsidRPr="00743CB1">
        <w:rPr>
          <w:rFonts w:ascii="Arial" w:hAnsi="Arial" w:cs="Arial"/>
          <w:sz w:val="24"/>
          <w:szCs w:val="24"/>
        </w:rPr>
        <w:t>courts</w:t>
      </w:r>
      <w:r w:rsidR="00094979" w:rsidRPr="00743CB1">
        <w:rPr>
          <w:rFonts w:ascii="Arial" w:hAnsi="Arial" w:cs="Arial"/>
          <w:sz w:val="24"/>
          <w:szCs w:val="24"/>
        </w:rPr>
        <w:t xml:space="preserve"> ha</w:t>
      </w:r>
      <w:r w:rsidR="009F54C4" w:rsidRPr="00743CB1">
        <w:rPr>
          <w:rFonts w:ascii="Arial" w:hAnsi="Arial" w:cs="Arial"/>
          <w:sz w:val="24"/>
          <w:szCs w:val="24"/>
        </w:rPr>
        <w:t>ve</w:t>
      </w:r>
      <w:r w:rsidR="00094979" w:rsidRPr="00743CB1">
        <w:rPr>
          <w:rFonts w:ascii="Arial" w:hAnsi="Arial" w:cs="Arial"/>
          <w:sz w:val="24"/>
          <w:szCs w:val="24"/>
        </w:rPr>
        <w:t xml:space="preserve"> </w:t>
      </w:r>
      <w:r w:rsidR="008235C4" w:rsidRPr="00743CB1">
        <w:rPr>
          <w:rFonts w:ascii="Arial" w:hAnsi="Arial" w:cs="Arial"/>
          <w:sz w:val="24"/>
          <w:szCs w:val="24"/>
        </w:rPr>
        <w:t xml:space="preserve">indeed </w:t>
      </w:r>
      <w:r w:rsidR="008634B8" w:rsidRPr="00743CB1">
        <w:rPr>
          <w:rFonts w:ascii="Arial" w:hAnsi="Arial" w:cs="Arial"/>
          <w:sz w:val="24"/>
          <w:szCs w:val="24"/>
        </w:rPr>
        <w:t xml:space="preserve">considered </w:t>
      </w:r>
      <w:r w:rsidR="00FA1130" w:rsidRPr="00743CB1">
        <w:rPr>
          <w:rFonts w:ascii="Arial" w:hAnsi="Arial" w:cs="Arial"/>
          <w:sz w:val="24"/>
          <w:szCs w:val="24"/>
        </w:rPr>
        <w:t xml:space="preserve">delictual </w:t>
      </w:r>
      <w:r w:rsidR="007005C1" w:rsidRPr="00743CB1">
        <w:rPr>
          <w:rFonts w:ascii="Arial" w:hAnsi="Arial" w:cs="Arial"/>
          <w:sz w:val="24"/>
          <w:szCs w:val="24"/>
        </w:rPr>
        <w:t xml:space="preserve">claims for damages </w:t>
      </w:r>
      <w:r w:rsidR="005C57F4" w:rsidRPr="00743CB1">
        <w:rPr>
          <w:rFonts w:ascii="Arial" w:hAnsi="Arial" w:cs="Arial"/>
          <w:sz w:val="24"/>
          <w:szCs w:val="24"/>
        </w:rPr>
        <w:t xml:space="preserve">arising from </w:t>
      </w:r>
      <w:r w:rsidR="00B72DD6" w:rsidRPr="00743CB1">
        <w:rPr>
          <w:rFonts w:ascii="Arial" w:hAnsi="Arial" w:cs="Arial"/>
          <w:sz w:val="24"/>
          <w:szCs w:val="24"/>
        </w:rPr>
        <w:t xml:space="preserve">the negligence of </w:t>
      </w:r>
      <w:r w:rsidR="00F45FF2" w:rsidRPr="00743CB1">
        <w:rPr>
          <w:rFonts w:ascii="Arial" w:hAnsi="Arial" w:cs="Arial"/>
          <w:sz w:val="24"/>
          <w:szCs w:val="24"/>
        </w:rPr>
        <w:t xml:space="preserve">a </w:t>
      </w:r>
      <w:r w:rsidR="00B72DD6" w:rsidRPr="00743CB1">
        <w:rPr>
          <w:rFonts w:ascii="Arial" w:hAnsi="Arial" w:cs="Arial"/>
          <w:sz w:val="24"/>
          <w:szCs w:val="24"/>
        </w:rPr>
        <w:t>prosecutor</w:t>
      </w:r>
      <w:r w:rsidR="008F05C1" w:rsidRPr="00743CB1">
        <w:rPr>
          <w:rFonts w:ascii="Arial" w:hAnsi="Arial" w:cs="Arial"/>
          <w:sz w:val="24"/>
          <w:szCs w:val="24"/>
        </w:rPr>
        <w:t>, as already discussed</w:t>
      </w:r>
      <w:r w:rsidR="00B72DD6" w:rsidRPr="00743CB1">
        <w:rPr>
          <w:rFonts w:ascii="Arial" w:hAnsi="Arial" w:cs="Arial"/>
          <w:sz w:val="24"/>
          <w:szCs w:val="24"/>
        </w:rPr>
        <w:t>.</w:t>
      </w:r>
      <w:r w:rsidR="006666B2" w:rsidRPr="00743CB1">
        <w:rPr>
          <w:rFonts w:ascii="Arial" w:hAnsi="Arial" w:cs="Arial"/>
          <w:sz w:val="24"/>
          <w:szCs w:val="24"/>
        </w:rPr>
        <w:t xml:space="preserve"> Whereas </w:t>
      </w:r>
      <w:r w:rsidR="00FC0429" w:rsidRPr="00743CB1">
        <w:rPr>
          <w:rFonts w:ascii="Arial" w:hAnsi="Arial" w:cs="Arial"/>
          <w:sz w:val="24"/>
          <w:szCs w:val="24"/>
        </w:rPr>
        <w:t xml:space="preserve">the courts </w:t>
      </w:r>
      <w:r w:rsidR="006666B2" w:rsidRPr="00743CB1">
        <w:rPr>
          <w:rFonts w:ascii="Arial" w:hAnsi="Arial" w:cs="Arial"/>
          <w:sz w:val="24"/>
          <w:szCs w:val="24"/>
        </w:rPr>
        <w:t xml:space="preserve">have recognised that damages may be awarded to third party victims of such negligence, </w:t>
      </w:r>
      <w:r w:rsidR="007F77F6" w:rsidRPr="00743CB1">
        <w:rPr>
          <w:rFonts w:ascii="Arial" w:hAnsi="Arial" w:cs="Arial"/>
          <w:sz w:val="24"/>
          <w:szCs w:val="24"/>
        </w:rPr>
        <w:t xml:space="preserve">the </w:t>
      </w:r>
      <w:r w:rsidR="006666B2" w:rsidRPr="00743CB1">
        <w:rPr>
          <w:rFonts w:ascii="Arial" w:hAnsi="Arial" w:cs="Arial"/>
          <w:sz w:val="24"/>
          <w:szCs w:val="24"/>
        </w:rPr>
        <w:t xml:space="preserve">case law </w:t>
      </w:r>
      <w:r w:rsidR="007F77F6" w:rsidRPr="00743CB1">
        <w:rPr>
          <w:rFonts w:ascii="Arial" w:hAnsi="Arial" w:cs="Arial"/>
          <w:sz w:val="24"/>
          <w:szCs w:val="24"/>
        </w:rPr>
        <w:t>indicates</w:t>
      </w:r>
      <w:r w:rsidR="00CC1079" w:rsidRPr="00743CB1">
        <w:rPr>
          <w:rFonts w:ascii="Arial" w:hAnsi="Arial" w:cs="Arial"/>
          <w:sz w:val="24"/>
          <w:szCs w:val="24"/>
        </w:rPr>
        <w:t xml:space="preserve"> </w:t>
      </w:r>
      <w:r w:rsidR="00BD3B2A" w:rsidRPr="00743CB1">
        <w:rPr>
          <w:rFonts w:ascii="Arial" w:hAnsi="Arial" w:cs="Arial"/>
          <w:sz w:val="24"/>
          <w:szCs w:val="24"/>
        </w:rPr>
        <w:t xml:space="preserve">that </w:t>
      </w:r>
      <w:r w:rsidR="00416764" w:rsidRPr="00743CB1">
        <w:rPr>
          <w:rFonts w:ascii="Arial" w:hAnsi="Arial" w:cs="Arial"/>
          <w:sz w:val="24"/>
          <w:szCs w:val="24"/>
        </w:rPr>
        <w:t>the courts are</w:t>
      </w:r>
      <w:r w:rsidR="006666B2" w:rsidRPr="00743CB1">
        <w:rPr>
          <w:rFonts w:ascii="Arial" w:hAnsi="Arial" w:cs="Arial"/>
          <w:sz w:val="24"/>
          <w:szCs w:val="24"/>
        </w:rPr>
        <w:t xml:space="preserve"> not </w:t>
      </w:r>
      <w:r w:rsidR="00782D77" w:rsidRPr="00743CB1">
        <w:rPr>
          <w:rFonts w:ascii="Arial" w:hAnsi="Arial" w:cs="Arial"/>
          <w:sz w:val="24"/>
          <w:szCs w:val="24"/>
        </w:rPr>
        <w:t xml:space="preserve">(yet) </w:t>
      </w:r>
      <w:r w:rsidR="00416764" w:rsidRPr="00743CB1">
        <w:rPr>
          <w:rFonts w:ascii="Arial" w:hAnsi="Arial" w:cs="Arial"/>
          <w:sz w:val="24"/>
          <w:szCs w:val="24"/>
        </w:rPr>
        <w:t xml:space="preserve">prepared to entertain claims </w:t>
      </w:r>
      <w:r w:rsidR="007A12ED" w:rsidRPr="00743CB1">
        <w:rPr>
          <w:rFonts w:ascii="Arial" w:hAnsi="Arial" w:cs="Arial"/>
          <w:sz w:val="24"/>
          <w:szCs w:val="24"/>
        </w:rPr>
        <w:t xml:space="preserve">brought by </w:t>
      </w:r>
      <w:r w:rsidR="008D6DC2" w:rsidRPr="00743CB1">
        <w:rPr>
          <w:rFonts w:ascii="Arial" w:hAnsi="Arial" w:cs="Arial"/>
          <w:sz w:val="24"/>
          <w:szCs w:val="24"/>
        </w:rPr>
        <w:t>an</w:t>
      </w:r>
      <w:r w:rsidR="00A47C37" w:rsidRPr="00743CB1">
        <w:rPr>
          <w:rFonts w:ascii="Arial" w:hAnsi="Arial" w:cs="Arial"/>
          <w:sz w:val="24"/>
          <w:szCs w:val="24"/>
        </w:rPr>
        <w:t xml:space="preserve"> accused person for damages suffered because of the </w:t>
      </w:r>
      <w:r w:rsidR="00782D77" w:rsidRPr="00743CB1">
        <w:rPr>
          <w:rFonts w:ascii="Arial" w:hAnsi="Arial" w:cs="Arial"/>
          <w:sz w:val="24"/>
          <w:szCs w:val="24"/>
        </w:rPr>
        <w:t>ordinary negligence of the prosecutor</w:t>
      </w:r>
      <w:r w:rsidR="00471631" w:rsidRPr="00743CB1">
        <w:rPr>
          <w:rFonts w:ascii="Arial" w:hAnsi="Arial" w:cs="Arial"/>
          <w:sz w:val="24"/>
          <w:szCs w:val="24"/>
        </w:rPr>
        <w:t xml:space="preserve">. </w:t>
      </w:r>
    </w:p>
    <w:p w14:paraId="0CCAC753" w14:textId="77777777" w:rsidR="00B315F8" w:rsidRDefault="00B315F8" w:rsidP="00B315F8">
      <w:pPr>
        <w:pStyle w:val="ListParagraph"/>
        <w:spacing w:line="360" w:lineRule="auto"/>
        <w:ind w:left="0"/>
        <w:jc w:val="both"/>
        <w:rPr>
          <w:rFonts w:ascii="Arial" w:hAnsi="Arial" w:cs="Arial"/>
          <w:sz w:val="24"/>
          <w:szCs w:val="24"/>
        </w:rPr>
      </w:pPr>
    </w:p>
    <w:p w14:paraId="7AC010F6" w14:textId="2011F68E" w:rsidR="00B315F8" w:rsidRPr="00743CB1" w:rsidRDefault="00743CB1" w:rsidP="00743CB1">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471631" w:rsidRPr="00743CB1">
        <w:rPr>
          <w:rFonts w:ascii="Arial" w:hAnsi="Arial" w:cs="Arial"/>
          <w:sz w:val="24"/>
          <w:szCs w:val="24"/>
        </w:rPr>
        <w:t xml:space="preserve">The same appears to be </w:t>
      </w:r>
      <w:r w:rsidR="00082950" w:rsidRPr="00743CB1">
        <w:rPr>
          <w:rFonts w:ascii="Arial" w:hAnsi="Arial" w:cs="Arial"/>
          <w:sz w:val="24"/>
          <w:szCs w:val="24"/>
        </w:rPr>
        <w:t>true</w:t>
      </w:r>
      <w:r w:rsidR="00471631" w:rsidRPr="00743CB1">
        <w:rPr>
          <w:rFonts w:ascii="Arial" w:hAnsi="Arial" w:cs="Arial"/>
          <w:sz w:val="24"/>
          <w:szCs w:val="24"/>
        </w:rPr>
        <w:t xml:space="preserve"> in relation to the </w:t>
      </w:r>
      <w:r w:rsidR="00207B47" w:rsidRPr="00743CB1">
        <w:rPr>
          <w:rFonts w:ascii="Arial" w:hAnsi="Arial" w:cs="Arial"/>
          <w:sz w:val="24"/>
          <w:szCs w:val="24"/>
        </w:rPr>
        <w:t xml:space="preserve">ordinary </w:t>
      </w:r>
      <w:r w:rsidR="00D43A3B" w:rsidRPr="00743CB1">
        <w:rPr>
          <w:rFonts w:ascii="Arial" w:hAnsi="Arial" w:cs="Arial"/>
          <w:sz w:val="24"/>
          <w:szCs w:val="24"/>
        </w:rPr>
        <w:t>negligen</w:t>
      </w:r>
      <w:r w:rsidR="00207B47" w:rsidRPr="00743CB1">
        <w:rPr>
          <w:rFonts w:ascii="Arial" w:hAnsi="Arial" w:cs="Arial"/>
          <w:sz w:val="24"/>
          <w:szCs w:val="24"/>
        </w:rPr>
        <w:t>ce</w:t>
      </w:r>
      <w:r w:rsidR="00005D14" w:rsidRPr="00743CB1">
        <w:rPr>
          <w:rFonts w:ascii="Arial" w:hAnsi="Arial" w:cs="Arial"/>
          <w:sz w:val="24"/>
          <w:szCs w:val="24"/>
        </w:rPr>
        <w:t xml:space="preserve"> of </w:t>
      </w:r>
      <w:r w:rsidR="00764CCA" w:rsidRPr="00743CB1">
        <w:rPr>
          <w:rFonts w:ascii="Arial" w:hAnsi="Arial" w:cs="Arial"/>
          <w:sz w:val="24"/>
          <w:szCs w:val="24"/>
        </w:rPr>
        <w:t>police</w:t>
      </w:r>
      <w:r w:rsidR="001C1607" w:rsidRPr="00743CB1">
        <w:rPr>
          <w:rFonts w:ascii="Arial" w:hAnsi="Arial" w:cs="Arial"/>
          <w:sz w:val="24"/>
          <w:szCs w:val="24"/>
        </w:rPr>
        <w:t xml:space="preserve"> officers</w:t>
      </w:r>
      <w:r w:rsidR="0064766D" w:rsidRPr="00743CB1">
        <w:rPr>
          <w:rFonts w:ascii="Arial" w:hAnsi="Arial" w:cs="Arial"/>
          <w:sz w:val="24"/>
          <w:szCs w:val="24"/>
        </w:rPr>
        <w:t>.</w:t>
      </w:r>
      <w:r w:rsidR="005852C9" w:rsidRPr="00743CB1">
        <w:rPr>
          <w:rFonts w:ascii="Arial" w:hAnsi="Arial" w:cs="Arial"/>
          <w:sz w:val="24"/>
          <w:szCs w:val="24"/>
        </w:rPr>
        <w:t xml:space="preserve"> </w:t>
      </w:r>
      <w:r w:rsidR="00590B71" w:rsidRPr="00743CB1">
        <w:rPr>
          <w:rFonts w:ascii="Arial" w:hAnsi="Arial" w:cs="Arial"/>
          <w:sz w:val="24"/>
          <w:szCs w:val="24"/>
        </w:rPr>
        <w:t>I</w:t>
      </w:r>
      <w:r w:rsidR="00A364FB" w:rsidRPr="00743CB1">
        <w:rPr>
          <w:rFonts w:ascii="Arial" w:hAnsi="Arial" w:cs="Arial"/>
          <w:sz w:val="24"/>
          <w:szCs w:val="24"/>
        </w:rPr>
        <w:t xml:space="preserve">n </w:t>
      </w:r>
      <w:r w:rsidR="00A364FB" w:rsidRPr="00743CB1">
        <w:rPr>
          <w:rFonts w:ascii="Arial" w:hAnsi="Arial" w:cs="Arial"/>
          <w:i/>
          <w:iCs/>
          <w:sz w:val="24"/>
          <w:szCs w:val="24"/>
        </w:rPr>
        <w:t>AK v Minister of Police</w:t>
      </w:r>
      <w:r w:rsidR="00A364FB" w:rsidRPr="00743CB1">
        <w:rPr>
          <w:rFonts w:ascii="Arial" w:hAnsi="Arial" w:cs="Arial"/>
          <w:sz w:val="24"/>
          <w:szCs w:val="24"/>
        </w:rPr>
        <w:t>,</w:t>
      </w:r>
      <w:r w:rsidR="00A364FB">
        <w:rPr>
          <w:rStyle w:val="FootnoteReference"/>
          <w:rFonts w:ascii="Arial" w:hAnsi="Arial" w:cs="Arial"/>
          <w:sz w:val="24"/>
          <w:szCs w:val="24"/>
        </w:rPr>
        <w:footnoteReference w:id="26"/>
      </w:r>
      <w:r w:rsidR="00A364FB" w:rsidRPr="00743CB1">
        <w:rPr>
          <w:rFonts w:ascii="Arial" w:hAnsi="Arial" w:cs="Arial"/>
          <w:sz w:val="24"/>
          <w:szCs w:val="24"/>
        </w:rPr>
        <w:t xml:space="preserve"> </w:t>
      </w:r>
      <w:r w:rsidR="009B79A2" w:rsidRPr="00743CB1">
        <w:rPr>
          <w:rFonts w:ascii="Arial" w:hAnsi="Arial" w:cs="Arial"/>
          <w:sz w:val="24"/>
          <w:szCs w:val="24"/>
        </w:rPr>
        <w:t xml:space="preserve">the Constitutional Court held the police liable for </w:t>
      </w:r>
      <w:r w:rsidR="009B79A2" w:rsidRPr="00743CB1">
        <w:rPr>
          <w:rFonts w:ascii="Arial" w:hAnsi="Arial" w:cs="Arial"/>
          <w:sz w:val="24"/>
          <w:szCs w:val="24"/>
        </w:rPr>
        <w:lastRenderedPageBreak/>
        <w:t xml:space="preserve">damages caused by </w:t>
      </w:r>
      <w:r w:rsidR="00590B71" w:rsidRPr="00743CB1">
        <w:rPr>
          <w:rFonts w:ascii="Arial" w:hAnsi="Arial" w:cs="Arial"/>
          <w:sz w:val="24"/>
          <w:szCs w:val="24"/>
        </w:rPr>
        <w:t xml:space="preserve">negligent </w:t>
      </w:r>
      <w:r w:rsidR="00425B8C" w:rsidRPr="00743CB1">
        <w:rPr>
          <w:rFonts w:ascii="Arial" w:hAnsi="Arial" w:cs="Arial"/>
          <w:sz w:val="24"/>
          <w:szCs w:val="24"/>
        </w:rPr>
        <w:t>investigative work</w:t>
      </w:r>
      <w:r w:rsidR="00C24ADF" w:rsidRPr="00743CB1">
        <w:rPr>
          <w:rFonts w:ascii="Arial" w:hAnsi="Arial" w:cs="Arial"/>
          <w:sz w:val="24"/>
          <w:szCs w:val="24"/>
        </w:rPr>
        <w:t xml:space="preserve">, but this court has been unable to locate any authority for the </w:t>
      </w:r>
      <w:r w:rsidR="006B0A0D" w:rsidRPr="00743CB1">
        <w:rPr>
          <w:rFonts w:ascii="Arial" w:hAnsi="Arial" w:cs="Arial"/>
          <w:sz w:val="24"/>
          <w:szCs w:val="24"/>
        </w:rPr>
        <w:t xml:space="preserve">assertion that the police can be held liable for </w:t>
      </w:r>
      <w:r w:rsidR="00BE0E2A" w:rsidRPr="00743CB1">
        <w:rPr>
          <w:rFonts w:ascii="Arial" w:hAnsi="Arial" w:cs="Arial"/>
          <w:sz w:val="24"/>
          <w:szCs w:val="24"/>
        </w:rPr>
        <w:t xml:space="preserve">damages </w:t>
      </w:r>
      <w:r w:rsidR="003949E5" w:rsidRPr="00743CB1">
        <w:rPr>
          <w:rFonts w:ascii="Arial" w:hAnsi="Arial" w:cs="Arial"/>
          <w:sz w:val="24"/>
          <w:szCs w:val="24"/>
        </w:rPr>
        <w:t>arising from unlawful (negligent) prosecution</w:t>
      </w:r>
      <w:r w:rsidR="007425A0" w:rsidRPr="00743CB1">
        <w:rPr>
          <w:rFonts w:ascii="Arial" w:hAnsi="Arial" w:cs="Arial"/>
          <w:sz w:val="24"/>
          <w:szCs w:val="24"/>
        </w:rPr>
        <w:t xml:space="preserve">, as </w:t>
      </w:r>
      <w:r w:rsidR="00B02E56" w:rsidRPr="00743CB1">
        <w:rPr>
          <w:rFonts w:ascii="Arial" w:hAnsi="Arial" w:cs="Arial"/>
          <w:sz w:val="24"/>
          <w:szCs w:val="24"/>
        </w:rPr>
        <w:t>opposed to malicious prosecution</w:t>
      </w:r>
      <w:r w:rsidR="003949E5" w:rsidRPr="00743CB1">
        <w:rPr>
          <w:rFonts w:ascii="Arial" w:hAnsi="Arial" w:cs="Arial"/>
          <w:sz w:val="24"/>
          <w:szCs w:val="24"/>
        </w:rPr>
        <w:t>.</w:t>
      </w:r>
      <w:r w:rsidR="003949E5">
        <w:rPr>
          <w:rStyle w:val="FootnoteReference"/>
          <w:rFonts w:ascii="Arial" w:hAnsi="Arial" w:cs="Arial"/>
          <w:sz w:val="24"/>
          <w:szCs w:val="24"/>
        </w:rPr>
        <w:footnoteReference w:id="27"/>
      </w:r>
      <w:r w:rsidR="00075871" w:rsidRPr="00743CB1">
        <w:rPr>
          <w:rFonts w:ascii="Arial" w:hAnsi="Arial" w:cs="Arial"/>
          <w:sz w:val="24"/>
          <w:szCs w:val="24"/>
        </w:rPr>
        <w:t xml:space="preserve"> </w:t>
      </w:r>
      <w:r w:rsidR="005852C9" w:rsidRPr="00743CB1">
        <w:rPr>
          <w:rFonts w:ascii="Arial" w:hAnsi="Arial" w:cs="Arial"/>
          <w:sz w:val="24"/>
          <w:szCs w:val="24"/>
        </w:rPr>
        <w:t xml:space="preserve">The case law has, </w:t>
      </w:r>
      <w:r w:rsidR="00C739BF" w:rsidRPr="00743CB1">
        <w:rPr>
          <w:rFonts w:ascii="Arial" w:hAnsi="Arial" w:cs="Arial"/>
          <w:sz w:val="24"/>
          <w:szCs w:val="24"/>
        </w:rPr>
        <w:t>in contrast</w:t>
      </w:r>
      <w:r w:rsidR="00B12824" w:rsidRPr="00743CB1">
        <w:rPr>
          <w:rFonts w:ascii="Arial" w:hAnsi="Arial" w:cs="Arial"/>
          <w:sz w:val="24"/>
          <w:szCs w:val="24"/>
        </w:rPr>
        <w:t xml:space="preserve">, long recognised </w:t>
      </w:r>
      <w:r w:rsidR="00EC3B42" w:rsidRPr="00743CB1">
        <w:rPr>
          <w:rFonts w:ascii="Arial" w:hAnsi="Arial" w:cs="Arial"/>
          <w:sz w:val="24"/>
          <w:szCs w:val="24"/>
        </w:rPr>
        <w:t xml:space="preserve">claims </w:t>
      </w:r>
      <w:r w:rsidR="001804BD" w:rsidRPr="00743CB1">
        <w:rPr>
          <w:rFonts w:ascii="Arial" w:hAnsi="Arial" w:cs="Arial"/>
          <w:sz w:val="24"/>
          <w:szCs w:val="24"/>
        </w:rPr>
        <w:t xml:space="preserve">for damages arising from wrongful </w:t>
      </w:r>
      <w:r w:rsidR="00345839" w:rsidRPr="00743CB1">
        <w:rPr>
          <w:rFonts w:ascii="Arial" w:hAnsi="Arial" w:cs="Arial"/>
          <w:sz w:val="24"/>
          <w:szCs w:val="24"/>
        </w:rPr>
        <w:t>arrest and detention</w:t>
      </w:r>
      <w:r w:rsidR="00B12824" w:rsidRPr="00743CB1">
        <w:rPr>
          <w:rFonts w:ascii="Arial" w:hAnsi="Arial" w:cs="Arial"/>
          <w:sz w:val="24"/>
          <w:szCs w:val="24"/>
        </w:rPr>
        <w:t>,</w:t>
      </w:r>
      <w:r w:rsidR="00E90374" w:rsidRPr="00743CB1">
        <w:rPr>
          <w:rFonts w:ascii="Arial" w:hAnsi="Arial" w:cs="Arial"/>
          <w:sz w:val="24"/>
          <w:szCs w:val="24"/>
        </w:rPr>
        <w:t xml:space="preserve"> for which </w:t>
      </w:r>
      <w:r w:rsidR="00833D6A" w:rsidRPr="00743CB1">
        <w:rPr>
          <w:rFonts w:ascii="Arial" w:hAnsi="Arial" w:cs="Arial"/>
          <w:sz w:val="24"/>
          <w:szCs w:val="24"/>
        </w:rPr>
        <w:t xml:space="preserve">the </w:t>
      </w:r>
      <w:r w:rsidR="00833D6A" w:rsidRPr="00743CB1">
        <w:rPr>
          <w:rFonts w:ascii="Arial" w:hAnsi="Arial" w:cs="Arial"/>
          <w:i/>
          <w:iCs/>
          <w:sz w:val="24"/>
          <w:szCs w:val="24"/>
        </w:rPr>
        <w:t>actio iniuria</w:t>
      </w:r>
      <w:r w:rsidR="00E64B48" w:rsidRPr="00743CB1">
        <w:rPr>
          <w:rFonts w:ascii="Arial" w:hAnsi="Arial" w:cs="Arial"/>
          <w:i/>
          <w:iCs/>
          <w:sz w:val="24"/>
          <w:szCs w:val="24"/>
        </w:rPr>
        <w:t>rum</w:t>
      </w:r>
      <w:r w:rsidR="00E64B48" w:rsidRPr="00743CB1">
        <w:rPr>
          <w:rFonts w:ascii="Arial" w:hAnsi="Arial" w:cs="Arial"/>
          <w:sz w:val="24"/>
          <w:szCs w:val="24"/>
        </w:rPr>
        <w:t xml:space="preserve"> is available </w:t>
      </w:r>
      <w:r w:rsidR="00033D70" w:rsidRPr="00743CB1">
        <w:rPr>
          <w:rFonts w:ascii="Arial" w:hAnsi="Arial" w:cs="Arial"/>
          <w:sz w:val="24"/>
          <w:szCs w:val="24"/>
        </w:rPr>
        <w:t xml:space="preserve">as a </w:t>
      </w:r>
      <w:r w:rsidR="00E64B48" w:rsidRPr="00743CB1">
        <w:rPr>
          <w:rFonts w:ascii="Arial" w:hAnsi="Arial" w:cs="Arial"/>
          <w:sz w:val="24"/>
          <w:szCs w:val="24"/>
        </w:rPr>
        <w:t>cause of action.</w:t>
      </w:r>
    </w:p>
    <w:p w14:paraId="6FF67061" w14:textId="77777777" w:rsidR="00B315F8" w:rsidRPr="00B315F8" w:rsidRDefault="00B315F8" w:rsidP="00B315F8">
      <w:pPr>
        <w:pStyle w:val="ListParagraph"/>
        <w:rPr>
          <w:rFonts w:ascii="Arial" w:hAnsi="Arial" w:cs="Arial"/>
          <w:sz w:val="24"/>
          <w:szCs w:val="24"/>
        </w:rPr>
      </w:pPr>
    </w:p>
    <w:p w14:paraId="08A46C32" w14:textId="11E7D4CE" w:rsidR="00B315F8" w:rsidRPr="00743CB1" w:rsidRDefault="00743CB1" w:rsidP="00743CB1">
      <w:pPr>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7341A5" w:rsidRPr="00743CB1">
        <w:rPr>
          <w:rFonts w:ascii="Arial" w:hAnsi="Arial" w:cs="Arial"/>
          <w:sz w:val="24"/>
          <w:szCs w:val="24"/>
        </w:rPr>
        <w:t xml:space="preserve">Consequently, the </w:t>
      </w:r>
      <w:r w:rsidR="00B264A7" w:rsidRPr="00743CB1">
        <w:rPr>
          <w:rFonts w:ascii="Arial" w:hAnsi="Arial" w:cs="Arial"/>
          <w:sz w:val="24"/>
          <w:szCs w:val="24"/>
        </w:rPr>
        <w:t xml:space="preserve">third and final </w:t>
      </w:r>
      <w:r w:rsidR="007341A5" w:rsidRPr="00743CB1">
        <w:rPr>
          <w:rFonts w:ascii="Arial" w:hAnsi="Arial" w:cs="Arial"/>
          <w:sz w:val="24"/>
          <w:szCs w:val="24"/>
        </w:rPr>
        <w:t>claims in the present matter</w:t>
      </w:r>
      <w:r w:rsidR="00D54E85" w:rsidRPr="00743CB1">
        <w:rPr>
          <w:rFonts w:ascii="Arial" w:hAnsi="Arial" w:cs="Arial"/>
          <w:sz w:val="24"/>
          <w:szCs w:val="24"/>
        </w:rPr>
        <w:t>, as pleaded,</w:t>
      </w:r>
      <w:r w:rsidR="003C3406" w:rsidRPr="00743CB1">
        <w:rPr>
          <w:rFonts w:ascii="Arial" w:hAnsi="Arial" w:cs="Arial"/>
          <w:sz w:val="24"/>
          <w:szCs w:val="24"/>
        </w:rPr>
        <w:t xml:space="preserve"> </w:t>
      </w:r>
      <w:r w:rsidR="007341A5" w:rsidRPr="00743CB1">
        <w:rPr>
          <w:rFonts w:ascii="Arial" w:hAnsi="Arial" w:cs="Arial"/>
          <w:sz w:val="24"/>
          <w:szCs w:val="24"/>
        </w:rPr>
        <w:t xml:space="preserve">do not </w:t>
      </w:r>
      <w:r w:rsidR="001E1B86" w:rsidRPr="00743CB1">
        <w:rPr>
          <w:rFonts w:ascii="Arial" w:hAnsi="Arial" w:cs="Arial"/>
          <w:sz w:val="24"/>
          <w:szCs w:val="24"/>
        </w:rPr>
        <w:t xml:space="preserve">give rise to a proper cause of action against the defendants. It is possible that a more vigorously pursued exception would have </w:t>
      </w:r>
      <w:r w:rsidR="00E71F44" w:rsidRPr="00743CB1">
        <w:rPr>
          <w:rFonts w:ascii="Arial" w:hAnsi="Arial" w:cs="Arial"/>
          <w:sz w:val="24"/>
          <w:szCs w:val="24"/>
        </w:rPr>
        <w:t xml:space="preserve">dealt </w:t>
      </w:r>
      <w:r w:rsidR="00F6006E" w:rsidRPr="00743CB1">
        <w:rPr>
          <w:rFonts w:ascii="Arial" w:hAnsi="Arial" w:cs="Arial"/>
          <w:sz w:val="24"/>
          <w:szCs w:val="24"/>
        </w:rPr>
        <w:t xml:space="preserve">decisively </w:t>
      </w:r>
      <w:r w:rsidR="00E71F44" w:rsidRPr="00743CB1">
        <w:rPr>
          <w:rFonts w:ascii="Arial" w:hAnsi="Arial" w:cs="Arial"/>
          <w:sz w:val="24"/>
          <w:szCs w:val="24"/>
        </w:rPr>
        <w:t xml:space="preserve">with the issue </w:t>
      </w:r>
      <w:r w:rsidR="00692E02" w:rsidRPr="00743CB1">
        <w:rPr>
          <w:rFonts w:ascii="Arial" w:hAnsi="Arial" w:cs="Arial"/>
          <w:sz w:val="24"/>
          <w:szCs w:val="24"/>
        </w:rPr>
        <w:t xml:space="preserve">at a </w:t>
      </w:r>
      <w:r w:rsidR="00E71F44" w:rsidRPr="00743CB1">
        <w:rPr>
          <w:rFonts w:ascii="Arial" w:hAnsi="Arial" w:cs="Arial"/>
          <w:sz w:val="24"/>
          <w:szCs w:val="24"/>
        </w:rPr>
        <w:t>far earlier</w:t>
      </w:r>
      <w:r w:rsidR="00692E02" w:rsidRPr="00743CB1">
        <w:rPr>
          <w:rFonts w:ascii="Arial" w:hAnsi="Arial" w:cs="Arial"/>
          <w:sz w:val="24"/>
          <w:szCs w:val="24"/>
        </w:rPr>
        <w:t xml:space="preserve"> stage</w:t>
      </w:r>
      <w:r w:rsidR="00617C3D" w:rsidRPr="00743CB1">
        <w:rPr>
          <w:rFonts w:ascii="Arial" w:hAnsi="Arial" w:cs="Arial"/>
          <w:sz w:val="24"/>
          <w:szCs w:val="24"/>
        </w:rPr>
        <w:t>.</w:t>
      </w:r>
    </w:p>
    <w:p w14:paraId="32CFA081" w14:textId="77777777" w:rsidR="00B315F8" w:rsidRPr="00B315F8" w:rsidRDefault="00B315F8" w:rsidP="00B315F8">
      <w:pPr>
        <w:pStyle w:val="ListParagraph"/>
        <w:rPr>
          <w:rFonts w:ascii="Arial" w:hAnsi="Arial" w:cs="Arial"/>
          <w:sz w:val="24"/>
          <w:szCs w:val="24"/>
        </w:rPr>
      </w:pPr>
    </w:p>
    <w:p w14:paraId="19711006" w14:textId="3750F18C" w:rsidR="00B315F8" w:rsidRPr="00743CB1" w:rsidRDefault="00743CB1" w:rsidP="00743CB1">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2671E2" w:rsidRPr="00743CB1">
        <w:rPr>
          <w:rFonts w:ascii="Arial" w:hAnsi="Arial" w:cs="Arial"/>
          <w:sz w:val="24"/>
          <w:szCs w:val="24"/>
        </w:rPr>
        <w:t>To the extent t</w:t>
      </w:r>
      <w:r w:rsidR="00F6006E" w:rsidRPr="00743CB1">
        <w:rPr>
          <w:rFonts w:ascii="Arial" w:hAnsi="Arial" w:cs="Arial"/>
          <w:sz w:val="24"/>
          <w:szCs w:val="24"/>
        </w:rPr>
        <w:t xml:space="preserve">hat </w:t>
      </w:r>
      <w:r w:rsidR="002671E2" w:rsidRPr="00743CB1">
        <w:rPr>
          <w:rFonts w:ascii="Arial" w:hAnsi="Arial" w:cs="Arial"/>
          <w:sz w:val="24"/>
          <w:szCs w:val="24"/>
        </w:rPr>
        <w:t xml:space="preserve">the </w:t>
      </w:r>
      <w:r w:rsidR="00CE6CFD" w:rsidRPr="00743CB1">
        <w:rPr>
          <w:rFonts w:ascii="Arial" w:hAnsi="Arial" w:cs="Arial"/>
          <w:sz w:val="24"/>
          <w:szCs w:val="24"/>
        </w:rPr>
        <w:t xml:space="preserve">plaintiffs </w:t>
      </w:r>
      <w:r w:rsidR="00622EB1" w:rsidRPr="00743CB1">
        <w:rPr>
          <w:rFonts w:ascii="Arial" w:hAnsi="Arial" w:cs="Arial"/>
          <w:sz w:val="24"/>
          <w:szCs w:val="24"/>
        </w:rPr>
        <w:t xml:space="preserve">may have been </w:t>
      </w:r>
      <w:r w:rsidR="00CE6CFD" w:rsidRPr="00743CB1">
        <w:rPr>
          <w:rFonts w:ascii="Arial" w:hAnsi="Arial" w:cs="Arial"/>
          <w:sz w:val="24"/>
          <w:szCs w:val="24"/>
        </w:rPr>
        <w:t>able to overcome the above difficulties, the</w:t>
      </w:r>
      <w:r w:rsidR="00B76852" w:rsidRPr="00743CB1">
        <w:rPr>
          <w:rFonts w:ascii="Arial" w:hAnsi="Arial" w:cs="Arial"/>
          <w:sz w:val="24"/>
          <w:szCs w:val="24"/>
        </w:rPr>
        <w:t xml:space="preserve">y </w:t>
      </w:r>
      <w:r w:rsidR="00A20701" w:rsidRPr="00743CB1">
        <w:rPr>
          <w:rFonts w:ascii="Arial" w:hAnsi="Arial" w:cs="Arial"/>
          <w:sz w:val="24"/>
          <w:szCs w:val="24"/>
        </w:rPr>
        <w:t xml:space="preserve">nevertheless </w:t>
      </w:r>
      <w:r w:rsidR="00B76852" w:rsidRPr="00743CB1">
        <w:rPr>
          <w:rFonts w:ascii="Arial" w:hAnsi="Arial" w:cs="Arial"/>
          <w:sz w:val="24"/>
          <w:szCs w:val="24"/>
        </w:rPr>
        <w:t xml:space="preserve">failed to place sufficient facts before the court </w:t>
      </w:r>
      <w:r w:rsidR="0095773C" w:rsidRPr="00743CB1">
        <w:rPr>
          <w:rFonts w:ascii="Arial" w:hAnsi="Arial" w:cs="Arial"/>
          <w:sz w:val="24"/>
          <w:szCs w:val="24"/>
        </w:rPr>
        <w:t xml:space="preserve">to sustain claims </w:t>
      </w:r>
      <w:r w:rsidR="00AD2BFC" w:rsidRPr="00743CB1">
        <w:rPr>
          <w:rFonts w:ascii="Arial" w:hAnsi="Arial" w:cs="Arial"/>
          <w:sz w:val="24"/>
          <w:szCs w:val="24"/>
        </w:rPr>
        <w:t xml:space="preserve">for </w:t>
      </w:r>
      <w:r w:rsidR="0095773C" w:rsidRPr="00743CB1">
        <w:rPr>
          <w:rFonts w:ascii="Arial" w:hAnsi="Arial" w:cs="Arial"/>
          <w:sz w:val="24"/>
          <w:szCs w:val="24"/>
        </w:rPr>
        <w:t xml:space="preserve">malicious prosecution. Neither of the plaintiffs advanced any </w:t>
      </w:r>
      <w:r w:rsidR="00D05A45" w:rsidRPr="00743CB1">
        <w:rPr>
          <w:rFonts w:ascii="Arial" w:hAnsi="Arial" w:cs="Arial"/>
          <w:i/>
          <w:iCs/>
          <w:sz w:val="24"/>
          <w:szCs w:val="24"/>
        </w:rPr>
        <w:t>prima facie</w:t>
      </w:r>
      <w:r w:rsidR="00D05A45" w:rsidRPr="00743CB1">
        <w:rPr>
          <w:rFonts w:ascii="Arial" w:hAnsi="Arial" w:cs="Arial"/>
          <w:sz w:val="24"/>
          <w:szCs w:val="24"/>
        </w:rPr>
        <w:t xml:space="preserve"> </w:t>
      </w:r>
      <w:r w:rsidR="00302A35" w:rsidRPr="00743CB1">
        <w:rPr>
          <w:rFonts w:ascii="Arial" w:hAnsi="Arial" w:cs="Arial"/>
          <w:sz w:val="24"/>
          <w:szCs w:val="24"/>
        </w:rPr>
        <w:t xml:space="preserve">evidence or </w:t>
      </w:r>
      <w:r w:rsidR="00D05A45" w:rsidRPr="00743CB1">
        <w:rPr>
          <w:rFonts w:ascii="Arial" w:hAnsi="Arial" w:cs="Arial"/>
          <w:sz w:val="24"/>
          <w:szCs w:val="24"/>
        </w:rPr>
        <w:t xml:space="preserve">proof </w:t>
      </w:r>
      <w:r w:rsidR="00BF7368" w:rsidRPr="00743CB1">
        <w:rPr>
          <w:rFonts w:ascii="Arial" w:hAnsi="Arial" w:cs="Arial"/>
          <w:sz w:val="24"/>
          <w:szCs w:val="24"/>
        </w:rPr>
        <w:t xml:space="preserve">to demonstrate that </w:t>
      </w:r>
      <w:r w:rsidR="0005507D" w:rsidRPr="00743CB1">
        <w:rPr>
          <w:rFonts w:ascii="Arial" w:hAnsi="Arial" w:cs="Arial"/>
          <w:sz w:val="24"/>
          <w:szCs w:val="24"/>
        </w:rPr>
        <w:t xml:space="preserve">the defendants had lacked reasonable and probable cause and that they had </w:t>
      </w:r>
      <w:r w:rsidR="00545229" w:rsidRPr="00743CB1">
        <w:rPr>
          <w:rFonts w:ascii="Arial" w:hAnsi="Arial" w:cs="Arial"/>
          <w:sz w:val="24"/>
          <w:szCs w:val="24"/>
        </w:rPr>
        <w:t xml:space="preserve">acted </w:t>
      </w:r>
      <w:r w:rsidR="00205492" w:rsidRPr="00743CB1">
        <w:rPr>
          <w:rFonts w:ascii="Arial" w:hAnsi="Arial" w:cs="Arial"/>
          <w:sz w:val="24"/>
          <w:szCs w:val="24"/>
        </w:rPr>
        <w:t xml:space="preserve">with malice </w:t>
      </w:r>
      <w:r w:rsidR="005550EF" w:rsidRPr="00743CB1">
        <w:rPr>
          <w:rFonts w:ascii="Arial" w:hAnsi="Arial" w:cs="Arial"/>
          <w:sz w:val="24"/>
          <w:szCs w:val="24"/>
        </w:rPr>
        <w:t>against them.</w:t>
      </w:r>
    </w:p>
    <w:p w14:paraId="607A3662" w14:textId="77777777" w:rsidR="00B315F8" w:rsidRPr="00B315F8" w:rsidRDefault="00B315F8" w:rsidP="00B315F8">
      <w:pPr>
        <w:pStyle w:val="ListParagraph"/>
        <w:rPr>
          <w:rFonts w:ascii="Arial" w:hAnsi="Arial" w:cs="Arial"/>
          <w:sz w:val="24"/>
          <w:szCs w:val="24"/>
        </w:rPr>
      </w:pPr>
    </w:p>
    <w:p w14:paraId="2AD205CD" w14:textId="7F67112C" w:rsidR="00B315F8" w:rsidRPr="00743CB1" w:rsidRDefault="00743CB1" w:rsidP="00743CB1">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E94C45" w:rsidRPr="00743CB1">
        <w:rPr>
          <w:rFonts w:ascii="Arial" w:hAnsi="Arial" w:cs="Arial"/>
          <w:sz w:val="24"/>
          <w:szCs w:val="24"/>
        </w:rPr>
        <w:t>Ultimately, t</w:t>
      </w:r>
      <w:r w:rsidR="00E873CF" w:rsidRPr="00743CB1">
        <w:rPr>
          <w:rFonts w:ascii="Arial" w:hAnsi="Arial" w:cs="Arial"/>
          <w:sz w:val="24"/>
          <w:szCs w:val="24"/>
        </w:rPr>
        <w:t>here is no evidence</w:t>
      </w:r>
      <w:r w:rsidR="00E94C45" w:rsidRPr="00743CB1">
        <w:rPr>
          <w:rFonts w:ascii="Arial" w:hAnsi="Arial" w:cs="Arial"/>
          <w:sz w:val="24"/>
          <w:szCs w:val="24"/>
        </w:rPr>
        <w:t xml:space="preserve"> upon which this court, applying its mind reasonably, could or might find for the plaintiffs</w:t>
      </w:r>
      <w:r w:rsidR="00BA4548" w:rsidRPr="00743CB1">
        <w:rPr>
          <w:rFonts w:ascii="Arial" w:hAnsi="Arial" w:cs="Arial"/>
          <w:sz w:val="24"/>
          <w:szCs w:val="24"/>
        </w:rPr>
        <w:t xml:space="preserve"> regarding their third and final claims. The costs must follow the result.</w:t>
      </w:r>
      <w:r w:rsidR="00C35B9F" w:rsidRPr="00743CB1">
        <w:rPr>
          <w:rFonts w:ascii="Arial" w:hAnsi="Arial" w:cs="Arial"/>
          <w:sz w:val="24"/>
          <w:szCs w:val="24"/>
        </w:rPr>
        <w:t xml:space="preserve"> </w:t>
      </w:r>
    </w:p>
    <w:p w14:paraId="3AB2E4EF" w14:textId="61FE8026" w:rsidR="00BA4548" w:rsidRPr="00743CB1" w:rsidRDefault="00743CB1" w:rsidP="00743CB1">
      <w:pPr>
        <w:spacing w:line="360" w:lineRule="auto"/>
        <w:jc w:val="both"/>
        <w:rPr>
          <w:rFonts w:ascii="Arial" w:hAnsi="Arial" w:cs="Arial"/>
          <w:sz w:val="24"/>
          <w:szCs w:val="24"/>
        </w:rPr>
      </w:pPr>
      <w:r w:rsidRPr="00B315F8">
        <w:rPr>
          <w:rFonts w:ascii="Arial" w:hAnsi="Arial" w:cs="Arial"/>
          <w:sz w:val="24"/>
          <w:szCs w:val="24"/>
        </w:rPr>
        <w:t>[42]</w:t>
      </w:r>
      <w:r w:rsidRPr="00B315F8">
        <w:rPr>
          <w:rFonts w:ascii="Arial" w:hAnsi="Arial" w:cs="Arial"/>
          <w:sz w:val="24"/>
          <w:szCs w:val="24"/>
        </w:rPr>
        <w:tab/>
      </w:r>
      <w:r w:rsidR="00BA4548" w:rsidRPr="00743CB1">
        <w:rPr>
          <w:rFonts w:ascii="Arial" w:hAnsi="Arial" w:cs="Arial"/>
          <w:sz w:val="24"/>
          <w:szCs w:val="24"/>
        </w:rPr>
        <w:t>The following order is made:</w:t>
      </w:r>
    </w:p>
    <w:p w14:paraId="1A968E7F" w14:textId="77777777" w:rsidR="00D93BD2" w:rsidRDefault="00D93BD2" w:rsidP="00D93BD2">
      <w:pPr>
        <w:pStyle w:val="ListParagraph"/>
        <w:spacing w:line="360" w:lineRule="auto"/>
        <w:rPr>
          <w:rFonts w:ascii="Arial" w:hAnsi="Arial" w:cs="Arial"/>
          <w:sz w:val="24"/>
          <w:szCs w:val="24"/>
        </w:rPr>
      </w:pPr>
    </w:p>
    <w:p w14:paraId="186FF23B" w14:textId="2C2A8729" w:rsidR="00BA4548" w:rsidRPr="00743CB1" w:rsidRDefault="00743CB1" w:rsidP="00743CB1">
      <w:pPr>
        <w:spacing w:line="360" w:lineRule="auto"/>
        <w:ind w:left="720" w:hanging="11"/>
        <w:jc w:val="both"/>
        <w:rPr>
          <w:rFonts w:ascii="Arial" w:hAnsi="Arial" w:cs="Arial"/>
          <w:sz w:val="24"/>
          <w:szCs w:val="24"/>
        </w:rPr>
      </w:pPr>
      <w:r>
        <w:rPr>
          <w:rFonts w:ascii="Arial" w:hAnsi="Arial" w:cs="Arial"/>
          <w:sz w:val="24"/>
          <w:szCs w:val="24"/>
        </w:rPr>
        <w:t>(a)</w:t>
      </w:r>
      <w:r>
        <w:rPr>
          <w:rFonts w:ascii="Arial" w:hAnsi="Arial" w:cs="Arial"/>
          <w:sz w:val="24"/>
          <w:szCs w:val="24"/>
        </w:rPr>
        <w:tab/>
      </w:r>
      <w:r w:rsidR="00D93BD2" w:rsidRPr="00743CB1">
        <w:rPr>
          <w:rFonts w:ascii="Arial" w:hAnsi="Arial" w:cs="Arial"/>
          <w:sz w:val="24"/>
          <w:szCs w:val="24"/>
        </w:rPr>
        <w:t>t</w:t>
      </w:r>
      <w:r w:rsidR="00BA4548" w:rsidRPr="00743CB1">
        <w:rPr>
          <w:rFonts w:ascii="Arial" w:hAnsi="Arial" w:cs="Arial"/>
          <w:sz w:val="24"/>
          <w:szCs w:val="24"/>
        </w:rPr>
        <w:t xml:space="preserve">he </w:t>
      </w:r>
      <w:r w:rsidR="001604E6" w:rsidRPr="00743CB1">
        <w:rPr>
          <w:rFonts w:ascii="Arial" w:hAnsi="Arial" w:cs="Arial"/>
          <w:sz w:val="24"/>
          <w:szCs w:val="24"/>
        </w:rPr>
        <w:t>application for absol</w:t>
      </w:r>
      <w:r w:rsidR="00604F46" w:rsidRPr="00743CB1">
        <w:rPr>
          <w:rFonts w:ascii="Arial" w:hAnsi="Arial" w:cs="Arial"/>
          <w:sz w:val="24"/>
          <w:szCs w:val="24"/>
        </w:rPr>
        <w:t>u</w:t>
      </w:r>
      <w:r w:rsidR="001604E6" w:rsidRPr="00743CB1">
        <w:rPr>
          <w:rFonts w:ascii="Arial" w:hAnsi="Arial" w:cs="Arial"/>
          <w:sz w:val="24"/>
          <w:szCs w:val="24"/>
        </w:rPr>
        <w:t>t</w:t>
      </w:r>
      <w:r w:rsidR="00604F46" w:rsidRPr="00743CB1">
        <w:rPr>
          <w:rFonts w:ascii="Arial" w:hAnsi="Arial" w:cs="Arial"/>
          <w:sz w:val="24"/>
          <w:szCs w:val="24"/>
        </w:rPr>
        <w:t>i</w:t>
      </w:r>
      <w:r w:rsidR="001604E6" w:rsidRPr="00743CB1">
        <w:rPr>
          <w:rFonts w:ascii="Arial" w:hAnsi="Arial" w:cs="Arial"/>
          <w:sz w:val="24"/>
          <w:szCs w:val="24"/>
        </w:rPr>
        <w:t xml:space="preserve">on </w:t>
      </w:r>
      <w:r w:rsidR="00604F46" w:rsidRPr="00743CB1">
        <w:rPr>
          <w:rFonts w:ascii="Arial" w:hAnsi="Arial" w:cs="Arial"/>
          <w:sz w:val="24"/>
          <w:szCs w:val="24"/>
        </w:rPr>
        <w:t xml:space="preserve">from the instance, brought by the </w:t>
      </w:r>
      <w:r w:rsidR="002847F6" w:rsidRPr="00743CB1">
        <w:rPr>
          <w:rFonts w:ascii="Arial" w:hAnsi="Arial" w:cs="Arial"/>
          <w:sz w:val="24"/>
          <w:szCs w:val="24"/>
        </w:rPr>
        <w:t>first and second defendants, respectively, against the first and second plai</w:t>
      </w:r>
      <w:r w:rsidR="009B22E5" w:rsidRPr="00743CB1">
        <w:rPr>
          <w:rFonts w:ascii="Arial" w:hAnsi="Arial" w:cs="Arial"/>
          <w:sz w:val="24"/>
          <w:szCs w:val="24"/>
        </w:rPr>
        <w:t xml:space="preserve">ntiffs’ claims for </w:t>
      </w:r>
      <w:r w:rsidR="00FD547C" w:rsidRPr="00743CB1">
        <w:rPr>
          <w:rFonts w:ascii="Arial" w:hAnsi="Arial" w:cs="Arial"/>
          <w:sz w:val="24"/>
          <w:szCs w:val="24"/>
        </w:rPr>
        <w:t>unlawful prosecution</w:t>
      </w:r>
      <w:r w:rsidR="00C95FAE" w:rsidRPr="00743CB1">
        <w:rPr>
          <w:rFonts w:ascii="Arial" w:hAnsi="Arial" w:cs="Arial"/>
          <w:sz w:val="24"/>
          <w:szCs w:val="24"/>
        </w:rPr>
        <w:t xml:space="preserve"> (claim no. 3), are granted; and</w:t>
      </w:r>
    </w:p>
    <w:p w14:paraId="4DCC25A7" w14:textId="77777777" w:rsidR="00B315F8" w:rsidRDefault="00B315F8" w:rsidP="00B315F8">
      <w:pPr>
        <w:pStyle w:val="ListParagraph"/>
        <w:spacing w:line="360" w:lineRule="auto"/>
        <w:jc w:val="both"/>
        <w:rPr>
          <w:rFonts w:ascii="Arial" w:hAnsi="Arial" w:cs="Arial"/>
          <w:sz w:val="24"/>
          <w:szCs w:val="24"/>
        </w:rPr>
      </w:pPr>
    </w:p>
    <w:p w14:paraId="4FF172DC" w14:textId="7BE40780" w:rsidR="00C95FAE" w:rsidRPr="00743CB1" w:rsidRDefault="00743CB1" w:rsidP="00743CB1">
      <w:pPr>
        <w:spacing w:line="360" w:lineRule="auto"/>
        <w:ind w:left="720" w:hanging="11"/>
        <w:jc w:val="both"/>
        <w:rPr>
          <w:rFonts w:ascii="Arial" w:hAnsi="Arial" w:cs="Arial"/>
          <w:sz w:val="24"/>
          <w:szCs w:val="24"/>
        </w:rPr>
      </w:pPr>
      <w:r w:rsidRPr="00B315F8">
        <w:rPr>
          <w:rFonts w:ascii="Arial" w:hAnsi="Arial" w:cs="Arial"/>
          <w:sz w:val="24"/>
          <w:szCs w:val="24"/>
        </w:rPr>
        <w:t>(b)</w:t>
      </w:r>
      <w:r w:rsidRPr="00B315F8">
        <w:rPr>
          <w:rFonts w:ascii="Arial" w:hAnsi="Arial" w:cs="Arial"/>
          <w:sz w:val="24"/>
          <w:szCs w:val="24"/>
        </w:rPr>
        <w:tab/>
      </w:r>
      <w:r w:rsidR="00D93BD2" w:rsidRPr="00743CB1">
        <w:rPr>
          <w:rFonts w:ascii="Arial" w:hAnsi="Arial" w:cs="Arial"/>
          <w:sz w:val="24"/>
          <w:szCs w:val="24"/>
        </w:rPr>
        <w:t>t</w:t>
      </w:r>
      <w:r w:rsidR="00C95FAE" w:rsidRPr="00743CB1">
        <w:rPr>
          <w:rFonts w:ascii="Arial" w:hAnsi="Arial" w:cs="Arial"/>
          <w:sz w:val="24"/>
          <w:szCs w:val="24"/>
        </w:rPr>
        <w:t xml:space="preserve">he plaintiffs are </w:t>
      </w:r>
      <w:r w:rsidR="003D7BD9" w:rsidRPr="00743CB1">
        <w:rPr>
          <w:rFonts w:ascii="Arial" w:hAnsi="Arial" w:cs="Arial"/>
          <w:sz w:val="24"/>
          <w:szCs w:val="24"/>
        </w:rPr>
        <w:t xml:space="preserve">held liable for </w:t>
      </w:r>
      <w:r w:rsidR="00C95FAE" w:rsidRPr="00743CB1">
        <w:rPr>
          <w:rFonts w:ascii="Arial" w:hAnsi="Arial" w:cs="Arial"/>
          <w:sz w:val="24"/>
          <w:szCs w:val="24"/>
        </w:rPr>
        <w:t xml:space="preserve">the </w:t>
      </w:r>
      <w:r w:rsidR="003D7BD9" w:rsidRPr="00743CB1">
        <w:rPr>
          <w:rFonts w:ascii="Arial" w:hAnsi="Arial" w:cs="Arial"/>
          <w:sz w:val="24"/>
          <w:szCs w:val="24"/>
        </w:rPr>
        <w:t>defendants</w:t>
      </w:r>
      <w:r w:rsidR="006A3C6D" w:rsidRPr="00743CB1">
        <w:rPr>
          <w:rFonts w:ascii="Arial" w:hAnsi="Arial" w:cs="Arial"/>
          <w:sz w:val="24"/>
          <w:szCs w:val="24"/>
        </w:rPr>
        <w:t>’</w:t>
      </w:r>
      <w:r w:rsidR="003D7BD9" w:rsidRPr="00743CB1">
        <w:rPr>
          <w:rFonts w:ascii="Arial" w:hAnsi="Arial" w:cs="Arial"/>
          <w:sz w:val="24"/>
          <w:szCs w:val="24"/>
        </w:rPr>
        <w:t xml:space="preserve"> costs, jointly and severally, in the event of one paying the other to be absolved.</w:t>
      </w:r>
    </w:p>
    <w:p w14:paraId="487DEA78" w14:textId="77777777" w:rsidR="00D93BD2" w:rsidRDefault="00D93BD2" w:rsidP="00D93BD2">
      <w:pPr>
        <w:spacing w:line="360" w:lineRule="auto"/>
        <w:rPr>
          <w:rFonts w:ascii="Arial" w:hAnsi="Arial" w:cs="Arial"/>
          <w:sz w:val="24"/>
          <w:szCs w:val="24"/>
        </w:rPr>
      </w:pPr>
    </w:p>
    <w:p w14:paraId="1A1B231D" w14:textId="77777777" w:rsidR="00D93BD2" w:rsidRDefault="00D93BD2" w:rsidP="00D93BD2">
      <w:pPr>
        <w:spacing w:line="360" w:lineRule="auto"/>
        <w:rPr>
          <w:rFonts w:ascii="Arial" w:hAnsi="Arial" w:cs="Arial"/>
          <w:sz w:val="24"/>
          <w:szCs w:val="24"/>
        </w:rPr>
      </w:pPr>
    </w:p>
    <w:p w14:paraId="1F06666D" w14:textId="721EB827" w:rsidR="00D93BD2" w:rsidRDefault="00D93BD2" w:rsidP="00B315F8">
      <w:pPr>
        <w:spacing w:line="240" w:lineRule="auto"/>
        <w:jc w:val="both"/>
        <w:rPr>
          <w:rFonts w:ascii="Arial" w:hAnsi="Arial" w:cs="Arial"/>
          <w:sz w:val="24"/>
          <w:szCs w:val="24"/>
        </w:rPr>
      </w:pPr>
      <w:r>
        <w:rPr>
          <w:rFonts w:ascii="Arial" w:hAnsi="Arial" w:cs="Arial"/>
          <w:sz w:val="24"/>
          <w:szCs w:val="24"/>
        </w:rPr>
        <w:t>_________________________</w:t>
      </w:r>
    </w:p>
    <w:p w14:paraId="4C61A530" w14:textId="5178B1AC" w:rsidR="00D93BD2" w:rsidRPr="00D93BD2" w:rsidRDefault="00D93BD2" w:rsidP="00B315F8">
      <w:pPr>
        <w:spacing w:line="240" w:lineRule="auto"/>
        <w:jc w:val="both"/>
        <w:rPr>
          <w:rFonts w:ascii="Arial" w:hAnsi="Arial" w:cs="Arial"/>
          <w:b/>
          <w:bCs/>
          <w:sz w:val="24"/>
          <w:szCs w:val="24"/>
        </w:rPr>
      </w:pPr>
      <w:r w:rsidRPr="00D93BD2">
        <w:rPr>
          <w:rFonts w:ascii="Arial" w:hAnsi="Arial" w:cs="Arial"/>
          <w:b/>
          <w:bCs/>
          <w:sz w:val="24"/>
          <w:szCs w:val="24"/>
        </w:rPr>
        <w:t>JGA LAING</w:t>
      </w:r>
    </w:p>
    <w:p w14:paraId="588775D6" w14:textId="7ACFF665" w:rsidR="00D93BD2" w:rsidRDefault="00D93BD2" w:rsidP="00B315F8">
      <w:pPr>
        <w:spacing w:line="240" w:lineRule="auto"/>
        <w:jc w:val="both"/>
        <w:rPr>
          <w:rFonts w:ascii="Arial" w:hAnsi="Arial" w:cs="Arial"/>
          <w:b/>
          <w:bCs/>
          <w:sz w:val="24"/>
          <w:szCs w:val="24"/>
        </w:rPr>
      </w:pPr>
      <w:r w:rsidRPr="00D93BD2">
        <w:rPr>
          <w:rFonts w:ascii="Arial" w:hAnsi="Arial" w:cs="Arial"/>
          <w:b/>
          <w:bCs/>
          <w:sz w:val="24"/>
          <w:szCs w:val="24"/>
        </w:rPr>
        <w:t>JUDGE OF THE HIGH COURT</w:t>
      </w:r>
    </w:p>
    <w:p w14:paraId="172C78CE" w14:textId="11923C11" w:rsidR="00B315F8" w:rsidRDefault="00B315F8" w:rsidP="00B315F8">
      <w:pPr>
        <w:spacing w:line="240" w:lineRule="auto"/>
        <w:jc w:val="both"/>
        <w:rPr>
          <w:rFonts w:ascii="Arial" w:hAnsi="Arial" w:cs="Arial"/>
          <w:b/>
          <w:bCs/>
          <w:sz w:val="24"/>
          <w:szCs w:val="24"/>
        </w:rPr>
      </w:pPr>
    </w:p>
    <w:p w14:paraId="0A3B36DE" w14:textId="77777777" w:rsidR="00B315F8" w:rsidRDefault="00B315F8" w:rsidP="00B315F8">
      <w:pPr>
        <w:spacing w:line="240" w:lineRule="auto"/>
        <w:rPr>
          <w:rFonts w:ascii="Arial" w:hAnsi="Arial" w:cs="Arial"/>
          <w:b/>
          <w:bCs/>
          <w:sz w:val="24"/>
          <w:szCs w:val="24"/>
        </w:rPr>
      </w:pPr>
    </w:p>
    <w:p w14:paraId="1CB49587" w14:textId="77777777" w:rsidR="00B315F8" w:rsidRDefault="00B315F8" w:rsidP="00B315F8">
      <w:pPr>
        <w:spacing w:line="240" w:lineRule="auto"/>
        <w:ind w:left="2880" w:hanging="2880"/>
        <w:jc w:val="both"/>
        <w:rPr>
          <w:rFonts w:ascii="Arial" w:hAnsi="Arial" w:cs="Arial"/>
          <w:bCs/>
          <w:sz w:val="24"/>
          <w:szCs w:val="24"/>
        </w:rPr>
      </w:pPr>
      <w:r w:rsidRPr="00214672">
        <w:rPr>
          <w:rFonts w:ascii="Arial" w:hAnsi="Arial" w:cs="Arial"/>
          <w:bCs/>
          <w:sz w:val="24"/>
          <w:szCs w:val="24"/>
        </w:rPr>
        <w:t>For the plaintiffs:</w:t>
      </w:r>
      <w:r w:rsidRPr="00214672">
        <w:rPr>
          <w:rFonts w:ascii="Arial" w:hAnsi="Arial" w:cs="Arial"/>
          <w:bCs/>
          <w:sz w:val="24"/>
          <w:szCs w:val="24"/>
        </w:rPr>
        <w:tab/>
        <w:t xml:space="preserve">Adv Du Toit, </w:t>
      </w:r>
      <w:r>
        <w:rPr>
          <w:rFonts w:ascii="Arial" w:hAnsi="Arial" w:cs="Arial"/>
          <w:bCs/>
          <w:sz w:val="24"/>
          <w:szCs w:val="24"/>
        </w:rPr>
        <w:t>i</w:t>
      </w:r>
      <w:r w:rsidRPr="00214672">
        <w:rPr>
          <w:rFonts w:ascii="Arial" w:hAnsi="Arial" w:cs="Arial"/>
          <w:bCs/>
          <w:sz w:val="24"/>
          <w:szCs w:val="24"/>
        </w:rPr>
        <w:t>nstructed by Lessing, Heyns &amp; Van der Bank Inc., Gqeb</w:t>
      </w:r>
      <w:r>
        <w:rPr>
          <w:rFonts w:ascii="Arial" w:hAnsi="Arial" w:cs="Arial"/>
          <w:bCs/>
          <w:sz w:val="24"/>
          <w:szCs w:val="24"/>
        </w:rPr>
        <w:t>e</w:t>
      </w:r>
      <w:r w:rsidRPr="00214672">
        <w:rPr>
          <w:rFonts w:ascii="Arial" w:hAnsi="Arial" w:cs="Arial"/>
          <w:bCs/>
          <w:sz w:val="24"/>
          <w:szCs w:val="24"/>
        </w:rPr>
        <w:t xml:space="preserve">rha. </w:t>
      </w:r>
    </w:p>
    <w:p w14:paraId="56D927D5" w14:textId="77777777" w:rsidR="00B315F8" w:rsidRPr="00214672" w:rsidRDefault="00B315F8" w:rsidP="00B315F8">
      <w:pPr>
        <w:spacing w:line="240" w:lineRule="auto"/>
        <w:ind w:left="2880" w:hanging="2880"/>
        <w:jc w:val="both"/>
        <w:rPr>
          <w:rFonts w:ascii="Arial" w:hAnsi="Arial" w:cs="Arial"/>
          <w:bCs/>
          <w:sz w:val="24"/>
          <w:szCs w:val="24"/>
        </w:rPr>
      </w:pPr>
    </w:p>
    <w:p w14:paraId="63D9F905" w14:textId="77777777" w:rsidR="00B315F8" w:rsidRDefault="00B315F8" w:rsidP="00B315F8">
      <w:pPr>
        <w:spacing w:line="240" w:lineRule="auto"/>
        <w:ind w:left="2880" w:hanging="2880"/>
        <w:jc w:val="both"/>
        <w:rPr>
          <w:rFonts w:ascii="Arial" w:hAnsi="Arial" w:cs="Arial"/>
          <w:bCs/>
          <w:sz w:val="24"/>
          <w:szCs w:val="24"/>
        </w:rPr>
      </w:pPr>
      <w:r w:rsidRPr="00214672">
        <w:rPr>
          <w:rFonts w:ascii="Arial" w:hAnsi="Arial" w:cs="Arial"/>
          <w:bCs/>
          <w:sz w:val="24"/>
          <w:szCs w:val="24"/>
        </w:rPr>
        <w:t>For the first defendant:</w:t>
      </w:r>
      <w:r w:rsidRPr="00214672">
        <w:rPr>
          <w:rFonts w:ascii="Arial" w:hAnsi="Arial" w:cs="Arial"/>
          <w:bCs/>
          <w:sz w:val="24"/>
          <w:szCs w:val="24"/>
        </w:rPr>
        <w:tab/>
        <w:t>Adv Madokwe, instructed by the Office of the State Attorne</w:t>
      </w:r>
      <w:r>
        <w:rPr>
          <w:rFonts w:ascii="Arial" w:hAnsi="Arial" w:cs="Arial"/>
          <w:bCs/>
          <w:sz w:val="24"/>
          <w:szCs w:val="24"/>
        </w:rPr>
        <w:t>y</w:t>
      </w:r>
      <w:r w:rsidRPr="00214672">
        <w:rPr>
          <w:rFonts w:ascii="Arial" w:hAnsi="Arial" w:cs="Arial"/>
          <w:bCs/>
          <w:sz w:val="24"/>
          <w:szCs w:val="24"/>
        </w:rPr>
        <w:t xml:space="preserve">, Gqeberha. </w:t>
      </w:r>
    </w:p>
    <w:p w14:paraId="3C3326DC" w14:textId="77777777" w:rsidR="00B315F8" w:rsidRPr="00214672" w:rsidRDefault="00B315F8" w:rsidP="00B315F8">
      <w:pPr>
        <w:spacing w:line="240" w:lineRule="auto"/>
        <w:ind w:left="2880" w:hanging="2880"/>
        <w:jc w:val="both"/>
        <w:rPr>
          <w:rFonts w:ascii="Arial" w:hAnsi="Arial" w:cs="Arial"/>
          <w:bCs/>
          <w:sz w:val="24"/>
          <w:szCs w:val="24"/>
        </w:rPr>
      </w:pPr>
    </w:p>
    <w:p w14:paraId="11668AEF" w14:textId="77777777" w:rsidR="00B315F8" w:rsidRDefault="00B315F8" w:rsidP="00B315F8">
      <w:pPr>
        <w:spacing w:line="240" w:lineRule="auto"/>
        <w:ind w:left="2880" w:hanging="2880"/>
        <w:jc w:val="both"/>
        <w:rPr>
          <w:rFonts w:ascii="Arial" w:hAnsi="Arial" w:cs="Arial"/>
          <w:bCs/>
          <w:sz w:val="24"/>
          <w:szCs w:val="24"/>
        </w:rPr>
      </w:pPr>
      <w:r w:rsidRPr="00214672">
        <w:rPr>
          <w:rFonts w:ascii="Arial" w:hAnsi="Arial" w:cs="Arial"/>
          <w:bCs/>
          <w:sz w:val="24"/>
          <w:szCs w:val="24"/>
        </w:rPr>
        <w:t>For the second defendant:</w:t>
      </w:r>
      <w:r w:rsidRPr="00214672">
        <w:rPr>
          <w:rFonts w:ascii="Arial" w:hAnsi="Arial" w:cs="Arial"/>
          <w:bCs/>
          <w:sz w:val="24"/>
          <w:szCs w:val="24"/>
        </w:rPr>
        <w:tab/>
        <w:t xml:space="preserve">Adv Makiwane, instructed by the Office of the State Attorney, Gqeberha. </w:t>
      </w:r>
    </w:p>
    <w:p w14:paraId="25ECB177" w14:textId="77777777" w:rsidR="00B315F8" w:rsidRPr="00214672" w:rsidRDefault="00B315F8" w:rsidP="00B315F8">
      <w:pPr>
        <w:spacing w:line="240" w:lineRule="auto"/>
        <w:ind w:left="2880" w:hanging="2880"/>
        <w:jc w:val="both"/>
        <w:rPr>
          <w:rFonts w:ascii="Arial" w:hAnsi="Arial" w:cs="Arial"/>
          <w:bCs/>
          <w:sz w:val="24"/>
          <w:szCs w:val="24"/>
        </w:rPr>
      </w:pPr>
    </w:p>
    <w:p w14:paraId="0460F661" w14:textId="77777777" w:rsidR="00B315F8" w:rsidRDefault="00B315F8" w:rsidP="00B315F8">
      <w:pPr>
        <w:spacing w:line="240" w:lineRule="auto"/>
        <w:rPr>
          <w:rFonts w:ascii="Arial" w:hAnsi="Arial" w:cs="Arial"/>
          <w:bCs/>
          <w:sz w:val="24"/>
          <w:szCs w:val="24"/>
        </w:rPr>
      </w:pPr>
      <w:r>
        <w:rPr>
          <w:rFonts w:ascii="Arial" w:hAnsi="Arial" w:cs="Arial"/>
          <w:bCs/>
          <w:sz w:val="24"/>
          <w:szCs w:val="24"/>
        </w:rPr>
        <w:t>Date of submission of heads of argument:</w:t>
      </w:r>
      <w:r>
        <w:rPr>
          <w:rFonts w:ascii="Arial" w:hAnsi="Arial" w:cs="Arial"/>
          <w:bCs/>
          <w:sz w:val="24"/>
          <w:szCs w:val="24"/>
        </w:rPr>
        <w:tab/>
        <w:t>06 December 2022.</w:t>
      </w:r>
    </w:p>
    <w:p w14:paraId="16D89A0B" w14:textId="77777777" w:rsidR="00B315F8" w:rsidRPr="00214672" w:rsidRDefault="00B315F8" w:rsidP="00B315F8">
      <w:pPr>
        <w:spacing w:line="240" w:lineRule="auto"/>
        <w:rPr>
          <w:rFonts w:ascii="Arial" w:hAnsi="Arial" w:cs="Arial"/>
          <w:bCs/>
          <w:sz w:val="24"/>
          <w:szCs w:val="24"/>
        </w:rPr>
      </w:pPr>
      <w:r>
        <w:rPr>
          <w:rFonts w:ascii="Arial" w:hAnsi="Arial" w:cs="Arial"/>
          <w:bCs/>
          <w:sz w:val="24"/>
          <w:szCs w:val="24"/>
        </w:rPr>
        <w:t>Date of delivery of judgment:</w:t>
      </w:r>
      <w:r>
        <w:rPr>
          <w:rFonts w:ascii="Arial" w:hAnsi="Arial" w:cs="Arial"/>
          <w:bCs/>
          <w:sz w:val="24"/>
          <w:szCs w:val="24"/>
        </w:rPr>
        <w:tab/>
      </w:r>
      <w:r>
        <w:rPr>
          <w:rFonts w:ascii="Arial" w:hAnsi="Arial" w:cs="Arial"/>
          <w:bCs/>
          <w:sz w:val="24"/>
          <w:szCs w:val="24"/>
        </w:rPr>
        <w:tab/>
      </w:r>
      <w:r>
        <w:rPr>
          <w:rFonts w:ascii="Arial" w:hAnsi="Arial" w:cs="Arial"/>
          <w:bCs/>
          <w:sz w:val="24"/>
          <w:szCs w:val="24"/>
        </w:rPr>
        <w:tab/>
        <w:t>28 March 2023.</w:t>
      </w:r>
    </w:p>
    <w:p w14:paraId="32172102" w14:textId="77777777" w:rsidR="00B315F8" w:rsidRPr="00D93BD2" w:rsidRDefault="00B315F8" w:rsidP="00B315F8">
      <w:pPr>
        <w:spacing w:line="240" w:lineRule="auto"/>
        <w:jc w:val="both"/>
        <w:rPr>
          <w:rFonts w:ascii="Arial" w:hAnsi="Arial" w:cs="Arial"/>
          <w:b/>
          <w:bCs/>
          <w:sz w:val="24"/>
          <w:szCs w:val="24"/>
        </w:rPr>
      </w:pPr>
    </w:p>
    <w:sectPr w:rsidR="00B315F8" w:rsidRPr="00D93BD2" w:rsidSect="00D44D1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E1605" w14:textId="77777777" w:rsidR="005F2B53" w:rsidRDefault="005F2B53" w:rsidP="00862A58">
      <w:pPr>
        <w:spacing w:after="0" w:line="240" w:lineRule="auto"/>
      </w:pPr>
      <w:r>
        <w:separator/>
      </w:r>
    </w:p>
  </w:endnote>
  <w:endnote w:type="continuationSeparator" w:id="0">
    <w:p w14:paraId="1EBFBECE" w14:textId="77777777" w:rsidR="005F2B53" w:rsidRDefault="005F2B53" w:rsidP="0086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9970D" w14:textId="77777777" w:rsidR="005F2B53" w:rsidRDefault="005F2B53" w:rsidP="00862A58">
      <w:pPr>
        <w:spacing w:after="0" w:line="240" w:lineRule="auto"/>
      </w:pPr>
      <w:r>
        <w:separator/>
      </w:r>
    </w:p>
  </w:footnote>
  <w:footnote w:type="continuationSeparator" w:id="0">
    <w:p w14:paraId="61DB8524" w14:textId="77777777" w:rsidR="005F2B53" w:rsidRDefault="005F2B53" w:rsidP="00862A58">
      <w:pPr>
        <w:spacing w:after="0" w:line="240" w:lineRule="auto"/>
      </w:pPr>
      <w:r>
        <w:continuationSeparator/>
      </w:r>
    </w:p>
  </w:footnote>
  <w:footnote w:id="1">
    <w:p w14:paraId="51270080" w14:textId="05441B08" w:rsidR="00862A58" w:rsidRPr="00862A58" w:rsidRDefault="00862A58" w:rsidP="00D44D17">
      <w:pPr>
        <w:pStyle w:val="FootnoteText"/>
        <w:jc w:val="both"/>
        <w:rPr>
          <w:lang w:val="en-US"/>
        </w:rPr>
      </w:pPr>
      <w:r>
        <w:rPr>
          <w:rStyle w:val="FootnoteReference"/>
        </w:rPr>
        <w:footnoteRef/>
      </w:r>
      <w:r>
        <w:t xml:space="preserve"> </w:t>
      </w:r>
      <w:r w:rsidR="00E2423A">
        <w:rPr>
          <w:lang w:val="en-US"/>
        </w:rPr>
        <w:t xml:space="preserve">The </w:t>
      </w:r>
      <w:r w:rsidR="008C5424">
        <w:rPr>
          <w:lang w:val="en-US"/>
        </w:rPr>
        <w:t>nature</w:t>
      </w:r>
      <w:r w:rsidR="00E2423A">
        <w:rPr>
          <w:lang w:val="en-US"/>
        </w:rPr>
        <w:t xml:space="preserve"> of the claim</w:t>
      </w:r>
      <w:r w:rsidR="00600637">
        <w:rPr>
          <w:lang w:val="en-US"/>
        </w:rPr>
        <w:t xml:space="preserve"> regarding ‘unlawful prosecution’</w:t>
      </w:r>
      <w:r w:rsidR="00E2423A">
        <w:rPr>
          <w:lang w:val="en-US"/>
        </w:rPr>
        <w:t xml:space="preserve"> has given rise to </w:t>
      </w:r>
      <w:r w:rsidR="00753269">
        <w:rPr>
          <w:lang w:val="en-US"/>
        </w:rPr>
        <w:t xml:space="preserve">some </w:t>
      </w:r>
      <w:r w:rsidR="00E2423A">
        <w:rPr>
          <w:lang w:val="en-US"/>
        </w:rPr>
        <w:t>confusion, as will be discussed below. For the moment, th</w:t>
      </w:r>
      <w:r w:rsidR="00274A19">
        <w:rPr>
          <w:lang w:val="en-US"/>
        </w:rPr>
        <w:t>is and the remaining</w:t>
      </w:r>
      <w:r w:rsidR="00E2423A">
        <w:rPr>
          <w:lang w:val="en-US"/>
        </w:rPr>
        <w:t xml:space="preserve"> claims </w:t>
      </w:r>
      <w:r w:rsidR="008C5424">
        <w:rPr>
          <w:lang w:val="en-US"/>
        </w:rPr>
        <w:t xml:space="preserve">are </w:t>
      </w:r>
      <w:r w:rsidR="00600637">
        <w:rPr>
          <w:lang w:val="en-US"/>
        </w:rPr>
        <w:t>described as they appear in the plaintiffs’ particulars.</w:t>
      </w:r>
    </w:p>
  </w:footnote>
  <w:footnote w:id="2">
    <w:p w14:paraId="48B0AF87" w14:textId="4E85ABF4" w:rsidR="00C25BF2" w:rsidRPr="00C25BF2" w:rsidRDefault="00C25BF2" w:rsidP="00D44D17">
      <w:pPr>
        <w:pStyle w:val="FootnoteText"/>
        <w:jc w:val="both"/>
        <w:rPr>
          <w:lang w:val="en-US"/>
        </w:rPr>
      </w:pPr>
      <w:r>
        <w:rPr>
          <w:rStyle w:val="FootnoteReference"/>
        </w:rPr>
        <w:footnoteRef/>
      </w:r>
      <w:r>
        <w:t xml:space="preserve"> </w:t>
      </w:r>
      <w:r>
        <w:rPr>
          <w:lang w:val="en-US"/>
        </w:rPr>
        <w:t>2001 (10) BCLR 995 (CC).</w:t>
      </w:r>
    </w:p>
  </w:footnote>
  <w:footnote w:id="3">
    <w:p w14:paraId="7882C46E" w14:textId="6E41F63E" w:rsidR="00921BCE" w:rsidRPr="00921BCE" w:rsidRDefault="00921BCE" w:rsidP="00D44D17">
      <w:pPr>
        <w:pStyle w:val="FootnoteText"/>
        <w:jc w:val="both"/>
        <w:rPr>
          <w:lang w:val="en-US"/>
        </w:rPr>
      </w:pPr>
      <w:r>
        <w:rPr>
          <w:rStyle w:val="FootnoteReference"/>
        </w:rPr>
        <w:footnoteRef/>
      </w:r>
      <w:r>
        <w:t xml:space="preserve"> </w:t>
      </w:r>
      <w:r>
        <w:rPr>
          <w:lang w:val="en-US"/>
        </w:rPr>
        <w:t>At paragraph [26].</w:t>
      </w:r>
    </w:p>
  </w:footnote>
  <w:footnote w:id="4">
    <w:p w14:paraId="11A06A01" w14:textId="76BBC4CA" w:rsidR="00361A89" w:rsidRPr="00361A89" w:rsidRDefault="00361A89" w:rsidP="00D44D17">
      <w:pPr>
        <w:pStyle w:val="FootnoteText"/>
        <w:jc w:val="both"/>
        <w:rPr>
          <w:lang w:val="en-US"/>
        </w:rPr>
      </w:pPr>
      <w:r>
        <w:rPr>
          <w:rStyle w:val="FootnoteReference"/>
        </w:rPr>
        <w:footnoteRef/>
      </w:r>
      <w:r>
        <w:t xml:space="preserve"> </w:t>
      </w:r>
      <w:r w:rsidR="00F72289">
        <w:rPr>
          <w:lang w:val="en-US"/>
        </w:rPr>
        <w:t>1976 (4) SA 403 (A).</w:t>
      </w:r>
    </w:p>
  </w:footnote>
  <w:footnote w:id="5">
    <w:p w14:paraId="138DEB3D" w14:textId="277C92D5" w:rsidR="00EC29F1" w:rsidRPr="00EC29F1" w:rsidRDefault="00EC29F1" w:rsidP="00D44D17">
      <w:pPr>
        <w:pStyle w:val="FootnoteText"/>
        <w:jc w:val="both"/>
        <w:rPr>
          <w:lang w:val="en-US"/>
        </w:rPr>
      </w:pPr>
      <w:r>
        <w:rPr>
          <w:rStyle w:val="FootnoteReference"/>
        </w:rPr>
        <w:footnoteRef/>
      </w:r>
      <w:r>
        <w:t xml:space="preserve"> </w:t>
      </w:r>
      <w:r>
        <w:rPr>
          <w:lang w:val="en-US"/>
        </w:rPr>
        <w:t xml:space="preserve">At </w:t>
      </w:r>
      <w:r w:rsidR="00570F54">
        <w:rPr>
          <w:lang w:val="en-US"/>
        </w:rPr>
        <w:t>409G-H.</w:t>
      </w:r>
      <w:r w:rsidR="00D60DA5">
        <w:rPr>
          <w:lang w:val="en-US"/>
        </w:rPr>
        <w:t xml:space="preserve"> See, too, </w:t>
      </w:r>
      <w:r w:rsidR="00E7198B" w:rsidRPr="00C53633">
        <w:rPr>
          <w:i/>
          <w:iCs/>
          <w:lang w:val="en-US"/>
        </w:rPr>
        <w:t xml:space="preserve">Gordon Lloyd Page </w:t>
      </w:r>
      <w:r w:rsidR="0059754A" w:rsidRPr="00C53633">
        <w:rPr>
          <w:i/>
          <w:iCs/>
          <w:lang w:val="en-US"/>
        </w:rPr>
        <w:t>&amp; Associates v Rivera</w:t>
      </w:r>
      <w:r w:rsidR="0059754A">
        <w:rPr>
          <w:lang w:val="en-US"/>
        </w:rPr>
        <w:t xml:space="preserve"> 2001 (1) SA 88 (SCA)</w:t>
      </w:r>
      <w:r w:rsidR="002D0C03">
        <w:rPr>
          <w:lang w:val="en-US"/>
        </w:rPr>
        <w:t xml:space="preserve">, at 92E-93A; and </w:t>
      </w:r>
      <w:r w:rsidR="00A90236" w:rsidRPr="00C53633">
        <w:rPr>
          <w:i/>
          <w:iCs/>
          <w:lang w:val="en-US"/>
        </w:rPr>
        <w:t>Jacobs v Minister of Justice</w:t>
      </w:r>
      <w:r w:rsidR="007A53D8">
        <w:rPr>
          <w:lang w:val="en-US"/>
        </w:rPr>
        <w:t xml:space="preserve"> 2022 (2) SACR 569 (SCA), at paragraph </w:t>
      </w:r>
      <w:r w:rsidR="00C53633">
        <w:rPr>
          <w:lang w:val="en-US"/>
        </w:rPr>
        <w:t>[3].</w:t>
      </w:r>
    </w:p>
  </w:footnote>
  <w:footnote w:id="6">
    <w:p w14:paraId="517C5342" w14:textId="2E7325D9" w:rsidR="00AA2468" w:rsidRPr="00AA2468" w:rsidRDefault="00AA2468" w:rsidP="00D44D17">
      <w:pPr>
        <w:pStyle w:val="FootnoteText"/>
        <w:jc w:val="both"/>
        <w:rPr>
          <w:lang w:val="en-US"/>
        </w:rPr>
      </w:pPr>
      <w:r>
        <w:rPr>
          <w:rStyle w:val="FootnoteReference"/>
        </w:rPr>
        <w:footnoteRef/>
      </w:r>
      <w:r>
        <w:t xml:space="preserve"> </w:t>
      </w:r>
      <w:r w:rsidRPr="0023547E">
        <w:rPr>
          <w:i/>
          <w:iCs/>
          <w:lang w:val="en-US"/>
        </w:rPr>
        <w:t>Atlantic Continental Assurance Co</w:t>
      </w:r>
      <w:r w:rsidR="006E7076" w:rsidRPr="0023547E">
        <w:rPr>
          <w:i/>
          <w:iCs/>
          <w:lang w:val="en-US"/>
        </w:rPr>
        <w:t xml:space="preserve"> of SA v Vermaak</w:t>
      </w:r>
      <w:r w:rsidR="006E7076">
        <w:rPr>
          <w:lang w:val="en-US"/>
        </w:rPr>
        <w:t xml:space="preserve"> 1973 (2) SA 525 (E)</w:t>
      </w:r>
      <w:r w:rsidR="0023547E">
        <w:rPr>
          <w:lang w:val="en-US"/>
        </w:rPr>
        <w:t xml:space="preserve">, at 527C-D. </w:t>
      </w:r>
    </w:p>
  </w:footnote>
  <w:footnote w:id="7">
    <w:p w14:paraId="16D39FD7" w14:textId="077A5BE1" w:rsidR="00C151CB" w:rsidRPr="00C151CB" w:rsidRDefault="00C151CB" w:rsidP="00D44D17">
      <w:pPr>
        <w:pStyle w:val="FootnoteText"/>
        <w:jc w:val="both"/>
        <w:rPr>
          <w:lang w:val="en-US"/>
        </w:rPr>
      </w:pPr>
      <w:r>
        <w:rPr>
          <w:rStyle w:val="FootnoteReference"/>
        </w:rPr>
        <w:footnoteRef/>
      </w:r>
      <w:r>
        <w:t xml:space="preserve"> </w:t>
      </w:r>
      <w:r w:rsidRPr="00E51CCE">
        <w:rPr>
          <w:i/>
          <w:iCs/>
          <w:lang w:val="en-US"/>
        </w:rPr>
        <w:t>Siko v Zonsa</w:t>
      </w:r>
      <w:r>
        <w:rPr>
          <w:lang w:val="en-US"/>
        </w:rPr>
        <w:t xml:space="preserve"> </w:t>
      </w:r>
      <w:r w:rsidR="00030700">
        <w:rPr>
          <w:lang w:val="en-US"/>
        </w:rPr>
        <w:t>1908 TS 1013</w:t>
      </w:r>
      <w:r w:rsidR="00A4618B">
        <w:rPr>
          <w:lang w:val="en-US"/>
        </w:rPr>
        <w:t xml:space="preserve">; </w:t>
      </w:r>
      <w:r w:rsidR="00A4618B" w:rsidRPr="00E51CCE">
        <w:rPr>
          <w:i/>
          <w:iCs/>
          <w:lang w:val="en-US"/>
        </w:rPr>
        <w:t>Ruto Flour Mills (Pty) Ltd v Adelson (2)</w:t>
      </w:r>
      <w:r w:rsidR="00A4618B">
        <w:rPr>
          <w:lang w:val="en-US"/>
        </w:rPr>
        <w:t xml:space="preserve"> 1958 (4) </w:t>
      </w:r>
      <w:r w:rsidR="000F0673">
        <w:rPr>
          <w:lang w:val="en-US"/>
        </w:rPr>
        <w:t xml:space="preserve">SA 307 (T); and </w:t>
      </w:r>
      <w:r w:rsidR="000F0673" w:rsidRPr="00E51CCE">
        <w:rPr>
          <w:i/>
          <w:iCs/>
          <w:lang w:val="en-US"/>
        </w:rPr>
        <w:t xml:space="preserve">Gafoor v </w:t>
      </w:r>
      <w:r w:rsidR="0072176B" w:rsidRPr="00E51CCE">
        <w:rPr>
          <w:i/>
          <w:iCs/>
          <w:lang w:val="en-US"/>
        </w:rPr>
        <w:t>Unie Versekeringsadviseurs (Edms) Bpk</w:t>
      </w:r>
      <w:r w:rsidR="0072176B">
        <w:rPr>
          <w:lang w:val="en-US"/>
        </w:rPr>
        <w:t xml:space="preserve"> 1961 (1) </w:t>
      </w:r>
      <w:r w:rsidR="00E51CCE">
        <w:rPr>
          <w:lang w:val="en-US"/>
        </w:rPr>
        <w:t>SA 335 (A), at 340D-E.</w:t>
      </w:r>
      <w:r w:rsidR="00C86CC6">
        <w:rPr>
          <w:lang w:val="en-US"/>
        </w:rPr>
        <w:t xml:space="preserve"> In general, see the discussion in </w:t>
      </w:r>
      <w:r w:rsidR="009F2B9D">
        <w:rPr>
          <w:lang w:val="en-US"/>
        </w:rPr>
        <w:t xml:space="preserve">Van Loggerenberg, </w:t>
      </w:r>
      <w:r w:rsidR="009F2B9D" w:rsidRPr="006F7528">
        <w:rPr>
          <w:i/>
          <w:iCs/>
          <w:lang w:val="en-US"/>
        </w:rPr>
        <w:t>Erasmus: Superior Court Practice</w:t>
      </w:r>
      <w:r w:rsidR="00E71272">
        <w:rPr>
          <w:lang w:val="en-US"/>
        </w:rPr>
        <w:t xml:space="preserve"> (Jutastat epublications, </w:t>
      </w:r>
      <w:r w:rsidR="00CC1819">
        <w:rPr>
          <w:lang w:val="en-US"/>
        </w:rPr>
        <w:t>RS 20, 2022</w:t>
      </w:r>
      <w:r w:rsidR="006F7528">
        <w:rPr>
          <w:lang w:val="en-US"/>
        </w:rPr>
        <w:t>)</w:t>
      </w:r>
      <w:r w:rsidR="00CC1819">
        <w:rPr>
          <w:lang w:val="en-US"/>
        </w:rPr>
        <w:t>,</w:t>
      </w:r>
      <w:r w:rsidR="006F7528">
        <w:rPr>
          <w:lang w:val="en-US"/>
        </w:rPr>
        <w:t xml:space="preserve"> at</w:t>
      </w:r>
      <w:r w:rsidR="00CC1819">
        <w:rPr>
          <w:lang w:val="en-US"/>
        </w:rPr>
        <w:t xml:space="preserve"> </w:t>
      </w:r>
      <w:r w:rsidR="006F7528">
        <w:rPr>
          <w:lang w:val="en-US"/>
        </w:rPr>
        <w:t>D1-530 to D1-531.</w:t>
      </w:r>
    </w:p>
  </w:footnote>
  <w:footnote w:id="8">
    <w:p w14:paraId="6D35A039" w14:textId="42FABD09" w:rsidR="000D7471" w:rsidRPr="000D7471" w:rsidRDefault="000D7471" w:rsidP="00D44D17">
      <w:pPr>
        <w:pStyle w:val="FootnoteText"/>
        <w:jc w:val="both"/>
        <w:rPr>
          <w:lang w:val="en-US"/>
        </w:rPr>
      </w:pPr>
      <w:r>
        <w:rPr>
          <w:rStyle w:val="FootnoteReference"/>
        </w:rPr>
        <w:footnoteRef/>
      </w:r>
      <w:r>
        <w:t xml:space="preserve"> </w:t>
      </w:r>
      <w:r w:rsidR="00ED47C6">
        <w:rPr>
          <w:lang w:val="en-US"/>
        </w:rPr>
        <w:t xml:space="preserve">A more accurate description </w:t>
      </w:r>
      <w:r w:rsidR="003F7C1A">
        <w:rPr>
          <w:lang w:val="en-US"/>
        </w:rPr>
        <w:t>would be</w:t>
      </w:r>
      <w:r w:rsidR="00C61C2E">
        <w:rPr>
          <w:lang w:val="en-US"/>
        </w:rPr>
        <w:t xml:space="preserve"> </w:t>
      </w:r>
      <w:r w:rsidR="00BD20A6">
        <w:rPr>
          <w:lang w:val="en-US"/>
        </w:rPr>
        <w:t>‘negligent prosecution’. The case law</w:t>
      </w:r>
      <w:r w:rsidR="00A716D0">
        <w:rPr>
          <w:lang w:val="en-US"/>
        </w:rPr>
        <w:t>, however,</w:t>
      </w:r>
      <w:r w:rsidR="00BD20A6">
        <w:rPr>
          <w:lang w:val="en-US"/>
        </w:rPr>
        <w:t xml:space="preserve"> </w:t>
      </w:r>
      <w:r w:rsidR="00AE5D60">
        <w:rPr>
          <w:lang w:val="en-US"/>
        </w:rPr>
        <w:t>does</w:t>
      </w:r>
      <w:r w:rsidR="00BD20A6">
        <w:rPr>
          <w:lang w:val="en-US"/>
        </w:rPr>
        <w:t xml:space="preserve"> not</w:t>
      </w:r>
      <w:r w:rsidR="00AE5D60">
        <w:rPr>
          <w:lang w:val="en-US"/>
        </w:rPr>
        <w:t xml:space="preserve"> appear to be</w:t>
      </w:r>
      <w:r w:rsidR="00BD20A6">
        <w:rPr>
          <w:lang w:val="en-US"/>
        </w:rPr>
        <w:t xml:space="preserve"> consistent</w:t>
      </w:r>
      <w:r w:rsidR="00AE5D60">
        <w:rPr>
          <w:lang w:val="en-US"/>
        </w:rPr>
        <w:t xml:space="preserve"> in the use of the term</w:t>
      </w:r>
      <w:r w:rsidR="001F27FD">
        <w:rPr>
          <w:lang w:val="en-US"/>
        </w:rPr>
        <w:t>.</w:t>
      </w:r>
    </w:p>
  </w:footnote>
  <w:footnote w:id="9">
    <w:p w14:paraId="036A94C5" w14:textId="7D3DAF10" w:rsidR="00226605" w:rsidRPr="00226605" w:rsidRDefault="00226605" w:rsidP="00D44D17">
      <w:pPr>
        <w:pStyle w:val="FootnoteText"/>
        <w:jc w:val="both"/>
        <w:rPr>
          <w:lang w:val="en-US"/>
        </w:rPr>
      </w:pPr>
      <w:r>
        <w:rPr>
          <w:rStyle w:val="FootnoteReference"/>
        </w:rPr>
        <w:footnoteRef/>
      </w:r>
      <w:r>
        <w:t xml:space="preserve"> See n </w:t>
      </w:r>
      <w:r w:rsidR="00D53A21">
        <w:t>2</w:t>
      </w:r>
      <w:r>
        <w:t xml:space="preserve">, </w:t>
      </w:r>
      <w:r w:rsidRPr="00226605">
        <w:rPr>
          <w:i/>
          <w:iCs/>
        </w:rPr>
        <w:t>supra</w:t>
      </w:r>
      <w:r>
        <w:t>.</w:t>
      </w:r>
    </w:p>
  </w:footnote>
  <w:footnote w:id="10">
    <w:p w14:paraId="6CF265A3" w14:textId="242C55C7" w:rsidR="00226605" w:rsidRPr="00226605" w:rsidRDefault="00226605" w:rsidP="00D44D17">
      <w:pPr>
        <w:pStyle w:val="FootnoteText"/>
        <w:jc w:val="both"/>
        <w:rPr>
          <w:lang w:val="en-US"/>
        </w:rPr>
      </w:pPr>
      <w:r>
        <w:rPr>
          <w:rStyle w:val="FootnoteReference"/>
        </w:rPr>
        <w:footnoteRef/>
      </w:r>
      <w:r>
        <w:t xml:space="preserve"> 2015 (1) SA 25 (SCA).</w:t>
      </w:r>
    </w:p>
  </w:footnote>
  <w:footnote w:id="11">
    <w:p w14:paraId="4ECF2342" w14:textId="4BB2B09C" w:rsidR="00F73828" w:rsidRPr="00F73828" w:rsidRDefault="00F73828" w:rsidP="00D44D17">
      <w:pPr>
        <w:pStyle w:val="FootnoteText"/>
        <w:jc w:val="both"/>
        <w:rPr>
          <w:lang w:val="en-US"/>
        </w:rPr>
      </w:pPr>
      <w:r>
        <w:rPr>
          <w:rStyle w:val="FootnoteReference"/>
        </w:rPr>
        <w:footnoteRef/>
      </w:r>
      <w:r>
        <w:t xml:space="preserve"> </w:t>
      </w:r>
      <w:r>
        <w:rPr>
          <w:lang w:val="en-US"/>
        </w:rPr>
        <w:t>2015 JDR 2275 (GP).</w:t>
      </w:r>
    </w:p>
  </w:footnote>
  <w:footnote w:id="12">
    <w:p w14:paraId="2AACC8BE" w14:textId="6D29B9F4" w:rsidR="000A1BA6" w:rsidRPr="000A1BA6" w:rsidRDefault="000A1BA6" w:rsidP="00D44D17">
      <w:pPr>
        <w:pStyle w:val="FootnoteText"/>
        <w:jc w:val="both"/>
        <w:rPr>
          <w:lang w:val="en-US"/>
        </w:rPr>
      </w:pPr>
      <w:r>
        <w:rPr>
          <w:rStyle w:val="FootnoteReference"/>
        </w:rPr>
        <w:footnoteRef/>
      </w:r>
      <w:r>
        <w:t xml:space="preserve"> </w:t>
      </w:r>
      <w:r>
        <w:rPr>
          <w:lang w:val="en-US"/>
        </w:rPr>
        <w:t>At paragraph 2.</w:t>
      </w:r>
    </w:p>
  </w:footnote>
  <w:footnote w:id="13">
    <w:p w14:paraId="5108F396" w14:textId="28FBF000" w:rsidR="002D61EF" w:rsidRPr="002D61EF" w:rsidRDefault="002D61EF" w:rsidP="00B315F8">
      <w:pPr>
        <w:pStyle w:val="FootnoteText"/>
        <w:jc w:val="both"/>
        <w:rPr>
          <w:lang w:val="en-US"/>
        </w:rPr>
      </w:pPr>
      <w:r>
        <w:rPr>
          <w:rStyle w:val="FootnoteReference"/>
        </w:rPr>
        <w:footnoteRef/>
      </w:r>
      <w:r>
        <w:t xml:space="preserve"> </w:t>
      </w:r>
      <w:r>
        <w:rPr>
          <w:lang w:val="en-US"/>
        </w:rPr>
        <w:t xml:space="preserve">At </w:t>
      </w:r>
      <w:r w:rsidR="0099430C">
        <w:rPr>
          <w:lang w:val="en-US"/>
        </w:rPr>
        <w:t>paragraphs 24-26.</w:t>
      </w:r>
    </w:p>
  </w:footnote>
  <w:footnote w:id="14">
    <w:p w14:paraId="32287330" w14:textId="56F7FCCF" w:rsidR="00C35918" w:rsidRPr="00C35918" w:rsidRDefault="00C35918" w:rsidP="00B315F8">
      <w:pPr>
        <w:pStyle w:val="FootnoteText"/>
        <w:jc w:val="both"/>
        <w:rPr>
          <w:lang w:val="en-US"/>
        </w:rPr>
      </w:pPr>
      <w:r>
        <w:rPr>
          <w:rStyle w:val="FootnoteReference"/>
        </w:rPr>
        <w:footnoteRef/>
      </w:r>
      <w:r>
        <w:t xml:space="preserve"> </w:t>
      </w:r>
      <w:r>
        <w:rPr>
          <w:lang w:val="en-US"/>
        </w:rPr>
        <w:t>2016 JDR 0662 (GP).</w:t>
      </w:r>
    </w:p>
  </w:footnote>
  <w:footnote w:id="15">
    <w:p w14:paraId="2C7EC715" w14:textId="2EE5BF30" w:rsidR="009865F7" w:rsidRPr="009865F7" w:rsidRDefault="009865F7" w:rsidP="00B315F8">
      <w:pPr>
        <w:pStyle w:val="FootnoteText"/>
        <w:jc w:val="both"/>
        <w:rPr>
          <w:lang w:val="en-US"/>
        </w:rPr>
      </w:pPr>
      <w:r>
        <w:rPr>
          <w:rStyle w:val="FootnoteReference"/>
        </w:rPr>
        <w:footnoteRef/>
      </w:r>
      <w:r>
        <w:t xml:space="preserve"> </w:t>
      </w:r>
      <w:r w:rsidR="00006495">
        <w:rPr>
          <w:lang w:val="en-US"/>
        </w:rPr>
        <w:t>At paragraph 4.</w:t>
      </w:r>
    </w:p>
  </w:footnote>
  <w:footnote w:id="16">
    <w:p w14:paraId="1C6DFCCB" w14:textId="77777777" w:rsidR="004A119C" w:rsidRPr="00566357" w:rsidRDefault="004A119C" w:rsidP="00B315F8">
      <w:pPr>
        <w:pStyle w:val="FootnoteText"/>
        <w:jc w:val="both"/>
        <w:rPr>
          <w:lang w:val="en-US"/>
        </w:rPr>
      </w:pPr>
      <w:r>
        <w:rPr>
          <w:rStyle w:val="FootnoteReference"/>
        </w:rPr>
        <w:footnoteRef/>
      </w:r>
      <w:r>
        <w:t xml:space="preserve"> </w:t>
      </w:r>
      <w:r>
        <w:rPr>
          <w:lang w:val="en-US"/>
        </w:rPr>
        <w:t xml:space="preserve">It is possible that there could eventually be development in this direction. See </w:t>
      </w:r>
      <w:r w:rsidRPr="004A119C">
        <w:rPr>
          <w:i/>
          <w:iCs/>
          <w:lang w:val="en-US"/>
        </w:rPr>
        <w:t>Heyns v Venter</w:t>
      </w:r>
      <w:r>
        <w:rPr>
          <w:lang w:val="en-US"/>
        </w:rPr>
        <w:t xml:space="preserve"> 2004 (3) SA 200 (T), at 208-9, where the court recognized a claim based on gross negligence, as discussed in Neethling and Potgieter, </w:t>
      </w:r>
      <w:r w:rsidRPr="004A119C">
        <w:rPr>
          <w:i/>
          <w:iCs/>
          <w:lang w:val="en-US"/>
        </w:rPr>
        <w:t>Law of Delict</w:t>
      </w:r>
      <w:r>
        <w:rPr>
          <w:lang w:val="en-US"/>
        </w:rPr>
        <w:t xml:space="preserve"> (LexisNexis, 2010), at 345, n 255.</w:t>
      </w:r>
    </w:p>
  </w:footnote>
  <w:footnote w:id="17">
    <w:p w14:paraId="44C0D958" w14:textId="3AC88888" w:rsidR="00B11816" w:rsidRPr="00B11816" w:rsidRDefault="00B11816" w:rsidP="00B315F8">
      <w:pPr>
        <w:pStyle w:val="FootnoteText"/>
        <w:jc w:val="both"/>
        <w:rPr>
          <w:lang w:val="en-US"/>
        </w:rPr>
      </w:pPr>
      <w:r>
        <w:rPr>
          <w:rStyle w:val="FootnoteReference"/>
        </w:rPr>
        <w:footnoteRef/>
      </w:r>
      <w:r>
        <w:t xml:space="preserve"> </w:t>
      </w:r>
      <w:r>
        <w:rPr>
          <w:lang w:val="en-US"/>
        </w:rPr>
        <w:t xml:space="preserve">See the discussion under ‘Malicious and wrongful legal proceedings’ in Harms, </w:t>
      </w:r>
      <w:r w:rsidRPr="00B11816">
        <w:rPr>
          <w:i/>
          <w:iCs/>
          <w:lang w:val="en-US"/>
        </w:rPr>
        <w:t>Amler’s Precedents of Pleadings</w:t>
      </w:r>
      <w:r>
        <w:rPr>
          <w:lang w:val="en-US"/>
        </w:rPr>
        <w:t xml:space="preserve"> (LexisNexis, 9ed, 2018).</w:t>
      </w:r>
    </w:p>
  </w:footnote>
  <w:footnote w:id="18">
    <w:p w14:paraId="5702B522" w14:textId="28D6D11B" w:rsidR="00034DC5" w:rsidRPr="00034DC5" w:rsidRDefault="00034DC5" w:rsidP="00B315F8">
      <w:pPr>
        <w:pStyle w:val="FootnoteText"/>
        <w:jc w:val="both"/>
        <w:rPr>
          <w:lang w:val="en-US"/>
        </w:rPr>
      </w:pPr>
      <w:r>
        <w:rPr>
          <w:rStyle w:val="FootnoteReference"/>
        </w:rPr>
        <w:footnoteRef/>
      </w:r>
      <w:r>
        <w:t xml:space="preserve"> </w:t>
      </w:r>
      <w:r>
        <w:rPr>
          <w:lang w:val="en-US"/>
        </w:rPr>
        <w:t>[2008] 3 All SA 47 (SCA).</w:t>
      </w:r>
    </w:p>
  </w:footnote>
  <w:footnote w:id="19">
    <w:p w14:paraId="4E43155D" w14:textId="3DDA9478" w:rsidR="00034DC5" w:rsidRPr="00034DC5" w:rsidRDefault="00034DC5" w:rsidP="00B315F8">
      <w:pPr>
        <w:pStyle w:val="FootnoteText"/>
        <w:jc w:val="both"/>
        <w:rPr>
          <w:lang w:val="en-US"/>
        </w:rPr>
      </w:pPr>
      <w:r>
        <w:rPr>
          <w:rStyle w:val="FootnoteReference"/>
        </w:rPr>
        <w:footnoteRef/>
      </w:r>
      <w:r>
        <w:t xml:space="preserve"> </w:t>
      </w:r>
      <w:r w:rsidR="00B92D9C">
        <w:t xml:space="preserve">At paragraph [8]. </w:t>
      </w:r>
      <w:r>
        <w:rPr>
          <w:lang w:val="en-US"/>
        </w:rPr>
        <w:t xml:space="preserve">See, too, </w:t>
      </w:r>
      <w:r w:rsidRPr="00034DC5">
        <w:rPr>
          <w:i/>
          <w:iCs/>
          <w:lang w:val="en-US"/>
        </w:rPr>
        <w:t xml:space="preserve">Minister of </w:t>
      </w:r>
      <w:r>
        <w:rPr>
          <w:i/>
          <w:iCs/>
          <w:lang w:val="en-US"/>
        </w:rPr>
        <w:t>S</w:t>
      </w:r>
      <w:r w:rsidRPr="00034DC5">
        <w:rPr>
          <w:i/>
          <w:iCs/>
          <w:lang w:val="en-US"/>
        </w:rPr>
        <w:t>afety and Security NO v Schubach</w:t>
      </w:r>
      <w:r>
        <w:rPr>
          <w:lang w:val="en-US"/>
        </w:rPr>
        <w:t xml:space="preserve"> [2014] ZASCA 216.</w:t>
      </w:r>
    </w:p>
  </w:footnote>
  <w:footnote w:id="20">
    <w:p w14:paraId="12A44985" w14:textId="08EEF20B" w:rsidR="00912476" w:rsidRPr="00912476" w:rsidRDefault="00912476" w:rsidP="00B315F8">
      <w:pPr>
        <w:pStyle w:val="FootnoteText"/>
        <w:jc w:val="both"/>
        <w:rPr>
          <w:lang w:val="en-US"/>
        </w:rPr>
      </w:pPr>
      <w:r>
        <w:rPr>
          <w:rStyle w:val="FootnoteReference"/>
        </w:rPr>
        <w:footnoteRef/>
      </w:r>
      <w:r>
        <w:t xml:space="preserve"> </w:t>
      </w:r>
      <w:r w:rsidR="00C204CB" w:rsidRPr="005E6710">
        <w:rPr>
          <w:i/>
          <w:iCs/>
          <w:lang w:val="en-US"/>
        </w:rPr>
        <w:t>Prinsloo v Newman</w:t>
      </w:r>
      <w:r w:rsidR="00C204CB">
        <w:rPr>
          <w:lang w:val="en-US"/>
        </w:rPr>
        <w:t xml:space="preserve"> [1975] 2 All SA 89 </w:t>
      </w:r>
      <w:r w:rsidR="005E6710">
        <w:rPr>
          <w:lang w:val="en-US"/>
        </w:rPr>
        <w:t>(A).</w:t>
      </w:r>
    </w:p>
  </w:footnote>
  <w:footnote w:id="21">
    <w:p w14:paraId="6E4C1640" w14:textId="2CC956AA" w:rsidR="000B1887" w:rsidRPr="000B1887" w:rsidRDefault="000B1887" w:rsidP="00B315F8">
      <w:pPr>
        <w:pStyle w:val="FootnoteText"/>
        <w:jc w:val="both"/>
        <w:rPr>
          <w:lang w:val="en-US"/>
        </w:rPr>
      </w:pPr>
      <w:r>
        <w:rPr>
          <w:rStyle w:val="FootnoteReference"/>
        </w:rPr>
        <w:footnoteRef/>
      </w:r>
      <w:r>
        <w:t xml:space="preserve"> </w:t>
      </w:r>
      <w:r w:rsidRPr="000B1887">
        <w:rPr>
          <w:i/>
          <w:iCs/>
          <w:lang w:val="en-US"/>
        </w:rPr>
        <w:t>Moaki v Reckitt and Colman (Africa) Ltd and another</w:t>
      </w:r>
      <w:r>
        <w:rPr>
          <w:lang w:val="en-US"/>
        </w:rPr>
        <w:t xml:space="preserve"> [1968] 3 All SA 242 (A), at 246.</w:t>
      </w:r>
    </w:p>
  </w:footnote>
  <w:footnote w:id="22">
    <w:p w14:paraId="66E9296E" w14:textId="70F043A9" w:rsidR="00A42C15" w:rsidRPr="00A42C15" w:rsidRDefault="00A42C15" w:rsidP="00B315F8">
      <w:pPr>
        <w:pStyle w:val="FootnoteText"/>
        <w:jc w:val="both"/>
        <w:rPr>
          <w:lang w:val="en-US"/>
        </w:rPr>
      </w:pPr>
      <w:r>
        <w:rPr>
          <w:rStyle w:val="FootnoteReference"/>
        </w:rPr>
        <w:footnoteRef/>
      </w:r>
      <w:r>
        <w:t xml:space="preserve"> </w:t>
      </w:r>
      <w:r>
        <w:rPr>
          <w:lang w:val="en-US"/>
        </w:rPr>
        <w:t xml:space="preserve">The term, ‘negligent prosecution’, is preferable and </w:t>
      </w:r>
      <w:r w:rsidR="00520071">
        <w:rPr>
          <w:lang w:val="en-US"/>
        </w:rPr>
        <w:t>more in alignment with the treatment of the subject in case law. Nevertheless, ‘unlawful prosecution’ will continue to be used</w:t>
      </w:r>
      <w:r w:rsidR="00807B6E">
        <w:rPr>
          <w:lang w:val="en-US"/>
        </w:rPr>
        <w:t xml:space="preserve"> for purposes of the judgment, to reflect the language of the plaintiffs’ pleadings.</w:t>
      </w:r>
    </w:p>
  </w:footnote>
  <w:footnote w:id="23">
    <w:p w14:paraId="4D3A337A" w14:textId="6CD2A75F" w:rsidR="00FD2EA4" w:rsidRPr="00260579" w:rsidRDefault="00FD2EA4" w:rsidP="00B315F8">
      <w:pPr>
        <w:pStyle w:val="FootnoteText"/>
        <w:jc w:val="both"/>
        <w:rPr>
          <w:lang w:val="en-US"/>
        </w:rPr>
      </w:pPr>
      <w:r>
        <w:rPr>
          <w:rStyle w:val="FootnoteReference"/>
        </w:rPr>
        <w:footnoteRef/>
      </w:r>
      <w:r>
        <w:t xml:space="preserve"> </w:t>
      </w:r>
      <w:r>
        <w:rPr>
          <w:lang w:val="en-US"/>
        </w:rPr>
        <w:t>Curiously, counsel for the plaintiffs referred</w:t>
      </w:r>
      <w:r w:rsidR="00260579">
        <w:rPr>
          <w:lang w:val="en-US"/>
        </w:rPr>
        <w:t>, in argument, to</w:t>
      </w:r>
      <w:r>
        <w:rPr>
          <w:lang w:val="en-US"/>
        </w:rPr>
        <w:t xml:space="preserve"> </w:t>
      </w:r>
      <w:r w:rsidRPr="00FD2EA4">
        <w:rPr>
          <w:i/>
          <w:iCs/>
        </w:rPr>
        <w:t>Rudolph and others v Minister of Safety and Security and another</w:t>
      </w:r>
      <w:r>
        <w:rPr>
          <w:i/>
          <w:iCs/>
        </w:rPr>
        <w:t xml:space="preserve"> </w:t>
      </w:r>
      <w:r w:rsidR="00260579" w:rsidRPr="00260579">
        <w:rPr>
          <w:lang w:val="en-US"/>
        </w:rPr>
        <w:t>2009 (5) SA 94 (SCA)</w:t>
      </w:r>
      <w:r w:rsidR="00260579">
        <w:rPr>
          <w:lang w:val="en-US"/>
        </w:rPr>
        <w:t xml:space="preserve"> and to </w:t>
      </w:r>
      <w:r w:rsidR="00260579" w:rsidRPr="00260579">
        <w:rPr>
          <w:i/>
          <w:iCs/>
        </w:rPr>
        <w:t>Korkie v Minister of Police</w:t>
      </w:r>
      <w:r w:rsidR="00260579">
        <w:rPr>
          <w:i/>
          <w:iCs/>
        </w:rPr>
        <w:t xml:space="preserve"> </w:t>
      </w:r>
      <w:r w:rsidR="00260579" w:rsidRPr="00260579">
        <w:rPr>
          <w:lang w:val="en-US"/>
        </w:rPr>
        <w:t>2022 JDR 0178 (ECG)</w:t>
      </w:r>
      <w:r w:rsidR="00260579">
        <w:rPr>
          <w:lang w:val="en-US"/>
        </w:rPr>
        <w:t xml:space="preserve">, which pertain to claims based on malicious prosecution. </w:t>
      </w:r>
    </w:p>
  </w:footnote>
  <w:footnote w:id="24">
    <w:p w14:paraId="1E81D834" w14:textId="76CDDF46" w:rsidR="004A03CD" w:rsidRPr="004A03CD" w:rsidRDefault="004A03CD" w:rsidP="00B315F8">
      <w:pPr>
        <w:pStyle w:val="FootnoteText"/>
        <w:jc w:val="both"/>
        <w:rPr>
          <w:lang w:val="en-US"/>
        </w:rPr>
      </w:pPr>
      <w:r>
        <w:rPr>
          <w:rStyle w:val="FootnoteReference"/>
        </w:rPr>
        <w:footnoteRef/>
      </w:r>
      <w:r>
        <w:t xml:space="preserve"> [</w:t>
      </w:r>
      <w:r>
        <w:rPr>
          <w:lang w:val="en-US"/>
        </w:rPr>
        <w:t>2010] 2 All SA 474 (SCA).</w:t>
      </w:r>
    </w:p>
  </w:footnote>
  <w:footnote w:id="25">
    <w:p w14:paraId="2371766F" w14:textId="391D9316" w:rsidR="00D479A7" w:rsidRPr="00D479A7" w:rsidRDefault="00D479A7" w:rsidP="00B315F8">
      <w:pPr>
        <w:pStyle w:val="FootnoteText"/>
        <w:jc w:val="both"/>
        <w:rPr>
          <w:lang w:val="en-US"/>
        </w:rPr>
      </w:pPr>
      <w:r>
        <w:rPr>
          <w:rStyle w:val="FootnoteReference"/>
        </w:rPr>
        <w:footnoteRef/>
      </w:r>
      <w:r>
        <w:t xml:space="preserve"> </w:t>
      </w:r>
      <w:r>
        <w:rPr>
          <w:lang w:val="en-US"/>
        </w:rPr>
        <w:t>At paragraphs [11] to [12].</w:t>
      </w:r>
    </w:p>
  </w:footnote>
  <w:footnote w:id="26">
    <w:p w14:paraId="677CFBA6" w14:textId="4808663B" w:rsidR="00A364FB" w:rsidRPr="00A364FB" w:rsidRDefault="00A364FB" w:rsidP="00EA720C">
      <w:pPr>
        <w:pStyle w:val="FootnoteText"/>
        <w:jc w:val="both"/>
        <w:rPr>
          <w:lang w:val="en-US"/>
        </w:rPr>
      </w:pPr>
      <w:r>
        <w:rPr>
          <w:rStyle w:val="FootnoteReference"/>
        </w:rPr>
        <w:footnoteRef/>
      </w:r>
      <w:r>
        <w:t xml:space="preserve"> </w:t>
      </w:r>
      <w:r w:rsidR="00F90569">
        <w:rPr>
          <w:lang w:val="en-US"/>
        </w:rPr>
        <w:t>[2022] ZACC 14.</w:t>
      </w:r>
    </w:p>
  </w:footnote>
  <w:footnote w:id="27">
    <w:p w14:paraId="2340D8D2" w14:textId="25CF3925" w:rsidR="003949E5" w:rsidRPr="003949E5" w:rsidRDefault="003949E5" w:rsidP="00EA720C">
      <w:pPr>
        <w:pStyle w:val="FootnoteText"/>
        <w:jc w:val="both"/>
        <w:rPr>
          <w:lang w:val="en-US"/>
        </w:rPr>
      </w:pPr>
      <w:r>
        <w:rPr>
          <w:rStyle w:val="FootnoteReference"/>
        </w:rPr>
        <w:footnoteRef/>
      </w:r>
      <w:r>
        <w:t xml:space="preserve"> </w:t>
      </w:r>
      <w:r>
        <w:rPr>
          <w:lang w:val="en-US"/>
        </w:rPr>
        <w:t xml:space="preserve">In </w:t>
      </w:r>
      <w:r w:rsidR="00F40627" w:rsidRPr="00DD0888">
        <w:rPr>
          <w:i/>
          <w:iCs/>
          <w:lang w:val="en-US"/>
        </w:rPr>
        <w:t>Palmer v Minister of Safety and Security</w:t>
      </w:r>
      <w:r w:rsidR="00F40627">
        <w:rPr>
          <w:lang w:val="en-US"/>
        </w:rPr>
        <w:t xml:space="preserve"> </w:t>
      </w:r>
      <w:r w:rsidR="00DD0888">
        <w:rPr>
          <w:lang w:val="en-US"/>
        </w:rPr>
        <w:t xml:space="preserve">2001 JDR 0444 (W), Horn J </w:t>
      </w:r>
      <w:r w:rsidR="00300F26">
        <w:rPr>
          <w:lang w:val="en-US"/>
        </w:rPr>
        <w:t xml:space="preserve">awarded damages against the police </w:t>
      </w:r>
      <w:r w:rsidR="0072678D">
        <w:rPr>
          <w:lang w:val="en-US"/>
        </w:rPr>
        <w:t xml:space="preserve">for </w:t>
      </w:r>
      <w:r w:rsidR="006C6D0A">
        <w:rPr>
          <w:lang w:val="en-US"/>
        </w:rPr>
        <w:t>unlaw</w:t>
      </w:r>
      <w:r w:rsidR="00510693">
        <w:rPr>
          <w:lang w:val="en-US"/>
        </w:rPr>
        <w:t>ful prosecution.</w:t>
      </w:r>
      <w:r w:rsidR="0016034C">
        <w:rPr>
          <w:lang w:val="en-US"/>
        </w:rPr>
        <w:t xml:space="preserve"> The </w:t>
      </w:r>
      <w:r w:rsidR="00E41CF5">
        <w:rPr>
          <w:lang w:val="en-US"/>
        </w:rPr>
        <w:t>grounds</w:t>
      </w:r>
      <w:r w:rsidR="00C14EDD">
        <w:rPr>
          <w:lang w:val="en-US"/>
        </w:rPr>
        <w:t xml:space="preserve"> for the </w:t>
      </w:r>
      <w:r w:rsidR="0016034C">
        <w:rPr>
          <w:lang w:val="en-US"/>
        </w:rPr>
        <w:t>decision</w:t>
      </w:r>
      <w:r w:rsidR="003E4630">
        <w:rPr>
          <w:lang w:val="en-US"/>
        </w:rPr>
        <w:t xml:space="preserve"> (</w:t>
      </w:r>
      <w:r w:rsidR="003E4630" w:rsidRPr="00656C9F">
        <w:rPr>
          <w:i/>
          <w:iCs/>
          <w:lang w:val="en-US"/>
        </w:rPr>
        <w:t xml:space="preserve">ratio </w:t>
      </w:r>
      <w:r w:rsidR="00E41CF5" w:rsidRPr="00656C9F">
        <w:rPr>
          <w:i/>
          <w:iCs/>
          <w:lang w:val="en-US"/>
        </w:rPr>
        <w:t>decidendi</w:t>
      </w:r>
      <w:r w:rsidR="00C14EDD">
        <w:rPr>
          <w:lang w:val="en-US"/>
        </w:rPr>
        <w:t>) were</w:t>
      </w:r>
      <w:r w:rsidR="003E4630">
        <w:rPr>
          <w:lang w:val="en-US"/>
        </w:rPr>
        <w:t xml:space="preserve">, however, </w:t>
      </w:r>
      <w:r w:rsidR="00C14EDD">
        <w:rPr>
          <w:lang w:val="en-US"/>
        </w:rPr>
        <w:t xml:space="preserve">clearly based on the </w:t>
      </w:r>
      <w:r w:rsidR="00D00BCE">
        <w:rPr>
          <w:lang w:val="en-US"/>
        </w:rPr>
        <w:t xml:space="preserve">elements of </w:t>
      </w:r>
      <w:r w:rsidR="00C861F5">
        <w:rPr>
          <w:lang w:val="en-US"/>
        </w:rPr>
        <w:t>a claim for malicious prosecution.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28853"/>
      <w:docPartObj>
        <w:docPartGallery w:val="Page Numbers (Top of Page)"/>
        <w:docPartUnique/>
      </w:docPartObj>
    </w:sdtPr>
    <w:sdtEndPr>
      <w:rPr>
        <w:noProof/>
      </w:rPr>
    </w:sdtEndPr>
    <w:sdtContent>
      <w:p w14:paraId="47EAF6D9" w14:textId="2E4D3C49" w:rsidR="00D44D17" w:rsidRDefault="00D44D17">
        <w:pPr>
          <w:pStyle w:val="Header"/>
          <w:jc w:val="center"/>
        </w:pPr>
        <w:r>
          <w:fldChar w:fldCharType="begin"/>
        </w:r>
        <w:r>
          <w:instrText xml:space="preserve"> PAGE   \* MERGEFORMAT </w:instrText>
        </w:r>
        <w:r>
          <w:fldChar w:fldCharType="separate"/>
        </w:r>
        <w:r w:rsidR="00743CB1">
          <w:rPr>
            <w:noProof/>
          </w:rPr>
          <w:t>2</w:t>
        </w:r>
        <w:r>
          <w:rPr>
            <w:noProof/>
          </w:rPr>
          <w:fldChar w:fldCharType="end"/>
        </w:r>
      </w:p>
    </w:sdtContent>
  </w:sdt>
  <w:p w14:paraId="471EC2C6" w14:textId="77777777" w:rsidR="00D44D17" w:rsidRDefault="00D44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4180"/>
    <w:multiLevelType w:val="hybridMultilevel"/>
    <w:tmpl w:val="0E924464"/>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1271FA"/>
    <w:multiLevelType w:val="hybridMultilevel"/>
    <w:tmpl w:val="BD307C54"/>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2F5532"/>
    <w:multiLevelType w:val="hybridMultilevel"/>
    <w:tmpl w:val="255C9810"/>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5BB75FB"/>
    <w:multiLevelType w:val="hybridMultilevel"/>
    <w:tmpl w:val="F0F21ED2"/>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C95A52"/>
    <w:multiLevelType w:val="hybridMultilevel"/>
    <w:tmpl w:val="4F06F014"/>
    <w:lvl w:ilvl="0" w:tplc="3FB44B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0238A4"/>
    <w:multiLevelType w:val="hybridMultilevel"/>
    <w:tmpl w:val="7A7A0CF6"/>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891057B"/>
    <w:multiLevelType w:val="hybridMultilevel"/>
    <w:tmpl w:val="95569EB2"/>
    <w:lvl w:ilvl="0" w:tplc="AA1A1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16"/>
    <w:rsid w:val="00005D14"/>
    <w:rsid w:val="00006495"/>
    <w:rsid w:val="00006C20"/>
    <w:rsid w:val="00010FF3"/>
    <w:rsid w:val="00015B9A"/>
    <w:rsid w:val="00030700"/>
    <w:rsid w:val="00033D70"/>
    <w:rsid w:val="00034DC5"/>
    <w:rsid w:val="00040654"/>
    <w:rsid w:val="000414E6"/>
    <w:rsid w:val="00045045"/>
    <w:rsid w:val="000453A3"/>
    <w:rsid w:val="000465E6"/>
    <w:rsid w:val="00050FC6"/>
    <w:rsid w:val="00052869"/>
    <w:rsid w:val="0005507D"/>
    <w:rsid w:val="00060363"/>
    <w:rsid w:val="000636D6"/>
    <w:rsid w:val="000705FB"/>
    <w:rsid w:val="00075871"/>
    <w:rsid w:val="00082950"/>
    <w:rsid w:val="000835CE"/>
    <w:rsid w:val="0008571E"/>
    <w:rsid w:val="0009279B"/>
    <w:rsid w:val="00093693"/>
    <w:rsid w:val="00094620"/>
    <w:rsid w:val="00094979"/>
    <w:rsid w:val="000A1B13"/>
    <w:rsid w:val="000A1BA6"/>
    <w:rsid w:val="000B1887"/>
    <w:rsid w:val="000C038A"/>
    <w:rsid w:val="000C0C8A"/>
    <w:rsid w:val="000C36EA"/>
    <w:rsid w:val="000C6D59"/>
    <w:rsid w:val="000D0A23"/>
    <w:rsid w:val="000D59BB"/>
    <w:rsid w:val="000D7471"/>
    <w:rsid w:val="000D7738"/>
    <w:rsid w:val="000F0673"/>
    <w:rsid w:val="000F245D"/>
    <w:rsid w:val="001059C3"/>
    <w:rsid w:val="00106868"/>
    <w:rsid w:val="00121C1B"/>
    <w:rsid w:val="00122ED3"/>
    <w:rsid w:val="00123689"/>
    <w:rsid w:val="00132590"/>
    <w:rsid w:val="00133C1D"/>
    <w:rsid w:val="00134A6F"/>
    <w:rsid w:val="00141145"/>
    <w:rsid w:val="00144500"/>
    <w:rsid w:val="00157589"/>
    <w:rsid w:val="0016034C"/>
    <w:rsid w:val="001604E6"/>
    <w:rsid w:val="001606FB"/>
    <w:rsid w:val="00162913"/>
    <w:rsid w:val="0016600D"/>
    <w:rsid w:val="00170C9B"/>
    <w:rsid w:val="0017123E"/>
    <w:rsid w:val="00177613"/>
    <w:rsid w:val="001804BD"/>
    <w:rsid w:val="00182B5C"/>
    <w:rsid w:val="00183617"/>
    <w:rsid w:val="00185F25"/>
    <w:rsid w:val="001B1048"/>
    <w:rsid w:val="001B4EF6"/>
    <w:rsid w:val="001B65D0"/>
    <w:rsid w:val="001C1607"/>
    <w:rsid w:val="001E1B86"/>
    <w:rsid w:val="001E5438"/>
    <w:rsid w:val="001E57D4"/>
    <w:rsid w:val="001F11A8"/>
    <w:rsid w:val="001F27FD"/>
    <w:rsid w:val="001F3096"/>
    <w:rsid w:val="001F7439"/>
    <w:rsid w:val="002006FF"/>
    <w:rsid w:val="002021B8"/>
    <w:rsid w:val="00203043"/>
    <w:rsid w:val="00203317"/>
    <w:rsid w:val="00205492"/>
    <w:rsid w:val="00207B47"/>
    <w:rsid w:val="00213466"/>
    <w:rsid w:val="00213DDE"/>
    <w:rsid w:val="00226605"/>
    <w:rsid w:val="00231B4B"/>
    <w:rsid w:val="00234F57"/>
    <w:rsid w:val="0023547E"/>
    <w:rsid w:val="00236D7A"/>
    <w:rsid w:val="00240EB7"/>
    <w:rsid w:val="002423F7"/>
    <w:rsid w:val="00245C98"/>
    <w:rsid w:val="00250348"/>
    <w:rsid w:val="00251B75"/>
    <w:rsid w:val="002563E1"/>
    <w:rsid w:val="00260579"/>
    <w:rsid w:val="00260FF4"/>
    <w:rsid w:val="002613F5"/>
    <w:rsid w:val="00261B1B"/>
    <w:rsid w:val="0026227E"/>
    <w:rsid w:val="002671E2"/>
    <w:rsid w:val="00267649"/>
    <w:rsid w:val="00267921"/>
    <w:rsid w:val="00270260"/>
    <w:rsid w:val="00270D82"/>
    <w:rsid w:val="00271AA7"/>
    <w:rsid w:val="00274A19"/>
    <w:rsid w:val="002847F6"/>
    <w:rsid w:val="002865A9"/>
    <w:rsid w:val="00293CC1"/>
    <w:rsid w:val="00295268"/>
    <w:rsid w:val="002A0682"/>
    <w:rsid w:val="002A2823"/>
    <w:rsid w:val="002A3342"/>
    <w:rsid w:val="002A6F3F"/>
    <w:rsid w:val="002A75AB"/>
    <w:rsid w:val="002B13B1"/>
    <w:rsid w:val="002B20CB"/>
    <w:rsid w:val="002C0096"/>
    <w:rsid w:val="002C2C1F"/>
    <w:rsid w:val="002C3FA2"/>
    <w:rsid w:val="002C6EF3"/>
    <w:rsid w:val="002C7243"/>
    <w:rsid w:val="002C753C"/>
    <w:rsid w:val="002D0C03"/>
    <w:rsid w:val="002D61EF"/>
    <w:rsid w:val="002E6F26"/>
    <w:rsid w:val="002E6F92"/>
    <w:rsid w:val="002F7608"/>
    <w:rsid w:val="00300F26"/>
    <w:rsid w:val="00302A35"/>
    <w:rsid w:val="0030407B"/>
    <w:rsid w:val="00313373"/>
    <w:rsid w:val="003310F6"/>
    <w:rsid w:val="0033155F"/>
    <w:rsid w:val="003332B3"/>
    <w:rsid w:val="00340C78"/>
    <w:rsid w:val="00345839"/>
    <w:rsid w:val="0035233D"/>
    <w:rsid w:val="0035350B"/>
    <w:rsid w:val="003577C2"/>
    <w:rsid w:val="00360806"/>
    <w:rsid w:val="00361A89"/>
    <w:rsid w:val="00362539"/>
    <w:rsid w:val="00364AE8"/>
    <w:rsid w:val="00367239"/>
    <w:rsid w:val="00371D24"/>
    <w:rsid w:val="00373BAC"/>
    <w:rsid w:val="00374A74"/>
    <w:rsid w:val="00375407"/>
    <w:rsid w:val="00381934"/>
    <w:rsid w:val="0038700D"/>
    <w:rsid w:val="00390858"/>
    <w:rsid w:val="0039252E"/>
    <w:rsid w:val="003949E5"/>
    <w:rsid w:val="00395818"/>
    <w:rsid w:val="00395DA0"/>
    <w:rsid w:val="003A6928"/>
    <w:rsid w:val="003A6FDA"/>
    <w:rsid w:val="003B71BB"/>
    <w:rsid w:val="003B7B41"/>
    <w:rsid w:val="003C14DC"/>
    <w:rsid w:val="003C2798"/>
    <w:rsid w:val="003C2CC0"/>
    <w:rsid w:val="003C3406"/>
    <w:rsid w:val="003C6426"/>
    <w:rsid w:val="003C6883"/>
    <w:rsid w:val="003D083C"/>
    <w:rsid w:val="003D0F33"/>
    <w:rsid w:val="003D28E0"/>
    <w:rsid w:val="003D6CDD"/>
    <w:rsid w:val="003D7BD9"/>
    <w:rsid w:val="003E4630"/>
    <w:rsid w:val="003F7C1A"/>
    <w:rsid w:val="004022FD"/>
    <w:rsid w:val="004038A0"/>
    <w:rsid w:val="00410C0D"/>
    <w:rsid w:val="004153CB"/>
    <w:rsid w:val="00416764"/>
    <w:rsid w:val="004213BE"/>
    <w:rsid w:val="00423C59"/>
    <w:rsid w:val="00425B8C"/>
    <w:rsid w:val="00425D84"/>
    <w:rsid w:val="00427100"/>
    <w:rsid w:val="00432149"/>
    <w:rsid w:val="00432E8B"/>
    <w:rsid w:val="0043449B"/>
    <w:rsid w:val="004347FF"/>
    <w:rsid w:val="00434FE7"/>
    <w:rsid w:val="00444130"/>
    <w:rsid w:val="004461C2"/>
    <w:rsid w:val="00452EA1"/>
    <w:rsid w:val="00457694"/>
    <w:rsid w:val="00463DDD"/>
    <w:rsid w:val="004657E3"/>
    <w:rsid w:val="00466616"/>
    <w:rsid w:val="00471631"/>
    <w:rsid w:val="0047399C"/>
    <w:rsid w:val="00476770"/>
    <w:rsid w:val="00476E68"/>
    <w:rsid w:val="00481B36"/>
    <w:rsid w:val="00484AD0"/>
    <w:rsid w:val="004860E9"/>
    <w:rsid w:val="00490076"/>
    <w:rsid w:val="00490D84"/>
    <w:rsid w:val="00496690"/>
    <w:rsid w:val="004A03CD"/>
    <w:rsid w:val="004A119C"/>
    <w:rsid w:val="004B0E71"/>
    <w:rsid w:val="004B272C"/>
    <w:rsid w:val="004B29F0"/>
    <w:rsid w:val="004B2C73"/>
    <w:rsid w:val="004B4712"/>
    <w:rsid w:val="004C447F"/>
    <w:rsid w:val="004C48E3"/>
    <w:rsid w:val="004C4AD1"/>
    <w:rsid w:val="004C540F"/>
    <w:rsid w:val="004D1B59"/>
    <w:rsid w:val="004D6EA5"/>
    <w:rsid w:val="004E2425"/>
    <w:rsid w:val="004E6ECF"/>
    <w:rsid w:val="004F2AE4"/>
    <w:rsid w:val="004F459C"/>
    <w:rsid w:val="00500431"/>
    <w:rsid w:val="00506D1C"/>
    <w:rsid w:val="00510693"/>
    <w:rsid w:val="00513014"/>
    <w:rsid w:val="00520071"/>
    <w:rsid w:val="005236EC"/>
    <w:rsid w:val="00525E63"/>
    <w:rsid w:val="0053080B"/>
    <w:rsid w:val="00540A89"/>
    <w:rsid w:val="00545137"/>
    <w:rsid w:val="00545229"/>
    <w:rsid w:val="00547DD8"/>
    <w:rsid w:val="005545B0"/>
    <w:rsid w:val="005550EF"/>
    <w:rsid w:val="00555A34"/>
    <w:rsid w:val="0056164F"/>
    <w:rsid w:val="00566357"/>
    <w:rsid w:val="005667CC"/>
    <w:rsid w:val="00566A6D"/>
    <w:rsid w:val="00570F54"/>
    <w:rsid w:val="00572EFB"/>
    <w:rsid w:val="00573A21"/>
    <w:rsid w:val="00581656"/>
    <w:rsid w:val="00583368"/>
    <w:rsid w:val="005835A4"/>
    <w:rsid w:val="005852C9"/>
    <w:rsid w:val="005908C4"/>
    <w:rsid w:val="00590B71"/>
    <w:rsid w:val="0059754A"/>
    <w:rsid w:val="005A3D3F"/>
    <w:rsid w:val="005A7B43"/>
    <w:rsid w:val="005B4B93"/>
    <w:rsid w:val="005C3BF5"/>
    <w:rsid w:val="005C57F4"/>
    <w:rsid w:val="005C61C7"/>
    <w:rsid w:val="005D19DB"/>
    <w:rsid w:val="005D1BE1"/>
    <w:rsid w:val="005D50A0"/>
    <w:rsid w:val="005E6710"/>
    <w:rsid w:val="005F2B53"/>
    <w:rsid w:val="005F47FC"/>
    <w:rsid w:val="005F5B7D"/>
    <w:rsid w:val="005F746B"/>
    <w:rsid w:val="00600637"/>
    <w:rsid w:val="00600B07"/>
    <w:rsid w:val="00604F46"/>
    <w:rsid w:val="00610A62"/>
    <w:rsid w:val="006158EA"/>
    <w:rsid w:val="00616E12"/>
    <w:rsid w:val="00617C3D"/>
    <w:rsid w:val="006225F4"/>
    <w:rsid w:val="00622EB1"/>
    <w:rsid w:val="00622FFE"/>
    <w:rsid w:val="00623AF4"/>
    <w:rsid w:val="00623ED3"/>
    <w:rsid w:val="00624D26"/>
    <w:rsid w:val="00625828"/>
    <w:rsid w:val="00631D04"/>
    <w:rsid w:val="006328DA"/>
    <w:rsid w:val="00636374"/>
    <w:rsid w:val="0064766D"/>
    <w:rsid w:val="00651BCF"/>
    <w:rsid w:val="00655700"/>
    <w:rsid w:val="00656C9F"/>
    <w:rsid w:val="00661450"/>
    <w:rsid w:val="006666B2"/>
    <w:rsid w:val="0067098B"/>
    <w:rsid w:val="00671282"/>
    <w:rsid w:val="00674B16"/>
    <w:rsid w:val="00682EC8"/>
    <w:rsid w:val="00684F58"/>
    <w:rsid w:val="0069043B"/>
    <w:rsid w:val="00691CCC"/>
    <w:rsid w:val="00691EFA"/>
    <w:rsid w:val="00692E02"/>
    <w:rsid w:val="00694C31"/>
    <w:rsid w:val="006A1097"/>
    <w:rsid w:val="006A3C6D"/>
    <w:rsid w:val="006A3CBD"/>
    <w:rsid w:val="006B0A0D"/>
    <w:rsid w:val="006B0A1C"/>
    <w:rsid w:val="006C14BA"/>
    <w:rsid w:val="006C6D0A"/>
    <w:rsid w:val="006C7FCA"/>
    <w:rsid w:val="006D260F"/>
    <w:rsid w:val="006E2F3C"/>
    <w:rsid w:val="006E35F8"/>
    <w:rsid w:val="006E4C99"/>
    <w:rsid w:val="006E5322"/>
    <w:rsid w:val="006E7076"/>
    <w:rsid w:val="006F277A"/>
    <w:rsid w:val="006F376D"/>
    <w:rsid w:val="006F5CBB"/>
    <w:rsid w:val="006F6AD7"/>
    <w:rsid w:val="006F7528"/>
    <w:rsid w:val="007005C1"/>
    <w:rsid w:val="0070477E"/>
    <w:rsid w:val="00711265"/>
    <w:rsid w:val="00714952"/>
    <w:rsid w:val="00715C44"/>
    <w:rsid w:val="0072176B"/>
    <w:rsid w:val="00724A48"/>
    <w:rsid w:val="007262A6"/>
    <w:rsid w:val="0072678D"/>
    <w:rsid w:val="00730ABB"/>
    <w:rsid w:val="007341A5"/>
    <w:rsid w:val="00734719"/>
    <w:rsid w:val="00737319"/>
    <w:rsid w:val="007407E3"/>
    <w:rsid w:val="007425A0"/>
    <w:rsid w:val="00743BAD"/>
    <w:rsid w:val="00743CB1"/>
    <w:rsid w:val="00746070"/>
    <w:rsid w:val="00753269"/>
    <w:rsid w:val="00761184"/>
    <w:rsid w:val="00764CCA"/>
    <w:rsid w:val="00766873"/>
    <w:rsid w:val="007813E6"/>
    <w:rsid w:val="00782D77"/>
    <w:rsid w:val="007A12ED"/>
    <w:rsid w:val="007A53D8"/>
    <w:rsid w:val="007A6A4F"/>
    <w:rsid w:val="007A718E"/>
    <w:rsid w:val="007A73E3"/>
    <w:rsid w:val="007A7B42"/>
    <w:rsid w:val="007B286B"/>
    <w:rsid w:val="007B36B3"/>
    <w:rsid w:val="007B6D67"/>
    <w:rsid w:val="007C4125"/>
    <w:rsid w:val="007C6D81"/>
    <w:rsid w:val="007D17E0"/>
    <w:rsid w:val="007D1A1D"/>
    <w:rsid w:val="007D45D2"/>
    <w:rsid w:val="007D5DAA"/>
    <w:rsid w:val="007E1368"/>
    <w:rsid w:val="007E25AF"/>
    <w:rsid w:val="007E2EE5"/>
    <w:rsid w:val="007E6967"/>
    <w:rsid w:val="007F77F6"/>
    <w:rsid w:val="00807B6E"/>
    <w:rsid w:val="00812ADE"/>
    <w:rsid w:val="00816B63"/>
    <w:rsid w:val="00820625"/>
    <w:rsid w:val="00822140"/>
    <w:rsid w:val="008235C4"/>
    <w:rsid w:val="0082503A"/>
    <w:rsid w:val="00827B49"/>
    <w:rsid w:val="00830F02"/>
    <w:rsid w:val="00833D6A"/>
    <w:rsid w:val="008365F6"/>
    <w:rsid w:val="008366EB"/>
    <w:rsid w:val="0084561B"/>
    <w:rsid w:val="00845B47"/>
    <w:rsid w:val="0084621F"/>
    <w:rsid w:val="0085009E"/>
    <w:rsid w:val="00862A58"/>
    <w:rsid w:val="008634B8"/>
    <w:rsid w:val="00865FF4"/>
    <w:rsid w:val="00866FDA"/>
    <w:rsid w:val="00870635"/>
    <w:rsid w:val="00885BFE"/>
    <w:rsid w:val="008940F4"/>
    <w:rsid w:val="00895888"/>
    <w:rsid w:val="0089593F"/>
    <w:rsid w:val="008A267F"/>
    <w:rsid w:val="008A27F0"/>
    <w:rsid w:val="008A7A29"/>
    <w:rsid w:val="008C2FA4"/>
    <w:rsid w:val="008C5424"/>
    <w:rsid w:val="008C5581"/>
    <w:rsid w:val="008D1C02"/>
    <w:rsid w:val="008D4703"/>
    <w:rsid w:val="008D6DC2"/>
    <w:rsid w:val="008E0BEB"/>
    <w:rsid w:val="008E2301"/>
    <w:rsid w:val="008E2C29"/>
    <w:rsid w:val="008E3C14"/>
    <w:rsid w:val="008E7DA2"/>
    <w:rsid w:val="008F05C1"/>
    <w:rsid w:val="008F2010"/>
    <w:rsid w:val="008F585F"/>
    <w:rsid w:val="008F7F08"/>
    <w:rsid w:val="00901ADA"/>
    <w:rsid w:val="00911008"/>
    <w:rsid w:val="00912476"/>
    <w:rsid w:val="00921BCE"/>
    <w:rsid w:val="00940824"/>
    <w:rsid w:val="009501B7"/>
    <w:rsid w:val="0095773C"/>
    <w:rsid w:val="009757AE"/>
    <w:rsid w:val="009862FF"/>
    <w:rsid w:val="009865F7"/>
    <w:rsid w:val="00986E59"/>
    <w:rsid w:val="009927DA"/>
    <w:rsid w:val="0099430C"/>
    <w:rsid w:val="009961A3"/>
    <w:rsid w:val="009969A7"/>
    <w:rsid w:val="009A1D3C"/>
    <w:rsid w:val="009A6733"/>
    <w:rsid w:val="009B1931"/>
    <w:rsid w:val="009B22E5"/>
    <w:rsid w:val="009B40E1"/>
    <w:rsid w:val="009B5F26"/>
    <w:rsid w:val="009B79A2"/>
    <w:rsid w:val="009C3BED"/>
    <w:rsid w:val="009C4EFF"/>
    <w:rsid w:val="009C6A79"/>
    <w:rsid w:val="009D3D84"/>
    <w:rsid w:val="009D5EF8"/>
    <w:rsid w:val="009E0A76"/>
    <w:rsid w:val="009E37BD"/>
    <w:rsid w:val="009F2B9D"/>
    <w:rsid w:val="009F2E88"/>
    <w:rsid w:val="009F54C4"/>
    <w:rsid w:val="00A1275F"/>
    <w:rsid w:val="00A20701"/>
    <w:rsid w:val="00A231D5"/>
    <w:rsid w:val="00A3276D"/>
    <w:rsid w:val="00A34530"/>
    <w:rsid w:val="00A364FB"/>
    <w:rsid w:val="00A42C15"/>
    <w:rsid w:val="00A42D39"/>
    <w:rsid w:val="00A432C5"/>
    <w:rsid w:val="00A4618B"/>
    <w:rsid w:val="00A47C37"/>
    <w:rsid w:val="00A53659"/>
    <w:rsid w:val="00A571B4"/>
    <w:rsid w:val="00A62CFC"/>
    <w:rsid w:val="00A62E6C"/>
    <w:rsid w:val="00A66476"/>
    <w:rsid w:val="00A6672D"/>
    <w:rsid w:val="00A713B8"/>
    <w:rsid w:val="00A716D0"/>
    <w:rsid w:val="00A71A12"/>
    <w:rsid w:val="00A7276B"/>
    <w:rsid w:val="00A77EC8"/>
    <w:rsid w:val="00A80249"/>
    <w:rsid w:val="00A84BBE"/>
    <w:rsid w:val="00A8502F"/>
    <w:rsid w:val="00A879C2"/>
    <w:rsid w:val="00A90236"/>
    <w:rsid w:val="00A90A4E"/>
    <w:rsid w:val="00A943AD"/>
    <w:rsid w:val="00A97640"/>
    <w:rsid w:val="00AA2468"/>
    <w:rsid w:val="00AA36E6"/>
    <w:rsid w:val="00AA3925"/>
    <w:rsid w:val="00AA39EA"/>
    <w:rsid w:val="00AB18B8"/>
    <w:rsid w:val="00AB7FC2"/>
    <w:rsid w:val="00AC27E8"/>
    <w:rsid w:val="00AC307E"/>
    <w:rsid w:val="00AC42DB"/>
    <w:rsid w:val="00AC6AEE"/>
    <w:rsid w:val="00AD2BFC"/>
    <w:rsid w:val="00AE0964"/>
    <w:rsid w:val="00AE5BBC"/>
    <w:rsid w:val="00AE5D60"/>
    <w:rsid w:val="00AF1A6A"/>
    <w:rsid w:val="00AF588E"/>
    <w:rsid w:val="00AF7566"/>
    <w:rsid w:val="00B0076F"/>
    <w:rsid w:val="00B02E56"/>
    <w:rsid w:val="00B0442E"/>
    <w:rsid w:val="00B048D1"/>
    <w:rsid w:val="00B06AEE"/>
    <w:rsid w:val="00B11816"/>
    <w:rsid w:val="00B12824"/>
    <w:rsid w:val="00B16B44"/>
    <w:rsid w:val="00B23853"/>
    <w:rsid w:val="00B23D74"/>
    <w:rsid w:val="00B264A7"/>
    <w:rsid w:val="00B27619"/>
    <w:rsid w:val="00B315F8"/>
    <w:rsid w:val="00B403A9"/>
    <w:rsid w:val="00B4547C"/>
    <w:rsid w:val="00B47295"/>
    <w:rsid w:val="00B7197C"/>
    <w:rsid w:val="00B72DD6"/>
    <w:rsid w:val="00B76852"/>
    <w:rsid w:val="00B8251B"/>
    <w:rsid w:val="00B842E2"/>
    <w:rsid w:val="00B905DE"/>
    <w:rsid w:val="00B92D9C"/>
    <w:rsid w:val="00B95D95"/>
    <w:rsid w:val="00BA1DCC"/>
    <w:rsid w:val="00BA2703"/>
    <w:rsid w:val="00BA292C"/>
    <w:rsid w:val="00BA4548"/>
    <w:rsid w:val="00BA5244"/>
    <w:rsid w:val="00BA55BE"/>
    <w:rsid w:val="00BB0A81"/>
    <w:rsid w:val="00BB5827"/>
    <w:rsid w:val="00BC4FCE"/>
    <w:rsid w:val="00BC7E89"/>
    <w:rsid w:val="00BD1655"/>
    <w:rsid w:val="00BD20A6"/>
    <w:rsid w:val="00BD3B2A"/>
    <w:rsid w:val="00BD6F73"/>
    <w:rsid w:val="00BD725F"/>
    <w:rsid w:val="00BD7AD3"/>
    <w:rsid w:val="00BE0E2A"/>
    <w:rsid w:val="00BE5595"/>
    <w:rsid w:val="00BE5B9B"/>
    <w:rsid w:val="00BF0EC1"/>
    <w:rsid w:val="00BF23E2"/>
    <w:rsid w:val="00BF3336"/>
    <w:rsid w:val="00BF3CE3"/>
    <w:rsid w:val="00BF7368"/>
    <w:rsid w:val="00BF7885"/>
    <w:rsid w:val="00C04732"/>
    <w:rsid w:val="00C1097A"/>
    <w:rsid w:val="00C14EDD"/>
    <w:rsid w:val="00C151CB"/>
    <w:rsid w:val="00C16AF6"/>
    <w:rsid w:val="00C204CB"/>
    <w:rsid w:val="00C24ADF"/>
    <w:rsid w:val="00C25BF2"/>
    <w:rsid w:val="00C35918"/>
    <w:rsid w:val="00C35B9F"/>
    <w:rsid w:val="00C4071C"/>
    <w:rsid w:val="00C4214C"/>
    <w:rsid w:val="00C4431F"/>
    <w:rsid w:val="00C45D62"/>
    <w:rsid w:val="00C46797"/>
    <w:rsid w:val="00C508D9"/>
    <w:rsid w:val="00C51415"/>
    <w:rsid w:val="00C51534"/>
    <w:rsid w:val="00C53633"/>
    <w:rsid w:val="00C541C5"/>
    <w:rsid w:val="00C544CD"/>
    <w:rsid w:val="00C57857"/>
    <w:rsid w:val="00C61C2E"/>
    <w:rsid w:val="00C6245C"/>
    <w:rsid w:val="00C6320E"/>
    <w:rsid w:val="00C739BF"/>
    <w:rsid w:val="00C73BEE"/>
    <w:rsid w:val="00C774BD"/>
    <w:rsid w:val="00C7761F"/>
    <w:rsid w:val="00C802E7"/>
    <w:rsid w:val="00C82F94"/>
    <w:rsid w:val="00C84E69"/>
    <w:rsid w:val="00C861F5"/>
    <w:rsid w:val="00C86CC6"/>
    <w:rsid w:val="00C90879"/>
    <w:rsid w:val="00C95FAE"/>
    <w:rsid w:val="00CA2EDE"/>
    <w:rsid w:val="00CB2A1E"/>
    <w:rsid w:val="00CC1079"/>
    <w:rsid w:val="00CC1819"/>
    <w:rsid w:val="00CC2B8B"/>
    <w:rsid w:val="00CC7CF4"/>
    <w:rsid w:val="00CD0B78"/>
    <w:rsid w:val="00CE6CFD"/>
    <w:rsid w:val="00CF043F"/>
    <w:rsid w:val="00CF08D6"/>
    <w:rsid w:val="00CF7EA8"/>
    <w:rsid w:val="00D00137"/>
    <w:rsid w:val="00D00BCE"/>
    <w:rsid w:val="00D05A45"/>
    <w:rsid w:val="00D11B12"/>
    <w:rsid w:val="00D133BE"/>
    <w:rsid w:val="00D143C7"/>
    <w:rsid w:val="00D21365"/>
    <w:rsid w:val="00D22666"/>
    <w:rsid w:val="00D22BCC"/>
    <w:rsid w:val="00D23867"/>
    <w:rsid w:val="00D27BCA"/>
    <w:rsid w:val="00D3006D"/>
    <w:rsid w:val="00D306E8"/>
    <w:rsid w:val="00D345C4"/>
    <w:rsid w:val="00D353D0"/>
    <w:rsid w:val="00D42F4F"/>
    <w:rsid w:val="00D43A3B"/>
    <w:rsid w:val="00D44D17"/>
    <w:rsid w:val="00D479A7"/>
    <w:rsid w:val="00D51443"/>
    <w:rsid w:val="00D52C31"/>
    <w:rsid w:val="00D53A21"/>
    <w:rsid w:val="00D54E85"/>
    <w:rsid w:val="00D60DA5"/>
    <w:rsid w:val="00D62DC2"/>
    <w:rsid w:val="00D660A7"/>
    <w:rsid w:val="00D76416"/>
    <w:rsid w:val="00D82E6A"/>
    <w:rsid w:val="00D906A4"/>
    <w:rsid w:val="00D93BD2"/>
    <w:rsid w:val="00DA0FE8"/>
    <w:rsid w:val="00DA1EAB"/>
    <w:rsid w:val="00DC47AD"/>
    <w:rsid w:val="00DC4F48"/>
    <w:rsid w:val="00DC5B74"/>
    <w:rsid w:val="00DD0888"/>
    <w:rsid w:val="00DD5FA9"/>
    <w:rsid w:val="00DD7C84"/>
    <w:rsid w:val="00DE3659"/>
    <w:rsid w:val="00DF27F8"/>
    <w:rsid w:val="00DF341F"/>
    <w:rsid w:val="00DF4E43"/>
    <w:rsid w:val="00DF5884"/>
    <w:rsid w:val="00E0368E"/>
    <w:rsid w:val="00E12388"/>
    <w:rsid w:val="00E17722"/>
    <w:rsid w:val="00E2423A"/>
    <w:rsid w:val="00E25B9B"/>
    <w:rsid w:val="00E30981"/>
    <w:rsid w:val="00E321A0"/>
    <w:rsid w:val="00E326B2"/>
    <w:rsid w:val="00E33230"/>
    <w:rsid w:val="00E34643"/>
    <w:rsid w:val="00E35FBA"/>
    <w:rsid w:val="00E41CF5"/>
    <w:rsid w:val="00E51CCE"/>
    <w:rsid w:val="00E51D57"/>
    <w:rsid w:val="00E527EE"/>
    <w:rsid w:val="00E5285D"/>
    <w:rsid w:val="00E55D9E"/>
    <w:rsid w:val="00E63A5B"/>
    <w:rsid w:val="00E64B48"/>
    <w:rsid w:val="00E70B0A"/>
    <w:rsid w:val="00E71272"/>
    <w:rsid w:val="00E7198B"/>
    <w:rsid w:val="00E71F44"/>
    <w:rsid w:val="00E7520A"/>
    <w:rsid w:val="00E7546B"/>
    <w:rsid w:val="00E75F33"/>
    <w:rsid w:val="00E825BB"/>
    <w:rsid w:val="00E83333"/>
    <w:rsid w:val="00E83559"/>
    <w:rsid w:val="00E8676D"/>
    <w:rsid w:val="00E873CF"/>
    <w:rsid w:val="00E90374"/>
    <w:rsid w:val="00E90783"/>
    <w:rsid w:val="00E94C45"/>
    <w:rsid w:val="00E96F7A"/>
    <w:rsid w:val="00EA720C"/>
    <w:rsid w:val="00EB4F1E"/>
    <w:rsid w:val="00EB6E3C"/>
    <w:rsid w:val="00EC0244"/>
    <w:rsid w:val="00EC29F1"/>
    <w:rsid w:val="00EC3B42"/>
    <w:rsid w:val="00EC4365"/>
    <w:rsid w:val="00EC741B"/>
    <w:rsid w:val="00ED3C5E"/>
    <w:rsid w:val="00ED47C6"/>
    <w:rsid w:val="00EE3400"/>
    <w:rsid w:val="00EF0AE5"/>
    <w:rsid w:val="00EF140F"/>
    <w:rsid w:val="00EF2A5A"/>
    <w:rsid w:val="00F04E09"/>
    <w:rsid w:val="00F12B4D"/>
    <w:rsid w:val="00F248AC"/>
    <w:rsid w:val="00F24C66"/>
    <w:rsid w:val="00F30D73"/>
    <w:rsid w:val="00F36FF6"/>
    <w:rsid w:val="00F40627"/>
    <w:rsid w:val="00F45FF2"/>
    <w:rsid w:val="00F47FD3"/>
    <w:rsid w:val="00F566A9"/>
    <w:rsid w:val="00F57976"/>
    <w:rsid w:val="00F6006E"/>
    <w:rsid w:val="00F6320E"/>
    <w:rsid w:val="00F657F3"/>
    <w:rsid w:val="00F70464"/>
    <w:rsid w:val="00F7120C"/>
    <w:rsid w:val="00F71655"/>
    <w:rsid w:val="00F71BEF"/>
    <w:rsid w:val="00F72289"/>
    <w:rsid w:val="00F7362D"/>
    <w:rsid w:val="00F73828"/>
    <w:rsid w:val="00F76C4B"/>
    <w:rsid w:val="00F8143E"/>
    <w:rsid w:val="00F84159"/>
    <w:rsid w:val="00F87888"/>
    <w:rsid w:val="00F90569"/>
    <w:rsid w:val="00F97FC5"/>
    <w:rsid w:val="00FA1130"/>
    <w:rsid w:val="00FA2793"/>
    <w:rsid w:val="00FA5E29"/>
    <w:rsid w:val="00FB6983"/>
    <w:rsid w:val="00FB7803"/>
    <w:rsid w:val="00FC0391"/>
    <w:rsid w:val="00FC0429"/>
    <w:rsid w:val="00FC08E9"/>
    <w:rsid w:val="00FC15EB"/>
    <w:rsid w:val="00FC55D5"/>
    <w:rsid w:val="00FC6327"/>
    <w:rsid w:val="00FC702A"/>
    <w:rsid w:val="00FD0A51"/>
    <w:rsid w:val="00FD2EA4"/>
    <w:rsid w:val="00FD547C"/>
    <w:rsid w:val="00FD5E98"/>
    <w:rsid w:val="00FD6CE0"/>
    <w:rsid w:val="00FD7E42"/>
    <w:rsid w:val="00FE0ABC"/>
    <w:rsid w:val="00FE2E4A"/>
    <w:rsid w:val="00FE31E8"/>
    <w:rsid w:val="00FE41BE"/>
    <w:rsid w:val="00FE5ADB"/>
    <w:rsid w:val="00FF46A4"/>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3F16"/>
  <w15:chartTrackingRefBased/>
  <w15:docId w15:val="{5F304443-937F-4DD5-ADB0-762F0C17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2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A58"/>
    <w:rPr>
      <w:sz w:val="20"/>
      <w:szCs w:val="20"/>
      <w:lang w:val="en-ZA"/>
    </w:rPr>
  </w:style>
  <w:style w:type="character" w:styleId="FootnoteReference">
    <w:name w:val="footnote reference"/>
    <w:basedOn w:val="DefaultParagraphFont"/>
    <w:uiPriority w:val="99"/>
    <w:semiHidden/>
    <w:unhideWhenUsed/>
    <w:rsid w:val="00862A58"/>
    <w:rPr>
      <w:vertAlign w:val="superscript"/>
    </w:rPr>
  </w:style>
  <w:style w:type="paragraph" w:styleId="ListParagraph">
    <w:name w:val="List Paragraph"/>
    <w:basedOn w:val="Normal"/>
    <w:uiPriority w:val="34"/>
    <w:qFormat/>
    <w:rsid w:val="00BA4548"/>
    <w:pPr>
      <w:ind w:left="720"/>
      <w:contextualSpacing/>
    </w:pPr>
  </w:style>
  <w:style w:type="paragraph" w:styleId="Header">
    <w:name w:val="header"/>
    <w:basedOn w:val="Normal"/>
    <w:link w:val="HeaderChar"/>
    <w:uiPriority w:val="99"/>
    <w:unhideWhenUsed/>
    <w:rsid w:val="00D44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D17"/>
    <w:rPr>
      <w:lang w:val="en-ZA"/>
    </w:rPr>
  </w:style>
  <w:style w:type="paragraph" w:styleId="Footer">
    <w:name w:val="footer"/>
    <w:basedOn w:val="Normal"/>
    <w:link w:val="FooterChar"/>
    <w:uiPriority w:val="99"/>
    <w:unhideWhenUsed/>
    <w:rsid w:val="00D44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D17"/>
    <w:rPr>
      <w:lang w:val="en-ZA"/>
    </w:rPr>
  </w:style>
  <w:style w:type="paragraph" w:styleId="BalloonText">
    <w:name w:val="Balloon Text"/>
    <w:basedOn w:val="Normal"/>
    <w:link w:val="BalloonTextChar"/>
    <w:uiPriority w:val="99"/>
    <w:semiHidden/>
    <w:unhideWhenUsed/>
    <w:rsid w:val="0056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A6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Mokone</cp:lastModifiedBy>
  <cp:revision>3</cp:revision>
  <cp:lastPrinted>2023-03-24T09:16:00Z</cp:lastPrinted>
  <dcterms:created xsi:type="dcterms:W3CDTF">2023-03-31T11:06:00Z</dcterms:created>
  <dcterms:modified xsi:type="dcterms:W3CDTF">2023-03-31T11:07:00Z</dcterms:modified>
</cp:coreProperties>
</file>