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C829" w14:textId="77777777" w:rsidR="008C4ACA" w:rsidRPr="003304AD" w:rsidRDefault="008C4ACA" w:rsidP="008C4ACA">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val="en-US"/>
        </w:rPr>
        <w:drawing>
          <wp:inline distT="0" distB="0" distL="0" distR="0" wp14:anchorId="24147212" wp14:editId="3F68E8D1">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74DD86D0" w14:textId="77777777" w:rsidR="008C4ACA" w:rsidRPr="003304AD" w:rsidRDefault="008C4ACA" w:rsidP="008C4ACA">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7189C30F" w14:textId="5CB9BDD3" w:rsidR="008C4ACA" w:rsidRPr="003304AD" w:rsidRDefault="008C4ACA" w:rsidP="008C4ACA">
      <w:pPr>
        <w:widowControl w:val="0"/>
        <w:tabs>
          <w:tab w:val="right" w:pos="9213"/>
        </w:tabs>
        <w:spacing w:line="720" w:lineRule="auto"/>
        <w:jc w:val="center"/>
        <w:rPr>
          <w:rFonts w:ascii="Arial" w:hAnsi="Arial" w:cs="Arial"/>
          <w:sz w:val="24"/>
          <w:szCs w:val="24"/>
        </w:rPr>
      </w:pPr>
      <w:r>
        <w:rPr>
          <w:rFonts w:ascii="Arial" w:hAnsi="Arial" w:cs="Arial"/>
          <w:b/>
          <w:sz w:val="24"/>
          <w:szCs w:val="24"/>
        </w:rPr>
        <w:t>(</w:t>
      </w:r>
      <w:r w:rsidRPr="003304AD">
        <w:rPr>
          <w:rFonts w:ascii="Arial" w:hAnsi="Arial" w:cs="Arial"/>
          <w:b/>
          <w:sz w:val="24"/>
          <w:szCs w:val="24"/>
        </w:rPr>
        <w:t xml:space="preserve">EASTERN CAPE DIVISION, </w:t>
      </w:r>
      <w:r>
        <w:rPr>
          <w:rFonts w:ascii="Arial" w:hAnsi="Arial" w:cs="Arial"/>
          <w:b/>
          <w:sz w:val="24"/>
          <w:szCs w:val="24"/>
        </w:rPr>
        <w:t>MAKHANDA)</w:t>
      </w:r>
    </w:p>
    <w:p w14:paraId="4D0D0D0F" w14:textId="7E979573" w:rsidR="008C4ACA" w:rsidRDefault="008C4ACA" w:rsidP="008C4ACA">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663/2023</w:t>
      </w:r>
    </w:p>
    <w:p w14:paraId="184D6034" w14:textId="77777777" w:rsidR="008C4ACA" w:rsidRDefault="008C4ACA" w:rsidP="008C4ACA">
      <w:pPr>
        <w:widowControl w:val="0"/>
        <w:tabs>
          <w:tab w:val="right" w:pos="9213"/>
        </w:tabs>
        <w:spacing w:line="240" w:lineRule="auto"/>
        <w:rPr>
          <w:rFonts w:ascii="Arial" w:hAnsi="Arial" w:cs="Arial"/>
          <w:sz w:val="24"/>
          <w:szCs w:val="24"/>
        </w:rPr>
      </w:pPr>
    </w:p>
    <w:p w14:paraId="08BAE6F9" w14:textId="6B707571" w:rsidR="008C4ACA" w:rsidRDefault="008C4ACA" w:rsidP="008C4ACA">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053B8EDD" w14:textId="3CDDD650"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 xml:space="preserve">WERNER VAN DER MERWE </w:t>
      </w:r>
      <w:r w:rsidRPr="003304AD">
        <w:rPr>
          <w:rFonts w:ascii="Arial" w:hAnsi="Arial" w:cs="Arial"/>
          <w:b/>
          <w:sz w:val="24"/>
          <w:szCs w:val="24"/>
        </w:rPr>
        <w:tab/>
      </w:r>
      <w:r>
        <w:rPr>
          <w:rFonts w:ascii="Arial" w:hAnsi="Arial" w:cs="Arial"/>
          <w:b/>
          <w:sz w:val="24"/>
          <w:szCs w:val="24"/>
        </w:rPr>
        <w:t>First Applicant</w:t>
      </w:r>
    </w:p>
    <w:p w14:paraId="58E474CC" w14:textId="25F41451"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 xml:space="preserve">ELEANORE VAN DER MERWE </w:t>
      </w:r>
      <w:r>
        <w:rPr>
          <w:rFonts w:ascii="Arial" w:hAnsi="Arial" w:cs="Arial"/>
          <w:b/>
          <w:sz w:val="24"/>
          <w:szCs w:val="24"/>
        </w:rPr>
        <w:tab/>
        <w:t>Second Applicant</w:t>
      </w:r>
    </w:p>
    <w:p w14:paraId="1FBC1BBA" w14:textId="5CC7CB6D"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DOROTHEA ANNA VAN DER MERWE</w:t>
      </w:r>
      <w:r>
        <w:rPr>
          <w:rFonts w:ascii="Arial" w:hAnsi="Arial" w:cs="Arial"/>
          <w:b/>
          <w:sz w:val="24"/>
          <w:szCs w:val="24"/>
        </w:rPr>
        <w:tab/>
        <w:t>Third Applicant</w:t>
      </w:r>
    </w:p>
    <w:p w14:paraId="77D3FF4B" w14:textId="62D553F7"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JACO VAN DER MERWE</w:t>
      </w:r>
      <w:r>
        <w:rPr>
          <w:rFonts w:ascii="Arial" w:hAnsi="Arial" w:cs="Arial"/>
          <w:b/>
          <w:sz w:val="24"/>
          <w:szCs w:val="24"/>
        </w:rPr>
        <w:tab/>
        <w:t>Fourth Applicant</w:t>
      </w:r>
    </w:p>
    <w:p w14:paraId="2D031D5F" w14:textId="3F320B55"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ANDREA GREYLING</w:t>
      </w:r>
      <w:r>
        <w:rPr>
          <w:rFonts w:ascii="Arial" w:hAnsi="Arial" w:cs="Arial"/>
          <w:b/>
          <w:sz w:val="24"/>
          <w:szCs w:val="24"/>
        </w:rPr>
        <w:tab/>
        <w:t>Fifth Applicant</w:t>
      </w:r>
    </w:p>
    <w:p w14:paraId="11A4DDFC" w14:textId="1C2CF1CA" w:rsidR="00355C97" w:rsidRDefault="00355C97" w:rsidP="00355C97">
      <w:pPr>
        <w:widowControl w:val="0"/>
        <w:tabs>
          <w:tab w:val="right" w:pos="9213"/>
        </w:tabs>
        <w:spacing w:line="240" w:lineRule="auto"/>
        <w:rPr>
          <w:rFonts w:ascii="Arial" w:hAnsi="Arial" w:cs="Arial"/>
          <w:b/>
          <w:sz w:val="24"/>
          <w:szCs w:val="24"/>
        </w:rPr>
      </w:pPr>
    </w:p>
    <w:p w14:paraId="4F619F02" w14:textId="10EE99C3" w:rsidR="008C4ACA" w:rsidRDefault="00355C97" w:rsidP="00355C97">
      <w:pPr>
        <w:widowControl w:val="0"/>
        <w:tabs>
          <w:tab w:val="right" w:pos="9213"/>
        </w:tabs>
        <w:spacing w:line="240" w:lineRule="auto"/>
        <w:rPr>
          <w:rFonts w:ascii="Arial" w:hAnsi="Arial" w:cs="Arial"/>
          <w:sz w:val="24"/>
          <w:szCs w:val="24"/>
        </w:rPr>
      </w:pPr>
      <w:r>
        <w:rPr>
          <w:rFonts w:ascii="Arial" w:hAnsi="Arial" w:cs="Arial"/>
          <w:sz w:val="24"/>
          <w:szCs w:val="24"/>
        </w:rPr>
        <w:t>and</w:t>
      </w:r>
    </w:p>
    <w:p w14:paraId="5BA8B247" w14:textId="77777777" w:rsidR="00355C97" w:rsidRDefault="00355C97" w:rsidP="008C4ACA">
      <w:pPr>
        <w:widowControl w:val="0"/>
        <w:tabs>
          <w:tab w:val="right" w:pos="9213"/>
        </w:tabs>
        <w:spacing w:line="480" w:lineRule="auto"/>
        <w:rPr>
          <w:rFonts w:ascii="Arial" w:hAnsi="Arial" w:cs="Arial"/>
          <w:sz w:val="24"/>
          <w:szCs w:val="24"/>
        </w:rPr>
      </w:pPr>
    </w:p>
    <w:p w14:paraId="6F1DF4F4" w14:textId="205EE081"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 xml:space="preserve">ILZE DALEEN NEL, </w:t>
      </w:r>
      <w:r>
        <w:rPr>
          <w:rFonts w:ascii="Arial" w:hAnsi="Arial" w:cs="Arial"/>
          <w:b/>
          <w:i/>
          <w:sz w:val="24"/>
          <w:szCs w:val="24"/>
        </w:rPr>
        <w:t>NOMINE</w:t>
      </w:r>
      <w:r w:rsidRPr="008C4ACA">
        <w:rPr>
          <w:rFonts w:ascii="Arial" w:hAnsi="Arial" w:cs="Arial"/>
          <w:b/>
          <w:i/>
          <w:sz w:val="24"/>
          <w:szCs w:val="24"/>
        </w:rPr>
        <w:t xml:space="preserve"> OFFICIO</w:t>
      </w:r>
      <w:r w:rsidRPr="003304AD">
        <w:rPr>
          <w:rFonts w:ascii="Arial" w:hAnsi="Arial" w:cs="Arial"/>
          <w:b/>
          <w:sz w:val="24"/>
          <w:szCs w:val="24"/>
        </w:rPr>
        <w:tab/>
      </w:r>
      <w:r>
        <w:rPr>
          <w:rFonts w:ascii="Arial" w:hAnsi="Arial" w:cs="Arial"/>
          <w:b/>
          <w:sz w:val="24"/>
          <w:szCs w:val="24"/>
        </w:rPr>
        <w:t>First Respondent</w:t>
      </w:r>
    </w:p>
    <w:p w14:paraId="72D7693C" w14:textId="411DBAF0"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MAGDA CHRISTINE PELSER</w:t>
      </w:r>
      <w:r>
        <w:rPr>
          <w:rFonts w:ascii="Arial" w:hAnsi="Arial" w:cs="Arial"/>
          <w:b/>
          <w:sz w:val="24"/>
          <w:szCs w:val="24"/>
        </w:rPr>
        <w:tab/>
        <w:t>Second Respondent</w:t>
      </w:r>
    </w:p>
    <w:p w14:paraId="2C996D85" w14:textId="7D3AE4C8"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ANITA JACOLINE GREEF</w:t>
      </w:r>
      <w:r>
        <w:rPr>
          <w:rFonts w:ascii="Arial" w:hAnsi="Arial" w:cs="Arial"/>
          <w:b/>
          <w:sz w:val="24"/>
          <w:szCs w:val="24"/>
        </w:rPr>
        <w:tab/>
        <w:t>Third Respondent</w:t>
      </w:r>
    </w:p>
    <w:p w14:paraId="64FE176F" w14:textId="7BEA4A3F" w:rsidR="003B1D31"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VIVIAN STEPHEN VAN DER MERWE</w:t>
      </w:r>
      <w:r>
        <w:rPr>
          <w:rFonts w:ascii="Arial" w:hAnsi="Arial" w:cs="Arial"/>
          <w:b/>
          <w:sz w:val="24"/>
          <w:szCs w:val="24"/>
        </w:rPr>
        <w:tab/>
        <w:t>Fourth Respondent</w:t>
      </w:r>
    </w:p>
    <w:p w14:paraId="6DF94CBA" w14:textId="23BF07D3"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THE MASTER OF THE HIGH COURT, MAKHANDA</w:t>
      </w:r>
      <w:r>
        <w:rPr>
          <w:rFonts w:ascii="Arial" w:hAnsi="Arial" w:cs="Arial"/>
          <w:b/>
          <w:sz w:val="24"/>
          <w:szCs w:val="24"/>
        </w:rPr>
        <w:tab/>
        <w:t>Fifth Respondent</w:t>
      </w:r>
    </w:p>
    <w:p w14:paraId="73D53D87" w14:textId="0ED0C9A9" w:rsidR="008C4ACA" w:rsidRDefault="008C4ACA" w:rsidP="008C4ACA">
      <w:pPr>
        <w:widowControl w:val="0"/>
        <w:tabs>
          <w:tab w:val="right" w:pos="9213"/>
        </w:tabs>
        <w:spacing w:line="360" w:lineRule="auto"/>
        <w:rPr>
          <w:rFonts w:ascii="Arial" w:hAnsi="Arial" w:cs="Arial"/>
          <w:b/>
          <w:sz w:val="24"/>
          <w:szCs w:val="24"/>
        </w:rPr>
      </w:pPr>
      <w:r>
        <w:rPr>
          <w:rFonts w:ascii="Arial" w:hAnsi="Arial" w:cs="Arial"/>
          <w:b/>
          <w:sz w:val="24"/>
          <w:szCs w:val="24"/>
        </w:rPr>
        <w:t>ANDRIES KEUN</w:t>
      </w:r>
      <w:r>
        <w:rPr>
          <w:rFonts w:ascii="Arial" w:hAnsi="Arial" w:cs="Arial"/>
          <w:b/>
          <w:sz w:val="24"/>
          <w:szCs w:val="24"/>
        </w:rPr>
        <w:tab/>
        <w:t>Sixth Respondent</w:t>
      </w:r>
    </w:p>
    <w:p w14:paraId="69050831" w14:textId="77777777" w:rsidR="008C4ACA" w:rsidRDefault="008C4ACA" w:rsidP="008C4ACA">
      <w:pPr>
        <w:widowControl w:val="0"/>
        <w:tabs>
          <w:tab w:val="right" w:pos="9213"/>
        </w:tabs>
        <w:spacing w:line="360" w:lineRule="auto"/>
        <w:rPr>
          <w:rFonts w:ascii="Arial" w:hAnsi="Arial" w:cs="Arial"/>
          <w:b/>
          <w:bCs/>
          <w:sz w:val="24"/>
          <w:szCs w:val="24"/>
        </w:rPr>
      </w:pPr>
      <w:r>
        <w:rPr>
          <w:rFonts w:ascii="Arial" w:hAnsi="Arial" w:cs="Arial"/>
          <w:b/>
          <w:sz w:val="24"/>
          <w:szCs w:val="24"/>
        </w:rPr>
        <w:t>THE REGISTRAR OF DEEDS, KIMBERLY</w:t>
      </w:r>
      <w:r>
        <w:rPr>
          <w:rFonts w:ascii="Arial" w:hAnsi="Arial" w:cs="Arial"/>
          <w:b/>
          <w:sz w:val="24"/>
          <w:szCs w:val="24"/>
        </w:rPr>
        <w:tab/>
        <w:t>Seventh Respondent</w:t>
      </w:r>
      <w:r w:rsidR="003B1D31" w:rsidRPr="003B1D31">
        <w:rPr>
          <w:rFonts w:ascii="Arial" w:hAnsi="Arial" w:cs="Arial"/>
          <w:b/>
          <w:bCs/>
          <w:sz w:val="24"/>
          <w:szCs w:val="24"/>
        </w:rPr>
        <w:tab/>
      </w:r>
    </w:p>
    <w:p w14:paraId="685096EC" w14:textId="5654EDBB" w:rsidR="003B1D31" w:rsidRPr="003B1D31" w:rsidRDefault="003B1D31" w:rsidP="00355C97">
      <w:pPr>
        <w:widowControl w:val="0"/>
        <w:tabs>
          <w:tab w:val="right" w:pos="9213"/>
        </w:tabs>
        <w:spacing w:line="360" w:lineRule="auto"/>
        <w:rPr>
          <w:rFonts w:ascii="Arial" w:hAnsi="Arial" w:cs="Arial"/>
          <w:sz w:val="24"/>
          <w:szCs w:val="24"/>
        </w:rPr>
      </w:pPr>
      <w:r w:rsidRPr="003B1D31">
        <w:rPr>
          <w:rFonts w:ascii="Arial" w:hAnsi="Arial" w:cs="Arial"/>
          <w:b/>
          <w:bCs/>
          <w:sz w:val="24"/>
          <w:szCs w:val="24"/>
        </w:rPr>
        <w:lastRenderedPageBreak/>
        <w:tab/>
      </w:r>
      <w:r w:rsidRPr="003B1D31">
        <w:rPr>
          <w:rFonts w:ascii="Arial" w:hAnsi="Arial" w:cs="Arial"/>
          <w:sz w:val="24"/>
          <w:szCs w:val="24"/>
        </w:rPr>
        <w:t>______________________________________________________________________</w:t>
      </w:r>
    </w:p>
    <w:p w14:paraId="184A537F" w14:textId="7D96D4C8" w:rsidR="003B1D31" w:rsidRPr="003B1D31" w:rsidRDefault="003B1D31" w:rsidP="003B1D31">
      <w:pPr>
        <w:spacing w:line="360" w:lineRule="auto"/>
        <w:jc w:val="center"/>
        <w:rPr>
          <w:rFonts w:ascii="Arial" w:hAnsi="Arial" w:cs="Arial"/>
          <w:b/>
          <w:bCs/>
          <w:sz w:val="24"/>
          <w:szCs w:val="24"/>
        </w:rPr>
      </w:pPr>
      <w:r w:rsidRPr="003B1D31">
        <w:rPr>
          <w:rFonts w:ascii="Arial" w:hAnsi="Arial" w:cs="Arial"/>
          <w:b/>
          <w:bCs/>
          <w:sz w:val="24"/>
          <w:szCs w:val="24"/>
        </w:rPr>
        <w:t>JUDGMENT</w:t>
      </w:r>
    </w:p>
    <w:p w14:paraId="1E6E0900" w14:textId="336BAF88" w:rsidR="003B1D31" w:rsidRDefault="003B1D31" w:rsidP="003B1D31">
      <w:pPr>
        <w:spacing w:line="360" w:lineRule="auto"/>
        <w:rPr>
          <w:rFonts w:ascii="Arial" w:hAnsi="Arial" w:cs="Arial"/>
          <w:sz w:val="24"/>
          <w:szCs w:val="24"/>
        </w:rPr>
      </w:pPr>
      <w:r w:rsidRPr="003B1D31">
        <w:rPr>
          <w:rFonts w:ascii="Arial" w:hAnsi="Arial" w:cs="Arial"/>
          <w:sz w:val="24"/>
          <w:szCs w:val="24"/>
        </w:rPr>
        <w:t>______________________________________________________________________</w:t>
      </w:r>
    </w:p>
    <w:p w14:paraId="53FD804E" w14:textId="37AD617A" w:rsidR="003B1D31" w:rsidRDefault="003B1D31" w:rsidP="003B1D31">
      <w:pPr>
        <w:spacing w:line="360" w:lineRule="auto"/>
        <w:rPr>
          <w:rFonts w:ascii="Arial" w:hAnsi="Arial" w:cs="Arial"/>
          <w:b/>
          <w:bCs/>
          <w:sz w:val="24"/>
          <w:szCs w:val="24"/>
        </w:rPr>
      </w:pPr>
      <w:r w:rsidRPr="00C828F4">
        <w:rPr>
          <w:rFonts w:ascii="Arial" w:hAnsi="Arial" w:cs="Arial"/>
          <w:b/>
          <w:bCs/>
          <w:sz w:val="24"/>
          <w:szCs w:val="24"/>
        </w:rPr>
        <w:t>LAING J</w:t>
      </w:r>
    </w:p>
    <w:p w14:paraId="118148D5" w14:textId="77777777" w:rsidR="00355C97" w:rsidRPr="00C828F4" w:rsidRDefault="00355C97" w:rsidP="003B1D31">
      <w:pPr>
        <w:spacing w:line="360" w:lineRule="auto"/>
        <w:rPr>
          <w:rFonts w:ascii="Arial" w:hAnsi="Arial" w:cs="Arial"/>
          <w:b/>
          <w:bCs/>
          <w:sz w:val="24"/>
          <w:szCs w:val="24"/>
        </w:rPr>
      </w:pPr>
    </w:p>
    <w:p w14:paraId="621F7B3F" w14:textId="23E305AD"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3B1D31" w:rsidRPr="00D84FA8">
        <w:rPr>
          <w:rFonts w:ascii="Arial" w:hAnsi="Arial" w:cs="Arial"/>
          <w:sz w:val="24"/>
          <w:szCs w:val="24"/>
        </w:rPr>
        <w:t>This is an urgent application for</w:t>
      </w:r>
      <w:r w:rsidR="00C828F4" w:rsidRPr="00D84FA8">
        <w:rPr>
          <w:rFonts w:ascii="Arial" w:hAnsi="Arial" w:cs="Arial"/>
          <w:sz w:val="24"/>
          <w:szCs w:val="24"/>
        </w:rPr>
        <w:t xml:space="preserve">, </w:t>
      </w:r>
      <w:r w:rsidR="00C828F4" w:rsidRPr="00D84FA8">
        <w:rPr>
          <w:rFonts w:ascii="Arial" w:hAnsi="Arial" w:cs="Arial"/>
          <w:i/>
          <w:iCs/>
          <w:sz w:val="24"/>
          <w:szCs w:val="24"/>
        </w:rPr>
        <w:t>inter alia</w:t>
      </w:r>
      <w:r w:rsidR="00C828F4" w:rsidRPr="00D84FA8">
        <w:rPr>
          <w:rFonts w:ascii="Arial" w:hAnsi="Arial" w:cs="Arial"/>
          <w:sz w:val="24"/>
          <w:szCs w:val="24"/>
        </w:rPr>
        <w:t xml:space="preserve">, a rule </w:t>
      </w:r>
      <w:r w:rsidR="00C828F4" w:rsidRPr="00D84FA8">
        <w:rPr>
          <w:rFonts w:ascii="Arial" w:hAnsi="Arial" w:cs="Arial"/>
          <w:i/>
          <w:iCs/>
          <w:sz w:val="24"/>
          <w:szCs w:val="24"/>
        </w:rPr>
        <w:t>nisi</w:t>
      </w:r>
      <w:r w:rsidR="00C828F4" w:rsidRPr="00D84FA8">
        <w:rPr>
          <w:rFonts w:ascii="Arial" w:hAnsi="Arial" w:cs="Arial"/>
          <w:sz w:val="24"/>
          <w:szCs w:val="24"/>
        </w:rPr>
        <w:t>, interdicting the first respondent from taking further steps to transfer three farms in the Northern Cape</w:t>
      </w:r>
      <w:r w:rsidR="00A03B3C" w:rsidRPr="00D84FA8">
        <w:rPr>
          <w:rFonts w:ascii="Arial" w:hAnsi="Arial" w:cs="Arial"/>
          <w:sz w:val="24"/>
          <w:szCs w:val="24"/>
        </w:rPr>
        <w:t xml:space="preserve"> to any prospective purchaser. The applicant required the first respondent to list the farms with estate agents, advertise the sale thereof by public auction, and indicate that wind turbines were being constructed on the land, which promised substantial passive income.</w:t>
      </w:r>
    </w:p>
    <w:p w14:paraId="4EF2242C" w14:textId="77777777" w:rsidR="008C4ACA" w:rsidRPr="008C4ACA" w:rsidRDefault="008C4ACA" w:rsidP="008C4ACA">
      <w:pPr>
        <w:spacing w:line="360" w:lineRule="auto"/>
        <w:jc w:val="both"/>
        <w:rPr>
          <w:rFonts w:ascii="Arial" w:hAnsi="Arial" w:cs="Arial"/>
          <w:sz w:val="24"/>
          <w:szCs w:val="24"/>
        </w:rPr>
      </w:pPr>
    </w:p>
    <w:p w14:paraId="0725F87F" w14:textId="5B36ABE4" w:rsidR="008C4ACA" w:rsidRPr="008C4ACA" w:rsidRDefault="00D52725" w:rsidP="008C4ACA">
      <w:pPr>
        <w:pStyle w:val="ListParagraph"/>
        <w:spacing w:line="360" w:lineRule="auto"/>
        <w:ind w:left="0"/>
        <w:jc w:val="both"/>
        <w:rPr>
          <w:rFonts w:ascii="Arial" w:hAnsi="Arial" w:cs="Arial"/>
          <w:sz w:val="24"/>
          <w:szCs w:val="24"/>
        </w:rPr>
      </w:pPr>
      <w:r w:rsidRPr="008C4ACA">
        <w:rPr>
          <w:rFonts w:ascii="Arial" w:hAnsi="Arial" w:cs="Arial"/>
          <w:b/>
          <w:bCs/>
          <w:sz w:val="24"/>
          <w:szCs w:val="24"/>
        </w:rPr>
        <w:t>Applicants’ case</w:t>
      </w:r>
    </w:p>
    <w:p w14:paraId="07D56814" w14:textId="77777777" w:rsidR="008C4ACA" w:rsidRPr="008C4ACA" w:rsidRDefault="008C4ACA" w:rsidP="008C4ACA">
      <w:pPr>
        <w:pStyle w:val="ListParagraph"/>
        <w:rPr>
          <w:rFonts w:ascii="Arial" w:hAnsi="Arial" w:cs="Arial"/>
          <w:sz w:val="24"/>
          <w:szCs w:val="24"/>
        </w:rPr>
      </w:pPr>
    </w:p>
    <w:p w14:paraId="56BAE79E" w14:textId="77777777" w:rsidR="008C4ACA" w:rsidRPr="008C4ACA" w:rsidRDefault="008C4ACA" w:rsidP="008C4ACA">
      <w:pPr>
        <w:pStyle w:val="ListParagraph"/>
        <w:rPr>
          <w:rFonts w:ascii="Arial" w:hAnsi="Arial" w:cs="Arial"/>
          <w:sz w:val="24"/>
          <w:szCs w:val="24"/>
        </w:rPr>
      </w:pPr>
    </w:p>
    <w:p w14:paraId="425A9466" w14:textId="6ABB876F"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F6144" w:rsidRPr="00D84FA8">
        <w:rPr>
          <w:rFonts w:ascii="Arial" w:hAnsi="Arial" w:cs="Arial"/>
          <w:sz w:val="24"/>
          <w:szCs w:val="24"/>
        </w:rPr>
        <w:t xml:space="preserve">The late Mrs Vivien </w:t>
      </w:r>
      <w:r w:rsidR="00A01237" w:rsidRPr="00D84FA8">
        <w:rPr>
          <w:rFonts w:ascii="Arial" w:hAnsi="Arial" w:cs="Arial"/>
          <w:sz w:val="24"/>
          <w:szCs w:val="24"/>
        </w:rPr>
        <w:t xml:space="preserve">van der Merwe was the owner of </w:t>
      </w:r>
      <w:r w:rsidR="009616E7" w:rsidRPr="00D84FA8">
        <w:rPr>
          <w:rFonts w:ascii="Arial" w:hAnsi="Arial" w:cs="Arial"/>
          <w:sz w:val="24"/>
          <w:szCs w:val="24"/>
        </w:rPr>
        <w:t xml:space="preserve">farm no. 136 and </w:t>
      </w:r>
      <w:r w:rsidR="004B7C37" w:rsidRPr="00D84FA8">
        <w:rPr>
          <w:rFonts w:ascii="Arial" w:hAnsi="Arial" w:cs="Arial"/>
          <w:sz w:val="24"/>
          <w:szCs w:val="24"/>
        </w:rPr>
        <w:t xml:space="preserve">remainder of </w:t>
      </w:r>
      <w:r w:rsidR="009616E7" w:rsidRPr="00D84FA8">
        <w:rPr>
          <w:rFonts w:ascii="Arial" w:hAnsi="Arial" w:cs="Arial"/>
          <w:sz w:val="24"/>
          <w:szCs w:val="24"/>
        </w:rPr>
        <w:t>farm no. 118</w:t>
      </w:r>
      <w:r w:rsidR="00392404" w:rsidRPr="00D84FA8">
        <w:rPr>
          <w:rFonts w:ascii="Arial" w:hAnsi="Arial" w:cs="Arial"/>
          <w:sz w:val="24"/>
          <w:szCs w:val="24"/>
        </w:rPr>
        <w:t xml:space="preserve"> (‘the Winterhoek farms’), as well farm </w:t>
      </w:r>
      <w:r w:rsidR="00552DC2" w:rsidRPr="00D84FA8">
        <w:rPr>
          <w:rFonts w:ascii="Arial" w:hAnsi="Arial" w:cs="Arial"/>
          <w:sz w:val="24"/>
          <w:szCs w:val="24"/>
        </w:rPr>
        <w:t>no. 120 (‘</w:t>
      </w:r>
      <w:r w:rsidR="004B7C37" w:rsidRPr="00D84FA8">
        <w:rPr>
          <w:rFonts w:ascii="Arial" w:hAnsi="Arial" w:cs="Arial"/>
          <w:sz w:val="24"/>
          <w:szCs w:val="24"/>
        </w:rPr>
        <w:t xml:space="preserve">Leeuwkop’), in </w:t>
      </w:r>
      <w:r w:rsidR="00552DC2" w:rsidRPr="00D84FA8">
        <w:rPr>
          <w:rFonts w:ascii="Arial" w:hAnsi="Arial" w:cs="Arial"/>
          <w:sz w:val="24"/>
          <w:szCs w:val="24"/>
        </w:rPr>
        <w:t xml:space="preserve">the </w:t>
      </w:r>
      <w:r w:rsidR="004B7C37" w:rsidRPr="00D84FA8">
        <w:rPr>
          <w:rFonts w:ascii="Arial" w:hAnsi="Arial" w:cs="Arial"/>
          <w:sz w:val="24"/>
          <w:szCs w:val="24"/>
        </w:rPr>
        <w:t>district of Hanover</w:t>
      </w:r>
      <w:r w:rsidR="00470C45" w:rsidRPr="00D84FA8">
        <w:rPr>
          <w:rFonts w:ascii="Arial" w:hAnsi="Arial" w:cs="Arial"/>
          <w:sz w:val="24"/>
          <w:szCs w:val="24"/>
        </w:rPr>
        <w:t xml:space="preserve">. She passed away on </w:t>
      </w:r>
      <w:r w:rsidR="00102E2B" w:rsidRPr="00D84FA8">
        <w:rPr>
          <w:rFonts w:ascii="Arial" w:hAnsi="Arial" w:cs="Arial"/>
          <w:sz w:val="24"/>
          <w:szCs w:val="24"/>
        </w:rPr>
        <w:t xml:space="preserve">30 June 2019. </w:t>
      </w:r>
    </w:p>
    <w:p w14:paraId="04D5DC61" w14:textId="77777777" w:rsidR="008C4ACA" w:rsidRDefault="008C4ACA" w:rsidP="008C4ACA">
      <w:pPr>
        <w:pStyle w:val="ListParagraph"/>
        <w:spacing w:line="360" w:lineRule="auto"/>
        <w:ind w:left="0"/>
        <w:jc w:val="both"/>
        <w:rPr>
          <w:rFonts w:ascii="Arial" w:hAnsi="Arial" w:cs="Arial"/>
          <w:sz w:val="24"/>
          <w:szCs w:val="24"/>
        </w:rPr>
      </w:pPr>
    </w:p>
    <w:p w14:paraId="093E6C38" w14:textId="154D327F"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C695C" w:rsidRPr="00D84FA8">
        <w:rPr>
          <w:rFonts w:ascii="Arial" w:hAnsi="Arial" w:cs="Arial"/>
          <w:sz w:val="24"/>
          <w:szCs w:val="24"/>
        </w:rPr>
        <w:t>Shortly afterwards, t</w:t>
      </w:r>
      <w:r w:rsidR="00102E2B" w:rsidRPr="00D84FA8">
        <w:rPr>
          <w:rFonts w:ascii="Arial" w:hAnsi="Arial" w:cs="Arial"/>
          <w:sz w:val="24"/>
          <w:szCs w:val="24"/>
        </w:rPr>
        <w:t xml:space="preserve">he first respondent, in her capacity as executrix of the estate, </w:t>
      </w:r>
      <w:r w:rsidR="006370AA" w:rsidRPr="00D84FA8">
        <w:rPr>
          <w:rFonts w:ascii="Arial" w:hAnsi="Arial" w:cs="Arial"/>
          <w:sz w:val="24"/>
          <w:szCs w:val="24"/>
        </w:rPr>
        <w:t xml:space="preserve">received written offers from the sixth respondent to purchase the </w:t>
      </w:r>
      <w:r w:rsidR="007C119D" w:rsidRPr="00D84FA8">
        <w:rPr>
          <w:rFonts w:ascii="Arial" w:hAnsi="Arial" w:cs="Arial"/>
          <w:sz w:val="24"/>
          <w:szCs w:val="24"/>
        </w:rPr>
        <w:t xml:space="preserve">land. </w:t>
      </w:r>
      <w:r w:rsidR="009847E5" w:rsidRPr="00D84FA8">
        <w:rPr>
          <w:rFonts w:ascii="Arial" w:hAnsi="Arial" w:cs="Arial"/>
          <w:sz w:val="24"/>
          <w:szCs w:val="24"/>
        </w:rPr>
        <w:t xml:space="preserve">The parties </w:t>
      </w:r>
      <w:r w:rsidR="006C695C" w:rsidRPr="00D84FA8">
        <w:rPr>
          <w:rFonts w:ascii="Arial" w:hAnsi="Arial" w:cs="Arial"/>
          <w:sz w:val="24"/>
          <w:szCs w:val="24"/>
        </w:rPr>
        <w:t xml:space="preserve">concluded </w:t>
      </w:r>
      <w:r w:rsidR="009847E5" w:rsidRPr="00D84FA8">
        <w:rPr>
          <w:rFonts w:ascii="Arial" w:hAnsi="Arial" w:cs="Arial"/>
          <w:sz w:val="24"/>
          <w:szCs w:val="24"/>
        </w:rPr>
        <w:t xml:space="preserve">deeds of sale, </w:t>
      </w:r>
      <w:r w:rsidR="009A2058" w:rsidRPr="00D84FA8">
        <w:rPr>
          <w:rFonts w:ascii="Arial" w:hAnsi="Arial" w:cs="Arial"/>
          <w:sz w:val="24"/>
          <w:szCs w:val="24"/>
        </w:rPr>
        <w:t>stipul</w:t>
      </w:r>
      <w:r w:rsidR="009847E5" w:rsidRPr="00D84FA8">
        <w:rPr>
          <w:rFonts w:ascii="Arial" w:hAnsi="Arial" w:cs="Arial"/>
          <w:sz w:val="24"/>
          <w:szCs w:val="24"/>
        </w:rPr>
        <w:t xml:space="preserve">ating a purchase </w:t>
      </w:r>
      <w:r w:rsidR="00C94CA9" w:rsidRPr="00D84FA8">
        <w:rPr>
          <w:rFonts w:ascii="Arial" w:hAnsi="Arial" w:cs="Arial"/>
          <w:sz w:val="24"/>
          <w:szCs w:val="24"/>
        </w:rPr>
        <w:t>price of R 10,700,000 for the Winterhoek farms, and R 9,300,000 for Leeuwkop</w:t>
      </w:r>
      <w:r w:rsidR="005243ED" w:rsidRPr="00D84FA8">
        <w:rPr>
          <w:rFonts w:ascii="Arial" w:hAnsi="Arial" w:cs="Arial"/>
          <w:sz w:val="24"/>
          <w:szCs w:val="24"/>
        </w:rPr>
        <w:t>.</w:t>
      </w:r>
      <w:r w:rsidR="008775E5" w:rsidRPr="00D84FA8">
        <w:rPr>
          <w:rFonts w:ascii="Arial" w:hAnsi="Arial" w:cs="Arial"/>
          <w:sz w:val="24"/>
          <w:szCs w:val="24"/>
        </w:rPr>
        <w:t xml:space="preserve"> The sales were, however, subject to the consent of the fifth respondent and the heirs</w:t>
      </w:r>
      <w:r w:rsidR="005243ED" w:rsidRPr="00D84FA8">
        <w:rPr>
          <w:rFonts w:ascii="Arial" w:hAnsi="Arial" w:cs="Arial"/>
          <w:sz w:val="24"/>
          <w:szCs w:val="24"/>
        </w:rPr>
        <w:t>.</w:t>
      </w:r>
    </w:p>
    <w:p w14:paraId="3ACA5C36" w14:textId="77777777" w:rsidR="008C4ACA" w:rsidRPr="008C4ACA" w:rsidRDefault="008C4ACA" w:rsidP="008C4ACA">
      <w:pPr>
        <w:pStyle w:val="ListParagraph"/>
        <w:rPr>
          <w:rFonts w:ascii="Arial" w:hAnsi="Arial" w:cs="Arial"/>
          <w:sz w:val="24"/>
          <w:szCs w:val="24"/>
        </w:rPr>
      </w:pPr>
    </w:p>
    <w:p w14:paraId="46703831" w14:textId="2300773A"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36EE9" w:rsidRPr="00D84FA8">
        <w:rPr>
          <w:rFonts w:ascii="Arial" w:hAnsi="Arial" w:cs="Arial"/>
          <w:sz w:val="24"/>
          <w:szCs w:val="24"/>
        </w:rPr>
        <w:t xml:space="preserve">In the meanwhile, the distribution of the estate </w:t>
      </w:r>
      <w:r w:rsidR="00DB656B" w:rsidRPr="00D84FA8">
        <w:rPr>
          <w:rFonts w:ascii="Arial" w:hAnsi="Arial" w:cs="Arial"/>
          <w:sz w:val="24"/>
          <w:szCs w:val="24"/>
        </w:rPr>
        <w:t>had be</w:t>
      </w:r>
      <w:r w:rsidR="008775E5" w:rsidRPr="00D84FA8">
        <w:rPr>
          <w:rFonts w:ascii="Arial" w:hAnsi="Arial" w:cs="Arial"/>
          <w:sz w:val="24"/>
          <w:szCs w:val="24"/>
        </w:rPr>
        <w:t>come</w:t>
      </w:r>
      <w:r w:rsidR="00975044" w:rsidRPr="00D84FA8">
        <w:rPr>
          <w:rFonts w:ascii="Arial" w:hAnsi="Arial" w:cs="Arial"/>
          <w:sz w:val="24"/>
          <w:szCs w:val="24"/>
        </w:rPr>
        <w:t xml:space="preserve"> problematic. The applicants </w:t>
      </w:r>
      <w:r w:rsidR="009A2058" w:rsidRPr="00D84FA8">
        <w:rPr>
          <w:rFonts w:ascii="Arial" w:hAnsi="Arial" w:cs="Arial"/>
          <w:sz w:val="24"/>
          <w:szCs w:val="24"/>
        </w:rPr>
        <w:t>had</w:t>
      </w:r>
      <w:r w:rsidR="00975044" w:rsidRPr="00D84FA8">
        <w:rPr>
          <w:rFonts w:ascii="Arial" w:hAnsi="Arial" w:cs="Arial"/>
          <w:sz w:val="24"/>
          <w:szCs w:val="24"/>
        </w:rPr>
        <w:t xml:space="preserve"> </w:t>
      </w:r>
      <w:r w:rsidR="00A63989" w:rsidRPr="00D84FA8">
        <w:rPr>
          <w:rFonts w:ascii="Arial" w:hAnsi="Arial" w:cs="Arial"/>
          <w:sz w:val="24"/>
          <w:szCs w:val="24"/>
        </w:rPr>
        <w:t xml:space="preserve">instituted action </w:t>
      </w:r>
      <w:r w:rsidR="00A839F5" w:rsidRPr="00D84FA8">
        <w:rPr>
          <w:rFonts w:ascii="Arial" w:hAnsi="Arial" w:cs="Arial"/>
          <w:sz w:val="24"/>
          <w:szCs w:val="24"/>
        </w:rPr>
        <w:t xml:space="preserve">proceedings </w:t>
      </w:r>
      <w:r w:rsidR="00A63989" w:rsidRPr="00D84FA8">
        <w:rPr>
          <w:rFonts w:ascii="Arial" w:hAnsi="Arial" w:cs="Arial"/>
          <w:sz w:val="24"/>
          <w:szCs w:val="24"/>
        </w:rPr>
        <w:t>to challenge the validity of Mrs van der Merwe’s final will</w:t>
      </w:r>
      <w:r w:rsidR="00915018" w:rsidRPr="00D84FA8">
        <w:rPr>
          <w:rFonts w:ascii="Arial" w:hAnsi="Arial" w:cs="Arial"/>
          <w:sz w:val="24"/>
          <w:szCs w:val="24"/>
        </w:rPr>
        <w:t xml:space="preserve">, alleging that </w:t>
      </w:r>
      <w:r w:rsidR="003C58EB" w:rsidRPr="00D84FA8">
        <w:rPr>
          <w:rFonts w:ascii="Arial" w:hAnsi="Arial" w:cs="Arial"/>
          <w:sz w:val="24"/>
          <w:szCs w:val="24"/>
        </w:rPr>
        <w:t xml:space="preserve">she had been unduly influenced </w:t>
      </w:r>
      <w:r w:rsidR="00D65B58" w:rsidRPr="00D84FA8">
        <w:rPr>
          <w:rFonts w:ascii="Arial" w:hAnsi="Arial" w:cs="Arial"/>
          <w:sz w:val="24"/>
          <w:szCs w:val="24"/>
        </w:rPr>
        <w:t xml:space="preserve">to change her will while </w:t>
      </w:r>
      <w:r w:rsidR="00D65B58" w:rsidRPr="00D84FA8">
        <w:rPr>
          <w:rFonts w:ascii="Arial" w:hAnsi="Arial" w:cs="Arial"/>
          <w:sz w:val="24"/>
          <w:szCs w:val="24"/>
        </w:rPr>
        <w:lastRenderedPageBreak/>
        <w:t>suffering from Alzheimer’s disease</w:t>
      </w:r>
      <w:r w:rsidR="002D598C" w:rsidRPr="00D84FA8">
        <w:rPr>
          <w:rFonts w:ascii="Arial" w:hAnsi="Arial" w:cs="Arial"/>
          <w:sz w:val="24"/>
          <w:szCs w:val="24"/>
        </w:rPr>
        <w:t xml:space="preserve">. The </w:t>
      </w:r>
      <w:r w:rsidR="00A839F5" w:rsidRPr="00D84FA8">
        <w:rPr>
          <w:rFonts w:ascii="Arial" w:hAnsi="Arial" w:cs="Arial"/>
          <w:sz w:val="24"/>
          <w:szCs w:val="24"/>
        </w:rPr>
        <w:t xml:space="preserve">proceedings culminated in a settlement </w:t>
      </w:r>
      <w:r w:rsidR="008775E5" w:rsidRPr="00D84FA8">
        <w:rPr>
          <w:rFonts w:ascii="Arial" w:hAnsi="Arial" w:cs="Arial"/>
          <w:sz w:val="24"/>
          <w:szCs w:val="24"/>
        </w:rPr>
        <w:t xml:space="preserve">agreement </w:t>
      </w:r>
      <w:r w:rsidR="00A839F5" w:rsidRPr="00D84FA8">
        <w:rPr>
          <w:rFonts w:ascii="Arial" w:hAnsi="Arial" w:cs="Arial"/>
          <w:sz w:val="24"/>
          <w:szCs w:val="24"/>
        </w:rPr>
        <w:t>which, say the applicants</w:t>
      </w:r>
      <w:r w:rsidR="003D7045" w:rsidRPr="00D84FA8">
        <w:rPr>
          <w:rFonts w:ascii="Arial" w:hAnsi="Arial" w:cs="Arial"/>
          <w:sz w:val="24"/>
          <w:szCs w:val="24"/>
        </w:rPr>
        <w:t>, amounted to a redistribution</w:t>
      </w:r>
      <w:r w:rsidR="004A2425" w:rsidRPr="00D84FA8">
        <w:rPr>
          <w:rFonts w:ascii="Arial" w:hAnsi="Arial" w:cs="Arial"/>
          <w:sz w:val="24"/>
          <w:szCs w:val="24"/>
        </w:rPr>
        <w:t>. The</w:t>
      </w:r>
      <w:r w:rsidR="00E021F3" w:rsidRPr="00D84FA8">
        <w:rPr>
          <w:rFonts w:ascii="Arial" w:hAnsi="Arial" w:cs="Arial"/>
          <w:sz w:val="24"/>
          <w:szCs w:val="24"/>
        </w:rPr>
        <w:t xml:space="preserve">y allege </w:t>
      </w:r>
      <w:r w:rsidR="00475FED" w:rsidRPr="00D84FA8">
        <w:rPr>
          <w:rFonts w:ascii="Arial" w:hAnsi="Arial" w:cs="Arial"/>
          <w:sz w:val="24"/>
          <w:szCs w:val="24"/>
        </w:rPr>
        <w:t xml:space="preserve">that they </w:t>
      </w:r>
      <w:r w:rsidR="004A2425" w:rsidRPr="00D84FA8">
        <w:rPr>
          <w:rFonts w:ascii="Arial" w:hAnsi="Arial" w:cs="Arial"/>
          <w:sz w:val="24"/>
          <w:szCs w:val="24"/>
        </w:rPr>
        <w:t xml:space="preserve">became entitled to inherit a portion of the estate, together with the </w:t>
      </w:r>
      <w:r w:rsidR="00615F0D" w:rsidRPr="00D84FA8">
        <w:rPr>
          <w:rFonts w:ascii="Arial" w:hAnsi="Arial" w:cs="Arial"/>
          <w:sz w:val="24"/>
          <w:szCs w:val="24"/>
        </w:rPr>
        <w:t>second, third</w:t>
      </w:r>
      <w:r w:rsidR="008775E5" w:rsidRPr="00D84FA8">
        <w:rPr>
          <w:rFonts w:ascii="Arial" w:hAnsi="Arial" w:cs="Arial"/>
          <w:sz w:val="24"/>
          <w:szCs w:val="24"/>
        </w:rPr>
        <w:t>,</w:t>
      </w:r>
      <w:r w:rsidR="00615F0D" w:rsidRPr="00D84FA8">
        <w:rPr>
          <w:rFonts w:ascii="Arial" w:hAnsi="Arial" w:cs="Arial"/>
          <w:sz w:val="24"/>
          <w:szCs w:val="24"/>
        </w:rPr>
        <w:t xml:space="preserve"> and fourth respondents</w:t>
      </w:r>
      <w:r w:rsidR="008775E5" w:rsidRPr="00D84FA8">
        <w:rPr>
          <w:rFonts w:ascii="Arial" w:hAnsi="Arial" w:cs="Arial"/>
          <w:sz w:val="24"/>
          <w:szCs w:val="24"/>
        </w:rPr>
        <w:t xml:space="preserve">. The settlement agreement was made an order of court on 28 November 2022. </w:t>
      </w:r>
    </w:p>
    <w:p w14:paraId="5A2883DE" w14:textId="77777777" w:rsidR="008C4ACA" w:rsidRPr="008C4ACA" w:rsidRDefault="008C4ACA" w:rsidP="008C4ACA">
      <w:pPr>
        <w:pStyle w:val="ListParagraph"/>
        <w:rPr>
          <w:rFonts w:ascii="Arial" w:hAnsi="Arial" w:cs="Arial"/>
          <w:sz w:val="24"/>
          <w:szCs w:val="24"/>
        </w:rPr>
      </w:pPr>
    </w:p>
    <w:p w14:paraId="657022F6" w14:textId="11129D10"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775E5" w:rsidRPr="00D84FA8">
        <w:rPr>
          <w:rFonts w:ascii="Arial" w:hAnsi="Arial" w:cs="Arial"/>
          <w:sz w:val="24"/>
          <w:szCs w:val="24"/>
        </w:rPr>
        <w:t>The applicants argue that the true heirs to the estate only became apparent after the conclusion of the settlement agreement. They have not provided their joint consent to the sale of the land.</w:t>
      </w:r>
    </w:p>
    <w:p w14:paraId="19FA21FE" w14:textId="77777777" w:rsidR="008C4ACA" w:rsidRPr="008C4ACA" w:rsidRDefault="008C4ACA" w:rsidP="008C4ACA">
      <w:pPr>
        <w:pStyle w:val="ListParagraph"/>
        <w:rPr>
          <w:rFonts w:ascii="Arial" w:hAnsi="Arial" w:cs="Arial"/>
          <w:sz w:val="24"/>
          <w:szCs w:val="24"/>
        </w:rPr>
      </w:pPr>
    </w:p>
    <w:p w14:paraId="78751AC3" w14:textId="3F23D4CF"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775E5" w:rsidRPr="00D84FA8">
        <w:rPr>
          <w:rFonts w:ascii="Arial" w:hAnsi="Arial" w:cs="Arial"/>
          <w:sz w:val="24"/>
          <w:szCs w:val="24"/>
        </w:rPr>
        <w:t xml:space="preserve">Since the conclusion of the deeds of sale, </w:t>
      </w:r>
      <w:r w:rsidR="004B7C37" w:rsidRPr="00D84FA8">
        <w:rPr>
          <w:rFonts w:ascii="Arial" w:hAnsi="Arial" w:cs="Arial"/>
          <w:sz w:val="24"/>
          <w:szCs w:val="24"/>
        </w:rPr>
        <w:t>significant renewable energy contracts ha</w:t>
      </w:r>
      <w:r w:rsidR="009A2058" w:rsidRPr="00D84FA8">
        <w:rPr>
          <w:rFonts w:ascii="Arial" w:hAnsi="Arial" w:cs="Arial"/>
          <w:sz w:val="24"/>
          <w:szCs w:val="24"/>
        </w:rPr>
        <w:t>ve</w:t>
      </w:r>
      <w:r w:rsidR="004B7C37" w:rsidRPr="00D84FA8">
        <w:rPr>
          <w:rFonts w:ascii="Arial" w:hAnsi="Arial" w:cs="Arial"/>
          <w:sz w:val="24"/>
          <w:szCs w:val="24"/>
        </w:rPr>
        <w:t xml:space="preserve"> been allocated to the Winterhoek farms and Leeuwkop. The </w:t>
      </w:r>
      <w:r w:rsidR="00AE75A7" w:rsidRPr="00D84FA8">
        <w:rPr>
          <w:rFonts w:ascii="Arial" w:hAnsi="Arial" w:cs="Arial"/>
          <w:sz w:val="24"/>
          <w:szCs w:val="24"/>
        </w:rPr>
        <w:t>construction of wind turbines i</w:t>
      </w:r>
      <w:r w:rsidR="004B7C37" w:rsidRPr="00D84FA8">
        <w:rPr>
          <w:rFonts w:ascii="Arial" w:hAnsi="Arial" w:cs="Arial"/>
          <w:sz w:val="24"/>
          <w:szCs w:val="24"/>
        </w:rPr>
        <w:t>s imminent, which would significantly increase the value of the land. The applicants refer to an informal valuation</w:t>
      </w:r>
      <w:r w:rsidR="007A39FF" w:rsidRPr="00D84FA8">
        <w:rPr>
          <w:rFonts w:ascii="Arial" w:hAnsi="Arial" w:cs="Arial"/>
          <w:sz w:val="24"/>
          <w:szCs w:val="24"/>
        </w:rPr>
        <w:t>, prepared by a valuer and appraiser, Mr André Crouse,</w:t>
      </w:r>
      <w:r w:rsidR="004B7C37" w:rsidRPr="00D84FA8">
        <w:rPr>
          <w:rFonts w:ascii="Arial" w:hAnsi="Arial" w:cs="Arial"/>
          <w:sz w:val="24"/>
          <w:szCs w:val="24"/>
        </w:rPr>
        <w:t xml:space="preserve"> that estimate</w:t>
      </w:r>
      <w:r w:rsidR="00D7590F" w:rsidRPr="00D84FA8">
        <w:rPr>
          <w:rFonts w:ascii="Arial" w:hAnsi="Arial" w:cs="Arial"/>
          <w:sz w:val="24"/>
          <w:szCs w:val="24"/>
        </w:rPr>
        <w:t>d</w:t>
      </w:r>
      <w:r w:rsidR="004B7C37" w:rsidRPr="00D84FA8">
        <w:rPr>
          <w:rFonts w:ascii="Arial" w:hAnsi="Arial" w:cs="Arial"/>
          <w:sz w:val="24"/>
          <w:szCs w:val="24"/>
        </w:rPr>
        <w:t xml:space="preserve"> that the Winterhoek farms would be worth R 19,039,700 and Leeuwkop would be worth R 13,904,658</w:t>
      </w:r>
      <w:r w:rsidR="00D7590F" w:rsidRPr="00D84FA8">
        <w:rPr>
          <w:rFonts w:ascii="Arial" w:hAnsi="Arial" w:cs="Arial"/>
          <w:sz w:val="24"/>
          <w:szCs w:val="24"/>
        </w:rPr>
        <w:t xml:space="preserve"> if the renewable energy project was properly considered. The market price for the land was significantly higher than the amounts contemplated in the deeds of sale concluded with the sixth respondent.</w:t>
      </w:r>
    </w:p>
    <w:p w14:paraId="3F90B622" w14:textId="77777777" w:rsidR="008C4ACA" w:rsidRPr="008C4ACA" w:rsidRDefault="008C4ACA" w:rsidP="008C4ACA">
      <w:pPr>
        <w:pStyle w:val="ListParagraph"/>
        <w:rPr>
          <w:rFonts w:ascii="Arial" w:hAnsi="Arial" w:cs="Arial"/>
          <w:sz w:val="24"/>
          <w:szCs w:val="24"/>
        </w:rPr>
      </w:pPr>
    </w:p>
    <w:p w14:paraId="52643165" w14:textId="66186913"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851EC" w:rsidRPr="00D84FA8">
        <w:rPr>
          <w:rFonts w:ascii="Arial" w:hAnsi="Arial" w:cs="Arial"/>
          <w:sz w:val="24"/>
          <w:szCs w:val="24"/>
        </w:rPr>
        <w:t>Immediately after</w:t>
      </w:r>
      <w:r w:rsidR="00D7590F" w:rsidRPr="00D84FA8">
        <w:rPr>
          <w:rFonts w:ascii="Arial" w:hAnsi="Arial" w:cs="Arial"/>
          <w:sz w:val="24"/>
          <w:szCs w:val="24"/>
        </w:rPr>
        <w:t xml:space="preserve"> the conclusion of the settlement agreement</w:t>
      </w:r>
      <w:r w:rsidR="00E851EC" w:rsidRPr="00D84FA8">
        <w:rPr>
          <w:rFonts w:ascii="Arial" w:hAnsi="Arial" w:cs="Arial"/>
          <w:sz w:val="24"/>
          <w:szCs w:val="24"/>
        </w:rPr>
        <w:t xml:space="preserve">, the applicants’ attorney, Mr André van der Lingen, wrote to the first respondent on 29 November 2022. He pointed out that it was in </w:t>
      </w:r>
      <w:r w:rsidR="009D43A1" w:rsidRPr="00D84FA8">
        <w:rPr>
          <w:rFonts w:ascii="Arial" w:hAnsi="Arial" w:cs="Arial"/>
          <w:sz w:val="24"/>
          <w:szCs w:val="24"/>
        </w:rPr>
        <w:t>everyone’s</w:t>
      </w:r>
      <w:r w:rsidR="00E851EC" w:rsidRPr="00D84FA8">
        <w:rPr>
          <w:rFonts w:ascii="Arial" w:hAnsi="Arial" w:cs="Arial"/>
          <w:sz w:val="24"/>
          <w:szCs w:val="24"/>
        </w:rPr>
        <w:t xml:space="preserve"> interest that the land be sold for the best possible price and asked for details of the marketing pla</w:t>
      </w:r>
      <w:r w:rsidR="00AD563D" w:rsidRPr="00D84FA8">
        <w:rPr>
          <w:rFonts w:ascii="Arial" w:hAnsi="Arial" w:cs="Arial"/>
          <w:sz w:val="24"/>
          <w:szCs w:val="24"/>
        </w:rPr>
        <w:t>n (</w:t>
      </w:r>
      <w:r w:rsidR="00E851EC" w:rsidRPr="00D84FA8">
        <w:rPr>
          <w:rFonts w:ascii="Arial" w:hAnsi="Arial" w:cs="Arial"/>
          <w:sz w:val="24"/>
          <w:szCs w:val="24"/>
        </w:rPr>
        <w:t>especially in light of the renewable energy project</w:t>
      </w:r>
      <w:r w:rsidR="00AD563D" w:rsidRPr="00D84FA8">
        <w:rPr>
          <w:rFonts w:ascii="Arial" w:hAnsi="Arial" w:cs="Arial"/>
          <w:sz w:val="24"/>
          <w:szCs w:val="24"/>
        </w:rPr>
        <w:t>),</w:t>
      </w:r>
      <w:r w:rsidR="00E851EC" w:rsidRPr="00D84FA8">
        <w:rPr>
          <w:rFonts w:ascii="Arial" w:hAnsi="Arial" w:cs="Arial"/>
          <w:sz w:val="24"/>
          <w:szCs w:val="24"/>
        </w:rPr>
        <w:t xml:space="preserve"> how the land would be sold</w:t>
      </w:r>
      <w:r w:rsidR="00AD563D" w:rsidRPr="00D84FA8">
        <w:rPr>
          <w:rFonts w:ascii="Arial" w:hAnsi="Arial" w:cs="Arial"/>
          <w:sz w:val="24"/>
          <w:szCs w:val="24"/>
        </w:rPr>
        <w:t>,</w:t>
      </w:r>
      <w:r w:rsidR="00E851EC" w:rsidRPr="00D84FA8">
        <w:rPr>
          <w:rFonts w:ascii="Arial" w:hAnsi="Arial" w:cs="Arial"/>
          <w:sz w:val="24"/>
          <w:szCs w:val="24"/>
        </w:rPr>
        <w:t xml:space="preserve"> and what terms would apply.</w:t>
      </w:r>
      <w:r w:rsidR="00AD563D" w:rsidRPr="00D84FA8">
        <w:rPr>
          <w:rFonts w:ascii="Arial" w:hAnsi="Arial" w:cs="Arial"/>
          <w:sz w:val="24"/>
          <w:szCs w:val="24"/>
        </w:rPr>
        <w:t xml:space="preserve"> The first respondent did not respond. Mr van der Lingen assumed that she would revert in the new year.</w:t>
      </w:r>
    </w:p>
    <w:p w14:paraId="68C7C3AF" w14:textId="77777777" w:rsidR="008C4ACA" w:rsidRPr="008C4ACA" w:rsidRDefault="008C4ACA" w:rsidP="008C4ACA">
      <w:pPr>
        <w:pStyle w:val="ListParagraph"/>
        <w:rPr>
          <w:rFonts w:ascii="Arial" w:hAnsi="Arial" w:cs="Arial"/>
          <w:sz w:val="24"/>
          <w:szCs w:val="24"/>
        </w:rPr>
      </w:pPr>
    </w:p>
    <w:p w14:paraId="701014FD" w14:textId="0C3F4F10"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D563D" w:rsidRPr="00D84FA8">
        <w:rPr>
          <w:rFonts w:ascii="Arial" w:hAnsi="Arial" w:cs="Arial"/>
          <w:sz w:val="24"/>
          <w:szCs w:val="24"/>
        </w:rPr>
        <w:t>On 3 February 2023, the first respondent’s personal assistant</w:t>
      </w:r>
      <w:r w:rsidR="009D43A1" w:rsidRPr="00D84FA8">
        <w:rPr>
          <w:rFonts w:ascii="Arial" w:hAnsi="Arial" w:cs="Arial"/>
          <w:sz w:val="24"/>
          <w:szCs w:val="24"/>
        </w:rPr>
        <w:t>, Ms Carina Jordaan,</w:t>
      </w:r>
      <w:r w:rsidR="00AD563D" w:rsidRPr="00D84FA8">
        <w:rPr>
          <w:rFonts w:ascii="Arial" w:hAnsi="Arial" w:cs="Arial"/>
          <w:sz w:val="24"/>
          <w:szCs w:val="24"/>
        </w:rPr>
        <w:t xml:space="preserve"> </w:t>
      </w:r>
      <w:r w:rsidR="009D43A1" w:rsidRPr="00D84FA8">
        <w:rPr>
          <w:rFonts w:ascii="Arial" w:hAnsi="Arial" w:cs="Arial"/>
          <w:sz w:val="24"/>
          <w:szCs w:val="24"/>
        </w:rPr>
        <w:t xml:space="preserve">informed various parties about the administration of the estate and the marketing of the </w:t>
      </w:r>
      <w:r w:rsidR="009D43A1" w:rsidRPr="00D84FA8">
        <w:rPr>
          <w:rFonts w:ascii="Arial" w:hAnsi="Arial" w:cs="Arial"/>
          <w:sz w:val="24"/>
          <w:szCs w:val="24"/>
        </w:rPr>
        <w:lastRenderedPageBreak/>
        <w:t xml:space="preserve">land. She indicated that Leeuwkop had been sold to the sixth respondent </w:t>
      </w:r>
      <w:r w:rsidR="009A2058" w:rsidRPr="00D84FA8">
        <w:rPr>
          <w:rFonts w:ascii="Arial" w:hAnsi="Arial" w:cs="Arial"/>
          <w:sz w:val="24"/>
          <w:szCs w:val="24"/>
        </w:rPr>
        <w:t xml:space="preserve">with the consent of the fifth respondent and the heirs </w:t>
      </w:r>
      <w:r w:rsidR="009D43A1" w:rsidRPr="00D84FA8">
        <w:rPr>
          <w:rFonts w:ascii="Arial" w:hAnsi="Arial" w:cs="Arial"/>
          <w:sz w:val="24"/>
          <w:szCs w:val="24"/>
        </w:rPr>
        <w:t>for R 9,300,000. The Winterhoek farms had been sold to the sixth respondent</w:t>
      </w:r>
      <w:r w:rsidR="009A2058" w:rsidRPr="00D84FA8">
        <w:rPr>
          <w:rFonts w:ascii="Arial" w:hAnsi="Arial" w:cs="Arial"/>
          <w:sz w:val="24"/>
          <w:szCs w:val="24"/>
        </w:rPr>
        <w:t xml:space="preserve"> with the consent of the heirs</w:t>
      </w:r>
      <w:r w:rsidR="009D43A1" w:rsidRPr="00D84FA8">
        <w:rPr>
          <w:rFonts w:ascii="Arial" w:hAnsi="Arial" w:cs="Arial"/>
          <w:sz w:val="24"/>
          <w:szCs w:val="24"/>
        </w:rPr>
        <w:t>, too, for R 10,700,000</w:t>
      </w:r>
      <w:r w:rsidR="009A2058" w:rsidRPr="00D84FA8">
        <w:rPr>
          <w:rFonts w:ascii="Arial" w:hAnsi="Arial" w:cs="Arial"/>
          <w:sz w:val="24"/>
          <w:szCs w:val="24"/>
        </w:rPr>
        <w:t xml:space="preserve">; admittedly </w:t>
      </w:r>
      <w:r w:rsidR="009D43A1" w:rsidRPr="00D84FA8">
        <w:rPr>
          <w:rFonts w:ascii="Arial" w:hAnsi="Arial" w:cs="Arial"/>
          <w:sz w:val="24"/>
          <w:szCs w:val="24"/>
        </w:rPr>
        <w:t>the fifth respondent’s consent remained outstanding.</w:t>
      </w:r>
      <w:r w:rsidR="009A2058" w:rsidRPr="00D84FA8">
        <w:rPr>
          <w:rFonts w:ascii="Arial" w:hAnsi="Arial" w:cs="Arial"/>
          <w:sz w:val="24"/>
          <w:szCs w:val="24"/>
        </w:rPr>
        <w:t xml:space="preserve"> </w:t>
      </w:r>
      <w:r w:rsidR="00034897" w:rsidRPr="00D84FA8">
        <w:rPr>
          <w:rFonts w:ascii="Arial" w:hAnsi="Arial" w:cs="Arial"/>
          <w:sz w:val="24"/>
          <w:szCs w:val="24"/>
        </w:rPr>
        <w:t>Further offers had been received for the Winterhoek farms, pending receipt of the outstanding consent</w:t>
      </w:r>
      <w:r w:rsidR="009A2058" w:rsidRPr="00D84FA8">
        <w:rPr>
          <w:rFonts w:ascii="Arial" w:hAnsi="Arial" w:cs="Arial"/>
          <w:sz w:val="24"/>
          <w:szCs w:val="24"/>
        </w:rPr>
        <w:t xml:space="preserve">. These </w:t>
      </w:r>
      <w:r w:rsidR="00034897" w:rsidRPr="00D84FA8">
        <w:rPr>
          <w:rFonts w:ascii="Arial" w:hAnsi="Arial" w:cs="Arial"/>
          <w:sz w:val="24"/>
          <w:szCs w:val="24"/>
        </w:rPr>
        <w:t>had prompted the sixth respondent to increase his original offer to R 13,000,000.</w:t>
      </w:r>
      <w:r w:rsidR="007A39FF" w:rsidRPr="00D84FA8">
        <w:rPr>
          <w:rFonts w:ascii="Arial" w:hAnsi="Arial" w:cs="Arial"/>
          <w:sz w:val="24"/>
          <w:szCs w:val="24"/>
        </w:rPr>
        <w:t xml:space="preserve"> Ms Jordaan </w:t>
      </w:r>
      <w:r w:rsidR="00455407" w:rsidRPr="00D84FA8">
        <w:rPr>
          <w:rFonts w:ascii="Arial" w:hAnsi="Arial" w:cs="Arial"/>
          <w:sz w:val="24"/>
          <w:szCs w:val="24"/>
        </w:rPr>
        <w:t>stat</w:t>
      </w:r>
      <w:r w:rsidR="007A39FF" w:rsidRPr="00D84FA8">
        <w:rPr>
          <w:rFonts w:ascii="Arial" w:hAnsi="Arial" w:cs="Arial"/>
          <w:sz w:val="24"/>
          <w:szCs w:val="24"/>
        </w:rPr>
        <w:t>ed the first respondent’s intention to proceed with the sale in terms of the sixth respondent’s offer but requested comment</w:t>
      </w:r>
      <w:r w:rsidR="00455407" w:rsidRPr="00D84FA8">
        <w:rPr>
          <w:rFonts w:ascii="Arial" w:hAnsi="Arial" w:cs="Arial"/>
          <w:sz w:val="24"/>
          <w:szCs w:val="24"/>
        </w:rPr>
        <w:t xml:space="preserve"> from the various parties to whom her correspondence had been addressed. </w:t>
      </w:r>
    </w:p>
    <w:p w14:paraId="34023455" w14:textId="77777777" w:rsidR="008C4ACA" w:rsidRPr="008C4ACA" w:rsidRDefault="008C4ACA" w:rsidP="008C4ACA">
      <w:pPr>
        <w:pStyle w:val="ListParagraph"/>
        <w:rPr>
          <w:rFonts w:ascii="Arial" w:hAnsi="Arial" w:cs="Arial"/>
          <w:sz w:val="24"/>
          <w:szCs w:val="24"/>
        </w:rPr>
      </w:pPr>
    </w:p>
    <w:p w14:paraId="1822EBC1" w14:textId="3C046E4D" w:rsidR="00455407" w:rsidRPr="00D84FA8" w:rsidRDefault="00D84FA8" w:rsidP="00D84FA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55407" w:rsidRPr="00D84FA8">
        <w:rPr>
          <w:rFonts w:ascii="Arial" w:hAnsi="Arial" w:cs="Arial"/>
          <w:sz w:val="24"/>
          <w:szCs w:val="24"/>
        </w:rPr>
        <w:t>Consequently, Mr van der Lingen wrote to the first respondent on 6 February 2023. He expressed the applicants’ concern about the lack of a transparent process in obtaining the best possible market price for the land</w:t>
      </w:r>
      <w:r w:rsidR="009659AB" w:rsidRPr="00D84FA8">
        <w:rPr>
          <w:rFonts w:ascii="Arial" w:hAnsi="Arial" w:cs="Arial"/>
          <w:sz w:val="24"/>
          <w:szCs w:val="24"/>
        </w:rPr>
        <w:t xml:space="preserve"> and </w:t>
      </w:r>
      <w:r w:rsidR="00455407" w:rsidRPr="00D84FA8">
        <w:rPr>
          <w:rFonts w:ascii="Arial" w:hAnsi="Arial" w:cs="Arial"/>
          <w:sz w:val="24"/>
          <w:szCs w:val="24"/>
        </w:rPr>
        <w:t xml:space="preserve">referred to his earlier </w:t>
      </w:r>
      <w:r w:rsidR="009659AB" w:rsidRPr="00D84FA8">
        <w:rPr>
          <w:rFonts w:ascii="Arial" w:hAnsi="Arial" w:cs="Arial"/>
          <w:sz w:val="24"/>
          <w:szCs w:val="24"/>
        </w:rPr>
        <w:t xml:space="preserve">unanswered </w:t>
      </w:r>
      <w:r w:rsidR="00455407" w:rsidRPr="00D84FA8">
        <w:rPr>
          <w:rFonts w:ascii="Arial" w:hAnsi="Arial" w:cs="Arial"/>
          <w:sz w:val="24"/>
          <w:szCs w:val="24"/>
        </w:rPr>
        <w:t>request for details of the first respondent’s marketing plan.</w:t>
      </w:r>
      <w:r w:rsidR="00887719" w:rsidRPr="00D84FA8">
        <w:rPr>
          <w:rFonts w:ascii="Arial" w:hAnsi="Arial" w:cs="Arial"/>
          <w:sz w:val="24"/>
          <w:szCs w:val="24"/>
        </w:rPr>
        <w:t xml:space="preserve"> </w:t>
      </w:r>
      <w:r w:rsidR="009659AB" w:rsidRPr="00D84FA8">
        <w:rPr>
          <w:rFonts w:ascii="Arial" w:hAnsi="Arial" w:cs="Arial"/>
          <w:sz w:val="24"/>
          <w:szCs w:val="24"/>
        </w:rPr>
        <w:t>Mr van der Lingen</w:t>
      </w:r>
      <w:r w:rsidR="00887719" w:rsidRPr="00D84FA8">
        <w:rPr>
          <w:rFonts w:ascii="Arial" w:hAnsi="Arial" w:cs="Arial"/>
          <w:sz w:val="24"/>
          <w:szCs w:val="24"/>
        </w:rPr>
        <w:t xml:space="preserve"> conveyed, too, his opinion that the consent of the fifth respondent would need to be obtained afresh, together with the consent of all the parties to the settlement agreement by reason of their interest in the sale. </w:t>
      </w:r>
      <w:r w:rsidR="009659AB" w:rsidRPr="00D84FA8">
        <w:rPr>
          <w:rFonts w:ascii="Arial" w:hAnsi="Arial" w:cs="Arial"/>
          <w:sz w:val="24"/>
          <w:szCs w:val="24"/>
        </w:rPr>
        <w:t xml:space="preserve">Of immediate importance to the present matter was Mr van der Lingen’s threat to institute legal proceedings if the first respondent did not provide an undertaking to </w:t>
      </w:r>
      <w:r w:rsidR="006045F8" w:rsidRPr="00D84FA8">
        <w:rPr>
          <w:rFonts w:ascii="Arial" w:hAnsi="Arial" w:cs="Arial"/>
          <w:sz w:val="24"/>
          <w:szCs w:val="24"/>
        </w:rPr>
        <w:t>halt the process until the applicants’ concerns had been addressed</w:t>
      </w:r>
      <w:r w:rsidR="009659AB" w:rsidRPr="00D84FA8">
        <w:rPr>
          <w:rFonts w:ascii="Arial" w:hAnsi="Arial" w:cs="Arial"/>
          <w:sz w:val="24"/>
          <w:szCs w:val="24"/>
        </w:rPr>
        <w:t>. The relevant portion of his correspondence reads as follows:</w:t>
      </w:r>
    </w:p>
    <w:p w14:paraId="72225472" w14:textId="77777777" w:rsidR="00355C97" w:rsidRPr="00355C97" w:rsidRDefault="00355C97" w:rsidP="00355C97">
      <w:pPr>
        <w:pStyle w:val="ListParagraph"/>
        <w:rPr>
          <w:rFonts w:ascii="Arial" w:hAnsi="Arial" w:cs="Arial"/>
          <w:sz w:val="24"/>
          <w:szCs w:val="24"/>
        </w:rPr>
      </w:pPr>
    </w:p>
    <w:p w14:paraId="47B2F8DB" w14:textId="48E49FF9" w:rsidR="009659AB" w:rsidRPr="004C1291" w:rsidRDefault="009659AB" w:rsidP="008C4ACA">
      <w:pPr>
        <w:spacing w:line="360" w:lineRule="auto"/>
        <w:ind w:left="720"/>
        <w:jc w:val="both"/>
        <w:rPr>
          <w:rFonts w:ascii="Arial" w:hAnsi="Arial" w:cs="Arial"/>
          <w:sz w:val="20"/>
          <w:szCs w:val="20"/>
        </w:rPr>
      </w:pPr>
      <w:r w:rsidRPr="004C1291">
        <w:rPr>
          <w:rFonts w:ascii="Arial" w:hAnsi="Arial" w:cs="Arial"/>
          <w:sz w:val="20"/>
          <w:szCs w:val="20"/>
        </w:rPr>
        <w:t xml:space="preserve">‘I urge your undertaking not to proceed with the transfer </w:t>
      </w:r>
      <w:r w:rsidR="0074244C" w:rsidRPr="004C1291">
        <w:rPr>
          <w:rFonts w:ascii="Arial" w:hAnsi="Arial" w:cs="Arial"/>
          <w:sz w:val="20"/>
          <w:szCs w:val="20"/>
        </w:rPr>
        <w:t>or acceptance of any purchase agreements or registration of transfer before</w:t>
      </w:r>
      <w:r w:rsidR="006045F8" w:rsidRPr="004C1291">
        <w:rPr>
          <w:rFonts w:ascii="Arial" w:hAnsi="Arial" w:cs="Arial"/>
          <w:sz w:val="20"/>
          <w:szCs w:val="20"/>
        </w:rPr>
        <w:t xml:space="preserve"> the questions highlighted above have been addressed. I require this undertaking within 48 hours failing which my clients will consider the bringing of the necessary interdict application to stop you, pending the outcome of </w:t>
      </w:r>
      <w:r w:rsidR="004C1291" w:rsidRPr="004C1291">
        <w:rPr>
          <w:rFonts w:ascii="Arial" w:hAnsi="Arial" w:cs="Arial"/>
          <w:sz w:val="20"/>
          <w:szCs w:val="20"/>
        </w:rPr>
        <w:t>a request that the properties are correctly and transparently marketed.’</w:t>
      </w:r>
      <w:r w:rsidR="004C1291" w:rsidRPr="004C1291">
        <w:rPr>
          <w:rStyle w:val="FootnoteReference"/>
          <w:rFonts w:ascii="Arial" w:hAnsi="Arial" w:cs="Arial"/>
          <w:sz w:val="20"/>
          <w:szCs w:val="20"/>
        </w:rPr>
        <w:footnoteReference w:id="2"/>
      </w:r>
    </w:p>
    <w:p w14:paraId="05D9E73B" w14:textId="4F50DDA9" w:rsidR="004C1291" w:rsidRDefault="004C1291" w:rsidP="004C1291">
      <w:pPr>
        <w:spacing w:line="360" w:lineRule="auto"/>
        <w:rPr>
          <w:rFonts w:ascii="Arial" w:hAnsi="Arial" w:cs="Arial"/>
          <w:sz w:val="24"/>
          <w:szCs w:val="24"/>
        </w:rPr>
      </w:pPr>
    </w:p>
    <w:p w14:paraId="21F9AA65" w14:textId="45473A7F" w:rsidR="008C4ACA" w:rsidRPr="00D84FA8" w:rsidRDefault="00D84FA8" w:rsidP="00D84FA8">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4C1291" w:rsidRPr="00D84FA8">
        <w:rPr>
          <w:rFonts w:ascii="Arial" w:hAnsi="Arial" w:cs="Arial"/>
          <w:sz w:val="24"/>
          <w:szCs w:val="24"/>
        </w:rPr>
        <w:t xml:space="preserve">The first respondent provided no response, much to the irritation and puzzlement of the applicants. </w:t>
      </w:r>
    </w:p>
    <w:p w14:paraId="6FE90856" w14:textId="77777777" w:rsidR="008C4ACA" w:rsidRDefault="008C4ACA" w:rsidP="008C4ACA">
      <w:pPr>
        <w:pStyle w:val="ListParagraph"/>
        <w:spacing w:line="360" w:lineRule="auto"/>
        <w:ind w:left="0"/>
        <w:jc w:val="both"/>
        <w:rPr>
          <w:rFonts w:ascii="Arial" w:hAnsi="Arial" w:cs="Arial"/>
          <w:sz w:val="24"/>
          <w:szCs w:val="24"/>
        </w:rPr>
      </w:pPr>
    </w:p>
    <w:p w14:paraId="35641867" w14:textId="72F0910C"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C1291" w:rsidRPr="00D84FA8">
        <w:rPr>
          <w:rFonts w:ascii="Arial" w:hAnsi="Arial" w:cs="Arial"/>
          <w:sz w:val="24"/>
          <w:szCs w:val="24"/>
        </w:rPr>
        <w:t xml:space="preserve">Dealing with the question of urgency, the applicants argue that the first respondent has simply ignored Mr van der Lingen’s correspondence. They assert that she has elected not to divulge the details of any </w:t>
      </w:r>
      <w:r w:rsidR="00437C8C" w:rsidRPr="00D84FA8">
        <w:rPr>
          <w:rFonts w:ascii="Arial" w:hAnsi="Arial" w:cs="Arial"/>
          <w:sz w:val="24"/>
          <w:szCs w:val="24"/>
        </w:rPr>
        <w:t>marketing plan and has decided merely to proceed with the sale of the significantly undervalued land.</w:t>
      </w:r>
      <w:r w:rsidR="004C1291" w:rsidRPr="00D84FA8">
        <w:rPr>
          <w:rFonts w:ascii="Arial" w:hAnsi="Arial" w:cs="Arial"/>
          <w:sz w:val="24"/>
          <w:szCs w:val="24"/>
        </w:rPr>
        <w:t xml:space="preserve"> </w:t>
      </w:r>
    </w:p>
    <w:p w14:paraId="50699CFD" w14:textId="77777777" w:rsidR="008C4ACA" w:rsidRPr="008C4ACA" w:rsidRDefault="008C4ACA" w:rsidP="008C4ACA">
      <w:pPr>
        <w:pStyle w:val="ListParagraph"/>
        <w:rPr>
          <w:rFonts w:ascii="Arial" w:hAnsi="Arial" w:cs="Arial"/>
          <w:sz w:val="24"/>
          <w:szCs w:val="24"/>
        </w:rPr>
      </w:pPr>
    </w:p>
    <w:p w14:paraId="4519F995" w14:textId="1088AE49" w:rsidR="008C4ACA" w:rsidRPr="008C4ACA" w:rsidRDefault="00437C8C" w:rsidP="008C4ACA">
      <w:pPr>
        <w:pStyle w:val="ListParagraph"/>
        <w:spacing w:line="360" w:lineRule="auto"/>
        <w:ind w:left="0"/>
        <w:jc w:val="both"/>
        <w:rPr>
          <w:rFonts w:ascii="Arial" w:hAnsi="Arial" w:cs="Arial"/>
          <w:sz w:val="24"/>
          <w:szCs w:val="24"/>
        </w:rPr>
      </w:pPr>
      <w:r w:rsidRPr="008C4ACA">
        <w:rPr>
          <w:rFonts w:ascii="Arial" w:hAnsi="Arial" w:cs="Arial"/>
          <w:b/>
          <w:bCs/>
          <w:sz w:val="24"/>
          <w:szCs w:val="24"/>
        </w:rPr>
        <w:t>Respondents’ case</w:t>
      </w:r>
    </w:p>
    <w:p w14:paraId="6692E23C" w14:textId="77777777" w:rsidR="008C4ACA" w:rsidRDefault="008C4ACA" w:rsidP="008C4ACA">
      <w:pPr>
        <w:pStyle w:val="ListParagraph"/>
        <w:spacing w:line="360" w:lineRule="auto"/>
        <w:ind w:left="0"/>
        <w:jc w:val="both"/>
        <w:rPr>
          <w:rFonts w:ascii="Arial" w:hAnsi="Arial" w:cs="Arial"/>
          <w:sz w:val="24"/>
          <w:szCs w:val="24"/>
        </w:rPr>
      </w:pPr>
    </w:p>
    <w:p w14:paraId="6210CD7E" w14:textId="14253D5B" w:rsidR="008C4ACA" w:rsidRPr="00D84FA8" w:rsidRDefault="00D84FA8" w:rsidP="00D84FA8">
      <w:pPr>
        <w:spacing w:line="360" w:lineRule="auto"/>
        <w:jc w:val="both"/>
        <w:rPr>
          <w:rFonts w:ascii="Arial" w:hAnsi="Arial" w:cs="Arial"/>
          <w:sz w:val="24"/>
          <w:szCs w:val="24"/>
        </w:rPr>
      </w:pPr>
      <w:r w:rsidRPr="008C4ACA">
        <w:rPr>
          <w:rFonts w:ascii="Arial" w:hAnsi="Arial" w:cs="Arial"/>
          <w:sz w:val="24"/>
          <w:szCs w:val="24"/>
        </w:rPr>
        <w:t>[12]</w:t>
      </w:r>
      <w:r w:rsidRPr="008C4ACA">
        <w:rPr>
          <w:rFonts w:ascii="Arial" w:hAnsi="Arial" w:cs="Arial"/>
          <w:sz w:val="24"/>
          <w:szCs w:val="24"/>
        </w:rPr>
        <w:tab/>
      </w:r>
      <w:r w:rsidR="00437C8C" w:rsidRPr="00D84FA8">
        <w:rPr>
          <w:rFonts w:ascii="Arial" w:hAnsi="Arial" w:cs="Arial"/>
          <w:sz w:val="24"/>
          <w:szCs w:val="24"/>
        </w:rPr>
        <w:t>The first respondent</w:t>
      </w:r>
      <w:r w:rsidR="007F78D4" w:rsidRPr="00D84FA8">
        <w:rPr>
          <w:rFonts w:ascii="Arial" w:hAnsi="Arial" w:cs="Arial"/>
          <w:sz w:val="24"/>
          <w:szCs w:val="24"/>
        </w:rPr>
        <w:t xml:space="preserve"> refers, in her answering affidavit, to Mrs van der Merwe’s last will, to which she attested on 9 May 2015. In terms thereof, she nominated the first respondent as executrix and directed that the </w:t>
      </w:r>
      <w:r w:rsidR="00755D8A" w:rsidRPr="00D84FA8">
        <w:rPr>
          <w:rFonts w:ascii="Arial" w:hAnsi="Arial" w:cs="Arial"/>
          <w:sz w:val="24"/>
          <w:szCs w:val="24"/>
        </w:rPr>
        <w:t>asset</w:t>
      </w:r>
      <w:r w:rsidR="007F78D4" w:rsidRPr="00D84FA8">
        <w:rPr>
          <w:rFonts w:ascii="Arial" w:hAnsi="Arial" w:cs="Arial"/>
          <w:sz w:val="24"/>
          <w:szCs w:val="24"/>
        </w:rPr>
        <w:t xml:space="preserve">s </w:t>
      </w:r>
      <w:r w:rsidR="00AE75A7" w:rsidRPr="00D84FA8">
        <w:rPr>
          <w:rFonts w:ascii="Arial" w:hAnsi="Arial" w:cs="Arial"/>
          <w:sz w:val="24"/>
          <w:szCs w:val="24"/>
        </w:rPr>
        <w:t>of</w:t>
      </w:r>
      <w:r w:rsidR="007F78D4" w:rsidRPr="00D84FA8">
        <w:rPr>
          <w:rFonts w:ascii="Arial" w:hAnsi="Arial" w:cs="Arial"/>
          <w:sz w:val="24"/>
          <w:szCs w:val="24"/>
        </w:rPr>
        <w:t xml:space="preserve"> the estate be sold and that the proceeds be distributed equally amongst her four remaining children, viz. </w:t>
      </w:r>
      <w:r w:rsidR="00AE75A7" w:rsidRPr="00D84FA8">
        <w:rPr>
          <w:rFonts w:ascii="Arial" w:hAnsi="Arial" w:cs="Arial"/>
          <w:sz w:val="24"/>
          <w:szCs w:val="24"/>
        </w:rPr>
        <w:t xml:space="preserve">Mr </w:t>
      </w:r>
      <w:r w:rsidR="007F78D4" w:rsidRPr="00D84FA8">
        <w:rPr>
          <w:rFonts w:ascii="Arial" w:hAnsi="Arial" w:cs="Arial"/>
          <w:sz w:val="24"/>
          <w:szCs w:val="24"/>
        </w:rPr>
        <w:t>Chris van der Merwe, and the second, third, and fourth respondents.</w:t>
      </w:r>
      <w:r w:rsidR="002C29C0">
        <w:rPr>
          <w:rStyle w:val="FootnoteReference"/>
          <w:rFonts w:ascii="Arial" w:hAnsi="Arial" w:cs="Arial"/>
          <w:sz w:val="24"/>
          <w:szCs w:val="24"/>
        </w:rPr>
        <w:footnoteReference w:id="3"/>
      </w:r>
      <w:r w:rsidR="007F78D4" w:rsidRPr="00D84FA8">
        <w:rPr>
          <w:rFonts w:ascii="Arial" w:hAnsi="Arial" w:cs="Arial"/>
          <w:sz w:val="24"/>
          <w:szCs w:val="24"/>
        </w:rPr>
        <w:t xml:space="preserve"> </w:t>
      </w:r>
      <w:r w:rsidR="00755D8A" w:rsidRPr="00D84FA8">
        <w:rPr>
          <w:rFonts w:ascii="Arial" w:hAnsi="Arial" w:cs="Arial"/>
          <w:sz w:val="24"/>
          <w:szCs w:val="24"/>
        </w:rPr>
        <w:t>The last will of Mrs van der Merwe, alleges the first respondent, was accepted by the fifth respondent. It has not been set aside.</w:t>
      </w:r>
    </w:p>
    <w:p w14:paraId="0A07A262" w14:textId="77777777" w:rsidR="008C4ACA" w:rsidRDefault="008C4ACA" w:rsidP="008C4ACA">
      <w:pPr>
        <w:pStyle w:val="ListParagraph"/>
        <w:spacing w:line="360" w:lineRule="auto"/>
        <w:ind w:left="0"/>
        <w:jc w:val="both"/>
        <w:rPr>
          <w:rFonts w:ascii="Arial" w:hAnsi="Arial" w:cs="Arial"/>
          <w:sz w:val="24"/>
          <w:szCs w:val="24"/>
        </w:rPr>
      </w:pPr>
    </w:p>
    <w:p w14:paraId="343FB401" w14:textId="1DFAA676"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9276F" w:rsidRPr="00D84FA8">
        <w:rPr>
          <w:rFonts w:ascii="Arial" w:hAnsi="Arial" w:cs="Arial"/>
          <w:sz w:val="24"/>
          <w:szCs w:val="24"/>
        </w:rPr>
        <w:t xml:space="preserve">Subsequent to Mrs van der Merwe’s passing, the first and sixth respondents entered into negotiations about the possible purchase of the land. On 15 August 2019, however, Mr van der Lingen </w:t>
      </w:r>
      <w:r w:rsidR="000C3A29" w:rsidRPr="00D84FA8">
        <w:rPr>
          <w:rFonts w:ascii="Arial" w:hAnsi="Arial" w:cs="Arial"/>
          <w:sz w:val="24"/>
          <w:szCs w:val="24"/>
        </w:rPr>
        <w:t>challenged the validity of the last will and requested an undertaking that the sale of the land would not proceed, failing which the applicants would apply for an interdict. The deeds of sale were signed on</w:t>
      </w:r>
      <w:r w:rsidR="0008530E" w:rsidRPr="00D84FA8">
        <w:rPr>
          <w:rFonts w:ascii="Arial" w:hAnsi="Arial" w:cs="Arial"/>
          <w:sz w:val="24"/>
          <w:szCs w:val="24"/>
        </w:rPr>
        <w:t xml:space="preserve"> the following day,</w:t>
      </w:r>
      <w:r w:rsidR="000C3A29" w:rsidRPr="00D84FA8">
        <w:rPr>
          <w:rFonts w:ascii="Arial" w:hAnsi="Arial" w:cs="Arial"/>
          <w:sz w:val="24"/>
          <w:szCs w:val="24"/>
        </w:rPr>
        <w:t xml:space="preserve"> 16 August 2019. The first respondent </w:t>
      </w:r>
      <w:r w:rsidR="0008530E" w:rsidRPr="00D84FA8">
        <w:rPr>
          <w:rFonts w:ascii="Arial" w:hAnsi="Arial" w:cs="Arial"/>
          <w:sz w:val="24"/>
          <w:szCs w:val="24"/>
        </w:rPr>
        <w:t xml:space="preserve">subsequently </w:t>
      </w:r>
      <w:r w:rsidR="000C3A29" w:rsidRPr="00D84FA8">
        <w:rPr>
          <w:rFonts w:ascii="Arial" w:hAnsi="Arial" w:cs="Arial"/>
          <w:sz w:val="24"/>
          <w:szCs w:val="24"/>
        </w:rPr>
        <w:t>wrote to Mr van der Lingen on 27 August 2019, defending the authenticity of Mrs van der Merwe’s last will</w:t>
      </w:r>
      <w:r w:rsidR="004A1388" w:rsidRPr="00D84FA8">
        <w:rPr>
          <w:rFonts w:ascii="Arial" w:hAnsi="Arial" w:cs="Arial"/>
          <w:sz w:val="24"/>
          <w:szCs w:val="24"/>
        </w:rPr>
        <w:t xml:space="preserve"> and </w:t>
      </w:r>
      <w:r w:rsidR="000C3A29" w:rsidRPr="00D84FA8">
        <w:rPr>
          <w:rFonts w:ascii="Arial" w:hAnsi="Arial" w:cs="Arial"/>
          <w:sz w:val="24"/>
          <w:szCs w:val="24"/>
        </w:rPr>
        <w:t>indicat</w:t>
      </w:r>
      <w:r w:rsidR="004A1388" w:rsidRPr="00D84FA8">
        <w:rPr>
          <w:rFonts w:ascii="Arial" w:hAnsi="Arial" w:cs="Arial"/>
          <w:sz w:val="24"/>
          <w:szCs w:val="24"/>
        </w:rPr>
        <w:t>ing</w:t>
      </w:r>
      <w:r w:rsidR="000C3A29" w:rsidRPr="00D84FA8">
        <w:rPr>
          <w:rFonts w:ascii="Arial" w:hAnsi="Arial" w:cs="Arial"/>
          <w:sz w:val="24"/>
          <w:szCs w:val="24"/>
        </w:rPr>
        <w:t xml:space="preserve"> that the deeds of sale had already been signed</w:t>
      </w:r>
      <w:r w:rsidR="004A1388" w:rsidRPr="00D84FA8">
        <w:rPr>
          <w:rFonts w:ascii="Arial" w:hAnsi="Arial" w:cs="Arial"/>
          <w:sz w:val="24"/>
          <w:szCs w:val="24"/>
        </w:rPr>
        <w:t xml:space="preserve">. </w:t>
      </w:r>
      <w:r w:rsidR="00CF4BB8" w:rsidRPr="00D84FA8">
        <w:rPr>
          <w:rFonts w:ascii="Arial" w:hAnsi="Arial" w:cs="Arial"/>
          <w:sz w:val="24"/>
          <w:szCs w:val="24"/>
        </w:rPr>
        <w:t>She</w:t>
      </w:r>
      <w:r w:rsidR="0096259E" w:rsidRPr="00D84FA8">
        <w:rPr>
          <w:rFonts w:ascii="Arial" w:hAnsi="Arial" w:cs="Arial"/>
          <w:sz w:val="24"/>
          <w:szCs w:val="24"/>
        </w:rPr>
        <w:t xml:space="preserve"> </w:t>
      </w:r>
      <w:r w:rsidR="000C3A29" w:rsidRPr="00D84FA8">
        <w:rPr>
          <w:rFonts w:ascii="Arial" w:hAnsi="Arial" w:cs="Arial"/>
          <w:sz w:val="24"/>
          <w:szCs w:val="24"/>
        </w:rPr>
        <w:t>undertook</w:t>
      </w:r>
      <w:r w:rsidR="00CF4BB8" w:rsidRPr="00D84FA8">
        <w:rPr>
          <w:rFonts w:ascii="Arial" w:hAnsi="Arial" w:cs="Arial"/>
          <w:sz w:val="24"/>
          <w:szCs w:val="24"/>
        </w:rPr>
        <w:t>, however,</w:t>
      </w:r>
      <w:r w:rsidR="0096259E" w:rsidRPr="00D84FA8">
        <w:rPr>
          <w:rFonts w:ascii="Arial" w:hAnsi="Arial" w:cs="Arial"/>
          <w:sz w:val="24"/>
          <w:szCs w:val="24"/>
        </w:rPr>
        <w:t xml:space="preserve"> </w:t>
      </w:r>
      <w:r w:rsidR="000C3A29" w:rsidRPr="00D84FA8">
        <w:rPr>
          <w:rFonts w:ascii="Arial" w:hAnsi="Arial" w:cs="Arial"/>
          <w:sz w:val="24"/>
          <w:szCs w:val="24"/>
        </w:rPr>
        <w:t xml:space="preserve">to proceed </w:t>
      </w:r>
      <w:r w:rsidR="004A1388" w:rsidRPr="00D84FA8">
        <w:rPr>
          <w:rFonts w:ascii="Arial" w:hAnsi="Arial" w:cs="Arial"/>
          <w:sz w:val="24"/>
          <w:szCs w:val="24"/>
        </w:rPr>
        <w:t xml:space="preserve">no </w:t>
      </w:r>
      <w:r w:rsidR="000C3A29" w:rsidRPr="00D84FA8">
        <w:rPr>
          <w:rFonts w:ascii="Arial" w:hAnsi="Arial" w:cs="Arial"/>
          <w:sz w:val="24"/>
          <w:szCs w:val="24"/>
        </w:rPr>
        <w:t xml:space="preserve">further until 13 September 2019, pending the applicants’ institution of legal proceedings. These did not </w:t>
      </w:r>
      <w:r w:rsidR="000C3A29" w:rsidRPr="00D84FA8">
        <w:rPr>
          <w:rFonts w:ascii="Arial" w:hAnsi="Arial" w:cs="Arial"/>
          <w:sz w:val="24"/>
          <w:szCs w:val="24"/>
        </w:rPr>
        <w:lastRenderedPageBreak/>
        <w:t xml:space="preserve">materialise. Consequently, the first respondent obtained the requisite consent from the heirs and </w:t>
      </w:r>
      <w:r w:rsidR="004A1388" w:rsidRPr="00D84FA8">
        <w:rPr>
          <w:rFonts w:ascii="Arial" w:hAnsi="Arial" w:cs="Arial"/>
          <w:sz w:val="24"/>
          <w:szCs w:val="24"/>
        </w:rPr>
        <w:t xml:space="preserve">sought the approval of </w:t>
      </w:r>
      <w:r w:rsidR="000C3A29" w:rsidRPr="00D84FA8">
        <w:rPr>
          <w:rFonts w:ascii="Arial" w:hAnsi="Arial" w:cs="Arial"/>
          <w:sz w:val="24"/>
          <w:szCs w:val="24"/>
        </w:rPr>
        <w:t>the fifth respondent</w:t>
      </w:r>
      <w:r w:rsidR="004A1388" w:rsidRPr="00D84FA8">
        <w:rPr>
          <w:rFonts w:ascii="Arial" w:hAnsi="Arial" w:cs="Arial"/>
          <w:sz w:val="24"/>
          <w:szCs w:val="24"/>
        </w:rPr>
        <w:t xml:space="preserve">. The latter endorsed the sale of Leeuwkop but stipulated further requirements before the sale of the Winterhoek farms could be approved. </w:t>
      </w:r>
    </w:p>
    <w:p w14:paraId="0AE94722" w14:textId="77777777" w:rsidR="008C4ACA" w:rsidRPr="008C4ACA" w:rsidRDefault="008C4ACA" w:rsidP="008C4ACA">
      <w:pPr>
        <w:pStyle w:val="ListParagraph"/>
        <w:rPr>
          <w:rFonts w:ascii="Arial" w:hAnsi="Arial" w:cs="Arial"/>
          <w:sz w:val="24"/>
          <w:szCs w:val="24"/>
        </w:rPr>
      </w:pPr>
    </w:p>
    <w:p w14:paraId="7B0BF8CC" w14:textId="6DE7F581"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A1388" w:rsidRPr="00D84FA8">
        <w:rPr>
          <w:rFonts w:ascii="Arial" w:hAnsi="Arial" w:cs="Arial"/>
          <w:sz w:val="24"/>
          <w:szCs w:val="24"/>
        </w:rPr>
        <w:t xml:space="preserve">On or about 18 November 2019, the applicants caused summons to be issued in relation to the validity of Mrs van der Merwe’s last will. </w:t>
      </w:r>
      <w:r w:rsidR="00332612" w:rsidRPr="00D84FA8">
        <w:rPr>
          <w:rFonts w:ascii="Arial" w:hAnsi="Arial" w:cs="Arial"/>
          <w:sz w:val="24"/>
          <w:szCs w:val="24"/>
        </w:rPr>
        <w:t>During</w:t>
      </w:r>
      <w:r w:rsidR="004A1388" w:rsidRPr="00D84FA8">
        <w:rPr>
          <w:rFonts w:ascii="Arial" w:hAnsi="Arial" w:cs="Arial"/>
          <w:sz w:val="24"/>
          <w:szCs w:val="24"/>
        </w:rPr>
        <w:t xml:space="preserve"> the proceedings, on 13 May 2021, the first respondent furnished Mr van der Lingen, pursuant to his request, with a complete copy of the files pertaining to the administration of the estate. </w:t>
      </w:r>
      <w:r w:rsidR="00332612" w:rsidRPr="00D84FA8">
        <w:rPr>
          <w:rFonts w:ascii="Arial" w:hAnsi="Arial" w:cs="Arial"/>
          <w:sz w:val="24"/>
          <w:szCs w:val="24"/>
        </w:rPr>
        <w:t>It is common cause that the proceedings culminated in a settlement agreement that was made an order of court on 28 November 2022.</w:t>
      </w:r>
    </w:p>
    <w:p w14:paraId="1554AD03" w14:textId="77777777" w:rsidR="008C4ACA" w:rsidRPr="008C4ACA" w:rsidRDefault="008C4ACA" w:rsidP="008C4ACA">
      <w:pPr>
        <w:pStyle w:val="ListParagraph"/>
        <w:rPr>
          <w:rFonts w:ascii="Arial" w:hAnsi="Arial" w:cs="Arial"/>
          <w:sz w:val="24"/>
          <w:szCs w:val="24"/>
        </w:rPr>
      </w:pPr>
    </w:p>
    <w:p w14:paraId="2FFC736E" w14:textId="3DDBBE38"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A6A96" w:rsidRPr="00D84FA8">
        <w:rPr>
          <w:rFonts w:ascii="Arial" w:hAnsi="Arial" w:cs="Arial"/>
          <w:sz w:val="24"/>
          <w:szCs w:val="24"/>
        </w:rPr>
        <w:t xml:space="preserve">The </w:t>
      </w:r>
      <w:r w:rsidR="00611609" w:rsidRPr="00D84FA8">
        <w:rPr>
          <w:rFonts w:ascii="Arial" w:hAnsi="Arial" w:cs="Arial"/>
          <w:sz w:val="24"/>
          <w:szCs w:val="24"/>
        </w:rPr>
        <w:t>settlement agreement</w:t>
      </w:r>
      <w:r w:rsidR="0048144F" w:rsidRPr="00D84FA8">
        <w:rPr>
          <w:rFonts w:ascii="Arial" w:hAnsi="Arial" w:cs="Arial"/>
          <w:sz w:val="24"/>
          <w:szCs w:val="24"/>
        </w:rPr>
        <w:t xml:space="preserve">, </w:t>
      </w:r>
      <w:r w:rsidR="00A00D81" w:rsidRPr="00D84FA8">
        <w:rPr>
          <w:rFonts w:ascii="Arial" w:hAnsi="Arial" w:cs="Arial"/>
          <w:sz w:val="24"/>
          <w:szCs w:val="24"/>
        </w:rPr>
        <w:t>assert</w:t>
      </w:r>
      <w:r w:rsidR="0048144F" w:rsidRPr="00D84FA8">
        <w:rPr>
          <w:rFonts w:ascii="Arial" w:hAnsi="Arial" w:cs="Arial"/>
          <w:sz w:val="24"/>
          <w:szCs w:val="24"/>
        </w:rPr>
        <w:t xml:space="preserve">s the first respondent, </w:t>
      </w:r>
      <w:r w:rsidR="00611609" w:rsidRPr="00D84FA8">
        <w:rPr>
          <w:rFonts w:ascii="Arial" w:hAnsi="Arial" w:cs="Arial"/>
          <w:sz w:val="24"/>
          <w:szCs w:val="24"/>
        </w:rPr>
        <w:t>d</w:t>
      </w:r>
      <w:r w:rsidR="00A00D81" w:rsidRPr="00D84FA8">
        <w:rPr>
          <w:rFonts w:ascii="Arial" w:hAnsi="Arial" w:cs="Arial"/>
          <w:sz w:val="24"/>
          <w:szCs w:val="24"/>
        </w:rPr>
        <w:t>oes</w:t>
      </w:r>
      <w:r w:rsidR="00611609" w:rsidRPr="00D84FA8">
        <w:rPr>
          <w:rFonts w:ascii="Arial" w:hAnsi="Arial" w:cs="Arial"/>
          <w:sz w:val="24"/>
          <w:szCs w:val="24"/>
        </w:rPr>
        <w:t xml:space="preserve"> not amount to a redistribution agreement. The applicants cannot </w:t>
      </w:r>
      <w:r w:rsidR="0008530E" w:rsidRPr="00D84FA8">
        <w:rPr>
          <w:rFonts w:ascii="Arial" w:hAnsi="Arial" w:cs="Arial"/>
          <w:sz w:val="24"/>
          <w:szCs w:val="24"/>
        </w:rPr>
        <w:t>claim to be</w:t>
      </w:r>
      <w:r w:rsidR="00611609" w:rsidRPr="00D84FA8">
        <w:rPr>
          <w:rFonts w:ascii="Arial" w:hAnsi="Arial" w:cs="Arial"/>
          <w:sz w:val="24"/>
          <w:szCs w:val="24"/>
        </w:rPr>
        <w:t xml:space="preserve"> heirs </w:t>
      </w:r>
      <w:r w:rsidR="0008530E" w:rsidRPr="00D84FA8">
        <w:rPr>
          <w:rFonts w:ascii="Arial" w:hAnsi="Arial" w:cs="Arial"/>
          <w:sz w:val="24"/>
          <w:szCs w:val="24"/>
        </w:rPr>
        <w:t>of</w:t>
      </w:r>
      <w:r w:rsidR="00611609" w:rsidRPr="00D84FA8">
        <w:rPr>
          <w:rFonts w:ascii="Arial" w:hAnsi="Arial" w:cs="Arial"/>
          <w:sz w:val="24"/>
          <w:szCs w:val="24"/>
        </w:rPr>
        <w:t xml:space="preserve"> the estate. In any event, the </w:t>
      </w:r>
      <w:r w:rsidR="002A6A96" w:rsidRPr="00D84FA8">
        <w:rPr>
          <w:rFonts w:ascii="Arial" w:hAnsi="Arial" w:cs="Arial"/>
          <w:sz w:val="24"/>
          <w:szCs w:val="24"/>
        </w:rPr>
        <w:t>sale of the Winterhoek farms cannot proceed without the fifth respondent’s consent</w:t>
      </w:r>
      <w:r w:rsidR="0008530E" w:rsidRPr="00D84FA8">
        <w:rPr>
          <w:rFonts w:ascii="Arial" w:hAnsi="Arial" w:cs="Arial"/>
          <w:sz w:val="24"/>
          <w:szCs w:val="24"/>
        </w:rPr>
        <w:t xml:space="preserve">; </w:t>
      </w:r>
      <w:r w:rsidR="00611609" w:rsidRPr="00D84FA8">
        <w:rPr>
          <w:rFonts w:ascii="Arial" w:hAnsi="Arial" w:cs="Arial"/>
          <w:sz w:val="24"/>
          <w:szCs w:val="24"/>
        </w:rPr>
        <w:t>t</w:t>
      </w:r>
      <w:r w:rsidR="002A6A96" w:rsidRPr="00D84FA8">
        <w:rPr>
          <w:rFonts w:ascii="Arial" w:hAnsi="Arial" w:cs="Arial"/>
          <w:sz w:val="24"/>
          <w:szCs w:val="24"/>
        </w:rPr>
        <w:t xml:space="preserve">he sale of Leeuwenhoek has already been concluded. This was the position at the time of Ms Jordaan’s communication to various parties on 3 February 2023 </w:t>
      </w:r>
      <w:r w:rsidR="00611609" w:rsidRPr="00D84FA8">
        <w:rPr>
          <w:rFonts w:ascii="Arial" w:hAnsi="Arial" w:cs="Arial"/>
          <w:sz w:val="24"/>
          <w:szCs w:val="24"/>
        </w:rPr>
        <w:t xml:space="preserve">and it remains the position. The applicants, contends the first respondent, have been </w:t>
      </w:r>
      <w:r w:rsidR="009B704D" w:rsidRPr="00D84FA8">
        <w:rPr>
          <w:rFonts w:ascii="Arial" w:hAnsi="Arial" w:cs="Arial"/>
          <w:sz w:val="24"/>
          <w:szCs w:val="24"/>
        </w:rPr>
        <w:t>aware</w:t>
      </w:r>
      <w:r w:rsidR="00611609" w:rsidRPr="00D84FA8">
        <w:rPr>
          <w:rFonts w:ascii="Arial" w:hAnsi="Arial" w:cs="Arial"/>
          <w:sz w:val="24"/>
          <w:szCs w:val="24"/>
        </w:rPr>
        <w:t xml:space="preserve"> of this. </w:t>
      </w:r>
    </w:p>
    <w:p w14:paraId="5F969A6D" w14:textId="77777777" w:rsidR="008C4ACA" w:rsidRPr="008C4ACA" w:rsidRDefault="008C4ACA" w:rsidP="008C4ACA">
      <w:pPr>
        <w:pStyle w:val="ListParagraph"/>
        <w:rPr>
          <w:rFonts w:ascii="Arial" w:hAnsi="Arial" w:cs="Arial"/>
          <w:sz w:val="24"/>
          <w:szCs w:val="24"/>
        </w:rPr>
      </w:pPr>
    </w:p>
    <w:p w14:paraId="02E515D6" w14:textId="77777777" w:rsidR="008C4ACA" w:rsidRPr="008C4ACA" w:rsidRDefault="008C4ACA" w:rsidP="008C4ACA">
      <w:pPr>
        <w:pStyle w:val="ListParagraph"/>
        <w:rPr>
          <w:rFonts w:ascii="Arial" w:hAnsi="Arial" w:cs="Arial"/>
          <w:b/>
          <w:bCs/>
          <w:sz w:val="24"/>
          <w:szCs w:val="24"/>
        </w:rPr>
      </w:pPr>
    </w:p>
    <w:p w14:paraId="6F46B853" w14:textId="071A3DDE" w:rsidR="008C4ACA" w:rsidRPr="008C4ACA" w:rsidRDefault="00CF4BB8" w:rsidP="008C4ACA">
      <w:pPr>
        <w:pStyle w:val="ListParagraph"/>
        <w:spacing w:line="360" w:lineRule="auto"/>
        <w:ind w:left="0"/>
        <w:jc w:val="both"/>
        <w:rPr>
          <w:rFonts w:ascii="Arial" w:hAnsi="Arial" w:cs="Arial"/>
          <w:sz w:val="24"/>
          <w:szCs w:val="24"/>
        </w:rPr>
      </w:pPr>
      <w:r w:rsidRPr="008C4ACA">
        <w:rPr>
          <w:rFonts w:ascii="Arial" w:hAnsi="Arial" w:cs="Arial"/>
          <w:b/>
          <w:bCs/>
          <w:sz w:val="24"/>
          <w:szCs w:val="24"/>
        </w:rPr>
        <w:t>In reply</w:t>
      </w:r>
    </w:p>
    <w:p w14:paraId="14C42EEA" w14:textId="77777777" w:rsidR="008C4ACA" w:rsidRDefault="008C4ACA" w:rsidP="008C4ACA">
      <w:pPr>
        <w:pStyle w:val="ListParagraph"/>
        <w:spacing w:line="360" w:lineRule="auto"/>
        <w:ind w:left="0"/>
        <w:jc w:val="both"/>
        <w:rPr>
          <w:rFonts w:ascii="Arial" w:hAnsi="Arial" w:cs="Arial"/>
          <w:sz w:val="24"/>
          <w:szCs w:val="24"/>
        </w:rPr>
      </w:pPr>
    </w:p>
    <w:p w14:paraId="44FA5718" w14:textId="105B4A97" w:rsidR="008C4ACA" w:rsidRPr="00D84FA8" w:rsidRDefault="00D84FA8" w:rsidP="00D84FA8">
      <w:pPr>
        <w:spacing w:line="360" w:lineRule="auto"/>
        <w:jc w:val="both"/>
        <w:rPr>
          <w:rFonts w:ascii="Arial" w:hAnsi="Arial" w:cs="Arial"/>
          <w:sz w:val="24"/>
          <w:szCs w:val="24"/>
        </w:rPr>
      </w:pPr>
      <w:r w:rsidRPr="008C4ACA">
        <w:rPr>
          <w:rFonts w:ascii="Arial" w:hAnsi="Arial" w:cs="Arial"/>
          <w:sz w:val="24"/>
          <w:szCs w:val="24"/>
        </w:rPr>
        <w:t>[16]</w:t>
      </w:r>
      <w:r w:rsidRPr="008C4ACA">
        <w:rPr>
          <w:rFonts w:ascii="Arial" w:hAnsi="Arial" w:cs="Arial"/>
          <w:sz w:val="24"/>
          <w:szCs w:val="24"/>
        </w:rPr>
        <w:tab/>
      </w:r>
      <w:r w:rsidR="00CF4BB8" w:rsidRPr="00D84FA8">
        <w:rPr>
          <w:rFonts w:ascii="Arial" w:hAnsi="Arial" w:cs="Arial"/>
          <w:sz w:val="24"/>
          <w:szCs w:val="24"/>
        </w:rPr>
        <w:t xml:space="preserve">The applicants contend </w:t>
      </w:r>
      <w:r w:rsidR="0008530E" w:rsidRPr="00D84FA8">
        <w:rPr>
          <w:rFonts w:ascii="Arial" w:hAnsi="Arial" w:cs="Arial"/>
          <w:sz w:val="24"/>
          <w:szCs w:val="24"/>
        </w:rPr>
        <w:t xml:space="preserve">in reply </w:t>
      </w:r>
      <w:r w:rsidR="00CF4BB8" w:rsidRPr="00D84FA8">
        <w:rPr>
          <w:rFonts w:ascii="Arial" w:hAnsi="Arial" w:cs="Arial"/>
          <w:sz w:val="24"/>
          <w:szCs w:val="24"/>
        </w:rPr>
        <w:t>that the first respondent never went so far as to say, on 27 August 2019, that the deeds of sale had been signed. If she had, then the applicants would have launched interdict proceedings at that stage. Moreover, assert the applicants, the prospect of a significant increase in the value of the land had directly informed the terms of the settlement agreement. The first respondent has already granted an option to the renewable energy project developer to register a long-term lease or a servitude over the land.</w:t>
      </w:r>
    </w:p>
    <w:p w14:paraId="467A657B" w14:textId="77777777" w:rsidR="008C4ACA" w:rsidRDefault="008C4ACA" w:rsidP="008C4ACA">
      <w:pPr>
        <w:pStyle w:val="ListParagraph"/>
        <w:spacing w:line="360" w:lineRule="auto"/>
        <w:ind w:left="0"/>
        <w:jc w:val="both"/>
        <w:rPr>
          <w:rFonts w:ascii="Arial" w:hAnsi="Arial" w:cs="Arial"/>
          <w:sz w:val="24"/>
          <w:szCs w:val="24"/>
        </w:rPr>
      </w:pPr>
    </w:p>
    <w:p w14:paraId="390DED4B" w14:textId="54305150"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F4BB8" w:rsidRPr="00D84FA8">
        <w:rPr>
          <w:rFonts w:ascii="Arial" w:hAnsi="Arial" w:cs="Arial"/>
          <w:sz w:val="24"/>
          <w:szCs w:val="24"/>
        </w:rPr>
        <w:t>Furthermore, the applicants point out that the first respondent simply failed to appr</w:t>
      </w:r>
      <w:r w:rsidR="009B704D" w:rsidRPr="00D84FA8">
        <w:rPr>
          <w:rFonts w:ascii="Arial" w:hAnsi="Arial" w:cs="Arial"/>
          <w:sz w:val="24"/>
          <w:szCs w:val="24"/>
        </w:rPr>
        <w:t>i</w:t>
      </w:r>
      <w:r w:rsidR="00CF4BB8" w:rsidRPr="00D84FA8">
        <w:rPr>
          <w:rFonts w:ascii="Arial" w:hAnsi="Arial" w:cs="Arial"/>
          <w:sz w:val="24"/>
          <w:szCs w:val="24"/>
        </w:rPr>
        <w:t xml:space="preserve">se the fifth respondent of the </w:t>
      </w:r>
      <w:r w:rsidR="009C7062" w:rsidRPr="00D84FA8">
        <w:rPr>
          <w:rFonts w:ascii="Arial" w:hAnsi="Arial" w:cs="Arial"/>
          <w:sz w:val="24"/>
          <w:szCs w:val="24"/>
        </w:rPr>
        <w:t>applicants’ challenge to the validity of the late Mrs van der Merwe’s will. She was supposed to have done so at the time that she had sought the fifth respondent’s consent to the sale of the land. At the least, she ought to have added a suspensive condition to the deeds of sale to accommodate the challenge.</w:t>
      </w:r>
    </w:p>
    <w:p w14:paraId="1EFCA3FB" w14:textId="77777777" w:rsidR="008C4ACA" w:rsidRPr="008C4ACA" w:rsidRDefault="008C4ACA" w:rsidP="008C4ACA">
      <w:pPr>
        <w:pStyle w:val="ListParagraph"/>
        <w:rPr>
          <w:rFonts w:ascii="Arial" w:hAnsi="Arial" w:cs="Arial"/>
          <w:sz w:val="24"/>
          <w:szCs w:val="24"/>
        </w:rPr>
      </w:pPr>
    </w:p>
    <w:p w14:paraId="302E9194" w14:textId="77777777" w:rsidR="00355C97" w:rsidRPr="008C4ACA" w:rsidRDefault="00355C97" w:rsidP="008C4ACA">
      <w:pPr>
        <w:pStyle w:val="ListParagraph"/>
        <w:rPr>
          <w:rFonts w:ascii="Arial" w:hAnsi="Arial" w:cs="Arial"/>
          <w:b/>
          <w:bCs/>
          <w:sz w:val="24"/>
          <w:szCs w:val="24"/>
        </w:rPr>
      </w:pPr>
    </w:p>
    <w:p w14:paraId="43FA537C" w14:textId="17068FD9" w:rsidR="008C4ACA" w:rsidRDefault="008636F5" w:rsidP="008C4ACA">
      <w:pPr>
        <w:pStyle w:val="ListParagraph"/>
        <w:spacing w:line="360" w:lineRule="auto"/>
        <w:ind w:left="0"/>
        <w:jc w:val="both"/>
        <w:rPr>
          <w:rFonts w:ascii="Arial" w:hAnsi="Arial" w:cs="Arial"/>
          <w:b/>
          <w:bCs/>
          <w:sz w:val="24"/>
          <w:szCs w:val="24"/>
        </w:rPr>
      </w:pPr>
      <w:r w:rsidRPr="008C4ACA">
        <w:rPr>
          <w:rFonts w:ascii="Arial" w:hAnsi="Arial" w:cs="Arial"/>
          <w:b/>
          <w:bCs/>
          <w:sz w:val="24"/>
          <w:szCs w:val="24"/>
        </w:rPr>
        <w:t>Issues to be decided</w:t>
      </w:r>
    </w:p>
    <w:p w14:paraId="71C92623" w14:textId="77777777" w:rsidR="00355C97" w:rsidRDefault="00355C97" w:rsidP="008C4ACA">
      <w:pPr>
        <w:pStyle w:val="ListParagraph"/>
        <w:spacing w:line="360" w:lineRule="auto"/>
        <w:ind w:left="0"/>
        <w:jc w:val="both"/>
        <w:rPr>
          <w:rFonts w:ascii="Arial" w:hAnsi="Arial" w:cs="Arial"/>
          <w:b/>
          <w:bCs/>
          <w:sz w:val="24"/>
          <w:szCs w:val="24"/>
        </w:rPr>
      </w:pPr>
    </w:p>
    <w:p w14:paraId="4BD56F0D" w14:textId="7E03180C"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636F5" w:rsidRPr="00D84FA8">
        <w:rPr>
          <w:rFonts w:ascii="Arial" w:hAnsi="Arial" w:cs="Arial"/>
          <w:sz w:val="24"/>
          <w:szCs w:val="24"/>
        </w:rPr>
        <w:t xml:space="preserve">The applicants seek, chiefly, a rule </w:t>
      </w:r>
      <w:r w:rsidR="008636F5" w:rsidRPr="00D84FA8">
        <w:rPr>
          <w:rFonts w:ascii="Arial" w:hAnsi="Arial" w:cs="Arial"/>
          <w:i/>
          <w:iCs/>
          <w:sz w:val="24"/>
          <w:szCs w:val="24"/>
        </w:rPr>
        <w:t>nisi</w:t>
      </w:r>
      <w:r w:rsidR="008636F5" w:rsidRPr="00D84FA8">
        <w:rPr>
          <w:rFonts w:ascii="Arial" w:hAnsi="Arial" w:cs="Arial"/>
          <w:sz w:val="24"/>
          <w:szCs w:val="24"/>
        </w:rPr>
        <w:t xml:space="preserve"> against the respondents. This will entail a determination of whether they have met the usual requirements for interim relief, the foremost of which being the existence or otherwise of a </w:t>
      </w:r>
      <w:r w:rsidR="008636F5" w:rsidRPr="00D84FA8">
        <w:rPr>
          <w:rFonts w:ascii="Arial" w:hAnsi="Arial" w:cs="Arial"/>
          <w:i/>
          <w:iCs/>
          <w:sz w:val="24"/>
          <w:szCs w:val="24"/>
        </w:rPr>
        <w:t>prima facie</w:t>
      </w:r>
      <w:r w:rsidR="008636F5" w:rsidRPr="00D84FA8">
        <w:rPr>
          <w:rFonts w:ascii="Arial" w:hAnsi="Arial" w:cs="Arial"/>
          <w:sz w:val="24"/>
          <w:szCs w:val="24"/>
        </w:rPr>
        <w:t xml:space="preserve"> right.</w:t>
      </w:r>
    </w:p>
    <w:p w14:paraId="11010119" w14:textId="77777777" w:rsidR="008C4ACA" w:rsidRDefault="008C4ACA" w:rsidP="008C4ACA">
      <w:pPr>
        <w:pStyle w:val="ListParagraph"/>
        <w:spacing w:line="360" w:lineRule="auto"/>
        <w:ind w:left="0"/>
        <w:jc w:val="both"/>
        <w:rPr>
          <w:rFonts w:ascii="Arial" w:hAnsi="Arial" w:cs="Arial"/>
          <w:sz w:val="24"/>
          <w:szCs w:val="24"/>
        </w:rPr>
      </w:pPr>
    </w:p>
    <w:p w14:paraId="64736070" w14:textId="52086A86"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636F5" w:rsidRPr="00D84FA8">
        <w:rPr>
          <w:rFonts w:ascii="Arial" w:hAnsi="Arial" w:cs="Arial"/>
          <w:sz w:val="24"/>
          <w:szCs w:val="24"/>
        </w:rPr>
        <w:t>The most immediate issue for consideration, however, is whether the applicants have established a basis for urgency or whether the matter ought to be removed from the roll, as urged by the respondents. This aspect will be considered below.</w:t>
      </w:r>
    </w:p>
    <w:p w14:paraId="5A69E650" w14:textId="77777777" w:rsidR="008C4ACA" w:rsidRPr="008C4ACA" w:rsidRDefault="008C4ACA" w:rsidP="008C4ACA">
      <w:pPr>
        <w:pStyle w:val="ListParagraph"/>
        <w:rPr>
          <w:rFonts w:ascii="Arial" w:hAnsi="Arial" w:cs="Arial"/>
          <w:sz w:val="24"/>
          <w:szCs w:val="24"/>
        </w:rPr>
      </w:pPr>
    </w:p>
    <w:p w14:paraId="394797A8" w14:textId="77777777" w:rsidR="008C4ACA" w:rsidRPr="008C4ACA" w:rsidRDefault="008C4ACA" w:rsidP="008C4ACA">
      <w:pPr>
        <w:pStyle w:val="ListParagraph"/>
        <w:rPr>
          <w:rFonts w:ascii="Arial" w:hAnsi="Arial" w:cs="Arial"/>
          <w:b/>
          <w:bCs/>
          <w:sz w:val="24"/>
          <w:szCs w:val="24"/>
        </w:rPr>
      </w:pPr>
    </w:p>
    <w:p w14:paraId="1302DCDF" w14:textId="6FE019C5" w:rsidR="008C4ACA" w:rsidRPr="008C4ACA" w:rsidRDefault="008636F5" w:rsidP="008C4ACA">
      <w:pPr>
        <w:pStyle w:val="ListParagraph"/>
        <w:spacing w:line="360" w:lineRule="auto"/>
        <w:ind w:left="0"/>
        <w:jc w:val="both"/>
        <w:rPr>
          <w:rFonts w:ascii="Arial" w:hAnsi="Arial" w:cs="Arial"/>
          <w:sz w:val="24"/>
          <w:szCs w:val="24"/>
        </w:rPr>
      </w:pPr>
      <w:r w:rsidRPr="008C4ACA">
        <w:rPr>
          <w:rFonts w:ascii="Arial" w:hAnsi="Arial" w:cs="Arial"/>
          <w:b/>
          <w:bCs/>
          <w:sz w:val="24"/>
          <w:szCs w:val="24"/>
        </w:rPr>
        <w:t>Urgency</w:t>
      </w:r>
    </w:p>
    <w:p w14:paraId="034994B4" w14:textId="77777777" w:rsidR="008C4ACA" w:rsidRPr="008C4ACA" w:rsidRDefault="008C4ACA" w:rsidP="008C4ACA">
      <w:pPr>
        <w:pStyle w:val="ListParagraph"/>
        <w:spacing w:line="360" w:lineRule="auto"/>
        <w:ind w:left="0"/>
        <w:jc w:val="both"/>
        <w:rPr>
          <w:rFonts w:ascii="Arial" w:hAnsi="Arial" w:cs="Arial"/>
          <w:sz w:val="24"/>
          <w:szCs w:val="24"/>
        </w:rPr>
      </w:pPr>
    </w:p>
    <w:p w14:paraId="6444001A" w14:textId="0B763DC0"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636F5" w:rsidRPr="00D84FA8">
        <w:rPr>
          <w:rFonts w:ascii="Arial" w:hAnsi="Arial" w:cs="Arial"/>
          <w:sz w:val="24"/>
          <w:szCs w:val="24"/>
        </w:rPr>
        <w:t xml:space="preserve">The applicants </w:t>
      </w:r>
      <w:r w:rsidR="0050079C" w:rsidRPr="00D84FA8">
        <w:rPr>
          <w:rFonts w:ascii="Arial" w:hAnsi="Arial" w:cs="Arial"/>
          <w:sz w:val="24"/>
          <w:szCs w:val="24"/>
        </w:rPr>
        <w:t xml:space="preserve">placed a certificate of urgency before this court (in chambers) on </w:t>
      </w:r>
      <w:r w:rsidR="00BE2799" w:rsidRPr="00D84FA8">
        <w:rPr>
          <w:rFonts w:ascii="Arial" w:hAnsi="Arial" w:cs="Arial"/>
          <w:sz w:val="24"/>
          <w:szCs w:val="24"/>
        </w:rPr>
        <w:t xml:space="preserve">Tuesday, </w:t>
      </w:r>
      <w:r w:rsidR="0050079C" w:rsidRPr="00D84FA8">
        <w:rPr>
          <w:rFonts w:ascii="Arial" w:hAnsi="Arial" w:cs="Arial"/>
          <w:sz w:val="24"/>
          <w:szCs w:val="24"/>
        </w:rPr>
        <w:t>28 February 2023. This was done in accordance with the provisions of rule 12(d) of the practice directions for the Eastern Cape.</w:t>
      </w:r>
      <w:r w:rsidR="0050079C">
        <w:rPr>
          <w:rStyle w:val="FootnoteReference"/>
          <w:rFonts w:ascii="Arial" w:hAnsi="Arial" w:cs="Arial"/>
          <w:sz w:val="24"/>
          <w:szCs w:val="24"/>
        </w:rPr>
        <w:footnoteReference w:id="4"/>
      </w:r>
      <w:r w:rsidR="00BE2799" w:rsidRPr="00D84FA8">
        <w:rPr>
          <w:rFonts w:ascii="Arial" w:hAnsi="Arial" w:cs="Arial"/>
          <w:sz w:val="24"/>
          <w:szCs w:val="24"/>
        </w:rPr>
        <w:t xml:space="preserve"> In terms thereof, the applicants sought to enrol the matter for hearing on Friday, 3 March 2023, which was not a day normally reserved for the hearing of motion court matters. They indicated that they would seek a rule </w:t>
      </w:r>
      <w:r w:rsidR="00BE2799" w:rsidRPr="00D84FA8">
        <w:rPr>
          <w:rFonts w:ascii="Arial" w:hAnsi="Arial" w:cs="Arial"/>
          <w:i/>
          <w:iCs/>
          <w:sz w:val="24"/>
          <w:szCs w:val="24"/>
        </w:rPr>
        <w:t>nisi</w:t>
      </w:r>
      <w:r w:rsidR="00BE2799" w:rsidRPr="00D84FA8">
        <w:rPr>
          <w:rFonts w:ascii="Arial" w:hAnsi="Arial" w:cs="Arial"/>
          <w:sz w:val="24"/>
          <w:szCs w:val="24"/>
        </w:rPr>
        <w:t xml:space="preserve"> and set out a timeframe for the filing of papers. To that effect, they proposed that </w:t>
      </w:r>
      <w:r w:rsidR="00BE2799" w:rsidRPr="00D84FA8">
        <w:rPr>
          <w:rFonts w:ascii="Arial" w:hAnsi="Arial" w:cs="Arial"/>
          <w:sz w:val="24"/>
          <w:szCs w:val="24"/>
        </w:rPr>
        <w:lastRenderedPageBreak/>
        <w:t xml:space="preserve">the respondents be required to give notice of their intention to oppose by Wednesday, 8 March 2023; answering affidavits be filed by Wednesday, 15 March 2023; and replying affidavits be filed by Wednesday, 22 March 2023. The applicants further proposed that the return date for the rule </w:t>
      </w:r>
      <w:r w:rsidR="00BE2799" w:rsidRPr="00D84FA8">
        <w:rPr>
          <w:rFonts w:ascii="Arial" w:hAnsi="Arial" w:cs="Arial"/>
          <w:i/>
          <w:iCs/>
          <w:sz w:val="24"/>
          <w:szCs w:val="24"/>
        </w:rPr>
        <w:t>nisi</w:t>
      </w:r>
      <w:r w:rsidR="00BE2799" w:rsidRPr="00D84FA8">
        <w:rPr>
          <w:rFonts w:ascii="Arial" w:hAnsi="Arial" w:cs="Arial"/>
          <w:sz w:val="24"/>
          <w:szCs w:val="24"/>
        </w:rPr>
        <w:t xml:space="preserve"> be stipulated as Tuesday, 28 March 2023.</w:t>
      </w:r>
    </w:p>
    <w:p w14:paraId="5A7DD599" w14:textId="77777777" w:rsidR="008C4ACA" w:rsidRPr="008C4ACA" w:rsidRDefault="008C4ACA" w:rsidP="008C4ACA">
      <w:pPr>
        <w:spacing w:line="360" w:lineRule="auto"/>
        <w:jc w:val="both"/>
        <w:rPr>
          <w:rFonts w:ascii="Arial" w:hAnsi="Arial" w:cs="Arial"/>
          <w:sz w:val="24"/>
          <w:szCs w:val="24"/>
        </w:rPr>
      </w:pPr>
    </w:p>
    <w:p w14:paraId="4CE0F126" w14:textId="77777777" w:rsidR="008C4ACA" w:rsidRPr="008C4ACA" w:rsidRDefault="00155C28" w:rsidP="008C4ACA">
      <w:pPr>
        <w:pStyle w:val="ListParagraph"/>
        <w:spacing w:line="360" w:lineRule="auto"/>
        <w:ind w:left="0"/>
        <w:jc w:val="both"/>
        <w:rPr>
          <w:rFonts w:ascii="Arial" w:hAnsi="Arial" w:cs="Arial"/>
          <w:sz w:val="24"/>
          <w:szCs w:val="24"/>
        </w:rPr>
      </w:pPr>
      <w:r w:rsidRPr="008C4ACA">
        <w:rPr>
          <w:rFonts w:ascii="Arial" w:hAnsi="Arial" w:cs="Arial"/>
          <w:i/>
          <w:iCs/>
          <w:sz w:val="24"/>
          <w:szCs w:val="24"/>
        </w:rPr>
        <w:t>Rule 2(d) directi</w:t>
      </w:r>
      <w:r w:rsidR="00916F55" w:rsidRPr="008C4ACA">
        <w:rPr>
          <w:rFonts w:ascii="Arial" w:hAnsi="Arial" w:cs="Arial"/>
          <w:i/>
          <w:iCs/>
          <w:sz w:val="24"/>
          <w:szCs w:val="24"/>
        </w:rPr>
        <w:t>ons</w:t>
      </w:r>
    </w:p>
    <w:p w14:paraId="6C90174B" w14:textId="77777777" w:rsidR="008C4ACA" w:rsidRPr="008C4ACA" w:rsidRDefault="008C4ACA" w:rsidP="008C4ACA">
      <w:pPr>
        <w:pStyle w:val="ListParagraph"/>
        <w:rPr>
          <w:rFonts w:ascii="Arial" w:hAnsi="Arial" w:cs="Arial"/>
          <w:sz w:val="24"/>
          <w:szCs w:val="24"/>
        </w:rPr>
      </w:pPr>
    </w:p>
    <w:p w14:paraId="059AB5ED" w14:textId="2273969A"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E2799" w:rsidRPr="00D84FA8">
        <w:rPr>
          <w:rFonts w:ascii="Arial" w:hAnsi="Arial" w:cs="Arial"/>
          <w:sz w:val="24"/>
          <w:szCs w:val="24"/>
        </w:rPr>
        <w:t>Th</w:t>
      </w:r>
      <w:r w:rsidR="00916F55" w:rsidRPr="00D84FA8">
        <w:rPr>
          <w:rFonts w:ascii="Arial" w:hAnsi="Arial" w:cs="Arial"/>
          <w:sz w:val="24"/>
          <w:szCs w:val="24"/>
        </w:rPr>
        <w:t>e</w:t>
      </w:r>
      <w:r w:rsidR="00BE2799" w:rsidRPr="00D84FA8">
        <w:rPr>
          <w:rFonts w:ascii="Arial" w:hAnsi="Arial" w:cs="Arial"/>
          <w:sz w:val="24"/>
          <w:szCs w:val="24"/>
        </w:rPr>
        <w:t xml:space="preserve"> court issued directions for the further conduct of the matter. The applicants were directed to ensure service of the application by 13h00, Wednesday, 1 March 2023; the respondents were required to deliver answering affidavits, if any, by close of business, Thursday, 2 March 2023; and permission was given for the matter to be enrolled for hearing at 09h30 on Friday, 3 March 2023. Importantly, the court </w:t>
      </w:r>
      <w:r w:rsidR="00043BC2" w:rsidRPr="00D84FA8">
        <w:rPr>
          <w:rFonts w:ascii="Arial" w:hAnsi="Arial" w:cs="Arial"/>
          <w:sz w:val="24"/>
          <w:szCs w:val="24"/>
        </w:rPr>
        <w:t>expressly indicated that no finding was made on the alleged urgency.</w:t>
      </w:r>
    </w:p>
    <w:p w14:paraId="4C85559A" w14:textId="77777777" w:rsidR="008C4ACA" w:rsidRDefault="008C4ACA" w:rsidP="008C4ACA">
      <w:pPr>
        <w:pStyle w:val="ListParagraph"/>
        <w:spacing w:line="360" w:lineRule="auto"/>
        <w:ind w:left="0"/>
        <w:jc w:val="both"/>
        <w:rPr>
          <w:rFonts w:ascii="Arial" w:hAnsi="Arial" w:cs="Arial"/>
          <w:sz w:val="24"/>
          <w:szCs w:val="24"/>
        </w:rPr>
      </w:pPr>
    </w:p>
    <w:p w14:paraId="08F74B68" w14:textId="20515633"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53B8D" w:rsidRPr="00D84FA8">
        <w:rPr>
          <w:rFonts w:ascii="Arial" w:hAnsi="Arial" w:cs="Arial"/>
          <w:sz w:val="24"/>
          <w:szCs w:val="24"/>
        </w:rPr>
        <w:t xml:space="preserve">In </w:t>
      </w:r>
      <w:r w:rsidR="00D26EAD" w:rsidRPr="00D84FA8">
        <w:rPr>
          <w:rFonts w:ascii="Arial" w:hAnsi="Arial" w:cs="Arial"/>
          <w:sz w:val="24"/>
          <w:szCs w:val="24"/>
        </w:rPr>
        <w:t xml:space="preserve">a recent decision handed down in this division, </w:t>
      </w:r>
      <w:r w:rsidR="001F1B53" w:rsidRPr="00D84FA8">
        <w:rPr>
          <w:rFonts w:ascii="Arial" w:hAnsi="Arial" w:cs="Arial"/>
          <w:i/>
          <w:iCs/>
          <w:sz w:val="24"/>
          <w:szCs w:val="24"/>
        </w:rPr>
        <w:t>Voigt NO v EGH IP</w:t>
      </w:r>
      <w:r w:rsidR="004E39C1" w:rsidRPr="00D84FA8">
        <w:rPr>
          <w:rFonts w:ascii="Arial" w:hAnsi="Arial" w:cs="Arial"/>
          <w:i/>
          <w:iCs/>
          <w:sz w:val="24"/>
          <w:szCs w:val="24"/>
        </w:rPr>
        <w:t xml:space="preserve"> (Pty) Ltd</w:t>
      </w:r>
      <w:r w:rsidR="004E39C1" w:rsidRPr="00D84FA8">
        <w:rPr>
          <w:rFonts w:ascii="Arial" w:hAnsi="Arial" w:cs="Arial"/>
          <w:sz w:val="24"/>
          <w:szCs w:val="24"/>
        </w:rPr>
        <w:t>,</w:t>
      </w:r>
      <w:r w:rsidR="004E39C1">
        <w:rPr>
          <w:rStyle w:val="FootnoteReference"/>
          <w:rFonts w:ascii="Arial" w:hAnsi="Arial" w:cs="Arial"/>
          <w:sz w:val="24"/>
          <w:szCs w:val="24"/>
        </w:rPr>
        <w:footnoteReference w:id="5"/>
      </w:r>
      <w:r w:rsidR="0006113E" w:rsidRPr="00D84FA8">
        <w:rPr>
          <w:rFonts w:ascii="Arial" w:hAnsi="Arial" w:cs="Arial"/>
          <w:sz w:val="24"/>
          <w:szCs w:val="24"/>
        </w:rPr>
        <w:t xml:space="preserve"> Lowe J </w:t>
      </w:r>
      <w:r w:rsidR="00433276" w:rsidRPr="00D84FA8">
        <w:rPr>
          <w:rFonts w:ascii="Arial" w:hAnsi="Arial" w:cs="Arial"/>
          <w:sz w:val="24"/>
          <w:szCs w:val="24"/>
        </w:rPr>
        <w:t>pointed out</w:t>
      </w:r>
      <w:r w:rsidR="00A54C27" w:rsidRPr="00D84FA8">
        <w:rPr>
          <w:rFonts w:ascii="Arial" w:hAnsi="Arial" w:cs="Arial"/>
          <w:sz w:val="24"/>
          <w:szCs w:val="24"/>
        </w:rPr>
        <w:t xml:space="preserve"> that </w:t>
      </w:r>
      <w:r w:rsidR="005864CA" w:rsidRPr="00D84FA8">
        <w:rPr>
          <w:rFonts w:ascii="Arial" w:hAnsi="Arial" w:cs="Arial"/>
          <w:sz w:val="24"/>
          <w:szCs w:val="24"/>
        </w:rPr>
        <w:t>a court’s directi</w:t>
      </w:r>
      <w:r w:rsidR="004A2F00" w:rsidRPr="00D84FA8">
        <w:rPr>
          <w:rFonts w:ascii="Arial" w:hAnsi="Arial" w:cs="Arial"/>
          <w:sz w:val="24"/>
          <w:szCs w:val="24"/>
        </w:rPr>
        <w:t>ons</w:t>
      </w:r>
      <w:r w:rsidR="005864CA" w:rsidRPr="00D84FA8">
        <w:rPr>
          <w:rFonts w:ascii="Arial" w:hAnsi="Arial" w:cs="Arial"/>
          <w:sz w:val="24"/>
          <w:szCs w:val="24"/>
        </w:rPr>
        <w:t xml:space="preserve"> did not finally dispose of the issue of urgency</w:t>
      </w:r>
      <w:r w:rsidR="00931250" w:rsidRPr="00D84FA8">
        <w:rPr>
          <w:rFonts w:ascii="Arial" w:hAnsi="Arial" w:cs="Arial"/>
          <w:sz w:val="24"/>
          <w:szCs w:val="24"/>
        </w:rPr>
        <w:t xml:space="preserve">. This had to be determined in due course </w:t>
      </w:r>
      <w:r w:rsidR="00833832" w:rsidRPr="00D84FA8">
        <w:rPr>
          <w:rFonts w:ascii="Arial" w:hAnsi="Arial" w:cs="Arial"/>
          <w:sz w:val="24"/>
          <w:szCs w:val="24"/>
        </w:rPr>
        <w:t xml:space="preserve">after </w:t>
      </w:r>
      <w:r w:rsidR="000E601D" w:rsidRPr="00D84FA8">
        <w:rPr>
          <w:rFonts w:ascii="Arial" w:hAnsi="Arial" w:cs="Arial"/>
          <w:sz w:val="24"/>
          <w:szCs w:val="24"/>
        </w:rPr>
        <w:t xml:space="preserve">a court had </w:t>
      </w:r>
      <w:r w:rsidR="00833832" w:rsidRPr="00D84FA8">
        <w:rPr>
          <w:rFonts w:ascii="Arial" w:hAnsi="Arial" w:cs="Arial"/>
          <w:sz w:val="24"/>
          <w:szCs w:val="24"/>
        </w:rPr>
        <w:t>heard all relevant facts and circumstances, including those put forward by the respondent.</w:t>
      </w:r>
      <w:r w:rsidR="00D013D5">
        <w:rPr>
          <w:rStyle w:val="FootnoteReference"/>
          <w:rFonts w:ascii="Arial" w:hAnsi="Arial" w:cs="Arial"/>
          <w:sz w:val="24"/>
          <w:szCs w:val="24"/>
        </w:rPr>
        <w:footnoteReference w:id="6"/>
      </w:r>
    </w:p>
    <w:p w14:paraId="1214996C" w14:textId="77777777" w:rsidR="008C4ACA" w:rsidRPr="008C4ACA" w:rsidRDefault="008C4ACA" w:rsidP="008C4ACA">
      <w:pPr>
        <w:pStyle w:val="ListParagraph"/>
        <w:rPr>
          <w:rFonts w:ascii="Arial" w:hAnsi="Arial" w:cs="Arial"/>
          <w:sz w:val="24"/>
          <w:szCs w:val="24"/>
        </w:rPr>
      </w:pPr>
    </w:p>
    <w:p w14:paraId="33B02284" w14:textId="376A28C6"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E6823" w:rsidRPr="00D84FA8">
        <w:rPr>
          <w:rFonts w:ascii="Arial" w:hAnsi="Arial" w:cs="Arial"/>
          <w:sz w:val="24"/>
          <w:szCs w:val="24"/>
        </w:rPr>
        <w:t>The directions issued by a court under the provisions of rule 12(d) of the practice directions</w:t>
      </w:r>
      <w:r w:rsidR="00555AA8" w:rsidRPr="00D84FA8">
        <w:rPr>
          <w:rFonts w:ascii="Arial" w:hAnsi="Arial" w:cs="Arial"/>
          <w:sz w:val="24"/>
          <w:szCs w:val="24"/>
        </w:rPr>
        <w:t xml:space="preserve"> </w:t>
      </w:r>
      <w:r w:rsidR="00E72627" w:rsidRPr="00D84FA8">
        <w:rPr>
          <w:rFonts w:ascii="Arial" w:hAnsi="Arial" w:cs="Arial"/>
          <w:sz w:val="24"/>
          <w:szCs w:val="24"/>
        </w:rPr>
        <w:t>are intended to serve the objectives of proper case flow management. They are designed to ensure</w:t>
      </w:r>
      <w:r w:rsidR="00B14CE5" w:rsidRPr="00D84FA8">
        <w:rPr>
          <w:rFonts w:ascii="Arial" w:hAnsi="Arial" w:cs="Arial"/>
          <w:sz w:val="24"/>
          <w:szCs w:val="24"/>
        </w:rPr>
        <w:t xml:space="preserve">, </w:t>
      </w:r>
      <w:r w:rsidR="00B14CE5" w:rsidRPr="00D84FA8">
        <w:rPr>
          <w:rFonts w:ascii="Arial" w:hAnsi="Arial" w:cs="Arial"/>
          <w:i/>
          <w:iCs/>
          <w:sz w:val="24"/>
          <w:szCs w:val="24"/>
        </w:rPr>
        <w:t>inter alia</w:t>
      </w:r>
      <w:r w:rsidR="00B14CE5" w:rsidRPr="00D84FA8">
        <w:rPr>
          <w:rFonts w:ascii="Arial" w:hAnsi="Arial" w:cs="Arial"/>
          <w:sz w:val="24"/>
          <w:szCs w:val="24"/>
        </w:rPr>
        <w:t>,</w:t>
      </w:r>
      <w:r w:rsidR="00E72627" w:rsidRPr="00D84FA8">
        <w:rPr>
          <w:rFonts w:ascii="Arial" w:hAnsi="Arial" w:cs="Arial"/>
          <w:sz w:val="24"/>
          <w:szCs w:val="24"/>
        </w:rPr>
        <w:t xml:space="preserve"> th</w:t>
      </w:r>
      <w:r w:rsidR="00B14CE5" w:rsidRPr="00D84FA8">
        <w:rPr>
          <w:rFonts w:ascii="Arial" w:hAnsi="Arial" w:cs="Arial"/>
          <w:sz w:val="24"/>
          <w:szCs w:val="24"/>
        </w:rPr>
        <w:t>at there is no unnecessary delay</w:t>
      </w:r>
      <w:r w:rsidR="00670B75" w:rsidRPr="00D84FA8">
        <w:rPr>
          <w:rFonts w:ascii="Arial" w:hAnsi="Arial" w:cs="Arial"/>
          <w:sz w:val="24"/>
          <w:szCs w:val="24"/>
        </w:rPr>
        <w:t xml:space="preserve"> and that cases </w:t>
      </w:r>
      <w:r w:rsidR="003546D5" w:rsidRPr="00D84FA8">
        <w:rPr>
          <w:rFonts w:ascii="Arial" w:hAnsi="Arial" w:cs="Arial"/>
          <w:sz w:val="24"/>
          <w:szCs w:val="24"/>
        </w:rPr>
        <w:t>can be finalised as expeditiously as possible.</w:t>
      </w:r>
      <w:r w:rsidR="005F7CAA" w:rsidRPr="00D84FA8">
        <w:rPr>
          <w:rFonts w:ascii="Arial" w:hAnsi="Arial" w:cs="Arial"/>
          <w:sz w:val="24"/>
          <w:szCs w:val="24"/>
        </w:rPr>
        <w:t xml:space="preserve"> In </w:t>
      </w:r>
      <w:r w:rsidR="005F7CAA" w:rsidRPr="00D84FA8">
        <w:rPr>
          <w:rFonts w:ascii="Arial" w:hAnsi="Arial" w:cs="Arial"/>
          <w:i/>
          <w:iCs/>
          <w:sz w:val="24"/>
          <w:szCs w:val="24"/>
        </w:rPr>
        <w:t>Bobotyana v Dyantyi</w:t>
      </w:r>
      <w:r w:rsidR="005F7CAA" w:rsidRPr="00D84FA8">
        <w:rPr>
          <w:rFonts w:ascii="Arial" w:hAnsi="Arial" w:cs="Arial"/>
          <w:sz w:val="24"/>
          <w:szCs w:val="24"/>
        </w:rPr>
        <w:t>,</w:t>
      </w:r>
      <w:r w:rsidR="00BD3C6C">
        <w:rPr>
          <w:rStyle w:val="FootnoteReference"/>
          <w:rFonts w:ascii="Arial" w:hAnsi="Arial" w:cs="Arial"/>
          <w:sz w:val="24"/>
          <w:szCs w:val="24"/>
        </w:rPr>
        <w:footnoteReference w:id="7"/>
      </w:r>
      <w:r w:rsidR="006E2CC9" w:rsidRPr="00D84FA8">
        <w:rPr>
          <w:rFonts w:ascii="Arial" w:hAnsi="Arial" w:cs="Arial"/>
          <w:sz w:val="24"/>
          <w:szCs w:val="24"/>
        </w:rPr>
        <w:t xml:space="preserve"> Mbenenge JP held that there was no reason why </w:t>
      </w:r>
      <w:r w:rsidR="00E34F59" w:rsidRPr="00D84FA8">
        <w:rPr>
          <w:rFonts w:ascii="Arial" w:hAnsi="Arial" w:cs="Arial"/>
          <w:sz w:val="24"/>
          <w:szCs w:val="24"/>
        </w:rPr>
        <w:t>case flow management should not apply to motion proceedings</w:t>
      </w:r>
      <w:r w:rsidR="00BD3C6C" w:rsidRPr="00D84FA8">
        <w:rPr>
          <w:rFonts w:ascii="Arial" w:hAnsi="Arial" w:cs="Arial"/>
          <w:sz w:val="24"/>
          <w:szCs w:val="24"/>
        </w:rPr>
        <w:t>.</w:t>
      </w:r>
      <w:r w:rsidR="00BD3C6C" w:rsidRPr="00BD3C6C">
        <w:rPr>
          <w:vertAlign w:val="superscript"/>
        </w:rPr>
        <w:footnoteReference w:id="8"/>
      </w:r>
      <w:r w:rsidR="007D46A4" w:rsidRPr="00D84FA8">
        <w:rPr>
          <w:rFonts w:ascii="Arial" w:hAnsi="Arial" w:cs="Arial"/>
          <w:sz w:val="24"/>
          <w:szCs w:val="24"/>
        </w:rPr>
        <w:t xml:space="preserve"> </w:t>
      </w:r>
      <w:r w:rsidR="00B45D5A" w:rsidRPr="00D84FA8">
        <w:rPr>
          <w:rFonts w:ascii="Arial" w:hAnsi="Arial" w:cs="Arial"/>
          <w:sz w:val="24"/>
          <w:szCs w:val="24"/>
        </w:rPr>
        <w:t>In issuing directions</w:t>
      </w:r>
      <w:r w:rsidR="006A712A" w:rsidRPr="00D84FA8">
        <w:rPr>
          <w:rFonts w:ascii="Arial" w:hAnsi="Arial" w:cs="Arial"/>
          <w:sz w:val="24"/>
          <w:szCs w:val="24"/>
        </w:rPr>
        <w:t xml:space="preserve"> within </w:t>
      </w:r>
      <w:r w:rsidR="00256859" w:rsidRPr="00D84FA8">
        <w:rPr>
          <w:rFonts w:ascii="Arial" w:hAnsi="Arial" w:cs="Arial"/>
          <w:sz w:val="24"/>
          <w:szCs w:val="24"/>
        </w:rPr>
        <w:t xml:space="preserve">such </w:t>
      </w:r>
      <w:r w:rsidR="00AE75A7" w:rsidRPr="00D84FA8">
        <w:rPr>
          <w:rFonts w:ascii="Arial" w:hAnsi="Arial" w:cs="Arial"/>
          <w:sz w:val="24"/>
          <w:szCs w:val="24"/>
        </w:rPr>
        <w:t xml:space="preserve">a </w:t>
      </w:r>
      <w:r w:rsidR="006A712A" w:rsidRPr="00D84FA8">
        <w:rPr>
          <w:rFonts w:ascii="Arial" w:hAnsi="Arial" w:cs="Arial"/>
          <w:sz w:val="24"/>
          <w:szCs w:val="24"/>
        </w:rPr>
        <w:t>context</w:t>
      </w:r>
      <w:r w:rsidR="00B45D5A" w:rsidRPr="00D84FA8">
        <w:rPr>
          <w:rFonts w:ascii="Arial" w:hAnsi="Arial" w:cs="Arial"/>
          <w:sz w:val="24"/>
          <w:szCs w:val="24"/>
        </w:rPr>
        <w:t>, a court will rely purely on the certificate of urgency</w:t>
      </w:r>
      <w:r w:rsidR="006858D3" w:rsidRPr="00D84FA8">
        <w:rPr>
          <w:rFonts w:ascii="Arial" w:hAnsi="Arial" w:cs="Arial"/>
          <w:sz w:val="24"/>
          <w:szCs w:val="24"/>
        </w:rPr>
        <w:t xml:space="preserve"> to </w:t>
      </w:r>
      <w:r w:rsidR="009162CE" w:rsidRPr="00D84FA8">
        <w:rPr>
          <w:rFonts w:ascii="Arial" w:hAnsi="Arial" w:cs="Arial"/>
          <w:sz w:val="24"/>
          <w:szCs w:val="24"/>
        </w:rPr>
        <w:t xml:space="preserve">make a </w:t>
      </w:r>
      <w:r w:rsidR="009162CE" w:rsidRPr="00D84FA8">
        <w:rPr>
          <w:rFonts w:ascii="Arial" w:hAnsi="Arial" w:cs="Arial"/>
          <w:i/>
          <w:iCs/>
          <w:sz w:val="24"/>
          <w:szCs w:val="24"/>
        </w:rPr>
        <w:t>prima facie</w:t>
      </w:r>
      <w:r w:rsidR="009162CE" w:rsidRPr="00D84FA8">
        <w:rPr>
          <w:rFonts w:ascii="Arial" w:hAnsi="Arial" w:cs="Arial"/>
          <w:sz w:val="24"/>
          <w:szCs w:val="24"/>
        </w:rPr>
        <w:t xml:space="preserve"> </w:t>
      </w:r>
      <w:r w:rsidR="006858D3" w:rsidRPr="00D84FA8">
        <w:rPr>
          <w:rFonts w:ascii="Arial" w:hAnsi="Arial" w:cs="Arial"/>
          <w:sz w:val="24"/>
          <w:szCs w:val="24"/>
        </w:rPr>
        <w:t>determin</w:t>
      </w:r>
      <w:r w:rsidR="009162CE" w:rsidRPr="00D84FA8">
        <w:rPr>
          <w:rFonts w:ascii="Arial" w:hAnsi="Arial" w:cs="Arial"/>
          <w:sz w:val="24"/>
          <w:szCs w:val="24"/>
        </w:rPr>
        <w:t xml:space="preserve">ation as to </w:t>
      </w:r>
      <w:r w:rsidR="006858D3" w:rsidRPr="00D84FA8">
        <w:rPr>
          <w:rFonts w:ascii="Arial" w:hAnsi="Arial" w:cs="Arial"/>
          <w:sz w:val="24"/>
          <w:szCs w:val="24"/>
        </w:rPr>
        <w:t>whether</w:t>
      </w:r>
      <w:r w:rsidR="009162CE" w:rsidRPr="00D84FA8">
        <w:rPr>
          <w:rFonts w:ascii="Arial" w:hAnsi="Arial" w:cs="Arial"/>
          <w:sz w:val="24"/>
          <w:szCs w:val="24"/>
        </w:rPr>
        <w:t xml:space="preserve"> the </w:t>
      </w:r>
      <w:r w:rsidR="00385FCE" w:rsidRPr="00D84FA8">
        <w:rPr>
          <w:rFonts w:ascii="Arial" w:hAnsi="Arial" w:cs="Arial"/>
          <w:sz w:val="24"/>
          <w:szCs w:val="24"/>
        </w:rPr>
        <w:t xml:space="preserve">application </w:t>
      </w:r>
      <w:r w:rsidR="009162CE" w:rsidRPr="00D84FA8">
        <w:rPr>
          <w:rFonts w:ascii="Arial" w:hAnsi="Arial" w:cs="Arial"/>
          <w:sz w:val="24"/>
          <w:szCs w:val="24"/>
        </w:rPr>
        <w:lastRenderedPageBreak/>
        <w:t xml:space="preserve">appears to be sufficiently urgent </w:t>
      </w:r>
      <w:r w:rsidR="00315C69" w:rsidRPr="00D84FA8">
        <w:rPr>
          <w:rFonts w:ascii="Arial" w:hAnsi="Arial" w:cs="Arial"/>
          <w:sz w:val="24"/>
          <w:szCs w:val="24"/>
        </w:rPr>
        <w:t xml:space="preserve">to be heard </w:t>
      </w:r>
      <w:r w:rsidR="00292491" w:rsidRPr="00D84FA8">
        <w:rPr>
          <w:rFonts w:ascii="Arial" w:hAnsi="Arial" w:cs="Arial"/>
          <w:sz w:val="24"/>
          <w:szCs w:val="24"/>
        </w:rPr>
        <w:t>outside a normal motion court day.</w:t>
      </w:r>
      <w:r w:rsidR="00385FCE" w:rsidRPr="00D84FA8">
        <w:rPr>
          <w:rFonts w:ascii="Arial" w:hAnsi="Arial" w:cs="Arial"/>
          <w:sz w:val="24"/>
          <w:szCs w:val="24"/>
        </w:rPr>
        <w:t xml:space="preserve"> </w:t>
      </w:r>
      <w:r w:rsidR="00AE34F8" w:rsidRPr="00D84FA8">
        <w:rPr>
          <w:rFonts w:ascii="Arial" w:hAnsi="Arial" w:cs="Arial"/>
          <w:sz w:val="24"/>
          <w:szCs w:val="24"/>
        </w:rPr>
        <w:t>This</w:t>
      </w:r>
      <w:r w:rsidR="00630B21" w:rsidRPr="00D84FA8">
        <w:rPr>
          <w:rFonts w:ascii="Arial" w:hAnsi="Arial" w:cs="Arial"/>
          <w:sz w:val="24"/>
          <w:szCs w:val="24"/>
        </w:rPr>
        <w:t xml:space="preserve"> requires a great deal of trust to be placed </w:t>
      </w:r>
      <w:r w:rsidR="003741F9" w:rsidRPr="00D84FA8">
        <w:rPr>
          <w:rFonts w:ascii="Arial" w:hAnsi="Arial" w:cs="Arial"/>
          <w:sz w:val="24"/>
          <w:szCs w:val="24"/>
        </w:rPr>
        <w:t xml:space="preserve">in the submissions made by applicant’s counsel, </w:t>
      </w:r>
      <w:r w:rsidR="00AE34F8" w:rsidRPr="00D84FA8">
        <w:rPr>
          <w:rFonts w:ascii="Arial" w:hAnsi="Arial" w:cs="Arial"/>
          <w:sz w:val="24"/>
          <w:szCs w:val="24"/>
        </w:rPr>
        <w:t>w</w:t>
      </w:r>
      <w:r w:rsidR="00B3052F" w:rsidRPr="00D84FA8">
        <w:rPr>
          <w:rFonts w:ascii="Arial" w:hAnsi="Arial" w:cs="Arial"/>
          <w:sz w:val="24"/>
          <w:szCs w:val="24"/>
        </w:rPr>
        <w:t xml:space="preserve">ithout the benefit of </w:t>
      </w:r>
      <w:r w:rsidR="00D11B6D" w:rsidRPr="00D84FA8">
        <w:rPr>
          <w:rFonts w:ascii="Arial" w:hAnsi="Arial" w:cs="Arial"/>
          <w:sz w:val="24"/>
          <w:szCs w:val="24"/>
        </w:rPr>
        <w:t xml:space="preserve">insight into </w:t>
      </w:r>
      <w:r w:rsidR="00B3052F" w:rsidRPr="00D84FA8">
        <w:rPr>
          <w:rFonts w:ascii="Arial" w:hAnsi="Arial" w:cs="Arial"/>
          <w:sz w:val="24"/>
          <w:szCs w:val="24"/>
        </w:rPr>
        <w:t xml:space="preserve">the respondent’s </w:t>
      </w:r>
      <w:r w:rsidR="00D11B6D" w:rsidRPr="00D84FA8">
        <w:rPr>
          <w:rFonts w:ascii="Arial" w:hAnsi="Arial" w:cs="Arial"/>
          <w:sz w:val="24"/>
          <w:szCs w:val="24"/>
        </w:rPr>
        <w:t>position</w:t>
      </w:r>
      <w:r w:rsidR="00AE34F8" w:rsidRPr="00D84FA8">
        <w:rPr>
          <w:rFonts w:ascii="Arial" w:hAnsi="Arial" w:cs="Arial"/>
          <w:sz w:val="24"/>
          <w:szCs w:val="24"/>
        </w:rPr>
        <w:t>.</w:t>
      </w:r>
      <w:r w:rsidR="00D11B6D" w:rsidRPr="00D84FA8">
        <w:rPr>
          <w:rFonts w:ascii="Arial" w:hAnsi="Arial" w:cs="Arial"/>
          <w:sz w:val="24"/>
          <w:szCs w:val="24"/>
        </w:rPr>
        <w:t xml:space="preserve"> Consequently, the</w:t>
      </w:r>
      <w:r w:rsidR="00D3719B" w:rsidRPr="00D84FA8">
        <w:rPr>
          <w:rFonts w:ascii="Arial" w:hAnsi="Arial" w:cs="Arial"/>
          <w:sz w:val="24"/>
          <w:szCs w:val="24"/>
        </w:rPr>
        <w:t xml:space="preserve">re is a need for a court to strike a balance between ensuring effective </w:t>
      </w:r>
      <w:r w:rsidR="001D6C1E" w:rsidRPr="00D84FA8">
        <w:rPr>
          <w:rFonts w:ascii="Arial" w:hAnsi="Arial" w:cs="Arial"/>
          <w:sz w:val="24"/>
          <w:szCs w:val="24"/>
        </w:rPr>
        <w:t xml:space="preserve">case flow management while not permitting the abuse of the </w:t>
      </w:r>
      <w:r w:rsidR="003B746C" w:rsidRPr="00D84FA8">
        <w:rPr>
          <w:rFonts w:ascii="Arial" w:hAnsi="Arial" w:cs="Arial"/>
          <w:sz w:val="24"/>
          <w:szCs w:val="24"/>
        </w:rPr>
        <w:t xml:space="preserve">urgency provisions in </w:t>
      </w:r>
      <w:r w:rsidR="00341659" w:rsidRPr="00D84FA8">
        <w:rPr>
          <w:rFonts w:ascii="Arial" w:hAnsi="Arial" w:cs="Arial"/>
          <w:sz w:val="24"/>
          <w:szCs w:val="24"/>
        </w:rPr>
        <w:t>either</w:t>
      </w:r>
      <w:r w:rsidR="003B746C" w:rsidRPr="00D84FA8">
        <w:rPr>
          <w:rFonts w:ascii="Arial" w:hAnsi="Arial" w:cs="Arial"/>
          <w:sz w:val="24"/>
          <w:szCs w:val="24"/>
        </w:rPr>
        <w:t xml:space="preserve"> the Uniform Rules of </w:t>
      </w:r>
      <w:r w:rsidR="008E289A" w:rsidRPr="00D84FA8">
        <w:rPr>
          <w:rFonts w:ascii="Arial" w:hAnsi="Arial" w:cs="Arial"/>
          <w:sz w:val="24"/>
          <w:szCs w:val="24"/>
        </w:rPr>
        <w:t xml:space="preserve">Court (‘URC’) </w:t>
      </w:r>
      <w:r w:rsidR="00341659" w:rsidRPr="00D84FA8">
        <w:rPr>
          <w:rFonts w:ascii="Arial" w:hAnsi="Arial" w:cs="Arial"/>
          <w:sz w:val="24"/>
          <w:szCs w:val="24"/>
        </w:rPr>
        <w:t>or</w:t>
      </w:r>
      <w:r w:rsidR="008E289A" w:rsidRPr="00D84FA8">
        <w:rPr>
          <w:rFonts w:ascii="Arial" w:hAnsi="Arial" w:cs="Arial"/>
          <w:sz w:val="24"/>
          <w:szCs w:val="24"/>
        </w:rPr>
        <w:t xml:space="preserve"> the practice directions, to the prejudice of the respondent.</w:t>
      </w:r>
    </w:p>
    <w:p w14:paraId="4A928971" w14:textId="77777777" w:rsidR="008C4ACA" w:rsidRDefault="008C4ACA" w:rsidP="008C4ACA">
      <w:pPr>
        <w:pStyle w:val="ListParagraph"/>
        <w:spacing w:line="360" w:lineRule="auto"/>
        <w:ind w:left="0"/>
        <w:jc w:val="both"/>
        <w:rPr>
          <w:rFonts w:ascii="Arial" w:hAnsi="Arial" w:cs="Arial"/>
          <w:sz w:val="24"/>
          <w:szCs w:val="24"/>
        </w:rPr>
      </w:pPr>
    </w:p>
    <w:p w14:paraId="5EEFB021" w14:textId="602C27D3"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43BC2" w:rsidRPr="00D84FA8">
        <w:rPr>
          <w:rFonts w:ascii="Arial" w:hAnsi="Arial" w:cs="Arial"/>
          <w:sz w:val="24"/>
          <w:szCs w:val="24"/>
        </w:rPr>
        <w:t xml:space="preserve">As it so happened, the first respondent </w:t>
      </w:r>
      <w:r w:rsidR="00F45A6E" w:rsidRPr="00D84FA8">
        <w:rPr>
          <w:rFonts w:ascii="Arial" w:hAnsi="Arial" w:cs="Arial"/>
          <w:sz w:val="24"/>
          <w:szCs w:val="24"/>
        </w:rPr>
        <w:t xml:space="preserve">in the present matter </w:t>
      </w:r>
      <w:r w:rsidR="00043BC2" w:rsidRPr="00D84FA8">
        <w:rPr>
          <w:rFonts w:ascii="Arial" w:hAnsi="Arial" w:cs="Arial"/>
          <w:sz w:val="24"/>
          <w:szCs w:val="24"/>
        </w:rPr>
        <w:t>delivered an answering affidavit that ran to some 39 pages (excluding annexures)</w:t>
      </w:r>
      <w:r w:rsidR="00691645" w:rsidRPr="00D84FA8">
        <w:rPr>
          <w:rFonts w:ascii="Arial" w:hAnsi="Arial" w:cs="Arial"/>
          <w:sz w:val="24"/>
          <w:szCs w:val="24"/>
        </w:rPr>
        <w:t>, notwithstanding</w:t>
      </w:r>
      <w:r w:rsidR="00043BC2" w:rsidRPr="00D84FA8">
        <w:rPr>
          <w:rFonts w:ascii="Arial" w:hAnsi="Arial" w:cs="Arial"/>
          <w:sz w:val="24"/>
          <w:szCs w:val="24"/>
        </w:rPr>
        <w:t xml:space="preserve"> the very limited time available. The applicants, </w:t>
      </w:r>
      <w:r w:rsidR="001F397E" w:rsidRPr="00D84FA8">
        <w:rPr>
          <w:rFonts w:ascii="Arial" w:hAnsi="Arial" w:cs="Arial"/>
          <w:sz w:val="24"/>
          <w:szCs w:val="24"/>
        </w:rPr>
        <w:t>in turn</w:t>
      </w:r>
      <w:r w:rsidR="00043BC2" w:rsidRPr="00D84FA8">
        <w:rPr>
          <w:rFonts w:ascii="Arial" w:hAnsi="Arial" w:cs="Arial"/>
          <w:sz w:val="24"/>
          <w:szCs w:val="24"/>
        </w:rPr>
        <w:t xml:space="preserve">, delivered a replying affidavit of 29 pages (excluding annexures). On the day of the hearing, Friday, 3 March 2023, the court </w:t>
      </w:r>
      <w:r w:rsidR="005F6230" w:rsidRPr="00D84FA8">
        <w:rPr>
          <w:rFonts w:ascii="Arial" w:hAnsi="Arial" w:cs="Arial"/>
          <w:sz w:val="24"/>
          <w:szCs w:val="24"/>
        </w:rPr>
        <w:t>invited</w:t>
      </w:r>
      <w:r w:rsidR="00043BC2" w:rsidRPr="00D84FA8">
        <w:rPr>
          <w:rFonts w:ascii="Arial" w:hAnsi="Arial" w:cs="Arial"/>
          <w:sz w:val="24"/>
          <w:szCs w:val="24"/>
        </w:rPr>
        <w:t xml:space="preserve"> argument in relation to </w:t>
      </w:r>
      <w:r w:rsidR="00651C1E" w:rsidRPr="00D84FA8">
        <w:rPr>
          <w:rFonts w:ascii="Arial" w:hAnsi="Arial" w:cs="Arial"/>
          <w:sz w:val="24"/>
          <w:szCs w:val="24"/>
        </w:rPr>
        <w:t xml:space="preserve">both </w:t>
      </w:r>
      <w:r w:rsidR="00043BC2" w:rsidRPr="00D84FA8">
        <w:rPr>
          <w:rFonts w:ascii="Arial" w:hAnsi="Arial" w:cs="Arial"/>
          <w:sz w:val="24"/>
          <w:szCs w:val="24"/>
        </w:rPr>
        <w:t>urgency and merits before reserving judgment.</w:t>
      </w:r>
    </w:p>
    <w:p w14:paraId="2C44D9BA" w14:textId="77777777" w:rsidR="008C4ACA" w:rsidRPr="008C4ACA" w:rsidRDefault="008C4ACA" w:rsidP="008C4ACA">
      <w:pPr>
        <w:pStyle w:val="ListParagraph"/>
        <w:rPr>
          <w:rFonts w:ascii="Arial" w:hAnsi="Arial" w:cs="Arial"/>
          <w:sz w:val="24"/>
          <w:szCs w:val="24"/>
        </w:rPr>
      </w:pPr>
    </w:p>
    <w:p w14:paraId="6BF43AE5" w14:textId="51EDED69"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51C1E" w:rsidRPr="00D84FA8">
        <w:rPr>
          <w:rFonts w:ascii="Arial" w:hAnsi="Arial" w:cs="Arial"/>
          <w:sz w:val="24"/>
          <w:szCs w:val="24"/>
        </w:rPr>
        <w:t xml:space="preserve">It is necessary at this point to </w:t>
      </w:r>
      <w:r w:rsidR="002A4609" w:rsidRPr="00D84FA8">
        <w:rPr>
          <w:rFonts w:ascii="Arial" w:hAnsi="Arial" w:cs="Arial"/>
          <w:sz w:val="24"/>
          <w:szCs w:val="24"/>
        </w:rPr>
        <w:t>emphasise that</w:t>
      </w:r>
      <w:r w:rsidR="00AE44B0" w:rsidRPr="00D84FA8">
        <w:rPr>
          <w:rFonts w:ascii="Arial" w:hAnsi="Arial" w:cs="Arial"/>
          <w:sz w:val="24"/>
          <w:szCs w:val="24"/>
        </w:rPr>
        <w:t>, despite having heard</w:t>
      </w:r>
      <w:r w:rsidR="005F6230" w:rsidRPr="00D84FA8">
        <w:rPr>
          <w:rFonts w:ascii="Arial" w:hAnsi="Arial" w:cs="Arial"/>
          <w:sz w:val="24"/>
          <w:szCs w:val="24"/>
        </w:rPr>
        <w:t xml:space="preserve"> submissions in relation to the merits,</w:t>
      </w:r>
      <w:r w:rsidR="00AE44B0" w:rsidRPr="00D84FA8">
        <w:rPr>
          <w:rFonts w:ascii="Arial" w:hAnsi="Arial" w:cs="Arial"/>
          <w:sz w:val="24"/>
          <w:szCs w:val="24"/>
        </w:rPr>
        <w:t xml:space="preserve"> </w:t>
      </w:r>
      <w:r w:rsidR="002A4609" w:rsidRPr="00D84FA8">
        <w:rPr>
          <w:rFonts w:ascii="Arial" w:hAnsi="Arial" w:cs="Arial"/>
          <w:sz w:val="24"/>
          <w:szCs w:val="24"/>
        </w:rPr>
        <w:t xml:space="preserve">the court is </w:t>
      </w:r>
      <w:r w:rsidR="005F6230" w:rsidRPr="00D84FA8">
        <w:rPr>
          <w:rFonts w:ascii="Arial" w:hAnsi="Arial" w:cs="Arial"/>
          <w:sz w:val="24"/>
          <w:szCs w:val="24"/>
        </w:rPr>
        <w:t xml:space="preserve">still </w:t>
      </w:r>
      <w:r w:rsidR="002A4609" w:rsidRPr="00D84FA8">
        <w:rPr>
          <w:rFonts w:ascii="Arial" w:hAnsi="Arial" w:cs="Arial"/>
          <w:sz w:val="24"/>
          <w:szCs w:val="24"/>
        </w:rPr>
        <w:t xml:space="preserve">required to decide whether </w:t>
      </w:r>
      <w:r w:rsidR="00AE44B0" w:rsidRPr="00D84FA8">
        <w:rPr>
          <w:rFonts w:ascii="Arial" w:hAnsi="Arial" w:cs="Arial"/>
          <w:sz w:val="24"/>
          <w:szCs w:val="24"/>
        </w:rPr>
        <w:t>the</w:t>
      </w:r>
      <w:r w:rsidR="00D540A8" w:rsidRPr="00D84FA8">
        <w:rPr>
          <w:rFonts w:ascii="Arial" w:hAnsi="Arial" w:cs="Arial"/>
          <w:sz w:val="24"/>
          <w:szCs w:val="24"/>
        </w:rPr>
        <w:t xml:space="preserve"> matter was properly enrolled. In other words, the court must decide whether there was</w:t>
      </w:r>
      <w:r w:rsidR="00A85C07" w:rsidRPr="00D84FA8">
        <w:rPr>
          <w:rFonts w:ascii="Arial" w:hAnsi="Arial" w:cs="Arial"/>
          <w:sz w:val="24"/>
          <w:szCs w:val="24"/>
        </w:rPr>
        <w:t xml:space="preserve">, </w:t>
      </w:r>
      <w:r w:rsidR="00AE44B0" w:rsidRPr="00D84FA8">
        <w:rPr>
          <w:rFonts w:ascii="Arial" w:hAnsi="Arial" w:cs="Arial"/>
          <w:sz w:val="24"/>
          <w:szCs w:val="24"/>
        </w:rPr>
        <w:t>in fact</w:t>
      </w:r>
      <w:r w:rsidR="00A85C07" w:rsidRPr="00D84FA8">
        <w:rPr>
          <w:rFonts w:ascii="Arial" w:hAnsi="Arial" w:cs="Arial"/>
          <w:sz w:val="24"/>
          <w:szCs w:val="24"/>
        </w:rPr>
        <w:t>,</w:t>
      </w:r>
      <w:r w:rsidR="00AE44B0" w:rsidRPr="00D84FA8">
        <w:rPr>
          <w:rFonts w:ascii="Arial" w:hAnsi="Arial" w:cs="Arial"/>
          <w:sz w:val="24"/>
          <w:szCs w:val="24"/>
        </w:rPr>
        <w:t xml:space="preserve"> sufficient urgency </w:t>
      </w:r>
      <w:r w:rsidR="00A85C07" w:rsidRPr="00D84FA8">
        <w:rPr>
          <w:rFonts w:ascii="Arial" w:hAnsi="Arial" w:cs="Arial"/>
          <w:sz w:val="24"/>
          <w:szCs w:val="24"/>
        </w:rPr>
        <w:t>to have justified a departure from the timeframes prescribed under rule 6</w:t>
      </w:r>
      <w:r w:rsidR="00F06856" w:rsidRPr="00D84FA8">
        <w:rPr>
          <w:rFonts w:ascii="Arial" w:hAnsi="Arial" w:cs="Arial"/>
          <w:sz w:val="24"/>
          <w:szCs w:val="24"/>
        </w:rPr>
        <w:t>(5) of the URC.</w:t>
      </w:r>
    </w:p>
    <w:p w14:paraId="1384419B" w14:textId="77777777" w:rsidR="008C4ACA" w:rsidRPr="008C4ACA" w:rsidRDefault="008C4ACA" w:rsidP="008C4ACA">
      <w:pPr>
        <w:pStyle w:val="ListParagraph"/>
        <w:rPr>
          <w:rFonts w:ascii="Arial" w:hAnsi="Arial" w:cs="Arial"/>
          <w:i/>
          <w:iCs/>
          <w:sz w:val="24"/>
          <w:szCs w:val="24"/>
        </w:rPr>
      </w:pPr>
    </w:p>
    <w:p w14:paraId="459EA833" w14:textId="77777777" w:rsidR="008C4ACA" w:rsidRPr="008C4ACA" w:rsidRDefault="008C4ACA" w:rsidP="008C4ACA">
      <w:pPr>
        <w:pStyle w:val="ListParagraph"/>
        <w:rPr>
          <w:rFonts w:ascii="Arial" w:hAnsi="Arial" w:cs="Arial"/>
          <w:i/>
          <w:iCs/>
          <w:sz w:val="24"/>
          <w:szCs w:val="24"/>
        </w:rPr>
      </w:pPr>
    </w:p>
    <w:p w14:paraId="0F74DD21" w14:textId="77777777" w:rsidR="008C4ACA" w:rsidRPr="008C4ACA" w:rsidRDefault="009B3BCB" w:rsidP="008C4ACA">
      <w:pPr>
        <w:pStyle w:val="ListParagraph"/>
        <w:spacing w:line="360" w:lineRule="auto"/>
        <w:ind w:left="0"/>
        <w:jc w:val="both"/>
        <w:rPr>
          <w:rFonts w:ascii="Arial" w:hAnsi="Arial" w:cs="Arial"/>
          <w:sz w:val="24"/>
          <w:szCs w:val="24"/>
        </w:rPr>
      </w:pPr>
      <w:r w:rsidRPr="008C4ACA">
        <w:rPr>
          <w:rFonts w:ascii="Arial" w:hAnsi="Arial" w:cs="Arial"/>
          <w:i/>
          <w:iCs/>
          <w:sz w:val="24"/>
          <w:szCs w:val="24"/>
        </w:rPr>
        <w:t>N</w:t>
      </w:r>
      <w:r w:rsidR="00374634" w:rsidRPr="008C4ACA">
        <w:rPr>
          <w:rFonts w:ascii="Arial" w:hAnsi="Arial" w:cs="Arial"/>
          <w:i/>
          <w:iCs/>
          <w:sz w:val="24"/>
          <w:szCs w:val="24"/>
        </w:rPr>
        <w:t>ature of the application</w:t>
      </w:r>
    </w:p>
    <w:p w14:paraId="5A972C6C" w14:textId="77777777" w:rsidR="008C4ACA" w:rsidRPr="008C4ACA" w:rsidRDefault="008C4ACA" w:rsidP="008C4ACA">
      <w:pPr>
        <w:pStyle w:val="ListParagraph"/>
        <w:spacing w:line="360" w:lineRule="auto"/>
        <w:ind w:left="0"/>
        <w:jc w:val="both"/>
        <w:rPr>
          <w:rFonts w:ascii="Arial" w:hAnsi="Arial" w:cs="Arial"/>
          <w:sz w:val="24"/>
          <w:szCs w:val="24"/>
        </w:rPr>
      </w:pPr>
    </w:p>
    <w:p w14:paraId="6B0155E8" w14:textId="68685D54"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43BC2" w:rsidRPr="00D84FA8">
        <w:rPr>
          <w:rFonts w:ascii="Arial" w:hAnsi="Arial" w:cs="Arial"/>
          <w:sz w:val="24"/>
          <w:szCs w:val="24"/>
        </w:rPr>
        <w:t>I</w:t>
      </w:r>
      <w:r w:rsidR="00CE6768" w:rsidRPr="00D84FA8">
        <w:rPr>
          <w:rFonts w:ascii="Arial" w:hAnsi="Arial" w:cs="Arial"/>
          <w:sz w:val="24"/>
          <w:szCs w:val="24"/>
        </w:rPr>
        <w:t xml:space="preserve">n </w:t>
      </w:r>
      <w:r w:rsidR="00CE6768" w:rsidRPr="00D84FA8">
        <w:rPr>
          <w:rFonts w:ascii="Arial" w:hAnsi="Arial" w:cs="Arial"/>
          <w:i/>
          <w:iCs/>
          <w:sz w:val="24"/>
          <w:szCs w:val="24"/>
        </w:rPr>
        <w:t xml:space="preserve">Luna Meubel Vervaardigers (Edms) Bpk v Makin </w:t>
      </w:r>
      <w:r w:rsidR="00C5770F" w:rsidRPr="00D84FA8">
        <w:rPr>
          <w:rFonts w:ascii="Arial" w:hAnsi="Arial" w:cs="Arial"/>
          <w:i/>
          <w:iCs/>
          <w:sz w:val="24"/>
          <w:szCs w:val="24"/>
        </w:rPr>
        <w:t>(t/a Makin’s Furniture Manufacturers)</w:t>
      </w:r>
      <w:r w:rsidR="00CE6768" w:rsidRPr="00D84FA8">
        <w:rPr>
          <w:rFonts w:ascii="Arial" w:hAnsi="Arial" w:cs="Arial"/>
          <w:sz w:val="24"/>
          <w:szCs w:val="24"/>
        </w:rPr>
        <w:t>,</w:t>
      </w:r>
      <w:r w:rsidR="00CE6768">
        <w:rPr>
          <w:rStyle w:val="FootnoteReference"/>
          <w:rFonts w:ascii="Arial" w:hAnsi="Arial" w:cs="Arial"/>
          <w:sz w:val="24"/>
          <w:szCs w:val="24"/>
        </w:rPr>
        <w:footnoteReference w:id="9"/>
      </w:r>
      <w:r w:rsidR="00CE6768" w:rsidRPr="00D84FA8">
        <w:rPr>
          <w:rFonts w:ascii="Arial" w:hAnsi="Arial" w:cs="Arial"/>
          <w:sz w:val="24"/>
          <w:szCs w:val="24"/>
        </w:rPr>
        <w:t xml:space="preserve"> Coetzee J listed the </w:t>
      </w:r>
      <w:r w:rsidR="00043BC2" w:rsidRPr="00D84FA8">
        <w:rPr>
          <w:rFonts w:ascii="Arial" w:hAnsi="Arial" w:cs="Arial"/>
          <w:sz w:val="24"/>
          <w:szCs w:val="24"/>
        </w:rPr>
        <w:t>degrees of urgency</w:t>
      </w:r>
      <w:r w:rsidR="00C5770F" w:rsidRPr="00D84FA8">
        <w:rPr>
          <w:rFonts w:ascii="Arial" w:hAnsi="Arial" w:cs="Arial"/>
          <w:sz w:val="24"/>
          <w:szCs w:val="24"/>
        </w:rPr>
        <w:t xml:space="preserve"> that a court would usually encounter</w:t>
      </w:r>
      <w:r w:rsidR="00CE6768" w:rsidRPr="00D84FA8">
        <w:rPr>
          <w:rFonts w:ascii="Arial" w:hAnsi="Arial" w:cs="Arial"/>
          <w:sz w:val="24"/>
          <w:szCs w:val="24"/>
        </w:rPr>
        <w:t xml:space="preserve">. The least urgent is </w:t>
      </w:r>
      <w:r w:rsidR="00043BC2" w:rsidRPr="00D84FA8">
        <w:rPr>
          <w:rFonts w:ascii="Arial" w:hAnsi="Arial" w:cs="Arial"/>
          <w:sz w:val="24"/>
          <w:szCs w:val="24"/>
        </w:rPr>
        <w:t xml:space="preserve">a departure from the </w:t>
      </w:r>
      <w:r w:rsidR="00FF5265" w:rsidRPr="00D84FA8">
        <w:rPr>
          <w:rFonts w:ascii="Arial" w:hAnsi="Arial" w:cs="Arial"/>
          <w:sz w:val="24"/>
          <w:szCs w:val="24"/>
        </w:rPr>
        <w:t xml:space="preserve">rule 6(5) </w:t>
      </w:r>
      <w:r w:rsidR="00043BC2" w:rsidRPr="00D84FA8">
        <w:rPr>
          <w:rFonts w:ascii="Arial" w:hAnsi="Arial" w:cs="Arial"/>
          <w:sz w:val="24"/>
          <w:szCs w:val="24"/>
        </w:rPr>
        <w:t xml:space="preserve">timeframes </w:t>
      </w:r>
      <w:r w:rsidR="00CE6768" w:rsidRPr="00D84FA8">
        <w:rPr>
          <w:rFonts w:ascii="Arial" w:hAnsi="Arial" w:cs="Arial"/>
          <w:sz w:val="24"/>
          <w:szCs w:val="24"/>
        </w:rPr>
        <w:t>such that the</w:t>
      </w:r>
      <w:r w:rsidR="002169BE" w:rsidRPr="00D84FA8">
        <w:rPr>
          <w:rFonts w:ascii="Arial" w:hAnsi="Arial" w:cs="Arial"/>
          <w:sz w:val="24"/>
          <w:szCs w:val="24"/>
        </w:rPr>
        <w:t xml:space="preserve"> application</w:t>
      </w:r>
      <w:r w:rsidR="00CE6768" w:rsidRPr="00D84FA8">
        <w:rPr>
          <w:rFonts w:ascii="Arial" w:hAnsi="Arial" w:cs="Arial"/>
          <w:sz w:val="24"/>
          <w:szCs w:val="24"/>
        </w:rPr>
        <w:t xml:space="preserve"> is set down for hearing on a motion court date less </w:t>
      </w:r>
      <w:r w:rsidR="002169BE" w:rsidRPr="00D84FA8">
        <w:rPr>
          <w:rFonts w:ascii="Arial" w:hAnsi="Arial" w:cs="Arial"/>
          <w:sz w:val="24"/>
          <w:szCs w:val="24"/>
        </w:rPr>
        <w:t xml:space="preserve">than </w:t>
      </w:r>
      <w:r w:rsidR="00CE6768" w:rsidRPr="00D84FA8">
        <w:rPr>
          <w:rFonts w:ascii="Arial" w:hAnsi="Arial" w:cs="Arial"/>
          <w:sz w:val="24"/>
          <w:szCs w:val="24"/>
        </w:rPr>
        <w:t xml:space="preserve">ten days after service. The most urgent is where the applicant cannot possibly wait until the next court day and </w:t>
      </w:r>
      <w:r w:rsidR="00CE6768" w:rsidRPr="00D84FA8">
        <w:rPr>
          <w:rFonts w:ascii="Arial" w:hAnsi="Arial" w:cs="Arial"/>
          <w:sz w:val="24"/>
          <w:szCs w:val="24"/>
        </w:rPr>
        <w:lastRenderedPageBreak/>
        <w:t xml:space="preserve">the </w:t>
      </w:r>
      <w:r w:rsidR="002169BE" w:rsidRPr="00D84FA8">
        <w:rPr>
          <w:rFonts w:ascii="Arial" w:hAnsi="Arial" w:cs="Arial"/>
          <w:sz w:val="24"/>
          <w:szCs w:val="24"/>
        </w:rPr>
        <w:t>application</w:t>
      </w:r>
      <w:r w:rsidR="00CE6768" w:rsidRPr="00D84FA8">
        <w:rPr>
          <w:rFonts w:ascii="Arial" w:hAnsi="Arial" w:cs="Arial"/>
          <w:sz w:val="24"/>
          <w:szCs w:val="24"/>
        </w:rPr>
        <w:t xml:space="preserve"> is set down at any reasonably convenient time, even if that be at night or during a weekend.</w:t>
      </w:r>
      <w:r w:rsidR="00C5770F">
        <w:rPr>
          <w:rStyle w:val="FootnoteReference"/>
          <w:rFonts w:ascii="Arial" w:hAnsi="Arial" w:cs="Arial"/>
          <w:sz w:val="24"/>
          <w:szCs w:val="24"/>
        </w:rPr>
        <w:footnoteReference w:id="10"/>
      </w:r>
      <w:r w:rsidR="002169BE" w:rsidRPr="00D84FA8">
        <w:rPr>
          <w:rFonts w:ascii="Arial" w:hAnsi="Arial" w:cs="Arial"/>
          <w:sz w:val="24"/>
          <w:szCs w:val="24"/>
        </w:rPr>
        <w:t xml:space="preserve"> </w:t>
      </w:r>
      <w:r w:rsidR="00445CC6" w:rsidRPr="00D84FA8">
        <w:rPr>
          <w:rFonts w:ascii="Arial" w:hAnsi="Arial" w:cs="Arial"/>
          <w:sz w:val="24"/>
          <w:szCs w:val="24"/>
        </w:rPr>
        <w:t xml:space="preserve">Of </w:t>
      </w:r>
      <w:r w:rsidR="005915C2" w:rsidRPr="00D84FA8">
        <w:rPr>
          <w:rFonts w:ascii="Arial" w:hAnsi="Arial" w:cs="Arial"/>
          <w:sz w:val="24"/>
          <w:szCs w:val="24"/>
        </w:rPr>
        <w:t xml:space="preserve">particular </w:t>
      </w:r>
      <w:r w:rsidR="00445CC6" w:rsidRPr="00D84FA8">
        <w:rPr>
          <w:rFonts w:ascii="Arial" w:hAnsi="Arial" w:cs="Arial"/>
          <w:sz w:val="24"/>
          <w:szCs w:val="24"/>
        </w:rPr>
        <w:t xml:space="preserve">relevance to the present matter is the distinction that Coetzee J </w:t>
      </w:r>
      <w:r w:rsidR="00223F09" w:rsidRPr="00D84FA8">
        <w:rPr>
          <w:rFonts w:ascii="Arial" w:hAnsi="Arial" w:cs="Arial"/>
          <w:sz w:val="24"/>
          <w:szCs w:val="24"/>
        </w:rPr>
        <w:t xml:space="preserve">made </w:t>
      </w:r>
      <w:r w:rsidR="00ED42A9" w:rsidRPr="00D84FA8">
        <w:rPr>
          <w:rFonts w:ascii="Arial" w:hAnsi="Arial" w:cs="Arial"/>
          <w:sz w:val="24"/>
          <w:szCs w:val="24"/>
        </w:rPr>
        <w:t xml:space="preserve">between urgent applications and </w:t>
      </w:r>
      <w:r w:rsidR="00ED42A9" w:rsidRPr="00D84FA8">
        <w:rPr>
          <w:rFonts w:ascii="Arial" w:hAnsi="Arial" w:cs="Arial"/>
          <w:i/>
          <w:iCs/>
          <w:sz w:val="24"/>
          <w:szCs w:val="24"/>
        </w:rPr>
        <w:t>ex parte</w:t>
      </w:r>
      <w:r w:rsidR="00ED42A9" w:rsidRPr="00D84FA8">
        <w:rPr>
          <w:rFonts w:ascii="Arial" w:hAnsi="Arial" w:cs="Arial"/>
          <w:sz w:val="24"/>
          <w:szCs w:val="24"/>
        </w:rPr>
        <w:t xml:space="preserve"> applications that fell under rule 6(4).</w:t>
      </w:r>
      <w:r w:rsidR="00ED42A9" w:rsidRPr="00ED42A9">
        <w:rPr>
          <w:vertAlign w:val="superscript"/>
        </w:rPr>
        <w:footnoteReference w:id="11"/>
      </w:r>
      <w:r w:rsidR="00223F09" w:rsidRPr="00D84FA8">
        <w:rPr>
          <w:rFonts w:ascii="Arial" w:hAnsi="Arial" w:cs="Arial"/>
          <w:sz w:val="24"/>
          <w:szCs w:val="24"/>
        </w:rPr>
        <w:t xml:space="preserve"> The latter </w:t>
      </w:r>
      <w:r w:rsidR="00DB50C6" w:rsidRPr="00D84FA8">
        <w:rPr>
          <w:rFonts w:ascii="Arial" w:hAnsi="Arial" w:cs="Arial"/>
          <w:sz w:val="24"/>
          <w:szCs w:val="24"/>
        </w:rPr>
        <w:t xml:space="preserve">comprise a type of application </w:t>
      </w:r>
      <w:r w:rsidR="00DB50C6" w:rsidRPr="00D84FA8">
        <w:rPr>
          <w:rFonts w:ascii="Arial" w:hAnsi="Arial" w:cs="Arial"/>
          <w:i/>
          <w:iCs/>
          <w:sz w:val="24"/>
          <w:szCs w:val="24"/>
        </w:rPr>
        <w:t>sui generis</w:t>
      </w:r>
      <w:r w:rsidR="00DA6A2D" w:rsidRPr="00D84FA8">
        <w:rPr>
          <w:rFonts w:ascii="Arial" w:hAnsi="Arial" w:cs="Arial"/>
          <w:sz w:val="24"/>
          <w:szCs w:val="24"/>
        </w:rPr>
        <w:t xml:space="preserve">, </w:t>
      </w:r>
      <w:r w:rsidR="00FB170F" w:rsidRPr="00D84FA8">
        <w:rPr>
          <w:rFonts w:ascii="Arial" w:hAnsi="Arial" w:cs="Arial"/>
          <w:sz w:val="24"/>
          <w:szCs w:val="24"/>
        </w:rPr>
        <w:t>resorted to</w:t>
      </w:r>
      <w:r w:rsidR="00DA6A2D" w:rsidRPr="00D84FA8">
        <w:rPr>
          <w:rFonts w:ascii="Arial" w:hAnsi="Arial" w:cs="Arial"/>
          <w:sz w:val="24"/>
          <w:szCs w:val="24"/>
        </w:rPr>
        <w:t xml:space="preserve"> when the</w:t>
      </w:r>
      <w:r w:rsidR="00E815EA" w:rsidRPr="00D84FA8">
        <w:rPr>
          <w:rFonts w:ascii="Arial" w:hAnsi="Arial" w:cs="Arial"/>
          <w:sz w:val="24"/>
          <w:szCs w:val="24"/>
        </w:rPr>
        <w:t>re is a</w:t>
      </w:r>
      <w:r w:rsidR="00DA6A2D" w:rsidRPr="00D84FA8">
        <w:rPr>
          <w:rFonts w:ascii="Arial" w:hAnsi="Arial" w:cs="Arial"/>
          <w:sz w:val="24"/>
          <w:szCs w:val="24"/>
        </w:rPr>
        <w:t xml:space="preserve"> threat of immediate harm.</w:t>
      </w:r>
    </w:p>
    <w:p w14:paraId="7A5EDA3F" w14:textId="77777777" w:rsidR="008C4ACA" w:rsidRDefault="008C4ACA" w:rsidP="008C4ACA">
      <w:pPr>
        <w:pStyle w:val="ListParagraph"/>
        <w:spacing w:line="360" w:lineRule="auto"/>
        <w:ind w:left="0"/>
        <w:jc w:val="both"/>
        <w:rPr>
          <w:rFonts w:ascii="Arial" w:hAnsi="Arial" w:cs="Arial"/>
          <w:sz w:val="24"/>
          <w:szCs w:val="24"/>
        </w:rPr>
      </w:pPr>
    </w:p>
    <w:p w14:paraId="5FCDC7B1" w14:textId="49D67ECB"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51C1E" w:rsidRPr="00D84FA8">
        <w:rPr>
          <w:rFonts w:ascii="Arial" w:hAnsi="Arial" w:cs="Arial"/>
          <w:sz w:val="24"/>
          <w:szCs w:val="24"/>
        </w:rPr>
        <w:t>D</w:t>
      </w:r>
      <w:r w:rsidR="00B21292" w:rsidRPr="00D84FA8">
        <w:rPr>
          <w:rFonts w:ascii="Arial" w:hAnsi="Arial" w:cs="Arial"/>
          <w:sz w:val="24"/>
          <w:szCs w:val="24"/>
        </w:rPr>
        <w:t>espite not being described as such</w:t>
      </w:r>
      <w:r w:rsidR="00651C1E" w:rsidRPr="00D84FA8">
        <w:rPr>
          <w:rFonts w:ascii="Arial" w:hAnsi="Arial" w:cs="Arial"/>
          <w:sz w:val="24"/>
          <w:szCs w:val="24"/>
        </w:rPr>
        <w:t>, t</w:t>
      </w:r>
      <w:r w:rsidR="00B36109" w:rsidRPr="00D84FA8">
        <w:rPr>
          <w:rFonts w:ascii="Arial" w:hAnsi="Arial" w:cs="Arial"/>
          <w:sz w:val="24"/>
          <w:szCs w:val="24"/>
        </w:rPr>
        <w:t xml:space="preserve">he present application is </w:t>
      </w:r>
      <w:r w:rsidR="00B36109" w:rsidRPr="00D84FA8">
        <w:rPr>
          <w:rFonts w:ascii="Arial" w:hAnsi="Arial" w:cs="Arial"/>
          <w:i/>
          <w:iCs/>
          <w:sz w:val="24"/>
          <w:szCs w:val="24"/>
        </w:rPr>
        <w:t>ex parte</w:t>
      </w:r>
      <w:r w:rsidR="00B36109" w:rsidRPr="00D84FA8">
        <w:rPr>
          <w:rFonts w:ascii="Arial" w:hAnsi="Arial" w:cs="Arial"/>
          <w:sz w:val="24"/>
          <w:szCs w:val="24"/>
        </w:rPr>
        <w:t xml:space="preserve"> in nature. It is apparent that the applicants intended that no notice be given to the respondents before seeking a rule </w:t>
      </w:r>
      <w:r w:rsidR="00B36109" w:rsidRPr="00D84FA8">
        <w:rPr>
          <w:rFonts w:ascii="Arial" w:hAnsi="Arial" w:cs="Arial"/>
          <w:i/>
          <w:iCs/>
          <w:sz w:val="24"/>
          <w:szCs w:val="24"/>
        </w:rPr>
        <w:t>nisi</w:t>
      </w:r>
      <w:r w:rsidR="00B36109" w:rsidRPr="00D84FA8">
        <w:rPr>
          <w:rFonts w:ascii="Arial" w:hAnsi="Arial" w:cs="Arial"/>
          <w:sz w:val="24"/>
          <w:szCs w:val="24"/>
        </w:rPr>
        <w:t xml:space="preserve">. </w:t>
      </w:r>
    </w:p>
    <w:p w14:paraId="7472C25D" w14:textId="77777777" w:rsidR="008C4ACA" w:rsidRPr="008C4ACA" w:rsidRDefault="008C4ACA" w:rsidP="008C4ACA">
      <w:pPr>
        <w:pStyle w:val="ListParagraph"/>
        <w:rPr>
          <w:rFonts w:ascii="Arial" w:hAnsi="Arial" w:cs="Arial"/>
          <w:sz w:val="24"/>
          <w:szCs w:val="24"/>
        </w:rPr>
      </w:pPr>
    </w:p>
    <w:p w14:paraId="717AA542" w14:textId="7EEF86F3" w:rsidR="00B36109" w:rsidRPr="00D84FA8" w:rsidRDefault="00D84FA8" w:rsidP="00D84FA8">
      <w:pPr>
        <w:spacing w:line="360" w:lineRule="auto"/>
        <w:jc w:val="both"/>
        <w:rPr>
          <w:rFonts w:ascii="Arial" w:hAnsi="Arial" w:cs="Arial"/>
          <w:sz w:val="24"/>
          <w:szCs w:val="24"/>
        </w:rPr>
      </w:pPr>
      <w:r w:rsidRPr="008C4ACA">
        <w:rPr>
          <w:rFonts w:ascii="Arial" w:hAnsi="Arial" w:cs="Arial"/>
          <w:sz w:val="24"/>
          <w:szCs w:val="24"/>
        </w:rPr>
        <w:t>[28]</w:t>
      </w:r>
      <w:r w:rsidRPr="008C4ACA">
        <w:rPr>
          <w:rFonts w:ascii="Arial" w:hAnsi="Arial" w:cs="Arial"/>
          <w:sz w:val="24"/>
          <w:szCs w:val="24"/>
        </w:rPr>
        <w:tab/>
      </w:r>
      <w:r w:rsidR="00B36109" w:rsidRPr="00D84FA8">
        <w:rPr>
          <w:rFonts w:ascii="Arial" w:hAnsi="Arial" w:cs="Arial"/>
          <w:sz w:val="24"/>
          <w:szCs w:val="24"/>
        </w:rPr>
        <w:t xml:space="preserve">The provisions of rule 6(4) </w:t>
      </w:r>
      <w:r w:rsidR="00542EED" w:rsidRPr="00D84FA8">
        <w:rPr>
          <w:rFonts w:ascii="Arial" w:hAnsi="Arial" w:cs="Arial"/>
          <w:sz w:val="24"/>
          <w:szCs w:val="24"/>
        </w:rPr>
        <w:t xml:space="preserve">indeed </w:t>
      </w:r>
      <w:r w:rsidR="00B36109" w:rsidRPr="00D84FA8">
        <w:rPr>
          <w:rFonts w:ascii="Arial" w:hAnsi="Arial" w:cs="Arial"/>
          <w:sz w:val="24"/>
          <w:szCs w:val="24"/>
        </w:rPr>
        <w:t>permit such an approach but only in limited circumstances</w:t>
      </w:r>
      <w:r w:rsidR="007F0DC5" w:rsidRPr="00D84FA8">
        <w:rPr>
          <w:rFonts w:ascii="Arial" w:hAnsi="Arial" w:cs="Arial"/>
          <w:sz w:val="24"/>
          <w:szCs w:val="24"/>
        </w:rPr>
        <w:t>.</w:t>
      </w:r>
      <w:r w:rsidR="007F0DC5">
        <w:rPr>
          <w:rStyle w:val="FootnoteReference"/>
          <w:rFonts w:ascii="Arial" w:hAnsi="Arial" w:cs="Arial"/>
          <w:sz w:val="24"/>
          <w:szCs w:val="24"/>
        </w:rPr>
        <w:footnoteReference w:id="12"/>
      </w:r>
      <w:r w:rsidR="007F0DC5" w:rsidRPr="00D84FA8">
        <w:rPr>
          <w:rFonts w:ascii="Arial" w:hAnsi="Arial" w:cs="Arial"/>
          <w:sz w:val="24"/>
          <w:szCs w:val="24"/>
        </w:rPr>
        <w:t xml:space="preserve"> In </w:t>
      </w:r>
      <w:r w:rsidR="007F0DC5" w:rsidRPr="00D84FA8">
        <w:rPr>
          <w:rFonts w:ascii="Arial" w:hAnsi="Arial" w:cs="Arial"/>
          <w:i/>
          <w:iCs/>
          <w:sz w:val="24"/>
          <w:szCs w:val="24"/>
        </w:rPr>
        <w:t>Minister of Environmental Affairs v Recycling and Economic Development Initiative of South Africa NPC</w:t>
      </w:r>
      <w:r w:rsidR="007F0DC5" w:rsidRPr="00D84FA8">
        <w:rPr>
          <w:rFonts w:ascii="Arial" w:hAnsi="Arial" w:cs="Arial"/>
          <w:sz w:val="24"/>
          <w:szCs w:val="24"/>
        </w:rPr>
        <w:t>,</w:t>
      </w:r>
      <w:r w:rsidR="004878EC">
        <w:rPr>
          <w:rStyle w:val="FootnoteReference"/>
          <w:rFonts w:ascii="Arial" w:hAnsi="Arial" w:cs="Arial"/>
          <w:sz w:val="24"/>
          <w:szCs w:val="24"/>
        </w:rPr>
        <w:footnoteReference w:id="13"/>
      </w:r>
      <w:r w:rsidR="007F20A4" w:rsidRPr="00D84FA8">
        <w:rPr>
          <w:rFonts w:ascii="Arial" w:hAnsi="Arial" w:cs="Arial"/>
          <w:sz w:val="24"/>
          <w:szCs w:val="24"/>
        </w:rPr>
        <w:t xml:space="preserve"> Henney J had this to say about </w:t>
      </w:r>
      <w:r w:rsidR="007F20A4" w:rsidRPr="00D84FA8">
        <w:rPr>
          <w:rFonts w:ascii="Arial" w:hAnsi="Arial" w:cs="Arial"/>
          <w:i/>
          <w:iCs/>
          <w:sz w:val="24"/>
          <w:szCs w:val="24"/>
        </w:rPr>
        <w:t>ex parte</w:t>
      </w:r>
      <w:r w:rsidR="007F20A4" w:rsidRPr="00D84FA8">
        <w:rPr>
          <w:rFonts w:ascii="Arial" w:hAnsi="Arial" w:cs="Arial"/>
          <w:sz w:val="24"/>
          <w:szCs w:val="24"/>
        </w:rPr>
        <w:t xml:space="preserve"> applications:</w:t>
      </w:r>
    </w:p>
    <w:p w14:paraId="3EDF9A2D" w14:textId="356F4EE6" w:rsidR="007F20A4" w:rsidRPr="002D3C2F" w:rsidRDefault="007F20A4" w:rsidP="008C4ACA">
      <w:pPr>
        <w:spacing w:line="360" w:lineRule="auto"/>
        <w:ind w:left="720"/>
        <w:jc w:val="both"/>
        <w:rPr>
          <w:rFonts w:ascii="Arial" w:hAnsi="Arial" w:cs="Arial"/>
          <w:sz w:val="20"/>
          <w:szCs w:val="20"/>
        </w:rPr>
      </w:pPr>
      <w:r w:rsidRPr="002D3C2F">
        <w:rPr>
          <w:rFonts w:ascii="Arial" w:hAnsi="Arial" w:cs="Arial"/>
          <w:sz w:val="20"/>
          <w:szCs w:val="20"/>
        </w:rPr>
        <w:t xml:space="preserve">‘…Courts are loathe to grant orders on an </w:t>
      </w:r>
      <w:r w:rsidRPr="000B7D0D">
        <w:rPr>
          <w:rFonts w:ascii="Arial" w:hAnsi="Arial" w:cs="Arial"/>
          <w:i/>
          <w:iCs/>
          <w:sz w:val="20"/>
          <w:szCs w:val="20"/>
        </w:rPr>
        <w:t>ex parte</w:t>
      </w:r>
      <w:r w:rsidRPr="002D3C2F">
        <w:rPr>
          <w:rFonts w:ascii="Arial" w:hAnsi="Arial" w:cs="Arial"/>
          <w:sz w:val="20"/>
          <w:szCs w:val="20"/>
        </w:rPr>
        <w:t xml:space="preserve"> basis. It would usually discourage litigation by stealth or ambush unless there are compelling reasons to do so. In only a limited number of situations can matters be brought </w:t>
      </w:r>
      <w:r w:rsidRPr="00746F1C">
        <w:rPr>
          <w:rFonts w:ascii="Arial" w:hAnsi="Arial" w:cs="Arial"/>
          <w:i/>
          <w:iCs/>
          <w:sz w:val="20"/>
          <w:szCs w:val="20"/>
        </w:rPr>
        <w:t>ex parte</w:t>
      </w:r>
      <w:r w:rsidRPr="002D3C2F">
        <w:rPr>
          <w:rFonts w:ascii="Arial" w:hAnsi="Arial" w:cs="Arial"/>
          <w:sz w:val="20"/>
          <w:szCs w:val="20"/>
        </w:rPr>
        <w:t>. One of those would be where</w:t>
      </w:r>
      <w:r w:rsidR="002D3C2F" w:rsidRPr="002D3C2F">
        <w:rPr>
          <w:rFonts w:ascii="Arial" w:hAnsi="Arial" w:cs="Arial"/>
          <w:sz w:val="20"/>
          <w:szCs w:val="20"/>
        </w:rPr>
        <w:t xml:space="preserve"> immediate relief is sought, even though temporary in nature, because of imminent harm that would ensue should the relief not be granted.’</w:t>
      </w:r>
      <w:r w:rsidR="002D3C2F" w:rsidRPr="002D3C2F">
        <w:rPr>
          <w:rStyle w:val="FootnoteReference"/>
          <w:rFonts w:ascii="Arial" w:hAnsi="Arial" w:cs="Arial"/>
          <w:sz w:val="20"/>
          <w:szCs w:val="20"/>
        </w:rPr>
        <w:footnoteReference w:id="14"/>
      </w:r>
    </w:p>
    <w:p w14:paraId="25CCC7ED" w14:textId="3CBB15BC" w:rsidR="002169BE" w:rsidRDefault="002169BE" w:rsidP="003B1D31">
      <w:pPr>
        <w:spacing w:line="360" w:lineRule="auto"/>
        <w:rPr>
          <w:rFonts w:ascii="Arial" w:hAnsi="Arial" w:cs="Arial"/>
          <w:sz w:val="24"/>
          <w:szCs w:val="24"/>
        </w:rPr>
      </w:pPr>
      <w:r>
        <w:rPr>
          <w:rFonts w:ascii="Arial" w:hAnsi="Arial" w:cs="Arial"/>
          <w:sz w:val="24"/>
          <w:szCs w:val="24"/>
        </w:rPr>
        <w:t xml:space="preserve"> </w:t>
      </w:r>
    </w:p>
    <w:p w14:paraId="6E2C115C" w14:textId="2BEE91CC"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A4B52" w:rsidRPr="00D84FA8">
        <w:rPr>
          <w:rFonts w:ascii="Arial" w:hAnsi="Arial" w:cs="Arial"/>
          <w:sz w:val="24"/>
          <w:szCs w:val="24"/>
        </w:rPr>
        <w:t xml:space="preserve">Whether the applicants intended to </w:t>
      </w:r>
      <w:r w:rsidR="006548DE" w:rsidRPr="00D84FA8">
        <w:rPr>
          <w:rFonts w:ascii="Arial" w:hAnsi="Arial" w:cs="Arial"/>
          <w:sz w:val="24"/>
          <w:szCs w:val="24"/>
        </w:rPr>
        <w:t xml:space="preserve">bring the application on an </w:t>
      </w:r>
      <w:r w:rsidR="006548DE" w:rsidRPr="00D84FA8">
        <w:rPr>
          <w:rFonts w:ascii="Arial" w:hAnsi="Arial" w:cs="Arial"/>
          <w:i/>
          <w:iCs/>
          <w:sz w:val="24"/>
          <w:szCs w:val="24"/>
        </w:rPr>
        <w:t>ex parte</w:t>
      </w:r>
      <w:r w:rsidR="006548DE" w:rsidRPr="00D84FA8">
        <w:rPr>
          <w:rFonts w:ascii="Arial" w:hAnsi="Arial" w:cs="Arial"/>
          <w:sz w:val="24"/>
          <w:szCs w:val="24"/>
        </w:rPr>
        <w:t xml:space="preserve"> basis or whether the practical effect of the court’s directions </w:t>
      </w:r>
      <w:r w:rsidR="00DF4859" w:rsidRPr="00D84FA8">
        <w:rPr>
          <w:rFonts w:ascii="Arial" w:hAnsi="Arial" w:cs="Arial"/>
          <w:sz w:val="24"/>
          <w:szCs w:val="24"/>
        </w:rPr>
        <w:t xml:space="preserve">was that the </w:t>
      </w:r>
      <w:r w:rsidR="006548DE" w:rsidRPr="00D84FA8">
        <w:rPr>
          <w:rFonts w:ascii="Arial" w:hAnsi="Arial" w:cs="Arial"/>
          <w:sz w:val="24"/>
          <w:szCs w:val="24"/>
        </w:rPr>
        <w:t>application</w:t>
      </w:r>
      <w:r w:rsidR="00DF4859" w:rsidRPr="00D84FA8">
        <w:rPr>
          <w:rFonts w:ascii="Arial" w:hAnsi="Arial" w:cs="Arial"/>
          <w:sz w:val="24"/>
          <w:szCs w:val="24"/>
        </w:rPr>
        <w:t xml:space="preserve"> was brought on notice</w:t>
      </w:r>
      <w:r w:rsidR="005D45EA" w:rsidRPr="00D84FA8">
        <w:rPr>
          <w:rFonts w:ascii="Arial" w:hAnsi="Arial" w:cs="Arial"/>
          <w:sz w:val="24"/>
          <w:szCs w:val="24"/>
        </w:rPr>
        <w:t xml:space="preserve">, </w:t>
      </w:r>
      <w:r w:rsidR="0059298B" w:rsidRPr="00D84FA8">
        <w:rPr>
          <w:rFonts w:ascii="Arial" w:hAnsi="Arial" w:cs="Arial"/>
          <w:sz w:val="24"/>
          <w:szCs w:val="24"/>
        </w:rPr>
        <w:t>an onus rested on the applicants to demonstrate the urgent nature of the matter.</w:t>
      </w:r>
      <w:r w:rsidR="00371EC2" w:rsidRPr="00D84FA8">
        <w:rPr>
          <w:rFonts w:ascii="Arial" w:hAnsi="Arial" w:cs="Arial"/>
          <w:sz w:val="24"/>
          <w:szCs w:val="24"/>
        </w:rPr>
        <w:t xml:space="preserve"> It remains to be seen </w:t>
      </w:r>
      <w:r w:rsidR="004F235A" w:rsidRPr="00D84FA8">
        <w:rPr>
          <w:rFonts w:ascii="Arial" w:hAnsi="Arial" w:cs="Arial"/>
          <w:sz w:val="24"/>
          <w:szCs w:val="24"/>
        </w:rPr>
        <w:t>whether they have done so successfully.</w:t>
      </w:r>
    </w:p>
    <w:p w14:paraId="2411ADB2" w14:textId="77777777" w:rsidR="008C4ACA" w:rsidRDefault="008C4ACA" w:rsidP="008C4ACA">
      <w:pPr>
        <w:pStyle w:val="ListParagraph"/>
        <w:spacing w:line="360" w:lineRule="auto"/>
        <w:ind w:left="0"/>
        <w:jc w:val="both"/>
        <w:rPr>
          <w:rFonts w:ascii="Arial" w:hAnsi="Arial" w:cs="Arial"/>
          <w:sz w:val="24"/>
          <w:szCs w:val="24"/>
        </w:rPr>
      </w:pPr>
    </w:p>
    <w:p w14:paraId="255DAF90" w14:textId="77777777" w:rsidR="008C4ACA" w:rsidRDefault="008C4ACA" w:rsidP="008C4ACA">
      <w:pPr>
        <w:pStyle w:val="ListParagraph"/>
        <w:spacing w:line="360" w:lineRule="auto"/>
        <w:ind w:left="0"/>
        <w:jc w:val="both"/>
        <w:rPr>
          <w:rFonts w:ascii="Arial" w:hAnsi="Arial" w:cs="Arial"/>
          <w:sz w:val="24"/>
          <w:szCs w:val="24"/>
        </w:rPr>
      </w:pPr>
    </w:p>
    <w:p w14:paraId="3F165D2C" w14:textId="77777777" w:rsidR="008C4ACA" w:rsidRPr="008C4ACA" w:rsidRDefault="001F2D22" w:rsidP="008C4ACA">
      <w:pPr>
        <w:pStyle w:val="ListParagraph"/>
        <w:spacing w:line="360" w:lineRule="auto"/>
        <w:ind w:left="0"/>
        <w:jc w:val="both"/>
        <w:rPr>
          <w:rFonts w:ascii="Arial" w:hAnsi="Arial" w:cs="Arial"/>
          <w:sz w:val="24"/>
          <w:szCs w:val="24"/>
        </w:rPr>
      </w:pPr>
      <w:r w:rsidRPr="008C4ACA">
        <w:rPr>
          <w:rFonts w:ascii="Arial" w:hAnsi="Arial" w:cs="Arial"/>
          <w:i/>
          <w:iCs/>
          <w:sz w:val="24"/>
          <w:szCs w:val="24"/>
        </w:rPr>
        <w:t>Grounds of urgency</w:t>
      </w:r>
    </w:p>
    <w:p w14:paraId="42AA9D48" w14:textId="77777777" w:rsidR="008C4ACA" w:rsidRPr="008C4ACA" w:rsidRDefault="008C4ACA" w:rsidP="008C4ACA">
      <w:pPr>
        <w:pStyle w:val="ListParagraph"/>
        <w:spacing w:line="360" w:lineRule="auto"/>
        <w:ind w:left="0"/>
        <w:jc w:val="both"/>
        <w:rPr>
          <w:rFonts w:ascii="Arial" w:hAnsi="Arial" w:cs="Arial"/>
          <w:sz w:val="24"/>
          <w:szCs w:val="24"/>
        </w:rPr>
      </w:pPr>
    </w:p>
    <w:p w14:paraId="3D24CBCE" w14:textId="5558957B"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4F235A" w:rsidRPr="00D84FA8">
        <w:rPr>
          <w:rFonts w:ascii="Arial" w:hAnsi="Arial" w:cs="Arial"/>
          <w:sz w:val="24"/>
          <w:szCs w:val="24"/>
        </w:rPr>
        <w:t xml:space="preserve">The applicants </w:t>
      </w:r>
      <w:r w:rsidR="00837E24" w:rsidRPr="00D84FA8">
        <w:rPr>
          <w:rFonts w:ascii="Arial" w:hAnsi="Arial" w:cs="Arial"/>
          <w:sz w:val="24"/>
          <w:szCs w:val="24"/>
        </w:rPr>
        <w:t xml:space="preserve">have </w:t>
      </w:r>
      <w:r w:rsidR="00605881" w:rsidRPr="00D84FA8">
        <w:rPr>
          <w:rFonts w:ascii="Arial" w:hAnsi="Arial" w:cs="Arial"/>
          <w:sz w:val="24"/>
          <w:szCs w:val="24"/>
        </w:rPr>
        <w:t xml:space="preserve">relied on </w:t>
      </w:r>
      <w:r w:rsidR="0054498A" w:rsidRPr="00D84FA8">
        <w:rPr>
          <w:rFonts w:ascii="Arial" w:hAnsi="Arial" w:cs="Arial"/>
          <w:sz w:val="24"/>
          <w:szCs w:val="24"/>
        </w:rPr>
        <w:t xml:space="preserve">the following </w:t>
      </w:r>
      <w:r w:rsidR="00605881" w:rsidRPr="00D84FA8">
        <w:rPr>
          <w:rFonts w:ascii="Arial" w:hAnsi="Arial" w:cs="Arial"/>
          <w:sz w:val="24"/>
          <w:szCs w:val="24"/>
        </w:rPr>
        <w:t>grounds of urgency</w:t>
      </w:r>
      <w:r w:rsidR="0054498A" w:rsidRPr="00D84FA8">
        <w:rPr>
          <w:rFonts w:ascii="Arial" w:hAnsi="Arial" w:cs="Arial"/>
          <w:sz w:val="24"/>
          <w:szCs w:val="24"/>
        </w:rPr>
        <w:t xml:space="preserve">: </w:t>
      </w:r>
      <w:r w:rsidR="004E653E" w:rsidRPr="00D84FA8">
        <w:rPr>
          <w:rFonts w:ascii="Arial" w:hAnsi="Arial" w:cs="Arial"/>
          <w:sz w:val="24"/>
          <w:szCs w:val="24"/>
        </w:rPr>
        <w:t xml:space="preserve">the first respondent had ignored the </w:t>
      </w:r>
      <w:r w:rsidR="005671A1" w:rsidRPr="00D84FA8">
        <w:rPr>
          <w:rFonts w:ascii="Arial" w:hAnsi="Arial" w:cs="Arial"/>
          <w:sz w:val="24"/>
          <w:szCs w:val="24"/>
        </w:rPr>
        <w:t xml:space="preserve">correspondence sent by the applicants’ attorneys, had not divulged </w:t>
      </w:r>
      <w:r w:rsidR="003A36AF" w:rsidRPr="00D84FA8">
        <w:rPr>
          <w:rFonts w:ascii="Arial" w:hAnsi="Arial" w:cs="Arial"/>
          <w:sz w:val="24"/>
          <w:szCs w:val="24"/>
        </w:rPr>
        <w:t xml:space="preserve">any marketing plan, and </w:t>
      </w:r>
      <w:r w:rsidR="00EB3A3F" w:rsidRPr="00D84FA8">
        <w:rPr>
          <w:rFonts w:ascii="Arial" w:hAnsi="Arial" w:cs="Arial"/>
          <w:sz w:val="24"/>
          <w:szCs w:val="24"/>
        </w:rPr>
        <w:t xml:space="preserve">had </w:t>
      </w:r>
      <w:r w:rsidR="005671A1" w:rsidRPr="00D84FA8">
        <w:rPr>
          <w:rFonts w:ascii="Arial" w:hAnsi="Arial" w:cs="Arial"/>
          <w:sz w:val="24"/>
          <w:szCs w:val="24"/>
        </w:rPr>
        <w:t>seemed intent</w:t>
      </w:r>
      <w:r w:rsidR="003A36AF" w:rsidRPr="00D84FA8">
        <w:rPr>
          <w:rFonts w:ascii="Arial" w:hAnsi="Arial" w:cs="Arial"/>
          <w:sz w:val="24"/>
          <w:szCs w:val="24"/>
        </w:rPr>
        <w:t xml:space="preserve"> on selling the land </w:t>
      </w:r>
      <w:r w:rsidR="00F34185" w:rsidRPr="00D84FA8">
        <w:rPr>
          <w:rFonts w:ascii="Arial" w:hAnsi="Arial" w:cs="Arial"/>
          <w:sz w:val="24"/>
          <w:szCs w:val="24"/>
        </w:rPr>
        <w:t xml:space="preserve">at a value considerably less than </w:t>
      </w:r>
      <w:r w:rsidR="00076EA3" w:rsidRPr="00D84FA8">
        <w:rPr>
          <w:rFonts w:ascii="Arial" w:hAnsi="Arial" w:cs="Arial"/>
          <w:sz w:val="24"/>
          <w:szCs w:val="24"/>
        </w:rPr>
        <w:t>what it was worth</w:t>
      </w:r>
      <w:r w:rsidR="005D1BC4" w:rsidRPr="00D84FA8">
        <w:rPr>
          <w:rFonts w:ascii="Arial" w:hAnsi="Arial" w:cs="Arial"/>
          <w:sz w:val="24"/>
          <w:szCs w:val="24"/>
        </w:rPr>
        <w:t>. T</w:t>
      </w:r>
      <w:r w:rsidR="00F345A7" w:rsidRPr="00D84FA8">
        <w:rPr>
          <w:rFonts w:ascii="Arial" w:hAnsi="Arial" w:cs="Arial"/>
          <w:sz w:val="24"/>
          <w:szCs w:val="24"/>
        </w:rPr>
        <w:t>his had given rise to suspicion and disquiet</w:t>
      </w:r>
      <w:r w:rsidR="005D1BC4" w:rsidRPr="00D84FA8">
        <w:rPr>
          <w:rFonts w:ascii="Arial" w:hAnsi="Arial" w:cs="Arial"/>
          <w:sz w:val="24"/>
          <w:szCs w:val="24"/>
        </w:rPr>
        <w:t xml:space="preserve"> on the part of the applicants, who </w:t>
      </w:r>
      <w:r w:rsidR="004532E1" w:rsidRPr="00D84FA8">
        <w:rPr>
          <w:rFonts w:ascii="Arial" w:hAnsi="Arial" w:cs="Arial"/>
          <w:sz w:val="24"/>
          <w:szCs w:val="24"/>
        </w:rPr>
        <w:t>then decided to adopt a proactive approach to protect their interests</w:t>
      </w:r>
      <w:r w:rsidR="00076EA3" w:rsidRPr="00D84FA8">
        <w:rPr>
          <w:rFonts w:ascii="Arial" w:hAnsi="Arial" w:cs="Arial"/>
          <w:sz w:val="24"/>
          <w:szCs w:val="24"/>
        </w:rPr>
        <w:t>.</w:t>
      </w:r>
    </w:p>
    <w:p w14:paraId="19BEA6A4" w14:textId="77777777" w:rsidR="008C4ACA" w:rsidRDefault="008C4ACA" w:rsidP="008C4ACA">
      <w:pPr>
        <w:pStyle w:val="ListParagraph"/>
        <w:spacing w:line="360" w:lineRule="auto"/>
        <w:ind w:left="0"/>
        <w:jc w:val="both"/>
        <w:rPr>
          <w:rFonts w:ascii="Arial" w:hAnsi="Arial" w:cs="Arial"/>
          <w:sz w:val="24"/>
          <w:szCs w:val="24"/>
        </w:rPr>
      </w:pPr>
    </w:p>
    <w:p w14:paraId="19943A90" w14:textId="1BDFDA2C"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7E155C" w:rsidRPr="00D84FA8">
        <w:rPr>
          <w:rFonts w:ascii="Arial" w:hAnsi="Arial" w:cs="Arial"/>
          <w:sz w:val="24"/>
          <w:szCs w:val="24"/>
        </w:rPr>
        <w:t xml:space="preserve">The </w:t>
      </w:r>
      <w:r w:rsidR="002344FF" w:rsidRPr="00D84FA8">
        <w:rPr>
          <w:rFonts w:ascii="Arial" w:hAnsi="Arial" w:cs="Arial"/>
          <w:sz w:val="24"/>
          <w:szCs w:val="24"/>
        </w:rPr>
        <w:t xml:space="preserve">difficulty with the applicants’ argument is that </w:t>
      </w:r>
      <w:r w:rsidR="00F207DD" w:rsidRPr="00D84FA8">
        <w:rPr>
          <w:rFonts w:ascii="Arial" w:hAnsi="Arial" w:cs="Arial"/>
          <w:sz w:val="24"/>
          <w:szCs w:val="24"/>
        </w:rPr>
        <w:t xml:space="preserve">the </w:t>
      </w:r>
      <w:r w:rsidR="00DE2D6D" w:rsidRPr="00D84FA8">
        <w:rPr>
          <w:rFonts w:ascii="Arial" w:hAnsi="Arial" w:cs="Arial"/>
          <w:sz w:val="24"/>
          <w:szCs w:val="24"/>
        </w:rPr>
        <w:t xml:space="preserve">risk of </w:t>
      </w:r>
      <w:r w:rsidR="00D95E1A" w:rsidRPr="00D84FA8">
        <w:rPr>
          <w:rFonts w:ascii="Arial" w:hAnsi="Arial" w:cs="Arial"/>
          <w:sz w:val="24"/>
          <w:szCs w:val="24"/>
        </w:rPr>
        <w:t xml:space="preserve">the first respondent’s </w:t>
      </w:r>
      <w:r w:rsidR="00BA2E18" w:rsidRPr="00D84FA8">
        <w:rPr>
          <w:rFonts w:ascii="Arial" w:hAnsi="Arial" w:cs="Arial"/>
          <w:sz w:val="24"/>
          <w:szCs w:val="24"/>
        </w:rPr>
        <w:t xml:space="preserve">acting </w:t>
      </w:r>
      <w:r w:rsidR="003C363D" w:rsidRPr="00D84FA8">
        <w:rPr>
          <w:rFonts w:ascii="Arial" w:hAnsi="Arial" w:cs="Arial"/>
          <w:sz w:val="24"/>
          <w:szCs w:val="24"/>
        </w:rPr>
        <w:t xml:space="preserve">to their possible prejudice has existed since </w:t>
      </w:r>
      <w:r w:rsidR="00C90924" w:rsidRPr="00D84FA8">
        <w:rPr>
          <w:rFonts w:ascii="Arial" w:hAnsi="Arial" w:cs="Arial"/>
          <w:sz w:val="24"/>
          <w:szCs w:val="24"/>
        </w:rPr>
        <w:t xml:space="preserve">29 November 2022. This was </w:t>
      </w:r>
      <w:r w:rsidR="00D900CD" w:rsidRPr="00D84FA8">
        <w:rPr>
          <w:rFonts w:ascii="Arial" w:hAnsi="Arial" w:cs="Arial"/>
          <w:sz w:val="24"/>
          <w:szCs w:val="24"/>
        </w:rPr>
        <w:t xml:space="preserve">when </w:t>
      </w:r>
      <w:r w:rsidR="006656BE" w:rsidRPr="00D84FA8">
        <w:rPr>
          <w:rFonts w:ascii="Arial" w:hAnsi="Arial" w:cs="Arial"/>
          <w:sz w:val="24"/>
          <w:szCs w:val="24"/>
        </w:rPr>
        <w:t xml:space="preserve">Mr van der Lingen </w:t>
      </w:r>
      <w:r w:rsidR="003B0015" w:rsidRPr="00D84FA8">
        <w:rPr>
          <w:rFonts w:ascii="Arial" w:hAnsi="Arial" w:cs="Arial"/>
          <w:sz w:val="24"/>
          <w:szCs w:val="24"/>
        </w:rPr>
        <w:t>request</w:t>
      </w:r>
      <w:r w:rsidR="00D900CD" w:rsidRPr="00D84FA8">
        <w:rPr>
          <w:rFonts w:ascii="Arial" w:hAnsi="Arial" w:cs="Arial"/>
          <w:sz w:val="24"/>
          <w:szCs w:val="24"/>
        </w:rPr>
        <w:t>ed</w:t>
      </w:r>
      <w:r w:rsidR="003B0015" w:rsidRPr="00D84FA8">
        <w:rPr>
          <w:rFonts w:ascii="Arial" w:hAnsi="Arial" w:cs="Arial"/>
          <w:sz w:val="24"/>
          <w:szCs w:val="24"/>
        </w:rPr>
        <w:t xml:space="preserve"> details of the first respondent’s intentions</w:t>
      </w:r>
      <w:r w:rsidR="008F3241" w:rsidRPr="00D84FA8">
        <w:rPr>
          <w:rFonts w:ascii="Arial" w:hAnsi="Arial" w:cs="Arial"/>
          <w:sz w:val="24"/>
          <w:szCs w:val="24"/>
        </w:rPr>
        <w:t xml:space="preserve"> and recei</w:t>
      </w:r>
      <w:r w:rsidR="00CA0E6C" w:rsidRPr="00D84FA8">
        <w:rPr>
          <w:rFonts w:ascii="Arial" w:hAnsi="Arial" w:cs="Arial"/>
          <w:sz w:val="24"/>
          <w:szCs w:val="24"/>
        </w:rPr>
        <w:t xml:space="preserve">ved no response. </w:t>
      </w:r>
      <w:r w:rsidR="006E4B4E" w:rsidRPr="00D84FA8">
        <w:rPr>
          <w:rFonts w:ascii="Arial" w:hAnsi="Arial" w:cs="Arial"/>
          <w:sz w:val="24"/>
          <w:szCs w:val="24"/>
        </w:rPr>
        <w:t>U</w:t>
      </w:r>
      <w:r w:rsidR="00EF31FE" w:rsidRPr="00D84FA8">
        <w:rPr>
          <w:rFonts w:ascii="Arial" w:hAnsi="Arial" w:cs="Arial"/>
          <w:sz w:val="24"/>
          <w:szCs w:val="24"/>
        </w:rPr>
        <w:t xml:space="preserve">ntil Ms Jordaan’s </w:t>
      </w:r>
      <w:r w:rsidR="004B1DD3" w:rsidRPr="00D84FA8">
        <w:rPr>
          <w:rFonts w:ascii="Arial" w:hAnsi="Arial" w:cs="Arial"/>
          <w:sz w:val="24"/>
          <w:szCs w:val="24"/>
        </w:rPr>
        <w:t xml:space="preserve">subsequent </w:t>
      </w:r>
      <w:r w:rsidR="00FA4ED0" w:rsidRPr="00D84FA8">
        <w:rPr>
          <w:rFonts w:ascii="Arial" w:hAnsi="Arial" w:cs="Arial"/>
          <w:sz w:val="24"/>
          <w:szCs w:val="24"/>
        </w:rPr>
        <w:t>co</w:t>
      </w:r>
      <w:r w:rsidR="00A24449" w:rsidRPr="00D84FA8">
        <w:rPr>
          <w:rFonts w:ascii="Arial" w:hAnsi="Arial" w:cs="Arial"/>
          <w:sz w:val="24"/>
          <w:szCs w:val="24"/>
        </w:rPr>
        <w:t>mmunication</w:t>
      </w:r>
      <w:r w:rsidR="000255DE" w:rsidRPr="00D84FA8">
        <w:rPr>
          <w:rFonts w:ascii="Arial" w:hAnsi="Arial" w:cs="Arial"/>
          <w:sz w:val="24"/>
          <w:szCs w:val="24"/>
        </w:rPr>
        <w:t xml:space="preserve">, there was nothing to </w:t>
      </w:r>
      <w:r w:rsidR="00237488" w:rsidRPr="00D84FA8">
        <w:rPr>
          <w:rFonts w:ascii="Arial" w:hAnsi="Arial" w:cs="Arial"/>
          <w:sz w:val="24"/>
          <w:szCs w:val="24"/>
        </w:rPr>
        <w:t xml:space="preserve">have </w:t>
      </w:r>
      <w:r w:rsidR="000255DE" w:rsidRPr="00D84FA8">
        <w:rPr>
          <w:rFonts w:ascii="Arial" w:hAnsi="Arial" w:cs="Arial"/>
          <w:sz w:val="24"/>
          <w:szCs w:val="24"/>
        </w:rPr>
        <w:t>suggest</w:t>
      </w:r>
      <w:r w:rsidR="00237488" w:rsidRPr="00D84FA8">
        <w:rPr>
          <w:rFonts w:ascii="Arial" w:hAnsi="Arial" w:cs="Arial"/>
          <w:sz w:val="24"/>
          <w:szCs w:val="24"/>
        </w:rPr>
        <w:t xml:space="preserve">ed </w:t>
      </w:r>
      <w:r w:rsidR="000255DE" w:rsidRPr="00D84FA8">
        <w:rPr>
          <w:rFonts w:ascii="Arial" w:hAnsi="Arial" w:cs="Arial"/>
          <w:sz w:val="24"/>
          <w:szCs w:val="24"/>
        </w:rPr>
        <w:t>that the</w:t>
      </w:r>
      <w:r w:rsidR="00037E36" w:rsidRPr="00D84FA8">
        <w:rPr>
          <w:rFonts w:ascii="Arial" w:hAnsi="Arial" w:cs="Arial"/>
          <w:sz w:val="24"/>
          <w:szCs w:val="24"/>
        </w:rPr>
        <w:t xml:space="preserve"> first respondent was </w:t>
      </w:r>
      <w:r w:rsidR="007051E3" w:rsidRPr="00D84FA8">
        <w:rPr>
          <w:rFonts w:ascii="Arial" w:hAnsi="Arial" w:cs="Arial"/>
          <w:sz w:val="24"/>
          <w:szCs w:val="24"/>
        </w:rPr>
        <w:t xml:space="preserve">not going to </w:t>
      </w:r>
      <w:r w:rsidR="00677BB3" w:rsidRPr="00D84FA8">
        <w:rPr>
          <w:rFonts w:ascii="Arial" w:hAnsi="Arial" w:cs="Arial"/>
          <w:sz w:val="24"/>
          <w:szCs w:val="24"/>
        </w:rPr>
        <w:t xml:space="preserve">finalise </w:t>
      </w:r>
      <w:r w:rsidR="007051E3" w:rsidRPr="00D84FA8">
        <w:rPr>
          <w:rFonts w:ascii="Arial" w:hAnsi="Arial" w:cs="Arial"/>
          <w:sz w:val="24"/>
          <w:szCs w:val="24"/>
        </w:rPr>
        <w:t xml:space="preserve">the </w:t>
      </w:r>
      <w:r w:rsidR="00BB6212" w:rsidRPr="00D84FA8">
        <w:rPr>
          <w:rFonts w:ascii="Arial" w:hAnsi="Arial" w:cs="Arial"/>
          <w:sz w:val="24"/>
          <w:szCs w:val="24"/>
        </w:rPr>
        <w:t xml:space="preserve">administration of the estate </w:t>
      </w:r>
      <w:r w:rsidR="00351C6C" w:rsidRPr="00D84FA8">
        <w:rPr>
          <w:rFonts w:ascii="Arial" w:hAnsi="Arial" w:cs="Arial"/>
          <w:sz w:val="24"/>
          <w:szCs w:val="24"/>
        </w:rPr>
        <w:t>unhindered</w:t>
      </w:r>
      <w:r w:rsidR="00351C6C">
        <w:rPr>
          <w:rStyle w:val="FootnoteReference"/>
          <w:rFonts w:ascii="Arial" w:hAnsi="Arial" w:cs="Arial"/>
          <w:sz w:val="24"/>
          <w:szCs w:val="24"/>
        </w:rPr>
        <w:footnoteReference w:id="15"/>
      </w:r>
      <w:r w:rsidR="00351C6C" w:rsidRPr="00D84FA8">
        <w:rPr>
          <w:rFonts w:ascii="Arial" w:hAnsi="Arial" w:cs="Arial"/>
          <w:sz w:val="24"/>
          <w:szCs w:val="24"/>
        </w:rPr>
        <w:t xml:space="preserve"> </w:t>
      </w:r>
      <w:r w:rsidR="00BB6212" w:rsidRPr="00D84FA8">
        <w:rPr>
          <w:rFonts w:ascii="Arial" w:hAnsi="Arial" w:cs="Arial"/>
          <w:sz w:val="24"/>
          <w:szCs w:val="24"/>
        </w:rPr>
        <w:t xml:space="preserve">and that she would sell the land in accordance with </w:t>
      </w:r>
      <w:r w:rsidR="0053355D" w:rsidRPr="00D84FA8">
        <w:rPr>
          <w:rFonts w:ascii="Arial" w:hAnsi="Arial" w:cs="Arial"/>
          <w:sz w:val="24"/>
          <w:szCs w:val="24"/>
        </w:rPr>
        <w:t>Mrs van der Merwe’s will. There was</w:t>
      </w:r>
      <w:r w:rsidR="00677BB3" w:rsidRPr="00D84FA8">
        <w:rPr>
          <w:rFonts w:ascii="Arial" w:hAnsi="Arial" w:cs="Arial"/>
          <w:sz w:val="24"/>
          <w:szCs w:val="24"/>
        </w:rPr>
        <w:t>, moreover,</w:t>
      </w:r>
      <w:r w:rsidR="0053355D" w:rsidRPr="00D84FA8">
        <w:rPr>
          <w:rFonts w:ascii="Arial" w:hAnsi="Arial" w:cs="Arial"/>
          <w:sz w:val="24"/>
          <w:szCs w:val="24"/>
        </w:rPr>
        <w:t xml:space="preserve"> no</w:t>
      </w:r>
      <w:r w:rsidR="00286C72" w:rsidRPr="00D84FA8">
        <w:rPr>
          <w:rFonts w:ascii="Arial" w:hAnsi="Arial" w:cs="Arial"/>
          <w:sz w:val="24"/>
          <w:szCs w:val="24"/>
        </w:rPr>
        <w:t xml:space="preserve"> express term </w:t>
      </w:r>
      <w:r w:rsidR="00030288" w:rsidRPr="00D84FA8">
        <w:rPr>
          <w:rFonts w:ascii="Arial" w:hAnsi="Arial" w:cs="Arial"/>
          <w:sz w:val="24"/>
          <w:szCs w:val="24"/>
        </w:rPr>
        <w:t>in the settlement agreement that obligated her to adopt a marketing plan</w:t>
      </w:r>
      <w:r w:rsidR="00485BE0" w:rsidRPr="00D84FA8">
        <w:rPr>
          <w:rFonts w:ascii="Arial" w:hAnsi="Arial" w:cs="Arial"/>
          <w:sz w:val="24"/>
          <w:szCs w:val="24"/>
        </w:rPr>
        <w:t xml:space="preserve"> or to indicate how the land would be sold and what terms</w:t>
      </w:r>
      <w:r w:rsidR="00272719" w:rsidRPr="00D84FA8">
        <w:rPr>
          <w:rFonts w:ascii="Arial" w:hAnsi="Arial" w:cs="Arial"/>
          <w:sz w:val="24"/>
          <w:szCs w:val="24"/>
        </w:rPr>
        <w:t xml:space="preserve"> would apply</w:t>
      </w:r>
      <w:r w:rsidR="00CE2D6F" w:rsidRPr="00D84FA8">
        <w:rPr>
          <w:rFonts w:ascii="Arial" w:hAnsi="Arial" w:cs="Arial"/>
          <w:sz w:val="24"/>
          <w:szCs w:val="24"/>
        </w:rPr>
        <w:t xml:space="preserve">. When Ms Jordaan </w:t>
      </w:r>
      <w:r w:rsidR="0076678A" w:rsidRPr="00D84FA8">
        <w:rPr>
          <w:rFonts w:ascii="Arial" w:hAnsi="Arial" w:cs="Arial"/>
          <w:sz w:val="24"/>
          <w:szCs w:val="24"/>
        </w:rPr>
        <w:t>indicated</w:t>
      </w:r>
      <w:r w:rsidR="00033440" w:rsidRPr="00D84FA8">
        <w:rPr>
          <w:rFonts w:ascii="Arial" w:hAnsi="Arial" w:cs="Arial"/>
          <w:sz w:val="24"/>
          <w:szCs w:val="24"/>
        </w:rPr>
        <w:t>, on 3 February 2023,</w:t>
      </w:r>
      <w:r w:rsidR="0076678A" w:rsidRPr="00D84FA8">
        <w:rPr>
          <w:rFonts w:ascii="Arial" w:hAnsi="Arial" w:cs="Arial"/>
          <w:sz w:val="24"/>
          <w:szCs w:val="24"/>
        </w:rPr>
        <w:t xml:space="preserve"> that</w:t>
      </w:r>
      <w:r w:rsidR="00E73290" w:rsidRPr="00D84FA8">
        <w:rPr>
          <w:rFonts w:ascii="Arial" w:hAnsi="Arial" w:cs="Arial"/>
          <w:sz w:val="24"/>
          <w:szCs w:val="24"/>
        </w:rPr>
        <w:t xml:space="preserve"> Leeuwkop </w:t>
      </w:r>
      <w:r w:rsidR="00070237" w:rsidRPr="00D84FA8">
        <w:rPr>
          <w:rFonts w:ascii="Arial" w:hAnsi="Arial" w:cs="Arial"/>
          <w:sz w:val="24"/>
          <w:szCs w:val="24"/>
        </w:rPr>
        <w:t>had already been sold and that the first respondent intended to proceed with the sale of the Winterhoek farms to the sixth respondent</w:t>
      </w:r>
      <w:r w:rsidR="00ED6235" w:rsidRPr="00D84FA8">
        <w:rPr>
          <w:rFonts w:ascii="Arial" w:hAnsi="Arial" w:cs="Arial"/>
          <w:sz w:val="24"/>
          <w:szCs w:val="24"/>
        </w:rPr>
        <w:t xml:space="preserve">, </w:t>
      </w:r>
      <w:r w:rsidR="00B7082C" w:rsidRPr="00D84FA8">
        <w:rPr>
          <w:rFonts w:ascii="Arial" w:hAnsi="Arial" w:cs="Arial"/>
          <w:sz w:val="24"/>
          <w:szCs w:val="24"/>
        </w:rPr>
        <w:t>the</w:t>
      </w:r>
      <w:r w:rsidR="004F3063" w:rsidRPr="00D84FA8">
        <w:rPr>
          <w:rFonts w:ascii="Arial" w:hAnsi="Arial" w:cs="Arial"/>
          <w:sz w:val="24"/>
          <w:szCs w:val="24"/>
        </w:rPr>
        <w:t xml:space="preserve"> applicants </w:t>
      </w:r>
      <w:r w:rsidR="001A1103" w:rsidRPr="00D84FA8">
        <w:rPr>
          <w:rFonts w:ascii="Arial" w:hAnsi="Arial" w:cs="Arial"/>
          <w:sz w:val="24"/>
          <w:szCs w:val="24"/>
        </w:rPr>
        <w:t xml:space="preserve">ought to have </w:t>
      </w:r>
      <w:r w:rsidR="00095751" w:rsidRPr="00D84FA8">
        <w:rPr>
          <w:rFonts w:ascii="Arial" w:hAnsi="Arial" w:cs="Arial"/>
          <w:sz w:val="24"/>
          <w:szCs w:val="24"/>
        </w:rPr>
        <w:t>seen the writing on the wall, so to speak</w:t>
      </w:r>
      <w:r w:rsidR="008F0A39" w:rsidRPr="00D84FA8">
        <w:rPr>
          <w:rFonts w:ascii="Arial" w:hAnsi="Arial" w:cs="Arial"/>
          <w:sz w:val="24"/>
          <w:szCs w:val="24"/>
        </w:rPr>
        <w:t xml:space="preserve">. Any remaining doubt would have been </w:t>
      </w:r>
      <w:r w:rsidR="00882E91" w:rsidRPr="00D84FA8">
        <w:rPr>
          <w:rFonts w:ascii="Arial" w:hAnsi="Arial" w:cs="Arial"/>
          <w:sz w:val="24"/>
          <w:szCs w:val="24"/>
        </w:rPr>
        <w:t xml:space="preserve">entirely </w:t>
      </w:r>
      <w:r w:rsidR="008F0A39" w:rsidRPr="00D84FA8">
        <w:rPr>
          <w:rFonts w:ascii="Arial" w:hAnsi="Arial" w:cs="Arial"/>
          <w:sz w:val="24"/>
          <w:szCs w:val="24"/>
        </w:rPr>
        <w:t xml:space="preserve">removed upon the expiry of the 48-hour deadline that Mr van der Lingen imposed in </w:t>
      </w:r>
      <w:r w:rsidR="000C6B30" w:rsidRPr="00D84FA8">
        <w:rPr>
          <w:rFonts w:ascii="Arial" w:hAnsi="Arial" w:cs="Arial"/>
          <w:sz w:val="24"/>
          <w:szCs w:val="24"/>
        </w:rPr>
        <w:t>h</w:t>
      </w:r>
      <w:r w:rsidR="008F0A39" w:rsidRPr="00D84FA8">
        <w:rPr>
          <w:rFonts w:ascii="Arial" w:hAnsi="Arial" w:cs="Arial"/>
          <w:sz w:val="24"/>
          <w:szCs w:val="24"/>
        </w:rPr>
        <w:t xml:space="preserve">is correspondence of </w:t>
      </w:r>
      <w:r w:rsidR="00882E91" w:rsidRPr="00D84FA8">
        <w:rPr>
          <w:rFonts w:ascii="Arial" w:hAnsi="Arial" w:cs="Arial"/>
          <w:sz w:val="24"/>
          <w:szCs w:val="24"/>
        </w:rPr>
        <w:t xml:space="preserve">6 February 2023. </w:t>
      </w:r>
      <w:r w:rsidR="00DC2CBD" w:rsidRPr="00D84FA8">
        <w:rPr>
          <w:rFonts w:ascii="Arial" w:hAnsi="Arial" w:cs="Arial"/>
          <w:sz w:val="24"/>
          <w:szCs w:val="24"/>
        </w:rPr>
        <w:t>Why the applicants waited until 28 February 2023</w:t>
      </w:r>
      <w:r w:rsidR="007A7287" w:rsidRPr="00D84FA8">
        <w:rPr>
          <w:rFonts w:ascii="Arial" w:hAnsi="Arial" w:cs="Arial"/>
          <w:sz w:val="24"/>
          <w:szCs w:val="24"/>
        </w:rPr>
        <w:t xml:space="preserve"> before launching an </w:t>
      </w:r>
      <w:r w:rsidR="007A7287" w:rsidRPr="00D84FA8">
        <w:rPr>
          <w:rFonts w:ascii="Arial" w:hAnsi="Arial" w:cs="Arial"/>
          <w:i/>
          <w:iCs/>
          <w:sz w:val="24"/>
          <w:szCs w:val="24"/>
        </w:rPr>
        <w:t>ex parte</w:t>
      </w:r>
      <w:r w:rsidR="007A7287" w:rsidRPr="00D84FA8">
        <w:rPr>
          <w:rFonts w:ascii="Arial" w:hAnsi="Arial" w:cs="Arial"/>
          <w:sz w:val="24"/>
          <w:szCs w:val="24"/>
        </w:rPr>
        <w:t xml:space="preserve"> application was never satisfactorily revealed </w:t>
      </w:r>
      <w:r w:rsidR="00486B35" w:rsidRPr="00D84FA8">
        <w:rPr>
          <w:rFonts w:ascii="Arial" w:hAnsi="Arial" w:cs="Arial"/>
          <w:sz w:val="24"/>
          <w:szCs w:val="24"/>
        </w:rPr>
        <w:t xml:space="preserve">either </w:t>
      </w:r>
      <w:r w:rsidR="007A7287" w:rsidRPr="00D84FA8">
        <w:rPr>
          <w:rFonts w:ascii="Arial" w:hAnsi="Arial" w:cs="Arial"/>
          <w:sz w:val="24"/>
          <w:szCs w:val="24"/>
        </w:rPr>
        <w:t xml:space="preserve">in the </w:t>
      </w:r>
      <w:r w:rsidR="00486B35" w:rsidRPr="00D84FA8">
        <w:rPr>
          <w:rFonts w:ascii="Arial" w:hAnsi="Arial" w:cs="Arial"/>
          <w:sz w:val="24"/>
          <w:szCs w:val="24"/>
        </w:rPr>
        <w:t xml:space="preserve">papers or in argument. </w:t>
      </w:r>
      <w:r w:rsidR="002E1F6D" w:rsidRPr="00D84FA8">
        <w:rPr>
          <w:rFonts w:ascii="Arial" w:hAnsi="Arial" w:cs="Arial"/>
          <w:sz w:val="24"/>
          <w:szCs w:val="24"/>
        </w:rPr>
        <w:t>It is difficult not to dispel the impression that such urgency as may have existed was self-created.</w:t>
      </w:r>
    </w:p>
    <w:p w14:paraId="5AC644BD" w14:textId="77777777" w:rsidR="008C4ACA" w:rsidRDefault="008C4ACA" w:rsidP="008C4ACA">
      <w:pPr>
        <w:pStyle w:val="ListParagraph"/>
        <w:spacing w:line="360" w:lineRule="auto"/>
        <w:ind w:left="0"/>
        <w:jc w:val="both"/>
        <w:rPr>
          <w:rFonts w:ascii="Arial" w:hAnsi="Arial" w:cs="Arial"/>
          <w:sz w:val="24"/>
          <w:szCs w:val="24"/>
        </w:rPr>
      </w:pPr>
    </w:p>
    <w:p w14:paraId="1EC434BA" w14:textId="4E8C535C" w:rsidR="008C4ACA" w:rsidRPr="00D84FA8" w:rsidRDefault="00D84FA8" w:rsidP="00D84FA8">
      <w:pPr>
        <w:spacing w:line="36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1656CD" w:rsidRPr="00D84FA8">
        <w:rPr>
          <w:rFonts w:ascii="Arial" w:hAnsi="Arial" w:cs="Arial"/>
          <w:sz w:val="24"/>
          <w:szCs w:val="24"/>
        </w:rPr>
        <w:t xml:space="preserve">The other difficulty with </w:t>
      </w:r>
      <w:r w:rsidR="002D3C2F" w:rsidRPr="00D84FA8">
        <w:rPr>
          <w:rFonts w:ascii="Arial" w:hAnsi="Arial" w:cs="Arial"/>
          <w:sz w:val="24"/>
          <w:szCs w:val="24"/>
        </w:rPr>
        <w:t xml:space="preserve">the applicants’ argument is the </w:t>
      </w:r>
      <w:r w:rsidR="00D24191" w:rsidRPr="00D84FA8">
        <w:rPr>
          <w:rFonts w:ascii="Arial" w:hAnsi="Arial" w:cs="Arial"/>
          <w:sz w:val="24"/>
          <w:szCs w:val="24"/>
        </w:rPr>
        <w:t>premise</w:t>
      </w:r>
      <w:r w:rsidR="007E61B5" w:rsidRPr="00D84FA8">
        <w:rPr>
          <w:rFonts w:ascii="Arial" w:hAnsi="Arial" w:cs="Arial"/>
          <w:sz w:val="24"/>
          <w:szCs w:val="24"/>
        </w:rPr>
        <w:t xml:space="preserve"> </w:t>
      </w:r>
      <w:r w:rsidR="00D24191" w:rsidRPr="00D84FA8">
        <w:rPr>
          <w:rFonts w:ascii="Arial" w:hAnsi="Arial" w:cs="Arial"/>
          <w:sz w:val="24"/>
          <w:szCs w:val="24"/>
        </w:rPr>
        <w:t>upon which the application is based</w:t>
      </w:r>
      <w:r w:rsidR="002947AB" w:rsidRPr="00D84FA8">
        <w:rPr>
          <w:rFonts w:ascii="Arial" w:hAnsi="Arial" w:cs="Arial"/>
          <w:sz w:val="24"/>
          <w:szCs w:val="24"/>
        </w:rPr>
        <w:t xml:space="preserve">, i.e. </w:t>
      </w:r>
      <w:r w:rsidR="002D3C2F" w:rsidRPr="00D84FA8">
        <w:rPr>
          <w:rFonts w:ascii="Arial" w:hAnsi="Arial" w:cs="Arial"/>
          <w:sz w:val="24"/>
          <w:szCs w:val="24"/>
        </w:rPr>
        <w:t xml:space="preserve">that they will suffer </w:t>
      </w:r>
      <w:r w:rsidR="0011684D" w:rsidRPr="00D84FA8">
        <w:rPr>
          <w:rFonts w:ascii="Arial" w:hAnsi="Arial" w:cs="Arial"/>
          <w:sz w:val="24"/>
          <w:szCs w:val="24"/>
        </w:rPr>
        <w:t xml:space="preserve">immediate </w:t>
      </w:r>
      <w:r w:rsidR="002D3C2F" w:rsidRPr="00D84FA8">
        <w:rPr>
          <w:rFonts w:ascii="Arial" w:hAnsi="Arial" w:cs="Arial"/>
          <w:sz w:val="24"/>
          <w:szCs w:val="24"/>
        </w:rPr>
        <w:t xml:space="preserve">harm if the </w:t>
      </w:r>
      <w:r w:rsidR="002947AB" w:rsidRPr="00D84FA8">
        <w:rPr>
          <w:rFonts w:ascii="Arial" w:hAnsi="Arial" w:cs="Arial"/>
          <w:sz w:val="24"/>
          <w:szCs w:val="24"/>
        </w:rPr>
        <w:t xml:space="preserve">relief </w:t>
      </w:r>
      <w:r w:rsidR="002E11F0" w:rsidRPr="00D84FA8">
        <w:rPr>
          <w:rFonts w:ascii="Arial" w:hAnsi="Arial" w:cs="Arial"/>
          <w:sz w:val="24"/>
          <w:szCs w:val="24"/>
        </w:rPr>
        <w:t xml:space="preserve">is not granted. At the heart of </w:t>
      </w:r>
      <w:r w:rsidR="00A317F4" w:rsidRPr="00D84FA8">
        <w:rPr>
          <w:rFonts w:ascii="Arial" w:hAnsi="Arial" w:cs="Arial"/>
          <w:sz w:val="24"/>
          <w:szCs w:val="24"/>
        </w:rPr>
        <w:t xml:space="preserve">it all is the applicants’ reliance </w:t>
      </w:r>
      <w:r w:rsidR="002D3C2F" w:rsidRPr="00D84FA8">
        <w:rPr>
          <w:rFonts w:ascii="Arial" w:hAnsi="Arial" w:cs="Arial"/>
          <w:sz w:val="24"/>
          <w:szCs w:val="24"/>
        </w:rPr>
        <w:t>on the allocation of significant renewable energy projects to the land</w:t>
      </w:r>
      <w:r w:rsidR="00001706" w:rsidRPr="00D84FA8">
        <w:rPr>
          <w:rFonts w:ascii="Arial" w:hAnsi="Arial" w:cs="Arial"/>
          <w:sz w:val="24"/>
          <w:szCs w:val="24"/>
        </w:rPr>
        <w:t xml:space="preserve">, giving rise to the contention that </w:t>
      </w:r>
      <w:r w:rsidR="002D3C2F" w:rsidRPr="00D84FA8">
        <w:rPr>
          <w:rFonts w:ascii="Arial" w:hAnsi="Arial" w:cs="Arial"/>
          <w:sz w:val="24"/>
          <w:szCs w:val="24"/>
        </w:rPr>
        <w:t>the land is worth considerably more than what the respondent</w:t>
      </w:r>
      <w:r w:rsidR="00EE554A" w:rsidRPr="00D84FA8">
        <w:rPr>
          <w:rFonts w:ascii="Arial" w:hAnsi="Arial" w:cs="Arial"/>
          <w:sz w:val="24"/>
          <w:szCs w:val="24"/>
        </w:rPr>
        <w:t>s are prepared to accept</w:t>
      </w:r>
      <w:r w:rsidR="002D3C2F" w:rsidRPr="00D84FA8">
        <w:rPr>
          <w:rFonts w:ascii="Arial" w:hAnsi="Arial" w:cs="Arial"/>
          <w:sz w:val="24"/>
          <w:szCs w:val="24"/>
        </w:rPr>
        <w:t>.</w:t>
      </w:r>
      <w:r w:rsidR="00B457C1" w:rsidRPr="00D84FA8">
        <w:rPr>
          <w:rFonts w:ascii="Arial" w:hAnsi="Arial" w:cs="Arial"/>
          <w:sz w:val="24"/>
          <w:szCs w:val="24"/>
        </w:rPr>
        <w:t xml:space="preserve"> Upon closer examination of the applicants’ argument, however, </w:t>
      </w:r>
      <w:r w:rsidR="00FB5204" w:rsidRPr="00D84FA8">
        <w:rPr>
          <w:rFonts w:ascii="Arial" w:hAnsi="Arial" w:cs="Arial"/>
          <w:sz w:val="24"/>
          <w:szCs w:val="24"/>
        </w:rPr>
        <w:t>several</w:t>
      </w:r>
      <w:r w:rsidR="00B457C1" w:rsidRPr="00D84FA8">
        <w:rPr>
          <w:rFonts w:ascii="Arial" w:hAnsi="Arial" w:cs="Arial"/>
          <w:sz w:val="24"/>
          <w:szCs w:val="24"/>
        </w:rPr>
        <w:t xml:space="preserve"> weaknesses come to light. </w:t>
      </w:r>
    </w:p>
    <w:p w14:paraId="68277B9D" w14:textId="77777777" w:rsidR="008C4ACA" w:rsidRPr="008C4ACA" w:rsidRDefault="008C4ACA" w:rsidP="008C4ACA">
      <w:pPr>
        <w:pStyle w:val="ListParagraph"/>
        <w:rPr>
          <w:rFonts w:ascii="Arial" w:hAnsi="Arial" w:cs="Arial"/>
          <w:sz w:val="24"/>
          <w:szCs w:val="24"/>
        </w:rPr>
      </w:pPr>
    </w:p>
    <w:p w14:paraId="552E367C" w14:textId="0CF0D276"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D4B1B" w:rsidRPr="00D84FA8">
        <w:rPr>
          <w:rFonts w:ascii="Arial" w:hAnsi="Arial" w:cs="Arial"/>
          <w:sz w:val="24"/>
          <w:szCs w:val="24"/>
        </w:rPr>
        <w:t>O</w:t>
      </w:r>
      <w:r w:rsidR="008B4C5D" w:rsidRPr="00D84FA8">
        <w:rPr>
          <w:rFonts w:ascii="Arial" w:hAnsi="Arial" w:cs="Arial"/>
          <w:sz w:val="24"/>
          <w:szCs w:val="24"/>
        </w:rPr>
        <w:t>n the applicants’ own version,</w:t>
      </w:r>
      <w:r w:rsidR="00B457C1" w:rsidRPr="00D84FA8">
        <w:rPr>
          <w:rFonts w:ascii="Arial" w:hAnsi="Arial" w:cs="Arial"/>
          <w:sz w:val="24"/>
          <w:szCs w:val="24"/>
        </w:rPr>
        <w:t xml:space="preserve"> the </w:t>
      </w:r>
      <w:r w:rsidR="008B4C5D" w:rsidRPr="00D84FA8">
        <w:rPr>
          <w:rFonts w:ascii="Arial" w:hAnsi="Arial" w:cs="Arial"/>
          <w:sz w:val="24"/>
          <w:szCs w:val="24"/>
        </w:rPr>
        <w:t>developer merely enjoys preferred bidder status in relation to the national government’s renewable energy procurement programme</w:t>
      </w:r>
      <w:r w:rsidR="00FB5204" w:rsidRPr="00D84FA8">
        <w:rPr>
          <w:rFonts w:ascii="Arial" w:hAnsi="Arial" w:cs="Arial"/>
          <w:sz w:val="24"/>
          <w:szCs w:val="24"/>
        </w:rPr>
        <w:t xml:space="preserve">. It </w:t>
      </w:r>
      <w:r w:rsidR="008B4C5D" w:rsidRPr="00D84FA8">
        <w:rPr>
          <w:rFonts w:ascii="Arial" w:hAnsi="Arial" w:cs="Arial"/>
          <w:sz w:val="24"/>
          <w:szCs w:val="24"/>
        </w:rPr>
        <w:t>has not actually exercised the option to register either a long-term lease or a servitude over the land</w:t>
      </w:r>
      <w:r w:rsidR="00B34DC3" w:rsidRPr="00D84FA8">
        <w:rPr>
          <w:rFonts w:ascii="Arial" w:hAnsi="Arial" w:cs="Arial"/>
          <w:sz w:val="24"/>
          <w:szCs w:val="24"/>
        </w:rPr>
        <w:t>, pending the conclusion of the procurement process</w:t>
      </w:r>
      <w:r w:rsidR="008B4C5D" w:rsidRPr="00D84FA8">
        <w:rPr>
          <w:rFonts w:ascii="Arial" w:hAnsi="Arial" w:cs="Arial"/>
          <w:sz w:val="24"/>
          <w:szCs w:val="24"/>
        </w:rPr>
        <w:t xml:space="preserve">. </w:t>
      </w:r>
      <w:r w:rsidR="008637AE" w:rsidRPr="00D84FA8">
        <w:rPr>
          <w:rFonts w:ascii="Arial" w:hAnsi="Arial" w:cs="Arial"/>
          <w:sz w:val="24"/>
          <w:szCs w:val="24"/>
        </w:rPr>
        <w:t>T</w:t>
      </w:r>
      <w:r w:rsidR="008B4C5D" w:rsidRPr="00D84FA8">
        <w:rPr>
          <w:rFonts w:ascii="Arial" w:hAnsi="Arial" w:cs="Arial"/>
          <w:sz w:val="24"/>
          <w:szCs w:val="24"/>
        </w:rPr>
        <w:t>he developer</w:t>
      </w:r>
      <w:r w:rsidR="008637AE" w:rsidRPr="00D84FA8">
        <w:rPr>
          <w:rFonts w:ascii="Arial" w:hAnsi="Arial" w:cs="Arial"/>
          <w:sz w:val="24"/>
          <w:szCs w:val="24"/>
        </w:rPr>
        <w:t>, in other words,</w:t>
      </w:r>
      <w:r w:rsidR="008B4C5D" w:rsidRPr="00D84FA8">
        <w:rPr>
          <w:rFonts w:ascii="Arial" w:hAnsi="Arial" w:cs="Arial"/>
          <w:sz w:val="24"/>
          <w:szCs w:val="24"/>
        </w:rPr>
        <w:t xml:space="preserve"> has yet to be appointed. </w:t>
      </w:r>
      <w:r w:rsidR="00917ECF" w:rsidRPr="00D84FA8">
        <w:rPr>
          <w:rFonts w:ascii="Arial" w:hAnsi="Arial" w:cs="Arial"/>
          <w:sz w:val="24"/>
          <w:szCs w:val="24"/>
        </w:rPr>
        <w:t>Furthermore</w:t>
      </w:r>
      <w:r w:rsidR="008B4C5D" w:rsidRPr="00D84FA8">
        <w:rPr>
          <w:rFonts w:ascii="Arial" w:hAnsi="Arial" w:cs="Arial"/>
          <w:sz w:val="24"/>
          <w:szCs w:val="24"/>
        </w:rPr>
        <w:t>, the applicants a</w:t>
      </w:r>
      <w:r w:rsidR="00E15083" w:rsidRPr="00D84FA8">
        <w:rPr>
          <w:rFonts w:ascii="Arial" w:hAnsi="Arial" w:cs="Arial"/>
          <w:sz w:val="24"/>
          <w:szCs w:val="24"/>
        </w:rPr>
        <w:t>ver</w:t>
      </w:r>
      <w:r w:rsidR="008B4C5D" w:rsidRPr="00D84FA8">
        <w:rPr>
          <w:rFonts w:ascii="Arial" w:hAnsi="Arial" w:cs="Arial"/>
          <w:sz w:val="24"/>
          <w:szCs w:val="24"/>
        </w:rPr>
        <w:t xml:space="preserve"> that the developer has already started with construction activities and that ‘</w:t>
      </w:r>
      <w:r w:rsidR="000B15D9" w:rsidRPr="00D84FA8">
        <w:rPr>
          <w:rFonts w:ascii="Arial" w:hAnsi="Arial" w:cs="Arial"/>
          <w:sz w:val="24"/>
          <w:szCs w:val="24"/>
        </w:rPr>
        <w:t>groundwork</w:t>
      </w:r>
      <w:r w:rsidR="008B4C5D" w:rsidRPr="00D84FA8">
        <w:rPr>
          <w:rFonts w:ascii="Arial" w:hAnsi="Arial" w:cs="Arial"/>
          <w:sz w:val="24"/>
          <w:szCs w:val="24"/>
        </w:rPr>
        <w:t xml:space="preserve"> is underway’</w:t>
      </w:r>
      <w:r w:rsidR="00D10AA3" w:rsidRPr="00D84FA8">
        <w:rPr>
          <w:rFonts w:ascii="Arial" w:hAnsi="Arial" w:cs="Arial"/>
          <w:sz w:val="24"/>
          <w:szCs w:val="24"/>
        </w:rPr>
        <w:t>. W</w:t>
      </w:r>
      <w:r w:rsidR="008B4C5D" w:rsidRPr="00D84FA8">
        <w:rPr>
          <w:rFonts w:ascii="Arial" w:hAnsi="Arial" w:cs="Arial"/>
          <w:sz w:val="24"/>
          <w:szCs w:val="24"/>
        </w:rPr>
        <w:t>hat exactly this means is far from evident. Th</w:t>
      </w:r>
      <w:r w:rsidR="00023854" w:rsidRPr="00D84FA8">
        <w:rPr>
          <w:rFonts w:ascii="Arial" w:hAnsi="Arial" w:cs="Arial"/>
          <w:sz w:val="24"/>
          <w:szCs w:val="24"/>
        </w:rPr>
        <w:t>is</w:t>
      </w:r>
      <w:r w:rsidR="008B4C5D" w:rsidRPr="00D84FA8">
        <w:rPr>
          <w:rFonts w:ascii="Arial" w:hAnsi="Arial" w:cs="Arial"/>
          <w:sz w:val="24"/>
          <w:szCs w:val="24"/>
        </w:rPr>
        <w:t xml:space="preserve"> may </w:t>
      </w:r>
      <w:r w:rsidR="00023854" w:rsidRPr="00D84FA8">
        <w:rPr>
          <w:rFonts w:ascii="Arial" w:hAnsi="Arial" w:cs="Arial"/>
          <w:sz w:val="24"/>
          <w:szCs w:val="24"/>
        </w:rPr>
        <w:t xml:space="preserve">simply mean that preliminary preparations have been carried out, as would usually be the case, in </w:t>
      </w:r>
      <w:r w:rsidR="007A65FB" w:rsidRPr="00D84FA8">
        <w:rPr>
          <w:rFonts w:ascii="Arial" w:hAnsi="Arial" w:cs="Arial"/>
          <w:sz w:val="24"/>
          <w:szCs w:val="24"/>
        </w:rPr>
        <w:t xml:space="preserve">anticipation </w:t>
      </w:r>
      <w:r w:rsidR="000B15D9" w:rsidRPr="00D84FA8">
        <w:rPr>
          <w:rFonts w:ascii="Arial" w:hAnsi="Arial" w:cs="Arial"/>
          <w:sz w:val="24"/>
          <w:szCs w:val="24"/>
        </w:rPr>
        <w:t xml:space="preserve">of the possible award of the tender to the </w:t>
      </w:r>
      <w:r w:rsidR="00023854" w:rsidRPr="00D84FA8">
        <w:rPr>
          <w:rFonts w:ascii="Arial" w:hAnsi="Arial" w:cs="Arial"/>
          <w:sz w:val="24"/>
          <w:szCs w:val="24"/>
        </w:rPr>
        <w:t>developer. Mr Crouse’s valuation</w:t>
      </w:r>
      <w:r w:rsidR="00E633CA" w:rsidRPr="00D84FA8">
        <w:rPr>
          <w:rFonts w:ascii="Arial" w:hAnsi="Arial" w:cs="Arial"/>
          <w:sz w:val="24"/>
          <w:szCs w:val="24"/>
        </w:rPr>
        <w:t>, moreover,</w:t>
      </w:r>
      <w:r w:rsidR="00023854" w:rsidRPr="00D84FA8">
        <w:rPr>
          <w:rFonts w:ascii="Arial" w:hAnsi="Arial" w:cs="Arial"/>
          <w:sz w:val="24"/>
          <w:szCs w:val="24"/>
        </w:rPr>
        <w:t xml:space="preserve"> is based </w:t>
      </w:r>
      <w:r w:rsidR="00E633CA" w:rsidRPr="00D84FA8">
        <w:rPr>
          <w:rFonts w:ascii="Arial" w:hAnsi="Arial" w:cs="Arial"/>
          <w:sz w:val="24"/>
          <w:szCs w:val="24"/>
        </w:rPr>
        <w:t xml:space="preserve">merely </w:t>
      </w:r>
      <w:r w:rsidR="00023854" w:rsidRPr="00D84FA8">
        <w:rPr>
          <w:rFonts w:ascii="Arial" w:hAnsi="Arial" w:cs="Arial"/>
          <w:sz w:val="24"/>
          <w:szCs w:val="24"/>
        </w:rPr>
        <w:t>on his preliminary findings</w:t>
      </w:r>
      <w:r w:rsidR="002F1058" w:rsidRPr="00D84FA8">
        <w:rPr>
          <w:rFonts w:ascii="Arial" w:hAnsi="Arial" w:cs="Arial"/>
          <w:sz w:val="24"/>
          <w:szCs w:val="24"/>
        </w:rPr>
        <w:t xml:space="preserve">. These </w:t>
      </w:r>
      <w:r w:rsidR="00023854" w:rsidRPr="00D84FA8">
        <w:rPr>
          <w:rFonts w:ascii="Arial" w:hAnsi="Arial" w:cs="Arial"/>
          <w:sz w:val="24"/>
          <w:szCs w:val="24"/>
        </w:rPr>
        <w:t xml:space="preserve">constitute, in his words, a ‘broad brush approach’. His valuation was carried out as a ‘desktop exercise which requires detailed investigation and [the] refinement of data to achieve further reliability’. </w:t>
      </w:r>
      <w:r w:rsidR="002F1058" w:rsidRPr="00D84FA8">
        <w:rPr>
          <w:rFonts w:ascii="Arial" w:hAnsi="Arial" w:cs="Arial"/>
          <w:sz w:val="24"/>
          <w:szCs w:val="24"/>
        </w:rPr>
        <w:t xml:space="preserve">The respondents have </w:t>
      </w:r>
      <w:r w:rsidR="004109AF" w:rsidRPr="00D84FA8">
        <w:rPr>
          <w:rFonts w:ascii="Arial" w:hAnsi="Arial" w:cs="Arial"/>
          <w:sz w:val="24"/>
          <w:szCs w:val="24"/>
        </w:rPr>
        <w:t xml:space="preserve">pertinently </w:t>
      </w:r>
      <w:r w:rsidR="002F1058" w:rsidRPr="00D84FA8">
        <w:rPr>
          <w:rFonts w:ascii="Arial" w:hAnsi="Arial" w:cs="Arial"/>
          <w:sz w:val="24"/>
          <w:szCs w:val="24"/>
        </w:rPr>
        <w:t>called into question</w:t>
      </w:r>
      <w:r w:rsidR="00A301CE" w:rsidRPr="00D84FA8">
        <w:rPr>
          <w:rFonts w:ascii="Arial" w:hAnsi="Arial" w:cs="Arial"/>
          <w:sz w:val="24"/>
          <w:szCs w:val="24"/>
        </w:rPr>
        <w:t xml:space="preserve"> Mr Crouse’s valuation, contending that little value can be </w:t>
      </w:r>
      <w:r w:rsidR="00BF68EE" w:rsidRPr="00D84FA8">
        <w:rPr>
          <w:rFonts w:ascii="Arial" w:hAnsi="Arial" w:cs="Arial"/>
          <w:sz w:val="24"/>
          <w:szCs w:val="24"/>
        </w:rPr>
        <w:t>ascribed to the renewable energy project until the finalisation of contracts in that regard</w:t>
      </w:r>
      <w:r w:rsidR="000D6EFC" w:rsidRPr="00D84FA8">
        <w:rPr>
          <w:rFonts w:ascii="Arial" w:hAnsi="Arial" w:cs="Arial"/>
          <w:sz w:val="24"/>
          <w:szCs w:val="24"/>
        </w:rPr>
        <w:t>.</w:t>
      </w:r>
    </w:p>
    <w:p w14:paraId="6BFF9082" w14:textId="77777777" w:rsidR="008C4ACA" w:rsidRDefault="008C4ACA" w:rsidP="008C4ACA">
      <w:pPr>
        <w:pStyle w:val="ListParagraph"/>
        <w:spacing w:line="360" w:lineRule="auto"/>
        <w:ind w:left="0"/>
        <w:jc w:val="both"/>
        <w:rPr>
          <w:rFonts w:ascii="Arial" w:hAnsi="Arial" w:cs="Arial"/>
          <w:sz w:val="24"/>
          <w:szCs w:val="24"/>
        </w:rPr>
      </w:pPr>
    </w:p>
    <w:p w14:paraId="4F63640E" w14:textId="693C14F0"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23854" w:rsidRPr="00D84FA8">
        <w:rPr>
          <w:rFonts w:ascii="Arial" w:hAnsi="Arial" w:cs="Arial"/>
          <w:sz w:val="24"/>
          <w:szCs w:val="24"/>
        </w:rPr>
        <w:t xml:space="preserve">Overall, the applicants’ argument that the land is significantly undervalued seems to be based upon a vague set of facts, </w:t>
      </w:r>
      <w:r w:rsidR="0090192C" w:rsidRPr="00D84FA8">
        <w:rPr>
          <w:rFonts w:ascii="Arial" w:hAnsi="Arial" w:cs="Arial"/>
          <w:sz w:val="24"/>
          <w:szCs w:val="24"/>
        </w:rPr>
        <w:t>obscur</w:t>
      </w:r>
      <w:r w:rsidR="00023854" w:rsidRPr="00D84FA8">
        <w:rPr>
          <w:rFonts w:ascii="Arial" w:hAnsi="Arial" w:cs="Arial"/>
          <w:sz w:val="24"/>
          <w:szCs w:val="24"/>
        </w:rPr>
        <w:t xml:space="preserve">ed by a great deal of speculation and uncertainty. The upshot of this is that </w:t>
      </w:r>
      <w:r w:rsidR="007A65FB" w:rsidRPr="00D84FA8">
        <w:rPr>
          <w:rFonts w:ascii="Arial" w:hAnsi="Arial" w:cs="Arial"/>
          <w:sz w:val="24"/>
          <w:szCs w:val="24"/>
        </w:rPr>
        <w:t xml:space="preserve">the court finds it difficult to be persuaded that harm is indeed imminent, warranting an </w:t>
      </w:r>
      <w:r w:rsidR="007A65FB" w:rsidRPr="00D84FA8">
        <w:rPr>
          <w:rFonts w:ascii="Arial" w:hAnsi="Arial" w:cs="Arial"/>
          <w:i/>
          <w:iCs/>
          <w:sz w:val="24"/>
          <w:szCs w:val="24"/>
        </w:rPr>
        <w:t>ex parte</w:t>
      </w:r>
      <w:r w:rsidR="007A65FB" w:rsidRPr="00D84FA8">
        <w:rPr>
          <w:rFonts w:ascii="Arial" w:hAnsi="Arial" w:cs="Arial"/>
          <w:sz w:val="24"/>
          <w:szCs w:val="24"/>
        </w:rPr>
        <w:t xml:space="preserve"> application, on no notice at all to the respondents.</w:t>
      </w:r>
    </w:p>
    <w:p w14:paraId="05FFA09C" w14:textId="77777777" w:rsidR="008C4ACA" w:rsidRPr="008C4ACA" w:rsidRDefault="008C4ACA" w:rsidP="008C4ACA">
      <w:pPr>
        <w:pStyle w:val="ListParagraph"/>
        <w:spacing w:line="360" w:lineRule="auto"/>
        <w:ind w:left="0"/>
        <w:jc w:val="both"/>
        <w:rPr>
          <w:rFonts w:ascii="Arial" w:hAnsi="Arial" w:cs="Arial"/>
          <w:sz w:val="24"/>
          <w:szCs w:val="24"/>
        </w:rPr>
      </w:pPr>
    </w:p>
    <w:p w14:paraId="3AC123BD" w14:textId="77777777" w:rsidR="008C4ACA" w:rsidRPr="008C4ACA" w:rsidRDefault="008C4ACA" w:rsidP="008C4ACA">
      <w:pPr>
        <w:pStyle w:val="ListParagraph"/>
        <w:rPr>
          <w:rFonts w:ascii="Arial" w:hAnsi="Arial" w:cs="Arial"/>
          <w:i/>
          <w:iCs/>
          <w:sz w:val="24"/>
          <w:szCs w:val="24"/>
        </w:rPr>
      </w:pPr>
    </w:p>
    <w:p w14:paraId="4101E46A" w14:textId="77777777" w:rsidR="008C4ACA" w:rsidRPr="008C4ACA" w:rsidRDefault="00123210" w:rsidP="008C4ACA">
      <w:pPr>
        <w:pStyle w:val="ListParagraph"/>
        <w:spacing w:line="360" w:lineRule="auto"/>
        <w:ind w:left="0"/>
        <w:jc w:val="both"/>
        <w:rPr>
          <w:rFonts w:ascii="Arial" w:hAnsi="Arial" w:cs="Arial"/>
          <w:sz w:val="24"/>
          <w:szCs w:val="24"/>
        </w:rPr>
      </w:pPr>
      <w:r w:rsidRPr="008C4ACA">
        <w:rPr>
          <w:rFonts w:ascii="Arial" w:hAnsi="Arial" w:cs="Arial"/>
          <w:i/>
          <w:iCs/>
          <w:sz w:val="24"/>
          <w:szCs w:val="24"/>
        </w:rPr>
        <w:t>Whether to deal with the merits</w:t>
      </w:r>
    </w:p>
    <w:p w14:paraId="41CCF454" w14:textId="77777777" w:rsidR="008C4ACA" w:rsidRPr="008C4ACA" w:rsidRDefault="008C4ACA" w:rsidP="008C4ACA">
      <w:pPr>
        <w:pStyle w:val="ListParagraph"/>
        <w:spacing w:line="360" w:lineRule="auto"/>
        <w:ind w:left="0"/>
        <w:jc w:val="both"/>
        <w:rPr>
          <w:rFonts w:ascii="Arial" w:hAnsi="Arial" w:cs="Arial"/>
          <w:sz w:val="24"/>
          <w:szCs w:val="24"/>
        </w:rPr>
      </w:pPr>
    </w:p>
    <w:p w14:paraId="785EFD5E" w14:textId="7EBD277B" w:rsidR="00A11351" w:rsidRPr="00D84FA8" w:rsidRDefault="00D84FA8" w:rsidP="00D84FA8">
      <w:pPr>
        <w:spacing w:line="360" w:lineRule="auto"/>
        <w:jc w:val="both"/>
        <w:rPr>
          <w:rFonts w:ascii="Arial" w:hAnsi="Arial" w:cs="Arial"/>
          <w:sz w:val="24"/>
          <w:szCs w:val="24"/>
        </w:rPr>
      </w:pPr>
      <w:r w:rsidRPr="008C4ACA">
        <w:rPr>
          <w:rFonts w:ascii="Arial" w:hAnsi="Arial" w:cs="Arial"/>
          <w:sz w:val="24"/>
          <w:szCs w:val="24"/>
        </w:rPr>
        <w:t>[35]</w:t>
      </w:r>
      <w:r w:rsidRPr="008C4ACA">
        <w:rPr>
          <w:rFonts w:ascii="Arial" w:hAnsi="Arial" w:cs="Arial"/>
          <w:sz w:val="24"/>
          <w:szCs w:val="24"/>
        </w:rPr>
        <w:tab/>
      </w:r>
      <w:r w:rsidR="00B33B54" w:rsidRPr="00D84FA8">
        <w:rPr>
          <w:rFonts w:ascii="Arial" w:hAnsi="Arial" w:cs="Arial"/>
          <w:sz w:val="24"/>
          <w:szCs w:val="24"/>
        </w:rPr>
        <w:t xml:space="preserve">A </w:t>
      </w:r>
      <w:r w:rsidR="003F3E6D" w:rsidRPr="00D84FA8">
        <w:rPr>
          <w:rFonts w:ascii="Arial" w:hAnsi="Arial" w:cs="Arial"/>
          <w:sz w:val="24"/>
          <w:szCs w:val="24"/>
        </w:rPr>
        <w:t xml:space="preserve">court, at this stage, </w:t>
      </w:r>
      <w:r w:rsidR="00B33B54" w:rsidRPr="00D84FA8">
        <w:rPr>
          <w:rFonts w:ascii="Arial" w:hAnsi="Arial" w:cs="Arial"/>
          <w:sz w:val="24"/>
          <w:szCs w:val="24"/>
        </w:rPr>
        <w:t xml:space="preserve">may be inclined </w:t>
      </w:r>
      <w:r w:rsidR="003F3E6D" w:rsidRPr="00D84FA8">
        <w:rPr>
          <w:rFonts w:ascii="Arial" w:hAnsi="Arial" w:cs="Arial"/>
          <w:sz w:val="24"/>
          <w:szCs w:val="24"/>
        </w:rPr>
        <w:t xml:space="preserve">to </w:t>
      </w:r>
      <w:r w:rsidR="00FC14DF" w:rsidRPr="00D84FA8">
        <w:rPr>
          <w:rFonts w:ascii="Arial" w:hAnsi="Arial" w:cs="Arial"/>
          <w:sz w:val="24"/>
          <w:szCs w:val="24"/>
        </w:rPr>
        <w:t xml:space="preserve">finalise </w:t>
      </w:r>
      <w:r w:rsidR="003F3E6D" w:rsidRPr="00D84FA8">
        <w:rPr>
          <w:rFonts w:ascii="Arial" w:hAnsi="Arial" w:cs="Arial"/>
          <w:sz w:val="24"/>
          <w:szCs w:val="24"/>
        </w:rPr>
        <w:t xml:space="preserve">the </w:t>
      </w:r>
      <w:r w:rsidR="0090192C" w:rsidRPr="00D84FA8">
        <w:rPr>
          <w:rFonts w:ascii="Arial" w:hAnsi="Arial" w:cs="Arial"/>
          <w:sz w:val="24"/>
          <w:szCs w:val="24"/>
        </w:rPr>
        <w:t>matter</w:t>
      </w:r>
      <w:r w:rsidR="00147857" w:rsidRPr="00D84FA8">
        <w:rPr>
          <w:rFonts w:ascii="Arial" w:hAnsi="Arial" w:cs="Arial"/>
          <w:sz w:val="24"/>
          <w:szCs w:val="24"/>
        </w:rPr>
        <w:t xml:space="preserve">. Papers have been filed and submissions have been made on the merits. </w:t>
      </w:r>
      <w:r w:rsidR="005174D1" w:rsidRPr="00D84FA8">
        <w:rPr>
          <w:rFonts w:ascii="Arial" w:hAnsi="Arial" w:cs="Arial"/>
          <w:sz w:val="24"/>
          <w:szCs w:val="24"/>
        </w:rPr>
        <w:t xml:space="preserve">In </w:t>
      </w:r>
      <w:r w:rsidR="002525E0" w:rsidRPr="00D84FA8">
        <w:rPr>
          <w:rFonts w:ascii="Arial" w:hAnsi="Arial" w:cs="Arial"/>
          <w:i/>
          <w:iCs/>
          <w:sz w:val="24"/>
          <w:szCs w:val="24"/>
        </w:rPr>
        <w:t>Caledon Street Restaurants CC v D’ Aviera</w:t>
      </w:r>
      <w:r w:rsidR="002525E0" w:rsidRPr="00D84FA8">
        <w:rPr>
          <w:rFonts w:ascii="Arial" w:hAnsi="Arial" w:cs="Arial"/>
          <w:sz w:val="24"/>
          <w:szCs w:val="24"/>
        </w:rPr>
        <w:t>,</w:t>
      </w:r>
      <w:r w:rsidR="002525E0">
        <w:rPr>
          <w:rStyle w:val="FootnoteReference"/>
          <w:rFonts w:ascii="Arial" w:hAnsi="Arial" w:cs="Arial"/>
          <w:sz w:val="24"/>
          <w:szCs w:val="24"/>
        </w:rPr>
        <w:footnoteReference w:id="16"/>
      </w:r>
      <w:r w:rsidR="00A80347" w:rsidRPr="00D84FA8">
        <w:rPr>
          <w:rFonts w:ascii="Arial" w:hAnsi="Arial" w:cs="Arial"/>
          <w:sz w:val="24"/>
          <w:szCs w:val="24"/>
        </w:rPr>
        <w:t xml:space="preserve"> </w:t>
      </w:r>
      <w:r w:rsidR="00FC14DF" w:rsidRPr="00D84FA8">
        <w:rPr>
          <w:rFonts w:ascii="Arial" w:hAnsi="Arial" w:cs="Arial"/>
          <w:sz w:val="24"/>
          <w:szCs w:val="24"/>
        </w:rPr>
        <w:t xml:space="preserve">however, </w:t>
      </w:r>
      <w:r w:rsidR="00A80347" w:rsidRPr="00D84FA8">
        <w:rPr>
          <w:rFonts w:ascii="Arial" w:hAnsi="Arial" w:cs="Arial"/>
          <w:sz w:val="24"/>
          <w:szCs w:val="24"/>
        </w:rPr>
        <w:t>Kroon J made the following observation:</w:t>
      </w:r>
    </w:p>
    <w:p w14:paraId="0F98BE72" w14:textId="714788A7" w:rsidR="00A80347" w:rsidRPr="0003111B" w:rsidRDefault="00EE68FE" w:rsidP="008C4ACA">
      <w:pPr>
        <w:spacing w:line="360" w:lineRule="auto"/>
        <w:ind w:left="720"/>
        <w:jc w:val="both"/>
        <w:rPr>
          <w:rFonts w:ascii="Arial" w:hAnsi="Arial" w:cs="Arial"/>
          <w:sz w:val="20"/>
          <w:szCs w:val="20"/>
        </w:rPr>
      </w:pPr>
      <w:r w:rsidRPr="0003111B">
        <w:rPr>
          <w:rFonts w:ascii="Arial" w:hAnsi="Arial" w:cs="Arial"/>
          <w:sz w:val="20"/>
          <w:szCs w:val="20"/>
        </w:rPr>
        <w:t xml:space="preserve">‘It is to be emphasised that the fact </w:t>
      </w:r>
      <w:r w:rsidR="007068A7" w:rsidRPr="0003111B">
        <w:rPr>
          <w:rFonts w:ascii="Arial" w:hAnsi="Arial" w:cs="Arial"/>
          <w:sz w:val="20"/>
          <w:szCs w:val="20"/>
        </w:rPr>
        <w:t>that, in the result, and after a postponement of the matter, the papers are complete</w:t>
      </w:r>
      <w:r w:rsidR="005F239C" w:rsidRPr="0003111B">
        <w:rPr>
          <w:rFonts w:ascii="Arial" w:hAnsi="Arial" w:cs="Arial"/>
          <w:sz w:val="20"/>
          <w:szCs w:val="20"/>
        </w:rPr>
        <w:t xml:space="preserve"> by a particular date and the matter is in that sense ripe for hearing</w:t>
      </w:r>
      <w:r w:rsidR="00BC05D9" w:rsidRPr="0003111B">
        <w:rPr>
          <w:rFonts w:ascii="Arial" w:hAnsi="Arial" w:cs="Arial"/>
          <w:sz w:val="20"/>
          <w:szCs w:val="20"/>
        </w:rPr>
        <w:t xml:space="preserve">, must not be allowed to cloud the issue whether the </w:t>
      </w:r>
      <w:r w:rsidR="00547D8A" w:rsidRPr="0003111B">
        <w:rPr>
          <w:rFonts w:ascii="Arial" w:hAnsi="Arial" w:cs="Arial"/>
          <w:sz w:val="20"/>
          <w:szCs w:val="20"/>
        </w:rPr>
        <w:t>applicant’s modification of the rules on the grounds of urgency was unacceptable.</w:t>
      </w:r>
      <w:r w:rsidR="00623416" w:rsidRPr="0003111B">
        <w:rPr>
          <w:rFonts w:ascii="Arial" w:hAnsi="Arial" w:cs="Arial"/>
          <w:sz w:val="20"/>
          <w:szCs w:val="20"/>
        </w:rPr>
        <w:t xml:space="preserve"> Thus, for example, if </w:t>
      </w:r>
      <w:r w:rsidR="00623416" w:rsidRPr="0003111B">
        <w:rPr>
          <w:rFonts w:ascii="Arial" w:hAnsi="Arial" w:cs="Arial"/>
          <w:i/>
          <w:iCs/>
          <w:sz w:val="20"/>
          <w:szCs w:val="20"/>
        </w:rPr>
        <w:t>in casu</w:t>
      </w:r>
      <w:r w:rsidR="00623416" w:rsidRPr="0003111B">
        <w:rPr>
          <w:rFonts w:ascii="Arial" w:hAnsi="Arial" w:cs="Arial"/>
          <w:sz w:val="20"/>
          <w:szCs w:val="20"/>
        </w:rPr>
        <w:t>, it was wrong for the applicant</w:t>
      </w:r>
      <w:r w:rsidR="004B4013" w:rsidRPr="0003111B">
        <w:rPr>
          <w:rFonts w:ascii="Arial" w:hAnsi="Arial" w:cs="Arial"/>
          <w:sz w:val="20"/>
          <w:szCs w:val="20"/>
        </w:rPr>
        <w:t xml:space="preserve"> to stipulate that the matter would be heard at 3 pm on 22 October 1997,</w:t>
      </w:r>
      <w:r w:rsidR="009B558B" w:rsidRPr="0003111B">
        <w:rPr>
          <w:rFonts w:ascii="Arial" w:hAnsi="Arial" w:cs="Arial"/>
          <w:sz w:val="20"/>
          <w:szCs w:val="20"/>
        </w:rPr>
        <w:t xml:space="preserve"> but on the other hand, it would have been in order</w:t>
      </w:r>
      <w:r w:rsidR="00EA10A8" w:rsidRPr="0003111B">
        <w:rPr>
          <w:rFonts w:ascii="Arial" w:hAnsi="Arial" w:cs="Arial"/>
          <w:sz w:val="20"/>
          <w:szCs w:val="20"/>
        </w:rPr>
        <w:t xml:space="preserve"> had the applicant given notice to the respondent on 21 October 1997</w:t>
      </w:r>
      <w:r w:rsidR="00E61163" w:rsidRPr="0003111B">
        <w:rPr>
          <w:rFonts w:ascii="Arial" w:hAnsi="Arial" w:cs="Arial"/>
          <w:sz w:val="20"/>
          <w:szCs w:val="20"/>
        </w:rPr>
        <w:t xml:space="preserve"> that the matter would be heard on 24 October 1997, the temptation is to brush the wrong handling</w:t>
      </w:r>
      <w:r w:rsidR="008F4EA9" w:rsidRPr="0003111B">
        <w:rPr>
          <w:rFonts w:ascii="Arial" w:hAnsi="Arial" w:cs="Arial"/>
          <w:sz w:val="20"/>
          <w:szCs w:val="20"/>
        </w:rPr>
        <w:t xml:space="preserve"> of the matter and the applicant’s presentation thereof as urgent beyond what was justified</w:t>
      </w:r>
      <w:r w:rsidR="001C078E" w:rsidRPr="0003111B">
        <w:rPr>
          <w:rFonts w:ascii="Arial" w:hAnsi="Arial" w:cs="Arial"/>
          <w:sz w:val="20"/>
          <w:szCs w:val="20"/>
        </w:rPr>
        <w:t>, under the mat. The papers had to be read to adjudicate the argument</w:t>
      </w:r>
      <w:r w:rsidR="001F6B2B" w:rsidRPr="0003111B">
        <w:rPr>
          <w:rFonts w:ascii="Arial" w:hAnsi="Arial" w:cs="Arial"/>
          <w:sz w:val="20"/>
          <w:szCs w:val="20"/>
        </w:rPr>
        <w:t xml:space="preserve"> about urgency and it could come across as such a waste not to decide the merits.</w:t>
      </w:r>
      <w:r w:rsidR="00010BB6" w:rsidRPr="0003111B">
        <w:rPr>
          <w:rFonts w:ascii="Arial" w:hAnsi="Arial" w:cs="Arial"/>
          <w:sz w:val="20"/>
          <w:szCs w:val="20"/>
        </w:rPr>
        <w:t xml:space="preserve"> A refusal to do so would entail all the work having to be done </w:t>
      </w:r>
      <w:r w:rsidR="00010BB6" w:rsidRPr="0003111B">
        <w:rPr>
          <w:rFonts w:ascii="Arial" w:hAnsi="Arial" w:cs="Arial"/>
          <w:i/>
          <w:iCs/>
          <w:sz w:val="20"/>
          <w:szCs w:val="20"/>
        </w:rPr>
        <w:t>de novo</w:t>
      </w:r>
      <w:r w:rsidR="00010BB6" w:rsidRPr="0003111B">
        <w:rPr>
          <w:rFonts w:ascii="Arial" w:hAnsi="Arial" w:cs="Arial"/>
          <w:sz w:val="20"/>
          <w:szCs w:val="20"/>
        </w:rPr>
        <w:t xml:space="preserve">. </w:t>
      </w:r>
      <w:r w:rsidR="00A55A34" w:rsidRPr="0003111B">
        <w:rPr>
          <w:rFonts w:ascii="Arial" w:hAnsi="Arial" w:cs="Arial"/>
          <w:sz w:val="20"/>
          <w:szCs w:val="20"/>
        </w:rPr>
        <w:t>The temptation is enhanced by the circumstance that an appropriate order for costs</w:t>
      </w:r>
      <w:r w:rsidR="002948EA" w:rsidRPr="0003111B">
        <w:rPr>
          <w:rFonts w:ascii="Arial" w:hAnsi="Arial" w:cs="Arial"/>
          <w:sz w:val="20"/>
          <w:szCs w:val="20"/>
        </w:rPr>
        <w:t xml:space="preserve"> against the applicant can be resorted to. The fact that I had been obliged to read the papers</w:t>
      </w:r>
      <w:r w:rsidR="009100C4" w:rsidRPr="0003111B">
        <w:rPr>
          <w:rFonts w:ascii="Arial" w:hAnsi="Arial" w:cs="Arial"/>
          <w:sz w:val="20"/>
          <w:szCs w:val="20"/>
        </w:rPr>
        <w:t xml:space="preserve"> on the evening of 21 October 1997- I was to preside in the motion court on 22 October 1997</w:t>
      </w:r>
      <w:r w:rsidR="00D34128" w:rsidRPr="0003111B">
        <w:rPr>
          <w:rFonts w:ascii="Arial" w:hAnsi="Arial" w:cs="Arial"/>
          <w:sz w:val="20"/>
          <w:szCs w:val="20"/>
        </w:rPr>
        <w:t>- and the difficulties and pressure which the respondent, and the applicant</w:t>
      </w:r>
      <w:r w:rsidR="005A529F" w:rsidRPr="0003111B">
        <w:rPr>
          <w:rFonts w:ascii="Arial" w:hAnsi="Arial" w:cs="Arial"/>
          <w:sz w:val="20"/>
          <w:szCs w:val="20"/>
        </w:rPr>
        <w:t xml:space="preserve"> as well for that matter, and their legal representatives experienced in the completion of the papers</w:t>
      </w:r>
      <w:r w:rsidR="009A3404" w:rsidRPr="0003111B">
        <w:rPr>
          <w:rFonts w:ascii="Arial" w:hAnsi="Arial" w:cs="Arial"/>
          <w:sz w:val="20"/>
          <w:szCs w:val="20"/>
        </w:rPr>
        <w:t>, could easily be allowed to fade into the background. However, the attractiveness of finally</w:t>
      </w:r>
      <w:r w:rsidR="00535155" w:rsidRPr="0003111B">
        <w:rPr>
          <w:rFonts w:ascii="Arial" w:hAnsi="Arial" w:cs="Arial"/>
          <w:sz w:val="20"/>
          <w:szCs w:val="20"/>
        </w:rPr>
        <w:t xml:space="preserve"> disposing of the litigation should not be allowed to govern. The approach should rather be that</w:t>
      </w:r>
      <w:r w:rsidR="002E366A" w:rsidRPr="0003111B">
        <w:rPr>
          <w:rFonts w:ascii="Arial" w:hAnsi="Arial" w:cs="Arial"/>
          <w:sz w:val="20"/>
          <w:szCs w:val="20"/>
        </w:rPr>
        <w:t xml:space="preserve"> there are times where, by way of non-suiting an applicant,</w:t>
      </w:r>
      <w:r w:rsidR="00DA0D61" w:rsidRPr="0003111B">
        <w:rPr>
          <w:rFonts w:ascii="Arial" w:hAnsi="Arial" w:cs="Arial"/>
          <w:sz w:val="20"/>
          <w:szCs w:val="20"/>
        </w:rPr>
        <w:t xml:space="preserve"> the point must clearly be made that the rules should be obeyed</w:t>
      </w:r>
      <w:r w:rsidR="008219D2" w:rsidRPr="0003111B">
        <w:rPr>
          <w:rFonts w:ascii="Arial" w:hAnsi="Arial" w:cs="Arial"/>
          <w:sz w:val="20"/>
          <w:szCs w:val="20"/>
        </w:rPr>
        <w:t xml:space="preserve"> and that the interest of the other party and his lawyers should be accorded</w:t>
      </w:r>
      <w:r w:rsidR="00EC163D" w:rsidRPr="0003111B">
        <w:rPr>
          <w:rFonts w:ascii="Arial" w:hAnsi="Arial" w:cs="Arial"/>
          <w:sz w:val="20"/>
          <w:szCs w:val="20"/>
        </w:rPr>
        <w:t xml:space="preserve"> proper respect, and the matter must be looked at to consider whether the case </w:t>
      </w:r>
      <w:r w:rsidR="00906480" w:rsidRPr="0003111B">
        <w:rPr>
          <w:rFonts w:ascii="Arial" w:hAnsi="Arial" w:cs="Arial"/>
          <w:sz w:val="20"/>
          <w:szCs w:val="20"/>
        </w:rPr>
        <w:t>is such a time or not.’</w:t>
      </w:r>
      <w:r w:rsidR="00453DFB" w:rsidRPr="0003111B">
        <w:rPr>
          <w:rStyle w:val="FootnoteReference"/>
          <w:rFonts w:ascii="Arial" w:hAnsi="Arial" w:cs="Arial"/>
          <w:sz w:val="20"/>
          <w:szCs w:val="20"/>
        </w:rPr>
        <w:footnoteReference w:id="17"/>
      </w:r>
    </w:p>
    <w:p w14:paraId="60525A7D" w14:textId="526655EF" w:rsidR="0003111B" w:rsidRDefault="0003111B" w:rsidP="008C4ACA">
      <w:pPr>
        <w:spacing w:line="360" w:lineRule="auto"/>
        <w:jc w:val="both"/>
        <w:rPr>
          <w:rFonts w:ascii="Arial" w:hAnsi="Arial" w:cs="Arial"/>
          <w:sz w:val="24"/>
          <w:szCs w:val="24"/>
        </w:rPr>
      </w:pPr>
    </w:p>
    <w:p w14:paraId="21AEEEC7" w14:textId="538325AB"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90192C" w:rsidRPr="00D84FA8">
        <w:rPr>
          <w:rFonts w:ascii="Arial" w:hAnsi="Arial" w:cs="Arial"/>
          <w:sz w:val="24"/>
          <w:szCs w:val="24"/>
        </w:rPr>
        <w:t>Here</w:t>
      </w:r>
      <w:r w:rsidR="0003111B" w:rsidRPr="00D84FA8">
        <w:rPr>
          <w:rFonts w:ascii="Arial" w:hAnsi="Arial" w:cs="Arial"/>
          <w:sz w:val="24"/>
          <w:szCs w:val="24"/>
        </w:rPr>
        <w:t>,</w:t>
      </w:r>
      <w:r w:rsidR="0090192C" w:rsidRPr="00D84FA8">
        <w:rPr>
          <w:rFonts w:ascii="Arial" w:hAnsi="Arial" w:cs="Arial"/>
          <w:sz w:val="24"/>
          <w:szCs w:val="24"/>
        </w:rPr>
        <w:t xml:space="preserve"> the </w:t>
      </w:r>
      <w:r w:rsidR="00EA04FD" w:rsidRPr="00D84FA8">
        <w:rPr>
          <w:rFonts w:ascii="Arial" w:hAnsi="Arial" w:cs="Arial"/>
          <w:sz w:val="24"/>
          <w:szCs w:val="24"/>
        </w:rPr>
        <w:t xml:space="preserve">applicants have had </w:t>
      </w:r>
      <w:r w:rsidR="00563AE6" w:rsidRPr="00D84FA8">
        <w:rPr>
          <w:rFonts w:ascii="Arial" w:hAnsi="Arial" w:cs="Arial"/>
          <w:sz w:val="24"/>
          <w:szCs w:val="24"/>
        </w:rPr>
        <w:t xml:space="preserve">just short of three weeks to decide upon a strategy, consult with their legal team, and </w:t>
      </w:r>
      <w:r w:rsidR="009D2484" w:rsidRPr="00D84FA8">
        <w:rPr>
          <w:rFonts w:ascii="Arial" w:hAnsi="Arial" w:cs="Arial"/>
          <w:sz w:val="24"/>
          <w:szCs w:val="24"/>
        </w:rPr>
        <w:t xml:space="preserve">prepare papers. </w:t>
      </w:r>
      <w:r w:rsidR="00E227BA" w:rsidRPr="00D84FA8">
        <w:rPr>
          <w:rFonts w:ascii="Arial" w:hAnsi="Arial" w:cs="Arial"/>
          <w:sz w:val="24"/>
          <w:szCs w:val="24"/>
        </w:rPr>
        <w:t xml:space="preserve">In the end, </w:t>
      </w:r>
      <w:r w:rsidR="00E037B9" w:rsidRPr="00D84FA8">
        <w:rPr>
          <w:rFonts w:ascii="Arial" w:hAnsi="Arial" w:cs="Arial"/>
          <w:sz w:val="24"/>
          <w:szCs w:val="24"/>
        </w:rPr>
        <w:t>less than two days’ notice was given to the respondents</w:t>
      </w:r>
      <w:r w:rsidR="00C16DB1" w:rsidRPr="00D84FA8">
        <w:rPr>
          <w:rFonts w:ascii="Arial" w:hAnsi="Arial" w:cs="Arial"/>
          <w:sz w:val="24"/>
          <w:szCs w:val="24"/>
        </w:rPr>
        <w:t xml:space="preserve">. If the </w:t>
      </w:r>
      <w:r w:rsidR="007E692C" w:rsidRPr="00D84FA8">
        <w:rPr>
          <w:rFonts w:ascii="Arial" w:hAnsi="Arial" w:cs="Arial"/>
          <w:sz w:val="24"/>
          <w:szCs w:val="24"/>
        </w:rPr>
        <w:t xml:space="preserve">timeframe </w:t>
      </w:r>
      <w:r w:rsidR="00A917C5" w:rsidRPr="00D84FA8">
        <w:rPr>
          <w:rFonts w:ascii="Arial" w:hAnsi="Arial" w:cs="Arial"/>
          <w:sz w:val="24"/>
          <w:szCs w:val="24"/>
        </w:rPr>
        <w:t xml:space="preserve">that </w:t>
      </w:r>
      <w:r w:rsidR="007E692C" w:rsidRPr="00D84FA8">
        <w:rPr>
          <w:rFonts w:ascii="Arial" w:hAnsi="Arial" w:cs="Arial"/>
          <w:sz w:val="24"/>
          <w:szCs w:val="24"/>
        </w:rPr>
        <w:t>had bee</w:t>
      </w:r>
      <w:r w:rsidR="00A917C5" w:rsidRPr="00D84FA8">
        <w:rPr>
          <w:rFonts w:ascii="Arial" w:hAnsi="Arial" w:cs="Arial"/>
          <w:sz w:val="24"/>
          <w:szCs w:val="24"/>
        </w:rPr>
        <w:t xml:space="preserve">n proposed in the certificate of urgency had been adopted, then no notice at all would have been given and the matter </w:t>
      </w:r>
      <w:r w:rsidR="00A917C5" w:rsidRPr="00D84FA8">
        <w:rPr>
          <w:rFonts w:ascii="Arial" w:hAnsi="Arial" w:cs="Arial"/>
          <w:sz w:val="24"/>
          <w:szCs w:val="24"/>
        </w:rPr>
        <w:lastRenderedPageBreak/>
        <w:t xml:space="preserve">would have proceeded on an </w:t>
      </w:r>
      <w:r w:rsidR="00A917C5" w:rsidRPr="00D84FA8">
        <w:rPr>
          <w:rFonts w:ascii="Arial" w:hAnsi="Arial" w:cs="Arial"/>
          <w:i/>
          <w:iCs/>
          <w:sz w:val="24"/>
          <w:szCs w:val="24"/>
        </w:rPr>
        <w:t>ex parte</w:t>
      </w:r>
      <w:r w:rsidR="00A917C5" w:rsidRPr="00D84FA8">
        <w:rPr>
          <w:rFonts w:ascii="Arial" w:hAnsi="Arial" w:cs="Arial"/>
          <w:sz w:val="24"/>
          <w:szCs w:val="24"/>
        </w:rPr>
        <w:t xml:space="preserve"> basis. </w:t>
      </w:r>
      <w:r w:rsidR="0000732C" w:rsidRPr="00D84FA8">
        <w:rPr>
          <w:rFonts w:ascii="Arial" w:hAnsi="Arial" w:cs="Arial"/>
          <w:sz w:val="24"/>
          <w:szCs w:val="24"/>
        </w:rPr>
        <w:t xml:space="preserve">The applicants’ self-created urgency and </w:t>
      </w:r>
      <w:r w:rsidR="00D53B3B" w:rsidRPr="00D84FA8">
        <w:rPr>
          <w:rFonts w:ascii="Arial" w:hAnsi="Arial" w:cs="Arial"/>
          <w:sz w:val="24"/>
          <w:szCs w:val="24"/>
        </w:rPr>
        <w:t xml:space="preserve">failure to have demonstrated proper grounds of urgency have </w:t>
      </w:r>
      <w:r w:rsidR="00361977" w:rsidRPr="00D84FA8">
        <w:rPr>
          <w:rFonts w:ascii="Arial" w:hAnsi="Arial" w:cs="Arial"/>
          <w:sz w:val="24"/>
          <w:szCs w:val="24"/>
        </w:rPr>
        <w:t>created considerable prejudice for the respondents</w:t>
      </w:r>
      <w:r w:rsidR="00160C8C" w:rsidRPr="00D84FA8">
        <w:rPr>
          <w:rFonts w:ascii="Arial" w:hAnsi="Arial" w:cs="Arial"/>
          <w:sz w:val="24"/>
          <w:szCs w:val="24"/>
        </w:rPr>
        <w:t xml:space="preserve">. </w:t>
      </w:r>
      <w:r w:rsidR="00605A51" w:rsidRPr="00D84FA8">
        <w:rPr>
          <w:rFonts w:ascii="Arial" w:hAnsi="Arial" w:cs="Arial"/>
          <w:sz w:val="24"/>
          <w:szCs w:val="24"/>
        </w:rPr>
        <w:t xml:space="preserve">The court </w:t>
      </w:r>
      <w:r w:rsidR="00FD23A5" w:rsidRPr="00D84FA8">
        <w:rPr>
          <w:rFonts w:ascii="Arial" w:hAnsi="Arial" w:cs="Arial"/>
          <w:sz w:val="24"/>
          <w:szCs w:val="24"/>
        </w:rPr>
        <w:t xml:space="preserve">cannot simply </w:t>
      </w:r>
      <w:r w:rsidR="00004ACD" w:rsidRPr="00D84FA8">
        <w:rPr>
          <w:rFonts w:ascii="Arial" w:hAnsi="Arial" w:cs="Arial"/>
          <w:sz w:val="24"/>
          <w:szCs w:val="24"/>
        </w:rPr>
        <w:t xml:space="preserve">turn a blind eye to this </w:t>
      </w:r>
      <w:r w:rsidR="007635D1" w:rsidRPr="00D84FA8">
        <w:rPr>
          <w:rFonts w:ascii="Arial" w:hAnsi="Arial" w:cs="Arial"/>
          <w:sz w:val="24"/>
          <w:szCs w:val="24"/>
        </w:rPr>
        <w:t>aspect</w:t>
      </w:r>
      <w:r w:rsidR="00997E2E" w:rsidRPr="00D84FA8">
        <w:rPr>
          <w:rFonts w:ascii="Arial" w:hAnsi="Arial" w:cs="Arial"/>
          <w:sz w:val="24"/>
          <w:szCs w:val="24"/>
        </w:rPr>
        <w:t xml:space="preserve">. The merits cannot be decided </w:t>
      </w:r>
      <w:r w:rsidR="00332798" w:rsidRPr="00D84FA8">
        <w:rPr>
          <w:rFonts w:ascii="Arial" w:hAnsi="Arial" w:cs="Arial"/>
          <w:sz w:val="24"/>
          <w:szCs w:val="24"/>
        </w:rPr>
        <w:t>at this stage.</w:t>
      </w:r>
    </w:p>
    <w:p w14:paraId="4C34CE8A" w14:textId="77777777" w:rsidR="008C4ACA" w:rsidRDefault="008C4ACA" w:rsidP="008C4ACA">
      <w:pPr>
        <w:pStyle w:val="ListParagraph"/>
        <w:spacing w:line="360" w:lineRule="auto"/>
        <w:ind w:left="0"/>
        <w:jc w:val="both"/>
        <w:rPr>
          <w:rFonts w:ascii="Arial" w:hAnsi="Arial" w:cs="Arial"/>
          <w:sz w:val="24"/>
          <w:szCs w:val="24"/>
        </w:rPr>
      </w:pPr>
    </w:p>
    <w:p w14:paraId="77D8F327" w14:textId="77777777" w:rsidR="008C4ACA" w:rsidRDefault="008C4ACA" w:rsidP="008C4ACA">
      <w:pPr>
        <w:pStyle w:val="ListParagraph"/>
        <w:spacing w:line="360" w:lineRule="auto"/>
        <w:ind w:left="0"/>
        <w:jc w:val="both"/>
        <w:rPr>
          <w:rFonts w:ascii="Arial" w:hAnsi="Arial" w:cs="Arial"/>
          <w:sz w:val="24"/>
          <w:szCs w:val="24"/>
        </w:rPr>
      </w:pPr>
    </w:p>
    <w:p w14:paraId="055FBBB7" w14:textId="77777777" w:rsidR="008C4ACA" w:rsidRPr="008C4ACA" w:rsidRDefault="003B09A2" w:rsidP="008C4ACA">
      <w:pPr>
        <w:pStyle w:val="ListParagraph"/>
        <w:spacing w:line="360" w:lineRule="auto"/>
        <w:ind w:left="0"/>
        <w:jc w:val="both"/>
        <w:rPr>
          <w:rFonts w:ascii="Arial" w:hAnsi="Arial" w:cs="Arial"/>
          <w:sz w:val="24"/>
          <w:szCs w:val="24"/>
        </w:rPr>
      </w:pPr>
      <w:r w:rsidRPr="008C4ACA">
        <w:rPr>
          <w:rFonts w:ascii="Arial" w:hAnsi="Arial" w:cs="Arial"/>
          <w:b/>
          <w:bCs/>
          <w:sz w:val="24"/>
          <w:szCs w:val="24"/>
        </w:rPr>
        <w:t>Relief and order</w:t>
      </w:r>
    </w:p>
    <w:p w14:paraId="6D8417BB" w14:textId="77777777" w:rsidR="008C4ACA" w:rsidRPr="008C4ACA" w:rsidRDefault="008C4ACA" w:rsidP="008C4ACA">
      <w:pPr>
        <w:pStyle w:val="ListParagraph"/>
        <w:spacing w:line="360" w:lineRule="auto"/>
        <w:ind w:left="0"/>
        <w:jc w:val="both"/>
        <w:rPr>
          <w:rFonts w:ascii="Arial" w:hAnsi="Arial" w:cs="Arial"/>
          <w:sz w:val="24"/>
          <w:szCs w:val="24"/>
        </w:rPr>
      </w:pPr>
    </w:p>
    <w:p w14:paraId="1D5190EE" w14:textId="060C0B0A"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A4345" w:rsidRPr="00D84FA8">
        <w:rPr>
          <w:rFonts w:ascii="Arial" w:hAnsi="Arial" w:cs="Arial"/>
          <w:sz w:val="24"/>
          <w:szCs w:val="24"/>
        </w:rPr>
        <w:t xml:space="preserve">In the circumstances, the court is satisfied that the matter </w:t>
      </w:r>
      <w:r w:rsidR="002C29A9" w:rsidRPr="00D84FA8">
        <w:rPr>
          <w:rFonts w:ascii="Arial" w:hAnsi="Arial" w:cs="Arial"/>
          <w:sz w:val="24"/>
          <w:szCs w:val="24"/>
        </w:rPr>
        <w:t>was not properly</w:t>
      </w:r>
      <w:r w:rsidR="009859D7" w:rsidRPr="00D84FA8">
        <w:rPr>
          <w:rFonts w:ascii="Arial" w:hAnsi="Arial" w:cs="Arial"/>
          <w:sz w:val="24"/>
          <w:szCs w:val="24"/>
        </w:rPr>
        <w:t xml:space="preserve"> enrolled. </w:t>
      </w:r>
      <w:r w:rsidR="00E769FE" w:rsidRPr="00D84FA8">
        <w:rPr>
          <w:rFonts w:ascii="Arial" w:hAnsi="Arial" w:cs="Arial"/>
          <w:sz w:val="24"/>
          <w:szCs w:val="24"/>
        </w:rPr>
        <w:t xml:space="preserve">There was insufficient urgency for the applicants </w:t>
      </w:r>
      <w:r w:rsidR="007B03F2" w:rsidRPr="00D84FA8">
        <w:rPr>
          <w:rFonts w:ascii="Arial" w:hAnsi="Arial" w:cs="Arial"/>
          <w:sz w:val="24"/>
          <w:szCs w:val="24"/>
        </w:rPr>
        <w:t xml:space="preserve">either </w:t>
      </w:r>
      <w:r w:rsidR="00E769FE" w:rsidRPr="00D84FA8">
        <w:rPr>
          <w:rFonts w:ascii="Arial" w:hAnsi="Arial" w:cs="Arial"/>
          <w:sz w:val="24"/>
          <w:szCs w:val="24"/>
        </w:rPr>
        <w:t xml:space="preserve">to have </w:t>
      </w:r>
      <w:r w:rsidR="007B03F2" w:rsidRPr="00D84FA8">
        <w:rPr>
          <w:rFonts w:ascii="Arial" w:hAnsi="Arial" w:cs="Arial"/>
          <w:sz w:val="24"/>
          <w:szCs w:val="24"/>
        </w:rPr>
        <w:t xml:space="preserve">launched an </w:t>
      </w:r>
      <w:r w:rsidR="007B03F2" w:rsidRPr="00D84FA8">
        <w:rPr>
          <w:rFonts w:ascii="Arial" w:hAnsi="Arial" w:cs="Arial"/>
          <w:i/>
          <w:iCs/>
          <w:sz w:val="24"/>
          <w:szCs w:val="24"/>
        </w:rPr>
        <w:t>ex parte</w:t>
      </w:r>
      <w:r w:rsidR="007B03F2" w:rsidRPr="00D84FA8">
        <w:rPr>
          <w:rFonts w:ascii="Arial" w:hAnsi="Arial" w:cs="Arial"/>
          <w:sz w:val="24"/>
          <w:szCs w:val="24"/>
        </w:rPr>
        <w:t xml:space="preserve"> application </w:t>
      </w:r>
      <w:r w:rsidR="003A5EB1" w:rsidRPr="00D84FA8">
        <w:rPr>
          <w:rFonts w:ascii="Arial" w:hAnsi="Arial" w:cs="Arial"/>
          <w:sz w:val="24"/>
          <w:szCs w:val="24"/>
        </w:rPr>
        <w:t xml:space="preserve">to obtain the relief sought without notice </w:t>
      </w:r>
      <w:r w:rsidR="007B03F2" w:rsidRPr="00D84FA8">
        <w:rPr>
          <w:rFonts w:ascii="Arial" w:hAnsi="Arial" w:cs="Arial"/>
          <w:sz w:val="24"/>
          <w:szCs w:val="24"/>
        </w:rPr>
        <w:t xml:space="preserve">or to have truncated the rule 6(5) </w:t>
      </w:r>
      <w:r w:rsidR="00F37BE5" w:rsidRPr="00D84FA8">
        <w:rPr>
          <w:rFonts w:ascii="Arial" w:hAnsi="Arial" w:cs="Arial"/>
          <w:sz w:val="24"/>
          <w:szCs w:val="24"/>
        </w:rPr>
        <w:t xml:space="preserve">timeframes </w:t>
      </w:r>
      <w:r w:rsidR="007B03F2" w:rsidRPr="00D84FA8">
        <w:rPr>
          <w:rFonts w:ascii="Arial" w:hAnsi="Arial" w:cs="Arial"/>
          <w:sz w:val="24"/>
          <w:szCs w:val="24"/>
        </w:rPr>
        <w:t>with such severity</w:t>
      </w:r>
      <w:r w:rsidR="000644A5" w:rsidRPr="00D84FA8">
        <w:rPr>
          <w:rFonts w:ascii="Arial" w:hAnsi="Arial" w:cs="Arial"/>
          <w:sz w:val="24"/>
          <w:szCs w:val="24"/>
        </w:rPr>
        <w:t xml:space="preserve"> as to have </w:t>
      </w:r>
      <w:r w:rsidR="00BC2480" w:rsidRPr="00D84FA8">
        <w:rPr>
          <w:rFonts w:ascii="Arial" w:hAnsi="Arial" w:cs="Arial"/>
          <w:sz w:val="24"/>
          <w:szCs w:val="24"/>
        </w:rPr>
        <w:t xml:space="preserve">prejudiced </w:t>
      </w:r>
      <w:r w:rsidR="000644A5" w:rsidRPr="00D84FA8">
        <w:rPr>
          <w:rFonts w:ascii="Arial" w:hAnsi="Arial" w:cs="Arial"/>
          <w:sz w:val="24"/>
          <w:szCs w:val="24"/>
        </w:rPr>
        <w:t xml:space="preserve">the respondents in </w:t>
      </w:r>
      <w:r w:rsidR="00BC2480" w:rsidRPr="00D84FA8">
        <w:rPr>
          <w:rFonts w:ascii="Arial" w:hAnsi="Arial" w:cs="Arial"/>
          <w:sz w:val="24"/>
          <w:szCs w:val="24"/>
        </w:rPr>
        <w:t xml:space="preserve">the preparation of their answering </w:t>
      </w:r>
      <w:r w:rsidR="002D32E9" w:rsidRPr="00D84FA8">
        <w:rPr>
          <w:rFonts w:ascii="Arial" w:hAnsi="Arial" w:cs="Arial"/>
          <w:sz w:val="24"/>
          <w:szCs w:val="24"/>
        </w:rPr>
        <w:t>papers.</w:t>
      </w:r>
    </w:p>
    <w:p w14:paraId="5ABEAA3F" w14:textId="77777777" w:rsidR="008C4ACA" w:rsidRDefault="008C4ACA" w:rsidP="008C4ACA">
      <w:pPr>
        <w:pStyle w:val="ListParagraph"/>
        <w:spacing w:line="360" w:lineRule="auto"/>
        <w:ind w:left="0"/>
        <w:jc w:val="both"/>
        <w:rPr>
          <w:rFonts w:ascii="Arial" w:hAnsi="Arial" w:cs="Arial"/>
          <w:sz w:val="24"/>
          <w:szCs w:val="24"/>
        </w:rPr>
      </w:pPr>
    </w:p>
    <w:p w14:paraId="496AC6B2" w14:textId="63818A6C"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2D32E9" w:rsidRPr="00D84FA8">
        <w:rPr>
          <w:rFonts w:ascii="Arial" w:hAnsi="Arial" w:cs="Arial"/>
          <w:sz w:val="24"/>
          <w:szCs w:val="24"/>
        </w:rPr>
        <w:t xml:space="preserve">Overall, the matter cannot be said to be ripe for determination. </w:t>
      </w:r>
      <w:r w:rsidR="00D51C45" w:rsidRPr="00D84FA8">
        <w:rPr>
          <w:rFonts w:ascii="Arial" w:hAnsi="Arial" w:cs="Arial"/>
          <w:sz w:val="24"/>
          <w:szCs w:val="24"/>
        </w:rPr>
        <w:t xml:space="preserve">Both sets of parties have intimated, in their papers, the need for further affidavits. The </w:t>
      </w:r>
      <w:r w:rsidR="00EF0690" w:rsidRPr="00D84FA8">
        <w:rPr>
          <w:rFonts w:ascii="Arial" w:hAnsi="Arial" w:cs="Arial"/>
          <w:sz w:val="24"/>
          <w:szCs w:val="24"/>
        </w:rPr>
        <w:t xml:space="preserve">determination of the </w:t>
      </w:r>
      <w:r w:rsidR="00D51C45" w:rsidRPr="00D84FA8">
        <w:rPr>
          <w:rFonts w:ascii="Arial" w:hAnsi="Arial" w:cs="Arial"/>
          <w:sz w:val="24"/>
          <w:szCs w:val="24"/>
        </w:rPr>
        <w:t>matter would also benefit from</w:t>
      </w:r>
      <w:r w:rsidR="00EF0690" w:rsidRPr="00D84FA8">
        <w:rPr>
          <w:rFonts w:ascii="Arial" w:hAnsi="Arial" w:cs="Arial"/>
          <w:sz w:val="24"/>
          <w:szCs w:val="24"/>
        </w:rPr>
        <w:t xml:space="preserve"> heads of argument</w:t>
      </w:r>
      <w:r w:rsidR="00D5576A" w:rsidRPr="00D84FA8">
        <w:rPr>
          <w:rFonts w:ascii="Arial" w:hAnsi="Arial" w:cs="Arial"/>
          <w:sz w:val="24"/>
          <w:szCs w:val="24"/>
        </w:rPr>
        <w:t xml:space="preserve">, which were not available at the time that the </w:t>
      </w:r>
      <w:r w:rsidR="00782D4A" w:rsidRPr="00D84FA8">
        <w:rPr>
          <w:rFonts w:ascii="Arial" w:hAnsi="Arial" w:cs="Arial"/>
          <w:sz w:val="24"/>
          <w:szCs w:val="24"/>
        </w:rPr>
        <w:t>matter was originally heard.</w:t>
      </w:r>
    </w:p>
    <w:p w14:paraId="20557DDF" w14:textId="77777777" w:rsidR="008C4ACA" w:rsidRPr="008C4ACA" w:rsidRDefault="008C4ACA" w:rsidP="008C4ACA">
      <w:pPr>
        <w:pStyle w:val="ListParagraph"/>
        <w:rPr>
          <w:rFonts w:ascii="Arial" w:hAnsi="Arial" w:cs="Arial"/>
          <w:sz w:val="24"/>
          <w:szCs w:val="24"/>
        </w:rPr>
      </w:pPr>
    </w:p>
    <w:p w14:paraId="625EF7B7" w14:textId="7EE8D88E" w:rsidR="008C4ACA" w:rsidRPr="00D84FA8" w:rsidRDefault="00D84FA8" w:rsidP="00D84FA8">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542020" w:rsidRPr="00D84FA8">
        <w:rPr>
          <w:rFonts w:ascii="Arial" w:hAnsi="Arial" w:cs="Arial"/>
          <w:sz w:val="24"/>
          <w:szCs w:val="24"/>
        </w:rPr>
        <w:t xml:space="preserve">In relation to costs, there is no reason why the usual principle should not apply. The </w:t>
      </w:r>
      <w:r w:rsidR="007659CF" w:rsidRPr="00D84FA8">
        <w:rPr>
          <w:rFonts w:ascii="Arial" w:hAnsi="Arial" w:cs="Arial"/>
          <w:sz w:val="24"/>
          <w:szCs w:val="24"/>
        </w:rPr>
        <w:t>respondents are entitled to recover their expenses.</w:t>
      </w:r>
      <w:r w:rsidR="00B62CD6" w:rsidRPr="00D84FA8">
        <w:rPr>
          <w:rFonts w:ascii="Arial" w:hAnsi="Arial" w:cs="Arial"/>
          <w:sz w:val="24"/>
          <w:szCs w:val="24"/>
        </w:rPr>
        <w:t xml:space="preserve"> </w:t>
      </w:r>
      <w:r w:rsidR="007659CF" w:rsidRPr="00D84FA8">
        <w:rPr>
          <w:rFonts w:ascii="Arial" w:hAnsi="Arial" w:cs="Arial"/>
          <w:sz w:val="24"/>
          <w:szCs w:val="24"/>
        </w:rPr>
        <w:t xml:space="preserve">An adverse costs order against </w:t>
      </w:r>
      <w:r w:rsidR="00D12AF6" w:rsidRPr="00D84FA8">
        <w:rPr>
          <w:rFonts w:ascii="Arial" w:hAnsi="Arial" w:cs="Arial"/>
          <w:sz w:val="24"/>
          <w:szCs w:val="24"/>
        </w:rPr>
        <w:t xml:space="preserve">the applicants </w:t>
      </w:r>
      <w:r w:rsidR="007659CF" w:rsidRPr="00D84FA8">
        <w:rPr>
          <w:rFonts w:ascii="Arial" w:hAnsi="Arial" w:cs="Arial"/>
          <w:sz w:val="24"/>
          <w:szCs w:val="24"/>
        </w:rPr>
        <w:t xml:space="preserve">would also serve to mark the court’s displeasure with the </w:t>
      </w:r>
      <w:r w:rsidR="00FE47A0" w:rsidRPr="00D84FA8">
        <w:rPr>
          <w:rFonts w:ascii="Arial" w:hAnsi="Arial" w:cs="Arial"/>
          <w:sz w:val="24"/>
          <w:szCs w:val="24"/>
        </w:rPr>
        <w:t>way</w:t>
      </w:r>
      <w:r w:rsidR="007659CF" w:rsidRPr="00D84FA8">
        <w:rPr>
          <w:rFonts w:ascii="Arial" w:hAnsi="Arial" w:cs="Arial"/>
          <w:sz w:val="24"/>
          <w:szCs w:val="24"/>
        </w:rPr>
        <w:t xml:space="preserve"> the </w:t>
      </w:r>
      <w:r w:rsidR="00366C66" w:rsidRPr="00D84FA8">
        <w:rPr>
          <w:rFonts w:ascii="Arial" w:hAnsi="Arial" w:cs="Arial"/>
          <w:sz w:val="24"/>
          <w:szCs w:val="24"/>
        </w:rPr>
        <w:t>application has been managed.</w:t>
      </w:r>
    </w:p>
    <w:p w14:paraId="705214CC" w14:textId="77777777" w:rsidR="008C4ACA" w:rsidRPr="008C4ACA" w:rsidRDefault="008C4ACA" w:rsidP="008C4ACA">
      <w:pPr>
        <w:pStyle w:val="ListParagraph"/>
        <w:rPr>
          <w:rFonts w:ascii="Arial" w:hAnsi="Arial" w:cs="Arial"/>
          <w:sz w:val="24"/>
          <w:szCs w:val="24"/>
        </w:rPr>
      </w:pPr>
    </w:p>
    <w:p w14:paraId="5B1A7D15" w14:textId="600B9A30" w:rsidR="00366C66" w:rsidRPr="00D84FA8" w:rsidRDefault="00D84FA8" w:rsidP="00D84FA8">
      <w:pPr>
        <w:spacing w:line="360" w:lineRule="auto"/>
        <w:jc w:val="both"/>
        <w:rPr>
          <w:rFonts w:ascii="Arial" w:hAnsi="Arial" w:cs="Arial"/>
          <w:sz w:val="24"/>
          <w:szCs w:val="24"/>
        </w:rPr>
      </w:pPr>
      <w:r w:rsidRPr="008C4ACA">
        <w:rPr>
          <w:rFonts w:ascii="Arial" w:hAnsi="Arial" w:cs="Arial"/>
          <w:sz w:val="24"/>
          <w:szCs w:val="24"/>
        </w:rPr>
        <w:t>[40]</w:t>
      </w:r>
      <w:r w:rsidRPr="008C4ACA">
        <w:rPr>
          <w:rFonts w:ascii="Arial" w:hAnsi="Arial" w:cs="Arial"/>
          <w:sz w:val="24"/>
          <w:szCs w:val="24"/>
        </w:rPr>
        <w:tab/>
      </w:r>
      <w:r w:rsidR="00366C66" w:rsidRPr="00D84FA8">
        <w:rPr>
          <w:rFonts w:ascii="Arial" w:hAnsi="Arial" w:cs="Arial"/>
          <w:sz w:val="24"/>
          <w:szCs w:val="24"/>
        </w:rPr>
        <w:t>Consequently, the following order is made:</w:t>
      </w:r>
    </w:p>
    <w:p w14:paraId="5C964AA4" w14:textId="77777777" w:rsidR="006524E8" w:rsidRDefault="006524E8" w:rsidP="008C4ACA">
      <w:pPr>
        <w:pStyle w:val="ListParagraph"/>
        <w:spacing w:line="360" w:lineRule="auto"/>
        <w:ind w:left="1080"/>
        <w:jc w:val="both"/>
        <w:rPr>
          <w:rFonts w:ascii="Arial" w:hAnsi="Arial" w:cs="Arial"/>
          <w:sz w:val="24"/>
          <w:szCs w:val="24"/>
        </w:rPr>
      </w:pPr>
    </w:p>
    <w:p w14:paraId="5090E751" w14:textId="0F8B73F7" w:rsidR="00366C66" w:rsidRPr="00D84FA8" w:rsidRDefault="00D84FA8" w:rsidP="00D84FA8">
      <w:pPr>
        <w:spacing w:line="360" w:lineRule="auto"/>
        <w:ind w:left="1418" w:hanging="698"/>
        <w:jc w:val="both"/>
        <w:rPr>
          <w:rFonts w:ascii="Arial" w:hAnsi="Arial" w:cs="Arial"/>
          <w:sz w:val="24"/>
          <w:szCs w:val="24"/>
        </w:rPr>
      </w:pPr>
      <w:r>
        <w:rPr>
          <w:rFonts w:ascii="Arial" w:hAnsi="Arial" w:cs="Arial"/>
          <w:sz w:val="24"/>
          <w:szCs w:val="24"/>
        </w:rPr>
        <w:t>(a)</w:t>
      </w:r>
      <w:r>
        <w:rPr>
          <w:rFonts w:ascii="Arial" w:hAnsi="Arial" w:cs="Arial"/>
          <w:sz w:val="24"/>
          <w:szCs w:val="24"/>
        </w:rPr>
        <w:tab/>
      </w:r>
      <w:r w:rsidR="006524E8" w:rsidRPr="00D84FA8">
        <w:rPr>
          <w:rFonts w:ascii="Arial" w:hAnsi="Arial" w:cs="Arial"/>
          <w:sz w:val="24"/>
          <w:szCs w:val="24"/>
        </w:rPr>
        <w:t>t</w:t>
      </w:r>
      <w:r w:rsidR="002302C1" w:rsidRPr="00D84FA8">
        <w:rPr>
          <w:rFonts w:ascii="Arial" w:hAnsi="Arial" w:cs="Arial"/>
          <w:sz w:val="24"/>
          <w:szCs w:val="24"/>
        </w:rPr>
        <w:t>he matter is removed from the roll; and</w:t>
      </w:r>
    </w:p>
    <w:p w14:paraId="3CCB863D" w14:textId="77777777" w:rsidR="006524E8" w:rsidRDefault="006524E8" w:rsidP="008C4ACA">
      <w:pPr>
        <w:pStyle w:val="ListParagraph"/>
        <w:spacing w:line="360" w:lineRule="auto"/>
        <w:ind w:left="1080"/>
        <w:jc w:val="both"/>
        <w:rPr>
          <w:rFonts w:ascii="Arial" w:hAnsi="Arial" w:cs="Arial"/>
          <w:sz w:val="24"/>
          <w:szCs w:val="24"/>
        </w:rPr>
      </w:pPr>
    </w:p>
    <w:p w14:paraId="1EA6E70D" w14:textId="2A6D4B53" w:rsidR="002302C1" w:rsidRPr="00D84FA8" w:rsidRDefault="00D84FA8" w:rsidP="00D84FA8">
      <w:pPr>
        <w:spacing w:line="36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6524E8" w:rsidRPr="00D84FA8">
        <w:rPr>
          <w:rFonts w:ascii="Arial" w:hAnsi="Arial" w:cs="Arial"/>
          <w:sz w:val="24"/>
          <w:szCs w:val="24"/>
        </w:rPr>
        <w:t>t</w:t>
      </w:r>
      <w:r w:rsidR="002302C1" w:rsidRPr="00D84FA8">
        <w:rPr>
          <w:rFonts w:ascii="Arial" w:hAnsi="Arial" w:cs="Arial"/>
          <w:sz w:val="24"/>
          <w:szCs w:val="24"/>
        </w:rPr>
        <w:t xml:space="preserve">he applicants are </w:t>
      </w:r>
      <w:r w:rsidR="008F1506" w:rsidRPr="00D84FA8">
        <w:rPr>
          <w:rFonts w:ascii="Arial" w:hAnsi="Arial" w:cs="Arial"/>
          <w:sz w:val="24"/>
          <w:szCs w:val="24"/>
        </w:rPr>
        <w:t>liable for</w:t>
      </w:r>
      <w:r w:rsidR="002302C1" w:rsidRPr="00D84FA8">
        <w:rPr>
          <w:rFonts w:ascii="Arial" w:hAnsi="Arial" w:cs="Arial"/>
          <w:sz w:val="24"/>
          <w:szCs w:val="24"/>
        </w:rPr>
        <w:t xml:space="preserve"> the respondents’ wasted costs</w:t>
      </w:r>
      <w:r w:rsidR="006524E8" w:rsidRPr="00D84FA8">
        <w:rPr>
          <w:rFonts w:ascii="Arial" w:hAnsi="Arial" w:cs="Arial"/>
          <w:sz w:val="24"/>
          <w:szCs w:val="24"/>
        </w:rPr>
        <w:t>, jointly and severally, in the event of one paying the others to be absolved.</w:t>
      </w:r>
    </w:p>
    <w:p w14:paraId="24D75778" w14:textId="612A7860" w:rsidR="00367C77" w:rsidRDefault="00367C77" w:rsidP="00367C77">
      <w:pPr>
        <w:spacing w:line="360" w:lineRule="auto"/>
        <w:rPr>
          <w:rFonts w:ascii="Arial" w:hAnsi="Arial" w:cs="Arial"/>
          <w:sz w:val="24"/>
          <w:szCs w:val="24"/>
        </w:rPr>
      </w:pPr>
    </w:p>
    <w:p w14:paraId="3558F229" w14:textId="304EEF54" w:rsidR="00367C77" w:rsidRDefault="00367C77" w:rsidP="00367C77">
      <w:pPr>
        <w:spacing w:line="360" w:lineRule="auto"/>
        <w:rPr>
          <w:rFonts w:ascii="Arial" w:hAnsi="Arial" w:cs="Arial"/>
          <w:sz w:val="24"/>
          <w:szCs w:val="24"/>
        </w:rPr>
      </w:pPr>
    </w:p>
    <w:p w14:paraId="5F403A96" w14:textId="5E65C1FD" w:rsidR="00367C77" w:rsidRDefault="00367C77" w:rsidP="008C4ACA">
      <w:pPr>
        <w:spacing w:line="240" w:lineRule="auto"/>
        <w:rPr>
          <w:rFonts w:ascii="Arial" w:hAnsi="Arial" w:cs="Arial"/>
          <w:sz w:val="24"/>
          <w:szCs w:val="24"/>
        </w:rPr>
      </w:pPr>
      <w:r>
        <w:rPr>
          <w:rFonts w:ascii="Arial" w:hAnsi="Arial" w:cs="Arial"/>
          <w:sz w:val="24"/>
          <w:szCs w:val="24"/>
        </w:rPr>
        <w:t>_________________________</w:t>
      </w:r>
    </w:p>
    <w:p w14:paraId="00CFE639" w14:textId="2FB692D2" w:rsidR="00367C77" w:rsidRPr="00367C77" w:rsidRDefault="00367C77" w:rsidP="008C4ACA">
      <w:pPr>
        <w:spacing w:line="240" w:lineRule="auto"/>
        <w:rPr>
          <w:rFonts w:ascii="Arial" w:hAnsi="Arial" w:cs="Arial"/>
          <w:b/>
          <w:bCs/>
          <w:sz w:val="24"/>
          <w:szCs w:val="24"/>
        </w:rPr>
      </w:pPr>
      <w:r w:rsidRPr="00367C77">
        <w:rPr>
          <w:rFonts w:ascii="Arial" w:hAnsi="Arial" w:cs="Arial"/>
          <w:b/>
          <w:bCs/>
          <w:sz w:val="24"/>
          <w:szCs w:val="24"/>
        </w:rPr>
        <w:t>JGA LAING</w:t>
      </w:r>
    </w:p>
    <w:p w14:paraId="0A2B5D41" w14:textId="07DA06C1" w:rsidR="00367C77" w:rsidRDefault="00367C77" w:rsidP="008C4ACA">
      <w:pPr>
        <w:spacing w:line="240" w:lineRule="auto"/>
        <w:rPr>
          <w:rFonts w:ascii="Arial" w:hAnsi="Arial" w:cs="Arial"/>
          <w:b/>
          <w:bCs/>
          <w:sz w:val="24"/>
          <w:szCs w:val="24"/>
        </w:rPr>
      </w:pPr>
      <w:r w:rsidRPr="00367C77">
        <w:rPr>
          <w:rFonts w:ascii="Arial" w:hAnsi="Arial" w:cs="Arial"/>
          <w:b/>
          <w:bCs/>
          <w:sz w:val="24"/>
          <w:szCs w:val="24"/>
        </w:rPr>
        <w:t>JUDGE OF THE HIGH COURT</w:t>
      </w:r>
    </w:p>
    <w:p w14:paraId="5241DD06" w14:textId="4782A35A" w:rsidR="008C4ACA" w:rsidRDefault="008C4ACA" w:rsidP="008C4ACA">
      <w:pPr>
        <w:spacing w:line="240" w:lineRule="auto"/>
        <w:rPr>
          <w:rFonts w:ascii="Arial" w:hAnsi="Arial" w:cs="Arial"/>
          <w:b/>
          <w:bCs/>
          <w:sz w:val="24"/>
          <w:szCs w:val="24"/>
        </w:rPr>
      </w:pPr>
    </w:p>
    <w:p w14:paraId="79C1A090" w14:textId="77777777" w:rsidR="00355C97" w:rsidRDefault="00355C97" w:rsidP="008C4ACA">
      <w:pPr>
        <w:spacing w:line="240" w:lineRule="auto"/>
        <w:rPr>
          <w:rFonts w:ascii="Arial" w:hAnsi="Arial" w:cs="Arial"/>
          <w:b/>
          <w:bCs/>
          <w:sz w:val="24"/>
          <w:szCs w:val="24"/>
        </w:rPr>
      </w:pPr>
    </w:p>
    <w:p w14:paraId="1399A8E9" w14:textId="2C6750F2" w:rsidR="008C4ACA" w:rsidRPr="00355C97" w:rsidRDefault="008C4ACA" w:rsidP="00355C97">
      <w:pPr>
        <w:spacing w:line="240" w:lineRule="auto"/>
        <w:jc w:val="both"/>
        <w:rPr>
          <w:rFonts w:ascii="Arial" w:hAnsi="Arial" w:cs="Arial"/>
          <w:bCs/>
          <w:sz w:val="24"/>
          <w:szCs w:val="24"/>
        </w:rPr>
      </w:pPr>
      <w:r w:rsidRPr="00355C97">
        <w:rPr>
          <w:rFonts w:ascii="Arial" w:hAnsi="Arial" w:cs="Arial"/>
          <w:bCs/>
          <w:sz w:val="24"/>
          <w:szCs w:val="24"/>
        </w:rPr>
        <w:t xml:space="preserve">APPEARANCE </w:t>
      </w:r>
    </w:p>
    <w:p w14:paraId="12992930" w14:textId="5918D19E" w:rsidR="008C4ACA" w:rsidRPr="00355C97" w:rsidRDefault="008C4ACA" w:rsidP="00355C97">
      <w:pPr>
        <w:spacing w:line="240" w:lineRule="auto"/>
        <w:jc w:val="both"/>
        <w:rPr>
          <w:rFonts w:ascii="Arial" w:hAnsi="Arial" w:cs="Arial"/>
          <w:bCs/>
          <w:sz w:val="24"/>
          <w:szCs w:val="24"/>
        </w:rPr>
      </w:pPr>
      <w:r w:rsidRPr="00355C97">
        <w:rPr>
          <w:rFonts w:ascii="Arial" w:hAnsi="Arial" w:cs="Arial"/>
          <w:bCs/>
          <w:sz w:val="24"/>
          <w:szCs w:val="24"/>
        </w:rPr>
        <w:t>For the applicants:</w:t>
      </w:r>
      <w:r w:rsidRPr="00355C97">
        <w:rPr>
          <w:rFonts w:ascii="Arial" w:hAnsi="Arial" w:cs="Arial"/>
          <w:bCs/>
          <w:sz w:val="24"/>
          <w:szCs w:val="24"/>
        </w:rPr>
        <w:tab/>
      </w:r>
      <w:r w:rsidRPr="00355C97">
        <w:rPr>
          <w:rFonts w:ascii="Arial" w:hAnsi="Arial" w:cs="Arial"/>
          <w:bCs/>
          <w:sz w:val="24"/>
          <w:szCs w:val="24"/>
        </w:rPr>
        <w:tab/>
        <w:t>Adv Cole SC, instructed by Whitesides Attorneys, Makhanda.</w:t>
      </w:r>
    </w:p>
    <w:p w14:paraId="282E7E5B" w14:textId="1AB22860" w:rsidR="008C4ACA" w:rsidRPr="00355C97" w:rsidRDefault="008C4ACA" w:rsidP="00355C97">
      <w:pPr>
        <w:spacing w:line="240" w:lineRule="auto"/>
        <w:jc w:val="both"/>
        <w:rPr>
          <w:rFonts w:ascii="Arial" w:hAnsi="Arial" w:cs="Arial"/>
          <w:bCs/>
          <w:sz w:val="24"/>
          <w:szCs w:val="24"/>
        </w:rPr>
      </w:pPr>
    </w:p>
    <w:p w14:paraId="3FC3B102" w14:textId="69E228D3" w:rsidR="008C4ACA" w:rsidRDefault="008C4ACA" w:rsidP="00355C97">
      <w:pPr>
        <w:spacing w:line="240" w:lineRule="auto"/>
        <w:jc w:val="both"/>
        <w:rPr>
          <w:rFonts w:ascii="Arial" w:hAnsi="Arial" w:cs="Arial"/>
          <w:bCs/>
          <w:sz w:val="24"/>
          <w:szCs w:val="24"/>
        </w:rPr>
      </w:pPr>
      <w:r w:rsidRPr="00355C97">
        <w:rPr>
          <w:rFonts w:ascii="Arial" w:hAnsi="Arial" w:cs="Arial"/>
          <w:bCs/>
          <w:sz w:val="24"/>
          <w:szCs w:val="24"/>
        </w:rPr>
        <w:t>For the respondents:</w:t>
      </w:r>
      <w:r w:rsidRPr="00355C97">
        <w:rPr>
          <w:rFonts w:ascii="Arial" w:hAnsi="Arial" w:cs="Arial"/>
          <w:bCs/>
          <w:sz w:val="24"/>
          <w:szCs w:val="24"/>
        </w:rPr>
        <w:tab/>
        <w:t xml:space="preserve">Adv Brown, instructed by Nolte Smit Inc., Makhanda </w:t>
      </w:r>
    </w:p>
    <w:p w14:paraId="32C21E83" w14:textId="5203E9EE" w:rsidR="00355C97" w:rsidRDefault="00355C97" w:rsidP="00355C97">
      <w:pPr>
        <w:spacing w:line="240" w:lineRule="auto"/>
        <w:jc w:val="both"/>
        <w:rPr>
          <w:rFonts w:ascii="Arial" w:hAnsi="Arial" w:cs="Arial"/>
          <w:bCs/>
          <w:sz w:val="24"/>
          <w:szCs w:val="24"/>
        </w:rPr>
      </w:pPr>
    </w:p>
    <w:p w14:paraId="78318637" w14:textId="066FDF26" w:rsidR="00355C97" w:rsidRDefault="00355C97" w:rsidP="00355C97">
      <w:pPr>
        <w:spacing w:line="240" w:lineRule="auto"/>
        <w:jc w:val="both"/>
        <w:rPr>
          <w:rFonts w:ascii="Arial" w:hAnsi="Arial" w:cs="Arial"/>
          <w:bCs/>
          <w:sz w:val="24"/>
          <w:szCs w:val="24"/>
        </w:rPr>
      </w:pPr>
      <w:r>
        <w:rPr>
          <w:rFonts w:ascii="Arial" w:hAnsi="Arial" w:cs="Arial"/>
          <w:bCs/>
          <w:sz w:val="24"/>
          <w:szCs w:val="24"/>
        </w:rPr>
        <w:t>Date of hearing:</w:t>
      </w:r>
      <w:r>
        <w:rPr>
          <w:rFonts w:ascii="Arial" w:hAnsi="Arial" w:cs="Arial"/>
          <w:bCs/>
          <w:sz w:val="24"/>
          <w:szCs w:val="24"/>
        </w:rPr>
        <w:tab/>
      </w:r>
      <w:r>
        <w:rPr>
          <w:rFonts w:ascii="Arial" w:hAnsi="Arial" w:cs="Arial"/>
          <w:bCs/>
          <w:sz w:val="24"/>
          <w:szCs w:val="24"/>
        </w:rPr>
        <w:tab/>
      </w:r>
      <w:r>
        <w:rPr>
          <w:rFonts w:ascii="Arial" w:hAnsi="Arial" w:cs="Arial"/>
          <w:bCs/>
          <w:sz w:val="24"/>
          <w:szCs w:val="24"/>
        </w:rPr>
        <w:tab/>
        <w:t>03 March 2023.</w:t>
      </w:r>
    </w:p>
    <w:p w14:paraId="6F89B67A" w14:textId="2D4B943D" w:rsidR="00355C97" w:rsidRPr="00355C97" w:rsidRDefault="00355C97" w:rsidP="00355C97">
      <w:pPr>
        <w:spacing w:line="240" w:lineRule="auto"/>
        <w:jc w:val="both"/>
        <w:rPr>
          <w:rFonts w:ascii="Arial" w:hAnsi="Arial" w:cs="Arial"/>
          <w:bCs/>
          <w:sz w:val="24"/>
          <w:szCs w:val="24"/>
        </w:rPr>
      </w:pPr>
      <w:r>
        <w:rPr>
          <w:rFonts w:ascii="Arial" w:hAnsi="Arial" w:cs="Arial"/>
          <w:bCs/>
          <w:sz w:val="24"/>
          <w:szCs w:val="24"/>
        </w:rPr>
        <w:t>Date of delivery of judgment:</w:t>
      </w:r>
      <w:r>
        <w:rPr>
          <w:rFonts w:ascii="Arial" w:hAnsi="Arial" w:cs="Arial"/>
          <w:bCs/>
          <w:sz w:val="24"/>
          <w:szCs w:val="24"/>
        </w:rPr>
        <w:tab/>
        <w:t>22 March 2023.</w:t>
      </w:r>
    </w:p>
    <w:sectPr w:rsidR="00355C97" w:rsidRPr="00355C97" w:rsidSect="00355C9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31BF" w14:textId="77777777" w:rsidR="001D49DA" w:rsidRDefault="001D49DA">
      <w:pPr>
        <w:spacing w:after="0" w:line="240" w:lineRule="auto"/>
      </w:pPr>
      <w:r>
        <w:separator/>
      </w:r>
    </w:p>
  </w:endnote>
  <w:endnote w:type="continuationSeparator" w:id="0">
    <w:p w14:paraId="33948C29" w14:textId="77777777" w:rsidR="001D49DA" w:rsidRDefault="001D49DA">
      <w:pPr>
        <w:spacing w:after="0" w:line="240" w:lineRule="auto"/>
      </w:pPr>
      <w:r>
        <w:continuationSeparator/>
      </w:r>
    </w:p>
  </w:endnote>
  <w:endnote w:type="continuationNotice" w:id="1">
    <w:p w14:paraId="60627FBF" w14:textId="77777777" w:rsidR="001D49DA" w:rsidRDefault="001D4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F680" w14:textId="77777777" w:rsidR="001D49DA" w:rsidRDefault="001D49DA">
      <w:pPr>
        <w:spacing w:after="0" w:line="240" w:lineRule="auto"/>
      </w:pPr>
      <w:r>
        <w:separator/>
      </w:r>
    </w:p>
  </w:footnote>
  <w:footnote w:type="continuationSeparator" w:id="0">
    <w:p w14:paraId="5CC99483" w14:textId="77777777" w:rsidR="001D49DA" w:rsidRDefault="001D49DA">
      <w:pPr>
        <w:spacing w:after="0" w:line="240" w:lineRule="auto"/>
      </w:pPr>
      <w:r>
        <w:continuationSeparator/>
      </w:r>
    </w:p>
  </w:footnote>
  <w:footnote w:type="continuationNotice" w:id="1">
    <w:p w14:paraId="64C00213" w14:textId="77777777" w:rsidR="001D49DA" w:rsidRDefault="001D49DA">
      <w:pPr>
        <w:spacing w:after="0" w:line="240" w:lineRule="auto"/>
      </w:pPr>
    </w:p>
  </w:footnote>
  <w:footnote w:id="2">
    <w:p w14:paraId="233976EB" w14:textId="1F35DE03" w:rsidR="004C1291" w:rsidRPr="004C1291" w:rsidRDefault="004C1291">
      <w:pPr>
        <w:pStyle w:val="FootnoteText"/>
        <w:rPr>
          <w:lang w:val="en-US"/>
        </w:rPr>
      </w:pPr>
      <w:r>
        <w:rPr>
          <w:rStyle w:val="FootnoteReference"/>
        </w:rPr>
        <w:footnoteRef/>
      </w:r>
      <w:r>
        <w:t xml:space="preserve"> </w:t>
      </w:r>
      <w:r>
        <w:rPr>
          <w:lang w:val="en-US"/>
        </w:rPr>
        <w:t>Own translation.</w:t>
      </w:r>
    </w:p>
  </w:footnote>
  <w:footnote w:id="3">
    <w:p w14:paraId="109FCAB2" w14:textId="2DBC9B9C" w:rsidR="002C29C0" w:rsidRPr="002C29C0" w:rsidRDefault="002C29C0" w:rsidP="008C4ACA">
      <w:pPr>
        <w:pStyle w:val="FootnoteText"/>
        <w:jc w:val="both"/>
        <w:rPr>
          <w:lang w:val="en-US"/>
        </w:rPr>
      </w:pPr>
      <w:r>
        <w:rPr>
          <w:rStyle w:val="FootnoteReference"/>
        </w:rPr>
        <w:footnoteRef/>
      </w:r>
      <w:r>
        <w:t xml:space="preserve"> </w:t>
      </w:r>
      <w:r w:rsidR="0049276F">
        <w:t>The first respondent states that</w:t>
      </w:r>
      <w:r w:rsidR="00AE75A7">
        <w:t xml:space="preserve"> Mr</w:t>
      </w:r>
      <w:r w:rsidR="0049276F">
        <w:t xml:space="preserve"> </w:t>
      </w:r>
      <w:r>
        <w:rPr>
          <w:lang w:val="en-US"/>
        </w:rPr>
        <w:t>Chris van der Merwe predeceased Mrs van der Merwe, with the implication that the estate was to be distributed equally amongst the surviving heirs.</w:t>
      </w:r>
    </w:p>
  </w:footnote>
  <w:footnote w:id="4">
    <w:p w14:paraId="3D48FD84" w14:textId="5089B8F5" w:rsidR="0050079C" w:rsidRPr="0050079C" w:rsidRDefault="0050079C" w:rsidP="008C4ACA">
      <w:pPr>
        <w:pStyle w:val="FootnoteText"/>
        <w:jc w:val="both"/>
        <w:rPr>
          <w:lang w:val="en-US"/>
        </w:rPr>
      </w:pPr>
      <w:r>
        <w:rPr>
          <w:rStyle w:val="FootnoteReference"/>
        </w:rPr>
        <w:footnoteRef/>
      </w:r>
      <w:r>
        <w:t xml:space="preserve"> </w:t>
      </w:r>
      <w:r>
        <w:rPr>
          <w:lang w:val="en-US"/>
        </w:rPr>
        <w:t>Joint Rules of Practice for the High Courts of the Eastern Cape Province, published under Notice 357, in GG 41733, 25 June 2018.</w:t>
      </w:r>
    </w:p>
  </w:footnote>
  <w:footnote w:id="5">
    <w:p w14:paraId="59210E18" w14:textId="67F376BE" w:rsidR="004E39C1" w:rsidRPr="004E39C1" w:rsidRDefault="004E39C1" w:rsidP="008C4ACA">
      <w:pPr>
        <w:pStyle w:val="FootnoteText"/>
        <w:jc w:val="both"/>
        <w:rPr>
          <w:lang w:val="en-US"/>
        </w:rPr>
      </w:pPr>
      <w:r>
        <w:rPr>
          <w:rStyle w:val="FootnoteReference"/>
        </w:rPr>
        <w:footnoteRef/>
      </w:r>
      <w:r>
        <w:t xml:space="preserve"> </w:t>
      </w:r>
      <w:r w:rsidR="00F04AAB">
        <w:rPr>
          <w:lang w:val="en-US"/>
        </w:rPr>
        <w:t>Unreported, ECG case no 1076/2021</w:t>
      </w:r>
      <w:r w:rsidR="0006113E">
        <w:rPr>
          <w:lang w:val="en-US"/>
        </w:rPr>
        <w:t>, dated 4 May 2021.</w:t>
      </w:r>
    </w:p>
  </w:footnote>
  <w:footnote w:id="6">
    <w:p w14:paraId="42132869" w14:textId="61A8C13F" w:rsidR="00D013D5" w:rsidRPr="00D013D5" w:rsidRDefault="00D013D5" w:rsidP="008C4ACA">
      <w:pPr>
        <w:pStyle w:val="FootnoteText"/>
        <w:jc w:val="both"/>
        <w:rPr>
          <w:lang w:val="en-US"/>
        </w:rPr>
      </w:pPr>
      <w:r>
        <w:rPr>
          <w:rStyle w:val="FootnoteReference"/>
        </w:rPr>
        <w:footnoteRef/>
      </w:r>
      <w:r>
        <w:t xml:space="preserve"> </w:t>
      </w:r>
      <w:r>
        <w:rPr>
          <w:lang w:val="en-US"/>
        </w:rPr>
        <w:t>At paragraph [6].</w:t>
      </w:r>
    </w:p>
  </w:footnote>
  <w:footnote w:id="7">
    <w:p w14:paraId="4B4BE7A5" w14:textId="2AF8C580" w:rsidR="00BD3C6C" w:rsidRPr="00BD3C6C" w:rsidRDefault="00BD3C6C" w:rsidP="008C4ACA">
      <w:pPr>
        <w:pStyle w:val="FootnoteText"/>
        <w:jc w:val="both"/>
        <w:rPr>
          <w:lang w:val="en-US"/>
        </w:rPr>
      </w:pPr>
      <w:r>
        <w:rPr>
          <w:rStyle w:val="FootnoteReference"/>
        </w:rPr>
        <w:footnoteRef/>
      </w:r>
      <w:r>
        <w:t xml:space="preserve"> </w:t>
      </w:r>
      <w:r w:rsidR="006349C1" w:rsidRPr="006349C1">
        <w:rPr>
          <w:lang w:val="en-US"/>
        </w:rPr>
        <w:t>2021 (1) SA 386 (ECG)</w:t>
      </w:r>
      <w:r w:rsidR="006349C1">
        <w:rPr>
          <w:lang w:val="en-US"/>
        </w:rPr>
        <w:t>.</w:t>
      </w:r>
    </w:p>
  </w:footnote>
  <w:footnote w:id="8">
    <w:p w14:paraId="065151F3" w14:textId="5CEAE432" w:rsidR="00BD3C6C" w:rsidRPr="003546D5" w:rsidRDefault="00BD3C6C" w:rsidP="008C4ACA">
      <w:pPr>
        <w:pStyle w:val="FootnoteText"/>
        <w:jc w:val="both"/>
        <w:rPr>
          <w:lang w:val="en-US"/>
        </w:rPr>
      </w:pPr>
      <w:r>
        <w:rPr>
          <w:rStyle w:val="FootnoteReference"/>
        </w:rPr>
        <w:footnoteRef/>
      </w:r>
      <w:r w:rsidR="00AE75A7">
        <w:rPr>
          <w:lang w:val="en-US"/>
        </w:rPr>
        <w:t xml:space="preserve"> At</w:t>
      </w:r>
      <w:r>
        <w:rPr>
          <w:lang w:val="en-US"/>
        </w:rPr>
        <w:t xml:space="preserve"> paragraphs [17] to [20].</w:t>
      </w:r>
    </w:p>
  </w:footnote>
  <w:footnote w:id="9">
    <w:p w14:paraId="2C763E5E" w14:textId="0E8A1FB7" w:rsidR="00CE6768" w:rsidRPr="00CE6768" w:rsidRDefault="00CE6768" w:rsidP="008C4ACA">
      <w:pPr>
        <w:pStyle w:val="FootnoteText"/>
        <w:jc w:val="both"/>
        <w:rPr>
          <w:lang w:val="en-US"/>
        </w:rPr>
      </w:pPr>
      <w:r>
        <w:rPr>
          <w:rStyle w:val="FootnoteReference"/>
        </w:rPr>
        <w:footnoteRef/>
      </w:r>
      <w:r>
        <w:t xml:space="preserve"> </w:t>
      </w:r>
      <w:r>
        <w:rPr>
          <w:lang w:val="en-US"/>
        </w:rPr>
        <w:t xml:space="preserve">1977 (4) </w:t>
      </w:r>
      <w:r w:rsidR="00C5770F">
        <w:rPr>
          <w:lang w:val="en-US"/>
        </w:rPr>
        <w:t>SA 135 (W).</w:t>
      </w:r>
    </w:p>
  </w:footnote>
  <w:footnote w:id="10">
    <w:p w14:paraId="5F848CFE" w14:textId="696F9319" w:rsidR="00C5770F" w:rsidRPr="00C5770F" w:rsidRDefault="00C5770F" w:rsidP="008C4ACA">
      <w:pPr>
        <w:pStyle w:val="FootnoteText"/>
        <w:jc w:val="both"/>
        <w:rPr>
          <w:lang w:val="en-US"/>
        </w:rPr>
      </w:pPr>
      <w:r>
        <w:rPr>
          <w:rStyle w:val="FootnoteReference"/>
        </w:rPr>
        <w:footnoteRef/>
      </w:r>
      <w:r>
        <w:t xml:space="preserve"> </w:t>
      </w:r>
      <w:r>
        <w:rPr>
          <w:lang w:val="en-US"/>
        </w:rPr>
        <w:t>At 137A-E.</w:t>
      </w:r>
    </w:p>
  </w:footnote>
  <w:footnote w:id="11">
    <w:p w14:paraId="3B015CF4" w14:textId="77777777" w:rsidR="00ED42A9" w:rsidRPr="002169BE" w:rsidRDefault="00ED42A9" w:rsidP="008C4ACA">
      <w:pPr>
        <w:pStyle w:val="FootnoteText"/>
        <w:jc w:val="both"/>
        <w:rPr>
          <w:lang w:val="en-US"/>
        </w:rPr>
      </w:pPr>
      <w:r>
        <w:rPr>
          <w:rStyle w:val="FootnoteReference"/>
        </w:rPr>
        <w:footnoteRef/>
      </w:r>
      <w:r>
        <w:t xml:space="preserve"> </w:t>
      </w:r>
      <w:r>
        <w:rPr>
          <w:lang w:val="en-US"/>
        </w:rPr>
        <w:t>At 136H.</w:t>
      </w:r>
    </w:p>
  </w:footnote>
  <w:footnote w:id="12">
    <w:p w14:paraId="37F3AE88" w14:textId="6104A807" w:rsidR="007F0DC5" w:rsidRPr="007F0DC5" w:rsidRDefault="007F0DC5" w:rsidP="008C4ACA">
      <w:pPr>
        <w:pStyle w:val="FootnoteText"/>
        <w:jc w:val="both"/>
        <w:rPr>
          <w:lang w:val="en-US"/>
        </w:rPr>
      </w:pPr>
      <w:r>
        <w:rPr>
          <w:rStyle w:val="FootnoteReference"/>
        </w:rPr>
        <w:footnoteRef/>
      </w:r>
      <w:r>
        <w:t xml:space="preserve"> </w:t>
      </w:r>
      <w:r w:rsidRPr="007F0DC5">
        <w:rPr>
          <w:i/>
          <w:iCs/>
          <w:lang w:val="en-US"/>
        </w:rPr>
        <w:t>Turquoise River Incorporated v McMenamin</w:t>
      </w:r>
      <w:r>
        <w:rPr>
          <w:lang w:val="en-US"/>
        </w:rPr>
        <w:t xml:space="preserve"> 1992 (3) SA 653 (D), at 657D. See, too, the discussion in Van Loggerenberg, </w:t>
      </w:r>
      <w:r w:rsidRPr="007F0DC5">
        <w:rPr>
          <w:i/>
          <w:iCs/>
          <w:lang w:val="en-US"/>
        </w:rPr>
        <w:t>Erasmus: Superior Court Practice</w:t>
      </w:r>
      <w:r>
        <w:rPr>
          <w:lang w:val="en-US"/>
        </w:rPr>
        <w:t xml:space="preserve"> (Jutastat e-publications, RS 20, 2022), at D1-59 to D1-60.</w:t>
      </w:r>
    </w:p>
  </w:footnote>
  <w:footnote w:id="13">
    <w:p w14:paraId="6C0F355A" w14:textId="345A5307" w:rsidR="004878EC" w:rsidRPr="004878EC" w:rsidRDefault="004878EC" w:rsidP="008C4ACA">
      <w:pPr>
        <w:pStyle w:val="FootnoteText"/>
        <w:jc w:val="both"/>
        <w:rPr>
          <w:lang w:val="en-US"/>
        </w:rPr>
      </w:pPr>
      <w:r>
        <w:rPr>
          <w:rStyle w:val="FootnoteReference"/>
        </w:rPr>
        <w:footnoteRef/>
      </w:r>
      <w:r>
        <w:t xml:space="preserve"> </w:t>
      </w:r>
      <w:r w:rsidRPr="004878EC">
        <w:t>2018 (3) SA 604 (WCC)</w:t>
      </w:r>
      <w:r>
        <w:t>.</w:t>
      </w:r>
    </w:p>
  </w:footnote>
  <w:footnote w:id="14">
    <w:p w14:paraId="68539D31" w14:textId="46154099" w:rsidR="002D3C2F" w:rsidRPr="002D3C2F" w:rsidRDefault="002D3C2F" w:rsidP="008C4ACA">
      <w:pPr>
        <w:pStyle w:val="FootnoteText"/>
        <w:jc w:val="both"/>
        <w:rPr>
          <w:lang w:val="en-US"/>
        </w:rPr>
      </w:pPr>
      <w:r>
        <w:rPr>
          <w:rStyle w:val="FootnoteReference"/>
        </w:rPr>
        <w:footnoteRef/>
      </w:r>
      <w:r>
        <w:t xml:space="preserve"> </w:t>
      </w:r>
      <w:r>
        <w:rPr>
          <w:lang w:val="en-US"/>
        </w:rPr>
        <w:t>At paragraph [198].</w:t>
      </w:r>
    </w:p>
  </w:footnote>
  <w:footnote w:id="15">
    <w:p w14:paraId="6E17261C" w14:textId="4ED8CDB7" w:rsidR="00351C6C" w:rsidRPr="00351C6C" w:rsidRDefault="00351C6C" w:rsidP="008C4ACA">
      <w:pPr>
        <w:pStyle w:val="FootnoteText"/>
        <w:jc w:val="both"/>
        <w:rPr>
          <w:lang w:val="en-US"/>
        </w:rPr>
      </w:pPr>
      <w:r>
        <w:rPr>
          <w:rStyle w:val="FootnoteReference"/>
        </w:rPr>
        <w:footnoteRef/>
      </w:r>
      <w:r>
        <w:t xml:space="preserve"> </w:t>
      </w:r>
      <w:r>
        <w:rPr>
          <w:lang w:val="en-US"/>
        </w:rPr>
        <w:t xml:space="preserve">This was the expression used in clause </w:t>
      </w:r>
      <w:r w:rsidR="006C30D2">
        <w:rPr>
          <w:lang w:val="en-US"/>
        </w:rPr>
        <w:t>6.1 of the settlement agreement.</w:t>
      </w:r>
    </w:p>
  </w:footnote>
  <w:footnote w:id="16">
    <w:p w14:paraId="60183C70" w14:textId="6E793B2C" w:rsidR="002525E0" w:rsidRPr="002525E0" w:rsidRDefault="002525E0">
      <w:pPr>
        <w:pStyle w:val="FootnoteText"/>
        <w:rPr>
          <w:lang w:val="en-US"/>
        </w:rPr>
      </w:pPr>
      <w:r>
        <w:rPr>
          <w:rStyle w:val="FootnoteReference"/>
        </w:rPr>
        <w:footnoteRef/>
      </w:r>
      <w:r>
        <w:t xml:space="preserve"> </w:t>
      </w:r>
      <w:r w:rsidR="00A80347">
        <w:rPr>
          <w:lang w:val="en-US"/>
        </w:rPr>
        <w:t>[1998] JOL 1832 (SE).</w:t>
      </w:r>
    </w:p>
  </w:footnote>
  <w:footnote w:id="17">
    <w:p w14:paraId="1238B864" w14:textId="6DBC70FD" w:rsidR="00453DFB" w:rsidRPr="00453DFB" w:rsidRDefault="00453DFB" w:rsidP="008C4ACA">
      <w:pPr>
        <w:pStyle w:val="FootnoteText"/>
        <w:jc w:val="both"/>
        <w:rPr>
          <w:lang w:val="en-US"/>
        </w:rPr>
      </w:pPr>
      <w:r>
        <w:rPr>
          <w:rStyle w:val="FootnoteReference"/>
        </w:rPr>
        <w:footnoteRef/>
      </w:r>
      <w:r>
        <w:t xml:space="preserve"> </w:t>
      </w:r>
      <w:r w:rsidR="0003111B">
        <w:rPr>
          <w:lang w:val="en-US"/>
        </w:rPr>
        <w:t>At pp 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88574"/>
      <w:docPartObj>
        <w:docPartGallery w:val="Page Numbers (Top of Page)"/>
        <w:docPartUnique/>
      </w:docPartObj>
    </w:sdtPr>
    <w:sdtEndPr>
      <w:rPr>
        <w:noProof/>
      </w:rPr>
    </w:sdtEndPr>
    <w:sdtContent>
      <w:p w14:paraId="39BAC9E3" w14:textId="42085EF8" w:rsidR="00355C97" w:rsidRDefault="00355C97">
        <w:pPr>
          <w:pStyle w:val="Header"/>
          <w:jc w:val="center"/>
        </w:pPr>
        <w:r>
          <w:fldChar w:fldCharType="begin"/>
        </w:r>
        <w:r>
          <w:instrText xml:space="preserve"> PAGE   \* MERGEFORMAT </w:instrText>
        </w:r>
        <w:r>
          <w:fldChar w:fldCharType="separate"/>
        </w:r>
        <w:r w:rsidR="00D84FA8">
          <w:rPr>
            <w:noProof/>
          </w:rPr>
          <w:t>2</w:t>
        </w:r>
        <w:r>
          <w:rPr>
            <w:noProof/>
          </w:rPr>
          <w:fldChar w:fldCharType="end"/>
        </w:r>
      </w:p>
    </w:sdtContent>
  </w:sdt>
  <w:p w14:paraId="6BDF0BB8" w14:textId="77777777" w:rsidR="00355C97" w:rsidRDefault="00355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0322C"/>
    <w:multiLevelType w:val="hybridMultilevel"/>
    <w:tmpl w:val="F4805758"/>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DA1AD9"/>
    <w:multiLevelType w:val="hybridMultilevel"/>
    <w:tmpl w:val="74241682"/>
    <w:lvl w:ilvl="0" w:tplc="239A0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486ED7"/>
    <w:multiLevelType w:val="hybridMultilevel"/>
    <w:tmpl w:val="DD8A7A76"/>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E396850"/>
    <w:multiLevelType w:val="hybridMultilevel"/>
    <w:tmpl w:val="2B2A54A2"/>
    <w:lvl w:ilvl="0" w:tplc="3A9A72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31"/>
    <w:rsid w:val="00001706"/>
    <w:rsid w:val="00004ACD"/>
    <w:rsid w:val="0000732C"/>
    <w:rsid w:val="00010BB6"/>
    <w:rsid w:val="00017265"/>
    <w:rsid w:val="00023854"/>
    <w:rsid w:val="000255DE"/>
    <w:rsid w:val="00030288"/>
    <w:rsid w:val="0003111B"/>
    <w:rsid w:val="00033440"/>
    <w:rsid w:val="00034897"/>
    <w:rsid w:val="00037CD6"/>
    <w:rsid w:val="00037E36"/>
    <w:rsid w:val="00043BC2"/>
    <w:rsid w:val="0006113E"/>
    <w:rsid w:val="000644A5"/>
    <w:rsid w:val="00070237"/>
    <w:rsid w:val="00076EA3"/>
    <w:rsid w:val="0008530E"/>
    <w:rsid w:val="00095751"/>
    <w:rsid w:val="000B15D9"/>
    <w:rsid w:val="000B57F7"/>
    <w:rsid w:val="000B7D0D"/>
    <w:rsid w:val="000C3A29"/>
    <w:rsid w:val="000C6B30"/>
    <w:rsid w:val="000C7591"/>
    <w:rsid w:val="000D6EFC"/>
    <w:rsid w:val="000E3347"/>
    <w:rsid w:val="000E601D"/>
    <w:rsid w:val="00102E2B"/>
    <w:rsid w:val="0011684D"/>
    <w:rsid w:val="00123210"/>
    <w:rsid w:val="00147857"/>
    <w:rsid w:val="00153B8D"/>
    <w:rsid w:val="00155C28"/>
    <w:rsid w:val="00160C8C"/>
    <w:rsid w:val="00162E98"/>
    <w:rsid w:val="001656CD"/>
    <w:rsid w:val="00175EB8"/>
    <w:rsid w:val="001A1103"/>
    <w:rsid w:val="001B7AB8"/>
    <w:rsid w:val="001C078E"/>
    <w:rsid w:val="001D49DA"/>
    <w:rsid w:val="001D6C1E"/>
    <w:rsid w:val="001F1B53"/>
    <w:rsid w:val="001F2D22"/>
    <w:rsid w:val="001F397E"/>
    <w:rsid w:val="001F6B2B"/>
    <w:rsid w:val="0021224E"/>
    <w:rsid w:val="002169BE"/>
    <w:rsid w:val="00223F09"/>
    <w:rsid w:val="00224E16"/>
    <w:rsid w:val="002302C1"/>
    <w:rsid w:val="002343A4"/>
    <w:rsid w:val="002344FF"/>
    <w:rsid w:val="00237488"/>
    <w:rsid w:val="002525E0"/>
    <w:rsid w:val="00254E54"/>
    <w:rsid w:val="00256859"/>
    <w:rsid w:val="002574F7"/>
    <w:rsid w:val="0026393D"/>
    <w:rsid w:val="00272719"/>
    <w:rsid w:val="00286C72"/>
    <w:rsid w:val="00292491"/>
    <w:rsid w:val="002947AB"/>
    <w:rsid w:val="002948EA"/>
    <w:rsid w:val="002A4609"/>
    <w:rsid w:val="002A6A96"/>
    <w:rsid w:val="002C29A9"/>
    <w:rsid w:val="002C29C0"/>
    <w:rsid w:val="002D32E9"/>
    <w:rsid w:val="002D3C2F"/>
    <w:rsid w:val="002D598C"/>
    <w:rsid w:val="002E11F0"/>
    <w:rsid w:val="002E1F6D"/>
    <w:rsid w:val="002E366A"/>
    <w:rsid w:val="002F1058"/>
    <w:rsid w:val="00315C69"/>
    <w:rsid w:val="003170C7"/>
    <w:rsid w:val="003240E1"/>
    <w:rsid w:val="00332612"/>
    <w:rsid w:val="00332798"/>
    <w:rsid w:val="00335E84"/>
    <w:rsid w:val="00341659"/>
    <w:rsid w:val="00351C6C"/>
    <w:rsid w:val="003546D5"/>
    <w:rsid w:val="00355C97"/>
    <w:rsid w:val="00361977"/>
    <w:rsid w:val="00365845"/>
    <w:rsid w:val="00366C66"/>
    <w:rsid w:val="00367C77"/>
    <w:rsid w:val="00371EC2"/>
    <w:rsid w:val="003741F9"/>
    <w:rsid w:val="00374634"/>
    <w:rsid w:val="00385FCE"/>
    <w:rsid w:val="00392404"/>
    <w:rsid w:val="003A36AF"/>
    <w:rsid w:val="003A5EB1"/>
    <w:rsid w:val="003A7D02"/>
    <w:rsid w:val="003B0015"/>
    <w:rsid w:val="003B09A2"/>
    <w:rsid w:val="003B1D31"/>
    <w:rsid w:val="003B746C"/>
    <w:rsid w:val="003C07C6"/>
    <w:rsid w:val="003C363D"/>
    <w:rsid w:val="003C58EB"/>
    <w:rsid w:val="003D1C96"/>
    <w:rsid w:val="003D7045"/>
    <w:rsid w:val="003F3E6D"/>
    <w:rsid w:val="00407533"/>
    <w:rsid w:val="004109AF"/>
    <w:rsid w:val="00433276"/>
    <w:rsid w:val="00437C8C"/>
    <w:rsid w:val="004400DA"/>
    <w:rsid w:val="00445CC6"/>
    <w:rsid w:val="004532E1"/>
    <w:rsid w:val="00453DFB"/>
    <w:rsid w:val="00455407"/>
    <w:rsid w:val="00470C45"/>
    <w:rsid w:val="00475FED"/>
    <w:rsid w:val="0048144F"/>
    <w:rsid w:val="00485BE0"/>
    <w:rsid w:val="00486B35"/>
    <w:rsid w:val="004878EC"/>
    <w:rsid w:val="0049276F"/>
    <w:rsid w:val="004A1388"/>
    <w:rsid w:val="004A2425"/>
    <w:rsid w:val="004A2F00"/>
    <w:rsid w:val="004A4345"/>
    <w:rsid w:val="004B1DD3"/>
    <w:rsid w:val="004B4013"/>
    <w:rsid w:val="004B7C37"/>
    <w:rsid w:val="004C1291"/>
    <w:rsid w:val="004C72C0"/>
    <w:rsid w:val="004E39C1"/>
    <w:rsid w:val="004E5537"/>
    <w:rsid w:val="004E653E"/>
    <w:rsid w:val="004E6823"/>
    <w:rsid w:val="004E7142"/>
    <w:rsid w:val="004F235A"/>
    <w:rsid w:val="004F3063"/>
    <w:rsid w:val="0050079C"/>
    <w:rsid w:val="005174D1"/>
    <w:rsid w:val="005243ED"/>
    <w:rsid w:val="0053355D"/>
    <w:rsid w:val="00535155"/>
    <w:rsid w:val="00542020"/>
    <w:rsid w:val="00542EED"/>
    <w:rsid w:val="005440B8"/>
    <w:rsid w:val="0054498A"/>
    <w:rsid w:val="00547D8A"/>
    <w:rsid w:val="00552DC2"/>
    <w:rsid w:val="00555AA8"/>
    <w:rsid w:val="00563AE6"/>
    <w:rsid w:val="005671A1"/>
    <w:rsid w:val="0057497D"/>
    <w:rsid w:val="005864CA"/>
    <w:rsid w:val="005915C2"/>
    <w:rsid w:val="0059298B"/>
    <w:rsid w:val="005A529F"/>
    <w:rsid w:val="005B725E"/>
    <w:rsid w:val="005D1BC4"/>
    <w:rsid w:val="005D45EA"/>
    <w:rsid w:val="005D5FEC"/>
    <w:rsid w:val="005F239C"/>
    <w:rsid w:val="005F6230"/>
    <w:rsid w:val="005F7CAA"/>
    <w:rsid w:val="00601DC6"/>
    <w:rsid w:val="006045F8"/>
    <w:rsid w:val="00605539"/>
    <w:rsid w:val="00605881"/>
    <w:rsid w:val="00605A51"/>
    <w:rsid w:val="00611609"/>
    <w:rsid w:val="00615F0D"/>
    <w:rsid w:val="00623416"/>
    <w:rsid w:val="00630B21"/>
    <w:rsid w:val="006349C1"/>
    <w:rsid w:val="006370AA"/>
    <w:rsid w:val="00651C1E"/>
    <w:rsid w:val="006524E8"/>
    <w:rsid w:val="006548DE"/>
    <w:rsid w:val="006656BE"/>
    <w:rsid w:val="00670B75"/>
    <w:rsid w:val="00677BB3"/>
    <w:rsid w:val="006858D3"/>
    <w:rsid w:val="00691645"/>
    <w:rsid w:val="006A712A"/>
    <w:rsid w:val="006C30D2"/>
    <w:rsid w:val="006C695C"/>
    <w:rsid w:val="006D58BD"/>
    <w:rsid w:val="006E2CC9"/>
    <w:rsid w:val="006E4B4E"/>
    <w:rsid w:val="006F4A89"/>
    <w:rsid w:val="007051E3"/>
    <w:rsid w:val="007068A7"/>
    <w:rsid w:val="0074244C"/>
    <w:rsid w:val="00746F1C"/>
    <w:rsid w:val="00753EF1"/>
    <w:rsid w:val="00755D8A"/>
    <w:rsid w:val="007635D1"/>
    <w:rsid w:val="007659CF"/>
    <w:rsid w:val="0076678A"/>
    <w:rsid w:val="007772F6"/>
    <w:rsid w:val="00782D4A"/>
    <w:rsid w:val="007978AD"/>
    <w:rsid w:val="007A39FF"/>
    <w:rsid w:val="007A65FB"/>
    <w:rsid w:val="007A7287"/>
    <w:rsid w:val="007A7646"/>
    <w:rsid w:val="007B03F2"/>
    <w:rsid w:val="007C119D"/>
    <w:rsid w:val="007D46A4"/>
    <w:rsid w:val="007E155C"/>
    <w:rsid w:val="007E1F31"/>
    <w:rsid w:val="007E61B5"/>
    <w:rsid w:val="007E692C"/>
    <w:rsid w:val="007F0DC5"/>
    <w:rsid w:val="007F13AA"/>
    <w:rsid w:val="007F20A4"/>
    <w:rsid w:val="007F78D4"/>
    <w:rsid w:val="008219D2"/>
    <w:rsid w:val="008323E7"/>
    <w:rsid w:val="00833832"/>
    <w:rsid w:val="00836EE9"/>
    <w:rsid w:val="00837E24"/>
    <w:rsid w:val="008636F5"/>
    <w:rsid w:val="008637AE"/>
    <w:rsid w:val="008775E5"/>
    <w:rsid w:val="00882E91"/>
    <w:rsid w:val="00887719"/>
    <w:rsid w:val="008B2D53"/>
    <w:rsid w:val="008B4C5D"/>
    <w:rsid w:val="008C4ACA"/>
    <w:rsid w:val="008D4B1B"/>
    <w:rsid w:val="008E289A"/>
    <w:rsid w:val="008F0A39"/>
    <w:rsid w:val="008F1506"/>
    <w:rsid w:val="008F2089"/>
    <w:rsid w:val="008F3241"/>
    <w:rsid w:val="008F4EA9"/>
    <w:rsid w:val="0090192C"/>
    <w:rsid w:val="00906480"/>
    <w:rsid w:val="009100C4"/>
    <w:rsid w:val="00915018"/>
    <w:rsid w:val="009162CE"/>
    <w:rsid w:val="00916F55"/>
    <w:rsid w:val="00917ECF"/>
    <w:rsid w:val="009212C6"/>
    <w:rsid w:val="00931250"/>
    <w:rsid w:val="00951D2B"/>
    <w:rsid w:val="009616E7"/>
    <w:rsid w:val="0096259E"/>
    <w:rsid w:val="009659AB"/>
    <w:rsid w:val="00975044"/>
    <w:rsid w:val="009847E5"/>
    <w:rsid w:val="009859D7"/>
    <w:rsid w:val="00997E2E"/>
    <w:rsid w:val="009A2058"/>
    <w:rsid w:val="009A3404"/>
    <w:rsid w:val="009A4FFF"/>
    <w:rsid w:val="009B3BCB"/>
    <w:rsid w:val="009B4B3B"/>
    <w:rsid w:val="009B558B"/>
    <w:rsid w:val="009B704D"/>
    <w:rsid w:val="009C7062"/>
    <w:rsid w:val="009D2484"/>
    <w:rsid w:val="009D43A1"/>
    <w:rsid w:val="00A00D81"/>
    <w:rsid w:val="00A01237"/>
    <w:rsid w:val="00A03B3C"/>
    <w:rsid w:val="00A11351"/>
    <w:rsid w:val="00A24449"/>
    <w:rsid w:val="00A301CE"/>
    <w:rsid w:val="00A317F4"/>
    <w:rsid w:val="00A47AF6"/>
    <w:rsid w:val="00A54C27"/>
    <w:rsid w:val="00A55A34"/>
    <w:rsid w:val="00A63989"/>
    <w:rsid w:val="00A80347"/>
    <w:rsid w:val="00A839F5"/>
    <w:rsid w:val="00A85C07"/>
    <w:rsid w:val="00A917C5"/>
    <w:rsid w:val="00AA4B52"/>
    <w:rsid w:val="00AD20C3"/>
    <w:rsid w:val="00AD563D"/>
    <w:rsid w:val="00AE34F8"/>
    <w:rsid w:val="00AE44B0"/>
    <w:rsid w:val="00AE75A7"/>
    <w:rsid w:val="00AF3C18"/>
    <w:rsid w:val="00B14CE5"/>
    <w:rsid w:val="00B21292"/>
    <w:rsid w:val="00B22BEB"/>
    <w:rsid w:val="00B3052F"/>
    <w:rsid w:val="00B33B54"/>
    <w:rsid w:val="00B34DC3"/>
    <w:rsid w:val="00B356D1"/>
    <w:rsid w:val="00B36109"/>
    <w:rsid w:val="00B41454"/>
    <w:rsid w:val="00B457C1"/>
    <w:rsid w:val="00B45D5A"/>
    <w:rsid w:val="00B46E5D"/>
    <w:rsid w:val="00B62CD6"/>
    <w:rsid w:val="00B7082C"/>
    <w:rsid w:val="00BA2E18"/>
    <w:rsid w:val="00BB6212"/>
    <w:rsid w:val="00BC05D9"/>
    <w:rsid w:val="00BC2480"/>
    <w:rsid w:val="00BD3C6C"/>
    <w:rsid w:val="00BE2799"/>
    <w:rsid w:val="00BF1C48"/>
    <w:rsid w:val="00BF6144"/>
    <w:rsid w:val="00BF68EE"/>
    <w:rsid w:val="00C16DB1"/>
    <w:rsid w:val="00C41152"/>
    <w:rsid w:val="00C4431F"/>
    <w:rsid w:val="00C5770F"/>
    <w:rsid w:val="00C76CCA"/>
    <w:rsid w:val="00C828F4"/>
    <w:rsid w:val="00C90924"/>
    <w:rsid w:val="00C920E5"/>
    <w:rsid w:val="00C94CA9"/>
    <w:rsid w:val="00CA0E6C"/>
    <w:rsid w:val="00CD3FEE"/>
    <w:rsid w:val="00CE2D6F"/>
    <w:rsid w:val="00CE6768"/>
    <w:rsid w:val="00CF4BB8"/>
    <w:rsid w:val="00D013D5"/>
    <w:rsid w:val="00D10AA3"/>
    <w:rsid w:val="00D11B6D"/>
    <w:rsid w:val="00D12AF6"/>
    <w:rsid w:val="00D24191"/>
    <w:rsid w:val="00D26EAD"/>
    <w:rsid w:val="00D34128"/>
    <w:rsid w:val="00D3719B"/>
    <w:rsid w:val="00D51C45"/>
    <w:rsid w:val="00D52725"/>
    <w:rsid w:val="00D53B3B"/>
    <w:rsid w:val="00D540A8"/>
    <w:rsid w:val="00D543BD"/>
    <w:rsid w:val="00D5576A"/>
    <w:rsid w:val="00D65B58"/>
    <w:rsid w:val="00D7590F"/>
    <w:rsid w:val="00D7754E"/>
    <w:rsid w:val="00D84FA8"/>
    <w:rsid w:val="00D900CD"/>
    <w:rsid w:val="00D95E1A"/>
    <w:rsid w:val="00DA0D61"/>
    <w:rsid w:val="00DA6A2D"/>
    <w:rsid w:val="00DB4A4D"/>
    <w:rsid w:val="00DB50C6"/>
    <w:rsid w:val="00DB656B"/>
    <w:rsid w:val="00DC2CBD"/>
    <w:rsid w:val="00DC75EB"/>
    <w:rsid w:val="00DD3701"/>
    <w:rsid w:val="00DE2D6D"/>
    <w:rsid w:val="00DF0382"/>
    <w:rsid w:val="00DF4859"/>
    <w:rsid w:val="00DF6574"/>
    <w:rsid w:val="00E021F3"/>
    <w:rsid w:val="00E037B9"/>
    <w:rsid w:val="00E15083"/>
    <w:rsid w:val="00E227BA"/>
    <w:rsid w:val="00E34F59"/>
    <w:rsid w:val="00E4769F"/>
    <w:rsid w:val="00E61163"/>
    <w:rsid w:val="00E633CA"/>
    <w:rsid w:val="00E72627"/>
    <w:rsid w:val="00E73290"/>
    <w:rsid w:val="00E74BE8"/>
    <w:rsid w:val="00E760DB"/>
    <w:rsid w:val="00E769FE"/>
    <w:rsid w:val="00E815EA"/>
    <w:rsid w:val="00E851EC"/>
    <w:rsid w:val="00E85C22"/>
    <w:rsid w:val="00E95577"/>
    <w:rsid w:val="00EA04FD"/>
    <w:rsid w:val="00EA0794"/>
    <w:rsid w:val="00EA10A8"/>
    <w:rsid w:val="00EA2B9A"/>
    <w:rsid w:val="00EA7E37"/>
    <w:rsid w:val="00EB3A3F"/>
    <w:rsid w:val="00EC163D"/>
    <w:rsid w:val="00ED2F42"/>
    <w:rsid w:val="00ED42A9"/>
    <w:rsid w:val="00ED6235"/>
    <w:rsid w:val="00EE554A"/>
    <w:rsid w:val="00EE68FE"/>
    <w:rsid w:val="00EF0690"/>
    <w:rsid w:val="00EF31FE"/>
    <w:rsid w:val="00F04AAB"/>
    <w:rsid w:val="00F06856"/>
    <w:rsid w:val="00F207DD"/>
    <w:rsid w:val="00F34185"/>
    <w:rsid w:val="00F345A7"/>
    <w:rsid w:val="00F37BE5"/>
    <w:rsid w:val="00F435F5"/>
    <w:rsid w:val="00F45A6E"/>
    <w:rsid w:val="00F669D4"/>
    <w:rsid w:val="00FA4ED0"/>
    <w:rsid w:val="00FB170F"/>
    <w:rsid w:val="00FB5204"/>
    <w:rsid w:val="00FB5EA6"/>
    <w:rsid w:val="00FC14DF"/>
    <w:rsid w:val="00FD23A5"/>
    <w:rsid w:val="00FD6D5E"/>
    <w:rsid w:val="00FE47A0"/>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9D39"/>
  <w15:chartTrackingRefBased/>
  <w15:docId w15:val="{1F90490A-BD04-42F3-AE9F-6864E0F6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BD"/>
    <w:rPr>
      <w:lang w:val="en-ZA"/>
    </w:rPr>
  </w:style>
  <w:style w:type="paragraph" w:styleId="Footer">
    <w:name w:val="footer"/>
    <w:basedOn w:val="Normal"/>
    <w:link w:val="FooterChar"/>
    <w:uiPriority w:val="99"/>
    <w:unhideWhenUsed/>
    <w:rsid w:val="006D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BD"/>
    <w:rPr>
      <w:lang w:val="en-ZA"/>
    </w:rPr>
  </w:style>
  <w:style w:type="paragraph" w:styleId="Revision">
    <w:name w:val="Revision"/>
    <w:hidden/>
    <w:uiPriority w:val="99"/>
    <w:semiHidden/>
    <w:rsid w:val="006D58BD"/>
    <w:pPr>
      <w:spacing w:after="0" w:line="240" w:lineRule="auto"/>
    </w:pPr>
    <w:rPr>
      <w:lang w:val="en-ZA"/>
    </w:rPr>
  </w:style>
  <w:style w:type="paragraph" w:styleId="FootnoteText">
    <w:name w:val="footnote text"/>
    <w:basedOn w:val="Normal"/>
    <w:link w:val="FootnoteTextChar"/>
    <w:uiPriority w:val="99"/>
    <w:semiHidden/>
    <w:unhideWhenUsed/>
    <w:rsid w:val="006D5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8BD"/>
    <w:rPr>
      <w:sz w:val="20"/>
      <w:szCs w:val="20"/>
      <w:lang w:val="en-ZA"/>
    </w:rPr>
  </w:style>
  <w:style w:type="character" w:styleId="FootnoteReference">
    <w:name w:val="footnote reference"/>
    <w:basedOn w:val="DefaultParagraphFont"/>
    <w:uiPriority w:val="99"/>
    <w:semiHidden/>
    <w:unhideWhenUsed/>
    <w:rsid w:val="006D58BD"/>
    <w:rPr>
      <w:vertAlign w:val="superscript"/>
    </w:rPr>
  </w:style>
  <w:style w:type="paragraph" w:styleId="ListParagraph">
    <w:name w:val="List Paragraph"/>
    <w:basedOn w:val="Normal"/>
    <w:uiPriority w:val="34"/>
    <w:qFormat/>
    <w:rsid w:val="002302C1"/>
    <w:pPr>
      <w:ind w:left="720"/>
      <w:contextualSpacing/>
    </w:pPr>
  </w:style>
  <w:style w:type="paragraph" w:styleId="BalloonText">
    <w:name w:val="Balloon Text"/>
    <w:basedOn w:val="Normal"/>
    <w:link w:val="BalloonTextChar"/>
    <w:uiPriority w:val="99"/>
    <w:semiHidden/>
    <w:unhideWhenUsed/>
    <w:rsid w:val="008C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C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2023-03-14T14:09:00Z</cp:lastPrinted>
  <dcterms:created xsi:type="dcterms:W3CDTF">2023-03-31T12:08:00Z</dcterms:created>
  <dcterms:modified xsi:type="dcterms:W3CDTF">2023-03-31T12:10:00Z</dcterms:modified>
</cp:coreProperties>
</file>