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55F5" w14:textId="77777777" w:rsidR="00940127" w:rsidRDefault="00866A5D" w:rsidP="00866A5D">
      <w:pPr>
        <w:jc w:val="center"/>
        <w:rPr>
          <w:rFonts w:ascii="Arial" w:hAnsi="Arial" w:cs="Arial"/>
          <w:b/>
          <w:sz w:val="20"/>
          <w:szCs w:val="20"/>
        </w:rPr>
      </w:pPr>
      <w:bookmarkStart w:id="0" w:name="_GoBack"/>
      <w:bookmarkEnd w:id="0"/>
      <w:r>
        <w:rPr>
          <w:noProof/>
          <w:lang w:val="en-US"/>
        </w:rPr>
        <w:drawing>
          <wp:inline distT="0" distB="0" distL="0" distR="0" wp14:anchorId="40A65B42" wp14:editId="4907C95E">
            <wp:extent cx="1444625" cy="1274445"/>
            <wp:effectExtent l="0" t="0" r="317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7F2977D5" w14:textId="77777777" w:rsidR="00935045" w:rsidRPr="00866A5D" w:rsidRDefault="00935045">
      <w:pPr>
        <w:rPr>
          <w:rFonts w:ascii="Arial" w:hAnsi="Arial" w:cs="Arial"/>
          <w:b/>
          <w:sz w:val="20"/>
          <w:szCs w:val="20"/>
        </w:rPr>
      </w:pPr>
      <w:r>
        <w:rPr>
          <w:rFonts w:ascii="Arial" w:hAnsi="Arial" w:cs="Arial"/>
          <w:b/>
          <w:sz w:val="24"/>
          <w:szCs w:val="24"/>
        </w:rPr>
        <w:t>IN THE HIGH COURT OF SOUTH AFRICA</w:t>
      </w:r>
    </w:p>
    <w:p w14:paraId="74E732CB" w14:textId="77777777" w:rsidR="00935045" w:rsidRDefault="002952DE">
      <w:pPr>
        <w:rPr>
          <w:rFonts w:ascii="Arial" w:hAnsi="Arial" w:cs="Arial"/>
          <w:b/>
          <w:sz w:val="24"/>
          <w:szCs w:val="24"/>
        </w:rPr>
      </w:pPr>
      <w:r>
        <w:rPr>
          <w:rFonts w:ascii="Arial" w:hAnsi="Arial" w:cs="Arial"/>
          <w:b/>
          <w:sz w:val="24"/>
          <w:szCs w:val="24"/>
        </w:rPr>
        <w:t>EASTERN CAPE LOCAL DIVISION – GQ</w:t>
      </w:r>
      <w:r w:rsidR="00935045">
        <w:rPr>
          <w:rFonts w:ascii="Arial" w:hAnsi="Arial" w:cs="Arial"/>
          <w:b/>
          <w:sz w:val="24"/>
          <w:szCs w:val="24"/>
        </w:rPr>
        <w:t>EBERHA</w:t>
      </w:r>
    </w:p>
    <w:p w14:paraId="64947EDE" w14:textId="77777777" w:rsidR="00AA7DAF" w:rsidRDefault="0093504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A7DAF">
        <w:rPr>
          <w:rFonts w:ascii="Arial" w:hAnsi="Arial" w:cs="Arial"/>
          <w:b/>
          <w:sz w:val="24"/>
          <w:szCs w:val="24"/>
        </w:rPr>
        <w:tab/>
      </w:r>
      <w:r w:rsidR="00AA7DAF">
        <w:rPr>
          <w:rFonts w:ascii="Arial" w:hAnsi="Arial" w:cs="Arial"/>
          <w:b/>
          <w:sz w:val="24"/>
          <w:szCs w:val="24"/>
        </w:rPr>
        <w:tab/>
      </w:r>
      <w:r w:rsidR="00AA7DAF">
        <w:rPr>
          <w:rFonts w:ascii="Arial" w:hAnsi="Arial" w:cs="Arial"/>
          <w:b/>
          <w:sz w:val="24"/>
          <w:szCs w:val="24"/>
        </w:rPr>
        <w:tab/>
      </w:r>
    </w:p>
    <w:p w14:paraId="2FD404DC" w14:textId="77777777" w:rsidR="00935045" w:rsidRDefault="00AA7DAF" w:rsidP="00AA7DAF">
      <w:pPr>
        <w:ind w:left="5040" w:firstLine="720"/>
        <w:rPr>
          <w:rFonts w:ascii="Arial" w:hAnsi="Arial" w:cs="Arial"/>
          <w:b/>
          <w:sz w:val="24"/>
          <w:szCs w:val="24"/>
        </w:rPr>
      </w:pPr>
      <w:r>
        <w:rPr>
          <w:rFonts w:ascii="Arial" w:hAnsi="Arial" w:cs="Arial"/>
          <w:b/>
          <w:sz w:val="24"/>
          <w:szCs w:val="24"/>
        </w:rPr>
        <w:t>Reportable/Not R</w:t>
      </w:r>
      <w:r w:rsidR="00866A5D">
        <w:rPr>
          <w:rFonts w:ascii="Arial" w:hAnsi="Arial" w:cs="Arial"/>
          <w:b/>
          <w:sz w:val="24"/>
          <w:szCs w:val="24"/>
        </w:rPr>
        <w:t xml:space="preserve">eportable </w:t>
      </w:r>
    </w:p>
    <w:p w14:paraId="73CB2936" w14:textId="77777777" w:rsidR="00935045" w:rsidRDefault="00D47AE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Case No:  3504/2013</w:t>
      </w:r>
    </w:p>
    <w:p w14:paraId="53F8ECC9" w14:textId="77777777" w:rsidR="00935045" w:rsidRDefault="00935045">
      <w:pPr>
        <w:rPr>
          <w:rFonts w:ascii="Arial" w:hAnsi="Arial" w:cs="Arial"/>
          <w:sz w:val="24"/>
          <w:szCs w:val="24"/>
        </w:rPr>
      </w:pPr>
      <w:r>
        <w:rPr>
          <w:rFonts w:ascii="Arial" w:hAnsi="Arial" w:cs="Arial"/>
          <w:sz w:val="24"/>
          <w:szCs w:val="24"/>
        </w:rPr>
        <w:t>In the matter between:</w:t>
      </w:r>
    </w:p>
    <w:p w14:paraId="0FA0B1B7" w14:textId="77777777" w:rsidR="00935045" w:rsidRDefault="00935045">
      <w:pPr>
        <w:rPr>
          <w:rFonts w:ascii="Arial" w:hAnsi="Arial" w:cs="Arial"/>
          <w:sz w:val="24"/>
          <w:szCs w:val="24"/>
        </w:rPr>
      </w:pPr>
    </w:p>
    <w:p w14:paraId="22CE7307" w14:textId="77777777" w:rsidR="00935045" w:rsidRDefault="00D47AE9">
      <w:pPr>
        <w:rPr>
          <w:rFonts w:ascii="Arial" w:hAnsi="Arial" w:cs="Arial"/>
          <w:sz w:val="24"/>
          <w:szCs w:val="24"/>
        </w:rPr>
      </w:pPr>
      <w:r>
        <w:rPr>
          <w:rFonts w:ascii="Arial" w:hAnsi="Arial" w:cs="Arial"/>
          <w:b/>
          <w:sz w:val="24"/>
          <w:szCs w:val="24"/>
        </w:rPr>
        <w:t>NOMAKAYA GOBELANA</w:t>
      </w:r>
      <w:r>
        <w:rPr>
          <w:rFonts w:ascii="Arial" w:hAnsi="Arial" w:cs="Arial"/>
          <w:b/>
          <w:sz w:val="24"/>
          <w:szCs w:val="24"/>
        </w:rPr>
        <w:tab/>
      </w:r>
      <w:r w:rsidR="00935045">
        <w:rPr>
          <w:rFonts w:ascii="Arial" w:hAnsi="Arial" w:cs="Arial"/>
          <w:b/>
          <w:sz w:val="24"/>
          <w:szCs w:val="24"/>
        </w:rPr>
        <w:tab/>
      </w:r>
      <w:r w:rsidR="00935045">
        <w:rPr>
          <w:rFonts w:ascii="Arial" w:hAnsi="Arial" w:cs="Arial"/>
          <w:b/>
          <w:sz w:val="24"/>
          <w:szCs w:val="24"/>
        </w:rPr>
        <w:tab/>
      </w:r>
      <w:r w:rsidR="00935045">
        <w:rPr>
          <w:rFonts w:ascii="Arial" w:hAnsi="Arial" w:cs="Arial"/>
          <w:b/>
          <w:sz w:val="24"/>
          <w:szCs w:val="24"/>
        </w:rPr>
        <w:tab/>
      </w:r>
      <w:r w:rsidR="00935045">
        <w:rPr>
          <w:rFonts w:ascii="Arial" w:hAnsi="Arial" w:cs="Arial"/>
          <w:b/>
          <w:sz w:val="24"/>
          <w:szCs w:val="24"/>
        </w:rPr>
        <w:tab/>
      </w:r>
      <w:r w:rsidR="00935045">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First </w:t>
      </w:r>
      <w:r w:rsidR="00935045">
        <w:rPr>
          <w:rFonts w:ascii="Arial" w:hAnsi="Arial" w:cs="Arial"/>
          <w:sz w:val="24"/>
          <w:szCs w:val="24"/>
        </w:rPr>
        <w:t>Plaintiff</w:t>
      </w:r>
    </w:p>
    <w:p w14:paraId="651F9A33" w14:textId="5D094BE0" w:rsidR="00D47AE9" w:rsidRDefault="00D47AE9">
      <w:pPr>
        <w:rPr>
          <w:rFonts w:ascii="Arial" w:hAnsi="Arial" w:cs="Arial"/>
          <w:sz w:val="24"/>
          <w:szCs w:val="24"/>
        </w:rPr>
      </w:pPr>
      <w:r>
        <w:rPr>
          <w:rFonts w:ascii="Arial" w:hAnsi="Arial" w:cs="Arial"/>
          <w:b/>
          <w:sz w:val="24"/>
          <w:szCs w:val="24"/>
        </w:rPr>
        <w:t>XOLELWA SOWAMBI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D6AD1">
        <w:rPr>
          <w:rFonts w:ascii="Arial" w:hAnsi="Arial" w:cs="Arial"/>
          <w:b/>
          <w:sz w:val="24"/>
          <w:szCs w:val="24"/>
        </w:rPr>
        <w:tab/>
        <w:t xml:space="preserve"> </w:t>
      </w:r>
      <w:r w:rsidR="00AD6AD1" w:rsidRPr="00AD6AD1">
        <w:rPr>
          <w:rFonts w:ascii="Arial" w:hAnsi="Arial" w:cs="Arial"/>
          <w:bCs/>
          <w:sz w:val="24"/>
          <w:szCs w:val="24"/>
        </w:rPr>
        <w:t>Second</w:t>
      </w:r>
      <w:r>
        <w:rPr>
          <w:rFonts w:ascii="Arial" w:hAnsi="Arial" w:cs="Arial"/>
          <w:sz w:val="24"/>
          <w:szCs w:val="24"/>
        </w:rPr>
        <w:t xml:space="preserve"> Plaintiff</w:t>
      </w:r>
    </w:p>
    <w:p w14:paraId="086B7B62" w14:textId="77777777" w:rsidR="00D47AE9" w:rsidRDefault="00D47AE9">
      <w:pPr>
        <w:rPr>
          <w:rFonts w:ascii="Arial" w:hAnsi="Arial" w:cs="Arial"/>
          <w:sz w:val="24"/>
          <w:szCs w:val="24"/>
        </w:rPr>
      </w:pPr>
      <w:r>
        <w:rPr>
          <w:rFonts w:ascii="Arial" w:hAnsi="Arial" w:cs="Arial"/>
          <w:b/>
          <w:sz w:val="24"/>
          <w:szCs w:val="24"/>
        </w:rPr>
        <w:t>XOLISANI GOBELANA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Third Plaintiff</w:t>
      </w:r>
    </w:p>
    <w:p w14:paraId="1E6924D0" w14:textId="77777777" w:rsidR="00935045" w:rsidRDefault="00935045" w:rsidP="00AA7DAF">
      <w:pPr>
        <w:spacing w:after="0" w:line="360" w:lineRule="auto"/>
        <w:jc w:val="both"/>
        <w:rPr>
          <w:rFonts w:ascii="Arial" w:hAnsi="Arial" w:cs="Arial"/>
          <w:sz w:val="24"/>
          <w:szCs w:val="24"/>
        </w:rPr>
      </w:pPr>
    </w:p>
    <w:p w14:paraId="42B5FA9B" w14:textId="77777777" w:rsidR="00D47AE9" w:rsidRDefault="00D47AE9" w:rsidP="00AA7DAF">
      <w:pPr>
        <w:spacing w:after="0" w:line="360" w:lineRule="auto"/>
        <w:jc w:val="both"/>
        <w:rPr>
          <w:rFonts w:ascii="Arial" w:hAnsi="Arial" w:cs="Arial"/>
          <w:sz w:val="24"/>
          <w:szCs w:val="24"/>
        </w:rPr>
      </w:pPr>
      <w:r>
        <w:rPr>
          <w:rFonts w:ascii="Arial" w:hAnsi="Arial" w:cs="Arial"/>
          <w:sz w:val="24"/>
          <w:szCs w:val="24"/>
        </w:rPr>
        <w:t>and</w:t>
      </w:r>
    </w:p>
    <w:p w14:paraId="5A5BEB3E" w14:textId="77777777" w:rsidR="00D47AE9" w:rsidRDefault="00D47AE9" w:rsidP="00AA7DAF">
      <w:pPr>
        <w:spacing w:after="0" w:line="360" w:lineRule="auto"/>
        <w:jc w:val="both"/>
        <w:rPr>
          <w:rFonts w:ascii="Arial" w:hAnsi="Arial" w:cs="Arial"/>
          <w:sz w:val="24"/>
          <w:szCs w:val="24"/>
        </w:rPr>
      </w:pPr>
    </w:p>
    <w:p w14:paraId="135C88AF" w14:textId="77777777" w:rsidR="00D47AE9" w:rsidRDefault="00D47AE9" w:rsidP="00AA7DAF">
      <w:pPr>
        <w:spacing w:after="0" w:line="360" w:lineRule="auto"/>
        <w:jc w:val="both"/>
        <w:rPr>
          <w:rFonts w:ascii="Arial" w:hAnsi="Arial" w:cs="Arial"/>
          <w:sz w:val="24"/>
          <w:szCs w:val="24"/>
        </w:rPr>
      </w:pPr>
      <w:r>
        <w:rPr>
          <w:rFonts w:ascii="Arial" w:hAnsi="Arial" w:cs="Arial"/>
          <w:b/>
          <w:sz w:val="24"/>
          <w:szCs w:val="24"/>
        </w:rPr>
        <w:t>ROAD ACCIDENT FUND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Defendant</w:t>
      </w:r>
    </w:p>
    <w:p w14:paraId="5FF46F46" w14:textId="77777777" w:rsidR="005A7F19" w:rsidRDefault="005A7F19" w:rsidP="00AA7DAF">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3F5DB821" w14:textId="77777777" w:rsidR="00935045" w:rsidRDefault="005A7F19" w:rsidP="005A7F19">
      <w:pPr>
        <w:jc w:val="center"/>
        <w:rPr>
          <w:rFonts w:ascii="Arial" w:hAnsi="Arial" w:cs="Arial"/>
          <w:b/>
          <w:sz w:val="24"/>
          <w:szCs w:val="24"/>
        </w:rPr>
      </w:pPr>
      <w:r>
        <w:rPr>
          <w:rFonts w:ascii="Arial" w:hAnsi="Arial" w:cs="Arial"/>
          <w:b/>
          <w:sz w:val="24"/>
          <w:szCs w:val="24"/>
        </w:rPr>
        <w:t>JUDGMENT</w:t>
      </w:r>
    </w:p>
    <w:p w14:paraId="096DB2D1" w14:textId="77777777" w:rsidR="005A7F19" w:rsidRPr="005A7F19" w:rsidRDefault="005A7F19" w:rsidP="005A7F19">
      <w:pPr>
        <w:jc w:val="both"/>
        <w:rPr>
          <w:rFonts w:ascii="Arial" w:hAnsi="Arial" w:cs="Arial"/>
          <w:sz w:val="24"/>
          <w:szCs w:val="24"/>
        </w:rPr>
      </w:pPr>
      <w:r>
        <w:rPr>
          <w:rFonts w:ascii="Arial" w:hAnsi="Arial" w:cs="Arial"/>
          <w:sz w:val="24"/>
          <w:szCs w:val="24"/>
        </w:rPr>
        <w:t>___________________________________________________________________</w:t>
      </w:r>
    </w:p>
    <w:p w14:paraId="5071B3D2" w14:textId="77777777" w:rsidR="00935045" w:rsidRPr="00D47AE9" w:rsidRDefault="00935045" w:rsidP="00D47AE9">
      <w:pPr>
        <w:spacing w:after="0" w:line="240" w:lineRule="auto"/>
        <w:jc w:val="both"/>
        <w:rPr>
          <w:rFonts w:ascii="Arial" w:hAnsi="Arial" w:cs="Arial"/>
          <w:sz w:val="24"/>
          <w:szCs w:val="24"/>
        </w:rPr>
      </w:pPr>
      <w:r>
        <w:rPr>
          <w:rFonts w:ascii="Arial" w:hAnsi="Arial" w:cs="Arial"/>
          <w:b/>
          <w:sz w:val="24"/>
          <w:szCs w:val="24"/>
        </w:rPr>
        <w:t>MAKAULA J:</w:t>
      </w:r>
    </w:p>
    <w:p w14:paraId="350C6C76" w14:textId="77777777" w:rsidR="00935045" w:rsidRDefault="00935045" w:rsidP="00935045">
      <w:pPr>
        <w:jc w:val="both"/>
        <w:rPr>
          <w:rFonts w:ascii="Arial" w:hAnsi="Arial" w:cs="Arial"/>
          <w:b/>
          <w:sz w:val="24"/>
          <w:szCs w:val="24"/>
        </w:rPr>
      </w:pPr>
    </w:p>
    <w:p w14:paraId="38A9B74B" w14:textId="77777777" w:rsidR="00CF09EB" w:rsidRDefault="00CF09EB" w:rsidP="00935045">
      <w:pPr>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sidRPr="00D6675F">
        <w:rPr>
          <w:rFonts w:ascii="Arial" w:hAnsi="Arial" w:cs="Arial"/>
          <w:b/>
          <w:sz w:val="24"/>
          <w:szCs w:val="24"/>
          <w:u w:val="single"/>
        </w:rPr>
        <w:t>Introduction</w:t>
      </w:r>
      <w:r>
        <w:rPr>
          <w:rFonts w:ascii="Arial" w:hAnsi="Arial" w:cs="Arial"/>
          <w:b/>
          <w:sz w:val="24"/>
          <w:szCs w:val="24"/>
        </w:rPr>
        <w:t>:</w:t>
      </w:r>
    </w:p>
    <w:p w14:paraId="61E99C93" w14:textId="77777777" w:rsidR="00D6675F" w:rsidRDefault="00D6675F" w:rsidP="00935045">
      <w:pPr>
        <w:jc w:val="both"/>
        <w:rPr>
          <w:rFonts w:ascii="Arial" w:hAnsi="Arial" w:cs="Arial"/>
          <w:b/>
          <w:sz w:val="24"/>
          <w:szCs w:val="24"/>
        </w:rPr>
      </w:pPr>
    </w:p>
    <w:p w14:paraId="5A28958F" w14:textId="25AA5DF7" w:rsidR="009D21D8" w:rsidRDefault="004D2F5A" w:rsidP="00D6675F">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CC28A7">
        <w:rPr>
          <w:rFonts w:ascii="Arial" w:hAnsi="Arial" w:cs="Arial"/>
          <w:i/>
          <w:iCs/>
          <w:sz w:val="24"/>
          <w:szCs w:val="24"/>
        </w:rPr>
        <w:t>lis</w:t>
      </w:r>
      <w:r>
        <w:rPr>
          <w:rFonts w:ascii="Arial" w:hAnsi="Arial" w:cs="Arial"/>
          <w:sz w:val="24"/>
          <w:szCs w:val="24"/>
        </w:rPr>
        <w:t xml:space="preserve"> </w:t>
      </w:r>
      <w:r w:rsidR="00D6675F">
        <w:rPr>
          <w:rFonts w:ascii="Arial" w:hAnsi="Arial" w:cs="Arial"/>
          <w:sz w:val="24"/>
          <w:szCs w:val="24"/>
        </w:rPr>
        <w:t xml:space="preserve">between the parties is for loss of support and payment of funeral expenses which </w:t>
      </w:r>
      <w:r w:rsidR="00CC28A7">
        <w:rPr>
          <w:rFonts w:ascii="Arial" w:hAnsi="Arial" w:cs="Arial"/>
          <w:sz w:val="24"/>
          <w:szCs w:val="24"/>
        </w:rPr>
        <w:t>is</w:t>
      </w:r>
      <w:r w:rsidR="00D6675F">
        <w:rPr>
          <w:rFonts w:ascii="Arial" w:hAnsi="Arial" w:cs="Arial"/>
          <w:sz w:val="24"/>
          <w:szCs w:val="24"/>
        </w:rPr>
        <w:t xml:space="preserve"> pursuant to the death of </w:t>
      </w:r>
      <w:r w:rsidR="003E0735">
        <w:rPr>
          <w:rFonts w:ascii="Arial" w:hAnsi="Arial" w:cs="Arial"/>
          <w:sz w:val="24"/>
          <w:szCs w:val="24"/>
        </w:rPr>
        <w:t>Xolisile Gerald Gobelana</w:t>
      </w:r>
      <w:r w:rsidR="00974F0D">
        <w:rPr>
          <w:rFonts w:ascii="Arial" w:hAnsi="Arial" w:cs="Arial"/>
          <w:sz w:val="24"/>
          <w:szCs w:val="24"/>
        </w:rPr>
        <w:t xml:space="preserve"> (the deceased).  O</w:t>
      </w:r>
      <w:r w:rsidR="003E0735">
        <w:rPr>
          <w:rFonts w:ascii="Arial" w:hAnsi="Arial" w:cs="Arial"/>
          <w:sz w:val="24"/>
          <w:szCs w:val="24"/>
        </w:rPr>
        <w:t>n 8 December 2008</w:t>
      </w:r>
      <w:r w:rsidR="00974F0D">
        <w:rPr>
          <w:rFonts w:ascii="Arial" w:hAnsi="Arial" w:cs="Arial"/>
          <w:sz w:val="24"/>
          <w:szCs w:val="24"/>
        </w:rPr>
        <w:t>, the deceased</w:t>
      </w:r>
      <w:r w:rsidR="003E0735">
        <w:rPr>
          <w:rFonts w:ascii="Arial" w:hAnsi="Arial" w:cs="Arial"/>
          <w:sz w:val="24"/>
          <w:szCs w:val="24"/>
        </w:rPr>
        <w:t xml:space="preserve"> was injured in a motor collision with an unidentified motor vehicle.  He was taken to hospital.  Upon admission, he presented with a fractured left leg, and a head injury</w:t>
      </w:r>
      <w:r w:rsidR="00CC28A7">
        <w:rPr>
          <w:rFonts w:ascii="Arial" w:hAnsi="Arial" w:cs="Arial"/>
          <w:sz w:val="24"/>
          <w:szCs w:val="24"/>
        </w:rPr>
        <w:t xml:space="preserve"> i.e.</w:t>
      </w:r>
      <w:r w:rsidR="003E0735">
        <w:rPr>
          <w:rFonts w:ascii="Arial" w:hAnsi="Arial" w:cs="Arial"/>
          <w:sz w:val="24"/>
          <w:szCs w:val="24"/>
        </w:rPr>
        <w:t xml:space="preserve"> blood was draining from his right ear, so </w:t>
      </w:r>
      <w:r w:rsidR="003E0735">
        <w:rPr>
          <w:rFonts w:ascii="Arial" w:hAnsi="Arial" w:cs="Arial"/>
          <w:sz w:val="24"/>
          <w:szCs w:val="24"/>
        </w:rPr>
        <w:lastRenderedPageBreak/>
        <w:t>the hospital records reveal.  The left leg was put on a plaster of paris (POP) and</w:t>
      </w:r>
      <w:r w:rsidR="00CC28A7">
        <w:rPr>
          <w:rFonts w:ascii="Arial" w:hAnsi="Arial" w:cs="Arial"/>
          <w:sz w:val="24"/>
          <w:szCs w:val="24"/>
        </w:rPr>
        <w:t xml:space="preserve"> he was</w:t>
      </w:r>
      <w:r w:rsidR="003E0735">
        <w:rPr>
          <w:rFonts w:ascii="Arial" w:hAnsi="Arial" w:cs="Arial"/>
          <w:sz w:val="24"/>
          <w:szCs w:val="24"/>
        </w:rPr>
        <w:t xml:space="preserve"> given </w:t>
      </w:r>
      <w:r w:rsidR="009D21D8">
        <w:rPr>
          <w:rFonts w:ascii="Arial" w:hAnsi="Arial" w:cs="Arial"/>
          <w:sz w:val="24"/>
          <w:szCs w:val="24"/>
        </w:rPr>
        <w:t xml:space="preserve">analgesics for the headache he complained about.  The deceased was discharged from hospital on 9 December 2008. </w:t>
      </w:r>
    </w:p>
    <w:p w14:paraId="61FE66D7" w14:textId="77777777" w:rsidR="009D21D8" w:rsidRDefault="009D21D8" w:rsidP="00D6675F">
      <w:pPr>
        <w:spacing w:line="480" w:lineRule="auto"/>
        <w:jc w:val="both"/>
        <w:rPr>
          <w:rFonts w:ascii="Arial" w:hAnsi="Arial" w:cs="Arial"/>
          <w:sz w:val="24"/>
          <w:szCs w:val="24"/>
        </w:rPr>
      </w:pPr>
    </w:p>
    <w:p w14:paraId="77BC226A" w14:textId="77777777" w:rsidR="009D21D8" w:rsidRDefault="009D21D8" w:rsidP="005A7F19">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Evidence has it, that the deceased made several visits to both the hospital and clinic pursuant to his discharge from hospital.  On 26 August 2020, the defendant conceded that it shall be liable for 100% of such damages the plaintiff may prove arising out of the death of the deceased.  As aforesaid, outstanding are claims for loss of support and funeral expenses.</w:t>
      </w:r>
    </w:p>
    <w:p w14:paraId="07813452" w14:textId="77777777" w:rsidR="009D21D8" w:rsidRDefault="009D21D8" w:rsidP="009D21D8">
      <w:pPr>
        <w:spacing w:line="360" w:lineRule="auto"/>
        <w:jc w:val="both"/>
        <w:rPr>
          <w:rFonts w:ascii="Arial" w:hAnsi="Arial" w:cs="Arial"/>
          <w:sz w:val="24"/>
          <w:szCs w:val="24"/>
        </w:rPr>
      </w:pPr>
    </w:p>
    <w:p w14:paraId="02C0F25A" w14:textId="77777777" w:rsidR="009D21D8" w:rsidRDefault="009D21D8" w:rsidP="005A7F19">
      <w:pPr>
        <w:spacing w:line="480" w:lineRule="auto"/>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Pr>
          <w:rFonts w:ascii="Arial" w:hAnsi="Arial" w:cs="Arial"/>
          <w:b/>
          <w:sz w:val="24"/>
          <w:szCs w:val="24"/>
          <w:u w:val="single"/>
        </w:rPr>
        <w:t>Background facts</w:t>
      </w:r>
      <w:r>
        <w:rPr>
          <w:rFonts w:ascii="Arial" w:hAnsi="Arial" w:cs="Arial"/>
          <w:b/>
          <w:sz w:val="24"/>
          <w:szCs w:val="24"/>
        </w:rPr>
        <w:t>:</w:t>
      </w:r>
    </w:p>
    <w:p w14:paraId="3F1E21E4" w14:textId="77777777" w:rsidR="00213EA6" w:rsidRDefault="009D21D8" w:rsidP="005A7F19">
      <w:pPr>
        <w:spacing w:line="480" w:lineRule="auto"/>
        <w:jc w:val="both"/>
        <w:rPr>
          <w:rFonts w:ascii="Arial" w:hAnsi="Arial" w:cs="Arial"/>
          <w:sz w:val="24"/>
          <w:szCs w:val="24"/>
        </w:rPr>
      </w:pPr>
      <w:r>
        <w:rPr>
          <w:rFonts w:ascii="Arial" w:hAnsi="Arial" w:cs="Arial"/>
          <w:sz w:val="24"/>
          <w:szCs w:val="24"/>
        </w:rPr>
        <w:t>[3]</w:t>
      </w:r>
      <w:r w:rsidR="003A6524">
        <w:rPr>
          <w:rFonts w:ascii="Arial" w:hAnsi="Arial" w:cs="Arial"/>
          <w:sz w:val="24"/>
          <w:szCs w:val="24"/>
        </w:rPr>
        <w:tab/>
        <w:t xml:space="preserve"> The deceased was married to the first plaintiff, Nomakaya Gobelana (Nomakaya) and had two children X</w:t>
      </w:r>
      <w:r w:rsidR="000630D1">
        <w:rPr>
          <w:rFonts w:ascii="Arial" w:hAnsi="Arial" w:cs="Arial"/>
          <w:sz w:val="24"/>
          <w:szCs w:val="24"/>
        </w:rPr>
        <w:t>olelwa Sowambi (Xolelwa) and Xolisani Gobelana (Xolisani).  They are the three dependants who are suing for loss of support.  They basically testified that they depended on the deceased for support.  Xolelwa was in Grade 10 when the deceased passed on.  She could not finished her post matric course due to financial circumstances and had to seek employment.  She claims an amount of R 23 026.00 for loss of maintenance and support.  Xolisani was in Grade 6 when the deceased passed on.  He continued until he left school in Grade 12.</w:t>
      </w:r>
      <w:r w:rsidR="00213EA6">
        <w:rPr>
          <w:rFonts w:ascii="Arial" w:hAnsi="Arial" w:cs="Arial"/>
          <w:sz w:val="24"/>
          <w:szCs w:val="24"/>
        </w:rPr>
        <w:t xml:space="preserve">  Nomakaya and Xolisani, jointly claim an amount of R 607 735.00 for loss of maintenance and support.</w:t>
      </w:r>
    </w:p>
    <w:p w14:paraId="0206EE58" w14:textId="77777777" w:rsidR="00213EA6" w:rsidRDefault="00213EA6" w:rsidP="009D21D8">
      <w:pPr>
        <w:spacing w:line="360" w:lineRule="auto"/>
        <w:jc w:val="both"/>
        <w:rPr>
          <w:rFonts w:ascii="Arial" w:hAnsi="Arial" w:cs="Arial"/>
          <w:sz w:val="24"/>
          <w:szCs w:val="24"/>
        </w:rPr>
      </w:pPr>
    </w:p>
    <w:p w14:paraId="5EF24729" w14:textId="1147C3A7" w:rsidR="00D6675F" w:rsidRPr="00D6675F" w:rsidRDefault="00213EA6" w:rsidP="005A7F19">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Nomakaya testified that she visited the scene of the accident and found the deceased injured.  </w:t>
      </w:r>
      <w:r w:rsidR="00CC28A7">
        <w:rPr>
          <w:rFonts w:ascii="Arial" w:hAnsi="Arial" w:cs="Arial"/>
          <w:sz w:val="24"/>
          <w:szCs w:val="24"/>
        </w:rPr>
        <w:t xml:space="preserve">The deceased’s left </w:t>
      </w:r>
      <w:r>
        <w:rPr>
          <w:rFonts w:ascii="Arial" w:hAnsi="Arial" w:cs="Arial"/>
          <w:sz w:val="24"/>
          <w:szCs w:val="24"/>
        </w:rPr>
        <w:t xml:space="preserve">leg was broken and had blood draining out of </w:t>
      </w:r>
      <w:r>
        <w:rPr>
          <w:rFonts w:ascii="Arial" w:hAnsi="Arial" w:cs="Arial"/>
          <w:sz w:val="24"/>
          <w:szCs w:val="24"/>
        </w:rPr>
        <w:lastRenderedPageBreak/>
        <w:t>his</w:t>
      </w:r>
      <w:r w:rsidR="00CC28A7">
        <w:rPr>
          <w:rFonts w:ascii="Arial" w:hAnsi="Arial" w:cs="Arial"/>
          <w:sz w:val="24"/>
          <w:szCs w:val="24"/>
        </w:rPr>
        <w:t xml:space="preserve"> right</w:t>
      </w:r>
      <w:r>
        <w:rPr>
          <w:rFonts w:ascii="Arial" w:hAnsi="Arial" w:cs="Arial"/>
          <w:sz w:val="24"/>
          <w:szCs w:val="24"/>
        </w:rPr>
        <w:t xml:space="preserve"> ear.  The deceased</w:t>
      </w:r>
      <w:r w:rsidR="00BC2554">
        <w:rPr>
          <w:rFonts w:ascii="Arial" w:hAnsi="Arial" w:cs="Arial"/>
          <w:sz w:val="24"/>
          <w:szCs w:val="24"/>
        </w:rPr>
        <w:t xml:space="preserve"> had convulsions</w:t>
      </w:r>
      <w:r>
        <w:rPr>
          <w:rFonts w:ascii="Arial" w:hAnsi="Arial" w:cs="Arial"/>
          <w:sz w:val="24"/>
          <w:szCs w:val="24"/>
        </w:rPr>
        <w:t xml:space="preserve"> before he was loaded in the ambulance.  At the hospital the deceased was put on a POP</w:t>
      </w:r>
      <w:r w:rsidR="00BC2554">
        <w:rPr>
          <w:rFonts w:ascii="Arial" w:hAnsi="Arial" w:cs="Arial"/>
          <w:sz w:val="24"/>
          <w:szCs w:val="24"/>
        </w:rPr>
        <w:t xml:space="preserve"> as aforesaid</w:t>
      </w:r>
      <w:r>
        <w:rPr>
          <w:rFonts w:ascii="Arial" w:hAnsi="Arial" w:cs="Arial"/>
          <w:sz w:val="24"/>
          <w:szCs w:val="24"/>
        </w:rPr>
        <w:t>.</w:t>
      </w:r>
      <w:r w:rsidR="00974F0D">
        <w:rPr>
          <w:rFonts w:ascii="Arial" w:hAnsi="Arial" w:cs="Arial"/>
          <w:sz w:val="24"/>
          <w:szCs w:val="24"/>
        </w:rPr>
        <w:t xml:space="preserve">  S</w:t>
      </w:r>
      <w:r>
        <w:rPr>
          <w:rFonts w:ascii="Arial" w:hAnsi="Arial" w:cs="Arial"/>
          <w:sz w:val="24"/>
          <w:szCs w:val="24"/>
        </w:rPr>
        <w:t>he brought</w:t>
      </w:r>
      <w:r w:rsidR="00396859">
        <w:rPr>
          <w:rFonts w:ascii="Arial" w:hAnsi="Arial" w:cs="Arial"/>
          <w:sz w:val="24"/>
          <w:szCs w:val="24"/>
        </w:rPr>
        <w:t xml:space="preserve"> it</w:t>
      </w:r>
      <w:r>
        <w:rPr>
          <w:rFonts w:ascii="Arial" w:hAnsi="Arial" w:cs="Arial"/>
          <w:sz w:val="24"/>
          <w:szCs w:val="24"/>
        </w:rPr>
        <w:t xml:space="preserve"> to the attention of the medical staff the</w:t>
      </w:r>
      <w:r w:rsidR="00BC2554">
        <w:rPr>
          <w:rFonts w:ascii="Arial" w:hAnsi="Arial" w:cs="Arial"/>
          <w:sz w:val="24"/>
          <w:szCs w:val="24"/>
        </w:rPr>
        <w:t>re was</w:t>
      </w:r>
      <w:r>
        <w:rPr>
          <w:rFonts w:ascii="Arial" w:hAnsi="Arial" w:cs="Arial"/>
          <w:sz w:val="24"/>
          <w:szCs w:val="24"/>
        </w:rPr>
        <w:t xml:space="preserve"> blood that was coming out of </w:t>
      </w:r>
      <w:r w:rsidR="00BC2554">
        <w:rPr>
          <w:rFonts w:ascii="Arial" w:hAnsi="Arial" w:cs="Arial"/>
          <w:sz w:val="24"/>
          <w:szCs w:val="24"/>
        </w:rPr>
        <w:t>the deceased’s</w:t>
      </w:r>
      <w:r>
        <w:rPr>
          <w:rFonts w:ascii="Arial" w:hAnsi="Arial" w:cs="Arial"/>
          <w:sz w:val="24"/>
          <w:szCs w:val="24"/>
        </w:rPr>
        <w:t xml:space="preserve"> ear.</w:t>
      </w:r>
      <w:r w:rsidR="00396859">
        <w:rPr>
          <w:rFonts w:ascii="Arial" w:hAnsi="Arial" w:cs="Arial"/>
          <w:sz w:val="24"/>
          <w:szCs w:val="24"/>
        </w:rPr>
        <w:t xml:space="preserve">  The deceased was discharged on 9 December 2008.  At home and when he went for review, the deceased</w:t>
      </w:r>
      <w:r w:rsidR="00BC2554">
        <w:rPr>
          <w:rFonts w:ascii="Arial" w:hAnsi="Arial" w:cs="Arial"/>
          <w:sz w:val="24"/>
          <w:szCs w:val="24"/>
        </w:rPr>
        <w:t xml:space="preserve"> would complain</w:t>
      </w:r>
      <w:r w:rsidR="00396859">
        <w:rPr>
          <w:rFonts w:ascii="Arial" w:hAnsi="Arial" w:cs="Arial"/>
          <w:sz w:val="24"/>
          <w:szCs w:val="24"/>
        </w:rPr>
        <w:t xml:space="preserve"> of headaches and</w:t>
      </w:r>
      <w:r w:rsidR="00BC2554">
        <w:rPr>
          <w:rFonts w:ascii="Arial" w:hAnsi="Arial" w:cs="Arial"/>
          <w:sz w:val="24"/>
          <w:szCs w:val="24"/>
        </w:rPr>
        <w:t xml:space="preserve"> for the</w:t>
      </w:r>
      <w:r w:rsidR="00396859">
        <w:rPr>
          <w:rFonts w:ascii="Arial" w:hAnsi="Arial" w:cs="Arial"/>
          <w:sz w:val="24"/>
          <w:szCs w:val="24"/>
        </w:rPr>
        <w:t xml:space="preserve"> blood that was draining from his ear.  The deceased</w:t>
      </w:r>
      <w:r w:rsidR="00BC2554">
        <w:rPr>
          <w:rFonts w:ascii="Arial" w:hAnsi="Arial" w:cs="Arial"/>
          <w:sz w:val="24"/>
          <w:szCs w:val="24"/>
        </w:rPr>
        <w:t xml:space="preserve"> died on 6 August 2009.  She incurred funeral cost. </w:t>
      </w:r>
      <w:r>
        <w:rPr>
          <w:rFonts w:ascii="Arial" w:hAnsi="Arial" w:cs="Arial"/>
          <w:sz w:val="24"/>
          <w:szCs w:val="24"/>
        </w:rPr>
        <w:t xml:space="preserve">     </w:t>
      </w:r>
      <w:r w:rsidR="000630D1">
        <w:rPr>
          <w:rFonts w:ascii="Arial" w:hAnsi="Arial" w:cs="Arial"/>
          <w:sz w:val="24"/>
          <w:szCs w:val="24"/>
        </w:rPr>
        <w:t xml:space="preserve">    </w:t>
      </w:r>
      <w:r w:rsidR="009D21D8">
        <w:rPr>
          <w:rFonts w:ascii="Arial" w:hAnsi="Arial" w:cs="Arial"/>
          <w:sz w:val="24"/>
          <w:szCs w:val="24"/>
        </w:rPr>
        <w:tab/>
        <w:t xml:space="preserve"> </w:t>
      </w:r>
      <w:r w:rsidR="003E0735">
        <w:rPr>
          <w:rFonts w:ascii="Arial" w:hAnsi="Arial" w:cs="Arial"/>
          <w:sz w:val="24"/>
          <w:szCs w:val="24"/>
        </w:rPr>
        <w:t xml:space="preserve">  </w:t>
      </w:r>
      <w:r w:rsidR="00D6675F">
        <w:rPr>
          <w:rFonts w:ascii="Arial" w:hAnsi="Arial" w:cs="Arial"/>
          <w:sz w:val="24"/>
          <w:szCs w:val="24"/>
        </w:rPr>
        <w:t xml:space="preserve"> </w:t>
      </w:r>
    </w:p>
    <w:p w14:paraId="0FA0DBA6" w14:textId="77777777" w:rsidR="00CF09EB" w:rsidRPr="00CF09EB" w:rsidRDefault="00CF09EB" w:rsidP="00935045">
      <w:pPr>
        <w:jc w:val="both"/>
        <w:rPr>
          <w:rFonts w:ascii="Arial" w:hAnsi="Arial" w:cs="Arial"/>
          <w:b/>
          <w:sz w:val="24"/>
          <w:szCs w:val="24"/>
        </w:rPr>
      </w:pPr>
    </w:p>
    <w:p w14:paraId="29171B11" w14:textId="7B31CFA0" w:rsidR="00D62768" w:rsidRDefault="00396859" w:rsidP="005A7F19">
      <w:pPr>
        <w:spacing w:line="480" w:lineRule="auto"/>
        <w:jc w:val="both"/>
        <w:rPr>
          <w:rFonts w:ascii="Arial" w:hAnsi="Arial" w:cs="Arial"/>
          <w:sz w:val="24"/>
          <w:szCs w:val="24"/>
        </w:rPr>
      </w:pPr>
      <w:r>
        <w:rPr>
          <w:rFonts w:ascii="Arial" w:hAnsi="Arial" w:cs="Arial"/>
          <w:sz w:val="24"/>
          <w:szCs w:val="24"/>
        </w:rPr>
        <w:t>[5]</w:t>
      </w:r>
      <w:r w:rsidR="005A7F19">
        <w:rPr>
          <w:rFonts w:ascii="Arial" w:hAnsi="Arial" w:cs="Arial"/>
          <w:sz w:val="24"/>
          <w:szCs w:val="24"/>
        </w:rPr>
        <w:tab/>
        <w:t>Dr P.J.J. Swartz, a Neurologist filed a</w:t>
      </w:r>
      <w:r w:rsidR="00BC2554">
        <w:rPr>
          <w:rFonts w:ascii="Arial" w:hAnsi="Arial" w:cs="Arial"/>
          <w:sz w:val="24"/>
          <w:szCs w:val="24"/>
        </w:rPr>
        <w:t>n</w:t>
      </w:r>
      <w:r w:rsidR="005A7F19">
        <w:rPr>
          <w:rFonts w:ascii="Arial" w:hAnsi="Arial" w:cs="Arial"/>
          <w:sz w:val="24"/>
          <w:szCs w:val="24"/>
        </w:rPr>
        <w:t xml:space="preserve"> </w:t>
      </w:r>
      <w:r w:rsidR="00BC2554">
        <w:rPr>
          <w:rFonts w:ascii="Arial" w:hAnsi="Arial" w:cs="Arial"/>
          <w:sz w:val="24"/>
          <w:szCs w:val="24"/>
        </w:rPr>
        <w:t xml:space="preserve">expert </w:t>
      </w:r>
      <w:r w:rsidR="005A7F19">
        <w:rPr>
          <w:rFonts w:ascii="Arial" w:hAnsi="Arial" w:cs="Arial"/>
          <w:sz w:val="24"/>
          <w:szCs w:val="24"/>
        </w:rPr>
        <w:t>report and also testified.</w:t>
      </w:r>
      <w:r w:rsidR="00BC2554">
        <w:rPr>
          <w:rFonts w:ascii="Arial" w:hAnsi="Arial" w:cs="Arial"/>
          <w:sz w:val="24"/>
          <w:szCs w:val="24"/>
        </w:rPr>
        <w:t xml:space="preserve">  Relying </w:t>
      </w:r>
      <w:r w:rsidR="005A7F19">
        <w:rPr>
          <w:rFonts w:ascii="Arial" w:hAnsi="Arial" w:cs="Arial"/>
          <w:sz w:val="24"/>
          <w:szCs w:val="24"/>
        </w:rPr>
        <w:t>on the hospital records and the interview he had with Nomakaya, Dr Swartz concluded as follows:</w:t>
      </w:r>
    </w:p>
    <w:p w14:paraId="767611A5" w14:textId="77777777" w:rsidR="00D62768" w:rsidRDefault="00D62768" w:rsidP="00D62768">
      <w:pPr>
        <w:spacing w:line="480" w:lineRule="auto"/>
        <w:ind w:left="720"/>
        <w:jc w:val="both"/>
        <w:rPr>
          <w:rFonts w:ascii="Arial" w:hAnsi="Arial" w:cs="Arial"/>
          <w:sz w:val="20"/>
          <w:szCs w:val="20"/>
        </w:rPr>
      </w:pPr>
      <w:r>
        <w:rPr>
          <w:rFonts w:ascii="Arial" w:hAnsi="Arial" w:cs="Arial"/>
          <w:sz w:val="20"/>
          <w:szCs w:val="20"/>
        </w:rPr>
        <w:t xml:space="preserve">“Based on the above information there can be no doubt that Mr Gobelana’s demise had been the direct result of </w:t>
      </w:r>
      <w:r>
        <w:rPr>
          <w:rFonts w:ascii="Arial" w:hAnsi="Arial" w:cs="Arial"/>
          <w:sz w:val="20"/>
          <w:szCs w:val="20"/>
          <w:u w:val="single"/>
        </w:rPr>
        <w:t>significant head trauma sustained in the accident</w:t>
      </w:r>
      <w:r>
        <w:rPr>
          <w:rFonts w:ascii="Arial" w:hAnsi="Arial" w:cs="Arial"/>
          <w:sz w:val="20"/>
          <w:szCs w:val="20"/>
        </w:rPr>
        <w:t xml:space="preserve">, and that the less than adequate care he had received from health care professionals involved in this case had </w:t>
      </w:r>
      <w:r>
        <w:rPr>
          <w:rFonts w:ascii="Arial" w:hAnsi="Arial" w:cs="Arial"/>
          <w:sz w:val="20"/>
          <w:szCs w:val="20"/>
          <w:u w:val="single"/>
        </w:rPr>
        <w:t>led to unnecessary suffering of the patient</w:t>
      </w:r>
      <w:r>
        <w:rPr>
          <w:rFonts w:ascii="Arial" w:hAnsi="Arial" w:cs="Arial"/>
          <w:sz w:val="20"/>
          <w:szCs w:val="20"/>
        </w:rPr>
        <w:t xml:space="preserve"> and made his death (which could have been avoided) inevitable.  Everything in the information above </w:t>
      </w:r>
      <w:r>
        <w:rPr>
          <w:rFonts w:ascii="Arial" w:hAnsi="Arial" w:cs="Arial"/>
          <w:sz w:val="20"/>
          <w:szCs w:val="20"/>
          <w:u w:val="single"/>
        </w:rPr>
        <w:t>indicates that the deceased had suffered a skull bas</w:t>
      </w:r>
      <w:r w:rsidR="000C59C8">
        <w:rPr>
          <w:rFonts w:ascii="Arial" w:hAnsi="Arial" w:cs="Arial"/>
          <w:sz w:val="20"/>
          <w:szCs w:val="20"/>
          <w:u w:val="single"/>
        </w:rPr>
        <w:t>e</w:t>
      </w:r>
      <w:r>
        <w:rPr>
          <w:rFonts w:ascii="Arial" w:hAnsi="Arial" w:cs="Arial"/>
          <w:sz w:val="20"/>
          <w:szCs w:val="20"/>
          <w:u w:val="single"/>
        </w:rPr>
        <w:t xml:space="preserve"> fracture at the time of the accident and th</w:t>
      </w:r>
      <w:r w:rsidR="000C59C8">
        <w:rPr>
          <w:rFonts w:ascii="Arial" w:hAnsi="Arial" w:cs="Arial"/>
          <w:sz w:val="20"/>
          <w:szCs w:val="20"/>
          <w:u w:val="single"/>
        </w:rPr>
        <w:t>at he had suffered from and died</w:t>
      </w:r>
      <w:r>
        <w:rPr>
          <w:rFonts w:ascii="Arial" w:hAnsi="Arial" w:cs="Arial"/>
          <w:sz w:val="20"/>
          <w:szCs w:val="20"/>
          <w:u w:val="single"/>
        </w:rPr>
        <w:t xml:space="preserve"> as a result of complications of a skull fracture</w:t>
      </w:r>
      <w:r>
        <w:rPr>
          <w:rFonts w:ascii="Arial" w:hAnsi="Arial" w:cs="Arial"/>
          <w:sz w:val="20"/>
          <w:szCs w:val="20"/>
        </w:rPr>
        <w:t>.</w:t>
      </w:r>
    </w:p>
    <w:p w14:paraId="2A8FE92B" w14:textId="77777777" w:rsidR="000C59C8" w:rsidRDefault="00D62768" w:rsidP="00D62768">
      <w:pPr>
        <w:spacing w:line="480" w:lineRule="auto"/>
        <w:ind w:left="720"/>
        <w:jc w:val="both"/>
        <w:rPr>
          <w:rFonts w:ascii="Arial" w:hAnsi="Arial" w:cs="Arial"/>
          <w:sz w:val="20"/>
          <w:szCs w:val="20"/>
        </w:rPr>
      </w:pPr>
      <w:r>
        <w:rPr>
          <w:rFonts w:ascii="Arial" w:hAnsi="Arial" w:cs="Arial"/>
          <w:sz w:val="20"/>
          <w:szCs w:val="20"/>
        </w:rPr>
        <w:t>. . . Unfortunately no attention had been paid to his head injury which had clearly been the cause of his death”.  (Emphasis added)</w:t>
      </w:r>
    </w:p>
    <w:p w14:paraId="6DF0E4C5" w14:textId="77777777" w:rsidR="000C59C8" w:rsidRDefault="000C59C8" w:rsidP="000C59C8">
      <w:pPr>
        <w:spacing w:line="480" w:lineRule="auto"/>
        <w:jc w:val="both"/>
        <w:rPr>
          <w:rFonts w:ascii="Arial" w:hAnsi="Arial" w:cs="Arial"/>
          <w:sz w:val="20"/>
          <w:szCs w:val="20"/>
        </w:rPr>
      </w:pPr>
    </w:p>
    <w:p w14:paraId="4D8544B7" w14:textId="329D8CF5" w:rsidR="000C59C8" w:rsidRDefault="000C59C8" w:rsidP="000C59C8">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Dr Swartz concluded that the deceased died as a direct result of the head injury suffered by the deceased on the day of the accident.</w:t>
      </w:r>
    </w:p>
    <w:p w14:paraId="0CA9F0BB" w14:textId="77777777" w:rsidR="000C59C8" w:rsidRDefault="000C59C8" w:rsidP="000C59C8">
      <w:pPr>
        <w:spacing w:line="480" w:lineRule="auto"/>
        <w:jc w:val="both"/>
        <w:rPr>
          <w:rFonts w:ascii="Arial" w:hAnsi="Arial" w:cs="Arial"/>
          <w:sz w:val="24"/>
          <w:szCs w:val="24"/>
        </w:rPr>
      </w:pPr>
    </w:p>
    <w:p w14:paraId="6E84FE03" w14:textId="1AEAF4A5" w:rsidR="000C59C8" w:rsidRDefault="000C59C8" w:rsidP="000C59C8">
      <w:pPr>
        <w:spacing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The defendant neither led evidence nor submit</w:t>
      </w:r>
      <w:r w:rsidR="000E46AD">
        <w:rPr>
          <w:rFonts w:ascii="Arial" w:hAnsi="Arial" w:cs="Arial"/>
          <w:sz w:val="24"/>
          <w:szCs w:val="24"/>
        </w:rPr>
        <w:t>ted</w:t>
      </w:r>
      <w:r>
        <w:rPr>
          <w:rFonts w:ascii="Arial" w:hAnsi="Arial" w:cs="Arial"/>
          <w:sz w:val="24"/>
          <w:szCs w:val="24"/>
        </w:rPr>
        <w:t xml:space="preserve"> expert reports.  On the day of the trial, the defendant raised as legal argument.</w:t>
      </w:r>
    </w:p>
    <w:p w14:paraId="7F11AF40" w14:textId="2ABA84F5" w:rsidR="000C59C8" w:rsidRDefault="000C59C8" w:rsidP="00D62AD7">
      <w:pPr>
        <w:spacing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issue of </w:t>
      </w:r>
      <w:r>
        <w:rPr>
          <w:rFonts w:ascii="Arial" w:hAnsi="Arial" w:cs="Arial"/>
          <w:i/>
          <w:sz w:val="24"/>
          <w:szCs w:val="24"/>
        </w:rPr>
        <w:t xml:space="preserve">novus actus </w:t>
      </w:r>
      <w:r w:rsidR="00D62AD7">
        <w:rPr>
          <w:rFonts w:ascii="Arial" w:hAnsi="Arial" w:cs="Arial"/>
          <w:i/>
          <w:sz w:val="24"/>
          <w:szCs w:val="24"/>
        </w:rPr>
        <w:t>interveniens</w:t>
      </w:r>
      <w:r w:rsidR="00D62AD7">
        <w:rPr>
          <w:rFonts w:ascii="Arial" w:hAnsi="Arial" w:cs="Arial"/>
          <w:sz w:val="24"/>
          <w:szCs w:val="24"/>
        </w:rPr>
        <w:t>, being the sub-standard medical intervention by the medical staff at the time of admission and p</w:t>
      </w:r>
      <w:r w:rsidR="000E46AD">
        <w:rPr>
          <w:rFonts w:ascii="Arial" w:hAnsi="Arial" w:cs="Arial"/>
          <w:sz w:val="24"/>
          <w:szCs w:val="24"/>
        </w:rPr>
        <w:t>o</w:t>
      </w:r>
      <w:r w:rsidR="00D62AD7">
        <w:rPr>
          <w:rFonts w:ascii="Arial" w:hAnsi="Arial" w:cs="Arial"/>
          <w:sz w:val="24"/>
          <w:szCs w:val="24"/>
        </w:rPr>
        <w:t>st;</w:t>
      </w:r>
    </w:p>
    <w:p w14:paraId="647D1552" w14:textId="7845E330" w:rsidR="00D62AD7" w:rsidRDefault="00D62AD7" w:rsidP="00D62AD7">
      <w:pPr>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that there is no evidence presented that the deceased was earning R3000.00 and R4500.00 when doing overtime</w:t>
      </w:r>
      <w:r>
        <w:rPr>
          <w:rStyle w:val="FootnoteReference"/>
          <w:rFonts w:ascii="Arial" w:hAnsi="Arial" w:cs="Arial"/>
          <w:sz w:val="24"/>
          <w:szCs w:val="24"/>
        </w:rPr>
        <w:footnoteReference w:id="1"/>
      </w:r>
      <w:r>
        <w:rPr>
          <w:rFonts w:ascii="Arial" w:hAnsi="Arial" w:cs="Arial"/>
          <w:sz w:val="24"/>
          <w:szCs w:val="24"/>
        </w:rPr>
        <w:t xml:space="preserve"> and further </w:t>
      </w:r>
      <w:r w:rsidR="001221B4">
        <w:rPr>
          <w:rFonts w:ascii="Arial" w:hAnsi="Arial" w:cs="Arial"/>
          <w:sz w:val="24"/>
          <w:szCs w:val="24"/>
        </w:rPr>
        <w:t xml:space="preserve">submitted that </w:t>
      </w:r>
      <w:r w:rsidR="000E46AD">
        <w:rPr>
          <w:rFonts w:ascii="Arial" w:hAnsi="Arial" w:cs="Arial"/>
          <w:sz w:val="24"/>
          <w:szCs w:val="24"/>
        </w:rPr>
        <w:t>i</w:t>
      </w:r>
      <w:r w:rsidR="001221B4">
        <w:rPr>
          <w:rFonts w:ascii="Arial" w:hAnsi="Arial" w:cs="Arial"/>
          <w:sz w:val="24"/>
          <w:szCs w:val="24"/>
        </w:rPr>
        <w:t>f the court accepts that the deceased was employed, it must apply appropriate contingencies.</w:t>
      </w:r>
    </w:p>
    <w:p w14:paraId="2DA7DA5C" w14:textId="77777777" w:rsidR="001221B4" w:rsidRDefault="001221B4" w:rsidP="001221B4">
      <w:pPr>
        <w:spacing w:line="480" w:lineRule="auto"/>
        <w:jc w:val="both"/>
        <w:rPr>
          <w:rFonts w:ascii="Arial" w:hAnsi="Arial" w:cs="Arial"/>
          <w:sz w:val="24"/>
          <w:szCs w:val="24"/>
        </w:rPr>
      </w:pPr>
    </w:p>
    <w:p w14:paraId="1B70C0A8" w14:textId="77777777" w:rsidR="001221B4" w:rsidRDefault="001221B4" w:rsidP="001221B4">
      <w:pPr>
        <w:spacing w:line="480" w:lineRule="auto"/>
        <w:jc w:val="both"/>
        <w:rPr>
          <w:rFonts w:ascii="Arial" w:hAnsi="Arial" w:cs="Arial"/>
          <w:b/>
          <w:sz w:val="24"/>
          <w:szCs w:val="24"/>
        </w:rPr>
      </w:pPr>
      <w:r>
        <w:rPr>
          <w:rFonts w:ascii="Arial" w:hAnsi="Arial" w:cs="Arial"/>
          <w:b/>
          <w:sz w:val="24"/>
          <w:szCs w:val="24"/>
        </w:rPr>
        <w:t>C.</w:t>
      </w:r>
      <w:r>
        <w:rPr>
          <w:rFonts w:ascii="Arial" w:hAnsi="Arial" w:cs="Arial"/>
          <w:b/>
          <w:sz w:val="24"/>
          <w:szCs w:val="24"/>
        </w:rPr>
        <w:tab/>
      </w:r>
      <w:r>
        <w:rPr>
          <w:rFonts w:ascii="Arial" w:hAnsi="Arial" w:cs="Arial"/>
          <w:b/>
          <w:sz w:val="24"/>
          <w:szCs w:val="24"/>
          <w:u w:val="single"/>
        </w:rPr>
        <w:t>The issue</w:t>
      </w:r>
      <w:r>
        <w:rPr>
          <w:rFonts w:ascii="Arial" w:hAnsi="Arial" w:cs="Arial"/>
          <w:b/>
          <w:sz w:val="24"/>
          <w:szCs w:val="24"/>
        </w:rPr>
        <w:t>:</w:t>
      </w:r>
    </w:p>
    <w:p w14:paraId="4F9BC093" w14:textId="77777777" w:rsidR="001221B4" w:rsidRDefault="001221B4" w:rsidP="001221B4">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issue is whether the deceased died as a result of a direct injury sustained in the accident or there is an intervening factor which contributed to his death.</w:t>
      </w:r>
    </w:p>
    <w:p w14:paraId="2537B58D" w14:textId="77777777" w:rsidR="001221B4" w:rsidRDefault="001221B4" w:rsidP="001221B4">
      <w:pPr>
        <w:spacing w:line="480" w:lineRule="auto"/>
        <w:jc w:val="both"/>
        <w:rPr>
          <w:rFonts w:ascii="Arial" w:hAnsi="Arial" w:cs="Arial"/>
          <w:sz w:val="24"/>
          <w:szCs w:val="24"/>
        </w:rPr>
      </w:pPr>
    </w:p>
    <w:p w14:paraId="653C9625" w14:textId="77777777" w:rsidR="001221B4" w:rsidRDefault="001221B4" w:rsidP="001221B4">
      <w:pPr>
        <w:spacing w:line="480" w:lineRule="auto"/>
        <w:jc w:val="both"/>
        <w:rPr>
          <w:rFonts w:ascii="Arial" w:hAnsi="Arial" w:cs="Arial"/>
          <w:b/>
          <w:sz w:val="24"/>
          <w:szCs w:val="24"/>
        </w:rPr>
      </w:pPr>
      <w:r>
        <w:rPr>
          <w:rFonts w:ascii="Arial" w:hAnsi="Arial" w:cs="Arial"/>
          <w:b/>
          <w:sz w:val="24"/>
          <w:szCs w:val="24"/>
        </w:rPr>
        <w:t>D.</w:t>
      </w:r>
      <w:r>
        <w:rPr>
          <w:rFonts w:ascii="Arial" w:hAnsi="Arial" w:cs="Arial"/>
          <w:b/>
          <w:sz w:val="24"/>
          <w:szCs w:val="24"/>
        </w:rPr>
        <w:tab/>
      </w:r>
      <w:r>
        <w:rPr>
          <w:rFonts w:ascii="Arial" w:hAnsi="Arial" w:cs="Arial"/>
          <w:b/>
          <w:sz w:val="24"/>
          <w:szCs w:val="24"/>
          <w:u w:val="single"/>
        </w:rPr>
        <w:t>Analysis</w:t>
      </w:r>
      <w:r>
        <w:rPr>
          <w:rFonts w:ascii="Arial" w:hAnsi="Arial" w:cs="Arial"/>
          <w:b/>
          <w:sz w:val="24"/>
          <w:szCs w:val="24"/>
        </w:rPr>
        <w:t>:</w:t>
      </w:r>
    </w:p>
    <w:p w14:paraId="605904EC" w14:textId="77777777" w:rsidR="00B01F71" w:rsidRDefault="001221B4" w:rsidP="001221B4">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w:t>
      </w:r>
      <w:r>
        <w:rPr>
          <w:rFonts w:ascii="Arial" w:hAnsi="Arial" w:cs="Arial"/>
          <w:i/>
          <w:sz w:val="24"/>
          <w:szCs w:val="24"/>
        </w:rPr>
        <w:t>Minister of Police v Skosana</w:t>
      </w:r>
      <w:r>
        <w:rPr>
          <w:rStyle w:val="FootnoteReference"/>
          <w:rFonts w:ascii="Arial" w:hAnsi="Arial" w:cs="Arial"/>
          <w:i/>
          <w:sz w:val="24"/>
          <w:szCs w:val="24"/>
        </w:rPr>
        <w:footnoteReference w:id="2"/>
      </w:r>
      <w:r w:rsidR="00B01F71">
        <w:rPr>
          <w:rFonts w:ascii="Arial" w:hAnsi="Arial" w:cs="Arial"/>
          <w:sz w:val="24"/>
          <w:szCs w:val="24"/>
        </w:rPr>
        <w:t xml:space="preserve"> Corbett JA defined causation as foll</w:t>
      </w:r>
      <w:r w:rsidR="0077240B">
        <w:rPr>
          <w:rFonts w:ascii="Arial" w:hAnsi="Arial" w:cs="Arial"/>
          <w:sz w:val="24"/>
          <w:szCs w:val="24"/>
        </w:rPr>
        <w:t>o</w:t>
      </w:r>
      <w:r w:rsidR="00B01F71">
        <w:rPr>
          <w:rFonts w:ascii="Arial" w:hAnsi="Arial" w:cs="Arial"/>
          <w:sz w:val="24"/>
          <w:szCs w:val="24"/>
        </w:rPr>
        <w:t>ws:</w:t>
      </w:r>
    </w:p>
    <w:p w14:paraId="521EB8C3" w14:textId="0DA2A28C" w:rsidR="002200EE" w:rsidRDefault="00B01F71" w:rsidP="00B01F71">
      <w:pPr>
        <w:spacing w:line="480" w:lineRule="auto"/>
        <w:ind w:left="720"/>
        <w:jc w:val="both"/>
        <w:rPr>
          <w:rFonts w:ascii="Arial" w:hAnsi="Arial" w:cs="Arial"/>
          <w:sz w:val="20"/>
          <w:szCs w:val="20"/>
        </w:rPr>
      </w:pPr>
      <w:r>
        <w:rPr>
          <w:rFonts w:ascii="Arial" w:hAnsi="Arial" w:cs="Arial"/>
          <w:sz w:val="20"/>
          <w:szCs w:val="20"/>
        </w:rPr>
        <w:t xml:space="preserve">“Causation in the law of delict gives rise to two rather distinct problems.  The first is a factual one and relates to the question as to whether the negligent act or omission in question caused or materially contributed to . . . the harm giving rise to the claim.  If it did not, then no legal liability can arise and </w:t>
      </w:r>
      <w:r w:rsidR="002200EE">
        <w:rPr>
          <w:rFonts w:ascii="Arial" w:hAnsi="Arial" w:cs="Arial"/>
          <w:i/>
          <w:sz w:val="20"/>
          <w:szCs w:val="20"/>
        </w:rPr>
        <w:t>cadit</w:t>
      </w:r>
      <w:r>
        <w:rPr>
          <w:rFonts w:ascii="Arial" w:hAnsi="Arial" w:cs="Arial"/>
          <w:sz w:val="20"/>
          <w:szCs w:val="20"/>
        </w:rPr>
        <w:t xml:space="preserve"> </w:t>
      </w:r>
      <w:r>
        <w:rPr>
          <w:rFonts w:ascii="Arial" w:hAnsi="Arial" w:cs="Arial"/>
          <w:i/>
          <w:sz w:val="20"/>
          <w:szCs w:val="20"/>
        </w:rPr>
        <w:t>quaestio.</w:t>
      </w:r>
      <w:r w:rsidR="00432CDE">
        <w:rPr>
          <w:rFonts w:ascii="Arial" w:hAnsi="Arial" w:cs="Arial"/>
          <w:sz w:val="20"/>
          <w:szCs w:val="20"/>
        </w:rPr>
        <w:t xml:space="preserve"> If it did, then the second problem becomes relevant, viz – whether the negligent act or omission is linked to the harm sufficiently closely or directly for legal liability to ensu</w:t>
      </w:r>
      <w:r w:rsidR="002200EE">
        <w:rPr>
          <w:rFonts w:ascii="Arial" w:hAnsi="Arial" w:cs="Arial"/>
          <w:sz w:val="20"/>
          <w:szCs w:val="20"/>
        </w:rPr>
        <w:t>e</w:t>
      </w:r>
      <w:r w:rsidR="00432CDE">
        <w:rPr>
          <w:rFonts w:ascii="Arial" w:hAnsi="Arial" w:cs="Arial"/>
          <w:sz w:val="20"/>
          <w:szCs w:val="20"/>
        </w:rPr>
        <w:t xml:space="preserve"> or whether,</w:t>
      </w:r>
      <w:r w:rsidR="0077240B">
        <w:rPr>
          <w:rFonts w:ascii="Arial" w:hAnsi="Arial" w:cs="Arial"/>
          <w:sz w:val="20"/>
          <w:szCs w:val="20"/>
        </w:rPr>
        <w:t xml:space="preserve"> as it is said, the harm is too remote.  This is basically a juridical problem in which considerations of legal policy may play a part”.</w:t>
      </w:r>
      <w:r w:rsidR="002200EE">
        <w:rPr>
          <w:rFonts w:ascii="Arial" w:hAnsi="Arial" w:cs="Arial"/>
          <w:sz w:val="20"/>
          <w:szCs w:val="20"/>
        </w:rPr>
        <w:t xml:space="preserve">  (Footnotes omitted).</w:t>
      </w:r>
    </w:p>
    <w:p w14:paraId="33429BE4" w14:textId="1F97D6F3" w:rsidR="000E46AD" w:rsidRPr="000E46AD" w:rsidRDefault="000E46AD" w:rsidP="000E46AD">
      <w:pPr>
        <w:spacing w:line="480" w:lineRule="auto"/>
        <w:jc w:val="both"/>
        <w:rPr>
          <w:rFonts w:ascii="Arial" w:hAnsi="Arial" w:cs="Arial"/>
          <w:sz w:val="24"/>
          <w:szCs w:val="24"/>
        </w:rPr>
      </w:pPr>
      <w:r>
        <w:rPr>
          <w:rFonts w:ascii="Arial" w:hAnsi="Arial" w:cs="Arial"/>
          <w:sz w:val="24"/>
          <w:szCs w:val="24"/>
        </w:rPr>
        <w:lastRenderedPageBreak/>
        <w:t xml:space="preserve">The same approach was adopted by the Constitutional Court in </w:t>
      </w:r>
      <w:r w:rsidR="00974F0D">
        <w:rPr>
          <w:rFonts w:ascii="Arial" w:hAnsi="Arial" w:cs="Arial"/>
          <w:i/>
          <w:iCs/>
          <w:sz w:val="24"/>
          <w:szCs w:val="24"/>
        </w:rPr>
        <w:t>Lee</w:t>
      </w:r>
      <w:r>
        <w:rPr>
          <w:rFonts w:ascii="Arial" w:hAnsi="Arial" w:cs="Arial"/>
          <w:i/>
          <w:iCs/>
          <w:sz w:val="24"/>
          <w:szCs w:val="24"/>
        </w:rPr>
        <w:t xml:space="preserve"> v Minister for Correctional Services</w:t>
      </w:r>
      <w:r w:rsidR="00974F0D">
        <w:rPr>
          <w:rStyle w:val="FootnoteReference"/>
          <w:rFonts w:ascii="Arial" w:hAnsi="Arial" w:cs="Arial"/>
          <w:i/>
          <w:iCs/>
          <w:sz w:val="24"/>
          <w:szCs w:val="24"/>
        </w:rPr>
        <w:footnoteReference w:id="3"/>
      </w:r>
      <w:r>
        <w:rPr>
          <w:rFonts w:ascii="Arial" w:hAnsi="Arial" w:cs="Arial"/>
          <w:sz w:val="24"/>
          <w:szCs w:val="24"/>
        </w:rPr>
        <w:t>.</w:t>
      </w:r>
    </w:p>
    <w:p w14:paraId="7FA2E14F" w14:textId="77777777" w:rsidR="002200EE" w:rsidRDefault="002200EE" w:rsidP="002200EE">
      <w:pPr>
        <w:spacing w:line="480" w:lineRule="auto"/>
        <w:jc w:val="both"/>
        <w:rPr>
          <w:rFonts w:ascii="Arial" w:hAnsi="Arial" w:cs="Arial"/>
          <w:sz w:val="20"/>
          <w:szCs w:val="20"/>
        </w:rPr>
      </w:pPr>
    </w:p>
    <w:p w14:paraId="26AA970D" w14:textId="5C042BD9" w:rsidR="007D0BF4" w:rsidRDefault="002200EE" w:rsidP="002200EE">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D11DB">
        <w:rPr>
          <w:rFonts w:ascii="Arial" w:hAnsi="Arial" w:cs="Arial"/>
          <w:sz w:val="24"/>
          <w:szCs w:val="24"/>
        </w:rPr>
        <w:t xml:space="preserve">In the instant matter there is nothing to gainsay what Dr Swartz opined, that the skull base fracture was the cause of the death of the deceased.  It stands to reason that the cause of the skull base fracture was the accident that the deceased was involved in on 8 December 2008.  In other words, “but for” the accident, the deceased would not have sustained the injury on his head.  In </w:t>
      </w:r>
      <w:r w:rsidR="004D11DB">
        <w:rPr>
          <w:rFonts w:ascii="Arial" w:hAnsi="Arial" w:cs="Arial"/>
          <w:i/>
          <w:sz w:val="24"/>
          <w:szCs w:val="24"/>
        </w:rPr>
        <w:t>Minister of Finance</w:t>
      </w:r>
      <w:r w:rsidR="00974F0D">
        <w:rPr>
          <w:rFonts w:ascii="Arial" w:hAnsi="Arial" w:cs="Arial"/>
          <w:i/>
          <w:sz w:val="24"/>
          <w:szCs w:val="24"/>
        </w:rPr>
        <w:t xml:space="preserve"> and Other</w:t>
      </w:r>
      <w:r w:rsidR="00B56EEC">
        <w:rPr>
          <w:rFonts w:ascii="Arial" w:hAnsi="Arial" w:cs="Arial"/>
          <w:i/>
          <w:sz w:val="24"/>
          <w:szCs w:val="24"/>
        </w:rPr>
        <w:t>s</w:t>
      </w:r>
      <w:r w:rsidR="004D11DB">
        <w:rPr>
          <w:rFonts w:ascii="Arial" w:hAnsi="Arial" w:cs="Arial"/>
          <w:i/>
          <w:sz w:val="24"/>
          <w:szCs w:val="24"/>
        </w:rPr>
        <w:t xml:space="preserve"> v Gore</w:t>
      </w:r>
      <w:r w:rsidR="004D11DB">
        <w:rPr>
          <w:rStyle w:val="FootnoteReference"/>
          <w:rFonts w:ascii="Arial" w:hAnsi="Arial" w:cs="Arial"/>
          <w:i/>
          <w:sz w:val="24"/>
          <w:szCs w:val="24"/>
        </w:rPr>
        <w:footnoteReference w:id="4"/>
      </w:r>
      <w:r w:rsidR="004D11DB">
        <w:rPr>
          <w:rFonts w:ascii="Arial" w:hAnsi="Arial" w:cs="Arial"/>
          <w:sz w:val="24"/>
          <w:szCs w:val="24"/>
        </w:rPr>
        <w:t xml:space="preserve"> the following is said about the “but for” test which applies with equal </w:t>
      </w:r>
      <w:r w:rsidR="007D0BF4">
        <w:rPr>
          <w:rFonts w:ascii="Arial" w:hAnsi="Arial" w:cs="Arial"/>
          <w:sz w:val="24"/>
          <w:szCs w:val="24"/>
        </w:rPr>
        <w:t>force in this matter</w:t>
      </w:r>
      <w:r w:rsidR="000E46AD">
        <w:rPr>
          <w:rFonts w:ascii="Arial" w:hAnsi="Arial" w:cs="Arial"/>
          <w:sz w:val="24"/>
          <w:szCs w:val="24"/>
        </w:rPr>
        <w:t>;</w:t>
      </w:r>
    </w:p>
    <w:p w14:paraId="7971913B" w14:textId="77777777" w:rsidR="007D0BF4" w:rsidRDefault="007D0BF4" w:rsidP="007D0BF4">
      <w:pPr>
        <w:spacing w:line="480" w:lineRule="auto"/>
        <w:ind w:left="720"/>
        <w:jc w:val="both"/>
        <w:rPr>
          <w:rFonts w:ascii="Arial" w:hAnsi="Arial" w:cs="Arial"/>
          <w:sz w:val="20"/>
          <w:szCs w:val="20"/>
        </w:rPr>
      </w:pPr>
      <w:r>
        <w:rPr>
          <w:rFonts w:ascii="Arial" w:hAnsi="Arial" w:cs="Arial"/>
          <w:sz w:val="20"/>
          <w:szCs w:val="20"/>
        </w:rPr>
        <w:t xml:space="preserve">“Application of the “but for” test is not based on mathematics, pure science or philosophy.  It is a matter of common sense, based on the practical way in which the ordinary persons mind works against the background of everyday – life experiences.  Or, as was pointed out in similar vein by Nugent JA in </w:t>
      </w:r>
      <w:r>
        <w:rPr>
          <w:rFonts w:ascii="Arial" w:hAnsi="Arial" w:cs="Arial"/>
          <w:i/>
          <w:sz w:val="20"/>
          <w:szCs w:val="20"/>
        </w:rPr>
        <w:t>Minister of Safety and Security v Van Duivenboden:</w:t>
      </w:r>
      <w:r>
        <w:rPr>
          <w:rFonts w:ascii="Arial" w:hAnsi="Arial" w:cs="Arial"/>
          <w:sz w:val="20"/>
          <w:szCs w:val="20"/>
        </w:rPr>
        <w:t xml:space="preserve"> </w:t>
      </w:r>
    </w:p>
    <w:p w14:paraId="14DD7787" w14:textId="77777777" w:rsidR="002353F6" w:rsidRDefault="007D0BF4" w:rsidP="00EA319A">
      <w:pPr>
        <w:spacing w:line="480" w:lineRule="auto"/>
        <w:ind w:left="1440"/>
        <w:jc w:val="both"/>
        <w:rPr>
          <w:rFonts w:ascii="Arial" w:hAnsi="Arial" w:cs="Arial"/>
          <w:sz w:val="20"/>
          <w:szCs w:val="20"/>
        </w:rPr>
      </w:pPr>
      <w:r>
        <w:rPr>
          <w:rFonts w:ascii="Arial" w:hAnsi="Arial" w:cs="Arial"/>
          <w:sz w:val="20"/>
          <w:szCs w:val="20"/>
        </w:rPr>
        <w:t xml:space="preserve">‘A plaintiff is not required to establish the </w:t>
      </w:r>
      <w:r w:rsidR="00EA319A">
        <w:rPr>
          <w:rFonts w:ascii="Arial" w:hAnsi="Arial" w:cs="Arial"/>
          <w:sz w:val="20"/>
          <w:szCs w:val="20"/>
        </w:rPr>
        <w:t>causal link will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than metaphysics’.”</w:t>
      </w:r>
    </w:p>
    <w:p w14:paraId="0F3F2986" w14:textId="77777777" w:rsidR="002353F6" w:rsidRDefault="002353F6" w:rsidP="002353F6">
      <w:pPr>
        <w:spacing w:line="480" w:lineRule="auto"/>
        <w:jc w:val="both"/>
        <w:rPr>
          <w:rFonts w:ascii="Arial" w:hAnsi="Arial" w:cs="Arial"/>
          <w:sz w:val="20"/>
          <w:szCs w:val="20"/>
        </w:rPr>
      </w:pPr>
    </w:p>
    <w:p w14:paraId="0528A4FE" w14:textId="3BABE9FA" w:rsidR="002353F6" w:rsidRDefault="002353F6" w:rsidP="002353F6">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deceased, had he not been involved in the accident, he would have been alive and able to continue to main the plaintiffs.</w:t>
      </w:r>
      <w:r w:rsidR="000E46AD">
        <w:rPr>
          <w:rFonts w:ascii="Arial" w:hAnsi="Arial" w:cs="Arial"/>
          <w:sz w:val="24"/>
          <w:szCs w:val="24"/>
        </w:rPr>
        <w:t xml:space="preserve"> </w:t>
      </w:r>
      <w:r w:rsidR="00974F0D">
        <w:rPr>
          <w:rFonts w:ascii="Arial" w:hAnsi="Arial" w:cs="Arial"/>
          <w:sz w:val="24"/>
          <w:szCs w:val="24"/>
        </w:rPr>
        <w:t xml:space="preserve"> Therefore “but for” the injury, h</w:t>
      </w:r>
      <w:r w:rsidR="00B56EEC">
        <w:rPr>
          <w:rFonts w:ascii="Arial" w:hAnsi="Arial" w:cs="Arial"/>
          <w:sz w:val="24"/>
          <w:szCs w:val="24"/>
        </w:rPr>
        <w:t>e would</w:t>
      </w:r>
      <w:r w:rsidR="000E46AD">
        <w:rPr>
          <w:rFonts w:ascii="Arial" w:hAnsi="Arial" w:cs="Arial"/>
          <w:sz w:val="24"/>
          <w:szCs w:val="24"/>
        </w:rPr>
        <w:t xml:space="preserve"> not</w:t>
      </w:r>
      <w:r w:rsidR="00974F0D">
        <w:rPr>
          <w:rFonts w:ascii="Arial" w:hAnsi="Arial" w:cs="Arial"/>
          <w:sz w:val="24"/>
          <w:szCs w:val="24"/>
        </w:rPr>
        <w:t xml:space="preserve"> have</w:t>
      </w:r>
      <w:r w:rsidR="000E46AD">
        <w:rPr>
          <w:rFonts w:ascii="Arial" w:hAnsi="Arial" w:cs="Arial"/>
          <w:sz w:val="24"/>
          <w:szCs w:val="24"/>
        </w:rPr>
        <w:t xml:space="preserve"> died.</w:t>
      </w:r>
      <w:r>
        <w:rPr>
          <w:rFonts w:ascii="Arial" w:hAnsi="Arial" w:cs="Arial"/>
          <w:sz w:val="24"/>
          <w:szCs w:val="24"/>
        </w:rPr>
        <w:t xml:space="preserve">  It has been conceded by the defendant that the insured unidentified driver was negligent hence the accident occurred.  The negligent, wrongful act of the </w:t>
      </w:r>
      <w:r>
        <w:rPr>
          <w:rFonts w:ascii="Arial" w:hAnsi="Arial" w:cs="Arial"/>
          <w:sz w:val="24"/>
          <w:szCs w:val="24"/>
        </w:rPr>
        <w:lastRenderedPageBreak/>
        <w:t>insured driver led to the accident that eventually caused the injury which is</w:t>
      </w:r>
      <w:r w:rsidR="000E46AD">
        <w:rPr>
          <w:rFonts w:ascii="Arial" w:hAnsi="Arial" w:cs="Arial"/>
          <w:sz w:val="24"/>
          <w:szCs w:val="24"/>
        </w:rPr>
        <w:t xml:space="preserve"> the</w:t>
      </w:r>
      <w:r>
        <w:rPr>
          <w:rFonts w:ascii="Arial" w:hAnsi="Arial" w:cs="Arial"/>
          <w:sz w:val="24"/>
          <w:szCs w:val="24"/>
        </w:rPr>
        <w:t xml:space="preserve"> cause of the death of the deceased.  </w:t>
      </w:r>
    </w:p>
    <w:p w14:paraId="034E574E" w14:textId="77777777" w:rsidR="002353F6" w:rsidRDefault="002353F6" w:rsidP="002353F6">
      <w:pPr>
        <w:spacing w:line="480" w:lineRule="auto"/>
        <w:jc w:val="both"/>
        <w:rPr>
          <w:rFonts w:ascii="Arial" w:hAnsi="Arial" w:cs="Arial"/>
          <w:sz w:val="24"/>
          <w:szCs w:val="24"/>
        </w:rPr>
      </w:pPr>
    </w:p>
    <w:p w14:paraId="6F77F332" w14:textId="55747618" w:rsidR="00F50473" w:rsidRDefault="002353F6" w:rsidP="002353F6">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defendant submitted that the failure by the medical staff at both hospital</w:t>
      </w:r>
      <w:r w:rsidR="000E46AD">
        <w:rPr>
          <w:rFonts w:ascii="Arial" w:hAnsi="Arial" w:cs="Arial"/>
          <w:sz w:val="24"/>
          <w:szCs w:val="24"/>
        </w:rPr>
        <w:t>s</w:t>
      </w:r>
      <w:r>
        <w:rPr>
          <w:rFonts w:ascii="Arial" w:hAnsi="Arial" w:cs="Arial"/>
          <w:sz w:val="24"/>
          <w:szCs w:val="24"/>
        </w:rPr>
        <w:t xml:space="preserve"> to properly treat the deceased is the intervening factor which broke the chain of events that led </w:t>
      </w:r>
      <w:r w:rsidR="00F50473">
        <w:rPr>
          <w:rFonts w:ascii="Arial" w:hAnsi="Arial" w:cs="Arial"/>
          <w:sz w:val="24"/>
          <w:szCs w:val="24"/>
        </w:rPr>
        <w:t>to the death of the deceased.  In other words had the deceased received proper treatment, he would have</w:t>
      </w:r>
      <w:r w:rsidR="000E46AD">
        <w:rPr>
          <w:rFonts w:ascii="Arial" w:hAnsi="Arial" w:cs="Arial"/>
          <w:sz w:val="24"/>
          <w:szCs w:val="24"/>
        </w:rPr>
        <w:t xml:space="preserve"> recovered from</w:t>
      </w:r>
      <w:r w:rsidR="00F50473">
        <w:rPr>
          <w:rFonts w:ascii="Arial" w:hAnsi="Arial" w:cs="Arial"/>
          <w:sz w:val="24"/>
          <w:szCs w:val="24"/>
        </w:rPr>
        <w:t xml:space="preserve"> the injury that ultimately caused his demise.  In other words, the defendant argues that the lack of or the unskilled medical care the deceased</w:t>
      </w:r>
      <w:r w:rsidR="00B56EEC">
        <w:rPr>
          <w:rFonts w:ascii="Arial" w:hAnsi="Arial" w:cs="Arial"/>
          <w:sz w:val="24"/>
          <w:szCs w:val="24"/>
        </w:rPr>
        <w:t xml:space="preserve"> received</w:t>
      </w:r>
      <w:r w:rsidR="00F50473">
        <w:rPr>
          <w:rFonts w:ascii="Arial" w:hAnsi="Arial" w:cs="Arial"/>
          <w:sz w:val="24"/>
          <w:szCs w:val="24"/>
        </w:rPr>
        <w:t xml:space="preserve"> constitutes a </w:t>
      </w:r>
      <w:r w:rsidR="00F50473">
        <w:rPr>
          <w:rFonts w:ascii="Arial" w:hAnsi="Arial" w:cs="Arial"/>
          <w:i/>
          <w:sz w:val="24"/>
          <w:szCs w:val="24"/>
        </w:rPr>
        <w:t xml:space="preserve">novus actus interveniens </w:t>
      </w:r>
      <w:r w:rsidR="00F50473">
        <w:rPr>
          <w:rFonts w:ascii="Arial" w:hAnsi="Arial" w:cs="Arial"/>
          <w:sz w:val="24"/>
          <w:szCs w:val="24"/>
        </w:rPr>
        <w:t xml:space="preserve">i.e. an intervening factor which led or caused the death of the deceased.  </w:t>
      </w:r>
    </w:p>
    <w:p w14:paraId="67B9B748" w14:textId="77777777" w:rsidR="00F50473" w:rsidRDefault="00F50473" w:rsidP="002353F6">
      <w:pPr>
        <w:spacing w:line="480" w:lineRule="auto"/>
        <w:jc w:val="both"/>
        <w:rPr>
          <w:rFonts w:ascii="Arial" w:hAnsi="Arial" w:cs="Arial"/>
          <w:sz w:val="24"/>
          <w:szCs w:val="24"/>
        </w:rPr>
      </w:pPr>
    </w:p>
    <w:p w14:paraId="5AB92823" w14:textId="69366EB2" w:rsidR="003511BD" w:rsidRDefault="00F50473" w:rsidP="002353F6">
      <w:pPr>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D5D6B">
        <w:rPr>
          <w:rFonts w:ascii="Arial" w:hAnsi="Arial" w:cs="Arial"/>
          <w:sz w:val="24"/>
          <w:szCs w:val="24"/>
        </w:rPr>
        <w:t>Undoubtedly, the defendant is raising a special plea which has not been pleaded.  A special plea is a plea that raises some special defence that does not flow from the allegations in the</w:t>
      </w:r>
      <w:r w:rsidR="000E46AD">
        <w:rPr>
          <w:rFonts w:ascii="Arial" w:hAnsi="Arial" w:cs="Arial"/>
          <w:sz w:val="24"/>
          <w:szCs w:val="24"/>
        </w:rPr>
        <w:t xml:space="preserve"> particulars of</w:t>
      </w:r>
      <w:r w:rsidR="003D5D6B">
        <w:rPr>
          <w:rFonts w:ascii="Arial" w:hAnsi="Arial" w:cs="Arial"/>
          <w:sz w:val="24"/>
          <w:szCs w:val="24"/>
        </w:rPr>
        <w:t xml:space="preserve"> claim</w:t>
      </w:r>
      <w:r>
        <w:rPr>
          <w:rFonts w:ascii="Arial" w:hAnsi="Arial" w:cs="Arial"/>
          <w:sz w:val="24"/>
          <w:szCs w:val="24"/>
        </w:rPr>
        <w:t xml:space="preserve"> </w:t>
      </w:r>
      <w:r w:rsidR="003D5D6B">
        <w:rPr>
          <w:rFonts w:ascii="Arial" w:hAnsi="Arial" w:cs="Arial"/>
          <w:sz w:val="24"/>
          <w:szCs w:val="24"/>
        </w:rPr>
        <w:t xml:space="preserve">and destroys or postpones the operation of the cause of action and </w:t>
      </w:r>
      <w:r w:rsidR="000E46AD">
        <w:rPr>
          <w:rFonts w:ascii="Arial" w:hAnsi="Arial" w:cs="Arial"/>
          <w:sz w:val="24"/>
          <w:szCs w:val="24"/>
        </w:rPr>
        <w:t>it</w:t>
      </w:r>
      <w:r w:rsidR="003D5D6B">
        <w:rPr>
          <w:rFonts w:ascii="Arial" w:hAnsi="Arial" w:cs="Arial"/>
          <w:sz w:val="24"/>
          <w:szCs w:val="24"/>
        </w:rPr>
        <w:t xml:space="preserve"> usually precedes the response in the plea to the claim (i.e. plea over)</w:t>
      </w:r>
      <w:r w:rsidR="003D5D6B">
        <w:rPr>
          <w:rStyle w:val="FootnoteReference"/>
          <w:rFonts w:ascii="Arial" w:hAnsi="Arial" w:cs="Arial"/>
          <w:sz w:val="24"/>
          <w:szCs w:val="24"/>
        </w:rPr>
        <w:footnoteReference w:id="5"/>
      </w:r>
      <w:r w:rsidR="003D5D6B">
        <w:rPr>
          <w:rFonts w:ascii="Arial" w:hAnsi="Arial" w:cs="Arial"/>
          <w:sz w:val="24"/>
          <w:szCs w:val="24"/>
        </w:rPr>
        <w:t xml:space="preserve">.  A special plea raises a special defence apart from the merits of the case.  The defendant has not </w:t>
      </w:r>
      <w:r w:rsidR="00812A08">
        <w:rPr>
          <w:rFonts w:ascii="Arial" w:hAnsi="Arial" w:cs="Arial"/>
          <w:sz w:val="24"/>
          <w:szCs w:val="24"/>
        </w:rPr>
        <w:t xml:space="preserve">pleaded the defence of </w:t>
      </w:r>
      <w:r w:rsidR="00812A08">
        <w:rPr>
          <w:rFonts w:ascii="Arial" w:hAnsi="Arial" w:cs="Arial"/>
          <w:i/>
          <w:sz w:val="24"/>
          <w:szCs w:val="24"/>
        </w:rPr>
        <w:t xml:space="preserve">actus novus interveniens </w:t>
      </w:r>
      <w:r w:rsidR="00812A08">
        <w:rPr>
          <w:rFonts w:ascii="Arial" w:hAnsi="Arial" w:cs="Arial"/>
          <w:sz w:val="24"/>
          <w:szCs w:val="24"/>
        </w:rPr>
        <w:t>relied upon.  It raised the issue in cross-examination and in argument.  This procedure cannot be allowed.  A defendant who has missed his true defence, or who has learned of it only from the facts which appeared during the trial, must therefore raise the defence formally and have it placed on record.  If no amendment is made to the pleadings, the defence will as a general rule not be adjudicated upon</w:t>
      </w:r>
      <w:r w:rsidR="00812A08">
        <w:rPr>
          <w:rStyle w:val="FootnoteReference"/>
          <w:rFonts w:ascii="Arial" w:hAnsi="Arial" w:cs="Arial"/>
          <w:sz w:val="24"/>
          <w:szCs w:val="24"/>
        </w:rPr>
        <w:footnoteReference w:id="6"/>
      </w:r>
      <w:r w:rsidR="00812A08">
        <w:rPr>
          <w:rFonts w:ascii="Arial" w:hAnsi="Arial" w:cs="Arial"/>
          <w:sz w:val="24"/>
          <w:szCs w:val="24"/>
        </w:rPr>
        <w:t xml:space="preserve">.  The defendant </w:t>
      </w:r>
      <w:r w:rsidR="00812A08">
        <w:rPr>
          <w:rFonts w:ascii="Arial" w:hAnsi="Arial" w:cs="Arial"/>
          <w:sz w:val="24"/>
          <w:szCs w:val="24"/>
        </w:rPr>
        <w:lastRenderedPageBreak/>
        <w:t>has not followed the</w:t>
      </w:r>
      <w:r w:rsidR="000E46AD">
        <w:rPr>
          <w:rFonts w:ascii="Arial" w:hAnsi="Arial" w:cs="Arial"/>
          <w:sz w:val="24"/>
          <w:szCs w:val="24"/>
        </w:rPr>
        <w:t xml:space="preserve"> stated</w:t>
      </w:r>
      <w:r w:rsidR="00812A08">
        <w:rPr>
          <w:rFonts w:ascii="Arial" w:hAnsi="Arial" w:cs="Arial"/>
          <w:sz w:val="24"/>
          <w:szCs w:val="24"/>
        </w:rPr>
        <w:t xml:space="preserve"> procedure.  The plaintiffs correctly argued that had the defendant filed a special plea of this </w:t>
      </w:r>
      <w:r w:rsidR="003511BD">
        <w:rPr>
          <w:rFonts w:ascii="Arial" w:hAnsi="Arial" w:cs="Arial"/>
          <w:sz w:val="24"/>
          <w:szCs w:val="24"/>
        </w:rPr>
        <w:t>ilk, they would have sought a joinder of the entities now blamed by the defendant as responsible for the death of the deceased.</w:t>
      </w:r>
    </w:p>
    <w:p w14:paraId="0C459E89" w14:textId="77777777" w:rsidR="003511BD" w:rsidRDefault="003511BD" w:rsidP="002353F6">
      <w:pPr>
        <w:spacing w:line="480" w:lineRule="auto"/>
        <w:jc w:val="both"/>
        <w:rPr>
          <w:rFonts w:ascii="Arial" w:hAnsi="Arial" w:cs="Arial"/>
          <w:sz w:val="24"/>
          <w:szCs w:val="24"/>
        </w:rPr>
      </w:pPr>
    </w:p>
    <w:p w14:paraId="65DF9CBF" w14:textId="40A6FC9E" w:rsidR="00CF210C" w:rsidRDefault="003511BD" w:rsidP="002353F6">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any event even if the plaintiff would have sought the amendment and filed a special plea, now relied upon, it would not have succeeded in its special plea.  I say so because the cause of action relied upon by the plaintiffs is that the deceased died as a direct consequence of the skull base fracture which was as a result of the negligent driving of the insured or </w:t>
      </w:r>
      <w:r w:rsidR="000E46AD">
        <w:rPr>
          <w:rFonts w:ascii="Arial" w:hAnsi="Arial" w:cs="Arial"/>
          <w:sz w:val="24"/>
          <w:szCs w:val="24"/>
        </w:rPr>
        <w:t>unidentified</w:t>
      </w:r>
      <w:r>
        <w:rPr>
          <w:rFonts w:ascii="Arial" w:hAnsi="Arial" w:cs="Arial"/>
          <w:sz w:val="24"/>
          <w:szCs w:val="24"/>
        </w:rPr>
        <w:t xml:space="preserve"> driver.  As the plaintiffs submitted, the treatment or lack thereof did not cause the death of the deceased.  He died in the same manner and from the same injury as he would have died had he not been taken to hospital.</w:t>
      </w:r>
      <w:r w:rsidR="00152F76">
        <w:rPr>
          <w:rFonts w:ascii="Arial" w:hAnsi="Arial" w:cs="Arial"/>
          <w:sz w:val="24"/>
          <w:szCs w:val="24"/>
        </w:rPr>
        <w:t xml:space="preserve">  In hospital, the deceased was never treated for the injury that caused his death.  No act of </w:t>
      </w:r>
      <w:r w:rsidR="000E46AD">
        <w:rPr>
          <w:rFonts w:ascii="Arial" w:hAnsi="Arial" w:cs="Arial"/>
          <w:sz w:val="24"/>
          <w:szCs w:val="24"/>
        </w:rPr>
        <w:t>negligence</w:t>
      </w:r>
      <w:r w:rsidR="00152F76">
        <w:rPr>
          <w:rFonts w:ascii="Arial" w:hAnsi="Arial" w:cs="Arial"/>
          <w:sz w:val="24"/>
          <w:szCs w:val="24"/>
        </w:rPr>
        <w:t xml:space="preserve"> can be attributed to the medical staff in the form of what occurred in the </w:t>
      </w:r>
      <w:r w:rsidR="005B5917">
        <w:rPr>
          <w:rFonts w:ascii="Arial" w:hAnsi="Arial" w:cs="Arial"/>
          <w:sz w:val="24"/>
          <w:szCs w:val="24"/>
        </w:rPr>
        <w:t>decided cases</w:t>
      </w:r>
      <w:r w:rsidR="00152F76">
        <w:rPr>
          <w:rFonts w:ascii="Arial" w:hAnsi="Arial" w:cs="Arial"/>
          <w:sz w:val="24"/>
          <w:szCs w:val="24"/>
        </w:rPr>
        <w:t xml:space="preserve"> relied upon by the defendants.</w:t>
      </w:r>
      <w:r w:rsidR="005B5917">
        <w:rPr>
          <w:rFonts w:ascii="Arial" w:hAnsi="Arial" w:cs="Arial"/>
          <w:sz w:val="24"/>
          <w:szCs w:val="24"/>
        </w:rPr>
        <w:t xml:space="preserve">  I</w:t>
      </w:r>
      <w:r w:rsidR="00152F76">
        <w:rPr>
          <w:rFonts w:ascii="Arial" w:hAnsi="Arial" w:cs="Arial"/>
          <w:sz w:val="24"/>
          <w:szCs w:val="24"/>
        </w:rPr>
        <w:t xml:space="preserve">n </w:t>
      </w:r>
      <w:r w:rsidR="00152F76">
        <w:rPr>
          <w:rFonts w:ascii="Arial" w:hAnsi="Arial" w:cs="Arial"/>
          <w:i/>
          <w:sz w:val="24"/>
          <w:szCs w:val="24"/>
        </w:rPr>
        <w:t>Mkhitha v Road Accident Fund</w:t>
      </w:r>
      <w:r w:rsidR="00152F76">
        <w:rPr>
          <w:rStyle w:val="FootnoteReference"/>
          <w:rFonts w:ascii="Arial" w:hAnsi="Arial" w:cs="Arial"/>
          <w:i/>
          <w:sz w:val="24"/>
          <w:szCs w:val="24"/>
        </w:rPr>
        <w:footnoteReference w:id="7"/>
      </w:r>
      <w:r w:rsidR="005B5917">
        <w:rPr>
          <w:rFonts w:ascii="Arial" w:hAnsi="Arial" w:cs="Arial"/>
          <w:sz w:val="24"/>
          <w:szCs w:val="24"/>
        </w:rPr>
        <w:t>,</w:t>
      </w:r>
      <w:r w:rsidR="00152F76">
        <w:rPr>
          <w:rFonts w:ascii="Arial" w:hAnsi="Arial" w:cs="Arial"/>
          <w:sz w:val="24"/>
          <w:szCs w:val="24"/>
        </w:rPr>
        <w:t xml:space="preserve"> the </w:t>
      </w:r>
      <w:r w:rsidR="00152F76">
        <w:rPr>
          <w:rFonts w:ascii="Arial" w:hAnsi="Arial" w:cs="Arial"/>
          <w:i/>
          <w:sz w:val="24"/>
          <w:szCs w:val="24"/>
        </w:rPr>
        <w:t xml:space="preserve">actus novus </w:t>
      </w:r>
      <w:r w:rsidR="00152F76" w:rsidRPr="005B5917">
        <w:rPr>
          <w:rFonts w:ascii="Arial" w:hAnsi="Arial" w:cs="Arial"/>
          <w:iCs/>
          <w:sz w:val="24"/>
          <w:szCs w:val="24"/>
        </w:rPr>
        <w:t>interveniens</w:t>
      </w:r>
      <w:r w:rsidR="00152F76">
        <w:rPr>
          <w:rFonts w:ascii="Arial" w:hAnsi="Arial" w:cs="Arial"/>
          <w:sz w:val="24"/>
          <w:szCs w:val="24"/>
        </w:rPr>
        <w:t xml:space="preserve"> was as </w:t>
      </w:r>
      <w:r w:rsidR="00CF210C">
        <w:rPr>
          <w:rFonts w:ascii="Arial" w:hAnsi="Arial" w:cs="Arial"/>
          <w:sz w:val="24"/>
          <w:szCs w:val="24"/>
        </w:rPr>
        <w:t>a result of the conduct of the orthopaedic surgeon to an extent that the court reasoned:</w:t>
      </w:r>
    </w:p>
    <w:p w14:paraId="4E8D4751" w14:textId="5F244818" w:rsidR="00060596" w:rsidRDefault="00CF210C" w:rsidP="00060596">
      <w:pPr>
        <w:spacing w:line="480" w:lineRule="auto"/>
        <w:ind w:left="720"/>
        <w:jc w:val="both"/>
        <w:rPr>
          <w:rFonts w:ascii="Arial" w:hAnsi="Arial" w:cs="Arial"/>
          <w:sz w:val="20"/>
          <w:szCs w:val="20"/>
        </w:rPr>
      </w:pPr>
      <w:r w:rsidRPr="00060596">
        <w:rPr>
          <w:rFonts w:ascii="Arial" w:hAnsi="Arial" w:cs="Arial"/>
          <w:sz w:val="20"/>
          <w:szCs w:val="20"/>
        </w:rPr>
        <w:t>“It is accepted from the uncontroverted testimon</w:t>
      </w:r>
      <w:r w:rsidR="005B5917">
        <w:rPr>
          <w:rFonts w:ascii="Arial" w:hAnsi="Arial" w:cs="Arial"/>
          <w:sz w:val="20"/>
          <w:szCs w:val="20"/>
        </w:rPr>
        <w:t>e</w:t>
      </w:r>
      <w:r w:rsidRPr="00060596">
        <w:rPr>
          <w:rFonts w:ascii="Arial" w:hAnsi="Arial" w:cs="Arial"/>
          <w:sz w:val="20"/>
          <w:szCs w:val="20"/>
        </w:rPr>
        <w:t>y (</w:t>
      </w:r>
      <w:r w:rsidRPr="00060596">
        <w:rPr>
          <w:rFonts w:ascii="Arial" w:hAnsi="Arial" w:cs="Arial"/>
          <w:i/>
          <w:sz w:val="20"/>
          <w:szCs w:val="20"/>
        </w:rPr>
        <w:t>sic</w:t>
      </w:r>
      <w:r w:rsidR="00136E53">
        <w:rPr>
          <w:rFonts w:ascii="Arial" w:hAnsi="Arial" w:cs="Arial"/>
          <w:sz w:val="20"/>
          <w:szCs w:val="20"/>
        </w:rPr>
        <w:t>) of the P</w:t>
      </w:r>
      <w:r w:rsidRPr="00060596">
        <w:rPr>
          <w:rFonts w:ascii="Arial" w:hAnsi="Arial" w:cs="Arial"/>
          <w:sz w:val="20"/>
          <w:szCs w:val="20"/>
        </w:rPr>
        <w:t>laintiff’s expert that the present sequelae would not have resulted from</w:t>
      </w:r>
      <w:r w:rsidR="00136E53">
        <w:rPr>
          <w:rFonts w:ascii="Arial" w:hAnsi="Arial" w:cs="Arial"/>
          <w:sz w:val="20"/>
          <w:szCs w:val="20"/>
        </w:rPr>
        <w:t xml:space="preserve"> the injuries sustained if the P</w:t>
      </w:r>
      <w:r w:rsidRPr="00060596">
        <w:rPr>
          <w:rFonts w:ascii="Arial" w:hAnsi="Arial" w:cs="Arial"/>
          <w:sz w:val="20"/>
          <w:szCs w:val="20"/>
        </w:rPr>
        <w:t xml:space="preserve">laintiff was properly treated and that the </w:t>
      </w:r>
      <w:r w:rsidRPr="00060596">
        <w:rPr>
          <w:rFonts w:ascii="Arial" w:hAnsi="Arial" w:cs="Arial"/>
          <w:sz w:val="20"/>
          <w:szCs w:val="20"/>
          <w:u w:val="single"/>
        </w:rPr>
        <w:t xml:space="preserve">sequelae of the injuries arose from what he termed sub-standard medical treatment intervention by the relevant or </w:t>
      </w:r>
      <w:r w:rsidR="00060596" w:rsidRPr="00060596">
        <w:rPr>
          <w:rFonts w:ascii="Arial" w:hAnsi="Arial" w:cs="Arial"/>
          <w:sz w:val="20"/>
          <w:szCs w:val="20"/>
          <w:u w:val="single"/>
        </w:rPr>
        <w:t>ortho</w:t>
      </w:r>
      <w:r w:rsidR="00136E53">
        <w:rPr>
          <w:rFonts w:ascii="Arial" w:hAnsi="Arial" w:cs="Arial"/>
          <w:sz w:val="20"/>
          <w:szCs w:val="20"/>
          <w:u w:val="single"/>
        </w:rPr>
        <w:t>paedic surgeon who treated the P</w:t>
      </w:r>
      <w:r w:rsidR="00060596" w:rsidRPr="00060596">
        <w:rPr>
          <w:rFonts w:ascii="Arial" w:hAnsi="Arial" w:cs="Arial"/>
          <w:sz w:val="20"/>
          <w:szCs w:val="20"/>
          <w:u w:val="single"/>
        </w:rPr>
        <w:t>laintiff</w:t>
      </w:r>
      <w:r w:rsidR="00060596" w:rsidRPr="00060596">
        <w:rPr>
          <w:rFonts w:ascii="Arial" w:hAnsi="Arial" w:cs="Arial"/>
          <w:sz w:val="20"/>
          <w:szCs w:val="20"/>
        </w:rPr>
        <w:t>.</w:t>
      </w:r>
      <w:r w:rsidR="005B5917">
        <w:rPr>
          <w:rFonts w:ascii="Arial" w:hAnsi="Arial" w:cs="Arial"/>
          <w:sz w:val="20"/>
          <w:szCs w:val="20"/>
        </w:rPr>
        <w:t xml:space="preserve">  </w:t>
      </w:r>
      <w:r w:rsidR="00060596">
        <w:rPr>
          <w:rFonts w:ascii="Arial" w:hAnsi="Arial" w:cs="Arial"/>
          <w:sz w:val="20"/>
          <w:szCs w:val="20"/>
        </w:rPr>
        <w:t>(Emphasis added).</w:t>
      </w:r>
    </w:p>
    <w:p w14:paraId="1CF5D8E7" w14:textId="02C30A29" w:rsidR="00152F76" w:rsidRDefault="00060596" w:rsidP="00060596">
      <w:pPr>
        <w:spacing w:line="480" w:lineRule="auto"/>
        <w:jc w:val="both"/>
        <w:rPr>
          <w:rFonts w:ascii="Arial" w:hAnsi="Arial" w:cs="Arial"/>
          <w:sz w:val="24"/>
          <w:szCs w:val="24"/>
        </w:rPr>
      </w:pPr>
      <w:r>
        <w:rPr>
          <w:rFonts w:ascii="Arial" w:hAnsi="Arial" w:cs="Arial"/>
          <w:sz w:val="24"/>
          <w:szCs w:val="24"/>
        </w:rPr>
        <w:lastRenderedPageBreak/>
        <w:t>Th</w:t>
      </w:r>
      <w:r w:rsidR="005B5917">
        <w:rPr>
          <w:rFonts w:ascii="Arial" w:hAnsi="Arial" w:cs="Arial"/>
          <w:sz w:val="24"/>
          <w:szCs w:val="24"/>
        </w:rPr>
        <w:t>e</w:t>
      </w:r>
      <w:r>
        <w:rPr>
          <w:rFonts w:ascii="Arial" w:hAnsi="Arial" w:cs="Arial"/>
          <w:sz w:val="24"/>
          <w:szCs w:val="24"/>
        </w:rPr>
        <w:t xml:space="preserve"> fact</w:t>
      </w:r>
      <w:r w:rsidR="005B5917">
        <w:rPr>
          <w:rFonts w:ascii="Arial" w:hAnsi="Arial" w:cs="Arial"/>
          <w:sz w:val="24"/>
          <w:szCs w:val="24"/>
        </w:rPr>
        <w:t>s</w:t>
      </w:r>
      <w:r>
        <w:rPr>
          <w:rFonts w:ascii="Arial" w:hAnsi="Arial" w:cs="Arial"/>
          <w:sz w:val="24"/>
          <w:szCs w:val="24"/>
        </w:rPr>
        <w:t xml:space="preserve"> of this case are therefore distinguishable </w:t>
      </w:r>
      <w:r w:rsidR="005B5917">
        <w:rPr>
          <w:rFonts w:ascii="Arial" w:hAnsi="Arial" w:cs="Arial"/>
          <w:sz w:val="24"/>
          <w:szCs w:val="24"/>
        </w:rPr>
        <w:t>from</w:t>
      </w:r>
      <w:r>
        <w:rPr>
          <w:rFonts w:ascii="Arial" w:hAnsi="Arial" w:cs="Arial"/>
          <w:sz w:val="24"/>
          <w:szCs w:val="24"/>
        </w:rPr>
        <w:t xml:space="preserve"> the </w:t>
      </w:r>
      <w:r>
        <w:rPr>
          <w:rFonts w:ascii="Arial" w:hAnsi="Arial" w:cs="Arial"/>
          <w:i/>
          <w:sz w:val="24"/>
          <w:szCs w:val="24"/>
        </w:rPr>
        <w:t xml:space="preserve">Mkhitha </w:t>
      </w:r>
      <w:r>
        <w:rPr>
          <w:rFonts w:ascii="Arial" w:hAnsi="Arial" w:cs="Arial"/>
          <w:sz w:val="24"/>
          <w:szCs w:val="24"/>
        </w:rPr>
        <w:t xml:space="preserve">judgment.  </w:t>
      </w:r>
      <w:r w:rsidR="003511BD">
        <w:rPr>
          <w:rFonts w:ascii="Arial" w:hAnsi="Arial" w:cs="Arial"/>
          <w:sz w:val="24"/>
          <w:szCs w:val="24"/>
        </w:rPr>
        <w:t xml:space="preserve">Though in a criminal context, the following dictum by Williamson JA, in </w:t>
      </w:r>
      <w:r w:rsidR="00152F76">
        <w:rPr>
          <w:rFonts w:ascii="Arial" w:hAnsi="Arial" w:cs="Arial"/>
          <w:i/>
          <w:sz w:val="24"/>
          <w:szCs w:val="24"/>
        </w:rPr>
        <w:t>S v Mini</w:t>
      </w:r>
      <w:r w:rsidR="00152F76">
        <w:rPr>
          <w:rStyle w:val="FootnoteReference"/>
          <w:rFonts w:ascii="Arial" w:hAnsi="Arial" w:cs="Arial"/>
          <w:i/>
          <w:sz w:val="24"/>
          <w:szCs w:val="24"/>
        </w:rPr>
        <w:footnoteReference w:id="8"/>
      </w:r>
      <w:r w:rsidR="00152F76">
        <w:rPr>
          <w:rFonts w:ascii="Arial" w:hAnsi="Arial" w:cs="Arial"/>
          <w:sz w:val="24"/>
          <w:szCs w:val="24"/>
        </w:rPr>
        <w:t xml:space="preserve"> is applicable in this matter:</w:t>
      </w:r>
    </w:p>
    <w:p w14:paraId="1E8ECDAB" w14:textId="5DA7D340" w:rsidR="00223F3C" w:rsidRDefault="00060596" w:rsidP="00223F3C">
      <w:pPr>
        <w:spacing w:line="480" w:lineRule="auto"/>
        <w:ind w:left="720"/>
        <w:jc w:val="both"/>
        <w:rPr>
          <w:rFonts w:ascii="Arial" w:hAnsi="Arial" w:cs="Arial"/>
          <w:sz w:val="20"/>
          <w:szCs w:val="20"/>
        </w:rPr>
      </w:pPr>
      <w:r>
        <w:rPr>
          <w:rFonts w:ascii="Arial" w:hAnsi="Arial" w:cs="Arial"/>
          <w:sz w:val="20"/>
          <w:szCs w:val="20"/>
        </w:rPr>
        <w:t>“I have read the judgment prepared in this matter by my Brother Hoex</w:t>
      </w:r>
      <w:r w:rsidR="00223F3C">
        <w:rPr>
          <w:rFonts w:ascii="Arial" w:hAnsi="Arial" w:cs="Arial"/>
          <w:sz w:val="20"/>
          <w:szCs w:val="20"/>
        </w:rPr>
        <w:t>te</w:t>
      </w:r>
      <w:r w:rsidR="005B5917">
        <w:rPr>
          <w:rFonts w:ascii="Arial" w:hAnsi="Arial" w:cs="Arial"/>
          <w:sz w:val="20"/>
          <w:szCs w:val="20"/>
        </w:rPr>
        <w:t>r</w:t>
      </w:r>
      <w:r w:rsidR="00223F3C">
        <w:rPr>
          <w:rFonts w:ascii="Arial" w:hAnsi="Arial" w:cs="Arial"/>
          <w:sz w:val="20"/>
          <w:szCs w:val="20"/>
        </w:rPr>
        <w:t xml:space="preserve"> and I agree that on the evidence it does not appear that any fresh cause of death was introduced by the medical treatment received by the deceased.  In the circumstances it must be held that the stab wound inflicted by the appellant caused the death of the deceased”. </w:t>
      </w:r>
    </w:p>
    <w:p w14:paraId="6774D1FD" w14:textId="77777777" w:rsidR="00223F3C" w:rsidRDefault="00223F3C" w:rsidP="00223F3C">
      <w:pPr>
        <w:spacing w:line="480" w:lineRule="auto"/>
        <w:jc w:val="both"/>
        <w:rPr>
          <w:rFonts w:ascii="Arial" w:hAnsi="Arial" w:cs="Arial"/>
          <w:sz w:val="20"/>
          <w:szCs w:val="20"/>
        </w:rPr>
      </w:pPr>
    </w:p>
    <w:p w14:paraId="07A8D1F2" w14:textId="0B44BC00" w:rsidR="00223F3C" w:rsidRDefault="007E77AC" w:rsidP="00223F3C">
      <w:pPr>
        <w:spacing w:line="480" w:lineRule="auto"/>
        <w:jc w:val="both"/>
        <w:rPr>
          <w:rFonts w:ascii="Arial" w:hAnsi="Arial" w:cs="Arial"/>
          <w:sz w:val="24"/>
          <w:szCs w:val="24"/>
        </w:rPr>
      </w:pPr>
      <w:r>
        <w:rPr>
          <w:rFonts w:ascii="Arial" w:hAnsi="Arial" w:cs="Arial"/>
          <w:sz w:val="24"/>
          <w:szCs w:val="24"/>
        </w:rPr>
        <w:t>[15</w:t>
      </w:r>
      <w:r w:rsidR="00223F3C">
        <w:rPr>
          <w:rFonts w:ascii="Arial" w:hAnsi="Arial" w:cs="Arial"/>
          <w:sz w:val="24"/>
          <w:szCs w:val="24"/>
        </w:rPr>
        <w:t>]</w:t>
      </w:r>
      <w:r w:rsidR="00223F3C">
        <w:rPr>
          <w:rFonts w:ascii="Arial" w:hAnsi="Arial" w:cs="Arial"/>
          <w:sz w:val="24"/>
          <w:szCs w:val="24"/>
        </w:rPr>
        <w:tab/>
        <w:t xml:space="preserve">In the same breath, the </w:t>
      </w:r>
      <w:r w:rsidR="005B5917">
        <w:rPr>
          <w:rFonts w:ascii="Arial" w:hAnsi="Arial" w:cs="Arial"/>
          <w:sz w:val="24"/>
          <w:szCs w:val="24"/>
        </w:rPr>
        <w:t>lack</w:t>
      </w:r>
      <w:r w:rsidR="00223F3C">
        <w:rPr>
          <w:rFonts w:ascii="Arial" w:hAnsi="Arial" w:cs="Arial"/>
          <w:sz w:val="24"/>
          <w:szCs w:val="24"/>
        </w:rPr>
        <w:t xml:space="preserve"> of medical treatment by the medical staff is not a fresh cause of death.  The deceased would have died anyway from the injury even if he had not been taken to the hospital according to Dr Swartz.</w:t>
      </w:r>
    </w:p>
    <w:p w14:paraId="728AEE21" w14:textId="77777777" w:rsidR="00223F3C" w:rsidRDefault="00223F3C" w:rsidP="00223F3C">
      <w:pPr>
        <w:spacing w:line="480" w:lineRule="auto"/>
        <w:jc w:val="both"/>
        <w:rPr>
          <w:rFonts w:ascii="Arial" w:hAnsi="Arial" w:cs="Arial"/>
          <w:sz w:val="24"/>
          <w:szCs w:val="24"/>
        </w:rPr>
      </w:pPr>
    </w:p>
    <w:p w14:paraId="56DE5130" w14:textId="77777777" w:rsidR="00223F3C" w:rsidRDefault="007E77AC" w:rsidP="00223F3C">
      <w:pPr>
        <w:spacing w:line="480" w:lineRule="auto"/>
        <w:jc w:val="both"/>
        <w:rPr>
          <w:rFonts w:ascii="Arial" w:hAnsi="Arial" w:cs="Arial"/>
          <w:b/>
          <w:sz w:val="24"/>
          <w:szCs w:val="24"/>
        </w:rPr>
      </w:pPr>
      <w:r>
        <w:rPr>
          <w:rFonts w:ascii="Arial" w:hAnsi="Arial" w:cs="Arial"/>
          <w:b/>
          <w:sz w:val="24"/>
          <w:szCs w:val="24"/>
        </w:rPr>
        <w:t>E</w:t>
      </w:r>
      <w:r w:rsidR="00223F3C">
        <w:rPr>
          <w:rFonts w:ascii="Arial" w:hAnsi="Arial" w:cs="Arial"/>
          <w:b/>
          <w:sz w:val="24"/>
          <w:szCs w:val="24"/>
        </w:rPr>
        <w:t>.</w:t>
      </w:r>
      <w:r w:rsidR="00223F3C">
        <w:rPr>
          <w:rFonts w:ascii="Arial" w:hAnsi="Arial" w:cs="Arial"/>
          <w:b/>
          <w:sz w:val="24"/>
          <w:szCs w:val="24"/>
        </w:rPr>
        <w:tab/>
      </w:r>
      <w:r w:rsidR="00223F3C">
        <w:rPr>
          <w:rFonts w:ascii="Arial" w:hAnsi="Arial" w:cs="Arial"/>
          <w:b/>
          <w:sz w:val="24"/>
          <w:szCs w:val="24"/>
          <w:u w:val="single"/>
        </w:rPr>
        <w:t>Damages</w:t>
      </w:r>
      <w:r w:rsidR="00223F3C">
        <w:rPr>
          <w:rFonts w:ascii="Arial" w:hAnsi="Arial" w:cs="Arial"/>
          <w:b/>
          <w:sz w:val="24"/>
          <w:szCs w:val="24"/>
        </w:rPr>
        <w:t>:</w:t>
      </w:r>
    </w:p>
    <w:p w14:paraId="29DD792D" w14:textId="634A999C" w:rsidR="005E0A50" w:rsidRDefault="007E77AC" w:rsidP="00223F3C">
      <w:pPr>
        <w:spacing w:line="480" w:lineRule="auto"/>
        <w:jc w:val="both"/>
        <w:rPr>
          <w:rFonts w:ascii="Arial" w:hAnsi="Arial" w:cs="Arial"/>
          <w:sz w:val="24"/>
          <w:szCs w:val="24"/>
        </w:rPr>
      </w:pPr>
      <w:r>
        <w:rPr>
          <w:rFonts w:ascii="Arial" w:hAnsi="Arial" w:cs="Arial"/>
          <w:sz w:val="24"/>
          <w:szCs w:val="24"/>
        </w:rPr>
        <w:t>[16</w:t>
      </w:r>
      <w:r w:rsidR="00223F3C">
        <w:rPr>
          <w:rFonts w:ascii="Arial" w:hAnsi="Arial" w:cs="Arial"/>
          <w:sz w:val="24"/>
          <w:szCs w:val="24"/>
        </w:rPr>
        <w:t>]</w:t>
      </w:r>
      <w:r w:rsidR="00223F3C">
        <w:rPr>
          <w:rFonts w:ascii="Arial" w:hAnsi="Arial" w:cs="Arial"/>
          <w:sz w:val="24"/>
          <w:szCs w:val="24"/>
        </w:rPr>
        <w:tab/>
      </w:r>
      <w:r w:rsidR="005E0A50">
        <w:rPr>
          <w:rFonts w:ascii="Arial" w:hAnsi="Arial" w:cs="Arial"/>
          <w:sz w:val="24"/>
          <w:szCs w:val="24"/>
        </w:rPr>
        <w:t>The evidence that the deceased was working is contained in Exhibit A</w:t>
      </w:r>
      <w:r w:rsidR="005B5917">
        <w:rPr>
          <w:rFonts w:ascii="Arial" w:hAnsi="Arial" w:cs="Arial"/>
          <w:sz w:val="24"/>
          <w:szCs w:val="24"/>
        </w:rPr>
        <w:t>,</w:t>
      </w:r>
      <w:r w:rsidR="005E0A50">
        <w:rPr>
          <w:rFonts w:ascii="Arial" w:hAnsi="Arial" w:cs="Arial"/>
          <w:sz w:val="24"/>
          <w:szCs w:val="24"/>
        </w:rPr>
        <w:t xml:space="preserve"> which is the employment questionnaire.  Furthermore, the uncontroverted evidence is that of Nomakaya which states that he earned an amount of R 3000.00 per month and the actuarial report is premised on that amount and it excluded the R 4500.00 which was for overtime.  The defendant did not present evidence to gainsay Nomakaya’s testimony and I see no basis for the application of contingencies as submitted by the defendant.  The plaintiff, through the actuarial reports, has established the damages she has sustained as a result of the accident.  The funeral expenses have be</w:t>
      </w:r>
      <w:r w:rsidR="005B5917">
        <w:rPr>
          <w:rFonts w:ascii="Arial" w:hAnsi="Arial" w:cs="Arial"/>
          <w:sz w:val="24"/>
          <w:szCs w:val="24"/>
        </w:rPr>
        <w:t>en</w:t>
      </w:r>
      <w:r w:rsidR="005E0A50">
        <w:rPr>
          <w:rFonts w:ascii="Arial" w:hAnsi="Arial" w:cs="Arial"/>
          <w:sz w:val="24"/>
          <w:szCs w:val="24"/>
        </w:rPr>
        <w:t xml:space="preserve"> proved by the submission of an invoice from the Funeral Parlour which burie</w:t>
      </w:r>
      <w:r w:rsidR="005B5917">
        <w:rPr>
          <w:rFonts w:ascii="Arial" w:hAnsi="Arial" w:cs="Arial"/>
          <w:sz w:val="24"/>
          <w:szCs w:val="24"/>
        </w:rPr>
        <w:t>d</w:t>
      </w:r>
      <w:r w:rsidR="005E0A50">
        <w:rPr>
          <w:rFonts w:ascii="Arial" w:hAnsi="Arial" w:cs="Arial"/>
          <w:sz w:val="24"/>
          <w:szCs w:val="24"/>
        </w:rPr>
        <w:t xml:space="preserve"> the deceased.</w:t>
      </w:r>
    </w:p>
    <w:p w14:paraId="3FF3DF05" w14:textId="09BFAB7F" w:rsidR="005B5917" w:rsidRDefault="005B5917" w:rsidP="00223F3C">
      <w:pPr>
        <w:spacing w:line="480" w:lineRule="auto"/>
        <w:jc w:val="both"/>
        <w:rPr>
          <w:rFonts w:ascii="Arial" w:hAnsi="Arial" w:cs="Arial"/>
          <w:sz w:val="24"/>
          <w:szCs w:val="24"/>
        </w:rPr>
      </w:pPr>
    </w:p>
    <w:p w14:paraId="1922D119" w14:textId="4048D2DE" w:rsidR="005B5917" w:rsidRDefault="005B5917" w:rsidP="00223F3C">
      <w:pPr>
        <w:spacing w:line="480" w:lineRule="auto"/>
        <w:jc w:val="both"/>
        <w:rPr>
          <w:rFonts w:ascii="Arial" w:hAnsi="Arial" w:cs="Arial"/>
          <w:b/>
          <w:bCs/>
          <w:sz w:val="24"/>
          <w:szCs w:val="24"/>
        </w:rPr>
      </w:pPr>
      <w:r>
        <w:rPr>
          <w:rFonts w:ascii="Arial" w:hAnsi="Arial" w:cs="Arial"/>
          <w:b/>
          <w:bCs/>
          <w:sz w:val="24"/>
          <w:szCs w:val="24"/>
        </w:rPr>
        <w:t>F.</w:t>
      </w:r>
      <w:r>
        <w:rPr>
          <w:rFonts w:ascii="Arial" w:hAnsi="Arial" w:cs="Arial"/>
          <w:b/>
          <w:bCs/>
          <w:sz w:val="24"/>
          <w:szCs w:val="24"/>
        </w:rPr>
        <w:tab/>
      </w:r>
      <w:r>
        <w:rPr>
          <w:rFonts w:ascii="Arial" w:hAnsi="Arial" w:cs="Arial"/>
          <w:b/>
          <w:bCs/>
          <w:sz w:val="24"/>
          <w:szCs w:val="24"/>
          <w:u w:val="single"/>
        </w:rPr>
        <w:t>Costs</w:t>
      </w:r>
      <w:r>
        <w:rPr>
          <w:rFonts w:ascii="Arial" w:hAnsi="Arial" w:cs="Arial"/>
          <w:b/>
          <w:bCs/>
          <w:sz w:val="24"/>
          <w:szCs w:val="24"/>
        </w:rPr>
        <w:t>:</w:t>
      </w:r>
    </w:p>
    <w:p w14:paraId="5730D473" w14:textId="3DC4D27F" w:rsidR="005B5917" w:rsidRPr="005B5917" w:rsidRDefault="005B5917" w:rsidP="00223F3C">
      <w:pPr>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 see no need that the costs should not follow the result.  </w:t>
      </w:r>
    </w:p>
    <w:p w14:paraId="2CD43219" w14:textId="77777777" w:rsidR="005B5917" w:rsidRDefault="005B5917" w:rsidP="00223F3C">
      <w:pPr>
        <w:spacing w:line="480" w:lineRule="auto"/>
        <w:jc w:val="both"/>
        <w:rPr>
          <w:rFonts w:ascii="Arial" w:hAnsi="Arial" w:cs="Arial"/>
          <w:sz w:val="24"/>
          <w:szCs w:val="24"/>
        </w:rPr>
      </w:pPr>
    </w:p>
    <w:p w14:paraId="307E8BEA" w14:textId="0F21B6DC" w:rsidR="005E0A50" w:rsidRDefault="005E0A50" w:rsidP="00223F3C">
      <w:pPr>
        <w:spacing w:line="480" w:lineRule="auto"/>
        <w:jc w:val="both"/>
        <w:rPr>
          <w:rFonts w:ascii="Arial" w:hAnsi="Arial" w:cs="Arial"/>
          <w:sz w:val="24"/>
          <w:szCs w:val="24"/>
        </w:rPr>
      </w:pPr>
      <w:r>
        <w:rPr>
          <w:rFonts w:ascii="Arial" w:hAnsi="Arial" w:cs="Arial"/>
          <w:sz w:val="24"/>
          <w:szCs w:val="24"/>
        </w:rPr>
        <w:t>[1</w:t>
      </w:r>
      <w:r w:rsidR="005B5917">
        <w:rPr>
          <w:rFonts w:ascii="Arial" w:hAnsi="Arial" w:cs="Arial"/>
          <w:sz w:val="24"/>
          <w:szCs w:val="24"/>
        </w:rPr>
        <w:t>8</w:t>
      </w:r>
      <w:r>
        <w:rPr>
          <w:rFonts w:ascii="Arial" w:hAnsi="Arial" w:cs="Arial"/>
          <w:sz w:val="24"/>
          <w:szCs w:val="24"/>
        </w:rPr>
        <w:t>]</w:t>
      </w:r>
      <w:r>
        <w:rPr>
          <w:rFonts w:ascii="Arial" w:hAnsi="Arial" w:cs="Arial"/>
          <w:sz w:val="24"/>
          <w:szCs w:val="24"/>
        </w:rPr>
        <w:tab/>
        <w:t>Consequently, I make the following order.</w:t>
      </w:r>
    </w:p>
    <w:p w14:paraId="01CA5E50" w14:textId="777777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Defendant is liable to First Defendant in the sum of R607 735.00 for loss of maintenance and support and R3 685.00 for funeral expenses.</w:t>
      </w:r>
    </w:p>
    <w:p w14:paraId="4B90CF6B" w14:textId="777777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Defendant is liable to Second Plaintiff in the sum of R23 026.00.</w:t>
      </w:r>
    </w:p>
    <w:p w14:paraId="0D722A19" w14:textId="777777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Defendant is liable to Third Plaintiff in the sum of R87 924.00.</w:t>
      </w:r>
    </w:p>
    <w:p w14:paraId="6FC5AC9D" w14:textId="777777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That such amounts are to be paid to the Plaintiff’s within 18</w:t>
      </w:r>
      <w:r w:rsidR="007E77AC">
        <w:rPr>
          <w:rFonts w:ascii="Arial" w:hAnsi="Arial" w:cs="Arial"/>
          <w:sz w:val="24"/>
          <w:szCs w:val="24"/>
        </w:rPr>
        <w:t>0 calendar days from date of this</w:t>
      </w:r>
      <w:r>
        <w:rPr>
          <w:rFonts w:ascii="Arial" w:hAnsi="Arial" w:cs="Arial"/>
          <w:sz w:val="24"/>
          <w:szCs w:val="24"/>
        </w:rPr>
        <w:t xml:space="preserve"> Order.</w:t>
      </w:r>
    </w:p>
    <w:p w14:paraId="0D7BF155" w14:textId="7C5C90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t>The interest is to accrue on the said amounts at the legal rate of 7.75% per annum calculated as from 14 days from</w:t>
      </w:r>
      <w:r w:rsidR="005B5917">
        <w:rPr>
          <w:rFonts w:ascii="Arial" w:hAnsi="Arial" w:cs="Arial"/>
          <w:sz w:val="24"/>
          <w:szCs w:val="24"/>
        </w:rPr>
        <w:t xml:space="preserve"> the</w:t>
      </w:r>
      <w:r>
        <w:rPr>
          <w:rFonts w:ascii="Arial" w:hAnsi="Arial" w:cs="Arial"/>
          <w:sz w:val="24"/>
          <w:szCs w:val="24"/>
        </w:rPr>
        <w:t xml:space="preserve"> date of this Order until</w:t>
      </w:r>
      <w:r w:rsidR="005B5917">
        <w:rPr>
          <w:rFonts w:ascii="Arial" w:hAnsi="Arial" w:cs="Arial"/>
          <w:sz w:val="24"/>
          <w:szCs w:val="24"/>
        </w:rPr>
        <w:t xml:space="preserve"> the</w:t>
      </w:r>
      <w:r>
        <w:rPr>
          <w:rFonts w:ascii="Arial" w:hAnsi="Arial" w:cs="Arial"/>
          <w:sz w:val="24"/>
          <w:szCs w:val="24"/>
        </w:rPr>
        <w:t xml:space="preserve"> date of payment. </w:t>
      </w:r>
    </w:p>
    <w:p w14:paraId="66E60BBD" w14:textId="77777777" w:rsidR="00FF5244" w:rsidRDefault="00FF5244" w:rsidP="00FF5244">
      <w:pPr>
        <w:spacing w:line="480" w:lineRule="auto"/>
        <w:ind w:left="144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defendant is liable to Plaintiffs, for costs of suit, together with VAT thereon, as taxed, on the party and party scale.  Such costs to include:</w:t>
      </w:r>
    </w:p>
    <w:p w14:paraId="225D44E7" w14:textId="77777777" w:rsidR="00720946" w:rsidRDefault="00FF5244" w:rsidP="00FF5244">
      <w:pPr>
        <w:spacing w:line="480" w:lineRule="auto"/>
        <w:ind w:left="1440" w:hanging="720"/>
        <w:jc w:val="both"/>
        <w:rPr>
          <w:rFonts w:ascii="Arial" w:hAnsi="Arial" w:cs="Arial"/>
          <w:sz w:val="24"/>
          <w:szCs w:val="24"/>
        </w:rPr>
      </w:pPr>
      <w:r>
        <w:rPr>
          <w:rFonts w:ascii="Arial" w:hAnsi="Arial" w:cs="Arial"/>
          <w:sz w:val="24"/>
          <w:szCs w:val="24"/>
        </w:rPr>
        <w:tab/>
        <w:t>6.1</w:t>
      </w:r>
      <w:r>
        <w:rPr>
          <w:rFonts w:ascii="Arial" w:hAnsi="Arial" w:cs="Arial"/>
          <w:sz w:val="24"/>
          <w:szCs w:val="24"/>
        </w:rPr>
        <w:tab/>
        <w:t>The qualifying expenses, if any, of Mr Loots and Dr Swartz</w:t>
      </w:r>
      <w:r w:rsidR="00720946">
        <w:rPr>
          <w:rFonts w:ascii="Arial" w:hAnsi="Arial" w:cs="Arial"/>
          <w:sz w:val="24"/>
          <w:szCs w:val="24"/>
        </w:rPr>
        <w:t>;</w:t>
      </w:r>
    </w:p>
    <w:p w14:paraId="6F291354" w14:textId="77777777" w:rsidR="00720946" w:rsidRDefault="00720946" w:rsidP="00720946">
      <w:pPr>
        <w:spacing w:line="480" w:lineRule="auto"/>
        <w:ind w:left="2160" w:hanging="720"/>
        <w:jc w:val="both"/>
        <w:rPr>
          <w:rFonts w:ascii="Arial" w:hAnsi="Arial" w:cs="Arial"/>
          <w:sz w:val="24"/>
          <w:szCs w:val="24"/>
        </w:rPr>
      </w:pPr>
      <w:r>
        <w:rPr>
          <w:rFonts w:ascii="Arial" w:hAnsi="Arial" w:cs="Arial"/>
          <w:sz w:val="24"/>
          <w:szCs w:val="24"/>
        </w:rPr>
        <w:t>6.2</w:t>
      </w:r>
      <w:r>
        <w:rPr>
          <w:rFonts w:ascii="Arial" w:hAnsi="Arial" w:cs="Arial"/>
          <w:sz w:val="24"/>
          <w:szCs w:val="24"/>
        </w:rPr>
        <w:tab/>
        <w:t>The costs of Plaintiff’s counsel, including trial fees for the 2 days that the matter was on trial.</w:t>
      </w:r>
    </w:p>
    <w:p w14:paraId="15D76D50" w14:textId="77777777" w:rsidR="00720946" w:rsidRDefault="00720946" w:rsidP="00720946">
      <w:pPr>
        <w:spacing w:line="480" w:lineRule="auto"/>
        <w:ind w:left="2160" w:hanging="720"/>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The costs of the preparation of Heads of Argument and the costs of Plaintiff’s counsel in presenting further argument on 10 November 2022. </w:t>
      </w:r>
    </w:p>
    <w:p w14:paraId="048949D8" w14:textId="77777777" w:rsidR="00720946" w:rsidRDefault="00720946" w:rsidP="00720946">
      <w:pPr>
        <w:spacing w:line="480" w:lineRule="auto"/>
        <w:ind w:left="144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That interest is to accrue on the costs at the legal rate of 7.75% per annum payable as from 14 days from date of taxation, until date of payment.</w:t>
      </w:r>
    </w:p>
    <w:p w14:paraId="21E2844A" w14:textId="77777777" w:rsidR="00720946" w:rsidRDefault="00720946" w:rsidP="00720946">
      <w:pPr>
        <w:spacing w:line="480" w:lineRule="auto"/>
        <w:ind w:left="1440" w:hanging="720"/>
        <w:jc w:val="both"/>
        <w:rPr>
          <w:rFonts w:ascii="Arial" w:hAnsi="Arial" w:cs="Arial"/>
          <w:sz w:val="24"/>
          <w:szCs w:val="24"/>
        </w:rPr>
      </w:pPr>
    </w:p>
    <w:p w14:paraId="6A8A0558" w14:textId="77777777" w:rsidR="001C095C" w:rsidRDefault="001C095C" w:rsidP="00720946">
      <w:pPr>
        <w:spacing w:after="0" w:line="240" w:lineRule="auto"/>
        <w:jc w:val="both"/>
        <w:rPr>
          <w:rFonts w:ascii="Arial" w:hAnsi="Arial" w:cs="Arial"/>
          <w:sz w:val="24"/>
          <w:szCs w:val="24"/>
        </w:rPr>
      </w:pPr>
    </w:p>
    <w:p w14:paraId="09F9D3CB" w14:textId="19ABAFF5" w:rsidR="00935045" w:rsidRDefault="00935045" w:rsidP="00720946">
      <w:pPr>
        <w:spacing w:after="0" w:line="240" w:lineRule="auto"/>
        <w:jc w:val="both"/>
        <w:rPr>
          <w:rFonts w:ascii="Arial" w:hAnsi="Arial" w:cs="Arial"/>
          <w:sz w:val="24"/>
          <w:szCs w:val="24"/>
        </w:rPr>
      </w:pPr>
      <w:r>
        <w:rPr>
          <w:rFonts w:ascii="Arial" w:hAnsi="Arial" w:cs="Arial"/>
          <w:sz w:val="24"/>
          <w:szCs w:val="24"/>
        </w:rPr>
        <w:t>_____________________</w:t>
      </w:r>
    </w:p>
    <w:p w14:paraId="503EBC1B" w14:textId="77777777" w:rsidR="00935045" w:rsidRDefault="00935045" w:rsidP="00720946">
      <w:pPr>
        <w:spacing w:after="0" w:line="240" w:lineRule="auto"/>
        <w:jc w:val="both"/>
        <w:rPr>
          <w:rFonts w:ascii="Arial" w:hAnsi="Arial" w:cs="Arial"/>
          <w:b/>
          <w:sz w:val="24"/>
          <w:szCs w:val="24"/>
        </w:rPr>
      </w:pPr>
      <w:r>
        <w:rPr>
          <w:rFonts w:ascii="Arial" w:hAnsi="Arial" w:cs="Arial"/>
          <w:b/>
          <w:sz w:val="24"/>
          <w:szCs w:val="24"/>
        </w:rPr>
        <w:t>M MAKAULA</w:t>
      </w:r>
    </w:p>
    <w:p w14:paraId="11C33BD7" w14:textId="77777777" w:rsidR="00935045" w:rsidRDefault="00935045" w:rsidP="00720946">
      <w:pPr>
        <w:spacing w:after="0" w:line="240" w:lineRule="auto"/>
        <w:jc w:val="both"/>
        <w:rPr>
          <w:rFonts w:ascii="Arial" w:hAnsi="Arial" w:cs="Arial"/>
          <w:b/>
          <w:sz w:val="24"/>
          <w:szCs w:val="24"/>
        </w:rPr>
      </w:pPr>
      <w:r>
        <w:rPr>
          <w:rFonts w:ascii="Arial" w:hAnsi="Arial" w:cs="Arial"/>
          <w:b/>
          <w:sz w:val="24"/>
          <w:szCs w:val="24"/>
        </w:rPr>
        <w:t xml:space="preserve">Judge of the High Court </w:t>
      </w:r>
    </w:p>
    <w:p w14:paraId="09DB6D64" w14:textId="77777777" w:rsidR="00935045" w:rsidRDefault="00935045" w:rsidP="00935045">
      <w:pPr>
        <w:spacing w:after="0" w:line="240" w:lineRule="auto"/>
        <w:jc w:val="both"/>
        <w:rPr>
          <w:rFonts w:ascii="Arial" w:hAnsi="Arial" w:cs="Arial"/>
          <w:b/>
          <w:sz w:val="24"/>
          <w:szCs w:val="24"/>
        </w:rPr>
      </w:pPr>
    </w:p>
    <w:p w14:paraId="42005757" w14:textId="77777777" w:rsidR="00935045" w:rsidRDefault="00935045" w:rsidP="00935045">
      <w:pPr>
        <w:spacing w:after="0" w:line="240" w:lineRule="auto"/>
        <w:jc w:val="both"/>
        <w:rPr>
          <w:rFonts w:ascii="Arial" w:hAnsi="Arial" w:cs="Arial"/>
          <w:b/>
          <w:sz w:val="24"/>
          <w:szCs w:val="24"/>
        </w:rPr>
      </w:pPr>
    </w:p>
    <w:p w14:paraId="22237F6C" w14:textId="77777777" w:rsidR="00935045" w:rsidRDefault="00935045" w:rsidP="00935045">
      <w:pPr>
        <w:spacing w:after="0" w:line="240" w:lineRule="auto"/>
        <w:jc w:val="both"/>
        <w:rPr>
          <w:rFonts w:ascii="Arial" w:hAnsi="Arial" w:cs="Arial"/>
          <w:b/>
          <w:sz w:val="24"/>
          <w:szCs w:val="24"/>
        </w:rPr>
      </w:pPr>
    </w:p>
    <w:p w14:paraId="46DC0B68" w14:textId="77777777" w:rsidR="00935045" w:rsidRDefault="00935045" w:rsidP="00935045">
      <w:pPr>
        <w:spacing w:after="0" w:line="240" w:lineRule="auto"/>
        <w:jc w:val="both"/>
        <w:rPr>
          <w:rFonts w:ascii="Arial" w:hAnsi="Arial" w:cs="Arial"/>
          <w:b/>
          <w:sz w:val="24"/>
          <w:szCs w:val="24"/>
        </w:rPr>
      </w:pPr>
    </w:p>
    <w:p w14:paraId="02AE5EF7" w14:textId="77777777" w:rsidR="00935045" w:rsidRDefault="00935045" w:rsidP="00935045">
      <w:pPr>
        <w:spacing w:after="0" w:line="240" w:lineRule="auto"/>
        <w:jc w:val="both"/>
        <w:rPr>
          <w:rFonts w:ascii="Arial" w:hAnsi="Arial" w:cs="Arial"/>
          <w:b/>
          <w:sz w:val="24"/>
          <w:szCs w:val="24"/>
        </w:rPr>
      </w:pPr>
    </w:p>
    <w:p w14:paraId="767DD676" w14:textId="77777777" w:rsidR="00935045" w:rsidRDefault="00935045" w:rsidP="00935045">
      <w:pPr>
        <w:spacing w:after="0" w:line="240" w:lineRule="auto"/>
        <w:jc w:val="both"/>
        <w:rPr>
          <w:rFonts w:ascii="Arial" w:hAnsi="Arial" w:cs="Arial"/>
          <w:b/>
          <w:sz w:val="24"/>
          <w:szCs w:val="24"/>
        </w:rPr>
      </w:pPr>
    </w:p>
    <w:p w14:paraId="54995791" w14:textId="77777777" w:rsidR="00935045" w:rsidRDefault="00935045" w:rsidP="00935045">
      <w:pPr>
        <w:spacing w:after="0" w:line="240" w:lineRule="auto"/>
        <w:jc w:val="both"/>
        <w:rPr>
          <w:rFonts w:ascii="Arial" w:hAnsi="Arial" w:cs="Arial"/>
          <w:sz w:val="24"/>
          <w:szCs w:val="24"/>
        </w:rPr>
      </w:pPr>
      <w:r>
        <w:rPr>
          <w:rFonts w:ascii="Arial" w:hAnsi="Arial" w:cs="Arial"/>
          <w:sz w:val="24"/>
          <w:szCs w:val="24"/>
          <w:u w:val="single"/>
        </w:rPr>
        <w:t>Appearance</w:t>
      </w:r>
      <w:r>
        <w:rPr>
          <w:rFonts w:ascii="Arial" w:hAnsi="Arial" w:cs="Arial"/>
          <w:sz w:val="24"/>
          <w:szCs w:val="24"/>
        </w:rPr>
        <w:t>:</w:t>
      </w:r>
    </w:p>
    <w:p w14:paraId="19C13968" w14:textId="77777777" w:rsidR="00935045" w:rsidRDefault="00935045" w:rsidP="00935045">
      <w:pPr>
        <w:spacing w:after="0" w:line="240" w:lineRule="auto"/>
        <w:jc w:val="both"/>
        <w:rPr>
          <w:rFonts w:ascii="Arial" w:hAnsi="Arial" w:cs="Arial"/>
          <w:sz w:val="24"/>
          <w:szCs w:val="24"/>
        </w:rPr>
      </w:pPr>
    </w:p>
    <w:p w14:paraId="24C41B8E" w14:textId="77777777" w:rsidR="00935045" w:rsidRDefault="00CB470D" w:rsidP="00935045">
      <w:pPr>
        <w:spacing w:after="0" w:line="240" w:lineRule="auto"/>
        <w:jc w:val="both"/>
        <w:rPr>
          <w:rFonts w:ascii="Arial" w:hAnsi="Arial" w:cs="Arial"/>
          <w:sz w:val="24"/>
          <w:szCs w:val="24"/>
        </w:rPr>
      </w:pPr>
      <w:r>
        <w:rPr>
          <w:rFonts w:ascii="Arial" w:hAnsi="Arial" w:cs="Arial"/>
          <w:sz w:val="24"/>
          <w:szCs w:val="24"/>
        </w:rPr>
        <w:t>Counsel for</w:t>
      </w:r>
      <w:r w:rsidR="00720946">
        <w:rPr>
          <w:rFonts w:ascii="Arial" w:hAnsi="Arial" w:cs="Arial"/>
          <w:sz w:val="24"/>
          <w:szCs w:val="24"/>
        </w:rPr>
        <w:t xml:space="preserve"> Plaintiff</w:t>
      </w:r>
      <w:r>
        <w:rPr>
          <w:rFonts w:ascii="Arial" w:hAnsi="Arial" w:cs="Arial"/>
          <w:sz w:val="24"/>
          <w:szCs w:val="24"/>
        </w:rPr>
        <w:t>s</w:t>
      </w:r>
      <w:r w:rsidR="00720946">
        <w:rPr>
          <w:rFonts w:ascii="Arial" w:hAnsi="Arial" w:cs="Arial"/>
          <w:sz w:val="24"/>
          <w:szCs w:val="24"/>
        </w:rPr>
        <w:t>:</w:t>
      </w:r>
      <w:r w:rsidR="00720946">
        <w:rPr>
          <w:rFonts w:ascii="Arial" w:hAnsi="Arial" w:cs="Arial"/>
          <w:sz w:val="24"/>
          <w:szCs w:val="24"/>
        </w:rPr>
        <w:tab/>
      </w:r>
      <w:r w:rsidR="00720946">
        <w:rPr>
          <w:rFonts w:ascii="Arial" w:hAnsi="Arial" w:cs="Arial"/>
          <w:sz w:val="24"/>
          <w:szCs w:val="24"/>
        </w:rPr>
        <w:tab/>
      </w:r>
      <w:r w:rsidR="00720946">
        <w:rPr>
          <w:rFonts w:ascii="Arial" w:hAnsi="Arial" w:cs="Arial"/>
          <w:sz w:val="24"/>
          <w:szCs w:val="24"/>
        </w:rPr>
        <w:tab/>
      </w:r>
      <w:r w:rsidR="00720946">
        <w:rPr>
          <w:rFonts w:ascii="Arial" w:hAnsi="Arial" w:cs="Arial"/>
          <w:sz w:val="24"/>
          <w:szCs w:val="24"/>
        </w:rPr>
        <w:tab/>
        <w:t xml:space="preserve">Adv </w:t>
      </w:r>
      <w:r>
        <w:rPr>
          <w:rFonts w:ascii="Arial" w:hAnsi="Arial" w:cs="Arial"/>
          <w:sz w:val="24"/>
          <w:szCs w:val="24"/>
        </w:rPr>
        <w:t xml:space="preserve">LA Schubart SC </w:t>
      </w:r>
    </w:p>
    <w:p w14:paraId="1261E916" w14:textId="77777777" w:rsidR="00E2771F" w:rsidRDefault="00E2771F" w:rsidP="00935045">
      <w:pPr>
        <w:spacing w:after="0" w:line="240" w:lineRule="auto"/>
        <w:jc w:val="both"/>
        <w:rPr>
          <w:rFonts w:ascii="Arial" w:hAnsi="Arial" w:cs="Arial"/>
          <w:sz w:val="24"/>
          <w:szCs w:val="24"/>
        </w:rPr>
      </w:pPr>
    </w:p>
    <w:p w14:paraId="5137A3F1" w14:textId="77777777" w:rsidR="00E2771F" w:rsidRDefault="00E2771F" w:rsidP="00935045">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t>Goldberg &amp; De Villiers Inc.</w:t>
      </w:r>
    </w:p>
    <w:p w14:paraId="5E99422B" w14:textId="77777777" w:rsidR="00E2771F" w:rsidRDefault="00E2771F" w:rsidP="00935045">
      <w:pPr>
        <w:spacing w:after="0" w:line="240" w:lineRule="auto"/>
        <w:jc w:val="both"/>
        <w:rPr>
          <w:rFonts w:ascii="Arial" w:hAnsi="Arial" w:cs="Arial"/>
          <w:sz w:val="24"/>
          <w:szCs w:val="24"/>
        </w:rPr>
      </w:pPr>
    </w:p>
    <w:p w14:paraId="7C930085" w14:textId="1D3F2EE2" w:rsidR="00E2771F" w:rsidRDefault="00CB470D" w:rsidP="00935045">
      <w:pPr>
        <w:spacing w:after="0" w:line="240" w:lineRule="auto"/>
        <w:jc w:val="both"/>
        <w:rPr>
          <w:rFonts w:ascii="Arial" w:hAnsi="Arial" w:cs="Arial"/>
          <w:sz w:val="24"/>
          <w:szCs w:val="24"/>
        </w:rPr>
      </w:pPr>
      <w:r>
        <w:rPr>
          <w:rFonts w:ascii="Arial" w:hAnsi="Arial" w:cs="Arial"/>
          <w:sz w:val="24"/>
          <w:szCs w:val="24"/>
        </w:rPr>
        <w:t>For the Defendant</w:t>
      </w:r>
      <w:r w:rsidR="00E2771F">
        <w:rPr>
          <w:rFonts w:ascii="Arial" w:hAnsi="Arial" w:cs="Arial"/>
          <w:sz w:val="24"/>
          <w:szCs w:val="24"/>
        </w:rPr>
        <w:t>:</w:t>
      </w:r>
      <w:r w:rsidR="00E2771F">
        <w:rPr>
          <w:rFonts w:ascii="Arial" w:hAnsi="Arial" w:cs="Arial"/>
          <w:sz w:val="24"/>
          <w:szCs w:val="24"/>
        </w:rPr>
        <w:tab/>
      </w:r>
      <w:r w:rsidR="00E2771F">
        <w:rPr>
          <w:rFonts w:ascii="Arial" w:hAnsi="Arial" w:cs="Arial"/>
          <w:sz w:val="24"/>
          <w:szCs w:val="24"/>
        </w:rPr>
        <w:tab/>
      </w:r>
      <w:r w:rsidR="00E2771F">
        <w:rPr>
          <w:rFonts w:ascii="Arial" w:hAnsi="Arial" w:cs="Arial"/>
          <w:sz w:val="24"/>
          <w:szCs w:val="24"/>
        </w:rPr>
        <w:tab/>
      </w:r>
      <w:r>
        <w:rPr>
          <w:rFonts w:ascii="Arial" w:hAnsi="Arial" w:cs="Arial"/>
          <w:sz w:val="24"/>
          <w:szCs w:val="24"/>
        </w:rPr>
        <w:tab/>
      </w:r>
      <w:r>
        <w:rPr>
          <w:rFonts w:ascii="Arial" w:hAnsi="Arial" w:cs="Arial"/>
          <w:sz w:val="24"/>
          <w:szCs w:val="24"/>
        </w:rPr>
        <w:tab/>
        <w:t>Ms OC Phillips</w:t>
      </w:r>
    </w:p>
    <w:p w14:paraId="2E87F916" w14:textId="77777777" w:rsidR="00E2771F" w:rsidRDefault="00E2771F" w:rsidP="00935045">
      <w:pPr>
        <w:spacing w:after="0" w:line="240" w:lineRule="auto"/>
        <w:jc w:val="both"/>
        <w:rPr>
          <w:rFonts w:ascii="Arial" w:hAnsi="Arial" w:cs="Arial"/>
          <w:sz w:val="24"/>
          <w:szCs w:val="24"/>
        </w:rPr>
      </w:pPr>
    </w:p>
    <w:p w14:paraId="316B83C1" w14:textId="77777777" w:rsidR="00E2771F" w:rsidRDefault="00E2771F" w:rsidP="00935045">
      <w:pPr>
        <w:spacing w:after="0" w:line="240" w:lineRule="auto"/>
        <w:jc w:val="both"/>
        <w:rPr>
          <w:rFonts w:ascii="Arial" w:hAnsi="Arial" w:cs="Arial"/>
          <w:sz w:val="24"/>
          <w:szCs w:val="24"/>
        </w:rPr>
      </w:pPr>
      <w:r>
        <w:rPr>
          <w:rFonts w:ascii="Arial" w:hAnsi="Arial" w:cs="Arial"/>
          <w:sz w:val="24"/>
          <w:szCs w:val="24"/>
        </w:rPr>
        <w:t>Instr</w:t>
      </w:r>
      <w:r w:rsidR="00CB470D">
        <w:rPr>
          <w:rFonts w:ascii="Arial" w:hAnsi="Arial" w:cs="Arial"/>
          <w:sz w:val="24"/>
          <w:szCs w:val="24"/>
        </w:rPr>
        <w:t>ucted by:</w:t>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t>The Road Accident Fund</w:t>
      </w:r>
    </w:p>
    <w:p w14:paraId="04AA56E3" w14:textId="77777777" w:rsidR="00E2771F" w:rsidRDefault="00E2771F" w:rsidP="00935045">
      <w:pPr>
        <w:spacing w:after="0" w:line="240" w:lineRule="auto"/>
        <w:jc w:val="both"/>
        <w:rPr>
          <w:rFonts w:ascii="Arial" w:hAnsi="Arial" w:cs="Arial"/>
          <w:sz w:val="24"/>
          <w:szCs w:val="24"/>
        </w:rPr>
      </w:pPr>
    </w:p>
    <w:p w14:paraId="15D3F8CA" w14:textId="77777777" w:rsidR="00E2771F" w:rsidRDefault="00E2771F" w:rsidP="0093504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r>
      <w:r w:rsidR="00CB470D">
        <w:rPr>
          <w:rFonts w:ascii="Arial" w:hAnsi="Arial" w:cs="Arial"/>
          <w:sz w:val="24"/>
          <w:szCs w:val="24"/>
        </w:rPr>
        <w:tab/>
        <w:t>East London</w:t>
      </w:r>
    </w:p>
    <w:p w14:paraId="7FFC2B4E" w14:textId="77777777" w:rsidR="001C3859" w:rsidRDefault="001C3859" w:rsidP="00935045">
      <w:pPr>
        <w:spacing w:after="0" w:line="240" w:lineRule="auto"/>
        <w:jc w:val="both"/>
        <w:rPr>
          <w:rFonts w:ascii="Arial" w:hAnsi="Arial" w:cs="Arial"/>
          <w:sz w:val="24"/>
          <w:szCs w:val="24"/>
        </w:rPr>
      </w:pPr>
    </w:p>
    <w:p w14:paraId="08164BF2" w14:textId="77777777" w:rsidR="001C3859" w:rsidRDefault="006C1FA3" w:rsidP="00935045">
      <w:pPr>
        <w:spacing w:after="0" w:line="240" w:lineRule="auto"/>
        <w:jc w:val="both"/>
        <w:rPr>
          <w:rFonts w:ascii="Arial" w:hAnsi="Arial" w:cs="Arial"/>
          <w:sz w:val="24"/>
          <w:szCs w:val="24"/>
        </w:rPr>
      </w:pPr>
      <w:r>
        <w:rPr>
          <w:rFonts w:ascii="Arial" w:hAnsi="Arial" w:cs="Arial"/>
          <w:sz w:val="24"/>
          <w:szCs w:val="24"/>
        </w:rPr>
        <w:t>J</w:t>
      </w:r>
      <w:r w:rsidR="008D746D">
        <w:rPr>
          <w:rFonts w:ascii="Arial" w:hAnsi="Arial" w:cs="Arial"/>
          <w:sz w:val="24"/>
          <w:szCs w:val="24"/>
        </w:rPr>
        <w:t xml:space="preserve">udgment </w:t>
      </w:r>
      <w:r>
        <w:rPr>
          <w:rFonts w:ascii="Arial" w:hAnsi="Arial" w:cs="Arial"/>
          <w:sz w:val="24"/>
          <w:szCs w:val="24"/>
        </w:rPr>
        <w:t>reserved:</w:t>
      </w:r>
      <w:r w:rsidR="001C3859">
        <w:rPr>
          <w:rFonts w:ascii="Arial" w:hAnsi="Arial" w:cs="Arial"/>
          <w:sz w:val="24"/>
          <w:szCs w:val="24"/>
        </w:rPr>
        <w:tab/>
      </w:r>
      <w:r w:rsidR="001C3859">
        <w:rPr>
          <w:rFonts w:ascii="Arial" w:hAnsi="Arial" w:cs="Arial"/>
          <w:sz w:val="24"/>
          <w:szCs w:val="24"/>
        </w:rPr>
        <w:tab/>
      </w:r>
      <w:r w:rsidR="001C3859">
        <w:rPr>
          <w:rFonts w:ascii="Arial" w:hAnsi="Arial" w:cs="Arial"/>
          <w:sz w:val="24"/>
          <w:szCs w:val="24"/>
        </w:rPr>
        <w:tab/>
      </w:r>
      <w:r w:rsidR="001C3859">
        <w:rPr>
          <w:rFonts w:ascii="Arial" w:hAnsi="Arial" w:cs="Arial"/>
          <w:sz w:val="24"/>
          <w:szCs w:val="24"/>
        </w:rPr>
        <w:tab/>
      </w:r>
      <w:r>
        <w:rPr>
          <w:rFonts w:ascii="Arial" w:hAnsi="Arial" w:cs="Arial"/>
          <w:sz w:val="24"/>
          <w:szCs w:val="24"/>
        </w:rPr>
        <w:tab/>
      </w:r>
      <w:r w:rsidR="00CB470D">
        <w:rPr>
          <w:rFonts w:ascii="Arial" w:hAnsi="Arial" w:cs="Arial"/>
          <w:sz w:val="24"/>
          <w:szCs w:val="24"/>
        </w:rPr>
        <w:t>23 November 2022</w:t>
      </w:r>
    </w:p>
    <w:p w14:paraId="5A6C3916" w14:textId="77777777" w:rsidR="008D746D" w:rsidRDefault="008D746D" w:rsidP="00935045">
      <w:pPr>
        <w:spacing w:after="0" w:line="240" w:lineRule="auto"/>
        <w:jc w:val="both"/>
        <w:rPr>
          <w:rFonts w:ascii="Arial" w:hAnsi="Arial" w:cs="Arial"/>
          <w:sz w:val="24"/>
          <w:szCs w:val="24"/>
        </w:rPr>
      </w:pPr>
    </w:p>
    <w:p w14:paraId="04D6E759" w14:textId="5C1A13A1" w:rsidR="008D746D" w:rsidRDefault="006C1FA3" w:rsidP="00935045">
      <w:pPr>
        <w:spacing w:after="0" w:line="240" w:lineRule="auto"/>
        <w:jc w:val="both"/>
        <w:rPr>
          <w:rFonts w:ascii="Arial" w:hAnsi="Arial" w:cs="Arial"/>
          <w:sz w:val="24"/>
          <w:szCs w:val="24"/>
        </w:rPr>
      </w:pPr>
      <w:r>
        <w:rPr>
          <w:rFonts w:ascii="Arial" w:hAnsi="Arial" w:cs="Arial"/>
          <w:sz w:val="24"/>
          <w:szCs w:val="24"/>
        </w:rPr>
        <w:t>J</w:t>
      </w:r>
      <w:r w:rsidR="008D746D">
        <w:rPr>
          <w:rFonts w:ascii="Arial" w:hAnsi="Arial" w:cs="Arial"/>
          <w:sz w:val="24"/>
          <w:szCs w:val="24"/>
        </w:rPr>
        <w:t>udgment delivered:</w:t>
      </w:r>
      <w:r w:rsidR="008D746D">
        <w:rPr>
          <w:rFonts w:ascii="Arial" w:hAnsi="Arial" w:cs="Arial"/>
          <w:sz w:val="24"/>
          <w:szCs w:val="24"/>
        </w:rPr>
        <w:tab/>
      </w:r>
      <w:r w:rsidR="005B5917">
        <w:rPr>
          <w:rFonts w:ascii="Arial" w:hAnsi="Arial" w:cs="Arial"/>
          <w:sz w:val="24"/>
          <w:szCs w:val="24"/>
        </w:rPr>
        <w:tab/>
      </w:r>
      <w:r w:rsidR="005B5917">
        <w:rPr>
          <w:rFonts w:ascii="Arial" w:hAnsi="Arial" w:cs="Arial"/>
          <w:sz w:val="24"/>
          <w:szCs w:val="24"/>
        </w:rPr>
        <w:tab/>
      </w:r>
      <w:r w:rsidR="005B5917">
        <w:rPr>
          <w:rFonts w:ascii="Arial" w:hAnsi="Arial" w:cs="Arial"/>
          <w:sz w:val="24"/>
          <w:szCs w:val="24"/>
        </w:rPr>
        <w:tab/>
      </w:r>
      <w:r w:rsidR="00FD1AEE">
        <w:rPr>
          <w:rFonts w:ascii="Arial" w:hAnsi="Arial" w:cs="Arial"/>
          <w:sz w:val="24"/>
          <w:szCs w:val="24"/>
        </w:rPr>
        <w:t>04 April 2023</w:t>
      </w:r>
    </w:p>
    <w:p w14:paraId="4375F974" w14:textId="77777777" w:rsidR="001C3859" w:rsidRDefault="001C3859" w:rsidP="00935045">
      <w:pPr>
        <w:spacing w:after="0" w:line="240" w:lineRule="auto"/>
        <w:jc w:val="both"/>
        <w:rPr>
          <w:rFonts w:ascii="Arial" w:hAnsi="Arial" w:cs="Arial"/>
          <w:sz w:val="24"/>
          <w:szCs w:val="24"/>
        </w:rPr>
      </w:pPr>
    </w:p>
    <w:p w14:paraId="1FEFB2DB" w14:textId="77777777" w:rsidR="001C3859" w:rsidRDefault="001C3859" w:rsidP="00935045">
      <w:pPr>
        <w:spacing w:after="0" w:line="240" w:lineRule="auto"/>
        <w:jc w:val="both"/>
        <w:rPr>
          <w:rFonts w:ascii="Arial" w:hAnsi="Arial" w:cs="Arial"/>
          <w:sz w:val="24"/>
          <w:szCs w:val="24"/>
        </w:rPr>
      </w:pPr>
    </w:p>
    <w:p w14:paraId="49AD3B9F" w14:textId="77777777" w:rsidR="00E2771F" w:rsidRDefault="00E2771F" w:rsidP="00935045">
      <w:pPr>
        <w:spacing w:after="0" w:line="240" w:lineRule="auto"/>
        <w:jc w:val="both"/>
        <w:rPr>
          <w:rFonts w:ascii="Arial" w:hAnsi="Arial" w:cs="Arial"/>
          <w:sz w:val="24"/>
          <w:szCs w:val="24"/>
        </w:rPr>
      </w:pPr>
    </w:p>
    <w:p w14:paraId="15D52838" w14:textId="77777777" w:rsidR="00E2771F" w:rsidRDefault="00E2771F" w:rsidP="00935045">
      <w:pPr>
        <w:spacing w:after="0" w:line="240" w:lineRule="auto"/>
        <w:jc w:val="both"/>
        <w:rPr>
          <w:rFonts w:ascii="Arial" w:hAnsi="Arial" w:cs="Arial"/>
          <w:sz w:val="24"/>
          <w:szCs w:val="24"/>
        </w:rPr>
      </w:pPr>
      <w:r>
        <w:rPr>
          <w:rFonts w:ascii="Arial" w:hAnsi="Arial" w:cs="Arial"/>
          <w:sz w:val="24"/>
          <w:szCs w:val="24"/>
        </w:rPr>
        <w:t xml:space="preserve"> </w:t>
      </w:r>
    </w:p>
    <w:p w14:paraId="2D749D93" w14:textId="77777777" w:rsidR="00E2771F" w:rsidRDefault="00E2771F" w:rsidP="00935045">
      <w:pPr>
        <w:spacing w:after="0" w:line="240" w:lineRule="auto"/>
        <w:jc w:val="both"/>
        <w:rPr>
          <w:rFonts w:ascii="Arial" w:hAnsi="Arial" w:cs="Arial"/>
          <w:sz w:val="24"/>
          <w:szCs w:val="24"/>
        </w:rPr>
      </w:pPr>
    </w:p>
    <w:p w14:paraId="6DCDD0D7" w14:textId="77777777" w:rsidR="00E2771F" w:rsidRDefault="00E2771F" w:rsidP="00935045">
      <w:pPr>
        <w:spacing w:after="0" w:line="240" w:lineRule="auto"/>
        <w:jc w:val="both"/>
        <w:rPr>
          <w:rFonts w:ascii="Arial" w:hAnsi="Arial" w:cs="Arial"/>
          <w:sz w:val="24"/>
          <w:szCs w:val="24"/>
        </w:rPr>
      </w:pPr>
    </w:p>
    <w:p w14:paraId="0BD1AA0A" w14:textId="77777777" w:rsidR="00E2771F" w:rsidRDefault="00E2771F" w:rsidP="00935045">
      <w:pPr>
        <w:spacing w:after="0" w:line="240" w:lineRule="auto"/>
        <w:jc w:val="both"/>
        <w:rPr>
          <w:rFonts w:ascii="Arial" w:hAnsi="Arial" w:cs="Arial"/>
          <w:sz w:val="24"/>
          <w:szCs w:val="24"/>
        </w:rPr>
      </w:pPr>
    </w:p>
    <w:p w14:paraId="057504B3" w14:textId="77777777" w:rsidR="00E2771F" w:rsidRDefault="00E2771F" w:rsidP="00935045">
      <w:pPr>
        <w:spacing w:after="0" w:line="240" w:lineRule="auto"/>
        <w:jc w:val="both"/>
        <w:rPr>
          <w:rFonts w:ascii="Arial" w:hAnsi="Arial" w:cs="Arial"/>
          <w:sz w:val="24"/>
          <w:szCs w:val="24"/>
        </w:rPr>
      </w:pPr>
    </w:p>
    <w:p w14:paraId="7541E9F1" w14:textId="77777777" w:rsidR="00E2771F" w:rsidRDefault="00E2771F" w:rsidP="00935045">
      <w:pPr>
        <w:spacing w:after="0" w:line="240" w:lineRule="auto"/>
        <w:jc w:val="both"/>
        <w:rPr>
          <w:rFonts w:ascii="Arial" w:hAnsi="Arial" w:cs="Arial"/>
          <w:sz w:val="24"/>
          <w:szCs w:val="24"/>
        </w:rPr>
      </w:pPr>
    </w:p>
    <w:p w14:paraId="7CB8B51D" w14:textId="77777777" w:rsidR="00E2771F" w:rsidRPr="00935045" w:rsidRDefault="00E2771F" w:rsidP="00935045">
      <w:pPr>
        <w:spacing w:after="0" w:line="240" w:lineRule="auto"/>
        <w:jc w:val="both"/>
        <w:rPr>
          <w:rFonts w:ascii="Arial" w:hAnsi="Arial" w:cs="Arial"/>
          <w:sz w:val="24"/>
          <w:szCs w:val="24"/>
        </w:rPr>
      </w:pPr>
    </w:p>
    <w:p w14:paraId="55090F65" w14:textId="77777777" w:rsidR="00935045" w:rsidRDefault="00935045">
      <w:pPr>
        <w:rPr>
          <w:rFonts w:ascii="Arial" w:hAnsi="Arial" w:cs="Arial"/>
          <w:sz w:val="24"/>
          <w:szCs w:val="24"/>
        </w:rPr>
      </w:pPr>
    </w:p>
    <w:p w14:paraId="57A08B41" w14:textId="77777777" w:rsidR="00935045" w:rsidRPr="00935045" w:rsidRDefault="00935045">
      <w:pPr>
        <w:rPr>
          <w:rFonts w:ascii="Arial" w:hAnsi="Arial" w:cs="Arial"/>
          <w:sz w:val="24"/>
          <w:szCs w:val="24"/>
        </w:rPr>
      </w:pPr>
    </w:p>
    <w:p w14:paraId="74D59447" w14:textId="1F8482EA" w:rsidR="00935045" w:rsidRPr="00935045" w:rsidRDefault="00935045">
      <w:pPr>
        <w:rPr>
          <w:rFonts w:ascii="Arial" w:hAnsi="Arial" w:cs="Arial"/>
          <w:sz w:val="24"/>
          <w:szCs w:val="24"/>
        </w:rPr>
      </w:pPr>
    </w:p>
    <w:sectPr w:rsidR="00935045" w:rsidRPr="009350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51D3" w14:textId="77777777" w:rsidR="002975A2" w:rsidRDefault="002975A2" w:rsidP="001C3859">
      <w:pPr>
        <w:spacing w:after="0" w:line="240" w:lineRule="auto"/>
      </w:pPr>
      <w:r>
        <w:separator/>
      </w:r>
    </w:p>
  </w:endnote>
  <w:endnote w:type="continuationSeparator" w:id="0">
    <w:p w14:paraId="28C4895D" w14:textId="77777777" w:rsidR="002975A2" w:rsidRDefault="002975A2" w:rsidP="001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12489"/>
      <w:docPartObj>
        <w:docPartGallery w:val="Page Numbers (Bottom of Page)"/>
        <w:docPartUnique/>
      </w:docPartObj>
    </w:sdtPr>
    <w:sdtEndPr/>
    <w:sdtContent>
      <w:sdt>
        <w:sdtPr>
          <w:id w:val="-1769616900"/>
          <w:docPartObj>
            <w:docPartGallery w:val="Page Numbers (Top of Page)"/>
            <w:docPartUnique/>
          </w:docPartObj>
        </w:sdtPr>
        <w:sdtEndPr/>
        <w:sdtContent>
          <w:p w14:paraId="680EFA9E" w14:textId="6F69E060" w:rsidR="004D2F5A" w:rsidRDefault="004D2F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26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6C4">
              <w:rPr>
                <w:b/>
                <w:bCs/>
                <w:noProof/>
              </w:rPr>
              <w:t>10</w:t>
            </w:r>
            <w:r>
              <w:rPr>
                <w:b/>
                <w:bCs/>
                <w:sz w:val="24"/>
                <w:szCs w:val="24"/>
              </w:rPr>
              <w:fldChar w:fldCharType="end"/>
            </w:r>
          </w:p>
        </w:sdtContent>
      </w:sdt>
    </w:sdtContent>
  </w:sdt>
  <w:p w14:paraId="21B16B5F" w14:textId="77777777" w:rsidR="00FF5244" w:rsidRDefault="00FF5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C844" w14:textId="77777777" w:rsidR="002975A2" w:rsidRDefault="002975A2" w:rsidP="001C3859">
      <w:pPr>
        <w:spacing w:after="0" w:line="240" w:lineRule="auto"/>
      </w:pPr>
      <w:r>
        <w:separator/>
      </w:r>
    </w:p>
  </w:footnote>
  <w:footnote w:type="continuationSeparator" w:id="0">
    <w:p w14:paraId="0D13CC70" w14:textId="77777777" w:rsidR="002975A2" w:rsidRDefault="002975A2" w:rsidP="001C3859">
      <w:pPr>
        <w:spacing w:after="0" w:line="240" w:lineRule="auto"/>
      </w:pPr>
      <w:r>
        <w:continuationSeparator/>
      </w:r>
    </w:p>
  </w:footnote>
  <w:footnote w:id="1">
    <w:p w14:paraId="13C672DD" w14:textId="77777777" w:rsidR="00FF5244" w:rsidRDefault="00FF5244">
      <w:pPr>
        <w:pStyle w:val="FootnoteText"/>
      </w:pPr>
      <w:r>
        <w:rPr>
          <w:rStyle w:val="FootnoteReference"/>
        </w:rPr>
        <w:footnoteRef/>
      </w:r>
      <w:r>
        <w:t xml:space="preserve"> In the form of the pay-slips, bank statements, or calling his employer, co-worker or supervisor. </w:t>
      </w:r>
    </w:p>
  </w:footnote>
  <w:footnote w:id="2">
    <w:p w14:paraId="3F314BCC" w14:textId="77777777" w:rsidR="00FF5244" w:rsidRDefault="00FF5244">
      <w:pPr>
        <w:pStyle w:val="FootnoteText"/>
      </w:pPr>
      <w:r>
        <w:rPr>
          <w:rStyle w:val="FootnoteReference"/>
        </w:rPr>
        <w:footnoteRef/>
      </w:r>
      <w:r>
        <w:t xml:space="preserve"> 1977 (1) SA 31 (A) at 34 E-G.</w:t>
      </w:r>
    </w:p>
  </w:footnote>
  <w:footnote w:id="3">
    <w:p w14:paraId="3AE201F1" w14:textId="68758531" w:rsidR="00974F0D" w:rsidRDefault="00974F0D">
      <w:pPr>
        <w:pStyle w:val="FootnoteText"/>
      </w:pPr>
      <w:r>
        <w:rPr>
          <w:rStyle w:val="FootnoteReference"/>
        </w:rPr>
        <w:footnoteRef/>
      </w:r>
      <w:r>
        <w:t xml:space="preserve"> </w:t>
      </w:r>
      <w:r w:rsidRPr="00974F0D">
        <w:rPr>
          <w:rFonts w:cstheme="minorHAnsi"/>
        </w:rPr>
        <w:t>2013 (2) SA 144</w:t>
      </w:r>
      <w:r w:rsidR="00B56EEC">
        <w:rPr>
          <w:rFonts w:cstheme="minorHAnsi"/>
        </w:rPr>
        <w:t xml:space="preserve"> (CC)</w:t>
      </w:r>
      <w:r w:rsidRPr="00974F0D">
        <w:rPr>
          <w:rFonts w:cstheme="minorHAnsi"/>
        </w:rPr>
        <w:t xml:space="preserve"> at B-C</w:t>
      </w:r>
      <w:r>
        <w:rPr>
          <w:rFonts w:cstheme="minorHAnsi"/>
        </w:rPr>
        <w:t>.</w:t>
      </w:r>
    </w:p>
  </w:footnote>
  <w:footnote w:id="4">
    <w:p w14:paraId="60F4F494" w14:textId="77777777" w:rsidR="00FF5244" w:rsidRDefault="00FF5244">
      <w:pPr>
        <w:pStyle w:val="FootnoteText"/>
      </w:pPr>
      <w:r>
        <w:rPr>
          <w:rStyle w:val="FootnoteReference"/>
        </w:rPr>
        <w:footnoteRef/>
      </w:r>
      <w:r>
        <w:t xml:space="preserve"> 2007 (1) SA 111 (SCA) 125 E-F. </w:t>
      </w:r>
    </w:p>
  </w:footnote>
  <w:footnote w:id="5">
    <w:p w14:paraId="3057C9CD" w14:textId="64A5DBF0" w:rsidR="00FF5244" w:rsidRDefault="00FF5244">
      <w:pPr>
        <w:pStyle w:val="FootnoteText"/>
      </w:pPr>
      <w:r>
        <w:rPr>
          <w:rStyle w:val="FootnoteReference"/>
        </w:rPr>
        <w:footnoteRef/>
      </w:r>
      <w:r>
        <w:t xml:space="preserve"> Am</w:t>
      </w:r>
      <w:r w:rsidR="000E46AD">
        <w:t>l</w:t>
      </w:r>
      <w:r>
        <w:t>er’s Precedents of Pleadings, 9</w:t>
      </w:r>
      <w:r w:rsidRPr="003D5D6B">
        <w:rPr>
          <w:vertAlign w:val="superscript"/>
        </w:rPr>
        <w:t>th</w:t>
      </w:r>
      <w:r>
        <w:t xml:space="preserve"> Edition, Harms at page 5.</w:t>
      </w:r>
    </w:p>
  </w:footnote>
  <w:footnote w:id="6">
    <w:p w14:paraId="32E596DD" w14:textId="77777777" w:rsidR="00FF5244" w:rsidRDefault="00FF5244">
      <w:pPr>
        <w:pStyle w:val="FootnoteText"/>
      </w:pPr>
      <w:r>
        <w:rPr>
          <w:rStyle w:val="FootnoteReference"/>
        </w:rPr>
        <w:footnoteRef/>
      </w:r>
      <w:r>
        <w:t xml:space="preserve"> Erasmus: Superior Court Practice 2</w:t>
      </w:r>
      <w:r w:rsidRPr="00812A08">
        <w:rPr>
          <w:vertAlign w:val="superscript"/>
        </w:rPr>
        <w:t>nd</w:t>
      </w:r>
      <w:r>
        <w:t xml:space="preserve"> Ed. Vol 2 D1-25B and the authorities cited therein.</w:t>
      </w:r>
    </w:p>
  </w:footnote>
  <w:footnote w:id="7">
    <w:p w14:paraId="2CD96A83" w14:textId="43347031" w:rsidR="00FF5244" w:rsidRDefault="00FF5244">
      <w:pPr>
        <w:pStyle w:val="FootnoteText"/>
      </w:pPr>
      <w:r>
        <w:rPr>
          <w:rStyle w:val="FootnoteReference"/>
        </w:rPr>
        <w:footnoteRef/>
      </w:r>
      <w:r w:rsidR="00B56EEC">
        <w:t xml:space="preserve"> 1783/2012 [2015]</w:t>
      </w:r>
      <w:r>
        <w:t xml:space="preserve"> ZAECMHC (1 October 2015)</w:t>
      </w:r>
      <w:r w:rsidR="005B5917">
        <w:t xml:space="preserve"> at para 11</w:t>
      </w:r>
      <w:r>
        <w:t>.</w:t>
      </w:r>
    </w:p>
  </w:footnote>
  <w:footnote w:id="8">
    <w:p w14:paraId="2BD7EF58" w14:textId="1E14EBB3" w:rsidR="00FF5244" w:rsidRDefault="00FF5244">
      <w:pPr>
        <w:pStyle w:val="FootnoteText"/>
      </w:pPr>
      <w:r>
        <w:rPr>
          <w:rStyle w:val="FootnoteReference"/>
        </w:rPr>
        <w:footnoteRef/>
      </w:r>
      <w:r>
        <w:t xml:space="preserve"> 1963 (3) SA 188 at 192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45"/>
    <w:rsid w:val="00031280"/>
    <w:rsid w:val="00060596"/>
    <w:rsid w:val="000630D1"/>
    <w:rsid w:val="000C59C8"/>
    <w:rsid w:val="000E46AD"/>
    <w:rsid w:val="001221B4"/>
    <w:rsid w:val="00136E53"/>
    <w:rsid w:val="00152F76"/>
    <w:rsid w:val="001C095C"/>
    <w:rsid w:val="001C3859"/>
    <w:rsid w:val="00213EA6"/>
    <w:rsid w:val="002200EE"/>
    <w:rsid w:val="00220884"/>
    <w:rsid w:val="00223F3C"/>
    <w:rsid w:val="002353F6"/>
    <w:rsid w:val="00281453"/>
    <w:rsid w:val="002952DE"/>
    <w:rsid w:val="002975A2"/>
    <w:rsid w:val="003511BD"/>
    <w:rsid w:val="00364214"/>
    <w:rsid w:val="00396859"/>
    <w:rsid w:val="003A6524"/>
    <w:rsid w:val="003D5D6B"/>
    <w:rsid w:val="003E0735"/>
    <w:rsid w:val="00432CDE"/>
    <w:rsid w:val="004D11DB"/>
    <w:rsid w:val="004D2F5A"/>
    <w:rsid w:val="00506748"/>
    <w:rsid w:val="005A3781"/>
    <w:rsid w:val="005A7F19"/>
    <w:rsid w:val="005B5917"/>
    <w:rsid w:val="005E0A50"/>
    <w:rsid w:val="006C1FA3"/>
    <w:rsid w:val="00720946"/>
    <w:rsid w:val="0077240B"/>
    <w:rsid w:val="007D0BF4"/>
    <w:rsid w:val="007E77AC"/>
    <w:rsid w:val="00812A08"/>
    <w:rsid w:val="00866A5D"/>
    <w:rsid w:val="008D746D"/>
    <w:rsid w:val="00935045"/>
    <w:rsid w:val="00940127"/>
    <w:rsid w:val="00974F0D"/>
    <w:rsid w:val="009D21D8"/>
    <w:rsid w:val="00AA7DAF"/>
    <w:rsid w:val="00AD6AD1"/>
    <w:rsid w:val="00B01F71"/>
    <w:rsid w:val="00B56EEC"/>
    <w:rsid w:val="00BC2554"/>
    <w:rsid w:val="00CB470D"/>
    <w:rsid w:val="00CC28A7"/>
    <w:rsid w:val="00CF09EB"/>
    <w:rsid w:val="00CF210C"/>
    <w:rsid w:val="00D47AE9"/>
    <w:rsid w:val="00D62768"/>
    <w:rsid w:val="00D62AD7"/>
    <w:rsid w:val="00D6675F"/>
    <w:rsid w:val="00DA26C4"/>
    <w:rsid w:val="00E2771F"/>
    <w:rsid w:val="00EA319A"/>
    <w:rsid w:val="00EC4D9B"/>
    <w:rsid w:val="00F50473"/>
    <w:rsid w:val="00FD1AEE"/>
    <w:rsid w:val="00FF52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38A2"/>
  <w15:chartTrackingRefBased/>
  <w15:docId w15:val="{2D016146-F4B6-455A-8EB6-3600FB54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59"/>
  </w:style>
  <w:style w:type="paragraph" w:styleId="Footer">
    <w:name w:val="footer"/>
    <w:basedOn w:val="Normal"/>
    <w:link w:val="FooterChar"/>
    <w:uiPriority w:val="99"/>
    <w:unhideWhenUsed/>
    <w:rsid w:val="001C3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59"/>
  </w:style>
  <w:style w:type="paragraph" w:styleId="FootnoteText">
    <w:name w:val="footnote text"/>
    <w:basedOn w:val="Normal"/>
    <w:link w:val="FootnoteTextChar"/>
    <w:uiPriority w:val="99"/>
    <w:semiHidden/>
    <w:unhideWhenUsed/>
    <w:rsid w:val="00D62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AD7"/>
    <w:rPr>
      <w:sz w:val="20"/>
      <w:szCs w:val="20"/>
    </w:rPr>
  </w:style>
  <w:style w:type="character" w:styleId="FootnoteReference">
    <w:name w:val="footnote reference"/>
    <w:basedOn w:val="DefaultParagraphFont"/>
    <w:uiPriority w:val="99"/>
    <w:semiHidden/>
    <w:unhideWhenUsed/>
    <w:rsid w:val="00D62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C067-3992-4FD5-9E28-66BD91D0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Mokone</cp:lastModifiedBy>
  <cp:revision>2</cp:revision>
  <dcterms:created xsi:type="dcterms:W3CDTF">2023-04-12T07:57:00Z</dcterms:created>
  <dcterms:modified xsi:type="dcterms:W3CDTF">2023-04-12T07:57:00Z</dcterms:modified>
</cp:coreProperties>
</file>