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0" w:rsidRPr="005C76EF" w:rsidRDefault="000C2910" w:rsidP="000C291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B053B86" wp14:editId="02C95162">
            <wp:extent cx="1395730" cy="1337945"/>
            <wp:effectExtent l="0" t="0" r="0" b="0"/>
            <wp:docPr id="1" name="Picture 1" descr="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10" w:rsidRPr="005C76EF" w:rsidRDefault="000C2910" w:rsidP="000C291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b/>
          <w:sz w:val="24"/>
          <w:szCs w:val="24"/>
          <w:lang w:val="en-US"/>
        </w:rPr>
        <w:t>IN THE HIGH COURT OF SOUTH AFRICA</w:t>
      </w:r>
    </w:p>
    <w:p w:rsidR="000C2910" w:rsidRPr="005C76EF" w:rsidRDefault="000C2910" w:rsidP="000C291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EASTERN CAPE DIVISION – GQEBERHA</w:t>
      </w:r>
      <w:r w:rsidRPr="005C76EF">
        <w:rPr>
          <w:rFonts w:ascii="Arial" w:hAnsi="Arial" w:cs="Arial"/>
          <w:b/>
          <w:sz w:val="24"/>
          <w:szCs w:val="24"/>
          <w:lang w:val="en-US"/>
        </w:rPr>
        <w:t>)</w:t>
      </w:r>
    </w:p>
    <w:p w:rsidR="000C2910" w:rsidRPr="005C76EF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</w:r>
      <w:r w:rsidRPr="005C76EF">
        <w:rPr>
          <w:rFonts w:ascii="Arial" w:hAnsi="Arial" w:cs="Arial"/>
          <w:b/>
          <w:sz w:val="24"/>
          <w:szCs w:val="24"/>
          <w:lang w:val="en-US"/>
        </w:rPr>
        <w:tab/>
        <w:t xml:space="preserve">          CASE NO.: </w:t>
      </w:r>
      <w:r>
        <w:rPr>
          <w:rFonts w:ascii="Arial" w:hAnsi="Arial" w:cs="Arial"/>
          <w:b/>
          <w:sz w:val="24"/>
          <w:szCs w:val="24"/>
          <w:lang w:val="en-US"/>
        </w:rPr>
        <w:t>2979/2018</w:t>
      </w:r>
    </w:p>
    <w:p w:rsidR="000C2910" w:rsidRPr="005C76EF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Pr="005C76EF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</w:t>
      </w:r>
      <w:r w:rsidRPr="005C76EF">
        <w:rPr>
          <w:rFonts w:ascii="Arial" w:hAnsi="Arial" w:cs="Arial"/>
          <w:b/>
          <w:sz w:val="24"/>
          <w:szCs w:val="24"/>
          <w:lang w:val="en-US"/>
        </w:rPr>
        <w:t>Matter heard on:</w:t>
      </w:r>
      <w:r>
        <w:rPr>
          <w:rFonts w:ascii="Arial" w:hAnsi="Arial" w:cs="Arial"/>
          <w:b/>
          <w:sz w:val="24"/>
          <w:szCs w:val="24"/>
          <w:lang w:val="en-US"/>
        </w:rPr>
        <w:t xml:space="preserve">  25 April 2023</w:t>
      </w:r>
    </w:p>
    <w:p w:rsidR="000C2910" w:rsidRPr="005C76EF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Pr="005C76EF">
        <w:rPr>
          <w:rFonts w:ascii="Arial" w:hAnsi="Arial" w:cs="Arial"/>
          <w:b/>
          <w:sz w:val="24"/>
          <w:szCs w:val="24"/>
          <w:lang w:val="en-US"/>
        </w:rPr>
        <w:t>Judgement</w:t>
      </w:r>
      <w:proofErr w:type="spellEnd"/>
      <w:r w:rsidRPr="005C76EF">
        <w:rPr>
          <w:rFonts w:ascii="Arial" w:hAnsi="Arial" w:cs="Arial"/>
          <w:b/>
          <w:sz w:val="24"/>
          <w:szCs w:val="24"/>
          <w:lang w:val="en-US"/>
        </w:rPr>
        <w:t xml:space="preserve"> delivered on:  </w:t>
      </w:r>
      <w:r>
        <w:rPr>
          <w:rFonts w:ascii="Arial" w:hAnsi="Arial" w:cs="Arial"/>
          <w:b/>
          <w:sz w:val="24"/>
          <w:szCs w:val="24"/>
          <w:lang w:val="en-US"/>
        </w:rPr>
        <w:t>9 May 2023</w:t>
      </w:r>
    </w:p>
    <w:p w:rsidR="000C2910" w:rsidRPr="005C76EF" w:rsidRDefault="000C2910" w:rsidP="000C291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C2910" w:rsidRPr="005C76EF" w:rsidRDefault="000C2910" w:rsidP="000C291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C76EF">
        <w:rPr>
          <w:rFonts w:ascii="Arial" w:hAnsi="Arial" w:cs="Arial"/>
          <w:bCs/>
          <w:sz w:val="24"/>
          <w:szCs w:val="24"/>
          <w:lang w:val="en-US"/>
        </w:rPr>
        <w:t>In the matter between: -</w:t>
      </w:r>
    </w:p>
    <w:p w:rsidR="00130778" w:rsidRDefault="00130778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MINISTER OF HOME AFFAIRS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DIRECTOR-GENERAL OF THE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DEPARTMENT OF HOME AFFAIRS</w:t>
      </w:r>
    </w:p>
    <w:p w:rsidR="000C2910" w:rsidRPr="005C76EF" w:rsidRDefault="000C2910" w:rsidP="000C291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5C76EF">
        <w:rPr>
          <w:rFonts w:ascii="Arial" w:hAnsi="Arial" w:cs="Arial"/>
          <w:bCs/>
          <w:sz w:val="24"/>
          <w:szCs w:val="24"/>
          <w:lang w:val="en-US"/>
        </w:rPr>
        <w:t>and</w:t>
      </w:r>
      <w:proofErr w:type="gramEnd"/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NILESH RAMJI PIPALIYA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KIRAN NILESH PIPALIYA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DHROOV NILESH PIPALIYA (a minor child)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3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ISHWARLAL MONANIAL BHAGWAN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4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MANJULA BHAGWAN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5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 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 re:</w:t>
      </w:r>
    </w:p>
    <w:p w:rsidR="000C2910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5C76EF">
        <w:rPr>
          <w:rFonts w:ascii="Arial" w:hAnsi="Arial" w:cs="Arial"/>
          <w:b/>
          <w:sz w:val="24"/>
          <w:szCs w:val="24"/>
          <w:lang w:val="en-US"/>
        </w:rPr>
        <w:t xml:space="preserve">          CASE NO.: </w:t>
      </w:r>
      <w:r>
        <w:rPr>
          <w:rFonts w:ascii="Arial" w:hAnsi="Arial" w:cs="Arial"/>
          <w:b/>
          <w:sz w:val="24"/>
          <w:szCs w:val="24"/>
          <w:lang w:val="en-US"/>
        </w:rPr>
        <w:t>2979/2018</w:t>
      </w:r>
    </w:p>
    <w:p w:rsidR="000C2910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0C2910" w:rsidRPr="005C76EF" w:rsidRDefault="000C2910" w:rsidP="000C291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C76EF">
        <w:rPr>
          <w:rFonts w:ascii="Arial" w:hAnsi="Arial" w:cs="Arial"/>
          <w:bCs/>
          <w:sz w:val="24"/>
          <w:szCs w:val="24"/>
          <w:lang w:val="en-US"/>
        </w:rPr>
        <w:lastRenderedPageBreak/>
        <w:t>In the matter between: -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NILESH RAMJI PIPALIYA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KIRAN NILESH PIPALIYA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DHROOV NILESH PIPALIYA (a minor child)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3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ISHWARLAL MONANIAL BHAGWAN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4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MANJULA BHAGWAN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5</w:t>
      </w:r>
      <w:r w:rsidRPr="005D4CDA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 </w:t>
      </w:r>
    </w:p>
    <w:p w:rsidR="000C2910" w:rsidRPr="005C76EF" w:rsidRDefault="000C2910" w:rsidP="000C291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5C76EF">
        <w:rPr>
          <w:rFonts w:ascii="Arial" w:hAnsi="Arial" w:cs="Arial"/>
          <w:bCs/>
          <w:sz w:val="24"/>
          <w:szCs w:val="24"/>
          <w:lang w:val="en-US"/>
        </w:rPr>
        <w:t>and</w:t>
      </w:r>
      <w:proofErr w:type="gramEnd"/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MINISTER OF HOME AFFAIRS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DIRECTOR-GENERAL OF THE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BD03C5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DEPARTMENT OF HOME AFFAIRS</w:t>
      </w:r>
    </w:p>
    <w:p w:rsidR="000C2910" w:rsidRDefault="000C2910" w:rsidP="000C291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</w:tblGrid>
      <w:tr w:rsidR="000C2910" w:rsidRPr="005C76EF" w:rsidTr="004859CF">
        <w:trPr>
          <w:trHeight w:val="2117"/>
        </w:trPr>
        <w:tc>
          <w:tcPr>
            <w:tcW w:w="4948" w:type="dxa"/>
          </w:tcPr>
          <w:p w:rsidR="000C2910" w:rsidRPr="005C76EF" w:rsidRDefault="000C2910" w:rsidP="000C2910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6EF">
              <w:rPr>
                <w:rFonts w:ascii="Arial" w:hAnsi="Arial" w:cs="Arial"/>
                <w:b/>
                <w:sz w:val="18"/>
                <w:szCs w:val="18"/>
                <w:lang w:val="en-US"/>
              </w:rPr>
              <w:t>REPORTABLE: NO</w:t>
            </w:r>
          </w:p>
          <w:p w:rsidR="000C2910" w:rsidRPr="005C76EF" w:rsidRDefault="000C2910" w:rsidP="000C2910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6EF">
              <w:rPr>
                <w:rFonts w:ascii="Arial" w:hAnsi="Arial" w:cs="Arial"/>
                <w:b/>
                <w:sz w:val="18"/>
                <w:szCs w:val="18"/>
                <w:lang w:val="en-US"/>
              </w:rPr>
              <w:t>OF INTEREST TO OTHER JUDGES: NO</w:t>
            </w:r>
          </w:p>
          <w:p w:rsidR="000C2910" w:rsidRPr="005C76EF" w:rsidRDefault="000C2910" w:rsidP="000C2910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6EF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REVISED.</w:t>
            </w:r>
          </w:p>
          <w:p w:rsidR="000C2910" w:rsidRPr="005C76EF" w:rsidRDefault="000C2910" w:rsidP="004859CF">
            <w:pPr>
              <w:spacing w:line="360" w:lineRule="auto"/>
              <w:ind w:left="44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C2910" w:rsidRPr="005C76EF" w:rsidRDefault="000C2910" w:rsidP="004859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6EF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…………………………               ………………………..</w:t>
            </w:r>
          </w:p>
          <w:p w:rsidR="000C2910" w:rsidRPr="005C76EF" w:rsidRDefault="000C2910" w:rsidP="004859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76EF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                                      Date</w:t>
            </w:r>
          </w:p>
        </w:tc>
      </w:tr>
    </w:tbl>
    <w:p w:rsidR="000C2910" w:rsidRPr="005C76EF" w:rsidRDefault="000C2910" w:rsidP="000C2910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C2910" w:rsidRPr="005C76EF" w:rsidRDefault="000C2910" w:rsidP="000C29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C2910" w:rsidRPr="005C76EF" w:rsidRDefault="000C2910" w:rsidP="000C29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C2910" w:rsidRPr="005C76EF" w:rsidRDefault="000C2910" w:rsidP="000C291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C2910" w:rsidRPr="005C76EF" w:rsidRDefault="000C2910" w:rsidP="000C291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C2910" w:rsidRPr="005C76EF" w:rsidRDefault="000C2910" w:rsidP="000C291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C2910" w:rsidRDefault="000C2910" w:rsidP="000C291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LEAVE TO APPEAL </w:t>
      </w:r>
      <w:r w:rsidRPr="005C76EF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0C2910" w:rsidRPr="005C76EF" w:rsidRDefault="000C2910" w:rsidP="000C291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C2910" w:rsidRDefault="000C2910" w:rsidP="000C2910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C76EF">
        <w:rPr>
          <w:rFonts w:ascii="Arial" w:hAnsi="Arial" w:cs="Arial"/>
          <w:b/>
          <w:sz w:val="24"/>
          <w:szCs w:val="24"/>
        </w:rPr>
        <w:t>SMITH J:</w:t>
      </w:r>
    </w:p>
    <w:p w:rsidR="00926A4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1]</w:t>
      </w:r>
      <w:r>
        <w:rPr>
          <w:rFonts w:ascii="Arial" w:hAnsi="Arial" w:cs="Arial"/>
          <w:sz w:val="24"/>
          <w:szCs w:val="24"/>
        </w:rPr>
        <w:tab/>
      </w:r>
      <w:r w:rsidR="001C5841" w:rsidRPr="00E07686">
        <w:rPr>
          <w:rFonts w:ascii="Arial" w:hAnsi="Arial" w:cs="Arial"/>
          <w:sz w:val="24"/>
          <w:szCs w:val="24"/>
        </w:rPr>
        <w:t xml:space="preserve">The respondents seek leave to appeal against my judgment </w:t>
      </w:r>
      <w:r w:rsidR="00605B4F" w:rsidRPr="00E07686">
        <w:rPr>
          <w:rFonts w:ascii="Arial" w:hAnsi="Arial" w:cs="Arial"/>
          <w:sz w:val="24"/>
          <w:szCs w:val="24"/>
        </w:rPr>
        <w:t xml:space="preserve">delivered on 31 January 2024 and </w:t>
      </w:r>
      <w:r w:rsidR="00052690">
        <w:rPr>
          <w:rFonts w:ascii="Arial" w:hAnsi="Arial" w:cs="Arial"/>
          <w:sz w:val="24"/>
          <w:szCs w:val="24"/>
        </w:rPr>
        <w:t>rescinding the order</w:t>
      </w:r>
      <w:r w:rsidR="001C5841" w:rsidRPr="00E07686">
        <w:rPr>
          <w:rFonts w:ascii="Arial" w:hAnsi="Arial" w:cs="Arial"/>
          <w:sz w:val="24"/>
          <w:szCs w:val="24"/>
        </w:rPr>
        <w:t xml:space="preserve"> granted by </w:t>
      </w:r>
      <w:proofErr w:type="spellStart"/>
      <w:r w:rsidR="001C5841" w:rsidRPr="00E07686">
        <w:rPr>
          <w:rFonts w:ascii="Arial" w:hAnsi="Arial" w:cs="Arial"/>
          <w:sz w:val="24"/>
          <w:szCs w:val="24"/>
        </w:rPr>
        <w:t>Bloem</w:t>
      </w:r>
      <w:proofErr w:type="spellEnd"/>
      <w:r w:rsidR="001C5841" w:rsidRPr="00E07686">
        <w:rPr>
          <w:rFonts w:ascii="Arial" w:hAnsi="Arial" w:cs="Arial"/>
          <w:sz w:val="24"/>
          <w:szCs w:val="24"/>
        </w:rPr>
        <w:t xml:space="preserve"> J on 20 November 2018 </w:t>
      </w:r>
      <w:r w:rsidR="00AD6781" w:rsidRPr="00E07686">
        <w:rPr>
          <w:rFonts w:ascii="Arial" w:hAnsi="Arial" w:cs="Arial"/>
          <w:sz w:val="24"/>
          <w:szCs w:val="24"/>
        </w:rPr>
        <w:t>(</w:t>
      </w:r>
      <w:r w:rsidR="001C5841" w:rsidRPr="00E07686">
        <w:rPr>
          <w:rFonts w:ascii="Arial" w:hAnsi="Arial" w:cs="Arial"/>
          <w:sz w:val="24"/>
          <w:szCs w:val="24"/>
        </w:rPr>
        <w:t>issuing a rule nisi</w:t>
      </w:r>
      <w:r w:rsidR="00AD6781" w:rsidRPr="00E07686">
        <w:rPr>
          <w:rFonts w:ascii="Arial" w:hAnsi="Arial" w:cs="Arial"/>
          <w:sz w:val="24"/>
          <w:szCs w:val="24"/>
        </w:rPr>
        <w:t>)</w:t>
      </w:r>
      <w:r w:rsidR="001C5841" w:rsidRPr="00E07686">
        <w:rPr>
          <w:rFonts w:ascii="Arial" w:hAnsi="Arial" w:cs="Arial"/>
          <w:sz w:val="24"/>
          <w:szCs w:val="24"/>
        </w:rPr>
        <w:t xml:space="preserve"> and </w:t>
      </w:r>
      <w:r w:rsidR="00AD6781" w:rsidRPr="00E07686">
        <w:rPr>
          <w:rFonts w:ascii="Arial" w:hAnsi="Arial" w:cs="Arial"/>
          <w:sz w:val="24"/>
          <w:szCs w:val="24"/>
        </w:rPr>
        <w:t xml:space="preserve">the </w:t>
      </w:r>
      <w:r w:rsidR="001C5841" w:rsidRPr="00E07686">
        <w:rPr>
          <w:rFonts w:ascii="Arial" w:hAnsi="Arial" w:cs="Arial"/>
          <w:sz w:val="24"/>
          <w:szCs w:val="24"/>
        </w:rPr>
        <w:t xml:space="preserve">confirmation of the rule by Pickering J on 4 December 2018. </w:t>
      </w:r>
      <w:r w:rsidR="00503D96" w:rsidRPr="00E07686">
        <w:rPr>
          <w:rFonts w:ascii="Arial" w:hAnsi="Arial" w:cs="Arial"/>
          <w:sz w:val="24"/>
          <w:szCs w:val="24"/>
        </w:rPr>
        <w:t>In terms of those orders the respondents were granted permanent residence</w:t>
      </w:r>
      <w:r w:rsidR="00252029" w:rsidRPr="00E07686">
        <w:rPr>
          <w:rFonts w:ascii="Arial" w:hAnsi="Arial" w:cs="Arial"/>
          <w:sz w:val="24"/>
          <w:szCs w:val="24"/>
        </w:rPr>
        <w:t xml:space="preserve"> in the Republic</w:t>
      </w:r>
      <w:r w:rsidR="00503D96" w:rsidRPr="00E07686">
        <w:rPr>
          <w:rFonts w:ascii="Arial" w:hAnsi="Arial" w:cs="Arial"/>
          <w:sz w:val="24"/>
          <w:szCs w:val="24"/>
        </w:rPr>
        <w:t>.</w:t>
      </w:r>
      <w:r w:rsidR="001C5841" w:rsidRPr="00E07686">
        <w:rPr>
          <w:rFonts w:ascii="Arial" w:hAnsi="Arial" w:cs="Arial"/>
          <w:sz w:val="24"/>
          <w:szCs w:val="24"/>
        </w:rPr>
        <w:t xml:space="preserve"> </w:t>
      </w:r>
    </w:p>
    <w:p w:rsidR="00130778" w:rsidRPr="00E07686" w:rsidRDefault="00130778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5A31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[2]</w:t>
      </w:r>
      <w:r>
        <w:rPr>
          <w:rFonts w:ascii="Arial" w:hAnsi="Arial" w:cs="Arial"/>
          <w:sz w:val="24"/>
          <w:szCs w:val="24"/>
        </w:rPr>
        <w:tab/>
      </w:r>
      <w:r w:rsidR="00F95A31" w:rsidRPr="00E07686">
        <w:rPr>
          <w:rFonts w:ascii="Arial" w:hAnsi="Arial" w:cs="Arial"/>
          <w:sz w:val="24"/>
          <w:szCs w:val="24"/>
        </w:rPr>
        <w:t>The applicant contends that the judgment is not appealable</w:t>
      </w:r>
      <w:r w:rsidR="00A77267" w:rsidRPr="00E07686">
        <w:rPr>
          <w:rFonts w:ascii="Arial" w:hAnsi="Arial" w:cs="Arial"/>
          <w:sz w:val="24"/>
          <w:szCs w:val="24"/>
        </w:rPr>
        <w:t xml:space="preserve"> since it does</w:t>
      </w:r>
      <w:r w:rsidR="00F95A31" w:rsidRPr="00E07686">
        <w:rPr>
          <w:rFonts w:ascii="Arial" w:hAnsi="Arial" w:cs="Arial"/>
          <w:sz w:val="24"/>
          <w:szCs w:val="24"/>
        </w:rPr>
        <w:t xml:space="preserve"> not </w:t>
      </w:r>
      <w:r w:rsidR="00A77267" w:rsidRPr="00E07686">
        <w:rPr>
          <w:rFonts w:ascii="Arial" w:hAnsi="Arial" w:cs="Arial"/>
          <w:sz w:val="24"/>
          <w:szCs w:val="24"/>
        </w:rPr>
        <w:t>have a final effect</w:t>
      </w:r>
      <w:r w:rsidR="00F95A31" w:rsidRPr="00E07686">
        <w:rPr>
          <w:rFonts w:ascii="Arial" w:hAnsi="Arial" w:cs="Arial"/>
          <w:sz w:val="24"/>
          <w:szCs w:val="24"/>
        </w:rPr>
        <w:t xml:space="preserve"> and does not dispose of a substantial portion of the </w:t>
      </w:r>
      <w:r w:rsidR="00A77267" w:rsidRPr="00E07686">
        <w:rPr>
          <w:rFonts w:ascii="Arial" w:hAnsi="Arial" w:cs="Arial"/>
          <w:sz w:val="24"/>
          <w:szCs w:val="24"/>
        </w:rPr>
        <w:t xml:space="preserve">relief claimed by the respondents. </w:t>
      </w:r>
    </w:p>
    <w:p w:rsidR="00130778" w:rsidRDefault="00130778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7267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A77267" w:rsidRPr="00E07686">
        <w:rPr>
          <w:rFonts w:ascii="Arial" w:hAnsi="Arial" w:cs="Arial"/>
          <w:sz w:val="24"/>
          <w:szCs w:val="24"/>
        </w:rPr>
        <w:t xml:space="preserve">I am of the view that this is a good point. In </w:t>
      </w:r>
      <w:proofErr w:type="spellStart"/>
      <w:r w:rsidR="00A77267" w:rsidRPr="00E07686">
        <w:rPr>
          <w:rFonts w:ascii="Arial" w:hAnsi="Arial" w:cs="Arial"/>
          <w:i/>
          <w:sz w:val="24"/>
          <w:szCs w:val="24"/>
        </w:rPr>
        <w:t>Tswane</w:t>
      </w:r>
      <w:proofErr w:type="spellEnd"/>
      <w:r w:rsidR="00A77267" w:rsidRPr="00E07686">
        <w:rPr>
          <w:rFonts w:ascii="Arial" w:hAnsi="Arial" w:cs="Arial"/>
          <w:i/>
          <w:sz w:val="24"/>
          <w:szCs w:val="24"/>
        </w:rPr>
        <w:t xml:space="preserve"> City v </w:t>
      </w:r>
      <w:proofErr w:type="spellStart"/>
      <w:r w:rsidR="00A77267" w:rsidRPr="00E07686">
        <w:rPr>
          <w:rFonts w:ascii="Arial" w:hAnsi="Arial" w:cs="Arial"/>
          <w:i/>
          <w:sz w:val="24"/>
          <w:szCs w:val="24"/>
        </w:rPr>
        <w:t>Afriforum</w:t>
      </w:r>
      <w:proofErr w:type="spellEnd"/>
      <w:r w:rsidR="00A77267" w:rsidRPr="00E07686">
        <w:rPr>
          <w:rFonts w:ascii="Arial" w:hAnsi="Arial" w:cs="Arial"/>
          <w:sz w:val="24"/>
          <w:szCs w:val="24"/>
        </w:rPr>
        <w:t xml:space="preserve"> 2016 (2) SA 276 (CC)</w:t>
      </w:r>
      <w:r w:rsidR="00490DC4" w:rsidRPr="00E07686">
        <w:rPr>
          <w:rFonts w:ascii="Arial" w:hAnsi="Arial" w:cs="Arial"/>
          <w:sz w:val="24"/>
          <w:szCs w:val="24"/>
        </w:rPr>
        <w:t>,</w:t>
      </w:r>
      <w:r w:rsidR="00A77267" w:rsidRPr="00E07686">
        <w:rPr>
          <w:rFonts w:ascii="Arial" w:hAnsi="Arial" w:cs="Arial"/>
          <w:sz w:val="24"/>
          <w:szCs w:val="24"/>
        </w:rPr>
        <w:t xml:space="preserve"> the Constitutional Court held that the decisive question in the determination of </w:t>
      </w:r>
      <w:r w:rsidR="00CF76A3" w:rsidRPr="00E0768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F76A3" w:rsidRPr="00E07686">
        <w:rPr>
          <w:rFonts w:ascii="Arial" w:hAnsi="Arial" w:cs="Arial"/>
          <w:sz w:val="24"/>
          <w:szCs w:val="24"/>
        </w:rPr>
        <w:t>appealability</w:t>
      </w:r>
      <w:proofErr w:type="spellEnd"/>
      <w:r w:rsidR="00CF76A3" w:rsidRPr="00E07686">
        <w:rPr>
          <w:rFonts w:ascii="Arial" w:hAnsi="Arial" w:cs="Arial"/>
          <w:sz w:val="24"/>
          <w:szCs w:val="24"/>
        </w:rPr>
        <w:t xml:space="preserve"> of an interim order </w:t>
      </w:r>
      <w:r w:rsidR="00A77267" w:rsidRPr="00E07686">
        <w:rPr>
          <w:rFonts w:ascii="Arial" w:hAnsi="Arial" w:cs="Arial"/>
          <w:sz w:val="24"/>
          <w:szCs w:val="24"/>
        </w:rPr>
        <w:t>is no longer whether it has final effect or disposes of a substantial portion of the relief sought in the main application</w:t>
      </w:r>
      <w:r w:rsidR="00CC340D" w:rsidRPr="00E07686">
        <w:rPr>
          <w:rFonts w:ascii="Arial" w:hAnsi="Arial" w:cs="Arial"/>
          <w:sz w:val="24"/>
          <w:szCs w:val="24"/>
        </w:rPr>
        <w:t>, but whether it would be in the interest</w:t>
      </w:r>
      <w:r w:rsidR="00AD6781" w:rsidRPr="00E07686">
        <w:rPr>
          <w:rFonts w:ascii="Arial" w:hAnsi="Arial" w:cs="Arial"/>
          <w:sz w:val="24"/>
          <w:szCs w:val="24"/>
        </w:rPr>
        <w:t>s</w:t>
      </w:r>
      <w:r w:rsidR="00CC340D" w:rsidRPr="00E07686">
        <w:rPr>
          <w:rFonts w:ascii="Arial" w:hAnsi="Arial" w:cs="Arial"/>
          <w:sz w:val="24"/>
          <w:szCs w:val="24"/>
        </w:rPr>
        <w:t xml:space="preserve"> of justice to grant leave to appeal</w:t>
      </w:r>
      <w:r w:rsidR="00A77267" w:rsidRPr="00E07686">
        <w:rPr>
          <w:rFonts w:ascii="Arial" w:hAnsi="Arial" w:cs="Arial"/>
          <w:sz w:val="24"/>
          <w:szCs w:val="24"/>
        </w:rPr>
        <w:t xml:space="preserve">. Although those factors remain </w:t>
      </w:r>
      <w:r w:rsidR="0058091C" w:rsidRPr="00E07686">
        <w:rPr>
          <w:rFonts w:ascii="Arial" w:hAnsi="Arial" w:cs="Arial"/>
          <w:sz w:val="24"/>
          <w:szCs w:val="24"/>
        </w:rPr>
        <w:t>germane</w:t>
      </w:r>
      <w:r w:rsidR="00FD703B" w:rsidRPr="00E07686">
        <w:rPr>
          <w:rFonts w:ascii="Arial" w:hAnsi="Arial" w:cs="Arial"/>
          <w:sz w:val="24"/>
          <w:szCs w:val="24"/>
        </w:rPr>
        <w:t xml:space="preserve"> and </w:t>
      </w:r>
      <w:r w:rsidR="00075843" w:rsidRPr="00E07686">
        <w:rPr>
          <w:rFonts w:ascii="Arial" w:hAnsi="Arial" w:cs="Arial"/>
          <w:sz w:val="24"/>
          <w:szCs w:val="24"/>
        </w:rPr>
        <w:t>important</w:t>
      </w:r>
      <w:r w:rsidR="00A77267" w:rsidRPr="00E07686">
        <w:rPr>
          <w:rFonts w:ascii="Arial" w:hAnsi="Arial" w:cs="Arial"/>
          <w:sz w:val="24"/>
          <w:szCs w:val="24"/>
        </w:rPr>
        <w:t xml:space="preserve">, it is just as important to assess whether the temporary order </w:t>
      </w:r>
      <w:r w:rsidR="00CF76A3" w:rsidRPr="00E07686">
        <w:rPr>
          <w:rFonts w:ascii="Arial" w:hAnsi="Arial" w:cs="Arial"/>
          <w:sz w:val="24"/>
          <w:szCs w:val="24"/>
        </w:rPr>
        <w:t>has</w:t>
      </w:r>
      <w:r w:rsidR="0058091C" w:rsidRPr="00E07686">
        <w:rPr>
          <w:rFonts w:ascii="Arial" w:hAnsi="Arial" w:cs="Arial"/>
          <w:sz w:val="24"/>
          <w:szCs w:val="24"/>
        </w:rPr>
        <w:t xml:space="preserve"> immediate and substantial effect, including whether the harm that flows from it is </w:t>
      </w:r>
      <w:r w:rsidR="00DC7E58" w:rsidRPr="00E07686">
        <w:rPr>
          <w:rFonts w:ascii="Arial" w:hAnsi="Arial" w:cs="Arial"/>
          <w:sz w:val="24"/>
          <w:szCs w:val="24"/>
        </w:rPr>
        <w:t>‘</w:t>
      </w:r>
      <w:r w:rsidR="0058091C" w:rsidRPr="00E07686">
        <w:rPr>
          <w:rFonts w:ascii="Arial" w:hAnsi="Arial" w:cs="Arial"/>
          <w:sz w:val="24"/>
          <w:szCs w:val="24"/>
        </w:rPr>
        <w:t>serious, immediate, ongoing and irreparable</w:t>
      </w:r>
      <w:r w:rsidR="00CC340D" w:rsidRPr="00E07686">
        <w:rPr>
          <w:rFonts w:ascii="Arial" w:hAnsi="Arial" w:cs="Arial"/>
          <w:sz w:val="24"/>
          <w:szCs w:val="24"/>
        </w:rPr>
        <w:t>.</w:t>
      </w:r>
      <w:r w:rsidR="00DC7E58" w:rsidRPr="00E07686">
        <w:rPr>
          <w:rFonts w:ascii="Arial" w:hAnsi="Arial" w:cs="Arial"/>
          <w:sz w:val="24"/>
          <w:szCs w:val="24"/>
        </w:rPr>
        <w:t>’</w:t>
      </w:r>
      <w:r w:rsidR="0058091C" w:rsidRPr="00E07686">
        <w:rPr>
          <w:rFonts w:ascii="Arial" w:hAnsi="Arial" w:cs="Arial"/>
          <w:sz w:val="24"/>
          <w:szCs w:val="24"/>
        </w:rPr>
        <w:t xml:space="preserve"> </w:t>
      </w:r>
      <w:r w:rsidR="00A77267" w:rsidRPr="00E07686">
        <w:rPr>
          <w:rFonts w:ascii="Arial" w:hAnsi="Arial" w:cs="Arial"/>
          <w:sz w:val="24"/>
          <w:szCs w:val="24"/>
        </w:rPr>
        <w:t xml:space="preserve"> </w:t>
      </w:r>
      <w:r w:rsidR="00CC340D" w:rsidRPr="00E07686">
        <w:rPr>
          <w:rFonts w:ascii="Arial" w:hAnsi="Arial" w:cs="Arial"/>
          <w:sz w:val="24"/>
          <w:szCs w:val="24"/>
        </w:rPr>
        <w:t>(</w:t>
      </w:r>
      <w:r w:rsidR="00CC340D" w:rsidRPr="00E07686">
        <w:rPr>
          <w:rFonts w:ascii="Arial" w:hAnsi="Arial" w:cs="Arial"/>
          <w:i/>
          <w:sz w:val="24"/>
          <w:szCs w:val="24"/>
        </w:rPr>
        <w:t>National Treasury and others v Opposition to Urban Tolling and others</w:t>
      </w:r>
      <w:r w:rsidR="00CC340D" w:rsidRPr="00E07686">
        <w:rPr>
          <w:rFonts w:ascii="Arial" w:hAnsi="Arial" w:cs="Arial"/>
          <w:sz w:val="24"/>
          <w:szCs w:val="24"/>
        </w:rPr>
        <w:t xml:space="preserve"> 2012 (6) SA 223 (CC), at para</w:t>
      </w:r>
      <w:r w:rsidR="006855F6" w:rsidRPr="00E07686">
        <w:rPr>
          <w:rFonts w:ascii="Arial" w:hAnsi="Arial" w:cs="Arial"/>
          <w:sz w:val="24"/>
          <w:szCs w:val="24"/>
        </w:rPr>
        <w:t xml:space="preserve"> 35</w:t>
      </w:r>
      <w:r w:rsidR="00CF76A3" w:rsidRPr="00E07686">
        <w:rPr>
          <w:rFonts w:ascii="Arial" w:hAnsi="Arial" w:cs="Arial"/>
          <w:sz w:val="24"/>
          <w:szCs w:val="24"/>
        </w:rPr>
        <w:t>)</w:t>
      </w:r>
    </w:p>
    <w:p w:rsidR="000C2910" w:rsidRPr="00E0768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6DA1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535466" w:rsidRPr="00E07686">
        <w:rPr>
          <w:rFonts w:ascii="Arial" w:hAnsi="Arial" w:cs="Arial"/>
          <w:sz w:val="24"/>
          <w:szCs w:val="24"/>
        </w:rPr>
        <w:t xml:space="preserve">The effect of the judgment rescinding </w:t>
      </w:r>
      <w:r w:rsidR="00B74A11" w:rsidRPr="00E07686">
        <w:rPr>
          <w:rFonts w:ascii="Arial" w:hAnsi="Arial" w:cs="Arial"/>
          <w:sz w:val="24"/>
          <w:szCs w:val="24"/>
        </w:rPr>
        <w:t xml:space="preserve">the abovementioned </w:t>
      </w:r>
      <w:r w:rsidR="00535466" w:rsidRPr="00E07686">
        <w:rPr>
          <w:rFonts w:ascii="Arial" w:hAnsi="Arial" w:cs="Arial"/>
          <w:sz w:val="24"/>
          <w:szCs w:val="24"/>
        </w:rPr>
        <w:t>order</w:t>
      </w:r>
      <w:r w:rsidR="00B74A11" w:rsidRPr="00E07686">
        <w:rPr>
          <w:rFonts w:ascii="Arial" w:hAnsi="Arial" w:cs="Arial"/>
          <w:sz w:val="24"/>
          <w:szCs w:val="24"/>
        </w:rPr>
        <w:t>s</w:t>
      </w:r>
      <w:r w:rsidR="00535466" w:rsidRPr="00E07686">
        <w:rPr>
          <w:rFonts w:ascii="Arial" w:hAnsi="Arial" w:cs="Arial"/>
          <w:sz w:val="24"/>
          <w:szCs w:val="24"/>
        </w:rPr>
        <w:t xml:space="preserve"> is that the </w:t>
      </w:r>
      <w:proofErr w:type="spellStart"/>
      <w:r w:rsidR="00535466" w:rsidRPr="00E07686">
        <w:rPr>
          <w:rFonts w:ascii="Arial" w:hAnsi="Arial" w:cs="Arial"/>
          <w:i/>
          <w:sz w:val="24"/>
          <w:szCs w:val="24"/>
        </w:rPr>
        <w:t>lis</w:t>
      </w:r>
      <w:proofErr w:type="spellEnd"/>
      <w:r w:rsidR="00535466" w:rsidRPr="00E07686">
        <w:rPr>
          <w:rFonts w:ascii="Arial" w:hAnsi="Arial" w:cs="Arial"/>
          <w:sz w:val="24"/>
          <w:szCs w:val="24"/>
        </w:rPr>
        <w:t xml:space="preserve"> between the parties in the main application remain</w:t>
      </w:r>
      <w:r w:rsidR="00B6012F" w:rsidRPr="00E07686">
        <w:rPr>
          <w:rFonts w:ascii="Arial" w:hAnsi="Arial" w:cs="Arial"/>
          <w:sz w:val="24"/>
          <w:szCs w:val="24"/>
        </w:rPr>
        <w:t>s</w:t>
      </w:r>
      <w:r w:rsidR="00535466" w:rsidRPr="00E07686">
        <w:rPr>
          <w:rFonts w:ascii="Arial" w:hAnsi="Arial" w:cs="Arial"/>
          <w:sz w:val="24"/>
          <w:szCs w:val="24"/>
        </w:rPr>
        <w:t xml:space="preserve"> extant. It is accordingly interlocutory in nature, does not have final effect and does not dispose of a substantial portion of the relief sought by the resp</w:t>
      </w:r>
      <w:r w:rsidR="00BD3724" w:rsidRPr="00E07686">
        <w:rPr>
          <w:rFonts w:ascii="Arial" w:hAnsi="Arial" w:cs="Arial"/>
          <w:sz w:val="24"/>
          <w:szCs w:val="24"/>
        </w:rPr>
        <w:t>o</w:t>
      </w:r>
      <w:r w:rsidR="00535466" w:rsidRPr="00E07686">
        <w:rPr>
          <w:rFonts w:ascii="Arial" w:hAnsi="Arial" w:cs="Arial"/>
          <w:sz w:val="24"/>
          <w:szCs w:val="24"/>
        </w:rPr>
        <w:t>ndents.</w:t>
      </w:r>
      <w:r w:rsidR="001D40B9" w:rsidRPr="00E07686">
        <w:rPr>
          <w:rFonts w:ascii="Arial" w:hAnsi="Arial" w:cs="Arial"/>
          <w:sz w:val="24"/>
          <w:szCs w:val="24"/>
        </w:rPr>
        <w:t xml:space="preserve"> There can also not be any conceivable harm to</w:t>
      </w:r>
      <w:r w:rsidR="00B74A11" w:rsidRPr="00E07686">
        <w:rPr>
          <w:rFonts w:ascii="Arial" w:hAnsi="Arial" w:cs="Arial"/>
          <w:sz w:val="24"/>
          <w:szCs w:val="24"/>
        </w:rPr>
        <w:t xml:space="preserve"> the respondents since they remain entitled </w:t>
      </w:r>
      <w:r w:rsidR="001D40B9" w:rsidRPr="00E07686">
        <w:rPr>
          <w:rFonts w:ascii="Arial" w:hAnsi="Arial" w:cs="Arial"/>
          <w:sz w:val="24"/>
          <w:szCs w:val="24"/>
        </w:rPr>
        <w:t>to pursue the relief sought in the main application.</w:t>
      </w:r>
      <w:r w:rsidR="00D64628" w:rsidRPr="00E07686">
        <w:rPr>
          <w:rFonts w:ascii="Arial" w:hAnsi="Arial" w:cs="Arial"/>
          <w:sz w:val="24"/>
          <w:szCs w:val="24"/>
        </w:rPr>
        <w:t xml:space="preserve"> </w:t>
      </w:r>
      <w:r w:rsidR="00D95A04" w:rsidRPr="00E07686">
        <w:rPr>
          <w:rFonts w:ascii="Arial" w:hAnsi="Arial" w:cs="Arial"/>
          <w:sz w:val="24"/>
          <w:szCs w:val="24"/>
        </w:rPr>
        <w:t xml:space="preserve">I am accordingly not </w:t>
      </w:r>
      <w:r w:rsidR="00071017" w:rsidRPr="00E07686">
        <w:rPr>
          <w:rFonts w:ascii="Arial" w:hAnsi="Arial" w:cs="Arial"/>
          <w:sz w:val="24"/>
          <w:szCs w:val="24"/>
        </w:rPr>
        <w:t xml:space="preserve">persuaded </w:t>
      </w:r>
      <w:r w:rsidR="00D95A04" w:rsidRPr="00E07686">
        <w:rPr>
          <w:rFonts w:ascii="Arial" w:hAnsi="Arial" w:cs="Arial"/>
          <w:sz w:val="24"/>
          <w:szCs w:val="24"/>
        </w:rPr>
        <w:t>that it will be in the interests of justice to grant the leave to appeal.</w:t>
      </w:r>
    </w:p>
    <w:p w:rsidR="000C2910" w:rsidRPr="00E0768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4628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D64628" w:rsidRPr="00E07686">
        <w:rPr>
          <w:rFonts w:ascii="Arial" w:hAnsi="Arial" w:cs="Arial"/>
          <w:sz w:val="24"/>
          <w:szCs w:val="24"/>
        </w:rPr>
        <w:t xml:space="preserve">For these reasons I am of the view that the judgment is not appealable. Because of this finding it is not necessary for me to consider whether the </w:t>
      </w:r>
      <w:r w:rsidR="00BB35D3" w:rsidRPr="00E07686">
        <w:rPr>
          <w:rFonts w:ascii="Arial" w:hAnsi="Arial" w:cs="Arial"/>
          <w:sz w:val="24"/>
          <w:szCs w:val="24"/>
        </w:rPr>
        <w:t>respondents have been able to show reasonable prospects of success.</w:t>
      </w:r>
    </w:p>
    <w:p w:rsidR="000C2910" w:rsidRPr="00E0768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9E8" w:rsidRPr="00E0768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FA49E8" w:rsidRPr="00E07686">
        <w:rPr>
          <w:rFonts w:ascii="Arial" w:hAnsi="Arial" w:cs="Arial"/>
          <w:sz w:val="24"/>
          <w:szCs w:val="24"/>
        </w:rPr>
        <w:t>In the result the application for leave to appeal is dismissed with costs.</w:t>
      </w:r>
    </w:p>
    <w:p w:rsidR="00CF76A3" w:rsidRDefault="00CF76A3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291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291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67D0">
        <w:rPr>
          <w:rFonts w:ascii="Arial" w:hAnsi="Arial" w:cs="Arial"/>
          <w:b/>
          <w:sz w:val="24"/>
          <w:szCs w:val="24"/>
        </w:rPr>
        <w:t>________________________</w:t>
      </w: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67D0">
        <w:rPr>
          <w:rFonts w:ascii="Arial" w:hAnsi="Arial" w:cs="Arial"/>
          <w:b/>
          <w:sz w:val="24"/>
          <w:szCs w:val="24"/>
        </w:rPr>
        <w:t>JE SMITH</w:t>
      </w: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67D0">
        <w:rPr>
          <w:rFonts w:ascii="Arial" w:hAnsi="Arial" w:cs="Arial"/>
          <w:b/>
          <w:sz w:val="24"/>
          <w:szCs w:val="24"/>
        </w:rPr>
        <w:t>JUDGE OF THE HIGH COURT</w:t>
      </w: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67D0">
        <w:rPr>
          <w:rFonts w:ascii="Arial" w:hAnsi="Arial" w:cs="Arial"/>
          <w:b/>
          <w:sz w:val="24"/>
          <w:szCs w:val="24"/>
        </w:rPr>
        <w:lastRenderedPageBreak/>
        <w:t>Appearances:</w:t>
      </w: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for the Applicants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67D0">
        <w:rPr>
          <w:rFonts w:ascii="Arial" w:hAnsi="Arial" w:cs="Arial"/>
          <w:sz w:val="24"/>
          <w:szCs w:val="24"/>
        </w:rPr>
        <w:t xml:space="preserve">:  </w:t>
      </w:r>
      <w:r w:rsidRPr="0008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Adv. </w:t>
      </w:r>
      <w:r w:rsidR="00130778"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Appels</w:t>
      </w:r>
      <w:proofErr w:type="spellEnd"/>
    </w:p>
    <w:p w:rsidR="000C291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67D0">
        <w:rPr>
          <w:rFonts w:ascii="Arial" w:hAnsi="Arial" w:cs="Arial"/>
          <w:sz w:val="24"/>
          <w:szCs w:val="24"/>
        </w:rPr>
        <w:t>:</w:t>
      </w:r>
      <w:r w:rsidRPr="0008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State Attorneys</w:t>
      </w:r>
    </w:p>
    <w:p w:rsidR="000C291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 Western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GQEBERHA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(Ref.: MN Swartz/1773/2018/TS)</w:t>
      </w:r>
    </w:p>
    <w:p w:rsidR="000C2910" w:rsidRDefault="000C2910" w:rsidP="000C2910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0C2910" w:rsidRPr="000867D0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67D0">
        <w:rPr>
          <w:rFonts w:ascii="Arial" w:hAnsi="Arial" w:cs="Arial"/>
          <w:sz w:val="24"/>
          <w:szCs w:val="24"/>
        </w:rPr>
        <w:t xml:space="preserve">Counsel for the </w:t>
      </w:r>
      <w:r>
        <w:rPr>
          <w:rFonts w:ascii="Arial" w:hAnsi="Arial" w:cs="Arial"/>
          <w:sz w:val="24"/>
          <w:szCs w:val="24"/>
        </w:rPr>
        <w:t>Respondents</w:t>
      </w:r>
      <w:r w:rsidRPr="000867D0">
        <w:rPr>
          <w:rFonts w:ascii="Arial" w:hAnsi="Arial" w:cs="Arial"/>
          <w:sz w:val="24"/>
          <w:szCs w:val="24"/>
        </w:rPr>
        <w:tab/>
        <w:t xml:space="preserve">: </w:t>
      </w:r>
      <w:r w:rsidRPr="0008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Adv. </w:t>
      </w:r>
      <w:r w:rsidR="00130778">
        <w:rPr>
          <w:rFonts w:ascii="Arial" w:hAnsi="Arial" w:cs="Arial"/>
          <w:sz w:val="24"/>
          <w:szCs w:val="24"/>
        </w:rPr>
        <w:t>RG Buchanan SC</w:t>
      </w:r>
      <w:r w:rsidRPr="000867D0">
        <w:rPr>
          <w:rFonts w:ascii="Arial" w:hAnsi="Arial" w:cs="Arial"/>
          <w:sz w:val="24"/>
          <w:szCs w:val="24"/>
        </w:rPr>
        <w:t xml:space="preserve"> </w:t>
      </w:r>
    </w:p>
    <w:p w:rsidR="000C2910" w:rsidRDefault="000C2910" w:rsidP="000C2910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0867D0">
        <w:rPr>
          <w:rFonts w:ascii="Arial" w:hAnsi="Arial" w:cs="Arial"/>
          <w:sz w:val="24"/>
          <w:szCs w:val="24"/>
        </w:rPr>
        <w:t>:</w:t>
      </w:r>
      <w:r w:rsidRPr="0008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Lessing, </w:t>
      </w:r>
      <w:proofErr w:type="spellStart"/>
      <w:r>
        <w:rPr>
          <w:rFonts w:ascii="Arial" w:hAnsi="Arial" w:cs="Arial"/>
          <w:sz w:val="24"/>
          <w:szCs w:val="24"/>
        </w:rPr>
        <w:t>Heyns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Keyter</w:t>
      </w:r>
      <w:proofErr w:type="spellEnd"/>
      <w:r>
        <w:rPr>
          <w:rFonts w:ascii="Arial" w:hAnsi="Arial" w:cs="Arial"/>
          <w:sz w:val="24"/>
          <w:szCs w:val="24"/>
        </w:rPr>
        <w:t xml:space="preserve"> &amp; Van Der Bank Inc.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 Cape road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 Park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GQEBERHA</w:t>
      </w:r>
    </w:p>
    <w:p w:rsidR="000C2910" w:rsidRDefault="000C2910" w:rsidP="000C2910">
      <w:pPr>
        <w:spacing w:after="0" w:line="36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(REF: </w:t>
      </w:r>
      <w:proofErr w:type="spellStart"/>
      <w:r>
        <w:rPr>
          <w:rFonts w:ascii="Arial" w:hAnsi="Arial" w:cs="Arial"/>
          <w:sz w:val="24"/>
          <w:szCs w:val="24"/>
        </w:rPr>
        <w:t>Mr.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Heyns</w:t>
      </w:r>
      <w:proofErr w:type="spellEnd"/>
      <w:r>
        <w:rPr>
          <w:rFonts w:ascii="Arial" w:hAnsi="Arial" w:cs="Arial"/>
          <w:sz w:val="24"/>
          <w:szCs w:val="24"/>
        </w:rPr>
        <w:t>/SN/P1455)</w:t>
      </w:r>
    </w:p>
    <w:p w:rsidR="000C2910" w:rsidRPr="00E07686" w:rsidRDefault="000C2910" w:rsidP="000C2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C2910" w:rsidRPr="00E0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4DD0"/>
    <w:multiLevelType w:val="hybridMultilevel"/>
    <w:tmpl w:val="676614AC"/>
    <w:lvl w:ilvl="0" w:tplc="7F123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1"/>
    <w:rsid w:val="00052690"/>
    <w:rsid w:val="00071017"/>
    <w:rsid w:val="00075843"/>
    <w:rsid w:val="000C2910"/>
    <w:rsid w:val="00130778"/>
    <w:rsid w:val="001C5841"/>
    <w:rsid w:val="001D40B9"/>
    <w:rsid w:val="00252029"/>
    <w:rsid w:val="002D3FB6"/>
    <w:rsid w:val="0032333E"/>
    <w:rsid w:val="00490DC4"/>
    <w:rsid w:val="00503D96"/>
    <w:rsid w:val="00535466"/>
    <w:rsid w:val="0058091C"/>
    <w:rsid w:val="005F4D7A"/>
    <w:rsid w:val="00605B4F"/>
    <w:rsid w:val="006855F6"/>
    <w:rsid w:val="006D4A02"/>
    <w:rsid w:val="00782E66"/>
    <w:rsid w:val="00926A46"/>
    <w:rsid w:val="00A3354C"/>
    <w:rsid w:val="00A77267"/>
    <w:rsid w:val="00AD6781"/>
    <w:rsid w:val="00B6012F"/>
    <w:rsid w:val="00B74A11"/>
    <w:rsid w:val="00BB35D3"/>
    <w:rsid w:val="00BD3724"/>
    <w:rsid w:val="00C60664"/>
    <w:rsid w:val="00CC340D"/>
    <w:rsid w:val="00CF76A3"/>
    <w:rsid w:val="00D64628"/>
    <w:rsid w:val="00D95A04"/>
    <w:rsid w:val="00DC7E58"/>
    <w:rsid w:val="00DD1EC3"/>
    <w:rsid w:val="00E07686"/>
    <w:rsid w:val="00F02336"/>
    <w:rsid w:val="00F26DA1"/>
    <w:rsid w:val="00F95A31"/>
    <w:rsid w:val="00FA49E8"/>
    <w:rsid w:val="00FD1593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651F-D64E-4CDD-A65C-67D6604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Judge-John Smith</dc:creator>
  <cp:keywords/>
  <dc:description/>
  <cp:lastModifiedBy>Mokone</cp:lastModifiedBy>
  <cp:revision>2</cp:revision>
  <dcterms:created xsi:type="dcterms:W3CDTF">2023-05-18T08:47:00Z</dcterms:created>
  <dcterms:modified xsi:type="dcterms:W3CDTF">2023-05-18T08:47:00Z</dcterms:modified>
</cp:coreProperties>
</file>