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5C901" w14:textId="77777777" w:rsidR="005C7D79" w:rsidRPr="000160FF" w:rsidRDefault="005C7D79" w:rsidP="005C7D79">
      <w:pPr>
        <w:spacing w:line="480" w:lineRule="auto"/>
        <w:ind w:right="85"/>
        <w:rPr>
          <w:rFonts w:cs="Tahoma"/>
          <w:snapToGrid w:val="0"/>
          <w:szCs w:val="24"/>
        </w:rPr>
      </w:pPr>
      <w:r w:rsidRPr="000160FF">
        <w:rPr>
          <w:rFonts w:cs="Tahoma"/>
          <w:snapToGrid w:val="0"/>
          <w:szCs w:val="24"/>
        </w:rPr>
        <w:t>IN THE HIGH COURT OF SOUTH AFRICA</w:t>
      </w:r>
    </w:p>
    <w:p w14:paraId="047CDE18" w14:textId="198F4931" w:rsidR="005C7D79" w:rsidRPr="000160FF" w:rsidRDefault="005C7D79" w:rsidP="005C7D79">
      <w:pPr>
        <w:spacing w:line="480" w:lineRule="auto"/>
        <w:ind w:right="85"/>
        <w:rPr>
          <w:rFonts w:cs="Tahoma"/>
          <w:snapToGrid w:val="0"/>
          <w:szCs w:val="24"/>
        </w:rPr>
      </w:pPr>
      <w:r w:rsidRPr="000160FF">
        <w:rPr>
          <w:rFonts w:cs="Tahoma"/>
          <w:snapToGrid w:val="0"/>
          <w:szCs w:val="24"/>
        </w:rPr>
        <w:t>EASTERN CAPE</w:t>
      </w:r>
      <w:r w:rsidR="00CC32B3">
        <w:rPr>
          <w:rFonts w:cs="Tahoma"/>
          <w:snapToGrid w:val="0"/>
          <w:szCs w:val="24"/>
        </w:rPr>
        <w:t xml:space="preserve"> </w:t>
      </w:r>
      <w:r w:rsidRPr="000160FF">
        <w:rPr>
          <w:rFonts w:cs="Tahoma"/>
          <w:snapToGrid w:val="0"/>
          <w:szCs w:val="24"/>
        </w:rPr>
        <w:t>DIVISION, G</w:t>
      </w:r>
      <w:r w:rsidR="00CC32B3">
        <w:rPr>
          <w:rFonts w:cs="Tahoma"/>
          <w:snapToGrid w:val="0"/>
          <w:szCs w:val="24"/>
        </w:rPr>
        <w:t>QEBERHA</w:t>
      </w:r>
    </w:p>
    <w:p w14:paraId="4560F112" w14:textId="0749FC2F" w:rsidR="005C7D79" w:rsidRPr="000160FF" w:rsidRDefault="005C7D79" w:rsidP="005C7D79">
      <w:pPr>
        <w:spacing w:line="480" w:lineRule="auto"/>
        <w:ind w:left="4320"/>
        <w:rPr>
          <w:rFonts w:eastAsia="Times New Roman" w:cs="Tahoma"/>
          <w:bCs/>
          <w:noProof/>
          <w:szCs w:val="24"/>
        </w:rPr>
      </w:pPr>
      <w:r w:rsidRPr="000160FF">
        <w:rPr>
          <w:rFonts w:eastAsia="Times New Roman" w:cs="Tahoma"/>
          <w:bCs/>
          <w:noProof/>
          <w:szCs w:val="24"/>
        </w:rPr>
        <w:tab/>
      </w:r>
      <w:r w:rsidRPr="000160FF">
        <w:rPr>
          <w:rFonts w:eastAsia="Times New Roman" w:cs="Tahoma"/>
          <w:bCs/>
          <w:noProof/>
          <w:szCs w:val="24"/>
        </w:rPr>
        <w:tab/>
        <w:t>Case No.:</w:t>
      </w:r>
      <w:r w:rsidR="00C35AD9">
        <w:rPr>
          <w:rFonts w:eastAsia="Times New Roman" w:cs="Tahoma"/>
          <w:bCs/>
          <w:noProof/>
          <w:szCs w:val="24"/>
        </w:rPr>
        <w:t xml:space="preserve"> 3104/2021</w:t>
      </w:r>
      <w:r w:rsidRPr="000160FF">
        <w:rPr>
          <w:rFonts w:eastAsia="Times New Roman" w:cs="Tahoma"/>
          <w:bCs/>
          <w:noProof/>
          <w:szCs w:val="24"/>
        </w:rPr>
        <w:t xml:space="preserve"> </w:t>
      </w:r>
    </w:p>
    <w:p w14:paraId="2DAA2DC1" w14:textId="2AB64CEF" w:rsidR="005C7D79" w:rsidRPr="000160FF" w:rsidRDefault="005C7D79" w:rsidP="005C7D79">
      <w:pPr>
        <w:spacing w:line="480" w:lineRule="auto"/>
        <w:ind w:left="4320"/>
        <w:rPr>
          <w:rFonts w:eastAsia="Times New Roman" w:cs="Tahoma"/>
          <w:noProof/>
          <w:szCs w:val="24"/>
        </w:rPr>
      </w:pPr>
      <w:r w:rsidRPr="000160FF">
        <w:rPr>
          <w:rFonts w:eastAsia="Times New Roman" w:cs="Tahoma"/>
          <w:bCs/>
          <w:noProof/>
          <w:szCs w:val="24"/>
        </w:rPr>
        <w:tab/>
      </w:r>
      <w:r w:rsidRPr="000160FF">
        <w:rPr>
          <w:rFonts w:eastAsia="Times New Roman" w:cs="Tahoma"/>
          <w:bCs/>
          <w:noProof/>
          <w:szCs w:val="24"/>
        </w:rPr>
        <w:tab/>
        <w:t xml:space="preserve">Date Heard: </w:t>
      </w:r>
      <w:r w:rsidR="00C35AD9">
        <w:rPr>
          <w:rFonts w:eastAsia="Times New Roman" w:cs="Tahoma"/>
          <w:bCs/>
          <w:noProof/>
          <w:szCs w:val="24"/>
        </w:rPr>
        <w:t>11 May 2023</w:t>
      </w:r>
      <w:r w:rsidRPr="000160FF">
        <w:rPr>
          <w:rFonts w:eastAsia="Times New Roman" w:cs="Tahoma"/>
          <w:bCs/>
          <w:noProof/>
          <w:szCs w:val="24"/>
        </w:rPr>
        <w:t xml:space="preserve"> </w:t>
      </w:r>
    </w:p>
    <w:p w14:paraId="39B7F340" w14:textId="547B679B" w:rsidR="005C7D79" w:rsidRPr="000160FF" w:rsidRDefault="005C7D79" w:rsidP="005C7D79">
      <w:pPr>
        <w:spacing w:line="480" w:lineRule="auto"/>
        <w:ind w:left="4320"/>
        <w:rPr>
          <w:rFonts w:eastAsia="Times New Roman" w:cs="Tahoma"/>
          <w:noProof/>
          <w:szCs w:val="24"/>
        </w:rPr>
      </w:pPr>
      <w:r w:rsidRPr="000160FF">
        <w:rPr>
          <w:rFonts w:eastAsia="Times New Roman" w:cs="Tahoma"/>
          <w:noProof/>
          <w:szCs w:val="24"/>
        </w:rPr>
        <w:tab/>
      </w:r>
      <w:r w:rsidRPr="000160FF">
        <w:rPr>
          <w:rFonts w:eastAsia="Times New Roman" w:cs="Tahoma"/>
          <w:noProof/>
          <w:szCs w:val="24"/>
        </w:rPr>
        <w:tab/>
        <w:t xml:space="preserve">Date Delivered: </w:t>
      </w:r>
      <w:r w:rsidR="00C35AD9">
        <w:rPr>
          <w:rFonts w:eastAsia="Times New Roman" w:cs="Tahoma"/>
          <w:noProof/>
          <w:szCs w:val="24"/>
        </w:rPr>
        <w:t>6 June 2023</w:t>
      </w:r>
      <w:r w:rsidRPr="000160FF">
        <w:rPr>
          <w:rFonts w:eastAsia="Times New Roman" w:cs="Tahoma"/>
          <w:noProof/>
          <w:szCs w:val="24"/>
        </w:rPr>
        <w:t xml:space="preserve"> </w:t>
      </w:r>
    </w:p>
    <w:p w14:paraId="330D2746" w14:textId="77777777" w:rsidR="005C7D79" w:rsidRPr="000160FF" w:rsidRDefault="005C7D79" w:rsidP="005C7D79">
      <w:pPr>
        <w:spacing w:line="480" w:lineRule="auto"/>
        <w:jc w:val="both"/>
        <w:rPr>
          <w:rFonts w:eastAsia="Times New Roman" w:cs="Tahoma"/>
          <w:noProof/>
          <w:szCs w:val="24"/>
        </w:rPr>
      </w:pPr>
      <w:r w:rsidRPr="000160FF">
        <w:rPr>
          <w:rFonts w:eastAsia="Times New Roman" w:cs="Tahoma"/>
          <w:noProof/>
          <w:szCs w:val="24"/>
        </w:rPr>
        <w:t>In the matter between:</w:t>
      </w:r>
    </w:p>
    <w:p w14:paraId="1AA879F4" w14:textId="77777777" w:rsidR="005C7D79" w:rsidRPr="000160FF" w:rsidRDefault="005C7D79" w:rsidP="005C7D79">
      <w:pPr>
        <w:spacing w:line="480" w:lineRule="auto"/>
        <w:jc w:val="both"/>
        <w:rPr>
          <w:rFonts w:eastAsia="Times New Roman" w:cs="Tahoma"/>
          <w:noProof/>
          <w:szCs w:val="24"/>
        </w:rPr>
      </w:pPr>
    </w:p>
    <w:p w14:paraId="4C5B5118" w14:textId="25DB9607" w:rsidR="005C7D79" w:rsidRPr="000160FF" w:rsidRDefault="00C35AD9" w:rsidP="005C7D79">
      <w:pPr>
        <w:spacing w:line="480" w:lineRule="auto"/>
        <w:jc w:val="both"/>
        <w:rPr>
          <w:rFonts w:eastAsia="Times New Roman" w:cs="Tahoma"/>
          <w:noProof/>
          <w:szCs w:val="24"/>
        </w:rPr>
      </w:pPr>
      <w:r>
        <w:rPr>
          <w:rFonts w:eastAsia="Times New Roman" w:cs="Tahoma"/>
          <w:noProof/>
          <w:szCs w:val="24"/>
        </w:rPr>
        <w:t xml:space="preserve">SOLATHA GENERAL TRADE CC </w:t>
      </w:r>
      <w:r w:rsidR="00330EB0" w:rsidRPr="000160FF">
        <w:rPr>
          <w:rFonts w:eastAsia="Times New Roman" w:cs="Tahoma"/>
          <w:b/>
          <w:bCs/>
          <w:noProof/>
          <w:szCs w:val="24"/>
        </w:rPr>
        <w:tab/>
      </w:r>
      <w:r w:rsidR="00330EB0" w:rsidRPr="000160FF">
        <w:rPr>
          <w:rFonts w:eastAsia="Times New Roman" w:cs="Tahoma"/>
          <w:b/>
          <w:bCs/>
          <w:noProof/>
          <w:szCs w:val="24"/>
        </w:rPr>
        <w:tab/>
      </w:r>
      <w:r w:rsidR="00330EB0" w:rsidRPr="000160FF">
        <w:rPr>
          <w:rFonts w:eastAsia="Times New Roman" w:cs="Tahoma"/>
          <w:b/>
          <w:bCs/>
          <w:noProof/>
          <w:szCs w:val="24"/>
        </w:rPr>
        <w:tab/>
      </w:r>
      <w:r w:rsidR="00330EB0" w:rsidRPr="000160FF">
        <w:rPr>
          <w:rFonts w:eastAsia="Times New Roman" w:cs="Tahoma"/>
          <w:b/>
          <w:bCs/>
          <w:noProof/>
          <w:szCs w:val="24"/>
        </w:rPr>
        <w:tab/>
      </w:r>
      <w:r w:rsidR="005C7D79" w:rsidRPr="000160FF">
        <w:rPr>
          <w:rFonts w:eastAsia="Times New Roman" w:cs="Tahoma"/>
          <w:b/>
          <w:bCs/>
          <w:noProof/>
          <w:szCs w:val="24"/>
        </w:rPr>
        <w:tab/>
      </w:r>
      <w:r w:rsidR="005C7D79" w:rsidRPr="000160FF">
        <w:rPr>
          <w:rFonts w:eastAsia="Times New Roman" w:cs="Tahoma"/>
          <w:b/>
          <w:bCs/>
          <w:noProof/>
          <w:szCs w:val="24"/>
        </w:rPr>
        <w:tab/>
      </w:r>
      <w:r w:rsidR="00CC32B3">
        <w:rPr>
          <w:rFonts w:eastAsia="Times New Roman" w:cs="Tahoma"/>
          <w:b/>
          <w:bCs/>
          <w:noProof/>
          <w:szCs w:val="24"/>
        </w:rPr>
        <w:t xml:space="preserve">          </w:t>
      </w:r>
      <w:r>
        <w:rPr>
          <w:rFonts w:eastAsia="Times New Roman" w:cs="Tahoma"/>
          <w:b/>
          <w:bCs/>
          <w:noProof/>
          <w:szCs w:val="24"/>
        </w:rPr>
        <w:t xml:space="preserve">    </w:t>
      </w:r>
      <w:r>
        <w:rPr>
          <w:rFonts w:eastAsia="Times New Roman" w:cs="Tahoma"/>
          <w:noProof/>
          <w:szCs w:val="24"/>
        </w:rPr>
        <w:t>Pl</w:t>
      </w:r>
      <w:r w:rsidR="005C7D79" w:rsidRPr="000160FF">
        <w:rPr>
          <w:rFonts w:eastAsia="Times New Roman" w:cs="Tahoma"/>
          <w:noProof/>
          <w:szCs w:val="24"/>
        </w:rPr>
        <w:t>a</w:t>
      </w:r>
      <w:r>
        <w:rPr>
          <w:rFonts w:eastAsia="Times New Roman" w:cs="Tahoma"/>
          <w:noProof/>
          <w:szCs w:val="24"/>
        </w:rPr>
        <w:t>i</w:t>
      </w:r>
      <w:r w:rsidR="005C7D79" w:rsidRPr="000160FF">
        <w:rPr>
          <w:rFonts w:eastAsia="Times New Roman" w:cs="Tahoma"/>
          <w:noProof/>
          <w:szCs w:val="24"/>
        </w:rPr>
        <w:t>nt</w:t>
      </w:r>
      <w:r>
        <w:rPr>
          <w:rFonts w:eastAsia="Times New Roman" w:cs="Tahoma"/>
          <w:noProof/>
          <w:szCs w:val="24"/>
        </w:rPr>
        <w:t>iff</w:t>
      </w:r>
      <w:r w:rsidR="005C7D79" w:rsidRPr="000160FF">
        <w:rPr>
          <w:rFonts w:eastAsia="Times New Roman" w:cs="Tahoma"/>
          <w:noProof/>
          <w:szCs w:val="24"/>
        </w:rPr>
        <w:t xml:space="preserve"> </w:t>
      </w:r>
    </w:p>
    <w:p w14:paraId="3BFAC8BF" w14:textId="77777777" w:rsidR="00C35AD9" w:rsidRDefault="00C35AD9" w:rsidP="005C7D79">
      <w:pPr>
        <w:spacing w:line="480" w:lineRule="auto"/>
        <w:jc w:val="both"/>
        <w:rPr>
          <w:rFonts w:eastAsia="Times New Roman" w:cs="Tahoma"/>
          <w:noProof/>
          <w:szCs w:val="24"/>
        </w:rPr>
      </w:pPr>
    </w:p>
    <w:p w14:paraId="2E05E871" w14:textId="7417468F" w:rsidR="005C7D79" w:rsidRPr="000160FF" w:rsidRDefault="005C7D79" w:rsidP="005C7D79">
      <w:pPr>
        <w:spacing w:line="480" w:lineRule="auto"/>
        <w:jc w:val="both"/>
        <w:rPr>
          <w:rFonts w:eastAsia="Times New Roman" w:cs="Tahoma"/>
          <w:noProof/>
          <w:szCs w:val="24"/>
        </w:rPr>
      </w:pPr>
      <w:r w:rsidRPr="000160FF">
        <w:rPr>
          <w:rFonts w:eastAsia="Times New Roman" w:cs="Tahoma"/>
          <w:noProof/>
          <w:szCs w:val="24"/>
        </w:rPr>
        <w:t>and</w:t>
      </w:r>
    </w:p>
    <w:p w14:paraId="153010D1" w14:textId="77777777" w:rsidR="00C35AD9" w:rsidRDefault="00C35AD9" w:rsidP="005C7D79">
      <w:pPr>
        <w:tabs>
          <w:tab w:val="left" w:pos="638"/>
          <w:tab w:val="center" w:pos="4513"/>
        </w:tabs>
        <w:spacing w:line="360" w:lineRule="auto"/>
        <w:rPr>
          <w:rFonts w:eastAsia="Times New Roman" w:cs="Tahoma"/>
          <w:b/>
          <w:bCs/>
          <w:noProof/>
          <w:szCs w:val="24"/>
        </w:rPr>
      </w:pPr>
    </w:p>
    <w:p w14:paraId="76963844" w14:textId="28AF14E2" w:rsidR="005C7D79" w:rsidRPr="000160FF" w:rsidRDefault="00C35AD9" w:rsidP="005C7D79">
      <w:pPr>
        <w:tabs>
          <w:tab w:val="left" w:pos="638"/>
          <w:tab w:val="center" w:pos="4513"/>
        </w:tabs>
        <w:spacing w:line="360" w:lineRule="auto"/>
        <w:rPr>
          <w:rFonts w:cs="Tahoma"/>
          <w:b/>
          <w:szCs w:val="24"/>
        </w:rPr>
      </w:pPr>
      <w:r>
        <w:rPr>
          <w:rFonts w:eastAsia="Times New Roman" w:cs="Tahoma"/>
          <w:noProof/>
          <w:szCs w:val="24"/>
        </w:rPr>
        <w:t>INTERTOWN TRANSPORT (PTY) LTD</w:t>
      </w:r>
      <w:r w:rsidR="00330EB0" w:rsidRPr="000160FF">
        <w:rPr>
          <w:rFonts w:eastAsia="Times New Roman" w:cs="Tahoma"/>
          <w:b/>
          <w:bCs/>
          <w:noProof/>
          <w:szCs w:val="24"/>
        </w:rPr>
        <w:t xml:space="preserve"> </w:t>
      </w:r>
      <w:r w:rsidR="005C7D79" w:rsidRPr="000160FF">
        <w:rPr>
          <w:rFonts w:eastAsia="Times New Roman" w:cs="Tahoma"/>
          <w:b/>
          <w:bCs/>
          <w:noProof/>
          <w:szCs w:val="24"/>
        </w:rPr>
        <w:tab/>
      </w:r>
      <w:r w:rsidR="005C7D79" w:rsidRPr="000160FF">
        <w:rPr>
          <w:rFonts w:eastAsia="Times New Roman" w:cs="Tahoma"/>
          <w:b/>
          <w:bCs/>
          <w:noProof/>
          <w:szCs w:val="24"/>
        </w:rPr>
        <w:tab/>
      </w:r>
      <w:r w:rsidR="005C7D79" w:rsidRPr="000160FF">
        <w:rPr>
          <w:rFonts w:eastAsia="Times New Roman" w:cs="Tahoma"/>
          <w:b/>
          <w:bCs/>
          <w:noProof/>
          <w:szCs w:val="24"/>
        </w:rPr>
        <w:tab/>
      </w:r>
      <w:r w:rsidR="005C7D79" w:rsidRPr="000160FF">
        <w:rPr>
          <w:rFonts w:eastAsia="Times New Roman" w:cs="Tahoma"/>
          <w:b/>
          <w:bCs/>
          <w:noProof/>
          <w:szCs w:val="24"/>
        </w:rPr>
        <w:tab/>
      </w:r>
      <w:r w:rsidR="005C7D79" w:rsidRPr="000160FF">
        <w:rPr>
          <w:rFonts w:eastAsia="Times New Roman" w:cs="Tahoma"/>
          <w:b/>
          <w:bCs/>
          <w:noProof/>
          <w:szCs w:val="24"/>
        </w:rPr>
        <w:tab/>
      </w:r>
      <w:r>
        <w:rPr>
          <w:rFonts w:eastAsia="Times New Roman" w:cs="Tahoma"/>
          <w:b/>
          <w:bCs/>
          <w:noProof/>
          <w:szCs w:val="24"/>
        </w:rPr>
        <w:t xml:space="preserve">          </w:t>
      </w:r>
      <w:r>
        <w:rPr>
          <w:rFonts w:eastAsia="Times New Roman" w:cs="Tahoma"/>
          <w:bCs/>
          <w:noProof/>
          <w:szCs w:val="24"/>
        </w:rPr>
        <w:t>Defendant</w:t>
      </w:r>
    </w:p>
    <w:p w14:paraId="3E597A04" w14:textId="77777777" w:rsidR="00C157B7" w:rsidRPr="000160FF" w:rsidRDefault="00C157B7" w:rsidP="005C7D79">
      <w:pPr>
        <w:jc w:val="both"/>
        <w:rPr>
          <w:rFonts w:cs="Tahoma"/>
          <w:szCs w:val="24"/>
        </w:rPr>
      </w:pPr>
    </w:p>
    <w:tbl>
      <w:tblPr>
        <w:tblW w:w="0" w:type="auto"/>
        <w:tblBorders>
          <w:top w:val="single" w:sz="12" w:space="0" w:color="auto"/>
          <w:bottom w:val="single" w:sz="12" w:space="0" w:color="auto"/>
        </w:tblBorders>
        <w:tblLook w:val="04A0" w:firstRow="1" w:lastRow="0" w:firstColumn="1" w:lastColumn="0" w:noHBand="0" w:noVBand="1"/>
      </w:tblPr>
      <w:tblGrid>
        <w:gridCol w:w="9026"/>
      </w:tblGrid>
      <w:tr w:rsidR="00181B48" w:rsidRPr="000160FF" w14:paraId="794B29CD" w14:textId="77777777" w:rsidTr="009C5CB3">
        <w:trPr>
          <w:cantSplit/>
          <w:trHeight w:val="1134"/>
        </w:trPr>
        <w:tc>
          <w:tcPr>
            <w:tcW w:w="9026" w:type="dxa"/>
            <w:shd w:val="clear" w:color="auto" w:fill="auto"/>
            <w:vAlign w:val="center"/>
          </w:tcPr>
          <w:p w14:paraId="09AAD21C" w14:textId="71EAA718" w:rsidR="00B3408B" w:rsidRPr="000160FF" w:rsidRDefault="00C6369A" w:rsidP="005C7D79">
            <w:pPr>
              <w:pStyle w:val="Names"/>
              <w:spacing w:before="240" w:line="240" w:lineRule="auto"/>
              <w:jc w:val="center"/>
              <w:rPr>
                <w:rFonts w:cs="Tahoma"/>
                <w:szCs w:val="24"/>
              </w:rPr>
            </w:pPr>
            <w:r w:rsidRPr="000160FF">
              <w:rPr>
                <w:rFonts w:cs="Tahoma"/>
                <w:szCs w:val="24"/>
              </w:rPr>
              <w:t>judgment</w:t>
            </w:r>
            <w:r w:rsidR="00C35AD9">
              <w:rPr>
                <w:rFonts w:cs="Tahoma"/>
                <w:szCs w:val="24"/>
              </w:rPr>
              <w:t>: exception</w:t>
            </w:r>
          </w:p>
        </w:tc>
      </w:tr>
    </w:tbl>
    <w:p w14:paraId="165EB78E" w14:textId="77777777" w:rsidR="005C7D79" w:rsidRPr="000160FF" w:rsidRDefault="005C7D79" w:rsidP="005C7D79">
      <w:pPr>
        <w:pStyle w:val="H1"/>
        <w:numPr>
          <w:ilvl w:val="0"/>
          <w:numId w:val="0"/>
        </w:numPr>
        <w:spacing w:line="240" w:lineRule="auto"/>
        <w:ind w:left="567" w:hanging="567"/>
        <w:rPr>
          <w:rFonts w:cs="Tahoma"/>
          <w:b/>
          <w:szCs w:val="24"/>
          <w:u w:val="single"/>
        </w:rPr>
      </w:pPr>
    </w:p>
    <w:p w14:paraId="74CC353B" w14:textId="1CD1099B" w:rsidR="00DD655F" w:rsidRPr="00C35AD9" w:rsidRDefault="005C7D79" w:rsidP="005C7D79">
      <w:pPr>
        <w:pStyle w:val="H1"/>
        <w:numPr>
          <w:ilvl w:val="0"/>
          <w:numId w:val="0"/>
        </w:numPr>
        <w:spacing w:line="240" w:lineRule="auto"/>
        <w:ind w:left="567" w:hanging="567"/>
        <w:rPr>
          <w:rFonts w:cs="Tahoma"/>
          <w:bCs/>
          <w:szCs w:val="24"/>
        </w:rPr>
      </w:pPr>
      <w:r w:rsidRPr="00C35AD9">
        <w:rPr>
          <w:rFonts w:cs="Tahoma"/>
          <w:bCs/>
          <w:szCs w:val="24"/>
        </w:rPr>
        <w:t>RONAASEN AJ:</w:t>
      </w:r>
    </w:p>
    <w:p w14:paraId="4AB488DE" w14:textId="77777777" w:rsidR="005C7D79" w:rsidRPr="000160FF" w:rsidRDefault="005C7D79" w:rsidP="005C7D79">
      <w:pPr>
        <w:pStyle w:val="H1"/>
        <w:numPr>
          <w:ilvl w:val="0"/>
          <w:numId w:val="0"/>
        </w:numPr>
        <w:spacing w:line="240" w:lineRule="auto"/>
        <w:ind w:left="567" w:hanging="567"/>
        <w:rPr>
          <w:rFonts w:cs="Tahoma"/>
          <w:b/>
          <w:szCs w:val="24"/>
          <w:u w:val="single"/>
        </w:rPr>
      </w:pPr>
    </w:p>
    <w:p w14:paraId="75849662" w14:textId="43CF431F" w:rsidR="00565437" w:rsidRPr="000160FF" w:rsidRDefault="00565437" w:rsidP="00C41D47">
      <w:pPr>
        <w:pStyle w:val="H1"/>
        <w:numPr>
          <w:ilvl w:val="0"/>
          <w:numId w:val="0"/>
        </w:numPr>
        <w:ind w:left="567" w:hanging="567"/>
        <w:rPr>
          <w:rFonts w:cs="Tahoma"/>
          <w:b/>
          <w:bCs/>
          <w:szCs w:val="24"/>
          <w:u w:val="single"/>
        </w:rPr>
      </w:pPr>
      <w:r w:rsidRPr="000160FF">
        <w:rPr>
          <w:rFonts w:cs="Tahoma"/>
          <w:b/>
          <w:bCs/>
          <w:szCs w:val="24"/>
          <w:u w:val="single"/>
        </w:rPr>
        <w:t>Introduction</w:t>
      </w:r>
    </w:p>
    <w:p w14:paraId="014EE5FD" w14:textId="02AA48C3" w:rsidR="00330EB0" w:rsidRDefault="00E27DAA" w:rsidP="00E27DAA">
      <w:pPr>
        <w:pStyle w:val="H1"/>
        <w:numPr>
          <w:ilvl w:val="0"/>
          <w:numId w:val="0"/>
        </w:numPr>
        <w:ind w:left="567" w:hanging="567"/>
        <w:rPr>
          <w:rFonts w:cs="Tahoma"/>
          <w:szCs w:val="24"/>
        </w:rPr>
      </w:pPr>
      <w:r>
        <w:rPr>
          <w:rFonts w:cs="Tahoma"/>
          <w:szCs w:val="24"/>
        </w:rPr>
        <w:t>[1</w:t>
      </w:r>
      <w:bookmarkStart w:id="0" w:name="_GoBack"/>
      <w:bookmarkEnd w:id="0"/>
      <w:r>
        <w:rPr>
          <w:rFonts w:cs="Tahoma"/>
          <w:szCs w:val="24"/>
        </w:rPr>
        <w:t>]</w:t>
      </w:r>
      <w:r>
        <w:rPr>
          <w:rFonts w:cs="Tahoma"/>
          <w:szCs w:val="24"/>
        </w:rPr>
        <w:tab/>
      </w:r>
      <w:r w:rsidR="004831B0">
        <w:rPr>
          <w:rFonts w:cs="Tahoma"/>
          <w:szCs w:val="24"/>
        </w:rPr>
        <w:t>On 19 October 2021 the plaintiff instituted</w:t>
      </w:r>
      <w:r w:rsidR="00D3337D">
        <w:rPr>
          <w:rFonts w:cs="Tahoma"/>
          <w:szCs w:val="24"/>
        </w:rPr>
        <w:t xml:space="preserve"> an</w:t>
      </w:r>
      <w:r w:rsidR="004831B0">
        <w:rPr>
          <w:rFonts w:cs="Tahoma"/>
          <w:szCs w:val="24"/>
        </w:rPr>
        <w:t xml:space="preserve"> action against the defendant in which it sought payment of damages from the defendant in the sum of R</w:t>
      </w:r>
      <w:r w:rsidR="006F0A24">
        <w:rPr>
          <w:rFonts w:cs="Tahoma"/>
          <w:szCs w:val="24"/>
        </w:rPr>
        <w:t>1 063 247.00, and ancillary relief.</w:t>
      </w:r>
    </w:p>
    <w:p w14:paraId="1E10716A" w14:textId="725003AF" w:rsidR="006F0A24" w:rsidRDefault="00E27DAA" w:rsidP="00E27DAA">
      <w:pPr>
        <w:pStyle w:val="H1"/>
        <w:numPr>
          <w:ilvl w:val="0"/>
          <w:numId w:val="0"/>
        </w:numPr>
        <w:ind w:left="567" w:hanging="567"/>
        <w:rPr>
          <w:rFonts w:cs="Tahoma"/>
          <w:szCs w:val="24"/>
        </w:rPr>
      </w:pPr>
      <w:r>
        <w:rPr>
          <w:rFonts w:cs="Tahoma"/>
          <w:szCs w:val="24"/>
        </w:rPr>
        <w:t>[2]</w:t>
      </w:r>
      <w:r>
        <w:rPr>
          <w:rFonts w:cs="Tahoma"/>
          <w:szCs w:val="24"/>
        </w:rPr>
        <w:tab/>
      </w:r>
      <w:r w:rsidR="006F0A24">
        <w:rPr>
          <w:rFonts w:cs="Tahoma"/>
          <w:szCs w:val="24"/>
        </w:rPr>
        <w:t xml:space="preserve">The plaintiff alleges that, on 30 March 2021, it purchased a brand-new combined incubator/hatcher machine (“the machine”) from a supplier in Johannesburg.  </w:t>
      </w:r>
      <w:r w:rsidR="006F0A24">
        <w:rPr>
          <w:rFonts w:cs="Tahoma"/>
          <w:szCs w:val="24"/>
        </w:rPr>
        <w:lastRenderedPageBreak/>
        <w:t xml:space="preserve">Thereafter, on 1 April 2021, at Gqeberha, it concluded an oral agreement with the defendant in terms of which the defendant was required to transport the machine from Johannesburg to </w:t>
      </w:r>
      <w:r w:rsidR="00D3337D">
        <w:rPr>
          <w:rFonts w:cs="Tahoma"/>
          <w:szCs w:val="24"/>
        </w:rPr>
        <w:t>the plaintiff’s</w:t>
      </w:r>
      <w:r w:rsidR="006F0A24">
        <w:rPr>
          <w:rFonts w:cs="Tahoma"/>
          <w:szCs w:val="24"/>
        </w:rPr>
        <w:t xml:space="preserve"> business premises in Gqeberha.</w:t>
      </w:r>
    </w:p>
    <w:p w14:paraId="5DC4674A" w14:textId="6774438A" w:rsidR="006F0A24" w:rsidRDefault="00E27DAA" w:rsidP="00E27DAA">
      <w:pPr>
        <w:pStyle w:val="H1"/>
        <w:numPr>
          <w:ilvl w:val="0"/>
          <w:numId w:val="0"/>
        </w:numPr>
        <w:ind w:left="567" w:hanging="567"/>
        <w:rPr>
          <w:rFonts w:cs="Tahoma"/>
          <w:szCs w:val="24"/>
        </w:rPr>
      </w:pPr>
      <w:r>
        <w:rPr>
          <w:rFonts w:cs="Tahoma"/>
          <w:szCs w:val="24"/>
        </w:rPr>
        <w:t>[3]</w:t>
      </w:r>
      <w:r>
        <w:rPr>
          <w:rFonts w:cs="Tahoma"/>
          <w:szCs w:val="24"/>
        </w:rPr>
        <w:tab/>
      </w:r>
      <w:r w:rsidR="006F0A24">
        <w:rPr>
          <w:rFonts w:cs="Tahoma"/>
          <w:szCs w:val="24"/>
        </w:rPr>
        <w:t xml:space="preserve">The plaintiff avers that it paid the agreed price for the transport services </w:t>
      </w:r>
      <w:r w:rsidR="0063470D">
        <w:rPr>
          <w:rFonts w:cs="Tahoma"/>
          <w:szCs w:val="24"/>
        </w:rPr>
        <w:t xml:space="preserve">to the </w:t>
      </w:r>
      <w:r w:rsidR="006F0A24">
        <w:rPr>
          <w:rFonts w:cs="Tahoma"/>
          <w:szCs w:val="24"/>
        </w:rPr>
        <w:t xml:space="preserve">defendant.  It </w:t>
      </w:r>
      <w:r w:rsidR="0063470D">
        <w:rPr>
          <w:rFonts w:cs="Tahoma"/>
          <w:szCs w:val="24"/>
        </w:rPr>
        <w:t>states</w:t>
      </w:r>
      <w:r w:rsidR="006F0A24">
        <w:rPr>
          <w:rFonts w:cs="Tahoma"/>
          <w:szCs w:val="24"/>
        </w:rPr>
        <w:t xml:space="preserve"> further that upon agreeing to transport </w:t>
      </w:r>
      <w:r w:rsidR="00B8047F">
        <w:rPr>
          <w:rFonts w:cs="Tahoma"/>
          <w:szCs w:val="24"/>
        </w:rPr>
        <w:t>the</w:t>
      </w:r>
      <w:r w:rsidR="006F0A24">
        <w:rPr>
          <w:rFonts w:cs="Tahoma"/>
          <w:szCs w:val="24"/>
        </w:rPr>
        <w:t xml:space="preserve"> machine the defendant</w:t>
      </w:r>
      <w:r w:rsidR="007B09F2">
        <w:rPr>
          <w:rFonts w:cs="Tahoma"/>
          <w:szCs w:val="24"/>
        </w:rPr>
        <w:t xml:space="preserve"> came under a legal duty to:</w:t>
      </w:r>
    </w:p>
    <w:p w14:paraId="1AB06B33" w14:textId="78837D8B" w:rsidR="007B09F2" w:rsidRDefault="00E27DAA" w:rsidP="00E27DAA">
      <w:pPr>
        <w:pStyle w:val="H2"/>
        <w:numPr>
          <w:ilvl w:val="0"/>
          <w:numId w:val="0"/>
        </w:numPr>
        <w:ind w:left="1418" w:hanging="851"/>
      </w:pPr>
      <w:r>
        <w:t>3.1.</w:t>
      </w:r>
      <w:r>
        <w:tab/>
      </w:r>
      <w:r w:rsidR="007B09F2">
        <w:t>act with a degree of care, skill and diligence as would ordinarily be expected of a courier company, in similar circumstances;</w:t>
      </w:r>
    </w:p>
    <w:p w14:paraId="5B12EF90" w14:textId="7B6BFADA" w:rsidR="007B09F2" w:rsidRDefault="00E27DAA" w:rsidP="00E27DAA">
      <w:pPr>
        <w:pStyle w:val="H2"/>
        <w:numPr>
          <w:ilvl w:val="0"/>
          <w:numId w:val="0"/>
        </w:numPr>
        <w:ind w:left="1418" w:hanging="851"/>
      </w:pPr>
      <w:r>
        <w:t>3.2.</w:t>
      </w:r>
      <w:r>
        <w:tab/>
      </w:r>
      <w:r w:rsidR="007B09F2">
        <w:t xml:space="preserve">carry out </w:t>
      </w:r>
      <w:r w:rsidR="0063470D">
        <w:t xml:space="preserve">the </w:t>
      </w:r>
      <w:r w:rsidR="007B09F2">
        <w:t>duties and obligations it had assumed in terms of the agreement with reasonable skill and care;</w:t>
      </w:r>
    </w:p>
    <w:p w14:paraId="550CB709" w14:textId="6A3E8472" w:rsidR="007B09F2" w:rsidRDefault="00E27DAA" w:rsidP="00E27DAA">
      <w:pPr>
        <w:pStyle w:val="H2"/>
        <w:numPr>
          <w:ilvl w:val="0"/>
          <w:numId w:val="0"/>
        </w:numPr>
        <w:ind w:left="1418" w:hanging="851"/>
      </w:pPr>
      <w:r>
        <w:t>3.3.</w:t>
      </w:r>
      <w:r>
        <w:tab/>
      </w:r>
      <w:r w:rsidR="007B09F2">
        <w:t>ensure that the delivery of the machine would occur safely and without any damage being caused to the machine; and</w:t>
      </w:r>
    </w:p>
    <w:p w14:paraId="05A40D94" w14:textId="1B822127" w:rsidR="007B09F2" w:rsidRDefault="00E27DAA" w:rsidP="00E27DAA">
      <w:pPr>
        <w:pStyle w:val="H2"/>
        <w:numPr>
          <w:ilvl w:val="0"/>
          <w:numId w:val="0"/>
        </w:numPr>
        <w:ind w:left="1418" w:hanging="851"/>
      </w:pPr>
      <w:r>
        <w:t>3.4.</w:t>
      </w:r>
      <w:r>
        <w:tab/>
      </w:r>
      <w:r w:rsidR="007B09F2">
        <w:t>deliver the machine timeously to the plaintiff.</w:t>
      </w:r>
    </w:p>
    <w:p w14:paraId="60569846" w14:textId="79967136" w:rsidR="007B09F2" w:rsidRDefault="00E27DAA" w:rsidP="00E27DAA">
      <w:pPr>
        <w:pStyle w:val="H1"/>
        <w:numPr>
          <w:ilvl w:val="0"/>
          <w:numId w:val="0"/>
        </w:numPr>
        <w:ind w:left="567" w:hanging="567"/>
      </w:pPr>
      <w:r>
        <w:t>[4]</w:t>
      </w:r>
      <w:r>
        <w:tab/>
      </w:r>
      <w:r w:rsidR="007B09F2">
        <w:t>The plaintiff then goes on to allege that the defendant breached the terms of the agreement, alternatively the duty of care which it to the plaintiff by failing to:</w:t>
      </w:r>
    </w:p>
    <w:p w14:paraId="13B48C2D" w14:textId="2A9036E3" w:rsidR="007B09F2" w:rsidRDefault="00E27DAA" w:rsidP="00E27DAA">
      <w:pPr>
        <w:pStyle w:val="H2"/>
        <w:numPr>
          <w:ilvl w:val="0"/>
          <w:numId w:val="0"/>
        </w:numPr>
        <w:ind w:left="1418" w:hanging="851"/>
      </w:pPr>
      <w:r>
        <w:t>4.1.</w:t>
      </w:r>
      <w:r>
        <w:tab/>
      </w:r>
      <w:r w:rsidR="007B09F2">
        <w:t>deliver the machine timeously to the plaintiff and</w:t>
      </w:r>
      <w:r w:rsidR="00D3337D">
        <w:t xml:space="preserve"> then</w:t>
      </w:r>
      <w:r w:rsidR="007B09F2">
        <w:t xml:space="preserve"> advising the plaintiff the machine had been damaged in transit;</w:t>
      </w:r>
    </w:p>
    <w:p w14:paraId="52BEDCFF" w14:textId="6D09C324" w:rsidR="007B09F2" w:rsidRDefault="00E27DAA" w:rsidP="00E27DAA">
      <w:pPr>
        <w:pStyle w:val="H2"/>
        <w:numPr>
          <w:ilvl w:val="0"/>
          <w:numId w:val="0"/>
        </w:numPr>
        <w:ind w:left="1418" w:hanging="851"/>
      </w:pPr>
      <w:r>
        <w:t>4.2.</w:t>
      </w:r>
      <w:r>
        <w:tab/>
      </w:r>
      <w:r w:rsidR="0063470D">
        <w:t xml:space="preserve">act </w:t>
      </w:r>
      <w:r w:rsidR="007B09F2">
        <w:t xml:space="preserve">with </w:t>
      </w:r>
      <w:r w:rsidR="0063470D">
        <w:t>th</w:t>
      </w:r>
      <w:r w:rsidR="00B8047F">
        <w:t>e</w:t>
      </w:r>
      <w:r w:rsidR="007B09F2">
        <w:t xml:space="preserve"> degree of care, skill and diligence expected of a courier company, in similar circumstances;</w:t>
      </w:r>
    </w:p>
    <w:p w14:paraId="189F8CE0" w14:textId="72BD8E52" w:rsidR="007B09F2" w:rsidRDefault="00E27DAA" w:rsidP="00E27DAA">
      <w:pPr>
        <w:pStyle w:val="H2"/>
        <w:numPr>
          <w:ilvl w:val="0"/>
          <w:numId w:val="0"/>
        </w:numPr>
        <w:ind w:left="1418" w:hanging="851"/>
      </w:pPr>
      <w:r>
        <w:lastRenderedPageBreak/>
        <w:t>4.3.</w:t>
      </w:r>
      <w:r>
        <w:tab/>
      </w:r>
      <w:r w:rsidR="007B09F2">
        <w:t>carry out all its obligations with reasonable skill and care;</w:t>
      </w:r>
    </w:p>
    <w:p w14:paraId="345DAB9F" w14:textId="63B00505" w:rsidR="007B09F2" w:rsidRDefault="00E27DAA" w:rsidP="00E27DAA">
      <w:pPr>
        <w:pStyle w:val="H2"/>
        <w:numPr>
          <w:ilvl w:val="0"/>
          <w:numId w:val="0"/>
        </w:numPr>
        <w:ind w:left="1418" w:hanging="851"/>
      </w:pPr>
      <w:r>
        <w:t>4.4.</w:t>
      </w:r>
      <w:r>
        <w:tab/>
      </w:r>
      <w:r w:rsidR="007B09F2">
        <w:t>ensure that the delivery of the machine occurred safely and without any damage to the machine; and</w:t>
      </w:r>
    </w:p>
    <w:p w14:paraId="4881AA4E" w14:textId="758AAA31" w:rsidR="007B09F2" w:rsidRDefault="00E27DAA" w:rsidP="00E27DAA">
      <w:pPr>
        <w:pStyle w:val="H2"/>
        <w:numPr>
          <w:ilvl w:val="0"/>
          <w:numId w:val="0"/>
        </w:numPr>
        <w:ind w:left="1418" w:hanging="851"/>
      </w:pPr>
      <w:r>
        <w:t>4.5.</w:t>
      </w:r>
      <w:r>
        <w:tab/>
      </w:r>
      <w:r w:rsidR="007B09F2">
        <w:t xml:space="preserve">provide the </w:t>
      </w:r>
      <w:r w:rsidR="00D3337D">
        <w:t>agreed</w:t>
      </w:r>
      <w:r w:rsidR="007B09F2">
        <w:t xml:space="preserve"> delivery/courier service with professional skill, care and diligence as could reasonably be expected of a courier company, while they could and should have done so.</w:t>
      </w:r>
    </w:p>
    <w:p w14:paraId="4EC9E164" w14:textId="76ED39F1" w:rsidR="007B09F2" w:rsidRDefault="007B09F2" w:rsidP="007B09F2">
      <w:pPr>
        <w:pStyle w:val="H1"/>
        <w:numPr>
          <w:ilvl w:val="0"/>
          <w:numId w:val="0"/>
        </w:numPr>
        <w:ind w:left="567" w:hanging="567"/>
        <w:rPr>
          <w:b/>
          <w:bCs/>
          <w:u w:val="single"/>
        </w:rPr>
      </w:pPr>
      <w:r>
        <w:rPr>
          <w:b/>
          <w:bCs/>
          <w:u w:val="single"/>
        </w:rPr>
        <w:t>The defendant’s exception</w:t>
      </w:r>
    </w:p>
    <w:p w14:paraId="214B870D" w14:textId="5B3E0675" w:rsidR="007B09F2" w:rsidRDefault="00E27DAA" w:rsidP="00E27DAA">
      <w:pPr>
        <w:pStyle w:val="H1"/>
        <w:numPr>
          <w:ilvl w:val="0"/>
          <w:numId w:val="0"/>
        </w:numPr>
        <w:ind w:left="567" w:hanging="567"/>
      </w:pPr>
      <w:r>
        <w:t>[5]</w:t>
      </w:r>
      <w:r>
        <w:tab/>
      </w:r>
      <w:r w:rsidR="00770311">
        <w:t xml:space="preserve">On 25 October 2022 the defendant delivered a notice in terms of Uniform Rule 23(1) in which it informed the plaintiff that </w:t>
      </w:r>
      <w:r w:rsidR="0063470D">
        <w:t>it</w:t>
      </w:r>
      <w:r w:rsidR="00770311">
        <w:t xml:space="preserve"> contended that the particulars of claim were excipiable in various respects and that in the absence of a response to the notice it would deliver an exception.</w:t>
      </w:r>
    </w:p>
    <w:p w14:paraId="2AE4641A" w14:textId="2FD36107" w:rsidR="00770311" w:rsidRDefault="00E27DAA" w:rsidP="00E27DAA">
      <w:pPr>
        <w:pStyle w:val="H1"/>
        <w:numPr>
          <w:ilvl w:val="0"/>
          <w:numId w:val="0"/>
        </w:numPr>
        <w:ind w:left="567" w:hanging="567"/>
      </w:pPr>
      <w:r>
        <w:t>[6]</w:t>
      </w:r>
      <w:r>
        <w:tab/>
      </w:r>
      <w:r w:rsidR="00770311">
        <w:t>The notice was not responded to by the plaintiff and an exception was duly delivered</w:t>
      </w:r>
      <w:r w:rsidR="004E0818">
        <w:t xml:space="preserve"> by the defendant</w:t>
      </w:r>
      <w:r w:rsidR="0063470D">
        <w:t xml:space="preserve"> on 25 November 2022</w:t>
      </w:r>
      <w:r w:rsidR="00D3337D">
        <w:t>, echoing the notice in terms of rule 23(1)</w:t>
      </w:r>
      <w:r w:rsidR="004E0818">
        <w:t>.</w:t>
      </w:r>
    </w:p>
    <w:p w14:paraId="5CE4E840" w14:textId="19821E5C" w:rsidR="004E0818" w:rsidRDefault="00E27DAA" w:rsidP="00E27DAA">
      <w:pPr>
        <w:pStyle w:val="H1"/>
        <w:numPr>
          <w:ilvl w:val="0"/>
          <w:numId w:val="0"/>
        </w:numPr>
        <w:ind w:left="567" w:hanging="567"/>
      </w:pPr>
      <w:r>
        <w:t>[7]</w:t>
      </w:r>
      <w:r>
        <w:tab/>
      </w:r>
      <w:r w:rsidR="004E0818">
        <w:t>In summary the exception proceeds on the following grounds:</w:t>
      </w:r>
    </w:p>
    <w:p w14:paraId="048010AA" w14:textId="502794BE" w:rsidR="004E0818" w:rsidRDefault="00E27DAA" w:rsidP="00E27DAA">
      <w:pPr>
        <w:pStyle w:val="H2"/>
        <w:numPr>
          <w:ilvl w:val="0"/>
          <w:numId w:val="0"/>
        </w:numPr>
        <w:ind w:left="1418" w:hanging="851"/>
      </w:pPr>
      <w:r>
        <w:t>7.1.</w:t>
      </w:r>
      <w:r>
        <w:tab/>
      </w:r>
      <w:r w:rsidR="004E0818">
        <w:t>to the extent that the plaintiff seeks to hold the defendant liable for the negligent conduct of its employees, the plaintiff had failed to allege that the employees were acting in the scope and</w:t>
      </w:r>
      <w:r w:rsidR="00D3337D">
        <w:t xml:space="preserve"> course</w:t>
      </w:r>
      <w:r w:rsidR="004E0818">
        <w:t xml:space="preserve"> of their employment with the defendant; and</w:t>
      </w:r>
    </w:p>
    <w:p w14:paraId="1E03BC6F" w14:textId="4532FD2E" w:rsidR="00D264C3" w:rsidRDefault="00E27DAA" w:rsidP="00E27DAA">
      <w:pPr>
        <w:pStyle w:val="H2"/>
        <w:numPr>
          <w:ilvl w:val="0"/>
          <w:numId w:val="0"/>
        </w:numPr>
        <w:ind w:left="1418" w:hanging="851"/>
      </w:pPr>
      <w:r>
        <w:lastRenderedPageBreak/>
        <w:t>7.2.</w:t>
      </w:r>
      <w:r>
        <w:tab/>
      </w:r>
      <w:r w:rsidR="004E0818">
        <w:t>the legal duty of care relied upon by the plaintiff</w:t>
      </w:r>
      <w:r w:rsidR="005F1C7B">
        <w:t xml:space="preserve"> emanated from the alleged oral agreement, according to the particulars of claim.  Thus, </w:t>
      </w:r>
      <w:r w:rsidR="003D7B51">
        <w:t>the plaintiff</w:t>
      </w:r>
      <w:r w:rsidR="00D264C3">
        <w:t xml:space="preserve"> had i</w:t>
      </w:r>
      <w:r w:rsidR="005F1C7B">
        <w:t xml:space="preserve">mpermissibly conflated a claim based on an alleged breach of contract </w:t>
      </w:r>
      <w:r w:rsidR="003D7B51">
        <w:t xml:space="preserve">and a </w:t>
      </w:r>
      <w:r w:rsidR="005F1C7B">
        <w:t>claim founded on an alleged delict.  Policy considerations did not permit that delictual liability could be imposed for the negligent breach of a contract</w:t>
      </w:r>
      <w:r w:rsidR="00D264C3">
        <w:t>; and</w:t>
      </w:r>
      <w:r w:rsidR="005F1C7B">
        <w:t xml:space="preserve">  </w:t>
      </w:r>
    </w:p>
    <w:p w14:paraId="27F7B439" w14:textId="063548B5" w:rsidR="004E0818" w:rsidRDefault="00E27DAA" w:rsidP="00E27DAA">
      <w:pPr>
        <w:pStyle w:val="H2"/>
        <w:numPr>
          <w:ilvl w:val="0"/>
          <w:numId w:val="0"/>
        </w:numPr>
        <w:ind w:left="1418" w:hanging="851"/>
      </w:pPr>
      <w:r>
        <w:t>7.3.</w:t>
      </w:r>
      <w:r>
        <w:tab/>
      </w:r>
      <w:r w:rsidR="00D264C3">
        <w:t>a</w:t>
      </w:r>
      <w:r w:rsidR="008D5CDB">
        <w:t>ccordingly,</w:t>
      </w:r>
      <w:r w:rsidR="005F1C7B">
        <w:t xml:space="preserve"> the plaintiff’s claim was </w:t>
      </w:r>
      <w:r w:rsidR="008D5CDB">
        <w:t>b</w:t>
      </w:r>
      <w:r w:rsidR="005F1C7B">
        <w:t>a</w:t>
      </w:r>
      <w:r w:rsidR="008D5CDB">
        <w:t>d</w:t>
      </w:r>
      <w:r w:rsidR="005F1C7B">
        <w:t xml:space="preserve"> in law as it lacked the averments necessary to sustain a cause of action, alternatively, it was vague and embarrassing.</w:t>
      </w:r>
    </w:p>
    <w:p w14:paraId="12356EBF" w14:textId="6990578E" w:rsidR="008D5CDB" w:rsidRDefault="008D5CDB" w:rsidP="008D5CDB">
      <w:pPr>
        <w:pStyle w:val="H2"/>
        <w:numPr>
          <w:ilvl w:val="0"/>
          <w:numId w:val="0"/>
        </w:numPr>
        <w:rPr>
          <w:b/>
          <w:bCs/>
          <w:u w:val="single"/>
        </w:rPr>
      </w:pPr>
      <w:r>
        <w:rPr>
          <w:b/>
          <w:bCs/>
          <w:u w:val="single"/>
        </w:rPr>
        <w:t>Legal principles</w:t>
      </w:r>
    </w:p>
    <w:p w14:paraId="5B735E22" w14:textId="17C1F088" w:rsidR="008D5CDB" w:rsidRDefault="00E27DAA" w:rsidP="00E27DAA">
      <w:pPr>
        <w:pStyle w:val="H1"/>
        <w:numPr>
          <w:ilvl w:val="0"/>
          <w:numId w:val="0"/>
        </w:numPr>
        <w:ind w:left="567" w:hanging="567"/>
      </w:pPr>
      <w:r>
        <w:t>[8]</w:t>
      </w:r>
      <w:r>
        <w:tab/>
      </w:r>
      <w:r w:rsidR="0008543B">
        <w:t>On a consideration of the averments relied on by the plaintiff it is apparent</w:t>
      </w:r>
      <w:r w:rsidR="001916A9">
        <w:t xml:space="preserve"> that the plaintiff is contending that the defendant is a carrier in the position of a depositary or bailee, for reward.  Therefore, it is apposite to refer to the following passage from the judgment of the former Appellate Division in </w:t>
      </w:r>
      <w:r w:rsidR="001916A9">
        <w:rPr>
          <w:i/>
        </w:rPr>
        <w:t>Stocks &amp; Stocks (Pty) Ltd v TJ Daly &amp; Sons (Pty) Ltd</w:t>
      </w:r>
      <w:r w:rsidR="001916A9">
        <w:t xml:space="preserve"> 1979 (3) SA 754 (AD) at 761H-762C, to the following effect:</w:t>
      </w:r>
    </w:p>
    <w:p w14:paraId="6476282F" w14:textId="6F7C4E71" w:rsidR="001916A9" w:rsidRDefault="001916A9" w:rsidP="001916A9">
      <w:pPr>
        <w:pStyle w:val="H1"/>
        <w:numPr>
          <w:ilvl w:val="0"/>
          <w:numId w:val="0"/>
        </w:numPr>
        <w:ind w:left="567"/>
        <w:rPr>
          <w:iCs/>
        </w:rPr>
      </w:pPr>
      <w:r w:rsidRPr="00D96C88">
        <w:rPr>
          <w:sz w:val="22"/>
        </w:rPr>
        <w:t>“Assuming, however, that the Edict does not apply to public carriers by land, it seems to me that the carrier would still be in the position of a depositary or bailee for reward, who is under a duty to exercise reasonable care in regard to the goods entrusted to him for conveyance and who, in the event of the goods being damaged or destroyed, is liable in damages to the owner the</w:t>
      </w:r>
      <w:r w:rsidR="003D7B51">
        <w:rPr>
          <w:sz w:val="22"/>
        </w:rPr>
        <w:t>re</w:t>
      </w:r>
      <w:r w:rsidRPr="00D96C88">
        <w:rPr>
          <w:sz w:val="22"/>
        </w:rPr>
        <w:t xml:space="preserve">of unless he can show that the damage or destruction occurred without </w:t>
      </w:r>
      <w:r w:rsidRPr="00D96C88">
        <w:rPr>
          <w:i/>
          <w:iCs/>
          <w:sz w:val="22"/>
        </w:rPr>
        <w:t xml:space="preserve">culpa </w:t>
      </w:r>
      <w:r w:rsidR="00D96C88" w:rsidRPr="00D96C88">
        <w:rPr>
          <w:sz w:val="22"/>
        </w:rPr>
        <w:t xml:space="preserve">or </w:t>
      </w:r>
      <w:r w:rsidR="00D96C88" w:rsidRPr="00D96C88">
        <w:rPr>
          <w:i/>
          <w:iCs/>
          <w:sz w:val="22"/>
        </w:rPr>
        <w:t>dolus</w:t>
      </w:r>
      <w:r w:rsidR="00D96C88" w:rsidRPr="00D96C88">
        <w:rPr>
          <w:iCs/>
          <w:sz w:val="22"/>
        </w:rPr>
        <w:t xml:space="preserve"> on his part.  The position of a contracting </w:t>
      </w:r>
      <w:r w:rsidR="00D96C88" w:rsidRPr="00D96C88">
        <w:rPr>
          <w:iCs/>
          <w:sz w:val="22"/>
        </w:rPr>
        <w:lastRenderedPageBreak/>
        <w:t xml:space="preserve">party whose liability </w:t>
      </w:r>
      <w:r w:rsidR="003D7B51">
        <w:rPr>
          <w:iCs/>
          <w:sz w:val="22"/>
        </w:rPr>
        <w:t>is</w:t>
      </w:r>
      <w:r w:rsidR="00D96C88" w:rsidRPr="00D96C88">
        <w:rPr>
          <w:iCs/>
          <w:sz w:val="22"/>
        </w:rPr>
        <w:t xml:space="preserve"> governed by the provisions of the Praetor’s Edict and the position of a depositary or bailee for reward is similar in that in each case the</w:t>
      </w:r>
      <w:r w:rsidR="00D96C88" w:rsidRPr="00D96C88">
        <w:rPr>
          <w:i/>
          <w:iCs/>
          <w:sz w:val="22"/>
        </w:rPr>
        <w:t xml:space="preserve"> onus</w:t>
      </w:r>
      <w:r w:rsidR="00D96C88" w:rsidRPr="00D96C88">
        <w:rPr>
          <w:iCs/>
          <w:sz w:val="22"/>
        </w:rPr>
        <w:t xml:space="preserve"> which lies on him in regard to loss of or damage to the goods entrusted to his custody</w:t>
      </w:r>
      <w:r w:rsidR="00D96C88">
        <w:rPr>
          <w:iCs/>
          <w:szCs w:val="24"/>
        </w:rPr>
        <w:t xml:space="preserve"> </w:t>
      </w:r>
      <w:r w:rsidR="00D96C88">
        <w:rPr>
          <w:iCs/>
          <w:sz w:val="20"/>
          <w:szCs w:val="20"/>
        </w:rPr>
        <w:t xml:space="preserve">‘arises as an inference from the nature of the contract which places him under an obligation to return the article </w:t>
      </w:r>
      <w:r w:rsidR="003D7B51">
        <w:rPr>
          <w:iCs/>
          <w:sz w:val="20"/>
          <w:szCs w:val="20"/>
        </w:rPr>
        <w:t>or</w:t>
      </w:r>
      <w:r w:rsidR="00D96C88">
        <w:rPr>
          <w:iCs/>
          <w:sz w:val="20"/>
          <w:szCs w:val="20"/>
        </w:rPr>
        <w:t xml:space="preserve"> prove the reason why he has failed to do so’</w:t>
      </w:r>
      <w:r w:rsidR="00D96C88">
        <w:rPr>
          <w:iCs/>
          <w:sz w:val="22"/>
        </w:rPr>
        <w:t>.”</w:t>
      </w:r>
      <w:r w:rsidR="00D96C88">
        <w:rPr>
          <w:iCs/>
        </w:rPr>
        <w:t xml:space="preserve">  [references omitted]</w:t>
      </w:r>
    </w:p>
    <w:p w14:paraId="400DF9F1" w14:textId="65F67CAA" w:rsidR="00D96C88" w:rsidRDefault="00D96C88" w:rsidP="00D96C88">
      <w:pPr>
        <w:pStyle w:val="H1"/>
        <w:numPr>
          <w:ilvl w:val="0"/>
          <w:numId w:val="0"/>
        </w:numPr>
        <w:ind w:left="567" w:hanging="567"/>
        <w:rPr>
          <w:b/>
          <w:bCs/>
          <w:u w:val="single"/>
        </w:rPr>
      </w:pPr>
      <w:r>
        <w:rPr>
          <w:b/>
          <w:bCs/>
          <w:u w:val="single"/>
        </w:rPr>
        <w:t>Application of legal principles</w:t>
      </w:r>
    </w:p>
    <w:p w14:paraId="759D6FB0" w14:textId="28CB3BCD" w:rsidR="00D96C88" w:rsidRDefault="00E27DAA" w:rsidP="00E27DAA">
      <w:pPr>
        <w:pStyle w:val="H1"/>
        <w:numPr>
          <w:ilvl w:val="0"/>
          <w:numId w:val="0"/>
        </w:numPr>
        <w:ind w:left="567" w:hanging="567"/>
      </w:pPr>
      <w:r>
        <w:t>[9]</w:t>
      </w:r>
      <w:r>
        <w:tab/>
      </w:r>
      <w:r w:rsidR="00D96C88">
        <w:t>In my view the</w:t>
      </w:r>
      <w:r w:rsidR="00D264C3">
        <w:t xml:space="preserve"> averments in the</w:t>
      </w:r>
      <w:r w:rsidR="00D96C88">
        <w:t xml:space="preserve"> particulars of claim disclose a cause of action to h</w:t>
      </w:r>
      <w:r w:rsidR="00D264C3">
        <w:t>old</w:t>
      </w:r>
      <w:r w:rsidR="00D96C88">
        <w:t xml:space="preserve"> the defendant liable in damages to the plaintiff on the basis that it was a carrier (in respect of the machine)</w:t>
      </w:r>
      <w:r w:rsidR="00D264C3">
        <w:t xml:space="preserve"> and thus a depositary or bailee for reward.  My conclusion in this regard</w:t>
      </w:r>
      <w:r w:rsidR="00D3337D">
        <w:t xml:space="preserve"> thus</w:t>
      </w:r>
      <w:r w:rsidR="00D264C3">
        <w:t xml:space="preserve"> puts paid to the grounds of exception summarised in paragraph 7.2, above.</w:t>
      </w:r>
    </w:p>
    <w:p w14:paraId="2BAA4C62" w14:textId="6DF9F224" w:rsidR="00D264C3" w:rsidRDefault="00E27DAA" w:rsidP="00E27DAA">
      <w:pPr>
        <w:pStyle w:val="H1"/>
        <w:numPr>
          <w:ilvl w:val="0"/>
          <w:numId w:val="0"/>
        </w:numPr>
        <w:ind w:left="567" w:hanging="567"/>
      </w:pPr>
      <w:r>
        <w:t>[10]</w:t>
      </w:r>
      <w:r>
        <w:tab/>
      </w:r>
      <w:r w:rsidR="00D264C3">
        <w:t>Also, my conclusion disposes of the ground of exception in terms of which the defendant alleges that the particulars of claim are excipiable as the plaintiff had failed to allege that the employees of the defendant, whose negligence it is alleged caused the damage to the machine, were acting in the scope and course of their employment with the defendant.</w:t>
      </w:r>
    </w:p>
    <w:p w14:paraId="6DF2BE58" w14:textId="73B47BB0" w:rsidR="00B720C5" w:rsidRDefault="00E27DAA" w:rsidP="00E27DAA">
      <w:pPr>
        <w:pStyle w:val="H1"/>
        <w:numPr>
          <w:ilvl w:val="0"/>
          <w:numId w:val="0"/>
        </w:numPr>
        <w:ind w:left="567" w:hanging="567"/>
      </w:pPr>
      <w:r>
        <w:t>[11]</w:t>
      </w:r>
      <w:r>
        <w:tab/>
      </w:r>
      <w:r w:rsidR="00B720C5">
        <w:t>Paragraph 12 of the particulars of claim commences with the following preamble:</w:t>
      </w:r>
    </w:p>
    <w:p w14:paraId="01125DD2" w14:textId="01B8BB1C" w:rsidR="00B720C5" w:rsidRDefault="00B720C5" w:rsidP="00B720C5">
      <w:pPr>
        <w:pStyle w:val="H1"/>
        <w:numPr>
          <w:ilvl w:val="0"/>
          <w:numId w:val="0"/>
        </w:numPr>
        <w:ind w:left="567"/>
        <w:rPr>
          <w:sz w:val="22"/>
        </w:rPr>
      </w:pPr>
      <w:r>
        <w:rPr>
          <w:sz w:val="22"/>
        </w:rPr>
        <w:t xml:space="preserve">“In breach of the agreement set out above, alternatively in breach of the defendant’s duty of care </w:t>
      </w:r>
      <w:r w:rsidR="003D7B51">
        <w:rPr>
          <w:sz w:val="22"/>
        </w:rPr>
        <w:t>a</w:t>
      </w:r>
      <w:r>
        <w:rPr>
          <w:sz w:val="22"/>
        </w:rPr>
        <w:t>s set out above, the defendant’s employees acting as aforesaid were negligent in that they:</w:t>
      </w:r>
      <w:r w:rsidR="003D7B51">
        <w:rPr>
          <w:sz w:val="22"/>
        </w:rPr>
        <w:t>”</w:t>
      </w:r>
    </w:p>
    <w:p w14:paraId="537A8EB4" w14:textId="3CD91A0C" w:rsidR="00B720C5" w:rsidRPr="00B720C5" w:rsidRDefault="00B720C5" w:rsidP="00B720C5">
      <w:pPr>
        <w:pStyle w:val="H1"/>
        <w:numPr>
          <w:ilvl w:val="0"/>
          <w:numId w:val="0"/>
        </w:numPr>
        <w:ind w:left="567"/>
        <w:rPr>
          <w:szCs w:val="24"/>
        </w:rPr>
      </w:pPr>
      <w:r>
        <w:rPr>
          <w:szCs w:val="24"/>
        </w:rPr>
        <w:lastRenderedPageBreak/>
        <w:t>The plaintiff then goes on to set out various grounds of negligence.</w:t>
      </w:r>
      <w:r w:rsidR="00D3337D">
        <w:rPr>
          <w:szCs w:val="24"/>
        </w:rPr>
        <w:t xml:space="preserve">  It is particularly the preamble which the defendant contends is deficient.</w:t>
      </w:r>
    </w:p>
    <w:p w14:paraId="5B57FD04" w14:textId="4E35741E" w:rsidR="00B720C5" w:rsidRDefault="00E27DAA" w:rsidP="00E27DAA">
      <w:pPr>
        <w:pStyle w:val="H1"/>
        <w:numPr>
          <w:ilvl w:val="0"/>
          <w:numId w:val="0"/>
        </w:numPr>
        <w:ind w:left="567" w:hanging="567"/>
      </w:pPr>
      <w:r>
        <w:t>[12]</w:t>
      </w:r>
      <w:r>
        <w:tab/>
      </w:r>
      <w:r w:rsidR="00B720C5">
        <w:t xml:space="preserve">Given the nature of the contract on which the plaintiff relies, i.e., a contract of carriage, which, by operation of law, has the characteristics described in the </w:t>
      </w:r>
      <w:r w:rsidR="00B720C5">
        <w:rPr>
          <w:i/>
        </w:rPr>
        <w:t>Stocks</w:t>
      </w:r>
      <w:r w:rsidR="00B720C5">
        <w:t xml:space="preserve"> judgment, the averments in paragraph 12 of the particulars of claim are superfluous.</w:t>
      </w:r>
    </w:p>
    <w:p w14:paraId="6120832A" w14:textId="2D0259A2" w:rsidR="00B720C5" w:rsidRDefault="00E27DAA" w:rsidP="00E27DAA">
      <w:pPr>
        <w:pStyle w:val="H1"/>
        <w:numPr>
          <w:ilvl w:val="0"/>
          <w:numId w:val="0"/>
        </w:numPr>
        <w:ind w:left="567" w:hanging="567"/>
      </w:pPr>
      <w:r>
        <w:t>[13]</w:t>
      </w:r>
      <w:r>
        <w:tab/>
      </w:r>
      <w:r w:rsidR="00B720C5">
        <w:t xml:space="preserve">In respect of contracts of carriage, when suing the carrier for damage to the goods which were the subject matter of the contract, </w:t>
      </w:r>
      <w:r w:rsidR="00265824">
        <w:t xml:space="preserve">a plaintiff </w:t>
      </w:r>
      <w:r w:rsidR="00B720C5">
        <w:t>need only aver the following:</w:t>
      </w:r>
    </w:p>
    <w:p w14:paraId="6639DF15" w14:textId="581B5E6D" w:rsidR="00B720C5" w:rsidRDefault="00E27DAA" w:rsidP="00E27DAA">
      <w:pPr>
        <w:pStyle w:val="H2"/>
        <w:numPr>
          <w:ilvl w:val="0"/>
          <w:numId w:val="0"/>
        </w:numPr>
        <w:ind w:left="1418" w:hanging="851"/>
      </w:pPr>
      <w:r>
        <w:t>13.1.</w:t>
      </w:r>
      <w:r>
        <w:tab/>
      </w:r>
      <w:r w:rsidR="00B720C5">
        <w:t>the conclusion of the contract;</w:t>
      </w:r>
    </w:p>
    <w:p w14:paraId="66ADB9A9" w14:textId="4B38AB95" w:rsidR="00B720C5" w:rsidRDefault="00E27DAA" w:rsidP="00E27DAA">
      <w:pPr>
        <w:pStyle w:val="H2"/>
        <w:numPr>
          <w:ilvl w:val="0"/>
          <w:numId w:val="0"/>
        </w:numPr>
        <w:ind w:left="1418" w:hanging="851"/>
      </w:pPr>
      <w:r>
        <w:t>13.2.</w:t>
      </w:r>
      <w:r>
        <w:tab/>
      </w:r>
      <w:r w:rsidR="00B720C5">
        <w:t>the fact that it was an implied term of the contract that</w:t>
      </w:r>
      <w:r w:rsidR="00265824">
        <w:t xml:space="preserve"> the goods would be delivered at their destination in a sound and undamaged condition;</w:t>
      </w:r>
    </w:p>
    <w:p w14:paraId="3594D8D2" w14:textId="5A06A018" w:rsidR="00265824" w:rsidRDefault="00E27DAA" w:rsidP="00E27DAA">
      <w:pPr>
        <w:pStyle w:val="H2"/>
        <w:numPr>
          <w:ilvl w:val="0"/>
          <w:numId w:val="0"/>
        </w:numPr>
        <w:ind w:left="1418" w:hanging="851"/>
      </w:pPr>
      <w:r>
        <w:t>13.3.</w:t>
      </w:r>
      <w:r>
        <w:tab/>
      </w:r>
      <w:r w:rsidR="00265824">
        <w:t>the breach of the contract in that the goods did not arrive in a sound and undamaged condition; and</w:t>
      </w:r>
    </w:p>
    <w:p w14:paraId="50684A02" w14:textId="10E5C6C1" w:rsidR="00265824" w:rsidRDefault="00E27DAA" w:rsidP="00E27DAA">
      <w:pPr>
        <w:pStyle w:val="H2"/>
        <w:numPr>
          <w:ilvl w:val="0"/>
          <w:numId w:val="0"/>
        </w:numPr>
        <w:ind w:left="1418" w:hanging="851"/>
      </w:pPr>
      <w:r>
        <w:t>13.4.</w:t>
      </w:r>
      <w:r>
        <w:tab/>
      </w:r>
      <w:r w:rsidR="00265824">
        <w:t>particularity of the damages suffered as result of the breach.</w:t>
      </w:r>
    </w:p>
    <w:p w14:paraId="26F01059" w14:textId="7AA71E5C" w:rsidR="00265824" w:rsidRDefault="000C5A1A" w:rsidP="00265824">
      <w:pPr>
        <w:pStyle w:val="H2"/>
        <w:numPr>
          <w:ilvl w:val="0"/>
          <w:numId w:val="0"/>
        </w:numPr>
        <w:rPr>
          <w:iCs/>
        </w:rPr>
      </w:pPr>
      <w:r>
        <w:t xml:space="preserve">        </w:t>
      </w:r>
      <w:r w:rsidR="00265824">
        <w:t xml:space="preserve">See </w:t>
      </w:r>
      <w:r w:rsidR="00265824">
        <w:rPr>
          <w:i/>
        </w:rPr>
        <w:t>Amler’s Precedents of Pleadings</w:t>
      </w:r>
      <w:r w:rsidR="00265824">
        <w:rPr>
          <w:iCs/>
        </w:rPr>
        <w:t xml:space="preserve"> by LTC Harms (ninth edition) at 68-7.</w:t>
      </w:r>
    </w:p>
    <w:p w14:paraId="75446D6A" w14:textId="373BEC52" w:rsidR="00265824" w:rsidRDefault="00E27DAA" w:rsidP="00E27DAA">
      <w:pPr>
        <w:pStyle w:val="H1"/>
        <w:numPr>
          <w:ilvl w:val="0"/>
          <w:numId w:val="0"/>
        </w:numPr>
        <w:ind w:left="567" w:hanging="567"/>
      </w:pPr>
      <w:r>
        <w:t>[14]</w:t>
      </w:r>
      <w:r>
        <w:tab/>
      </w:r>
      <w:r w:rsidR="00265824">
        <w:t>If those essential averments are made and</w:t>
      </w:r>
      <w:r w:rsidR="00DD4AEF">
        <w:t>,</w:t>
      </w:r>
      <w:r w:rsidR="00265824">
        <w:t xml:space="preserve"> in this case, they are then the defendant bears the </w:t>
      </w:r>
      <w:r w:rsidR="00265824">
        <w:rPr>
          <w:i/>
        </w:rPr>
        <w:t>onus</w:t>
      </w:r>
      <w:r w:rsidR="00265824">
        <w:t xml:space="preserve"> to establish that any loss or damage</w:t>
      </w:r>
      <w:r w:rsidR="008F3E0F">
        <w:t xml:space="preserve"> the plaintiff may have sustained occurred without its fault</w:t>
      </w:r>
      <w:r w:rsidR="00D71FD8">
        <w:t>.</w:t>
      </w:r>
    </w:p>
    <w:p w14:paraId="1EEB0802" w14:textId="1992FE8B" w:rsidR="00D71FD8" w:rsidRDefault="00E27DAA" w:rsidP="00E27DAA">
      <w:pPr>
        <w:pStyle w:val="H1"/>
        <w:numPr>
          <w:ilvl w:val="0"/>
          <w:numId w:val="0"/>
        </w:numPr>
        <w:ind w:left="567" w:hanging="567"/>
      </w:pPr>
      <w:r>
        <w:lastRenderedPageBreak/>
        <w:t>[15]</w:t>
      </w:r>
      <w:r>
        <w:tab/>
      </w:r>
      <w:r w:rsidR="00BA6D9C">
        <w:t>The plaintiff was therefore not required to allege that the defendant’s employees</w:t>
      </w:r>
      <w:r w:rsidR="00D27AB7">
        <w:t xml:space="preserve"> acted in the scope and course of their employment with the defendant.</w:t>
      </w:r>
    </w:p>
    <w:p w14:paraId="646545BB" w14:textId="3A73A790" w:rsidR="00980A38" w:rsidRDefault="00980A38" w:rsidP="00980A38">
      <w:pPr>
        <w:pStyle w:val="H1"/>
        <w:numPr>
          <w:ilvl w:val="0"/>
          <w:numId w:val="0"/>
        </w:numPr>
        <w:rPr>
          <w:b/>
          <w:bCs/>
          <w:u w:val="single"/>
        </w:rPr>
      </w:pPr>
      <w:r>
        <w:rPr>
          <w:b/>
          <w:bCs/>
          <w:u w:val="single"/>
        </w:rPr>
        <w:t>Conclusion and order</w:t>
      </w:r>
    </w:p>
    <w:p w14:paraId="53E862BD" w14:textId="48986622" w:rsidR="00980A38" w:rsidRDefault="00E27DAA" w:rsidP="00E27DAA">
      <w:pPr>
        <w:pStyle w:val="H1"/>
        <w:numPr>
          <w:ilvl w:val="0"/>
          <w:numId w:val="0"/>
        </w:numPr>
        <w:ind w:left="567" w:hanging="567"/>
      </w:pPr>
      <w:r>
        <w:t>[16]</w:t>
      </w:r>
      <w:r>
        <w:tab/>
      </w:r>
      <w:r w:rsidR="004E12D7">
        <w:t>The exception</w:t>
      </w:r>
      <w:r w:rsidR="008D3BEC">
        <w:t xml:space="preserve"> </w:t>
      </w:r>
      <w:r w:rsidR="00036916">
        <w:t>accordingly ha</w:t>
      </w:r>
      <w:r w:rsidR="00D3337D">
        <w:t>s</w:t>
      </w:r>
      <w:r w:rsidR="00036916">
        <w:t xml:space="preserve"> no foundation</w:t>
      </w:r>
      <w:r w:rsidR="0063470D">
        <w:t xml:space="preserve">.  As a </w:t>
      </w:r>
      <w:r w:rsidR="00DD4AEF">
        <w:t>result,</w:t>
      </w:r>
      <w:r w:rsidR="0063470D">
        <w:t xml:space="preserve"> I</w:t>
      </w:r>
      <w:r w:rsidR="006F197C">
        <w:t xml:space="preserve"> make the following order:</w:t>
      </w:r>
    </w:p>
    <w:p w14:paraId="0DB9C1DC" w14:textId="73EBFEA5" w:rsidR="006F197C" w:rsidRDefault="003D311D" w:rsidP="006F197C">
      <w:pPr>
        <w:pStyle w:val="H1"/>
        <w:numPr>
          <w:ilvl w:val="0"/>
          <w:numId w:val="0"/>
        </w:numPr>
        <w:ind w:left="567"/>
        <w:rPr>
          <w:i/>
          <w:iCs/>
        </w:rPr>
      </w:pPr>
      <w:r>
        <w:rPr>
          <w:i/>
          <w:iCs/>
        </w:rPr>
        <w:t>The exception is dismissed with costs.</w:t>
      </w:r>
    </w:p>
    <w:p w14:paraId="5B640F67" w14:textId="77777777" w:rsidR="00386E62" w:rsidRDefault="00386E62" w:rsidP="00386E62">
      <w:pPr>
        <w:pStyle w:val="H1"/>
        <w:numPr>
          <w:ilvl w:val="0"/>
          <w:numId w:val="0"/>
        </w:numPr>
      </w:pPr>
    </w:p>
    <w:p w14:paraId="797CBA25" w14:textId="77777777" w:rsidR="00386E62" w:rsidRDefault="00386E62" w:rsidP="00386E62">
      <w:pPr>
        <w:pStyle w:val="H1"/>
        <w:numPr>
          <w:ilvl w:val="0"/>
          <w:numId w:val="0"/>
        </w:numPr>
      </w:pPr>
    </w:p>
    <w:p w14:paraId="4934B2CB" w14:textId="77777777" w:rsidR="00386E62" w:rsidRDefault="00386E62" w:rsidP="00386E62">
      <w:pPr>
        <w:pStyle w:val="H1"/>
        <w:numPr>
          <w:ilvl w:val="0"/>
          <w:numId w:val="0"/>
        </w:numPr>
        <w:spacing w:after="0" w:line="240" w:lineRule="auto"/>
      </w:pPr>
      <w:r>
        <w:t>________________________________</w:t>
      </w:r>
    </w:p>
    <w:p w14:paraId="1D1DC6BA" w14:textId="3B125431" w:rsidR="005C7D79" w:rsidRPr="00386E62" w:rsidRDefault="005C7D79" w:rsidP="00386E62">
      <w:pPr>
        <w:pStyle w:val="H1"/>
        <w:numPr>
          <w:ilvl w:val="0"/>
          <w:numId w:val="0"/>
        </w:numPr>
        <w:spacing w:after="0" w:line="240" w:lineRule="auto"/>
      </w:pPr>
      <w:r w:rsidRPr="000160FF">
        <w:rPr>
          <w:rFonts w:cs="Tahoma"/>
          <w:b/>
          <w:szCs w:val="24"/>
        </w:rPr>
        <w:t>O H RONAASEN</w:t>
      </w:r>
    </w:p>
    <w:p w14:paraId="6761CD1D" w14:textId="5C05534D" w:rsidR="005C7D79" w:rsidRDefault="005C7D79" w:rsidP="00386E62">
      <w:pPr>
        <w:ind w:right="567"/>
        <w:rPr>
          <w:rFonts w:cs="Tahoma"/>
          <w:b/>
          <w:szCs w:val="24"/>
        </w:rPr>
      </w:pPr>
      <w:r w:rsidRPr="000160FF">
        <w:rPr>
          <w:rFonts w:cs="Tahoma"/>
          <w:b/>
          <w:szCs w:val="24"/>
        </w:rPr>
        <w:t>ACTING JUDGE OF THE HIGH COURT</w:t>
      </w:r>
    </w:p>
    <w:p w14:paraId="61805E0E" w14:textId="77777777" w:rsidR="00386E62" w:rsidRDefault="00386E62" w:rsidP="00386E62">
      <w:pPr>
        <w:ind w:right="567"/>
        <w:rPr>
          <w:rFonts w:cs="Tahoma"/>
          <w:b/>
          <w:szCs w:val="24"/>
        </w:rPr>
      </w:pPr>
    </w:p>
    <w:p w14:paraId="1EBF767E" w14:textId="77777777" w:rsidR="00386E62" w:rsidRDefault="00386E62" w:rsidP="00386E62">
      <w:pPr>
        <w:ind w:right="567"/>
        <w:rPr>
          <w:rFonts w:cs="Tahoma"/>
          <w:b/>
          <w:szCs w:val="24"/>
        </w:rPr>
      </w:pPr>
    </w:p>
    <w:p w14:paraId="31DF44BA" w14:textId="77777777" w:rsidR="00386E62" w:rsidRDefault="00386E62" w:rsidP="00386E62">
      <w:pPr>
        <w:ind w:right="567"/>
        <w:rPr>
          <w:rFonts w:cs="Tahoma"/>
          <w:b/>
          <w:szCs w:val="24"/>
        </w:rPr>
      </w:pPr>
    </w:p>
    <w:p w14:paraId="3E7F1F93" w14:textId="77777777" w:rsidR="00386E62" w:rsidRDefault="00386E62" w:rsidP="00386E62">
      <w:pPr>
        <w:ind w:right="567"/>
        <w:rPr>
          <w:rFonts w:cs="Tahoma"/>
          <w:b/>
          <w:szCs w:val="24"/>
        </w:rPr>
      </w:pPr>
    </w:p>
    <w:p w14:paraId="4A87ACF6" w14:textId="77777777" w:rsidR="008373A3" w:rsidRDefault="008373A3" w:rsidP="00386E62">
      <w:pPr>
        <w:ind w:right="567"/>
        <w:rPr>
          <w:rFonts w:cs="Tahoma"/>
          <w:bCs/>
          <w:szCs w:val="24"/>
        </w:rPr>
      </w:pPr>
    </w:p>
    <w:p w14:paraId="61C7534B" w14:textId="77777777" w:rsidR="008373A3" w:rsidRDefault="008373A3" w:rsidP="00386E62">
      <w:pPr>
        <w:ind w:right="567"/>
        <w:rPr>
          <w:rFonts w:cs="Tahoma"/>
          <w:bCs/>
          <w:szCs w:val="24"/>
        </w:rPr>
      </w:pPr>
    </w:p>
    <w:p w14:paraId="6218771E" w14:textId="77777777" w:rsidR="008373A3" w:rsidRDefault="008373A3" w:rsidP="00386E62">
      <w:pPr>
        <w:ind w:right="567"/>
        <w:rPr>
          <w:rFonts w:cs="Tahoma"/>
          <w:bCs/>
          <w:szCs w:val="24"/>
        </w:rPr>
      </w:pPr>
    </w:p>
    <w:p w14:paraId="64DB05B2" w14:textId="77777777" w:rsidR="008373A3" w:rsidRDefault="008373A3" w:rsidP="00386E62">
      <w:pPr>
        <w:ind w:right="567"/>
        <w:rPr>
          <w:rFonts w:cs="Tahoma"/>
          <w:bCs/>
          <w:szCs w:val="24"/>
        </w:rPr>
      </w:pPr>
    </w:p>
    <w:p w14:paraId="30B1F202" w14:textId="5F9EA98A" w:rsidR="00386E62" w:rsidRDefault="00386E62" w:rsidP="00386E62">
      <w:pPr>
        <w:ind w:right="567"/>
        <w:rPr>
          <w:rFonts w:cs="Tahoma"/>
          <w:bCs/>
          <w:szCs w:val="24"/>
        </w:rPr>
      </w:pPr>
      <w:r>
        <w:rPr>
          <w:rFonts w:cs="Tahoma"/>
          <w:bCs/>
          <w:szCs w:val="24"/>
        </w:rPr>
        <w:t>Appearances:</w:t>
      </w:r>
    </w:p>
    <w:p w14:paraId="51E6D2B7" w14:textId="77777777" w:rsidR="00386E62" w:rsidRDefault="00386E62" w:rsidP="00386E62">
      <w:pPr>
        <w:ind w:right="567"/>
        <w:rPr>
          <w:rFonts w:cs="Tahoma"/>
          <w:bCs/>
          <w:szCs w:val="24"/>
        </w:rPr>
      </w:pPr>
    </w:p>
    <w:p w14:paraId="573878E9" w14:textId="33183712" w:rsidR="00386E62" w:rsidRDefault="00386E62" w:rsidP="00386E62">
      <w:pPr>
        <w:ind w:right="567"/>
        <w:rPr>
          <w:rFonts w:cs="Tahoma"/>
          <w:bCs/>
          <w:szCs w:val="24"/>
        </w:rPr>
      </w:pPr>
      <w:r>
        <w:rPr>
          <w:rFonts w:cs="Tahoma"/>
          <w:bCs/>
          <w:szCs w:val="24"/>
        </w:rPr>
        <w:t>Counsel for Plaintiff:</w:t>
      </w:r>
      <w:r>
        <w:rPr>
          <w:rFonts w:cs="Tahoma"/>
          <w:bCs/>
          <w:szCs w:val="24"/>
        </w:rPr>
        <w:tab/>
      </w:r>
      <w:r>
        <w:rPr>
          <w:rFonts w:cs="Tahoma"/>
          <w:bCs/>
          <w:szCs w:val="24"/>
        </w:rPr>
        <w:tab/>
      </w:r>
      <w:r>
        <w:rPr>
          <w:rFonts w:cs="Tahoma"/>
          <w:bCs/>
          <w:szCs w:val="24"/>
        </w:rPr>
        <w:tab/>
      </w:r>
      <w:r>
        <w:rPr>
          <w:rFonts w:cs="Tahoma"/>
          <w:bCs/>
          <w:szCs w:val="24"/>
        </w:rPr>
        <w:tab/>
      </w:r>
      <w:r>
        <w:rPr>
          <w:rFonts w:cs="Tahoma"/>
          <w:bCs/>
          <w:szCs w:val="24"/>
        </w:rPr>
        <w:tab/>
        <w:t>Adv V Madokwe</w:t>
      </w:r>
    </w:p>
    <w:p w14:paraId="2FC078AF" w14:textId="77777777" w:rsidR="00386E62" w:rsidRDefault="00386E62" w:rsidP="00386E62">
      <w:pPr>
        <w:ind w:right="567"/>
        <w:rPr>
          <w:rFonts w:cs="Tahoma"/>
          <w:bCs/>
          <w:szCs w:val="24"/>
        </w:rPr>
      </w:pPr>
    </w:p>
    <w:p w14:paraId="637AD751" w14:textId="43056F40" w:rsidR="00386E62" w:rsidRDefault="00386E62" w:rsidP="00386E62">
      <w:pPr>
        <w:ind w:right="567"/>
        <w:rPr>
          <w:rFonts w:cs="Tahoma"/>
          <w:bCs/>
          <w:szCs w:val="24"/>
        </w:rPr>
      </w:pPr>
      <w:r>
        <w:rPr>
          <w:rFonts w:cs="Tahoma"/>
          <w:bCs/>
          <w:szCs w:val="24"/>
        </w:rPr>
        <w:t>Instructed by:</w:t>
      </w:r>
      <w:r>
        <w:rPr>
          <w:rFonts w:cs="Tahoma"/>
          <w:bCs/>
          <w:szCs w:val="24"/>
        </w:rPr>
        <w:tab/>
      </w:r>
      <w:r>
        <w:rPr>
          <w:rFonts w:cs="Tahoma"/>
          <w:bCs/>
          <w:szCs w:val="24"/>
        </w:rPr>
        <w:tab/>
      </w:r>
      <w:r>
        <w:rPr>
          <w:rFonts w:cs="Tahoma"/>
          <w:bCs/>
          <w:szCs w:val="24"/>
        </w:rPr>
        <w:tab/>
      </w:r>
      <w:r>
        <w:rPr>
          <w:rFonts w:cs="Tahoma"/>
          <w:bCs/>
          <w:szCs w:val="24"/>
        </w:rPr>
        <w:tab/>
      </w:r>
      <w:r>
        <w:rPr>
          <w:rFonts w:cs="Tahoma"/>
          <w:bCs/>
          <w:szCs w:val="24"/>
        </w:rPr>
        <w:tab/>
        <w:t>Ntanzi Attorneys Inc.</w:t>
      </w:r>
    </w:p>
    <w:p w14:paraId="6875E161" w14:textId="77777777" w:rsidR="00386E62" w:rsidRDefault="00386E62" w:rsidP="00386E62">
      <w:pPr>
        <w:ind w:right="567"/>
        <w:rPr>
          <w:rFonts w:cs="Tahoma"/>
          <w:bCs/>
          <w:szCs w:val="24"/>
        </w:rPr>
      </w:pPr>
    </w:p>
    <w:p w14:paraId="702B87C1" w14:textId="4289CF8E" w:rsidR="00386E62" w:rsidRDefault="00386E62" w:rsidP="00386E62">
      <w:pPr>
        <w:ind w:right="567"/>
        <w:rPr>
          <w:rFonts w:cs="Tahoma"/>
          <w:bCs/>
          <w:szCs w:val="24"/>
        </w:rPr>
      </w:pPr>
      <w:r>
        <w:rPr>
          <w:rFonts w:cs="Tahoma"/>
          <w:bCs/>
          <w:szCs w:val="24"/>
        </w:rPr>
        <w:t>Counsel for Excipient/Defendant:</w:t>
      </w:r>
      <w:r>
        <w:rPr>
          <w:rFonts w:cs="Tahoma"/>
          <w:bCs/>
          <w:szCs w:val="24"/>
        </w:rPr>
        <w:tab/>
      </w:r>
      <w:r>
        <w:rPr>
          <w:rFonts w:cs="Tahoma"/>
          <w:bCs/>
          <w:szCs w:val="24"/>
        </w:rPr>
        <w:tab/>
      </w:r>
      <w:r>
        <w:rPr>
          <w:rFonts w:cs="Tahoma"/>
          <w:bCs/>
          <w:szCs w:val="24"/>
        </w:rPr>
        <w:tab/>
        <w:t>Adv L Voultsos</w:t>
      </w:r>
    </w:p>
    <w:p w14:paraId="540F0EB0" w14:textId="77777777" w:rsidR="00386E62" w:rsidRDefault="00386E62" w:rsidP="00386E62">
      <w:pPr>
        <w:ind w:right="567"/>
        <w:rPr>
          <w:rFonts w:cs="Tahoma"/>
          <w:bCs/>
          <w:szCs w:val="24"/>
        </w:rPr>
      </w:pPr>
    </w:p>
    <w:p w14:paraId="5A199630" w14:textId="5B316F9F" w:rsidR="00386E62" w:rsidRDefault="00386E62" w:rsidP="00386E62">
      <w:pPr>
        <w:ind w:right="567"/>
        <w:rPr>
          <w:rFonts w:cs="Tahoma"/>
          <w:bCs/>
          <w:szCs w:val="24"/>
        </w:rPr>
      </w:pPr>
      <w:r>
        <w:rPr>
          <w:rFonts w:cs="Tahoma"/>
          <w:bCs/>
          <w:szCs w:val="24"/>
        </w:rPr>
        <w:t>Instructed by:</w:t>
      </w:r>
      <w:r>
        <w:rPr>
          <w:rFonts w:cs="Tahoma"/>
          <w:bCs/>
          <w:szCs w:val="24"/>
        </w:rPr>
        <w:tab/>
      </w:r>
      <w:r>
        <w:rPr>
          <w:rFonts w:cs="Tahoma"/>
          <w:bCs/>
          <w:szCs w:val="24"/>
        </w:rPr>
        <w:tab/>
      </w:r>
      <w:r>
        <w:rPr>
          <w:rFonts w:cs="Tahoma"/>
          <w:bCs/>
          <w:szCs w:val="24"/>
        </w:rPr>
        <w:tab/>
      </w:r>
      <w:r>
        <w:rPr>
          <w:rFonts w:cs="Tahoma"/>
          <w:bCs/>
          <w:szCs w:val="24"/>
        </w:rPr>
        <w:tab/>
      </w:r>
      <w:r>
        <w:rPr>
          <w:rFonts w:cs="Tahoma"/>
          <w:bCs/>
          <w:szCs w:val="24"/>
        </w:rPr>
        <w:tab/>
        <w:t>Goldberg &amp; De Villiers Inc</w:t>
      </w:r>
    </w:p>
    <w:p w14:paraId="52720AEB" w14:textId="77777777" w:rsidR="00386E62" w:rsidRDefault="00386E62" w:rsidP="00386E62">
      <w:pPr>
        <w:ind w:right="567"/>
        <w:rPr>
          <w:rFonts w:cs="Tahoma"/>
          <w:bCs/>
          <w:szCs w:val="24"/>
        </w:rPr>
      </w:pPr>
    </w:p>
    <w:p w14:paraId="033EB64C" w14:textId="77777777" w:rsidR="00386E62" w:rsidRPr="00386E62" w:rsidRDefault="00386E62" w:rsidP="00386E62">
      <w:pPr>
        <w:ind w:right="567"/>
        <w:rPr>
          <w:rFonts w:cs="Tahoma"/>
          <w:bCs/>
          <w:szCs w:val="24"/>
        </w:rPr>
      </w:pPr>
    </w:p>
    <w:p w14:paraId="67CF819B" w14:textId="3CCA780B" w:rsidR="00E36A73" w:rsidRPr="000160FF" w:rsidRDefault="00E36A73" w:rsidP="00E82DCD">
      <w:pPr>
        <w:spacing w:line="360" w:lineRule="auto"/>
        <w:ind w:right="567"/>
        <w:rPr>
          <w:rFonts w:cs="Tahoma"/>
          <w:szCs w:val="24"/>
        </w:rPr>
      </w:pPr>
    </w:p>
    <w:sectPr w:rsidR="00E36A73" w:rsidRPr="000160FF" w:rsidSect="000B191D">
      <w:headerReference w:type="default" r:id="rId8"/>
      <w:pgSz w:w="11906" w:h="16838" w:code="9"/>
      <w:pgMar w:top="1701" w:right="1440" w:bottom="170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C51F5" w14:textId="77777777" w:rsidR="004F5E53" w:rsidRDefault="004F5E53" w:rsidP="000B191D">
      <w:r>
        <w:separator/>
      </w:r>
    </w:p>
  </w:endnote>
  <w:endnote w:type="continuationSeparator" w:id="0">
    <w:p w14:paraId="2795E8B9" w14:textId="77777777" w:rsidR="004F5E53" w:rsidRDefault="004F5E53" w:rsidP="000B191D">
      <w:r>
        <w:continuationSeparator/>
      </w:r>
    </w:p>
  </w:endnote>
  <w:endnote w:type="continuationNotice" w:id="1">
    <w:p w14:paraId="544EF2EC" w14:textId="77777777" w:rsidR="004F5E53" w:rsidRDefault="004F5E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1A021" w14:textId="77777777" w:rsidR="004F5E53" w:rsidRDefault="004F5E53" w:rsidP="000B191D">
      <w:r>
        <w:separator/>
      </w:r>
    </w:p>
  </w:footnote>
  <w:footnote w:type="continuationSeparator" w:id="0">
    <w:p w14:paraId="1BAFBDC4" w14:textId="77777777" w:rsidR="004F5E53" w:rsidRDefault="004F5E53" w:rsidP="000B191D">
      <w:r>
        <w:continuationSeparator/>
      </w:r>
    </w:p>
  </w:footnote>
  <w:footnote w:type="continuationNotice" w:id="1">
    <w:p w14:paraId="37496C41" w14:textId="77777777" w:rsidR="004F5E53" w:rsidRDefault="004F5E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404684"/>
      <w:docPartObj>
        <w:docPartGallery w:val="Page Numbers (Top of Page)"/>
        <w:docPartUnique/>
      </w:docPartObj>
    </w:sdtPr>
    <w:sdtEndPr>
      <w:rPr>
        <w:noProof/>
      </w:rPr>
    </w:sdtEndPr>
    <w:sdtContent>
      <w:p w14:paraId="7F0D38B9" w14:textId="51CBA73C" w:rsidR="005C7D79" w:rsidRDefault="005C7D79">
        <w:pPr>
          <w:pStyle w:val="Header"/>
          <w:jc w:val="center"/>
        </w:pPr>
        <w:r>
          <w:fldChar w:fldCharType="begin"/>
        </w:r>
        <w:r>
          <w:instrText xml:space="preserve"> PAGE   \* MERGEFORMAT </w:instrText>
        </w:r>
        <w:r>
          <w:fldChar w:fldCharType="separate"/>
        </w:r>
        <w:r w:rsidR="00E27DAA">
          <w:rPr>
            <w:noProof/>
          </w:rPr>
          <w:t>2</w:t>
        </w:r>
        <w:r>
          <w:rPr>
            <w:noProof/>
          </w:rPr>
          <w:fldChar w:fldCharType="end"/>
        </w:r>
      </w:p>
    </w:sdtContent>
  </w:sdt>
  <w:p w14:paraId="217B444A" w14:textId="77777777" w:rsidR="003C2BF4" w:rsidRDefault="003C2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B3D3C"/>
    <w:multiLevelType w:val="multilevel"/>
    <w:tmpl w:val="5BB827CA"/>
    <w:lvl w:ilvl="0">
      <w:start w:val="1"/>
      <w:numFmt w:val="decimal"/>
      <w:pStyle w:val="H1"/>
      <w:lvlText w:val="[%1]"/>
      <w:lvlJc w:val="left"/>
      <w:pPr>
        <w:ind w:left="567" w:hanging="567"/>
      </w:pPr>
      <w:rPr>
        <w:rFonts w:hint="default"/>
      </w:rPr>
    </w:lvl>
    <w:lvl w:ilvl="1">
      <w:start w:val="1"/>
      <w:numFmt w:val="decimal"/>
      <w:pStyle w:val="H2"/>
      <w:lvlText w:val="%1.%2."/>
      <w:lvlJc w:val="left"/>
      <w:pPr>
        <w:ind w:left="1418" w:hanging="851"/>
      </w:pPr>
      <w:rPr>
        <w:rFonts w:hint="default"/>
      </w:rPr>
    </w:lvl>
    <w:lvl w:ilvl="2">
      <w:start w:val="1"/>
      <w:numFmt w:val="decimal"/>
      <w:pStyle w:val="H3"/>
      <w:lvlText w:val="%1.%2.%3."/>
      <w:lvlJc w:val="left"/>
      <w:pPr>
        <w:tabs>
          <w:tab w:val="num" w:pos="1418"/>
        </w:tabs>
        <w:ind w:left="2268" w:hanging="850"/>
      </w:pPr>
      <w:rPr>
        <w:rFonts w:hint="default"/>
      </w:rPr>
    </w:lvl>
    <w:lvl w:ilvl="3">
      <w:start w:val="1"/>
      <w:numFmt w:val="decimal"/>
      <w:pStyle w:val="H4"/>
      <w:lvlText w:val="%1.%2.%3.%4."/>
      <w:lvlJc w:val="left"/>
      <w:pPr>
        <w:tabs>
          <w:tab w:val="num" w:pos="2268"/>
        </w:tabs>
        <w:ind w:left="3119"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D5"/>
    <w:rsid w:val="000010DD"/>
    <w:rsid w:val="000051E9"/>
    <w:rsid w:val="00005F9F"/>
    <w:rsid w:val="00006738"/>
    <w:rsid w:val="00010DA1"/>
    <w:rsid w:val="00013518"/>
    <w:rsid w:val="0001597A"/>
    <w:rsid w:val="000160FF"/>
    <w:rsid w:val="000170ED"/>
    <w:rsid w:val="000233EB"/>
    <w:rsid w:val="000315FC"/>
    <w:rsid w:val="00034E5D"/>
    <w:rsid w:val="0003513F"/>
    <w:rsid w:val="00036916"/>
    <w:rsid w:val="00047517"/>
    <w:rsid w:val="00047BFB"/>
    <w:rsid w:val="00050FE8"/>
    <w:rsid w:val="00054C34"/>
    <w:rsid w:val="0005512D"/>
    <w:rsid w:val="00071845"/>
    <w:rsid w:val="00076A1F"/>
    <w:rsid w:val="00077E8E"/>
    <w:rsid w:val="000820B4"/>
    <w:rsid w:val="00084A86"/>
    <w:rsid w:val="0008543B"/>
    <w:rsid w:val="00085872"/>
    <w:rsid w:val="000918AC"/>
    <w:rsid w:val="000930EE"/>
    <w:rsid w:val="000A04BB"/>
    <w:rsid w:val="000A1432"/>
    <w:rsid w:val="000A3833"/>
    <w:rsid w:val="000B191D"/>
    <w:rsid w:val="000B2AD7"/>
    <w:rsid w:val="000C00CD"/>
    <w:rsid w:val="000C1F0C"/>
    <w:rsid w:val="000C2800"/>
    <w:rsid w:val="000C5A1A"/>
    <w:rsid w:val="000D028F"/>
    <w:rsid w:val="000D282E"/>
    <w:rsid w:val="000D5349"/>
    <w:rsid w:val="000D6188"/>
    <w:rsid w:val="000D779A"/>
    <w:rsid w:val="000E2204"/>
    <w:rsid w:val="000E385D"/>
    <w:rsid w:val="000E7485"/>
    <w:rsid w:val="000F36E9"/>
    <w:rsid w:val="00105594"/>
    <w:rsid w:val="00105F1D"/>
    <w:rsid w:val="00125982"/>
    <w:rsid w:val="00135E5E"/>
    <w:rsid w:val="00140B21"/>
    <w:rsid w:val="0014667E"/>
    <w:rsid w:val="00146C47"/>
    <w:rsid w:val="00151030"/>
    <w:rsid w:val="00154C19"/>
    <w:rsid w:val="00157553"/>
    <w:rsid w:val="00162EE4"/>
    <w:rsid w:val="001658A3"/>
    <w:rsid w:val="0017002C"/>
    <w:rsid w:val="00176E75"/>
    <w:rsid w:val="001802B3"/>
    <w:rsid w:val="001810D2"/>
    <w:rsid w:val="00181A20"/>
    <w:rsid w:val="00181B48"/>
    <w:rsid w:val="001867FC"/>
    <w:rsid w:val="001916A9"/>
    <w:rsid w:val="00195C2B"/>
    <w:rsid w:val="00197E1C"/>
    <w:rsid w:val="001A1FE9"/>
    <w:rsid w:val="001A6054"/>
    <w:rsid w:val="001A7364"/>
    <w:rsid w:val="001B0777"/>
    <w:rsid w:val="001B625B"/>
    <w:rsid w:val="001B6D53"/>
    <w:rsid w:val="001C5866"/>
    <w:rsid w:val="001C74C6"/>
    <w:rsid w:val="001D1909"/>
    <w:rsid w:val="001D2DC1"/>
    <w:rsid w:val="001D56FC"/>
    <w:rsid w:val="001F0B09"/>
    <w:rsid w:val="001F1EC8"/>
    <w:rsid w:val="001F5B6F"/>
    <w:rsid w:val="00200441"/>
    <w:rsid w:val="00200840"/>
    <w:rsid w:val="002018BB"/>
    <w:rsid w:val="00207C93"/>
    <w:rsid w:val="00213D19"/>
    <w:rsid w:val="00215195"/>
    <w:rsid w:val="0022013A"/>
    <w:rsid w:val="00223735"/>
    <w:rsid w:val="00224771"/>
    <w:rsid w:val="00231F74"/>
    <w:rsid w:val="00236A95"/>
    <w:rsid w:val="00243371"/>
    <w:rsid w:val="00252206"/>
    <w:rsid w:val="0025577A"/>
    <w:rsid w:val="0025604B"/>
    <w:rsid w:val="00260A10"/>
    <w:rsid w:val="00263273"/>
    <w:rsid w:val="0026454A"/>
    <w:rsid w:val="00265824"/>
    <w:rsid w:val="00266CDB"/>
    <w:rsid w:val="002711A6"/>
    <w:rsid w:val="00273090"/>
    <w:rsid w:val="002758BE"/>
    <w:rsid w:val="00277E48"/>
    <w:rsid w:val="00296C34"/>
    <w:rsid w:val="002A27FD"/>
    <w:rsid w:val="002A3B17"/>
    <w:rsid w:val="002A4CD0"/>
    <w:rsid w:val="002A6BF7"/>
    <w:rsid w:val="002A78A4"/>
    <w:rsid w:val="002B2488"/>
    <w:rsid w:val="002B3080"/>
    <w:rsid w:val="002C0832"/>
    <w:rsid w:val="002C10B1"/>
    <w:rsid w:val="002C135B"/>
    <w:rsid w:val="002D0571"/>
    <w:rsid w:val="002D3DB3"/>
    <w:rsid w:val="002E0B93"/>
    <w:rsid w:val="002E381B"/>
    <w:rsid w:val="002E5648"/>
    <w:rsid w:val="002E5F58"/>
    <w:rsid w:val="002E69EB"/>
    <w:rsid w:val="002F1004"/>
    <w:rsid w:val="002F294F"/>
    <w:rsid w:val="002F66A1"/>
    <w:rsid w:val="002F70AF"/>
    <w:rsid w:val="003014A2"/>
    <w:rsid w:val="0030460F"/>
    <w:rsid w:val="003054F7"/>
    <w:rsid w:val="00306FC9"/>
    <w:rsid w:val="00307A50"/>
    <w:rsid w:val="00310993"/>
    <w:rsid w:val="00314D6F"/>
    <w:rsid w:val="003151EE"/>
    <w:rsid w:val="0031650B"/>
    <w:rsid w:val="003214F5"/>
    <w:rsid w:val="00321E72"/>
    <w:rsid w:val="00322FA3"/>
    <w:rsid w:val="00323F77"/>
    <w:rsid w:val="00324CF7"/>
    <w:rsid w:val="00325C16"/>
    <w:rsid w:val="00326CBA"/>
    <w:rsid w:val="00330EB0"/>
    <w:rsid w:val="00333417"/>
    <w:rsid w:val="0033357E"/>
    <w:rsid w:val="003372CD"/>
    <w:rsid w:val="00342D37"/>
    <w:rsid w:val="00353C06"/>
    <w:rsid w:val="00361CA4"/>
    <w:rsid w:val="00363A3F"/>
    <w:rsid w:val="003652C1"/>
    <w:rsid w:val="00366887"/>
    <w:rsid w:val="003728E6"/>
    <w:rsid w:val="003846B9"/>
    <w:rsid w:val="003868AC"/>
    <w:rsid w:val="00386E62"/>
    <w:rsid w:val="00390D52"/>
    <w:rsid w:val="00391739"/>
    <w:rsid w:val="003A3D4F"/>
    <w:rsid w:val="003A6482"/>
    <w:rsid w:val="003B6A2C"/>
    <w:rsid w:val="003C206D"/>
    <w:rsid w:val="003C2BF4"/>
    <w:rsid w:val="003D311D"/>
    <w:rsid w:val="003D40AB"/>
    <w:rsid w:val="003D61F0"/>
    <w:rsid w:val="003D7B51"/>
    <w:rsid w:val="003E090C"/>
    <w:rsid w:val="003E2458"/>
    <w:rsid w:val="003E68C6"/>
    <w:rsid w:val="003F0B6E"/>
    <w:rsid w:val="00401B1A"/>
    <w:rsid w:val="00401CB6"/>
    <w:rsid w:val="00402E7B"/>
    <w:rsid w:val="0040688A"/>
    <w:rsid w:val="00407D59"/>
    <w:rsid w:val="0041179C"/>
    <w:rsid w:val="00412902"/>
    <w:rsid w:val="004148FB"/>
    <w:rsid w:val="00414D41"/>
    <w:rsid w:val="00415DA1"/>
    <w:rsid w:val="0042251D"/>
    <w:rsid w:val="004277AE"/>
    <w:rsid w:val="004309D0"/>
    <w:rsid w:val="00435BE3"/>
    <w:rsid w:val="0044106D"/>
    <w:rsid w:val="0044271B"/>
    <w:rsid w:val="004456DB"/>
    <w:rsid w:val="004457FF"/>
    <w:rsid w:val="0045223B"/>
    <w:rsid w:val="00452869"/>
    <w:rsid w:val="004534E2"/>
    <w:rsid w:val="00456507"/>
    <w:rsid w:val="004627F5"/>
    <w:rsid w:val="00464CC6"/>
    <w:rsid w:val="00471604"/>
    <w:rsid w:val="004725B9"/>
    <w:rsid w:val="00481D95"/>
    <w:rsid w:val="004831B0"/>
    <w:rsid w:val="00486CDA"/>
    <w:rsid w:val="004910FE"/>
    <w:rsid w:val="004A0339"/>
    <w:rsid w:val="004A0761"/>
    <w:rsid w:val="004A1298"/>
    <w:rsid w:val="004A3A8E"/>
    <w:rsid w:val="004A4205"/>
    <w:rsid w:val="004A426B"/>
    <w:rsid w:val="004B10BE"/>
    <w:rsid w:val="004B1110"/>
    <w:rsid w:val="004B16DF"/>
    <w:rsid w:val="004B691C"/>
    <w:rsid w:val="004C3D91"/>
    <w:rsid w:val="004C651D"/>
    <w:rsid w:val="004E0818"/>
    <w:rsid w:val="004E12D7"/>
    <w:rsid w:val="004E2EEE"/>
    <w:rsid w:val="004E508B"/>
    <w:rsid w:val="004F5561"/>
    <w:rsid w:val="004F5E53"/>
    <w:rsid w:val="004F6F08"/>
    <w:rsid w:val="004F6F2D"/>
    <w:rsid w:val="005034A4"/>
    <w:rsid w:val="00505B04"/>
    <w:rsid w:val="00517AA4"/>
    <w:rsid w:val="0052282D"/>
    <w:rsid w:val="00534388"/>
    <w:rsid w:val="0053721A"/>
    <w:rsid w:val="005429FF"/>
    <w:rsid w:val="00544706"/>
    <w:rsid w:val="00547CBE"/>
    <w:rsid w:val="005502A7"/>
    <w:rsid w:val="005509F4"/>
    <w:rsid w:val="0056217A"/>
    <w:rsid w:val="00563D6C"/>
    <w:rsid w:val="005645DD"/>
    <w:rsid w:val="00565437"/>
    <w:rsid w:val="005671CE"/>
    <w:rsid w:val="00573E7C"/>
    <w:rsid w:val="005824AE"/>
    <w:rsid w:val="00586DC5"/>
    <w:rsid w:val="00592BAB"/>
    <w:rsid w:val="00593FDB"/>
    <w:rsid w:val="005A17A7"/>
    <w:rsid w:val="005A19AD"/>
    <w:rsid w:val="005A633B"/>
    <w:rsid w:val="005B3017"/>
    <w:rsid w:val="005B748A"/>
    <w:rsid w:val="005C06CE"/>
    <w:rsid w:val="005C175E"/>
    <w:rsid w:val="005C1BF6"/>
    <w:rsid w:val="005C34CC"/>
    <w:rsid w:val="005C45A4"/>
    <w:rsid w:val="005C49E6"/>
    <w:rsid w:val="005C5871"/>
    <w:rsid w:val="005C7D79"/>
    <w:rsid w:val="005D04A1"/>
    <w:rsid w:val="005D47DA"/>
    <w:rsid w:val="005D5179"/>
    <w:rsid w:val="005D5650"/>
    <w:rsid w:val="005E226F"/>
    <w:rsid w:val="005E5479"/>
    <w:rsid w:val="005E5C98"/>
    <w:rsid w:val="005E6B58"/>
    <w:rsid w:val="005F0609"/>
    <w:rsid w:val="005F1080"/>
    <w:rsid w:val="005F1C7B"/>
    <w:rsid w:val="00605101"/>
    <w:rsid w:val="006201E3"/>
    <w:rsid w:val="006256DD"/>
    <w:rsid w:val="0063470D"/>
    <w:rsid w:val="006410C0"/>
    <w:rsid w:val="00641958"/>
    <w:rsid w:val="0064295F"/>
    <w:rsid w:val="00643983"/>
    <w:rsid w:val="00643C05"/>
    <w:rsid w:val="006465C2"/>
    <w:rsid w:val="006567EB"/>
    <w:rsid w:val="006614B8"/>
    <w:rsid w:val="00663D11"/>
    <w:rsid w:val="00665E32"/>
    <w:rsid w:val="00666844"/>
    <w:rsid w:val="006704ED"/>
    <w:rsid w:val="0067266C"/>
    <w:rsid w:val="0067754D"/>
    <w:rsid w:val="00683D00"/>
    <w:rsid w:val="006853F6"/>
    <w:rsid w:val="00686A27"/>
    <w:rsid w:val="00687CED"/>
    <w:rsid w:val="00693C94"/>
    <w:rsid w:val="006952C3"/>
    <w:rsid w:val="006977C6"/>
    <w:rsid w:val="00697EB6"/>
    <w:rsid w:val="006A14C4"/>
    <w:rsid w:val="006A282A"/>
    <w:rsid w:val="006A73F1"/>
    <w:rsid w:val="006B0556"/>
    <w:rsid w:val="006B3437"/>
    <w:rsid w:val="006B3C10"/>
    <w:rsid w:val="006C13AC"/>
    <w:rsid w:val="006C4FE0"/>
    <w:rsid w:val="006C605E"/>
    <w:rsid w:val="006D345A"/>
    <w:rsid w:val="006D367E"/>
    <w:rsid w:val="006D4D9F"/>
    <w:rsid w:val="006D7037"/>
    <w:rsid w:val="006E1B7E"/>
    <w:rsid w:val="006E347D"/>
    <w:rsid w:val="006E70E6"/>
    <w:rsid w:val="006F0A24"/>
    <w:rsid w:val="006F197C"/>
    <w:rsid w:val="006F61BF"/>
    <w:rsid w:val="00702D49"/>
    <w:rsid w:val="007032A6"/>
    <w:rsid w:val="0070351E"/>
    <w:rsid w:val="00704B33"/>
    <w:rsid w:val="00704BC7"/>
    <w:rsid w:val="00707D61"/>
    <w:rsid w:val="0071613A"/>
    <w:rsid w:val="007162DB"/>
    <w:rsid w:val="0072170E"/>
    <w:rsid w:val="0072393D"/>
    <w:rsid w:val="007319F5"/>
    <w:rsid w:val="00732EFE"/>
    <w:rsid w:val="00734DD1"/>
    <w:rsid w:val="0074195D"/>
    <w:rsid w:val="0074377F"/>
    <w:rsid w:val="00745C1E"/>
    <w:rsid w:val="00745D77"/>
    <w:rsid w:val="00745F8F"/>
    <w:rsid w:val="00753996"/>
    <w:rsid w:val="00754CD6"/>
    <w:rsid w:val="007552A7"/>
    <w:rsid w:val="00763CF1"/>
    <w:rsid w:val="00765734"/>
    <w:rsid w:val="00770311"/>
    <w:rsid w:val="0077742D"/>
    <w:rsid w:val="00780551"/>
    <w:rsid w:val="00784E80"/>
    <w:rsid w:val="00787374"/>
    <w:rsid w:val="007930B8"/>
    <w:rsid w:val="0079506A"/>
    <w:rsid w:val="007A74FF"/>
    <w:rsid w:val="007B09F2"/>
    <w:rsid w:val="007C65F1"/>
    <w:rsid w:val="007C7DF0"/>
    <w:rsid w:val="007E148C"/>
    <w:rsid w:val="007E2BF2"/>
    <w:rsid w:val="007E7F08"/>
    <w:rsid w:val="007F5F05"/>
    <w:rsid w:val="00801345"/>
    <w:rsid w:val="00803D5D"/>
    <w:rsid w:val="00805C91"/>
    <w:rsid w:val="0080705F"/>
    <w:rsid w:val="00813288"/>
    <w:rsid w:val="008134F2"/>
    <w:rsid w:val="00817AC8"/>
    <w:rsid w:val="00817EC0"/>
    <w:rsid w:val="0082423C"/>
    <w:rsid w:val="00824A8D"/>
    <w:rsid w:val="00826087"/>
    <w:rsid w:val="008373A3"/>
    <w:rsid w:val="0084482B"/>
    <w:rsid w:val="0084601A"/>
    <w:rsid w:val="00847513"/>
    <w:rsid w:val="00847D7F"/>
    <w:rsid w:val="00850929"/>
    <w:rsid w:val="008526D5"/>
    <w:rsid w:val="008617B9"/>
    <w:rsid w:val="00874688"/>
    <w:rsid w:val="00875768"/>
    <w:rsid w:val="00876712"/>
    <w:rsid w:val="008769D6"/>
    <w:rsid w:val="0088376C"/>
    <w:rsid w:val="00884224"/>
    <w:rsid w:val="0089235C"/>
    <w:rsid w:val="008934C3"/>
    <w:rsid w:val="0089599E"/>
    <w:rsid w:val="00897BF6"/>
    <w:rsid w:val="008B074D"/>
    <w:rsid w:val="008B1010"/>
    <w:rsid w:val="008B3FDC"/>
    <w:rsid w:val="008C02A2"/>
    <w:rsid w:val="008C180A"/>
    <w:rsid w:val="008C1CD6"/>
    <w:rsid w:val="008C2A51"/>
    <w:rsid w:val="008C6B4F"/>
    <w:rsid w:val="008D0743"/>
    <w:rsid w:val="008D3BEC"/>
    <w:rsid w:val="008D4C4B"/>
    <w:rsid w:val="008D5B7B"/>
    <w:rsid w:val="008D5CDB"/>
    <w:rsid w:val="008E3007"/>
    <w:rsid w:val="008E3180"/>
    <w:rsid w:val="008F1A02"/>
    <w:rsid w:val="008F23C5"/>
    <w:rsid w:val="008F3E0F"/>
    <w:rsid w:val="008F7714"/>
    <w:rsid w:val="009001AF"/>
    <w:rsid w:val="00901E0D"/>
    <w:rsid w:val="00902C82"/>
    <w:rsid w:val="00902CAC"/>
    <w:rsid w:val="00904DC1"/>
    <w:rsid w:val="009102A4"/>
    <w:rsid w:val="00915D7E"/>
    <w:rsid w:val="009244C1"/>
    <w:rsid w:val="0092624F"/>
    <w:rsid w:val="00926A7B"/>
    <w:rsid w:val="009323D5"/>
    <w:rsid w:val="0093358B"/>
    <w:rsid w:val="00934CF5"/>
    <w:rsid w:val="009418E7"/>
    <w:rsid w:val="00944F8E"/>
    <w:rsid w:val="00947CAB"/>
    <w:rsid w:val="009502E5"/>
    <w:rsid w:val="0095044D"/>
    <w:rsid w:val="00952ABC"/>
    <w:rsid w:val="009562FE"/>
    <w:rsid w:val="00964F56"/>
    <w:rsid w:val="00965186"/>
    <w:rsid w:val="00966662"/>
    <w:rsid w:val="00972EEA"/>
    <w:rsid w:val="00976CCB"/>
    <w:rsid w:val="00980A38"/>
    <w:rsid w:val="009859EB"/>
    <w:rsid w:val="009918AD"/>
    <w:rsid w:val="00993420"/>
    <w:rsid w:val="00993B03"/>
    <w:rsid w:val="009A069C"/>
    <w:rsid w:val="009A692A"/>
    <w:rsid w:val="009A7386"/>
    <w:rsid w:val="009B044E"/>
    <w:rsid w:val="009B11B4"/>
    <w:rsid w:val="009B208B"/>
    <w:rsid w:val="009B3C0E"/>
    <w:rsid w:val="009B4370"/>
    <w:rsid w:val="009B7BDB"/>
    <w:rsid w:val="009C06F8"/>
    <w:rsid w:val="009C14BA"/>
    <w:rsid w:val="009C5CB3"/>
    <w:rsid w:val="009D3565"/>
    <w:rsid w:val="009D582B"/>
    <w:rsid w:val="009E078D"/>
    <w:rsid w:val="009E5C6A"/>
    <w:rsid w:val="009F024B"/>
    <w:rsid w:val="009F1A62"/>
    <w:rsid w:val="009F4BF7"/>
    <w:rsid w:val="00A00A5F"/>
    <w:rsid w:val="00A01CCC"/>
    <w:rsid w:val="00A0348A"/>
    <w:rsid w:val="00A050C9"/>
    <w:rsid w:val="00A12574"/>
    <w:rsid w:val="00A21AEE"/>
    <w:rsid w:val="00A25218"/>
    <w:rsid w:val="00A3163F"/>
    <w:rsid w:val="00A348FD"/>
    <w:rsid w:val="00A40638"/>
    <w:rsid w:val="00A41CE3"/>
    <w:rsid w:val="00A44C0C"/>
    <w:rsid w:val="00A52520"/>
    <w:rsid w:val="00A569F9"/>
    <w:rsid w:val="00A73D9D"/>
    <w:rsid w:val="00A77C4B"/>
    <w:rsid w:val="00A8637C"/>
    <w:rsid w:val="00A93AC5"/>
    <w:rsid w:val="00A94C85"/>
    <w:rsid w:val="00A95988"/>
    <w:rsid w:val="00AA04C5"/>
    <w:rsid w:val="00AA7172"/>
    <w:rsid w:val="00AB1369"/>
    <w:rsid w:val="00AB5B0B"/>
    <w:rsid w:val="00AC4585"/>
    <w:rsid w:val="00AC5704"/>
    <w:rsid w:val="00AC67EE"/>
    <w:rsid w:val="00AD1EBA"/>
    <w:rsid w:val="00AD2BE7"/>
    <w:rsid w:val="00AD411B"/>
    <w:rsid w:val="00AD6CCF"/>
    <w:rsid w:val="00AF750D"/>
    <w:rsid w:val="00AF7A10"/>
    <w:rsid w:val="00B03318"/>
    <w:rsid w:val="00B036E5"/>
    <w:rsid w:val="00B049E1"/>
    <w:rsid w:val="00B079D8"/>
    <w:rsid w:val="00B10A5A"/>
    <w:rsid w:val="00B13621"/>
    <w:rsid w:val="00B17A10"/>
    <w:rsid w:val="00B202B1"/>
    <w:rsid w:val="00B21C64"/>
    <w:rsid w:val="00B23DBC"/>
    <w:rsid w:val="00B26343"/>
    <w:rsid w:val="00B31E53"/>
    <w:rsid w:val="00B328B3"/>
    <w:rsid w:val="00B3408B"/>
    <w:rsid w:val="00B3443B"/>
    <w:rsid w:val="00B3496B"/>
    <w:rsid w:val="00B34A49"/>
    <w:rsid w:val="00B34A93"/>
    <w:rsid w:val="00B35EF5"/>
    <w:rsid w:val="00B374A0"/>
    <w:rsid w:val="00B43EF0"/>
    <w:rsid w:val="00B502C1"/>
    <w:rsid w:val="00B52173"/>
    <w:rsid w:val="00B529FD"/>
    <w:rsid w:val="00B67624"/>
    <w:rsid w:val="00B71BC6"/>
    <w:rsid w:val="00B720C5"/>
    <w:rsid w:val="00B73A8B"/>
    <w:rsid w:val="00B74596"/>
    <w:rsid w:val="00B77B72"/>
    <w:rsid w:val="00B8047F"/>
    <w:rsid w:val="00B82AED"/>
    <w:rsid w:val="00B92F3C"/>
    <w:rsid w:val="00B95BFC"/>
    <w:rsid w:val="00B963EF"/>
    <w:rsid w:val="00B96C70"/>
    <w:rsid w:val="00B97053"/>
    <w:rsid w:val="00BA6D9C"/>
    <w:rsid w:val="00BA7630"/>
    <w:rsid w:val="00BB188C"/>
    <w:rsid w:val="00BB7CF4"/>
    <w:rsid w:val="00BC222B"/>
    <w:rsid w:val="00BC2DCF"/>
    <w:rsid w:val="00BC3FD4"/>
    <w:rsid w:val="00BC526E"/>
    <w:rsid w:val="00BD0506"/>
    <w:rsid w:val="00BD1CF1"/>
    <w:rsid w:val="00BD27A4"/>
    <w:rsid w:val="00BE1F3F"/>
    <w:rsid w:val="00BE414B"/>
    <w:rsid w:val="00BF3C70"/>
    <w:rsid w:val="00C00760"/>
    <w:rsid w:val="00C0080A"/>
    <w:rsid w:val="00C155F2"/>
    <w:rsid w:val="00C15749"/>
    <w:rsid w:val="00C157B7"/>
    <w:rsid w:val="00C20E83"/>
    <w:rsid w:val="00C222D3"/>
    <w:rsid w:val="00C2359A"/>
    <w:rsid w:val="00C33221"/>
    <w:rsid w:val="00C33716"/>
    <w:rsid w:val="00C35AD9"/>
    <w:rsid w:val="00C375D3"/>
    <w:rsid w:val="00C41D47"/>
    <w:rsid w:val="00C475FF"/>
    <w:rsid w:val="00C56C7A"/>
    <w:rsid w:val="00C56E2A"/>
    <w:rsid w:val="00C6369A"/>
    <w:rsid w:val="00C641C8"/>
    <w:rsid w:val="00C67CA2"/>
    <w:rsid w:val="00C82D3C"/>
    <w:rsid w:val="00C87462"/>
    <w:rsid w:val="00C95F52"/>
    <w:rsid w:val="00C96888"/>
    <w:rsid w:val="00CA24AD"/>
    <w:rsid w:val="00CA2975"/>
    <w:rsid w:val="00CB461C"/>
    <w:rsid w:val="00CB5597"/>
    <w:rsid w:val="00CB5E46"/>
    <w:rsid w:val="00CB7F0D"/>
    <w:rsid w:val="00CC32B3"/>
    <w:rsid w:val="00CC682F"/>
    <w:rsid w:val="00CC709E"/>
    <w:rsid w:val="00CD55BD"/>
    <w:rsid w:val="00CD5D98"/>
    <w:rsid w:val="00CF3EF1"/>
    <w:rsid w:val="00CF7073"/>
    <w:rsid w:val="00D15394"/>
    <w:rsid w:val="00D16785"/>
    <w:rsid w:val="00D202E4"/>
    <w:rsid w:val="00D206EA"/>
    <w:rsid w:val="00D208B8"/>
    <w:rsid w:val="00D22FEB"/>
    <w:rsid w:val="00D2384E"/>
    <w:rsid w:val="00D264C3"/>
    <w:rsid w:val="00D27AB7"/>
    <w:rsid w:val="00D3337D"/>
    <w:rsid w:val="00D3602C"/>
    <w:rsid w:val="00D44429"/>
    <w:rsid w:val="00D45195"/>
    <w:rsid w:val="00D46181"/>
    <w:rsid w:val="00D4674C"/>
    <w:rsid w:val="00D520A4"/>
    <w:rsid w:val="00D5570B"/>
    <w:rsid w:val="00D61373"/>
    <w:rsid w:val="00D638AD"/>
    <w:rsid w:val="00D7023B"/>
    <w:rsid w:val="00D71FD8"/>
    <w:rsid w:val="00D841D8"/>
    <w:rsid w:val="00D84F34"/>
    <w:rsid w:val="00D856AC"/>
    <w:rsid w:val="00D8605F"/>
    <w:rsid w:val="00D96345"/>
    <w:rsid w:val="00D96C88"/>
    <w:rsid w:val="00DA4C92"/>
    <w:rsid w:val="00DC4360"/>
    <w:rsid w:val="00DD2DD3"/>
    <w:rsid w:val="00DD40CB"/>
    <w:rsid w:val="00DD4AEF"/>
    <w:rsid w:val="00DD655F"/>
    <w:rsid w:val="00DE127F"/>
    <w:rsid w:val="00DE262C"/>
    <w:rsid w:val="00DE485D"/>
    <w:rsid w:val="00DE6B40"/>
    <w:rsid w:val="00DF6D19"/>
    <w:rsid w:val="00E02FDA"/>
    <w:rsid w:val="00E1505F"/>
    <w:rsid w:val="00E16630"/>
    <w:rsid w:val="00E17EC6"/>
    <w:rsid w:val="00E21A2B"/>
    <w:rsid w:val="00E230EB"/>
    <w:rsid w:val="00E27DAA"/>
    <w:rsid w:val="00E36A73"/>
    <w:rsid w:val="00E4147F"/>
    <w:rsid w:val="00E41486"/>
    <w:rsid w:val="00E419F8"/>
    <w:rsid w:val="00E42BBC"/>
    <w:rsid w:val="00E43546"/>
    <w:rsid w:val="00E475C4"/>
    <w:rsid w:val="00E5579C"/>
    <w:rsid w:val="00E55C37"/>
    <w:rsid w:val="00E56313"/>
    <w:rsid w:val="00E57A1F"/>
    <w:rsid w:val="00E6129C"/>
    <w:rsid w:val="00E67EC3"/>
    <w:rsid w:val="00E70F50"/>
    <w:rsid w:val="00E727D1"/>
    <w:rsid w:val="00E808B4"/>
    <w:rsid w:val="00E82DCD"/>
    <w:rsid w:val="00E85D76"/>
    <w:rsid w:val="00E87734"/>
    <w:rsid w:val="00E90D86"/>
    <w:rsid w:val="00E90DB2"/>
    <w:rsid w:val="00E960F1"/>
    <w:rsid w:val="00EA1A2C"/>
    <w:rsid w:val="00EA2779"/>
    <w:rsid w:val="00EA347D"/>
    <w:rsid w:val="00EA4E66"/>
    <w:rsid w:val="00EA5A30"/>
    <w:rsid w:val="00EA703A"/>
    <w:rsid w:val="00EB1091"/>
    <w:rsid w:val="00EB2A3F"/>
    <w:rsid w:val="00EB379A"/>
    <w:rsid w:val="00EB4D6F"/>
    <w:rsid w:val="00EB4E10"/>
    <w:rsid w:val="00EB6099"/>
    <w:rsid w:val="00EC0192"/>
    <w:rsid w:val="00EC2784"/>
    <w:rsid w:val="00EC2B5F"/>
    <w:rsid w:val="00EC338F"/>
    <w:rsid w:val="00EC666C"/>
    <w:rsid w:val="00EC6DD7"/>
    <w:rsid w:val="00ED1BC2"/>
    <w:rsid w:val="00ED4968"/>
    <w:rsid w:val="00EE3F78"/>
    <w:rsid w:val="00EF078A"/>
    <w:rsid w:val="00EF64FA"/>
    <w:rsid w:val="00F01F3E"/>
    <w:rsid w:val="00F05EFB"/>
    <w:rsid w:val="00F10225"/>
    <w:rsid w:val="00F13101"/>
    <w:rsid w:val="00F13BB7"/>
    <w:rsid w:val="00F243AA"/>
    <w:rsid w:val="00F265AA"/>
    <w:rsid w:val="00F3155A"/>
    <w:rsid w:val="00F41662"/>
    <w:rsid w:val="00F41899"/>
    <w:rsid w:val="00F43D55"/>
    <w:rsid w:val="00F50769"/>
    <w:rsid w:val="00F50BA8"/>
    <w:rsid w:val="00F51DBA"/>
    <w:rsid w:val="00F53B51"/>
    <w:rsid w:val="00F55547"/>
    <w:rsid w:val="00F63FF1"/>
    <w:rsid w:val="00F6564B"/>
    <w:rsid w:val="00F743D7"/>
    <w:rsid w:val="00F744F7"/>
    <w:rsid w:val="00F74B21"/>
    <w:rsid w:val="00F8315D"/>
    <w:rsid w:val="00F85BD3"/>
    <w:rsid w:val="00F912AF"/>
    <w:rsid w:val="00F91544"/>
    <w:rsid w:val="00F96DC9"/>
    <w:rsid w:val="00FA0DC6"/>
    <w:rsid w:val="00FA4798"/>
    <w:rsid w:val="00FB39F1"/>
    <w:rsid w:val="00FB6B88"/>
    <w:rsid w:val="00FC243F"/>
    <w:rsid w:val="00FC2862"/>
    <w:rsid w:val="00FC2C29"/>
    <w:rsid w:val="00FC2E5F"/>
    <w:rsid w:val="00FC3397"/>
    <w:rsid w:val="00FD4E39"/>
    <w:rsid w:val="00FD5442"/>
    <w:rsid w:val="00FE4B62"/>
    <w:rsid w:val="00FE52C9"/>
    <w:rsid w:val="00FE5F6A"/>
    <w:rsid w:val="00FE6EB1"/>
    <w:rsid w:val="00FF03FC"/>
    <w:rsid w:val="00FF0747"/>
    <w:rsid w:val="00FF211A"/>
    <w:rsid w:val="00FF2EED"/>
    <w:rsid w:val="00FF7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944E"/>
  <w15:docId w15:val="{ACD35523-FAE0-4E6B-A458-671E8E33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link w:val="H1Char"/>
    <w:qFormat/>
    <w:rsid w:val="006C13AC"/>
    <w:pPr>
      <w:numPr>
        <w:numId w:val="1"/>
      </w:numPr>
      <w:tabs>
        <w:tab w:val="left" w:pos="567"/>
        <w:tab w:val="right" w:pos="8931"/>
      </w:tabs>
      <w:spacing w:after="240" w:line="480" w:lineRule="auto"/>
      <w:jc w:val="both"/>
    </w:pPr>
  </w:style>
  <w:style w:type="paragraph" w:customStyle="1" w:styleId="H2">
    <w:name w:val="H2"/>
    <w:basedOn w:val="Normal"/>
    <w:link w:val="H2Char"/>
    <w:qFormat/>
    <w:rsid w:val="006C13AC"/>
    <w:pPr>
      <w:numPr>
        <w:ilvl w:val="1"/>
        <w:numId w:val="1"/>
      </w:numPr>
      <w:tabs>
        <w:tab w:val="left" w:pos="1418"/>
        <w:tab w:val="right" w:pos="8931"/>
      </w:tabs>
      <w:spacing w:after="240" w:line="480" w:lineRule="auto"/>
      <w:jc w:val="both"/>
    </w:pPr>
  </w:style>
  <w:style w:type="character" w:customStyle="1" w:styleId="H1Char">
    <w:name w:val="H1 Char"/>
    <w:basedOn w:val="DefaultParagraphFont"/>
    <w:link w:val="H1"/>
    <w:rsid w:val="006C13AC"/>
    <w:rPr>
      <w:sz w:val="24"/>
      <w:szCs w:val="22"/>
      <w:lang w:val="en-GB" w:eastAsia="en-GB"/>
    </w:rPr>
  </w:style>
  <w:style w:type="paragraph" w:customStyle="1" w:styleId="H3">
    <w:name w:val="H3"/>
    <w:basedOn w:val="Normal"/>
    <w:link w:val="H3Char"/>
    <w:qFormat/>
    <w:rsid w:val="006C13AC"/>
    <w:pPr>
      <w:numPr>
        <w:ilvl w:val="2"/>
        <w:numId w:val="1"/>
      </w:numPr>
      <w:tabs>
        <w:tab w:val="clear" w:pos="1418"/>
        <w:tab w:val="num" w:pos="2268"/>
        <w:tab w:val="right" w:pos="8931"/>
      </w:tabs>
      <w:spacing w:after="240" w:line="480" w:lineRule="auto"/>
      <w:jc w:val="both"/>
    </w:pPr>
  </w:style>
  <w:style w:type="character" w:customStyle="1" w:styleId="H2Char">
    <w:name w:val="H2 Char"/>
    <w:basedOn w:val="DefaultParagraphFont"/>
    <w:link w:val="H2"/>
    <w:rsid w:val="006C13AC"/>
  </w:style>
  <w:style w:type="paragraph" w:customStyle="1" w:styleId="H4">
    <w:name w:val="H4"/>
    <w:basedOn w:val="Normal"/>
    <w:link w:val="H4Char"/>
    <w:qFormat/>
    <w:rsid w:val="000E7485"/>
    <w:pPr>
      <w:numPr>
        <w:ilvl w:val="3"/>
        <w:numId w:val="1"/>
      </w:numPr>
      <w:spacing w:after="240" w:line="480" w:lineRule="auto"/>
      <w:ind w:left="3402" w:hanging="1134"/>
      <w:jc w:val="both"/>
    </w:pPr>
  </w:style>
  <w:style w:type="character" w:customStyle="1" w:styleId="H3Char">
    <w:name w:val="H3 Char"/>
    <w:basedOn w:val="DefaultParagraphFont"/>
    <w:link w:val="H3"/>
    <w:rsid w:val="006C13AC"/>
  </w:style>
  <w:style w:type="paragraph" w:customStyle="1" w:styleId="B1">
    <w:name w:val="B1"/>
    <w:basedOn w:val="H1"/>
    <w:link w:val="B1Char"/>
    <w:qFormat/>
    <w:rsid w:val="006C13AC"/>
    <w:pPr>
      <w:numPr>
        <w:numId w:val="0"/>
      </w:numPr>
      <w:ind w:left="567"/>
    </w:pPr>
  </w:style>
  <w:style w:type="character" w:customStyle="1" w:styleId="H4Char">
    <w:name w:val="H4 Char"/>
    <w:basedOn w:val="DefaultParagraphFont"/>
    <w:link w:val="H4"/>
    <w:rsid w:val="000E7485"/>
  </w:style>
  <w:style w:type="paragraph" w:customStyle="1" w:styleId="B2">
    <w:name w:val="B2"/>
    <w:basedOn w:val="H2"/>
    <w:link w:val="B2Char"/>
    <w:qFormat/>
    <w:rsid w:val="000E7485"/>
    <w:pPr>
      <w:numPr>
        <w:ilvl w:val="0"/>
        <w:numId w:val="0"/>
      </w:numPr>
      <w:ind w:left="1418"/>
    </w:pPr>
  </w:style>
  <w:style w:type="character" w:customStyle="1" w:styleId="B1Char">
    <w:name w:val="B1 Char"/>
    <w:basedOn w:val="H1Char"/>
    <w:link w:val="B1"/>
    <w:rsid w:val="006C13AC"/>
    <w:rPr>
      <w:sz w:val="24"/>
      <w:szCs w:val="22"/>
      <w:lang w:val="en-GB" w:eastAsia="en-GB"/>
    </w:rPr>
  </w:style>
  <w:style w:type="paragraph" w:customStyle="1" w:styleId="B3">
    <w:name w:val="B3"/>
    <w:basedOn w:val="H3"/>
    <w:link w:val="B3Char"/>
    <w:qFormat/>
    <w:rsid w:val="000E7485"/>
    <w:pPr>
      <w:numPr>
        <w:ilvl w:val="0"/>
        <w:numId w:val="0"/>
      </w:numPr>
      <w:ind w:left="2268"/>
    </w:pPr>
  </w:style>
  <w:style w:type="character" w:customStyle="1" w:styleId="B2Char">
    <w:name w:val="B2 Char"/>
    <w:basedOn w:val="H2Char"/>
    <w:link w:val="B2"/>
    <w:rsid w:val="000E7485"/>
  </w:style>
  <w:style w:type="paragraph" w:customStyle="1" w:styleId="B4">
    <w:name w:val="B4"/>
    <w:basedOn w:val="H4"/>
    <w:link w:val="B4Char"/>
    <w:qFormat/>
    <w:rsid w:val="000E7485"/>
    <w:pPr>
      <w:numPr>
        <w:ilvl w:val="0"/>
        <w:numId w:val="0"/>
      </w:numPr>
      <w:ind w:left="3402"/>
    </w:pPr>
  </w:style>
  <w:style w:type="character" w:customStyle="1" w:styleId="B3Char">
    <w:name w:val="B3 Char"/>
    <w:basedOn w:val="H3Char"/>
    <w:link w:val="B3"/>
    <w:rsid w:val="000E7485"/>
  </w:style>
  <w:style w:type="paragraph" w:customStyle="1" w:styleId="Names">
    <w:name w:val="Names"/>
    <w:basedOn w:val="Normal"/>
    <w:link w:val="NamesChar"/>
    <w:qFormat/>
    <w:rsid w:val="008C02A2"/>
    <w:pPr>
      <w:spacing w:line="480" w:lineRule="auto"/>
      <w:jc w:val="both"/>
    </w:pPr>
    <w:rPr>
      <w:b/>
      <w:caps/>
    </w:rPr>
  </w:style>
  <w:style w:type="character" w:customStyle="1" w:styleId="B4Char">
    <w:name w:val="B4 Char"/>
    <w:basedOn w:val="H4Char"/>
    <w:link w:val="B4"/>
    <w:rsid w:val="000E7485"/>
  </w:style>
  <w:style w:type="character" w:customStyle="1" w:styleId="NamesChar">
    <w:name w:val="Names Char"/>
    <w:link w:val="Names"/>
    <w:rsid w:val="008C02A2"/>
    <w:rPr>
      <w:b/>
      <w:caps/>
    </w:rPr>
  </w:style>
  <w:style w:type="paragraph" w:styleId="Header">
    <w:name w:val="header"/>
    <w:basedOn w:val="Normal"/>
    <w:link w:val="HeaderChar"/>
    <w:uiPriority w:val="99"/>
    <w:unhideWhenUsed/>
    <w:rsid w:val="000B191D"/>
    <w:pPr>
      <w:tabs>
        <w:tab w:val="center" w:pos="4513"/>
        <w:tab w:val="right" w:pos="9026"/>
      </w:tabs>
    </w:pPr>
  </w:style>
  <w:style w:type="character" w:customStyle="1" w:styleId="HeaderChar">
    <w:name w:val="Header Char"/>
    <w:link w:val="Header"/>
    <w:uiPriority w:val="99"/>
    <w:rsid w:val="000B191D"/>
    <w:rPr>
      <w:sz w:val="24"/>
      <w:szCs w:val="22"/>
      <w:lang w:val="en-GB" w:eastAsia="en-GB"/>
    </w:rPr>
  </w:style>
  <w:style w:type="paragraph" w:styleId="Footer">
    <w:name w:val="footer"/>
    <w:basedOn w:val="Normal"/>
    <w:link w:val="FooterChar"/>
    <w:uiPriority w:val="99"/>
    <w:unhideWhenUsed/>
    <w:rsid w:val="000B191D"/>
    <w:pPr>
      <w:tabs>
        <w:tab w:val="center" w:pos="4513"/>
        <w:tab w:val="right" w:pos="9026"/>
      </w:tabs>
    </w:pPr>
  </w:style>
  <w:style w:type="character" w:customStyle="1" w:styleId="FooterChar">
    <w:name w:val="Footer Char"/>
    <w:link w:val="Footer"/>
    <w:uiPriority w:val="99"/>
    <w:rsid w:val="000B191D"/>
    <w:rPr>
      <w:sz w:val="24"/>
      <w:szCs w:val="22"/>
      <w:lang w:val="en-GB" w:eastAsia="en-GB"/>
    </w:rPr>
  </w:style>
  <w:style w:type="paragraph" w:styleId="ListParagraph">
    <w:name w:val="List Paragraph"/>
    <w:basedOn w:val="Normal"/>
    <w:uiPriority w:val="34"/>
    <w:qFormat/>
    <w:rsid w:val="00125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656567">
      <w:bodyDiv w:val="1"/>
      <w:marLeft w:val="0"/>
      <w:marRight w:val="0"/>
      <w:marTop w:val="0"/>
      <w:marBottom w:val="0"/>
      <w:divBdr>
        <w:top w:val="none" w:sz="0" w:space="0" w:color="auto"/>
        <w:left w:val="none" w:sz="0" w:space="0" w:color="auto"/>
        <w:bottom w:val="none" w:sz="0" w:space="0" w:color="auto"/>
        <w:right w:val="none" w:sz="0" w:space="0" w:color="auto"/>
      </w:divBdr>
    </w:div>
    <w:div w:id="21369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av\Desktop\Documents\Templates\Template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771F5-FCB9-4F9F-ACA9-288BE05B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Affidavit</Template>
  <TotalTime>0</TotalTime>
  <Pages>7</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Olav</dc:creator>
  <cp:lastModifiedBy>Mokone</cp:lastModifiedBy>
  <cp:revision>3</cp:revision>
  <cp:lastPrinted>2023-06-02T05:47:00Z</cp:lastPrinted>
  <dcterms:created xsi:type="dcterms:W3CDTF">2023-06-07T10:45:00Z</dcterms:created>
  <dcterms:modified xsi:type="dcterms:W3CDTF">2023-06-07T10:45:00Z</dcterms:modified>
</cp:coreProperties>
</file>