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76B7143B" w:rsidR="00D450B5" w:rsidRPr="00044B50" w:rsidRDefault="00AC7238"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485ED9">
        <w:rPr>
          <w:b/>
          <w:bCs/>
          <w:lang w:val="en-GB"/>
        </w:rPr>
        <w:t>GQEBERHA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101AD6EF" w14:textId="77777777" w:rsidR="008A75F3" w:rsidRDefault="00E44987" w:rsidP="008A75F3">
      <w:pPr>
        <w:jc w:val="center"/>
        <w:rPr>
          <w:lang w:val="en-GB"/>
        </w:rPr>
      </w:pPr>
      <w:r w:rsidRPr="00044B50">
        <w:rPr>
          <w:lang w:val="en-GB"/>
        </w:rPr>
        <w:t xml:space="preserve">                                                                                                  </w:t>
      </w:r>
    </w:p>
    <w:p w14:paraId="4934DB4B" w14:textId="54604C1F" w:rsidR="00E44987" w:rsidRPr="00044B50" w:rsidRDefault="00E44987" w:rsidP="008A75F3">
      <w:pPr>
        <w:ind w:left="5760" w:firstLine="720"/>
        <w:rPr>
          <w:lang w:val="en-GB"/>
        </w:rPr>
      </w:pPr>
      <w:r w:rsidRPr="00044B50">
        <w:rPr>
          <w:lang w:val="en-GB"/>
        </w:rPr>
        <w:t xml:space="preserve">Case no: </w:t>
      </w:r>
      <w:r w:rsidR="00B936EF">
        <w:rPr>
          <w:lang w:val="en-GB"/>
        </w:rPr>
        <w:t xml:space="preserve">1467 / </w:t>
      </w:r>
      <w:r w:rsidR="00AC7238">
        <w:rPr>
          <w:lang w:val="en-GB"/>
        </w:rPr>
        <w:t>20</w:t>
      </w:r>
      <w:r w:rsidR="00B936EF">
        <w:rPr>
          <w:lang w:val="en-GB"/>
        </w:rPr>
        <w:t>23</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73E8DEBB" w:rsidR="00D450B5" w:rsidRPr="00485ED9" w:rsidRDefault="00485ED9" w:rsidP="00772E4B">
      <w:pPr>
        <w:tabs>
          <w:tab w:val="right" w:pos="9072"/>
        </w:tabs>
        <w:suppressAutoHyphens/>
        <w:jc w:val="both"/>
        <w:rPr>
          <w:lang w:val="en-GB"/>
        </w:rPr>
      </w:pPr>
      <w:r w:rsidRPr="00485ED9">
        <w:rPr>
          <w:b/>
          <w:bCs/>
          <w:lang w:val="en-GB"/>
        </w:rPr>
        <w:t>DAVID BERNARD MANDEL</w:t>
      </w:r>
      <w:r>
        <w:rPr>
          <w:b/>
          <w:bCs/>
          <w:lang w:val="en-GB"/>
        </w:rPr>
        <w:tab/>
      </w:r>
      <w:r>
        <w:rPr>
          <w:lang w:val="en-GB"/>
        </w:rPr>
        <w:t>Applicant</w:t>
      </w:r>
    </w:p>
    <w:p w14:paraId="50A760EA" w14:textId="5D5AA11B" w:rsidR="00F565D0" w:rsidRPr="00044B50" w:rsidRDefault="00485ED9" w:rsidP="00772E4B">
      <w:pPr>
        <w:tabs>
          <w:tab w:val="right" w:pos="9072"/>
        </w:tabs>
        <w:suppressAutoHyphens/>
        <w:jc w:val="both"/>
        <w:rPr>
          <w:lang w:val="en-GB"/>
        </w:rPr>
      </w:pPr>
      <w:r>
        <w:rPr>
          <w:lang w:val="en-GB"/>
        </w:rPr>
        <w:tab/>
      </w:r>
    </w:p>
    <w:p w14:paraId="5DFF2BB2" w14:textId="1C662CCE" w:rsidR="00DA47F5" w:rsidRDefault="00DA47F5" w:rsidP="00DA47F5">
      <w:pPr>
        <w:jc w:val="both"/>
        <w:rPr>
          <w:lang w:val="en-GB"/>
        </w:rPr>
      </w:pPr>
      <w:r w:rsidRPr="00044B50">
        <w:rPr>
          <w:lang w:val="en-GB"/>
        </w:rPr>
        <w:t>A</w:t>
      </w:r>
      <w:r w:rsidR="00D450B5" w:rsidRPr="00044B50">
        <w:rPr>
          <w:lang w:val="en-GB"/>
        </w:rPr>
        <w:t>nd</w:t>
      </w:r>
    </w:p>
    <w:p w14:paraId="00B7BFF4" w14:textId="77777777" w:rsidR="00DA47F5" w:rsidRDefault="00DA47F5" w:rsidP="00DA47F5">
      <w:pPr>
        <w:jc w:val="both"/>
        <w:rPr>
          <w:lang w:val="en-GB"/>
        </w:rPr>
      </w:pPr>
    </w:p>
    <w:p w14:paraId="0E49768A" w14:textId="13121AEB" w:rsidR="00DA47F5" w:rsidRPr="00485ED9" w:rsidRDefault="00485ED9" w:rsidP="00DA47F5">
      <w:pPr>
        <w:jc w:val="both"/>
        <w:rPr>
          <w:lang w:val="en-GB"/>
        </w:rPr>
      </w:pPr>
      <w:r>
        <w:rPr>
          <w:b/>
          <w:bCs/>
          <w:lang w:val="en-GB"/>
        </w:rPr>
        <w:t>SOUTH AFRICAN CIVIL AVIATION AUTHORITY</w:t>
      </w:r>
      <w:r>
        <w:rPr>
          <w:b/>
          <w:bCs/>
          <w:lang w:val="en-GB"/>
        </w:rPr>
        <w:tab/>
      </w:r>
      <w:r>
        <w:rPr>
          <w:b/>
          <w:bCs/>
          <w:lang w:val="en-GB"/>
        </w:rPr>
        <w:tab/>
      </w:r>
      <w:r>
        <w:rPr>
          <w:b/>
          <w:bCs/>
          <w:lang w:val="en-GB"/>
        </w:rPr>
        <w:tab/>
      </w:r>
      <w:r w:rsidR="00DA47F5">
        <w:rPr>
          <w:lang w:val="en-GB"/>
        </w:rPr>
        <w:t>First Respondent</w:t>
      </w:r>
    </w:p>
    <w:p w14:paraId="2B643F9C" w14:textId="77777777" w:rsidR="00DA47F5" w:rsidRDefault="00DA47F5" w:rsidP="00DA47F5">
      <w:pPr>
        <w:tabs>
          <w:tab w:val="right" w:pos="9072"/>
        </w:tabs>
        <w:suppressAutoHyphens/>
        <w:jc w:val="both"/>
        <w:rPr>
          <w:b/>
          <w:bCs/>
          <w:lang w:val="en-GB"/>
        </w:rPr>
      </w:pPr>
    </w:p>
    <w:p w14:paraId="06837810" w14:textId="44E31738" w:rsidR="00DA47F5" w:rsidRDefault="00DA47F5" w:rsidP="00DA47F5">
      <w:pPr>
        <w:tabs>
          <w:tab w:val="right" w:pos="9072"/>
        </w:tabs>
        <w:suppressAutoHyphens/>
        <w:jc w:val="both"/>
        <w:rPr>
          <w:lang w:val="en-GB"/>
        </w:rPr>
      </w:pPr>
      <w:r>
        <w:rPr>
          <w:b/>
          <w:bCs/>
          <w:lang w:val="en-GB"/>
        </w:rPr>
        <w:t>NKOSIKHONA MDLALOSE N.O.</w:t>
      </w:r>
      <w:r>
        <w:rPr>
          <w:b/>
          <w:bCs/>
          <w:lang w:val="en-GB"/>
        </w:rPr>
        <w:tab/>
      </w:r>
      <w:r>
        <w:rPr>
          <w:lang w:val="en-GB"/>
        </w:rPr>
        <w:t>Second Respondent</w:t>
      </w:r>
    </w:p>
    <w:p w14:paraId="56FE9ECD" w14:textId="011F080D" w:rsidR="00DA47F5" w:rsidRDefault="00DA47F5" w:rsidP="00DA47F5">
      <w:pPr>
        <w:tabs>
          <w:tab w:val="right" w:pos="9072"/>
        </w:tabs>
        <w:suppressAutoHyphens/>
        <w:jc w:val="both"/>
        <w:rPr>
          <w:lang w:val="en-GB"/>
        </w:rPr>
      </w:pPr>
    </w:p>
    <w:p w14:paraId="5DEB70BA" w14:textId="6C934AEC" w:rsidR="00DA47F5" w:rsidRDefault="00DA47F5" w:rsidP="00DA47F5">
      <w:pPr>
        <w:tabs>
          <w:tab w:val="right" w:pos="9072"/>
        </w:tabs>
        <w:suppressAutoHyphens/>
        <w:jc w:val="both"/>
        <w:rPr>
          <w:lang w:val="en-GB"/>
        </w:rPr>
      </w:pPr>
      <w:r>
        <w:rPr>
          <w:b/>
          <w:bCs/>
          <w:lang w:val="en-GB"/>
        </w:rPr>
        <w:t>POPPY KHOZA N.O.</w:t>
      </w:r>
      <w:r>
        <w:rPr>
          <w:b/>
          <w:bCs/>
          <w:lang w:val="en-GB"/>
        </w:rPr>
        <w:tab/>
      </w:r>
      <w:r>
        <w:rPr>
          <w:lang w:val="en-GB"/>
        </w:rPr>
        <w:t>Third Respondent</w:t>
      </w:r>
    </w:p>
    <w:p w14:paraId="69AE4075" w14:textId="5CEBCB1A" w:rsidR="00DA47F5" w:rsidRDefault="00DA47F5" w:rsidP="00DA47F5">
      <w:pPr>
        <w:tabs>
          <w:tab w:val="right" w:pos="9072"/>
        </w:tabs>
        <w:suppressAutoHyphens/>
        <w:jc w:val="both"/>
        <w:rPr>
          <w:lang w:val="en-GB"/>
        </w:rPr>
      </w:pPr>
    </w:p>
    <w:p w14:paraId="21970B35" w14:textId="2B20F930" w:rsidR="00DA47F5" w:rsidRPr="00DA47F5" w:rsidRDefault="00DA47F5" w:rsidP="00DA47F5">
      <w:pPr>
        <w:tabs>
          <w:tab w:val="right" w:pos="9072"/>
        </w:tabs>
        <w:suppressAutoHyphens/>
        <w:jc w:val="both"/>
        <w:rPr>
          <w:b/>
          <w:bCs/>
          <w:lang w:val="en-GB"/>
        </w:rPr>
      </w:pPr>
      <w:r>
        <w:rPr>
          <w:b/>
          <w:bCs/>
          <w:lang w:val="en-GB"/>
        </w:rPr>
        <w:t>THE CHAIRPERSON OF THE APPEAL COMMITTEE N.O.</w:t>
      </w:r>
      <w:r>
        <w:rPr>
          <w:b/>
          <w:bCs/>
          <w:lang w:val="en-GB"/>
        </w:rPr>
        <w:tab/>
      </w:r>
      <w:r>
        <w:rPr>
          <w:lang w:val="en-GB"/>
        </w:rPr>
        <w:t>Fourth Respondent</w:t>
      </w:r>
    </w:p>
    <w:p w14:paraId="1E848B94" w14:textId="77777777" w:rsidR="00DA47F5" w:rsidRPr="00DA47F5" w:rsidRDefault="00DA47F5" w:rsidP="00DA47F5">
      <w:pPr>
        <w:tabs>
          <w:tab w:val="right" w:pos="9072"/>
        </w:tabs>
        <w:suppressAutoHyphens/>
        <w:jc w:val="both"/>
        <w:rPr>
          <w:lang w:val="en-GB"/>
        </w:rPr>
      </w:pP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77777777" w:rsidR="00D468AF" w:rsidRPr="0050428E" w:rsidRDefault="00D468AF" w:rsidP="0050428E">
      <w:pPr>
        <w:autoSpaceDE w:val="0"/>
        <w:autoSpaceDN w:val="0"/>
        <w:adjustRightInd w:val="0"/>
        <w:jc w:val="both"/>
        <w:rPr>
          <w:lang w:val="en-GB"/>
        </w:rPr>
      </w:pPr>
    </w:p>
    <w:p w14:paraId="6019E0EF" w14:textId="44A89162" w:rsidR="007F30CC" w:rsidRPr="004231F4" w:rsidRDefault="004231F4" w:rsidP="004231F4">
      <w:pPr>
        <w:autoSpaceDE w:val="0"/>
        <w:autoSpaceDN w:val="0"/>
        <w:adjustRightInd w:val="0"/>
        <w:jc w:val="both"/>
        <w:rPr>
          <w:lang w:val="en-GB"/>
        </w:rPr>
      </w:pPr>
      <w:r w:rsidRPr="0050428E">
        <w:rPr>
          <w:lang w:val="en-GB"/>
        </w:rPr>
        <w:lastRenderedPageBreak/>
        <w:t>[1</w:t>
      </w:r>
      <w:bookmarkStart w:id="0" w:name="_GoBack"/>
      <w:bookmarkEnd w:id="0"/>
      <w:r w:rsidRPr="0050428E">
        <w:rPr>
          <w:lang w:val="en-GB"/>
        </w:rPr>
        <w:t>]</w:t>
      </w:r>
      <w:r w:rsidRPr="0050428E">
        <w:rPr>
          <w:lang w:val="en-GB"/>
        </w:rPr>
        <w:tab/>
      </w:r>
      <w:r w:rsidR="007F30CC" w:rsidRPr="004231F4">
        <w:rPr>
          <w:lang w:val="en-GB"/>
        </w:rPr>
        <w:t>Th</w:t>
      </w:r>
      <w:r w:rsidR="00E03493" w:rsidRPr="004231F4">
        <w:rPr>
          <w:lang w:val="en-GB"/>
        </w:rPr>
        <w:t>e</w:t>
      </w:r>
      <w:r w:rsidR="007F30CC" w:rsidRPr="004231F4">
        <w:rPr>
          <w:lang w:val="en-GB"/>
        </w:rPr>
        <w:t xml:space="preserve"> applicant is a</w:t>
      </w:r>
      <w:r w:rsidR="00133250" w:rsidRPr="004231F4">
        <w:rPr>
          <w:lang w:val="en-GB"/>
        </w:rPr>
        <w:t xml:space="preserve"> passionate and</w:t>
      </w:r>
      <w:r w:rsidR="007F30CC" w:rsidRPr="004231F4">
        <w:rPr>
          <w:lang w:val="en-GB"/>
        </w:rPr>
        <w:t xml:space="preserve"> experienced pilot, holding a private pilot’s licence </w:t>
      </w:r>
      <w:r w:rsidR="00924E29" w:rsidRPr="004231F4">
        <w:rPr>
          <w:lang w:val="en-GB"/>
        </w:rPr>
        <w:t xml:space="preserve">(‘the licence’) </w:t>
      </w:r>
      <w:r w:rsidR="007F30CC" w:rsidRPr="004231F4">
        <w:rPr>
          <w:lang w:val="en-GB"/>
        </w:rPr>
        <w:t>for approximately 40 years</w:t>
      </w:r>
      <w:r w:rsidR="00116F4C" w:rsidRPr="004231F4">
        <w:rPr>
          <w:lang w:val="en-GB"/>
        </w:rPr>
        <w:t>, with an unblemished flying record</w:t>
      </w:r>
      <w:r w:rsidR="007F30CC" w:rsidRPr="004231F4">
        <w:rPr>
          <w:lang w:val="en-GB"/>
        </w:rPr>
        <w:t xml:space="preserve">. </w:t>
      </w:r>
      <w:r w:rsidR="00133250" w:rsidRPr="004231F4">
        <w:rPr>
          <w:lang w:val="en-GB"/>
        </w:rPr>
        <w:t>He regularly receives invitations to fly in air shows</w:t>
      </w:r>
      <w:r w:rsidR="00207BAA" w:rsidRPr="004231F4">
        <w:rPr>
          <w:lang w:val="en-GB"/>
        </w:rPr>
        <w:t xml:space="preserve"> and pilots his own planes between South African cities on a weekly basis for business purposes</w:t>
      </w:r>
      <w:r w:rsidR="00485572" w:rsidRPr="004231F4">
        <w:rPr>
          <w:lang w:val="en-GB"/>
        </w:rPr>
        <w:t xml:space="preserve">. </w:t>
      </w:r>
      <w:r w:rsidR="001F740F" w:rsidRPr="004231F4">
        <w:rPr>
          <w:lang w:val="en-GB"/>
        </w:rPr>
        <w:t xml:space="preserve">On 25 September 2022, the applicant </w:t>
      </w:r>
      <w:r w:rsidR="00C552A4" w:rsidRPr="004231F4">
        <w:rPr>
          <w:lang w:val="en-GB"/>
        </w:rPr>
        <w:t xml:space="preserve">was flying the L39 Albatross jet trainer aircraft when he </w:t>
      </w:r>
      <w:r w:rsidR="001F740F" w:rsidRPr="004231F4">
        <w:rPr>
          <w:lang w:val="en-GB"/>
        </w:rPr>
        <w:t xml:space="preserve">observed people lying on a runway near Knysna. </w:t>
      </w:r>
      <w:r w:rsidR="003B4F21" w:rsidRPr="004231F4">
        <w:rPr>
          <w:lang w:val="en-GB"/>
        </w:rPr>
        <w:t>He undertook a pass at 1000 fee</w:t>
      </w:r>
      <w:r w:rsidR="00903EEF" w:rsidRPr="004231F4">
        <w:rPr>
          <w:lang w:val="en-GB"/>
        </w:rPr>
        <w:t>t</w:t>
      </w:r>
      <w:r w:rsidR="003B4F21" w:rsidRPr="004231F4">
        <w:rPr>
          <w:lang w:val="en-GB"/>
        </w:rPr>
        <w:t xml:space="preserve"> above ground level </w:t>
      </w:r>
      <w:r w:rsidR="00C85050" w:rsidRPr="004231F4">
        <w:rPr>
          <w:lang w:val="en-GB"/>
        </w:rPr>
        <w:t>(AGL)</w:t>
      </w:r>
      <w:r w:rsidR="00E705E7" w:rsidRPr="004231F4">
        <w:rPr>
          <w:lang w:val="en-GB"/>
        </w:rPr>
        <w:t xml:space="preserve">, subsequently also </w:t>
      </w:r>
      <w:r w:rsidR="003B4F21" w:rsidRPr="004231F4">
        <w:rPr>
          <w:lang w:val="en-GB"/>
        </w:rPr>
        <w:t>dipp</w:t>
      </w:r>
      <w:r w:rsidR="00E705E7" w:rsidRPr="004231F4">
        <w:rPr>
          <w:lang w:val="en-GB"/>
        </w:rPr>
        <w:t>ing</w:t>
      </w:r>
      <w:r w:rsidR="003B4F21" w:rsidRPr="004231F4">
        <w:rPr>
          <w:lang w:val="en-GB"/>
        </w:rPr>
        <w:t xml:space="preserve"> his wings to encourage them to clear. </w:t>
      </w:r>
      <w:r w:rsidR="00043470" w:rsidRPr="004231F4">
        <w:rPr>
          <w:lang w:val="en-GB"/>
        </w:rPr>
        <w:t>When they failed to do so, he returned to Plettenberg Bay</w:t>
      </w:r>
      <w:r w:rsidR="00DE7861" w:rsidRPr="004231F4">
        <w:rPr>
          <w:lang w:val="en-GB"/>
        </w:rPr>
        <w:t>.</w:t>
      </w:r>
      <w:r w:rsidR="00A56AD3" w:rsidRPr="004231F4">
        <w:rPr>
          <w:lang w:val="en-GB"/>
        </w:rPr>
        <w:t xml:space="preserve"> </w:t>
      </w:r>
    </w:p>
    <w:p w14:paraId="3D3830A7" w14:textId="77777777" w:rsidR="00A56AD3" w:rsidRPr="0050428E" w:rsidRDefault="00A56AD3" w:rsidP="0050428E">
      <w:pPr>
        <w:pStyle w:val="ListParagraph"/>
        <w:autoSpaceDE w:val="0"/>
        <w:autoSpaceDN w:val="0"/>
        <w:adjustRightInd w:val="0"/>
        <w:ind w:left="0"/>
        <w:jc w:val="both"/>
        <w:rPr>
          <w:lang w:val="en-GB"/>
        </w:rPr>
      </w:pPr>
    </w:p>
    <w:p w14:paraId="5CACFD07" w14:textId="47C78D65" w:rsidR="00A56AD3" w:rsidRPr="004231F4" w:rsidRDefault="004231F4" w:rsidP="004231F4">
      <w:pPr>
        <w:autoSpaceDE w:val="0"/>
        <w:autoSpaceDN w:val="0"/>
        <w:adjustRightInd w:val="0"/>
        <w:jc w:val="both"/>
        <w:rPr>
          <w:lang w:val="en-GB"/>
        </w:rPr>
      </w:pPr>
      <w:r w:rsidRPr="0050428E">
        <w:rPr>
          <w:lang w:val="en-GB"/>
        </w:rPr>
        <w:t>[2]</w:t>
      </w:r>
      <w:r w:rsidRPr="0050428E">
        <w:rPr>
          <w:lang w:val="en-GB"/>
        </w:rPr>
        <w:tab/>
      </w:r>
      <w:r w:rsidR="00A56AD3" w:rsidRPr="004231F4">
        <w:rPr>
          <w:lang w:val="en-GB"/>
        </w:rPr>
        <w:t xml:space="preserve">The applicant’s conduct was viewed by officials of the First Respondent </w:t>
      </w:r>
      <w:r w:rsidR="002B05FF" w:rsidRPr="004231F4">
        <w:rPr>
          <w:lang w:val="en-GB"/>
        </w:rPr>
        <w:t xml:space="preserve">(‘the CAA’) </w:t>
      </w:r>
      <w:r w:rsidR="00A56AD3" w:rsidRPr="004231F4">
        <w:rPr>
          <w:lang w:val="en-GB"/>
        </w:rPr>
        <w:t>and escalated to its enforcement unit</w:t>
      </w:r>
      <w:r w:rsidR="00C4679C" w:rsidRPr="004231F4">
        <w:rPr>
          <w:lang w:val="en-GB"/>
        </w:rPr>
        <w:t xml:space="preserve"> as a</w:t>
      </w:r>
      <w:r w:rsidR="00515A2F" w:rsidRPr="004231F4">
        <w:rPr>
          <w:lang w:val="en-GB"/>
        </w:rPr>
        <w:t xml:space="preserve"> </w:t>
      </w:r>
      <w:r w:rsidR="00C4679C" w:rsidRPr="004231F4">
        <w:rPr>
          <w:lang w:val="en-GB"/>
        </w:rPr>
        <w:t>violation</w:t>
      </w:r>
      <w:r w:rsidR="00313D6B" w:rsidRPr="004231F4">
        <w:rPr>
          <w:lang w:val="en-GB"/>
        </w:rPr>
        <w:t xml:space="preserve"> of Civil Aviation Regulations</w:t>
      </w:r>
      <w:r w:rsidR="00C4679C" w:rsidRPr="004231F4">
        <w:rPr>
          <w:lang w:val="en-GB"/>
        </w:rPr>
        <w:t>.</w:t>
      </w:r>
      <w:r w:rsidR="00313D6B" w:rsidRPr="004231F4">
        <w:rPr>
          <w:lang w:val="en-GB"/>
        </w:rPr>
        <w:t xml:space="preserve"> </w:t>
      </w:r>
      <w:r w:rsidR="005D512C" w:rsidRPr="004231F4">
        <w:rPr>
          <w:lang w:val="en-GB"/>
        </w:rPr>
        <w:t xml:space="preserve">Subsequently, his licence was suspended for a period of six months from 6 April 2023 until 5 October 2023. </w:t>
      </w:r>
      <w:r w:rsidR="00C4679C" w:rsidRPr="004231F4">
        <w:rPr>
          <w:lang w:val="en-GB"/>
        </w:rPr>
        <w:t xml:space="preserve"> </w:t>
      </w:r>
    </w:p>
    <w:p w14:paraId="7F059869" w14:textId="77777777" w:rsidR="007F30CC" w:rsidRPr="0050428E" w:rsidRDefault="007F30CC" w:rsidP="0050428E">
      <w:pPr>
        <w:pStyle w:val="ListParagraph"/>
        <w:autoSpaceDE w:val="0"/>
        <w:autoSpaceDN w:val="0"/>
        <w:adjustRightInd w:val="0"/>
        <w:ind w:left="0"/>
        <w:jc w:val="both"/>
        <w:rPr>
          <w:lang w:val="en-GB"/>
        </w:rPr>
      </w:pPr>
    </w:p>
    <w:p w14:paraId="57F2EB10" w14:textId="3F84612A" w:rsidR="00A04D55" w:rsidRPr="004231F4" w:rsidRDefault="004231F4" w:rsidP="004231F4">
      <w:pPr>
        <w:autoSpaceDE w:val="0"/>
        <w:autoSpaceDN w:val="0"/>
        <w:adjustRightInd w:val="0"/>
        <w:jc w:val="both"/>
        <w:rPr>
          <w:lang w:val="en-GB"/>
        </w:rPr>
      </w:pPr>
      <w:r w:rsidRPr="0050428E">
        <w:rPr>
          <w:lang w:val="en-GB"/>
        </w:rPr>
        <w:t>[3]</w:t>
      </w:r>
      <w:r w:rsidRPr="0050428E">
        <w:rPr>
          <w:lang w:val="en-GB"/>
        </w:rPr>
        <w:tab/>
      </w:r>
      <w:r w:rsidR="006A7DA6" w:rsidRPr="004231F4">
        <w:rPr>
          <w:lang w:val="en-GB"/>
        </w:rPr>
        <w:t xml:space="preserve">The </w:t>
      </w:r>
      <w:r w:rsidR="00C33931" w:rsidRPr="004231F4">
        <w:rPr>
          <w:lang w:val="en-GB"/>
        </w:rPr>
        <w:t>applicant approaches the court on an urgent basis, seeking</w:t>
      </w:r>
      <w:r w:rsidR="007F30CC" w:rsidRPr="004231F4">
        <w:rPr>
          <w:lang w:val="en-GB"/>
        </w:rPr>
        <w:t xml:space="preserve"> </w:t>
      </w:r>
      <w:r w:rsidR="00101AFF" w:rsidRPr="004231F4">
        <w:rPr>
          <w:lang w:val="en-GB"/>
        </w:rPr>
        <w:t>interim relief</w:t>
      </w:r>
      <w:r w:rsidR="004F7719" w:rsidRPr="004231F4">
        <w:rPr>
          <w:lang w:val="en-GB"/>
        </w:rPr>
        <w:t xml:space="preserve"> </w:t>
      </w:r>
      <w:r w:rsidR="00D74F67" w:rsidRPr="004231F4">
        <w:rPr>
          <w:lang w:val="en-GB"/>
        </w:rPr>
        <w:t>suspend</w:t>
      </w:r>
      <w:r w:rsidR="00101AFF" w:rsidRPr="004231F4">
        <w:rPr>
          <w:lang w:val="en-GB"/>
        </w:rPr>
        <w:t>ing</w:t>
      </w:r>
      <w:r w:rsidR="004F7719" w:rsidRPr="004231F4">
        <w:rPr>
          <w:lang w:val="en-GB"/>
        </w:rPr>
        <w:t xml:space="preserve"> the </w:t>
      </w:r>
      <w:r w:rsidR="00FD68D7" w:rsidRPr="004231F4">
        <w:rPr>
          <w:lang w:val="en-GB"/>
        </w:rPr>
        <w:t xml:space="preserve">outcome of </w:t>
      </w:r>
      <w:r w:rsidR="004F7719" w:rsidRPr="004231F4">
        <w:rPr>
          <w:lang w:val="en-GB"/>
        </w:rPr>
        <w:t>two administrative decisions</w:t>
      </w:r>
      <w:r w:rsidR="005A4F25" w:rsidRPr="004231F4">
        <w:rPr>
          <w:lang w:val="en-GB"/>
        </w:rPr>
        <w:t>,</w:t>
      </w:r>
      <w:r w:rsidR="004F7719" w:rsidRPr="004231F4">
        <w:rPr>
          <w:lang w:val="en-GB"/>
        </w:rPr>
        <w:t xml:space="preserve"> which have the effect of suspending his licence</w:t>
      </w:r>
      <w:r w:rsidR="00993171" w:rsidRPr="004231F4">
        <w:rPr>
          <w:lang w:val="en-GB"/>
        </w:rPr>
        <w:t>, pending review proceedings.</w:t>
      </w:r>
      <w:r w:rsidR="00D83704" w:rsidRPr="0050428E">
        <w:rPr>
          <w:rStyle w:val="FootnoteReference"/>
          <w:lang w:val="en-GB"/>
        </w:rPr>
        <w:footnoteReference w:id="1"/>
      </w:r>
      <w:r w:rsidR="00771517" w:rsidRPr="004231F4">
        <w:rPr>
          <w:lang w:val="en-GB"/>
        </w:rPr>
        <w:t xml:space="preserve"> The application is opposed by the first to third respondents</w:t>
      </w:r>
      <w:r w:rsidR="00D36236" w:rsidRPr="004231F4">
        <w:rPr>
          <w:lang w:val="en-GB"/>
        </w:rPr>
        <w:t xml:space="preserve"> (‘the respondents’)</w:t>
      </w:r>
      <w:r w:rsidR="00A04D55" w:rsidRPr="004231F4">
        <w:rPr>
          <w:lang w:val="en-GB"/>
        </w:rPr>
        <w:t xml:space="preserve"> for three reasons: </w:t>
      </w:r>
    </w:p>
    <w:p w14:paraId="1E6767A3" w14:textId="77777777" w:rsidR="00A04D55" w:rsidRPr="0050428E" w:rsidRDefault="00A04D55" w:rsidP="0050428E">
      <w:pPr>
        <w:pStyle w:val="ListParagraph"/>
        <w:autoSpaceDE w:val="0"/>
        <w:autoSpaceDN w:val="0"/>
        <w:adjustRightInd w:val="0"/>
        <w:ind w:left="0" w:firstLine="720"/>
        <w:jc w:val="both"/>
        <w:rPr>
          <w:lang w:val="en-GB"/>
        </w:rPr>
      </w:pPr>
      <w:r w:rsidRPr="0050428E">
        <w:rPr>
          <w:lang w:val="en-GB"/>
        </w:rPr>
        <w:t xml:space="preserve">a) lack of urgency; </w:t>
      </w:r>
    </w:p>
    <w:p w14:paraId="2CC4674D" w14:textId="2A309FB0" w:rsidR="00A04D55" w:rsidRPr="0050428E" w:rsidRDefault="00A04D55" w:rsidP="0050428E">
      <w:pPr>
        <w:pStyle w:val="ListParagraph"/>
        <w:autoSpaceDE w:val="0"/>
        <w:autoSpaceDN w:val="0"/>
        <w:adjustRightInd w:val="0"/>
        <w:ind w:left="0" w:firstLine="720"/>
        <w:jc w:val="both"/>
        <w:rPr>
          <w:lang w:val="en-GB"/>
        </w:rPr>
      </w:pPr>
      <w:r w:rsidRPr="0050428E">
        <w:rPr>
          <w:lang w:val="en-GB"/>
        </w:rPr>
        <w:t>b) non-joinder of the Minister of Transport;</w:t>
      </w:r>
    </w:p>
    <w:p w14:paraId="266AE3C1" w14:textId="06B1AB0E" w:rsidR="00A04D55" w:rsidRPr="0050428E" w:rsidRDefault="00A04D55" w:rsidP="0050428E">
      <w:pPr>
        <w:pStyle w:val="ListParagraph"/>
        <w:autoSpaceDE w:val="0"/>
        <w:autoSpaceDN w:val="0"/>
        <w:adjustRightInd w:val="0"/>
        <w:ind w:left="0" w:firstLine="720"/>
        <w:jc w:val="both"/>
        <w:rPr>
          <w:lang w:val="en-GB"/>
        </w:rPr>
      </w:pPr>
      <w:r w:rsidRPr="0050428E">
        <w:rPr>
          <w:lang w:val="en-GB"/>
        </w:rPr>
        <w:t>c) failure to make out a prima facie case for success in the review application</w:t>
      </w:r>
      <w:r w:rsidR="000A4665" w:rsidRPr="0050428E">
        <w:rPr>
          <w:lang w:val="en-GB"/>
        </w:rPr>
        <w:t>.</w:t>
      </w:r>
    </w:p>
    <w:p w14:paraId="6CFA88AF" w14:textId="77777777" w:rsidR="00FF4F81" w:rsidRDefault="00FF4F81" w:rsidP="0050428E">
      <w:pPr>
        <w:pStyle w:val="ListParagraph"/>
        <w:autoSpaceDE w:val="0"/>
        <w:autoSpaceDN w:val="0"/>
        <w:adjustRightInd w:val="0"/>
        <w:ind w:left="0"/>
        <w:jc w:val="both"/>
        <w:rPr>
          <w:b/>
          <w:bCs/>
          <w:lang w:val="en-GB"/>
        </w:rPr>
      </w:pPr>
    </w:p>
    <w:p w14:paraId="6DFA4162" w14:textId="0F23D6F7" w:rsidR="00072008" w:rsidRPr="0050428E" w:rsidRDefault="00072008" w:rsidP="0050428E">
      <w:pPr>
        <w:pStyle w:val="ListParagraph"/>
        <w:autoSpaceDE w:val="0"/>
        <w:autoSpaceDN w:val="0"/>
        <w:adjustRightInd w:val="0"/>
        <w:ind w:left="0"/>
        <w:jc w:val="both"/>
        <w:rPr>
          <w:b/>
          <w:bCs/>
          <w:lang w:val="en-GB"/>
        </w:rPr>
      </w:pPr>
      <w:r w:rsidRPr="0050428E">
        <w:rPr>
          <w:b/>
          <w:bCs/>
          <w:lang w:val="en-GB"/>
        </w:rPr>
        <w:t>Urgency</w:t>
      </w:r>
    </w:p>
    <w:p w14:paraId="0804F82A" w14:textId="77777777" w:rsidR="000819F5" w:rsidRPr="0050428E" w:rsidRDefault="000819F5" w:rsidP="0050428E">
      <w:pPr>
        <w:pStyle w:val="ListParagraph"/>
        <w:autoSpaceDE w:val="0"/>
        <w:autoSpaceDN w:val="0"/>
        <w:adjustRightInd w:val="0"/>
        <w:ind w:left="0"/>
        <w:jc w:val="both"/>
        <w:rPr>
          <w:lang w:val="en-GB"/>
        </w:rPr>
      </w:pPr>
    </w:p>
    <w:p w14:paraId="41B11DC7" w14:textId="7B9FCB29" w:rsidR="000819F5" w:rsidRPr="004231F4" w:rsidRDefault="004231F4" w:rsidP="004231F4">
      <w:pPr>
        <w:autoSpaceDE w:val="0"/>
        <w:autoSpaceDN w:val="0"/>
        <w:adjustRightInd w:val="0"/>
        <w:jc w:val="both"/>
        <w:rPr>
          <w:lang w:val="en-GB"/>
        </w:rPr>
      </w:pPr>
      <w:r w:rsidRPr="0050428E">
        <w:rPr>
          <w:lang w:val="en-GB"/>
        </w:rPr>
        <w:t>[4]</w:t>
      </w:r>
      <w:r w:rsidRPr="0050428E">
        <w:rPr>
          <w:lang w:val="en-GB"/>
        </w:rPr>
        <w:tab/>
      </w:r>
      <w:r w:rsidR="0050428E" w:rsidRPr="004231F4">
        <w:rPr>
          <w:lang w:val="en-GB"/>
        </w:rPr>
        <w:t>The applicant claims that he will be prejudiced given that he utilises his aircrafts for business and personal travel on a weekly basis</w:t>
      </w:r>
      <w:r w:rsidR="00BC23DE" w:rsidRPr="004231F4">
        <w:rPr>
          <w:lang w:val="en-GB"/>
        </w:rPr>
        <w:t>.</w:t>
      </w:r>
      <w:r w:rsidR="009C382F" w:rsidRPr="004231F4">
        <w:rPr>
          <w:lang w:val="en-GB"/>
        </w:rPr>
        <w:t xml:space="preserve"> He also flies his aircrafts for practice and to maintain his skillset. In particular, his concern appears to stem from </w:t>
      </w:r>
      <w:r w:rsidR="009C382F" w:rsidRPr="004231F4">
        <w:rPr>
          <w:lang w:val="en-GB"/>
        </w:rPr>
        <w:lastRenderedPageBreak/>
        <w:t xml:space="preserve">his commitment to participate in various air shows during 2023. </w:t>
      </w:r>
      <w:r w:rsidR="00C925F4" w:rsidRPr="004231F4">
        <w:rPr>
          <w:lang w:val="en-GB"/>
        </w:rPr>
        <w:t xml:space="preserve">Waiting for a further appeal would cause severe prejudice given that it is unlikely that the appeal will be resolved within the period of suspension. </w:t>
      </w:r>
      <w:r w:rsidR="000946CE" w:rsidRPr="004231F4">
        <w:rPr>
          <w:lang w:val="en-GB"/>
        </w:rPr>
        <w:t>This, it is alleged, will cause the applicant embarrassment in the flying community, who expect the applicant to perform at the upcoming air shows.</w:t>
      </w:r>
    </w:p>
    <w:p w14:paraId="0897DAB2" w14:textId="15E6D353" w:rsidR="00AB08CB" w:rsidRDefault="00AB08CB" w:rsidP="0050428E">
      <w:pPr>
        <w:autoSpaceDE w:val="0"/>
        <w:autoSpaceDN w:val="0"/>
        <w:adjustRightInd w:val="0"/>
        <w:jc w:val="both"/>
        <w:rPr>
          <w:lang w:val="en-GB"/>
        </w:rPr>
      </w:pPr>
    </w:p>
    <w:p w14:paraId="38C3056B" w14:textId="164B7B79" w:rsidR="00375C18" w:rsidRPr="004231F4" w:rsidRDefault="004231F4" w:rsidP="004231F4">
      <w:pPr>
        <w:autoSpaceDE w:val="0"/>
        <w:autoSpaceDN w:val="0"/>
        <w:adjustRightInd w:val="0"/>
        <w:jc w:val="both"/>
        <w:rPr>
          <w:lang w:val="en-GB"/>
        </w:rPr>
      </w:pPr>
      <w:r w:rsidRPr="0050428E">
        <w:rPr>
          <w:lang w:val="en-GB"/>
        </w:rPr>
        <w:t>[5]</w:t>
      </w:r>
      <w:r w:rsidRPr="0050428E">
        <w:rPr>
          <w:lang w:val="en-GB"/>
        </w:rPr>
        <w:tab/>
      </w:r>
      <w:r w:rsidR="00375C18" w:rsidRPr="004231F4">
        <w:rPr>
          <w:lang w:val="en-GB"/>
        </w:rPr>
        <w:t>A judge may, in cases of urgency, dispense with the forms and service provided for in the Uniform Rules and dispose of the matter at a time and place and in such manner and in accordance with such procedure as seems meet.</w:t>
      </w:r>
      <w:r w:rsidR="00375C18" w:rsidRPr="0050428E">
        <w:rPr>
          <w:rStyle w:val="FootnoteReference"/>
          <w:lang w:val="en-GB"/>
        </w:rPr>
        <w:footnoteReference w:id="2"/>
      </w:r>
      <w:r w:rsidR="00375C18" w:rsidRPr="004231F4">
        <w:rPr>
          <w:lang w:val="en-GB"/>
        </w:rPr>
        <w:t xml:space="preserve">  The degree of relaxation of the rules must be commensurate with the exigency of the case.</w:t>
      </w:r>
      <w:r w:rsidR="00375C18" w:rsidRPr="0050428E">
        <w:rPr>
          <w:rStyle w:val="FootnoteReference"/>
          <w:lang w:val="en-GB"/>
        </w:rPr>
        <w:footnoteReference w:id="3"/>
      </w:r>
      <w:r w:rsidR="00375C18" w:rsidRPr="004231F4">
        <w:rPr>
          <w:lang w:val="en-GB"/>
        </w:rPr>
        <w:t xml:space="preserve"> The procedure adopted must comply with the standard rules as far as is practicable. The major considerations in deciding whether or not to exercise the court’s power to abridge the times prescribed and to accelerate the hearing of a matter are the following:</w:t>
      </w:r>
      <w:r w:rsidR="00375C18" w:rsidRPr="0050428E">
        <w:rPr>
          <w:rStyle w:val="FootnoteReference"/>
          <w:lang w:val="en-GB"/>
        </w:rPr>
        <w:footnoteReference w:id="4"/>
      </w:r>
    </w:p>
    <w:p w14:paraId="2CB3A9D2" w14:textId="2006109D" w:rsidR="00375C18" w:rsidRPr="004231F4" w:rsidRDefault="004231F4" w:rsidP="004231F4">
      <w:pPr>
        <w:autoSpaceDE w:val="0"/>
        <w:autoSpaceDN w:val="0"/>
        <w:adjustRightInd w:val="0"/>
        <w:ind w:left="709" w:hanging="425"/>
        <w:jc w:val="both"/>
        <w:rPr>
          <w:lang w:val="en-GB"/>
        </w:rPr>
      </w:pPr>
      <w:r>
        <w:rPr>
          <w:rFonts w:ascii="Symbol" w:hAnsi="Symbol"/>
          <w:lang w:val="en-GB"/>
        </w:rPr>
        <w:t></w:t>
      </w:r>
      <w:r>
        <w:rPr>
          <w:rFonts w:ascii="Symbol" w:hAnsi="Symbol"/>
          <w:lang w:val="en-GB"/>
        </w:rPr>
        <w:tab/>
      </w:r>
      <w:r w:rsidR="00375C18" w:rsidRPr="004231F4">
        <w:rPr>
          <w:lang w:val="en-GB"/>
        </w:rPr>
        <w:t>The prejudice that the applicants might suffer by having to wait for a hearing in the ordinary course;</w:t>
      </w:r>
    </w:p>
    <w:p w14:paraId="0386AFDD" w14:textId="748F9811" w:rsidR="00375C18" w:rsidRPr="004231F4" w:rsidRDefault="004231F4" w:rsidP="004231F4">
      <w:pPr>
        <w:autoSpaceDE w:val="0"/>
        <w:autoSpaceDN w:val="0"/>
        <w:adjustRightInd w:val="0"/>
        <w:ind w:left="709" w:hanging="425"/>
        <w:jc w:val="both"/>
        <w:rPr>
          <w:lang w:val="en-GB"/>
        </w:rPr>
      </w:pPr>
      <w:r>
        <w:rPr>
          <w:rFonts w:ascii="Symbol" w:hAnsi="Symbol"/>
          <w:lang w:val="en-GB"/>
        </w:rPr>
        <w:t></w:t>
      </w:r>
      <w:r>
        <w:rPr>
          <w:rFonts w:ascii="Symbol" w:hAnsi="Symbol"/>
          <w:lang w:val="en-GB"/>
        </w:rPr>
        <w:tab/>
      </w:r>
      <w:r w:rsidR="00375C18" w:rsidRPr="004231F4">
        <w:rPr>
          <w:lang w:val="en-GB"/>
        </w:rPr>
        <w:t>The prejudice that other litigants might suffer if the applicant is given preference; and</w:t>
      </w:r>
    </w:p>
    <w:p w14:paraId="61156B34" w14:textId="16B1F664" w:rsidR="00375C18" w:rsidRPr="004231F4" w:rsidRDefault="004231F4" w:rsidP="004231F4">
      <w:pPr>
        <w:autoSpaceDE w:val="0"/>
        <w:autoSpaceDN w:val="0"/>
        <w:adjustRightInd w:val="0"/>
        <w:ind w:left="709" w:hanging="425"/>
        <w:jc w:val="both"/>
        <w:rPr>
          <w:lang w:val="en-GB"/>
        </w:rPr>
      </w:pPr>
      <w:r w:rsidRPr="00DF44A4">
        <w:rPr>
          <w:rFonts w:ascii="Symbol" w:hAnsi="Symbol"/>
          <w:lang w:val="en-GB"/>
        </w:rPr>
        <w:t></w:t>
      </w:r>
      <w:r w:rsidRPr="00DF44A4">
        <w:rPr>
          <w:rFonts w:ascii="Symbol" w:hAnsi="Symbol"/>
          <w:lang w:val="en-GB"/>
        </w:rPr>
        <w:tab/>
      </w:r>
      <w:r w:rsidR="00375C18" w:rsidRPr="004231F4">
        <w:rPr>
          <w:lang w:val="en-GB"/>
        </w:rPr>
        <w:t>The prejudice that respondents might suffer by the abridgment of the prescribed times and an early hearing.</w:t>
      </w:r>
    </w:p>
    <w:p w14:paraId="5345D32B" w14:textId="1EB0C716" w:rsidR="00375C18" w:rsidRDefault="00375C18" w:rsidP="0050428E">
      <w:pPr>
        <w:autoSpaceDE w:val="0"/>
        <w:autoSpaceDN w:val="0"/>
        <w:adjustRightInd w:val="0"/>
        <w:jc w:val="both"/>
        <w:rPr>
          <w:lang w:val="en-GB"/>
        </w:rPr>
      </w:pPr>
    </w:p>
    <w:p w14:paraId="7ED25182" w14:textId="15369781" w:rsidR="004C1FFB" w:rsidRPr="004231F4" w:rsidRDefault="004231F4" w:rsidP="004231F4">
      <w:pPr>
        <w:autoSpaceDE w:val="0"/>
        <w:autoSpaceDN w:val="0"/>
        <w:adjustRightInd w:val="0"/>
        <w:jc w:val="both"/>
        <w:rPr>
          <w:lang w:val="en-GB"/>
        </w:rPr>
      </w:pPr>
      <w:r>
        <w:rPr>
          <w:lang w:val="en-GB"/>
        </w:rPr>
        <w:t>[6]</w:t>
      </w:r>
      <w:r>
        <w:rPr>
          <w:lang w:val="en-GB"/>
        </w:rPr>
        <w:tab/>
      </w:r>
      <w:r w:rsidR="00911154" w:rsidRPr="004231F4">
        <w:rPr>
          <w:lang w:val="en-GB"/>
        </w:rPr>
        <w:t>The question as to the absence of ‘substantial redress’ in an application brought on usual timeframes lies at the heart of the question of urgency.</w:t>
      </w:r>
      <w:r w:rsidR="00911154">
        <w:rPr>
          <w:rStyle w:val="FootnoteReference"/>
          <w:lang w:val="en-GB"/>
        </w:rPr>
        <w:footnoteReference w:id="5"/>
      </w:r>
      <w:r w:rsidR="00911154" w:rsidRPr="004231F4">
        <w:rPr>
          <w:lang w:val="en-GB"/>
        </w:rPr>
        <w:t xml:space="preserve"> </w:t>
      </w:r>
      <w:r w:rsidR="00770D30" w:rsidRPr="004231F4">
        <w:rPr>
          <w:lang w:val="en-GB"/>
        </w:rPr>
        <w:t>The applicant has set forth the circumstances rendering the matter urgent</w:t>
      </w:r>
      <w:r w:rsidR="00367AE3" w:rsidRPr="004231F4">
        <w:rPr>
          <w:lang w:val="en-GB"/>
        </w:rPr>
        <w:t xml:space="preserve">. </w:t>
      </w:r>
      <w:r w:rsidR="00B25CC3" w:rsidRPr="004231F4">
        <w:rPr>
          <w:lang w:val="en-GB"/>
        </w:rPr>
        <w:t xml:space="preserve">While it may be the case that the applicant could utilise other transportation options while his licence has been suspended, </w:t>
      </w:r>
      <w:r w:rsidR="00477DD7" w:rsidRPr="004231F4">
        <w:rPr>
          <w:lang w:val="en-GB"/>
        </w:rPr>
        <w:t>as the respondents’ argued,</w:t>
      </w:r>
      <w:r w:rsidR="009323DB">
        <w:rPr>
          <w:rStyle w:val="FootnoteReference"/>
          <w:lang w:val="en-GB"/>
        </w:rPr>
        <w:footnoteReference w:id="6"/>
      </w:r>
      <w:r w:rsidR="00477DD7" w:rsidRPr="004231F4">
        <w:rPr>
          <w:lang w:val="en-GB"/>
        </w:rPr>
        <w:t xml:space="preserve"> </w:t>
      </w:r>
      <w:r w:rsidR="000A4423" w:rsidRPr="004231F4">
        <w:rPr>
          <w:lang w:val="en-GB"/>
        </w:rPr>
        <w:t>the papers explain that</w:t>
      </w:r>
      <w:r w:rsidR="002435AF" w:rsidRPr="004231F4">
        <w:rPr>
          <w:lang w:val="en-GB"/>
        </w:rPr>
        <w:t xml:space="preserve"> the applicant is a </w:t>
      </w:r>
      <w:r w:rsidR="002435AF" w:rsidRPr="004231F4">
        <w:rPr>
          <w:lang w:val="en-GB"/>
        </w:rPr>
        <w:lastRenderedPageBreak/>
        <w:t>frequent flyer</w:t>
      </w:r>
      <w:r w:rsidR="00996DB6" w:rsidRPr="004231F4">
        <w:rPr>
          <w:lang w:val="en-GB"/>
        </w:rPr>
        <w:t xml:space="preserve"> and that flying is linked to business and personal dimensions of his life, including commitment</w:t>
      </w:r>
      <w:r w:rsidR="006053D4" w:rsidRPr="004231F4">
        <w:rPr>
          <w:lang w:val="en-GB"/>
        </w:rPr>
        <w:t>s to participate in forthcoming air shows</w:t>
      </w:r>
      <w:r w:rsidR="002435AF" w:rsidRPr="004231F4">
        <w:rPr>
          <w:lang w:val="en-GB"/>
        </w:rPr>
        <w:t xml:space="preserve">. </w:t>
      </w:r>
      <w:r w:rsidR="00770D30" w:rsidRPr="004231F4">
        <w:rPr>
          <w:lang w:val="en-GB"/>
        </w:rPr>
        <w:t>Given the nature of the relief sought,</w:t>
      </w:r>
      <w:r w:rsidR="009C6021" w:rsidRPr="004231F4">
        <w:rPr>
          <w:lang w:val="en-GB"/>
        </w:rPr>
        <w:t xml:space="preserve"> I am satisfied that</w:t>
      </w:r>
      <w:r w:rsidR="00770D30" w:rsidRPr="004231F4">
        <w:rPr>
          <w:lang w:val="en-GB"/>
        </w:rPr>
        <w:t xml:space="preserve"> </w:t>
      </w:r>
      <w:r w:rsidR="00662FC9" w:rsidRPr="004231F4">
        <w:rPr>
          <w:lang w:val="en-GB"/>
        </w:rPr>
        <w:t xml:space="preserve">he would not be afforded substantial redress if the matter were to follow its normal course. By then, the period of suspension would </w:t>
      </w:r>
      <w:r w:rsidR="00AF437D" w:rsidRPr="004231F4">
        <w:rPr>
          <w:lang w:val="en-GB"/>
        </w:rPr>
        <w:t xml:space="preserve">inevitably </w:t>
      </w:r>
      <w:r w:rsidR="00662FC9" w:rsidRPr="004231F4">
        <w:rPr>
          <w:lang w:val="en-GB"/>
        </w:rPr>
        <w:t>have expired</w:t>
      </w:r>
      <w:r w:rsidR="003C7861" w:rsidRPr="004231F4">
        <w:rPr>
          <w:lang w:val="en-GB"/>
        </w:rPr>
        <w:t xml:space="preserve"> so that the applicant would be deprived of substantial redress. </w:t>
      </w:r>
      <w:r w:rsidR="00C13DD4" w:rsidRPr="004231F4">
        <w:rPr>
          <w:lang w:val="en-GB"/>
        </w:rPr>
        <w:t xml:space="preserve">The matter, in my view, </w:t>
      </w:r>
      <w:r w:rsidR="00252D64" w:rsidRPr="004231F4">
        <w:rPr>
          <w:lang w:val="en-GB"/>
        </w:rPr>
        <w:t xml:space="preserve">passes the test for urgency and </w:t>
      </w:r>
      <w:r w:rsidR="00C13DD4" w:rsidRPr="004231F4">
        <w:rPr>
          <w:lang w:val="en-GB"/>
        </w:rPr>
        <w:t xml:space="preserve">qualified to be </w:t>
      </w:r>
      <w:r w:rsidR="00252D64" w:rsidRPr="004231F4">
        <w:rPr>
          <w:lang w:val="en-GB"/>
        </w:rPr>
        <w:t>enrolled on an urgent basis</w:t>
      </w:r>
    </w:p>
    <w:p w14:paraId="402AFE20" w14:textId="4C63DEF3" w:rsidR="00A82D8E" w:rsidRDefault="00A82D8E" w:rsidP="00A82D8E">
      <w:pPr>
        <w:pStyle w:val="ListParagraph"/>
        <w:autoSpaceDE w:val="0"/>
        <w:autoSpaceDN w:val="0"/>
        <w:adjustRightInd w:val="0"/>
        <w:ind w:left="0"/>
        <w:jc w:val="both"/>
        <w:rPr>
          <w:lang w:val="en-GB"/>
        </w:rPr>
      </w:pPr>
    </w:p>
    <w:p w14:paraId="2E6CFB80" w14:textId="6874C08E" w:rsidR="00A82D8E" w:rsidRDefault="00A82D8E" w:rsidP="00A82D8E">
      <w:pPr>
        <w:pStyle w:val="ListParagraph"/>
        <w:autoSpaceDE w:val="0"/>
        <w:autoSpaceDN w:val="0"/>
        <w:adjustRightInd w:val="0"/>
        <w:ind w:left="0"/>
        <w:jc w:val="both"/>
        <w:rPr>
          <w:b/>
          <w:bCs/>
          <w:lang w:val="en-GB"/>
        </w:rPr>
      </w:pPr>
      <w:r>
        <w:rPr>
          <w:b/>
          <w:bCs/>
          <w:lang w:val="en-GB"/>
        </w:rPr>
        <w:t>The duty to exhaust internal remedies</w:t>
      </w:r>
    </w:p>
    <w:p w14:paraId="620BFB6C" w14:textId="77777777" w:rsidR="003F0527" w:rsidRPr="00A82D8E" w:rsidRDefault="003F0527" w:rsidP="00A82D8E">
      <w:pPr>
        <w:pStyle w:val="ListParagraph"/>
        <w:autoSpaceDE w:val="0"/>
        <w:autoSpaceDN w:val="0"/>
        <w:adjustRightInd w:val="0"/>
        <w:ind w:left="0"/>
        <w:jc w:val="both"/>
        <w:rPr>
          <w:b/>
          <w:bCs/>
          <w:lang w:val="en-GB"/>
        </w:rPr>
      </w:pPr>
    </w:p>
    <w:p w14:paraId="66CA0299" w14:textId="5ABE6754" w:rsidR="0080648B" w:rsidRPr="004231F4" w:rsidRDefault="004231F4" w:rsidP="004231F4">
      <w:pPr>
        <w:autoSpaceDE w:val="0"/>
        <w:autoSpaceDN w:val="0"/>
        <w:adjustRightInd w:val="0"/>
        <w:jc w:val="both"/>
        <w:rPr>
          <w:lang w:val="en-GB"/>
        </w:rPr>
      </w:pPr>
      <w:r>
        <w:rPr>
          <w:lang w:val="en-GB"/>
        </w:rPr>
        <w:t>[7]</w:t>
      </w:r>
      <w:r>
        <w:rPr>
          <w:lang w:val="en-GB"/>
        </w:rPr>
        <w:tab/>
      </w:r>
      <w:r w:rsidR="00196746" w:rsidRPr="004231F4">
        <w:rPr>
          <w:lang w:val="en-GB"/>
        </w:rPr>
        <w:t>The respondents’ submission as to the need to join the Minister of Transport (‘the Minister’) is linked to the applicant’s duty to exhaust internal remedies.</w:t>
      </w:r>
      <w:r w:rsidR="00192110">
        <w:rPr>
          <w:rStyle w:val="FootnoteReference"/>
          <w:lang w:val="en-GB"/>
        </w:rPr>
        <w:footnoteReference w:id="7"/>
      </w:r>
      <w:r w:rsidR="00196746" w:rsidRPr="004231F4">
        <w:rPr>
          <w:lang w:val="en-GB"/>
        </w:rPr>
        <w:t xml:space="preserve"> </w:t>
      </w:r>
      <w:r w:rsidR="00DC3348" w:rsidRPr="004231F4">
        <w:rPr>
          <w:lang w:val="en-GB"/>
        </w:rPr>
        <w:t>In terms of the Civil Aviation Act, 2009</w:t>
      </w:r>
      <w:r w:rsidR="00DC3348">
        <w:rPr>
          <w:rStyle w:val="FootnoteReference"/>
          <w:lang w:val="en-GB"/>
        </w:rPr>
        <w:footnoteReference w:id="8"/>
      </w:r>
      <w:r w:rsidR="0073398F" w:rsidRPr="004231F4">
        <w:rPr>
          <w:lang w:val="en-GB"/>
        </w:rPr>
        <w:t xml:space="preserve"> (‘the Act’)</w:t>
      </w:r>
      <w:r w:rsidR="00BB1230" w:rsidRPr="004231F4">
        <w:rPr>
          <w:lang w:val="en-GB"/>
        </w:rPr>
        <w:t xml:space="preserve">, </w:t>
      </w:r>
      <w:r w:rsidR="00CF392B" w:rsidRPr="004231F4">
        <w:rPr>
          <w:lang w:val="en-GB"/>
        </w:rPr>
        <w:t xml:space="preserve">a person aggrieved by a decision of a Director to suspend a licence in terms of the Act </w:t>
      </w:r>
      <w:r w:rsidR="008230BC" w:rsidRPr="004231F4">
        <w:rPr>
          <w:lang w:val="en-GB"/>
        </w:rPr>
        <w:t xml:space="preserve">may file a written appeal with the appeal committee </w:t>
      </w:r>
      <w:r w:rsidR="00FF6310" w:rsidRPr="004231F4">
        <w:rPr>
          <w:lang w:val="en-GB"/>
        </w:rPr>
        <w:t xml:space="preserve">(‘the committee’) </w:t>
      </w:r>
      <w:r w:rsidR="008230BC" w:rsidRPr="004231F4">
        <w:rPr>
          <w:lang w:val="en-GB"/>
        </w:rPr>
        <w:t>against such decision within 30 days after receipt of the reasons for the decision.</w:t>
      </w:r>
      <w:r w:rsidR="008230BC">
        <w:rPr>
          <w:rStyle w:val="FootnoteReference"/>
          <w:lang w:val="en-GB"/>
        </w:rPr>
        <w:footnoteReference w:id="9"/>
      </w:r>
      <w:r w:rsidR="008230BC" w:rsidRPr="004231F4">
        <w:rPr>
          <w:lang w:val="en-GB"/>
        </w:rPr>
        <w:t xml:space="preserve"> </w:t>
      </w:r>
      <w:r w:rsidR="009B0066" w:rsidRPr="004231F4">
        <w:rPr>
          <w:lang w:val="en-GB"/>
        </w:rPr>
        <w:t xml:space="preserve">Section 122 of the Act deals with the establishment of </w:t>
      </w:r>
      <w:r w:rsidR="00FF6310" w:rsidRPr="004231F4">
        <w:rPr>
          <w:lang w:val="en-GB"/>
        </w:rPr>
        <w:t xml:space="preserve">the </w:t>
      </w:r>
      <w:r w:rsidR="009B0066" w:rsidRPr="004231F4">
        <w:rPr>
          <w:lang w:val="en-GB"/>
        </w:rPr>
        <w:t>committee by the Minister, who is expected to appoint suitably qualified members on a part-time basis</w:t>
      </w:r>
      <w:r w:rsidR="00F32970" w:rsidRPr="004231F4">
        <w:rPr>
          <w:lang w:val="en-GB"/>
        </w:rPr>
        <w:t xml:space="preserve"> after inviting interested persons to apply following notice in the Government Gazette and in the media.</w:t>
      </w:r>
      <w:r w:rsidR="004938DD">
        <w:rPr>
          <w:rStyle w:val="FootnoteReference"/>
          <w:lang w:val="en-GB"/>
        </w:rPr>
        <w:footnoteReference w:id="10"/>
      </w:r>
      <w:r w:rsidR="00257DF4" w:rsidRPr="004231F4">
        <w:rPr>
          <w:lang w:val="en-GB"/>
        </w:rPr>
        <w:t xml:space="preserve"> Members hold office for a period of three years.</w:t>
      </w:r>
      <w:r w:rsidR="00B111D6">
        <w:rPr>
          <w:rStyle w:val="FootnoteReference"/>
          <w:lang w:val="en-GB"/>
        </w:rPr>
        <w:footnoteReference w:id="11"/>
      </w:r>
      <w:r w:rsidR="00257DF4" w:rsidRPr="004231F4">
        <w:rPr>
          <w:lang w:val="en-GB"/>
        </w:rPr>
        <w:t xml:space="preserve"> </w:t>
      </w:r>
      <w:r w:rsidR="002A50C5" w:rsidRPr="004231F4">
        <w:rPr>
          <w:lang w:val="en-GB"/>
        </w:rPr>
        <w:t xml:space="preserve">While an appeal to </w:t>
      </w:r>
      <w:r w:rsidR="00FF6310" w:rsidRPr="004231F4">
        <w:rPr>
          <w:lang w:val="en-GB"/>
        </w:rPr>
        <w:t>the</w:t>
      </w:r>
      <w:r w:rsidR="002A50C5" w:rsidRPr="004231F4">
        <w:rPr>
          <w:lang w:val="en-GB"/>
        </w:rPr>
        <w:t xml:space="preserve"> committee does not suspend any decision of the Director pending its outcome,</w:t>
      </w:r>
      <w:r w:rsidR="002A50C5">
        <w:rPr>
          <w:rStyle w:val="FootnoteReference"/>
          <w:lang w:val="en-GB"/>
        </w:rPr>
        <w:footnoteReference w:id="12"/>
      </w:r>
      <w:r w:rsidR="006478B1" w:rsidRPr="004231F4">
        <w:rPr>
          <w:lang w:val="en-GB"/>
        </w:rPr>
        <w:t xml:space="preserve"> the Rules Regulating the Conduct of the Proceedings of the Appeal Committee (‘the Rules’), issued by the Minister in terms of the Act, </w:t>
      </w:r>
      <w:r w:rsidR="006478B1" w:rsidRPr="004231F4">
        <w:rPr>
          <w:lang w:val="en-GB"/>
        </w:rPr>
        <w:lastRenderedPageBreak/>
        <w:t>makes provision for urgent appeals</w:t>
      </w:r>
      <w:r w:rsidR="002D057A" w:rsidRPr="004231F4">
        <w:rPr>
          <w:lang w:val="en-GB"/>
        </w:rPr>
        <w:t>, dispensing with the forms and service provided for in the Rules</w:t>
      </w:r>
      <w:r w:rsidR="00527C4B" w:rsidRPr="004231F4">
        <w:rPr>
          <w:lang w:val="en-GB"/>
        </w:rPr>
        <w:t xml:space="preserve"> where appropriate.</w:t>
      </w:r>
      <w:r w:rsidR="005D0D57">
        <w:rPr>
          <w:rStyle w:val="FootnoteReference"/>
          <w:lang w:val="en-GB"/>
        </w:rPr>
        <w:footnoteReference w:id="13"/>
      </w:r>
      <w:r w:rsidR="006478B1" w:rsidRPr="004231F4">
        <w:rPr>
          <w:lang w:val="en-GB"/>
        </w:rPr>
        <w:t xml:space="preserve"> </w:t>
      </w:r>
    </w:p>
    <w:p w14:paraId="220E609C" w14:textId="77777777" w:rsidR="0080648B" w:rsidRDefault="0080648B" w:rsidP="0080648B">
      <w:pPr>
        <w:pStyle w:val="ListParagraph"/>
        <w:autoSpaceDE w:val="0"/>
        <w:autoSpaceDN w:val="0"/>
        <w:adjustRightInd w:val="0"/>
        <w:ind w:left="0"/>
        <w:jc w:val="both"/>
        <w:rPr>
          <w:lang w:val="en-GB"/>
        </w:rPr>
      </w:pPr>
    </w:p>
    <w:p w14:paraId="0F17E5B6" w14:textId="5BEA11CB" w:rsidR="00A82D8E" w:rsidRPr="004231F4" w:rsidRDefault="004231F4" w:rsidP="004231F4">
      <w:pPr>
        <w:autoSpaceDE w:val="0"/>
        <w:autoSpaceDN w:val="0"/>
        <w:adjustRightInd w:val="0"/>
        <w:jc w:val="both"/>
        <w:rPr>
          <w:lang w:val="en-GB"/>
        </w:rPr>
      </w:pPr>
      <w:r>
        <w:rPr>
          <w:lang w:val="en-GB"/>
        </w:rPr>
        <w:t>[8]</w:t>
      </w:r>
      <w:r>
        <w:rPr>
          <w:lang w:val="en-GB"/>
        </w:rPr>
        <w:tab/>
      </w:r>
      <w:r w:rsidR="009806FC" w:rsidRPr="004231F4">
        <w:rPr>
          <w:lang w:val="en-GB"/>
        </w:rPr>
        <w:t>The applicant claims exemption from the duty in the circumstances of the matter.</w:t>
      </w:r>
      <w:r w:rsidR="007A0539" w:rsidRPr="004231F4">
        <w:rPr>
          <w:lang w:val="en-GB"/>
        </w:rPr>
        <w:t xml:space="preserve"> This is based on correspondence received from the Department of Transport </w:t>
      </w:r>
      <w:r w:rsidR="00025DE6" w:rsidRPr="004231F4">
        <w:rPr>
          <w:lang w:val="en-GB"/>
        </w:rPr>
        <w:t xml:space="preserve">(‘the department’) </w:t>
      </w:r>
      <w:r w:rsidR="007A0539" w:rsidRPr="004231F4">
        <w:rPr>
          <w:lang w:val="en-GB"/>
        </w:rPr>
        <w:t>on 11 May 2023, in response to receipt of the applicant’s appeal to the committee, which indicates as follows</w:t>
      </w:r>
      <w:r w:rsidR="00C92DC6" w:rsidRPr="004231F4">
        <w:rPr>
          <w:lang w:val="en-GB"/>
        </w:rPr>
        <w:t xml:space="preserve"> (sic)</w:t>
      </w:r>
      <w:r w:rsidR="007A0539" w:rsidRPr="004231F4">
        <w:rPr>
          <w:lang w:val="en-GB"/>
        </w:rPr>
        <w:t>:</w:t>
      </w:r>
    </w:p>
    <w:p w14:paraId="6D9D7439" w14:textId="1E0047B4" w:rsidR="007A0539" w:rsidRDefault="007A0539" w:rsidP="009934A3">
      <w:pPr>
        <w:jc w:val="both"/>
        <w:rPr>
          <w:sz w:val="22"/>
          <w:szCs w:val="22"/>
          <w:lang w:val="en-GB"/>
        </w:rPr>
      </w:pPr>
      <w:r>
        <w:rPr>
          <w:sz w:val="22"/>
          <w:szCs w:val="22"/>
          <w:lang w:val="en-GB"/>
        </w:rPr>
        <w:t>‘Kindly be advised that we currently do not have an Appeal Committee in place. However, we have started with the process of appointing the Committee, it is anticipated that the Committee will be operational by June 2023 should we not experience any challenges beyond our control.</w:t>
      </w:r>
      <w:r w:rsidR="00487DC8">
        <w:rPr>
          <w:sz w:val="22"/>
          <w:szCs w:val="22"/>
          <w:lang w:val="en-GB"/>
        </w:rPr>
        <w:t xml:space="preserve"> We will keep you updated in this regard.’</w:t>
      </w:r>
    </w:p>
    <w:p w14:paraId="0BCB9518" w14:textId="77777777" w:rsidR="007409D3" w:rsidRPr="007A0539" w:rsidRDefault="007409D3" w:rsidP="007A0539">
      <w:pPr>
        <w:rPr>
          <w:sz w:val="22"/>
          <w:szCs w:val="22"/>
          <w:lang w:val="en-GB"/>
        </w:rPr>
      </w:pPr>
    </w:p>
    <w:p w14:paraId="1BB7D4E2" w14:textId="088FF4D8" w:rsidR="00025DE6" w:rsidRPr="004231F4" w:rsidRDefault="004231F4" w:rsidP="004231F4">
      <w:pPr>
        <w:autoSpaceDE w:val="0"/>
        <w:autoSpaceDN w:val="0"/>
        <w:adjustRightInd w:val="0"/>
        <w:jc w:val="both"/>
        <w:rPr>
          <w:lang w:val="en-GB"/>
        </w:rPr>
      </w:pPr>
      <w:r>
        <w:rPr>
          <w:lang w:val="en-GB"/>
        </w:rPr>
        <w:t>[9]</w:t>
      </w:r>
      <w:r>
        <w:rPr>
          <w:lang w:val="en-GB"/>
        </w:rPr>
        <w:tab/>
      </w:r>
      <w:r w:rsidR="00025DE6" w:rsidRPr="004231F4">
        <w:rPr>
          <w:lang w:val="en-GB"/>
        </w:rPr>
        <w:t>In further corresponden</w:t>
      </w:r>
      <w:r w:rsidR="00EE360C" w:rsidRPr="004231F4">
        <w:rPr>
          <w:lang w:val="en-GB"/>
        </w:rPr>
        <w:t>ce</w:t>
      </w:r>
      <w:r w:rsidR="00025DE6" w:rsidRPr="004231F4">
        <w:rPr>
          <w:lang w:val="en-GB"/>
        </w:rPr>
        <w:t>, the secretariat acknowledged that the process of appointing the committee was beyond its control, adding that it anticipated an operational committee ‘in June or July 2023’.</w:t>
      </w:r>
    </w:p>
    <w:p w14:paraId="0ABA6411" w14:textId="77777777" w:rsidR="00025DE6" w:rsidRDefault="00025DE6" w:rsidP="00025DE6">
      <w:pPr>
        <w:pStyle w:val="ListParagraph"/>
        <w:autoSpaceDE w:val="0"/>
        <w:autoSpaceDN w:val="0"/>
        <w:adjustRightInd w:val="0"/>
        <w:ind w:left="0"/>
        <w:jc w:val="both"/>
        <w:rPr>
          <w:lang w:val="en-GB"/>
        </w:rPr>
      </w:pPr>
    </w:p>
    <w:p w14:paraId="5743FA71" w14:textId="2FF084F5" w:rsidR="007409D3" w:rsidRPr="004231F4" w:rsidRDefault="004231F4" w:rsidP="004231F4">
      <w:pPr>
        <w:autoSpaceDE w:val="0"/>
        <w:autoSpaceDN w:val="0"/>
        <w:adjustRightInd w:val="0"/>
        <w:jc w:val="both"/>
        <w:rPr>
          <w:lang w:val="en-GB"/>
        </w:rPr>
      </w:pPr>
      <w:r w:rsidRPr="007409D3">
        <w:rPr>
          <w:lang w:val="en-GB"/>
        </w:rPr>
        <w:t>[10]</w:t>
      </w:r>
      <w:r w:rsidRPr="007409D3">
        <w:rPr>
          <w:lang w:val="en-GB"/>
        </w:rPr>
        <w:tab/>
      </w:r>
      <w:r w:rsidR="007409D3" w:rsidRPr="004231F4">
        <w:rPr>
          <w:lang w:val="en-GB"/>
        </w:rPr>
        <w:t xml:space="preserve">The Constitutional Court has clarified the proper interpretation of s 7(2) of </w:t>
      </w:r>
      <w:r w:rsidR="001255DB" w:rsidRPr="004231F4">
        <w:rPr>
          <w:lang w:val="en-GB"/>
        </w:rPr>
        <w:t>the Promotion of Administrative Justice Act, 2000 (‘PAJA’)</w:t>
      </w:r>
      <w:r w:rsidR="007409D3" w:rsidRPr="004231F4">
        <w:rPr>
          <w:lang w:val="en-GB"/>
        </w:rPr>
        <w:t>, with reference to international law. Of relevance is the emphasis that has been placed on the availability of an internal remedy:</w:t>
      </w:r>
      <w:r w:rsidR="007409D3">
        <w:rPr>
          <w:rStyle w:val="FootnoteReference"/>
          <w:lang w:val="en-GB"/>
        </w:rPr>
        <w:footnoteReference w:id="14"/>
      </w:r>
    </w:p>
    <w:p w14:paraId="19BC733C" w14:textId="40F1C665" w:rsidR="007A0539" w:rsidRPr="005664B9" w:rsidRDefault="005664B9" w:rsidP="005664B9">
      <w:pPr>
        <w:pStyle w:val="ListParagraph"/>
        <w:autoSpaceDE w:val="0"/>
        <w:autoSpaceDN w:val="0"/>
        <w:adjustRightInd w:val="0"/>
        <w:ind w:left="0"/>
        <w:jc w:val="both"/>
        <w:rPr>
          <w:sz w:val="22"/>
          <w:szCs w:val="22"/>
          <w:lang w:val="en-GB"/>
        </w:rPr>
      </w:pPr>
      <w:r>
        <w:rPr>
          <w:sz w:val="22"/>
          <w:szCs w:val="22"/>
          <w:lang w:val="en-GB"/>
        </w:rPr>
        <w:t>‘In a constitutional democracy like ours, where the substantive enjoyment of rights has a high premium, it is important that any existing administrative remedy be an effective one. A remedy will be effective if it is objectively implemented, taking into account the relevant principles and values of administrative justice present in the Constitution and our law. An internal remedy must also be readily available and it must be possible to pursue without any obstruction, whether systemic or arising from unwarranted administrative conduct. Factors such as these will be taken into account when a court determines whether exceptional circumstances exist, making it in the interests of justice to intervene.’</w:t>
      </w:r>
      <w:r w:rsidR="005650D2">
        <w:rPr>
          <w:sz w:val="22"/>
          <w:szCs w:val="22"/>
          <w:lang w:val="en-GB"/>
        </w:rPr>
        <w:t xml:space="preserve"> (references omitted.)</w:t>
      </w:r>
    </w:p>
    <w:p w14:paraId="21E92EB8" w14:textId="77777777" w:rsidR="00A82D8E" w:rsidRDefault="00A82D8E" w:rsidP="00A82D8E">
      <w:pPr>
        <w:pStyle w:val="ListParagraph"/>
        <w:autoSpaceDE w:val="0"/>
        <w:autoSpaceDN w:val="0"/>
        <w:adjustRightInd w:val="0"/>
        <w:ind w:left="0"/>
        <w:jc w:val="both"/>
        <w:rPr>
          <w:lang w:val="en-GB"/>
        </w:rPr>
      </w:pPr>
    </w:p>
    <w:p w14:paraId="56425080" w14:textId="44609DF1" w:rsidR="002D3EDA" w:rsidRPr="004231F4" w:rsidRDefault="004231F4" w:rsidP="004231F4">
      <w:pPr>
        <w:autoSpaceDE w:val="0"/>
        <w:autoSpaceDN w:val="0"/>
        <w:adjustRightInd w:val="0"/>
        <w:jc w:val="both"/>
        <w:rPr>
          <w:lang w:val="en-GB"/>
        </w:rPr>
      </w:pPr>
      <w:r>
        <w:rPr>
          <w:lang w:val="en-GB"/>
        </w:rPr>
        <w:lastRenderedPageBreak/>
        <w:t>[11]</w:t>
      </w:r>
      <w:r>
        <w:rPr>
          <w:lang w:val="en-GB"/>
        </w:rPr>
        <w:tab/>
      </w:r>
      <w:r w:rsidR="006B5AE1" w:rsidRPr="004231F4">
        <w:rPr>
          <w:lang w:val="en-GB"/>
        </w:rPr>
        <w:t>In particular, internal remedies must be available, effective and adequate</w:t>
      </w:r>
      <w:r w:rsidR="002022BD" w:rsidRPr="004231F4">
        <w:rPr>
          <w:lang w:val="en-GB"/>
        </w:rPr>
        <w:t xml:space="preserve"> to oust a court’s jurisdiction in a constitutionally</w:t>
      </w:r>
      <w:r w:rsidR="00662FC9" w:rsidRPr="004231F4">
        <w:rPr>
          <w:lang w:val="en-GB"/>
        </w:rPr>
        <w:t xml:space="preserve"> </w:t>
      </w:r>
      <w:r w:rsidR="002022BD" w:rsidRPr="004231F4">
        <w:rPr>
          <w:lang w:val="en-GB"/>
        </w:rPr>
        <w:t>acceptable manner.</w:t>
      </w:r>
      <w:r w:rsidR="002022BD">
        <w:rPr>
          <w:rStyle w:val="FootnoteReference"/>
          <w:lang w:val="en-GB"/>
        </w:rPr>
        <w:footnoteReference w:id="15"/>
      </w:r>
      <w:r w:rsidR="009F0378" w:rsidRPr="004231F4">
        <w:rPr>
          <w:lang w:val="en-GB"/>
        </w:rPr>
        <w:t xml:space="preserve"> A court must exercise its judicial review powers either when all available internal administrative remedies are found to have been exhausted or when exceptional circumstances are found to exist.</w:t>
      </w:r>
      <w:r w:rsidR="006C69FF">
        <w:rPr>
          <w:rStyle w:val="FootnoteReference"/>
          <w:lang w:val="en-GB"/>
        </w:rPr>
        <w:footnoteReference w:id="16"/>
      </w:r>
      <w:r w:rsidR="003A295F" w:rsidRPr="004231F4">
        <w:rPr>
          <w:lang w:val="en-GB"/>
        </w:rPr>
        <w:t xml:space="preserve"> An exemption will be granted, on a case-by-case basis, if an aggrieved party makes a good faith attempt to exhaust internal remedies, but is frustrated in </w:t>
      </w:r>
      <w:r w:rsidR="000804A7" w:rsidRPr="004231F4">
        <w:rPr>
          <w:lang w:val="en-GB"/>
        </w:rPr>
        <w:t xml:space="preserve">their efforts to </w:t>
      </w:r>
      <w:r w:rsidR="003A295F" w:rsidRPr="004231F4">
        <w:rPr>
          <w:lang w:val="en-GB"/>
        </w:rPr>
        <w:t>do so.</w:t>
      </w:r>
      <w:r w:rsidR="000804A7">
        <w:rPr>
          <w:rStyle w:val="FootnoteReference"/>
          <w:lang w:val="en-GB"/>
        </w:rPr>
        <w:footnoteReference w:id="17"/>
      </w:r>
      <w:r w:rsidR="001255DB" w:rsidRPr="004231F4">
        <w:rPr>
          <w:lang w:val="en-GB"/>
        </w:rPr>
        <w:t xml:space="preserve"> Circumstances are considered ‘exceptional’, for purposes of s 7(2)</w:t>
      </w:r>
      <w:r w:rsidR="001255DB" w:rsidRPr="004231F4">
        <w:rPr>
          <w:i/>
          <w:iCs/>
          <w:lang w:val="en-GB"/>
        </w:rPr>
        <w:t>(c)</w:t>
      </w:r>
      <w:r w:rsidR="00003EE5" w:rsidRPr="004231F4">
        <w:rPr>
          <w:lang w:val="en-GB"/>
        </w:rPr>
        <w:t xml:space="preserve"> of </w:t>
      </w:r>
      <w:r w:rsidR="00192B38" w:rsidRPr="004231F4">
        <w:rPr>
          <w:lang w:val="en-GB"/>
        </w:rPr>
        <w:t>PAJA</w:t>
      </w:r>
      <w:r w:rsidR="00BD1C67" w:rsidRPr="004231F4">
        <w:rPr>
          <w:lang w:val="en-GB"/>
        </w:rPr>
        <w:t>, when they are ‘such as to require the immediate intervention of the courts rather than resort to the applicable internal remedy’</w:t>
      </w:r>
      <w:r w:rsidR="00CE037E" w:rsidRPr="004231F4">
        <w:rPr>
          <w:lang w:val="en-GB"/>
        </w:rPr>
        <w:t>.</w:t>
      </w:r>
      <w:r w:rsidR="00CE037E">
        <w:rPr>
          <w:rStyle w:val="FootnoteReference"/>
          <w:lang w:val="en-GB"/>
        </w:rPr>
        <w:footnoteReference w:id="18"/>
      </w:r>
    </w:p>
    <w:p w14:paraId="771E51CF" w14:textId="77777777" w:rsidR="00435446" w:rsidRDefault="00435446" w:rsidP="00A75392">
      <w:pPr>
        <w:pStyle w:val="ListParagraph"/>
        <w:autoSpaceDE w:val="0"/>
        <w:autoSpaceDN w:val="0"/>
        <w:adjustRightInd w:val="0"/>
        <w:ind w:left="0"/>
        <w:jc w:val="both"/>
        <w:rPr>
          <w:lang w:val="en-GB"/>
        </w:rPr>
      </w:pPr>
    </w:p>
    <w:p w14:paraId="6E0D0ADD" w14:textId="6D1184F3" w:rsidR="00322138" w:rsidRPr="004231F4" w:rsidRDefault="004231F4" w:rsidP="004231F4">
      <w:pPr>
        <w:autoSpaceDE w:val="0"/>
        <w:autoSpaceDN w:val="0"/>
        <w:adjustRightInd w:val="0"/>
        <w:jc w:val="both"/>
        <w:rPr>
          <w:lang w:val="en-GB"/>
        </w:rPr>
      </w:pPr>
      <w:r>
        <w:rPr>
          <w:lang w:val="en-GB"/>
        </w:rPr>
        <w:t>[12]</w:t>
      </w:r>
      <w:r>
        <w:rPr>
          <w:lang w:val="en-GB"/>
        </w:rPr>
        <w:tab/>
      </w:r>
      <w:r w:rsidR="005348CA" w:rsidRPr="004231F4">
        <w:rPr>
          <w:lang w:val="en-GB"/>
        </w:rPr>
        <w:t xml:space="preserve">The </w:t>
      </w:r>
      <w:r w:rsidR="005832BC" w:rsidRPr="004231F4">
        <w:rPr>
          <w:lang w:val="en-GB"/>
        </w:rPr>
        <w:t>importance</w:t>
      </w:r>
      <w:r w:rsidR="005348CA" w:rsidRPr="004231F4">
        <w:rPr>
          <w:lang w:val="en-GB"/>
        </w:rPr>
        <w:t xml:space="preserve"> of appeals to the committee cannot be gainsaid, given that the intention appears to be that they comprise fully fledged, formal hearings. Their outcomes </w:t>
      </w:r>
      <w:r w:rsidR="006C010B" w:rsidRPr="004231F4">
        <w:rPr>
          <w:lang w:val="en-GB"/>
        </w:rPr>
        <w:t>and reasoning can only be of benefit to courts sitting on appeal or review.</w:t>
      </w:r>
      <w:r w:rsidR="005348CA" w:rsidRPr="004231F4">
        <w:rPr>
          <w:lang w:val="en-GB"/>
        </w:rPr>
        <w:t xml:space="preserve"> </w:t>
      </w:r>
      <w:r w:rsidR="00322138" w:rsidRPr="004231F4">
        <w:rPr>
          <w:lang w:val="en-GB"/>
        </w:rPr>
        <w:t>It is also accepted that the architecture of the Act is such that the committee serves an important function, and that the intention is to preserve decisions of enforcement specialists and the Director pending appeals, in advancement of the purpose and objectives of the Act and to promote and maintain safety and security in the aviation industry.</w:t>
      </w:r>
    </w:p>
    <w:p w14:paraId="0566BE65" w14:textId="77777777" w:rsidR="00322138" w:rsidRPr="00322138" w:rsidRDefault="00322138" w:rsidP="00A75392">
      <w:pPr>
        <w:pStyle w:val="ListParagraph"/>
        <w:ind w:left="0"/>
        <w:rPr>
          <w:lang w:val="en-GB"/>
        </w:rPr>
      </w:pPr>
    </w:p>
    <w:p w14:paraId="4084A129" w14:textId="2326612F" w:rsidR="00435446" w:rsidRPr="004231F4" w:rsidRDefault="004231F4" w:rsidP="004231F4">
      <w:pPr>
        <w:autoSpaceDE w:val="0"/>
        <w:autoSpaceDN w:val="0"/>
        <w:adjustRightInd w:val="0"/>
        <w:jc w:val="both"/>
        <w:rPr>
          <w:lang w:val="en-GB"/>
        </w:rPr>
      </w:pPr>
      <w:r>
        <w:rPr>
          <w:lang w:val="en-GB"/>
        </w:rPr>
        <w:t>[13]</w:t>
      </w:r>
      <w:r>
        <w:rPr>
          <w:lang w:val="en-GB"/>
        </w:rPr>
        <w:tab/>
      </w:r>
      <w:r w:rsidR="005348CA" w:rsidRPr="004231F4">
        <w:rPr>
          <w:lang w:val="en-GB"/>
        </w:rPr>
        <w:t>I</w:t>
      </w:r>
      <w:r w:rsidR="00435446" w:rsidRPr="004231F4">
        <w:rPr>
          <w:lang w:val="en-GB"/>
        </w:rPr>
        <w:t>n the present instance</w:t>
      </w:r>
      <w:r w:rsidR="006C010B" w:rsidRPr="004231F4">
        <w:rPr>
          <w:lang w:val="en-GB"/>
        </w:rPr>
        <w:t>, however,</w:t>
      </w:r>
      <w:r w:rsidR="00435446" w:rsidRPr="004231F4">
        <w:rPr>
          <w:lang w:val="en-GB"/>
        </w:rPr>
        <w:t xml:space="preserve"> it cannot be said that the applicant is able to pursue recourse to the committee without impediment.</w:t>
      </w:r>
      <w:r w:rsidR="00435446">
        <w:rPr>
          <w:rStyle w:val="FootnoteReference"/>
          <w:lang w:val="en-GB"/>
        </w:rPr>
        <w:footnoteReference w:id="19"/>
      </w:r>
      <w:r w:rsidR="00B65F93" w:rsidRPr="004231F4">
        <w:rPr>
          <w:lang w:val="en-GB"/>
        </w:rPr>
        <w:t xml:space="preserve"> This is borne out by the respondents’ argument that the Minister ought to have been joined, in order to </w:t>
      </w:r>
      <w:r w:rsidR="00AA4ACC" w:rsidRPr="004231F4">
        <w:rPr>
          <w:lang w:val="en-GB"/>
        </w:rPr>
        <w:t xml:space="preserve">fast-track the </w:t>
      </w:r>
      <w:r w:rsidR="00176849" w:rsidRPr="004231F4">
        <w:rPr>
          <w:lang w:val="en-GB"/>
        </w:rPr>
        <w:t xml:space="preserve">establishment of the committee. </w:t>
      </w:r>
      <w:r w:rsidR="00C0071F" w:rsidRPr="004231F4">
        <w:rPr>
          <w:lang w:val="en-GB"/>
        </w:rPr>
        <w:t xml:space="preserve">Absent its operationalisation, it cannot be said that the internal appeal to the committee would be effective, as opposed to futile, thereby justifying </w:t>
      </w:r>
      <w:r w:rsidR="00C07E62" w:rsidRPr="004231F4">
        <w:rPr>
          <w:lang w:val="en-GB"/>
        </w:rPr>
        <w:t>this bypass.</w:t>
      </w:r>
      <w:r w:rsidR="00A70479">
        <w:rPr>
          <w:rStyle w:val="FootnoteReference"/>
          <w:lang w:val="en-GB"/>
        </w:rPr>
        <w:footnoteReference w:id="20"/>
      </w:r>
      <w:r w:rsidR="00002A22" w:rsidRPr="004231F4">
        <w:rPr>
          <w:lang w:val="en-GB"/>
        </w:rPr>
        <w:t xml:space="preserve"> </w:t>
      </w:r>
      <w:r w:rsidR="00263F3B" w:rsidRPr="004231F4">
        <w:rPr>
          <w:lang w:val="en-GB"/>
        </w:rPr>
        <w:t>This is because the committee is seemingly not functioning.</w:t>
      </w:r>
      <w:r w:rsidR="00032E36" w:rsidRPr="004231F4">
        <w:rPr>
          <w:lang w:val="en-GB"/>
        </w:rPr>
        <w:t xml:space="preserve"> The process of appointing its members seems to have been started, but there is no guarantee that it will be completed imminently</w:t>
      </w:r>
      <w:r w:rsidR="007B230B" w:rsidRPr="004231F4">
        <w:rPr>
          <w:lang w:val="en-GB"/>
        </w:rPr>
        <w:t>, particularly considering the statutorily prescribed process for appointing members</w:t>
      </w:r>
      <w:r w:rsidR="007B0999" w:rsidRPr="004231F4">
        <w:rPr>
          <w:lang w:val="en-GB"/>
        </w:rPr>
        <w:t xml:space="preserve"> described above</w:t>
      </w:r>
      <w:r w:rsidR="007B230B" w:rsidRPr="004231F4">
        <w:rPr>
          <w:lang w:val="en-GB"/>
        </w:rPr>
        <w:t>.</w:t>
      </w:r>
      <w:r w:rsidR="004F3827" w:rsidRPr="004231F4">
        <w:rPr>
          <w:lang w:val="en-GB"/>
        </w:rPr>
        <w:t xml:space="preserve"> The </w:t>
      </w:r>
      <w:r w:rsidR="004F3827" w:rsidRPr="004231F4">
        <w:rPr>
          <w:lang w:val="en-GB"/>
        </w:rPr>
        <w:lastRenderedPageBreak/>
        <w:t>department concedes that it may not be established during the course of this month</w:t>
      </w:r>
      <w:r w:rsidR="009934A3" w:rsidRPr="004231F4">
        <w:rPr>
          <w:lang w:val="en-GB"/>
        </w:rPr>
        <w:t xml:space="preserve"> or next month</w:t>
      </w:r>
      <w:r w:rsidR="004F3827" w:rsidRPr="004231F4">
        <w:rPr>
          <w:lang w:val="en-GB"/>
        </w:rPr>
        <w:t xml:space="preserve">, with vague reference to possible challenges beyond its control. </w:t>
      </w:r>
      <w:r w:rsidR="00B20F2D" w:rsidRPr="004231F4">
        <w:rPr>
          <w:lang w:val="en-GB"/>
        </w:rPr>
        <w:t>These constitute exceptional</w:t>
      </w:r>
      <w:r w:rsidR="00FF6310" w:rsidRPr="004231F4">
        <w:rPr>
          <w:lang w:val="en-GB"/>
        </w:rPr>
        <w:t xml:space="preserve"> circumstances, </w:t>
      </w:r>
      <w:r w:rsidR="00B20F2D" w:rsidRPr="004231F4">
        <w:rPr>
          <w:lang w:val="en-GB"/>
        </w:rPr>
        <w:t xml:space="preserve">where </w:t>
      </w:r>
      <w:r w:rsidR="00FF6310" w:rsidRPr="004231F4">
        <w:rPr>
          <w:lang w:val="en-GB"/>
        </w:rPr>
        <w:t xml:space="preserve">there is a real risk that the </w:t>
      </w:r>
      <w:r w:rsidR="00806BA0" w:rsidRPr="004231F4">
        <w:rPr>
          <w:lang w:val="en-GB"/>
        </w:rPr>
        <w:t xml:space="preserve">suspension will lapse by time any </w:t>
      </w:r>
      <w:r w:rsidR="00FF6310" w:rsidRPr="004231F4">
        <w:rPr>
          <w:lang w:val="en-GB"/>
        </w:rPr>
        <w:t>appeal to the committee</w:t>
      </w:r>
      <w:r w:rsidR="00806BA0" w:rsidRPr="004231F4">
        <w:rPr>
          <w:lang w:val="en-GB"/>
        </w:rPr>
        <w:t xml:space="preserve"> is heard and determined, rendering this avenue illusory. </w:t>
      </w:r>
      <w:r w:rsidR="0080429D" w:rsidRPr="004231F4">
        <w:rPr>
          <w:lang w:val="en-GB"/>
        </w:rPr>
        <w:t xml:space="preserve">An </w:t>
      </w:r>
      <w:r w:rsidR="00B20F2D" w:rsidRPr="004231F4">
        <w:rPr>
          <w:lang w:val="en-GB"/>
        </w:rPr>
        <w:t>exemption</w:t>
      </w:r>
      <w:r w:rsidR="0080429D" w:rsidRPr="004231F4">
        <w:rPr>
          <w:lang w:val="en-GB"/>
        </w:rPr>
        <w:t xml:space="preserve"> is, therefore, justified. </w:t>
      </w:r>
      <w:r w:rsidR="00002A22" w:rsidRPr="004231F4">
        <w:rPr>
          <w:lang w:val="en-GB"/>
        </w:rPr>
        <w:t>It may be added, in support of this outcome, that cases have confirmed that courts should ‘incline to an interpretation of the facts and the law that promotes, rather than hampers, access to the courts’.</w:t>
      </w:r>
      <w:r w:rsidR="00E2413E">
        <w:rPr>
          <w:rStyle w:val="FootnoteReference"/>
          <w:lang w:val="en-GB"/>
        </w:rPr>
        <w:footnoteReference w:id="21"/>
      </w:r>
    </w:p>
    <w:p w14:paraId="05A7F3DC" w14:textId="77777777" w:rsidR="00FF6310" w:rsidRDefault="00FF6310" w:rsidP="00A75392">
      <w:pPr>
        <w:pStyle w:val="ListParagraph"/>
        <w:autoSpaceDE w:val="0"/>
        <w:autoSpaceDN w:val="0"/>
        <w:adjustRightInd w:val="0"/>
        <w:ind w:left="0"/>
        <w:jc w:val="both"/>
        <w:rPr>
          <w:lang w:val="en-GB"/>
        </w:rPr>
      </w:pPr>
    </w:p>
    <w:p w14:paraId="197078D0" w14:textId="51C3E802" w:rsidR="00770D30" w:rsidRPr="004231F4" w:rsidRDefault="004231F4" w:rsidP="004231F4">
      <w:pPr>
        <w:autoSpaceDE w:val="0"/>
        <w:autoSpaceDN w:val="0"/>
        <w:adjustRightInd w:val="0"/>
        <w:jc w:val="both"/>
        <w:rPr>
          <w:lang w:val="en-GB"/>
        </w:rPr>
      </w:pPr>
      <w:r>
        <w:rPr>
          <w:lang w:val="en-GB"/>
        </w:rPr>
        <w:t>[14]</w:t>
      </w:r>
      <w:r>
        <w:rPr>
          <w:lang w:val="en-GB"/>
        </w:rPr>
        <w:tab/>
      </w:r>
      <w:r w:rsidR="00B84C4E" w:rsidRPr="004231F4">
        <w:rPr>
          <w:lang w:val="en-GB"/>
        </w:rPr>
        <w:t>This finding disposes of the respondents’ argument that the applicant will be afforded a substantial hearing in due course</w:t>
      </w:r>
      <w:r w:rsidR="001D5593" w:rsidRPr="004231F4">
        <w:rPr>
          <w:lang w:val="en-GB"/>
        </w:rPr>
        <w:t>, so that the application is premature.</w:t>
      </w:r>
      <w:r w:rsidR="006A23C7" w:rsidRPr="004231F4">
        <w:rPr>
          <w:lang w:val="en-GB"/>
        </w:rPr>
        <w:t xml:space="preserve"> Given that there exist exceptional circumstances to exempt the applicant from the obligation to exhaust the </w:t>
      </w:r>
      <w:r w:rsidR="00C2113E" w:rsidRPr="004231F4">
        <w:rPr>
          <w:lang w:val="en-GB"/>
        </w:rPr>
        <w:t>appeal to the committee</w:t>
      </w:r>
      <w:r w:rsidR="00C02716" w:rsidRPr="004231F4">
        <w:rPr>
          <w:lang w:val="en-GB"/>
        </w:rPr>
        <w:t xml:space="preserve">, which is a case made out on the papers, it would make little sense to compel the </w:t>
      </w:r>
      <w:r w:rsidR="00E85607" w:rsidRPr="004231F4">
        <w:rPr>
          <w:lang w:val="en-GB"/>
        </w:rPr>
        <w:t xml:space="preserve">applicant to have </w:t>
      </w:r>
      <w:r w:rsidR="00C02716" w:rsidRPr="004231F4">
        <w:rPr>
          <w:lang w:val="en-GB"/>
        </w:rPr>
        <w:t>join</w:t>
      </w:r>
      <w:r w:rsidR="00E85607" w:rsidRPr="004231F4">
        <w:rPr>
          <w:lang w:val="en-GB"/>
        </w:rPr>
        <w:t>ed</w:t>
      </w:r>
      <w:r w:rsidR="00C02716" w:rsidRPr="004231F4">
        <w:rPr>
          <w:lang w:val="en-GB"/>
        </w:rPr>
        <w:t xml:space="preserve"> the Minister</w:t>
      </w:r>
      <w:r w:rsidR="00E85607" w:rsidRPr="004231F4">
        <w:rPr>
          <w:lang w:val="en-GB"/>
        </w:rPr>
        <w:t xml:space="preserve">. </w:t>
      </w:r>
      <w:r w:rsidR="00002076" w:rsidRPr="004231F4">
        <w:rPr>
          <w:lang w:val="en-GB"/>
        </w:rPr>
        <w:t xml:space="preserve">Whether this would result in progress in establishing the committee is speculation. </w:t>
      </w:r>
      <w:r w:rsidR="00C5740D" w:rsidRPr="004231F4">
        <w:rPr>
          <w:lang w:val="en-GB"/>
        </w:rPr>
        <w:t xml:space="preserve">The point is that it is not obligatory for the applicant to take steps to ensure the establishment of the committee in an instance where he seeks urgent relief relating to the suspension of his licence, and where an internal remedy </w:t>
      </w:r>
      <w:r w:rsidR="00983D9E" w:rsidRPr="004231F4">
        <w:rPr>
          <w:lang w:val="en-GB"/>
        </w:rPr>
        <w:t xml:space="preserve">is presently unavailable. </w:t>
      </w:r>
      <w:r w:rsidR="0008078B" w:rsidRPr="004231F4">
        <w:rPr>
          <w:lang w:val="en-GB"/>
        </w:rPr>
        <w:t xml:space="preserve">Significantly, part of the main relief sought in part B of the application is for a declaration that the applicant is exempted, to the extent necessary, from the obligation to exhaust any internal remedies in terms of the Act. The remaining relief pertains to review of the second and third respondents’ decisions. Only in alternative relief </w:t>
      </w:r>
      <w:r w:rsidR="0050280B" w:rsidRPr="004231F4">
        <w:rPr>
          <w:lang w:val="en-GB"/>
        </w:rPr>
        <w:t>was</w:t>
      </w:r>
      <w:r w:rsidR="0008078B" w:rsidRPr="004231F4">
        <w:rPr>
          <w:lang w:val="en-GB"/>
        </w:rPr>
        <w:t xml:space="preserve"> mention made of the fourth respondent</w:t>
      </w:r>
      <w:r w:rsidR="00644DD5" w:rsidRPr="004231F4">
        <w:rPr>
          <w:lang w:val="en-GB"/>
        </w:rPr>
        <w:t xml:space="preserve"> and it may be accepted, for present purposes, that it is for the Minister and department to constitute this body.</w:t>
      </w:r>
    </w:p>
    <w:p w14:paraId="0B35B1ED" w14:textId="77777777" w:rsidR="00B53CFB" w:rsidRDefault="00B53CFB" w:rsidP="00B53CFB">
      <w:pPr>
        <w:pStyle w:val="ListParagraph"/>
        <w:autoSpaceDE w:val="0"/>
        <w:autoSpaceDN w:val="0"/>
        <w:adjustRightInd w:val="0"/>
        <w:ind w:left="0"/>
        <w:jc w:val="both"/>
        <w:rPr>
          <w:lang w:val="en-GB"/>
        </w:rPr>
      </w:pPr>
    </w:p>
    <w:p w14:paraId="7D02169F" w14:textId="3E54E8FD" w:rsidR="00B53CFB" w:rsidRPr="004231F4" w:rsidRDefault="004231F4" w:rsidP="004231F4">
      <w:pPr>
        <w:autoSpaceDE w:val="0"/>
        <w:autoSpaceDN w:val="0"/>
        <w:adjustRightInd w:val="0"/>
        <w:jc w:val="both"/>
        <w:rPr>
          <w:lang w:val="en-GB"/>
        </w:rPr>
      </w:pPr>
      <w:r w:rsidRPr="00A75392">
        <w:rPr>
          <w:lang w:val="en-GB"/>
        </w:rPr>
        <w:t>[15]</w:t>
      </w:r>
      <w:r w:rsidRPr="00A75392">
        <w:rPr>
          <w:lang w:val="en-GB"/>
        </w:rPr>
        <w:tab/>
      </w:r>
      <w:r w:rsidR="00B53CFB" w:rsidRPr="004231F4">
        <w:rPr>
          <w:lang w:val="en-GB"/>
        </w:rPr>
        <w:t xml:space="preserve">The remaining basis of opposition is that the applicant has not made out a </w:t>
      </w:r>
      <w:r w:rsidR="00B53CFB" w:rsidRPr="004231F4">
        <w:rPr>
          <w:i/>
          <w:iCs/>
          <w:lang w:val="en-GB"/>
        </w:rPr>
        <w:t>prima facie</w:t>
      </w:r>
      <w:r w:rsidR="00B53CFB" w:rsidRPr="004231F4">
        <w:rPr>
          <w:lang w:val="en-GB"/>
        </w:rPr>
        <w:t xml:space="preserve"> case for success in the review application</w:t>
      </w:r>
      <w:r w:rsidR="001D486F" w:rsidRPr="004231F4">
        <w:rPr>
          <w:lang w:val="en-GB"/>
        </w:rPr>
        <w:t>.</w:t>
      </w:r>
    </w:p>
    <w:p w14:paraId="5EE1C204" w14:textId="77777777" w:rsidR="004C1FFB" w:rsidRPr="0050428E" w:rsidRDefault="004C1FFB" w:rsidP="004C1FFB">
      <w:pPr>
        <w:pStyle w:val="ListParagraph"/>
        <w:autoSpaceDE w:val="0"/>
        <w:autoSpaceDN w:val="0"/>
        <w:adjustRightInd w:val="0"/>
        <w:ind w:left="0"/>
        <w:jc w:val="both"/>
        <w:rPr>
          <w:lang w:val="en-GB"/>
        </w:rPr>
      </w:pPr>
    </w:p>
    <w:p w14:paraId="14F37C69" w14:textId="7C9962ED" w:rsidR="00AA3BEA" w:rsidRPr="0050428E" w:rsidRDefault="00AA3BEA" w:rsidP="0050428E">
      <w:pPr>
        <w:autoSpaceDE w:val="0"/>
        <w:autoSpaceDN w:val="0"/>
        <w:adjustRightInd w:val="0"/>
        <w:jc w:val="both"/>
        <w:rPr>
          <w:b/>
          <w:bCs/>
          <w:lang w:val="en-GB"/>
        </w:rPr>
      </w:pPr>
      <w:r w:rsidRPr="0050428E">
        <w:rPr>
          <w:b/>
          <w:bCs/>
          <w:lang w:val="en-GB"/>
        </w:rPr>
        <w:t>Applications for interim relief</w:t>
      </w:r>
    </w:p>
    <w:p w14:paraId="237518FB" w14:textId="77777777" w:rsidR="00AA3BEA" w:rsidRPr="0050428E" w:rsidRDefault="00AA3BEA" w:rsidP="0050428E">
      <w:pPr>
        <w:autoSpaceDE w:val="0"/>
        <w:autoSpaceDN w:val="0"/>
        <w:adjustRightInd w:val="0"/>
        <w:jc w:val="both"/>
        <w:rPr>
          <w:b/>
          <w:bCs/>
          <w:lang w:val="en-GB"/>
        </w:rPr>
      </w:pPr>
    </w:p>
    <w:p w14:paraId="351BF065" w14:textId="08B356EC" w:rsidR="00F82549" w:rsidRPr="004231F4" w:rsidRDefault="004231F4" w:rsidP="004231F4">
      <w:pPr>
        <w:autoSpaceDE w:val="0"/>
        <w:autoSpaceDN w:val="0"/>
        <w:adjustRightInd w:val="0"/>
        <w:jc w:val="both"/>
        <w:rPr>
          <w:lang w:val="en-GB"/>
        </w:rPr>
      </w:pPr>
      <w:r>
        <w:rPr>
          <w:lang w:val="en-GB"/>
        </w:rPr>
        <w:t>[16]</w:t>
      </w:r>
      <w:r>
        <w:rPr>
          <w:lang w:val="en-GB"/>
        </w:rPr>
        <w:tab/>
      </w:r>
      <w:r w:rsidR="00C57A2D" w:rsidRPr="004231F4">
        <w:rPr>
          <w:lang w:val="en-GB"/>
        </w:rPr>
        <w:t>A</w:t>
      </w:r>
      <w:r w:rsidR="00F82549" w:rsidRPr="004231F4">
        <w:rPr>
          <w:lang w:val="en-GB"/>
        </w:rPr>
        <w:t>pplicants seek</w:t>
      </w:r>
      <w:r w:rsidR="00C57A2D" w:rsidRPr="004231F4">
        <w:rPr>
          <w:lang w:val="en-GB"/>
        </w:rPr>
        <w:t>ing</w:t>
      </w:r>
      <w:r w:rsidR="00F82549" w:rsidRPr="004231F4">
        <w:rPr>
          <w:lang w:val="en-GB"/>
        </w:rPr>
        <w:t xml:space="preserve"> interim relief</w:t>
      </w:r>
      <w:r w:rsidR="00D54045" w:rsidRPr="004231F4">
        <w:rPr>
          <w:lang w:val="en-GB"/>
        </w:rPr>
        <w:t xml:space="preserve"> </w:t>
      </w:r>
      <w:r w:rsidR="00F82549" w:rsidRPr="004231F4">
        <w:rPr>
          <w:lang w:val="en-GB"/>
        </w:rPr>
        <w:t>must establish:</w:t>
      </w:r>
      <w:r w:rsidR="00F82549" w:rsidRPr="0050428E">
        <w:rPr>
          <w:rStyle w:val="FootnoteReference"/>
          <w:lang w:val="en-GB"/>
        </w:rPr>
        <w:footnoteReference w:id="22"/>
      </w:r>
    </w:p>
    <w:p w14:paraId="6F2B69B7" w14:textId="77777777" w:rsidR="007A0FCD" w:rsidRDefault="007A0FCD" w:rsidP="007A0FCD">
      <w:pPr>
        <w:pStyle w:val="ListParagraph"/>
        <w:autoSpaceDE w:val="0"/>
        <w:autoSpaceDN w:val="0"/>
        <w:adjustRightInd w:val="0"/>
        <w:ind w:left="0"/>
        <w:jc w:val="both"/>
        <w:rPr>
          <w:lang w:val="en-GB"/>
        </w:rPr>
      </w:pPr>
    </w:p>
    <w:p w14:paraId="0BE22D0F" w14:textId="7FE71495" w:rsidR="00F82549" w:rsidRPr="004231F4" w:rsidRDefault="004231F4" w:rsidP="004231F4">
      <w:pPr>
        <w:autoSpaceDE w:val="0"/>
        <w:autoSpaceDN w:val="0"/>
        <w:adjustRightInd w:val="0"/>
        <w:ind w:left="567" w:hanging="567"/>
        <w:jc w:val="both"/>
        <w:rPr>
          <w:lang w:val="en-GB"/>
        </w:rPr>
      </w:pPr>
      <w:r>
        <w:rPr>
          <w:lang w:val="en-GB"/>
        </w:rPr>
        <w:t>a)</w:t>
      </w:r>
      <w:r>
        <w:rPr>
          <w:lang w:val="en-GB"/>
        </w:rPr>
        <w:tab/>
      </w:r>
      <w:r w:rsidR="00F82549" w:rsidRPr="004231F4">
        <w:rPr>
          <w:lang w:val="en-GB"/>
        </w:rPr>
        <w:t xml:space="preserve">A clear right or, if not clear, that they have a </w:t>
      </w:r>
      <w:r w:rsidR="00F82549" w:rsidRPr="004231F4">
        <w:rPr>
          <w:i/>
          <w:iCs/>
          <w:lang w:val="en-GB"/>
        </w:rPr>
        <w:t>prima facie</w:t>
      </w:r>
      <w:r w:rsidR="00F82549" w:rsidRPr="004231F4">
        <w:rPr>
          <w:lang w:val="en-GB"/>
        </w:rPr>
        <w:t xml:space="preserve"> right;</w:t>
      </w:r>
    </w:p>
    <w:p w14:paraId="7EE74E2B" w14:textId="1B9FE59C" w:rsidR="00F82549" w:rsidRPr="004231F4" w:rsidRDefault="004231F4" w:rsidP="004231F4">
      <w:pPr>
        <w:autoSpaceDE w:val="0"/>
        <w:autoSpaceDN w:val="0"/>
        <w:adjustRightInd w:val="0"/>
        <w:ind w:left="567" w:hanging="567"/>
        <w:jc w:val="both"/>
        <w:rPr>
          <w:lang w:val="en-GB"/>
        </w:rPr>
      </w:pPr>
      <w:r>
        <w:rPr>
          <w:lang w:val="en-GB"/>
        </w:rPr>
        <w:t>b)</w:t>
      </w:r>
      <w:r>
        <w:rPr>
          <w:lang w:val="en-GB"/>
        </w:rPr>
        <w:tab/>
      </w:r>
      <w:r w:rsidR="00F82549" w:rsidRPr="004231F4">
        <w:rPr>
          <w:lang w:val="en-GB"/>
        </w:rPr>
        <w:t xml:space="preserve">That, if the right is only </w:t>
      </w:r>
      <w:r w:rsidR="00F82549" w:rsidRPr="004231F4">
        <w:rPr>
          <w:i/>
          <w:iCs/>
          <w:lang w:val="en-GB"/>
        </w:rPr>
        <w:t xml:space="preserve">prima facie </w:t>
      </w:r>
      <w:r w:rsidR="00F82549" w:rsidRPr="004231F4">
        <w:rPr>
          <w:lang w:val="en-GB"/>
        </w:rPr>
        <w:t>established, there is a well-grounded apprehension of irreparable harm if the interim relief is not granted and the ultimate relief is eventually granted;</w:t>
      </w:r>
    </w:p>
    <w:p w14:paraId="0AAED0E5" w14:textId="18389167" w:rsidR="00F82549" w:rsidRPr="004231F4" w:rsidRDefault="004231F4" w:rsidP="004231F4">
      <w:pPr>
        <w:autoSpaceDE w:val="0"/>
        <w:autoSpaceDN w:val="0"/>
        <w:adjustRightInd w:val="0"/>
        <w:ind w:left="567" w:hanging="567"/>
        <w:jc w:val="both"/>
        <w:rPr>
          <w:lang w:val="en-GB"/>
        </w:rPr>
      </w:pPr>
      <w:r>
        <w:rPr>
          <w:lang w:val="en-GB"/>
        </w:rPr>
        <w:t>c)</w:t>
      </w:r>
      <w:r>
        <w:rPr>
          <w:lang w:val="en-GB"/>
        </w:rPr>
        <w:tab/>
      </w:r>
      <w:r w:rsidR="00F82549" w:rsidRPr="004231F4">
        <w:rPr>
          <w:lang w:val="en-GB"/>
        </w:rPr>
        <w:t>That the balance of convenience favours the grant of an interim interdict; and</w:t>
      </w:r>
    </w:p>
    <w:p w14:paraId="174B4551" w14:textId="6629D2E9" w:rsidR="00F82549" w:rsidRPr="004231F4" w:rsidRDefault="004231F4" w:rsidP="004231F4">
      <w:pPr>
        <w:autoSpaceDE w:val="0"/>
        <w:autoSpaceDN w:val="0"/>
        <w:adjustRightInd w:val="0"/>
        <w:ind w:left="567" w:hanging="567"/>
        <w:jc w:val="both"/>
        <w:rPr>
          <w:lang w:val="en-GB"/>
        </w:rPr>
      </w:pPr>
      <w:r w:rsidRPr="00D02230">
        <w:rPr>
          <w:lang w:val="en-GB"/>
        </w:rPr>
        <w:t>d)</w:t>
      </w:r>
      <w:r w:rsidRPr="00D02230">
        <w:rPr>
          <w:lang w:val="en-GB"/>
        </w:rPr>
        <w:tab/>
      </w:r>
      <w:r w:rsidR="00F82549" w:rsidRPr="004231F4">
        <w:rPr>
          <w:lang w:val="en-GB"/>
        </w:rPr>
        <w:t>That they have no other satisfactory remedy.</w:t>
      </w:r>
    </w:p>
    <w:p w14:paraId="6A890FDE" w14:textId="77777777" w:rsidR="00AA3BEA" w:rsidRPr="0050428E" w:rsidRDefault="00AA3BEA" w:rsidP="0050428E">
      <w:pPr>
        <w:pStyle w:val="ListParagraph"/>
        <w:autoSpaceDE w:val="0"/>
        <w:autoSpaceDN w:val="0"/>
        <w:adjustRightInd w:val="0"/>
        <w:ind w:left="0"/>
        <w:jc w:val="both"/>
        <w:rPr>
          <w:lang w:val="en-GB"/>
        </w:rPr>
      </w:pPr>
    </w:p>
    <w:p w14:paraId="61466F05" w14:textId="75DE04A8" w:rsidR="00F82549" w:rsidRPr="004231F4" w:rsidRDefault="004231F4" w:rsidP="004231F4">
      <w:pPr>
        <w:autoSpaceDE w:val="0"/>
        <w:autoSpaceDN w:val="0"/>
        <w:adjustRightInd w:val="0"/>
        <w:jc w:val="both"/>
        <w:rPr>
          <w:lang w:val="en-GB"/>
        </w:rPr>
      </w:pPr>
      <w:r>
        <w:rPr>
          <w:lang w:val="en-GB"/>
        </w:rPr>
        <w:t>[17]</w:t>
      </w:r>
      <w:r>
        <w:rPr>
          <w:lang w:val="en-GB"/>
        </w:rPr>
        <w:tab/>
      </w:r>
      <w:r w:rsidR="00F82549" w:rsidRPr="004231F4">
        <w:rPr>
          <w:lang w:val="en-GB"/>
        </w:rPr>
        <w:t>In cases where a clear right is not established</w:t>
      </w:r>
      <w:r w:rsidR="007B0F69" w:rsidRPr="004231F4">
        <w:rPr>
          <w:lang w:val="en-GB"/>
        </w:rPr>
        <w:t xml:space="preserve">, </w:t>
      </w:r>
      <w:r w:rsidR="00FB5D5E" w:rsidRPr="004231F4">
        <w:rPr>
          <w:lang w:val="en-GB"/>
        </w:rPr>
        <w:t xml:space="preserve">a </w:t>
      </w:r>
      <w:r w:rsidR="00637995" w:rsidRPr="004231F4">
        <w:rPr>
          <w:lang w:val="en-GB"/>
        </w:rPr>
        <w:t>person seeking</w:t>
      </w:r>
      <w:r w:rsidR="00F82549" w:rsidRPr="004231F4">
        <w:rPr>
          <w:lang w:val="en-GB"/>
        </w:rPr>
        <w:t xml:space="preserve"> interim relief </w:t>
      </w:r>
      <w:r w:rsidR="00637995" w:rsidRPr="004231F4">
        <w:rPr>
          <w:lang w:val="en-GB"/>
        </w:rPr>
        <w:t>is</w:t>
      </w:r>
      <w:r w:rsidR="00F82549" w:rsidRPr="004231F4">
        <w:rPr>
          <w:lang w:val="en-GB"/>
        </w:rPr>
        <w:t xml:space="preserve"> required to establish at least a </w:t>
      </w:r>
      <w:r w:rsidR="00F82549" w:rsidRPr="004231F4">
        <w:rPr>
          <w:i/>
          <w:iCs/>
          <w:lang w:val="en-GB"/>
        </w:rPr>
        <w:t>prima facie</w:t>
      </w:r>
      <w:r w:rsidR="00F82549" w:rsidRPr="004231F4">
        <w:rPr>
          <w:lang w:val="en-GB"/>
        </w:rPr>
        <w:t xml:space="preserve"> right to relief, even if open to some doubt. The</w:t>
      </w:r>
      <w:r w:rsidR="00411B1F" w:rsidRPr="004231F4">
        <w:rPr>
          <w:lang w:val="en-GB"/>
        </w:rPr>
        <w:t xml:space="preserve"> applicant</w:t>
      </w:r>
      <w:r w:rsidR="00F82549" w:rsidRPr="004231F4">
        <w:rPr>
          <w:lang w:val="en-GB"/>
        </w:rPr>
        <w:t xml:space="preserve"> need not establish that right on a balance of probabilities.</w:t>
      </w:r>
      <w:r w:rsidR="00265094" w:rsidRPr="004231F4">
        <w:rPr>
          <w:lang w:val="en-GB"/>
        </w:rPr>
        <w:t xml:space="preserve"> </w:t>
      </w:r>
      <w:r w:rsidR="00F82549" w:rsidRPr="004231F4">
        <w:rPr>
          <w:lang w:val="en-GB"/>
        </w:rPr>
        <w:t xml:space="preserve">The oft-quoted passage from </w:t>
      </w:r>
      <w:r w:rsidR="00F82549" w:rsidRPr="004231F4">
        <w:rPr>
          <w:i/>
          <w:iCs/>
          <w:lang w:val="en-GB"/>
        </w:rPr>
        <w:t xml:space="preserve">Webster v Mitchell </w:t>
      </w:r>
      <w:r w:rsidR="00F82549" w:rsidRPr="004231F4">
        <w:rPr>
          <w:lang w:val="en-GB"/>
        </w:rPr>
        <w:t>explains the enquiry as follows:</w:t>
      </w:r>
      <w:r w:rsidR="00F82549" w:rsidRPr="0050428E">
        <w:rPr>
          <w:rStyle w:val="FootnoteReference"/>
          <w:lang w:val="en-GB"/>
        </w:rPr>
        <w:footnoteReference w:id="23"/>
      </w:r>
    </w:p>
    <w:p w14:paraId="25EE92F2" w14:textId="77777777" w:rsidR="007A0FCD" w:rsidRPr="00265094" w:rsidRDefault="007A0FCD" w:rsidP="007A0FCD">
      <w:pPr>
        <w:pStyle w:val="ListParagraph"/>
        <w:autoSpaceDE w:val="0"/>
        <w:autoSpaceDN w:val="0"/>
        <w:adjustRightInd w:val="0"/>
        <w:ind w:left="0"/>
        <w:jc w:val="both"/>
        <w:rPr>
          <w:lang w:val="en-GB"/>
        </w:rPr>
      </w:pPr>
    </w:p>
    <w:p w14:paraId="661DF904" w14:textId="77777777" w:rsidR="00F82549" w:rsidRPr="00566F83" w:rsidRDefault="00F82549" w:rsidP="00566F83">
      <w:pPr>
        <w:ind w:right="89"/>
        <w:jc w:val="both"/>
        <w:rPr>
          <w:sz w:val="22"/>
          <w:szCs w:val="22"/>
          <w:lang w:val="en-GB"/>
        </w:rPr>
      </w:pPr>
      <w:r w:rsidRPr="00566F83">
        <w:rPr>
          <w:sz w:val="22"/>
          <w:szCs w:val="22"/>
          <w:lang w:val="en-GB"/>
        </w:rPr>
        <w:t xml:space="preserve">‘In the grant of a temporary interdict, apart from prejudice involved, the first question for the Court…is whether, if interim protection is given, the applicant could ever obtain the rights he seeks to protect. </w:t>
      </w:r>
      <w:r w:rsidRPr="00566F83">
        <w:rPr>
          <w:i/>
          <w:iCs/>
          <w:sz w:val="22"/>
          <w:szCs w:val="22"/>
          <w:lang w:val="en-GB"/>
        </w:rPr>
        <w:t>Prima facie</w:t>
      </w:r>
      <w:r w:rsidRPr="00566F83">
        <w:rPr>
          <w:sz w:val="22"/>
          <w:szCs w:val="22"/>
          <w:lang w:val="en-GB"/>
        </w:rPr>
        <w:t xml:space="preserve"> that has to be shown. The use of the phrase “</w:t>
      </w:r>
      <w:r w:rsidRPr="00566F83">
        <w:rPr>
          <w:i/>
          <w:iCs/>
          <w:sz w:val="22"/>
          <w:szCs w:val="22"/>
          <w:lang w:val="en-GB"/>
        </w:rPr>
        <w:t xml:space="preserve">prima facie </w:t>
      </w:r>
      <w:r w:rsidRPr="00566F83">
        <w:rPr>
          <w:sz w:val="22"/>
          <w:szCs w:val="22"/>
          <w:lang w:val="en-GB"/>
        </w:rPr>
        <w:t>established though open to some doubt” indicates…that more is required than merely to look at the allegations of the applicant, but something short of a weighing up of the probabilities of conflicting versions is required. The proper manner of approach…is to take the facts as set out by the applicant, together with any facts set out by the respondent which the applicant cannot dispute, and to consider whether, having regard to the inherent probabilities, the applicant could on those facts obtain final relief…The facts set up in contradiction by the respondent should then be considered. If serious doubt is thrown on the case of the applicant he could not succeed in obtaining temporary relief…But if there is mere contradiction, or unconvincing explanation, the matter should be left to trial and the right be protected in the meanwhile, subject of course to the respective prejudice in the grant or refusal of interim relief…the position of the respondent is protected because…the test whether or not temporary relief is to be granted is the harm which will be done…’</w:t>
      </w:r>
    </w:p>
    <w:p w14:paraId="15718156" w14:textId="77777777" w:rsidR="008C2676" w:rsidRPr="0050428E" w:rsidRDefault="008C2676" w:rsidP="0050428E">
      <w:pPr>
        <w:pStyle w:val="ListParagraph"/>
        <w:autoSpaceDE w:val="0"/>
        <w:autoSpaceDN w:val="0"/>
        <w:adjustRightInd w:val="0"/>
        <w:ind w:left="0"/>
        <w:jc w:val="both"/>
        <w:rPr>
          <w:lang w:val="en-GB"/>
        </w:rPr>
      </w:pPr>
    </w:p>
    <w:p w14:paraId="07C5A4BE" w14:textId="32561567" w:rsidR="00F82549" w:rsidRPr="004231F4" w:rsidRDefault="004231F4" w:rsidP="004231F4">
      <w:pPr>
        <w:autoSpaceDE w:val="0"/>
        <w:autoSpaceDN w:val="0"/>
        <w:adjustRightInd w:val="0"/>
        <w:jc w:val="both"/>
        <w:rPr>
          <w:lang w:val="en-GB"/>
        </w:rPr>
      </w:pPr>
      <w:r w:rsidRPr="0050428E">
        <w:rPr>
          <w:lang w:val="en-GB"/>
        </w:rPr>
        <w:t>[18]</w:t>
      </w:r>
      <w:r w:rsidRPr="0050428E">
        <w:rPr>
          <w:lang w:val="en-GB"/>
        </w:rPr>
        <w:tab/>
      </w:r>
      <w:r w:rsidR="00F82549" w:rsidRPr="004231F4">
        <w:rPr>
          <w:lang w:val="en-GB"/>
        </w:rPr>
        <w:t xml:space="preserve">That enquiry has subsequently been refined, so that the test is now whether the applicant </w:t>
      </w:r>
      <w:r w:rsidR="00F82549" w:rsidRPr="004231F4">
        <w:rPr>
          <w:i/>
          <w:iCs/>
          <w:lang w:val="en-GB"/>
        </w:rPr>
        <w:t xml:space="preserve">should </w:t>
      </w:r>
      <w:r w:rsidR="00F82549" w:rsidRPr="004231F4">
        <w:rPr>
          <w:lang w:val="en-GB"/>
        </w:rPr>
        <w:t>(not could) obtain final relief on those facts.</w:t>
      </w:r>
      <w:r w:rsidR="00F82549" w:rsidRPr="0050428E">
        <w:rPr>
          <w:rStyle w:val="FootnoteReference"/>
          <w:lang w:val="en-GB"/>
        </w:rPr>
        <w:footnoteReference w:id="24"/>
      </w:r>
    </w:p>
    <w:p w14:paraId="4D815FF0" w14:textId="77777777" w:rsidR="008C2676" w:rsidRPr="0050428E" w:rsidRDefault="008C2676" w:rsidP="0050428E">
      <w:pPr>
        <w:pStyle w:val="ListParagraph"/>
        <w:autoSpaceDE w:val="0"/>
        <w:autoSpaceDN w:val="0"/>
        <w:adjustRightInd w:val="0"/>
        <w:ind w:left="0"/>
        <w:jc w:val="both"/>
        <w:rPr>
          <w:lang w:val="en-GB"/>
        </w:rPr>
      </w:pPr>
    </w:p>
    <w:p w14:paraId="77A4EBBC" w14:textId="55039D7B" w:rsidR="00F82549" w:rsidRPr="004231F4" w:rsidRDefault="004231F4" w:rsidP="004231F4">
      <w:pPr>
        <w:autoSpaceDE w:val="0"/>
        <w:autoSpaceDN w:val="0"/>
        <w:adjustRightInd w:val="0"/>
        <w:jc w:val="both"/>
        <w:rPr>
          <w:lang w:val="en-GB"/>
        </w:rPr>
      </w:pPr>
      <w:r w:rsidRPr="0050428E">
        <w:rPr>
          <w:lang w:val="en-GB"/>
        </w:rPr>
        <w:lastRenderedPageBreak/>
        <w:t>[19]</w:t>
      </w:r>
      <w:r w:rsidRPr="0050428E">
        <w:rPr>
          <w:lang w:val="en-GB"/>
        </w:rPr>
        <w:tab/>
      </w:r>
      <w:r w:rsidR="00F82549" w:rsidRPr="004231F4">
        <w:rPr>
          <w:lang w:val="en-GB"/>
        </w:rPr>
        <w:t xml:space="preserve">Irreparable harm is an element in cases where the right asserted by the applicants, though </w:t>
      </w:r>
      <w:r w:rsidR="00F82549" w:rsidRPr="004231F4">
        <w:rPr>
          <w:i/>
          <w:iCs/>
          <w:lang w:val="en-GB"/>
        </w:rPr>
        <w:t xml:space="preserve">prima facie </w:t>
      </w:r>
      <w:r w:rsidR="00F82549" w:rsidRPr="004231F4">
        <w:rPr>
          <w:lang w:val="en-GB"/>
        </w:rPr>
        <w:t>established, is open to some doubt. In such cases, the accepted test to be applied is whether the continuance of the thing against which an interdict is sought would cause irreparable injury to the applicant. If so, the better course is to grant the relief, but only if the discontinuance of the act complained of would not involve irreparable injury to the respondent.</w:t>
      </w:r>
      <w:r w:rsidR="00F82549" w:rsidRPr="0050428E">
        <w:rPr>
          <w:rStyle w:val="FootnoteReference"/>
          <w:lang w:val="en-GB"/>
        </w:rPr>
        <w:footnoteReference w:id="25"/>
      </w:r>
      <w:r w:rsidR="00F82549" w:rsidRPr="004231F4">
        <w:rPr>
          <w:lang w:val="en-GB"/>
        </w:rPr>
        <w:t xml:space="preserve"> As to the balance of convenience, </w:t>
      </w:r>
      <w:r w:rsidR="00F82549" w:rsidRPr="004231F4">
        <w:rPr>
          <w:i/>
          <w:iCs/>
          <w:lang w:val="en-GB"/>
        </w:rPr>
        <w:t>Webster v Mitchell</w:t>
      </w:r>
      <w:r w:rsidR="00F82549" w:rsidRPr="004231F4">
        <w:rPr>
          <w:lang w:val="en-GB"/>
        </w:rPr>
        <w:t xml:space="preserve"> goes as far as to state that if there is greater possible prejudice to the respondent an interim interdict will be refused.</w:t>
      </w:r>
      <w:r w:rsidR="00F82549" w:rsidRPr="0050428E">
        <w:rPr>
          <w:rStyle w:val="FootnoteReference"/>
          <w:lang w:val="en-GB"/>
        </w:rPr>
        <w:footnoteReference w:id="26"/>
      </w:r>
      <w:r w:rsidR="00F82549" w:rsidRPr="004231F4">
        <w:rPr>
          <w:lang w:val="en-GB"/>
        </w:rPr>
        <w:t xml:space="preserve"> </w:t>
      </w:r>
    </w:p>
    <w:p w14:paraId="008D9369" w14:textId="77777777" w:rsidR="00891DDC" w:rsidRPr="0050428E" w:rsidRDefault="00891DDC" w:rsidP="0050428E">
      <w:pPr>
        <w:pStyle w:val="ListParagraph"/>
        <w:rPr>
          <w:lang w:val="en-GB"/>
        </w:rPr>
      </w:pPr>
    </w:p>
    <w:p w14:paraId="6EB65602" w14:textId="2DD7A1E9" w:rsidR="0094007A" w:rsidRPr="004231F4" w:rsidRDefault="004231F4" w:rsidP="004231F4">
      <w:pPr>
        <w:autoSpaceDE w:val="0"/>
        <w:autoSpaceDN w:val="0"/>
        <w:adjustRightInd w:val="0"/>
        <w:jc w:val="both"/>
        <w:rPr>
          <w:lang w:val="en-GB"/>
        </w:rPr>
      </w:pPr>
      <w:r w:rsidRPr="007C142C">
        <w:rPr>
          <w:lang w:val="en-GB"/>
        </w:rPr>
        <w:t>[20]</w:t>
      </w:r>
      <w:r w:rsidRPr="007C142C">
        <w:rPr>
          <w:lang w:val="en-GB"/>
        </w:rPr>
        <w:tab/>
      </w:r>
      <w:r w:rsidR="0094007A" w:rsidRPr="004231F4">
        <w:rPr>
          <w:lang w:val="en-US"/>
        </w:rPr>
        <w:t xml:space="preserve">In </w:t>
      </w:r>
      <w:r w:rsidR="0094007A" w:rsidRPr="004231F4">
        <w:rPr>
          <w:i/>
          <w:iCs/>
          <w:lang w:val="en-US"/>
        </w:rPr>
        <w:t>Eriksen Ltd v Protea Motors and Another</w:t>
      </w:r>
      <w:r w:rsidR="0094007A" w:rsidRPr="004231F4">
        <w:rPr>
          <w:lang w:val="en-US"/>
        </w:rPr>
        <w:t>,</w:t>
      </w:r>
      <w:r w:rsidR="0094007A" w:rsidRPr="0050428E">
        <w:rPr>
          <w:rStyle w:val="FootnoteReference"/>
          <w:lang w:val="en-US"/>
        </w:rPr>
        <w:footnoteReference w:id="27"/>
      </w:r>
      <w:r w:rsidR="0094007A" w:rsidRPr="004231F4">
        <w:rPr>
          <w:lang w:val="en-US"/>
        </w:rPr>
        <w:t xml:space="preserve"> Holmes JA stated as follows:</w:t>
      </w:r>
    </w:p>
    <w:p w14:paraId="640E8D1A" w14:textId="77777777" w:rsidR="0094007A" w:rsidRPr="0050428E" w:rsidRDefault="0094007A" w:rsidP="0050428E">
      <w:pPr>
        <w:pStyle w:val="ListParagraph"/>
        <w:jc w:val="both"/>
        <w:rPr>
          <w:lang w:val="en-US"/>
        </w:rPr>
      </w:pPr>
    </w:p>
    <w:p w14:paraId="1D47FA63" w14:textId="6B89D49A" w:rsidR="0094007A" w:rsidRPr="00683B9D" w:rsidRDefault="0094007A" w:rsidP="00683B9D">
      <w:pPr>
        <w:ind w:right="-52"/>
        <w:jc w:val="both"/>
        <w:rPr>
          <w:sz w:val="22"/>
          <w:szCs w:val="22"/>
          <w:lang w:val="en-US"/>
        </w:rPr>
      </w:pPr>
      <w:r w:rsidRPr="00683B9D">
        <w:rPr>
          <w:sz w:val="22"/>
          <w:szCs w:val="22"/>
          <w:lang w:val="en-US"/>
        </w:rPr>
        <w:t xml:space="preserve">‘The granting of an interim interdict pending an action is an extraordinary remedy within the discretion of the Court. Where the right which it is sought to protect is not clear, the Court’s approach in the matter of an interim interdict was lucidly laid down by Innes JA in </w:t>
      </w:r>
      <w:r w:rsidRPr="00683B9D">
        <w:rPr>
          <w:i/>
          <w:iCs/>
          <w:sz w:val="22"/>
          <w:szCs w:val="22"/>
          <w:lang w:val="en-US"/>
        </w:rPr>
        <w:t>Setlogelo v Setlogelo</w:t>
      </w:r>
      <w:r w:rsidRPr="00683B9D">
        <w:rPr>
          <w:sz w:val="22"/>
          <w:szCs w:val="22"/>
          <w:lang w:val="en-US"/>
        </w:rPr>
        <w:t>, 1914 AD 221 at p. 227. In general, the requisites are –</w:t>
      </w:r>
    </w:p>
    <w:p w14:paraId="174082D0" w14:textId="653C5B7A" w:rsidR="00683B9D" w:rsidRPr="004231F4" w:rsidRDefault="004231F4" w:rsidP="004231F4">
      <w:pPr>
        <w:ind w:left="567" w:right="-52" w:hanging="567"/>
        <w:jc w:val="both"/>
        <w:rPr>
          <w:sz w:val="22"/>
          <w:szCs w:val="22"/>
          <w:lang w:val="en-US"/>
        </w:rPr>
      </w:pPr>
      <w:r w:rsidRPr="00683B9D">
        <w:rPr>
          <w:sz w:val="22"/>
          <w:szCs w:val="22"/>
          <w:lang w:val="en-US"/>
        </w:rPr>
        <w:t>a)</w:t>
      </w:r>
      <w:r w:rsidRPr="00683B9D">
        <w:rPr>
          <w:sz w:val="22"/>
          <w:szCs w:val="22"/>
          <w:lang w:val="en-US"/>
        </w:rPr>
        <w:tab/>
      </w:r>
      <w:r w:rsidR="0094007A" w:rsidRPr="004231F4">
        <w:rPr>
          <w:sz w:val="22"/>
          <w:szCs w:val="22"/>
          <w:lang w:val="en-US"/>
        </w:rPr>
        <w:t xml:space="preserve">A right which, “though </w:t>
      </w:r>
      <w:r w:rsidR="0094007A" w:rsidRPr="004231F4">
        <w:rPr>
          <w:i/>
          <w:iCs/>
          <w:sz w:val="22"/>
          <w:szCs w:val="22"/>
          <w:lang w:val="en-US"/>
        </w:rPr>
        <w:t xml:space="preserve">prima facie </w:t>
      </w:r>
      <w:r w:rsidR="0094007A" w:rsidRPr="004231F4">
        <w:rPr>
          <w:sz w:val="22"/>
          <w:szCs w:val="22"/>
          <w:lang w:val="en-US"/>
        </w:rPr>
        <w:t>established, is open to some doubt”;</w:t>
      </w:r>
    </w:p>
    <w:p w14:paraId="30CEF821" w14:textId="2DBA8588" w:rsidR="0094007A" w:rsidRPr="004231F4" w:rsidRDefault="004231F4" w:rsidP="004231F4">
      <w:pPr>
        <w:ind w:left="567" w:right="-52" w:hanging="567"/>
        <w:jc w:val="both"/>
        <w:rPr>
          <w:sz w:val="22"/>
          <w:szCs w:val="22"/>
          <w:lang w:val="en-US"/>
        </w:rPr>
      </w:pPr>
      <w:r w:rsidRPr="00683B9D">
        <w:rPr>
          <w:sz w:val="22"/>
          <w:szCs w:val="22"/>
          <w:lang w:val="en-US"/>
        </w:rPr>
        <w:t>b)</w:t>
      </w:r>
      <w:r w:rsidRPr="00683B9D">
        <w:rPr>
          <w:sz w:val="22"/>
          <w:szCs w:val="22"/>
          <w:lang w:val="en-US"/>
        </w:rPr>
        <w:tab/>
      </w:r>
      <w:r w:rsidR="0094007A" w:rsidRPr="004231F4">
        <w:rPr>
          <w:sz w:val="22"/>
          <w:szCs w:val="22"/>
          <w:lang w:val="en-US"/>
        </w:rPr>
        <w:t>A well-grounded apprehension of irreparable injury;</w:t>
      </w:r>
    </w:p>
    <w:p w14:paraId="0F11E2C8" w14:textId="4FF05505" w:rsidR="0094007A" w:rsidRPr="004231F4" w:rsidRDefault="004231F4" w:rsidP="004231F4">
      <w:pPr>
        <w:ind w:left="567" w:right="-52" w:hanging="567"/>
        <w:jc w:val="both"/>
        <w:rPr>
          <w:sz w:val="22"/>
          <w:szCs w:val="22"/>
          <w:lang w:val="en-US"/>
        </w:rPr>
      </w:pPr>
      <w:r w:rsidRPr="00683B9D">
        <w:rPr>
          <w:sz w:val="22"/>
          <w:szCs w:val="22"/>
          <w:lang w:val="en-US"/>
        </w:rPr>
        <w:t>c)</w:t>
      </w:r>
      <w:r w:rsidRPr="00683B9D">
        <w:rPr>
          <w:sz w:val="22"/>
          <w:szCs w:val="22"/>
          <w:lang w:val="en-US"/>
        </w:rPr>
        <w:tab/>
      </w:r>
      <w:r w:rsidR="0094007A" w:rsidRPr="004231F4">
        <w:rPr>
          <w:sz w:val="22"/>
          <w:szCs w:val="22"/>
          <w:lang w:val="en-US"/>
        </w:rPr>
        <w:t>The absence of ordinary remedy.</w:t>
      </w:r>
    </w:p>
    <w:p w14:paraId="3C35CF80" w14:textId="77777777" w:rsidR="0094007A" w:rsidRPr="00683B9D" w:rsidRDefault="0094007A" w:rsidP="00683B9D">
      <w:pPr>
        <w:ind w:left="1440" w:right="-52"/>
        <w:jc w:val="both"/>
        <w:rPr>
          <w:sz w:val="22"/>
          <w:szCs w:val="22"/>
          <w:lang w:val="en-US"/>
        </w:rPr>
      </w:pPr>
    </w:p>
    <w:p w14:paraId="776627DB" w14:textId="77777777" w:rsidR="0094007A" w:rsidRPr="00683B9D" w:rsidRDefault="0094007A" w:rsidP="00683B9D">
      <w:pPr>
        <w:ind w:right="-52"/>
        <w:jc w:val="both"/>
        <w:rPr>
          <w:sz w:val="22"/>
          <w:szCs w:val="22"/>
          <w:lang w:val="en-US"/>
        </w:rPr>
      </w:pPr>
      <w:r w:rsidRPr="00683B9D">
        <w:rPr>
          <w:sz w:val="22"/>
          <w:szCs w:val="22"/>
          <w:lang w:val="en-US"/>
        </w:rPr>
        <w:t xml:space="preserve">In exercising its discretion, the Court weighs, </w:t>
      </w:r>
      <w:r w:rsidRPr="00683B9D">
        <w:rPr>
          <w:i/>
          <w:iCs/>
          <w:sz w:val="22"/>
          <w:szCs w:val="22"/>
          <w:lang w:val="en-US"/>
        </w:rPr>
        <w:t>inter alia</w:t>
      </w:r>
      <w:r w:rsidRPr="00683B9D">
        <w:rPr>
          <w:sz w:val="22"/>
          <w:szCs w:val="22"/>
          <w:lang w:val="en-US"/>
        </w:rPr>
        <w:t xml:space="preserve">, the prejudice to the applicant if the interdict is withheld against the prejudice to the respondent if it is granted. This is sometimes called the balance of convenience. The foregoing 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probabilities…Viewed in that light, the reference to a right which, “though </w:t>
      </w:r>
      <w:r w:rsidRPr="00683B9D">
        <w:rPr>
          <w:i/>
          <w:iCs/>
          <w:sz w:val="22"/>
          <w:szCs w:val="22"/>
          <w:lang w:val="en-US"/>
        </w:rPr>
        <w:t>prima facie</w:t>
      </w:r>
      <w:r w:rsidRPr="00683B9D">
        <w:rPr>
          <w:sz w:val="22"/>
          <w:szCs w:val="22"/>
          <w:lang w:val="en-US"/>
        </w:rPr>
        <w:t xml:space="preserve"> established, is open to some doubt” is apt, flexible and practical, and needs no further elaboration.’</w:t>
      </w:r>
    </w:p>
    <w:p w14:paraId="40B0E889" w14:textId="477FAFE0" w:rsidR="00BB2269" w:rsidRDefault="00BB2269" w:rsidP="00BB2269">
      <w:pPr>
        <w:rPr>
          <w:lang w:val="en-GB"/>
        </w:rPr>
      </w:pPr>
    </w:p>
    <w:p w14:paraId="088AF23B" w14:textId="42E3CBD9" w:rsidR="0035343A" w:rsidRDefault="0035343A" w:rsidP="00BB2269">
      <w:pPr>
        <w:rPr>
          <w:i/>
          <w:iCs/>
          <w:lang w:val="en-GB"/>
        </w:rPr>
      </w:pPr>
      <w:r>
        <w:rPr>
          <w:i/>
          <w:iCs/>
          <w:lang w:val="en-GB"/>
        </w:rPr>
        <w:t xml:space="preserve">The </w:t>
      </w:r>
      <w:r w:rsidR="005A143A">
        <w:rPr>
          <w:i/>
          <w:iCs/>
          <w:lang w:val="en-GB"/>
        </w:rPr>
        <w:t>applicant’s facts</w:t>
      </w:r>
    </w:p>
    <w:p w14:paraId="454E9A70" w14:textId="77777777" w:rsidR="0035343A" w:rsidRPr="0035343A" w:rsidRDefault="0035343A" w:rsidP="00BB2269">
      <w:pPr>
        <w:rPr>
          <w:i/>
          <w:iCs/>
          <w:lang w:val="en-GB"/>
        </w:rPr>
      </w:pPr>
    </w:p>
    <w:p w14:paraId="5DD5AEEE" w14:textId="425783FF" w:rsidR="00BB2269" w:rsidRPr="004231F4" w:rsidRDefault="004231F4" w:rsidP="004231F4">
      <w:pPr>
        <w:autoSpaceDE w:val="0"/>
        <w:autoSpaceDN w:val="0"/>
        <w:adjustRightInd w:val="0"/>
        <w:jc w:val="both"/>
        <w:rPr>
          <w:lang w:val="en-GB"/>
        </w:rPr>
      </w:pPr>
      <w:r>
        <w:rPr>
          <w:lang w:val="en-GB"/>
        </w:rPr>
        <w:lastRenderedPageBreak/>
        <w:t>[21]</w:t>
      </w:r>
      <w:r>
        <w:rPr>
          <w:lang w:val="en-GB"/>
        </w:rPr>
        <w:tab/>
      </w:r>
      <w:r w:rsidR="00912F94" w:rsidRPr="004231F4">
        <w:rPr>
          <w:lang w:val="en-GB"/>
        </w:rPr>
        <w:t>The applicant’s case is that he was flying at approximately 700 km/h</w:t>
      </w:r>
      <w:r w:rsidR="00F9040B" w:rsidRPr="004231F4">
        <w:rPr>
          <w:lang w:val="en-GB"/>
        </w:rPr>
        <w:t xml:space="preserve">, approximately 1000 feet </w:t>
      </w:r>
      <w:r w:rsidR="00C85050" w:rsidRPr="004231F4">
        <w:rPr>
          <w:lang w:val="en-GB"/>
        </w:rPr>
        <w:t>AGL</w:t>
      </w:r>
      <w:r w:rsidR="00F9040B" w:rsidRPr="004231F4">
        <w:rPr>
          <w:lang w:val="en-GB"/>
        </w:rPr>
        <w:t>,</w:t>
      </w:r>
      <w:r w:rsidR="00912F94" w:rsidRPr="004231F4">
        <w:rPr>
          <w:lang w:val="en-GB"/>
        </w:rPr>
        <w:t xml:space="preserve"> and undertaking an initial runway inspection to ensure a safe operational environment for landing</w:t>
      </w:r>
      <w:r w:rsidR="00F9040B" w:rsidRPr="004231F4">
        <w:rPr>
          <w:lang w:val="en-GB"/>
        </w:rPr>
        <w:t>,</w:t>
      </w:r>
      <w:r w:rsidR="00912F94" w:rsidRPr="004231F4">
        <w:rPr>
          <w:lang w:val="en-GB"/>
        </w:rPr>
        <w:t xml:space="preserve"> when he noticed an obstruction on the runway. </w:t>
      </w:r>
      <w:r w:rsidR="00F9040B" w:rsidRPr="004231F4">
        <w:rPr>
          <w:lang w:val="en-GB"/>
        </w:rPr>
        <w:t xml:space="preserve">He undertook another pass at a higher altitude and established that there were people lying on the runway. </w:t>
      </w:r>
      <w:r w:rsidR="00C85050" w:rsidRPr="004231F4">
        <w:rPr>
          <w:lang w:val="en-GB"/>
        </w:rPr>
        <w:t xml:space="preserve">He pulled the aircraft up before undertaking a slower pass at 1000 feet </w:t>
      </w:r>
      <w:r w:rsidR="00355B92" w:rsidRPr="004231F4">
        <w:rPr>
          <w:lang w:val="en-GB"/>
        </w:rPr>
        <w:t>AGL</w:t>
      </w:r>
      <w:r w:rsidR="007667D8" w:rsidRPr="004231F4">
        <w:rPr>
          <w:lang w:val="en-GB"/>
        </w:rPr>
        <w:t>, also dipping his wings to encourage the people to clear</w:t>
      </w:r>
      <w:r w:rsidR="003A41A0" w:rsidRPr="004231F4">
        <w:rPr>
          <w:lang w:val="en-GB"/>
        </w:rPr>
        <w:t>. When they failed to do so, he left the circuit and returned to Plettenberg Bay</w:t>
      </w:r>
      <w:r w:rsidR="004C1375" w:rsidRPr="004231F4">
        <w:rPr>
          <w:lang w:val="en-GB"/>
        </w:rPr>
        <w:t xml:space="preserve">, considering the incident to be isolated and bizarre. </w:t>
      </w:r>
    </w:p>
    <w:p w14:paraId="34B2D2BD" w14:textId="77777777" w:rsidR="00924E29" w:rsidRDefault="00924E29" w:rsidP="00924E29">
      <w:pPr>
        <w:pStyle w:val="ListParagraph"/>
        <w:autoSpaceDE w:val="0"/>
        <w:autoSpaceDN w:val="0"/>
        <w:adjustRightInd w:val="0"/>
        <w:ind w:left="0"/>
        <w:jc w:val="both"/>
        <w:rPr>
          <w:lang w:val="en-GB"/>
        </w:rPr>
      </w:pPr>
    </w:p>
    <w:p w14:paraId="3FDB1B51" w14:textId="0A180A75" w:rsidR="00924E29" w:rsidRPr="004231F4" w:rsidRDefault="004231F4" w:rsidP="004231F4">
      <w:pPr>
        <w:autoSpaceDE w:val="0"/>
        <w:autoSpaceDN w:val="0"/>
        <w:adjustRightInd w:val="0"/>
        <w:jc w:val="both"/>
        <w:rPr>
          <w:lang w:val="en-GB"/>
        </w:rPr>
      </w:pPr>
      <w:r>
        <w:rPr>
          <w:lang w:val="en-GB"/>
        </w:rPr>
        <w:t>[22]</w:t>
      </w:r>
      <w:r>
        <w:rPr>
          <w:lang w:val="en-GB"/>
        </w:rPr>
        <w:tab/>
      </w:r>
      <w:r w:rsidR="00681101" w:rsidRPr="004231F4">
        <w:rPr>
          <w:lang w:val="en-GB"/>
        </w:rPr>
        <w:t>The applicant made representations i</w:t>
      </w:r>
      <w:r w:rsidR="00924E29" w:rsidRPr="004231F4">
        <w:rPr>
          <w:lang w:val="en-GB"/>
        </w:rPr>
        <w:t>n response to a notice from the second respondent informing him of the intended licence</w:t>
      </w:r>
      <w:r w:rsidR="00F3418D" w:rsidRPr="004231F4">
        <w:rPr>
          <w:lang w:val="en-GB"/>
        </w:rPr>
        <w:t xml:space="preserve"> suspension</w:t>
      </w:r>
      <w:r w:rsidR="00681101" w:rsidRPr="004231F4">
        <w:rPr>
          <w:lang w:val="en-GB"/>
        </w:rPr>
        <w:t xml:space="preserve">. Almost four months later, </w:t>
      </w:r>
      <w:r w:rsidR="00CE6E40" w:rsidRPr="004231F4">
        <w:rPr>
          <w:lang w:val="en-GB"/>
        </w:rPr>
        <w:t>and without reference to the applicant’s written representations, the second respondent confirmed that his licence had been suspended for six months</w:t>
      </w:r>
      <w:r w:rsidR="00A507D1" w:rsidRPr="004231F4">
        <w:rPr>
          <w:lang w:val="en-GB"/>
        </w:rPr>
        <w:t xml:space="preserve">, adding a new ground to the complaint. </w:t>
      </w:r>
      <w:r w:rsidR="00B259B0" w:rsidRPr="004231F4">
        <w:rPr>
          <w:lang w:val="en-GB"/>
        </w:rPr>
        <w:t>In addition, the applicant was subjected to successfully passing the Air Law Examination</w:t>
      </w:r>
      <w:r w:rsidR="0091007F" w:rsidRPr="004231F4">
        <w:rPr>
          <w:lang w:val="en-GB"/>
        </w:rPr>
        <w:t xml:space="preserve">. He was </w:t>
      </w:r>
      <w:r w:rsidR="000D06CC" w:rsidRPr="004231F4">
        <w:rPr>
          <w:lang w:val="en-GB"/>
        </w:rPr>
        <w:t>informed of a right to appeal to the third respondent (‘the director’)</w:t>
      </w:r>
      <w:r w:rsidR="0091007F" w:rsidRPr="004231F4">
        <w:rPr>
          <w:lang w:val="en-GB"/>
        </w:rPr>
        <w:t xml:space="preserve">, which he did on 6 April 2023. </w:t>
      </w:r>
      <w:r w:rsidR="00501163" w:rsidRPr="004231F4">
        <w:rPr>
          <w:lang w:val="en-GB"/>
        </w:rPr>
        <w:t xml:space="preserve">Through his representative, </w:t>
      </w:r>
      <w:r w:rsidR="00501163" w:rsidRPr="004231F4">
        <w:rPr>
          <w:i/>
          <w:iCs/>
          <w:lang w:val="en-GB"/>
        </w:rPr>
        <w:t>Mr Friedman</w:t>
      </w:r>
      <w:r w:rsidR="00501163" w:rsidRPr="004231F4">
        <w:rPr>
          <w:lang w:val="en-GB"/>
        </w:rPr>
        <w:t>, the applicant noted</w:t>
      </w:r>
      <w:r w:rsidR="001C4162" w:rsidRPr="004231F4">
        <w:rPr>
          <w:lang w:val="en-GB"/>
        </w:rPr>
        <w:t>, inter alia,</w:t>
      </w:r>
      <w:r w:rsidR="00501163" w:rsidRPr="004231F4">
        <w:rPr>
          <w:lang w:val="en-GB"/>
        </w:rPr>
        <w:t xml:space="preserve"> that he had not been provided with any documentary evidence in support of the allegations.</w:t>
      </w:r>
      <w:r w:rsidR="00A3658C" w:rsidRPr="004231F4">
        <w:rPr>
          <w:lang w:val="en-GB"/>
        </w:rPr>
        <w:t xml:space="preserve"> He was informed a week later that his appeal had been unsuccessful</w:t>
      </w:r>
      <w:r w:rsidR="003C4307" w:rsidRPr="004231F4">
        <w:rPr>
          <w:lang w:val="en-GB"/>
        </w:rPr>
        <w:t xml:space="preserve">. This was on the basis that the violation of the applicable provisions posed a serious threat to aviation safety and the public. </w:t>
      </w:r>
    </w:p>
    <w:p w14:paraId="2BA067BA" w14:textId="77777777" w:rsidR="006648EC" w:rsidRPr="006648EC" w:rsidRDefault="006648EC" w:rsidP="006648EC">
      <w:pPr>
        <w:pStyle w:val="ListParagraph"/>
        <w:rPr>
          <w:lang w:val="en-GB"/>
        </w:rPr>
      </w:pPr>
    </w:p>
    <w:p w14:paraId="2B9EA762" w14:textId="0A0C6C72" w:rsidR="006C1DB5" w:rsidRPr="004231F4" w:rsidRDefault="004231F4" w:rsidP="004231F4">
      <w:pPr>
        <w:autoSpaceDE w:val="0"/>
        <w:autoSpaceDN w:val="0"/>
        <w:adjustRightInd w:val="0"/>
        <w:jc w:val="both"/>
        <w:rPr>
          <w:lang w:val="en-GB"/>
        </w:rPr>
      </w:pPr>
      <w:r>
        <w:rPr>
          <w:lang w:val="en-GB"/>
        </w:rPr>
        <w:t>[23]</w:t>
      </w:r>
      <w:r>
        <w:rPr>
          <w:lang w:val="en-GB"/>
        </w:rPr>
        <w:tab/>
      </w:r>
      <w:r w:rsidR="006648EC" w:rsidRPr="004231F4">
        <w:rPr>
          <w:lang w:val="en-GB"/>
        </w:rPr>
        <w:t>The applicant’s objection is that the complaint was only initiated three months after the incident and that his suspension followed seven months after the fact</w:t>
      </w:r>
      <w:r w:rsidR="00A93C6A" w:rsidRPr="004231F4">
        <w:rPr>
          <w:lang w:val="en-GB"/>
        </w:rPr>
        <w:t xml:space="preserve">, circumstances clearly not warranting immediate suspension of licence. </w:t>
      </w:r>
      <w:r w:rsidR="001D2886" w:rsidRPr="004231F4">
        <w:rPr>
          <w:lang w:val="en-GB"/>
        </w:rPr>
        <w:t>The suspension occurred in an arbitrary, unlawful and irregular manner</w:t>
      </w:r>
      <w:r w:rsidR="00DF44A4" w:rsidRPr="004231F4">
        <w:rPr>
          <w:lang w:val="en-GB"/>
        </w:rPr>
        <w:t xml:space="preserve">, based on </w:t>
      </w:r>
      <w:r w:rsidR="00214706" w:rsidRPr="004231F4">
        <w:rPr>
          <w:lang w:val="en-GB"/>
        </w:rPr>
        <w:t xml:space="preserve">various </w:t>
      </w:r>
      <w:r w:rsidR="002512F7" w:rsidRPr="004231F4">
        <w:rPr>
          <w:lang w:val="en-GB"/>
        </w:rPr>
        <w:t>subparts of the Civil Aviation Regulations, 2011 (‘the Regulations’)</w:t>
      </w:r>
      <w:r w:rsidR="00EA3DBB" w:rsidRPr="004231F4">
        <w:rPr>
          <w:lang w:val="en-GB"/>
        </w:rPr>
        <w:t xml:space="preserve">. </w:t>
      </w:r>
      <w:r w:rsidR="00813B07" w:rsidRPr="004231F4">
        <w:rPr>
          <w:lang w:val="en-GB"/>
        </w:rPr>
        <w:t>In particular, an enforcement officer was empowered to take administrative action leading to the imposition of a prescribed penalty where it was established, on a balance of probabilities, that the conduct of a person or entity constituted an offence and that such conduct was grossly negligent or wil</w:t>
      </w:r>
      <w:r w:rsidR="00894DB0" w:rsidRPr="004231F4">
        <w:rPr>
          <w:lang w:val="en-GB"/>
        </w:rPr>
        <w:t>ful.</w:t>
      </w:r>
      <w:r w:rsidR="00A92A78">
        <w:rPr>
          <w:rStyle w:val="FootnoteReference"/>
          <w:lang w:val="en-GB"/>
        </w:rPr>
        <w:footnoteReference w:id="28"/>
      </w:r>
      <w:r w:rsidR="00894DB0" w:rsidRPr="004231F4">
        <w:rPr>
          <w:lang w:val="en-GB"/>
        </w:rPr>
        <w:t xml:space="preserve"> </w:t>
      </w:r>
      <w:r w:rsidR="00813B07" w:rsidRPr="004231F4">
        <w:rPr>
          <w:lang w:val="en-GB"/>
        </w:rPr>
        <w:t xml:space="preserve"> </w:t>
      </w:r>
      <w:r w:rsidR="00A9165A" w:rsidRPr="004231F4">
        <w:rPr>
          <w:lang w:val="en-GB"/>
        </w:rPr>
        <w:t>Notice of investigation should:</w:t>
      </w:r>
      <w:r w:rsidR="0049464B">
        <w:rPr>
          <w:rStyle w:val="FootnoteReference"/>
          <w:lang w:val="en-GB"/>
        </w:rPr>
        <w:footnoteReference w:id="29"/>
      </w:r>
    </w:p>
    <w:p w14:paraId="5FE69BF9" w14:textId="490A2D2F" w:rsidR="00A9165A" w:rsidRPr="004231F4" w:rsidRDefault="004231F4" w:rsidP="004231F4">
      <w:pPr>
        <w:ind w:left="720" w:hanging="360"/>
        <w:rPr>
          <w:lang w:val="en-GB"/>
        </w:rPr>
      </w:pPr>
      <w:r>
        <w:rPr>
          <w:rFonts w:ascii="Symbol" w:hAnsi="Symbol"/>
          <w:lang w:val="en-GB"/>
        </w:rPr>
        <w:t></w:t>
      </w:r>
      <w:r>
        <w:rPr>
          <w:rFonts w:ascii="Symbol" w:hAnsi="Symbol"/>
          <w:lang w:val="en-GB"/>
        </w:rPr>
        <w:tab/>
      </w:r>
      <w:r w:rsidR="00A9165A" w:rsidRPr="004231F4">
        <w:rPr>
          <w:lang w:val="en-GB"/>
        </w:rPr>
        <w:t xml:space="preserve">specify the nature of the alleged offence committed; </w:t>
      </w:r>
    </w:p>
    <w:p w14:paraId="2F0AFD8C" w14:textId="23ADD07E" w:rsidR="00A9165A" w:rsidRPr="004231F4" w:rsidRDefault="004231F4" w:rsidP="004231F4">
      <w:pPr>
        <w:ind w:left="720" w:hanging="360"/>
        <w:rPr>
          <w:lang w:val="en-GB"/>
        </w:rPr>
      </w:pPr>
      <w:r>
        <w:rPr>
          <w:rFonts w:ascii="Symbol" w:hAnsi="Symbol"/>
          <w:lang w:val="en-GB"/>
        </w:rPr>
        <w:lastRenderedPageBreak/>
        <w:t></w:t>
      </w:r>
      <w:r>
        <w:rPr>
          <w:rFonts w:ascii="Symbol" w:hAnsi="Symbol"/>
          <w:lang w:val="en-GB"/>
        </w:rPr>
        <w:tab/>
      </w:r>
      <w:r w:rsidR="00A9165A" w:rsidRPr="004231F4">
        <w:rPr>
          <w:lang w:val="en-GB"/>
        </w:rPr>
        <w:t xml:space="preserve">include evidence being relied upon pertaining to the alleged offence; </w:t>
      </w:r>
    </w:p>
    <w:p w14:paraId="0BB68AE6" w14:textId="7D068464" w:rsidR="00A9165A" w:rsidRPr="004231F4" w:rsidRDefault="004231F4" w:rsidP="004231F4">
      <w:pPr>
        <w:ind w:left="720" w:hanging="360"/>
        <w:rPr>
          <w:lang w:val="en-GB"/>
        </w:rPr>
      </w:pPr>
      <w:r>
        <w:rPr>
          <w:rFonts w:ascii="Symbol" w:hAnsi="Symbol"/>
          <w:lang w:val="en-GB"/>
        </w:rPr>
        <w:t></w:t>
      </w:r>
      <w:r>
        <w:rPr>
          <w:rFonts w:ascii="Symbol" w:hAnsi="Symbol"/>
          <w:lang w:val="en-GB"/>
        </w:rPr>
        <w:tab/>
      </w:r>
      <w:r w:rsidR="00A9165A" w:rsidRPr="004231F4">
        <w:rPr>
          <w:lang w:val="en-GB"/>
        </w:rPr>
        <w:t xml:space="preserve">invite the alleged offender to make representations either orally or in writing on the allegations within 30 days of the issue or service of the notice. </w:t>
      </w:r>
    </w:p>
    <w:p w14:paraId="42B5DB3A" w14:textId="77777777" w:rsidR="00977715" w:rsidRPr="00A9165A" w:rsidRDefault="00977715" w:rsidP="00977715">
      <w:pPr>
        <w:pStyle w:val="ListParagraph"/>
        <w:rPr>
          <w:lang w:val="en-GB"/>
        </w:rPr>
      </w:pPr>
    </w:p>
    <w:p w14:paraId="0ED36C18" w14:textId="6025FCC7" w:rsidR="00A9165A" w:rsidRPr="004231F4" w:rsidRDefault="004231F4" w:rsidP="004231F4">
      <w:pPr>
        <w:autoSpaceDE w:val="0"/>
        <w:autoSpaceDN w:val="0"/>
        <w:adjustRightInd w:val="0"/>
        <w:jc w:val="both"/>
        <w:rPr>
          <w:lang w:val="en-GB"/>
        </w:rPr>
      </w:pPr>
      <w:r w:rsidRPr="00EA3DBB">
        <w:rPr>
          <w:lang w:val="en-GB"/>
        </w:rPr>
        <w:t>[24]</w:t>
      </w:r>
      <w:r w:rsidRPr="00EA3DBB">
        <w:rPr>
          <w:lang w:val="en-GB"/>
        </w:rPr>
        <w:tab/>
      </w:r>
      <w:r w:rsidR="00977715" w:rsidRPr="004231F4">
        <w:rPr>
          <w:lang w:val="en-GB"/>
        </w:rPr>
        <w:t xml:space="preserve">The outcome was to be communicated by the enforcement officer ‘following an investigation’. By contrast, </w:t>
      </w:r>
      <w:r w:rsidR="00770986" w:rsidRPr="004231F4">
        <w:rPr>
          <w:lang w:val="en-GB"/>
        </w:rPr>
        <w:t>the second respondent had formed the view that the alleged conduct was worthy of the sanction of suspension without investigation. The applicant had not received any of the evidence relied upon by the second respondent and was only afforded 14 days in which to respond</w:t>
      </w:r>
      <w:r w:rsidR="00200172" w:rsidRPr="004231F4">
        <w:rPr>
          <w:lang w:val="en-GB"/>
        </w:rPr>
        <w:t>.</w:t>
      </w:r>
      <w:r w:rsidR="00F54793" w:rsidRPr="004231F4">
        <w:rPr>
          <w:lang w:val="en-GB"/>
        </w:rPr>
        <w:t xml:space="preserve"> T</w:t>
      </w:r>
      <w:r w:rsidR="00200172" w:rsidRPr="004231F4">
        <w:rPr>
          <w:lang w:val="en-GB"/>
        </w:rPr>
        <w:t>his amounted to procedural unfairness</w:t>
      </w:r>
      <w:r w:rsidR="00F54793" w:rsidRPr="004231F4">
        <w:rPr>
          <w:lang w:val="en-GB"/>
        </w:rPr>
        <w:t xml:space="preserve">. </w:t>
      </w:r>
      <w:r w:rsidR="00EC6AA3" w:rsidRPr="004231F4">
        <w:rPr>
          <w:lang w:val="en-GB"/>
        </w:rPr>
        <w:t xml:space="preserve">In addition, </w:t>
      </w:r>
      <w:r w:rsidR="00404D8F" w:rsidRPr="004231F4">
        <w:rPr>
          <w:lang w:val="en-GB"/>
        </w:rPr>
        <w:t>lack of</w:t>
      </w:r>
      <w:r w:rsidR="00EC6AA3" w:rsidRPr="004231F4">
        <w:rPr>
          <w:lang w:val="en-GB"/>
        </w:rPr>
        <w:t xml:space="preserve"> refer</w:t>
      </w:r>
      <w:r w:rsidR="00404D8F" w:rsidRPr="004231F4">
        <w:rPr>
          <w:lang w:val="en-GB"/>
        </w:rPr>
        <w:t>ence</w:t>
      </w:r>
      <w:r w:rsidR="00EC6AA3" w:rsidRPr="004231F4">
        <w:rPr>
          <w:lang w:val="en-GB"/>
        </w:rPr>
        <w:t xml:space="preserve"> to any of the applicant’s representations demonstrated failure to establish wilful or grossly negligent conduct on a balance of probabilities. </w:t>
      </w:r>
      <w:r w:rsidR="00F24433" w:rsidRPr="004231F4">
        <w:rPr>
          <w:lang w:val="en-GB"/>
        </w:rPr>
        <w:t xml:space="preserve">It was </w:t>
      </w:r>
      <w:r w:rsidR="000A25AF" w:rsidRPr="004231F4">
        <w:rPr>
          <w:lang w:val="en-GB"/>
        </w:rPr>
        <w:t xml:space="preserve">therefore </w:t>
      </w:r>
      <w:r w:rsidR="00F24433" w:rsidRPr="004231F4">
        <w:rPr>
          <w:lang w:val="en-GB"/>
        </w:rPr>
        <w:t>argued that</w:t>
      </w:r>
      <w:r w:rsidR="00F54793" w:rsidRPr="004231F4">
        <w:rPr>
          <w:lang w:val="en-GB"/>
        </w:rPr>
        <w:t xml:space="preserve"> the second respondent’s decision was reviewable on a number of PAJA grounds</w:t>
      </w:r>
      <w:r w:rsidR="003332AB" w:rsidRPr="004231F4">
        <w:rPr>
          <w:lang w:val="en-GB"/>
        </w:rPr>
        <w:t xml:space="preserve">. </w:t>
      </w:r>
    </w:p>
    <w:p w14:paraId="350DBD01" w14:textId="77777777" w:rsidR="006C1DB5" w:rsidRPr="006C1DB5" w:rsidRDefault="006C1DB5" w:rsidP="006C1DB5">
      <w:pPr>
        <w:rPr>
          <w:lang w:val="en-GB"/>
        </w:rPr>
      </w:pPr>
    </w:p>
    <w:p w14:paraId="196A9098" w14:textId="0583F641" w:rsidR="006C1DB5" w:rsidRPr="004231F4" w:rsidRDefault="004231F4" w:rsidP="004231F4">
      <w:pPr>
        <w:autoSpaceDE w:val="0"/>
        <w:autoSpaceDN w:val="0"/>
        <w:adjustRightInd w:val="0"/>
        <w:jc w:val="both"/>
        <w:rPr>
          <w:lang w:val="en-GB"/>
        </w:rPr>
      </w:pPr>
      <w:r>
        <w:rPr>
          <w:lang w:val="en-GB"/>
        </w:rPr>
        <w:t>[25]</w:t>
      </w:r>
      <w:r>
        <w:rPr>
          <w:lang w:val="en-GB"/>
        </w:rPr>
        <w:tab/>
      </w:r>
      <w:r w:rsidR="00713262" w:rsidRPr="004231F4">
        <w:rPr>
          <w:lang w:val="en-GB"/>
        </w:rPr>
        <w:t xml:space="preserve">The applicant argued that the director confirmed the second respondent’s decision </w:t>
      </w:r>
      <w:r w:rsidR="00A54CEF" w:rsidRPr="004231F4">
        <w:rPr>
          <w:lang w:val="en-GB"/>
        </w:rPr>
        <w:t>without affording him a reasonable opportunity to make representations, present and dispute information and arguments or to appear in person. The director had the option, in terms of s 118(6) of the Act, to afford the applicant such opportunities which, it was submitted, would have been appropriate when considering the material irregularities regarding the second respondent’s decision.</w:t>
      </w:r>
      <w:r w:rsidR="00EF0A9A" w:rsidRPr="004231F4">
        <w:rPr>
          <w:lang w:val="en-GB"/>
        </w:rPr>
        <w:t xml:space="preserve"> </w:t>
      </w:r>
      <w:r w:rsidR="004D04B9" w:rsidRPr="004231F4">
        <w:rPr>
          <w:lang w:val="en-GB"/>
        </w:rPr>
        <w:t xml:space="preserve">The director’s decision to perpetuate these irregularities therefore contravened PAJA and ought to be reviewed and set aside.  </w:t>
      </w:r>
    </w:p>
    <w:p w14:paraId="7A24412E" w14:textId="17D2A07C" w:rsidR="00115E9A" w:rsidRDefault="00115E9A" w:rsidP="00115E9A">
      <w:pPr>
        <w:rPr>
          <w:lang w:val="en-GB"/>
        </w:rPr>
      </w:pPr>
    </w:p>
    <w:p w14:paraId="066366E1" w14:textId="78AE6C06" w:rsidR="00115E9A" w:rsidRDefault="00115E9A" w:rsidP="00115E9A">
      <w:pPr>
        <w:rPr>
          <w:i/>
          <w:iCs/>
          <w:lang w:val="en-GB"/>
        </w:rPr>
      </w:pPr>
      <w:r>
        <w:rPr>
          <w:i/>
          <w:iCs/>
          <w:lang w:val="en-GB"/>
        </w:rPr>
        <w:t>Respondents</w:t>
      </w:r>
      <w:r w:rsidR="00CF6B6B">
        <w:rPr>
          <w:i/>
          <w:iCs/>
          <w:lang w:val="en-GB"/>
        </w:rPr>
        <w:t>’</w:t>
      </w:r>
      <w:r>
        <w:rPr>
          <w:i/>
          <w:iCs/>
          <w:lang w:val="en-GB"/>
        </w:rPr>
        <w:t xml:space="preserve"> facts</w:t>
      </w:r>
      <w:r w:rsidR="00CF6B6B">
        <w:rPr>
          <w:i/>
          <w:iCs/>
          <w:lang w:val="en-GB"/>
        </w:rPr>
        <w:t xml:space="preserve"> </w:t>
      </w:r>
    </w:p>
    <w:p w14:paraId="0B309CF8" w14:textId="77777777" w:rsidR="00115E9A" w:rsidRPr="00115E9A" w:rsidRDefault="00115E9A" w:rsidP="00115E9A">
      <w:pPr>
        <w:rPr>
          <w:i/>
          <w:iCs/>
          <w:lang w:val="en-GB"/>
        </w:rPr>
      </w:pPr>
    </w:p>
    <w:p w14:paraId="5592C1DE" w14:textId="6F7140D0" w:rsidR="00115E9A" w:rsidRPr="004231F4" w:rsidRDefault="004231F4" w:rsidP="004231F4">
      <w:pPr>
        <w:autoSpaceDE w:val="0"/>
        <w:autoSpaceDN w:val="0"/>
        <w:adjustRightInd w:val="0"/>
        <w:jc w:val="both"/>
        <w:rPr>
          <w:lang w:val="en-GB"/>
        </w:rPr>
      </w:pPr>
      <w:r>
        <w:rPr>
          <w:lang w:val="en-GB"/>
        </w:rPr>
        <w:t>[26]</w:t>
      </w:r>
      <w:r>
        <w:rPr>
          <w:lang w:val="en-GB"/>
        </w:rPr>
        <w:tab/>
      </w:r>
      <w:r w:rsidR="00115E9A" w:rsidRPr="004231F4">
        <w:rPr>
          <w:lang w:val="en-GB"/>
        </w:rPr>
        <w:t>The applicant acted in contravention of various parts of the Regulations which deal with safety operations of an aircraft and minimum heights over congested areas or over an obvious open-air assembly of persons.</w:t>
      </w:r>
      <w:r w:rsidR="002F672A" w:rsidRPr="004231F4">
        <w:rPr>
          <w:lang w:val="en-GB"/>
        </w:rPr>
        <w:t xml:space="preserve"> On more than one occasion he flew dangerously low over a runway on which a group of four people were lying</w:t>
      </w:r>
      <w:r w:rsidR="00702310" w:rsidRPr="004231F4">
        <w:rPr>
          <w:lang w:val="en-GB"/>
        </w:rPr>
        <w:t>, also ‘wing dipping’ to encourage the people to move</w:t>
      </w:r>
      <w:r w:rsidR="002F672A" w:rsidRPr="004231F4">
        <w:rPr>
          <w:lang w:val="en-GB"/>
        </w:rPr>
        <w:t xml:space="preserve">. </w:t>
      </w:r>
      <w:r w:rsidR="00450CCC" w:rsidRPr="004231F4">
        <w:rPr>
          <w:lang w:val="en-GB"/>
        </w:rPr>
        <w:t xml:space="preserve">The group constituted an obvious open-air assembly of persons. </w:t>
      </w:r>
      <w:r w:rsidR="00C12F55" w:rsidRPr="004231F4">
        <w:rPr>
          <w:lang w:val="en-GB"/>
        </w:rPr>
        <w:t xml:space="preserve">His conduct was irresponsible, dangerous and grossly negligent. </w:t>
      </w:r>
      <w:r w:rsidR="009C4B24" w:rsidRPr="004231F4">
        <w:rPr>
          <w:lang w:val="en-GB"/>
        </w:rPr>
        <w:t>On 6 April 2023, t</w:t>
      </w:r>
      <w:r w:rsidR="004B2D1F" w:rsidRPr="004231F4">
        <w:rPr>
          <w:lang w:val="en-GB"/>
        </w:rPr>
        <w:t xml:space="preserve">he </w:t>
      </w:r>
      <w:r w:rsidR="0002116A" w:rsidRPr="004231F4">
        <w:rPr>
          <w:lang w:val="en-GB"/>
        </w:rPr>
        <w:t xml:space="preserve">second respondent (an </w:t>
      </w:r>
      <w:r w:rsidR="004B2D1F" w:rsidRPr="004231F4">
        <w:rPr>
          <w:lang w:val="en-GB"/>
        </w:rPr>
        <w:t>enforcement specialist</w:t>
      </w:r>
      <w:r w:rsidR="0002116A" w:rsidRPr="004231F4">
        <w:rPr>
          <w:lang w:val="en-GB"/>
        </w:rPr>
        <w:t>)</w:t>
      </w:r>
      <w:r w:rsidR="004B2D1F" w:rsidRPr="004231F4">
        <w:rPr>
          <w:lang w:val="en-GB"/>
        </w:rPr>
        <w:t xml:space="preserve"> </w:t>
      </w:r>
      <w:r w:rsidR="009C4B24" w:rsidRPr="004231F4">
        <w:rPr>
          <w:lang w:val="en-GB"/>
        </w:rPr>
        <w:t xml:space="preserve">decided to </w:t>
      </w:r>
      <w:r w:rsidR="009C4B24" w:rsidRPr="004231F4">
        <w:rPr>
          <w:lang w:val="en-GB"/>
        </w:rPr>
        <w:lastRenderedPageBreak/>
        <w:t>suspend his licence due to the gravity of the transgressions.</w:t>
      </w:r>
      <w:r w:rsidR="00D83CC6">
        <w:rPr>
          <w:rStyle w:val="FootnoteReference"/>
          <w:lang w:val="en-GB"/>
        </w:rPr>
        <w:footnoteReference w:id="30"/>
      </w:r>
      <w:r w:rsidR="00D83CC6" w:rsidRPr="004231F4">
        <w:rPr>
          <w:lang w:val="en-GB"/>
        </w:rPr>
        <w:t xml:space="preserve"> </w:t>
      </w:r>
      <w:r w:rsidR="009C4B24" w:rsidRPr="004231F4">
        <w:rPr>
          <w:lang w:val="en-GB"/>
        </w:rPr>
        <w:t xml:space="preserve"> </w:t>
      </w:r>
      <w:r w:rsidR="00A4431A" w:rsidRPr="004231F4">
        <w:rPr>
          <w:lang w:val="en-GB"/>
        </w:rPr>
        <w:t>This decision was confirmed by the director</w:t>
      </w:r>
      <w:r w:rsidR="00DE5FDB" w:rsidRPr="004231F4">
        <w:rPr>
          <w:lang w:val="en-GB"/>
        </w:rPr>
        <w:t>.</w:t>
      </w:r>
    </w:p>
    <w:p w14:paraId="096676F1" w14:textId="77777777" w:rsidR="00AC137F" w:rsidRDefault="00AC137F" w:rsidP="00AC137F">
      <w:pPr>
        <w:pStyle w:val="ListParagraph"/>
        <w:autoSpaceDE w:val="0"/>
        <w:autoSpaceDN w:val="0"/>
        <w:adjustRightInd w:val="0"/>
        <w:ind w:left="0"/>
        <w:jc w:val="both"/>
        <w:rPr>
          <w:lang w:val="en-GB"/>
        </w:rPr>
      </w:pPr>
    </w:p>
    <w:p w14:paraId="7E175301" w14:textId="22B7D7DC" w:rsidR="00AC137F" w:rsidRPr="004231F4" w:rsidRDefault="004231F4" w:rsidP="004231F4">
      <w:pPr>
        <w:autoSpaceDE w:val="0"/>
        <w:autoSpaceDN w:val="0"/>
        <w:adjustRightInd w:val="0"/>
        <w:jc w:val="both"/>
        <w:rPr>
          <w:lang w:val="en-GB"/>
        </w:rPr>
      </w:pPr>
      <w:r>
        <w:rPr>
          <w:lang w:val="en-GB"/>
        </w:rPr>
        <w:t>[27]</w:t>
      </w:r>
      <w:r>
        <w:rPr>
          <w:lang w:val="en-GB"/>
        </w:rPr>
        <w:tab/>
      </w:r>
      <w:r w:rsidR="00C73372" w:rsidRPr="004231F4">
        <w:rPr>
          <w:lang w:val="en-GB"/>
        </w:rPr>
        <w:t>In response to the allegations of procedural unfairness, the respondents rely on the Enforcement Manual of Procedures</w:t>
      </w:r>
      <w:r w:rsidR="00615B6B" w:rsidRPr="004231F4">
        <w:rPr>
          <w:lang w:val="en-GB"/>
        </w:rPr>
        <w:t xml:space="preserve"> (‘the Manual’)</w:t>
      </w:r>
      <w:r w:rsidR="00C73372" w:rsidRPr="004231F4">
        <w:rPr>
          <w:lang w:val="en-GB"/>
        </w:rPr>
        <w:t>, which guide enforcement specialists in the performance of their duties.</w:t>
      </w:r>
      <w:r w:rsidR="00C5228A">
        <w:rPr>
          <w:rStyle w:val="FootnoteReference"/>
          <w:lang w:val="en-GB"/>
        </w:rPr>
        <w:footnoteReference w:id="31"/>
      </w:r>
      <w:r w:rsidR="00C5228A" w:rsidRPr="004231F4">
        <w:rPr>
          <w:lang w:val="en-GB"/>
        </w:rPr>
        <w:t xml:space="preserve"> </w:t>
      </w:r>
      <w:r w:rsidR="00615B6B" w:rsidRPr="004231F4">
        <w:rPr>
          <w:lang w:val="en-GB"/>
        </w:rPr>
        <w:t xml:space="preserve"> The Manual makes reference to an evaluation of the violator’s conduct, attitude and compliance history, including evaluation of a trend of noncompliance. The level of risk must also be analysed, including categorisation of the severity and likelihood of the ‘hazard’, that is, the dangerous condition created by the apparent violation(s).</w:t>
      </w:r>
      <w:r w:rsidR="00F93556">
        <w:rPr>
          <w:rStyle w:val="FootnoteReference"/>
          <w:lang w:val="en-GB"/>
        </w:rPr>
        <w:footnoteReference w:id="32"/>
      </w:r>
      <w:r w:rsidR="00615B6B" w:rsidRPr="004231F4">
        <w:rPr>
          <w:lang w:val="en-GB"/>
        </w:rPr>
        <w:t xml:space="preserve"> </w:t>
      </w:r>
      <w:r w:rsidR="00FC26B0" w:rsidRPr="004231F4">
        <w:rPr>
          <w:lang w:val="en-GB"/>
        </w:rPr>
        <w:t>Severity and likelihood are to be determined separately, the former without consideration of the likelihood of that severity being realised.</w:t>
      </w:r>
      <w:r w:rsidR="009854A6" w:rsidRPr="004231F4">
        <w:rPr>
          <w:lang w:val="en-GB"/>
        </w:rPr>
        <w:t xml:space="preserve"> </w:t>
      </w:r>
      <w:r w:rsidR="004845AD" w:rsidRPr="004231F4">
        <w:rPr>
          <w:lang w:val="en-GB"/>
        </w:rPr>
        <w:t>Importantly, ‘l</w:t>
      </w:r>
      <w:r w:rsidR="009854A6" w:rsidRPr="004231F4">
        <w:rPr>
          <w:lang w:val="en-GB"/>
        </w:rPr>
        <w:t>ikelihood</w:t>
      </w:r>
      <w:r w:rsidR="004845AD" w:rsidRPr="004231F4">
        <w:rPr>
          <w:lang w:val="en-GB"/>
        </w:rPr>
        <w:t>’</w:t>
      </w:r>
      <w:r w:rsidR="009854A6" w:rsidRPr="004231F4">
        <w:rPr>
          <w:lang w:val="en-GB"/>
        </w:rPr>
        <w:t xml:space="preserve"> is to be considered and determined only after the determination of severity.</w:t>
      </w:r>
      <w:r w:rsidR="00BA3353">
        <w:rPr>
          <w:rStyle w:val="FootnoteReference"/>
          <w:lang w:val="en-GB"/>
        </w:rPr>
        <w:footnoteReference w:id="33"/>
      </w:r>
      <w:r w:rsidR="00B76166" w:rsidRPr="004231F4">
        <w:rPr>
          <w:lang w:val="en-GB"/>
        </w:rPr>
        <w:t xml:space="preserve"> After consideration of the applicant’s representations, the contravention of regulations 91.01.10, 91.06.32 and 94.05.01 were adjudged ‘severe and catastrophic’.</w:t>
      </w:r>
      <w:r w:rsidR="00364DE9" w:rsidRPr="004231F4">
        <w:rPr>
          <w:lang w:val="en-GB"/>
        </w:rPr>
        <w:t xml:space="preserve"> On the respondents’ approach, the next step was to determine the </w:t>
      </w:r>
      <w:r w:rsidR="00597EF2" w:rsidRPr="004231F4">
        <w:rPr>
          <w:lang w:val="en-GB"/>
        </w:rPr>
        <w:t xml:space="preserve">incident level before considering the </w:t>
      </w:r>
      <w:r w:rsidR="00364DE9" w:rsidRPr="004231F4">
        <w:rPr>
          <w:lang w:val="en-GB"/>
        </w:rPr>
        <w:t>appropriate sanction.</w:t>
      </w:r>
      <w:r w:rsidR="007C1332" w:rsidRPr="004231F4">
        <w:rPr>
          <w:lang w:val="en-GB"/>
        </w:rPr>
        <w:t xml:space="preserve"> No mention is made of a proper determination of ‘likelihood’, as explained by the Manual</w:t>
      </w:r>
      <w:r w:rsidR="00C81C46" w:rsidRPr="004231F4">
        <w:rPr>
          <w:lang w:val="en-GB"/>
        </w:rPr>
        <w:t>, including consideration of whether the worst type of injury or damage was ‘frequently’, ‘occasionally’ or ‘remotely’ likely to occur.</w:t>
      </w:r>
      <w:r w:rsidR="00C24ED8" w:rsidRPr="004231F4">
        <w:rPr>
          <w:lang w:val="en-GB"/>
        </w:rPr>
        <w:t xml:space="preserve"> Importantly, the risk assessment and enforcement action matrix</w:t>
      </w:r>
      <w:r w:rsidR="007F461D" w:rsidRPr="004231F4">
        <w:rPr>
          <w:lang w:val="en-GB"/>
        </w:rPr>
        <w:t xml:space="preserve"> reflects that even an assessment of catastrophic severity might only result in a warning letter in the event that likelihood was determined as ‘remote’.</w:t>
      </w:r>
    </w:p>
    <w:p w14:paraId="67196872" w14:textId="77777777" w:rsidR="00CC65DB" w:rsidRDefault="00CC65DB" w:rsidP="00CC65DB">
      <w:pPr>
        <w:pStyle w:val="ListParagraph"/>
        <w:autoSpaceDE w:val="0"/>
        <w:autoSpaceDN w:val="0"/>
        <w:adjustRightInd w:val="0"/>
        <w:ind w:left="0"/>
        <w:jc w:val="both"/>
        <w:rPr>
          <w:lang w:val="en-GB"/>
        </w:rPr>
      </w:pPr>
    </w:p>
    <w:p w14:paraId="1136381E" w14:textId="532D8746" w:rsidR="00156AB7" w:rsidRPr="004231F4" w:rsidRDefault="004231F4" w:rsidP="004231F4">
      <w:pPr>
        <w:autoSpaceDE w:val="0"/>
        <w:autoSpaceDN w:val="0"/>
        <w:adjustRightInd w:val="0"/>
        <w:jc w:val="both"/>
        <w:rPr>
          <w:lang w:val="en-GB"/>
        </w:rPr>
      </w:pPr>
      <w:r>
        <w:rPr>
          <w:lang w:val="en-GB"/>
        </w:rPr>
        <w:lastRenderedPageBreak/>
        <w:t>[28]</w:t>
      </w:r>
      <w:r>
        <w:rPr>
          <w:lang w:val="en-GB"/>
        </w:rPr>
        <w:tab/>
      </w:r>
      <w:r w:rsidR="00CC65DB" w:rsidRPr="004231F4">
        <w:rPr>
          <w:lang w:val="en-GB"/>
        </w:rPr>
        <w:t>In casu, the severity of the contravention resulted in a ‘Level 1 finding’ necessitating the exercise of immediate discretionary enforcement powers.</w:t>
      </w:r>
      <w:r w:rsidR="00C262C4">
        <w:rPr>
          <w:rStyle w:val="FootnoteReference"/>
          <w:lang w:val="en-GB"/>
        </w:rPr>
        <w:footnoteReference w:id="34"/>
      </w:r>
      <w:r w:rsidR="00CA3BF3" w:rsidRPr="004231F4">
        <w:rPr>
          <w:lang w:val="en-GB"/>
        </w:rPr>
        <w:t xml:space="preserve"> The second respondent determined that it was necessary to suspend the applicant’s licence, and to do so for a period of six months.</w:t>
      </w:r>
    </w:p>
    <w:p w14:paraId="6813837B" w14:textId="07C81E6C" w:rsidR="00156AB7" w:rsidRDefault="00156AB7" w:rsidP="00DF4595">
      <w:pPr>
        <w:rPr>
          <w:lang w:val="en-GB"/>
        </w:rPr>
      </w:pPr>
    </w:p>
    <w:p w14:paraId="2343C6B0" w14:textId="04FCA539" w:rsidR="00DF4595" w:rsidRDefault="00DF4595" w:rsidP="00DF4595">
      <w:pPr>
        <w:rPr>
          <w:b/>
          <w:lang w:val="en-GB"/>
        </w:rPr>
      </w:pPr>
      <w:r>
        <w:rPr>
          <w:b/>
          <w:lang w:val="en-GB"/>
        </w:rPr>
        <w:t>Analysis</w:t>
      </w:r>
    </w:p>
    <w:p w14:paraId="6B5B2D88" w14:textId="77777777" w:rsidR="00DF4595" w:rsidRPr="00DF4595" w:rsidRDefault="00DF4595" w:rsidP="00DF4595">
      <w:pPr>
        <w:rPr>
          <w:b/>
          <w:lang w:val="en-GB"/>
        </w:rPr>
      </w:pPr>
    </w:p>
    <w:p w14:paraId="05BAC455" w14:textId="5414B566" w:rsidR="00047FCD" w:rsidRPr="004231F4" w:rsidRDefault="004231F4" w:rsidP="004231F4">
      <w:pPr>
        <w:autoSpaceDE w:val="0"/>
        <w:autoSpaceDN w:val="0"/>
        <w:adjustRightInd w:val="0"/>
        <w:jc w:val="both"/>
        <w:rPr>
          <w:lang w:val="en-GB"/>
        </w:rPr>
      </w:pPr>
      <w:r>
        <w:rPr>
          <w:lang w:val="en-GB"/>
        </w:rPr>
        <w:t>[29]</w:t>
      </w:r>
      <w:r>
        <w:rPr>
          <w:lang w:val="en-GB"/>
        </w:rPr>
        <w:tab/>
      </w:r>
      <w:r w:rsidR="00156AB7" w:rsidRPr="004231F4">
        <w:rPr>
          <w:lang w:val="en-GB"/>
        </w:rPr>
        <w:t xml:space="preserve">Taking the facts set out by the applicant together with the facts set out by the respondent which the applicant cannot dispute, I am satisfied that the applicant has demonstrated a </w:t>
      </w:r>
      <w:r w:rsidR="00156AB7" w:rsidRPr="004231F4">
        <w:rPr>
          <w:i/>
          <w:iCs/>
          <w:lang w:val="en-GB"/>
        </w:rPr>
        <w:t>prima facie</w:t>
      </w:r>
      <w:r w:rsidR="00156AB7" w:rsidRPr="004231F4">
        <w:rPr>
          <w:lang w:val="en-GB"/>
        </w:rPr>
        <w:t xml:space="preserve"> right and should, on the facts provided, obtain the principle final relief he seeks</w:t>
      </w:r>
      <w:r w:rsidR="005B4A9B" w:rsidRPr="004231F4">
        <w:rPr>
          <w:lang w:val="en-GB"/>
        </w:rPr>
        <w:t xml:space="preserve"> on those facts</w:t>
      </w:r>
      <w:r w:rsidR="00156AB7" w:rsidRPr="004231F4">
        <w:rPr>
          <w:lang w:val="en-GB"/>
        </w:rPr>
        <w:t>.</w:t>
      </w:r>
      <w:r w:rsidR="00104A32" w:rsidRPr="004231F4">
        <w:rPr>
          <w:lang w:val="en-GB"/>
        </w:rPr>
        <w:t xml:space="preserve"> The main basis for this is the apparent failure, on the respondents’ own version, to </w:t>
      </w:r>
      <w:r w:rsidR="00243081" w:rsidRPr="004231F4">
        <w:rPr>
          <w:lang w:val="en-GB"/>
        </w:rPr>
        <w:t xml:space="preserve">comply with the prescribed process by </w:t>
      </w:r>
      <w:r w:rsidR="00104A32" w:rsidRPr="004231F4">
        <w:rPr>
          <w:lang w:val="en-GB"/>
        </w:rPr>
        <w:t>consider</w:t>
      </w:r>
      <w:r w:rsidR="00243081" w:rsidRPr="004231F4">
        <w:rPr>
          <w:lang w:val="en-GB"/>
        </w:rPr>
        <w:t>ing</w:t>
      </w:r>
      <w:r w:rsidR="00104A32" w:rsidRPr="004231F4">
        <w:rPr>
          <w:lang w:val="en-GB"/>
        </w:rPr>
        <w:t xml:space="preserve"> the issue of ‘likelihood’ in determining the </w:t>
      </w:r>
      <w:r w:rsidR="00431B14" w:rsidRPr="004231F4">
        <w:rPr>
          <w:lang w:val="en-GB"/>
        </w:rPr>
        <w:t xml:space="preserve">appropriate </w:t>
      </w:r>
      <w:r w:rsidR="00104A32" w:rsidRPr="004231F4">
        <w:rPr>
          <w:lang w:val="en-GB"/>
        </w:rPr>
        <w:t>sanction to be imposed on the applicant</w:t>
      </w:r>
      <w:r w:rsidR="00243081" w:rsidRPr="004231F4">
        <w:rPr>
          <w:lang w:val="en-GB"/>
        </w:rPr>
        <w:t xml:space="preserve">. </w:t>
      </w:r>
      <w:r w:rsidR="005C4D3B" w:rsidRPr="004231F4">
        <w:rPr>
          <w:lang w:val="en-GB"/>
        </w:rPr>
        <w:t>Lawfulness is a well-established component of the constitutional right to just administrative action and, in terms of PAJA, it is accepted that all relevant considerations must be taken into account by an administrator.</w:t>
      </w:r>
      <w:r w:rsidR="001D051D">
        <w:rPr>
          <w:rStyle w:val="FootnoteReference"/>
          <w:lang w:val="en-GB"/>
        </w:rPr>
        <w:footnoteReference w:id="35"/>
      </w:r>
      <w:r w:rsidR="005C4D3B" w:rsidRPr="004231F4">
        <w:rPr>
          <w:lang w:val="en-GB"/>
        </w:rPr>
        <w:t xml:space="preserve"> </w:t>
      </w:r>
      <w:r w:rsidR="00124DA9" w:rsidRPr="004231F4">
        <w:rPr>
          <w:lang w:val="en-GB"/>
        </w:rPr>
        <w:t xml:space="preserve">To this may be added the procedural anomalies raised by the applicant </w:t>
      </w:r>
      <w:r w:rsidR="002377D2" w:rsidRPr="004231F4">
        <w:rPr>
          <w:lang w:val="en-GB"/>
        </w:rPr>
        <w:t xml:space="preserve">in respect of the </w:t>
      </w:r>
      <w:r w:rsidR="00874069" w:rsidRPr="004231F4">
        <w:rPr>
          <w:lang w:val="en-GB"/>
        </w:rPr>
        <w:t>notice of intended suspension</w:t>
      </w:r>
      <w:r w:rsidR="002377D2" w:rsidRPr="004231F4">
        <w:rPr>
          <w:lang w:val="en-GB"/>
        </w:rPr>
        <w:t xml:space="preserve">. </w:t>
      </w:r>
      <w:r w:rsidR="00AF6173" w:rsidRPr="004231F4">
        <w:rPr>
          <w:lang w:val="en-GB"/>
        </w:rPr>
        <w:t xml:space="preserve">These matters were not addressed on appeal to the director. </w:t>
      </w:r>
    </w:p>
    <w:p w14:paraId="58306A27" w14:textId="77777777" w:rsidR="00047FCD" w:rsidRDefault="00047FCD" w:rsidP="00047FCD">
      <w:pPr>
        <w:pStyle w:val="ListParagraph"/>
        <w:autoSpaceDE w:val="0"/>
        <w:autoSpaceDN w:val="0"/>
        <w:adjustRightInd w:val="0"/>
        <w:ind w:left="0"/>
        <w:jc w:val="both"/>
        <w:rPr>
          <w:lang w:val="en-GB"/>
        </w:rPr>
      </w:pPr>
    </w:p>
    <w:p w14:paraId="54ECC426" w14:textId="4D863306" w:rsidR="006749D6" w:rsidRPr="004231F4" w:rsidRDefault="004231F4" w:rsidP="004231F4">
      <w:pPr>
        <w:autoSpaceDE w:val="0"/>
        <w:autoSpaceDN w:val="0"/>
        <w:adjustRightInd w:val="0"/>
        <w:jc w:val="both"/>
        <w:rPr>
          <w:lang w:val="en-GB"/>
        </w:rPr>
      </w:pPr>
      <w:r w:rsidRPr="00047FCD">
        <w:rPr>
          <w:lang w:val="en-GB"/>
        </w:rPr>
        <w:t>[30]</w:t>
      </w:r>
      <w:r w:rsidRPr="00047FCD">
        <w:rPr>
          <w:lang w:val="en-GB"/>
        </w:rPr>
        <w:tab/>
      </w:r>
      <w:r w:rsidR="00DB24E6" w:rsidRPr="004231F4">
        <w:rPr>
          <w:lang w:val="en-GB"/>
        </w:rPr>
        <w:t>The additional facts set up in contradiction by the respondents do not cast serious doubt on the applicant’s case</w:t>
      </w:r>
      <w:r w:rsidR="00C634B5" w:rsidRPr="004231F4">
        <w:rPr>
          <w:lang w:val="en-GB"/>
        </w:rPr>
        <w:t xml:space="preserve">, which is premised on the constitutional right to </w:t>
      </w:r>
      <w:r w:rsidR="00AE73A9" w:rsidRPr="004231F4">
        <w:rPr>
          <w:lang w:val="en-GB"/>
        </w:rPr>
        <w:t>just administrative action</w:t>
      </w:r>
      <w:r w:rsidR="00BC79BE" w:rsidRPr="004231F4">
        <w:rPr>
          <w:lang w:val="en-GB"/>
        </w:rPr>
        <w:t>.</w:t>
      </w:r>
    </w:p>
    <w:p w14:paraId="76E89FAD" w14:textId="77777777" w:rsidR="00DB24E6" w:rsidRPr="00DB24E6" w:rsidRDefault="00DB24E6" w:rsidP="00DB24E6">
      <w:pPr>
        <w:pStyle w:val="ListParagraph"/>
        <w:rPr>
          <w:lang w:val="en-GB"/>
        </w:rPr>
      </w:pPr>
    </w:p>
    <w:p w14:paraId="31C53E02" w14:textId="312F4F27" w:rsidR="00DB24E6" w:rsidRPr="004231F4" w:rsidRDefault="004231F4" w:rsidP="004231F4">
      <w:pPr>
        <w:autoSpaceDE w:val="0"/>
        <w:autoSpaceDN w:val="0"/>
        <w:adjustRightInd w:val="0"/>
        <w:jc w:val="both"/>
        <w:rPr>
          <w:lang w:val="en-GB"/>
        </w:rPr>
      </w:pPr>
      <w:r>
        <w:rPr>
          <w:lang w:val="en-GB"/>
        </w:rPr>
        <w:t>[31]</w:t>
      </w:r>
      <w:r>
        <w:rPr>
          <w:lang w:val="en-GB"/>
        </w:rPr>
        <w:tab/>
      </w:r>
      <w:r w:rsidR="00BC79BE" w:rsidRPr="004231F4">
        <w:rPr>
          <w:lang w:val="en-GB"/>
        </w:rPr>
        <w:t xml:space="preserve">The applicant has also established a well-grounded apprehension of irreparable harm if the interim relief is not granted and the ultimate relief is eventually granted. </w:t>
      </w:r>
      <w:r w:rsidR="008530FD" w:rsidRPr="004231F4">
        <w:rPr>
          <w:lang w:val="en-GB"/>
        </w:rPr>
        <w:t>Obje</w:t>
      </w:r>
      <w:r w:rsidR="008E40BD" w:rsidRPr="004231F4">
        <w:rPr>
          <w:lang w:val="en-GB"/>
        </w:rPr>
        <w:t>c</w:t>
      </w:r>
      <w:r w:rsidR="008530FD" w:rsidRPr="004231F4">
        <w:rPr>
          <w:lang w:val="en-GB"/>
        </w:rPr>
        <w:t xml:space="preserve">tively assessed, </w:t>
      </w:r>
      <w:r w:rsidR="008E40BD" w:rsidRPr="004231F4">
        <w:rPr>
          <w:lang w:val="en-GB"/>
        </w:rPr>
        <w:t>the applicant is right to be concerned that the period of suspension of his licence will lapse</w:t>
      </w:r>
      <w:r w:rsidR="00071FFA" w:rsidRPr="004231F4">
        <w:rPr>
          <w:lang w:val="en-GB"/>
        </w:rPr>
        <w:t>, in the absence of any further available internal remedy,</w:t>
      </w:r>
      <w:r w:rsidR="008E40BD" w:rsidRPr="004231F4">
        <w:rPr>
          <w:lang w:val="en-GB"/>
        </w:rPr>
        <w:t xml:space="preserve"> before the part B review is heard and finalised. This will impact on the applicant’s rights to </w:t>
      </w:r>
      <w:r w:rsidR="006C7491" w:rsidRPr="004231F4">
        <w:rPr>
          <w:lang w:val="en-GB"/>
        </w:rPr>
        <w:t>just administrative action and dignity, in that the applicant will be deprived of utilising his aircraft for business and personal reasons, and for participation in air shows to which he has committed himself.</w:t>
      </w:r>
      <w:r w:rsidR="00980945" w:rsidRPr="004231F4">
        <w:rPr>
          <w:lang w:val="en-GB"/>
        </w:rPr>
        <w:t xml:space="preserve"> </w:t>
      </w:r>
    </w:p>
    <w:p w14:paraId="1A2DC604" w14:textId="77777777" w:rsidR="006749D6" w:rsidRPr="006749D6" w:rsidRDefault="006749D6" w:rsidP="006749D6">
      <w:pPr>
        <w:pStyle w:val="ListParagraph"/>
        <w:rPr>
          <w:lang w:val="en-GB"/>
        </w:rPr>
      </w:pPr>
    </w:p>
    <w:p w14:paraId="68BA2E7F" w14:textId="736D3954" w:rsidR="00980945" w:rsidRPr="004231F4" w:rsidRDefault="004231F4" w:rsidP="004231F4">
      <w:pPr>
        <w:autoSpaceDE w:val="0"/>
        <w:autoSpaceDN w:val="0"/>
        <w:adjustRightInd w:val="0"/>
        <w:jc w:val="both"/>
        <w:rPr>
          <w:lang w:val="en-GB"/>
        </w:rPr>
      </w:pPr>
      <w:r>
        <w:rPr>
          <w:lang w:val="en-GB"/>
        </w:rPr>
        <w:t>[32]</w:t>
      </w:r>
      <w:r>
        <w:rPr>
          <w:lang w:val="en-GB"/>
        </w:rPr>
        <w:tab/>
      </w:r>
      <w:r w:rsidR="00980945" w:rsidRPr="004231F4">
        <w:rPr>
          <w:lang w:val="en-GB"/>
        </w:rPr>
        <w:t xml:space="preserve">The court must also weigh the prejudice to the applicant if the interdict is refused against the prejudice to the respondents if it is granted. </w:t>
      </w:r>
      <w:r w:rsidR="00DC0BEE" w:rsidRPr="004231F4">
        <w:rPr>
          <w:lang w:val="en-GB"/>
        </w:rPr>
        <w:t>The respondents argue that the CAA will be prejudiced in the event that the applicant does not serve the entire six-month suspension period, also for purposes of deterring any future transgressions of the same nature</w:t>
      </w:r>
      <w:r w:rsidR="00BF46FC" w:rsidRPr="004231F4">
        <w:rPr>
          <w:lang w:val="en-GB"/>
        </w:rPr>
        <w:t xml:space="preserve">, which outweighs any inconvenience to the applicant. </w:t>
      </w:r>
      <w:r w:rsidR="00904158" w:rsidRPr="004231F4">
        <w:rPr>
          <w:lang w:val="en-GB"/>
        </w:rPr>
        <w:t>Granting the interim relief would, it is suggested</w:t>
      </w:r>
      <w:r w:rsidR="00A41249" w:rsidRPr="004231F4">
        <w:rPr>
          <w:lang w:val="en-GB"/>
        </w:rPr>
        <w:t>,</w:t>
      </w:r>
      <w:r w:rsidR="00904158" w:rsidRPr="004231F4">
        <w:rPr>
          <w:lang w:val="en-GB"/>
        </w:rPr>
        <w:t xml:space="preserve"> constitute a bad precedent.</w:t>
      </w:r>
      <w:r w:rsidR="00C436CE" w:rsidRPr="004231F4">
        <w:rPr>
          <w:lang w:val="en-GB"/>
        </w:rPr>
        <w:t xml:space="preserve"> This is balanced </w:t>
      </w:r>
      <w:r w:rsidR="00040661" w:rsidRPr="004231F4">
        <w:rPr>
          <w:lang w:val="en-GB"/>
        </w:rPr>
        <w:t>by the prejudice to the applicant in the form of being deprived of the licence, and the ability to fly for personal and business reasons</w:t>
      </w:r>
      <w:r w:rsidR="00622D6A" w:rsidRPr="004231F4">
        <w:rPr>
          <w:lang w:val="en-GB"/>
        </w:rPr>
        <w:t>, as previously discussed</w:t>
      </w:r>
      <w:r w:rsidR="00040661" w:rsidRPr="004231F4">
        <w:rPr>
          <w:lang w:val="en-GB"/>
        </w:rPr>
        <w:t xml:space="preserve">. As </w:t>
      </w:r>
      <w:r w:rsidR="00040661" w:rsidRPr="004231F4">
        <w:rPr>
          <w:i/>
          <w:iCs/>
          <w:lang w:val="en-GB"/>
        </w:rPr>
        <w:t>Mr Beyleveld</w:t>
      </w:r>
      <w:r w:rsidR="00040661" w:rsidRPr="004231F4">
        <w:rPr>
          <w:lang w:val="en-GB"/>
        </w:rPr>
        <w:t xml:space="preserve"> pointed out, the </w:t>
      </w:r>
      <w:r w:rsidR="00A659CB" w:rsidRPr="004231F4">
        <w:rPr>
          <w:lang w:val="en-GB"/>
        </w:rPr>
        <w:t xml:space="preserve">absence of prejudice to the </w:t>
      </w:r>
      <w:r w:rsidR="002B05FF" w:rsidRPr="004231F4">
        <w:rPr>
          <w:lang w:val="en-GB"/>
        </w:rPr>
        <w:t>CAA</w:t>
      </w:r>
      <w:r w:rsidR="00FD0FA7" w:rsidRPr="004231F4">
        <w:rPr>
          <w:lang w:val="en-GB"/>
        </w:rPr>
        <w:t xml:space="preserve"> </w:t>
      </w:r>
      <w:r w:rsidR="00B41D13" w:rsidRPr="004231F4">
        <w:rPr>
          <w:lang w:val="en-GB"/>
        </w:rPr>
        <w:t>is demonstrated by the reality that the applicant continued to fly for some months after the incident</w:t>
      </w:r>
      <w:r w:rsidR="006B4A68" w:rsidRPr="004231F4">
        <w:rPr>
          <w:lang w:val="en-GB"/>
        </w:rPr>
        <w:t>. Granting the interim relief</w:t>
      </w:r>
      <w:r w:rsidR="00A07466" w:rsidRPr="004231F4">
        <w:rPr>
          <w:lang w:val="en-GB"/>
        </w:rPr>
        <w:t xml:space="preserve"> on the facts of this matter</w:t>
      </w:r>
      <w:r w:rsidR="006B4A68" w:rsidRPr="004231F4">
        <w:rPr>
          <w:lang w:val="en-GB"/>
        </w:rPr>
        <w:t xml:space="preserve"> will not </w:t>
      </w:r>
      <w:r w:rsidR="00A07466" w:rsidRPr="004231F4">
        <w:rPr>
          <w:lang w:val="en-GB"/>
        </w:rPr>
        <w:t>create any undesirable precedent binding on other courts</w:t>
      </w:r>
      <w:r w:rsidR="002B05FF" w:rsidRPr="004231F4">
        <w:rPr>
          <w:lang w:val="en-GB"/>
        </w:rPr>
        <w:t xml:space="preserve"> and the CAA’s </w:t>
      </w:r>
      <w:r w:rsidR="00FD0FA7" w:rsidRPr="004231F4">
        <w:rPr>
          <w:lang w:val="en-GB"/>
        </w:rPr>
        <w:t xml:space="preserve">objectives relating to civil aviation safety and security may </w:t>
      </w:r>
      <w:r w:rsidR="00190E0E" w:rsidRPr="004231F4">
        <w:rPr>
          <w:lang w:val="en-GB"/>
        </w:rPr>
        <w:t xml:space="preserve">receive expression </w:t>
      </w:r>
      <w:r w:rsidR="0000153D" w:rsidRPr="004231F4">
        <w:rPr>
          <w:lang w:val="en-GB"/>
        </w:rPr>
        <w:t xml:space="preserve">subsequent to the review. </w:t>
      </w:r>
      <w:r w:rsidR="00FB6F29" w:rsidRPr="004231F4">
        <w:rPr>
          <w:lang w:val="en-GB"/>
        </w:rPr>
        <w:t xml:space="preserve">Considering these factors, together with the absence of an alternative remedy, in the appropriate, inter-related </w:t>
      </w:r>
      <w:r w:rsidR="00874C55" w:rsidRPr="004231F4">
        <w:rPr>
          <w:lang w:val="en-GB"/>
        </w:rPr>
        <w:t xml:space="preserve">manner </w:t>
      </w:r>
      <w:r w:rsidR="000B4180" w:rsidRPr="004231F4">
        <w:rPr>
          <w:lang w:val="en-GB"/>
        </w:rPr>
        <w:t>required</w:t>
      </w:r>
      <w:r w:rsidR="006E2FA2" w:rsidRPr="004231F4">
        <w:rPr>
          <w:lang w:val="en-GB"/>
        </w:rPr>
        <w:t>,</w:t>
      </w:r>
      <w:r w:rsidR="000B4180" w:rsidRPr="004231F4">
        <w:rPr>
          <w:lang w:val="en-GB"/>
        </w:rPr>
        <w:t xml:space="preserve"> results in the conclusion that th</w:t>
      </w:r>
      <w:r w:rsidR="00D02AEC" w:rsidRPr="004231F4">
        <w:rPr>
          <w:lang w:val="en-GB"/>
        </w:rPr>
        <w:t>is part of the</w:t>
      </w:r>
      <w:r w:rsidR="000B4180" w:rsidRPr="004231F4">
        <w:rPr>
          <w:lang w:val="en-GB"/>
        </w:rPr>
        <w:t xml:space="preserve"> application </w:t>
      </w:r>
      <w:r w:rsidR="00C551EB" w:rsidRPr="004231F4">
        <w:rPr>
          <w:lang w:val="en-GB"/>
        </w:rPr>
        <w:t>must succeed.</w:t>
      </w:r>
    </w:p>
    <w:p w14:paraId="1A322344" w14:textId="77777777" w:rsidR="00C551EB" w:rsidRDefault="00C551EB" w:rsidP="00C551EB">
      <w:pPr>
        <w:pStyle w:val="ListParagraph"/>
        <w:autoSpaceDE w:val="0"/>
        <w:autoSpaceDN w:val="0"/>
        <w:adjustRightInd w:val="0"/>
        <w:ind w:left="0"/>
        <w:jc w:val="both"/>
        <w:rPr>
          <w:lang w:val="en-GB"/>
        </w:rPr>
      </w:pPr>
    </w:p>
    <w:p w14:paraId="763389BA" w14:textId="0A3BC5CC" w:rsidR="00C551EB" w:rsidRPr="004231F4" w:rsidRDefault="004231F4" w:rsidP="004231F4">
      <w:pPr>
        <w:autoSpaceDE w:val="0"/>
        <w:autoSpaceDN w:val="0"/>
        <w:adjustRightInd w:val="0"/>
        <w:jc w:val="both"/>
        <w:rPr>
          <w:lang w:val="en-GB"/>
        </w:rPr>
      </w:pPr>
      <w:r>
        <w:rPr>
          <w:lang w:val="en-GB"/>
        </w:rPr>
        <w:t>[33]</w:t>
      </w:r>
      <w:r>
        <w:rPr>
          <w:lang w:val="en-GB"/>
        </w:rPr>
        <w:tab/>
      </w:r>
      <w:r w:rsidR="00C551EB" w:rsidRPr="004231F4">
        <w:rPr>
          <w:lang w:val="en-GB"/>
        </w:rPr>
        <w:t>The following order will issue:</w:t>
      </w:r>
    </w:p>
    <w:p w14:paraId="1A876972" w14:textId="77777777" w:rsidR="00C551EB" w:rsidRPr="00C551EB" w:rsidRDefault="00C551EB" w:rsidP="00C551EB">
      <w:pPr>
        <w:pStyle w:val="ListParagraph"/>
        <w:rPr>
          <w:lang w:val="en-GB"/>
        </w:rPr>
      </w:pPr>
    </w:p>
    <w:p w14:paraId="7524A97F" w14:textId="6802462E" w:rsidR="00C551EB" w:rsidRPr="004231F4" w:rsidRDefault="004231F4" w:rsidP="004231F4">
      <w:pPr>
        <w:autoSpaceDE w:val="0"/>
        <w:autoSpaceDN w:val="0"/>
        <w:adjustRightInd w:val="0"/>
        <w:ind w:left="720" w:hanging="360"/>
        <w:jc w:val="both"/>
        <w:rPr>
          <w:lang w:val="en-GB"/>
        </w:rPr>
      </w:pPr>
      <w:r>
        <w:rPr>
          <w:lang w:val="en-GB"/>
        </w:rPr>
        <w:t>1.</w:t>
      </w:r>
      <w:r>
        <w:rPr>
          <w:lang w:val="en-GB"/>
        </w:rPr>
        <w:tab/>
      </w:r>
      <w:r w:rsidR="00C551EB" w:rsidRPr="004231F4">
        <w:rPr>
          <w:lang w:val="en-GB"/>
        </w:rPr>
        <w:t>The implementation of the First Respondent’s decision of 6 April 2023, suspending the applicant’s private pilot’s licence for a period of six months, and confirmed by the second respondent’s decision of 13 April 2023, is suspended</w:t>
      </w:r>
      <w:r w:rsidR="002E5807" w:rsidRPr="004231F4">
        <w:rPr>
          <w:lang w:val="en-GB"/>
        </w:rPr>
        <w:t xml:space="preserve"> pending the determination of part B of the application.</w:t>
      </w:r>
    </w:p>
    <w:p w14:paraId="6EBC0821" w14:textId="77777777" w:rsidR="002E5807" w:rsidRDefault="002E5807" w:rsidP="002E5807">
      <w:pPr>
        <w:pStyle w:val="ListParagraph"/>
        <w:autoSpaceDE w:val="0"/>
        <w:autoSpaceDN w:val="0"/>
        <w:adjustRightInd w:val="0"/>
        <w:jc w:val="both"/>
        <w:rPr>
          <w:lang w:val="en-GB"/>
        </w:rPr>
      </w:pPr>
    </w:p>
    <w:p w14:paraId="430C1B6C" w14:textId="07D2DFB9" w:rsidR="002E5807" w:rsidRPr="004231F4" w:rsidRDefault="004231F4" w:rsidP="004231F4">
      <w:pPr>
        <w:autoSpaceDE w:val="0"/>
        <w:autoSpaceDN w:val="0"/>
        <w:adjustRightInd w:val="0"/>
        <w:ind w:left="720" w:hanging="360"/>
        <w:jc w:val="both"/>
        <w:rPr>
          <w:lang w:val="en-GB"/>
        </w:rPr>
      </w:pPr>
      <w:r>
        <w:rPr>
          <w:lang w:val="en-GB"/>
        </w:rPr>
        <w:t>2.</w:t>
      </w:r>
      <w:r>
        <w:rPr>
          <w:lang w:val="en-GB"/>
        </w:rPr>
        <w:tab/>
      </w:r>
      <w:r w:rsidR="002E5807" w:rsidRPr="004231F4">
        <w:rPr>
          <w:lang w:val="en-GB"/>
        </w:rPr>
        <w:t xml:space="preserve">The hearing of Part B of the application is postponed </w:t>
      </w:r>
      <w:r w:rsidR="002E5807" w:rsidRPr="004231F4">
        <w:rPr>
          <w:i/>
          <w:iCs/>
          <w:lang w:val="en-GB"/>
        </w:rPr>
        <w:t>sine die</w:t>
      </w:r>
      <w:r w:rsidR="002E5807" w:rsidRPr="004231F4">
        <w:rPr>
          <w:lang w:val="en-GB"/>
        </w:rPr>
        <w:t>, to be enrolled in terms of the rules of court.</w:t>
      </w:r>
    </w:p>
    <w:p w14:paraId="4284DF0B" w14:textId="77777777" w:rsidR="002E5807" w:rsidRPr="002E5807" w:rsidRDefault="002E5807" w:rsidP="002E5807">
      <w:pPr>
        <w:pStyle w:val="ListParagraph"/>
        <w:rPr>
          <w:lang w:val="en-GB"/>
        </w:rPr>
      </w:pPr>
    </w:p>
    <w:p w14:paraId="27A1F2EF" w14:textId="0C0DC1DA" w:rsidR="002E5807" w:rsidRPr="004231F4" w:rsidRDefault="004231F4" w:rsidP="004231F4">
      <w:pPr>
        <w:autoSpaceDE w:val="0"/>
        <w:autoSpaceDN w:val="0"/>
        <w:adjustRightInd w:val="0"/>
        <w:ind w:left="720" w:hanging="360"/>
        <w:jc w:val="both"/>
        <w:rPr>
          <w:lang w:val="en-GB"/>
        </w:rPr>
      </w:pPr>
      <w:r>
        <w:rPr>
          <w:lang w:val="en-GB"/>
        </w:rPr>
        <w:t>3.</w:t>
      </w:r>
      <w:r>
        <w:rPr>
          <w:lang w:val="en-GB"/>
        </w:rPr>
        <w:tab/>
      </w:r>
      <w:r w:rsidR="002E5807" w:rsidRPr="004231F4">
        <w:rPr>
          <w:lang w:val="en-GB"/>
        </w:rPr>
        <w:t xml:space="preserve">Costs are reserved. </w:t>
      </w:r>
    </w:p>
    <w:p w14:paraId="4996ADEE" w14:textId="77777777" w:rsidR="00980945" w:rsidRPr="00980945" w:rsidRDefault="00980945" w:rsidP="00980945">
      <w:pPr>
        <w:pStyle w:val="ListParagraph"/>
        <w:rPr>
          <w:lang w:val="en-GB"/>
        </w:rPr>
      </w:pPr>
    </w:p>
    <w:p w14:paraId="016617E2" w14:textId="5DE4CF27" w:rsidR="00775835" w:rsidRDefault="00775835" w:rsidP="00682CE5">
      <w:pPr>
        <w:autoSpaceDE w:val="0"/>
        <w:autoSpaceDN w:val="0"/>
        <w:adjustRightInd w:val="0"/>
        <w:jc w:val="both"/>
        <w:rPr>
          <w:lang w:val="en-GB"/>
        </w:rPr>
      </w:pPr>
    </w:p>
    <w:p w14:paraId="2DEC06BA" w14:textId="66761EF1" w:rsidR="00433B58" w:rsidRDefault="00433B58" w:rsidP="00682CE5">
      <w:pPr>
        <w:autoSpaceDE w:val="0"/>
        <w:autoSpaceDN w:val="0"/>
        <w:adjustRightInd w:val="0"/>
        <w:jc w:val="both"/>
        <w:rPr>
          <w:lang w:val="en-GB"/>
        </w:rPr>
      </w:pPr>
    </w:p>
    <w:p w14:paraId="5C8DF896" w14:textId="77777777" w:rsidR="00E26A03" w:rsidRDefault="00E26A03" w:rsidP="00682CE5">
      <w:pPr>
        <w:autoSpaceDE w:val="0"/>
        <w:autoSpaceDN w:val="0"/>
        <w:adjustRightInd w:val="0"/>
        <w:jc w:val="both"/>
        <w:rPr>
          <w:lang w:val="en-GB"/>
        </w:rPr>
      </w:pPr>
    </w:p>
    <w:p w14:paraId="4A61F83E" w14:textId="0A0A0BC2" w:rsidR="00433B58" w:rsidRDefault="00433B58" w:rsidP="00682CE5">
      <w:pPr>
        <w:autoSpaceDE w:val="0"/>
        <w:autoSpaceDN w:val="0"/>
        <w:adjustRightInd w:val="0"/>
        <w:jc w:val="both"/>
        <w:rPr>
          <w:lang w:val="en-GB"/>
        </w:rPr>
      </w:pPr>
    </w:p>
    <w:p w14:paraId="3E71CAF2" w14:textId="73FE1634" w:rsidR="00433B58" w:rsidRDefault="00E26A03" w:rsidP="00682CE5">
      <w:pPr>
        <w:autoSpaceDE w:val="0"/>
        <w:autoSpaceDN w:val="0"/>
        <w:adjustRightInd w:val="0"/>
        <w:jc w:val="both"/>
        <w:rPr>
          <w:lang w:val="en-GB"/>
        </w:rPr>
      </w:pPr>
      <w:r w:rsidRPr="00FD5CA5">
        <w:rPr>
          <w:rFonts w:ascii="Calibri" w:hAnsi="Calibri" w:cs="Calibri"/>
          <w:noProof/>
          <w:sz w:val="22"/>
          <w:szCs w:val="22"/>
          <w:lang w:val="en-US"/>
        </w:rPr>
        <w:lastRenderedPageBreak/>
        <w:drawing>
          <wp:anchor distT="36576" distB="36576" distL="36576" distR="36576" simplePos="0" relativeHeight="251659264" behindDoc="0" locked="0" layoutInCell="1" allowOverlap="1" wp14:anchorId="3D1E5AB3" wp14:editId="78740B7E">
            <wp:simplePos x="0" y="0"/>
            <wp:positionH relativeFrom="column">
              <wp:posOffset>201420</wp:posOffset>
            </wp:positionH>
            <wp:positionV relativeFrom="paragraph">
              <wp:posOffset>123416</wp:posOffset>
            </wp:positionV>
            <wp:extent cx="746760" cy="644525"/>
            <wp:effectExtent l="0" t="0" r="0" b="0"/>
            <wp:wrapThrough wrapText="bothSides">
              <wp:wrapPolygon edited="0">
                <wp:start x="0" y="0"/>
                <wp:lineTo x="0" y="20430"/>
                <wp:lineTo x="20571" y="20430"/>
                <wp:lineTo x="20571" y="0"/>
                <wp:lineTo x="0" y="0"/>
              </wp:wrapPolygon>
            </wp:wrapThrough>
            <wp:docPr id="2" name="Picture 2" descr="9CFF83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CFF83D2"/>
                    <pic:cNvPicPr>
                      <a:picLocks noChangeAspect="1" noChangeArrowheads="1"/>
                    </pic:cNvPicPr>
                  </pic:nvPicPr>
                  <pic:blipFill>
                    <a:blip r:embed="rId9" cstate="print">
                      <a:extLst>
                        <a:ext uri="{28A0092B-C50C-407E-A947-70E740481C1C}">
                          <a14:useLocalDpi xmlns:a14="http://schemas.microsoft.com/office/drawing/2010/main" val="0"/>
                        </a:ext>
                      </a:extLst>
                    </a:blip>
                    <a:srcRect l="42511" t="32741" r="36382" b="53981"/>
                    <a:stretch>
                      <a:fillRect/>
                    </a:stretch>
                  </pic:blipFill>
                  <pic:spPr bwMode="auto">
                    <a:xfrm>
                      <a:off x="0" y="0"/>
                      <a:ext cx="746760" cy="644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08A760" w14:textId="75A6C7E4" w:rsidR="00433B58" w:rsidRDefault="00433B58" w:rsidP="00682CE5">
      <w:pPr>
        <w:autoSpaceDE w:val="0"/>
        <w:autoSpaceDN w:val="0"/>
        <w:adjustRightInd w:val="0"/>
        <w:jc w:val="both"/>
        <w:rPr>
          <w:lang w:val="en-GB"/>
        </w:rPr>
      </w:pPr>
    </w:p>
    <w:p w14:paraId="1A4F718A" w14:textId="77777777" w:rsidR="00E26A03" w:rsidRPr="00044B50" w:rsidRDefault="00E26A03"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4188E668" w:rsidR="007A7BBE" w:rsidRPr="00A87D38" w:rsidRDefault="007A7BBE" w:rsidP="00CA056D">
      <w:pPr>
        <w:widowControl w:val="0"/>
        <w:ind w:right="656"/>
        <w:rPr>
          <w:spacing w:val="14"/>
          <w:kern w:val="2"/>
          <w:lang w:val="en-GB"/>
        </w:rPr>
      </w:pPr>
      <w:r w:rsidRPr="00A87D38">
        <w:rPr>
          <w:spacing w:val="14"/>
          <w:kern w:val="2"/>
          <w:lang w:val="en-GB"/>
        </w:rPr>
        <w:t>Heard:</w:t>
      </w:r>
      <w:r w:rsidR="002B4FE8">
        <w:rPr>
          <w:spacing w:val="14"/>
          <w:kern w:val="2"/>
          <w:lang w:val="en-GB"/>
        </w:rPr>
        <w:tab/>
        <w:t>6 June 2023</w:t>
      </w:r>
    </w:p>
    <w:p w14:paraId="299C01BC" w14:textId="77777777" w:rsidR="00CA056D" w:rsidRDefault="00CA056D" w:rsidP="000D4C7F">
      <w:pPr>
        <w:widowControl w:val="0"/>
        <w:ind w:left="4320" w:right="656" w:firstLine="720"/>
        <w:jc w:val="right"/>
        <w:rPr>
          <w:spacing w:val="14"/>
          <w:kern w:val="2"/>
          <w:lang w:val="en-GB"/>
        </w:rPr>
      </w:pPr>
    </w:p>
    <w:p w14:paraId="5D550954" w14:textId="320511B2" w:rsidR="007A7BBE" w:rsidRPr="00A87D38" w:rsidRDefault="007A7BBE" w:rsidP="00CA056D">
      <w:pPr>
        <w:widowControl w:val="0"/>
        <w:ind w:right="656"/>
        <w:rPr>
          <w:spacing w:val="14"/>
          <w:kern w:val="2"/>
          <w:lang w:val="en-GB"/>
        </w:rPr>
      </w:pPr>
      <w:r w:rsidRPr="00A87D38">
        <w:rPr>
          <w:spacing w:val="14"/>
          <w:kern w:val="2"/>
          <w:lang w:val="en-GB"/>
        </w:rPr>
        <w:t>Delivered:</w:t>
      </w:r>
      <w:r w:rsidR="002B4FE8">
        <w:rPr>
          <w:spacing w:val="14"/>
          <w:kern w:val="2"/>
          <w:lang w:val="en-GB"/>
        </w:rPr>
        <w:tab/>
        <w:t>6 June 2023</w:t>
      </w:r>
    </w:p>
    <w:p w14:paraId="398380BF" w14:textId="77777777" w:rsidR="007A7BBE" w:rsidRPr="00044B50" w:rsidRDefault="007A7BBE"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284929AC" w:rsidR="00C33845" w:rsidRDefault="00C33845" w:rsidP="00772E4B">
      <w:pPr>
        <w:jc w:val="both"/>
        <w:rPr>
          <w:lang w:val="en-GB"/>
        </w:rPr>
      </w:pPr>
      <w:r>
        <w:rPr>
          <w:lang w:val="en-GB"/>
        </w:rPr>
        <w:t xml:space="preserve">For </w:t>
      </w:r>
      <w:r w:rsidR="002B4FE8">
        <w:rPr>
          <w:lang w:val="en-GB"/>
        </w:rPr>
        <w:t>the applicant:</w:t>
      </w:r>
      <w:r>
        <w:rPr>
          <w:lang w:val="en-GB"/>
        </w:rPr>
        <w:tab/>
      </w:r>
      <w:r>
        <w:rPr>
          <w:lang w:val="en-GB"/>
        </w:rPr>
        <w:tab/>
      </w:r>
      <w:r>
        <w:rPr>
          <w:lang w:val="en-GB"/>
        </w:rPr>
        <w:tab/>
      </w:r>
      <w:r>
        <w:rPr>
          <w:lang w:val="en-GB"/>
        </w:rPr>
        <w:tab/>
      </w:r>
      <w:r w:rsidR="002B4FE8">
        <w:rPr>
          <w:lang w:val="en-GB"/>
        </w:rPr>
        <w:t>Adv A Beyleveld SC</w:t>
      </w:r>
    </w:p>
    <w:p w14:paraId="020EA7D5" w14:textId="08028D30" w:rsidR="00C33845" w:rsidRDefault="002B4FE8" w:rsidP="00772E4B">
      <w:pPr>
        <w:jc w:val="both"/>
        <w:rPr>
          <w:lang w:val="en-GB"/>
        </w:rPr>
      </w:pPr>
      <w:r>
        <w:rPr>
          <w:lang w:val="en-GB"/>
        </w:rPr>
        <w:tab/>
      </w:r>
      <w:r>
        <w:rPr>
          <w:lang w:val="en-GB"/>
        </w:rPr>
        <w:tab/>
      </w:r>
      <w:r>
        <w:rPr>
          <w:lang w:val="en-GB"/>
        </w:rPr>
        <w:tab/>
      </w:r>
      <w:r>
        <w:rPr>
          <w:lang w:val="en-GB"/>
        </w:rPr>
        <w:tab/>
      </w:r>
      <w:r>
        <w:rPr>
          <w:lang w:val="en-GB"/>
        </w:rPr>
        <w:tab/>
      </w:r>
      <w:r>
        <w:rPr>
          <w:lang w:val="en-GB"/>
        </w:rPr>
        <w:tab/>
        <w:t>Adv T Rossi</w:t>
      </w:r>
    </w:p>
    <w:p w14:paraId="64EF1658" w14:textId="433918BE" w:rsidR="002B4FE8" w:rsidRDefault="002B4FE8" w:rsidP="00772E4B">
      <w:pPr>
        <w:jc w:val="both"/>
        <w:rPr>
          <w:lang w:val="en-GB"/>
        </w:rPr>
      </w:pPr>
    </w:p>
    <w:p w14:paraId="007704A6" w14:textId="3C9E1B8D" w:rsidR="002B4FE8" w:rsidRDefault="002B4FE8" w:rsidP="00772E4B">
      <w:pPr>
        <w:jc w:val="both"/>
        <w:rPr>
          <w:lang w:val="en-GB"/>
        </w:rPr>
      </w:pPr>
      <w:r>
        <w:rPr>
          <w:lang w:val="en-GB"/>
        </w:rPr>
        <w:t>Instructed by:</w:t>
      </w:r>
      <w:r>
        <w:rPr>
          <w:lang w:val="en-GB"/>
        </w:rPr>
        <w:tab/>
      </w:r>
      <w:r>
        <w:rPr>
          <w:lang w:val="en-GB"/>
        </w:rPr>
        <w:tab/>
      </w:r>
      <w:r>
        <w:rPr>
          <w:lang w:val="en-GB"/>
        </w:rPr>
        <w:tab/>
      </w:r>
      <w:r>
        <w:rPr>
          <w:lang w:val="en-GB"/>
        </w:rPr>
        <w:tab/>
        <w:t>Friedman Scheckter</w:t>
      </w:r>
    </w:p>
    <w:p w14:paraId="1893BB9A" w14:textId="13541ABC" w:rsidR="00963EF0" w:rsidRDefault="00963EF0" w:rsidP="00772E4B">
      <w:pPr>
        <w:jc w:val="both"/>
        <w:rPr>
          <w:lang w:val="en-GB"/>
        </w:rPr>
      </w:pPr>
      <w:r>
        <w:rPr>
          <w:lang w:val="en-GB"/>
        </w:rPr>
        <w:tab/>
      </w:r>
      <w:r>
        <w:rPr>
          <w:lang w:val="en-GB"/>
        </w:rPr>
        <w:tab/>
      </w:r>
      <w:r>
        <w:rPr>
          <w:lang w:val="en-GB"/>
        </w:rPr>
        <w:tab/>
      </w:r>
      <w:r>
        <w:rPr>
          <w:lang w:val="en-GB"/>
        </w:rPr>
        <w:tab/>
      </w:r>
      <w:r>
        <w:rPr>
          <w:lang w:val="en-GB"/>
        </w:rPr>
        <w:tab/>
      </w:r>
      <w:r>
        <w:rPr>
          <w:lang w:val="en-GB"/>
        </w:rPr>
        <w:tab/>
        <w:t>75 Second Avenue</w:t>
      </w:r>
    </w:p>
    <w:p w14:paraId="1C9264E2" w14:textId="71A92A68" w:rsidR="00963EF0" w:rsidRDefault="00963EF0" w:rsidP="00772E4B">
      <w:pPr>
        <w:jc w:val="both"/>
        <w:rPr>
          <w:lang w:val="en-GB"/>
        </w:rPr>
      </w:pPr>
      <w:r>
        <w:rPr>
          <w:lang w:val="en-GB"/>
        </w:rPr>
        <w:tab/>
      </w:r>
      <w:r>
        <w:rPr>
          <w:lang w:val="en-GB"/>
        </w:rPr>
        <w:tab/>
      </w:r>
      <w:r>
        <w:rPr>
          <w:lang w:val="en-GB"/>
        </w:rPr>
        <w:tab/>
      </w:r>
      <w:r>
        <w:rPr>
          <w:lang w:val="en-GB"/>
        </w:rPr>
        <w:tab/>
      </w:r>
      <w:r>
        <w:rPr>
          <w:lang w:val="en-GB"/>
        </w:rPr>
        <w:tab/>
      </w:r>
      <w:r>
        <w:rPr>
          <w:lang w:val="en-GB"/>
        </w:rPr>
        <w:tab/>
        <w:t>Newton Park</w:t>
      </w:r>
    </w:p>
    <w:p w14:paraId="01CCCACD" w14:textId="5E5C93AC" w:rsidR="00963EF0" w:rsidRDefault="00963EF0"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23A2D137" w14:textId="77777777" w:rsidR="00C33845" w:rsidRDefault="00C33845" w:rsidP="00772E4B">
      <w:pPr>
        <w:jc w:val="both"/>
        <w:rPr>
          <w:lang w:val="en-GB"/>
        </w:rPr>
      </w:pPr>
    </w:p>
    <w:p w14:paraId="2651B285" w14:textId="77777777" w:rsidR="002B4FE8" w:rsidRDefault="00C33845" w:rsidP="00772E4B">
      <w:pPr>
        <w:jc w:val="both"/>
        <w:rPr>
          <w:lang w:val="en-GB"/>
        </w:rPr>
      </w:pPr>
      <w:r>
        <w:rPr>
          <w:lang w:val="en-GB"/>
        </w:rPr>
        <w:t xml:space="preserve">For </w:t>
      </w:r>
      <w:r w:rsidR="002B4FE8">
        <w:rPr>
          <w:lang w:val="en-GB"/>
        </w:rPr>
        <w:t>the first to third respondents:</w:t>
      </w:r>
      <w:r>
        <w:rPr>
          <w:lang w:val="en-GB"/>
        </w:rPr>
        <w:tab/>
      </w:r>
      <w:r>
        <w:rPr>
          <w:lang w:val="en-GB"/>
        </w:rPr>
        <w:tab/>
      </w:r>
      <w:r w:rsidR="002B4FE8">
        <w:rPr>
          <w:lang w:val="en-GB"/>
        </w:rPr>
        <w:t>Adv T Lupuwana</w:t>
      </w:r>
    </w:p>
    <w:p w14:paraId="04ADE313" w14:textId="77777777" w:rsidR="002B4FE8" w:rsidRDefault="002B4FE8" w:rsidP="00772E4B">
      <w:pPr>
        <w:jc w:val="both"/>
        <w:rPr>
          <w:lang w:val="en-GB"/>
        </w:rPr>
      </w:pPr>
    </w:p>
    <w:p w14:paraId="4877582B" w14:textId="77777777" w:rsidR="00963EF0" w:rsidRDefault="002B4FE8" w:rsidP="00772E4B">
      <w:pPr>
        <w:jc w:val="both"/>
        <w:rPr>
          <w:lang w:val="en-GB"/>
        </w:rPr>
      </w:pPr>
      <w:r>
        <w:rPr>
          <w:lang w:val="en-GB"/>
        </w:rPr>
        <w:t>Instructed by:</w:t>
      </w:r>
      <w:r>
        <w:rPr>
          <w:lang w:val="en-GB"/>
        </w:rPr>
        <w:tab/>
      </w:r>
      <w:r>
        <w:rPr>
          <w:lang w:val="en-GB"/>
        </w:rPr>
        <w:tab/>
      </w:r>
      <w:r>
        <w:rPr>
          <w:lang w:val="en-GB"/>
        </w:rPr>
        <w:tab/>
      </w:r>
      <w:r>
        <w:rPr>
          <w:lang w:val="en-GB"/>
        </w:rPr>
        <w:tab/>
        <w:t>Boqwana Burns Inc</w:t>
      </w:r>
      <w:r w:rsidR="00C33845">
        <w:rPr>
          <w:lang w:val="en-GB"/>
        </w:rPr>
        <w:tab/>
      </w:r>
      <w:r w:rsidR="00C33845">
        <w:rPr>
          <w:lang w:val="en-GB"/>
        </w:rPr>
        <w:tab/>
      </w:r>
    </w:p>
    <w:p w14:paraId="28B1F89B" w14:textId="77777777" w:rsidR="00963EF0" w:rsidRDefault="00963EF0" w:rsidP="00772E4B">
      <w:pPr>
        <w:jc w:val="both"/>
        <w:rPr>
          <w:lang w:val="en-GB"/>
        </w:rPr>
      </w:pPr>
      <w:r>
        <w:rPr>
          <w:lang w:val="en-GB"/>
        </w:rPr>
        <w:tab/>
      </w:r>
      <w:r>
        <w:rPr>
          <w:lang w:val="en-GB"/>
        </w:rPr>
        <w:tab/>
      </w:r>
      <w:r>
        <w:rPr>
          <w:lang w:val="en-GB"/>
        </w:rPr>
        <w:tab/>
      </w:r>
      <w:r>
        <w:rPr>
          <w:lang w:val="en-GB"/>
        </w:rPr>
        <w:tab/>
      </w:r>
      <w:r>
        <w:rPr>
          <w:lang w:val="en-GB"/>
        </w:rPr>
        <w:tab/>
      </w:r>
      <w:r>
        <w:rPr>
          <w:lang w:val="en-GB"/>
        </w:rPr>
        <w:tab/>
        <w:t>84-6</w:t>
      </w:r>
      <w:r w:rsidRPr="00963EF0">
        <w:rPr>
          <w:vertAlign w:val="superscript"/>
          <w:lang w:val="en-GB"/>
        </w:rPr>
        <w:t>th</w:t>
      </w:r>
      <w:r>
        <w:rPr>
          <w:lang w:val="en-GB"/>
        </w:rPr>
        <w:t xml:space="preserve"> Avenue</w:t>
      </w:r>
    </w:p>
    <w:p w14:paraId="6190544B" w14:textId="209A05FA" w:rsidR="00C33845" w:rsidRDefault="00963EF0" w:rsidP="00772E4B">
      <w:pPr>
        <w:jc w:val="both"/>
        <w:rPr>
          <w:lang w:val="en-GB"/>
        </w:rPr>
      </w:pPr>
      <w:r>
        <w:rPr>
          <w:lang w:val="en-GB"/>
        </w:rPr>
        <w:tab/>
      </w:r>
      <w:r>
        <w:rPr>
          <w:lang w:val="en-GB"/>
        </w:rPr>
        <w:tab/>
      </w:r>
      <w:r>
        <w:rPr>
          <w:lang w:val="en-GB"/>
        </w:rPr>
        <w:tab/>
      </w:r>
      <w:r>
        <w:rPr>
          <w:lang w:val="en-GB"/>
        </w:rPr>
        <w:tab/>
      </w:r>
      <w:r>
        <w:rPr>
          <w:lang w:val="en-GB"/>
        </w:rPr>
        <w:tab/>
      </w:r>
      <w:r>
        <w:rPr>
          <w:lang w:val="en-GB"/>
        </w:rPr>
        <w:tab/>
        <w:t>Newton Park</w:t>
      </w:r>
      <w:r w:rsidR="00C33845">
        <w:rPr>
          <w:lang w:val="en-GB"/>
        </w:rPr>
        <w:tab/>
      </w:r>
      <w:r w:rsidR="00C33845">
        <w:rPr>
          <w:lang w:val="en-GB"/>
        </w:rPr>
        <w:tab/>
      </w:r>
      <w:r w:rsidR="00C33845">
        <w:rPr>
          <w:lang w:val="en-GB"/>
        </w:rPr>
        <w:tab/>
      </w:r>
    </w:p>
    <w:p w14:paraId="4FE40F27" w14:textId="694F246B" w:rsidR="00963EF0" w:rsidRPr="00044B50" w:rsidRDefault="00963EF0"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366AEC55" w14:textId="364FDC81" w:rsidR="007C247A" w:rsidRPr="00044B50" w:rsidRDefault="007C247A" w:rsidP="00B32B0A">
      <w:pPr>
        <w:tabs>
          <w:tab w:val="left" w:pos="3261"/>
          <w:tab w:val="left" w:pos="3544"/>
        </w:tabs>
        <w:jc w:val="both"/>
        <w:rPr>
          <w:lang w:val="en-GB"/>
        </w:rPr>
      </w:pPr>
      <w:r w:rsidRPr="00044B50">
        <w:rPr>
          <w:lang w:val="en-GB"/>
        </w:rPr>
        <w:t xml:space="preserve">                                                 </w:t>
      </w:r>
    </w:p>
    <w:p w14:paraId="631AD31F" w14:textId="27A66335" w:rsidR="008677E3" w:rsidRPr="00044B50" w:rsidRDefault="00AA32DA" w:rsidP="00E67CF5">
      <w:pPr>
        <w:tabs>
          <w:tab w:val="left" w:pos="3119"/>
          <w:tab w:val="center" w:pos="3989"/>
        </w:tabs>
        <w:rPr>
          <w:lang w:val="en-GB"/>
        </w:rPr>
      </w:pPr>
      <w:r w:rsidRPr="00044B50">
        <w:rPr>
          <w:lang w:val="en-GB"/>
        </w:rPr>
        <w:t xml:space="preserve">                                      </w:t>
      </w:r>
    </w:p>
    <w:sectPr w:rsidR="008677E3" w:rsidRPr="00044B50" w:rsidSect="00146BA3">
      <w:headerReference w:type="even" r:id="rId10"/>
      <w:head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C0782" w14:textId="77777777" w:rsidR="00DF48EB" w:rsidRDefault="00DF48EB" w:rsidP="00005691">
      <w:r>
        <w:separator/>
      </w:r>
    </w:p>
  </w:endnote>
  <w:endnote w:type="continuationSeparator" w:id="0">
    <w:p w14:paraId="2B24D691" w14:textId="77777777" w:rsidR="00DF48EB" w:rsidRDefault="00DF48EB"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31FAD" w14:textId="77777777" w:rsidR="00DF48EB" w:rsidRDefault="00DF48EB" w:rsidP="00005691">
      <w:r>
        <w:separator/>
      </w:r>
    </w:p>
  </w:footnote>
  <w:footnote w:type="continuationSeparator" w:id="0">
    <w:p w14:paraId="690BE252" w14:textId="77777777" w:rsidR="00DF48EB" w:rsidRDefault="00DF48EB" w:rsidP="00005691">
      <w:r>
        <w:continuationSeparator/>
      </w:r>
    </w:p>
  </w:footnote>
  <w:footnote w:id="1">
    <w:p w14:paraId="24D37046" w14:textId="3973582E" w:rsidR="00D83704" w:rsidRPr="002F5D69" w:rsidRDefault="00D83704" w:rsidP="00EA2F33">
      <w:pPr>
        <w:pStyle w:val="FootnoteText"/>
        <w:spacing w:line="240" w:lineRule="auto"/>
        <w:jc w:val="both"/>
        <w:rPr>
          <w:lang w:val="en-US"/>
        </w:rPr>
      </w:pPr>
      <w:r>
        <w:rPr>
          <w:rStyle w:val="FootnoteReference"/>
        </w:rPr>
        <w:footnoteRef/>
      </w:r>
      <w:r>
        <w:t xml:space="preserve"> </w:t>
      </w:r>
      <w:r>
        <w:rPr>
          <w:lang w:val="en-US"/>
        </w:rPr>
        <w:t>In Part B, the applicant seeks the following relief: a) In terms of s 7(2)</w:t>
      </w:r>
      <w:r>
        <w:rPr>
          <w:i/>
          <w:iCs/>
          <w:lang w:val="en-US"/>
        </w:rPr>
        <w:t>(c)</w:t>
      </w:r>
      <w:r>
        <w:rPr>
          <w:lang w:val="en-US"/>
        </w:rPr>
        <w:t xml:space="preserve"> of PAJA, the applicant is exempted, to the extent necessary, from the obligation to exhaust any internal remedies in terms of Civil Aviation Act, 2009, read with the Civil Aviation Regulations, 2011; b) The second respondent’s decision suspending the applicant’s private pilot’s licence under licence number 0270191240 for a period of six months </w:t>
      </w:r>
      <w:r w:rsidR="00A8661A">
        <w:rPr>
          <w:lang w:val="en-US"/>
        </w:rPr>
        <w:t>is set aside in terms of s 8(1)</w:t>
      </w:r>
      <w:r w:rsidR="00A8661A">
        <w:rPr>
          <w:i/>
          <w:iCs/>
          <w:lang w:val="en-US"/>
        </w:rPr>
        <w:t xml:space="preserve">(c) </w:t>
      </w:r>
      <w:r w:rsidR="00A8661A">
        <w:rPr>
          <w:lang w:val="en-US"/>
        </w:rPr>
        <w:t xml:space="preserve">of PAJA; c) </w:t>
      </w:r>
      <w:r w:rsidR="002F5D69">
        <w:rPr>
          <w:lang w:val="en-US"/>
        </w:rPr>
        <w:t>The third respondent’s decision on appeal confirming the decision of the second respondent to suspend the applicant’s private pilot’s licence for a period of six months is set aside in terms of s 8(1)</w:t>
      </w:r>
      <w:r w:rsidR="002F5D69">
        <w:rPr>
          <w:i/>
          <w:iCs/>
          <w:lang w:val="en-US"/>
        </w:rPr>
        <w:t>(c)</w:t>
      </w:r>
      <w:r w:rsidR="002F5D69">
        <w:rPr>
          <w:lang w:val="en-US"/>
        </w:rPr>
        <w:t xml:space="preserve"> of PAJA; d) The decisions of the second and third respondents are replaced in terms of s 8(1)(ii)</w:t>
      </w:r>
      <w:r w:rsidR="002F5D69">
        <w:rPr>
          <w:i/>
          <w:iCs/>
          <w:lang w:val="en-US"/>
        </w:rPr>
        <w:t>(aa)</w:t>
      </w:r>
      <w:r w:rsidR="002F5D69">
        <w:rPr>
          <w:lang w:val="en-US"/>
        </w:rPr>
        <w:t xml:space="preserve"> of PAJA with the finding that the applicant has not contravened any provisions of the Civil Aviation Act, 2009, and / or the Civil Aviation Regulations, 2011; e) alternative relief, relating to the fourth respondent; and f) costs.</w:t>
      </w:r>
    </w:p>
  </w:footnote>
  <w:footnote w:id="2">
    <w:p w14:paraId="0DBE9365" w14:textId="77777777" w:rsidR="00375C18" w:rsidRPr="007C3B60" w:rsidRDefault="00375C18" w:rsidP="00EA2F33">
      <w:pPr>
        <w:pStyle w:val="FootnoteText"/>
        <w:spacing w:line="240" w:lineRule="auto"/>
        <w:jc w:val="both"/>
        <w:rPr>
          <w:lang w:val="en-US"/>
        </w:rPr>
      </w:pPr>
      <w:r w:rsidRPr="007C3B60">
        <w:rPr>
          <w:rStyle w:val="FootnoteReference"/>
        </w:rPr>
        <w:footnoteRef/>
      </w:r>
      <w:r w:rsidRPr="007C3B60">
        <w:t xml:space="preserve"> </w:t>
      </w:r>
      <w:r w:rsidRPr="007C3B60">
        <w:rPr>
          <w:lang w:val="en-US"/>
        </w:rPr>
        <w:t>Rule 6(12).</w:t>
      </w:r>
    </w:p>
  </w:footnote>
  <w:footnote w:id="3">
    <w:p w14:paraId="63293393" w14:textId="77777777" w:rsidR="00375C18" w:rsidRPr="007C3B60" w:rsidRDefault="00375C18" w:rsidP="00EA2F33">
      <w:pPr>
        <w:pStyle w:val="FootnoteText"/>
        <w:spacing w:line="240" w:lineRule="auto"/>
        <w:jc w:val="both"/>
        <w:rPr>
          <w:lang w:val="en-US"/>
        </w:rPr>
      </w:pPr>
      <w:r w:rsidRPr="007C3B60">
        <w:rPr>
          <w:rStyle w:val="FootnoteReference"/>
        </w:rPr>
        <w:footnoteRef/>
      </w:r>
      <w:r w:rsidRPr="007C3B60">
        <w:t xml:space="preserve"> </w:t>
      </w:r>
      <w:r w:rsidRPr="007C3B60">
        <w:rPr>
          <w:i/>
          <w:iCs/>
          <w:lang w:val="en-US"/>
        </w:rPr>
        <w:t>Luna Meubel Vervaardigers (Edms) Bpk v Makin &amp; another (t/a Makin Furniture Manufacturers</w:t>
      </w:r>
      <w:r w:rsidRPr="007C3B60">
        <w:rPr>
          <w:lang w:val="en-US"/>
        </w:rPr>
        <w:t>) 1977 (4) SA 135 (W) at 137E-G.</w:t>
      </w:r>
    </w:p>
  </w:footnote>
  <w:footnote w:id="4">
    <w:p w14:paraId="3EAC7CD9" w14:textId="77777777" w:rsidR="00375C18" w:rsidRPr="007C3B60" w:rsidRDefault="00375C18" w:rsidP="00EA2F33">
      <w:pPr>
        <w:pStyle w:val="FootnoteText"/>
        <w:spacing w:line="240" w:lineRule="auto"/>
        <w:jc w:val="both"/>
        <w:rPr>
          <w:lang w:val="en-US"/>
        </w:rPr>
      </w:pPr>
      <w:r w:rsidRPr="007C3B60">
        <w:rPr>
          <w:rStyle w:val="FootnoteReference"/>
        </w:rPr>
        <w:footnoteRef/>
      </w:r>
      <w:r w:rsidRPr="007C3B60">
        <w:t xml:space="preserve"> </w:t>
      </w:r>
      <w:r w:rsidRPr="007C3B60">
        <w:rPr>
          <w:i/>
          <w:iCs/>
          <w:lang w:val="en-US"/>
        </w:rPr>
        <w:t>I L &amp; B Marcow Caterers (Pty) Ltd v Greatermans SA Ltd &amp; another; Aroma Inn (Pty) Ltd v Hypermarket (Pty) Ltd &amp; another</w:t>
      </w:r>
      <w:r w:rsidRPr="007C3B60">
        <w:rPr>
          <w:lang w:val="en-US"/>
        </w:rPr>
        <w:t xml:space="preserve"> 1981 (4) SA 108 (C) at 112H-113A.</w:t>
      </w:r>
    </w:p>
  </w:footnote>
  <w:footnote w:id="5">
    <w:p w14:paraId="60B2FE49" w14:textId="33C57DFB" w:rsidR="00911154" w:rsidRPr="007E274A" w:rsidRDefault="00911154" w:rsidP="00EA2F33">
      <w:pPr>
        <w:pStyle w:val="FootnoteText"/>
        <w:spacing w:line="240" w:lineRule="auto"/>
        <w:jc w:val="both"/>
        <w:rPr>
          <w:lang w:val="en-US"/>
        </w:rPr>
      </w:pPr>
      <w:r w:rsidRPr="007E274A">
        <w:rPr>
          <w:rStyle w:val="FootnoteReference"/>
        </w:rPr>
        <w:footnoteRef/>
      </w:r>
      <w:r w:rsidRPr="007E274A">
        <w:t xml:space="preserve"> </w:t>
      </w:r>
      <w:r w:rsidRPr="007E274A">
        <w:rPr>
          <w:lang w:val="en-US"/>
        </w:rPr>
        <w:t xml:space="preserve">See </w:t>
      </w:r>
      <w:r w:rsidRPr="007E274A">
        <w:rPr>
          <w:i/>
          <w:iCs/>
          <w:lang w:val="en-US"/>
        </w:rPr>
        <w:t>East Rock Trading 7 (Pty) Ltd and Another v Eagle Valley Granite (Pty) Ltd and Others</w:t>
      </w:r>
      <w:r w:rsidRPr="007E274A">
        <w:rPr>
          <w:lang w:val="en-US"/>
        </w:rPr>
        <w:t xml:space="preserve"> [2011] ZAGPJHC 196.</w:t>
      </w:r>
      <w:r w:rsidR="00BA53C7">
        <w:rPr>
          <w:lang w:val="en-US"/>
        </w:rPr>
        <w:t xml:space="preserve"> This is something less than the irreparable harm that is required before the granting of interim relief</w:t>
      </w:r>
      <w:r w:rsidR="007A0C69">
        <w:rPr>
          <w:lang w:val="en-US"/>
        </w:rPr>
        <w:t>, to be determined on a case-by-case basis</w:t>
      </w:r>
      <w:r w:rsidR="00BA53C7">
        <w:rPr>
          <w:lang w:val="en-US"/>
        </w:rPr>
        <w:t>: at para 7.</w:t>
      </w:r>
    </w:p>
  </w:footnote>
  <w:footnote w:id="6">
    <w:p w14:paraId="6BD49F4E" w14:textId="1A133151" w:rsidR="009323DB" w:rsidRPr="009323DB" w:rsidRDefault="009323DB" w:rsidP="00EA2F33">
      <w:pPr>
        <w:pStyle w:val="FootnoteText"/>
        <w:spacing w:line="240" w:lineRule="auto"/>
        <w:jc w:val="both"/>
        <w:rPr>
          <w:lang w:val="en-US"/>
        </w:rPr>
      </w:pPr>
      <w:r>
        <w:rPr>
          <w:rStyle w:val="FootnoteReference"/>
        </w:rPr>
        <w:footnoteRef/>
      </w:r>
      <w:r>
        <w:t xml:space="preserve"> </w:t>
      </w:r>
      <w:r>
        <w:rPr>
          <w:lang w:val="en-US"/>
        </w:rPr>
        <w:t>The respondents’ further submission regarding urgency relates to the applicant being afforded a substantial hearing in due course. This aspect is considered, below.</w:t>
      </w:r>
    </w:p>
  </w:footnote>
  <w:footnote w:id="7">
    <w:p w14:paraId="1A8A80F0" w14:textId="669BB3D4" w:rsidR="00192110" w:rsidRDefault="00192110" w:rsidP="00EA2F33">
      <w:pPr>
        <w:pStyle w:val="FootnoteText"/>
        <w:spacing w:line="240" w:lineRule="auto"/>
        <w:jc w:val="both"/>
        <w:rPr>
          <w:lang w:val="en-US"/>
        </w:rPr>
      </w:pPr>
      <w:r>
        <w:rPr>
          <w:rStyle w:val="FootnoteReference"/>
        </w:rPr>
        <w:footnoteRef/>
      </w:r>
      <w:r>
        <w:t xml:space="preserve"> </w:t>
      </w:r>
      <w:r>
        <w:rPr>
          <w:lang w:val="en-US"/>
        </w:rPr>
        <w:t>S 7(2) of the Promotion of Administrative Justice Act, 2000 (Act 3 of 2000) provides as follows:</w:t>
      </w:r>
    </w:p>
    <w:p w14:paraId="7E4EA7F3" w14:textId="5E15C55D" w:rsidR="00192110" w:rsidRDefault="004231F4" w:rsidP="004231F4">
      <w:pPr>
        <w:pStyle w:val="FootnoteText"/>
        <w:spacing w:line="240" w:lineRule="auto"/>
        <w:ind w:left="720" w:hanging="360"/>
        <w:jc w:val="both"/>
        <w:rPr>
          <w:lang w:val="en-US"/>
        </w:rPr>
      </w:pPr>
      <w:r>
        <w:rPr>
          <w:i/>
          <w:lang w:val="en-US"/>
        </w:rPr>
        <w:t>(a)</w:t>
      </w:r>
      <w:r>
        <w:rPr>
          <w:i/>
          <w:lang w:val="en-US"/>
        </w:rPr>
        <w:tab/>
      </w:r>
      <w:r w:rsidR="00192110">
        <w:rPr>
          <w:lang w:val="en-US"/>
        </w:rPr>
        <w:t>Subject to paragraph (c), no court or tribunal shall review an administrative action in terms of this Act unless any internal remedy provided for in any other law has first been exhausted.</w:t>
      </w:r>
    </w:p>
    <w:p w14:paraId="6A4CC94E" w14:textId="16372F14" w:rsidR="00192110" w:rsidRDefault="004231F4" w:rsidP="004231F4">
      <w:pPr>
        <w:pStyle w:val="FootnoteText"/>
        <w:spacing w:line="240" w:lineRule="auto"/>
        <w:ind w:left="720" w:hanging="360"/>
        <w:jc w:val="both"/>
        <w:rPr>
          <w:lang w:val="en-US"/>
        </w:rPr>
      </w:pPr>
      <w:r>
        <w:rPr>
          <w:i/>
          <w:lang w:val="en-US"/>
        </w:rPr>
        <w:t>(b)</w:t>
      </w:r>
      <w:r>
        <w:rPr>
          <w:i/>
          <w:lang w:val="en-US"/>
        </w:rPr>
        <w:tab/>
      </w:r>
      <w:r w:rsidR="00621FBD">
        <w:rPr>
          <w:lang w:val="en-US"/>
        </w:rPr>
        <w:t>Subject to paragraph (c), a court or tribunal must, if it is not satisfied that any internal remedy referred to in paragraph (a) has been exhausted, direct that the person concerned must first exhaust such remedy before instituting proceedings in a court or tribunal for judicial review in terms of this Act.</w:t>
      </w:r>
    </w:p>
    <w:p w14:paraId="46DFEB69" w14:textId="11DE3F83" w:rsidR="00621FBD" w:rsidRPr="00192110" w:rsidRDefault="004231F4" w:rsidP="004231F4">
      <w:pPr>
        <w:pStyle w:val="FootnoteText"/>
        <w:spacing w:line="240" w:lineRule="auto"/>
        <w:ind w:left="720" w:hanging="360"/>
        <w:jc w:val="both"/>
        <w:rPr>
          <w:lang w:val="en-US"/>
        </w:rPr>
      </w:pPr>
      <w:r w:rsidRPr="00192110">
        <w:rPr>
          <w:i/>
          <w:lang w:val="en-US"/>
        </w:rPr>
        <w:t>(c)</w:t>
      </w:r>
      <w:r w:rsidRPr="00192110">
        <w:rPr>
          <w:i/>
          <w:lang w:val="en-US"/>
        </w:rPr>
        <w:tab/>
      </w:r>
      <w:r w:rsidR="00621FBD">
        <w:rPr>
          <w:lang w:val="en-US"/>
        </w:rPr>
        <w:t>A court or tribunal may, in exceptional circumstances and on application by the person concerned, exempt such person from the obligation to exhaust any internal remedy if the court or tribunal deems it in the interest of justice.</w:t>
      </w:r>
    </w:p>
  </w:footnote>
  <w:footnote w:id="8">
    <w:p w14:paraId="3FA3C848" w14:textId="68355E4F" w:rsidR="00DC3348" w:rsidRPr="00DC3348" w:rsidRDefault="00DC3348" w:rsidP="00EA2F33">
      <w:pPr>
        <w:pStyle w:val="FootnoteText"/>
        <w:spacing w:line="240" w:lineRule="auto"/>
        <w:jc w:val="both"/>
        <w:rPr>
          <w:lang w:val="en-US"/>
        </w:rPr>
      </w:pPr>
      <w:r>
        <w:rPr>
          <w:rStyle w:val="FootnoteReference"/>
        </w:rPr>
        <w:footnoteRef/>
      </w:r>
      <w:r>
        <w:t xml:space="preserve"> </w:t>
      </w:r>
      <w:r>
        <w:rPr>
          <w:lang w:val="en-US"/>
        </w:rPr>
        <w:t>Act 13 of 2009.</w:t>
      </w:r>
    </w:p>
  </w:footnote>
  <w:footnote w:id="9">
    <w:p w14:paraId="4F6633C1" w14:textId="5436B86B" w:rsidR="008230BC" w:rsidRPr="008230BC" w:rsidRDefault="008230BC" w:rsidP="00EA2F33">
      <w:pPr>
        <w:pStyle w:val="FootnoteText"/>
        <w:spacing w:line="240" w:lineRule="auto"/>
        <w:jc w:val="both"/>
        <w:rPr>
          <w:lang w:val="en-US"/>
        </w:rPr>
      </w:pPr>
      <w:r>
        <w:rPr>
          <w:rStyle w:val="FootnoteReference"/>
        </w:rPr>
        <w:footnoteRef/>
      </w:r>
      <w:r>
        <w:t xml:space="preserve"> </w:t>
      </w:r>
      <w:r>
        <w:rPr>
          <w:lang w:val="en-US"/>
        </w:rPr>
        <w:t>S 120 of the Act.</w:t>
      </w:r>
    </w:p>
  </w:footnote>
  <w:footnote w:id="10">
    <w:p w14:paraId="2129584C" w14:textId="16D9FFBD" w:rsidR="004938DD" w:rsidRPr="004938DD" w:rsidRDefault="004938DD" w:rsidP="00EA2F33">
      <w:pPr>
        <w:pStyle w:val="FootnoteText"/>
        <w:spacing w:line="240" w:lineRule="auto"/>
        <w:jc w:val="both"/>
        <w:rPr>
          <w:lang w:val="en-US"/>
        </w:rPr>
      </w:pPr>
      <w:r>
        <w:rPr>
          <w:rStyle w:val="FootnoteReference"/>
        </w:rPr>
        <w:footnoteRef/>
      </w:r>
      <w:r>
        <w:t xml:space="preserve"> </w:t>
      </w:r>
      <w:r>
        <w:rPr>
          <w:lang w:val="en-US"/>
        </w:rPr>
        <w:t>S 122 of the Act.</w:t>
      </w:r>
    </w:p>
  </w:footnote>
  <w:footnote w:id="11">
    <w:p w14:paraId="4427B80F" w14:textId="62B4FCCB" w:rsidR="00B111D6" w:rsidRPr="00B111D6" w:rsidRDefault="00B111D6" w:rsidP="00EA2F33">
      <w:pPr>
        <w:pStyle w:val="FootnoteText"/>
        <w:spacing w:line="240" w:lineRule="auto"/>
        <w:jc w:val="both"/>
        <w:rPr>
          <w:lang w:val="en-US"/>
        </w:rPr>
      </w:pPr>
      <w:r>
        <w:rPr>
          <w:rStyle w:val="FootnoteReference"/>
        </w:rPr>
        <w:footnoteRef/>
      </w:r>
      <w:r>
        <w:t xml:space="preserve"> </w:t>
      </w:r>
      <w:r>
        <w:rPr>
          <w:lang w:val="en-US"/>
        </w:rPr>
        <w:t>S 122(7) of the Act.</w:t>
      </w:r>
    </w:p>
  </w:footnote>
  <w:footnote w:id="12">
    <w:p w14:paraId="650CB98D" w14:textId="3ECAB315" w:rsidR="002A50C5" w:rsidRPr="002A50C5" w:rsidRDefault="002A50C5" w:rsidP="00EA2F33">
      <w:pPr>
        <w:pStyle w:val="FootnoteText"/>
        <w:spacing w:line="240" w:lineRule="auto"/>
        <w:jc w:val="both"/>
        <w:rPr>
          <w:lang w:val="en-US"/>
        </w:rPr>
      </w:pPr>
      <w:r>
        <w:rPr>
          <w:rStyle w:val="FootnoteReference"/>
        </w:rPr>
        <w:footnoteRef/>
      </w:r>
      <w:r>
        <w:t xml:space="preserve"> </w:t>
      </w:r>
      <w:r>
        <w:rPr>
          <w:lang w:val="en-US"/>
        </w:rPr>
        <w:t>S 126(6) of the Act.</w:t>
      </w:r>
    </w:p>
  </w:footnote>
  <w:footnote w:id="13">
    <w:p w14:paraId="5A4B7A79" w14:textId="04BE2BBB" w:rsidR="005D0D57" w:rsidRPr="005D0D57" w:rsidRDefault="005D0D57" w:rsidP="00EA2F33">
      <w:pPr>
        <w:pStyle w:val="FootnoteText"/>
        <w:spacing w:line="240" w:lineRule="auto"/>
        <w:jc w:val="both"/>
        <w:rPr>
          <w:lang w:val="en-US"/>
        </w:rPr>
      </w:pPr>
      <w:r>
        <w:rPr>
          <w:rStyle w:val="FootnoteReference"/>
        </w:rPr>
        <w:footnoteRef/>
      </w:r>
      <w:r>
        <w:t xml:space="preserve"> </w:t>
      </w:r>
      <w:r>
        <w:rPr>
          <w:lang w:val="en-US"/>
        </w:rPr>
        <w:t>Rule 15.</w:t>
      </w:r>
      <w:r w:rsidR="00D033E2">
        <w:rPr>
          <w:lang w:val="en-US"/>
        </w:rPr>
        <w:t xml:space="preserve"> Rules 4, 7, 8</w:t>
      </w:r>
      <w:r w:rsidR="00C67866">
        <w:rPr>
          <w:lang w:val="en-US"/>
        </w:rPr>
        <w:t xml:space="preserve">, </w:t>
      </w:r>
      <w:r w:rsidR="00D033E2">
        <w:rPr>
          <w:lang w:val="en-US"/>
        </w:rPr>
        <w:t>9</w:t>
      </w:r>
      <w:r w:rsidR="00C67866">
        <w:rPr>
          <w:lang w:val="en-US"/>
        </w:rPr>
        <w:t xml:space="preserve"> and 10</w:t>
      </w:r>
      <w:r w:rsidR="00D033E2">
        <w:rPr>
          <w:lang w:val="en-US"/>
        </w:rPr>
        <w:t xml:space="preserve"> provide for various time periods and processes, including discovery, subpoena and an appeal hearing, which would impact on the timeframe likely to be </w:t>
      </w:r>
      <w:r w:rsidR="00D724DD">
        <w:rPr>
          <w:lang w:val="en-US"/>
        </w:rPr>
        <w:t>required to conclude an appeal</w:t>
      </w:r>
      <w:r w:rsidR="00193E2D">
        <w:rPr>
          <w:lang w:val="en-US"/>
        </w:rPr>
        <w:t>.</w:t>
      </w:r>
    </w:p>
  </w:footnote>
  <w:footnote w:id="14">
    <w:p w14:paraId="65EBB15E" w14:textId="4FD5D2E0" w:rsidR="007409D3" w:rsidRPr="00F27CE3" w:rsidRDefault="007409D3" w:rsidP="00EA2F33">
      <w:pPr>
        <w:pStyle w:val="FootnoteText"/>
        <w:spacing w:line="240" w:lineRule="auto"/>
        <w:jc w:val="both"/>
        <w:rPr>
          <w:lang w:val="en-US"/>
        </w:rPr>
      </w:pPr>
      <w:r>
        <w:rPr>
          <w:rStyle w:val="FootnoteReference"/>
        </w:rPr>
        <w:footnoteRef/>
      </w:r>
      <w:r>
        <w:t xml:space="preserve"> </w:t>
      </w:r>
      <w:r>
        <w:rPr>
          <w:i/>
          <w:iCs/>
          <w:lang w:val="en-US"/>
        </w:rPr>
        <w:t>Koyabe and Others v Minister for Home Affairs and Others (Lawyers for Human Rights as Amicus Curiae)</w:t>
      </w:r>
      <w:r>
        <w:rPr>
          <w:lang w:val="en-US"/>
        </w:rPr>
        <w:t xml:space="preserve"> 2010 (4) SA 327 (CC) </w:t>
      </w:r>
      <w:r w:rsidR="002022BD">
        <w:rPr>
          <w:lang w:val="en-US"/>
        </w:rPr>
        <w:t>(</w:t>
      </w:r>
      <w:r w:rsidR="002022BD">
        <w:rPr>
          <w:i/>
          <w:iCs/>
          <w:lang w:val="en-US"/>
        </w:rPr>
        <w:t>Koyabe</w:t>
      </w:r>
      <w:r w:rsidR="002022BD">
        <w:rPr>
          <w:lang w:val="en-US"/>
        </w:rPr>
        <w:t>)</w:t>
      </w:r>
      <w:r w:rsidR="002022BD">
        <w:rPr>
          <w:i/>
          <w:iCs/>
          <w:lang w:val="en-US"/>
        </w:rPr>
        <w:t xml:space="preserve"> </w:t>
      </w:r>
      <w:r>
        <w:rPr>
          <w:lang w:val="en-US"/>
        </w:rPr>
        <w:t>para 44 and following.</w:t>
      </w:r>
    </w:p>
  </w:footnote>
  <w:footnote w:id="15">
    <w:p w14:paraId="5996EE18" w14:textId="44BF64CE" w:rsidR="002022BD" w:rsidRPr="002022BD" w:rsidRDefault="002022BD" w:rsidP="00EA2F33">
      <w:pPr>
        <w:pStyle w:val="FootnoteText"/>
        <w:spacing w:line="240" w:lineRule="auto"/>
        <w:jc w:val="both"/>
        <w:rPr>
          <w:lang w:val="en-US"/>
        </w:rPr>
      </w:pPr>
      <w:r>
        <w:rPr>
          <w:rStyle w:val="FootnoteReference"/>
        </w:rPr>
        <w:footnoteRef/>
      </w:r>
      <w:r>
        <w:t xml:space="preserve"> </w:t>
      </w:r>
      <w:r>
        <w:rPr>
          <w:i/>
          <w:iCs/>
        </w:rPr>
        <w:t>Koyabe</w:t>
      </w:r>
      <w:r w:rsidR="003E0A1A">
        <w:t xml:space="preserve"> above </w:t>
      </w:r>
      <w:r>
        <w:t>para 45.</w:t>
      </w:r>
    </w:p>
  </w:footnote>
  <w:footnote w:id="16">
    <w:p w14:paraId="108C2AA8" w14:textId="57B4BA13" w:rsidR="006C69FF" w:rsidRPr="006C69FF" w:rsidRDefault="006C69FF" w:rsidP="00EA2F33">
      <w:pPr>
        <w:pStyle w:val="FootnoteText"/>
        <w:spacing w:line="240" w:lineRule="auto"/>
        <w:jc w:val="both"/>
        <w:rPr>
          <w:lang w:val="en-US"/>
        </w:rPr>
      </w:pPr>
      <w:r>
        <w:rPr>
          <w:rStyle w:val="FootnoteReference"/>
        </w:rPr>
        <w:footnoteRef/>
      </w:r>
      <w:r>
        <w:t xml:space="preserve"> </w:t>
      </w:r>
      <w:r>
        <w:rPr>
          <w:i/>
          <w:iCs/>
          <w:lang w:val="en-US"/>
        </w:rPr>
        <w:t>Koyabe</w:t>
      </w:r>
      <w:r>
        <w:rPr>
          <w:lang w:val="en-US"/>
        </w:rPr>
        <w:t xml:space="preserve"> </w:t>
      </w:r>
      <w:r w:rsidR="003E0A1A">
        <w:rPr>
          <w:lang w:val="en-US"/>
        </w:rPr>
        <w:t xml:space="preserve">above </w:t>
      </w:r>
      <w:r>
        <w:rPr>
          <w:lang w:val="en-US"/>
        </w:rPr>
        <w:t>para 46.</w:t>
      </w:r>
    </w:p>
  </w:footnote>
  <w:footnote w:id="17">
    <w:p w14:paraId="3E810823" w14:textId="55ABF13F" w:rsidR="000804A7" w:rsidRPr="000804A7" w:rsidRDefault="000804A7" w:rsidP="00EA2F33">
      <w:pPr>
        <w:pStyle w:val="FootnoteText"/>
        <w:spacing w:line="240" w:lineRule="auto"/>
        <w:jc w:val="both"/>
        <w:rPr>
          <w:lang w:val="en-US"/>
        </w:rPr>
      </w:pPr>
      <w:r>
        <w:rPr>
          <w:rStyle w:val="FootnoteReference"/>
        </w:rPr>
        <w:footnoteRef/>
      </w:r>
      <w:r>
        <w:t xml:space="preserve"> </w:t>
      </w:r>
      <w:r>
        <w:rPr>
          <w:i/>
          <w:iCs/>
          <w:lang w:val="en-US"/>
        </w:rPr>
        <w:t>Koyabe</w:t>
      </w:r>
      <w:r>
        <w:rPr>
          <w:lang w:val="en-US"/>
        </w:rPr>
        <w:t xml:space="preserve"> above para 48.</w:t>
      </w:r>
    </w:p>
  </w:footnote>
  <w:footnote w:id="18">
    <w:p w14:paraId="0FF818E7" w14:textId="0A26A577" w:rsidR="00CE037E" w:rsidRPr="00CE037E" w:rsidRDefault="00CE037E" w:rsidP="00EA2F33">
      <w:pPr>
        <w:pStyle w:val="FootnoteText"/>
        <w:spacing w:line="240" w:lineRule="auto"/>
        <w:jc w:val="both"/>
        <w:rPr>
          <w:lang w:val="en-US"/>
        </w:rPr>
      </w:pPr>
      <w:r>
        <w:rPr>
          <w:rStyle w:val="FootnoteReference"/>
        </w:rPr>
        <w:footnoteRef/>
      </w:r>
      <w:r>
        <w:t xml:space="preserve"> </w:t>
      </w:r>
      <w:r>
        <w:rPr>
          <w:i/>
          <w:iCs/>
          <w:lang w:val="en-US"/>
        </w:rPr>
        <w:t>Nichol and Another v Registrar of Pension Funds and Others</w:t>
      </w:r>
      <w:r>
        <w:rPr>
          <w:lang w:val="en-US"/>
        </w:rPr>
        <w:t xml:space="preserve"> 2008 (1) SA 383 (SCA) para 16.</w:t>
      </w:r>
    </w:p>
  </w:footnote>
  <w:footnote w:id="19">
    <w:p w14:paraId="59DA3D16" w14:textId="4988F036" w:rsidR="00435446" w:rsidRPr="00435446" w:rsidRDefault="00435446" w:rsidP="00EA2F33">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Koyabe </w:t>
      </w:r>
      <w:r>
        <w:rPr>
          <w:lang w:val="en-US"/>
        </w:rPr>
        <w:t xml:space="preserve">above n para 42, with reference to </w:t>
      </w:r>
      <w:r>
        <w:rPr>
          <w:i/>
          <w:iCs/>
          <w:lang w:val="en-US"/>
        </w:rPr>
        <w:t>Jawara v The Gambia</w:t>
      </w:r>
      <w:r>
        <w:rPr>
          <w:lang w:val="en-US"/>
        </w:rPr>
        <w:t xml:space="preserve"> (2000) AHRLR 107 (ACHPR 2000) para 31. </w:t>
      </w:r>
    </w:p>
  </w:footnote>
  <w:footnote w:id="20">
    <w:p w14:paraId="6BF89309" w14:textId="31858F87" w:rsidR="00A70479" w:rsidRPr="00A70479" w:rsidRDefault="00A70479" w:rsidP="00EA2F33">
      <w:pPr>
        <w:pStyle w:val="FootnoteText"/>
        <w:spacing w:line="240" w:lineRule="auto"/>
        <w:jc w:val="both"/>
        <w:rPr>
          <w:lang w:val="en-US"/>
        </w:rPr>
      </w:pPr>
      <w:r>
        <w:rPr>
          <w:rStyle w:val="FootnoteReference"/>
        </w:rPr>
        <w:footnoteRef/>
      </w:r>
      <w:r>
        <w:t xml:space="preserve"> </w:t>
      </w:r>
      <w:r>
        <w:rPr>
          <w:i/>
          <w:iCs/>
          <w:lang w:val="en-US"/>
        </w:rPr>
        <w:t>Koyabe</w:t>
      </w:r>
      <w:r>
        <w:rPr>
          <w:lang w:val="en-US"/>
        </w:rPr>
        <w:t xml:space="preserve"> above para 39.</w:t>
      </w:r>
    </w:p>
  </w:footnote>
  <w:footnote w:id="21">
    <w:p w14:paraId="5D471BA8" w14:textId="0177F668" w:rsidR="00E2413E" w:rsidRPr="00E2413E" w:rsidRDefault="00E2413E" w:rsidP="00EA2F33">
      <w:pPr>
        <w:pStyle w:val="FootnoteText"/>
        <w:spacing w:line="240" w:lineRule="auto"/>
        <w:jc w:val="both"/>
        <w:rPr>
          <w:lang w:val="en-US"/>
        </w:rPr>
      </w:pPr>
      <w:r>
        <w:rPr>
          <w:rStyle w:val="FootnoteReference"/>
        </w:rPr>
        <w:footnoteRef/>
      </w:r>
      <w:r>
        <w:t xml:space="preserve"> </w:t>
      </w:r>
      <w:r>
        <w:rPr>
          <w:i/>
          <w:iCs/>
          <w:lang w:val="en-US"/>
        </w:rPr>
        <w:t>Earthlife Africa (Cape Town) v Director-General: Department of Environmental Affairs and Tourism</w:t>
      </w:r>
      <w:r>
        <w:rPr>
          <w:lang w:val="en-US"/>
        </w:rPr>
        <w:t xml:space="preserve"> 2005 (3) SA 156 (C) para 44.</w:t>
      </w:r>
    </w:p>
  </w:footnote>
  <w:footnote w:id="22">
    <w:p w14:paraId="1CAF7E37" w14:textId="77777777" w:rsidR="00F82549" w:rsidRPr="009A71E7" w:rsidRDefault="00F82549" w:rsidP="00EA2F33">
      <w:pPr>
        <w:pStyle w:val="FootnoteText"/>
        <w:spacing w:line="240" w:lineRule="auto"/>
        <w:jc w:val="both"/>
        <w:rPr>
          <w:lang w:val="en-US"/>
        </w:rPr>
      </w:pPr>
      <w:r>
        <w:rPr>
          <w:rStyle w:val="FootnoteReference"/>
        </w:rPr>
        <w:footnoteRef/>
      </w:r>
      <w:r>
        <w:t xml:space="preserve"> </w:t>
      </w:r>
      <w:r>
        <w:rPr>
          <w:i/>
          <w:iCs/>
          <w:lang w:val="en-US"/>
        </w:rPr>
        <w:t xml:space="preserve">L F Boshoff Investments (Pty) Ltd v Cape Town Municipality; Cape Town Municipality v L F Boshoff Investments (Pty) Ltd </w:t>
      </w:r>
      <w:r>
        <w:rPr>
          <w:lang w:val="en-US"/>
        </w:rPr>
        <w:t>1969 (2) SA 256 (C) at 267B-E.</w:t>
      </w:r>
    </w:p>
  </w:footnote>
  <w:footnote w:id="23">
    <w:p w14:paraId="2718E09D" w14:textId="77777777" w:rsidR="00F82549" w:rsidRPr="000625E2" w:rsidRDefault="00F82549" w:rsidP="00EA2F33">
      <w:pPr>
        <w:pStyle w:val="FootnoteText"/>
        <w:spacing w:line="240" w:lineRule="auto"/>
        <w:jc w:val="both"/>
        <w:rPr>
          <w:lang w:val="en-US"/>
        </w:rPr>
      </w:pPr>
      <w:r>
        <w:rPr>
          <w:rStyle w:val="FootnoteReference"/>
        </w:rPr>
        <w:footnoteRef/>
      </w:r>
      <w:r>
        <w:t xml:space="preserve"> </w:t>
      </w:r>
      <w:r>
        <w:rPr>
          <w:lang w:val="en-US"/>
        </w:rPr>
        <w:t>1948 (1) SA 1186 (W) at 1189-1190.</w:t>
      </w:r>
    </w:p>
  </w:footnote>
  <w:footnote w:id="24">
    <w:p w14:paraId="006DBD5B" w14:textId="77777777" w:rsidR="00F82549" w:rsidRPr="00147580" w:rsidRDefault="00F82549" w:rsidP="00EA2F33">
      <w:pPr>
        <w:pStyle w:val="FootnoteText"/>
        <w:spacing w:line="240" w:lineRule="auto"/>
        <w:jc w:val="both"/>
        <w:rPr>
          <w:lang w:val="en-US"/>
        </w:rPr>
      </w:pPr>
      <w:r>
        <w:rPr>
          <w:rStyle w:val="FootnoteReference"/>
        </w:rPr>
        <w:footnoteRef/>
      </w:r>
      <w:r>
        <w:t xml:space="preserve"> </w:t>
      </w:r>
      <w:r>
        <w:rPr>
          <w:i/>
          <w:iCs/>
          <w:lang w:val="en-US"/>
        </w:rPr>
        <w:t>Gool v Minister of Justice and Another</w:t>
      </w:r>
      <w:r>
        <w:rPr>
          <w:lang w:val="en-US"/>
        </w:rPr>
        <w:t xml:space="preserve"> [1955] 3 All SA 115 (C).</w:t>
      </w:r>
    </w:p>
  </w:footnote>
  <w:footnote w:id="25">
    <w:p w14:paraId="0D060921" w14:textId="031D3F9A" w:rsidR="00F82549" w:rsidRPr="007A0BE7" w:rsidRDefault="00F82549" w:rsidP="00EA2F33">
      <w:pPr>
        <w:pStyle w:val="FootnoteText"/>
        <w:spacing w:line="240" w:lineRule="auto"/>
        <w:jc w:val="both"/>
        <w:rPr>
          <w:lang w:val="en-US"/>
        </w:rPr>
      </w:pPr>
      <w:r>
        <w:rPr>
          <w:rStyle w:val="FootnoteReference"/>
        </w:rPr>
        <w:footnoteRef/>
      </w:r>
      <w:r>
        <w:t xml:space="preserve"> </w:t>
      </w:r>
      <w:r>
        <w:rPr>
          <w:i/>
          <w:iCs/>
          <w:lang w:val="en-US"/>
        </w:rPr>
        <w:t xml:space="preserve">Setlogelo </w:t>
      </w:r>
      <w:r w:rsidR="00C8765A">
        <w:rPr>
          <w:lang w:val="en-US"/>
        </w:rPr>
        <w:t>above</w:t>
      </w:r>
      <w:r>
        <w:rPr>
          <w:lang w:val="en-US"/>
        </w:rPr>
        <w:t xml:space="preserve"> at 227.</w:t>
      </w:r>
    </w:p>
  </w:footnote>
  <w:footnote w:id="26">
    <w:p w14:paraId="3B98EBE4" w14:textId="30D82E77" w:rsidR="00F82549" w:rsidRPr="00B1719B" w:rsidRDefault="00F82549" w:rsidP="00EA2F33">
      <w:pPr>
        <w:pStyle w:val="FootnoteText"/>
        <w:spacing w:line="240" w:lineRule="auto"/>
        <w:jc w:val="both"/>
        <w:rPr>
          <w:lang w:val="en-US"/>
        </w:rPr>
      </w:pPr>
      <w:r>
        <w:rPr>
          <w:rStyle w:val="FootnoteReference"/>
        </w:rPr>
        <w:footnoteRef/>
      </w:r>
      <w:r>
        <w:t xml:space="preserve"> </w:t>
      </w:r>
      <w:r>
        <w:rPr>
          <w:i/>
          <w:iCs/>
          <w:lang w:val="en-US"/>
        </w:rPr>
        <w:t xml:space="preserve">Webster </w:t>
      </w:r>
      <w:r w:rsidR="00C8765A">
        <w:rPr>
          <w:lang w:val="en-US"/>
        </w:rPr>
        <w:t>above</w:t>
      </w:r>
      <w:r>
        <w:rPr>
          <w:lang w:val="en-US"/>
        </w:rPr>
        <w:t xml:space="preserve"> at 1192.</w:t>
      </w:r>
    </w:p>
  </w:footnote>
  <w:footnote w:id="27">
    <w:p w14:paraId="2513EBE7" w14:textId="77777777" w:rsidR="0094007A" w:rsidRPr="007C3B60" w:rsidRDefault="0094007A" w:rsidP="00EA2F33">
      <w:pPr>
        <w:pStyle w:val="FootnoteText"/>
        <w:spacing w:line="240" w:lineRule="auto"/>
        <w:jc w:val="both"/>
        <w:rPr>
          <w:lang w:val="en-US"/>
        </w:rPr>
      </w:pPr>
      <w:r w:rsidRPr="007C3B60">
        <w:rPr>
          <w:rStyle w:val="FootnoteReference"/>
        </w:rPr>
        <w:footnoteRef/>
      </w:r>
      <w:r w:rsidRPr="007C3B60">
        <w:t xml:space="preserve"> </w:t>
      </w:r>
      <w:r w:rsidRPr="007C3B60">
        <w:rPr>
          <w:lang w:val="en-US"/>
        </w:rPr>
        <w:t>1973 (3) SA 685 (A) at 691C-G.</w:t>
      </w:r>
    </w:p>
  </w:footnote>
  <w:footnote w:id="28">
    <w:p w14:paraId="33EE201C" w14:textId="5F6A1FBC" w:rsidR="00A92A78" w:rsidRPr="00A92A78" w:rsidRDefault="00A92A78" w:rsidP="00EA2F33">
      <w:pPr>
        <w:pStyle w:val="FootnoteText"/>
        <w:spacing w:line="240" w:lineRule="auto"/>
        <w:jc w:val="both"/>
        <w:rPr>
          <w:lang w:val="en-US"/>
        </w:rPr>
      </w:pPr>
      <w:r>
        <w:rPr>
          <w:rStyle w:val="FootnoteReference"/>
        </w:rPr>
        <w:footnoteRef/>
      </w:r>
      <w:r>
        <w:t xml:space="preserve"> </w:t>
      </w:r>
      <w:r>
        <w:rPr>
          <w:lang w:val="en-US"/>
        </w:rPr>
        <w:t xml:space="preserve">Part 185.02.1 of the Regulations. </w:t>
      </w:r>
    </w:p>
  </w:footnote>
  <w:footnote w:id="29">
    <w:p w14:paraId="37E1A5CD" w14:textId="57AAAD36" w:rsidR="0049464B" w:rsidRPr="0049464B" w:rsidRDefault="0049464B" w:rsidP="00EA2F33">
      <w:pPr>
        <w:pStyle w:val="FootnoteText"/>
        <w:spacing w:line="240" w:lineRule="auto"/>
        <w:jc w:val="both"/>
        <w:rPr>
          <w:lang w:val="en-US"/>
        </w:rPr>
      </w:pPr>
      <w:r>
        <w:rPr>
          <w:rStyle w:val="FootnoteReference"/>
        </w:rPr>
        <w:footnoteRef/>
      </w:r>
      <w:r>
        <w:t xml:space="preserve"> </w:t>
      </w:r>
      <w:r>
        <w:rPr>
          <w:lang w:val="en-US"/>
        </w:rPr>
        <w:t xml:space="preserve">Part 185.02.2 of the Regulations. </w:t>
      </w:r>
    </w:p>
  </w:footnote>
  <w:footnote w:id="30">
    <w:p w14:paraId="638AA887" w14:textId="33F78D4C" w:rsidR="00D83CC6" w:rsidRPr="004C6544" w:rsidRDefault="00D83CC6" w:rsidP="00EA2F33">
      <w:pPr>
        <w:pStyle w:val="FootnoteText"/>
        <w:spacing w:line="240" w:lineRule="auto"/>
        <w:jc w:val="both"/>
        <w:rPr>
          <w:lang w:val="en-US"/>
        </w:rPr>
      </w:pPr>
      <w:r>
        <w:rPr>
          <w:rStyle w:val="FootnoteReference"/>
        </w:rPr>
        <w:footnoteRef/>
      </w:r>
      <w:r>
        <w:t xml:space="preserve"> The respondents’ primary reliance is on the following: Regulation 91.01.10 provides that ‘No person shall through any act or omission endanger the safety of an aircraft or person therein or cause or permit an aircraft to endanger the safety of any person or property; </w:t>
      </w:r>
      <w:r>
        <w:rPr>
          <w:lang w:val="en-US"/>
        </w:rPr>
        <w:t xml:space="preserve">Regulation 91.06.32 provides in part that: (1) Except when necessary for taking off, or landing, or except with prior written approval of the Director, no aircraft shall be flown over congested areas or over an obvious open-air assembly of persons at a height less than 1000 feet above the highest obstacle, within a radius of 2000 feet from the aircraft.’ Regulation 94.05.1 provides: (1) Unless granted permission by the Director or the organisation designated for the purpose in terms of Part 149, as the case may be, on a case-by-case basis, a non-type certificated aircraft may not be flown </w:t>
      </w:r>
      <w:r>
        <w:rPr>
          <w:i/>
          <w:iCs/>
          <w:lang w:val="en-US"/>
        </w:rPr>
        <w:t>(e)</w:t>
      </w:r>
      <w:r>
        <w:rPr>
          <w:lang w:val="en-US"/>
        </w:rPr>
        <w:t xml:space="preserve"> unless unavoidable, over built-up areas and open-air assemblies of persons except for the purpose of take-off, transit and landing.’</w:t>
      </w:r>
    </w:p>
  </w:footnote>
  <w:footnote w:id="31">
    <w:p w14:paraId="46761647" w14:textId="7DD219DD" w:rsidR="00C5228A" w:rsidRPr="00C5228A" w:rsidRDefault="00C5228A" w:rsidP="00EA2F33">
      <w:pPr>
        <w:pStyle w:val="FootnoteText"/>
        <w:spacing w:line="240" w:lineRule="auto"/>
        <w:jc w:val="both"/>
        <w:rPr>
          <w:lang w:val="en-US"/>
        </w:rPr>
      </w:pPr>
      <w:r>
        <w:rPr>
          <w:rStyle w:val="FootnoteReference"/>
        </w:rPr>
        <w:footnoteRef/>
      </w:r>
      <w:r>
        <w:t xml:space="preserve"> </w:t>
      </w:r>
      <w:r>
        <w:rPr>
          <w:lang w:val="en-US"/>
        </w:rPr>
        <w:t>Clause 12 deals with managing and conducting investigations and clause 13 with determination of a course of action</w:t>
      </w:r>
      <w:r w:rsidR="00D56DB8">
        <w:rPr>
          <w:lang w:val="en-US"/>
        </w:rPr>
        <w:t>.</w:t>
      </w:r>
    </w:p>
  </w:footnote>
  <w:footnote w:id="32">
    <w:p w14:paraId="42982C43" w14:textId="7B210A95" w:rsidR="00F93556" w:rsidRPr="00F93556" w:rsidRDefault="00F93556" w:rsidP="00EA2F33">
      <w:pPr>
        <w:pStyle w:val="FootnoteText"/>
        <w:spacing w:line="240" w:lineRule="auto"/>
        <w:jc w:val="both"/>
        <w:rPr>
          <w:lang w:val="en-US"/>
        </w:rPr>
      </w:pPr>
      <w:r>
        <w:rPr>
          <w:rStyle w:val="FootnoteReference"/>
        </w:rPr>
        <w:footnoteRef/>
      </w:r>
      <w:r>
        <w:t xml:space="preserve"> </w:t>
      </w:r>
      <w:r>
        <w:rPr>
          <w:lang w:val="en-US"/>
        </w:rPr>
        <w:t>Clause 13.9.4 of the Manual.</w:t>
      </w:r>
    </w:p>
  </w:footnote>
  <w:footnote w:id="33">
    <w:p w14:paraId="50CB4E59" w14:textId="738984EE" w:rsidR="00BA3353" w:rsidRPr="00BA3353" w:rsidRDefault="00BA3353" w:rsidP="00EA2F33">
      <w:pPr>
        <w:pStyle w:val="FootnoteText"/>
        <w:spacing w:line="240" w:lineRule="auto"/>
        <w:jc w:val="both"/>
        <w:rPr>
          <w:lang w:val="en-US"/>
        </w:rPr>
      </w:pPr>
      <w:r>
        <w:rPr>
          <w:rStyle w:val="FootnoteReference"/>
        </w:rPr>
        <w:footnoteRef/>
      </w:r>
      <w:r>
        <w:t xml:space="preserve"> </w:t>
      </w:r>
      <w:r>
        <w:rPr>
          <w:lang w:val="en-US"/>
        </w:rPr>
        <w:t>Clause 13.9.5 of the Manual.</w:t>
      </w:r>
    </w:p>
  </w:footnote>
  <w:footnote w:id="34">
    <w:p w14:paraId="45D4B21B" w14:textId="2D75BC20" w:rsidR="00C262C4" w:rsidRPr="00C262C4" w:rsidRDefault="00C262C4" w:rsidP="00EA2F33">
      <w:pPr>
        <w:pStyle w:val="FootnoteText"/>
        <w:spacing w:line="240" w:lineRule="auto"/>
        <w:jc w:val="both"/>
        <w:rPr>
          <w:lang w:val="en-US"/>
        </w:rPr>
      </w:pPr>
      <w:r>
        <w:rPr>
          <w:rStyle w:val="FootnoteReference"/>
        </w:rPr>
        <w:footnoteRef/>
      </w:r>
      <w:r>
        <w:t xml:space="preserve"> </w:t>
      </w:r>
      <w:r>
        <w:rPr>
          <w:lang w:val="en-US"/>
        </w:rPr>
        <w:t>This is in terms of the Flight Operations Procedure document.</w:t>
      </w:r>
    </w:p>
  </w:footnote>
  <w:footnote w:id="35">
    <w:p w14:paraId="246E4C2E" w14:textId="4C1BAE4E" w:rsidR="001D051D" w:rsidRPr="001D051D" w:rsidRDefault="001D051D">
      <w:pPr>
        <w:pStyle w:val="FootnoteText"/>
        <w:rPr>
          <w:lang w:val="en-US"/>
        </w:rPr>
      </w:pPr>
      <w:r>
        <w:rPr>
          <w:rStyle w:val="FootnoteReference"/>
        </w:rPr>
        <w:footnoteRef/>
      </w:r>
      <w:r>
        <w:t xml:space="preserve"> </w:t>
      </w:r>
      <w:r>
        <w:rPr>
          <w:lang w:val="en-US"/>
        </w:rPr>
        <w:t>S 6(2)</w:t>
      </w:r>
      <w:r>
        <w:rPr>
          <w:i/>
          <w:iCs/>
          <w:lang w:val="en-US"/>
        </w:rPr>
        <w:t>(e)</w:t>
      </w:r>
      <w:r>
        <w:rPr>
          <w:lang w:val="en-US"/>
        </w:rPr>
        <w:t>(iii) of PAJA.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674CDEA5"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31F4">
          <w:rPr>
            <w:rStyle w:val="PageNumber"/>
            <w:noProof/>
          </w:rPr>
          <w:t>2</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4E4FD7"/>
    <w:multiLevelType w:val="hybridMultilevel"/>
    <w:tmpl w:val="5B82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F20FE"/>
    <w:multiLevelType w:val="hybridMultilevel"/>
    <w:tmpl w:val="D4C423B4"/>
    <w:lvl w:ilvl="0" w:tplc="58DA28B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2618B"/>
    <w:multiLevelType w:val="hybridMultilevel"/>
    <w:tmpl w:val="20BAE86C"/>
    <w:lvl w:ilvl="0" w:tplc="060EA77E">
      <w:start w:val="1"/>
      <w:numFmt w:val="lowerLetter"/>
      <w:lvlText w:val="%1)"/>
      <w:lvlJc w:val="left"/>
      <w:pPr>
        <w:ind w:left="1800" w:hanging="360"/>
      </w:pPr>
      <w:rPr>
        <w:rFonts w:ascii="Arial" w:eastAsiaTheme="minorHAnsi"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84507F"/>
    <w:multiLevelType w:val="hybridMultilevel"/>
    <w:tmpl w:val="40BE2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C3D0A"/>
    <w:multiLevelType w:val="hybridMultilevel"/>
    <w:tmpl w:val="DAA6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305C7F"/>
    <w:multiLevelType w:val="hybridMultilevel"/>
    <w:tmpl w:val="55D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C65DA3"/>
    <w:multiLevelType w:val="hybridMultilevel"/>
    <w:tmpl w:val="F78AFD0E"/>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963BAB"/>
    <w:multiLevelType w:val="hybridMultilevel"/>
    <w:tmpl w:val="6660EFC6"/>
    <w:lvl w:ilvl="0" w:tplc="F9189A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D53A4E"/>
    <w:multiLevelType w:val="hybridMultilevel"/>
    <w:tmpl w:val="DF0A2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6"/>
  </w:num>
  <w:num w:numId="6">
    <w:abstractNumId w:val="11"/>
  </w:num>
  <w:num w:numId="7">
    <w:abstractNumId w:val="18"/>
  </w:num>
  <w:num w:numId="8">
    <w:abstractNumId w:val="1"/>
  </w:num>
  <w:num w:numId="9">
    <w:abstractNumId w:val="9"/>
  </w:num>
  <w:num w:numId="10">
    <w:abstractNumId w:val="13"/>
  </w:num>
  <w:num w:numId="11">
    <w:abstractNumId w:val="17"/>
  </w:num>
  <w:num w:numId="12">
    <w:abstractNumId w:val="19"/>
  </w:num>
  <w:num w:numId="13">
    <w:abstractNumId w:val="14"/>
  </w:num>
  <w:num w:numId="14">
    <w:abstractNumId w:val="4"/>
  </w:num>
  <w:num w:numId="15">
    <w:abstractNumId w:val="15"/>
  </w:num>
  <w:num w:numId="16">
    <w:abstractNumId w:val="3"/>
  </w:num>
  <w:num w:numId="17">
    <w:abstractNumId w:val="2"/>
  </w:num>
  <w:num w:numId="18">
    <w:abstractNumId w:val="10"/>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153D"/>
    <w:rsid w:val="0000206B"/>
    <w:rsid w:val="00002076"/>
    <w:rsid w:val="0000217A"/>
    <w:rsid w:val="00002A22"/>
    <w:rsid w:val="00003EE5"/>
    <w:rsid w:val="00004E1E"/>
    <w:rsid w:val="00005691"/>
    <w:rsid w:val="00005ABB"/>
    <w:rsid w:val="00005BC2"/>
    <w:rsid w:val="0000642E"/>
    <w:rsid w:val="00006EF3"/>
    <w:rsid w:val="00007087"/>
    <w:rsid w:val="00007892"/>
    <w:rsid w:val="00007904"/>
    <w:rsid w:val="0001092D"/>
    <w:rsid w:val="000109B4"/>
    <w:rsid w:val="00012A2F"/>
    <w:rsid w:val="00014437"/>
    <w:rsid w:val="00014770"/>
    <w:rsid w:val="00016FDA"/>
    <w:rsid w:val="0002116A"/>
    <w:rsid w:val="000220C3"/>
    <w:rsid w:val="00022804"/>
    <w:rsid w:val="00025DE6"/>
    <w:rsid w:val="00027DA3"/>
    <w:rsid w:val="00030A25"/>
    <w:rsid w:val="000323B0"/>
    <w:rsid w:val="00032E36"/>
    <w:rsid w:val="000341AF"/>
    <w:rsid w:val="00034B32"/>
    <w:rsid w:val="0003553E"/>
    <w:rsid w:val="0004040E"/>
    <w:rsid w:val="00040661"/>
    <w:rsid w:val="00040F79"/>
    <w:rsid w:val="000422CD"/>
    <w:rsid w:val="00043470"/>
    <w:rsid w:val="0004347D"/>
    <w:rsid w:val="0004373B"/>
    <w:rsid w:val="00044B50"/>
    <w:rsid w:val="000451D0"/>
    <w:rsid w:val="00047035"/>
    <w:rsid w:val="000478E8"/>
    <w:rsid w:val="00047FCD"/>
    <w:rsid w:val="0005061D"/>
    <w:rsid w:val="00051F6C"/>
    <w:rsid w:val="000536DD"/>
    <w:rsid w:val="00053D81"/>
    <w:rsid w:val="00054DEC"/>
    <w:rsid w:val="00055C33"/>
    <w:rsid w:val="00056042"/>
    <w:rsid w:val="00056FBA"/>
    <w:rsid w:val="000574BF"/>
    <w:rsid w:val="00063188"/>
    <w:rsid w:val="00063C6E"/>
    <w:rsid w:val="00063D5A"/>
    <w:rsid w:val="0007050F"/>
    <w:rsid w:val="00071FFA"/>
    <w:rsid w:val="00072008"/>
    <w:rsid w:val="0007234C"/>
    <w:rsid w:val="00073EFC"/>
    <w:rsid w:val="000778A4"/>
    <w:rsid w:val="000804A7"/>
    <w:rsid w:val="0008078B"/>
    <w:rsid w:val="00080D4E"/>
    <w:rsid w:val="000815F5"/>
    <w:rsid w:val="000819F5"/>
    <w:rsid w:val="00082F9D"/>
    <w:rsid w:val="00083322"/>
    <w:rsid w:val="00083386"/>
    <w:rsid w:val="000833DB"/>
    <w:rsid w:val="00084C6F"/>
    <w:rsid w:val="00086278"/>
    <w:rsid w:val="00086A06"/>
    <w:rsid w:val="0009015D"/>
    <w:rsid w:val="000910CD"/>
    <w:rsid w:val="00091F8C"/>
    <w:rsid w:val="000922DE"/>
    <w:rsid w:val="000946CE"/>
    <w:rsid w:val="0009497C"/>
    <w:rsid w:val="00096BC1"/>
    <w:rsid w:val="000976CA"/>
    <w:rsid w:val="000A25AF"/>
    <w:rsid w:val="000A4423"/>
    <w:rsid w:val="000A4665"/>
    <w:rsid w:val="000A59DC"/>
    <w:rsid w:val="000B0946"/>
    <w:rsid w:val="000B0DC8"/>
    <w:rsid w:val="000B26AE"/>
    <w:rsid w:val="000B26CF"/>
    <w:rsid w:val="000B4180"/>
    <w:rsid w:val="000B5790"/>
    <w:rsid w:val="000B5FBC"/>
    <w:rsid w:val="000B6309"/>
    <w:rsid w:val="000B643B"/>
    <w:rsid w:val="000B78EC"/>
    <w:rsid w:val="000C2D21"/>
    <w:rsid w:val="000C3531"/>
    <w:rsid w:val="000C3620"/>
    <w:rsid w:val="000C39A5"/>
    <w:rsid w:val="000C450C"/>
    <w:rsid w:val="000C7746"/>
    <w:rsid w:val="000C7A27"/>
    <w:rsid w:val="000D06CC"/>
    <w:rsid w:val="000D085B"/>
    <w:rsid w:val="000D0D78"/>
    <w:rsid w:val="000D22FB"/>
    <w:rsid w:val="000D487F"/>
    <w:rsid w:val="000D4BFA"/>
    <w:rsid w:val="000D4C7F"/>
    <w:rsid w:val="000D667A"/>
    <w:rsid w:val="000E0993"/>
    <w:rsid w:val="000E1C45"/>
    <w:rsid w:val="000E2444"/>
    <w:rsid w:val="000E3E15"/>
    <w:rsid w:val="000E4F0D"/>
    <w:rsid w:val="000E5100"/>
    <w:rsid w:val="000E7ECD"/>
    <w:rsid w:val="000F05E0"/>
    <w:rsid w:val="000F1A95"/>
    <w:rsid w:val="000F6BFE"/>
    <w:rsid w:val="000F7DF4"/>
    <w:rsid w:val="0010068E"/>
    <w:rsid w:val="00100F9A"/>
    <w:rsid w:val="00101AFF"/>
    <w:rsid w:val="0010218C"/>
    <w:rsid w:val="00102D5B"/>
    <w:rsid w:val="001044DB"/>
    <w:rsid w:val="00104A32"/>
    <w:rsid w:val="00105EB6"/>
    <w:rsid w:val="0010622C"/>
    <w:rsid w:val="001067DB"/>
    <w:rsid w:val="001078B5"/>
    <w:rsid w:val="00107A5F"/>
    <w:rsid w:val="0011026A"/>
    <w:rsid w:val="00110EF0"/>
    <w:rsid w:val="001124A5"/>
    <w:rsid w:val="00115E9A"/>
    <w:rsid w:val="00116EB9"/>
    <w:rsid w:val="00116F4C"/>
    <w:rsid w:val="00120E93"/>
    <w:rsid w:val="001226DE"/>
    <w:rsid w:val="00123296"/>
    <w:rsid w:val="00124DA9"/>
    <w:rsid w:val="001255DB"/>
    <w:rsid w:val="0012621C"/>
    <w:rsid w:val="00130228"/>
    <w:rsid w:val="00131984"/>
    <w:rsid w:val="00131A28"/>
    <w:rsid w:val="00133250"/>
    <w:rsid w:val="001337CC"/>
    <w:rsid w:val="00134C11"/>
    <w:rsid w:val="00135C81"/>
    <w:rsid w:val="00137E08"/>
    <w:rsid w:val="00142F79"/>
    <w:rsid w:val="001435EB"/>
    <w:rsid w:val="00144974"/>
    <w:rsid w:val="00146BA3"/>
    <w:rsid w:val="001517E0"/>
    <w:rsid w:val="00156AB7"/>
    <w:rsid w:val="00157785"/>
    <w:rsid w:val="00157898"/>
    <w:rsid w:val="00157C19"/>
    <w:rsid w:val="00160EBC"/>
    <w:rsid w:val="00160F58"/>
    <w:rsid w:val="00163A58"/>
    <w:rsid w:val="00164B7B"/>
    <w:rsid w:val="00172B5C"/>
    <w:rsid w:val="00173547"/>
    <w:rsid w:val="0017456C"/>
    <w:rsid w:val="00174B6D"/>
    <w:rsid w:val="0017614D"/>
    <w:rsid w:val="00176849"/>
    <w:rsid w:val="0018006A"/>
    <w:rsid w:val="00180F4E"/>
    <w:rsid w:val="00181923"/>
    <w:rsid w:val="00181E7E"/>
    <w:rsid w:val="00182175"/>
    <w:rsid w:val="00184625"/>
    <w:rsid w:val="00186769"/>
    <w:rsid w:val="001870AF"/>
    <w:rsid w:val="00190E0E"/>
    <w:rsid w:val="00191768"/>
    <w:rsid w:val="00192110"/>
    <w:rsid w:val="00192869"/>
    <w:rsid w:val="00192B38"/>
    <w:rsid w:val="00193E2D"/>
    <w:rsid w:val="001943D2"/>
    <w:rsid w:val="001954F0"/>
    <w:rsid w:val="00195571"/>
    <w:rsid w:val="001955AB"/>
    <w:rsid w:val="00196742"/>
    <w:rsid w:val="00196746"/>
    <w:rsid w:val="001A4F33"/>
    <w:rsid w:val="001A69B9"/>
    <w:rsid w:val="001B0D01"/>
    <w:rsid w:val="001B17DF"/>
    <w:rsid w:val="001B2578"/>
    <w:rsid w:val="001B2FE4"/>
    <w:rsid w:val="001B505F"/>
    <w:rsid w:val="001B69E3"/>
    <w:rsid w:val="001C04BC"/>
    <w:rsid w:val="001C2DD7"/>
    <w:rsid w:val="001C4162"/>
    <w:rsid w:val="001C48A5"/>
    <w:rsid w:val="001C7061"/>
    <w:rsid w:val="001D051D"/>
    <w:rsid w:val="001D0962"/>
    <w:rsid w:val="001D214B"/>
    <w:rsid w:val="001D2886"/>
    <w:rsid w:val="001D2A5E"/>
    <w:rsid w:val="001D486F"/>
    <w:rsid w:val="001D4C5E"/>
    <w:rsid w:val="001D5593"/>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1F740F"/>
    <w:rsid w:val="00200172"/>
    <w:rsid w:val="00201DC6"/>
    <w:rsid w:val="00201F12"/>
    <w:rsid w:val="002022BD"/>
    <w:rsid w:val="00206D6C"/>
    <w:rsid w:val="00207573"/>
    <w:rsid w:val="00207BAA"/>
    <w:rsid w:val="002115FE"/>
    <w:rsid w:val="00213565"/>
    <w:rsid w:val="0021430F"/>
    <w:rsid w:val="00214706"/>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4AAF"/>
    <w:rsid w:val="00235423"/>
    <w:rsid w:val="0023677B"/>
    <w:rsid w:val="00236B9D"/>
    <w:rsid w:val="0023768E"/>
    <w:rsid w:val="002377D2"/>
    <w:rsid w:val="002402F6"/>
    <w:rsid w:val="002409FC"/>
    <w:rsid w:val="00243081"/>
    <w:rsid w:val="002435AF"/>
    <w:rsid w:val="00245504"/>
    <w:rsid w:val="00245BEB"/>
    <w:rsid w:val="00247551"/>
    <w:rsid w:val="00250530"/>
    <w:rsid w:val="0025056A"/>
    <w:rsid w:val="002512F7"/>
    <w:rsid w:val="00252D64"/>
    <w:rsid w:val="00252FC1"/>
    <w:rsid w:val="00253273"/>
    <w:rsid w:val="00256208"/>
    <w:rsid w:val="00256FCC"/>
    <w:rsid w:val="00257A15"/>
    <w:rsid w:val="00257DF4"/>
    <w:rsid w:val="002606D8"/>
    <w:rsid w:val="00260A94"/>
    <w:rsid w:val="00260B67"/>
    <w:rsid w:val="002612A5"/>
    <w:rsid w:val="00261583"/>
    <w:rsid w:val="0026158F"/>
    <w:rsid w:val="002617D8"/>
    <w:rsid w:val="00262D2A"/>
    <w:rsid w:val="002635B7"/>
    <w:rsid w:val="00263B8D"/>
    <w:rsid w:val="00263F3B"/>
    <w:rsid w:val="0026495C"/>
    <w:rsid w:val="00265010"/>
    <w:rsid w:val="00265094"/>
    <w:rsid w:val="00265180"/>
    <w:rsid w:val="00265AEB"/>
    <w:rsid w:val="0026634E"/>
    <w:rsid w:val="0026645C"/>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50C5"/>
    <w:rsid w:val="002A61D9"/>
    <w:rsid w:val="002A6332"/>
    <w:rsid w:val="002A6593"/>
    <w:rsid w:val="002A6B82"/>
    <w:rsid w:val="002A73A7"/>
    <w:rsid w:val="002B05FF"/>
    <w:rsid w:val="002B0DEA"/>
    <w:rsid w:val="002B31B7"/>
    <w:rsid w:val="002B3FE3"/>
    <w:rsid w:val="002B4FE8"/>
    <w:rsid w:val="002B54B7"/>
    <w:rsid w:val="002B6730"/>
    <w:rsid w:val="002B7874"/>
    <w:rsid w:val="002C1ECF"/>
    <w:rsid w:val="002C1ED3"/>
    <w:rsid w:val="002C3A0D"/>
    <w:rsid w:val="002C4535"/>
    <w:rsid w:val="002C45D8"/>
    <w:rsid w:val="002C7128"/>
    <w:rsid w:val="002D057A"/>
    <w:rsid w:val="002D3EDA"/>
    <w:rsid w:val="002D4CBC"/>
    <w:rsid w:val="002D6D70"/>
    <w:rsid w:val="002D7292"/>
    <w:rsid w:val="002E0CCA"/>
    <w:rsid w:val="002E141A"/>
    <w:rsid w:val="002E1B95"/>
    <w:rsid w:val="002E3EC7"/>
    <w:rsid w:val="002E4808"/>
    <w:rsid w:val="002E483E"/>
    <w:rsid w:val="002E5807"/>
    <w:rsid w:val="002E6D7C"/>
    <w:rsid w:val="002E7045"/>
    <w:rsid w:val="002E7199"/>
    <w:rsid w:val="002F012F"/>
    <w:rsid w:val="002F0513"/>
    <w:rsid w:val="002F0990"/>
    <w:rsid w:val="002F0C58"/>
    <w:rsid w:val="002F13D1"/>
    <w:rsid w:val="002F37F8"/>
    <w:rsid w:val="002F4EDB"/>
    <w:rsid w:val="002F5D69"/>
    <w:rsid w:val="002F60D3"/>
    <w:rsid w:val="002F672A"/>
    <w:rsid w:val="002F7574"/>
    <w:rsid w:val="00300A59"/>
    <w:rsid w:val="0030214A"/>
    <w:rsid w:val="003028C4"/>
    <w:rsid w:val="00302E78"/>
    <w:rsid w:val="003035F7"/>
    <w:rsid w:val="00306288"/>
    <w:rsid w:val="00312607"/>
    <w:rsid w:val="00313D6B"/>
    <w:rsid w:val="003140F9"/>
    <w:rsid w:val="003148EA"/>
    <w:rsid w:val="003150CA"/>
    <w:rsid w:val="00315CB8"/>
    <w:rsid w:val="00315D8D"/>
    <w:rsid w:val="003168ED"/>
    <w:rsid w:val="003172EB"/>
    <w:rsid w:val="00317AB4"/>
    <w:rsid w:val="00321E11"/>
    <w:rsid w:val="00322138"/>
    <w:rsid w:val="003228A7"/>
    <w:rsid w:val="00324CE8"/>
    <w:rsid w:val="00325BD4"/>
    <w:rsid w:val="00326A33"/>
    <w:rsid w:val="0032785C"/>
    <w:rsid w:val="00327E36"/>
    <w:rsid w:val="00327E53"/>
    <w:rsid w:val="00330795"/>
    <w:rsid w:val="00330E85"/>
    <w:rsid w:val="0033219D"/>
    <w:rsid w:val="003332AB"/>
    <w:rsid w:val="00334624"/>
    <w:rsid w:val="00335693"/>
    <w:rsid w:val="00335897"/>
    <w:rsid w:val="0033634C"/>
    <w:rsid w:val="0033669D"/>
    <w:rsid w:val="003367DD"/>
    <w:rsid w:val="0034206E"/>
    <w:rsid w:val="00343E5D"/>
    <w:rsid w:val="0034439B"/>
    <w:rsid w:val="003455A7"/>
    <w:rsid w:val="003469BB"/>
    <w:rsid w:val="00350743"/>
    <w:rsid w:val="00350A47"/>
    <w:rsid w:val="003513CA"/>
    <w:rsid w:val="00351FAC"/>
    <w:rsid w:val="003529AF"/>
    <w:rsid w:val="0035343A"/>
    <w:rsid w:val="00353652"/>
    <w:rsid w:val="00353ED3"/>
    <w:rsid w:val="00355B92"/>
    <w:rsid w:val="003564CA"/>
    <w:rsid w:val="0035756C"/>
    <w:rsid w:val="00357751"/>
    <w:rsid w:val="003601F1"/>
    <w:rsid w:val="00360B85"/>
    <w:rsid w:val="00360BFC"/>
    <w:rsid w:val="00362A40"/>
    <w:rsid w:val="00363BF3"/>
    <w:rsid w:val="003649E8"/>
    <w:rsid w:val="00364DE9"/>
    <w:rsid w:val="00366631"/>
    <w:rsid w:val="003679D5"/>
    <w:rsid w:val="00367AE3"/>
    <w:rsid w:val="00367B79"/>
    <w:rsid w:val="003700BB"/>
    <w:rsid w:val="0037015D"/>
    <w:rsid w:val="0037217E"/>
    <w:rsid w:val="00373BB6"/>
    <w:rsid w:val="00374F02"/>
    <w:rsid w:val="00375614"/>
    <w:rsid w:val="00375C18"/>
    <w:rsid w:val="00380E60"/>
    <w:rsid w:val="00381483"/>
    <w:rsid w:val="00381C36"/>
    <w:rsid w:val="00381D62"/>
    <w:rsid w:val="00382ADF"/>
    <w:rsid w:val="003869D5"/>
    <w:rsid w:val="003905B9"/>
    <w:rsid w:val="0039206E"/>
    <w:rsid w:val="00392A4B"/>
    <w:rsid w:val="00392AA2"/>
    <w:rsid w:val="00393BA3"/>
    <w:rsid w:val="0039527F"/>
    <w:rsid w:val="00395A71"/>
    <w:rsid w:val="0039682A"/>
    <w:rsid w:val="003A295F"/>
    <w:rsid w:val="003A37F4"/>
    <w:rsid w:val="003A41A0"/>
    <w:rsid w:val="003A4F1D"/>
    <w:rsid w:val="003A4F95"/>
    <w:rsid w:val="003A6F71"/>
    <w:rsid w:val="003A745C"/>
    <w:rsid w:val="003A7AA6"/>
    <w:rsid w:val="003A7BAA"/>
    <w:rsid w:val="003B01D4"/>
    <w:rsid w:val="003B10EC"/>
    <w:rsid w:val="003B1570"/>
    <w:rsid w:val="003B15C9"/>
    <w:rsid w:val="003B1D84"/>
    <w:rsid w:val="003B21BF"/>
    <w:rsid w:val="003B3C31"/>
    <w:rsid w:val="003B43B8"/>
    <w:rsid w:val="003B4F21"/>
    <w:rsid w:val="003B5FEE"/>
    <w:rsid w:val="003B76D9"/>
    <w:rsid w:val="003C0CEB"/>
    <w:rsid w:val="003C351A"/>
    <w:rsid w:val="003C367D"/>
    <w:rsid w:val="003C3BC6"/>
    <w:rsid w:val="003C4307"/>
    <w:rsid w:val="003C5934"/>
    <w:rsid w:val="003C7080"/>
    <w:rsid w:val="003C7861"/>
    <w:rsid w:val="003D11D0"/>
    <w:rsid w:val="003D239A"/>
    <w:rsid w:val="003D2C74"/>
    <w:rsid w:val="003D5245"/>
    <w:rsid w:val="003D5507"/>
    <w:rsid w:val="003D5A10"/>
    <w:rsid w:val="003D5E6D"/>
    <w:rsid w:val="003D7CB9"/>
    <w:rsid w:val="003E0A1A"/>
    <w:rsid w:val="003E0F7C"/>
    <w:rsid w:val="003E2B73"/>
    <w:rsid w:val="003E2F03"/>
    <w:rsid w:val="003E3BBF"/>
    <w:rsid w:val="003E424A"/>
    <w:rsid w:val="003E75F3"/>
    <w:rsid w:val="003F0527"/>
    <w:rsid w:val="003F0D9E"/>
    <w:rsid w:val="003F1974"/>
    <w:rsid w:val="003F2109"/>
    <w:rsid w:val="003F2790"/>
    <w:rsid w:val="003F50FF"/>
    <w:rsid w:val="003F5900"/>
    <w:rsid w:val="003F6355"/>
    <w:rsid w:val="00400266"/>
    <w:rsid w:val="00401A9A"/>
    <w:rsid w:val="00402EEA"/>
    <w:rsid w:val="00404201"/>
    <w:rsid w:val="00404D8F"/>
    <w:rsid w:val="00405CEF"/>
    <w:rsid w:val="00406337"/>
    <w:rsid w:val="00406A00"/>
    <w:rsid w:val="004074B3"/>
    <w:rsid w:val="004075EA"/>
    <w:rsid w:val="00410C82"/>
    <w:rsid w:val="0041108E"/>
    <w:rsid w:val="00411B1F"/>
    <w:rsid w:val="00412DF2"/>
    <w:rsid w:val="004138F5"/>
    <w:rsid w:val="00413D22"/>
    <w:rsid w:val="00414C90"/>
    <w:rsid w:val="004165B0"/>
    <w:rsid w:val="004165D6"/>
    <w:rsid w:val="0042163E"/>
    <w:rsid w:val="00423163"/>
    <w:rsid w:val="004231F4"/>
    <w:rsid w:val="004244A5"/>
    <w:rsid w:val="00425BF7"/>
    <w:rsid w:val="00426D15"/>
    <w:rsid w:val="00427318"/>
    <w:rsid w:val="004276CD"/>
    <w:rsid w:val="0042778E"/>
    <w:rsid w:val="00427843"/>
    <w:rsid w:val="004302B6"/>
    <w:rsid w:val="00431B14"/>
    <w:rsid w:val="0043230A"/>
    <w:rsid w:val="00433B58"/>
    <w:rsid w:val="0043511C"/>
    <w:rsid w:val="00435446"/>
    <w:rsid w:val="00435538"/>
    <w:rsid w:val="00436BB1"/>
    <w:rsid w:val="00437E88"/>
    <w:rsid w:val="00440672"/>
    <w:rsid w:val="00441E70"/>
    <w:rsid w:val="00443779"/>
    <w:rsid w:val="00443CCC"/>
    <w:rsid w:val="004441E4"/>
    <w:rsid w:val="004448E8"/>
    <w:rsid w:val="004474FB"/>
    <w:rsid w:val="00450CCC"/>
    <w:rsid w:val="004528CC"/>
    <w:rsid w:val="004529C3"/>
    <w:rsid w:val="0045608B"/>
    <w:rsid w:val="004652FD"/>
    <w:rsid w:val="004657F4"/>
    <w:rsid w:val="00466979"/>
    <w:rsid w:val="00466D17"/>
    <w:rsid w:val="00467E20"/>
    <w:rsid w:val="00472A4C"/>
    <w:rsid w:val="00472B05"/>
    <w:rsid w:val="00472E85"/>
    <w:rsid w:val="00473068"/>
    <w:rsid w:val="004735D5"/>
    <w:rsid w:val="0047556B"/>
    <w:rsid w:val="00475C2D"/>
    <w:rsid w:val="00477226"/>
    <w:rsid w:val="00477DD7"/>
    <w:rsid w:val="004813E8"/>
    <w:rsid w:val="004827F3"/>
    <w:rsid w:val="004829F2"/>
    <w:rsid w:val="004845AD"/>
    <w:rsid w:val="00485572"/>
    <w:rsid w:val="00485ED9"/>
    <w:rsid w:val="00486114"/>
    <w:rsid w:val="004863E4"/>
    <w:rsid w:val="00487264"/>
    <w:rsid w:val="00487DC8"/>
    <w:rsid w:val="00490D2A"/>
    <w:rsid w:val="0049105D"/>
    <w:rsid w:val="004918C4"/>
    <w:rsid w:val="00492287"/>
    <w:rsid w:val="004932A2"/>
    <w:rsid w:val="004938DD"/>
    <w:rsid w:val="0049464B"/>
    <w:rsid w:val="00496E8C"/>
    <w:rsid w:val="00496EAA"/>
    <w:rsid w:val="004A00B9"/>
    <w:rsid w:val="004A08D7"/>
    <w:rsid w:val="004A2F44"/>
    <w:rsid w:val="004A5151"/>
    <w:rsid w:val="004A5DB1"/>
    <w:rsid w:val="004A687F"/>
    <w:rsid w:val="004A7359"/>
    <w:rsid w:val="004B2D1F"/>
    <w:rsid w:val="004B3161"/>
    <w:rsid w:val="004B5BAF"/>
    <w:rsid w:val="004B5CB4"/>
    <w:rsid w:val="004B632A"/>
    <w:rsid w:val="004B7E82"/>
    <w:rsid w:val="004C06AD"/>
    <w:rsid w:val="004C0946"/>
    <w:rsid w:val="004C0C08"/>
    <w:rsid w:val="004C1375"/>
    <w:rsid w:val="004C13CF"/>
    <w:rsid w:val="004C1FFB"/>
    <w:rsid w:val="004C6544"/>
    <w:rsid w:val="004C7EB2"/>
    <w:rsid w:val="004D0163"/>
    <w:rsid w:val="004D04B9"/>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91F"/>
    <w:rsid w:val="004F021C"/>
    <w:rsid w:val="004F1757"/>
    <w:rsid w:val="004F1C5A"/>
    <w:rsid w:val="004F1D20"/>
    <w:rsid w:val="004F326C"/>
    <w:rsid w:val="004F3827"/>
    <w:rsid w:val="004F38A6"/>
    <w:rsid w:val="004F444A"/>
    <w:rsid w:val="004F5575"/>
    <w:rsid w:val="004F7719"/>
    <w:rsid w:val="004F79D9"/>
    <w:rsid w:val="00501163"/>
    <w:rsid w:val="005014BC"/>
    <w:rsid w:val="00501617"/>
    <w:rsid w:val="00502229"/>
    <w:rsid w:val="0050280B"/>
    <w:rsid w:val="005030DE"/>
    <w:rsid w:val="0050428E"/>
    <w:rsid w:val="00504BCF"/>
    <w:rsid w:val="0050634D"/>
    <w:rsid w:val="005078B2"/>
    <w:rsid w:val="005079C1"/>
    <w:rsid w:val="00507BBF"/>
    <w:rsid w:val="00511260"/>
    <w:rsid w:val="00511565"/>
    <w:rsid w:val="0051172C"/>
    <w:rsid w:val="0051380C"/>
    <w:rsid w:val="00514878"/>
    <w:rsid w:val="00515A2F"/>
    <w:rsid w:val="0051706E"/>
    <w:rsid w:val="00520E7F"/>
    <w:rsid w:val="00523DBC"/>
    <w:rsid w:val="005244E9"/>
    <w:rsid w:val="00525DF3"/>
    <w:rsid w:val="00527C4B"/>
    <w:rsid w:val="00530509"/>
    <w:rsid w:val="00532080"/>
    <w:rsid w:val="005348CA"/>
    <w:rsid w:val="00545009"/>
    <w:rsid w:val="00545140"/>
    <w:rsid w:val="00545668"/>
    <w:rsid w:val="0055098F"/>
    <w:rsid w:val="00551645"/>
    <w:rsid w:val="005517B9"/>
    <w:rsid w:val="00553E7D"/>
    <w:rsid w:val="005542BD"/>
    <w:rsid w:val="00556489"/>
    <w:rsid w:val="00556EDA"/>
    <w:rsid w:val="00556FC7"/>
    <w:rsid w:val="005573D6"/>
    <w:rsid w:val="0056029F"/>
    <w:rsid w:val="0056509F"/>
    <w:rsid w:val="005650D2"/>
    <w:rsid w:val="00565326"/>
    <w:rsid w:val="005664B9"/>
    <w:rsid w:val="00566F83"/>
    <w:rsid w:val="005703D6"/>
    <w:rsid w:val="0057048A"/>
    <w:rsid w:val="00570A0D"/>
    <w:rsid w:val="00571E24"/>
    <w:rsid w:val="005754FC"/>
    <w:rsid w:val="00575F9C"/>
    <w:rsid w:val="00576979"/>
    <w:rsid w:val="00577D50"/>
    <w:rsid w:val="00580D85"/>
    <w:rsid w:val="005813AC"/>
    <w:rsid w:val="005832BC"/>
    <w:rsid w:val="0058354A"/>
    <w:rsid w:val="00584BA7"/>
    <w:rsid w:val="00586CFB"/>
    <w:rsid w:val="00587D29"/>
    <w:rsid w:val="00591072"/>
    <w:rsid w:val="005934B8"/>
    <w:rsid w:val="00594C9D"/>
    <w:rsid w:val="00595C65"/>
    <w:rsid w:val="005964E5"/>
    <w:rsid w:val="005969E2"/>
    <w:rsid w:val="00597705"/>
    <w:rsid w:val="00597ED4"/>
    <w:rsid w:val="00597EF2"/>
    <w:rsid w:val="005A143A"/>
    <w:rsid w:val="005A2449"/>
    <w:rsid w:val="005A2C73"/>
    <w:rsid w:val="005A3E4D"/>
    <w:rsid w:val="005A4F25"/>
    <w:rsid w:val="005A4FC0"/>
    <w:rsid w:val="005A71F7"/>
    <w:rsid w:val="005B1333"/>
    <w:rsid w:val="005B1872"/>
    <w:rsid w:val="005B4A9B"/>
    <w:rsid w:val="005B649F"/>
    <w:rsid w:val="005B7922"/>
    <w:rsid w:val="005B7CEE"/>
    <w:rsid w:val="005C05A4"/>
    <w:rsid w:val="005C1439"/>
    <w:rsid w:val="005C15DC"/>
    <w:rsid w:val="005C1DEC"/>
    <w:rsid w:val="005C28AE"/>
    <w:rsid w:val="005C36E4"/>
    <w:rsid w:val="005C4D3B"/>
    <w:rsid w:val="005C4FDA"/>
    <w:rsid w:val="005C5C47"/>
    <w:rsid w:val="005C6A41"/>
    <w:rsid w:val="005D0320"/>
    <w:rsid w:val="005D0B78"/>
    <w:rsid w:val="005D0D57"/>
    <w:rsid w:val="005D25D6"/>
    <w:rsid w:val="005D3407"/>
    <w:rsid w:val="005D3941"/>
    <w:rsid w:val="005D411A"/>
    <w:rsid w:val="005D47C3"/>
    <w:rsid w:val="005D512C"/>
    <w:rsid w:val="005D5E9D"/>
    <w:rsid w:val="005D6BF3"/>
    <w:rsid w:val="005D6D77"/>
    <w:rsid w:val="005E2F30"/>
    <w:rsid w:val="005E3541"/>
    <w:rsid w:val="005E411E"/>
    <w:rsid w:val="005E560B"/>
    <w:rsid w:val="005E601A"/>
    <w:rsid w:val="005F03D5"/>
    <w:rsid w:val="005F04A5"/>
    <w:rsid w:val="005F158C"/>
    <w:rsid w:val="005F236B"/>
    <w:rsid w:val="005F6D85"/>
    <w:rsid w:val="005F77BC"/>
    <w:rsid w:val="00600269"/>
    <w:rsid w:val="0060138F"/>
    <w:rsid w:val="0060391E"/>
    <w:rsid w:val="0060443D"/>
    <w:rsid w:val="0060486E"/>
    <w:rsid w:val="006053D4"/>
    <w:rsid w:val="006062FB"/>
    <w:rsid w:val="00606867"/>
    <w:rsid w:val="00607419"/>
    <w:rsid w:val="006101AF"/>
    <w:rsid w:val="00612393"/>
    <w:rsid w:val="00612ACF"/>
    <w:rsid w:val="00613E36"/>
    <w:rsid w:val="00614A7A"/>
    <w:rsid w:val="00615B6B"/>
    <w:rsid w:val="00616B35"/>
    <w:rsid w:val="00617A30"/>
    <w:rsid w:val="00617F99"/>
    <w:rsid w:val="006215E6"/>
    <w:rsid w:val="00621B4B"/>
    <w:rsid w:val="00621FBD"/>
    <w:rsid w:val="00622D6A"/>
    <w:rsid w:val="006232F1"/>
    <w:rsid w:val="00623DDE"/>
    <w:rsid w:val="00624695"/>
    <w:rsid w:val="006249C3"/>
    <w:rsid w:val="00625D2D"/>
    <w:rsid w:val="006271A4"/>
    <w:rsid w:val="00630138"/>
    <w:rsid w:val="006313FC"/>
    <w:rsid w:val="006332F2"/>
    <w:rsid w:val="00634B17"/>
    <w:rsid w:val="00637995"/>
    <w:rsid w:val="00637A17"/>
    <w:rsid w:val="00641035"/>
    <w:rsid w:val="00641661"/>
    <w:rsid w:val="00644DD5"/>
    <w:rsid w:val="00644FB0"/>
    <w:rsid w:val="006476E6"/>
    <w:rsid w:val="006478B1"/>
    <w:rsid w:val="00650EE2"/>
    <w:rsid w:val="006511A4"/>
    <w:rsid w:val="006513E2"/>
    <w:rsid w:val="00651916"/>
    <w:rsid w:val="00651DE7"/>
    <w:rsid w:val="006531C9"/>
    <w:rsid w:val="006535E1"/>
    <w:rsid w:val="0066025E"/>
    <w:rsid w:val="00661D64"/>
    <w:rsid w:val="00662682"/>
    <w:rsid w:val="00662FC9"/>
    <w:rsid w:val="006639A0"/>
    <w:rsid w:val="00663D7F"/>
    <w:rsid w:val="006648EC"/>
    <w:rsid w:val="00664CD0"/>
    <w:rsid w:val="00665D94"/>
    <w:rsid w:val="006668FE"/>
    <w:rsid w:val="00667591"/>
    <w:rsid w:val="00667F9F"/>
    <w:rsid w:val="006710E7"/>
    <w:rsid w:val="00671A0B"/>
    <w:rsid w:val="0067210D"/>
    <w:rsid w:val="006749D6"/>
    <w:rsid w:val="00675C81"/>
    <w:rsid w:val="0068034D"/>
    <w:rsid w:val="00681101"/>
    <w:rsid w:val="00681152"/>
    <w:rsid w:val="00682987"/>
    <w:rsid w:val="00682CE5"/>
    <w:rsid w:val="00683B9D"/>
    <w:rsid w:val="006841DC"/>
    <w:rsid w:val="0068468E"/>
    <w:rsid w:val="00685DAD"/>
    <w:rsid w:val="0068615D"/>
    <w:rsid w:val="0068675A"/>
    <w:rsid w:val="0069106B"/>
    <w:rsid w:val="00691AF2"/>
    <w:rsid w:val="00691CB2"/>
    <w:rsid w:val="00694527"/>
    <w:rsid w:val="0069550C"/>
    <w:rsid w:val="00697465"/>
    <w:rsid w:val="00697EB1"/>
    <w:rsid w:val="006A2310"/>
    <w:rsid w:val="006A23C7"/>
    <w:rsid w:val="006A2706"/>
    <w:rsid w:val="006A498B"/>
    <w:rsid w:val="006A5B5C"/>
    <w:rsid w:val="006A7DA6"/>
    <w:rsid w:val="006B150C"/>
    <w:rsid w:val="006B1DCE"/>
    <w:rsid w:val="006B42B2"/>
    <w:rsid w:val="006B4A68"/>
    <w:rsid w:val="006B5AE1"/>
    <w:rsid w:val="006B6180"/>
    <w:rsid w:val="006B692B"/>
    <w:rsid w:val="006C010B"/>
    <w:rsid w:val="006C177A"/>
    <w:rsid w:val="006C1B13"/>
    <w:rsid w:val="006C1DB5"/>
    <w:rsid w:val="006C32C4"/>
    <w:rsid w:val="006C69FF"/>
    <w:rsid w:val="006C7491"/>
    <w:rsid w:val="006D067F"/>
    <w:rsid w:val="006D07FB"/>
    <w:rsid w:val="006D5A67"/>
    <w:rsid w:val="006D762E"/>
    <w:rsid w:val="006D7DFD"/>
    <w:rsid w:val="006E16D1"/>
    <w:rsid w:val="006E2B6D"/>
    <w:rsid w:val="006E2FA2"/>
    <w:rsid w:val="006E3C88"/>
    <w:rsid w:val="006E4C1C"/>
    <w:rsid w:val="006E7568"/>
    <w:rsid w:val="006F09D8"/>
    <w:rsid w:val="006F1624"/>
    <w:rsid w:val="006F3052"/>
    <w:rsid w:val="006F31BD"/>
    <w:rsid w:val="006F3259"/>
    <w:rsid w:val="006F3C00"/>
    <w:rsid w:val="006F78DB"/>
    <w:rsid w:val="00702310"/>
    <w:rsid w:val="00702C42"/>
    <w:rsid w:val="00704A2E"/>
    <w:rsid w:val="007057AB"/>
    <w:rsid w:val="00705F57"/>
    <w:rsid w:val="00707343"/>
    <w:rsid w:val="007073FB"/>
    <w:rsid w:val="00710C28"/>
    <w:rsid w:val="00711C08"/>
    <w:rsid w:val="00711CC1"/>
    <w:rsid w:val="00712ED3"/>
    <w:rsid w:val="00713262"/>
    <w:rsid w:val="00714697"/>
    <w:rsid w:val="00714C9E"/>
    <w:rsid w:val="00715651"/>
    <w:rsid w:val="00717903"/>
    <w:rsid w:val="00717B10"/>
    <w:rsid w:val="00724B29"/>
    <w:rsid w:val="00727A78"/>
    <w:rsid w:val="00730A5A"/>
    <w:rsid w:val="00731207"/>
    <w:rsid w:val="0073398F"/>
    <w:rsid w:val="007341CB"/>
    <w:rsid w:val="00734430"/>
    <w:rsid w:val="007350B5"/>
    <w:rsid w:val="0074053C"/>
    <w:rsid w:val="007409D3"/>
    <w:rsid w:val="00743D4D"/>
    <w:rsid w:val="00743EB1"/>
    <w:rsid w:val="0074485F"/>
    <w:rsid w:val="007451A8"/>
    <w:rsid w:val="0074527C"/>
    <w:rsid w:val="00745BF2"/>
    <w:rsid w:val="00745E2B"/>
    <w:rsid w:val="00746757"/>
    <w:rsid w:val="00751ADD"/>
    <w:rsid w:val="007520F6"/>
    <w:rsid w:val="007532C0"/>
    <w:rsid w:val="0075527B"/>
    <w:rsid w:val="00756020"/>
    <w:rsid w:val="00756098"/>
    <w:rsid w:val="00757F3C"/>
    <w:rsid w:val="007631E0"/>
    <w:rsid w:val="00763628"/>
    <w:rsid w:val="00763BF3"/>
    <w:rsid w:val="00764F87"/>
    <w:rsid w:val="00766342"/>
    <w:rsid w:val="007667D8"/>
    <w:rsid w:val="00767A6B"/>
    <w:rsid w:val="00770986"/>
    <w:rsid w:val="00770D30"/>
    <w:rsid w:val="00771094"/>
    <w:rsid w:val="00771421"/>
    <w:rsid w:val="00771517"/>
    <w:rsid w:val="00772E4B"/>
    <w:rsid w:val="007744D5"/>
    <w:rsid w:val="0077459E"/>
    <w:rsid w:val="00775448"/>
    <w:rsid w:val="00775835"/>
    <w:rsid w:val="0077676B"/>
    <w:rsid w:val="00782782"/>
    <w:rsid w:val="007841E0"/>
    <w:rsid w:val="007863FC"/>
    <w:rsid w:val="007866DC"/>
    <w:rsid w:val="00791465"/>
    <w:rsid w:val="0079276A"/>
    <w:rsid w:val="00794AA8"/>
    <w:rsid w:val="00796986"/>
    <w:rsid w:val="00796F39"/>
    <w:rsid w:val="00796F7A"/>
    <w:rsid w:val="00797A49"/>
    <w:rsid w:val="007A0539"/>
    <w:rsid w:val="007A0C69"/>
    <w:rsid w:val="007A0FCD"/>
    <w:rsid w:val="007A1488"/>
    <w:rsid w:val="007A1A81"/>
    <w:rsid w:val="007A2884"/>
    <w:rsid w:val="007A2954"/>
    <w:rsid w:val="007A3705"/>
    <w:rsid w:val="007A39B0"/>
    <w:rsid w:val="007A3DE5"/>
    <w:rsid w:val="007A7BBE"/>
    <w:rsid w:val="007B0999"/>
    <w:rsid w:val="007B0F69"/>
    <w:rsid w:val="007B196E"/>
    <w:rsid w:val="007B1F09"/>
    <w:rsid w:val="007B230B"/>
    <w:rsid w:val="007B566C"/>
    <w:rsid w:val="007B686F"/>
    <w:rsid w:val="007B6CEF"/>
    <w:rsid w:val="007C1332"/>
    <w:rsid w:val="007C142C"/>
    <w:rsid w:val="007C17AD"/>
    <w:rsid w:val="007C23F3"/>
    <w:rsid w:val="007C247A"/>
    <w:rsid w:val="007C4731"/>
    <w:rsid w:val="007C546A"/>
    <w:rsid w:val="007D0644"/>
    <w:rsid w:val="007D0A2D"/>
    <w:rsid w:val="007D1D80"/>
    <w:rsid w:val="007D3942"/>
    <w:rsid w:val="007D3ACE"/>
    <w:rsid w:val="007D64EC"/>
    <w:rsid w:val="007E05A2"/>
    <w:rsid w:val="007E1089"/>
    <w:rsid w:val="007E1B26"/>
    <w:rsid w:val="007E1F8D"/>
    <w:rsid w:val="007E5E24"/>
    <w:rsid w:val="007F1E72"/>
    <w:rsid w:val="007F2C37"/>
    <w:rsid w:val="007F30CC"/>
    <w:rsid w:val="007F461D"/>
    <w:rsid w:val="007F4798"/>
    <w:rsid w:val="00800438"/>
    <w:rsid w:val="008019A5"/>
    <w:rsid w:val="008020C2"/>
    <w:rsid w:val="008020CD"/>
    <w:rsid w:val="00803543"/>
    <w:rsid w:val="0080429D"/>
    <w:rsid w:val="0080648B"/>
    <w:rsid w:val="00806AFC"/>
    <w:rsid w:val="00806BA0"/>
    <w:rsid w:val="00810336"/>
    <w:rsid w:val="0081156D"/>
    <w:rsid w:val="00811B30"/>
    <w:rsid w:val="00812D95"/>
    <w:rsid w:val="00813448"/>
    <w:rsid w:val="00813B07"/>
    <w:rsid w:val="00814EDE"/>
    <w:rsid w:val="0081612B"/>
    <w:rsid w:val="00816ED1"/>
    <w:rsid w:val="00821D82"/>
    <w:rsid w:val="008230BC"/>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30FD"/>
    <w:rsid w:val="008536CA"/>
    <w:rsid w:val="008547C2"/>
    <w:rsid w:val="00854A89"/>
    <w:rsid w:val="00855355"/>
    <w:rsid w:val="008557C2"/>
    <w:rsid w:val="00855F97"/>
    <w:rsid w:val="0086080D"/>
    <w:rsid w:val="008634DE"/>
    <w:rsid w:val="008647BD"/>
    <w:rsid w:val="00864DE0"/>
    <w:rsid w:val="008665C4"/>
    <w:rsid w:val="0086751C"/>
    <w:rsid w:val="008677E3"/>
    <w:rsid w:val="00870B41"/>
    <w:rsid w:val="0087195C"/>
    <w:rsid w:val="00873C6E"/>
    <w:rsid w:val="00873EB9"/>
    <w:rsid w:val="00874069"/>
    <w:rsid w:val="00874C55"/>
    <w:rsid w:val="00875D5A"/>
    <w:rsid w:val="00875F1E"/>
    <w:rsid w:val="00880351"/>
    <w:rsid w:val="0088086C"/>
    <w:rsid w:val="008825BB"/>
    <w:rsid w:val="00882735"/>
    <w:rsid w:val="0088275A"/>
    <w:rsid w:val="00882EFE"/>
    <w:rsid w:val="00885C05"/>
    <w:rsid w:val="00885F6F"/>
    <w:rsid w:val="00890F28"/>
    <w:rsid w:val="00891DDC"/>
    <w:rsid w:val="00892541"/>
    <w:rsid w:val="0089372D"/>
    <w:rsid w:val="00893E14"/>
    <w:rsid w:val="00894DB0"/>
    <w:rsid w:val="0089533C"/>
    <w:rsid w:val="00895554"/>
    <w:rsid w:val="008957A8"/>
    <w:rsid w:val="00895A54"/>
    <w:rsid w:val="00896B6A"/>
    <w:rsid w:val="008A0454"/>
    <w:rsid w:val="008A0542"/>
    <w:rsid w:val="008A1381"/>
    <w:rsid w:val="008A1A60"/>
    <w:rsid w:val="008A3B56"/>
    <w:rsid w:val="008A4281"/>
    <w:rsid w:val="008A537D"/>
    <w:rsid w:val="008A7240"/>
    <w:rsid w:val="008A75F3"/>
    <w:rsid w:val="008A7BFC"/>
    <w:rsid w:val="008A7CF7"/>
    <w:rsid w:val="008A7FAD"/>
    <w:rsid w:val="008B100F"/>
    <w:rsid w:val="008B1DA6"/>
    <w:rsid w:val="008B3660"/>
    <w:rsid w:val="008C210D"/>
    <w:rsid w:val="008C2676"/>
    <w:rsid w:val="008C3E59"/>
    <w:rsid w:val="008C480D"/>
    <w:rsid w:val="008C4C45"/>
    <w:rsid w:val="008C651B"/>
    <w:rsid w:val="008C7138"/>
    <w:rsid w:val="008D136B"/>
    <w:rsid w:val="008D2564"/>
    <w:rsid w:val="008D3C26"/>
    <w:rsid w:val="008E1626"/>
    <w:rsid w:val="008E270C"/>
    <w:rsid w:val="008E40BD"/>
    <w:rsid w:val="008E51D4"/>
    <w:rsid w:val="008E66F8"/>
    <w:rsid w:val="008E74EF"/>
    <w:rsid w:val="008E7904"/>
    <w:rsid w:val="008E7EFA"/>
    <w:rsid w:val="008F051D"/>
    <w:rsid w:val="008F0FC5"/>
    <w:rsid w:val="008F0FD2"/>
    <w:rsid w:val="008F17A3"/>
    <w:rsid w:val="008F4376"/>
    <w:rsid w:val="008F59AF"/>
    <w:rsid w:val="008F5B07"/>
    <w:rsid w:val="008F5E59"/>
    <w:rsid w:val="008F61FC"/>
    <w:rsid w:val="008F710C"/>
    <w:rsid w:val="008F74A5"/>
    <w:rsid w:val="00901474"/>
    <w:rsid w:val="009014FD"/>
    <w:rsid w:val="00902AA7"/>
    <w:rsid w:val="00902C55"/>
    <w:rsid w:val="00903496"/>
    <w:rsid w:val="00903A37"/>
    <w:rsid w:val="00903EEF"/>
    <w:rsid w:val="00904158"/>
    <w:rsid w:val="009041F8"/>
    <w:rsid w:val="00904D53"/>
    <w:rsid w:val="00905C49"/>
    <w:rsid w:val="00906C53"/>
    <w:rsid w:val="0090737A"/>
    <w:rsid w:val="0091007F"/>
    <w:rsid w:val="00911154"/>
    <w:rsid w:val="00912F94"/>
    <w:rsid w:val="0091491D"/>
    <w:rsid w:val="0091517B"/>
    <w:rsid w:val="00921597"/>
    <w:rsid w:val="00921696"/>
    <w:rsid w:val="009240FD"/>
    <w:rsid w:val="00924E29"/>
    <w:rsid w:val="0092525C"/>
    <w:rsid w:val="009257EE"/>
    <w:rsid w:val="009262E3"/>
    <w:rsid w:val="00927E7F"/>
    <w:rsid w:val="009300E6"/>
    <w:rsid w:val="00931856"/>
    <w:rsid w:val="00931957"/>
    <w:rsid w:val="00932259"/>
    <w:rsid w:val="009323DB"/>
    <w:rsid w:val="00937B2D"/>
    <w:rsid w:val="00937F6E"/>
    <w:rsid w:val="0094007A"/>
    <w:rsid w:val="00940225"/>
    <w:rsid w:val="009429D4"/>
    <w:rsid w:val="00943D4D"/>
    <w:rsid w:val="00944464"/>
    <w:rsid w:val="00945BC4"/>
    <w:rsid w:val="009503FE"/>
    <w:rsid w:val="0095291D"/>
    <w:rsid w:val="00954778"/>
    <w:rsid w:val="009558B1"/>
    <w:rsid w:val="0095687B"/>
    <w:rsid w:val="00957730"/>
    <w:rsid w:val="00960ABF"/>
    <w:rsid w:val="00960CDB"/>
    <w:rsid w:val="00962E0E"/>
    <w:rsid w:val="00963EF0"/>
    <w:rsid w:val="00964882"/>
    <w:rsid w:val="009648F1"/>
    <w:rsid w:val="00964C44"/>
    <w:rsid w:val="00964DFA"/>
    <w:rsid w:val="0096634B"/>
    <w:rsid w:val="0097136D"/>
    <w:rsid w:val="00971D2F"/>
    <w:rsid w:val="009737E6"/>
    <w:rsid w:val="0097492C"/>
    <w:rsid w:val="00974E2D"/>
    <w:rsid w:val="00974FD5"/>
    <w:rsid w:val="00975DB5"/>
    <w:rsid w:val="00976DCD"/>
    <w:rsid w:val="00976F0D"/>
    <w:rsid w:val="00977715"/>
    <w:rsid w:val="0098066C"/>
    <w:rsid w:val="009806FC"/>
    <w:rsid w:val="00980945"/>
    <w:rsid w:val="009812F2"/>
    <w:rsid w:val="009814B0"/>
    <w:rsid w:val="00981871"/>
    <w:rsid w:val="00983D9E"/>
    <w:rsid w:val="00984181"/>
    <w:rsid w:val="009854A6"/>
    <w:rsid w:val="0098571F"/>
    <w:rsid w:val="00987780"/>
    <w:rsid w:val="0099005D"/>
    <w:rsid w:val="00992B0D"/>
    <w:rsid w:val="00993171"/>
    <w:rsid w:val="009934A3"/>
    <w:rsid w:val="009949C6"/>
    <w:rsid w:val="009969E0"/>
    <w:rsid w:val="00996B5C"/>
    <w:rsid w:val="00996DB6"/>
    <w:rsid w:val="009A0545"/>
    <w:rsid w:val="009A0B4E"/>
    <w:rsid w:val="009A1EC2"/>
    <w:rsid w:val="009A36AF"/>
    <w:rsid w:val="009A3E97"/>
    <w:rsid w:val="009A591E"/>
    <w:rsid w:val="009A77E7"/>
    <w:rsid w:val="009B0066"/>
    <w:rsid w:val="009B1B5C"/>
    <w:rsid w:val="009B306D"/>
    <w:rsid w:val="009B5983"/>
    <w:rsid w:val="009B7B65"/>
    <w:rsid w:val="009C052D"/>
    <w:rsid w:val="009C09A0"/>
    <w:rsid w:val="009C2135"/>
    <w:rsid w:val="009C323D"/>
    <w:rsid w:val="009C36F1"/>
    <w:rsid w:val="009C382F"/>
    <w:rsid w:val="009C3B51"/>
    <w:rsid w:val="009C3E3C"/>
    <w:rsid w:val="009C4B24"/>
    <w:rsid w:val="009C4F54"/>
    <w:rsid w:val="009C5271"/>
    <w:rsid w:val="009C602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776E"/>
    <w:rsid w:val="009F0378"/>
    <w:rsid w:val="009F1760"/>
    <w:rsid w:val="009F4396"/>
    <w:rsid w:val="009F5BAA"/>
    <w:rsid w:val="009F5D93"/>
    <w:rsid w:val="009F6F14"/>
    <w:rsid w:val="009F7433"/>
    <w:rsid w:val="00A00F3C"/>
    <w:rsid w:val="00A0144A"/>
    <w:rsid w:val="00A02844"/>
    <w:rsid w:val="00A034F2"/>
    <w:rsid w:val="00A042CC"/>
    <w:rsid w:val="00A04D55"/>
    <w:rsid w:val="00A05690"/>
    <w:rsid w:val="00A06BF5"/>
    <w:rsid w:val="00A07466"/>
    <w:rsid w:val="00A076B8"/>
    <w:rsid w:val="00A07CDC"/>
    <w:rsid w:val="00A07E9C"/>
    <w:rsid w:val="00A11066"/>
    <w:rsid w:val="00A1196D"/>
    <w:rsid w:val="00A11A36"/>
    <w:rsid w:val="00A122F8"/>
    <w:rsid w:val="00A1243E"/>
    <w:rsid w:val="00A12914"/>
    <w:rsid w:val="00A12EEB"/>
    <w:rsid w:val="00A14173"/>
    <w:rsid w:val="00A167B8"/>
    <w:rsid w:val="00A17060"/>
    <w:rsid w:val="00A17ED7"/>
    <w:rsid w:val="00A20492"/>
    <w:rsid w:val="00A2185E"/>
    <w:rsid w:val="00A21919"/>
    <w:rsid w:val="00A26381"/>
    <w:rsid w:val="00A31C08"/>
    <w:rsid w:val="00A32889"/>
    <w:rsid w:val="00A331C2"/>
    <w:rsid w:val="00A3658C"/>
    <w:rsid w:val="00A36A40"/>
    <w:rsid w:val="00A36D42"/>
    <w:rsid w:val="00A41249"/>
    <w:rsid w:val="00A414A1"/>
    <w:rsid w:val="00A41BC0"/>
    <w:rsid w:val="00A42893"/>
    <w:rsid w:val="00A42906"/>
    <w:rsid w:val="00A43E5D"/>
    <w:rsid w:val="00A4431A"/>
    <w:rsid w:val="00A44D25"/>
    <w:rsid w:val="00A45490"/>
    <w:rsid w:val="00A4723D"/>
    <w:rsid w:val="00A47250"/>
    <w:rsid w:val="00A507D1"/>
    <w:rsid w:val="00A5180C"/>
    <w:rsid w:val="00A521EE"/>
    <w:rsid w:val="00A5427C"/>
    <w:rsid w:val="00A54CEF"/>
    <w:rsid w:val="00A56AD3"/>
    <w:rsid w:val="00A603C3"/>
    <w:rsid w:val="00A61267"/>
    <w:rsid w:val="00A63829"/>
    <w:rsid w:val="00A64250"/>
    <w:rsid w:val="00A64FD8"/>
    <w:rsid w:val="00A6550F"/>
    <w:rsid w:val="00A659CB"/>
    <w:rsid w:val="00A67C97"/>
    <w:rsid w:val="00A70479"/>
    <w:rsid w:val="00A711F9"/>
    <w:rsid w:val="00A71783"/>
    <w:rsid w:val="00A719FE"/>
    <w:rsid w:val="00A74937"/>
    <w:rsid w:val="00A75392"/>
    <w:rsid w:val="00A75B8E"/>
    <w:rsid w:val="00A80111"/>
    <w:rsid w:val="00A81DF8"/>
    <w:rsid w:val="00A82B55"/>
    <w:rsid w:val="00A82D8E"/>
    <w:rsid w:val="00A83F39"/>
    <w:rsid w:val="00A84210"/>
    <w:rsid w:val="00A85465"/>
    <w:rsid w:val="00A8661A"/>
    <w:rsid w:val="00A866AE"/>
    <w:rsid w:val="00A878A5"/>
    <w:rsid w:val="00A87D38"/>
    <w:rsid w:val="00A913DB"/>
    <w:rsid w:val="00A9165A"/>
    <w:rsid w:val="00A92225"/>
    <w:rsid w:val="00A92A78"/>
    <w:rsid w:val="00A9381F"/>
    <w:rsid w:val="00A93C6A"/>
    <w:rsid w:val="00A958D5"/>
    <w:rsid w:val="00A95B9A"/>
    <w:rsid w:val="00A95CB4"/>
    <w:rsid w:val="00A976E6"/>
    <w:rsid w:val="00AA00D8"/>
    <w:rsid w:val="00AA32DA"/>
    <w:rsid w:val="00AA3BEA"/>
    <w:rsid w:val="00AA45A4"/>
    <w:rsid w:val="00AA4712"/>
    <w:rsid w:val="00AA4ACC"/>
    <w:rsid w:val="00AA4FAB"/>
    <w:rsid w:val="00AA65F4"/>
    <w:rsid w:val="00AA7A71"/>
    <w:rsid w:val="00AB01B3"/>
    <w:rsid w:val="00AB08CB"/>
    <w:rsid w:val="00AB1B2B"/>
    <w:rsid w:val="00AB43EE"/>
    <w:rsid w:val="00AB4F07"/>
    <w:rsid w:val="00AB5121"/>
    <w:rsid w:val="00AB51EA"/>
    <w:rsid w:val="00AB6F0C"/>
    <w:rsid w:val="00AC137F"/>
    <w:rsid w:val="00AC1EC5"/>
    <w:rsid w:val="00AC3A2D"/>
    <w:rsid w:val="00AC4AC4"/>
    <w:rsid w:val="00AC7238"/>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E73A9"/>
    <w:rsid w:val="00AF05EC"/>
    <w:rsid w:val="00AF252E"/>
    <w:rsid w:val="00AF2AE0"/>
    <w:rsid w:val="00AF399D"/>
    <w:rsid w:val="00AF3D6B"/>
    <w:rsid w:val="00AF437D"/>
    <w:rsid w:val="00AF4917"/>
    <w:rsid w:val="00AF4DC9"/>
    <w:rsid w:val="00AF6173"/>
    <w:rsid w:val="00AF6292"/>
    <w:rsid w:val="00AF680F"/>
    <w:rsid w:val="00AF6DF0"/>
    <w:rsid w:val="00B00514"/>
    <w:rsid w:val="00B00C04"/>
    <w:rsid w:val="00B01C2D"/>
    <w:rsid w:val="00B01CE3"/>
    <w:rsid w:val="00B01FAF"/>
    <w:rsid w:val="00B04260"/>
    <w:rsid w:val="00B04A4E"/>
    <w:rsid w:val="00B0511A"/>
    <w:rsid w:val="00B05D39"/>
    <w:rsid w:val="00B100BE"/>
    <w:rsid w:val="00B111D6"/>
    <w:rsid w:val="00B11284"/>
    <w:rsid w:val="00B11F80"/>
    <w:rsid w:val="00B13A6B"/>
    <w:rsid w:val="00B14FF9"/>
    <w:rsid w:val="00B15D9A"/>
    <w:rsid w:val="00B160F4"/>
    <w:rsid w:val="00B1684F"/>
    <w:rsid w:val="00B1722F"/>
    <w:rsid w:val="00B17CCB"/>
    <w:rsid w:val="00B207AC"/>
    <w:rsid w:val="00B20D36"/>
    <w:rsid w:val="00B20F2D"/>
    <w:rsid w:val="00B21512"/>
    <w:rsid w:val="00B21FA2"/>
    <w:rsid w:val="00B235FF"/>
    <w:rsid w:val="00B24486"/>
    <w:rsid w:val="00B24846"/>
    <w:rsid w:val="00B259B0"/>
    <w:rsid w:val="00B25CC3"/>
    <w:rsid w:val="00B26963"/>
    <w:rsid w:val="00B26AA4"/>
    <w:rsid w:val="00B30BDA"/>
    <w:rsid w:val="00B30C98"/>
    <w:rsid w:val="00B32AE8"/>
    <w:rsid w:val="00B32B0A"/>
    <w:rsid w:val="00B3323A"/>
    <w:rsid w:val="00B34ECD"/>
    <w:rsid w:val="00B36696"/>
    <w:rsid w:val="00B418D6"/>
    <w:rsid w:val="00B41D13"/>
    <w:rsid w:val="00B446F9"/>
    <w:rsid w:val="00B46ADF"/>
    <w:rsid w:val="00B50382"/>
    <w:rsid w:val="00B512A3"/>
    <w:rsid w:val="00B51F04"/>
    <w:rsid w:val="00B53331"/>
    <w:rsid w:val="00B53CFB"/>
    <w:rsid w:val="00B559B2"/>
    <w:rsid w:val="00B565D4"/>
    <w:rsid w:val="00B56BAF"/>
    <w:rsid w:val="00B56D2F"/>
    <w:rsid w:val="00B56DA8"/>
    <w:rsid w:val="00B57BF8"/>
    <w:rsid w:val="00B60E51"/>
    <w:rsid w:val="00B63F7F"/>
    <w:rsid w:val="00B64299"/>
    <w:rsid w:val="00B6537F"/>
    <w:rsid w:val="00B65433"/>
    <w:rsid w:val="00B65D0C"/>
    <w:rsid w:val="00B65DEE"/>
    <w:rsid w:val="00B65F93"/>
    <w:rsid w:val="00B673D7"/>
    <w:rsid w:val="00B71571"/>
    <w:rsid w:val="00B715B1"/>
    <w:rsid w:val="00B76166"/>
    <w:rsid w:val="00B7619E"/>
    <w:rsid w:val="00B77677"/>
    <w:rsid w:val="00B77BF3"/>
    <w:rsid w:val="00B80486"/>
    <w:rsid w:val="00B83257"/>
    <w:rsid w:val="00B8381D"/>
    <w:rsid w:val="00B84964"/>
    <w:rsid w:val="00B849F3"/>
    <w:rsid w:val="00B84C4E"/>
    <w:rsid w:val="00B85F87"/>
    <w:rsid w:val="00B9092D"/>
    <w:rsid w:val="00B91527"/>
    <w:rsid w:val="00B92470"/>
    <w:rsid w:val="00B929D1"/>
    <w:rsid w:val="00B936EF"/>
    <w:rsid w:val="00B93AC6"/>
    <w:rsid w:val="00B95349"/>
    <w:rsid w:val="00B955C0"/>
    <w:rsid w:val="00B95B9C"/>
    <w:rsid w:val="00B961E2"/>
    <w:rsid w:val="00BA0067"/>
    <w:rsid w:val="00BA0F9A"/>
    <w:rsid w:val="00BA2179"/>
    <w:rsid w:val="00BA3353"/>
    <w:rsid w:val="00BA47FB"/>
    <w:rsid w:val="00BA53C7"/>
    <w:rsid w:val="00BA65AC"/>
    <w:rsid w:val="00BB1230"/>
    <w:rsid w:val="00BB2269"/>
    <w:rsid w:val="00BB2985"/>
    <w:rsid w:val="00BB4431"/>
    <w:rsid w:val="00BB72B5"/>
    <w:rsid w:val="00BB7D9E"/>
    <w:rsid w:val="00BC0A20"/>
    <w:rsid w:val="00BC21A0"/>
    <w:rsid w:val="00BC23DE"/>
    <w:rsid w:val="00BC4EF3"/>
    <w:rsid w:val="00BC77C0"/>
    <w:rsid w:val="00BC79BE"/>
    <w:rsid w:val="00BD0B25"/>
    <w:rsid w:val="00BD1C67"/>
    <w:rsid w:val="00BD234D"/>
    <w:rsid w:val="00BD2561"/>
    <w:rsid w:val="00BD5DCD"/>
    <w:rsid w:val="00BD616D"/>
    <w:rsid w:val="00BD6C4D"/>
    <w:rsid w:val="00BE0997"/>
    <w:rsid w:val="00BE1907"/>
    <w:rsid w:val="00BE1A97"/>
    <w:rsid w:val="00BE3AF3"/>
    <w:rsid w:val="00BE485B"/>
    <w:rsid w:val="00BE6A74"/>
    <w:rsid w:val="00BE7D08"/>
    <w:rsid w:val="00BF0840"/>
    <w:rsid w:val="00BF0DFF"/>
    <w:rsid w:val="00BF22B8"/>
    <w:rsid w:val="00BF2603"/>
    <w:rsid w:val="00BF46FC"/>
    <w:rsid w:val="00BF51CE"/>
    <w:rsid w:val="00BF6541"/>
    <w:rsid w:val="00C0071F"/>
    <w:rsid w:val="00C01A0D"/>
    <w:rsid w:val="00C02716"/>
    <w:rsid w:val="00C028D9"/>
    <w:rsid w:val="00C036E4"/>
    <w:rsid w:val="00C038B8"/>
    <w:rsid w:val="00C03B35"/>
    <w:rsid w:val="00C06574"/>
    <w:rsid w:val="00C06F31"/>
    <w:rsid w:val="00C07E62"/>
    <w:rsid w:val="00C11EE9"/>
    <w:rsid w:val="00C12B8C"/>
    <w:rsid w:val="00C12F55"/>
    <w:rsid w:val="00C13DD4"/>
    <w:rsid w:val="00C155D9"/>
    <w:rsid w:val="00C2113E"/>
    <w:rsid w:val="00C2211D"/>
    <w:rsid w:val="00C2344F"/>
    <w:rsid w:val="00C246F2"/>
    <w:rsid w:val="00C24A12"/>
    <w:rsid w:val="00C24ED8"/>
    <w:rsid w:val="00C2618C"/>
    <w:rsid w:val="00C262C4"/>
    <w:rsid w:val="00C26707"/>
    <w:rsid w:val="00C27719"/>
    <w:rsid w:val="00C31BCD"/>
    <w:rsid w:val="00C320EB"/>
    <w:rsid w:val="00C32F7B"/>
    <w:rsid w:val="00C33845"/>
    <w:rsid w:val="00C33931"/>
    <w:rsid w:val="00C3513F"/>
    <w:rsid w:val="00C355AA"/>
    <w:rsid w:val="00C36223"/>
    <w:rsid w:val="00C40725"/>
    <w:rsid w:val="00C41033"/>
    <w:rsid w:val="00C4207E"/>
    <w:rsid w:val="00C436CE"/>
    <w:rsid w:val="00C451A3"/>
    <w:rsid w:val="00C4577E"/>
    <w:rsid w:val="00C4679C"/>
    <w:rsid w:val="00C47FF0"/>
    <w:rsid w:val="00C50C8F"/>
    <w:rsid w:val="00C50D41"/>
    <w:rsid w:val="00C51156"/>
    <w:rsid w:val="00C5228A"/>
    <w:rsid w:val="00C53FD7"/>
    <w:rsid w:val="00C551EB"/>
    <w:rsid w:val="00C552A4"/>
    <w:rsid w:val="00C55C61"/>
    <w:rsid w:val="00C57047"/>
    <w:rsid w:val="00C5740D"/>
    <w:rsid w:val="00C57A2D"/>
    <w:rsid w:val="00C634B5"/>
    <w:rsid w:val="00C64F44"/>
    <w:rsid w:val="00C650ED"/>
    <w:rsid w:val="00C65132"/>
    <w:rsid w:val="00C65F6A"/>
    <w:rsid w:val="00C67866"/>
    <w:rsid w:val="00C67F3E"/>
    <w:rsid w:val="00C70CD5"/>
    <w:rsid w:val="00C7194E"/>
    <w:rsid w:val="00C7216F"/>
    <w:rsid w:val="00C730E4"/>
    <w:rsid w:val="00C73372"/>
    <w:rsid w:val="00C73BB8"/>
    <w:rsid w:val="00C74CC5"/>
    <w:rsid w:val="00C76B48"/>
    <w:rsid w:val="00C76CC4"/>
    <w:rsid w:val="00C77815"/>
    <w:rsid w:val="00C81C46"/>
    <w:rsid w:val="00C823C5"/>
    <w:rsid w:val="00C82D42"/>
    <w:rsid w:val="00C8322A"/>
    <w:rsid w:val="00C83583"/>
    <w:rsid w:val="00C84B12"/>
    <w:rsid w:val="00C85050"/>
    <w:rsid w:val="00C869BC"/>
    <w:rsid w:val="00C8737E"/>
    <w:rsid w:val="00C8765A"/>
    <w:rsid w:val="00C90444"/>
    <w:rsid w:val="00C9243B"/>
    <w:rsid w:val="00C925F4"/>
    <w:rsid w:val="00C92DC6"/>
    <w:rsid w:val="00C953C0"/>
    <w:rsid w:val="00C96E5A"/>
    <w:rsid w:val="00C97ACC"/>
    <w:rsid w:val="00CA056D"/>
    <w:rsid w:val="00CA181F"/>
    <w:rsid w:val="00CA22C7"/>
    <w:rsid w:val="00CA2A54"/>
    <w:rsid w:val="00CA3219"/>
    <w:rsid w:val="00CA3BF3"/>
    <w:rsid w:val="00CB01EB"/>
    <w:rsid w:val="00CB0DFA"/>
    <w:rsid w:val="00CB250C"/>
    <w:rsid w:val="00CB34D5"/>
    <w:rsid w:val="00CB5A64"/>
    <w:rsid w:val="00CB6CB0"/>
    <w:rsid w:val="00CC134C"/>
    <w:rsid w:val="00CC36F9"/>
    <w:rsid w:val="00CC3E8F"/>
    <w:rsid w:val="00CC65DB"/>
    <w:rsid w:val="00CD0BA2"/>
    <w:rsid w:val="00CD18DE"/>
    <w:rsid w:val="00CD2E30"/>
    <w:rsid w:val="00CD643B"/>
    <w:rsid w:val="00CD7B7F"/>
    <w:rsid w:val="00CE037E"/>
    <w:rsid w:val="00CE0D42"/>
    <w:rsid w:val="00CE19D1"/>
    <w:rsid w:val="00CE23EF"/>
    <w:rsid w:val="00CE6197"/>
    <w:rsid w:val="00CE6490"/>
    <w:rsid w:val="00CE6BEE"/>
    <w:rsid w:val="00CE6E40"/>
    <w:rsid w:val="00CE702E"/>
    <w:rsid w:val="00CE7723"/>
    <w:rsid w:val="00CF088A"/>
    <w:rsid w:val="00CF1AEC"/>
    <w:rsid w:val="00CF38F2"/>
    <w:rsid w:val="00CF392B"/>
    <w:rsid w:val="00CF5CD7"/>
    <w:rsid w:val="00CF6B6B"/>
    <w:rsid w:val="00CF79DF"/>
    <w:rsid w:val="00D00702"/>
    <w:rsid w:val="00D01E61"/>
    <w:rsid w:val="00D02230"/>
    <w:rsid w:val="00D02296"/>
    <w:rsid w:val="00D02AEC"/>
    <w:rsid w:val="00D02B99"/>
    <w:rsid w:val="00D0306C"/>
    <w:rsid w:val="00D033E2"/>
    <w:rsid w:val="00D034FA"/>
    <w:rsid w:val="00D06027"/>
    <w:rsid w:val="00D0751A"/>
    <w:rsid w:val="00D078F8"/>
    <w:rsid w:val="00D07D25"/>
    <w:rsid w:val="00D110F0"/>
    <w:rsid w:val="00D116BA"/>
    <w:rsid w:val="00D12852"/>
    <w:rsid w:val="00D13010"/>
    <w:rsid w:val="00D133F0"/>
    <w:rsid w:val="00D143ED"/>
    <w:rsid w:val="00D149F6"/>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C29"/>
    <w:rsid w:val="00D31D6C"/>
    <w:rsid w:val="00D32B3D"/>
    <w:rsid w:val="00D33C8D"/>
    <w:rsid w:val="00D350A3"/>
    <w:rsid w:val="00D36236"/>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2BA2"/>
    <w:rsid w:val="00D53B35"/>
    <w:rsid w:val="00D54045"/>
    <w:rsid w:val="00D5648F"/>
    <w:rsid w:val="00D56DB8"/>
    <w:rsid w:val="00D56E3B"/>
    <w:rsid w:val="00D57CC2"/>
    <w:rsid w:val="00D616EC"/>
    <w:rsid w:val="00D625B8"/>
    <w:rsid w:val="00D648BA"/>
    <w:rsid w:val="00D66709"/>
    <w:rsid w:val="00D66A4D"/>
    <w:rsid w:val="00D724DD"/>
    <w:rsid w:val="00D724E1"/>
    <w:rsid w:val="00D74F67"/>
    <w:rsid w:val="00D76A95"/>
    <w:rsid w:val="00D801E1"/>
    <w:rsid w:val="00D82515"/>
    <w:rsid w:val="00D82682"/>
    <w:rsid w:val="00D82E21"/>
    <w:rsid w:val="00D83704"/>
    <w:rsid w:val="00D83CC6"/>
    <w:rsid w:val="00D840E2"/>
    <w:rsid w:val="00D846FE"/>
    <w:rsid w:val="00D860CB"/>
    <w:rsid w:val="00D87C68"/>
    <w:rsid w:val="00D92783"/>
    <w:rsid w:val="00D92B70"/>
    <w:rsid w:val="00D92D3B"/>
    <w:rsid w:val="00D9456A"/>
    <w:rsid w:val="00D94B4E"/>
    <w:rsid w:val="00D94DBD"/>
    <w:rsid w:val="00DA00BB"/>
    <w:rsid w:val="00DA38F9"/>
    <w:rsid w:val="00DA47F5"/>
    <w:rsid w:val="00DA776D"/>
    <w:rsid w:val="00DA7AAB"/>
    <w:rsid w:val="00DB0815"/>
    <w:rsid w:val="00DB1859"/>
    <w:rsid w:val="00DB24E6"/>
    <w:rsid w:val="00DB3ABE"/>
    <w:rsid w:val="00DB6676"/>
    <w:rsid w:val="00DC0BEE"/>
    <w:rsid w:val="00DC2ABE"/>
    <w:rsid w:val="00DC3348"/>
    <w:rsid w:val="00DC59DE"/>
    <w:rsid w:val="00DC7217"/>
    <w:rsid w:val="00DC79BB"/>
    <w:rsid w:val="00DD11EB"/>
    <w:rsid w:val="00DD1B8B"/>
    <w:rsid w:val="00DD1F32"/>
    <w:rsid w:val="00DD23D6"/>
    <w:rsid w:val="00DD4855"/>
    <w:rsid w:val="00DD48C7"/>
    <w:rsid w:val="00DD75C4"/>
    <w:rsid w:val="00DE1FBA"/>
    <w:rsid w:val="00DE4550"/>
    <w:rsid w:val="00DE55DE"/>
    <w:rsid w:val="00DE5968"/>
    <w:rsid w:val="00DE5FDB"/>
    <w:rsid w:val="00DE6A2A"/>
    <w:rsid w:val="00DE7861"/>
    <w:rsid w:val="00DF1227"/>
    <w:rsid w:val="00DF131F"/>
    <w:rsid w:val="00DF2C98"/>
    <w:rsid w:val="00DF44A4"/>
    <w:rsid w:val="00DF4595"/>
    <w:rsid w:val="00DF48EB"/>
    <w:rsid w:val="00DF4ADF"/>
    <w:rsid w:val="00DF77FD"/>
    <w:rsid w:val="00DF7AB6"/>
    <w:rsid w:val="00E00DCA"/>
    <w:rsid w:val="00E033B7"/>
    <w:rsid w:val="00E03493"/>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413E"/>
    <w:rsid w:val="00E25A13"/>
    <w:rsid w:val="00E26A03"/>
    <w:rsid w:val="00E26F75"/>
    <w:rsid w:val="00E3064C"/>
    <w:rsid w:val="00E33007"/>
    <w:rsid w:val="00E34483"/>
    <w:rsid w:val="00E3456D"/>
    <w:rsid w:val="00E35FAF"/>
    <w:rsid w:val="00E406B2"/>
    <w:rsid w:val="00E4190D"/>
    <w:rsid w:val="00E44987"/>
    <w:rsid w:val="00E44EB9"/>
    <w:rsid w:val="00E44F34"/>
    <w:rsid w:val="00E45859"/>
    <w:rsid w:val="00E47666"/>
    <w:rsid w:val="00E47C2B"/>
    <w:rsid w:val="00E504E9"/>
    <w:rsid w:val="00E507A9"/>
    <w:rsid w:val="00E5253D"/>
    <w:rsid w:val="00E53860"/>
    <w:rsid w:val="00E554E7"/>
    <w:rsid w:val="00E5688C"/>
    <w:rsid w:val="00E57C72"/>
    <w:rsid w:val="00E60AEE"/>
    <w:rsid w:val="00E60B00"/>
    <w:rsid w:val="00E6547E"/>
    <w:rsid w:val="00E65E36"/>
    <w:rsid w:val="00E669A1"/>
    <w:rsid w:val="00E67625"/>
    <w:rsid w:val="00E677BD"/>
    <w:rsid w:val="00E67CF5"/>
    <w:rsid w:val="00E700D9"/>
    <w:rsid w:val="00E705E7"/>
    <w:rsid w:val="00E75FF6"/>
    <w:rsid w:val="00E77A6F"/>
    <w:rsid w:val="00E8390A"/>
    <w:rsid w:val="00E83A3B"/>
    <w:rsid w:val="00E85607"/>
    <w:rsid w:val="00E901D7"/>
    <w:rsid w:val="00E9172D"/>
    <w:rsid w:val="00E91BD8"/>
    <w:rsid w:val="00E922BE"/>
    <w:rsid w:val="00E9258D"/>
    <w:rsid w:val="00E9268E"/>
    <w:rsid w:val="00E92B00"/>
    <w:rsid w:val="00E9368B"/>
    <w:rsid w:val="00E94D9A"/>
    <w:rsid w:val="00E951CA"/>
    <w:rsid w:val="00E953FA"/>
    <w:rsid w:val="00E96DE0"/>
    <w:rsid w:val="00E97D0F"/>
    <w:rsid w:val="00E97E28"/>
    <w:rsid w:val="00EA2F33"/>
    <w:rsid w:val="00EA3DBB"/>
    <w:rsid w:val="00EA484D"/>
    <w:rsid w:val="00EA4A96"/>
    <w:rsid w:val="00EB1A14"/>
    <w:rsid w:val="00EB1C95"/>
    <w:rsid w:val="00EB2CBF"/>
    <w:rsid w:val="00EB3B0A"/>
    <w:rsid w:val="00EB3DAC"/>
    <w:rsid w:val="00EB4093"/>
    <w:rsid w:val="00EB46F3"/>
    <w:rsid w:val="00EB4958"/>
    <w:rsid w:val="00EC1371"/>
    <w:rsid w:val="00EC2445"/>
    <w:rsid w:val="00EC33B2"/>
    <w:rsid w:val="00EC3796"/>
    <w:rsid w:val="00EC41A4"/>
    <w:rsid w:val="00EC5D78"/>
    <w:rsid w:val="00EC6563"/>
    <w:rsid w:val="00EC6AA3"/>
    <w:rsid w:val="00EC7294"/>
    <w:rsid w:val="00EC7555"/>
    <w:rsid w:val="00EC7728"/>
    <w:rsid w:val="00ED0109"/>
    <w:rsid w:val="00ED0680"/>
    <w:rsid w:val="00ED10A6"/>
    <w:rsid w:val="00ED1153"/>
    <w:rsid w:val="00ED27B9"/>
    <w:rsid w:val="00ED2905"/>
    <w:rsid w:val="00ED3D65"/>
    <w:rsid w:val="00ED7E7A"/>
    <w:rsid w:val="00EE0D8C"/>
    <w:rsid w:val="00EE149D"/>
    <w:rsid w:val="00EE172B"/>
    <w:rsid w:val="00EE360C"/>
    <w:rsid w:val="00EE3F56"/>
    <w:rsid w:val="00EE4BB2"/>
    <w:rsid w:val="00EE560A"/>
    <w:rsid w:val="00EE6B47"/>
    <w:rsid w:val="00EE733B"/>
    <w:rsid w:val="00EE7B6D"/>
    <w:rsid w:val="00EF0A9A"/>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4433"/>
    <w:rsid w:val="00F24CF2"/>
    <w:rsid w:val="00F25235"/>
    <w:rsid w:val="00F254F6"/>
    <w:rsid w:val="00F27CE3"/>
    <w:rsid w:val="00F3022D"/>
    <w:rsid w:val="00F30708"/>
    <w:rsid w:val="00F31B3B"/>
    <w:rsid w:val="00F31E35"/>
    <w:rsid w:val="00F3228A"/>
    <w:rsid w:val="00F32970"/>
    <w:rsid w:val="00F3395E"/>
    <w:rsid w:val="00F33A72"/>
    <w:rsid w:val="00F3415D"/>
    <w:rsid w:val="00F3418D"/>
    <w:rsid w:val="00F363F1"/>
    <w:rsid w:val="00F37256"/>
    <w:rsid w:val="00F43DFC"/>
    <w:rsid w:val="00F45E5A"/>
    <w:rsid w:val="00F50172"/>
    <w:rsid w:val="00F54740"/>
    <w:rsid w:val="00F54793"/>
    <w:rsid w:val="00F565D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2549"/>
    <w:rsid w:val="00F83BC2"/>
    <w:rsid w:val="00F84ED2"/>
    <w:rsid w:val="00F87AC1"/>
    <w:rsid w:val="00F90290"/>
    <w:rsid w:val="00F9040B"/>
    <w:rsid w:val="00F915B8"/>
    <w:rsid w:val="00F91B3B"/>
    <w:rsid w:val="00F93556"/>
    <w:rsid w:val="00F94EC0"/>
    <w:rsid w:val="00F976C6"/>
    <w:rsid w:val="00F97F07"/>
    <w:rsid w:val="00FA0C52"/>
    <w:rsid w:val="00FA1CFB"/>
    <w:rsid w:val="00FA215D"/>
    <w:rsid w:val="00FA2451"/>
    <w:rsid w:val="00FA2726"/>
    <w:rsid w:val="00FA3FB9"/>
    <w:rsid w:val="00FA457D"/>
    <w:rsid w:val="00FA6E33"/>
    <w:rsid w:val="00FA72B1"/>
    <w:rsid w:val="00FB5D5E"/>
    <w:rsid w:val="00FB6F29"/>
    <w:rsid w:val="00FC26B0"/>
    <w:rsid w:val="00FC479C"/>
    <w:rsid w:val="00FC6E57"/>
    <w:rsid w:val="00FC7151"/>
    <w:rsid w:val="00FD0560"/>
    <w:rsid w:val="00FD0C02"/>
    <w:rsid w:val="00FD0FA7"/>
    <w:rsid w:val="00FD1FCF"/>
    <w:rsid w:val="00FD282F"/>
    <w:rsid w:val="00FD68D7"/>
    <w:rsid w:val="00FD6EAA"/>
    <w:rsid w:val="00FE0ABB"/>
    <w:rsid w:val="00FE141F"/>
    <w:rsid w:val="00FE20F0"/>
    <w:rsid w:val="00FE7911"/>
    <w:rsid w:val="00FF1735"/>
    <w:rsid w:val="00FF31C9"/>
    <w:rsid w:val="00FF3D51"/>
    <w:rsid w:val="00FF4F81"/>
    <w:rsid w:val="00FF5DB9"/>
    <w:rsid w:val="00FF6310"/>
    <w:rsid w:val="00FF663F"/>
    <w:rsid w:val="00FF693C"/>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2514-E158-4858-8FA9-D543C9B7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dcterms:created xsi:type="dcterms:W3CDTF">2023-06-07T10:56:00Z</dcterms:created>
  <dcterms:modified xsi:type="dcterms:W3CDTF">2023-06-07T10:56:00Z</dcterms:modified>
</cp:coreProperties>
</file>