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5AEBF4A" w:rsidR="00D450B5" w:rsidRPr="00044B50" w:rsidRDefault="003C1FED"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CF5357">
        <w:rPr>
          <w:b/>
          <w:bCs/>
          <w:lang w:val="en-GB"/>
        </w:rPr>
        <w:t>GQEBERHA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2BB0DCC7" w:rsidR="00E44987" w:rsidRPr="00044B50" w:rsidRDefault="00E44987" w:rsidP="008A75F3">
      <w:pPr>
        <w:ind w:left="5760" w:firstLine="720"/>
        <w:rPr>
          <w:lang w:val="en-GB"/>
        </w:rPr>
      </w:pPr>
      <w:r w:rsidRPr="00044B50">
        <w:rPr>
          <w:lang w:val="en-GB"/>
        </w:rPr>
        <w:t xml:space="preserve">Case no: </w:t>
      </w:r>
      <w:r w:rsidR="003C1FED">
        <w:rPr>
          <w:lang w:val="en-GB"/>
        </w:rPr>
        <w:t>1069/2016</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3DA3423F" w:rsidR="00D450B5" w:rsidRDefault="003C1FED" w:rsidP="00A01F7D">
      <w:pPr>
        <w:tabs>
          <w:tab w:val="left" w:pos="7230"/>
        </w:tabs>
        <w:suppressAutoHyphens/>
        <w:ind w:right="-194"/>
        <w:jc w:val="both"/>
        <w:rPr>
          <w:b/>
          <w:bCs/>
          <w:lang w:val="en-GB"/>
        </w:rPr>
      </w:pPr>
      <w:r w:rsidRPr="003C1FED">
        <w:rPr>
          <w:b/>
          <w:bCs/>
          <w:lang w:val="en-GB"/>
        </w:rPr>
        <w:t xml:space="preserve">FREDERICK FRANCOIS GELDENHUYS N.O </w:t>
      </w:r>
      <w:r>
        <w:rPr>
          <w:b/>
          <w:bCs/>
          <w:lang w:val="en-GB"/>
        </w:rPr>
        <w:tab/>
        <w:t xml:space="preserve"> </w:t>
      </w:r>
      <w:r w:rsidRPr="003C1FED">
        <w:rPr>
          <w:b/>
          <w:bCs/>
          <w:lang w:val="en-GB"/>
        </w:rPr>
        <w:t>First Applicant</w:t>
      </w:r>
    </w:p>
    <w:p w14:paraId="6B964F46" w14:textId="77777777" w:rsidR="00A01F7D" w:rsidRDefault="00A01F7D" w:rsidP="00A01F7D">
      <w:pPr>
        <w:tabs>
          <w:tab w:val="left" w:pos="7230"/>
        </w:tabs>
        <w:suppressAutoHyphens/>
        <w:ind w:right="-194"/>
        <w:jc w:val="both"/>
        <w:rPr>
          <w:b/>
          <w:bCs/>
          <w:lang w:val="en-GB"/>
        </w:rPr>
      </w:pPr>
    </w:p>
    <w:p w14:paraId="166F6F85" w14:textId="0D713990" w:rsidR="003C1FED" w:rsidRDefault="003C1FED" w:rsidP="00A01F7D">
      <w:pPr>
        <w:tabs>
          <w:tab w:val="left" w:pos="6946"/>
        </w:tabs>
        <w:suppressAutoHyphens/>
        <w:ind w:right="-194"/>
        <w:jc w:val="both"/>
        <w:rPr>
          <w:b/>
          <w:bCs/>
          <w:lang w:val="en-GB"/>
        </w:rPr>
      </w:pPr>
      <w:r>
        <w:rPr>
          <w:b/>
          <w:bCs/>
          <w:lang w:val="en-GB"/>
        </w:rPr>
        <w:t xml:space="preserve">PETRUS WAGNER HANCKE N.O </w:t>
      </w:r>
      <w:r>
        <w:rPr>
          <w:b/>
          <w:bCs/>
          <w:lang w:val="en-GB"/>
        </w:rPr>
        <w:tab/>
        <w:t>Second Applicant</w:t>
      </w:r>
    </w:p>
    <w:p w14:paraId="4E0071B9" w14:textId="77777777" w:rsidR="00A01F7D" w:rsidRDefault="00A01F7D" w:rsidP="00A01F7D">
      <w:pPr>
        <w:tabs>
          <w:tab w:val="left" w:pos="6946"/>
        </w:tabs>
        <w:suppressAutoHyphens/>
        <w:ind w:right="-194"/>
        <w:jc w:val="both"/>
        <w:rPr>
          <w:b/>
          <w:bCs/>
          <w:lang w:val="en-GB"/>
        </w:rPr>
      </w:pPr>
    </w:p>
    <w:p w14:paraId="6C5FE2A7" w14:textId="0404B373" w:rsidR="003C1FED" w:rsidRDefault="003C1FED" w:rsidP="00A01F7D">
      <w:pPr>
        <w:tabs>
          <w:tab w:val="left" w:pos="7230"/>
          <w:tab w:val="left" w:pos="7513"/>
        </w:tabs>
        <w:suppressAutoHyphens/>
        <w:ind w:right="-194"/>
        <w:jc w:val="both"/>
        <w:rPr>
          <w:b/>
          <w:bCs/>
          <w:lang w:val="en-GB"/>
        </w:rPr>
      </w:pPr>
      <w:r>
        <w:rPr>
          <w:b/>
          <w:bCs/>
          <w:lang w:val="en-GB"/>
        </w:rPr>
        <w:t xml:space="preserve">LOUISE HANCKE N.O </w:t>
      </w:r>
      <w:r>
        <w:rPr>
          <w:b/>
          <w:bCs/>
          <w:lang w:val="en-GB"/>
        </w:rPr>
        <w:tab/>
        <w:t>Third Applicant</w:t>
      </w:r>
    </w:p>
    <w:p w14:paraId="7AFFCF30" w14:textId="77777777" w:rsidR="00A01F7D" w:rsidRDefault="00A01F7D" w:rsidP="00A01F7D">
      <w:pPr>
        <w:tabs>
          <w:tab w:val="left" w:pos="7230"/>
          <w:tab w:val="left" w:pos="7513"/>
        </w:tabs>
        <w:suppressAutoHyphens/>
        <w:ind w:right="-194"/>
        <w:jc w:val="both"/>
        <w:rPr>
          <w:b/>
          <w:bCs/>
          <w:lang w:val="en-GB"/>
        </w:rPr>
      </w:pPr>
    </w:p>
    <w:p w14:paraId="6E616C3C" w14:textId="79DC36AE" w:rsidR="003C1FED" w:rsidRPr="003C1FED" w:rsidRDefault="003C1FED" w:rsidP="00A01F7D">
      <w:pPr>
        <w:tabs>
          <w:tab w:val="left" w:pos="7088"/>
          <w:tab w:val="left" w:pos="7371"/>
          <w:tab w:val="left" w:pos="7513"/>
        </w:tabs>
        <w:suppressAutoHyphens/>
        <w:ind w:right="-52"/>
        <w:jc w:val="both"/>
        <w:rPr>
          <w:b/>
          <w:bCs/>
          <w:lang w:val="en-GB"/>
        </w:rPr>
      </w:pPr>
      <w:r>
        <w:rPr>
          <w:b/>
          <w:bCs/>
          <w:lang w:val="en-GB"/>
        </w:rPr>
        <w:t xml:space="preserve">JOHANNA PETRONELLA JULINA HANCKE N.O </w:t>
      </w:r>
      <w:r w:rsidR="00A01F7D">
        <w:rPr>
          <w:b/>
          <w:bCs/>
          <w:lang w:val="en-GB"/>
        </w:rPr>
        <w:tab/>
      </w:r>
      <w:r>
        <w:rPr>
          <w:b/>
          <w:bCs/>
          <w:lang w:val="en-GB"/>
        </w:rPr>
        <w:t>Fourth 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91BD0F5" w:rsidR="00C246F2" w:rsidRPr="003C1FED" w:rsidRDefault="003C1FED" w:rsidP="00A01F7D">
      <w:pPr>
        <w:tabs>
          <w:tab w:val="left" w:pos="7797"/>
        </w:tabs>
        <w:ind w:right="-52"/>
        <w:jc w:val="both"/>
        <w:rPr>
          <w:b/>
          <w:bCs/>
          <w:lang w:val="en-GB"/>
        </w:rPr>
      </w:pPr>
      <w:r w:rsidRPr="003C1FED">
        <w:rPr>
          <w:b/>
          <w:bCs/>
          <w:lang w:val="en-GB"/>
        </w:rPr>
        <w:t xml:space="preserve">COEGA DEVELOPMENT CORPORATION (PTY) LTD </w:t>
      </w:r>
      <w:r>
        <w:rPr>
          <w:b/>
          <w:bCs/>
          <w:lang w:val="en-GB"/>
        </w:rPr>
        <w:tab/>
      </w:r>
      <w:r w:rsidRPr="003C1FED">
        <w:rPr>
          <w:b/>
          <w:bCs/>
          <w:lang w:val="en-GB"/>
        </w:rPr>
        <w:t>Defendant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724DBC34" w14:textId="77777777" w:rsidR="00B20486" w:rsidRPr="00B20486" w:rsidRDefault="00B20486" w:rsidP="00682CE5">
      <w:pPr>
        <w:autoSpaceDE w:val="0"/>
        <w:autoSpaceDN w:val="0"/>
        <w:adjustRightInd w:val="0"/>
        <w:jc w:val="both"/>
        <w:rPr>
          <w:b/>
          <w:bCs/>
          <w:lang w:val="en-GB"/>
        </w:rPr>
      </w:pPr>
    </w:p>
    <w:p w14:paraId="15057235" w14:textId="79CE0E83" w:rsidR="00823CFE" w:rsidRPr="0001596F" w:rsidRDefault="0001596F" w:rsidP="0001596F">
      <w:pPr>
        <w:autoSpaceDE w:val="0"/>
        <w:autoSpaceDN w:val="0"/>
        <w:adjustRightInd w:val="0"/>
        <w:jc w:val="both"/>
        <w:rPr>
          <w:lang w:val="en-GB"/>
        </w:rPr>
      </w:pPr>
      <w:r>
        <w:rPr>
          <w:lang w:val="en-GB"/>
        </w:rPr>
        <w:lastRenderedPageBreak/>
        <w:t>[1</w:t>
      </w:r>
      <w:bookmarkStart w:id="0" w:name="_GoBack"/>
      <w:bookmarkEnd w:id="0"/>
      <w:r>
        <w:rPr>
          <w:lang w:val="en-GB"/>
        </w:rPr>
        <w:t>]</w:t>
      </w:r>
      <w:r>
        <w:rPr>
          <w:lang w:val="en-GB"/>
        </w:rPr>
        <w:tab/>
      </w:r>
      <w:r w:rsidR="006A7DA6" w:rsidRPr="0001596F">
        <w:rPr>
          <w:lang w:val="en-GB"/>
        </w:rPr>
        <w:t xml:space="preserve">The </w:t>
      </w:r>
      <w:r w:rsidR="00D117C0" w:rsidRPr="0001596F">
        <w:rPr>
          <w:lang w:val="en-GB"/>
        </w:rPr>
        <w:t>pl</w:t>
      </w:r>
      <w:r w:rsidR="002B3436" w:rsidRPr="0001596F">
        <w:rPr>
          <w:lang w:val="en-GB"/>
        </w:rPr>
        <w:t>aintiffs instituted the action in their capacity as the duly appointed trustees of the Mentorskraal Family Trust</w:t>
      </w:r>
      <w:r w:rsidR="00561D1E" w:rsidRPr="0001596F">
        <w:rPr>
          <w:lang w:val="en-GB"/>
        </w:rPr>
        <w:t xml:space="preserve"> (‘the Trust’)</w:t>
      </w:r>
      <w:r w:rsidR="002B3436" w:rsidRPr="0001596F">
        <w:rPr>
          <w:lang w:val="en-GB"/>
        </w:rPr>
        <w:t>, trading as JBay Plant Hire.</w:t>
      </w:r>
      <w:r w:rsidR="00036FC8" w:rsidRPr="0001596F">
        <w:rPr>
          <w:lang w:val="en-GB"/>
        </w:rPr>
        <w:t xml:space="preserve"> </w:t>
      </w:r>
      <w:r w:rsidR="00EF358A" w:rsidRPr="0001596F">
        <w:rPr>
          <w:lang w:val="en-GB"/>
        </w:rPr>
        <w:t xml:space="preserve">The defendant (‘Coega’) is a duly registered company operating in Gqeberha. </w:t>
      </w:r>
      <w:r w:rsidR="00036FC8" w:rsidRPr="0001596F">
        <w:rPr>
          <w:lang w:val="en-GB"/>
        </w:rPr>
        <w:t xml:space="preserve">The action arises from </w:t>
      </w:r>
      <w:r w:rsidR="00EF358A" w:rsidRPr="0001596F">
        <w:rPr>
          <w:lang w:val="en-GB"/>
        </w:rPr>
        <w:t xml:space="preserve">Coega’s </w:t>
      </w:r>
      <w:r w:rsidR="00036FC8" w:rsidRPr="0001596F">
        <w:rPr>
          <w:lang w:val="en-GB"/>
        </w:rPr>
        <w:t>award of a tender to Pro-Khaya Construction CC (‘Pro-Khaya’) to build a school at Sea Vista, St Francis Bay</w:t>
      </w:r>
      <w:r w:rsidR="009F1F4E" w:rsidRPr="0001596F">
        <w:rPr>
          <w:lang w:val="en-GB"/>
        </w:rPr>
        <w:t xml:space="preserve"> (‘the project’)</w:t>
      </w:r>
      <w:r w:rsidR="00036FC8" w:rsidRPr="0001596F">
        <w:rPr>
          <w:lang w:val="en-GB"/>
        </w:rPr>
        <w:t>.</w:t>
      </w:r>
      <w:r w:rsidR="001F7FB7" w:rsidRPr="0001596F">
        <w:rPr>
          <w:lang w:val="en-GB"/>
        </w:rPr>
        <w:t xml:space="preserve"> Pro-Khaya sub-contracted a portion of its work to various </w:t>
      </w:r>
      <w:r w:rsidR="005B75C8" w:rsidRPr="0001596F">
        <w:rPr>
          <w:lang w:val="en-GB"/>
        </w:rPr>
        <w:t>small, medium and micro-enterprises</w:t>
      </w:r>
      <w:r w:rsidR="00D42CCE" w:rsidRPr="0001596F">
        <w:rPr>
          <w:lang w:val="en-GB"/>
        </w:rPr>
        <w:t xml:space="preserve"> (‘SMME</w:t>
      </w:r>
      <w:r w:rsidR="000B3CD8" w:rsidRPr="0001596F">
        <w:rPr>
          <w:lang w:val="en-GB"/>
        </w:rPr>
        <w:t>s</w:t>
      </w:r>
      <w:r w:rsidR="00D42CCE" w:rsidRPr="0001596F">
        <w:rPr>
          <w:lang w:val="en-GB"/>
        </w:rPr>
        <w:t>’)</w:t>
      </w:r>
      <w:r w:rsidR="001F7FB7" w:rsidRPr="0001596F">
        <w:rPr>
          <w:lang w:val="en-GB"/>
        </w:rPr>
        <w:t>, one of which was Qingqani Ma-afrika Construction CC (‘QMC’).</w:t>
      </w:r>
      <w:r w:rsidR="00561D1E" w:rsidRPr="0001596F">
        <w:rPr>
          <w:lang w:val="en-GB"/>
        </w:rPr>
        <w:t xml:space="preserve"> </w:t>
      </w:r>
    </w:p>
    <w:p w14:paraId="2A924C18" w14:textId="77777777" w:rsidR="00190336" w:rsidRDefault="00190336" w:rsidP="00D44552">
      <w:pPr>
        <w:pStyle w:val="ListParagraph"/>
        <w:autoSpaceDE w:val="0"/>
        <w:autoSpaceDN w:val="0"/>
        <w:adjustRightInd w:val="0"/>
        <w:ind w:left="0"/>
        <w:jc w:val="both"/>
        <w:rPr>
          <w:b/>
          <w:bCs/>
          <w:lang w:val="en-GB"/>
        </w:rPr>
      </w:pPr>
    </w:p>
    <w:p w14:paraId="5BA335A3" w14:textId="549D1DEF" w:rsidR="00D44552" w:rsidRPr="00D44552" w:rsidRDefault="00D44552" w:rsidP="00D44552">
      <w:pPr>
        <w:pStyle w:val="ListParagraph"/>
        <w:autoSpaceDE w:val="0"/>
        <w:autoSpaceDN w:val="0"/>
        <w:adjustRightInd w:val="0"/>
        <w:ind w:left="0"/>
        <w:jc w:val="both"/>
        <w:rPr>
          <w:b/>
          <w:bCs/>
          <w:lang w:val="en-GB"/>
        </w:rPr>
      </w:pPr>
      <w:r>
        <w:rPr>
          <w:b/>
          <w:bCs/>
          <w:lang w:val="en-GB"/>
        </w:rPr>
        <w:t>The claim</w:t>
      </w:r>
    </w:p>
    <w:p w14:paraId="1C7CD286" w14:textId="77777777" w:rsidR="00561D1E" w:rsidRDefault="00561D1E" w:rsidP="00561D1E">
      <w:pPr>
        <w:pStyle w:val="ListParagraph"/>
        <w:autoSpaceDE w:val="0"/>
        <w:autoSpaceDN w:val="0"/>
        <w:adjustRightInd w:val="0"/>
        <w:ind w:left="0"/>
        <w:jc w:val="both"/>
        <w:rPr>
          <w:lang w:val="en-GB"/>
        </w:rPr>
      </w:pPr>
    </w:p>
    <w:p w14:paraId="7FF112F0" w14:textId="69D99640" w:rsidR="00561D1E" w:rsidRPr="0001596F" w:rsidRDefault="0001596F" w:rsidP="0001596F">
      <w:pPr>
        <w:autoSpaceDE w:val="0"/>
        <w:autoSpaceDN w:val="0"/>
        <w:adjustRightInd w:val="0"/>
        <w:jc w:val="both"/>
        <w:rPr>
          <w:lang w:val="en-GB"/>
        </w:rPr>
      </w:pPr>
      <w:r>
        <w:rPr>
          <w:lang w:val="en-GB"/>
        </w:rPr>
        <w:t>[2]</w:t>
      </w:r>
      <w:r>
        <w:rPr>
          <w:lang w:val="en-GB"/>
        </w:rPr>
        <w:tab/>
      </w:r>
      <w:r w:rsidR="00561D1E" w:rsidRPr="0001596F">
        <w:rPr>
          <w:lang w:val="en-GB"/>
        </w:rPr>
        <w:t>The Trust</w:t>
      </w:r>
      <w:r w:rsidR="003E6632" w:rsidRPr="0001596F">
        <w:rPr>
          <w:lang w:val="en-GB"/>
        </w:rPr>
        <w:t xml:space="preserve"> claims that it</w:t>
      </w:r>
      <w:r w:rsidR="00561D1E" w:rsidRPr="0001596F">
        <w:rPr>
          <w:lang w:val="en-GB"/>
        </w:rPr>
        <w:t xml:space="preserve"> was approached by QMC during the middle of 2015. QMC required the rental of machinery and the supply of material from the Trust for the construction of roads. QMC advised that </w:t>
      </w:r>
      <w:r w:rsidR="008C7116" w:rsidRPr="0001596F">
        <w:rPr>
          <w:lang w:val="en-GB"/>
        </w:rPr>
        <w:t>Coega</w:t>
      </w:r>
      <w:r w:rsidR="00561D1E" w:rsidRPr="0001596F">
        <w:rPr>
          <w:lang w:val="en-GB"/>
        </w:rPr>
        <w:t xml:space="preserve"> was the implementing agent in respect of the project and that the Trust was to approach </w:t>
      </w:r>
      <w:r w:rsidR="001D4DA2" w:rsidRPr="0001596F">
        <w:rPr>
          <w:lang w:val="en-GB"/>
        </w:rPr>
        <w:t>Coega</w:t>
      </w:r>
      <w:r w:rsidR="00561D1E" w:rsidRPr="0001596F">
        <w:rPr>
          <w:lang w:val="en-GB"/>
        </w:rPr>
        <w:t xml:space="preserve"> regarding payment for the rental of machinery and supply of material to QMC.</w:t>
      </w:r>
    </w:p>
    <w:p w14:paraId="3512CBAD" w14:textId="77777777" w:rsidR="00036FC8" w:rsidRDefault="00036FC8" w:rsidP="00036FC8">
      <w:pPr>
        <w:pStyle w:val="ListParagraph"/>
        <w:autoSpaceDE w:val="0"/>
        <w:autoSpaceDN w:val="0"/>
        <w:adjustRightInd w:val="0"/>
        <w:ind w:left="0"/>
        <w:jc w:val="both"/>
        <w:rPr>
          <w:lang w:val="en-GB"/>
        </w:rPr>
      </w:pPr>
    </w:p>
    <w:p w14:paraId="4A475543" w14:textId="05074021" w:rsidR="00316831" w:rsidRPr="0001596F" w:rsidRDefault="0001596F" w:rsidP="0001596F">
      <w:pPr>
        <w:autoSpaceDE w:val="0"/>
        <w:autoSpaceDN w:val="0"/>
        <w:adjustRightInd w:val="0"/>
        <w:jc w:val="both"/>
        <w:rPr>
          <w:lang w:val="en-GB"/>
        </w:rPr>
      </w:pPr>
      <w:r>
        <w:rPr>
          <w:lang w:val="en-GB"/>
        </w:rPr>
        <w:t>[3]</w:t>
      </w:r>
      <w:r>
        <w:rPr>
          <w:lang w:val="en-GB"/>
        </w:rPr>
        <w:tab/>
      </w:r>
      <w:r w:rsidR="00036FC8" w:rsidRPr="0001596F">
        <w:rPr>
          <w:lang w:val="en-GB"/>
        </w:rPr>
        <w:t xml:space="preserve">The </w:t>
      </w:r>
      <w:r w:rsidR="00B41944" w:rsidRPr="0001596F">
        <w:rPr>
          <w:lang w:val="en-GB"/>
        </w:rPr>
        <w:t>plaintiffs rely on an oral agreement with Coega, represented at the time by Mr H Petersen (‘Petersen’)</w:t>
      </w:r>
      <w:r w:rsidR="006332E5" w:rsidRPr="0001596F">
        <w:rPr>
          <w:lang w:val="en-GB"/>
        </w:rPr>
        <w:t>,</w:t>
      </w:r>
      <w:r w:rsidR="00B41944" w:rsidRPr="0001596F">
        <w:rPr>
          <w:lang w:val="en-GB"/>
        </w:rPr>
        <w:t xml:space="preserve"> to support their claim. </w:t>
      </w:r>
      <w:r w:rsidR="009F1F4E" w:rsidRPr="0001596F">
        <w:rPr>
          <w:lang w:val="en-GB"/>
        </w:rPr>
        <w:t>In terms of the agreement, it is alleged that the Trust would supply the machinery and material to QMC for the project</w:t>
      </w:r>
      <w:r w:rsidR="003224C7" w:rsidRPr="0001596F">
        <w:rPr>
          <w:lang w:val="en-GB"/>
        </w:rPr>
        <w:t>, and that it would render invoices for its services to Coega, who would be liable to make payment of the invoices.</w:t>
      </w:r>
      <w:r w:rsidR="00937FE9" w:rsidRPr="0001596F">
        <w:rPr>
          <w:lang w:val="en-GB"/>
        </w:rPr>
        <w:t xml:space="preserve"> The Trust complied with its obligations, providing QMC with machinery for rent and material for road construction as requested, and in terms of quotations accepted by QMC. Invoices rendered were paid</w:t>
      </w:r>
      <w:r w:rsidR="00A7565B" w:rsidRPr="0001596F">
        <w:rPr>
          <w:lang w:val="en-GB"/>
        </w:rPr>
        <w:t xml:space="preserve"> by Coega</w:t>
      </w:r>
      <w:r w:rsidR="00937FE9" w:rsidRPr="0001596F">
        <w:rPr>
          <w:lang w:val="en-GB"/>
        </w:rPr>
        <w:t>.</w:t>
      </w:r>
      <w:r w:rsidR="00B20486" w:rsidRPr="0001596F">
        <w:rPr>
          <w:lang w:val="en-GB"/>
        </w:rPr>
        <w:t xml:space="preserve"> In respect of </w:t>
      </w:r>
      <w:r w:rsidR="005879AD" w:rsidRPr="0001596F">
        <w:rPr>
          <w:lang w:val="en-GB"/>
        </w:rPr>
        <w:t xml:space="preserve">invoices dated at the end of August, September and October 2015, however, </w:t>
      </w:r>
      <w:r w:rsidR="00243DF9" w:rsidRPr="0001596F">
        <w:rPr>
          <w:lang w:val="en-GB"/>
        </w:rPr>
        <w:t xml:space="preserve">Coega paid only the sum of R150 000, leaving </w:t>
      </w:r>
      <w:r w:rsidR="005879AD" w:rsidRPr="0001596F">
        <w:rPr>
          <w:lang w:val="en-GB"/>
        </w:rPr>
        <w:t xml:space="preserve">a balance of approximately R400 000 outstanding. </w:t>
      </w:r>
    </w:p>
    <w:p w14:paraId="2D9ECAE0" w14:textId="0AA44782" w:rsidR="00316831" w:rsidRDefault="00316831" w:rsidP="00AC3A3E">
      <w:pPr>
        <w:rPr>
          <w:lang w:val="en-GB"/>
        </w:rPr>
      </w:pPr>
    </w:p>
    <w:p w14:paraId="5B5808D6" w14:textId="164D399F" w:rsidR="00AC3A3E" w:rsidRDefault="00AC3A3E" w:rsidP="00AC3A3E">
      <w:pPr>
        <w:rPr>
          <w:b/>
          <w:bCs/>
          <w:lang w:val="en-GB"/>
        </w:rPr>
      </w:pPr>
      <w:r>
        <w:rPr>
          <w:b/>
          <w:bCs/>
          <w:lang w:val="en-GB"/>
        </w:rPr>
        <w:t>The defence</w:t>
      </w:r>
    </w:p>
    <w:p w14:paraId="2BA83652" w14:textId="77777777" w:rsidR="00AC3A3E" w:rsidRPr="00AC3A3E" w:rsidRDefault="00AC3A3E" w:rsidP="00AC3A3E">
      <w:pPr>
        <w:rPr>
          <w:b/>
          <w:bCs/>
          <w:lang w:val="en-GB"/>
        </w:rPr>
      </w:pPr>
    </w:p>
    <w:p w14:paraId="099482BD" w14:textId="054F4C18" w:rsidR="00036FC8" w:rsidRPr="0001596F" w:rsidRDefault="0001596F" w:rsidP="0001596F">
      <w:pPr>
        <w:autoSpaceDE w:val="0"/>
        <w:autoSpaceDN w:val="0"/>
        <w:adjustRightInd w:val="0"/>
        <w:jc w:val="both"/>
        <w:rPr>
          <w:lang w:val="en-GB"/>
        </w:rPr>
      </w:pPr>
      <w:r>
        <w:rPr>
          <w:lang w:val="en-GB"/>
        </w:rPr>
        <w:t>[4]</w:t>
      </w:r>
      <w:r>
        <w:rPr>
          <w:lang w:val="en-GB"/>
        </w:rPr>
        <w:tab/>
      </w:r>
      <w:r w:rsidR="00316831" w:rsidRPr="0001596F">
        <w:rPr>
          <w:lang w:val="en-GB"/>
        </w:rPr>
        <w:t>Coega refused to make payment of the amount claimed.</w:t>
      </w:r>
      <w:r w:rsidR="003E6632" w:rsidRPr="0001596F">
        <w:rPr>
          <w:lang w:val="en-GB"/>
        </w:rPr>
        <w:t xml:space="preserve"> It pleads no knowledge of the averment that QMC advised the Trust that it (Coega) was the implementing age</w:t>
      </w:r>
      <w:r w:rsidR="00B4304D" w:rsidRPr="0001596F">
        <w:rPr>
          <w:lang w:val="en-GB"/>
        </w:rPr>
        <w:t>nt of the project and that the T</w:t>
      </w:r>
      <w:r w:rsidR="003E6632" w:rsidRPr="0001596F">
        <w:rPr>
          <w:lang w:val="en-GB"/>
        </w:rPr>
        <w:t xml:space="preserve">rust was to approach it regarding payment. Coega </w:t>
      </w:r>
      <w:r w:rsidR="004B14B1" w:rsidRPr="0001596F">
        <w:rPr>
          <w:lang w:val="en-GB"/>
        </w:rPr>
        <w:t xml:space="preserve">denies that it concluded an oral agreement with the Trust. </w:t>
      </w:r>
      <w:r w:rsidR="00A301CC" w:rsidRPr="0001596F">
        <w:rPr>
          <w:lang w:val="en-GB"/>
        </w:rPr>
        <w:t xml:space="preserve">Its pleaded defence is that QMC was financed by </w:t>
      </w:r>
      <w:r w:rsidR="000A008A" w:rsidRPr="0001596F">
        <w:rPr>
          <w:lang w:val="en-GB"/>
        </w:rPr>
        <w:t xml:space="preserve">Rapid Infrastructure Development Agency (Pty) Ltd trading as </w:t>
      </w:r>
      <w:r w:rsidR="000A008A" w:rsidRPr="0001596F">
        <w:rPr>
          <w:lang w:val="en-GB"/>
        </w:rPr>
        <w:lastRenderedPageBreak/>
        <w:t>Small Business Finance Support (</w:t>
      </w:r>
      <w:r w:rsidR="00A301CC" w:rsidRPr="0001596F">
        <w:rPr>
          <w:lang w:val="en-GB"/>
        </w:rPr>
        <w:t>‘SBF</w:t>
      </w:r>
      <w:r w:rsidR="003F5462" w:rsidRPr="0001596F">
        <w:rPr>
          <w:lang w:val="en-GB"/>
        </w:rPr>
        <w:t>S</w:t>
      </w:r>
      <w:r w:rsidR="00A301CC" w:rsidRPr="0001596F">
        <w:rPr>
          <w:lang w:val="en-GB"/>
        </w:rPr>
        <w:t>’</w:t>
      </w:r>
      <w:r w:rsidR="000A008A" w:rsidRPr="0001596F">
        <w:rPr>
          <w:lang w:val="en-GB"/>
        </w:rPr>
        <w:t>)</w:t>
      </w:r>
      <w:r w:rsidR="00A301CC" w:rsidRPr="0001596F">
        <w:rPr>
          <w:lang w:val="en-GB"/>
        </w:rPr>
        <w:t xml:space="preserve"> in the amount of R820 000, and would cede all its payments from Pro-Khaya to SBF</w:t>
      </w:r>
      <w:r w:rsidR="003F5462" w:rsidRPr="0001596F">
        <w:rPr>
          <w:lang w:val="en-GB"/>
        </w:rPr>
        <w:t>S</w:t>
      </w:r>
      <w:r w:rsidR="00A301CC" w:rsidRPr="0001596F">
        <w:rPr>
          <w:lang w:val="en-GB"/>
        </w:rPr>
        <w:t>.</w:t>
      </w:r>
      <w:r w:rsidR="000A72E7" w:rsidRPr="0001596F">
        <w:rPr>
          <w:lang w:val="en-GB"/>
        </w:rPr>
        <w:t xml:space="preserve"> SBF</w:t>
      </w:r>
      <w:r w:rsidR="003F5462" w:rsidRPr="0001596F">
        <w:rPr>
          <w:lang w:val="en-GB"/>
        </w:rPr>
        <w:t>S</w:t>
      </w:r>
      <w:r w:rsidR="000A72E7" w:rsidRPr="0001596F">
        <w:rPr>
          <w:lang w:val="en-GB"/>
        </w:rPr>
        <w:t xml:space="preserve"> would, as part of its technical and after-care support, process and pay all </w:t>
      </w:r>
      <w:r w:rsidR="00B4304D" w:rsidRPr="0001596F">
        <w:rPr>
          <w:lang w:val="en-GB"/>
        </w:rPr>
        <w:t>amounts</w:t>
      </w:r>
      <w:r w:rsidR="000A72E7" w:rsidRPr="0001596F">
        <w:rPr>
          <w:lang w:val="en-GB"/>
        </w:rPr>
        <w:t xml:space="preserve"> due to QMC suppliers</w:t>
      </w:r>
      <w:r w:rsidR="00F808F8" w:rsidRPr="0001596F">
        <w:rPr>
          <w:lang w:val="en-GB"/>
        </w:rPr>
        <w:t>, but only after receipt of the capital amount from Pro-Khaya and after QMC had verified the amount to be paid to a supplier</w:t>
      </w:r>
      <w:r w:rsidR="009D237C" w:rsidRPr="0001596F">
        <w:rPr>
          <w:lang w:val="en-GB"/>
        </w:rPr>
        <w:t>.</w:t>
      </w:r>
      <w:r w:rsidR="00D56799" w:rsidRPr="0001596F">
        <w:rPr>
          <w:lang w:val="en-GB"/>
        </w:rPr>
        <w:t xml:space="preserve"> Coega did not plead that the Trust was aware of this arrangement.</w:t>
      </w:r>
      <w:r w:rsidR="000A008A" w:rsidRPr="0001596F">
        <w:rPr>
          <w:lang w:val="en-GB"/>
        </w:rPr>
        <w:t xml:space="preserve"> </w:t>
      </w:r>
    </w:p>
    <w:p w14:paraId="64F29089" w14:textId="77777777" w:rsidR="009D237C" w:rsidRDefault="009D237C" w:rsidP="009D237C">
      <w:pPr>
        <w:pStyle w:val="ListParagraph"/>
        <w:autoSpaceDE w:val="0"/>
        <w:autoSpaceDN w:val="0"/>
        <w:adjustRightInd w:val="0"/>
        <w:ind w:left="0"/>
        <w:jc w:val="both"/>
        <w:rPr>
          <w:lang w:val="en-GB"/>
        </w:rPr>
      </w:pPr>
    </w:p>
    <w:p w14:paraId="759A170C" w14:textId="450C3E5A" w:rsidR="009D237C" w:rsidRPr="0001596F" w:rsidRDefault="0001596F" w:rsidP="0001596F">
      <w:pPr>
        <w:autoSpaceDE w:val="0"/>
        <w:autoSpaceDN w:val="0"/>
        <w:adjustRightInd w:val="0"/>
        <w:jc w:val="both"/>
        <w:rPr>
          <w:lang w:val="en-GB"/>
        </w:rPr>
      </w:pPr>
      <w:r>
        <w:rPr>
          <w:lang w:val="en-GB"/>
        </w:rPr>
        <w:t>[5]</w:t>
      </w:r>
      <w:r>
        <w:rPr>
          <w:lang w:val="en-GB"/>
        </w:rPr>
        <w:tab/>
      </w:r>
      <w:r w:rsidR="009D237C" w:rsidRPr="0001596F">
        <w:rPr>
          <w:lang w:val="en-GB"/>
        </w:rPr>
        <w:t xml:space="preserve">Two special pleas, related to misjoinder and non-joinder, were dealt with at the commencement of the trial and were dismissed by way of an </w:t>
      </w:r>
      <w:r w:rsidR="009D237C" w:rsidRPr="0001596F">
        <w:rPr>
          <w:i/>
          <w:iCs/>
          <w:lang w:val="en-GB"/>
        </w:rPr>
        <w:t xml:space="preserve">ex tempore </w:t>
      </w:r>
      <w:r w:rsidR="009D237C" w:rsidRPr="0001596F">
        <w:rPr>
          <w:lang w:val="en-GB"/>
        </w:rPr>
        <w:t>ruling following argument.</w:t>
      </w:r>
      <w:r w:rsidR="00543F0E">
        <w:rPr>
          <w:rStyle w:val="FootnoteReference"/>
          <w:lang w:val="en-GB"/>
        </w:rPr>
        <w:footnoteReference w:id="1"/>
      </w:r>
      <w:r w:rsidR="009D237C" w:rsidRPr="0001596F">
        <w:rPr>
          <w:lang w:val="en-GB"/>
        </w:rPr>
        <w:t xml:space="preserve"> </w:t>
      </w:r>
    </w:p>
    <w:p w14:paraId="6A41845D" w14:textId="4784DE92" w:rsidR="00BC1ABE" w:rsidRDefault="00BC1ABE" w:rsidP="002A034D">
      <w:pPr>
        <w:rPr>
          <w:lang w:val="en-GB"/>
        </w:rPr>
      </w:pPr>
    </w:p>
    <w:p w14:paraId="4F5B5723" w14:textId="26289542" w:rsidR="002A034D" w:rsidRDefault="002A034D" w:rsidP="002A034D">
      <w:pPr>
        <w:rPr>
          <w:b/>
          <w:bCs/>
          <w:lang w:val="en-GB"/>
        </w:rPr>
      </w:pPr>
      <w:r>
        <w:rPr>
          <w:b/>
          <w:bCs/>
          <w:lang w:val="en-GB"/>
        </w:rPr>
        <w:t>The evidence</w:t>
      </w:r>
    </w:p>
    <w:p w14:paraId="7DF2D55F" w14:textId="77777777" w:rsidR="002A034D" w:rsidRPr="002A034D" w:rsidRDefault="002A034D" w:rsidP="002A034D">
      <w:pPr>
        <w:rPr>
          <w:b/>
          <w:bCs/>
          <w:lang w:val="en-GB"/>
        </w:rPr>
      </w:pPr>
    </w:p>
    <w:p w14:paraId="2C87A13E" w14:textId="065A6F59" w:rsidR="00BC1ABE" w:rsidRPr="0001596F" w:rsidRDefault="0001596F" w:rsidP="0001596F">
      <w:pPr>
        <w:autoSpaceDE w:val="0"/>
        <w:autoSpaceDN w:val="0"/>
        <w:adjustRightInd w:val="0"/>
        <w:jc w:val="both"/>
        <w:rPr>
          <w:lang w:val="en-GB"/>
        </w:rPr>
      </w:pPr>
      <w:r>
        <w:rPr>
          <w:lang w:val="en-GB"/>
        </w:rPr>
        <w:t>[6]</w:t>
      </w:r>
      <w:r>
        <w:rPr>
          <w:lang w:val="en-GB"/>
        </w:rPr>
        <w:tab/>
      </w:r>
      <w:r w:rsidR="008022E3" w:rsidRPr="0001596F">
        <w:rPr>
          <w:lang w:val="en-GB"/>
        </w:rPr>
        <w:t>Mr Petrus Hancke</w:t>
      </w:r>
      <w:r w:rsidR="00A66BAB" w:rsidRPr="0001596F">
        <w:rPr>
          <w:lang w:val="en-GB"/>
        </w:rPr>
        <w:t xml:space="preserve"> (‘Hancke’)</w:t>
      </w:r>
      <w:r w:rsidR="008022E3" w:rsidRPr="0001596F">
        <w:rPr>
          <w:lang w:val="en-GB"/>
        </w:rPr>
        <w:t xml:space="preserve">, the second plaintiff and one of the </w:t>
      </w:r>
      <w:r w:rsidR="002C4233" w:rsidRPr="0001596F">
        <w:rPr>
          <w:lang w:val="en-GB"/>
        </w:rPr>
        <w:t>trustees</w:t>
      </w:r>
      <w:r w:rsidR="008022E3" w:rsidRPr="0001596F">
        <w:rPr>
          <w:lang w:val="en-GB"/>
        </w:rPr>
        <w:t xml:space="preserve"> of the Trust, </w:t>
      </w:r>
      <w:r w:rsidR="009329D0" w:rsidRPr="0001596F">
        <w:rPr>
          <w:lang w:val="en-GB"/>
        </w:rPr>
        <w:t xml:space="preserve">testified that he had represented the Trust when it entered into an agreement with Coega, represented by Petersen. </w:t>
      </w:r>
      <w:r w:rsidR="000611BD" w:rsidRPr="0001596F">
        <w:rPr>
          <w:lang w:val="en-GB"/>
        </w:rPr>
        <w:t>He had</w:t>
      </w:r>
      <w:r w:rsidR="009329D0" w:rsidRPr="0001596F">
        <w:rPr>
          <w:lang w:val="en-GB"/>
        </w:rPr>
        <w:t xml:space="preserve"> summarised </w:t>
      </w:r>
      <w:r w:rsidR="000611BD" w:rsidRPr="0001596F">
        <w:rPr>
          <w:lang w:val="en-GB"/>
        </w:rPr>
        <w:t xml:space="preserve">the terms of the agreement, as he understood them, </w:t>
      </w:r>
      <w:r w:rsidR="009329D0" w:rsidRPr="0001596F">
        <w:rPr>
          <w:lang w:val="en-GB"/>
        </w:rPr>
        <w:t xml:space="preserve">in unanswered correspondence </w:t>
      </w:r>
      <w:r w:rsidR="000611BD" w:rsidRPr="0001596F">
        <w:rPr>
          <w:lang w:val="en-GB"/>
        </w:rPr>
        <w:t>to Petersen</w:t>
      </w:r>
      <w:r w:rsidR="00A66BAB" w:rsidRPr="0001596F">
        <w:rPr>
          <w:lang w:val="en-GB"/>
        </w:rPr>
        <w:t>, as follows:</w:t>
      </w:r>
    </w:p>
    <w:p w14:paraId="2430130D" w14:textId="68AA0F6B" w:rsidR="000611BD" w:rsidRDefault="000611BD" w:rsidP="000611BD">
      <w:pPr>
        <w:pStyle w:val="ListParagraph"/>
        <w:autoSpaceDE w:val="0"/>
        <w:autoSpaceDN w:val="0"/>
        <w:adjustRightInd w:val="0"/>
        <w:ind w:left="0"/>
        <w:jc w:val="both"/>
        <w:rPr>
          <w:sz w:val="22"/>
          <w:szCs w:val="22"/>
          <w:lang w:val="en-GB"/>
        </w:rPr>
      </w:pPr>
      <w:r>
        <w:rPr>
          <w:sz w:val="22"/>
          <w:szCs w:val="22"/>
          <w:lang w:val="en-GB"/>
        </w:rPr>
        <w:t>‘1. Ons is gedurende the middle van verlede jaar genader deur Ma Africa vir die huur van masjienerie en voorsiening van padbou material.</w:t>
      </w:r>
    </w:p>
    <w:p w14:paraId="5F1E6046" w14:textId="7C8B6398" w:rsidR="000611BD" w:rsidRDefault="000611BD" w:rsidP="000611BD">
      <w:pPr>
        <w:pStyle w:val="ListParagraph"/>
        <w:autoSpaceDE w:val="0"/>
        <w:autoSpaceDN w:val="0"/>
        <w:adjustRightInd w:val="0"/>
        <w:ind w:left="0"/>
        <w:jc w:val="both"/>
        <w:rPr>
          <w:sz w:val="22"/>
          <w:szCs w:val="22"/>
          <w:lang w:val="en-GB"/>
        </w:rPr>
      </w:pPr>
      <w:r>
        <w:rPr>
          <w:sz w:val="22"/>
          <w:szCs w:val="22"/>
          <w:lang w:val="en-GB"/>
        </w:rPr>
        <w:t>2. Dit is algemene kennis dat voormelde firma oor geen kredietwaardigheid beskik nie en</w:t>
      </w:r>
      <w:r w:rsidR="00566143">
        <w:rPr>
          <w:sz w:val="22"/>
          <w:szCs w:val="22"/>
          <w:lang w:val="en-GB"/>
        </w:rPr>
        <w:t xml:space="preserve"> </w:t>
      </w:r>
      <w:r>
        <w:rPr>
          <w:sz w:val="22"/>
          <w:szCs w:val="22"/>
          <w:lang w:val="en-GB"/>
        </w:rPr>
        <w:t>dat ons nie bereid was om enige risikos met hulle te loop nie.</w:t>
      </w:r>
    </w:p>
    <w:p w14:paraId="4D04277D" w14:textId="0D43C5D3" w:rsidR="000611BD" w:rsidRDefault="000611BD" w:rsidP="000611BD">
      <w:pPr>
        <w:pStyle w:val="ListParagraph"/>
        <w:autoSpaceDE w:val="0"/>
        <w:autoSpaceDN w:val="0"/>
        <w:adjustRightInd w:val="0"/>
        <w:ind w:left="0"/>
        <w:jc w:val="both"/>
        <w:rPr>
          <w:sz w:val="22"/>
          <w:szCs w:val="22"/>
          <w:lang w:val="en-GB"/>
        </w:rPr>
      </w:pPr>
      <w:r>
        <w:rPr>
          <w:sz w:val="22"/>
          <w:szCs w:val="22"/>
          <w:lang w:val="en-GB"/>
        </w:rPr>
        <w:t xml:space="preserve">3. Op hulle versoek het ons met u telefonies gepraat, wie ons die versekering gegee het dat </w:t>
      </w:r>
      <w:r w:rsidRPr="00E351DF">
        <w:rPr>
          <w:sz w:val="22"/>
          <w:szCs w:val="22"/>
          <w:lang w:val="en-GB"/>
        </w:rPr>
        <w:t>jul organisasie</w:t>
      </w:r>
      <w:r>
        <w:rPr>
          <w:sz w:val="22"/>
          <w:szCs w:val="22"/>
          <w:lang w:val="en-GB"/>
        </w:rPr>
        <w:t xml:space="preserve"> in beheer van al die fondse vir die spesifieke projek is en</w:t>
      </w:r>
      <w:r w:rsidR="00C761BA">
        <w:rPr>
          <w:sz w:val="22"/>
          <w:szCs w:val="22"/>
          <w:lang w:val="en-GB"/>
        </w:rPr>
        <w:t xml:space="preserve"> </w:t>
      </w:r>
      <w:r>
        <w:rPr>
          <w:sz w:val="22"/>
          <w:szCs w:val="22"/>
          <w:lang w:val="en-GB"/>
        </w:rPr>
        <w:t>dus sal toesien en onderneem da tons betalings sal ontvang.</w:t>
      </w:r>
    </w:p>
    <w:p w14:paraId="7871C76E" w14:textId="67AFE87A" w:rsidR="000611BD" w:rsidRDefault="000611BD" w:rsidP="000611BD">
      <w:pPr>
        <w:pStyle w:val="ListParagraph"/>
        <w:autoSpaceDE w:val="0"/>
        <w:autoSpaceDN w:val="0"/>
        <w:adjustRightInd w:val="0"/>
        <w:ind w:left="0"/>
        <w:jc w:val="both"/>
        <w:rPr>
          <w:sz w:val="22"/>
          <w:szCs w:val="22"/>
          <w:lang w:val="en-GB"/>
        </w:rPr>
      </w:pPr>
      <w:r>
        <w:rPr>
          <w:sz w:val="22"/>
          <w:szCs w:val="22"/>
          <w:lang w:val="en-GB"/>
        </w:rPr>
        <w:t>4. Op sterkte van hierdie versekering duer u het ons voortgegaan en die dienste gelewer soos deur Ma Africa op kwotasie aanvaar en deur hul versoek.</w:t>
      </w:r>
    </w:p>
    <w:p w14:paraId="627683A2" w14:textId="1CF0CB79" w:rsidR="000611BD" w:rsidRDefault="000611BD" w:rsidP="000611BD">
      <w:pPr>
        <w:pStyle w:val="ListParagraph"/>
        <w:autoSpaceDE w:val="0"/>
        <w:autoSpaceDN w:val="0"/>
        <w:adjustRightInd w:val="0"/>
        <w:ind w:left="0"/>
        <w:jc w:val="both"/>
        <w:rPr>
          <w:sz w:val="22"/>
          <w:szCs w:val="22"/>
          <w:lang w:val="en-GB"/>
        </w:rPr>
      </w:pPr>
      <w:r>
        <w:rPr>
          <w:sz w:val="22"/>
          <w:szCs w:val="22"/>
          <w:lang w:val="en-GB"/>
        </w:rPr>
        <w:t>5. Rekeninge is aan u gelewer en u het ooreenkomstig betalings gemaak aan ons. In November het u ons meegedeel dat ‘n dispuut tussen Ma Africa as sub kontrakteur en die hoof kontrakteur ontstaan het. U het egter steeds oorbetalings aan ons gemaak in terme van u onderneming…’</w:t>
      </w:r>
    </w:p>
    <w:p w14:paraId="5CBAAC42" w14:textId="77777777" w:rsidR="000611BD" w:rsidRPr="000611BD" w:rsidRDefault="000611BD" w:rsidP="000611BD">
      <w:pPr>
        <w:pStyle w:val="ListParagraph"/>
        <w:autoSpaceDE w:val="0"/>
        <w:autoSpaceDN w:val="0"/>
        <w:adjustRightInd w:val="0"/>
        <w:ind w:left="0"/>
        <w:jc w:val="both"/>
        <w:rPr>
          <w:sz w:val="22"/>
          <w:szCs w:val="22"/>
          <w:lang w:val="en-GB"/>
        </w:rPr>
      </w:pPr>
    </w:p>
    <w:p w14:paraId="78C123EB" w14:textId="2A04B452" w:rsidR="000611BD" w:rsidRPr="0001596F" w:rsidRDefault="0001596F" w:rsidP="0001596F">
      <w:pPr>
        <w:autoSpaceDE w:val="0"/>
        <w:autoSpaceDN w:val="0"/>
        <w:adjustRightInd w:val="0"/>
        <w:jc w:val="both"/>
        <w:rPr>
          <w:lang w:val="en-GB"/>
        </w:rPr>
      </w:pPr>
      <w:r>
        <w:rPr>
          <w:lang w:val="en-GB"/>
        </w:rPr>
        <w:lastRenderedPageBreak/>
        <w:t>[7]</w:t>
      </w:r>
      <w:r>
        <w:rPr>
          <w:lang w:val="en-GB"/>
        </w:rPr>
        <w:tab/>
      </w:r>
      <w:r w:rsidR="003204A5" w:rsidRPr="0001596F">
        <w:rPr>
          <w:lang w:val="en-GB"/>
        </w:rPr>
        <w:t>The correspondence was dated 24 January 2016 and addressed to ‘Die Senior Besigheids Adviseur, Coega Development Corporation, Port Elizabeth’. Petersen’s email address, to which the correspondence had been sent, was reflected as ‘h</w:t>
      </w:r>
      <w:r w:rsidR="0097760D" w:rsidRPr="0001596F">
        <w:rPr>
          <w:lang w:val="en-GB"/>
        </w:rPr>
        <w:t>***</w:t>
      </w:r>
      <w:r w:rsidR="003204A5" w:rsidRPr="0001596F">
        <w:rPr>
          <w:lang w:val="en-GB"/>
        </w:rPr>
        <w:t>.</w:t>
      </w:r>
      <w:r w:rsidR="0097760D" w:rsidRPr="0001596F">
        <w:rPr>
          <w:lang w:val="en-GB"/>
        </w:rPr>
        <w:t>***</w:t>
      </w:r>
      <w:r w:rsidR="003204A5" w:rsidRPr="0001596F">
        <w:rPr>
          <w:lang w:val="en-GB"/>
        </w:rPr>
        <w:t>@coega.co.za’.</w:t>
      </w:r>
    </w:p>
    <w:p w14:paraId="16C1B361" w14:textId="77777777" w:rsidR="00B2125A" w:rsidRDefault="00B2125A" w:rsidP="00B2125A">
      <w:pPr>
        <w:pStyle w:val="ListParagraph"/>
        <w:autoSpaceDE w:val="0"/>
        <w:autoSpaceDN w:val="0"/>
        <w:adjustRightInd w:val="0"/>
        <w:ind w:left="0"/>
        <w:jc w:val="both"/>
        <w:rPr>
          <w:lang w:val="en-GB"/>
        </w:rPr>
      </w:pPr>
    </w:p>
    <w:p w14:paraId="3B713040" w14:textId="61AF3F9F" w:rsidR="00E66A18" w:rsidRPr="0001596F" w:rsidRDefault="0001596F" w:rsidP="0001596F">
      <w:pPr>
        <w:autoSpaceDE w:val="0"/>
        <w:autoSpaceDN w:val="0"/>
        <w:adjustRightInd w:val="0"/>
        <w:jc w:val="both"/>
        <w:rPr>
          <w:lang w:val="en-GB"/>
        </w:rPr>
      </w:pPr>
      <w:r>
        <w:rPr>
          <w:lang w:val="en-GB"/>
        </w:rPr>
        <w:t>[8]</w:t>
      </w:r>
      <w:r>
        <w:rPr>
          <w:lang w:val="en-GB"/>
        </w:rPr>
        <w:tab/>
      </w:r>
      <w:r w:rsidR="00B2125A" w:rsidRPr="0001596F">
        <w:rPr>
          <w:lang w:val="en-GB"/>
        </w:rPr>
        <w:t xml:space="preserve">Hancke confirmed the case of the plaintiff, as reflected in the paragraphs of the particulars of claim, </w:t>
      </w:r>
      <w:r w:rsidR="00181D9F" w:rsidRPr="0001596F">
        <w:rPr>
          <w:lang w:val="en-GB"/>
        </w:rPr>
        <w:t xml:space="preserve">as </w:t>
      </w:r>
      <w:r w:rsidR="00B2125A" w:rsidRPr="0001596F">
        <w:rPr>
          <w:lang w:val="en-GB"/>
        </w:rPr>
        <w:t>cited above.</w:t>
      </w:r>
      <w:r w:rsidR="00181D9F" w:rsidRPr="0001596F">
        <w:rPr>
          <w:lang w:val="en-GB"/>
        </w:rPr>
        <w:t xml:space="preserve"> He and Petersen agreed that delivery notes would be signed off by QMC personnel, following confirmation that what appeared on those notes had been delivered to site. </w:t>
      </w:r>
      <w:r w:rsidR="004B2E9C" w:rsidRPr="0001596F">
        <w:rPr>
          <w:lang w:val="en-GB"/>
        </w:rPr>
        <w:t>That was invoiced for</w:t>
      </w:r>
      <w:r w:rsidR="00FB0CE3" w:rsidRPr="0001596F">
        <w:rPr>
          <w:lang w:val="en-GB"/>
        </w:rPr>
        <w:t xml:space="preserve">, on a monthly basis, </w:t>
      </w:r>
      <w:r w:rsidR="004B2E9C" w:rsidRPr="0001596F">
        <w:rPr>
          <w:lang w:val="en-GB"/>
        </w:rPr>
        <w:t>and a summary of the invoices provided to QMC. Those documents would be taken to Petersen and had initially been met with payment</w:t>
      </w:r>
      <w:r w:rsidR="00DE1EDD" w:rsidRPr="0001596F">
        <w:rPr>
          <w:lang w:val="en-GB"/>
        </w:rPr>
        <w:t xml:space="preserve"> arranged by him.</w:t>
      </w:r>
      <w:r w:rsidR="0032562C" w:rsidRPr="0001596F">
        <w:rPr>
          <w:lang w:val="en-GB"/>
        </w:rPr>
        <w:t xml:space="preserve"> </w:t>
      </w:r>
    </w:p>
    <w:p w14:paraId="0054E0B8" w14:textId="77777777" w:rsidR="00E66A18" w:rsidRPr="00E66A18" w:rsidRDefault="00E66A18" w:rsidP="00E66A18">
      <w:pPr>
        <w:pStyle w:val="ListParagraph"/>
        <w:rPr>
          <w:lang w:val="en-GB"/>
        </w:rPr>
      </w:pPr>
    </w:p>
    <w:p w14:paraId="15E9D159" w14:textId="45750B4A" w:rsidR="00B2125A" w:rsidRPr="0001596F" w:rsidRDefault="0001596F" w:rsidP="0001596F">
      <w:pPr>
        <w:autoSpaceDE w:val="0"/>
        <w:autoSpaceDN w:val="0"/>
        <w:adjustRightInd w:val="0"/>
        <w:jc w:val="both"/>
        <w:rPr>
          <w:lang w:val="en-GB"/>
        </w:rPr>
      </w:pPr>
      <w:r>
        <w:rPr>
          <w:lang w:val="en-GB"/>
        </w:rPr>
        <w:t>[9]</w:t>
      </w:r>
      <w:r>
        <w:rPr>
          <w:lang w:val="en-GB"/>
        </w:rPr>
        <w:tab/>
      </w:r>
      <w:r w:rsidR="0032562C" w:rsidRPr="0001596F">
        <w:rPr>
          <w:lang w:val="en-GB"/>
        </w:rPr>
        <w:t>A payment of R353 620 had been received on 14 August 2015, and appeared in the QMC general ledger.</w:t>
      </w:r>
      <w:r w:rsidR="00E66A18" w:rsidRPr="0001596F">
        <w:rPr>
          <w:lang w:val="en-GB"/>
        </w:rPr>
        <w:t xml:space="preserve"> </w:t>
      </w:r>
      <w:r w:rsidR="00165224" w:rsidRPr="0001596F">
        <w:rPr>
          <w:lang w:val="en-GB"/>
        </w:rPr>
        <w:t xml:space="preserve">Petersen had attended to the payment upon receipt of a statement and following a telephonic discussion that payment was required. </w:t>
      </w:r>
      <w:r w:rsidR="009069ED" w:rsidRPr="0001596F">
        <w:rPr>
          <w:lang w:val="en-GB"/>
        </w:rPr>
        <w:t>According to Hancke, he communicated with Petersen by either calling his mobile phone or by telephoning Coega and being put through to Petersen by a receptionist.</w:t>
      </w:r>
      <w:r w:rsidR="00045860" w:rsidRPr="0001596F">
        <w:rPr>
          <w:lang w:val="en-GB"/>
        </w:rPr>
        <w:t xml:space="preserve"> The amount received corresponded with a statement dated 5 August 2015, and presumably related to goods supplied up until the end of July 201</w:t>
      </w:r>
      <w:r w:rsidR="0017719D" w:rsidRPr="0001596F">
        <w:rPr>
          <w:lang w:val="en-GB"/>
        </w:rPr>
        <w:t>5.</w:t>
      </w:r>
      <w:r w:rsidR="0040496A" w:rsidRPr="0001596F">
        <w:rPr>
          <w:lang w:val="en-GB"/>
        </w:rPr>
        <w:t xml:space="preserve"> The Trust’s bank account reflected the payment, which had followed the delivery of invoices to Petersen. Hancke could not make sense of the description ‘Rida’, which appeared alongside the payment. He understood the payment to emanate from Coega.</w:t>
      </w:r>
    </w:p>
    <w:p w14:paraId="3A38F939" w14:textId="77777777" w:rsidR="003E0F6A" w:rsidRPr="003E0F6A" w:rsidRDefault="003E0F6A" w:rsidP="003E0F6A">
      <w:pPr>
        <w:pStyle w:val="ListParagraph"/>
        <w:rPr>
          <w:lang w:val="en-GB"/>
        </w:rPr>
      </w:pPr>
    </w:p>
    <w:p w14:paraId="0B118571" w14:textId="474A8467" w:rsidR="003E0F6A" w:rsidRPr="0001596F" w:rsidRDefault="0001596F" w:rsidP="0001596F">
      <w:pPr>
        <w:autoSpaceDE w:val="0"/>
        <w:autoSpaceDN w:val="0"/>
        <w:adjustRightInd w:val="0"/>
        <w:jc w:val="both"/>
        <w:rPr>
          <w:lang w:val="en-GB"/>
        </w:rPr>
      </w:pPr>
      <w:r>
        <w:rPr>
          <w:lang w:val="en-GB"/>
        </w:rPr>
        <w:t>[10]</w:t>
      </w:r>
      <w:r>
        <w:rPr>
          <w:lang w:val="en-GB"/>
        </w:rPr>
        <w:tab/>
      </w:r>
      <w:r w:rsidR="003E0F6A" w:rsidRPr="0001596F">
        <w:rPr>
          <w:lang w:val="en-GB"/>
        </w:rPr>
        <w:t xml:space="preserve">Hancke described the goods and services reflected in three invoices to QMC, dated </w:t>
      </w:r>
      <w:r w:rsidR="008B4039" w:rsidRPr="0001596F">
        <w:rPr>
          <w:lang w:val="en-GB"/>
        </w:rPr>
        <w:t xml:space="preserve">the end of </w:t>
      </w:r>
      <w:r w:rsidR="003E0F6A" w:rsidRPr="0001596F">
        <w:rPr>
          <w:lang w:val="en-GB"/>
        </w:rPr>
        <w:t>August, September and October 2015.</w:t>
      </w:r>
      <w:r w:rsidR="008B4039" w:rsidRPr="0001596F">
        <w:rPr>
          <w:lang w:val="en-GB"/>
        </w:rPr>
        <w:t xml:space="preserve"> A statement dated 29 February 2016 summarised the position as follows:</w:t>
      </w:r>
    </w:p>
    <w:p w14:paraId="358B939B" w14:textId="77777777" w:rsidR="008B4039" w:rsidRDefault="008B4039" w:rsidP="008B4039">
      <w:pPr>
        <w:pStyle w:val="ListParagraph"/>
        <w:autoSpaceDE w:val="0"/>
        <w:autoSpaceDN w:val="0"/>
        <w:adjustRightInd w:val="0"/>
        <w:ind w:left="0"/>
        <w:jc w:val="both"/>
        <w:rPr>
          <w:lang w:val="en-GB"/>
        </w:rPr>
      </w:pPr>
    </w:p>
    <w:tbl>
      <w:tblPr>
        <w:tblStyle w:val="TableGrid"/>
        <w:tblW w:w="0" w:type="auto"/>
        <w:tblLook w:val="04A0" w:firstRow="1" w:lastRow="0" w:firstColumn="1" w:lastColumn="0" w:noHBand="0" w:noVBand="1"/>
      </w:tblPr>
      <w:tblGrid>
        <w:gridCol w:w="2252"/>
        <w:gridCol w:w="2252"/>
        <w:gridCol w:w="2253"/>
        <w:gridCol w:w="2253"/>
      </w:tblGrid>
      <w:tr w:rsidR="008B4039" w:rsidRPr="008B4039" w14:paraId="43261F61" w14:textId="77777777" w:rsidTr="008B4039">
        <w:tc>
          <w:tcPr>
            <w:tcW w:w="2252" w:type="dxa"/>
          </w:tcPr>
          <w:p w14:paraId="5F3C05F0" w14:textId="7489FD36" w:rsidR="008B4039" w:rsidRPr="008B4039" w:rsidRDefault="008B4039" w:rsidP="008B4039">
            <w:pPr>
              <w:rPr>
                <w:b/>
                <w:bCs/>
                <w:sz w:val="22"/>
                <w:szCs w:val="22"/>
                <w:lang w:val="en-GB"/>
              </w:rPr>
            </w:pPr>
            <w:r w:rsidRPr="008B4039">
              <w:rPr>
                <w:b/>
                <w:bCs/>
                <w:sz w:val="22"/>
                <w:szCs w:val="22"/>
                <w:lang w:val="en-GB"/>
              </w:rPr>
              <w:t>Date</w:t>
            </w:r>
          </w:p>
        </w:tc>
        <w:tc>
          <w:tcPr>
            <w:tcW w:w="2252" w:type="dxa"/>
          </w:tcPr>
          <w:p w14:paraId="1CBCA88C" w14:textId="5F471D46" w:rsidR="008B4039" w:rsidRPr="008B4039" w:rsidRDefault="008B4039" w:rsidP="008B4039">
            <w:pPr>
              <w:rPr>
                <w:b/>
                <w:bCs/>
                <w:sz w:val="22"/>
                <w:szCs w:val="22"/>
                <w:lang w:val="en-GB"/>
              </w:rPr>
            </w:pPr>
            <w:r w:rsidRPr="008B4039">
              <w:rPr>
                <w:b/>
                <w:bCs/>
                <w:sz w:val="22"/>
                <w:szCs w:val="22"/>
                <w:lang w:val="en-GB"/>
              </w:rPr>
              <w:t>Description</w:t>
            </w:r>
          </w:p>
        </w:tc>
        <w:tc>
          <w:tcPr>
            <w:tcW w:w="2253" w:type="dxa"/>
          </w:tcPr>
          <w:p w14:paraId="0C9ACCF8" w14:textId="41811A13" w:rsidR="008B4039" w:rsidRPr="008B4039" w:rsidRDefault="008B4039" w:rsidP="008B4039">
            <w:pPr>
              <w:rPr>
                <w:b/>
                <w:bCs/>
                <w:sz w:val="22"/>
                <w:szCs w:val="22"/>
                <w:lang w:val="en-GB"/>
              </w:rPr>
            </w:pPr>
            <w:r w:rsidRPr="008B4039">
              <w:rPr>
                <w:b/>
                <w:bCs/>
                <w:sz w:val="22"/>
                <w:szCs w:val="22"/>
                <w:lang w:val="en-GB"/>
              </w:rPr>
              <w:t>Debit</w:t>
            </w:r>
          </w:p>
        </w:tc>
        <w:tc>
          <w:tcPr>
            <w:tcW w:w="2253" w:type="dxa"/>
          </w:tcPr>
          <w:p w14:paraId="29B5EBDC" w14:textId="2CE1329B" w:rsidR="008B4039" w:rsidRPr="008B4039" w:rsidRDefault="008B4039" w:rsidP="008B4039">
            <w:pPr>
              <w:rPr>
                <w:b/>
                <w:bCs/>
                <w:sz w:val="22"/>
                <w:szCs w:val="22"/>
                <w:lang w:val="en-GB"/>
              </w:rPr>
            </w:pPr>
            <w:r w:rsidRPr="008B4039">
              <w:rPr>
                <w:b/>
                <w:bCs/>
                <w:sz w:val="22"/>
                <w:szCs w:val="22"/>
                <w:lang w:val="en-GB"/>
              </w:rPr>
              <w:t>Credit</w:t>
            </w:r>
          </w:p>
        </w:tc>
      </w:tr>
      <w:tr w:rsidR="008B4039" w:rsidRPr="008B4039" w14:paraId="1E63B6B4" w14:textId="77777777" w:rsidTr="008B4039">
        <w:tc>
          <w:tcPr>
            <w:tcW w:w="2252" w:type="dxa"/>
          </w:tcPr>
          <w:p w14:paraId="288E9884" w14:textId="7004DC25" w:rsidR="008B4039" w:rsidRPr="008B4039" w:rsidRDefault="008B4039" w:rsidP="008B4039">
            <w:pPr>
              <w:rPr>
                <w:sz w:val="22"/>
                <w:szCs w:val="22"/>
                <w:lang w:val="en-GB"/>
              </w:rPr>
            </w:pPr>
            <w:r>
              <w:rPr>
                <w:sz w:val="22"/>
                <w:szCs w:val="22"/>
                <w:lang w:val="en-GB"/>
              </w:rPr>
              <w:t>31 August 2015</w:t>
            </w:r>
          </w:p>
        </w:tc>
        <w:tc>
          <w:tcPr>
            <w:tcW w:w="2252" w:type="dxa"/>
          </w:tcPr>
          <w:p w14:paraId="017DD659" w14:textId="70900A08" w:rsidR="008B4039" w:rsidRPr="008B4039" w:rsidRDefault="008B4039" w:rsidP="008B4039">
            <w:pPr>
              <w:rPr>
                <w:sz w:val="22"/>
                <w:szCs w:val="22"/>
                <w:lang w:val="en-GB"/>
              </w:rPr>
            </w:pPr>
            <w:r>
              <w:rPr>
                <w:sz w:val="22"/>
                <w:szCs w:val="22"/>
                <w:lang w:val="en-GB"/>
              </w:rPr>
              <w:t>Tax invoice – August</w:t>
            </w:r>
          </w:p>
        </w:tc>
        <w:tc>
          <w:tcPr>
            <w:tcW w:w="2253" w:type="dxa"/>
          </w:tcPr>
          <w:p w14:paraId="5394D85E" w14:textId="12C80781" w:rsidR="008B4039" w:rsidRPr="008B4039" w:rsidRDefault="00B4304D" w:rsidP="008B4039">
            <w:pPr>
              <w:rPr>
                <w:sz w:val="22"/>
                <w:szCs w:val="22"/>
                <w:lang w:val="en-GB"/>
              </w:rPr>
            </w:pPr>
            <w:r>
              <w:rPr>
                <w:sz w:val="22"/>
                <w:szCs w:val="22"/>
                <w:lang w:val="en-GB"/>
              </w:rPr>
              <w:t>R148 148</w:t>
            </w:r>
          </w:p>
        </w:tc>
        <w:tc>
          <w:tcPr>
            <w:tcW w:w="2253" w:type="dxa"/>
          </w:tcPr>
          <w:p w14:paraId="103D654B" w14:textId="77777777" w:rsidR="008B4039" w:rsidRPr="008B4039" w:rsidRDefault="008B4039" w:rsidP="008B4039">
            <w:pPr>
              <w:rPr>
                <w:sz w:val="22"/>
                <w:szCs w:val="22"/>
                <w:lang w:val="en-GB"/>
              </w:rPr>
            </w:pPr>
          </w:p>
        </w:tc>
      </w:tr>
      <w:tr w:rsidR="008B4039" w:rsidRPr="008B4039" w14:paraId="2D3A20F8" w14:textId="77777777" w:rsidTr="008B4039">
        <w:tc>
          <w:tcPr>
            <w:tcW w:w="2252" w:type="dxa"/>
          </w:tcPr>
          <w:p w14:paraId="7264E3AA" w14:textId="5ACB546C" w:rsidR="008B4039" w:rsidRPr="008B4039" w:rsidRDefault="008B4039" w:rsidP="008B4039">
            <w:pPr>
              <w:rPr>
                <w:sz w:val="22"/>
                <w:szCs w:val="22"/>
                <w:lang w:val="en-GB"/>
              </w:rPr>
            </w:pPr>
            <w:r>
              <w:rPr>
                <w:sz w:val="22"/>
                <w:szCs w:val="22"/>
                <w:lang w:val="en-GB"/>
              </w:rPr>
              <w:t>12 October 2015</w:t>
            </w:r>
          </w:p>
        </w:tc>
        <w:tc>
          <w:tcPr>
            <w:tcW w:w="2252" w:type="dxa"/>
          </w:tcPr>
          <w:p w14:paraId="237EED84" w14:textId="753D18A1" w:rsidR="008B4039" w:rsidRPr="008B4039" w:rsidRDefault="008B4039" w:rsidP="008B4039">
            <w:pPr>
              <w:rPr>
                <w:sz w:val="22"/>
                <w:szCs w:val="22"/>
                <w:lang w:val="en-GB"/>
              </w:rPr>
            </w:pPr>
            <w:r>
              <w:rPr>
                <w:sz w:val="22"/>
                <w:szCs w:val="22"/>
                <w:lang w:val="en-GB"/>
              </w:rPr>
              <w:t>Payment received</w:t>
            </w:r>
          </w:p>
        </w:tc>
        <w:tc>
          <w:tcPr>
            <w:tcW w:w="2253" w:type="dxa"/>
          </w:tcPr>
          <w:p w14:paraId="576AA510" w14:textId="77777777" w:rsidR="008B4039" w:rsidRPr="008B4039" w:rsidRDefault="008B4039" w:rsidP="008B4039">
            <w:pPr>
              <w:rPr>
                <w:sz w:val="22"/>
                <w:szCs w:val="22"/>
                <w:lang w:val="en-GB"/>
              </w:rPr>
            </w:pPr>
          </w:p>
        </w:tc>
        <w:tc>
          <w:tcPr>
            <w:tcW w:w="2253" w:type="dxa"/>
          </w:tcPr>
          <w:p w14:paraId="314B34EC" w14:textId="6C06CC63" w:rsidR="008B4039" w:rsidRPr="008B4039" w:rsidRDefault="00B4304D" w:rsidP="008B4039">
            <w:pPr>
              <w:rPr>
                <w:sz w:val="22"/>
                <w:szCs w:val="22"/>
                <w:lang w:val="en-GB"/>
              </w:rPr>
            </w:pPr>
            <w:r>
              <w:rPr>
                <w:sz w:val="22"/>
                <w:szCs w:val="22"/>
                <w:lang w:val="en-GB"/>
              </w:rPr>
              <w:t>R148 148</w:t>
            </w:r>
          </w:p>
        </w:tc>
      </w:tr>
      <w:tr w:rsidR="008B4039" w:rsidRPr="008B4039" w14:paraId="5614415B" w14:textId="77777777" w:rsidTr="008B4039">
        <w:tc>
          <w:tcPr>
            <w:tcW w:w="2252" w:type="dxa"/>
          </w:tcPr>
          <w:p w14:paraId="2A0F9EC4" w14:textId="54C688E7" w:rsidR="008B4039" w:rsidRPr="008B4039" w:rsidRDefault="008B4039" w:rsidP="008B4039">
            <w:pPr>
              <w:rPr>
                <w:sz w:val="22"/>
                <w:szCs w:val="22"/>
                <w:lang w:val="en-GB"/>
              </w:rPr>
            </w:pPr>
            <w:r>
              <w:rPr>
                <w:sz w:val="22"/>
                <w:szCs w:val="22"/>
                <w:lang w:val="en-GB"/>
              </w:rPr>
              <w:t>30 September 2015</w:t>
            </w:r>
          </w:p>
        </w:tc>
        <w:tc>
          <w:tcPr>
            <w:tcW w:w="2252" w:type="dxa"/>
          </w:tcPr>
          <w:p w14:paraId="344A826C" w14:textId="7D3BE9C4" w:rsidR="008B4039" w:rsidRPr="008B4039" w:rsidRDefault="008B4039" w:rsidP="008B4039">
            <w:pPr>
              <w:rPr>
                <w:sz w:val="22"/>
                <w:szCs w:val="22"/>
                <w:lang w:val="en-GB"/>
              </w:rPr>
            </w:pPr>
            <w:r>
              <w:rPr>
                <w:sz w:val="22"/>
                <w:szCs w:val="22"/>
                <w:lang w:val="en-GB"/>
              </w:rPr>
              <w:t>Tax invoice - September</w:t>
            </w:r>
          </w:p>
        </w:tc>
        <w:tc>
          <w:tcPr>
            <w:tcW w:w="2253" w:type="dxa"/>
          </w:tcPr>
          <w:p w14:paraId="297A2C12" w14:textId="62288627" w:rsidR="008B4039" w:rsidRPr="008B4039" w:rsidRDefault="00B4304D" w:rsidP="008B4039">
            <w:pPr>
              <w:rPr>
                <w:sz w:val="22"/>
                <w:szCs w:val="22"/>
                <w:lang w:val="en-GB"/>
              </w:rPr>
            </w:pPr>
            <w:r>
              <w:rPr>
                <w:sz w:val="22"/>
                <w:szCs w:val="22"/>
                <w:lang w:val="en-GB"/>
              </w:rPr>
              <w:t>R162 714</w:t>
            </w:r>
          </w:p>
        </w:tc>
        <w:tc>
          <w:tcPr>
            <w:tcW w:w="2253" w:type="dxa"/>
          </w:tcPr>
          <w:p w14:paraId="4EF98947" w14:textId="77777777" w:rsidR="008B4039" w:rsidRPr="008B4039" w:rsidRDefault="008B4039" w:rsidP="008B4039">
            <w:pPr>
              <w:rPr>
                <w:sz w:val="22"/>
                <w:szCs w:val="22"/>
                <w:lang w:val="en-GB"/>
              </w:rPr>
            </w:pPr>
          </w:p>
        </w:tc>
      </w:tr>
      <w:tr w:rsidR="008B4039" w:rsidRPr="008B4039" w14:paraId="0C610B72" w14:textId="77777777" w:rsidTr="008B4039">
        <w:tc>
          <w:tcPr>
            <w:tcW w:w="2252" w:type="dxa"/>
          </w:tcPr>
          <w:p w14:paraId="621C34B8" w14:textId="5DA00232" w:rsidR="008B4039" w:rsidRPr="008B4039" w:rsidRDefault="008B4039" w:rsidP="008B4039">
            <w:pPr>
              <w:rPr>
                <w:sz w:val="22"/>
                <w:szCs w:val="22"/>
                <w:lang w:val="en-GB"/>
              </w:rPr>
            </w:pPr>
            <w:r>
              <w:rPr>
                <w:sz w:val="22"/>
                <w:szCs w:val="22"/>
                <w:lang w:val="en-GB"/>
              </w:rPr>
              <w:t>12 October 2015</w:t>
            </w:r>
          </w:p>
        </w:tc>
        <w:tc>
          <w:tcPr>
            <w:tcW w:w="2252" w:type="dxa"/>
          </w:tcPr>
          <w:p w14:paraId="6F1F6FED" w14:textId="5B674EE2" w:rsidR="008B4039" w:rsidRPr="008B4039" w:rsidRDefault="008B4039" w:rsidP="008B4039">
            <w:pPr>
              <w:rPr>
                <w:sz w:val="22"/>
                <w:szCs w:val="22"/>
                <w:lang w:val="en-GB"/>
              </w:rPr>
            </w:pPr>
            <w:r>
              <w:rPr>
                <w:sz w:val="22"/>
                <w:szCs w:val="22"/>
                <w:lang w:val="en-GB"/>
              </w:rPr>
              <w:t>Payment received</w:t>
            </w:r>
          </w:p>
        </w:tc>
        <w:tc>
          <w:tcPr>
            <w:tcW w:w="2253" w:type="dxa"/>
          </w:tcPr>
          <w:p w14:paraId="2415C552" w14:textId="77777777" w:rsidR="008B4039" w:rsidRPr="008B4039" w:rsidRDefault="008B4039" w:rsidP="008B4039">
            <w:pPr>
              <w:rPr>
                <w:sz w:val="22"/>
                <w:szCs w:val="22"/>
                <w:lang w:val="en-GB"/>
              </w:rPr>
            </w:pPr>
          </w:p>
        </w:tc>
        <w:tc>
          <w:tcPr>
            <w:tcW w:w="2253" w:type="dxa"/>
          </w:tcPr>
          <w:p w14:paraId="723F95C1" w14:textId="41CA5655" w:rsidR="008B4039" w:rsidRPr="008B4039" w:rsidRDefault="00B4304D" w:rsidP="008B4039">
            <w:pPr>
              <w:rPr>
                <w:sz w:val="22"/>
                <w:szCs w:val="22"/>
                <w:lang w:val="en-GB"/>
              </w:rPr>
            </w:pPr>
            <w:r>
              <w:rPr>
                <w:sz w:val="22"/>
                <w:szCs w:val="22"/>
                <w:lang w:val="en-GB"/>
              </w:rPr>
              <w:t>R1852</w:t>
            </w:r>
          </w:p>
        </w:tc>
      </w:tr>
      <w:tr w:rsidR="008B4039" w:rsidRPr="008B4039" w14:paraId="35C2635E" w14:textId="77777777" w:rsidTr="008B4039">
        <w:tc>
          <w:tcPr>
            <w:tcW w:w="2252" w:type="dxa"/>
          </w:tcPr>
          <w:p w14:paraId="0200D17C" w14:textId="7BCA3806" w:rsidR="008B4039" w:rsidRPr="008B4039" w:rsidRDefault="008B4039" w:rsidP="008B4039">
            <w:pPr>
              <w:rPr>
                <w:sz w:val="22"/>
                <w:szCs w:val="22"/>
                <w:lang w:val="en-GB"/>
              </w:rPr>
            </w:pPr>
            <w:r>
              <w:rPr>
                <w:sz w:val="22"/>
                <w:szCs w:val="22"/>
                <w:lang w:val="en-GB"/>
              </w:rPr>
              <w:t>31 October 2015</w:t>
            </w:r>
          </w:p>
        </w:tc>
        <w:tc>
          <w:tcPr>
            <w:tcW w:w="2252" w:type="dxa"/>
          </w:tcPr>
          <w:p w14:paraId="747136F2" w14:textId="24F077E0" w:rsidR="008B4039" w:rsidRPr="008B4039" w:rsidRDefault="008B4039" w:rsidP="008B4039">
            <w:pPr>
              <w:rPr>
                <w:sz w:val="22"/>
                <w:szCs w:val="22"/>
                <w:lang w:val="en-GB"/>
              </w:rPr>
            </w:pPr>
            <w:r>
              <w:rPr>
                <w:sz w:val="22"/>
                <w:szCs w:val="22"/>
                <w:lang w:val="en-GB"/>
              </w:rPr>
              <w:t>Tax invoice – October 2015</w:t>
            </w:r>
          </w:p>
        </w:tc>
        <w:tc>
          <w:tcPr>
            <w:tcW w:w="2253" w:type="dxa"/>
          </w:tcPr>
          <w:p w14:paraId="3655C4E6" w14:textId="5FA52DC8" w:rsidR="008B4039" w:rsidRPr="008B4039" w:rsidRDefault="00B4304D" w:rsidP="008B4039">
            <w:pPr>
              <w:rPr>
                <w:sz w:val="22"/>
                <w:szCs w:val="22"/>
                <w:lang w:val="en-GB"/>
              </w:rPr>
            </w:pPr>
            <w:r>
              <w:rPr>
                <w:sz w:val="22"/>
                <w:szCs w:val="22"/>
                <w:lang w:val="en-GB"/>
              </w:rPr>
              <w:t>R232 016</w:t>
            </w:r>
          </w:p>
        </w:tc>
        <w:tc>
          <w:tcPr>
            <w:tcW w:w="2253" w:type="dxa"/>
          </w:tcPr>
          <w:p w14:paraId="136F7403" w14:textId="77777777" w:rsidR="008B4039" w:rsidRPr="008B4039" w:rsidRDefault="008B4039" w:rsidP="008B4039">
            <w:pPr>
              <w:rPr>
                <w:sz w:val="22"/>
                <w:szCs w:val="22"/>
                <w:lang w:val="en-GB"/>
              </w:rPr>
            </w:pPr>
          </w:p>
        </w:tc>
      </w:tr>
    </w:tbl>
    <w:p w14:paraId="4A5E442B" w14:textId="5401C256" w:rsidR="008B4039" w:rsidRDefault="008B4039" w:rsidP="008B4039">
      <w:pPr>
        <w:rPr>
          <w:lang w:val="en-GB"/>
        </w:rPr>
      </w:pPr>
    </w:p>
    <w:p w14:paraId="62892E76" w14:textId="77777777" w:rsidR="008B4039" w:rsidRPr="008B4039" w:rsidRDefault="008B4039" w:rsidP="008B4039">
      <w:pPr>
        <w:rPr>
          <w:lang w:val="en-GB"/>
        </w:rPr>
      </w:pPr>
    </w:p>
    <w:p w14:paraId="6BA8EB78" w14:textId="6BF997E2" w:rsidR="008B4039" w:rsidRPr="0001596F" w:rsidRDefault="0001596F" w:rsidP="0001596F">
      <w:pPr>
        <w:autoSpaceDE w:val="0"/>
        <w:autoSpaceDN w:val="0"/>
        <w:adjustRightInd w:val="0"/>
        <w:jc w:val="both"/>
        <w:rPr>
          <w:lang w:val="en-GB"/>
        </w:rPr>
      </w:pPr>
      <w:r>
        <w:rPr>
          <w:lang w:val="en-GB"/>
        </w:rPr>
        <w:t>[11]</w:t>
      </w:r>
      <w:r>
        <w:rPr>
          <w:lang w:val="en-GB"/>
        </w:rPr>
        <w:tab/>
      </w:r>
      <w:r w:rsidR="00D4165B" w:rsidRPr="0001596F">
        <w:rPr>
          <w:lang w:val="en-GB"/>
        </w:rPr>
        <w:t xml:space="preserve">Only </w:t>
      </w:r>
      <w:r w:rsidR="00954BD1" w:rsidRPr="0001596F">
        <w:rPr>
          <w:lang w:val="en-GB"/>
        </w:rPr>
        <w:t xml:space="preserve">a single payment of </w:t>
      </w:r>
      <w:r w:rsidR="00D4165B" w:rsidRPr="0001596F">
        <w:rPr>
          <w:lang w:val="en-GB"/>
        </w:rPr>
        <w:t>R150 000 had been paid in respect of the three invoices</w:t>
      </w:r>
      <w:r w:rsidR="00954BD1" w:rsidRPr="0001596F">
        <w:rPr>
          <w:lang w:val="en-GB"/>
        </w:rPr>
        <w:t xml:space="preserve">. </w:t>
      </w:r>
      <w:r w:rsidR="00C279F8" w:rsidRPr="0001596F">
        <w:rPr>
          <w:lang w:val="en-GB"/>
        </w:rPr>
        <w:t xml:space="preserve"> The payment had been received on 12 October 2015. On this occasion the words ‘Coega Development Corporation’ appeared in the description. </w:t>
      </w:r>
      <w:r w:rsidR="00954BD1" w:rsidRPr="0001596F">
        <w:rPr>
          <w:lang w:val="en-GB"/>
        </w:rPr>
        <w:t>That payment had been broken into two, so that a part payment for the September 2015</w:t>
      </w:r>
      <w:r w:rsidR="00B4304D" w:rsidRPr="0001596F">
        <w:rPr>
          <w:lang w:val="en-GB"/>
        </w:rPr>
        <w:t xml:space="preserve"> invoice was reflected (R1852</w:t>
      </w:r>
      <w:r w:rsidR="00954BD1" w:rsidRPr="0001596F">
        <w:rPr>
          <w:lang w:val="en-GB"/>
        </w:rPr>
        <w:t>). The</w:t>
      </w:r>
      <w:r w:rsidR="00D4165B" w:rsidRPr="0001596F">
        <w:rPr>
          <w:lang w:val="en-GB"/>
        </w:rPr>
        <w:t xml:space="preserve"> balance of R392</w:t>
      </w:r>
      <w:r w:rsidR="00954BD1" w:rsidRPr="0001596F">
        <w:rPr>
          <w:lang w:val="en-GB"/>
        </w:rPr>
        <w:t> </w:t>
      </w:r>
      <w:r w:rsidR="00D4165B" w:rsidRPr="0001596F">
        <w:rPr>
          <w:lang w:val="en-GB"/>
        </w:rPr>
        <w:t>878</w:t>
      </w:r>
      <w:r w:rsidR="00954BD1" w:rsidRPr="0001596F">
        <w:rPr>
          <w:lang w:val="en-GB"/>
        </w:rPr>
        <w:t xml:space="preserve"> remained outstanding and formed the basis of the action.</w:t>
      </w:r>
    </w:p>
    <w:p w14:paraId="0C87C103" w14:textId="77777777" w:rsidR="00C279F8" w:rsidRDefault="00C279F8" w:rsidP="00C279F8">
      <w:pPr>
        <w:pStyle w:val="ListParagraph"/>
        <w:autoSpaceDE w:val="0"/>
        <w:autoSpaceDN w:val="0"/>
        <w:adjustRightInd w:val="0"/>
        <w:ind w:left="0"/>
        <w:jc w:val="both"/>
        <w:rPr>
          <w:lang w:val="en-GB"/>
        </w:rPr>
      </w:pPr>
    </w:p>
    <w:p w14:paraId="370BE631" w14:textId="748D519C" w:rsidR="00C279F8" w:rsidRPr="0001596F" w:rsidRDefault="0001596F" w:rsidP="0001596F">
      <w:pPr>
        <w:autoSpaceDE w:val="0"/>
        <w:autoSpaceDN w:val="0"/>
        <w:adjustRightInd w:val="0"/>
        <w:jc w:val="both"/>
        <w:rPr>
          <w:lang w:val="en-GB"/>
        </w:rPr>
      </w:pPr>
      <w:r>
        <w:rPr>
          <w:lang w:val="en-GB"/>
        </w:rPr>
        <w:t>[12]</w:t>
      </w:r>
      <w:r>
        <w:rPr>
          <w:lang w:val="en-GB"/>
        </w:rPr>
        <w:tab/>
      </w:r>
      <w:r w:rsidR="00C279F8" w:rsidRPr="0001596F">
        <w:rPr>
          <w:lang w:val="en-GB"/>
        </w:rPr>
        <w:t xml:space="preserve">Hancke explained that he had spoken to Petersen prior to receipt of the R150 000 payment. Petersen agreed to make payment of that amount immediately, </w:t>
      </w:r>
      <w:r w:rsidR="00782194" w:rsidRPr="0001596F">
        <w:rPr>
          <w:lang w:val="en-GB"/>
        </w:rPr>
        <w:t>and undertook to pay the balance as soon as possible</w:t>
      </w:r>
      <w:r w:rsidR="00C279F8" w:rsidRPr="0001596F">
        <w:rPr>
          <w:lang w:val="en-GB"/>
        </w:rPr>
        <w:t>.</w:t>
      </w:r>
      <w:r w:rsidR="004337C6" w:rsidRPr="0001596F">
        <w:rPr>
          <w:lang w:val="en-GB"/>
        </w:rPr>
        <w:t xml:space="preserve"> In support of this, Hancke highlighted that the 24 January 2016 correspondence, quoted above, concluded with reference to an outstanding balance. That correspondence had been forwarded again on 29 January 2016, without response, and on 23 February 2016, now coupled with the threat of institution of legal proceedings.</w:t>
      </w:r>
    </w:p>
    <w:p w14:paraId="475CF6BA" w14:textId="77777777" w:rsidR="00F8595D" w:rsidRPr="00F8595D" w:rsidRDefault="00F8595D" w:rsidP="00F8595D">
      <w:pPr>
        <w:pStyle w:val="ListParagraph"/>
        <w:rPr>
          <w:lang w:val="en-GB"/>
        </w:rPr>
      </w:pPr>
    </w:p>
    <w:p w14:paraId="09B03138" w14:textId="56CAA2C0" w:rsidR="00F8595D" w:rsidRPr="0001596F" w:rsidRDefault="0001596F" w:rsidP="0001596F">
      <w:pPr>
        <w:autoSpaceDE w:val="0"/>
        <w:autoSpaceDN w:val="0"/>
        <w:adjustRightInd w:val="0"/>
        <w:jc w:val="both"/>
        <w:rPr>
          <w:lang w:val="en-GB"/>
        </w:rPr>
      </w:pPr>
      <w:r>
        <w:rPr>
          <w:lang w:val="en-GB"/>
        </w:rPr>
        <w:t>[13]</w:t>
      </w:r>
      <w:r>
        <w:rPr>
          <w:lang w:val="en-GB"/>
        </w:rPr>
        <w:tab/>
      </w:r>
      <w:r w:rsidR="00F8595D" w:rsidRPr="0001596F">
        <w:rPr>
          <w:lang w:val="en-GB"/>
        </w:rPr>
        <w:t>Hancke testified that he always dealt with Petersen in claiming the payment of the invoices and knew of no other party other than Coega.</w:t>
      </w:r>
      <w:r w:rsidR="00B839AC" w:rsidRPr="0001596F">
        <w:rPr>
          <w:lang w:val="en-GB"/>
        </w:rPr>
        <w:t xml:space="preserve"> During cross-examination, he explained that although QMC required the services, the arrangement was only concluded following the discussion with Petersen. </w:t>
      </w:r>
      <w:r w:rsidR="00103B37" w:rsidRPr="0001596F">
        <w:rPr>
          <w:lang w:val="en-GB"/>
        </w:rPr>
        <w:t xml:space="preserve">QMC had explained to Hancke that money for the project would be administered by Coega. Having been approached by QMC for rental of machinery and supply of material, Hancke had telephoned Petersen. </w:t>
      </w:r>
      <w:r w:rsidR="0099694D" w:rsidRPr="0001596F">
        <w:rPr>
          <w:lang w:val="en-GB"/>
        </w:rPr>
        <w:t>He had obtained his details and number from QMC, via his son</w:t>
      </w:r>
      <w:r w:rsidR="00AA314A" w:rsidRPr="0001596F">
        <w:rPr>
          <w:lang w:val="en-GB"/>
        </w:rPr>
        <w:t xml:space="preserve">, who explained that Petersen should be approached for payment of whatever work or machines were provided to QMC. </w:t>
      </w:r>
      <w:r w:rsidR="001A54C4" w:rsidRPr="0001596F">
        <w:rPr>
          <w:lang w:val="en-GB"/>
        </w:rPr>
        <w:t>On the strength of the conversation that followed</w:t>
      </w:r>
      <w:r w:rsidR="00AA314A" w:rsidRPr="0001596F">
        <w:rPr>
          <w:lang w:val="en-GB"/>
        </w:rPr>
        <w:t xml:space="preserve"> with Petersen</w:t>
      </w:r>
      <w:r w:rsidR="001A54C4" w:rsidRPr="0001596F">
        <w:rPr>
          <w:lang w:val="en-GB"/>
        </w:rPr>
        <w:t>, he had decided to render the services to QMC</w:t>
      </w:r>
      <w:r w:rsidR="00B76128" w:rsidRPr="0001596F">
        <w:rPr>
          <w:lang w:val="en-GB"/>
        </w:rPr>
        <w:t xml:space="preserve">, who were considered a </w:t>
      </w:r>
      <w:r w:rsidR="004D7E02" w:rsidRPr="0001596F">
        <w:rPr>
          <w:lang w:val="en-GB"/>
        </w:rPr>
        <w:t>business risk.</w:t>
      </w:r>
    </w:p>
    <w:p w14:paraId="5777DF8F" w14:textId="77777777" w:rsidR="00B5061B" w:rsidRPr="00B5061B" w:rsidRDefault="00B5061B" w:rsidP="00B5061B">
      <w:pPr>
        <w:pStyle w:val="ListParagraph"/>
        <w:rPr>
          <w:lang w:val="en-GB"/>
        </w:rPr>
      </w:pPr>
    </w:p>
    <w:p w14:paraId="76539FA1" w14:textId="66552F57" w:rsidR="00735B38" w:rsidRPr="0001596F" w:rsidRDefault="0001596F" w:rsidP="0001596F">
      <w:pPr>
        <w:autoSpaceDE w:val="0"/>
        <w:autoSpaceDN w:val="0"/>
        <w:adjustRightInd w:val="0"/>
        <w:jc w:val="both"/>
        <w:rPr>
          <w:lang w:val="en-GB"/>
        </w:rPr>
      </w:pPr>
      <w:r>
        <w:rPr>
          <w:lang w:val="en-GB"/>
        </w:rPr>
        <w:t>[14]</w:t>
      </w:r>
      <w:r>
        <w:rPr>
          <w:lang w:val="en-GB"/>
        </w:rPr>
        <w:tab/>
      </w:r>
      <w:r w:rsidR="0091499E" w:rsidRPr="0001596F">
        <w:rPr>
          <w:lang w:val="en-GB"/>
        </w:rPr>
        <w:t xml:space="preserve">No documentation </w:t>
      </w:r>
      <w:r w:rsidR="00735E0B" w:rsidRPr="0001596F">
        <w:rPr>
          <w:lang w:val="en-GB"/>
        </w:rPr>
        <w:t xml:space="preserve">had been provided to Hancke by QMC explaining </w:t>
      </w:r>
      <w:r w:rsidR="00297514" w:rsidRPr="0001596F">
        <w:rPr>
          <w:lang w:val="en-GB"/>
        </w:rPr>
        <w:t xml:space="preserve">the nature of </w:t>
      </w:r>
      <w:r w:rsidR="00735E0B" w:rsidRPr="0001596F">
        <w:rPr>
          <w:lang w:val="en-GB"/>
        </w:rPr>
        <w:t>its relationship with Coega</w:t>
      </w:r>
      <w:r w:rsidR="00316AE1" w:rsidRPr="0001596F">
        <w:rPr>
          <w:lang w:val="en-GB"/>
        </w:rPr>
        <w:t>, and forming the basis of the Trust’s claims for payment from Coega.</w:t>
      </w:r>
      <w:r w:rsidR="005A4094" w:rsidRPr="0001596F">
        <w:rPr>
          <w:lang w:val="en-GB"/>
        </w:rPr>
        <w:t xml:space="preserve"> Hancke explained that Petersen had been easily trusted given previous business undertakings with various departments of Coega.</w:t>
      </w:r>
      <w:r w:rsidR="00425D6B" w:rsidRPr="0001596F">
        <w:rPr>
          <w:lang w:val="en-GB"/>
        </w:rPr>
        <w:t xml:space="preserve"> The oral agreement was concluded on the first occasion he had spoken to Petersen</w:t>
      </w:r>
      <w:r w:rsidR="00226636" w:rsidRPr="0001596F">
        <w:rPr>
          <w:lang w:val="en-GB"/>
        </w:rPr>
        <w:t>, during the middle of 2015.</w:t>
      </w:r>
      <w:r w:rsidR="00D11423" w:rsidRPr="0001596F">
        <w:rPr>
          <w:lang w:val="en-GB"/>
        </w:rPr>
        <w:t xml:space="preserve"> </w:t>
      </w:r>
      <w:r w:rsidR="00413B56" w:rsidRPr="0001596F">
        <w:rPr>
          <w:lang w:val="en-GB"/>
        </w:rPr>
        <w:t xml:space="preserve">Hancke provided Petersen with the background for the call, based on the request for </w:t>
      </w:r>
      <w:r w:rsidR="00413B56" w:rsidRPr="0001596F">
        <w:rPr>
          <w:lang w:val="en-GB"/>
        </w:rPr>
        <w:lastRenderedPageBreak/>
        <w:t xml:space="preserve">services from QMC. Petersen confirmed that he would be responsible for the finances and that Hancke could rest assured that payment would be received. </w:t>
      </w:r>
    </w:p>
    <w:p w14:paraId="011FD442" w14:textId="77777777" w:rsidR="00735B38" w:rsidRPr="00735B38" w:rsidRDefault="00735B38" w:rsidP="00735B38">
      <w:pPr>
        <w:pStyle w:val="ListParagraph"/>
        <w:rPr>
          <w:lang w:val="en-GB"/>
        </w:rPr>
      </w:pPr>
    </w:p>
    <w:p w14:paraId="135C500E" w14:textId="0B19E80C" w:rsidR="00B5061B" w:rsidRPr="0001596F" w:rsidRDefault="0001596F" w:rsidP="0001596F">
      <w:pPr>
        <w:autoSpaceDE w:val="0"/>
        <w:autoSpaceDN w:val="0"/>
        <w:adjustRightInd w:val="0"/>
        <w:jc w:val="both"/>
        <w:rPr>
          <w:lang w:val="en-GB"/>
        </w:rPr>
      </w:pPr>
      <w:r>
        <w:rPr>
          <w:lang w:val="en-GB"/>
        </w:rPr>
        <w:t>[15]</w:t>
      </w:r>
      <w:r>
        <w:rPr>
          <w:lang w:val="en-GB"/>
        </w:rPr>
        <w:tab/>
      </w:r>
      <w:r w:rsidR="00413B56" w:rsidRPr="0001596F">
        <w:rPr>
          <w:lang w:val="en-GB"/>
        </w:rPr>
        <w:t>The process for payment was also agreed</w:t>
      </w:r>
      <w:r w:rsidR="00735B38" w:rsidRPr="0001596F">
        <w:rPr>
          <w:lang w:val="en-GB"/>
        </w:rPr>
        <w:t xml:space="preserve"> </w:t>
      </w:r>
      <w:r w:rsidR="00645EE3" w:rsidRPr="0001596F">
        <w:rPr>
          <w:lang w:val="en-GB"/>
        </w:rPr>
        <w:t>telephonically</w:t>
      </w:r>
      <w:r w:rsidR="00735B38" w:rsidRPr="0001596F">
        <w:rPr>
          <w:lang w:val="en-GB"/>
        </w:rPr>
        <w:t xml:space="preserve">. Delivery notes and invoices were to be signed off by QMC before payment would be received. Hancke, feeling assured by the discussion, agreed to proceed. </w:t>
      </w:r>
      <w:r w:rsidR="00165237" w:rsidRPr="0001596F">
        <w:rPr>
          <w:lang w:val="en-GB"/>
        </w:rPr>
        <w:t xml:space="preserve">No documentation was received </w:t>
      </w:r>
      <w:r w:rsidR="00162027" w:rsidRPr="0001596F">
        <w:rPr>
          <w:lang w:val="en-GB"/>
        </w:rPr>
        <w:t xml:space="preserve">at the time </w:t>
      </w:r>
      <w:r w:rsidR="00165237" w:rsidRPr="0001596F">
        <w:rPr>
          <w:lang w:val="en-GB"/>
        </w:rPr>
        <w:t>confirming that Petersen was in fact employed by Coega and making undertakings on its behalf.</w:t>
      </w:r>
    </w:p>
    <w:p w14:paraId="75A67EE6" w14:textId="77777777" w:rsidR="004C1A1B" w:rsidRPr="002815EA" w:rsidRDefault="004C1A1B" w:rsidP="002815EA">
      <w:pPr>
        <w:rPr>
          <w:lang w:val="en-GB"/>
        </w:rPr>
      </w:pPr>
    </w:p>
    <w:p w14:paraId="2BFAB379" w14:textId="4ABF9642" w:rsidR="00063DA6" w:rsidRPr="0001596F" w:rsidRDefault="0001596F" w:rsidP="0001596F">
      <w:pPr>
        <w:autoSpaceDE w:val="0"/>
        <w:autoSpaceDN w:val="0"/>
        <w:adjustRightInd w:val="0"/>
        <w:jc w:val="both"/>
        <w:rPr>
          <w:lang w:val="en-GB"/>
        </w:rPr>
      </w:pPr>
      <w:r>
        <w:rPr>
          <w:lang w:val="en-GB"/>
        </w:rPr>
        <w:t>[16]</w:t>
      </w:r>
      <w:r>
        <w:rPr>
          <w:lang w:val="en-GB"/>
        </w:rPr>
        <w:tab/>
      </w:r>
      <w:r w:rsidR="004C1A1B" w:rsidRPr="0001596F">
        <w:rPr>
          <w:lang w:val="en-GB"/>
        </w:rPr>
        <w:t xml:space="preserve">Hancke testified that he was unconcerned that payment received on 14 August 2015 referenced ‘Rida’ as opposed to Coega. He </w:t>
      </w:r>
      <w:r w:rsidR="00724B8B" w:rsidRPr="0001596F">
        <w:rPr>
          <w:lang w:val="en-GB"/>
        </w:rPr>
        <w:t xml:space="preserve">had not noticed that descriptor and </w:t>
      </w:r>
      <w:r w:rsidR="004C1A1B" w:rsidRPr="0001596F">
        <w:rPr>
          <w:lang w:val="en-GB"/>
        </w:rPr>
        <w:t xml:space="preserve">simply accepted that Petersen had made the necessary </w:t>
      </w:r>
      <w:r w:rsidR="00C7545D" w:rsidRPr="0001596F">
        <w:rPr>
          <w:lang w:val="en-GB"/>
        </w:rPr>
        <w:t xml:space="preserve">payment </w:t>
      </w:r>
      <w:r w:rsidR="004C1A1B" w:rsidRPr="0001596F">
        <w:rPr>
          <w:lang w:val="en-GB"/>
        </w:rPr>
        <w:t xml:space="preserve">arrangement. </w:t>
      </w:r>
      <w:r w:rsidR="00FA5723" w:rsidRPr="0001596F">
        <w:rPr>
          <w:lang w:val="en-GB"/>
        </w:rPr>
        <w:t>The only other relevant p</w:t>
      </w:r>
      <w:r w:rsidR="004C1A1B" w:rsidRPr="0001596F">
        <w:rPr>
          <w:lang w:val="en-GB"/>
        </w:rPr>
        <w:t xml:space="preserve">ayment </w:t>
      </w:r>
      <w:r w:rsidR="00FA5723" w:rsidRPr="0001596F">
        <w:rPr>
          <w:lang w:val="en-GB"/>
        </w:rPr>
        <w:t xml:space="preserve">received, </w:t>
      </w:r>
      <w:r w:rsidR="004C1A1B" w:rsidRPr="0001596F">
        <w:rPr>
          <w:lang w:val="en-GB"/>
        </w:rPr>
        <w:t>on 12 October 2015</w:t>
      </w:r>
      <w:r w:rsidR="00FA5723" w:rsidRPr="0001596F">
        <w:rPr>
          <w:lang w:val="en-GB"/>
        </w:rPr>
        <w:t>,</w:t>
      </w:r>
      <w:r w:rsidR="004C1A1B" w:rsidRPr="0001596F">
        <w:rPr>
          <w:lang w:val="en-GB"/>
        </w:rPr>
        <w:t xml:space="preserve"> had referenced ‘Coega Development Corporation’.</w:t>
      </w:r>
    </w:p>
    <w:p w14:paraId="2F588DA7" w14:textId="77777777" w:rsidR="00025E52" w:rsidRPr="00025E52" w:rsidRDefault="00025E52" w:rsidP="00025E52">
      <w:pPr>
        <w:pStyle w:val="ListParagraph"/>
        <w:rPr>
          <w:lang w:val="en-GB"/>
        </w:rPr>
      </w:pPr>
    </w:p>
    <w:p w14:paraId="5882C32C" w14:textId="035FBCB9" w:rsidR="00CF16EE" w:rsidRPr="0001596F" w:rsidRDefault="0001596F" w:rsidP="0001596F">
      <w:pPr>
        <w:autoSpaceDE w:val="0"/>
        <w:autoSpaceDN w:val="0"/>
        <w:adjustRightInd w:val="0"/>
        <w:jc w:val="both"/>
        <w:rPr>
          <w:lang w:val="en-GB"/>
        </w:rPr>
      </w:pPr>
      <w:r>
        <w:rPr>
          <w:lang w:val="en-GB"/>
        </w:rPr>
        <w:t>[17]</w:t>
      </w:r>
      <w:r>
        <w:rPr>
          <w:lang w:val="en-GB"/>
        </w:rPr>
        <w:tab/>
      </w:r>
      <w:r w:rsidR="00CF16EE" w:rsidRPr="0001596F">
        <w:rPr>
          <w:lang w:val="en-GB"/>
        </w:rPr>
        <w:t xml:space="preserve">Petersen was the only witness called by Coega. </w:t>
      </w:r>
      <w:r w:rsidR="002630F5" w:rsidRPr="0001596F">
        <w:rPr>
          <w:lang w:val="en-GB"/>
        </w:rPr>
        <w:t>He testified that he was employed by Coega and was the programme manager for SBF</w:t>
      </w:r>
      <w:r w:rsidR="003F5462" w:rsidRPr="0001596F">
        <w:rPr>
          <w:lang w:val="en-GB"/>
        </w:rPr>
        <w:t>S</w:t>
      </w:r>
      <w:r w:rsidR="00E90E4A" w:rsidRPr="0001596F">
        <w:rPr>
          <w:lang w:val="en-GB"/>
        </w:rPr>
        <w:t>, which was a subsidiary of Coega.</w:t>
      </w:r>
      <w:r w:rsidR="008132B9" w:rsidRPr="0001596F">
        <w:rPr>
          <w:lang w:val="en-GB"/>
        </w:rPr>
        <w:t xml:space="preserve"> SBF</w:t>
      </w:r>
      <w:r w:rsidR="003F5462" w:rsidRPr="0001596F">
        <w:rPr>
          <w:lang w:val="en-GB"/>
        </w:rPr>
        <w:t>S</w:t>
      </w:r>
      <w:r w:rsidR="008132B9" w:rsidRPr="0001596F">
        <w:rPr>
          <w:lang w:val="en-GB"/>
        </w:rPr>
        <w:t xml:space="preserve"> was a private company which financed businesses and provided business support to meet Coega’s social and economic obligations.</w:t>
      </w:r>
      <w:r w:rsidR="003F5462">
        <w:rPr>
          <w:rStyle w:val="FootnoteReference"/>
          <w:lang w:val="en-GB"/>
        </w:rPr>
        <w:footnoteReference w:id="2"/>
      </w:r>
    </w:p>
    <w:p w14:paraId="4B7D52F3" w14:textId="77777777" w:rsidR="00D85AD2" w:rsidRPr="00D85AD2" w:rsidRDefault="00D85AD2" w:rsidP="00D85AD2">
      <w:pPr>
        <w:pStyle w:val="ListParagraph"/>
        <w:rPr>
          <w:lang w:val="en-GB"/>
        </w:rPr>
      </w:pPr>
    </w:p>
    <w:p w14:paraId="52E67F63" w14:textId="1C3D2004" w:rsidR="00BE65E1" w:rsidRPr="0001596F" w:rsidRDefault="0001596F" w:rsidP="0001596F">
      <w:pPr>
        <w:autoSpaceDE w:val="0"/>
        <w:autoSpaceDN w:val="0"/>
        <w:adjustRightInd w:val="0"/>
        <w:jc w:val="both"/>
        <w:rPr>
          <w:lang w:val="en-GB"/>
        </w:rPr>
      </w:pPr>
      <w:r w:rsidRPr="00CB00EF">
        <w:rPr>
          <w:lang w:val="en-GB"/>
        </w:rPr>
        <w:t>[18]</w:t>
      </w:r>
      <w:r w:rsidRPr="00CB00EF">
        <w:rPr>
          <w:lang w:val="en-GB"/>
        </w:rPr>
        <w:tab/>
      </w:r>
      <w:r w:rsidR="00CB00EF" w:rsidRPr="0001596F">
        <w:rPr>
          <w:lang w:val="en-GB"/>
        </w:rPr>
        <w:t xml:space="preserve">There was no written contractual relationship between Coega and QMC. </w:t>
      </w:r>
      <w:r w:rsidR="00D85AD2" w:rsidRPr="0001596F">
        <w:rPr>
          <w:lang w:val="en-GB"/>
        </w:rPr>
        <w:t>QMC had approached SBFS for support following Coega’s awarding of the project to Pro-Khaya. They required access to plant hire, material and wages in order to accept a sub-contractor arrangement.</w:t>
      </w:r>
      <w:r w:rsidR="004616E4" w:rsidRPr="0001596F">
        <w:rPr>
          <w:lang w:val="en-GB"/>
        </w:rPr>
        <w:t xml:space="preserve"> The member of QMC, Ms Sokupe</w:t>
      </w:r>
      <w:r w:rsidR="008A0A90" w:rsidRPr="0001596F">
        <w:rPr>
          <w:lang w:val="en-GB"/>
        </w:rPr>
        <w:t xml:space="preserve"> (‘Sokupe’)</w:t>
      </w:r>
      <w:r w:rsidR="004616E4" w:rsidRPr="0001596F">
        <w:rPr>
          <w:lang w:val="en-GB"/>
        </w:rPr>
        <w:t xml:space="preserve">, had signed </w:t>
      </w:r>
      <w:r w:rsidR="00BC11D0" w:rsidRPr="0001596F">
        <w:rPr>
          <w:lang w:val="en-GB"/>
        </w:rPr>
        <w:t>two</w:t>
      </w:r>
      <w:r w:rsidR="004616E4" w:rsidRPr="0001596F">
        <w:rPr>
          <w:lang w:val="en-GB"/>
        </w:rPr>
        <w:t xml:space="preserve"> acknowledgement</w:t>
      </w:r>
      <w:r w:rsidR="00BC11D0" w:rsidRPr="0001596F">
        <w:rPr>
          <w:lang w:val="en-GB"/>
        </w:rPr>
        <w:t>s</w:t>
      </w:r>
      <w:r w:rsidR="004616E4" w:rsidRPr="0001596F">
        <w:rPr>
          <w:lang w:val="en-GB"/>
        </w:rPr>
        <w:t xml:space="preserve"> of debt (in her personal capacity and as member of QMC) in favour of SBFS for payment in the</w:t>
      </w:r>
      <w:r w:rsidR="00BC11D0" w:rsidRPr="0001596F">
        <w:rPr>
          <w:lang w:val="en-GB"/>
        </w:rPr>
        <w:t xml:space="preserve"> total</w:t>
      </w:r>
      <w:r w:rsidR="004616E4" w:rsidRPr="0001596F">
        <w:rPr>
          <w:lang w:val="en-GB"/>
        </w:rPr>
        <w:t xml:space="preserve"> sum of </w:t>
      </w:r>
      <w:r w:rsidR="00EA650E" w:rsidRPr="0001596F">
        <w:rPr>
          <w:lang w:val="en-GB"/>
        </w:rPr>
        <w:t>R8</w:t>
      </w:r>
      <w:r w:rsidR="00E44BE2" w:rsidRPr="0001596F">
        <w:rPr>
          <w:lang w:val="en-GB"/>
        </w:rPr>
        <w:t>2</w:t>
      </w:r>
      <w:r w:rsidR="00EA650E" w:rsidRPr="0001596F">
        <w:rPr>
          <w:lang w:val="en-GB"/>
        </w:rPr>
        <w:t>0 000</w:t>
      </w:r>
      <w:r w:rsidR="004616E4" w:rsidRPr="0001596F">
        <w:rPr>
          <w:lang w:val="en-GB"/>
        </w:rPr>
        <w:t>.</w:t>
      </w:r>
      <w:r w:rsidR="00D85AD2" w:rsidRPr="0001596F">
        <w:rPr>
          <w:lang w:val="en-GB"/>
        </w:rPr>
        <w:t xml:space="preserve"> </w:t>
      </w:r>
      <w:r w:rsidR="00BE65E1" w:rsidRPr="0001596F">
        <w:rPr>
          <w:lang w:val="en-GB"/>
        </w:rPr>
        <w:t xml:space="preserve">An ‘agreement of cession and pledge’ between QMC (as cedent) and SBFS (as cessionary) was signed. The introduction to the agreement explains as follows: </w:t>
      </w:r>
    </w:p>
    <w:p w14:paraId="6FB1C8FC" w14:textId="77777777" w:rsidR="00BE65E1" w:rsidRDefault="00BE65E1" w:rsidP="00BE65E1">
      <w:pPr>
        <w:pStyle w:val="ListParagraph"/>
        <w:autoSpaceDE w:val="0"/>
        <w:autoSpaceDN w:val="0"/>
        <w:adjustRightInd w:val="0"/>
        <w:ind w:left="0"/>
        <w:jc w:val="both"/>
        <w:rPr>
          <w:sz w:val="22"/>
          <w:szCs w:val="22"/>
          <w:lang w:val="en-GB"/>
        </w:rPr>
      </w:pPr>
      <w:r w:rsidRPr="00E63724">
        <w:rPr>
          <w:sz w:val="22"/>
          <w:szCs w:val="22"/>
          <w:lang w:val="en-GB"/>
        </w:rPr>
        <w:lastRenderedPageBreak/>
        <w:t>‘1.1</w:t>
      </w:r>
      <w:r>
        <w:rPr>
          <w:sz w:val="22"/>
          <w:szCs w:val="22"/>
          <w:lang w:val="en-GB"/>
        </w:rPr>
        <w:tab/>
        <w:t>T</w:t>
      </w:r>
      <w:r w:rsidRPr="00E63724">
        <w:rPr>
          <w:sz w:val="22"/>
          <w:szCs w:val="22"/>
          <w:lang w:val="en-GB"/>
        </w:rPr>
        <w:t xml:space="preserve">he </w:t>
      </w:r>
      <w:r>
        <w:rPr>
          <w:sz w:val="22"/>
          <w:szCs w:val="22"/>
          <w:lang w:val="en-GB"/>
        </w:rPr>
        <w:t>C</w:t>
      </w:r>
      <w:r w:rsidRPr="00E63724">
        <w:rPr>
          <w:sz w:val="22"/>
          <w:szCs w:val="22"/>
          <w:lang w:val="en-GB"/>
        </w:rPr>
        <w:t xml:space="preserve">edent has been contracted to carry out certain works by Coega Development Corporation (Pty) Ltd (“CDC”). </w:t>
      </w:r>
    </w:p>
    <w:p w14:paraId="12786B74" w14:textId="77777777" w:rsidR="00BE65E1" w:rsidRDefault="00BE65E1" w:rsidP="00BE65E1">
      <w:pPr>
        <w:pStyle w:val="ListParagraph"/>
        <w:autoSpaceDE w:val="0"/>
        <w:autoSpaceDN w:val="0"/>
        <w:adjustRightInd w:val="0"/>
        <w:ind w:left="0"/>
        <w:jc w:val="both"/>
        <w:rPr>
          <w:sz w:val="22"/>
          <w:szCs w:val="22"/>
          <w:lang w:val="en-GB"/>
        </w:rPr>
      </w:pPr>
      <w:r>
        <w:rPr>
          <w:sz w:val="22"/>
          <w:szCs w:val="22"/>
          <w:lang w:val="en-GB"/>
        </w:rPr>
        <w:t>1.2</w:t>
      </w:r>
      <w:r>
        <w:rPr>
          <w:sz w:val="22"/>
          <w:szCs w:val="22"/>
          <w:lang w:val="en-GB"/>
        </w:rPr>
        <w:tab/>
        <w:t xml:space="preserve">The Cessionary has loaned and advanced the Cedent a sum of money to enable the Cedent to fulfil its obligations to CDC in terms of the contract. </w:t>
      </w:r>
    </w:p>
    <w:p w14:paraId="378A30C2" w14:textId="770A7F6D" w:rsidR="00D85AD2" w:rsidRPr="00BE65E1" w:rsidRDefault="00BE65E1" w:rsidP="00BE65E1">
      <w:pPr>
        <w:pStyle w:val="ListParagraph"/>
        <w:autoSpaceDE w:val="0"/>
        <w:autoSpaceDN w:val="0"/>
        <w:adjustRightInd w:val="0"/>
        <w:ind w:left="0"/>
        <w:jc w:val="both"/>
        <w:rPr>
          <w:sz w:val="22"/>
          <w:szCs w:val="22"/>
          <w:lang w:val="en-GB"/>
        </w:rPr>
      </w:pPr>
      <w:r>
        <w:rPr>
          <w:sz w:val="22"/>
          <w:szCs w:val="22"/>
          <w:lang w:val="en-GB"/>
        </w:rPr>
        <w:t>1.3</w:t>
      </w:r>
      <w:r>
        <w:rPr>
          <w:sz w:val="22"/>
          <w:szCs w:val="22"/>
          <w:lang w:val="en-GB"/>
        </w:rPr>
        <w:tab/>
        <w:t>The Cedent is desirous of transferring all right, title and interest in and to payments due to him by CDC in respect of the abovementioned contract as are sufficient to cover its debt to the Cessionary for the duration of the contract.’</w:t>
      </w:r>
    </w:p>
    <w:p w14:paraId="158BCDDA" w14:textId="77777777" w:rsidR="000F4789" w:rsidRPr="000F4789" w:rsidRDefault="000F4789" w:rsidP="000F4789">
      <w:pPr>
        <w:pStyle w:val="ListParagraph"/>
        <w:rPr>
          <w:lang w:val="en-GB"/>
        </w:rPr>
      </w:pPr>
    </w:p>
    <w:p w14:paraId="04B1014E" w14:textId="0F713E90" w:rsidR="000F4789" w:rsidRPr="0001596F" w:rsidRDefault="0001596F" w:rsidP="0001596F">
      <w:pPr>
        <w:autoSpaceDE w:val="0"/>
        <w:autoSpaceDN w:val="0"/>
        <w:adjustRightInd w:val="0"/>
        <w:jc w:val="both"/>
        <w:rPr>
          <w:lang w:val="en-GB"/>
        </w:rPr>
      </w:pPr>
      <w:r>
        <w:rPr>
          <w:lang w:val="en-GB"/>
        </w:rPr>
        <w:t>[19]</w:t>
      </w:r>
      <w:r>
        <w:rPr>
          <w:lang w:val="en-GB"/>
        </w:rPr>
        <w:tab/>
      </w:r>
      <w:r w:rsidR="000F4789" w:rsidRPr="0001596F">
        <w:rPr>
          <w:lang w:val="en-GB"/>
        </w:rPr>
        <w:t xml:space="preserve">Petersen explained that Coega would not have been involved </w:t>
      </w:r>
      <w:r w:rsidR="00084486" w:rsidRPr="0001596F">
        <w:rPr>
          <w:lang w:val="en-GB"/>
        </w:rPr>
        <w:t>in Pro-Khaya’s decision to appoint QMC as a sub-contractor.</w:t>
      </w:r>
      <w:r w:rsidR="00BC11D0" w:rsidRPr="0001596F">
        <w:rPr>
          <w:lang w:val="en-GB"/>
        </w:rPr>
        <w:t xml:space="preserve"> QMC required funding to accept that appointment and approached SBFS, who entered into the two acknowledgements of debt and cession arrangement to protect their investment.</w:t>
      </w:r>
      <w:r w:rsidR="00F6428A" w:rsidRPr="0001596F">
        <w:rPr>
          <w:lang w:val="en-GB"/>
        </w:rPr>
        <w:t xml:space="preserve"> </w:t>
      </w:r>
      <w:r w:rsidR="00AD3A65" w:rsidRPr="0001596F">
        <w:rPr>
          <w:lang w:val="en-GB"/>
        </w:rPr>
        <w:t xml:space="preserve">He explained that </w:t>
      </w:r>
      <w:r w:rsidR="0008553D" w:rsidRPr="0001596F">
        <w:rPr>
          <w:lang w:val="en-GB"/>
        </w:rPr>
        <w:t>SBFS</w:t>
      </w:r>
      <w:r w:rsidR="00AD3A65" w:rsidRPr="0001596F">
        <w:rPr>
          <w:lang w:val="en-GB"/>
        </w:rPr>
        <w:t xml:space="preserve"> would extend limited cover for the benefit of QMC up to the amount of R820 000.</w:t>
      </w:r>
      <w:r w:rsidR="00367E9E" w:rsidRPr="0001596F">
        <w:rPr>
          <w:lang w:val="en-GB"/>
        </w:rPr>
        <w:t xml:space="preserve"> </w:t>
      </w:r>
      <w:r w:rsidR="003C7884" w:rsidRPr="0001596F">
        <w:rPr>
          <w:lang w:val="en-GB"/>
        </w:rPr>
        <w:t xml:space="preserve">The agreement would not be open-ended so that any invoices submitted by the Trust would be met with payment by Coega. </w:t>
      </w:r>
      <w:r w:rsidR="00367E9E" w:rsidRPr="0001596F">
        <w:rPr>
          <w:lang w:val="en-GB"/>
        </w:rPr>
        <w:t>Payments would be subject to Pro-Khaya making payment to QMC.</w:t>
      </w:r>
      <w:r w:rsidR="003C7884" w:rsidRPr="0001596F">
        <w:rPr>
          <w:lang w:val="en-GB"/>
        </w:rPr>
        <w:t xml:space="preserve"> </w:t>
      </w:r>
      <w:r w:rsidR="0008553D" w:rsidRPr="0001596F">
        <w:rPr>
          <w:lang w:val="en-GB"/>
        </w:rPr>
        <w:t>SBFS</w:t>
      </w:r>
      <w:r w:rsidR="0095203B" w:rsidRPr="0001596F">
        <w:rPr>
          <w:lang w:val="en-GB"/>
        </w:rPr>
        <w:t xml:space="preserve"> </w:t>
      </w:r>
      <w:r w:rsidR="00537345" w:rsidRPr="0001596F">
        <w:rPr>
          <w:lang w:val="en-GB"/>
        </w:rPr>
        <w:t>could only render services up to the total amount of the acknowledgments of debt signed by QMC, or based on payments received by QMC from Pro-Khaya.</w:t>
      </w:r>
    </w:p>
    <w:p w14:paraId="744B864C" w14:textId="77777777" w:rsidR="001445D3" w:rsidRPr="001445D3" w:rsidRDefault="001445D3" w:rsidP="001445D3">
      <w:pPr>
        <w:pStyle w:val="ListParagraph"/>
        <w:rPr>
          <w:lang w:val="en-GB"/>
        </w:rPr>
      </w:pPr>
    </w:p>
    <w:p w14:paraId="03B29003" w14:textId="5FA8CF6F" w:rsidR="001445D3" w:rsidRPr="0001596F" w:rsidRDefault="0001596F" w:rsidP="0001596F">
      <w:pPr>
        <w:autoSpaceDE w:val="0"/>
        <w:autoSpaceDN w:val="0"/>
        <w:adjustRightInd w:val="0"/>
        <w:jc w:val="both"/>
        <w:rPr>
          <w:lang w:val="en-GB"/>
        </w:rPr>
      </w:pPr>
      <w:r>
        <w:rPr>
          <w:lang w:val="en-GB"/>
        </w:rPr>
        <w:t>[20]</w:t>
      </w:r>
      <w:r>
        <w:rPr>
          <w:lang w:val="en-GB"/>
        </w:rPr>
        <w:tab/>
      </w:r>
      <w:r w:rsidR="00545989" w:rsidRPr="0001596F">
        <w:rPr>
          <w:lang w:val="en-GB"/>
        </w:rPr>
        <w:t>Petersen testified further that SBFS had made both of the payments that the Trust had received, and not Coega.</w:t>
      </w:r>
      <w:r w:rsidR="002527C7" w:rsidRPr="0001596F">
        <w:rPr>
          <w:lang w:val="en-GB"/>
        </w:rPr>
        <w:t xml:space="preserve"> The 12 August 2015 payment, in the amount of R353 620, had been made from the RIDA account, and the statement reference was ‘Rida’. The second payment, dated 12 October 2015, had been made from the same account in the amount of R150 000. On this occasion the person making payment had erroneously inserted ‘Coega Development Corporation’ as the reference.</w:t>
      </w:r>
    </w:p>
    <w:p w14:paraId="12A9480F" w14:textId="77777777" w:rsidR="00CD43F9" w:rsidRPr="00CD43F9" w:rsidRDefault="00CD43F9" w:rsidP="00CD43F9">
      <w:pPr>
        <w:pStyle w:val="ListParagraph"/>
        <w:rPr>
          <w:lang w:val="en-GB"/>
        </w:rPr>
      </w:pPr>
    </w:p>
    <w:p w14:paraId="22743F01" w14:textId="42FC7359" w:rsidR="00CA677A" w:rsidRPr="0001596F" w:rsidRDefault="0001596F" w:rsidP="0001596F">
      <w:pPr>
        <w:autoSpaceDE w:val="0"/>
        <w:autoSpaceDN w:val="0"/>
        <w:adjustRightInd w:val="0"/>
        <w:jc w:val="both"/>
        <w:rPr>
          <w:lang w:val="en-GB"/>
        </w:rPr>
      </w:pPr>
      <w:r>
        <w:rPr>
          <w:lang w:val="en-GB"/>
        </w:rPr>
        <w:t>[21]</w:t>
      </w:r>
      <w:r>
        <w:rPr>
          <w:lang w:val="en-GB"/>
        </w:rPr>
        <w:tab/>
      </w:r>
      <w:r w:rsidR="00CD43F9" w:rsidRPr="0001596F">
        <w:rPr>
          <w:lang w:val="en-GB"/>
        </w:rPr>
        <w:t xml:space="preserve">The relationship between payments received </w:t>
      </w:r>
      <w:r w:rsidR="00816CDE" w:rsidRPr="0001596F">
        <w:rPr>
          <w:lang w:val="en-GB"/>
        </w:rPr>
        <w:t xml:space="preserve">by QMC </w:t>
      </w:r>
      <w:r w:rsidR="00CD43F9" w:rsidRPr="0001596F">
        <w:rPr>
          <w:lang w:val="en-GB"/>
        </w:rPr>
        <w:t>from Pro Khaya and payments made from the RIDA account to the Trust w</w:t>
      </w:r>
      <w:r w:rsidR="00BA498B" w:rsidRPr="0001596F">
        <w:rPr>
          <w:lang w:val="en-GB"/>
        </w:rPr>
        <w:t>as also explained.</w:t>
      </w:r>
      <w:r w:rsidR="00FB6343" w:rsidRPr="0001596F">
        <w:rPr>
          <w:lang w:val="en-GB"/>
        </w:rPr>
        <w:t xml:space="preserve"> Petersen’s suggestion that money would be paid by Pro-Khaya prior to any payments to the Trust was, however, not borne out by the relevant journal entries prepared by SBFS for QMC. </w:t>
      </w:r>
      <w:r w:rsidR="00F57399" w:rsidRPr="0001596F">
        <w:rPr>
          <w:lang w:val="en-GB"/>
        </w:rPr>
        <w:t xml:space="preserve">As to the amounts received from Pro-Khaya, Petersen suggested that </w:t>
      </w:r>
      <w:r w:rsidR="0036300E" w:rsidRPr="0001596F">
        <w:rPr>
          <w:lang w:val="en-GB"/>
        </w:rPr>
        <w:t>Pro Khaya</w:t>
      </w:r>
      <w:r w:rsidR="00F57399" w:rsidRPr="0001596F">
        <w:rPr>
          <w:lang w:val="en-GB"/>
        </w:rPr>
        <w:t xml:space="preserve"> had short-changed QMC because of a dispute regarding the appropriate rate. This resulted in SBFS making use of the ‘loan-facility’ in paying a larger amount to the </w:t>
      </w:r>
      <w:r w:rsidR="00F57399" w:rsidRPr="0001596F">
        <w:rPr>
          <w:lang w:val="en-GB"/>
        </w:rPr>
        <w:lastRenderedPageBreak/>
        <w:t>Trust.</w:t>
      </w:r>
      <w:r w:rsidR="001441A9" w:rsidRPr="0001596F">
        <w:rPr>
          <w:lang w:val="en-GB"/>
        </w:rPr>
        <w:t xml:space="preserve"> Petersen had, however, not represented Coega in making such payments and had never indicated to the Trust that he did so.</w:t>
      </w:r>
      <w:r w:rsidR="00CA677A" w:rsidRPr="0001596F">
        <w:rPr>
          <w:lang w:val="en-GB"/>
        </w:rPr>
        <w:t xml:space="preserve"> </w:t>
      </w:r>
    </w:p>
    <w:p w14:paraId="55E5C222" w14:textId="77777777" w:rsidR="009353D4" w:rsidRDefault="009353D4" w:rsidP="009353D4">
      <w:pPr>
        <w:pStyle w:val="ListParagraph"/>
        <w:autoSpaceDE w:val="0"/>
        <w:autoSpaceDN w:val="0"/>
        <w:adjustRightInd w:val="0"/>
        <w:ind w:left="0"/>
        <w:jc w:val="both"/>
        <w:rPr>
          <w:lang w:val="en-GB"/>
        </w:rPr>
      </w:pPr>
    </w:p>
    <w:p w14:paraId="6571A773" w14:textId="0604EE02" w:rsidR="00CA677A" w:rsidRPr="0001596F" w:rsidRDefault="0001596F" w:rsidP="0001596F">
      <w:pPr>
        <w:autoSpaceDE w:val="0"/>
        <w:autoSpaceDN w:val="0"/>
        <w:adjustRightInd w:val="0"/>
        <w:jc w:val="both"/>
        <w:rPr>
          <w:lang w:val="en-GB"/>
        </w:rPr>
      </w:pPr>
      <w:r>
        <w:rPr>
          <w:lang w:val="en-GB"/>
        </w:rPr>
        <w:t>[22]</w:t>
      </w:r>
      <w:r>
        <w:rPr>
          <w:lang w:val="en-GB"/>
        </w:rPr>
        <w:tab/>
      </w:r>
      <w:r w:rsidR="0097269C" w:rsidRPr="0001596F">
        <w:rPr>
          <w:lang w:val="en-GB"/>
        </w:rPr>
        <w:t xml:space="preserve">Petersen acknowledged, during cross-examination, that his email signature made reference to a ‘Small Business Finance </w:t>
      </w:r>
      <w:r w:rsidR="0097269C" w:rsidRPr="0001596F">
        <w:rPr>
          <w:i/>
          <w:iCs/>
          <w:lang w:val="en-GB"/>
        </w:rPr>
        <w:t>Unit</w:t>
      </w:r>
      <w:r w:rsidR="0097269C" w:rsidRPr="0001596F">
        <w:rPr>
          <w:lang w:val="en-GB"/>
        </w:rPr>
        <w:t>’, as opposed to a separate legal entity</w:t>
      </w:r>
      <w:r w:rsidR="00136189" w:rsidRPr="0001596F">
        <w:rPr>
          <w:lang w:val="en-GB"/>
        </w:rPr>
        <w:t>.</w:t>
      </w:r>
      <w:r w:rsidR="00245603">
        <w:rPr>
          <w:rStyle w:val="FootnoteReference"/>
          <w:lang w:val="en-GB"/>
        </w:rPr>
        <w:footnoteReference w:id="3"/>
      </w:r>
      <w:r w:rsidR="00136189" w:rsidRPr="0001596F">
        <w:rPr>
          <w:lang w:val="en-GB"/>
        </w:rPr>
        <w:t xml:space="preserve"> An ordinary reader, he agreed, may </w:t>
      </w:r>
      <w:r w:rsidR="005B4CF9" w:rsidRPr="0001596F">
        <w:rPr>
          <w:lang w:val="en-GB"/>
        </w:rPr>
        <w:t>well consider this to be a unit falling within the larger Coega enterprise.</w:t>
      </w:r>
      <w:r w:rsidR="00D222FB" w:rsidRPr="0001596F">
        <w:rPr>
          <w:lang w:val="en-GB"/>
        </w:rPr>
        <w:t xml:space="preserve"> His emails</w:t>
      </w:r>
      <w:r w:rsidR="00AE2DB5" w:rsidRPr="0001596F">
        <w:rPr>
          <w:lang w:val="en-GB"/>
        </w:rPr>
        <w:t>, including his signature,</w:t>
      </w:r>
      <w:r w:rsidR="00D222FB" w:rsidRPr="0001596F">
        <w:rPr>
          <w:lang w:val="en-GB"/>
        </w:rPr>
        <w:t xml:space="preserve"> made no reference </w:t>
      </w:r>
      <w:r w:rsidR="003502D9" w:rsidRPr="0001596F">
        <w:rPr>
          <w:lang w:val="en-GB"/>
        </w:rPr>
        <w:t xml:space="preserve">to the existence of a separate legal </w:t>
      </w:r>
      <w:r w:rsidR="00D514CB" w:rsidRPr="0001596F">
        <w:rPr>
          <w:lang w:val="en-GB"/>
        </w:rPr>
        <w:t xml:space="preserve">entity </w:t>
      </w:r>
      <w:r w:rsidR="003502D9" w:rsidRPr="0001596F">
        <w:rPr>
          <w:lang w:val="en-GB"/>
        </w:rPr>
        <w:t>apart from Coega.</w:t>
      </w:r>
      <w:r w:rsidR="00D64DAC" w:rsidRPr="0001596F">
        <w:rPr>
          <w:lang w:val="en-GB"/>
        </w:rPr>
        <w:t xml:space="preserve"> He conceded that, generally speaking, </w:t>
      </w:r>
      <w:r w:rsidR="00262F4D" w:rsidRPr="0001596F">
        <w:rPr>
          <w:lang w:val="en-GB"/>
        </w:rPr>
        <w:t>suppliers to Coega would not be aware that an internal arrangement had resulted in the use of RIDA to assist SMMEs.</w:t>
      </w:r>
      <w:r w:rsidR="008A0A90" w:rsidRPr="0001596F">
        <w:rPr>
          <w:lang w:val="en-GB"/>
        </w:rPr>
        <w:t xml:space="preserve"> He suggested that Sokupe </w:t>
      </w:r>
      <w:r w:rsidR="00E43F10" w:rsidRPr="0001596F">
        <w:rPr>
          <w:lang w:val="en-GB"/>
        </w:rPr>
        <w:t xml:space="preserve">may have explained the position to </w:t>
      </w:r>
      <w:r w:rsidR="00776638" w:rsidRPr="0001596F">
        <w:rPr>
          <w:lang w:val="en-GB"/>
        </w:rPr>
        <w:t>Hancke</w:t>
      </w:r>
      <w:r w:rsidR="004810FA" w:rsidRPr="0001596F">
        <w:rPr>
          <w:lang w:val="en-GB"/>
        </w:rPr>
        <w:t xml:space="preserve">, or may have been expected to indicate its loan </w:t>
      </w:r>
      <w:r w:rsidR="00965D33" w:rsidRPr="0001596F">
        <w:rPr>
          <w:lang w:val="en-GB"/>
        </w:rPr>
        <w:t>agreement</w:t>
      </w:r>
      <w:r w:rsidR="004810FA" w:rsidRPr="0001596F">
        <w:rPr>
          <w:lang w:val="en-GB"/>
        </w:rPr>
        <w:t xml:space="preserve"> with SBFS</w:t>
      </w:r>
      <w:r w:rsidR="00E43F10" w:rsidRPr="0001596F">
        <w:rPr>
          <w:lang w:val="en-GB"/>
        </w:rPr>
        <w:t>.</w:t>
      </w:r>
      <w:r w:rsidR="00AF6265" w:rsidRPr="0001596F">
        <w:rPr>
          <w:lang w:val="en-GB"/>
        </w:rPr>
        <w:t xml:space="preserve"> </w:t>
      </w:r>
    </w:p>
    <w:p w14:paraId="3F0E4F1F" w14:textId="7B613A84" w:rsidR="00721F61" w:rsidRDefault="00721F61" w:rsidP="00721F61">
      <w:pPr>
        <w:rPr>
          <w:lang w:val="en-GB"/>
        </w:rPr>
      </w:pPr>
    </w:p>
    <w:p w14:paraId="5C0EE133" w14:textId="614C5076" w:rsidR="00721F61" w:rsidRDefault="00721F61" w:rsidP="00721F61">
      <w:pPr>
        <w:rPr>
          <w:b/>
          <w:bCs/>
          <w:lang w:val="en-GB"/>
        </w:rPr>
      </w:pPr>
      <w:r>
        <w:rPr>
          <w:b/>
          <w:bCs/>
          <w:lang w:val="en-GB"/>
        </w:rPr>
        <w:t>The issues</w:t>
      </w:r>
    </w:p>
    <w:p w14:paraId="47B79988" w14:textId="77777777" w:rsidR="00721F61" w:rsidRPr="00721F61" w:rsidRDefault="00721F61" w:rsidP="00721F61">
      <w:pPr>
        <w:rPr>
          <w:b/>
          <w:bCs/>
          <w:lang w:val="en-GB"/>
        </w:rPr>
      </w:pPr>
    </w:p>
    <w:p w14:paraId="7E709177" w14:textId="157ABBF2" w:rsidR="005D26E9" w:rsidRPr="0001596F" w:rsidRDefault="0001596F" w:rsidP="0001596F">
      <w:pPr>
        <w:autoSpaceDE w:val="0"/>
        <w:autoSpaceDN w:val="0"/>
        <w:adjustRightInd w:val="0"/>
        <w:jc w:val="both"/>
        <w:rPr>
          <w:lang w:val="en-GB"/>
        </w:rPr>
      </w:pPr>
      <w:r>
        <w:rPr>
          <w:lang w:val="en-GB"/>
        </w:rPr>
        <w:t>[23]</w:t>
      </w:r>
      <w:r>
        <w:rPr>
          <w:lang w:val="en-GB"/>
        </w:rPr>
        <w:tab/>
      </w:r>
      <w:r w:rsidR="000F2146" w:rsidRPr="0001596F">
        <w:rPr>
          <w:lang w:val="en-GB"/>
        </w:rPr>
        <w:t>T</w:t>
      </w:r>
      <w:r w:rsidR="009F2C9E" w:rsidRPr="0001596F">
        <w:rPr>
          <w:lang w:val="en-GB"/>
        </w:rPr>
        <w:t xml:space="preserve">he matter must be approached on the basis that the particulars of claim sought to imply that Petersen had </w:t>
      </w:r>
      <w:r w:rsidR="00506A57" w:rsidRPr="0001596F">
        <w:rPr>
          <w:lang w:val="en-GB"/>
        </w:rPr>
        <w:t xml:space="preserve">actual </w:t>
      </w:r>
      <w:r w:rsidR="009F2C9E" w:rsidRPr="0001596F">
        <w:rPr>
          <w:lang w:val="en-GB"/>
        </w:rPr>
        <w:t>authority to conclude an agreement on behalf of Coega.</w:t>
      </w:r>
      <w:r w:rsidR="00640DB2">
        <w:rPr>
          <w:rStyle w:val="FootnoteReference"/>
          <w:lang w:val="en-GB"/>
        </w:rPr>
        <w:footnoteReference w:id="4"/>
      </w:r>
      <w:r w:rsidR="009F2C9E" w:rsidRPr="0001596F">
        <w:rPr>
          <w:lang w:val="en-GB"/>
        </w:rPr>
        <w:t xml:space="preserve"> The plea over failed to raise authority as an issue, so that it may be accepted that Petersen’s authority to bind Coega is uncontested.</w:t>
      </w:r>
      <w:r w:rsidR="009F2C9E">
        <w:rPr>
          <w:rStyle w:val="FootnoteReference"/>
          <w:lang w:val="en-GB"/>
        </w:rPr>
        <w:footnoteReference w:id="5"/>
      </w:r>
      <w:r w:rsidR="009F2C9E" w:rsidRPr="0001596F">
        <w:rPr>
          <w:lang w:val="en-GB"/>
        </w:rPr>
        <w:t xml:space="preserve"> </w:t>
      </w:r>
    </w:p>
    <w:p w14:paraId="19C5296B" w14:textId="77777777" w:rsidR="005D26E9" w:rsidRDefault="005D26E9" w:rsidP="005D26E9">
      <w:pPr>
        <w:pStyle w:val="ListParagraph"/>
        <w:autoSpaceDE w:val="0"/>
        <w:autoSpaceDN w:val="0"/>
        <w:adjustRightInd w:val="0"/>
        <w:ind w:left="0"/>
        <w:jc w:val="both"/>
        <w:rPr>
          <w:lang w:val="en-GB"/>
        </w:rPr>
      </w:pPr>
    </w:p>
    <w:p w14:paraId="0DBD210C" w14:textId="5377C44F" w:rsidR="00AF080C" w:rsidRPr="0001596F" w:rsidRDefault="0001596F" w:rsidP="0001596F">
      <w:pPr>
        <w:autoSpaceDE w:val="0"/>
        <w:autoSpaceDN w:val="0"/>
        <w:adjustRightInd w:val="0"/>
        <w:jc w:val="both"/>
        <w:rPr>
          <w:lang w:val="en-GB"/>
        </w:rPr>
      </w:pPr>
      <w:r w:rsidRPr="005E6CD1">
        <w:rPr>
          <w:lang w:val="en-GB"/>
        </w:rPr>
        <w:t>[24]</w:t>
      </w:r>
      <w:r w:rsidRPr="005E6CD1">
        <w:rPr>
          <w:lang w:val="en-GB"/>
        </w:rPr>
        <w:tab/>
      </w:r>
      <w:r w:rsidR="005E6CD1" w:rsidRPr="0001596F">
        <w:rPr>
          <w:lang w:val="en-GB"/>
        </w:rPr>
        <w:t>It is for the plaintiff to prove the claimed contractual nexus on a balance of probabilities. This relates to the identity of the parties to the contract as well as the terms of the agreement.</w:t>
      </w:r>
      <w:r w:rsidR="005E6CD1">
        <w:rPr>
          <w:rStyle w:val="FootnoteReference"/>
          <w:lang w:val="en-GB"/>
        </w:rPr>
        <w:footnoteReference w:id="6"/>
      </w:r>
      <w:r w:rsidR="005E6CD1" w:rsidRPr="0001596F">
        <w:rPr>
          <w:lang w:val="en-GB"/>
        </w:rPr>
        <w:t xml:space="preserve"> </w:t>
      </w:r>
      <w:r w:rsidR="00C95E60" w:rsidRPr="0001596F">
        <w:rPr>
          <w:lang w:val="en-GB"/>
        </w:rPr>
        <w:t xml:space="preserve">Proof of the terms of the contract include proof of the anterior question whether both parties had the requisite </w:t>
      </w:r>
      <w:r w:rsidR="00C95E60" w:rsidRPr="0001596F">
        <w:rPr>
          <w:i/>
          <w:iCs/>
          <w:lang w:val="en-GB"/>
        </w:rPr>
        <w:t>animus contrahendi</w:t>
      </w:r>
      <w:r w:rsidR="00C95E60" w:rsidRPr="0001596F">
        <w:rPr>
          <w:lang w:val="en-GB"/>
        </w:rPr>
        <w:t>, and failure to do so will result in the plaintiff being unsuccessful.</w:t>
      </w:r>
      <w:r w:rsidR="00C95E60">
        <w:rPr>
          <w:rStyle w:val="FootnoteReference"/>
          <w:lang w:val="en-GB"/>
        </w:rPr>
        <w:footnoteReference w:id="7"/>
      </w:r>
      <w:r w:rsidR="00F35081" w:rsidRPr="0001596F">
        <w:rPr>
          <w:lang w:val="en-GB"/>
        </w:rPr>
        <w:t xml:space="preserve"> </w:t>
      </w:r>
      <w:r w:rsidR="0075446B" w:rsidRPr="0001596F">
        <w:rPr>
          <w:lang w:val="en-GB"/>
        </w:rPr>
        <w:t xml:space="preserve">As the SCA confirmed in </w:t>
      </w:r>
      <w:r w:rsidR="0075446B" w:rsidRPr="0001596F">
        <w:rPr>
          <w:i/>
          <w:iCs/>
          <w:lang w:val="en-GB"/>
        </w:rPr>
        <w:t>Africa Solar (Pty) Ltd v Divwatt (Pty) Ltd</w:t>
      </w:r>
      <w:r w:rsidR="0075446B" w:rsidRPr="0001596F">
        <w:rPr>
          <w:lang w:val="en-GB"/>
        </w:rPr>
        <w:t>,</w:t>
      </w:r>
      <w:r w:rsidR="0075446B">
        <w:rPr>
          <w:rStyle w:val="FootnoteReference"/>
          <w:lang w:val="en-GB"/>
        </w:rPr>
        <w:footnoteReference w:id="8"/>
      </w:r>
      <w:r w:rsidR="00085152" w:rsidRPr="0001596F">
        <w:rPr>
          <w:lang w:val="en-GB"/>
        </w:rPr>
        <w:t xml:space="preserve"> if, at the end of all the evidence, there is uncertainty as </w:t>
      </w:r>
      <w:r w:rsidR="00085152" w:rsidRPr="0001596F">
        <w:rPr>
          <w:lang w:val="en-GB"/>
        </w:rPr>
        <w:lastRenderedPageBreak/>
        <w:t xml:space="preserve">to whether </w:t>
      </w:r>
      <w:r w:rsidR="00085152" w:rsidRPr="0001596F">
        <w:rPr>
          <w:i/>
          <w:iCs/>
          <w:lang w:val="en-GB"/>
        </w:rPr>
        <w:t>animus contrahendi</w:t>
      </w:r>
      <w:r w:rsidR="00085152" w:rsidRPr="0001596F">
        <w:rPr>
          <w:lang w:val="en-GB"/>
        </w:rPr>
        <w:t xml:space="preserve"> on the part of both parties had been established, </w:t>
      </w:r>
      <w:r w:rsidR="0038496C" w:rsidRPr="0001596F">
        <w:rPr>
          <w:lang w:val="en-GB"/>
        </w:rPr>
        <w:t xml:space="preserve">it is </w:t>
      </w:r>
      <w:r w:rsidR="00085152" w:rsidRPr="0001596F">
        <w:rPr>
          <w:lang w:val="en-GB"/>
        </w:rPr>
        <w:t xml:space="preserve">the plaintiff </w:t>
      </w:r>
      <w:r w:rsidR="0004794A" w:rsidRPr="0001596F">
        <w:rPr>
          <w:lang w:val="en-GB"/>
        </w:rPr>
        <w:t xml:space="preserve">that </w:t>
      </w:r>
      <w:r w:rsidR="0049717F" w:rsidRPr="0001596F">
        <w:rPr>
          <w:lang w:val="en-GB"/>
        </w:rPr>
        <w:t>fails</w:t>
      </w:r>
      <w:r w:rsidR="00085152" w:rsidRPr="0001596F">
        <w:rPr>
          <w:lang w:val="en-GB"/>
        </w:rPr>
        <w:t>.</w:t>
      </w:r>
    </w:p>
    <w:p w14:paraId="1418FC51" w14:textId="77777777" w:rsidR="005E6CD1" w:rsidRPr="005E6CD1" w:rsidRDefault="005E6CD1" w:rsidP="005E6CD1">
      <w:pPr>
        <w:pStyle w:val="ListParagraph"/>
        <w:autoSpaceDE w:val="0"/>
        <w:autoSpaceDN w:val="0"/>
        <w:adjustRightInd w:val="0"/>
        <w:ind w:left="0"/>
        <w:jc w:val="both"/>
        <w:rPr>
          <w:lang w:val="en-GB"/>
        </w:rPr>
      </w:pPr>
    </w:p>
    <w:p w14:paraId="439338DE" w14:textId="38D286A4" w:rsidR="00973CDB" w:rsidRDefault="00973CDB" w:rsidP="00472108">
      <w:pPr>
        <w:rPr>
          <w:b/>
          <w:bCs/>
          <w:lang w:val="en-GB"/>
        </w:rPr>
      </w:pPr>
      <w:r>
        <w:rPr>
          <w:b/>
          <w:bCs/>
          <w:lang w:val="en-GB"/>
        </w:rPr>
        <w:t>Did the Trust enter into an agreement with Coega?</w:t>
      </w:r>
    </w:p>
    <w:p w14:paraId="09132D40" w14:textId="77777777" w:rsidR="00973CDB" w:rsidRPr="00973CDB" w:rsidRDefault="00973CDB" w:rsidP="00472108">
      <w:pPr>
        <w:rPr>
          <w:b/>
          <w:bCs/>
          <w:lang w:val="en-GB"/>
        </w:rPr>
      </w:pPr>
    </w:p>
    <w:p w14:paraId="51481426" w14:textId="530C1149" w:rsidR="00717C39" w:rsidRPr="0001596F" w:rsidRDefault="0001596F" w:rsidP="0001596F">
      <w:pPr>
        <w:autoSpaceDE w:val="0"/>
        <w:autoSpaceDN w:val="0"/>
        <w:adjustRightInd w:val="0"/>
        <w:jc w:val="both"/>
        <w:rPr>
          <w:lang w:val="en-GB"/>
        </w:rPr>
      </w:pPr>
      <w:r>
        <w:rPr>
          <w:lang w:val="en-GB"/>
        </w:rPr>
        <w:t>[25]</w:t>
      </w:r>
      <w:r>
        <w:rPr>
          <w:lang w:val="en-GB"/>
        </w:rPr>
        <w:tab/>
      </w:r>
      <w:r w:rsidR="00717C39" w:rsidRPr="0001596F">
        <w:rPr>
          <w:lang w:val="en-GB"/>
        </w:rPr>
        <w:t>The first essential requirement for a contract is that there is an agreement by two (or more) persons for future performance or non-performance by one or more of them.</w:t>
      </w:r>
      <w:r w:rsidR="00717C39">
        <w:rPr>
          <w:rStyle w:val="FootnoteReference"/>
          <w:lang w:val="en-GB"/>
        </w:rPr>
        <w:footnoteReference w:id="9"/>
      </w:r>
      <w:r w:rsidR="00717C39" w:rsidRPr="0001596F">
        <w:rPr>
          <w:lang w:val="en-GB"/>
        </w:rPr>
        <w:t xml:space="preserve"> In ascertaining whether there was an agreement between the parties, it is convenient to consider the matter from the perspective of an offer and acceptance.</w:t>
      </w:r>
      <w:r w:rsidR="00717C39">
        <w:rPr>
          <w:rStyle w:val="FootnoteReference"/>
          <w:lang w:val="en-GB"/>
        </w:rPr>
        <w:footnoteReference w:id="10"/>
      </w:r>
      <w:r w:rsidR="00717C39" w:rsidRPr="0001596F">
        <w:rPr>
          <w:lang w:val="en-GB"/>
        </w:rPr>
        <w:t xml:space="preserve"> The agreement on which a contract is based may be actual or apparent. It is actual when there is a true meeting of the minds of the parties on all material aspects of the contract. The parties have the same intention concerning the subject-matter, namely the performance or non-performance in question, and this intention is expressed or communicated by each to the other. It is apparent when, despite the lack of subjective consensus between the parties, there is an objective appearance of agreement (or a reasonable belief in the existence of consensus) which the law will uphold as a binding contract.</w:t>
      </w:r>
      <w:r w:rsidR="00717C39">
        <w:rPr>
          <w:rStyle w:val="FootnoteReference"/>
          <w:lang w:val="en-GB"/>
        </w:rPr>
        <w:footnoteReference w:id="11"/>
      </w:r>
      <w:r w:rsidR="00717C39" w:rsidRPr="0001596F">
        <w:rPr>
          <w:lang w:val="en-GB"/>
        </w:rPr>
        <w:t xml:space="preserve"> </w:t>
      </w:r>
    </w:p>
    <w:p w14:paraId="76B78EDD" w14:textId="77777777" w:rsidR="00A52E23" w:rsidRDefault="00A52E23" w:rsidP="00A52E23">
      <w:pPr>
        <w:pStyle w:val="ListParagraph"/>
        <w:autoSpaceDE w:val="0"/>
        <w:autoSpaceDN w:val="0"/>
        <w:adjustRightInd w:val="0"/>
        <w:ind w:left="0"/>
        <w:jc w:val="both"/>
        <w:rPr>
          <w:lang w:val="en-GB"/>
        </w:rPr>
      </w:pPr>
    </w:p>
    <w:p w14:paraId="24E889BD" w14:textId="3B0F1C65" w:rsidR="00717C39" w:rsidRPr="0001596F" w:rsidRDefault="0001596F" w:rsidP="0001596F">
      <w:pPr>
        <w:autoSpaceDE w:val="0"/>
        <w:autoSpaceDN w:val="0"/>
        <w:adjustRightInd w:val="0"/>
        <w:jc w:val="both"/>
        <w:rPr>
          <w:lang w:val="en-GB"/>
        </w:rPr>
      </w:pPr>
      <w:r w:rsidRPr="00A52E23">
        <w:rPr>
          <w:lang w:val="en-GB"/>
        </w:rPr>
        <w:t>[26]</w:t>
      </w:r>
      <w:r w:rsidRPr="00A52E23">
        <w:rPr>
          <w:lang w:val="en-GB"/>
        </w:rPr>
        <w:tab/>
      </w:r>
      <w:r w:rsidR="00717C39" w:rsidRPr="0001596F">
        <w:rPr>
          <w:lang w:val="en-GB"/>
        </w:rPr>
        <w:t>To form an agreement it is necessary, firstly, that each party knows what the other intends to do in the way of performance and, secondly, that each assents to the other’s intention. For an offer to be capable of being turned into a contract by acceptance, it is necessary that the offer must contain definite terms of performance and that it must be made with the intention of being accepted by some other person.</w:t>
      </w:r>
      <w:r w:rsidR="00717C39">
        <w:rPr>
          <w:rStyle w:val="FootnoteReference"/>
          <w:lang w:val="en-GB"/>
        </w:rPr>
        <w:footnoteReference w:id="12"/>
      </w:r>
      <w:r w:rsidR="00717C39" w:rsidRPr="0001596F">
        <w:rPr>
          <w:lang w:val="en-GB"/>
        </w:rPr>
        <w:t xml:space="preserve"> Acceptance of an offer is an assent by the person to whom the offer is made to be </w:t>
      </w:r>
      <w:r w:rsidR="00717C39" w:rsidRPr="0001596F">
        <w:rPr>
          <w:lang w:val="en-GB"/>
        </w:rPr>
        <w:lastRenderedPageBreak/>
        <w:t>bound by the terms contained in the offer.</w:t>
      </w:r>
      <w:r w:rsidR="00717C39">
        <w:rPr>
          <w:rStyle w:val="FootnoteReference"/>
          <w:lang w:val="en-GB"/>
        </w:rPr>
        <w:footnoteReference w:id="13"/>
      </w:r>
      <w:r w:rsidR="00717C39" w:rsidRPr="0001596F">
        <w:rPr>
          <w:lang w:val="en-GB"/>
        </w:rPr>
        <w:t xml:space="preserve"> In order for the acceptance to constitute a contract it is necessary that the acceptance be definite and unconditional, and also that the acceptor be a person to whom the offer was intended to be made.</w:t>
      </w:r>
      <w:r w:rsidR="00717C39">
        <w:rPr>
          <w:rStyle w:val="FootnoteReference"/>
          <w:lang w:val="en-GB"/>
        </w:rPr>
        <w:footnoteReference w:id="14"/>
      </w:r>
      <w:r w:rsidR="00717C39" w:rsidRPr="0001596F">
        <w:rPr>
          <w:lang w:val="en-GB"/>
        </w:rPr>
        <w:t xml:space="preserve"> An acceptance by some other person does not constitute a contract.</w:t>
      </w:r>
      <w:r w:rsidR="00717C39">
        <w:rPr>
          <w:rStyle w:val="FootnoteReference"/>
          <w:lang w:val="en-GB"/>
        </w:rPr>
        <w:footnoteReference w:id="15"/>
      </w:r>
    </w:p>
    <w:p w14:paraId="07F8D3D5" w14:textId="77777777" w:rsidR="00717C39" w:rsidRDefault="00717C39" w:rsidP="00717C39">
      <w:pPr>
        <w:pStyle w:val="ListParagraph"/>
        <w:autoSpaceDE w:val="0"/>
        <w:autoSpaceDN w:val="0"/>
        <w:adjustRightInd w:val="0"/>
        <w:ind w:left="0"/>
        <w:jc w:val="both"/>
        <w:rPr>
          <w:lang w:val="en-GB"/>
        </w:rPr>
      </w:pPr>
    </w:p>
    <w:p w14:paraId="6FE34062" w14:textId="3471C7A7" w:rsidR="00717C39" w:rsidRPr="0001596F" w:rsidRDefault="0001596F" w:rsidP="0001596F">
      <w:pPr>
        <w:autoSpaceDE w:val="0"/>
        <w:autoSpaceDN w:val="0"/>
        <w:adjustRightInd w:val="0"/>
        <w:jc w:val="both"/>
        <w:rPr>
          <w:lang w:val="en-GB"/>
        </w:rPr>
      </w:pPr>
      <w:r w:rsidRPr="00E65F12">
        <w:rPr>
          <w:lang w:val="en-GB"/>
        </w:rPr>
        <w:t>[27]</w:t>
      </w:r>
      <w:r w:rsidRPr="00E65F12">
        <w:rPr>
          <w:lang w:val="en-GB"/>
        </w:rPr>
        <w:tab/>
      </w:r>
      <w:r w:rsidR="00717C39" w:rsidRPr="0001596F">
        <w:rPr>
          <w:lang w:val="en-GB"/>
        </w:rPr>
        <w:t xml:space="preserve">In </w:t>
      </w:r>
      <w:r w:rsidR="00717C39" w:rsidRPr="0001596F">
        <w:rPr>
          <w:i/>
          <w:iCs/>
          <w:lang w:val="en-GB"/>
        </w:rPr>
        <w:t>Bird v Sumerville and Another</w:t>
      </w:r>
      <w:r w:rsidR="00717C39" w:rsidRPr="0001596F">
        <w:rPr>
          <w:lang w:val="en-GB"/>
        </w:rPr>
        <w:t>,</w:t>
      </w:r>
      <w:r w:rsidR="00717C39" w:rsidRPr="0087399A">
        <w:rPr>
          <w:rStyle w:val="FootnoteReference"/>
          <w:lang w:val="en-GB"/>
        </w:rPr>
        <w:footnoteReference w:id="16"/>
      </w:r>
      <w:r w:rsidR="00717C39" w:rsidRPr="0001596F">
        <w:rPr>
          <w:lang w:val="en-GB"/>
        </w:rPr>
        <w:t xml:space="preserve"> for example, the court gave detailed consideration to the intended recipient of an offer, holding that it was impossible to say that the appellant intended to make an offer to two respondents jointly in circumstances where he did not know of the existence of the second respondent. Consideration was given to the expressed intention of the appellant in making the offer (to the first respondent only). As that offer was not accepted by its recipient, the court held that no contract of sale had been concluded.</w:t>
      </w:r>
      <w:r w:rsidR="00717C39">
        <w:rPr>
          <w:rStyle w:val="FootnoteReference"/>
          <w:lang w:val="en-GB"/>
        </w:rPr>
        <w:footnoteReference w:id="17"/>
      </w:r>
    </w:p>
    <w:p w14:paraId="7C29DDAB" w14:textId="77777777" w:rsidR="00717C39" w:rsidRPr="00D6769A" w:rsidRDefault="00717C39" w:rsidP="00717C39">
      <w:pPr>
        <w:pStyle w:val="ListParagraph"/>
        <w:rPr>
          <w:lang w:val="en-GB"/>
        </w:rPr>
      </w:pPr>
    </w:p>
    <w:p w14:paraId="728DDDF9" w14:textId="7E23771B" w:rsidR="002E397E" w:rsidRPr="0001596F" w:rsidRDefault="0001596F" w:rsidP="0001596F">
      <w:pPr>
        <w:autoSpaceDE w:val="0"/>
        <w:autoSpaceDN w:val="0"/>
        <w:adjustRightInd w:val="0"/>
        <w:jc w:val="both"/>
        <w:rPr>
          <w:sz w:val="22"/>
          <w:szCs w:val="22"/>
          <w:lang w:val="en-GB"/>
        </w:rPr>
      </w:pPr>
      <w:r w:rsidRPr="002E397E">
        <w:rPr>
          <w:sz w:val="22"/>
          <w:szCs w:val="22"/>
          <w:lang w:val="en-GB"/>
        </w:rPr>
        <w:t>[28]</w:t>
      </w:r>
      <w:r w:rsidRPr="002E397E">
        <w:rPr>
          <w:sz w:val="22"/>
          <w:szCs w:val="22"/>
          <w:lang w:val="en-GB"/>
        </w:rPr>
        <w:tab/>
      </w:r>
      <w:r w:rsidR="0001621D" w:rsidRPr="0001596F">
        <w:rPr>
          <w:lang w:val="en-GB"/>
        </w:rPr>
        <w:t xml:space="preserve">The </w:t>
      </w:r>
      <w:r w:rsidR="0053706D" w:rsidRPr="0001596F">
        <w:rPr>
          <w:lang w:val="en-GB"/>
        </w:rPr>
        <w:t>evidence establishes</w:t>
      </w:r>
      <w:r w:rsidR="008D1652" w:rsidRPr="0001596F">
        <w:rPr>
          <w:lang w:val="en-GB"/>
        </w:rPr>
        <w:t xml:space="preserve"> that</w:t>
      </w:r>
      <w:r w:rsidR="0001621D" w:rsidRPr="0001596F">
        <w:rPr>
          <w:lang w:val="en-GB"/>
        </w:rPr>
        <w:t xml:space="preserve"> the Trust, via Mr Hancke (junior)</w:t>
      </w:r>
      <w:r w:rsidR="0014228C" w:rsidRPr="0001596F">
        <w:rPr>
          <w:lang w:val="en-GB"/>
        </w:rPr>
        <w:t>,</w:t>
      </w:r>
      <w:r w:rsidR="0001621D" w:rsidRPr="0001596F">
        <w:rPr>
          <w:lang w:val="en-GB"/>
        </w:rPr>
        <w:t xml:space="preserve"> offered to supply material and machinery to QMC in return for payment. The Trust’s intention, also considering its communication with QMC, was that Coega would accept the offer and assume responsibility for payment. In fact, the offer was communicated to Petersen, who communicated </w:t>
      </w:r>
      <w:r w:rsidR="004256B2" w:rsidRPr="0001596F">
        <w:rPr>
          <w:lang w:val="en-GB"/>
        </w:rPr>
        <w:t>his agreement</w:t>
      </w:r>
      <w:r w:rsidR="0001621D" w:rsidRPr="0001596F">
        <w:rPr>
          <w:lang w:val="en-GB"/>
        </w:rPr>
        <w:t xml:space="preserve">. </w:t>
      </w:r>
      <w:r w:rsidR="00AA6880" w:rsidRPr="0001596F">
        <w:rPr>
          <w:sz w:val="22"/>
          <w:szCs w:val="22"/>
          <w:lang w:val="en-GB"/>
        </w:rPr>
        <w:t xml:space="preserve">The arrangement was concluded </w:t>
      </w:r>
      <w:r w:rsidR="00B613B4" w:rsidRPr="0001596F">
        <w:rPr>
          <w:lang w:val="en-GB"/>
        </w:rPr>
        <w:t xml:space="preserve">orally, by way of a brief telephone call. A second telephone call, seemingly equally brief, related </w:t>
      </w:r>
      <w:r w:rsidR="006B7AA2" w:rsidRPr="0001596F">
        <w:rPr>
          <w:lang w:val="en-GB"/>
        </w:rPr>
        <w:t xml:space="preserve">mainly </w:t>
      </w:r>
      <w:r w:rsidR="00B613B4" w:rsidRPr="0001596F">
        <w:rPr>
          <w:lang w:val="en-GB"/>
        </w:rPr>
        <w:t>to the invoicing process and clarified the relationship between Petersen’s principal and QMC.</w:t>
      </w:r>
      <w:r w:rsidR="007F74C8" w:rsidRPr="0001596F">
        <w:rPr>
          <w:lang w:val="en-GB"/>
        </w:rPr>
        <w:t xml:space="preserve"> </w:t>
      </w:r>
    </w:p>
    <w:p w14:paraId="47899829" w14:textId="77777777" w:rsidR="002E397E" w:rsidRPr="002E397E" w:rsidRDefault="002E397E" w:rsidP="002E397E">
      <w:pPr>
        <w:pStyle w:val="ListParagraph"/>
        <w:rPr>
          <w:lang w:val="en-GB"/>
        </w:rPr>
      </w:pPr>
    </w:p>
    <w:p w14:paraId="089880D6" w14:textId="2B4F53F7" w:rsidR="00717AD5" w:rsidRPr="0001596F" w:rsidRDefault="0001596F" w:rsidP="0001596F">
      <w:pPr>
        <w:autoSpaceDE w:val="0"/>
        <w:autoSpaceDN w:val="0"/>
        <w:adjustRightInd w:val="0"/>
        <w:jc w:val="both"/>
        <w:rPr>
          <w:sz w:val="22"/>
          <w:szCs w:val="22"/>
          <w:lang w:val="en-GB"/>
        </w:rPr>
      </w:pPr>
      <w:r w:rsidRPr="002E397E">
        <w:rPr>
          <w:sz w:val="22"/>
          <w:szCs w:val="22"/>
          <w:lang w:val="en-GB"/>
        </w:rPr>
        <w:t>[29]</w:t>
      </w:r>
      <w:r w:rsidRPr="002E397E">
        <w:rPr>
          <w:sz w:val="22"/>
          <w:szCs w:val="22"/>
          <w:lang w:val="en-GB"/>
        </w:rPr>
        <w:tab/>
      </w:r>
      <w:r w:rsidR="007F74C8" w:rsidRPr="0001596F">
        <w:rPr>
          <w:lang w:val="en-GB"/>
        </w:rPr>
        <w:t>Petersen was a Coega employee</w:t>
      </w:r>
      <w:r w:rsidR="003948B9" w:rsidRPr="0001596F">
        <w:rPr>
          <w:lang w:val="en-GB"/>
        </w:rPr>
        <w:t xml:space="preserve">, </w:t>
      </w:r>
      <w:r w:rsidR="007E04A2" w:rsidRPr="0001596F">
        <w:rPr>
          <w:lang w:val="en-GB"/>
        </w:rPr>
        <w:t xml:space="preserve">performing </w:t>
      </w:r>
      <w:r w:rsidR="00ED6652" w:rsidRPr="0001596F">
        <w:rPr>
          <w:lang w:val="en-GB"/>
        </w:rPr>
        <w:t xml:space="preserve">key </w:t>
      </w:r>
      <w:r w:rsidR="007E04A2" w:rsidRPr="0001596F">
        <w:rPr>
          <w:lang w:val="en-GB"/>
        </w:rPr>
        <w:t>functions for</w:t>
      </w:r>
      <w:r w:rsidR="003948B9" w:rsidRPr="0001596F">
        <w:rPr>
          <w:lang w:val="en-GB"/>
        </w:rPr>
        <w:t xml:space="preserve"> SBFS</w:t>
      </w:r>
      <w:r w:rsidR="00C44236" w:rsidRPr="0001596F">
        <w:rPr>
          <w:lang w:val="en-GB"/>
        </w:rPr>
        <w:t>.</w:t>
      </w:r>
      <w:r w:rsidR="000A6630" w:rsidRPr="0001596F">
        <w:rPr>
          <w:lang w:val="en-GB"/>
        </w:rPr>
        <w:t xml:space="preserve"> </w:t>
      </w:r>
      <w:r w:rsidR="0027260B" w:rsidRPr="0001596F">
        <w:rPr>
          <w:lang w:val="en-GB"/>
        </w:rPr>
        <w:t>His e-mail address reflected that reality</w:t>
      </w:r>
      <w:r w:rsidR="008A309F" w:rsidRPr="0001596F">
        <w:rPr>
          <w:lang w:val="en-GB"/>
        </w:rPr>
        <w:t xml:space="preserve"> and the overall project was a Coega project</w:t>
      </w:r>
      <w:r w:rsidR="000E2425" w:rsidRPr="0001596F">
        <w:rPr>
          <w:lang w:val="en-GB"/>
        </w:rPr>
        <w:t xml:space="preserve">. </w:t>
      </w:r>
      <w:r w:rsidR="009F314D" w:rsidRPr="0001596F">
        <w:rPr>
          <w:lang w:val="en-GB"/>
        </w:rPr>
        <w:t>He appeared to suggest, during cross-examination, that it was incumbent on QMC to have clarified its relationship with SBFS to the Trust</w:t>
      </w:r>
      <w:r w:rsidR="002565A1" w:rsidRPr="0001596F">
        <w:rPr>
          <w:lang w:val="en-GB"/>
        </w:rPr>
        <w:t xml:space="preserve">. </w:t>
      </w:r>
      <w:r w:rsidR="009F314D" w:rsidRPr="0001596F">
        <w:rPr>
          <w:lang w:val="en-GB"/>
        </w:rPr>
        <w:t xml:space="preserve">There is </w:t>
      </w:r>
      <w:r w:rsidR="00980EC5" w:rsidRPr="0001596F">
        <w:rPr>
          <w:lang w:val="en-GB"/>
        </w:rPr>
        <w:t xml:space="preserve">simply </w:t>
      </w:r>
      <w:r w:rsidR="009F314D" w:rsidRPr="0001596F">
        <w:rPr>
          <w:lang w:val="en-GB"/>
        </w:rPr>
        <w:t xml:space="preserve">no evidence that it did so or that the Trust had any inkling that Petersen represented an entity other than his </w:t>
      </w:r>
      <w:r w:rsidR="009F314D" w:rsidRPr="0001596F">
        <w:rPr>
          <w:lang w:val="en-GB"/>
        </w:rPr>
        <w:lastRenderedPageBreak/>
        <w:t>employer in his dealings with it.</w:t>
      </w:r>
      <w:r w:rsidR="008A309F" w:rsidRPr="0001596F">
        <w:rPr>
          <w:lang w:val="en-GB"/>
        </w:rPr>
        <w:t xml:space="preserve"> </w:t>
      </w:r>
      <w:r w:rsidR="00111FAF" w:rsidRPr="0001596F">
        <w:rPr>
          <w:lang w:val="en-GB"/>
        </w:rPr>
        <w:t xml:space="preserve">Petersen had no difficulty in accepting that, absent such communication, any outside person would have been unaware of the specifics of an internal financing arrangement involving SBFS. </w:t>
      </w:r>
      <w:r w:rsidR="001016E1" w:rsidRPr="0001596F">
        <w:rPr>
          <w:lang w:val="en-GB"/>
        </w:rPr>
        <w:t xml:space="preserve">Hancke’s evidence, which </w:t>
      </w:r>
      <w:r w:rsidR="005B53C5" w:rsidRPr="0001596F">
        <w:rPr>
          <w:lang w:val="en-GB"/>
        </w:rPr>
        <w:t>must be accepted</w:t>
      </w:r>
      <w:r w:rsidR="001016E1" w:rsidRPr="0001596F">
        <w:rPr>
          <w:lang w:val="en-GB"/>
        </w:rPr>
        <w:t>, was that his dealings were with Petersen for payment and that, in that respect, he knew of no other entity other than Coega.</w:t>
      </w:r>
      <w:r w:rsidR="00122867" w:rsidRPr="0001596F">
        <w:rPr>
          <w:lang w:val="en-GB"/>
        </w:rPr>
        <w:t xml:space="preserve"> </w:t>
      </w:r>
    </w:p>
    <w:p w14:paraId="1BEF4AD7" w14:textId="77777777" w:rsidR="00986FFF" w:rsidRPr="000E5B8D" w:rsidRDefault="00986FFF" w:rsidP="000E5B8D">
      <w:pPr>
        <w:rPr>
          <w:lang w:val="en-GB"/>
        </w:rPr>
      </w:pPr>
    </w:p>
    <w:p w14:paraId="74F735B4" w14:textId="18141A1D" w:rsidR="00C84646" w:rsidRPr="0001596F" w:rsidRDefault="0001596F" w:rsidP="0001596F">
      <w:pPr>
        <w:autoSpaceDE w:val="0"/>
        <w:autoSpaceDN w:val="0"/>
        <w:adjustRightInd w:val="0"/>
        <w:jc w:val="both"/>
        <w:rPr>
          <w:lang w:val="en-GB"/>
        </w:rPr>
      </w:pPr>
      <w:r>
        <w:rPr>
          <w:lang w:val="en-GB"/>
        </w:rPr>
        <w:t>[30]</w:t>
      </w:r>
      <w:r>
        <w:rPr>
          <w:lang w:val="en-GB"/>
        </w:rPr>
        <w:tab/>
      </w:r>
      <w:r w:rsidR="0078474D" w:rsidRPr="0001596F">
        <w:rPr>
          <w:lang w:val="en-GB"/>
        </w:rPr>
        <w:t>Petersen</w:t>
      </w:r>
      <w:r w:rsidR="00C249A4" w:rsidRPr="0001596F">
        <w:rPr>
          <w:lang w:val="en-GB"/>
        </w:rPr>
        <w:t>, however,</w:t>
      </w:r>
      <w:r w:rsidR="0078474D" w:rsidRPr="0001596F">
        <w:rPr>
          <w:lang w:val="en-GB"/>
        </w:rPr>
        <w:t xml:space="preserve"> had no intention to contract on behalf of Coega</w:t>
      </w:r>
      <w:r w:rsidR="00195FB1" w:rsidRPr="0001596F">
        <w:rPr>
          <w:lang w:val="en-GB"/>
        </w:rPr>
        <w:t>.</w:t>
      </w:r>
      <w:r w:rsidR="00EE4E42" w:rsidRPr="0001596F">
        <w:rPr>
          <w:lang w:val="en-GB"/>
        </w:rPr>
        <w:t xml:space="preserve"> </w:t>
      </w:r>
      <w:r w:rsidR="00C35DC9" w:rsidRPr="0001596F">
        <w:rPr>
          <w:lang w:val="en-GB"/>
        </w:rPr>
        <w:t xml:space="preserve">As the following excerpt indicates, </w:t>
      </w:r>
      <w:r w:rsidR="00D8563E" w:rsidRPr="0001596F">
        <w:rPr>
          <w:lang w:val="en-GB"/>
        </w:rPr>
        <w:t xml:space="preserve">and as this court accepts, </w:t>
      </w:r>
      <w:r w:rsidR="00C35DC9" w:rsidRPr="0001596F">
        <w:rPr>
          <w:lang w:val="en-GB"/>
        </w:rPr>
        <w:t>he</w:t>
      </w:r>
      <w:r w:rsidR="00EE4E42" w:rsidRPr="0001596F">
        <w:rPr>
          <w:lang w:val="en-GB"/>
        </w:rPr>
        <w:t xml:space="preserve"> intended to accept the offer on behalf of SBSF</w:t>
      </w:r>
      <w:r w:rsidR="003D67D3" w:rsidRPr="0001596F">
        <w:rPr>
          <w:lang w:val="en-GB"/>
        </w:rPr>
        <w:t xml:space="preserve">, an entity fulfilling a specific function for Coega: </w:t>
      </w:r>
    </w:p>
    <w:p w14:paraId="43BD8C07" w14:textId="1FA04EE7" w:rsidR="00C84646" w:rsidRPr="001B108B" w:rsidRDefault="00C84646" w:rsidP="001B108B">
      <w:pPr>
        <w:rPr>
          <w:sz w:val="22"/>
          <w:szCs w:val="22"/>
          <w:lang w:val="en-GB"/>
        </w:rPr>
      </w:pPr>
      <w:r w:rsidRPr="001B108B">
        <w:rPr>
          <w:sz w:val="22"/>
          <w:szCs w:val="22"/>
          <w:lang w:val="en-GB"/>
        </w:rPr>
        <w:t xml:space="preserve">‘Is it correct that you represented CDC </w:t>
      </w:r>
      <w:r w:rsidR="00185312">
        <w:rPr>
          <w:sz w:val="22"/>
          <w:szCs w:val="22"/>
          <w:lang w:val="en-GB"/>
        </w:rPr>
        <w:t xml:space="preserve">[Coega] </w:t>
      </w:r>
      <w:r w:rsidRPr="001B108B">
        <w:rPr>
          <w:sz w:val="22"/>
          <w:szCs w:val="22"/>
          <w:lang w:val="en-GB"/>
        </w:rPr>
        <w:t>in an agreement for CDC to pay for a SMME that was contracted by one of its contractors Pro-Khaya?</w:t>
      </w:r>
    </w:p>
    <w:p w14:paraId="59B1C407" w14:textId="5097E54C" w:rsidR="00C84646" w:rsidRPr="00C84646" w:rsidRDefault="00C84646" w:rsidP="001B108B">
      <w:pPr>
        <w:pStyle w:val="ListParagraph"/>
        <w:rPr>
          <w:sz w:val="22"/>
          <w:szCs w:val="22"/>
          <w:lang w:val="en-GB"/>
        </w:rPr>
      </w:pPr>
      <w:r w:rsidRPr="00C84646">
        <w:rPr>
          <w:sz w:val="22"/>
          <w:szCs w:val="22"/>
          <w:lang w:val="en-GB"/>
        </w:rPr>
        <w:t>No, absolutely not.</w:t>
      </w:r>
    </w:p>
    <w:p w14:paraId="13BA386E" w14:textId="77777777" w:rsidR="00C84646" w:rsidRPr="001B108B" w:rsidRDefault="00C84646" w:rsidP="001B108B">
      <w:pPr>
        <w:rPr>
          <w:sz w:val="22"/>
          <w:szCs w:val="22"/>
          <w:lang w:val="en-GB"/>
        </w:rPr>
      </w:pPr>
      <w:r w:rsidRPr="001B108B">
        <w:rPr>
          <w:sz w:val="22"/>
          <w:szCs w:val="22"/>
          <w:lang w:val="en-GB"/>
        </w:rPr>
        <w:t>Did you ever make that statement to the plaintiff?</w:t>
      </w:r>
    </w:p>
    <w:p w14:paraId="6A139F69" w14:textId="5AB3F807" w:rsidR="00C84646" w:rsidRPr="00C84646" w:rsidRDefault="00C84646" w:rsidP="001B108B">
      <w:pPr>
        <w:pStyle w:val="ListParagraph"/>
        <w:rPr>
          <w:sz w:val="22"/>
          <w:szCs w:val="22"/>
          <w:lang w:val="en-GB"/>
        </w:rPr>
      </w:pPr>
      <w:r w:rsidRPr="00C84646">
        <w:rPr>
          <w:sz w:val="22"/>
          <w:szCs w:val="22"/>
          <w:lang w:val="en-GB"/>
        </w:rPr>
        <w:t>No, absolutely not.</w:t>
      </w:r>
    </w:p>
    <w:p w14:paraId="0DD77BFA" w14:textId="77777777" w:rsidR="00C84646" w:rsidRPr="001B108B" w:rsidRDefault="00C84646" w:rsidP="001B108B">
      <w:pPr>
        <w:rPr>
          <w:sz w:val="22"/>
          <w:szCs w:val="22"/>
          <w:lang w:val="en-GB"/>
        </w:rPr>
      </w:pPr>
      <w:r w:rsidRPr="001B108B">
        <w:rPr>
          <w:sz w:val="22"/>
          <w:szCs w:val="22"/>
          <w:lang w:val="en-GB"/>
        </w:rPr>
        <w:t>Why would you not have made such a statement, why would the plaintiff believe otherwise?</w:t>
      </w:r>
    </w:p>
    <w:p w14:paraId="2C46F6FE" w14:textId="3BF77B29" w:rsidR="00995198" w:rsidRPr="003C64BD" w:rsidRDefault="00C84646" w:rsidP="003C64BD">
      <w:pPr>
        <w:pStyle w:val="ListParagraph"/>
        <w:jc w:val="both"/>
        <w:rPr>
          <w:sz w:val="22"/>
          <w:szCs w:val="22"/>
          <w:lang w:val="en-GB"/>
        </w:rPr>
      </w:pPr>
      <w:r w:rsidRPr="001B108B">
        <w:rPr>
          <w:sz w:val="22"/>
          <w:szCs w:val="22"/>
          <w:lang w:val="en-GB"/>
        </w:rPr>
        <w:t>We indicated that we will make payment M’Lord on behalf of the CDC and maybe I must go back to the engagements that we have had with Mr Hancke jnr</w:t>
      </w:r>
      <w:r w:rsidRPr="00C84646">
        <w:rPr>
          <w:i/>
          <w:iCs/>
          <w:sz w:val="22"/>
          <w:szCs w:val="22"/>
          <w:lang w:val="en-GB"/>
        </w:rPr>
        <w:t xml:space="preserve">. </w:t>
      </w:r>
      <w:r w:rsidRPr="00C84646">
        <w:rPr>
          <w:sz w:val="22"/>
          <w:szCs w:val="22"/>
          <w:lang w:val="en-GB"/>
        </w:rPr>
        <w:t>My engagement was in terms of the arrangements was with Mr Hancke jnr. Mr Hancke jnr. contacted me via telephone and part of our services as support services that we provide, is to make payment on behalf of the SMME’s that we fund…So, because the payments are ceded to us Mr Hancke contacted me…So we offer this product to our client and the first and the initial engagement was a brief conversation that we had with Mr Hancke M’Lord and he telephoned me and I confirmed who I am…So I confirmed that we were able to pay upon receipt of payment, because Qingani Ma-Afrika’s payments they were not able to pay themselves. So in that respect we agreed to make payment based on the fact that the progress payments are ceded to us…’</w:t>
      </w:r>
    </w:p>
    <w:p w14:paraId="53242EFA" w14:textId="77777777" w:rsidR="000C4720" w:rsidRDefault="000C4720" w:rsidP="000C4720">
      <w:pPr>
        <w:pStyle w:val="ListParagraph"/>
        <w:autoSpaceDE w:val="0"/>
        <w:autoSpaceDN w:val="0"/>
        <w:adjustRightInd w:val="0"/>
        <w:ind w:left="0"/>
        <w:jc w:val="both"/>
        <w:rPr>
          <w:lang w:val="en-GB"/>
        </w:rPr>
      </w:pPr>
    </w:p>
    <w:p w14:paraId="38CE0860" w14:textId="7AC682EC" w:rsidR="000C4720" w:rsidRPr="0001596F" w:rsidRDefault="0001596F" w:rsidP="0001596F">
      <w:pPr>
        <w:autoSpaceDE w:val="0"/>
        <w:autoSpaceDN w:val="0"/>
        <w:adjustRightInd w:val="0"/>
        <w:jc w:val="both"/>
        <w:rPr>
          <w:lang w:val="en-GB"/>
        </w:rPr>
      </w:pPr>
      <w:r>
        <w:rPr>
          <w:lang w:val="en-GB"/>
        </w:rPr>
        <w:t>[31]</w:t>
      </w:r>
      <w:r>
        <w:rPr>
          <w:lang w:val="en-GB"/>
        </w:rPr>
        <w:tab/>
      </w:r>
      <w:r w:rsidR="00213B08" w:rsidRPr="0001596F">
        <w:rPr>
          <w:lang w:val="en-GB"/>
        </w:rPr>
        <w:t xml:space="preserve">Put differently, </w:t>
      </w:r>
      <w:r w:rsidR="00494103" w:rsidRPr="0001596F">
        <w:rPr>
          <w:lang w:val="en-GB"/>
        </w:rPr>
        <w:t>i</w:t>
      </w:r>
      <w:r w:rsidR="000C4720" w:rsidRPr="0001596F">
        <w:rPr>
          <w:lang w:val="en-GB"/>
        </w:rPr>
        <w:t>t may be accepted that the Trust’s</w:t>
      </w:r>
      <w:r w:rsidR="00494103" w:rsidRPr="0001596F">
        <w:rPr>
          <w:lang w:val="en-GB"/>
        </w:rPr>
        <w:t xml:space="preserve"> </w:t>
      </w:r>
      <w:r w:rsidR="005C6528" w:rsidRPr="0001596F">
        <w:rPr>
          <w:lang w:val="en-GB"/>
        </w:rPr>
        <w:t>initial</w:t>
      </w:r>
      <w:r w:rsidR="000C4720" w:rsidRPr="0001596F">
        <w:rPr>
          <w:lang w:val="en-GB"/>
        </w:rPr>
        <w:t xml:space="preserve"> conversation with Petersen was intended to convey an offer to Coega. Petersen </w:t>
      </w:r>
      <w:r w:rsidR="00C410F4" w:rsidRPr="0001596F">
        <w:rPr>
          <w:lang w:val="en-GB"/>
        </w:rPr>
        <w:t>indicated his agreement</w:t>
      </w:r>
      <w:r w:rsidR="000C4720" w:rsidRPr="0001596F">
        <w:rPr>
          <w:lang w:val="en-GB"/>
        </w:rPr>
        <w:t>, the Trust knowing full well that he did so on behalf of a principal.</w:t>
      </w:r>
      <w:r w:rsidR="000C4720">
        <w:rPr>
          <w:rStyle w:val="FootnoteReference"/>
          <w:lang w:val="en-GB"/>
        </w:rPr>
        <w:footnoteReference w:id="18"/>
      </w:r>
      <w:r w:rsidR="000C4720" w:rsidRPr="0001596F">
        <w:rPr>
          <w:lang w:val="en-GB"/>
        </w:rPr>
        <w:t xml:space="preserve"> The Trust assumed, however, seemingly on the strength of their discussions with QMC, that Petersen was expressing agreement on behalf of Coega.  </w:t>
      </w:r>
      <w:r w:rsidR="0093228D" w:rsidRPr="0001596F">
        <w:rPr>
          <w:lang w:val="en-GB"/>
        </w:rPr>
        <w:t>The</w:t>
      </w:r>
      <w:r w:rsidR="00D52F93" w:rsidRPr="0001596F">
        <w:rPr>
          <w:lang w:val="en-GB"/>
        </w:rPr>
        <w:t xml:space="preserve"> Trust was </w:t>
      </w:r>
      <w:r w:rsidR="0093228D" w:rsidRPr="0001596F">
        <w:rPr>
          <w:lang w:val="en-GB"/>
        </w:rPr>
        <w:t xml:space="preserve">mistaken in doing so. </w:t>
      </w:r>
      <w:r w:rsidR="000C4720" w:rsidRPr="0001596F">
        <w:rPr>
          <w:lang w:val="en-GB"/>
        </w:rPr>
        <w:t xml:space="preserve">In fact, considering the evidence in its entirety, it is apparent that Petersen </w:t>
      </w:r>
      <w:r w:rsidR="000C4720" w:rsidRPr="0001596F">
        <w:rPr>
          <w:lang w:val="en-GB"/>
        </w:rPr>
        <w:lastRenderedPageBreak/>
        <w:t xml:space="preserve">never intended to </w:t>
      </w:r>
      <w:r w:rsidR="006F1758" w:rsidRPr="0001596F">
        <w:rPr>
          <w:lang w:val="en-GB"/>
        </w:rPr>
        <w:t>contract on behalf of Coega</w:t>
      </w:r>
      <w:r w:rsidR="000C4720" w:rsidRPr="0001596F">
        <w:rPr>
          <w:lang w:val="en-GB"/>
        </w:rPr>
        <w:t xml:space="preserve"> and</w:t>
      </w:r>
      <w:r w:rsidR="009A27BA" w:rsidRPr="0001596F">
        <w:rPr>
          <w:lang w:val="en-GB"/>
        </w:rPr>
        <w:t>,</w:t>
      </w:r>
      <w:r w:rsidR="000C4720" w:rsidRPr="0001596F">
        <w:rPr>
          <w:lang w:val="en-GB"/>
        </w:rPr>
        <w:t xml:space="preserve"> judging by the evidence of the external manifestations, the Trust was not truly in agreement with Coega. </w:t>
      </w:r>
      <w:r w:rsidR="00D63981" w:rsidRPr="0001596F">
        <w:rPr>
          <w:lang w:val="en-GB"/>
        </w:rPr>
        <w:t xml:space="preserve">The ‘us’ and the ‘we’ in the quotation, above, are clearly references to the SBSF, as cessionary to QMC’s progress payments. </w:t>
      </w:r>
      <w:r w:rsidR="000C4720" w:rsidRPr="0001596F">
        <w:rPr>
          <w:lang w:val="en-GB"/>
        </w:rPr>
        <w:t xml:space="preserve">This is, in effect, Coega’s plea. </w:t>
      </w:r>
    </w:p>
    <w:p w14:paraId="50A19666" w14:textId="77777777" w:rsidR="00EA63E8" w:rsidRPr="003555FB" w:rsidRDefault="00EA63E8" w:rsidP="00EA63E8">
      <w:pPr>
        <w:pStyle w:val="ListParagraph"/>
        <w:autoSpaceDE w:val="0"/>
        <w:autoSpaceDN w:val="0"/>
        <w:adjustRightInd w:val="0"/>
        <w:ind w:left="0"/>
        <w:jc w:val="both"/>
        <w:rPr>
          <w:lang w:val="en-GB"/>
        </w:rPr>
      </w:pPr>
    </w:p>
    <w:p w14:paraId="20EBC244" w14:textId="78AF241E" w:rsidR="002E46A0" w:rsidRPr="0001596F" w:rsidRDefault="0001596F" w:rsidP="0001596F">
      <w:pPr>
        <w:autoSpaceDE w:val="0"/>
        <w:autoSpaceDN w:val="0"/>
        <w:adjustRightInd w:val="0"/>
        <w:jc w:val="both"/>
        <w:rPr>
          <w:lang w:val="en-GB"/>
        </w:rPr>
      </w:pPr>
      <w:r>
        <w:rPr>
          <w:lang w:val="en-GB"/>
        </w:rPr>
        <w:t>[32]</w:t>
      </w:r>
      <w:r>
        <w:rPr>
          <w:lang w:val="en-GB"/>
        </w:rPr>
        <w:tab/>
      </w:r>
      <w:r w:rsidR="007322EF" w:rsidRPr="0001596F">
        <w:rPr>
          <w:lang w:val="en-GB"/>
        </w:rPr>
        <w:t>T</w:t>
      </w:r>
      <w:r w:rsidR="002E46A0" w:rsidRPr="0001596F">
        <w:rPr>
          <w:lang w:val="en-GB"/>
        </w:rPr>
        <w:t>he fact that somebody has authority to contract on behalf of a principal does not mean that every time such person concludes a contract they do so as the principal’s agent:</w:t>
      </w:r>
      <w:r w:rsidR="00AD0BA7">
        <w:rPr>
          <w:rStyle w:val="FootnoteReference"/>
          <w:lang w:val="en-GB"/>
        </w:rPr>
        <w:footnoteReference w:id="19"/>
      </w:r>
    </w:p>
    <w:p w14:paraId="5463132B" w14:textId="77E32FD6" w:rsidR="006B78AB" w:rsidRPr="006B78AB" w:rsidRDefault="003F04A3" w:rsidP="006B78AB">
      <w:pPr>
        <w:pStyle w:val="ListParagraph"/>
        <w:autoSpaceDE w:val="0"/>
        <w:autoSpaceDN w:val="0"/>
        <w:adjustRightInd w:val="0"/>
        <w:ind w:left="0"/>
        <w:jc w:val="both"/>
        <w:rPr>
          <w:sz w:val="22"/>
          <w:szCs w:val="22"/>
          <w:lang w:val="en-GB"/>
        </w:rPr>
      </w:pPr>
      <w:r>
        <w:rPr>
          <w:sz w:val="22"/>
          <w:szCs w:val="22"/>
          <w:lang w:val="en-GB"/>
        </w:rPr>
        <w:t>‘The mere fact that he had the authority to bind his principal cannot without more be proof of the fact that he did in fact act as agent for him</w:t>
      </w:r>
      <w:r w:rsidR="00AF2895">
        <w:rPr>
          <w:sz w:val="22"/>
          <w:szCs w:val="22"/>
          <w:lang w:val="en-GB"/>
        </w:rPr>
        <w:t xml:space="preserve"> … the question whether he acted as agent or not in a particular case must be established from other circumstances.’</w:t>
      </w:r>
    </w:p>
    <w:p w14:paraId="13E1CF6D" w14:textId="77777777" w:rsidR="006B78AB" w:rsidRDefault="006B78AB" w:rsidP="006B78AB">
      <w:pPr>
        <w:pStyle w:val="ListParagraph"/>
        <w:autoSpaceDE w:val="0"/>
        <w:autoSpaceDN w:val="0"/>
        <w:adjustRightInd w:val="0"/>
        <w:ind w:left="0"/>
        <w:jc w:val="both"/>
        <w:rPr>
          <w:lang w:val="en-GB"/>
        </w:rPr>
      </w:pPr>
    </w:p>
    <w:p w14:paraId="2C31079A" w14:textId="0758639C" w:rsidR="003555FB" w:rsidRPr="0001596F" w:rsidRDefault="0001596F" w:rsidP="0001596F">
      <w:pPr>
        <w:autoSpaceDE w:val="0"/>
        <w:autoSpaceDN w:val="0"/>
        <w:adjustRightInd w:val="0"/>
        <w:jc w:val="both"/>
        <w:rPr>
          <w:lang w:val="en-GB"/>
        </w:rPr>
      </w:pPr>
      <w:r>
        <w:rPr>
          <w:lang w:val="en-GB"/>
        </w:rPr>
        <w:t>[33]</w:t>
      </w:r>
      <w:r>
        <w:rPr>
          <w:lang w:val="en-GB"/>
        </w:rPr>
        <w:tab/>
      </w:r>
      <w:r w:rsidR="003555FB" w:rsidRPr="0001596F">
        <w:rPr>
          <w:lang w:val="en-GB"/>
        </w:rPr>
        <w:t xml:space="preserve">Even though it is accepted for present purposes that Petersen had the authority to bind Coega, he did not accept the offer </w:t>
      </w:r>
      <w:r w:rsidR="00E23367" w:rsidRPr="0001596F">
        <w:rPr>
          <w:lang w:val="en-GB"/>
        </w:rPr>
        <w:t xml:space="preserve">and contract </w:t>
      </w:r>
      <w:r w:rsidR="003555FB" w:rsidRPr="0001596F">
        <w:rPr>
          <w:lang w:val="en-GB"/>
        </w:rPr>
        <w:t>on its behalf, even though the Trust might have understood that he had done so.</w:t>
      </w:r>
      <w:r w:rsidR="003555FB">
        <w:rPr>
          <w:rStyle w:val="FootnoteReference"/>
          <w:lang w:val="en-GB"/>
        </w:rPr>
        <w:footnoteReference w:id="20"/>
      </w:r>
      <w:r w:rsidR="003555FB" w:rsidRPr="0001596F">
        <w:rPr>
          <w:lang w:val="en-GB"/>
        </w:rPr>
        <w:t xml:space="preserve"> </w:t>
      </w:r>
      <w:r w:rsidR="00B667B0" w:rsidRPr="0001596F">
        <w:rPr>
          <w:i/>
          <w:iCs/>
          <w:lang w:val="en-GB"/>
        </w:rPr>
        <w:t>Mr Ronaasen</w:t>
      </w:r>
      <w:r w:rsidR="00B667B0" w:rsidRPr="0001596F">
        <w:rPr>
          <w:lang w:val="en-GB"/>
        </w:rPr>
        <w:t xml:space="preserve"> relied on </w:t>
      </w:r>
      <w:r w:rsidR="00B667B0" w:rsidRPr="0001596F">
        <w:rPr>
          <w:i/>
          <w:iCs/>
          <w:lang w:val="en-GB"/>
        </w:rPr>
        <w:t>Stellenbosch Farmers’ Winery Group Ltd and Another v Martell &amp; Cie SA and Others</w:t>
      </w:r>
      <w:r w:rsidR="00692B01" w:rsidRPr="0001596F">
        <w:rPr>
          <w:i/>
          <w:iCs/>
          <w:lang w:val="en-GB"/>
        </w:rPr>
        <w:t xml:space="preserve"> </w:t>
      </w:r>
      <w:r w:rsidR="00692B01" w:rsidRPr="0001596F">
        <w:rPr>
          <w:lang w:val="en-GB"/>
        </w:rPr>
        <w:t>(</w:t>
      </w:r>
      <w:r w:rsidR="00692B01" w:rsidRPr="0001596F">
        <w:rPr>
          <w:i/>
          <w:iCs/>
          <w:lang w:val="en-GB"/>
        </w:rPr>
        <w:t>SFW</w:t>
      </w:r>
      <w:r w:rsidR="00692B01" w:rsidRPr="0001596F">
        <w:rPr>
          <w:lang w:val="en-GB"/>
        </w:rPr>
        <w:t>)</w:t>
      </w:r>
      <w:r w:rsidR="00B667B0" w:rsidRPr="00B667B0">
        <w:rPr>
          <w:rStyle w:val="FootnoteReference"/>
          <w:lang w:val="en-GB"/>
        </w:rPr>
        <w:footnoteReference w:id="21"/>
      </w:r>
      <w:r w:rsidR="00B667B0" w:rsidRPr="0001596F">
        <w:rPr>
          <w:lang w:val="en-GB"/>
        </w:rPr>
        <w:t xml:space="preserve"> </w:t>
      </w:r>
      <w:r w:rsidR="00F46609" w:rsidRPr="0001596F">
        <w:rPr>
          <w:lang w:val="en-GB"/>
        </w:rPr>
        <w:t xml:space="preserve">to argue that Petersen’s failure </w:t>
      </w:r>
      <w:r w:rsidR="00D10A5B" w:rsidRPr="0001596F">
        <w:rPr>
          <w:lang w:val="en-GB"/>
        </w:rPr>
        <w:t>to respond to the correspondence addressed to him on 24 January 2016 was a strong indicator in support of the Trust’s version. I disagree in the circumstances</w:t>
      </w:r>
      <w:r w:rsidR="00692B01" w:rsidRPr="0001596F">
        <w:rPr>
          <w:lang w:val="en-GB"/>
        </w:rPr>
        <w:t xml:space="preserve">, which I consider to be </w:t>
      </w:r>
      <w:r w:rsidR="008B0573" w:rsidRPr="0001596F">
        <w:rPr>
          <w:lang w:val="en-GB"/>
        </w:rPr>
        <w:t xml:space="preserve">clearly </w:t>
      </w:r>
      <w:r w:rsidR="00692B01" w:rsidRPr="0001596F">
        <w:rPr>
          <w:lang w:val="en-GB"/>
        </w:rPr>
        <w:t xml:space="preserve">distinguishable </w:t>
      </w:r>
      <w:r w:rsidR="00DC3696" w:rsidRPr="0001596F">
        <w:rPr>
          <w:lang w:val="en-GB"/>
        </w:rPr>
        <w:t xml:space="preserve">from </w:t>
      </w:r>
      <w:r w:rsidR="00DC3696" w:rsidRPr="0001596F">
        <w:rPr>
          <w:i/>
          <w:iCs/>
          <w:lang w:val="en-GB"/>
        </w:rPr>
        <w:t>SFW</w:t>
      </w:r>
      <w:r w:rsidR="00D10A5B" w:rsidRPr="0001596F">
        <w:rPr>
          <w:lang w:val="en-GB"/>
        </w:rPr>
        <w:t xml:space="preserve">. </w:t>
      </w:r>
      <w:r w:rsidR="00B564A7" w:rsidRPr="0001596F">
        <w:rPr>
          <w:lang w:val="en-GB"/>
        </w:rPr>
        <w:t xml:space="preserve">The letter was addressed </w:t>
      </w:r>
      <w:r w:rsidR="00CE7072" w:rsidRPr="0001596F">
        <w:rPr>
          <w:lang w:val="en-GB"/>
        </w:rPr>
        <w:t xml:space="preserve">some </w:t>
      </w:r>
      <w:r w:rsidR="008745DD" w:rsidRPr="0001596F">
        <w:rPr>
          <w:lang w:val="en-GB"/>
        </w:rPr>
        <w:t xml:space="preserve">six </w:t>
      </w:r>
      <w:r w:rsidR="00CE7072" w:rsidRPr="0001596F">
        <w:rPr>
          <w:lang w:val="en-GB"/>
        </w:rPr>
        <w:t>months after the alleged contract</w:t>
      </w:r>
      <w:r w:rsidR="008745DD" w:rsidRPr="0001596F">
        <w:rPr>
          <w:lang w:val="en-GB"/>
        </w:rPr>
        <w:t xml:space="preserve">, as part of the process leading to litigation, which Petersen explained was part of the reason for not responding. </w:t>
      </w:r>
      <w:r w:rsidR="00EF39BF" w:rsidRPr="0001596F">
        <w:rPr>
          <w:lang w:val="en-GB"/>
        </w:rPr>
        <w:t>While he may not have taken issue with much of the contents of the letter, h</w:t>
      </w:r>
      <w:r w:rsidR="005C02DF" w:rsidRPr="0001596F">
        <w:rPr>
          <w:lang w:val="en-GB"/>
        </w:rPr>
        <w:t xml:space="preserve">e did not intend to </w:t>
      </w:r>
      <w:r w:rsidR="006D23D2" w:rsidRPr="0001596F">
        <w:rPr>
          <w:lang w:val="en-GB"/>
        </w:rPr>
        <w:t>contract on behalf of Coega.</w:t>
      </w:r>
      <w:r w:rsidR="00610E7A">
        <w:rPr>
          <w:rStyle w:val="FootnoteReference"/>
          <w:lang w:val="en-GB"/>
        </w:rPr>
        <w:footnoteReference w:id="22"/>
      </w:r>
      <w:r w:rsidR="006D23D2" w:rsidRPr="0001596F">
        <w:rPr>
          <w:lang w:val="en-GB"/>
        </w:rPr>
        <w:t xml:space="preserve"> </w:t>
      </w:r>
      <w:r w:rsidR="008745DD" w:rsidRPr="0001596F">
        <w:rPr>
          <w:lang w:val="en-GB"/>
        </w:rPr>
        <w:t xml:space="preserve">The letter does not tilt the scale sufficiently. </w:t>
      </w:r>
      <w:r w:rsidR="003555FB" w:rsidRPr="0001596F">
        <w:rPr>
          <w:lang w:val="en-GB"/>
        </w:rPr>
        <w:t>Considering the evidence</w:t>
      </w:r>
      <w:r w:rsidR="009C66CB" w:rsidRPr="0001596F">
        <w:rPr>
          <w:lang w:val="en-GB"/>
        </w:rPr>
        <w:t xml:space="preserve"> before me</w:t>
      </w:r>
      <w:r w:rsidR="003555FB" w:rsidRPr="0001596F">
        <w:rPr>
          <w:lang w:val="en-GB"/>
        </w:rPr>
        <w:t xml:space="preserve">, the Trust has </w:t>
      </w:r>
      <w:r w:rsidR="008708CE" w:rsidRPr="0001596F">
        <w:rPr>
          <w:lang w:val="en-GB"/>
        </w:rPr>
        <w:t xml:space="preserve">ultimately </w:t>
      </w:r>
      <w:r w:rsidR="003555FB" w:rsidRPr="0001596F">
        <w:rPr>
          <w:lang w:val="en-GB"/>
        </w:rPr>
        <w:t xml:space="preserve">failed </w:t>
      </w:r>
      <w:r w:rsidR="003555FB" w:rsidRPr="0001596F">
        <w:rPr>
          <w:lang w:val="en-GB"/>
        </w:rPr>
        <w:lastRenderedPageBreak/>
        <w:t xml:space="preserve">to </w:t>
      </w:r>
      <w:r w:rsidR="00571B79" w:rsidRPr="0001596F">
        <w:rPr>
          <w:lang w:val="en-GB"/>
        </w:rPr>
        <w:t xml:space="preserve">discharge the onus of establishing the necessary </w:t>
      </w:r>
      <w:r w:rsidR="00571B79" w:rsidRPr="0001596F">
        <w:rPr>
          <w:i/>
          <w:iCs/>
          <w:lang w:val="en-GB"/>
        </w:rPr>
        <w:t xml:space="preserve">animus contrahendi </w:t>
      </w:r>
      <w:r w:rsidR="00571B79" w:rsidRPr="0001596F">
        <w:rPr>
          <w:lang w:val="en-GB"/>
        </w:rPr>
        <w:t xml:space="preserve">and </w:t>
      </w:r>
      <w:r w:rsidR="003555FB" w:rsidRPr="0001596F">
        <w:rPr>
          <w:lang w:val="en-GB"/>
        </w:rPr>
        <w:t>prov</w:t>
      </w:r>
      <w:r w:rsidR="00571B79" w:rsidRPr="0001596F">
        <w:rPr>
          <w:lang w:val="en-GB"/>
        </w:rPr>
        <w:t>ing</w:t>
      </w:r>
      <w:r w:rsidR="003555FB" w:rsidRPr="0001596F">
        <w:rPr>
          <w:lang w:val="en-GB"/>
        </w:rPr>
        <w:t xml:space="preserve"> a contract with Coega</w:t>
      </w:r>
      <w:r w:rsidR="00E63CC0" w:rsidRPr="0001596F">
        <w:rPr>
          <w:lang w:val="en-GB"/>
        </w:rPr>
        <w:t>, represented by Petersen,</w:t>
      </w:r>
      <w:r w:rsidR="003B71EB" w:rsidRPr="0001596F">
        <w:rPr>
          <w:lang w:val="en-GB"/>
        </w:rPr>
        <w:t xml:space="preserve"> </w:t>
      </w:r>
      <w:r w:rsidR="003555FB" w:rsidRPr="0001596F">
        <w:rPr>
          <w:lang w:val="en-GB"/>
        </w:rPr>
        <w:t>on a balance of probabilities.</w:t>
      </w:r>
      <w:r w:rsidR="003555FB">
        <w:rPr>
          <w:rStyle w:val="FootnoteReference"/>
          <w:lang w:val="en-GB"/>
        </w:rPr>
        <w:footnoteReference w:id="23"/>
      </w:r>
      <w:r w:rsidR="003555FB" w:rsidRPr="0001596F">
        <w:rPr>
          <w:lang w:val="en-GB"/>
        </w:rPr>
        <w:t xml:space="preserve"> </w:t>
      </w:r>
    </w:p>
    <w:p w14:paraId="5E551F37" w14:textId="029B60AB" w:rsidR="00B97490" w:rsidRDefault="00B97490" w:rsidP="00B97490">
      <w:pPr>
        <w:pStyle w:val="ListParagraph"/>
        <w:autoSpaceDE w:val="0"/>
        <w:autoSpaceDN w:val="0"/>
        <w:adjustRightInd w:val="0"/>
        <w:ind w:left="0"/>
        <w:jc w:val="both"/>
        <w:rPr>
          <w:lang w:val="en-GB"/>
        </w:rPr>
      </w:pPr>
    </w:p>
    <w:p w14:paraId="1DD831E0" w14:textId="3C1DD04E" w:rsidR="00B97490" w:rsidRDefault="00B97490" w:rsidP="00B97490">
      <w:pPr>
        <w:pStyle w:val="ListParagraph"/>
        <w:autoSpaceDE w:val="0"/>
        <w:autoSpaceDN w:val="0"/>
        <w:adjustRightInd w:val="0"/>
        <w:ind w:left="0"/>
        <w:jc w:val="both"/>
        <w:rPr>
          <w:b/>
          <w:bCs/>
          <w:lang w:val="en-GB"/>
        </w:rPr>
      </w:pPr>
      <w:r>
        <w:rPr>
          <w:b/>
          <w:bCs/>
          <w:lang w:val="en-GB"/>
        </w:rPr>
        <w:t>Costs</w:t>
      </w:r>
    </w:p>
    <w:p w14:paraId="66525300" w14:textId="77777777" w:rsidR="00B97490" w:rsidRPr="00B97490" w:rsidRDefault="00B97490" w:rsidP="00B97490">
      <w:pPr>
        <w:pStyle w:val="ListParagraph"/>
        <w:autoSpaceDE w:val="0"/>
        <w:autoSpaceDN w:val="0"/>
        <w:adjustRightInd w:val="0"/>
        <w:ind w:left="0"/>
        <w:jc w:val="both"/>
        <w:rPr>
          <w:b/>
          <w:bCs/>
          <w:lang w:val="en-GB"/>
        </w:rPr>
      </w:pPr>
    </w:p>
    <w:p w14:paraId="3C1F1FBC" w14:textId="2319EF06" w:rsidR="00B97490" w:rsidRPr="0001596F" w:rsidRDefault="0001596F" w:rsidP="0001596F">
      <w:pPr>
        <w:autoSpaceDE w:val="0"/>
        <w:autoSpaceDN w:val="0"/>
        <w:adjustRightInd w:val="0"/>
        <w:jc w:val="both"/>
        <w:rPr>
          <w:lang w:val="en-GB"/>
        </w:rPr>
      </w:pPr>
      <w:r>
        <w:rPr>
          <w:lang w:val="en-GB"/>
        </w:rPr>
        <w:t>[34]</w:t>
      </w:r>
      <w:r>
        <w:rPr>
          <w:lang w:val="en-GB"/>
        </w:rPr>
        <w:tab/>
      </w:r>
      <w:r w:rsidR="001342D7" w:rsidRPr="0001596F">
        <w:rPr>
          <w:lang w:val="en-GB"/>
        </w:rPr>
        <w:t xml:space="preserve">I have considered </w:t>
      </w:r>
      <w:r w:rsidR="001342D7" w:rsidRPr="0001596F">
        <w:rPr>
          <w:i/>
          <w:iCs/>
          <w:lang w:val="en-GB"/>
        </w:rPr>
        <w:t>Mr Ronaasen’s</w:t>
      </w:r>
      <w:r w:rsidR="001342D7" w:rsidRPr="0001596F">
        <w:rPr>
          <w:lang w:val="en-GB"/>
        </w:rPr>
        <w:t xml:space="preserve"> submissions that Petersen’s conduct in failing to explain to Hancke that he was contracting with SBFS warrants the conclusion that each party be ordered to pay their own costs. </w:t>
      </w:r>
      <w:r w:rsidR="006B3736" w:rsidRPr="0001596F">
        <w:rPr>
          <w:lang w:val="en-GB"/>
        </w:rPr>
        <w:t>In deciding to follow the usual approach in respect of costs, I have been influenced by the fact that the defendant’s special pleas and amended plea were filed during October 2020. Those pleas</w:t>
      </w:r>
      <w:r w:rsidR="00025247" w:rsidRPr="0001596F">
        <w:rPr>
          <w:lang w:val="en-GB"/>
        </w:rPr>
        <w:t>, read together,</w:t>
      </w:r>
      <w:r w:rsidR="006B3736" w:rsidRPr="0001596F">
        <w:rPr>
          <w:lang w:val="en-GB"/>
        </w:rPr>
        <w:t xml:space="preserve"> </w:t>
      </w:r>
      <w:r w:rsidR="00025247" w:rsidRPr="0001596F">
        <w:rPr>
          <w:lang w:val="en-GB"/>
        </w:rPr>
        <w:t>ground the defendant’s case in Petersen acting on behalf of SBFS, a separate legal entity from Coega</w:t>
      </w:r>
      <w:r w:rsidR="00B177DD" w:rsidRPr="0001596F">
        <w:rPr>
          <w:lang w:val="en-GB"/>
        </w:rPr>
        <w:t>, and the denial of an oral agreement between the Trust and Coega. The plaintiffs nevertheless persisted in their claim against Coega. They have been unsuccessful and must be ordered to pay the defendant’s costs</w:t>
      </w:r>
      <w:r w:rsidR="00190082" w:rsidRPr="0001596F">
        <w:rPr>
          <w:lang w:val="en-GB"/>
        </w:rPr>
        <w:t>, including the costs of only one counsel, on the usual scale</w:t>
      </w:r>
      <w:r w:rsidR="00B177DD" w:rsidRPr="0001596F">
        <w:rPr>
          <w:lang w:val="en-GB"/>
        </w:rPr>
        <w:t>.</w:t>
      </w:r>
    </w:p>
    <w:p w14:paraId="7AEE1EFC" w14:textId="1C27ABB3" w:rsidR="00B97490" w:rsidRDefault="00B97490" w:rsidP="00B97490">
      <w:pPr>
        <w:pStyle w:val="ListParagraph"/>
        <w:autoSpaceDE w:val="0"/>
        <w:autoSpaceDN w:val="0"/>
        <w:adjustRightInd w:val="0"/>
        <w:ind w:left="0"/>
        <w:jc w:val="both"/>
        <w:rPr>
          <w:lang w:val="en-GB"/>
        </w:rPr>
      </w:pPr>
    </w:p>
    <w:p w14:paraId="38F2B923" w14:textId="213FAA50" w:rsidR="00B97490" w:rsidRDefault="00B97490" w:rsidP="00B97490">
      <w:pPr>
        <w:pStyle w:val="ListParagraph"/>
        <w:autoSpaceDE w:val="0"/>
        <w:autoSpaceDN w:val="0"/>
        <w:adjustRightInd w:val="0"/>
        <w:ind w:left="0"/>
        <w:jc w:val="both"/>
        <w:rPr>
          <w:b/>
          <w:bCs/>
          <w:lang w:val="en-GB"/>
        </w:rPr>
      </w:pPr>
      <w:r>
        <w:rPr>
          <w:b/>
          <w:bCs/>
          <w:lang w:val="en-GB"/>
        </w:rPr>
        <w:t>Order</w:t>
      </w:r>
    </w:p>
    <w:p w14:paraId="227589D8" w14:textId="77777777" w:rsidR="00B97490" w:rsidRPr="00B97490" w:rsidRDefault="00B97490" w:rsidP="00B97490">
      <w:pPr>
        <w:pStyle w:val="ListParagraph"/>
        <w:autoSpaceDE w:val="0"/>
        <w:autoSpaceDN w:val="0"/>
        <w:adjustRightInd w:val="0"/>
        <w:ind w:left="0"/>
        <w:jc w:val="both"/>
        <w:rPr>
          <w:b/>
          <w:bCs/>
          <w:lang w:val="en-GB"/>
        </w:rPr>
      </w:pPr>
    </w:p>
    <w:p w14:paraId="6B0F0564" w14:textId="792BF1EF" w:rsidR="00B97490" w:rsidRPr="0001596F" w:rsidRDefault="0001596F" w:rsidP="0001596F">
      <w:pPr>
        <w:autoSpaceDE w:val="0"/>
        <w:autoSpaceDN w:val="0"/>
        <w:adjustRightInd w:val="0"/>
        <w:jc w:val="both"/>
        <w:rPr>
          <w:lang w:val="en-GB"/>
        </w:rPr>
      </w:pPr>
      <w:r>
        <w:rPr>
          <w:lang w:val="en-GB"/>
        </w:rPr>
        <w:t>[35]</w:t>
      </w:r>
      <w:r>
        <w:rPr>
          <w:lang w:val="en-GB"/>
        </w:rPr>
        <w:tab/>
      </w:r>
      <w:r w:rsidR="00DA7B19" w:rsidRPr="0001596F">
        <w:rPr>
          <w:lang w:val="en-GB"/>
        </w:rPr>
        <w:t>The following order will issue:</w:t>
      </w:r>
    </w:p>
    <w:p w14:paraId="0BFC7C67" w14:textId="703D3795" w:rsidR="00DA7B19" w:rsidRDefault="00DA7B19" w:rsidP="00DA7B19">
      <w:pPr>
        <w:pStyle w:val="ListParagraph"/>
        <w:autoSpaceDE w:val="0"/>
        <w:autoSpaceDN w:val="0"/>
        <w:adjustRightInd w:val="0"/>
        <w:ind w:left="0"/>
        <w:jc w:val="both"/>
        <w:rPr>
          <w:lang w:val="en-GB"/>
        </w:rPr>
      </w:pPr>
    </w:p>
    <w:p w14:paraId="778A49DC" w14:textId="217F6900" w:rsidR="00DA7B19" w:rsidRPr="0001596F" w:rsidRDefault="0001596F" w:rsidP="0001596F">
      <w:pPr>
        <w:autoSpaceDE w:val="0"/>
        <w:autoSpaceDN w:val="0"/>
        <w:adjustRightInd w:val="0"/>
        <w:ind w:left="720" w:hanging="360"/>
        <w:jc w:val="both"/>
        <w:rPr>
          <w:lang w:val="en-GB"/>
        </w:rPr>
      </w:pPr>
      <w:r>
        <w:rPr>
          <w:lang w:val="en-GB"/>
        </w:rPr>
        <w:t>1.</w:t>
      </w:r>
      <w:r>
        <w:rPr>
          <w:lang w:val="en-GB"/>
        </w:rPr>
        <w:tab/>
      </w:r>
      <w:r w:rsidR="00DA7B19" w:rsidRPr="0001596F">
        <w:rPr>
          <w:lang w:val="en-GB"/>
        </w:rPr>
        <w:t>The plaintiffs’ claim is dismissed</w:t>
      </w:r>
      <w:r w:rsidR="006E1BCA" w:rsidRPr="0001596F">
        <w:rPr>
          <w:lang w:val="en-GB"/>
        </w:rPr>
        <w:t xml:space="preserve"> with costs.</w:t>
      </w:r>
    </w:p>
    <w:p w14:paraId="4C376E16" w14:textId="77777777" w:rsidR="00E66A38" w:rsidRDefault="00E66A38" w:rsidP="00E66A38">
      <w:pPr>
        <w:pStyle w:val="ListParagraph"/>
        <w:autoSpaceDE w:val="0"/>
        <w:autoSpaceDN w:val="0"/>
        <w:adjustRightInd w:val="0"/>
        <w:ind w:left="0"/>
        <w:jc w:val="both"/>
        <w:rPr>
          <w:lang w:val="en-GB"/>
        </w:rPr>
      </w:pPr>
    </w:p>
    <w:p w14:paraId="6B587420" w14:textId="77777777" w:rsidR="00FB2930" w:rsidRDefault="00FB2930" w:rsidP="009F4EA0">
      <w:pPr>
        <w:spacing w:line="240" w:lineRule="auto"/>
        <w:jc w:val="right"/>
        <w:rPr>
          <w:lang w:val="en-GB"/>
        </w:rPr>
      </w:pPr>
    </w:p>
    <w:p w14:paraId="1F92DFD9" w14:textId="77777777" w:rsidR="00B97490" w:rsidRDefault="00B97490" w:rsidP="00CA056D">
      <w:pPr>
        <w:jc w:val="both"/>
        <w:rPr>
          <w:lang w:val="en-GB"/>
        </w:rPr>
      </w:pPr>
    </w:p>
    <w:p w14:paraId="363DCE68" w14:textId="798C89E4"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545F0D1E" w:rsidR="008A75F3" w:rsidRDefault="008A75F3" w:rsidP="008A75F3">
      <w:pPr>
        <w:widowControl w:val="0"/>
        <w:jc w:val="center"/>
        <w:rPr>
          <w:spacing w:val="14"/>
          <w:kern w:val="2"/>
          <w:lang w:val="en-GB"/>
        </w:rPr>
      </w:pPr>
    </w:p>
    <w:p w14:paraId="5D8707FF" w14:textId="204AA226" w:rsidR="00AC27AE" w:rsidRDefault="00AC27AE" w:rsidP="008A75F3">
      <w:pPr>
        <w:widowControl w:val="0"/>
        <w:jc w:val="center"/>
        <w:rPr>
          <w:spacing w:val="14"/>
          <w:kern w:val="2"/>
          <w:lang w:val="en-GB"/>
        </w:rPr>
      </w:pPr>
    </w:p>
    <w:p w14:paraId="6A3B3D7B" w14:textId="77777777" w:rsidR="00AC27AE" w:rsidRDefault="00AC27AE" w:rsidP="008A75F3">
      <w:pPr>
        <w:widowControl w:val="0"/>
        <w:jc w:val="center"/>
        <w:rPr>
          <w:spacing w:val="14"/>
          <w:kern w:val="2"/>
          <w:lang w:val="en-GB"/>
        </w:rPr>
      </w:pPr>
    </w:p>
    <w:p w14:paraId="04EEEF0A" w14:textId="5CC549FF" w:rsidR="007A7BBE" w:rsidRPr="00A87D38" w:rsidRDefault="007A7BBE" w:rsidP="00AC27AE">
      <w:pPr>
        <w:widowControl w:val="0"/>
        <w:ind w:left="2160" w:right="656" w:hanging="2160"/>
        <w:rPr>
          <w:spacing w:val="14"/>
          <w:kern w:val="2"/>
          <w:lang w:val="en-GB"/>
        </w:rPr>
      </w:pPr>
      <w:r w:rsidRPr="00A01F7D">
        <w:rPr>
          <w:b/>
          <w:bCs/>
          <w:spacing w:val="14"/>
          <w:kern w:val="2"/>
          <w:lang w:val="en-GB"/>
        </w:rPr>
        <w:lastRenderedPageBreak/>
        <w:t>Heard</w:t>
      </w:r>
      <w:r w:rsidRPr="00A87D38">
        <w:rPr>
          <w:spacing w:val="14"/>
          <w:kern w:val="2"/>
          <w:lang w:val="en-GB"/>
        </w:rPr>
        <w:t>:</w:t>
      </w:r>
      <w:r w:rsidR="00AC27AE">
        <w:rPr>
          <w:spacing w:val="14"/>
          <w:kern w:val="2"/>
          <w:lang w:val="en-GB"/>
        </w:rPr>
        <w:tab/>
        <w:t xml:space="preserve">22-23 February 2021; </w:t>
      </w:r>
      <w:r w:rsidR="00E10105">
        <w:rPr>
          <w:spacing w:val="14"/>
          <w:kern w:val="2"/>
          <w:lang w:val="en-GB"/>
        </w:rPr>
        <w:t xml:space="preserve">09-10 February 2023 and </w:t>
      </w:r>
      <w:r w:rsidR="00FA3B74">
        <w:rPr>
          <w:spacing w:val="14"/>
          <w:kern w:val="2"/>
          <w:lang w:val="en-GB"/>
        </w:rPr>
        <w:t>11 April</w:t>
      </w:r>
      <w:r w:rsidR="00AC27AE">
        <w:rPr>
          <w:spacing w:val="14"/>
          <w:kern w:val="2"/>
          <w:lang w:val="en-GB"/>
        </w:rPr>
        <w:t xml:space="preserve"> </w:t>
      </w:r>
      <w:r w:rsidR="00FA3B74">
        <w:rPr>
          <w:spacing w:val="14"/>
          <w:kern w:val="2"/>
          <w:lang w:val="en-GB"/>
        </w:rPr>
        <w:t>2023</w:t>
      </w:r>
    </w:p>
    <w:p w14:paraId="299C01BC" w14:textId="77777777" w:rsidR="00CA056D" w:rsidRDefault="00CA056D" w:rsidP="000D4C7F">
      <w:pPr>
        <w:widowControl w:val="0"/>
        <w:ind w:left="4320" w:right="656" w:firstLine="720"/>
        <w:jc w:val="right"/>
        <w:rPr>
          <w:spacing w:val="14"/>
          <w:kern w:val="2"/>
          <w:lang w:val="en-GB"/>
        </w:rPr>
      </w:pPr>
    </w:p>
    <w:p w14:paraId="5D550954" w14:textId="05E59A59" w:rsidR="007A7BBE" w:rsidRDefault="007A7BBE" w:rsidP="00CA056D">
      <w:pPr>
        <w:widowControl w:val="0"/>
        <w:ind w:right="656"/>
        <w:rPr>
          <w:spacing w:val="14"/>
          <w:kern w:val="2"/>
          <w:lang w:val="en-GB"/>
        </w:rPr>
      </w:pPr>
      <w:r w:rsidRPr="00A01F7D">
        <w:rPr>
          <w:b/>
          <w:bCs/>
          <w:spacing w:val="14"/>
          <w:kern w:val="2"/>
          <w:lang w:val="en-GB"/>
        </w:rPr>
        <w:t>Delivered</w:t>
      </w:r>
      <w:r w:rsidRPr="00A87D38">
        <w:rPr>
          <w:spacing w:val="14"/>
          <w:kern w:val="2"/>
          <w:lang w:val="en-GB"/>
        </w:rPr>
        <w:t>:</w:t>
      </w:r>
      <w:r w:rsidR="00AC27AE">
        <w:rPr>
          <w:spacing w:val="14"/>
          <w:kern w:val="2"/>
          <w:lang w:val="en-GB"/>
        </w:rPr>
        <w:tab/>
      </w:r>
      <w:r w:rsidR="00AC27AE">
        <w:rPr>
          <w:spacing w:val="14"/>
          <w:kern w:val="2"/>
          <w:lang w:val="en-GB"/>
        </w:rPr>
        <w:tab/>
      </w:r>
      <w:r w:rsidR="00FA3B74">
        <w:rPr>
          <w:spacing w:val="14"/>
          <w:kern w:val="2"/>
          <w:lang w:val="en-GB"/>
        </w:rPr>
        <w:t>13 June 2023</w:t>
      </w:r>
    </w:p>
    <w:p w14:paraId="44843978" w14:textId="77777777" w:rsidR="00FA3B74" w:rsidRDefault="00FA3B74" w:rsidP="00CA056D">
      <w:pPr>
        <w:widowControl w:val="0"/>
        <w:ind w:right="656"/>
        <w:rPr>
          <w:spacing w:val="14"/>
          <w:kern w:val="2"/>
          <w:lang w:val="en-GB"/>
        </w:rPr>
      </w:pPr>
    </w:p>
    <w:p w14:paraId="79F154B3" w14:textId="77777777" w:rsidR="00FA3B74" w:rsidRDefault="00FA3B74" w:rsidP="00CA056D">
      <w:pPr>
        <w:widowControl w:val="0"/>
        <w:ind w:right="656"/>
        <w:rPr>
          <w:spacing w:val="14"/>
          <w:kern w:val="2"/>
          <w:lang w:val="en-GB"/>
        </w:rPr>
      </w:pPr>
    </w:p>
    <w:p w14:paraId="38AD9591" w14:textId="77777777" w:rsidR="00375DDE" w:rsidRDefault="00375DDE" w:rsidP="00CA056D">
      <w:pPr>
        <w:widowControl w:val="0"/>
        <w:ind w:right="656"/>
        <w:rPr>
          <w:spacing w:val="14"/>
          <w:kern w:val="2"/>
          <w:lang w:val="en-GB"/>
        </w:rPr>
      </w:pPr>
    </w:p>
    <w:p w14:paraId="67026804" w14:textId="77777777" w:rsidR="00375DDE" w:rsidRDefault="00375DDE" w:rsidP="00CA056D">
      <w:pPr>
        <w:widowControl w:val="0"/>
        <w:ind w:right="656"/>
        <w:rPr>
          <w:spacing w:val="14"/>
          <w:kern w:val="2"/>
          <w:lang w:val="en-GB"/>
        </w:rPr>
      </w:pPr>
    </w:p>
    <w:p w14:paraId="31B7CFE1" w14:textId="77777777" w:rsidR="00375DDE" w:rsidRDefault="00375DDE" w:rsidP="00CA056D">
      <w:pPr>
        <w:widowControl w:val="0"/>
        <w:ind w:right="656"/>
        <w:rPr>
          <w:spacing w:val="14"/>
          <w:kern w:val="2"/>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376C9725" w:rsidR="00C33845" w:rsidRDefault="00C33845" w:rsidP="00772E4B">
      <w:pPr>
        <w:jc w:val="both"/>
        <w:rPr>
          <w:lang w:val="en-GB"/>
        </w:rPr>
      </w:pPr>
      <w:r>
        <w:rPr>
          <w:lang w:val="en-GB"/>
        </w:rPr>
        <w:t xml:space="preserve">For </w:t>
      </w:r>
      <w:r w:rsidR="00FA3B74">
        <w:rPr>
          <w:lang w:val="en-GB"/>
        </w:rPr>
        <w:t>the f</w:t>
      </w:r>
      <w:r w:rsidR="00AB503D">
        <w:rPr>
          <w:lang w:val="en-GB"/>
        </w:rPr>
        <w:t>or the Applicant</w:t>
      </w:r>
      <w:r>
        <w:rPr>
          <w:lang w:val="en-GB"/>
        </w:rPr>
        <w:t>:</w:t>
      </w:r>
      <w:r>
        <w:rPr>
          <w:lang w:val="en-GB"/>
        </w:rPr>
        <w:tab/>
      </w:r>
      <w:r w:rsidR="00AB503D">
        <w:rPr>
          <w:lang w:val="en-GB"/>
        </w:rPr>
        <w:tab/>
      </w:r>
      <w:r>
        <w:rPr>
          <w:lang w:val="en-GB"/>
        </w:rPr>
        <w:tab/>
      </w:r>
      <w:r w:rsidR="00AB503D">
        <w:rPr>
          <w:lang w:val="en-GB"/>
        </w:rPr>
        <w:t xml:space="preserve">Adv </w:t>
      </w:r>
      <w:r w:rsidR="00AE0466">
        <w:rPr>
          <w:lang w:val="en-GB"/>
        </w:rPr>
        <w:t xml:space="preserve">OH </w:t>
      </w:r>
      <w:r w:rsidR="00AB503D">
        <w:rPr>
          <w:lang w:val="en-GB"/>
        </w:rPr>
        <w:t>Ronaasen</w:t>
      </w:r>
      <w:r w:rsidR="00AE0466">
        <w:rPr>
          <w:lang w:val="en-GB"/>
        </w:rPr>
        <w:t xml:space="preserve"> SC </w:t>
      </w:r>
    </w:p>
    <w:p w14:paraId="258C261F" w14:textId="68F59CED" w:rsidR="00AB503D" w:rsidRDefault="00AB503D"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AE0466">
        <w:rPr>
          <w:lang w:val="en-GB"/>
        </w:rPr>
        <w:t xml:space="preserve">Club </w:t>
      </w:r>
      <w:r>
        <w:rPr>
          <w:lang w:val="en-GB"/>
        </w:rPr>
        <w:t>Chambers</w:t>
      </w:r>
    </w:p>
    <w:p w14:paraId="4E8AC035" w14:textId="2AFF6AE5" w:rsidR="00AE0466" w:rsidRDefault="00AE04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467D0D3C" w14:textId="77777777" w:rsidR="00AB503D" w:rsidRDefault="00AB503D" w:rsidP="00772E4B">
      <w:pPr>
        <w:jc w:val="both"/>
        <w:rPr>
          <w:lang w:val="en-GB"/>
        </w:rPr>
      </w:pPr>
    </w:p>
    <w:p w14:paraId="0D3C9519" w14:textId="68EA0C68" w:rsidR="00AB503D" w:rsidRDefault="00AB503D" w:rsidP="00772E4B">
      <w:pPr>
        <w:jc w:val="both"/>
        <w:rPr>
          <w:lang w:val="en-GB"/>
        </w:rPr>
      </w:pPr>
      <w:r>
        <w:rPr>
          <w:lang w:val="en-GB"/>
        </w:rPr>
        <w:t>Instructed by:</w:t>
      </w:r>
      <w:r>
        <w:rPr>
          <w:lang w:val="en-GB"/>
        </w:rPr>
        <w:tab/>
      </w:r>
      <w:r>
        <w:rPr>
          <w:lang w:val="en-GB"/>
        </w:rPr>
        <w:tab/>
      </w:r>
      <w:r>
        <w:rPr>
          <w:lang w:val="en-GB"/>
        </w:rPr>
        <w:tab/>
      </w:r>
      <w:r>
        <w:rPr>
          <w:lang w:val="en-GB"/>
        </w:rPr>
        <w:tab/>
      </w:r>
      <w:r w:rsidR="00375DDE">
        <w:rPr>
          <w:lang w:val="en-GB"/>
        </w:rPr>
        <w:t>Roelofse Meyer Inc.</w:t>
      </w:r>
    </w:p>
    <w:p w14:paraId="4DEB2967" w14:textId="77E06C16" w:rsidR="00375DDE" w:rsidRDefault="00375DD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29 Bird Street</w:t>
      </w:r>
    </w:p>
    <w:p w14:paraId="3D33239B" w14:textId="20D39374" w:rsidR="00375DDE" w:rsidRDefault="00375DD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17F1703B" w14:textId="0277F57F" w:rsidR="00375DDE" w:rsidRDefault="00375DD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1A85FADC" w14:textId="297F23CF" w:rsidR="00375DDE" w:rsidRDefault="00375DDE"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hyperlink r:id="rId9" w:history="1">
        <w:r w:rsidRPr="00B4304D">
          <w:rPr>
            <w:rStyle w:val="Hyperlink"/>
            <w:color w:val="000000" w:themeColor="text1"/>
            <w:u w:val="none"/>
            <w:lang w:val="en-GB"/>
          </w:rPr>
          <w:t xml:space="preserve">Tel: </w:t>
        </w:r>
        <w:r w:rsidRPr="00375DDE">
          <w:rPr>
            <w:rStyle w:val="Hyperlink"/>
            <w:color w:val="000000" w:themeColor="text1"/>
            <w:u w:val="none"/>
            <w:lang w:val="en-GB"/>
          </w:rPr>
          <w:t>041</w:t>
        </w:r>
      </w:hyperlink>
      <w:r>
        <w:rPr>
          <w:lang w:val="en-GB"/>
        </w:rPr>
        <w:t xml:space="preserve"> 585 3270</w:t>
      </w:r>
    </w:p>
    <w:p w14:paraId="76300833" w14:textId="77777777" w:rsidR="00375DDE" w:rsidRDefault="00375DDE" w:rsidP="00772E4B">
      <w:pPr>
        <w:jc w:val="both"/>
        <w:rPr>
          <w:lang w:val="en-GB"/>
        </w:rPr>
      </w:pP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65B768DD" w14:textId="77777777" w:rsidR="00AE0466" w:rsidRDefault="00C33845" w:rsidP="00772E4B">
      <w:pPr>
        <w:jc w:val="both"/>
        <w:rPr>
          <w:lang w:val="en-GB"/>
        </w:rPr>
      </w:pPr>
      <w:r>
        <w:rPr>
          <w:lang w:val="en-GB"/>
        </w:rPr>
        <w:t xml:space="preserve">For </w:t>
      </w:r>
      <w:r w:rsidR="00375DDE">
        <w:rPr>
          <w:lang w:val="en-GB"/>
        </w:rPr>
        <w:t>the Defendants</w:t>
      </w:r>
      <w:r>
        <w:rPr>
          <w:lang w:val="en-GB"/>
        </w:rPr>
        <w:t>:</w:t>
      </w:r>
      <w:r>
        <w:rPr>
          <w:lang w:val="en-GB"/>
        </w:rPr>
        <w:tab/>
      </w:r>
      <w:r>
        <w:rPr>
          <w:lang w:val="en-GB"/>
        </w:rPr>
        <w:tab/>
      </w:r>
      <w:r>
        <w:rPr>
          <w:lang w:val="en-GB"/>
        </w:rPr>
        <w:tab/>
      </w:r>
      <w:r>
        <w:rPr>
          <w:lang w:val="en-GB"/>
        </w:rPr>
        <w:tab/>
      </w:r>
      <w:r w:rsidR="00375DDE">
        <w:rPr>
          <w:lang w:val="en-GB"/>
        </w:rPr>
        <w:t xml:space="preserve">Adv N Msizi and Adv </w:t>
      </w:r>
      <w:r w:rsidR="00AE0466">
        <w:rPr>
          <w:lang w:val="en-GB"/>
        </w:rPr>
        <w:t xml:space="preserve">M </w:t>
      </w:r>
      <w:r w:rsidR="00375DDE">
        <w:rPr>
          <w:lang w:val="en-GB"/>
        </w:rPr>
        <w:t>Pango</w:t>
      </w:r>
      <w:r>
        <w:rPr>
          <w:lang w:val="en-GB"/>
        </w:rPr>
        <w:tab/>
      </w:r>
    </w:p>
    <w:p w14:paraId="0741D580" w14:textId="77777777" w:rsidR="00AE0466" w:rsidRDefault="00AE04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Oasim Chambers</w:t>
      </w:r>
    </w:p>
    <w:p w14:paraId="205E4C8B" w14:textId="77777777" w:rsidR="00AE0466" w:rsidRDefault="00AE04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313BA355" w14:textId="77777777" w:rsidR="00AE0466" w:rsidRDefault="00AE0466" w:rsidP="00772E4B">
      <w:pPr>
        <w:jc w:val="both"/>
        <w:rPr>
          <w:lang w:val="en-GB"/>
        </w:rPr>
      </w:pPr>
    </w:p>
    <w:p w14:paraId="6467ADD7" w14:textId="77777777" w:rsidR="00AE0466" w:rsidRDefault="00AE0466" w:rsidP="00772E4B">
      <w:pPr>
        <w:jc w:val="both"/>
        <w:rPr>
          <w:lang w:val="en-GB"/>
        </w:rPr>
      </w:pPr>
      <w:r>
        <w:rPr>
          <w:lang w:val="en-GB"/>
        </w:rPr>
        <w:t>Instructed by:</w:t>
      </w:r>
      <w:r>
        <w:rPr>
          <w:lang w:val="en-GB"/>
        </w:rPr>
        <w:tab/>
      </w:r>
      <w:r>
        <w:rPr>
          <w:lang w:val="en-GB"/>
        </w:rPr>
        <w:tab/>
      </w:r>
      <w:r>
        <w:rPr>
          <w:lang w:val="en-GB"/>
        </w:rPr>
        <w:tab/>
      </w:r>
      <w:r>
        <w:rPr>
          <w:lang w:val="en-GB"/>
        </w:rPr>
        <w:tab/>
        <w:t>Pumeza Bono Inc.</w:t>
      </w:r>
    </w:p>
    <w:p w14:paraId="3481145C" w14:textId="77777777" w:rsidR="00AE0466" w:rsidRDefault="00AE04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15 Annerley Terrace</w:t>
      </w:r>
    </w:p>
    <w:p w14:paraId="0C5537BD" w14:textId="77777777" w:rsidR="00AE0466" w:rsidRDefault="00AE0466" w:rsidP="00AE0466">
      <w:pPr>
        <w:tabs>
          <w:tab w:val="left" w:pos="1134"/>
        </w:tabs>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3D20E5C9" w14:textId="77777777" w:rsidR="00A01F7D" w:rsidRDefault="00AE0466" w:rsidP="00AE0466">
      <w:pPr>
        <w:tabs>
          <w:tab w:val="left" w:pos="1134"/>
        </w:tabs>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6190544B" w14:textId="0F6B7172" w:rsidR="00C33845" w:rsidRPr="00044B50" w:rsidRDefault="00A01F7D" w:rsidP="00AE0466">
      <w:pPr>
        <w:tabs>
          <w:tab w:val="left" w:pos="1134"/>
        </w:tabs>
        <w:jc w:val="both"/>
        <w:rPr>
          <w:lang w:val="en-GB"/>
        </w:rPr>
      </w:pPr>
      <w:r>
        <w:rPr>
          <w:lang w:val="en-GB"/>
        </w:rPr>
        <w:tab/>
      </w:r>
      <w:r>
        <w:rPr>
          <w:lang w:val="en-GB"/>
        </w:rPr>
        <w:tab/>
      </w:r>
      <w:r>
        <w:rPr>
          <w:lang w:val="en-GB"/>
        </w:rPr>
        <w:tab/>
      </w:r>
      <w:r>
        <w:rPr>
          <w:lang w:val="en-GB"/>
        </w:rPr>
        <w:tab/>
      </w:r>
      <w:r>
        <w:rPr>
          <w:lang w:val="en-GB"/>
        </w:rPr>
        <w:tab/>
      </w:r>
      <w:r>
        <w:rPr>
          <w:lang w:val="en-GB"/>
        </w:rPr>
        <w:tab/>
        <w:t>Tel: 041 582 3823</w:t>
      </w:r>
      <w:r w:rsidR="00C33845">
        <w:rPr>
          <w:lang w:val="en-GB"/>
        </w:rPr>
        <w:tab/>
      </w:r>
      <w:r w:rsidR="00C33845">
        <w:rPr>
          <w:lang w:val="en-GB"/>
        </w:rPr>
        <w:tab/>
      </w:r>
      <w:r w:rsidR="00C33845">
        <w:rPr>
          <w:lang w:val="en-GB"/>
        </w:rPr>
        <w:tab/>
      </w:r>
      <w:r w:rsidR="00C33845">
        <w:rPr>
          <w:lang w:val="en-GB"/>
        </w:rPr>
        <w:tab/>
      </w:r>
    </w:p>
    <w:p w14:paraId="631AD31F" w14:textId="2A999CB7" w:rsidR="008677E3" w:rsidRPr="00044B50" w:rsidRDefault="008677E3" w:rsidP="00851562">
      <w:pPr>
        <w:tabs>
          <w:tab w:val="left" w:pos="3402"/>
          <w:tab w:val="center" w:pos="4003"/>
        </w:tabs>
        <w:jc w:val="both"/>
        <w:rPr>
          <w:lang w:val="en-GB"/>
        </w:rPr>
      </w:pP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4705" w14:textId="77777777" w:rsidR="00F35B3E" w:rsidRDefault="00F35B3E" w:rsidP="00005691">
      <w:r>
        <w:separator/>
      </w:r>
    </w:p>
  </w:endnote>
  <w:endnote w:type="continuationSeparator" w:id="0">
    <w:p w14:paraId="39FF3D09" w14:textId="77777777" w:rsidR="00F35B3E" w:rsidRDefault="00F35B3E"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C2109" w14:textId="77777777" w:rsidR="00F35B3E" w:rsidRDefault="00F35B3E" w:rsidP="00005691">
      <w:r>
        <w:separator/>
      </w:r>
    </w:p>
  </w:footnote>
  <w:footnote w:type="continuationSeparator" w:id="0">
    <w:p w14:paraId="79BD1FD0" w14:textId="77777777" w:rsidR="00F35B3E" w:rsidRDefault="00F35B3E" w:rsidP="00005691">
      <w:r>
        <w:continuationSeparator/>
      </w:r>
    </w:p>
  </w:footnote>
  <w:footnote w:id="1">
    <w:p w14:paraId="11686357" w14:textId="29E72B30" w:rsidR="00543F0E" w:rsidRPr="00543F0E" w:rsidRDefault="00543F0E" w:rsidP="001342D7">
      <w:pPr>
        <w:pStyle w:val="FootnoteText"/>
        <w:spacing w:line="240" w:lineRule="auto"/>
        <w:jc w:val="both"/>
        <w:rPr>
          <w:lang w:val="en-US"/>
        </w:rPr>
      </w:pPr>
      <w:r>
        <w:rPr>
          <w:rStyle w:val="FootnoteReference"/>
        </w:rPr>
        <w:footnoteRef/>
      </w:r>
      <w:r w:rsidR="00B4304D">
        <w:rPr>
          <w:lang w:val="en-US"/>
        </w:rPr>
        <w:t xml:space="preserve"> S</w:t>
      </w:r>
      <w:r>
        <w:rPr>
          <w:lang w:val="en-US"/>
        </w:rPr>
        <w:t xml:space="preserve">ee </w:t>
      </w:r>
      <w:r>
        <w:rPr>
          <w:i/>
          <w:iCs/>
          <w:lang w:val="en-US"/>
        </w:rPr>
        <w:t>Corvine Investments CC v Advtech (Pty) Ltd t/a Property Division</w:t>
      </w:r>
      <w:r>
        <w:rPr>
          <w:lang w:val="en-US"/>
        </w:rPr>
        <w:t xml:space="preserve"> [2022] ZAGPJHC 617 </w:t>
      </w:r>
      <w:r w:rsidR="00D85213">
        <w:rPr>
          <w:lang w:val="en-US"/>
        </w:rPr>
        <w:t>(</w:t>
      </w:r>
      <w:r w:rsidR="001033C7">
        <w:rPr>
          <w:lang w:val="en-US"/>
        </w:rPr>
        <w:t>‘</w:t>
      </w:r>
      <w:r w:rsidR="00D85213" w:rsidRPr="00D85213">
        <w:rPr>
          <w:i/>
          <w:iCs/>
          <w:lang w:val="en-US"/>
        </w:rPr>
        <w:t>Corvine Investments</w:t>
      </w:r>
      <w:r w:rsidR="001033C7">
        <w:rPr>
          <w:lang w:val="en-US"/>
        </w:rPr>
        <w:t>’</w:t>
      </w:r>
      <w:r w:rsidR="00D85213">
        <w:rPr>
          <w:lang w:val="en-US"/>
        </w:rPr>
        <w:t xml:space="preserve">) </w:t>
      </w:r>
      <w:r>
        <w:rPr>
          <w:lang w:val="en-US"/>
        </w:rPr>
        <w:t>paras 43-46</w:t>
      </w:r>
      <w:r w:rsidR="000A4E83">
        <w:rPr>
          <w:lang w:val="en-US"/>
        </w:rPr>
        <w:t>, 70.</w:t>
      </w:r>
    </w:p>
  </w:footnote>
  <w:footnote w:id="2">
    <w:p w14:paraId="53CC1791" w14:textId="6247FBE7" w:rsidR="003F5462" w:rsidRPr="003F5462" w:rsidRDefault="003F5462" w:rsidP="001342D7">
      <w:pPr>
        <w:pStyle w:val="FootnoteText"/>
        <w:spacing w:line="240" w:lineRule="auto"/>
        <w:jc w:val="both"/>
        <w:rPr>
          <w:lang w:val="en-US"/>
        </w:rPr>
      </w:pPr>
      <w:r>
        <w:rPr>
          <w:rStyle w:val="FootnoteReference"/>
        </w:rPr>
        <w:footnoteRef/>
      </w:r>
      <w:r>
        <w:t xml:space="preserve"> </w:t>
      </w:r>
      <w:r>
        <w:rPr>
          <w:lang w:val="en-US"/>
        </w:rPr>
        <w:t>The relevant submission to the Coega board reflects that the subsidiary (SBFS) would focus on extending brid</w:t>
      </w:r>
      <w:r w:rsidR="001D7D90">
        <w:rPr>
          <w:lang w:val="en-US"/>
        </w:rPr>
        <w:t>g</w:t>
      </w:r>
      <w:r>
        <w:rPr>
          <w:lang w:val="en-US"/>
        </w:rPr>
        <w:t>ing finance to Coega-contracted SMEs.</w:t>
      </w:r>
      <w:r w:rsidR="000600C6">
        <w:rPr>
          <w:lang w:val="en-US"/>
        </w:rPr>
        <w:t xml:space="preserve"> Coega would commit its own resources to the project and would control the payment cessions</w:t>
      </w:r>
      <w:r w:rsidR="00BC1399">
        <w:rPr>
          <w:lang w:val="en-US"/>
        </w:rPr>
        <w:t>.</w:t>
      </w:r>
      <w:r w:rsidR="0028047B">
        <w:rPr>
          <w:lang w:val="en-US"/>
        </w:rPr>
        <w:t xml:space="preserve"> One of the key objectives of SBFS would be to become sustainable and generate its own revenue.</w:t>
      </w:r>
      <w:r w:rsidR="003D56AE">
        <w:rPr>
          <w:lang w:val="en-US"/>
        </w:rPr>
        <w:t xml:space="preserve"> A dormant subsidiary, Rapid Infrastructure Development Agency (‘RIDA’) could be used for the creation of an entity that would provide bridging finance to Coega-contracted SMEs.</w:t>
      </w:r>
    </w:p>
  </w:footnote>
  <w:footnote w:id="3">
    <w:p w14:paraId="361FDD21" w14:textId="505AB97B" w:rsidR="00245603" w:rsidRPr="00245603" w:rsidRDefault="00245603" w:rsidP="001342D7">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Board of Executors Ltd v McCafferty</w:t>
      </w:r>
      <w:r>
        <w:rPr>
          <w:lang w:val="en-US"/>
        </w:rPr>
        <w:t xml:space="preserve"> 2000 (1) SA 848 (SCA) </w:t>
      </w:r>
      <w:r w:rsidR="00C22B2D">
        <w:rPr>
          <w:lang w:val="en-US"/>
        </w:rPr>
        <w:t>(‘</w:t>
      </w:r>
      <w:r w:rsidR="00C22B2D">
        <w:rPr>
          <w:i/>
          <w:iCs/>
          <w:lang w:val="en-US"/>
        </w:rPr>
        <w:t>McCafferty</w:t>
      </w:r>
      <w:r w:rsidR="00C22B2D">
        <w:rPr>
          <w:lang w:val="en-US"/>
        </w:rPr>
        <w:t>’)</w:t>
      </w:r>
      <w:r w:rsidR="00C22B2D">
        <w:rPr>
          <w:i/>
          <w:iCs/>
          <w:lang w:val="en-US"/>
        </w:rPr>
        <w:t xml:space="preserve"> </w:t>
      </w:r>
      <w:r>
        <w:rPr>
          <w:lang w:val="en-US"/>
        </w:rPr>
        <w:t>para 12</w:t>
      </w:r>
      <w:r w:rsidR="002B699E">
        <w:rPr>
          <w:lang w:val="en-US"/>
        </w:rPr>
        <w:t>, 15</w:t>
      </w:r>
      <w:r>
        <w:rPr>
          <w:lang w:val="en-US"/>
        </w:rPr>
        <w:t xml:space="preserve">: different entities may be considered to be </w:t>
      </w:r>
      <w:r w:rsidR="002B699E">
        <w:rPr>
          <w:lang w:val="en-US"/>
        </w:rPr>
        <w:t>co-</w:t>
      </w:r>
      <w:r>
        <w:rPr>
          <w:lang w:val="en-US"/>
        </w:rPr>
        <w:t>employers of an employee in certain circumstances.</w:t>
      </w:r>
    </w:p>
  </w:footnote>
  <w:footnote w:id="4">
    <w:p w14:paraId="17991C15" w14:textId="48504647" w:rsidR="00640DB2" w:rsidRPr="00640DB2" w:rsidRDefault="00640DB2" w:rsidP="001342D7">
      <w:pPr>
        <w:pStyle w:val="FootnoteText"/>
        <w:spacing w:line="240" w:lineRule="auto"/>
        <w:jc w:val="both"/>
        <w:rPr>
          <w:lang w:val="en-US"/>
        </w:rPr>
      </w:pPr>
      <w:r>
        <w:rPr>
          <w:rStyle w:val="FootnoteReference"/>
        </w:rPr>
        <w:footnoteRef/>
      </w:r>
      <w:r>
        <w:t xml:space="preserve"> </w:t>
      </w:r>
      <w:r>
        <w:rPr>
          <w:lang w:val="en-US"/>
        </w:rPr>
        <w:t xml:space="preserve">Ostensible authority was not pleaded: </w:t>
      </w:r>
      <w:r w:rsidR="00EB52D0">
        <w:rPr>
          <w:lang w:val="en-US"/>
        </w:rPr>
        <w:t>cf</w:t>
      </w:r>
      <w:r>
        <w:rPr>
          <w:lang w:val="en-US"/>
        </w:rPr>
        <w:t xml:space="preserve"> </w:t>
      </w:r>
      <w:r>
        <w:rPr>
          <w:i/>
          <w:iCs/>
          <w:lang w:val="en-US"/>
        </w:rPr>
        <w:t>Makate v Vodacom Ltd</w:t>
      </w:r>
      <w:r>
        <w:rPr>
          <w:lang w:val="en-US"/>
        </w:rPr>
        <w:t xml:space="preserve"> 2016 (4) SA 121 (CC) (‘</w:t>
      </w:r>
      <w:r>
        <w:rPr>
          <w:i/>
          <w:iCs/>
          <w:lang w:val="en-US"/>
        </w:rPr>
        <w:t>Vodacom</w:t>
      </w:r>
      <w:r>
        <w:rPr>
          <w:lang w:val="en-US"/>
        </w:rPr>
        <w:t>’)</w:t>
      </w:r>
      <w:r>
        <w:rPr>
          <w:i/>
          <w:iCs/>
          <w:lang w:val="en-US"/>
        </w:rPr>
        <w:t xml:space="preserve"> </w:t>
      </w:r>
      <w:r>
        <w:rPr>
          <w:lang w:val="en-US"/>
        </w:rPr>
        <w:t>paras 33 – 42</w:t>
      </w:r>
      <w:r w:rsidR="00320C64">
        <w:rPr>
          <w:lang w:val="en-US"/>
        </w:rPr>
        <w:t>, 59, 119, 121.</w:t>
      </w:r>
      <w:r w:rsidR="00BD7A0E">
        <w:rPr>
          <w:lang w:val="en-US"/>
        </w:rPr>
        <w:t xml:space="preserve"> </w:t>
      </w:r>
      <w:r w:rsidR="00CF0AD6">
        <w:rPr>
          <w:lang w:val="en-US"/>
        </w:rPr>
        <w:t xml:space="preserve">Unlike </w:t>
      </w:r>
      <w:r w:rsidR="00CF0AD6">
        <w:rPr>
          <w:i/>
          <w:iCs/>
          <w:lang w:val="en-US"/>
        </w:rPr>
        <w:t>Vodacom</w:t>
      </w:r>
      <w:r w:rsidR="00CF0AD6">
        <w:rPr>
          <w:lang w:val="en-US"/>
        </w:rPr>
        <w:t>,</w:t>
      </w:r>
      <w:r w:rsidR="00CF0AD6">
        <w:rPr>
          <w:i/>
          <w:iCs/>
          <w:lang w:val="en-US"/>
        </w:rPr>
        <w:t xml:space="preserve"> </w:t>
      </w:r>
      <w:r w:rsidR="00CF0AD6">
        <w:rPr>
          <w:lang w:val="en-US"/>
        </w:rPr>
        <w:t>t</w:t>
      </w:r>
      <w:r w:rsidR="00BD7A0E">
        <w:rPr>
          <w:lang w:val="en-US"/>
        </w:rPr>
        <w:t xml:space="preserve">he issue of authority was not dealt with in the particulars of claim: see H Daniels </w:t>
      </w:r>
      <w:r w:rsidR="00BD7A0E">
        <w:rPr>
          <w:i/>
          <w:iCs/>
          <w:lang w:val="en-US"/>
        </w:rPr>
        <w:t>Beck’s Theory and Principles of Pleadings in Civil Actions</w:t>
      </w:r>
      <w:r w:rsidR="00BD7A0E">
        <w:rPr>
          <w:lang w:val="en-US"/>
        </w:rPr>
        <w:t xml:space="preserve"> (6</w:t>
      </w:r>
      <w:r w:rsidR="00BD7A0E" w:rsidRPr="00665E7B">
        <w:rPr>
          <w:vertAlign w:val="superscript"/>
          <w:lang w:val="en-US"/>
        </w:rPr>
        <w:t>th</w:t>
      </w:r>
      <w:r w:rsidR="00BD7A0E">
        <w:rPr>
          <w:lang w:val="en-US"/>
        </w:rPr>
        <w:t xml:space="preserve"> ed) (2002) at 13.28.1. Also see </w:t>
      </w:r>
      <w:r w:rsidR="00BD7A0E">
        <w:rPr>
          <w:i/>
          <w:iCs/>
          <w:lang w:val="en-US"/>
        </w:rPr>
        <w:t>Ying and Another v South British Insurance Co Ltd</w:t>
      </w:r>
      <w:r w:rsidR="00BD7A0E">
        <w:rPr>
          <w:lang w:val="en-US"/>
        </w:rPr>
        <w:t xml:space="preserve"> 1957 (2) SA 194 (E) at 198F-H.</w:t>
      </w:r>
    </w:p>
  </w:footnote>
  <w:footnote w:id="5">
    <w:p w14:paraId="60015F70" w14:textId="77777777" w:rsidR="009F2C9E" w:rsidRPr="00171D35" w:rsidRDefault="009F2C9E" w:rsidP="001342D7">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Durbach v Fairway Hotel</w:t>
      </w:r>
      <w:r>
        <w:rPr>
          <w:lang w:val="en-US"/>
        </w:rPr>
        <w:t xml:space="preserve"> 1949 (3) SA 1081 (SR): the denial of the authority of an agent is a special defence and must be specifically and unambiguously pleaded, and not left to be inferred from a general traverse of the allegations in the declaration: at 1082.</w:t>
      </w:r>
    </w:p>
  </w:footnote>
  <w:footnote w:id="6">
    <w:p w14:paraId="481B6AE2" w14:textId="77777777" w:rsidR="005E6CD1" w:rsidRPr="00A44175" w:rsidRDefault="005E6CD1" w:rsidP="001342D7">
      <w:pPr>
        <w:pStyle w:val="FootnoteText"/>
        <w:spacing w:line="240" w:lineRule="auto"/>
        <w:jc w:val="both"/>
        <w:rPr>
          <w:lang w:val="en-US"/>
        </w:rPr>
      </w:pPr>
      <w:r>
        <w:rPr>
          <w:rStyle w:val="FootnoteReference"/>
        </w:rPr>
        <w:footnoteRef/>
      </w:r>
      <w:r>
        <w:t xml:space="preserve"> </w:t>
      </w:r>
      <w:r>
        <w:rPr>
          <w:i/>
          <w:iCs/>
          <w:lang w:val="en-US"/>
        </w:rPr>
        <w:t xml:space="preserve">Stucco Italiano Decorators (Pty) Ltd v Nitida Wine Farm and Others </w:t>
      </w:r>
      <w:r>
        <w:rPr>
          <w:lang w:val="en-US"/>
        </w:rPr>
        <w:t>[2012] ZAWCHC 123 para 61.</w:t>
      </w:r>
    </w:p>
  </w:footnote>
  <w:footnote w:id="7">
    <w:p w14:paraId="2475D95E" w14:textId="3BF93112" w:rsidR="00C95E60" w:rsidRPr="00D85191" w:rsidRDefault="00C95E60" w:rsidP="001342D7">
      <w:pPr>
        <w:pStyle w:val="FootnoteText"/>
        <w:spacing w:line="240" w:lineRule="auto"/>
        <w:jc w:val="both"/>
        <w:rPr>
          <w:lang w:val="en-US"/>
        </w:rPr>
      </w:pPr>
      <w:r>
        <w:rPr>
          <w:rStyle w:val="FootnoteReference"/>
        </w:rPr>
        <w:footnoteRef/>
      </w:r>
      <w:r>
        <w:t xml:space="preserve"> </w:t>
      </w:r>
      <w:r w:rsidR="00D85191">
        <w:rPr>
          <w:i/>
          <w:iCs/>
          <w:lang w:val="en-US"/>
        </w:rPr>
        <w:t xml:space="preserve">Africa Solar (Pty) Ltd v Divwatt (Pty) Ltd </w:t>
      </w:r>
      <w:r w:rsidR="00D85191">
        <w:rPr>
          <w:lang w:val="en-US"/>
        </w:rPr>
        <w:t>2002 (4) SA 681 (SCA) at 698B.</w:t>
      </w:r>
    </w:p>
  </w:footnote>
  <w:footnote w:id="8">
    <w:p w14:paraId="1EA26C00" w14:textId="003AF8F0" w:rsidR="0075446B" w:rsidRPr="0075446B" w:rsidRDefault="0075446B" w:rsidP="001342D7">
      <w:pPr>
        <w:pStyle w:val="FootnoteText"/>
        <w:spacing w:line="240" w:lineRule="auto"/>
        <w:jc w:val="both"/>
        <w:rPr>
          <w:lang w:val="en-US"/>
        </w:rPr>
      </w:pPr>
      <w:r>
        <w:rPr>
          <w:rStyle w:val="FootnoteReference"/>
        </w:rPr>
        <w:footnoteRef/>
      </w:r>
      <w:r>
        <w:t xml:space="preserve"> </w:t>
      </w:r>
      <w:r>
        <w:rPr>
          <w:lang w:val="en-US"/>
        </w:rPr>
        <w:t>Ibid.</w:t>
      </w:r>
    </w:p>
  </w:footnote>
  <w:footnote w:id="9">
    <w:p w14:paraId="6D29E2E1" w14:textId="376D92F6" w:rsidR="00717C39" w:rsidRPr="00CE4CED" w:rsidRDefault="00717C39" w:rsidP="001342D7">
      <w:pPr>
        <w:pStyle w:val="FootnoteText"/>
        <w:spacing w:line="240" w:lineRule="auto"/>
        <w:jc w:val="both"/>
        <w:rPr>
          <w:lang w:val="en-US"/>
        </w:rPr>
      </w:pPr>
      <w:r>
        <w:rPr>
          <w:rStyle w:val="FootnoteReference"/>
        </w:rPr>
        <w:footnoteRef/>
      </w:r>
      <w:r>
        <w:t xml:space="preserve"> </w:t>
      </w:r>
      <w:r w:rsidR="00EC20C3">
        <w:t xml:space="preserve">F </w:t>
      </w:r>
      <w:r>
        <w:rPr>
          <w:lang w:val="en-US"/>
        </w:rPr>
        <w:t xml:space="preserve">Du Bois </w:t>
      </w:r>
      <w:r w:rsidR="00EC20C3">
        <w:rPr>
          <w:lang w:val="en-US"/>
        </w:rPr>
        <w:t xml:space="preserve">(ed) </w:t>
      </w:r>
      <w:r w:rsidR="008621E7">
        <w:rPr>
          <w:i/>
          <w:iCs/>
          <w:lang w:val="en-US"/>
        </w:rPr>
        <w:t>Wille’s Principles of South African Law</w:t>
      </w:r>
      <w:r w:rsidR="008621E7">
        <w:rPr>
          <w:lang w:val="en-US"/>
        </w:rPr>
        <w:t xml:space="preserve"> (9</w:t>
      </w:r>
      <w:r w:rsidR="008621E7" w:rsidRPr="0016494C">
        <w:rPr>
          <w:vertAlign w:val="superscript"/>
          <w:lang w:val="en-US"/>
        </w:rPr>
        <w:t>th</w:t>
      </w:r>
      <w:r w:rsidR="008621E7">
        <w:rPr>
          <w:lang w:val="en-US"/>
        </w:rPr>
        <w:t xml:space="preserve"> Ed) (Juta) (2007)</w:t>
      </w:r>
      <w:r>
        <w:rPr>
          <w:lang w:val="en-US"/>
        </w:rPr>
        <w:t xml:space="preserve"> at 740. The Trust did not plead a contract concluded with CDC by conduct or by quasi-mutual assent: </w:t>
      </w:r>
      <w:r w:rsidR="006761D5">
        <w:rPr>
          <w:lang w:val="en-US"/>
        </w:rPr>
        <w:t xml:space="preserve">see GB Bradfield </w:t>
      </w:r>
      <w:r w:rsidR="006761D5">
        <w:rPr>
          <w:i/>
          <w:iCs/>
          <w:lang w:val="en-US"/>
        </w:rPr>
        <w:t>Christie’s The Law of Contract in South Africa</w:t>
      </w:r>
      <w:r w:rsidR="006761D5">
        <w:rPr>
          <w:lang w:val="en-US"/>
        </w:rPr>
        <w:t xml:space="preserve"> (8</w:t>
      </w:r>
      <w:r w:rsidR="006761D5" w:rsidRPr="00830127">
        <w:rPr>
          <w:vertAlign w:val="superscript"/>
          <w:lang w:val="en-US"/>
        </w:rPr>
        <w:t>th</w:t>
      </w:r>
      <w:r w:rsidR="006761D5">
        <w:rPr>
          <w:lang w:val="en-US"/>
        </w:rPr>
        <w:t xml:space="preserve"> ed) (LexisNexis) (2022) at 36-37</w:t>
      </w:r>
      <w:r w:rsidR="00FB00B4">
        <w:rPr>
          <w:lang w:val="en-US"/>
        </w:rPr>
        <w:t xml:space="preserve">; </w:t>
      </w:r>
      <w:r w:rsidR="009F03B4">
        <w:rPr>
          <w:i/>
          <w:iCs/>
          <w:lang w:val="en-US"/>
        </w:rPr>
        <w:t xml:space="preserve">Constantia Graswerke BK v Snyman </w:t>
      </w:r>
      <w:r w:rsidR="009F03B4">
        <w:rPr>
          <w:lang w:val="en-US"/>
        </w:rPr>
        <w:t xml:space="preserve">1996 (4) SA 117 (W) </w:t>
      </w:r>
      <w:r w:rsidR="001033C7">
        <w:rPr>
          <w:lang w:val="en-US"/>
        </w:rPr>
        <w:t>(</w:t>
      </w:r>
      <w:r w:rsidR="00654A76">
        <w:rPr>
          <w:lang w:val="en-US"/>
        </w:rPr>
        <w:t>‘</w:t>
      </w:r>
      <w:r w:rsidR="001033C7">
        <w:rPr>
          <w:i/>
          <w:iCs/>
          <w:lang w:val="en-US"/>
        </w:rPr>
        <w:t>Constantia</w:t>
      </w:r>
      <w:r w:rsidR="001033C7">
        <w:rPr>
          <w:lang w:val="en-US"/>
        </w:rPr>
        <w:t>’)</w:t>
      </w:r>
      <w:r w:rsidR="001033C7">
        <w:rPr>
          <w:i/>
          <w:iCs/>
          <w:lang w:val="en-US"/>
        </w:rPr>
        <w:t xml:space="preserve"> </w:t>
      </w:r>
      <w:r w:rsidR="009F03B4">
        <w:rPr>
          <w:lang w:val="en-US"/>
        </w:rPr>
        <w:t xml:space="preserve">at 124I-J, cited in </w:t>
      </w:r>
      <w:r w:rsidR="001B4798">
        <w:rPr>
          <w:i/>
          <w:iCs/>
          <w:lang w:val="en-US"/>
        </w:rPr>
        <w:t xml:space="preserve">Vincorp (Pty) Ltd v Trust Hungary ZRT </w:t>
      </w:r>
      <w:r w:rsidR="001B4798">
        <w:rPr>
          <w:lang w:val="en-US"/>
        </w:rPr>
        <w:t>[2018] ZASCA 35</w:t>
      </w:r>
      <w:r w:rsidR="009F03B4">
        <w:rPr>
          <w:lang w:val="en-US"/>
        </w:rPr>
        <w:t xml:space="preserve"> (</w:t>
      </w:r>
      <w:r w:rsidR="009F03B4">
        <w:rPr>
          <w:i/>
          <w:iCs/>
          <w:lang w:val="en-US"/>
        </w:rPr>
        <w:t>Vincorp</w:t>
      </w:r>
      <w:r w:rsidR="009F03B4">
        <w:rPr>
          <w:lang w:val="en-US"/>
        </w:rPr>
        <w:t xml:space="preserve">) para 32; Also see </w:t>
      </w:r>
      <w:r w:rsidR="009F03B4">
        <w:rPr>
          <w:i/>
          <w:iCs/>
          <w:lang w:val="en-US"/>
        </w:rPr>
        <w:t>Vincorp</w:t>
      </w:r>
      <w:r w:rsidR="006A6FD0">
        <w:rPr>
          <w:lang w:val="en-US"/>
        </w:rPr>
        <w:t>,</w:t>
      </w:r>
      <w:r w:rsidR="009F03B4">
        <w:rPr>
          <w:i/>
          <w:iCs/>
          <w:lang w:val="en-US"/>
        </w:rPr>
        <w:t xml:space="preserve"> </w:t>
      </w:r>
      <w:r w:rsidR="003849AE">
        <w:rPr>
          <w:lang w:val="en-US"/>
        </w:rPr>
        <w:t>especially at para</w:t>
      </w:r>
      <w:r w:rsidR="006A6FD0">
        <w:rPr>
          <w:lang w:val="en-US"/>
        </w:rPr>
        <w:t>s</w:t>
      </w:r>
      <w:r w:rsidR="003849AE">
        <w:rPr>
          <w:lang w:val="en-US"/>
        </w:rPr>
        <w:t xml:space="preserve"> 27 </w:t>
      </w:r>
      <w:r w:rsidR="00157CC4">
        <w:rPr>
          <w:lang w:val="en-US"/>
        </w:rPr>
        <w:t>–</w:t>
      </w:r>
      <w:r w:rsidR="006A6FD0">
        <w:rPr>
          <w:lang w:val="en-US"/>
        </w:rPr>
        <w:t xml:space="preserve"> 33</w:t>
      </w:r>
      <w:r w:rsidR="00157CC4">
        <w:rPr>
          <w:lang w:val="en-US"/>
        </w:rPr>
        <w:t xml:space="preserve"> and </w:t>
      </w:r>
      <w:r w:rsidR="00D8754E">
        <w:rPr>
          <w:i/>
          <w:iCs/>
          <w:lang w:val="en-US"/>
        </w:rPr>
        <w:t xml:space="preserve">Fischer v Ramahlele </w:t>
      </w:r>
      <w:r w:rsidR="00D8754E">
        <w:rPr>
          <w:lang w:val="en-US"/>
        </w:rPr>
        <w:t>2014 (4) SA 614 (SCA) paras 13-14: it is generally for the parties to identify the dispute and for the court to determine that dispute and that dispute alone.</w:t>
      </w:r>
    </w:p>
  </w:footnote>
  <w:footnote w:id="10">
    <w:p w14:paraId="7AF1B205" w14:textId="77777777" w:rsidR="00717C39" w:rsidRPr="005B3053" w:rsidRDefault="00717C39" w:rsidP="001342D7">
      <w:pPr>
        <w:pStyle w:val="FootnoteText"/>
        <w:spacing w:line="240" w:lineRule="auto"/>
        <w:jc w:val="both"/>
        <w:rPr>
          <w:lang w:val="en-US"/>
        </w:rPr>
      </w:pPr>
      <w:r>
        <w:rPr>
          <w:rStyle w:val="FootnoteReference"/>
        </w:rPr>
        <w:footnoteRef/>
      </w:r>
      <w:r>
        <w:t xml:space="preserve"> </w:t>
      </w:r>
      <w:r>
        <w:rPr>
          <w:i/>
          <w:iCs/>
          <w:lang w:val="en-US"/>
        </w:rPr>
        <w:t>Reid Bros (SA) Ltd v Fischer Bearings Co Ltd</w:t>
      </w:r>
      <w:r>
        <w:rPr>
          <w:lang w:val="en-US"/>
        </w:rPr>
        <w:t xml:space="preserve"> 1943 AD 232 at 241.</w:t>
      </w:r>
    </w:p>
  </w:footnote>
  <w:footnote w:id="11">
    <w:p w14:paraId="25475364" w14:textId="560BFAA4" w:rsidR="00717C39" w:rsidRPr="0016494C" w:rsidRDefault="00717C39" w:rsidP="001342D7">
      <w:pPr>
        <w:pStyle w:val="FootnoteText"/>
        <w:spacing w:line="240" w:lineRule="auto"/>
        <w:jc w:val="both"/>
        <w:rPr>
          <w:lang w:val="en-US"/>
        </w:rPr>
      </w:pPr>
      <w:r>
        <w:rPr>
          <w:rStyle w:val="FootnoteReference"/>
        </w:rPr>
        <w:footnoteRef/>
      </w:r>
      <w:r>
        <w:t xml:space="preserve"> </w:t>
      </w:r>
      <w:r w:rsidR="00B4304D">
        <w:rPr>
          <w:lang w:val="en-US"/>
        </w:rPr>
        <w:t>D</w:t>
      </w:r>
      <w:r>
        <w:rPr>
          <w:lang w:val="en-US"/>
        </w:rPr>
        <w:t xml:space="preserve">u Bois </w:t>
      </w:r>
      <w:r w:rsidR="008621E7">
        <w:rPr>
          <w:lang w:val="en-US"/>
        </w:rPr>
        <w:t xml:space="preserve">above n </w:t>
      </w:r>
      <w:r w:rsidR="00132650">
        <w:rPr>
          <w:lang w:val="en-US"/>
        </w:rPr>
        <w:t xml:space="preserve">9 at </w:t>
      </w:r>
      <w:r>
        <w:rPr>
          <w:lang w:val="en-US"/>
        </w:rPr>
        <w:t>737.</w:t>
      </w:r>
    </w:p>
  </w:footnote>
  <w:footnote w:id="12">
    <w:p w14:paraId="3C56FA9F" w14:textId="6889227F" w:rsidR="00717C39" w:rsidRPr="00B93494" w:rsidRDefault="00717C39" w:rsidP="001342D7">
      <w:pPr>
        <w:pStyle w:val="FootnoteText"/>
        <w:spacing w:line="240" w:lineRule="auto"/>
        <w:jc w:val="both"/>
        <w:rPr>
          <w:lang w:val="en-US"/>
        </w:rPr>
      </w:pPr>
      <w:r>
        <w:rPr>
          <w:rStyle w:val="FootnoteReference"/>
        </w:rPr>
        <w:footnoteRef/>
      </w:r>
      <w:r>
        <w:t xml:space="preserve"> </w:t>
      </w:r>
      <w:r>
        <w:rPr>
          <w:lang w:val="en-US"/>
        </w:rPr>
        <w:t xml:space="preserve">See du Bois </w:t>
      </w:r>
      <w:r w:rsidR="007645AD">
        <w:rPr>
          <w:lang w:val="en-US"/>
        </w:rPr>
        <w:t xml:space="preserve">above n 9 </w:t>
      </w:r>
      <w:r>
        <w:rPr>
          <w:lang w:val="en-US"/>
        </w:rPr>
        <w:t>at 741.</w:t>
      </w:r>
      <w:r w:rsidR="00BA655B">
        <w:rPr>
          <w:lang w:val="en-US"/>
        </w:rPr>
        <w:t xml:space="preserve"> An offer can be accepted only by a person to whom it was made or was intended to be made. An acceptance by some other person does not constitute a contract</w:t>
      </w:r>
      <w:r w:rsidR="00322BD1">
        <w:rPr>
          <w:lang w:val="en-US"/>
        </w:rPr>
        <w:t xml:space="preserve"> and an offer cannot be accepted by a person who does not even know of it</w:t>
      </w:r>
      <w:r w:rsidR="00BA655B">
        <w:rPr>
          <w:lang w:val="en-US"/>
        </w:rPr>
        <w:t xml:space="preserve">: at 743. Also see </w:t>
      </w:r>
      <w:r w:rsidR="00BA655B">
        <w:rPr>
          <w:i/>
          <w:iCs/>
          <w:lang w:val="en-US"/>
        </w:rPr>
        <w:t>Blew v Snoxell</w:t>
      </w:r>
      <w:r w:rsidR="00BA655B">
        <w:rPr>
          <w:lang w:val="en-US"/>
        </w:rPr>
        <w:t xml:space="preserve"> 1931 TPD 226 at 229-230: ‘an offer made by one person to another cannot be accepted by a third … for the simple reason that there was no intention on the part of the one person to contract with the other person whatever the subject matter of the contract may be.’</w:t>
      </w:r>
    </w:p>
  </w:footnote>
  <w:footnote w:id="13">
    <w:p w14:paraId="6FD970B0" w14:textId="77777777" w:rsidR="00717C39" w:rsidRPr="00793EE2" w:rsidRDefault="00717C39" w:rsidP="001342D7">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Levin v Drieprok Properties (Pty) Ltd </w:t>
      </w:r>
      <w:r>
        <w:rPr>
          <w:lang w:val="en-US"/>
        </w:rPr>
        <w:t>1975 (2) SA 397 (A) at 409A-C.</w:t>
      </w:r>
    </w:p>
  </w:footnote>
  <w:footnote w:id="14">
    <w:p w14:paraId="03C5025B" w14:textId="7C668281" w:rsidR="00717C39" w:rsidRPr="000358D1" w:rsidRDefault="00717C39" w:rsidP="001342D7">
      <w:pPr>
        <w:pStyle w:val="FootnoteText"/>
        <w:spacing w:line="240" w:lineRule="auto"/>
        <w:jc w:val="both"/>
        <w:rPr>
          <w:lang w:val="en-US"/>
        </w:rPr>
      </w:pPr>
      <w:r>
        <w:rPr>
          <w:rStyle w:val="FootnoteReference"/>
        </w:rPr>
        <w:footnoteRef/>
      </w:r>
      <w:r>
        <w:t xml:space="preserve"> </w:t>
      </w:r>
      <w:r>
        <w:rPr>
          <w:lang w:val="en-US"/>
        </w:rPr>
        <w:t xml:space="preserve">Du Bois </w:t>
      </w:r>
      <w:r w:rsidR="00BD1387">
        <w:rPr>
          <w:lang w:val="en-US"/>
        </w:rPr>
        <w:t>above n 9</w:t>
      </w:r>
      <w:r>
        <w:rPr>
          <w:lang w:val="en-US"/>
        </w:rPr>
        <w:t xml:space="preserve"> at 742.</w:t>
      </w:r>
    </w:p>
  </w:footnote>
  <w:footnote w:id="15">
    <w:p w14:paraId="37F81E9F" w14:textId="492E6CF3" w:rsidR="00717C39" w:rsidRPr="00ED154E" w:rsidRDefault="00717C39" w:rsidP="001342D7">
      <w:pPr>
        <w:pStyle w:val="FootnoteText"/>
        <w:spacing w:line="240" w:lineRule="auto"/>
        <w:jc w:val="both"/>
        <w:rPr>
          <w:lang w:val="en-US"/>
        </w:rPr>
      </w:pPr>
      <w:r>
        <w:rPr>
          <w:rStyle w:val="FootnoteReference"/>
        </w:rPr>
        <w:footnoteRef/>
      </w:r>
      <w:r>
        <w:t xml:space="preserve"> </w:t>
      </w:r>
      <w:r>
        <w:rPr>
          <w:lang w:val="en-US"/>
        </w:rPr>
        <w:t xml:space="preserve">Du Bois </w:t>
      </w:r>
      <w:r w:rsidR="000C5A86">
        <w:rPr>
          <w:lang w:val="en-US"/>
        </w:rPr>
        <w:t xml:space="preserve">above n 9 </w:t>
      </w:r>
      <w:r>
        <w:rPr>
          <w:lang w:val="en-US"/>
        </w:rPr>
        <w:t xml:space="preserve">at 743. What determines who can accept an offer is the intention of the offeror as proved by the terms of the offer and by any other admissible evidence: </w:t>
      </w:r>
      <w:r>
        <w:rPr>
          <w:i/>
          <w:iCs/>
          <w:lang w:val="en-US"/>
        </w:rPr>
        <w:t xml:space="preserve">Hersch v Nel </w:t>
      </w:r>
      <w:r>
        <w:rPr>
          <w:lang w:val="en-US"/>
        </w:rPr>
        <w:t xml:space="preserve">1948 (3) SA 686 (A) at 691 – 693. Also see </w:t>
      </w:r>
      <w:r>
        <w:rPr>
          <w:i/>
          <w:iCs/>
          <w:lang w:val="en-US"/>
        </w:rPr>
        <w:t>Rudman and Norman (Edms) Bpk</w:t>
      </w:r>
      <w:r>
        <w:rPr>
          <w:lang w:val="en-US"/>
        </w:rPr>
        <w:t xml:space="preserve"> </w:t>
      </w:r>
      <w:r>
        <w:rPr>
          <w:i/>
          <w:iCs/>
          <w:lang w:val="en-US"/>
        </w:rPr>
        <w:t>v Dunell, Ebden &amp; Kie Bpk</w:t>
      </w:r>
      <w:r>
        <w:rPr>
          <w:lang w:val="en-US"/>
        </w:rPr>
        <w:t xml:space="preserve"> 1959 1 PH A12 (O): an offer of renewal of contract was clearly intended to be accepted by two company directors, rather than the company to whom the offer was addressed. It was held that the company was not entitled to accept the offer.</w:t>
      </w:r>
    </w:p>
  </w:footnote>
  <w:footnote w:id="16">
    <w:p w14:paraId="44BB9121" w14:textId="77777777" w:rsidR="00717C39" w:rsidRPr="00CD571B" w:rsidRDefault="00717C39" w:rsidP="001342D7">
      <w:pPr>
        <w:pStyle w:val="FootnoteText"/>
        <w:spacing w:line="240" w:lineRule="auto"/>
        <w:jc w:val="both"/>
        <w:rPr>
          <w:lang w:val="en-US"/>
        </w:rPr>
      </w:pPr>
      <w:r>
        <w:rPr>
          <w:rStyle w:val="FootnoteReference"/>
        </w:rPr>
        <w:footnoteRef/>
      </w:r>
      <w:r>
        <w:t xml:space="preserve"> </w:t>
      </w:r>
      <w:r>
        <w:rPr>
          <w:i/>
          <w:iCs/>
          <w:lang w:val="en-US"/>
        </w:rPr>
        <w:t xml:space="preserve">Bird v Sumerville and Another </w:t>
      </w:r>
      <w:r>
        <w:rPr>
          <w:lang w:val="en-US"/>
        </w:rPr>
        <w:t>1961 (3) SA 194 (A).</w:t>
      </w:r>
    </w:p>
  </w:footnote>
  <w:footnote w:id="17">
    <w:p w14:paraId="6ABB70E2" w14:textId="56FB8628" w:rsidR="00717C39" w:rsidRPr="00EB680D" w:rsidRDefault="00717C39" w:rsidP="001342D7">
      <w:pPr>
        <w:pStyle w:val="FootnoteText"/>
        <w:spacing w:line="240" w:lineRule="auto"/>
        <w:jc w:val="both"/>
        <w:rPr>
          <w:lang w:val="en-US"/>
        </w:rPr>
      </w:pPr>
      <w:r>
        <w:rPr>
          <w:rStyle w:val="FootnoteReference"/>
        </w:rPr>
        <w:footnoteRef/>
      </w:r>
      <w:r>
        <w:t xml:space="preserve"> </w:t>
      </w:r>
      <w:r w:rsidR="00E454E3">
        <w:rPr>
          <w:lang w:val="en-US"/>
        </w:rPr>
        <w:t>I</w:t>
      </w:r>
      <w:r w:rsidR="00AE77AF">
        <w:rPr>
          <w:lang w:val="en-US"/>
        </w:rPr>
        <w:t>bid</w:t>
      </w:r>
      <w:r>
        <w:rPr>
          <w:lang w:val="en-US"/>
        </w:rPr>
        <w:t xml:space="preserve"> at 203F-H.</w:t>
      </w:r>
    </w:p>
  </w:footnote>
  <w:footnote w:id="18">
    <w:p w14:paraId="4D3CD6F4" w14:textId="77777777" w:rsidR="000C4720" w:rsidRPr="00C01E47" w:rsidRDefault="000C4720" w:rsidP="001342D7">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Cullinan v Noordkaaplandse Aartappel-kernmoerkwekers Koöperasie Bpk</w:t>
      </w:r>
      <w:r>
        <w:rPr>
          <w:lang w:val="en-US"/>
        </w:rPr>
        <w:t xml:space="preserve"> 1972 (1) SA 761 (A).</w:t>
      </w:r>
    </w:p>
  </w:footnote>
  <w:footnote w:id="19">
    <w:p w14:paraId="01480926" w14:textId="117BE377" w:rsidR="00AD0BA7" w:rsidRPr="00AD0BA7" w:rsidRDefault="00AD0BA7" w:rsidP="001342D7">
      <w:pPr>
        <w:pStyle w:val="FootnoteText"/>
        <w:spacing w:line="240" w:lineRule="auto"/>
        <w:jc w:val="both"/>
        <w:rPr>
          <w:lang w:val="en-US"/>
        </w:rPr>
      </w:pPr>
      <w:r>
        <w:rPr>
          <w:rStyle w:val="FootnoteReference"/>
        </w:rPr>
        <w:footnoteRef/>
      </w:r>
      <w:r>
        <w:t xml:space="preserve"> </w:t>
      </w:r>
      <w:r>
        <w:rPr>
          <w:i/>
          <w:iCs/>
          <w:lang w:val="en-US"/>
        </w:rPr>
        <w:t>M &amp; C Finance (Pty) Ltd v Segalo</w:t>
      </w:r>
      <w:r>
        <w:rPr>
          <w:lang w:val="en-US"/>
        </w:rPr>
        <w:t xml:space="preserve"> 1994 (1) SA 233 (O) at 235I – 236C.</w:t>
      </w:r>
    </w:p>
  </w:footnote>
  <w:footnote w:id="20">
    <w:p w14:paraId="6FFD57AA" w14:textId="0FAF679D" w:rsidR="003555FB" w:rsidRPr="00EA0F2C" w:rsidRDefault="003555FB" w:rsidP="001342D7">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 xml:space="preserve">National and Overseas Distributors Corporation (Pty) Ltd v Potato Board </w:t>
      </w:r>
      <w:r>
        <w:rPr>
          <w:lang w:val="en-US"/>
        </w:rPr>
        <w:t xml:space="preserve">1958 (2) SA 473 (A) at 479 – 480; cf </w:t>
      </w:r>
      <w:r>
        <w:rPr>
          <w:i/>
          <w:iCs/>
          <w:lang w:val="en-US"/>
        </w:rPr>
        <w:t xml:space="preserve">Marais &amp; Others v Varicor Nineteen (Pty) Ltd </w:t>
      </w:r>
      <w:r>
        <w:rPr>
          <w:lang w:val="en-US"/>
        </w:rPr>
        <w:t>[2017] ZASCA 46 (</w:t>
      </w:r>
      <w:r>
        <w:rPr>
          <w:i/>
          <w:iCs/>
          <w:lang w:val="en-US"/>
        </w:rPr>
        <w:t>Marais</w:t>
      </w:r>
      <w:r>
        <w:rPr>
          <w:lang w:val="en-US"/>
        </w:rPr>
        <w:t>)</w:t>
      </w:r>
      <w:r>
        <w:rPr>
          <w:i/>
          <w:iCs/>
          <w:lang w:val="en-US"/>
        </w:rPr>
        <w:t xml:space="preserve"> </w:t>
      </w:r>
      <w:r>
        <w:rPr>
          <w:lang w:val="en-US"/>
        </w:rPr>
        <w:t>paras 23 – 32.</w:t>
      </w:r>
      <w:r w:rsidR="00A31242">
        <w:rPr>
          <w:lang w:val="en-US"/>
        </w:rPr>
        <w:t xml:space="preserve"> Also see </w:t>
      </w:r>
      <w:r w:rsidR="00A31242">
        <w:t xml:space="preserve">G Glover ‘Agency in South Africa: Mapping its defining characteristics’ in </w:t>
      </w:r>
      <w:r w:rsidR="00A31242">
        <w:rPr>
          <w:i/>
          <w:iCs/>
        </w:rPr>
        <w:t>Acta Juridica</w:t>
      </w:r>
      <w:r w:rsidR="00A31242">
        <w:t xml:space="preserve"> (2021) 243 at 267.</w:t>
      </w:r>
    </w:p>
  </w:footnote>
  <w:footnote w:id="21">
    <w:p w14:paraId="3E0955D1" w14:textId="734AF8B8" w:rsidR="00B667B0" w:rsidRPr="00B667B0" w:rsidRDefault="00B667B0" w:rsidP="001342D7">
      <w:pPr>
        <w:pStyle w:val="FootnoteText"/>
        <w:spacing w:line="240" w:lineRule="auto"/>
        <w:jc w:val="both"/>
        <w:rPr>
          <w:lang w:val="en-US"/>
        </w:rPr>
      </w:pPr>
      <w:r>
        <w:rPr>
          <w:rStyle w:val="FootnoteReference"/>
        </w:rPr>
        <w:footnoteRef/>
      </w:r>
      <w:r>
        <w:t xml:space="preserve"> </w:t>
      </w:r>
      <w:r>
        <w:rPr>
          <w:i/>
          <w:iCs/>
        </w:rPr>
        <w:t>Stellenbosch Farmers’ Winery Group Ltd and Another v Martell &amp; Cie SA and Others</w:t>
      </w:r>
      <w:r>
        <w:t xml:space="preserve"> [2002] ZASCA 98 para 22.</w:t>
      </w:r>
    </w:p>
  </w:footnote>
  <w:footnote w:id="22">
    <w:p w14:paraId="2017B08C" w14:textId="5E919BB6" w:rsidR="00610E7A" w:rsidRPr="00440684" w:rsidRDefault="00610E7A" w:rsidP="001342D7">
      <w:pPr>
        <w:pStyle w:val="FootnoteText"/>
        <w:spacing w:line="240" w:lineRule="auto"/>
        <w:jc w:val="both"/>
        <w:rPr>
          <w:lang w:val="en-US"/>
        </w:rPr>
      </w:pPr>
      <w:r>
        <w:rPr>
          <w:rStyle w:val="FootnoteReference"/>
        </w:rPr>
        <w:footnoteRef/>
      </w:r>
      <w:r>
        <w:t xml:space="preserve"> </w:t>
      </w:r>
      <w:r w:rsidR="00D2563A">
        <w:rPr>
          <w:lang w:val="en-US"/>
        </w:rPr>
        <w:t>S</w:t>
      </w:r>
      <w:r>
        <w:rPr>
          <w:lang w:val="en-US"/>
        </w:rPr>
        <w:t xml:space="preserve">ee </w:t>
      </w:r>
      <w:r>
        <w:rPr>
          <w:i/>
          <w:iCs/>
          <w:lang w:val="en-US"/>
        </w:rPr>
        <w:t>Vincorp</w:t>
      </w:r>
      <w:r>
        <w:rPr>
          <w:lang w:val="en-US"/>
        </w:rPr>
        <w:t xml:space="preserve"> above n </w:t>
      </w:r>
      <w:r w:rsidR="002804A2">
        <w:rPr>
          <w:lang w:val="en-US"/>
        </w:rPr>
        <w:t>9</w:t>
      </w:r>
      <w:r>
        <w:rPr>
          <w:lang w:val="en-US"/>
        </w:rPr>
        <w:t>, para</w:t>
      </w:r>
      <w:r w:rsidR="00440684">
        <w:rPr>
          <w:lang w:val="en-US"/>
        </w:rPr>
        <w:t>s</w:t>
      </w:r>
      <w:r>
        <w:rPr>
          <w:lang w:val="en-US"/>
        </w:rPr>
        <w:t xml:space="preserve"> 28</w:t>
      </w:r>
      <w:r w:rsidR="00D65286">
        <w:rPr>
          <w:lang w:val="en-US"/>
        </w:rPr>
        <w:t>, 31</w:t>
      </w:r>
      <w:r w:rsidR="00440684">
        <w:rPr>
          <w:lang w:val="en-US"/>
        </w:rPr>
        <w:t xml:space="preserve">. The SCA confirmed, at para 32, that failure to discharge the onus of establishing the necessary </w:t>
      </w:r>
      <w:r w:rsidR="00440684">
        <w:rPr>
          <w:i/>
          <w:iCs/>
          <w:lang w:val="en-US"/>
        </w:rPr>
        <w:t>animus contrahendi</w:t>
      </w:r>
      <w:r w:rsidR="00440684">
        <w:rPr>
          <w:lang w:val="en-US"/>
        </w:rPr>
        <w:t xml:space="preserve"> on the part of both parties is the end of the matter.</w:t>
      </w:r>
    </w:p>
  </w:footnote>
  <w:footnote w:id="23">
    <w:p w14:paraId="651901DA" w14:textId="4173872F" w:rsidR="003555FB" w:rsidRPr="00BD7CA4" w:rsidRDefault="003555FB" w:rsidP="001342D7">
      <w:pPr>
        <w:pStyle w:val="FootnoteText"/>
        <w:spacing w:line="240" w:lineRule="auto"/>
        <w:jc w:val="both"/>
        <w:rPr>
          <w:lang w:val="en-US"/>
        </w:rPr>
      </w:pPr>
      <w:r>
        <w:rPr>
          <w:rStyle w:val="FootnoteReference"/>
        </w:rPr>
        <w:footnoteRef/>
      </w:r>
      <w:r>
        <w:t xml:space="preserve"> </w:t>
      </w:r>
      <w:r w:rsidR="001627DD">
        <w:t xml:space="preserve">Vincorp above n </w:t>
      </w:r>
      <w:r w:rsidR="007A473F">
        <w:t xml:space="preserve">9 </w:t>
      </w:r>
      <w:r w:rsidR="001627DD">
        <w:t xml:space="preserve">para 32. </w:t>
      </w:r>
      <w:r>
        <w:rPr>
          <w:lang w:val="en-US"/>
        </w:rPr>
        <w:t xml:space="preserve">See </w:t>
      </w:r>
      <w:r>
        <w:rPr>
          <w:i/>
          <w:iCs/>
          <w:lang w:val="en-US"/>
        </w:rPr>
        <w:t xml:space="preserve">Marais </w:t>
      </w:r>
      <w:r w:rsidR="006A4120">
        <w:rPr>
          <w:lang w:val="en-US"/>
        </w:rPr>
        <w:t>above n 20</w:t>
      </w:r>
      <w:r>
        <w:rPr>
          <w:lang w:val="en-US"/>
        </w:rPr>
        <w:t xml:space="preserve"> para 33</w:t>
      </w:r>
      <w:r w:rsidR="00D64F71">
        <w:rPr>
          <w:lang w:val="en-US"/>
        </w:rPr>
        <w:t xml:space="preserve">; </w:t>
      </w:r>
      <w:r w:rsidR="00D64F71">
        <w:rPr>
          <w:i/>
          <w:iCs/>
          <w:lang w:val="en-US"/>
        </w:rPr>
        <w:t>South African Eagle Insurance Company Limited v NBS Bank Limited</w:t>
      </w:r>
      <w:r w:rsidR="00D64F71">
        <w:rPr>
          <w:lang w:val="en-US"/>
        </w:rPr>
        <w:t xml:space="preserve"> [2001] ZASCA 118; [2002] 2 All SA 220 (A)</w:t>
      </w:r>
      <w:r w:rsidR="009C5A2F">
        <w:rPr>
          <w:lang w:val="en-US"/>
        </w:rPr>
        <w:t xml:space="preserve"> paras 26, 27</w:t>
      </w:r>
      <w:r w:rsidR="00F33F92">
        <w:rPr>
          <w:lang w:val="en-US"/>
        </w:rPr>
        <w:t xml:space="preserve">; </w:t>
      </w:r>
      <w:r w:rsidR="00F33F92">
        <w:rPr>
          <w:i/>
          <w:iCs/>
          <w:lang w:val="en-US"/>
        </w:rPr>
        <w:t xml:space="preserve">Corvine Investments </w:t>
      </w:r>
      <w:r w:rsidR="00F33F92">
        <w:rPr>
          <w:lang w:val="en-US"/>
        </w:rPr>
        <w:t xml:space="preserve">above </w:t>
      </w:r>
      <w:r w:rsidR="00BE5E32">
        <w:rPr>
          <w:lang w:val="en-US"/>
        </w:rPr>
        <w:t>n</w:t>
      </w:r>
      <w:r w:rsidR="00F33F92">
        <w:rPr>
          <w:lang w:val="en-US"/>
        </w:rPr>
        <w:t xml:space="preserve"> 1 paras 60</w:t>
      </w:r>
      <w:r w:rsidR="000A2567">
        <w:rPr>
          <w:lang w:val="en-US"/>
        </w:rPr>
        <w:t xml:space="preserve"> -</w:t>
      </w:r>
      <w:r w:rsidR="00F33F92">
        <w:rPr>
          <w:lang w:val="en-US"/>
        </w:rPr>
        <w:t xml:space="preserve"> 6</w:t>
      </w:r>
      <w:r w:rsidR="00C7366F">
        <w:rPr>
          <w:lang w:val="en-US"/>
        </w:rPr>
        <w:t>3</w:t>
      </w:r>
      <w:r w:rsidR="00F33F9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342935A7"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596F">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24069"/>
    <w:multiLevelType w:val="hybridMultilevel"/>
    <w:tmpl w:val="90B4E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EA3431"/>
    <w:multiLevelType w:val="hybridMultilevel"/>
    <w:tmpl w:val="5398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E14AA"/>
    <w:multiLevelType w:val="hybridMultilevel"/>
    <w:tmpl w:val="757A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E324BA"/>
    <w:multiLevelType w:val="hybridMultilevel"/>
    <w:tmpl w:val="BF8A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91B97"/>
    <w:multiLevelType w:val="hybridMultilevel"/>
    <w:tmpl w:val="E27EA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3"/>
  </w:num>
  <w:num w:numId="6">
    <w:abstractNumId w:val="9"/>
  </w:num>
  <w:num w:numId="7">
    <w:abstractNumId w:val="15"/>
  </w:num>
  <w:num w:numId="8">
    <w:abstractNumId w:val="1"/>
  </w:num>
  <w:num w:numId="9">
    <w:abstractNumId w:val="6"/>
  </w:num>
  <w:num w:numId="10">
    <w:abstractNumId w:val="10"/>
  </w:num>
  <w:num w:numId="11">
    <w:abstractNumId w:val="14"/>
  </w:num>
  <w:num w:numId="12">
    <w:abstractNumId w:val="11"/>
  </w:num>
  <w:num w:numId="13">
    <w:abstractNumId w:val="7"/>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4F"/>
    <w:rsid w:val="00005ABB"/>
    <w:rsid w:val="00005BC2"/>
    <w:rsid w:val="00005C9B"/>
    <w:rsid w:val="0000642E"/>
    <w:rsid w:val="00006EF3"/>
    <w:rsid w:val="00007087"/>
    <w:rsid w:val="00007904"/>
    <w:rsid w:val="000109B4"/>
    <w:rsid w:val="00012A2F"/>
    <w:rsid w:val="00014437"/>
    <w:rsid w:val="00014770"/>
    <w:rsid w:val="00014A97"/>
    <w:rsid w:val="00015842"/>
    <w:rsid w:val="0001596F"/>
    <w:rsid w:val="0001621D"/>
    <w:rsid w:val="00016FDA"/>
    <w:rsid w:val="000220C3"/>
    <w:rsid w:val="00022804"/>
    <w:rsid w:val="000235AB"/>
    <w:rsid w:val="00025247"/>
    <w:rsid w:val="00025E52"/>
    <w:rsid w:val="00027DA3"/>
    <w:rsid w:val="00030A25"/>
    <w:rsid w:val="00031CF5"/>
    <w:rsid w:val="00031D3A"/>
    <w:rsid w:val="0003233F"/>
    <w:rsid w:val="000323B0"/>
    <w:rsid w:val="00032F48"/>
    <w:rsid w:val="000341AF"/>
    <w:rsid w:val="00034B32"/>
    <w:rsid w:val="0003553E"/>
    <w:rsid w:val="000358D1"/>
    <w:rsid w:val="000363E3"/>
    <w:rsid w:val="00036FC8"/>
    <w:rsid w:val="00037693"/>
    <w:rsid w:val="0004040E"/>
    <w:rsid w:val="00040F79"/>
    <w:rsid w:val="000422CD"/>
    <w:rsid w:val="0004347D"/>
    <w:rsid w:val="0004373B"/>
    <w:rsid w:val="00044B50"/>
    <w:rsid w:val="000451D0"/>
    <w:rsid w:val="00045860"/>
    <w:rsid w:val="00047035"/>
    <w:rsid w:val="000478E8"/>
    <w:rsid w:val="0004794A"/>
    <w:rsid w:val="00047A67"/>
    <w:rsid w:val="000500B9"/>
    <w:rsid w:val="0005061D"/>
    <w:rsid w:val="00051F6C"/>
    <w:rsid w:val="000536DD"/>
    <w:rsid w:val="00053BDA"/>
    <w:rsid w:val="00053D81"/>
    <w:rsid w:val="0005412B"/>
    <w:rsid w:val="00054DEC"/>
    <w:rsid w:val="00055C33"/>
    <w:rsid w:val="00056042"/>
    <w:rsid w:val="000561AD"/>
    <w:rsid w:val="00056FBA"/>
    <w:rsid w:val="000574BF"/>
    <w:rsid w:val="000600C6"/>
    <w:rsid w:val="000611BD"/>
    <w:rsid w:val="00063188"/>
    <w:rsid w:val="00063739"/>
    <w:rsid w:val="00063C6E"/>
    <w:rsid w:val="00063D5A"/>
    <w:rsid w:val="00063DA6"/>
    <w:rsid w:val="0006695E"/>
    <w:rsid w:val="00066FD3"/>
    <w:rsid w:val="00067A24"/>
    <w:rsid w:val="0007050F"/>
    <w:rsid w:val="00071D23"/>
    <w:rsid w:val="0007234C"/>
    <w:rsid w:val="00073EFC"/>
    <w:rsid w:val="00074253"/>
    <w:rsid w:val="000778A4"/>
    <w:rsid w:val="00080D4E"/>
    <w:rsid w:val="000815F5"/>
    <w:rsid w:val="00082656"/>
    <w:rsid w:val="00083322"/>
    <w:rsid w:val="00083386"/>
    <w:rsid w:val="000833DB"/>
    <w:rsid w:val="00084486"/>
    <w:rsid w:val="00084C6F"/>
    <w:rsid w:val="00085152"/>
    <w:rsid w:val="00085184"/>
    <w:rsid w:val="0008553D"/>
    <w:rsid w:val="00085F10"/>
    <w:rsid w:val="00086278"/>
    <w:rsid w:val="00086A06"/>
    <w:rsid w:val="00087C62"/>
    <w:rsid w:val="0009014F"/>
    <w:rsid w:val="0009015D"/>
    <w:rsid w:val="000910CD"/>
    <w:rsid w:val="00091F8C"/>
    <w:rsid w:val="00092C19"/>
    <w:rsid w:val="0009497C"/>
    <w:rsid w:val="00096BC1"/>
    <w:rsid w:val="00096E60"/>
    <w:rsid w:val="000976CA"/>
    <w:rsid w:val="000A008A"/>
    <w:rsid w:val="000A2567"/>
    <w:rsid w:val="000A4E83"/>
    <w:rsid w:val="000A59DC"/>
    <w:rsid w:val="000A6630"/>
    <w:rsid w:val="000A72E7"/>
    <w:rsid w:val="000B0946"/>
    <w:rsid w:val="000B0DC8"/>
    <w:rsid w:val="000B26AE"/>
    <w:rsid w:val="000B26CF"/>
    <w:rsid w:val="000B3CD8"/>
    <w:rsid w:val="000B5790"/>
    <w:rsid w:val="000B5FBC"/>
    <w:rsid w:val="000B6309"/>
    <w:rsid w:val="000B643B"/>
    <w:rsid w:val="000B78EC"/>
    <w:rsid w:val="000C2D21"/>
    <w:rsid w:val="000C3531"/>
    <w:rsid w:val="000C3620"/>
    <w:rsid w:val="000C39A5"/>
    <w:rsid w:val="000C450C"/>
    <w:rsid w:val="000C4720"/>
    <w:rsid w:val="000C5A86"/>
    <w:rsid w:val="000C7746"/>
    <w:rsid w:val="000C7A27"/>
    <w:rsid w:val="000D085B"/>
    <w:rsid w:val="000D0D78"/>
    <w:rsid w:val="000D22FB"/>
    <w:rsid w:val="000D4753"/>
    <w:rsid w:val="000D487F"/>
    <w:rsid w:val="000D4BFA"/>
    <w:rsid w:val="000D4C7F"/>
    <w:rsid w:val="000D667A"/>
    <w:rsid w:val="000E1C45"/>
    <w:rsid w:val="000E1FE9"/>
    <w:rsid w:val="000E2425"/>
    <w:rsid w:val="000E2444"/>
    <w:rsid w:val="000E3E15"/>
    <w:rsid w:val="000E4F0D"/>
    <w:rsid w:val="000E5100"/>
    <w:rsid w:val="000E5B8D"/>
    <w:rsid w:val="000E7ECD"/>
    <w:rsid w:val="000F05E0"/>
    <w:rsid w:val="000F1A95"/>
    <w:rsid w:val="000F2146"/>
    <w:rsid w:val="000F4789"/>
    <w:rsid w:val="000F69A3"/>
    <w:rsid w:val="000F6BFE"/>
    <w:rsid w:val="000F7DF4"/>
    <w:rsid w:val="0010068E"/>
    <w:rsid w:val="00100F9A"/>
    <w:rsid w:val="001016E1"/>
    <w:rsid w:val="0010218C"/>
    <w:rsid w:val="00102D5B"/>
    <w:rsid w:val="001033C7"/>
    <w:rsid w:val="00103B37"/>
    <w:rsid w:val="001044DB"/>
    <w:rsid w:val="00105EB6"/>
    <w:rsid w:val="0010622C"/>
    <w:rsid w:val="001078B5"/>
    <w:rsid w:val="00107A5F"/>
    <w:rsid w:val="0011026A"/>
    <w:rsid w:val="00110EF0"/>
    <w:rsid w:val="00111FAF"/>
    <w:rsid w:val="001124A5"/>
    <w:rsid w:val="001151BE"/>
    <w:rsid w:val="00116EB9"/>
    <w:rsid w:val="00120E93"/>
    <w:rsid w:val="0012149E"/>
    <w:rsid w:val="001226DE"/>
    <w:rsid w:val="00122867"/>
    <w:rsid w:val="00122E06"/>
    <w:rsid w:val="00123296"/>
    <w:rsid w:val="001251D3"/>
    <w:rsid w:val="0012621C"/>
    <w:rsid w:val="00130228"/>
    <w:rsid w:val="00131984"/>
    <w:rsid w:val="00131A28"/>
    <w:rsid w:val="00131E56"/>
    <w:rsid w:val="00132650"/>
    <w:rsid w:val="001337CC"/>
    <w:rsid w:val="001342D7"/>
    <w:rsid w:val="00134C11"/>
    <w:rsid w:val="00135C81"/>
    <w:rsid w:val="00136189"/>
    <w:rsid w:val="00137E08"/>
    <w:rsid w:val="00140FDA"/>
    <w:rsid w:val="0014228C"/>
    <w:rsid w:val="00142910"/>
    <w:rsid w:val="00142F79"/>
    <w:rsid w:val="001430DF"/>
    <w:rsid w:val="001435EB"/>
    <w:rsid w:val="001441A9"/>
    <w:rsid w:val="001445C4"/>
    <w:rsid w:val="001445D3"/>
    <w:rsid w:val="00144974"/>
    <w:rsid w:val="00144BBD"/>
    <w:rsid w:val="00146BA3"/>
    <w:rsid w:val="001517E0"/>
    <w:rsid w:val="00156270"/>
    <w:rsid w:val="00157785"/>
    <w:rsid w:val="00157898"/>
    <w:rsid w:val="00157C19"/>
    <w:rsid w:val="00157CC4"/>
    <w:rsid w:val="00160EBC"/>
    <w:rsid w:val="00160F23"/>
    <w:rsid w:val="00160F58"/>
    <w:rsid w:val="00162027"/>
    <w:rsid w:val="001627DD"/>
    <w:rsid w:val="00163A58"/>
    <w:rsid w:val="0016494C"/>
    <w:rsid w:val="00164B7B"/>
    <w:rsid w:val="00165224"/>
    <w:rsid w:val="00165237"/>
    <w:rsid w:val="00171D35"/>
    <w:rsid w:val="00172B5C"/>
    <w:rsid w:val="00173547"/>
    <w:rsid w:val="00174B6D"/>
    <w:rsid w:val="0017614D"/>
    <w:rsid w:val="001764A2"/>
    <w:rsid w:val="0017719D"/>
    <w:rsid w:val="0018006A"/>
    <w:rsid w:val="00180F4E"/>
    <w:rsid w:val="00181923"/>
    <w:rsid w:val="00181D9F"/>
    <w:rsid w:val="00181E7E"/>
    <w:rsid w:val="00182175"/>
    <w:rsid w:val="00184625"/>
    <w:rsid w:val="00185008"/>
    <w:rsid w:val="00185312"/>
    <w:rsid w:val="00186769"/>
    <w:rsid w:val="00187043"/>
    <w:rsid w:val="001870AF"/>
    <w:rsid w:val="00187B60"/>
    <w:rsid w:val="00187F61"/>
    <w:rsid w:val="00190082"/>
    <w:rsid w:val="0019031D"/>
    <w:rsid w:val="00190336"/>
    <w:rsid w:val="00191768"/>
    <w:rsid w:val="00191E84"/>
    <w:rsid w:val="00192869"/>
    <w:rsid w:val="001943D2"/>
    <w:rsid w:val="00194A05"/>
    <w:rsid w:val="001954F0"/>
    <w:rsid w:val="00195571"/>
    <w:rsid w:val="001955AB"/>
    <w:rsid w:val="00195FB1"/>
    <w:rsid w:val="00196742"/>
    <w:rsid w:val="001A4F33"/>
    <w:rsid w:val="001A54C4"/>
    <w:rsid w:val="001A5890"/>
    <w:rsid w:val="001B0D01"/>
    <w:rsid w:val="001B108B"/>
    <w:rsid w:val="001B2578"/>
    <w:rsid w:val="001B2FE4"/>
    <w:rsid w:val="001B4453"/>
    <w:rsid w:val="001B4798"/>
    <w:rsid w:val="001B505F"/>
    <w:rsid w:val="001B69E3"/>
    <w:rsid w:val="001C04BC"/>
    <w:rsid w:val="001C0BBD"/>
    <w:rsid w:val="001C2DD7"/>
    <w:rsid w:val="001C48A5"/>
    <w:rsid w:val="001C7061"/>
    <w:rsid w:val="001C7660"/>
    <w:rsid w:val="001C76CF"/>
    <w:rsid w:val="001D0962"/>
    <w:rsid w:val="001D214B"/>
    <w:rsid w:val="001D4C5E"/>
    <w:rsid w:val="001D4DA2"/>
    <w:rsid w:val="001D5281"/>
    <w:rsid w:val="001D5A9D"/>
    <w:rsid w:val="001D5F83"/>
    <w:rsid w:val="001D61C8"/>
    <w:rsid w:val="001D7D90"/>
    <w:rsid w:val="001E0F36"/>
    <w:rsid w:val="001E1834"/>
    <w:rsid w:val="001E1B07"/>
    <w:rsid w:val="001E24E0"/>
    <w:rsid w:val="001E46C4"/>
    <w:rsid w:val="001E4824"/>
    <w:rsid w:val="001E640A"/>
    <w:rsid w:val="001E66B2"/>
    <w:rsid w:val="001E6A6E"/>
    <w:rsid w:val="001E701F"/>
    <w:rsid w:val="001E7844"/>
    <w:rsid w:val="001E78D5"/>
    <w:rsid w:val="001E7C8F"/>
    <w:rsid w:val="001F2276"/>
    <w:rsid w:val="001F335C"/>
    <w:rsid w:val="001F3A41"/>
    <w:rsid w:val="001F3AEA"/>
    <w:rsid w:val="001F59AB"/>
    <w:rsid w:val="001F7FB7"/>
    <w:rsid w:val="00201DC6"/>
    <w:rsid w:val="00201F12"/>
    <w:rsid w:val="00204BC4"/>
    <w:rsid w:val="00206D6C"/>
    <w:rsid w:val="00207573"/>
    <w:rsid w:val="002078B2"/>
    <w:rsid w:val="00207D21"/>
    <w:rsid w:val="002115FE"/>
    <w:rsid w:val="00212A2D"/>
    <w:rsid w:val="00213565"/>
    <w:rsid w:val="00213B08"/>
    <w:rsid w:val="0021430F"/>
    <w:rsid w:val="00215EBC"/>
    <w:rsid w:val="0021730A"/>
    <w:rsid w:val="00217399"/>
    <w:rsid w:val="002203EC"/>
    <w:rsid w:val="00222854"/>
    <w:rsid w:val="00224363"/>
    <w:rsid w:val="0022594E"/>
    <w:rsid w:val="00226444"/>
    <w:rsid w:val="00226636"/>
    <w:rsid w:val="00226ADA"/>
    <w:rsid w:val="00227379"/>
    <w:rsid w:val="00230131"/>
    <w:rsid w:val="00230B10"/>
    <w:rsid w:val="00231325"/>
    <w:rsid w:val="00231999"/>
    <w:rsid w:val="002327AF"/>
    <w:rsid w:val="0023410F"/>
    <w:rsid w:val="002352CC"/>
    <w:rsid w:val="0023677B"/>
    <w:rsid w:val="00236B9D"/>
    <w:rsid w:val="0023768E"/>
    <w:rsid w:val="00237B5E"/>
    <w:rsid w:val="002402F6"/>
    <w:rsid w:val="00243762"/>
    <w:rsid w:val="00243DF9"/>
    <w:rsid w:val="002443F3"/>
    <w:rsid w:val="00245504"/>
    <w:rsid w:val="00245603"/>
    <w:rsid w:val="00245626"/>
    <w:rsid w:val="00245BEB"/>
    <w:rsid w:val="00247551"/>
    <w:rsid w:val="00250530"/>
    <w:rsid w:val="0025056A"/>
    <w:rsid w:val="002527C7"/>
    <w:rsid w:val="00252FC1"/>
    <w:rsid w:val="00253273"/>
    <w:rsid w:val="002541F4"/>
    <w:rsid w:val="00256208"/>
    <w:rsid w:val="002565A1"/>
    <w:rsid w:val="00256FCC"/>
    <w:rsid w:val="00257A15"/>
    <w:rsid w:val="002606D8"/>
    <w:rsid w:val="002607A6"/>
    <w:rsid w:val="00260A94"/>
    <w:rsid w:val="00260B67"/>
    <w:rsid w:val="002612A5"/>
    <w:rsid w:val="00261583"/>
    <w:rsid w:val="0026158F"/>
    <w:rsid w:val="002617D8"/>
    <w:rsid w:val="00262D2A"/>
    <w:rsid w:val="00262F4D"/>
    <w:rsid w:val="002630F5"/>
    <w:rsid w:val="002635B7"/>
    <w:rsid w:val="00263B8D"/>
    <w:rsid w:val="0026495C"/>
    <w:rsid w:val="00265010"/>
    <w:rsid w:val="00265180"/>
    <w:rsid w:val="00265AEB"/>
    <w:rsid w:val="0026634E"/>
    <w:rsid w:val="0026645C"/>
    <w:rsid w:val="002705E9"/>
    <w:rsid w:val="00271C71"/>
    <w:rsid w:val="0027260B"/>
    <w:rsid w:val="00273903"/>
    <w:rsid w:val="00274C64"/>
    <w:rsid w:val="00275410"/>
    <w:rsid w:val="00276100"/>
    <w:rsid w:val="00277EB6"/>
    <w:rsid w:val="0028047B"/>
    <w:rsid w:val="002804A2"/>
    <w:rsid w:val="002815EA"/>
    <w:rsid w:val="0028182D"/>
    <w:rsid w:val="002838F4"/>
    <w:rsid w:val="002852C4"/>
    <w:rsid w:val="00285664"/>
    <w:rsid w:val="00287A18"/>
    <w:rsid w:val="00287A26"/>
    <w:rsid w:val="00290DC6"/>
    <w:rsid w:val="00290E92"/>
    <w:rsid w:val="0029395B"/>
    <w:rsid w:val="00294129"/>
    <w:rsid w:val="00294313"/>
    <w:rsid w:val="002960D0"/>
    <w:rsid w:val="00297514"/>
    <w:rsid w:val="002A01B5"/>
    <w:rsid w:val="002A034D"/>
    <w:rsid w:val="002A080F"/>
    <w:rsid w:val="002A0EB5"/>
    <w:rsid w:val="002A157A"/>
    <w:rsid w:val="002A1950"/>
    <w:rsid w:val="002A1A32"/>
    <w:rsid w:val="002A1D97"/>
    <w:rsid w:val="002A1E2F"/>
    <w:rsid w:val="002A21AF"/>
    <w:rsid w:val="002A221E"/>
    <w:rsid w:val="002A2AA4"/>
    <w:rsid w:val="002A3836"/>
    <w:rsid w:val="002A3C5C"/>
    <w:rsid w:val="002A4636"/>
    <w:rsid w:val="002A61D9"/>
    <w:rsid w:val="002A6332"/>
    <w:rsid w:val="002A6593"/>
    <w:rsid w:val="002A6B82"/>
    <w:rsid w:val="002A73A7"/>
    <w:rsid w:val="002B0DEA"/>
    <w:rsid w:val="002B31B7"/>
    <w:rsid w:val="002B3436"/>
    <w:rsid w:val="002B3CCB"/>
    <w:rsid w:val="002B3FE3"/>
    <w:rsid w:val="002B54B7"/>
    <w:rsid w:val="002B6730"/>
    <w:rsid w:val="002B699E"/>
    <w:rsid w:val="002B7874"/>
    <w:rsid w:val="002C071F"/>
    <w:rsid w:val="002C1ECF"/>
    <w:rsid w:val="002C1ED3"/>
    <w:rsid w:val="002C2E94"/>
    <w:rsid w:val="002C3A0D"/>
    <w:rsid w:val="002C4233"/>
    <w:rsid w:val="002C45D8"/>
    <w:rsid w:val="002C4A8E"/>
    <w:rsid w:val="002C5FA1"/>
    <w:rsid w:val="002C7128"/>
    <w:rsid w:val="002D4CBC"/>
    <w:rsid w:val="002D6D70"/>
    <w:rsid w:val="002D7292"/>
    <w:rsid w:val="002E0CCA"/>
    <w:rsid w:val="002E141A"/>
    <w:rsid w:val="002E1B95"/>
    <w:rsid w:val="002E24F2"/>
    <w:rsid w:val="002E397E"/>
    <w:rsid w:val="002E3D34"/>
    <w:rsid w:val="002E3EC7"/>
    <w:rsid w:val="002E46A0"/>
    <w:rsid w:val="002E4808"/>
    <w:rsid w:val="002E483E"/>
    <w:rsid w:val="002E6D7C"/>
    <w:rsid w:val="002E7045"/>
    <w:rsid w:val="002E7199"/>
    <w:rsid w:val="002F012F"/>
    <w:rsid w:val="002F0513"/>
    <w:rsid w:val="002F0990"/>
    <w:rsid w:val="002F0C58"/>
    <w:rsid w:val="002F13D1"/>
    <w:rsid w:val="002F2509"/>
    <w:rsid w:val="002F37F8"/>
    <w:rsid w:val="002F3954"/>
    <w:rsid w:val="002F3A63"/>
    <w:rsid w:val="002F4EDB"/>
    <w:rsid w:val="002F60D3"/>
    <w:rsid w:val="002F7574"/>
    <w:rsid w:val="00300A59"/>
    <w:rsid w:val="0030214A"/>
    <w:rsid w:val="00302E78"/>
    <w:rsid w:val="003035F7"/>
    <w:rsid w:val="00306288"/>
    <w:rsid w:val="003065CF"/>
    <w:rsid w:val="003072AF"/>
    <w:rsid w:val="00313E94"/>
    <w:rsid w:val="00314084"/>
    <w:rsid w:val="003140F9"/>
    <w:rsid w:val="003148EA"/>
    <w:rsid w:val="003150CA"/>
    <w:rsid w:val="00315CB8"/>
    <w:rsid w:val="00315D8D"/>
    <w:rsid w:val="00316831"/>
    <w:rsid w:val="003168ED"/>
    <w:rsid w:val="00316AE1"/>
    <w:rsid w:val="003172EB"/>
    <w:rsid w:val="00317AB4"/>
    <w:rsid w:val="00317AE1"/>
    <w:rsid w:val="003204A5"/>
    <w:rsid w:val="00320C64"/>
    <w:rsid w:val="00321358"/>
    <w:rsid w:val="003219D2"/>
    <w:rsid w:val="00321E11"/>
    <w:rsid w:val="003224C7"/>
    <w:rsid w:val="003228A7"/>
    <w:rsid w:val="00322BD1"/>
    <w:rsid w:val="00323FEE"/>
    <w:rsid w:val="00324129"/>
    <w:rsid w:val="00324CE8"/>
    <w:rsid w:val="00325526"/>
    <w:rsid w:val="0032562C"/>
    <w:rsid w:val="00325BD4"/>
    <w:rsid w:val="00326A33"/>
    <w:rsid w:val="0032785C"/>
    <w:rsid w:val="00327E36"/>
    <w:rsid w:val="00327E53"/>
    <w:rsid w:val="00330795"/>
    <w:rsid w:val="00330E85"/>
    <w:rsid w:val="00331784"/>
    <w:rsid w:val="0033219D"/>
    <w:rsid w:val="0033244F"/>
    <w:rsid w:val="00334624"/>
    <w:rsid w:val="00335693"/>
    <w:rsid w:val="00335897"/>
    <w:rsid w:val="00335E8E"/>
    <w:rsid w:val="003360C3"/>
    <w:rsid w:val="0033634C"/>
    <w:rsid w:val="0033669D"/>
    <w:rsid w:val="003367DD"/>
    <w:rsid w:val="00341D16"/>
    <w:rsid w:val="0034206E"/>
    <w:rsid w:val="00343E5D"/>
    <w:rsid w:val="0034439B"/>
    <w:rsid w:val="003455A7"/>
    <w:rsid w:val="003469BB"/>
    <w:rsid w:val="00347DB5"/>
    <w:rsid w:val="003502D9"/>
    <w:rsid w:val="00350743"/>
    <w:rsid w:val="00350A47"/>
    <w:rsid w:val="003513CA"/>
    <w:rsid w:val="00351FAC"/>
    <w:rsid w:val="003529AF"/>
    <w:rsid w:val="00353652"/>
    <w:rsid w:val="00354906"/>
    <w:rsid w:val="00354F22"/>
    <w:rsid w:val="003555FB"/>
    <w:rsid w:val="003564CA"/>
    <w:rsid w:val="0035756C"/>
    <w:rsid w:val="00357751"/>
    <w:rsid w:val="003601F1"/>
    <w:rsid w:val="00360BFC"/>
    <w:rsid w:val="00362A40"/>
    <w:rsid w:val="0036300E"/>
    <w:rsid w:val="00363BF3"/>
    <w:rsid w:val="003649E8"/>
    <w:rsid w:val="00366631"/>
    <w:rsid w:val="00366779"/>
    <w:rsid w:val="003679D5"/>
    <w:rsid w:val="00367B79"/>
    <w:rsid w:val="00367E9E"/>
    <w:rsid w:val="003700BB"/>
    <w:rsid w:val="0037015D"/>
    <w:rsid w:val="0037217E"/>
    <w:rsid w:val="00373BB6"/>
    <w:rsid w:val="00374F02"/>
    <w:rsid w:val="00375614"/>
    <w:rsid w:val="00375DDE"/>
    <w:rsid w:val="00376315"/>
    <w:rsid w:val="0037752F"/>
    <w:rsid w:val="00377C43"/>
    <w:rsid w:val="003806D9"/>
    <w:rsid w:val="00380E60"/>
    <w:rsid w:val="00381483"/>
    <w:rsid w:val="00381ACE"/>
    <w:rsid w:val="00381C36"/>
    <w:rsid w:val="00381D62"/>
    <w:rsid w:val="00382ADF"/>
    <w:rsid w:val="0038496C"/>
    <w:rsid w:val="003849AE"/>
    <w:rsid w:val="003869D5"/>
    <w:rsid w:val="00386B48"/>
    <w:rsid w:val="00387759"/>
    <w:rsid w:val="003905B9"/>
    <w:rsid w:val="00390ED2"/>
    <w:rsid w:val="0039206E"/>
    <w:rsid w:val="00392A4B"/>
    <w:rsid w:val="00392AA2"/>
    <w:rsid w:val="00393BA3"/>
    <w:rsid w:val="00393BE7"/>
    <w:rsid w:val="003948B9"/>
    <w:rsid w:val="0039527F"/>
    <w:rsid w:val="00395A71"/>
    <w:rsid w:val="0039682A"/>
    <w:rsid w:val="003A1C8B"/>
    <w:rsid w:val="003A372E"/>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45DC"/>
    <w:rsid w:val="003B5FEE"/>
    <w:rsid w:val="003B71EB"/>
    <w:rsid w:val="003B76D9"/>
    <w:rsid w:val="003C0CEB"/>
    <w:rsid w:val="003C1FED"/>
    <w:rsid w:val="003C351A"/>
    <w:rsid w:val="003C3BC6"/>
    <w:rsid w:val="003C5913"/>
    <w:rsid w:val="003C5934"/>
    <w:rsid w:val="003C5AE4"/>
    <w:rsid w:val="003C5DB2"/>
    <w:rsid w:val="003C64BD"/>
    <w:rsid w:val="003C7080"/>
    <w:rsid w:val="003C7884"/>
    <w:rsid w:val="003D11D0"/>
    <w:rsid w:val="003D239A"/>
    <w:rsid w:val="003D2C74"/>
    <w:rsid w:val="003D5245"/>
    <w:rsid w:val="003D5507"/>
    <w:rsid w:val="003D56AE"/>
    <w:rsid w:val="003D56B3"/>
    <w:rsid w:val="003D5A10"/>
    <w:rsid w:val="003D5E6D"/>
    <w:rsid w:val="003D67D3"/>
    <w:rsid w:val="003D7CB9"/>
    <w:rsid w:val="003D7D19"/>
    <w:rsid w:val="003E0F6A"/>
    <w:rsid w:val="003E0F7C"/>
    <w:rsid w:val="003E1276"/>
    <w:rsid w:val="003E2B73"/>
    <w:rsid w:val="003E2F03"/>
    <w:rsid w:val="003E3BBF"/>
    <w:rsid w:val="003E424A"/>
    <w:rsid w:val="003E4AAE"/>
    <w:rsid w:val="003E5BF8"/>
    <w:rsid w:val="003E6632"/>
    <w:rsid w:val="003E75F3"/>
    <w:rsid w:val="003F04A3"/>
    <w:rsid w:val="003F0D9E"/>
    <w:rsid w:val="003F1974"/>
    <w:rsid w:val="003F2109"/>
    <w:rsid w:val="003F2490"/>
    <w:rsid w:val="003F2790"/>
    <w:rsid w:val="003F50FF"/>
    <w:rsid w:val="003F5462"/>
    <w:rsid w:val="003F5900"/>
    <w:rsid w:val="003F59D6"/>
    <w:rsid w:val="003F6355"/>
    <w:rsid w:val="00400266"/>
    <w:rsid w:val="00401A9A"/>
    <w:rsid w:val="00402EEA"/>
    <w:rsid w:val="00404201"/>
    <w:rsid w:val="0040496A"/>
    <w:rsid w:val="00405CEF"/>
    <w:rsid w:val="00406337"/>
    <w:rsid w:val="00406A00"/>
    <w:rsid w:val="004074B3"/>
    <w:rsid w:val="004075EA"/>
    <w:rsid w:val="00410C82"/>
    <w:rsid w:val="0041108E"/>
    <w:rsid w:val="00412DF2"/>
    <w:rsid w:val="004138F5"/>
    <w:rsid w:val="00413B56"/>
    <w:rsid w:val="00413D22"/>
    <w:rsid w:val="00414C90"/>
    <w:rsid w:val="004165B0"/>
    <w:rsid w:val="004165D6"/>
    <w:rsid w:val="00421047"/>
    <w:rsid w:val="0042163E"/>
    <w:rsid w:val="00423163"/>
    <w:rsid w:val="004244A5"/>
    <w:rsid w:val="004248D0"/>
    <w:rsid w:val="004256B2"/>
    <w:rsid w:val="00425D6B"/>
    <w:rsid w:val="00427318"/>
    <w:rsid w:val="004276CD"/>
    <w:rsid w:val="0042778E"/>
    <w:rsid w:val="00427843"/>
    <w:rsid w:val="00427DCC"/>
    <w:rsid w:val="004302B6"/>
    <w:rsid w:val="0043230A"/>
    <w:rsid w:val="004326C5"/>
    <w:rsid w:val="004337C6"/>
    <w:rsid w:val="0043511C"/>
    <w:rsid w:val="00435538"/>
    <w:rsid w:val="00435BFF"/>
    <w:rsid w:val="00437E88"/>
    <w:rsid w:val="00440672"/>
    <w:rsid w:val="00440684"/>
    <w:rsid w:val="00441E70"/>
    <w:rsid w:val="0044205C"/>
    <w:rsid w:val="00443779"/>
    <w:rsid w:val="00443CCC"/>
    <w:rsid w:val="004441E4"/>
    <w:rsid w:val="004448E8"/>
    <w:rsid w:val="00444C6D"/>
    <w:rsid w:val="004474FB"/>
    <w:rsid w:val="00451785"/>
    <w:rsid w:val="004528CC"/>
    <w:rsid w:val="004529C3"/>
    <w:rsid w:val="0045608B"/>
    <w:rsid w:val="004616E4"/>
    <w:rsid w:val="00463A32"/>
    <w:rsid w:val="004652FD"/>
    <w:rsid w:val="004657F4"/>
    <w:rsid w:val="00466979"/>
    <w:rsid w:val="00466D17"/>
    <w:rsid w:val="00467E20"/>
    <w:rsid w:val="00472108"/>
    <w:rsid w:val="00472A4C"/>
    <w:rsid w:val="00472B05"/>
    <w:rsid w:val="00472D2A"/>
    <w:rsid w:val="00472E85"/>
    <w:rsid w:val="00473068"/>
    <w:rsid w:val="004735D5"/>
    <w:rsid w:val="0047556B"/>
    <w:rsid w:val="00475C2D"/>
    <w:rsid w:val="00477226"/>
    <w:rsid w:val="004810FA"/>
    <w:rsid w:val="004813E8"/>
    <w:rsid w:val="004827F3"/>
    <w:rsid w:val="004829F2"/>
    <w:rsid w:val="00483BF9"/>
    <w:rsid w:val="004848B2"/>
    <w:rsid w:val="00486114"/>
    <w:rsid w:val="004863E4"/>
    <w:rsid w:val="00487264"/>
    <w:rsid w:val="00490D2A"/>
    <w:rsid w:val="0049105D"/>
    <w:rsid w:val="004918C4"/>
    <w:rsid w:val="00492978"/>
    <w:rsid w:val="00492D66"/>
    <w:rsid w:val="004932A2"/>
    <w:rsid w:val="00494103"/>
    <w:rsid w:val="00494134"/>
    <w:rsid w:val="00494430"/>
    <w:rsid w:val="004944BA"/>
    <w:rsid w:val="00494625"/>
    <w:rsid w:val="004948B3"/>
    <w:rsid w:val="00496E8C"/>
    <w:rsid w:val="00496EAA"/>
    <w:rsid w:val="0049717F"/>
    <w:rsid w:val="004978D2"/>
    <w:rsid w:val="004A00B9"/>
    <w:rsid w:val="004A08D7"/>
    <w:rsid w:val="004A5151"/>
    <w:rsid w:val="004A5DB1"/>
    <w:rsid w:val="004A687F"/>
    <w:rsid w:val="004A7359"/>
    <w:rsid w:val="004B14B1"/>
    <w:rsid w:val="004B153A"/>
    <w:rsid w:val="004B1E36"/>
    <w:rsid w:val="004B2E9C"/>
    <w:rsid w:val="004B3140"/>
    <w:rsid w:val="004B3161"/>
    <w:rsid w:val="004B3797"/>
    <w:rsid w:val="004B5BAF"/>
    <w:rsid w:val="004B5CB4"/>
    <w:rsid w:val="004B632A"/>
    <w:rsid w:val="004B7E82"/>
    <w:rsid w:val="004C06AD"/>
    <w:rsid w:val="004C0946"/>
    <w:rsid w:val="004C0C08"/>
    <w:rsid w:val="004C13CF"/>
    <w:rsid w:val="004C1A1B"/>
    <w:rsid w:val="004C205A"/>
    <w:rsid w:val="004C2814"/>
    <w:rsid w:val="004C6B18"/>
    <w:rsid w:val="004C7EB2"/>
    <w:rsid w:val="004D0163"/>
    <w:rsid w:val="004D0AC5"/>
    <w:rsid w:val="004D19EB"/>
    <w:rsid w:val="004D1AAF"/>
    <w:rsid w:val="004D3210"/>
    <w:rsid w:val="004D35C6"/>
    <w:rsid w:val="004D7B9F"/>
    <w:rsid w:val="004D7E02"/>
    <w:rsid w:val="004E02B0"/>
    <w:rsid w:val="004E06B4"/>
    <w:rsid w:val="004E189A"/>
    <w:rsid w:val="004E1A28"/>
    <w:rsid w:val="004E2076"/>
    <w:rsid w:val="004E2429"/>
    <w:rsid w:val="004E265E"/>
    <w:rsid w:val="004E2F8E"/>
    <w:rsid w:val="004E318F"/>
    <w:rsid w:val="004E5A0A"/>
    <w:rsid w:val="004E6694"/>
    <w:rsid w:val="004E6764"/>
    <w:rsid w:val="004E791F"/>
    <w:rsid w:val="004F021C"/>
    <w:rsid w:val="004F1757"/>
    <w:rsid w:val="004F1D20"/>
    <w:rsid w:val="004F326C"/>
    <w:rsid w:val="004F38A6"/>
    <w:rsid w:val="004F444A"/>
    <w:rsid w:val="004F5575"/>
    <w:rsid w:val="004F79D9"/>
    <w:rsid w:val="004F7EA1"/>
    <w:rsid w:val="005014BC"/>
    <w:rsid w:val="00501617"/>
    <w:rsid w:val="00502229"/>
    <w:rsid w:val="005030DE"/>
    <w:rsid w:val="00504BCF"/>
    <w:rsid w:val="0050634D"/>
    <w:rsid w:val="00506A57"/>
    <w:rsid w:val="005078B2"/>
    <w:rsid w:val="005079C1"/>
    <w:rsid w:val="00507BBF"/>
    <w:rsid w:val="00511260"/>
    <w:rsid w:val="00511565"/>
    <w:rsid w:val="0051172C"/>
    <w:rsid w:val="0051380C"/>
    <w:rsid w:val="00514878"/>
    <w:rsid w:val="0051706E"/>
    <w:rsid w:val="00520E7F"/>
    <w:rsid w:val="00523DBC"/>
    <w:rsid w:val="005244E9"/>
    <w:rsid w:val="00525DF3"/>
    <w:rsid w:val="005279BE"/>
    <w:rsid w:val="00530509"/>
    <w:rsid w:val="00531F22"/>
    <w:rsid w:val="00531FFD"/>
    <w:rsid w:val="00532080"/>
    <w:rsid w:val="0053706D"/>
    <w:rsid w:val="00537345"/>
    <w:rsid w:val="00541F92"/>
    <w:rsid w:val="00543F0E"/>
    <w:rsid w:val="00545009"/>
    <w:rsid w:val="00545140"/>
    <w:rsid w:val="00545668"/>
    <w:rsid w:val="00545989"/>
    <w:rsid w:val="00546644"/>
    <w:rsid w:val="0055038B"/>
    <w:rsid w:val="0055098F"/>
    <w:rsid w:val="005517B9"/>
    <w:rsid w:val="00553E7D"/>
    <w:rsid w:val="005542BD"/>
    <w:rsid w:val="00556489"/>
    <w:rsid w:val="00556783"/>
    <w:rsid w:val="00556EDA"/>
    <w:rsid w:val="00556FC7"/>
    <w:rsid w:val="005573D6"/>
    <w:rsid w:val="0056029F"/>
    <w:rsid w:val="00561D1E"/>
    <w:rsid w:val="0056509F"/>
    <w:rsid w:val="00565326"/>
    <w:rsid w:val="00565F25"/>
    <w:rsid w:val="00566143"/>
    <w:rsid w:val="005678B0"/>
    <w:rsid w:val="005703D6"/>
    <w:rsid w:val="00570A0D"/>
    <w:rsid w:val="00571B79"/>
    <w:rsid w:val="005754FC"/>
    <w:rsid w:val="00575F9C"/>
    <w:rsid w:val="00576979"/>
    <w:rsid w:val="00577D50"/>
    <w:rsid w:val="00580B93"/>
    <w:rsid w:val="00580D85"/>
    <w:rsid w:val="005813AC"/>
    <w:rsid w:val="0058354A"/>
    <w:rsid w:val="00584911"/>
    <w:rsid w:val="00584BA7"/>
    <w:rsid w:val="00585B0D"/>
    <w:rsid w:val="00586CFB"/>
    <w:rsid w:val="005879AD"/>
    <w:rsid w:val="00587D29"/>
    <w:rsid w:val="00591072"/>
    <w:rsid w:val="005934B8"/>
    <w:rsid w:val="00594509"/>
    <w:rsid w:val="00594C9D"/>
    <w:rsid w:val="00595272"/>
    <w:rsid w:val="00595AB1"/>
    <w:rsid w:val="00595C65"/>
    <w:rsid w:val="00595EFC"/>
    <w:rsid w:val="005964E5"/>
    <w:rsid w:val="005969E2"/>
    <w:rsid w:val="00597705"/>
    <w:rsid w:val="005A2449"/>
    <w:rsid w:val="005A2C73"/>
    <w:rsid w:val="005A3E4D"/>
    <w:rsid w:val="005A4094"/>
    <w:rsid w:val="005A4FC0"/>
    <w:rsid w:val="005A71F7"/>
    <w:rsid w:val="005A7EC0"/>
    <w:rsid w:val="005B004C"/>
    <w:rsid w:val="005B1333"/>
    <w:rsid w:val="005B1872"/>
    <w:rsid w:val="005B3053"/>
    <w:rsid w:val="005B4110"/>
    <w:rsid w:val="005B4CF9"/>
    <w:rsid w:val="005B53C5"/>
    <w:rsid w:val="005B6080"/>
    <w:rsid w:val="005B649F"/>
    <w:rsid w:val="005B75C8"/>
    <w:rsid w:val="005B7922"/>
    <w:rsid w:val="005B7CEE"/>
    <w:rsid w:val="005C02DF"/>
    <w:rsid w:val="005C1439"/>
    <w:rsid w:val="005C15DC"/>
    <w:rsid w:val="005C1DEC"/>
    <w:rsid w:val="005C28AE"/>
    <w:rsid w:val="005C36E4"/>
    <w:rsid w:val="005C4FDA"/>
    <w:rsid w:val="005C5C47"/>
    <w:rsid w:val="005C6528"/>
    <w:rsid w:val="005C6A41"/>
    <w:rsid w:val="005D0320"/>
    <w:rsid w:val="005D0B78"/>
    <w:rsid w:val="005D17FA"/>
    <w:rsid w:val="005D25D6"/>
    <w:rsid w:val="005D26E9"/>
    <w:rsid w:val="005D3407"/>
    <w:rsid w:val="005D3941"/>
    <w:rsid w:val="005D3D97"/>
    <w:rsid w:val="005D411A"/>
    <w:rsid w:val="005D46A5"/>
    <w:rsid w:val="005D47C3"/>
    <w:rsid w:val="005D5E9D"/>
    <w:rsid w:val="005D6BF3"/>
    <w:rsid w:val="005D6D77"/>
    <w:rsid w:val="005E2F30"/>
    <w:rsid w:val="005E319E"/>
    <w:rsid w:val="005E3541"/>
    <w:rsid w:val="005E411E"/>
    <w:rsid w:val="005E560B"/>
    <w:rsid w:val="005E601A"/>
    <w:rsid w:val="005E6CD1"/>
    <w:rsid w:val="005E7021"/>
    <w:rsid w:val="005F03D5"/>
    <w:rsid w:val="005F04A5"/>
    <w:rsid w:val="005F0A52"/>
    <w:rsid w:val="005F158C"/>
    <w:rsid w:val="005F236B"/>
    <w:rsid w:val="005F6D85"/>
    <w:rsid w:val="005F77BC"/>
    <w:rsid w:val="00600269"/>
    <w:rsid w:val="0060138F"/>
    <w:rsid w:val="00602059"/>
    <w:rsid w:val="0060391E"/>
    <w:rsid w:val="0060443D"/>
    <w:rsid w:val="0060486E"/>
    <w:rsid w:val="006062FB"/>
    <w:rsid w:val="00606867"/>
    <w:rsid w:val="00607419"/>
    <w:rsid w:val="006101AF"/>
    <w:rsid w:val="0061063B"/>
    <w:rsid w:val="00610E7A"/>
    <w:rsid w:val="00612393"/>
    <w:rsid w:val="00612910"/>
    <w:rsid w:val="00612ACF"/>
    <w:rsid w:val="00613E36"/>
    <w:rsid w:val="006141FB"/>
    <w:rsid w:val="00614A7A"/>
    <w:rsid w:val="00616B35"/>
    <w:rsid w:val="00617A30"/>
    <w:rsid w:val="00617F99"/>
    <w:rsid w:val="006215E6"/>
    <w:rsid w:val="00621B4B"/>
    <w:rsid w:val="006232F1"/>
    <w:rsid w:val="00623DDE"/>
    <w:rsid w:val="0062410D"/>
    <w:rsid w:val="00624695"/>
    <w:rsid w:val="006249C3"/>
    <w:rsid w:val="00625D2D"/>
    <w:rsid w:val="006271A4"/>
    <w:rsid w:val="00630138"/>
    <w:rsid w:val="006313FC"/>
    <w:rsid w:val="00631A55"/>
    <w:rsid w:val="006332E5"/>
    <w:rsid w:val="006332F2"/>
    <w:rsid w:val="0063370A"/>
    <w:rsid w:val="00634B17"/>
    <w:rsid w:val="00636D18"/>
    <w:rsid w:val="00637A17"/>
    <w:rsid w:val="00640DB2"/>
    <w:rsid w:val="00641035"/>
    <w:rsid w:val="00641661"/>
    <w:rsid w:val="00643BC9"/>
    <w:rsid w:val="00644FB0"/>
    <w:rsid w:val="00645EE3"/>
    <w:rsid w:val="00646DB4"/>
    <w:rsid w:val="00646F39"/>
    <w:rsid w:val="006476E6"/>
    <w:rsid w:val="00650EE2"/>
    <w:rsid w:val="006511A4"/>
    <w:rsid w:val="006513E2"/>
    <w:rsid w:val="00651916"/>
    <w:rsid w:val="00651DE7"/>
    <w:rsid w:val="006529F7"/>
    <w:rsid w:val="006531C9"/>
    <w:rsid w:val="006535E1"/>
    <w:rsid w:val="00654A76"/>
    <w:rsid w:val="0066025E"/>
    <w:rsid w:val="00661D64"/>
    <w:rsid w:val="00662682"/>
    <w:rsid w:val="006639A0"/>
    <w:rsid w:val="00663D7F"/>
    <w:rsid w:val="00664CD0"/>
    <w:rsid w:val="00665D94"/>
    <w:rsid w:val="00665E7B"/>
    <w:rsid w:val="006668FE"/>
    <w:rsid w:val="00667591"/>
    <w:rsid w:val="00667F9F"/>
    <w:rsid w:val="00670A59"/>
    <w:rsid w:val="006710E7"/>
    <w:rsid w:val="00671A0B"/>
    <w:rsid w:val="0067210D"/>
    <w:rsid w:val="00675C81"/>
    <w:rsid w:val="006761D5"/>
    <w:rsid w:val="0068034D"/>
    <w:rsid w:val="00681152"/>
    <w:rsid w:val="00682987"/>
    <w:rsid w:val="00682CE5"/>
    <w:rsid w:val="006841DC"/>
    <w:rsid w:val="0068468E"/>
    <w:rsid w:val="00684A96"/>
    <w:rsid w:val="0068510E"/>
    <w:rsid w:val="00685DAD"/>
    <w:rsid w:val="0068612E"/>
    <w:rsid w:val="0068615D"/>
    <w:rsid w:val="0068675A"/>
    <w:rsid w:val="0069106B"/>
    <w:rsid w:val="00691AF2"/>
    <w:rsid w:val="00691CB2"/>
    <w:rsid w:val="00692B01"/>
    <w:rsid w:val="00694527"/>
    <w:rsid w:val="0069485B"/>
    <w:rsid w:val="0069550C"/>
    <w:rsid w:val="00696412"/>
    <w:rsid w:val="00696D51"/>
    <w:rsid w:val="00697465"/>
    <w:rsid w:val="00697EB1"/>
    <w:rsid w:val="006A2310"/>
    <w:rsid w:val="006A2706"/>
    <w:rsid w:val="006A4120"/>
    <w:rsid w:val="006A498B"/>
    <w:rsid w:val="006A4D67"/>
    <w:rsid w:val="006A634E"/>
    <w:rsid w:val="006A6FD0"/>
    <w:rsid w:val="006A7DA6"/>
    <w:rsid w:val="006B150C"/>
    <w:rsid w:val="006B1DCE"/>
    <w:rsid w:val="006B36A7"/>
    <w:rsid w:val="006B3736"/>
    <w:rsid w:val="006B42B2"/>
    <w:rsid w:val="006B54EB"/>
    <w:rsid w:val="006B6180"/>
    <w:rsid w:val="006B692B"/>
    <w:rsid w:val="006B78AB"/>
    <w:rsid w:val="006B7AA2"/>
    <w:rsid w:val="006C112F"/>
    <w:rsid w:val="006C177A"/>
    <w:rsid w:val="006C1B13"/>
    <w:rsid w:val="006C261C"/>
    <w:rsid w:val="006C32C4"/>
    <w:rsid w:val="006C76E4"/>
    <w:rsid w:val="006D067F"/>
    <w:rsid w:val="006D07FB"/>
    <w:rsid w:val="006D19C0"/>
    <w:rsid w:val="006D23D2"/>
    <w:rsid w:val="006D5A67"/>
    <w:rsid w:val="006D762E"/>
    <w:rsid w:val="006D7DB3"/>
    <w:rsid w:val="006D7DFD"/>
    <w:rsid w:val="006E00E1"/>
    <w:rsid w:val="006E16D1"/>
    <w:rsid w:val="006E1BCA"/>
    <w:rsid w:val="006E2B6D"/>
    <w:rsid w:val="006E3C88"/>
    <w:rsid w:val="006E44C3"/>
    <w:rsid w:val="006E4C1C"/>
    <w:rsid w:val="006E65E9"/>
    <w:rsid w:val="006F09D8"/>
    <w:rsid w:val="006F1624"/>
    <w:rsid w:val="006F1758"/>
    <w:rsid w:val="006F3052"/>
    <w:rsid w:val="006F31BD"/>
    <w:rsid w:val="006F3259"/>
    <w:rsid w:val="006F3C00"/>
    <w:rsid w:val="006F5D40"/>
    <w:rsid w:val="006F78DB"/>
    <w:rsid w:val="00702C42"/>
    <w:rsid w:val="00703775"/>
    <w:rsid w:val="00704A2E"/>
    <w:rsid w:val="007057AB"/>
    <w:rsid w:val="00705F57"/>
    <w:rsid w:val="00706CF2"/>
    <w:rsid w:val="00707343"/>
    <w:rsid w:val="007073FB"/>
    <w:rsid w:val="00710C28"/>
    <w:rsid w:val="00711C08"/>
    <w:rsid w:val="00711CC1"/>
    <w:rsid w:val="00712ED3"/>
    <w:rsid w:val="00714697"/>
    <w:rsid w:val="00714C9E"/>
    <w:rsid w:val="00715651"/>
    <w:rsid w:val="00717903"/>
    <w:rsid w:val="00717AD5"/>
    <w:rsid w:val="00717B10"/>
    <w:rsid w:val="00717C39"/>
    <w:rsid w:val="00721F61"/>
    <w:rsid w:val="00724B29"/>
    <w:rsid w:val="00724B8B"/>
    <w:rsid w:val="00725A1A"/>
    <w:rsid w:val="00727A78"/>
    <w:rsid w:val="00730A5A"/>
    <w:rsid w:val="00731207"/>
    <w:rsid w:val="0073144D"/>
    <w:rsid w:val="007322EF"/>
    <w:rsid w:val="00733350"/>
    <w:rsid w:val="00734430"/>
    <w:rsid w:val="00735B38"/>
    <w:rsid w:val="00735E0B"/>
    <w:rsid w:val="0074053C"/>
    <w:rsid w:val="007426C8"/>
    <w:rsid w:val="00743D4D"/>
    <w:rsid w:val="00743EB1"/>
    <w:rsid w:val="0074485F"/>
    <w:rsid w:val="007451A8"/>
    <w:rsid w:val="0074527C"/>
    <w:rsid w:val="00745BF2"/>
    <w:rsid w:val="00745E2B"/>
    <w:rsid w:val="00746757"/>
    <w:rsid w:val="0075135E"/>
    <w:rsid w:val="00751ADD"/>
    <w:rsid w:val="007520F6"/>
    <w:rsid w:val="007532C0"/>
    <w:rsid w:val="0075446B"/>
    <w:rsid w:val="00756020"/>
    <w:rsid w:val="00756098"/>
    <w:rsid w:val="007561E3"/>
    <w:rsid w:val="00757F3C"/>
    <w:rsid w:val="007631E0"/>
    <w:rsid w:val="00763628"/>
    <w:rsid w:val="00763BF3"/>
    <w:rsid w:val="007645AD"/>
    <w:rsid w:val="00764F87"/>
    <w:rsid w:val="0076663D"/>
    <w:rsid w:val="00767A6B"/>
    <w:rsid w:val="00771094"/>
    <w:rsid w:val="00771421"/>
    <w:rsid w:val="007720E2"/>
    <w:rsid w:val="00772E4B"/>
    <w:rsid w:val="007744D5"/>
    <w:rsid w:val="0077459E"/>
    <w:rsid w:val="00774DAE"/>
    <w:rsid w:val="00775448"/>
    <w:rsid w:val="00776638"/>
    <w:rsid w:val="0077676B"/>
    <w:rsid w:val="00777038"/>
    <w:rsid w:val="007778BD"/>
    <w:rsid w:val="00782194"/>
    <w:rsid w:val="00782782"/>
    <w:rsid w:val="00782CBB"/>
    <w:rsid w:val="007841E0"/>
    <w:rsid w:val="0078474D"/>
    <w:rsid w:val="0078594C"/>
    <w:rsid w:val="007863FC"/>
    <w:rsid w:val="007866DC"/>
    <w:rsid w:val="00791465"/>
    <w:rsid w:val="0079276A"/>
    <w:rsid w:val="00793EE2"/>
    <w:rsid w:val="00794AA8"/>
    <w:rsid w:val="00796986"/>
    <w:rsid w:val="00796F39"/>
    <w:rsid w:val="00796F7A"/>
    <w:rsid w:val="0079725E"/>
    <w:rsid w:val="00797A49"/>
    <w:rsid w:val="007A1488"/>
    <w:rsid w:val="007A1A81"/>
    <w:rsid w:val="007A2884"/>
    <w:rsid w:val="007A3705"/>
    <w:rsid w:val="007A39B0"/>
    <w:rsid w:val="007A4398"/>
    <w:rsid w:val="007A44E1"/>
    <w:rsid w:val="007A473F"/>
    <w:rsid w:val="007A7BBE"/>
    <w:rsid w:val="007B196E"/>
    <w:rsid w:val="007B1F09"/>
    <w:rsid w:val="007B566C"/>
    <w:rsid w:val="007B686F"/>
    <w:rsid w:val="007B6CEF"/>
    <w:rsid w:val="007C1556"/>
    <w:rsid w:val="007C17AD"/>
    <w:rsid w:val="007C247A"/>
    <w:rsid w:val="007C2EB9"/>
    <w:rsid w:val="007C4731"/>
    <w:rsid w:val="007C546A"/>
    <w:rsid w:val="007D03B8"/>
    <w:rsid w:val="007D0644"/>
    <w:rsid w:val="007D0A2D"/>
    <w:rsid w:val="007D206A"/>
    <w:rsid w:val="007D3ACE"/>
    <w:rsid w:val="007D3DEE"/>
    <w:rsid w:val="007D64EC"/>
    <w:rsid w:val="007E04A2"/>
    <w:rsid w:val="007E05A2"/>
    <w:rsid w:val="007E1089"/>
    <w:rsid w:val="007E1B26"/>
    <w:rsid w:val="007E1F8D"/>
    <w:rsid w:val="007E22A8"/>
    <w:rsid w:val="007E550D"/>
    <w:rsid w:val="007E5E24"/>
    <w:rsid w:val="007F0A08"/>
    <w:rsid w:val="007F1E72"/>
    <w:rsid w:val="007F2501"/>
    <w:rsid w:val="007F2C37"/>
    <w:rsid w:val="007F40AA"/>
    <w:rsid w:val="007F4798"/>
    <w:rsid w:val="007F74C8"/>
    <w:rsid w:val="00800374"/>
    <w:rsid w:val="00800438"/>
    <w:rsid w:val="008019A5"/>
    <w:rsid w:val="008020C2"/>
    <w:rsid w:val="008020CD"/>
    <w:rsid w:val="008022E3"/>
    <w:rsid w:val="00803543"/>
    <w:rsid w:val="00806AFC"/>
    <w:rsid w:val="00810336"/>
    <w:rsid w:val="00810BE5"/>
    <w:rsid w:val="0081156D"/>
    <w:rsid w:val="00811B30"/>
    <w:rsid w:val="00812D95"/>
    <w:rsid w:val="008132B9"/>
    <w:rsid w:val="00813448"/>
    <w:rsid w:val="00814EDE"/>
    <w:rsid w:val="0081612B"/>
    <w:rsid w:val="00816CDE"/>
    <w:rsid w:val="00816ED1"/>
    <w:rsid w:val="00820076"/>
    <w:rsid w:val="00821D82"/>
    <w:rsid w:val="00822E41"/>
    <w:rsid w:val="008230F2"/>
    <w:rsid w:val="00823442"/>
    <w:rsid w:val="00823CFE"/>
    <w:rsid w:val="008242ED"/>
    <w:rsid w:val="008276BB"/>
    <w:rsid w:val="00830127"/>
    <w:rsid w:val="00830F6A"/>
    <w:rsid w:val="00832EA6"/>
    <w:rsid w:val="00832FD6"/>
    <w:rsid w:val="0083336E"/>
    <w:rsid w:val="00833645"/>
    <w:rsid w:val="00834066"/>
    <w:rsid w:val="008343B4"/>
    <w:rsid w:val="00835889"/>
    <w:rsid w:val="00835942"/>
    <w:rsid w:val="00837B9A"/>
    <w:rsid w:val="00837E1F"/>
    <w:rsid w:val="008405CE"/>
    <w:rsid w:val="008405CF"/>
    <w:rsid w:val="00841726"/>
    <w:rsid w:val="008417D1"/>
    <w:rsid w:val="008426AA"/>
    <w:rsid w:val="0084295A"/>
    <w:rsid w:val="0084393F"/>
    <w:rsid w:val="008450D5"/>
    <w:rsid w:val="00846184"/>
    <w:rsid w:val="00846269"/>
    <w:rsid w:val="008468E1"/>
    <w:rsid w:val="00851511"/>
    <w:rsid w:val="00851562"/>
    <w:rsid w:val="008536CA"/>
    <w:rsid w:val="008547C2"/>
    <w:rsid w:val="00854A89"/>
    <w:rsid w:val="00855355"/>
    <w:rsid w:val="008557C2"/>
    <w:rsid w:val="00855F97"/>
    <w:rsid w:val="00856066"/>
    <w:rsid w:val="0086080D"/>
    <w:rsid w:val="008621E7"/>
    <w:rsid w:val="0086320B"/>
    <w:rsid w:val="008634DE"/>
    <w:rsid w:val="008647BD"/>
    <w:rsid w:val="00864AD0"/>
    <w:rsid w:val="008665C4"/>
    <w:rsid w:val="008671C7"/>
    <w:rsid w:val="0086751C"/>
    <w:rsid w:val="008677E3"/>
    <w:rsid w:val="008708CE"/>
    <w:rsid w:val="00870B41"/>
    <w:rsid w:val="0087195C"/>
    <w:rsid w:val="00871F71"/>
    <w:rsid w:val="008723F3"/>
    <w:rsid w:val="0087399A"/>
    <w:rsid w:val="00873C6E"/>
    <w:rsid w:val="00873EB9"/>
    <w:rsid w:val="008745DD"/>
    <w:rsid w:val="00875D5A"/>
    <w:rsid w:val="00875F1E"/>
    <w:rsid w:val="00876247"/>
    <w:rsid w:val="00880351"/>
    <w:rsid w:val="00880865"/>
    <w:rsid w:val="0088086C"/>
    <w:rsid w:val="008825BB"/>
    <w:rsid w:val="00882735"/>
    <w:rsid w:val="0088275A"/>
    <w:rsid w:val="008828FA"/>
    <w:rsid w:val="00882EFE"/>
    <w:rsid w:val="00885C05"/>
    <w:rsid w:val="00885F6F"/>
    <w:rsid w:val="008878AF"/>
    <w:rsid w:val="00890F28"/>
    <w:rsid w:val="00892541"/>
    <w:rsid w:val="0089372D"/>
    <w:rsid w:val="00893E14"/>
    <w:rsid w:val="0089533C"/>
    <w:rsid w:val="00895554"/>
    <w:rsid w:val="008957A8"/>
    <w:rsid w:val="00895A54"/>
    <w:rsid w:val="00896B6A"/>
    <w:rsid w:val="00897C06"/>
    <w:rsid w:val="008A0454"/>
    <w:rsid w:val="008A0A90"/>
    <w:rsid w:val="008A1381"/>
    <w:rsid w:val="008A1A60"/>
    <w:rsid w:val="008A2739"/>
    <w:rsid w:val="008A2991"/>
    <w:rsid w:val="008A309F"/>
    <w:rsid w:val="008A322B"/>
    <w:rsid w:val="008A3B56"/>
    <w:rsid w:val="008A4281"/>
    <w:rsid w:val="008A537D"/>
    <w:rsid w:val="008A5C0A"/>
    <w:rsid w:val="008A7240"/>
    <w:rsid w:val="008A75F3"/>
    <w:rsid w:val="008A7BFC"/>
    <w:rsid w:val="008A7CF7"/>
    <w:rsid w:val="008A7FAD"/>
    <w:rsid w:val="008B0573"/>
    <w:rsid w:val="008B100F"/>
    <w:rsid w:val="008B1DA6"/>
    <w:rsid w:val="008B23FE"/>
    <w:rsid w:val="008B3660"/>
    <w:rsid w:val="008B4039"/>
    <w:rsid w:val="008C06E3"/>
    <w:rsid w:val="008C210D"/>
    <w:rsid w:val="008C3E59"/>
    <w:rsid w:val="008C480D"/>
    <w:rsid w:val="008C4C45"/>
    <w:rsid w:val="008C651B"/>
    <w:rsid w:val="008C7116"/>
    <w:rsid w:val="008C7138"/>
    <w:rsid w:val="008D136B"/>
    <w:rsid w:val="008D1652"/>
    <w:rsid w:val="008D2564"/>
    <w:rsid w:val="008D3C26"/>
    <w:rsid w:val="008E1626"/>
    <w:rsid w:val="008E270C"/>
    <w:rsid w:val="008E41CB"/>
    <w:rsid w:val="008E47B3"/>
    <w:rsid w:val="008E51D4"/>
    <w:rsid w:val="008E5986"/>
    <w:rsid w:val="008E66F8"/>
    <w:rsid w:val="008E74EF"/>
    <w:rsid w:val="008E7904"/>
    <w:rsid w:val="008E7D42"/>
    <w:rsid w:val="008E7EFA"/>
    <w:rsid w:val="008F051D"/>
    <w:rsid w:val="008F0FC5"/>
    <w:rsid w:val="008F0FD2"/>
    <w:rsid w:val="008F17A3"/>
    <w:rsid w:val="008F2293"/>
    <w:rsid w:val="008F3083"/>
    <w:rsid w:val="008F4376"/>
    <w:rsid w:val="008F580D"/>
    <w:rsid w:val="008F59AF"/>
    <w:rsid w:val="008F5B07"/>
    <w:rsid w:val="008F5E59"/>
    <w:rsid w:val="008F61FC"/>
    <w:rsid w:val="008F74A5"/>
    <w:rsid w:val="00900F22"/>
    <w:rsid w:val="00901474"/>
    <w:rsid w:val="009014FD"/>
    <w:rsid w:val="00902AA7"/>
    <w:rsid w:val="00902C55"/>
    <w:rsid w:val="00903496"/>
    <w:rsid w:val="00903A37"/>
    <w:rsid w:val="009041F8"/>
    <w:rsid w:val="00904D53"/>
    <w:rsid w:val="00905C49"/>
    <w:rsid w:val="009069ED"/>
    <w:rsid w:val="00906C53"/>
    <w:rsid w:val="0090737A"/>
    <w:rsid w:val="00912364"/>
    <w:rsid w:val="00912CE6"/>
    <w:rsid w:val="00913FC0"/>
    <w:rsid w:val="00914432"/>
    <w:rsid w:val="0091491D"/>
    <w:rsid w:val="0091499E"/>
    <w:rsid w:val="0091517B"/>
    <w:rsid w:val="009157D7"/>
    <w:rsid w:val="00915A36"/>
    <w:rsid w:val="00915F33"/>
    <w:rsid w:val="00921527"/>
    <w:rsid w:val="00921592"/>
    <w:rsid w:val="00921597"/>
    <w:rsid w:val="00921696"/>
    <w:rsid w:val="00921904"/>
    <w:rsid w:val="009244CE"/>
    <w:rsid w:val="0092525C"/>
    <w:rsid w:val="009257EE"/>
    <w:rsid w:val="009262E3"/>
    <w:rsid w:val="00927E7F"/>
    <w:rsid w:val="009300E6"/>
    <w:rsid w:val="00931856"/>
    <w:rsid w:val="00931957"/>
    <w:rsid w:val="00932259"/>
    <w:rsid w:val="0093228D"/>
    <w:rsid w:val="009329D0"/>
    <w:rsid w:val="00932E39"/>
    <w:rsid w:val="00933CB6"/>
    <w:rsid w:val="0093529B"/>
    <w:rsid w:val="009353D4"/>
    <w:rsid w:val="00937B2D"/>
    <w:rsid w:val="00937F6E"/>
    <w:rsid w:val="00937FE9"/>
    <w:rsid w:val="00940225"/>
    <w:rsid w:val="009429D4"/>
    <w:rsid w:val="00943D4D"/>
    <w:rsid w:val="00944464"/>
    <w:rsid w:val="00945BC4"/>
    <w:rsid w:val="009503FE"/>
    <w:rsid w:val="0095203B"/>
    <w:rsid w:val="0095291D"/>
    <w:rsid w:val="00954778"/>
    <w:rsid w:val="00954BD1"/>
    <w:rsid w:val="0095687B"/>
    <w:rsid w:val="00957730"/>
    <w:rsid w:val="00960CDB"/>
    <w:rsid w:val="00962E0E"/>
    <w:rsid w:val="00964882"/>
    <w:rsid w:val="009648F1"/>
    <w:rsid w:val="00964C44"/>
    <w:rsid w:val="00964DFA"/>
    <w:rsid w:val="00965D33"/>
    <w:rsid w:val="0096634B"/>
    <w:rsid w:val="0097136D"/>
    <w:rsid w:val="00971D2F"/>
    <w:rsid w:val="0097269C"/>
    <w:rsid w:val="009737E6"/>
    <w:rsid w:val="00973CDB"/>
    <w:rsid w:val="0097492C"/>
    <w:rsid w:val="00974E2D"/>
    <w:rsid w:val="00975DB5"/>
    <w:rsid w:val="00976DCD"/>
    <w:rsid w:val="00976F0D"/>
    <w:rsid w:val="0097760D"/>
    <w:rsid w:val="0098066C"/>
    <w:rsid w:val="00980EC5"/>
    <w:rsid w:val="009812F2"/>
    <w:rsid w:val="009814B0"/>
    <w:rsid w:val="00981871"/>
    <w:rsid w:val="00982953"/>
    <w:rsid w:val="0098406F"/>
    <w:rsid w:val="00984181"/>
    <w:rsid w:val="0098559E"/>
    <w:rsid w:val="0098571F"/>
    <w:rsid w:val="00986FFF"/>
    <w:rsid w:val="00987780"/>
    <w:rsid w:val="0099005D"/>
    <w:rsid w:val="00990692"/>
    <w:rsid w:val="00991417"/>
    <w:rsid w:val="00992B0D"/>
    <w:rsid w:val="009949C6"/>
    <w:rsid w:val="00995198"/>
    <w:rsid w:val="0099694D"/>
    <w:rsid w:val="009969E0"/>
    <w:rsid w:val="00996B5C"/>
    <w:rsid w:val="00997FD6"/>
    <w:rsid w:val="009A0545"/>
    <w:rsid w:val="009A0B4E"/>
    <w:rsid w:val="009A1EC2"/>
    <w:rsid w:val="009A27BA"/>
    <w:rsid w:val="009A3014"/>
    <w:rsid w:val="009A36AF"/>
    <w:rsid w:val="009A3E97"/>
    <w:rsid w:val="009A591E"/>
    <w:rsid w:val="009A77E7"/>
    <w:rsid w:val="009B1B5C"/>
    <w:rsid w:val="009B306D"/>
    <w:rsid w:val="009B43BF"/>
    <w:rsid w:val="009B5983"/>
    <w:rsid w:val="009B7B65"/>
    <w:rsid w:val="009C0464"/>
    <w:rsid w:val="009C052D"/>
    <w:rsid w:val="009C09A0"/>
    <w:rsid w:val="009C2135"/>
    <w:rsid w:val="009C323D"/>
    <w:rsid w:val="009C36F1"/>
    <w:rsid w:val="009C3B51"/>
    <w:rsid w:val="009C3E3C"/>
    <w:rsid w:val="009C4F54"/>
    <w:rsid w:val="009C5271"/>
    <w:rsid w:val="009C5A2F"/>
    <w:rsid w:val="009C63A4"/>
    <w:rsid w:val="009C63D5"/>
    <w:rsid w:val="009C66CB"/>
    <w:rsid w:val="009C6B5F"/>
    <w:rsid w:val="009C787C"/>
    <w:rsid w:val="009C7FC6"/>
    <w:rsid w:val="009D161A"/>
    <w:rsid w:val="009D1693"/>
    <w:rsid w:val="009D1BCC"/>
    <w:rsid w:val="009D237C"/>
    <w:rsid w:val="009D2C8E"/>
    <w:rsid w:val="009D3D26"/>
    <w:rsid w:val="009D4AB7"/>
    <w:rsid w:val="009D5302"/>
    <w:rsid w:val="009D62F3"/>
    <w:rsid w:val="009D754F"/>
    <w:rsid w:val="009E115B"/>
    <w:rsid w:val="009E1896"/>
    <w:rsid w:val="009E1980"/>
    <w:rsid w:val="009E1ACC"/>
    <w:rsid w:val="009E1D4C"/>
    <w:rsid w:val="009E20B0"/>
    <w:rsid w:val="009E2833"/>
    <w:rsid w:val="009E2BB3"/>
    <w:rsid w:val="009E325E"/>
    <w:rsid w:val="009E3484"/>
    <w:rsid w:val="009E569F"/>
    <w:rsid w:val="009E5FDA"/>
    <w:rsid w:val="009E646F"/>
    <w:rsid w:val="009E69A3"/>
    <w:rsid w:val="009E776E"/>
    <w:rsid w:val="009F03B4"/>
    <w:rsid w:val="009F0E26"/>
    <w:rsid w:val="009F1760"/>
    <w:rsid w:val="009F1F4E"/>
    <w:rsid w:val="009F2C9E"/>
    <w:rsid w:val="009F314D"/>
    <w:rsid w:val="009F410E"/>
    <w:rsid w:val="009F4396"/>
    <w:rsid w:val="009F4EA0"/>
    <w:rsid w:val="009F5BAA"/>
    <w:rsid w:val="009F5D93"/>
    <w:rsid w:val="009F6F14"/>
    <w:rsid w:val="009F7433"/>
    <w:rsid w:val="00A00F3C"/>
    <w:rsid w:val="00A0144A"/>
    <w:rsid w:val="00A01F7D"/>
    <w:rsid w:val="00A0230C"/>
    <w:rsid w:val="00A02844"/>
    <w:rsid w:val="00A034F2"/>
    <w:rsid w:val="00A042CC"/>
    <w:rsid w:val="00A06BF5"/>
    <w:rsid w:val="00A076B8"/>
    <w:rsid w:val="00A07E9C"/>
    <w:rsid w:val="00A11066"/>
    <w:rsid w:val="00A1196D"/>
    <w:rsid w:val="00A11A36"/>
    <w:rsid w:val="00A122F8"/>
    <w:rsid w:val="00A1243E"/>
    <w:rsid w:val="00A12913"/>
    <w:rsid w:val="00A12914"/>
    <w:rsid w:val="00A12EEB"/>
    <w:rsid w:val="00A14173"/>
    <w:rsid w:val="00A165D8"/>
    <w:rsid w:val="00A167B8"/>
    <w:rsid w:val="00A17060"/>
    <w:rsid w:val="00A17ED7"/>
    <w:rsid w:val="00A20492"/>
    <w:rsid w:val="00A2185E"/>
    <w:rsid w:val="00A21919"/>
    <w:rsid w:val="00A21A8F"/>
    <w:rsid w:val="00A22404"/>
    <w:rsid w:val="00A26381"/>
    <w:rsid w:val="00A26C90"/>
    <w:rsid w:val="00A301CC"/>
    <w:rsid w:val="00A31242"/>
    <w:rsid w:val="00A31C08"/>
    <w:rsid w:val="00A3260D"/>
    <w:rsid w:val="00A32889"/>
    <w:rsid w:val="00A32B7C"/>
    <w:rsid w:val="00A331C2"/>
    <w:rsid w:val="00A33272"/>
    <w:rsid w:val="00A35805"/>
    <w:rsid w:val="00A36A40"/>
    <w:rsid w:val="00A36D42"/>
    <w:rsid w:val="00A414A1"/>
    <w:rsid w:val="00A41BC0"/>
    <w:rsid w:val="00A42893"/>
    <w:rsid w:val="00A42906"/>
    <w:rsid w:val="00A43E5D"/>
    <w:rsid w:val="00A44175"/>
    <w:rsid w:val="00A45490"/>
    <w:rsid w:val="00A4723D"/>
    <w:rsid w:val="00A47250"/>
    <w:rsid w:val="00A5180C"/>
    <w:rsid w:val="00A521EE"/>
    <w:rsid w:val="00A52E23"/>
    <w:rsid w:val="00A5427C"/>
    <w:rsid w:val="00A54E76"/>
    <w:rsid w:val="00A603C3"/>
    <w:rsid w:val="00A607DC"/>
    <w:rsid w:val="00A61162"/>
    <w:rsid w:val="00A61267"/>
    <w:rsid w:val="00A63829"/>
    <w:rsid w:val="00A64250"/>
    <w:rsid w:val="00A64FD8"/>
    <w:rsid w:val="00A6550F"/>
    <w:rsid w:val="00A66BAB"/>
    <w:rsid w:val="00A66D63"/>
    <w:rsid w:val="00A66E52"/>
    <w:rsid w:val="00A66E8E"/>
    <w:rsid w:val="00A67042"/>
    <w:rsid w:val="00A67079"/>
    <w:rsid w:val="00A67C97"/>
    <w:rsid w:val="00A67D89"/>
    <w:rsid w:val="00A70CD6"/>
    <w:rsid w:val="00A711F9"/>
    <w:rsid w:val="00A71783"/>
    <w:rsid w:val="00A7188A"/>
    <w:rsid w:val="00A719FE"/>
    <w:rsid w:val="00A74937"/>
    <w:rsid w:val="00A74BD1"/>
    <w:rsid w:val="00A7565B"/>
    <w:rsid w:val="00A75B8E"/>
    <w:rsid w:val="00A75E69"/>
    <w:rsid w:val="00A80111"/>
    <w:rsid w:val="00A81DF8"/>
    <w:rsid w:val="00A82B55"/>
    <w:rsid w:val="00A83F39"/>
    <w:rsid w:val="00A84210"/>
    <w:rsid w:val="00A85465"/>
    <w:rsid w:val="00A866AE"/>
    <w:rsid w:val="00A878A5"/>
    <w:rsid w:val="00A87D38"/>
    <w:rsid w:val="00A92225"/>
    <w:rsid w:val="00A922B6"/>
    <w:rsid w:val="00A93695"/>
    <w:rsid w:val="00A9381F"/>
    <w:rsid w:val="00A958D5"/>
    <w:rsid w:val="00A95B9A"/>
    <w:rsid w:val="00A95CB4"/>
    <w:rsid w:val="00A976E6"/>
    <w:rsid w:val="00AA00D8"/>
    <w:rsid w:val="00AA314A"/>
    <w:rsid w:val="00AA32DA"/>
    <w:rsid w:val="00AA45A4"/>
    <w:rsid w:val="00AA4712"/>
    <w:rsid w:val="00AA4FAB"/>
    <w:rsid w:val="00AA65F4"/>
    <w:rsid w:val="00AA6880"/>
    <w:rsid w:val="00AA7A71"/>
    <w:rsid w:val="00AB01B3"/>
    <w:rsid w:val="00AB0436"/>
    <w:rsid w:val="00AB1670"/>
    <w:rsid w:val="00AB1B2B"/>
    <w:rsid w:val="00AB43EE"/>
    <w:rsid w:val="00AB4F07"/>
    <w:rsid w:val="00AB503D"/>
    <w:rsid w:val="00AB5121"/>
    <w:rsid w:val="00AB51EA"/>
    <w:rsid w:val="00AB6F0C"/>
    <w:rsid w:val="00AC1EC5"/>
    <w:rsid w:val="00AC27AE"/>
    <w:rsid w:val="00AC28CA"/>
    <w:rsid w:val="00AC3A3E"/>
    <w:rsid w:val="00AC4AC4"/>
    <w:rsid w:val="00AC7F40"/>
    <w:rsid w:val="00AC7FDF"/>
    <w:rsid w:val="00AD0233"/>
    <w:rsid w:val="00AD02F6"/>
    <w:rsid w:val="00AD0544"/>
    <w:rsid w:val="00AD061A"/>
    <w:rsid w:val="00AD0BA7"/>
    <w:rsid w:val="00AD1C15"/>
    <w:rsid w:val="00AD35F0"/>
    <w:rsid w:val="00AD3A65"/>
    <w:rsid w:val="00AD4A52"/>
    <w:rsid w:val="00AD6B3C"/>
    <w:rsid w:val="00AD7C02"/>
    <w:rsid w:val="00AE0466"/>
    <w:rsid w:val="00AE099A"/>
    <w:rsid w:val="00AE0CA4"/>
    <w:rsid w:val="00AE154F"/>
    <w:rsid w:val="00AE18E1"/>
    <w:rsid w:val="00AE1EE1"/>
    <w:rsid w:val="00AE207E"/>
    <w:rsid w:val="00AE2782"/>
    <w:rsid w:val="00AE2C20"/>
    <w:rsid w:val="00AE2DB5"/>
    <w:rsid w:val="00AE3DAE"/>
    <w:rsid w:val="00AE412E"/>
    <w:rsid w:val="00AE5E46"/>
    <w:rsid w:val="00AE6A95"/>
    <w:rsid w:val="00AE77AF"/>
    <w:rsid w:val="00AE77D2"/>
    <w:rsid w:val="00AF0137"/>
    <w:rsid w:val="00AF025A"/>
    <w:rsid w:val="00AF0342"/>
    <w:rsid w:val="00AF05EC"/>
    <w:rsid w:val="00AF080C"/>
    <w:rsid w:val="00AF0CD2"/>
    <w:rsid w:val="00AF1DAF"/>
    <w:rsid w:val="00AF252E"/>
    <w:rsid w:val="00AF26B0"/>
    <w:rsid w:val="00AF2895"/>
    <w:rsid w:val="00AF2AE0"/>
    <w:rsid w:val="00AF399D"/>
    <w:rsid w:val="00AF3D6B"/>
    <w:rsid w:val="00AF4917"/>
    <w:rsid w:val="00AF4DC9"/>
    <w:rsid w:val="00AF57D8"/>
    <w:rsid w:val="00AF6265"/>
    <w:rsid w:val="00AF6292"/>
    <w:rsid w:val="00AF680F"/>
    <w:rsid w:val="00AF6B52"/>
    <w:rsid w:val="00AF6DF0"/>
    <w:rsid w:val="00B00514"/>
    <w:rsid w:val="00B00C04"/>
    <w:rsid w:val="00B01C2D"/>
    <w:rsid w:val="00B01FAF"/>
    <w:rsid w:val="00B03941"/>
    <w:rsid w:val="00B04260"/>
    <w:rsid w:val="00B04A4E"/>
    <w:rsid w:val="00B0511A"/>
    <w:rsid w:val="00B05D39"/>
    <w:rsid w:val="00B100BE"/>
    <w:rsid w:val="00B11284"/>
    <w:rsid w:val="00B11F80"/>
    <w:rsid w:val="00B13A6B"/>
    <w:rsid w:val="00B14FF9"/>
    <w:rsid w:val="00B15D9A"/>
    <w:rsid w:val="00B160F4"/>
    <w:rsid w:val="00B167FC"/>
    <w:rsid w:val="00B1684F"/>
    <w:rsid w:val="00B1722F"/>
    <w:rsid w:val="00B1773D"/>
    <w:rsid w:val="00B177DD"/>
    <w:rsid w:val="00B17CCB"/>
    <w:rsid w:val="00B20486"/>
    <w:rsid w:val="00B207AC"/>
    <w:rsid w:val="00B20D36"/>
    <w:rsid w:val="00B2125A"/>
    <w:rsid w:val="00B21512"/>
    <w:rsid w:val="00B21FA2"/>
    <w:rsid w:val="00B235FF"/>
    <w:rsid w:val="00B24486"/>
    <w:rsid w:val="00B24846"/>
    <w:rsid w:val="00B26963"/>
    <w:rsid w:val="00B26AA4"/>
    <w:rsid w:val="00B30BDA"/>
    <w:rsid w:val="00B30C98"/>
    <w:rsid w:val="00B32AE8"/>
    <w:rsid w:val="00B3323A"/>
    <w:rsid w:val="00B34ECD"/>
    <w:rsid w:val="00B36696"/>
    <w:rsid w:val="00B37808"/>
    <w:rsid w:val="00B4063E"/>
    <w:rsid w:val="00B418D6"/>
    <w:rsid w:val="00B41944"/>
    <w:rsid w:val="00B4304D"/>
    <w:rsid w:val="00B446F9"/>
    <w:rsid w:val="00B46ADF"/>
    <w:rsid w:val="00B50382"/>
    <w:rsid w:val="00B505A8"/>
    <w:rsid w:val="00B5061B"/>
    <w:rsid w:val="00B512A3"/>
    <w:rsid w:val="00B51717"/>
    <w:rsid w:val="00B51F04"/>
    <w:rsid w:val="00B53331"/>
    <w:rsid w:val="00B559B2"/>
    <w:rsid w:val="00B564A7"/>
    <w:rsid w:val="00B565D4"/>
    <w:rsid w:val="00B56BAF"/>
    <w:rsid w:val="00B56D2F"/>
    <w:rsid w:val="00B56DA8"/>
    <w:rsid w:val="00B57BF8"/>
    <w:rsid w:val="00B60E51"/>
    <w:rsid w:val="00B613B4"/>
    <w:rsid w:val="00B62B98"/>
    <w:rsid w:val="00B63419"/>
    <w:rsid w:val="00B63F7F"/>
    <w:rsid w:val="00B63F95"/>
    <w:rsid w:val="00B6537F"/>
    <w:rsid w:val="00B65433"/>
    <w:rsid w:val="00B65D0C"/>
    <w:rsid w:val="00B65DEE"/>
    <w:rsid w:val="00B66519"/>
    <w:rsid w:val="00B667B0"/>
    <w:rsid w:val="00B673D7"/>
    <w:rsid w:val="00B70AC1"/>
    <w:rsid w:val="00B7156D"/>
    <w:rsid w:val="00B71571"/>
    <w:rsid w:val="00B715B1"/>
    <w:rsid w:val="00B76128"/>
    <w:rsid w:val="00B7619E"/>
    <w:rsid w:val="00B77677"/>
    <w:rsid w:val="00B77BF3"/>
    <w:rsid w:val="00B83257"/>
    <w:rsid w:val="00B8381D"/>
    <w:rsid w:val="00B839AC"/>
    <w:rsid w:val="00B84964"/>
    <w:rsid w:val="00B849F3"/>
    <w:rsid w:val="00B856A5"/>
    <w:rsid w:val="00B85F87"/>
    <w:rsid w:val="00B9036A"/>
    <w:rsid w:val="00B9092D"/>
    <w:rsid w:val="00B90D9C"/>
    <w:rsid w:val="00B91527"/>
    <w:rsid w:val="00B91FD4"/>
    <w:rsid w:val="00B92470"/>
    <w:rsid w:val="00B929D1"/>
    <w:rsid w:val="00B92B07"/>
    <w:rsid w:val="00B93494"/>
    <w:rsid w:val="00B93AC6"/>
    <w:rsid w:val="00B95349"/>
    <w:rsid w:val="00B955C0"/>
    <w:rsid w:val="00B95B9C"/>
    <w:rsid w:val="00B961E2"/>
    <w:rsid w:val="00B97490"/>
    <w:rsid w:val="00BA0067"/>
    <w:rsid w:val="00BA0F9A"/>
    <w:rsid w:val="00BA2179"/>
    <w:rsid w:val="00BA467C"/>
    <w:rsid w:val="00BA498B"/>
    <w:rsid w:val="00BA655B"/>
    <w:rsid w:val="00BA65AC"/>
    <w:rsid w:val="00BA6E99"/>
    <w:rsid w:val="00BB2985"/>
    <w:rsid w:val="00BB3C43"/>
    <w:rsid w:val="00BB6294"/>
    <w:rsid w:val="00BB72F8"/>
    <w:rsid w:val="00BC0A20"/>
    <w:rsid w:val="00BC11D0"/>
    <w:rsid w:val="00BC1399"/>
    <w:rsid w:val="00BC1ABE"/>
    <w:rsid w:val="00BC21A0"/>
    <w:rsid w:val="00BC2226"/>
    <w:rsid w:val="00BC4EF3"/>
    <w:rsid w:val="00BC77C0"/>
    <w:rsid w:val="00BD005C"/>
    <w:rsid w:val="00BD0B25"/>
    <w:rsid w:val="00BD1387"/>
    <w:rsid w:val="00BD234D"/>
    <w:rsid w:val="00BD2561"/>
    <w:rsid w:val="00BD25C2"/>
    <w:rsid w:val="00BD5DCD"/>
    <w:rsid w:val="00BD5E2A"/>
    <w:rsid w:val="00BD616D"/>
    <w:rsid w:val="00BD6C4D"/>
    <w:rsid w:val="00BD7A0E"/>
    <w:rsid w:val="00BD7CA4"/>
    <w:rsid w:val="00BE05D0"/>
    <w:rsid w:val="00BE0997"/>
    <w:rsid w:val="00BE1907"/>
    <w:rsid w:val="00BE1A97"/>
    <w:rsid w:val="00BE1DD1"/>
    <w:rsid w:val="00BE3AF3"/>
    <w:rsid w:val="00BE485B"/>
    <w:rsid w:val="00BE5E32"/>
    <w:rsid w:val="00BE65E1"/>
    <w:rsid w:val="00BE6A74"/>
    <w:rsid w:val="00BE7D08"/>
    <w:rsid w:val="00BF0840"/>
    <w:rsid w:val="00BF0DFF"/>
    <w:rsid w:val="00BF0EF9"/>
    <w:rsid w:val="00BF22B8"/>
    <w:rsid w:val="00BF2603"/>
    <w:rsid w:val="00BF51CE"/>
    <w:rsid w:val="00BF5F0F"/>
    <w:rsid w:val="00BF6541"/>
    <w:rsid w:val="00BF7ACD"/>
    <w:rsid w:val="00BF7C63"/>
    <w:rsid w:val="00C01A0D"/>
    <w:rsid w:val="00C01E47"/>
    <w:rsid w:val="00C028D9"/>
    <w:rsid w:val="00C036E4"/>
    <w:rsid w:val="00C038B8"/>
    <w:rsid w:val="00C03B35"/>
    <w:rsid w:val="00C0603D"/>
    <w:rsid w:val="00C0653D"/>
    <w:rsid w:val="00C06574"/>
    <w:rsid w:val="00C06F31"/>
    <w:rsid w:val="00C11EE9"/>
    <w:rsid w:val="00C12B8C"/>
    <w:rsid w:val="00C1489A"/>
    <w:rsid w:val="00C1549E"/>
    <w:rsid w:val="00C155D9"/>
    <w:rsid w:val="00C16E26"/>
    <w:rsid w:val="00C2211D"/>
    <w:rsid w:val="00C22B2D"/>
    <w:rsid w:val="00C2344F"/>
    <w:rsid w:val="00C23DD1"/>
    <w:rsid w:val="00C24357"/>
    <w:rsid w:val="00C246F2"/>
    <w:rsid w:val="00C249A4"/>
    <w:rsid w:val="00C26707"/>
    <w:rsid w:val="00C27719"/>
    <w:rsid w:val="00C279F8"/>
    <w:rsid w:val="00C31BCD"/>
    <w:rsid w:val="00C320EB"/>
    <w:rsid w:val="00C32F7B"/>
    <w:rsid w:val="00C3336D"/>
    <w:rsid w:val="00C33845"/>
    <w:rsid w:val="00C3513F"/>
    <w:rsid w:val="00C355AA"/>
    <w:rsid w:val="00C35DC9"/>
    <w:rsid w:val="00C36223"/>
    <w:rsid w:val="00C40725"/>
    <w:rsid w:val="00C410F4"/>
    <w:rsid w:val="00C4207E"/>
    <w:rsid w:val="00C434B0"/>
    <w:rsid w:val="00C44026"/>
    <w:rsid w:val="00C44236"/>
    <w:rsid w:val="00C451A3"/>
    <w:rsid w:val="00C4577E"/>
    <w:rsid w:val="00C50C8F"/>
    <w:rsid w:val="00C50D41"/>
    <w:rsid w:val="00C51156"/>
    <w:rsid w:val="00C53FD7"/>
    <w:rsid w:val="00C55C61"/>
    <w:rsid w:val="00C56C95"/>
    <w:rsid w:val="00C56D2E"/>
    <w:rsid w:val="00C57047"/>
    <w:rsid w:val="00C61091"/>
    <w:rsid w:val="00C64F44"/>
    <w:rsid w:val="00C650ED"/>
    <w:rsid w:val="00C65132"/>
    <w:rsid w:val="00C65624"/>
    <w:rsid w:val="00C65F6A"/>
    <w:rsid w:val="00C67F3E"/>
    <w:rsid w:val="00C70159"/>
    <w:rsid w:val="00C70CD5"/>
    <w:rsid w:val="00C7194E"/>
    <w:rsid w:val="00C7216F"/>
    <w:rsid w:val="00C730E4"/>
    <w:rsid w:val="00C7366F"/>
    <w:rsid w:val="00C73BB8"/>
    <w:rsid w:val="00C74CC5"/>
    <w:rsid w:val="00C7545D"/>
    <w:rsid w:val="00C761BA"/>
    <w:rsid w:val="00C76B48"/>
    <w:rsid w:val="00C76CC4"/>
    <w:rsid w:val="00C76F61"/>
    <w:rsid w:val="00C77815"/>
    <w:rsid w:val="00C823C5"/>
    <w:rsid w:val="00C82D42"/>
    <w:rsid w:val="00C8322A"/>
    <w:rsid w:val="00C83583"/>
    <w:rsid w:val="00C84646"/>
    <w:rsid w:val="00C84B12"/>
    <w:rsid w:val="00C859C6"/>
    <w:rsid w:val="00C869BC"/>
    <w:rsid w:val="00C8737E"/>
    <w:rsid w:val="00C90444"/>
    <w:rsid w:val="00C9243B"/>
    <w:rsid w:val="00C9366D"/>
    <w:rsid w:val="00C93E36"/>
    <w:rsid w:val="00C94E29"/>
    <w:rsid w:val="00C953C0"/>
    <w:rsid w:val="00C95E60"/>
    <w:rsid w:val="00C9630B"/>
    <w:rsid w:val="00C96E5A"/>
    <w:rsid w:val="00C97ACC"/>
    <w:rsid w:val="00CA056D"/>
    <w:rsid w:val="00CA181F"/>
    <w:rsid w:val="00CA22C7"/>
    <w:rsid w:val="00CA2A54"/>
    <w:rsid w:val="00CA3219"/>
    <w:rsid w:val="00CA677A"/>
    <w:rsid w:val="00CA6B74"/>
    <w:rsid w:val="00CA77C8"/>
    <w:rsid w:val="00CA7A3F"/>
    <w:rsid w:val="00CB00EF"/>
    <w:rsid w:val="00CB01EB"/>
    <w:rsid w:val="00CB0DFA"/>
    <w:rsid w:val="00CB250C"/>
    <w:rsid w:val="00CB34D5"/>
    <w:rsid w:val="00CB48B4"/>
    <w:rsid w:val="00CB52B4"/>
    <w:rsid w:val="00CB6CB0"/>
    <w:rsid w:val="00CC134C"/>
    <w:rsid w:val="00CC36F9"/>
    <w:rsid w:val="00CC3E8F"/>
    <w:rsid w:val="00CC783A"/>
    <w:rsid w:val="00CD0BA2"/>
    <w:rsid w:val="00CD18DE"/>
    <w:rsid w:val="00CD2E30"/>
    <w:rsid w:val="00CD43F9"/>
    <w:rsid w:val="00CD571B"/>
    <w:rsid w:val="00CD643B"/>
    <w:rsid w:val="00CD7B7F"/>
    <w:rsid w:val="00CD7C48"/>
    <w:rsid w:val="00CE0D42"/>
    <w:rsid w:val="00CE19D1"/>
    <w:rsid w:val="00CE2090"/>
    <w:rsid w:val="00CE23EF"/>
    <w:rsid w:val="00CE4CED"/>
    <w:rsid w:val="00CE6197"/>
    <w:rsid w:val="00CE6490"/>
    <w:rsid w:val="00CE6BEE"/>
    <w:rsid w:val="00CE702E"/>
    <w:rsid w:val="00CE7072"/>
    <w:rsid w:val="00CE7723"/>
    <w:rsid w:val="00CF03C4"/>
    <w:rsid w:val="00CF088A"/>
    <w:rsid w:val="00CF0AD6"/>
    <w:rsid w:val="00CF16EE"/>
    <w:rsid w:val="00CF1AEC"/>
    <w:rsid w:val="00CF38F2"/>
    <w:rsid w:val="00CF5357"/>
    <w:rsid w:val="00CF5CD7"/>
    <w:rsid w:val="00CF79DF"/>
    <w:rsid w:val="00D00702"/>
    <w:rsid w:val="00D00913"/>
    <w:rsid w:val="00D01E61"/>
    <w:rsid w:val="00D02296"/>
    <w:rsid w:val="00D02533"/>
    <w:rsid w:val="00D02B99"/>
    <w:rsid w:val="00D0306C"/>
    <w:rsid w:val="00D034FA"/>
    <w:rsid w:val="00D06027"/>
    <w:rsid w:val="00D0751A"/>
    <w:rsid w:val="00D078F8"/>
    <w:rsid w:val="00D07D25"/>
    <w:rsid w:val="00D10A5B"/>
    <w:rsid w:val="00D110F0"/>
    <w:rsid w:val="00D11423"/>
    <w:rsid w:val="00D116BA"/>
    <w:rsid w:val="00D117C0"/>
    <w:rsid w:val="00D12852"/>
    <w:rsid w:val="00D12E0E"/>
    <w:rsid w:val="00D13010"/>
    <w:rsid w:val="00D133F0"/>
    <w:rsid w:val="00D143ED"/>
    <w:rsid w:val="00D15E98"/>
    <w:rsid w:val="00D16C5A"/>
    <w:rsid w:val="00D16DAA"/>
    <w:rsid w:val="00D17971"/>
    <w:rsid w:val="00D17E12"/>
    <w:rsid w:val="00D20F59"/>
    <w:rsid w:val="00D21B84"/>
    <w:rsid w:val="00D222FB"/>
    <w:rsid w:val="00D22983"/>
    <w:rsid w:val="00D25359"/>
    <w:rsid w:val="00D2563A"/>
    <w:rsid w:val="00D25E7D"/>
    <w:rsid w:val="00D261EA"/>
    <w:rsid w:val="00D26D6A"/>
    <w:rsid w:val="00D27732"/>
    <w:rsid w:val="00D27842"/>
    <w:rsid w:val="00D30628"/>
    <w:rsid w:val="00D30CEE"/>
    <w:rsid w:val="00D3145F"/>
    <w:rsid w:val="00D31D6C"/>
    <w:rsid w:val="00D327F0"/>
    <w:rsid w:val="00D32B3D"/>
    <w:rsid w:val="00D33C8D"/>
    <w:rsid w:val="00D36F76"/>
    <w:rsid w:val="00D37148"/>
    <w:rsid w:val="00D37A00"/>
    <w:rsid w:val="00D40860"/>
    <w:rsid w:val="00D4165B"/>
    <w:rsid w:val="00D4280D"/>
    <w:rsid w:val="00D42B76"/>
    <w:rsid w:val="00D42CCE"/>
    <w:rsid w:val="00D43787"/>
    <w:rsid w:val="00D44552"/>
    <w:rsid w:val="00D447D8"/>
    <w:rsid w:val="00D447FF"/>
    <w:rsid w:val="00D450B5"/>
    <w:rsid w:val="00D45623"/>
    <w:rsid w:val="00D45942"/>
    <w:rsid w:val="00D45968"/>
    <w:rsid w:val="00D468AF"/>
    <w:rsid w:val="00D470FA"/>
    <w:rsid w:val="00D47F57"/>
    <w:rsid w:val="00D50983"/>
    <w:rsid w:val="00D514CB"/>
    <w:rsid w:val="00D52F93"/>
    <w:rsid w:val="00D5352E"/>
    <w:rsid w:val="00D536F8"/>
    <w:rsid w:val="00D53B35"/>
    <w:rsid w:val="00D551A9"/>
    <w:rsid w:val="00D55E39"/>
    <w:rsid w:val="00D5648F"/>
    <w:rsid w:val="00D56799"/>
    <w:rsid w:val="00D56E3B"/>
    <w:rsid w:val="00D5742F"/>
    <w:rsid w:val="00D57C7A"/>
    <w:rsid w:val="00D57CC2"/>
    <w:rsid w:val="00D60829"/>
    <w:rsid w:val="00D616EC"/>
    <w:rsid w:val="00D61AC8"/>
    <w:rsid w:val="00D61D1F"/>
    <w:rsid w:val="00D625B8"/>
    <w:rsid w:val="00D63981"/>
    <w:rsid w:val="00D648BA"/>
    <w:rsid w:val="00D64DAC"/>
    <w:rsid w:val="00D64F71"/>
    <w:rsid w:val="00D65054"/>
    <w:rsid w:val="00D65286"/>
    <w:rsid w:val="00D65CFA"/>
    <w:rsid w:val="00D66709"/>
    <w:rsid w:val="00D66A4D"/>
    <w:rsid w:val="00D6769A"/>
    <w:rsid w:val="00D724E1"/>
    <w:rsid w:val="00D741F5"/>
    <w:rsid w:val="00D76A95"/>
    <w:rsid w:val="00D801E1"/>
    <w:rsid w:val="00D82515"/>
    <w:rsid w:val="00D82682"/>
    <w:rsid w:val="00D82E21"/>
    <w:rsid w:val="00D840E2"/>
    <w:rsid w:val="00D846FE"/>
    <w:rsid w:val="00D85191"/>
    <w:rsid w:val="00D85213"/>
    <w:rsid w:val="00D854FF"/>
    <w:rsid w:val="00D8563E"/>
    <w:rsid w:val="00D85AD2"/>
    <w:rsid w:val="00D860CB"/>
    <w:rsid w:val="00D8754E"/>
    <w:rsid w:val="00D87C68"/>
    <w:rsid w:val="00D9025C"/>
    <w:rsid w:val="00D92759"/>
    <w:rsid w:val="00D92783"/>
    <w:rsid w:val="00D92B70"/>
    <w:rsid w:val="00D92D3B"/>
    <w:rsid w:val="00D93371"/>
    <w:rsid w:val="00D9381C"/>
    <w:rsid w:val="00D9456A"/>
    <w:rsid w:val="00D946F3"/>
    <w:rsid w:val="00D94B4E"/>
    <w:rsid w:val="00D94DBD"/>
    <w:rsid w:val="00DA00BB"/>
    <w:rsid w:val="00DA38F9"/>
    <w:rsid w:val="00DA750E"/>
    <w:rsid w:val="00DA776D"/>
    <w:rsid w:val="00DA7AAB"/>
    <w:rsid w:val="00DA7B19"/>
    <w:rsid w:val="00DB0815"/>
    <w:rsid w:val="00DB118C"/>
    <w:rsid w:val="00DB1859"/>
    <w:rsid w:val="00DB2A28"/>
    <w:rsid w:val="00DB2B2B"/>
    <w:rsid w:val="00DB3ABE"/>
    <w:rsid w:val="00DB665B"/>
    <w:rsid w:val="00DB6676"/>
    <w:rsid w:val="00DB7A1B"/>
    <w:rsid w:val="00DC2ABE"/>
    <w:rsid w:val="00DC3696"/>
    <w:rsid w:val="00DC3E9E"/>
    <w:rsid w:val="00DC59DE"/>
    <w:rsid w:val="00DC7217"/>
    <w:rsid w:val="00DC78EB"/>
    <w:rsid w:val="00DC79BB"/>
    <w:rsid w:val="00DD11EB"/>
    <w:rsid w:val="00DD15D5"/>
    <w:rsid w:val="00DD1B8B"/>
    <w:rsid w:val="00DD1F32"/>
    <w:rsid w:val="00DD23D6"/>
    <w:rsid w:val="00DD4855"/>
    <w:rsid w:val="00DD6509"/>
    <w:rsid w:val="00DD67BC"/>
    <w:rsid w:val="00DD75C4"/>
    <w:rsid w:val="00DE1EDD"/>
    <w:rsid w:val="00DE1FBA"/>
    <w:rsid w:val="00DE4550"/>
    <w:rsid w:val="00DE4DA8"/>
    <w:rsid w:val="00DE55DE"/>
    <w:rsid w:val="00DE5968"/>
    <w:rsid w:val="00DE6A2A"/>
    <w:rsid w:val="00DF1227"/>
    <w:rsid w:val="00DF131F"/>
    <w:rsid w:val="00DF1DA3"/>
    <w:rsid w:val="00DF2C98"/>
    <w:rsid w:val="00DF6819"/>
    <w:rsid w:val="00DF6E74"/>
    <w:rsid w:val="00DF77FD"/>
    <w:rsid w:val="00DF7AB6"/>
    <w:rsid w:val="00E00DCA"/>
    <w:rsid w:val="00E033B7"/>
    <w:rsid w:val="00E038DB"/>
    <w:rsid w:val="00E04FFB"/>
    <w:rsid w:val="00E05EEE"/>
    <w:rsid w:val="00E065DD"/>
    <w:rsid w:val="00E06D49"/>
    <w:rsid w:val="00E075A8"/>
    <w:rsid w:val="00E07D5A"/>
    <w:rsid w:val="00E10105"/>
    <w:rsid w:val="00E105EE"/>
    <w:rsid w:val="00E10D91"/>
    <w:rsid w:val="00E134FC"/>
    <w:rsid w:val="00E1436B"/>
    <w:rsid w:val="00E14D82"/>
    <w:rsid w:val="00E14F22"/>
    <w:rsid w:val="00E151BD"/>
    <w:rsid w:val="00E170FA"/>
    <w:rsid w:val="00E2020E"/>
    <w:rsid w:val="00E20D15"/>
    <w:rsid w:val="00E23367"/>
    <w:rsid w:val="00E25A13"/>
    <w:rsid w:val="00E26F75"/>
    <w:rsid w:val="00E3064C"/>
    <w:rsid w:val="00E33007"/>
    <w:rsid w:val="00E34483"/>
    <w:rsid w:val="00E3456D"/>
    <w:rsid w:val="00E351DF"/>
    <w:rsid w:val="00E37F61"/>
    <w:rsid w:val="00E40005"/>
    <w:rsid w:val="00E406B2"/>
    <w:rsid w:val="00E4190D"/>
    <w:rsid w:val="00E43F10"/>
    <w:rsid w:val="00E447F0"/>
    <w:rsid w:val="00E44987"/>
    <w:rsid w:val="00E44BE2"/>
    <w:rsid w:val="00E44EB9"/>
    <w:rsid w:val="00E44F34"/>
    <w:rsid w:val="00E454E3"/>
    <w:rsid w:val="00E45859"/>
    <w:rsid w:val="00E45D34"/>
    <w:rsid w:val="00E47666"/>
    <w:rsid w:val="00E47C2B"/>
    <w:rsid w:val="00E504E9"/>
    <w:rsid w:val="00E507A9"/>
    <w:rsid w:val="00E5253D"/>
    <w:rsid w:val="00E53860"/>
    <w:rsid w:val="00E554E7"/>
    <w:rsid w:val="00E55A3B"/>
    <w:rsid w:val="00E5688C"/>
    <w:rsid w:val="00E570F4"/>
    <w:rsid w:val="00E57C72"/>
    <w:rsid w:val="00E60AEE"/>
    <w:rsid w:val="00E63698"/>
    <w:rsid w:val="00E63724"/>
    <w:rsid w:val="00E6381F"/>
    <w:rsid w:val="00E63CC0"/>
    <w:rsid w:val="00E6402F"/>
    <w:rsid w:val="00E6547E"/>
    <w:rsid w:val="00E65E36"/>
    <w:rsid w:val="00E65F12"/>
    <w:rsid w:val="00E669A1"/>
    <w:rsid w:val="00E66A18"/>
    <w:rsid w:val="00E66A38"/>
    <w:rsid w:val="00E67625"/>
    <w:rsid w:val="00E67EB0"/>
    <w:rsid w:val="00E700D9"/>
    <w:rsid w:val="00E716B6"/>
    <w:rsid w:val="00E72225"/>
    <w:rsid w:val="00E75F80"/>
    <w:rsid w:val="00E75FF6"/>
    <w:rsid w:val="00E77A6F"/>
    <w:rsid w:val="00E8253B"/>
    <w:rsid w:val="00E8390A"/>
    <w:rsid w:val="00E83A3B"/>
    <w:rsid w:val="00E85E51"/>
    <w:rsid w:val="00E901D7"/>
    <w:rsid w:val="00E90E4A"/>
    <w:rsid w:val="00E9172D"/>
    <w:rsid w:val="00E91BD8"/>
    <w:rsid w:val="00E922BE"/>
    <w:rsid w:val="00E9258D"/>
    <w:rsid w:val="00E9268E"/>
    <w:rsid w:val="00E92B00"/>
    <w:rsid w:val="00E9368B"/>
    <w:rsid w:val="00E94191"/>
    <w:rsid w:val="00E94649"/>
    <w:rsid w:val="00E94955"/>
    <w:rsid w:val="00E94D9A"/>
    <w:rsid w:val="00E951CA"/>
    <w:rsid w:val="00E953FA"/>
    <w:rsid w:val="00E97B6E"/>
    <w:rsid w:val="00E97D0F"/>
    <w:rsid w:val="00E97E28"/>
    <w:rsid w:val="00EA04CE"/>
    <w:rsid w:val="00EA0F2C"/>
    <w:rsid w:val="00EA484D"/>
    <w:rsid w:val="00EA4A96"/>
    <w:rsid w:val="00EA63E8"/>
    <w:rsid w:val="00EA650E"/>
    <w:rsid w:val="00EB1A14"/>
    <w:rsid w:val="00EB1C95"/>
    <w:rsid w:val="00EB3451"/>
    <w:rsid w:val="00EB3B0A"/>
    <w:rsid w:val="00EB3DAC"/>
    <w:rsid w:val="00EB4093"/>
    <w:rsid w:val="00EB46F3"/>
    <w:rsid w:val="00EB4958"/>
    <w:rsid w:val="00EB52D0"/>
    <w:rsid w:val="00EB680D"/>
    <w:rsid w:val="00EC1371"/>
    <w:rsid w:val="00EC20C3"/>
    <w:rsid w:val="00EC2445"/>
    <w:rsid w:val="00EC33B2"/>
    <w:rsid w:val="00EC3796"/>
    <w:rsid w:val="00EC41A4"/>
    <w:rsid w:val="00EC5D78"/>
    <w:rsid w:val="00EC6563"/>
    <w:rsid w:val="00EC7294"/>
    <w:rsid w:val="00EC7555"/>
    <w:rsid w:val="00EC7728"/>
    <w:rsid w:val="00ED0109"/>
    <w:rsid w:val="00ED0680"/>
    <w:rsid w:val="00ED10A6"/>
    <w:rsid w:val="00ED154E"/>
    <w:rsid w:val="00ED27B9"/>
    <w:rsid w:val="00ED2905"/>
    <w:rsid w:val="00ED3D65"/>
    <w:rsid w:val="00ED4392"/>
    <w:rsid w:val="00ED44AB"/>
    <w:rsid w:val="00ED6211"/>
    <w:rsid w:val="00ED6652"/>
    <w:rsid w:val="00ED7E7A"/>
    <w:rsid w:val="00EE0D8C"/>
    <w:rsid w:val="00EE149D"/>
    <w:rsid w:val="00EE172B"/>
    <w:rsid w:val="00EE36CE"/>
    <w:rsid w:val="00EE3F56"/>
    <w:rsid w:val="00EE4BB2"/>
    <w:rsid w:val="00EE4E42"/>
    <w:rsid w:val="00EE560A"/>
    <w:rsid w:val="00EE6B47"/>
    <w:rsid w:val="00EE733B"/>
    <w:rsid w:val="00EE7B6D"/>
    <w:rsid w:val="00EF06EE"/>
    <w:rsid w:val="00EF136B"/>
    <w:rsid w:val="00EF13A5"/>
    <w:rsid w:val="00EF1724"/>
    <w:rsid w:val="00EF1AA9"/>
    <w:rsid w:val="00EF1B4E"/>
    <w:rsid w:val="00EF1CC2"/>
    <w:rsid w:val="00EF358A"/>
    <w:rsid w:val="00EF3963"/>
    <w:rsid w:val="00EF39BF"/>
    <w:rsid w:val="00EF454D"/>
    <w:rsid w:val="00EF5079"/>
    <w:rsid w:val="00EF573F"/>
    <w:rsid w:val="00EF71B9"/>
    <w:rsid w:val="00EF7A77"/>
    <w:rsid w:val="00EF7DE3"/>
    <w:rsid w:val="00F006C9"/>
    <w:rsid w:val="00F00A4F"/>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3DA1"/>
    <w:rsid w:val="00F2463D"/>
    <w:rsid w:val="00F24CF2"/>
    <w:rsid w:val="00F25235"/>
    <w:rsid w:val="00F254F6"/>
    <w:rsid w:val="00F25CA0"/>
    <w:rsid w:val="00F3022D"/>
    <w:rsid w:val="00F30708"/>
    <w:rsid w:val="00F31B3B"/>
    <w:rsid w:val="00F31E35"/>
    <w:rsid w:val="00F3228A"/>
    <w:rsid w:val="00F3395E"/>
    <w:rsid w:val="00F33A72"/>
    <w:rsid w:val="00F33F92"/>
    <w:rsid w:val="00F3415D"/>
    <w:rsid w:val="00F34A7F"/>
    <w:rsid w:val="00F35081"/>
    <w:rsid w:val="00F35840"/>
    <w:rsid w:val="00F35B3E"/>
    <w:rsid w:val="00F363F1"/>
    <w:rsid w:val="00F37256"/>
    <w:rsid w:val="00F43DFC"/>
    <w:rsid w:val="00F45275"/>
    <w:rsid w:val="00F45E5A"/>
    <w:rsid w:val="00F46609"/>
    <w:rsid w:val="00F50172"/>
    <w:rsid w:val="00F54740"/>
    <w:rsid w:val="00F565D0"/>
    <w:rsid w:val="00F57399"/>
    <w:rsid w:val="00F57A3E"/>
    <w:rsid w:val="00F60ADC"/>
    <w:rsid w:val="00F61692"/>
    <w:rsid w:val="00F62899"/>
    <w:rsid w:val="00F637A9"/>
    <w:rsid w:val="00F63A4A"/>
    <w:rsid w:val="00F63E31"/>
    <w:rsid w:val="00F64003"/>
    <w:rsid w:val="00F6428A"/>
    <w:rsid w:val="00F645AE"/>
    <w:rsid w:val="00F67BA1"/>
    <w:rsid w:val="00F67D00"/>
    <w:rsid w:val="00F67D2B"/>
    <w:rsid w:val="00F67D2C"/>
    <w:rsid w:val="00F70011"/>
    <w:rsid w:val="00F720FA"/>
    <w:rsid w:val="00F7269D"/>
    <w:rsid w:val="00F733B2"/>
    <w:rsid w:val="00F75DF6"/>
    <w:rsid w:val="00F76A06"/>
    <w:rsid w:val="00F772EA"/>
    <w:rsid w:val="00F77698"/>
    <w:rsid w:val="00F808F8"/>
    <w:rsid w:val="00F83BC2"/>
    <w:rsid w:val="00F84ED2"/>
    <w:rsid w:val="00F85735"/>
    <w:rsid w:val="00F8595D"/>
    <w:rsid w:val="00F8717C"/>
    <w:rsid w:val="00F87AC1"/>
    <w:rsid w:val="00F87D36"/>
    <w:rsid w:val="00F90290"/>
    <w:rsid w:val="00F915B8"/>
    <w:rsid w:val="00F91B3B"/>
    <w:rsid w:val="00F91E47"/>
    <w:rsid w:val="00F928D4"/>
    <w:rsid w:val="00F9447E"/>
    <w:rsid w:val="00F94EC0"/>
    <w:rsid w:val="00F965AB"/>
    <w:rsid w:val="00F976C6"/>
    <w:rsid w:val="00FA083A"/>
    <w:rsid w:val="00FA0C52"/>
    <w:rsid w:val="00FA0F1F"/>
    <w:rsid w:val="00FA128C"/>
    <w:rsid w:val="00FA1CFB"/>
    <w:rsid w:val="00FA215D"/>
    <w:rsid w:val="00FA2451"/>
    <w:rsid w:val="00FA2726"/>
    <w:rsid w:val="00FA3B74"/>
    <w:rsid w:val="00FA3FB9"/>
    <w:rsid w:val="00FA457D"/>
    <w:rsid w:val="00FA5723"/>
    <w:rsid w:val="00FA6E33"/>
    <w:rsid w:val="00FA72B1"/>
    <w:rsid w:val="00FB00B4"/>
    <w:rsid w:val="00FB0CE3"/>
    <w:rsid w:val="00FB2930"/>
    <w:rsid w:val="00FB429F"/>
    <w:rsid w:val="00FB5039"/>
    <w:rsid w:val="00FB6343"/>
    <w:rsid w:val="00FC479C"/>
    <w:rsid w:val="00FC65A3"/>
    <w:rsid w:val="00FC6E57"/>
    <w:rsid w:val="00FC7151"/>
    <w:rsid w:val="00FD0560"/>
    <w:rsid w:val="00FD0C02"/>
    <w:rsid w:val="00FD1FCF"/>
    <w:rsid w:val="00FD282F"/>
    <w:rsid w:val="00FD6EAA"/>
    <w:rsid w:val="00FE021E"/>
    <w:rsid w:val="00FE05CF"/>
    <w:rsid w:val="00FE0ABB"/>
    <w:rsid w:val="00FE141F"/>
    <w:rsid w:val="00FE1708"/>
    <w:rsid w:val="00FE20F0"/>
    <w:rsid w:val="00FE5384"/>
    <w:rsid w:val="00FE5DF7"/>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table" w:styleId="TableGrid">
    <w:name w:val="Table Grid"/>
    <w:basedOn w:val="TableNormal"/>
    <w:uiPriority w:val="39"/>
    <w:rsid w:val="008B4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2EB9"/>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BD25C2"/>
  </w:style>
  <w:style w:type="character" w:customStyle="1" w:styleId="g1">
    <w:name w:val="g1"/>
    <w:basedOn w:val="DefaultParagraphFont"/>
    <w:rsid w:val="00BD25C2"/>
  </w:style>
  <w:style w:type="character" w:styleId="Hyperlink">
    <w:name w:val="Hyperlink"/>
    <w:basedOn w:val="DefaultParagraphFont"/>
    <w:uiPriority w:val="99"/>
    <w:unhideWhenUsed/>
    <w:rsid w:val="00BD25C2"/>
    <w:rPr>
      <w:color w:val="0000FF"/>
      <w:u w:val="single"/>
    </w:rPr>
  </w:style>
  <w:style w:type="character" w:customStyle="1" w:styleId="mc">
    <w:name w:val="mc"/>
    <w:basedOn w:val="DefaultParagraphFont"/>
    <w:rsid w:val="009F4EA0"/>
  </w:style>
  <w:style w:type="character" w:customStyle="1" w:styleId="UnresolvedMention1">
    <w:name w:val="Unresolved Mention1"/>
    <w:basedOn w:val="DefaultParagraphFont"/>
    <w:uiPriority w:val="99"/>
    <w:semiHidden/>
    <w:unhideWhenUsed/>
    <w:rsid w:val="00375DDE"/>
    <w:rPr>
      <w:color w:val="605E5C"/>
      <w:shd w:val="clear" w:color="auto" w:fill="E1DFDD"/>
    </w:rPr>
  </w:style>
  <w:style w:type="paragraph" w:styleId="BalloonText">
    <w:name w:val="Balloon Text"/>
    <w:basedOn w:val="Normal"/>
    <w:link w:val="BalloonTextChar"/>
    <w:uiPriority w:val="99"/>
    <w:semiHidden/>
    <w:unhideWhenUsed/>
    <w:rsid w:val="00B43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905">
      <w:bodyDiv w:val="1"/>
      <w:marLeft w:val="0"/>
      <w:marRight w:val="0"/>
      <w:marTop w:val="0"/>
      <w:marBottom w:val="0"/>
      <w:divBdr>
        <w:top w:val="none" w:sz="0" w:space="0" w:color="auto"/>
        <w:left w:val="none" w:sz="0" w:space="0" w:color="auto"/>
        <w:bottom w:val="none" w:sz="0" w:space="0" w:color="auto"/>
        <w:right w:val="none" w:sz="0" w:space="0" w:color="auto"/>
      </w:divBdr>
      <w:divsChild>
        <w:div w:id="822239831">
          <w:marLeft w:val="0"/>
          <w:marRight w:val="0"/>
          <w:marTop w:val="240"/>
          <w:marBottom w:val="24"/>
          <w:divBdr>
            <w:top w:val="single" w:sz="8" w:space="2" w:color="808080"/>
            <w:left w:val="none" w:sz="0" w:space="0" w:color="auto"/>
            <w:bottom w:val="none" w:sz="0" w:space="0" w:color="auto"/>
            <w:right w:val="none" w:sz="0" w:space="0" w:color="auto"/>
          </w:divBdr>
        </w:div>
        <w:div w:id="1041975745">
          <w:marLeft w:val="0"/>
          <w:marRight w:val="0"/>
          <w:marTop w:val="120"/>
          <w:marBottom w:val="0"/>
          <w:divBdr>
            <w:top w:val="none" w:sz="0" w:space="0" w:color="auto"/>
            <w:left w:val="none" w:sz="0" w:space="0" w:color="auto"/>
            <w:bottom w:val="none" w:sz="0" w:space="0" w:color="auto"/>
            <w:right w:val="none" w:sz="0" w:space="0" w:color="auto"/>
          </w:divBdr>
        </w:div>
        <w:div w:id="157887610">
          <w:marLeft w:val="0"/>
          <w:marRight w:val="0"/>
          <w:marTop w:val="120"/>
          <w:marBottom w:val="0"/>
          <w:divBdr>
            <w:top w:val="none" w:sz="0" w:space="0" w:color="auto"/>
            <w:left w:val="none" w:sz="0" w:space="0" w:color="auto"/>
            <w:bottom w:val="none" w:sz="0" w:space="0" w:color="auto"/>
            <w:right w:val="none" w:sz="0" w:space="0" w:color="auto"/>
          </w:divBdr>
        </w:div>
        <w:div w:id="1411536358">
          <w:marLeft w:val="567"/>
          <w:marRight w:val="0"/>
          <w:marTop w:val="60"/>
          <w:marBottom w:val="0"/>
          <w:divBdr>
            <w:top w:val="none" w:sz="0" w:space="0" w:color="auto"/>
            <w:left w:val="none" w:sz="0" w:space="0" w:color="auto"/>
            <w:bottom w:val="none" w:sz="0" w:space="0" w:color="auto"/>
            <w:right w:val="none" w:sz="0" w:space="0" w:color="auto"/>
          </w:divBdr>
        </w:div>
        <w:div w:id="1733120276">
          <w:marLeft w:val="0"/>
          <w:marRight w:val="0"/>
          <w:marTop w:val="120"/>
          <w:marBottom w:val="0"/>
          <w:divBdr>
            <w:top w:val="none" w:sz="0" w:space="0" w:color="auto"/>
            <w:left w:val="none" w:sz="0" w:space="0" w:color="auto"/>
            <w:bottom w:val="none" w:sz="0" w:space="0" w:color="auto"/>
            <w:right w:val="none" w:sz="0" w:space="0" w:color="auto"/>
          </w:divBdr>
        </w:div>
        <w:div w:id="168569731">
          <w:marLeft w:val="0"/>
          <w:marRight w:val="0"/>
          <w:marTop w:val="120"/>
          <w:marBottom w:val="0"/>
          <w:divBdr>
            <w:top w:val="none" w:sz="0" w:space="0" w:color="auto"/>
            <w:left w:val="none" w:sz="0" w:space="0" w:color="auto"/>
            <w:bottom w:val="none" w:sz="0" w:space="0" w:color="auto"/>
            <w:right w:val="none" w:sz="0" w:space="0" w:color="auto"/>
          </w:divBdr>
        </w:div>
        <w:div w:id="1445996787">
          <w:marLeft w:val="567"/>
          <w:marRight w:val="0"/>
          <w:marTop w:val="60"/>
          <w:marBottom w:val="0"/>
          <w:divBdr>
            <w:top w:val="none" w:sz="0" w:space="0" w:color="auto"/>
            <w:left w:val="none" w:sz="0" w:space="0" w:color="auto"/>
            <w:bottom w:val="none" w:sz="0" w:space="0" w:color="auto"/>
            <w:right w:val="none" w:sz="0" w:space="0" w:color="auto"/>
          </w:divBdr>
        </w:div>
      </w:divsChild>
    </w:div>
    <w:div w:id="157575267">
      <w:bodyDiv w:val="1"/>
      <w:marLeft w:val="0"/>
      <w:marRight w:val="0"/>
      <w:marTop w:val="0"/>
      <w:marBottom w:val="0"/>
      <w:divBdr>
        <w:top w:val="none" w:sz="0" w:space="0" w:color="auto"/>
        <w:left w:val="none" w:sz="0" w:space="0" w:color="auto"/>
        <w:bottom w:val="none" w:sz="0" w:space="0" w:color="auto"/>
        <w:right w:val="none" w:sz="0" w:space="0" w:color="auto"/>
      </w:divBdr>
      <w:divsChild>
        <w:div w:id="2041471000">
          <w:marLeft w:val="0"/>
          <w:marRight w:val="0"/>
          <w:marTop w:val="120"/>
          <w:marBottom w:val="0"/>
          <w:divBdr>
            <w:top w:val="none" w:sz="0" w:space="0" w:color="auto"/>
            <w:left w:val="none" w:sz="0" w:space="0" w:color="auto"/>
            <w:bottom w:val="none" w:sz="0" w:space="0" w:color="auto"/>
            <w:right w:val="none" w:sz="0" w:space="0" w:color="auto"/>
          </w:divBdr>
        </w:div>
        <w:div w:id="200023993">
          <w:marLeft w:val="0"/>
          <w:marRight w:val="0"/>
          <w:marTop w:val="120"/>
          <w:marBottom w:val="0"/>
          <w:divBdr>
            <w:top w:val="none" w:sz="0" w:space="0" w:color="auto"/>
            <w:left w:val="none" w:sz="0" w:space="0" w:color="auto"/>
            <w:bottom w:val="none" w:sz="0" w:space="0" w:color="auto"/>
            <w:right w:val="none" w:sz="0" w:space="0" w:color="auto"/>
          </w:divBdr>
        </w:div>
        <w:div w:id="287663167">
          <w:marLeft w:val="0"/>
          <w:marRight w:val="0"/>
          <w:marTop w:val="120"/>
          <w:marBottom w:val="0"/>
          <w:divBdr>
            <w:top w:val="none" w:sz="0" w:space="0" w:color="auto"/>
            <w:left w:val="none" w:sz="0" w:space="0" w:color="auto"/>
            <w:bottom w:val="none" w:sz="0" w:space="0" w:color="auto"/>
            <w:right w:val="none" w:sz="0" w:space="0" w:color="auto"/>
          </w:divBdr>
        </w:div>
        <w:div w:id="1797288792">
          <w:marLeft w:val="0"/>
          <w:marRight w:val="0"/>
          <w:marTop w:val="120"/>
          <w:marBottom w:val="0"/>
          <w:divBdr>
            <w:top w:val="none" w:sz="0" w:space="0" w:color="auto"/>
            <w:left w:val="none" w:sz="0" w:space="0" w:color="auto"/>
            <w:bottom w:val="none" w:sz="0" w:space="0" w:color="auto"/>
            <w:right w:val="none" w:sz="0" w:space="0" w:color="auto"/>
          </w:divBdr>
        </w:div>
        <w:div w:id="500244489">
          <w:marLeft w:val="0"/>
          <w:marRight w:val="0"/>
          <w:marTop w:val="120"/>
          <w:marBottom w:val="0"/>
          <w:divBdr>
            <w:top w:val="none" w:sz="0" w:space="0" w:color="auto"/>
            <w:left w:val="none" w:sz="0" w:space="0" w:color="auto"/>
            <w:bottom w:val="none" w:sz="0" w:space="0" w:color="auto"/>
            <w:right w:val="none" w:sz="0" w:space="0" w:color="auto"/>
          </w:divBdr>
        </w:div>
      </w:divsChild>
    </w:div>
    <w:div w:id="226770056">
      <w:bodyDiv w:val="1"/>
      <w:marLeft w:val="0"/>
      <w:marRight w:val="0"/>
      <w:marTop w:val="0"/>
      <w:marBottom w:val="0"/>
      <w:divBdr>
        <w:top w:val="none" w:sz="0" w:space="0" w:color="auto"/>
        <w:left w:val="none" w:sz="0" w:space="0" w:color="auto"/>
        <w:bottom w:val="none" w:sz="0" w:space="0" w:color="auto"/>
        <w:right w:val="none" w:sz="0" w:space="0" w:color="auto"/>
      </w:divBdr>
      <w:divsChild>
        <w:div w:id="2072655420">
          <w:marLeft w:val="0"/>
          <w:marRight w:val="0"/>
          <w:marTop w:val="0"/>
          <w:marBottom w:val="0"/>
          <w:divBdr>
            <w:top w:val="none" w:sz="0" w:space="0" w:color="auto"/>
            <w:left w:val="none" w:sz="0" w:space="0" w:color="auto"/>
            <w:bottom w:val="none" w:sz="0" w:space="0" w:color="auto"/>
            <w:right w:val="none" w:sz="0" w:space="0" w:color="auto"/>
          </w:divBdr>
          <w:divsChild>
            <w:div w:id="412822436">
              <w:marLeft w:val="0"/>
              <w:marRight w:val="0"/>
              <w:marTop w:val="0"/>
              <w:marBottom w:val="0"/>
              <w:divBdr>
                <w:top w:val="none" w:sz="0" w:space="0" w:color="auto"/>
                <w:left w:val="none" w:sz="0" w:space="0" w:color="auto"/>
                <w:bottom w:val="none" w:sz="0" w:space="0" w:color="auto"/>
                <w:right w:val="none" w:sz="0" w:space="0" w:color="auto"/>
              </w:divBdr>
              <w:divsChild>
                <w:div w:id="524367128">
                  <w:marLeft w:val="0"/>
                  <w:marRight w:val="0"/>
                  <w:marTop w:val="0"/>
                  <w:marBottom w:val="0"/>
                  <w:divBdr>
                    <w:top w:val="none" w:sz="0" w:space="0" w:color="auto"/>
                    <w:left w:val="none" w:sz="0" w:space="0" w:color="auto"/>
                    <w:bottom w:val="none" w:sz="0" w:space="0" w:color="auto"/>
                    <w:right w:val="none" w:sz="0" w:space="0" w:color="auto"/>
                  </w:divBdr>
                  <w:divsChild>
                    <w:div w:id="395515729">
                      <w:marLeft w:val="0"/>
                      <w:marRight w:val="0"/>
                      <w:marTop w:val="0"/>
                      <w:marBottom w:val="0"/>
                      <w:divBdr>
                        <w:top w:val="none" w:sz="0" w:space="0" w:color="auto"/>
                        <w:left w:val="none" w:sz="0" w:space="0" w:color="auto"/>
                        <w:bottom w:val="none" w:sz="0" w:space="0" w:color="auto"/>
                        <w:right w:val="none" w:sz="0" w:space="0" w:color="auto"/>
                      </w:divBdr>
                    </w:div>
                  </w:divsChild>
                </w:div>
                <w:div w:id="2125952631">
                  <w:marLeft w:val="0"/>
                  <w:marRight w:val="0"/>
                  <w:marTop w:val="0"/>
                  <w:marBottom w:val="0"/>
                  <w:divBdr>
                    <w:top w:val="none" w:sz="0" w:space="0" w:color="auto"/>
                    <w:left w:val="none" w:sz="0" w:space="0" w:color="auto"/>
                    <w:bottom w:val="none" w:sz="0" w:space="0" w:color="auto"/>
                    <w:right w:val="none" w:sz="0" w:space="0" w:color="auto"/>
                  </w:divBdr>
                  <w:divsChild>
                    <w:div w:id="1940793193">
                      <w:marLeft w:val="0"/>
                      <w:marRight w:val="0"/>
                      <w:marTop w:val="0"/>
                      <w:marBottom w:val="0"/>
                      <w:divBdr>
                        <w:top w:val="none" w:sz="0" w:space="0" w:color="auto"/>
                        <w:left w:val="none" w:sz="0" w:space="0" w:color="auto"/>
                        <w:bottom w:val="none" w:sz="0" w:space="0" w:color="auto"/>
                        <w:right w:val="none" w:sz="0" w:space="0" w:color="auto"/>
                      </w:divBdr>
                    </w:div>
                  </w:divsChild>
                </w:div>
                <w:div w:id="1337613706">
                  <w:marLeft w:val="0"/>
                  <w:marRight w:val="0"/>
                  <w:marTop w:val="0"/>
                  <w:marBottom w:val="0"/>
                  <w:divBdr>
                    <w:top w:val="none" w:sz="0" w:space="0" w:color="auto"/>
                    <w:left w:val="none" w:sz="0" w:space="0" w:color="auto"/>
                    <w:bottom w:val="none" w:sz="0" w:space="0" w:color="auto"/>
                    <w:right w:val="none" w:sz="0" w:space="0" w:color="auto"/>
                  </w:divBdr>
                  <w:divsChild>
                    <w:div w:id="1398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245">
              <w:marLeft w:val="0"/>
              <w:marRight w:val="0"/>
              <w:marTop w:val="0"/>
              <w:marBottom w:val="0"/>
              <w:divBdr>
                <w:top w:val="none" w:sz="0" w:space="0" w:color="auto"/>
                <w:left w:val="none" w:sz="0" w:space="0" w:color="auto"/>
                <w:bottom w:val="none" w:sz="0" w:space="0" w:color="auto"/>
                <w:right w:val="none" w:sz="0" w:space="0" w:color="auto"/>
              </w:divBdr>
              <w:divsChild>
                <w:div w:id="1037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770">
          <w:marLeft w:val="0"/>
          <w:marRight w:val="0"/>
          <w:marTop w:val="0"/>
          <w:marBottom w:val="0"/>
          <w:divBdr>
            <w:top w:val="none" w:sz="0" w:space="0" w:color="auto"/>
            <w:left w:val="none" w:sz="0" w:space="0" w:color="auto"/>
            <w:bottom w:val="none" w:sz="0" w:space="0" w:color="auto"/>
            <w:right w:val="none" w:sz="0" w:space="0" w:color="auto"/>
          </w:divBdr>
          <w:divsChild>
            <w:div w:id="1931618875">
              <w:marLeft w:val="0"/>
              <w:marRight w:val="0"/>
              <w:marTop w:val="0"/>
              <w:marBottom w:val="0"/>
              <w:divBdr>
                <w:top w:val="none" w:sz="0" w:space="0" w:color="auto"/>
                <w:left w:val="none" w:sz="0" w:space="0" w:color="auto"/>
                <w:bottom w:val="none" w:sz="0" w:space="0" w:color="auto"/>
                <w:right w:val="none" w:sz="0" w:space="0" w:color="auto"/>
              </w:divBdr>
              <w:divsChild>
                <w:div w:id="1175414724">
                  <w:marLeft w:val="0"/>
                  <w:marRight w:val="0"/>
                  <w:marTop w:val="0"/>
                  <w:marBottom w:val="0"/>
                  <w:divBdr>
                    <w:top w:val="none" w:sz="0" w:space="0" w:color="auto"/>
                    <w:left w:val="none" w:sz="0" w:space="0" w:color="auto"/>
                    <w:bottom w:val="none" w:sz="0" w:space="0" w:color="auto"/>
                    <w:right w:val="none" w:sz="0" w:space="0" w:color="auto"/>
                  </w:divBdr>
                  <w:divsChild>
                    <w:div w:id="118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40009">
              <w:marLeft w:val="0"/>
              <w:marRight w:val="0"/>
              <w:marTop w:val="0"/>
              <w:marBottom w:val="0"/>
              <w:divBdr>
                <w:top w:val="none" w:sz="0" w:space="0" w:color="auto"/>
                <w:left w:val="none" w:sz="0" w:space="0" w:color="auto"/>
                <w:bottom w:val="none" w:sz="0" w:space="0" w:color="auto"/>
                <w:right w:val="none" w:sz="0" w:space="0" w:color="auto"/>
              </w:divBdr>
              <w:divsChild>
                <w:div w:id="962006139">
                  <w:marLeft w:val="0"/>
                  <w:marRight w:val="0"/>
                  <w:marTop w:val="0"/>
                  <w:marBottom w:val="0"/>
                  <w:divBdr>
                    <w:top w:val="none" w:sz="0" w:space="0" w:color="auto"/>
                    <w:left w:val="none" w:sz="0" w:space="0" w:color="auto"/>
                    <w:bottom w:val="none" w:sz="0" w:space="0" w:color="auto"/>
                    <w:right w:val="none" w:sz="0" w:space="0" w:color="auto"/>
                  </w:divBdr>
                  <w:divsChild>
                    <w:div w:id="1041171898">
                      <w:marLeft w:val="0"/>
                      <w:marRight w:val="0"/>
                      <w:marTop w:val="0"/>
                      <w:marBottom w:val="0"/>
                      <w:divBdr>
                        <w:top w:val="none" w:sz="0" w:space="0" w:color="auto"/>
                        <w:left w:val="none" w:sz="0" w:space="0" w:color="auto"/>
                        <w:bottom w:val="none" w:sz="0" w:space="0" w:color="auto"/>
                        <w:right w:val="none" w:sz="0" w:space="0" w:color="auto"/>
                      </w:divBdr>
                    </w:div>
                  </w:divsChild>
                </w:div>
                <w:div w:id="825784783">
                  <w:marLeft w:val="0"/>
                  <w:marRight w:val="0"/>
                  <w:marTop w:val="0"/>
                  <w:marBottom w:val="0"/>
                  <w:divBdr>
                    <w:top w:val="none" w:sz="0" w:space="0" w:color="auto"/>
                    <w:left w:val="none" w:sz="0" w:space="0" w:color="auto"/>
                    <w:bottom w:val="none" w:sz="0" w:space="0" w:color="auto"/>
                    <w:right w:val="none" w:sz="0" w:space="0" w:color="auto"/>
                  </w:divBdr>
                  <w:divsChild>
                    <w:div w:id="107285002">
                      <w:marLeft w:val="0"/>
                      <w:marRight w:val="0"/>
                      <w:marTop w:val="0"/>
                      <w:marBottom w:val="0"/>
                      <w:divBdr>
                        <w:top w:val="none" w:sz="0" w:space="0" w:color="auto"/>
                        <w:left w:val="none" w:sz="0" w:space="0" w:color="auto"/>
                        <w:bottom w:val="none" w:sz="0" w:space="0" w:color="auto"/>
                        <w:right w:val="none" w:sz="0" w:space="0" w:color="auto"/>
                      </w:divBdr>
                      <w:divsChild>
                        <w:div w:id="15357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2541">
      <w:bodyDiv w:val="1"/>
      <w:marLeft w:val="0"/>
      <w:marRight w:val="0"/>
      <w:marTop w:val="0"/>
      <w:marBottom w:val="0"/>
      <w:divBdr>
        <w:top w:val="none" w:sz="0" w:space="0" w:color="auto"/>
        <w:left w:val="none" w:sz="0" w:space="0" w:color="auto"/>
        <w:bottom w:val="none" w:sz="0" w:space="0" w:color="auto"/>
        <w:right w:val="none" w:sz="0" w:space="0" w:color="auto"/>
      </w:divBdr>
      <w:divsChild>
        <w:div w:id="477190805">
          <w:marLeft w:val="0"/>
          <w:marRight w:val="0"/>
          <w:marTop w:val="240"/>
          <w:marBottom w:val="0"/>
          <w:divBdr>
            <w:top w:val="none" w:sz="0" w:space="0" w:color="auto"/>
            <w:left w:val="none" w:sz="0" w:space="0" w:color="auto"/>
            <w:bottom w:val="none" w:sz="0" w:space="0" w:color="auto"/>
            <w:right w:val="none" w:sz="0" w:space="0" w:color="auto"/>
          </w:divBdr>
        </w:div>
        <w:div w:id="828638099">
          <w:marLeft w:val="0"/>
          <w:marRight w:val="0"/>
          <w:marTop w:val="180"/>
          <w:marBottom w:val="0"/>
          <w:divBdr>
            <w:top w:val="none" w:sz="0" w:space="0" w:color="auto"/>
            <w:left w:val="none" w:sz="0" w:space="0" w:color="auto"/>
            <w:bottom w:val="none" w:sz="0" w:space="0" w:color="auto"/>
            <w:right w:val="none" w:sz="0" w:space="0" w:color="auto"/>
          </w:divBdr>
        </w:div>
        <w:div w:id="934167031">
          <w:marLeft w:val="0"/>
          <w:marRight w:val="0"/>
          <w:marTop w:val="120"/>
          <w:marBottom w:val="0"/>
          <w:divBdr>
            <w:top w:val="none" w:sz="0" w:space="0" w:color="auto"/>
            <w:left w:val="none" w:sz="0" w:space="0" w:color="auto"/>
            <w:bottom w:val="none" w:sz="0" w:space="0" w:color="auto"/>
            <w:right w:val="none" w:sz="0" w:space="0" w:color="auto"/>
          </w:divBdr>
        </w:div>
        <w:div w:id="1310746267">
          <w:marLeft w:val="0"/>
          <w:marRight w:val="0"/>
          <w:marTop w:val="20"/>
          <w:marBottom w:val="0"/>
          <w:divBdr>
            <w:top w:val="none" w:sz="0" w:space="0" w:color="auto"/>
            <w:left w:val="none" w:sz="0" w:space="0" w:color="auto"/>
            <w:bottom w:val="none" w:sz="0" w:space="0" w:color="auto"/>
            <w:right w:val="none" w:sz="0" w:space="0" w:color="auto"/>
          </w:divBdr>
        </w:div>
        <w:div w:id="2038500488">
          <w:marLeft w:val="0"/>
          <w:marRight w:val="0"/>
          <w:marTop w:val="120"/>
          <w:marBottom w:val="0"/>
          <w:divBdr>
            <w:top w:val="none" w:sz="0" w:space="0" w:color="auto"/>
            <w:left w:val="none" w:sz="0" w:space="0" w:color="auto"/>
            <w:bottom w:val="none" w:sz="0" w:space="0" w:color="auto"/>
            <w:right w:val="none" w:sz="0" w:space="0" w:color="auto"/>
          </w:divBdr>
        </w:div>
        <w:div w:id="1508447324">
          <w:marLeft w:val="0"/>
          <w:marRight w:val="0"/>
          <w:marTop w:val="20"/>
          <w:marBottom w:val="0"/>
          <w:divBdr>
            <w:top w:val="none" w:sz="0" w:space="0" w:color="auto"/>
            <w:left w:val="none" w:sz="0" w:space="0" w:color="auto"/>
            <w:bottom w:val="none" w:sz="0" w:space="0" w:color="auto"/>
            <w:right w:val="none" w:sz="0" w:space="0" w:color="auto"/>
          </w:divBdr>
        </w:div>
      </w:divsChild>
    </w:div>
    <w:div w:id="1199322804">
      <w:bodyDiv w:val="1"/>
      <w:marLeft w:val="0"/>
      <w:marRight w:val="0"/>
      <w:marTop w:val="0"/>
      <w:marBottom w:val="0"/>
      <w:divBdr>
        <w:top w:val="none" w:sz="0" w:space="0" w:color="auto"/>
        <w:left w:val="none" w:sz="0" w:space="0" w:color="auto"/>
        <w:bottom w:val="none" w:sz="0" w:space="0" w:color="auto"/>
        <w:right w:val="none" w:sz="0" w:space="0" w:color="auto"/>
      </w:divBdr>
      <w:divsChild>
        <w:div w:id="1881282658">
          <w:marLeft w:val="0"/>
          <w:marRight w:val="0"/>
          <w:marTop w:val="0"/>
          <w:marBottom w:val="0"/>
          <w:divBdr>
            <w:top w:val="none" w:sz="0" w:space="0" w:color="auto"/>
            <w:left w:val="none" w:sz="0" w:space="0" w:color="auto"/>
            <w:bottom w:val="none" w:sz="0" w:space="0" w:color="auto"/>
            <w:right w:val="none" w:sz="0" w:space="0" w:color="auto"/>
          </w:divBdr>
          <w:divsChild>
            <w:div w:id="1933664686">
              <w:marLeft w:val="0"/>
              <w:marRight w:val="0"/>
              <w:marTop w:val="0"/>
              <w:marBottom w:val="0"/>
              <w:divBdr>
                <w:top w:val="none" w:sz="0" w:space="0" w:color="auto"/>
                <w:left w:val="none" w:sz="0" w:space="0" w:color="auto"/>
                <w:bottom w:val="none" w:sz="0" w:space="0" w:color="auto"/>
                <w:right w:val="none" w:sz="0" w:space="0" w:color="auto"/>
              </w:divBdr>
              <w:divsChild>
                <w:div w:id="1990595680">
                  <w:marLeft w:val="0"/>
                  <w:marRight w:val="0"/>
                  <w:marTop w:val="0"/>
                  <w:marBottom w:val="0"/>
                  <w:divBdr>
                    <w:top w:val="none" w:sz="0" w:space="0" w:color="auto"/>
                    <w:left w:val="none" w:sz="0" w:space="0" w:color="auto"/>
                    <w:bottom w:val="none" w:sz="0" w:space="0" w:color="auto"/>
                    <w:right w:val="none" w:sz="0" w:space="0" w:color="auto"/>
                  </w:divBdr>
                  <w:divsChild>
                    <w:div w:id="1669747364">
                      <w:marLeft w:val="0"/>
                      <w:marRight w:val="0"/>
                      <w:marTop w:val="0"/>
                      <w:marBottom w:val="0"/>
                      <w:divBdr>
                        <w:top w:val="none" w:sz="0" w:space="0" w:color="auto"/>
                        <w:left w:val="none" w:sz="0" w:space="0" w:color="auto"/>
                        <w:bottom w:val="none" w:sz="0" w:space="0" w:color="auto"/>
                        <w:right w:val="none" w:sz="0" w:space="0" w:color="auto"/>
                      </w:divBdr>
                    </w:div>
                  </w:divsChild>
                </w:div>
                <w:div w:id="1014763343">
                  <w:marLeft w:val="0"/>
                  <w:marRight w:val="0"/>
                  <w:marTop w:val="0"/>
                  <w:marBottom w:val="0"/>
                  <w:divBdr>
                    <w:top w:val="none" w:sz="0" w:space="0" w:color="auto"/>
                    <w:left w:val="none" w:sz="0" w:space="0" w:color="auto"/>
                    <w:bottom w:val="none" w:sz="0" w:space="0" w:color="auto"/>
                    <w:right w:val="none" w:sz="0" w:space="0" w:color="auto"/>
                  </w:divBdr>
                  <w:divsChild>
                    <w:div w:id="727729602">
                      <w:marLeft w:val="0"/>
                      <w:marRight w:val="0"/>
                      <w:marTop w:val="0"/>
                      <w:marBottom w:val="0"/>
                      <w:divBdr>
                        <w:top w:val="none" w:sz="0" w:space="0" w:color="auto"/>
                        <w:left w:val="none" w:sz="0" w:space="0" w:color="auto"/>
                        <w:bottom w:val="none" w:sz="0" w:space="0" w:color="auto"/>
                        <w:right w:val="none" w:sz="0" w:space="0" w:color="auto"/>
                      </w:divBdr>
                    </w:div>
                  </w:divsChild>
                </w:div>
                <w:div w:id="969899280">
                  <w:marLeft w:val="0"/>
                  <w:marRight w:val="0"/>
                  <w:marTop w:val="0"/>
                  <w:marBottom w:val="0"/>
                  <w:divBdr>
                    <w:top w:val="none" w:sz="0" w:space="0" w:color="auto"/>
                    <w:left w:val="none" w:sz="0" w:space="0" w:color="auto"/>
                    <w:bottom w:val="none" w:sz="0" w:space="0" w:color="auto"/>
                    <w:right w:val="none" w:sz="0" w:space="0" w:color="auto"/>
                  </w:divBdr>
                  <w:divsChild>
                    <w:div w:id="11716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537">
              <w:marLeft w:val="0"/>
              <w:marRight w:val="0"/>
              <w:marTop w:val="0"/>
              <w:marBottom w:val="0"/>
              <w:divBdr>
                <w:top w:val="none" w:sz="0" w:space="0" w:color="auto"/>
                <w:left w:val="none" w:sz="0" w:space="0" w:color="auto"/>
                <w:bottom w:val="none" w:sz="0" w:space="0" w:color="auto"/>
                <w:right w:val="none" w:sz="0" w:space="0" w:color="auto"/>
              </w:divBdr>
              <w:divsChild>
                <w:div w:id="20249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360">
          <w:marLeft w:val="0"/>
          <w:marRight w:val="0"/>
          <w:marTop w:val="0"/>
          <w:marBottom w:val="0"/>
          <w:divBdr>
            <w:top w:val="none" w:sz="0" w:space="0" w:color="auto"/>
            <w:left w:val="none" w:sz="0" w:space="0" w:color="auto"/>
            <w:bottom w:val="none" w:sz="0" w:space="0" w:color="auto"/>
            <w:right w:val="none" w:sz="0" w:space="0" w:color="auto"/>
          </w:divBdr>
          <w:divsChild>
            <w:div w:id="1438016715">
              <w:marLeft w:val="0"/>
              <w:marRight w:val="0"/>
              <w:marTop w:val="0"/>
              <w:marBottom w:val="0"/>
              <w:divBdr>
                <w:top w:val="none" w:sz="0" w:space="0" w:color="auto"/>
                <w:left w:val="none" w:sz="0" w:space="0" w:color="auto"/>
                <w:bottom w:val="none" w:sz="0" w:space="0" w:color="auto"/>
                <w:right w:val="none" w:sz="0" w:space="0" w:color="auto"/>
              </w:divBdr>
              <w:divsChild>
                <w:div w:id="1058556482">
                  <w:marLeft w:val="0"/>
                  <w:marRight w:val="0"/>
                  <w:marTop w:val="0"/>
                  <w:marBottom w:val="0"/>
                  <w:divBdr>
                    <w:top w:val="none" w:sz="0" w:space="0" w:color="auto"/>
                    <w:left w:val="none" w:sz="0" w:space="0" w:color="auto"/>
                    <w:bottom w:val="none" w:sz="0" w:space="0" w:color="auto"/>
                    <w:right w:val="none" w:sz="0" w:space="0" w:color="auto"/>
                  </w:divBdr>
                  <w:divsChild>
                    <w:div w:id="19050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5560">
              <w:marLeft w:val="0"/>
              <w:marRight w:val="0"/>
              <w:marTop w:val="0"/>
              <w:marBottom w:val="0"/>
              <w:divBdr>
                <w:top w:val="none" w:sz="0" w:space="0" w:color="auto"/>
                <w:left w:val="none" w:sz="0" w:space="0" w:color="auto"/>
                <w:bottom w:val="none" w:sz="0" w:space="0" w:color="auto"/>
                <w:right w:val="none" w:sz="0" w:space="0" w:color="auto"/>
              </w:divBdr>
              <w:divsChild>
                <w:div w:id="1197156166">
                  <w:marLeft w:val="0"/>
                  <w:marRight w:val="0"/>
                  <w:marTop w:val="0"/>
                  <w:marBottom w:val="0"/>
                  <w:divBdr>
                    <w:top w:val="none" w:sz="0" w:space="0" w:color="auto"/>
                    <w:left w:val="none" w:sz="0" w:space="0" w:color="auto"/>
                    <w:bottom w:val="none" w:sz="0" w:space="0" w:color="auto"/>
                    <w:right w:val="none" w:sz="0" w:space="0" w:color="auto"/>
                  </w:divBdr>
                  <w:divsChild>
                    <w:div w:id="1853686112">
                      <w:marLeft w:val="0"/>
                      <w:marRight w:val="0"/>
                      <w:marTop w:val="0"/>
                      <w:marBottom w:val="0"/>
                      <w:divBdr>
                        <w:top w:val="none" w:sz="0" w:space="0" w:color="auto"/>
                        <w:left w:val="none" w:sz="0" w:space="0" w:color="auto"/>
                        <w:bottom w:val="none" w:sz="0" w:space="0" w:color="auto"/>
                        <w:right w:val="none" w:sz="0" w:space="0" w:color="auto"/>
                      </w:divBdr>
                    </w:div>
                  </w:divsChild>
                </w:div>
                <w:div w:id="1892225417">
                  <w:marLeft w:val="0"/>
                  <w:marRight w:val="0"/>
                  <w:marTop w:val="0"/>
                  <w:marBottom w:val="0"/>
                  <w:divBdr>
                    <w:top w:val="none" w:sz="0" w:space="0" w:color="auto"/>
                    <w:left w:val="none" w:sz="0" w:space="0" w:color="auto"/>
                    <w:bottom w:val="none" w:sz="0" w:space="0" w:color="auto"/>
                    <w:right w:val="none" w:sz="0" w:space="0" w:color="auto"/>
                  </w:divBdr>
                  <w:divsChild>
                    <w:div w:id="1277827657">
                      <w:marLeft w:val="0"/>
                      <w:marRight w:val="0"/>
                      <w:marTop w:val="0"/>
                      <w:marBottom w:val="0"/>
                      <w:divBdr>
                        <w:top w:val="none" w:sz="0" w:space="0" w:color="auto"/>
                        <w:left w:val="none" w:sz="0" w:space="0" w:color="auto"/>
                        <w:bottom w:val="none" w:sz="0" w:space="0" w:color="auto"/>
                        <w:right w:val="none" w:sz="0" w:space="0" w:color="auto"/>
                      </w:divBdr>
                      <w:divsChild>
                        <w:div w:id="11271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434845">
      <w:bodyDiv w:val="1"/>
      <w:marLeft w:val="0"/>
      <w:marRight w:val="0"/>
      <w:marTop w:val="0"/>
      <w:marBottom w:val="0"/>
      <w:divBdr>
        <w:top w:val="none" w:sz="0" w:space="0" w:color="auto"/>
        <w:left w:val="none" w:sz="0" w:space="0" w:color="auto"/>
        <w:bottom w:val="none" w:sz="0" w:space="0" w:color="auto"/>
        <w:right w:val="none" w:sz="0" w:space="0" w:color="auto"/>
      </w:divBdr>
      <w:divsChild>
        <w:div w:id="1667896477">
          <w:marLeft w:val="0"/>
          <w:marRight w:val="0"/>
          <w:marTop w:val="120"/>
          <w:marBottom w:val="0"/>
          <w:divBdr>
            <w:top w:val="none" w:sz="0" w:space="0" w:color="auto"/>
            <w:left w:val="none" w:sz="0" w:space="0" w:color="auto"/>
            <w:bottom w:val="none" w:sz="0" w:space="0" w:color="auto"/>
            <w:right w:val="none" w:sz="0" w:space="0" w:color="auto"/>
          </w:divBdr>
        </w:div>
      </w:divsChild>
    </w:div>
    <w:div w:id="2020086493">
      <w:bodyDiv w:val="1"/>
      <w:marLeft w:val="0"/>
      <w:marRight w:val="0"/>
      <w:marTop w:val="0"/>
      <w:marBottom w:val="0"/>
      <w:divBdr>
        <w:top w:val="none" w:sz="0" w:space="0" w:color="auto"/>
        <w:left w:val="none" w:sz="0" w:space="0" w:color="auto"/>
        <w:bottom w:val="none" w:sz="0" w:space="0" w:color="auto"/>
        <w:right w:val="none" w:sz="0" w:space="0" w:color="auto"/>
      </w:divBdr>
      <w:divsChild>
        <w:div w:id="942222969">
          <w:marLeft w:val="0"/>
          <w:marRight w:val="0"/>
          <w:marTop w:val="0"/>
          <w:marBottom w:val="0"/>
          <w:divBdr>
            <w:top w:val="none" w:sz="0" w:space="0" w:color="auto"/>
            <w:left w:val="none" w:sz="0" w:space="0" w:color="auto"/>
            <w:bottom w:val="none" w:sz="0" w:space="0" w:color="auto"/>
            <w:right w:val="none" w:sz="0" w:space="0" w:color="auto"/>
          </w:divBdr>
          <w:divsChild>
            <w:div w:id="1889489257">
              <w:marLeft w:val="0"/>
              <w:marRight w:val="0"/>
              <w:marTop w:val="0"/>
              <w:marBottom w:val="0"/>
              <w:divBdr>
                <w:top w:val="none" w:sz="0" w:space="0" w:color="auto"/>
                <w:left w:val="none" w:sz="0" w:space="0" w:color="auto"/>
                <w:bottom w:val="none" w:sz="0" w:space="0" w:color="auto"/>
                <w:right w:val="none" w:sz="0" w:space="0" w:color="auto"/>
              </w:divBdr>
              <w:divsChild>
                <w:div w:id="1379476532">
                  <w:marLeft w:val="0"/>
                  <w:marRight w:val="0"/>
                  <w:marTop w:val="0"/>
                  <w:marBottom w:val="0"/>
                  <w:divBdr>
                    <w:top w:val="none" w:sz="0" w:space="0" w:color="auto"/>
                    <w:left w:val="none" w:sz="0" w:space="0" w:color="auto"/>
                    <w:bottom w:val="none" w:sz="0" w:space="0" w:color="auto"/>
                    <w:right w:val="none" w:sz="0" w:space="0" w:color="auto"/>
                  </w:divBdr>
                  <w:divsChild>
                    <w:div w:id="5310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6985-AD38-439E-8E46-3DA46E8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2023-06-12T10:20:00Z</cp:lastPrinted>
  <dcterms:created xsi:type="dcterms:W3CDTF">2023-06-20T12:32:00Z</dcterms:created>
  <dcterms:modified xsi:type="dcterms:W3CDTF">2023-06-20T12:33:00Z</dcterms:modified>
</cp:coreProperties>
</file>