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C3F4E" w14:textId="77777777" w:rsidR="0027480A" w:rsidRPr="0027480A" w:rsidRDefault="0027480A" w:rsidP="0027480A">
      <w:pPr>
        <w:jc w:val="center"/>
        <w:rPr>
          <w:rFonts w:cs="Arial"/>
          <w:b/>
          <w:szCs w:val="24"/>
        </w:rPr>
      </w:pPr>
      <w:r w:rsidRPr="0027480A">
        <w:rPr>
          <w:rFonts w:cs="Arial"/>
          <w:b/>
          <w:i/>
          <w:noProof/>
          <w:szCs w:val="24"/>
          <w:lang w:val="en-US"/>
        </w:rPr>
        <w:drawing>
          <wp:anchor distT="0" distB="0" distL="114300" distR="114300" simplePos="0" relativeHeight="251659264" behindDoc="0" locked="0" layoutInCell="1" allowOverlap="1" wp14:anchorId="571012C6" wp14:editId="1EAD2C3E">
            <wp:simplePos x="0" y="0"/>
            <wp:positionH relativeFrom="margin">
              <wp:posOffset>2304288</wp:posOffset>
            </wp:positionH>
            <wp:positionV relativeFrom="paragraph">
              <wp:posOffset>127</wp:posOffset>
            </wp:positionV>
            <wp:extent cx="990600" cy="1171575"/>
            <wp:effectExtent l="0" t="0" r="0" b="9525"/>
            <wp:wrapThrough wrapText="bothSides">
              <wp:wrapPolygon edited="0">
                <wp:start x="0" y="0"/>
                <wp:lineTo x="0" y="21424"/>
                <wp:lineTo x="21185" y="21424"/>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anchor>
        </w:drawing>
      </w:r>
    </w:p>
    <w:p w14:paraId="524554D3" w14:textId="77777777" w:rsidR="0027480A" w:rsidRPr="0027480A" w:rsidRDefault="0027480A" w:rsidP="0027480A">
      <w:pPr>
        <w:jc w:val="center"/>
        <w:rPr>
          <w:rFonts w:cs="Arial"/>
          <w:b/>
          <w:szCs w:val="24"/>
        </w:rPr>
      </w:pPr>
    </w:p>
    <w:p w14:paraId="48D3F30D" w14:textId="77777777" w:rsidR="0027480A" w:rsidRPr="0027480A" w:rsidRDefault="0027480A" w:rsidP="0027480A">
      <w:pPr>
        <w:jc w:val="center"/>
        <w:rPr>
          <w:rFonts w:cs="Arial"/>
          <w:b/>
          <w:szCs w:val="24"/>
        </w:rPr>
      </w:pPr>
    </w:p>
    <w:p w14:paraId="06200FBF" w14:textId="77777777" w:rsidR="0027480A" w:rsidRPr="0027480A" w:rsidRDefault="0027480A" w:rsidP="0027480A">
      <w:pPr>
        <w:jc w:val="center"/>
        <w:rPr>
          <w:rFonts w:cs="Arial"/>
          <w:b/>
          <w:szCs w:val="24"/>
        </w:rPr>
      </w:pPr>
    </w:p>
    <w:p w14:paraId="1708B395" w14:textId="77777777" w:rsidR="0027480A" w:rsidRPr="0027480A" w:rsidRDefault="0027480A" w:rsidP="0027480A">
      <w:pPr>
        <w:jc w:val="center"/>
        <w:rPr>
          <w:rFonts w:cs="Arial"/>
          <w:b/>
          <w:szCs w:val="24"/>
        </w:rPr>
      </w:pPr>
    </w:p>
    <w:p w14:paraId="70584F70" w14:textId="77777777" w:rsidR="0027480A" w:rsidRPr="0027480A" w:rsidRDefault="0027480A" w:rsidP="0027480A">
      <w:pPr>
        <w:jc w:val="center"/>
        <w:rPr>
          <w:rFonts w:cs="Arial"/>
          <w:b/>
          <w:szCs w:val="24"/>
        </w:rPr>
      </w:pPr>
    </w:p>
    <w:p w14:paraId="06EC7D18" w14:textId="77777777" w:rsidR="0027480A" w:rsidRPr="0027480A" w:rsidRDefault="0027480A" w:rsidP="0027480A">
      <w:pPr>
        <w:jc w:val="center"/>
        <w:rPr>
          <w:rFonts w:cs="Arial"/>
          <w:b/>
          <w:szCs w:val="24"/>
        </w:rPr>
      </w:pPr>
      <w:r w:rsidRPr="0027480A">
        <w:rPr>
          <w:rFonts w:cs="Arial"/>
          <w:b/>
          <w:szCs w:val="24"/>
        </w:rPr>
        <w:t>IN THE HIGH COURT OF SOUTH AFRICA</w:t>
      </w:r>
    </w:p>
    <w:p w14:paraId="3987A982" w14:textId="77777777" w:rsidR="0027480A" w:rsidRPr="0027480A" w:rsidRDefault="0027480A" w:rsidP="0027480A">
      <w:pPr>
        <w:jc w:val="center"/>
        <w:rPr>
          <w:rFonts w:cs="Arial"/>
          <w:b/>
          <w:szCs w:val="24"/>
        </w:rPr>
      </w:pPr>
      <w:r w:rsidRPr="0027480A">
        <w:rPr>
          <w:rFonts w:cs="Arial"/>
          <w:b/>
          <w:szCs w:val="24"/>
        </w:rPr>
        <w:t>(EASTERN CAPE DIVISION, GQEBERHA )</w:t>
      </w:r>
    </w:p>
    <w:p w14:paraId="247EA503" w14:textId="77777777" w:rsidR="0027480A" w:rsidRPr="0027480A" w:rsidRDefault="0027480A" w:rsidP="0027480A">
      <w:pPr>
        <w:jc w:val="center"/>
        <w:rPr>
          <w:rFonts w:cs="Arial"/>
          <w:b/>
          <w:szCs w:val="24"/>
        </w:rPr>
      </w:pPr>
    </w:p>
    <w:p w14:paraId="298D3431" w14:textId="4076A028" w:rsidR="0027480A" w:rsidRPr="0027480A" w:rsidRDefault="0027480A" w:rsidP="0027480A">
      <w:pPr>
        <w:jc w:val="right"/>
        <w:rPr>
          <w:rFonts w:cs="Arial"/>
          <w:b/>
          <w:szCs w:val="24"/>
        </w:rPr>
      </w:pPr>
      <w:r w:rsidRPr="0027480A">
        <w:rPr>
          <w:rFonts w:cs="Arial"/>
          <w:b/>
          <w:szCs w:val="24"/>
        </w:rPr>
        <w:t>CASE NO: 1</w:t>
      </w:r>
      <w:r>
        <w:rPr>
          <w:rFonts w:cs="Arial"/>
          <w:b/>
          <w:szCs w:val="24"/>
        </w:rPr>
        <w:t>903</w:t>
      </w:r>
      <w:r w:rsidRPr="0027480A">
        <w:rPr>
          <w:rFonts w:cs="Arial"/>
          <w:b/>
          <w:szCs w:val="24"/>
        </w:rPr>
        <w:t>/202</w:t>
      </w:r>
      <w:r w:rsidR="007D0F69">
        <w:rPr>
          <w:rFonts w:cs="Arial"/>
          <w:b/>
          <w:szCs w:val="24"/>
        </w:rPr>
        <w:t>2</w:t>
      </w:r>
    </w:p>
    <w:p w14:paraId="2917F5F2" w14:textId="77777777" w:rsidR="0027480A" w:rsidRPr="0027480A" w:rsidRDefault="0027480A" w:rsidP="0027480A">
      <w:pPr>
        <w:rPr>
          <w:rFonts w:cs="Arial"/>
          <w:szCs w:val="24"/>
        </w:rPr>
      </w:pPr>
      <w:r w:rsidRPr="0027480A">
        <w:rPr>
          <w:rFonts w:cs="Arial"/>
          <w:noProof/>
          <w:szCs w:val="24"/>
          <w:lang w:val="en-US"/>
        </w:rPr>
        <mc:AlternateContent>
          <mc:Choice Requires="wps">
            <w:drawing>
              <wp:anchor distT="0" distB="0" distL="114300" distR="114300" simplePos="0" relativeHeight="251657216" behindDoc="0" locked="0" layoutInCell="1" allowOverlap="1" wp14:anchorId="74871917" wp14:editId="7DDA8E00">
                <wp:simplePos x="0" y="0"/>
                <wp:positionH relativeFrom="column">
                  <wp:posOffset>2143125</wp:posOffset>
                </wp:positionH>
                <wp:positionV relativeFrom="paragraph">
                  <wp:posOffset>154940</wp:posOffset>
                </wp:positionV>
                <wp:extent cx="3314700" cy="1371600"/>
                <wp:effectExtent l="9525" t="1206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B4775A4" w14:textId="77777777" w:rsidR="00811EC6" w:rsidRPr="00913F95" w:rsidRDefault="00811EC6" w:rsidP="0027480A">
                            <w:pPr>
                              <w:jc w:val="center"/>
                              <w:rPr>
                                <w:rFonts w:ascii="Century Gothic" w:hAnsi="Century Gothic"/>
                                <w:b/>
                                <w:sz w:val="20"/>
                                <w:szCs w:val="20"/>
                              </w:rPr>
                            </w:pPr>
                          </w:p>
                          <w:p w14:paraId="1F78E44E" w14:textId="6FB1D267" w:rsidR="00811EC6" w:rsidRDefault="00811EC6" w:rsidP="0027480A">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00D87EEC">
                              <w:rPr>
                                <w:rFonts w:ascii="Century Gothic" w:hAnsi="Century Gothic"/>
                                <w:sz w:val="20"/>
                                <w:szCs w:val="20"/>
                              </w:rPr>
                              <w:t>YES</w:t>
                            </w:r>
                          </w:p>
                          <w:p w14:paraId="7BDB4200" w14:textId="1D348C06" w:rsidR="00811EC6" w:rsidRPr="00913F95" w:rsidRDefault="00811EC6" w:rsidP="0027480A">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p>
                          <w:p w14:paraId="257FE6A6" w14:textId="77777777" w:rsidR="00811EC6" w:rsidRPr="00913F95" w:rsidRDefault="00811EC6" w:rsidP="0027480A">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36C03078" w14:textId="77777777" w:rsidR="00811EC6" w:rsidRDefault="00811EC6" w:rsidP="0027480A">
                            <w:pPr>
                              <w:rPr>
                                <w:rFonts w:ascii="Century Gothic" w:hAnsi="Century Gothic"/>
                                <w:b/>
                                <w:sz w:val="18"/>
                                <w:szCs w:val="18"/>
                              </w:rPr>
                            </w:pPr>
                          </w:p>
                          <w:p w14:paraId="06102DFC" w14:textId="2E3131C0" w:rsidR="00811EC6" w:rsidRPr="00084341" w:rsidRDefault="00811EC6" w:rsidP="0027480A">
                            <w:pPr>
                              <w:rPr>
                                <w:rFonts w:ascii="Century Gothic" w:hAnsi="Century Gothic"/>
                                <w:b/>
                                <w:sz w:val="18"/>
                                <w:szCs w:val="18"/>
                              </w:rPr>
                            </w:pPr>
                            <w:r>
                              <w:rPr>
                                <w:rFonts w:ascii="Century Gothic" w:hAnsi="Century Gothic"/>
                                <w:b/>
                                <w:sz w:val="18"/>
                                <w:szCs w:val="18"/>
                              </w:rPr>
                              <w:t xml:space="preserve">  0</w:t>
                            </w:r>
                            <w:r w:rsidR="00D87EEC">
                              <w:rPr>
                                <w:rFonts w:ascii="Century Gothic" w:hAnsi="Century Gothic"/>
                                <w:b/>
                                <w:sz w:val="18"/>
                                <w:szCs w:val="18"/>
                              </w:rPr>
                              <w:t>7</w:t>
                            </w:r>
                            <w:r>
                              <w:rPr>
                                <w:rFonts w:ascii="Century Gothic" w:hAnsi="Century Gothic"/>
                                <w:b/>
                                <w:sz w:val="18"/>
                                <w:szCs w:val="18"/>
                              </w:rPr>
                              <w:t>/08/2023</w:t>
                            </w:r>
                            <w:r w:rsidRPr="00084341">
                              <w:rPr>
                                <w:rFonts w:ascii="Century Gothic" w:hAnsi="Century Gothic"/>
                                <w:b/>
                                <w:sz w:val="18"/>
                                <w:szCs w:val="18"/>
                              </w:rPr>
                              <w:t>…..</w:t>
                            </w:r>
                            <w:r w:rsidRPr="00084341">
                              <w:rPr>
                                <w:rFonts w:ascii="Century Gothic" w:hAnsi="Century Gothic"/>
                                <w:b/>
                                <w:sz w:val="18"/>
                                <w:szCs w:val="18"/>
                              </w:rPr>
                              <w:tab/>
                            </w:r>
                            <w:r w:rsidRPr="00084341">
                              <w:rPr>
                                <w:rFonts w:ascii="Century Gothic" w:hAnsi="Century Gothic"/>
                                <w:b/>
                                <w:sz w:val="18"/>
                                <w:szCs w:val="18"/>
                              </w:rPr>
                              <w:tab/>
                              <w:t>………………………...</w:t>
                            </w:r>
                          </w:p>
                          <w:p w14:paraId="35C0CD7A" w14:textId="6AF41B2E" w:rsidR="00811EC6" w:rsidRPr="00084341" w:rsidRDefault="00811EC6" w:rsidP="0027480A">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871917" id="_x0000_t202" coordsize="21600,21600" o:spt="202" path="m,l,21600r21600,l21600,xe">
                <v:stroke joinstyle="miter"/>
                <v:path gradientshapeok="t" o:connecttype="rect"/>
              </v:shapetype>
              <v:shape id="Text Box 5" o:spid="_x0000_s1026" type="#_x0000_t202" style="position:absolute;left:0;text-align:left;margin-left:168.75pt;margin-top:12.2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">
                <v:textbox>
                  <w:txbxContent>
                    <w:p w14:paraId="1B4775A4" w14:textId="77777777" w:rsidR="00811EC6" w:rsidRPr="00913F95" w:rsidRDefault="00811EC6" w:rsidP="0027480A">
                      <w:pPr>
                        <w:jc w:val="center"/>
                        <w:rPr>
                          <w:rFonts w:ascii="Century Gothic" w:hAnsi="Century Gothic"/>
                          <w:b/>
                          <w:sz w:val="20"/>
                          <w:szCs w:val="20"/>
                        </w:rPr>
                      </w:pPr>
                    </w:p>
                    <w:p w14:paraId="1F78E44E" w14:textId="6FB1D267" w:rsidR="00811EC6" w:rsidRDefault="00811EC6" w:rsidP="0027480A">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00D87EEC">
                        <w:rPr>
                          <w:rFonts w:ascii="Century Gothic" w:hAnsi="Century Gothic"/>
                          <w:sz w:val="20"/>
                          <w:szCs w:val="20"/>
                        </w:rPr>
                        <w:t>YES</w:t>
                      </w:r>
                    </w:p>
                    <w:p w14:paraId="7BDB4200" w14:textId="1D348C06" w:rsidR="00811EC6" w:rsidRPr="00913F95" w:rsidRDefault="00811EC6" w:rsidP="0027480A">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p>
                    <w:p w14:paraId="257FE6A6" w14:textId="77777777" w:rsidR="00811EC6" w:rsidRPr="00913F95" w:rsidRDefault="00811EC6" w:rsidP="0027480A">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36C03078" w14:textId="77777777" w:rsidR="00811EC6" w:rsidRDefault="00811EC6" w:rsidP="0027480A">
                      <w:pPr>
                        <w:rPr>
                          <w:rFonts w:ascii="Century Gothic" w:hAnsi="Century Gothic"/>
                          <w:b/>
                          <w:sz w:val="18"/>
                          <w:szCs w:val="18"/>
                        </w:rPr>
                      </w:pPr>
                    </w:p>
                    <w:p w14:paraId="06102DFC" w14:textId="2E3131C0" w:rsidR="00811EC6" w:rsidRPr="00084341" w:rsidRDefault="00811EC6" w:rsidP="0027480A">
                      <w:pPr>
                        <w:rPr>
                          <w:rFonts w:ascii="Century Gothic" w:hAnsi="Century Gothic"/>
                          <w:b/>
                          <w:sz w:val="18"/>
                          <w:szCs w:val="18"/>
                        </w:rPr>
                      </w:pPr>
                      <w:r>
                        <w:rPr>
                          <w:rFonts w:ascii="Century Gothic" w:hAnsi="Century Gothic"/>
                          <w:b/>
                          <w:sz w:val="18"/>
                          <w:szCs w:val="18"/>
                        </w:rPr>
                        <w:t xml:space="preserve">  0</w:t>
                      </w:r>
                      <w:r w:rsidR="00D87EEC">
                        <w:rPr>
                          <w:rFonts w:ascii="Century Gothic" w:hAnsi="Century Gothic"/>
                          <w:b/>
                          <w:sz w:val="18"/>
                          <w:szCs w:val="18"/>
                        </w:rPr>
                        <w:t>7</w:t>
                      </w:r>
                      <w:r>
                        <w:rPr>
                          <w:rFonts w:ascii="Century Gothic" w:hAnsi="Century Gothic"/>
                          <w:b/>
                          <w:sz w:val="18"/>
                          <w:szCs w:val="18"/>
                        </w:rPr>
                        <w:t>/08/2023</w:t>
                      </w:r>
                      <w:proofErr w:type="gramStart"/>
                      <w:r w:rsidRPr="00084341">
                        <w:rPr>
                          <w:rFonts w:ascii="Century Gothic" w:hAnsi="Century Gothic"/>
                          <w:b/>
                          <w:sz w:val="18"/>
                          <w:szCs w:val="18"/>
                        </w:rPr>
                        <w:t>…..</w:t>
                      </w:r>
                      <w:proofErr w:type="gramEnd"/>
                      <w:r w:rsidRPr="00084341">
                        <w:rPr>
                          <w:rFonts w:ascii="Century Gothic" w:hAnsi="Century Gothic"/>
                          <w:b/>
                          <w:sz w:val="18"/>
                          <w:szCs w:val="18"/>
                        </w:rPr>
                        <w:tab/>
                      </w:r>
                      <w:r w:rsidRPr="00084341">
                        <w:rPr>
                          <w:rFonts w:ascii="Century Gothic" w:hAnsi="Century Gothic"/>
                          <w:b/>
                          <w:sz w:val="18"/>
                          <w:szCs w:val="18"/>
                        </w:rPr>
                        <w:tab/>
                        <w:t>………………………...</w:t>
                      </w:r>
                    </w:p>
                    <w:p w14:paraId="35C0CD7A" w14:textId="6AF41B2E" w:rsidR="00811EC6" w:rsidRPr="00084341" w:rsidRDefault="00811EC6" w:rsidP="0027480A">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proofErr w:type="gramStart"/>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roofErr w:type="gramEnd"/>
                    </w:p>
                  </w:txbxContent>
                </v:textbox>
              </v:shape>
            </w:pict>
          </mc:Fallback>
        </mc:AlternateContent>
      </w:r>
    </w:p>
    <w:p w14:paraId="17431CF5" w14:textId="77777777" w:rsidR="0027480A" w:rsidRPr="0027480A" w:rsidRDefault="0027480A" w:rsidP="0027480A">
      <w:pPr>
        <w:rPr>
          <w:rFonts w:cs="Arial"/>
          <w:szCs w:val="24"/>
        </w:rPr>
      </w:pPr>
    </w:p>
    <w:p w14:paraId="04BAA6E5" w14:textId="77777777" w:rsidR="0027480A" w:rsidRPr="0027480A" w:rsidRDefault="0027480A" w:rsidP="0027480A">
      <w:pPr>
        <w:rPr>
          <w:rFonts w:cs="Arial"/>
          <w:szCs w:val="24"/>
        </w:rPr>
      </w:pPr>
    </w:p>
    <w:p w14:paraId="07A14209" w14:textId="77777777" w:rsidR="0027480A" w:rsidRPr="0027480A" w:rsidRDefault="0027480A" w:rsidP="0027480A">
      <w:pPr>
        <w:rPr>
          <w:rFonts w:cs="Arial"/>
          <w:szCs w:val="24"/>
        </w:rPr>
      </w:pPr>
    </w:p>
    <w:p w14:paraId="506F1881" w14:textId="77777777" w:rsidR="0027480A" w:rsidRPr="0027480A" w:rsidRDefault="0027480A" w:rsidP="0027480A">
      <w:pPr>
        <w:rPr>
          <w:rFonts w:cs="Arial"/>
          <w:szCs w:val="24"/>
        </w:rPr>
      </w:pPr>
    </w:p>
    <w:p w14:paraId="510BE068" w14:textId="77777777" w:rsidR="0027480A" w:rsidRPr="0027480A" w:rsidRDefault="0027480A" w:rsidP="0027480A">
      <w:pPr>
        <w:rPr>
          <w:rFonts w:cs="Arial"/>
          <w:szCs w:val="24"/>
        </w:rPr>
      </w:pPr>
    </w:p>
    <w:p w14:paraId="6396C581" w14:textId="77777777" w:rsidR="0027480A" w:rsidRPr="0027480A" w:rsidRDefault="0027480A" w:rsidP="00DB5148">
      <w:pPr>
        <w:spacing w:after="0" w:line="360" w:lineRule="auto"/>
        <w:rPr>
          <w:rFonts w:cs="Arial"/>
          <w:szCs w:val="24"/>
        </w:rPr>
      </w:pPr>
      <w:r w:rsidRPr="0027480A">
        <w:rPr>
          <w:rFonts w:cs="Arial"/>
          <w:szCs w:val="24"/>
        </w:rPr>
        <w:t>In the matter between:</w:t>
      </w:r>
    </w:p>
    <w:p w14:paraId="2A23C300" w14:textId="77777777" w:rsidR="0027480A" w:rsidRPr="0027480A" w:rsidRDefault="0027480A" w:rsidP="00DB5148">
      <w:pPr>
        <w:spacing w:after="0" w:line="360" w:lineRule="auto"/>
        <w:rPr>
          <w:rFonts w:cs="Arial"/>
          <w:szCs w:val="24"/>
        </w:rPr>
      </w:pPr>
    </w:p>
    <w:p w14:paraId="38FCA85F" w14:textId="43454DAB" w:rsidR="0027480A" w:rsidRPr="0027480A" w:rsidRDefault="007D0F69" w:rsidP="00314EC2">
      <w:pPr>
        <w:tabs>
          <w:tab w:val="right" w:pos="8931"/>
        </w:tabs>
        <w:spacing w:after="0" w:line="360" w:lineRule="auto"/>
        <w:rPr>
          <w:rFonts w:cs="Arial"/>
          <w:szCs w:val="24"/>
        </w:rPr>
      </w:pPr>
      <w:r>
        <w:rPr>
          <w:rFonts w:cs="Arial"/>
          <w:b/>
          <w:szCs w:val="24"/>
        </w:rPr>
        <w:t>NATIONAL DIRECTOR OF PUBLIC PROSECUTIONS</w:t>
      </w:r>
      <w:r w:rsidR="0027480A" w:rsidRPr="0027480A">
        <w:rPr>
          <w:rFonts w:cs="Arial"/>
          <w:b/>
          <w:szCs w:val="24"/>
        </w:rPr>
        <w:tab/>
      </w:r>
      <w:r w:rsidR="00DB5148">
        <w:rPr>
          <w:rFonts w:cs="Arial"/>
          <w:szCs w:val="24"/>
        </w:rPr>
        <w:t>Plaintiff</w:t>
      </w:r>
    </w:p>
    <w:p w14:paraId="4FD42864" w14:textId="77777777" w:rsidR="0027480A" w:rsidRPr="0027480A" w:rsidRDefault="0027480A" w:rsidP="00314EC2">
      <w:pPr>
        <w:tabs>
          <w:tab w:val="right" w:pos="8931"/>
        </w:tabs>
        <w:spacing w:after="0" w:line="240" w:lineRule="auto"/>
        <w:rPr>
          <w:rFonts w:cs="Arial"/>
          <w:szCs w:val="24"/>
        </w:rPr>
      </w:pPr>
    </w:p>
    <w:p w14:paraId="191E630A" w14:textId="54C179DA" w:rsidR="0027480A" w:rsidRDefault="0027480A" w:rsidP="00314EC2">
      <w:pPr>
        <w:tabs>
          <w:tab w:val="right" w:pos="8931"/>
        </w:tabs>
        <w:spacing w:after="0" w:line="360" w:lineRule="auto"/>
        <w:rPr>
          <w:rFonts w:cs="Arial"/>
          <w:szCs w:val="24"/>
        </w:rPr>
      </w:pPr>
      <w:r w:rsidRPr="0027480A">
        <w:rPr>
          <w:rFonts w:cs="Arial"/>
          <w:szCs w:val="24"/>
        </w:rPr>
        <w:t>and</w:t>
      </w:r>
    </w:p>
    <w:p w14:paraId="1D6C8D25" w14:textId="686F7BF6" w:rsidR="00DB5148" w:rsidRDefault="00DB5148" w:rsidP="00314EC2">
      <w:pPr>
        <w:tabs>
          <w:tab w:val="right" w:pos="8931"/>
        </w:tabs>
        <w:spacing w:after="0" w:line="240" w:lineRule="auto"/>
        <w:rPr>
          <w:rFonts w:cs="Arial"/>
          <w:szCs w:val="24"/>
        </w:rPr>
      </w:pPr>
    </w:p>
    <w:p w14:paraId="3DCA40E3" w14:textId="1CF80236" w:rsidR="0027480A" w:rsidRDefault="00DB5148" w:rsidP="00314EC2">
      <w:pPr>
        <w:tabs>
          <w:tab w:val="right" w:pos="8931"/>
        </w:tabs>
        <w:spacing w:after="0" w:line="480" w:lineRule="auto"/>
        <w:rPr>
          <w:rFonts w:cs="Arial"/>
          <w:bCs/>
          <w:szCs w:val="24"/>
        </w:rPr>
      </w:pPr>
      <w:r>
        <w:rPr>
          <w:rFonts w:cs="Arial"/>
          <w:b/>
          <w:szCs w:val="24"/>
        </w:rPr>
        <w:t xml:space="preserve">MHLELEI MLUNGISI </w:t>
      </w:r>
      <w:r w:rsidR="00D65C01" w:rsidRPr="00D65C01">
        <w:rPr>
          <w:rFonts w:cs="Arial"/>
          <w:b/>
          <w:bCs/>
          <w:szCs w:val="24"/>
        </w:rPr>
        <w:t>TSHAMASE</w:t>
      </w:r>
      <w:bookmarkStart w:id="0" w:name="_GoBack"/>
      <w:bookmarkEnd w:id="0"/>
      <w:r>
        <w:rPr>
          <w:rFonts w:cs="Arial"/>
          <w:b/>
          <w:bCs/>
          <w:szCs w:val="24"/>
        </w:rPr>
        <w:tab/>
      </w:r>
      <w:r>
        <w:rPr>
          <w:rFonts w:cs="Arial"/>
          <w:bCs/>
          <w:szCs w:val="24"/>
        </w:rPr>
        <w:t>First Defendant</w:t>
      </w:r>
    </w:p>
    <w:p w14:paraId="717987CA" w14:textId="6640AC99" w:rsidR="00DB5148" w:rsidRDefault="00DB5148" w:rsidP="00314EC2">
      <w:pPr>
        <w:tabs>
          <w:tab w:val="right" w:pos="8931"/>
        </w:tabs>
        <w:spacing w:after="0" w:line="480" w:lineRule="auto"/>
        <w:rPr>
          <w:rFonts w:cs="Arial"/>
          <w:bCs/>
          <w:szCs w:val="24"/>
        </w:rPr>
      </w:pPr>
      <w:r>
        <w:rPr>
          <w:rFonts w:cs="Arial"/>
          <w:b/>
          <w:bCs/>
          <w:szCs w:val="24"/>
        </w:rPr>
        <w:t>WALTER SHAIDI</w:t>
      </w:r>
      <w:r>
        <w:rPr>
          <w:rFonts w:cs="Arial"/>
          <w:b/>
          <w:bCs/>
          <w:szCs w:val="24"/>
        </w:rPr>
        <w:tab/>
      </w:r>
      <w:r>
        <w:rPr>
          <w:rFonts w:cs="Arial"/>
          <w:bCs/>
          <w:szCs w:val="24"/>
        </w:rPr>
        <w:t>Second Defendant</w:t>
      </w:r>
    </w:p>
    <w:p w14:paraId="13281E88" w14:textId="2E0DF630" w:rsidR="0027480A" w:rsidRDefault="00DB5148" w:rsidP="00314EC2">
      <w:pPr>
        <w:tabs>
          <w:tab w:val="right" w:pos="8931"/>
        </w:tabs>
        <w:spacing w:after="0" w:line="480" w:lineRule="auto"/>
        <w:rPr>
          <w:rFonts w:cs="Arial"/>
          <w:bCs/>
          <w:szCs w:val="24"/>
        </w:rPr>
      </w:pPr>
      <w:r>
        <w:rPr>
          <w:rFonts w:cs="Arial"/>
          <w:b/>
          <w:bCs/>
          <w:szCs w:val="24"/>
        </w:rPr>
        <w:t>FAREED FAKIR</w:t>
      </w:r>
      <w:r>
        <w:rPr>
          <w:rFonts w:cs="Arial"/>
          <w:b/>
          <w:bCs/>
          <w:szCs w:val="24"/>
        </w:rPr>
        <w:tab/>
      </w:r>
      <w:r>
        <w:rPr>
          <w:rFonts w:cs="Arial"/>
          <w:bCs/>
          <w:szCs w:val="24"/>
        </w:rPr>
        <w:t>Third Defendant</w:t>
      </w:r>
    </w:p>
    <w:p w14:paraId="68AA5545" w14:textId="1E1F62B1" w:rsidR="00DB5148" w:rsidRDefault="00DB5148" w:rsidP="00314EC2">
      <w:pPr>
        <w:tabs>
          <w:tab w:val="right" w:pos="8931"/>
        </w:tabs>
        <w:spacing w:after="0" w:line="480" w:lineRule="auto"/>
        <w:rPr>
          <w:rFonts w:cs="Arial"/>
          <w:bCs/>
          <w:szCs w:val="24"/>
        </w:rPr>
      </w:pPr>
      <w:r>
        <w:rPr>
          <w:rFonts w:cs="Arial"/>
          <w:b/>
          <w:bCs/>
          <w:szCs w:val="24"/>
        </w:rPr>
        <w:t xml:space="preserve">RUKAARD STEFFERINE LEZARION ABRAMS </w:t>
      </w:r>
      <w:r>
        <w:rPr>
          <w:rFonts w:cs="Arial"/>
          <w:b/>
          <w:bCs/>
          <w:szCs w:val="24"/>
        </w:rPr>
        <w:tab/>
      </w:r>
      <w:r>
        <w:rPr>
          <w:rFonts w:cs="Arial"/>
          <w:bCs/>
          <w:szCs w:val="24"/>
        </w:rPr>
        <w:t>Fourth Defendant</w:t>
      </w:r>
    </w:p>
    <w:p w14:paraId="3519E443" w14:textId="716CE9E5" w:rsidR="00DB5148" w:rsidRDefault="00DB5148" w:rsidP="00314EC2">
      <w:pPr>
        <w:tabs>
          <w:tab w:val="right" w:pos="8931"/>
        </w:tabs>
        <w:spacing w:after="0" w:line="480" w:lineRule="auto"/>
        <w:rPr>
          <w:rFonts w:cs="Arial"/>
          <w:bCs/>
          <w:szCs w:val="24"/>
        </w:rPr>
      </w:pPr>
      <w:r>
        <w:rPr>
          <w:rFonts w:cs="Arial"/>
          <w:b/>
          <w:bCs/>
          <w:szCs w:val="24"/>
        </w:rPr>
        <w:t>ANDREA JOLEEN WESSELS</w:t>
      </w:r>
      <w:r>
        <w:rPr>
          <w:rFonts w:cs="Arial"/>
          <w:b/>
          <w:bCs/>
          <w:szCs w:val="24"/>
        </w:rPr>
        <w:tab/>
      </w:r>
      <w:r>
        <w:rPr>
          <w:rFonts w:cs="Arial"/>
          <w:bCs/>
          <w:szCs w:val="24"/>
        </w:rPr>
        <w:t>Fifth Defendant</w:t>
      </w:r>
    </w:p>
    <w:p w14:paraId="7A55FA36" w14:textId="5B6F8F42" w:rsidR="00DB5148" w:rsidRDefault="00DB5148" w:rsidP="00314EC2">
      <w:pPr>
        <w:tabs>
          <w:tab w:val="right" w:pos="8931"/>
        </w:tabs>
        <w:spacing w:after="0" w:line="480" w:lineRule="auto"/>
        <w:rPr>
          <w:rFonts w:cs="Arial"/>
          <w:bCs/>
          <w:szCs w:val="24"/>
        </w:rPr>
      </w:pPr>
      <w:r>
        <w:rPr>
          <w:rFonts w:cs="Arial"/>
          <w:b/>
          <w:bCs/>
          <w:szCs w:val="24"/>
        </w:rPr>
        <w:t>NADIA GERWEL</w:t>
      </w:r>
      <w:r>
        <w:rPr>
          <w:rFonts w:cs="Arial"/>
          <w:b/>
          <w:bCs/>
          <w:szCs w:val="24"/>
        </w:rPr>
        <w:tab/>
      </w:r>
      <w:r>
        <w:rPr>
          <w:rFonts w:cs="Arial"/>
          <w:bCs/>
          <w:szCs w:val="24"/>
        </w:rPr>
        <w:t>Sixth Defendant</w:t>
      </w:r>
    </w:p>
    <w:p w14:paraId="733BDB2D" w14:textId="06C4BE05" w:rsidR="00DB5148" w:rsidRDefault="00DB5148" w:rsidP="00314EC2">
      <w:pPr>
        <w:tabs>
          <w:tab w:val="right" w:pos="8931"/>
        </w:tabs>
        <w:spacing w:after="0" w:line="480" w:lineRule="auto"/>
        <w:rPr>
          <w:rFonts w:cs="Arial"/>
          <w:bCs/>
          <w:szCs w:val="24"/>
        </w:rPr>
      </w:pPr>
      <w:r>
        <w:rPr>
          <w:rFonts w:cs="Arial"/>
          <w:b/>
          <w:bCs/>
          <w:szCs w:val="24"/>
        </w:rPr>
        <w:t>DAVID EDUARD LE ROUX</w:t>
      </w:r>
      <w:r>
        <w:rPr>
          <w:rFonts w:cs="Arial"/>
          <w:b/>
          <w:bCs/>
          <w:szCs w:val="24"/>
        </w:rPr>
        <w:tab/>
      </w:r>
      <w:r>
        <w:rPr>
          <w:rFonts w:cs="Arial"/>
          <w:bCs/>
          <w:szCs w:val="24"/>
        </w:rPr>
        <w:t>Seventh Defendant</w:t>
      </w:r>
    </w:p>
    <w:p w14:paraId="585E842C" w14:textId="77777777" w:rsidR="00DB5148" w:rsidRDefault="00DB5148" w:rsidP="00314EC2">
      <w:pPr>
        <w:keepNext/>
        <w:tabs>
          <w:tab w:val="right" w:pos="8931"/>
        </w:tabs>
        <w:spacing w:after="0" w:line="240" w:lineRule="auto"/>
        <w:rPr>
          <w:rFonts w:cs="Arial"/>
          <w:b/>
          <w:bCs/>
          <w:szCs w:val="24"/>
        </w:rPr>
      </w:pPr>
      <w:r>
        <w:rPr>
          <w:rFonts w:cs="Arial"/>
          <w:b/>
          <w:bCs/>
          <w:szCs w:val="24"/>
        </w:rPr>
        <w:t>LE ROUX INC (a duly registered company</w:t>
      </w:r>
    </w:p>
    <w:p w14:paraId="3AFF2703" w14:textId="77777777" w:rsidR="00DB5148" w:rsidRDefault="00DB5148" w:rsidP="00314EC2">
      <w:pPr>
        <w:keepNext/>
        <w:tabs>
          <w:tab w:val="right" w:pos="8931"/>
        </w:tabs>
        <w:spacing w:after="0" w:line="240" w:lineRule="auto"/>
        <w:rPr>
          <w:rFonts w:cs="Arial"/>
          <w:b/>
          <w:bCs/>
          <w:szCs w:val="24"/>
        </w:rPr>
      </w:pPr>
      <w:r>
        <w:rPr>
          <w:rFonts w:cs="Arial"/>
          <w:b/>
          <w:bCs/>
          <w:szCs w:val="24"/>
        </w:rPr>
        <w:t>represented herein by the Second Defendant</w:t>
      </w:r>
    </w:p>
    <w:p w14:paraId="44BA8A27" w14:textId="095CBC89" w:rsidR="00DB5148" w:rsidRDefault="00DB5148" w:rsidP="00314EC2">
      <w:pPr>
        <w:tabs>
          <w:tab w:val="right" w:pos="8931"/>
        </w:tabs>
        <w:spacing w:after="0" w:line="480" w:lineRule="auto"/>
        <w:rPr>
          <w:rFonts w:cs="Arial"/>
          <w:bCs/>
          <w:szCs w:val="24"/>
        </w:rPr>
      </w:pPr>
      <w:r>
        <w:rPr>
          <w:rFonts w:cs="Arial"/>
          <w:b/>
          <w:bCs/>
          <w:szCs w:val="24"/>
        </w:rPr>
        <w:t>and the Fourteenth Respondent as directors)</w:t>
      </w:r>
      <w:r>
        <w:rPr>
          <w:rFonts w:cs="Arial"/>
          <w:b/>
          <w:bCs/>
          <w:szCs w:val="24"/>
        </w:rPr>
        <w:tab/>
      </w:r>
      <w:r>
        <w:rPr>
          <w:rFonts w:cs="Arial"/>
          <w:bCs/>
          <w:szCs w:val="24"/>
        </w:rPr>
        <w:t>Eighth Defendant</w:t>
      </w:r>
    </w:p>
    <w:p w14:paraId="45B98991" w14:textId="037FEBDE" w:rsidR="00DB5148" w:rsidRDefault="00DB5148" w:rsidP="00314EC2">
      <w:pPr>
        <w:tabs>
          <w:tab w:val="right" w:pos="8931"/>
        </w:tabs>
        <w:spacing w:after="0" w:line="480" w:lineRule="auto"/>
        <w:rPr>
          <w:rFonts w:cs="Arial"/>
          <w:bCs/>
          <w:szCs w:val="24"/>
        </w:rPr>
      </w:pPr>
      <w:r>
        <w:rPr>
          <w:rFonts w:cs="Arial"/>
          <w:b/>
          <w:bCs/>
          <w:szCs w:val="24"/>
        </w:rPr>
        <w:lastRenderedPageBreak/>
        <w:t>ZANDISILE JOSEPH QUPE</w:t>
      </w:r>
      <w:r>
        <w:rPr>
          <w:rFonts w:cs="Arial"/>
          <w:b/>
          <w:bCs/>
          <w:szCs w:val="24"/>
        </w:rPr>
        <w:tab/>
      </w:r>
      <w:r>
        <w:rPr>
          <w:rFonts w:cs="Arial"/>
          <w:bCs/>
          <w:szCs w:val="24"/>
        </w:rPr>
        <w:t>Ninth Defendant</w:t>
      </w:r>
    </w:p>
    <w:p w14:paraId="5D88528D" w14:textId="5DCE1FFD" w:rsidR="00DB5148" w:rsidRDefault="00DB5148" w:rsidP="00314EC2">
      <w:pPr>
        <w:tabs>
          <w:tab w:val="right" w:pos="8931"/>
        </w:tabs>
        <w:spacing w:after="0" w:line="480" w:lineRule="auto"/>
        <w:rPr>
          <w:rFonts w:cs="Arial"/>
          <w:bCs/>
          <w:szCs w:val="24"/>
        </w:rPr>
      </w:pPr>
      <w:r>
        <w:rPr>
          <w:rFonts w:cs="Arial"/>
          <w:b/>
          <w:bCs/>
          <w:szCs w:val="24"/>
        </w:rPr>
        <w:t>THANDO NGCOLOMBA</w:t>
      </w:r>
      <w:r>
        <w:rPr>
          <w:rFonts w:cs="Arial"/>
          <w:b/>
          <w:bCs/>
          <w:szCs w:val="24"/>
        </w:rPr>
        <w:tab/>
      </w:r>
      <w:r>
        <w:rPr>
          <w:rFonts w:cs="Arial"/>
          <w:bCs/>
          <w:szCs w:val="24"/>
        </w:rPr>
        <w:t>Tenth Defendant</w:t>
      </w:r>
    </w:p>
    <w:p w14:paraId="47AE1F1A" w14:textId="7B7FD9C5" w:rsidR="00DB5148" w:rsidRDefault="00DB5148" w:rsidP="00314EC2">
      <w:pPr>
        <w:tabs>
          <w:tab w:val="right" w:pos="8931"/>
        </w:tabs>
        <w:spacing w:after="0" w:line="480" w:lineRule="auto"/>
        <w:rPr>
          <w:rFonts w:cs="Arial"/>
          <w:bCs/>
          <w:szCs w:val="24"/>
        </w:rPr>
      </w:pPr>
      <w:r>
        <w:rPr>
          <w:rFonts w:cs="Arial"/>
          <w:b/>
          <w:bCs/>
          <w:szCs w:val="24"/>
        </w:rPr>
        <w:t>NOSIBELE TSHAMASE</w:t>
      </w:r>
      <w:r>
        <w:rPr>
          <w:rFonts w:cs="Arial"/>
          <w:b/>
          <w:bCs/>
          <w:szCs w:val="24"/>
        </w:rPr>
        <w:tab/>
      </w:r>
      <w:r>
        <w:rPr>
          <w:rFonts w:cs="Arial"/>
          <w:bCs/>
          <w:szCs w:val="24"/>
        </w:rPr>
        <w:t>First Respondent</w:t>
      </w:r>
    </w:p>
    <w:p w14:paraId="72D2628F" w14:textId="3675DBF8" w:rsidR="00DB5148" w:rsidRDefault="00DB5148" w:rsidP="00314EC2">
      <w:pPr>
        <w:keepNext/>
        <w:tabs>
          <w:tab w:val="right" w:pos="8931"/>
        </w:tabs>
        <w:spacing w:after="0" w:line="240" w:lineRule="auto"/>
        <w:rPr>
          <w:rFonts w:cs="Arial"/>
          <w:b/>
          <w:bCs/>
          <w:szCs w:val="24"/>
        </w:rPr>
      </w:pPr>
      <w:r>
        <w:rPr>
          <w:rFonts w:cs="Arial"/>
          <w:b/>
          <w:bCs/>
          <w:szCs w:val="24"/>
        </w:rPr>
        <w:t>NOSIBILE TSHAMASE (in her capacity as the</w:t>
      </w:r>
    </w:p>
    <w:p w14:paraId="62847CC1" w14:textId="15B32D74" w:rsidR="00DB5148" w:rsidRDefault="00DB5148" w:rsidP="00314EC2">
      <w:pPr>
        <w:tabs>
          <w:tab w:val="right" w:pos="8931"/>
        </w:tabs>
        <w:spacing w:after="0" w:line="480" w:lineRule="auto"/>
        <w:rPr>
          <w:rFonts w:cs="Arial"/>
          <w:bCs/>
          <w:szCs w:val="24"/>
        </w:rPr>
      </w:pPr>
      <w:r>
        <w:rPr>
          <w:rFonts w:cs="Arial"/>
          <w:b/>
          <w:bCs/>
          <w:szCs w:val="24"/>
        </w:rPr>
        <w:t>trustee of the Mawela Trust)</w:t>
      </w:r>
      <w:r>
        <w:rPr>
          <w:rFonts w:cs="Arial"/>
          <w:b/>
          <w:bCs/>
          <w:szCs w:val="24"/>
        </w:rPr>
        <w:tab/>
      </w:r>
      <w:r>
        <w:rPr>
          <w:rFonts w:cs="Arial"/>
          <w:bCs/>
          <w:szCs w:val="24"/>
        </w:rPr>
        <w:t>Second Respondent</w:t>
      </w:r>
    </w:p>
    <w:p w14:paraId="15E38998" w14:textId="665CEA0C" w:rsidR="00DB5148" w:rsidRDefault="00DB5148" w:rsidP="00314EC2">
      <w:pPr>
        <w:tabs>
          <w:tab w:val="right" w:pos="8931"/>
        </w:tabs>
        <w:spacing w:after="0" w:line="480" w:lineRule="auto"/>
        <w:rPr>
          <w:rFonts w:cs="Arial"/>
          <w:bCs/>
          <w:szCs w:val="24"/>
        </w:rPr>
      </w:pPr>
      <w:r>
        <w:rPr>
          <w:rFonts w:cs="Arial"/>
          <w:b/>
          <w:bCs/>
          <w:szCs w:val="24"/>
        </w:rPr>
        <w:t>AGNES SHAIDI</w:t>
      </w:r>
      <w:r>
        <w:rPr>
          <w:rFonts w:cs="Arial"/>
          <w:b/>
          <w:bCs/>
          <w:szCs w:val="24"/>
        </w:rPr>
        <w:tab/>
      </w:r>
      <w:r>
        <w:rPr>
          <w:rFonts w:cs="Arial"/>
          <w:bCs/>
          <w:szCs w:val="24"/>
        </w:rPr>
        <w:t>Third Respondent</w:t>
      </w:r>
    </w:p>
    <w:p w14:paraId="158BB47D" w14:textId="51ED86E0" w:rsidR="00DB5148" w:rsidRDefault="00DB5148" w:rsidP="00314EC2">
      <w:pPr>
        <w:tabs>
          <w:tab w:val="right" w:pos="8931"/>
        </w:tabs>
        <w:spacing w:after="0" w:line="480" w:lineRule="auto"/>
        <w:rPr>
          <w:rFonts w:cs="Arial"/>
          <w:bCs/>
          <w:szCs w:val="24"/>
        </w:rPr>
      </w:pPr>
      <w:r>
        <w:rPr>
          <w:rFonts w:cs="Arial"/>
          <w:b/>
          <w:bCs/>
          <w:szCs w:val="24"/>
        </w:rPr>
        <w:t>JEAN ALAN GERWEL</w:t>
      </w:r>
      <w:r>
        <w:rPr>
          <w:rFonts w:cs="Arial"/>
          <w:b/>
          <w:bCs/>
          <w:szCs w:val="24"/>
        </w:rPr>
        <w:tab/>
      </w:r>
      <w:r>
        <w:rPr>
          <w:rFonts w:cs="Arial"/>
          <w:bCs/>
          <w:szCs w:val="24"/>
        </w:rPr>
        <w:t>Fourth Respondent</w:t>
      </w:r>
    </w:p>
    <w:p w14:paraId="205C29A0" w14:textId="50A3C8D3" w:rsidR="00DB5148" w:rsidRDefault="00DB5148" w:rsidP="00314EC2">
      <w:pPr>
        <w:tabs>
          <w:tab w:val="right" w:pos="8931"/>
        </w:tabs>
        <w:spacing w:after="0" w:line="480" w:lineRule="auto"/>
        <w:rPr>
          <w:rFonts w:cs="Arial"/>
          <w:bCs/>
          <w:szCs w:val="24"/>
        </w:rPr>
      </w:pPr>
      <w:r>
        <w:rPr>
          <w:rFonts w:cs="Arial"/>
          <w:b/>
          <w:bCs/>
          <w:szCs w:val="24"/>
        </w:rPr>
        <w:t>TERRYROBIN GERWEL</w:t>
      </w:r>
      <w:r>
        <w:rPr>
          <w:rFonts w:cs="Arial"/>
          <w:b/>
          <w:bCs/>
          <w:szCs w:val="24"/>
        </w:rPr>
        <w:tab/>
      </w:r>
      <w:r>
        <w:rPr>
          <w:rFonts w:cs="Arial"/>
          <w:bCs/>
          <w:szCs w:val="24"/>
        </w:rPr>
        <w:t>Fifth Respondent</w:t>
      </w:r>
    </w:p>
    <w:p w14:paraId="243E5F14" w14:textId="040BD265" w:rsidR="00DB5148" w:rsidRDefault="00DB5148" w:rsidP="00314EC2">
      <w:pPr>
        <w:tabs>
          <w:tab w:val="right" w:pos="8931"/>
        </w:tabs>
        <w:spacing w:after="0" w:line="480" w:lineRule="auto"/>
        <w:rPr>
          <w:rFonts w:cs="Arial"/>
          <w:bCs/>
          <w:szCs w:val="24"/>
        </w:rPr>
      </w:pPr>
      <w:r>
        <w:rPr>
          <w:rFonts w:cs="Arial"/>
          <w:b/>
          <w:bCs/>
          <w:szCs w:val="24"/>
        </w:rPr>
        <w:t>JULIETTE LE ROUX</w:t>
      </w:r>
      <w:r>
        <w:rPr>
          <w:rFonts w:cs="Arial"/>
          <w:b/>
          <w:bCs/>
          <w:szCs w:val="24"/>
        </w:rPr>
        <w:tab/>
      </w:r>
      <w:r>
        <w:rPr>
          <w:rFonts w:cs="Arial"/>
          <w:bCs/>
          <w:szCs w:val="24"/>
        </w:rPr>
        <w:t>Sixth Respondent</w:t>
      </w:r>
    </w:p>
    <w:p w14:paraId="54931441" w14:textId="2169AFEE" w:rsidR="00DB5148" w:rsidRDefault="00DB5148" w:rsidP="00314EC2">
      <w:pPr>
        <w:tabs>
          <w:tab w:val="right" w:pos="8931"/>
        </w:tabs>
        <w:spacing w:after="0" w:line="480" w:lineRule="auto"/>
        <w:rPr>
          <w:rFonts w:cs="Arial"/>
          <w:bCs/>
          <w:szCs w:val="24"/>
        </w:rPr>
      </w:pPr>
      <w:r>
        <w:rPr>
          <w:rFonts w:cs="Arial"/>
          <w:b/>
          <w:bCs/>
          <w:szCs w:val="24"/>
        </w:rPr>
        <w:t>NOKUZOLI NOLITHA RUTH QUPE</w:t>
      </w:r>
      <w:r>
        <w:rPr>
          <w:rFonts w:cs="Arial"/>
          <w:b/>
          <w:bCs/>
          <w:szCs w:val="24"/>
        </w:rPr>
        <w:tab/>
      </w:r>
      <w:r>
        <w:rPr>
          <w:rFonts w:cs="Arial"/>
          <w:bCs/>
          <w:szCs w:val="24"/>
        </w:rPr>
        <w:t>Seventh Respondent</w:t>
      </w:r>
    </w:p>
    <w:p w14:paraId="40ACE702" w14:textId="790F8E06" w:rsidR="00DB5148" w:rsidRDefault="00DB5148" w:rsidP="00314EC2">
      <w:pPr>
        <w:keepNext/>
        <w:tabs>
          <w:tab w:val="right" w:pos="8931"/>
        </w:tabs>
        <w:spacing w:after="0" w:line="240" w:lineRule="auto"/>
        <w:rPr>
          <w:rFonts w:cs="Arial"/>
          <w:b/>
          <w:bCs/>
          <w:szCs w:val="24"/>
        </w:rPr>
      </w:pPr>
      <w:r>
        <w:rPr>
          <w:rFonts w:cs="Arial"/>
          <w:b/>
          <w:bCs/>
          <w:szCs w:val="24"/>
        </w:rPr>
        <w:t>WOODLAND SAFARI (PTY) LTD (a duly</w:t>
      </w:r>
    </w:p>
    <w:p w14:paraId="64C87377" w14:textId="3C44441A" w:rsidR="00DB5148" w:rsidRDefault="00DB5148" w:rsidP="00314EC2">
      <w:pPr>
        <w:keepNext/>
        <w:tabs>
          <w:tab w:val="right" w:pos="8931"/>
        </w:tabs>
        <w:spacing w:after="0" w:line="240" w:lineRule="auto"/>
        <w:rPr>
          <w:rFonts w:cs="Arial"/>
          <w:b/>
          <w:bCs/>
          <w:szCs w:val="24"/>
        </w:rPr>
      </w:pPr>
      <w:r>
        <w:rPr>
          <w:rFonts w:cs="Arial"/>
          <w:b/>
          <w:bCs/>
          <w:szCs w:val="24"/>
        </w:rPr>
        <w:t>registered company</w:t>
      </w:r>
      <w:r w:rsidR="00AD13A2">
        <w:rPr>
          <w:rFonts w:cs="Arial"/>
          <w:b/>
          <w:bCs/>
          <w:szCs w:val="24"/>
        </w:rPr>
        <w:t>,</w:t>
      </w:r>
      <w:r>
        <w:rPr>
          <w:rFonts w:cs="Arial"/>
          <w:b/>
          <w:bCs/>
          <w:szCs w:val="24"/>
        </w:rPr>
        <w:t xml:space="preserve"> represented</w:t>
      </w:r>
    </w:p>
    <w:p w14:paraId="3E12A1BA" w14:textId="24397627" w:rsidR="00DB5148" w:rsidRDefault="00DB5148" w:rsidP="00314EC2">
      <w:pPr>
        <w:keepNext/>
        <w:tabs>
          <w:tab w:val="right" w:pos="8931"/>
        </w:tabs>
        <w:spacing w:after="0" w:line="240" w:lineRule="auto"/>
        <w:rPr>
          <w:rFonts w:cs="Arial"/>
          <w:b/>
          <w:bCs/>
          <w:szCs w:val="24"/>
        </w:rPr>
      </w:pPr>
      <w:r>
        <w:rPr>
          <w:rFonts w:cs="Arial"/>
          <w:b/>
          <w:bCs/>
          <w:szCs w:val="24"/>
        </w:rPr>
        <w:t xml:space="preserve">by the Seventh Defendant and the </w:t>
      </w:r>
    </w:p>
    <w:p w14:paraId="4B766EE3" w14:textId="6E8F11E7" w:rsidR="00DB5148" w:rsidRDefault="00DB5148" w:rsidP="00314EC2">
      <w:pPr>
        <w:tabs>
          <w:tab w:val="right" w:pos="8931"/>
        </w:tabs>
        <w:spacing w:after="0" w:line="480" w:lineRule="auto"/>
        <w:rPr>
          <w:rFonts w:cs="Arial"/>
          <w:bCs/>
          <w:szCs w:val="24"/>
        </w:rPr>
      </w:pPr>
      <w:r>
        <w:rPr>
          <w:rFonts w:cs="Arial"/>
          <w:b/>
          <w:bCs/>
          <w:szCs w:val="24"/>
        </w:rPr>
        <w:t>Fourth Respondent as directors)</w:t>
      </w:r>
      <w:r>
        <w:rPr>
          <w:rFonts w:cs="Arial"/>
          <w:b/>
          <w:bCs/>
          <w:szCs w:val="24"/>
        </w:rPr>
        <w:tab/>
      </w:r>
      <w:r>
        <w:rPr>
          <w:rFonts w:cs="Arial"/>
          <w:bCs/>
          <w:szCs w:val="24"/>
        </w:rPr>
        <w:t>Eighth Respondent</w:t>
      </w:r>
    </w:p>
    <w:p w14:paraId="01AEBFF6" w14:textId="522D9FB3" w:rsidR="00DB5148" w:rsidRDefault="00DB5148" w:rsidP="00314EC2">
      <w:pPr>
        <w:tabs>
          <w:tab w:val="right" w:pos="8931"/>
        </w:tabs>
        <w:spacing w:after="0" w:line="240" w:lineRule="auto"/>
        <w:rPr>
          <w:rFonts w:cs="Arial"/>
          <w:b/>
          <w:bCs/>
          <w:szCs w:val="24"/>
        </w:rPr>
      </w:pPr>
      <w:r w:rsidRPr="00DB5148">
        <w:rPr>
          <w:rFonts w:cs="Arial"/>
          <w:b/>
          <w:bCs/>
          <w:szCs w:val="24"/>
        </w:rPr>
        <w:t xml:space="preserve">ABRAHAM </w:t>
      </w:r>
      <w:r>
        <w:rPr>
          <w:rFonts w:cs="Arial"/>
          <w:b/>
          <w:bCs/>
          <w:szCs w:val="24"/>
        </w:rPr>
        <w:t>LE ROUX (in his capacity as</w:t>
      </w:r>
    </w:p>
    <w:p w14:paraId="3B5468AD" w14:textId="0189C8D5" w:rsidR="00DB5148" w:rsidRDefault="00DB5148" w:rsidP="00314EC2">
      <w:pPr>
        <w:tabs>
          <w:tab w:val="right" w:pos="8931"/>
        </w:tabs>
        <w:spacing w:after="0" w:line="480" w:lineRule="auto"/>
        <w:rPr>
          <w:rFonts w:cs="Arial"/>
          <w:bCs/>
          <w:szCs w:val="24"/>
        </w:rPr>
      </w:pPr>
      <w:r>
        <w:rPr>
          <w:rFonts w:cs="Arial"/>
          <w:b/>
          <w:bCs/>
          <w:szCs w:val="24"/>
        </w:rPr>
        <w:t>trustee of the Abraham le Roux Family Trust)</w:t>
      </w:r>
      <w:r>
        <w:rPr>
          <w:rFonts w:cs="Arial"/>
          <w:b/>
          <w:bCs/>
          <w:szCs w:val="24"/>
        </w:rPr>
        <w:tab/>
      </w:r>
      <w:r>
        <w:rPr>
          <w:rFonts w:cs="Arial"/>
          <w:bCs/>
          <w:szCs w:val="24"/>
        </w:rPr>
        <w:t>Ninth Respondent</w:t>
      </w:r>
    </w:p>
    <w:p w14:paraId="1DEA461C" w14:textId="4EBA155C" w:rsidR="00AD13A2" w:rsidRDefault="00AD13A2" w:rsidP="00314EC2">
      <w:pPr>
        <w:tabs>
          <w:tab w:val="right" w:pos="8931"/>
        </w:tabs>
        <w:spacing w:after="0" w:line="480" w:lineRule="auto"/>
        <w:rPr>
          <w:rFonts w:cs="Arial"/>
          <w:b/>
          <w:bCs/>
          <w:szCs w:val="24"/>
        </w:rPr>
      </w:pPr>
      <w:r>
        <w:rPr>
          <w:rFonts w:cs="Arial"/>
          <w:b/>
          <w:bCs/>
          <w:szCs w:val="24"/>
        </w:rPr>
        <w:t>DAVID EDUARD LE ROUX (in his capacity as</w:t>
      </w:r>
    </w:p>
    <w:p w14:paraId="53D2374C" w14:textId="053EDB2F" w:rsidR="00AD13A2" w:rsidRDefault="00AD13A2" w:rsidP="00314EC2">
      <w:pPr>
        <w:tabs>
          <w:tab w:val="right" w:pos="8931"/>
        </w:tabs>
        <w:spacing w:after="0" w:line="480" w:lineRule="auto"/>
        <w:rPr>
          <w:rFonts w:cs="Arial"/>
          <w:bCs/>
          <w:szCs w:val="24"/>
        </w:rPr>
      </w:pPr>
      <w:r>
        <w:rPr>
          <w:rFonts w:cs="Arial"/>
          <w:b/>
          <w:bCs/>
          <w:szCs w:val="24"/>
        </w:rPr>
        <w:t>the trustee of the Abraham le Roux Family Trust)</w:t>
      </w:r>
      <w:r>
        <w:rPr>
          <w:rFonts w:cs="Arial"/>
          <w:b/>
          <w:bCs/>
          <w:szCs w:val="24"/>
        </w:rPr>
        <w:tab/>
      </w:r>
      <w:r>
        <w:rPr>
          <w:rFonts w:cs="Arial"/>
          <w:bCs/>
          <w:szCs w:val="24"/>
        </w:rPr>
        <w:t>Tenth Respondent</w:t>
      </w:r>
    </w:p>
    <w:p w14:paraId="28D121FB" w14:textId="78A3E18E" w:rsidR="00AD13A2" w:rsidRDefault="00AD13A2" w:rsidP="00314EC2">
      <w:pPr>
        <w:tabs>
          <w:tab w:val="right" w:pos="8931"/>
        </w:tabs>
        <w:spacing w:after="0" w:line="240" w:lineRule="auto"/>
        <w:rPr>
          <w:rFonts w:cs="Arial"/>
          <w:b/>
          <w:bCs/>
          <w:szCs w:val="24"/>
        </w:rPr>
      </w:pPr>
      <w:r>
        <w:rPr>
          <w:rFonts w:cs="Arial"/>
          <w:b/>
          <w:bCs/>
          <w:szCs w:val="24"/>
        </w:rPr>
        <w:t>BENHEIM HOUSE UITENHAGE INVESTMENTS</w:t>
      </w:r>
    </w:p>
    <w:p w14:paraId="42110B28" w14:textId="61E7F9BF" w:rsidR="00AD13A2" w:rsidRDefault="00AD13A2" w:rsidP="00314EC2">
      <w:pPr>
        <w:tabs>
          <w:tab w:val="right" w:pos="8931"/>
        </w:tabs>
        <w:spacing w:after="0" w:line="240" w:lineRule="auto"/>
        <w:rPr>
          <w:rFonts w:cs="Arial"/>
          <w:b/>
          <w:bCs/>
          <w:szCs w:val="24"/>
        </w:rPr>
      </w:pPr>
      <w:r>
        <w:rPr>
          <w:rFonts w:cs="Arial"/>
          <w:b/>
          <w:bCs/>
          <w:szCs w:val="24"/>
        </w:rPr>
        <w:t xml:space="preserve">(PTY) LTD (a duly registered company, </w:t>
      </w:r>
    </w:p>
    <w:p w14:paraId="00C64D99" w14:textId="101B945A" w:rsidR="00AD13A2" w:rsidRDefault="00AD13A2" w:rsidP="00314EC2">
      <w:pPr>
        <w:tabs>
          <w:tab w:val="right" w:pos="8931"/>
        </w:tabs>
        <w:spacing w:after="0" w:line="240" w:lineRule="auto"/>
        <w:rPr>
          <w:rFonts w:cs="Arial"/>
          <w:b/>
          <w:bCs/>
          <w:szCs w:val="24"/>
        </w:rPr>
      </w:pPr>
      <w:r>
        <w:rPr>
          <w:rFonts w:cs="Arial"/>
          <w:b/>
          <w:bCs/>
          <w:szCs w:val="24"/>
        </w:rPr>
        <w:t>represented  by the seventh defendant</w:t>
      </w:r>
    </w:p>
    <w:p w14:paraId="2316B677" w14:textId="43FB91EA" w:rsidR="00AD13A2" w:rsidRDefault="00AD13A2" w:rsidP="00314EC2">
      <w:pPr>
        <w:tabs>
          <w:tab w:val="right" w:pos="8931"/>
        </w:tabs>
        <w:spacing w:after="0" w:line="480" w:lineRule="auto"/>
        <w:rPr>
          <w:rFonts w:cs="Arial"/>
          <w:bCs/>
          <w:szCs w:val="24"/>
        </w:rPr>
      </w:pPr>
      <w:r>
        <w:rPr>
          <w:rFonts w:cs="Arial"/>
          <w:b/>
          <w:bCs/>
          <w:szCs w:val="24"/>
        </w:rPr>
        <w:t>as director)</w:t>
      </w:r>
      <w:r>
        <w:rPr>
          <w:rFonts w:cs="Arial"/>
          <w:b/>
          <w:bCs/>
          <w:szCs w:val="24"/>
        </w:rPr>
        <w:tab/>
      </w:r>
      <w:r>
        <w:rPr>
          <w:rFonts w:cs="Arial"/>
          <w:bCs/>
          <w:szCs w:val="24"/>
        </w:rPr>
        <w:t>Eleventh Respondent</w:t>
      </w:r>
    </w:p>
    <w:p w14:paraId="25198498" w14:textId="158B4BFF" w:rsidR="00AD13A2" w:rsidRDefault="00AD13A2" w:rsidP="00EB52AD">
      <w:pPr>
        <w:keepNext/>
        <w:tabs>
          <w:tab w:val="right" w:pos="8931"/>
        </w:tabs>
        <w:spacing w:after="0" w:line="240" w:lineRule="auto"/>
        <w:rPr>
          <w:rFonts w:cs="Arial"/>
          <w:b/>
          <w:bCs/>
          <w:szCs w:val="24"/>
        </w:rPr>
      </w:pPr>
      <w:r>
        <w:rPr>
          <w:rFonts w:cs="Arial"/>
          <w:b/>
          <w:bCs/>
          <w:szCs w:val="24"/>
        </w:rPr>
        <w:t>MRS SAVAGE (PTY) LTD (a duly registered</w:t>
      </w:r>
    </w:p>
    <w:p w14:paraId="1BEF2B10" w14:textId="05673760" w:rsidR="00AD13A2" w:rsidRDefault="00AD13A2" w:rsidP="00EB52AD">
      <w:pPr>
        <w:keepNext/>
        <w:tabs>
          <w:tab w:val="right" w:pos="8931"/>
        </w:tabs>
        <w:spacing w:after="0" w:line="240" w:lineRule="auto"/>
        <w:rPr>
          <w:rFonts w:cs="Arial"/>
          <w:b/>
          <w:bCs/>
          <w:szCs w:val="24"/>
        </w:rPr>
      </w:pPr>
      <w:r>
        <w:rPr>
          <w:rFonts w:cs="Arial"/>
          <w:b/>
          <w:bCs/>
          <w:szCs w:val="24"/>
        </w:rPr>
        <w:t xml:space="preserve">company, represented by the </w:t>
      </w:r>
    </w:p>
    <w:p w14:paraId="7FFBA492" w14:textId="7FE87DE1" w:rsidR="00AD13A2" w:rsidRDefault="00AD13A2" w:rsidP="00EB52AD">
      <w:pPr>
        <w:keepNext/>
        <w:tabs>
          <w:tab w:val="right" w:pos="8931"/>
        </w:tabs>
        <w:spacing w:after="0" w:line="240" w:lineRule="auto"/>
        <w:rPr>
          <w:rFonts w:cs="Arial"/>
          <w:b/>
          <w:bCs/>
          <w:szCs w:val="24"/>
        </w:rPr>
      </w:pPr>
      <w:r>
        <w:rPr>
          <w:rFonts w:cs="Arial"/>
          <w:b/>
          <w:bCs/>
          <w:szCs w:val="24"/>
        </w:rPr>
        <w:t xml:space="preserve">seventh defendant as director of the </w:t>
      </w:r>
    </w:p>
    <w:p w14:paraId="15322750" w14:textId="50533242" w:rsidR="00AD13A2" w:rsidRDefault="00AD13A2" w:rsidP="00314EC2">
      <w:pPr>
        <w:tabs>
          <w:tab w:val="right" w:pos="8931"/>
        </w:tabs>
        <w:spacing w:after="0" w:line="480" w:lineRule="auto"/>
        <w:rPr>
          <w:rFonts w:cs="Arial"/>
          <w:bCs/>
          <w:szCs w:val="24"/>
        </w:rPr>
      </w:pPr>
      <w:r>
        <w:rPr>
          <w:rFonts w:cs="Arial"/>
          <w:b/>
          <w:bCs/>
          <w:szCs w:val="24"/>
        </w:rPr>
        <w:t>twelfth respondent)</w:t>
      </w:r>
      <w:r>
        <w:rPr>
          <w:rFonts w:cs="Arial"/>
          <w:b/>
          <w:bCs/>
          <w:szCs w:val="24"/>
        </w:rPr>
        <w:tab/>
      </w:r>
      <w:r>
        <w:rPr>
          <w:rFonts w:cs="Arial"/>
          <w:bCs/>
          <w:szCs w:val="24"/>
        </w:rPr>
        <w:t>Twelfth Respondent</w:t>
      </w:r>
    </w:p>
    <w:p w14:paraId="708FE18B" w14:textId="49ED07B2" w:rsidR="00AD13A2" w:rsidRDefault="00AD13A2" w:rsidP="00EB52AD">
      <w:pPr>
        <w:keepNext/>
        <w:tabs>
          <w:tab w:val="right" w:pos="8931"/>
        </w:tabs>
        <w:spacing w:after="0" w:line="240" w:lineRule="auto"/>
        <w:rPr>
          <w:rFonts w:cs="Arial"/>
          <w:b/>
          <w:bCs/>
          <w:szCs w:val="24"/>
        </w:rPr>
      </w:pPr>
      <w:r>
        <w:rPr>
          <w:rFonts w:cs="Arial"/>
          <w:b/>
          <w:bCs/>
          <w:szCs w:val="24"/>
        </w:rPr>
        <w:t xml:space="preserve">VINDEX ADVISORY (PTY) LTD (a duly </w:t>
      </w:r>
    </w:p>
    <w:p w14:paraId="254D06A4" w14:textId="43D8E303" w:rsidR="00AD13A2" w:rsidRDefault="00AD13A2" w:rsidP="00EB52AD">
      <w:pPr>
        <w:keepNext/>
        <w:tabs>
          <w:tab w:val="right" w:pos="8931"/>
        </w:tabs>
        <w:spacing w:after="0" w:line="240" w:lineRule="auto"/>
        <w:rPr>
          <w:rFonts w:cs="Arial"/>
          <w:b/>
          <w:bCs/>
          <w:szCs w:val="24"/>
        </w:rPr>
      </w:pPr>
      <w:r>
        <w:rPr>
          <w:rFonts w:cs="Arial"/>
          <w:b/>
          <w:bCs/>
          <w:szCs w:val="24"/>
        </w:rPr>
        <w:t>registered company, represented  by</w:t>
      </w:r>
    </w:p>
    <w:p w14:paraId="30CF1E44" w14:textId="267F5745" w:rsidR="00AD13A2" w:rsidRDefault="00AD13A2" w:rsidP="00EB52AD">
      <w:pPr>
        <w:keepNext/>
        <w:tabs>
          <w:tab w:val="right" w:pos="8931"/>
        </w:tabs>
        <w:spacing w:after="0" w:line="240" w:lineRule="auto"/>
        <w:rPr>
          <w:rFonts w:cs="Arial"/>
          <w:b/>
          <w:bCs/>
          <w:szCs w:val="24"/>
        </w:rPr>
      </w:pPr>
      <w:r>
        <w:rPr>
          <w:rFonts w:cs="Arial"/>
          <w:b/>
          <w:bCs/>
          <w:szCs w:val="24"/>
        </w:rPr>
        <w:t>the seventh defendant and the fourteen</w:t>
      </w:r>
      <w:r w:rsidR="00314EC2">
        <w:rPr>
          <w:rFonts w:cs="Arial"/>
          <w:b/>
          <w:bCs/>
          <w:szCs w:val="24"/>
        </w:rPr>
        <w:t>th</w:t>
      </w:r>
    </w:p>
    <w:p w14:paraId="3837A7C2" w14:textId="7E43CBC1" w:rsidR="00AD13A2" w:rsidRDefault="00AD13A2" w:rsidP="00314EC2">
      <w:pPr>
        <w:tabs>
          <w:tab w:val="right" w:pos="8931"/>
        </w:tabs>
        <w:spacing w:after="0" w:line="480" w:lineRule="auto"/>
        <w:rPr>
          <w:rFonts w:cs="Arial"/>
          <w:bCs/>
          <w:szCs w:val="24"/>
        </w:rPr>
      </w:pPr>
      <w:r>
        <w:rPr>
          <w:rFonts w:cs="Arial"/>
          <w:b/>
          <w:bCs/>
          <w:szCs w:val="24"/>
        </w:rPr>
        <w:t>respondent as directors)</w:t>
      </w:r>
      <w:r>
        <w:rPr>
          <w:rFonts w:cs="Arial"/>
          <w:b/>
          <w:bCs/>
          <w:szCs w:val="24"/>
        </w:rPr>
        <w:tab/>
      </w:r>
      <w:r>
        <w:rPr>
          <w:rFonts w:cs="Arial"/>
          <w:bCs/>
          <w:szCs w:val="24"/>
        </w:rPr>
        <w:t>Thirteenth Respondent</w:t>
      </w:r>
    </w:p>
    <w:p w14:paraId="09EC9537" w14:textId="23558328" w:rsidR="00314EC2" w:rsidRDefault="00314EC2" w:rsidP="00314EC2">
      <w:pPr>
        <w:tabs>
          <w:tab w:val="right" w:pos="8931"/>
        </w:tabs>
        <w:spacing w:after="0" w:line="480" w:lineRule="auto"/>
        <w:rPr>
          <w:rFonts w:cs="Arial"/>
          <w:bCs/>
          <w:szCs w:val="24"/>
        </w:rPr>
      </w:pPr>
      <w:r>
        <w:rPr>
          <w:rFonts w:cs="Arial"/>
          <w:b/>
          <w:bCs/>
          <w:szCs w:val="24"/>
        </w:rPr>
        <w:t xml:space="preserve">ABRAHAM LE ROUX </w:t>
      </w:r>
      <w:r>
        <w:rPr>
          <w:rFonts w:cs="Arial"/>
          <w:b/>
          <w:bCs/>
          <w:szCs w:val="24"/>
        </w:rPr>
        <w:tab/>
      </w:r>
      <w:r>
        <w:rPr>
          <w:rFonts w:cs="Arial"/>
          <w:bCs/>
          <w:szCs w:val="24"/>
        </w:rPr>
        <w:t>Fourteenth Respondent</w:t>
      </w:r>
    </w:p>
    <w:p w14:paraId="04F14224" w14:textId="5872BCB4" w:rsidR="00314EC2" w:rsidRDefault="00314EC2" w:rsidP="00B01F1D">
      <w:pPr>
        <w:keepNext/>
        <w:tabs>
          <w:tab w:val="right" w:pos="8931"/>
        </w:tabs>
        <w:spacing w:after="0" w:line="240" w:lineRule="auto"/>
        <w:rPr>
          <w:rFonts w:cs="Arial"/>
          <w:b/>
          <w:bCs/>
          <w:szCs w:val="24"/>
        </w:rPr>
      </w:pPr>
      <w:r>
        <w:rPr>
          <w:rFonts w:cs="Arial"/>
          <w:b/>
          <w:bCs/>
          <w:szCs w:val="24"/>
        </w:rPr>
        <w:lastRenderedPageBreak/>
        <w:t>DE MIST INVESTMENTS (PTY) LTD (a duly</w:t>
      </w:r>
    </w:p>
    <w:p w14:paraId="44BE23E0" w14:textId="266F83C6" w:rsidR="00314EC2" w:rsidRDefault="00314EC2" w:rsidP="00B01F1D">
      <w:pPr>
        <w:keepNext/>
        <w:tabs>
          <w:tab w:val="right" w:pos="8931"/>
        </w:tabs>
        <w:spacing w:after="0" w:line="240" w:lineRule="auto"/>
        <w:rPr>
          <w:rFonts w:cs="Arial"/>
          <w:b/>
          <w:bCs/>
          <w:szCs w:val="24"/>
        </w:rPr>
      </w:pPr>
      <w:r>
        <w:rPr>
          <w:rFonts w:cs="Arial"/>
          <w:b/>
          <w:bCs/>
          <w:szCs w:val="24"/>
        </w:rPr>
        <w:t>registered company, represented by</w:t>
      </w:r>
    </w:p>
    <w:p w14:paraId="227AF030" w14:textId="717B36C4" w:rsidR="00314EC2" w:rsidRDefault="00314EC2" w:rsidP="00A83DA6">
      <w:pPr>
        <w:tabs>
          <w:tab w:val="right" w:pos="8931"/>
        </w:tabs>
        <w:spacing w:after="0" w:line="480" w:lineRule="auto"/>
        <w:rPr>
          <w:rFonts w:cs="Arial"/>
          <w:bCs/>
          <w:szCs w:val="24"/>
        </w:rPr>
      </w:pPr>
      <w:r>
        <w:rPr>
          <w:rFonts w:cs="Arial"/>
          <w:b/>
          <w:bCs/>
          <w:szCs w:val="24"/>
        </w:rPr>
        <w:t>the fourteenth respondent as director)</w:t>
      </w:r>
      <w:r>
        <w:rPr>
          <w:rFonts w:cs="Arial"/>
          <w:b/>
          <w:bCs/>
          <w:szCs w:val="24"/>
        </w:rPr>
        <w:tab/>
      </w:r>
      <w:r>
        <w:rPr>
          <w:rFonts w:cs="Arial"/>
          <w:bCs/>
          <w:szCs w:val="24"/>
        </w:rPr>
        <w:t>Fifteenth Respondent</w:t>
      </w:r>
    </w:p>
    <w:p w14:paraId="1EF0E116" w14:textId="16C6E25E" w:rsidR="00314EC2" w:rsidRDefault="00314EC2" w:rsidP="00EB52AD">
      <w:pPr>
        <w:keepNext/>
        <w:tabs>
          <w:tab w:val="right" w:pos="8931"/>
        </w:tabs>
        <w:spacing w:after="0" w:line="240" w:lineRule="auto"/>
        <w:rPr>
          <w:rFonts w:cs="Arial"/>
          <w:b/>
          <w:bCs/>
          <w:szCs w:val="24"/>
        </w:rPr>
      </w:pPr>
      <w:r>
        <w:rPr>
          <w:rFonts w:cs="Arial"/>
          <w:b/>
          <w:bCs/>
          <w:szCs w:val="24"/>
        </w:rPr>
        <w:t>FURNIX (PTY) LTD (a duly registered company,</w:t>
      </w:r>
    </w:p>
    <w:p w14:paraId="41F9D0D3" w14:textId="62A209B4" w:rsidR="00314EC2" w:rsidRDefault="00314EC2" w:rsidP="00EB52AD">
      <w:pPr>
        <w:keepNext/>
        <w:tabs>
          <w:tab w:val="right" w:pos="8931"/>
        </w:tabs>
        <w:spacing w:after="0" w:line="240" w:lineRule="auto"/>
        <w:rPr>
          <w:rFonts w:cs="Arial"/>
          <w:b/>
          <w:bCs/>
          <w:szCs w:val="24"/>
        </w:rPr>
      </w:pPr>
      <w:r>
        <w:rPr>
          <w:rFonts w:cs="Arial"/>
          <w:b/>
          <w:bCs/>
          <w:szCs w:val="24"/>
        </w:rPr>
        <w:t>represented by the fourteen respondent</w:t>
      </w:r>
      <w:r w:rsidR="00EA7AA5">
        <w:rPr>
          <w:rFonts w:cs="Arial"/>
          <w:b/>
          <w:bCs/>
          <w:szCs w:val="24"/>
        </w:rPr>
        <w:t>,</w:t>
      </w:r>
    </w:p>
    <w:p w14:paraId="419AC764" w14:textId="61BFAFA5" w:rsidR="00314EC2" w:rsidRDefault="00314EC2" w:rsidP="00314EC2">
      <w:pPr>
        <w:tabs>
          <w:tab w:val="right" w:pos="8931"/>
        </w:tabs>
        <w:spacing w:after="0" w:line="480" w:lineRule="auto"/>
        <w:rPr>
          <w:rFonts w:cs="Arial"/>
          <w:bCs/>
          <w:szCs w:val="24"/>
        </w:rPr>
      </w:pPr>
      <w:r>
        <w:rPr>
          <w:rFonts w:cs="Arial"/>
          <w:b/>
          <w:bCs/>
          <w:szCs w:val="24"/>
        </w:rPr>
        <w:t>as director)</w:t>
      </w:r>
      <w:r>
        <w:rPr>
          <w:rFonts w:cs="Arial"/>
          <w:b/>
          <w:bCs/>
          <w:szCs w:val="24"/>
        </w:rPr>
        <w:tab/>
      </w:r>
      <w:r>
        <w:rPr>
          <w:rFonts w:cs="Arial"/>
          <w:bCs/>
          <w:szCs w:val="24"/>
        </w:rPr>
        <w:t>Sixteen</w:t>
      </w:r>
      <w:r w:rsidR="001E22F7">
        <w:rPr>
          <w:rFonts w:cs="Arial"/>
          <w:bCs/>
          <w:szCs w:val="24"/>
        </w:rPr>
        <w:t>th</w:t>
      </w:r>
      <w:r>
        <w:rPr>
          <w:rFonts w:cs="Arial"/>
          <w:bCs/>
          <w:szCs w:val="24"/>
        </w:rPr>
        <w:t xml:space="preserve"> Respondent</w:t>
      </w:r>
    </w:p>
    <w:p w14:paraId="63C8FE43" w14:textId="0A2B2AFB" w:rsidR="00314EC2" w:rsidRDefault="00314EC2" w:rsidP="00EB52AD">
      <w:pPr>
        <w:keepNext/>
        <w:tabs>
          <w:tab w:val="right" w:pos="8931"/>
        </w:tabs>
        <w:spacing w:after="0" w:line="240" w:lineRule="auto"/>
        <w:rPr>
          <w:rFonts w:cs="Arial"/>
          <w:b/>
          <w:bCs/>
          <w:szCs w:val="24"/>
        </w:rPr>
      </w:pPr>
      <w:r>
        <w:rPr>
          <w:rFonts w:cs="Arial"/>
          <w:b/>
          <w:bCs/>
          <w:szCs w:val="24"/>
        </w:rPr>
        <w:t>JW CONSTRUCTION (PTY) LTD (a duly</w:t>
      </w:r>
    </w:p>
    <w:p w14:paraId="351C9E59" w14:textId="640425B9" w:rsidR="00314EC2" w:rsidRDefault="00314EC2" w:rsidP="00EB52AD">
      <w:pPr>
        <w:keepNext/>
        <w:tabs>
          <w:tab w:val="right" w:pos="8931"/>
        </w:tabs>
        <w:spacing w:after="0" w:line="240" w:lineRule="auto"/>
        <w:rPr>
          <w:rFonts w:cs="Arial"/>
          <w:b/>
          <w:bCs/>
          <w:szCs w:val="24"/>
        </w:rPr>
      </w:pPr>
      <w:r>
        <w:rPr>
          <w:rFonts w:cs="Arial"/>
          <w:b/>
          <w:bCs/>
          <w:szCs w:val="24"/>
        </w:rPr>
        <w:t>registered company, represented by</w:t>
      </w:r>
    </w:p>
    <w:p w14:paraId="7A142F98" w14:textId="303E7446" w:rsidR="00314EC2" w:rsidRDefault="00314EC2" w:rsidP="00314EC2">
      <w:pPr>
        <w:tabs>
          <w:tab w:val="right" w:pos="8931"/>
        </w:tabs>
        <w:spacing w:after="0" w:line="480" w:lineRule="auto"/>
        <w:rPr>
          <w:rFonts w:cs="Arial"/>
          <w:bCs/>
          <w:szCs w:val="24"/>
        </w:rPr>
      </w:pPr>
      <w:r>
        <w:rPr>
          <w:rFonts w:cs="Arial"/>
          <w:b/>
          <w:bCs/>
          <w:szCs w:val="24"/>
        </w:rPr>
        <w:t>the fourteenth respondent as director)</w:t>
      </w:r>
      <w:r>
        <w:rPr>
          <w:rFonts w:cs="Arial"/>
          <w:b/>
          <w:bCs/>
          <w:szCs w:val="24"/>
        </w:rPr>
        <w:tab/>
      </w:r>
      <w:r>
        <w:rPr>
          <w:rFonts w:cs="Arial"/>
          <w:bCs/>
          <w:szCs w:val="24"/>
        </w:rPr>
        <w:t>Seventeenth Respondent</w:t>
      </w:r>
    </w:p>
    <w:p w14:paraId="66FF5E0B" w14:textId="61859757" w:rsidR="00314EC2" w:rsidRDefault="00314EC2" w:rsidP="00EB52AD">
      <w:pPr>
        <w:keepNext/>
        <w:tabs>
          <w:tab w:val="right" w:pos="8931"/>
        </w:tabs>
        <w:spacing w:after="0" w:line="240" w:lineRule="auto"/>
        <w:rPr>
          <w:rFonts w:cs="Arial"/>
          <w:b/>
          <w:bCs/>
          <w:szCs w:val="24"/>
        </w:rPr>
      </w:pPr>
      <w:r>
        <w:rPr>
          <w:rFonts w:cs="Arial"/>
          <w:b/>
          <w:bCs/>
          <w:szCs w:val="24"/>
        </w:rPr>
        <w:t>NECHAKO CAPITAL (PTY) LTD (a duly</w:t>
      </w:r>
    </w:p>
    <w:p w14:paraId="5D0BC4A9" w14:textId="7D5B3200" w:rsidR="00314EC2" w:rsidRDefault="00314EC2" w:rsidP="00EB52AD">
      <w:pPr>
        <w:keepNext/>
        <w:tabs>
          <w:tab w:val="right" w:pos="8931"/>
        </w:tabs>
        <w:spacing w:after="0" w:line="240" w:lineRule="auto"/>
        <w:rPr>
          <w:rFonts w:cs="Arial"/>
          <w:b/>
          <w:bCs/>
          <w:szCs w:val="24"/>
        </w:rPr>
      </w:pPr>
      <w:r>
        <w:rPr>
          <w:rFonts w:cs="Arial"/>
          <w:b/>
          <w:bCs/>
          <w:szCs w:val="24"/>
        </w:rPr>
        <w:t>registered company, represented</w:t>
      </w:r>
      <w:r w:rsidR="00EA7AA5">
        <w:rPr>
          <w:rFonts w:cs="Arial"/>
          <w:b/>
          <w:bCs/>
          <w:szCs w:val="24"/>
        </w:rPr>
        <w:t>,</w:t>
      </w:r>
      <w:r>
        <w:rPr>
          <w:rFonts w:cs="Arial"/>
          <w:b/>
          <w:bCs/>
          <w:szCs w:val="24"/>
        </w:rPr>
        <w:t xml:space="preserve"> </w:t>
      </w:r>
    </w:p>
    <w:p w14:paraId="17428A99" w14:textId="3C7BE7FC" w:rsidR="00314EC2" w:rsidRDefault="00314EC2" w:rsidP="00314EC2">
      <w:pPr>
        <w:tabs>
          <w:tab w:val="right" w:pos="8931"/>
        </w:tabs>
        <w:spacing w:after="0" w:line="480" w:lineRule="auto"/>
        <w:rPr>
          <w:rFonts w:cs="Arial"/>
          <w:bCs/>
          <w:szCs w:val="24"/>
        </w:rPr>
      </w:pPr>
      <w:r>
        <w:rPr>
          <w:rFonts w:cs="Arial"/>
          <w:b/>
          <w:bCs/>
          <w:szCs w:val="24"/>
        </w:rPr>
        <w:t>by the fourteenth respondent as director)</w:t>
      </w:r>
      <w:r>
        <w:rPr>
          <w:rFonts w:cs="Arial"/>
          <w:b/>
          <w:bCs/>
          <w:szCs w:val="24"/>
        </w:rPr>
        <w:tab/>
      </w:r>
      <w:r>
        <w:rPr>
          <w:rFonts w:cs="Arial"/>
          <w:bCs/>
          <w:szCs w:val="24"/>
        </w:rPr>
        <w:t>Eighteenth Respondent</w:t>
      </w:r>
    </w:p>
    <w:p w14:paraId="787F7D38" w14:textId="4F865E3E" w:rsidR="00314EC2" w:rsidRDefault="00314EC2" w:rsidP="00EB52AD">
      <w:pPr>
        <w:keepNext/>
        <w:tabs>
          <w:tab w:val="right" w:pos="8931"/>
        </w:tabs>
        <w:spacing w:after="0" w:line="240" w:lineRule="auto"/>
        <w:rPr>
          <w:rFonts w:cs="Arial"/>
          <w:b/>
          <w:bCs/>
          <w:szCs w:val="24"/>
        </w:rPr>
      </w:pPr>
      <w:r>
        <w:rPr>
          <w:rFonts w:cs="Arial"/>
          <w:b/>
          <w:bCs/>
          <w:szCs w:val="24"/>
        </w:rPr>
        <w:t>THANGANA LE ROUX (PTY) LTD (a duly</w:t>
      </w:r>
    </w:p>
    <w:p w14:paraId="70DA5885" w14:textId="2E9A349E" w:rsidR="00314EC2" w:rsidRDefault="00314EC2" w:rsidP="00EB52AD">
      <w:pPr>
        <w:keepNext/>
        <w:tabs>
          <w:tab w:val="right" w:pos="8931"/>
        </w:tabs>
        <w:spacing w:after="0" w:line="240" w:lineRule="auto"/>
        <w:rPr>
          <w:rFonts w:cs="Arial"/>
          <w:b/>
          <w:bCs/>
          <w:szCs w:val="24"/>
        </w:rPr>
      </w:pPr>
      <w:r>
        <w:rPr>
          <w:rFonts w:cs="Arial"/>
          <w:b/>
          <w:bCs/>
          <w:szCs w:val="24"/>
        </w:rPr>
        <w:t>registered company, represented</w:t>
      </w:r>
      <w:r w:rsidR="00EA7AA5">
        <w:rPr>
          <w:rFonts w:cs="Arial"/>
          <w:b/>
          <w:bCs/>
          <w:szCs w:val="24"/>
        </w:rPr>
        <w:t>,</w:t>
      </w:r>
      <w:r>
        <w:rPr>
          <w:rFonts w:cs="Arial"/>
          <w:b/>
          <w:bCs/>
          <w:szCs w:val="24"/>
        </w:rPr>
        <w:t xml:space="preserve"> </w:t>
      </w:r>
    </w:p>
    <w:p w14:paraId="270BA38C" w14:textId="4BAC78D8" w:rsidR="00314EC2" w:rsidRPr="00314EC2" w:rsidRDefault="00314EC2" w:rsidP="00314EC2">
      <w:pPr>
        <w:tabs>
          <w:tab w:val="right" w:pos="8931"/>
        </w:tabs>
        <w:spacing w:after="0" w:line="480" w:lineRule="auto"/>
        <w:rPr>
          <w:rFonts w:cs="Arial"/>
          <w:bCs/>
          <w:szCs w:val="24"/>
        </w:rPr>
      </w:pPr>
      <w:r>
        <w:rPr>
          <w:rFonts w:cs="Arial"/>
          <w:b/>
          <w:bCs/>
          <w:szCs w:val="24"/>
        </w:rPr>
        <w:t>by the fourteenth respondent as director)</w:t>
      </w:r>
      <w:r>
        <w:rPr>
          <w:rFonts w:cs="Arial"/>
          <w:b/>
          <w:bCs/>
          <w:szCs w:val="24"/>
        </w:rPr>
        <w:tab/>
      </w:r>
      <w:r>
        <w:rPr>
          <w:rFonts w:cs="Arial"/>
          <w:bCs/>
          <w:szCs w:val="24"/>
        </w:rPr>
        <w:t>Nineteenth Respondent</w:t>
      </w:r>
    </w:p>
    <w:p w14:paraId="052807A0" w14:textId="77777777" w:rsidR="0027480A" w:rsidRPr="0027480A" w:rsidRDefault="0027480A" w:rsidP="00314EC2">
      <w:pPr>
        <w:tabs>
          <w:tab w:val="right" w:pos="8222"/>
        </w:tabs>
        <w:spacing w:after="0" w:line="240" w:lineRule="auto"/>
        <w:rPr>
          <w:rFonts w:cs="Arial"/>
          <w:szCs w:val="24"/>
        </w:rPr>
      </w:pPr>
    </w:p>
    <w:p w14:paraId="6BB92BC9" w14:textId="1C866150" w:rsidR="0027480A" w:rsidRPr="0027480A" w:rsidRDefault="0027480A" w:rsidP="00DB5148">
      <w:pPr>
        <w:keepNext/>
        <w:tabs>
          <w:tab w:val="right" w:pos="8280"/>
        </w:tabs>
        <w:spacing w:after="0" w:line="480" w:lineRule="auto"/>
        <w:rPr>
          <w:rFonts w:cs="Arial"/>
          <w:szCs w:val="24"/>
        </w:rPr>
      </w:pPr>
      <w:r w:rsidRPr="0027480A">
        <w:rPr>
          <w:rFonts w:cs="Arial"/>
          <w:szCs w:val="24"/>
        </w:rPr>
        <w:t>_________________________________________________________</w:t>
      </w:r>
      <w:r w:rsidR="00314EC2">
        <w:rPr>
          <w:rFonts w:cs="Arial"/>
          <w:szCs w:val="24"/>
        </w:rPr>
        <w:t>_____</w:t>
      </w:r>
      <w:r w:rsidRPr="0027480A">
        <w:rPr>
          <w:rFonts w:cs="Arial"/>
          <w:szCs w:val="24"/>
        </w:rPr>
        <w:t xml:space="preserve">_____ </w:t>
      </w:r>
    </w:p>
    <w:p w14:paraId="39D1B3BC" w14:textId="77777777" w:rsidR="0027480A" w:rsidRPr="0027480A" w:rsidRDefault="0027480A" w:rsidP="00DB5148">
      <w:pPr>
        <w:tabs>
          <w:tab w:val="right" w:pos="8280"/>
        </w:tabs>
        <w:spacing w:before="120" w:after="0" w:line="480" w:lineRule="auto"/>
        <w:jc w:val="center"/>
        <w:rPr>
          <w:rFonts w:cs="Arial"/>
          <w:szCs w:val="24"/>
        </w:rPr>
      </w:pPr>
      <w:r w:rsidRPr="0027480A">
        <w:rPr>
          <w:rFonts w:cs="Arial"/>
          <w:b/>
          <w:szCs w:val="24"/>
        </w:rPr>
        <w:t>JUDGMENT</w:t>
      </w:r>
    </w:p>
    <w:p w14:paraId="3CE8F48F" w14:textId="0D1BDB49" w:rsidR="0027480A" w:rsidRPr="0027480A" w:rsidRDefault="0027480A" w:rsidP="00DB5148">
      <w:pPr>
        <w:tabs>
          <w:tab w:val="right" w:pos="8280"/>
        </w:tabs>
        <w:spacing w:after="0" w:line="480" w:lineRule="auto"/>
        <w:rPr>
          <w:rFonts w:cs="Arial"/>
          <w:szCs w:val="24"/>
        </w:rPr>
      </w:pPr>
      <w:r w:rsidRPr="0027480A">
        <w:rPr>
          <w:rFonts w:cs="Arial"/>
          <w:szCs w:val="24"/>
        </w:rPr>
        <w:t>______________________________________________________________</w:t>
      </w:r>
      <w:r w:rsidR="00314EC2">
        <w:rPr>
          <w:rFonts w:cs="Arial"/>
          <w:szCs w:val="24"/>
        </w:rPr>
        <w:t>_____</w:t>
      </w:r>
    </w:p>
    <w:p w14:paraId="4FFAF3CE" w14:textId="77777777" w:rsidR="0027480A" w:rsidRPr="0027480A" w:rsidRDefault="0027480A" w:rsidP="00B01F1D">
      <w:pPr>
        <w:tabs>
          <w:tab w:val="right" w:pos="8280"/>
        </w:tabs>
        <w:spacing w:before="480" w:after="0" w:line="480" w:lineRule="auto"/>
        <w:rPr>
          <w:rFonts w:cs="Arial"/>
          <w:b/>
          <w:szCs w:val="24"/>
        </w:rPr>
      </w:pPr>
      <w:r w:rsidRPr="0027480A">
        <w:rPr>
          <w:rFonts w:cs="Arial"/>
          <w:b/>
          <w:szCs w:val="24"/>
        </w:rPr>
        <w:t>DREYER AJ</w:t>
      </w:r>
    </w:p>
    <w:p w14:paraId="03A50A53" w14:textId="3FCAF0A7" w:rsidR="00B01F1D" w:rsidRDefault="004812C8" w:rsidP="00B01F1D">
      <w:pPr>
        <w:pStyle w:val="ListParagraph"/>
        <w:numPr>
          <w:ilvl w:val="0"/>
          <w:numId w:val="6"/>
        </w:numPr>
        <w:spacing w:before="480" w:after="0" w:line="480" w:lineRule="auto"/>
        <w:contextualSpacing w:val="0"/>
        <w:rPr>
          <w:rFonts w:cs="Arial"/>
          <w:szCs w:val="24"/>
        </w:rPr>
      </w:pPr>
      <w:r w:rsidRPr="003D734F">
        <w:rPr>
          <w:rFonts w:cs="Arial"/>
          <w:szCs w:val="24"/>
        </w:rPr>
        <w:t>The</w:t>
      </w:r>
      <w:r w:rsidR="00314EC2">
        <w:rPr>
          <w:rFonts w:cs="Arial"/>
          <w:szCs w:val="24"/>
        </w:rPr>
        <w:t xml:space="preserve"> </w:t>
      </w:r>
      <w:r w:rsidR="00660E5B">
        <w:rPr>
          <w:rFonts w:cs="Arial"/>
          <w:szCs w:val="24"/>
        </w:rPr>
        <w:t>P</w:t>
      </w:r>
      <w:r w:rsidRPr="003D734F">
        <w:rPr>
          <w:rFonts w:cs="Arial"/>
          <w:szCs w:val="24"/>
        </w:rPr>
        <w:t xml:space="preserve">revention of </w:t>
      </w:r>
      <w:r w:rsidR="00660E5B">
        <w:rPr>
          <w:rFonts w:cs="Arial"/>
          <w:szCs w:val="24"/>
        </w:rPr>
        <w:t>O</w:t>
      </w:r>
      <w:r w:rsidRPr="003D734F">
        <w:rPr>
          <w:rFonts w:cs="Arial"/>
          <w:szCs w:val="24"/>
        </w:rPr>
        <w:t xml:space="preserve">rganised </w:t>
      </w:r>
      <w:r w:rsidR="00660E5B">
        <w:rPr>
          <w:rFonts w:cs="Arial"/>
          <w:szCs w:val="24"/>
        </w:rPr>
        <w:t>C</w:t>
      </w:r>
      <w:r w:rsidRPr="003D734F">
        <w:rPr>
          <w:rFonts w:cs="Arial"/>
          <w:szCs w:val="24"/>
        </w:rPr>
        <w:t>rime Act</w:t>
      </w:r>
      <w:r w:rsidR="00A44783">
        <w:rPr>
          <w:rStyle w:val="FootnoteReference"/>
          <w:rFonts w:cs="Arial"/>
          <w:szCs w:val="24"/>
        </w:rPr>
        <w:footnoteReference w:id="1"/>
      </w:r>
      <w:r w:rsidR="00314EC2">
        <w:rPr>
          <w:rFonts w:cs="Arial"/>
          <w:szCs w:val="24"/>
        </w:rPr>
        <w:t xml:space="preserve"> </w:t>
      </w:r>
      <w:r w:rsidR="00BE2B41" w:rsidRPr="003D734F">
        <w:rPr>
          <w:rFonts w:cs="Arial"/>
          <w:szCs w:val="24"/>
        </w:rPr>
        <w:t>(“</w:t>
      </w:r>
      <w:r w:rsidRPr="003D734F">
        <w:rPr>
          <w:rFonts w:cs="Arial"/>
          <w:szCs w:val="24"/>
        </w:rPr>
        <w:t>POCA</w:t>
      </w:r>
      <w:r w:rsidR="00BE2B41" w:rsidRPr="003D734F">
        <w:rPr>
          <w:rFonts w:cs="Arial"/>
          <w:szCs w:val="24"/>
        </w:rPr>
        <w:t>”)</w:t>
      </w:r>
      <w:r w:rsidRPr="003D734F">
        <w:rPr>
          <w:rFonts w:cs="Arial"/>
          <w:szCs w:val="24"/>
        </w:rPr>
        <w:t xml:space="preserve"> authorises the National </w:t>
      </w:r>
      <w:r w:rsidR="00660E5B">
        <w:rPr>
          <w:rFonts w:cs="Arial"/>
          <w:szCs w:val="24"/>
        </w:rPr>
        <w:t>D</w:t>
      </w:r>
      <w:r w:rsidRPr="003D734F">
        <w:rPr>
          <w:rFonts w:cs="Arial"/>
          <w:szCs w:val="24"/>
        </w:rPr>
        <w:t xml:space="preserve">irector of </w:t>
      </w:r>
      <w:r w:rsidR="00660E5B">
        <w:rPr>
          <w:rFonts w:cs="Arial"/>
          <w:szCs w:val="24"/>
        </w:rPr>
        <w:t>P</w:t>
      </w:r>
      <w:r w:rsidRPr="003D734F">
        <w:rPr>
          <w:rFonts w:cs="Arial"/>
          <w:szCs w:val="24"/>
        </w:rPr>
        <w:t xml:space="preserve">ublic </w:t>
      </w:r>
      <w:r w:rsidR="00660E5B">
        <w:rPr>
          <w:rFonts w:cs="Arial"/>
          <w:szCs w:val="24"/>
        </w:rPr>
        <w:t>P</w:t>
      </w:r>
      <w:r w:rsidRPr="003D734F">
        <w:rPr>
          <w:rFonts w:cs="Arial"/>
          <w:szCs w:val="24"/>
        </w:rPr>
        <w:t>ros</w:t>
      </w:r>
      <w:r w:rsidR="00660E5B">
        <w:rPr>
          <w:rFonts w:cs="Arial"/>
          <w:szCs w:val="24"/>
        </w:rPr>
        <w:t>ecutions</w:t>
      </w:r>
      <w:r w:rsidR="006713D6">
        <w:rPr>
          <w:rFonts w:cs="Arial"/>
          <w:szCs w:val="24"/>
        </w:rPr>
        <w:t xml:space="preserve"> (“NDPP”)</w:t>
      </w:r>
      <w:r w:rsidR="0016163A">
        <w:rPr>
          <w:rFonts w:cs="Arial"/>
          <w:szCs w:val="24"/>
        </w:rPr>
        <w:t xml:space="preserve"> </w:t>
      </w:r>
      <w:r w:rsidRPr="003D734F">
        <w:rPr>
          <w:rFonts w:cs="Arial"/>
          <w:szCs w:val="24"/>
        </w:rPr>
        <w:t>to attach assets of accused persons or assets that accused person acquired from the proceeds of crime either held in their own name or transfer to another entity to be retained pending the finalisation of the criminal proceeding</w:t>
      </w:r>
      <w:r w:rsidR="003D734F" w:rsidRPr="003D734F">
        <w:rPr>
          <w:rFonts w:cs="Arial"/>
          <w:szCs w:val="24"/>
        </w:rPr>
        <w:t>.</w:t>
      </w:r>
      <w:r w:rsidR="00016C31">
        <w:rPr>
          <w:rStyle w:val="FootnoteReference"/>
          <w:rFonts w:cs="Arial"/>
          <w:szCs w:val="24"/>
        </w:rPr>
        <w:footnoteReference w:id="2"/>
      </w:r>
      <w:r w:rsidR="003D734F" w:rsidRPr="003D734F">
        <w:rPr>
          <w:rFonts w:cs="Arial"/>
          <w:szCs w:val="24"/>
        </w:rPr>
        <w:t xml:space="preserve"> A</w:t>
      </w:r>
      <w:r w:rsidRPr="003D734F">
        <w:rPr>
          <w:rFonts w:cs="Arial"/>
          <w:szCs w:val="24"/>
        </w:rPr>
        <w:t xml:space="preserve">t the conclusion of the criminal </w:t>
      </w:r>
      <w:r w:rsidRPr="003D734F">
        <w:rPr>
          <w:rFonts w:cs="Arial"/>
          <w:szCs w:val="24"/>
        </w:rPr>
        <w:lastRenderedPageBreak/>
        <w:t>proceedings, the assets are either confiscated to the state</w:t>
      </w:r>
      <w:r w:rsidR="006713D6">
        <w:rPr>
          <w:rFonts w:cs="Arial"/>
          <w:szCs w:val="24"/>
        </w:rPr>
        <w:t>,</w:t>
      </w:r>
      <w:r w:rsidRPr="003D734F">
        <w:rPr>
          <w:rFonts w:cs="Arial"/>
          <w:szCs w:val="24"/>
        </w:rPr>
        <w:t xml:space="preserve"> on the conviction of the accused or released to the accused on the acquittal</w:t>
      </w:r>
      <w:r w:rsidR="006713D6">
        <w:rPr>
          <w:rFonts w:cs="Arial"/>
          <w:szCs w:val="24"/>
        </w:rPr>
        <w:t xml:space="preserve"> of the accused</w:t>
      </w:r>
      <w:r w:rsidRPr="003D734F">
        <w:rPr>
          <w:rFonts w:cs="Arial"/>
          <w:szCs w:val="24"/>
        </w:rPr>
        <w:t>.</w:t>
      </w:r>
      <w:r w:rsidR="00AC521E">
        <w:rPr>
          <w:rStyle w:val="FootnoteReference"/>
          <w:rFonts w:cs="Arial"/>
          <w:szCs w:val="24"/>
        </w:rPr>
        <w:footnoteReference w:id="3"/>
      </w:r>
      <w:r w:rsidR="00DB62B4" w:rsidRPr="003D734F">
        <w:rPr>
          <w:rFonts w:cs="Arial"/>
          <w:szCs w:val="24"/>
        </w:rPr>
        <w:t xml:space="preserve"> </w:t>
      </w:r>
    </w:p>
    <w:p w14:paraId="6C4F1D9A" w14:textId="5FC7FEA3" w:rsidR="00AC49A2" w:rsidRDefault="00AC49A2" w:rsidP="00B01F1D">
      <w:pPr>
        <w:pStyle w:val="ListParagraph"/>
        <w:numPr>
          <w:ilvl w:val="0"/>
          <w:numId w:val="6"/>
        </w:numPr>
        <w:spacing w:before="480" w:after="0" w:line="480" w:lineRule="auto"/>
        <w:contextualSpacing w:val="0"/>
        <w:rPr>
          <w:rFonts w:cs="Arial"/>
          <w:szCs w:val="24"/>
        </w:rPr>
      </w:pPr>
      <w:r>
        <w:rPr>
          <w:rFonts w:cs="Arial"/>
          <w:szCs w:val="24"/>
        </w:rPr>
        <w:t xml:space="preserve">The defendants </w:t>
      </w:r>
      <w:r w:rsidR="00EF3329">
        <w:rPr>
          <w:rFonts w:cs="Arial"/>
          <w:szCs w:val="24"/>
        </w:rPr>
        <w:t xml:space="preserve">have been charged </w:t>
      </w:r>
      <w:r w:rsidR="00804C6C">
        <w:rPr>
          <w:rFonts w:cs="Arial"/>
          <w:i/>
          <w:iCs/>
          <w:szCs w:val="24"/>
        </w:rPr>
        <w:t xml:space="preserve">inter alia, </w:t>
      </w:r>
      <w:r w:rsidR="00804C6C">
        <w:rPr>
          <w:rFonts w:cs="Arial"/>
          <w:szCs w:val="24"/>
        </w:rPr>
        <w:t>fraud, money laundering</w:t>
      </w:r>
      <w:r w:rsidR="00DF5620">
        <w:rPr>
          <w:rFonts w:cs="Arial"/>
          <w:szCs w:val="24"/>
        </w:rPr>
        <w:t xml:space="preserve"> and racketeering in terms of  the provisions of POCA</w:t>
      </w:r>
      <w:r w:rsidR="00F6689B">
        <w:rPr>
          <w:rFonts w:cs="Arial"/>
          <w:szCs w:val="24"/>
        </w:rPr>
        <w:t>,</w:t>
      </w:r>
      <w:r w:rsidR="00FF2A52">
        <w:rPr>
          <w:rFonts w:cs="Arial"/>
          <w:szCs w:val="24"/>
        </w:rPr>
        <w:t xml:space="preserve"> and </w:t>
      </w:r>
      <w:r w:rsidR="00F6689B">
        <w:rPr>
          <w:rFonts w:cs="Arial"/>
          <w:szCs w:val="24"/>
        </w:rPr>
        <w:t xml:space="preserve"> corruption </w:t>
      </w:r>
      <w:r w:rsidR="00074980">
        <w:rPr>
          <w:rFonts w:cs="Arial"/>
          <w:szCs w:val="24"/>
        </w:rPr>
        <w:t>in terms of the provision of the Prevention  and Combatting Corrupt Activities Act</w:t>
      </w:r>
      <w:r w:rsidR="00DB4E14">
        <w:rPr>
          <w:rFonts w:cs="Arial"/>
          <w:szCs w:val="24"/>
        </w:rPr>
        <w:t>,</w:t>
      </w:r>
      <w:r w:rsidR="00074980">
        <w:rPr>
          <w:rStyle w:val="FootnoteReference"/>
          <w:rFonts w:cs="Arial"/>
          <w:szCs w:val="24"/>
        </w:rPr>
        <w:footnoteReference w:id="4"/>
      </w:r>
      <w:r w:rsidR="00DB4E14">
        <w:rPr>
          <w:rFonts w:cs="Arial"/>
          <w:szCs w:val="24"/>
        </w:rPr>
        <w:t xml:space="preserve"> </w:t>
      </w:r>
      <w:r w:rsidR="001D62A9">
        <w:rPr>
          <w:rFonts w:cs="Arial"/>
          <w:szCs w:val="24"/>
        </w:rPr>
        <w:t xml:space="preserve">arising from the awarding of tender by the </w:t>
      </w:r>
      <w:bookmarkStart w:id="1" w:name="_Hlk142305720"/>
      <w:r w:rsidR="00AD1674">
        <w:rPr>
          <w:rFonts w:cs="Arial"/>
          <w:szCs w:val="24"/>
        </w:rPr>
        <w:t xml:space="preserve">Nelson Mandela Bay Municipality  </w:t>
      </w:r>
      <w:bookmarkEnd w:id="1"/>
      <w:r w:rsidR="00AD1674">
        <w:rPr>
          <w:rFonts w:cs="Arial"/>
          <w:szCs w:val="24"/>
        </w:rPr>
        <w:t xml:space="preserve">in relation to </w:t>
      </w:r>
      <w:r w:rsidR="00CB0F91">
        <w:rPr>
          <w:rFonts w:cs="Arial"/>
          <w:szCs w:val="24"/>
        </w:rPr>
        <w:t xml:space="preserve">an integrated public transport system. </w:t>
      </w:r>
      <w:r w:rsidR="00DB4E14">
        <w:rPr>
          <w:rFonts w:cs="Arial"/>
          <w:szCs w:val="24"/>
        </w:rPr>
        <w:t>The NDPP in her indi</w:t>
      </w:r>
      <w:r w:rsidR="0023775A">
        <w:rPr>
          <w:rFonts w:cs="Arial"/>
          <w:szCs w:val="24"/>
        </w:rPr>
        <w:t>c</w:t>
      </w:r>
      <w:r w:rsidR="00DB4E14">
        <w:rPr>
          <w:rFonts w:cs="Arial"/>
          <w:szCs w:val="24"/>
        </w:rPr>
        <w:t xml:space="preserve">tment </w:t>
      </w:r>
      <w:r w:rsidR="00CB0F91">
        <w:rPr>
          <w:rFonts w:cs="Arial"/>
          <w:szCs w:val="24"/>
        </w:rPr>
        <w:t xml:space="preserve">contends that the </w:t>
      </w:r>
      <w:r w:rsidR="00033D59">
        <w:rPr>
          <w:rFonts w:cs="Arial"/>
          <w:szCs w:val="24"/>
        </w:rPr>
        <w:t xml:space="preserve">National Treasury through the </w:t>
      </w:r>
      <w:r w:rsidR="00CB0F91">
        <w:rPr>
          <w:rFonts w:cs="Arial"/>
          <w:szCs w:val="24"/>
        </w:rPr>
        <w:t xml:space="preserve">Nelson Mandela Bay Municipality </w:t>
      </w:r>
      <w:r w:rsidR="00033D59">
        <w:rPr>
          <w:rFonts w:cs="Arial"/>
          <w:szCs w:val="24"/>
        </w:rPr>
        <w:t xml:space="preserve"> </w:t>
      </w:r>
      <w:r w:rsidR="00215D16">
        <w:rPr>
          <w:rFonts w:cs="Arial"/>
          <w:szCs w:val="24"/>
        </w:rPr>
        <w:t xml:space="preserve">suffered a cumulative loss of </w:t>
      </w:r>
      <w:r w:rsidR="00421F28">
        <w:rPr>
          <w:rFonts w:cs="Arial"/>
          <w:szCs w:val="24"/>
        </w:rPr>
        <w:t xml:space="preserve">approximately </w:t>
      </w:r>
      <w:r w:rsidR="00215D16">
        <w:rPr>
          <w:rFonts w:cs="Arial"/>
          <w:szCs w:val="24"/>
        </w:rPr>
        <w:t>one hundred million rand (R100 000 000)</w:t>
      </w:r>
      <w:r w:rsidR="000349E4">
        <w:rPr>
          <w:rFonts w:cs="Arial"/>
          <w:szCs w:val="24"/>
        </w:rPr>
        <w:t>.</w:t>
      </w:r>
      <w:r w:rsidR="000D37DF">
        <w:rPr>
          <w:rStyle w:val="FootnoteReference"/>
          <w:rFonts w:cs="Arial"/>
          <w:szCs w:val="24"/>
        </w:rPr>
        <w:footnoteReference w:id="5"/>
      </w:r>
      <w:r w:rsidR="00777803">
        <w:rPr>
          <w:rFonts w:cs="Arial"/>
          <w:szCs w:val="24"/>
        </w:rPr>
        <w:t xml:space="preserve"> </w:t>
      </w:r>
      <w:r w:rsidR="00C90D75">
        <w:rPr>
          <w:rFonts w:cs="Arial"/>
          <w:szCs w:val="24"/>
        </w:rPr>
        <w:t>The eighth defendant</w:t>
      </w:r>
      <w:r w:rsidR="00421F28">
        <w:rPr>
          <w:rFonts w:cs="Arial"/>
          <w:szCs w:val="24"/>
        </w:rPr>
        <w:t>,</w:t>
      </w:r>
      <w:r w:rsidR="00FC3D25">
        <w:rPr>
          <w:rStyle w:val="FootnoteReference"/>
          <w:rFonts w:cs="Arial"/>
          <w:szCs w:val="24"/>
        </w:rPr>
        <w:footnoteReference w:id="6"/>
      </w:r>
      <w:r w:rsidR="00421F28">
        <w:rPr>
          <w:rFonts w:cs="Arial"/>
          <w:szCs w:val="24"/>
        </w:rPr>
        <w:t xml:space="preserve"> the NDPP contends further,</w:t>
      </w:r>
      <w:r w:rsidR="00C90D75">
        <w:rPr>
          <w:rFonts w:cs="Arial"/>
          <w:szCs w:val="24"/>
        </w:rPr>
        <w:t xml:space="preserve"> benefitted </w:t>
      </w:r>
      <w:r w:rsidR="00421F28">
        <w:rPr>
          <w:rFonts w:cs="Arial"/>
          <w:szCs w:val="24"/>
        </w:rPr>
        <w:t>to</w:t>
      </w:r>
      <w:r w:rsidR="00C90D75">
        <w:rPr>
          <w:rFonts w:cs="Arial"/>
          <w:szCs w:val="24"/>
        </w:rPr>
        <w:t xml:space="preserve"> the </w:t>
      </w:r>
      <w:r w:rsidR="00421F28">
        <w:rPr>
          <w:rFonts w:cs="Arial"/>
          <w:szCs w:val="24"/>
        </w:rPr>
        <w:t>sum of approximately thirty</w:t>
      </w:r>
      <w:r w:rsidR="00874144">
        <w:rPr>
          <w:rFonts w:cs="Arial"/>
          <w:szCs w:val="24"/>
        </w:rPr>
        <w:t>-</w:t>
      </w:r>
      <w:r w:rsidR="00421F28">
        <w:rPr>
          <w:rFonts w:cs="Arial"/>
          <w:szCs w:val="24"/>
        </w:rPr>
        <w:t>three million rand (R33 000 000).</w:t>
      </w:r>
      <w:r w:rsidR="00874144">
        <w:rPr>
          <w:rFonts w:cs="Arial"/>
          <w:szCs w:val="24"/>
        </w:rPr>
        <w:t>of the full loss suffered by the state.</w:t>
      </w:r>
      <w:r w:rsidR="00421F28">
        <w:rPr>
          <w:rFonts w:cs="Arial"/>
          <w:szCs w:val="24"/>
        </w:rPr>
        <w:t xml:space="preserve"> T</w:t>
      </w:r>
      <w:r w:rsidR="00777803">
        <w:rPr>
          <w:rFonts w:cs="Arial"/>
          <w:szCs w:val="24"/>
        </w:rPr>
        <w:t xml:space="preserve">he criminal trial is pending before the high court. </w:t>
      </w:r>
    </w:p>
    <w:p w14:paraId="58F9A876" w14:textId="48B73D9D" w:rsidR="00B01F1D" w:rsidRDefault="00467051" w:rsidP="00B01F1D">
      <w:pPr>
        <w:pStyle w:val="ListParagraph"/>
        <w:numPr>
          <w:ilvl w:val="0"/>
          <w:numId w:val="6"/>
        </w:numPr>
        <w:spacing w:before="480" w:after="0" w:line="480" w:lineRule="auto"/>
        <w:contextualSpacing w:val="0"/>
        <w:rPr>
          <w:rFonts w:cs="Arial"/>
          <w:szCs w:val="24"/>
        </w:rPr>
      </w:pPr>
      <w:r>
        <w:rPr>
          <w:rFonts w:cs="Arial"/>
          <w:szCs w:val="24"/>
        </w:rPr>
        <w:t xml:space="preserve">On </w:t>
      </w:r>
      <w:r w:rsidR="00236AC9">
        <w:rPr>
          <w:rFonts w:cs="Arial"/>
          <w:szCs w:val="24"/>
        </w:rPr>
        <w:t xml:space="preserve">13 July </w:t>
      </w:r>
      <w:r w:rsidR="00236AC9" w:rsidRPr="00BF704C">
        <w:rPr>
          <w:rFonts w:cs="Arial"/>
          <w:szCs w:val="24"/>
        </w:rPr>
        <w:t>2022,</w:t>
      </w:r>
      <w:r w:rsidR="004812C8" w:rsidRPr="00BF704C">
        <w:rPr>
          <w:rFonts w:cs="Arial"/>
          <w:szCs w:val="24"/>
        </w:rPr>
        <w:t xml:space="preserve"> the N</w:t>
      </w:r>
      <w:r w:rsidR="00257EB7">
        <w:rPr>
          <w:rFonts w:cs="Arial"/>
          <w:szCs w:val="24"/>
        </w:rPr>
        <w:t xml:space="preserve">DPP </w:t>
      </w:r>
      <w:r w:rsidR="004812C8" w:rsidRPr="00BF704C">
        <w:rPr>
          <w:rFonts w:cs="Arial"/>
          <w:szCs w:val="24"/>
        </w:rPr>
        <w:t>obtained</w:t>
      </w:r>
      <w:r w:rsidR="00314EC2">
        <w:rPr>
          <w:rFonts w:cs="Arial"/>
          <w:szCs w:val="24"/>
        </w:rPr>
        <w:t xml:space="preserve"> </w:t>
      </w:r>
      <w:r w:rsidR="00302FB9">
        <w:rPr>
          <w:rFonts w:cs="Arial"/>
          <w:szCs w:val="24"/>
        </w:rPr>
        <w:t xml:space="preserve">a </w:t>
      </w:r>
      <w:r w:rsidR="00AF2879">
        <w:rPr>
          <w:rFonts w:cs="Arial"/>
          <w:szCs w:val="24"/>
        </w:rPr>
        <w:t>provisional restraint order</w:t>
      </w:r>
      <w:r w:rsidR="00213DC8">
        <w:rPr>
          <w:rFonts w:cs="Arial"/>
          <w:szCs w:val="24"/>
        </w:rPr>
        <w:t xml:space="preserve"> and rule nisi</w:t>
      </w:r>
      <w:r w:rsidR="004812C8" w:rsidRPr="00BF704C">
        <w:rPr>
          <w:rFonts w:cs="Arial"/>
          <w:szCs w:val="24"/>
        </w:rPr>
        <w:t xml:space="preserve"> against all the defendant</w:t>
      </w:r>
      <w:r w:rsidR="00E049A3">
        <w:rPr>
          <w:rFonts w:cs="Arial"/>
          <w:szCs w:val="24"/>
        </w:rPr>
        <w:t>s</w:t>
      </w:r>
      <w:r w:rsidR="004812C8" w:rsidRPr="00BF704C">
        <w:rPr>
          <w:rFonts w:cs="Arial"/>
          <w:szCs w:val="24"/>
        </w:rPr>
        <w:t xml:space="preserve"> and the respondent</w:t>
      </w:r>
      <w:r w:rsidR="00E049A3">
        <w:rPr>
          <w:rFonts w:cs="Arial"/>
          <w:szCs w:val="24"/>
        </w:rPr>
        <w:t>s</w:t>
      </w:r>
      <w:r w:rsidR="00190E62">
        <w:rPr>
          <w:rFonts w:cs="Arial"/>
          <w:szCs w:val="24"/>
        </w:rPr>
        <w:t xml:space="preserve"> </w:t>
      </w:r>
      <w:r w:rsidR="004116F5">
        <w:rPr>
          <w:rFonts w:cs="Arial"/>
          <w:szCs w:val="24"/>
        </w:rPr>
        <w:t>(</w:t>
      </w:r>
      <w:r w:rsidR="00CB5F86">
        <w:rPr>
          <w:rFonts w:cs="Arial"/>
          <w:szCs w:val="24"/>
        </w:rPr>
        <w:t>“</w:t>
      </w:r>
      <w:r w:rsidR="004116F5">
        <w:rPr>
          <w:rFonts w:cs="Arial"/>
          <w:szCs w:val="24"/>
        </w:rPr>
        <w:t xml:space="preserve">the </w:t>
      </w:r>
      <w:r w:rsidR="003C4C47">
        <w:rPr>
          <w:rFonts w:cs="Arial"/>
          <w:i/>
          <w:iCs/>
          <w:szCs w:val="24"/>
        </w:rPr>
        <w:t>provisional restraint order</w:t>
      </w:r>
      <w:r w:rsidR="00CB5F86">
        <w:rPr>
          <w:rFonts w:cs="Arial"/>
          <w:i/>
          <w:iCs/>
          <w:szCs w:val="24"/>
        </w:rPr>
        <w:t>”</w:t>
      </w:r>
      <w:r w:rsidR="004116F5">
        <w:rPr>
          <w:rFonts w:cs="Arial"/>
          <w:i/>
          <w:iCs/>
          <w:szCs w:val="24"/>
        </w:rPr>
        <w:t>)</w:t>
      </w:r>
      <w:r w:rsidR="00190E62">
        <w:rPr>
          <w:rFonts w:cs="Arial"/>
          <w:i/>
          <w:iCs/>
          <w:szCs w:val="24"/>
        </w:rPr>
        <w:t>.</w:t>
      </w:r>
    </w:p>
    <w:p w14:paraId="103B272A" w14:textId="0520920C" w:rsidR="005540A3" w:rsidRDefault="00314EC2" w:rsidP="00B01F1D">
      <w:pPr>
        <w:pStyle w:val="ListParagraph"/>
        <w:numPr>
          <w:ilvl w:val="0"/>
          <w:numId w:val="6"/>
        </w:numPr>
        <w:spacing w:before="480" w:after="0" w:line="480" w:lineRule="auto"/>
        <w:contextualSpacing w:val="0"/>
        <w:rPr>
          <w:rFonts w:cs="Arial"/>
          <w:szCs w:val="24"/>
        </w:rPr>
      </w:pPr>
      <w:r>
        <w:rPr>
          <w:rFonts w:cs="Arial"/>
          <w:szCs w:val="24"/>
        </w:rPr>
        <w:t xml:space="preserve">The </w:t>
      </w:r>
      <w:r w:rsidR="003C4C47">
        <w:rPr>
          <w:rFonts w:cs="Arial"/>
          <w:szCs w:val="24"/>
        </w:rPr>
        <w:t xml:space="preserve">provisional restraint order </w:t>
      </w:r>
      <w:r>
        <w:rPr>
          <w:rFonts w:cs="Arial"/>
          <w:szCs w:val="24"/>
        </w:rPr>
        <w:t xml:space="preserve">required the defendants and respondents to disclose and surrender all </w:t>
      </w:r>
      <w:r w:rsidR="000349E4">
        <w:rPr>
          <w:rFonts w:cs="Arial"/>
          <w:szCs w:val="24"/>
        </w:rPr>
        <w:t xml:space="preserve">their </w:t>
      </w:r>
      <w:r w:rsidR="000B3E4D">
        <w:rPr>
          <w:rFonts w:cs="Arial"/>
          <w:szCs w:val="24"/>
        </w:rPr>
        <w:t xml:space="preserve"> </w:t>
      </w:r>
      <w:r>
        <w:rPr>
          <w:rFonts w:cs="Arial"/>
          <w:szCs w:val="24"/>
        </w:rPr>
        <w:t xml:space="preserve">property, either specifically listed in a schedule of assets attached to the </w:t>
      </w:r>
      <w:r w:rsidR="003C4C47" w:rsidRPr="003C4C47">
        <w:rPr>
          <w:rFonts w:cs="Arial"/>
          <w:szCs w:val="24"/>
        </w:rPr>
        <w:t>provisional restr</w:t>
      </w:r>
      <w:r w:rsidR="003C4C47">
        <w:rPr>
          <w:rFonts w:cs="Arial"/>
          <w:szCs w:val="24"/>
        </w:rPr>
        <w:t>aint</w:t>
      </w:r>
      <w:r w:rsidR="003C4C47" w:rsidRPr="003C4C47">
        <w:rPr>
          <w:rFonts w:cs="Arial"/>
          <w:szCs w:val="24"/>
        </w:rPr>
        <w:t xml:space="preserve"> order</w:t>
      </w:r>
      <w:r w:rsidR="003C4C47">
        <w:rPr>
          <w:rFonts w:cs="Arial"/>
          <w:i/>
          <w:iCs/>
          <w:szCs w:val="24"/>
        </w:rPr>
        <w:t xml:space="preserve"> </w:t>
      </w:r>
      <w:r w:rsidR="006426D0">
        <w:rPr>
          <w:rFonts w:cs="Arial"/>
          <w:szCs w:val="24"/>
        </w:rPr>
        <w:t>an</w:t>
      </w:r>
      <w:r w:rsidR="00172848">
        <w:rPr>
          <w:rFonts w:cs="Arial"/>
          <w:szCs w:val="24"/>
        </w:rPr>
        <w:t>d</w:t>
      </w:r>
      <w:r w:rsidR="006426D0">
        <w:rPr>
          <w:rFonts w:cs="Arial"/>
          <w:szCs w:val="24"/>
        </w:rPr>
        <w:t>/or</w:t>
      </w:r>
      <w:r>
        <w:rPr>
          <w:rFonts w:cs="Arial"/>
          <w:szCs w:val="24"/>
        </w:rPr>
        <w:t xml:space="preserve"> all property held by the defendants at any time before or after the granting of the order, including </w:t>
      </w:r>
      <w:r>
        <w:rPr>
          <w:rFonts w:cs="Arial"/>
          <w:szCs w:val="24"/>
        </w:rPr>
        <w:lastRenderedPageBreak/>
        <w:t>property held for and on behalf of the defendants and their shareholding in any company</w:t>
      </w:r>
      <w:r w:rsidR="002811C8">
        <w:rPr>
          <w:rFonts w:cs="Arial"/>
          <w:szCs w:val="24"/>
        </w:rPr>
        <w:t xml:space="preserve">. </w:t>
      </w:r>
      <w:r w:rsidR="004F2623">
        <w:rPr>
          <w:rFonts w:cs="Arial"/>
          <w:szCs w:val="24"/>
        </w:rPr>
        <w:t xml:space="preserve">The </w:t>
      </w:r>
      <w:r w:rsidR="003C4C47">
        <w:rPr>
          <w:rFonts w:cs="Arial"/>
          <w:szCs w:val="24"/>
        </w:rPr>
        <w:t>provisional restraint order</w:t>
      </w:r>
      <w:r w:rsidR="004B2915">
        <w:rPr>
          <w:rFonts w:cs="Arial"/>
          <w:i/>
          <w:iCs/>
          <w:szCs w:val="24"/>
        </w:rPr>
        <w:t xml:space="preserve"> </w:t>
      </w:r>
      <w:r w:rsidR="009C0B38">
        <w:rPr>
          <w:rFonts w:cs="Arial"/>
          <w:szCs w:val="24"/>
        </w:rPr>
        <w:t xml:space="preserve">limits the extent of the </w:t>
      </w:r>
      <w:r w:rsidR="00676B67" w:rsidRPr="009C0B38">
        <w:rPr>
          <w:rFonts w:cs="Arial"/>
          <w:szCs w:val="24"/>
        </w:rPr>
        <w:t>realisable property</w:t>
      </w:r>
      <w:r w:rsidR="000B3E4D">
        <w:rPr>
          <w:rFonts w:cs="Arial"/>
          <w:szCs w:val="24"/>
        </w:rPr>
        <w:t xml:space="preserve"> to be</w:t>
      </w:r>
      <w:r w:rsidR="00676B67" w:rsidRPr="009C0B38">
        <w:rPr>
          <w:rFonts w:cs="Arial"/>
          <w:szCs w:val="24"/>
        </w:rPr>
        <w:t xml:space="preserve"> </w:t>
      </w:r>
      <w:r w:rsidR="00677CF2">
        <w:rPr>
          <w:rFonts w:cs="Arial"/>
          <w:szCs w:val="24"/>
        </w:rPr>
        <w:t xml:space="preserve">restrained </w:t>
      </w:r>
      <w:r w:rsidR="00676B67" w:rsidRPr="009C0B38">
        <w:rPr>
          <w:rFonts w:cs="Arial"/>
          <w:szCs w:val="24"/>
        </w:rPr>
        <w:t xml:space="preserve">to </w:t>
      </w:r>
      <w:r w:rsidR="00677CF2">
        <w:rPr>
          <w:rFonts w:cs="Arial"/>
          <w:szCs w:val="24"/>
        </w:rPr>
        <w:t xml:space="preserve">the </w:t>
      </w:r>
      <w:r w:rsidR="00676B67">
        <w:rPr>
          <w:rFonts w:cs="Arial"/>
          <w:szCs w:val="24"/>
        </w:rPr>
        <w:t xml:space="preserve">value of </w:t>
      </w:r>
      <w:r w:rsidR="00676B67" w:rsidRPr="009C0B38">
        <w:rPr>
          <w:rFonts w:cs="Arial"/>
          <w:szCs w:val="24"/>
        </w:rPr>
        <w:t xml:space="preserve"> R100 million.</w:t>
      </w:r>
    </w:p>
    <w:p w14:paraId="44B8098E" w14:textId="020BD310" w:rsidR="00314EC2" w:rsidRDefault="00314EC2" w:rsidP="00B01F1D">
      <w:pPr>
        <w:pStyle w:val="ListParagraph"/>
        <w:numPr>
          <w:ilvl w:val="0"/>
          <w:numId w:val="6"/>
        </w:numPr>
        <w:spacing w:before="480" w:after="0" w:line="480" w:lineRule="auto"/>
        <w:contextualSpacing w:val="0"/>
        <w:rPr>
          <w:rFonts w:cs="Arial"/>
          <w:szCs w:val="24"/>
        </w:rPr>
      </w:pPr>
      <w:r>
        <w:rPr>
          <w:rFonts w:cs="Arial"/>
          <w:szCs w:val="24"/>
        </w:rPr>
        <w:t>The</w:t>
      </w:r>
      <w:r w:rsidR="000F7DE3">
        <w:rPr>
          <w:rFonts w:cs="Arial"/>
          <w:i/>
          <w:iCs/>
          <w:szCs w:val="24"/>
        </w:rPr>
        <w:t xml:space="preserve"> </w:t>
      </w:r>
      <w:r w:rsidR="004A5EF4">
        <w:rPr>
          <w:rFonts w:cs="Arial"/>
          <w:szCs w:val="24"/>
        </w:rPr>
        <w:t xml:space="preserve"> provisional restraint order </w:t>
      </w:r>
      <w:r w:rsidR="005540A3">
        <w:rPr>
          <w:rFonts w:cs="Arial"/>
          <w:szCs w:val="24"/>
        </w:rPr>
        <w:t xml:space="preserve">prohibited the </w:t>
      </w:r>
      <w:r>
        <w:rPr>
          <w:rFonts w:cs="Arial"/>
          <w:szCs w:val="24"/>
        </w:rPr>
        <w:t xml:space="preserve">defendants and respondents from dealing with the property subject to the order. </w:t>
      </w:r>
      <w:r w:rsidR="00234A06">
        <w:rPr>
          <w:rFonts w:cs="Arial"/>
          <w:szCs w:val="24"/>
        </w:rPr>
        <w:t>In addition</w:t>
      </w:r>
      <w:r>
        <w:rPr>
          <w:rFonts w:cs="Arial"/>
          <w:szCs w:val="24"/>
        </w:rPr>
        <w:t>, the restraint order appointed Mr Dhanesvarin Appavoo as a curator bonis charged with the control and supervision of the properties subject to the restraint order.</w:t>
      </w:r>
      <w:r w:rsidR="00536869">
        <w:rPr>
          <w:rStyle w:val="FootnoteReference"/>
          <w:rFonts w:cs="Arial"/>
          <w:szCs w:val="24"/>
        </w:rPr>
        <w:footnoteReference w:id="7"/>
      </w:r>
      <w:r>
        <w:rPr>
          <w:rFonts w:cs="Arial"/>
          <w:szCs w:val="24"/>
        </w:rPr>
        <w:t xml:space="preserve"> </w:t>
      </w:r>
    </w:p>
    <w:p w14:paraId="7DF7E011" w14:textId="64D42671" w:rsidR="00314EC2" w:rsidRDefault="00314EC2" w:rsidP="00B01F1D">
      <w:pPr>
        <w:pStyle w:val="ListParagraph"/>
        <w:numPr>
          <w:ilvl w:val="0"/>
          <w:numId w:val="6"/>
        </w:numPr>
        <w:spacing w:before="480" w:after="0" w:line="480" w:lineRule="auto"/>
        <w:contextualSpacing w:val="0"/>
        <w:rPr>
          <w:rFonts w:cs="Arial"/>
          <w:szCs w:val="24"/>
        </w:rPr>
      </w:pPr>
      <w:r>
        <w:rPr>
          <w:rFonts w:cs="Arial"/>
          <w:szCs w:val="24"/>
        </w:rPr>
        <w:t>On 30 August 2022, the</w:t>
      </w:r>
      <w:r w:rsidR="00791731">
        <w:rPr>
          <w:rFonts w:cs="Arial"/>
          <w:i/>
          <w:iCs/>
          <w:szCs w:val="24"/>
        </w:rPr>
        <w:t xml:space="preserve"> </w:t>
      </w:r>
      <w:r w:rsidR="004A5EF4">
        <w:rPr>
          <w:rFonts w:cs="Arial"/>
          <w:szCs w:val="24"/>
        </w:rPr>
        <w:t xml:space="preserve">provisional restraint order and </w:t>
      </w:r>
      <w:r w:rsidR="004A5EF4">
        <w:rPr>
          <w:rFonts w:cs="Arial"/>
          <w:i/>
          <w:iCs/>
          <w:szCs w:val="24"/>
        </w:rPr>
        <w:t>rule nisi</w:t>
      </w:r>
      <w:r w:rsidR="00791731">
        <w:rPr>
          <w:rFonts w:cs="Arial"/>
          <w:i/>
          <w:iCs/>
          <w:szCs w:val="24"/>
        </w:rPr>
        <w:t xml:space="preserve"> </w:t>
      </w:r>
      <w:r>
        <w:rPr>
          <w:rFonts w:cs="Arial"/>
          <w:szCs w:val="24"/>
        </w:rPr>
        <w:t>w</w:t>
      </w:r>
      <w:r w:rsidR="00791731">
        <w:rPr>
          <w:rFonts w:cs="Arial"/>
          <w:szCs w:val="24"/>
        </w:rPr>
        <w:t>as</w:t>
      </w:r>
      <w:r>
        <w:rPr>
          <w:rFonts w:cs="Arial"/>
          <w:szCs w:val="24"/>
        </w:rPr>
        <w:t xml:space="preserve"> made absolute as against the second defendant, fourth defendant, fifth defendant, tenth defendant and third respondent.</w:t>
      </w:r>
    </w:p>
    <w:p w14:paraId="5193E674" w14:textId="069D74F8" w:rsidR="00314EC2" w:rsidRDefault="00314EC2" w:rsidP="00B01F1D">
      <w:pPr>
        <w:pStyle w:val="ListParagraph"/>
        <w:numPr>
          <w:ilvl w:val="0"/>
          <w:numId w:val="6"/>
        </w:numPr>
        <w:spacing w:before="480" w:after="0" w:line="480" w:lineRule="auto"/>
        <w:contextualSpacing w:val="0"/>
        <w:rPr>
          <w:rFonts w:cs="Arial"/>
          <w:szCs w:val="24"/>
        </w:rPr>
      </w:pPr>
      <w:r>
        <w:rPr>
          <w:rFonts w:cs="Arial"/>
          <w:szCs w:val="24"/>
        </w:rPr>
        <w:t xml:space="preserve">On 13 September 2022, the </w:t>
      </w:r>
      <w:r w:rsidR="004154CC">
        <w:rPr>
          <w:rFonts w:cs="Arial"/>
          <w:szCs w:val="24"/>
        </w:rPr>
        <w:t>provisional restraint order</w:t>
      </w:r>
      <w:r w:rsidR="00791731">
        <w:rPr>
          <w:rFonts w:cs="Arial"/>
          <w:szCs w:val="24"/>
        </w:rPr>
        <w:t xml:space="preserve"> was </w:t>
      </w:r>
      <w:r>
        <w:rPr>
          <w:rFonts w:cs="Arial"/>
          <w:szCs w:val="24"/>
        </w:rPr>
        <w:t>confirmed as against the seventh defendant, the eighth defendant, the sixth respondent and the fourteenth respondent.</w:t>
      </w:r>
    </w:p>
    <w:p w14:paraId="6B581621" w14:textId="765285A9" w:rsidR="003B2999" w:rsidRDefault="00314EC2" w:rsidP="003B2999">
      <w:pPr>
        <w:pStyle w:val="ListParagraph"/>
        <w:numPr>
          <w:ilvl w:val="0"/>
          <w:numId w:val="6"/>
        </w:numPr>
        <w:spacing w:before="480" w:after="0" w:line="480" w:lineRule="auto"/>
        <w:contextualSpacing w:val="0"/>
        <w:rPr>
          <w:rFonts w:cs="Arial"/>
          <w:szCs w:val="24"/>
        </w:rPr>
      </w:pPr>
      <w:r>
        <w:rPr>
          <w:rFonts w:cs="Arial"/>
          <w:szCs w:val="24"/>
        </w:rPr>
        <w:t xml:space="preserve">At the commencement of these proceedings, </w:t>
      </w:r>
      <w:r w:rsidR="003B2999">
        <w:rPr>
          <w:rFonts w:cs="Arial"/>
          <w:szCs w:val="24"/>
        </w:rPr>
        <w:t xml:space="preserve">counsel for </w:t>
      </w:r>
      <w:r>
        <w:rPr>
          <w:rFonts w:cs="Arial"/>
          <w:szCs w:val="24"/>
        </w:rPr>
        <w:t>NDPP</w:t>
      </w:r>
      <w:r w:rsidR="003B2999">
        <w:rPr>
          <w:rFonts w:cs="Arial"/>
          <w:szCs w:val="24"/>
        </w:rPr>
        <w:t xml:space="preserve"> </w:t>
      </w:r>
      <w:r>
        <w:rPr>
          <w:rFonts w:cs="Arial"/>
          <w:szCs w:val="24"/>
        </w:rPr>
        <w:t xml:space="preserve"> requested that</w:t>
      </w:r>
      <w:r w:rsidR="003B2999">
        <w:rPr>
          <w:rFonts w:cs="Arial"/>
          <w:szCs w:val="24"/>
        </w:rPr>
        <w:t>, by agreement between the representative of the NDPP and representatives of the respective defendants and respondents</w:t>
      </w:r>
      <w:r w:rsidR="00651D6E">
        <w:rPr>
          <w:rStyle w:val="FootnoteReference"/>
          <w:rFonts w:cs="Arial"/>
          <w:szCs w:val="24"/>
        </w:rPr>
        <w:footnoteReference w:id="8"/>
      </w:r>
      <w:r w:rsidR="003B2999">
        <w:rPr>
          <w:rFonts w:cs="Arial"/>
          <w:szCs w:val="24"/>
        </w:rPr>
        <w:t>,</w:t>
      </w:r>
    </w:p>
    <w:p w14:paraId="74875CB8" w14:textId="7AC791B2" w:rsidR="00031626" w:rsidRDefault="00314EC2" w:rsidP="00B01F1D">
      <w:pPr>
        <w:pStyle w:val="ListParagraph"/>
        <w:numPr>
          <w:ilvl w:val="1"/>
          <w:numId w:val="6"/>
        </w:numPr>
        <w:spacing w:before="480" w:after="0" w:line="480" w:lineRule="auto"/>
        <w:contextualSpacing w:val="0"/>
        <w:rPr>
          <w:rFonts w:cs="Arial"/>
          <w:szCs w:val="24"/>
        </w:rPr>
      </w:pPr>
      <w:r>
        <w:rPr>
          <w:rFonts w:cs="Arial"/>
          <w:szCs w:val="24"/>
        </w:rPr>
        <w:t>the</w:t>
      </w:r>
      <w:r w:rsidR="00F97D7F">
        <w:rPr>
          <w:rFonts w:cs="Arial"/>
          <w:i/>
          <w:iCs/>
          <w:szCs w:val="24"/>
        </w:rPr>
        <w:t xml:space="preserve"> </w:t>
      </w:r>
      <w:r w:rsidR="002949B6">
        <w:rPr>
          <w:rFonts w:cs="Arial"/>
          <w:szCs w:val="24"/>
        </w:rPr>
        <w:t xml:space="preserve"> provisional restraint order</w:t>
      </w:r>
      <w:r w:rsidR="00F97D7F">
        <w:rPr>
          <w:rFonts w:cs="Arial"/>
          <w:i/>
          <w:iCs/>
          <w:szCs w:val="24"/>
        </w:rPr>
        <w:t xml:space="preserve"> </w:t>
      </w:r>
      <w:r>
        <w:rPr>
          <w:rFonts w:cs="Arial"/>
          <w:szCs w:val="24"/>
        </w:rPr>
        <w:t xml:space="preserve">was made final and absolute as against the first, third, sixth and ninth defendants; </w:t>
      </w:r>
    </w:p>
    <w:p w14:paraId="12EAB1EB" w14:textId="6A3BF0FE" w:rsidR="00314EC2" w:rsidRDefault="00314EC2" w:rsidP="00B01F1D">
      <w:pPr>
        <w:pStyle w:val="ListParagraph"/>
        <w:numPr>
          <w:ilvl w:val="1"/>
          <w:numId w:val="6"/>
        </w:numPr>
        <w:spacing w:before="480" w:after="0" w:line="480" w:lineRule="auto"/>
        <w:contextualSpacing w:val="0"/>
        <w:rPr>
          <w:rFonts w:cs="Arial"/>
          <w:szCs w:val="24"/>
        </w:rPr>
      </w:pPr>
      <w:r>
        <w:rPr>
          <w:rFonts w:cs="Arial"/>
          <w:szCs w:val="24"/>
        </w:rPr>
        <w:lastRenderedPageBreak/>
        <w:t xml:space="preserve">the </w:t>
      </w:r>
      <w:r w:rsidR="002949B6">
        <w:rPr>
          <w:rFonts w:cs="Arial"/>
          <w:szCs w:val="24"/>
        </w:rPr>
        <w:t xml:space="preserve">provisional restraint order </w:t>
      </w:r>
      <w:r w:rsidR="00AC0860" w:rsidRPr="00AC0860">
        <w:rPr>
          <w:rFonts w:cs="Arial"/>
          <w:szCs w:val="24"/>
        </w:rPr>
        <w:t>was</w:t>
      </w:r>
      <w:r w:rsidRPr="00AC0860">
        <w:rPr>
          <w:rFonts w:cs="Arial"/>
          <w:szCs w:val="24"/>
        </w:rPr>
        <w:t xml:space="preserve"> </w:t>
      </w:r>
      <w:r>
        <w:rPr>
          <w:rFonts w:cs="Arial"/>
          <w:szCs w:val="24"/>
        </w:rPr>
        <w:t xml:space="preserve">made final and absolute as against the first and second respondents; </w:t>
      </w:r>
    </w:p>
    <w:p w14:paraId="0D337F51" w14:textId="3BA6F7D2" w:rsidR="00031626" w:rsidRDefault="00031626" w:rsidP="00B01F1D">
      <w:pPr>
        <w:pStyle w:val="ListParagraph"/>
        <w:numPr>
          <w:ilvl w:val="1"/>
          <w:numId w:val="6"/>
        </w:numPr>
        <w:spacing w:before="480" w:after="0" w:line="480" w:lineRule="auto"/>
        <w:contextualSpacing w:val="0"/>
        <w:rPr>
          <w:rFonts w:cs="Arial"/>
          <w:szCs w:val="24"/>
        </w:rPr>
      </w:pPr>
      <w:r>
        <w:rPr>
          <w:rFonts w:cs="Arial"/>
          <w:szCs w:val="24"/>
        </w:rPr>
        <w:t xml:space="preserve">the </w:t>
      </w:r>
      <w:r w:rsidR="002949B6">
        <w:rPr>
          <w:rFonts w:cs="Arial"/>
          <w:szCs w:val="24"/>
        </w:rPr>
        <w:t>provisional restraint order</w:t>
      </w:r>
      <w:r w:rsidR="00AC0860">
        <w:rPr>
          <w:rFonts w:cs="Arial"/>
          <w:i/>
          <w:iCs/>
          <w:szCs w:val="24"/>
        </w:rPr>
        <w:t xml:space="preserve"> </w:t>
      </w:r>
      <w:r>
        <w:rPr>
          <w:rFonts w:cs="Arial"/>
          <w:szCs w:val="24"/>
        </w:rPr>
        <w:t>is discharged against the fourth and fifth respondents, with costs on an attorney and client scale;</w:t>
      </w:r>
    </w:p>
    <w:p w14:paraId="71E87B7D" w14:textId="0F7E0D22" w:rsidR="00031626" w:rsidRDefault="00031626" w:rsidP="00B01F1D">
      <w:pPr>
        <w:pStyle w:val="ListParagraph"/>
        <w:numPr>
          <w:ilvl w:val="1"/>
          <w:numId w:val="6"/>
        </w:numPr>
        <w:spacing w:before="480" w:after="0" w:line="480" w:lineRule="auto"/>
        <w:contextualSpacing w:val="0"/>
        <w:rPr>
          <w:rFonts w:cs="Arial"/>
          <w:szCs w:val="24"/>
        </w:rPr>
      </w:pPr>
      <w:r>
        <w:rPr>
          <w:rFonts w:cs="Arial"/>
          <w:szCs w:val="24"/>
        </w:rPr>
        <w:t xml:space="preserve">the </w:t>
      </w:r>
      <w:r w:rsidR="002949B6">
        <w:rPr>
          <w:rFonts w:cs="Arial"/>
          <w:szCs w:val="24"/>
        </w:rPr>
        <w:t>provisional restraint order</w:t>
      </w:r>
      <w:r w:rsidR="00F27C29">
        <w:rPr>
          <w:rFonts w:cs="Arial"/>
          <w:i/>
          <w:iCs/>
          <w:szCs w:val="24"/>
        </w:rPr>
        <w:t xml:space="preserve"> </w:t>
      </w:r>
      <w:r w:rsidR="00F27C29">
        <w:rPr>
          <w:rFonts w:cs="Arial"/>
          <w:szCs w:val="24"/>
        </w:rPr>
        <w:t>is</w:t>
      </w:r>
      <w:r>
        <w:rPr>
          <w:rFonts w:cs="Arial"/>
          <w:szCs w:val="24"/>
        </w:rPr>
        <w:t xml:space="preserve"> discharged against the se</w:t>
      </w:r>
      <w:r w:rsidR="007E2D39">
        <w:rPr>
          <w:rFonts w:cs="Arial"/>
          <w:szCs w:val="24"/>
        </w:rPr>
        <w:t>venth</w:t>
      </w:r>
      <w:r>
        <w:rPr>
          <w:rFonts w:cs="Arial"/>
          <w:szCs w:val="24"/>
        </w:rPr>
        <w:t xml:space="preserve"> respondent, with no order as to costs;</w:t>
      </w:r>
    </w:p>
    <w:p w14:paraId="68F11C06" w14:textId="71CA7CA8" w:rsidR="007E2D39" w:rsidRDefault="00031626" w:rsidP="00B01F1D">
      <w:pPr>
        <w:pStyle w:val="ListParagraph"/>
        <w:numPr>
          <w:ilvl w:val="1"/>
          <w:numId w:val="6"/>
        </w:numPr>
        <w:spacing w:before="480" w:after="0" w:line="480" w:lineRule="auto"/>
        <w:contextualSpacing w:val="0"/>
        <w:rPr>
          <w:rFonts w:cs="Arial"/>
          <w:szCs w:val="24"/>
        </w:rPr>
      </w:pPr>
      <w:r>
        <w:rPr>
          <w:rFonts w:cs="Arial"/>
          <w:szCs w:val="24"/>
        </w:rPr>
        <w:t xml:space="preserve">the </w:t>
      </w:r>
      <w:r w:rsidR="002949B6">
        <w:rPr>
          <w:rFonts w:cs="Arial"/>
          <w:szCs w:val="24"/>
        </w:rPr>
        <w:t xml:space="preserve"> provisional restraint order </w:t>
      </w:r>
      <w:r w:rsidR="00F27C29">
        <w:rPr>
          <w:rFonts w:cs="Arial"/>
          <w:i/>
          <w:iCs/>
          <w:szCs w:val="24"/>
        </w:rPr>
        <w:t xml:space="preserve"> i</w:t>
      </w:r>
      <w:r>
        <w:rPr>
          <w:rFonts w:cs="Arial"/>
          <w:szCs w:val="24"/>
        </w:rPr>
        <w:t xml:space="preserve">s confirmed over </w:t>
      </w:r>
      <w:r w:rsidR="007E2D39">
        <w:rPr>
          <w:rFonts w:cs="Arial"/>
          <w:szCs w:val="24"/>
        </w:rPr>
        <w:t>:</w:t>
      </w:r>
    </w:p>
    <w:p w14:paraId="4F13F0D9" w14:textId="7DA2C875" w:rsidR="00031626" w:rsidRDefault="00031626" w:rsidP="007E2D39">
      <w:pPr>
        <w:pStyle w:val="ListParagraph"/>
        <w:numPr>
          <w:ilvl w:val="2"/>
          <w:numId w:val="6"/>
        </w:numPr>
        <w:spacing w:before="480" w:after="0" w:line="480" w:lineRule="auto"/>
        <w:contextualSpacing w:val="0"/>
        <w:rPr>
          <w:rFonts w:cs="Arial"/>
          <w:szCs w:val="24"/>
        </w:rPr>
      </w:pPr>
      <w:r>
        <w:rPr>
          <w:rFonts w:cs="Arial"/>
          <w:szCs w:val="24"/>
        </w:rPr>
        <w:t>an amount of R52 500.00 deposited into the trust account of the curator by the eleventh respondent on behalf of the seventh defendant; and</w:t>
      </w:r>
    </w:p>
    <w:p w14:paraId="4123CCD3" w14:textId="35F676A4" w:rsidR="00031626" w:rsidRDefault="00031626" w:rsidP="007E2D39">
      <w:pPr>
        <w:pStyle w:val="ListParagraph"/>
        <w:numPr>
          <w:ilvl w:val="2"/>
          <w:numId w:val="6"/>
        </w:numPr>
        <w:spacing w:before="480" w:after="0" w:line="480" w:lineRule="auto"/>
        <w:contextualSpacing w:val="0"/>
        <w:rPr>
          <w:rFonts w:cs="Arial"/>
          <w:szCs w:val="24"/>
        </w:rPr>
      </w:pPr>
      <w:r>
        <w:rPr>
          <w:rFonts w:cs="Arial"/>
          <w:szCs w:val="24"/>
        </w:rPr>
        <w:t>the shareholding held by the seventh defendant and fourteenth respondent in the seventeenth respondent, which was handed into the possession of the curator, held in trust;</w:t>
      </w:r>
    </w:p>
    <w:p w14:paraId="4B324FEA" w14:textId="35D8CEE4" w:rsidR="00031626" w:rsidRDefault="00031626" w:rsidP="00B01F1D">
      <w:pPr>
        <w:pStyle w:val="ListParagraph"/>
        <w:numPr>
          <w:ilvl w:val="1"/>
          <w:numId w:val="6"/>
        </w:numPr>
        <w:spacing w:before="480" w:after="0" w:line="480" w:lineRule="auto"/>
        <w:contextualSpacing w:val="0"/>
        <w:rPr>
          <w:rFonts w:cs="Arial"/>
          <w:szCs w:val="24"/>
        </w:rPr>
      </w:pPr>
      <w:r>
        <w:rPr>
          <w:rFonts w:cs="Arial"/>
          <w:szCs w:val="24"/>
        </w:rPr>
        <w:t>that the</w:t>
      </w:r>
      <w:r w:rsidR="00F36758">
        <w:rPr>
          <w:rFonts w:cs="Arial"/>
          <w:szCs w:val="24"/>
        </w:rPr>
        <w:t xml:space="preserve"> provisional restraint order and </w:t>
      </w:r>
      <w:r w:rsidR="00F36758">
        <w:rPr>
          <w:rFonts w:cs="Arial"/>
          <w:i/>
          <w:iCs/>
          <w:szCs w:val="24"/>
        </w:rPr>
        <w:t>r</w:t>
      </w:r>
      <w:r w:rsidR="007E2D39">
        <w:rPr>
          <w:rFonts w:cs="Arial"/>
          <w:i/>
          <w:iCs/>
          <w:szCs w:val="24"/>
        </w:rPr>
        <w:t xml:space="preserve">ule </w:t>
      </w:r>
      <w:r w:rsidR="00F36758">
        <w:rPr>
          <w:rFonts w:cs="Arial"/>
          <w:i/>
          <w:iCs/>
          <w:szCs w:val="24"/>
        </w:rPr>
        <w:t>n</w:t>
      </w:r>
      <w:r w:rsidR="007E2D39">
        <w:rPr>
          <w:rFonts w:cs="Arial"/>
          <w:i/>
          <w:iCs/>
          <w:szCs w:val="24"/>
        </w:rPr>
        <w:t xml:space="preserve">isi </w:t>
      </w:r>
      <w:r>
        <w:rPr>
          <w:rFonts w:cs="Arial"/>
          <w:szCs w:val="24"/>
        </w:rPr>
        <w:t>is discharged against the eleventh, fifteenth and seventeenth respondents.</w:t>
      </w:r>
    </w:p>
    <w:p w14:paraId="7180DC17" w14:textId="63461F68" w:rsidR="00BD7D03" w:rsidRDefault="004812C8" w:rsidP="00B01F1D">
      <w:pPr>
        <w:pStyle w:val="ListParagraph"/>
        <w:numPr>
          <w:ilvl w:val="0"/>
          <w:numId w:val="6"/>
        </w:numPr>
        <w:spacing w:before="480" w:after="0" w:line="480" w:lineRule="auto"/>
        <w:contextualSpacing w:val="0"/>
        <w:rPr>
          <w:rFonts w:cs="Arial"/>
          <w:szCs w:val="24"/>
        </w:rPr>
      </w:pPr>
      <w:r w:rsidRPr="00BF704C">
        <w:rPr>
          <w:rFonts w:cs="Arial"/>
          <w:szCs w:val="24"/>
        </w:rPr>
        <w:t>The result of the</w:t>
      </w:r>
      <w:r w:rsidR="00E2039B">
        <w:rPr>
          <w:rFonts w:cs="Arial"/>
          <w:szCs w:val="24"/>
        </w:rPr>
        <w:t>se</w:t>
      </w:r>
      <w:r w:rsidRPr="00BF704C">
        <w:rPr>
          <w:rFonts w:cs="Arial"/>
          <w:szCs w:val="24"/>
        </w:rPr>
        <w:t xml:space="preserve"> orders, is that the</w:t>
      </w:r>
      <w:r w:rsidR="000229D0">
        <w:rPr>
          <w:rFonts w:cs="Arial"/>
          <w:szCs w:val="24"/>
        </w:rPr>
        <w:t xml:space="preserve"> provisional restraint order </w:t>
      </w:r>
      <w:r w:rsidRPr="00BF704C">
        <w:rPr>
          <w:rFonts w:cs="Arial"/>
          <w:szCs w:val="24"/>
        </w:rPr>
        <w:t xml:space="preserve">has been declared absolute as against </w:t>
      </w:r>
      <w:r w:rsidR="00BD7D03">
        <w:rPr>
          <w:rFonts w:cs="Arial"/>
          <w:szCs w:val="24"/>
        </w:rPr>
        <w:t>:</w:t>
      </w:r>
    </w:p>
    <w:p w14:paraId="17CD3628" w14:textId="0514294B" w:rsidR="00B01F1D" w:rsidRDefault="004812C8" w:rsidP="00BD7D03">
      <w:pPr>
        <w:pStyle w:val="ListParagraph"/>
        <w:numPr>
          <w:ilvl w:val="1"/>
          <w:numId w:val="6"/>
        </w:numPr>
        <w:spacing w:before="480" w:after="0" w:line="480" w:lineRule="auto"/>
        <w:contextualSpacing w:val="0"/>
        <w:rPr>
          <w:rFonts w:cs="Arial"/>
          <w:szCs w:val="24"/>
        </w:rPr>
      </w:pPr>
      <w:r w:rsidRPr="00BF704C">
        <w:rPr>
          <w:rFonts w:cs="Arial"/>
          <w:szCs w:val="24"/>
        </w:rPr>
        <w:lastRenderedPageBreak/>
        <w:t xml:space="preserve">all of the defendants, </w:t>
      </w:r>
      <w:r w:rsidR="00D116F8">
        <w:rPr>
          <w:rFonts w:cs="Arial"/>
          <w:szCs w:val="24"/>
        </w:rPr>
        <w:t>who are</w:t>
      </w:r>
      <w:r w:rsidRPr="00BF704C">
        <w:rPr>
          <w:rFonts w:cs="Arial"/>
          <w:szCs w:val="24"/>
        </w:rPr>
        <w:t xml:space="preserve"> the accused in the pending criminal trial</w:t>
      </w:r>
      <w:r w:rsidR="00BD7D03">
        <w:rPr>
          <w:rFonts w:cs="Arial"/>
          <w:szCs w:val="24"/>
        </w:rPr>
        <w:t xml:space="preserve"> </w:t>
      </w:r>
      <w:r w:rsidRPr="00BF704C">
        <w:rPr>
          <w:rFonts w:cs="Arial"/>
          <w:szCs w:val="24"/>
        </w:rPr>
        <w:t>before this court</w:t>
      </w:r>
      <w:r w:rsidR="001B4CDC">
        <w:rPr>
          <w:rFonts w:cs="Arial"/>
          <w:szCs w:val="24"/>
        </w:rPr>
        <w:t>.</w:t>
      </w:r>
    </w:p>
    <w:p w14:paraId="3529ACE7" w14:textId="6BEBC736" w:rsidR="00B01F1D" w:rsidRDefault="00A23670" w:rsidP="00BD7D03">
      <w:pPr>
        <w:pStyle w:val="ListParagraph"/>
        <w:numPr>
          <w:ilvl w:val="1"/>
          <w:numId w:val="6"/>
        </w:numPr>
        <w:spacing w:before="480" w:after="0" w:line="480" w:lineRule="auto"/>
        <w:contextualSpacing w:val="0"/>
        <w:rPr>
          <w:rFonts w:cs="Arial"/>
          <w:szCs w:val="24"/>
        </w:rPr>
      </w:pPr>
      <w:r w:rsidRPr="00BF704C">
        <w:rPr>
          <w:rFonts w:cs="Arial"/>
          <w:szCs w:val="24"/>
        </w:rPr>
        <w:t>the</w:t>
      </w:r>
      <w:r>
        <w:rPr>
          <w:rFonts w:cs="Arial"/>
          <w:szCs w:val="24"/>
        </w:rPr>
        <w:t xml:space="preserve"> first</w:t>
      </w:r>
      <w:r w:rsidR="00031626">
        <w:rPr>
          <w:rFonts w:cs="Arial"/>
          <w:szCs w:val="24"/>
        </w:rPr>
        <w:t>, second, t</w:t>
      </w:r>
      <w:r w:rsidR="00291A08">
        <w:rPr>
          <w:rFonts w:cs="Arial"/>
          <w:szCs w:val="24"/>
        </w:rPr>
        <w:t>hird,</w:t>
      </w:r>
      <w:r w:rsidR="00031626">
        <w:rPr>
          <w:rFonts w:cs="Arial"/>
          <w:szCs w:val="24"/>
        </w:rPr>
        <w:t xml:space="preserve"> sixth</w:t>
      </w:r>
      <w:r w:rsidR="00291A08">
        <w:rPr>
          <w:rFonts w:cs="Arial"/>
          <w:szCs w:val="24"/>
        </w:rPr>
        <w:t xml:space="preserve"> and fourteenth</w:t>
      </w:r>
      <w:r w:rsidR="00314EC2">
        <w:rPr>
          <w:rFonts w:cs="Arial"/>
          <w:szCs w:val="24"/>
        </w:rPr>
        <w:t xml:space="preserve"> </w:t>
      </w:r>
      <w:r w:rsidR="004812C8" w:rsidRPr="00BF704C">
        <w:rPr>
          <w:rFonts w:cs="Arial"/>
          <w:szCs w:val="24"/>
        </w:rPr>
        <w:t>respondents</w:t>
      </w:r>
      <w:r w:rsidR="001B4CDC">
        <w:rPr>
          <w:rFonts w:cs="Arial"/>
          <w:szCs w:val="24"/>
        </w:rPr>
        <w:t>.</w:t>
      </w:r>
    </w:p>
    <w:p w14:paraId="5DBA8027" w14:textId="03C900D5" w:rsidR="00B01F1D" w:rsidRDefault="00031626" w:rsidP="00B01F1D">
      <w:pPr>
        <w:pStyle w:val="ListParagraph"/>
        <w:numPr>
          <w:ilvl w:val="0"/>
          <w:numId w:val="6"/>
        </w:numPr>
        <w:spacing w:before="480" w:after="0" w:line="480" w:lineRule="auto"/>
        <w:contextualSpacing w:val="0"/>
        <w:rPr>
          <w:rFonts w:cs="Arial"/>
          <w:szCs w:val="24"/>
        </w:rPr>
      </w:pPr>
      <w:r>
        <w:rPr>
          <w:rFonts w:cs="Arial"/>
          <w:szCs w:val="24"/>
        </w:rPr>
        <w:t>T</w:t>
      </w:r>
      <w:r w:rsidR="004812C8" w:rsidRPr="00BF704C">
        <w:rPr>
          <w:rFonts w:cs="Arial"/>
          <w:szCs w:val="24"/>
        </w:rPr>
        <w:t xml:space="preserve">he only remaining respondents </w:t>
      </w:r>
      <w:r>
        <w:rPr>
          <w:rFonts w:cs="Arial"/>
          <w:szCs w:val="24"/>
        </w:rPr>
        <w:t>who</w:t>
      </w:r>
      <w:r w:rsidRPr="00BF704C">
        <w:rPr>
          <w:rFonts w:cs="Arial"/>
          <w:szCs w:val="24"/>
        </w:rPr>
        <w:t xml:space="preserve"> </w:t>
      </w:r>
      <w:r w:rsidR="004812C8" w:rsidRPr="00BF704C">
        <w:rPr>
          <w:rFonts w:cs="Arial"/>
          <w:szCs w:val="24"/>
        </w:rPr>
        <w:t>dispute the confirmation of the</w:t>
      </w:r>
      <w:r w:rsidR="00725D03">
        <w:rPr>
          <w:rFonts w:cs="Arial"/>
          <w:szCs w:val="24"/>
        </w:rPr>
        <w:t xml:space="preserve"> </w:t>
      </w:r>
      <w:r w:rsidR="000229D0">
        <w:rPr>
          <w:rFonts w:cs="Arial"/>
          <w:szCs w:val="24"/>
        </w:rPr>
        <w:t xml:space="preserve">provisional restraint order </w:t>
      </w:r>
      <w:r w:rsidR="004812C8" w:rsidRPr="00BF704C">
        <w:rPr>
          <w:rFonts w:cs="Arial"/>
          <w:szCs w:val="24"/>
        </w:rPr>
        <w:t>are</w:t>
      </w:r>
      <w:r>
        <w:rPr>
          <w:rFonts w:cs="Arial"/>
          <w:szCs w:val="24"/>
        </w:rPr>
        <w:t xml:space="preserve"> the eighth, ninth, tenth, twelfth, thirteen, sixteenth, eighteenth and nineteenth respondents</w:t>
      </w:r>
      <w:r w:rsidR="00EE5B98" w:rsidRPr="00BF704C">
        <w:rPr>
          <w:rFonts w:cs="Arial"/>
          <w:szCs w:val="24"/>
        </w:rPr>
        <w:t xml:space="preserve"> (“the respondent entit</w:t>
      </w:r>
      <w:r>
        <w:rPr>
          <w:rFonts w:cs="Arial"/>
          <w:szCs w:val="24"/>
        </w:rPr>
        <w:t>i</w:t>
      </w:r>
      <w:r w:rsidR="00EE5B98" w:rsidRPr="00BF704C">
        <w:rPr>
          <w:rFonts w:cs="Arial"/>
          <w:szCs w:val="24"/>
        </w:rPr>
        <w:t>es”)</w:t>
      </w:r>
      <w:r>
        <w:rPr>
          <w:rFonts w:cs="Arial"/>
          <w:szCs w:val="24"/>
        </w:rPr>
        <w:t>.</w:t>
      </w:r>
    </w:p>
    <w:p w14:paraId="18A0DFAB" w14:textId="1ABE7E55" w:rsidR="004812C8" w:rsidRDefault="004812C8" w:rsidP="00B01F1D">
      <w:pPr>
        <w:pStyle w:val="ListParagraph"/>
        <w:numPr>
          <w:ilvl w:val="0"/>
          <w:numId w:val="6"/>
        </w:numPr>
        <w:spacing w:before="480" w:after="0" w:line="480" w:lineRule="auto"/>
        <w:contextualSpacing w:val="0"/>
        <w:rPr>
          <w:rFonts w:cs="Arial"/>
          <w:szCs w:val="24"/>
        </w:rPr>
      </w:pPr>
      <w:r w:rsidRPr="00BF704C">
        <w:rPr>
          <w:rFonts w:cs="Arial"/>
          <w:szCs w:val="24"/>
        </w:rPr>
        <w:t>The respondent</w:t>
      </w:r>
      <w:r w:rsidR="00031626">
        <w:rPr>
          <w:rFonts w:cs="Arial"/>
          <w:szCs w:val="24"/>
        </w:rPr>
        <w:t xml:space="preserve"> entities</w:t>
      </w:r>
      <w:r w:rsidRPr="00BF704C">
        <w:rPr>
          <w:rFonts w:cs="Arial"/>
          <w:szCs w:val="24"/>
        </w:rPr>
        <w:t xml:space="preserve"> </w:t>
      </w:r>
      <w:r w:rsidR="00A6657D">
        <w:rPr>
          <w:rFonts w:cs="Arial"/>
          <w:szCs w:val="24"/>
        </w:rPr>
        <w:t>argue</w:t>
      </w:r>
      <w:r w:rsidRPr="00BF704C">
        <w:rPr>
          <w:rFonts w:cs="Arial"/>
          <w:szCs w:val="24"/>
        </w:rPr>
        <w:t xml:space="preserve"> that the</w:t>
      </w:r>
      <w:r w:rsidR="00BC076B">
        <w:rPr>
          <w:rFonts w:cs="Arial"/>
          <w:szCs w:val="24"/>
        </w:rPr>
        <w:t xml:space="preserve"> NDPP </w:t>
      </w:r>
      <w:r w:rsidR="0036577E">
        <w:rPr>
          <w:rFonts w:cs="Arial"/>
          <w:szCs w:val="24"/>
        </w:rPr>
        <w:t xml:space="preserve">has not met the requirements for the confirmation of </w:t>
      </w:r>
      <w:r w:rsidR="007D4AB0">
        <w:rPr>
          <w:rFonts w:cs="Arial"/>
          <w:szCs w:val="24"/>
        </w:rPr>
        <w:t xml:space="preserve">the provisional </w:t>
      </w:r>
      <w:r w:rsidR="0036577E">
        <w:rPr>
          <w:rFonts w:cs="Arial"/>
          <w:szCs w:val="24"/>
        </w:rPr>
        <w:t xml:space="preserve">restraint order in that she has failed to prove on a balance of probabilities that </w:t>
      </w:r>
      <w:r w:rsidR="006F47CA">
        <w:rPr>
          <w:rFonts w:cs="Arial"/>
          <w:szCs w:val="24"/>
        </w:rPr>
        <w:t>any of the respondent entities acquired “</w:t>
      </w:r>
      <w:r w:rsidR="006F47CA">
        <w:rPr>
          <w:rFonts w:cs="Arial"/>
          <w:i/>
          <w:iCs/>
          <w:szCs w:val="24"/>
        </w:rPr>
        <w:t xml:space="preserve">affected gifts” </w:t>
      </w:r>
      <w:r w:rsidR="006F47CA" w:rsidRPr="006F47CA">
        <w:rPr>
          <w:rFonts w:cs="Arial"/>
          <w:szCs w:val="24"/>
        </w:rPr>
        <w:t>from the defendants</w:t>
      </w:r>
      <w:r w:rsidR="006F47CA">
        <w:rPr>
          <w:rFonts w:cs="Arial"/>
          <w:i/>
          <w:iCs/>
          <w:szCs w:val="24"/>
        </w:rPr>
        <w:t xml:space="preserve"> </w:t>
      </w:r>
      <w:r w:rsidR="006F47CA">
        <w:rPr>
          <w:rFonts w:cs="Arial"/>
          <w:szCs w:val="24"/>
        </w:rPr>
        <w:t>or hold</w:t>
      </w:r>
      <w:r w:rsidR="007F7E13">
        <w:rPr>
          <w:rFonts w:cs="Arial"/>
          <w:szCs w:val="24"/>
        </w:rPr>
        <w:t xml:space="preserve"> </w:t>
      </w:r>
      <w:r w:rsidR="00031626">
        <w:rPr>
          <w:rFonts w:cs="Arial"/>
          <w:szCs w:val="24"/>
        </w:rPr>
        <w:t>“</w:t>
      </w:r>
      <w:r w:rsidR="00031626">
        <w:rPr>
          <w:rFonts w:cs="Arial"/>
          <w:i/>
          <w:szCs w:val="24"/>
        </w:rPr>
        <w:t>realisable property</w:t>
      </w:r>
      <w:r w:rsidR="00031626">
        <w:rPr>
          <w:rFonts w:cs="Arial"/>
          <w:szCs w:val="24"/>
        </w:rPr>
        <w:t>”</w:t>
      </w:r>
      <w:r w:rsidR="008B3F5F">
        <w:rPr>
          <w:rFonts w:cs="Arial"/>
          <w:szCs w:val="24"/>
        </w:rPr>
        <w:t xml:space="preserve"> as defined</w:t>
      </w:r>
      <w:r w:rsidR="006F47CA">
        <w:rPr>
          <w:rFonts w:cs="Arial"/>
          <w:szCs w:val="24"/>
        </w:rPr>
        <w:t>.</w:t>
      </w:r>
      <w:r w:rsidR="008B3F5F">
        <w:rPr>
          <w:rFonts w:cs="Arial"/>
          <w:szCs w:val="24"/>
        </w:rPr>
        <w:t xml:space="preserve"> I agree. </w:t>
      </w:r>
    </w:p>
    <w:p w14:paraId="5C48FE2C" w14:textId="45B13B9E" w:rsidR="00AA3B40" w:rsidRPr="00811EC6" w:rsidRDefault="00A83DA6" w:rsidP="00B01F1D">
      <w:pPr>
        <w:pStyle w:val="ListParagraph"/>
        <w:numPr>
          <w:ilvl w:val="0"/>
          <w:numId w:val="6"/>
        </w:numPr>
        <w:spacing w:before="480" w:after="0" w:line="480" w:lineRule="auto"/>
        <w:contextualSpacing w:val="0"/>
        <w:rPr>
          <w:rFonts w:cs="Arial"/>
          <w:szCs w:val="24"/>
        </w:rPr>
      </w:pPr>
      <w:r w:rsidRPr="00811EC6">
        <w:rPr>
          <w:rFonts w:cs="Arial"/>
          <w:szCs w:val="24"/>
        </w:rPr>
        <w:t xml:space="preserve">The NDPP may apply </w:t>
      </w:r>
      <w:r w:rsidRPr="00811EC6">
        <w:rPr>
          <w:rFonts w:cs="Arial"/>
          <w:i/>
          <w:szCs w:val="24"/>
        </w:rPr>
        <w:t>ex parte</w:t>
      </w:r>
      <w:r w:rsidRPr="00811EC6">
        <w:rPr>
          <w:rFonts w:cs="Arial"/>
          <w:szCs w:val="24"/>
        </w:rPr>
        <w:t xml:space="preserve"> for a restraint order against realisable property pending the finalisation of the criminal process.</w:t>
      </w:r>
      <w:r w:rsidRPr="00811EC6">
        <w:rPr>
          <w:rStyle w:val="FootnoteReference"/>
          <w:rFonts w:cs="Arial"/>
          <w:szCs w:val="24"/>
        </w:rPr>
        <w:footnoteReference w:id="9"/>
      </w:r>
      <w:r w:rsidRPr="00811EC6">
        <w:rPr>
          <w:rFonts w:cs="Arial"/>
          <w:szCs w:val="24"/>
        </w:rPr>
        <w:t xml:space="preserve"> To succeed in the confirmation of the provisional restraint order, the NDPP must show that there are “</w:t>
      </w:r>
      <w:bookmarkStart w:id="2" w:name="_Hlk142051740"/>
      <w:r w:rsidRPr="00811EC6">
        <w:rPr>
          <w:rFonts w:cs="Arial"/>
          <w:i/>
          <w:szCs w:val="24"/>
        </w:rPr>
        <w:t xml:space="preserve">reasonable grounds for believing that a </w:t>
      </w:r>
      <w:r w:rsidRPr="001C07A4">
        <w:rPr>
          <w:rFonts w:cs="Arial"/>
          <w:b/>
          <w:bCs/>
          <w:i/>
          <w:szCs w:val="24"/>
        </w:rPr>
        <w:t>confiscation order may be made against the defendant</w:t>
      </w:r>
      <w:bookmarkEnd w:id="2"/>
      <w:r w:rsidRPr="00811EC6">
        <w:rPr>
          <w:rFonts w:cs="Arial"/>
          <w:szCs w:val="24"/>
        </w:rPr>
        <w:t>”</w:t>
      </w:r>
      <w:r w:rsidRPr="00811EC6">
        <w:rPr>
          <w:rStyle w:val="FootnoteReference"/>
          <w:rFonts w:cs="Arial"/>
          <w:szCs w:val="24"/>
        </w:rPr>
        <w:footnoteReference w:id="10"/>
      </w:r>
      <w:r w:rsidR="00DD0F86">
        <w:rPr>
          <w:rFonts w:cs="Arial"/>
          <w:szCs w:val="24"/>
        </w:rPr>
        <w:t>.</w:t>
      </w:r>
      <w:r w:rsidR="001C07A4">
        <w:rPr>
          <w:rFonts w:cs="Arial"/>
          <w:szCs w:val="24"/>
        </w:rPr>
        <w:t xml:space="preserve"> (own emphasis)</w:t>
      </w:r>
    </w:p>
    <w:p w14:paraId="525E8DD4" w14:textId="7B6689F2" w:rsidR="00A83DA6" w:rsidRPr="00811EC6" w:rsidRDefault="00A83DA6" w:rsidP="00B01F1D">
      <w:pPr>
        <w:pStyle w:val="ListParagraph"/>
        <w:numPr>
          <w:ilvl w:val="0"/>
          <w:numId w:val="6"/>
        </w:numPr>
        <w:spacing w:before="480" w:after="0" w:line="480" w:lineRule="auto"/>
        <w:contextualSpacing w:val="0"/>
        <w:rPr>
          <w:rFonts w:cs="Arial"/>
          <w:szCs w:val="24"/>
        </w:rPr>
      </w:pPr>
      <w:r w:rsidRPr="00811EC6">
        <w:rPr>
          <w:rFonts w:cs="Arial"/>
          <w:szCs w:val="24"/>
        </w:rPr>
        <w:t xml:space="preserve">The </w:t>
      </w:r>
      <w:r w:rsidR="00FD14C9">
        <w:rPr>
          <w:rFonts w:cs="Arial"/>
          <w:szCs w:val="24"/>
        </w:rPr>
        <w:t xml:space="preserve">Supreme Court of Appeal, </w:t>
      </w:r>
      <w:r w:rsidR="003C0EBE">
        <w:rPr>
          <w:rFonts w:cs="Arial"/>
          <w:szCs w:val="24"/>
        </w:rPr>
        <w:t>articulated</w:t>
      </w:r>
      <w:r w:rsidR="003C0EBE" w:rsidRPr="003C0EBE">
        <w:rPr>
          <w:rFonts w:cs="Arial"/>
          <w:szCs w:val="24"/>
        </w:rPr>
        <w:t xml:space="preserve"> </w:t>
      </w:r>
      <w:r w:rsidR="003C0EBE" w:rsidRPr="00811EC6">
        <w:rPr>
          <w:rFonts w:cs="Arial"/>
          <w:szCs w:val="24"/>
        </w:rPr>
        <w:t xml:space="preserve">in </w:t>
      </w:r>
      <w:r w:rsidR="003C0EBE" w:rsidRPr="00811EC6">
        <w:rPr>
          <w:rFonts w:cs="Arial"/>
          <w:i/>
          <w:szCs w:val="24"/>
        </w:rPr>
        <w:t>Kyriacou</w:t>
      </w:r>
      <w:r w:rsidR="003C0EBE">
        <w:rPr>
          <w:rFonts w:cs="Arial"/>
          <w:i/>
          <w:szCs w:val="24"/>
        </w:rPr>
        <w:t>,</w:t>
      </w:r>
      <w:r w:rsidR="003C0EBE" w:rsidRPr="00811EC6">
        <w:rPr>
          <w:rStyle w:val="FootnoteReference"/>
          <w:rFonts w:cs="Arial"/>
          <w:szCs w:val="24"/>
        </w:rPr>
        <w:footnoteReference w:id="11"/>
      </w:r>
      <w:r w:rsidR="003C0EBE">
        <w:rPr>
          <w:rFonts w:cs="Arial"/>
          <w:szCs w:val="24"/>
        </w:rPr>
        <w:t xml:space="preserve"> </w:t>
      </w:r>
      <w:r w:rsidR="00CD6A11">
        <w:rPr>
          <w:rFonts w:cs="Arial"/>
          <w:szCs w:val="24"/>
        </w:rPr>
        <w:t xml:space="preserve">that </w:t>
      </w:r>
      <w:r w:rsidR="00534BBC">
        <w:rPr>
          <w:rFonts w:cs="Arial"/>
          <w:szCs w:val="24"/>
        </w:rPr>
        <w:t>what is required of the NDPP to show that there are “</w:t>
      </w:r>
      <w:r w:rsidR="00534BBC" w:rsidRPr="00534BBC">
        <w:rPr>
          <w:rFonts w:cs="Arial"/>
          <w:iCs/>
          <w:szCs w:val="24"/>
        </w:rPr>
        <w:t xml:space="preserve">reasonable grounds for believing that a </w:t>
      </w:r>
      <w:r w:rsidR="00534BBC" w:rsidRPr="00534BBC">
        <w:rPr>
          <w:rFonts w:cs="Arial"/>
          <w:iCs/>
          <w:szCs w:val="24"/>
        </w:rPr>
        <w:lastRenderedPageBreak/>
        <w:t>confiscation order may be made against the defendant</w:t>
      </w:r>
      <w:r w:rsidR="00236AC9">
        <w:rPr>
          <w:rFonts w:cs="Arial"/>
          <w:iCs/>
          <w:szCs w:val="24"/>
        </w:rPr>
        <w:t>.”</w:t>
      </w:r>
      <w:r w:rsidR="008C5203">
        <w:rPr>
          <w:rFonts w:cs="Arial"/>
          <w:iCs/>
          <w:szCs w:val="24"/>
        </w:rPr>
        <w:t xml:space="preserve"> The </w:t>
      </w:r>
      <w:r w:rsidRPr="00811EC6">
        <w:rPr>
          <w:rFonts w:cs="Arial"/>
          <w:szCs w:val="24"/>
        </w:rPr>
        <w:t>test</w:t>
      </w:r>
      <w:r w:rsidR="008C5203">
        <w:rPr>
          <w:rFonts w:cs="Arial"/>
          <w:szCs w:val="24"/>
        </w:rPr>
        <w:t>,</w:t>
      </w:r>
      <w:r w:rsidRPr="00811EC6">
        <w:rPr>
          <w:rFonts w:cs="Arial"/>
          <w:szCs w:val="24"/>
        </w:rPr>
        <w:t xml:space="preserve"> Mlambo AJA </w:t>
      </w:r>
      <w:r w:rsidR="008C5203">
        <w:rPr>
          <w:rFonts w:cs="Arial"/>
          <w:szCs w:val="24"/>
        </w:rPr>
        <w:t xml:space="preserve"> stated was:</w:t>
      </w:r>
    </w:p>
    <w:p w14:paraId="58674D3F" w14:textId="6BBCB6DA" w:rsidR="00A83DA6" w:rsidRPr="00811EC6" w:rsidRDefault="00A83DA6" w:rsidP="00A83DA6">
      <w:pPr>
        <w:pStyle w:val="ListParagraph"/>
        <w:spacing w:before="480" w:after="0" w:line="360" w:lineRule="auto"/>
        <w:ind w:left="1276"/>
        <w:contextualSpacing w:val="0"/>
        <w:rPr>
          <w:rFonts w:cs="Arial"/>
          <w:szCs w:val="24"/>
        </w:rPr>
      </w:pPr>
      <w:r w:rsidRPr="00811EC6">
        <w:rPr>
          <w:rFonts w:cs="Arial"/>
          <w:color w:val="242121"/>
          <w:szCs w:val="24"/>
          <w:shd w:val="clear" w:color="auto" w:fill="FFFFFF"/>
        </w:rPr>
        <w:t>“</w:t>
      </w:r>
      <w:hyperlink r:id="rId9" w:anchor="s25" w:history="1">
        <w:r w:rsidRPr="008C5203">
          <w:rPr>
            <w:rStyle w:val="Hyperlink"/>
            <w:rFonts w:cs="Arial"/>
            <w:bCs/>
            <w:i/>
            <w:color w:val="auto"/>
            <w:szCs w:val="24"/>
            <w:u w:val="none"/>
            <w:shd w:val="clear" w:color="auto" w:fill="FFFFFF"/>
          </w:rPr>
          <w:t>Section 25(1)(a)</w:t>
        </w:r>
      </w:hyperlink>
      <w:r w:rsidRPr="008C5203">
        <w:rPr>
          <w:rFonts w:cs="Arial"/>
          <w:i/>
          <w:szCs w:val="24"/>
          <w:shd w:val="clear" w:color="auto" w:fill="FFFFFF"/>
        </w:rPr>
        <w:t xml:space="preserve"> </w:t>
      </w:r>
      <w:r w:rsidRPr="00811EC6">
        <w:rPr>
          <w:rFonts w:cs="Arial"/>
          <w:i/>
          <w:color w:val="242121"/>
          <w:szCs w:val="24"/>
          <w:shd w:val="clear" w:color="auto" w:fill="FFFFFF"/>
        </w:rPr>
        <w:t xml:space="preserve">confers a discretion upon a court to make a restraint order if, </w:t>
      </w:r>
      <w:r w:rsidRPr="00811EC6">
        <w:rPr>
          <w:rFonts w:cs="Arial"/>
          <w:i/>
          <w:iCs/>
          <w:color w:val="242121"/>
          <w:szCs w:val="24"/>
          <w:shd w:val="clear" w:color="auto" w:fill="FFFFFF"/>
        </w:rPr>
        <w:t xml:space="preserve">inter alia, </w:t>
      </w:r>
      <w:r w:rsidRPr="00811EC6">
        <w:rPr>
          <w:rFonts w:cs="Arial"/>
          <w:i/>
          <w:color w:val="242121"/>
          <w:szCs w:val="24"/>
          <w:shd w:val="clear" w:color="auto" w:fill="FFFFFF"/>
        </w:rPr>
        <w:t xml:space="preserve">‘there are reasonable grounds for believing that a confiscation order may be made…’  While a mere assertion to that effect by the appellant will not suffice … on the other hand the NDPP is not required to prove as a fact that a confiscation order will be made, and in those circumstances there is no room in determining the existence of reasonable grounds for the application of the principles and onus that apply in ordinary motion proceedings.  What is required is </w:t>
      </w:r>
      <w:r w:rsidRPr="00B26359">
        <w:rPr>
          <w:rFonts w:cs="Arial"/>
          <w:b/>
          <w:bCs/>
          <w:i/>
          <w:color w:val="242121"/>
          <w:szCs w:val="24"/>
          <w:shd w:val="clear" w:color="auto" w:fill="FFFFFF"/>
        </w:rPr>
        <w:t>no more than evidence that satisfies the court</w:t>
      </w:r>
      <w:r w:rsidRPr="00811EC6">
        <w:rPr>
          <w:rFonts w:cs="Arial"/>
          <w:i/>
          <w:color w:val="242121"/>
          <w:szCs w:val="24"/>
          <w:shd w:val="clear" w:color="auto" w:fill="FFFFFF"/>
        </w:rPr>
        <w:t xml:space="preserve"> that there are reasonable grounds for believing that the court that convicts the person concerned may make such an order.</w:t>
      </w:r>
      <w:r w:rsidRPr="00811EC6">
        <w:rPr>
          <w:rFonts w:cs="Arial"/>
          <w:color w:val="242121"/>
          <w:szCs w:val="24"/>
          <w:shd w:val="clear" w:color="auto" w:fill="FFFFFF"/>
        </w:rPr>
        <w:t>”</w:t>
      </w:r>
      <w:r w:rsidR="00B26359">
        <w:rPr>
          <w:rFonts w:cs="Arial"/>
          <w:color w:val="242121"/>
          <w:szCs w:val="24"/>
          <w:shd w:val="clear" w:color="auto" w:fill="FFFFFF"/>
        </w:rPr>
        <w:t xml:space="preserve"> (own emphasis)</w:t>
      </w:r>
    </w:p>
    <w:p w14:paraId="594ED26F" w14:textId="23DEE0EA" w:rsidR="00A83DA6" w:rsidRPr="00811EC6" w:rsidRDefault="00A83DA6" w:rsidP="00B01F1D">
      <w:pPr>
        <w:pStyle w:val="ListParagraph"/>
        <w:numPr>
          <w:ilvl w:val="0"/>
          <w:numId w:val="6"/>
        </w:numPr>
        <w:spacing w:before="480" w:after="0" w:line="480" w:lineRule="auto"/>
        <w:contextualSpacing w:val="0"/>
        <w:rPr>
          <w:rFonts w:cs="Arial"/>
          <w:szCs w:val="24"/>
        </w:rPr>
      </w:pPr>
      <w:r w:rsidRPr="00811EC6">
        <w:rPr>
          <w:rFonts w:cs="Arial"/>
          <w:szCs w:val="24"/>
        </w:rPr>
        <w:t>The Supreme Court</w:t>
      </w:r>
      <w:r w:rsidR="00E071B3">
        <w:rPr>
          <w:rFonts w:cs="Arial"/>
          <w:szCs w:val="24"/>
        </w:rPr>
        <w:t xml:space="preserve"> of Appeal </w:t>
      </w:r>
      <w:r w:rsidR="00B84A0C">
        <w:rPr>
          <w:rFonts w:cs="Arial"/>
          <w:szCs w:val="24"/>
        </w:rPr>
        <w:t>(Nugent</w:t>
      </w:r>
      <w:r w:rsidR="00B84A0C" w:rsidRPr="00811EC6">
        <w:rPr>
          <w:rFonts w:cs="Arial"/>
          <w:szCs w:val="24"/>
        </w:rPr>
        <w:t xml:space="preserve"> JA </w:t>
      </w:r>
      <w:r w:rsidR="00B84A0C">
        <w:rPr>
          <w:rFonts w:cs="Arial"/>
          <w:szCs w:val="24"/>
        </w:rPr>
        <w:t xml:space="preserve">) </w:t>
      </w:r>
      <w:r w:rsidRPr="00811EC6">
        <w:rPr>
          <w:rFonts w:cs="Arial"/>
          <w:szCs w:val="24"/>
        </w:rPr>
        <w:t xml:space="preserve">in </w:t>
      </w:r>
      <w:r w:rsidRPr="00811EC6">
        <w:rPr>
          <w:rFonts w:cs="Arial"/>
          <w:i/>
          <w:szCs w:val="24"/>
        </w:rPr>
        <w:t>Rautenbach</w:t>
      </w:r>
      <w:r w:rsidR="00B84F05">
        <w:rPr>
          <w:rFonts w:cs="Arial"/>
          <w:i/>
          <w:szCs w:val="24"/>
        </w:rPr>
        <w:t xml:space="preserve"> </w:t>
      </w:r>
      <w:r w:rsidR="00B84F05" w:rsidRPr="00B84F05">
        <w:rPr>
          <w:rFonts w:cs="Arial"/>
          <w:iCs/>
          <w:szCs w:val="24"/>
        </w:rPr>
        <w:t xml:space="preserve">elaborated </w:t>
      </w:r>
      <w:r w:rsidR="00094819">
        <w:rPr>
          <w:rFonts w:cs="Arial"/>
          <w:iCs/>
          <w:szCs w:val="24"/>
        </w:rPr>
        <w:t>on the requirements of the test as</w:t>
      </w:r>
      <w:r w:rsidRPr="00811EC6">
        <w:rPr>
          <w:rFonts w:cs="Arial"/>
          <w:szCs w:val="24"/>
        </w:rPr>
        <w:t>:</w:t>
      </w:r>
      <w:r w:rsidRPr="00811EC6">
        <w:rPr>
          <w:rStyle w:val="FootnoteReference"/>
          <w:rFonts w:cs="Arial"/>
          <w:szCs w:val="24"/>
        </w:rPr>
        <w:footnoteReference w:id="12"/>
      </w:r>
    </w:p>
    <w:p w14:paraId="38D3F179" w14:textId="61428CAC" w:rsidR="00A83DA6" w:rsidRPr="00811EC6" w:rsidRDefault="00A83DA6" w:rsidP="00A83DA6">
      <w:pPr>
        <w:pStyle w:val="ListParagraph"/>
        <w:spacing w:before="480" w:after="0" w:line="360" w:lineRule="auto"/>
        <w:ind w:left="1276"/>
        <w:contextualSpacing w:val="0"/>
        <w:rPr>
          <w:rFonts w:cs="Arial"/>
          <w:szCs w:val="24"/>
          <w:highlight w:val="yellow"/>
        </w:rPr>
      </w:pPr>
      <w:r>
        <w:rPr>
          <w:rFonts w:cs="Arial"/>
          <w:color w:val="242121"/>
          <w:szCs w:val="24"/>
          <w:shd w:val="clear" w:color="auto" w:fill="FFFFFF"/>
        </w:rPr>
        <w:t>“</w:t>
      </w:r>
      <w:r w:rsidRPr="00A83DA6">
        <w:rPr>
          <w:rFonts w:cs="Arial"/>
          <w:i/>
          <w:color w:val="242121"/>
          <w:szCs w:val="24"/>
          <w:shd w:val="clear" w:color="auto" w:fill="FFFFFF"/>
        </w:rPr>
        <w:t xml:space="preserve">It is plain from the language of the Act that the </w:t>
      </w:r>
      <w:r w:rsidR="00B84F05">
        <w:rPr>
          <w:rFonts w:cs="Arial"/>
          <w:i/>
          <w:color w:val="242121"/>
          <w:szCs w:val="24"/>
          <w:shd w:val="clear" w:color="auto" w:fill="FFFFFF"/>
        </w:rPr>
        <w:t>C</w:t>
      </w:r>
      <w:r w:rsidRPr="00A83DA6">
        <w:rPr>
          <w:rFonts w:cs="Arial"/>
          <w:i/>
          <w:color w:val="242121"/>
          <w:szCs w:val="24"/>
          <w:shd w:val="clear" w:color="auto" w:fill="FFFFFF"/>
        </w:rPr>
        <w:t>ourt is not required to satisfy itself that the defendant is probably guilty of an offence, and that he or she has probably benefited from the offence or from other unlawful activity</w:t>
      </w:r>
      <w:r w:rsidR="00236AC9" w:rsidRPr="00A83DA6">
        <w:rPr>
          <w:rFonts w:cs="Arial"/>
          <w:i/>
          <w:color w:val="242121"/>
          <w:szCs w:val="24"/>
          <w:shd w:val="clear" w:color="auto" w:fill="FFFFFF"/>
        </w:rPr>
        <w:t>.</w:t>
      </w:r>
      <w:r w:rsidR="00236AC9">
        <w:rPr>
          <w:rFonts w:cs="Arial"/>
          <w:i/>
          <w:color w:val="242121"/>
          <w:szCs w:val="24"/>
          <w:shd w:val="clear" w:color="auto" w:fill="FFFFFF"/>
        </w:rPr>
        <w:t xml:space="preserve"> </w:t>
      </w:r>
      <w:r w:rsidRPr="00A83DA6">
        <w:rPr>
          <w:rFonts w:cs="Arial"/>
          <w:i/>
          <w:color w:val="242121"/>
          <w:szCs w:val="24"/>
          <w:shd w:val="clear" w:color="auto" w:fill="FFFFFF"/>
        </w:rPr>
        <w:t xml:space="preserve">What is </w:t>
      </w:r>
      <w:r w:rsidRPr="00B84F05">
        <w:rPr>
          <w:rFonts w:cs="Arial"/>
          <w:b/>
          <w:bCs/>
          <w:i/>
          <w:color w:val="242121"/>
          <w:szCs w:val="24"/>
          <w:shd w:val="clear" w:color="auto" w:fill="FFFFFF"/>
        </w:rPr>
        <w:t>required is only that it must appear to the court on reasonable grounds that there might be a conviction and a confiscation order</w:t>
      </w:r>
      <w:r w:rsidR="00236AC9" w:rsidRPr="00A83DA6">
        <w:rPr>
          <w:rFonts w:cs="Arial"/>
          <w:i/>
          <w:color w:val="242121"/>
          <w:szCs w:val="24"/>
          <w:shd w:val="clear" w:color="auto" w:fill="FFFFFF"/>
        </w:rPr>
        <w:t xml:space="preserve">. </w:t>
      </w:r>
      <w:r w:rsidRPr="00A83DA6">
        <w:rPr>
          <w:rFonts w:cs="Arial"/>
          <w:i/>
          <w:color w:val="242121"/>
          <w:szCs w:val="24"/>
          <w:shd w:val="clear" w:color="auto" w:fill="FFFFFF"/>
        </w:rPr>
        <w:t xml:space="preserve">While the court, in order to make that assessment, must be apprised of at least the nature and tenor of the available evidence, and cannot rely merely upon the appellant’s opinion </w:t>
      </w:r>
      <w:r>
        <w:rPr>
          <w:rFonts w:cs="Arial"/>
          <w:i/>
          <w:color w:val="242121"/>
          <w:szCs w:val="24"/>
          <w:shd w:val="clear" w:color="auto" w:fill="FFFFFF"/>
        </w:rPr>
        <w:t>…</w:t>
      </w:r>
      <w:r w:rsidRPr="00A83DA6">
        <w:rPr>
          <w:rFonts w:cs="Arial"/>
          <w:i/>
          <w:color w:val="242121"/>
          <w:szCs w:val="24"/>
          <w:shd w:val="clear" w:color="auto" w:fill="FFFFFF"/>
        </w:rPr>
        <w:t xml:space="preserve"> it is nevertheless not called upon to decide upon the veracity of the evidence</w:t>
      </w:r>
      <w:r w:rsidR="00236AC9" w:rsidRPr="00A83DA6">
        <w:rPr>
          <w:rFonts w:cs="Arial"/>
          <w:i/>
          <w:color w:val="242121"/>
          <w:szCs w:val="24"/>
          <w:shd w:val="clear" w:color="auto" w:fill="FFFFFF"/>
        </w:rPr>
        <w:t>.</w:t>
      </w:r>
      <w:r w:rsidR="00236AC9">
        <w:rPr>
          <w:rFonts w:cs="Arial"/>
          <w:i/>
          <w:color w:val="242121"/>
          <w:szCs w:val="24"/>
          <w:shd w:val="clear" w:color="auto" w:fill="FFFFFF"/>
        </w:rPr>
        <w:t xml:space="preserve"> </w:t>
      </w:r>
      <w:r w:rsidRPr="00A83DA6">
        <w:rPr>
          <w:rFonts w:cs="Arial"/>
          <w:i/>
          <w:color w:val="242121"/>
          <w:szCs w:val="24"/>
          <w:shd w:val="clear" w:color="auto" w:fill="FFFFFF"/>
        </w:rPr>
        <w:t xml:space="preserve">It need ask only </w:t>
      </w:r>
      <w:r w:rsidRPr="000E3240">
        <w:rPr>
          <w:rFonts w:cs="Arial"/>
          <w:b/>
          <w:bCs/>
          <w:i/>
          <w:color w:val="242121"/>
          <w:szCs w:val="24"/>
          <w:shd w:val="clear" w:color="auto" w:fill="FFFFFF"/>
        </w:rPr>
        <w:t>whether there is evidence that might reasonably support a conviction and a consequent confiscation order</w:t>
      </w:r>
      <w:r w:rsidRPr="00A83DA6">
        <w:rPr>
          <w:rFonts w:cs="Arial"/>
          <w:i/>
          <w:color w:val="242121"/>
          <w:szCs w:val="24"/>
          <w:shd w:val="clear" w:color="auto" w:fill="FFFFFF"/>
        </w:rPr>
        <w:t xml:space="preserve"> (even if all that evidence has not been placed before it) and whether that evidence might </w:t>
      </w:r>
      <w:r w:rsidRPr="00A83DA6">
        <w:rPr>
          <w:rFonts w:cs="Arial"/>
          <w:i/>
          <w:color w:val="242121"/>
          <w:szCs w:val="24"/>
          <w:shd w:val="clear" w:color="auto" w:fill="FFFFFF"/>
        </w:rPr>
        <w:lastRenderedPageBreak/>
        <w:t>reasonably be believed</w:t>
      </w:r>
      <w:r w:rsidR="00236AC9" w:rsidRPr="00A83DA6">
        <w:rPr>
          <w:rFonts w:cs="Arial"/>
          <w:i/>
          <w:color w:val="242121"/>
          <w:szCs w:val="24"/>
          <w:shd w:val="clear" w:color="auto" w:fill="FFFFFF"/>
        </w:rPr>
        <w:t xml:space="preserve">. </w:t>
      </w:r>
      <w:r w:rsidR="00811EC6">
        <w:rPr>
          <w:rFonts w:cs="Arial"/>
          <w:i/>
          <w:color w:val="242121"/>
          <w:szCs w:val="24"/>
          <w:shd w:val="clear" w:color="auto" w:fill="FFFFFF"/>
        </w:rPr>
        <w:t>T</w:t>
      </w:r>
      <w:r w:rsidRPr="00A83DA6">
        <w:rPr>
          <w:rFonts w:cs="Arial"/>
          <w:i/>
          <w:color w:val="242121"/>
          <w:szCs w:val="24"/>
          <w:shd w:val="clear" w:color="auto" w:fill="FFFFFF"/>
        </w:rPr>
        <w:t>hat will not be so where the evidence that is sought to be relied upon is manifestly false or unreliable and to that extent it requires evaluation, but it could not have been intended that a court in such proceedings is required to determine whether the evidence is probably true.</w:t>
      </w:r>
      <w:r w:rsidR="00811EC6">
        <w:rPr>
          <w:rFonts w:cs="Arial"/>
          <w:color w:val="242121"/>
          <w:szCs w:val="24"/>
          <w:shd w:val="clear" w:color="auto" w:fill="FFFFFF"/>
        </w:rPr>
        <w:t>”</w:t>
      </w:r>
      <w:r w:rsidR="00811EC6">
        <w:rPr>
          <w:rStyle w:val="FootnoteReference"/>
          <w:rFonts w:cs="Arial"/>
          <w:color w:val="242121"/>
          <w:szCs w:val="24"/>
          <w:shd w:val="clear" w:color="auto" w:fill="FFFFFF"/>
        </w:rPr>
        <w:footnoteReference w:id="13"/>
      </w:r>
      <w:r w:rsidR="000E3240">
        <w:rPr>
          <w:rFonts w:cs="Arial"/>
          <w:color w:val="242121"/>
          <w:szCs w:val="24"/>
          <w:shd w:val="clear" w:color="auto" w:fill="FFFFFF"/>
        </w:rPr>
        <w:t xml:space="preserve"> (own emphasis)</w:t>
      </w:r>
    </w:p>
    <w:p w14:paraId="77F2C81B" w14:textId="7E79DACC" w:rsidR="00811EC6" w:rsidRPr="00811EC6" w:rsidRDefault="009611C5" w:rsidP="00811EC6">
      <w:pPr>
        <w:pStyle w:val="ListParagraph"/>
        <w:numPr>
          <w:ilvl w:val="0"/>
          <w:numId w:val="6"/>
        </w:numPr>
        <w:spacing w:before="480" w:after="0" w:line="480" w:lineRule="auto"/>
        <w:contextualSpacing w:val="0"/>
        <w:rPr>
          <w:rFonts w:cs="Arial"/>
          <w:szCs w:val="24"/>
        </w:rPr>
      </w:pPr>
      <w:r>
        <w:rPr>
          <w:rFonts w:cs="Arial"/>
          <w:szCs w:val="24"/>
        </w:rPr>
        <w:t>Consequently. t</w:t>
      </w:r>
      <w:r w:rsidR="00811EC6" w:rsidRPr="00811EC6">
        <w:rPr>
          <w:rFonts w:cs="Arial"/>
          <w:szCs w:val="24"/>
        </w:rPr>
        <w:t>he</w:t>
      </w:r>
      <w:r w:rsidR="00722E25">
        <w:rPr>
          <w:rFonts w:cs="Arial"/>
          <w:szCs w:val="24"/>
        </w:rPr>
        <w:t xml:space="preserve"> </w:t>
      </w:r>
      <w:r w:rsidR="00A04BD9">
        <w:rPr>
          <w:rFonts w:cs="Arial"/>
          <w:szCs w:val="24"/>
        </w:rPr>
        <w:t xml:space="preserve">two </w:t>
      </w:r>
      <w:r w:rsidR="00722E25">
        <w:rPr>
          <w:rFonts w:cs="Arial"/>
          <w:szCs w:val="24"/>
        </w:rPr>
        <w:t xml:space="preserve">elements that the </w:t>
      </w:r>
      <w:r w:rsidR="00811EC6" w:rsidRPr="00811EC6">
        <w:rPr>
          <w:rFonts w:cs="Arial"/>
          <w:szCs w:val="24"/>
        </w:rPr>
        <w:t xml:space="preserve">NDPP must </w:t>
      </w:r>
      <w:r w:rsidR="00722E25">
        <w:rPr>
          <w:rFonts w:cs="Arial"/>
          <w:szCs w:val="24"/>
        </w:rPr>
        <w:t xml:space="preserve">satisfy </w:t>
      </w:r>
      <w:r w:rsidR="00811EC6" w:rsidRPr="00811EC6">
        <w:rPr>
          <w:rFonts w:cs="Arial"/>
          <w:szCs w:val="24"/>
        </w:rPr>
        <w:t>to obtain confirmation of a preservation order</w:t>
      </w:r>
      <w:r w:rsidR="00E40272">
        <w:rPr>
          <w:rFonts w:cs="Arial"/>
          <w:szCs w:val="24"/>
        </w:rPr>
        <w:t>,</w:t>
      </w:r>
      <w:r w:rsidR="00811EC6" w:rsidRPr="00811EC6">
        <w:rPr>
          <w:rFonts w:cs="Arial"/>
          <w:szCs w:val="24"/>
        </w:rPr>
        <w:t xml:space="preserve"> is </w:t>
      </w:r>
      <w:r w:rsidR="004908D6">
        <w:rPr>
          <w:rFonts w:cs="Arial"/>
          <w:szCs w:val="24"/>
        </w:rPr>
        <w:t xml:space="preserve">that </w:t>
      </w:r>
      <w:r w:rsidR="00A81ACD">
        <w:rPr>
          <w:rFonts w:cs="Arial"/>
          <w:szCs w:val="24"/>
        </w:rPr>
        <w:t xml:space="preserve">firstly </w:t>
      </w:r>
      <w:r w:rsidR="004908D6">
        <w:rPr>
          <w:rFonts w:cs="Arial"/>
          <w:szCs w:val="24"/>
        </w:rPr>
        <w:t xml:space="preserve">there is evidence that might </w:t>
      </w:r>
      <w:r w:rsidR="00C71B21">
        <w:rPr>
          <w:rFonts w:cs="Arial"/>
          <w:szCs w:val="24"/>
        </w:rPr>
        <w:t>reasonabl</w:t>
      </w:r>
      <w:r w:rsidR="000B577F">
        <w:rPr>
          <w:rFonts w:cs="Arial"/>
          <w:szCs w:val="24"/>
        </w:rPr>
        <w:t>y</w:t>
      </w:r>
      <w:r w:rsidR="00C71B21">
        <w:rPr>
          <w:rFonts w:cs="Arial"/>
          <w:szCs w:val="24"/>
        </w:rPr>
        <w:t xml:space="preserve"> support a conviction </w:t>
      </w:r>
      <w:r w:rsidR="000B577F">
        <w:rPr>
          <w:rFonts w:cs="Arial"/>
          <w:szCs w:val="24"/>
        </w:rPr>
        <w:t>and</w:t>
      </w:r>
      <w:r w:rsidR="00A81ACD">
        <w:rPr>
          <w:rFonts w:cs="Arial"/>
          <w:szCs w:val="24"/>
        </w:rPr>
        <w:t xml:space="preserve"> secondly</w:t>
      </w:r>
      <w:r w:rsidR="009117A8">
        <w:rPr>
          <w:rFonts w:cs="Arial"/>
          <w:szCs w:val="24"/>
        </w:rPr>
        <w:t xml:space="preserve"> </w:t>
      </w:r>
      <w:r w:rsidR="000B577F">
        <w:rPr>
          <w:rFonts w:cs="Arial"/>
          <w:szCs w:val="24"/>
        </w:rPr>
        <w:t xml:space="preserve">that </w:t>
      </w:r>
      <w:r w:rsidR="00A81ACD">
        <w:rPr>
          <w:rFonts w:cs="Arial"/>
          <w:szCs w:val="24"/>
        </w:rPr>
        <w:t xml:space="preserve">the </w:t>
      </w:r>
      <w:r w:rsidR="000B577F">
        <w:rPr>
          <w:rFonts w:cs="Arial"/>
          <w:szCs w:val="24"/>
        </w:rPr>
        <w:t>evidence might reasonably be believed</w:t>
      </w:r>
      <w:r w:rsidR="00236AC9">
        <w:rPr>
          <w:rFonts w:cs="Arial"/>
          <w:szCs w:val="24"/>
        </w:rPr>
        <w:t xml:space="preserve">. </w:t>
      </w:r>
      <w:r w:rsidR="0091078B">
        <w:rPr>
          <w:rFonts w:cs="Arial"/>
          <w:szCs w:val="24"/>
        </w:rPr>
        <w:t>The</w:t>
      </w:r>
      <w:r w:rsidR="009B07CC">
        <w:rPr>
          <w:rFonts w:cs="Arial"/>
          <w:szCs w:val="24"/>
        </w:rPr>
        <w:t xml:space="preserve"> critical aspect is that there is </w:t>
      </w:r>
      <w:r w:rsidR="0091078B">
        <w:rPr>
          <w:rFonts w:cs="Arial"/>
          <w:szCs w:val="24"/>
        </w:rPr>
        <w:t>e</w:t>
      </w:r>
      <w:r w:rsidR="0056664D">
        <w:rPr>
          <w:rFonts w:cs="Arial"/>
          <w:szCs w:val="24"/>
        </w:rPr>
        <w:t xml:space="preserve">vidence to </w:t>
      </w:r>
      <w:r w:rsidR="0056664D" w:rsidRPr="0091078B">
        <w:rPr>
          <w:rFonts w:cs="Arial"/>
          <w:b/>
          <w:bCs/>
          <w:i/>
          <w:iCs/>
          <w:szCs w:val="24"/>
        </w:rPr>
        <w:t>secure a conviction</w:t>
      </w:r>
      <w:r w:rsidR="00811EC6" w:rsidRPr="00811EC6">
        <w:rPr>
          <w:rFonts w:cs="Arial"/>
          <w:szCs w:val="24"/>
        </w:rPr>
        <w:t>.</w:t>
      </w:r>
    </w:p>
    <w:p w14:paraId="51963740" w14:textId="77777777" w:rsidR="00C67A33" w:rsidRDefault="00D86EC1" w:rsidP="00B01F1D">
      <w:pPr>
        <w:pStyle w:val="ListParagraph"/>
        <w:numPr>
          <w:ilvl w:val="0"/>
          <w:numId w:val="6"/>
        </w:numPr>
        <w:spacing w:before="480" w:after="0" w:line="480" w:lineRule="auto"/>
        <w:contextualSpacing w:val="0"/>
        <w:rPr>
          <w:rFonts w:cs="Arial"/>
          <w:szCs w:val="24"/>
        </w:rPr>
      </w:pPr>
      <w:r>
        <w:rPr>
          <w:rFonts w:cs="Arial"/>
          <w:szCs w:val="24"/>
        </w:rPr>
        <w:t>Under</w:t>
      </w:r>
      <w:r w:rsidR="00463A38">
        <w:rPr>
          <w:rFonts w:cs="Arial"/>
          <w:szCs w:val="24"/>
        </w:rPr>
        <w:t>lying these elements is the nature of the property that the NDPP may restrain</w:t>
      </w:r>
      <w:r w:rsidR="009B74E1">
        <w:rPr>
          <w:rFonts w:cs="Arial"/>
          <w:szCs w:val="24"/>
        </w:rPr>
        <w:t>, pending the finalization of the criminal proceedings</w:t>
      </w:r>
      <w:r w:rsidR="00463A38">
        <w:rPr>
          <w:rFonts w:cs="Arial"/>
          <w:szCs w:val="24"/>
        </w:rPr>
        <w:t xml:space="preserve">. </w:t>
      </w:r>
      <w:r w:rsidR="00D21AE1">
        <w:rPr>
          <w:rFonts w:cs="Arial"/>
          <w:szCs w:val="24"/>
        </w:rPr>
        <w:t>T</w:t>
      </w:r>
      <w:r w:rsidR="00BD0448">
        <w:rPr>
          <w:rFonts w:cs="Arial"/>
          <w:szCs w:val="24"/>
        </w:rPr>
        <w:t>he NDPP is authorised by s</w:t>
      </w:r>
      <w:r w:rsidR="00031626">
        <w:rPr>
          <w:rFonts w:cs="Arial"/>
          <w:szCs w:val="24"/>
        </w:rPr>
        <w:t>26 of POCA to obtain an order “</w:t>
      </w:r>
      <w:r w:rsidR="00031626">
        <w:rPr>
          <w:rFonts w:cs="Arial"/>
          <w:i/>
          <w:szCs w:val="24"/>
        </w:rPr>
        <w:t xml:space="preserve">prohibiting any person … from dealing in any manner with </w:t>
      </w:r>
      <w:r w:rsidR="00031626" w:rsidRPr="00A61E13">
        <w:rPr>
          <w:rFonts w:cs="Arial"/>
          <w:b/>
          <w:bCs/>
          <w:i/>
          <w:szCs w:val="24"/>
        </w:rPr>
        <w:t>property</w:t>
      </w:r>
      <w:r w:rsidR="00031626">
        <w:rPr>
          <w:rFonts w:cs="Arial"/>
          <w:i/>
          <w:szCs w:val="24"/>
        </w:rPr>
        <w:t xml:space="preserve"> to which the order relates</w:t>
      </w:r>
      <w:r w:rsidR="00031626">
        <w:rPr>
          <w:rFonts w:cs="Arial"/>
          <w:szCs w:val="24"/>
        </w:rPr>
        <w:t xml:space="preserve">”. </w:t>
      </w:r>
    </w:p>
    <w:p w14:paraId="5CB888F7" w14:textId="23CBAD89" w:rsidR="00031626" w:rsidRDefault="00A61E13" w:rsidP="00B01F1D">
      <w:pPr>
        <w:pStyle w:val="ListParagraph"/>
        <w:numPr>
          <w:ilvl w:val="0"/>
          <w:numId w:val="6"/>
        </w:numPr>
        <w:spacing w:before="480" w:after="0" w:line="480" w:lineRule="auto"/>
        <w:contextualSpacing w:val="0"/>
        <w:rPr>
          <w:rFonts w:cs="Arial"/>
          <w:szCs w:val="24"/>
        </w:rPr>
      </w:pPr>
      <w:r>
        <w:rPr>
          <w:rFonts w:cs="Arial"/>
          <w:szCs w:val="24"/>
        </w:rPr>
        <w:t xml:space="preserve">The term </w:t>
      </w:r>
      <w:r w:rsidRPr="005154C0">
        <w:rPr>
          <w:rFonts w:cs="Arial"/>
          <w:i/>
          <w:iCs/>
          <w:szCs w:val="24"/>
        </w:rPr>
        <w:t>“property</w:t>
      </w:r>
      <w:r>
        <w:rPr>
          <w:rFonts w:cs="Arial"/>
          <w:szCs w:val="24"/>
        </w:rPr>
        <w:t>”</w:t>
      </w:r>
      <w:r w:rsidR="005154C0">
        <w:rPr>
          <w:rFonts w:cs="Arial"/>
          <w:szCs w:val="24"/>
        </w:rPr>
        <w:t xml:space="preserve"> is defined </w:t>
      </w:r>
      <w:r w:rsidR="00031626">
        <w:rPr>
          <w:rFonts w:cs="Arial"/>
          <w:szCs w:val="24"/>
        </w:rPr>
        <w:t xml:space="preserve">specifically, </w:t>
      </w:r>
      <w:r w:rsidR="00E646A4">
        <w:rPr>
          <w:rFonts w:cs="Arial"/>
          <w:szCs w:val="24"/>
        </w:rPr>
        <w:t>s</w:t>
      </w:r>
      <w:r w:rsidR="00031626">
        <w:rPr>
          <w:rFonts w:cs="Arial"/>
          <w:szCs w:val="24"/>
        </w:rPr>
        <w:t>26(2)</w:t>
      </w:r>
      <w:r w:rsidR="005154C0">
        <w:rPr>
          <w:rFonts w:cs="Arial"/>
          <w:szCs w:val="24"/>
        </w:rPr>
        <w:t xml:space="preserve"> which </w:t>
      </w:r>
      <w:r w:rsidR="00031626">
        <w:rPr>
          <w:rFonts w:cs="Arial"/>
          <w:szCs w:val="24"/>
        </w:rPr>
        <w:t>details the</w:t>
      </w:r>
      <w:r w:rsidR="00710EF5">
        <w:rPr>
          <w:rFonts w:cs="Arial"/>
          <w:szCs w:val="24"/>
        </w:rPr>
        <w:t xml:space="preserve"> type of</w:t>
      </w:r>
      <w:r w:rsidR="00031626">
        <w:rPr>
          <w:rFonts w:cs="Arial"/>
          <w:szCs w:val="24"/>
        </w:rPr>
        <w:t xml:space="preserve"> property in respect of which the restraint order may be made.</w:t>
      </w:r>
    </w:p>
    <w:p w14:paraId="1B94754A" w14:textId="4AF35036" w:rsidR="00031626" w:rsidRDefault="00031626" w:rsidP="00710EF5">
      <w:pPr>
        <w:pStyle w:val="ListParagraph"/>
        <w:tabs>
          <w:tab w:val="left" w:pos="1985"/>
        </w:tabs>
        <w:spacing w:before="480" w:after="0" w:line="360" w:lineRule="auto"/>
        <w:ind w:left="1418"/>
        <w:contextualSpacing w:val="0"/>
        <w:rPr>
          <w:rFonts w:cs="Arial"/>
          <w:i/>
          <w:szCs w:val="24"/>
        </w:rPr>
      </w:pPr>
      <w:r>
        <w:rPr>
          <w:rFonts w:cs="Arial"/>
          <w:szCs w:val="24"/>
        </w:rPr>
        <w:t>“</w:t>
      </w:r>
      <w:r>
        <w:rPr>
          <w:rFonts w:cs="Arial"/>
          <w:i/>
          <w:szCs w:val="24"/>
        </w:rPr>
        <w:t>A restraint order may be made -</w:t>
      </w:r>
    </w:p>
    <w:p w14:paraId="73590AF8" w14:textId="4EFDCA49" w:rsidR="00031626" w:rsidRDefault="00031626" w:rsidP="00710EF5">
      <w:pPr>
        <w:pStyle w:val="ListParagraph"/>
        <w:tabs>
          <w:tab w:val="left" w:pos="1985"/>
        </w:tabs>
        <w:spacing w:before="480" w:after="0" w:line="360" w:lineRule="auto"/>
        <w:ind w:left="1985" w:hanging="567"/>
        <w:contextualSpacing w:val="0"/>
        <w:rPr>
          <w:rFonts w:cs="Arial"/>
          <w:i/>
          <w:szCs w:val="24"/>
        </w:rPr>
      </w:pPr>
      <w:r>
        <w:rPr>
          <w:rFonts w:cs="Arial"/>
          <w:i/>
          <w:szCs w:val="24"/>
        </w:rPr>
        <w:t>(a)</w:t>
      </w:r>
      <w:r>
        <w:rPr>
          <w:rFonts w:cs="Arial"/>
          <w:i/>
          <w:szCs w:val="24"/>
        </w:rPr>
        <w:tab/>
        <w:t xml:space="preserve">in respect of such </w:t>
      </w:r>
      <w:r w:rsidRPr="009D33BA">
        <w:rPr>
          <w:rFonts w:cs="Arial"/>
          <w:b/>
          <w:bCs/>
          <w:i/>
          <w:szCs w:val="24"/>
        </w:rPr>
        <w:t>realisable property</w:t>
      </w:r>
      <w:r>
        <w:rPr>
          <w:rFonts w:cs="Arial"/>
          <w:i/>
          <w:szCs w:val="24"/>
        </w:rPr>
        <w:t xml:space="preserve"> as may be specified in the restraint order or which is held by the person against whom the restraint order is made;</w:t>
      </w:r>
    </w:p>
    <w:p w14:paraId="794620D1" w14:textId="1130BC1B" w:rsidR="00031626" w:rsidRDefault="00031626" w:rsidP="00710EF5">
      <w:pPr>
        <w:pStyle w:val="ListParagraph"/>
        <w:tabs>
          <w:tab w:val="left" w:pos="1985"/>
        </w:tabs>
        <w:spacing w:before="480" w:after="0" w:line="360" w:lineRule="auto"/>
        <w:ind w:left="1985" w:hanging="567"/>
        <w:contextualSpacing w:val="0"/>
        <w:rPr>
          <w:rFonts w:cs="Arial"/>
          <w:i/>
          <w:szCs w:val="24"/>
        </w:rPr>
      </w:pPr>
      <w:r>
        <w:rPr>
          <w:rFonts w:cs="Arial"/>
          <w:i/>
          <w:szCs w:val="24"/>
        </w:rPr>
        <w:lastRenderedPageBreak/>
        <w:t>(b)</w:t>
      </w:r>
      <w:r>
        <w:rPr>
          <w:rFonts w:cs="Arial"/>
          <w:i/>
          <w:szCs w:val="24"/>
        </w:rPr>
        <w:tab/>
        <w:t xml:space="preserve">in respect of all </w:t>
      </w:r>
      <w:r w:rsidRPr="009D33BA">
        <w:rPr>
          <w:rFonts w:cs="Arial"/>
          <w:b/>
          <w:bCs/>
          <w:i/>
          <w:szCs w:val="24"/>
        </w:rPr>
        <w:t>realisable property</w:t>
      </w:r>
      <w:r>
        <w:rPr>
          <w:rFonts w:cs="Arial"/>
          <w:i/>
          <w:szCs w:val="24"/>
        </w:rPr>
        <w:t xml:space="preserve"> held by such person, whether it is specified in the restraint order or not;</w:t>
      </w:r>
    </w:p>
    <w:p w14:paraId="04202FA1" w14:textId="77777777" w:rsidR="00B01F1D" w:rsidRDefault="00031626" w:rsidP="00710EF5">
      <w:pPr>
        <w:pStyle w:val="ListParagraph"/>
        <w:tabs>
          <w:tab w:val="left" w:pos="1985"/>
        </w:tabs>
        <w:spacing w:before="480" w:after="0" w:line="360" w:lineRule="auto"/>
        <w:ind w:left="1985" w:hanging="567"/>
        <w:contextualSpacing w:val="0"/>
        <w:rPr>
          <w:rFonts w:cs="Arial"/>
          <w:szCs w:val="24"/>
        </w:rPr>
      </w:pPr>
      <w:r>
        <w:rPr>
          <w:rFonts w:cs="Arial"/>
          <w:i/>
          <w:szCs w:val="24"/>
        </w:rPr>
        <w:t>(c)</w:t>
      </w:r>
      <w:r>
        <w:rPr>
          <w:rFonts w:cs="Arial"/>
          <w:i/>
          <w:szCs w:val="24"/>
        </w:rPr>
        <w:tab/>
        <w:t xml:space="preserve">in respect of all property which, if it is transferred to such person after the making of a restraint order, would be </w:t>
      </w:r>
      <w:r w:rsidRPr="009D33BA">
        <w:rPr>
          <w:rFonts w:cs="Arial"/>
          <w:b/>
          <w:bCs/>
          <w:i/>
          <w:szCs w:val="24"/>
        </w:rPr>
        <w:t>realisable property</w:t>
      </w:r>
      <w:r>
        <w:rPr>
          <w:rFonts w:cs="Arial"/>
          <w:i/>
          <w:szCs w:val="24"/>
        </w:rPr>
        <w:t>.</w:t>
      </w:r>
      <w:r>
        <w:rPr>
          <w:rFonts w:cs="Arial"/>
          <w:szCs w:val="24"/>
        </w:rPr>
        <w:t>”</w:t>
      </w:r>
    </w:p>
    <w:p w14:paraId="1CC67284" w14:textId="204446E8" w:rsidR="00031626" w:rsidRPr="00755243" w:rsidRDefault="00031626" w:rsidP="00755243">
      <w:pPr>
        <w:pStyle w:val="ListParagraph"/>
        <w:numPr>
          <w:ilvl w:val="0"/>
          <w:numId w:val="6"/>
        </w:numPr>
        <w:spacing w:before="480" w:after="0" w:line="480" w:lineRule="auto"/>
        <w:contextualSpacing w:val="0"/>
        <w:rPr>
          <w:rFonts w:cs="Arial"/>
          <w:szCs w:val="24"/>
        </w:rPr>
      </w:pPr>
      <w:r>
        <w:rPr>
          <w:rFonts w:cs="Arial"/>
          <w:szCs w:val="24"/>
        </w:rPr>
        <w:t>Common to each of the</w:t>
      </w:r>
      <w:r w:rsidR="00BD0448">
        <w:rPr>
          <w:rFonts w:cs="Arial"/>
          <w:szCs w:val="24"/>
        </w:rPr>
        <w:t>se</w:t>
      </w:r>
      <w:r>
        <w:rPr>
          <w:rFonts w:cs="Arial"/>
          <w:szCs w:val="24"/>
        </w:rPr>
        <w:t xml:space="preserve"> categories of properties</w:t>
      </w:r>
      <w:r w:rsidR="00BD0448">
        <w:rPr>
          <w:rFonts w:cs="Arial"/>
          <w:szCs w:val="24"/>
        </w:rPr>
        <w:t xml:space="preserve">, </w:t>
      </w:r>
      <w:r>
        <w:rPr>
          <w:rFonts w:cs="Arial"/>
          <w:szCs w:val="24"/>
        </w:rPr>
        <w:t>is the term “</w:t>
      </w:r>
      <w:r>
        <w:rPr>
          <w:rFonts w:cs="Arial"/>
          <w:i/>
          <w:szCs w:val="24"/>
        </w:rPr>
        <w:t>realisable property</w:t>
      </w:r>
      <w:r>
        <w:rPr>
          <w:rFonts w:cs="Arial"/>
          <w:szCs w:val="24"/>
        </w:rPr>
        <w:t>”</w:t>
      </w:r>
      <w:r w:rsidR="00755243">
        <w:rPr>
          <w:rFonts w:cs="Arial"/>
          <w:szCs w:val="24"/>
        </w:rPr>
        <w:t xml:space="preserve"> which itself is define</w:t>
      </w:r>
      <w:r w:rsidRPr="00755243">
        <w:rPr>
          <w:rFonts w:cs="Arial"/>
          <w:szCs w:val="24"/>
        </w:rPr>
        <w:t xml:space="preserve"> in s14 of </w:t>
      </w:r>
      <w:r w:rsidR="00EA2085">
        <w:rPr>
          <w:rFonts w:cs="Arial"/>
          <w:szCs w:val="24"/>
        </w:rPr>
        <w:t xml:space="preserve">POCA </w:t>
      </w:r>
      <w:r w:rsidRPr="00755243">
        <w:rPr>
          <w:rFonts w:cs="Arial"/>
          <w:szCs w:val="24"/>
        </w:rPr>
        <w:t xml:space="preserve">, </w:t>
      </w:r>
      <w:r w:rsidR="00755243">
        <w:rPr>
          <w:rFonts w:cs="Arial"/>
          <w:szCs w:val="24"/>
        </w:rPr>
        <w:t>as</w:t>
      </w:r>
      <w:r w:rsidRPr="00755243">
        <w:rPr>
          <w:rFonts w:cs="Arial"/>
          <w:szCs w:val="24"/>
        </w:rPr>
        <w:t>:</w:t>
      </w:r>
    </w:p>
    <w:p w14:paraId="00AB020D" w14:textId="28CE415E" w:rsidR="00031626" w:rsidRDefault="00031626" w:rsidP="006C5797">
      <w:pPr>
        <w:pStyle w:val="ListParagraph"/>
        <w:tabs>
          <w:tab w:val="left" w:pos="1985"/>
        </w:tabs>
        <w:spacing w:before="480" w:after="0" w:line="360" w:lineRule="auto"/>
        <w:ind w:left="1418"/>
        <w:contextualSpacing w:val="0"/>
        <w:rPr>
          <w:rFonts w:cs="Arial"/>
          <w:szCs w:val="24"/>
        </w:rPr>
      </w:pPr>
      <w:r>
        <w:rPr>
          <w:rFonts w:cs="Arial"/>
          <w:szCs w:val="24"/>
        </w:rPr>
        <w:t>“</w:t>
      </w:r>
      <w:r>
        <w:rPr>
          <w:rFonts w:cs="Arial"/>
          <w:i/>
          <w:szCs w:val="24"/>
        </w:rPr>
        <w:t>The following property shall be realisable in terms of this chapter</w:t>
      </w:r>
      <w:r w:rsidR="00FA084B">
        <w:rPr>
          <w:rFonts w:cs="Arial"/>
          <w:i/>
          <w:szCs w:val="24"/>
        </w:rPr>
        <w:t>:</w:t>
      </w:r>
      <w:r>
        <w:rPr>
          <w:rFonts w:cs="Arial"/>
          <w:i/>
          <w:szCs w:val="24"/>
        </w:rPr>
        <w:t xml:space="preserve"> </w:t>
      </w:r>
    </w:p>
    <w:p w14:paraId="17365654" w14:textId="60CE6A7B" w:rsidR="00FA084B" w:rsidRPr="00A23670" w:rsidRDefault="00FA084B" w:rsidP="006C5797">
      <w:pPr>
        <w:pStyle w:val="ListParagraph"/>
        <w:tabs>
          <w:tab w:val="left" w:pos="1985"/>
        </w:tabs>
        <w:spacing w:before="480" w:after="0" w:line="360" w:lineRule="auto"/>
        <w:ind w:left="1985" w:hanging="567"/>
        <w:contextualSpacing w:val="0"/>
        <w:rPr>
          <w:rFonts w:cs="Arial"/>
          <w:i/>
          <w:szCs w:val="24"/>
        </w:rPr>
      </w:pPr>
      <w:r w:rsidRPr="00A23670">
        <w:rPr>
          <w:rFonts w:cs="Arial"/>
          <w:i/>
          <w:szCs w:val="24"/>
        </w:rPr>
        <w:t>(a)</w:t>
      </w:r>
      <w:r w:rsidRPr="00A23670">
        <w:rPr>
          <w:rFonts w:cs="Arial"/>
          <w:i/>
          <w:szCs w:val="24"/>
        </w:rPr>
        <w:tab/>
        <w:t>any property held by the defendant concerned; and</w:t>
      </w:r>
    </w:p>
    <w:p w14:paraId="69D7D2FD" w14:textId="0BF72F51" w:rsidR="00FA084B" w:rsidRPr="00FA084B" w:rsidRDefault="00FA084B" w:rsidP="006C5797">
      <w:pPr>
        <w:pStyle w:val="ListParagraph"/>
        <w:tabs>
          <w:tab w:val="left" w:pos="1985"/>
        </w:tabs>
        <w:spacing w:before="480" w:after="0" w:line="360" w:lineRule="auto"/>
        <w:ind w:left="1985" w:hanging="567"/>
        <w:contextualSpacing w:val="0"/>
        <w:rPr>
          <w:rFonts w:cs="Arial"/>
          <w:szCs w:val="24"/>
        </w:rPr>
      </w:pPr>
      <w:r w:rsidRPr="00A23670">
        <w:rPr>
          <w:rFonts w:cs="Arial"/>
          <w:i/>
          <w:szCs w:val="24"/>
        </w:rPr>
        <w:t>(b)</w:t>
      </w:r>
      <w:r>
        <w:rPr>
          <w:rFonts w:cs="Arial"/>
          <w:i/>
          <w:szCs w:val="24"/>
        </w:rPr>
        <w:tab/>
        <w:t>any property held by a person to whom that defendant had directly or indirectly made any affected gift.</w:t>
      </w:r>
      <w:r>
        <w:rPr>
          <w:rFonts w:cs="Arial"/>
          <w:szCs w:val="24"/>
        </w:rPr>
        <w:t>”</w:t>
      </w:r>
    </w:p>
    <w:p w14:paraId="687BF53D" w14:textId="25056910" w:rsidR="00347FBA" w:rsidRDefault="00BF4C04" w:rsidP="00347FBA">
      <w:pPr>
        <w:pStyle w:val="ListParagraph"/>
        <w:numPr>
          <w:ilvl w:val="0"/>
          <w:numId w:val="6"/>
        </w:numPr>
        <w:spacing w:before="480" w:after="0" w:line="480" w:lineRule="auto"/>
        <w:contextualSpacing w:val="0"/>
        <w:rPr>
          <w:rFonts w:cs="Arial"/>
          <w:szCs w:val="24"/>
        </w:rPr>
      </w:pPr>
      <w:r>
        <w:rPr>
          <w:rFonts w:cs="Arial"/>
          <w:szCs w:val="24"/>
        </w:rPr>
        <w:t xml:space="preserve">Realisable property includes an </w:t>
      </w:r>
      <w:r w:rsidRPr="00EA2085">
        <w:rPr>
          <w:rFonts w:cs="Arial"/>
          <w:i/>
          <w:iCs/>
          <w:szCs w:val="24"/>
        </w:rPr>
        <w:t>affected gift</w:t>
      </w:r>
      <w:r>
        <w:rPr>
          <w:rFonts w:cs="Arial"/>
          <w:szCs w:val="24"/>
        </w:rPr>
        <w:t xml:space="preserve">, which </w:t>
      </w:r>
      <w:r w:rsidR="00347FBA">
        <w:rPr>
          <w:rFonts w:cs="Arial"/>
          <w:szCs w:val="24"/>
        </w:rPr>
        <w:t xml:space="preserve">is defined in s12 </w:t>
      </w:r>
      <w:r w:rsidR="00EA2085">
        <w:rPr>
          <w:rFonts w:cs="Arial"/>
          <w:szCs w:val="24"/>
        </w:rPr>
        <w:t xml:space="preserve">of POCA </w:t>
      </w:r>
      <w:r w:rsidR="00347FBA">
        <w:rPr>
          <w:rFonts w:cs="Arial"/>
          <w:szCs w:val="24"/>
        </w:rPr>
        <w:t>as:</w:t>
      </w:r>
    </w:p>
    <w:p w14:paraId="767C16AC" w14:textId="77777777" w:rsidR="00347FBA" w:rsidRDefault="00347FBA" w:rsidP="00347FBA">
      <w:pPr>
        <w:pStyle w:val="ListParagraph"/>
        <w:tabs>
          <w:tab w:val="left" w:pos="1985"/>
        </w:tabs>
        <w:spacing w:before="480" w:after="0" w:line="360" w:lineRule="auto"/>
        <w:ind w:left="1985" w:hanging="567"/>
        <w:contextualSpacing w:val="0"/>
        <w:rPr>
          <w:rFonts w:cs="Arial"/>
          <w:i/>
          <w:szCs w:val="24"/>
        </w:rPr>
      </w:pPr>
      <w:r>
        <w:rPr>
          <w:rFonts w:cs="Arial"/>
          <w:szCs w:val="24"/>
        </w:rPr>
        <w:t>“</w:t>
      </w:r>
      <w:r>
        <w:rPr>
          <w:rFonts w:cs="Arial"/>
          <w:i/>
          <w:szCs w:val="24"/>
        </w:rPr>
        <w:t>(a)</w:t>
      </w:r>
      <w:r>
        <w:rPr>
          <w:rFonts w:cs="Arial"/>
          <w:i/>
          <w:szCs w:val="24"/>
        </w:rPr>
        <w:tab/>
        <w:t>Made by the defendant concerned not more than seven years before the fixed date; or</w:t>
      </w:r>
    </w:p>
    <w:p w14:paraId="117ECBCF" w14:textId="564AD241" w:rsidR="00347FBA" w:rsidRDefault="00347FBA" w:rsidP="00347FBA">
      <w:pPr>
        <w:pStyle w:val="ListParagraph"/>
        <w:tabs>
          <w:tab w:val="left" w:pos="1985"/>
        </w:tabs>
        <w:spacing w:before="480" w:after="0" w:line="360" w:lineRule="auto"/>
        <w:ind w:left="1985" w:hanging="567"/>
        <w:contextualSpacing w:val="0"/>
        <w:rPr>
          <w:rFonts w:cs="Arial"/>
          <w:i/>
          <w:szCs w:val="24"/>
        </w:rPr>
      </w:pPr>
      <w:r w:rsidRPr="00A23670">
        <w:rPr>
          <w:rFonts w:cs="Arial"/>
          <w:i/>
          <w:szCs w:val="24"/>
        </w:rPr>
        <w:t>(b)</w:t>
      </w:r>
      <w:r w:rsidRPr="00A23670">
        <w:rPr>
          <w:rFonts w:cs="Arial"/>
          <w:i/>
          <w:szCs w:val="24"/>
        </w:rPr>
        <w:tab/>
        <w:t>made by the defendant</w:t>
      </w:r>
      <w:r>
        <w:rPr>
          <w:rFonts w:cs="Arial"/>
          <w:i/>
          <w:szCs w:val="24"/>
        </w:rPr>
        <w:t xml:space="preserve"> concerned at any </w:t>
      </w:r>
      <w:r w:rsidR="00236AC9">
        <w:rPr>
          <w:rFonts w:cs="Arial"/>
          <w:i/>
          <w:szCs w:val="24"/>
        </w:rPr>
        <w:t>time if</w:t>
      </w:r>
      <w:r>
        <w:rPr>
          <w:rFonts w:cs="Arial"/>
          <w:i/>
          <w:szCs w:val="24"/>
        </w:rPr>
        <w:t xml:space="preserve"> it was a gift –</w:t>
      </w:r>
    </w:p>
    <w:p w14:paraId="485D7979" w14:textId="77777777" w:rsidR="00347FBA" w:rsidRDefault="00347FBA" w:rsidP="00347FBA">
      <w:pPr>
        <w:pStyle w:val="ListParagraph"/>
        <w:tabs>
          <w:tab w:val="left" w:pos="2552"/>
        </w:tabs>
        <w:spacing w:before="480" w:after="0" w:line="360" w:lineRule="auto"/>
        <w:ind w:left="2552" w:hanging="567"/>
        <w:contextualSpacing w:val="0"/>
        <w:rPr>
          <w:rFonts w:cs="Arial"/>
          <w:i/>
          <w:szCs w:val="24"/>
        </w:rPr>
      </w:pPr>
      <w:r>
        <w:rPr>
          <w:rFonts w:cs="Arial"/>
          <w:i/>
          <w:szCs w:val="24"/>
        </w:rPr>
        <w:t>(i)</w:t>
      </w:r>
      <w:r>
        <w:rPr>
          <w:rFonts w:cs="Arial"/>
          <w:i/>
          <w:szCs w:val="24"/>
        </w:rPr>
        <w:tab/>
        <w:t>of property received by that defendant in connection with an offence committed by him or her in any person; or</w:t>
      </w:r>
    </w:p>
    <w:p w14:paraId="4509F66A" w14:textId="77777777" w:rsidR="00347FBA" w:rsidRPr="00FA084B" w:rsidRDefault="00347FBA" w:rsidP="00347FBA">
      <w:pPr>
        <w:pStyle w:val="ListParagraph"/>
        <w:tabs>
          <w:tab w:val="left" w:pos="2552"/>
        </w:tabs>
        <w:spacing w:before="480" w:after="0" w:line="360" w:lineRule="auto"/>
        <w:ind w:left="2552" w:hanging="567"/>
        <w:contextualSpacing w:val="0"/>
        <w:rPr>
          <w:rFonts w:cs="Arial"/>
          <w:szCs w:val="24"/>
        </w:rPr>
      </w:pPr>
      <w:r>
        <w:rPr>
          <w:rFonts w:cs="Arial"/>
          <w:i/>
          <w:szCs w:val="24"/>
        </w:rPr>
        <w:t>(ii)</w:t>
      </w:r>
      <w:r>
        <w:rPr>
          <w:rFonts w:cs="Arial"/>
          <w:i/>
          <w:szCs w:val="24"/>
        </w:rPr>
        <w:tab/>
        <w:t xml:space="preserve">of property, or any part thereof, which directly or indirectly represented in that defendant’s hands property received by </w:t>
      </w:r>
      <w:r>
        <w:rPr>
          <w:rFonts w:cs="Arial"/>
          <w:i/>
          <w:szCs w:val="24"/>
        </w:rPr>
        <w:lastRenderedPageBreak/>
        <w:t>him or her in that connection, whether any such gift was made before or after the commencement of this Act.</w:t>
      </w:r>
      <w:r>
        <w:rPr>
          <w:rFonts w:cs="Arial"/>
          <w:szCs w:val="24"/>
        </w:rPr>
        <w:t>”</w:t>
      </w:r>
    </w:p>
    <w:p w14:paraId="1648DDEB" w14:textId="24ED3F95" w:rsidR="004709DD" w:rsidRDefault="004709DD" w:rsidP="004709DD">
      <w:pPr>
        <w:pStyle w:val="ListParagraph"/>
        <w:numPr>
          <w:ilvl w:val="0"/>
          <w:numId w:val="6"/>
        </w:numPr>
        <w:spacing w:before="480" w:after="0" w:line="480" w:lineRule="auto"/>
        <w:contextualSpacing w:val="0"/>
        <w:rPr>
          <w:rFonts w:cs="Arial"/>
          <w:szCs w:val="24"/>
        </w:rPr>
      </w:pPr>
      <w:r>
        <w:rPr>
          <w:rFonts w:cs="Arial"/>
          <w:szCs w:val="24"/>
        </w:rPr>
        <w:t xml:space="preserve">Critical to both the definitions of what constitutes </w:t>
      </w:r>
      <w:r w:rsidRPr="00EA2085">
        <w:rPr>
          <w:rFonts w:cs="Arial"/>
          <w:i/>
          <w:iCs/>
          <w:szCs w:val="24"/>
        </w:rPr>
        <w:t>realisable property</w:t>
      </w:r>
      <w:r w:rsidRPr="0015269A">
        <w:rPr>
          <w:rFonts w:cs="Arial"/>
          <w:szCs w:val="24"/>
        </w:rPr>
        <w:t xml:space="preserve"> and </w:t>
      </w:r>
      <w:r w:rsidR="00A20A7C">
        <w:rPr>
          <w:rFonts w:cs="Arial"/>
          <w:szCs w:val="24"/>
        </w:rPr>
        <w:t xml:space="preserve">an </w:t>
      </w:r>
      <w:r w:rsidRPr="00F23B04">
        <w:rPr>
          <w:rFonts w:cs="Arial"/>
          <w:i/>
          <w:iCs/>
          <w:szCs w:val="24"/>
        </w:rPr>
        <w:t>affected gift</w:t>
      </w:r>
      <w:r w:rsidRPr="0015269A">
        <w:rPr>
          <w:rFonts w:cs="Arial"/>
          <w:szCs w:val="24"/>
        </w:rPr>
        <w:t xml:space="preserve"> is that</w:t>
      </w:r>
      <w:r w:rsidR="007D35BB" w:rsidRPr="0015269A">
        <w:rPr>
          <w:rFonts w:cs="Arial"/>
          <w:szCs w:val="24"/>
        </w:rPr>
        <w:t xml:space="preserve"> a </w:t>
      </w:r>
      <w:r w:rsidR="007D35BB" w:rsidRPr="0015269A">
        <w:rPr>
          <w:rFonts w:cs="Arial"/>
          <w:i/>
          <w:iCs/>
          <w:szCs w:val="24"/>
        </w:rPr>
        <w:t>defendant</w:t>
      </w:r>
      <w:r w:rsidR="007D35BB" w:rsidRPr="0015269A">
        <w:rPr>
          <w:rFonts w:cs="Arial"/>
          <w:szCs w:val="24"/>
        </w:rPr>
        <w:t xml:space="preserve">, either </w:t>
      </w:r>
      <w:r w:rsidR="007D35BB" w:rsidRPr="0015269A">
        <w:rPr>
          <w:rFonts w:cs="Arial"/>
          <w:i/>
          <w:iCs/>
          <w:szCs w:val="24"/>
        </w:rPr>
        <w:t>directly or indirectly</w:t>
      </w:r>
      <w:r w:rsidR="007D35BB">
        <w:rPr>
          <w:rFonts w:cs="Arial"/>
          <w:b/>
          <w:bCs/>
          <w:szCs w:val="24"/>
        </w:rPr>
        <w:t>,</w:t>
      </w:r>
      <w:r>
        <w:rPr>
          <w:rFonts w:cs="Arial"/>
          <w:szCs w:val="24"/>
        </w:rPr>
        <w:t xml:space="preserve"> </w:t>
      </w:r>
      <w:r w:rsidR="00202829">
        <w:rPr>
          <w:rFonts w:cs="Arial"/>
          <w:szCs w:val="24"/>
        </w:rPr>
        <w:t>gave or transferred or made</w:t>
      </w:r>
      <w:r w:rsidR="00D5117A">
        <w:rPr>
          <w:rFonts w:cs="Arial"/>
          <w:szCs w:val="24"/>
        </w:rPr>
        <w:t xml:space="preserve"> </w:t>
      </w:r>
      <w:r>
        <w:rPr>
          <w:rFonts w:cs="Arial"/>
          <w:szCs w:val="24"/>
        </w:rPr>
        <w:t>the</w:t>
      </w:r>
      <w:r w:rsidR="00C46322">
        <w:rPr>
          <w:rFonts w:cs="Arial"/>
          <w:szCs w:val="24"/>
        </w:rPr>
        <w:t xml:space="preserve"> </w:t>
      </w:r>
      <w:r w:rsidR="00C46322" w:rsidRPr="00C46322">
        <w:rPr>
          <w:rFonts w:cs="Arial"/>
          <w:i/>
          <w:iCs/>
          <w:szCs w:val="24"/>
        </w:rPr>
        <w:t>affected</w:t>
      </w:r>
      <w:r w:rsidR="00C46322">
        <w:rPr>
          <w:rFonts w:cs="Arial"/>
          <w:szCs w:val="24"/>
        </w:rPr>
        <w:t xml:space="preserve"> </w:t>
      </w:r>
      <w:r w:rsidR="00C46322" w:rsidRPr="00C46322">
        <w:rPr>
          <w:rFonts w:cs="Arial"/>
          <w:i/>
          <w:iCs/>
          <w:szCs w:val="24"/>
        </w:rPr>
        <w:t>gift</w:t>
      </w:r>
      <w:r w:rsidR="00C46322">
        <w:rPr>
          <w:rFonts w:cs="Arial"/>
          <w:szCs w:val="24"/>
        </w:rPr>
        <w:t xml:space="preserve"> or</w:t>
      </w:r>
      <w:r>
        <w:rPr>
          <w:rFonts w:cs="Arial"/>
          <w:szCs w:val="24"/>
        </w:rPr>
        <w:t xml:space="preserve"> </w:t>
      </w:r>
      <w:r w:rsidRPr="00676B67">
        <w:rPr>
          <w:rFonts w:cs="Arial"/>
          <w:i/>
          <w:iCs/>
          <w:szCs w:val="24"/>
        </w:rPr>
        <w:t>property</w:t>
      </w:r>
      <w:r>
        <w:rPr>
          <w:rFonts w:cs="Arial"/>
          <w:szCs w:val="24"/>
        </w:rPr>
        <w:t xml:space="preserve"> </w:t>
      </w:r>
      <w:r w:rsidR="00D5117A">
        <w:rPr>
          <w:rFonts w:cs="Arial"/>
          <w:szCs w:val="24"/>
        </w:rPr>
        <w:t xml:space="preserve">available </w:t>
      </w:r>
      <w:r w:rsidR="00202829">
        <w:rPr>
          <w:rFonts w:cs="Arial"/>
          <w:szCs w:val="24"/>
        </w:rPr>
        <w:t>t</w:t>
      </w:r>
      <w:r>
        <w:rPr>
          <w:rFonts w:cs="Arial"/>
          <w:szCs w:val="24"/>
        </w:rPr>
        <w:t>o the recipient.</w:t>
      </w:r>
    </w:p>
    <w:p w14:paraId="316769A3" w14:textId="378E6519" w:rsidR="00C56CE7" w:rsidRDefault="00C56CE7" w:rsidP="00C56CE7">
      <w:pPr>
        <w:pStyle w:val="ListParagraph"/>
        <w:numPr>
          <w:ilvl w:val="0"/>
          <w:numId w:val="6"/>
        </w:numPr>
        <w:spacing w:before="480" w:after="0" w:line="480" w:lineRule="auto"/>
        <w:contextualSpacing w:val="0"/>
        <w:rPr>
          <w:rFonts w:cs="Arial"/>
          <w:szCs w:val="24"/>
        </w:rPr>
      </w:pPr>
      <w:r>
        <w:rPr>
          <w:rFonts w:cs="Arial"/>
          <w:szCs w:val="24"/>
        </w:rPr>
        <w:t xml:space="preserve">A </w:t>
      </w:r>
      <w:r w:rsidRPr="00B01D05">
        <w:rPr>
          <w:rFonts w:cs="Arial"/>
          <w:i/>
          <w:iCs/>
          <w:szCs w:val="24"/>
        </w:rPr>
        <w:t>defendant</w:t>
      </w:r>
      <w:r>
        <w:rPr>
          <w:rFonts w:cs="Arial"/>
          <w:szCs w:val="24"/>
        </w:rPr>
        <w:t xml:space="preserve"> is defined in s1</w:t>
      </w:r>
      <w:r w:rsidR="009C1451">
        <w:rPr>
          <w:rFonts w:cs="Arial"/>
          <w:szCs w:val="24"/>
        </w:rPr>
        <w:t>2</w:t>
      </w:r>
      <w:r>
        <w:rPr>
          <w:rFonts w:cs="Arial"/>
          <w:szCs w:val="24"/>
        </w:rPr>
        <w:t xml:space="preserve"> of POCA to mean:</w:t>
      </w:r>
    </w:p>
    <w:p w14:paraId="674C5C04" w14:textId="24AAE7C5" w:rsidR="00C56CE7" w:rsidRPr="00FA084B" w:rsidRDefault="00C56CE7" w:rsidP="00C56CE7">
      <w:pPr>
        <w:pStyle w:val="ListParagraph"/>
        <w:tabs>
          <w:tab w:val="left" w:pos="1985"/>
        </w:tabs>
        <w:spacing w:before="480" w:after="0" w:line="360" w:lineRule="auto"/>
        <w:ind w:left="1418"/>
        <w:contextualSpacing w:val="0"/>
        <w:rPr>
          <w:rFonts w:cs="Arial"/>
          <w:szCs w:val="24"/>
        </w:rPr>
      </w:pPr>
      <w:r>
        <w:rPr>
          <w:rFonts w:cs="Arial"/>
          <w:szCs w:val="24"/>
        </w:rPr>
        <w:t>“</w:t>
      </w:r>
      <w:r>
        <w:rPr>
          <w:rFonts w:cs="Arial"/>
          <w:i/>
          <w:szCs w:val="24"/>
        </w:rPr>
        <w:t>A person against whom a prosecution for an offence has been instituted, irrespective of whether he or she has been convicted or not</w:t>
      </w:r>
      <w:r w:rsidR="00C86E76">
        <w:rPr>
          <w:rFonts w:cs="Arial"/>
          <w:i/>
          <w:szCs w:val="24"/>
        </w:rPr>
        <w:t xml:space="preserve"> including a perso</w:t>
      </w:r>
      <w:r w:rsidR="009C1451">
        <w:rPr>
          <w:rFonts w:cs="Arial"/>
          <w:i/>
          <w:szCs w:val="24"/>
        </w:rPr>
        <w:t>n</w:t>
      </w:r>
      <w:r w:rsidR="00C86E76">
        <w:rPr>
          <w:rFonts w:cs="Arial"/>
          <w:i/>
          <w:szCs w:val="24"/>
        </w:rPr>
        <w:t xml:space="preserve"> </w:t>
      </w:r>
      <w:r w:rsidR="009C1451">
        <w:rPr>
          <w:rFonts w:cs="Arial"/>
          <w:i/>
          <w:szCs w:val="24"/>
        </w:rPr>
        <w:t xml:space="preserve"> referred to in s25 (1)(b)</w:t>
      </w:r>
      <w:r w:rsidR="00C06F97">
        <w:rPr>
          <w:rFonts w:cs="Arial"/>
          <w:i/>
          <w:szCs w:val="24"/>
        </w:rPr>
        <w:t>.</w:t>
      </w:r>
      <w:r>
        <w:rPr>
          <w:rFonts w:cs="Arial"/>
          <w:szCs w:val="24"/>
        </w:rPr>
        <w:t>”</w:t>
      </w:r>
    </w:p>
    <w:p w14:paraId="4AB71BE4" w14:textId="0EFD44BE" w:rsidR="00FE16DC" w:rsidRDefault="00FE16DC" w:rsidP="00FE16DC">
      <w:pPr>
        <w:pStyle w:val="ListParagraph"/>
        <w:numPr>
          <w:ilvl w:val="0"/>
          <w:numId w:val="6"/>
        </w:numPr>
        <w:spacing w:before="480" w:after="0" w:line="480" w:lineRule="auto"/>
        <w:contextualSpacing w:val="0"/>
        <w:rPr>
          <w:rFonts w:cs="Arial"/>
          <w:szCs w:val="24"/>
        </w:rPr>
      </w:pPr>
      <w:r>
        <w:rPr>
          <w:rFonts w:cs="Arial"/>
          <w:szCs w:val="24"/>
        </w:rPr>
        <w:t xml:space="preserve">A person </w:t>
      </w:r>
      <w:r w:rsidRPr="00BF704C">
        <w:rPr>
          <w:rFonts w:cs="Arial"/>
          <w:szCs w:val="24"/>
        </w:rPr>
        <w:t xml:space="preserve">who is </w:t>
      </w:r>
      <w:r>
        <w:rPr>
          <w:rFonts w:cs="Arial"/>
          <w:szCs w:val="24"/>
        </w:rPr>
        <w:t xml:space="preserve">connected </w:t>
      </w:r>
      <w:r w:rsidRPr="00BF704C">
        <w:rPr>
          <w:rFonts w:cs="Arial"/>
          <w:szCs w:val="24"/>
        </w:rPr>
        <w:t>to all</w:t>
      </w:r>
      <w:r>
        <w:rPr>
          <w:rFonts w:cs="Arial"/>
          <w:szCs w:val="24"/>
        </w:rPr>
        <w:t xml:space="preserve"> the respondent entities</w:t>
      </w:r>
      <w:r w:rsidR="00EE3C0D">
        <w:rPr>
          <w:rFonts w:cs="Arial"/>
          <w:szCs w:val="24"/>
        </w:rPr>
        <w:t xml:space="preserve">, either as a director </w:t>
      </w:r>
      <w:r w:rsidR="00A743F9">
        <w:rPr>
          <w:rFonts w:cs="Arial"/>
          <w:szCs w:val="24"/>
        </w:rPr>
        <w:t>and/</w:t>
      </w:r>
      <w:r w:rsidR="00EE3C0D">
        <w:rPr>
          <w:rFonts w:cs="Arial"/>
          <w:szCs w:val="24"/>
        </w:rPr>
        <w:t>or a shareholder</w:t>
      </w:r>
      <w:r w:rsidR="00A743F9">
        <w:rPr>
          <w:rFonts w:cs="Arial"/>
          <w:szCs w:val="24"/>
        </w:rPr>
        <w:t xml:space="preserve"> and/</w:t>
      </w:r>
      <w:r w:rsidR="00A16DFD">
        <w:rPr>
          <w:rFonts w:cs="Arial"/>
          <w:szCs w:val="24"/>
        </w:rPr>
        <w:t xml:space="preserve"> or a beneficiary of a shareholder</w:t>
      </w:r>
      <w:r w:rsidR="006F2D27">
        <w:rPr>
          <w:rFonts w:cs="Arial"/>
          <w:szCs w:val="24"/>
        </w:rPr>
        <w:t>,</w:t>
      </w:r>
      <w:r w:rsidRPr="00BF704C">
        <w:rPr>
          <w:rFonts w:cs="Arial"/>
          <w:szCs w:val="24"/>
        </w:rPr>
        <w:t xml:space="preserve"> is the </w:t>
      </w:r>
      <w:r>
        <w:rPr>
          <w:rFonts w:cs="Arial"/>
          <w:szCs w:val="24"/>
        </w:rPr>
        <w:t>fourteenth</w:t>
      </w:r>
      <w:r w:rsidRPr="00BF704C">
        <w:rPr>
          <w:rFonts w:cs="Arial"/>
          <w:szCs w:val="24"/>
        </w:rPr>
        <w:t xml:space="preserve"> respondent</w:t>
      </w:r>
      <w:r>
        <w:rPr>
          <w:rFonts w:cs="Arial"/>
          <w:szCs w:val="24"/>
        </w:rPr>
        <w:t xml:space="preserve">, who is </w:t>
      </w:r>
      <w:r w:rsidRPr="00FE16DC">
        <w:rPr>
          <w:rFonts w:cs="Arial"/>
          <w:szCs w:val="24"/>
        </w:rPr>
        <w:t>not d</w:t>
      </w:r>
      <w:r w:rsidRPr="00BF704C">
        <w:rPr>
          <w:rFonts w:cs="Arial"/>
          <w:szCs w:val="24"/>
        </w:rPr>
        <w:t>efendant.</w:t>
      </w:r>
      <w:r>
        <w:rPr>
          <w:rFonts w:cs="Arial"/>
          <w:szCs w:val="24"/>
        </w:rPr>
        <w:t xml:space="preserve"> Neither are any of the respondent entities.</w:t>
      </w:r>
    </w:p>
    <w:p w14:paraId="083CE423" w14:textId="011D36C3" w:rsidR="00EE3C0D" w:rsidRPr="00810806" w:rsidRDefault="00EE3C0D" w:rsidP="00EE3C0D">
      <w:pPr>
        <w:pStyle w:val="ListParagraph"/>
        <w:numPr>
          <w:ilvl w:val="0"/>
          <w:numId w:val="6"/>
        </w:numPr>
        <w:spacing w:before="480" w:after="0" w:line="480" w:lineRule="auto"/>
        <w:contextualSpacing w:val="0"/>
        <w:rPr>
          <w:rFonts w:cs="Arial"/>
          <w:szCs w:val="24"/>
        </w:rPr>
      </w:pPr>
      <w:r w:rsidRPr="00810806">
        <w:rPr>
          <w:rFonts w:cs="Arial"/>
          <w:szCs w:val="24"/>
        </w:rPr>
        <w:t xml:space="preserve">No criminal proceedings have been instituted against the respondent entities. The </w:t>
      </w:r>
      <w:r w:rsidR="00557F92">
        <w:rPr>
          <w:rFonts w:cs="Arial"/>
          <w:szCs w:val="24"/>
        </w:rPr>
        <w:t xml:space="preserve">founding </w:t>
      </w:r>
      <w:r w:rsidRPr="00810806">
        <w:rPr>
          <w:rFonts w:cs="Arial"/>
          <w:szCs w:val="24"/>
        </w:rPr>
        <w:t>affidavit</w:t>
      </w:r>
      <w:r w:rsidR="003B388F">
        <w:rPr>
          <w:rFonts w:cs="Arial"/>
          <w:szCs w:val="24"/>
        </w:rPr>
        <w:t>s</w:t>
      </w:r>
      <w:r w:rsidRPr="00810806">
        <w:rPr>
          <w:rFonts w:cs="Arial"/>
          <w:szCs w:val="24"/>
        </w:rPr>
        <w:t xml:space="preserve"> deposed to in support of the restraint order contain no allegation that any of the respondent entities will be prosecuted. Similarly, there are no contentions in the founding affidavit that the fourteenth respondent will be prosecuted.</w:t>
      </w:r>
    </w:p>
    <w:p w14:paraId="16BB7DBB" w14:textId="58B0DAB0" w:rsidR="00C146AF" w:rsidRPr="00810806" w:rsidRDefault="00C146AF" w:rsidP="00C146AF">
      <w:pPr>
        <w:pStyle w:val="ListParagraph"/>
        <w:numPr>
          <w:ilvl w:val="0"/>
          <w:numId w:val="6"/>
        </w:numPr>
        <w:spacing w:before="480" w:after="0" w:line="480" w:lineRule="auto"/>
        <w:contextualSpacing w:val="0"/>
        <w:rPr>
          <w:rFonts w:cs="Arial"/>
          <w:szCs w:val="24"/>
        </w:rPr>
      </w:pPr>
      <w:r w:rsidRPr="00810806">
        <w:rPr>
          <w:rFonts w:cs="Arial"/>
          <w:szCs w:val="24"/>
        </w:rPr>
        <w:t>The facts in this matter</w:t>
      </w:r>
      <w:r w:rsidR="00AA70A3">
        <w:rPr>
          <w:rFonts w:cs="Arial"/>
          <w:szCs w:val="24"/>
        </w:rPr>
        <w:t xml:space="preserve"> </w:t>
      </w:r>
      <w:r w:rsidRPr="00810806">
        <w:rPr>
          <w:rFonts w:cs="Arial"/>
          <w:szCs w:val="24"/>
        </w:rPr>
        <w:t xml:space="preserve">are distinguishable from </w:t>
      </w:r>
      <w:r w:rsidR="00AA70A3">
        <w:rPr>
          <w:rFonts w:cs="Arial"/>
          <w:szCs w:val="24"/>
        </w:rPr>
        <w:t xml:space="preserve">those in </w:t>
      </w:r>
      <w:r w:rsidRPr="00810806">
        <w:rPr>
          <w:rFonts w:cs="Arial"/>
          <w:szCs w:val="24"/>
        </w:rPr>
        <w:t xml:space="preserve">the </w:t>
      </w:r>
      <w:r w:rsidR="008E6E6B">
        <w:rPr>
          <w:rFonts w:cs="Arial"/>
          <w:szCs w:val="24"/>
        </w:rPr>
        <w:t xml:space="preserve">matter of </w:t>
      </w:r>
      <w:r w:rsidR="008E6E6B" w:rsidRPr="008E6E6B">
        <w:rPr>
          <w:rFonts w:cs="Arial"/>
          <w:i/>
          <w:iCs/>
          <w:szCs w:val="24"/>
        </w:rPr>
        <w:t>National Director of Public Prosecutors</w:t>
      </w:r>
      <w:r w:rsidR="008E6E6B">
        <w:rPr>
          <w:rFonts w:cs="Arial"/>
          <w:szCs w:val="24"/>
        </w:rPr>
        <w:t xml:space="preserve"> v </w:t>
      </w:r>
      <w:r w:rsidRPr="00810806">
        <w:rPr>
          <w:rFonts w:cs="Arial"/>
          <w:i/>
          <w:szCs w:val="24"/>
        </w:rPr>
        <w:t>Woo</w:t>
      </w:r>
      <w:r w:rsidR="008A4EC4">
        <w:rPr>
          <w:rFonts w:cs="Arial"/>
          <w:i/>
          <w:szCs w:val="24"/>
        </w:rPr>
        <w:t>d</w:t>
      </w:r>
      <w:r w:rsidRPr="00810806">
        <w:rPr>
          <w:rFonts w:cs="Arial"/>
          <w:szCs w:val="24"/>
        </w:rPr>
        <w:t xml:space="preserve"> decision where the case of the NDPP was that the</w:t>
      </w:r>
      <w:r w:rsidR="004910A8">
        <w:rPr>
          <w:rFonts w:cs="Arial"/>
          <w:szCs w:val="24"/>
        </w:rPr>
        <w:t xml:space="preserve">re were reasonable </w:t>
      </w:r>
      <w:r w:rsidR="00EE0082">
        <w:rPr>
          <w:rFonts w:cs="Arial"/>
          <w:szCs w:val="24"/>
        </w:rPr>
        <w:t>grounds for believing that</w:t>
      </w:r>
      <w:r w:rsidRPr="00810806">
        <w:rPr>
          <w:rFonts w:cs="Arial"/>
          <w:szCs w:val="24"/>
        </w:rPr>
        <w:t xml:space="preserve"> </w:t>
      </w:r>
      <w:r w:rsidR="0026461D">
        <w:rPr>
          <w:rFonts w:cs="Arial"/>
          <w:szCs w:val="24"/>
        </w:rPr>
        <w:t xml:space="preserve">the </w:t>
      </w:r>
      <w:r w:rsidR="0026461D">
        <w:rPr>
          <w:rFonts w:cs="Arial"/>
          <w:i/>
          <w:iCs/>
          <w:szCs w:val="24"/>
        </w:rPr>
        <w:t>Wood</w:t>
      </w:r>
      <w:r w:rsidR="00427799">
        <w:rPr>
          <w:rFonts w:cs="Arial"/>
          <w:szCs w:val="24"/>
        </w:rPr>
        <w:t xml:space="preserve"> </w:t>
      </w:r>
      <w:r w:rsidRPr="00810806">
        <w:rPr>
          <w:rFonts w:cs="Arial"/>
          <w:szCs w:val="24"/>
        </w:rPr>
        <w:lastRenderedPageBreak/>
        <w:t>respondents would be prosecuted</w:t>
      </w:r>
      <w:r w:rsidR="00EE0082">
        <w:rPr>
          <w:rFonts w:cs="Arial"/>
          <w:szCs w:val="24"/>
        </w:rPr>
        <w:t xml:space="preserve">, at least for crimes of </w:t>
      </w:r>
      <w:r w:rsidR="00EE0082">
        <w:rPr>
          <w:rFonts w:cs="Arial"/>
          <w:i/>
          <w:iCs/>
          <w:szCs w:val="24"/>
        </w:rPr>
        <w:t xml:space="preserve">inter </w:t>
      </w:r>
      <w:r w:rsidR="00EE0082" w:rsidRPr="008458E4">
        <w:rPr>
          <w:rFonts w:cs="Arial"/>
          <w:szCs w:val="24"/>
        </w:rPr>
        <w:t xml:space="preserve">alia corruption, </w:t>
      </w:r>
      <w:r w:rsidR="00236AC9" w:rsidRPr="008458E4">
        <w:rPr>
          <w:rFonts w:cs="Arial"/>
          <w:szCs w:val="24"/>
        </w:rPr>
        <w:t>fraud,</w:t>
      </w:r>
      <w:r w:rsidR="00EE0082" w:rsidRPr="008458E4">
        <w:rPr>
          <w:rFonts w:cs="Arial"/>
          <w:szCs w:val="24"/>
        </w:rPr>
        <w:t xml:space="preserve"> and </w:t>
      </w:r>
      <w:r w:rsidR="008458E4" w:rsidRPr="008458E4">
        <w:rPr>
          <w:rFonts w:cs="Arial"/>
          <w:szCs w:val="24"/>
        </w:rPr>
        <w:t>money laundering</w:t>
      </w:r>
      <w:r w:rsidRPr="00810806">
        <w:rPr>
          <w:rFonts w:cs="Arial"/>
          <w:szCs w:val="24"/>
        </w:rPr>
        <w:t>.</w:t>
      </w:r>
      <w:r w:rsidRPr="00810806">
        <w:rPr>
          <w:rStyle w:val="FootnoteReference"/>
          <w:rFonts w:cs="Arial"/>
          <w:szCs w:val="24"/>
        </w:rPr>
        <w:footnoteReference w:id="14"/>
      </w:r>
      <w:r w:rsidR="00D14832">
        <w:rPr>
          <w:rFonts w:cs="Arial"/>
          <w:szCs w:val="24"/>
        </w:rPr>
        <w:t xml:space="preserve"> </w:t>
      </w:r>
    </w:p>
    <w:p w14:paraId="1CF84130" w14:textId="797A430C" w:rsidR="008A79D0" w:rsidRDefault="00247079" w:rsidP="008A79D0">
      <w:pPr>
        <w:pStyle w:val="ListParagraph"/>
        <w:numPr>
          <w:ilvl w:val="0"/>
          <w:numId w:val="6"/>
        </w:numPr>
        <w:spacing w:before="480" w:after="0" w:line="480" w:lineRule="auto"/>
        <w:contextualSpacing w:val="0"/>
        <w:rPr>
          <w:rFonts w:cs="Arial"/>
          <w:szCs w:val="24"/>
        </w:rPr>
      </w:pPr>
      <w:r w:rsidRPr="00A23670">
        <w:rPr>
          <w:rFonts w:cs="Arial"/>
          <w:szCs w:val="24"/>
        </w:rPr>
        <w:t xml:space="preserve">The </w:t>
      </w:r>
      <w:r w:rsidR="00672E41">
        <w:rPr>
          <w:rFonts w:cs="Arial"/>
          <w:szCs w:val="24"/>
        </w:rPr>
        <w:t xml:space="preserve">only remaining issue, </w:t>
      </w:r>
      <w:r>
        <w:rPr>
          <w:rFonts w:cs="Arial"/>
          <w:szCs w:val="24"/>
        </w:rPr>
        <w:t>which is determinant of this application</w:t>
      </w:r>
      <w:r w:rsidR="00672E41">
        <w:rPr>
          <w:rFonts w:cs="Arial"/>
          <w:szCs w:val="24"/>
        </w:rPr>
        <w:t>,</w:t>
      </w:r>
      <w:r>
        <w:rPr>
          <w:rFonts w:cs="Arial"/>
          <w:szCs w:val="24"/>
        </w:rPr>
        <w:t xml:space="preserve"> </w:t>
      </w:r>
      <w:r w:rsidRPr="00A23670">
        <w:rPr>
          <w:rFonts w:cs="Arial"/>
          <w:szCs w:val="24"/>
        </w:rPr>
        <w:t xml:space="preserve">is whether </w:t>
      </w:r>
      <w:r>
        <w:rPr>
          <w:rFonts w:cs="Arial"/>
          <w:szCs w:val="24"/>
        </w:rPr>
        <w:t xml:space="preserve">any of </w:t>
      </w:r>
      <w:r w:rsidRPr="00A23670">
        <w:rPr>
          <w:rFonts w:cs="Arial"/>
          <w:szCs w:val="24"/>
        </w:rPr>
        <w:t>the respondent entit</w:t>
      </w:r>
      <w:r>
        <w:rPr>
          <w:rFonts w:cs="Arial"/>
          <w:szCs w:val="24"/>
        </w:rPr>
        <w:t xml:space="preserve">ies holds </w:t>
      </w:r>
      <w:r w:rsidRPr="00E23E66">
        <w:rPr>
          <w:rFonts w:cs="Arial"/>
          <w:i/>
          <w:iCs/>
          <w:szCs w:val="24"/>
        </w:rPr>
        <w:t>realisable property</w:t>
      </w:r>
      <w:r w:rsidRPr="00A23670">
        <w:rPr>
          <w:rFonts w:cs="Arial"/>
          <w:szCs w:val="24"/>
        </w:rPr>
        <w:t xml:space="preserve"> received </w:t>
      </w:r>
      <w:r w:rsidR="00EA7123">
        <w:rPr>
          <w:rFonts w:cs="Arial"/>
          <w:szCs w:val="24"/>
        </w:rPr>
        <w:t xml:space="preserve">as </w:t>
      </w:r>
      <w:r w:rsidRPr="00A23670">
        <w:rPr>
          <w:rFonts w:cs="Arial"/>
          <w:szCs w:val="24"/>
        </w:rPr>
        <w:t xml:space="preserve">an </w:t>
      </w:r>
      <w:r w:rsidRPr="00E23E66">
        <w:rPr>
          <w:rFonts w:cs="Arial"/>
          <w:i/>
          <w:iCs/>
          <w:szCs w:val="24"/>
        </w:rPr>
        <w:t>affected gift</w:t>
      </w:r>
      <w:r w:rsidRPr="00A23670">
        <w:rPr>
          <w:rFonts w:cs="Arial"/>
          <w:szCs w:val="24"/>
        </w:rPr>
        <w:t xml:space="preserve"> from any </w:t>
      </w:r>
      <w:r>
        <w:rPr>
          <w:rFonts w:cs="Arial"/>
          <w:szCs w:val="24"/>
        </w:rPr>
        <w:t xml:space="preserve">of the </w:t>
      </w:r>
      <w:r w:rsidRPr="00A23670">
        <w:rPr>
          <w:rFonts w:cs="Arial"/>
          <w:szCs w:val="24"/>
        </w:rPr>
        <w:t>defendant</w:t>
      </w:r>
      <w:r>
        <w:rPr>
          <w:rFonts w:cs="Arial"/>
          <w:szCs w:val="24"/>
        </w:rPr>
        <w:t>s</w:t>
      </w:r>
      <w:r w:rsidRPr="00A23670">
        <w:rPr>
          <w:rFonts w:cs="Arial"/>
          <w:szCs w:val="24"/>
        </w:rPr>
        <w:t>.</w:t>
      </w:r>
      <w:r w:rsidR="008A79D0" w:rsidRPr="008A79D0">
        <w:rPr>
          <w:rFonts w:cs="Arial"/>
          <w:szCs w:val="24"/>
        </w:rPr>
        <w:t xml:space="preserve"> </w:t>
      </w:r>
      <w:r w:rsidR="00474BE3">
        <w:rPr>
          <w:rFonts w:cs="Arial"/>
          <w:szCs w:val="24"/>
        </w:rPr>
        <w:t>The NDPP</w:t>
      </w:r>
      <w:r w:rsidR="00F674C1">
        <w:rPr>
          <w:rFonts w:cs="Arial"/>
          <w:szCs w:val="24"/>
        </w:rPr>
        <w:t xml:space="preserve"> </w:t>
      </w:r>
      <w:r w:rsidR="00E23E66">
        <w:rPr>
          <w:rFonts w:cs="Arial"/>
          <w:szCs w:val="24"/>
        </w:rPr>
        <w:t>bears the onus to show</w:t>
      </w:r>
      <w:r w:rsidR="00533A52">
        <w:rPr>
          <w:rFonts w:cs="Arial"/>
          <w:szCs w:val="24"/>
        </w:rPr>
        <w:t>,</w:t>
      </w:r>
      <w:r w:rsidR="00E616BE">
        <w:rPr>
          <w:rFonts w:cs="Arial"/>
          <w:szCs w:val="24"/>
        </w:rPr>
        <w:t xml:space="preserve"> on</w:t>
      </w:r>
      <w:r w:rsidR="00474BE3">
        <w:rPr>
          <w:rFonts w:cs="Arial"/>
          <w:szCs w:val="24"/>
        </w:rPr>
        <w:t xml:space="preserve"> a balance of probabilities, that respondents received realisable property.</w:t>
      </w:r>
      <w:r w:rsidR="008A79D0">
        <w:rPr>
          <w:rStyle w:val="FootnoteReference"/>
          <w:rFonts w:cs="Arial"/>
          <w:szCs w:val="24"/>
        </w:rPr>
        <w:footnoteReference w:id="15"/>
      </w:r>
      <w:r w:rsidR="008A79D0">
        <w:rPr>
          <w:rFonts w:cs="Arial"/>
          <w:szCs w:val="24"/>
        </w:rPr>
        <w:t xml:space="preserve"> </w:t>
      </w:r>
    </w:p>
    <w:p w14:paraId="29AD5914" w14:textId="6B253A42" w:rsidR="00B01F1D" w:rsidRPr="00B46E4E" w:rsidRDefault="00A23670" w:rsidP="00B01F1D">
      <w:pPr>
        <w:pStyle w:val="ListParagraph"/>
        <w:numPr>
          <w:ilvl w:val="0"/>
          <w:numId w:val="6"/>
        </w:numPr>
        <w:spacing w:before="480" w:after="0" w:line="480" w:lineRule="auto"/>
        <w:contextualSpacing w:val="0"/>
        <w:rPr>
          <w:rFonts w:cs="Arial"/>
          <w:szCs w:val="24"/>
        </w:rPr>
      </w:pPr>
      <w:r>
        <w:rPr>
          <w:rFonts w:cs="Arial"/>
          <w:szCs w:val="24"/>
        </w:rPr>
        <w:t>Counsel for the respondent entities</w:t>
      </w:r>
      <w:r w:rsidR="00967431" w:rsidRPr="00BF704C">
        <w:rPr>
          <w:rFonts w:cs="Arial"/>
          <w:szCs w:val="24"/>
        </w:rPr>
        <w:t xml:space="preserve"> argue</w:t>
      </w:r>
      <w:r w:rsidR="00B46E4E">
        <w:rPr>
          <w:rFonts w:cs="Arial"/>
          <w:szCs w:val="24"/>
        </w:rPr>
        <w:t>d</w:t>
      </w:r>
      <w:r w:rsidR="00967431" w:rsidRPr="00BF704C">
        <w:rPr>
          <w:rFonts w:cs="Arial"/>
          <w:szCs w:val="24"/>
        </w:rPr>
        <w:t xml:space="preserve"> that</w:t>
      </w:r>
      <w:r w:rsidR="00AD5630">
        <w:rPr>
          <w:rFonts w:cs="Arial"/>
          <w:szCs w:val="24"/>
        </w:rPr>
        <w:t xml:space="preserve"> </w:t>
      </w:r>
      <w:r w:rsidR="0053618C">
        <w:rPr>
          <w:rFonts w:cs="Arial"/>
          <w:szCs w:val="24"/>
        </w:rPr>
        <w:t xml:space="preserve">any property the respondent entities received from the </w:t>
      </w:r>
      <w:r w:rsidR="00B46E4E">
        <w:rPr>
          <w:rFonts w:cs="Arial"/>
          <w:szCs w:val="24"/>
        </w:rPr>
        <w:t>fourteenth respondent</w:t>
      </w:r>
      <w:r w:rsidR="0053618C">
        <w:rPr>
          <w:rFonts w:cs="Arial"/>
          <w:szCs w:val="24"/>
        </w:rPr>
        <w:t xml:space="preserve"> is not realisable property subject to restraint</w:t>
      </w:r>
      <w:r w:rsidR="00B80EA3">
        <w:rPr>
          <w:rFonts w:cs="Arial"/>
          <w:szCs w:val="24"/>
        </w:rPr>
        <w:t xml:space="preserve">, as the fourteenth respondent </w:t>
      </w:r>
      <w:r w:rsidR="00B46E4E">
        <w:rPr>
          <w:rFonts w:cs="Arial"/>
          <w:szCs w:val="24"/>
        </w:rPr>
        <w:t>is not a defendant</w:t>
      </w:r>
      <w:r w:rsidR="00B80EA3">
        <w:rPr>
          <w:rFonts w:cs="Arial"/>
          <w:szCs w:val="24"/>
        </w:rPr>
        <w:t>. Absent</w:t>
      </w:r>
      <w:r w:rsidR="00BA5EC3">
        <w:rPr>
          <w:rFonts w:cs="Arial"/>
          <w:szCs w:val="24"/>
        </w:rPr>
        <w:t xml:space="preserve"> the fourteenth respondent being a defendant</w:t>
      </w:r>
      <w:r w:rsidR="00B46E4E">
        <w:rPr>
          <w:rFonts w:cs="Arial"/>
          <w:szCs w:val="24"/>
        </w:rPr>
        <w:t>,</w:t>
      </w:r>
      <w:r w:rsidR="00F43E6B">
        <w:rPr>
          <w:rFonts w:cs="Arial"/>
          <w:szCs w:val="24"/>
        </w:rPr>
        <w:t xml:space="preserve"> counsel for the respondent entities argued,</w:t>
      </w:r>
      <w:r w:rsidR="00B46E4E">
        <w:rPr>
          <w:rFonts w:cs="Arial"/>
          <w:szCs w:val="24"/>
        </w:rPr>
        <w:t xml:space="preserve"> </w:t>
      </w:r>
      <w:r w:rsidR="00967431" w:rsidRPr="00BF704C">
        <w:rPr>
          <w:rFonts w:cs="Arial"/>
          <w:szCs w:val="24"/>
        </w:rPr>
        <w:t xml:space="preserve">the </w:t>
      </w:r>
      <w:r w:rsidR="00B46E4E">
        <w:rPr>
          <w:rFonts w:cs="Arial"/>
          <w:szCs w:val="24"/>
        </w:rPr>
        <w:t xml:space="preserve">requisite </w:t>
      </w:r>
      <w:r w:rsidR="00967431" w:rsidRPr="00BF704C">
        <w:rPr>
          <w:rFonts w:cs="Arial"/>
          <w:szCs w:val="24"/>
        </w:rPr>
        <w:t xml:space="preserve">causal connection </w:t>
      </w:r>
      <w:r w:rsidR="00BA5EC3">
        <w:rPr>
          <w:rFonts w:cs="Arial"/>
          <w:szCs w:val="24"/>
        </w:rPr>
        <w:t xml:space="preserve">required by POCA to </w:t>
      </w:r>
      <w:r w:rsidR="00C17DC2">
        <w:rPr>
          <w:rFonts w:cs="Arial"/>
          <w:szCs w:val="24"/>
        </w:rPr>
        <w:t>confirm the restrain order,</w:t>
      </w:r>
      <w:r w:rsidR="00BA5EC3">
        <w:rPr>
          <w:rFonts w:cs="Arial"/>
          <w:szCs w:val="24"/>
        </w:rPr>
        <w:t xml:space="preserve"> </w:t>
      </w:r>
      <w:r w:rsidR="00967431" w:rsidRPr="00BF704C">
        <w:rPr>
          <w:rFonts w:cs="Arial"/>
          <w:szCs w:val="24"/>
        </w:rPr>
        <w:t>is severed</w:t>
      </w:r>
      <w:r w:rsidR="00D13EDE">
        <w:rPr>
          <w:rFonts w:cs="Arial"/>
          <w:szCs w:val="24"/>
        </w:rPr>
        <w:t>.</w:t>
      </w:r>
      <w:r w:rsidR="00EC6440">
        <w:rPr>
          <w:rFonts w:cs="Arial"/>
          <w:szCs w:val="24"/>
        </w:rPr>
        <w:t xml:space="preserve"> </w:t>
      </w:r>
      <w:r w:rsidR="00967431" w:rsidRPr="00BF704C">
        <w:rPr>
          <w:rFonts w:cs="Arial"/>
          <w:szCs w:val="24"/>
        </w:rPr>
        <w:t>Consequently</w:t>
      </w:r>
      <w:r w:rsidR="00F43E6B">
        <w:rPr>
          <w:rFonts w:cs="Arial"/>
          <w:szCs w:val="24"/>
        </w:rPr>
        <w:t>,</w:t>
      </w:r>
      <w:r w:rsidR="00B46E4E">
        <w:rPr>
          <w:rFonts w:cs="Arial"/>
          <w:szCs w:val="24"/>
        </w:rPr>
        <w:t xml:space="preserve"> </w:t>
      </w:r>
      <w:r w:rsidR="00967431" w:rsidRPr="00BF704C">
        <w:rPr>
          <w:rFonts w:cs="Arial"/>
          <w:szCs w:val="24"/>
        </w:rPr>
        <w:t xml:space="preserve">the </w:t>
      </w:r>
      <w:r w:rsidR="00D13EDE">
        <w:rPr>
          <w:rFonts w:cs="Arial"/>
          <w:szCs w:val="24"/>
        </w:rPr>
        <w:t xml:space="preserve">provisional </w:t>
      </w:r>
      <w:r w:rsidR="0038478D" w:rsidRPr="00B46E4E">
        <w:rPr>
          <w:rFonts w:cs="Arial"/>
          <w:szCs w:val="24"/>
        </w:rPr>
        <w:t>restraint</w:t>
      </w:r>
      <w:r w:rsidR="00967431" w:rsidRPr="00B46E4E">
        <w:rPr>
          <w:rFonts w:cs="Arial"/>
          <w:szCs w:val="24"/>
        </w:rPr>
        <w:t xml:space="preserve"> order against all the respondent entities</w:t>
      </w:r>
      <w:r w:rsidR="00D13EDE">
        <w:rPr>
          <w:rFonts w:cs="Arial"/>
          <w:szCs w:val="24"/>
        </w:rPr>
        <w:t xml:space="preserve"> should </w:t>
      </w:r>
      <w:r w:rsidR="00B46E4E">
        <w:rPr>
          <w:rFonts w:cs="Arial"/>
          <w:szCs w:val="24"/>
        </w:rPr>
        <w:t>be discharged.</w:t>
      </w:r>
    </w:p>
    <w:p w14:paraId="2F0E40D8" w14:textId="38C7E5CA" w:rsidR="00177322" w:rsidRDefault="00AD5630" w:rsidP="00B01F1D">
      <w:pPr>
        <w:pStyle w:val="ListParagraph"/>
        <w:numPr>
          <w:ilvl w:val="0"/>
          <w:numId w:val="6"/>
        </w:numPr>
        <w:spacing w:before="480" w:after="0" w:line="480" w:lineRule="auto"/>
        <w:contextualSpacing w:val="0"/>
        <w:rPr>
          <w:rFonts w:cs="Arial"/>
          <w:szCs w:val="24"/>
        </w:rPr>
      </w:pPr>
      <w:r>
        <w:rPr>
          <w:rFonts w:cs="Arial"/>
          <w:szCs w:val="24"/>
        </w:rPr>
        <w:t xml:space="preserve">This is the point of departure between the parties. </w:t>
      </w:r>
      <w:r w:rsidR="00A23670" w:rsidRPr="00A23670">
        <w:rPr>
          <w:rFonts w:cs="Arial"/>
          <w:szCs w:val="24"/>
        </w:rPr>
        <w:t>Counsel for t</w:t>
      </w:r>
      <w:r w:rsidR="00967431" w:rsidRPr="00A23670">
        <w:rPr>
          <w:rFonts w:cs="Arial"/>
          <w:szCs w:val="24"/>
        </w:rPr>
        <w:t>he ND</w:t>
      </w:r>
      <w:r w:rsidR="00A23670" w:rsidRPr="00A23670">
        <w:rPr>
          <w:rFonts w:cs="Arial"/>
          <w:szCs w:val="24"/>
        </w:rPr>
        <w:t>D</w:t>
      </w:r>
      <w:r w:rsidR="00967431" w:rsidRPr="00A23670">
        <w:rPr>
          <w:rFonts w:cs="Arial"/>
          <w:szCs w:val="24"/>
        </w:rPr>
        <w:t>P</w:t>
      </w:r>
      <w:r w:rsidR="00A23670" w:rsidRPr="00A23670">
        <w:rPr>
          <w:rFonts w:cs="Arial"/>
          <w:szCs w:val="24"/>
        </w:rPr>
        <w:t xml:space="preserve">, </w:t>
      </w:r>
      <w:r w:rsidR="00967431" w:rsidRPr="00A23670">
        <w:rPr>
          <w:rFonts w:cs="Arial"/>
          <w:szCs w:val="24"/>
        </w:rPr>
        <w:t>argue</w:t>
      </w:r>
      <w:r w:rsidR="00B46E4E">
        <w:rPr>
          <w:rFonts w:cs="Arial"/>
          <w:szCs w:val="24"/>
        </w:rPr>
        <w:t>d</w:t>
      </w:r>
      <w:r w:rsidR="00967431" w:rsidRPr="00A23670">
        <w:rPr>
          <w:rFonts w:cs="Arial"/>
          <w:szCs w:val="24"/>
        </w:rPr>
        <w:t xml:space="preserve"> that the </w:t>
      </w:r>
      <w:r w:rsidR="00B01F1D">
        <w:rPr>
          <w:rFonts w:cs="Arial"/>
          <w:szCs w:val="24"/>
        </w:rPr>
        <w:t>fourteenth</w:t>
      </w:r>
      <w:r w:rsidR="00967431" w:rsidRPr="00A23670">
        <w:rPr>
          <w:rFonts w:cs="Arial"/>
          <w:szCs w:val="24"/>
        </w:rPr>
        <w:t xml:space="preserve"> respondent is not an ordinary respondent</w:t>
      </w:r>
      <w:r w:rsidR="00AB68AC" w:rsidRPr="00A23670">
        <w:rPr>
          <w:rFonts w:cs="Arial"/>
          <w:szCs w:val="24"/>
        </w:rPr>
        <w:t xml:space="preserve">. The </w:t>
      </w:r>
      <w:r w:rsidR="00B01F1D">
        <w:rPr>
          <w:rFonts w:cs="Arial"/>
          <w:szCs w:val="24"/>
        </w:rPr>
        <w:t>fourteenth</w:t>
      </w:r>
      <w:r w:rsidR="00AB68AC" w:rsidRPr="00A23670">
        <w:rPr>
          <w:rFonts w:cs="Arial"/>
          <w:szCs w:val="24"/>
        </w:rPr>
        <w:t xml:space="preserve"> </w:t>
      </w:r>
      <w:r w:rsidR="007E649B">
        <w:rPr>
          <w:rFonts w:cs="Arial"/>
          <w:szCs w:val="24"/>
        </w:rPr>
        <w:t>r</w:t>
      </w:r>
      <w:r w:rsidR="00AB68AC" w:rsidRPr="00A23670">
        <w:rPr>
          <w:rFonts w:cs="Arial"/>
          <w:szCs w:val="24"/>
        </w:rPr>
        <w:t>espondent is</w:t>
      </w:r>
      <w:r w:rsidR="00314EC2" w:rsidRPr="00A23670">
        <w:rPr>
          <w:rFonts w:cs="Arial"/>
          <w:szCs w:val="24"/>
        </w:rPr>
        <w:t xml:space="preserve"> </w:t>
      </w:r>
      <w:r w:rsidR="00AB68AC" w:rsidRPr="00A23670">
        <w:rPr>
          <w:rFonts w:cs="Arial"/>
          <w:szCs w:val="24"/>
        </w:rPr>
        <w:t xml:space="preserve">a </w:t>
      </w:r>
      <w:r w:rsidR="0037414E" w:rsidRPr="00A23670">
        <w:rPr>
          <w:rFonts w:cs="Arial"/>
          <w:szCs w:val="24"/>
        </w:rPr>
        <w:t xml:space="preserve">director of the </w:t>
      </w:r>
      <w:r w:rsidR="00B01F1D">
        <w:rPr>
          <w:rFonts w:cs="Arial"/>
          <w:szCs w:val="24"/>
        </w:rPr>
        <w:t>eighth</w:t>
      </w:r>
      <w:r w:rsidR="0037414E" w:rsidRPr="00A23670">
        <w:rPr>
          <w:rFonts w:cs="Arial"/>
          <w:szCs w:val="24"/>
        </w:rPr>
        <w:t xml:space="preserve"> defendant</w:t>
      </w:r>
      <w:r w:rsidR="007E649B">
        <w:rPr>
          <w:rFonts w:cs="Arial"/>
          <w:szCs w:val="24"/>
        </w:rPr>
        <w:t>, who is a defendant</w:t>
      </w:r>
      <w:r w:rsidR="00236AC9">
        <w:rPr>
          <w:rFonts w:cs="Arial"/>
          <w:szCs w:val="24"/>
        </w:rPr>
        <w:t xml:space="preserve">. </w:t>
      </w:r>
      <w:r w:rsidR="007E649B">
        <w:rPr>
          <w:rFonts w:cs="Arial"/>
          <w:szCs w:val="24"/>
        </w:rPr>
        <w:t>Thus</w:t>
      </w:r>
      <w:r w:rsidR="00E64616">
        <w:rPr>
          <w:rFonts w:cs="Arial"/>
          <w:szCs w:val="24"/>
        </w:rPr>
        <w:t>,</w:t>
      </w:r>
      <w:r w:rsidR="007E649B">
        <w:rPr>
          <w:rFonts w:cs="Arial"/>
          <w:szCs w:val="24"/>
        </w:rPr>
        <w:t xml:space="preserve"> counsel for the NDPP </w:t>
      </w:r>
      <w:r w:rsidR="008C1DCF">
        <w:rPr>
          <w:rFonts w:cs="Arial"/>
          <w:szCs w:val="24"/>
        </w:rPr>
        <w:t>argued, though</w:t>
      </w:r>
      <w:r w:rsidR="00314EC2">
        <w:rPr>
          <w:rFonts w:cs="Arial"/>
          <w:szCs w:val="24"/>
        </w:rPr>
        <w:t xml:space="preserve"> </w:t>
      </w:r>
      <w:r w:rsidR="00967431" w:rsidRPr="00BF704C">
        <w:rPr>
          <w:rFonts w:cs="Arial"/>
          <w:szCs w:val="24"/>
        </w:rPr>
        <w:t xml:space="preserve">the </w:t>
      </w:r>
      <w:r w:rsidR="00B01F1D">
        <w:rPr>
          <w:rFonts w:cs="Arial"/>
          <w:szCs w:val="24"/>
        </w:rPr>
        <w:t>fourteenth</w:t>
      </w:r>
      <w:r w:rsidR="00967431" w:rsidRPr="00BF704C">
        <w:rPr>
          <w:rFonts w:cs="Arial"/>
          <w:szCs w:val="24"/>
        </w:rPr>
        <w:t xml:space="preserve"> respondent is not himself a defendant</w:t>
      </w:r>
      <w:r w:rsidR="00C66D03">
        <w:rPr>
          <w:rFonts w:cs="Arial"/>
          <w:szCs w:val="24"/>
        </w:rPr>
        <w:t xml:space="preserve">, </w:t>
      </w:r>
      <w:r w:rsidR="00967431" w:rsidRPr="00BF704C">
        <w:rPr>
          <w:rFonts w:cs="Arial"/>
          <w:szCs w:val="24"/>
        </w:rPr>
        <w:t xml:space="preserve">the definition of </w:t>
      </w:r>
      <w:r w:rsidR="00934C4C">
        <w:rPr>
          <w:rFonts w:cs="Arial"/>
          <w:szCs w:val="24"/>
        </w:rPr>
        <w:t>“</w:t>
      </w:r>
      <w:r w:rsidR="00967431" w:rsidRPr="00B01F1D">
        <w:rPr>
          <w:rFonts w:cs="Arial"/>
          <w:i/>
          <w:szCs w:val="24"/>
        </w:rPr>
        <w:t>defendant</w:t>
      </w:r>
      <w:r w:rsidR="00934C4C">
        <w:rPr>
          <w:rFonts w:cs="Arial"/>
          <w:szCs w:val="24"/>
        </w:rPr>
        <w:t>”</w:t>
      </w:r>
      <w:r w:rsidR="00967431" w:rsidRPr="00BF704C">
        <w:rPr>
          <w:rFonts w:cs="Arial"/>
          <w:szCs w:val="24"/>
        </w:rPr>
        <w:t xml:space="preserve"> ought to be interpreted broadly in favour of the</w:t>
      </w:r>
      <w:r w:rsidR="00314EC2">
        <w:rPr>
          <w:rFonts w:cs="Arial"/>
          <w:szCs w:val="24"/>
        </w:rPr>
        <w:t xml:space="preserve"> </w:t>
      </w:r>
      <w:r w:rsidR="00D13EDE">
        <w:rPr>
          <w:rFonts w:cs="Arial"/>
          <w:szCs w:val="24"/>
        </w:rPr>
        <w:t>S</w:t>
      </w:r>
      <w:r w:rsidR="00466EA8">
        <w:rPr>
          <w:rFonts w:cs="Arial"/>
          <w:szCs w:val="24"/>
        </w:rPr>
        <w:t>tate</w:t>
      </w:r>
      <w:r w:rsidR="0058181C">
        <w:rPr>
          <w:rFonts w:cs="Arial"/>
          <w:szCs w:val="24"/>
        </w:rPr>
        <w:t xml:space="preserve">. </w:t>
      </w:r>
    </w:p>
    <w:p w14:paraId="617B2008" w14:textId="7A4C25B8" w:rsidR="00811EC6" w:rsidRDefault="00811EC6" w:rsidP="00B01F1D">
      <w:pPr>
        <w:pStyle w:val="ListParagraph"/>
        <w:numPr>
          <w:ilvl w:val="0"/>
          <w:numId w:val="6"/>
        </w:numPr>
        <w:spacing w:before="480" w:after="0" w:line="480" w:lineRule="auto"/>
        <w:contextualSpacing w:val="0"/>
        <w:rPr>
          <w:rFonts w:cs="Arial"/>
          <w:szCs w:val="24"/>
        </w:rPr>
      </w:pPr>
      <w:r>
        <w:rPr>
          <w:rFonts w:cs="Arial"/>
          <w:szCs w:val="24"/>
        </w:rPr>
        <w:lastRenderedPageBreak/>
        <w:t>The NDPP argues that the definition of “</w:t>
      </w:r>
      <w:r>
        <w:rPr>
          <w:rFonts w:cs="Arial"/>
          <w:i/>
          <w:szCs w:val="24"/>
        </w:rPr>
        <w:t>defendant</w:t>
      </w:r>
      <w:r>
        <w:rPr>
          <w:rFonts w:cs="Arial"/>
          <w:szCs w:val="24"/>
        </w:rPr>
        <w:t xml:space="preserve">” should be interpreted to </w:t>
      </w:r>
      <w:r w:rsidR="00BD4FA5">
        <w:rPr>
          <w:rFonts w:cs="Arial"/>
          <w:szCs w:val="24"/>
        </w:rPr>
        <w:t xml:space="preserve"> include </w:t>
      </w:r>
      <w:r w:rsidR="0044138F">
        <w:rPr>
          <w:rFonts w:cs="Arial"/>
          <w:szCs w:val="24"/>
        </w:rPr>
        <w:t xml:space="preserve"> a person who was aware of the unlawful activities.</w:t>
      </w:r>
      <w:r w:rsidR="00111E88">
        <w:rPr>
          <w:rFonts w:cs="Arial"/>
          <w:szCs w:val="24"/>
        </w:rPr>
        <w:t xml:space="preserve"> I highlight below the extended definition proposed by the NDPP</w:t>
      </w:r>
      <w:r>
        <w:rPr>
          <w:rFonts w:cs="Arial"/>
          <w:szCs w:val="24"/>
        </w:rPr>
        <w:t>:</w:t>
      </w:r>
    </w:p>
    <w:p w14:paraId="2B358411" w14:textId="43A98547" w:rsidR="00811EC6" w:rsidRPr="00811EC6" w:rsidRDefault="00811EC6" w:rsidP="00811EC6">
      <w:pPr>
        <w:pStyle w:val="ListParagraph"/>
        <w:spacing w:before="480" w:after="0" w:line="360" w:lineRule="auto"/>
        <w:ind w:left="1276"/>
        <w:contextualSpacing w:val="0"/>
        <w:rPr>
          <w:rFonts w:cs="Arial"/>
          <w:szCs w:val="24"/>
        </w:rPr>
      </w:pPr>
      <w:r>
        <w:rPr>
          <w:rFonts w:cs="Arial"/>
          <w:szCs w:val="24"/>
        </w:rPr>
        <w:t>“</w:t>
      </w:r>
      <w:r>
        <w:rPr>
          <w:rFonts w:cs="Arial"/>
          <w:i/>
          <w:szCs w:val="24"/>
        </w:rPr>
        <w:t xml:space="preserve">means a person against whom a prosecution for the offence has been instituted irrespective of whether he or she has been convicted or not, and includes a person referred to in section 25(1)(b) </w:t>
      </w:r>
      <w:r w:rsidRPr="001E5496">
        <w:rPr>
          <w:rFonts w:cs="Arial"/>
          <w:b/>
          <w:bCs/>
          <w:i/>
          <w:szCs w:val="24"/>
        </w:rPr>
        <w:t>and any person who was reasonably aware of the unlawful activities and who has benefited from the fruits of the unlawful activitie</w:t>
      </w:r>
      <w:r>
        <w:rPr>
          <w:rFonts w:cs="Arial"/>
          <w:i/>
          <w:szCs w:val="24"/>
        </w:rPr>
        <w:t>s.</w:t>
      </w:r>
      <w:r>
        <w:rPr>
          <w:rFonts w:cs="Arial"/>
          <w:szCs w:val="24"/>
        </w:rPr>
        <w:t>”</w:t>
      </w:r>
      <w:r w:rsidR="00BD4FA5">
        <w:rPr>
          <w:rFonts w:cs="Arial"/>
          <w:szCs w:val="24"/>
        </w:rPr>
        <w:t xml:space="preserve"> </w:t>
      </w:r>
    </w:p>
    <w:p w14:paraId="0F36F2F6" w14:textId="6CF4CE50" w:rsidR="0063273D" w:rsidRDefault="0063273D" w:rsidP="0063273D">
      <w:pPr>
        <w:pStyle w:val="ListParagraph"/>
        <w:numPr>
          <w:ilvl w:val="0"/>
          <w:numId w:val="6"/>
        </w:numPr>
        <w:spacing w:before="480" w:after="0" w:line="480" w:lineRule="auto"/>
        <w:contextualSpacing w:val="0"/>
        <w:rPr>
          <w:rFonts w:cs="Arial"/>
          <w:szCs w:val="24"/>
        </w:rPr>
      </w:pPr>
      <w:r>
        <w:rPr>
          <w:rFonts w:cs="Arial"/>
          <w:szCs w:val="24"/>
        </w:rPr>
        <w:t xml:space="preserve">The NDPP’s rationale for </w:t>
      </w:r>
      <w:r w:rsidR="00BE1C21">
        <w:rPr>
          <w:rFonts w:cs="Arial"/>
          <w:szCs w:val="24"/>
        </w:rPr>
        <w:t>the proposed</w:t>
      </w:r>
      <w:r>
        <w:rPr>
          <w:rFonts w:cs="Arial"/>
          <w:szCs w:val="24"/>
        </w:rPr>
        <w:t xml:space="preserve"> extended interpretation of “defendant” is that</w:t>
      </w:r>
      <w:r w:rsidR="00BE1C21">
        <w:rPr>
          <w:rFonts w:cs="Arial"/>
          <w:szCs w:val="24"/>
        </w:rPr>
        <w:t xml:space="preserve"> in the NDPP’s view</w:t>
      </w:r>
      <w:r>
        <w:rPr>
          <w:rFonts w:cs="Arial"/>
          <w:szCs w:val="24"/>
        </w:rPr>
        <w:t xml:space="preserve">, </w:t>
      </w:r>
      <w:r w:rsidRPr="00BF704C">
        <w:rPr>
          <w:rFonts w:cs="Arial"/>
          <w:szCs w:val="24"/>
        </w:rPr>
        <w:t>the</w:t>
      </w:r>
      <w:r>
        <w:rPr>
          <w:rFonts w:cs="Arial"/>
          <w:szCs w:val="24"/>
        </w:rPr>
        <w:t xml:space="preserve"> fourteenth</w:t>
      </w:r>
      <w:r w:rsidRPr="00BF704C">
        <w:rPr>
          <w:rFonts w:cs="Arial"/>
          <w:szCs w:val="24"/>
        </w:rPr>
        <w:t xml:space="preserve"> respondent was clearly a party</w:t>
      </w:r>
      <w:r>
        <w:rPr>
          <w:rFonts w:cs="Arial"/>
          <w:szCs w:val="24"/>
        </w:rPr>
        <w:t xml:space="preserve"> to or </w:t>
      </w:r>
      <w:r w:rsidRPr="00BF704C">
        <w:rPr>
          <w:rFonts w:cs="Arial"/>
          <w:szCs w:val="24"/>
        </w:rPr>
        <w:t>directly involved in the</w:t>
      </w:r>
      <w:r>
        <w:rPr>
          <w:rFonts w:cs="Arial"/>
          <w:szCs w:val="24"/>
        </w:rPr>
        <w:t xml:space="preserve"> </w:t>
      </w:r>
      <w:r w:rsidRPr="00BF704C">
        <w:rPr>
          <w:rFonts w:cs="Arial"/>
          <w:szCs w:val="24"/>
        </w:rPr>
        <w:t>organised crime which forms the subject matter of the pending criminal proceedings</w:t>
      </w:r>
      <w:r>
        <w:rPr>
          <w:rFonts w:cs="Arial"/>
          <w:szCs w:val="24"/>
        </w:rPr>
        <w:t>, against the defendants.</w:t>
      </w:r>
    </w:p>
    <w:p w14:paraId="2D2D1DA2" w14:textId="0DF34A5F" w:rsidR="006A45C9" w:rsidRDefault="0093624D" w:rsidP="006A45C9">
      <w:pPr>
        <w:pStyle w:val="ListParagraph"/>
        <w:numPr>
          <w:ilvl w:val="0"/>
          <w:numId w:val="6"/>
        </w:numPr>
        <w:spacing w:before="480" w:after="0" w:line="480" w:lineRule="auto"/>
        <w:contextualSpacing w:val="0"/>
        <w:rPr>
          <w:rFonts w:cs="Arial"/>
          <w:szCs w:val="24"/>
        </w:rPr>
      </w:pPr>
      <w:r>
        <w:rPr>
          <w:rFonts w:cs="Arial"/>
          <w:szCs w:val="24"/>
        </w:rPr>
        <w:t>The difficult</w:t>
      </w:r>
      <w:r w:rsidR="00C35377">
        <w:rPr>
          <w:rFonts w:cs="Arial"/>
          <w:szCs w:val="24"/>
        </w:rPr>
        <w:t>ies</w:t>
      </w:r>
      <w:r>
        <w:rPr>
          <w:rFonts w:cs="Arial"/>
          <w:szCs w:val="24"/>
        </w:rPr>
        <w:t xml:space="preserve"> I have with the</w:t>
      </w:r>
      <w:r w:rsidR="00066903">
        <w:rPr>
          <w:rFonts w:cs="Arial"/>
          <w:szCs w:val="24"/>
        </w:rPr>
        <w:t xml:space="preserve"> proposed extended </w:t>
      </w:r>
      <w:r>
        <w:rPr>
          <w:rFonts w:cs="Arial"/>
          <w:szCs w:val="24"/>
        </w:rPr>
        <w:t xml:space="preserve">interpretation </w:t>
      </w:r>
      <w:r w:rsidR="00ED1A86" w:rsidRPr="00ED1A86">
        <w:rPr>
          <w:rFonts w:cs="Arial"/>
          <w:szCs w:val="24"/>
        </w:rPr>
        <w:t>of the word “</w:t>
      </w:r>
      <w:r w:rsidR="00ED1A86" w:rsidRPr="00ED1A86">
        <w:rPr>
          <w:rFonts w:cs="Arial"/>
          <w:i/>
          <w:szCs w:val="24"/>
        </w:rPr>
        <w:t>defendant</w:t>
      </w:r>
      <w:r w:rsidR="00236AC9" w:rsidRPr="00ED1A86">
        <w:rPr>
          <w:rFonts w:cs="Arial"/>
          <w:szCs w:val="24"/>
        </w:rPr>
        <w:t>,”</w:t>
      </w:r>
      <w:r w:rsidR="00ED1A86" w:rsidRPr="00ED1A86">
        <w:rPr>
          <w:rFonts w:cs="Arial"/>
          <w:szCs w:val="24"/>
        </w:rPr>
        <w:t xml:space="preserve"> is</w:t>
      </w:r>
      <w:r w:rsidR="00066903">
        <w:rPr>
          <w:rFonts w:cs="Arial"/>
          <w:szCs w:val="24"/>
        </w:rPr>
        <w:t xml:space="preserve"> </w:t>
      </w:r>
      <w:r w:rsidR="00C35377">
        <w:rPr>
          <w:rFonts w:cs="Arial"/>
          <w:szCs w:val="24"/>
        </w:rPr>
        <w:t xml:space="preserve"> firstly,</w:t>
      </w:r>
      <w:r w:rsidR="006A45C9">
        <w:rPr>
          <w:rFonts w:cs="Arial"/>
          <w:szCs w:val="24"/>
        </w:rPr>
        <w:t xml:space="preserve"> the NDPP concedes that the fourteenth respondent is not </w:t>
      </w:r>
      <w:r w:rsidR="00F54057">
        <w:rPr>
          <w:rFonts w:cs="Arial"/>
          <w:szCs w:val="24"/>
        </w:rPr>
        <w:t xml:space="preserve"> </w:t>
      </w:r>
      <w:r w:rsidR="006A45C9">
        <w:rPr>
          <w:rFonts w:cs="Arial"/>
          <w:szCs w:val="24"/>
        </w:rPr>
        <w:t>a defendant</w:t>
      </w:r>
      <w:r w:rsidR="00F54057">
        <w:rPr>
          <w:rFonts w:cs="Arial"/>
          <w:szCs w:val="24"/>
        </w:rPr>
        <w:t xml:space="preserve">. </w:t>
      </w:r>
      <w:r w:rsidR="006A45C9">
        <w:rPr>
          <w:rFonts w:cs="Arial"/>
          <w:szCs w:val="24"/>
        </w:rPr>
        <w:t>There is no explanation in the papers why the fourteenth respondent as one of two directors of the eight defendant (the other being the seventh defendant ), was not prosecuted.</w:t>
      </w:r>
      <w:r w:rsidR="00F54057">
        <w:rPr>
          <w:rFonts w:cs="Arial"/>
          <w:szCs w:val="24"/>
        </w:rPr>
        <w:t xml:space="preserve"> There is no assertion in the papers </w:t>
      </w:r>
      <w:r w:rsidR="001568EF">
        <w:rPr>
          <w:rFonts w:cs="Arial"/>
          <w:szCs w:val="24"/>
        </w:rPr>
        <w:t xml:space="preserve"> </w:t>
      </w:r>
      <w:r w:rsidR="00F54057">
        <w:rPr>
          <w:rFonts w:cs="Arial"/>
          <w:szCs w:val="24"/>
        </w:rPr>
        <w:t xml:space="preserve">that there is an intention by the NDPP to institute charges against the fourteenth respondent. </w:t>
      </w:r>
      <w:r w:rsidR="001568EF">
        <w:rPr>
          <w:rFonts w:cs="Arial"/>
          <w:szCs w:val="24"/>
        </w:rPr>
        <w:t>Given</w:t>
      </w:r>
      <w:r w:rsidR="00103E82">
        <w:rPr>
          <w:rFonts w:cs="Arial"/>
          <w:szCs w:val="24"/>
        </w:rPr>
        <w:t xml:space="preserve"> that it is the</w:t>
      </w:r>
      <w:r w:rsidR="0038294A">
        <w:rPr>
          <w:rFonts w:cs="Arial"/>
          <w:szCs w:val="24"/>
        </w:rPr>
        <w:t xml:space="preserve"> NDPP herself who </w:t>
      </w:r>
      <w:r w:rsidR="007E59C6">
        <w:rPr>
          <w:rFonts w:cs="Arial"/>
          <w:szCs w:val="24"/>
        </w:rPr>
        <w:t xml:space="preserve">is in charge of the </w:t>
      </w:r>
      <w:r w:rsidR="00103E82">
        <w:rPr>
          <w:rFonts w:cs="Arial"/>
          <w:szCs w:val="24"/>
        </w:rPr>
        <w:t xml:space="preserve">National Prosecuting Authority, </w:t>
      </w:r>
      <w:r w:rsidR="007E59C6">
        <w:rPr>
          <w:rFonts w:cs="Arial"/>
          <w:szCs w:val="24"/>
        </w:rPr>
        <w:t xml:space="preserve"> wh</w:t>
      </w:r>
      <w:r w:rsidR="00947FF0">
        <w:rPr>
          <w:rFonts w:cs="Arial"/>
          <w:szCs w:val="24"/>
        </w:rPr>
        <w:t xml:space="preserve">o is authorised by </w:t>
      </w:r>
      <w:r w:rsidR="001568EF">
        <w:rPr>
          <w:rFonts w:cs="Arial"/>
          <w:szCs w:val="24"/>
        </w:rPr>
        <w:t xml:space="preserve">the </w:t>
      </w:r>
      <w:r w:rsidR="00DB4A3E">
        <w:rPr>
          <w:rFonts w:cs="Arial"/>
          <w:szCs w:val="24"/>
        </w:rPr>
        <w:t>C</w:t>
      </w:r>
      <w:r w:rsidR="001568EF">
        <w:rPr>
          <w:rFonts w:cs="Arial"/>
          <w:szCs w:val="24"/>
        </w:rPr>
        <w:t>onstitution</w:t>
      </w:r>
      <w:r w:rsidR="00947FF0">
        <w:rPr>
          <w:rFonts w:cs="Arial"/>
          <w:szCs w:val="24"/>
        </w:rPr>
        <w:t xml:space="preserve"> to institute criminal proceedings</w:t>
      </w:r>
      <w:r w:rsidR="00975ED6">
        <w:rPr>
          <w:rStyle w:val="FootnoteReference"/>
          <w:rFonts w:cs="Arial"/>
          <w:szCs w:val="24"/>
        </w:rPr>
        <w:footnoteReference w:id="16"/>
      </w:r>
      <w:r w:rsidR="00947FF0">
        <w:rPr>
          <w:rFonts w:cs="Arial"/>
          <w:szCs w:val="24"/>
        </w:rPr>
        <w:t xml:space="preserve">, </w:t>
      </w:r>
      <w:r w:rsidR="00044E10">
        <w:rPr>
          <w:rFonts w:cs="Arial"/>
          <w:szCs w:val="24"/>
        </w:rPr>
        <w:t xml:space="preserve">such </w:t>
      </w:r>
      <w:r w:rsidR="007216AB">
        <w:rPr>
          <w:rFonts w:cs="Arial"/>
          <w:szCs w:val="24"/>
        </w:rPr>
        <w:t xml:space="preserve">deafening </w:t>
      </w:r>
      <w:r w:rsidR="00044E10">
        <w:rPr>
          <w:rFonts w:cs="Arial"/>
          <w:szCs w:val="24"/>
        </w:rPr>
        <w:t xml:space="preserve">silence is </w:t>
      </w:r>
      <w:r w:rsidR="007216AB">
        <w:rPr>
          <w:rFonts w:cs="Arial"/>
          <w:szCs w:val="24"/>
        </w:rPr>
        <w:t>inexcusable</w:t>
      </w:r>
      <w:r w:rsidR="00044E10">
        <w:rPr>
          <w:rFonts w:cs="Arial"/>
          <w:szCs w:val="24"/>
        </w:rPr>
        <w:t>.</w:t>
      </w:r>
      <w:r w:rsidR="001568EF">
        <w:rPr>
          <w:rFonts w:cs="Arial"/>
          <w:szCs w:val="24"/>
        </w:rPr>
        <w:t xml:space="preserve"> </w:t>
      </w:r>
    </w:p>
    <w:p w14:paraId="63A43A67" w14:textId="3A3D4102" w:rsidR="007216AB" w:rsidRDefault="007216AB" w:rsidP="006A45C9">
      <w:pPr>
        <w:pStyle w:val="ListParagraph"/>
        <w:numPr>
          <w:ilvl w:val="0"/>
          <w:numId w:val="6"/>
        </w:numPr>
        <w:spacing w:before="480" w:after="0" w:line="480" w:lineRule="auto"/>
        <w:contextualSpacing w:val="0"/>
        <w:rPr>
          <w:rFonts w:cs="Arial"/>
          <w:szCs w:val="24"/>
        </w:rPr>
      </w:pPr>
      <w:r>
        <w:rPr>
          <w:rFonts w:cs="Arial"/>
          <w:szCs w:val="24"/>
        </w:rPr>
        <w:lastRenderedPageBreak/>
        <w:t>Secondly</w:t>
      </w:r>
      <w:r w:rsidR="000E050F">
        <w:rPr>
          <w:rFonts w:cs="Arial"/>
          <w:szCs w:val="24"/>
        </w:rPr>
        <w:t>,</w:t>
      </w:r>
      <w:r>
        <w:rPr>
          <w:rFonts w:cs="Arial"/>
          <w:szCs w:val="24"/>
        </w:rPr>
        <w:t xml:space="preserve"> it is clear from the reading of the definition, specifically with its refer</w:t>
      </w:r>
      <w:r w:rsidR="00137AF9">
        <w:rPr>
          <w:rFonts w:cs="Arial"/>
          <w:szCs w:val="24"/>
        </w:rPr>
        <w:t>ence to s25(1)(b)</w:t>
      </w:r>
      <w:r w:rsidR="00F71E34">
        <w:rPr>
          <w:rFonts w:cs="Arial"/>
          <w:szCs w:val="24"/>
        </w:rPr>
        <w:t>, that</w:t>
      </w:r>
      <w:r w:rsidR="00540D20">
        <w:rPr>
          <w:rFonts w:cs="Arial"/>
          <w:szCs w:val="24"/>
        </w:rPr>
        <w:t xml:space="preserve"> th</w:t>
      </w:r>
      <w:r w:rsidR="004B5B39">
        <w:rPr>
          <w:rFonts w:cs="Arial"/>
          <w:szCs w:val="24"/>
        </w:rPr>
        <w:t xml:space="preserve">e word </w:t>
      </w:r>
      <w:r w:rsidR="004B5B39" w:rsidRPr="00836C36">
        <w:rPr>
          <w:rFonts w:cs="Arial"/>
          <w:i/>
          <w:iCs/>
          <w:szCs w:val="24"/>
        </w:rPr>
        <w:t>defendant i</w:t>
      </w:r>
      <w:r w:rsidR="004B5B39">
        <w:rPr>
          <w:rFonts w:cs="Arial"/>
          <w:szCs w:val="24"/>
        </w:rPr>
        <w:t xml:space="preserve">s limited to a person who </w:t>
      </w:r>
      <w:r w:rsidR="00DD5221">
        <w:rPr>
          <w:rFonts w:cs="Arial"/>
          <w:szCs w:val="24"/>
        </w:rPr>
        <w:t>has been charged or will be charged.</w:t>
      </w:r>
      <w:r w:rsidR="00935EB1">
        <w:rPr>
          <w:rFonts w:cs="Arial"/>
          <w:szCs w:val="24"/>
        </w:rPr>
        <w:t xml:space="preserve"> </w:t>
      </w:r>
      <w:r w:rsidR="00836C36">
        <w:rPr>
          <w:rFonts w:cs="Arial"/>
          <w:szCs w:val="24"/>
        </w:rPr>
        <w:t xml:space="preserve">Applying </w:t>
      </w:r>
      <w:r w:rsidR="00F6153E">
        <w:rPr>
          <w:rFonts w:cs="Arial"/>
          <w:szCs w:val="24"/>
        </w:rPr>
        <w:t>such</w:t>
      </w:r>
      <w:r w:rsidR="00836C36">
        <w:rPr>
          <w:rFonts w:cs="Arial"/>
          <w:szCs w:val="24"/>
        </w:rPr>
        <w:t xml:space="preserve"> contextual interpretation </w:t>
      </w:r>
      <w:r w:rsidR="003F3EC9">
        <w:rPr>
          <w:rFonts w:cs="Arial"/>
          <w:szCs w:val="24"/>
        </w:rPr>
        <w:t xml:space="preserve"> complies with the approach elucidated by the Supreme Court of  Appeal in </w:t>
      </w:r>
      <w:r w:rsidR="003F3EC9" w:rsidRPr="003F3EC9">
        <w:rPr>
          <w:i/>
          <w:iCs/>
          <w:lang w:val="en-GB"/>
        </w:rPr>
        <w:t>Endumeni</w:t>
      </w:r>
      <w:r w:rsidR="003F3EC9">
        <w:rPr>
          <w:rStyle w:val="FootnoteReference"/>
          <w:i/>
          <w:iCs/>
          <w:lang w:val="en-GB"/>
        </w:rPr>
        <w:footnoteReference w:id="17"/>
      </w:r>
      <w:r w:rsidR="0088682D">
        <w:rPr>
          <w:i/>
          <w:iCs/>
          <w:lang w:val="en-GB"/>
        </w:rPr>
        <w:t>.</w:t>
      </w:r>
    </w:p>
    <w:p w14:paraId="2F7336A3" w14:textId="285C475E" w:rsidR="00DB4A3E" w:rsidRPr="00633559" w:rsidRDefault="008774FD" w:rsidP="00373152">
      <w:pPr>
        <w:pStyle w:val="ListParagraph"/>
        <w:numPr>
          <w:ilvl w:val="0"/>
          <w:numId w:val="6"/>
        </w:numPr>
        <w:spacing w:before="480" w:after="0" w:line="480" w:lineRule="auto"/>
        <w:contextualSpacing w:val="0"/>
        <w:rPr>
          <w:rFonts w:cs="Arial"/>
          <w:szCs w:val="24"/>
        </w:rPr>
      </w:pPr>
      <w:r w:rsidRPr="00633559">
        <w:rPr>
          <w:rFonts w:cs="Arial"/>
          <w:szCs w:val="24"/>
        </w:rPr>
        <w:t>There are no facts before me to consider an extended interpretation for</w:t>
      </w:r>
      <w:r w:rsidR="00633559" w:rsidRPr="00633559">
        <w:rPr>
          <w:rFonts w:cs="Arial"/>
          <w:szCs w:val="24"/>
        </w:rPr>
        <w:t xml:space="preserve"> the definition of </w:t>
      </w:r>
      <w:r w:rsidR="00197A4B">
        <w:rPr>
          <w:rFonts w:cs="Arial"/>
          <w:szCs w:val="24"/>
        </w:rPr>
        <w:t xml:space="preserve"> </w:t>
      </w:r>
      <w:r w:rsidR="00633559" w:rsidRPr="00633559">
        <w:rPr>
          <w:rFonts w:cs="Arial"/>
          <w:szCs w:val="24"/>
        </w:rPr>
        <w:t xml:space="preserve">the word </w:t>
      </w:r>
      <w:r w:rsidRPr="00633559">
        <w:rPr>
          <w:rFonts w:cs="Arial"/>
          <w:i/>
          <w:iCs/>
          <w:szCs w:val="24"/>
        </w:rPr>
        <w:t>defendant</w:t>
      </w:r>
      <w:r w:rsidRPr="00633559">
        <w:rPr>
          <w:rFonts w:cs="Arial"/>
          <w:szCs w:val="24"/>
        </w:rPr>
        <w:t>.</w:t>
      </w:r>
      <w:r w:rsidR="00633559" w:rsidRPr="00633559">
        <w:rPr>
          <w:rFonts w:cs="Arial"/>
          <w:szCs w:val="24"/>
        </w:rPr>
        <w:t xml:space="preserve"> </w:t>
      </w:r>
      <w:r w:rsidR="00DB4A3E" w:rsidRPr="00633559">
        <w:rPr>
          <w:rFonts w:cs="Arial"/>
          <w:szCs w:val="24"/>
        </w:rPr>
        <w:t>The failure by the NDPP to prosecute the fourteen respondent</w:t>
      </w:r>
      <w:r w:rsidR="00633559">
        <w:rPr>
          <w:rFonts w:cs="Arial"/>
          <w:szCs w:val="24"/>
        </w:rPr>
        <w:t xml:space="preserve">, when it lies within her </w:t>
      </w:r>
      <w:r w:rsidR="00BE6FD4">
        <w:rPr>
          <w:rFonts w:cs="Arial"/>
          <w:szCs w:val="24"/>
        </w:rPr>
        <w:t xml:space="preserve">authority to do so, </w:t>
      </w:r>
      <w:r w:rsidR="00DB4A3E" w:rsidRPr="00633559">
        <w:rPr>
          <w:rFonts w:cs="Arial"/>
          <w:szCs w:val="24"/>
        </w:rPr>
        <w:t>cannot be rectified by an extended definition of the word “</w:t>
      </w:r>
      <w:r w:rsidR="00DB4A3E" w:rsidRPr="00633559">
        <w:rPr>
          <w:rFonts w:cs="Arial"/>
          <w:i/>
          <w:szCs w:val="24"/>
        </w:rPr>
        <w:t>defendant</w:t>
      </w:r>
      <w:r w:rsidR="00DB4A3E" w:rsidRPr="00633559">
        <w:rPr>
          <w:rFonts w:cs="Arial"/>
          <w:szCs w:val="24"/>
        </w:rPr>
        <w:t>”</w:t>
      </w:r>
      <w:r w:rsidR="0088682D">
        <w:rPr>
          <w:rFonts w:cs="Arial"/>
          <w:szCs w:val="24"/>
        </w:rPr>
        <w:t>, particularly when the NDPP’s own indi</w:t>
      </w:r>
      <w:r w:rsidR="000E050F">
        <w:rPr>
          <w:rFonts w:cs="Arial"/>
          <w:szCs w:val="24"/>
        </w:rPr>
        <w:t>ct</w:t>
      </w:r>
      <w:r w:rsidR="0088682D">
        <w:rPr>
          <w:rFonts w:cs="Arial"/>
          <w:szCs w:val="24"/>
        </w:rPr>
        <w:t>ment, contends that the eighth</w:t>
      </w:r>
      <w:r w:rsidR="00ED6C13">
        <w:rPr>
          <w:rFonts w:cs="Arial"/>
          <w:szCs w:val="24"/>
        </w:rPr>
        <w:t xml:space="preserve"> defendant (whose directors are the seventh defendant and  fourteenth respondent</w:t>
      </w:r>
      <w:r w:rsidR="0019704C">
        <w:rPr>
          <w:rFonts w:cs="Arial"/>
          <w:szCs w:val="24"/>
        </w:rPr>
        <w:t>)</w:t>
      </w:r>
      <w:r w:rsidR="00ED6C13">
        <w:rPr>
          <w:rFonts w:cs="Arial"/>
          <w:szCs w:val="24"/>
        </w:rPr>
        <w:t xml:space="preserve"> benefited by a sum of approximately</w:t>
      </w:r>
      <w:r w:rsidR="0088682D">
        <w:rPr>
          <w:rFonts w:cs="Arial"/>
          <w:szCs w:val="24"/>
        </w:rPr>
        <w:t xml:space="preserve"> </w:t>
      </w:r>
      <w:r w:rsidR="0019704C">
        <w:rPr>
          <w:rFonts w:cs="Arial"/>
          <w:szCs w:val="24"/>
        </w:rPr>
        <w:t>R33 million of the R100 million loss su</w:t>
      </w:r>
      <w:r w:rsidR="00146EF5">
        <w:rPr>
          <w:rFonts w:cs="Arial"/>
          <w:szCs w:val="24"/>
        </w:rPr>
        <w:t>s</w:t>
      </w:r>
      <w:r w:rsidR="0019704C">
        <w:rPr>
          <w:rFonts w:cs="Arial"/>
          <w:szCs w:val="24"/>
        </w:rPr>
        <w:t xml:space="preserve">tained by the </w:t>
      </w:r>
      <w:r w:rsidR="003A3258">
        <w:rPr>
          <w:rFonts w:cs="Arial"/>
          <w:szCs w:val="24"/>
        </w:rPr>
        <w:t>S</w:t>
      </w:r>
      <w:r w:rsidR="0019704C">
        <w:rPr>
          <w:rFonts w:cs="Arial"/>
          <w:szCs w:val="24"/>
        </w:rPr>
        <w:t>tate.</w:t>
      </w:r>
    </w:p>
    <w:p w14:paraId="47E20095" w14:textId="3FEC0B2C" w:rsidR="00ED1A86" w:rsidRPr="00ED1A86" w:rsidRDefault="003F3EC9" w:rsidP="00ED1A86">
      <w:pPr>
        <w:pStyle w:val="ListParagraph"/>
        <w:numPr>
          <w:ilvl w:val="0"/>
          <w:numId w:val="6"/>
        </w:numPr>
        <w:spacing w:before="480" w:after="0" w:line="480" w:lineRule="auto"/>
        <w:contextualSpacing w:val="0"/>
        <w:rPr>
          <w:rFonts w:cs="Arial"/>
          <w:szCs w:val="24"/>
        </w:rPr>
      </w:pPr>
      <w:r>
        <w:rPr>
          <w:rFonts w:cs="Arial"/>
          <w:szCs w:val="24"/>
        </w:rPr>
        <w:t>Thirdly</w:t>
      </w:r>
      <w:r w:rsidR="006A45C9">
        <w:rPr>
          <w:rFonts w:cs="Arial"/>
          <w:szCs w:val="24"/>
        </w:rPr>
        <w:t xml:space="preserve">, </w:t>
      </w:r>
      <w:r w:rsidR="00BE6FD4">
        <w:rPr>
          <w:rFonts w:cs="Arial"/>
          <w:szCs w:val="24"/>
        </w:rPr>
        <w:t xml:space="preserve">the proposed </w:t>
      </w:r>
      <w:r w:rsidR="00DB4A3E">
        <w:rPr>
          <w:rFonts w:cs="Arial"/>
          <w:szCs w:val="24"/>
        </w:rPr>
        <w:t xml:space="preserve">extended </w:t>
      </w:r>
      <w:r w:rsidR="00066903">
        <w:rPr>
          <w:rFonts w:cs="Arial"/>
          <w:szCs w:val="24"/>
        </w:rPr>
        <w:t xml:space="preserve">interpretation </w:t>
      </w:r>
      <w:r w:rsidR="00ED1A86" w:rsidRPr="00ED1A86">
        <w:rPr>
          <w:rFonts w:cs="Arial"/>
          <w:szCs w:val="24"/>
        </w:rPr>
        <w:t>contra</w:t>
      </w:r>
      <w:r w:rsidR="007419D0">
        <w:rPr>
          <w:rFonts w:cs="Arial"/>
          <w:szCs w:val="24"/>
        </w:rPr>
        <w:t xml:space="preserve">dicts </w:t>
      </w:r>
      <w:r w:rsidR="00ED1A86" w:rsidRPr="00ED1A86">
        <w:rPr>
          <w:rFonts w:cs="Arial"/>
          <w:szCs w:val="24"/>
        </w:rPr>
        <w:t xml:space="preserve">the Constitutional Court’s interpretation of the intention of POCA. In </w:t>
      </w:r>
      <w:r w:rsidR="00ED1A86" w:rsidRPr="00ED1A86">
        <w:rPr>
          <w:rFonts w:cs="Arial"/>
          <w:i/>
          <w:szCs w:val="24"/>
        </w:rPr>
        <w:t>NDPP and Another v Mohamed and Others</w:t>
      </w:r>
      <w:r w:rsidR="00ED1A86" w:rsidRPr="00ED1A86">
        <w:rPr>
          <w:rFonts w:cs="Arial"/>
          <w:szCs w:val="24"/>
        </w:rPr>
        <w:t>,</w:t>
      </w:r>
      <w:r w:rsidR="00ED1A86" w:rsidRPr="00ED1A86">
        <w:rPr>
          <w:rStyle w:val="FootnoteReference"/>
          <w:rFonts w:cs="Arial"/>
          <w:szCs w:val="24"/>
        </w:rPr>
        <w:footnoteReference w:id="18"/>
      </w:r>
      <w:r w:rsidR="00ED1A86" w:rsidRPr="00ED1A86">
        <w:rPr>
          <w:rFonts w:cs="Arial"/>
          <w:szCs w:val="24"/>
        </w:rPr>
        <w:t xml:space="preserve"> Ackerman J stated:</w:t>
      </w:r>
    </w:p>
    <w:p w14:paraId="443D32EA" w14:textId="4BDAA417" w:rsidR="00ED1A86" w:rsidRPr="00ED1A86" w:rsidRDefault="00ED1A86" w:rsidP="00ED1A86">
      <w:pPr>
        <w:pStyle w:val="ListParagraph"/>
        <w:spacing w:before="480" w:after="0" w:line="360" w:lineRule="auto"/>
        <w:ind w:left="1276"/>
        <w:contextualSpacing w:val="0"/>
        <w:rPr>
          <w:rFonts w:eastAsia="Times New Roman" w:cs="Arial"/>
          <w:i/>
          <w:color w:val="242121"/>
          <w:kern w:val="0"/>
          <w:szCs w:val="24"/>
          <w:lang w:eastAsia="en-ZA"/>
          <w14:ligatures w14:val="none"/>
        </w:rPr>
      </w:pPr>
      <w:r w:rsidRPr="00ED1A86">
        <w:rPr>
          <w:rFonts w:eastAsia="Times New Roman" w:cs="Arial"/>
          <w:i/>
          <w:color w:val="242121"/>
          <w:kern w:val="0"/>
          <w:szCs w:val="24"/>
          <w:lang w:eastAsia="en-ZA"/>
          <w14:ligatures w14:val="none"/>
        </w:rPr>
        <w:t xml:space="preserve">“It is common cause that conventional criminal penalties are inadequate as measures of deterrence when organised crime leaders are able to retain the </w:t>
      </w:r>
      <w:r w:rsidRPr="00ED1A86">
        <w:rPr>
          <w:rFonts w:cs="Arial"/>
          <w:i/>
          <w:szCs w:val="24"/>
        </w:rPr>
        <w:t>considerable</w:t>
      </w:r>
      <w:r w:rsidRPr="00ED1A86">
        <w:rPr>
          <w:rFonts w:eastAsia="Times New Roman" w:cs="Arial"/>
          <w:i/>
          <w:color w:val="242121"/>
          <w:kern w:val="0"/>
          <w:szCs w:val="24"/>
          <w:lang w:eastAsia="en-ZA"/>
          <w14:ligatures w14:val="none"/>
        </w:rPr>
        <w:t xml:space="preserve"> gains derived from organised crime, even on those </w:t>
      </w:r>
      <w:r w:rsidRPr="00ED1A86">
        <w:rPr>
          <w:rFonts w:cs="Arial"/>
          <w:i/>
          <w:szCs w:val="24"/>
        </w:rPr>
        <w:t>occasions</w:t>
      </w:r>
      <w:r w:rsidRPr="00ED1A86">
        <w:rPr>
          <w:rFonts w:eastAsia="Times New Roman" w:cs="Arial"/>
          <w:i/>
          <w:color w:val="242121"/>
          <w:kern w:val="0"/>
          <w:szCs w:val="24"/>
          <w:lang w:eastAsia="en-ZA"/>
          <w14:ligatures w14:val="none"/>
        </w:rPr>
        <w:t xml:space="preserve"> when they are brought to justice</w:t>
      </w:r>
      <w:r w:rsidR="00236AC9" w:rsidRPr="00ED1A86">
        <w:rPr>
          <w:rFonts w:eastAsia="Times New Roman" w:cs="Arial"/>
          <w:i/>
          <w:color w:val="242121"/>
          <w:kern w:val="0"/>
          <w:szCs w:val="24"/>
          <w:lang w:eastAsia="en-ZA"/>
          <w14:ligatures w14:val="none"/>
        </w:rPr>
        <w:t xml:space="preserve">. </w:t>
      </w:r>
      <w:r w:rsidRPr="00ED1A86">
        <w:rPr>
          <w:rFonts w:eastAsia="Times New Roman" w:cs="Arial"/>
          <w:i/>
          <w:color w:val="242121"/>
          <w:kern w:val="0"/>
          <w:szCs w:val="24"/>
          <w:lang w:eastAsia="en-ZA"/>
          <w14:ligatures w14:val="none"/>
        </w:rPr>
        <w:t xml:space="preserve">The above problems make a severe impact on the young South African democracy, where resources </w:t>
      </w:r>
      <w:r w:rsidRPr="00ED1A86">
        <w:rPr>
          <w:rFonts w:eastAsia="Times New Roman" w:cs="Arial"/>
          <w:i/>
          <w:color w:val="242121"/>
          <w:kern w:val="0"/>
          <w:szCs w:val="24"/>
          <w:lang w:eastAsia="en-ZA"/>
          <w14:ligatures w14:val="none"/>
        </w:rPr>
        <w:lastRenderedPageBreak/>
        <w:t>are strained to meet urgent and extensive human needs. Various international instruments deal with the problem of international crime in this regard and it is now widely accepted in the international community that criminals should be stripped of the proceeds of their crimes, the purpose being to remove the incentive for crime, not to punish them. This approach has similarly been adopted by our legislature.</w:t>
      </w:r>
    </w:p>
    <w:p w14:paraId="69F618BF" w14:textId="2A512B3F" w:rsidR="00F14991" w:rsidRDefault="00D049DB" w:rsidP="00E70B1F">
      <w:pPr>
        <w:pStyle w:val="ListParagraph"/>
        <w:numPr>
          <w:ilvl w:val="0"/>
          <w:numId w:val="6"/>
        </w:numPr>
        <w:spacing w:before="480" w:after="0" w:line="480" w:lineRule="auto"/>
        <w:contextualSpacing w:val="0"/>
        <w:rPr>
          <w:rFonts w:cs="Arial"/>
          <w:szCs w:val="24"/>
        </w:rPr>
      </w:pPr>
      <w:r>
        <w:rPr>
          <w:rFonts w:cs="Arial"/>
          <w:szCs w:val="24"/>
        </w:rPr>
        <w:t xml:space="preserve">In </w:t>
      </w:r>
      <w:r w:rsidR="00236AC9" w:rsidRPr="00BC2FEA">
        <w:rPr>
          <w:rFonts w:cs="Arial"/>
          <w:i/>
          <w:iCs/>
          <w:szCs w:val="24"/>
        </w:rPr>
        <w:t>Mohamed,</w:t>
      </w:r>
      <w:r>
        <w:rPr>
          <w:rFonts w:cs="Arial"/>
          <w:szCs w:val="24"/>
        </w:rPr>
        <w:t xml:space="preserve"> the </w:t>
      </w:r>
      <w:r w:rsidR="00BC2FEA">
        <w:rPr>
          <w:rFonts w:cs="Arial"/>
          <w:szCs w:val="24"/>
        </w:rPr>
        <w:t xml:space="preserve">Constitutional </w:t>
      </w:r>
      <w:r>
        <w:rPr>
          <w:rFonts w:cs="Arial"/>
          <w:szCs w:val="24"/>
        </w:rPr>
        <w:t xml:space="preserve">Court </w:t>
      </w:r>
      <w:r w:rsidR="00E45E55">
        <w:rPr>
          <w:rFonts w:cs="Arial"/>
          <w:szCs w:val="24"/>
        </w:rPr>
        <w:t>clearly identifie</w:t>
      </w:r>
      <w:r w:rsidR="00C751A8">
        <w:rPr>
          <w:rFonts w:cs="Arial"/>
          <w:szCs w:val="24"/>
        </w:rPr>
        <w:t>d</w:t>
      </w:r>
      <w:r w:rsidR="00E45E55">
        <w:rPr>
          <w:rFonts w:cs="Arial"/>
          <w:szCs w:val="24"/>
        </w:rPr>
        <w:t xml:space="preserve"> that </w:t>
      </w:r>
      <w:r w:rsidR="00EF0A8C">
        <w:rPr>
          <w:rFonts w:cs="Arial"/>
          <w:szCs w:val="24"/>
        </w:rPr>
        <w:t xml:space="preserve">that it is </w:t>
      </w:r>
      <w:r w:rsidR="00EF0A8C" w:rsidRPr="00C751A8">
        <w:rPr>
          <w:rFonts w:cs="Arial"/>
          <w:i/>
          <w:iCs/>
          <w:szCs w:val="24"/>
        </w:rPr>
        <w:t>criminals</w:t>
      </w:r>
      <w:r w:rsidR="00BC2FEA">
        <w:rPr>
          <w:rFonts w:cs="Arial"/>
          <w:szCs w:val="24"/>
        </w:rPr>
        <w:t xml:space="preserve"> </w:t>
      </w:r>
      <w:r w:rsidR="00EF0A8C">
        <w:rPr>
          <w:rFonts w:cs="Arial"/>
          <w:szCs w:val="24"/>
        </w:rPr>
        <w:t>(</w:t>
      </w:r>
      <w:r w:rsidR="00870D19">
        <w:rPr>
          <w:rFonts w:cs="Arial"/>
          <w:szCs w:val="24"/>
        </w:rPr>
        <w:t xml:space="preserve">namely </w:t>
      </w:r>
      <w:r w:rsidR="00EF0A8C">
        <w:rPr>
          <w:rFonts w:cs="Arial"/>
          <w:szCs w:val="24"/>
        </w:rPr>
        <w:t xml:space="preserve">those </w:t>
      </w:r>
      <w:r w:rsidR="000915D1">
        <w:rPr>
          <w:rFonts w:cs="Arial"/>
          <w:szCs w:val="24"/>
        </w:rPr>
        <w:t xml:space="preserve">persons </w:t>
      </w:r>
      <w:r w:rsidR="00E604B8">
        <w:rPr>
          <w:rFonts w:cs="Arial"/>
          <w:szCs w:val="24"/>
        </w:rPr>
        <w:t>charged</w:t>
      </w:r>
      <w:r w:rsidR="00EF0A8C">
        <w:rPr>
          <w:rFonts w:cs="Arial"/>
          <w:szCs w:val="24"/>
        </w:rPr>
        <w:t xml:space="preserve">, </w:t>
      </w:r>
      <w:r w:rsidR="005D07F1">
        <w:rPr>
          <w:rFonts w:cs="Arial"/>
          <w:szCs w:val="24"/>
        </w:rPr>
        <w:t>prosecuted,</w:t>
      </w:r>
      <w:r w:rsidR="00EF0A8C">
        <w:rPr>
          <w:rFonts w:cs="Arial"/>
          <w:szCs w:val="24"/>
        </w:rPr>
        <w:t xml:space="preserve"> and found guilty of offences</w:t>
      </w:r>
      <w:r w:rsidR="00A048A3">
        <w:rPr>
          <w:rFonts w:cs="Arial"/>
          <w:szCs w:val="24"/>
        </w:rPr>
        <w:t xml:space="preserve"> </w:t>
      </w:r>
      <w:r w:rsidR="00FA20DE">
        <w:rPr>
          <w:rFonts w:cs="Arial"/>
          <w:szCs w:val="24"/>
        </w:rPr>
        <w:t xml:space="preserve">within the confines </w:t>
      </w:r>
      <w:r w:rsidR="00925B89">
        <w:rPr>
          <w:rFonts w:cs="Arial"/>
          <w:szCs w:val="24"/>
        </w:rPr>
        <w:t xml:space="preserve">of a </w:t>
      </w:r>
      <w:r w:rsidR="00FD0A81">
        <w:rPr>
          <w:rFonts w:cs="Arial"/>
          <w:szCs w:val="24"/>
        </w:rPr>
        <w:t xml:space="preserve">criminal justice </w:t>
      </w:r>
      <w:r w:rsidR="00925B89">
        <w:rPr>
          <w:rFonts w:cs="Arial"/>
          <w:szCs w:val="24"/>
        </w:rPr>
        <w:t>system</w:t>
      </w:r>
      <w:r w:rsidR="00EF0A8C">
        <w:rPr>
          <w:rFonts w:cs="Arial"/>
          <w:szCs w:val="24"/>
        </w:rPr>
        <w:t xml:space="preserve">) </w:t>
      </w:r>
      <w:r w:rsidR="000915D1">
        <w:rPr>
          <w:rFonts w:cs="Arial"/>
          <w:szCs w:val="24"/>
        </w:rPr>
        <w:t>who must be stripped of the</w:t>
      </w:r>
      <w:r w:rsidR="00BC2FEA">
        <w:rPr>
          <w:rFonts w:cs="Arial"/>
          <w:szCs w:val="24"/>
        </w:rPr>
        <w:t>ir ill</w:t>
      </w:r>
      <w:r w:rsidR="00C751A8">
        <w:rPr>
          <w:rFonts w:cs="Arial"/>
          <w:szCs w:val="24"/>
        </w:rPr>
        <w:t>-</w:t>
      </w:r>
      <w:r w:rsidR="00BC2FEA">
        <w:rPr>
          <w:rFonts w:cs="Arial"/>
          <w:szCs w:val="24"/>
        </w:rPr>
        <w:t>gotten gains.</w:t>
      </w:r>
    </w:p>
    <w:p w14:paraId="47B0F9BB" w14:textId="06F4D892" w:rsidR="003F2D71" w:rsidRDefault="003F2D71" w:rsidP="00E70B1F">
      <w:pPr>
        <w:pStyle w:val="ListParagraph"/>
        <w:numPr>
          <w:ilvl w:val="0"/>
          <w:numId w:val="6"/>
        </w:numPr>
        <w:spacing w:before="480" w:after="0" w:line="480" w:lineRule="auto"/>
        <w:contextualSpacing w:val="0"/>
        <w:rPr>
          <w:rFonts w:cs="Arial"/>
          <w:szCs w:val="24"/>
        </w:rPr>
      </w:pPr>
      <w:r>
        <w:rPr>
          <w:rFonts w:cs="Arial"/>
          <w:szCs w:val="24"/>
        </w:rPr>
        <w:t>The proposed extended definition</w:t>
      </w:r>
      <w:r w:rsidR="00870D19">
        <w:rPr>
          <w:rFonts w:cs="Arial"/>
          <w:szCs w:val="24"/>
        </w:rPr>
        <w:t xml:space="preserve"> of the word </w:t>
      </w:r>
      <w:r w:rsidR="00870D19">
        <w:rPr>
          <w:rFonts w:cs="Arial"/>
          <w:i/>
          <w:iCs/>
          <w:szCs w:val="24"/>
        </w:rPr>
        <w:t>defendant</w:t>
      </w:r>
      <w:r>
        <w:rPr>
          <w:rFonts w:cs="Arial"/>
          <w:szCs w:val="24"/>
        </w:rPr>
        <w:t xml:space="preserve"> is at odds with </w:t>
      </w:r>
      <w:r w:rsidR="00FD0A81">
        <w:rPr>
          <w:rFonts w:cs="Arial"/>
          <w:szCs w:val="24"/>
        </w:rPr>
        <w:t>principles of the rule of law.</w:t>
      </w:r>
    </w:p>
    <w:p w14:paraId="6C6570DA" w14:textId="02EA6952" w:rsidR="007467F0" w:rsidRPr="001E6630" w:rsidRDefault="00C457AD" w:rsidP="001E6630">
      <w:pPr>
        <w:keepNext/>
        <w:spacing w:before="480" w:after="0" w:line="480" w:lineRule="auto"/>
        <w:rPr>
          <w:rFonts w:cs="Arial"/>
          <w:b/>
          <w:bCs/>
          <w:szCs w:val="24"/>
        </w:rPr>
      </w:pPr>
      <w:r w:rsidRPr="001E6630">
        <w:rPr>
          <w:rFonts w:cs="Arial"/>
          <w:b/>
          <w:bCs/>
          <w:szCs w:val="24"/>
        </w:rPr>
        <w:t>DO THE RESPONDENTS HOLD REALIZABLE PROPERTY?</w:t>
      </w:r>
    </w:p>
    <w:p w14:paraId="41DBD391" w14:textId="156DFBE1" w:rsidR="00BE6694" w:rsidRDefault="00197A4B" w:rsidP="00B83017">
      <w:pPr>
        <w:pStyle w:val="ListParagraph"/>
        <w:numPr>
          <w:ilvl w:val="0"/>
          <w:numId w:val="6"/>
        </w:numPr>
        <w:spacing w:before="480" w:after="0" w:line="480" w:lineRule="auto"/>
        <w:contextualSpacing w:val="0"/>
        <w:rPr>
          <w:rFonts w:cs="Arial"/>
          <w:szCs w:val="24"/>
        </w:rPr>
      </w:pPr>
      <w:r>
        <w:rPr>
          <w:rFonts w:cs="Arial"/>
          <w:szCs w:val="24"/>
        </w:rPr>
        <w:t>This question</w:t>
      </w:r>
      <w:r w:rsidR="00CC49D4">
        <w:rPr>
          <w:rFonts w:cs="Arial"/>
          <w:szCs w:val="24"/>
        </w:rPr>
        <w:t xml:space="preserve"> is</w:t>
      </w:r>
      <w:r w:rsidR="00B6445C">
        <w:rPr>
          <w:rFonts w:cs="Arial"/>
          <w:szCs w:val="24"/>
        </w:rPr>
        <w:t xml:space="preserve"> </w:t>
      </w:r>
      <w:r w:rsidR="0005185D">
        <w:rPr>
          <w:rFonts w:cs="Arial"/>
          <w:szCs w:val="24"/>
        </w:rPr>
        <w:t xml:space="preserve"> </w:t>
      </w:r>
      <w:r w:rsidR="00CC49D4">
        <w:rPr>
          <w:rFonts w:cs="Arial"/>
          <w:szCs w:val="24"/>
        </w:rPr>
        <w:t xml:space="preserve">answered if </w:t>
      </w:r>
      <w:r w:rsidR="00EF114A">
        <w:rPr>
          <w:rFonts w:cs="Arial"/>
          <w:szCs w:val="24"/>
        </w:rPr>
        <w:t>any property</w:t>
      </w:r>
      <w:r w:rsidR="00CC49D4">
        <w:rPr>
          <w:rFonts w:cs="Arial"/>
          <w:szCs w:val="24"/>
        </w:rPr>
        <w:t xml:space="preserve"> held by the respondent </w:t>
      </w:r>
      <w:r w:rsidR="0005185D">
        <w:rPr>
          <w:rFonts w:cs="Arial"/>
          <w:szCs w:val="24"/>
        </w:rPr>
        <w:t xml:space="preserve">entities </w:t>
      </w:r>
      <w:r w:rsidR="00CC49D4">
        <w:rPr>
          <w:rFonts w:cs="Arial"/>
          <w:szCs w:val="24"/>
        </w:rPr>
        <w:t xml:space="preserve">was an </w:t>
      </w:r>
      <w:r w:rsidR="00CC49D4" w:rsidRPr="00CC49D4">
        <w:rPr>
          <w:rFonts w:cs="Arial"/>
          <w:i/>
          <w:iCs/>
          <w:szCs w:val="24"/>
        </w:rPr>
        <w:t>affected gift</w:t>
      </w:r>
      <w:r w:rsidR="00CC49D4">
        <w:rPr>
          <w:rFonts w:cs="Arial"/>
          <w:szCs w:val="24"/>
        </w:rPr>
        <w:t xml:space="preserve"> </w:t>
      </w:r>
      <w:r w:rsidR="00BE56FB">
        <w:rPr>
          <w:rFonts w:cs="Arial"/>
          <w:szCs w:val="24"/>
        </w:rPr>
        <w:t xml:space="preserve"> received from </w:t>
      </w:r>
      <w:r w:rsidR="00CC49D4">
        <w:rPr>
          <w:rFonts w:cs="Arial"/>
          <w:szCs w:val="24"/>
        </w:rPr>
        <w:t xml:space="preserve">any of the defendants directly or indirectly. </w:t>
      </w:r>
    </w:p>
    <w:p w14:paraId="07F2A0AA" w14:textId="2282A370" w:rsidR="00B83017" w:rsidRPr="00B83017" w:rsidRDefault="00B83017" w:rsidP="00B83017">
      <w:pPr>
        <w:pStyle w:val="ListParagraph"/>
        <w:numPr>
          <w:ilvl w:val="0"/>
          <w:numId w:val="6"/>
        </w:numPr>
        <w:spacing w:before="480" w:after="0" w:line="480" w:lineRule="auto"/>
        <w:contextualSpacing w:val="0"/>
        <w:rPr>
          <w:rFonts w:cs="Arial"/>
          <w:szCs w:val="24"/>
        </w:rPr>
      </w:pPr>
      <w:r w:rsidRPr="00B83017">
        <w:rPr>
          <w:rFonts w:cs="Arial"/>
          <w:szCs w:val="24"/>
        </w:rPr>
        <w:t xml:space="preserve">On an analysis of the facts set out below, none of the respondent entities </w:t>
      </w:r>
      <w:r w:rsidR="002F7197" w:rsidRPr="00B83017">
        <w:rPr>
          <w:rFonts w:cs="Arial"/>
          <w:szCs w:val="24"/>
        </w:rPr>
        <w:t xml:space="preserve">received </w:t>
      </w:r>
      <w:r w:rsidR="002F7197" w:rsidRPr="002F7197">
        <w:rPr>
          <w:rFonts w:cs="Arial"/>
          <w:i/>
          <w:iCs/>
          <w:szCs w:val="24"/>
        </w:rPr>
        <w:t>affected gifts</w:t>
      </w:r>
      <w:r w:rsidR="002F7197">
        <w:rPr>
          <w:rFonts w:cs="Arial"/>
          <w:szCs w:val="24"/>
        </w:rPr>
        <w:t xml:space="preserve"> from any of the defendants</w:t>
      </w:r>
      <w:r w:rsidR="002F7197" w:rsidRPr="00B83017">
        <w:rPr>
          <w:rFonts w:cs="Arial"/>
          <w:szCs w:val="24"/>
        </w:rPr>
        <w:t xml:space="preserve"> </w:t>
      </w:r>
      <w:r w:rsidR="002F7197">
        <w:rPr>
          <w:rFonts w:cs="Arial"/>
          <w:szCs w:val="24"/>
        </w:rPr>
        <w:t xml:space="preserve">or </w:t>
      </w:r>
      <w:r w:rsidRPr="00B83017">
        <w:rPr>
          <w:rFonts w:cs="Arial"/>
          <w:szCs w:val="24"/>
        </w:rPr>
        <w:t xml:space="preserve">hold </w:t>
      </w:r>
      <w:r w:rsidRPr="002F7197">
        <w:rPr>
          <w:rFonts w:cs="Arial"/>
          <w:i/>
          <w:iCs/>
          <w:szCs w:val="24"/>
        </w:rPr>
        <w:t>realisable assets</w:t>
      </w:r>
      <w:r w:rsidRPr="00B83017">
        <w:rPr>
          <w:rFonts w:cs="Arial"/>
          <w:szCs w:val="24"/>
        </w:rPr>
        <w:t xml:space="preserve">. </w:t>
      </w:r>
    </w:p>
    <w:p w14:paraId="52040911" w14:textId="01CDD707" w:rsidR="00D15E9C" w:rsidRPr="00D15E9C" w:rsidRDefault="00D15E9C" w:rsidP="00D15E9C">
      <w:pPr>
        <w:keepNext/>
        <w:spacing w:before="480" w:after="0" w:line="480" w:lineRule="auto"/>
        <w:rPr>
          <w:rFonts w:cs="Arial"/>
          <w:b/>
          <w:szCs w:val="24"/>
        </w:rPr>
      </w:pPr>
      <w:r>
        <w:rPr>
          <w:rFonts w:cs="Arial"/>
          <w:b/>
          <w:szCs w:val="24"/>
        </w:rPr>
        <w:t>THE EIGHTH RESPONDENT</w:t>
      </w:r>
    </w:p>
    <w:p w14:paraId="05865F1B" w14:textId="751BCC00" w:rsidR="00D15E9C" w:rsidRDefault="00D15E9C" w:rsidP="003F30F3">
      <w:pPr>
        <w:pStyle w:val="ListParagraph"/>
        <w:numPr>
          <w:ilvl w:val="0"/>
          <w:numId w:val="6"/>
        </w:numPr>
        <w:spacing w:before="480" w:after="0" w:line="480" w:lineRule="auto"/>
        <w:contextualSpacing w:val="0"/>
        <w:rPr>
          <w:rFonts w:cs="Arial"/>
          <w:szCs w:val="24"/>
        </w:rPr>
      </w:pPr>
      <w:r>
        <w:rPr>
          <w:rFonts w:cs="Arial"/>
          <w:szCs w:val="24"/>
        </w:rPr>
        <w:t>The eighth respondent was incorporated as a close corporation in June 1994</w:t>
      </w:r>
      <w:r w:rsidR="00236AC9">
        <w:rPr>
          <w:rFonts w:cs="Arial"/>
          <w:szCs w:val="24"/>
        </w:rPr>
        <w:t xml:space="preserve">. </w:t>
      </w:r>
      <w:r>
        <w:rPr>
          <w:rFonts w:cs="Arial"/>
          <w:szCs w:val="24"/>
        </w:rPr>
        <w:t>The fourteenth respondent acquired the entire members’</w:t>
      </w:r>
      <w:r w:rsidR="002A49EB">
        <w:rPr>
          <w:rFonts w:cs="Arial"/>
          <w:szCs w:val="24"/>
        </w:rPr>
        <w:t xml:space="preserve"> interest on 23 </w:t>
      </w:r>
      <w:r>
        <w:rPr>
          <w:rFonts w:cs="Arial"/>
          <w:szCs w:val="24"/>
        </w:rPr>
        <w:t>February 2006.</w:t>
      </w:r>
    </w:p>
    <w:p w14:paraId="355F4C81" w14:textId="07B01A7D" w:rsidR="002A49EB" w:rsidRDefault="002A49EB" w:rsidP="003F30F3">
      <w:pPr>
        <w:pStyle w:val="ListParagraph"/>
        <w:numPr>
          <w:ilvl w:val="0"/>
          <w:numId w:val="6"/>
        </w:numPr>
        <w:spacing w:before="480" w:after="0" w:line="480" w:lineRule="auto"/>
        <w:contextualSpacing w:val="0"/>
        <w:rPr>
          <w:rFonts w:cs="Arial"/>
          <w:szCs w:val="24"/>
        </w:rPr>
      </w:pPr>
      <w:r>
        <w:rPr>
          <w:rFonts w:cs="Arial"/>
          <w:szCs w:val="24"/>
        </w:rPr>
        <w:lastRenderedPageBreak/>
        <w:t>On 24 May 2007, the fourteenth respondent transferred 50% of his member’s interest to the seventh defendant</w:t>
      </w:r>
      <w:r w:rsidR="003E73CB">
        <w:rPr>
          <w:rFonts w:cs="Arial"/>
          <w:szCs w:val="24"/>
        </w:rPr>
        <w:t xml:space="preserve"> at no cost to the sev</w:t>
      </w:r>
      <w:r w:rsidR="00D11C5A">
        <w:rPr>
          <w:rFonts w:cs="Arial"/>
          <w:szCs w:val="24"/>
        </w:rPr>
        <w:t>enth defendant</w:t>
      </w:r>
      <w:r w:rsidR="00236AC9">
        <w:rPr>
          <w:rFonts w:cs="Arial"/>
          <w:szCs w:val="24"/>
        </w:rPr>
        <w:t xml:space="preserve">. </w:t>
      </w:r>
    </w:p>
    <w:p w14:paraId="07A8CED0" w14:textId="7B5E1627" w:rsidR="002A49EB" w:rsidRDefault="002A49EB" w:rsidP="003F30F3">
      <w:pPr>
        <w:pStyle w:val="ListParagraph"/>
        <w:numPr>
          <w:ilvl w:val="0"/>
          <w:numId w:val="6"/>
        </w:numPr>
        <w:spacing w:before="480" w:after="0" w:line="480" w:lineRule="auto"/>
        <w:contextualSpacing w:val="0"/>
        <w:rPr>
          <w:rFonts w:cs="Arial"/>
          <w:szCs w:val="24"/>
        </w:rPr>
      </w:pPr>
      <w:r>
        <w:rPr>
          <w:rFonts w:cs="Arial"/>
          <w:szCs w:val="24"/>
        </w:rPr>
        <w:t xml:space="preserve">On 30 October 2007, the </w:t>
      </w:r>
      <w:bookmarkStart w:id="3" w:name="_Hlk141965163"/>
      <w:r>
        <w:rPr>
          <w:rFonts w:cs="Arial"/>
          <w:szCs w:val="24"/>
        </w:rPr>
        <w:t xml:space="preserve">eighth respondent </w:t>
      </w:r>
      <w:bookmarkEnd w:id="3"/>
      <w:r>
        <w:rPr>
          <w:rFonts w:cs="Arial"/>
          <w:szCs w:val="24"/>
        </w:rPr>
        <w:t xml:space="preserve">was converted </w:t>
      </w:r>
      <w:r w:rsidR="009C42D5">
        <w:rPr>
          <w:rFonts w:cs="Arial"/>
          <w:szCs w:val="24"/>
        </w:rPr>
        <w:t xml:space="preserve">from a close corporation </w:t>
      </w:r>
      <w:r>
        <w:rPr>
          <w:rFonts w:cs="Arial"/>
          <w:szCs w:val="24"/>
        </w:rPr>
        <w:t>to a private company</w:t>
      </w:r>
      <w:r w:rsidR="00236AC9">
        <w:rPr>
          <w:rFonts w:cs="Arial"/>
          <w:szCs w:val="24"/>
        </w:rPr>
        <w:t xml:space="preserve">. </w:t>
      </w:r>
    </w:p>
    <w:p w14:paraId="24CA0F92" w14:textId="18E05861" w:rsidR="00A757E0" w:rsidRDefault="002A49EB" w:rsidP="003F30F3">
      <w:pPr>
        <w:pStyle w:val="ListParagraph"/>
        <w:numPr>
          <w:ilvl w:val="0"/>
          <w:numId w:val="6"/>
        </w:numPr>
        <w:spacing w:before="480" w:after="0" w:line="480" w:lineRule="auto"/>
        <w:contextualSpacing w:val="0"/>
        <w:rPr>
          <w:rFonts w:cs="Arial"/>
          <w:szCs w:val="24"/>
        </w:rPr>
      </w:pPr>
      <w:r>
        <w:rPr>
          <w:rFonts w:cs="Arial"/>
          <w:szCs w:val="24"/>
        </w:rPr>
        <w:t>On 19 December 2014, the fourteenth respondent transferred 50% of his shares</w:t>
      </w:r>
      <w:r w:rsidR="00B706AD">
        <w:rPr>
          <w:rFonts w:cs="Arial"/>
          <w:szCs w:val="24"/>
        </w:rPr>
        <w:t xml:space="preserve"> </w:t>
      </w:r>
      <w:r w:rsidR="00AB34DE">
        <w:rPr>
          <w:rFonts w:cs="Arial"/>
          <w:szCs w:val="24"/>
        </w:rPr>
        <w:t xml:space="preserve">in the </w:t>
      </w:r>
      <w:r w:rsidR="00B706AD">
        <w:rPr>
          <w:rFonts w:cs="Arial"/>
          <w:szCs w:val="24"/>
        </w:rPr>
        <w:t>eighth respondent</w:t>
      </w:r>
      <w:r>
        <w:rPr>
          <w:rFonts w:cs="Arial"/>
          <w:szCs w:val="24"/>
        </w:rPr>
        <w:t xml:space="preserve"> to the Abraham le Roux Family Trust and the seventh defendant transferred 50% of his shares in the eighth respondent to the Le Roux Investment Trust.</w:t>
      </w:r>
      <w:r w:rsidR="00262701" w:rsidRPr="00262701">
        <w:rPr>
          <w:rFonts w:cs="Arial"/>
          <w:szCs w:val="24"/>
        </w:rPr>
        <w:t xml:space="preserve"> </w:t>
      </w:r>
      <w:r w:rsidR="00262701">
        <w:rPr>
          <w:rFonts w:cs="Arial"/>
          <w:szCs w:val="24"/>
        </w:rPr>
        <w:t xml:space="preserve">The fourteenth respondent and seventh defendant are both trustees of each of the Abraham le Roux Family Trust and the Le Roux Investment Trust. </w:t>
      </w:r>
      <w:r w:rsidR="001A2240">
        <w:rPr>
          <w:rFonts w:cs="Arial"/>
          <w:szCs w:val="24"/>
        </w:rPr>
        <w:t xml:space="preserve">Both </w:t>
      </w:r>
      <w:bookmarkStart w:id="4" w:name="_Hlk142309728"/>
      <w:r w:rsidR="001A2240">
        <w:rPr>
          <w:rFonts w:cs="Arial"/>
          <w:szCs w:val="24"/>
        </w:rPr>
        <w:t>t</w:t>
      </w:r>
      <w:r w:rsidR="00A757E0">
        <w:rPr>
          <w:rFonts w:cs="Arial"/>
          <w:szCs w:val="24"/>
        </w:rPr>
        <w:t xml:space="preserve">he Abraham le Roux Family Trust and the Le Roux Investment Trust </w:t>
      </w:r>
      <w:bookmarkEnd w:id="4"/>
      <w:r w:rsidR="00A757E0">
        <w:rPr>
          <w:rFonts w:cs="Arial"/>
          <w:szCs w:val="24"/>
        </w:rPr>
        <w:t xml:space="preserve">acquired </w:t>
      </w:r>
      <w:r w:rsidR="001A2240">
        <w:rPr>
          <w:rFonts w:cs="Arial"/>
          <w:szCs w:val="24"/>
        </w:rPr>
        <w:t>their</w:t>
      </w:r>
      <w:r w:rsidR="0028789E">
        <w:rPr>
          <w:rFonts w:cs="Arial"/>
          <w:szCs w:val="24"/>
        </w:rPr>
        <w:t xml:space="preserve"> </w:t>
      </w:r>
      <w:r w:rsidR="001A2240">
        <w:rPr>
          <w:rFonts w:cs="Arial"/>
          <w:szCs w:val="24"/>
        </w:rPr>
        <w:t>s</w:t>
      </w:r>
      <w:r w:rsidR="00A757E0">
        <w:rPr>
          <w:rFonts w:cs="Arial"/>
          <w:szCs w:val="24"/>
        </w:rPr>
        <w:t>hareholding in the eighth respondent, at par value of R1.00</w:t>
      </w:r>
      <w:r w:rsidR="008F77E2">
        <w:rPr>
          <w:rFonts w:cs="Arial"/>
          <w:szCs w:val="24"/>
        </w:rPr>
        <w:t>per share</w:t>
      </w:r>
      <w:r w:rsidR="00B52DFD">
        <w:rPr>
          <w:rFonts w:cs="Arial"/>
          <w:szCs w:val="24"/>
        </w:rPr>
        <w:t>. E</w:t>
      </w:r>
      <w:r w:rsidR="008F77E2">
        <w:rPr>
          <w:rFonts w:cs="Arial"/>
          <w:szCs w:val="24"/>
        </w:rPr>
        <w:t>ach of the</w:t>
      </w:r>
      <w:r w:rsidR="00B52DFD">
        <w:rPr>
          <w:rFonts w:cs="Arial"/>
          <w:szCs w:val="24"/>
        </w:rPr>
        <w:t xml:space="preserve">  Abraham le Roux Family Trust and the Le Roux Investment Trust acquired 50 shares.</w:t>
      </w:r>
      <w:r w:rsidR="008F77E2">
        <w:rPr>
          <w:rFonts w:cs="Arial"/>
          <w:szCs w:val="24"/>
        </w:rPr>
        <w:t xml:space="preserve"> </w:t>
      </w:r>
    </w:p>
    <w:p w14:paraId="5ED06608" w14:textId="1AAACD55" w:rsidR="00A757E0" w:rsidRDefault="002A49EB" w:rsidP="003F30F3">
      <w:pPr>
        <w:pStyle w:val="ListParagraph"/>
        <w:numPr>
          <w:ilvl w:val="0"/>
          <w:numId w:val="6"/>
        </w:numPr>
        <w:spacing w:before="480" w:after="0" w:line="480" w:lineRule="auto"/>
        <w:contextualSpacing w:val="0"/>
        <w:rPr>
          <w:rFonts w:cs="Arial"/>
          <w:szCs w:val="24"/>
        </w:rPr>
      </w:pPr>
      <w:r>
        <w:rPr>
          <w:rFonts w:cs="Arial"/>
          <w:szCs w:val="24"/>
        </w:rPr>
        <w:t>The eighth respondent produces “</w:t>
      </w:r>
      <w:r>
        <w:rPr>
          <w:rFonts w:cs="Arial"/>
          <w:i/>
          <w:szCs w:val="24"/>
        </w:rPr>
        <w:t>as evidence</w:t>
      </w:r>
      <w:r w:rsidR="00DB3B4B">
        <w:rPr>
          <w:rFonts w:cs="Arial"/>
          <w:i/>
          <w:szCs w:val="24"/>
        </w:rPr>
        <w:t xml:space="preserve"> of payment for the shares</w:t>
      </w:r>
      <w:r w:rsidR="00536C82">
        <w:rPr>
          <w:rFonts w:cs="Arial"/>
          <w:i/>
          <w:szCs w:val="24"/>
        </w:rPr>
        <w:t xml:space="preserve"> for value</w:t>
      </w:r>
      <w:r>
        <w:rPr>
          <w:rFonts w:cs="Arial"/>
          <w:szCs w:val="24"/>
        </w:rPr>
        <w:t>” the return for securities transfer tax</w:t>
      </w:r>
      <w:r w:rsidR="00DB3B4B">
        <w:rPr>
          <w:rFonts w:cs="Arial"/>
          <w:szCs w:val="24"/>
        </w:rPr>
        <w:t xml:space="preserve">. </w:t>
      </w:r>
      <w:r>
        <w:rPr>
          <w:rFonts w:cs="Arial"/>
          <w:szCs w:val="24"/>
        </w:rPr>
        <w:t>This contention is a fallacy. Securities transfer tax is payable by the company</w:t>
      </w:r>
      <w:r w:rsidR="00536C82">
        <w:rPr>
          <w:rFonts w:cs="Arial"/>
          <w:szCs w:val="24"/>
        </w:rPr>
        <w:t>,</w:t>
      </w:r>
      <w:r w:rsidR="00CB40CD">
        <w:rPr>
          <w:rFonts w:cs="Arial"/>
          <w:szCs w:val="24"/>
        </w:rPr>
        <w:t xml:space="preserve"> whose shares are sold or </w:t>
      </w:r>
      <w:r w:rsidR="0000085C">
        <w:rPr>
          <w:rFonts w:cs="Arial"/>
          <w:szCs w:val="24"/>
        </w:rPr>
        <w:t>issued</w:t>
      </w:r>
      <w:r>
        <w:rPr>
          <w:rFonts w:cs="Arial"/>
          <w:szCs w:val="24"/>
        </w:rPr>
        <w:t>.</w:t>
      </w:r>
      <w:r w:rsidR="0078686D">
        <w:rPr>
          <w:rStyle w:val="FootnoteReference"/>
          <w:rFonts w:cs="Arial"/>
          <w:szCs w:val="24"/>
        </w:rPr>
        <w:footnoteReference w:id="19"/>
      </w:r>
      <w:r>
        <w:rPr>
          <w:rFonts w:cs="Arial"/>
          <w:szCs w:val="24"/>
        </w:rPr>
        <w:t xml:space="preserve"> </w:t>
      </w:r>
      <w:r w:rsidR="00843763">
        <w:rPr>
          <w:rFonts w:cs="Arial"/>
          <w:szCs w:val="24"/>
        </w:rPr>
        <w:t xml:space="preserve"> </w:t>
      </w:r>
      <w:r>
        <w:rPr>
          <w:rFonts w:cs="Arial"/>
          <w:szCs w:val="24"/>
        </w:rPr>
        <w:t>The securities transfer tax return does not evidence a transfer of the shareholding for value.</w:t>
      </w:r>
      <w:r w:rsidR="00A30F00">
        <w:rPr>
          <w:rFonts w:cs="Arial"/>
          <w:szCs w:val="24"/>
        </w:rPr>
        <w:t xml:space="preserve"> </w:t>
      </w:r>
      <w:r w:rsidR="0041370C">
        <w:rPr>
          <w:rFonts w:cs="Arial"/>
          <w:szCs w:val="24"/>
        </w:rPr>
        <w:t xml:space="preserve">The </w:t>
      </w:r>
      <w:r w:rsidR="002648B9">
        <w:rPr>
          <w:rFonts w:cs="Arial"/>
          <w:szCs w:val="24"/>
        </w:rPr>
        <w:t>facts do not evidence that the shareholding was transferred for value.</w:t>
      </w:r>
    </w:p>
    <w:p w14:paraId="59105C0B" w14:textId="0DF26A8B" w:rsidR="00B94BC4" w:rsidRDefault="00580FB8" w:rsidP="003F30F3">
      <w:pPr>
        <w:pStyle w:val="ListParagraph"/>
        <w:numPr>
          <w:ilvl w:val="0"/>
          <w:numId w:val="6"/>
        </w:numPr>
        <w:spacing w:before="480" w:after="0" w:line="480" w:lineRule="auto"/>
        <w:contextualSpacing w:val="0"/>
        <w:rPr>
          <w:rFonts w:cs="Arial"/>
          <w:szCs w:val="24"/>
        </w:rPr>
      </w:pPr>
      <w:r>
        <w:rPr>
          <w:rFonts w:cs="Arial"/>
          <w:szCs w:val="24"/>
        </w:rPr>
        <w:lastRenderedPageBreak/>
        <w:t>T</w:t>
      </w:r>
      <w:r w:rsidR="002A49EB">
        <w:rPr>
          <w:rFonts w:cs="Arial"/>
          <w:szCs w:val="24"/>
        </w:rPr>
        <w:t xml:space="preserve">he </w:t>
      </w:r>
      <w:r>
        <w:rPr>
          <w:rFonts w:cs="Arial"/>
          <w:bCs/>
          <w:szCs w:val="24"/>
        </w:rPr>
        <w:t>eight</w:t>
      </w:r>
      <w:r w:rsidR="002648B9">
        <w:rPr>
          <w:rFonts w:cs="Arial"/>
          <w:bCs/>
          <w:szCs w:val="24"/>
        </w:rPr>
        <w:t xml:space="preserve">h </w:t>
      </w:r>
      <w:r w:rsidR="002A49EB">
        <w:rPr>
          <w:rFonts w:cs="Arial"/>
          <w:szCs w:val="24"/>
        </w:rPr>
        <w:t>respondent does not take the court into its confidence as</w:t>
      </w:r>
      <w:r w:rsidR="0013388D">
        <w:rPr>
          <w:rFonts w:cs="Arial"/>
          <w:szCs w:val="24"/>
        </w:rPr>
        <w:t xml:space="preserve"> to</w:t>
      </w:r>
      <w:r w:rsidR="002A49EB">
        <w:rPr>
          <w:rFonts w:cs="Arial"/>
          <w:szCs w:val="24"/>
        </w:rPr>
        <w:t xml:space="preserve"> how </w:t>
      </w:r>
      <w:r w:rsidR="00B94BC4">
        <w:rPr>
          <w:rFonts w:cs="Arial"/>
          <w:szCs w:val="24"/>
        </w:rPr>
        <w:t>its</w:t>
      </w:r>
      <w:r w:rsidR="002A49EB">
        <w:rPr>
          <w:rFonts w:cs="Arial"/>
          <w:szCs w:val="24"/>
        </w:rPr>
        <w:t xml:space="preserve"> shareholding was valued at R100.00</w:t>
      </w:r>
      <w:r w:rsidR="00843763">
        <w:rPr>
          <w:rFonts w:cs="Arial"/>
          <w:szCs w:val="24"/>
        </w:rPr>
        <w:t xml:space="preserve"> in 2014</w:t>
      </w:r>
      <w:r w:rsidR="00236AC9">
        <w:rPr>
          <w:rFonts w:cs="Arial"/>
          <w:szCs w:val="24"/>
        </w:rPr>
        <w:t xml:space="preserve">. </w:t>
      </w:r>
      <w:r w:rsidR="002A49EB">
        <w:rPr>
          <w:rFonts w:cs="Arial"/>
          <w:szCs w:val="24"/>
        </w:rPr>
        <w:t xml:space="preserve">There is no </w:t>
      </w:r>
      <w:r w:rsidR="00414FEC">
        <w:rPr>
          <w:rFonts w:cs="Arial"/>
          <w:szCs w:val="24"/>
        </w:rPr>
        <w:t xml:space="preserve">evidence </w:t>
      </w:r>
      <w:r w:rsidR="00C8766E">
        <w:rPr>
          <w:rFonts w:cs="Arial"/>
          <w:szCs w:val="24"/>
        </w:rPr>
        <w:t>from</w:t>
      </w:r>
      <w:r w:rsidR="002A49EB">
        <w:rPr>
          <w:rFonts w:cs="Arial"/>
          <w:szCs w:val="24"/>
        </w:rPr>
        <w:t xml:space="preserve"> the company’s auditor, Trevor Wait, as to the </w:t>
      </w:r>
      <w:r w:rsidR="00C67E56">
        <w:rPr>
          <w:rFonts w:cs="Arial"/>
          <w:szCs w:val="24"/>
        </w:rPr>
        <w:t xml:space="preserve">basis for the </w:t>
      </w:r>
      <w:r w:rsidR="00B94BC4">
        <w:rPr>
          <w:rFonts w:cs="Arial"/>
          <w:szCs w:val="24"/>
        </w:rPr>
        <w:t xml:space="preserve">determination of the </w:t>
      </w:r>
      <w:r w:rsidR="002A49EB">
        <w:rPr>
          <w:rFonts w:cs="Arial"/>
          <w:szCs w:val="24"/>
        </w:rPr>
        <w:t xml:space="preserve">value of the </w:t>
      </w:r>
      <w:r w:rsidR="00B07CE8">
        <w:rPr>
          <w:rFonts w:cs="Arial"/>
          <w:szCs w:val="24"/>
        </w:rPr>
        <w:t>share</w:t>
      </w:r>
      <w:r w:rsidR="002F5C6D">
        <w:rPr>
          <w:rFonts w:cs="Arial"/>
          <w:szCs w:val="24"/>
        </w:rPr>
        <w:t>s</w:t>
      </w:r>
      <w:r w:rsidR="00B07CE8">
        <w:rPr>
          <w:rFonts w:cs="Arial"/>
          <w:szCs w:val="24"/>
        </w:rPr>
        <w:t>. Th</w:t>
      </w:r>
      <w:r w:rsidR="000760BA">
        <w:rPr>
          <w:rFonts w:cs="Arial"/>
          <w:szCs w:val="24"/>
        </w:rPr>
        <w:t>er</w:t>
      </w:r>
      <w:r w:rsidR="00B07CE8">
        <w:rPr>
          <w:rFonts w:cs="Arial"/>
          <w:szCs w:val="24"/>
        </w:rPr>
        <w:t xml:space="preserve">e is no account in the </w:t>
      </w:r>
      <w:r w:rsidR="00B96E64">
        <w:rPr>
          <w:rFonts w:cs="Arial"/>
          <w:szCs w:val="24"/>
        </w:rPr>
        <w:t>“</w:t>
      </w:r>
      <w:r w:rsidR="00EF157A" w:rsidRPr="00C8766E">
        <w:rPr>
          <w:rFonts w:cs="Arial"/>
          <w:i/>
          <w:iCs/>
          <w:szCs w:val="24"/>
        </w:rPr>
        <w:t>value of the shares</w:t>
      </w:r>
      <w:r w:rsidR="00B96E64">
        <w:rPr>
          <w:rFonts w:cs="Arial"/>
          <w:szCs w:val="24"/>
        </w:rPr>
        <w:t>”</w:t>
      </w:r>
      <w:r w:rsidR="00EF157A">
        <w:rPr>
          <w:rFonts w:cs="Arial"/>
          <w:szCs w:val="24"/>
        </w:rPr>
        <w:t xml:space="preserve"> </w:t>
      </w:r>
      <w:r w:rsidR="00532CED">
        <w:rPr>
          <w:rFonts w:cs="Arial"/>
          <w:szCs w:val="24"/>
        </w:rPr>
        <w:t xml:space="preserve">in </w:t>
      </w:r>
      <w:r w:rsidR="00B94BC4">
        <w:rPr>
          <w:rFonts w:cs="Arial"/>
          <w:szCs w:val="24"/>
        </w:rPr>
        <w:t>the sum of</w:t>
      </w:r>
      <w:r w:rsidR="002F5C6D">
        <w:rPr>
          <w:rFonts w:cs="Arial"/>
          <w:szCs w:val="24"/>
        </w:rPr>
        <w:t xml:space="preserve"> </w:t>
      </w:r>
      <w:r w:rsidR="00EF157A">
        <w:rPr>
          <w:rFonts w:cs="Arial"/>
          <w:szCs w:val="24"/>
        </w:rPr>
        <w:t>R100</w:t>
      </w:r>
      <w:r w:rsidR="00334089">
        <w:rPr>
          <w:rFonts w:cs="Arial"/>
          <w:szCs w:val="24"/>
        </w:rPr>
        <w:t xml:space="preserve"> </w:t>
      </w:r>
      <w:r w:rsidR="00AE02DB">
        <w:rPr>
          <w:rFonts w:cs="Arial"/>
          <w:szCs w:val="24"/>
        </w:rPr>
        <w:t xml:space="preserve">of the </w:t>
      </w:r>
      <w:r w:rsidR="00334089">
        <w:rPr>
          <w:rFonts w:cs="Arial"/>
          <w:szCs w:val="24"/>
        </w:rPr>
        <w:t>underlying asset held by the eighth respondent</w:t>
      </w:r>
      <w:r w:rsidR="00E31FE1">
        <w:rPr>
          <w:rFonts w:cs="Arial"/>
          <w:szCs w:val="24"/>
        </w:rPr>
        <w:t xml:space="preserve">, </w:t>
      </w:r>
      <w:r w:rsidR="00B96E64">
        <w:rPr>
          <w:rFonts w:cs="Arial"/>
          <w:szCs w:val="24"/>
        </w:rPr>
        <w:t xml:space="preserve">namely, </w:t>
      </w:r>
      <w:r w:rsidR="00E31FE1">
        <w:rPr>
          <w:rFonts w:cs="Arial"/>
          <w:szCs w:val="24"/>
        </w:rPr>
        <w:t xml:space="preserve">an immovable property </w:t>
      </w:r>
      <w:r w:rsidR="00B96E64">
        <w:rPr>
          <w:rFonts w:cs="Arial"/>
          <w:szCs w:val="24"/>
        </w:rPr>
        <w:t>which has an income stream</w:t>
      </w:r>
      <w:r w:rsidR="00B94BC4">
        <w:rPr>
          <w:rFonts w:cs="Arial"/>
          <w:szCs w:val="24"/>
        </w:rPr>
        <w:t>,</w:t>
      </w:r>
      <w:r w:rsidR="009D795B">
        <w:rPr>
          <w:rFonts w:cs="Arial"/>
          <w:szCs w:val="24"/>
        </w:rPr>
        <w:t xml:space="preserve"> monthly rental income</w:t>
      </w:r>
      <w:r w:rsidR="00B94BC4">
        <w:rPr>
          <w:rFonts w:cs="Arial"/>
          <w:szCs w:val="24"/>
        </w:rPr>
        <w:t xml:space="preserve"> </w:t>
      </w:r>
      <w:r w:rsidR="00532CED">
        <w:rPr>
          <w:rFonts w:cs="Arial"/>
          <w:szCs w:val="24"/>
        </w:rPr>
        <w:t>rec</w:t>
      </w:r>
      <w:r w:rsidR="00A22160">
        <w:rPr>
          <w:rFonts w:cs="Arial"/>
          <w:szCs w:val="24"/>
        </w:rPr>
        <w:t xml:space="preserve">eived </w:t>
      </w:r>
      <w:r w:rsidR="00B94BC4">
        <w:rPr>
          <w:rFonts w:cs="Arial"/>
          <w:szCs w:val="24"/>
        </w:rPr>
        <w:t>from the eighth defendant</w:t>
      </w:r>
      <w:r w:rsidR="00B96E64">
        <w:rPr>
          <w:rFonts w:cs="Arial"/>
          <w:szCs w:val="24"/>
        </w:rPr>
        <w:t>.</w:t>
      </w:r>
    </w:p>
    <w:p w14:paraId="0B559127" w14:textId="68874534" w:rsidR="002A49EB" w:rsidRDefault="00B96E64" w:rsidP="003F30F3">
      <w:pPr>
        <w:pStyle w:val="ListParagraph"/>
        <w:numPr>
          <w:ilvl w:val="0"/>
          <w:numId w:val="6"/>
        </w:numPr>
        <w:spacing w:before="480" w:after="0" w:line="480" w:lineRule="auto"/>
        <w:contextualSpacing w:val="0"/>
        <w:rPr>
          <w:rFonts w:cs="Arial"/>
          <w:szCs w:val="24"/>
        </w:rPr>
      </w:pPr>
      <w:r>
        <w:rPr>
          <w:rFonts w:cs="Arial"/>
          <w:szCs w:val="24"/>
        </w:rPr>
        <w:t xml:space="preserve">The immovable property itself (absent the income stream) was </w:t>
      </w:r>
      <w:r w:rsidR="002A49EB">
        <w:rPr>
          <w:rFonts w:cs="Arial"/>
          <w:szCs w:val="24"/>
        </w:rPr>
        <w:t>valu</w:t>
      </w:r>
      <w:r w:rsidR="00E31FE1">
        <w:rPr>
          <w:rFonts w:cs="Arial"/>
          <w:szCs w:val="24"/>
        </w:rPr>
        <w:t xml:space="preserve">ed </w:t>
      </w:r>
      <w:r w:rsidR="002A49EB">
        <w:rPr>
          <w:rFonts w:cs="Arial"/>
          <w:szCs w:val="24"/>
        </w:rPr>
        <w:t>at R1.6 million on 28 April 2015</w:t>
      </w:r>
      <w:r>
        <w:rPr>
          <w:rFonts w:cs="Arial"/>
          <w:szCs w:val="24"/>
        </w:rPr>
        <w:t xml:space="preserve">. This, </w:t>
      </w:r>
      <w:r w:rsidR="002A49EB">
        <w:rPr>
          <w:rFonts w:cs="Arial"/>
          <w:szCs w:val="24"/>
        </w:rPr>
        <w:t xml:space="preserve">four months after the seventh defendant and fourteenth respondent </w:t>
      </w:r>
      <w:r>
        <w:rPr>
          <w:rFonts w:cs="Arial"/>
          <w:szCs w:val="24"/>
        </w:rPr>
        <w:t xml:space="preserve">had </w:t>
      </w:r>
      <w:r w:rsidR="002A49EB">
        <w:rPr>
          <w:rFonts w:cs="Arial"/>
          <w:szCs w:val="24"/>
        </w:rPr>
        <w:t xml:space="preserve">transferred their 50% shareholding to their respective family trusts. Even were the current value of the mortgage bond of approximately R500 000.00 </w:t>
      </w:r>
      <w:r w:rsidR="00F835CB">
        <w:rPr>
          <w:rFonts w:cs="Arial"/>
          <w:szCs w:val="24"/>
        </w:rPr>
        <w:t xml:space="preserve">is set off against the </w:t>
      </w:r>
      <w:r w:rsidR="00130B69">
        <w:rPr>
          <w:rFonts w:cs="Arial"/>
          <w:szCs w:val="24"/>
        </w:rPr>
        <w:t xml:space="preserve">2015 value of the immovable property, </w:t>
      </w:r>
      <w:r w:rsidR="002A49EB">
        <w:rPr>
          <w:rFonts w:cs="Arial"/>
          <w:szCs w:val="24"/>
        </w:rPr>
        <w:t xml:space="preserve">the underlying value of the </w:t>
      </w:r>
      <w:r w:rsidR="00E31FE1">
        <w:rPr>
          <w:rFonts w:cs="Arial"/>
          <w:szCs w:val="24"/>
        </w:rPr>
        <w:t xml:space="preserve">shares in the </w:t>
      </w:r>
      <w:r w:rsidR="002A49EB">
        <w:rPr>
          <w:rFonts w:cs="Arial"/>
          <w:szCs w:val="24"/>
        </w:rPr>
        <w:t>company was at least in excess of R1 million.</w:t>
      </w:r>
      <w:r w:rsidR="002A49EB">
        <w:rPr>
          <w:rStyle w:val="FootnoteReference"/>
          <w:rFonts w:cs="Arial"/>
          <w:szCs w:val="24"/>
        </w:rPr>
        <w:footnoteReference w:id="20"/>
      </w:r>
      <w:r w:rsidR="00BB4AE3">
        <w:rPr>
          <w:rFonts w:cs="Arial"/>
          <w:szCs w:val="24"/>
        </w:rPr>
        <w:t xml:space="preserve">  This rough calculation excludes th</w:t>
      </w:r>
      <w:r w:rsidR="00541E31">
        <w:rPr>
          <w:rFonts w:cs="Arial"/>
          <w:szCs w:val="24"/>
        </w:rPr>
        <w:t xml:space="preserve">e value of the income stream the eighth respondent received from the eighth </w:t>
      </w:r>
      <w:r w:rsidR="004F3DCF">
        <w:rPr>
          <w:rFonts w:cs="Arial"/>
          <w:szCs w:val="24"/>
        </w:rPr>
        <w:t xml:space="preserve">defendant. </w:t>
      </w:r>
    </w:p>
    <w:p w14:paraId="4A545DF1" w14:textId="6621B386" w:rsidR="002B5FEC" w:rsidRPr="005B448B" w:rsidRDefault="00421233" w:rsidP="003F30F3">
      <w:pPr>
        <w:pStyle w:val="ListParagraph"/>
        <w:numPr>
          <w:ilvl w:val="0"/>
          <w:numId w:val="6"/>
        </w:numPr>
        <w:spacing w:before="480" w:after="0" w:line="480" w:lineRule="auto"/>
        <w:contextualSpacing w:val="0"/>
        <w:rPr>
          <w:rFonts w:cs="Arial"/>
          <w:i/>
          <w:iCs/>
          <w:szCs w:val="24"/>
        </w:rPr>
      </w:pPr>
      <w:r>
        <w:rPr>
          <w:rFonts w:cs="Arial"/>
          <w:szCs w:val="24"/>
        </w:rPr>
        <w:t>T</w:t>
      </w:r>
      <w:r w:rsidR="002B5FEC">
        <w:rPr>
          <w:rFonts w:cs="Arial"/>
          <w:szCs w:val="24"/>
        </w:rPr>
        <w:t xml:space="preserve">hat said, the </w:t>
      </w:r>
      <w:r w:rsidR="00A22160">
        <w:rPr>
          <w:rFonts w:cs="Arial"/>
          <w:szCs w:val="24"/>
        </w:rPr>
        <w:t xml:space="preserve">fourteenth </w:t>
      </w:r>
      <w:r w:rsidR="002B5FEC">
        <w:rPr>
          <w:rFonts w:cs="Arial"/>
          <w:szCs w:val="24"/>
        </w:rPr>
        <w:t xml:space="preserve">respondent is not a defendant. </w:t>
      </w:r>
      <w:bookmarkStart w:id="5" w:name="_Hlk142062553"/>
      <w:r w:rsidR="00BD3DD2">
        <w:rPr>
          <w:rFonts w:cs="Arial"/>
          <w:szCs w:val="24"/>
        </w:rPr>
        <w:t xml:space="preserve">The transfer by the </w:t>
      </w:r>
      <w:r w:rsidR="00A22160">
        <w:rPr>
          <w:rFonts w:cs="Arial"/>
          <w:szCs w:val="24"/>
        </w:rPr>
        <w:t xml:space="preserve">fourteenth </w:t>
      </w:r>
      <w:r w:rsidR="00BD3DD2">
        <w:rPr>
          <w:rFonts w:cs="Arial"/>
          <w:szCs w:val="24"/>
        </w:rPr>
        <w:t xml:space="preserve">respondent </w:t>
      </w:r>
      <w:r w:rsidR="00630E40">
        <w:rPr>
          <w:rFonts w:cs="Arial"/>
          <w:szCs w:val="24"/>
        </w:rPr>
        <w:t>of his fifty percent (50%</w:t>
      </w:r>
      <w:bookmarkEnd w:id="5"/>
      <w:r w:rsidR="00630E40">
        <w:rPr>
          <w:rFonts w:cs="Arial"/>
          <w:szCs w:val="24"/>
        </w:rPr>
        <w:t xml:space="preserve">) </w:t>
      </w:r>
      <w:r w:rsidR="00BD3DD2">
        <w:rPr>
          <w:rFonts w:cs="Arial"/>
          <w:szCs w:val="24"/>
        </w:rPr>
        <w:t xml:space="preserve">shareholding in the eighth respondent, to the Abraham le Roux Family Trust </w:t>
      </w:r>
      <w:r w:rsidR="001D4B5F">
        <w:rPr>
          <w:rFonts w:cs="Arial"/>
          <w:szCs w:val="24"/>
        </w:rPr>
        <w:t>represented in these proceedings by the</w:t>
      </w:r>
      <w:r w:rsidR="008378F7">
        <w:rPr>
          <w:rFonts w:cs="Arial"/>
          <w:szCs w:val="24"/>
        </w:rPr>
        <w:t xml:space="preserve"> ninth and </w:t>
      </w:r>
      <w:r w:rsidR="001A0CA7">
        <w:rPr>
          <w:rFonts w:cs="Arial"/>
          <w:szCs w:val="24"/>
        </w:rPr>
        <w:t>tenth</w:t>
      </w:r>
      <w:r w:rsidR="008378F7">
        <w:rPr>
          <w:rFonts w:cs="Arial"/>
          <w:szCs w:val="24"/>
        </w:rPr>
        <w:t xml:space="preserve"> respondents, </w:t>
      </w:r>
      <w:bookmarkStart w:id="6" w:name="_Hlk142062599"/>
      <w:r w:rsidR="008378F7">
        <w:rPr>
          <w:rFonts w:cs="Arial"/>
          <w:szCs w:val="24"/>
        </w:rPr>
        <w:t xml:space="preserve">does not </w:t>
      </w:r>
      <w:r w:rsidR="00A512D5">
        <w:rPr>
          <w:rFonts w:cs="Arial"/>
          <w:szCs w:val="24"/>
        </w:rPr>
        <w:t xml:space="preserve">constitute an </w:t>
      </w:r>
      <w:r w:rsidR="00A512D5" w:rsidRPr="00DC16D7">
        <w:rPr>
          <w:rFonts w:cs="Arial"/>
          <w:i/>
          <w:iCs/>
          <w:szCs w:val="24"/>
        </w:rPr>
        <w:t>affected gift</w:t>
      </w:r>
      <w:r w:rsidR="00BE5C72">
        <w:rPr>
          <w:rFonts w:cs="Arial"/>
          <w:szCs w:val="24"/>
        </w:rPr>
        <w:t>. I</w:t>
      </w:r>
      <w:r w:rsidR="00A512D5">
        <w:rPr>
          <w:rFonts w:cs="Arial"/>
          <w:szCs w:val="24"/>
        </w:rPr>
        <w:t xml:space="preserve">t is not </w:t>
      </w:r>
      <w:r w:rsidR="00A512D5" w:rsidRPr="00DC16D7">
        <w:rPr>
          <w:rFonts w:cs="Arial"/>
          <w:i/>
          <w:iCs/>
          <w:szCs w:val="24"/>
        </w:rPr>
        <w:t>realisable property</w:t>
      </w:r>
      <w:r w:rsidR="00A512D5">
        <w:rPr>
          <w:rFonts w:cs="Arial"/>
          <w:szCs w:val="24"/>
        </w:rPr>
        <w:t>.</w:t>
      </w:r>
      <w:bookmarkStart w:id="7" w:name="_Hlk141970252"/>
      <w:bookmarkEnd w:id="6"/>
    </w:p>
    <w:bookmarkEnd w:id="7"/>
    <w:p w14:paraId="277C3261" w14:textId="2148816B" w:rsidR="00554403" w:rsidRPr="00554403" w:rsidRDefault="00DC16D7" w:rsidP="00DC445E">
      <w:pPr>
        <w:pStyle w:val="ListParagraph"/>
        <w:numPr>
          <w:ilvl w:val="0"/>
          <w:numId w:val="6"/>
        </w:numPr>
        <w:spacing w:before="480" w:after="0" w:line="480" w:lineRule="auto"/>
        <w:contextualSpacing w:val="0"/>
        <w:rPr>
          <w:rFonts w:cs="Arial"/>
          <w:i/>
          <w:iCs/>
          <w:szCs w:val="24"/>
        </w:rPr>
      </w:pPr>
      <w:r>
        <w:rPr>
          <w:rFonts w:cs="Arial"/>
          <w:szCs w:val="24"/>
        </w:rPr>
        <w:lastRenderedPageBreak/>
        <w:t>The transfer by the 14</w:t>
      </w:r>
      <w:r w:rsidRPr="00BD3DD2">
        <w:rPr>
          <w:rFonts w:cs="Arial"/>
          <w:szCs w:val="24"/>
          <w:vertAlign w:val="superscript"/>
        </w:rPr>
        <w:t>th</w:t>
      </w:r>
      <w:r>
        <w:rPr>
          <w:rFonts w:cs="Arial"/>
          <w:szCs w:val="24"/>
        </w:rPr>
        <w:t xml:space="preserve"> respondent of his </w:t>
      </w:r>
      <w:bookmarkStart w:id="8" w:name="_Hlk142062654"/>
      <w:r>
        <w:rPr>
          <w:rFonts w:cs="Arial"/>
          <w:szCs w:val="24"/>
        </w:rPr>
        <w:t xml:space="preserve">fifty percent </w:t>
      </w:r>
      <w:bookmarkEnd w:id="8"/>
      <w:r>
        <w:rPr>
          <w:rFonts w:cs="Arial"/>
          <w:szCs w:val="24"/>
        </w:rPr>
        <w:t xml:space="preserve">(50%) </w:t>
      </w:r>
      <w:r w:rsidR="00BE5C72">
        <w:rPr>
          <w:rFonts w:cs="Arial"/>
          <w:szCs w:val="24"/>
        </w:rPr>
        <w:t xml:space="preserve">shareholding </w:t>
      </w:r>
      <w:r>
        <w:rPr>
          <w:rFonts w:cs="Arial"/>
          <w:szCs w:val="24"/>
        </w:rPr>
        <w:t xml:space="preserve">in the eighth respondent to the </w:t>
      </w:r>
      <w:r w:rsidR="00554403">
        <w:rPr>
          <w:rFonts w:cs="Arial"/>
          <w:szCs w:val="24"/>
        </w:rPr>
        <w:t xml:space="preserve">seventh defendant does not constitute an </w:t>
      </w:r>
      <w:r w:rsidR="00554403" w:rsidRPr="00DC16D7">
        <w:rPr>
          <w:rFonts w:cs="Arial"/>
          <w:i/>
          <w:iCs/>
          <w:szCs w:val="24"/>
        </w:rPr>
        <w:t>affected gift</w:t>
      </w:r>
      <w:r w:rsidR="00BE5C72">
        <w:rPr>
          <w:rFonts w:cs="Arial"/>
          <w:szCs w:val="24"/>
        </w:rPr>
        <w:t>. I</w:t>
      </w:r>
      <w:r w:rsidR="00554403">
        <w:rPr>
          <w:rFonts w:cs="Arial"/>
          <w:szCs w:val="24"/>
        </w:rPr>
        <w:t xml:space="preserve">t is not </w:t>
      </w:r>
      <w:r w:rsidR="00554403" w:rsidRPr="00DC16D7">
        <w:rPr>
          <w:rFonts w:cs="Arial"/>
          <w:i/>
          <w:iCs/>
          <w:szCs w:val="24"/>
        </w:rPr>
        <w:t>realisable property</w:t>
      </w:r>
      <w:r w:rsidR="00554403">
        <w:rPr>
          <w:rFonts w:cs="Arial"/>
          <w:szCs w:val="24"/>
        </w:rPr>
        <w:t>.</w:t>
      </w:r>
    </w:p>
    <w:p w14:paraId="4A80215A" w14:textId="3F97956E" w:rsidR="00DC445E" w:rsidRPr="005B448B" w:rsidRDefault="005B448B" w:rsidP="00DC445E">
      <w:pPr>
        <w:pStyle w:val="ListParagraph"/>
        <w:numPr>
          <w:ilvl w:val="0"/>
          <w:numId w:val="6"/>
        </w:numPr>
        <w:spacing w:before="480" w:after="0" w:line="480" w:lineRule="auto"/>
        <w:contextualSpacing w:val="0"/>
        <w:rPr>
          <w:rFonts w:cs="Arial"/>
          <w:i/>
          <w:iCs/>
          <w:szCs w:val="24"/>
        </w:rPr>
      </w:pPr>
      <w:r>
        <w:rPr>
          <w:rFonts w:cs="Arial"/>
          <w:iCs/>
          <w:szCs w:val="24"/>
        </w:rPr>
        <w:t xml:space="preserve">While the seventh defendant transferred his </w:t>
      </w:r>
      <w:r w:rsidR="00BE5C72">
        <w:rPr>
          <w:rFonts w:cs="Arial"/>
          <w:szCs w:val="24"/>
        </w:rPr>
        <w:t>fifty percent</w:t>
      </w:r>
      <w:r w:rsidR="00BE5C72">
        <w:rPr>
          <w:rFonts w:cs="Arial"/>
          <w:iCs/>
          <w:szCs w:val="24"/>
        </w:rPr>
        <w:t xml:space="preserve"> (</w:t>
      </w:r>
      <w:r>
        <w:rPr>
          <w:rFonts w:cs="Arial"/>
          <w:iCs/>
          <w:szCs w:val="24"/>
        </w:rPr>
        <w:t>50%</w:t>
      </w:r>
      <w:r w:rsidR="00BE5C72">
        <w:rPr>
          <w:rFonts w:cs="Arial"/>
          <w:iCs/>
          <w:szCs w:val="24"/>
        </w:rPr>
        <w:t>)</w:t>
      </w:r>
      <w:r>
        <w:rPr>
          <w:rFonts w:cs="Arial"/>
          <w:iCs/>
          <w:szCs w:val="24"/>
        </w:rPr>
        <w:t xml:space="preserve"> shareholding in the eight respondent </w:t>
      </w:r>
      <w:r w:rsidR="002F7503">
        <w:rPr>
          <w:rFonts w:cs="Arial"/>
          <w:iCs/>
          <w:szCs w:val="24"/>
        </w:rPr>
        <w:t xml:space="preserve">to </w:t>
      </w:r>
      <w:bookmarkStart w:id="9" w:name="_Hlk141970186"/>
      <w:r w:rsidR="002F7503">
        <w:rPr>
          <w:rFonts w:cs="Arial"/>
          <w:iCs/>
          <w:szCs w:val="24"/>
        </w:rPr>
        <w:t>the Le Roux Investment Trust</w:t>
      </w:r>
      <w:bookmarkEnd w:id="9"/>
      <w:r w:rsidR="002F7503">
        <w:rPr>
          <w:rFonts w:cs="Arial"/>
          <w:iCs/>
          <w:szCs w:val="24"/>
        </w:rPr>
        <w:t>, the Le Roux Investment</w:t>
      </w:r>
      <w:r w:rsidR="00FD5E9F">
        <w:rPr>
          <w:rFonts w:cs="Arial"/>
          <w:iCs/>
          <w:szCs w:val="24"/>
        </w:rPr>
        <w:t xml:space="preserve"> t</w:t>
      </w:r>
      <w:r w:rsidR="002F7503">
        <w:rPr>
          <w:rFonts w:cs="Arial"/>
          <w:iCs/>
          <w:szCs w:val="24"/>
        </w:rPr>
        <w:t xml:space="preserve">rust, </w:t>
      </w:r>
      <w:r w:rsidR="00DC445E">
        <w:rPr>
          <w:rFonts w:cs="Arial"/>
          <w:iCs/>
          <w:szCs w:val="24"/>
        </w:rPr>
        <w:t>it is not a respondent. Consequently, th</w:t>
      </w:r>
      <w:r w:rsidR="002D48A2">
        <w:rPr>
          <w:rFonts w:cs="Arial"/>
          <w:iCs/>
          <w:szCs w:val="24"/>
        </w:rPr>
        <w:t>is</w:t>
      </w:r>
      <w:r w:rsidR="00DC445E">
        <w:rPr>
          <w:rFonts w:cs="Arial"/>
          <w:szCs w:val="24"/>
        </w:rPr>
        <w:t xml:space="preserve"> transfer of the  seventh defendant’s shareholding in the eighth respondent</w:t>
      </w:r>
      <w:r w:rsidR="00E663E9">
        <w:rPr>
          <w:rFonts w:cs="Arial"/>
          <w:szCs w:val="24"/>
        </w:rPr>
        <w:t>,</w:t>
      </w:r>
      <w:r w:rsidR="00DC445E">
        <w:rPr>
          <w:rFonts w:cs="Arial"/>
          <w:szCs w:val="24"/>
        </w:rPr>
        <w:t xml:space="preserve"> neither constitutes an </w:t>
      </w:r>
      <w:r w:rsidR="00DC445E" w:rsidRPr="009D2F62">
        <w:rPr>
          <w:rFonts w:cs="Arial"/>
          <w:i/>
          <w:iCs/>
          <w:szCs w:val="24"/>
        </w:rPr>
        <w:t>affected gift</w:t>
      </w:r>
      <w:r w:rsidR="00DC445E">
        <w:rPr>
          <w:rFonts w:cs="Arial"/>
          <w:i/>
          <w:iCs/>
          <w:szCs w:val="24"/>
        </w:rPr>
        <w:t xml:space="preserve"> </w:t>
      </w:r>
      <w:r w:rsidR="00DC445E">
        <w:rPr>
          <w:rFonts w:cs="Arial"/>
          <w:szCs w:val="24"/>
        </w:rPr>
        <w:t xml:space="preserve">nor </w:t>
      </w:r>
      <w:r w:rsidR="00E663E9">
        <w:rPr>
          <w:rFonts w:cs="Arial"/>
          <w:szCs w:val="24"/>
        </w:rPr>
        <w:t>is i</w:t>
      </w:r>
      <w:r w:rsidR="00974569">
        <w:rPr>
          <w:rFonts w:cs="Arial"/>
          <w:szCs w:val="24"/>
        </w:rPr>
        <w:t>t</w:t>
      </w:r>
      <w:r w:rsidR="00DC445E">
        <w:rPr>
          <w:rFonts w:cs="Arial"/>
          <w:i/>
          <w:iCs/>
          <w:szCs w:val="24"/>
        </w:rPr>
        <w:t xml:space="preserve"> realisable property </w:t>
      </w:r>
      <w:r w:rsidR="00DC445E">
        <w:rPr>
          <w:rFonts w:cs="Arial"/>
          <w:szCs w:val="24"/>
        </w:rPr>
        <w:t xml:space="preserve">. </w:t>
      </w:r>
    </w:p>
    <w:p w14:paraId="5067AC8D" w14:textId="533F7395" w:rsidR="00E663E9" w:rsidRPr="00E663E9" w:rsidRDefault="00367C95" w:rsidP="003F30F3">
      <w:pPr>
        <w:pStyle w:val="ListParagraph"/>
        <w:numPr>
          <w:ilvl w:val="0"/>
          <w:numId w:val="6"/>
        </w:numPr>
        <w:spacing w:before="480" w:after="0" w:line="480" w:lineRule="auto"/>
        <w:contextualSpacing w:val="0"/>
        <w:rPr>
          <w:rFonts w:cs="Arial"/>
          <w:i/>
          <w:iCs/>
          <w:szCs w:val="24"/>
        </w:rPr>
      </w:pPr>
      <w:r>
        <w:rPr>
          <w:rFonts w:cs="Arial"/>
          <w:iCs/>
          <w:szCs w:val="24"/>
        </w:rPr>
        <w:t>Inasmuch as</w:t>
      </w:r>
      <w:r w:rsidR="006F0AB1">
        <w:rPr>
          <w:rFonts w:cs="Arial"/>
          <w:iCs/>
          <w:szCs w:val="24"/>
        </w:rPr>
        <w:t xml:space="preserve"> the eighth defendant pays  monthly rental income to the eighth respondent, </w:t>
      </w:r>
      <w:r w:rsidR="005C273B">
        <w:rPr>
          <w:rFonts w:cs="Arial"/>
          <w:iCs/>
          <w:szCs w:val="24"/>
        </w:rPr>
        <w:t xml:space="preserve">there is no evidence before me, that the defendant pays the eighth respondent </w:t>
      </w:r>
      <w:r w:rsidR="00D43590">
        <w:rPr>
          <w:rFonts w:cs="Arial"/>
          <w:iCs/>
          <w:szCs w:val="24"/>
        </w:rPr>
        <w:t xml:space="preserve">an amount below market value. </w:t>
      </w:r>
      <w:r w:rsidR="00771CC3">
        <w:rPr>
          <w:rFonts w:cs="Arial"/>
          <w:iCs/>
          <w:szCs w:val="24"/>
        </w:rPr>
        <w:t xml:space="preserve">I find that the NDPP has failed to prove on a balance of probabilities, </w:t>
      </w:r>
      <w:r w:rsidR="00FD5E9F">
        <w:rPr>
          <w:rFonts w:cs="Arial"/>
          <w:iCs/>
          <w:szCs w:val="24"/>
        </w:rPr>
        <w:t xml:space="preserve">that the rental income the eight respondent receives </w:t>
      </w:r>
      <w:r w:rsidR="00D737BE">
        <w:rPr>
          <w:rFonts w:cs="Arial"/>
          <w:iCs/>
          <w:szCs w:val="24"/>
        </w:rPr>
        <w:t>from the eighth defendant, is realisable property.</w:t>
      </w:r>
    </w:p>
    <w:p w14:paraId="399A5FC0" w14:textId="704CE12F" w:rsidR="005B448B" w:rsidRPr="00D40596" w:rsidRDefault="00DC445E" w:rsidP="003F30F3">
      <w:pPr>
        <w:pStyle w:val="ListParagraph"/>
        <w:numPr>
          <w:ilvl w:val="0"/>
          <w:numId w:val="6"/>
        </w:numPr>
        <w:spacing w:before="480" w:after="0" w:line="480" w:lineRule="auto"/>
        <w:contextualSpacing w:val="0"/>
        <w:rPr>
          <w:rFonts w:cs="Arial"/>
          <w:i/>
          <w:iCs/>
          <w:szCs w:val="24"/>
        </w:rPr>
      </w:pPr>
      <w:r>
        <w:rPr>
          <w:rFonts w:cs="Arial"/>
          <w:iCs/>
          <w:szCs w:val="24"/>
        </w:rPr>
        <w:t xml:space="preserve">In the result, there is no </w:t>
      </w:r>
      <w:r w:rsidR="00EE04A4">
        <w:rPr>
          <w:rFonts w:cs="Arial"/>
          <w:iCs/>
          <w:szCs w:val="24"/>
        </w:rPr>
        <w:t xml:space="preserve">factual </w:t>
      </w:r>
      <w:r>
        <w:rPr>
          <w:rFonts w:cs="Arial"/>
          <w:iCs/>
          <w:szCs w:val="24"/>
        </w:rPr>
        <w:t xml:space="preserve">basis for the assets of the eighth respondent </w:t>
      </w:r>
      <w:r w:rsidR="00A539CC">
        <w:rPr>
          <w:rFonts w:cs="Arial"/>
          <w:iCs/>
          <w:szCs w:val="24"/>
        </w:rPr>
        <w:t>to be subject to the restraint order.</w:t>
      </w:r>
    </w:p>
    <w:p w14:paraId="7AD6C512" w14:textId="597011C6" w:rsidR="001E22F7" w:rsidRPr="001E22F7" w:rsidRDefault="001E22F7" w:rsidP="001E22F7">
      <w:pPr>
        <w:keepNext/>
        <w:spacing w:before="480" w:after="0" w:line="480" w:lineRule="auto"/>
        <w:rPr>
          <w:rFonts w:cs="Arial"/>
          <w:b/>
          <w:szCs w:val="24"/>
        </w:rPr>
      </w:pPr>
      <w:r>
        <w:rPr>
          <w:rFonts w:cs="Arial"/>
          <w:b/>
          <w:szCs w:val="24"/>
        </w:rPr>
        <w:t xml:space="preserve">NINTH AND TENTH RESPONDENTS </w:t>
      </w:r>
      <w:r w:rsidR="002D74E5">
        <w:rPr>
          <w:rFonts w:cs="Arial"/>
          <w:b/>
          <w:szCs w:val="24"/>
        </w:rPr>
        <w:t xml:space="preserve">IN THEIR CAPACITIES </w:t>
      </w:r>
      <w:r>
        <w:rPr>
          <w:rFonts w:cs="Arial"/>
          <w:b/>
          <w:szCs w:val="24"/>
        </w:rPr>
        <w:t>AS TRUSTEES OF THE ABRAHAM LE ROUX FAMILY TRUST (“the Trust”)</w:t>
      </w:r>
    </w:p>
    <w:p w14:paraId="28E31907" w14:textId="09B9467E" w:rsidR="00D15E9C" w:rsidRDefault="001E22F7" w:rsidP="00B01F1D">
      <w:pPr>
        <w:pStyle w:val="ListParagraph"/>
        <w:numPr>
          <w:ilvl w:val="0"/>
          <w:numId w:val="6"/>
        </w:numPr>
        <w:spacing w:before="480" w:after="0" w:line="480" w:lineRule="auto"/>
        <w:contextualSpacing w:val="0"/>
        <w:rPr>
          <w:rFonts w:cs="Arial"/>
          <w:szCs w:val="24"/>
        </w:rPr>
      </w:pPr>
      <w:r>
        <w:rPr>
          <w:rFonts w:cs="Arial"/>
          <w:szCs w:val="24"/>
        </w:rPr>
        <w:t>The Trust</w:t>
      </w:r>
      <w:r w:rsidR="002D74E5">
        <w:rPr>
          <w:rFonts w:cs="Arial"/>
          <w:szCs w:val="24"/>
        </w:rPr>
        <w:t xml:space="preserve"> was </w:t>
      </w:r>
      <w:r w:rsidR="00EF114A">
        <w:rPr>
          <w:rFonts w:cs="Arial"/>
          <w:szCs w:val="24"/>
        </w:rPr>
        <w:t>registered,</w:t>
      </w:r>
      <w:r w:rsidR="000E18EE">
        <w:rPr>
          <w:rFonts w:cs="Arial"/>
          <w:szCs w:val="24"/>
        </w:rPr>
        <w:t xml:space="preserve"> </w:t>
      </w:r>
      <w:r w:rsidR="002D74E5">
        <w:rPr>
          <w:rFonts w:cs="Arial"/>
          <w:szCs w:val="24"/>
        </w:rPr>
        <w:t>and letters of execu</w:t>
      </w:r>
      <w:r w:rsidR="000E18EE">
        <w:rPr>
          <w:rFonts w:cs="Arial"/>
          <w:szCs w:val="24"/>
        </w:rPr>
        <w:t>torship issued to the 7</w:t>
      </w:r>
      <w:r w:rsidR="000E18EE" w:rsidRPr="000E18EE">
        <w:rPr>
          <w:rFonts w:cs="Arial"/>
          <w:szCs w:val="24"/>
          <w:vertAlign w:val="superscript"/>
        </w:rPr>
        <w:t>th</w:t>
      </w:r>
      <w:r w:rsidR="000E18EE">
        <w:rPr>
          <w:rFonts w:cs="Arial"/>
          <w:szCs w:val="24"/>
        </w:rPr>
        <w:t xml:space="preserve"> Defendant and the 14th Respondent </w:t>
      </w:r>
      <w:r w:rsidR="008E2AE8">
        <w:rPr>
          <w:rFonts w:cs="Arial"/>
          <w:szCs w:val="24"/>
        </w:rPr>
        <w:t>in 2014. The Trust acquired</w:t>
      </w:r>
      <w:r>
        <w:rPr>
          <w:rFonts w:cs="Arial"/>
          <w:szCs w:val="24"/>
        </w:rPr>
        <w:t xml:space="preserve"> 50% share</w:t>
      </w:r>
      <w:r w:rsidR="008E2AE8">
        <w:rPr>
          <w:rFonts w:cs="Arial"/>
          <w:szCs w:val="24"/>
        </w:rPr>
        <w:t>holding</w:t>
      </w:r>
      <w:r>
        <w:rPr>
          <w:rFonts w:cs="Arial"/>
          <w:szCs w:val="24"/>
        </w:rPr>
        <w:t xml:space="preserve"> in Woodland Safari</w:t>
      </w:r>
      <w:r w:rsidR="00251BE8">
        <w:rPr>
          <w:rFonts w:cs="Arial"/>
          <w:szCs w:val="24"/>
        </w:rPr>
        <w:t>,</w:t>
      </w:r>
      <w:r>
        <w:rPr>
          <w:rFonts w:cs="Arial"/>
          <w:szCs w:val="24"/>
        </w:rPr>
        <w:t xml:space="preserve"> the eighth respondent,</w:t>
      </w:r>
      <w:r w:rsidR="003C7C11">
        <w:rPr>
          <w:rFonts w:cs="Arial"/>
          <w:szCs w:val="24"/>
        </w:rPr>
        <w:t xml:space="preserve"> in December 2014;</w:t>
      </w:r>
      <w:r>
        <w:rPr>
          <w:rFonts w:cs="Arial"/>
          <w:szCs w:val="24"/>
        </w:rPr>
        <w:t xml:space="preserve"> 50% share</w:t>
      </w:r>
      <w:r w:rsidR="008E2AE8">
        <w:rPr>
          <w:rFonts w:cs="Arial"/>
          <w:szCs w:val="24"/>
        </w:rPr>
        <w:t>holding</w:t>
      </w:r>
      <w:r>
        <w:rPr>
          <w:rFonts w:cs="Arial"/>
          <w:szCs w:val="24"/>
        </w:rPr>
        <w:t xml:space="preserve"> in Vindex Advisory, the thirteenth respondent,</w:t>
      </w:r>
      <w:r w:rsidR="003C7C11">
        <w:rPr>
          <w:rFonts w:cs="Arial"/>
          <w:szCs w:val="24"/>
        </w:rPr>
        <w:t xml:space="preserve"> in </w:t>
      </w:r>
      <w:r w:rsidR="00533A9D">
        <w:rPr>
          <w:rFonts w:cs="Arial"/>
          <w:szCs w:val="24"/>
        </w:rPr>
        <w:t xml:space="preserve">February </w:t>
      </w:r>
      <w:r w:rsidR="00533A9D">
        <w:rPr>
          <w:rFonts w:cs="Arial"/>
          <w:szCs w:val="24"/>
        </w:rPr>
        <w:lastRenderedPageBreak/>
        <w:t>2018;</w:t>
      </w:r>
      <w:r>
        <w:rPr>
          <w:rFonts w:cs="Arial"/>
          <w:szCs w:val="24"/>
        </w:rPr>
        <w:t xml:space="preserve"> the </w:t>
      </w:r>
      <w:r w:rsidR="008E2AE8">
        <w:rPr>
          <w:rFonts w:cs="Arial"/>
          <w:szCs w:val="24"/>
        </w:rPr>
        <w:t xml:space="preserve">100% shareholding in </w:t>
      </w:r>
      <w:r>
        <w:rPr>
          <w:rFonts w:cs="Arial"/>
          <w:szCs w:val="24"/>
        </w:rPr>
        <w:t>Furnix, the sixteenth respondent,</w:t>
      </w:r>
      <w:r w:rsidR="00533A9D">
        <w:rPr>
          <w:rFonts w:cs="Arial"/>
          <w:szCs w:val="24"/>
        </w:rPr>
        <w:t xml:space="preserve"> in May 2020; </w:t>
      </w:r>
      <w:r>
        <w:rPr>
          <w:rFonts w:cs="Arial"/>
          <w:szCs w:val="24"/>
        </w:rPr>
        <w:t>furniture</w:t>
      </w:r>
      <w:r w:rsidR="00222972">
        <w:rPr>
          <w:rFonts w:cs="Arial"/>
          <w:szCs w:val="24"/>
        </w:rPr>
        <w:t>,</w:t>
      </w:r>
      <w:r>
        <w:rPr>
          <w:rFonts w:cs="Arial"/>
          <w:szCs w:val="24"/>
        </w:rPr>
        <w:t xml:space="preserve"> painting</w:t>
      </w:r>
      <w:r w:rsidR="00533A9D">
        <w:rPr>
          <w:rFonts w:cs="Arial"/>
          <w:szCs w:val="24"/>
        </w:rPr>
        <w:t>s</w:t>
      </w:r>
      <w:r>
        <w:rPr>
          <w:rFonts w:cs="Arial"/>
          <w:szCs w:val="24"/>
        </w:rPr>
        <w:t xml:space="preserve"> and six consecutive annual donations of R100 000.00 in the period 2015 to </w:t>
      </w:r>
      <w:r w:rsidR="00222972">
        <w:rPr>
          <w:rFonts w:cs="Arial"/>
          <w:szCs w:val="24"/>
        </w:rPr>
        <w:t>2020 from the  fourteenth respondent</w:t>
      </w:r>
      <w:r>
        <w:rPr>
          <w:rFonts w:cs="Arial"/>
          <w:szCs w:val="24"/>
        </w:rPr>
        <w:t>.</w:t>
      </w:r>
    </w:p>
    <w:p w14:paraId="1DF7B768" w14:textId="79A88E3C" w:rsidR="001E22F7" w:rsidRDefault="001E22F7" w:rsidP="00B01F1D">
      <w:pPr>
        <w:pStyle w:val="ListParagraph"/>
        <w:numPr>
          <w:ilvl w:val="0"/>
          <w:numId w:val="6"/>
        </w:numPr>
        <w:spacing w:before="480" w:after="0" w:line="480" w:lineRule="auto"/>
        <w:contextualSpacing w:val="0"/>
        <w:rPr>
          <w:rFonts w:cs="Arial"/>
          <w:szCs w:val="24"/>
        </w:rPr>
      </w:pPr>
      <w:r>
        <w:rPr>
          <w:rFonts w:cs="Arial"/>
          <w:szCs w:val="24"/>
        </w:rPr>
        <w:t>The fourteenth respondent is not a defendant. The transfers</w:t>
      </w:r>
      <w:r w:rsidR="00533A9D">
        <w:rPr>
          <w:rFonts w:cs="Arial"/>
          <w:szCs w:val="24"/>
        </w:rPr>
        <w:t xml:space="preserve"> and/ or </w:t>
      </w:r>
      <w:r>
        <w:rPr>
          <w:rFonts w:cs="Arial"/>
          <w:szCs w:val="24"/>
        </w:rPr>
        <w:t>disposals</w:t>
      </w:r>
      <w:r w:rsidR="00533A9D">
        <w:rPr>
          <w:rFonts w:cs="Arial"/>
          <w:szCs w:val="24"/>
        </w:rPr>
        <w:t xml:space="preserve"> and/or donations </w:t>
      </w:r>
      <w:r>
        <w:rPr>
          <w:rFonts w:cs="Arial"/>
          <w:szCs w:val="24"/>
        </w:rPr>
        <w:t xml:space="preserve"> the fourteenth respondent made to the Trust are not </w:t>
      </w:r>
      <w:r w:rsidRPr="000B5CF8">
        <w:rPr>
          <w:rFonts w:cs="Arial"/>
          <w:i/>
          <w:iCs/>
          <w:szCs w:val="24"/>
        </w:rPr>
        <w:t>affected gifts</w:t>
      </w:r>
      <w:r w:rsidR="00CF6C93">
        <w:rPr>
          <w:rFonts w:cs="Arial"/>
          <w:szCs w:val="24"/>
        </w:rPr>
        <w:t xml:space="preserve">. </w:t>
      </w:r>
      <w:r w:rsidR="00251BE8">
        <w:rPr>
          <w:rFonts w:cs="Arial"/>
          <w:szCs w:val="24"/>
        </w:rPr>
        <w:t>T</w:t>
      </w:r>
      <w:r w:rsidR="00CF6C93">
        <w:rPr>
          <w:rFonts w:cs="Arial"/>
          <w:szCs w:val="24"/>
        </w:rPr>
        <w:t>he</w:t>
      </w:r>
      <w:r w:rsidR="005D4FBB">
        <w:rPr>
          <w:rFonts w:cs="Arial"/>
          <w:szCs w:val="24"/>
        </w:rPr>
        <w:t xml:space="preserve"> property</w:t>
      </w:r>
      <w:r w:rsidR="00251BE8">
        <w:rPr>
          <w:rFonts w:cs="Arial"/>
          <w:szCs w:val="24"/>
        </w:rPr>
        <w:t xml:space="preserve"> the Trust acquired from the fourteenth </w:t>
      </w:r>
      <w:r w:rsidR="009D4E4B">
        <w:rPr>
          <w:rFonts w:cs="Arial"/>
          <w:szCs w:val="24"/>
        </w:rPr>
        <w:t>r</w:t>
      </w:r>
      <w:r w:rsidR="00534F2D">
        <w:rPr>
          <w:rFonts w:cs="Arial"/>
          <w:szCs w:val="24"/>
        </w:rPr>
        <w:t xml:space="preserve">espondent </w:t>
      </w:r>
      <w:r>
        <w:rPr>
          <w:rFonts w:cs="Arial"/>
          <w:szCs w:val="24"/>
        </w:rPr>
        <w:t>do</w:t>
      </w:r>
      <w:r w:rsidR="005D4FBB">
        <w:rPr>
          <w:rFonts w:cs="Arial"/>
          <w:szCs w:val="24"/>
        </w:rPr>
        <w:t>es</w:t>
      </w:r>
      <w:r>
        <w:rPr>
          <w:rFonts w:cs="Arial"/>
          <w:szCs w:val="24"/>
        </w:rPr>
        <w:t xml:space="preserve"> not constitute </w:t>
      </w:r>
      <w:r w:rsidRPr="000B5CF8">
        <w:rPr>
          <w:rFonts w:cs="Arial"/>
          <w:i/>
          <w:iCs/>
          <w:szCs w:val="24"/>
        </w:rPr>
        <w:t>realisable property</w:t>
      </w:r>
      <w:r>
        <w:rPr>
          <w:rFonts w:cs="Arial"/>
          <w:szCs w:val="24"/>
        </w:rPr>
        <w:t>.</w:t>
      </w:r>
    </w:p>
    <w:p w14:paraId="7B5A6F8E" w14:textId="18334B97" w:rsidR="001E22F7" w:rsidRDefault="001E22F7" w:rsidP="00B01F1D">
      <w:pPr>
        <w:pStyle w:val="ListParagraph"/>
        <w:numPr>
          <w:ilvl w:val="0"/>
          <w:numId w:val="6"/>
        </w:numPr>
        <w:spacing w:before="480" w:after="0" w:line="480" w:lineRule="auto"/>
        <w:contextualSpacing w:val="0"/>
        <w:rPr>
          <w:rFonts w:cs="Arial"/>
          <w:szCs w:val="24"/>
        </w:rPr>
      </w:pPr>
      <w:r>
        <w:rPr>
          <w:rFonts w:cs="Arial"/>
          <w:szCs w:val="24"/>
        </w:rPr>
        <w:t>There is no factual basis</w:t>
      </w:r>
      <w:r w:rsidR="00534F2D">
        <w:rPr>
          <w:rFonts w:cs="Arial"/>
          <w:szCs w:val="24"/>
        </w:rPr>
        <w:t xml:space="preserve"> for me to </w:t>
      </w:r>
      <w:r w:rsidR="007A1892">
        <w:rPr>
          <w:rFonts w:cs="Arial"/>
          <w:szCs w:val="24"/>
        </w:rPr>
        <w:t xml:space="preserve">confirm </w:t>
      </w:r>
      <w:r>
        <w:rPr>
          <w:rFonts w:cs="Arial"/>
          <w:szCs w:val="24"/>
        </w:rPr>
        <w:t xml:space="preserve">the </w:t>
      </w:r>
      <w:r w:rsidR="00974569">
        <w:rPr>
          <w:rFonts w:cs="Arial"/>
          <w:szCs w:val="24"/>
        </w:rPr>
        <w:t>provisional</w:t>
      </w:r>
      <w:r w:rsidR="00236A1A">
        <w:rPr>
          <w:rFonts w:cs="Arial"/>
          <w:szCs w:val="24"/>
        </w:rPr>
        <w:t xml:space="preserve"> </w:t>
      </w:r>
      <w:r>
        <w:rPr>
          <w:rFonts w:cs="Arial"/>
          <w:szCs w:val="24"/>
        </w:rPr>
        <w:t>restrain</w:t>
      </w:r>
      <w:r w:rsidR="000A6F74">
        <w:rPr>
          <w:rFonts w:cs="Arial"/>
          <w:szCs w:val="24"/>
        </w:rPr>
        <w:t>t</w:t>
      </w:r>
      <w:r>
        <w:rPr>
          <w:rFonts w:cs="Arial"/>
          <w:szCs w:val="24"/>
        </w:rPr>
        <w:t xml:space="preserve"> order against the ninth and tenth respondents </w:t>
      </w:r>
      <w:r w:rsidR="005D4FBB">
        <w:rPr>
          <w:rFonts w:cs="Arial"/>
          <w:szCs w:val="24"/>
        </w:rPr>
        <w:t xml:space="preserve">in their capacity as </w:t>
      </w:r>
      <w:r>
        <w:rPr>
          <w:rFonts w:cs="Arial"/>
          <w:szCs w:val="24"/>
        </w:rPr>
        <w:t>trustees of the Trust</w:t>
      </w:r>
      <w:r w:rsidR="007A1892">
        <w:rPr>
          <w:rFonts w:cs="Arial"/>
          <w:szCs w:val="24"/>
        </w:rPr>
        <w:t>.</w:t>
      </w:r>
    </w:p>
    <w:p w14:paraId="411FC758" w14:textId="334A68F9" w:rsidR="00EB52AD" w:rsidRDefault="00EB52AD" w:rsidP="00EB52AD">
      <w:pPr>
        <w:keepNext/>
        <w:spacing w:before="480" w:after="0" w:line="480" w:lineRule="auto"/>
        <w:rPr>
          <w:rFonts w:cs="Arial"/>
          <w:b/>
          <w:szCs w:val="24"/>
        </w:rPr>
      </w:pPr>
      <w:r>
        <w:rPr>
          <w:rFonts w:cs="Arial"/>
          <w:b/>
          <w:szCs w:val="24"/>
        </w:rPr>
        <w:t>THE TWELFTH RESPONDENT</w:t>
      </w:r>
    </w:p>
    <w:p w14:paraId="48A9FA50" w14:textId="78814292" w:rsidR="00EB52AD" w:rsidRDefault="00EB52AD" w:rsidP="00EB52AD">
      <w:pPr>
        <w:pStyle w:val="ListParagraph"/>
        <w:numPr>
          <w:ilvl w:val="0"/>
          <w:numId w:val="6"/>
        </w:numPr>
        <w:spacing w:before="480" w:after="0" w:line="480" w:lineRule="auto"/>
        <w:contextualSpacing w:val="0"/>
        <w:rPr>
          <w:rFonts w:cs="Arial"/>
          <w:szCs w:val="24"/>
        </w:rPr>
      </w:pPr>
      <w:r>
        <w:rPr>
          <w:rFonts w:cs="Arial"/>
          <w:szCs w:val="24"/>
        </w:rPr>
        <w:t>The twelfth respondent was incorporated on 19 August 2020</w:t>
      </w:r>
      <w:r w:rsidR="003F3E8B">
        <w:rPr>
          <w:rFonts w:cs="Arial"/>
          <w:szCs w:val="24"/>
        </w:rPr>
        <w:t>, with the</w:t>
      </w:r>
      <w:r w:rsidR="003F3E8B" w:rsidRPr="003F3E8B">
        <w:rPr>
          <w:rFonts w:cs="Arial"/>
          <w:szCs w:val="24"/>
        </w:rPr>
        <w:t xml:space="preserve"> </w:t>
      </w:r>
      <w:r w:rsidR="003F3E8B">
        <w:rPr>
          <w:rFonts w:cs="Arial"/>
          <w:szCs w:val="24"/>
        </w:rPr>
        <w:t>entire shareholding held by Southern Ferries and Salvage (Pty) Ltd</w:t>
      </w:r>
      <w:r w:rsidR="00AD7355">
        <w:rPr>
          <w:rFonts w:cs="Arial"/>
          <w:szCs w:val="24"/>
        </w:rPr>
        <w:t>. T</w:t>
      </w:r>
      <w:r>
        <w:rPr>
          <w:rFonts w:cs="Arial"/>
          <w:szCs w:val="24"/>
        </w:rPr>
        <w:t xml:space="preserve">he seventh defendant </w:t>
      </w:r>
      <w:r w:rsidR="000B5CF8">
        <w:rPr>
          <w:rFonts w:cs="Arial"/>
          <w:szCs w:val="24"/>
        </w:rPr>
        <w:t xml:space="preserve">was </w:t>
      </w:r>
      <w:r>
        <w:rPr>
          <w:rFonts w:cs="Arial"/>
          <w:szCs w:val="24"/>
        </w:rPr>
        <w:t>appointed as a director.</w:t>
      </w:r>
    </w:p>
    <w:p w14:paraId="0E0A60C3" w14:textId="71356F98" w:rsidR="0048544E" w:rsidRDefault="00EB52AD" w:rsidP="00EB52AD">
      <w:pPr>
        <w:pStyle w:val="ListParagraph"/>
        <w:numPr>
          <w:ilvl w:val="0"/>
          <w:numId w:val="6"/>
        </w:numPr>
        <w:spacing w:before="480" w:after="0" w:line="480" w:lineRule="auto"/>
        <w:contextualSpacing w:val="0"/>
        <w:rPr>
          <w:rFonts w:cs="Arial"/>
          <w:szCs w:val="24"/>
        </w:rPr>
      </w:pPr>
      <w:r>
        <w:rPr>
          <w:rFonts w:cs="Arial"/>
          <w:szCs w:val="24"/>
        </w:rPr>
        <w:t>On 18 March 2021, Southern Ferries and Salvage (Pty) Ltd transferred 50% of its shareholding to Woodland Safari (Pty) Ltd, the eighth respondent</w:t>
      </w:r>
      <w:r w:rsidR="009E2DD1">
        <w:rPr>
          <w:rFonts w:cs="Arial"/>
          <w:szCs w:val="24"/>
        </w:rPr>
        <w:t>, for no value</w:t>
      </w:r>
      <w:r>
        <w:rPr>
          <w:rFonts w:cs="Arial"/>
          <w:szCs w:val="24"/>
        </w:rPr>
        <w:t xml:space="preserve">. </w:t>
      </w:r>
      <w:r w:rsidR="0043497D">
        <w:rPr>
          <w:rFonts w:cs="Arial"/>
          <w:szCs w:val="24"/>
        </w:rPr>
        <w:t xml:space="preserve">The reason </w:t>
      </w:r>
      <w:r w:rsidR="002F2EEC">
        <w:rPr>
          <w:rFonts w:cs="Arial"/>
          <w:szCs w:val="24"/>
        </w:rPr>
        <w:t>for this transfer</w:t>
      </w:r>
      <w:r w:rsidR="000B5CF8">
        <w:rPr>
          <w:rFonts w:cs="Arial"/>
          <w:szCs w:val="24"/>
        </w:rPr>
        <w:t xml:space="preserve"> (at no value)</w:t>
      </w:r>
      <w:r w:rsidR="002F2EEC">
        <w:rPr>
          <w:rFonts w:cs="Arial"/>
          <w:szCs w:val="24"/>
        </w:rPr>
        <w:t xml:space="preserve"> </w:t>
      </w:r>
      <w:r w:rsidR="0043497D">
        <w:rPr>
          <w:rFonts w:cs="Arial"/>
          <w:szCs w:val="24"/>
        </w:rPr>
        <w:t xml:space="preserve">advanced by the seventh defendant, is that the </w:t>
      </w:r>
      <w:r>
        <w:rPr>
          <w:rFonts w:cs="Arial"/>
          <w:szCs w:val="24"/>
        </w:rPr>
        <w:t>twelfth respondent had no assets or liabilities</w:t>
      </w:r>
      <w:r w:rsidR="0048544E">
        <w:rPr>
          <w:rFonts w:cs="Arial"/>
          <w:szCs w:val="24"/>
        </w:rPr>
        <w:t>.</w:t>
      </w:r>
      <w:r>
        <w:rPr>
          <w:rFonts w:cs="Arial"/>
          <w:szCs w:val="24"/>
        </w:rPr>
        <w:t xml:space="preserve"> </w:t>
      </w:r>
    </w:p>
    <w:p w14:paraId="65522CE9" w14:textId="0046DEF5" w:rsidR="00EB52AD" w:rsidRDefault="00420B6C" w:rsidP="00EB52AD">
      <w:pPr>
        <w:pStyle w:val="ListParagraph"/>
        <w:numPr>
          <w:ilvl w:val="0"/>
          <w:numId w:val="6"/>
        </w:numPr>
        <w:spacing w:before="480" w:after="0" w:line="480" w:lineRule="auto"/>
        <w:contextualSpacing w:val="0"/>
        <w:rPr>
          <w:rFonts w:cs="Arial"/>
          <w:szCs w:val="24"/>
        </w:rPr>
      </w:pPr>
      <w:r>
        <w:rPr>
          <w:rFonts w:cs="Arial"/>
          <w:szCs w:val="24"/>
        </w:rPr>
        <w:t>The twelfth respondent holds a licence to search for</w:t>
      </w:r>
      <w:r w:rsidR="0048544E">
        <w:rPr>
          <w:rFonts w:cs="Arial"/>
          <w:szCs w:val="24"/>
        </w:rPr>
        <w:t xml:space="preserve"> and </w:t>
      </w:r>
      <w:r w:rsidR="00004E01">
        <w:rPr>
          <w:rFonts w:cs="Arial"/>
          <w:szCs w:val="24"/>
        </w:rPr>
        <w:t>salvage</w:t>
      </w:r>
      <w:r>
        <w:rPr>
          <w:rFonts w:cs="Arial"/>
          <w:szCs w:val="24"/>
        </w:rPr>
        <w:t xml:space="preserve"> abandoned shipwrecks. T</w:t>
      </w:r>
      <w:r w:rsidR="0060395F">
        <w:rPr>
          <w:rFonts w:cs="Arial"/>
          <w:szCs w:val="24"/>
        </w:rPr>
        <w:t>o acquire t</w:t>
      </w:r>
      <w:r>
        <w:rPr>
          <w:rFonts w:cs="Arial"/>
          <w:szCs w:val="24"/>
        </w:rPr>
        <w:t>h</w:t>
      </w:r>
      <w:r w:rsidR="00004E01">
        <w:rPr>
          <w:rFonts w:cs="Arial"/>
          <w:szCs w:val="24"/>
        </w:rPr>
        <w:t xml:space="preserve">is </w:t>
      </w:r>
      <w:r>
        <w:rPr>
          <w:rFonts w:cs="Arial"/>
          <w:szCs w:val="24"/>
        </w:rPr>
        <w:t>licence</w:t>
      </w:r>
      <w:r w:rsidR="0060395F">
        <w:rPr>
          <w:rFonts w:cs="Arial"/>
          <w:szCs w:val="24"/>
        </w:rPr>
        <w:t xml:space="preserve"> the twelfth respondent was </w:t>
      </w:r>
      <w:r>
        <w:rPr>
          <w:rFonts w:cs="Arial"/>
          <w:szCs w:val="24"/>
        </w:rPr>
        <w:t xml:space="preserve">required </w:t>
      </w:r>
      <w:r w:rsidR="000B5CF8">
        <w:rPr>
          <w:rFonts w:cs="Arial"/>
          <w:szCs w:val="24"/>
        </w:rPr>
        <w:t>t</w:t>
      </w:r>
      <w:r w:rsidR="0060395F">
        <w:rPr>
          <w:rFonts w:cs="Arial"/>
          <w:szCs w:val="24"/>
        </w:rPr>
        <w:t xml:space="preserve">o </w:t>
      </w:r>
      <w:r w:rsidR="00536515">
        <w:rPr>
          <w:rFonts w:cs="Arial"/>
          <w:szCs w:val="24"/>
        </w:rPr>
        <w:t>provide South African Revenue Service (“SARS”) with</w:t>
      </w:r>
      <w:r w:rsidR="00004E01">
        <w:rPr>
          <w:rFonts w:cs="Arial"/>
          <w:szCs w:val="24"/>
        </w:rPr>
        <w:t xml:space="preserve"> </w:t>
      </w:r>
      <w:r>
        <w:rPr>
          <w:rFonts w:cs="Arial"/>
          <w:szCs w:val="24"/>
        </w:rPr>
        <w:t>a security bond</w:t>
      </w:r>
      <w:r w:rsidR="00536515">
        <w:rPr>
          <w:rFonts w:cs="Arial"/>
          <w:szCs w:val="24"/>
        </w:rPr>
        <w:t xml:space="preserve"> to the </w:t>
      </w:r>
      <w:r w:rsidR="00536515">
        <w:rPr>
          <w:rFonts w:cs="Arial"/>
          <w:szCs w:val="24"/>
        </w:rPr>
        <w:lastRenderedPageBreak/>
        <w:t>value</w:t>
      </w:r>
      <w:r>
        <w:rPr>
          <w:rFonts w:cs="Arial"/>
          <w:szCs w:val="24"/>
        </w:rPr>
        <w:t xml:space="preserve"> of R5 000.00</w:t>
      </w:r>
      <w:r w:rsidR="00536515">
        <w:rPr>
          <w:rFonts w:cs="Arial"/>
          <w:szCs w:val="24"/>
        </w:rPr>
        <w:t xml:space="preserve">. </w:t>
      </w:r>
      <w:r>
        <w:rPr>
          <w:rFonts w:cs="Arial"/>
          <w:szCs w:val="24"/>
        </w:rPr>
        <w:t>Nedbank Limited issued a security bond on behalf of the twelfth respondent to the satisfaction of SARS, which</w:t>
      </w:r>
      <w:r w:rsidR="001A0922">
        <w:rPr>
          <w:rFonts w:cs="Arial"/>
          <w:szCs w:val="24"/>
        </w:rPr>
        <w:t xml:space="preserve"> security bond</w:t>
      </w:r>
      <w:r>
        <w:rPr>
          <w:rFonts w:cs="Arial"/>
          <w:szCs w:val="24"/>
        </w:rPr>
        <w:t xml:space="preserve"> is secured by a</w:t>
      </w:r>
      <w:r w:rsidR="00B50E24">
        <w:rPr>
          <w:rFonts w:cs="Arial"/>
          <w:szCs w:val="24"/>
        </w:rPr>
        <w:t xml:space="preserve"> R5</w:t>
      </w:r>
      <w:r w:rsidR="005229AF">
        <w:rPr>
          <w:rFonts w:cs="Arial"/>
          <w:szCs w:val="24"/>
        </w:rPr>
        <w:t xml:space="preserve"> </w:t>
      </w:r>
      <w:r w:rsidR="00B50E24">
        <w:rPr>
          <w:rFonts w:cs="Arial"/>
          <w:szCs w:val="24"/>
        </w:rPr>
        <w:t>000</w:t>
      </w:r>
      <w:r w:rsidR="005229AF">
        <w:rPr>
          <w:rFonts w:cs="Arial"/>
          <w:szCs w:val="24"/>
        </w:rPr>
        <w:t>.00</w:t>
      </w:r>
      <w:r w:rsidR="00B50E24">
        <w:rPr>
          <w:rFonts w:cs="Arial"/>
          <w:szCs w:val="24"/>
        </w:rPr>
        <w:t xml:space="preserve"> </w:t>
      </w:r>
      <w:r>
        <w:rPr>
          <w:rFonts w:cs="Arial"/>
          <w:szCs w:val="24"/>
        </w:rPr>
        <w:t xml:space="preserve"> investment made by</w:t>
      </w:r>
      <w:r w:rsidR="002F2EEC">
        <w:rPr>
          <w:rFonts w:cs="Arial"/>
          <w:szCs w:val="24"/>
        </w:rPr>
        <w:t xml:space="preserve"> its 50% shareholder,</w:t>
      </w:r>
      <w:r>
        <w:rPr>
          <w:rFonts w:cs="Arial"/>
          <w:szCs w:val="24"/>
        </w:rPr>
        <w:t xml:space="preserve"> Southern Ferries and Salvage (Pty) Ltd.</w:t>
      </w:r>
    </w:p>
    <w:p w14:paraId="5C904A2E" w14:textId="7DF4495F" w:rsidR="00420B6C" w:rsidRDefault="00420B6C" w:rsidP="00EB52AD">
      <w:pPr>
        <w:pStyle w:val="ListParagraph"/>
        <w:numPr>
          <w:ilvl w:val="0"/>
          <w:numId w:val="6"/>
        </w:numPr>
        <w:spacing w:before="480" w:after="0" w:line="480" w:lineRule="auto"/>
        <w:contextualSpacing w:val="0"/>
        <w:rPr>
          <w:rFonts w:cs="Arial"/>
          <w:szCs w:val="24"/>
        </w:rPr>
      </w:pPr>
      <w:r>
        <w:rPr>
          <w:rFonts w:cs="Arial"/>
          <w:szCs w:val="24"/>
        </w:rPr>
        <w:t xml:space="preserve">The twelfth respondent is not a defendant. The twelfth respondent has not received an </w:t>
      </w:r>
      <w:r w:rsidRPr="000B5CF8">
        <w:rPr>
          <w:rFonts w:cs="Arial"/>
          <w:i/>
          <w:iCs/>
          <w:szCs w:val="24"/>
        </w:rPr>
        <w:t>affected gift</w:t>
      </w:r>
      <w:r>
        <w:rPr>
          <w:rFonts w:cs="Arial"/>
          <w:szCs w:val="24"/>
        </w:rPr>
        <w:t xml:space="preserve"> from any defendant. The twelfth respondent holds no </w:t>
      </w:r>
      <w:r w:rsidRPr="000B5CF8">
        <w:rPr>
          <w:rFonts w:cs="Arial"/>
          <w:i/>
          <w:iCs/>
          <w:szCs w:val="24"/>
        </w:rPr>
        <w:t>realisable property</w:t>
      </w:r>
      <w:r>
        <w:rPr>
          <w:rFonts w:cs="Arial"/>
          <w:szCs w:val="24"/>
        </w:rPr>
        <w:t>.</w:t>
      </w:r>
    </w:p>
    <w:p w14:paraId="7726C748" w14:textId="5BD0F2A0" w:rsidR="00420B6C" w:rsidRDefault="00420B6C" w:rsidP="00EB52AD">
      <w:pPr>
        <w:pStyle w:val="ListParagraph"/>
        <w:numPr>
          <w:ilvl w:val="0"/>
          <w:numId w:val="6"/>
        </w:numPr>
        <w:spacing w:before="480" w:after="0" w:line="480" w:lineRule="auto"/>
        <w:contextualSpacing w:val="0"/>
        <w:rPr>
          <w:rFonts w:cs="Arial"/>
          <w:szCs w:val="24"/>
        </w:rPr>
      </w:pPr>
      <w:r>
        <w:rPr>
          <w:rFonts w:cs="Arial"/>
          <w:szCs w:val="24"/>
        </w:rPr>
        <w:t>There are no facts alleged by the NDPP</w:t>
      </w:r>
      <w:r w:rsidR="00406B18">
        <w:rPr>
          <w:rFonts w:cs="Arial"/>
          <w:szCs w:val="24"/>
        </w:rPr>
        <w:t xml:space="preserve">, </w:t>
      </w:r>
      <w:r>
        <w:rPr>
          <w:rFonts w:cs="Arial"/>
          <w:szCs w:val="24"/>
        </w:rPr>
        <w:t xml:space="preserve"> to justify confirmation of the </w:t>
      </w:r>
      <w:r w:rsidR="00974569">
        <w:rPr>
          <w:rFonts w:cs="Arial"/>
          <w:szCs w:val="24"/>
        </w:rPr>
        <w:t xml:space="preserve">provisional </w:t>
      </w:r>
      <w:r w:rsidR="000B5CF8">
        <w:rPr>
          <w:rFonts w:cs="Arial"/>
          <w:szCs w:val="24"/>
        </w:rPr>
        <w:t>rest</w:t>
      </w:r>
      <w:r w:rsidR="00974569">
        <w:rPr>
          <w:rFonts w:cs="Arial"/>
          <w:szCs w:val="24"/>
        </w:rPr>
        <w:t>raint order.</w:t>
      </w:r>
      <w:r>
        <w:rPr>
          <w:rFonts w:cs="Arial"/>
          <w:szCs w:val="24"/>
        </w:rPr>
        <w:t>.</w:t>
      </w:r>
    </w:p>
    <w:p w14:paraId="3FFC4E31" w14:textId="03802EA0" w:rsidR="00F0189D" w:rsidRPr="00F0189D" w:rsidRDefault="00F0189D" w:rsidP="00E249BB">
      <w:pPr>
        <w:keepNext/>
        <w:spacing w:before="480" w:after="0" w:line="480" w:lineRule="auto"/>
        <w:rPr>
          <w:rFonts w:cs="Arial"/>
          <w:b/>
          <w:bCs/>
          <w:szCs w:val="24"/>
        </w:rPr>
      </w:pPr>
      <w:r>
        <w:rPr>
          <w:rFonts w:cs="Arial"/>
          <w:b/>
          <w:bCs/>
          <w:szCs w:val="24"/>
        </w:rPr>
        <w:t>THIRTEETH RESPONDENT</w:t>
      </w:r>
    </w:p>
    <w:p w14:paraId="32DB0364" w14:textId="56D1FDFB" w:rsidR="0038478D" w:rsidRDefault="0038478D" w:rsidP="00EB52AD">
      <w:pPr>
        <w:pStyle w:val="ListParagraph"/>
        <w:numPr>
          <w:ilvl w:val="0"/>
          <w:numId w:val="6"/>
        </w:numPr>
        <w:spacing w:before="480" w:after="0" w:line="480" w:lineRule="auto"/>
        <w:contextualSpacing w:val="0"/>
        <w:rPr>
          <w:rFonts w:cs="Arial"/>
          <w:szCs w:val="24"/>
        </w:rPr>
      </w:pPr>
      <w:r>
        <w:rPr>
          <w:rFonts w:cs="Arial"/>
          <w:szCs w:val="24"/>
        </w:rPr>
        <w:t xml:space="preserve">The thirteenth respondent was incorporated in January 2017 </w:t>
      </w:r>
      <w:r w:rsidR="00CF5EBE">
        <w:rPr>
          <w:rFonts w:cs="Arial"/>
          <w:szCs w:val="24"/>
        </w:rPr>
        <w:t xml:space="preserve">with </w:t>
      </w:r>
      <w:r>
        <w:rPr>
          <w:rFonts w:cs="Arial"/>
          <w:szCs w:val="24"/>
        </w:rPr>
        <w:t>the fourteenth respondent was the sole shareholder</w:t>
      </w:r>
      <w:r w:rsidR="00CF5EBE">
        <w:rPr>
          <w:rFonts w:cs="Arial"/>
          <w:szCs w:val="24"/>
        </w:rPr>
        <w:t xml:space="preserve"> and director</w:t>
      </w:r>
      <w:r>
        <w:rPr>
          <w:rFonts w:cs="Arial"/>
          <w:szCs w:val="24"/>
        </w:rPr>
        <w:t>.</w:t>
      </w:r>
    </w:p>
    <w:p w14:paraId="7B15A194" w14:textId="717EA349" w:rsidR="00AC6E2D" w:rsidRDefault="0038478D" w:rsidP="00EB52AD">
      <w:pPr>
        <w:pStyle w:val="ListParagraph"/>
        <w:numPr>
          <w:ilvl w:val="0"/>
          <w:numId w:val="6"/>
        </w:numPr>
        <w:spacing w:before="480" w:after="0" w:line="480" w:lineRule="auto"/>
        <w:contextualSpacing w:val="0"/>
        <w:rPr>
          <w:rFonts w:cs="Arial"/>
          <w:szCs w:val="24"/>
        </w:rPr>
      </w:pPr>
      <w:r>
        <w:rPr>
          <w:rFonts w:cs="Arial"/>
          <w:szCs w:val="24"/>
        </w:rPr>
        <w:t>In February 2018, the fourteenth respondent appointed the seventh defendant as a director</w:t>
      </w:r>
      <w:r w:rsidR="00CF5EBE">
        <w:rPr>
          <w:rFonts w:cs="Arial"/>
          <w:szCs w:val="24"/>
        </w:rPr>
        <w:t>;</w:t>
      </w:r>
      <w:r>
        <w:rPr>
          <w:rFonts w:cs="Arial"/>
          <w:szCs w:val="24"/>
        </w:rPr>
        <w:t xml:space="preserve"> transferred 50% of his shareholding to the Abraham le Roux Family Trust and</w:t>
      </w:r>
      <w:r w:rsidR="00CF5EBE">
        <w:rPr>
          <w:rFonts w:cs="Arial"/>
          <w:szCs w:val="24"/>
        </w:rPr>
        <w:t xml:space="preserve"> remaining </w:t>
      </w:r>
      <w:r>
        <w:rPr>
          <w:rFonts w:cs="Arial"/>
          <w:szCs w:val="24"/>
        </w:rPr>
        <w:t xml:space="preserve"> 50% of his shareholding to the Le Roux </w:t>
      </w:r>
      <w:r w:rsidRPr="00CF5EBE">
        <w:rPr>
          <w:rFonts w:cs="Arial"/>
          <w:szCs w:val="24"/>
        </w:rPr>
        <w:t xml:space="preserve">Family </w:t>
      </w:r>
      <w:r w:rsidRPr="00CF5EBE">
        <w:rPr>
          <w:rFonts w:cs="Arial"/>
          <w:bCs/>
          <w:szCs w:val="24"/>
        </w:rPr>
        <w:t>Investment</w:t>
      </w:r>
      <w:r>
        <w:rPr>
          <w:rFonts w:cs="Arial"/>
          <w:szCs w:val="24"/>
        </w:rPr>
        <w:t xml:space="preserve"> Trust</w:t>
      </w:r>
      <w:r w:rsidR="00963B24">
        <w:rPr>
          <w:rFonts w:cs="Arial"/>
          <w:szCs w:val="24"/>
        </w:rPr>
        <w:t>, for no va</w:t>
      </w:r>
      <w:r w:rsidR="004157C9">
        <w:rPr>
          <w:rFonts w:cs="Arial"/>
          <w:szCs w:val="24"/>
        </w:rPr>
        <w:t>lue</w:t>
      </w:r>
      <w:r>
        <w:rPr>
          <w:rFonts w:cs="Arial"/>
          <w:szCs w:val="24"/>
        </w:rPr>
        <w:t>.</w:t>
      </w:r>
    </w:p>
    <w:p w14:paraId="1FAF3489" w14:textId="37B89BF5" w:rsidR="003F30F3" w:rsidRDefault="004157C9" w:rsidP="00EB52AD">
      <w:pPr>
        <w:pStyle w:val="ListParagraph"/>
        <w:numPr>
          <w:ilvl w:val="0"/>
          <w:numId w:val="6"/>
        </w:numPr>
        <w:spacing w:before="480" w:after="0" w:line="480" w:lineRule="auto"/>
        <w:contextualSpacing w:val="0"/>
        <w:rPr>
          <w:rFonts w:cs="Arial"/>
          <w:szCs w:val="24"/>
        </w:rPr>
      </w:pPr>
      <w:r>
        <w:rPr>
          <w:rFonts w:cs="Arial"/>
          <w:szCs w:val="24"/>
        </w:rPr>
        <w:t>As the fourteenth respondent is not a defendant, t</w:t>
      </w:r>
      <w:r w:rsidR="0038478D">
        <w:rPr>
          <w:rFonts w:cs="Arial"/>
          <w:szCs w:val="24"/>
        </w:rPr>
        <w:t xml:space="preserve">he transfer by the fourteenth respondent of his shareholding to the Abraham le Roux Family Trust  and to the Le Roux </w:t>
      </w:r>
      <w:r w:rsidR="0038478D" w:rsidRPr="00AC6E2D">
        <w:rPr>
          <w:rFonts w:cs="Arial"/>
          <w:szCs w:val="24"/>
        </w:rPr>
        <w:t xml:space="preserve">Family </w:t>
      </w:r>
      <w:r w:rsidR="0038478D" w:rsidRPr="00AC6E2D">
        <w:rPr>
          <w:rFonts w:cs="Arial"/>
          <w:bCs/>
          <w:szCs w:val="24"/>
        </w:rPr>
        <w:t>Investment Trust</w:t>
      </w:r>
      <w:r w:rsidR="00AC6E2D">
        <w:rPr>
          <w:rFonts w:cs="Arial"/>
          <w:bCs/>
          <w:szCs w:val="24"/>
        </w:rPr>
        <w:t xml:space="preserve">, </w:t>
      </w:r>
      <w:r w:rsidR="0038478D" w:rsidRPr="00AC6E2D">
        <w:rPr>
          <w:rFonts w:cs="Arial"/>
          <w:bCs/>
          <w:szCs w:val="24"/>
        </w:rPr>
        <w:t xml:space="preserve">does not constitute an </w:t>
      </w:r>
      <w:r w:rsidR="0038478D" w:rsidRPr="008B6406">
        <w:rPr>
          <w:rFonts w:cs="Arial"/>
          <w:bCs/>
          <w:i/>
          <w:iCs/>
          <w:szCs w:val="24"/>
        </w:rPr>
        <w:t>affected gift</w:t>
      </w:r>
      <w:r w:rsidR="00AC6E2D">
        <w:rPr>
          <w:rFonts w:cs="Arial"/>
          <w:bCs/>
          <w:szCs w:val="24"/>
        </w:rPr>
        <w:t>. C</w:t>
      </w:r>
      <w:r w:rsidR="0038478D" w:rsidRPr="00AC6E2D">
        <w:rPr>
          <w:rFonts w:cs="Arial"/>
          <w:bCs/>
          <w:szCs w:val="24"/>
        </w:rPr>
        <w:t xml:space="preserve">onsequently, the property held by the Le Roux Family Investment Trust and </w:t>
      </w:r>
      <w:r w:rsidR="0038478D" w:rsidRPr="00AC6E2D">
        <w:rPr>
          <w:rFonts w:cs="Arial"/>
          <w:bCs/>
          <w:szCs w:val="24"/>
        </w:rPr>
        <w:lastRenderedPageBreak/>
        <w:t>the Abraham le Roux Family Trust, being the shareholding in the</w:t>
      </w:r>
      <w:r w:rsidR="0038478D">
        <w:rPr>
          <w:rFonts w:cs="Arial"/>
          <w:szCs w:val="24"/>
        </w:rPr>
        <w:t xml:space="preserve"> thirteenth respondent,</w:t>
      </w:r>
      <w:r w:rsidR="00F474F9">
        <w:rPr>
          <w:rFonts w:cs="Arial"/>
          <w:szCs w:val="24"/>
        </w:rPr>
        <w:t xml:space="preserve"> and the assets of the thirteenth respondent </w:t>
      </w:r>
      <w:r w:rsidR="0038478D">
        <w:rPr>
          <w:rFonts w:cs="Arial"/>
          <w:szCs w:val="24"/>
        </w:rPr>
        <w:t>do</w:t>
      </w:r>
      <w:r w:rsidR="003A4A7A">
        <w:rPr>
          <w:rFonts w:cs="Arial"/>
          <w:szCs w:val="24"/>
        </w:rPr>
        <w:t xml:space="preserve"> </w:t>
      </w:r>
      <w:r w:rsidR="0038478D">
        <w:rPr>
          <w:rFonts w:cs="Arial"/>
          <w:szCs w:val="24"/>
        </w:rPr>
        <w:t xml:space="preserve">not constitute </w:t>
      </w:r>
      <w:r w:rsidR="0038478D" w:rsidRPr="008B6406">
        <w:rPr>
          <w:rFonts w:cs="Arial"/>
          <w:i/>
          <w:iCs/>
          <w:szCs w:val="24"/>
        </w:rPr>
        <w:t>realisable property</w:t>
      </w:r>
      <w:r w:rsidR="0038478D">
        <w:rPr>
          <w:rFonts w:cs="Arial"/>
          <w:szCs w:val="24"/>
        </w:rPr>
        <w:t>.</w:t>
      </w:r>
    </w:p>
    <w:p w14:paraId="1480F9B0" w14:textId="10A7426C" w:rsidR="0038478D" w:rsidRDefault="0063062F" w:rsidP="00EB52AD">
      <w:pPr>
        <w:pStyle w:val="ListParagraph"/>
        <w:numPr>
          <w:ilvl w:val="0"/>
          <w:numId w:val="6"/>
        </w:numPr>
        <w:spacing w:before="480" w:after="0" w:line="480" w:lineRule="auto"/>
        <w:contextualSpacing w:val="0"/>
        <w:rPr>
          <w:rFonts w:cs="Arial"/>
          <w:szCs w:val="24"/>
        </w:rPr>
      </w:pPr>
      <w:r>
        <w:rPr>
          <w:rFonts w:cs="Arial"/>
          <w:szCs w:val="24"/>
        </w:rPr>
        <w:t xml:space="preserve">The NDPP has failed to discharge </w:t>
      </w:r>
      <w:r w:rsidR="000B0E23">
        <w:rPr>
          <w:rFonts w:cs="Arial"/>
          <w:szCs w:val="24"/>
        </w:rPr>
        <w:t xml:space="preserve"> its onus on a balance of </w:t>
      </w:r>
      <w:r w:rsidR="00567CCB">
        <w:rPr>
          <w:rFonts w:cs="Arial"/>
          <w:szCs w:val="24"/>
        </w:rPr>
        <w:t>probabilities</w:t>
      </w:r>
      <w:r w:rsidR="00923CFA">
        <w:rPr>
          <w:rFonts w:cs="Arial"/>
          <w:szCs w:val="24"/>
        </w:rPr>
        <w:t xml:space="preserve"> </w:t>
      </w:r>
      <w:r w:rsidR="009E6962">
        <w:rPr>
          <w:rFonts w:cs="Arial"/>
          <w:szCs w:val="24"/>
        </w:rPr>
        <w:t xml:space="preserve">that </w:t>
      </w:r>
      <w:r w:rsidR="00E34E55">
        <w:rPr>
          <w:rFonts w:cs="Arial"/>
          <w:szCs w:val="24"/>
        </w:rPr>
        <w:t>t</w:t>
      </w:r>
      <w:r w:rsidR="009E6962">
        <w:rPr>
          <w:rFonts w:cs="Arial"/>
          <w:szCs w:val="24"/>
        </w:rPr>
        <w:t xml:space="preserve">he thirteenth respondent </w:t>
      </w:r>
      <w:r w:rsidR="00E34E55">
        <w:rPr>
          <w:rFonts w:cs="Arial"/>
          <w:szCs w:val="24"/>
        </w:rPr>
        <w:t xml:space="preserve">holds realisable property. </w:t>
      </w:r>
      <w:r w:rsidR="003F30F3">
        <w:rPr>
          <w:rFonts w:cs="Arial"/>
          <w:szCs w:val="24"/>
        </w:rPr>
        <w:t>There are no facts before me to support the confirmation of the restraint order as against the thirteenth respondent.</w:t>
      </w:r>
    </w:p>
    <w:p w14:paraId="796C6FA5" w14:textId="57AD6ED0" w:rsidR="00BF4BBF" w:rsidRPr="00BF4BBF" w:rsidRDefault="00BF4BBF" w:rsidP="00BF4BBF">
      <w:pPr>
        <w:keepNext/>
        <w:spacing w:before="480" w:after="0" w:line="480" w:lineRule="auto"/>
        <w:rPr>
          <w:rFonts w:cs="Arial"/>
          <w:b/>
          <w:szCs w:val="24"/>
        </w:rPr>
      </w:pPr>
      <w:r>
        <w:rPr>
          <w:rFonts w:cs="Arial"/>
          <w:b/>
          <w:szCs w:val="24"/>
        </w:rPr>
        <w:t>THE SIXTEENTH RESPONDENT</w:t>
      </w:r>
    </w:p>
    <w:p w14:paraId="2AF2DBC8" w14:textId="7BABF0F0" w:rsidR="00EB52AD" w:rsidRDefault="00BF4BBF" w:rsidP="00EB52AD">
      <w:pPr>
        <w:pStyle w:val="ListParagraph"/>
        <w:numPr>
          <w:ilvl w:val="0"/>
          <w:numId w:val="6"/>
        </w:numPr>
        <w:spacing w:before="480" w:after="0" w:line="480" w:lineRule="auto"/>
        <w:contextualSpacing w:val="0"/>
        <w:rPr>
          <w:rFonts w:cs="Arial"/>
          <w:szCs w:val="24"/>
        </w:rPr>
      </w:pPr>
      <w:r>
        <w:rPr>
          <w:rFonts w:cs="Arial"/>
          <w:szCs w:val="24"/>
        </w:rPr>
        <w:t xml:space="preserve">The </w:t>
      </w:r>
      <w:r w:rsidR="0043210E">
        <w:rPr>
          <w:rFonts w:cs="Arial"/>
          <w:szCs w:val="24"/>
        </w:rPr>
        <w:t xml:space="preserve">fourteenth respondent acquired the </w:t>
      </w:r>
      <w:r>
        <w:rPr>
          <w:rFonts w:cs="Arial"/>
          <w:szCs w:val="24"/>
        </w:rPr>
        <w:t>sixteenth respondent</w:t>
      </w:r>
      <w:r w:rsidR="0043210E">
        <w:rPr>
          <w:rFonts w:cs="Arial"/>
          <w:szCs w:val="24"/>
        </w:rPr>
        <w:t xml:space="preserve">, which </w:t>
      </w:r>
      <w:r>
        <w:rPr>
          <w:rFonts w:cs="Arial"/>
          <w:szCs w:val="24"/>
        </w:rPr>
        <w:t xml:space="preserve">was incorporated in November 2019, as a shelf company in May 2020. The </w:t>
      </w:r>
      <w:r w:rsidR="005F0809">
        <w:rPr>
          <w:rFonts w:cs="Arial"/>
          <w:szCs w:val="24"/>
        </w:rPr>
        <w:t xml:space="preserve">fourteenth respondent </w:t>
      </w:r>
      <w:r w:rsidR="00790681">
        <w:rPr>
          <w:rFonts w:cs="Arial"/>
          <w:szCs w:val="24"/>
        </w:rPr>
        <w:t xml:space="preserve">registered  the </w:t>
      </w:r>
      <w:r>
        <w:rPr>
          <w:rFonts w:cs="Arial"/>
          <w:szCs w:val="24"/>
        </w:rPr>
        <w:t xml:space="preserve">Abraham le Roux Family Trust, </w:t>
      </w:r>
      <w:r w:rsidR="00790681">
        <w:rPr>
          <w:rFonts w:cs="Arial"/>
          <w:szCs w:val="24"/>
        </w:rPr>
        <w:t xml:space="preserve">as its </w:t>
      </w:r>
      <w:r>
        <w:rPr>
          <w:rFonts w:cs="Arial"/>
          <w:szCs w:val="24"/>
        </w:rPr>
        <w:t xml:space="preserve">sole shareholder. </w:t>
      </w:r>
    </w:p>
    <w:p w14:paraId="35DEA233" w14:textId="02E79848" w:rsidR="00BE0F4C" w:rsidRDefault="00BF4BBF" w:rsidP="00EB52AD">
      <w:pPr>
        <w:pStyle w:val="ListParagraph"/>
        <w:numPr>
          <w:ilvl w:val="0"/>
          <w:numId w:val="6"/>
        </w:numPr>
        <w:spacing w:before="480" w:after="0" w:line="480" w:lineRule="auto"/>
        <w:contextualSpacing w:val="0"/>
        <w:rPr>
          <w:rFonts w:cs="Arial"/>
          <w:szCs w:val="24"/>
        </w:rPr>
      </w:pPr>
      <w:r>
        <w:rPr>
          <w:rFonts w:cs="Arial"/>
          <w:szCs w:val="24"/>
        </w:rPr>
        <w:t xml:space="preserve">In November 2020, the fourteenth respondent sold a property, </w:t>
      </w:r>
      <w:bookmarkStart w:id="10" w:name="_Hlk142067697"/>
      <w:r>
        <w:rPr>
          <w:rFonts w:cs="Arial"/>
          <w:szCs w:val="24"/>
        </w:rPr>
        <w:t xml:space="preserve">Erf 22707 Kariega, </w:t>
      </w:r>
      <w:bookmarkEnd w:id="10"/>
      <w:r>
        <w:rPr>
          <w:rFonts w:cs="Arial"/>
          <w:szCs w:val="24"/>
        </w:rPr>
        <w:t xml:space="preserve">registered in his name, to the sixteenth respondent for </w:t>
      </w:r>
      <w:r w:rsidR="002C0CD7">
        <w:rPr>
          <w:rFonts w:cs="Arial"/>
          <w:szCs w:val="24"/>
        </w:rPr>
        <w:t xml:space="preserve">the sum of </w:t>
      </w:r>
      <w:r>
        <w:rPr>
          <w:rFonts w:cs="Arial"/>
          <w:szCs w:val="24"/>
        </w:rPr>
        <w:t xml:space="preserve">R900 000.00. The property is </w:t>
      </w:r>
      <w:r w:rsidR="002C0CD7">
        <w:rPr>
          <w:rFonts w:cs="Arial"/>
          <w:szCs w:val="24"/>
        </w:rPr>
        <w:t xml:space="preserve"> currently </w:t>
      </w:r>
      <w:r>
        <w:rPr>
          <w:rFonts w:cs="Arial"/>
          <w:szCs w:val="24"/>
        </w:rPr>
        <w:t>leased to Volkswagen South Africa</w:t>
      </w:r>
      <w:r w:rsidR="00A97456">
        <w:rPr>
          <w:rFonts w:cs="Arial"/>
          <w:szCs w:val="24"/>
        </w:rPr>
        <w:t>. Th</w:t>
      </w:r>
      <w:r>
        <w:rPr>
          <w:rFonts w:cs="Arial"/>
          <w:szCs w:val="24"/>
        </w:rPr>
        <w:t>e sixteenth respondent</w:t>
      </w:r>
      <w:r w:rsidR="002C0CD7">
        <w:rPr>
          <w:rFonts w:cs="Arial"/>
          <w:szCs w:val="24"/>
        </w:rPr>
        <w:t xml:space="preserve"> is </w:t>
      </w:r>
      <w:r>
        <w:rPr>
          <w:rFonts w:cs="Arial"/>
          <w:szCs w:val="24"/>
        </w:rPr>
        <w:t>pay</w:t>
      </w:r>
      <w:r w:rsidR="002C0CD7">
        <w:rPr>
          <w:rFonts w:cs="Arial"/>
          <w:szCs w:val="24"/>
        </w:rPr>
        <w:t xml:space="preserve">ing </w:t>
      </w:r>
      <w:r>
        <w:rPr>
          <w:rFonts w:cs="Arial"/>
          <w:szCs w:val="24"/>
        </w:rPr>
        <w:t xml:space="preserve">the fourteenth respondent the purchase </w:t>
      </w:r>
      <w:r w:rsidR="002C0CD7">
        <w:rPr>
          <w:rFonts w:cs="Arial"/>
          <w:szCs w:val="24"/>
        </w:rPr>
        <w:t>consideration</w:t>
      </w:r>
      <w:r>
        <w:rPr>
          <w:rFonts w:cs="Arial"/>
          <w:szCs w:val="24"/>
        </w:rPr>
        <w:t xml:space="preserve"> from the </w:t>
      </w:r>
      <w:r w:rsidR="002C0CD7">
        <w:rPr>
          <w:rFonts w:cs="Arial"/>
          <w:szCs w:val="24"/>
        </w:rPr>
        <w:t xml:space="preserve">monthly </w:t>
      </w:r>
      <w:r>
        <w:rPr>
          <w:rFonts w:cs="Arial"/>
          <w:szCs w:val="24"/>
        </w:rPr>
        <w:t>rental income it receives.</w:t>
      </w:r>
    </w:p>
    <w:p w14:paraId="7471EF12" w14:textId="77777777" w:rsidR="00E73FD3" w:rsidRDefault="00BF4BBF" w:rsidP="00EB52AD">
      <w:pPr>
        <w:pStyle w:val="ListParagraph"/>
        <w:numPr>
          <w:ilvl w:val="0"/>
          <w:numId w:val="6"/>
        </w:numPr>
        <w:spacing w:before="480" w:after="0" w:line="480" w:lineRule="auto"/>
        <w:contextualSpacing w:val="0"/>
        <w:rPr>
          <w:rFonts w:cs="Arial"/>
          <w:szCs w:val="24"/>
        </w:rPr>
      </w:pPr>
      <w:r>
        <w:rPr>
          <w:rFonts w:cs="Arial"/>
          <w:szCs w:val="24"/>
        </w:rPr>
        <w:t xml:space="preserve">Whilst the fourteenth respondent contends that the sixteenth respondent is paying off the purchase consideration to the fourteenth respondent from the rental it receives on a monthly basis, the deed of transfer indicates otherwise. </w:t>
      </w:r>
      <w:r>
        <w:rPr>
          <w:rFonts w:cs="Arial"/>
          <w:szCs w:val="24"/>
        </w:rPr>
        <w:lastRenderedPageBreak/>
        <w:t>The title deed</w:t>
      </w:r>
      <w:r w:rsidR="00315313">
        <w:rPr>
          <w:rFonts w:cs="Arial"/>
          <w:szCs w:val="24"/>
        </w:rPr>
        <w:t xml:space="preserve"> is in the name of the sixteenth respondent</w:t>
      </w:r>
      <w:r w:rsidR="00065CA5">
        <w:rPr>
          <w:rFonts w:cs="Arial"/>
          <w:szCs w:val="24"/>
        </w:rPr>
        <w:t>,</w:t>
      </w:r>
      <w:r w:rsidR="00315313">
        <w:rPr>
          <w:rStyle w:val="FootnoteReference"/>
          <w:rFonts w:cs="Arial"/>
          <w:szCs w:val="24"/>
        </w:rPr>
        <w:footnoteReference w:id="21"/>
      </w:r>
      <w:r w:rsidR="00065CA5">
        <w:rPr>
          <w:rFonts w:cs="Arial"/>
          <w:szCs w:val="24"/>
        </w:rPr>
        <w:t xml:space="preserve"> consequently, t</w:t>
      </w:r>
      <w:r w:rsidR="003E51E4">
        <w:rPr>
          <w:rFonts w:cs="Arial"/>
          <w:szCs w:val="24"/>
        </w:rPr>
        <w:t>h</w:t>
      </w:r>
      <w:r w:rsidR="00C079DF">
        <w:rPr>
          <w:rFonts w:cs="Arial"/>
          <w:szCs w:val="24"/>
        </w:rPr>
        <w:t xml:space="preserve">e sixteenth respondent is the </w:t>
      </w:r>
      <w:r w:rsidR="00065CA5">
        <w:rPr>
          <w:rFonts w:cs="Arial"/>
          <w:szCs w:val="24"/>
        </w:rPr>
        <w:t xml:space="preserve">legal </w:t>
      </w:r>
      <w:r w:rsidR="00C079DF">
        <w:rPr>
          <w:rFonts w:cs="Arial"/>
          <w:szCs w:val="24"/>
        </w:rPr>
        <w:t xml:space="preserve">owner. </w:t>
      </w:r>
      <w:r w:rsidR="00315313">
        <w:rPr>
          <w:rFonts w:cs="Arial"/>
          <w:szCs w:val="24"/>
        </w:rPr>
        <w:t xml:space="preserve">The title deed records that </w:t>
      </w:r>
      <w:r>
        <w:rPr>
          <w:rFonts w:cs="Arial"/>
          <w:szCs w:val="24"/>
        </w:rPr>
        <w:t>that the purchase price has been paid</w:t>
      </w:r>
      <w:r w:rsidR="00315313">
        <w:rPr>
          <w:rFonts w:cs="Arial"/>
          <w:szCs w:val="24"/>
        </w:rPr>
        <w:t xml:space="preserve">. </w:t>
      </w:r>
    </w:p>
    <w:p w14:paraId="3709C38C" w14:textId="09C9AD05" w:rsidR="00580FB8" w:rsidRDefault="00315313" w:rsidP="00EB52AD">
      <w:pPr>
        <w:pStyle w:val="ListParagraph"/>
        <w:numPr>
          <w:ilvl w:val="0"/>
          <w:numId w:val="6"/>
        </w:numPr>
        <w:spacing w:before="480" w:after="0" w:line="480" w:lineRule="auto"/>
        <w:contextualSpacing w:val="0"/>
        <w:rPr>
          <w:rFonts w:cs="Arial"/>
          <w:szCs w:val="24"/>
        </w:rPr>
      </w:pPr>
      <w:r>
        <w:rPr>
          <w:rFonts w:cs="Arial"/>
          <w:szCs w:val="24"/>
        </w:rPr>
        <w:t>The</w:t>
      </w:r>
      <w:r w:rsidR="008D08C2">
        <w:rPr>
          <w:rFonts w:cs="Arial"/>
          <w:szCs w:val="24"/>
        </w:rPr>
        <w:t xml:space="preserve"> sixteenth respondent</w:t>
      </w:r>
      <w:r w:rsidR="00AE0974">
        <w:rPr>
          <w:rFonts w:cs="Arial"/>
          <w:szCs w:val="24"/>
        </w:rPr>
        <w:t xml:space="preserve"> has </w:t>
      </w:r>
      <w:r w:rsidR="00667F0B">
        <w:rPr>
          <w:rFonts w:cs="Arial"/>
          <w:szCs w:val="24"/>
        </w:rPr>
        <w:t xml:space="preserve">not put up any evidence of </w:t>
      </w:r>
      <w:r w:rsidR="00BF4BBF">
        <w:rPr>
          <w:rFonts w:cs="Arial"/>
          <w:szCs w:val="24"/>
        </w:rPr>
        <w:t xml:space="preserve">the </w:t>
      </w:r>
      <w:r w:rsidR="00667F0B">
        <w:rPr>
          <w:rFonts w:cs="Arial"/>
          <w:szCs w:val="24"/>
        </w:rPr>
        <w:t xml:space="preserve">purchase </w:t>
      </w:r>
      <w:r w:rsidR="00667675">
        <w:rPr>
          <w:rFonts w:cs="Arial"/>
          <w:szCs w:val="24"/>
        </w:rPr>
        <w:t>of imm</w:t>
      </w:r>
      <w:r w:rsidR="00BF4BBF">
        <w:rPr>
          <w:rFonts w:cs="Arial"/>
          <w:szCs w:val="24"/>
        </w:rPr>
        <w:t xml:space="preserve">ovable property </w:t>
      </w:r>
      <w:r w:rsidR="00667F0B">
        <w:rPr>
          <w:rFonts w:cs="Arial"/>
          <w:szCs w:val="24"/>
        </w:rPr>
        <w:t>from the fourteenth respondent</w:t>
      </w:r>
      <w:r w:rsidR="00BF4BBF">
        <w:rPr>
          <w:rFonts w:cs="Arial"/>
          <w:szCs w:val="24"/>
        </w:rPr>
        <w:t xml:space="preserve"> on “</w:t>
      </w:r>
      <w:r w:rsidR="00BF4BBF">
        <w:rPr>
          <w:rFonts w:cs="Arial"/>
          <w:i/>
          <w:szCs w:val="24"/>
        </w:rPr>
        <w:t>periodic payments</w:t>
      </w:r>
      <w:r w:rsidR="006B101D">
        <w:rPr>
          <w:rFonts w:cs="Arial"/>
          <w:i/>
          <w:szCs w:val="24"/>
        </w:rPr>
        <w:t>.</w:t>
      </w:r>
      <w:r w:rsidR="00BF4BBF">
        <w:rPr>
          <w:rFonts w:cs="Arial"/>
          <w:szCs w:val="24"/>
        </w:rPr>
        <w:t>”</w:t>
      </w:r>
      <w:r w:rsidR="00667675">
        <w:rPr>
          <w:rStyle w:val="FootnoteReference"/>
          <w:rFonts w:cs="Arial"/>
          <w:szCs w:val="24"/>
        </w:rPr>
        <w:footnoteReference w:id="22"/>
      </w:r>
      <w:r w:rsidR="006B101D">
        <w:rPr>
          <w:rFonts w:cs="Arial"/>
          <w:szCs w:val="24"/>
        </w:rPr>
        <w:t xml:space="preserve"> </w:t>
      </w:r>
      <w:r w:rsidR="005D7111">
        <w:rPr>
          <w:rFonts w:cs="Arial"/>
          <w:szCs w:val="24"/>
        </w:rPr>
        <w:t xml:space="preserve">The deed of transfer is not in the name of the fourteenth respondent, endorsed </w:t>
      </w:r>
      <w:r w:rsidR="0065500D">
        <w:rPr>
          <w:rFonts w:cs="Arial"/>
          <w:szCs w:val="24"/>
        </w:rPr>
        <w:t xml:space="preserve"> as sold to the sixteenth respondent, subject to periodic payment. </w:t>
      </w:r>
      <w:r w:rsidR="006B101D">
        <w:rPr>
          <w:rFonts w:cs="Arial"/>
          <w:szCs w:val="24"/>
        </w:rPr>
        <w:t xml:space="preserve">It is only </w:t>
      </w:r>
      <w:r w:rsidR="00604E6D">
        <w:rPr>
          <w:rFonts w:cs="Arial"/>
          <w:szCs w:val="24"/>
        </w:rPr>
        <w:t xml:space="preserve"> when the </w:t>
      </w:r>
      <w:r w:rsidR="00925291">
        <w:rPr>
          <w:rFonts w:cs="Arial"/>
          <w:szCs w:val="24"/>
        </w:rPr>
        <w:t>period</w:t>
      </w:r>
      <w:r w:rsidR="00604E6D">
        <w:rPr>
          <w:rFonts w:cs="Arial"/>
          <w:szCs w:val="24"/>
        </w:rPr>
        <w:t>ic</w:t>
      </w:r>
      <w:r w:rsidR="00925291">
        <w:rPr>
          <w:rFonts w:cs="Arial"/>
          <w:szCs w:val="24"/>
        </w:rPr>
        <w:t xml:space="preserve"> payment </w:t>
      </w:r>
      <w:r w:rsidR="006B101D">
        <w:rPr>
          <w:rFonts w:cs="Arial"/>
          <w:szCs w:val="24"/>
        </w:rPr>
        <w:t>sale agreement</w:t>
      </w:r>
      <w:r w:rsidR="00B878DD">
        <w:rPr>
          <w:rFonts w:cs="Arial"/>
          <w:szCs w:val="24"/>
        </w:rPr>
        <w:t xml:space="preserve">, </w:t>
      </w:r>
      <w:r w:rsidR="00604E6D">
        <w:rPr>
          <w:rFonts w:cs="Arial"/>
          <w:szCs w:val="24"/>
        </w:rPr>
        <w:t xml:space="preserve">is recorded at the </w:t>
      </w:r>
      <w:r w:rsidR="00EF114A">
        <w:rPr>
          <w:rFonts w:cs="Arial"/>
          <w:szCs w:val="24"/>
        </w:rPr>
        <w:t>Deed’s</w:t>
      </w:r>
      <w:r w:rsidR="00604E6D">
        <w:rPr>
          <w:rFonts w:cs="Arial"/>
          <w:szCs w:val="24"/>
        </w:rPr>
        <w:t xml:space="preserve"> </w:t>
      </w:r>
      <w:r w:rsidR="00EF114A">
        <w:rPr>
          <w:rFonts w:cs="Arial"/>
          <w:szCs w:val="24"/>
        </w:rPr>
        <w:t>O</w:t>
      </w:r>
      <w:r w:rsidR="00604E6D">
        <w:rPr>
          <w:rFonts w:cs="Arial"/>
          <w:szCs w:val="24"/>
        </w:rPr>
        <w:t xml:space="preserve">ffice, </w:t>
      </w:r>
      <w:r w:rsidR="00B878DD">
        <w:rPr>
          <w:rFonts w:cs="Arial"/>
          <w:szCs w:val="24"/>
        </w:rPr>
        <w:t xml:space="preserve">that </w:t>
      </w:r>
      <w:r w:rsidR="00604E6D">
        <w:rPr>
          <w:rFonts w:cs="Arial"/>
          <w:szCs w:val="24"/>
        </w:rPr>
        <w:t>t</w:t>
      </w:r>
      <w:r w:rsidR="00621CAF">
        <w:rPr>
          <w:rFonts w:cs="Arial"/>
          <w:szCs w:val="24"/>
        </w:rPr>
        <w:t xml:space="preserve">he </w:t>
      </w:r>
      <w:r w:rsidR="00604E6D">
        <w:rPr>
          <w:rFonts w:cs="Arial"/>
          <w:szCs w:val="24"/>
        </w:rPr>
        <w:t xml:space="preserve">periodic </w:t>
      </w:r>
      <w:r w:rsidR="00621CAF">
        <w:rPr>
          <w:rFonts w:cs="Arial"/>
          <w:szCs w:val="24"/>
        </w:rPr>
        <w:t xml:space="preserve">payments </w:t>
      </w:r>
      <w:r w:rsidR="00604E6D">
        <w:rPr>
          <w:rFonts w:cs="Arial"/>
          <w:szCs w:val="24"/>
        </w:rPr>
        <w:t xml:space="preserve">become </w:t>
      </w:r>
      <w:r w:rsidR="00621CAF">
        <w:rPr>
          <w:rFonts w:cs="Arial"/>
          <w:szCs w:val="24"/>
        </w:rPr>
        <w:t>due and payable.</w:t>
      </w:r>
      <w:r w:rsidR="00621CAF">
        <w:rPr>
          <w:rStyle w:val="FootnoteReference"/>
          <w:rFonts w:cs="Arial"/>
          <w:szCs w:val="24"/>
        </w:rPr>
        <w:footnoteReference w:id="23"/>
      </w:r>
    </w:p>
    <w:p w14:paraId="31058EBF" w14:textId="17E1F379" w:rsidR="00BF4BBF" w:rsidRDefault="00BF4BBF" w:rsidP="00EB52AD">
      <w:pPr>
        <w:pStyle w:val="ListParagraph"/>
        <w:numPr>
          <w:ilvl w:val="0"/>
          <w:numId w:val="6"/>
        </w:numPr>
        <w:spacing w:before="480" w:after="0" w:line="480" w:lineRule="auto"/>
        <w:contextualSpacing w:val="0"/>
        <w:rPr>
          <w:rFonts w:cs="Arial"/>
          <w:szCs w:val="24"/>
        </w:rPr>
      </w:pPr>
      <w:r>
        <w:rPr>
          <w:rFonts w:cs="Arial"/>
          <w:szCs w:val="24"/>
        </w:rPr>
        <w:t xml:space="preserve">Irrespective of the modalities that the sixteenth respondent utilised to settle its indebtedness to the fourteenth respondent, if any, these are </w:t>
      </w:r>
      <w:r w:rsidR="00E80911">
        <w:rPr>
          <w:rFonts w:cs="Arial"/>
          <w:szCs w:val="24"/>
        </w:rPr>
        <w:t xml:space="preserve">inconsequential </w:t>
      </w:r>
      <w:r>
        <w:rPr>
          <w:rFonts w:cs="Arial"/>
          <w:szCs w:val="24"/>
        </w:rPr>
        <w:t>to the issue</w:t>
      </w:r>
      <w:r w:rsidR="00E80911">
        <w:rPr>
          <w:rFonts w:cs="Arial"/>
          <w:szCs w:val="24"/>
        </w:rPr>
        <w:t>s in dispute</w:t>
      </w:r>
      <w:r>
        <w:rPr>
          <w:rFonts w:cs="Arial"/>
          <w:szCs w:val="24"/>
        </w:rPr>
        <w:t xml:space="preserve">. The fourteenth respondent is not a defendant. </w:t>
      </w:r>
      <w:r w:rsidR="003805A5">
        <w:rPr>
          <w:rFonts w:cs="Arial"/>
          <w:szCs w:val="24"/>
        </w:rPr>
        <w:t>The “</w:t>
      </w:r>
      <w:r w:rsidR="003805A5">
        <w:rPr>
          <w:rFonts w:cs="Arial"/>
          <w:i/>
          <w:szCs w:val="24"/>
        </w:rPr>
        <w:t>sale</w:t>
      </w:r>
      <w:r w:rsidR="003805A5">
        <w:rPr>
          <w:rFonts w:cs="Arial"/>
          <w:szCs w:val="24"/>
        </w:rPr>
        <w:t>” by the fourteenth respondent to the sixteenth respondent,</w:t>
      </w:r>
      <w:r w:rsidR="003805A5" w:rsidRPr="003805A5">
        <w:rPr>
          <w:rFonts w:cs="Arial"/>
          <w:szCs w:val="24"/>
        </w:rPr>
        <w:t xml:space="preserve"> </w:t>
      </w:r>
      <w:r w:rsidR="003805A5">
        <w:rPr>
          <w:rFonts w:cs="Arial"/>
          <w:szCs w:val="24"/>
        </w:rPr>
        <w:t xml:space="preserve">does not constitute an </w:t>
      </w:r>
      <w:r w:rsidR="003805A5" w:rsidRPr="002553EB">
        <w:rPr>
          <w:rFonts w:cs="Arial"/>
          <w:i/>
          <w:iCs/>
          <w:szCs w:val="24"/>
        </w:rPr>
        <w:t>affected gift</w:t>
      </w:r>
      <w:r w:rsidR="003805A5">
        <w:rPr>
          <w:rFonts w:cs="Arial"/>
          <w:szCs w:val="24"/>
        </w:rPr>
        <w:t>. The</w:t>
      </w:r>
      <w:r w:rsidR="008306B7" w:rsidRPr="008306B7">
        <w:rPr>
          <w:rFonts w:cs="Arial"/>
          <w:szCs w:val="24"/>
        </w:rPr>
        <w:t xml:space="preserve"> </w:t>
      </w:r>
      <w:r w:rsidR="008306B7">
        <w:rPr>
          <w:rFonts w:cs="Arial"/>
          <w:szCs w:val="24"/>
        </w:rPr>
        <w:t xml:space="preserve"> sixteenth respondent’s</w:t>
      </w:r>
      <w:r w:rsidR="003805A5">
        <w:rPr>
          <w:rFonts w:cs="Arial"/>
          <w:szCs w:val="24"/>
        </w:rPr>
        <w:t xml:space="preserve"> immovable property</w:t>
      </w:r>
      <w:r w:rsidR="008306B7">
        <w:rPr>
          <w:rFonts w:cs="Arial"/>
          <w:szCs w:val="24"/>
        </w:rPr>
        <w:t>,</w:t>
      </w:r>
      <w:r w:rsidR="003805A5">
        <w:rPr>
          <w:rFonts w:cs="Arial"/>
          <w:szCs w:val="24"/>
        </w:rPr>
        <w:t xml:space="preserve"> </w:t>
      </w:r>
      <w:r w:rsidR="00D02902">
        <w:rPr>
          <w:rFonts w:cs="Arial"/>
          <w:szCs w:val="24"/>
        </w:rPr>
        <w:t xml:space="preserve">Erf 22707 Kariega, is </w:t>
      </w:r>
      <w:r w:rsidR="003805A5">
        <w:rPr>
          <w:rFonts w:cs="Arial"/>
          <w:szCs w:val="24"/>
        </w:rPr>
        <w:t>no</w:t>
      </w:r>
      <w:r w:rsidR="00D02902">
        <w:rPr>
          <w:rFonts w:cs="Arial"/>
          <w:szCs w:val="24"/>
        </w:rPr>
        <w:t>t</w:t>
      </w:r>
      <w:r w:rsidR="003805A5">
        <w:rPr>
          <w:rFonts w:cs="Arial"/>
          <w:szCs w:val="24"/>
        </w:rPr>
        <w:t xml:space="preserve"> </w:t>
      </w:r>
      <w:r w:rsidR="003805A5" w:rsidRPr="002553EB">
        <w:rPr>
          <w:rFonts w:cs="Arial"/>
          <w:i/>
          <w:iCs/>
          <w:szCs w:val="24"/>
        </w:rPr>
        <w:t>realisable property</w:t>
      </w:r>
      <w:r w:rsidR="003805A5">
        <w:rPr>
          <w:rFonts w:cs="Arial"/>
          <w:szCs w:val="24"/>
        </w:rPr>
        <w:t xml:space="preserve">. </w:t>
      </w:r>
    </w:p>
    <w:p w14:paraId="31EA4C2A" w14:textId="38A89A4C" w:rsidR="0049256A" w:rsidRPr="000E78A4" w:rsidRDefault="00BE0F4C" w:rsidP="00C5272A">
      <w:pPr>
        <w:pStyle w:val="ListParagraph"/>
        <w:numPr>
          <w:ilvl w:val="0"/>
          <w:numId w:val="6"/>
        </w:numPr>
        <w:spacing w:before="480" w:after="0" w:line="480" w:lineRule="auto"/>
        <w:contextualSpacing w:val="0"/>
        <w:rPr>
          <w:rFonts w:cs="Arial"/>
          <w:szCs w:val="24"/>
        </w:rPr>
      </w:pPr>
      <w:r w:rsidRPr="000E78A4">
        <w:rPr>
          <w:rFonts w:cs="Arial"/>
          <w:szCs w:val="24"/>
        </w:rPr>
        <w:t xml:space="preserve">The fourteenth respondent donated R100 000.00 to the sixteenth respondent in </w:t>
      </w:r>
      <w:r w:rsidR="00BE5AC4" w:rsidRPr="000E78A4">
        <w:rPr>
          <w:rFonts w:cs="Arial"/>
          <w:szCs w:val="24"/>
        </w:rPr>
        <w:t xml:space="preserve">each of </w:t>
      </w:r>
      <w:r w:rsidRPr="000E78A4">
        <w:rPr>
          <w:rFonts w:cs="Arial"/>
          <w:szCs w:val="24"/>
        </w:rPr>
        <w:t>the 2021 and 2022 financial years.</w:t>
      </w:r>
      <w:r w:rsidR="008306B7" w:rsidRPr="000E78A4">
        <w:rPr>
          <w:rFonts w:cs="Arial"/>
          <w:szCs w:val="24"/>
        </w:rPr>
        <w:t xml:space="preserve"> As the fourteenth respondent is not a defendant, </w:t>
      </w:r>
      <w:r w:rsidR="00BF4BBF" w:rsidRPr="000E78A4">
        <w:rPr>
          <w:rFonts w:cs="Arial"/>
          <w:szCs w:val="24"/>
        </w:rPr>
        <w:t xml:space="preserve">and the donations made by the fourteenth respondent to the </w:t>
      </w:r>
      <w:r w:rsidR="00BF4BBF" w:rsidRPr="000E78A4">
        <w:rPr>
          <w:rFonts w:cs="Arial"/>
          <w:szCs w:val="24"/>
        </w:rPr>
        <w:lastRenderedPageBreak/>
        <w:t xml:space="preserve">sixteenth respondent </w:t>
      </w:r>
      <w:bookmarkStart w:id="12" w:name="_Hlk142067629"/>
      <w:r w:rsidR="00BF4BBF" w:rsidRPr="000E78A4">
        <w:rPr>
          <w:rFonts w:cs="Arial"/>
          <w:szCs w:val="24"/>
        </w:rPr>
        <w:t xml:space="preserve">do not constitute </w:t>
      </w:r>
      <w:r w:rsidR="00BF4BBF" w:rsidRPr="002553EB">
        <w:rPr>
          <w:rFonts w:cs="Arial"/>
          <w:i/>
          <w:iCs/>
          <w:szCs w:val="24"/>
        </w:rPr>
        <w:t>affected gifts</w:t>
      </w:r>
      <w:r w:rsidR="00354EF8">
        <w:rPr>
          <w:rFonts w:cs="Arial"/>
          <w:szCs w:val="24"/>
        </w:rPr>
        <w:t>, t</w:t>
      </w:r>
      <w:r w:rsidR="000E78A4">
        <w:rPr>
          <w:rFonts w:cs="Arial"/>
          <w:szCs w:val="24"/>
        </w:rPr>
        <w:t xml:space="preserve">he donations the sixteenth respondent received are </w:t>
      </w:r>
      <w:r w:rsidR="00BF4BBF" w:rsidRPr="000E78A4">
        <w:rPr>
          <w:rFonts w:cs="Arial"/>
          <w:szCs w:val="24"/>
        </w:rPr>
        <w:t>no</w:t>
      </w:r>
      <w:r w:rsidR="000E38C3">
        <w:rPr>
          <w:rFonts w:cs="Arial"/>
          <w:szCs w:val="24"/>
        </w:rPr>
        <w:t>t</w:t>
      </w:r>
      <w:r w:rsidR="00BF4BBF" w:rsidRPr="000E78A4">
        <w:rPr>
          <w:rFonts w:cs="Arial"/>
          <w:szCs w:val="24"/>
        </w:rPr>
        <w:t xml:space="preserve"> </w:t>
      </w:r>
      <w:r w:rsidR="00BF4BBF" w:rsidRPr="002553EB">
        <w:rPr>
          <w:rFonts w:cs="Arial"/>
          <w:i/>
          <w:iCs/>
          <w:szCs w:val="24"/>
        </w:rPr>
        <w:t>realisable property</w:t>
      </w:r>
      <w:r w:rsidR="00BF4BBF" w:rsidRPr="000E78A4">
        <w:rPr>
          <w:rFonts w:cs="Arial"/>
          <w:szCs w:val="24"/>
        </w:rPr>
        <w:t xml:space="preserve">. </w:t>
      </w:r>
      <w:bookmarkEnd w:id="12"/>
    </w:p>
    <w:p w14:paraId="6ACE10A2" w14:textId="675FB26E" w:rsidR="00BF4BBF" w:rsidRPr="002553EB" w:rsidRDefault="000E38C3" w:rsidP="00EB52AD">
      <w:pPr>
        <w:pStyle w:val="ListParagraph"/>
        <w:numPr>
          <w:ilvl w:val="0"/>
          <w:numId w:val="6"/>
        </w:numPr>
        <w:spacing w:before="480" w:after="0" w:line="480" w:lineRule="auto"/>
        <w:contextualSpacing w:val="0"/>
        <w:rPr>
          <w:rFonts w:cs="Arial"/>
          <w:szCs w:val="24"/>
        </w:rPr>
      </w:pPr>
      <w:r w:rsidRPr="002553EB">
        <w:rPr>
          <w:rFonts w:cs="Arial"/>
          <w:szCs w:val="24"/>
        </w:rPr>
        <w:t>The NDPP has failed</w:t>
      </w:r>
      <w:r w:rsidR="00447350" w:rsidRPr="002553EB">
        <w:rPr>
          <w:rFonts w:cs="Arial"/>
          <w:szCs w:val="24"/>
        </w:rPr>
        <w:t xml:space="preserve"> </w:t>
      </w:r>
      <w:r w:rsidRPr="002553EB">
        <w:rPr>
          <w:rFonts w:cs="Arial"/>
          <w:szCs w:val="24"/>
        </w:rPr>
        <w:t>to</w:t>
      </w:r>
      <w:r w:rsidR="00447350" w:rsidRPr="002553EB">
        <w:rPr>
          <w:rFonts w:cs="Arial"/>
          <w:szCs w:val="24"/>
        </w:rPr>
        <w:t xml:space="preserve"> prove on a balance of probabilities that the sixteenth respondent </w:t>
      </w:r>
      <w:r w:rsidR="00CA3427" w:rsidRPr="002553EB">
        <w:rPr>
          <w:rFonts w:cs="Arial"/>
          <w:szCs w:val="24"/>
        </w:rPr>
        <w:t xml:space="preserve"> holds realisable assets. </w:t>
      </w:r>
      <w:r w:rsidR="00BF4BBF" w:rsidRPr="002553EB">
        <w:rPr>
          <w:rFonts w:cs="Arial"/>
          <w:szCs w:val="24"/>
        </w:rPr>
        <w:t xml:space="preserve">There are no facts before me to confirm the </w:t>
      </w:r>
      <w:r w:rsidR="00B01D41">
        <w:rPr>
          <w:rFonts w:cs="Arial"/>
          <w:szCs w:val="24"/>
        </w:rPr>
        <w:t xml:space="preserve">provisional restraint </w:t>
      </w:r>
      <w:r w:rsidR="00BF4BBF" w:rsidRPr="002553EB">
        <w:rPr>
          <w:rFonts w:cs="Arial"/>
          <w:szCs w:val="24"/>
        </w:rPr>
        <w:t xml:space="preserve">order in respect of the </w:t>
      </w:r>
      <w:r w:rsidR="00B01D41">
        <w:rPr>
          <w:rFonts w:cs="Arial"/>
          <w:szCs w:val="24"/>
        </w:rPr>
        <w:t xml:space="preserve"> property of the </w:t>
      </w:r>
      <w:r w:rsidR="00BF4BBF" w:rsidRPr="002553EB">
        <w:rPr>
          <w:rFonts w:cs="Arial"/>
          <w:szCs w:val="24"/>
        </w:rPr>
        <w:t>sixteenth respondent.</w:t>
      </w:r>
    </w:p>
    <w:p w14:paraId="6B722209" w14:textId="342BB447" w:rsidR="00EB52AD" w:rsidRPr="00EB52AD" w:rsidRDefault="00EB52AD" w:rsidP="00EB52AD">
      <w:pPr>
        <w:keepNext/>
        <w:spacing w:before="480" w:after="0" w:line="480" w:lineRule="auto"/>
        <w:rPr>
          <w:rFonts w:cs="Arial"/>
          <w:b/>
          <w:szCs w:val="24"/>
        </w:rPr>
      </w:pPr>
      <w:r>
        <w:rPr>
          <w:rFonts w:cs="Arial"/>
          <w:b/>
          <w:szCs w:val="24"/>
        </w:rPr>
        <w:t>THE EIGHTEENTH RESPONDENT</w:t>
      </w:r>
    </w:p>
    <w:p w14:paraId="11307FA6" w14:textId="644619F2" w:rsidR="00CA3427" w:rsidRDefault="00EB52AD" w:rsidP="00EB52AD">
      <w:pPr>
        <w:pStyle w:val="ListParagraph"/>
        <w:numPr>
          <w:ilvl w:val="0"/>
          <w:numId w:val="6"/>
        </w:numPr>
        <w:spacing w:before="480" w:after="0" w:line="480" w:lineRule="auto"/>
        <w:contextualSpacing w:val="0"/>
        <w:rPr>
          <w:rFonts w:cs="Arial"/>
          <w:szCs w:val="24"/>
        </w:rPr>
      </w:pPr>
      <w:r w:rsidRPr="00D15E9C">
        <w:rPr>
          <w:rFonts w:cs="Arial"/>
          <w:szCs w:val="24"/>
        </w:rPr>
        <w:t xml:space="preserve">The fourteenth respondent was a director of the eighteenth respondent from 2007 until 15 August 2022, shortly after the granting of the </w:t>
      </w:r>
      <w:r w:rsidR="00805776" w:rsidRPr="00805776">
        <w:rPr>
          <w:rFonts w:cs="Arial"/>
          <w:szCs w:val="24"/>
        </w:rPr>
        <w:t>provisional restraint order</w:t>
      </w:r>
      <w:r w:rsidRPr="00805776">
        <w:rPr>
          <w:rFonts w:cs="Arial"/>
          <w:szCs w:val="24"/>
        </w:rPr>
        <w:t>.</w:t>
      </w:r>
      <w:r w:rsidR="00727913">
        <w:rPr>
          <w:rFonts w:cs="Arial"/>
          <w:szCs w:val="24"/>
        </w:rPr>
        <w:t xml:space="preserve"> The fourteenth respondent was not a shareholder of the eighteenth respondent.</w:t>
      </w:r>
    </w:p>
    <w:p w14:paraId="19A745FF" w14:textId="53E7A526" w:rsidR="00EB52AD" w:rsidRDefault="00EB52AD" w:rsidP="00EB52AD">
      <w:pPr>
        <w:pStyle w:val="ListParagraph"/>
        <w:numPr>
          <w:ilvl w:val="0"/>
          <w:numId w:val="6"/>
        </w:numPr>
        <w:spacing w:before="480" w:after="0" w:line="480" w:lineRule="auto"/>
        <w:contextualSpacing w:val="0"/>
        <w:rPr>
          <w:rFonts w:cs="Arial"/>
          <w:szCs w:val="24"/>
        </w:rPr>
      </w:pPr>
      <w:r w:rsidRPr="00D15E9C">
        <w:rPr>
          <w:rFonts w:cs="Arial"/>
          <w:szCs w:val="24"/>
        </w:rPr>
        <w:t>Novara Investment Trust is the eighteenth respondent’s sole shareholder. In the answering affidavit filed by Gerhardus Muller, a director of the eighteenth respondent and a trustee and beneficiary of the Novara Investment Trust, Muller contends that the Novara Investment Trust acquired the shareholding in the eighteenth respondent on 25 October 2013.</w:t>
      </w:r>
      <w:r>
        <w:rPr>
          <w:rStyle w:val="FootnoteReference"/>
          <w:rFonts w:cs="Arial"/>
          <w:szCs w:val="24"/>
        </w:rPr>
        <w:footnoteReference w:id="24"/>
      </w:r>
      <w:r w:rsidRPr="00D15E9C">
        <w:rPr>
          <w:rFonts w:cs="Arial"/>
          <w:szCs w:val="24"/>
        </w:rPr>
        <w:t xml:space="preserve">  However,</w:t>
      </w:r>
      <w:r w:rsidR="00CB7676">
        <w:rPr>
          <w:rFonts w:cs="Arial"/>
          <w:szCs w:val="24"/>
        </w:rPr>
        <w:t xml:space="preserve"> this contention is contrary to both </w:t>
      </w:r>
      <w:r w:rsidRPr="00D15E9C">
        <w:rPr>
          <w:rFonts w:cs="Arial"/>
          <w:szCs w:val="24"/>
        </w:rPr>
        <w:t xml:space="preserve">the letters of authority </w:t>
      </w:r>
      <w:r w:rsidR="00F83ACE">
        <w:rPr>
          <w:rFonts w:cs="Arial"/>
          <w:szCs w:val="24"/>
        </w:rPr>
        <w:t>appointing the trustees</w:t>
      </w:r>
      <w:r w:rsidR="00EA18E8">
        <w:rPr>
          <w:rFonts w:cs="Arial"/>
          <w:szCs w:val="24"/>
        </w:rPr>
        <w:t xml:space="preserve"> of the Novara Investment </w:t>
      </w:r>
      <w:r w:rsidR="0042093D">
        <w:rPr>
          <w:rFonts w:cs="Arial"/>
          <w:szCs w:val="24"/>
        </w:rPr>
        <w:t>Trust</w:t>
      </w:r>
      <w:r w:rsidR="008C7AA8">
        <w:rPr>
          <w:rFonts w:cs="Arial"/>
          <w:szCs w:val="24"/>
        </w:rPr>
        <w:t xml:space="preserve"> and the Deed of Trust.</w:t>
      </w:r>
      <w:r w:rsidR="005C2BB1">
        <w:rPr>
          <w:rStyle w:val="FootnoteReference"/>
          <w:rFonts w:cs="Arial"/>
          <w:szCs w:val="24"/>
        </w:rPr>
        <w:footnoteReference w:id="25"/>
      </w:r>
      <w:r w:rsidR="008C7AA8">
        <w:rPr>
          <w:rFonts w:cs="Arial"/>
          <w:szCs w:val="24"/>
        </w:rPr>
        <w:t xml:space="preserve">  The</w:t>
      </w:r>
      <w:r w:rsidR="0033786C">
        <w:rPr>
          <w:rFonts w:cs="Arial"/>
          <w:szCs w:val="24"/>
        </w:rPr>
        <w:t xml:space="preserve"> letters of authority </w:t>
      </w:r>
      <w:r w:rsidRPr="00D15E9C">
        <w:rPr>
          <w:rFonts w:cs="Arial"/>
          <w:szCs w:val="24"/>
        </w:rPr>
        <w:t xml:space="preserve">were only </w:t>
      </w:r>
      <w:r w:rsidRPr="00D15E9C">
        <w:rPr>
          <w:rFonts w:cs="Arial"/>
          <w:szCs w:val="24"/>
        </w:rPr>
        <w:lastRenderedPageBreak/>
        <w:t>issued by the Master on 24 July 2019</w:t>
      </w:r>
      <w:r>
        <w:rPr>
          <w:rStyle w:val="FootnoteReference"/>
          <w:rFonts w:cs="Arial"/>
          <w:szCs w:val="24"/>
        </w:rPr>
        <w:footnoteReference w:id="26"/>
      </w:r>
      <w:r w:rsidRPr="00D15E9C">
        <w:rPr>
          <w:rFonts w:cs="Arial"/>
          <w:szCs w:val="24"/>
        </w:rPr>
        <w:t xml:space="preserve"> and the Deed of Trust concluded in August 2019. There is no explanation in the papers </w:t>
      </w:r>
      <w:r w:rsidR="00963048">
        <w:rPr>
          <w:rFonts w:cs="Arial"/>
          <w:szCs w:val="24"/>
        </w:rPr>
        <w:t xml:space="preserve">for </w:t>
      </w:r>
      <w:r w:rsidRPr="00D15E9C">
        <w:rPr>
          <w:rFonts w:cs="Arial"/>
          <w:szCs w:val="24"/>
        </w:rPr>
        <w:t>this discrepancy.</w:t>
      </w:r>
    </w:p>
    <w:p w14:paraId="37560894" w14:textId="1CFE9B7E" w:rsidR="00AA454C" w:rsidRDefault="00EB52AD" w:rsidP="00EB52AD">
      <w:pPr>
        <w:pStyle w:val="ListParagraph"/>
        <w:numPr>
          <w:ilvl w:val="0"/>
          <w:numId w:val="6"/>
        </w:numPr>
        <w:spacing w:before="480" w:after="0" w:line="480" w:lineRule="auto"/>
        <w:contextualSpacing w:val="0"/>
        <w:rPr>
          <w:rFonts w:cs="Arial"/>
          <w:szCs w:val="24"/>
        </w:rPr>
      </w:pPr>
      <w:r w:rsidRPr="00D15E9C">
        <w:rPr>
          <w:rFonts w:cs="Arial"/>
          <w:szCs w:val="24"/>
        </w:rPr>
        <w:t>Notwithstanding the discrepancies in the response provided by the eighteenth respondent,</w:t>
      </w:r>
      <w:r w:rsidR="007A6CE8">
        <w:rPr>
          <w:rFonts w:cs="Arial"/>
          <w:szCs w:val="24"/>
        </w:rPr>
        <w:t xml:space="preserve"> the NDPP has failed to show on a balance of probabilities </w:t>
      </w:r>
      <w:r w:rsidRPr="00D15E9C">
        <w:rPr>
          <w:rFonts w:cs="Arial"/>
          <w:szCs w:val="24"/>
        </w:rPr>
        <w:t xml:space="preserve">that the eighteenth respondent received an </w:t>
      </w:r>
      <w:r w:rsidR="00CA0DDE">
        <w:rPr>
          <w:rFonts w:cs="Arial"/>
          <w:i/>
          <w:iCs/>
          <w:szCs w:val="24"/>
        </w:rPr>
        <w:t xml:space="preserve"> affected gift</w:t>
      </w:r>
      <w:r w:rsidR="001E6B3A">
        <w:rPr>
          <w:rFonts w:cs="Arial"/>
          <w:i/>
          <w:iCs/>
          <w:szCs w:val="24"/>
        </w:rPr>
        <w:t xml:space="preserve"> </w:t>
      </w:r>
      <w:r w:rsidRPr="00D15E9C">
        <w:rPr>
          <w:rFonts w:cs="Arial"/>
          <w:szCs w:val="24"/>
        </w:rPr>
        <w:t xml:space="preserve"> from any of the defendants.</w:t>
      </w:r>
      <w:r w:rsidR="001E6B3A">
        <w:rPr>
          <w:rFonts w:cs="Arial"/>
          <w:szCs w:val="24"/>
        </w:rPr>
        <w:t xml:space="preserve"> holds </w:t>
      </w:r>
      <w:r w:rsidR="001E6B3A" w:rsidRPr="001E6B3A">
        <w:rPr>
          <w:rFonts w:cs="Arial"/>
          <w:i/>
          <w:iCs/>
          <w:szCs w:val="24"/>
        </w:rPr>
        <w:t>realisable property</w:t>
      </w:r>
      <w:r w:rsidR="001E6B3A">
        <w:rPr>
          <w:rFonts w:cs="Arial"/>
          <w:i/>
          <w:iCs/>
          <w:szCs w:val="24"/>
        </w:rPr>
        <w:t>.</w:t>
      </w:r>
    </w:p>
    <w:p w14:paraId="03E4718D" w14:textId="19E420E5" w:rsidR="00AA454C" w:rsidRDefault="00EB52AD" w:rsidP="00AA454C">
      <w:pPr>
        <w:pStyle w:val="ListParagraph"/>
        <w:numPr>
          <w:ilvl w:val="0"/>
          <w:numId w:val="6"/>
        </w:numPr>
        <w:spacing w:before="480" w:after="0" w:line="480" w:lineRule="auto"/>
        <w:contextualSpacing w:val="0"/>
        <w:rPr>
          <w:rFonts w:cs="Arial"/>
          <w:szCs w:val="24"/>
        </w:rPr>
      </w:pPr>
      <w:r w:rsidRPr="00AA454C">
        <w:rPr>
          <w:rFonts w:cs="Arial"/>
          <w:szCs w:val="24"/>
        </w:rPr>
        <w:t>The eighteen respondent is not itself a defendant.</w:t>
      </w:r>
      <w:r w:rsidR="00AA454C" w:rsidRPr="00AA454C">
        <w:rPr>
          <w:rFonts w:cs="Arial"/>
          <w:szCs w:val="24"/>
        </w:rPr>
        <w:t xml:space="preserve"> </w:t>
      </w:r>
      <w:r w:rsidR="00AA454C">
        <w:rPr>
          <w:rFonts w:cs="Arial"/>
          <w:szCs w:val="24"/>
        </w:rPr>
        <w:t>The NDPP  advances no reasons in reply for the confirmation of the</w:t>
      </w:r>
      <w:r w:rsidR="00CA0DDE">
        <w:rPr>
          <w:rFonts w:cs="Arial"/>
          <w:szCs w:val="24"/>
        </w:rPr>
        <w:t xml:space="preserve"> provisional restraint order</w:t>
      </w:r>
      <w:r w:rsidR="00AA454C">
        <w:rPr>
          <w:rFonts w:cs="Arial"/>
          <w:szCs w:val="24"/>
        </w:rPr>
        <w:t>.</w:t>
      </w:r>
    </w:p>
    <w:p w14:paraId="2CE46EA5" w14:textId="6E9FE1C6" w:rsidR="00AA454C" w:rsidRPr="00AA454C" w:rsidRDefault="00EB52AD" w:rsidP="00A228F3">
      <w:pPr>
        <w:pStyle w:val="ListParagraph"/>
        <w:keepNext/>
        <w:numPr>
          <w:ilvl w:val="0"/>
          <w:numId w:val="6"/>
        </w:numPr>
        <w:spacing w:before="480" w:after="0" w:line="480" w:lineRule="auto"/>
        <w:contextualSpacing w:val="0"/>
        <w:rPr>
          <w:rFonts w:cs="Arial"/>
          <w:b/>
          <w:szCs w:val="24"/>
        </w:rPr>
      </w:pPr>
      <w:r w:rsidRPr="00AA454C">
        <w:rPr>
          <w:rFonts w:cs="Arial"/>
          <w:szCs w:val="24"/>
        </w:rPr>
        <w:t xml:space="preserve"> Consequently, there is no </w:t>
      </w:r>
      <w:r w:rsidR="00E02C91">
        <w:rPr>
          <w:rFonts w:cs="Arial"/>
          <w:szCs w:val="24"/>
        </w:rPr>
        <w:t>justification</w:t>
      </w:r>
      <w:r w:rsidR="008F42FA">
        <w:rPr>
          <w:rFonts w:cs="Arial"/>
          <w:szCs w:val="24"/>
        </w:rPr>
        <w:t xml:space="preserve"> </w:t>
      </w:r>
      <w:r w:rsidR="0059444D">
        <w:rPr>
          <w:rFonts w:cs="Arial"/>
          <w:szCs w:val="24"/>
        </w:rPr>
        <w:t xml:space="preserve">on the facts before me </w:t>
      </w:r>
      <w:r w:rsidRPr="00AA454C">
        <w:rPr>
          <w:rFonts w:cs="Arial"/>
          <w:szCs w:val="24"/>
        </w:rPr>
        <w:t xml:space="preserve">for the confirmation of the </w:t>
      </w:r>
      <w:r w:rsidR="0038478D" w:rsidRPr="00AA454C">
        <w:rPr>
          <w:rFonts w:cs="Arial"/>
          <w:szCs w:val="24"/>
        </w:rPr>
        <w:t>restraint</w:t>
      </w:r>
      <w:r w:rsidRPr="00AA454C">
        <w:rPr>
          <w:rFonts w:cs="Arial"/>
          <w:szCs w:val="24"/>
        </w:rPr>
        <w:t xml:space="preserve"> order as against the eighteenth respondent.</w:t>
      </w:r>
    </w:p>
    <w:p w14:paraId="51D00EE8" w14:textId="4BF5B9C4" w:rsidR="00BF4BBF" w:rsidRPr="00AA454C" w:rsidRDefault="00BF4BBF" w:rsidP="00AA454C">
      <w:pPr>
        <w:keepNext/>
        <w:spacing w:before="480" w:after="0" w:line="480" w:lineRule="auto"/>
        <w:rPr>
          <w:rFonts w:cs="Arial"/>
          <w:b/>
          <w:szCs w:val="24"/>
        </w:rPr>
      </w:pPr>
      <w:r w:rsidRPr="00AA454C">
        <w:rPr>
          <w:rFonts w:cs="Arial"/>
          <w:b/>
          <w:szCs w:val="24"/>
        </w:rPr>
        <w:t>THE NINETEENTH RESPONDENT</w:t>
      </w:r>
    </w:p>
    <w:p w14:paraId="5CA8C544" w14:textId="60499D0D" w:rsidR="00580FB8" w:rsidRDefault="00C9477C" w:rsidP="00B01F1D">
      <w:pPr>
        <w:pStyle w:val="ListParagraph"/>
        <w:numPr>
          <w:ilvl w:val="0"/>
          <w:numId w:val="6"/>
        </w:numPr>
        <w:spacing w:before="480" w:after="0" w:line="480" w:lineRule="auto"/>
        <w:contextualSpacing w:val="0"/>
        <w:rPr>
          <w:rFonts w:cs="Arial"/>
          <w:szCs w:val="24"/>
        </w:rPr>
      </w:pPr>
      <w:r>
        <w:rPr>
          <w:rFonts w:cs="Arial"/>
          <w:szCs w:val="24"/>
        </w:rPr>
        <w:t xml:space="preserve">Thangana le Roux </w:t>
      </w:r>
      <w:r w:rsidR="00533638">
        <w:rPr>
          <w:rFonts w:cs="Arial"/>
          <w:szCs w:val="24"/>
        </w:rPr>
        <w:t>Inc</w:t>
      </w:r>
      <w:r>
        <w:rPr>
          <w:rFonts w:cs="Arial"/>
          <w:szCs w:val="24"/>
        </w:rPr>
        <w:t>, the nineteenth respondent, is a law firm</w:t>
      </w:r>
      <w:r w:rsidR="005D526C">
        <w:rPr>
          <w:rFonts w:cs="Arial"/>
          <w:szCs w:val="24"/>
        </w:rPr>
        <w:t>. The fourteenth respondent holds forty nine percent (</w:t>
      </w:r>
      <w:r>
        <w:rPr>
          <w:rFonts w:cs="Arial"/>
          <w:szCs w:val="24"/>
        </w:rPr>
        <w:t>49%</w:t>
      </w:r>
      <w:r w:rsidR="005D526C">
        <w:rPr>
          <w:rFonts w:cs="Arial"/>
          <w:szCs w:val="24"/>
        </w:rPr>
        <w:t>)</w:t>
      </w:r>
      <w:r>
        <w:rPr>
          <w:rFonts w:cs="Arial"/>
          <w:szCs w:val="24"/>
        </w:rPr>
        <w:t xml:space="preserve"> of the shareholding</w:t>
      </w:r>
      <w:r w:rsidR="005D526C">
        <w:rPr>
          <w:rFonts w:cs="Arial"/>
          <w:szCs w:val="24"/>
        </w:rPr>
        <w:t xml:space="preserve">, the </w:t>
      </w:r>
      <w:r w:rsidR="00D258E5">
        <w:rPr>
          <w:rFonts w:cs="Arial"/>
          <w:szCs w:val="24"/>
        </w:rPr>
        <w:t xml:space="preserve">majority shareholding, </w:t>
      </w:r>
      <w:r w:rsidR="005D526C">
        <w:rPr>
          <w:rFonts w:cs="Arial"/>
          <w:szCs w:val="24"/>
        </w:rPr>
        <w:t>balance of f</w:t>
      </w:r>
      <w:r>
        <w:rPr>
          <w:rFonts w:cs="Arial"/>
          <w:szCs w:val="24"/>
        </w:rPr>
        <w:t xml:space="preserve">ifty-one percent </w:t>
      </w:r>
      <w:r w:rsidR="005D526C">
        <w:rPr>
          <w:rFonts w:cs="Arial"/>
          <w:szCs w:val="24"/>
        </w:rPr>
        <w:t xml:space="preserve"> </w:t>
      </w:r>
      <w:r w:rsidR="00D258E5">
        <w:rPr>
          <w:rFonts w:cs="Arial"/>
          <w:szCs w:val="24"/>
        </w:rPr>
        <w:t>(</w:t>
      </w:r>
      <w:r w:rsidR="005D526C">
        <w:rPr>
          <w:rFonts w:cs="Arial"/>
          <w:szCs w:val="24"/>
        </w:rPr>
        <w:t>51%)</w:t>
      </w:r>
      <w:r>
        <w:rPr>
          <w:rFonts w:cs="Arial"/>
          <w:szCs w:val="24"/>
        </w:rPr>
        <w:t xml:space="preserve"> is held by Vuyolwethu Thangana. </w:t>
      </w:r>
      <w:r w:rsidR="00580FB8">
        <w:rPr>
          <w:rFonts w:cs="Arial"/>
          <w:szCs w:val="24"/>
        </w:rPr>
        <w:t xml:space="preserve">The </w:t>
      </w:r>
      <w:r w:rsidR="00341C7D">
        <w:rPr>
          <w:rFonts w:cs="Arial"/>
          <w:szCs w:val="24"/>
        </w:rPr>
        <w:t xml:space="preserve">nineteenth </w:t>
      </w:r>
      <w:r w:rsidR="00580FB8">
        <w:rPr>
          <w:rFonts w:cs="Arial"/>
          <w:szCs w:val="24"/>
        </w:rPr>
        <w:t xml:space="preserve"> respondent was incorporated in October 2017. The </w:t>
      </w:r>
      <w:r w:rsidR="00341C7D">
        <w:rPr>
          <w:rFonts w:cs="Arial"/>
          <w:szCs w:val="24"/>
        </w:rPr>
        <w:t xml:space="preserve">nineteenth </w:t>
      </w:r>
      <w:r w:rsidR="00580FB8">
        <w:rPr>
          <w:rFonts w:cs="Arial"/>
          <w:szCs w:val="24"/>
        </w:rPr>
        <w:t xml:space="preserve">respondent is not a defendant. </w:t>
      </w:r>
    </w:p>
    <w:p w14:paraId="079DD4F7" w14:textId="784C22C0" w:rsidR="001E22F7" w:rsidRDefault="00341C7D" w:rsidP="00B01F1D">
      <w:pPr>
        <w:pStyle w:val="ListParagraph"/>
        <w:numPr>
          <w:ilvl w:val="0"/>
          <w:numId w:val="6"/>
        </w:numPr>
        <w:spacing w:before="480" w:after="0" w:line="480" w:lineRule="auto"/>
        <w:contextualSpacing w:val="0"/>
        <w:rPr>
          <w:rFonts w:cs="Arial"/>
          <w:szCs w:val="24"/>
        </w:rPr>
      </w:pPr>
      <w:r>
        <w:rPr>
          <w:rFonts w:cs="Arial"/>
          <w:szCs w:val="24"/>
        </w:rPr>
        <w:t xml:space="preserve">The NDPP has failed to </w:t>
      </w:r>
      <w:r w:rsidR="00D9349C">
        <w:rPr>
          <w:rFonts w:cs="Arial"/>
          <w:szCs w:val="24"/>
        </w:rPr>
        <w:t xml:space="preserve">show on a balance of probabilities that the nineteenth respondent </w:t>
      </w:r>
      <w:r w:rsidR="008B0093">
        <w:rPr>
          <w:rFonts w:cs="Arial"/>
          <w:szCs w:val="24"/>
        </w:rPr>
        <w:t xml:space="preserve">received an </w:t>
      </w:r>
      <w:r w:rsidR="008B0093" w:rsidRPr="00A81082">
        <w:rPr>
          <w:rFonts w:cs="Arial"/>
          <w:i/>
          <w:iCs/>
          <w:szCs w:val="24"/>
        </w:rPr>
        <w:t>affected gift</w:t>
      </w:r>
      <w:r w:rsidR="008B0093">
        <w:rPr>
          <w:rFonts w:cs="Arial"/>
          <w:szCs w:val="24"/>
        </w:rPr>
        <w:t xml:space="preserve"> from any defendant or that it holds  </w:t>
      </w:r>
      <w:r w:rsidR="00C964C9" w:rsidRPr="00A81082">
        <w:rPr>
          <w:rFonts w:cs="Arial"/>
          <w:i/>
          <w:iCs/>
          <w:szCs w:val="24"/>
        </w:rPr>
        <w:lastRenderedPageBreak/>
        <w:t>realisable property</w:t>
      </w:r>
      <w:r w:rsidR="00C964C9">
        <w:rPr>
          <w:rFonts w:cs="Arial"/>
          <w:szCs w:val="24"/>
        </w:rPr>
        <w:t>.</w:t>
      </w:r>
      <w:r w:rsidR="00A81082">
        <w:rPr>
          <w:rFonts w:cs="Arial"/>
          <w:szCs w:val="24"/>
        </w:rPr>
        <w:t xml:space="preserve"> </w:t>
      </w:r>
      <w:r w:rsidR="00C964C9">
        <w:rPr>
          <w:rFonts w:cs="Arial"/>
          <w:szCs w:val="24"/>
        </w:rPr>
        <w:t>There is no evidence on the papers to justify the confirmation of the restraint order as against the nineteenth respondent.</w:t>
      </w:r>
    </w:p>
    <w:p w14:paraId="32D02D26" w14:textId="5EBA0884" w:rsidR="00A81082" w:rsidRDefault="00A81082" w:rsidP="000217E9">
      <w:pPr>
        <w:pStyle w:val="ListParagraph"/>
        <w:numPr>
          <w:ilvl w:val="0"/>
          <w:numId w:val="6"/>
        </w:numPr>
        <w:spacing w:before="480" w:after="0" w:line="480" w:lineRule="auto"/>
        <w:contextualSpacing w:val="0"/>
        <w:rPr>
          <w:rFonts w:cs="Arial"/>
          <w:szCs w:val="24"/>
        </w:rPr>
      </w:pPr>
      <w:r>
        <w:rPr>
          <w:rFonts w:cs="Arial"/>
          <w:szCs w:val="24"/>
        </w:rPr>
        <w:t xml:space="preserve">In reply and </w:t>
      </w:r>
      <w:r w:rsidR="00533638">
        <w:rPr>
          <w:rFonts w:cs="Arial"/>
          <w:szCs w:val="24"/>
        </w:rPr>
        <w:t xml:space="preserve">in </w:t>
      </w:r>
      <w:r>
        <w:rPr>
          <w:rFonts w:cs="Arial"/>
          <w:szCs w:val="24"/>
        </w:rPr>
        <w:t xml:space="preserve">the report of the curator, the NDPP </w:t>
      </w:r>
      <w:r w:rsidR="00A1517A">
        <w:rPr>
          <w:rFonts w:cs="Arial"/>
          <w:szCs w:val="24"/>
        </w:rPr>
        <w:t>argue that the directors</w:t>
      </w:r>
      <w:r w:rsidR="009139DC">
        <w:rPr>
          <w:rFonts w:cs="Arial"/>
          <w:szCs w:val="24"/>
        </w:rPr>
        <w:t>’</w:t>
      </w:r>
      <w:r w:rsidR="00A1517A">
        <w:rPr>
          <w:rFonts w:cs="Arial"/>
          <w:szCs w:val="24"/>
        </w:rPr>
        <w:t xml:space="preserve"> fees paid</w:t>
      </w:r>
      <w:r w:rsidR="00FA687A">
        <w:rPr>
          <w:rFonts w:cs="Arial"/>
          <w:szCs w:val="24"/>
        </w:rPr>
        <w:t xml:space="preserve"> or to be paid</w:t>
      </w:r>
      <w:r w:rsidR="00A1517A">
        <w:rPr>
          <w:rFonts w:cs="Arial"/>
          <w:szCs w:val="24"/>
        </w:rPr>
        <w:t xml:space="preserve"> to directors of the respondent entities</w:t>
      </w:r>
      <w:r w:rsidR="00FA687A">
        <w:rPr>
          <w:rFonts w:cs="Arial"/>
          <w:szCs w:val="24"/>
        </w:rPr>
        <w:t xml:space="preserve"> fall to constitute </w:t>
      </w:r>
      <w:r w:rsidR="00FA687A" w:rsidRPr="00FA687A">
        <w:rPr>
          <w:rFonts w:cs="Arial"/>
          <w:i/>
          <w:iCs/>
          <w:szCs w:val="24"/>
        </w:rPr>
        <w:t>realisable property</w:t>
      </w:r>
      <w:r w:rsidR="00FA687A">
        <w:rPr>
          <w:rFonts w:cs="Arial"/>
          <w:szCs w:val="24"/>
        </w:rPr>
        <w:t xml:space="preserve">. The respondent sought leave to </w:t>
      </w:r>
      <w:r w:rsidR="009139DC">
        <w:rPr>
          <w:rFonts w:cs="Arial"/>
          <w:szCs w:val="24"/>
        </w:rPr>
        <w:t>respond in a fourth set of papers to the new material set forth in the replying affidavit and curator’s report. I granted the application and admitted the furth</w:t>
      </w:r>
      <w:r w:rsidR="004C137E">
        <w:rPr>
          <w:rFonts w:cs="Arial"/>
          <w:szCs w:val="24"/>
        </w:rPr>
        <w:t>er</w:t>
      </w:r>
      <w:r w:rsidR="009139DC">
        <w:rPr>
          <w:rFonts w:cs="Arial"/>
          <w:szCs w:val="24"/>
        </w:rPr>
        <w:t xml:space="preserve"> set of papers in the record.</w:t>
      </w:r>
    </w:p>
    <w:p w14:paraId="63A575E4" w14:textId="08735DC3" w:rsidR="00A26B80" w:rsidRDefault="00981E0C" w:rsidP="000217E9">
      <w:pPr>
        <w:pStyle w:val="ListParagraph"/>
        <w:numPr>
          <w:ilvl w:val="0"/>
          <w:numId w:val="6"/>
        </w:numPr>
        <w:spacing w:before="480" w:after="0" w:line="480" w:lineRule="auto"/>
        <w:contextualSpacing w:val="0"/>
        <w:rPr>
          <w:rFonts w:cs="Arial"/>
          <w:szCs w:val="24"/>
        </w:rPr>
      </w:pPr>
      <w:r>
        <w:rPr>
          <w:rFonts w:cs="Arial"/>
          <w:szCs w:val="24"/>
        </w:rPr>
        <w:t>As I have stated above, the fourteenth respondent is not a defendant nor does</w:t>
      </w:r>
      <w:r w:rsidR="00501435">
        <w:rPr>
          <w:rFonts w:cs="Arial"/>
          <w:szCs w:val="24"/>
        </w:rPr>
        <w:t xml:space="preserve"> </w:t>
      </w:r>
      <w:r w:rsidR="00356ACC">
        <w:rPr>
          <w:rFonts w:cs="Arial"/>
          <w:szCs w:val="24"/>
        </w:rPr>
        <w:t xml:space="preserve">the </w:t>
      </w:r>
      <w:r w:rsidR="00501435">
        <w:rPr>
          <w:rFonts w:cs="Arial"/>
          <w:szCs w:val="24"/>
        </w:rPr>
        <w:t>NDPP intend to charge</w:t>
      </w:r>
      <w:r>
        <w:rPr>
          <w:rFonts w:cs="Arial"/>
          <w:szCs w:val="24"/>
        </w:rPr>
        <w:t xml:space="preserve"> the fourteenth respondent</w:t>
      </w:r>
      <w:r w:rsidR="00501435">
        <w:rPr>
          <w:rFonts w:cs="Arial"/>
          <w:szCs w:val="24"/>
        </w:rPr>
        <w:t>. In such circumstances</w:t>
      </w:r>
      <w:r w:rsidR="00A11FB5">
        <w:rPr>
          <w:rFonts w:cs="Arial"/>
          <w:szCs w:val="24"/>
        </w:rPr>
        <w:t xml:space="preserve">, as I have found above, </w:t>
      </w:r>
      <w:r w:rsidR="00501435">
        <w:rPr>
          <w:rFonts w:cs="Arial"/>
          <w:szCs w:val="24"/>
        </w:rPr>
        <w:t>th</w:t>
      </w:r>
      <w:r w:rsidR="00A11FB5">
        <w:rPr>
          <w:rFonts w:cs="Arial"/>
          <w:szCs w:val="24"/>
        </w:rPr>
        <w:t>e casual connection</w:t>
      </w:r>
      <w:r w:rsidR="001706D6">
        <w:rPr>
          <w:rFonts w:cs="Arial"/>
          <w:szCs w:val="24"/>
        </w:rPr>
        <w:t xml:space="preserve"> re</w:t>
      </w:r>
      <w:r w:rsidR="00CD0B91">
        <w:rPr>
          <w:rFonts w:cs="Arial"/>
          <w:szCs w:val="24"/>
        </w:rPr>
        <w:t>quired by POCA</w:t>
      </w:r>
      <w:r w:rsidR="00A11FB5">
        <w:rPr>
          <w:rFonts w:cs="Arial"/>
          <w:szCs w:val="24"/>
        </w:rPr>
        <w:t xml:space="preserve"> </w:t>
      </w:r>
      <w:r w:rsidR="005F5E57">
        <w:rPr>
          <w:rFonts w:cs="Arial"/>
          <w:szCs w:val="24"/>
        </w:rPr>
        <w:t xml:space="preserve">between </w:t>
      </w:r>
      <w:r w:rsidR="00CB2D95">
        <w:rPr>
          <w:rFonts w:cs="Arial"/>
          <w:szCs w:val="24"/>
        </w:rPr>
        <w:t>the fourteenth respondent and t</w:t>
      </w:r>
      <w:r w:rsidR="005F5E57">
        <w:rPr>
          <w:rFonts w:cs="Arial"/>
          <w:szCs w:val="24"/>
        </w:rPr>
        <w:t xml:space="preserve">he </w:t>
      </w:r>
      <w:r w:rsidR="00CB2D95">
        <w:rPr>
          <w:rFonts w:cs="Arial"/>
          <w:szCs w:val="24"/>
        </w:rPr>
        <w:t>respondent entities for the confirmation of the restrain order</w:t>
      </w:r>
      <w:r w:rsidR="005F5E57">
        <w:rPr>
          <w:rFonts w:cs="Arial"/>
          <w:szCs w:val="24"/>
        </w:rPr>
        <w:t>,</w:t>
      </w:r>
      <w:r w:rsidR="00CB2D95">
        <w:rPr>
          <w:rFonts w:cs="Arial"/>
          <w:szCs w:val="24"/>
        </w:rPr>
        <w:t xml:space="preserve">  severed.</w:t>
      </w:r>
      <w:r w:rsidR="004C137E">
        <w:rPr>
          <w:rFonts w:cs="Arial"/>
          <w:szCs w:val="24"/>
        </w:rPr>
        <w:t xml:space="preserve"> It follows therefor that any directors</w:t>
      </w:r>
      <w:r w:rsidR="00933FD6">
        <w:rPr>
          <w:rFonts w:cs="Arial"/>
          <w:szCs w:val="24"/>
        </w:rPr>
        <w:t>’</w:t>
      </w:r>
      <w:r w:rsidR="004C137E">
        <w:rPr>
          <w:rFonts w:cs="Arial"/>
          <w:szCs w:val="24"/>
        </w:rPr>
        <w:t xml:space="preserve"> fees </w:t>
      </w:r>
      <w:r w:rsidR="00933FD6">
        <w:rPr>
          <w:rFonts w:cs="Arial"/>
          <w:szCs w:val="24"/>
        </w:rPr>
        <w:t xml:space="preserve"> paid to or, to be paid to the directors of the respondent entities do </w:t>
      </w:r>
      <w:r w:rsidR="00933FD6" w:rsidRPr="00933FD6">
        <w:rPr>
          <w:rFonts w:cs="Arial"/>
          <w:szCs w:val="24"/>
        </w:rPr>
        <w:t>not  constitute</w:t>
      </w:r>
      <w:r w:rsidR="00933FD6">
        <w:rPr>
          <w:rFonts w:cs="Arial"/>
          <w:i/>
          <w:iCs/>
          <w:szCs w:val="24"/>
        </w:rPr>
        <w:t xml:space="preserve"> realisable property. </w:t>
      </w:r>
    </w:p>
    <w:p w14:paraId="14B05C6A" w14:textId="477EF1F8" w:rsidR="000217E9" w:rsidRDefault="005E0D6A" w:rsidP="000217E9">
      <w:pPr>
        <w:pStyle w:val="ListParagraph"/>
        <w:numPr>
          <w:ilvl w:val="0"/>
          <w:numId w:val="6"/>
        </w:numPr>
        <w:spacing w:before="480" w:after="0" w:line="480" w:lineRule="auto"/>
        <w:contextualSpacing w:val="0"/>
        <w:rPr>
          <w:rFonts w:cs="Arial"/>
          <w:szCs w:val="24"/>
        </w:rPr>
      </w:pPr>
      <w:r>
        <w:rPr>
          <w:rFonts w:cs="Arial"/>
          <w:szCs w:val="24"/>
        </w:rPr>
        <w:t>From an analysis of the facts above, n</w:t>
      </w:r>
      <w:r w:rsidR="000217E9">
        <w:rPr>
          <w:rFonts w:cs="Arial"/>
          <w:szCs w:val="24"/>
        </w:rPr>
        <w:t xml:space="preserve">one of the respondent entities received  </w:t>
      </w:r>
      <w:r w:rsidR="000217E9" w:rsidRPr="002018E6">
        <w:rPr>
          <w:rFonts w:cs="Arial"/>
          <w:i/>
          <w:iCs/>
          <w:szCs w:val="24"/>
        </w:rPr>
        <w:t>affected gift</w:t>
      </w:r>
      <w:r w:rsidR="002018E6" w:rsidRPr="002018E6">
        <w:rPr>
          <w:rFonts w:cs="Arial"/>
          <w:i/>
          <w:iCs/>
          <w:szCs w:val="24"/>
        </w:rPr>
        <w:t>s</w:t>
      </w:r>
      <w:r w:rsidR="000217E9">
        <w:rPr>
          <w:rFonts w:cs="Arial"/>
          <w:szCs w:val="24"/>
        </w:rPr>
        <w:t xml:space="preserve"> from a</w:t>
      </w:r>
      <w:r w:rsidR="002018E6">
        <w:rPr>
          <w:rFonts w:cs="Arial"/>
          <w:szCs w:val="24"/>
        </w:rPr>
        <w:t>ny</w:t>
      </w:r>
      <w:r w:rsidR="000217E9">
        <w:rPr>
          <w:rFonts w:cs="Arial"/>
          <w:szCs w:val="24"/>
        </w:rPr>
        <w:t xml:space="preserve"> </w:t>
      </w:r>
      <w:r w:rsidR="002018E6">
        <w:rPr>
          <w:rFonts w:cs="Arial"/>
          <w:szCs w:val="24"/>
        </w:rPr>
        <w:t xml:space="preserve">of the </w:t>
      </w:r>
      <w:r w:rsidR="000217E9">
        <w:rPr>
          <w:rFonts w:cs="Arial"/>
          <w:szCs w:val="24"/>
        </w:rPr>
        <w:t>defendant</w:t>
      </w:r>
      <w:r w:rsidR="002018E6">
        <w:rPr>
          <w:rFonts w:cs="Arial"/>
          <w:szCs w:val="24"/>
        </w:rPr>
        <w:t>s</w:t>
      </w:r>
      <w:r w:rsidR="000217E9">
        <w:rPr>
          <w:rFonts w:cs="Arial"/>
          <w:szCs w:val="24"/>
        </w:rPr>
        <w:t>.</w:t>
      </w:r>
      <w:r w:rsidRPr="005E0D6A">
        <w:rPr>
          <w:rFonts w:cs="Arial"/>
          <w:szCs w:val="24"/>
        </w:rPr>
        <w:t xml:space="preserve"> </w:t>
      </w:r>
      <w:r>
        <w:rPr>
          <w:rFonts w:cs="Arial"/>
          <w:szCs w:val="24"/>
        </w:rPr>
        <w:t xml:space="preserve">None of the respondent entities </w:t>
      </w:r>
      <w:r w:rsidR="00276C0E">
        <w:rPr>
          <w:rFonts w:cs="Arial"/>
          <w:szCs w:val="24"/>
        </w:rPr>
        <w:t xml:space="preserve">hold </w:t>
      </w:r>
      <w:r w:rsidR="00276C0E" w:rsidRPr="002018E6">
        <w:rPr>
          <w:rFonts w:cs="Arial"/>
          <w:i/>
          <w:iCs/>
          <w:szCs w:val="24"/>
        </w:rPr>
        <w:t>realisable property</w:t>
      </w:r>
      <w:r>
        <w:rPr>
          <w:rFonts w:cs="Arial"/>
          <w:szCs w:val="24"/>
        </w:rPr>
        <w:t>.</w:t>
      </w:r>
      <w:r w:rsidR="00276C0E">
        <w:rPr>
          <w:rFonts w:cs="Arial"/>
          <w:szCs w:val="24"/>
        </w:rPr>
        <w:t xml:space="preserve"> </w:t>
      </w:r>
      <w:r w:rsidR="000513AD">
        <w:rPr>
          <w:rFonts w:cs="Arial"/>
          <w:szCs w:val="24"/>
        </w:rPr>
        <w:t>T</w:t>
      </w:r>
      <w:r w:rsidR="00510C91">
        <w:rPr>
          <w:rFonts w:cs="Arial"/>
          <w:szCs w:val="24"/>
        </w:rPr>
        <w:t>here</w:t>
      </w:r>
      <w:r w:rsidR="000513AD">
        <w:rPr>
          <w:rFonts w:cs="Arial"/>
          <w:szCs w:val="24"/>
        </w:rPr>
        <w:t xml:space="preserve"> is no factual or legal basis to confirm the</w:t>
      </w:r>
      <w:r w:rsidR="002018E6">
        <w:rPr>
          <w:rFonts w:cs="Arial"/>
          <w:szCs w:val="24"/>
        </w:rPr>
        <w:t xml:space="preserve"> provisional restraint order</w:t>
      </w:r>
      <w:r w:rsidR="000513AD">
        <w:rPr>
          <w:rFonts w:cs="Arial"/>
          <w:szCs w:val="24"/>
        </w:rPr>
        <w:t xml:space="preserve"> as against the respondent entities. </w:t>
      </w:r>
    </w:p>
    <w:p w14:paraId="2A6D2B64" w14:textId="4DB56800" w:rsidR="00C964C9" w:rsidRDefault="005E0D6A" w:rsidP="00B01F1D">
      <w:pPr>
        <w:pStyle w:val="ListParagraph"/>
        <w:numPr>
          <w:ilvl w:val="0"/>
          <w:numId w:val="6"/>
        </w:numPr>
        <w:spacing w:before="480" w:after="0" w:line="480" w:lineRule="auto"/>
        <w:contextualSpacing w:val="0"/>
        <w:rPr>
          <w:rFonts w:cs="Arial"/>
          <w:szCs w:val="24"/>
        </w:rPr>
      </w:pPr>
      <w:r>
        <w:rPr>
          <w:rFonts w:cs="Arial"/>
          <w:szCs w:val="24"/>
        </w:rPr>
        <w:t xml:space="preserve">In the result I make the following </w:t>
      </w:r>
      <w:r w:rsidR="00C520B8">
        <w:rPr>
          <w:rFonts w:cs="Arial"/>
          <w:szCs w:val="24"/>
        </w:rPr>
        <w:t>order</w:t>
      </w:r>
    </w:p>
    <w:p w14:paraId="5E4D7D68" w14:textId="375AC86B" w:rsidR="00C520B8" w:rsidRDefault="00C520B8" w:rsidP="00C520B8">
      <w:pPr>
        <w:pStyle w:val="ListParagraph"/>
        <w:numPr>
          <w:ilvl w:val="1"/>
          <w:numId w:val="6"/>
        </w:numPr>
        <w:spacing w:before="480" w:after="0" w:line="480" w:lineRule="auto"/>
        <w:contextualSpacing w:val="0"/>
        <w:rPr>
          <w:rFonts w:cs="Arial"/>
          <w:szCs w:val="24"/>
        </w:rPr>
      </w:pPr>
      <w:r>
        <w:rPr>
          <w:rFonts w:cs="Arial"/>
          <w:szCs w:val="24"/>
        </w:rPr>
        <w:t>The rule  nisi against the respondent entities  is discharged.</w:t>
      </w:r>
    </w:p>
    <w:p w14:paraId="3D4A9C2C" w14:textId="369BF5E3" w:rsidR="00C32D58" w:rsidRDefault="00C32D58" w:rsidP="00C520B8">
      <w:pPr>
        <w:pStyle w:val="ListParagraph"/>
        <w:numPr>
          <w:ilvl w:val="1"/>
          <w:numId w:val="6"/>
        </w:numPr>
        <w:spacing w:before="480" w:after="0" w:line="480" w:lineRule="auto"/>
        <w:contextualSpacing w:val="0"/>
        <w:rPr>
          <w:rFonts w:cs="Arial"/>
          <w:szCs w:val="24"/>
        </w:rPr>
      </w:pPr>
      <w:r>
        <w:rPr>
          <w:rFonts w:cs="Arial"/>
          <w:szCs w:val="24"/>
        </w:rPr>
        <w:lastRenderedPageBreak/>
        <w:t xml:space="preserve">The </w:t>
      </w:r>
      <w:r w:rsidR="009F0759">
        <w:rPr>
          <w:rFonts w:cs="Arial"/>
          <w:szCs w:val="24"/>
        </w:rPr>
        <w:t>provisional</w:t>
      </w:r>
      <w:r w:rsidR="00276C0E">
        <w:rPr>
          <w:rFonts w:cs="Arial"/>
          <w:szCs w:val="24"/>
        </w:rPr>
        <w:t xml:space="preserve"> restraint order against the property of the respondent entities </w:t>
      </w:r>
      <w:r w:rsidR="00436DF3">
        <w:rPr>
          <w:rFonts w:cs="Arial"/>
          <w:szCs w:val="24"/>
        </w:rPr>
        <w:t xml:space="preserve"> is discharged.</w:t>
      </w:r>
    </w:p>
    <w:p w14:paraId="715DC295" w14:textId="301312DC" w:rsidR="00C520B8" w:rsidRDefault="00C520B8" w:rsidP="00C520B8">
      <w:pPr>
        <w:pStyle w:val="ListParagraph"/>
        <w:numPr>
          <w:ilvl w:val="1"/>
          <w:numId w:val="6"/>
        </w:numPr>
        <w:spacing w:before="480" w:after="0" w:line="480" w:lineRule="auto"/>
        <w:contextualSpacing w:val="0"/>
        <w:rPr>
          <w:rFonts w:cs="Arial"/>
          <w:szCs w:val="24"/>
        </w:rPr>
      </w:pPr>
      <w:r>
        <w:rPr>
          <w:rFonts w:cs="Arial"/>
          <w:szCs w:val="24"/>
        </w:rPr>
        <w:t xml:space="preserve">The </w:t>
      </w:r>
      <w:r w:rsidR="00E2039B">
        <w:rPr>
          <w:rFonts w:cs="Arial"/>
          <w:szCs w:val="24"/>
        </w:rPr>
        <w:t>applicant is ordered to pay the costs of the respondent entities</w:t>
      </w:r>
      <w:r w:rsidR="009F0759">
        <w:rPr>
          <w:rFonts w:cs="Arial"/>
          <w:szCs w:val="24"/>
        </w:rPr>
        <w:t>, occasioned by the application</w:t>
      </w:r>
      <w:r w:rsidR="00436DF3">
        <w:rPr>
          <w:rFonts w:cs="Arial"/>
          <w:szCs w:val="24"/>
        </w:rPr>
        <w:t>.</w:t>
      </w:r>
    </w:p>
    <w:p w14:paraId="2A462A73" w14:textId="7015BC73" w:rsidR="00967431" w:rsidRPr="002268A4" w:rsidRDefault="00967431" w:rsidP="00B01F1D">
      <w:pPr>
        <w:spacing w:before="480" w:after="0" w:line="480" w:lineRule="auto"/>
        <w:rPr>
          <w:rFonts w:cs="Arial"/>
          <w:szCs w:val="24"/>
        </w:rPr>
      </w:pPr>
    </w:p>
    <w:p w14:paraId="2653F069" w14:textId="77777777" w:rsidR="002268A4" w:rsidRPr="002268A4" w:rsidRDefault="002268A4" w:rsidP="002268A4">
      <w:pPr>
        <w:keepNext/>
        <w:rPr>
          <w:rFonts w:cs="Arial"/>
          <w:szCs w:val="24"/>
        </w:rPr>
      </w:pPr>
      <w:r w:rsidRPr="002268A4">
        <w:rPr>
          <w:rFonts w:cs="Arial"/>
          <w:szCs w:val="24"/>
        </w:rPr>
        <w:t>___________________________</w:t>
      </w:r>
    </w:p>
    <w:p w14:paraId="7D3AAC5B" w14:textId="77777777" w:rsidR="002268A4" w:rsidRPr="002268A4" w:rsidRDefault="002268A4" w:rsidP="002268A4">
      <w:pPr>
        <w:rPr>
          <w:rFonts w:cs="Arial"/>
          <w:b/>
          <w:szCs w:val="24"/>
        </w:rPr>
      </w:pPr>
      <w:r w:rsidRPr="002268A4">
        <w:rPr>
          <w:rFonts w:cs="Arial"/>
          <w:b/>
          <w:szCs w:val="24"/>
        </w:rPr>
        <w:t>DREYER AJ</w:t>
      </w:r>
    </w:p>
    <w:p w14:paraId="4EF31273" w14:textId="77777777" w:rsidR="002268A4" w:rsidRPr="002268A4" w:rsidRDefault="002268A4" w:rsidP="002268A4">
      <w:pPr>
        <w:rPr>
          <w:rFonts w:cs="Arial"/>
          <w:b/>
          <w:szCs w:val="24"/>
        </w:rPr>
      </w:pPr>
      <w:r w:rsidRPr="002268A4">
        <w:rPr>
          <w:rFonts w:cs="Arial"/>
          <w:b/>
          <w:szCs w:val="24"/>
        </w:rPr>
        <w:t>ACTING JUDGE OF THE HIGH COURT</w:t>
      </w:r>
    </w:p>
    <w:p w14:paraId="5E179520" w14:textId="77777777" w:rsidR="002268A4" w:rsidRPr="002268A4" w:rsidRDefault="002268A4" w:rsidP="002268A4">
      <w:pPr>
        <w:rPr>
          <w:rFonts w:cs="Arial"/>
          <w:szCs w:val="24"/>
        </w:rPr>
      </w:pPr>
    </w:p>
    <w:p w14:paraId="49C0D42D" w14:textId="77777777" w:rsidR="002268A4" w:rsidRPr="002268A4" w:rsidRDefault="002268A4" w:rsidP="002268A4">
      <w:pPr>
        <w:rPr>
          <w:rFonts w:cs="Arial"/>
          <w:szCs w:val="24"/>
        </w:rPr>
      </w:pPr>
    </w:p>
    <w:p w14:paraId="7B92AB73" w14:textId="77777777" w:rsidR="00186824" w:rsidRPr="002268A4" w:rsidRDefault="00186824" w:rsidP="00186824">
      <w:pPr>
        <w:keepNext/>
        <w:tabs>
          <w:tab w:val="left" w:pos="4140"/>
        </w:tabs>
        <w:rPr>
          <w:rFonts w:cs="Arial"/>
          <w:szCs w:val="24"/>
        </w:rPr>
      </w:pPr>
      <w:r w:rsidRPr="002268A4">
        <w:rPr>
          <w:rFonts w:cs="Arial"/>
          <w:b/>
          <w:szCs w:val="24"/>
        </w:rPr>
        <w:t xml:space="preserve">Representation for </w:t>
      </w:r>
      <w:r>
        <w:rPr>
          <w:rFonts w:cs="Arial"/>
          <w:b/>
          <w:szCs w:val="24"/>
        </w:rPr>
        <w:t>Applicant:</w:t>
      </w:r>
    </w:p>
    <w:p w14:paraId="52C4DE9F" w14:textId="77777777" w:rsidR="00186824" w:rsidRPr="002268A4" w:rsidRDefault="00186824" w:rsidP="00186824">
      <w:pPr>
        <w:keepNext/>
        <w:tabs>
          <w:tab w:val="left" w:pos="4111"/>
        </w:tabs>
        <w:ind w:left="4111" w:hanging="4111"/>
        <w:rPr>
          <w:rFonts w:cs="Arial"/>
          <w:szCs w:val="24"/>
        </w:rPr>
      </w:pPr>
      <w:r w:rsidRPr="002268A4">
        <w:rPr>
          <w:rFonts w:cs="Arial"/>
          <w:szCs w:val="24"/>
        </w:rPr>
        <w:t>Counsel:</w:t>
      </w:r>
      <w:r w:rsidRPr="002268A4">
        <w:rPr>
          <w:rFonts w:cs="Arial"/>
          <w:szCs w:val="24"/>
        </w:rPr>
        <w:tab/>
      </w:r>
      <w:r>
        <w:rPr>
          <w:rFonts w:cs="Arial"/>
          <w:szCs w:val="24"/>
        </w:rPr>
        <w:t>Mr W Myburgh</w:t>
      </w:r>
    </w:p>
    <w:p w14:paraId="5F552FD9" w14:textId="77777777" w:rsidR="00186824" w:rsidRPr="002268A4" w:rsidRDefault="00186824" w:rsidP="00186824">
      <w:pPr>
        <w:tabs>
          <w:tab w:val="left" w:pos="4111"/>
        </w:tabs>
        <w:ind w:left="4111" w:hanging="4111"/>
        <w:rPr>
          <w:rFonts w:cs="Arial"/>
          <w:szCs w:val="24"/>
        </w:rPr>
      </w:pPr>
      <w:r w:rsidRPr="002268A4">
        <w:rPr>
          <w:rFonts w:cs="Arial"/>
          <w:szCs w:val="24"/>
        </w:rPr>
        <w:t>Instructed by:</w:t>
      </w:r>
      <w:r>
        <w:rPr>
          <w:rFonts w:cs="Arial"/>
          <w:szCs w:val="24"/>
        </w:rPr>
        <w:tab/>
        <w:t>State Attorney, Gqeberha</w:t>
      </w:r>
      <w:r w:rsidRPr="002268A4">
        <w:rPr>
          <w:rFonts w:cs="Arial"/>
          <w:szCs w:val="24"/>
        </w:rPr>
        <w:tab/>
      </w:r>
    </w:p>
    <w:p w14:paraId="090A588B" w14:textId="77777777" w:rsidR="00186824" w:rsidRPr="002268A4" w:rsidRDefault="00186824" w:rsidP="00186824">
      <w:pPr>
        <w:tabs>
          <w:tab w:val="left" w:pos="4111"/>
        </w:tabs>
        <w:ind w:left="4111" w:hanging="4111"/>
        <w:rPr>
          <w:rFonts w:cs="Arial"/>
          <w:szCs w:val="24"/>
        </w:rPr>
      </w:pPr>
    </w:p>
    <w:p w14:paraId="6CF37D32" w14:textId="77E2A74C" w:rsidR="00186824" w:rsidRPr="002268A4" w:rsidRDefault="00186824" w:rsidP="00186824">
      <w:pPr>
        <w:keepNext/>
        <w:tabs>
          <w:tab w:val="left" w:pos="4111"/>
        </w:tabs>
        <w:ind w:left="4111" w:hanging="4111"/>
        <w:rPr>
          <w:rFonts w:cs="Arial"/>
          <w:b/>
          <w:szCs w:val="24"/>
        </w:rPr>
      </w:pPr>
      <w:r>
        <w:rPr>
          <w:rFonts w:cs="Arial"/>
          <w:b/>
          <w:szCs w:val="24"/>
        </w:rPr>
        <w:t xml:space="preserve">Representation for </w:t>
      </w:r>
      <w:r w:rsidRPr="00186824">
        <w:rPr>
          <w:rFonts w:cs="Arial"/>
          <w:b/>
          <w:szCs w:val="24"/>
        </w:rPr>
        <w:t>8</w:t>
      </w:r>
      <w:r w:rsidRPr="00186824">
        <w:rPr>
          <w:rFonts w:cs="Arial"/>
          <w:b/>
          <w:szCs w:val="24"/>
          <w:vertAlign w:val="superscript"/>
        </w:rPr>
        <w:t>th</w:t>
      </w:r>
      <w:r w:rsidRPr="00186824">
        <w:rPr>
          <w:rFonts w:cs="Arial"/>
          <w:b/>
          <w:szCs w:val="24"/>
        </w:rPr>
        <w:t>, 9</w:t>
      </w:r>
      <w:r w:rsidRPr="00186824">
        <w:rPr>
          <w:rFonts w:cs="Arial"/>
          <w:b/>
          <w:szCs w:val="24"/>
          <w:vertAlign w:val="superscript"/>
        </w:rPr>
        <w:t>th</w:t>
      </w:r>
      <w:r w:rsidRPr="00186824">
        <w:rPr>
          <w:rFonts w:cs="Arial"/>
          <w:b/>
          <w:szCs w:val="24"/>
        </w:rPr>
        <w:t>, 10</w:t>
      </w:r>
      <w:r w:rsidRPr="00186824">
        <w:rPr>
          <w:rFonts w:cs="Arial"/>
          <w:b/>
          <w:szCs w:val="24"/>
          <w:vertAlign w:val="superscript"/>
        </w:rPr>
        <w:t>th</w:t>
      </w:r>
      <w:r w:rsidRPr="00186824">
        <w:rPr>
          <w:rFonts w:cs="Arial"/>
          <w:b/>
          <w:szCs w:val="24"/>
        </w:rPr>
        <w:t>, 12</w:t>
      </w:r>
      <w:r w:rsidRPr="00186824">
        <w:rPr>
          <w:rFonts w:cs="Arial"/>
          <w:b/>
          <w:szCs w:val="24"/>
          <w:vertAlign w:val="superscript"/>
        </w:rPr>
        <w:t>th</w:t>
      </w:r>
      <w:r w:rsidRPr="00186824">
        <w:rPr>
          <w:rFonts w:cs="Arial"/>
          <w:b/>
          <w:szCs w:val="24"/>
        </w:rPr>
        <w:t>, 13</w:t>
      </w:r>
      <w:r w:rsidRPr="00186824">
        <w:rPr>
          <w:rFonts w:cs="Arial"/>
          <w:b/>
          <w:szCs w:val="24"/>
          <w:vertAlign w:val="superscript"/>
        </w:rPr>
        <w:t>th</w:t>
      </w:r>
      <w:r w:rsidRPr="00186824">
        <w:rPr>
          <w:rFonts w:cs="Arial"/>
          <w:b/>
          <w:szCs w:val="24"/>
        </w:rPr>
        <w:t>, 16</w:t>
      </w:r>
      <w:r w:rsidRPr="00186824">
        <w:rPr>
          <w:rFonts w:cs="Arial"/>
          <w:b/>
          <w:szCs w:val="24"/>
          <w:vertAlign w:val="superscript"/>
        </w:rPr>
        <w:t>th</w:t>
      </w:r>
      <w:r w:rsidRPr="00186824">
        <w:rPr>
          <w:rFonts w:cs="Arial"/>
          <w:b/>
          <w:szCs w:val="24"/>
        </w:rPr>
        <w:t xml:space="preserve">, </w:t>
      </w:r>
      <w:r w:rsidR="005D07F1" w:rsidRPr="00186824">
        <w:rPr>
          <w:rFonts w:cs="Arial"/>
          <w:b/>
          <w:szCs w:val="24"/>
        </w:rPr>
        <w:t>18</w:t>
      </w:r>
      <w:r w:rsidR="005D07F1" w:rsidRPr="00186824">
        <w:rPr>
          <w:rFonts w:cs="Arial"/>
          <w:b/>
          <w:szCs w:val="24"/>
          <w:vertAlign w:val="superscript"/>
        </w:rPr>
        <w:t>th,</w:t>
      </w:r>
      <w:r w:rsidRPr="00186824">
        <w:rPr>
          <w:rFonts w:cs="Arial"/>
          <w:b/>
          <w:szCs w:val="24"/>
        </w:rPr>
        <w:t xml:space="preserve"> and 19</w:t>
      </w:r>
      <w:r w:rsidRPr="00186824">
        <w:rPr>
          <w:rFonts w:cs="Arial"/>
          <w:b/>
          <w:szCs w:val="24"/>
          <w:vertAlign w:val="superscript"/>
        </w:rPr>
        <w:t>th</w:t>
      </w:r>
      <w:r w:rsidRPr="00186824">
        <w:rPr>
          <w:rFonts w:cs="Arial"/>
          <w:b/>
          <w:szCs w:val="24"/>
        </w:rPr>
        <w:t xml:space="preserve"> Respondents:</w:t>
      </w:r>
    </w:p>
    <w:p w14:paraId="0E188E80" w14:textId="77777777" w:rsidR="00186824" w:rsidRPr="002268A4" w:rsidRDefault="00186824" w:rsidP="00186824">
      <w:pPr>
        <w:keepNext/>
        <w:tabs>
          <w:tab w:val="left" w:pos="4111"/>
        </w:tabs>
        <w:ind w:left="4111" w:hanging="4111"/>
        <w:rPr>
          <w:rFonts w:cs="Arial"/>
          <w:szCs w:val="24"/>
        </w:rPr>
      </w:pPr>
      <w:r w:rsidRPr="002268A4">
        <w:rPr>
          <w:rFonts w:cs="Arial"/>
          <w:szCs w:val="24"/>
        </w:rPr>
        <w:t>Counsel:</w:t>
      </w:r>
      <w:r w:rsidRPr="002268A4">
        <w:rPr>
          <w:rFonts w:cs="Arial"/>
          <w:szCs w:val="24"/>
        </w:rPr>
        <w:tab/>
      </w:r>
      <w:r>
        <w:rPr>
          <w:rFonts w:cs="Arial"/>
          <w:szCs w:val="24"/>
        </w:rPr>
        <w:t>Adv F Van Zyl SC</w:t>
      </w:r>
    </w:p>
    <w:p w14:paraId="58444138" w14:textId="77777777" w:rsidR="00186824" w:rsidRDefault="00186824" w:rsidP="00186824">
      <w:pPr>
        <w:tabs>
          <w:tab w:val="left" w:pos="4111"/>
        </w:tabs>
        <w:ind w:left="4111" w:hanging="4111"/>
        <w:rPr>
          <w:rFonts w:cs="Arial"/>
          <w:szCs w:val="24"/>
        </w:rPr>
      </w:pPr>
      <w:r w:rsidRPr="002268A4">
        <w:rPr>
          <w:rFonts w:cs="Arial"/>
          <w:szCs w:val="24"/>
        </w:rPr>
        <w:t>Instructed by:</w:t>
      </w:r>
      <w:r w:rsidRPr="002268A4">
        <w:rPr>
          <w:rFonts w:cs="Arial"/>
          <w:szCs w:val="24"/>
        </w:rPr>
        <w:tab/>
      </w:r>
      <w:r>
        <w:rPr>
          <w:rFonts w:cs="Arial"/>
          <w:szCs w:val="24"/>
        </w:rPr>
        <w:t>Meyer Inc, Gqeberha</w:t>
      </w:r>
    </w:p>
    <w:p w14:paraId="4D86EF30" w14:textId="77777777" w:rsidR="00186824" w:rsidRDefault="00186824" w:rsidP="00186824">
      <w:pPr>
        <w:tabs>
          <w:tab w:val="left" w:pos="4111"/>
        </w:tabs>
        <w:ind w:left="4111" w:hanging="4111"/>
        <w:rPr>
          <w:rFonts w:cs="Arial"/>
          <w:szCs w:val="24"/>
        </w:rPr>
      </w:pPr>
    </w:p>
    <w:p w14:paraId="3B09C895" w14:textId="77777777" w:rsidR="00186824" w:rsidRDefault="00186824" w:rsidP="00186824">
      <w:pPr>
        <w:tabs>
          <w:tab w:val="left" w:pos="4111"/>
        </w:tabs>
        <w:ind w:left="4111" w:hanging="4111"/>
        <w:rPr>
          <w:rFonts w:cs="Arial"/>
          <w:szCs w:val="24"/>
        </w:rPr>
      </w:pPr>
      <w:r>
        <w:rPr>
          <w:rFonts w:cs="Arial"/>
          <w:szCs w:val="24"/>
        </w:rPr>
        <w:t>Date Heard:</w:t>
      </w:r>
      <w:r>
        <w:rPr>
          <w:rFonts w:cs="Arial"/>
          <w:szCs w:val="24"/>
        </w:rPr>
        <w:tab/>
        <w:t>26 April 2023</w:t>
      </w:r>
    </w:p>
    <w:p w14:paraId="0160E1A9" w14:textId="77777777" w:rsidR="00186824" w:rsidRDefault="00186824" w:rsidP="00186824">
      <w:pPr>
        <w:tabs>
          <w:tab w:val="left" w:pos="4111"/>
        </w:tabs>
        <w:ind w:left="4111" w:hanging="4111"/>
        <w:rPr>
          <w:rFonts w:cs="Arial"/>
          <w:szCs w:val="24"/>
        </w:rPr>
      </w:pPr>
    </w:p>
    <w:p w14:paraId="078B74A9" w14:textId="5329BD10" w:rsidR="00B5337E" w:rsidRDefault="00B5337E" w:rsidP="00186824">
      <w:pPr>
        <w:tabs>
          <w:tab w:val="left" w:pos="4111"/>
        </w:tabs>
        <w:ind w:left="4111" w:hanging="4111"/>
        <w:rPr>
          <w:rFonts w:cs="Arial"/>
          <w:szCs w:val="24"/>
        </w:rPr>
      </w:pPr>
      <w:r>
        <w:rPr>
          <w:rFonts w:cs="Arial"/>
          <w:szCs w:val="24"/>
        </w:rPr>
        <w:t xml:space="preserve">Supplementary heads </w:t>
      </w:r>
    </w:p>
    <w:p w14:paraId="52805E87" w14:textId="6AE2033B" w:rsidR="00B5337E" w:rsidRDefault="00B5337E" w:rsidP="00186824">
      <w:pPr>
        <w:tabs>
          <w:tab w:val="left" w:pos="4111"/>
        </w:tabs>
        <w:ind w:left="4111" w:hanging="4111"/>
        <w:rPr>
          <w:rFonts w:cs="Arial"/>
          <w:szCs w:val="24"/>
        </w:rPr>
      </w:pPr>
      <w:r>
        <w:rPr>
          <w:rFonts w:cs="Arial"/>
          <w:szCs w:val="24"/>
        </w:rPr>
        <w:t xml:space="preserve">Filed </w:t>
      </w:r>
      <w:r>
        <w:rPr>
          <w:rFonts w:cs="Arial"/>
          <w:szCs w:val="24"/>
        </w:rPr>
        <w:tab/>
        <w:t xml:space="preserve">28 April 2023 (applicant) </w:t>
      </w:r>
    </w:p>
    <w:p w14:paraId="6C7AB84A" w14:textId="7BA2DDD9" w:rsidR="00B5337E" w:rsidRDefault="00B5337E" w:rsidP="00186824">
      <w:pPr>
        <w:tabs>
          <w:tab w:val="left" w:pos="4111"/>
        </w:tabs>
        <w:ind w:left="4111" w:hanging="4111"/>
        <w:rPr>
          <w:rFonts w:cs="Arial"/>
          <w:szCs w:val="24"/>
        </w:rPr>
      </w:pPr>
      <w:r>
        <w:rPr>
          <w:rFonts w:cs="Arial"/>
          <w:szCs w:val="24"/>
        </w:rPr>
        <w:tab/>
        <w:t>2May 2023 (respondents)</w:t>
      </w:r>
    </w:p>
    <w:p w14:paraId="7CBDC896" w14:textId="094DC501" w:rsidR="00186824" w:rsidRPr="00186824" w:rsidRDefault="00186824" w:rsidP="00186824">
      <w:pPr>
        <w:tabs>
          <w:tab w:val="left" w:pos="4111"/>
        </w:tabs>
        <w:ind w:left="4111" w:hanging="4111"/>
        <w:rPr>
          <w:rFonts w:cs="Arial"/>
          <w:szCs w:val="24"/>
        </w:rPr>
      </w:pPr>
      <w:r w:rsidRPr="00186824">
        <w:rPr>
          <w:rFonts w:cs="Arial"/>
          <w:szCs w:val="24"/>
        </w:rPr>
        <w:t>Date Delivered:</w:t>
      </w:r>
      <w:r>
        <w:rPr>
          <w:rFonts w:cs="Arial"/>
          <w:szCs w:val="24"/>
        </w:rPr>
        <w:tab/>
        <w:t>8 August 2023</w:t>
      </w:r>
    </w:p>
    <w:sectPr w:rsidR="00186824" w:rsidRPr="00186824" w:rsidSect="00A23670">
      <w:headerReference w:type="even" r:id="rId10"/>
      <w:headerReference w:type="default" r:id="rId11"/>
      <w:headerReference w:type="first" r:id="rId12"/>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66C2F" w14:textId="77777777" w:rsidR="00E818E8" w:rsidRDefault="00E818E8" w:rsidP="00D65C01">
      <w:pPr>
        <w:spacing w:after="0" w:line="240" w:lineRule="auto"/>
      </w:pPr>
      <w:r>
        <w:separator/>
      </w:r>
    </w:p>
  </w:endnote>
  <w:endnote w:type="continuationSeparator" w:id="0">
    <w:p w14:paraId="6248BCEB" w14:textId="77777777" w:rsidR="00E818E8" w:rsidRDefault="00E818E8" w:rsidP="00D6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F1334" w14:textId="77777777" w:rsidR="00E818E8" w:rsidRDefault="00E818E8" w:rsidP="00D65C01">
      <w:pPr>
        <w:spacing w:after="0" w:line="240" w:lineRule="auto"/>
      </w:pPr>
      <w:r>
        <w:separator/>
      </w:r>
    </w:p>
  </w:footnote>
  <w:footnote w:type="continuationSeparator" w:id="0">
    <w:p w14:paraId="11EA6C56" w14:textId="77777777" w:rsidR="00E818E8" w:rsidRDefault="00E818E8" w:rsidP="00D65C01">
      <w:pPr>
        <w:spacing w:after="0" w:line="240" w:lineRule="auto"/>
      </w:pPr>
      <w:r>
        <w:continuationSeparator/>
      </w:r>
    </w:p>
  </w:footnote>
  <w:footnote w:id="1">
    <w:p w14:paraId="0DC85298" w14:textId="620C352D" w:rsidR="00A44783" w:rsidRDefault="00A44783">
      <w:pPr>
        <w:pStyle w:val="FootnoteText"/>
      </w:pPr>
      <w:r>
        <w:rPr>
          <w:rStyle w:val="FootnoteReference"/>
        </w:rPr>
        <w:footnoteRef/>
      </w:r>
      <w:r>
        <w:t xml:space="preserve"> </w:t>
      </w:r>
      <w:r w:rsidR="006713D6">
        <w:tab/>
        <w:t xml:space="preserve">Act 121 of 1998 </w:t>
      </w:r>
    </w:p>
  </w:footnote>
  <w:footnote w:id="2">
    <w:p w14:paraId="74EF7358" w14:textId="54B2A797" w:rsidR="00811EC6" w:rsidRDefault="00811EC6">
      <w:pPr>
        <w:pStyle w:val="FootnoteText"/>
      </w:pPr>
      <w:r>
        <w:rPr>
          <w:rStyle w:val="FootnoteReference"/>
        </w:rPr>
        <w:footnoteRef/>
      </w:r>
      <w:r>
        <w:t xml:space="preserve"> </w:t>
      </w:r>
      <w:r w:rsidR="00F66E9A">
        <w:tab/>
        <w:t>s</w:t>
      </w:r>
      <w:r w:rsidR="006713D6">
        <w:t xml:space="preserve">25 of POCA </w:t>
      </w:r>
    </w:p>
  </w:footnote>
  <w:footnote w:id="3">
    <w:p w14:paraId="741F93C6" w14:textId="686B8D55" w:rsidR="00811EC6" w:rsidRDefault="00811EC6">
      <w:pPr>
        <w:pStyle w:val="FootnoteText"/>
      </w:pPr>
      <w:r w:rsidRPr="006713D6">
        <w:rPr>
          <w:rStyle w:val="FootnoteReference"/>
        </w:rPr>
        <w:footnoteRef/>
      </w:r>
      <w:r w:rsidRPr="006713D6">
        <w:t xml:space="preserve">  </w:t>
      </w:r>
      <w:r w:rsidR="00E33F89">
        <w:tab/>
        <w:t>s</w:t>
      </w:r>
      <w:r w:rsidR="003D108E">
        <w:t xml:space="preserve">18 of POCA </w:t>
      </w:r>
    </w:p>
  </w:footnote>
  <w:footnote w:id="4">
    <w:p w14:paraId="6D050669" w14:textId="4674D492" w:rsidR="00074980" w:rsidRDefault="00074980">
      <w:pPr>
        <w:pStyle w:val="FootnoteText"/>
      </w:pPr>
      <w:r>
        <w:rPr>
          <w:rStyle w:val="FootnoteReference"/>
        </w:rPr>
        <w:footnoteRef/>
      </w:r>
      <w:r>
        <w:t xml:space="preserve"> </w:t>
      </w:r>
      <w:r>
        <w:tab/>
        <w:t>Act 12 of 2004</w:t>
      </w:r>
    </w:p>
  </w:footnote>
  <w:footnote w:id="5">
    <w:p w14:paraId="5AD9C87C" w14:textId="5CE278B7" w:rsidR="000D37DF" w:rsidRDefault="000D37DF">
      <w:pPr>
        <w:pStyle w:val="FootnoteText"/>
      </w:pPr>
      <w:r>
        <w:rPr>
          <w:rStyle w:val="FootnoteReference"/>
        </w:rPr>
        <w:footnoteRef/>
      </w:r>
      <w:r>
        <w:t xml:space="preserve"> </w:t>
      </w:r>
      <w:r>
        <w:tab/>
      </w:r>
      <w:r w:rsidR="008A5CA6">
        <w:t>Vol 1 Annexure NCN1 to the founding affidavit of Dr Ndzengu</w:t>
      </w:r>
      <w:r w:rsidR="005272F2">
        <w:t xml:space="preserve">  pp</w:t>
      </w:r>
      <w:r>
        <w:t>76 to 178</w:t>
      </w:r>
    </w:p>
  </w:footnote>
  <w:footnote w:id="6">
    <w:p w14:paraId="0C8152F2" w14:textId="709E0811" w:rsidR="00FC3D25" w:rsidRDefault="00FC3D25">
      <w:pPr>
        <w:pStyle w:val="FootnoteText"/>
      </w:pPr>
      <w:r>
        <w:rPr>
          <w:rStyle w:val="FootnoteReference"/>
        </w:rPr>
        <w:footnoteRef/>
      </w:r>
      <w:r>
        <w:t xml:space="preserve"> </w:t>
      </w:r>
      <w:r>
        <w:tab/>
      </w:r>
      <w:r w:rsidR="00610A66">
        <w:t>R</w:t>
      </w:r>
      <w:r>
        <w:t>e</w:t>
      </w:r>
      <w:r w:rsidR="00610A66">
        <w:t xml:space="preserve">presented in the criminal trial by the seventh defendant, who is one of two of its directors. The second director, the fourteenth respondent has not been </w:t>
      </w:r>
      <w:r w:rsidR="00665DEB">
        <w:t>charged by the NDPP.</w:t>
      </w:r>
    </w:p>
  </w:footnote>
  <w:footnote w:id="7">
    <w:p w14:paraId="6BFED136" w14:textId="56DEABCA" w:rsidR="00536869" w:rsidRDefault="00536869">
      <w:pPr>
        <w:pStyle w:val="FootnoteText"/>
      </w:pPr>
      <w:r>
        <w:rPr>
          <w:rStyle w:val="FootnoteReference"/>
        </w:rPr>
        <w:footnoteRef/>
      </w:r>
      <w:r>
        <w:t xml:space="preserve"> </w:t>
      </w:r>
      <w:r w:rsidRPr="00536869">
        <w:rPr>
          <w:rFonts w:cs="Arial"/>
        </w:rPr>
        <w:t>The full extent of the provisional restraint order granted by Justice Schoeman</w:t>
      </w:r>
      <w:r>
        <w:rPr>
          <w:rFonts w:cs="Arial"/>
        </w:rPr>
        <w:t xml:space="preserve"> is at </w:t>
      </w:r>
      <w:r w:rsidR="004154CC">
        <w:rPr>
          <w:rFonts w:cs="Arial"/>
        </w:rPr>
        <w:t>Vol9 p</w:t>
      </w:r>
      <w:r w:rsidR="00651D6E">
        <w:rPr>
          <w:rFonts w:cs="Arial"/>
        </w:rPr>
        <w:t xml:space="preserve"> </w:t>
      </w:r>
      <w:r w:rsidR="004154CC">
        <w:rPr>
          <w:rFonts w:cs="Arial"/>
        </w:rPr>
        <w:t>2643</w:t>
      </w:r>
    </w:p>
  </w:footnote>
  <w:footnote w:id="8">
    <w:p w14:paraId="3667CF88" w14:textId="377146EA" w:rsidR="00651D6E" w:rsidRDefault="00651D6E">
      <w:pPr>
        <w:pStyle w:val="FootnoteText"/>
      </w:pPr>
      <w:r>
        <w:rPr>
          <w:rStyle w:val="FootnoteReference"/>
        </w:rPr>
        <w:footnoteRef/>
      </w:r>
      <w:r>
        <w:t xml:space="preserve"> </w:t>
      </w:r>
      <w:r w:rsidRPr="00536869">
        <w:rPr>
          <w:rFonts w:cs="Arial"/>
        </w:rPr>
        <w:t xml:space="preserve">The full extent of the provisional restraint </w:t>
      </w:r>
      <w:r>
        <w:rPr>
          <w:rFonts w:cs="Arial"/>
        </w:rPr>
        <w:t>is filed on record.</w:t>
      </w:r>
    </w:p>
  </w:footnote>
  <w:footnote w:id="9">
    <w:p w14:paraId="4EFAF562" w14:textId="6D0CF723" w:rsidR="00811EC6" w:rsidRPr="00A83DA6" w:rsidRDefault="00811EC6">
      <w:pPr>
        <w:pStyle w:val="FootnoteText"/>
      </w:pPr>
      <w:r>
        <w:rPr>
          <w:rStyle w:val="FootnoteReference"/>
        </w:rPr>
        <w:footnoteRef/>
      </w:r>
      <w:r>
        <w:t xml:space="preserve"> </w:t>
      </w:r>
      <w:r>
        <w:tab/>
      </w:r>
      <w:r>
        <w:rPr>
          <w:i/>
        </w:rPr>
        <w:t xml:space="preserve">NDPP v Kyriacou </w:t>
      </w:r>
      <w:r>
        <w:t>2014 (1) SA 379 (SCA)</w:t>
      </w:r>
    </w:p>
  </w:footnote>
  <w:footnote w:id="10">
    <w:p w14:paraId="555EE495" w14:textId="00A6004F" w:rsidR="00811EC6" w:rsidRDefault="00811EC6">
      <w:pPr>
        <w:pStyle w:val="FootnoteText"/>
      </w:pPr>
      <w:r>
        <w:rPr>
          <w:rStyle w:val="FootnoteReference"/>
        </w:rPr>
        <w:footnoteRef/>
      </w:r>
      <w:r>
        <w:t xml:space="preserve"> </w:t>
      </w:r>
      <w:r>
        <w:tab/>
      </w:r>
      <w:r w:rsidR="00CD6A11">
        <w:t>s</w:t>
      </w:r>
      <w:r>
        <w:t>25(1)(a)(ii) of POCA</w:t>
      </w:r>
    </w:p>
  </w:footnote>
  <w:footnote w:id="11">
    <w:p w14:paraId="02FD6187" w14:textId="5957270A" w:rsidR="003C0EBE" w:rsidRPr="00A83DA6" w:rsidRDefault="003C0EBE" w:rsidP="003C0EBE">
      <w:pPr>
        <w:pStyle w:val="FootnoteText"/>
      </w:pPr>
      <w:r>
        <w:rPr>
          <w:rStyle w:val="FootnoteReference"/>
        </w:rPr>
        <w:footnoteRef/>
      </w:r>
      <w:r>
        <w:t xml:space="preserve"> </w:t>
      </w:r>
      <w:r>
        <w:tab/>
      </w:r>
      <w:r w:rsidR="00B84F05">
        <w:rPr>
          <w:i/>
        </w:rPr>
        <w:t>Kyriacou, s</w:t>
      </w:r>
      <w:r>
        <w:rPr>
          <w:i/>
        </w:rPr>
        <w:t>upra</w:t>
      </w:r>
      <w:r>
        <w:t xml:space="preserve"> at para [10] fn 18</w:t>
      </w:r>
    </w:p>
  </w:footnote>
  <w:footnote w:id="12">
    <w:p w14:paraId="4D267A02" w14:textId="33C2B159" w:rsidR="00811EC6" w:rsidRPr="00A83DA6" w:rsidRDefault="00811EC6">
      <w:pPr>
        <w:pStyle w:val="FootnoteText"/>
      </w:pPr>
      <w:r>
        <w:rPr>
          <w:rStyle w:val="FootnoteReference"/>
        </w:rPr>
        <w:footnoteRef/>
      </w:r>
      <w:r>
        <w:t xml:space="preserve"> </w:t>
      </w:r>
      <w:r>
        <w:tab/>
      </w:r>
      <w:r>
        <w:rPr>
          <w:i/>
        </w:rPr>
        <w:t>The National Director of Public Prosecutions v Rautenbach and Others</w:t>
      </w:r>
      <w:r>
        <w:t xml:space="preserve"> 2005 (4) SA 603 (SCA)</w:t>
      </w:r>
    </w:p>
  </w:footnote>
  <w:footnote w:id="13">
    <w:p w14:paraId="4C77D2AA" w14:textId="2F96DD56" w:rsidR="00811EC6" w:rsidRPr="00811EC6" w:rsidRDefault="00811EC6">
      <w:pPr>
        <w:pStyle w:val="FootnoteText"/>
      </w:pPr>
      <w:r>
        <w:rPr>
          <w:rStyle w:val="FootnoteReference"/>
        </w:rPr>
        <w:footnoteRef/>
      </w:r>
      <w:r>
        <w:t xml:space="preserve"> </w:t>
      </w:r>
      <w:r>
        <w:tab/>
        <w:t xml:space="preserve">Quoted with approval in </w:t>
      </w:r>
      <w:r>
        <w:rPr>
          <w:i/>
        </w:rPr>
        <w:t>National Director of Public Prosecutions v Wood and Others</w:t>
      </w:r>
      <w:r>
        <w:t xml:space="preserve"> [2020] 3 All SA 179 (GJ) per Keightley J for the Full Bench at paras [32] and [33]</w:t>
      </w:r>
    </w:p>
  </w:footnote>
  <w:footnote w:id="14">
    <w:p w14:paraId="31D330DF" w14:textId="45DA5758" w:rsidR="00C146AF" w:rsidRPr="00811EC6" w:rsidRDefault="00C146AF" w:rsidP="00C146AF">
      <w:pPr>
        <w:pStyle w:val="FootnoteText"/>
      </w:pPr>
      <w:r>
        <w:rPr>
          <w:rStyle w:val="FootnoteReference"/>
        </w:rPr>
        <w:footnoteRef/>
      </w:r>
      <w:r>
        <w:t xml:space="preserve"> </w:t>
      </w:r>
      <w:r>
        <w:tab/>
      </w:r>
      <w:r>
        <w:rPr>
          <w:i/>
        </w:rPr>
        <w:t xml:space="preserve">Wood </w:t>
      </w:r>
      <w:r>
        <w:t>(</w:t>
      </w:r>
      <w:r>
        <w:rPr>
          <w:i/>
        </w:rPr>
        <w:t>supra</w:t>
      </w:r>
      <w:r>
        <w:t xml:space="preserve">) at para </w:t>
      </w:r>
      <w:r w:rsidR="008458E4">
        <w:t xml:space="preserve"> [5] and </w:t>
      </w:r>
      <w:r>
        <w:t>[92]</w:t>
      </w:r>
      <w:r w:rsidR="00900E3A">
        <w:t xml:space="preserve">. In this matter the NDPP relied on s25(1)(b) of POCA </w:t>
      </w:r>
    </w:p>
  </w:footnote>
  <w:footnote w:id="15">
    <w:p w14:paraId="6F03BED2" w14:textId="2D46AF56" w:rsidR="008A79D0" w:rsidRDefault="008A79D0" w:rsidP="008A79D0">
      <w:pPr>
        <w:pStyle w:val="FootnoteText"/>
      </w:pPr>
      <w:r>
        <w:rPr>
          <w:rStyle w:val="FootnoteReference"/>
        </w:rPr>
        <w:footnoteRef/>
      </w:r>
      <w:r>
        <w:t xml:space="preserve"> </w:t>
      </w:r>
      <w:r>
        <w:tab/>
      </w:r>
      <w:r w:rsidR="00474BE3" w:rsidRPr="00474BE3">
        <w:rPr>
          <w:rFonts w:cs="Arial"/>
          <w:i/>
          <w:szCs w:val="24"/>
        </w:rPr>
        <w:t>ND</w:t>
      </w:r>
      <w:r w:rsidR="00474BE3">
        <w:rPr>
          <w:rFonts w:cs="Arial"/>
          <w:i/>
          <w:szCs w:val="24"/>
        </w:rPr>
        <w:t>P</w:t>
      </w:r>
      <w:r w:rsidR="00474BE3" w:rsidRPr="00474BE3">
        <w:rPr>
          <w:rFonts w:cs="Arial"/>
          <w:i/>
          <w:szCs w:val="24"/>
        </w:rPr>
        <w:t>P v Procopos</w:t>
      </w:r>
      <w:r w:rsidR="00474BE3" w:rsidRPr="00474BE3">
        <w:rPr>
          <w:rFonts w:cs="Arial"/>
          <w:szCs w:val="24"/>
        </w:rPr>
        <w:t>,</w:t>
      </w:r>
      <w:r>
        <w:t>2009 (1) SACR 468 (SCA) at para [35]</w:t>
      </w:r>
    </w:p>
  </w:footnote>
  <w:footnote w:id="16">
    <w:p w14:paraId="72577EDA" w14:textId="133B5FF5" w:rsidR="00975ED6" w:rsidRDefault="00975ED6">
      <w:pPr>
        <w:pStyle w:val="FootnoteText"/>
      </w:pPr>
      <w:r>
        <w:rPr>
          <w:rStyle w:val="FootnoteReference"/>
        </w:rPr>
        <w:footnoteRef/>
      </w:r>
      <w:r>
        <w:t xml:space="preserve"> Section 179 of Act 106 of 1996</w:t>
      </w:r>
    </w:p>
  </w:footnote>
  <w:footnote w:id="17">
    <w:p w14:paraId="1A05DF3C" w14:textId="144FBD53" w:rsidR="003F3EC9" w:rsidRDefault="003F3EC9" w:rsidP="009711EA">
      <w:pPr>
        <w:spacing w:before="480" w:after="0" w:line="480" w:lineRule="auto"/>
        <w:ind w:left="-142" w:firstLine="142"/>
      </w:pPr>
      <w:r>
        <w:rPr>
          <w:rStyle w:val="FootnoteReference"/>
        </w:rPr>
        <w:footnoteRef/>
      </w:r>
      <w:r>
        <w:rPr>
          <w:i/>
          <w:iCs/>
          <w:sz w:val="20"/>
          <w:szCs w:val="20"/>
          <w:lang w:val="en-GB"/>
        </w:rPr>
        <w:t xml:space="preserve">     </w:t>
      </w:r>
      <w:r w:rsidRPr="003F3EC9">
        <w:rPr>
          <w:i/>
          <w:iCs/>
          <w:sz w:val="20"/>
          <w:szCs w:val="20"/>
          <w:lang w:val="en-GB"/>
        </w:rPr>
        <w:t>Natal Joint Municipal Pension Fund v Endumeni Municipality</w:t>
      </w:r>
      <w:r w:rsidRPr="003F3EC9">
        <w:rPr>
          <w:sz w:val="20"/>
          <w:szCs w:val="20"/>
        </w:rPr>
        <w:t xml:space="preserve"> </w:t>
      </w:r>
      <w:r w:rsidRPr="003F3EC9">
        <w:rPr>
          <w:sz w:val="20"/>
          <w:szCs w:val="20"/>
          <w:lang w:val="en-GB"/>
        </w:rPr>
        <w:t xml:space="preserve"> </w:t>
      </w:r>
      <w:hyperlink r:id="rId1" w:tooltip="View LawCiteRecord" w:history="1">
        <w:r w:rsidRPr="003F3EC9">
          <w:rPr>
            <w:sz w:val="20"/>
            <w:szCs w:val="20"/>
            <w:lang w:val="en-GB"/>
          </w:rPr>
          <w:t>2012 (4) SA 593</w:t>
        </w:r>
      </w:hyperlink>
      <w:r w:rsidRPr="003F3EC9">
        <w:rPr>
          <w:sz w:val="20"/>
          <w:szCs w:val="20"/>
          <w:lang w:val="en-GB"/>
        </w:rPr>
        <w:t xml:space="preserve"> (SCA)</w:t>
      </w:r>
    </w:p>
  </w:footnote>
  <w:footnote w:id="18">
    <w:p w14:paraId="26FD0961" w14:textId="77777777" w:rsidR="00ED1A86" w:rsidRDefault="00ED1A86" w:rsidP="00ED1A86">
      <w:pPr>
        <w:pStyle w:val="FootnoteText"/>
      </w:pPr>
      <w:r>
        <w:rPr>
          <w:rStyle w:val="FootnoteReference"/>
        </w:rPr>
        <w:footnoteRef/>
      </w:r>
      <w:r>
        <w:t xml:space="preserve"> </w:t>
      </w:r>
      <w:r>
        <w:tab/>
        <w:t>2002 (2) SACR 196 (CC) at paras [15] and [16]</w:t>
      </w:r>
    </w:p>
  </w:footnote>
  <w:footnote w:id="19">
    <w:p w14:paraId="32C568D7" w14:textId="75D3EE94" w:rsidR="00811EC6" w:rsidRDefault="00811EC6">
      <w:pPr>
        <w:pStyle w:val="FootnoteText"/>
      </w:pPr>
      <w:r>
        <w:rPr>
          <w:rStyle w:val="FootnoteReference"/>
        </w:rPr>
        <w:footnoteRef/>
      </w:r>
      <w:r>
        <w:t xml:space="preserve"> </w:t>
      </w:r>
      <w:r>
        <w:tab/>
      </w:r>
      <w:r w:rsidR="003328C5">
        <w:t>s</w:t>
      </w:r>
      <w:r w:rsidR="00CC019B">
        <w:t xml:space="preserve">6 of the Securities Transfer Act </w:t>
      </w:r>
      <w:r w:rsidR="007B423E">
        <w:t>26 of 2007</w:t>
      </w:r>
      <w:r w:rsidR="003328C5">
        <w:t xml:space="preserve"> states </w:t>
      </w:r>
    </w:p>
    <w:p w14:paraId="5711486E" w14:textId="0456A1D9" w:rsidR="003328C5" w:rsidRDefault="003328C5">
      <w:pPr>
        <w:pStyle w:val="FootnoteText"/>
      </w:pPr>
      <w:r>
        <w:tab/>
        <w:t>“</w:t>
      </w:r>
      <w:r w:rsidRPr="003328C5">
        <w:rPr>
          <w:i/>
          <w:iCs/>
        </w:rPr>
        <w:t xml:space="preserve">the amount </w:t>
      </w:r>
      <w:r w:rsidRPr="003328C5">
        <w:rPr>
          <w:b/>
          <w:bCs/>
          <w:i/>
          <w:iCs/>
        </w:rPr>
        <w:t>or market value of the consideration given</w:t>
      </w:r>
      <w:r w:rsidRPr="003328C5">
        <w:rPr>
          <w:i/>
          <w:iCs/>
        </w:rPr>
        <w:t xml:space="preserve"> or, where </w:t>
      </w:r>
      <w:r w:rsidRPr="003328C5">
        <w:rPr>
          <w:b/>
          <w:bCs/>
          <w:i/>
          <w:iCs/>
        </w:rPr>
        <w:t>no consideration is given</w:t>
      </w:r>
      <w:r w:rsidRPr="003328C5">
        <w:rPr>
          <w:i/>
          <w:iCs/>
        </w:rPr>
        <w:t xml:space="preserve"> or the consideration given is less than the market value of that security, </w:t>
      </w:r>
      <w:r w:rsidRPr="003328C5">
        <w:rPr>
          <w:b/>
          <w:bCs/>
          <w:i/>
          <w:iCs/>
        </w:rPr>
        <w:t>the market value of that security</w:t>
      </w:r>
      <w:r>
        <w:t>;</w:t>
      </w:r>
    </w:p>
  </w:footnote>
  <w:footnote w:id="20">
    <w:p w14:paraId="4DEB9661" w14:textId="3BCEB253" w:rsidR="00811EC6" w:rsidRDefault="00811EC6">
      <w:pPr>
        <w:pStyle w:val="FootnoteText"/>
        <w:rPr>
          <w:i/>
          <w:lang w:val="en-GB"/>
        </w:rPr>
      </w:pPr>
      <w:r>
        <w:rPr>
          <w:rStyle w:val="FootnoteReference"/>
        </w:rPr>
        <w:footnoteRef/>
      </w:r>
      <w:r>
        <w:t xml:space="preserve"> </w:t>
      </w:r>
      <w:r>
        <w:rPr>
          <w:lang w:val="en-GB"/>
        </w:rPr>
        <w:tab/>
      </w:r>
      <w:r w:rsidR="003328C5">
        <w:rPr>
          <w:lang w:val="en-GB"/>
        </w:rPr>
        <w:t>s</w:t>
      </w:r>
      <w:r>
        <w:rPr>
          <w:lang w:val="en-GB"/>
        </w:rPr>
        <w:t>15(1) of POCA states that: “</w:t>
      </w:r>
      <w:r>
        <w:rPr>
          <w:i/>
          <w:lang w:val="en-GB"/>
        </w:rPr>
        <w:t>The value of property … in relation to any person holding the property shall be –</w:t>
      </w:r>
    </w:p>
    <w:p w14:paraId="00753ECB" w14:textId="337695E3" w:rsidR="00811EC6" w:rsidRDefault="00811EC6" w:rsidP="002A49EB">
      <w:pPr>
        <w:pStyle w:val="FootnoteText"/>
        <w:tabs>
          <w:tab w:val="clear" w:pos="454"/>
          <w:tab w:val="left" w:pos="851"/>
        </w:tabs>
        <w:ind w:left="851" w:hanging="425"/>
        <w:rPr>
          <w:i/>
          <w:lang w:val="en-GB"/>
        </w:rPr>
      </w:pPr>
      <w:r>
        <w:rPr>
          <w:i/>
          <w:lang w:val="en-GB"/>
        </w:rPr>
        <w:t>(a)</w:t>
      </w:r>
      <w:r>
        <w:rPr>
          <w:i/>
          <w:lang w:val="en-GB"/>
        </w:rPr>
        <w:tab/>
        <w:t>where any other person holds an interest in the property –</w:t>
      </w:r>
    </w:p>
    <w:p w14:paraId="6818A485" w14:textId="734FAB54" w:rsidR="00811EC6" w:rsidRDefault="00811EC6" w:rsidP="002A49EB">
      <w:pPr>
        <w:pStyle w:val="FootnoteText"/>
        <w:tabs>
          <w:tab w:val="clear" w:pos="454"/>
          <w:tab w:val="left" w:pos="1276"/>
        </w:tabs>
        <w:ind w:left="1276" w:hanging="425"/>
        <w:rPr>
          <w:i/>
          <w:lang w:val="en-GB"/>
        </w:rPr>
      </w:pPr>
      <w:r>
        <w:rPr>
          <w:i/>
          <w:lang w:val="en-GB"/>
        </w:rPr>
        <w:t>(i)</w:t>
      </w:r>
      <w:r>
        <w:rPr>
          <w:i/>
          <w:lang w:val="en-GB"/>
        </w:rPr>
        <w:tab/>
        <w:t>the market value of property less</w:t>
      </w:r>
    </w:p>
    <w:p w14:paraId="49C3A3A9" w14:textId="3328A6A4" w:rsidR="00811EC6" w:rsidRPr="002A49EB" w:rsidRDefault="00811EC6" w:rsidP="002A49EB">
      <w:pPr>
        <w:pStyle w:val="FootnoteText"/>
        <w:tabs>
          <w:tab w:val="clear" w:pos="454"/>
          <w:tab w:val="left" w:pos="1276"/>
        </w:tabs>
        <w:ind w:left="1276" w:hanging="425"/>
        <w:rPr>
          <w:i/>
          <w:lang w:val="en-GB"/>
        </w:rPr>
      </w:pPr>
      <w:r>
        <w:rPr>
          <w:i/>
          <w:lang w:val="en-GB"/>
        </w:rPr>
        <w:t>(ii)</w:t>
      </w:r>
      <w:r>
        <w:rPr>
          <w:i/>
          <w:lang w:val="en-GB"/>
        </w:rPr>
        <w:tab/>
        <w:t>the amount required to discharge any encumbrance on the property</w:t>
      </w:r>
      <w:r>
        <w:rPr>
          <w:lang w:val="en-GB"/>
        </w:rPr>
        <w:t>”</w:t>
      </w:r>
    </w:p>
  </w:footnote>
  <w:footnote w:id="21">
    <w:p w14:paraId="67BBB47F" w14:textId="20537D9C" w:rsidR="00315313" w:rsidRDefault="00315313">
      <w:pPr>
        <w:pStyle w:val="FootnoteText"/>
      </w:pPr>
      <w:r>
        <w:rPr>
          <w:rStyle w:val="FootnoteReference"/>
        </w:rPr>
        <w:footnoteRef/>
      </w:r>
      <w:r>
        <w:t xml:space="preserve">  T</w:t>
      </w:r>
      <w:r w:rsidR="00577FA2">
        <w:t>he t</w:t>
      </w:r>
      <w:r>
        <w:t xml:space="preserve">ransfer of </w:t>
      </w:r>
      <w:r w:rsidR="00577FA2">
        <w:t>ownership of immovable property is recorded by the registration of the title deed</w:t>
      </w:r>
      <w:r w:rsidR="003E51E4">
        <w:t xml:space="preserve"> in the name of purchaser.</w:t>
      </w:r>
      <w:r w:rsidR="00577FA2">
        <w:t xml:space="preserve"> </w:t>
      </w:r>
    </w:p>
  </w:footnote>
  <w:footnote w:id="22">
    <w:p w14:paraId="1D89F985" w14:textId="653DC05A" w:rsidR="00667675" w:rsidRDefault="00667675">
      <w:pPr>
        <w:pStyle w:val="FootnoteText"/>
      </w:pPr>
      <w:r>
        <w:rPr>
          <w:rStyle w:val="FootnoteReference"/>
        </w:rPr>
        <w:footnoteRef/>
      </w:r>
      <w:r>
        <w:t xml:space="preserve"> </w:t>
      </w:r>
      <w:r w:rsidR="00162B4A">
        <w:t xml:space="preserve"> </w:t>
      </w:r>
      <w:r w:rsidR="00617216">
        <w:t>s</w:t>
      </w:r>
      <w:r w:rsidR="00046586">
        <w:t xml:space="preserve">6(1)(s) and (3) </w:t>
      </w:r>
      <w:r w:rsidR="00617216">
        <w:t xml:space="preserve"> of the</w:t>
      </w:r>
      <w:r w:rsidR="00617216" w:rsidRPr="00617216">
        <w:rPr>
          <w:u w:val="single"/>
        </w:rPr>
        <w:t xml:space="preserve"> </w:t>
      </w:r>
      <w:r w:rsidR="00617216" w:rsidRPr="0065500D">
        <w:rPr>
          <w:u w:val="single"/>
        </w:rPr>
        <w:t>Alienation of Land Act</w:t>
      </w:r>
      <w:r w:rsidR="00617216">
        <w:t xml:space="preserve"> 68 of 1981, requires </w:t>
      </w:r>
      <w:r w:rsidR="009C0B45">
        <w:t xml:space="preserve">the term of payment to be recorded. If there </w:t>
      </w:r>
      <w:r w:rsidR="00072D76">
        <w:t xml:space="preserve">are instalment </w:t>
      </w:r>
      <w:r w:rsidR="009C0B45">
        <w:t>payment</w:t>
      </w:r>
      <w:r w:rsidR="00072D76">
        <w:t>s</w:t>
      </w:r>
      <w:r w:rsidR="009C0B45">
        <w:t xml:space="preserve"> </w:t>
      </w:r>
      <w:r w:rsidR="00CF136A">
        <w:t xml:space="preserve">for the purchase of the land, </w:t>
      </w:r>
      <w:r w:rsidR="00072D76">
        <w:t>r</w:t>
      </w:r>
      <w:r w:rsidR="00162B4A">
        <w:t>egistration</w:t>
      </w:r>
      <w:r w:rsidR="00CF136A">
        <w:t xml:space="preserve"> of the agreement </w:t>
      </w:r>
      <w:r w:rsidR="00162B4A">
        <w:t xml:space="preserve">is required by s20 of the </w:t>
      </w:r>
      <w:bookmarkStart w:id="11" w:name="_Hlk142318228"/>
      <w:r w:rsidR="00162B4A" w:rsidRPr="0065500D">
        <w:rPr>
          <w:u w:val="single"/>
        </w:rPr>
        <w:t>Alienation of Land Act</w:t>
      </w:r>
      <w:r w:rsidR="00162B4A">
        <w:t xml:space="preserve"> </w:t>
      </w:r>
      <w:r w:rsidR="009C1F7E">
        <w:t>68</w:t>
      </w:r>
      <w:r w:rsidR="00162B4A">
        <w:t xml:space="preserve"> of 19</w:t>
      </w:r>
      <w:r w:rsidR="009C1F7E">
        <w:t>81</w:t>
      </w:r>
      <w:bookmarkEnd w:id="11"/>
      <w:r w:rsidR="00072D76">
        <w:t xml:space="preserve"> to make the instalment payments due and payable</w:t>
      </w:r>
    </w:p>
  </w:footnote>
  <w:footnote w:id="23">
    <w:p w14:paraId="3E6E06FE" w14:textId="0D240E8B" w:rsidR="00621CAF" w:rsidRDefault="00621CAF">
      <w:pPr>
        <w:pStyle w:val="FootnoteText"/>
      </w:pPr>
      <w:r>
        <w:rPr>
          <w:rStyle w:val="FootnoteReference"/>
        </w:rPr>
        <w:footnoteRef/>
      </w:r>
      <w:r>
        <w:t xml:space="preserve"> </w:t>
      </w:r>
      <w:r w:rsidR="00604E6D" w:rsidRPr="00604E6D">
        <w:rPr>
          <w:i/>
          <w:iCs/>
        </w:rPr>
        <w:t>Amardian and Others v Registrar of Deeds and Others</w:t>
      </w:r>
      <w:r w:rsidR="00604E6D">
        <w:t xml:space="preserve"> </w:t>
      </w:r>
      <w:r w:rsidR="00454637">
        <w:t>2019 (3) SA 341 (CC)</w:t>
      </w:r>
    </w:p>
  </w:footnote>
  <w:footnote w:id="24">
    <w:p w14:paraId="286CFAE4" w14:textId="5C12898D" w:rsidR="00811EC6" w:rsidRPr="00D15E9C" w:rsidRDefault="00811EC6" w:rsidP="00EB52AD">
      <w:pPr>
        <w:pStyle w:val="FootnoteText"/>
        <w:rPr>
          <w:lang w:val="en-GB"/>
        </w:rPr>
      </w:pPr>
      <w:r>
        <w:rPr>
          <w:rStyle w:val="FootnoteReference"/>
        </w:rPr>
        <w:footnoteRef/>
      </w:r>
      <w:r>
        <w:t xml:space="preserve"> </w:t>
      </w:r>
      <w:r>
        <w:rPr>
          <w:lang w:val="en-GB"/>
        </w:rPr>
        <w:tab/>
        <w:t>Court bundle vol 8 p 2757</w:t>
      </w:r>
      <w:r w:rsidR="00751427" w:rsidRPr="00751427">
        <w:rPr>
          <w:rFonts w:cs="Arial"/>
        </w:rPr>
        <w:t xml:space="preserve"> The Novara Investment Trust acquired the shareholding in the eighteenth respondent from the Matisse Trust, which had itself acquired the shareholding from the Vera Trust</w:t>
      </w:r>
      <w:r w:rsidR="00751427">
        <w:rPr>
          <w:rFonts w:cs="Arial"/>
        </w:rPr>
        <w:t>.</w:t>
      </w:r>
      <w:r w:rsidR="008F42FA">
        <w:rPr>
          <w:rFonts w:cs="Arial"/>
        </w:rPr>
        <w:t xml:space="preserve"> T</w:t>
      </w:r>
      <w:r w:rsidR="007E4ED7">
        <w:rPr>
          <w:rFonts w:cs="Arial"/>
        </w:rPr>
        <w:t>h</w:t>
      </w:r>
      <w:r w:rsidR="008F42FA">
        <w:rPr>
          <w:rFonts w:cs="Arial"/>
        </w:rPr>
        <w:t xml:space="preserve">ere is no explanation in the papers of the relationship between these </w:t>
      </w:r>
      <w:r w:rsidR="007E4ED7">
        <w:rPr>
          <w:rFonts w:cs="Arial"/>
        </w:rPr>
        <w:t xml:space="preserve">entities. </w:t>
      </w:r>
    </w:p>
  </w:footnote>
  <w:footnote w:id="25">
    <w:p w14:paraId="5ABB3BF2" w14:textId="4CB134A8" w:rsidR="005C2BB1" w:rsidRDefault="005C2BB1">
      <w:pPr>
        <w:pStyle w:val="FootnoteText"/>
      </w:pPr>
      <w:r>
        <w:rPr>
          <w:rStyle w:val="FootnoteReference"/>
        </w:rPr>
        <w:footnoteRef/>
      </w:r>
      <w:r>
        <w:t xml:space="preserve"> </w:t>
      </w:r>
      <w:r>
        <w:tab/>
        <w:t>A trust</w:t>
      </w:r>
      <w:r w:rsidR="007E4ED7">
        <w:t xml:space="preserve"> is created by the deed of trust. I</w:t>
      </w:r>
      <w:r w:rsidR="00E81764">
        <w:t xml:space="preserve">t is not a separate legal entity. </w:t>
      </w:r>
      <w:r w:rsidR="00195564">
        <w:t xml:space="preserve">It is </w:t>
      </w:r>
      <w:r w:rsidR="00EE490A">
        <w:t>represented by its trustees</w:t>
      </w:r>
      <w:r w:rsidR="005D07F1">
        <w:t xml:space="preserve">. </w:t>
      </w:r>
      <w:r w:rsidR="00A81082">
        <w:t>A trust has no separate existence absent a deed of trust and appointment of trustees.</w:t>
      </w:r>
    </w:p>
  </w:footnote>
  <w:footnote w:id="26">
    <w:p w14:paraId="77E1BF10" w14:textId="77777777" w:rsidR="00811EC6" w:rsidRPr="00D15E9C" w:rsidRDefault="00811EC6" w:rsidP="00EB52AD">
      <w:pPr>
        <w:pStyle w:val="FootnoteText"/>
        <w:rPr>
          <w:lang w:val="en-GB"/>
        </w:rPr>
      </w:pPr>
      <w:r>
        <w:rPr>
          <w:rStyle w:val="FootnoteReference"/>
        </w:rPr>
        <w:footnoteRef/>
      </w:r>
      <w:r>
        <w:t xml:space="preserve"> </w:t>
      </w:r>
      <w:r>
        <w:rPr>
          <w:lang w:val="en-GB"/>
        </w:rPr>
        <w:tab/>
        <w:t>Court bundle vol 8 p 2761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EA29E" w14:textId="4579283C" w:rsidR="00811EC6" w:rsidRDefault="00811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480303814"/>
      <w:docPartObj>
        <w:docPartGallery w:val="Page Numbers (Top of Page)"/>
        <w:docPartUnique/>
      </w:docPartObj>
    </w:sdtPr>
    <w:sdtEndPr>
      <w:rPr>
        <w:noProof/>
      </w:rPr>
    </w:sdtEndPr>
    <w:sdtContent>
      <w:p w14:paraId="78426A58" w14:textId="701FD42A" w:rsidR="00811EC6" w:rsidRPr="00B01F1D" w:rsidRDefault="00811EC6">
        <w:pPr>
          <w:pStyle w:val="Header"/>
          <w:jc w:val="right"/>
          <w:rPr>
            <w:rFonts w:cs="Arial"/>
            <w:noProof/>
          </w:rPr>
        </w:pPr>
        <w:r w:rsidRPr="00B01F1D">
          <w:rPr>
            <w:rFonts w:cs="Arial"/>
          </w:rPr>
          <w:fldChar w:fldCharType="begin"/>
        </w:r>
        <w:r w:rsidRPr="00B01F1D">
          <w:rPr>
            <w:rFonts w:cs="Arial"/>
          </w:rPr>
          <w:instrText xml:space="preserve"> PAGE   \* MERGEFORMAT </w:instrText>
        </w:r>
        <w:r w:rsidRPr="00B01F1D">
          <w:rPr>
            <w:rFonts w:cs="Arial"/>
          </w:rPr>
          <w:fldChar w:fldCharType="separate"/>
        </w:r>
        <w:r w:rsidR="003A5448">
          <w:rPr>
            <w:rFonts w:cs="Arial"/>
            <w:noProof/>
          </w:rPr>
          <w:t>4</w:t>
        </w:r>
        <w:r w:rsidRPr="00B01F1D">
          <w:rPr>
            <w:rFonts w:cs="Arial"/>
            <w:noProof/>
          </w:rPr>
          <w:fldChar w:fldCharType="end"/>
        </w:r>
      </w:p>
      <w:p w14:paraId="3B9309ED" w14:textId="77777777" w:rsidR="00811EC6" w:rsidRPr="00B01F1D" w:rsidRDefault="00811EC6">
        <w:pPr>
          <w:pStyle w:val="Header"/>
          <w:jc w:val="right"/>
          <w:rPr>
            <w:rFonts w:cs="Arial"/>
            <w:noProof/>
          </w:rPr>
        </w:pPr>
      </w:p>
      <w:p w14:paraId="7F77A408" w14:textId="2D734E63" w:rsidR="00811EC6" w:rsidRPr="00B01F1D" w:rsidRDefault="00E818E8">
        <w:pPr>
          <w:pStyle w:val="Header"/>
          <w:jc w:val="right"/>
          <w:rPr>
            <w:rFonts w:cs="Arial"/>
          </w:rPr>
        </w:pPr>
      </w:p>
    </w:sdtContent>
  </w:sdt>
  <w:p w14:paraId="4C63A9ED" w14:textId="5409530C" w:rsidR="00811EC6" w:rsidRDefault="00811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9392B" w14:textId="246EB096" w:rsidR="00811EC6" w:rsidRDefault="00811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5A6E0F"/>
    <w:multiLevelType w:val="multilevel"/>
    <w:tmpl w:val="AED47B1C"/>
    <w:lvl w:ilvl="0">
      <w:start w:val="1"/>
      <w:numFmt w:val="decimal"/>
      <w:lvlText w:val="%1."/>
      <w:lvlJc w:val="left"/>
      <w:pPr>
        <w:tabs>
          <w:tab w:val="num" w:pos="720"/>
        </w:tabs>
        <w:ind w:left="720" w:hanging="720"/>
      </w:pPr>
      <w:rPr>
        <w:rFonts w:hint="default"/>
        <w:b w:val="0"/>
        <w:i w:val="0"/>
        <w:spacing w:val="-1"/>
        <w:w w:val="105"/>
        <w:sz w:val="24"/>
        <w:szCs w:val="24"/>
      </w:rPr>
    </w:lvl>
    <w:lvl w:ilvl="1">
      <w:start w:val="1"/>
      <w:numFmt w:val="decimal"/>
      <w:lvlText w:val="%1.%2"/>
      <w:lvlJc w:val="left"/>
      <w:pPr>
        <w:tabs>
          <w:tab w:val="num" w:pos="1588"/>
        </w:tabs>
        <w:ind w:left="1588" w:hanging="868"/>
      </w:pPr>
      <w:rPr>
        <w:rFonts w:hint="default"/>
        <w:spacing w:val="-1"/>
        <w:w w:val="98"/>
      </w:rPr>
    </w:lvl>
    <w:lvl w:ilvl="2">
      <w:start w:val="1"/>
      <w:numFmt w:val="decimal"/>
      <w:lvlText w:val="%1.%2.%3"/>
      <w:lvlJc w:val="left"/>
      <w:pPr>
        <w:tabs>
          <w:tab w:val="num" w:pos="2722"/>
        </w:tabs>
        <w:ind w:left="2722"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13F25D1"/>
    <w:multiLevelType w:val="hybridMultilevel"/>
    <w:tmpl w:val="DEAAD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45F03CF"/>
    <w:multiLevelType w:val="hybridMultilevel"/>
    <w:tmpl w:val="A70E36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0A44D97"/>
    <w:multiLevelType w:val="hybridMultilevel"/>
    <w:tmpl w:val="BEE4A7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2C7498D"/>
    <w:multiLevelType w:val="hybridMultilevel"/>
    <w:tmpl w:val="7A8A8E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C8"/>
    <w:rsid w:val="0000085C"/>
    <w:rsid w:val="00003733"/>
    <w:rsid w:val="00004E01"/>
    <w:rsid w:val="00016C31"/>
    <w:rsid w:val="000217E9"/>
    <w:rsid w:val="000229D0"/>
    <w:rsid w:val="000242F1"/>
    <w:rsid w:val="00031626"/>
    <w:rsid w:val="00033D59"/>
    <w:rsid w:val="000349E4"/>
    <w:rsid w:val="00041379"/>
    <w:rsid w:val="00044E10"/>
    <w:rsid w:val="00046586"/>
    <w:rsid w:val="000513AD"/>
    <w:rsid w:val="0005185D"/>
    <w:rsid w:val="00065CA5"/>
    <w:rsid w:val="00066903"/>
    <w:rsid w:val="00072D76"/>
    <w:rsid w:val="00073D32"/>
    <w:rsid w:val="00074980"/>
    <w:rsid w:val="000760BA"/>
    <w:rsid w:val="000915D1"/>
    <w:rsid w:val="00094819"/>
    <w:rsid w:val="000A6F74"/>
    <w:rsid w:val="000B0E23"/>
    <w:rsid w:val="000B3E4D"/>
    <w:rsid w:val="000B497B"/>
    <w:rsid w:val="000B577F"/>
    <w:rsid w:val="000B5CF8"/>
    <w:rsid w:val="000C4B18"/>
    <w:rsid w:val="000D37DF"/>
    <w:rsid w:val="000E050F"/>
    <w:rsid w:val="000E18EE"/>
    <w:rsid w:val="000E3240"/>
    <w:rsid w:val="000E38C3"/>
    <w:rsid w:val="000E66C6"/>
    <w:rsid w:val="000E78A4"/>
    <w:rsid w:val="000F7DE3"/>
    <w:rsid w:val="00103E82"/>
    <w:rsid w:val="00107643"/>
    <w:rsid w:val="00111E88"/>
    <w:rsid w:val="00112020"/>
    <w:rsid w:val="001134D6"/>
    <w:rsid w:val="00130B69"/>
    <w:rsid w:val="001328CD"/>
    <w:rsid w:val="0013388D"/>
    <w:rsid w:val="00137AF9"/>
    <w:rsid w:val="00141F58"/>
    <w:rsid w:val="00146EF5"/>
    <w:rsid w:val="0015269A"/>
    <w:rsid w:val="001568EF"/>
    <w:rsid w:val="0016125C"/>
    <w:rsid w:val="0016163A"/>
    <w:rsid w:val="00162B4A"/>
    <w:rsid w:val="001706D6"/>
    <w:rsid w:val="00171DAD"/>
    <w:rsid w:val="00172848"/>
    <w:rsid w:val="00177322"/>
    <w:rsid w:val="00186824"/>
    <w:rsid w:val="00190E62"/>
    <w:rsid w:val="00195564"/>
    <w:rsid w:val="0019704C"/>
    <w:rsid w:val="00197A4B"/>
    <w:rsid w:val="001A0922"/>
    <w:rsid w:val="001A0CA7"/>
    <w:rsid w:val="001A2240"/>
    <w:rsid w:val="001A2840"/>
    <w:rsid w:val="001B4CDC"/>
    <w:rsid w:val="001C07A4"/>
    <w:rsid w:val="001D4B5F"/>
    <w:rsid w:val="001D62A9"/>
    <w:rsid w:val="001D7F34"/>
    <w:rsid w:val="001E22F7"/>
    <w:rsid w:val="001E26E8"/>
    <w:rsid w:val="001E460A"/>
    <w:rsid w:val="001E5496"/>
    <w:rsid w:val="001E6630"/>
    <w:rsid w:val="001E6B3A"/>
    <w:rsid w:val="002018E6"/>
    <w:rsid w:val="00202829"/>
    <w:rsid w:val="00210099"/>
    <w:rsid w:val="00213DC8"/>
    <w:rsid w:val="00214A6C"/>
    <w:rsid w:val="00215D16"/>
    <w:rsid w:val="00215E92"/>
    <w:rsid w:val="00217AE1"/>
    <w:rsid w:val="00222972"/>
    <w:rsid w:val="002268A4"/>
    <w:rsid w:val="002327AD"/>
    <w:rsid w:val="00234A06"/>
    <w:rsid w:val="00236A1A"/>
    <w:rsid w:val="00236AC9"/>
    <w:rsid w:val="0023775A"/>
    <w:rsid w:val="00244A54"/>
    <w:rsid w:val="00247079"/>
    <w:rsid w:val="00251BE8"/>
    <w:rsid w:val="002553EB"/>
    <w:rsid w:val="0025773B"/>
    <w:rsid w:val="00257EB7"/>
    <w:rsid w:val="00262701"/>
    <w:rsid w:val="00262D54"/>
    <w:rsid w:val="0026461D"/>
    <w:rsid w:val="002648B9"/>
    <w:rsid w:val="0027480A"/>
    <w:rsid w:val="00276C0E"/>
    <w:rsid w:val="002811C8"/>
    <w:rsid w:val="0028789E"/>
    <w:rsid w:val="00291A08"/>
    <w:rsid w:val="002949B6"/>
    <w:rsid w:val="00297FE7"/>
    <w:rsid w:val="002A49EB"/>
    <w:rsid w:val="002B5FEC"/>
    <w:rsid w:val="002C0CD7"/>
    <w:rsid w:val="002D0499"/>
    <w:rsid w:val="002D0A7F"/>
    <w:rsid w:val="002D48A2"/>
    <w:rsid w:val="002D6DB8"/>
    <w:rsid w:val="002D74E5"/>
    <w:rsid w:val="002F2EEC"/>
    <w:rsid w:val="002F5C6D"/>
    <w:rsid w:val="002F7197"/>
    <w:rsid w:val="002F7503"/>
    <w:rsid w:val="002F7D34"/>
    <w:rsid w:val="00300BE3"/>
    <w:rsid w:val="00302FB9"/>
    <w:rsid w:val="00310203"/>
    <w:rsid w:val="00314EC2"/>
    <w:rsid w:val="00315313"/>
    <w:rsid w:val="003328C5"/>
    <w:rsid w:val="00334089"/>
    <w:rsid w:val="0033786C"/>
    <w:rsid w:val="00341C7D"/>
    <w:rsid w:val="0034788E"/>
    <w:rsid w:val="00347FBA"/>
    <w:rsid w:val="00353FEC"/>
    <w:rsid w:val="00354EF8"/>
    <w:rsid w:val="00355A3F"/>
    <w:rsid w:val="00356ACC"/>
    <w:rsid w:val="0036577E"/>
    <w:rsid w:val="00367C95"/>
    <w:rsid w:val="0037414E"/>
    <w:rsid w:val="003805A5"/>
    <w:rsid w:val="003815E6"/>
    <w:rsid w:val="0038294A"/>
    <w:rsid w:val="00384682"/>
    <w:rsid w:val="0038478D"/>
    <w:rsid w:val="003A099C"/>
    <w:rsid w:val="003A3258"/>
    <w:rsid w:val="003A4A7A"/>
    <w:rsid w:val="003A4A8C"/>
    <w:rsid w:val="003A5448"/>
    <w:rsid w:val="003B1645"/>
    <w:rsid w:val="003B2999"/>
    <w:rsid w:val="003B388F"/>
    <w:rsid w:val="003B52B8"/>
    <w:rsid w:val="003C0EBE"/>
    <w:rsid w:val="003C4C47"/>
    <w:rsid w:val="003C7C11"/>
    <w:rsid w:val="003D108E"/>
    <w:rsid w:val="003D465A"/>
    <w:rsid w:val="003D734F"/>
    <w:rsid w:val="003E51E4"/>
    <w:rsid w:val="003E61A6"/>
    <w:rsid w:val="003E73CB"/>
    <w:rsid w:val="003F2D71"/>
    <w:rsid w:val="003F30F3"/>
    <w:rsid w:val="003F3E8B"/>
    <w:rsid w:val="003F3EC9"/>
    <w:rsid w:val="003F7EBB"/>
    <w:rsid w:val="00406B18"/>
    <w:rsid w:val="0041134D"/>
    <w:rsid w:val="004116F5"/>
    <w:rsid w:val="0041370C"/>
    <w:rsid w:val="00414FEC"/>
    <w:rsid w:val="004154CC"/>
    <w:rsid w:val="004157C9"/>
    <w:rsid w:val="00415B77"/>
    <w:rsid w:val="0042093D"/>
    <w:rsid w:val="00420B6C"/>
    <w:rsid w:val="00421233"/>
    <w:rsid w:val="00421F28"/>
    <w:rsid w:val="00427799"/>
    <w:rsid w:val="0043210E"/>
    <w:rsid w:val="0043497D"/>
    <w:rsid w:val="00436DF3"/>
    <w:rsid w:val="00437EE7"/>
    <w:rsid w:val="0044138F"/>
    <w:rsid w:val="004433D1"/>
    <w:rsid w:val="00447350"/>
    <w:rsid w:val="00454637"/>
    <w:rsid w:val="00463A38"/>
    <w:rsid w:val="00466EA8"/>
    <w:rsid w:val="00467051"/>
    <w:rsid w:val="004709DD"/>
    <w:rsid w:val="00474BE3"/>
    <w:rsid w:val="004812C8"/>
    <w:rsid w:val="0048544E"/>
    <w:rsid w:val="004908D6"/>
    <w:rsid w:val="004910A8"/>
    <w:rsid w:val="0049256A"/>
    <w:rsid w:val="00492610"/>
    <w:rsid w:val="004A3CA1"/>
    <w:rsid w:val="004A5EF4"/>
    <w:rsid w:val="004B04E7"/>
    <w:rsid w:val="004B2915"/>
    <w:rsid w:val="004B5B39"/>
    <w:rsid w:val="004C137E"/>
    <w:rsid w:val="004D1DF3"/>
    <w:rsid w:val="004F2623"/>
    <w:rsid w:val="004F3DCF"/>
    <w:rsid w:val="00501435"/>
    <w:rsid w:val="00510C91"/>
    <w:rsid w:val="00511CA6"/>
    <w:rsid w:val="00513262"/>
    <w:rsid w:val="005154C0"/>
    <w:rsid w:val="005222B1"/>
    <w:rsid w:val="005229AF"/>
    <w:rsid w:val="005272F2"/>
    <w:rsid w:val="00532CED"/>
    <w:rsid w:val="00533638"/>
    <w:rsid w:val="00533A52"/>
    <w:rsid w:val="00533A9D"/>
    <w:rsid w:val="00534BBC"/>
    <w:rsid w:val="00534F2D"/>
    <w:rsid w:val="00535913"/>
    <w:rsid w:val="0053618C"/>
    <w:rsid w:val="00536515"/>
    <w:rsid w:val="00536869"/>
    <w:rsid w:val="00536C82"/>
    <w:rsid w:val="00540D20"/>
    <w:rsid w:val="00541E31"/>
    <w:rsid w:val="00542CDE"/>
    <w:rsid w:val="00544F1C"/>
    <w:rsid w:val="00550A82"/>
    <w:rsid w:val="005540A3"/>
    <w:rsid w:val="00554403"/>
    <w:rsid w:val="00557F92"/>
    <w:rsid w:val="0056664D"/>
    <w:rsid w:val="00567CCB"/>
    <w:rsid w:val="0057612F"/>
    <w:rsid w:val="00577FA2"/>
    <w:rsid w:val="00580FB8"/>
    <w:rsid w:val="0058181C"/>
    <w:rsid w:val="00591419"/>
    <w:rsid w:val="0059444D"/>
    <w:rsid w:val="00597C80"/>
    <w:rsid w:val="005A156D"/>
    <w:rsid w:val="005B2282"/>
    <w:rsid w:val="005B448B"/>
    <w:rsid w:val="005C273B"/>
    <w:rsid w:val="005C2BB1"/>
    <w:rsid w:val="005C7369"/>
    <w:rsid w:val="005D07F1"/>
    <w:rsid w:val="005D4FBB"/>
    <w:rsid w:val="005D526C"/>
    <w:rsid w:val="005D7111"/>
    <w:rsid w:val="005E0D6A"/>
    <w:rsid w:val="005F0809"/>
    <w:rsid w:val="005F4BAF"/>
    <w:rsid w:val="005F591E"/>
    <w:rsid w:val="005F5E57"/>
    <w:rsid w:val="005F6C99"/>
    <w:rsid w:val="0060395F"/>
    <w:rsid w:val="00604673"/>
    <w:rsid w:val="00604E6D"/>
    <w:rsid w:val="00610A66"/>
    <w:rsid w:val="00616030"/>
    <w:rsid w:val="00617216"/>
    <w:rsid w:val="00621CAF"/>
    <w:rsid w:val="0063062F"/>
    <w:rsid w:val="00630E40"/>
    <w:rsid w:val="0063273D"/>
    <w:rsid w:val="00633559"/>
    <w:rsid w:val="006426D0"/>
    <w:rsid w:val="006456B9"/>
    <w:rsid w:val="00651D6E"/>
    <w:rsid w:val="0065500D"/>
    <w:rsid w:val="00660E5B"/>
    <w:rsid w:val="00665DEB"/>
    <w:rsid w:val="00667675"/>
    <w:rsid w:val="00667F0B"/>
    <w:rsid w:val="00667F44"/>
    <w:rsid w:val="006713D6"/>
    <w:rsid w:val="00672E41"/>
    <w:rsid w:val="00676B67"/>
    <w:rsid w:val="006770B3"/>
    <w:rsid w:val="00677CF2"/>
    <w:rsid w:val="006938D4"/>
    <w:rsid w:val="006A45C9"/>
    <w:rsid w:val="006A5294"/>
    <w:rsid w:val="006B0A23"/>
    <w:rsid w:val="006B101D"/>
    <w:rsid w:val="006C5797"/>
    <w:rsid w:val="006E5C0E"/>
    <w:rsid w:val="006F032F"/>
    <w:rsid w:val="006F0AB1"/>
    <w:rsid w:val="006F2D27"/>
    <w:rsid w:val="006F47CA"/>
    <w:rsid w:val="00701DF3"/>
    <w:rsid w:val="00710EF5"/>
    <w:rsid w:val="00712D78"/>
    <w:rsid w:val="007216AB"/>
    <w:rsid w:val="00722E25"/>
    <w:rsid w:val="00725D03"/>
    <w:rsid w:val="00727913"/>
    <w:rsid w:val="00740CAB"/>
    <w:rsid w:val="007419D0"/>
    <w:rsid w:val="007438DE"/>
    <w:rsid w:val="007467F0"/>
    <w:rsid w:val="00751427"/>
    <w:rsid w:val="00755243"/>
    <w:rsid w:val="00756B99"/>
    <w:rsid w:val="00771CC3"/>
    <w:rsid w:val="00776A97"/>
    <w:rsid w:val="0077721B"/>
    <w:rsid w:val="00777803"/>
    <w:rsid w:val="0078686D"/>
    <w:rsid w:val="00790681"/>
    <w:rsid w:val="00791731"/>
    <w:rsid w:val="007A1892"/>
    <w:rsid w:val="007A6CE8"/>
    <w:rsid w:val="007B423E"/>
    <w:rsid w:val="007B79C1"/>
    <w:rsid w:val="007C4AF8"/>
    <w:rsid w:val="007C7CB4"/>
    <w:rsid w:val="007D0F69"/>
    <w:rsid w:val="007D259A"/>
    <w:rsid w:val="007D35BB"/>
    <w:rsid w:val="007D4AB0"/>
    <w:rsid w:val="007E10C9"/>
    <w:rsid w:val="007E2D39"/>
    <w:rsid w:val="007E4ED7"/>
    <w:rsid w:val="007E59C6"/>
    <w:rsid w:val="007E649B"/>
    <w:rsid w:val="007F7E13"/>
    <w:rsid w:val="00804C6C"/>
    <w:rsid w:val="00805776"/>
    <w:rsid w:val="00810806"/>
    <w:rsid w:val="00811EC6"/>
    <w:rsid w:val="008306B7"/>
    <w:rsid w:val="00836C36"/>
    <w:rsid w:val="008378F7"/>
    <w:rsid w:val="00837B46"/>
    <w:rsid w:val="00843763"/>
    <w:rsid w:val="008458E4"/>
    <w:rsid w:val="00854704"/>
    <w:rsid w:val="00863975"/>
    <w:rsid w:val="00870D19"/>
    <w:rsid w:val="00874035"/>
    <w:rsid w:val="00874144"/>
    <w:rsid w:val="008774FD"/>
    <w:rsid w:val="0088682D"/>
    <w:rsid w:val="008A4EC4"/>
    <w:rsid w:val="008A5CA6"/>
    <w:rsid w:val="008A79D0"/>
    <w:rsid w:val="008B0093"/>
    <w:rsid w:val="008B3F5F"/>
    <w:rsid w:val="008B6406"/>
    <w:rsid w:val="008C1DCF"/>
    <w:rsid w:val="008C5203"/>
    <w:rsid w:val="008C7AA8"/>
    <w:rsid w:val="008D08C2"/>
    <w:rsid w:val="008E2AE8"/>
    <w:rsid w:val="008E6E6B"/>
    <w:rsid w:val="008F42FA"/>
    <w:rsid w:val="008F58EC"/>
    <w:rsid w:val="008F77E2"/>
    <w:rsid w:val="00900E3A"/>
    <w:rsid w:val="0090143C"/>
    <w:rsid w:val="00906328"/>
    <w:rsid w:val="0091078B"/>
    <w:rsid w:val="009117A8"/>
    <w:rsid w:val="009139DC"/>
    <w:rsid w:val="00923B8D"/>
    <w:rsid w:val="00923CFA"/>
    <w:rsid w:val="00925291"/>
    <w:rsid w:val="00925B89"/>
    <w:rsid w:val="00933879"/>
    <w:rsid w:val="00933FD6"/>
    <w:rsid w:val="00934C4C"/>
    <w:rsid w:val="00935EB1"/>
    <w:rsid w:val="0093624D"/>
    <w:rsid w:val="00947FF0"/>
    <w:rsid w:val="009611C5"/>
    <w:rsid w:val="00963048"/>
    <w:rsid w:val="00963830"/>
    <w:rsid w:val="00963B24"/>
    <w:rsid w:val="00967431"/>
    <w:rsid w:val="009711EA"/>
    <w:rsid w:val="00974569"/>
    <w:rsid w:val="00975ED6"/>
    <w:rsid w:val="00976ED1"/>
    <w:rsid w:val="00981E0C"/>
    <w:rsid w:val="009830DF"/>
    <w:rsid w:val="009A1809"/>
    <w:rsid w:val="009A55D7"/>
    <w:rsid w:val="009B07CC"/>
    <w:rsid w:val="009B74E1"/>
    <w:rsid w:val="009C0B38"/>
    <w:rsid w:val="009C0B45"/>
    <w:rsid w:val="009C1451"/>
    <w:rsid w:val="009C1F7E"/>
    <w:rsid w:val="009C42D5"/>
    <w:rsid w:val="009D14F7"/>
    <w:rsid w:val="009D26FC"/>
    <w:rsid w:val="009D2F62"/>
    <w:rsid w:val="009D33BA"/>
    <w:rsid w:val="009D4E4B"/>
    <w:rsid w:val="009D795B"/>
    <w:rsid w:val="009E2DD1"/>
    <w:rsid w:val="009E6962"/>
    <w:rsid w:val="009F0759"/>
    <w:rsid w:val="009F433F"/>
    <w:rsid w:val="00A02275"/>
    <w:rsid w:val="00A048A3"/>
    <w:rsid w:val="00A04BD9"/>
    <w:rsid w:val="00A11FB5"/>
    <w:rsid w:val="00A1517A"/>
    <w:rsid w:val="00A16DFD"/>
    <w:rsid w:val="00A16F0E"/>
    <w:rsid w:val="00A20A7C"/>
    <w:rsid w:val="00A22160"/>
    <w:rsid w:val="00A23670"/>
    <w:rsid w:val="00A26B80"/>
    <w:rsid w:val="00A30F00"/>
    <w:rsid w:val="00A317D7"/>
    <w:rsid w:val="00A348DA"/>
    <w:rsid w:val="00A44783"/>
    <w:rsid w:val="00A512D5"/>
    <w:rsid w:val="00A539CC"/>
    <w:rsid w:val="00A53A09"/>
    <w:rsid w:val="00A57A3D"/>
    <w:rsid w:val="00A61E13"/>
    <w:rsid w:val="00A6657D"/>
    <w:rsid w:val="00A743F9"/>
    <w:rsid w:val="00A744E2"/>
    <w:rsid w:val="00A757E0"/>
    <w:rsid w:val="00A76DCF"/>
    <w:rsid w:val="00A80CDA"/>
    <w:rsid w:val="00A81082"/>
    <w:rsid w:val="00A81ACD"/>
    <w:rsid w:val="00A83DA6"/>
    <w:rsid w:val="00A97456"/>
    <w:rsid w:val="00AA3B40"/>
    <w:rsid w:val="00AA454C"/>
    <w:rsid w:val="00AA70A3"/>
    <w:rsid w:val="00AB34DE"/>
    <w:rsid w:val="00AB47A8"/>
    <w:rsid w:val="00AB51BE"/>
    <w:rsid w:val="00AB68AC"/>
    <w:rsid w:val="00AC0860"/>
    <w:rsid w:val="00AC49A2"/>
    <w:rsid w:val="00AC521E"/>
    <w:rsid w:val="00AC6E2D"/>
    <w:rsid w:val="00AD13A2"/>
    <w:rsid w:val="00AD1674"/>
    <w:rsid w:val="00AD5630"/>
    <w:rsid w:val="00AD7355"/>
    <w:rsid w:val="00AE02DB"/>
    <w:rsid w:val="00AE0974"/>
    <w:rsid w:val="00AF2879"/>
    <w:rsid w:val="00B01D05"/>
    <w:rsid w:val="00B01D41"/>
    <w:rsid w:val="00B01F1D"/>
    <w:rsid w:val="00B027A8"/>
    <w:rsid w:val="00B05ECC"/>
    <w:rsid w:val="00B064BA"/>
    <w:rsid w:val="00B07CE8"/>
    <w:rsid w:val="00B26359"/>
    <w:rsid w:val="00B33B9F"/>
    <w:rsid w:val="00B34546"/>
    <w:rsid w:val="00B34E45"/>
    <w:rsid w:val="00B46E4E"/>
    <w:rsid w:val="00B50E24"/>
    <w:rsid w:val="00B52DFD"/>
    <w:rsid w:val="00B5337E"/>
    <w:rsid w:val="00B6445C"/>
    <w:rsid w:val="00B706AD"/>
    <w:rsid w:val="00B76029"/>
    <w:rsid w:val="00B80EA3"/>
    <w:rsid w:val="00B8136C"/>
    <w:rsid w:val="00B83017"/>
    <w:rsid w:val="00B84A0C"/>
    <w:rsid w:val="00B84F05"/>
    <w:rsid w:val="00B878DD"/>
    <w:rsid w:val="00B90BE7"/>
    <w:rsid w:val="00B94BC4"/>
    <w:rsid w:val="00B96E64"/>
    <w:rsid w:val="00BA3205"/>
    <w:rsid w:val="00BA3989"/>
    <w:rsid w:val="00BA5EC3"/>
    <w:rsid w:val="00BB0AD8"/>
    <w:rsid w:val="00BB4AE3"/>
    <w:rsid w:val="00BB5E02"/>
    <w:rsid w:val="00BC076B"/>
    <w:rsid w:val="00BC2FEA"/>
    <w:rsid w:val="00BD0448"/>
    <w:rsid w:val="00BD3DD2"/>
    <w:rsid w:val="00BD4FA5"/>
    <w:rsid w:val="00BD7D03"/>
    <w:rsid w:val="00BE0F4C"/>
    <w:rsid w:val="00BE1C21"/>
    <w:rsid w:val="00BE2B41"/>
    <w:rsid w:val="00BE410D"/>
    <w:rsid w:val="00BE56FB"/>
    <w:rsid w:val="00BE5AC4"/>
    <w:rsid w:val="00BE5C72"/>
    <w:rsid w:val="00BE6694"/>
    <w:rsid w:val="00BE6FD4"/>
    <w:rsid w:val="00BF4B27"/>
    <w:rsid w:val="00BF4BBF"/>
    <w:rsid w:val="00BF4C04"/>
    <w:rsid w:val="00BF704C"/>
    <w:rsid w:val="00C06F27"/>
    <w:rsid w:val="00C06F97"/>
    <w:rsid w:val="00C079DF"/>
    <w:rsid w:val="00C14062"/>
    <w:rsid w:val="00C146AF"/>
    <w:rsid w:val="00C17DC2"/>
    <w:rsid w:val="00C21DD7"/>
    <w:rsid w:val="00C27FF3"/>
    <w:rsid w:val="00C32D58"/>
    <w:rsid w:val="00C35377"/>
    <w:rsid w:val="00C3718B"/>
    <w:rsid w:val="00C457AD"/>
    <w:rsid w:val="00C46322"/>
    <w:rsid w:val="00C520B8"/>
    <w:rsid w:val="00C56CE7"/>
    <w:rsid w:val="00C62BCE"/>
    <w:rsid w:val="00C66D03"/>
    <w:rsid w:val="00C67A33"/>
    <w:rsid w:val="00C67E56"/>
    <w:rsid w:val="00C71B21"/>
    <w:rsid w:val="00C751A8"/>
    <w:rsid w:val="00C86E76"/>
    <w:rsid w:val="00C8766E"/>
    <w:rsid w:val="00C90D75"/>
    <w:rsid w:val="00C920BF"/>
    <w:rsid w:val="00C9477C"/>
    <w:rsid w:val="00C958CC"/>
    <w:rsid w:val="00C961F7"/>
    <w:rsid w:val="00C964C9"/>
    <w:rsid w:val="00CA0DDE"/>
    <w:rsid w:val="00CA3427"/>
    <w:rsid w:val="00CB0F91"/>
    <w:rsid w:val="00CB2D95"/>
    <w:rsid w:val="00CB40CD"/>
    <w:rsid w:val="00CB5F86"/>
    <w:rsid w:val="00CB7676"/>
    <w:rsid w:val="00CC019B"/>
    <w:rsid w:val="00CC49D4"/>
    <w:rsid w:val="00CD0B91"/>
    <w:rsid w:val="00CD353A"/>
    <w:rsid w:val="00CD5FED"/>
    <w:rsid w:val="00CD6A11"/>
    <w:rsid w:val="00CF136A"/>
    <w:rsid w:val="00CF5B58"/>
    <w:rsid w:val="00CF5EBE"/>
    <w:rsid w:val="00CF6C93"/>
    <w:rsid w:val="00D02902"/>
    <w:rsid w:val="00D049DB"/>
    <w:rsid w:val="00D116F8"/>
    <w:rsid w:val="00D11C5A"/>
    <w:rsid w:val="00D13EDE"/>
    <w:rsid w:val="00D14832"/>
    <w:rsid w:val="00D15E9C"/>
    <w:rsid w:val="00D16A18"/>
    <w:rsid w:val="00D16F70"/>
    <w:rsid w:val="00D21AE1"/>
    <w:rsid w:val="00D258E5"/>
    <w:rsid w:val="00D40596"/>
    <w:rsid w:val="00D43590"/>
    <w:rsid w:val="00D5117A"/>
    <w:rsid w:val="00D65C01"/>
    <w:rsid w:val="00D679B3"/>
    <w:rsid w:val="00D710E7"/>
    <w:rsid w:val="00D737BE"/>
    <w:rsid w:val="00D86EC1"/>
    <w:rsid w:val="00D87EEC"/>
    <w:rsid w:val="00D9349C"/>
    <w:rsid w:val="00DB3B4B"/>
    <w:rsid w:val="00DB4A3E"/>
    <w:rsid w:val="00DB4E14"/>
    <w:rsid w:val="00DB5148"/>
    <w:rsid w:val="00DB62B4"/>
    <w:rsid w:val="00DB6C24"/>
    <w:rsid w:val="00DC16D7"/>
    <w:rsid w:val="00DC445E"/>
    <w:rsid w:val="00DD0F86"/>
    <w:rsid w:val="00DD5221"/>
    <w:rsid w:val="00DF3DD0"/>
    <w:rsid w:val="00DF5620"/>
    <w:rsid w:val="00E02C91"/>
    <w:rsid w:val="00E049A3"/>
    <w:rsid w:val="00E06E9D"/>
    <w:rsid w:val="00E071B3"/>
    <w:rsid w:val="00E2039B"/>
    <w:rsid w:val="00E23E66"/>
    <w:rsid w:val="00E249BB"/>
    <w:rsid w:val="00E24C94"/>
    <w:rsid w:val="00E31FE1"/>
    <w:rsid w:val="00E33F89"/>
    <w:rsid w:val="00E3444D"/>
    <w:rsid w:val="00E34E55"/>
    <w:rsid w:val="00E40272"/>
    <w:rsid w:val="00E45E55"/>
    <w:rsid w:val="00E47716"/>
    <w:rsid w:val="00E572D6"/>
    <w:rsid w:val="00E604B8"/>
    <w:rsid w:val="00E616BE"/>
    <w:rsid w:val="00E64616"/>
    <w:rsid w:val="00E646A4"/>
    <w:rsid w:val="00E663E9"/>
    <w:rsid w:val="00E70B1F"/>
    <w:rsid w:val="00E73FD3"/>
    <w:rsid w:val="00E77F8A"/>
    <w:rsid w:val="00E80911"/>
    <w:rsid w:val="00E81764"/>
    <w:rsid w:val="00E818E8"/>
    <w:rsid w:val="00E974FE"/>
    <w:rsid w:val="00EA18E8"/>
    <w:rsid w:val="00EA2085"/>
    <w:rsid w:val="00EA7123"/>
    <w:rsid w:val="00EA7AA5"/>
    <w:rsid w:val="00EB0856"/>
    <w:rsid w:val="00EB52AD"/>
    <w:rsid w:val="00EC5AAE"/>
    <w:rsid w:val="00EC6440"/>
    <w:rsid w:val="00ED1A86"/>
    <w:rsid w:val="00ED6C13"/>
    <w:rsid w:val="00EE0082"/>
    <w:rsid w:val="00EE03A6"/>
    <w:rsid w:val="00EE04A4"/>
    <w:rsid w:val="00EE3C0D"/>
    <w:rsid w:val="00EE490A"/>
    <w:rsid w:val="00EE5B98"/>
    <w:rsid w:val="00EF0A8C"/>
    <w:rsid w:val="00EF114A"/>
    <w:rsid w:val="00EF157A"/>
    <w:rsid w:val="00EF3329"/>
    <w:rsid w:val="00EF4CFB"/>
    <w:rsid w:val="00F0189D"/>
    <w:rsid w:val="00F0198B"/>
    <w:rsid w:val="00F14991"/>
    <w:rsid w:val="00F23B04"/>
    <w:rsid w:val="00F24B3C"/>
    <w:rsid w:val="00F27C29"/>
    <w:rsid w:val="00F355F3"/>
    <w:rsid w:val="00F36758"/>
    <w:rsid w:val="00F43E6B"/>
    <w:rsid w:val="00F474F9"/>
    <w:rsid w:val="00F521AE"/>
    <w:rsid w:val="00F54057"/>
    <w:rsid w:val="00F603B3"/>
    <w:rsid w:val="00F6153E"/>
    <w:rsid w:val="00F6689B"/>
    <w:rsid w:val="00F66E9A"/>
    <w:rsid w:val="00F674C1"/>
    <w:rsid w:val="00F71E34"/>
    <w:rsid w:val="00F835CB"/>
    <w:rsid w:val="00F83ACE"/>
    <w:rsid w:val="00F91AB4"/>
    <w:rsid w:val="00F97D7F"/>
    <w:rsid w:val="00FA084B"/>
    <w:rsid w:val="00FA20DE"/>
    <w:rsid w:val="00FA687A"/>
    <w:rsid w:val="00FB31DD"/>
    <w:rsid w:val="00FC3D25"/>
    <w:rsid w:val="00FD0A81"/>
    <w:rsid w:val="00FD14C9"/>
    <w:rsid w:val="00FD5E9F"/>
    <w:rsid w:val="00FE16DC"/>
    <w:rsid w:val="00FF2A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DF913"/>
  <w15:chartTrackingRefBased/>
  <w15:docId w15:val="{4ED066D2-BA4B-4359-8BF7-30FE6BAD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8A4"/>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C01"/>
  </w:style>
  <w:style w:type="paragraph" w:styleId="Footer">
    <w:name w:val="footer"/>
    <w:basedOn w:val="Normal"/>
    <w:link w:val="FooterChar"/>
    <w:uiPriority w:val="99"/>
    <w:unhideWhenUsed/>
    <w:rsid w:val="00D65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C01"/>
  </w:style>
  <w:style w:type="paragraph" w:styleId="ListParagraph">
    <w:name w:val="List Paragraph"/>
    <w:basedOn w:val="Normal"/>
    <w:uiPriority w:val="34"/>
    <w:qFormat/>
    <w:rsid w:val="00BF704C"/>
    <w:pPr>
      <w:ind w:left="720"/>
      <w:contextualSpacing/>
    </w:pPr>
  </w:style>
  <w:style w:type="paragraph" w:styleId="BalloonText">
    <w:name w:val="Balloon Text"/>
    <w:basedOn w:val="Normal"/>
    <w:link w:val="BalloonTextChar"/>
    <w:uiPriority w:val="99"/>
    <w:semiHidden/>
    <w:unhideWhenUsed/>
    <w:rsid w:val="00314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EC2"/>
    <w:rPr>
      <w:rFonts w:ascii="Segoe UI" w:hAnsi="Segoe UI" w:cs="Segoe UI"/>
      <w:sz w:val="18"/>
      <w:szCs w:val="18"/>
    </w:rPr>
  </w:style>
  <w:style w:type="paragraph" w:styleId="FootnoteText">
    <w:name w:val="footnote text"/>
    <w:basedOn w:val="Normal"/>
    <w:link w:val="FootnoteTextChar"/>
    <w:uiPriority w:val="99"/>
    <w:semiHidden/>
    <w:unhideWhenUsed/>
    <w:rsid w:val="00D15E9C"/>
    <w:pPr>
      <w:tabs>
        <w:tab w:val="left" w:pos="454"/>
      </w:tabs>
      <w:spacing w:after="0" w:line="240" w:lineRule="auto"/>
      <w:ind w:left="454" w:hanging="454"/>
    </w:pPr>
    <w:rPr>
      <w:sz w:val="20"/>
      <w:szCs w:val="20"/>
    </w:rPr>
  </w:style>
  <w:style w:type="character" w:customStyle="1" w:styleId="FootnoteTextChar">
    <w:name w:val="Footnote Text Char"/>
    <w:basedOn w:val="DefaultParagraphFont"/>
    <w:link w:val="FootnoteText"/>
    <w:uiPriority w:val="99"/>
    <w:semiHidden/>
    <w:rsid w:val="00D15E9C"/>
    <w:rPr>
      <w:rFonts w:ascii="Arial" w:hAnsi="Arial"/>
      <w:sz w:val="20"/>
      <w:szCs w:val="20"/>
    </w:rPr>
  </w:style>
  <w:style w:type="character" w:styleId="FootnoteReference">
    <w:name w:val="footnote reference"/>
    <w:basedOn w:val="DefaultParagraphFont"/>
    <w:uiPriority w:val="99"/>
    <w:semiHidden/>
    <w:unhideWhenUsed/>
    <w:rsid w:val="00D15E9C"/>
    <w:rPr>
      <w:vertAlign w:val="superscript"/>
    </w:rPr>
  </w:style>
  <w:style w:type="character" w:styleId="Hyperlink">
    <w:name w:val="Hyperlink"/>
    <w:basedOn w:val="DefaultParagraphFont"/>
    <w:uiPriority w:val="99"/>
    <w:semiHidden/>
    <w:unhideWhenUsed/>
    <w:rsid w:val="00A83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99411">
      <w:bodyDiv w:val="1"/>
      <w:marLeft w:val="0"/>
      <w:marRight w:val="0"/>
      <w:marTop w:val="0"/>
      <w:marBottom w:val="0"/>
      <w:divBdr>
        <w:top w:val="none" w:sz="0" w:space="0" w:color="auto"/>
        <w:left w:val="none" w:sz="0" w:space="0" w:color="auto"/>
        <w:bottom w:val="none" w:sz="0" w:space="0" w:color="auto"/>
        <w:right w:val="none" w:sz="0" w:space="0" w:color="auto"/>
      </w:divBdr>
      <w:divsChild>
        <w:div w:id="128870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72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za/legis/consol_act/cpa1977188/index.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12%20%284%29%20SA%20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72AC-5754-4689-82A1-8A94C5C9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Dreyer</dc:creator>
  <cp:keywords/>
  <dc:description/>
  <cp:lastModifiedBy>Mokone</cp:lastModifiedBy>
  <cp:revision>2</cp:revision>
  <cp:lastPrinted>2023-08-07T13:48:00Z</cp:lastPrinted>
  <dcterms:created xsi:type="dcterms:W3CDTF">2023-08-11T09:44:00Z</dcterms:created>
  <dcterms:modified xsi:type="dcterms:W3CDTF">2023-08-11T09:44:00Z</dcterms:modified>
</cp:coreProperties>
</file>