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A6980" w14:textId="11A5B4E0" w:rsidR="00D96C02" w:rsidRDefault="00D96C02" w:rsidP="00D96C02">
      <w:pPr>
        <w:spacing w:line="360" w:lineRule="auto"/>
        <w:ind w:right="85"/>
        <w:jc w:val="center"/>
        <w:rPr>
          <w:rFonts w:cs="Tahoma"/>
          <w:b/>
          <w:bCs/>
          <w:snapToGrid w:val="0"/>
          <w:szCs w:val="24"/>
        </w:rPr>
      </w:pPr>
      <w:r>
        <w:rPr>
          <w:noProof/>
          <w:lang w:val="en-US" w:eastAsia="en-US"/>
        </w:rPr>
        <w:drawing>
          <wp:inline distT="0" distB="0" distL="0" distR="0" wp14:anchorId="1D18A974" wp14:editId="562983D5">
            <wp:extent cx="1447800" cy="1276350"/>
            <wp:effectExtent l="0" t="0" r="0" b="0"/>
            <wp:docPr id="19014742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276350"/>
                    </a:xfrm>
                    <a:prstGeom prst="rect">
                      <a:avLst/>
                    </a:prstGeom>
                    <a:noFill/>
                    <a:ln>
                      <a:noFill/>
                    </a:ln>
                  </pic:spPr>
                </pic:pic>
              </a:graphicData>
            </a:graphic>
          </wp:inline>
        </w:drawing>
      </w:r>
    </w:p>
    <w:p w14:paraId="2192A3E1" w14:textId="77777777" w:rsidR="00D96C02" w:rsidRDefault="00D96C02" w:rsidP="00C36D92">
      <w:pPr>
        <w:spacing w:line="360" w:lineRule="auto"/>
        <w:ind w:right="85"/>
        <w:rPr>
          <w:rFonts w:cs="Tahoma"/>
          <w:b/>
          <w:bCs/>
          <w:snapToGrid w:val="0"/>
          <w:szCs w:val="24"/>
        </w:rPr>
      </w:pPr>
    </w:p>
    <w:p w14:paraId="0185C901" w14:textId="67040DCF" w:rsidR="005C7D79" w:rsidRPr="00C36D92" w:rsidRDefault="005C7D79" w:rsidP="00C36D92">
      <w:pPr>
        <w:spacing w:line="360" w:lineRule="auto"/>
        <w:ind w:right="85"/>
        <w:rPr>
          <w:rFonts w:cs="Tahoma"/>
          <w:b/>
          <w:bCs/>
          <w:snapToGrid w:val="0"/>
          <w:szCs w:val="24"/>
        </w:rPr>
      </w:pPr>
      <w:r w:rsidRPr="00C36D92">
        <w:rPr>
          <w:rFonts w:cs="Tahoma"/>
          <w:b/>
          <w:bCs/>
          <w:snapToGrid w:val="0"/>
          <w:szCs w:val="24"/>
        </w:rPr>
        <w:t>IN THE HIGH COURT OF SOUTH AFRICA</w:t>
      </w:r>
    </w:p>
    <w:p w14:paraId="047CDE18" w14:textId="198F4931" w:rsidR="005C7D79" w:rsidRPr="00C36D92" w:rsidRDefault="005C7D79" w:rsidP="005C7D79">
      <w:pPr>
        <w:spacing w:line="480" w:lineRule="auto"/>
        <w:ind w:right="85"/>
        <w:rPr>
          <w:rFonts w:cs="Tahoma"/>
          <w:b/>
          <w:bCs/>
          <w:snapToGrid w:val="0"/>
          <w:szCs w:val="24"/>
        </w:rPr>
      </w:pPr>
      <w:r w:rsidRPr="00C36D92">
        <w:rPr>
          <w:rFonts w:cs="Tahoma"/>
          <w:b/>
          <w:bCs/>
          <w:snapToGrid w:val="0"/>
          <w:szCs w:val="24"/>
        </w:rPr>
        <w:t>EASTERN CAPE</w:t>
      </w:r>
      <w:r w:rsidR="00CC32B3" w:rsidRPr="00C36D92">
        <w:rPr>
          <w:rFonts w:cs="Tahoma"/>
          <w:b/>
          <w:bCs/>
          <w:snapToGrid w:val="0"/>
          <w:szCs w:val="24"/>
        </w:rPr>
        <w:t xml:space="preserve"> </w:t>
      </w:r>
      <w:r w:rsidRPr="00C36D92">
        <w:rPr>
          <w:rFonts w:cs="Tahoma"/>
          <w:b/>
          <w:bCs/>
          <w:snapToGrid w:val="0"/>
          <w:szCs w:val="24"/>
        </w:rPr>
        <w:t>DIVISION, G</w:t>
      </w:r>
      <w:r w:rsidR="00CC32B3" w:rsidRPr="00C36D92">
        <w:rPr>
          <w:rFonts w:cs="Tahoma"/>
          <w:b/>
          <w:bCs/>
          <w:snapToGrid w:val="0"/>
          <w:szCs w:val="24"/>
        </w:rPr>
        <w:t>QEBERHA</w:t>
      </w:r>
    </w:p>
    <w:p w14:paraId="2DAA2DC1" w14:textId="7486AD62" w:rsidR="005C7D79" w:rsidRPr="000160FF" w:rsidRDefault="005C7D79" w:rsidP="00D96C02">
      <w:pPr>
        <w:spacing w:line="360" w:lineRule="auto"/>
        <w:ind w:left="4320"/>
        <w:rPr>
          <w:rFonts w:eastAsia="Times New Roman" w:cs="Tahoma"/>
          <w:noProof/>
          <w:szCs w:val="24"/>
        </w:rPr>
      </w:pPr>
      <w:r w:rsidRPr="000160FF">
        <w:rPr>
          <w:rFonts w:eastAsia="Times New Roman" w:cs="Tahoma"/>
          <w:bCs/>
          <w:noProof/>
          <w:szCs w:val="24"/>
        </w:rPr>
        <w:tab/>
        <w:t>Date Heard:</w:t>
      </w:r>
      <w:r w:rsidR="00CF5D85">
        <w:rPr>
          <w:rFonts w:eastAsia="Times New Roman" w:cs="Tahoma"/>
          <w:bCs/>
          <w:noProof/>
          <w:szCs w:val="24"/>
        </w:rPr>
        <w:t xml:space="preserve"> 25 May 2023</w:t>
      </w:r>
    </w:p>
    <w:p w14:paraId="0DB4DA95" w14:textId="77777777" w:rsidR="00C36D92" w:rsidRDefault="005C7D79" w:rsidP="005C7D79">
      <w:pPr>
        <w:spacing w:line="480" w:lineRule="auto"/>
        <w:ind w:left="4320"/>
        <w:rPr>
          <w:rFonts w:eastAsia="Times New Roman" w:cs="Tahoma"/>
          <w:noProof/>
          <w:szCs w:val="24"/>
        </w:rPr>
      </w:pPr>
      <w:r w:rsidRPr="000160FF">
        <w:rPr>
          <w:rFonts w:eastAsia="Times New Roman" w:cs="Tahoma"/>
          <w:noProof/>
          <w:szCs w:val="24"/>
        </w:rPr>
        <w:tab/>
        <w:t>Date Delivered:</w:t>
      </w:r>
      <w:r w:rsidR="00CF5D85">
        <w:rPr>
          <w:rFonts w:eastAsia="Times New Roman" w:cs="Tahoma"/>
          <w:noProof/>
          <w:szCs w:val="24"/>
        </w:rPr>
        <w:t xml:space="preserve"> 5 September 20</w:t>
      </w:r>
      <w:r w:rsidR="008E4E32">
        <w:rPr>
          <w:rFonts w:eastAsia="Times New Roman" w:cs="Tahoma"/>
          <w:noProof/>
          <w:szCs w:val="24"/>
        </w:rPr>
        <w:t>23</w:t>
      </w:r>
      <w:r w:rsidRPr="000160FF">
        <w:rPr>
          <w:rFonts w:eastAsia="Times New Roman" w:cs="Tahoma"/>
          <w:noProof/>
          <w:szCs w:val="24"/>
        </w:rPr>
        <w:t xml:space="preserve"> </w:t>
      </w:r>
    </w:p>
    <w:p w14:paraId="39B7F340" w14:textId="79AA1A03" w:rsidR="005C7D79" w:rsidRDefault="005C7D79" w:rsidP="00D96C02">
      <w:pPr>
        <w:ind w:left="4320"/>
        <w:rPr>
          <w:rFonts w:eastAsia="Times New Roman" w:cs="Tahoma"/>
          <w:noProof/>
          <w:szCs w:val="24"/>
        </w:rPr>
      </w:pPr>
      <w:r w:rsidRPr="000160FF">
        <w:rPr>
          <w:rFonts w:eastAsia="Times New Roman" w:cs="Tahoma"/>
          <w:noProof/>
          <w:szCs w:val="24"/>
        </w:rPr>
        <w:t xml:space="preserve"> </w:t>
      </w:r>
    </w:p>
    <w:p w14:paraId="73511A7D" w14:textId="10682C88" w:rsidR="00C36D92" w:rsidRPr="00F12715" w:rsidRDefault="00C36D92" w:rsidP="00D96C02">
      <w:pPr>
        <w:spacing w:line="276" w:lineRule="auto"/>
        <w:jc w:val="right"/>
        <w:rPr>
          <w:rFonts w:eastAsia="Times New Roman" w:cs="Tahoma"/>
          <w:b/>
          <w:bCs/>
          <w:noProof/>
          <w:szCs w:val="24"/>
        </w:rPr>
      </w:pPr>
      <w:r w:rsidRPr="00F12715">
        <w:rPr>
          <w:rFonts w:eastAsia="Times New Roman" w:cs="Tahoma"/>
          <w:b/>
          <w:bCs/>
          <w:noProof/>
          <w:szCs w:val="24"/>
        </w:rPr>
        <w:t>Case No</w:t>
      </w:r>
      <w:r w:rsidR="00F12715" w:rsidRPr="00F12715">
        <w:rPr>
          <w:rFonts w:eastAsia="Times New Roman" w:cs="Tahoma"/>
          <w:b/>
          <w:bCs/>
          <w:noProof/>
          <w:szCs w:val="24"/>
        </w:rPr>
        <w:t xml:space="preserve">:   </w:t>
      </w:r>
      <w:r w:rsidR="00F12715">
        <w:rPr>
          <w:rFonts w:eastAsia="Times New Roman" w:cs="Tahoma"/>
          <w:b/>
          <w:bCs/>
          <w:noProof/>
          <w:szCs w:val="24"/>
        </w:rPr>
        <w:t>919/2020</w:t>
      </w:r>
    </w:p>
    <w:p w14:paraId="330D2746" w14:textId="77777777" w:rsidR="005C7D79" w:rsidRPr="000160FF" w:rsidRDefault="005C7D79" w:rsidP="00D96C02">
      <w:pPr>
        <w:spacing w:line="276" w:lineRule="auto"/>
        <w:jc w:val="both"/>
        <w:rPr>
          <w:rFonts w:eastAsia="Times New Roman" w:cs="Tahoma"/>
          <w:noProof/>
          <w:szCs w:val="24"/>
        </w:rPr>
      </w:pPr>
      <w:r w:rsidRPr="000160FF">
        <w:rPr>
          <w:rFonts w:eastAsia="Times New Roman" w:cs="Tahoma"/>
          <w:noProof/>
          <w:szCs w:val="24"/>
        </w:rPr>
        <w:t>In the matter between:</w:t>
      </w:r>
    </w:p>
    <w:p w14:paraId="1AA879F4" w14:textId="77777777" w:rsidR="005C7D79" w:rsidRPr="000160FF" w:rsidRDefault="005C7D79" w:rsidP="00D96C02">
      <w:pPr>
        <w:jc w:val="both"/>
        <w:rPr>
          <w:rFonts w:eastAsia="Times New Roman" w:cs="Tahoma"/>
          <w:noProof/>
          <w:szCs w:val="24"/>
        </w:rPr>
      </w:pPr>
    </w:p>
    <w:p w14:paraId="4C5B5118" w14:textId="5FD6E3DE" w:rsidR="005C7D79" w:rsidRDefault="00F12715" w:rsidP="00D96C02">
      <w:pPr>
        <w:tabs>
          <w:tab w:val="right" w:pos="9746"/>
        </w:tabs>
        <w:spacing w:line="276" w:lineRule="auto"/>
        <w:jc w:val="both"/>
        <w:rPr>
          <w:rFonts w:eastAsia="Times New Roman" w:cs="Tahoma"/>
          <w:noProof/>
          <w:szCs w:val="24"/>
        </w:rPr>
      </w:pPr>
      <w:r>
        <w:rPr>
          <w:rFonts w:eastAsia="Times New Roman" w:cs="Tahoma"/>
          <w:b/>
          <w:bCs/>
          <w:noProof/>
          <w:szCs w:val="24"/>
        </w:rPr>
        <w:t xml:space="preserve">MTO FORESTRY (PTY) LTD </w:t>
      </w:r>
      <w:r>
        <w:rPr>
          <w:rFonts w:eastAsia="Times New Roman" w:cs="Tahoma"/>
          <w:b/>
          <w:bCs/>
          <w:noProof/>
          <w:szCs w:val="24"/>
        </w:rPr>
        <w:tab/>
      </w:r>
      <w:r w:rsidRPr="00D96C02">
        <w:rPr>
          <w:rFonts w:eastAsia="Times New Roman" w:cs="Tahoma"/>
          <w:noProof/>
          <w:szCs w:val="24"/>
        </w:rPr>
        <w:t>Plaintiff</w:t>
      </w:r>
      <w:r w:rsidR="005C7D79" w:rsidRPr="000160FF">
        <w:rPr>
          <w:rFonts w:eastAsia="Times New Roman" w:cs="Tahoma"/>
          <w:noProof/>
          <w:szCs w:val="24"/>
        </w:rPr>
        <w:t xml:space="preserve"> </w:t>
      </w:r>
    </w:p>
    <w:p w14:paraId="66DE4CDE" w14:textId="77777777" w:rsidR="00F12715" w:rsidRPr="000160FF" w:rsidRDefault="00F12715" w:rsidP="00D96C02">
      <w:pPr>
        <w:tabs>
          <w:tab w:val="right" w:pos="9746"/>
        </w:tabs>
        <w:jc w:val="both"/>
        <w:rPr>
          <w:rFonts w:eastAsia="Times New Roman" w:cs="Tahoma"/>
          <w:noProof/>
          <w:szCs w:val="24"/>
        </w:rPr>
      </w:pPr>
    </w:p>
    <w:p w14:paraId="2E05E871" w14:textId="5306B2F8" w:rsidR="005C7D79" w:rsidRDefault="00F12715" w:rsidP="00D96C02">
      <w:pPr>
        <w:spacing w:line="276" w:lineRule="auto"/>
        <w:jc w:val="both"/>
        <w:rPr>
          <w:rFonts w:eastAsia="Times New Roman" w:cs="Tahoma"/>
          <w:noProof/>
          <w:szCs w:val="24"/>
        </w:rPr>
      </w:pPr>
      <w:r>
        <w:rPr>
          <w:rFonts w:eastAsia="Times New Roman" w:cs="Tahoma"/>
          <w:noProof/>
          <w:szCs w:val="24"/>
        </w:rPr>
        <w:t>a</w:t>
      </w:r>
      <w:r w:rsidR="005C7D79" w:rsidRPr="000160FF">
        <w:rPr>
          <w:rFonts w:eastAsia="Times New Roman" w:cs="Tahoma"/>
          <w:noProof/>
          <w:szCs w:val="24"/>
        </w:rPr>
        <w:t>nd</w:t>
      </w:r>
    </w:p>
    <w:p w14:paraId="6C55C3EC" w14:textId="77777777" w:rsidR="00F12715" w:rsidRPr="000160FF" w:rsidRDefault="00F12715" w:rsidP="00D96C02">
      <w:pPr>
        <w:jc w:val="both"/>
        <w:rPr>
          <w:rFonts w:eastAsia="Times New Roman" w:cs="Tahoma"/>
          <w:noProof/>
          <w:szCs w:val="24"/>
        </w:rPr>
      </w:pPr>
    </w:p>
    <w:p w14:paraId="76963844" w14:textId="161ADC7D" w:rsidR="005C7D79" w:rsidRDefault="00F12715" w:rsidP="00D96C02">
      <w:pPr>
        <w:tabs>
          <w:tab w:val="left" w:pos="638"/>
          <w:tab w:val="center" w:pos="4513"/>
          <w:tab w:val="right" w:pos="9746"/>
        </w:tabs>
        <w:rPr>
          <w:rFonts w:eastAsia="Times New Roman" w:cs="Tahoma"/>
          <w:b/>
          <w:bCs/>
          <w:noProof/>
          <w:szCs w:val="24"/>
        </w:rPr>
      </w:pPr>
      <w:r>
        <w:rPr>
          <w:rFonts w:eastAsia="Times New Roman" w:cs="Tahoma"/>
          <w:b/>
          <w:bCs/>
          <w:noProof/>
          <w:szCs w:val="24"/>
        </w:rPr>
        <w:t xml:space="preserve">ESKOM HOLDINGS (SOC) LIMITED </w:t>
      </w:r>
      <w:r>
        <w:rPr>
          <w:rFonts w:eastAsia="Times New Roman" w:cs="Tahoma"/>
          <w:b/>
          <w:bCs/>
          <w:noProof/>
          <w:szCs w:val="24"/>
        </w:rPr>
        <w:tab/>
      </w:r>
      <w:r>
        <w:rPr>
          <w:rFonts w:eastAsia="Times New Roman" w:cs="Tahoma"/>
          <w:b/>
          <w:bCs/>
          <w:noProof/>
          <w:szCs w:val="24"/>
        </w:rPr>
        <w:tab/>
      </w:r>
      <w:r w:rsidRPr="00D96C02">
        <w:rPr>
          <w:rFonts w:eastAsia="Times New Roman" w:cs="Tahoma"/>
          <w:noProof/>
          <w:szCs w:val="24"/>
        </w:rPr>
        <w:t>First Defendant</w:t>
      </w:r>
      <w:r>
        <w:rPr>
          <w:rFonts w:eastAsia="Times New Roman" w:cs="Tahoma"/>
          <w:b/>
          <w:bCs/>
          <w:noProof/>
          <w:szCs w:val="24"/>
        </w:rPr>
        <w:t xml:space="preserve"> </w:t>
      </w:r>
    </w:p>
    <w:p w14:paraId="425698A2" w14:textId="77777777" w:rsidR="00F12715" w:rsidRDefault="00F12715" w:rsidP="00D96C02">
      <w:pPr>
        <w:tabs>
          <w:tab w:val="left" w:pos="638"/>
          <w:tab w:val="center" w:pos="4513"/>
          <w:tab w:val="right" w:pos="9746"/>
        </w:tabs>
        <w:rPr>
          <w:rFonts w:eastAsia="Times New Roman" w:cs="Tahoma"/>
          <w:b/>
          <w:bCs/>
          <w:noProof/>
          <w:szCs w:val="24"/>
        </w:rPr>
      </w:pPr>
    </w:p>
    <w:p w14:paraId="72AD10EE" w14:textId="3B3A9736" w:rsidR="00F12715" w:rsidRDefault="00F12715" w:rsidP="00D96C02">
      <w:pPr>
        <w:tabs>
          <w:tab w:val="left" w:pos="638"/>
          <w:tab w:val="center" w:pos="4513"/>
          <w:tab w:val="right" w:pos="9746"/>
        </w:tabs>
        <w:rPr>
          <w:rFonts w:eastAsia="Times New Roman" w:cs="Tahoma"/>
          <w:b/>
          <w:bCs/>
          <w:noProof/>
          <w:szCs w:val="24"/>
        </w:rPr>
      </w:pPr>
      <w:r>
        <w:rPr>
          <w:rFonts w:eastAsia="Times New Roman" w:cs="Tahoma"/>
          <w:b/>
          <w:bCs/>
          <w:noProof/>
          <w:szCs w:val="24"/>
        </w:rPr>
        <w:t>MINISTER OF ENVIRONMENT</w:t>
      </w:r>
      <w:r w:rsidR="00D96C02">
        <w:rPr>
          <w:rFonts w:eastAsia="Times New Roman" w:cs="Tahoma"/>
          <w:b/>
          <w:bCs/>
          <w:noProof/>
          <w:szCs w:val="24"/>
        </w:rPr>
        <w:t>,</w:t>
      </w:r>
      <w:r>
        <w:rPr>
          <w:rFonts w:eastAsia="Times New Roman" w:cs="Tahoma"/>
          <w:b/>
          <w:bCs/>
          <w:noProof/>
          <w:szCs w:val="24"/>
        </w:rPr>
        <w:t xml:space="preserve"> </w:t>
      </w:r>
    </w:p>
    <w:p w14:paraId="2E563CFD" w14:textId="399E505E" w:rsidR="00F12715" w:rsidRDefault="00F12715" w:rsidP="00D96C02">
      <w:pPr>
        <w:tabs>
          <w:tab w:val="left" w:pos="638"/>
          <w:tab w:val="center" w:pos="4513"/>
          <w:tab w:val="right" w:pos="9746"/>
        </w:tabs>
        <w:spacing w:line="276" w:lineRule="auto"/>
        <w:rPr>
          <w:rFonts w:eastAsia="Times New Roman" w:cs="Tahoma"/>
          <w:b/>
          <w:bCs/>
          <w:noProof/>
          <w:szCs w:val="24"/>
        </w:rPr>
      </w:pPr>
      <w:r>
        <w:rPr>
          <w:rFonts w:eastAsia="Times New Roman" w:cs="Tahoma"/>
          <w:b/>
          <w:bCs/>
          <w:noProof/>
          <w:szCs w:val="24"/>
        </w:rPr>
        <w:t xml:space="preserve">FORESTRY AND FISHERIES </w:t>
      </w:r>
      <w:r>
        <w:rPr>
          <w:rFonts w:eastAsia="Times New Roman" w:cs="Tahoma"/>
          <w:b/>
          <w:bCs/>
          <w:noProof/>
          <w:szCs w:val="24"/>
        </w:rPr>
        <w:tab/>
      </w:r>
      <w:r>
        <w:rPr>
          <w:rFonts w:eastAsia="Times New Roman" w:cs="Tahoma"/>
          <w:b/>
          <w:bCs/>
          <w:noProof/>
          <w:szCs w:val="24"/>
        </w:rPr>
        <w:tab/>
      </w:r>
      <w:r w:rsidRPr="00D96C02">
        <w:rPr>
          <w:rFonts w:eastAsia="Times New Roman" w:cs="Tahoma"/>
          <w:noProof/>
          <w:szCs w:val="24"/>
        </w:rPr>
        <w:t>Seocnd Defendant</w:t>
      </w:r>
      <w:r>
        <w:rPr>
          <w:rFonts w:eastAsia="Times New Roman" w:cs="Tahoma"/>
          <w:b/>
          <w:bCs/>
          <w:noProof/>
          <w:szCs w:val="24"/>
        </w:rPr>
        <w:t xml:space="preserve"> </w:t>
      </w:r>
    </w:p>
    <w:p w14:paraId="5B0BBDE1" w14:textId="77777777" w:rsidR="00F12715" w:rsidRDefault="00F12715" w:rsidP="00D96C02">
      <w:pPr>
        <w:tabs>
          <w:tab w:val="left" w:pos="638"/>
          <w:tab w:val="center" w:pos="4513"/>
          <w:tab w:val="right" w:pos="9746"/>
        </w:tabs>
        <w:rPr>
          <w:rFonts w:eastAsia="Times New Roman" w:cs="Tahoma"/>
          <w:b/>
          <w:bCs/>
          <w:noProof/>
          <w:szCs w:val="24"/>
        </w:rPr>
      </w:pPr>
    </w:p>
    <w:p w14:paraId="109017B4" w14:textId="2AAFCA37" w:rsidR="00F12715" w:rsidRDefault="00F12715" w:rsidP="00D96C02">
      <w:pPr>
        <w:tabs>
          <w:tab w:val="left" w:pos="638"/>
          <w:tab w:val="center" w:pos="4513"/>
          <w:tab w:val="right" w:pos="9746"/>
        </w:tabs>
        <w:spacing w:line="276" w:lineRule="auto"/>
        <w:rPr>
          <w:rFonts w:eastAsia="Times New Roman" w:cs="Tahoma"/>
          <w:noProof/>
          <w:szCs w:val="24"/>
        </w:rPr>
      </w:pPr>
      <w:r>
        <w:rPr>
          <w:rFonts w:eastAsia="Times New Roman" w:cs="Tahoma"/>
          <w:noProof/>
          <w:szCs w:val="24"/>
        </w:rPr>
        <w:t>and</w:t>
      </w:r>
    </w:p>
    <w:p w14:paraId="0A09AF1B" w14:textId="77777777" w:rsidR="00F12715" w:rsidRDefault="00F12715" w:rsidP="00D96C02">
      <w:pPr>
        <w:tabs>
          <w:tab w:val="left" w:pos="638"/>
          <w:tab w:val="center" w:pos="4513"/>
          <w:tab w:val="right" w:pos="9746"/>
        </w:tabs>
        <w:rPr>
          <w:rFonts w:eastAsia="Times New Roman" w:cs="Tahoma"/>
          <w:noProof/>
          <w:szCs w:val="24"/>
        </w:rPr>
      </w:pPr>
    </w:p>
    <w:p w14:paraId="0C9F1FD7" w14:textId="2BE637C1" w:rsidR="00F12715" w:rsidRDefault="00F12715" w:rsidP="00D96C02">
      <w:pPr>
        <w:tabs>
          <w:tab w:val="left" w:pos="638"/>
          <w:tab w:val="center" w:pos="4513"/>
          <w:tab w:val="right" w:pos="9746"/>
        </w:tabs>
        <w:rPr>
          <w:rFonts w:cs="Tahoma"/>
          <w:b/>
          <w:bCs/>
          <w:szCs w:val="24"/>
        </w:rPr>
      </w:pPr>
      <w:r>
        <w:rPr>
          <w:rFonts w:cs="Tahoma"/>
          <w:b/>
          <w:bCs/>
          <w:szCs w:val="24"/>
        </w:rPr>
        <w:t>NELSON MANDELA BAY</w:t>
      </w:r>
    </w:p>
    <w:p w14:paraId="20ADE835" w14:textId="150B092E" w:rsidR="00F12715" w:rsidRDefault="00F12715" w:rsidP="00D96C02">
      <w:pPr>
        <w:tabs>
          <w:tab w:val="left" w:pos="638"/>
          <w:tab w:val="center" w:pos="4513"/>
          <w:tab w:val="right" w:pos="9746"/>
        </w:tabs>
        <w:rPr>
          <w:rFonts w:cs="Tahoma"/>
          <w:b/>
          <w:bCs/>
          <w:szCs w:val="24"/>
        </w:rPr>
      </w:pPr>
      <w:r>
        <w:rPr>
          <w:rFonts w:cs="Tahoma"/>
          <w:b/>
          <w:bCs/>
          <w:szCs w:val="24"/>
        </w:rPr>
        <w:t xml:space="preserve">METROPOLITAN MUNICIPALITY </w:t>
      </w:r>
      <w:r>
        <w:rPr>
          <w:rFonts w:cs="Tahoma"/>
          <w:b/>
          <w:bCs/>
          <w:szCs w:val="24"/>
        </w:rPr>
        <w:tab/>
      </w:r>
      <w:r>
        <w:rPr>
          <w:rFonts w:cs="Tahoma"/>
          <w:b/>
          <w:bCs/>
          <w:szCs w:val="24"/>
        </w:rPr>
        <w:tab/>
      </w:r>
      <w:r w:rsidRPr="00D96C02">
        <w:rPr>
          <w:rFonts w:cs="Tahoma"/>
          <w:szCs w:val="24"/>
        </w:rPr>
        <w:t>First Third Party</w:t>
      </w:r>
      <w:r>
        <w:rPr>
          <w:rFonts w:cs="Tahoma"/>
          <w:b/>
          <w:bCs/>
          <w:szCs w:val="24"/>
        </w:rPr>
        <w:t xml:space="preserve"> </w:t>
      </w:r>
    </w:p>
    <w:p w14:paraId="3CDD62ED" w14:textId="77777777" w:rsidR="00F12715" w:rsidRDefault="00F12715" w:rsidP="00D96C02">
      <w:pPr>
        <w:tabs>
          <w:tab w:val="left" w:pos="638"/>
          <w:tab w:val="center" w:pos="4513"/>
          <w:tab w:val="right" w:pos="9746"/>
        </w:tabs>
        <w:rPr>
          <w:rFonts w:cs="Tahoma"/>
          <w:b/>
          <w:bCs/>
          <w:szCs w:val="24"/>
        </w:rPr>
      </w:pPr>
    </w:p>
    <w:p w14:paraId="04D04BF0" w14:textId="7B4A0567" w:rsidR="00F12715" w:rsidRDefault="00F12715" w:rsidP="00D96C02">
      <w:pPr>
        <w:tabs>
          <w:tab w:val="left" w:pos="638"/>
          <w:tab w:val="center" w:pos="4513"/>
          <w:tab w:val="right" w:pos="9746"/>
        </w:tabs>
        <w:rPr>
          <w:rFonts w:cs="Tahoma"/>
          <w:b/>
          <w:bCs/>
          <w:szCs w:val="24"/>
        </w:rPr>
      </w:pPr>
      <w:r>
        <w:rPr>
          <w:rFonts w:cs="Tahoma"/>
          <w:b/>
          <w:bCs/>
          <w:szCs w:val="24"/>
        </w:rPr>
        <w:t>CYPHERFONTEIN 379 (PTY) LTD</w:t>
      </w:r>
      <w:r>
        <w:rPr>
          <w:rFonts w:cs="Tahoma"/>
          <w:b/>
          <w:bCs/>
          <w:szCs w:val="24"/>
        </w:rPr>
        <w:tab/>
      </w:r>
      <w:r>
        <w:rPr>
          <w:rFonts w:cs="Tahoma"/>
          <w:b/>
          <w:bCs/>
          <w:szCs w:val="24"/>
        </w:rPr>
        <w:tab/>
      </w:r>
      <w:r w:rsidRPr="00D96C02">
        <w:rPr>
          <w:rFonts w:cs="Tahoma"/>
          <w:szCs w:val="24"/>
        </w:rPr>
        <w:t>Second Third</w:t>
      </w:r>
      <w:r w:rsidR="00D91D99">
        <w:rPr>
          <w:rFonts w:cs="Tahoma"/>
          <w:szCs w:val="24"/>
        </w:rPr>
        <w:t xml:space="preserve"> Party</w:t>
      </w:r>
    </w:p>
    <w:p w14:paraId="4F25C991" w14:textId="77777777" w:rsidR="00F12715" w:rsidRDefault="00F12715" w:rsidP="00F12715">
      <w:pPr>
        <w:tabs>
          <w:tab w:val="left" w:pos="638"/>
          <w:tab w:val="center" w:pos="4513"/>
          <w:tab w:val="right" w:pos="9746"/>
        </w:tabs>
        <w:spacing w:line="360" w:lineRule="auto"/>
        <w:rPr>
          <w:rFonts w:cs="Tahoma"/>
          <w:b/>
          <w:bCs/>
          <w:szCs w:val="24"/>
        </w:rPr>
      </w:pPr>
    </w:p>
    <w:p w14:paraId="1CFF88DD" w14:textId="0B362EF4" w:rsidR="00F12715" w:rsidRDefault="00F12715" w:rsidP="00D96C02">
      <w:pPr>
        <w:tabs>
          <w:tab w:val="left" w:pos="638"/>
          <w:tab w:val="center" w:pos="4513"/>
          <w:tab w:val="right" w:pos="9746"/>
        </w:tabs>
        <w:rPr>
          <w:rFonts w:cs="Tahoma"/>
          <w:b/>
          <w:bCs/>
          <w:szCs w:val="24"/>
        </w:rPr>
      </w:pPr>
      <w:r>
        <w:rPr>
          <w:rFonts w:cs="Tahoma"/>
          <w:b/>
          <w:bCs/>
          <w:szCs w:val="24"/>
        </w:rPr>
        <w:t xml:space="preserve">Heard with </w:t>
      </w:r>
    </w:p>
    <w:p w14:paraId="69B7B7C7" w14:textId="20387BFD" w:rsidR="00F12715" w:rsidRDefault="00F12715" w:rsidP="00D96C02">
      <w:pPr>
        <w:tabs>
          <w:tab w:val="left" w:pos="638"/>
          <w:tab w:val="center" w:pos="4513"/>
          <w:tab w:val="right" w:pos="9746"/>
        </w:tabs>
        <w:rPr>
          <w:rFonts w:cs="Tahoma"/>
          <w:b/>
          <w:bCs/>
          <w:szCs w:val="24"/>
        </w:rPr>
      </w:pPr>
      <w:r>
        <w:rPr>
          <w:rFonts w:cs="Tahoma"/>
          <w:b/>
          <w:bCs/>
          <w:szCs w:val="24"/>
        </w:rPr>
        <w:tab/>
      </w:r>
      <w:r>
        <w:rPr>
          <w:rFonts w:cs="Tahoma"/>
          <w:b/>
          <w:bCs/>
          <w:szCs w:val="24"/>
        </w:rPr>
        <w:tab/>
      </w:r>
      <w:r>
        <w:rPr>
          <w:rFonts w:cs="Tahoma"/>
          <w:b/>
          <w:bCs/>
          <w:szCs w:val="24"/>
        </w:rPr>
        <w:tab/>
        <w:t>Case No:  926/2020</w:t>
      </w:r>
    </w:p>
    <w:p w14:paraId="47BCF80E" w14:textId="77777777" w:rsidR="00F12715" w:rsidRDefault="00F12715" w:rsidP="00D96C02">
      <w:pPr>
        <w:tabs>
          <w:tab w:val="left" w:pos="638"/>
          <w:tab w:val="center" w:pos="4513"/>
          <w:tab w:val="right" w:pos="9746"/>
        </w:tabs>
        <w:rPr>
          <w:rFonts w:cs="Tahoma"/>
          <w:b/>
          <w:bCs/>
          <w:szCs w:val="24"/>
        </w:rPr>
      </w:pPr>
    </w:p>
    <w:p w14:paraId="7EEF2CEE" w14:textId="280972A6" w:rsidR="00F12715" w:rsidRDefault="00F12715" w:rsidP="00D96C02">
      <w:pPr>
        <w:tabs>
          <w:tab w:val="left" w:pos="638"/>
          <w:tab w:val="center" w:pos="4513"/>
          <w:tab w:val="right" w:pos="9746"/>
        </w:tabs>
        <w:spacing w:line="276" w:lineRule="auto"/>
        <w:rPr>
          <w:rFonts w:cs="Tahoma"/>
          <w:szCs w:val="24"/>
        </w:rPr>
      </w:pPr>
      <w:r>
        <w:rPr>
          <w:rFonts w:cs="Tahoma"/>
          <w:szCs w:val="24"/>
        </w:rPr>
        <w:t>In the matter between:</w:t>
      </w:r>
    </w:p>
    <w:p w14:paraId="23BBAFBF" w14:textId="77777777" w:rsidR="00D96C02" w:rsidRDefault="00D96C02" w:rsidP="00D96C02">
      <w:pPr>
        <w:tabs>
          <w:tab w:val="left" w:pos="638"/>
          <w:tab w:val="center" w:pos="4513"/>
          <w:tab w:val="right" w:pos="9746"/>
        </w:tabs>
        <w:spacing w:line="276" w:lineRule="auto"/>
        <w:rPr>
          <w:rFonts w:cs="Tahoma"/>
          <w:szCs w:val="24"/>
        </w:rPr>
      </w:pPr>
    </w:p>
    <w:p w14:paraId="49950FE2" w14:textId="4C15839A" w:rsidR="00F12715" w:rsidRDefault="00F12715" w:rsidP="00D96C02">
      <w:pPr>
        <w:tabs>
          <w:tab w:val="right" w:pos="9746"/>
        </w:tabs>
        <w:spacing w:line="276" w:lineRule="auto"/>
        <w:jc w:val="both"/>
        <w:rPr>
          <w:rFonts w:eastAsia="Times New Roman" w:cs="Tahoma"/>
          <w:noProof/>
          <w:szCs w:val="24"/>
        </w:rPr>
      </w:pPr>
      <w:r>
        <w:rPr>
          <w:rFonts w:eastAsia="Times New Roman" w:cs="Tahoma"/>
          <w:b/>
          <w:bCs/>
          <w:noProof/>
          <w:szCs w:val="24"/>
        </w:rPr>
        <w:t xml:space="preserve">ANDREA FRANCO </w:t>
      </w:r>
      <w:bookmarkStart w:id="0" w:name="_GoBack"/>
      <w:r>
        <w:rPr>
          <w:rFonts w:eastAsia="Times New Roman" w:cs="Tahoma"/>
          <w:b/>
          <w:bCs/>
          <w:noProof/>
          <w:szCs w:val="24"/>
        </w:rPr>
        <w:t xml:space="preserve">PUGGIA N.O. </w:t>
      </w:r>
      <w:bookmarkEnd w:id="0"/>
      <w:r>
        <w:rPr>
          <w:rFonts w:eastAsia="Times New Roman" w:cs="Tahoma"/>
          <w:b/>
          <w:bCs/>
          <w:noProof/>
          <w:szCs w:val="24"/>
        </w:rPr>
        <w:tab/>
      </w:r>
      <w:r w:rsidRPr="00D96C02">
        <w:rPr>
          <w:rFonts w:eastAsia="Times New Roman" w:cs="Tahoma"/>
          <w:noProof/>
          <w:szCs w:val="24"/>
        </w:rPr>
        <w:t>First Plaintiff</w:t>
      </w:r>
      <w:r w:rsidRPr="000160FF">
        <w:rPr>
          <w:rFonts w:eastAsia="Times New Roman" w:cs="Tahoma"/>
          <w:noProof/>
          <w:szCs w:val="24"/>
        </w:rPr>
        <w:t xml:space="preserve"> </w:t>
      </w:r>
    </w:p>
    <w:p w14:paraId="47710A00" w14:textId="77777777" w:rsidR="008107AC" w:rsidRDefault="008107AC" w:rsidP="00D96C02">
      <w:pPr>
        <w:tabs>
          <w:tab w:val="right" w:pos="9746"/>
        </w:tabs>
        <w:spacing w:line="276" w:lineRule="auto"/>
        <w:jc w:val="both"/>
        <w:rPr>
          <w:rFonts w:eastAsia="Times New Roman" w:cs="Tahoma"/>
          <w:noProof/>
          <w:szCs w:val="24"/>
        </w:rPr>
      </w:pPr>
    </w:p>
    <w:p w14:paraId="26C1D30C" w14:textId="533722A4" w:rsidR="00F12715" w:rsidRDefault="00F12715" w:rsidP="00D96C02">
      <w:pPr>
        <w:tabs>
          <w:tab w:val="right" w:pos="9746"/>
        </w:tabs>
        <w:spacing w:line="276" w:lineRule="auto"/>
        <w:jc w:val="both"/>
        <w:rPr>
          <w:rFonts w:eastAsia="Times New Roman" w:cs="Tahoma"/>
          <w:noProof/>
          <w:szCs w:val="24"/>
        </w:rPr>
      </w:pPr>
      <w:r>
        <w:rPr>
          <w:rFonts w:eastAsia="Times New Roman" w:cs="Tahoma"/>
          <w:b/>
          <w:bCs/>
          <w:noProof/>
          <w:szCs w:val="24"/>
        </w:rPr>
        <w:t>DAVID GRAHAM NEZAR N.O.</w:t>
      </w:r>
      <w:r>
        <w:rPr>
          <w:rFonts w:eastAsia="Times New Roman" w:cs="Tahoma"/>
          <w:b/>
          <w:bCs/>
          <w:noProof/>
          <w:szCs w:val="24"/>
        </w:rPr>
        <w:tab/>
      </w:r>
      <w:r w:rsidRPr="00D96C02">
        <w:rPr>
          <w:rFonts w:eastAsia="Times New Roman" w:cs="Tahoma"/>
          <w:noProof/>
          <w:szCs w:val="24"/>
        </w:rPr>
        <w:t>Second Plaintiff</w:t>
      </w:r>
    </w:p>
    <w:p w14:paraId="5A9528BD" w14:textId="77777777" w:rsidR="008107AC" w:rsidRDefault="008107AC" w:rsidP="00D96C02">
      <w:pPr>
        <w:tabs>
          <w:tab w:val="right" w:pos="9746"/>
        </w:tabs>
        <w:spacing w:line="276" w:lineRule="auto"/>
        <w:jc w:val="both"/>
        <w:rPr>
          <w:rFonts w:eastAsia="Times New Roman" w:cs="Tahoma"/>
          <w:b/>
          <w:bCs/>
          <w:noProof/>
          <w:szCs w:val="24"/>
        </w:rPr>
      </w:pPr>
    </w:p>
    <w:p w14:paraId="71B99DD6" w14:textId="0B38BF66" w:rsidR="00F12715" w:rsidRDefault="00F12715" w:rsidP="00D96C02">
      <w:pPr>
        <w:tabs>
          <w:tab w:val="right" w:pos="9746"/>
        </w:tabs>
        <w:spacing w:line="276" w:lineRule="auto"/>
        <w:jc w:val="both"/>
        <w:rPr>
          <w:rFonts w:eastAsia="Times New Roman" w:cs="Tahoma"/>
          <w:noProof/>
          <w:szCs w:val="24"/>
        </w:rPr>
      </w:pPr>
      <w:r>
        <w:rPr>
          <w:rFonts w:eastAsia="Times New Roman" w:cs="Tahoma"/>
          <w:b/>
          <w:bCs/>
          <w:noProof/>
          <w:szCs w:val="24"/>
        </w:rPr>
        <w:t>GEORGE YEROLEMOU N.O.</w:t>
      </w:r>
      <w:r>
        <w:rPr>
          <w:rFonts w:eastAsia="Times New Roman" w:cs="Tahoma"/>
          <w:b/>
          <w:bCs/>
          <w:noProof/>
          <w:szCs w:val="24"/>
        </w:rPr>
        <w:tab/>
      </w:r>
      <w:r w:rsidRPr="00D96C02">
        <w:rPr>
          <w:rFonts w:eastAsia="Times New Roman" w:cs="Tahoma"/>
          <w:noProof/>
          <w:szCs w:val="24"/>
        </w:rPr>
        <w:t>Third Plaintiff</w:t>
      </w:r>
    </w:p>
    <w:p w14:paraId="48CD5D92" w14:textId="77777777" w:rsidR="008107AC" w:rsidRDefault="008107AC" w:rsidP="00D96C02">
      <w:pPr>
        <w:tabs>
          <w:tab w:val="right" w:pos="9746"/>
        </w:tabs>
        <w:spacing w:line="276" w:lineRule="auto"/>
        <w:jc w:val="both"/>
        <w:rPr>
          <w:rFonts w:eastAsia="Times New Roman" w:cs="Tahoma"/>
          <w:b/>
          <w:bCs/>
          <w:noProof/>
          <w:szCs w:val="24"/>
        </w:rPr>
      </w:pPr>
    </w:p>
    <w:p w14:paraId="51B4D109" w14:textId="2EE8942C" w:rsidR="00F12715" w:rsidRDefault="00F12715" w:rsidP="00D96C02">
      <w:pPr>
        <w:tabs>
          <w:tab w:val="right" w:pos="9746"/>
        </w:tabs>
        <w:spacing w:line="276" w:lineRule="auto"/>
        <w:jc w:val="both"/>
        <w:rPr>
          <w:rFonts w:eastAsia="Times New Roman" w:cs="Tahoma"/>
          <w:b/>
          <w:bCs/>
          <w:noProof/>
          <w:szCs w:val="24"/>
        </w:rPr>
      </w:pPr>
      <w:r>
        <w:rPr>
          <w:rFonts w:eastAsia="Times New Roman" w:cs="Tahoma"/>
          <w:b/>
          <w:bCs/>
          <w:noProof/>
          <w:szCs w:val="24"/>
        </w:rPr>
        <w:t>NEIL RUSSEL CRAWFORD N.O.</w:t>
      </w:r>
      <w:r>
        <w:rPr>
          <w:rFonts w:eastAsia="Times New Roman" w:cs="Tahoma"/>
          <w:b/>
          <w:bCs/>
          <w:noProof/>
          <w:szCs w:val="24"/>
        </w:rPr>
        <w:tab/>
      </w:r>
      <w:r w:rsidRPr="00D96C02">
        <w:rPr>
          <w:rFonts w:eastAsia="Times New Roman" w:cs="Tahoma"/>
          <w:noProof/>
          <w:szCs w:val="24"/>
        </w:rPr>
        <w:t>Fourth Plaintiff</w:t>
      </w:r>
    </w:p>
    <w:p w14:paraId="433C1FBD" w14:textId="0F3186C7" w:rsidR="00D96C02" w:rsidRDefault="00D96C02" w:rsidP="00D96C02">
      <w:pPr>
        <w:tabs>
          <w:tab w:val="right" w:pos="9746"/>
        </w:tabs>
        <w:spacing w:line="276" w:lineRule="auto"/>
        <w:jc w:val="both"/>
        <w:rPr>
          <w:rFonts w:eastAsia="Times New Roman" w:cs="Tahoma"/>
          <w:b/>
          <w:bCs/>
          <w:noProof/>
          <w:szCs w:val="24"/>
        </w:rPr>
      </w:pPr>
      <w:r>
        <w:rPr>
          <w:rFonts w:eastAsia="Times New Roman" w:cs="Tahoma"/>
          <w:b/>
          <w:bCs/>
          <w:noProof/>
          <w:szCs w:val="24"/>
        </w:rPr>
        <w:lastRenderedPageBreak/>
        <w:t>WELLIE VICTOR MOSS N.O.</w:t>
      </w:r>
      <w:r>
        <w:rPr>
          <w:rFonts w:eastAsia="Times New Roman" w:cs="Tahoma"/>
          <w:b/>
          <w:bCs/>
          <w:noProof/>
          <w:szCs w:val="24"/>
        </w:rPr>
        <w:tab/>
      </w:r>
      <w:r w:rsidRPr="00D96C02">
        <w:rPr>
          <w:rFonts w:eastAsia="Times New Roman" w:cs="Tahoma"/>
          <w:noProof/>
          <w:szCs w:val="24"/>
        </w:rPr>
        <w:t>Fifth Plaintiff</w:t>
      </w:r>
    </w:p>
    <w:p w14:paraId="6E41C155" w14:textId="77777777" w:rsidR="00D96C02" w:rsidRDefault="00D96C02" w:rsidP="00D96C02">
      <w:pPr>
        <w:tabs>
          <w:tab w:val="right" w:pos="9746"/>
        </w:tabs>
        <w:spacing w:line="276" w:lineRule="auto"/>
        <w:jc w:val="both"/>
        <w:rPr>
          <w:rFonts w:eastAsia="Times New Roman" w:cs="Tahoma"/>
          <w:noProof/>
          <w:szCs w:val="24"/>
        </w:rPr>
      </w:pPr>
      <w:r>
        <w:rPr>
          <w:rFonts w:eastAsia="Times New Roman" w:cs="Tahoma"/>
          <w:noProof/>
          <w:szCs w:val="24"/>
        </w:rPr>
        <w:t xml:space="preserve">(in their capacities as the trustees for the </w:t>
      </w:r>
    </w:p>
    <w:p w14:paraId="184C1B09" w14:textId="6A8CC724" w:rsidR="00D96C02" w:rsidRPr="00D96C02" w:rsidRDefault="00D96C02" w:rsidP="00F12715">
      <w:pPr>
        <w:tabs>
          <w:tab w:val="right" w:pos="9746"/>
        </w:tabs>
        <w:spacing w:line="480" w:lineRule="auto"/>
        <w:jc w:val="both"/>
        <w:rPr>
          <w:rFonts w:eastAsia="Times New Roman" w:cs="Tahoma"/>
          <w:noProof/>
          <w:szCs w:val="24"/>
        </w:rPr>
      </w:pPr>
      <w:r>
        <w:rPr>
          <w:rFonts w:eastAsia="Times New Roman" w:cs="Tahoma"/>
          <w:noProof/>
          <w:szCs w:val="24"/>
        </w:rPr>
        <w:t>time being of the WOODBRIDGE TRUST)</w:t>
      </w:r>
    </w:p>
    <w:p w14:paraId="4D981661" w14:textId="77777777" w:rsidR="00D96C02" w:rsidRDefault="00D96C02" w:rsidP="00D96C02">
      <w:pPr>
        <w:spacing w:line="276" w:lineRule="auto"/>
        <w:jc w:val="both"/>
        <w:rPr>
          <w:rFonts w:eastAsia="Times New Roman" w:cs="Tahoma"/>
          <w:noProof/>
          <w:szCs w:val="24"/>
        </w:rPr>
      </w:pPr>
      <w:r>
        <w:rPr>
          <w:rFonts w:eastAsia="Times New Roman" w:cs="Tahoma"/>
          <w:noProof/>
          <w:szCs w:val="24"/>
        </w:rPr>
        <w:t>a</w:t>
      </w:r>
      <w:r w:rsidRPr="000160FF">
        <w:rPr>
          <w:rFonts w:eastAsia="Times New Roman" w:cs="Tahoma"/>
          <w:noProof/>
          <w:szCs w:val="24"/>
        </w:rPr>
        <w:t>nd</w:t>
      </w:r>
    </w:p>
    <w:p w14:paraId="5E9F5FBA" w14:textId="77777777" w:rsidR="00D96C02" w:rsidRPr="000160FF" w:rsidRDefault="00D96C02" w:rsidP="00D96C02">
      <w:pPr>
        <w:jc w:val="both"/>
        <w:rPr>
          <w:rFonts w:eastAsia="Times New Roman" w:cs="Tahoma"/>
          <w:noProof/>
          <w:szCs w:val="24"/>
        </w:rPr>
      </w:pPr>
    </w:p>
    <w:p w14:paraId="23285044" w14:textId="77777777" w:rsidR="00D96C02" w:rsidRDefault="00D96C02" w:rsidP="00D96C02">
      <w:pPr>
        <w:tabs>
          <w:tab w:val="left" w:pos="638"/>
          <w:tab w:val="center" w:pos="4513"/>
          <w:tab w:val="right" w:pos="9746"/>
        </w:tabs>
        <w:rPr>
          <w:rFonts w:eastAsia="Times New Roman" w:cs="Tahoma"/>
          <w:b/>
          <w:bCs/>
          <w:noProof/>
          <w:szCs w:val="24"/>
        </w:rPr>
      </w:pPr>
      <w:r>
        <w:rPr>
          <w:rFonts w:eastAsia="Times New Roman" w:cs="Tahoma"/>
          <w:b/>
          <w:bCs/>
          <w:noProof/>
          <w:szCs w:val="24"/>
        </w:rPr>
        <w:t xml:space="preserve">ESKOM HOLDINGS (SOC) LIMITED </w:t>
      </w:r>
      <w:r>
        <w:rPr>
          <w:rFonts w:eastAsia="Times New Roman" w:cs="Tahoma"/>
          <w:b/>
          <w:bCs/>
          <w:noProof/>
          <w:szCs w:val="24"/>
        </w:rPr>
        <w:tab/>
      </w:r>
      <w:r>
        <w:rPr>
          <w:rFonts w:eastAsia="Times New Roman" w:cs="Tahoma"/>
          <w:b/>
          <w:bCs/>
          <w:noProof/>
          <w:szCs w:val="24"/>
        </w:rPr>
        <w:tab/>
      </w:r>
      <w:r w:rsidRPr="00D96C02">
        <w:rPr>
          <w:rFonts w:eastAsia="Times New Roman" w:cs="Tahoma"/>
          <w:noProof/>
          <w:szCs w:val="24"/>
        </w:rPr>
        <w:t>First Defendant</w:t>
      </w:r>
      <w:r>
        <w:rPr>
          <w:rFonts w:eastAsia="Times New Roman" w:cs="Tahoma"/>
          <w:b/>
          <w:bCs/>
          <w:noProof/>
          <w:szCs w:val="24"/>
        </w:rPr>
        <w:t xml:space="preserve"> </w:t>
      </w:r>
    </w:p>
    <w:p w14:paraId="5C9C178B" w14:textId="77777777" w:rsidR="00D96C02" w:rsidRDefault="00D96C02" w:rsidP="00D96C02">
      <w:pPr>
        <w:tabs>
          <w:tab w:val="left" w:pos="638"/>
          <w:tab w:val="center" w:pos="4513"/>
          <w:tab w:val="right" w:pos="9746"/>
        </w:tabs>
        <w:rPr>
          <w:rFonts w:eastAsia="Times New Roman" w:cs="Tahoma"/>
          <w:b/>
          <w:bCs/>
          <w:noProof/>
          <w:szCs w:val="24"/>
        </w:rPr>
      </w:pPr>
    </w:p>
    <w:p w14:paraId="6B401D57" w14:textId="77777777" w:rsidR="00D96C02" w:rsidRDefault="00D96C02" w:rsidP="00D96C02">
      <w:pPr>
        <w:tabs>
          <w:tab w:val="left" w:pos="638"/>
          <w:tab w:val="center" w:pos="4513"/>
          <w:tab w:val="right" w:pos="9746"/>
        </w:tabs>
        <w:rPr>
          <w:rFonts w:eastAsia="Times New Roman" w:cs="Tahoma"/>
          <w:b/>
          <w:bCs/>
          <w:noProof/>
          <w:szCs w:val="24"/>
        </w:rPr>
      </w:pPr>
      <w:r>
        <w:rPr>
          <w:rFonts w:eastAsia="Times New Roman" w:cs="Tahoma"/>
          <w:b/>
          <w:bCs/>
          <w:noProof/>
          <w:szCs w:val="24"/>
        </w:rPr>
        <w:t xml:space="preserve">MINISTER OF ENVIRONMENT, </w:t>
      </w:r>
    </w:p>
    <w:p w14:paraId="15B27763" w14:textId="77777777" w:rsidR="00D96C02" w:rsidRDefault="00D96C02" w:rsidP="00D96C02">
      <w:pPr>
        <w:tabs>
          <w:tab w:val="left" w:pos="638"/>
          <w:tab w:val="center" w:pos="4513"/>
          <w:tab w:val="right" w:pos="9746"/>
        </w:tabs>
        <w:spacing w:line="276" w:lineRule="auto"/>
        <w:rPr>
          <w:rFonts w:eastAsia="Times New Roman" w:cs="Tahoma"/>
          <w:b/>
          <w:bCs/>
          <w:noProof/>
          <w:szCs w:val="24"/>
        </w:rPr>
      </w:pPr>
      <w:r>
        <w:rPr>
          <w:rFonts w:eastAsia="Times New Roman" w:cs="Tahoma"/>
          <w:b/>
          <w:bCs/>
          <w:noProof/>
          <w:szCs w:val="24"/>
        </w:rPr>
        <w:t xml:space="preserve">FORESTRY AND FISHERIES </w:t>
      </w:r>
      <w:r>
        <w:rPr>
          <w:rFonts w:eastAsia="Times New Roman" w:cs="Tahoma"/>
          <w:b/>
          <w:bCs/>
          <w:noProof/>
          <w:szCs w:val="24"/>
        </w:rPr>
        <w:tab/>
      </w:r>
      <w:r>
        <w:rPr>
          <w:rFonts w:eastAsia="Times New Roman" w:cs="Tahoma"/>
          <w:b/>
          <w:bCs/>
          <w:noProof/>
          <w:szCs w:val="24"/>
        </w:rPr>
        <w:tab/>
      </w:r>
      <w:r w:rsidRPr="00D96C02">
        <w:rPr>
          <w:rFonts w:eastAsia="Times New Roman" w:cs="Tahoma"/>
          <w:noProof/>
          <w:szCs w:val="24"/>
        </w:rPr>
        <w:t>Seocnd Defendant</w:t>
      </w:r>
      <w:r>
        <w:rPr>
          <w:rFonts w:eastAsia="Times New Roman" w:cs="Tahoma"/>
          <w:b/>
          <w:bCs/>
          <w:noProof/>
          <w:szCs w:val="24"/>
        </w:rPr>
        <w:t xml:space="preserve"> </w:t>
      </w:r>
    </w:p>
    <w:p w14:paraId="7A9AD047" w14:textId="77777777" w:rsidR="00D96C02" w:rsidRDefault="00D96C02" w:rsidP="00D96C02">
      <w:pPr>
        <w:tabs>
          <w:tab w:val="left" w:pos="638"/>
          <w:tab w:val="center" w:pos="4513"/>
          <w:tab w:val="right" w:pos="9746"/>
        </w:tabs>
        <w:rPr>
          <w:rFonts w:eastAsia="Times New Roman" w:cs="Tahoma"/>
          <w:b/>
          <w:bCs/>
          <w:noProof/>
          <w:szCs w:val="24"/>
        </w:rPr>
      </w:pPr>
    </w:p>
    <w:p w14:paraId="2035204B" w14:textId="77777777" w:rsidR="00D96C02" w:rsidRDefault="00D96C02" w:rsidP="00D96C02">
      <w:pPr>
        <w:tabs>
          <w:tab w:val="left" w:pos="638"/>
          <w:tab w:val="center" w:pos="4513"/>
          <w:tab w:val="right" w:pos="9746"/>
        </w:tabs>
        <w:spacing w:line="276" w:lineRule="auto"/>
        <w:rPr>
          <w:rFonts w:eastAsia="Times New Roman" w:cs="Tahoma"/>
          <w:noProof/>
          <w:szCs w:val="24"/>
        </w:rPr>
      </w:pPr>
      <w:r>
        <w:rPr>
          <w:rFonts w:eastAsia="Times New Roman" w:cs="Tahoma"/>
          <w:noProof/>
          <w:szCs w:val="24"/>
        </w:rPr>
        <w:t>and</w:t>
      </w:r>
    </w:p>
    <w:p w14:paraId="31249153" w14:textId="77777777" w:rsidR="00D96C02" w:rsidRDefault="00D96C02" w:rsidP="00D96C02">
      <w:pPr>
        <w:tabs>
          <w:tab w:val="left" w:pos="638"/>
          <w:tab w:val="center" w:pos="4513"/>
          <w:tab w:val="right" w:pos="9746"/>
        </w:tabs>
        <w:rPr>
          <w:rFonts w:eastAsia="Times New Roman" w:cs="Tahoma"/>
          <w:noProof/>
          <w:szCs w:val="24"/>
        </w:rPr>
      </w:pPr>
    </w:p>
    <w:p w14:paraId="62E7D9D8" w14:textId="77777777" w:rsidR="00D96C02" w:rsidRDefault="00D96C02" w:rsidP="00D96C02">
      <w:pPr>
        <w:tabs>
          <w:tab w:val="left" w:pos="638"/>
          <w:tab w:val="center" w:pos="4513"/>
          <w:tab w:val="right" w:pos="9746"/>
        </w:tabs>
        <w:rPr>
          <w:rFonts w:cs="Tahoma"/>
          <w:b/>
          <w:bCs/>
          <w:szCs w:val="24"/>
        </w:rPr>
      </w:pPr>
      <w:r>
        <w:rPr>
          <w:rFonts w:cs="Tahoma"/>
          <w:b/>
          <w:bCs/>
          <w:szCs w:val="24"/>
        </w:rPr>
        <w:t>NELSON MANDELA BAY</w:t>
      </w:r>
    </w:p>
    <w:p w14:paraId="739D1240" w14:textId="77777777" w:rsidR="00D96C02" w:rsidRDefault="00D96C02" w:rsidP="00D96C02">
      <w:pPr>
        <w:tabs>
          <w:tab w:val="left" w:pos="638"/>
          <w:tab w:val="center" w:pos="4513"/>
          <w:tab w:val="right" w:pos="9746"/>
        </w:tabs>
        <w:rPr>
          <w:rFonts w:cs="Tahoma"/>
          <w:b/>
          <w:bCs/>
          <w:szCs w:val="24"/>
        </w:rPr>
      </w:pPr>
      <w:r>
        <w:rPr>
          <w:rFonts w:cs="Tahoma"/>
          <w:b/>
          <w:bCs/>
          <w:szCs w:val="24"/>
        </w:rPr>
        <w:t xml:space="preserve">METROPOLITAN MUNICIPALITY </w:t>
      </w:r>
      <w:r>
        <w:rPr>
          <w:rFonts w:cs="Tahoma"/>
          <w:b/>
          <w:bCs/>
          <w:szCs w:val="24"/>
        </w:rPr>
        <w:tab/>
      </w:r>
      <w:r>
        <w:rPr>
          <w:rFonts w:cs="Tahoma"/>
          <w:b/>
          <w:bCs/>
          <w:szCs w:val="24"/>
        </w:rPr>
        <w:tab/>
      </w:r>
      <w:r w:rsidRPr="00D96C02">
        <w:rPr>
          <w:rFonts w:cs="Tahoma"/>
          <w:szCs w:val="24"/>
        </w:rPr>
        <w:t>First Third Party</w:t>
      </w:r>
      <w:r>
        <w:rPr>
          <w:rFonts w:cs="Tahoma"/>
          <w:b/>
          <w:bCs/>
          <w:szCs w:val="24"/>
        </w:rPr>
        <w:t xml:space="preserve"> </w:t>
      </w:r>
    </w:p>
    <w:p w14:paraId="6BD218D5" w14:textId="77777777" w:rsidR="00D96C02" w:rsidRDefault="00D96C02" w:rsidP="00D96C02">
      <w:pPr>
        <w:tabs>
          <w:tab w:val="left" w:pos="638"/>
          <w:tab w:val="center" w:pos="4513"/>
          <w:tab w:val="right" w:pos="9746"/>
        </w:tabs>
        <w:rPr>
          <w:rFonts w:cs="Tahoma"/>
          <w:b/>
          <w:bCs/>
          <w:szCs w:val="24"/>
        </w:rPr>
      </w:pPr>
    </w:p>
    <w:p w14:paraId="3E597A04" w14:textId="3083EF8D" w:rsidR="00C157B7" w:rsidRPr="00D96C02" w:rsidRDefault="00D96C02" w:rsidP="00D96C02">
      <w:pPr>
        <w:tabs>
          <w:tab w:val="left" w:pos="638"/>
          <w:tab w:val="center" w:pos="4513"/>
          <w:tab w:val="right" w:pos="9746"/>
        </w:tabs>
        <w:rPr>
          <w:rFonts w:cs="Tahoma"/>
          <w:b/>
          <w:bCs/>
          <w:szCs w:val="24"/>
        </w:rPr>
      </w:pPr>
      <w:r>
        <w:rPr>
          <w:rFonts w:cs="Tahoma"/>
          <w:b/>
          <w:bCs/>
          <w:szCs w:val="24"/>
        </w:rPr>
        <w:t>CYPHERFONTEIN 379 (PTY) LTD</w:t>
      </w:r>
      <w:r>
        <w:rPr>
          <w:rFonts w:cs="Tahoma"/>
          <w:b/>
          <w:bCs/>
          <w:szCs w:val="24"/>
        </w:rPr>
        <w:tab/>
      </w:r>
      <w:r>
        <w:rPr>
          <w:rFonts w:cs="Tahoma"/>
          <w:b/>
          <w:bCs/>
          <w:szCs w:val="24"/>
        </w:rPr>
        <w:tab/>
      </w:r>
      <w:r w:rsidRPr="00D96C02">
        <w:rPr>
          <w:rFonts w:cs="Tahoma"/>
          <w:szCs w:val="24"/>
        </w:rPr>
        <w:t>Second Third</w:t>
      </w:r>
      <w:r w:rsidR="00D91D99">
        <w:rPr>
          <w:rFonts w:cs="Tahoma"/>
          <w:szCs w:val="24"/>
        </w:rPr>
        <w:t xml:space="preserve"> Party</w:t>
      </w:r>
    </w:p>
    <w:p w14:paraId="6FA8914C" w14:textId="1226DD1D" w:rsidR="00F12715" w:rsidRPr="000160FF" w:rsidRDefault="00F12715" w:rsidP="005C7D79">
      <w:pPr>
        <w:jc w:val="both"/>
        <w:rPr>
          <w:rFonts w:cs="Tahoma"/>
          <w:szCs w:val="24"/>
        </w:rPr>
      </w:pPr>
    </w:p>
    <w:tbl>
      <w:tblPr>
        <w:tblW w:w="9781" w:type="dxa"/>
        <w:tblBorders>
          <w:top w:val="single" w:sz="12" w:space="0" w:color="auto"/>
          <w:bottom w:val="single" w:sz="12" w:space="0" w:color="auto"/>
        </w:tblBorders>
        <w:tblLook w:val="04A0" w:firstRow="1" w:lastRow="0" w:firstColumn="1" w:lastColumn="0" w:noHBand="0" w:noVBand="1"/>
      </w:tblPr>
      <w:tblGrid>
        <w:gridCol w:w="9781"/>
      </w:tblGrid>
      <w:tr w:rsidR="00181B48" w:rsidRPr="000160FF" w14:paraId="794B29CD" w14:textId="77777777" w:rsidTr="00D96C02">
        <w:trPr>
          <w:cantSplit/>
          <w:trHeight w:val="1134"/>
        </w:trPr>
        <w:tc>
          <w:tcPr>
            <w:tcW w:w="9781" w:type="dxa"/>
            <w:shd w:val="clear" w:color="auto" w:fill="auto"/>
            <w:vAlign w:val="center"/>
          </w:tcPr>
          <w:p w14:paraId="09AAD21C" w14:textId="1C24DDAE" w:rsidR="00B3408B" w:rsidRPr="000160FF" w:rsidRDefault="00C6369A" w:rsidP="00D96C02">
            <w:pPr>
              <w:pStyle w:val="Names"/>
              <w:spacing w:before="240"/>
              <w:jc w:val="center"/>
              <w:rPr>
                <w:rFonts w:cs="Tahoma"/>
                <w:szCs w:val="24"/>
              </w:rPr>
            </w:pPr>
            <w:r w:rsidRPr="000160FF">
              <w:rPr>
                <w:rFonts w:cs="Tahoma"/>
                <w:szCs w:val="24"/>
              </w:rPr>
              <w:t>judgment</w:t>
            </w:r>
          </w:p>
        </w:tc>
      </w:tr>
    </w:tbl>
    <w:p w14:paraId="165EB78E" w14:textId="77777777" w:rsidR="005C7D79" w:rsidRPr="000160FF" w:rsidRDefault="005C7D79" w:rsidP="005C7D79">
      <w:pPr>
        <w:pStyle w:val="H1"/>
        <w:numPr>
          <w:ilvl w:val="0"/>
          <w:numId w:val="0"/>
        </w:numPr>
        <w:spacing w:line="240" w:lineRule="auto"/>
        <w:ind w:left="567" w:hanging="567"/>
        <w:rPr>
          <w:rFonts w:cs="Tahoma"/>
          <w:b/>
          <w:szCs w:val="24"/>
          <w:u w:val="single"/>
        </w:rPr>
      </w:pPr>
    </w:p>
    <w:p w14:paraId="74CC353B" w14:textId="1CD1099B" w:rsidR="00DD655F" w:rsidRPr="000160FF" w:rsidRDefault="005C7D79" w:rsidP="00D96C02">
      <w:pPr>
        <w:pStyle w:val="H1"/>
        <w:numPr>
          <w:ilvl w:val="0"/>
          <w:numId w:val="0"/>
        </w:numPr>
        <w:spacing w:after="480" w:line="240" w:lineRule="auto"/>
        <w:ind w:left="567" w:hanging="567"/>
        <w:rPr>
          <w:rFonts w:cs="Tahoma"/>
          <w:b/>
          <w:szCs w:val="24"/>
          <w:u w:val="single"/>
        </w:rPr>
      </w:pPr>
      <w:r w:rsidRPr="00E83AB9">
        <w:rPr>
          <w:rFonts w:cs="Tahoma"/>
          <w:bCs/>
          <w:szCs w:val="24"/>
        </w:rPr>
        <w:t>RONAASEN AJ:</w:t>
      </w:r>
    </w:p>
    <w:p w14:paraId="75849662" w14:textId="43CF431F" w:rsidR="00565437" w:rsidRDefault="00565437" w:rsidP="00D96C02">
      <w:pPr>
        <w:pStyle w:val="H1"/>
        <w:numPr>
          <w:ilvl w:val="0"/>
          <w:numId w:val="0"/>
        </w:numPr>
        <w:spacing w:after="480" w:line="360" w:lineRule="auto"/>
        <w:ind w:left="567" w:hanging="567"/>
        <w:rPr>
          <w:rFonts w:cs="Tahoma"/>
          <w:b/>
          <w:bCs/>
          <w:szCs w:val="24"/>
          <w:u w:val="single"/>
        </w:rPr>
      </w:pPr>
      <w:r w:rsidRPr="000160FF">
        <w:rPr>
          <w:rFonts w:cs="Tahoma"/>
          <w:b/>
          <w:bCs/>
          <w:szCs w:val="24"/>
          <w:u w:val="single"/>
        </w:rPr>
        <w:t>Introduction</w:t>
      </w:r>
    </w:p>
    <w:p w14:paraId="1EDA349F" w14:textId="4386482F" w:rsidR="00F476DB" w:rsidRPr="00F476DB" w:rsidRDefault="00F476DB" w:rsidP="00D96C02">
      <w:pPr>
        <w:pStyle w:val="H1"/>
        <w:numPr>
          <w:ilvl w:val="0"/>
          <w:numId w:val="0"/>
        </w:numPr>
        <w:spacing w:after="480"/>
        <w:ind w:left="567" w:hanging="567"/>
        <w:rPr>
          <w:rFonts w:cs="Tahoma"/>
          <w:i/>
          <w:iCs/>
          <w:szCs w:val="24"/>
          <w:u w:val="single"/>
        </w:rPr>
      </w:pPr>
      <w:r>
        <w:rPr>
          <w:rFonts w:cs="Tahoma"/>
          <w:i/>
          <w:iCs/>
          <w:szCs w:val="24"/>
          <w:u w:val="single"/>
        </w:rPr>
        <w:t>General</w:t>
      </w:r>
    </w:p>
    <w:p w14:paraId="014EE5FD" w14:textId="10949977" w:rsidR="00330EB0" w:rsidRDefault="00E83AB9" w:rsidP="00D96C02">
      <w:pPr>
        <w:pStyle w:val="H1"/>
        <w:spacing w:after="480"/>
        <w:rPr>
          <w:rFonts w:cs="Tahoma"/>
          <w:szCs w:val="24"/>
        </w:rPr>
      </w:pPr>
      <w:r>
        <w:rPr>
          <w:rFonts w:cs="Tahoma"/>
          <w:szCs w:val="24"/>
        </w:rPr>
        <w:t>This judgment, in respect of case number 919/2020 (“the MTO action”)</w:t>
      </w:r>
      <w:r w:rsidR="00306D79">
        <w:rPr>
          <w:rFonts w:cs="Tahoma"/>
          <w:szCs w:val="24"/>
        </w:rPr>
        <w:t>,</w:t>
      </w:r>
      <w:r>
        <w:rPr>
          <w:rFonts w:cs="Tahoma"/>
          <w:szCs w:val="24"/>
        </w:rPr>
        <w:t xml:space="preserve"> concerns an opposed application for amendment</w:t>
      </w:r>
      <w:r w:rsidR="00F476DB">
        <w:rPr>
          <w:rFonts w:cs="Tahoma"/>
          <w:szCs w:val="24"/>
        </w:rPr>
        <w:t xml:space="preserve"> (“the application”)</w:t>
      </w:r>
      <w:r>
        <w:rPr>
          <w:rFonts w:cs="Tahoma"/>
          <w:szCs w:val="24"/>
        </w:rPr>
        <w:t xml:space="preserve"> and in respect of case number 926/2020 (“the Woodridge action”) relates to an exception</w:t>
      </w:r>
      <w:r w:rsidR="00F476DB">
        <w:rPr>
          <w:rFonts w:cs="Tahoma"/>
          <w:szCs w:val="24"/>
        </w:rPr>
        <w:t xml:space="preserve"> (“the exception”)</w:t>
      </w:r>
      <w:r>
        <w:rPr>
          <w:rFonts w:cs="Tahoma"/>
          <w:szCs w:val="24"/>
        </w:rPr>
        <w:t>.</w:t>
      </w:r>
    </w:p>
    <w:p w14:paraId="21185DD7" w14:textId="41B15134" w:rsidR="00F476DB" w:rsidRDefault="00F476DB" w:rsidP="00D96C02">
      <w:pPr>
        <w:pStyle w:val="H1"/>
        <w:spacing w:after="480"/>
        <w:rPr>
          <w:rFonts w:cs="Tahoma"/>
          <w:szCs w:val="24"/>
        </w:rPr>
      </w:pPr>
      <w:r>
        <w:rPr>
          <w:rFonts w:cs="Tahoma"/>
          <w:szCs w:val="24"/>
        </w:rPr>
        <w:t>As will be apparent from my summary of the litigation history and the facts underlying the litigation, set out below, it was appropriate for the application and exception to be heard at the same time.</w:t>
      </w:r>
    </w:p>
    <w:p w14:paraId="3C2EEFBA" w14:textId="77777777" w:rsidR="0077641D" w:rsidRDefault="0077641D" w:rsidP="00D96C02">
      <w:pPr>
        <w:pStyle w:val="H1"/>
        <w:numPr>
          <w:ilvl w:val="0"/>
          <w:numId w:val="0"/>
        </w:numPr>
        <w:spacing w:after="480"/>
        <w:rPr>
          <w:rFonts w:cs="Tahoma"/>
          <w:i/>
          <w:szCs w:val="24"/>
          <w:u w:val="single"/>
        </w:rPr>
      </w:pPr>
      <w:r>
        <w:rPr>
          <w:rFonts w:cs="Tahoma"/>
          <w:i/>
          <w:szCs w:val="24"/>
          <w:u w:val="single"/>
        </w:rPr>
        <w:lastRenderedPageBreak/>
        <w:t>The MTO action</w:t>
      </w:r>
    </w:p>
    <w:p w14:paraId="574FC4E5" w14:textId="192CE97B" w:rsidR="00F476DB" w:rsidRDefault="0077641D" w:rsidP="00D96C02">
      <w:pPr>
        <w:pStyle w:val="H1"/>
        <w:spacing w:after="480"/>
      </w:pPr>
      <w:r>
        <w:t>The plaintiff in this action is MTO Forestry (Pty) Ltd (“MTO”).</w:t>
      </w:r>
      <w:r w:rsidR="00F90FD4">
        <w:t xml:space="preserve">  In April 2020 it instituted action against the first defendant, Eskom Holdings SOC Ltd (“Eskom”), and the second defendant, the Minister of Environment, Forestry and Fisheries (“the Minister”)</w:t>
      </w:r>
      <w:r w:rsidR="00335710">
        <w:t>, seeking the payment of damages from Eskom</w:t>
      </w:r>
      <w:r w:rsidR="00F90FD4">
        <w:t>.</w:t>
      </w:r>
    </w:p>
    <w:p w14:paraId="5F4247AD" w14:textId="1073CD8A" w:rsidR="00930BC4" w:rsidRDefault="00930BC4" w:rsidP="00D96C02">
      <w:pPr>
        <w:pStyle w:val="H1"/>
        <w:spacing w:after="480"/>
      </w:pPr>
      <w:r>
        <w:t xml:space="preserve">MTO had the right to and benefit of, alternatively, </w:t>
      </w:r>
      <w:r w:rsidR="001945ED">
        <w:t>b</w:t>
      </w:r>
      <w:r>
        <w:t>or</w:t>
      </w:r>
      <w:r w:rsidR="001945ED">
        <w:t>e</w:t>
      </w:r>
      <w:r>
        <w:t xml:space="preserve"> the risk of profit and loss in respect of certain plantations and a sawmill situated on immovable property owned by the Government of the Republic of South Africa (“MTO’s property”).</w:t>
      </w:r>
    </w:p>
    <w:p w14:paraId="336E452D" w14:textId="2F0600E4" w:rsidR="00930BC4" w:rsidRDefault="00930BC4" w:rsidP="00D96C02">
      <w:pPr>
        <w:pStyle w:val="H1"/>
        <w:spacing w:after="480"/>
      </w:pPr>
      <w:r>
        <w:t>Eskom is a public utility established to provide electricity to consumers</w:t>
      </w:r>
      <w:r w:rsidR="001A4AB9">
        <w:t xml:space="preserve"> in South Africa</w:t>
      </w:r>
      <w:r>
        <w:t>, including to MTO’s property.</w:t>
      </w:r>
    </w:p>
    <w:p w14:paraId="1E022D5C" w14:textId="66FA52D4" w:rsidR="00930BC4" w:rsidRDefault="00930BC4" w:rsidP="00D96C02">
      <w:pPr>
        <w:pStyle w:val="H1"/>
        <w:spacing w:after="480"/>
      </w:pPr>
      <w:r>
        <w:t>The Government owns another immovable property situated to the south-west of MTO’s property, the management and control of which</w:t>
      </w:r>
      <w:r w:rsidR="00C759C5">
        <w:t xml:space="preserve"> w</w:t>
      </w:r>
      <w:r w:rsidR="00AD5E3D">
        <w:t>as delegated</w:t>
      </w:r>
      <w:r w:rsidR="00C759C5">
        <w:t xml:space="preserve"> by the Government to the Minister (“the Minister’s property”).</w:t>
      </w:r>
    </w:p>
    <w:p w14:paraId="500CA742" w14:textId="399EBC17" w:rsidR="00F41A9F" w:rsidRDefault="00C759C5" w:rsidP="00D96C02">
      <w:pPr>
        <w:pStyle w:val="H1"/>
        <w:spacing w:after="480"/>
      </w:pPr>
      <w:r>
        <w:t xml:space="preserve">Eskom </w:t>
      </w:r>
      <w:r w:rsidR="00335710">
        <w:t>has repeatedly attempted to join</w:t>
      </w:r>
      <w:r>
        <w:t xml:space="preserve"> the Nelson Mandela Bay Metropolitan Municipality (“the municipality”) as </w:t>
      </w:r>
      <w:r w:rsidR="00335710">
        <w:t xml:space="preserve">a </w:t>
      </w:r>
      <w:r>
        <w:t>third part</w:t>
      </w:r>
      <w:r w:rsidR="00335710">
        <w:t>y</w:t>
      </w:r>
      <w:r>
        <w:t xml:space="preserve"> to the</w:t>
      </w:r>
      <w:r w:rsidR="00DF3EEC">
        <w:t xml:space="preserve"> MTO</w:t>
      </w:r>
      <w:r>
        <w:t xml:space="preserve"> action in terms of the provisions of rule 13 of the Uniform Rules (“rule 13”).  The</w:t>
      </w:r>
      <w:r w:rsidR="00BD131B">
        <w:t xml:space="preserve"> basis, if any, of the</w:t>
      </w:r>
      <w:r>
        <w:t xml:space="preserve"> joinder of the municipality as a third party is the principal issue</w:t>
      </w:r>
      <w:r w:rsidR="00F41A9F">
        <w:t xml:space="preserve"> for determination in the </w:t>
      </w:r>
      <w:r w:rsidR="00BD131B">
        <w:t>application</w:t>
      </w:r>
      <w:r w:rsidR="00F41A9F">
        <w:t>.</w:t>
      </w:r>
    </w:p>
    <w:p w14:paraId="0B290532" w14:textId="77777777" w:rsidR="00335710" w:rsidRDefault="00335710" w:rsidP="00335710">
      <w:pPr>
        <w:pStyle w:val="H1"/>
        <w:numPr>
          <w:ilvl w:val="0"/>
          <w:numId w:val="0"/>
        </w:numPr>
        <w:spacing w:after="480"/>
        <w:ind w:left="567"/>
      </w:pPr>
    </w:p>
    <w:p w14:paraId="25F0CCCD" w14:textId="200ED9AD" w:rsidR="00F41A9F" w:rsidRDefault="00F41A9F" w:rsidP="00D96C02">
      <w:pPr>
        <w:pStyle w:val="H1"/>
        <w:numPr>
          <w:ilvl w:val="0"/>
          <w:numId w:val="0"/>
        </w:numPr>
        <w:spacing w:after="480"/>
        <w:rPr>
          <w:i/>
          <w:iCs/>
          <w:u w:val="single"/>
        </w:rPr>
      </w:pPr>
      <w:r>
        <w:rPr>
          <w:i/>
          <w:iCs/>
          <w:u w:val="single"/>
        </w:rPr>
        <w:lastRenderedPageBreak/>
        <w:t>The Woodridge action</w:t>
      </w:r>
    </w:p>
    <w:p w14:paraId="1176BF58" w14:textId="2B75D74B" w:rsidR="00F41A9F" w:rsidRDefault="00F41A9F" w:rsidP="00D96C02">
      <w:pPr>
        <w:pStyle w:val="H1"/>
        <w:spacing w:after="480"/>
      </w:pPr>
      <w:r>
        <w:t>In this action the plaintiffs are the trustees for the time being of the Woodridge Trust (the plaintiffs and the trust will be collectively referred to as “Woodridge”).  Woodridge is the registered owner of two immovable properties on which it conducts business as a private school known as Woodridge College and Preparatory School.</w:t>
      </w:r>
    </w:p>
    <w:p w14:paraId="198DF4FC" w14:textId="2FB94193" w:rsidR="00F41A9F" w:rsidRDefault="00F41A9F" w:rsidP="00D96C02">
      <w:pPr>
        <w:pStyle w:val="H1"/>
        <w:spacing w:after="480"/>
      </w:pPr>
      <w:r>
        <w:t>In May 2020</w:t>
      </w:r>
      <w:r w:rsidR="00BD131B">
        <w:t xml:space="preserve"> Woodridge instituted an action for damages against Eskom and the Minister.  In this action Eskom joined the municipality and MTO as the first and second third parties, respectively, in terms of rule 13.  In the exception, too, the central question for determination is the basis, if any, for the municipality’s joinder.</w:t>
      </w:r>
    </w:p>
    <w:p w14:paraId="4F32A7F9" w14:textId="5176C96D" w:rsidR="00186B21" w:rsidRDefault="00186B21" w:rsidP="00D96C02">
      <w:pPr>
        <w:pStyle w:val="H1"/>
        <w:numPr>
          <w:ilvl w:val="0"/>
          <w:numId w:val="0"/>
        </w:numPr>
        <w:spacing w:after="480"/>
        <w:rPr>
          <w:i/>
          <w:iCs/>
          <w:u w:val="single"/>
        </w:rPr>
      </w:pPr>
      <w:r>
        <w:rPr>
          <w:i/>
          <w:iCs/>
          <w:u w:val="single"/>
        </w:rPr>
        <w:t>Summary of the grounds on which MTO and Woodridge claim the payment of damages from Eskom</w:t>
      </w:r>
    </w:p>
    <w:p w14:paraId="2CCE8AE9" w14:textId="16AE7060" w:rsidR="00186B21" w:rsidRDefault="00186B21" w:rsidP="00D96C02">
      <w:pPr>
        <w:pStyle w:val="H1"/>
        <w:spacing w:after="480"/>
      </w:pPr>
      <w:r>
        <w:t>Both MTO and Woodridge’s claims for damages against Eskom stem from the same factual scenario.  The grounds for the claims can be summarised as follows:</w:t>
      </w:r>
    </w:p>
    <w:p w14:paraId="22CB8989" w14:textId="4DB66F9C" w:rsidR="00186B21" w:rsidRDefault="00186B21" w:rsidP="00D96C02">
      <w:pPr>
        <w:pStyle w:val="H2"/>
        <w:spacing w:after="480"/>
      </w:pPr>
      <w:r>
        <w:t>Eskom owns and, at all material times, operated the MKSB005</w:t>
      </w:r>
      <w:r w:rsidR="009D581E">
        <w:t xml:space="preserve"> </w:t>
      </w:r>
      <w:r w:rsidR="002F3831">
        <w:t>power</w:t>
      </w:r>
      <w:r w:rsidR="009D581E">
        <w:t>line</w:t>
      </w:r>
      <w:r>
        <w:t>, which extends over several farms;</w:t>
      </w:r>
    </w:p>
    <w:p w14:paraId="566E3FD0" w14:textId="12CF9546" w:rsidR="00186B21" w:rsidRDefault="00186B21" w:rsidP="00D96C02">
      <w:pPr>
        <w:pStyle w:val="H2"/>
        <w:spacing w:after="480"/>
      </w:pPr>
      <w:r>
        <w:t>a veld fire started on the</w:t>
      </w:r>
      <w:r w:rsidR="00947CB4">
        <w:t xml:space="preserve"> Minister’s property, in the vicinity of poles with numbers 31 and 33 on the Eskom </w:t>
      </w:r>
      <w:r w:rsidR="009A1B7D">
        <w:t>power</w:t>
      </w:r>
      <w:r w:rsidR="00947CB4">
        <w:t>line, between 15:00 and 16:00, on 7 June 2017;</w:t>
      </w:r>
    </w:p>
    <w:p w14:paraId="0B4FAD61" w14:textId="44EBB035" w:rsidR="00947CB4" w:rsidRDefault="00947CB4" w:rsidP="00D96C02">
      <w:pPr>
        <w:pStyle w:val="H2"/>
        <w:spacing w:after="480"/>
      </w:pPr>
      <w:r>
        <w:lastRenderedPageBreak/>
        <w:t xml:space="preserve">the fire spread rapidly in an easterly direction until it reached MTO’s property where it caused extensive damage to certain of the compartments of the </w:t>
      </w:r>
      <w:r w:rsidR="00A13C87">
        <w:t>p</w:t>
      </w:r>
      <w:r>
        <w:t>lantation and to the sawmill and its contents;</w:t>
      </w:r>
    </w:p>
    <w:p w14:paraId="006DEB2F" w14:textId="61B82F69" w:rsidR="00947CB4" w:rsidRDefault="00947CB4" w:rsidP="00D96C02">
      <w:pPr>
        <w:pStyle w:val="H2"/>
        <w:spacing w:after="480"/>
      </w:pPr>
      <w:r>
        <w:t>the fire also spread to the Woodridge properties where it, equally, caused vast damage</w:t>
      </w:r>
      <w:r w:rsidR="008913EB">
        <w:t xml:space="preserve"> to</w:t>
      </w:r>
      <w:r>
        <w:t xml:space="preserve"> the buildings, other improvements on the property and the contents of the buildings;</w:t>
      </w:r>
    </w:p>
    <w:p w14:paraId="41B7E439" w14:textId="50F6B1D4" w:rsidR="00947CB4" w:rsidRDefault="00947CB4" w:rsidP="00D96C02">
      <w:pPr>
        <w:pStyle w:val="H2"/>
        <w:spacing w:after="480"/>
      </w:pPr>
      <w:r>
        <w:t>Eskom failed to extinguish or reasonably contain the fire while it was still in its infancy;</w:t>
      </w:r>
    </w:p>
    <w:p w14:paraId="2138A712" w14:textId="50AC8E60" w:rsidR="00947CB4" w:rsidRDefault="00947CB4" w:rsidP="00D96C02">
      <w:pPr>
        <w:pStyle w:val="H2"/>
        <w:spacing w:after="480"/>
      </w:pPr>
      <w:r>
        <w:t xml:space="preserve">the fire was the result of the malfunctioning of Eskom’s equipment caused by wind and/or </w:t>
      </w:r>
      <w:r w:rsidR="005B7BB9">
        <w:t xml:space="preserve">poor </w:t>
      </w:r>
      <w:r>
        <w:t xml:space="preserve">maintenance and/or lack of inspection; arcing currents between powerlines; sparks from the </w:t>
      </w:r>
      <w:r w:rsidR="00C46394">
        <w:t>ho</w:t>
      </w:r>
      <w:r>
        <w:t xml:space="preserve">t aluminium or steel </w:t>
      </w:r>
      <w:r w:rsidR="00FF5BEF">
        <w:t>se</w:t>
      </w:r>
      <w:r>
        <w:t>tting the veld</w:t>
      </w:r>
      <w:r w:rsidR="00FF5BEF">
        <w:t xml:space="preserve"> alight; powerlines clashing with overgrown vegetation beneath the Eskom line or by induction or electrolysis from the electricity transmitted by Eskom; and</w:t>
      </w:r>
    </w:p>
    <w:p w14:paraId="66C429A3" w14:textId="60FA70B8" w:rsidR="00FF5BEF" w:rsidRDefault="00FF5BEF" w:rsidP="00D96C02">
      <w:pPr>
        <w:pStyle w:val="H2"/>
        <w:spacing w:after="480"/>
      </w:pPr>
      <w:r>
        <w:t>the sole cause of the damage suffered by MTO and Woodridge was the wrongful</w:t>
      </w:r>
      <w:r w:rsidR="009B7A45">
        <w:t xml:space="preserve"> and</w:t>
      </w:r>
      <w:r>
        <w:t xml:space="preserve"> negligent actions of Eskom (for purposes of this judgment it is not required of me to analyse the legal basis on which MTO and Woodridge contend that Eskom</w:t>
      </w:r>
      <w:r w:rsidR="00335710">
        <w:t xml:space="preserve"> acted wrongfully and negligently and</w:t>
      </w:r>
      <w:r>
        <w:t xml:space="preserve"> is liable to </w:t>
      </w:r>
      <w:r w:rsidR="00E23DCE">
        <w:t>it</w:t>
      </w:r>
      <w:r>
        <w:t xml:space="preserve"> in damages).</w:t>
      </w:r>
    </w:p>
    <w:p w14:paraId="36DD8C0C" w14:textId="604CEB09" w:rsidR="00596AC3" w:rsidRDefault="00596AC3" w:rsidP="00D96C02">
      <w:pPr>
        <w:pStyle w:val="H2"/>
        <w:numPr>
          <w:ilvl w:val="0"/>
          <w:numId w:val="0"/>
        </w:numPr>
        <w:spacing w:after="480"/>
        <w:rPr>
          <w:i/>
          <w:iCs/>
          <w:u w:val="single"/>
        </w:rPr>
      </w:pPr>
      <w:r>
        <w:rPr>
          <w:i/>
          <w:iCs/>
          <w:u w:val="single"/>
        </w:rPr>
        <w:t>Summary of Eskom’s defence in the MTO action</w:t>
      </w:r>
    </w:p>
    <w:p w14:paraId="34A55B36" w14:textId="75D7B166" w:rsidR="00596AC3" w:rsidRDefault="00596AC3" w:rsidP="00D96C02">
      <w:pPr>
        <w:pStyle w:val="H1"/>
        <w:spacing w:after="480"/>
      </w:pPr>
      <w:r>
        <w:t>Eskom’s defence in its amended plea in this action can be summarised as follows:</w:t>
      </w:r>
    </w:p>
    <w:p w14:paraId="23E9534D" w14:textId="353A7E44" w:rsidR="00596AC3" w:rsidRDefault="00596AC3" w:rsidP="00D96C02">
      <w:pPr>
        <w:pStyle w:val="H2"/>
        <w:spacing w:after="480"/>
      </w:pPr>
      <w:r>
        <w:lastRenderedPageBreak/>
        <w:t>there were two fires on 7 June 2017;</w:t>
      </w:r>
    </w:p>
    <w:p w14:paraId="4631AF32" w14:textId="7F46FE0A" w:rsidR="00596AC3" w:rsidRDefault="00596AC3" w:rsidP="008107AC">
      <w:pPr>
        <w:pStyle w:val="H2"/>
        <w:spacing w:after="480" w:line="360" w:lineRule="auto"/>
      </w:pPr>
      <w:r>
        <w:t>the first fire started between 10:00 and 10:30 at or directly adjacent to a municipal power utility pole structure owned and controlled by the municipality (“the first fire”)</w:t>
      </w:r>
      <w:r w:rsidR="00626F7F">
        <w:t>.  Eskom attributes the cause of the first fire to the negligence of the municipality</w:t>
      </w:r>
      <w:r>
        <w:t>;</w:t>
      </w:r>
    </w:p>
    <w:p w14:paraId="7468DAAB" w14:textId="4619AD3A" w:rsidR="00357442" w:rsidRDefault="00357442" w:rsidP="008107AC">
      <w:pPr>
        <w:pStyle w:val="H2"/>
        <w:spacing w:after="360"/>
      </w:pPr>
      <w:r>
        <w:t xml:space="preserve">the second fire commenced </w:t>
      </w:r>
      <w:r w:rsidR="00155DBE">
        <w:t>between</w:t>
      </w:r>
      <w:r>
        <w:t xml:space="preserve"> approximately 15:00 and 15:30, approximately 15 m south-west of Eskom pole 31, referred to above (“the second fire”)</w:t>
      </w:r>
      <w:r w:rsidR="00626F7F">
        <w:t>.  MTO attributes the cause of the second fire to the negligence of Eskom and it is the second fire which it alleges caused the fire damage which is the subject matter of its claim for damages against Eskom</w:t>
      </w:r>
      <w:r>
        <w:t>;</w:t>
      </w:r>
    </w:p>
    <w:p w14:paraId="0E60DCF1" w14:textId="6CA7A32E" w:rsidR="00357442" w:rsidRDefault="00335710" w:rsidP="008107AC">
      <w:pPr>
        <w:pStyle w:val="H2"/>
        <w:spacing w:after="360"/>
      </w:pPr>
      <w:r>
        <w:t xml:space="preserve">Eskom maintains that </w:t>
      </w:r>
      <w:r w:rsidR="00357442">
        <w:t>the second fire was not caused in the manner alleged by MTO; the first fire and not the second caused the damage allegedly suffered by MTO in respect of which it now claims damages from Eskom;</w:t>
      </w:r>
    </w:p>
    <w:p w14:paraId="6ABBA2EB" w14:textId="50AF9C6D" w:rsidR="00357442" w:rsidRDefault="00357442" w:rsidP="008107AC">
      <w:pPr>
        <w:pStyle w:val="H2"/>
        <w:spacing w:after="360"/>
      </w:pPr>
      <w:r>
        <w:t>alternatively, if it is found that the second fire was caused in the manner alleged by MTO then</w:t>
      </w:r>
      <w:r w:rsidR="00335710">
        <w:t>, says Eskom,</w:t>
      </w:r>
      <w:r>
        <w:t xml:space="preserve"> it was not the sole cause of the fire damage suffered by MTO as the first fire first entered and spread over the MTO property and only after that the second fire entered and </w:t>
      </w:r>
      <w:r w:rsidR="00335710">
        <w:t>spread</w:t>
      </w:r>
      <w:r>
        <w:t xml:space="preserve"> over the property; and</w:t>
      </w:r>
    </w:p>
    <w:p w14:paraId="79A1D387" w14:textId="6767D313" w:rsidR="00357442" w:rsidRDefault="00357442" w:rsidP="008107AC">
      <w:pPr>
        <w:pStyle w:val="H2"/>
        <w:spacing w:after="360"/>
      </w:pPr>
      <w:r>
        <w:t xml:space="preserve">thus, </w:t>
      </w:r>
      <w:r w:rsidR="00335710">
        <w:t>Eskom’s</w:t>
      </w:r>
      <w:r>
        <w:t xml:space="preserve"> alternative defence is that the first and second fires resulting from the independent negligent conduct of two different parties (i.e., the municipality and Eskom caused the fire damage in respect of which MTO seeks payment of damages from Eskom.</w:t>
      </w:r>
    </w:p>
    <w:p w14:paraId="042C4543" w14:textId="59EB1BCF" w:rsidR="00357442" w:rsidRDefault="00357442" w:rsidP="008107AC">
      <w:pPr>
        <w:pStyle w:val="H2"/>
        <w:numPr>
          <w:ilvl w:val="0"/>
          <w:numId w:val="0"/>
        </w:numPr>
        <w:spacing w:after="360"/>
        <w:rPr>
          <w:i/>
          <w:iCs/>
          <w:u w:val="single"/>
        </w:rPr>
      </w:pPr>
      <w:r>
        <w:rPr>
          <w:i/>
          <w:iCs/>
          <w:u w:val="single"/>
        </w:rPr>
        <w:lastRenderedPageBreak/>
        <w:t>Summary of Eskom’s defence in the Woodridge action</w:t>
      </w:r>
    </w:p>
    <w:p w14:paraId="0614E93F" w14:textId="5E4F4164" w:rsidR="00626F7F" w:rsidRDefault="00626F7F" w:rsidP="00D96C02">
      <w:pPr>
        <w:pStyle w:val="H1"/>
        <w:spacing w:after="480"/>
      </w:pPr>
      <w:r>
        <w:t>Eskom attributes the first fire to the negligence of the municipality and insist</w:t>
      </w:r>
      <w:r w:rsidR="00386C68">
        <w:t>s</w:t>
      </w:r>
      <w:r>
        <w:t xml:space="preserve"> that it is this fire which caused the fire damage Woodridge suffered and not the second fire, which Woodridge attributed to the negligence of Eskom</w:t>
      </w:r>
      <w:r w:rsidR="00212E1F">
        <w:t>,</w:t>
      </w:r>
      <w:r>
        <w:t xml:space="preserve"> and which is the subject matter of its claim for damages against Eskom</w:t>
      </w:r>
      <w:r w:rsidR="00696407">
        <w:t>.</w:t>
      </w:r>
    </w:p>
    <w:p w14:paraId="1EB042A7" w14:textId="01375041" w:rsidR="00626F7F" w:rsidRDefault="00696407" w:rsidP="00D96C02">
      <w:pPr>
        <w:pStyle w:val="H1"/>
        <w:spacing w:after="480"/>
      </w:pPr>
      <w:r>
        <w:t>O</w:t>
      </w:r>
      <w:r w:rsidR="00626F7F">
        <w:t>ver the period 7 June 2017 to 10 June 2017 the first fire spread onto the Woodridge property and caused the fire damage Woodridge suffered</w:t>
      </w:r>
      <w:r>
        <w:t>.</w:t>
      </w:r>
    </w:p>
    <w:p w14:paraId="5BA4B293" w14:textId="5663D384" w:rsidR="00626F7F" w:rsidRDefault="00335710" w:rsidP="00D96C02">
      <w:pPr>
        <w:pStyle w:val="H1"/>
        <w:spacing w:after="480"/>
      </w:pPr>
      <w:r>
        <w:t>According to Eskom t</w:t>
      </w:r>
      <w:r w:rsidR="00626F7F">
        <w:t>he second fire, on 7 June 2017, spread but did not reach or burn across the Woodridge property and that in the result it is not liable for the fire damage suffered by Woodridge</w:t>
      </w:r>
      <w:r w:rsidR="004350E3">
        <w:t>.</w:t>
      </w:r>
    </w:p>
    <w:p w14:paraId="4E81C1A2" w14:textId="2674551A" w:rsidR="00626F7F" w:rsidRDefault="004350E3" w:rsidP="00D96C02">
      <w:pPr>
        <w:pStyle w:val="H1"/>
        <w:spacing w:after="480"/>
      </w:pPr>
      <w:r>
        <w:t>I</w:t>
      </w:r>
      <w:r w:rsidR="00626F7F">
        <w:t xml:space="preserve">n the alternative </w:t>
      </w:r>
      <w:r w:rsidR="001126C6">
        <w:t>Eskom</w:t>
      </w:r>
      <w:r w:rsidR="00626F7F">
        <w:t xml:space="preserve"> seeks to join the municipality in terms of rule 13(1)(b) should it be found that both fires caused the fire damage alleged by Woodridge.</w:t>
      </w:r>
    </w:p>
    <w:p w14:paraId="57EA1FE0" w14:textId="2CD63FB9" w:rsidR="00626F7F" w:rsidRDefault="0099625C" w:rsidP="00D96C02">
      <w:pPr>
        <w:pStyle w:val="H1"/>
        <w:numPr>
          <w:ilvl w:val="0"/>
          <w:numId w:val="0"/>
        </w:numPr>
        <w:spacing w:after="480"/>
        <w:rPr>
          <w:i/>
          <w:iCs/>
          <w:u w:val="single"/>
        </w:rPr>
      </w:pPr>
      <w:r>
        <w:rPr>
          <w:i/>
          <w:iCs/>
          <w:u w:val="single"/>
        </w:rPr>
        <w:t>Litigation history: the MTO action</w:t>
      </w:r>
    </w:p>
    <w:p w14:paraId="6A3F4033" w14:textId="2597FB34" w:rsidR="0099625C" w:rsidRDefault="0099625C" w:rsidP="00D96C02">
      <w:pPr>
        <w:pStyle w:val="H1"/>
        <w:spacing w:after="480"/>
      </w:pPr>
      <w:r>
        <w:t>On 24 April 2020 MTO instituted action against Eskom and the Minister</w:t>
      </w:r>
      <w:r w:rsidR="005215F0">
        <w:t>.</w:t>
      </w:r>
    </w:p>
    <w:p w14:paraId="241A5356" w14:textId="6F85E2A3" w:rsidR="005215F0" w:rsidRDefault="005215F0" w:rsidP="00D96C02">
      <w:pPr>
        <w:pStyle w:val="H1"/>
        <w:spacing w:after="480"/>
      </w:pPr>
      <w:r>
        <w:t>MTO delivered amended pages to its particulars of claim on 29 June 2020.</w:t>
      </w:r>
    </w:p>
    <w:p w14:paraId="24C242FD" w14:textId="1D5FD3B4" w:rsidR="005215F0" w:rsidRDefault="005215F0" w:rsidP="00D96C02">
      <w:pPr>
        <w:pStyle w:val="H1"/>
        <w:spacing w:after="480"/>
      </w:pPr>
      <w:r>
        <w:t>Eskom’s plea followed on 9 September 2020.</w:t>
      </w:r>
    </w:p>
    <w:p w14:paraId="7CCDE2AE" w14:textId="23A1F410" w:rsidR="005215F0" w:rsidRDefault="005215F0" w:rsidP="00D96C02">
      <w:pPr>
        <w:pStyle w:val="H1"/>
        <w:spacing w:after="480"/>
      </w:pPr>
      <w:r>
        <w:lastRenderedPageBreak/>
        <w:t xml:space="preserve">On 25 September 2020 Eskom issued a third party notice </w:t>
      </w:r>
      <w:r w:rsidR="00055865">
        <w:t>a</w:t>
      </w:r>
      <w:r>
        <w:t>n</w:t>
      </w:r>
      <w:r w:rsidR="008517C9">
        <w:t>d</w:t>
      </w:r>
      <w:r>
        <w:t xml:space="preserve"> annexure in terms of which it so</w:t>
      </w:r>
      <w:r w:rsidR="008517C9">
        <w:t>ugh</w:t>
      </w:r>
      <w:r>
        <w:t>t to join the municipality and Cypherfontein 379 (Pty) Ltd as third parties in the action.</w:t>
      </w:r>
    </w:p>
    <w:p w14:paraId="26E16864" w14:textId="4E92AB45" w:rsidR="005215F0" w:rsidRDefault="005215F0" w:rsidP="00D96C02">
      <w:pPr>
        <w:pStyle w:val="H1"/>
        <w:spacing w:after="480"/>
      </w:pPr>
      <w:r>
        <w:t xml:space="preserve">The municipality responded to the third party notice </w:t>
      </w:r>
      <w:r w:rsidR="00240692">
        <w:t>a</w:t>
      </w:r>
      <w:r>
        <w:t>n</w:t>
      </w:r>
      <w:r w:rsidR="00240692">
        <w:t>d</w:t>
      </w:r>
      <w:r>
        <w:t xml:space="preserve"> annexure by way of an exception on 3 March 2021, contending that the third party notice </w:t>
      </w:r>
      <w:r w:rsidR="000710CE">
        <w:t>a</w:t>
      </w:r>
      <w:r>
        <w:t>n</w:t>
      </w:r>
      <w:r w:rsidR="000710CE">
        <w:t>d</w:t>
      </w:r>
      <w:r>
        <w:t xml:space="preserve"> annexure the</w:t>
      </w:r>
      <w:r w:rsidR="000710CE">
        <w:t>re</w:t>
      </w:r>
      <w:r>
        <w:t>to were vague and embarrassing, alternatively, lacked averments necessary to sustain Eskom’s claims against the municipality. This exception was opposed and was argued</w:t>
      </w:r>
      <w:r w:rsidR="00335710">
        <w:t xml:space="preserve"> on </w:t>
      </w:r>
      <w:r>
        <w:t>16 September 2021.</w:t>
      </w:r>
      <w:r w:rsidR="005D614D">
        <w:t xml:space="preserve">  </w:t>
      </w:r>
      <w:r w:rsidR="00F66461">
        <w:t xml:space="preserve">Judgment was handed down on </w:t>
      </w:r>
      <w:r w:rsidR="004700CA">
        <w:t>23 November 2021 in terms of which</w:t>
      </w:r>
      <w:r w:rsidR="00141165">
        <w:t xml:space="preserve"> the</w:t>
      </w:r>
      <w:r w:rsidR="005D614D">
        <w:t xml:space="preserve"> municipality’s exception was upheld with costs, the third party</w:t>
      </w:r>
      <w:r w:rsidR="00C45AE8">
        <w:t xml:space="preserve"> notice</w:t>
      </w:r>
      <w:r w:rsidR="005D614D">
        <w:t xml:space="preserve"> and annexure w</w:t>
      </w:r>
      <w:r w:rsidR="00C45AE8">
        <w:t>ere</w:t>
      </w:r>
      <w:r w:rsidR="005D614D">
        <w:t xml:space="preserve"> set aside and Eskom was given leave to amend the notice </w:t>
      </w:r>
      <w:r w:rsidR="00C45AE8">
        <w:t>and</w:t>
      </w:r>
      <w:r w:rsidR="005D614D">
        <w:t xml:space="preserve"> annexure</w:t>
      </w:r>
      <w:r w:rsidR="001A274B">
        <w:t xml:space="preserve"> (“the earlier judgement”)</w:t>
      </w:r>
      <w:r w:rsidR="005D614D">
        <w:t>.</w:t>
      </w:r>
    </w:p>
    <w:p w14:paraId="73B3672A" w14:textId="20FCC38B" w:rsidR="005D614D" w:rsidRDefault="005D614D" w:rsidP="00D96C02">
      <w:pPr>
        <w:pStyle w:val="H1"/>
        <w:spacing w:after="480"/>
      </w:pPr>
      <w:r>
        <w:t>On 2 February 2022 Eskom delivered an amended annexure to its third party notice and an amended plea on 21 February 2022.</w:t>
      </w:r>
    </w:p>
    <w:p w14:paraId="44CD0A01" w14:textId="27DAB777" w:rsidR="005D614D" w:rsidRDefault="005D614D" w:rsidP="00D96C02">
      <w:pPr>
        <w:pStyle w:val="H1"/>
        <w:spacing w:after="480"/>
      </w:pPr>
      <w:r>
        <w:t>The amended third</w:t>
      </w:r>
      <w:r w:rsidR="0038584A">
        <w:t xml:space="preserve"> </w:t>
      </w:r>
      <w:r>
        <w:t xml:space="preserve">party annexure attracted a further exception from the municipality, on 24 February 2022.  This caused Eskom to produce a notice of its intention to </w:t>
      </w:r>
      <w:r w:rsidR="00A4383B">
        <w:t xml:space="preserve">further </w:t>
      </w:r>
      <w:r>
        <w:t>amend</w:t>
      </w:r>
      <w:r w:rsidR="00A4383B">
        <w:t xml:space="preserve"> the annexure to the third party notice on 18 March 2022.  Almost inevitably the municipality objected to the proposed amendment</w:t>
      </w:r>
      <w:r w:rsidR="00076753">
        <w:t>,</w:t>
      </w:r>
      <w:r w:rsidR="00A4383B">
        <w:t xml:space="preserve"> on 31 March 2022.</w:t>
      </w:r>
    </w:p>
    <w:p w14:paraId="63824D34" w14:textId="4A2916CE" w:rsidR="00A4383B" w:rsidRDefault="00A4383B" w:rsidP="00D96C02">
      <w:pPr>
        <w:pStyle w:val="H1"/>
        <w:spacing w:after="480"/>
      </w:pPr>
      <w:r>
        <w:t xml:space="preserve">Eskom, tirelessly, delivered yet another notice of its intention to amend the annexure to its third party notice, on 4 May 2022.  Not surprisingly the municipality again objected to the </w:t>
      </w:r>
      <w:r w:rsidR="00335710">
        <w:t>proposed amendment</w:t>
      </w:r>
      <w:r>
        <w:t xml:space="preserve">.  This objection resulted in the application which </w:t>
      </w:r>
      <w:r w:rsidR="009B313D">
        <w:t>I am</w:t>
      </w:r>
      <w:r>
        <w:t xml:space="preserve"> required to determine</w:t>
      </w:r>
      <w:r w:rsidR="009F744E">
        <w:t>, namely a formal application by Eskom to amen</w:t>
      </w:r>
      <w:r w:rsidR="00607782">
        <w:t xml:space="preserve">d the annexure </w:t>
      </w:r>
      <w:r w:rsidR="00607782">
        <w:lastRenderedPageBreak/>
        <w:t>to its third party notice</w:t>
      </w:r>
      <w:r>
        <w:t>.</w:t>
      </w:r>
      <w:r w:rsidR="00DB762B">
        <w:t xml:space="preserve"> The principal objection to</w:t>
      </w:r>
      <w:r w:rsidR="006A385A">
        <w:t xml:space="preserve"> the amendment is that it would render </w:t>
      </w:r>
      <w:r w:rsidR="00B77D8F">
        <w:t>Eskom’s</w:t>
      </w:r>
      <w:r w:rsidR="006A385A">
        <w:t xml:space="preserve"> annexure to its third party notice excipiable</w:t>
      </w:r>
      <w:r w:rsidR="008459CC">
        <w:t xml:space="preserve"> in that if amended</w:t>
      </w:r>
      <w:r w:rsidR="00B77D8F">
        <w:t xml:space="preserve"> as </w:t>
      </w:r>
      <w:r w:rsidR="00C97304">
        <w:t>asked</w:t>
      </w:r>
      <w:r w:rsidR="00B77D8F">
        <w:t xml:space="preserve"> by Eskom</w:t>
      </w:r>
      <w:r w:rsidR="00C75A83">
        <w:t>, it would not</w:t>
      </w:r>
      <w:r w:rsidR="00C97304">
        <w:t xml:space="preserve"> contain averme</w:t>
      </w:r>
      <w:r w:rsidR="00274F61">
        <w:t>nts to</w:t>
      </w:r>
      <w:r w:rsidR="00C75A83">
        <w:t xml:space="preserve"> sustain Eskom’s claims against the municipality</w:t>
      </w:r>
      <w:r w:rsidR="00A87E09">
        <w:t>.</w:t>
      </w:r>
    </w:p>
    <w:p w14:paraId="0D55681F" w14:textId="4755B2BD" w:rsidR="00643A08" w:rsidRDefault="009A3B0F" w:rsidP="00D96C02">
      <w:pPr>
        <w:pStyle w:val="H2"/>
        <w:numPr>
          <w:ilvl w:val="0"/>
          <w:numId w:val="0"/>
        </w:numPr>
        <w:spacing w:after="480"/>
        <w:rPr>
          <w:i/>
          <w:iCs/>
          <w:u w:val="single"/>
        </w:rPr>
      </w:pPr>
      <w:r>
        <w:rPr>
          <w:i/>
          <w:iCs/>
          <w:u w:val="single"/>
        </w:rPr>
        <w:t>Litigation history: The Woodridge Action</w:t>
      </w:r>
    </w:p>
    <w:p w14:paraId="72226251" w14:textId="64DEF33D" w:rsidR="004D6CCC" w:rsidRDefault="00B006DA" w:rsidP="00D96C02">
      <w:pPr>
        <w:pStyle w:val="H1"/>
        <w:spacing w:after="480"/>
      </w:pPr>
      <w:r>
        <w:t>Woodridge</w:t>
      </w:r>
      <w:r w:rsidR="004B3B6D">
        <w:t xml:space="preserve"> issued summons against Eskom on 6 May 2020</w:t>
      </w:r>
      <w:r w:rsidR="007F7BD2">
        <w:t>. Eskom pleaded</w:t>
      </w:r>
      <w:r w:rsidR="00E652B8">
        <w:t xml:space="preserve"> to the particulars of claim on </w:t>
      </w:r>
      <w:r w:rsidR="00621CB9">
        <w:t>2</w:t>
      </w:r>
      <w:r w:rsidR="00E652B8">
        <w:t xml:space="preserve"> July 2020. It amended its plea on 21 </w:t>
      </w:r>
      <w:r w:rsidR="0023545F">
        <w:t>February</w:t>
      </w:r>
      <w:r w:rsidR="00E652B8">
        <w:t xml:space="preserve"> 2022.</w:t>
      </w:r>
    </w:p>
    <w:p w14:paraId="7962A8CC" w14:textId="1F707A61" w:rsidR="00E652B8" w:rsidRDefault="00B37C4D" w:rsidP="00D96C02">
      <w:pPr>
        <w:pStyle w:val="H1"/>
        <w:spacing w:after="480"/>
      </w:pPr>
      <w:r>
        <w:t>On 23 July 2020 Eskom</w:t>
      </w:r>
      <w:r w:rsidR="00473BE6">
        <w:t xml:space="preserve"> issued its third party notice and annexure in terms of which it sought to join</w:t>
      </w:r>
      <w:r w:rsidR="002E5E14">
        <w:t xml:space="preserve"> </w:t>
      </w:r>
      <w:r w:rsidR="00B27E93">
        <w:t>the municipality</w:t>
      </w:r>
      <w:r w:rsidR="002E5E14">
        <w:t xml:space="preserve"> and MTO as third parties to the action.</w:t>
      </w:r>
    </w:p>
    <w:p w14:paraId="024349EC" w14:textId="49EE3727" w:rsidR="00B27E93" w:rsidRDefault="00B27E93" w:rsidP="00D96C02">
      <w:pPr>
        <w:pStyle w:val="H1"/>
        <w:spacing w:after="480"/>
      </w:pPr>
      <w:r>
        <w:t>The municipality excepted to Eskom’s third party annexure</w:t>
      </w:r>
      <w:r w:rsidR="007A2492">
        <w:t xml:space="preserve"> on 8 March 2021 on the basis that</w:t>
      </w:r>
      <w:r w:rsidR="00454F64">
        <w:t xml:space="preserve"> it was vague and embarrassing, alternatively</w:t>
      </w:r>
      <w:r w:rsidR="004F4D8C">
        <w:t>,</w:t>
      </w:r>
      <w:r w:rsidR="00454F64">
        <w:t xml:space="preserve"> that it lacked averments necessary to sustain Eskom’s claims against the municipality</w:t>
      </w:r>
      <w:r w:rsidR="00486AAF">
        <w:t>.</w:t>
      </w:r>
    </w:p>
    <w:p w14:paraId="25AA4F24" w14:textId="4810E159" w:rsidR="00486AAF" w:rsidRDefault="00486AAF" w:rsidP="00D96C02">
      <w:pPr>
        <w:pStyle w:val="H1"/>
        <w:spacing w:after="480"/>
      </w:pPr>
      <w:r>
        <w:t xml:space="preserve">The exception was opposed by Eskom and the exception was argued </w:t>
      </w:r>
      <w:r w:rsidR="00EB2D52">
        <w:t xml:space="preserve">in this court </w:t>
      </w:r>
      <w:r>
        <w:t>contemporaneously</w:t>
      </w:r>
      <w:r w:rsidR="00E12DFB">
        <w:t xml:space="preserve"> with the municipality’s exception to Eskom’s third party annexure in the MTO action</w:t>
      </w:r>
      <w:r w:rsidR="006E0D3D">
        <w:t xml:space="preserve">, on 16 September 2021. </w:t>
      </w:r>
      <w:r w:rsidR="000D550B">
        <w:t>As stated</w:t>
      </w:r>
      <w:r w:rsidR="00E429B5">
        <w:t>,</w:t>
      </w:r>
      <w:r w:rsidR="000D550B">
        <w:t xml:space="preserve"> the earlier judgment</w:t>
      </w:r>
      <w:r w:rsidR="006E0D3D">
        <w:t xml:space="preserve"> was </w:t>
      </w:r>
      <w:r w:rsidR="000D550B">
        <w:t>handed down</w:t>
      </w:r>
      <w:r w:rsidR="006E0D3D">
        <w:t xml:space="preserve"> on 23 November 2021 in terms of which the exception was upheld, with costs</w:t>
      </w:r>
      <w:r w:rsidR="001E0B41">
        <w:t>, the third party notice and annexure thereto were set aside</w:t>
      </w:r>
      <w:r w:rsidR="00664A72">
        <w:t xml:space="preserve"> and Eskom was given leave to amend its third party annexure</w:t>
      </w:r>
      <w:r w:rsidR="00691B0C">
        <w:t>.</w:t>
      </w:r>
    </w:p>
    <w:p w14:paraId="226275F0" w14:textId="352A37EB" w:rsidR="00691B0C" w:rsidRDefault="00691B0C" w:rsidP="00D96C02">
      <w:pPr>
        <w:pStyle w:val="H1"/>
        <w:spacing w:after="480"/>
      </w:pPr>
      <w:r>
        <w:t>On 2 February 2022</w:t>
      </w:r>
      <w:r w:rsidR="005417F7">
        <w:t xml:space="preserve"> Eskom’s second attempt at</w:t>
      </w:r>
      <w:r w:rsidR="005C7CF8">
        <w:t xml:space="preserve"> a third</w:t>
      </w:r>
      <w:r w:rsidR="005417F7">
        <w:t xml:space="preserve"> party annexure</w:t>
      </w:r>
      <w:r w:rsidR="002833C7">
        <w:t xml:space="preserve"> was produced</w:t>
      </w:r>
      <w:r w:rsidR="00594252">
        <w:t>.</w:t>
      </w:r>
      <w:r w:rsidR="00B727B0">
        <w:t xml:space="preserve"> </w:t>
      </w:r>
      <w:r w:rsidR="007F7810">
        <w:t xml:space="preserve">The amendment attracted another exception from the municipality, on 24 February </w:t>
      </w:r>
      <w:r w:rsidR="007F7810">
        <w:lastRenderedPageBreak/>
        <w:t>2022</w:t>
      </w:r>
      <w:r w:rsidR="00640092">
        <w:t>,</w:t>
      </w:r>
      <w:r w:rsidR="00AA4B63">
        <w:t xml:space="preserve"> which, in turn,</w:t>
      </w:r>
      <w:r w:rsidR="00C72D73">
        <w:t xml:space="preserve"> prompted a further notice by Eskom to amend its annexure</w:t>
      </w:r>
      <w:r w:rsidR="007B3603">
        <w:t xml:space="preserve"> and the f</w:t>
      </w:r>
      <w:r w:rsidR="00952756">
        <w:t>i</w:t>
      </w:r>
      <w:r w:rsidR="007B3603">
        <w:t>ling of a further amended annexure on 17 March 2</w:t>
      </w:r>
      <w:r w:rsidR="00952756">
        <w:t>022 and</w:t>
      </w:r>
      <w:r w:rsidR="007B3603">
        <w:t xml:space="preserve"> 12 April 2022, respectively. </w:t>
      </w:r>
    </w:p>
    <w:p w14:paraId="78081570" w14:textId="3A810E85" w:rsidR="007B3603" w:rsidRDefault="00B17DCE" w:rsidP="00D96C02">
      <w:pPr>
        <w:pStyle w:val="H1"/>
        <w:spacing w:after="480"/>
      </w:pPr>
      <w:r>
        <w:t>The municipality</w:t>
      </w:r>
      <w:r w:rsidR="0049047C">
        <w:t xml:space="preserve"> again excepted to the further amended annexure</w:t>
      </w:r>
      <w:r w:rsidR="005009B5">
        <w:t>, on 25 May 2022</w:t>
      </w:r>
      <w:r w:rsidR="00EB2D52">
        <w:t>. This, third, exception</w:t>
      </w:r>
      <w:r w:rsidR="00AD6B4E">
        <w:t xml:space="preserve"> led to yet another notice by Eskom to amend its annexure to its third party notice</w:t>
      </w:r>
      <w:r w:rsidR="008836CE">
        <w:t>, on 2 November 2022 with the amendment being perfected on</w:t>
      </w:r>
      <w:r w:rsidR="002506E0">
        <w:t xml:space="preserve"> 18 November 2022.</w:t>
      </w:r>
    </w:p>
    <w:p w14:paraId="4E413557" w14:textId="4136007F" w:rsidR="00A87E09" w:rsidRDefault="00671F7F" w:rsidP="00D96C02">
      <w:pPr>
        <w:pStyle w:val="H1"/>
        <w:spacing w:after="480"/>
      </w:pPr>
      <w:r>
        <w:t>The municipality delivered</w:t>
      </w:r>
      <w:r w:rsidR="000820BB">
        <w:t xml:space="preserve"> its fourth</w:t>
      </w:r>
      <w:r w:rsidR="0013361A">
        <w:t xml:space="preserve"> exception to the latest iteration of Eskom’s</w:t>
      </w:r>
      <w:r w:rsidR="00254C08">
        <w:t xml:space="preserve"> </w:t>
      </w:r>
      <w:r w:rsidR="00324122">
        <w:t>annexure</w:t>
      </w:r>
      <w:r w:rsidR="00254C08">
        <w:t xml:space="preserve"> to its third party notice on</w:t>
      </w:r>
      <w:r w:rsidR="00E620A4">
        <w:t xml:space="preserve"> 7 December 2022</w:t>
      </w:r>
      <w:r w:rsidR="00307542">
        <w:t>. That exception</w:t>
      </w:r>
      <w:r w:rsidR="00B46FB0">
        <w:t xml:space="preserve"> is the subject of this judgment</w:t>
      </w:r>
      <w:r w:rsidR="004125A3">
        <w:t xml:space="preserve">. It is confined to the ground that the annexure </w:t>
      </w:r>
      <w:r w:rsidR="00186404">
        <w:t>lacks</w:t>
      </w:r>
      <w:r w:rsidR="004125A3">
        <w:t xml:space="preserve"> averments necessary to sustain</w:t>
      </w:r>
      <w:r w:rsidR="00E14EF5">
        <w:t xml:space="preserve"> Eskom’s claims against the municipality.</w:t>
      </w:r>
    </w:p>
    <w:p w14:paraId="5E1D493C" w14:textId="419F7178" w:rsidR="00DF30AB" w:rsidRDefault="001111CD" w:rsidP="00D96C02">
      <w:pPr>
        <w:pStyle w:val="Heading1"/>
        <w:spacing w:after="480"/>
        <w:rPr>
          <w:b/>
          <w:bCs/>
          <w:u w:val="single"/>
        </w:rPr>
      </w:pPr>
      <w:r>
        <w:rPr>
          <w:b/>
          <w:bCs/>
          <w:u w:val="single"/>
        </w:rPr>
        <w:t>The MTO action and the application</w:t>
      </w:r>
      <w:r w:rsidR="002F5BE0">
        <w:rPr>
          <w:b/>
          <w:bCs/>
          <w:u w:val="single"/>
        </w:rPr>
        <w:t xml:space="preserve"> by Eskom</w:t>
      </w:r>
      <w:r w:rsidR="000E0CE5">
        <w:rPr>
          <w:b/>
          <w:bCs/>
          <w:u w:val="single"/>
        </w:rPr>
        <w:t xml:space="preserve"> to amend its third party annexure</w:t>
      </w:r>
    </w:p>
    <w:p w14:paraId="7E10A589" w14:textId="3E11E2F2" w:rsidR="000405A1" w:rsidRDefault="000405A1" w:rsidP="00D96C02">
      <w:pPr>
        <w:pStyle w:val="H1"/>
        <w:spacing w:after="480"/>
      </w:pPr>
      <w:r>
        <w:t>Central</w:t>
      </w:r>
      <w:r w:rsidR="001E74F4">
        <w:t xml:space="preserve"> to the</w:t>
      </w:r>
      <w:r w:rsidR="002148C3">
        <w:t xml:space="preserve"> application is Eskom’s reliance on the</w:t>
      </w:r>
      <w:r w:rsidR="00541470">
        <w:t xml:space="preserve"> provisions of the Apportionment of Damages</w:t>
      </w:r>
      <w:r w:rsidR="008173D9">
        <w:t xml:space="preserve"> Act, 34 of 1956 (“the Act”) and in particular section 2(1</w:t>
      </w:r>
      <w:r w:rsidR="00967CA3">
        <w:t>)</w:t>
      </w:r>
      <w:r w:rsidR="004A4180">
        <w:t xml:space="preserve"> thereof</w:t>
      </w:r>
      <w:r w:rsidR="006115BA">
        <w:t>,</w:t>
      </w:r>
      <w:r w:rsidR="00967CA3">
        <w:t xml:space="preserve"> which is in the following terms</w:t>
      </w:r>
      <w:r w:rsidR="000A5EB3">
        <w:t>:</w:t>
      </w:r>
    </w:p>
    <w:p w14:paraId="78D161DC" w14:textId="3DEB2328" w:rsidR="000A5EB3" w:rsidRDefault="00373542" w:rsidP="00D96C02">
      <w:pPr>
        <w:pStyle w:val="H1"/>
        <w:numPr>
          <w:ilvl w:val="0"/>
          <w:numId w:val="0"/>
        </w:numPr>
        <w:spacing w:after="480"/>
        <w:ind w:left="567"/>
        <w:rPr>
          <w:sz w:val="22"/>
        </w:rPr>
      </w:pPr>
      <w:r>
        <w:rPr>
          <w:sz w:val="22"/>
        </w:rPr>
        <w:t>“Where it is alleged that two or more persons</w:t>
      </w:r>
      <w:r w:rsidR="00195633">
        <w:rPr>
          <w:sz w:val="22"/>
        </w:rPr>
        <w:t xml:space="preserve"> are</w:t>
      </w:r>
      <w:r>
        <w:rPr>
          <w:sz w:val="22"/>
        </w:rPr>
        <w:t xml:space="preserve"> jointly and severally liable in delict to </w:t>
      </w:r>
      <w:r w:rsidR="00144FE6">
        <w:rPr>
          <w:sz w:val="22"/>
        </w:rPr>
        <w:t>a third</w:t>
      </w:r>
      <w:r>
        <w:rPr>
          <w:sz w:val="22"/>
        </w:rPr>
        <w:t xml:space="preserve"> person (hereinafter referred to as the plaintiff)</w:t>
      </w:r>
      <w:r w:rsidR="00751229">
        <w:rPr>
          <w:sz w:val="22"/>
        </w:rPr>
        <w:t xml:space="preserve"> for the same damage, such persons (hereinafter referred to as joint wrongdoers)</w:t>
      </w:r>
      <w:r w:rsidR="00DA7B2E">
        <w:rPr>
          <w:sz w:val="22"/>
        </w:rPr>
        <w:t xml:space="preserve"> may be sued in the same action</w:t>
      </w:r>
      <w:r w:rsidR="003D370B">
        <w:rPr>
          <w:sz w:val="22"/>
        </w:rPr>
        <w:t>.</w:t>
      </w:r>
      <w:r w:rsidR="003A0C5E">
        <w:rPr>
          <w:sz w:val="22"/>
        </w:rPr>
        <w:t>”</w:t>
      </w:r>
    </w:p>
    <w:p w14:paraId="5D548009" w14:textId="0D330E25" w:rsidR="003D370B" w:rsidRDefault="008F26F8" w:rsidP="00D96C02">
      <w:pPr>
        <w:pStyle w:val="H1"/>
        <w:spacing w:after="480"/>
      </w:pPr>
      <w:r>
        <w:t>Given</w:t>
      </w:r>
      <w:r w:rsidR="00A322F4">
        <w:t xml:space="preserve"> Eskom’s contention that this provision applies in the circumstances,</w:t>
      </w:r>
      <w:r w:rsidR="009E0848">
        <w:t xml:space="preserve"> it cont</w:t>
      </w:r>
      <w:r w:rsidR="00E04FA1">
        <w:t>end</w:t>
      </w:r>
      <w:r w:rsidR="009E0848">
        <w:t xml:space="preserve">s further that </w:t>
      </w:r>
      <w:r w:rsidR="00E04FA1">
        <w:t xml:space="preserve">it </w:t>
      </w:r>
      <w:r w:rsidR="009E0848">
        <w:t>is</w:t>
      </w:r>
      <w:r w:rsidR="00E04FA1">
        <w:t xml:space="preserve"> accordingly</w:t>
      </w:r>
      <w:r w:rsidR="009E0848">
        <w:t xml:space="preserve"> entitled to rely on the provisions of</w:t>
      </w:r>
      <w:r w:rsidR="00106BA3">
        <w:t xml:space="preserve"> rule 13(1)(b)</w:t>
      </w:r>
      <w:r w:rsidR="004F4F3C">
        <w:t xml:space="preserve"> to obtain </w:t>
      </w:r>
      <w:r w:rsidR="004F4F3C">
        <w:lastRenderedPageBreak/>
        <w:t xml:space="preserve">the joinder of the municipality as </w:t>
      </w:r>
      <w:r w:rsidR="009D6E1E">
        <w:t>a third</w:t>
      </w:r>
      <w:r w:rsidR="004F4F3C">
        <w:t xml:space="preserve"> party to the MTO action</w:t>
      </w:r>
      <w:r w:rsidR="0021493C">
        <w:t>. This rule</w:t>
      </w:r>
      <w:r w:rsidR="003A0C5E">
        <w:t xml:space="preserve"> provides that where a party in </w:t>
      </w:r>
      <w:r w:rsidR="00C82A08">
        <w:t>any</w:t>
      </w:r>
      <w:r w:rsidR="003A0C5E">
        <w:t xml:space="preserve"> action claims</w:t>
      </w:r>
      <w:r w:rsidR="006323BF">
        <w:t xml:space="preserve"> that</w:t>
      </w:r>
      <w:r w:rsidR="003A0C5E">
        <w:t>:</w:t>
      </w:r>
    </w:p>
    <w:p w14:paraId="7BA6A3C5" w14:textId="353BCB30" w:rsidR="00306243" w:rsidRDefault="00B1541D" w:rsidP="00D96C02">
      <w:pPr>
        <w:pStyle w:val="H1"/>
        <w:numPr>
          <w:ilvl w:val="0"/>
          <w:numId w:val="0"/>
        </w:numPr>
        <w:spacing w:after="480"/>
        <w:ind w:left="567"/>
        <w:rPr>
          <w:sz w:val="22"/>
        </w:rPr>
      </w:pPr>
      <w:r>
        <w:rPr>
          <w:sz w:val="22"/>
        </w:rPr>
        <w:t>“any question or issue in the action is substantially the same</w:t>
      </w:r>
      <w:r w:rsidR="00B93D6C">
        <w:rPr>
          <w:sz w:val="22"/>
        </w:rPr>
        <w:t xml:space="preserve"> as a question or issue which has arisen or will arise between such party and the third party, and should properly be determine</w:t>
      </w:r>
      <w:r w:rsidR="00B65271">
        <w:rPr>
          <w:sz w:val="22"/>
        </w:rPr>
        <w:t>d</w:t>
      </w:r>
      <w:r w:rsidR="00256732">
        <w:rPr>
          <w:sz w:val="22"/>
        </w:rPr>
        <w:t xml:space="preserve"> not only </w:t>
      </w:r>
      <w:r w:rsidR="00A47C23">
        <w:rPr>
          <w:sz w:val="22"/>
        </w:rPr>
        <w:t>a</w:t>
      </w:r>
      <w:r w:rsidR="00256732">
        <w:rPr>
          <w:sz w:val="22"/>
        </w:rPr>
        <w:t>s between any party to the action but also as between such parties and the third party</w:t>
      </w:r>
      <w:r w:rsidR="009D134C">
        <w:rPr>
          <w:sz w:val="22"/>
        </w:rPr>
        <w:t xml:space="preserve"> or between any of them, such party may issue a notice, hereinafter referred to as </w:t>
      </w:r>
      <w:r w:rsidR="00B0088E">
        <w:rPr>
          <w:sz w:val="22"/>
        </w:rPr>
        <w:t>a third</w:t>
      </w:r>
      <w:r w:rsidR="009D134C">
        <w:rPr>
          <w:sz w:val="22"/>
        </w:rPr>
        <w:t xml:space="preserve"> party notice, as near as may be in accordance with Form 7 of the First Schedule</w:t>
      </w:r>
      <w:r w:rsidR="00CD334A">
        <w:rPr>
          <w:sz w:val="22"/>
        </w:rPr>
        <w:t>, which notice shall be served by the sheriff.”</w:t>
      </w:r>
    </w:p>
    <w:p w14:paraId="586A1A74" w14:textId="55167898" w:rsidR="00B52991" w:rsidRDefault="00034CF5" w:rsidP="00D96C02">
      <w:pPr>
        <w:pStyle w:val="H1"/>
        <w:spacing w:after="480"/>
      </w:pPr>
      <w:r>
        <w:t>It was held</w:t>
      </w:r>
      <w:r w:rsidR="00393D83">
        <w:t xml:space="preserve"> in</w:t>
      </w:r>
      <w:r w:rsidR="00AC5247">
        <w:t xml:space="preserve"> </w:t>
      </w:r>
      <w:r w:rsidR="00255980">
        <w:rPr>
          <w:i/>
        </w:rPr>
        <w:t xml:space="preserve">Absa Brokers (Pty) Ltd v </w:t>
      </w:r>
      <w:r w:rsidR="005663E9">
        <w:rPr>
          <w:i/>
        </w:rPr>
        <w:t>RMB Financial Services and Others</w:t>
      </w:r>
      <w:r w:rsidR="00B27CB7">
        <w:t xml:space="preserve"> 2009 (6)</w:t>
      </w:r>
      <w:r w:rsidR="0044157C">
        <w:t xml:space="preserve"> SA</w:t>
      </w:r>
      <w:r w:rsidR="001046DE">
        <w:t xml:space="preserve"> 549 (SCA) at [</w:t>
      </w:r>
      <w:r w:rsidR="00393D83">
        <w:t>15]</w:t>
      </w:r>
      <w:r w:rsidR="006E12C5">
        <w:t xml:space="preserve"> that the clear purpose</w:t>
      </w:r>
      <w:r>
        <w:t xml:space="preserve"> of the Act</w:t>
      </w:r>
      <w:r w:rsidR="00CA2CCB">
        <w:t xml:space="preserve"> is to avoid a multiplicity of actions</w:t>
      </w:r>
      <w:r w:rsidR="00DD0DA4">
        <w:t xml:space="preserve"> arising</w:t>
      </w:r>
      <w:r w:rsidR="00CA2CCB">
        <w:t xml:space="preserve"> “</w:t>
      </w:r>
      <w:r w:rsidR="00CA2CCB">
        <w:rPr>
          <w:i/>
        </w:rPr>
        <w:t>from a single loss-causing</w:t>
      </w:r>
      <w:r w:rsidR="00672ABE">
        <w:rPr>
          <w:i/>
        </w:rPr>
        <w:t xml:space="preserve"> event</w:t>
      </w:r>
      <w:r w:rsidR="00672ABE">
        <w:t>”.</w:t>
      </w:r>
    </w:p>
    <w:p w14:paraId="2E83FC62" w14:textId="1F912AFB" w:rsidR="00DD0DA4" w:rsidRDefault="00BC4169" w:rsidP="00D96C02">
      <w:pPr>
        <w:pStyle w:val="H1"/>
        <w:spacing w:after="480"/>
      </w:pPr>
      <w:r>
        <w:t xml:space="preserve">Eskom proceeds from a flawed premise </w:t>
      </w:r>
      <w:r w:rsidR="005121B7">
        <w:t xml:space="preserve">where it submits in its heads of argument that the material issues in the dispute between all the parties </w:t>
      </w:r>
      <w:r w:rsidR="00E20762">
        <w:t>are</w:t>
      </w:r>
      <w:r w:rsidR="005121B7">
        <w:t xml:space="preserve"> the same </w:t>
      </w:r>
      <w:r w:rsidR="00A33D93">
        <w:t>namely whether the fire damage alleged by MTO was caused by the first or second fires and/or the converged fires.</w:t>
      </w:r>
      <w:r w:rsidR="004D540E">
        <w:t xml:space="preserve"> There are no such issues in dispute arising from MTO’s cl</w:t>
      </w:r>
      <w:r w:rsidR="00B244FF">
        <w:t>aim.</w:t>
      </w:r>
      <w:r w:rsidR="00A33D93">
        <w:t xml:space="preserve"> </w:t>
      </w:r>
      <w:r w:rsidR="007122C7">
        <w:t xml:space="preserve">The single loss-causing event on which MTO relies in its action is the second fire. It </w:t>
      </w:r>
      <w:r w:rsidR="00EC3735">
        <w:t>has not averred in its particulars of claim that it suffered any damage as a result of the first fire.</w:t>
      </w:r>
      <w:r w:rsidR="00AD4C75">
        <w:t xml:space="preserve"> </w:t>
      </w:r>
      <w:r w:rsidR="00BB6712">
        <w:t>It is only Eskom</w:t>
      </w:r>
      <w:r w:rsidR="00C30DD6">
        <w:t xml:space="preserve"> which has introduced the first fire into the proceeddings.</w:t>
      </w:r>
    </w:p>
    <w:p w14:paraId="4006D662" w14:textId="00317055" w:rsidR="00A27983" w:rsidRDefault="00AD4C75" w:rsidP="00D96C02">
      <w:pPr>
        <w:pStyle w:val="H1"/>
        <w:spacing w:after="480"/>
      </w:pPr>
      <w:r>
        <w:t>Eskom fixates on the words “</w:t>
      </w:r>
      <w:r w:rsidR="0041552E">
        <w:rPr>
          <w:i/>
        </w:rPr>
        <w:t>the same damage</w:t>
      </w:r>
      <w:r w:rsidR="0041552E">
        <w:t>” appearing in section 2(1)</w:t>
      </w:r>
      <w:r w:rsidR="00C62D04">
        <w:t xml:space="preserve"> of the Act</w:t>
      </w:r>
      <w:r w:rsidR="00720392">
        <w:t xml:space="preserve"> to support its contentions</w:t>
      </w:r>
      <w:r w:rsidR="00612DE7">
        <w:t>.</w:t>
      </w:r>
      <w:r w:rsidR="00752DED">
        <w:t xml:space="preserve"> It argues that the first fire caused MTO’s damage</w:t>
      </w:r>
      <w:r w:rsidR="00CB363B">
        <w:t xml:space="preserve"> and that this is the same damage</w:t>
      </w:r>
      <w:r w:rsidR="003B7F5F">
        <w:t xml:space="preserve"> relied upon by MTO to sustain its claim for damages against Eskom</w:t>
      </w:r>
      <w:r w:rsidR="00A634E9">
        <w:t>, which</w:t>
      </w:r>
      <w:r w:rsidR="008C3A97">
        <w:t xml:space="preserve"> it alleges</w:t>
      </w:r>
      <w:r w:rsidR="00A634E9">
        <w:t xml:space="preserve"> arose</w:t>
      </w:r>
      <w:r w:rsidR="00B561D2">
        <w:t xml:space="preserve"> from the second fire</w:t>
      </w:r>
      <w:r w:rsidR="003B7F5F">
        <w:t>.</w:t>
      </w:r>
      <w:r w:rsidR="00164ED8">
        <w:t xml:space="preserve"> Kruger</w:t>
      </w:r>
      <w:r w:rsidR="006D623E">
        <w:t xml:space="preserve"> AJ</w:t>
      </w:r>
      <w:r w:rsidR="00B72327">
        <w:t>, in the earlier judgment</w:t>
      </w:r>
      <w:r w:rsidR="00A657BD">
        <w:t xml:space="preserve">, correctly, </w:t>
      </w:r>
      <w:r w:rsidR="00A657BD">
        <w:lastRenderedPageBreak/>
        <w:t xml:space="preserve">in my view, disposed of </w:t>
      </w:r>
      <w:r w:rsidR="00D43F4F">
        <w:t>Eskom’s argument</w:t>
      </w:r>
      <w:r w:rsidR="00335710">
        <w:t xml:space="preserve"> in this regard</w:t>
      </w:r>
      <w:r w:rsidR="003809FE">
        <w:t>, with reference to so</w:t>
      </w:r>
      <w:r w:rsidR="004F7E96">
        <w:t>und</w:t>
      </w:r>
      <w:r w:rsidR="003809FE">
        <w:t xml:space="preserve"> authority</w:t>
      </w:r>
      <w:r w:rsidR="00E23DCE">
        <w:t xml:space="preserve">, </w:t>
      </w:r>
      <w:r w:rsidR="00C64F41">
        <w:t>by finding in paragraphs [38]</w:t>
      </w:r>
      <w:r w:rsidR="00C30A16">
        <w:t>-</w:t>
      </w:r>
      <w:r w:rsidR="00A64057">
        <w:t>[42] that:</w:t>
      </w:r>
    </w:p>
    <w:p w14:paraId="4CCC4B5B" w14:textId="5AEA56C8" w:rsidR="00A64057" w:rsidRDefault="008B7E16" w:rsidP="00D96C02">
      <w:pPr>
        <w:pStyle w:val="H2"/>
        <w:spacing w:after="480"/>
      </w:pPr>
      <w:r>
        <w:t>the two fires were separate loss-causing events with separate instances</w:t>
      </w:r>
      <w:r w:rsidR="00206AE5">
        <w:t xml:space="preserve"> of negligence by separate wrongdoers, causing separate damage;</w:t>
      </w:r>
      <w:r w:rsidR="003A0408">
        <w:t xml:space="preserve"> and</w:t>
      </w:r>
    </w:p>
    <w:p w14:paraId="6E3A649B" w14:textId="6EDF15D9" w:rsidR="00B6549B" w:rsidRDefault="00C34CFA" w:rsidP="00D96C02">
      <w:pPr>
        <w:pStyle w:val="H2"/>
        <w:spacing w:after="480"/>
      </w:pPr>
      <w:r>
        <w:t xml:space="preserve">Eskom and the municipality </w:t>
      </w:r>
      <w:r w:rsidR="005E09D0">
        <w:t>are therefore not joint wrongdoers for purposes of the Act and the Act does not</w:t>
      </w:r>
      <w:r w:rsidR="00B23035">
        <w:t xml:space="preserve"> find application in this case.</w:t>
      </w:r>
    </w:p>
    <w:p w14:paraId="65459EA3" w14:textId="4CCF62EC" w:rsidR="00417E10" w:rsidRDefault="00F73143" w:rsidP="00D96C02">
      <w:pPr>
        <w:pStyle w:val="H1"/>
        <w:spacing w:after="480"/>
      </w:pPr>
      <w:r>
        <w:t>In confirmation of the correctness of</w:t>
      </w:r>
      <w:r w:rsidR="0072368B">
        <w:t xml:space="preserve"> Kruger AJ’s approach in the earlier judgment</w:t>
      </w:r>
      <w:r w:rsidR="007A6282">
        <w:t xml:space="preserve"> it is apposite to refer to </w:t>
      </w:r>
      <w:r w:rsidR="001A4284">
        <w:t>two</w:t>
      </w:r>
      <w:r w:rsidR="007A6282">
        <w:t xml:space="preserve"> further passages from the judgment in</w:t>
      </w:r>
      <w:r w:rsidR="002B3108">
        <w:t xml:space="preserve"> </w:t>
      </w:r>
      <w:r w:rsidR="002B3108">
        <w:rPr>
          <w:i/>
        </w:rPr>
        <w:t xml:space="preserve">Minister of Communications v </w:t>
      </w:r>
      <w:r w:rsidR="00A23F6E">
        <w:rPr>
          <w:i/>
        </w:rPr>
        <w:t>Renown Food Products</w:t>
      </w:r>
      <w:r w:rsidR="00A23F6E">
        <w:t xml:space="preserve"> 1988 (4)</w:t>
      </w:r>
      <w:r w:rsidR="00164378">
        <w:t xml:space="preserve"> SA</w:t>
      </w:r>
      <w:r w:rsidR="009F415D">
        <w:t xml:space="preserve"> 151 (C)</w:t>
      </w:r>
      <w:r w:rsidR="00187A6D">
        <w:t xml:space="preserve"> </w:t>
      </w:r>
      <w:r w:rsidR="006206B5">
        <w:t>in respect of the meaning of the words “</w:t>
      </w:r>
      <w:r w:rsidR="006206B5">
        <w:rPr>
          <w:i/>
        </w:rPr>
        <w:t xml:space="preserve">the same </w:t>
      </w:r>
      <w:r w:rsidR="006206B5" w:rsidRPr="005961C9">
        <w:rPr>
          <w:i/>
        </w:rPr>
        <w:t>damages</w:t>
      </w:r>
      <w:r w:rsidR="000C2152">
        <w:t>”,</w:t>
      </w:r>
      <w:r w:rsidR="005961C9">
        <w:rPr>
          <w:i/>
        </w:rPr>
        <w:t xml:space="preserve"> </w:t>
      </w:r>
      <w:r w:rsidR="000C2152">
        <w:rPr>
          <w:iCs/>
        </w:rPr>
        <w:t>at</w:t>
      </w:r>
      <w:r w:rsidR="00187A6D">
        <w:t>:</w:t>
      </w:r>
    </w:p>
    <w:p w14:paraId="56A72B30" w14:textId="29C4880A" w:rsidR="00187A6D" w:rsidRDefault="00964A40" w:rsidP="00D96C02">
      <w:pPr>
        <w:pStyle w:val="H2"/>
        <w:spacing w:after="480"/>
      </w:pPr>
      <w:r>
        <w:t>153J:</w:t>
      </w:r>
    </w:p>
    <w:p w14:paraId="25A39F7B" w14:textId="51ADEF93" w:rsidR="00964A40" w:rsidRDefault="00964A40" w:rsidP="00D96C02">
      <w:pPr>
        <w:pStyle w:val="H2"/>
        <w:numPr>
          <w:ilvl w:val="0"/>
          <w:numId w:val="0"/>
        </w:numPr>
        <w:spacing w:after="480"/>
        <w:ind w:left="1418"/>
        <w:rPr>
          <w:sz w:val="22"/>
        </w:rPr>
      </w:pPr>
      <w:r>
        <w:rPr>
          <w:sz w:val="22"/>
        </w:rPr>
        <w:t>“</w:t>
      </w:r>
      <w:r w:rsidR="005019C3">
        <w:rPr>
          <w:sz w:val="22"/>
        </w:rPr>
        <w:t>I do not agree that the words are ambiguous</w:t>
      </w:r>
      <w:r w:rsidR="00F57EBD">
        <w:rPr>
          <w:sz w:val="22"/>
        </w:rPr>
        <w:t xml:space="preserve"> and there is accordingly no warrant for ascribing to them any meaning other than the plain ordinary meaning, i.e., the very damage or one </w:t>
      </w:r>
      <w:r w:rsidR="009B0899">
        <w:rPr>
          <w:sz w:val="22"/>
        </w:rPr>
        <w:t>and</w:t>
      </w:r>
      <w:r w:rsidR="00F57EBD">
        <w:rPr>
          <w:sz w:val="22"/>
        </w:rPr>
        <w:t xml:space="preserve"> the same damage</w:t>
      </w:r>
      <w:r w:rsidR="009D08E6">
        <w:rPr>
          <w:sz w:val="22"/>
        </w:rPr>
        <w:t>.”</w:t>
      </w:r>
    </w:p>
    <w:p w14:paraId="5C08BA05" w14:textId="1C0262DA" w:rsidR="009D08E6" w:rsidRDefault="005729BD" w:rsidP="00D96C02">
      <w:pPr>
        <w:pStyle w:val="H2"/>
        <w:spacing w:after="480"/>
      </w:pPr>
      <w:r>
        <w:t>154</w:t>
      </w:r>
      <w:r w:rsidR="00BC0AFD">
        <w:t>C-D:</w:t>
      </w:r>
    </w:p>
    <w:p w14:paraId="4170EDA6" w14:textId="62701118" w:rsidR="00BC0AFD" w:rsidRDefault="004200C3" w:rsidP="00D96C02">
      <w:pPr>
        <w:pStyle w:val="H2"/>
        <w:numPr>
          <w:ilvl w:val="0"/>
          <w:numId w:val="0"/>
        </w:numPr>
        <w:spacing w:after="480"/>
        <w:ind w:left="1418"/>
        <w:rPr>
          <w:sz w:val="22"/>
        </w:rPr>
      </w:pPr>
      <w:r>
        <w:rPr>
          <w:sz w:val="22"/>
        </w:rPr>
        <w:t>“To interpret s 2(1)</w:t>
      </w:r>
      <w:r w:rsidR="002D2825">
        <w:rPr>
          <w:sz w:val="22"/>
        </w:rPr>
        <w:t xml:space="preserve"> of the Act so as to widen the scope of the words ‘the same </w:t>
      </w:r>
      <w:r w:rsidR="00C4588E">
        <w:rPr>
          <w:sz w:val="22"/>
        </w:rPr>
        <w:t>damage</w:t>
      </w:r>
      <w:r w:rsidR="007C5277">
        <w:rPr>
          <w:sz w:val="22"/>
        </w:rPr>
        <w:t>’</w:t>
      </w:r>
      <w:r w:rsidR="00C4588E">
        <w:rPr>
          <w:sz w:val="22"/>
        </w:rPr>
        <w:t xml:space="preserve"> which</w:t>
      </w:r>
      <w:r w:rsidR="002D2825">
        <w:rPr>
          <w:sz w:val="22"/>
        </w:rPr>
        <w:t xml:space="preserve"> are unambiguous is not justified</w:t>
      </w:r>
      <w:r w:rsidR="00C4588E">
        <w:rPr>
          <w:sz w:val="22"/>
        </w:rPr>
        <w:t xml:space="preserve">. The Act specifically defined joint </w:t>
      </w:r>
      <w:r w:rsidR="00372439">
        <w:rPr>
          <w:sz w:val="22"/>
        </w:rPr>
        <w:t>wrongdo</w:t>
      </w:r>
      <w:r w:rsidR="00463C30">
        <w:rPr>
          <w:sz w:val="22"/>
        </w:rPr>
        <w:t>ers</w:t>
      </w:r>
      <w:r w:rsidR="00C4588E">
        <w:rPr>
          <w:sz w:val="22"/>
        </w:rPr>
        <w:t xml:space="preserve"> with reference to the damage that they cause, i.e., the same damage</w:t>
      </w:r>
      <w:r w:rsidR="00E640D9">
        <w:rPr>
          <w:sz w:val="22"/>
        </w:rPr>
        <w:t>. There is nothing in the Act to indicate that the Legislature intended when it used these words ‘</w:t>
      </w:r>
      <w:r w:rsidR="005253CB">
        <w:rPr>
          <w:sz w:val="22"/>
        </w:rPr>
        <w:t xml:space="preserve">the same </w:t>
      </w:r>
      <w:r w:rsidR="005253CB">
        <w:rPr>
          <w:sz w:val="22"/>
        </w:rPr>
        <w:lastRenderedPageBreak/>
        <w:t>damage’, to include in that phrase both damage which was clearly</w:t>
      </w:r>
      <w:r w:rsidR="00E235D9">
        <w:rPr>
          <w:sz w:val="22"/>
        </w:rPr>
        <w:t xml:space="preserve"> not the same </w:t>
      </w:r>
      <w:r w:rsidR="007C5277">
        <w:rPr>
          <w:sz w:val="22"/>
        </w:rPr>
        <w:t>damage but</w:t>
      </w:r>
      <w:r w:rsidR="00E235D9">
        <w:rPr>
          <w:sz w:val="22"/>
        </w:rPr>
        <w:t xml:space="preserve"> caused within an unspecified period of time after previous damage, but which was incapable of being attributed to one cause</w:t>
      </w:r>
      <w:r w:rsidR="00BC2BA1">
        <w:rPr>
          <w:sz w:val="22"/>
        </w:rPr>
        <w:t xml:space="preserve"> or the other”.</w:t>
      </w:r>
    </w:p>
    <w:p w14:paraId="5565D549" w14:textId="51F23C64" w:rsidR="001F02A4" w:rsidRDefault="003D0F44" w:rsidP="00D96C02">
      <w:pPr>
        <w:pStyle w:val="H1"/>
        <w:spacing w:after="480"/>
      </w:pPr>
      <w:r>
        <w:t xml:space="preserve">As </w:t>
      </w:r>
      <w:r w:rsidR="00810BD9">
        <w:t xml:space="preserve">Kruger AJ stated </w:t>
      </w:r>
      <w:r w:rsidR="003167D2">
        <w:t>the above-mentioned judgment was cited with approval by the Supreme Court of Appeal in</w:t>
      </w:r>
      <w:r w:rsidR="00455209">
        <w:t xml:space="preserve"> </w:t>
      </w:r>
      <w:r w:rsidR="00EE0302">
        <w:rPr>
          <w:i/>
        </w:rPr>
        <w:t>Minister of Safety and Security v Rudman</w:t>
      </w:r>
      <w:r w:rsidR="00373D6B">
        <w:t xml:space="preserve"> 2005 (2) SA 16 (SCA)</w:t>
      </w:r>
      <w:r w:rsidR="00772531">
        <w:t xml:space="preserve"> at [79], where the court stated that:</w:t>
      </w:r>
    </w:p>
    <w:p w14:paraId="53D4082E" w14:textId="464C636F" w:rsidR="00772531" w:rsidRPr="00BC0AFD" w:rsidRDefault="00422D53" w:rsidP="00D96C02">
      <w:pPr>
        <w:pStyle w:val="H1"/>
        <w:numPr>
          <w:ilvl w:val="0"/>
          <w:numId w:val="0"/>
        </w:numPr>
        <w:spacing w:after="480"/>
        <w:ind w:left="567"/>
      </w:pPr>
      <w:r>
        <w:rPr>
          <w:sz w:val="22"/>
          <w:lang w:val="en-ZA" w:eastAsia="en-ZA"/>
        </w:rPr>
        <w:t>“</w:t>
      </w:r>
      <w:r w:rsidR="00772531" w:rsidRPr="00422D53">
        <w:rPr>
          <w:sz w:val="22"/>
          <w:lang w:val="en-ZA" w:eastAsia="en-ZA"/>
        </w:rPr>
        <w:t>As was held in </w:t>
      </w:r>
      <w:r w:rsidR="00772531" w:rsidRPr="00422D53">
        <w:rPr>
          <w:i/>
          <w:iCs/>
          <w:sz w:val="22"/>
          <w:lang w:val="en-ZA" w:eastAsia="en-ZA"/>
        </w:rPr>
        <w:t>Mkwanazi v Van der Merwe and Another</w:t>
      </w:r>
      <w:r w:rsidR="00772531" w:rsidRPr="00422D53">
        <w:rPr>
          <w:sz w:val="22"/>
          <w:lang w:val="en-ZA" w:eastAsia="en-ZA"/>
        </w:rPr>
        <w:t> </w:t>
      </w:r>
      <w:r w:rsidR="00331653" w:rsidRPr="00422D53">
        <w:rPr>
          <w:sz w:val="22"/>
          <w:lang w:val="en-ZA" w:eastAsia="en-ZA"/>
        </w:rPr>
        <w:t xml:space="preserve"> 1970 (1)</w:t>
      </w:r>
      <w:r w:rsidR="00160A4B" w:rsidRPr="00422D53">
        <w:rPr>
          <w:sz w:val="22"/>
          <w:lang w:val="en-ZA" w:eastAsia="en-ZA"/>
        </w:rPr>
        <w:t xml:space="preserve"> SA 609 (A)</w:t>
      </w:r>
      <w:r w:rsidR="00772531" w:rsidRPr="00422D53">
        <w:rPr>
          <w:sz w:val="22"/>
          <w:lang w:val="en-ZA" w:eastAsia="en-ZA"/>
        </w:rPr>
        <w:t> at 622B - D and </w:t>
      </w:r>
      <w:r w:rsidR="00772531" w:rsidRPr="00422D53">
        <w:rPr>
          <w:i/>
          <w:iCs/>
          <w:sz w:val="22"/>
          <w:lang w:val="en-ZA" w:eastAsia="en-ZA"/>
        </w:rPr>
        <w:t>Minister of Communications and Public Works v Renown Food Products</w:t>
      </w:r>
      <w:r w:rsidR="00772531" w:rsidRPr="00422D53">
        <w:rPr>
          <w:sz w:val="22"/>
          <w:lang w:val="en-ZA" w:eastAsia="en-ZA"/>
        </w:rPr>
        <w:t> </w:t>
      </w:r>
      <w:r w:rsidR="00CB2818" w:rsidRPr="00422D53">
        <w:rPr>
          <w:sz w:val="22"/>
          <w:lang w:val="en-ZA" w:eastAsia="en-ZA"/>
        </w:rPr>
        <w:t>1988 (4) SA 151 (C)</w:t>
      </w:r>
      <w:r w:rsidR="00772531" w:rsidRPr="00422D53">
        <w:rPr>
          <w:sz w:val="22"/>
          <w:lang w:val="en-ZA" w:eastAsia="en-ZA"/>
        </w:rPr>
        <w:t>, to fall within the Act the two defendants must have caused 'the same damage' and, where two separate acts of negligence have caused different damage and resultant loss to a plaintiff, each defendant is liable only for such damage as he or she</w:t>
      </w:r>
      <w:r w:rsidR="007D22B1" w:rsidRPr="00422D53">
        <w:rPr>
          <w:sz w:val="22"/>
          <w:lang w:val="en-ZA" w:eastAsia="en-ZA"/>
        </w:rPr>
        <w:t xml:space="preserve"> </w:t>
      </w:r>
      <w:r w:rsidR="00772531" w:rsidRPr="00422D53">
        <w:rPr>
          <w:sz w:val="22"/>
          <w:lang w:val="en-ZA" w:eastAsia="en-ZA"/>
        </w:rPr>
        <w:t>has personally caused. There is nothing in the Act which detracts from this position. See also </w:t>
      </w:r>
      <w:r w:rsidR="00772531" w:rsidRPr="00422D53">
        <w:rPr>
          <w:i/>
          <w:iCs/>
          <w:sz w:val="22"/>
          <w:lang w:val="en-ZA" w:eastAsia="en-ZA"/>
        </w:rPr>
        <w:t>Rahman v Arearose Ltd and Another</w:t>
      </w:r>
      <w:r w:rsidR="00772531" w:rsidRPr="00422D53">
        <w:rPr>
          <w:sz w:val="22"/>
          <w:lang w:val="en-ZA" w:eastAsia="en-ZA"/>
        </w:rPr>
        <w:t> [2001] QB 351 (CA), a judgment of the English Court of Appeal, to which counsel for the</w:t>
      </w:r>
      <w:r w:rsidRPr="00422D53">
        <w:rPr>
          <w:sz w:val="22"/>
          <w:lang w:val="en-ZA" w:eastAsia="en-ZA"/>
        </w:rPr>
        <w:t xml:space="preserve"> </w:t>
      </w:r>
      <w:r w:rsidR="00772531" w:rsidRPr="00422D53">
        <w:rPr>
          <w:sz w:val="22"/>
          <w:lang w:val="en-ZA" w:eastAsia="en-ZA"/>
        </w:rPr>
        <w:t>appellants referred, which concerned the meaning of the expression 'same damage' in s 1(1) of the United Kingdom Civil Liability (Contribution) Act 1978 (c 47).</w:t>
      </w:r>
      <w:r>
        <w:rPr>
          <w:sz w:val="22"/>
          <w:lang w:val="en-ZA" w:eastAsia="en-ZA"/>
        </w:rPr>
        <w:t>”</w:t>
      </w:r>
    </w:p>
    <w:p w14:paraId="013511BF" w14:textId="790E37BF" w:rsidR="00B23035" w:rsidRDefault="00B23035" w:rsidP="00D96C02">
      <w:pPr>
        <w:pStyle w:val="H1"/>
        <w:spacing w:after="480"/>
      </w:pPr>
      <w:r>
        <w:t>The proposed amendment</w:t>
      </w:r>
      <w:r w:rsidR="0017711B">
        <w:t xml:space="preserve"> by Eskom to its third party annexure does not in any </w:t>
      </w:r>
      <w:r w:rsidR="00ED29DB">
        <w:t>meaningful</w:t>
      </w:r>
      <w:r w:rsidR="005A0437">
        <w:t xml:space="preserve"> </w:t>
      </w:r>
      <w:r w:rsidR="0017711B">
        <w:t>way</w:t>
      </w:r>
      <w:r w:rsidR="005A520B">
        <w:t xml:space="preserve"> address</w:t>
      </w:r>
      <w:r w:rsidR="00ED7A26">
        <w:t xml:space="preserve"> the findings in the earlier judgment and thus</w:t>
      </w:r>
      <w:r w:rsidR="00F50215">
        <w:t xml:space="preserve"> those</w:t>
      </w:r>
      <w:r w:rsidR="00ED7A26">
        <w:t xml:space="preserve"> findings remain of application.</w:t>
      </w:r>
      <w:r w:rsidR="003E33C6">
        <w:t xml:space="preserve"> The proposed amendment does not establish any </w:t>
      </w:r>
      <w:r w:rsidR="005A0437">
        <w:t xml:space="preserve">new factual or legal </w:t>
      </w:r>
      <w:r w:rsidR="003E33C6">
        <w:t>basis for me to revisit</w:t>
      </w:r>
      <w:r w:rsidR="002D3075">
        <w:t xml:space="preserve"> or distinguish</w:t>
      </w:r>
      <w:r w:rsidR="003E33C6">
        <w:t xml:space="preserve"> those findings.</w:t>
      </w:r>
      <w:r w:rsidR="00436B60">
        <w:t xml:space="preserve"> In the circumstan</w:t>
      </w:r>
      <w:r w:rsidR="00611752">
        <w:t>ces the Act is</w:t>
      </w:r>
      <w:r w:rsidR="005A0437">
        <w:t xml:space="preserve"> still</w:t>
      </w:r>
      <w:r w:rsidR="00611752">
        <w:t xml:space="preserve"> not applicable</w:t>
      </w:r>
      <w:r w:rsidR="004007CF">
        <w:t>.</w:t>
      </w:r>
    </w:p>
    <w:p w14:paraId="10AA9466" w14:textId="77777777" w:rsidR="00BA5135" w:rsidRDefault="0071625C" w:rsidP="00D96C02">
      <w:pPr>
        <w:pStyle w:val="H1"/>
        <w:spacing w:after="480"/>
      </w:pPr>
      <w:r>
        <w:t>Thus, the application stands to be dismissed</w:t>
      </w:r>
      <w:r w:rsidR="003137E6">
        <w:t>, as the proposed amendment</w:t>
      </w:r>
      <w:r w:rsidR="00A051AB">
        <w:t xml:space="preserve"> would render the</w:t>
      </w:r>
      <w:r w:rsidR="000D284B">
        <w:t xml:space="preserve"> annexure excipiable – it would not con</w:t>
      </w:r>
      <w:r w:rsidR="00430B33">
        <w:t>tain</w:t>
      </w:r>
      <w:r w:rsidR="00C2735E">
        <w:t xml:space="preserve"> sufficient facts</w:t>
      </w:r>
      <w:r w:rsidR="000B6D26">
        <w:t xml:space="preserve"> to sustain </w:t>
      </w:r>
      <w:r w:rsidR="006566D0">
        <w:t xml:space="preserve">Eskom’s claims </w:t>
      </w:r>
      <w:r w:rsidR="006566D0">
        <w:lastRenderedPageBreak/>
        <w:t>against</w:t>
      </w:r>
      <w:r w:rsidR="000910A4">
        <w:t xml:space="preserve"> the municipality</w:t>
      </w:r>
      <w:r>
        <w:t>.</w:t>
      </w:r>
      <w:r w:rsidR="000910A4">
        <w:t xml:space="preserve"> On the facts relied upon by Eskom there is no </w:t>
      </w:r>
      <w:r w:rsidR="00F5156C">
        <w:t>triable</w:t>
      </w:r>
      <w:r w:rsidR="000910A4">
        <w:t xml:space="preserve"> iss</w:t>
      </w:r>
      <w:r w:rsidR="00F5156C">
        <w:t xml:space="preserve">ue as between Eskom and the </w:t>
      </w:r>
      <w:r w:rsidR="00B809D2">
        <w:t>municipality.</w:t>
      </w:r>
      <w:r w:rsidR="004B28AA">
        <w:t xml:space="preserve"> </w:t>
      </w:r>
    </w:p>
    <w:p w14:paraId="695864E7" w14:textId="11C362D7" w:rsidR="008A02D7" w:rsidRDefault="004B28AA" w:rsidP="00D96C02">
      <w:pPr>
        <w:pStyle w:val="H1"/>
        <w:spacing w:after="480"/>
      </w:pPr>
      <w:r>
        <w:t>On those facts the Act</w:t>
      </w:r>
      <w:r w:rsidR="00C0760E">
        <w:t xml:space="preserve"> and rule 13 do</w:t>
      </w:r>
      <w:r w:rsidR="008E06A7">
        <w:t xml:space="preserve"> not</w:t>
      </w:r>
      <w:r w:rsidR="00DF755E">
        <w:t xml:space="preserve"> apply and </w:t>
      </w:r>
      <w:r w:rsidR="00A018EA">
        <w:t>thus do not</w:t>
      </w:r>
      <w:r w:rsidR="008E06A7">
        <w:t xml:space="preserve"> afford Eskom any legal basis for the joinder of the municipality as a party to the </w:t>
      </w:r>
      <w:r w:rsidR="001D01E4">
        <w:t>MTO action.</w:t>
      </w:r>
      <w:r w:rsidR="004D540E">
        <w:t xml:space="preserve"> </w:t>
      </w:r>
      <w:r w:rsidR="00335710">
        <w:t>On Eskom’s facts it is not able to amend its annexure to allow for the Act</w:t>
      </w:r>
      <w:r w:rsidR="00E23DCE">
        <w:t xml:space="preserve"> or rule 13</w:t>
      </w:r>
      <w:r w:rsidR="00335710">
        <w:t xml:space="preserve"> to be applicable.  </w:t>
      </w:r>
      <w:r w:rsidR="00BA5135">
        <w:t>I deal</w:t>
      </w:r>
      <w:r w:rsidR="00BE2ECB">
        <w:t xml:space="preserve"> with the inapplicability of rule 13 </w:t>
      </w:r>
      <w:r w:rsidR="00501A8D">
        <w:t>in more detail, below</w:t>
      </w:r>
      <w:r w:rsidR="00133987">
        <w:t xml:space="preserve"> in the context</w:t>
      </w:r>
      <w:r w:rsidR="001B2F68">
        <w:t xml:space="preserve"> of the Woodridge action. </w:t>
      </w:r>
      <w:r w:rsidR="00E23DCE">
        <w:t xml:space="preserve"> </w:t>
      </w:r>
      <w:r w:rsidR="001B2F68">
        <w:t xml:space="preserve">My conclusions expressed </w:t>
      </w:r>
      <w:r w:rsidR="00665373">
        <w:t>below</w:t>
      </w:r>
      <w:r w:rsidR="001B2F68">
        <w:t xml:space="preserve"> apply equally</w:t>
      </w:r>
      <w:r w:rsidR="00F12D21">
        <w:t xml:space="preserve"> here.</w:t>
      </w:r>
    </w:p>
    <w:p w14:paraId="02FB5EAE" w14:textId="3FB0F58D" w:rsidR="008A02D7" w:rsidRDefault="00F92D78" w:rsidP="00D96C02">
      <w:pPr>
        <w:pStyle w:val="Heading1"/>
        <w:spacing w:after="480"/>
        <w:rPr>
          <w:b/>
          <w:bCs/>
          <w:u w:val="single"/>
        </w:rPr>
      </w:pPr>
      <w:r>
        <w:rPr>
          <w:b/>
          <w:bCs/>
          <w:u w:val="single"/>
        </w:rPr>
        <w:t>The Woodridge action and the</w:t>
      </w:r>
      <w:r w:rsidR="008912DC">
        <w:rPr>
          <w:b/>
          <w:bCs/>
          <w:u w:val="single"/>
        </w:rPr>
        <w:t xml:space="preserve"> municipality’s</w:t>
      </w:r>
      <w:r>
        <w:rPr>
          <w:b/>
          <w:bCs/>
          <w:u w:val="single"/>
        </w:rPr>
        <w:t xml:space="preserve"> exception</w:t>
      </w:r>
      <w:r w:rsidR="008912DC">
        <w:rPr>
          <w:b/>
          <w:bCs/>
          <w:u w:val="single"/>
        </w:rPr>
        <w:t xml:space="preserve"> to Eskom’s </w:t>
      </w:r>
      <w:r w:rsidR="00335710">
        <w:rPr>
          <w:b/>
          <w:bCs/>
          <w:u w:val="single"/>
        </w:rPr>
        <w:t xml:space="preserve">latest </w:t>
      </w:r>
      <w:r w:rsidR="008912DC">
        <w:rPr>
          <w:b/>
          <w:bCs/>
          <w:u w:val="single"/>
        </w:rPr>
        <w:t>third party annexure</w:t>
      </w:r>
    </w:p>
    <w:p w14:paraId="16B2514B" w14:textId="3DA46276" w:rsidR="008912DC" w:rsidRDefault="00006D02" w:rsidP="00D96C02">
      <w:pPr>
        <w:pStyle w:val="H1"/>
        <w:spacing w:after="480"/>
      </w:pPr>
      <w:r>
        <w:t>The only basis for the joinder of the municipality as a third</w:t>
      </w:r>
      <w:r w:rsidR="00DA4C65">
        <w:t xml:space="preserve"> party to this action relied upon by Eskom</w:t>
      </w:r>
      <w:r w:rsidR="001B373A">
        <w:t xml:space="preserve"> is</w:t>
      </w:r>
      <w:r w:rsidR="00A706C7">
        <w:t xml:space="preserve"> rule 13(1)(b)</w:t>
      </w:r>
      <w:r w:rsidR="00C37D67">
        <w:t>.</w:t>
      </w:r>
    </w:p>
    <w:p w14:paraId="32CA7C51" w14:textId="2701F44D" w:rsidR="00DA1E16" w:rsidRDefault="00260AC0" w:rsidP="00D96C02">
      <w:pPr>
        <w:pStyle w:val="H1"/>
        <w:spacing w:after="480"/>
      </w:pPr>
      <w:r>
        <w:t>In terms of its third party annexure Eskom seeks an order:</w:t>
      </w:r>
    </w:p>
    <w:p w14:paraId="641067E9" w14:textId="589DD221" w:rsidR="00A63588" w:rsidRDefault="00A63588" w:rsidP="00D96C02">
      <w:pPr>
        <w:pStyle w:val="H2"/>
        <w:spacing w:after="480"/>
      </w:pPr>
      <w:r>
        <w:t>declaring the degree of negligence of each party in relation to the fire damage suffered by Woodridge</w:t>
      </w:r>
      <w:r w:rsidR="005A12DE">
        <w:t>;</w:t>
      </w:r>
    </w:p>
    <w:p w14:paraId="2C2ED8E8" w14:textId="468641B6" w:rsidR="001927F9" w:rsidRDefault="00A13270" w:rsidP="00D96C02">
      <w:pPr>
        <w:pStyle w:val="H2"/>
        <w:spacing w:after="480"/>
      </w:pPr>
      <w:r>
        <w:t>declaring and determining</w:t>
      </w:r>
      <w:r w:rsidR="00BD4FF3">
        <w:t xml:space="preserve"> the amount of compensation that each party is liable to pay to Woodridge for the fire damage suffered by it</w:t>
      </w:r>
      <w:r>
        <w:t>;</w:t>
      </w:r>
    </w:p>
    <w:p w14:paraId="6B6B61AA" w14:textId="5546B423" w:rsidR="00A13270" w:rsidRDefault="00241A13" w:rsidP="00D96C02">
      <w:pPr>
        <w:pStyle w:val="H2"/>
        <w:spacing w:after="480"/>
      </w:pPr>
      <w:r>
        <w:t>declaring that in the event</w:t>
      </w:r>
      <w:r w:rsidR="00397D5A">
        <w:t xml:space="preserve"> that</w:t>
      </w:r>
      <w:r>
        <w:t xml:space="preserve"> Eskom i</w:t>
      </w:r>
      <w:r w:rsidR="006E20A8">
        <w:t>s</w:t>
      </w:r>
      <w:r>
        <w:t xml:space="preserve"> order</w:t>
      </w:r>
      <w:r w:rsidR="0020425E">
        <w:t>ed</w:t>
      </w:r>
      <w:r>
        <w:t xml:space="preserve"> to pay and paying to Woodridge compensation for all the fire damage suffered by it, the municipality and MTO</w:t>
      </w:r>
      <w:r w:rsidR="0020425E">
        <w:t xml:space="preserve"> are</w:t>
      </w:r>
      <w:r>
        <w:t xml:space="preserve"> order</w:t>
      </w:r>
      <w:r w:rsidR="0020425E">
        <w:t>ed</w:t>
      </w:r>
      <w:r>
        <w:t xml:space="preserve"> to make a contribution to Eskom in respect of the amount </w:t>
      </w:r>
      <w:r>
        <w:lastRenderedPageBreak/>
        <w:t>paid to Woodridge</w:t>
      </w:r>
      <w:r w:rsidR="00496ECB">
        <w:t>, and in accordance with their respective degree</w:t>
      </w:r>
      <w:r w:rsidR="00796AED">
        <w:t>s</w:t>
      </w:r>
      <w:r w:rsidR="00496ECB">
        <w:t xml:space="preserve"> of negligence;</w:t>
      </w:r>
    </w:p>
    <w:p w14:paraId="75B7A2D4" w14:textId="38C26797" w:rsidR="00496ECB" w:rsidRDefault="00496ECB" w:rsidP="00D96C02">
      <w:pPr>
        <w:pStyle w:val="H2"/>
        <w:spacing w:after="480"/>
      </w:pPr>
      <w:r>
        <w:t>in the alternative,</w:t>
      </w:r>
      <w:r w:rsidR="00651FB2">
        <w:t xml:space="preserve"> apportioning the amount of damages awarded in favour of Woodridge against Eskom and the municipality and MTO in such proportions as the court may deem just and equitable having regard</w:t>
      </w:r>
      <w:r w:rsidR="00B71436">
        <w:t xml:space="preserve"> to the degrees in which Eskom, the municipality and MTO are at fault in relation to Woodridge’s fire damage, and that the court give judgment separately against</w:t>
      </w:r>
      <w:r w:rsidR="008F4030">
        <w:t xml:space="preserve"> Eskom, the municipality and MTO for the amount so apportioned.</w:t>
      </w:r>
    </w:p>
    <w:p w14:paraId="4646E7D8" w14:textId="44552B71" w:rsidR="008F4030" w:rsidRPr="004D2D87" w:rsidRDefault="00FE52BD" w:rsidP="00D96C02">
      <w:pPr>
        <w:pStyle w:val="H1"/>
        <w:spacing w:after="480"/>
      </w:pPr>
      <w:r>
        <w:t xml:space="preserve">This court in </w:t>
      </w:r>
      <w:r>
        <w:rPr>
          <w:i/>
          <w:iCs/>
        </w:rPr>
        <w:t xml:space="preserve">Hart and Another v </w:t>
      </w:r>
      <w:r w:rsidR="00ED3BEB">
        <w:rPr>
          <w:i/>
          <w:iCs/>
        </w:rPr>
        <w:t>Santam Insurance Co</w:t>
      </w:r>
      <w:r w:rsidR="008C23E8">
        <w:rPr>
          <w:i/>
          <w:iCs/>
        </w:rPr>
        <w:t>. Ltd</w:t>
      </w:r>
      <w:r w:rsidR="008C23E8">
        <w:rPr>
          <w:iCs/>
        </w:rPr>
        <w:t xml:space="preserve"> 1975 (4)</w:t>
      </w:r>
      <w:r w:rsidR="00432E08">
        <w:rPr>
          <w:iCs/>
        </w:rPr>
        <w:t xml:space="preserve"> SA </w:t>
      </w:r>
      <w:r w:rsidR="008C23E8">
        <w:rPr>
          <w:iCs/>
        </w:rPr>
        <w:t>275</w:t>
      </w:r>
      <w:r w:rsidR="00432E08">
        <w:rPr>
          <w:iCs/>
        </w:rPr>
        <w:t xml:space="preserve"> (ECD)</w:t>
      </w:r>
      <w:r w:rsidR="00D54165">
        <w:rPr>
          <w:iCs/>
        </w:rPr>
        <w:t xml:space="preserve"> at</w:t>
      </w:r>
      <w:r w:rsidR="00834A4F">
        <w:rPr>
          <w:iCs/>
        </w:rPr>
        <w:t xml:space="preserve"> 277</w:t>
      </w:r>
      <w:r w:rsidR="00AE5B55">
        <w:rPr>
          <w:iCs/>
        </w:rPr>
        <w:t>F-G held that under rule 13 all that can be sought by one alleged wrongdoer against another is an apportionment of fault in the form of a declaratory order. The rule makes no provision for</w:t>
      </w:r>
      <w:r w:rsidR="00EC32C6">
        <w:rPr>
          <w:iCs/>
        </w:rPr>
        <w:t xml:space="preserve"> a court granting a judgment sounding in money in favour of one alleged wrongdoer against another. The court, </w:t>
      </w:r>
      <w:r w:rsidR="00A926A3">
        <w:rPr>
          <w:iCs/>
        </w:rPr>
        <w:t xml:space="preserve">in </w:t>
      </w:r>
      <w:r w:rsidR="00A926A3">
        <w:rPr>
          <w:i/>
        </w:rPr>
        <w:t>Hart</w:t>
      </w:r>
      <w:r w:rsidR="00EC32C6">
        <w:rPr>
          <w:iCs/>
        </w:rPr>
        <w:t>, was also dealing with an exception to a</w:t>
      </w:r>
      <w:r w:rsidR="00ED6511">
        <w:rPr>
          <w:iCs/>
        </w:rPr>
        <w:t>n annexure to a third party notice</w:t>
      </w:r>
      <w:r w:rsidR="00D201BB">
        <w:rPr>
          <w:iCs/>
        </w:rPr>
        <w:t>.</w:t>
      </w:r>
      <w:r w:rsidR="00FA3376">
        <w:rPr>
          <w:iCs/>
        </w:rPr>
        <w:t xml:space="preserve"> In terms of this judgment (by which I am bound)</w:t>
      </w:r>
      <w:r w:rsidR="0098038A">
        <w:rPr>
          <w:iCs/>
        </w:rPr>
        <w:t xml:space="preserve"> the relief envisaged in sub-paragraphs</w:t>
      </w:r>
      <w:r w:rsidR="000913FB">
        <w:rPr>
          <w:iCs/>
        </w:rPr>
        <w:t xml:space="preserve"> 4</w:t>
      </w:r>
      <w:r w:rsidR="00AA266B">
        <w:rPr>
          <w:iCs/>
        </w:rPr>
        <w:t>2</w:t>
      </w:r>
      <w:r w:rsidR="000913FB">
        <w:rPr>
          <w:iCs/>
        </w:rPr>
        <w:t>.2-4</w:t>
      </w:r>
      <w:r w:rsidR="00AA266B">
        <w:rPr>
          <w:iCs/>
        </w:rPr>
        <w:t>2</w:t>
      </w:r>
      <w:r w:rsidR="000913FB">
        <w:rPr>
          <w:iCs/>
        </w:rPr>
        <w:t xml:space="preserve">.4 above, </w:t>
      </w:r>
      <w:r w:rsidR="005042DE">
        <w:rPr>
          <w:iCs/>
        </w:rPr>
        <w:t>contemplate</w:t>
      </w:r>
      <w:r w:rsidR="003662CF">
        <w:rPr>
          <w:iCs/>
        </w:rPr>
        <w:t>s</w:t>
      </w:r>
      <w:r w:rsidR="005042DE">
        <w:rPr>
          <w:iCs/>
        </w:rPr>
        <w:t xml:space="preserve"> </w:t>
      </w:r>
      <w:r w:rsidR="00335710">
        <w:rPr>
          <w:iCs/>
        </w:rPr>
        <w:t xml:space="preserve">a </w:t>
      </w:r>
      <w:r w:rsidR="005042DE">
        <w:rPr>
          <w:iCs/>
        </w:rPr>
        <w:t xml:space="preserve">judgment sounding in money being </w:t>
      </w:r>
      <w:r w:rsidR="00082792">
        <w:rPr>
          <w:iCs/>
        </w:rPr>
        <w:t>granted</w:t>
      </w:r>
      <w:r w:rsidR="005042DE">
        <w:rPr>
          <w:iCs/>
        </w:rPr>
        <w:t xml:space="preserve"> against the municipality</w:t>
      </w:r>
      <w:r w:rsidR="003662CF">
        <w:rPr>
          <w:iCs/>
        </w:rPr>
        <w:t>,</w:t>
      </w:r>
      <w:r w:rsidR="00734E03">
        <w:rPr>
          <w:iCs/>
        </w:rPr>
        <w:t xml:space="preserve"> </w:t>
      </w:r>
      <w:r w:rsidR="00335710">
        <w:rPr>
          <w:iCs/>
        </w:rPr>
        <w:t>which</w:t>
      </w:r>
      <w:r w:rsidR="00982F81">
        <w:rPr>
          <w:iCs/>
        </w:rPr>
        <w:t xml:space="preserve"> </w:t>
      </w:r>
      <w:r w:rsidR="00734E03">
        <w:rPr>
          <w:iCs/>
        </w:rPr>
        <w:t>cannot competently</w:t>
      </w:r>
      <w:r w:rsidR="00044941">
        <w:rPr>
          <w:iCs/>
        </w:rPr>
        <w:t xml:space="preserve"> be granted in terms of rule 13. See 277H of the judgment</w:t>
      </w:r>
      <w:r w:rsidR="004D2D87">
        <w:rPr>
          <w:iCs/>
        </w:rPr>
        <w:t>.</w:t>
      </w:r>
    </w:p>
    <w:p w14:paraId="7B919F84" w14:textId="663C3E41" w:rsidR="00BD6967" w:rsidRDefault="00F547FF" w:rsidP="00D96C02">
      <w:pPr>
        <w:pStyle w:val="H1"/>
        <w:spacing w:after="480"/>
      </w:pPr>
      <w:r>
        <w:t>The relief envisaged by Eskom in sub-paragraph 4</w:t>
      </w:r>
      <w:r w:rsidR="00DB29E6">
        <w:t>2</w:t>
      </w:r>
      <w:r>
        <w:t>.1 above is untenable</w:t>
      </w:r>
      <w:r w:rsidR="005207F5">
        <w:t>,</w:t>
      </w:r>
      <w:r w:rsidR="00EF3B18">
        <w:t xml:space="preserve"> </w:t>
      </w:r>
      <w:r w:rsidR="00A46A14">
        <w:t>o</w:t>
      </w:r>
      <w:r w:rsidR="00EF3B18">
        <w:t xml:space="preserve">n the </w:t>
      </w:r>
      <w:r w:rsidR="00A46A14">
        <w:t>facts relied on by Eskom</w:t>
      </w:r>
      <w:r w:rsidR="007D4F03">
        <w:t xml:space="preserve">, </w:t>
      </w:r>
      <w:r w:rsidR="00BA4576">
        <w:t>where there were clearly two loss-causing events in the form of two different fires</w:t>
      </w:r>
      <w:r w:rsidR="00D83475">
        <w:t xml:space="preserve"> and two distin</w:t>
      </w:r>
      <w:r w:rsidR="00424537">
        <w:t xml:space="preserve">ct </w:t>
      </w:r>
      <w:r w:rsidR="00953E7F">
        <w:t>instances of negligence</w:t>
      </w:r>
      <w:r w:rsidR="00BA4576">
        <w:t>.</w:t>
      </w:r>
      <w:r w:rsidR="00202CD0">
        <w:t xml:space="preserve"> On Eskom’s version only the municipality featured</w:t>
      </w:r>
      <w:r w:rsidR="007643C0">
        <w:t xml:space="preserve"> and could</w:t>
      </w:r>
      <w:r w:rsidR="00847347">
        <w:t xml:space="preserve"> be negligent</w:t>
      </w:r>
      <w:r w:rsidR="00202CD0">
        <w:t xml:space="preserve"> in</w:t>
      </w:r>
      <w:r w:rsidR="00847347">
        <w:t xml:space="preserve"> relation to</w:t>
      </w:r>
      <w:r w:rsidR="00202CD0">
        <w:t xml:space="preserve"> the first fire</w:t>
      </w:r>
      <w:r w:rsidR="00E86703">
        <w:t xml:space="preserve"> and only Eskom featured</w:t>
      </w:r>
      <w:r w:rsidR="00847347">
        <w:t xml:space="preserve"> and could be negligent</w:t>
      </w:r>
      <w:r w:rsidR="00E86703">
        <w:t xml:space="preserve"> in</w:t>
      </w:r>
      <w:r w:rsidR="000232E4">
        <w:t xml:space="preserve"> respect of</w:t>
      </w:r>
      <w:r w:rsidR="00E86703">
        <w:t xml:space="preserve"> the second fire.</w:t>
      </w:r>
      <w:r w:rsidR="00B37B5C">
        <w:t xml:space="preserve"> As between Eskom </w:t>
      </w:r>
      <w:r w:rsidR="00B37B5C">
        <w:lastRenderedPageBreak/>
        <w:t>and the municipality it is therefore impossible to determine degrees of negligence</w:t>
      </w:r>
      <w:r w:rsidR="00500FCA">
        <w:t xml:space="preserve"> in respect of either the first fire </w:t>
      </w:r>
      <w:r w:rsidR="00B80F4E">
        <w:t>or</w:t>
      </w:r>
      <w:r w:rsidR="00500FCA">
        <w:t xml:space="preserve"> the second fire.</w:t>
      </w:r>
    </w:p>
    <w:p w14:paraId="6AD16888" w14:textId="13877775" w:rsidR="003137E6" w:rsidRDefault="008E6BC3" w:rsidP="00D96C02">
      <w:pPr>
        <w:pStyle w:val="H1"/>
        <w:spacing w:after="480"/>
      </w:pPr>
      <w:r>
        <w:t>Thus, the latest annexure to Eskom’s third party notice does not disclose</w:t>
      </w:r>
      <w:r w:rsidR="002B446F">
        <w:t xml:space="preserve"> the facts necessary to sustain its claims in terms thereof.</w:t>
      </w:r>
      <w:r w:rsidR="0047520B">
        <w:t xml:space="preserve"> Here too it is clear to me</w:t>
      </w:r>
      <w:r w:rsidR="00D73C1D">
        <w:t>,</w:t>
      </w:r>
      <w:r w:rsidR="0047520B">
        <w:t xml:space="preserve"> on the facts postulated by Es</w:t>
      </w:r>
      <w:r w:rsidR="00D73C1D">
        <w:t>kom</w:t>
      </w:r>
      <w:r w:rsidR="00B651EA">
        <w:t xml:space="preserve">, that rule 13 does not </w:t>
      </w:r>
      <w:r w:rsidR="00564224">
        <w:t xml:space="preserve">apply as </w:t>
      </w:r>
      <w:r w:rsidR="004A2BFF">
        <w:t xml:space="preserve">it does not </w:t>
      </w:r>
      <w:r w:rsidR="00B651EA">
        <w:t>give Eskom</w:t>
      </w:r>
      <w:r w:rsidR="00100EE5">
        <w:t xml:space="preserve"> a legal basis for joining the </w:t>
      </w:r>
      <w:r w:rsidR="00F10EE9">
        <w:t xml:space="preserve">municipality as party to the Woodridge </w:t>
      </w:r>
      <w:r w:rsidR="003137E6">
        <w:t>a</w:t>
      </w:r>
      <w:r w:rsidR="00F10EE9">
        <w:t>ction.</w:t>
      </w:r>
      <w:r w:rsidR="00FE654C">
        <w:t xml:space="preserve"> </w:t>
      </w:r>
    </w:p>
    <w:p w14:paraId="69E07B78" w14:textId="0506A415" w:rsidR="00FE4D86" w:rsidRPr="00BD6967" w:rsidRDefault="00FE654C" w:rsidP="00D96C02">
      <w:pPr>
        <w:pStyle w:val="H1"/>
        <w:spacing w:after="480"/>
      </w:pPr>
      <w:r>
        <w:t>The exception must therefore be upheld.</w:t>
      </w:r>
    </w:p>
    <w:p w14:paraId="1A63A2B1" w14:textId="12705742" w:rsidR="00B537B8" w:rsidRDefault="004323C5" w:rsidP="00D96C02">
      <w:pPr>
        <w:pStyle w:val="Heading1"/>
        <w:spacing w:after="480"/>
        <w:rPr>
          <w:b/>
          <w:bCs/>
          <w:u w:val="single"/>
        </w:rPr>
      </w:pPr>
      <w:r>
        <w:rPr>
          <w:b/>
          <w:bCs/>
          <w:u w:val="single"/>
        </w:rPr>
        <w:t xml:space="preserve">Should Eskom be afforded a further opportunity to amend the </w:t>
      </w:r>
      <w:r w:rsidR="00162CB4">
        <w:rPr>
          <w:b/>
          <w:bCs/>
          <w:u w:val="single"/>
        </w:rPr>
        <w:t>annexure</w:t>
      </w:r>
      <w:r>
        <w:rPr>
          <w:b/>
          <w:bCs/>
          <w:u w:val="single"/>
        </w:rPr>
        <w:t xml:space="preserve"> to its third party notice</w:t>
      </w:r>
      <w:r w:rsidR="00916A61">
        <w:rPr>
          <w:b/>
          <w:bCs/>
          <w:u w:val="single"/>
        </w:rPr>
        <w:t xml:space="preserve"> in the Woodridge action</w:t>
      </w:r>
    </w:p>
    <w:p w14:paraId="5D091647" w14:textId="2BB4350A" w:rsidR="004F10B9" w:rsidRDefault="00E034CC" w:rsidP="00D96C02">
      <w:pPr>
        <w:pStyle w:val="H1"/>
        <w:spacing w:after="480"/>
      </w:pPr>
      <w:r>
        <w:t xml:space="preserve">My </w:t>
      </w:r>
      <w:r w:rsidR="0057292D">
        <w:t>detailed exposition of the litigation history in respect of both actions ha</w:t>
      </w:r>
      <w:r w:rsidR="00335710">
        <w:t>s</w:t>
      </w:r>
      <w:r w:rsidR="0057292D">
        <w:t xml:space="preserve"> a</w:t>
      </w:r>
      <w:r w:rsidR="009B62A4">
        <w:t>s its purpose to demonstrate how the litigation</w:t>
      </w:r>
      <w:r w:rsidR="00BA6838">
        <w:t xml:space="preserve"> which commenced in April and May 2020</w:t>
      </w:r>
      <w:r w:rsidR="009B62A4">
        <w:t xml:space="preserve"> has been bogged down</w:t>
      </w:r>
      <w:r w:rsidR="00BA6838">
        <w:t xml:space="preserve"> by Eskom’s numerous</w:t>
      </w:r>
      <w:r w:rsidR="00454F30">
        <w:t xml:space="preserve"> unsuccessful attempts to produce </w:t>
      </w:r>
      <w:r w:rsidR="00335710">
        <w:t>annexures</w:t>
      </w:r>
      <w:r w:rsidR="00454F30">
        <w:t xml:space="preserve"> to its third party notices</w:t>
      </w:r>
      <w:r w:rsidR="000A115E">
        <w:t xml:space="preserve"> which were not vague and embarrassing and which</w:t>
      </w:r>
      <w:r w:rsidR="004467FF">
        <w:t xml:space="preserve"> contained averments which were sufficient to sustain the claims made in the annexures</w:t>
      </w:r>
      <w:r w:rsidR="008858DE">
        <w:t>.</w:t>
      </w:r>
      <w:r w:rsidR="00E23DCE">
        <w:t xml:space="preserve">  As this judgment demonstrates it is still not able to do so.</w:t>
      </w:r>
    </w:p>
    <w:p w14:paraId="2B70D3BE" w14:textId="17876195" w:rsidR="001E733D" w:rsidRDefault="0051461A" w:rsidP="00D96C02">
      <w:pPr>
        <w:pStyle w:val="H1"/>
        <w:spacing w:after="480"/>
      </w:pPr>
      <w:r>
        <w:t xml:space="preserve">Eskom’s first </w:t>
      </w:r>
      <w:r w:rsidR="00C74302">
        <w:t>third party</w:t>
      </w:r>
      <w:r w:rsidR="00B11B42">
        <w:t xml:space="preserve"> annexures</w:t>
      </w:r>
      <w:r>
        <w:t xml:space="preserve"> resulted in the municipality’s exceptions</w:t>
      </w:r>
      <w:r w:rsidR="00B11B42">
        <w:t xml:space="preserve"> being upheld in the earlier judgment</w:t>
      </w:r>
      <w:r w:rsidR="00C74302">
        <w:t xml:space="preserve">. </w:t>
      </w:r>
      <w:r w:rsidR="00DE183E">
        <w:t>I</w:t>
      </w:r>
      <w:r w:rsidR="00C74302">
        <w:t>ts further attempts</w:t>
      </w:r>
      <w:r w:rsidR="007757D0">
        <w:t xml:space="preserve"> at producing non-excipiable annexures have been similarly unsuccessful.</w:t>
      </w:r>
      <w:r w:rsidR="00594476">
        <w:t xml:space="preserve"> </w:t>
      </w:r>
      <w:r w:rsidR="00335710">
        <w:t xml:space="preserve"> In summary, the facts Eskom relies </w:t>
      </w:r>
      <w:r w:rsidR="00E23DCE">
        <w:t xml:space="preserve">on </w:t>
      </w:r>
      <w:r w:rsidR="00335710">
        <w:t xml:space="preserve">do not give it a legal basis for the relief.  It seeks against the municipality.  </w:t>
      </w:r>
      <w:r w:rsidR="00594476">
        <w:t>All this has motivated the municipality</w:t>
      </w:r>
      <w:r w:rsidR="00CA33F5">
        <w:t xml:space="preserve"> to request that</w:t>
      </w:r>
      <w:r w:rsidR="00E63FA3">
        <w:t>, if I uphold the exception</w:t>
      </w:r>
      <w:r w:rsidR="003814AB">
        <w:t>,</w:t>
      </w:r>
      <w:r w:rsidR="004015E3">
        <w:t xml:space="preserve"> </w:t>
      </w:r>
      <w:r w:rsidR="00DE183E">
        <w:t>I</w:t>
      </w:r>
      <w:r w:rsidR="004015E3">
        <w:t xml:space="preserve"> not afford Eskom </w:t>
      </w:r>
      <w:r w:rsidR="004015E3">
        <w:lastRenderedPageBreak/>
        <w:t xml:space="preserve">the </w:t>
      </w:r>
      <w:r w:rsidR="00352C42">
        <w:t>opportunity</w:t>
      </w:r>
      <w:r w:rsidR="004015E3">
        <w:t xml:space="preserve"> to</w:t>
      </w:r>
      <w:r w:rsidR="00F92899">
        <w:t xml:space="preserve"> deliver</w:t>
      </w:r>
      <w:r w:rsidR="004015E3">
        <w:t xml:space="preserve"> a further amendment</w:t>
      </w:r>
      <w:r w:rsidR="00982DEF">
        <w:t xml:space="preserve"> in an</w:t>
      </w:r>
      <w:r w:rsidR="004015E3">
        <w:t xml:space="preserve"> to attempt to make</w:t>
      </w:r>
      <w:r w:rsidR="008D124C">
        <w:t xml:space="preserve"> it</w:t>
      </w:r>
      <w:r w:rsidR="00335710">
        <w:t>s</w:t>
      </w:r>
      <w:r w:rsidR="008D124C">
        <w:t xml:space="preserve"> third party annexure non-excipiable.</w:t>
      </w:r>
    </w:p>
    <w:p w14:paraId="3FDA08FA" w14:textId="25272FD9" w:rsidR="006671DD" w:rsidRDefault="006671DD" w:rsidP="00D96C02">
      <w:pPr>
        <w:pStyle w:val="H1"/>
        <w:spacing w:after="480"/>
      </w:pPr>
      <w:r>
        <w:t>The starting point in considering the municipality’s request is the judgment</w:t>
      </w:r>
      <w:r w:rsidR="0015676F">
        <w:t xml:space="preserve"> in</w:t>
      </w:r>
      <w:r w:rsidR="00C3712E">
        <w:t xml:space="preserve"> </w:t>
      </w:r>
      <w:r w:rsidR="00061632">
        <w:rPr>
          <w:i/>
        </w:rPr>
        <w:t xml:space="preserve">Group Five Building Ltd v </w:t>
      </w:r>
      <w:r w:rsidR="00905A1F">
        <w:rPr>
          <w:i/>
        </w:rPr>
        <w:t>Government of the Republic of South Africa (Minister of Public Works and Land Affairs)</w:t>
      </w:r>
      <w:r w:rsidR="000639CD">
        <w:t xml:space="preserve"> 1993 (2) SA 593 (A)</w:t>
      </w:r>
      <w:r w:rsidR="00F05899">
        <w:t xml:space="preserve"> whe</w:t>
      </w:r>
      <w:r w:rsidR="00F91E85">
        <w:t>re</w:t>
      </w:r>
      <w:r w:rsidR="00F05899">
        <w:t xml:space="preserve"> it was held</w:t>
      </w:r>
      <w:r w:rsidR="00B5168D">
        <w:t xml:space="preserve"> at 602D-E</w:t>
      </w:r>
      <w:r w:rsidR="007D400F">
        <w:t xml:space="preserve"> </w:t>
      </w:r>
      <w:r w:rsidR="007F609C">
        <w:t>that</w:t>
      </w:r>
      <w:r w:rsidR="007D400F">
        <w:t xml:space="preserve"> in cases where an exception </w:t>
      </w:r>
      <w:r w:rsidR="006201C3">
        <w:t>ha</w:t>
      </w:r>
      <w:r w:rsidR="00FD4B49">
        <w:t xml:space="preserve">s </w:t>
      </w:r>
      <w:r w:rsidR="007D400F">
        <w:t>successfully be</w:t>
      </w:r>
      <w:r w:rsidR="006201C3">
        <w:t>en</w:t>
      </w:r>
      <w:r w:rsidR="007D400F">
        <w:t xml:space="preserve"> taken</w:t>
      </w:r>
      <w:r w:rsidR="00002193">
        <w:t xml:space="preserve"> to a pleading, of whatever nature, the invariable practice</w:t>
      </w:r>
      <w:r w:rsidR="00696211">
        <w:t xml:space="preserve"> of our courts has been to order that the pleading be set aside and </w:t>
      </w:r>
      <w:r w:rsidR="00E81089">
        <w:t>that the pleader</w:t>
      </w:r>
      <w:r w:rsidR="00696211">
        <w:t xml:space="preserve"> be given leave, if so advised, to file an amended pleading within a certain period of time</w:t>
      </w:r>
      <w:r w:rsidR="00FA4FC8">
        <w:t>.</w:t>
      </w:r>
    </w:p>
    <w:p w14:paraId="26124D04" w14:textId="757062D3" w:rsidR="00793423" w:rsidRDefault="00024C8E" w:rsidP="00D96C02">
      <w:pPr>
        <w:pStyle w:val="H1"/>
        <w:spacing w:after="480"/>
      </w:pPr>
      <w:r>
        <w:t>In</w:t>
      </w:r>
      <w:r w:rsidR="00692420">
        <w:t xml:space="preserve"> </w:t>
      </w:r>
      <w:r w:rsidR="00692420">
        <w:rPr>
          <w:i/>
          <w:iCs/>
        </w:rPr>
        <w:t>Rowe v Rowe</w:t>
      </w:r>
      <w:r w:rsidR="00B604A2">
        <w:rPr>
          <w:iCs/>
        </w:rPr>
        <w:t xml:space="preserve"> 1997 (4)</w:t>
      </w:r>
      <w:r w:rsidR="00513144">
        <w:rPr>
          <w:iCs/>
        </w:rPr>
        <w:t xml:space="preserve"> </w:t>
      </w:r>
      <w:r w:rsidR="00957DA4">
        <w:rPr>
          <w:iCs/>
        </w:rPr>
        <w:t>SA 160 (SCA) at 167G-I it was remarked</w:t>
      </w:r>
      <w:r w:rsidR="00EC39F0">
        <w:rPr>
          <w:iCs/>
        </w:rPr>
        <w:t xml:space="preserve">, albeit </w:t>
      </w:r>
      <w:r w:rsidR="00EC39F0">
        <w:rPr>
          <w:i/>
        </w:rPr>
        <w:t>obiter</w:t>
      </w:r>
      <w:r w:rsidR="007F54C0">
        <w:rPr>
          <w:iCs/>
        </w:rPr>
        <w:t>,</w:t>
      </w:r>
      <w:r w:rsidR="00B578D8">
        <w:t xml:space="preserve"> that it is doubtful whether the established practice in exception proceedings of setting aside the pleading excepted to</w:t>
      </w:r>
      <w:r w:rsidR="00805025">
        <w:t xml:space="preserve"> with leave to the pleader to amend, if so advised, </w:t>
      </w:r>
      <w:r w:rsidR="00147791">
        <w:t>b</w:t>
      </w:r>
      <w:r w:rsidR="00805025">
        <w:t>rooks of any departure and that, in the rare cases in which a departure from an order in that form may perhaps be permissible</w:t>
      </w:r>
      <w:r w:rsidR="00E31637">
        <w:t>, one expects to find the reasons for such departure in the court’s</w:t>
      </w:r>
      <w:r w:rsidR="00C4653D">
        <w:t xml:space="preserve"> judgment.</w:t>
      </w:r>
    </w:p>
    <w:p w14:paraId="291D7752" w14:textId="65E9D7D7" w:rsidR="002B68C8" w:rsidRDefault="00067CCC" w:rsidP="00D96C02">
      <w:pPr>
        <w:pStyle w:val="H1"/>
        <w:spacing w:after="480"/>
        <w:rPr>
          <w:iCs/>
        </w:rPr>
      </w:pPr>
      <w:r>
        <w:t>The current</w:t>
      </w:r>
      <w:r w:rsidR="007C24F0">
        <w:t xml:space="preserve"> state of our law on this issue, in my view, is effectively summarised in the following passage from</w:t>
      </w:r>
      <w:r w:rsidR="00EC1F16">
        <w:t xml:space="preserve"> </w:t>
      </w:r>
      <w:r w:rsidR="00C44EC3">
        <w:rPr>
          <w:i/>
        </w:rPr>
        <w:t xml:space="preserve">Ocean Echo Properties 327 CC and Another v </w:t>
      </w:r>
      <w:r w:rsidR="007F0BC1">
        <w:rPr>
          <w:i/>
        </w:rPr>
        <w:t>Old Mutual Life Assurance Company (South Africa) Ltd</w:t>
      </w:r>
      <w:r w:rsidR="00C07E31">
        <w:rPr>
          <w:i/>
        </w:rPr>
        <w:t xml:space="preserve"> </w:t>
      </w:r>
      <w:r w:rsidR="00C07E31" w:rsidRPr="00C07E31">
        <w:rPr>
          <w:iCs/>
        </w:rPr>
        <w:t>2018 (3) SA 405 (SCA) at [8]</w:t>
      </w:r>
      <w:r w:rsidR="00841444">
        <w:rPr>
          <w:iCs/>
        </w:rPr>
        <w:t>:</w:t>
      </w:r>
    </w:p>
    <w:p w14:paraId="304F2B2A" w14:textId="36119AE4" w:rsidR="00841444" w:rsidRDefault="00841444" w:rsidP="00D96C02">
      <w:pPr>
        <w:pStyle w:val="H1"/>
        <w:numPr>
          <w:ilvl w:val="0"/>
          <w:numId w:val="0"/>
        </w:numPr>
        <w:spacing w:after="480"/>
        <w:ind w:left="567"/>
        <w:rPr>
          <w:bCs/>
        </w:rPr>
      </w:pPr>
      <w:r>
        <w:rPr>
          <w:iCs/>
          <w:sz w:val="22"/>
        </w:rPr>
        <w:t>“</w:t>
      </w:r>
      <w:r w:rsidR="00AE2EED">
        <w:rPr>
          <w:iCs/>
          <w:sz w:val="22"/>
        </w:rPr>
        <w:t>The upholding</w:t>
      </w:r>
      <w:r w:rsidR="00F13512">
        <w:rPr>
          <w:iCs/>
          <w:sz w:val="22"/>
        </w:rPr>
        <w:t xml:space="preserve"> of an exception disposes of the pleading against which the exception was taken, not the action or defence. An unsuccessful pleader is given the opportunity to amend the plea</w:t>
      </w:r>
      <w:r w:rsidR="00B1515F">
        <w:rPr>
          <w:iCs/>
          <w:sz w:val="22"/>
        </w:rPr>
        <w:t>, even when the plea has been set aside because it does not disclose a defence</w:t>
      </w:r>
      <w:r w:rsidR="002E3443">
        <w:rPr>
          <w:iCs/>
          <w:sz w:val="22"/>
        </w:rPr>
        <w:t>. The rationale for this seems to be that, although the defence containing the pleading may be bad, th</w:t>
      </w:r>
      <w:r w:rsidR="00335710">
        <w:rPr>
          <w:iCs/>
          <w:sz w:val="22"/>
        </w:rPr>
        <w:t>e</w:t>
      </w:r>
      <w:r w:rsidR="002E3443">
        <w:rPr>
          <w:iCs/>
          <w:sz w:val="22"/>
        </w:rPr>
        <w:t xml:space="preserve"> </w:t>
      </w:r>
      <w:r w:rsidR="002E3443">
        <w:rPr>
          <w:iCs/>
          <w:sz w:val="22"/>
        </w:rPr>
        <w:lastRenderedPageBreak/>
        <w:t>pleading as such continues to exist. Ordinarily</w:t>
      </w:r>
      <w:r w:rsidR="0015607D">
        <w:rPr>
          <w:iCs/>
          <w:sz w:val="22"/>
        </w:rPr>
        <w:t xml:space="preserve"> therefore the court should grant leave to amend and not dispose of the matter. Leave to amend is not a matter of an indulgence; it is a matter of course</w:t>
      </w:r>
      <w:r w:rsidR="00683D40">
        <w:rPr>
          <w:iCs/>
          <w:sz w:val="22"/>
        </w:rPr>
        <w:t xml:space="preserve"> </w:t>
      </w:r>
      <w:r w:rsidR="00037AB0" w:rsidRPr="00037AB0">
        <w:rPr>
          <w:b/>
          <w:bCs/>
          <w:sz w:val="22"/>
          <w:u w:val="single"/>
        </w:rPr>
        <w:t>unless there is a good reason that the pleading cannot be amended</w:t>
      </w:r>
      <w:r w:rsidR="00421925">
        <w:rPr>
          <w:bCs/>
          <w:sz w:val="22"/>
        </w:rPr>
        <w:t>.”</w:t>
      </w:r>
      <w:r w:rsidR="002677A2">
        <w:rPr>
          <w:bCs/>
          <w:sz w:val="22"/>
        </w:rPr>
        <w:t xml:space="preserve"> </w:t>
      </w:r>
      <w:r w:rsidR="002677A2">
        <w:rPr>
          <w:bCs/>
        </w:rPr>
        <w:t>[</w:t>
      </w:r>
      <w:r w:rsidR="007E3997">
        <w:rPr>
          <w:bCs/>
        </w:rPr>
        <w:t>footnote references omitted] [</w:t>
      </w:r>
      <w:r w:rsidR="00C95C76">
        <w:rPr>
          <w:bCs/>
        </w:rPr>
        <w:t>emphasis supplied]</w:t>
      </w:r>
    </w:p>
    <w:p w14:paraId="2AEC9D8A" w14:textId="3CAEBACE" w:rsidR="00C95C76" w:rsidRDefault="002E329F" w:rsidP="00D96C02">
      <w:pPr>
        <w:pStyle w:val="H1"/>
        <w:spacing w:after="480"/>
      </w:pPr>
      <w:r>
        <w:t>I have found</w:t>
      </w:r>
      <w:r w:rsidR="002773E6">
        <w:t>, in respect of the Woodridge action,</w:t>
      </w:r>
      <w:r w:rsidR="00CB2432">
        <w:t xml:space="preserve"> on the facts put up by Eskom, that</w:t>
      </w:r>
      <w:r w:rsidR="002773E6">
        <w:t xml:space="preserve"> rule 13 has no application</w:t>
      </w:r>
      <w:r w:rsidR="00CB2432">
        <w:t xml:space="preserve"> and therefore does not</w:t>
      </w:r>
      <w:r w:rsidR="00D6729E">
        <w:t xml:space="preserve"> </w:t>
      </w:r>
      <w:r w:rsidR="00E047DF">
        <w:t>provide Eskom with a basis for joining the municipality as a party to the action.</w:t>
      </w:r>
      <w:r w:rsidR="006D4BDA">
        <w:t xml:space="preserve"> Throughout the course of this action and Eskom’s various attempts to produce a non-excipiable annexure to its third party notice</w:t>
      </w:r>
      <w:r w:rsidR="000C219A">
        <w:t xml:space="preserve"> the underlying facts have always remained the same</w:t>
      </w:r>
      <w:r w:rsidR="00F737AA">
        <w:t xml:space="preserve"> and </w:t>
      </w:r>
      <w:r w:rsidR="00460880">
        <w:t xml:space="preserve">are </w:t>
      </w:r>
      <w:r w:rsidR="00F737AA">
        <w:t>premised on the occurrence of two fires</w:t>
      </w:r>
      <w:r w:rsidR="006932C5">
        <w:t xml:space="preserve"> commencing</w:t>
      </w:r>
      <w:r w:rsidR="00F737AA">
        <w:t xml:space="preserve"> at different times of the day</w:t>
      </w:r>
      <w:r w:rsidR="00DF4AF0">
        <w:t xml:space="preserve"> at different locations</w:t>
      </w:r>
      <w:r w:rsidR="009136FB">
        <w:t xml:space="preserve"> </w:t>
      </w:r>
      <w:r w:rsidR="00942DDA">
        <w:t>and</w:t>
      </w:r>
      <w:r w:rsidR="009136FB">
        <w:t xml:space="preserve"> which</w:t>
      </w:r>
      <w:r w:rsidR="00942DDA">
        <w:t xml:space="preserve"> were</w:t>
      </w:r>
      <w:r w:rsidR="009136FB">
        <w:t xml:space="preserve"> </w:t>
      </w:r>
      <w:r w:rsidR="00DF4AF0">
        <w:t>separate and distinct</w:t>
      </w:r>
      <w:r w:rsidR="009136FB">
        <w:t xml:space="preserve"> loss-causing events.</w:t>
      </w:r>
      <w:r w:rsidR="0029481E">
        <w:t xml:space="preserve"> Eskom</w:t>
      </w:r>
      <w:r w:rsidR="00F177CA">
        <w:t xml:space="preserve"> denies any involvement in the first fire and does not attribute any involvement </w:t>
      </w:r>
      <w:r w:rsidR="00335710">
        <w:t>to</w:t>
      </w:r>
      <w:r w:rsidR="00F177CA">
        <w:t xml:space="preserve"> the municipality in respect of the second fire.</w:t>
      </w:r>
      <w:r w:rsidR="0048213F">
        <w:t xml:space="preserve"> It is difficult, if not impossible, to conceive that in yet a further attempt</w:t>
      </w:r>
      <w:r w:rsidR="00163228">
        <w:t xml:space="preserve"> to amend its annexure, Eskom would </w:t>
      </w:r>
      <w:r w:rsidR="007A3E9E">
        <w:t xml:space="preserve">be able to </w:t>
      </w:r>
      <w:r w:rsidR="00163228">
        <w:t>postulate a differen</w:t>
      </w:r>
      <w:r w:rsidR="006C4BD9">
        <w:t>t</w:t>
      </w:r>
      <w:r w:rsidR="00163228">
        <w:t xml:space="preserve"> </w:t>
      </w:r>
      <w:r w:rsidR="007A3E9E">
        <w:t>set of facts, which would allow for</w:t>
      </w:r>
      <w:r w:rsidR="007D2600">
        <w:t xml:space="preserve"> rule 13 to apply.</w:t>
      </w:r>
      <w:r w:rsidR="003F05EA">
        <w:t xml:space="preserve"> Any number of attempts</w:t>
      </w:r>
      <w:r w:rsidR="003E769E">
        <w:t xml:space="preserve"> by Eskom on the same underlying facts have not succeeded in making rule 13 applicable.</w:t>
      </w:r>
    </w:p>
    <w:p w14:paraId="166971C8" w14:textId="7C46DF37" w:rsidR="00D23512" w:rsidRDefault="00AA733C" w:rsidP="00D96C02">
      <w:pPr>
        <w:pStyle w:val="H1"/>
        <w:spacing w:after="480"/>
      </w:pPr>
      <w:r>
        <w:t>Thus, in my view, this matter falls within</w:t>
      </w:r>
      <w:r w:rsidR="00575583">
        <w:t xml:space="preserve"> the </w:t>
      </w:r>
      <w:r w:rsidR="00796E61">
        <w:t>scope</w:t>
      </w:r>
      <w:r w:rsidR="00575583">
        <w:t xml:space="preserve"> of the highlighted </w:t>
      </w:r>
      <w:r w:rsidR="00796E61">
        <w:t>qualification</w:t>
      </w:r>
      <w:r w:rsidR="00575583">
        <w:t xml:space="preserve"> in the above-quoted passage</w:t>
      </w:r>
      <w:r w:rsidR="00FD2B89">
        <w:t xml:space="preserve"> from the </w:t>
      </w:r>
      <w:r w:rsidR="0011050A">
        <w:rPr>
          <w:i/>
        </w:rPr>
        <w:t>Ocean Echo</w:t>
      </w:r>
      <w:r w:rsidR="0011050A">
        <w:t xml:space="preserve"> judgment</w:t>
      </w:r>
      <w:r w:rsidR="00DC6F41">
        <w:t xml:space="preserve"> as there is good reason why the annexure cannot be amended</w:t>
      </w:r>
      <w:r w:rsidR="00A46AF1">
        <w:t>.</w:t>
      </w:r>
      <w:r w:rsidR="00415C3A">
        <w:t xml:space="preserve"> I will therefore not make the usual order</w:t>
      </w:r>
      <w:r w:rsidR="00E27830">
        <w:t xml:space="preserve"> which is made when an exception to a pleading is upheld </w:t>
      </w:r>
      <w:r w:rsidR="009B2D75">
        <w:t>a</w:t>
      </w:r>
      <w:r w:rsidR="00E27830">
        <w:t>n</w:t>
      </w:r>
      <w:r w:rsidR="00FD030B">
        <w:t>d</w:t>
      </w:r>
      <w:r w:rsidR="00E27830">
        <w:t xml:space="preserve"> the pleading set aside as a consequence</w:t>
      </w:r>
      <w:r w:rsidR="00B67DF3">
        <w:t>.</w:t>
      </w:r>
    </w:p>
    <w:p w14:paraId="0DA7B1AB" w14:textId="314FCB73" w:rsidR="008B70F0" w:rsidRDefault="00DF2BAC" w:rsidP="00D96C02">
      <w:pPr>
        <w:pStyle w:val="Heading1"/>
        <w:spacing w:after="480"/>
        <w:rPr>
          <w:b/>
          <w:bCs/>
          <w:u w:val="single"/>
        </w:rPr>
      </w:pPr>
      <w:r>
        <w:rPr>
          <w:b/>
          <w:bCs/>
          <w:u w:val="single"/>
        </w:rPr>
        <w:lastRenderedPageBreak/>
        <w:t>Order</w:t>
      </w:r>
    </w:p>
    <w:p w14:paraId="1FEDCF72" w14:textId="2353DECA" w:rsidR="00DF2BAC" w:rsidRDefault="008328A6" w:rsidP="00D96C02">
      <w:pPr>
        <w:pStyle w:val="H1"/>
        <w:spacing w:after="480"/>
      </w:pPr>
      <w:r>
        <w:t>In view of the conclusions I have reached I make the following</w:t>
      </w:r>
      <w:r w:rsidR="00456E59">
        <w:t xml:space="preserve"> order:</w:t>
      </w:r>
    </w:p>
    <w:p w14:paraId="63C935A8" w14:textId="6FFFF104" w:rsidR="00456E59" w:rsidRDefault="000B4157" w:rsidP="00D96C02">
      <w:pPr>
        <w:pStyle w:val="H1"/>
        <w:numPr>
          <w:ilvl w:val="0"/>
          <w:numId w:val="2"/>
        </w:numPr>
        <w:spacing w:after="480"/>
        <w:rPr>
          <w:i/>
          <w:iCs/>
        </w:rPr>
      </w:pPr>
      <w:r>
        <w:rPr>
          <w:i/>
          <w:iCs/>
        </w:rPr>
        <w:t>In respect of case number 919/2020 (</w:t>
      </w:r>
      <w:r w:rsidR="00CA6357">
        <w:rPr>
          <w:i/>
          <w:iCs/>
        </w:rPr>
        <w:t>the MTO action) Eskom’s application</w:t>
      </w:r>
      <w:r w:rsidR="00042141">
        <w:rPr>
          <w:i/>
          <w:iCs/>
        </w:rPr>
        <w:t>, brought on 7 July 2022,</w:t>
      </w:r>
      <w:r w:rsidR="0098374F">
        <w:rPr>
          <w:i/>
          <w:iCs/>
        </w:rPr>
        <w:t xml:space="preserve"> for leave to</w:t>
      </w:r>
      <w:r w:rsidR="005E7CE4">
        <w:rPr>
          <w:i/>
          <w:iCs/>
        </w:rPr>
        <w:t xml:space="preserve"> amend</w:t>
      </w:r>
      <w:r w:rsidR="003B63F2">
        <w:rPr>
          <w:i/>
          <w:iCs/>
        </w:rPr>
        <w:t xml:space="preserve"> the </w:t>
      </w:r>
      <w:r w:rsidR="00551BAF">
        <w:rPr>
          <w:i/>
          <w:iCs/>
        </w:rPr>
        <w:t>annexure to its third party notice</w:t>
      </w:r>
      <w:r w:rsidR="00042141">
        <w:rPr>
          <w:i/>
          <w:iCs/>
        </w:rPr>
        <w:t xml:space="preserve"> is dismissed with costs, such costs </w:t>
      </w:r>
      <w:r w:rsidR="00335710">
        <w:rPr>
          <w:i/>
          <w:iCs/>
        </w:rPr>
        <w:t xml:space="preserve">to </w:t>
      </w:r>
      <w:r w:rsidR="00042141">
        <w:rPr>
          <w:i/>
          <w:iCs/>
        </w:rPr>
        <w:t>include the costs attendant on the employment</w:t>
      </w:r>
      <w:r w:rsidR="00716096">
        <w:rPr>
          <w:i/>
          <w:iCs/>
        </w:rPr>
        <w:t xml:space="preserve"> of two counsel.</w:t>
      </w:r>
    </w:p>
    <w:p w14:paraId="0B611D5B" w14:textId="1641014B" w:rsidR="008A5F1C" w:rsidRDefault="00326AA7" w:rsidP="00D96C02">
      <w:pPr>
        <w:pStyle w:val="H1"/>
        <w:numPr>
          <w:ilvl w:val="0"/>
          <w:numId w:val="2"/>
        </w:numPr>
        <w:spacing w:after="480"/>
        <w:rPr>
          <w:i/>
          <w:iCs/>
        </w:rPr>
      </w:pPr>
      <w:r>
        <w:rPr>
          <w:i/>
          <w:iCs/>
        </w:rPr>
        <w:t>In respect of case number</w:t>
      </w:r>
      <w:r w:rsidR="00794820">
        <w:rPr>
          <w:i/>
          <w:iCs/>
        </w:rPr>
        <w:t xml:space="preserve"> 926/2020 (the Woodridge action)</w:t>
      </w:r>
      <w:r w:rsidR="00305EBE">
        <w:rPr>
          <w:i/>
          <w:iCs/>
        </w:rPr>
        <w:t>:</w:t>
      </w:r>
    </w:p>
    <w:p w14:paraId="2B578D3D" w14:textId="5ED62928" w:rsidR="00716096" w:rsidRDefault="00794820" w:rsidP="00D96C02">
      <w:pPr>
        <w:pStyle w:val="H1"/>
        <w:numPr>
          <w:ilvl w:val="1"/>
          <w:numId w:val="2"/>
        </w:numPr>
        <w:spacing w:after="480"/>
        <w:rPr>
          <w:i/>
          <w:iCs/>
        </w:rPr>
      </w:pPr>
      <w:r w:rsidRPr="008A5F1C">
        <w:rPr>
          <w:i/>
          <w:iCs/>
        </w:rPr>
        <w:t>the Nelson Mandela Bay</w:t>
      </w:r>
      <w:r w:rsidR="00AE0940" w:rsidRPr="008A5F1C">
        <w:rPr>
          <w:i/>
          <w:iCs/>
        </w:rPr>
        <w:t xml:space="preserve"> Municipality’s exception</w:t>
      </w:r>
      <w:r w:rsidR="00841F78">
        <w:rPr>
          <w:i/>
          <w:iCs/>
        </w:rPr>
        <w:t xml:space="preserve"> </w:t>
      </w:r>
      <w:r w:rsidR="002E0AB7">
        <w:rPr>
          <w:i/>
          <w:iCs/>
        </w:rPr>
        <w:t>to Eskom’s</w:t>
      </w:r>
      <w:r w:rsidR="00252856">
        <w:rPr>
          <w:i/>
          <w:iCs/>
        </w:rPr>
        <w:t xml:space="preserve"> amended</w:t>
      </w:r>
      <w:r w:rsidR="002E0AB7">
        <w:rPr>
          <w:i/>
          <w:iCs/>
        </w:rPr>
        <w:t xml:space="preserve"> </w:t>
      </w:r>
      <w:r w:rsidR="00574BB3">
        <w:rPr>
          <w:i/>
          <w:iCs/>
        </w:rPr>
        <w:t>annexure</w:t>
      </w:r>
      <w:r w:rsidR="002E0AB7">
        <w:rPr>
          <w:i/>
          <w:iCs/>
        </w:rPr>
        <w:t xml:space="preserve"> to its third party notice</w:t>
      </w:r>
      <w:r w:rsidR="00574BB3">
        <w:rPr>
          <w:i/>
          <w:iCs/>
        </w:rPr>
        <w:t xml:space="preserve">, </w:t>
      </w:r>
      <w:r w:rsidR="000F6BDB">
        <w:rPr>
          <w:i/>
          <w:iCs/>
        </w:rPr>
        <w:t xml:space="preserve">which amended annexure was </w:t>
      </w:r>
      <w:r w:rsidR="00574BB3">
        <w:rPr>
          <w:i/>
          <w:iCs/>
        </w:rPr>
        <w:t>file</w:t>
      </w:r>
      <w:r w:rsidR="00252856">
        <w:rPr>
          <w:i/>
          <w:iCs/>
        </w:rPr>
        <w:t xml:space="preserve">d </w:t>
      </w:r>
      <w:r w:rsidR="00574BB3">
        <w:rPr>
          <w:i/>
          <w:iCs/>
        </w:rPr>
        <w:t>of record on 18 November 2022</w:t>
      </w:r>
      <w:r w:rsidR="00C12137">
        <w:rPr>
          <w:i/>
          <w:iCs/>
        </w:rPr>
        <w:t xml:space="preserve">, is upheld; </w:t>
      </w:r>
    </w:p>
    <w:p w14:paraId="2EE4EE33" w14:textId="670D32AE" w:rsidR="00C12137" w:rsidRDefault="00A856A7" w:rsidP="00D96C02">
      <w:pPr>
        <w:pStyle w:val="H1"/>
        <w:numPr>
          <w:ilvl w:val="1"/>
          <w:numId w:val="2"/>
        </w:numPr>
        <w:spacing w:after="480"/>
        <w:rPr>
          <w:i/>
          <w:iCs/>
        </w:rPr>
      </w:pPr>
      <w:r>
        <w:rPr>
          <w:i/>
          <w:iCs/>
        </w:rPr>
        <w:t>Eskom’s third party notice</w:t>
      </w:r>
      <w:r w:rsidR="00075998">
        <w:rPr>
          <w:i/>
          <w:iCs/>
        </w:rPr>
        <w:t xml:space="preserve"> and the</w:t>
      </w:r>
      <w:r w:rsidR="00174B24">
        <w:rPr>
          <w:i/>
          <w:iCs/>
        </w:rPr>
        <w:t xml:space="preserve"> above-mentioned</w:t>
      </w:r>
      <w:r w:rsidR="00075998">
        <w:rPr>
          <w:i/>
          <w:iCs/>
        </w:rPr>
        <w:t xml:space="preserve"> annexure</w:t>
      </w:r>
      <w:r w:rsidR="00174B24">
        <w:rPr>
          <w:i/>
          <w:iCs/>
        </w:rPr>
        <w:t xml:space="preserve"> thereto are set aside; and</w:t>
      </w:r>
    </w:p>
    <w:p w14:paraId="7ED208DC" w14:textId="46F29F5E" w:rsidR="00174B24" w:rsidRPr="008A5F1C" w:rsidRDefault="00C066F2" w:rsidP="00D96C02">
      <w:pPr>
        <w:pStyle w:val="H1"/>
        <w:numPr>
          <w:ilvl w:val="1"/>
          <w:numId w:val="2"/>
        </w:numPr>
        <w:spacing w:after="480"/>
        <w:rPr>
          <w:i/>
          <w:iCs/>
        </w:rPr>
      </w:pPr>
      <w:r>
        <w:rPr>
          <w:i/>
          <w:iCs/>
        </w:rPr>
        <w:t>Eskom is directed</w:t>
      </w:r>
      <w:r w:rsidR="00D060FD">
        <w:rPr>
          <w:i/>
          <w:iCs/>
        </w:rPr>
        <w:t xml:space="preserve"> to pay the costs of the</w:t>
      </w:r>
      <w:r w:rsidR="001B6337">
        <w:rPr>
          <w:i/>
          <w:iCs/>
        </w:rPr>
        <w:t xml:space="preserve"> Nelson Mandela Bay Municipality, including the costs attendant on</w:t>
      </w:r>
      <w:r w:rsidR="00A713A6">
        <w:rPr>
          <w:i/>
          <w:iCs/>
        </w:rPr>
        <w:t xml:space="preserve"> the employment of two counsel.</w:t>
      </w:r>
    </w:p>
    <w:p w14:paraId="149E05F2" w14:textId="77777777" w:rsidR="00DF30AB" w:rsidRPr="00F41FA0" w:rsidRDefault="00DF30AB" w:rsidP="006B137D">
      <w:pPr>
        <w:pStyle w:val="H1"/>
        <w:numPr>
          <w:ilvl w:val="0"/>
          <w:numId w:val="0"/>
        </w:numPr>
        <w:spacing w:after="480" w:line="240" w:lineRule="auto"/>
        <w:ind w:left="567"/>
      </w:pPr>
    </w:p>
    <w:p w14:paraId="6CB681F6" w14:textId="77777777" w:rsidR="002019A9" w:rsidRPr="00F41A9F" w:rsidRDefault="002019A9" w:rsidP="006B137D">
      <w:pPr>
        <w:pStyle w:val="H1"/>
        <w:numPr>
          <w:ilvl w:val="0"/>
          <w:numId w:val="0"/>
        </w:numPr>
        <w:spacing w:after="480" w:line="240" w:lineRule="auto"/>
      </w:pPr>
    </w:p>
    <w:p w14:paraId="1D1DC6BA" w14:textId="13207906" w:rsidR="005C7D79" w:rsidRPr="000160FF" w:rsidRDefault="005C7D79" w:rsidP="008107AC">
      <w:pPr>
        <w:spacing w:after="240"/>
        <w:ind w:right="567"/>
        <w:rPr>
          <w:rFonts w:cs="Tahoma"/>
          <w:b/>
          <w:szCs w:val="24"/>
        </w:rPr>
      </w:pPr>
      <w:r w:rsidRPr="000160FF">
        <w:rPr>
          <w:rFonts w:cs="Tahoma"/>
          <w:b/>
          <w:szCs w:val="24"/>
        </w:rPr>
        <w:t>O H RONAASEN</w:t>
      </w:r>
    </w:p>
    <w:p w14:paraId="6761CD1D" w14:textId="5C05534D" w:rsidR="005C7D79" w:rsidRDefault="005C7D79" w:rsidP="006B137D">
      <w:pPr>
        <w:spacing w:after="480" w:line="360" w:lineRule="auto"/>
        <w:ind w:right="-35"/>
        <w:rPr>
          <w:rFonts w:cs="Tahoma"/>
          <w:b/>
          <w:szCs w:val="24"/>
        </w:rPr>
      </w:pPr>
      <w:r w:rsidRPr="000160FF">
        <w:rPr>
          <w:rFonts w:cs="Tahoma"/>
          <w:b/>
          <w:szCs w:val="24"/>
        </w:rPr>
        <w:t>ACTING JUDGE OF THE HIGH COURT</w:t>
      </w:r>
    </w:p>
    <w:p w14:paraId="3771522E" w14:textId="47C7E149" w:rsidR="008107AC" w:rsidRDefault="00335710" w:rsidP="008107AC">
      <w:pPr>
        <w:spacing w:after="120"/>
        <w:ind w:right="567"/>
        <w:rPr>
          <w:rFonts w:cs="Tahoma"/>
          <w:b/>
          <w:szCs w:val="24"/>
        </w:rPr>
      </w:pPr>
      <w:r>
        <w:rPr>
          <w:rFonts w:cs="Tahoma"/>
          <w:b/>
          <w:szCs w:val="24"/>
        </w:rPr>
        <w:lastRenderedPageBreak/>
        <w:t xml:space="preserve">The </w:t>
      </w:r>
      <w:r w:rsidR="008107AC">
        <w:rPr>
          <w:rFonts w:cs="Tahoma"/>
          <w:b/>
          <w:szCs w:val="24"/>
        </w:rPr>
        <w:t>Municipality’s representatives:</w:t>
      </w:r>
      <w:r w:rsidR="008107AC">
        <w:rPr>
          <w:rFonts w:cs="Tahoma"/>
          <w:b/>
          <w:szCs w:val="24"/>
        </w:rPr>
        <w:tab/>
        <w:t xml:space="preserve">EAS Ford SC and L Ntsepe </w:t>
      </w:r>
    </w:p>
    <w:p w14:paraId="367DEBA8" w14:textId="08ADB74D" w:rsidR="008107AC" w:rsidRDefault="008107AC" w:rsidP="008107AC">
      <w:pPr>
        <w:spacing w:after="120"/>
        <w:ind w:right="567"/>
        <w:rPr>
          <w:rFonts w:cs="Tahoma"/>
          <w:b/>
          <w:szCs w:val="24"/>
        </w:rPr>
      </w:pPr>
      <w:r>
        <w:rPr>
          <w:rFonts w:cs="Tahoma"/>
          <w:b/>
          <w:szCs w:val="24"/>
        </w:rPr>
        <w:tab/>
      </w:r>
      <w:r>
        <w:rPr>
          <w:rFonts w:cs="Tahoma"/>
          <w:b/>
          <w:szCs w:val="24"/>
        </w:rPr>
        <w:tab/>
      </w:r>
      <w:r>
        <w:rPr>
          <w:rFonts w:cs="Tahoma"/>
          <w:b/>
          <w:szCs w:val="24"/>
        </w:rPr>
        <w:tab/>
      </w:r>
      <w:r>
        <w:rPr>
          <w:rFonts w:cs="Tahoma"/>
          <w:b/>
          <w:szCs w:val="24"/>
        </w:rPr>
        <w:tab/>
      </w:r>
      <w:r>
        <w:rPr>
          <w:rFonts w:cs="Tahoma"/>
          <w:b/>
          <w:szCs w:val="24"/>
        </w:rPr>
        <w:tab/>
      </w:r>
      <w:r>
        <w:rPr>
          <w:rFonts w:cs="Tahoma"/>
          <w:b/>
          <w:szCs w:val="24"/>
        </w:rPr>
        <w:tab/>
        <w:t xml:space="preserve">Instructed by BNI Attorneys </w:t>
      </w:r>
    </w:p>
    <w:p w14:paraId="453D4642" w14:textId="77777777" w:rsidR="008107AC" w:rsidRDefault="008107AC" w:rsidP="008107AC">
      <w:pPr>
        <w:spacing w:after="120"/>
        <w:ind w:right="567"/>
        <w:rPr>
          <w:rFonts w:cs="Tahoma"/>
          <w:b/>
          <w:szCs w:val="24"/>
        </w:rPr>
      </w:pPr>
    </w:p>
    <w:p w14:paraId="247A10F6" w14:textId="31A40BB0" w:rsidR="008107AC" w:rsidRDefault="008107AC" w:rsidP="008107AC">
      <w:pPr>
        <w:spacing w:after="120"/>
        <w:ind w:right="567"/>
        <w:rPr>
          <w:rFonts w:cs="Tahoma"/>
          <w:b/>
          <w:szCs w:val="24"/>
        </w:rPr>
      </w:pPr>
      <w:r>
        <w:rPr>
          <w:rFonts w:cs="Tahoma"/>
          <w:b/>
          <w:szCs w:val="24"/>
        </w:rPr>
        <w:t>Eskom’s representatives:</w:t>
      </w:r>
      <w:r>
        <w:rPr>
          <w:rFonts w:cs="Tahoma"/>
          <w:b/>
          <w:szCs w:val="24"/>
        </w:rPr>
        <w:tab/>
      </w:r>
      <w:r>
        <w:rPr>
          <w:rFonts w:cs="Tahoma"/>
          <w:b/>
          <w:szCs w:val="24"/>
        </w:rPr>
        <w:tab/>
        <w:t xml:space="preserve">TJ Bruinders SC and N Lewis </w:t>
      </w:r>
    </w:p>
    <w:p w14:paraId="129BA0B2" w14:textId="1B7037EE" w:rsidR="008107AC" w:rsidRDefault="008107AC" w:rsidP="006B137D">
      <w:pPr>
        <w:spacing w:after="120"/>
        <w:ind w:right="-34"/>
        <w:rPr>
          <w:rFonts w:cs="Tahoma"/>
          <w:b/>
          <w:szCs w:val="24"/>
        </w:rPr>
      </w:pPr>
      <w:r>
        <w:rPr>
          <w:rFonts w:cs="Tahoma"/>
          <w:b/>
          <w:szCs w:val="24"/>
        </w:rPr>
        <w:tab/>
      </w:r>
      <w:r>
        <w:rPr>
          <w:rFonts w:cs="Tahoma"/>
          <w:b/>
          <w:szCs w:val="24"/>
        </w:rPr>
        <w:tab/>
      </w:r>
      <w:r>
        <w:rPr>
          <w:rFonts w:cs="Tahoma"/>
          <w:b/>
          <w:szCs w:val="24"/>
        </w:rPr>
        <w:tab/>
      </w:r>
      <w:r>
        <w:rPr>
          <w:rFonts w:cs="Tahoma"/>
          <w:b/>
          <w:szCs w:val="24"/>
        </w:rPr>
        <w:tab/>
      </w:r>
      <w:r>
        <w:rPr>
          <w:rFonts w:cs="Tahoma"/>
          <w:b/>
          <w:szCs w:val="24"/>
        </w:rPr>
        <w:tab/>
      </w:r>
      <w:r>
        <w:rPr>
          <w:rFonts w:cs="Tahoma"/>
          <w:b/>
          <w:szCs w:val="24"/>
        </w:rPr>
        <w:tab/>
        <w:t>Instructed by Norton Rose Fullbright Inc.</w:t>
      </w:r>
    </w:p>
    <w:p w14:paraId="67CF819B" w14:textId="208C3297" w:rsidR="00E36A73" w:rsidRPr="000160FF" w:rsidRDefault="008107AC" w:rsidP="00D96C02">
      <w:pPr>
        <w:spacing w:after="480" w:line="360" w:lineRule="auto"/>
        <w:ind w:right="567"/>
        <w:rPr>
          <w:rFonts w:cs="Tahoma"/>
          <w:szCs w:val="24"/>
        </w:rPr>
      </w:pPr>
      <w:r>
        <w:rPr>
          <w:rFonts w:cs="Tahoma"/>
          <w:b/>
          <w:szCs w:val="24"/>
        </w:rPr>
        <w:tab/>
      </w:r>
      <w:r>
        <w:rPr>
          <w:rFonts w:cs="Tahoma"/>
          <w:b/>
          <w:szCs w:val="24"/>
        </w:rPr>
        <w:tab/>
      </w:r>
      <w:r>
        <w:rPr>
          <w:rFonts w:cs="Tahoma"/>
          <w:b/>
          <w:szCs w:val="24"/>
        </w:rPr>
        <w:tab/>
      </w:r>
      <w:r>
        <w:rPr>
          <w:rFonts w:cs="Tahoma"/>
          <w:b/>
          <w:szCs w:val="24"/>
        </w:rPr>
        <w:tab/>
      </w:r>
      <w:r>
        <w:rPr>
          <w:rFonts w:cs="Tahoma"/>
          <w:b/>
          <w:szCs w:val="24"/>
        </w:rPr>
        <w:tab/>
      </w:r>
      <w:r>
        <w:rPr>
          <w:rFonts w:cs="Tahoma"/>
          <w:b/>
          <w:szCs w:val="24"/>
        </w:rPr>
        <w:tab/>
        <w:t xml:space="preserve">c/o Boqwana Burns Inc. </w:t>
      </w:r>
    </w:p>
    <w:sectPr w:rsidR="00E36A73" w:rsidRPr="000160FF" w:rsidSect="00D96C02">
      <w:headerReference w:type="default" r:id="rId8"/>
      <w:pgSz w:w="11906" w:h="16838" w:code="9"/>
      <w:pgMar w:top="851" w:right="1080" w:bottom="1276"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2D2D2" w14:textId="77777777" w:rsidR="00AA54F8" w:rsidRDefault="00AA54F8" w:rsidP="000B191D">
      <w:r>
        <w:separator/>
      </w:r>
    </w:p>
  </w:endnote>
  <w:endnote w:type="continuationSeparator" w:id="0">
    <w:p w14:paraId="5897F96E" w14:textId="77777777" w:rsidR="00AA54F8" w:rsidRDefault="00AA54F8" w:rsidP="000B191D">
      <w:r>
        <w:continuationSeparator/>
      </w:r>
    </w:p>
  </w:endnote>
  <w:endnote w:type="continuationNotice" w:id="1">
    <w:p w14:paraId="5C89DEC0" w14:textId="77777777" w:rsidR="00AA54F8" w:rsidRDefault="00AA5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0AFA8" w14:textId="77777777" w:rsidR="00AA54F8" w:rsidRDefault="00AA54F8" w:rsidP="000B191D">
      <w:r>
        <w:separator/>
      </w:r>
    </w:p>
  </w:footnote>
  <w:footnote w:type="continuationSeparator" w:id="0">
    <w:p w14:paraId="19FE132B" w14:textId="77777777" w:rsidR="00AA54F8" w:rsidRDefault="00AA54F8" w:rsidP="000B191D">
      <w:r>
        <w:continuationSeparator/>
      </w:r>
    </w:p>
  </w:footnote>
  <w:footnote w:type="continuationNotice" w:id="1">
    <w:p w14:paraId="730F60DA" w14:textId="77777777" w:rsidR="00AA54F8" w:rsidRDefault="00AA54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404684"/>
      <w:docPartObj>
        <w:docPartGallery w:val="Page Numbers (Top of Page)"/>
        <w:docPartUnique/>
      </w:docPartObj>
    </w:sdtPr>
    <w:sdtEndPr>
      <w:rPr>
        <w:noProof/>
      </w:rPr>
    </w:sdtEndPr>
    <w:sdtContent>
      <w:p w14:paraId="7F0D38B9" w14:textId="51CBA73C" w:rsidR="005C7D79" w:rsidRDefault="005C7D79">
        <w:pPr>
          <w:pStyle w:val="Header"/>
          <w:jc w:val="center"/>
        </w:pPr>
        <w:r>
          <w:fldChar w:fldCharType="begin"/>
        </w:r>
        <w:r>
          <w:instrText xml:space="preserve"> PAGE   \* MERGEFORMAT </w:instrText>
        </w:r>
        <w:r>
          <w:fldChar w:fldCharType="separate"/>
        </w:r>
        <w:r w:rsidR="003A777E">
          <w:rPr>
            <w:noProof/>
          </w:rPr>
          <w:t>20</w:t>
        </w:r>
        <w:r>
          <w:rPr>
            <w:noProof/>
          </w:rPr>
          <w:fldChar w:fldCharType="end"/>
        </w:r>
      </w:p>
    </w:sdtContent>
  </w:sdt>
  <w:p w14:paraId="217B444A" w14:textId="77777777" w:rsidR="003C2BF4" w:rsidRDefault="003C2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B3D3C"/>
    <w:multiLevelType w:val="multilevel"/>
    <w:tmpl w:val="5BB827CA"/>
    <w:lvl w:ilvl="0">
      <w:start w:val="1"/>
      <w:numFmt w:val="decimal"/>
      <w:pStyle w:val="H1"/>
      <w:lvlText w:val="[%1]"/>
      <w:lvlJc w:val="left"/>
      <w:pPr>
        <w:ind w:left="567" w:hanging="567"/>
      </w:pPr>
      <w:rPr>
        <w:rFonts w:hint="default"/>
      </w:rPr>
    </w:lvl>
    <w:lvl w:ilvl="1">
      <w:start w:val="1"/>
      <w:numFmt w:val="decimal"/>
      <w:pStyle w:val="H2"/>
      <w:lvlText w:val="%1.%2."/>
      <w:lvlJc w:val="left"/>
      <w:pPr>
        <w:ind w:left="1418" w:hanging="851"/>
      </w:pPr>
      <w:rPr>
        <w:rFonts w:hint="default"/>
      </w:rPr>
    </w:lvl>
    <w:lvl w:ilvl="2">
      <w:start w:val="1"/>
      <w:numFmt w:val="decimal"/>
      <w:pStyle w:val="H3"/>
      <w:lvlText w:val="%1.%2.%3."/>
      <w:lvlJc w:val="left"/>
      <w:pPr>
        <w:tabs>
          <w:tab w:val="num" w:pos="1418"/>
        </w:tabs>
        <w:ind w:left="2268" w:hanging="850"/>
      </w:pPr>
      <w:rPr>
        <w:rFonts w:hint="default"/>
      </w:rPr>
    </w:lvl>
    <w:lvl w:ilvl="3">
      <w:start w:val="1"/>
      <w:numFmt w:val="decimal"/>
      <w:pStyle w:val="H4"/>
      <w:lvlText w:val="%1.%2.%3.%4."/>
      <w:lvlJc w:val="left"/>
      <w:pPr>
        <w:tabs>
          <w:tab w:val="num" w:pos="2268"/>
        </w:tabs>
        <w:ind w:left="3119"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711A4662"/>
    <w:multiLevelType w:val="multilevel"/>
    <w:tmpl w:val="F5E2A61E"/>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447" w:hanging="144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5247" w:hanging="2160"/>
      </w:pPr>
      <w:rPr>
        <w:rFonts w:hint="default"/>
      </w:rPr>
    </w:lvl>
    <w:lvl w:ilvl="8">
      <w:start w:val="1"/>
      <w:numFmt w:val="decimal"/>
      <w:isLgl/>
      <w:lvlText w:val="%1.%2.%3.%4.%5.%6.%7.%8.%9"/>
      <w:lvlJc w:val="left"/>
      <w:pPr>
        <w:ind w:left="5607"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D5"/>
    <w:rsid w:val="000010DD"/>
    <w:rsid w:val="00002193"/>
    <w:rsid w:val="000051E9"/>
    <w:rsid w:val="00005F9F"/>
    <w:rsid w:val="00006738"/>
    <w:rsid w:val="00006D02"/>
    <w:rsid w:val="00010DA1"/>
    <w:rsid w:val="00013518"/>
    <w:rsid w:val="0001597A"/>
    <w:rsid w:val="000160FF"/>
    <w:rsid w:val="000170ED"/>
    <w:rsid w:val="000232E4"/>
    <w:rsid w:val="000233EB"/>
    <w:rsid w:val="00024C8E"/>
    <w:rsid w:val="000315FC"/>
    <w:rsid w:val="00034CF5"/>
    <w:rsid w:val="00034E5D"/>
    <w:rsid w:val="0003513F"/>
    <w:rsid w:val="00037AB0"/>
    <w:rsid w:val="000405A1"/>
    <w:rsid w:val="00042141"/>
    <w:rsid w:val="00044941"/>
    <w:rsid w:val="00047517"/>
    <w:rsid w:val="00047BFB"/>
    <w:rsid w:val="00050FE8"/>
    <w:rsid w:val="00054C34"/>
    <w:rsid w:val="0005512D"/>
    <w:rsid w:val="00055865"/>
    <w:rsid w:val="00061632"/>
    <w:rsid w:val="000639CD"/>
    <w:rsid w:val="00067CCC"/>
    <w:rsid w:val="000710CE"/>
    <w:rsid w:val="00071845"/>
    <w:rsid w:val="00075998"/>
    <w:rsid w:val="00076753"/>
    <w:rsid w:val="00077E8E"/>
    <w:rsid w:val="000820B4"/>
    <w:rsid w:val="000820BB"/>
    <w:rsid w:val="00082792"/>
    <w:rsid w:val="00084A86"/>
    <w:rsid w:val="00085872"/>
    <w:rsid w:val="000910A4"/>
    <w:rsid w:val="000913FB"/>
    <w:rsid w:val="000918AC"/>
    <w:rsid w:val="000930EE"/>
    <w:rsid w:val="000A04BB"/>
    <w:rsid w:val="000A115E"/>
    <w:rsid w:val="000A1432"/>
    <w:rsid w:val="000A3833"/>
    <w:rsid w:val="000A5EB3"/>
    <w:rsid w:val="000B191D"/>
    <w:rsid w:val="000B2AD7"/>
    <w:rsid w:val="000B4157"/>
    <w:rsid w:val="000B6D26"/>
    <w:rsid w:val="000C00CD"/>
    <w:rsid w:val="000C1F0C"/>
    <w:rsid w:val="000C2152"/>
    <w:rsid w:val="000C219A"/>
    <w:rsid w:val="000C2800"/>
    <w:rsid w:val="000D028F"/>
    <w:rsid w:val="000D2240"/>
    <w:rsid w:val="000D282E"/>
    <w:rsid w:val="000D284B"/>
    <w:rsid w:val="000D5349"/>
    <w:rsid w:val="000D550B"/>
    <w:rsid w:val="000D6188"/>
    <w:rsid w:val="000D779A"/>
    <w:rsid w:val="000E0CE5"/>
    <w:rsid w:val="000E2204"/>
    <w:rsid w:val="000E385D"/>
    <w:rsid w:val="000E7485"/>
    <w:rsid w:val="000F2F43"/>
    <w:rsid w:val="000F36E9"/>
    <w:rsid w:val="000F6BDB"/>
    <w:rsid w:val="00100EE5"/>
    <w:rsid w:val="001046DE"/>
    <w:rsid w:val="00105594"/>
    <w:rsid w:val="00105F1D"/>
    <w:rsid w:val="00106BA3"/>
    <w:rsid w:val="00106DBE"/>
    <w:rsid w:val="0011050A"/>
    <w:rsid w:val="001111CD"/>
    <w:rsid w:val="001126C6"/>
    <w:rsid w:val="00125982"/>
    <w:rsid w:val="0013361A"/>
    <w:rsid w:val="00133987"/>
    <w:rsid w:val="00135B75"/>
    <w:rsid w:val="00135E5E"/>
    <w:rsid w:val="00140B21"/>
    <w:rsid w:val="00140E16"/>
    <w:rsid w:val="00141165"/>
    <w:rsid w:val="00144FE6"/>
    <w:rsid w:val="0014667E"/>
    <w:rsid w:val="00146C47"/>
    <w:rsid w:val="00147791"/>
    <w:rsid w:val="00150620"/>
    <w:rsid w:val="00151030"/>
    <w:rsid w:val="00154C19"/>
    <w:rsid w:val="00155DBE"/>
    <w:rsid w:val="0015607D"/>
    <w:rsid w:val="0015676F"/>
    <w:rsid w:val="00157553"/>
    <w:rsid w:val="00160A4B"/>
    <w:rsid w:val="00162CB4"/>
    <w:rsid w:val="00162EE4"/>
    <w:rsid w:val="00163228"/>
    <w:rsid w:val="00164378"/>
    <w:rsid w:val="00164ED8"/>
    <w:rsid w:val="001658A3"/>
    <w:rsid w:val="0017002C"/>
    <w:rsid w:val="00174B24"/>
    <w:rsid w:val="00176E75"/>
    <w:rsid w:val="0017711B"/>
    <w:rsid w:val="001802B3"/>
    <w:rsid w:val="001810D2"/>
    <w:rsid w:val="00181A20"/>
    <w:rsid w:val="00181B48"/>
    <w:rsid w:val="00186404"/>
    <w:rsid w:val="001867FC"/>
    <w:rsid w:val="00186B21"/>
    <w:rsid w:val="00187A6D"/>
    <w:rsid w:val="001927F9"/>
    <w:rsid w:val="001945ED"/>
    <w:rsid w:val="00195633"/>
    <w:rsid w:val="00195C2B"/>
    <w:rsid w:val="00197E1C"/>
    <w:rsid w:val="001A1FE9"/>
    <w:rsid w:val="001A274B"/>
    <w:rsid w:val="001A4284"/>
    <w:rsid w:val="001A4AB9"/>
    <w:rsid w:val="001A6054"/>
    <w:rsid w:val="001A7364"/>
    <w:rsid w:val="001B0777"/>
    <w:rsid w:val="001B0EB5"/>
    <w:rsid w:val="001B2C30"/>
    <w:rsid w:val="001B2F68"/>
    <w:rsid w:val="001B373A"/>
    <w:rsid w:val="001B625B"/>
    <w:rsid w:val="001B6337"/>
    <w:rsid w:val="001B6D53"/>
    <w:rsid w:val="001C29FB"/>
    <w:rsid w:val="001C5866"/>
    <w:rsid w:val="001C5EA3"/>
    <w:rsid w:val="001C74C6"/>
    <w:rsid w:val="001D01E4"/>
    <w:rsid w:val="001D1909"/>
    <w:rsid w:val="001D2DC1"/>
    <w:rsid w:val="001D56FC"/>
    <w:rsid w:val="001E0B41"/>
    <w:rsid w:val="001E733D"/>
    <w:rsid w:val="001E74F4"/>
    <w:rsid w:val="001F02A4"/>
    <w:rsid w:val="001F0B09"/>
    <w:rsid w:val="001F1EC8"/>
    <w:rsid w:val="001F5B6F"/>
    <w:rsid w:val="00200441"/>
    <w:rsid w:val="00200840"/>
    <w:rsid w:val="002018BB"/>
    <w:rsid w:val="002019A9"/>
    <w:rsid w:val="00202CD0"/>
    <w:rsid w:val="0020425E"/>
    <w:rsid w:val="00206AE5"/>
    <w:rsid w:val="00207C93"/>
    <w:rsid w:val="00212E1F"/>
    <w:rsid w:val="00213D19"/>
    <w:rsid w:val="002148C3"/>
    <w:rsid w:val="0021493C"/>
    <w:rsid w:val="00215195"/>
    <w:rsid w:val="00217542"/>
    <w:rsid w:val="0022013A"/>
    <w:rsid w:val="00223735"/>
    <w:rsid w:val="00224771"/>
    <w:rsid w:val="00231F74"/>
    <w:rsid w:val="0023545F"/>
    <w:rsid w:val="00236A95"/>
    <w:rsid w:val="00240692"/>
    <w:rsid w:val="00241A13"/>
    <w:rsid w:val="00243371"/>
    <w:rsid w:val="002506E0"/>
    <w:rsid w:val="00252206"/>
    <w:rsid w:val="00252856"/>
    <w:rsid w:val="002544C8"/>
    <w:rsid w:val="00254C08"/>
    <w:rsid w:val="0025577A"/>
    <w:rsid w:val="00255980"/>
    <w:rsid w:val="0025604B"/>
    <w:rsid w:val="00256732"/>
    <w:rsid w:val="00260A10"/>
    <w:rsid w:val="00260AC0"/>
    <w:rsid w:val="00263273"/>
    <w:rsid w:val="0026454A"/>
    <w:rsid w:val="00266CDB"/>
    <w:rsid w:val="002677A2"/>
    <w:rsid w:val="002711A6"/>
    <w:rsid w:val="00273090"/>
    <w:rsid w:val="00274F61"/>
    <w:rsid w:val="002758BE"/>
    <w:rsid w:val="002773E6"/>
    <w:rsid w:val="00277E48"/>
    <w:rsid w:val="002833C7"/>
    <w:rsid w:val="0029481E"/>
    <w:rsid w:val="002967B1"/>
    <w:rsid w:val="00296C34"/>
    <w:rsid w:val="002A27FD"/>
    <w:rsid w:val="002A3B17"/>
    <w:rsid w:val="002A4CD0"/>
    <w:rsid w:val="002A6BF7"/>
    <w:rsid w:val="002A78A4"/>
    <w:rsid w:val="002B2488"/>
    <w:rsid w:val="002B3080"/>
    <w:rsid w:val="002B3108"/>
    <w:rsid w:val="002B446F"/>
    <w:rsid w:val="002B68C8"/>
    <w:rsid w:val="002C0832"/>
    <w:rsid w:val="002C10B1"/>
    <w:rsid w:val="002C135B"/>
    <w:rsid w:val="002C1C10"/>
    <w:rsid w:val="002D0571"/>
    <w:rsid w:val="002D2825"/>
    <w:rsid w:val="002D3075"/>
    <w:rsid w:val="002D3DB3"/>
    <w:rsid w:val="002E0AB7"/>
    <w:rsid w:val="002E0B93"/>
    <w:rsid w:val="002E329F"/>
    <w:rsid w:val="002E3443"/>
    <w:rsid w:val="002E381B"/>
    <w:rsid w:val="002E5648"/>
    <w:rsid w:val="002E5E14"/>
    <w:rsid w:val="002E5F58"/>
    <w:rsid w:val="002E69EB"/>
    <w:rsid w:val="002F1004"/>
    <w:rsid w:val="002F294F"/>
    <w:rsid w:val="002F3831"/>
    <w:rsid w:val="002F5BE0"/>
    <w:rsid w:val="002F66A1"/>
    <w:rsid w:val="002F70AF"/>
    <w:rsid w:val="003014A2"/>
    <w:rsid w:val="0030460F"/>
    <w:rsid w:val="003054F7"/>
    <w:rsid w:val="00305EBE"/>
    <w:rsid w:val="00306243"/>
    <w:rsid w:val="00306D79"/>
    <w:rsid w:val="00306FC9"/>
    <w:rsid w:val="00307542"/>
    <w:rsid w:val="00307A50"/>
    <w:rsid w:val="00310993"/>
    <w:rsid w:val="003137E6"/>
    <w:rsid w:val="00314D6F"/>
    <w:rsid w:val="003151EE"/>
    <w:rsid w:val="00315487"/>
    <w:rsid w:val="0031650B"/>
    <w:rsid w:val="003167D2"/>
    <w:rsid w:val="003214F5"/>
    <w:rsid w:val="00321E72"/>
    <w:rsid w:val="00322FA3"/>
    <w:rsid w:val="00323F77"/>
    <w:rsid w:val="00324122"/>
    <w:rsid w:val="00324CF7"/>
    <w:rsid w:val="00325C16"/>
    <w:rsid w:val="00326AA7"/>
    <w:rsid w:val="00326CBA"/>
    <w:rsid w:val="00330EB0"/>
    <w:rsid w:val="00331653"/>
    <w:rsid w:val="00333417"/>
    <w:rsid w:val="0033357E"/>
    <w:rsid w:val="00335710"/>
    <w:rsid w:val="003372CD"/>
    <w:rsid w:val="00342D37"/>
    <w:rsid w:val="00352C42"/>
    <w:rsid w:val="00353C06"/>
    <w:rsid w:val="00357442"/>
    <w:rsid w:val="00361CA4"/>
    <w:rsid w:val="00363A3F"/>
    <w:rsid w:val="003652C1"/>
    <w:rsid w:val="003662CF"/>
    <w:rsid w:val="00366887"/>
    <w:rsid w:val="00372439"/>
    <w:rsid w:val="003728E6"/>
    <w:rsid w:val="00373542"/>
    <w:rsid w:val="00373D6B"/>
    <w:rsid w:val="003809FE"/>
    <w:rsid w:val="003814AB"/>
    <w:rsid w:val="003846B9"/>
    <w:rsid w:val="0038584A"/>
    <w:rsid w:val="003868AC"/>
    <w:rsid w:val="00386C68"/>
    <w:rsid w:val="00390D52"/>
    <w:rsid w:val="00391739"/>
    <w:rsid w:val="00393D83"/>
    <w:rsid w:val="00397D5A"/>
    <w:rsid w:val="003A0408"/>
    <w:rsid w:val="003A0C5E"/>
    <w:rsid w:val="003A195A"/>
    <w:rsid w:val="003A3D4F"/>
    <w:rsid w:val="003A6482"/>
    <w:rsid w:val="003A777E"/>
    <w:rsid w:val="003B63F2"/>
    <w:rsid w:val="003B6A2C"/>
    <w:rsid w:val="003B7F5F"/>
    <w:rsid w:val="003C206D"/>
    <w:rsid w:val="003C2BF4"/>
    <w:rsid w:val="003D0F44"/>
    <w:rsid w:val="003D370B"/>
    <w:rsid w:val="003D40AB"/>
    <w:rsid w:val="003D61F0"/>
    <w:rsid w:val="003E090C"/>
    <w:rsid w:val="003E2458"/>
    <w:rsid w:val="003E33C6"/>
    <w:rsid w:val="003E68C6"/>
    <w:rsid w:val="003E769E"/>
    <w:rsid w:val="003F05EA"/>
    <w:rsid w:val="003F0B6E"/>
    <w:rsid w:val="004007CF"/>
    <w:rsid w:val="004015E3"/>
    <w:rsid w:val="00401B1A"/>
    <w:rsid w:val="00401CB6"/>
    <w:rsid w:val="00402E7B"/>
    <w:rsid w:val="0040688A"/>
    <w:rsid w:val="00407D59"/>
    <w:rsid w:val="0041179C"/>
    <w:rsid w:val="004125A3"/>
    <w:rsid w:val="00412902"/>
    <w:rsid w:val="004148FB"/>
    <w:rsid w:val="00414D41"/>
    <w:rsid w:val="0041552E"/>
    <w:rsid w:val="00415C3A"/>
    <w:rsid w:val="00415DA1"/>
    <w:rsid w:val="00417E10"/>
    <w:rsid w:val="004200C3"/>
    <w:rsid w:val="00421925"/>
    <w:rsid w:val="0042251D"/>
    <w:rsid w:val="00422D53"/>
    <w:rsid w:val="00424537"/>
    <w:rsid w:val="004277AE"/>
    <w:rsid w:val="004309D0"/>
    <w:rsid w:val="00430B33"/>
    <w:rsid w:val="004323C5"/>
    <w:rsid w:val="00432E08"/>
    <w:rsid w:val="004350E3"/>
    <w:rsid w:val="00435BE3"/>
    <w:rsid w:val="00436B60"/>
    <w:rsid w:val="0044106D"/>
    <w:rsid w:val="0044157C"/>
    <w:rsid w:val="0044271B"/>
    <w:rsid w:val="004457FF"/>
    <w:rsid w:val="004467FF"/>
    <w:rsid w:val="0045223B"/>
    <w:rsid w:val="00452869"/>
    <w:rsid w:val="004534E2"/>
    <w:rsid w:val="00454F30"/>
    <w:rsid w:val="00454F64"/>
    <w:rsid w:val="00455209"/>
    <w:rsid w:val="00456507"/>
    <w:rsid w:val="00456E59"/>
    <w:rsid w:val="00460880"/>
    <w:rsid w:val="004627F5"/>
    <w:rsid w:val="004636A7"/>
    <w:rsid w:val="00463C30"/>
    <w:rsid w:val="00464CC6"/>
    <w:rsid w:val="004700CA"/>
    <w:rsid w:val="00471604"/>
    <w:rsid w:val="004725B9"/>
    <w:rsid w:val="00473BE6"/>
    <w:rsid w:val="0047520B"/>
    <w:rsid w:val="00481D95"/>
    <w:rsid w:val="0048213F"/>
    <w:rsid w:val="00486AAF"/>
    <w:rsid w:val="00486CDA"/>
    <w:rsid w:val="0049047C"/>
    <w:rsid w:val="004910FE"/>
    <w:rsid w:val="00496ECB"/>
    <w:rsid w:val="004A0339"/>
    <w:rsid w:val="004A0761"/>
    <w:rsid w:val="004A1298"/>
    <w:rsid w:val="004A2BFF"/>
    <w:rsid w:val="004A3A8E"/>
    <w:rsid w:val="004A4180"/>
    <w:rsid w:val="004A4205"/>
    <w:rsid w:val="004A426B"/>
    <w:rsid w:val="004B10BE"/>
    <w:rsid w:val="004B1110"/>
    <w:rsid w:val="004B16DF"/>
    <w:rsid w:val="004B28AA"/>
    <w:rsid w:val="004B3B6D"/>
    <w:rsid w:val="004B691C"/>
    <w:rsid w:val="004C3D91"/>
    <w:rsid w:val="004C651D"/>
    <w:rsid w:val="004D2D87"/>
    <w:rsid w:val="004D540E"/>
    <w:rsid w:val="004D6CCC"/>
    <w:rsid w:val="004E2EEE"/>
    <w:rsid w:val="004E508B"/>
    <w:rsid w:val="004F10B9"/>
    <w:rsid w:val="004F4D8C"/>
    <w:rsid w:val="004F4F3C"/>
    <w:rsid w:val="004F5561"/>
    <w:rsid w:val="004F6F08"/>
    <w:rsid w:val="004F6F2D"/>
    <w:rsid w:val="004F7E96"/>
    <w:rsid w:val="005009B5"/>
    <w:rsid w:val="00500FCA"/>
    <w:rsid w:val="005019C3"/>
    <w:rsid w:val="00501A8D"/>
    <w:rsid w:val="005034A4"/>
    <w:rsid w:val="005042DE"/>
    <w:rsid w:val="00505B04"/>
    <w:rsid w:val="005121B7"/>
    <w:rsid w:val="00513144"/>
    <w:rsid w:val="0051461A"/>
    <w:rsid w:val="00517AA4"/>
    <w:rsid w:val="005207F5"/>
    <w:rsid w:val="005215F0"/>
    <w:rsid w:val="0052282D"/>
    <w:rsid w:val="00523042"/>
    <w:rsid w:val="005253CB"/>
    <w:rsid w:val="00534388"/>
    <w:rsid w:val="0053721A"/>
    <w:rsid w:val="00541470"/>
    <w:rsid w:val="005417F7"/>
    <w:rsid w:val="005429FF"/>
    <w:rsid w:val="00543A57"/>
    <w:rsid w:val="00544706"/>
    <w:rsid w:val="00547CBE"/>
    <w:rsid w:val="005502A7"/>
    <w:rsid w:val="005509F4"/>
    <w:rsid w:val="00551BAF"/>
    <w:rsid w:val="00557BE3"/>
    <w:rsid w:val="0056217A"/>
    <w:rsid w:val="00563D6C"/>
    <w:rsid w:val="00564224"/>
    <w:rsid w:val="005645DD"/>
    <w:rsid w:val="00565437"/>
    <w:rsid w:val="005663E9"/>
    <w:rsid w:val="005671CE"/>
    <w:rsid w:val="0057292D"/>
    <w:rsid w:val="005729BD"/>
    <w:rsid w:val="00573E7C"/>
    <w:rsid w:val="00574BB3"/>
    <w:rsid w:val="00575583"/>
    <w:rsid w:val="005824AE"/>
    <w:rsid w:val="00586DC5"/>
    <w:rsid w:val="00592BAB"/>
    <w:rsid w:val="00593FDB"/>
    <w:rsid w:val="00594252"/>
    <w:rsid w:val="00594476"/>
    <w:rsid w:val="005961C9"/>
    <w:rsid w:val="00596AC3"/>
    <w:rsid w:val="00596E81"/>
    <w:rsid w:val="005A0437"/>
    <w:rsid w:val="005A12DE"/>
    <w:rsid w:val="005A17A7"/>
    <w:rsid w:val="005A19AD"/>
    <w:rsid w:val="005A40C3"/>
    <w:rsid w:val="005A520B"/>
    <w:rsid w:val="005A633B"/>
    <w:rsid w:val="005B3017"/>
    <w:rsid w:val="005B748A"/>
    <w:rsid w:val="005B7BB9"/>
    <w:rsid w:val="005C06CE"/>
    <w:rsid w:val="005C175E"/>
    <w:rsid w:val="005C1BF6"/>
    <w:rsid w:val="005C34CC"/>
    <w:rsid w:val="005C3821"/>
    <w:rsid w:val="005C45A4"/>
    <w:rsid w:val="005C49E6"/>
    <w:rsid w:val="005C5871"/>
    <w:rsid w:val="005C7CF8"/>
    <w:rsid w:val="005C7D79"/>
    <w:rsid w:val="005D04A1"/>
    <w:rsid w:val="005D47DA"/>
    <w:rsid w:val="005D5179"/>
    <w:rsid w:val="005D5650"/>
    <w:rsid w:val="005D614D"/>
    <w:rsid w:val="005E09D0"/>
    <w:rsid w:val="005E1584"/>
    <w:rsid w:val="005E226F"/>
    <w:rsid w:val="005E5479"/>
    <w:rsid w:val="005E5C98"/>
    <w:rsid w:val="005E6B58"/>
    <w:rsid w:val="005E7CE4"/>
    <w:rsid w:val="005F0609"/>
    <w:rsid w:val="005F1080"/>
    <w:rsid w:val="005F14A6"/>
    <w:rsid w:val="00605101"/>
    <w:rsid w:val="00607782"/>
    <w:rsid w:val="006115BA"/>
    <w:rsid w:val="00611752"/>
    <w:rsid w:val="00612DE7"/>
    <w:rsid w:val="006201C3"/>
    <w:rsid w:val="006201E3"/>
    <w:rsid w:val="006206B5"/>
    <w:rsid w:val="00621CB9"/>
    <w:rsid w:val="006256DD"/>
    <w:rsid w:val="00626F7F"/>
    <w:rsid w:val="006323BF"/>
    <w:rsid w:val="0063789B"/>
    <w:rsid w:val="00640092"/>
    <w:rsid w:val="006410C0"/>
    <w:rsid w:val="00641958"/>
    <w:rsid w:val="0064295F"/>
    <w:rsid w:val="00643983"/>
    <w:rsid w:val="00643A08"/>
    <w:rsid w:val="00643C05"/>
    <w:rsid w:val="006465C2"/>
    <w:rsid w:val="00651FB2"/>
    <w:rsid w:val="006566D0"/>
    <w:rsid w:val="006567EB"/>
    <w:rsid w:val="006614B8"/>
    <w:rsid w:val="00663D11"/>
    <w:rsid w:val="00664A72"/>
    <w:rsid w:val="00665373"/>
    <w:rsid w:val="00665E32"/>
    <w:rsid w:val="00666844"/>
    <w:rsid w:val="006671DD"/>
    <w:rsid w:val="006704ED"/>
    <w:rsid w:val="00671F7F"/>
    <w:rsid w:val="0067266C"/>
    <w:rsid w:val="00672ABE"/>
    <w:rsid w:val="0067754D"/>
    <w:rsid w:val="00683D00"/>
    <w:rsid w:val="00683D40"/>
    <w:rsid w:val="006853F6"/>
    <w:rsid w:val="00686A27"/>
    <w:rsid w:val="00687CED"/>
    <w:rsid w:val="00691B0C"/>
    <w:rsid w:val="00692420"/>
    <w:rsid w:val="006932C5"/>
    <w:rsid w:val="00693C94"/>
    <w:rsid w:val="006952C3"/>
    <w:rsid w:val="00696211"/>
    <w:rsid w:val="00696407"/>
    <w:rsid w:val="006977C6"/>
    <w:rsid w:val="00697CD1"/>
    <w:rsid w:val="00697EB6"/>
    <w:rsid w:val="006A14C4"/>
    <w:rsid w:val="006A282A"/>
    <w:rsid w:val="006A385A"/>
    <w:rsid w:val="006A73F1"/>
    <w:rsid w:val="006B0556"/>
    <w:rsid w:val="006B137D"/>
    <w:rsid w:val="006B3437"/>
    <w:rsid w:val="006B3C10"/>
    <w:rsid w:val="006B5294"/>
    <w:rsid w:val="006B5B97"/>
    <w:rsid w:val="006C13AC"/>
    <w:rsid w:val="006C4BD9"/>
    <w:rsid w:val="006C4FE0"/>
    <w:rsid w:val="006C605E"/>
    <w:rsid w:val="006D345A"/>
    <w:rsid w:val="006D367E"/>
    <w:rsid w:val="006D4BDA"/>
    <w:rsid w:val="006D4D9F"/>
    <w:rsid w:val="006D623E"/>
    <w:rsid w:val="006D7037"/>
    <w:rsid w:val="006E0D3D"/>
    <w:rsid w:val="006E12C5"/>
    <w:rsid w:val="006E1B7E"/>
    <w:rsid w:val="006E20A8"/>
    <w:rsid w:val="006E347D"/>
    <w:rsid w:val="006E70E6"/>
    <w:rsid w:val="006F61BF"/>
    <w:rsid w:val="00702D49"/>
    <w:rsid w:val="007032A6"/>
    <w:rsid w:val="0070351E"/>
    <w:rsid w:val="00704B33"/>
    <w:rsid w:val="00704BC7"/>
    <w:rsid w:val="00707D61"/>
    <w:rsid w:val="007122C7"/>
    <w:rsid w:val="00716096"/>
    <w:rsid w:val="0071613A"/>
    <w:rsid w:val="0071625C"/>
    <w:rsid w:val="007162DB"/>
    <w:rsid w:val="00720392"/>
    <w:rsid w:val="0072170E"/>
    <w:rsid w:val="0072368B"/>
    <w:rsid w:val="0072393D"/>
    <w:rsid w:val="007319F5"/>
    <w:rsid w:val="00732EFE"/>
    <w:rsid w:val="00734DD1"/>
    <w:rsid w:val="00734E03"/>
    <w:rsid w:val="00735904"/>
    <w:rsid w:val="0074195D"/>
    <w:rsid w:val="0074377F"/>
    <w:rsid w:val="00744804"/>
    <w:rsid w:val="00745C1E"/>
    <w:rsid w:val="00745D77"/>
    <w:rsid w:val="00745F8F"/>
    <w:rsid w:val="00746290"/>
    <w:rsid w:val="00751229"/>
    <w:rsid w:val="00752DED"/>
    <w:rsid w:val="00753996"/>
    <w:rsid w:val="00754CD6"/>
    <w:rsid w:val="007552A7"/>
    <w:rsid w:val="00763CF1"/>
    <w:rsid w:val="007643C0"/>
    <w:rsid w:val="00765734"/>
    <w:rsid w:val="00772531"/>
    <w:rsid w:val="007757D0"/>
    <w:rsid w:val="0077641D"/>
    <w:rsid w:val="0077742D"/>
    <w:rsid w:val="00780551"/>
    <w:rsid w:val="00784E80"/>
    <w:rsid w:val="00787374"/>
    <w:rsid w:val="00793423"/>
    <w:rsid w:val="00794820"/>
    <w:rsid w:val="0079506A"/>
    <w:rsid w:val="00796AED"/>
    <w:rsid w:val="00796E61"/>
    <w:rsid w:val="007A2492"/>
    <w:rsid w:val="007A3E9E"/>
    <w:rsid w:val="007A6282"/>
    <w:rsid w:val="007A74FF"/>
    <w:rsid w:val="007B3603"/>
    <w:rsid w:val="007C24F0"/>
    <w:rsid w:val="007C5277"/>
    <w:rsid w:val="007C65F1"/>
    <w:rsid w:val="007C7DF0"/>
    <w:rsid w:val="007D22B1"/>
    <w:rsid w:val="007D2600"/>
    <w:rsid w:val="007D400F"/>
    <w:rsid w:val="007D4F03"/>
    <w:rsid w:val="007E148C"/>
    <w:rsid w:val="007E2BF2"/>
    <w:rsid w:val="007E3997"/>
    <w:rsid w:val="007E7F08"/>
    <w:rsid w:val="007F0BC1"/>
    <w:rsid w:val="007F54C0"/>
    <w:rsid w:val="007F5F05"/>
    <w:rsid w:val="007F609C"/>
    <w:rsid w:val="007F7810"/>
    <w:rsid w:val="007F7BD2"/>
    <w:rsid w:val="00801345"/>
    <w:rsid w:val="00803D5D"/>
    <w:rsid w:val="00805025"/>
    <w:rsid w:val="00805C91"/>
    <w:rsid w:val="0080705F"/>
    <w:rsid w:val="008107AC"/>
    <w:rsid w:val="00810BD9"/>
    <w:rsid w:val="00813288"/>
    <w:rsid w:val="008134F2"/>
    <w:rsid w:val="00816CFA"/>
    <w:rsid w:val="008173D9"/>
    <w:rsid w:val="00817AC8"/>
    <w:rsid w:val="00817EC0"/>
    <w:rsid w:val="0082423C"/>
    <w:rsid w:val="00824A8D"/>
    <w:rsid w:val="008328A6"/>
    <w:rsid w:val="00834A4F"/>
    <w:rsid w:val="00841444"/>
    <w:rsid w:val="00841F78"/>
    <w:rsid w:val="0084482B"/>
    <w:rsid w:val="008459CC"/>
    <w:rsid w:val="0084601A"/>
    <w:rsid w:val="00847347"/>
    <w:rsid w:val="00847513"/>
    <w:rsid w:val="00847D7F"/>
    <w:rsid w:val="00850929"/>
    <w:rsid w:val="008517C9"/>
    <w:rsid w:val="008526D5"/>
    <w:rsid w:val="008617B9"/>
    <w:rsid w:val="00874688"/>
    <w:rsid w:val="00875115"/>
    <w:rsid w:val="00875768"/>
    <w:rsid w:val="00876712"/>
    <w:rsid w:val="008769D6"/>
    <w:rsid w:val="008836CE"/>
    <w:rsid w:val="0088376C"/>
    <w:rsid w:val="00884224"/>
    <w:rsid w:val="008858DE"/>
    <w:rsid w:val="008912DC"/>
    <w:rsid w:val="008913EB"/>
    <w:rsid w:val="0089235C"/>
    <w:rsid w:val="008934C3"/>
    <w:rsid w:val="0089599E"/>
    <w:rsid w:val="00897153"/>
    <w:rsid w:val="008974EE"/>
    <w:rsid w:val="00897BF6"/>
    <w:rsid w:val="008A02D7"/>
    <w:rsid w:val="008A5F1C"/>
    <w:rsid w:val="008B074D"/>
    <w:rsid w:val="008B1010"/>
    <w:rsid w:val="008B3FDC"/>
    <w:rsid w:val="008B70F0"/>
    <w:rsid w:val="008B7E16"/>
    <w:rsid w:val="008C02A2"/>
    <w:rsid w:val="008C180A"/>
    <w:rsid w:val="008C1CD6"/>
    <w:rsid w:val="008C23E8"/>
    <w:rsid w:val="008C2A51"/>
    <w:rsid w:val="008C3A97"/>
    <w:rsid w:val="008C6B4F"/>
    <w:rsid w:val="008D0743"/>
    <w:rsid w:val="008D124C"/>
    <w:rsid w:val="008D4C4B"/>
    <w:rsid w:val="008D5B7B"/>
    <w:rsid w:val="008E06A7"/>
    <w:rsid w:val="008E3007"/>
    <w:rsid w:val="008E3180"/>
    <w:rsid w:val="008E4E32"/>
    <w:rsid w:val="008E6BC3"/>
    <w:rsid w:val="008F1A02"/>
    <w:rsid w:val="008F23C5"/>
    <w:rsid w:val="008F26F8"/>
    <w:rsid w:val="008F2DBE"/>
    <w:rsid w:val="008F4030"/>
    <w:rsid w:val="008F7714"/>
    <w:rsid w:val="009001AF"/>
    <w:rsid w:val="00901E0D"/>
    <w:rsid w:val="00902C82"/>
    <w:rsid w:val="00902CAC"/>
    <w:rsid w:val="00904DC1"/>
    <w:rsid w:val="00905A1F"/>
    <w:rsid w:val="009102A4"/>
    <w:rsid w:val="009136FB"/>
    <w:rsid w:val="00915D7E"/>
    <w:rsid w:val="00916A61"/>
    <w:rsid w:val="009244C1"/>
    <w:rsid w:val="0092624F"/>
    <w:rsid w:val="00926A7B"/>
    <w:rsid w:val="00930BC4"/>
    <w:rsid w:val="009323D5"/>
    <w:rsid w:val="0093358B"/>
    <w:rsid w:val="00934CF5"/>
    <w:rsid w:val="009366CC"/>
    <w:rsid w:val="009418E7"/>
    <w:rsid w:val="00942DDA"/>
    <w:rsid w:val="00944F8E"/>
    <w:rsid w:val="00947CAB"/>
    <w:rsid w:val="00947CB4"/>
    <w:rsid w:val="009502E5"/>
    <w:rsid w:val="0095044D"/>
    <w:rsid w:val="00952756"/>
    <w:rsid w:val="00952ABC"/>
    <w:rsid w:val="00953E7F"/>
    <w:rsid w:val="009562FE"/>
    <w:rsid w:val="00957DA4"/>
    <w:rsid w:val="00964A40"/>
    <w:rsid w:val="00964F56"/>
    <w:rsid w:val="00965186"/>
    <w:rsid w:val="00966662"/>
    <w:rsid w:val="00967CA3"/>
    <w:rsid w:val="00972EEA"/>
    <w:rsid w:val="00975652"/>
    <w:rsid w:val="00976CCB"/>
    <w:rsid w:val="0098038A"/>
    <w:rsid w:val="00982DEF"/>
    <w:rsid w:val="00982F81"/>
    <w:rsid w:val="009832CC"/>
    <w:rsid w:val="0098374F"/>
    <w:rsid w:val="009859EB"/>
    <w:rsid w:val="00986B80"/>
    <w:rsid w:val="00990756"/>
    <w:rsid w:val="009918AD"/>
    <w:rsid w:val="00993420"/>
    <w:rsid w:val="00993B03"/>
    <w:rsid w:val="0099625C"/>
    <w:rsid w:val="009A069C"/>
    <w:rsid w:val="009A1B7D"/>
    <w:rsid w:val="009A3B0F"/>
    <w:rsid w:val="009A692A"/>
    <w:rsid w:val="009A7386"/>
    <w:rsid w:val="009B0899"/>
    <w:rsid w:val="009B11B4"/>
    <w:rsid w:val="009B208B"/>
    <w:rsid w:val="009B2D75"/>
    <w:rsid w:val="009B313D"/>
    <w:rsid w:val="009B3C0E"/>
    <w:rsid w:val="009B4370"/>
    <w:rsid w:val="009B62A4"/>
    <w:rsid w:val="009B7A45"/>
    <w:rsid w:val="009B7BDB"/>
    <w:rsid w:val="009C06F8"/>
    <w:rsid w:val="009C14BA"/>
    <w:rsid w:val="009C5CB3"/>
    <w:rsid w:val="009D08E6"/>
    <w:rsid w:val="009D134C"/>
    <w:rsid w:val="009D3565"/>
    <w:rsid w:val="009D581E"/>
    <w:rsid w:val="009D582B"/>
    <w:rsid w:val="009D6E1E"/>
    <w:rsid w:val="009E0848"/>
    <w:rsid w:val="009E4F79"/>
    <w:rsid w:val="009E5C6A"/>
    <w:rsid w:val="009F024B"/>
    <w:rsid w:val="009F1A62"/>
    <w:rsid w:val="009F415D"/>
    <w:rsid w:val="009F4BF7"/>
    <w:rsid w:val="009F744E"/>
    <w:rsid w:val="00A00A5F"/>
    <w:rsid w:val="00A018EA"/>
    <w:rsid w:val="00A01CCC"/>
    <w:rsid w:val="00A0348A"/>
    <w:rsid w:val="00A050C9"/>
    <w:rsid w:val="00A051AB"/>
    <w:rsid w:val="00A12574"/>
    <w:rsid w:val="00A13270"/>
    <w:rsid w:val="00A13C87"/>
    <w:rsid w:val="00A152AB"/>
    <w:rsid w:val="00A21AEE"/>
    <w:rsid w:val="00A23F6E"/>
    <w:rsid w:val="00A25218"/>
    <w:rsid w:val="00A27983"/>
    <w:rsid w:val="00A3163F"/>
    <w:rsid w:val="00A322F4"/>
    <w:rsid w:val="00A33D93"/>
    <w:rsid w:val="00A348FD"/>
    <w:rsid w:val="00A40638"/>
    <w:rsid w:val="00A4383B"/>
    <w:rsid w:val="00A44C0C"/>
    <w:rsid w:val="00A46A14"/>
    <w:rsid w:val="00A46AF1"/>
    <w:rsid w:val="00A47C23"/>
    <w:rsid w:val="00A52520"/>
    <w:rsid w:val="00A569F9"/>
    <w:rsid w:val="00A634E9"/>
    <w:rsid w:val="00A63588"/>
    <w:rsid w:val="00A64057"/>
    <w:rsid w:val="00A657BD"/>
    <w:rsid w:val="00A706C7"/>
    <w:rsid w:val="00A713A6"/>
    <w:rsid w:val="00A73D9D"/>
    <w:rsid w:val="00A77C4B"/>
    <w:rsid w:val="00A856A7"/>
    <w:rsid w:val="00A8637C"/>
    <w:rsid w:val="00A87E09"/>
    <w:rsid w:val="00A926A3"/>
    <w:rsid w:val="00A93AC5"/>
    <w:rsid w:val="00A95988"/>
    <w:rsid w:val="00AA04C5"/>
    <w:rsid w:val="00AA266B"/>
    <w:rsid w:val="00AA4B63"/>
    <w:rsid w:val="00AA54F8"/>
    <w:rsid w:val="00AA7172"/>
    <w:rsid w:val="00AA733C"/>
    <w:rsid w:val="00AB1369"/>
    <w:rsid w:val="00AB5B0B"/>
    <w:rsid w:val="00AC5247"/>
    <w:rsid w:val="00AC5704"/>
    <w:rsid w:val="00AC67EE"/>
    <w:rsid w:val="00AD2BE7"/>
    <w:rsid w:val="00AD411B"/>
    <w:rsid w:val="00AD4C75"/>
    <w:rsid w:val="00AD5E3D"/>
    <w:rsid w:val="00AD6B4E"/>
    <w:rsid w:val="00AD6CCF"/>
    <w:rsid w:val="00AE0940"/>
    <w:rsid w:val="00AE2EED"/>
    <w:rsid w:val="00AE3FD3"/>
    <w:rsid w:val="00AE5B55"/>
    <w:rsid w:val="00AF750D"/>
    <w:rsid w:val="00AF7A10"/>
    <w:rsid w:val="00B006DA"/>
    <w:rsid w:val="00B0088E"/>
    <w:rsid w:val="00B03318"/>
    <w:rsid w:val="00B036E5"/>
    <w:rsid w:val="00B049E1"/>
    <w:rsid w:val="00B079D8"/>
    <w:rsid w:val="00B10A5A"/>
    <w:rsid w:val="00B11B42"/>
    <w:rsid w:val="00B13621"/>
    <w:rsid w:val="00B1515F"/>
    <w:rsid w:val="00B1541D"/>
    <w:rsid w:val="00B17A10"/>
    <w:rsid w:val="00B17DCE"/>
    <w:rsid w:val="00B202B1"/>
    <w:rsid w:val="00B21C64"/>
    <w:rsid w:val="00B23035"/>
    <w:rsid w:val="00B23DBC"/>
    <w:rsid w:val="00B244FF"/>
    <w:rsid w:val="00B26343"/>
    <w:rsid w:val="00B27CB7"/>
    <w:rsid w:val="00B27E93"/>
    <w:rsid w:val="00B31E53"/>
    <w:rsid w:val="00B328B3"/>
    <w:rsid w:val="00B3408B"/>
    <w:rsid w:val="00B3443B"/>
    <w:rsid w:val="00B3496B"/>
    <w:rsid w:val="00B34A49"/>
    <w:rsid w:val="00B34A93"/>
    <w:rsid w:val="00B35EF5"/>
    <w:rsid w:val="00B36B40"/>
    <w:rsid w:val="00B374A0"/>
    <w:rsid w:val="00B37B5C"/>
    <w:rsid w:val="00B37C4D"/>
    <w:rsid w:val="00B43EF0"/>
    <w:rsid w:val="00B46FB0"/>
    <w:rsid w:val="00B502C1"/>
    <w:rsid w:val="00B5168D"/>
    <w:rsid w:val="00B52173"/>
    <w:rsid w:val="00B52991"/>
    <w:rsid w:val="00B529FD"/>
    <w:rsid w:val="00B533E0"/>
    <w:rsid w:val="00B537B8"/>
    <w:rsid w:val="00B561D2"/>
    <w:rsid w:val="00B578D8"/>
    <w:rsid w:val="00B604A2"/>
    <w:rsid w:val="00B651EA"/>
    <w:rsid w:val="00B65271"/>
    <w:rsid w:val="00B6549B"/>
    <w:rsid w:val="00B67624"/>
    <w:rsid w:val="00B67DF3"/>
    <w:rsid w:val="00B71436"/>
    <w:rsid w:val="00B71BC6"/>
    <w:rsid w:val="00B72327"/>
    <w:rsid w:val="00B727B0"/>
    <w:rsid w:val="00B73A8B"/>
    <w:rsid w:val="00B74596"/>
    <w:rsid w:val="00B77B72"/>
    <w:rsid w:val="00B77D8F"/>
    <w:rsid w:val="00B809D2"/>
    <w:rsid w:val="00B80F4E"/>
    <w:rsid w:val="00B82AED"/>
    <w:rsid w:val="00B92BF7"/>
    <w:rsid w:val="00B92F3C"/>
    <w:rsid w:val="00B93D6C"/>
    <w:rsid w:val="00B95BFC"/>
    <w:rsid w:val="00B963EF"/>
    <w:rsid w:val="00B96C70"/>
    <w:rsid w:val="00B97053"/>
    <w:rsid w:val="00BA4576"/>
    <w:rsid w:val="00BA5135"/>
    <w:rsid w:val="00BA61FB"/>
    <w:rsid w:val="00BA6838"/>
    <w:rsid w:val="00BA7630"/>
    <w:rsid w:val="00BB188C"/>
    <w:rsid w:val="00BB6712"/>
    <w:rsid w:val="00BB7CF4"/>
    <w:rsid w:val="00BC0AFD"/>
    <w:rsid w:val="00BC222B"/>
    <w:rsid w:val="00BC2BA1"/>
    <w:rsid w:val="00BC2DCF"/>
    <w:rsid w:val="00BC3FD4"/>
    <w:rsid w:val="00BC4169"/>
    <w:rsid w:val="00BC526E"/>
    <w:rsid w:val="00BD0506"/>
    <w:rsid w:val="00BD131B"/>
    <w:rsid w:val="00BD1CF1"/>
    <w:rsid w:val="00BD27A4"/>
    <w:rsid w:val="00BD4FF3"/>
    <w:rsid w:val="00BD6967"/>
    <w:rsid w:val="00BE1F3F"/>
    <w:rsid w:val="00BE2ECB"/>
    <w:rsid w:val="00BE414B"/>
    <w:rsid w:val="00BF3C70"/>
    <w:rsid w:val="00C00760"/>
    <w:rsid w:val="00C0080A"/>
    <w:rsid w:val="00C047B1"/>
    <w:rsid w:val="00C066F2"/>
    <w:rsid w:val="00C0760E"/>
    <w:rsid w:val="00C07E31"/>
    <w:rsid w:val="00C12137"/>
    <w:rsid w:val="00C155F2"/>
    <w:rsid w:val="00C15749"/>
    <w:rsid w:val="00C157B7"/>
    <w:rsid w:val="00C20E83"/>
    <w:rsid w:val="00C222D3"/>
    <w:rsid w:val="00C2359A"/>
    <w:rsid w:val="00C2735E"/>
    <w:rsid w:val="00C30A16"/>
    <w:rsid w:val="00C30DD6"/>
    <w:rsid w:val="00C314D4"/>
    <w:rsid w:val="00C33221"/>
    <w:rsid w:val="00C33716"/>
    <w:rsid w:val="00C34CFA"/>
    <w:rsid w:val="00C36D92"/>
    <w:rsid w:val="00C3712E"/>
    <w:rsid w:val="00C375D3"/>
    <w:rsid w:val="00C37D67"/>
    <w:rsid w:val="00C41D47"/>
    <w:rsid w:val="00C44EC3"/>
    <w:rsid w:val="00C4588E"/>
    <w:rsid w:val="00C45AE8"/>
    <w:rsid w:val="00C46394"/>
    <w:rsid w:val="00C4653D"/>
    <w:rsid w:val="00C475FF"/>
    <w:rsid w:val="00C56C7A"/>
    <w:rsid w:val="00C56E2A"/>
    <w:rsid w:val="00C62D04"/>
    <w:rsid w:val="00C6369A"/>
    <w:rsid w:val="00C641C8"/>
    <w:rsid w:val="00C64F41"/>
    <w:rsid w:val="00C67CA2"/>
    <w:rsid w:val="00C72D73"/>
    <w:rsid w:val="00C73BF6"/>
    <w:rsid w:val="00C74302"/>
    <w:rsid w:val="00C759C5"/>
    <w:rsid w:val="00C75A83"/>
    <w:rsid w:val="00C82A08"/>
    <w:rsid w:val="00C82D3C"/>
    <w:rsid w:val="00C87462"/>
    <w:rsid w:val="00C95C76"/>
    <w:rsid w:val="00C95F52"/>
    <w:rsid w:val="00C96791"/>
    <w:rsid w:val="00C96888"/>
    <w:rsid w:val="00C97304"/>
    <w:rsid w:val="00CA24AD"/>
    <w:rsid w:val="00CA2975"/>
    <w:rsid w:val="00CA2CCB"/>
    <w:rsid w:val="00CA33F5"/>
    <w:rsid w:val="00CA6357"/>
    <w:rsid w:val="00CB2432"/>
    <w:rsid w:val="00CB2818"/>
    <w:rsid w:val="00CB363B"/>
    <w:rsid w:val="00CB373C"/>
    <w:rsid w:val="00CB461C"/>
    <w:rsid w:val="00CB5597"/>
    <w:rsid w:val="00CB5E46"/>
    <w:rsid w:val="00CB7F0D"/>
    <w:rsid w:val="00CC32B3"/>
    <w:rsid w:val="00CC682F"/>
    <w:rsid w:val="00CC709E"/>
    <w:rsid w:val="00CD334A"/>
    <w:rsid w:val="00CD55BD"/>
    <w:rsid w:val="00CD5D98"/>
    <w:rsid w:val="00CE1739"/>
    <w:rsid w:val="00CF3EF1"/>
    <w:rsid w:val="00CF5D85"/>
    <w:rsid w:val="00CF7073"/>
    <w:rsid w:val="00D060FD"/>
    <w:rsid w:val="00D15394"/>
    <w:rsid w:val="00D16785"/>
    <w:rsid w:val="00D201BB"/>
    <w:rsid w:val="00D202E4"/>
    <w:rsid w:val="00D206EA"/>
    <w:rsid w:val="00D208B8"/>
    <w:rsid w:val="00D22FEB"/>
    <w:rsid w:val="00D23512"/>
    <w:rsid w:val="00D2384E"/>
    <w:rsid w:val="00D31EBE"/>
    <w:rsid w:val="00D3602C"/>
    <w:rsid w:val="00D43F4F"/>
    <w:rsid w:val="00D44429"/>
    <w:rsid w:val="00D45195"/>
    <w:rsid w:val="00D46181"/>
    <w:rsid w:val="00D4674C"/>
    <w:rsid w:val="00D520A4"/>
    <w:rsid w:val="00D54165"/>
    <w:rsid w:val="00D5570B"/>
    <w:rsid w:val="00D61373"/>
    <w:rsid w:val="00D638AD"/>
    <w:rsid w:val="00D641D9"/>
    <w:rsid w:val="00D6729E"/>
    <w:rsid w:val="00D7023B"/>
    <w:rsid w:val="00D73C1D"/>
    <w:rsid w:val="00D75D12"/>
    <w:rsid w:val="00D8269E"/>
    <w:rsid w:val="00D83475"/>
    <w:rsid w:val="00D841D8"/>
    <w:rsid w:val="00D84F34"/>
    <w:rsid w:val="00D856AC"/>
    <w:rsid w:val="00D8605F"/>
    <w:rsid w:val="00D91D99"/>
    <w:rsid w:val="00D96345"/>
    <w:rsid w:val="00D96C02"/>
    <w:rsid w:val="00DA1E16"/>
    <w:rsid w:val="00DA4C65"/>
    <w:rsid w:val="00DA4C92"/>
    <w:rsid w:val="00DA7B2E"/>
    <w:rsid w:val="00DB29E6"/>
    <w:rsid w:val="00DB762B"/>
    <w:rsid w:val="00DC4360"/>
    <w:rsid w:val="00DC6F41"/>
    <w:rsid w:val="00DD0DA4"/>
    <w:rsid w:val="00DD2DD3"/>
    <w:rsid w:val="00DD40CB"/>
    <w:rsid w:val="00DD655F"/>
    <w:rsid w:val="00DE127F"/>
    <w:rsid w:val="00DE183E"/>
    <w:rsid w:val="00DE262C"/>
    <w:rsid w:val="00DE485D"/>
    <w:rsid w:val="00DE6B40"/>
    <w:rsid w:val="00DF2BAC"/>
    <w:rsid w:val="00DF30AB"/>
    <w:rsid w:val="00DF3EEC"/>
    <w:rsid w:val="00DF4AF0"/>
    <w:rsid w:val="00DF6D19"/>
    <w:rsid w:val="00DF755E"/>
    <w:rsid w:val="00E02FDA"/>
    <w:rsid w:val="00E034CC"/>
    <w:rsid w:val="00E047DF"/>
    <w:rsid w:val="00E04FA1"/>
    <w:rsid w:val="00E12DFB"/>
    <w:rsid w:val="00E14EF5"/>
    <w:rsid w:val="00E1505F"/>
    <w:rsid w:val="00E16630"/>
    <w:rsid w:val="00E17EC6"/>
    <w:rsid w:val="00E20762"/>
    <w:rsid w:val="00E21A2B"/>
    <w:rsid w:val="00E230EB"/>
    <w:rsid w:val="00E235D9"/>
    <w:rsid w:val="00E23DCE"/>
    <w:rsid w:val="00E27830"/>
    <w:rsid w:val="00E30C89"/>
    <w:rsid w:val="00E31637"/>
    <w:rsid w:val="00E36A73"/>
    <w:rsid w:val="00E4147F"/>
    <w:rsid w:val="00E41486"/>
    <w:rsid w:val="00E419F8"/>
    <w:rsid w:val="00E429B5"/>
    <w:rsid w:val="00E42BBC"/>
    <w:rsid w:val="00E43546"/>
    <w:rsid w:val="00E475C4"/>
    <w:rsid w:val="00E5579C"/>
    <w:rsid w:val="00E55C37"/>
    <w:rsid w:val="00E56313"/>
    <w:rsid w:val="00E57A1F"/>
    <w:rsid w:val="00E6129C"/>
    <w:rsid w:val="00E620A4"/>
    <w:rsid w:val="00E63FA3"/>
    <w:rsid w:val="00E640D9"/>
    <w:rsid w:val="00E652B8"/>
    <w:rsid w:val="00E674BA"/>
    <w:rsid w:val="00E67EC3"/>
    <w:rsid w:val="00E70F50"/>
    <w:rsid w:val="00E727D1"/>
    <w:rsid w:val="00E808B4"/>
    <w:rsid w:val="00E81089"/>
    <w:rsid w:val="00E82DCD"/>
    <w:rsid w:val="00E83AB9"/>
    <w:rsid w:val="00E85D76"/>
    <w:rsid w:val="00E86703"/>
    <w:rsid w:val="00E87734"/>
    <w:rsid w:val="00E90D86"/>
    <w:rsid w:val="00E90DB2"/>
    <w:rsid w:val="00E960F1"/>
    <w:rsid w:val="00EA1A2C"/>
    <w:rsid w:val="00EA2779"/>
    <w:rsid w:val="00EA347D"/>
    <w:rsid w:val="00EA4E66"/>
    <w:rsid w:val="00EA5A30"/>
    <w:rsid w:val="00EA703A"/>
    <w:rsid w:val="00EB1091"/>
    <w:rsid w:val="00EB2A3F"/>
    <w:rsid w:val="00EB2D52"/>
    <w:rsid w:val="00EB379A"/>
    <w:rsid w:val="00EB4D6F"/>
    <w:rsid w:val="00EB4E10"/>
    <w:rsid w:val="00EB6099"/>
    <w:rsid w:val="00EC0192"/>
    <w:rsid w:val="00EC1F16"/>
    <w:rsid w:val="00EC2784"/>
    <w:rsid w:val="00EC2B5F"/>
    <w:rsid w:val="00EC32C6"/>
    <w:rsid w:val="00EC338F"/>
    <w:rsid w:val="00EC3735"/>
    <w:rsid w:val="00EC39F0"/>
    <w:rsid w:val="00EC666C"/>
    <w:rsid w:val="00EC6DD7"/>
    <w:rsid w:val="00ED1BC2"/>
    <w:rsid w:val="00ED29DB"/>
    <w:rsid w:val="00ED3BEB"/>
    <w:rsid w:val="00ED4968"/>
    <w:rsid w:val="00ED6511"/>
    <w:rsid w:val="00ED7A26"/>
    <w:rsid w:val="00EE0302"/>
    <w:rsid w:val="00EE3EC0"/>
    <w:rsid w:val="00EE3F78"/>
    <w:rsid w:val="00EF078A"/>
    <w:rsid w:val="00EF3B18"/>
    <w:rsid w:val="00EF64FA"/>
    <w:rsid w:val="00F01F3E"/>
    <w:rsid w:val="00F0214F"/>
    <w:rsid w:val="00F05899"/>
    <w:rsid w:val="00F05EFB"/>
    <w:rsid w:val="00F10225"/>
    <w:rsid w:val="00F10EE9"/>
    <w:rsid w:val="00F12715"/>
    <w:rsid w:val="00F12D21"/>
    <w:rsid w:val="00F13101"/>
    <w:rsid w:val="00F13512"/>
    <w:rsid w:val="00F13BB7"/>
    <w:rsid w:val="00F177CA"/>
    <w:rsid w:val="00F243AA"/>
    <w:rsid w:val="00F265AA"/>
    <w:rsid w:val="00F3155A"/>
    <w:rsid w:val="00F321EA"/>
    <w:rsid w:val="00F41662"/>
    <w:rsid w:val="00F41899"/>
    <w:rsid w:val="00F41A9F"/>
    <w:rsid w:val="00F41FA0"/>
    <w:rsid w:val="00F43D55"/>
    <w:rsid w:val="00F476DB"/>
    <w:rsid w:val="00F50215"/>
    <w:rsid w:val="00F50769"/>
    <w:rsid w:val="00F50BA8"/>
    <w:rsid w:val="00F5156C"/>
    <w:rsid w:val="00F51DBA"/>
    <w:rsid w:val="00F53B51"/>
    <w:rsid w:val="00F547FF"/>
    <w:rsid w:val="00F55547"/>
    <w:rsid w:val="00F57EBD"/>
    <w:rsid w:val="00F63FF1"/>
    <w:rsid w:val="00F6564B"/>
    <w:rsid w:val="00F66461"/>
    <w:rsid w:val="00F73143"/>
    <w:rsid w:val="00F737AA"/>
    <w:rsid w:val="00F743D7"/>
    <w:rsid w:val="00F744F7"/>
    <w:rsid w:val="00F74B21"/>
    <w:rsid w:val="00F8315D"/>
    <w:rsid w:val="00F85BD3"/>
    <w:rsid w:val="00F90FD4"/>
    <w:rsid w:val="00F912AF"/>
    <w:rsid w:val="00F91544"/>
    <w:rsid w:val="00F91E85"/>
    <w:rsid w:val="00F92899"/>
    <w:rsid w:val="00F92D78"/>
    <w:rsid w:val="00F96DC9"/>
    <w:rsid w:val="00FA0DC6"/>
    <w:rsid w:val="00FA104A"/>
    <w:rsid w:val="00FA3376"/>
    <w:rsid w:val="00FA4798"/>
    <w:rsid w:val="00FA4FC8"/>
    <w:rsid w:val="00FB39F1"/>
    <w:rsid w:val="00FB6B88"/>
    <w:rsid w:val="00FC243F"/>
    <w:rsid w:val="00FC2862"/>
    <w:rsid w:val="00FC2C29"/>
    <w:rsid w:val="00FC2E5F"/>
    <w:rsid w:val="00FC3397"/>
    <w:rsid w:val="00FD030B"/>
    <w:rsid w:val="00FD2B89"/>
    <w:rsid w:val="00FD30C5"/>
    <w:rsid w:val="00FD4B49"/>
    <w:rsid w:val="00FD4E39"/>
    <w:rsid w:val="00FD5442"/>
    <w:rsid w:val="00FE4B62"/>
    <w:rsid w:val="00FE4D86"/>
    <w:rsid w:val="00FE52BD"/>
    <w:rsid w:val="00FE52C9"/>
    <w:rsid w:val="00FE5F6A"/>
    <w:rsid w:val="00FE654C"/>
    <w:rsid w:val="00FE6EB1"/>
    <w:rsid w:val="00FF03FC"/>
    <w:rsid w:val="00FF0747"/>
    <w:rsid w:val="00FF211A"/>
    <w:rsid w:val="00FF2EED"/>
    <w:rsid w:val="00FF5BEF"/>
    <w:rsid w:val="00FF7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944E"/>
  <w15:docId w15:val="{ACD35523-FAE0-4E6B-A458-671E8E33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lang w:val="en-GB" w:eastAsia="en-GB"/>
    </w:rPr>
  </w:style>
  <w:style w:type="paragraph" w:styleId="Heading1">
    <w:name w:val="heading 1"/>
    <w:basedOn w:val="Normal"/>
    <w:next w:val="Normal"/>
    <w:link w:val="Heading1Char"/>
    <w:uiPriority w:val="9"/>
    <w:qFormat/>
    <w:rsid w:val="00DF30AB"/>
    <w:pPr>
      <w:keepNext/>
      <w:keepLines/>
      <w:spacing w:before="240" w:line="480" w:lineRule="auto"/>
      <w:jc w:val="both"/>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5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link w:val="H1Char"/>
    <w:qFormat/>
    <w:rsid w:val="006C13AC"/>
    <w:pPr>
      <w:numPr>
        <w:numId w:val="1"/>
      </w:numPr>
      <w:tabs>
        <w:tab w:val="left" w:pos="567"/>
        <w:tab w:val="right" w:pos="8931"/>
      </w:tabs>
      <w:spacing w:after="240" w:line="480" w:lineRule="auto"/>
      <w:jc w:val="both"/>
    </w:pPr>
  </w:style>
  <w:style w:type="paragraph" w:customStyle="1" w:styleId="H2">
    <w:name w:val="H2"/>
    <w:basedOn w:val="Normal"/>
    <w:link w:val="H2Char"/>
    <w:qFormat/>
    <w:rsid w:val="006C13AC"/>
    <w:pPr>
      <w:numPr>
        <w:ilvl w:val="1"/>
        <w:numId w:val="1"/>
      </w:numPr>
      <w:tabs>
        <w:tab w:val="left" w:pos="1418"/>
        <w:tab w:val="right" w:pos="8931"/>
      </w:tabs>
      <w:spacing w:after="240" w:line="480" w:lineRule="auto"/>
      <w:jc w:val="both"/>
    </w:pPr>
  </w:style>
  <w:style w:type="character" w:customStyle="1" w:styleId="H1Char">
    <w:name w:val="H1 Char"/>
    <w:basedOn w:val="DefaultParagraphFont"/>
    <w:link w:val="H1"/>
    <w:rsid w:val="006C13AC"/>
    <w:rPr>
      <w:sz w:val="24"/>
      <w:szCs w:val="22"/>
      <w:lang w:val="en-GB" w:eastAsia="en-GB"/>
    </w:rPr>
  </w:style>
  <w:style w:type="paragraph" w:customStyle="1" w:styleId="H3">
    <w:name w:val="H3"/>
    <w:basedOn w:val="Normal"/>
    <w:link w:val="H3Char"/>
    <w:qFormat/>
    <w:rsid w:val="006C13AC"/>
    <w:pPr>
      <w:numPr>
        <w:ilvl w:val="2"/>
        <w:numId w:val="1"/>
      </w:numPr>
      <w:tabs>
        <w:tab w:val="clear" w:pos="1418"/>
        <w:tab w:val="num" w:pos="2268"/>
        <w:tab w:val="right" w:pos="8931"/>
      </w:tabs>
      <w:spacing w:after="240" w:line="480" w:lineRule="auto"/>
      <w:jc w:val="both"/>
    </w:pPr>
  </w:style>
  <w:style w:type="character" w:customStyle="1" w:styleId="H2Char">
    <w:name w:val="H2 Char"/>
    <w:basedOn w:val="DefaultParagraphFont"/>
    <w:link w:val="H2"/>
    <w:rsid w:val="006C13AC"/>
  </w:style>
  <w:style w:type="paragraph" w:customStyle="1" w:styleId="H4">
    <w:name w:val="H4"/>
    <w:basedOn w:val="Normal"/>
    <w:link w:val="H4Char"/>
    <w:qFormat/>
    <w:rsid w:val="000E7485"/>
    <w:pPr>
      <w:numPr>
        <w:ilvl w:val="3"/>
        <w:numId w:val="1"/>
      </w:numPr>
      <w:spacing w:after="240" w:line="480" w:lineRule="auto"/>
      <w:ind w:left="3402" w:hanging="1134"/>
      <w:jc w:val="both"/>
    </w:pPr>
  </w:style>
  <w:style w:type="character" w:customStyle="1" w:styleId="H3Char">
    <w:name w:val="H3 Char"/>
    <w:basedOn w:val="DefaultParagraphFont"/>
    <w:link w:val="H3"/>
    <w:rsid w:val="006C13AC"/>
  </w:style>
  <w:style w:type="paragraph" w:customStyle="1" w:styleId="B1">
    <w:name w:val="B1"/>
    <w:basedOn w:val="H1"/>
    <w:link w:val="B1Char"/>
    <w:qFormat/>
    <w:rsid w:val="006C13AC"/>
    <w:pPr>
      <w:numPr>
        <w:numId w:val="0"/>
      </w:numPr>
      <w:ind w:left="567"/>
    </w:pPr>
  </w:style>
  <w:style w:type="character" w:customStyle="1" w:styleId="H4Char">
    <w:name w:val="H4 Char"/>
    <w:basedOn w:val="DefaultParagraphFont"/>
    <w:link w:val="H4"/>
    <w:rsid w:val="000E7485"/>
  </w:style>
  <w:style w:type="paragraph" w:customStyle="1" w:styleId="B2">
    <w:name w:val="B2"/>
    <w:basedOn w:val="H2"/>
    <w:link w:val="B2Char"/>
    <w:qFormat/>
    <w:rsid w:val="000E7485"/>
    <w:pPr>
      <w:numPr>
        <w:ilvl w:val="0"/>
        <w:numId w:val="0"/>
      </w:numPr>
      <w:ind w:left="1418"/>
    </w:pPr>
  </w:style>
  <w:style w:type="character" w:customStyle="1" w:styleId="B1Char">
    <w:name w:val="B1 Char"/>
    <w:basedOn w:val="H1Char"/>
    <w:link w:val="B1"/>
    <w:rsid w:val="006C13AC"/>
    <w:rPr>
      <w:sz w:val="24"/>
      <w:szCs w:val="22"/>
      <w:lang w:val="en-GB" w:eastAsia="en-GB"/>
    </w:rPr>
  </w:style>
  <w:style w:type="paragraph" w:customStyle="1" w:styleId="B3">
    <w:name w:val="B3"/>
    <w:basedOn w:val="H3"/>
    <w:link w:val="B3Char"/>
    <w:qFormat/>
    <w:rsid w:val="000E7485"/>
    <w:pPr>
      <w:numPr>
        <w:ilvl w:val="0"/>
        <w:numId w:val="0"/>
      </w:numPr>
      <w:ind w:left="2268"/>
    </w:pPr>
  </w:style>
  <w:style w:type="character" w:customStyle="1" w:styleId="B2Char">
    <w:name w:val="B2 Char"/>
    <w:basedOn w:val="H2Char"/>
    <w:link w:val="B2"/>
    <w:rsid w:val="000E7485"/>
  </w:style>
  <w:style w:type="paragraph" w:customStyle="1" w:styleId="B4">
    <w:name w:val="B4"/>
    <w:basedOn w:val="H4"/>
    <w:link w:val="B4Char"/>
    <w:qFormat/>
    <w:rsid w:val="000E7485"/>
    <w:pPr>
      <w:numPr>
        <w:ilvl w:val="0"/>
        <w:numId w:val="0"/>
      </w:numPr>
      <w:ind w:left="3402"/>
    </w:pPr>
  </w:style>
  <w:style w:type="character" w:customStyle="1" w:styleId="B3Char">
    <w:name w:val="B3 Char"/>
    <w:basedOn w:val="H3Char"/>
    <w:link w:val="B3"/>
    <w:rsid w:val="000E7485"/>
  </w:style>
  <w:style w:type="paragraph" w:customStyle="1" w:styleId="Names">
    <w:name w:val="Names"/>
    <w:basedOn w:val="Normal"/>
    <w:link w:val="NamesChar"/>
    <w:qFormat/>
    <w:rsid w:val="008C02A2"/>
    <w:pPr>
      <w:spacing w:line="480" w:lineRule="auto"/>
      <w:jc w:val="both"/>
    </w:pPr>
    <w:rPr>
      <w:b/>
      <w:caps/>
    </w:rPr>
  </w:style>
  <w:style w:type="character" w:customStyle="1" w:styleId="B4Char">
    <w:name w:val="B4 Char"/>
    <w:basedOn w:val="H4Char"/>
    <w:link w:val="B4"/>
    <w:rsid w:val="000E7485"/>
  </w:style>
  <w:style w:type="character" w:customStyle="1" w:styleId="NamesChar">
    <w:name w:val="Names Char"/>
    <w:link w:val="Names"/>
    <w:rsid w:val="008C02A2"/>
    <w:rPr>
      <w:b/>
      <w:caps/>
    </w:rPr>
  </w:style>
  <w:style w:type="paragraph" w:styleId="Header">
    <w:name w:val="header"/>
    <w:basedOn w:val="Normal"/>
    <w:link w:val="HeaderChar"/>
    <w:uiPriority w:val="99"/>
    <w:unhideWhenUsed/>
    <w:rsid w:val="000B191D"/>
    <w:pPr>
      <w:tabs>
        <w:tab w:val="center" w:pos="4513"/>
        <w:tab w:val="right" w:pos="9026"/>
      </w:tabs>
    </w:pPr>
  </w:style>
  <w:style w:type="character" w:customStyle="1" w:styleId="HeaderChar">
    <w:name w:val="Header Char"/>
    <w:link w:val="Header"/>
    <w:uiPriority w:val="99"/>
    <w:rsid w:val="000B191D"/>
    <w:rPr>
      <w:sz w:val="24"/>
      <w:szCs w:val="22"/>
      <w:lang w:val="en-GB" w:eastAsia="en-GB"/>
    </w:rPr>
  </w:style>
  <w:style w:type="paragraph" w:styleId="Footer">
    <w:name w:val="footer"/>
    <w:basedOn w:val="Normal"/>
    <w:link w:val="FooterChar"/>
    <w:uiPriority w:val="99"/>
    <w:unhideWhenUsed/>
    <w:rsid w:val="000B191D"/>
    <w:pPr>
      <w:tabs>
        <w:tab w:val="center" w:pos="4513"/>
        <w:tab w:val="right" w:pos="9026"/>
      </w:tabs>
    </w:pPr>
  </w:style>
  <w:style w:type="character" w:customStyle="1" w:styleId="FooterChar">
    <w:name w:val="Footer Char"/>
    <w:link w:val="Footer"/>
    <w:uiPriority w:val="99"/>
    <w:rsid w:val="000B191D"/>
    <w:rPr>
      <w:sz w:val="24"/>
      <w:szCs w:val="22"/>
      <w:lang w:val="en-GB" w:eastAsia="en-GB"/>
    </w:rPr>
  </w:style>
  <w:style w:type="paragraph" w:styleId="ListParagraph">
    <w:name w:val="List Paragraph"/>
    <w:basedOn w:val="Normal"/>
    <w:uiPriority w:val="34"/>
    <w:qFormat/>
    <w:rsid w:val="00125982"/>
    <w:pPr>
      <w:ind w:left="720"/>
      <w:contextualSpacing/>
    </w:pPr>
  </w:style>
  <w:style w:type="character" w:customStyle="1" w:styleId="Heading1Char">
    <w:name w:val="Heading 1 Char"/>
    <w:basedOn w:val="DefaultParagraphFont"/>
    <w:link w:val="Heading1"/>
    <w:uiPriority w:val="9"/>
    <w:rsid w:val="00DF30AB"/>
    <w:rPr>
      <w:rFonts w:eastAsiaTheme="majorEastAsia" w:cstheme="majorBidi"/>
      <w:sz w:val="24"/>
      <w:szCs w:val="32"/>
      <w:lang w:val="en-GB" w:eastAsia="en-GB"/>
    </w:rPr>
  </w:style>
  <w:style w:type="character" w:customStyle="1" w:styleId="mc">
    <w:name w:val="mc"/>
    <w:basedOn w:val="DefaultParagraphFont"/>
    <w:rsid w:val="00772531"/>
  </w:style>
  <w:style w:type="character" w:styleId="Hyperlink">
    <w:name w:val="Hyperlink"/>
    <w:basedOn w:val="DefaultParagraphFont"/>
    <w:uiPriority w:val="99"/>
    <w:semiHidden/>
    <w:unhideWhenUsed/>
    <w:rsid w:val="007725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656567">
      <w:bodyDiv w:val="1"/>
      <w:marLeft w:val="0"/>
      <w:marRight w:val="0"/>
      <w:marTop w:val="0"/>
      <w:marBottom w:val="0"/>
      <w:divBdr>
        <w:top w:val="none" w:sz="0" w:space="0" w:color="auto"/>
        <w:left w:val="none" w:sz="0" w:space="0" w:color="auto"/>
        <w:bottom w:val="none" w:sz="0" w:space="0" w:color="auto"/>
        <w:right w:val="none" w:sz="0" w:space="0" w:color="auto"/>
      </w:divBdr>
    </w:div>
    <w:div w:id="1864007058">
      <w:bodyDiv w:val="1"/>
      <w:marLeft w:val="0"/>
      <w:marRight w:val="0"/>
      <w:marTop w:val="0"/>
      <w:marBottom w:val="0"/>
      <w:divBdr>
        <w:top w:val="none" w:sz="0" w:space="0" w:color="auto"/>
        <w:left w:val="none" w:sz="0" w:space="0" w:color="auto"/>
        <w:bottom w:val="none" w:sz="0" w:space="0" w:color="auto"/>
        <w:right w:val="none" w:sz="0" w:space="0" w:color="auto"/>
      </w:divBdr>
      <w:divsChild>
        <w:div w:id="47455461">
          <w:marLeft w:val="0"/>
          <w:marRight w:val="0"/>
          <w:marTop w:val="120"/>
          <w:marBottom w:val="0"/>
          <w:divBdr>
            <w:top w:val="none" w:sz="0" w:space="0" w:color="auto"/>
            <w:left w:val="none" w:sz="0" w:space="0" w:color="auto"/>
            <w:bottom w:val="none" w:sz="0" w:space="0" w:color="auto"/>
            <w:right w:val="none" w:sz="0" w:space="0" w:color="auto"/>
          </w:divBdr>
        </w:div>
        <w:div w:id="239409416">
          <w:marLeft w:val="567"/>
          <w:marRight w:val="0"/>
          <w:marTop w:val="60"/>
          <w:marBottom w:val="0"/>
          <w:divBdr>
            <w:top w:val="none" w:sz="0" w:space="0" w:color="auto"/>
            <w:left w:val="none" w:sz="0" w:space="0" w:color="auto"/>
            <w:bottom w:val="none" w:sz="0" w:space="0" w:color="auto"/>
            <w:right w:val="none" w:sz="0" w:space="0" w:color="auto"/>
          </w:divBdr>
        </w:div>
        <w:div w:id="1681275721">
          <w:marLeft w:val="0"/>
          <w:marRight w:val="0"/>
          <w:marTop w:val="120"/>
          <w:marBottom w:val="0"/>
          <w:divBdr>
            <w:top w:val="none" w:sz="0" w:space="0" w:color="auto"/>
            <w:left w:val="none" w:sz="0" w:space="0" w:color="auto"/>
            <w:bottom w:val="none" w:sz="0" w:space="0" w:color="auto"/>
            <w:right w:val="none" w:sz="0" w:space="0" w:color="auto"/>
          </w:divBdr>
        </w:div>
      </w:divsChild>
    </w:div>
    <w:div w:id="21369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av\Desktop\Documents\Templates\Templates\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Affidavit</Template>
  <TotalTime>0</TotalTime>
  <Pages>20</Pages>
  <Words>3891</Words>
  <Characters>22179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Olav</dc:creator>
  <cp:lastModifiedBy>Mokone</cp:lastModifiedBy>
  <cp:revision>2</cp:revision>
  <dcterms:created xsi:type="dcterms:W3CDTF">2023-09-06T13:44:00Z</dcterms:created>
  <dcterms:modified xsi:type="dcterms:W3CDTF">2023-09-06T13:44:00Z</dcterms:modified>
</cp:coreProperties>
</file>