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277EC" w14:textId="3AC07C72" w:rsidR="00966636" w:rsidRDefault="00966636" w:rsidP="00966636">
      <w:pPr>
        <w:spacing w:after="0" w:line="480" w:lineRule="auto"/>
        <w:rPr>
          <w:rFonts w:ascii="Arial" w:hAnsi="Arial" w:cs="Arial"/>
          <w:b/>
          <w:sz w:val="24"/>
          <w:szCs w:val="24"/>
          <w:lang w:val="en-US"/>
        </w:rPr>
      </w:pPr>
      <w:bookmarkStart w:id="0" w:name="_GoBack"/>
      <w:bookmarkEnd w:id="0"/>
      <w:r>
        <w:rPr>
          <w:rFonts w:ascii="Arial" w:hAnsi="Arial" w:cs="Arial"/>
          <w:noProof/>
          <w:sz w:val="24"/>
          <w:szCs w:val="24"/>
          <w:lang w:val="en-US"/>
        </w:rPr>
        <w:drawing>
          <wp:anchor distT="0" distB="0" distL="114300" distR="114300" simplePos="0" relativeHeight="251659264" behindDoc="0" locked="0" layoutInCell="1" allowOverlap="1" wp14:anchorId="48EF8C23" wp14:editId="7466C740">
            <wp:simplePos x="0" y="0"/>
            <wp:positionH relativeFrom="column">
              <wp:posOffset>2125980</wp:posOffset>
            </wp:positionH>
            <wp:positionV relativeFrom="paragraph">
              <wp:posOffset>0</wp:posOffset>
            </wp:positionV>
            <wp:extent cx="1400175" cy="1333500"/>
            <wp:effectExtent l="0" t="0" r="9525" b="0"/>
            <wp:wrapSquare wrapText="bothSides"/>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anchor>
        </w:drawing>
      </w:r>
      <w:r w:rsidR="00E37387">
        <w:rPr>
          <w:rFonts w:ascii="Arial" w:hAnsi="Arial" w:cs="Arial"/>
          <w:b/>
          <w:sz w:val="24"/>
          <w:szCs w:val="24"/>
          <w:lang w:val="en-US"/>
        </w:rPr>
        <w:t>`</w:t>
      </w:r>
      <w:r>
        <w:rPr>
          <w:rFonts w:ascii="Arial" w:hAnsi="Arial" w:cs="Arial"/>
          <w:b/>
          <w:sz w:val="24"/>
          <w:szCs w:val="24"/>
          <w:lang w:val="en-US"/>
        </w:rPr>
        <w:br w:type="textWrapping" w:clear="all"/>
      </w:r>
    </w:p>
    <w:p w14:paraId="653F7306" w14:textId="77777777" w:rsidR="00966636" w:rsidRDefault="00966636" w:rsidP="00966636">
      <w:pPr>
        <w:spacing w:after="0" w:line="480" w:lineRule="auto"/>
        <w:jc w:val="center"/>
        <w:rPr>
          <w:rFonts w:ascii="Arial" w:hAnsi="Arial" w:cs="Arial"/>
          <w:b/>
          <w:sz w:val="24"/>
          <w:szCs w:val="24"/>
          <w:lang w:val="en-US"/>
        </w:rPr>
      </w:pPr>
      <w:r>
        <w:rPr>
          <w:rFonts w:ascii="Arial" w:hAnsi="Arial" w:cs="Arial"/>
          <w:b/>
          <w:sz w:val="24"/>
          <w:szCs w:val="24"/>
          <w:lang w:val="en-US"/>
        </w:rPr>
        <w:t>IN THE HIGH COURT OF SOUTH AFRICA</w:t>
      </w:r>
    </w:p>
    <w:p w14:paraId="4E2C994D" w14:textId="77777777" w:rsidR="00966636" w:rsidRDefault="00966636" w:rsidP="00966636">
      <w:pPr>
        <w:spacing w:after="0" w:line="480" w:lineRule="auto"/>
        <w:jc w:val="center"/>
        <w:rPr>
          <w:rFonts w:ascii="Arial" w:hAnsi="Arial" w:cs="Arial"/>
          <w:b/>
          <w:sz w:val="24"/>
          <w:szCs w:val="24"/>
          <w:lang w:val="en-US"/>
        </w:rPr>
      </w:pPr>
      <w:r>
        <w:rPr>
          <w:rFonts w:ascii="Arial" w:hAnsi="Arial" w:cs="Arial"/>
          <w:b/>
          <w:sz w:val="24"/>
          <w:szCs w:val="24"/>
          <w:lang w:val="en-US"/>
        </w:rPr>
        <w:t>(EASTERN CAPE DIVISION – GQEBERHA)</w:t>
      </w:r>
    </w:p>
    <w:p w14:paraId="2001FCEF" w14:textId="77777777" w:rsidR="00966636" w:rsidRDefault="00966636" w:rsidP="00966636">
      <w:pPr>
        <w:spacing w:after="0" w:line="480" w:lineRule="auto"/>
        <w:jc w:val="right"/>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CASE NO.: 3105/2022</w:t>
      </w:r>
    </w:p>
    <w:p w14:paraId="07512E20" w14:textId="25571076" w:rsidR="00966636" w:rsidRDefault="00966636" w:rsidP="00966636">
      <w:pPr>
        <w:spacing w:after="0" w:line="480" w:lineRule="auto"/>
        <w:jc w:val="center"/>
        <w:rPr>
          <w:rFonts w:ascii="Arial" w:hAnsi="Arial" w:cs="Arial"/>
          <w:b/>
          <w:sz w:val="24"/>
          <w:szCs w:val="24"/>
          <w:lang w:val="en-US"/>
        </w:rPr>
      </w:pPr>
      <w:r>
        <w:rPr>
          <w:rFonts w:ascii="Arial" w:hAnsi="Arial" w:cs="Arial"/>
          <w:b/>
          <w:sz w:val="24"/>
          <w:szCs w:val="24"/>
          <w:lang w:val="en-US"/>
        </w:rPr>
        <w:t xml:space="preserve">                                                  </w:t>
      </w:r>
      <w:r w:rsidR="008D5870">
        <w:rPr>
          <w:rFonts w:ascii="Arial" w:hAnsi="Arial" w:cs="Arial"/>
          <w:b/>
          <w:sz w:val="24"/>
          <w:szCs w:val="24"/>
          <w:lang w:val="en-US"/>
        </w:rPr>
        <w:tab/>
      </w:r>
      <w:r w:rsidR="008D5870">
        <w:rPr>
          <w:rFonts w:ascii="Arial" w:hAnsi="Arial" w:cs="Arial"/>
          <w:b/>
          <w:sz w:val="24"/>
          <w:szCs w:val="24"/>
          <w:lang w:val="en-US"/>
        </w:rPr>
        <w:tab/>
      </w:r>
      <w:r w:rsidR="008D5870">
        <w:rPr>
          <w:rFonts w:ascii="Arial" w:hAnsi="Arial" w:cs="Arial"/>
          <w:b/>
          <w:sz w:val="24"/>
          <w:szCs w:val="24"/>
          <w:lang w:val="en-US"/>
        </w:rPr>
        <w:tab/>
      </w:r>
      <w:r>
        <w:rPr>
          <w:rFonts w:ascii="Arial" w:hAnsi="Arial" w:cs="Arial"/>
          <w:b/>
          <w:sz w:val="24"/>
          <w:szCs w:val="24"/>
          <w:lang w:val="en-US"/>
        </w:rPr>
        <w:t xml:space="preserve"> </w:t>
      </w:r>
      <w:r w:rsidR="008D5870">
        <w:rPr>
          <w:rFonts w:ascii="Arial" w:hAnsi="Arial" w:cs="Arial"/>
          <w:b/>
          <w:sz w:val="24"/>
          <w:szCs w:val="24"/>
          <w:lang w:val="en-US"/>
        </w:rPr>
        <w:t xml:space="preserve">      </w:t>
      </w:r>
      <w:r>
        <w:rPr>
          <w:rFonts w:ascii="Arial" w:hAnsi="Arial" w:cs="Arial"/>
          <w:b/>
          <w:sz w:val="24"/>
          <w:szCs w:val="24"/>
          <w:lang w:val="en-US"/>
        </w:rPr>
        <w:t xml:space="preserve">Matter heard on:   </w:t>
      </w:r>
      <w:r w:rsidR="008D5870">
        <w:rPr>
          <w:rFonts w:ascii="Arial" w:hAnsi="Arial" w:cs="Arial"/>
          <w:b/>
          <w:sz w:val="24"/>
          <w:szCs w:val="24"/>
          <w:lang w:val="en-US"/>
        </w:rPr>
        <w:t>20 July 2023</w:t>
      </w:r>
    </w:p>
    <w:p w14:paraId="5063382C" w14:textId="071FF276" w:rsidR="00966636" w:rsidRDefault="00966636" w:rsidP="00966636">
      <w:pPr>
        <w:spacing w:after="0" w:line="480" w:lineRule="auto"/>
        <w:jc w:val="center"/>
        <w:rPr>
          <w:rFonts w:ascii="Arial" w:hAnsi="Arial" w:cs="Arial"/>
          <w:b/>
          <w:sz w:val="24"/>
          <w:szCs w:val="24"/>
          <w:lang w:val="en-US"/>
        </w:rPr>
      </w:pPr>
      <w:r>
        <w:rPr>
          <w:rFonts w:ascii="Arial" w:hAnsi="Arial" w:cs="Arial"/>
          <w:b/>
          <w:sz w:val="24"/>
          <w:szCs w:val="24"/>
          <w:lang w:val="en-US"/>
        </w:rPr>
        <w:t xml:space="preserve">                                                  </w:t>
      </w:r>
      <w:r w:rsidR="00F81C77">
        <w:rPr>
          <w:rFonts w:ascii="Arial" w:hAnsi="Arial" w:cs="Arial"/>
          <w:b/>
          <w:sz w:val="24"/>
          <w:szCs w:val="24"/>
          <w:lang w:val="en-US"/>
        </w:rPr>
        <w:t xml:space="preserve">           </w:t>
      </w:r>
      <w:r>
        <w:rPr>
          <w:rFonts w:ascii="Arial" w:hAnsi="Arial" w:cs="Arial"/>
          <w:b/>
          <w:sz w:val="24"/>
          <w:szCs w:val="24"/>
          <w:lang w:val="en-US"/>
        </w:rPr>
        <w:t xml:space="preserve">Judgment delivered on:   </w:t>
      </w:r>
      <w:r w:rsidR="00F81C77">
        <w:rPr>
          <w:rFonts w:ascii="Arial" w:hAnsi="Arial" w:cs="Arial"/>
          <w:b/>
          <w:sz w:val="24"/>
          <w:szCs w:val="24"/>
          <w:lang w:val="en-US"/>
        </w:rPr>
        <w:t>5 September 2023</w:t>
      </w:r>
    </w:p>
    <w:p w14:paraId="096ED2D2" w14:textId="77777777" w:rsidR="00966636" w:rsidRDefault="00966636" w:rsidP="00966636">
      <w:pPr>
        <w:spacing w:after="0" w:line="480" w:lineRule="auto"/>
        <w:jc w:val="both"/>
        <w:rPr>
          <w:rFonts w:ascii="Arial" w:hAnsi="Arial" w:cs="Arial"/>
          <w:bCs/>
          <w:sz w:val="24"/>
          <w:szCs w:val="24"/>
          <w:lang w:val="en-US"/>
        </w:rPr>
      </w:pPr>
    </w:p>
    <w:p w14:paraId="7B9A65CD" w14:textId="77777777" w:rsidR="00966636" w:rsidRDefault="00966636" w:rsidP="00966636">
      <w:pPr>
        <w:spacing w:after="0" w:line="480" w:lineRule="auto"/>
        <w:jc w:val="both"/>
        <w:rPr>
          <w:rFonts w:ascii="Arial" w:hAnsi="Arial" w:cs="Arial"/>
          <w:bCs/>
          <w:sz w:val="24"/>
          <w:szCs w:val="24"/>
          <w:lang w:val="en-US"/>
        </w:rPr>
      </w:pPr>
      <w:r>
        <w:rPr>
          <w:rFonts w:ascii="Arial" w:hAnsi="Arial" w:cs="Arial"/>
          <w:bCs/>
          <w:sz w:val="24"/>
          <w:szCs w:val="24"/>
          <w:lang w:val="en-US"/>
        </w:rPr>
        <w:t>In the matter between: -</w:t>
      </w:r>
    </w:p>
    <w:p w14:paraId="6D406D6B" w14:textId="77777777" w:rsidR="00966636" w:rsidRDefault="00966636" w:rsidP="00966636">
      <w:pPr>
        <w:spacing w:after="0" w:line="480" w:lineRule="auto"/>
        <w:jc w:val="both"/>
        <w:rPr>
          <w:rFonts w:ascii="Arial" w:hAnsi="Arial" w:cs="Arial"/>
          <w:b/>
          <w:sz w:val="24"/>
          <w:szCs w:val="24"/>
          <w:lang w:val="en-US"/>
        </w:rPr>
      </w:pPr>
    </w:p>
    <w:p w14:paraId="5BB29D20" w14:textId="77777777" w:rsidR="00966636" w:rsidRDefault="00966636" w:rsidP="00966636">
      <w:pPr>
        <w:spacing w:after="0" w:line="480" w:lineRule="auto"/>
        <w:jc w:val="both"/>
        <w:rPr>
          <w:rFonts w:ascii="Arial" w:hAnsi="Arial" w:cs="Arial"/>
          <w:bCs/>
          <w:sz w:val="24"/>
          <w:szCs w:val="24"/>
          <w:lang w:val="en-US"/>
        </w:rPr>
      </w:pPr>
      <w:r>
        <w:rPr>
          <w:rFonts w:ascii="Arial" w:hAnsi="Arial" w:cs="Arial"/>
          <w:b/>
          <w:sz w:val="24"/>
          <w:szCs w:val="24"/>
          <w:lang w:val="en-US"/>
        </w:rPr>
        <w:t xml:space="preserve">ZIMBABWE CONSOLIDATED DIAMOND COMPANY                                        </w:t>
      </w:r>
      <w:r>
        <w:rPr>
          <w:rFonts w:ascii="Arial" w:hAnsi="Arial" w:cs="Arial"/>
          <w:bCs/>
          <w:sz w:val="24"/>
          <w:szCs w:val="24"/>
          <w:lang w:val="en-US"/>
        </w:rPr>
        <w:t xml:space="preserve">Plaintiff </w:t>
      </w:r>
    </w:p>
    <w:p w14:paraId="19089586" w14:textId="071F2FA9" w:rsidR="00966636" w:rsidRPr="00966636" w:rsidRDefault="00966636" w:rsidP="00966636">
      <w:pPr>
        <w:spacing w:after="0" w:line="480" w:lineRule="auto"/>
        <w:jc w:val="both"/>
        <w:rPr>
          <w:rFonts w:ascii="Arial" w:hAnsi="Arial" w:cs="Arial"/>
          <w:bCs/>
          <w:sz w:val="24"/>
          <w:szCs w:val="24"/>
          <w:lang w:val="en-US"/>
        </w:rPr>
      </w:pPr>
      <w:r>
        <w:rPr>
          <w:rFonts w:ascii="Arial" w:hAnsi="Arial" w:cs="Arial"/>
          <w:bCs/>
          <w:sz w:val="24"/>
          <w:szCs w:val="24"/>
          <w:lang w:val="en-US"/>
        </w:rPr>
        <w:t>(Registration No. 4943/2015)</w:t>
      </w:r>
    </w:p>
    <w:p w14:paraId="6E42CD2F" w14:textId="77777777" w:rsidR="00966636" w:rsidRDefault="00966636" w:rsidP="00966636">
      <w:pPr>
        <w:spacing w:after="0" w:line="480" w:lineRule="auto"/>
        <w:jc w:val="both"/>
        <w:rPr>
          <w:rFonts w:ascii="Arial" w:hAnsi="Arial" w:cs="Arial"/>
          <w:bCs/>
          <w:sz w:val="24"/>
          <w:szCs w:val="24"/>
          <w:lang w:val="en-US"/>
        </w:rPr>
      </w:pPr>
    </w:p>
    <w:p w14:paraId="13C667E2" w14:textId="77777777" w:rsidR="00966636" w:rsidRDefault="00966636" w:rsidP="00966636">
      <w:pPr>
        <w:spacing w:after="0" w:line="480" w:lineRule="auto"/>
        <w:jc w:val="both"/>
        <w:rPr>
          <w:rFonts w:ascii="Arial" w:hAnsi="Arial" w:cs="Arial"/>
          <w:bCs/>
          <w:sz w:val="24"/>
          <w:szCs w:val="24"/>
          <w:lang w:val="en-US"/>
        </w:rPr>
      </w:pPr>
      <w:r>
        <w:rPr>
          <w:rFonts w:ascii="Arial" w:hAnsi="Arial" w:cs="Arial"/>
          <w:bCs/>
          <w:sz w:val="24"/>
          <w:szCs w:val="24"/>
          <w:lang w:val="en-US"/>
        </w:rPr>
        <w:t>and</w:t>
      </w:r>
    </w:p>
    <w:p w14:paraId="3D8BFA7B" w14:textId="77777777" w:rsidR="00966636" w:rsidRDefault="00966636" w:rsidP="00966636">
      <w:pPr>
        <w:spacing w:after="0" w:line="480" w:lineRule="auto"/>
        <w:jc w:val="both"/>
        <w:rPr>
          <w:rFonts w:ascii="Arial" w:hAnsi="Arial" w:cs="Arial"/>
          <w:bCs/>
          <w:sz w:val="24"/>
          <w:szCs w:val="24"/>
          <w:lang w:val="en-US"/>
        </w:rPr>
      </w:pPr>
    </w:p>
    <w:p w14:paraId="3E150F0F" w14:textId="77777777" w:rsidR="00966636" w:rsidRDefault="00966636" w:rsidP="00966636">
      <w:pPr>
        <w:spacing w:after="0" w:line="480" w:lineRule="auto"/>
        <w:rPr>
          <w:rFonts w:ascii="Arial" w:hAnsi="Arial" w:cs="Arial"/>
          <w:b/>
          <w:sz w:val="24"/>
          <w:szCs w:val="24"/>
          <w:lang w:val="en-US"/>
        </w:rPr>
      </w:pPr>
      <w:r>
        <w:rPr>
          <w:rFonts w:ascii="Arial" w:hAnsi="Arial" w:cs="Arial"/>
          <w:b/>
          <w:sz w:val="24"/>
          <w:szCs w:val="24"/>
          <w:lang w:val="en-US"/>
        </w:rPr>
        <w:t>SMIT INVESTMENT HOLDINGS SA (PTY) LTD</w:t>
      </w:r>
    </w:p>
    <w:p w14:paraId="4CE01CDD" w14:textId="02FE39AE" w:rsidR="00966636" w:rsidRDefault="00966636" w:rsidP="00966636">
      <w:pPr>
        <w:spacing w:after="0" w:line="480" w:lineRule="auto"/>
        <w:jc w:val="both"/>
        <w:rPr>
          <w:rFonts w:ascii="Arial" w:hAnsi="Arial" w:cs="Arial"/>
          <w:bCs/>
          <w:sz w:val="24"/>
          <w:szCs w:val="24"/>
          <w:lang w:val="en-US"/>
        </w:rPr>
      </w:pPr>
      <w:r>
        <w:rPr>
          <w:rFonts w:ascii="Arial" w:hAnsi="Arial" w:cs="Arial"/>
          <w:b/>
          <w:sz w:val="24"/>
          <w:szCs w:val="24"/>
          <w:lang w:val="en-US"/>
        </w:rPr>
        <w:t>T/A GECKO PROJECTS</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Cs/>
          <w:sz w:val="24"/>
          <w:szCs w:val="24"/>
          <w:lang w:val="en-US"/>
        </w:rPr>
        <w:t xml:space="preserve">                                           </w:t>
      </w:r>
      <w:r w:rsidR="00E63AA8">
        <w:rPr>
          <w:rFonts w:ascii="Arial" w:hAnsi="Arial" w:cs="Arial"/>
          <w:bCs/>
          <w:sz w:val="24"/>
          <w:szCs w:val="24"/>
          <w:lang w:val="en-US"/>
        </w:rPr>
        <w:t>Defendant</w:t>
      </w:r>
    </w:p>
    <w:p w14:paraId="2466C0F7" w14:textId="6ACA15E5" w:rsidR="00966636" w:rsidRDefault="00966636" w:rsidP="00966636">
      <w:pPr>
        <w:spacing w:after="0" w:line="480" w:lineRule="auto"/>
        <w:jc w:val="both"/>
        <w:rPr>
          <w:rFonts w:ascii="Arial" w:hAnsi="Arial" w:cs="Arial"/>
          <w:bCs/>
          <w:sz w:val="24"/>
          <w:szCs w:val="24"/>
          <w:lang w:val="en-US"/>
        </w:rPr>
      </w:pPr>
      <w:r>
        <w:rPr>
          <w:rFonts w:ascii="Arial" w:hAnsi="Arial" w:cs="Arial"/>
          <w:bCs/>
          <w:sz w:val="24"/>
          <w:szCs w:val="24"/>
          <w:lang w:val="en-US"/>
        </w:rPr>
        <w:t>(Registration No. 2007/028020/07)</w:t>
      </w:r>
    </w:p>
    <w:p w14:paraId="26858994" w14:textId="77777777" w:rsidR="00966636" w:rsidRPr="008255C2" w:rsidRDefault="00966636" w:rsidP="00966636">
      <w:pPr>
        <w:spacing w:after="0" w:line="480" w:lineRule="auto"/>
        <w:jc w:val="both"/>
        <w:rPr>
          <w:rFonts w:ascii="Arial" w:hAnsi="Arial" w:cs="Arial"/>
          <w:bCs/>
          <w:sz w:val="24"/>
          <w:szCs w:val="24"/>
          <w:lang w:val="en-US"/>
        </w:rPr>
      </w:pP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966636" w:rsidRPr="005C76EF" w14:paraId="58AC5D73" w14:textId="77777777" w:rsidTr="00047D96">
        <w:trPr>
          <w:trHeight w:val="2117"/>
        </w:trPr>
        <w:tc>
          <w:tcPr>
            <w:tcW w:w="4948" w:type="dxa"/>
          </w:tcPr>
          <w:p w14:paraId="6BFBC1F6" w14:textId="77777777" w:rsidR="00966636" w:rsidRPr="005C76EF" w:rsidRDefault="00966636" w:rsidP="00047D96">
            <w:pPr>
              <w:numPr>
                <w:ilvl w:val="0"/>
                <w:numId w:val="1"/>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lastRenderedPageBreak/>
              <w:t>REPORTABLE: NO</w:t>
            </w:r>
          </w:p>
          <w:p w14:paraId="344CFA59" w14:textId="77777777" w:rsidR="00966636" w:rsidRPr="005C76EF" w:rsidRDefault="00966636" w:rsidP="00047D96">
            <w:pPr>
              <w:numPr>
                <w:ilvl w:val="0"/>
                <w:numId w:val="1"/>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 xml:space="preserve">OF INTEREST TO OTHER JUDGES: </w:t>
            </w:r>
            <w:r>
              <w:rPr>
                <w:rFonts w:ascii="Arial" w:hAnsi="Arial" w:cs="Arial"/>
                <w:b/>
                <w:sz w:val="18"/>
                <w:szCs w:val="18"/>
                <w:lang w:val="en-US"/>
              </w:rPr>
              <w:t>YES</w:t>
            </w:r>
          </w:p>
          <w:p w14:paraId="082CE51A" w14:textId="77777777" w:rsidR="00966636" w:rsidRPr="005C76EF" w:rsidRDefault="00966636" w:rsidP="00047D96">
            <w:pPr>
              <w:numPr>
                <w:ilvl w:val="0"/>
                <w:numId w:val="1"/>
              </w:numPr>
              <w:spacing w:after="160" w:line="360" w:lineRule="auto"/>
              <w:ind w:left="447" w:hanging="425"/>
              <w:contextualSpacing/>
              <w:jc w:val="both"/>
              <w:rPr>
                <w:rFonts w:ascii="Arial" w:hAnsi="Arial" w:cs="Arial"/>
                <w:b/>
                <w:sz w:val="18"/>
                <w:szCs w:val="18"/>
                <w:lang w:val="en-US"/>
              </w:rPr>
            </w:pPr>
            <w:r w:rsidRPr="005C76EF">
              <w:rPr>
                <w:rFonts w:ascii="Arial" w:hAnsi="Arial" w:cs="Arial"/>
                <w:b/>
                <w:sz w:val="18"/>
                <w:szCs w:val="18"/>
                <w:lang w:val="en-US"/>
              </w:rPr>
              <w:t>REVISED.</w:t>
            </w:r>
          </w:p>
          <w:p w14:paraId="3D5DD5D6" w14:textId="77777777" w:rsidR="00966636" w:rsidRPr="005C76EF" w:rsidRDefault="00966636" w:rsidP="00047D96">
            <w:pPr>
              <w:spacing w:line="360" w:lineRule="auto"/>
              <w:ind w:left="447"/>
              <w:contextualSpacing/>
              <w:jc w:val="both"/>
              <w:rPr>
                <w:rFonts w:ascii="Arial" w:hAnsi="Arial" w:cs="Arial"/>
                <w:b/>
                <w:sz w:val="18"/>
                <w:szCs w:val="18"/>
                <w:lang w:val="en-US"/>
              </w:rPr>
            </w:pPr>
          </w:p>
          <w:p w14:paraId="53E13FD8" w14:textId="77777777" w:rsidR="00966636" w:rsidRPr="005C76EF" w:rsidRDefault="00966636" w:rsidP="00047D96">
            <w:pPr>
              <w:spacing w:line="360" w:lineRule="auto"/>
              <w:jc w:val="both"/>
              <w:rPr>
                <w:rFonts w:ascii="Arial" w:hAnsi="Arial" w:cs="Arial"/>
                <w:b/>
                <w:sz w:val="18"/>
                <w:szCs w:val="18"/>
                <w:lang w:val="en-US"/>
              </w:rPr>
            </w:pPr>
            <w:r w:rsidRPr="005C76EF">
              <w:rPr>
                <w:rFonts w:ascii="Arial" w:hAnsi="Arial" w:cs="Arial"/>
                <w:b/>
                <w:sz w:val="18"/>
                <w:szCs w:val="18"/>
                <w:lang w:val="en-US"/>
              </w:rPr>
              <w:t>…………………………               ………………………..</w:t>
            </w:r>
          </w:p>
          <w:p w14:paraId="035B17CA" w14:textId="77777777" w:rsidR="00966636" w:rsidRPr="005C76EF" w:rsidRDefault="00966636" w:rsidP="00047D96">
            <w:pPr>
              <w:spacing w:line="360" w:lineRule="auto"/>
              <w:jc w:val="both"/>
              <w:rPr>
                <w:rFonts w:ascii="Arial" w:hAnsi="Arial" w:cs="Arial"/>
                <w:b/>
                <w:sz w:val="18"/>
                <w:szCs w:val="18"/>
                <w:lang w:val="en-US"/>
              </w:rPr>
            </w:pPr>
            <w:r w:rsidRPr="005C76EF">
              <w:rPr>
                <w:rFonts w:ascii="Arial" w:hAnsi="Arial" w:cs="Arial"/>
                <w:b/>
                <w:sz w:val="18"/>
                <w:szCs w:val="18"/>
                <w:lang w:val="en-US"/>
              </w:rPr>
              <w:t>Signature                                       Date</w:t>
            </w:r>
          </w:p>
        </w:tc>
      </w:tr>
    </w:tbl>
    <w:p w14:paraId="5DEB4A12" w14:textId="77777777" w:rsidR="00966636" w:rsidRPr="00966636" w:rsidRDefault="00966636" w:rsidP="00966636">
      <w:pPr>
        <w:spacing w:after="0" w:line="480" w:lineRule="auto"/>
        <w:jc w:val="both"/>
        <w:rPr>
          <w:rFonts w:ascii="Arial" w:hAnsi="Arial" w:cs="Arial"/>
          <w:bCs/>
          <w:sz w:val="24"/>
          <w:szCs w:val="24"/>
          <w:lang w:val="en-US"/>
        </w:rPr>
      </w:pPr>
    </w:p>
    <w:p w14:paraId="74CEEFF2" w14:textId="77777777" w:rsidR="007E73B4" w:rsidRDefault="007E73B4"/>
    <w:p w14:paraId="61A6A7C6" w14:textId="77777777" w:rsidR="00966636" w:rsidRDefault="00966636"/>
    <w:p w14:paraId="14F890EB" w14:textId="77777777" w:rsidR="00966636" w:rsidRDefault="00966636"/>
    <w:p w14:paraId="05C11ADB" w14:textId="77777777" w:rsidR="00966636" w:rsidRDefault="00966636"/>
    <w:p w14:paraId="3789816A" w14:textId="77777777" w:rsidR="00966636" w:rsidRDefault="00966636"/>
    <w:p w14:paraId="455219EB" w14:textId="77777777" w:rsidR="00966636" w:rsidRDefault="00966636" w:rsidP="00966636">
      <w:pPr>
        <w:pBdr>
          <w:top w:val="single" w:sz="12" w:space="1" w:color="auto"/>
          <w:bottom w:val="single" w:sz="12" w:space="1" w:color="auto"/>
        </w:pBdr>
        <w:jc w:val="center"/>
        <w:rPr>
          <w:rFonts w:ascii="Arial" w:hAnsi="Arial" w:cs="Arial"/>
          <w:b/>
          <w:bCs/>
          <w:sz w:val="24"/>
          <w:szCs w:val="24"/>
        </w:rPr>
      </w:pPr>
    </w:p>
    <w:p w14:paraId="2E792416" w14:textId="6D136E6B" w:rsidR="00966636" w:rsidRDefault="00966636" w:rsidP="00966636">
      <w:pPr>
        <w:pBdr>
          <w:top w:val="single" w:sz="12" w:space="1" w:color="auto"/>
          <w:bottom w:val="single" w:sz="12" w:space="1" w:color="auto"/>
        </w:pBdr>
        <w:jc w:val="center"/>
        <w:rPr>
          <w:rFonts w:ascii="Arial" w:hAnsi="Arial" w:cs="Arial"/>
          <w:b/>
          <w:bCs/>
          <w:sz w:val="24"/>
          <w:szCs w:val="24"/>
        </w:rPr>
      </w:pPr>
      <w:r w:rsidRPr="00966636">
        <w:rPr>
          <w:rFonts w:ascii="Arial" w:hAnsi="Arial" w:cs="Arial"/>
          <w:b/>
          <w:bCs/>
          <w:sz w:val="24"/>
          <w:szCs w:val="24"/>
        </w:rPr>
        <w:t>JUDGMENT</w:t>
      </w:r>
      <w:r w:rsidR="006342B0">
        <w:rPr>
          <w:rFonts w:ascii="Arial" w:hAnsi="Arial" w:cs="Arial"/>
          <w:b/>
          <w:bCs/>
          <w:sz w:val="24"/>
          <w:szCs w:val="24"/>
        </w:rPr>
        <w:t xml:space="preserve"> ON EXCEPTION</w:t>
      </w:r>
    </w:p>
    <w:p w14:paraId="4CFC0E4F" w14:textId="77777777" w:rsidR="00966636" w:rsidRDefault="00966636" w:rsidP="00966636">
      <w:pPr>
        <w:pBdr>
          <w:top w:val="single" w:sz="12" w:space="1" w:color="auto"/>
          <w:bottom w:val="single" w:sz="12" w:space="1" w:color="auto"/>
        </w:pBdr>
        <w:jc w:val="center"/>
        <w:rPr>
          <w:rFonts w:ascii="Arial" w:hAnsi="Arial" w:cs="Arial"/>
          <w:b/>
          <w:bCs/>
          <w:sz w:val="24"/>
          <w:szCs w:val="24"/>
        </w:rPr>
      </w:pPr>
    </w:p>
    <w:p w14:paraId="0CD8DD96" w14:textId="77777777" w:rsidR="00966636" w:rsidRDefault="00966636" w:rsidP="00966636">
      <w:pPr>
        <w:rPr>
          <w:rFonts w:ascii="Arial" w:hAnsi="Arial" w:cs="Arial"/>
          <w:b/>
          <w:bCs/>
          <w:sz w:val="24"/>
          <w:szCs w:val="24"/>
        </w:rPr>
      </w:pPr>
    </w:p>
    <w:p w14:paraId="084584EC" w14:textId="77777777" w:rsidR="00966636" w:rsidRDefault="00966636" w:rsidP="00966636">
      <w:pPr>
        <w:spacing w:after="0" w:line="480" w:lineRule="auto"/>
        <w:jc w:val="both"/>
        <w:rPr>
          <w:rFonts w:ascii="Arial" w:hAnsi="Arial" w:cs="Arial"/>
          <w:b/>
          <w:sz w:val="24"/>
          <w:szCs w:val="24"/>
        </w:rPr>
      </w:pPr>
      <w:r>
        <w:rPr>
          <w:rFonts w:ascii="Arial" w:hAnsi="Arial" w:cs="Arial"/>
          <w:b/>
          <w:sz w:val="24"/>
          <w:szCs w:val="24"/>
        </w:rPr>
        <w:t>ELLIS AJ:</w:t>
      </w:r>
    </w:p>
    <w:p w14:paraId="701C49BB" w14:textId="77777777" w:rsidR="00966636" w:rsidRPr="00966636" w:rsidRDefault="00966636" w:rsidP="00966636">
      <w:pPr>
        <w:rPr>
          <w:rFonts w:ascii="Arial" w:hAnsi="Arial" w:cs="Arial"/>
          <w:b/>
          <w:bCs/>
          <w:sz w:val="24"/>
          <w:szCs w:val="24"/>
        </w:rPr>
      </w:pPr>
    </w:p>
    <w:p w14:paraId="1A739D82" w14:textId="514E1AE7" w:rsidR="00966636" w:rsidRDefault="00966636" w:rsidP="0096663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This </w:t>
      </w:r>
      <w:r w:rsidR="006342B0">
        <w:rPr>
          <w:rFonts w:ascii="Arial" w:hAnsi="Arial" w:cs="Arial"/>
          <w:sz w:val="24"/>
          <w:szCs w:val="24"/>
        </w:rPr>
        <w:t xml:space="preserve">judgment deals with </w:t>
      </w:r>
      <w:r w:rsidR="008D5870">
        <w:rPr>
          <w:rFonts w:ascii="Arial" w:hAnsi="Arial" w:cs="Arial"/>
          <w:sz w:val="24"/>
          <w:szCs w:val="24"/>
        </w:rPr>
        <w:t xml:space="preserve">two </w:t>
      </w:r>
      <w:r w:rsidR="006342B0">
        <w:rPr>
          <w:rFonts w:ascii="Arial" w:hAnsi="Arial" w:cs="Arial"/>
          <w:sz w:val="24"/>
          <w:szCs w:val="24"/>
        </w:rPr>
        <w:t xml:space="preserve">exceptions that </w:t>
      </w:r>
      <w:r w:rsidR="008D5870">
        <w:rPr>
          <w:rFonts w:ascii="Arial" w:hAnsi="Arial" w:cs="Arial"/>
          <w:sz w:val="24"/>
          <w:szCs w:val="24"/>
        </w:rPr>
        <w:t>were</w:t>
      </w:r>
      <w:r w:rsidR="006342B0">
        <w:rPr>
          <w:rFonts w:ascii="Arial" w:hAnsi="Arial" w:cs="Arial"/>
          <w:sz w:val="24"/>
          <w:szCs w:val="24"/>
        </w:rPr>
        <w:t xml:space="preserve"> raised against the particulars of claim delivered by the plaintiff in the action.  The excipient (“the defendant”) raised two grounds of complaint alleging that the particulars of claim do not contain the averments necessary to disclose the cause of action alternatively that </w:t>
      </w:r>
      <w:r w:rsidR="00065C13">
        <w:rPr>
          <w:rFonts w:ascii="Arial" w:hAnsi="Arial" w:cs="Arial"/>
          <w:sz w:val="24"/>
          <w:szCs w:val="24"/>
        </w:rPr>
        <w:t>they are</w:t>
      </w:r>
      <w:r w:rsidR="006342B0">
        <w:rPr>
          <w:rFonts w:ascii="Arial" w:hAnsi="Arial" w:cs="Arial"/>
          <w:sz w:val="24"/>
          <w:szCs w:val="24"/>
        </w:rPr>
        <w:t xml:space="preserve"> vague and embarrassing. </w:t>
      </w:r>
      <w:r w:rsidR="005E26D3">
        <w:rPr>
          <w:rFonts w:ascii="Arial" w:hAnsi="Arial" w:cs="Arial"/>
          <w:sz w:val="24"/>
          <w:szCs w:val="24"/>
        </w:rPr>
        <w:t>The plaintiff contends that there is no merit in either of the grounds advanced and seeks the dismissal</w:t>
      </w:r>
      <w:r w:rsidR="0034054A">
        <w:rPr>
          <w:rFonts w:ascii="Arial" w:hAnsi="Arial" w:cs="Arial"/>
          <w:sz w:val="24"/>
          <w:szCs w:val="24"/>
        </w:rPr>
        <w:t xml:space="preserve"> of the exce</w:t>
      </w:r>
      <w:r w:rsidR="00D04E41">
        <w:rPr>
          <w:rFonts w:ascii="Arial" w:hAnsi="Arial" w:cs="Arial"/>
          <w:sz w:val="24"/>
          <w:szCs w:val="24"/>
        </w:rPr>
        <w:t>p</w:t>
      </w:r>
      <w:r w:rsidR="0034054A">
        <w:rPr>
          <w:rFonts w:ascii="Arial" w:hAnsi="Arial" w:cs="Arial"/>
          <w:sz w:val="24"/>
          <w:szCs w:val="24"/>
        </w:rPr>
        <w:t>tions,</w:t>
      </w:r>
      <w:r w:rsidR="005E26D3">
        <w:rPr>
          <w:rFonts w:ascii="Arial" w:hAnsi="Arial" w:cs="Arial"/>
          <w:sz w:val="24"/>
          <w:szCs w:val="24"/>
        </w:rPr>
        <w:t xml:space="preserve"> with costs.  </w:t>
      </w:r>
    </w:p>
    <w:p w14:paraId="66776169" w14:textId="77777777" w:rsidR="005E26D3" w:rsidRDefault="005E26D3" w:rsidP="00966636">
      <w:pPr>
        <w:spacing w:after="0" w:line="360" w:lineRule="auto"/>
        <w:jc w:val="both"/>
        <w:rPr>
          <w:rFonts w:ascii="Arial" w:hAnsi="Arial" w:cs="Arial"/>
          <w:sz w:val="24"/>
          <w:szCs w:val="24"/>
        </w:rPr>
      </w:pPr>
    </w:p>
    <w:p w14:paraId="69D238B7" w14:textId="77777777" w:rsidR="009306CC" w:rsidRDefault="009306CC" w:rsidP="00966636">
      <w:pPr>
        <w:spacing w:after="0" w:line="360" w:lineRule="auto"/>
        <w:jc w:val="both"/>
        <w:rPr>
          <w:rFonts w:ascii="Arial" w:hAnsi="Arial" w:cs="Arial"/>
          <w:sz w:val="24"/>
          <w:szCs w:val="24"/>
        </w:rPr>
      </w:pPr>
    </w:p>
    <w:p w14:paraId="2ADC5EC2" w14:textId="753257AA" w:rsidR="005E26D3" w:rsidRDefault="005E26D3" w:rsidP="00966636">
      <w:pPr>
        <w:spacing w:after="0" w:line="360" w:lineRule="auto"/>
        <w:jc w:val="both"/>
        <w:rPr>
          <w:rFonts w:ascii="Arial" w:hAnsi="Arial" w:cs="Arial"/>
          <w:b/>
          <w:bCs/>
          <w:sz w:val="24"/>
          <w:szCs w:val="24"/>
          <w:u w:val="single"/>
        </w:rPr>
      </w:pPr>
      <w:r>
        <w:rPr>
          <w:rFonts w:ascii="Arial" w:hAnsi="Arial" w:cs="Arial"/>
          <w:b/>
          <w:bCs/>
          <w:sz w:val="24"/>
          <w:szCs w:val="24"/>
          <w:u w:val="single"/>
        </w:rPr>
        <w:t>B</w:t>
      </w:r>
      <w:r w:rsidR="001D10C8">
        <w:rPr>
          <w:rFonts w:ascii="Arial" w:hAnsi="Arial" w:cs="Arial"/>
          <w:b/>
          <w:bCs/>
          <w:sz w:val="24"/>
          <w:szCs w:val="24"/>
          <w:u w:val="single"/>
        </w:rPr>
        <w:t>ACKGROUND</w:t>
      </w:r>
    </w:p>
    <w:p w14:paraId="766D211F" w14:textId="77777777" w:rsidR="005E26D3" w:rsidRDefault="005E26D3" w:rsidP="00966636">
      <w:pPr>
        <w:spacing w:after="0" w:line="360" w:lineRule="auto"/>
        <w:jc w:val="both"/>
        <w:rPr>
          <w:rFonts w:ascii="Arial" w:hAnsi="Arial" w:cs="Arial"/>
          <w:b/>
          <w:bCs/>
          <w:sz w:val="24"/>
          <w:szCs w:val="24"/>
          <w:u w:val="single"/>
        </w:rPr>
      </w:pPr>
    </w:p>
    <w:p w14:paraId="3ADAE35C" w14:textId="4B5DD1A1" w:rsidR="005E26D3" w:rsidRDefault="005E26D3" w:rsidP="00966636">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plaintiff, Zimbabwe Consolidated Diamond Company, institut</w:t>
      </w:r>
      <w:r w:rsidR="008D5870">
        <w:rPr>
          <w:rFonts w:ascii="Arial" w:hAnsi="Arial" w:cs="Arial"/>
          <w:sz w:val="24"/>
          <w:szCs w:val="24"/>
        </w:rPr>
        <w:t>ed</w:t>
      </w:r>
      <w:r>
        <w:rPr>
          <w:rFonts w:ascii="Arial" w:hAnsi="Arial" w:cs="Arial"/>
          <w:sz w:val="24"/>
          <w:szCs w:val="24"/>
        </w:rPr>
        <w:t xml:space="preserve"> action against Smit Investment Holdings SA (Pty) Limited t/a Gecko Projects as defendant, seeking payment of US</w:t>
      </w:r>
      <w:r w:rsidR="006342B0">
        <w:rPr>
          <w:rFonts w:ascii="Arial" w:hAnsi="Arial" w:cs="Arial"/>
          <w:sz w:val="24"/>
          <w:szCs w:val="24"/>
        </w:rPr>
        <w:t>D</w:t>
      </w:r>
      <w:r>
        <w:rPr>
          <w:rFonts w:ascii="Arial" w:hAnsi="Arial" w:cs="Arial"/>
          <w:sz w:val="24"/>
          <w:szCs w:val="24"/>
        </w:rPr>
        <w:t>800 000</w:t>
      </w:r>
      <w:r w:rsidR="006342B0">
        <w:rPr>
          <w:rFonts w:ascii="Arial" w:hAnsi="Arial" w:cs="Arial"/>
          <w:sz w:val="24"/>
          <w:szCs w:val="24"/>
        </w:rPr>
        <w:t xml:space="preserve"> </w:t>
      </w:r>
      <w:r>
        <w:rPr>
          <w:rFonts w:ascii="Arial" w:hAnsi="Arial" w:cs="Arial"/>
          <w:sz w:val="24"/>
          <w:szCs w:val="24"/>
        </w:rPr>
        <w:t xml:space="preserve">being for the restoration of monies paid by it pursuant to a contract of sale which failed and was rendered </w:t>
      </w:r>
      <w:r>
        <w:rPr>
          <w:rFonts w:ascii="Arial" w:hAnsi="Arial" w:cs="Arial"/>
          <w:i/>
          <w:iCs/>
          <w:sz w:val="24"/>
          <w:szCs w:val="24"/>
        </w:rPr>
        <w:t xml:space="preserve">void ab initio </w:t>
      </w:r>
      <w:r>
        <w:rPr>
          <w:rFonts w:ascii="Arial" w:hAnsi="Arial" w:cs="Arial"/>
          <w:sz w:val="24"/>
          <w:szCs w:val="24"/>
        </w:rPr>
        <w:t>due to</w:t>
      </w:r>
      <w:r w:rsidR="005D0652">
        <w:rPr>
          <w:rFonts w:ascii="Arial" w:hAnsi="Arial" w:cs="Arial"/>
          <w:sz w:val="24"/>
          <w:szCs w:val="24"/>
        </w:rPr>
        <w:t xml:space="preserve"> the</w:t>
      </w:r>
      <w:r>
        <w:rPr>
          <w:rFonts w:ascii="Arial" w:hAnsi="Arial" w:cs="Arial"/>
          <w:sz w:val="24"/>
          <w:szCs w:val="24"/>
        </w:rPr>
        <w:t xml:space="preserve"> non-fulfilment of a suspensive condition.  The contract was </w:t>
      </w:r>
      <w:r w:rsidR="007B09E0">
        <w:rPr>
          <w:rFonts w:ascii="Arial" w:hAnsi="Arial" w:cs="Arial"/>
          <w:sz w:val="24"/>
          <w:szCs w:val="24"/>
        </w:rPr>
        <w:t xml:space="preserve">subject to the following suspensive condition at clause 4.1:  </w:t>
      </w:r>
    </w:p>
    <w:p w14:paraId="336F79EB" w14:textId="77777777" w:rsidR="007B09E0" w:rsidRDefault="007B09E0" w:rsidP="00966636">
      <w:pPr>
        <w:spacing w:after="0" w:line="360" w:lineRule="auto"/>
        <w:jc w:val="both"/>
        <w:rPr>
          <w:rFonts w:ascii="Arial" w:hAnsi="Arial" w:cs="Arial"/>
          <w:sz w:val="24"/>
          <w:szCs w:val="24"/>
        </w:rPr>
      </w:pPr>
    </w:p>
    <w:p w14:paraId="136D9CFB" w14:textId="40C0EA3B" w:rsidR="007B09E0" w:rsidRDefault="007B09E0" w:rsidP="007B09E0">
      <w:pPr>
        <w:spacing w:after="0" w:line="360" w:lineRule="auto"/>
        <w:ind w:left="1440" w:right="946"/>
        <w:jc w:val="both"/>
        <w:rPr>
          <w:rFonts w:ascii="Arial" w:hAnsi="Arial" w:cs="Arial"/>
          <w:i/>
          <w:iCs/>
          <w:sz w:val="24"/>
          <w:szCs w:val="24"/>
        </w:rPr>
      </w:pPr>
      <w:r>
        <w:rPr>
          <w:rFonts w:ascii="Arial" w:hAnsi="Arial" w:cs="Arial"/>
          <w:sz w:val="24"/>
          <w:szCs w:val="24"/>
        </w:rPr>
        <w:t>“</w:t>
      </w:r>
      <w:r>
        <w:rPr>
          <w:rFonts w:ascii="Arial" w:hAnsi="Arial" w:cs="Arial"/>
          <w:i/>
          <w:iCs/>
          <w:sz w:val="24"/>
          <w:szCs w:val="24"/>
        </w:rPr>
        <w:t>This agreement (other than the provisions of clauses 1 to 4 and 9 to 13, all of which will become effective on the signature date) is subject to the fulfilment of the condition precedent that on or before the 30</w:t>
      </w:r>
      <w:r w:rsidRPr="007B09E0">
        <w:rPr>
          <w:rFonts w:ascii="Arial" w:hAnsi="Arial" w:cs="Arial"/>
          <w:i/>
          <w:iCs/>
          <w:sz w:val="24"/>
          <w:szCs w:val="24"/>
          <w:vertAlign w:val="superscript"/>
        </w:rPr>
        <w:t>th</w:t>
      </w:r>
      <w:r>
        <w:rPr>
          <w:rFonts w:ascii="Arial" w:hAnsi="Arial" w:cs="Arial"/>
          <w:i/>
          <w:iCs/>
          <w:sz w:val="24"/>
          <w:szCs w:val="24"/>
        </w:rPr>
        <w:t xml:space="preserve"> day after the signature date, the purchaser paid the deposit into the seller’s designated bank account.”</w:t>
      </w:r>
    </w:p>
    <w:p w14:paraId="03AC3F4A" w14:textId="77777777" w:rsidR="007B09E0" w:rsidRDefault="007B09E0" w:rsidP="007B09E0">
      <w:pPr>
        <w:spacing w:after="0" w:line="360" w:lineRule="auto"/>
        <w:ind w:right="946"/>
        <w:jc w:val="both"/>
        <w:rPr>
          <w:rFonts w:ascii="Arial" w:hAnsi="Arial" w:cs="Arial"/>
          <w:i/>
          <w:iCs/>
          <w:sz w:val="24"/>
          <w:szCs w:val="24"/>
        </w:rPr>
      </w:pPr>
    </w:p>
    <w:p w14:paraId="06452D93" w14:textId="67ECA3CD" w:rsidR="007B09E0" w:rsidRDefault="007B09E0" w:rsidP="001D10C8">
      <w:pPr>
        <w:spacing w:after="0" w:line="360" w:lineRule="auto"/>
        <w:ind w:right="95"/>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After the </w:t>
      </w:r>
      <w:r w:rsidR="00315498">
        <w:rPr>
          <w:rFonts w:ascii="Arial" w:hAnsi="Arial" w:cs="Arial"/>
          <w:sz w:val="24"/>
          <w:szCs w:val="24"/>
        </w:rPr>
        <w:t>expiry</w:t>
      </w:r>
      <w:r>
        <w:rPr>
          <w:rFonts w:ascii="Arial" w:hAnsi="Arial" w:cs="Arial"/>
          <w:sz w:val="24"/>
          <w:szCs w:val="24"/>
        </w:rPr>
        <w:t xml:space="preserve"> of the performance date, and in a</w:t>
      </w:r>
      <w:r w:rsidR="008B4B14">
        <w:rPr>
          <w:rFonts w:ascii="Arial" w:hAnsi="Arial" w:cs="Arial"/>
          <w:sz w:val="24"/>
          <w:szCs w:val="24"/>
        </w:rPr>
        <w:t xml:space="preserve"> purported</w:t>
      </w:r>
      <w:r>
        <w:rPr>
          <w:rFonts w:ascii="Arial" w:hAnsi="Arial" w:cs="Arial"/>
          <w:sz w:val="24"/>
          <w:szCs w:val="24"/>
        </w:rPr>
        <w:t xml:space="preserve"> attempt to fulfil the suspensive condition, the plaintiff made partial payment of the deposit </w:t>
      </w:r>
      <w:r w:rsidR="00733B18">
        <w:rPr>
          <w:rFonts w:ascii="Arial" w:hAnsi="Arial" w:cs="Arial"/>
          <w:sz w:val="24"/>
          <w:szCs w:val="24"/>
        </w:rPr>
        <w:t>by paying the</w:t>
      </w:r>
      <w:r>
        <w:rPr>
          <w:rFonts w:ascii="Arial" w:hAnsi="Arial" w:cs="Arial"/>
          <w:sz w:val="24"/>
          <w:szCs w:val="24"/>
        </w:rPr>
        <w:t xml:space="preserve"> sum of US</w:t>
      </w:r>
      <w:r w:rsidR="006342B0">
        <w:rPr>
          <w:rFonts w:ascii="Arial" w:hAnsi="Arial" w:cs="Arial"/>
          <w:sz w:val="24"/>
          <w:szCs w:val="24"/>
        </w:rPr>
        <w:t>D</w:t>
      </w:r>
      <w:r>
        <w:rPr>
          <w:rFonts w:ascii="Arial" w:hAnsi="Arial" w:cs="Arial"/>
          <w:sz w:val="24"/>
          <w:szCs w:val="24"/>
        </w:rPr>
        <w:t xml:space="preserve">800 000.  </w:t>
      </w:r>
    </w:p>
    <w:p w14:paraId="5B151165" w14:textId="77777777" w:rsidR="007B09E0" w:rsidRDefault="007B09E0" w:rsidP="007B09E0">
      <w:pPr>
        <w:spacing w:after="0" w:line="360" w:lineRule="auto"/>
        <w:ind w:right="946"/>
        <w:jc w:val="both"/>
        <w:rPr>
          <w:rFonts w:ascii="Arial" w:hAnsi="Arial" w:cs="Arial"/>
          <w:sz w:val="24"/>
          <w:szCs w:val="24"/>
        </w:rPr>
      </w:pPr>
    </w:p>
    <w:p w14:paraId="5FC1CA6D" w14:textId="2CC02354" w:rsidR="007B09E0" w:rsidRDefault="007B09E0" w:rsidP="001D10C8">
      <w:pPr>
        <w:spacing w:after="0" w:line="360" w:lineRule="auto"/>
        <w:ind w:right="95"/>
        <w:jc w:val="both"/>
        <w:rPr>
          <w:rFonts w:ascii="Arial" w:hAnsi="Arial" w:cs="Arial"/>
          <w:sz w:val="24"/>
          <w:szCs w:val="24"/>
        </w:rPr>
      </w:pPr>
      <w:r>
        <w:rPr>
          <w:rFonts w:ascii="Arial" w:hAnsi="Arial" w:cs="Arial"/>
          <w:sz w:val="24"/>
          <w:szCs w:val="24"/>
        </w:rPr>
        <w:t>[4]</w:t>
      </w:r>
      <w:r>
        <w:rPr>
          <w:rFonts w:ascii="Arial" w:hAnsi="Arial" w:cs="Arial"/>
          <w:sz w:val="24"/>
          <w:szCs w:val="24"/>
        </w:rPr>
        <w:tab/>
      </w:r>
      <w:r w:rsidR="001D10C8">
        <w:rPr>
          <w:rFonts w:ascii="Arial" w:hAnsi="Arial" w:cs="Arial"/>
          <w:sz w:val="24"/>
          <w:szCs w:val="24"/>
        </w:rPr>
        <w:t>The plaintiff seeks re</w:t>
      </w:r>
      <w:r w:rsidR="008D5870">
        <w:rPr>
          <w:rFonts w:ascii="Arial" w:hAnsi="Arial" w:cs="Arial"/>
          <w:sz w:val="24"/>
          <w:szCs w:val="24"/>
        </w:rPr>
        <w:t>payment</w:t>
      </w:r>
      <w:r w:rsidR="001D10C8">
        <w:rPr>
          <w:rFonts w:ascii="Arial" w:hAnsi="Arial" w:cs="Arial"/>
          <w:sz w:val="24"/>
          <w:szCs w:val="24"/>
        </w:rPr>
        <w:t xml:space="preserve"> of </w:t>
      </w:r>
      <w:r w:rsidR="008D5870">
        <w:rPr>
          <w:rFonts w:ascii="Arial" w:hAnsi="Arial" w:cs="Arial"/>
          <w:sz w:val="24"/>
          <w:szCs w:val="24"/>
        </w:rPr>
        <w:t>its</w:t>
      </w:r>
      <w:r w:rsidR="001D10C8">
        <w:rPr>
          <w:rFonts w:ascii="Arial" w:hAnsi="Arial" w:cs="Arial"/>
          <w:sz w:val="24"/>
          <w:szCs w:val="24"/>
        </w:rPr>
        <w:t xml:space="preserve"> money due to the contract having been rendered </w:t>
      </w:r>
      <w:r w:rsidR="001D10C8">
        <w:rPr>
          <w:rFonts w:ascii="Arial" w:hAnsi="Arial" w:cs="Arial"/>
          <w:i/>
          <w:iCs/>
          <w:sz w:val="24"/>
          <w:szCs w:val="24"/>
        </w:rPr>
        <w:t>void ab initio</w:t>
      </w:r>
      <w:r w:rsidR="001D10C8">
        <w:rPr>
          <w:rFonts w:ascii="Arial" w:hAnsi="Arial" w:cs="Arial"/>
          <w:sz w:val="24"/>
          <w:szCs w:val="24"/>
        </w:rPr>
        <w:t xml:space="preserve"> and pleads that it has made restitution of the sale assets.</w:t>
      </w:r>
      <w:r w:rsidR="008D5870">
        <w:rPr>
          <w:rFonts w:ascii="Arial" w:hAnsi="Arial" w:cs="Arial"/>
          <w:sz w:val="24"/>
          <w:szCs w:val="24"/>
        </w:rPr>
        <w:t xml:space="preserve"> The plaintiff further pleads that despite the defendant receiving the USD800 000 and the plaintiff’s restitution of the sale assets, the defendant has not made restitution of the USD800 000 to the plaintiff.</w:t>
      </w:r>
      <w:r w:rsidR="001D10C8">
        <w:rPr>
          <w:rFonts w:ascii="Arial" w:hAnsi="Arial" w:cs="Arial"/>
          <w:sz w:val="24"/>
          <w:szCs w:val="24"/>
        </w:rPr>
        <w:t xml:space="preserve">  </w:t>
      </w:r>
      <w:r w:rsidR="006342B0">
        <w:rPr>
          <w:rFonts w:ascii="Arial" w:hAnsi="Arial" w:cs="Arial"/>
          <w:sz w:val="24"/>
          <w:szCs w:val="24"/>
        </w:rPr>
        <w:t>At first glance the plaintiff’s claim against the defendant appears to have been framed in contract.</w:t>
      </w:r>
    </w:p>
    <w:p w14:paraId="4BC54095" w14:textId="77777777" w:rsidR="001D10C8" w:rsidRDefault="001D10C8" w:rsidP="001D10C8">
      <w:pPr>
        <w:spacing w:after="0" w:line="360" w:lineRule="auto"/>
        <w:ind w:right="95"/>
        <w:jc w:val="both"/>
        <w:rPr>
          <w:rFonts w:ascii="Arial" w:hAnsi="Arial" w:cs="Arial"/>
          <w:sz w:val="24"/>
          <w:szCs w:val="24"/>
        </w:rPr>
      </w:pPr>
    </w:p>
    <w:p w14:paraId="6B08CA8A" w14:textId="0DDD6FE7" w:rsidR="001D10C8" w:rsidRDefault="001D10C8" w:rsidP="001D10C8">
      <w:pPr>
        <w:spacing w:after="0" w:line="360" w:lineRule="auto"/>
        <w:ind w:right="95"/>
        <w:jc w:val="both"/>
        <w:rPr>
          <w:rFonts w:ascii="Arial" w:hAnsi="Arial" w:cs="Arial"/>
          <w:b/>
          <w:bCs/>
          <w:sz w:val="24"/>
          <w:szCs w:val="24"/>
          <w:u w:val="single"/>
        </w:rPr>
      </w:pPr>
      <w:r>
        <w:rPr>
          <w:rFonts w:ascii="Arial" w:hAnsi="Arial" w:cs="Arial"/>
          <w:b/>
          <w:bCs/>
          <w:sz w:val="24"/>
          <w:szCs w:val="24"/>
          <w:u w:val="single"/>
        </w:rPr>
        <w:t xml:space="preserve">THE </w:t>
      </w:r>
      <w:r w:rsidR="006342B0">
        <w:rPr>
          <w:rFonts w:ascii="Arial" w:hAnsi="Arial" w:cs="Arial"/>
          <w:b/>
          <w:bCs/>
          <w:sz w:val="24"/>
          <w:szCs w:val="24"/>
          <w:u w:val="single"/>
        </w:rPr>
        <w:t>GROUNDS OF EXCEPTION</w:t>
      </w:r>
    </w:p>
    <w:p w14:paraId="004E3472" w14:textId="77777777" w:rsidR="001D10C8" w:rsidRPr="001D10C8" w:rsidRDefault="001D10C8" w:rsidP="001D10C8">
      <w:pPr>
        <w:spacing w:after="0" w:line="360" w:lineRule="auto"/>
        <w:ind w:right="95"/>
        <w:jc w:val="both"/>
        <w:rPr>
          <w:rFonts w:ascii="Arial" w:hAnsi="Arial" w:cs="Arial"/>
          <w:b/>
          <w:bCs/>
          <w:sz w:val="24"/>
          <w:szCs w:val="24"/>
          <w:u w:val="single"/>
        </w:rPr>
      </w:pPr>
    </w:p>
    <w:p w14:paraId="112D8D95" w14:textId="600C819C" w:rsidR="001D10C8" w:rsidRDefault="001D10C8" w:rsidP="001D10C8">
      <w:pPr>
        <w:spacing w:after="0" w:line="360" w:lineRule="auto"/>
        <w:ind w:right="95"/>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defendant raises two grounds of complaint in is exception to the plaintiff’s particulars of claim.  For purposes of the first complaint, the defendant assumed that the proper law of </w:t>
      </w:r>
      <w:r w:rsidR="00622FD8">
        <w:rPr>
          <w:rFonts w:ascii="Arial" w:hAnsi="Arial" w:cs="Arial"/>
          <w:sz w:val="24"/>
          <w:szCs w:val="24"/>
        </w:rPr>
        <w:t>the</w:t>
      </w:r>
      <w:r w:rsidR="006C4AE8">
        <w:rPr>
          <w:rFonts w:ascii="Arial" w:hAnsi="Arial" w:cs="Arial"/>
          <w:sz w:val="24"/>
          <w:szCs w:val="24"/>
        </w:rPr>
        <w:t xml:space="preserve"> </w:t>
      </w:r>
      <w:r>
        <w:rPr>
          <w:rFonts w:ascii="Arial" w:hAnsi="Arial" w:cs="Arial"/>
          <w:sz w:val="24"/>
          <w:szCs w:val="24"/>
        </w:rPr>
        <w:t xml:space="preserve">contract is the South African </w:t>
      </w:r>
      <w:r w:rsidR="00622FD8">
        <w:rPr>
          <w:rFonts w:ascii="Arial" w:hAnsi="Arial" w:cs="Arial"/>
          <w:sz w:val="24"/>
          <w:szCs w:val="24"/>
        </w:rPr>
        <w:t>l</w:t>
      </w:r>
      <w:r>
        <w:rPr>
          <w:rFonts w:ascii="Arial" w:hAnsi="Arial" w:cs="Arial"/>
          <w:sz w:val="24"/>
          <w:szCs w:val="24"/>
        </w:rPr>
        <w:t xml:space="preserve">aw of </w:t>
      </w:r>
      <w:r w:rsidR="00622FD8">
        <w:rPr>
          <w:rFonts w:ascii="Arial" w:hAnsi="Arial" w:cs="Arial"/>
          <w:sz w:val="24"/>
          <w:szCs w:val="24"/>
        </w:rPr>
        <w:t>c</w:t>
      </w:r>
      <w:r>
        <w:rPr>
          <w:rFonts w:ascii="Arial" w:hAnsi="Arial" w:cs="Arial"/>
          <w:sz w:val="24"/>
          <w:szCs w:val="24"/>
        </w:rPr>
        <w:t xml:space="preserve">ontract. </w:t>
      </w:r>
      <w:r w:rsidR="00AA2B1D">
        <w:rPr>
          <w:rFonts w:ascii="Arial" w:hAnsi="Arial" w:cs="Arial"/>
          <w:sz w:val="24"/>
          <w:szCs w:val="24"/>
        </w:rPr>
        <w:t xml:space="preserve"> The defendant alleges that</w:t>
      </w:r>
      <w:r>
        <w:rPr>
          <w:rFonts w:ascii="Arial" w:hAnsi="Arial" w:cs="Arial"/>
          <w:sz w:val="24"/>
          <w:szCs w:val="24"/>
        </w:rPr>
        <w:t xml:space="preserve"> no cause of action in South African </w:t>
      </w:r>
      <w:r w:rsidR="006C4AE8">
        <w:rPr>
          <w:rFonts w:ascii="Arial" w:hAnsi="Arial" w:cs="Arial"/>
          <w:sz w:val="24"/>
          <w:szCs w:val="24"/>
        </w:rPr>
        <w:t>l</w:t>
      </w:r>
      <w:r>
        <w:rPr>
          <w:rFonts w:ascii="Arial" w:hAnsi="Arial" w:cs="Arial"/>
          <w:sz w:val="24"/>
          <w:szCs w:val="24"/>
        </w:rPr>
        <w:t xml:space="preserve">aw is disclosed by the particulars of claim as the particulars of claim are pleaded squarely within the law of contract and in respect of which restitution of its performance to the defendant is claimed.  </w:t>
      </w:r>
      <w:r w:rsidR="0032389D">
        <w:rPr>
          <w:rFonts w:ascii="Arial" w:hAnsi="Arial" w:cs="Arial"/>
          <w:sz w:val="24"/>
          <w:szCs w:val="24"/>
        </w:rPr>
        <w:t>R</w:t>
      </w:r>
      <w:r>
        <w:rPr>
          <w:rFonts w:ascii="Arial" w:hAnsi="Arial" w:cs="Arial"/>
          <w:sz w:val="24"/>
          <w:szCs w:val="24"/>
        </w:rPr>
        <w:t>estitution of performance is appropriate only where there has been a cancellation of a valid contract pursuant to a breach of that contract</w:t>
      </w:r>
      <w:r w:rsidR="008D5870">
        <w:rPr>
          <w:rFonts w:ascii="Arial" w:hAnsi="Arial" w:cs="Arial"/>
          <w:sz w:val="24"/>
          <w:szCs w:val="24"/>
        </w:rPr>
        <w:t>,</w:t>
      </w:r>
      <w:r>
        <w:rPr>
          <w:rFonts w:ascii="Arial" w:hAnsi="Arial" w:cs="Arial"/>
          <w:sz w:val="24"/>
          <w:szCs w:val="24"/>
        </w:rPr>
        <w:t xml:space="preserve"> because “restitution” is to be regarded as a distinct contractual remedy.</w:t>
      </w:r>
      <w:r>
        <w:rPr>
          <w:rStyle w:val="FootnoteReference"/>
          <w:rFonts w:ascii="Arial" w:hAnsi="Arial" w:cs="Arial"/>
          <w:sz w:val="24"/>
          <w:szCs w:val="24"/>
        </w:rPr>
        <w:footnoteReference w:id="1"/>
      </w:r>
      <w:r w:rsidR="00247281">
        <w:rPr>
          <w:rFonts w:ascii="Arial" w:hAnsi="Arial" w:cs="Arial"/>
          <w:sz w:val="24"/>
          <w:szCs w:val="24"/>
        </w:rPr>
        <w:t xml:space="preserve">  As such</w:t>
      </w:r>
      <w:r w:rsidR="008D5870">
        <w:rPr>
          <w:rFonts w:ascii="Arial" w:hAnsi="Arial" w:cs="Arial"/>
          <w:sz w:val="24"/>
          <w:szCs w:val="24"/>
        </w:rPr>
        <w:t xml:space="preserve"> the defendant avers that</w:t>
      </w:r>
      <w:r w:rsidR="00247281">
        <w:rPr>
          <w:rFonts w:ascii="Arial" w:hAnsi="Arial" w:cs="Arial"/>
          <w:sz w:val="24"/>
          <w:szCs w:val="24"/>
        </w:rPr>
        <w:t xml:space="preserve"> no cause of action in terms of the South African </w:t>
      </w:r>
      <w:r w:rsidR="007F367C">
        <w:rPr>
          <w:rFonts w:ascii="Arial" w:hAnsi="Arial" w:cs="Arial"/>
          <w:sz w:val="24"/>
          <w:szCs w:val="24"/>
        </w:rPr>
        <w:t>l</w:t>
      </w:r>
      <w:r w:rsidR="00247281">
        <w:rPr>
          <w:rFonts w:ascii="Arial" w:hAnsi="Arial" w:cs="Arial"/>
          <w:sz w:val="24"/>
          <w:szCs w:val="24"/>
        </w:rPr>
        <w:t xml:space="preserve">aw of </w:t>
      </w:r>
      <w:r w:rsidR="007F367C">
        <w:rPr>
          <w:rFonts w:ascii="Arial" w:hAnsi="Arial" w:cs="Arial"/>
          <w:sz w:val="24"/>
          <w:szCs w:val="24"/>
        </w:rPr>
        <w:t>c</w:t>
      </w:r>
      <w:r w:rsidR="00247281">
        <w:rPr>
          <w:rFonts w:ascii="Arial" w:hAnsi="Arial" w:cs="Arial"/>
          <w:sz w:val="24"/>
          <w:szCs w:val="24"/>
        </w:rPr>
        <w:t xml:space="preserve">ontract is disclosed in the particulars of claim.  </w:t>
      </w:r>
    </w:p>
    <w:p w14:paraId="023A717A" w14:textId="77777777" w:rsidR="0043266E" w:rsidRDefault="0043266E" w:rsidP="001D10C8">
      <w:pPr>
        <w:spacing w:after="0" w:line="360" w:lineRule="auto"/>
        <w:ind w:right="95"/>
        <w:jc w:val="both"/>
        <w:rPr>
          <w:rFonts w:ascii="Arial" w:hAnsi="Arial" w:cs="Arial"/>
          <w:sz w:val="24"/>
          <w:szCs w:val="24"/>
        </w:rPr>
      </w:pPr>
    </w:p>
    <w:p w14:paraId="4517D39A" w14:textId="619B3018" w:rsidR="0043266E" w:rsidRDefault="0043266E" w:rsidP="001D10C8">
      <w:pPr>
        <w:spacing w:after="0" w:line="360" w:lineRule="auto"/>
        <w:ind w:right="95"/>
        <w:jc w:val="both"/>
        <w:rPr>
          <w:rFonts w:ascii="Arial" w:hAnsi="Arial" w:cs="Arial"/>
          <w:sz w:val="24"/>
          <w:szCs w:val="24"/>
        </w:rPr>
      </w:pPr>
      <w:r>
        <w:rPr>
          <w:rFonts w:ascii="Arial" w:hAnsi="Arial" w:cs="Arial"/>
          <w:sz w:val="24"/>
          <w:szCs w:val="24"/>
        </w:rPr>
        <w:t>[6]</w:t>
      </w:r>
      <w:r>
        <w:rPr>
          <w:rFonts w:ascii="Arial" w:hAnsi="Arial" w:cs="Arial"/>
          <w:sz w:val="24"/>
          <w:szCs w:val="24"/>
        </w:rPr>
        <w:tab/>
        <w:t>The second complaint lies in that the contract on which the plaintiff relies is an international one, however, the contract contains mutually destructive provisions concerning what the proper law of</w:t>
      </w:r>
      <w:r w:rsidR="009C759F">
        <w:rPr>
          <w:rFonts w:ascii="Arial" w:hAnsi="Arial" w:cs="Arial"/>
          <w:sz w:val="24"/>
          <w:szCs w:val="24"/>
        </w:rPr>
        <w:t xml:space="preserve"> the</w:t>
      </w:r>
      <w:r>
        <w:rPr>
          <w:rFonts w:ascii="Arial" w:hAnsi="Arial" w:cs="Arial"/>
          <w:sz w:val="24"/>
          <w:szCs w:val="24"/>
        </w:rPr>
        <w:t xml:space="preserve"> contract is</w:t>
      </w:r>
      <w:r w:rsidR="009C759F">
        <w:rPr>
          <w:rFonts w:ascii="Arial" w:hAnsi="Arial" w:cs="Arial"/>
          <w:sz w:val="24"/>
          <w:szCs w:val="24"/>
        </w:rPr>
        <w:t>,</w:t>
      </w:r>
      <w:r>
        <w:rPr>
          <w:rFonts w:ascii="Arial" w:hAnsi="Arial" w:cs="Arial"/>
          <w:sz w:val="24"/>
          <w:szCs w:val="24"/>
        </w:rPr>
        <w:t xml:space="preserve"> which </w:t>
      </w:r>
      <w:r w:rsidR="009C759F">
        <w:rPr>
          <w:rFonts w:ascii="Arial" w:hAnsi="Arial" w:cs="Arial"/>
          <w:sz w:val="24"/>
          <w:szCs w:val="24"/>
        </w:rPr>
        <w:t>would</w:t>
      </w:r>
      <w:r>
        <w:rPr>
          <w:rFonts w:ascii="Arial" w:hAnsi="Arial" w:cs="Arial"/>
          <w:sz w:val="24"/>
          <w:szCs w:val="24"/>
        </w:rPr>
        <w:t xml:space="preserve"> govern the dispute between the parties.  On the one hand clause 12.10 of the contract provides that an arbitration, being the pre</w:t>
      </w:r>
      <w:r w:rsidR="00F73DAB">
        <w:rPr>
          <w:rFonts w:ascii="Arial" w:hAnsi="Arial" w:cs="Arial"/>
          <w:sz w:val="24"/>
          <w:szCs w:val="24"/>
        </w:rPr>
        <w:t>fer</w:t>
      </w:r>
      <w:r>
        <w:rPr>
          <w:rFonts w:ascii="Arial" w:hAnsi="Arial" w:cs="Arial"/>
          <w:sz w:val="24"/>
          <w:szCs w:val="24"/>
        </w:rPr>
        <w:t xml:space="preserve">red method of dispute resolution, shall decide any dispute between the parties in accordance with Zimbabwean </w:t>
      </w:r>
      <w:r w:rsidR="00976E7A">
        <w:rPr>
          <w:rFonts w:ascii="Arial" w:hAnsi="Arial" w:cs="Arial"/>
          <w:sz w:val="24"/>
          <w:szCs w:val="24"/>
        </w:rPr>
        <w:t>l</w:t>
      </w:r>
      <w:r>
        <w:rPr>
          <w:rFonts w:ascii="Arial" w:hAnsi="Arial" w:cs="Arial"/>
          <w:sz w:val="24"/>
          <w:szCs w:val="24"/>
        </w:rPr>
        <w:t xml:space="preserve">aw.  On the other hand, clause 13.8 provides that the agreement shall in all respects, including its existence, validity, </w:t>
      </w:r>
      <w:r>
        <w:rPr>
          <w:rFonts w:ascii="Arial" w:hAnsi="Arial" w:cs="Arial"/>
          <w:sz w:val="24"/>
          <w:szCs w:val="24"/>
        </w:rPr>
        <w:lastRenderedPageBreak/>
        <w:t xml:space="preserve">interpretation, implementation, </w:t>
      </w:r>
      <w:r w:rsidR="009306CC">
        <w:rPr>
          <w:rFonts w:ascii="Arial" w:hAnsi="Arial" w:cs="Arial"/>
          <w:sz w:val="24"/>
          <w:szCs w:val="24"/>
        </w:rPr>
        <w:t>termination,</w:t>
      </w:r>
      <w:r>
        <w:rPr>
          <w:rFonts w:ascii="Arial" w:hAnsi="Arial" w:cs="Arial"/>
          <w:sz w:val="24"/>
          <w:szCs w:val="24"/>
        </w:rPr>
        <w:t xml:space="preserve"> and enforcement be governed by and construed under the laws of Namibia. </w:t>
      </w:r>
      <w:r w:rsidR="00E102D1">
        <w:rPr>
          <w:rFonts w:ascii="Arial" w:hAnsi="Arial" w:cs="Arial"/>
          <w:sz w:val="24"/>
          <w:szCs w:val="24"/>
        </w:rPr>
        <w:t xml:space="preserve"> Furthermore</w:t>
      </w:r>
      <w:r w:rsidR="00DF5530">
        <w:rPr>
          <w:rFonts w:ascii="Arial" w:hAnsi="Arial" w:cs="Arial"/>
          <w:sz w:val="24"/>
          <w:szCs w:val="24"/>
        </w:rPr>
        <w:t>,</w:t>
      </w:r>
      <w:r w:rsidR="00E102D1">
        <w:rPr>
          <w:rFonts w:ascii="Arial" w:hAnsi="Arial" w:cs="Arial"/>
          <w:sz w:val="24"/>
          <w:szCs w:val="24"/>
        </w:rPr>
        <w:t xml:space="preserve"> the plaintiff’s claim as formulated in the particulars of claim relies on the law of South Africa, which reliance is in contradiction to the choice of law expressed by the parties in clause</w:t>
      </w:r>
      <w:r w:rsidR="00C33082">
        <w:rPr>
          <w:rFonts w:ascii="Arial" w:hAnsi="Arial" w:cs="Arial"/>
          <w:sz w:val="24"/>
          <w:szCs w:val="24"/>
        </w:rPr>
        <w:t>s</w:t>
      </w:r>
      <w:r w:rsidR="00E102D1">
        <w:rPr>
          <w:rFonts w:ascii="Arial" w:hAnsi="Arial" w:cs="Arial"/>
          <w:sz w:val="24"/>
          <w:szCs w:val="24"/>
        </w:rPr>
        <w:t xml:space="preserve"> 12.10 and 13.8</w:t>
      </w:r>
      <w:r w:rsidR="00C33082">
        <w:rPr>
          <w:rFonts w:ascii="Arial" w:hAnsi="Arial" w:cs="Arial"/>
          <w:sz w:val="24"/>
          <w:szCs w:val="24"/>
        </w:rPr>
        <w:t>, respectively</w:t>
      </w:r>
      <w:r w:rsidR="00E102D1">
        <w:rPr>
          <w:rFonts w:ascii="Arial" w:hAnsi="Arial" w:cs="Arial"/>
          <w:sz w:val="24"/>
          <w:szCs w:val="24"/>
        </w:rPr>
        <w:t xml:space="preserve">.  </w:t>
      </w:r>
      <w:r w:rsidR="008D5870">
        <w:rPr>
          <w:rFonts w:ascii="Arial" w:hAnsi="Arial" w:cs="Arial"/>
          <w:sz w:val="24"/>
          <w:szCs w:val="24"/>
        </w:rPr>
        <w:t>Accordingly,</w:t>
      </w:r>
      <w:r w:rsidR="00E102D1">
        <w:rPr>
          <w:rFonts w:ascii="Arial" w:hAnsi="Arial" w:cs="Arial"/>
          <w:sz w:val="24"/>
          <w:szCs w:val="24"/>
        </w:rPr>
        <w:t xml:space="preserve"> </w:t>
      </w:r>
      <w:r w:rsidR="008D5870">
        <w:rPr>
          <w:rFonts w:ascii="Arial" w:hAnsi="Arial" w:cs="Arial"/>
          <w:sz w:val="24"/>
          <w:szCs w:val="24"/>
        </w:rPr>
        <w:t xml:space="preserve">the defendant contends that </w:t>
      </w:r>
      <w:r w:rsidR="00E102D1">
        <w:rPr>
          <w:rFonts w:ascii="Arial" w:hAnsi="Arial" w:cs="Arial"/>
          <w:sz w:val="24"/>
          <w:szCs w:val="24"/>
        </w:rPr>
        <w:t xml:space="preserve">the particulars of claim do not disclose </w:t>
      </w:r>
      <w:r w:rsidR="000701F1">
        <w:rPr>
          <w:rFonts w:ascii="Arial" w:hAnsi="Arial" w:cs="Arial"/>
          <w:sz w:val="24"/>
          <w:szCs w:val="24"/>
        </w:rPr>
        <w:t>a</w:t>
      </w:r>
      <w:r w:rsidR="00E102D1">
        <w:rPr>
          <w:rFonts w:ascii="Arial" w:hAnsi="Arial" w:cs="Arial"/>
          <w:sz w:val="24"/>
          <w:szCs w:val="24"/>
        </w:rPr>
        <w:t xml:space="preserve"> cause of action alternatively </w:t>
      </w:r>
      <w:r w:rsidR="000701F1">
        <w:rPr>
          <w:rFonts w:ascii="Arial" w:hAnsi="Arial" w:cs="Arial"/>
          <w:sz w:val="24"/>
          <w:szCs w:val="24"/>
        </w:rPr>
        <w:t>are</w:t>
      </w:r>
      <w:r w:rsidR="00E102D1">
        <w:rPr>
          <w:rFonts w:ascii="Arial" w:hAnsi="Arial" w:cs="Arial"/>
          <w:sz w:val="24"/>
          <w:szCs w:val="24"/>
        </w:rPr>
        <w:t xml:space="preserve"> vague and embarrassing.</w:t>
      </w:r>
      <w:r>
        <w:rPr>
          <w:rFonts w:ascii="Arial" w:hAnsi="Arial" w:cs="Arial"/>
          <w:sz w:val="24"/>
          <w:szCs w:val="24"/>
        </w:rPr>
        <w:t xml:space="preserve"> </w:t>
      </w:r>
    </w:p>
    <w:p w14:paraId="5E868714" w14:textId="77777777" w:rsidR="0043266E" w:rsidRDefault="0043266E" w:rsidP="001D10C8">
      <w:pPr>
        <w:spacing w:after="0" w:line="360" w:lineRule="auto"/>
        <w:ind w:right="95"/>
        <w:jc w:val="both"/>
        <w:rPr>
          <w:rFonts w:ascii="Arial" w:hAnsi="Arial" w:cs="Arial"/>
          <w:sz w:val="24"/>
          <w:szCs w:val="24"/>
        </w:rPr>
      </w:pPr>
    </w:p>
    <w:p w14:paraId="4B78A2C6" w14:textId="31765DB7" w:rsidR="0043266E" w:rsidRDefault="0043266E" w:rsidP="001D10C8">
      <w:pPr>
        <w:spacing w:after="0" w:line="360" w:lineRule="auto"/>
        <w:ind w:right="95"/>
        <w:jc w:val="both"/>
        <w:rPr>
          <w:rFonts w:ascii="Arial" w:hAnsi="Arial" w:cs="Arial"/>
          <w:b/>
          <w:bCs/>
          <w:sz w:val="24"/>
          <w:szCs w:val="24"/>
          <w:u w:val="single"/>
        </w:rPr>
      </w:pPr>
      <w:r>
        <w:rPr>
          <w:rFonts w:ascii="Arial" w:hAnsi="Arial" w:cs="Arial"/>
          <w:b/>
          <w:bCs/>
          <w:sz w:val="24"/>
          <w:szCs w:val="24"/>
          <w:u w:val="single"/>
        </w:rPr>
        <w:t>LEGAL PRINCIPLES</w:t>
      </w:r>
      <w:r w:rsidR="00E102D1">
        <w:rPr>
          <w:rFonts w:ascii="Arial" w:hAnsi="Arial" w:cs="Arial"/>
          <w:b/>
          <w:bCs/>
          <w:sz w:val="24"/>
          <w:szCs w:val="24"/>
          <w:u w:val="single"/>
        </w:rPr>
        <w:t xml:space="preserve"> AND DISCUSSION</w:t>
      </w:r>
    </w:p>
    <w:p w14:paraId="573852C3" w14:textId="77777777" w:rsidR="0043266E" w:rsidRPr="0043266E" w:rsidRDefault="0043266E" w:rsidP="001D10C8">
      <w:pPr>
        <w:spacing w:after="0" w:line="360" w:lineRule="auto"/>
        <w:ind w:right="95"/>
        <w:jc w:val="both"/>
        <w:rPr>
          <w:rFonts w:ascii="Arial" w:hAnsi="Arial" w:cs="Arial"/>
          <w:b/>
          <w:bCs/>
          <w:sz w:val="24"/>
          <w:szCs w:val="24"/>
          <w:u w:val="single"/>
        </w:rPr>
      </w:pPr>
    </w:p>
    <w:p w14:paraId="74A8A239" w14:textId="58163F32" w:rsidR="003F5367" w:rsidRDefault="003F5367" w:rsidP="001D10C8">
      <w:pPr>
        <w:spacing w:after="0" w:line="360" w:lineRule="auto"/>
        <w:ind w:right="95"/>
        <w:jc w:val="both"/>
        <w:rPr>
          <w:rFonts w:ascii="Arial" w:hAnsi="Arial" w:cs="Arial"/>
          <w:sz w:val="24"/>
          <w:szCs w:val="24"/>
        </w:rPr>
      </w:pPr>
      <w:r>
        <w:rPr>
          <w:rFonts w:ascii="Arial" w:hAnsi="Arial" w:cs="Arial"/>
          <w:sz w:val="24"/>
          <w:szCs w:val="24"/>
        </w:rPr>
        <w:t>[7]</w:t>
      </w:r>
      <w:r>
        <w:rPr>
          <w:rFonts w:ascii="Arial" w:hAnsi="Arial" w:cs="Arial"/>
          <w:sz w:val="24"/>
          <w:szCs w:val="24"/>
        </w:rPr>
        <w:tab/>
        <w:t>The principles applicable in the adjudication of exceptions are well-established, and it is therefore not necessary for the purposes of this judgment to reh</w:t>
      </w:r>
      <w:r w:rsidR="00DD1D80">
        <w:rPr>
          <w:rFonts w:ascii="Arial" w:hAnsi="Arial" w:cs="Arial"/>
          <w:sz w:val="24"/>
          <w:szCs w:val="24"/>
        </w:rPr>
        <w:t>ash</w:t>
      </w:r>
      <w:r>
        <w:rPr>
          <w:rFonts w:ascii="Arial" w:hAnsi="Arial" w:cs="Arial"/>
          <w:sz w:val="24"/>
          <w:szCs w:val="24"/>
        </w:rPr>
        <w:t xml:space="preserve"> them at any length</w:t>
      </w:r>
      <w:r w:rsidR="00DD1D80">
        <w:rPr>
          <w:rFonts w:ascii="Arial" w:hAnsi="Arial" w:cs="Arial"/>
          <w:sz w:val="24"/>
          <w:szCs w:val="24"/>
        </w:rPr>
        <w:t>.</w:t>
      </w:r>
      <w:r>
        <w:rPr>
          <w:rFonts w:ascii="Arial" w:hAnsi="Arial" w:cs="Arial"/>
          <w:sz w:val="24"/>
          <w:szCs w:val="24"/>
        </w:rPr>
        <w:t xml:space="preserve"> </w:t>
      </w:r>
      <w:r w:rsidR="00DD1D80">
        <w:rPr>
          <w:rFonts w:ascii="Arial" w:hAnsi="Arial" w:cs="Arial"/>
          <w:sz w:val="24"/>
          <w:szCs w:val="24"/>
        </w:rPr>
        <w:t>S</w:t>
      </w:r>
      <w:r>
        <w:rPr>
          <w:rFonts w:ascii="Arial" w:hAnsi="Arial" w:cs="Arial"/>
          <w:sz w:val="24"/>
          <w:szCs w:val="24"/>
        </w:rPr>
        <w:t xml:space="preserve">uffice to say that a pragmatic approach is called for, bearing in mind the purposes of an exception:  being to weed out claims that should not proceed to trial because a cognisable claim or defence, as the case may be, has not been made out on the pleadings, or to prevent a claim or defence being persisted with on pleadings that are vague and embarrassing.  As Harms JA remarked in </w:t>
      </w:r>
      <w:r>
        <w:rPr>
          <w:rFonts w:ascii="Arial" w:hAnsi="Arial" w:cs="Arial"/>
          <w:i/>
          <w:iCs/>
          <w:sz w:val="24"/>
          <w:szCs w:val="24"/>
          <w:u w:val="single"/>
        </w:rPr>
        <w:t>Telematrix (Pty) Limited t/a Matrix Vehicle Tacking v Advertising Standards Authority</w:t>
      </w:r>
      <w:r w:rsidR="005B75E6">
        <w:rPr>
          <w:rStyle w:val="FootnoteReference"/>
          <w:rFonts w:ascii="Arial" w:hAnsi="Arial" w:cs="Arial"/>
          <w:i/>
          <w:iCs/>
          <w:sz w:val="24"/>
          <w:szCs w:val="24"/>
          <w:u w:val="single"/>
        </w:rPr>
        <w:footnoteReference w:id="2"/>
      </w:r>
    </w:p>
    <w:p w14:paraId="2186F139" w14:textId="77777777" w:rsidR="003F5367" w:rsidRDefault="003F5367" w:rsidP="001D10C8">
      <w:pPr>
        <w:spacing w:after="0" w:line="360" w:lineRule="auto"/>
        <w:ind w:right="95"/>
        <w:jc w:val="both"/>
        <w:rPr>
          <w:rFonts w:ascii="Arial" w:hAnsi="Arial" w:cs="Arial"/>
          <w:sz w:val="24"/>
          <w:szCs w:val="24"/>
        </w:rPr>
      </w:pPr>
    </w:p>
    <w:p w14:paraId="5B585650" w14:textId="5724068C" w:rsidR="003F5367" w:rsidRPr="00A4613B" w:rsidRDefault="003F5367" w:rsidP="003F5367">
      <w:pPr>
        <w:spacing w:after="0" w:line="360" w:lineRule="auto"/>
        <w:ind w:right="1938"/>
        <w:jc w:val="both"/>
        <w:rPr>
          <w:rFonts w:ascii="Arial" w:hAnsi="Arial" w:cs="Arial"/>
          <w:sz w:val="24"/>
          <w:szCs w:val="24"/>
        </w:rPr>
      </w:pPr>
      <w:r>
        <w:rPr>
          <w:rFonts w:ascii="Arial" w:hAnsi="Arial" w:cs="Arial"/>
          <w:sz w:val="24"/>
          <w:szCs w:val="24"/>
        </w:rPr>
        <w:tab/>
      </w:r>
      <w:r w:rsidR="00CD3CAC">
        <w:rPr>
          <w:rFonts w:ascii="Arial" w:hAnsi="Arial" w:cs="Arial"/>
          <w:sz w:val="24"/>
          <w:szCs w:val="24"/>
        </w:rPr>
        <w:tab/>
      </w:r>
      <w:r w:rsidRPr="00A4613B">
        <w:rPr>
          <w:rFonts w:ascii="Arial" w:hAnsi="Arial" w:cs="Arial"/>
          <w:sz w:val="24"/>
          <w:szCs w:val="24"/>
        </w:rPr>
        <w:t>“[a]n over-technical approach destroys their utility”.</w:t>
      </w:r>
    </w:p>
    <w:p w14:paraId="0C1C4DE6" w14:textId="77777777" w:rsidR="00966636" w:rsidRDefault="00966636" w:rsidP="00966636">
      <w:pPr>
        <w:jc w:val="both"/>
        <w:rPr>
          <w:rFonts w:ascii="Arial" w:hAnsi="Arial" w:cs="Arial"/>
          <w:sz w:val="24"/>
          <w:szCs w:val="24"/>
        </w:rPr>
      </w:pPr>
    </w:p>
    <w:p w14:paraId="57CBFFBF" w14:textId="6883554D" w:rsidR="00966636" w:rsidRDefault="003F5367" w:rsidP="003F5367">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In the same </w:t>
      </w:r>
      <w:r w:rsidR="00780032">
        <w:rPr>
          <w:rFonts w:ascii="Arial" w:hAnsi="Arial" w:cs="Arial"/>
          <w:sz w:val="24"/>
          <w:szCs w:val="24"/>
        </w:rPr>
        <w:t>vein</w:t>
      </w:r>
      <w:r>
        <w:rPr>
          <w:rFonts w:ascii="Arial" w:hAnsi="Arial" w:cs="Arial"/>
          <w:sz w:val="24"/>
          <w:szCs w:val="24"/>
        </w:rPr>
        <w:t xml:space="preserve">, Ponnan JA observed in </w:t>
      </w:r>
      <w:r>
        <w:rPr>
          <w:rFonts w:ascii="Arial" w:hAnsi="Arial" w:cs="Arial"/>
          <w:i/>
          <w:iCs/>
          <w:sz w:val="24"/>
          <w:szCs w:val="24"/>
          <w:u w:val="single"/>
        </w:rPr>
        <w:t>Luke M Thembani and Others v President of the Republic of South Africa and Another</w:t>
      </w:r>
      <w:r>
        <w:rPr>
          <w:rFonts w:ascii="Arial" w:hAnsi="Arial" w:cs="Arial"/>
          <w:i/>
          <w:iCs/>
          <w:sz w:val="24"/>
          <w:szCs w:val="24"/>
        </w:rPr>
        <w:t xml:space="preserve"> </w:t>
      </w:r>
      <w:r w:rsidR="00A4613B">
        <w:rPr>
          <w:rStyle w:val="FootnoteReference"/>
          <w:rFonts w:ascii="Arial" w:hAnsi="Arial" w:cs="Arial"/>
          <w:i/>
          <w:iCs/>
          <w:sz w:val="24"/>
          <w:szCs w:val="24"/>
        </w:rPr>
        <w:footnoteReference w:id="3"/>
      </w:r>
      <w:r>
        <w:rPr>
          <w:rFonts w:ascii="Arial" w:hAnsi="Arial" w:cs="Arial"/>
          <w:sz w:val="24"/>
          <w:szCs w:val="24"/>
        </w:rPr>
        <w:t xml:space="preserve"> that:</w:t>
      </w:r>
    </w:p>
    <w:p w14:paraId="6ADEAB51" w14:textId="77777777" w:rsidR="003F5367" w:rsidRDefault="003F5367" w:rsidP="003F5367">
      <w:pPr>
        <w:spacing w:after="0" w:line="360" w:lineRule="auto"/>
        <w:jc w:val="both"/>
        <w:rPr>
          <w:rFonts w:ascii="Arial" w:hAnsi="Arial" w:cs="Arial"/>
          <w:sz w:val="24"/>
          <w:szCs w:val="24"/>
        </w:rPr>
      </w:pPr>
    </w:p>
    <w:p w14:paraId="0C58DC9B" w14:textId="790E4800" w:rsidR="003F5367" w:rsidRPr="008D5870" w:rsidRDefault="003F5367" w:rsidP="00CD3CAC">
      <w:pPr>
        <w:spacing w:after="0" w:line="360" w:lineRule="auto"/>
        <w:ind w:left="1418" w:right="1655"/>
        <w:jc w:val="both"/>
        <w:rPr>
          <w:rFonts w:ascii="Arial" w:hAnsi="Arial" w:cs="Arial"/>
          <w:sz w:val="24"/>
          <w:szCs w:val="24"/>
        </w:rPr>
      </w:pPr>
      <w:r w:rsidRPr="008D5870">
        <w:rPr>
          <w:rFonts w:ascii="Arial" w:hAnsi="Arial" w:cs="Arial"/>
          <w:sz w:val="24"/>
          <w:szCs w:val="24"/>
        </w:rPr>
        <w:t>“[w]hilst exceptions provide a useful mechanism “</w:t>
      </w:r>
      <w:r w:rsidRPr="008D5870">
        <w:rPr>
          <w:rFonts w:ascii="Arial" w:hAnsi="Arial" w:cs="Arial"/>
          <w:i/>
          <w:iCs/>
          <w:sz w:val="24"/>
          <w:szCs w:val="24"/>
        </w:rPr>
        <w:t>to weed out cases without legal merit</w:t>
      </w:r>
      <w:r w:rsidRPr="008D5870">
        <w:rPr>
          <w:rFonts w:ascii="Arial" w:hAnsi="Arial" w:cs="Arial"/>
          <w:sz w:val="24"/>
          <w:szCs w:val="24"/>
        </w:rPr>
        <w:t xml:space="preserve">”, it is nonetheless necessary that they be dealt with sensibly.  It is where pleadings </w:t>
      </w:r>
      <w:r w:rsidR="00C4510C" w:rsidRPr="008D5870">
        <w:rPr>
          <w:rFonts w:ascii="Arial" w:hAnsi="Arial" w:cs="Arial"/>
          <w:sz w:val="24"/>
          <w:szCs w:val="24"/>
        </w:rPr>
        <w:t>are so vague that it is impossible to determine the nature of the claim or where pleadings are bad in law in that their contents do not support a di</w:t>
      </w:r>
      <w:r w:rsidR="00976103" w:rsidRPr="008D5870">
        <w:rPr>
          <w:rFonts w:ascii="Arial" w:hAnsi="Arial" w:cs="Arial"/>
          <w:sz w:val="24"/>
          <w:szCs w:val="24"/>
        </w:rPr>
        <w:t>s</w:t>
      </w:r>
      <w:r w:rsidR="00C4510C" w:rsidRPr="008D5870">
        <w:rPr>
          <w:rFonts w:ascii="Arial" w:hAnsi="Arial" w:cs="Arial"/>
          <w:sz w:val="24"/>
          <w:szCs w:val="24"/>
        </w:rPr>
        <w:t>ce</w:t>
      </w:r>
      <w:r w:rsidR="00976103" w:rsidRPr="008D5870">
        <w:rPr>
          <w:rFonts w:ascii="Arial" w:hAnsi="Arial" w:cs="Arial"/>
          <w:sz w:val="24"/>
          <w:szCs w:val="24"/>
        </w:rPr>
        <w:t>r</w:t>
      </w:r>
      <w:r w:rsidR="00C4510C" w:rsidRPr="008D5870">
        <w:rPr>
          <w:rFonts w:ascii="Arial" w:hAnsi="Arial" w:cs="Arial"/>
          <w:sz w:val="24"/>
          <w:szCs w:val="24"/>
        </w:rPr>
        <w:t>n</w:t>
      </w:r>
      <w:r w:rsidR="00976103" w:rsidRPr="008D5870">
        <w:rPr>
          <w:rFonts w:ascii="Arial" w:hAnsi="Arial" w:cs="Arial"/>
          <w:sz w:val="24"/>
          <w:szCs w:val="24"/>
        </w:rPr>
        <w:t>i</w:t>
      </w:r>
      <w:r w:rsidR="00C4510C" w:rsidRPr="008D5870">
        <w:rPr>
          <w:rFonts w:ascii="Arial" w:hAnsi="Arial" w:cs="Arial"/>
          <w:sz w:val="24"/>
          <w:szCs w:val="24"/>
        </w:rPr>
        <w:t xml:space="preserve">ble and legally recognised cause of action, that an exception is competent.  </w:t>
      </w:r>
      <w:r w:rsidR="003D0543" w:rsidRPr="008D5870">
        <w:rPr>
          <w:rFonts w:ascii="Arial" w:hAnsi="Arial" w:cs="Arial"/>
          <w:sz w:val="24"/>
          <w:szCs w:val="24"/>
        </w:rPr>
        <w:t xml:space="preserve">The burden rests on an excipient, who must </w:t>
      </w:r>
      <w:r w:rsidR="003D0543" w:rsidRPr="008D5870">
        <w:rPr>
          <w:rFonts w:ascii="Arial" w:hAnsi="Arial" w:cs="Arial"/>
          <w:sz w:val="24"/>
          <w:szCs w:val="24"/>
        </w:rPr>
        <w:lastRenderedPageBreak/>
        <w:t>establish that on every interpretation that can reasonably attach to it, the pleading is excipiable.  The test is whether</w:t>
      </w:r>
      <w:r w:rsidR="00C858F7" w:rsidRPr="008D5870">
        <w:rPr>
          <w:rFonts w:ascii="Arial" w:hAnsi="Arial" w:cs="Arial"/>
          <w:sz w:val="24"/>
          <w:szCs w:val="24"/>
        </w:rPr>
        <w:t xml:space="preserve"> on all possible readings of the facts no cause of action may be made out; it being for the excipient to satisfy the court that the conclusion of law for which the plaintiff contends cannot be supported on very interpretation that can be put upon the facts.” (Footnotes omitted).  </w:t>
      </w:r>
    </w:p>
    <w:p w14:paraId="6EA156AF" w14:textId="77777777" w:rsidR="00966636" w:rsidRDefault="00966636" w:rsidP="00966636">
      <w:pPr>
        <w:jc w:val="both"/>
        <w:rPr>
          <w:rFonts w:ascii="Arial" w:hAnsi="Arial" w:cs="Arial"/>
          <w:sz w:val="24"/>
          <w:szCs w:val="24"/>
        </w:rPr>
      </w:pPr>
    </w:p>
    <w:p w14:paraId="31C792F5" w14:textId="335CD240" w:rsidR="00966636" w:rsidRDefault="00330A05" w:rsidP="00397520">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397520">
        <w:rPr>
          <w:rFonts w:ascii="Arial" w:hAnsi="Arial" w:cs="Arial"/>
          <w:sz w:val="24"/>
          <w:szCs w:val="24"/>
        </w:rPr>
        <w:t>An exception based on the allegation that the pleading is vague and embarrassing is one that is dire</w:t>
      </w:r>
      <w:r w:rsidR="00E56B40">
        <w:rPr>
          <w:rFonts w:ascii="Arial" w:hAnsi="Arial" w:cs="Arial"/>
          <w:sz w:val="24"/>
          <w:szCs w:val="24"/>
        </w:rPr>
        <w:t>cted to some defect in the manner in which a cause of action is formulated which is of such a nature as to cause the party excepting thereto embarrassment.</w:t>
      </w:r>
      <w:r w:rsidR="00E56B40">
        <w:rPr>
          <w:rStyle w:val="FootnoteReference"/>
          <w:rFonts w:ascii="Arial" w:hAnsi="Arial" w:cs="Arial"/>
          <w:sz w:val="24"/>
          <w:szCs w:val="24"/>
        </w:rPr>
        <w:footnoteReference w:id="4"/>
      </w:r>
      <w:r w:rsidR="00E56B40">
        <w:rPr>
          <w:rFonts w:ascii="Arial" w:hAnsi="Arial" w:cs="Arial"/>
          <w:i/>
          <w:iCs/>
          <w:sz w:val="24"/>
          <w:szCs w:val="24"/>
          <w:u w:val="single"/>
        </w:rPr>
        <w:t xml:space="preserve"> </w:t>
      </w:r>
      <w:r w:rsidR="00802EB8">
        <w:rPr>
          <w:rFonts w:ascii="Arial" w:hAnsi="Arial" w:cs="Arial"/>
          <w:sz w:val="24"/>
          <w:szCs w:val="24"/>
        </w:rPr>
        <w:t xml:space="preserve"> </w:t>
      </w:r>
    </w:p>
    <w:p w14:paraId="25B9AAB3" w14:textId="77777777" w:rsidR="00530847" w:rsidRDefault="00530847" w:rsidP="00397520">
      <w:pPr>
        <w:spacing w:after="0" w:line="360" w:lineRule="auto"/>
        <w:jc w:val="both"/>
        <w:rPr>
          <w:rFonts w:ascii="Arial" w:hAnsi="Arial" w:cs="Arial"/>
          <w:sz w:val="24"/>
          <w:szCs w:val="24"/>
        </w:rPr>
      </w:pPr>
    </w:p>
    <w:p w14:paraId="60F56883" w14:textId="6264832B" w:rsidR="00530847" w:rsidRDefault="00530847" w:rsidP="00397520">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In deciding </w:t>
      </w:r>
      <w:r w:rsidR="000B4793">
        <w:rPr>
          <w:rFonts w:ascii="Arial" w:hAnsi="Arial" w:cs="Arial"/>
          <w:sz w:val="24"/>
          <w:szCs w:val="24"/>
        </w:rPr>
        <w:t>an exception on the basis that the pleading is vague and embarrassing, the first question involves deciding whether the pleading is indeed vague inasmuch as it is not possible to distil from it a single clear meaning</w:t>
      </w:r>
      <w:r w:rsidR="00484AAB">
        <w:rPr>
          <w:rStyle w:val="FootnoteReference"/>
          <w:rFonts w:ascii="Arial" w:hAnsi="Arial" w:cs="Arial"/>
          <w:sz w:val="24"/>
          <w:szCs w:val="24"/>
        </w:rPr>
        <w:footnoteReference w:id="5"/>
      </w:r>
      <w:r w:rsidR="000B4793">
        <w:rPr>
          <w:rFonts w:ascii="Arial" w:hAnsi="Arial" w:cs="Arial"/>
          <w:sz w:val="24"/>
          <w:szCs w:val="24"/>
        </w:rPr>
        <w:t xml:space="preserve">.  If this question is answered positively the court </w:t>
      </w:r>
      <w:r w:rsidR="009306CC">
        <w:rPr>
          <w:rFonts w:ascii="Arial" w:hAnsi="Arial" w:cs="Arial"/>
          <w:sz w:val="24"/>
          <w:szCs w:val="24"/>
        </w:rPr>
        <w:t>is</w:t>
      </w:r>
      <w:r w:rsidR="000B4793">
        <w:rPr>
          <w:rFonts w:ascii="Arial" w:hAnsi="Arial" w:cs="Arial"/>
          <w:sz w:val="24"/>
          <w:szCs w:val="24"/>
        </w:rPr>
        <w:t xml:space="preserve"> then required to determine whether embarrassment is occasioned by such vagueness</w:t>
      </w:r>
      <w:r w:rsidR="00AE3DC5">
        <w:rPr>
          <w:rStyle w:val="FootnoteReference"/>
          <w:rFonts w:ascii="Arial" w:hAnsi="Arial" w:cs="Arial"/>
          <w:sz w:val="24"/>
          <w:szCs w:val="24"/>
        </w:rPr>
        <w:footnoteReference w:id="6"/>
      </w:r>
      <w:r w:rsidR="00AE3DC5">
        <w:rPr>
          <w:rFonts w:ascii="Arial" w:hAnsi="Arial" w:cs="Arial"/>
          <w:sz w:val="24"/>
          <w:szCs w:val="24"/>
        </w:rPr>
        <w:t xml:space="preserve"> </w:t>
      </w:r>
      <w:r w:rsidR="000B4793" w:rsidRPr="00AE3DC5">
        <w:rPr>
          <w:rFonts w:ascii="Arial" w:hAnsi="Arial" w:cs="Arial"/>
          <w:sz w:val="24"/>
          <w:szCs w:val="24"/>
        </w:rPr>
        <w:t>and</w:t>
      </w:r>
      <w:r w:rsidR="000B4793">
        <w:rPr>
          <w:rFonts w:ascii="Arial" w:hAnsi="Arial" w:cs="Arial"/>
          <w:sz w:val="24"/>
          <w:szCs w:val="24"/>
        </w:rPr>
        <w:t xml:space="preserve"> whether such embarrassment is prejudicial to the party excepting to the pleading</w:t>
      </w:r>
      <w:r w:rsidR="00484AAB">
        <w:rPr>
          <w:rStyle w:val="FootnoteReference"/>
          <w:rFonts w:ascii="Arial" w:hAnsi="Arial" w:cs="Arial"/>
          <w:sz w:val="24"/>
          <w:szCs w:val="24"/>
        </w:rPr>
        <w:footnoteReference w:id="7"/>
      </w:r>
      <w:r w:rsidR="00DF5530">
        <w:rPr>
          <w:rFonts w:ascii="Arial" w:hAnsi="Arial" w:cs="Arial"/>
          <w:sz w:val="24"/>
          <w:szCs w:val="24"/>
        </w:rPr>
        <w:t xml:space="preserve">.  </w:t>
      </w:r>
    </w:p>
    <w:p w14:paraId="40E3D5B8" w14:textId="77777777" w:rsidR="00DF5530" w:rsidRDefault="00DF5530" w:rsidP="00397520">
      <w:pPr>
        <w:spacing w:after="0" w:line="360" w:lineRule="auto"/>
        <w:jc w:val="both"/>
        <w:rPr>
          <w:rFonts w:ascii="Arial" w:hAnsi="Arial" w:cs="Arial"/>
          <w:sz w:val="24"/>
          <w:szCs w:val="24"/>
        </w:rPr>
      </w:pPr>
    </w:p>
    <w:p w14:paraId="0BE1BA2A" w14:textId="46DB401E" w:rsidR="00DF5530" w:rsidRDefault="00DF5530" w:rsidP="00397520">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An exception is always decided with reference only to the pleadings.  </w:t>
      </w:r>
    </w:p>
    <w:p w14:paraId="42982B98" w14:textId="77777777" w:rsidR="00DF5530" w:rsidRDefault="00DF5530" w:rsidP="00397520">
      <w:pPr>
        <w:spacing w:after="0" w:line="360" w:lineRule="auto"/>
        <w:jc w:val="both"/>
        <w:rPr>
          <w:rFonts w:ascii="Arial" w:hAnsi="Arial" w:cs="Arial"/>
          <w:sz w:val="24"/>
          <w:szCs w:val="24"/>
        </w:rPr>
      </w:pPr>
    </w:p>
    <w:p w14:paraId="72A0AE3D" w14:textId="77777777" w:rsidR="00802EB8" w:rsidRDefault="00802EB8" w:rsidP="00802EB8">
      <w:pPr>
        <w:spacing w:after="0" w:line="360" w:lineRule="auto"/>
        <w:jc w:val="both"/>
        <w:rPr>
          <w:rFonts w:ascii="Arial" w:hAnsi="Arial" w:cs="Arial"/>
          <w:sz w:val="24"/>
          <w:szCs w:val="24"/>
        </w:rPr>
      </w:pPr>
    </w:p>
    <w:p w14:paraId="2C3C690E" w14:textId="7DBE71BA" w:rsidR="00802EB8" w:rsidRDefault="00802EB8" w:rsidP="00802EB8">
      <w:pPr>
        <w:spacing w:after="0" w:line="360" w:lineRule="auto"/>
        <w:jc w:val="both"/>
        <w:rPr>
          <w:rFonts w:ascii="Arial" w:hAnsi="Arial" w:cs="Arial"/>
          <w:b/>
          <w:bCs/>
          <w:sz w:val="24"/>
          <w:szCs w:val="24"/>
          <w:u w:val="single"/>
        </w:rPr>
      </w:pPr>
      <w:r>
        <w:rPr>
          <w:rFonts w:ascii="Arial" w:hAnsi="Arial" w:cs="Arial"/>
          <w:b/>
          <w:bCs/>
          <w:sz w:val="24"/>
          <w:szCs w:val="24"/>
          <w:u w:val="single"/>
        </w:rPr>
        <w:t>DISCUSSION</w:t>
      </w:r>
    </w:p>
    <w:p w14:paraId="2A4859C0" w14:textId="77777777" w:rsidR="00802EB8" w:rsidRDefault="00802EB8" w:rsidP="00802EB8">
      <w:pPr>
        <w:spacing w:after="0" w:line="360" w:lineRule="auto"/>
        <w:jc w:val="both"/>
        <w:rPr>
          <w:rFonts w:ascii="Arial" w:hAnsi="Arial" w:cs="Arial"/>
          <w:b/>
          <w:bCs/>
          <w:sz w:val="24"/>
          <w:szCs w:val="24"/>
          <w:u w:val="single"/>
        </w:rPr>
      </w:pPr>
    </w:p>
    <w:p w14:paraId="306DFDD8" w14:textId="116C59A5" w:rsidR="00484AAB" w:rsidRPr="00DF5530" w:rsidRDefault="00484AAB" w:rsidP="00484AAB">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The central issue in this exception concerns the applicability of foreign law, due to the plaintiff suing </w:t>
      </w:r>
      <w:r w:rsidR="00C27AA2">
        <w:rPr>
          <w:rFonts w:ascii="Arial" w:hAnsi="Arial" w:cs="Arial"/>
          <w:sz w:val="24"/>
          <w:szCs w:val="24"/>
        </w:rPr>
        <w:t>in terms of</w:t>
      </w:r>
      <w:r>
        <w:rPr>
          <w:rFonts w:ascii="Arial" w:hAnsi="Arial" w:cs="Arial"/>
          <w:sz w:val="24"/>
          <w:szCs w:val="24"/>
        </w:rPr>
        <w:t xml:space="preserve"> on an international contract.  </w:t>
      </w:r>
    </w:p>
    <w:p w14:paraId="7D1F2D8F" w14:textId="77777777" w:rsidR="00484AAB" w:rsidRDefault="00484AAB" w:rsidP="00802EB8">
      <w:pPr>
        <w:spacing w:after="0" w:line="360" w:lineRule="auto"/>
        <w:jc w:val="both"/>
        <w:rPr>
          <w:rFonts w:ascii="Arial" w:hAnsi="Arial" w:cs="Arial"/>
          <w:b/>
          <w:bCs/>
          <w:sz w:val="24"/>
          <w:szCs w:val="24"/>
          <w:u w:val="single"/>
        </w:rPr>
      </w:pPr>
    </w:p>
    <w:p w14:paraId="62152E52" w14:textId="04B7CD49" w:rsidR="004C7082" w:rsidRDefault="00802EB8" w:rsidP="00802EB8">
      <w:pPr>
        <w:spacing w:after="0" w:line="360" w:lineRule="auto"/>
        <w:jc w:val="both"/>
        <w:rPr>
          <w:rFonts w:ascii="Arial" w:hAnsi="Arial" w:cs="Arial"/>
          <w:sz w:val="24"/>
          <w:szCs w:val="24"/>
        </w:rPr>
      </w:pPr>
      <w:r>
        <w:rPr>
          <w:rFonts w:ascii="Arial" w:hAnsi="Arial" w:cs="Arial"/>
          <w:sz w:val="24"/>
          <w:szCs w:val="24"/>
        </w:rPr>
        <w:lastRenderedPageBreak/>
        <w:t>[1</w:t>
      </w:r>
      <w:r w:rsidR="00DF5530">
        <w:rPr>
          <w:rFonts w:ascii="Arial" w:hAnsi="Arial" w:cs="Arial"/>
          <w:sz w:val="24"/>
          <w:szCs w:val="24"/>
        </w:rPr>
        <w:t>3</w:t>
      </w:r>
      <w:r>
        <w:rPr>
          <w:rFonts w:ascii="Arial" w:hAnsi="Arial" w:cs="Arial"/>
          <w:sz w:val="24"/>
          <w:szCs w:val="24"/>
        </w:rPr>
        <w:t>]</w:t>
      </w:r>
      <w:r>
        <w:rPr>
          <w:rFonts w:ascii="Arial" w:hAnsi="Arial" w:cs="Arial"/>
          <w:sz w:val="24"/>
          <w:szCs w:val="24"/>
        </w:rPr>
        <w:tab/>
        <w:t xml:space="preserve">The importance of this is that the appropriate legal system which governs the international contract under consideration must be identified </w:t>
      </w:r>
      <w:r w:rsidR="00D73585">
        <w:rPr>
          <w:rFonts w:ascii="Arial" w:hAnsi="Arial" w:cs="Arial"/>
          <w:sz w:val="24"/>
          <w:szCs w:val="24"/>
        </w:rPr>
        <w:t>as</w:t>
      </w:r>
      <w:r>
        <w:rPr>
          <w:rFonts w:ascii="Arial" w:hAnsi="Arial" w:cs="Arial"/>
          <w:sz w:val="24"/>
          <w:szCs w:val="24"/>
        </w:rPr>
        <w:t xml:space="preserve"> being the “proper law of the contract”.  </w:t>
      </w:r>
    </w:p>
    <w:p w14:paraId="6000E88B" w14:textId="77777777" w:rsidR="004C7082" w:rsidRDefault="004C7082" w:rsidP="00802EB8">
      <w:pPr>
        <w:spacing w:after="0" w:line="360" w:lineRule="auto"/>
        <w:jc w:val="both"/>
        <w:rPr>
          <w:rFonts w:ascii="Arial" w:hAnsi="Arial" w:cs="Arial"/>
          <w:sz w:val="24"/>
          <w:szCs w:val="24"/>
        </w:rPr>
      </w:pPr>
    </w:p>
    <w:p w14:paraId="1E190586" w14:textId="1D3B2F86" w:rsidR="004C7082" w:rsidRPr="0039458A" w:rsidRDefault="004C7082" w:rsidP="00802EB8">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39458A">
        <w:rPr>
          <w:rFonts w:ascii="Arial" w:hAnsi="Arial" w:cs="Arial"/>
          <w:sz w:val="24"/>
          <w:szCs w:val="24"/>
        </w:rPr>
        <w:t xml:space="preserve">As was held in </w:t>
      </w:r>
      <w:r w:rsidR="0039458A">
        <w:rPr>
          <w:rFonts w:ascii="Arial" w:hAnsi="Arial" w:cs="Arial"/>
          <w:i/>
          <w:iCs/>
          <w:sz w:val="24"/>
          <w:szCs w:val="24"/>
          <w:u w:val="single"/>
        </w:rPr>
        <w:t>Harnischfeger Corporation and Another v Appleton and Another</w:t>
      </w:r>
      <w:r w:rsidR="0039458A" w:rsidRPr="0039458A">
        <w:rPr>
          <w:rStyle w:val="FootnoteReference"/>
          <w:rFonts w:ascii="Arial" w:hAnsi="Arial" w:cs="Arial"/>
          <w:sz w:val="24"/>
          <w:szCs w:val="24"/>
        </w:rPr>
        <w:footnoteReference w:id="8"/>
      </w:r>
      <w:r w:rsidR="0039458A">
        <w:rPr>
          <w:rFonts w:ascii="Arial" w:hAnsi="Arial" w:cs="Arial"/>
          <w:sz w:val="24"/>
          <w:szCs w:val="24"/>
        </w:rPr>
        <w:t xml:space="preserve">, to a South African court each aspect of foreign law is a factual </w:t>
      </w:r>
      <w:r w:rsidR="003F2D22">
        <w:rPr>
          <w:rFonts w:ascii="Arial" w:hAnsi="Arial" w:cs="Arial"/>
          <w:sz w:val="24"/>
          <w:szCs w:val="24"/>
        </w:rPr>
        <w:t>question,</w:t>
      </w:r>
      <w:r w:rsidR="0039458A">
        <w:rPr>
          <w:rFonts w:ascii="Arial" w:hAnsi="Arial" w:cs="Arial"/>
          <w:sz w:val="24"/>
          <w:szCs w:val="24"/>
        </w:rPr>
        <w:t xml:space="preserve"> and any evidence of that aspect must </w:t>
      </w:r>
      <w:r w:rsidR="00AE3DC5">
        <w:rPr>
          <w:rFonts w:ascii="Arial" w:hAnsi="Arial" w:cs="Arial"/>
          <w:sz w:val="24"/>
          <w:szCs w:val="24"/>
        </w:rPr>
        <w:t xml:space="preserve">emanate from someone with the necessary expertise.  It is assumed that on any relevant point there is no difference between our law and the law in the foreign country.  The result is that the party who wants the court to find that there is a difference, the party who in that sense relies upon the foreign law to assist him to a point where South African Law would not bring him, must produce such evidence.  </w:t>
      </w:r>
      <w:r w:rsidR="0039458A">
        <w:rPr>
          <w:rFonts w:ascii="Arial" w:hAnsi="Arial" w:cs="Arial"/>
          <w:sz w:val="24"/>
          <w:szCs w:val="24"/>
        </w:rPr>
        <w:t xml:space="preserve"> </w:t>
      </w:r>
    </w:p>
    <w:p w14:paraId="2AE98F4B" w14:textId="77777777" w:rsidR="004C7082" w:rsidRDefault="004C7082" w:rsidP="00802EB8">
      <w:pPr>
        <w:spacing w:after="0" w:line="360" w:lineRule="auto"/>
        <w:jc w:val="both"/>
        <w:rPr>
          <w:rFonts w:ascii="Arial" w:hAnsi="Arial" w:cs="Arial"/>
          <w:sz w:val="24"/>
          <w:szCs w:val="24"/>
        </w:rPr>
      </w:pPr>
    </w:p>
    <w:p w14:paraId="770AF862" w14:textId="77777777" w:rsidR="0028637F" w:rsidRDefault="004C7082" w:rsidP="00802EB8">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02EB8">
        <w:rPr>
          <w:rFonts w:ascii="Arial" w:hAnsi="Arial" w:cs="Arial"/>
          <w:sz w:val="24"/>
          <w:szCs w:val="24"/>
        </w:rPr>
        <w:t xml:space="preserve">It is common cause that clause 12.10 provides that an arbitration shall be in accordance with Zimbabwean law and that clause 13.8 provides that the agreement shall be governed and construed under the laws of Namibia. </w:t>
      </w:r>
    </w:p>
    <w:p w14:paraId="2A532B4A" w14:textId="77777777" w:rsidR="0028637F" w:rsidRDefault="0028637F" w:rsidP="00802EB8">
      <w:pPr>
        <w:spacing w:after="0" w:line="360" w:lineRule="auto"/>
        <w:jc w:val="both"/>
        <w:rPr>
          <w:rFonts w:ascii="Arial" w:hAnsi="Arial" w:cs="Arial"/>
          <w:sz w:val="24"/>
          <w:szCs w:val="24"/>
        </w:rPr>
      </w:pPr>
    </w:p>
    <w:p w14:paraId="40D10282" w14:textId="1A4B21CB" w:rsidR="0028637F" w:rsidRDefault="0028637F" w:rsidP="00802EB8">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Pr="003F2D22">
        <w:rPr>
          <w:rFonts w:ascii="Arial" w:hAnsi="Arial" w:cs="Arial"/>
          <w:i/>
          <w:iCs/>
          <w:sz w:val="24"/>
          <w:szCs w:val="24"/>
        </w:rPr>
        <w:t>Mr Rorke</w:t>
      </w:r>
      <w:r>
        <w:rPr>
          <w:rFonts w:ascii="Arial" w:hAnsi="Arial" w:cs="Arial"/>
          <w:sz w:val="24"/>
          <w:szCs w:val="24"/>
        </w:rPr>
        <w:t xml:space="preserve"> on behalf of the </w:t>
      </w:r>
      <w:r w:rsidR="003F2D22">
        <w:rPr>
          <w:rFonts w:ascii="Arial" w:hAnsi="Arial" w:cs="Arial"/>
          <w:sz w:val="24"/>
          <w:szCs w:val="24"/>
        </w:rPr>
        <w:t>defendant</w:t>
      </w:r>
      <w:r>
        <w:rPr>
          <w:rFonts w:ascii="Arial" w:hAnsi="Arial" w:cs="Arial"/>
          <w:sz w:val="24"/>
          <w:szCs w:val="24"/>
        </w:rPr>
        <w:t xml:space="preserve"> argued that the plaintiff’s case is pleaded in terms of the law of contract and that it is fundamental that the proper law of the contract is pleaded in the particulars of claim. Even if an alternative cause of action is pleaded (which he argued is not the case) it still has international features and it is still relevant to identify the law of that country.  </w:t>
      </w:r>
    </w:p>
    <w:p w14:paraId="6FC7D5F6" w14:textId="77777777" w:rsidR="0028637F" w:rsidRDefault="0028637F" w:rsidP="00802EB8">
      <w:pPr>
        <w:spacing w:after="0" w:line="360" w:lineRule="auto"/>
        <w:jc w:val="both"/>
        <w:rPr>
          <w:rFonts w:ascii="Arial" w:hAnsi="Arial" w:cs="Arial"/>
          <w:sz w:val="24"/>
          <w:szCs w:val="24"/>
        </w:rPr>
      </w:pPr>
    </w:p>
    <w:p w14:paraId="29484313" w14:textId="09740B36" w:rsidR="00802EB8" w:rsidRDefault="0028637F" w:rsidP="00802EB8">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F2D22">
        <w:rPr>
          <w:rFonts w:ascii="Arial" w:hAnsi="Arial" w:cs="Arial"/>
          <w:sz w:val="24"/>
          <w:szCs w:val="24"/>
        </w:rPr>
        <w:t>Further, t</w:t>
      </w:r>
      <w:r>
        <w:rPr>
          <w:rFonts w:ascii="Arial" w:hAnsi="Arial" w:cs="Arial"/>
          <w:sz w:val="24"/>
          <w:szCs w:val="24"/>
        </w:rPr>
        <w:t xml:space="preserve">he authorities are clear on the right to restitution being a distinct contractual remedy.  See </w:t>
      </w:r>
      <w:r w:rsidR="009F19DC">
        <w:rPr>
          <w:rFonts w:ascii="Arial" w:hAnsi="Arial" w:cs="Arial"/>
          <w:i/>
          <w:iCs/>
          <w:sz w:val="24"/>
          <w:szCs w:val="24"/>
        </w:rPr>
        <w:t xml:space="preserve">inter alia </w:t>
      </w:r>
      <w:r w:rsidR="009F19DC">
        <w:rPr>
          <w:rFonts w:ascii="Arial" w:hAnsi="Arial" w:cs="Arial"/>
          <w:i/>
          <w:iCs/>
          <w:sz w:val="24"/>
          <w:szCs w:val="24"/>
          <w:u w:val="single"/>
        </w:rPr>
        <w:t>Laco Parts (Pty) Limited t/a ACA Clutch v Turners Shipping (Pty) Limited</w:t>
      </w:r>
      <w:r w:rsidR="003F2D22">
        <w:rPr>
          <w:rStyle w:val="FootnoteReference"/>
          <w:rFonts w:ascii="Arial" w:hAnsi="Arial" w:cs="Arial"/>
          <w:i/>
          <w:iCs/>
          <w:sz w:val="24"/>
          <w:szCs w:val="24"/>
          <w:u w:val="single"/>
        </w:rPr>
        <w:footnoteReference w:id="9"/>
      </w:r>
      <w:r w:rsidR="009F19DC">
        <w:rPr>
          <w:rFonts w:ascii="Arial" w:hAnsi="Arial" w:cs="Arial"/>
          <w:sz w:val="24"/>
          <w:szCs w:val="24"/>
        </w:rPr>
        <w:t>:</w:t>
      </w:r>
    </w:p>
    <w:p w14:paraId="51B3455A" w14:textId="77777777" w:rsidR="009F19DC" w:rsidRDefault="009F19DC" w:rsidP="00802EB8">
      <w:pPr>
        <w:spacing w:after="0" w:line="360" w:lineRule="auto"/>
        <w:jc w:val="both"/>
        <w:rPr>
          <w:rFonts w:ascii="Arial" w:hAnsi="Arial" w:cs="Arial"/>
          <w:sz w:val="24"/>
          <w:szCs w:val="24"/>
        </w:rPr>
      </w:pPr>
    </w:p>
    <w:p w14:paraId="5795FF87" w14:textId="3A3212F8" w:rsidR="009F19DC" w:rsidRPr="003F2D22" w:rsidRDefault="009F19DC" w:rsidP="009F19DC">
      <w:pPr>
        <w:spacing w:after="0" w:line="360" w:lineRule="auto"/>
        <w:ind w:left="1440" w:right="1655"/>
        <w:jc w:val="both"/>
        <w:rPr>
          <w:rFonts w:ascii="Arial" w:hAnsi="Arial" w:cs="Arial"/>
          <w:sz w:val="24"/>
          <w:szCs w:val="24"/>
        </w:rPr>
      </w:pPr>
      <w:r w:rsidRPr="003F2D22">
        <w:rPr>
          <w:rFonts w:ascii="Arial" w:hAnsi="Arial" w:cs="Arial"/>
          <w:sz w:val="24"/>
          <w:szCs w:val="24"/>
        </w:rPr>
        <w:t xml:space="preserve">“In </w:t>
      </w:r>
      <w:r w:rsidRPr="003F2D22">
        <w:rPr>
          <w:rFonts w:ascii="Arial" w:hAnsi="Arial" w:cs="Arial"/>
          <w:i/>
          <w:iCs/>
          <w:sz w:val="24"/>
          <w:szCs w:val="24"/>
        </w:rPr>
        <w:t>Baker v Probert</w:t>
      </w:r>
      <w:r w:rsidRPr="003F2D22">
        <w:rPr>
          <w:rFonts w:ascii="Arial" w:hAnsi="Arial" w:cs="Arial"/>
          <w:sz w:val="24"/>
          <w:szCs w:val="24"/>
        </w:rPr>
        <w:t xml:space="preserve"> the Appellate Division (as it then was) finally settled the vexed question whether a claim for restitution following cancellation of a contract was contractual or enrichment.  Its view that such claim was </w:t>
      </w:r>
      <w:r w:rsidRPr="003F2D22">
        <w:rPr>
          <w:rFonts w:ascii="Arial" w:hAnsi="Arial" w:cs="Arial"/>
          <w:sz w:val="24"/>
          <w:szCs w:val="24"/>
        </w:rPr>
        <w:lastRenderedPageBreak/>
        <w:t xml:space="preserve">contractual </w:t>
      </w:r>
      <w:r w:rsidR="00D9721B" w:rsidRPr="003F2D22">
        <w:rPr>
          <w:rFonts w:ascii="Arial" w:hAnsi="Arial" w:cs="Arial"/>
          <w:sz w:val="24"/>
          <w:szCs w:val="24"/>
        </w:rPr>
        <w:t xml:space="preserve">was recently reaffirmed in </w:t>
      </w:r>
      <w:r w:rsidR="00D9721B" w:rsidRPr="003F2D22">
        <w:rPr>
          <w:rFonts w:ascii="Arial" w:hAnsi="Arial" w:cs="Arial"/>
          <w:i/>
          <w:iCs/>
          <w:sz w:val="24"/>
          <w:szCs w:val="24"/>
        </w:rPr>
        <w:t>Kudu Granite Operations (Pty) Limited v Caterna Limited</w:t>
      </w:r>
      <w:r w:rsidR="00D9721B" w:rsidRPr="003F2D22">
        <w:rPr>
          <w:rFonts w:ascii="Arial" w:hAnsi="Arial" w:cs="Arial"/>
          <w:sz w:val="24"/>
          <w:szCs w:val="24"/>
        </w:rPr>
        <w:t xml:space="preserve">.”  (Footnotes omitted).  </w:t>
      </w:r>
    </w:p>
    <w:p w14:paraId="7C8ADC79" w14:textId="77777777" w:rsidR="00D9721B" w:rsidRDefault="00D9721B" w:rsidP="00D9721B">
      <w:pPr>
        <w:spacing w:after="0" w:line="360" w:lineRule="auto"/>
        <w:ind w:right="1655"/>
        <w:jc w:val="both"/>
        <w:rPr>
          <w:rFonts w:ascii="Arial" w:hAnsi="Arial" w:cs="Arial"/>
          <w:sz w:val="24"/>
          <w:szCs w:val="24"/>
        </w:rPr>
      </w:pPr>
    </w:p>
    <w:p w14:paraId="0251D5B7" w14:textId="1E120D18" w:rsidR="00D9721B" w:rsidRPr="00832A61" w:rsidRDefault="00716C2C" w:rsidP="00D9721B">
      <w:pPr>
        <w:spacing w:after="0" w:line="360" w:lineRule="auto"/>
        <w:ind w:right="95"/>
        <w:jc w:val="both"/>
        <w:rPr>
          <w:rFonts w:ascii="Arial" w:hAnsi="Arial" w:cs="Arial"/>
          <w:sz w:val="24"/>
          <w:szCs w:val="24"/>
        </w:rPr>
      </w:pPr>
      <w:r>
        <w:rPr>
          <w:rFonts w:ascii="Arial" w:hAnsi="Arial" w:cs="Arial"/>
          <w:sz w:val="24"/>
          <w:szCs w:val="24"/>
        </w:rPr>
        <w:t>[18]</w:t>
      </w:r>
      <w:r>
        <w:rPr>
          <w:rFonts w:ascii="Arial" w:hAnsi="Arial" w:cs="Arial"/>
          <w:sz w:val="24"/>
          <w:szCs w:val="24"/>
        </w:rPr>
        <w:tab/>
      </w:r>
      <w:r w:rsidR="003F2D22">
        <w:rPr>
          <w:rFonts w:ascii="Arial" w:hAnsi="Arial" w:cs="Arial"/>
          <w:sz w:val="24"/>
          <w:szCs w:val="24"/>
        </w:rPr>
        <w:t>With reference to</w:t>
      </w:r>
      <w:r w:rsidR="00D9721B">
        <w:rPr>
          <w:rFonts w:ascii="Arial" w:hAnsi="Arial" w:cs="Arial"/>
          <w:sz w:val="24"/>
          <w:szCs w:val="24"/>
        </w:rPr>
        <w:t xml:space="preserve"> the matter of </w:t>
      </w:r>
      <w:r w:rsidR="00D9721B">
        <w:rPr>
          <w:rFonts w:ascii="Arial" w:hAnsi="Arial" w:cs="Arial"/>
          <w:i/>
          <w:iCs/>
          <w:sz w:val="24"/>
          <w:szCs w:val="24"/>
          <w:u w:val="single"/>
        </w:rPr>
        <w:t>Kudu Granite Operations (Pty) Limited v Caterna Limited</w:t>
      </w:r>
      <w:r w:rsidR="00D9721B" w:rsidRPr="00D9721B">
        <w:rPr>
          <w:rStyle w:val="FootnoteReference"/>
          <w:rFonts w:ascii="Arial" w:hAnsi="Arial" w:cs="Arial"/>
          <w:sz w:val="24"/>
          <w:szCs w:val="24"/>
        </w:rPr>
        <w:footnoteReference w:id="10"/>
      </w:r>
      <w:r w:rsidR="00D9721B">
        <w:rPr>
          <w:rFonts w:ascii="Arial" w:hAnsi="Arial" w:cs="Arial"/>
          <w:sz w:val="24"/>
          <w:szCs w:val="24"/>
        </w:rPr>
        <w:t xml:space="preserve"> </w:t>
      </w:r>
      <w:r w:rsidR="00D9721B" w:rsidRPr="004E3A20">
        <w:rPr>
          <w:rFonts w:ascii="Arial" w:hAnsi="Arial" w:cs="Arial"/>
          <w:i/>
          <w:iCs/>
          <w:sz w:val="24"/>
          <w:szCs w:val="24"/>
        </w:rPr>
        <w:t>Mr Rorke</w:t>
      </w:r>
      <w:r w:rsidR="00D9721B">
        <w:rPr>
          <w:rFonts w:ascii="Arial" w:hAnsi="Arial" w:cs="Arial"/>
          <w:sz w:val="24"/>
          <w:szCs w:val="24"/>
        </w:rPr>
        <w:t xml:space="preserve"> specifically referred me to paragraphs 14 and 15 of this judgment</w:t>
      </w:r>
      <w:r w:rsidR="003F2D22">
        <w:rPr>
          <w:rFonts w:ascii="Arial" w:hAnsi="Arial" w:cs="Arial"/>
          <w:sz w:val="24"/>
          <w:szCs w:val="24"/>
        </w:rPr>
        <w:t>, wherein</w:t>
      </w:r>
      <w:r w:rsidR="00D9721B">
        <w:rPr>
          <w:rFonts w:ascii="Arial" w:hAnsi="Arial" w:cs="Arial"/>
          <w:sz w:val="24"/>
          <w:szCs w:val="24"/>
        </w:rPr>
        <w:t xml:space="preserve"> </w:t>
      </w:r>
      <w:r w:rsidR="003F2D22">
        <w:rPr>
          <w:rFonts w:ascii="Arial" w:hAnsi="Arial" w:cs="Arial"/>
          <w:sz w:val="24"/>
          <w:szCs w:val="24"/>
        </w:rPr>
        <w:t>t</w:t>
      </w:r>
      <w:r w:rsidR="00D9721B">
        <w:rPr>
          <w:rFonts w:ascii="Arial" w:hAnsi="Arial" w:cs="Arial"/>
          <w:sz w:val="24"/>
          <w:szCs w:val="24"/>
        </w:rPr>
        <w:t xml:space="preserve">he Supreme Court of Appeal held that </w:t>
      </w:r>
      <w:r w:rsidR="00832A61">
        <w:rPr>
          <w:rFonts w:ascii="Arial" w:hAnsi="Arial" w:cs="Arial"/>
          <w:sz w:val="24"/>
          <w:szCs w:val="24"/>
        </w:rPr>
        <w:t xml:space="preserve">there is a material difference between suing on a contract for damages following upon cancellation for breach by the other party (as in </w:t>
      </w:r>
      <w:r w:rsidR="00832A61">
        <w:rPr>
          <w:rFonts w:ascii="Arial" w:hAnsi="Arial" w:cs="Arial"/>
          <w:i/>
          <w:iCs/>
          <w:sz w:val="24"/>
          <w:szCs w:val="24"/>
          <w:u w:val="single"/>
        </w:rPr>
        <w:t>Baker</w:t>
      </w:r>
      <w:r w:rsidR="00832A61">
        <w:rPr>
          <w:rFonts w:ascii="Arial" w:hAnsi="Arial" w:cs="Arial"/>
          <w:sz w:val="24"/>
          <w:szCs w:val="24"/>
        </w:rPr>
        <w:t xml:space="preserve">) and having to </w:t>
      </w:r>
      <w:r w:rsidR="00336EC9">
        <w:rPr>
          <w:rFonts w:ascii="Arial" w:hAnsi="Arial" w:cs="Arial"/>
          <w:sz w:val="24"/>
          <w:szCs w:val="24"/>
        </w:rPr>
        <w:t xml:space="preserve">concede that a contract in which the claim had its foundation, which has not been pre-breached by either party, is of no force and effect.  The second situation has been recognised since Roman times as one in which the contract gives rise to no rights of action and such remedy as exists is to be sought in unjust enrichment, </w:t>
      </w:r>
      <w:r w:rsidR="00A5725F">
        <w:rPr>
          <w:rFonts w:ascii="Arial" w:hAnsi="Arial" w:cs="Arial"/>
          <w:sz w:val="24"/>
          <w:szCs w:val="24"/>
        </w:rPr>
        <w:t xml:space="preserve">an equitable remedy in which the contractual provisions are largely irrelevant.  </w:t>
      </w:r>
      <w:r w:rsidR="004074FD" w:rsidRPr="004E3A20">
        <w:rPr>
          <w:rFonts w:ascii="Arial" w:hAnsi="Arial" w:cs="Arial"/>
          <w:i/>
          <w:iCs/>
          <w:sz w:val="24"/>
          <w:szCs w:val="24"/>
        </w:rPr>
        <w:t>Mr Rorke</w:t>
      </w:r>
      <w:r w:rsidR="004074FD">
        <w:rPr>
          <w:rFonts w:ascii="Arial" w:hAnsi="Arial" w:cs="Arial"/>
          <w:sz w:val="24"/>
          <w:szCs w:val="24"/>
        </w:rPr>
        <w:t xml:space="preserve"> argued further that in the current matter, although the contract does not give rise to rights of action, the clauses dealing with the foreign law will remain, and in conclusion that the plaintiff did not plead its case on the particulars of claim as one of unjust enrichment. </w:t>
      </w:r>
    </w:p>
    <w:p w14:paraId="2477B96B" w14:textId="77777777" w:rsidR="00802EB8" w:rsidRDefault="00802EB8" w:rsidP="00802EB8">
      <w:pPr>
        <w:spacing w:after="0" w:line="360" w:lineRule="auto"/>
        <w:jc w:val="both"/>
        <w:rPr>
          <w:rFonts w:ascii="Arial" w:hAnsi="Arial" w:cs="Arial"/>
          <w:sz w:val="24"/>
          <w:szCs w:val="24"/>
        </w:rPr>
      </w:pPr>
    </w:p>
    <w:p w14:paraId="6FBB2B37" w14:textId="4274547D" w:rsidR="00716C2C" w:rsidRDefault="00802EB8" w:rsidP="00802EB8">
      <w:pPr>
        <w:spacing w:after="0" w:line="360" w:lineRule="auto"/>
        <w:jc w:val="both"/>
        <w:rPr>
          <w:rFonts w:ascii="Arial" w:hAnsi="Arial" w:cs="Arial"/>
          <w:sz w:val="24"/>
          <w:szCs w:val="24"/>
        </w:rPr>
      </w:pPr>
      <w:r>
        <w:rPr>
          <w:rFonts w:ascii="Arial" w:hAnsi="Arial" w:cs="Arial"/>
          <w:sz w:val="24"/>
          <w:szCs w:val="24"/>
        </w:rPr>
        <w:t>[1</w:t>
      </w:r>
      <w:r w:rsidR="00716C2C">
        <w:rPr>
          <w:rFonts w:ascii="Arial" w:hAnsi="Arial" w:cs="Arial"/>
          <w:sz w:val="24"/>
          <w:szCs w:val="24"/>
        </w:rPr>
        <w:t>9</w:t>
      </w:r>
      <w:r>
        <w:rPr>
          <w:rFonts w:ascii="Arial" w:hAnsi="Arial" w:cs="Arial"/>
          <w:sz w:val="24"/>
          <w:szCs w:val="24"/>
        </w:rPr>
        <w:t>]</w:t>
      </w:r>
      <w:r>
        <w:rPr>
          <w:rFonts w:ascii="Arial" w:hAnsi="Arial" w:cs="Arial"/>
          <w:sz w:val="24"/>
          <w:szCs w:val="24"/>
        </w:rPr>
        <w:tab/>
      </w:r>
      <w:r w:rsidR="00840ED7">
        <w:rPr>
          <w:rFonts w:ascii="Arial" w:hAnsi="Arial" w:cs="Arial"/>
          <w:sz w:val="24"/>
          <w:szCs w:val="24"/>
        </w:rPr>
        <w:t xml:space="preserve">The argument advanced by </w:t>
      </w:r>
      <w:r w:rsidR="00840ED7" w:rsidRPr="004E3A20">
        <w:rPr>
          <w:rFonts w:ascii="Arial" w:hAnsi="Arial" w:cs="Arial"/>
          <w:i/>
          <w:iCs/>
          <w:sz w:val="24"/>
          <w:szCs w:val="24"/>
        </w:rPr>
        <w:t>Ms Rossi</w:t>
      </w:r>
      <w:r w:rsidR="00840ED7">
        <w:rPr>
          <w:rFonts w:ascii="Arial" w:hAnsi="Arial" w:cs="Arial"/>
          <w:sz w:val="24"/>
          <w:szCs w:val="24"/>
        </w:rPr>
        <w:t xml:space="preserve">, for the plaintiff, can be summarised as follows.  The plaintiff </w:t>
      </w:r>
      <w:r w:rsidR="00FE3288">
        <w:rPr>
          <w:rFonts w:ascii="Arial" w:hAnsi="Arial" w:cs="Arial"/>
          <w:sz w:val="24"/>
          <w:szCs w:val="24"/>
        </w:rPr>
        <w:t xml:space="preserve">has pleaded in its amended form the </w:t>
      </w:r>
      <w:r w:rsidR="00FE3288">
        <w:rPr>
          <w:rFonts w:ascii="Arial" w:hAnsi="Arial" w:cs="Arial"/>
          <w:i/>
          <w:iCs/>
          <w:sz w:val="24"/>
          <w:szCs w:val="24"/>
        </w:rPr>
        <w:t>locus contractus</w:t>
      </w:r>
      <w:r w:rsidR="00FE3288">
        <w:rPr>
          <w:rFonts w:ascii="Arial" w:hAnsi="Arial" w:cs="Arial"/>
          <w:sz w:val="24"/>
          <w:szCs w:val="24"/>
        </w:rPr>
        <w:t xml:space="preserve"> which alerts the defendant and court to the existence of a foreign element.  Whichever law is ultimately applicable to the dispute cannot be dealt with on exception.  It is not contended in the exception that the grounds pleaded to sustain the plaintiff’s cause of action are any different in either Zimbabwean or Nambian law.  </w:t>
      </w:r>
      <w:r w:rsidR="00503FC9">
        <w:rPr>
          <w:rFonts w:ascii="Arial" w:hAnsi="Arial" w:cs="Arial"/>
          <w:sz w:val="24"/>
          <w:szCs w:val="24"/>
        </w:rPr>
        <w:t xml:space="preserve">The court’s selection of the law applicable to this case cannot be fairly determined at this preliminary stage especially having regard to the benevolent approach </w:t>
      </w:r>
      <w:r w:rsidR="008A36EA">
        <w:rPr>
          <w:rFonts w:ascii="Arial" w:hAnsi="Arial" w:cs="Arial"/>
          <w:sz w:val="24"/>
          <w:szCs w:val="24"/>
        </w:rPr>
        <w:t>endorsed by our courts and until the introduction of the Law of Evidence Amendment Act, Act 45 of 1988</w:t>
      </w:r>
      <w:r w:rsidR="00716C2C">
        <w:rPr>
          <w:rFonts w:ascii="Arial" w:hAnsi="Arial" w:cs="Arial"/>
          <w:sz w:val="24"/>
          <w:szCs w:val="24"/>
        </w:rPr>
        <w:t xml:space="preserve"> (“the Act”)</w:t>
      </w:r>
      <w:r w:rsidR="008A36EA">
        <w:rPr>
          <w:rFonts w:ascii="Arial" w:hAnsi="Arial" w:cs="Arial"/>
          <w:sz w:val="24"/>
          <w:szCs w:val="24"/>
        </w:rPr>
        <w:t xml:space="preserve">, the content of foreign law was proved in terms of common law approach.  Section 1 of the Act now provides guidance and has markedly changed the position and provides that a court may take judicial notice of the law of a foreign state insofar as such law </w:t>
      </w:r>
      <w:r w:rsidR="00C30DCA">
        <w:rPr>
          <w:rFonts w:ascii="Arial" w:hAnsi="Arial" w:cs="Arial"/>
          <w:sz w:val="24"/>
          <w:szCs w:val="24"/>
        </w:rPr>
        <w:t xml:space="preserve">can be determined readily and with sufficient certainty.  </w:t>
      </w:r>
      <w:r w:rsidR="004074FD">
        <w:rPr>
          <w:rFonts w:ascii="Arial" w:hAnsi="Arial" w:cs="Arial"/>
          <w:sz w:val="24"/>
          <w:szCs w:val="24"/>
        </w:rPr>
        <w:t>S</w:t>
      </w:r>
      <w:r w:rsidR="00C30DCA">
        <w:rPr>
          <w:rFonts w:ascii="Arial" w:hAnsi="Arial" w:cs="Arial"/>
          <w:sz w:val="24"/>
          <w:szCs w:val="24"/>
        </w:rPr>
        <w:t xml:space="preserve">ection </w:t>
      </w:r>
      <w:r w:rsidR="004074FD">
        <w:rPr>
          <w:rFonts w:ascii="Arial" w:hAnsi="Arial" w:cs="Arial"/>
          <w:sz w:val="24"/>
          <w:szCs w:val="24"/>
        </w:rPr>
        <w:t xml:space="preserve">(1) </w:t>
      </w:r>
      <w:r w:rsidR="00C30DCA">
        <w:rPr>
          <w:rFonts w:ascii="Arial" w:hAnsi="Arial" w:cs="Arial"/>
          <w:sz w:val="24"/>
          <w:szCs w:val="24"/>
        </w:rPr>
        <w:t xml:space="preserve">2 provides that the provisions of section </w:t>
      </w:r>
      <w:r w:rsidR="004074FD">
        <w:rPr>
          <w:rFonts w:ascii="Arial" w:hAnsi="Arial" w:cs="Arial"/>
          <w:sz w:val="24"/>
          <w:szCs w:val="24"/>
        </w:rPr>
        <w:t>1(1)</w:t>
      </w:r>
      <w:r w:rsidR="00C30DCA">
        <w:rPr>
          <w:rFonts w:ascii="Arial" w:hAnsi="Arial" w:cs="Arial"/>
          <w:sz w:val="24"/>
          <w:szCs w:val="24"/>
        </w:rPr>
        <w:t xml:space="preserve"> shall not preclude any party of adducing evidence of the </w:t>
      </w:r>
      <w:r w:rsidR="00C30DCA">
        <w:rPr>
          <w:rFonts w:ascii="Arial" w:hAnsi="Arial" w:cs="Arial"/>
          <w:sz w:val="24"/>
          <w:szCs w:val="24"/>
        </w:rPr>
        <w:lastRenderedPageBreak/>
        <w:t xml:space="preserve">substance of a legal rule contemplated in that subsection which is in issue </w:t>
      </w:r>
      <w:r w:rsidR="00D9124C">
        <w:rPr>
          <w:rFonts w:ascii="Arial" w:hAnsi="Arial" w:cs="Arial"/>
          <w:sz w:val="24"/>
          <w:szCs w:val="24"/>
        </w:rPr>
        <w:t xml:space="preserve">at the proceedings concerned.  </w:t>
      </w:r>
      <w:r w:rsidR="00D9124C" w:rsidRPr="004E3A20">
        <w:rPr>
          <w:rFonts w:ascii="Arial" w:hAnsi="Arial" w:cs="Arial"/>
          <w:i/>
          <w:iCs/>
          <w:sz w:val="24"/>
          <w:szCs w:val="24"/>
        </w:rPr>
        <w:t>Ms Rossi</w:t>
      </w:r>
      <w:r w:rsidR="00D9124C">
        <w:rPr>
          <w:rFonts w:ascii="Arial" w:hAnsi="Arial" w:cs="Arial"/>
          <w:sz w:val="24"/>
          <w:szCs w:val="24"/>
        </w:rPr>
        <w:t xml:space="preserve"> therefore contended </w:t>
      </w:r>
      <w:r w:rsidR="00441943">
        <w:rPr>
          <w:rFonts w:ascii="Arial" w:hAnsi="Arial" w:cs="Arial"/>
          <w:sz w:val="24"/>
          <w:szCs w:val="24"/>
        </w:rPr>
        <w:t>that the aspect of foreign law is squarely before the court and pleaded</w:t>
      </w:r>
      <w:r w:rsidR="004074FD">
        <w:rPr>
          <w:rFonts w:ascii="Arial" w:hAnsi="Arial" w:cs="Arial"/>
          <w:sz w:val="24"/>
          <w:szCs w:val="24"/>
        </w:rPr>
        <w:t>,</w:t>
      </w:r>
      <w:r w:rsidR="00441943">
        <w:rPr>
          <w:rFonts w:ascii="Arial" w:hAnsi="Arial" w:cs="Arial"/>
          <w:sz w:val="24"/>
          <w:szCs w:val="24"/>
        </w:rPr>
        <w:t xml:space="preserve"> and the plaintiff can in due course proceed to prove the foreign law applicable in terms of the provisions of the Act.  </w:t>
      </w:r>
    </w:p>
    <w:p w14:paraId="174B7EE5" w14:textId="77777777" w:rsidR="00716C2C" w:rsidRDefault="00716C2C" w:rsidP="00802EB8">
      <w:pPr>
        <w:spacing w:after="0" w:line="360" w:lineRule="auto"/>
        <w:jc w:val="both"/>
        <w:rPr>
          <w:rFonts w:ascii="Arial" w:hAnsi="Arial" w:cs="Arial"/>
          <w:sz w:val="24"/>
          <w:szCs w:val="24"/>
        </w:rPr>
      </w:pPr>
    </w:p>
    <w:p w14:paraId="21A2752E" w14:textId="01D60FAE" w:rsidR="008D29BB" w:rsidRDefault="00716C2C" w:rsidP="00802EB8">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41943">
        <w:rPr>
          <w:rFonts w:ascii="Arial" w:hAnsi="Arial" w:cs="Arial"/>
          <w:sz w:val="24"/>
          <w:szCs w:val="24"/>
        </w:rPr>
        <w:t xml:space="preserve">As to the second ground of complaint, the argument advanced on the day of hearing is a departure from the heads of argument and </w:t>
      </w:r>
      <w:r w:rsidR="00441943" w:rsidRPr="004E3A20">
        <w:rPr>
          <w:rFonts w:ascii="Arial" w:hAnsi="Arial" w:cs="Arial"/>
          <w:i/>
          <w:iCs/>
          <w:sz w:val="24"/>
          <w:szCs w:val="24"/>
        </w:rPr>
        <w:t>Ms Rossi</w:t>
      </w:r>
      <w:r w:rsidR="00441943">
        <w:rPr>
          <w:rFonts w:ascii="Arial" w:hAnsi="Arial" w:cs="Arial"/>
          <w:sz w:val="24"/>
          <w:szCs w:val="24"/>
        </w:rPr>
        <w:t xml:space="preserve"> accepted that a claim based on restitution is a distinct contractual remedy and </w:t>
      </w:r>
      <w:r w:rsidR="009306CC">
        <w:rPr>
          <w:rFonts w:ascii="Arial" w:hAnsi="Arial" w:cs="Arial"/>
          <w:sz w:val="24"/>
          <w:szCs w:val="24"/>
        </w:rPr>
        <w:t>considering</w:t>
      </w:r>
      <w:r w:rsidR="00441943">
        <w:rPr>
          <w:rFonts w:ascii="Arial" w:hAnsi="Arial" w:cs="Arial"/>
          <w:sz w:val="24"/>
          <w:szCs w:val="24"/>
        </w:rPr>
        <w:t xml:space="preserve"> the contract being rendered </w:t>
      </w:r>
      <w:r w:rsidR="00441943">
        <w:rPr>
          <w:rFonts w:ascii="Arial" w:hAnsi="Arial" w:cs="Arial"/>
          <w:i/>
          <w:iCs/>
          <w:sz w:val="24"/>
          <w:szCs w:val="24"/>
        </w:rPr>
        <w:t>void ab initio</w:t>
      </w:r>
      <w:r w:rsidR="00441943">
        <w:rPr>
          <w:rFonts w:ascii="Arial" w:hAnsi="Arial" w:cs="Arial"/>
          <w:sz w:val="24"/>
          <w:szCs w:val="24"/>
        </w:rPr>
        <w:t xml:space="preserve"> the plaintiff cannot rely on this</w:t>
      </w:r>
      <w:r w:rsidR="001B6FCF">
        <w:rPr>
          <w:rFonts w:ascii="Arial" w:hAnsi="Arial" w:cs="Arial"/>
          <w:sz w:val="24"/>
          <w:szCs w:val="24"/>
        </w:rPr>
        <w:t xml:space="preserve"> contractual restitution as a</w:t>
      </w:r>
      <w:r w:rsidR="00441943">
        <w:rPr>
          <w:rFonts w:ascii="Arial" w:hAnsi="Arial" w:cs="Arial"/>
          <w:sz w:val="24"/>
          <w:szCs w:val="24"/>
        </w:rPr>
        <w:t xml:space="preserve"> remedy.  </w:t>
      </w:r>
    </w:p>
    <w:p w14:paraId="01F846D7" w14:textId="77777777" w:rsidR="008D29BB" w:rsidRDefault="008D29BB" w:rsidP="00802EB8">
      <w:pPr>
        <w:spacing w:after="0" w:line="360" w:lineRule="auto"/>
        <w:jc w:val="both"/>
        <w:rPr>
          <w:rFonts w:ascii="Arial" w:hAnsi="Arial" w:cs="Arial"/>
          <w:sz w:val="24"/>
          <w:szCs w:val="24"/>
        </w:rPr>
      </w:pPr>
    </w:p>
    <w:p w14:paraId="107B159E" w14:textId="7FE76B7E" w:rsidR="008D29BB" w:rsidRDefault="008D29BB" w:rsidP="00802EB8">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41943">
        <w:rPr>
          <w:rFonts w:ascii="Arial" w:hAnsi="Arial" w:cs="Arial"/>
          <w:sz w:val="24"/>
          <w:szCs w:val="24"/>
        </w:rPr>
        <w:t xml:space="preserve">Instead, </w:t>
      </w:r>
      <w:r w:rsidR="004E3A20">
        <w:rPr>
          <w:rFonts w:ascii="Arial" w:hAnsi="Arial" w:cs="Arial"/>
          <w:sz w:val="24"/>
          <w:szCs w:val="24"/>
        </w:rPr>
        <w:t>it was</w:t>
      </w:r>
      <w:r w:rsidR="00441943">
        <w:rPr>
          <w:rFonts w:ascii="Arial" w:hAnsi="Arial" w:cs="Arial"/>
          <w:sz w:val="24"/>
          <w:szCs w:val="24"/>
        </w:rPr>
        <w:t xml:space="preserve"> argued that the plaintiff’s claim is </w:t>
      </w:r>
      <w:r w:rsidR="004074FD">
        <w:rPr>
          <w:rFonts w:ascii="Arial" w:hAnsi="Arial" w:cs="Arial"/>
          <w:sz w:val="24"/>
          <w:szCs w:val="24"/>
        </w:rPr>
        <w:t xml:space="preserve">in fact </w:t>
      </w:r>
      <w:r>
        <w:rPr>
          <w:rFonts w:ascii="Arial" w:hAnsi="Arial" w:cs="Arial"/>
          <w:sz w:val="24"/>
          <w:szCs w:val="24"/>
        </w:rPr>
        <w:t xml:space="preserve">a </w:t>
      </w:r>
      <w:r w:rsidR="00441943">
        <w:rPr>
          <w:rFonts w:ascii="Arial" w:hAnsi="Arial" w:cs="Arial"/>
          <w:sz w:val="24"/>
          <w:szCs w:val="24"/>
        </w:rPr>
        <w:t>claim</w:t>
      </w:r>
      <w:r>
        <w:rPr>
          <w:rFonts w:ascii="Arial" w:hAnsi="Arial" w:cs="Arial"/>
          <w:sz w:val="24"/>
          <w:szCs w:val="24"/>
        </w:rPr>
        <w:t xml:space="preserve"> </w:t>
      </w:r>
      <w:r w:rsidR="00441943">
        <w:rPr>
          <w:rFonts w:ascii="Arial" w:hAnsi="Arial" w:cs="Arial"/>
          <w:sz w:val="24"/>
          <w:szCs w:val="24"/>
        </w:rPr>
        <w:t>based on unjustified enrichment</w:t>
      </w:r>
      <w:r w:rsidR="0081395E">
        <w:rPr>
          <w:rFonts w:ascii="Arial" w:hAnsi="Arial" w:cs="Arial"/>
          <w:sz w:val="24"/>
          <w:szCs w:val="24"/>
        </w:rPr>
        <w:t xml:space="preserve">, </w:t>
      </w:r>
      <w:r w:rsidR="000058CD">
        <w:rPr>
          <w:rFonts w:ascii="Arial" w:hAnsi="Arial" w:cs="Arial"/>
          <w:sz w:val="24"/>
          <w:szCs w:val="24"/>
        </w:rPr>
        <w:t>more specifically</w:t>
      </w:r>
      <w:r w:rsidR="00563DB4">
        <w:rPr>
          <w:rFonts w:ascii="Arial" w:hAnsi="Arial" w:cs="Arial"/>
          <w:sz w:val="24"/>
          <w:szCs w:val="24"/>
        </w:rPr>
        <w:t>,</w:t>
      </w:r>
      <w:r w:rsidR="0081395E">
        <w:rPr>
          <w:rFonts w:ascii="Arial" w:hAnsi="Arial" w:cs="Arial"/>
          <w:sz w:val="24"/>
          <w:szCs w:val="24"/>
        </w:rPr>
        <w:t xml:space="preserve"> the </w:t>
      </w:r>
      <w:r w:rsidR="0081395E">
        <w:rPr>
          <w:rFonts w:ascii="Arial" w:hAnsi="Arial" w:cs="Arial"/>
          <w:i/>
          <w:iCs/>
          <w:sz w:val="24"/>
          <w:szCs w:val="24"/>
        </w:rPr>
        <w:t>condictio indebiti</w:t>
      </w:r>
      <w:r w:rsidR="0081395E">
        <w:rPr>
          <w:rFonts w:ascii="Arial" w:hAnsi="Arial" w:cs="Arial"/>
          <w:sz w:val="24"/>
          <w:szCs w:val="24"/>
        </w:rPr>
        <w:t xml:space="preserve">, and </w:t>
      </w:r>
      <w:r>
        <w:rPr>
          <w:rFonts w:ascii="Arial" w:hAnsi="Arial" w:cs="Arial"/>
          <w:sz w:val="24"/>
          <w:szCs w:val="24"/>
        </w:rPr>
        <w:t xml:space="preserve">if the particulars of claim is read with due </w:t>
      </w:r>
      <w:r w:rsidR="0081395E">
        <w:rPr>
          <w:rFonts w:ascii="Arial" w:hAnsi="Arial" w:cs="Arial"/>
          <w:sz w:val="24"/>
          <w:szCs w:val="24"/>
        </w:rPr>
        <w:t xml:space="preserve">consideration of the material allegations as per </w:t>
      </w:r>
      <w:r w:rsidR="0081395E" w:rsidRPr="00D04E41">
        <w:rPr>
          <w:rFonts w:ascii="Arial" w:hAnsi="Arial" w:cs="Arial"/>
          <w:i/>
          <w:iCs/>
          <w:sz w:val="24"/>
          <w:szCs w:val="24"/>
        </w:rPr>
        <w:t>Amler</w:t>
      </w:r>
      <w:r>
        <w:rPr>
          <w:rStyle w:val="FootnoteReference"/>
          <w:rFonts w:ascii="Arial" w:hAnsi="Arial" w:cs="Arial"/>
          <w:sz w:val="24"/>
          <w:szCs w:val="24"/>
        </w:rPr>
        <w:footnoteReference w:id="11"/>
      </w:r>
      <w:r w:rsidR="0081395E">
        <w:rPr>
          <w:rFonts w:ascii="Arial" w:hAnsi="Arial" w:cs="Arial"/>
          <w:sz w:val="24"/>
          <w:szCs w:val="24"/>
        </w:rPr>
        <w:t xml:space="preserve">, the particulars of claim cannot be faulted.  </w:t>
      </w:r>
    </w:p>
    <w:p w14:paraId="58455A7C" w14:textId="77777777" w:rsidR="008D29BB" w:rsidRDefault="008D29BB" w:rsidP="00802EB8">
      <w:pPr>
        <w:spacing w:after="0" w:line="360" w:lineRule="auto"/>
        <w:jc w:val="both"/>
        <w:rPr>
          <w:rFonts w:ascii="Arial" w:hAnsi="Arial" w:cs="Arial"/>
          <w:sz w:val="24"/>
          <w:szCs w:val="24"/>
        </w:rPr>
      </w:pPr>
    </w:p>
    <w:p w14:paraId="48DEC8C6" w14:textId="02D4877B" w:rsidR="00802EB8" w:rsidRDefault="008D29BB" w:rsidP="00802EB8">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81395E">
        <w:rPr>
          <w:rFonts w:ascii="Arial" w:hAnsi="Arial" w:cs="Arial"/>
          <w:sz w:val="24"/>
          <w:szCs w:val="24"/>
        </w:rPr>
        <w:t>In</w:t>
      </w:r>
      <w:r>
        <w:rPr>
          <w:rFonts w:ascii="Arial" w:hAnsi="Arial" w:cs="Arial"/>
          <w:sz w:val="24"/>
          <w:szCs w:val="24"/>
        </w:rPr>
        <w:t xml:space="preserve"> further</w:t>
      </w:r>
      <w:r w:rsidR="0081395E">
        <w:rPr>
          <w:rFonts w:ascii="Arial" w:hAnsi="Arial" w:cs="Arial"/>
          <w:sz w:val="24"/>
          <w:szCs w:val="24"/>
        </w:rPr>
        <w:t xml:space="preserve"> support of her argument she </w:t>
      </w:r>
      <w:r w:rsidR="002B0B6A">
        <w:rPr>
          <w:rFonts w:ascii="Arial" w:hAnsi="Arial" w:cs="Arial"/>
          <w:sz w:val="24"/>
          <w:szCs w:val="24"/>
        </w:rPr>
        <w:t xml:space="preserve">also </w:t>
      </w:r>
      <w:r w:rsidR="0081395E">
        <w:rPr>
          <w:rFonts w:ascii="Arial" w:hAnsi="Arial" w:cs="Arial"/>
          <w:sz w:val="24"/>
          <w:szCs w:val="24"/>
        </w:rPr>
        <w:t xml:space="preserve">relied on the matter of </w:t>
      </w:r>
      <w:r w:rsidR="0081395E">
        <w:rPr>
          <w:rFonts w:ascii="Arial" w:hAnsi="Arial" w:cs="Arial"/>
          <w:i/>
          <w:iCs/>
          <w:sz w:val="24"/>
          <w:szCs w:val="24"/>
          <w:u w:val="single"/>
        </w:rPr>
        <w:t>Kudu</w:t>
      </w:r>
      <w:r w:rsidR="00F06557">
        <w:rPr>
          <w:rFonts w:ascii="Arial" w:hAnsi="Arial" w:cs="Arial"/>
          <w:sz w:val="24"/>
          <w:szCs w:val="24"/>
        </w:rPr>
        <w:t>,</w:t>
      </w:r>
      <w:r w:rsidR="00BB3198">
        <w:rPr>
          <w:rFonts w:ascii="Arial" w:hAnsi="Arial" w:cs="Arial"/>
          <w:i/>
          <w:iCs/>
          <w:sz w:val="24"/>
          <w:szCs w:val="24"/>
          <w:u w:val="single"/>
        </w:rPr>
        <w:t xml:space="preserve"> </w:t>
      </w:r>
      <w:r w:rsidR="0081395E">
        <w:rPr>
          <w:rFonts w:ascii="Arial" w:hAnsi="Arial" w:cs="Arial"/>
          <w:sz w:val="24"/>
          <w:szCs w:val="24"/>
        </w:rPr>
        <w:t>specifically paragraphs 16 and 17, which read as follows:</w:t>
      </w:r>
    </w:p>
    <w:p w14:paraId="1C491672" w14:textId="77777777" w:rsidR="0081395E" w:rsidRDefault="0081395E" w:rsidP="00802EB8">
      <w:pPr>
        <w:spacing w:after="0" w:line="360" w:lineRule="auto"/>
        <w:jc w:val="both"/>
        <w:rPr>
          <w:rFonts w:ascii="Arial" w:hAnsi="Arial" w:cs="Arial"/>
          <w:sz w:val="24"/>
          <w:szCs w:val="24"/>
        </w:rPr>
      </w:pPr>
    </w:p>
    <w:p w14:paraId="7847C85B" w14:textId="437D76F5" w:rsidR="0081395E" w:rsidRPr="004074FD" w:rsidRDefault="0081395E" w:rsidP="00695D14">
      <w:pPr>
        <w:spacing w:after="0" w:line="360" w:lineRule="auto"/>
        <w:ind w:left="1440" w:right="1655"/>
        <w:jc w:val="both"/>
        <w:rPr>
          <w:rFonts w:ascii="Arial" w:hAnsi="Arial" w:cs="Arial"/>
          <w:sz w:val="24"/>
          <w:szCs w:val="24"/>
        </w:rPr>
      </w:pPr>
      <w:r w:rsidRPr="004074FD">
        <w:rPr>
          <w:rFonts w:ascii="Arial" w:hAnsi="Arial" w:cs="Arial"/>
          <w:sz w:val="24"/>
          <w:szCs w:val="24"/>
        </w:rPr>
        <w:t>“[16]</w:t>
      </w:r>
      <w:r w:rsidRPr="004074FD">
        <w:rPr>
          <w:rFonts w:ascii="Arial" w:hAnsi="Arial" w:cs="Arial"/>
          <w:sz w:val="24"/>
          <w:szCs w:val="24"/>
        </w:rPr>
        <w:tab/>
        <w:t xml:space="preserve">Except that the </w:t>
      </w:r>
      <w:r w:rsidRPr="004074FD">
        <w:rPr>
          <w:rFonts w:ascii="Arial" w:hAnsi="Arial" w:cs="Arial"/>
          <w:i/>
          <w:iCs/>
          <w:sz w:val="24"/>
          <w:szCs w:val="24"/>
        </w:rPr>
        <w:t>condictio causa data causa non secuta</w:t>
      </w:r>
      <w:r w:rsidRPr="004074FD">
        <w:rPr>
          <w:rFonts w:ascii="Arial" w:hAnsi="Arial" w:cs="Arial"/>
          <w:sz w:val="24"/>
          <w:szCs w:val="24"/>
        </w:rPr>
        <w:t xml:space="preserve"> appears to apply to cases where a suspensive condition or the like was not fulfilled, the identification of the cause of the action is not of importance since there appears to be no difference in the requirements of proof of the two </w:t>
      </w:r>
      <w:r w:rsidR="00695D14" w:rsidRPr="004074FD">
        <w:rPr>
          <w:rFonts w:ascii="Arial" w:hAnsi="Arial" w:cs="Arial"/>
          <w:i/>
          <w:iCs/>
          <w:sz w:val="24"/>
          <w:szCs w:val="24"/>
        </w:rPr>
        <w:t>conditiones</w:t>
      </w:r>
      <w:r w:rsidR="00695D14" w:rsidRPr="004074FD">
        <w:rPr>
          <w:rFonts w:ascii="Arial" w:hAnsi="Arial" w:cs="Arial"/>
          <w:sz w:val="24"/>
          <w:szCs w:val="24"/>
        </w:rPr>
        <w:t xml:space="preserve">.  The essential point is that Caterna’s claim is covered by one or the other remedy for unjust enrichment.  </w:t>
      </w:r>
    </w:p>
    <w:p w14:paraId="7CEC6022" w14:textId="77777777" w:rsidR="00695D14" w:rsidRPr="004074FD" w:rsidRDefault="00695D14" w:rsidP="00695D14">
      <w:pPr>
        <w:spacing w:after="0" w:line="360" w:lineRule="auto"/>
        <w:ind w:left="1440" w:right="1655"/>
        <w:jc w:val="both"/>
        <w:rPr>
          <w:rFonts w:ascii="Arial" w:hAnsi="Arial" w:cs="Arial"/>
          <w:sz w:val="24"/>
          <w:szCs w:val="24"/>
        </w:rPr>
      </w:pPr>
    </w:p>
    <w:p w14:paraId="56522D10" w14:textId="53C7900E" w:rsidR="00695D14" w:rsidRPr="004074FD" w:rsidRDefault="00695D14" w:rsidP="00695D14">
      <w:pPr>
        <w:spacing w:after="0" w:line="360" w:lineRule="auto"/>
        <w:ind w:left="1440" w:right="1655"/>
        <w:jc w:val="both"/>
        <w:rPr>
          <w:rFonts w:ascii="Arial" w:hAnsi="Arial" w:cs="Arial"/>
          <w:sz w:val="24"/>
          <w:szCs w:val="24"/>
        </w:rPr>
      </w:pPr>
      <w:r w:rsidRPr="004074FD">
        <w:rPr>
          <w:rFonts w:ascii="Arial" w:hAnsi="Arial" w:cs="Arial"/>
          <w:sz w:val="24"/>
          <w:szCs w:val="24"/>
        </w:rPr>
        <w:t>[17]</w:t>
      </w:r>
      <w:r w:rsidRPr="004074FD">
        <w:rPr>
          <w:rFonts w:ascii="Arial" w:hAnsi="Arial" w:cs="Arial"/>
          <w:sz w:val="24"/>
          <w:szCs w:val="24"/>
        </w:rPr>
        <w:tab/>
        <w:t>It follows that to assess that claim one has to consider whether the following general enrichment elements are present:</w:t>
      </w:r>
    </w:p>
    <w:p w14:paraId="37CBEA44" w14:textId="77777777" w:rsidR="00695D14" w:rsidRPr="004074FD" w:rsidRDefault="00695D14" w:rsidP="00695D14">
      <w:pPr>
        <w:spacing w:after="0" w:line="360" w:lineRule="auto"/>
        <w:ind w:left="1440" w:right="1655"/>
        <w:jc w:val="both"/>
        <w:rPr>
          <w:rFonts w:ascii="Arial" w:hAnsi="Arial" w:cs="Arial"/>
          <w:sz w:val="24"/>
          <w:szCs w:val="24"/>
        </w:rPr>
      </w:pPr>
    </w:p>
    <w:p w14:paraId="4DE78D08" w14:textId="1E73AB75" w:rsidR="00695D14" w:rsidRPr="004074FD" w:rsidRDefault="00695D14" w:rsidP="00695D14">
      <w:pPr>
        <w:pStyle w:val="ListParagraph"/>
        <w:numPr>
          <w:ilvl w:val="0"/>
          <w:numId w:val="2"/>
        </w:numPr>
        <w:spacing w:after="0" w:line="360" w:lineRule="auto"/>
        <w:ind w:right="1655"/>
        <w:jc w:val="both"/>
        <w:rPr>
          <w:rFonts w:ascii="Arial" w:hAnsi="Arial" w:cs="Arial"/>
          <w:sz w:val="24"/>
          <w:szCs w:val="24"/>
        </w:rPr>
      </w:pPr>
      <w:r w:rsidRPr="004074FD">
        <w:rPr>
          <w:rFonts w:ascii="Arial" w:hAnsi="Arial" w:cs="Arial"/>
          <w:sz w:val="24"/>
          <w:szCs w:val="24"/>
        </w:rPr>
        <w:lastRenderedPageBreak/>
        <w:t xml:space="preserve">whether Kudu had been enriched by its nominee’s receipt of the granite; </w:t>
      </w:r>
    </w:p>
    <w:p w14:paraId="7D10AC6B" w14:textId="77777777" w:rsidR="00695D14" w:rsidRPr="004074FD" w:rsidRDefault="00695D14" w:rsidP="00695D14">
      <w:pPr>
        <w:pStyle w:val="ListParagraph"/>
        <w:spacing w:after="0" w:line="360" w:lineRule="auto"/>
        <w:ind w:left="2160" w:right="1655"/>
        <w:jc w:val="both"/>
        <w:rPr>
          <w:rFonts w:ascii="Arial" w:hAnsi="Arial" w:cs="Arial"/>
          <w:sz w:val="24"/>
          <w:szCs w:val="24"/>
        </w:rPr>
      </w:pPr>
    </w:p>
    <w:p w14:paraId="49063939" w14:textId="72B6BBA8" w:rsidR="00695D14" w:rsidRPr="004074FD" w:rsidRDefault="00695D14" w:rsidP="00695D14">
      <w:pPr>
        <w:pStyle w:val="ListParagraph"/>
        <w:numPr>
          <w:ilvl w:val="0"/>
          <w:numId w:val="2"/>
        </w:numPr>
        <w:spacing w:after="0" w:line="360" w:lineRule="auto"/>
        <w:ind w:right="1655"/>
        <w:jc w:val="both"/>
        <w:rPr>
          <w:rFonts w:ascii="Arial" w:hAnsi="Arial" w:cs="Arial"/>
          <w:sz w:val="24"/>
          <w:szCs w:val="24"/>
        </w:rPr>
      </w:pPr>
      <w:r w:rsidRPr="004074FD">
        <w:rPr>
          <w:rFonts w:ascii="Arial" w:hAnsi="Arial" w:cs="Arial"/>
          <w:sz w:val="24"/>
          <w:szCs w:val="24"/>
        </w:rPr>
        <w:t>whether Caterna had been impoverished by procuring that Ruenya delivered the blocks from its stock;</w:t>
      </w:r>
    </w:p>
    <w:p w14:paraId="0ECE095D" w14:textId="77777777" w:rsidR="00695D14" w:rsidRPr="004074FD" w:rsidRDefault="00695D14" w:rsidP="00695D14">
      <w:pPr>
        <w:pStyle w:val="ListParagraph"/>
        <w:rPr>
          <w:rFonts w:ascii="Arial" w:hAnsi="Arial" w:cs="Arial"/>
          <w:sz w:val="24"/>
          <w:szCs w:val="24"/>
        </w:rPr>
      </w:pPr>
    </w:p>
    <w:p w14:paraId="0CB05E97" w14:textId="674A041B" w:rsidR="00695D14" w:rsidRPr="004074FD" w:rsidRDefault="00695D14" w:rsidP="00695D14">
      <w:pPr>
        <w:pStyle w:val="ListParagraph"/>
        <w:numPr>
          <w:ilvl w:val="0"/>
          <w:numId w:val="2"/>
        </w:numPr>
        <w:spacing w:after="0" w:line="360" w:lineRule="auto"/>
        <w:ind w:right="1655"/>
        <w:jc w:val="both"/>
        <w:rPr>
          <w:rFonts w:ascii="Arial" w:hAnsi="Arial" w:cs="Arial"/>
          <w:sz w:val="24"/>
          <w:szCs w:val="24"/>
        </w:rPr>
      </w:pPr>
      <w:r w:rsidRPr="004074FD">
        <w:rPr>
          <w:rFonts w:ascii="Arial" w:hAnsi="Arial" w:cs="Arial"/>
          <w:sz w:val="24"/>
          <w:szCs w:val="24"/>
        </w:rPr>
        <w:t>whether Kudu’s enrichment was at the expense of Ca</w:t>
      </w:r>
      <w:r w:rsidR="004074FD">
        <w:rPr>
          <w:rFonts w:ascii="Arial" w:hAnsi="Arial" w:cs="Arial"/>
          <w:sz w:val="24"/>
          <w:szCs w:val="24"/>
        </w:rPr>
        <w:t>t</w:t>
      </w:r>
      <w:r w:rsidRPr="004074FD">
        <w:rPr>
          <w:rFonts w:ascii="Arial" w:hAnsi="Arial" w:cs="Arial"/>
          <w:sz w:val="24"/>
          <w:szCs w:val="24"/>
        </w:rPr>
        <w:t>erna; and</w:t>
      </w:r>
    </w:p>
    <w:p w14:paraId="65298784" w14:textId="77777777" w:rsidR="00695D14" w:rsidRPr="004074FD" w:rsidRDefault="00695D14" w:rsidP="00695D14">
      <w:pPr>
        <w:pStyle w:val="ListParagraph"/>
        <w:rPr>
          <w:rFonts w:ascii="Arial" w:hAnsi="Arial" w:cs="Arial"/>
          <w:sz w:val="24"/>
          <w:szCs w:val="24"/>
        </w:rPr>
      </w:pPr>
    </w:p>
    <w:p w14:paraId="71382E99" w14:textId="4A46E04A" w:rsidR="00695D14" w:rsidRPr="004074FD" w:rsidRDefault="00695D14" w:rsidP="00695D14">
      <w:pPr>
        <w:pStyle w:val="ListParagraph"/>
        <w:numPr>
          <w:ilvl w:val="0"/>
          <w:numId w:val="2"/>
        </w:numPr>
        <w:spacing w:after="0" w:line="360" w:lineRule="auto"/>
        <w:ind w:right="1655"/>
        <w:jc w:val="both"/>
        <w:rPr>
          <w:rFonts w:ascii="Arial" w:hAnsi="Arial" w:cs="Arial"/>
          <w:sz w:val="24"/>
          <w:szCs w:val="24"/>
        </w:rPr>
      </w:pPr>
      <w:r w:rsidRPr="004074FD">
        <w:rPr>
          <w:rFonts w:ascii="Arial" w:hAnsi="Arial" w:cs="Arial"/>
          <w:sz w:val="24"/>
          <w:szCs w:val="24"/>
        </w:rPr>
        <w:t>whether the enrichment was unjustified.”</w:t>
      </w:r>
    </w:p>
    <w:p w14:paraId="31AB4669" w14:textId="77777777" w:rsidR="00966636" w:rsidRDefault="00966636" w:rsidP="00966636">
      <w:pPr>
        <w:jc w:val="both"/>
        <w:rPr>
          <w:rFonts w:ascii="Arial" w:hAnsi="Arial" w:cs="Arial"/>
          <w:sz w:val="24"/>
          <w:szCs w:val="24"/>
        </w:rPr>
      </w:pPr>
    </w:p>
    <w:p w14:paraId="140D1E8F" w14:textId="320EAF61" w:rsidR="004074FD" w:rsidRDefault="00695D14" w:rsidP="006E7C0A">
      <w:pPr>
        <w:spacing w:after="0" w:line="360" w:lineRule="auto"/>
        <w:jc w:val="both"/>
        <w:rPr>
          <w:rFonts w:ascii="Arial" w:hAnsi="Arial" w:cs="Arial"/>
          <w:sz w:val="24"/>
          <w:szCs w:val="24"/>
        </w:rPr>
      </w:pPr>
      <w:r>
        <w:rPr>
          <w:rFonts w:ascii="Arial" w:hAnsi="Arial" w:cs="Arial"/>
          <w:sz w:val="24"/>
          <w:szCs w:val="24"/>
        </w:rPr>
        <w:t>[</w:t>
      </w:r>
      <w:r w:rsidR="00BB3198">
        <w:rPr>
          <w:rFonts w:ascii="Arial" w:hAnsi="Arial" w:cs="Arial"/>
          <w:sz w:val="24"/>
          <w:szCs w:val="24"/>
        </w:rPr>
        <w:t>23</w:t>
      </w:r>
      <w:r>
        <w:rPr>
          <w:rFonts w:ascii="Arial" w:hAnsi="Arial" w:cs="Arial"/>
          <w:sz w:val="24"/>
          <w:szCs w:val="24"/>
        </w:rPr>
        <w:t>]</w:t>
      </w:r>
      <w:r>
        <w:rPr>
          <w:rFonts w:ascii="Arial" w:hAnsi="Arial" w:cs="Arial"/>
          <w:sz w:val="24"/>
          <w:szCs w:val="24"/>
        </w:rPr>
        <w:tab/>
      </w:r>
      <w:r w:rsidR="004074FD" w:rsidRPr="004074FD">
        <w:rPr>
          <w:rFonts w:ascii="Arial" w:hAnsi="Arial" w:cs="Arial"/>
          <w:i/>
          <w:iCs/>
          <w:sz w:val="24"/>
          <w:szCs w:val="24"/>
        </w:rPr>
        <w:t>Ms Rossi</w:t>
      </w:r>
      <w:r w:rsidR="004074FD">
        <w:rPr>
          <w:rFonts w:ascii="Arial" w:hAnsi="Arial" w:cs="Arial"/>
          <w:sz w:val="24"/>
          <w:szCs w:val="24"/>
        </w:rPr>
        <w:t xml:space="preserve"> therefore argued that considering the plaintiff’s particulars of claim against the backdrop of factors set out in (i) to (iv) above,</w:t>
      </w:r>
      <w:r w:rsidR="004E3A20">
        <w:rPr>
          <w:rFonts w:ascii="Arial" w:hAnsi="Arial" w:cs="Arial"/>
          <w:sz w:val="24"/>
          <w:szCs w:val="24"/>
        </w:rPr>
        <w:t xml:space="preserve"> the general enrichment elements are all present and the plaintiff’s</w:t>
      </w:r>
      <w:r w:rsidR="004074FD">
        <w:rPr>
          <w:rFonts w:ascii="Arial" w:hAnsi="Arial" w:cs="Arial"/>
          <w:sz w:val="24"/>
          <w:szCs w:val="24"/>
        </w:rPr>
        <w:t xml:space="preserve"> cause of action is sustainable.</w:t>
      </w:r>
    </w:p>
    <w:p w14:paraId="58516175" w14:textId="77777777" w:rsidR="004074FD" w:rsidRDefault="004074FD" w:rsidP="006E7C0A">
      <w:pPr>
        <w:spacing w:after="0" w:line="360" w:lineRule="auto"/>
        <w:jc w:val="both"/>
        <w:rPr>
          <w:rFonts w:ascii="Arial" w:hAnsi="Arial" w:cs="Arial"/>
          <w:sz w:val="24"/>
          <w:szCs w:val="24"/>
        </w:rPr>
      </w:pPr>
    </w:p>
    <w:p w14:paraId="435C4F10" w14:textId="4FC47BC2" w:rsidR="00966636" w:rsidRDefault="004074FD" w:rsidP="006E7C0A">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T</w:t>
      </w:r>
      <w:r w:rsidR="00695D14">
        <w:rPr>
          <w:rFonts w:ascii="Arial" w:hAnsi="Arial" w:cs="Arial"/>
          <w:sz w:val="24"/>
          <w:szCs w:val="24"/>
        </w:rPr>
        <w:t xml:space="preserve">he obvious </w:t>
      </w:r>
      <w:r w:rsidR="00507B5D">
        <w:rPr>
          <w:rFonts w:ascii="Arial" w:hAnsi="Arial" w:cs="Arial"/>
          <w:sz w:val="24"/>
          <w:szCs w:val="24"/>
        </w:rPr>
        <w:t>response to</w:t>
      </w:r>
      <w:r>
        <w:rPr>
          <w:rFonts w:ascii="Arial" w:hAnsi="Arial" w:cs="Arial"/>
          <w:sz w:val="24"/>
          <w:szCs w:val="24"/>
        </w:rPr>
        <w:t xml:space="preserve"> this</w:t>
      </w:r>
      <w:r w:rsidR="00403BDB">
        <w:rPr>
          <w:rFonts w:ascii="Arial" w:hAnsi="Arial" w:cs="Arial"/>
          <w:sz w:val="24"/>
          <w:szCs w:val="24"/>
        </w:rPr>
        <w:t xml:space="preserve"> argument advanced is </w:t>
      </w:r>
      <w:r>
        <w:rPr>
          <w:rFonts w:ascii="Arial" w:hAnsi="Arial" w:cs="Arial"/>
          <w:sz w:val="24"/>
          <w:szCs w:val="24"/>
        </w:rPr>
        <w:t xml:space="preserve">that it is </w:t>
      </w:r>
      <w:r w:rsidR="00403BDB">
        <w:rPr>
          <w:rFonts w:ascii="Arial" w:hAnsi="Arial" w:cs="Arial"/>
          <w:sz w:val="24"/>
          <w:szCs w:val="24"/>
        </w:rPr>
        <w:t xml:space="preserve">a radical departure from the heads of argument and in any event </w:t>
      </w:r>
      <w:r w:rsidRPr="004074FD">
        <w:rPr>
          <w:rFonts w:ascii="Arial" w:hAnsi="Arial" w:cs="Arial"/>
          <w:i/>
          <w:iCs/>
          <w:sz w:val="24"/>
          <w:szCs w:val="24"/>
        </w:rPr>
        <w:t>Mr Rorke</w:t>
      </w:r>
      <w:r>
        <w:rPr>
          <w:rFonts w:ascii="Arial" w:hAnsi="Arial" w:cs="Arial"/>
          <w:sz w:val="24"/>
          <w:szCs w:val="24"/>
        </w:rPr>
        <w:t xml:space="preserve"> argued </w:t>
      </w:r>
      <w:r w:rsidR="0055450C">
        <w:rPr>
          <w:rFonts w:ascii="Arial" w:hAnsi="Arial" w:cs="Arial"/>
          <w:sz w:val="24"/>
          <w:szCs w:val="24"/>
        </w:rPr>
        <w:t>t</w:t>
      </w:r>
      <w:r w:rsidR="00403BDB">
        <w:rPr>
          <w:rFonts w:ascii="Arial" w:hAnsi="Arial" w:cs="Arial"/>
          <w:sz w:val="24"/>
          <w:szCs w:val="24"/>
        </w:rPr>
        <w:t xml:space="preserve">here are no averments of the enrichment of the </w:t>
      </w:r>
      <w:r w:rsidR="006E7C0A">
        <w:rPr>
          <w:rFonts w:ascii="Arial" w:hAnsi="Arial" w:cs="Arial"/>
          <w:sz w:val="24"/>
          <w:szCs w:val="24"/>
        </w:rPr>
        <w:t>defendant</w:t>
      </w:r>
      <w:r w:rsidR="00573873">
        <w:rPr>
          <w:rFonts w:ascii="Arial" w:hAnsi="Arial" w:cs="Arial"/>
          <w:sz w:val="24"/>
          <w:szCs w:val="24"/>
        </w:rPr>
        <w:t xml:space="preserve"> or</w:t>
      </w:r>
      <w:r w:rsidR="006E7C0A">
        <w:rPr>
          <w:rFonts w:ascii="Arial" w:hAnsi="Arial" w:cs="Arial"/>
          <w:sz w:val="24"/>
          <w:szCs w:val="24"/>
        </w:rPr>
        <w:t xml:space="preserve"> to the impoverishment of the </w:t>
      </w:r>
      <w:r w:rsidR="00403BDB">
        <w:rPr>
          <w:rFonts w:ascii="Arial" w:hAnsi="Arial" w:cs="Arial"/>
          <w:sz w:val="24"/>
          <w:szCs w:val="24"/>
        </w:rPr>
        <w:t>plaintiff</w:t>
      </w:r>
      <w:r w:rsidR="00573873">
        <w:rPr>
          <w:rFonts w:ascii="Arial" w:hAnsi="Arial" w:cs="Arial"/>
          <w:sz w:val="24"/>
          <w:szCs w:val="24"/>
        </w:rPr>
        <w:t>.</w:t>
      </w:r>
      <w:r w:rsidR="00403BDB">
        <w:rPr>
          <w:rFonts w:ascii="Arial" w:hAnsi="Arial" w:cs="Arial"/>
          <w:sz w:val="24"/>
          <w:szCs w:val="24"/>
        </w:rPr>
        <w:t xml:space="preserve"> </w:t>
      </w:r>
      <w:r w:rsidR="001944B8">
        <w:rPr>
          <w:rFonts w:ascii="Arial" w:hAnsi="Arial" w:cs="Arial"/>
          <w:sz w:val="24"/>
          <w:szCs w:val="24"/>
        </w:rPr>
        <w:t>A</w:t>
      </w:r>
      <w:r w:rsidR="00403BDB">
        <w:rPr>
          <w:rFonts w:ascii="Arial" w:hAnsi="Arial" w:cs="Arial"/>
          <w:sz w:val="24"/>
          <w:szCs w:val="24"/>
        </w:rPr>
        <w:t>lso absent are allegations relating to the value of the equipment tendered</w:t>
      </w:r>
      <w:r w:rsidR="006E7C0A">
        <w:rPr>
          <w:rFonts w:ascii="Arial" w:hAnsi="Arial" w:cs="Arial"/>
          <w:sz w:val="24"/>
          <w:szCs w:val="24"/>
        </w:rPr>
        <w:t xml:space="preserve"> back</w:t>
      </w:r>
      <w:r w:rsidR="00403BDB">
        <w:rPr>
          <w:rFonts w:ascii="Arial" w:hAnsi="Arial" w:cs="Arial"/>
          <w:sz w:val="24"/>
          <w:szCs w:val="24"/>
        </w:rPr>
        <w:t>. What further exacerbates the</w:t>
      </w:r>
      <w:r w:rsidR="009A619C">
        <w:rPr>
          <w:rFonts w:ascii="Arial" w:hAnsi="Arial" w:cs="Arial"/>
          <w:sz w:val="24"/>
          <w:szCs w:val="24"/>
        </w:rPr>
        <w:t xml:space="preserve"> plaintiff’s</w:t>
      </w:r>
      <w:r w:rsidR="00403BDB">
        <w:rPr>
          <w:rFonts w:ascii="Arial" w:hAnsi="Arial" w:cs="Arial"/>
          <w:sz w:val="24"/>
          <w:szCs w:val="24"/>
        </w:rPr>
        <w:t xml:space="preserve"> difficulty is that the proper law of the contract is not pleaded.  He stressed that even though the contract has failed, certain portions survived, including the portion dealing with the foreign law</w:t>
      </w:r>
      <w:r w:rsidR="0055450C">
        <w:rPr>
          <w:rFonts w:ascii="Arial" w:hAnsi="Arial" w:cs="Arial"/>
          <w:sz w:val="24"/>
          <w:szCs w:val="24"/>
        </w:rPr>
        <w:t xml:space="preserve">, and it is uncertain how the applicable foreign law deals with unjust enrichment. </w:t>
      </w:r>
    </w:p>
    <w:p w14:paraId="4AD6A283" w14:textId="77777777" w:rsidR="006E7C0A" w:rsidRDefault="006E7C0A" w:rsidP="006E7C0A">
      <w:pPr>
        <w:spacing w:after="0" w:line="360" w:lineRule="auto"/>
        <w:jc w:val="both"/>
        <w:rPr>
          <w:rFonts w:ascii="Arial" w:hAnsi="Arial" w:cs="Arial"/>
          <w:sz w:val="24"/>
          <w:szCs w:val="24"/>
        </w:rPr>
      </w:pPr>
    </w:p>
    <w:p w14:paraId="2AD9C756" w14:textId="2AF01BC0" w:rsidR="004E3A20" w:rsidRPr="00813133" w:rsidRDefault="006E7C0A" w:rsidP="006E7C0A">
      <w:pPr>
        <w:spacing w:after="0" w:line="360" w:lineRule="auto"/>
        <w:jc w:val="both"/>
        <w:rPr>
          <w:rFonts w:ascii="Arial" w:hAnsi="Arial" w:cs="Arial"/>
          <w:sz w:val="24"/>
          <w:szCs w:val="24"/>
        </w:rPr>
      </w:pPr>
      <w:r>
        <w:rPr>
          <w:rFonts w:ascii="Arial" w:hAnsi="Arial" w:cs="Arial"/>
          <w:sz w:val="24"/>
          <w:szCs w:val="24"/>
        </w:rPr>
        <w:t>[</w:t>
      </w:r>
      <w:r w:rsidR="00813133">
        <w:rPr>
          <w:rFonts w:ascii="Arial" w:hAnsi="Arial" w:cs="Arial"/>
          <w:sz w:val="24"/>
          <w:szCs w:val="24"/>
        </w:rPr>
        <w:t>2</w:t>
      </w:r>
      <w:r w:rsidR="004E3A20">
        <w:rPr>
          <w:rFonts w:ascii="Arial" w:hAnsi="Arial" w:cs="Arial"/>
          <w:sz w:val="24"/>
          <w:szCs w:val="24"/>
        </w:rPr>
        <w:t>5</w:t>
      </w:r>
      <w:r>
        <w:rPr>
          <w:rFonts w:ascii="Arial" w:hAnsi="Arial" w:cs="Arial"/>
          <w:sz w:val="24"/>
          <w:szCs w:val="24"/>
        </w:rPr>
        <w:t>]</w:t>
      </w:r>
      <w:r>
        <w:rPr>
          <w:rFonts w:ascii="Arial" w:hAnsi="Arial" w:cs="Arial"/>
          <w:sz w:val="24"/>
          <w:szCs w:val="24"/>
        </w:rPr>
        <w:tab/>
        <w:t xml:space="preserve">Our law provides for various enrichment remedies, and although </w:t>
      </w:r>
      <w:r w:rsidRPr="004074FD">
        <w:rPr>
          <w:rFonts w:ascii="Arial" w:hAnsi="Arial" w:cs="Arial"/>
          <w:i/>
          <w:iCs/>
          <w:sz w:val="24"/>
          <w:szCs w:val="24"/>
          <w:u w:val="single"/>
        </w:rPr>
        <w:t>Kudu</w:t>
      </w:r>
      <w:r>
        <w:rPr>
          <w:rFonts w:ascii="Arial" w:hAnsi="Arial" w:cs="Arial"/>
          <w:sz w:val="24"/>
          <w:szCs w:val="24"/>
        </w:rPr>
        <w:t xml:space="preserve"> supports the contention that the identification of a cause of action is not of importance since there appeared to be no difference in the requirements of proof of the two </w:t>
      </w:r>
      <w:r>
        <w:rPr>
          <w:rFonts w:ascii="Arial" w:hAnsi="Arial" w:cs="Arial"/>
          <w:i/>
          <w:iCs/>
          <w:sz w:val="24"/>
          <w:szCs w:val="24"/>
        </w:rPr>
        <w:t xml:space="preserve">condictiones, </w:t>
      </w:r>
      <w:r>
        <w:rPr>
          <w:rFonts w:ascii="Arial" w:hAnsi="Arial" w:cs="Arial"/>
          <w:sz w:val="24"/>
          <w:szCs w:val="24"/>
        </w:rPr>
        <w:t xml:space="preserve">the essential point is that the claim is covered by one or the other remedy for unjustified enrichment.  </w:t>
      </w:r>
      <w:r w:rsidR="00813133">
        <w:rPr>
          <w:rFonts w:ascii="Arial" w:hAnsi="Arial" w:cs="Arial"/>
          <w:sz w:val="24"/>
          <w:szCs w:val="24"/>
        </w:rPr>
        <w:t xml:space="preserve">If </w:t>
      </w:r>
      <w:r w:rsidR="00813133" w:rsidRPr="004E3A20">
        <w:rPr>
          <w:rFonts w:ascii="Arial" w:hAnsi="Arial" w:cs="Arial"/>
          <w:i/>
          <w:iCs/>
          <w:sz w:val="24"/>
          <w:szCs w:val="24"/>
        </w:rPr>
        <w:t>Ms Rossi</w:t>
      </w:r>
      <w:r w:rsidR="00813133">
        <w:rPr>
          <w:rFonts w:ascii="Arial" w:hAnsi="Arial" w:cs="Arial"/>
          <w:sz w:val="24"/>
          <w:szCs w:val="24"/>
        </w:rPr>
        <w:t xml:space="preserve">’s argument is to be upheld, then the court must make leaps of inference </w:t>
      </w:r>
      <w:r w:rsidR="0055450C">
        <w:rPr>
          <w:rFonts w:ascii="Arial" w:hAnsi="Arial" w:cs="Arial"/>
          <w:sz w:val="24"/>
          <w:szCs w:val="24"/>
        </w:rPr>
        <w:t xml:space="preserve">to accept the existence of general enrichment elements, </w:t>
      </w:r>
      <w:r w:rsidR="00813133">
        <w:rPr>
          <w:rFonts w:ascii="Arial" w:hAnsi="Arial" w:cs="Arial"/>
          <w:sz w:val="24"/>
          <w:szCs w:val="24"/>
        </w:rPr>
        <w:t>beyond what can be expected</w:t>
      </w:r>
      <w:r w:rsidR="004E3A20">
        <w:rPr>
          <w:rFonts w:ascii="Arial" w:hAnsi="Arial" w:cs="Arial"/>
          <w:sz w:val="24"/>
          <w:szCs w:val="24"/>
        </w:rPr>
        <w:t>,</w:t>
      </w:r>
      <w:r w:rsidR="00813133">
        <w:rPr>
          <w:rFonts w:ascii="Arial" w:hAnsi="Arial" w:cs="Arial"/>
          <w:sz w:val="24"/>
          <w:szCs w:val="24"/>
        </w:rPr>
        <w:t xml:space="preserve"> even in </w:t>
      </w:r>
      <w:r w:rsidR="004E3A20">
        <w:rPr>
          <w:rFonts w:ascii="Arial" w:hAnsi="Arial" w:cs="Arial"/>
          <w:sz w:val="24"/>
          <w:szCs w:val="24"/>
        </w:rPr>
        <w:t xml:space="preserve">following </w:t>
      </w:r>
      <w:r w:rsidR="00813133">
        <w:rPr>
          <w:rFonts w:ascii="Arial" w:hAnsi="Arial" w:cs="Arial"/>
          <w:sz w:val="24"/>
          <w:szCs w:val="24"/>
        </w:rPr>
        <w:t>a benevolent approach</w:t>
      </w:r>
      <w:r w:rsidR="0060770F">
        <w:rPr>
          <w:rFonts w:ascii="Arial" w:hAnsi="Arial" w:cs="Arial"/>
          <w:sz w:val="24"/>
          <w:szCs w:val="24"/>
        </w:rPr>
        <w:t xml:space="preserve"> in interp</w:t>
      </w:r>
      <w:r w:rsidR="00916ACC">
        <w:rPr>
          <w:rFonts w:ascii="Arial" w:hAnsi="Arial" w:cs="Arial"/>
          <w:sz w:val="24"/>
          <w:szCs w:val="24"/>
        </w:rPr>
        <w:t>reting the pleading</w:t>
      </w:r>
      <w:r w:rsidR="00813133">
        <w:rPr>
          <w:rFonts w:ascii="Arial" w:hAnsi="Arial" w:cs="Arial"/>
          <w:sz w:val="24"/>
          <w:szCs w:val="24"/>
        </w:rPr>
        <w:t xml:space="preserve">.  The defendant’s </w:t>
      </w:r>
      <w:r w:rsidR="0055450C">
        <w:rPr>
          <w:rFonts w:ascii="Arial" w:hAnsi="Arial" w:cs="Arial"/>
          <w:sz w:val="24"/>
          <w:szCs w:val="24"/>
        </w:rPr>
        <w:t>assertion</w:t>
      </w:r>
      <w:r w:rsidR="00813133">
        <w:rPr>
          <w:rFonts w:ascii="Arial" w:hAnsi="Arial" w:cs="Arial"/>
          <w:sz w:val="24"/>
          <w:szCs w:val="24"/>
        </w:rPr>
        <w:t xml:space="preserve"> that the plaintiff’s cause of action is based on the contractual remedy of restitution is not unreasonable, as the plaintiff only on the day </w:t>
      </w:r>
      <w:r w:rsidR="00813133">
        <w:rPr>
          <w:rFonts w:ascii="Arial" w:hAnsi="Arial" w:cs="Arial"/>
          <w:sz w:val="24"/>
          <w:szCs w:val="24"/>
        </w:rPr>
        <w:lastRenderedPageBreak/>
        <w:t xml:space="preserve">of </w:t>
      </w:r>
      <w:r w:rsidR="004E3A20">
        <w:rPr>
          <w:rFonts w:ascii="Arial" w:hAnsi="Arial" w:cs="Arial"/>
          <w:sz w:val="24"/>
          <w:szCs w:val="24"/>
        </w:rPr>
        <w:t xml:space="preserve">hearing </w:t>
      </w:r>
      <w:r w:rsidR="00813133">
        <w:rPr>
          <w:rFonts w:ascii="Arial" w:hAnsi="Arial" w:cs="Arial"/>
          <w:sz w:val="24"/>
          <w:szCs w:val="24"/>
        </w:rPr>
        <w:t xml:space="preserve">advanced </w:t>
      </w:r>
      <w:r w:rsidR="004E3A20">
        <w:rPr>
          <w:rFonts w:ascii="Arial" w:hAnsi="Arial" w:cs="Arial"/>
          <w:sz w:val="24"/>
          <w:szCs w:val="24"/>
        </w:rPr>
        <w:t xml:space="preserve">the argument that its claim is based on the </w:t>
      </w:r>
      <w:r w:rsidR="004E3A20" w:rsidRPr="004E3A20">
        <w:rPr>
          <w:rFonts w:ascii="Arial" w:hAnsi="Arial" w:cs="Arial"/>
          <w:i/>
          <w:iCs/>
          <w:sz w:val="24"/>
          <w:szCs w:val="24"/>
        </w:rPr>
        <w:t>condictio indebiti</w:t>
      </w:r>
      <w:r w:rsidR="004E3A20">
        <w:rPr>
          <w:rFonts w:ascii="Arial" w:hAnsi="Arial" w:cs="Arial"/>
          <w:sz w:val="24"/>
          <w:szCs w:val="24"/>
        </w:rPr>
        <w:t>.</w:t>
      </w:r>
      <w:r w:rsidR="00813133">
        <w:rPr>
          <w:rFonts w:ascii="Arial" w:hAnsi="Arial" w:cs="Arial"/>
          <w:sz w:val="24"/>
          <w:szCs w:val="24"/>
        </w:rPr>
        <w:t xml:space="preserve"> </w:t>
      </w:r>
      <w:r w:rsidR="004E3A20">
        <w:rPr>
          <w:rFonts w:ascii="Arial" w:hAnsi="Arial" w:cs="Arial"/>
          <w:sz w:val="24"/>
          <w:szCs w:val="24"/>
        </w:rPr>
        <w:t xml:space="preserve">I agree with </w:t>
      </w:r>
      <w:r w:rsidR="004E3A20" w:rsidRPr="004E3A20">
        <w:rPr>
          <w:rFonts w:ascii="Arial" w:hAnsi="Arial" w:cs="Arial"/>
          <w:i/>
          <w:iCs/>
          <w:sz w:val="24"/>
          <w:szCs w:val="24"/>
        </w:rPr>
        <w:t>Mr Rorke</w:t>
      </w:r>
      <w:r w:rsidR="001808E9">
        <w:rPr>
          <w:rFonts w:ascii="Arial" w:hAnsi="Arial" w:cs="Arial"/>
          <w:sz w:val="24"/>
          <w:szCs w:val="24"/>
        </w:rPr>
        <w:t xml:space="preserve"> </w:t>
      </w:r>
      <w:r w:rsidR="004E3A20">
        <w:rPr>
          <w:rFonts w:ascii="Arial" w:hAnsi="Arial" w:cs="Arial"/>
          <w:sz w:val="24"/>
          <w:szCs w:val="24"/>
        </w:rPr>
        <w:t xml:space="preserve">that the claim as pleaded in contract for restitution is not recognised by our law, as such the particulars of claim does not disclose a sustainable cause of action. As such, the second ground of exception must succeed. </w:t>
      </w:r>
    </w:p>
    <w:p w14:paraId="34B311FF" w14:textId="77777777" w:rsidR="006E7C0A" w:rsidRDefault="006E7C0A" w:rsidP="006E7C0A">
      <w:pPr>
        <w:spacing w:after="0" w:line="360" w:lineRule="auto"/>
        <w:jc w:val="both"/>
        <w:rPr>
          <w:rFonts w:ascii="Arial" w:hAnsi="Arial" w:cs="Arial"/>
          <w:sz w:val="24"/>
          <w:szCs w:val="24"/>
        </w:rPr>
      </w:pPr>
    </w:p>
    <w:p w14:paraId="5003F31A" w14:textId="43484B72" w:rsidR="006E7C0A" w:rsidRDefault="006E7C0A" w:rsidP="006E7C0A">
      <w:pPr>
        <w:spacing w:after="0" w:line="360" w:lineRule="auto"/>
        <w:jc w:val="both"/>
        <w:rPr>
          <w:rFonts w:ascii="Arial" w:hAnsi="Arial" w:cs="Arial"/>
          <w:sz w:val="24"/>
          <w:szCs w:val="24"/>
        </w:rPr>
      </w:pPr>
      <w:r>
        <w:rPr>
          <w:rFonts w:ascii="Arial" w:hAnsi="Arial" w:cs="Arial"/>
          <w:sz w:val="24"/>
          <w:szCs w:val="24"/>
        </w:rPr>
        <w:t>[</w:t>
      </w:r>
      <w:r w:rsidR="00BA137E">
        <w:rPr>
          <w:rFonts w:ascii="Arial" w:hAnsi="Arial" w:cs="Arial"/>
          <w:sz w:val="24"/>
          <w:szCs w:val="24"/>
        </w:rPr>
        <w:t>2</w:t>
      </w:r>
      <w:r w:rsidR="009306CC">
        <w:rPr>
          <w:rFonts w:ascii="Arial" w:hAnsi="Arial" w:cs="Arial"/>
          <w:sz w:val="24"/>
          <w:szCs w:val="24"/>
        </w:rPr>
        <w:t>6</w:t>
      </w:r>
      <w:r>
        <w:rPr>
          <w:rFonts w:ascii="Arial" w:hAnsi="Arial" w:cs="Arial"/>
          <w:sz w:val="24"/>
          <w:szCs w:val="24"/>
        </w:rPr>
        <w:t>]</w:t>
      </w:r>
      <w:r>
        <w:rPr>
          <w:rFonts w:ascii="Arial" w:hAnsi="Arial" w:cs="Arial"/>
          <w:sz w:val="24"/>
          <w:szCs w:val="24"/>
        </w:rPr>
        <w:tab/>
        <w:t xml:space="preserve">This brings me back to the aspect of foreign law.  Although the plaintiff can in due course proceed to prove the foreign law applicable whereafter the onus will rest on the party who wants the court to find a difference between our law and that foreign law to produce evidence to that effect, the defendant must at least be placed in the position to properly identify the </w:t>
      </w:r>
      <w:r w:rsidR="00D04E41">
        <w:rPr>
          <w:rFonts w:ascii="Arial" w:hAnsi="Arial" w:cs="Arial"/>
          <w:i/>
          <w:iCs/>
          <w:sz w:val="24"/>
          <w:szCs w:val="24"/>
        </w:rPr>
        <w:t>c</w:t>
      </w:r>
      <w:r w:rsidR="00054758">
        <w:rPr>
          <w:rFonts w:ascii="Arial" w:hAnsi="Arial" w:cs="Arial"/>
          <w:i/>
          <w:iCs/>
          <w:sz w:val="24"/>
          <w:szCs w:val="24"/>
        </w:rPr>
        <w:t>ondictiones</w:t>
      </w:r>
      <w:r>
        <w:rPr>
          <w:rFonts w:ascii="Arial" w:hAnsi="Arial" w:cs="Arial"/>
          <w:i/>
          <w:iCs/>
          <w:sz w:val="24"/>
          <w:szCs w:val="24"/>
        </w:rPr>
        <w:t xml:space="preserve"> </w:t>
      </w:r>
      <w:r>
        <w:rPr>
          <w:rFonts w:ascii="Arial" w:hAnsi="Arial" w:cs="Arial"/>
          <w:sz w:val="24"/>
          <w:szCs w:val="24"/>
        </w:rPr>
        <w:t xml:space="preserve">relied upon as well as consider whether the foreign law in respect of that </w:t>
      </w:r>
      <w:r>
        <w:rPr>
          <w:rFonts w:ascii="Arial" w:hAnsi="Arial" w:cs="Arial"/>
          <w:i/>
          <w:iCs/>
          <w:sz w:val="24"/>
          <w:szCs w:val="24"/>
        </w:rPr>
        <w:t xml:space="preserve">condictione </w:t>
      </w:r>
      <w:r>
        <w:rPr>
          <w:rFonts w:ascii="Arial" w:hAnsi="Arial" w:cs="Arial"/>
          <w:sz w:val="24"/>
          <w:szCs w:val="24"/>
        </w:rPr>
        <w:t xml:space="preserve">differs from ours.  The defendant can only be placed in that position if </w:t>
      </w:r>
      <w:r w:rsidR="004E3A20">
        <w:rPr>
          <w:rFonts w:ascii="Arial" w:hAnsi="Arial" w:cs="Arial"/>
          <w:sz w:val="24"/>
          <w:szCs w:val="24"/>
        </w:rPr>
        <w:t>the applicable foreign law</w:t>
      </w:r>
      <w:r>
        <w:rPr>
          <w:rFonts w:ascii="Arial" w:hAnsi="Arial" w:cs="Arial"/>
          <w:sz w:val="24"/>
          <w:szCs w:val="24"/>
        </w:rPr>
        <w:t xml:space="preserve"> is properly pleaded, which it is not.  </w:t>
      </w:r>
    </w:p>
    <w:p w14:paraId="36EF29CB" w14:textId="77777777" w:rsidR="006E7C0A" w:rsidRDefault="006E7C0A" w:rsidP="006E7C0A">
      <w:pPr>
        <w:spacing w:after="0" w:line="360" w:lineRule="auto"/>
        <w:jc w:val="both"/>
        <w:rPr>
          <w:rFonts w:ascii="Arial" w:hAnsi="Arial" w:cs="Arial"/>
          <w:sz w:val="24"/>
          <w:szCs w:val="24"/>
        </w:rPr>
      </w:pPr>
    </w:p>
    <w:p w14:paraId="2D45AF46" w14:textId="4E4593D0" w:rsidR="006E7C0A" w:rsidRDefault="006E7C0A" w:rsidP="006E7C0A">
      <w:pPr>
        <w:spacing w:after="0" w:line="360" w:lineRule="auto"/>
        <w:jc w:val="both"/>
        <w:rPr>
          <w:rFonts w:ascii="Arial" w:hAnsi="Arial" w:cs="Arial"/>
          <w:sz w:val="24"/>
          <w:szCs w:val="24"/>
        </w:rPr>
      </w:pPr>
      <w:r>
        <w:rPr>
          <w:rFonts w:ascii="Arial" w:hAnsi="Arial" w:cs="Arial"/>
          <w:sz w:val="24"/>
          <w:szCs w:val="24"/>
        </w:rPr>
        <w:t>[</w:t>
      </w:r>
      <w:r w:rsidR="00BA137E">
        <w:rPr>
          <w:rFonts w:ascii="Arial" w:hAnsi="Arial" w:cs="Arial"/>
          <w:sz w:val="24"/>
          <w:szCs w:val="24"/>
        </w:rPr>
        <w:t>2</w:t>
      </w:r>
      <w:r w:rsidR="009306CC">
        <w:rPr>
          <w:rFonts w:ascii="Arial" w:hAnsi="Arial" w:cs="Arial"/>
          <w:sz w:val="24"/>
          <w:szCs w:val="24"/>
        </w:rPr>
        <w:t>7</w:t>
      </w:r>
      <w:r>
        <w:rPr>
          <w:rFonts w:ascii="Arial" w:hAnsi="Arial" w:cs="Arial"/>
          <w:sz w:val="24"/>
          <w:szCs w:val="24"/>
        </w:rPr>
        <w:t>]</w:t>
      </w:r>
      <w:r>
        <w:rPr>
          <w:rFonts w:ascii="Arial" w:hAnsi="Arial" w:cs="Arial"/>
          <w:sz w:val="24"/>
          <w:szCs w:val="24"/>
        </w:rPr>
        <w:tab/>
        <w:t>In my view, this amounts to vagueness, which vagueness causes prejudice as the defendant does not know the claim he has to meet.  As a result</w:t>
      </w:r>
      <w:r w:rsidR="00054758">
        <w:rPr>
          <w:rFonts w:ascii="Arial" w:hAnsi="Arial" w:cs="Arial"/>
          <w:sz w:val="24"/>
          <w:szCs w:val="24"/>
        </w:rPr>
        <w:t>,</w:t>
      </w:r>
      <w:r>
        <w:rPr>
          <w:rFonts w:ascii="Arial" w:hAnsi="Arial" w:cs="Arial"/>
          <w:sz w:val="24"/>
          <w:szCs w:val="24"/>
        </w:rPr>
        <w:t xml:space="preserve"> the </w:t>
      </w:r>
      <w:r w:rsidR="004E3A20">
        <w:rPr>
          <w:rFonts w:ascii="Arial" w:hAnsi="Arial" w:cs="Arial"/>
          <w:sz w:val="24"/>
          <w:szCs w:val="24"/>
        </w:rPr>
        <w:t xml:space="preserve">first ground of the </w:t>
      </w:r>
      <w:r>
        <w:rPr>
          <w:rFonts w:ascii="Arial" w:hAnsi="Arial" w:cs="Arial"/>
          <w:sz w:val="24"/>
          <w:szCs w:val="24"/>
        </w:rPr>
        <w:t xml:space="preserve">exception must </w:t>
      </w:r>
      <w:r w:rsidR="004E3A20">
        <w:rPr>
          <w:rFonts w:ascii="Arial" w:hAnsi="Arial" w:cs="Arial"/>
          <w:sz w:val="24"/>
          <w:szCs w:val="24"/>
        </w:rPr>
        <w:t xml:space="preserve">also </w:t>
      </w:r>
      <w:r>
        <w:rPr>
          <w:rFonts w:ascii="Arial" w:hAnsi="Arial" w:cs="Arial"/>
          <w:sz w:val="24"/>
          <w:szCs w:val="24"/>
        </w:rPr>
        <w:t xml:space="preserve">succeed.  </w:t>
      </w:r>
    </w:p>
    <w:p w14:paraId="1E083C01" w14:textId="77777777" w:rsidR="006E7C0A" w:rsidRDefault="006E7C0A" w:rsidP="006E7C0A">
      <w:pPr>
        <w:spacing w:after="0" w:line="360" w:lineRule="auto"/>
        <w:jc w:val="both"/>
        <w:rPr>
          <w:rFonts w:ascii="Arial" w:hAnsi="Arial" w:cs="Arial"/>
          <w:sz w:val="24"/>
          <w:szCs w:val="24"/>
        </w:rPr>
      </w:pPr>
    </w:p>
    <w:p w14:paraId="45BF6489" w14:textId="3366D1D8" w:rsidR="006E7C0A" w:rsidRDefault="006E7C0A" w:rsidP="006E7C0A">
      <w:pPr>
        <w:spacing w:after="0" w:line="360" w:lineRule="auto"/>
        <w:jc w:val="both"/>
        <w:rPr>
          <w:rFonts w:ascii="Arial" w:hAnsi="Arial" w:cs="Arial"/>
          <w:sz w:val="24"/>
          <w:szCs w:val="24"/>
        </w:rPr>
      </w:pPr>
      <w:r>
        <w:rPr>
          <w:rFonts w:ascii="Arial" w:hAnsi="Arial" w:cs="Arial"/>
          <w:sz w:val="24"/>
          <w:szCs w:val="24"/>
        </w:rPr>
        <w:t>In the circumstances the following order will issue:</w:t>
      </w:r>
    </w:p>
    <w:p w14:paraId="5FE946E4" w14:textId="77777777" w:rsidR="006E7C0A" w:rsidRDefault="006E7C0A" w:rsidP="006E7C0A">
      <w:pPr>
        <w:spacing w:after="0" w:line="360" w:lineRule="auto"/>
        <w:jc w:val="both"/>
        <w:rPr>
          <w:rFonts w:ascii="Arial" w:hAnsi="Arial" w:cs="Arial"/>
          <w:sz w:val="24"/>
          <w:szCs w:val="24"/>
        </w:rPr>
      </w:pPr>
    </w:p>
    <w:p w14:paraId="3B4366C5" w14:textId="6CD6EAD0" w:rsidR="006E7C0A" w:rsidRPr="004E3A20" w:rsidRDefault="006E7C0A" w:rsidP="006E7C0A">
      <w:pPr>
        <w:pStyle w:val="ListParagraph"/>
        <w:numPr>
          <w:ilvl w:val="0"/>
          <w:numId w:val="3"/>
        </w:numPr>
        <w:spacing w:after="0" w:line="360" w:lineRule="auto"/>
        <w:ind w:hanging="720"/>
        <w:jc w:val="both"/>
        <w:rPr>
          <w:rFonts w:ascii="Arial" w:hAnsi="Arial" w:cs="Arial"/>
          <w:b/>
          <w:bCs/>
          <w:sz w:val="24"/>
          <w:szCs w:val="24"/>
        </w:rPr>
      </w:pPr>
      <w:r w:rsidRPr="004E3A20">
        <w:rPr>
          <w:rFonts w:ascii="Arial" w:hAnsi="Arial" w:cs="Arial"/>
          <w:b/>
          <w:bCs/>
          <w:sz w:val="24"/>
          <w:szCs w:val="24"/>
        </w:rPr>
        <w:t xml:space="preserve">The exception is upheld with costs.  </w:t>
      </w:r>
    </w:p>
    <w:p w14:paraId="60064DF8" w14:textId="77777777" w:rsidR="006E7C0A" w:rsidRPr="004E3A20" w:rsidRDefault="006E7C0A" w:rsidP="006E7C0A">
      <w:pPr>
        <w:pStyle w:val="ListParagraph"/>
        <w:spacing w:after="0" w:line="360" w:lineRule="auto"/>
        <w:jc w:val="both"/>
        <w:rPr>
          <w:rFonts w:ascii="Arial" w:hAnsi="Arial" w:cs="Arial"/>
          <w:b/>
          <w:bCs/>
          <w:sz w:val="24"/>
          <w:szCs w:val="24"/>
        </w:rPr>
      </w:pPr>
    </w:p>
    <w:p w14:paraId="41B5D475" w14:textId="10D81199" w:rsidR="00966636" w:rsidRPr="004E3A20" w:rsidRDefault="006E7C0A" w:rsidP="00966636">
      <w:pPr>
        <w:pStyle w:val="ListParagraph"/>
        <w:numPr>
          <w:ilvl w:val="0"/>
          <w:numId w:val="3"/>
        </w:numPr>
        <w:spacing w:after="0" w:line="360" w:lineRule="auto"/>
        <w:ind w:hanging="720"/>
        <w:jc w:val="both"/>
        <w:rPr>
          <w:rFonts w:ascii="Arial" w:hAnsi="Arial" w:cs="Arial"/>
          <w:b/>
          <w:bCs/>
          <w:sz w:val="24"/>
          <w:szCs w:val="24"/>
        </w:rPr>
      </w:pPr>
      <w:r w:rsidRPr="004E3A20">
        <w:rPr>
          <w:rFonts w:ascii="Arial" w:hAnsi="Arial" w:cs="Arial"/>
          <w:b/>
          <w:bCs/>
          <w:sz w:val="24"/>
          <w:szCs w:val="24"/>
        </w:rPr>
        <w:t>The particulars of claim are set aside and the plaintiff is granted twenty (20) days from</w:t>
      </w:r>
      <w:r w:rsidR="004E6D3F">
        <w:rPr>
          <w:rFonts w:ascii="Arial" w:hAnsi="Arial" w:cs="Arial"/>
          <w:b/>
          <w:bCs/>
          <w:sz w:val="24"/>
          <w:szCs w:val="24"/>
        </w:rPr>
        <w:t xml:space="preserve"> the</w:t>
      </w:r>
      <w:r w:rsidRPr="004E3A20">
        <w:rPr>
          <w:rFonts w:ascii="Arial" w:hAnsi="Arial" w:cs="Arial"/>
          <w:b/>
          <w:bCs/>
          <w:sz w:val="24"/>
          <w:szCs w:val="24"/>
        </w:rPr>
        <w:t xml:space="preserve"> date of this order to file an amended particulars of claim.  </w:t>
      </w:r>
    </w:p>
    <w:p w14:paraId="77730119" w14:textId="77777777" w:rsidR="00966636" w:rsidRDefault="00966636" w:rsidP="00966636">
      <w:pPr>
        <w:jc w:val="both"/>
        <w:rPr>
          <w:rFonts w:ascii="Arial" w:hAnsi="Arial" w:cs="Arial"/>
          <w:sz w:val="24"/>
          <w:szCs w:val="24"/>
        </w:rPr>
      </w:pPr>
    </w:p>
    <w:p w14:paraId="59A48FE4" w14:textId="77777777" w:rsidR="00966636" w:rsidRDefault="00966636" w:rsidP="00966636">
      <w:pPr>
        <w:jc w:val="both"/>
        <w:rPr>
          <w:rFonts w:ascii="Arial" w:hAnsi="Arial" w:cs="Arial"/>
          <w:sz w:val="24"/>
          <w:szCs w:val="24"/>
        </w:rPr>
      </w:pPr>
    </w:p>
    <w:p w14:paraId="072CC633" w14:textId="77777777" w:rsidR="00966636" w:rsidRDefault="00966636" w:rsidP="00966636">
      <w:pPr>
        <w:jc w:val="both"/>
        <w:rPr>
          <w:rFonts w:ascii="Arial" w:hAnsi="Arial" w:cs="Arial"/>
          <w:sz w:val="24"/>
          <w:szCs w:val="24"/>
        </w:rPr>
      </w:pPr>
    </w:p>
    <w:p w14:paraId="63C4A447" w14:textId="77777777" w:rsidR="00966636" w:rsidRDefault="00966636" w:rsidP="00966636">
      <w:pPr>
        <w:jc w:val="both"/>
        <w:rPr>
          <w:rFonts w:ascii="Arial" w:hAnsi="Arial" w:cs="Arial"/>
          <w:sz w:val="24"/>
          <w:szCs w:val="24"/>
        </w:rPr>
      </w:pPr>
    </w:p>
    <w:p w14:paraId="40C396A8" w14:textId="77777777" w:rsidR="00966636" w:rsidRDefault="00966636" w:rsidP="00966636">
      <w:pPr>
        <w:spacing w:after="0" w:line="360" w:lineRule="auto"/>
        <w:jc w:val="both"/>
        <w:rPr>
          <w:rFonts w:ascii="Arial" w:hAnsi="Arial" w:cs="Arial"/>
          <w:b/>
          <w:sz w:val="24"/>
          <w:szCs w:val="24"/>
        </w:rPr>
      </w:pPr>
      <w:r>
        <w:rPr>
          <w:rFonts w:ascii="Arial" w:hAnsi="Arial" w:cs="Arial"/>
          <w:b/>
          <w:sz w:val="24"/>
          <w:szCs w:val="24"/>
        </w:rPr>
        <w:t>________________________</w:t>
      </w:r>
    </w:p>
    <w:p w14:paraId="2A77876B" w14:textId="77777777" w:rsidR="00966636" w:rsidRDefault="00966636" w:rsidP="00966636">
      <w:pPr>
        <w:spacing w:after="0" w:line="360" w:lineRule="auto"/>
        <w:jc w:val="both"/>
        <w:rPr>
          <w:rFonts w:ascii="Arial" w:hAnsi="Arial" w:cs="Arial"/>
          <w:b/>
          <w:sz w:val="24"/>
          <w:szCs w:val="24"/>
        </w:rPr>
      </w:pPr>
      <w:r>
        <w:rPr>
          <w:rFonts w:ascii="Arial" w:hAnsi="Arial" w:cs="Arial"/>
          <w:b/>
          <w:sz w:val="24"/>
          <w:szCs w:val="24"/>
        </w:rPr>
        <w:t>L ELLIS</w:t>
      </w:r>
    </w:p>
    <w:p w14:paraId="4692EC49" w14:textId="77777777" w:rsidR="00966636" w:rsidRDefault="00966636" w:rsidP="00966636">
      <w:pPr>
        <w:spacing w:after="0" w:line="360" w:lineRule="auto"/>
        <w:jc w:val="both"/>
        <w:rPr>
          <w:rFonts w:ascii="Arial" w:hAnsi="Arial" w:cs="Arial"/>
          <w:b/>
          <w:sz w:val="24"/>
          <w:szCs w:val="24"/>
        </w:rPr>
      </w:pPr>
      <w:r>
        <w:rPr>
          <w:rFonts w:ascii="Arial" w:hAnsi="Arial" w:cs="Arial"/>
          <w:b/>
          <w:sz w:val="24"/>
          <w:szCs w:val="24"/>
        </w:rPr>
        <w:t>ACTING JUDGE OF THE HIGH COURT</w:t>
      </w:r>
    </w:p>
    <w:p w14:paraId="0D7F9340" w14:textId="77777777" w:rsidR="00966636" w:rsidRDefault="00966636" w:rsidP="00966636">
      <w:pPr>
        <w:spacing w:after="0" w:line="360" w:lineRule="auto"/>
        <w:jc w:val="both"/>
        <w:rPr>
          <w:rFonts w:ascii="Arial" w:hAnsi="Arial" w:cs="Arial"/>
          <w:b/>
          <w:sz w:val="24"/>
          <w:szCs w:val="24"/>
        </w:rPr>
      </w:pPr>
    </w:p>
    <w:p w14:paraId="1C6EB409" w14:textId="77777777" w:rsidR="00966636" w:rsidRDefault="00966636" w:rsidP="00966636">
      <w:pPr>
        <w:spacing w:after="0" w:line="360" w:lineRule="auto"/>
        <w:jc w:val="both"/>
        <w:rPr>
          <w:rFonts w:ascii="Arial" w:hAnsi="Arial" w:cs="Arial"/>
          <w:b/>
          <w:sz w:val="24"/>
          <w:szCs w:val="24"/>
        </w:rPr>
      </w:pPr>
    </w:p>
    <w:p w14:paraId="7240B2D9" w14:textId="77777777" w:rsidR="00966636" w:rsidRDefault="00966636" w:rsidP="00966636">
      <w:pPr>
        <w:spacing w:after="0" w:line="360" w:lineRule="auto"/>
        <w:jc w:val="both"/>
        <w:rPr>
          <w:rFonts w:ascii="Arial" w:hAnsi="Arial" w:cs="Arial"/>
          <w:b/>
          <w:sz w:val="24"/>
          <w:szCs w:val="24"/>
        </w:rPr>
      </w:pPr>
      <w:r>
        <w:rPr>
          <w:rFonts w:ascii="Arial" w:hAnsi="Arial" w:cs="Arial"/>
          <w:b/>
          <w:sz w:val="24"/>
          <w:szCs w:val="24"/>
        </w:rPr>
        <w:t>Appearances:</w:t>
      </w:r>
    </w:p>
    <w:p w14:paraId="22D3DF12" w14:textId="77777777" w:rsidR="00966636" w:rsidRDefault="00966636" w:rsidP="00966636">
      <w:pPr>
        <w:spacing w:after="0" w:line="360" w:lineRule="auto"/>
        <w:jc w:val="both"/>
        <w:rPr>
          <w:rFonts w:ascii="Arial" w:hAnsi="Arial" w:cs="Arial"/>
          <w:b/>
          <w:sz w:val="24"/>
          <w:szCs w:val="24"/>
        </w:rPr>
      </w:pPr>
    </w:p>
    <w:p w14:paraId="5AA19A3C" w14:textId="5F730598" w:rsidR="00966636" w:rsidRDefault="00966636" w:rsidP="00966636">
      <w:pPr>
        <w:spacing w:after="0" w:line="360" w:lineRule="auto"/>
        <w:jc w:val="both"/>
        <w:rPr>
          <w:rFonts w:ascii="Arial" w:hAnsi="Arial" w:cs="Arial"/>
          <w:sz w:val="24"/>
          <w:szCs w:val="24"/>
        </w:rPr>
      </w:pPr>
      <w:r>
        <w:rPr>
          <w:rFonts w:ascii="Arial" w:hAnsi="Arial" w:cs="Arial"/>
          <w:sz w:val="24"/>
          <w:szCs w:val="24"/>
        </w:rPr>
        <w:t xml:space="preserve">Counsel for the </w:t>
      </w:r>
      <w:r w:rsidR="004E3A20">
        <w:rPr>
          <w:rFonts w:ascii="Arial" w:hAnsi="Arial" w:cs="Arial"/>
          <w:sz w:val="24"/>
          <w:szCs w:val="24"/>
        </w:rPr>
        <w:t>p</w:t>
      </w:r>
      <w:r>
        <w:rPr>
          <w:rFonts w:ascii="Arial" w:hAnsi="Arial" w:cs="Arial"/>
          <w:sz w:val="24"/>
          <w:szCs w:val="24"/>
        </w:rPr>
        <w:t>laintiff</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Adv. T Rossi</w:t>
      </w:r>
    </w:p>
    <w:p w14:paraId="04A6D541" w14:textId="77777777" w:rsidR="00966636" w:rsidRDefault="00966636" w:rsidP="00966636">
      <w:pPr>
        <w:spacing w:after="0" w:line="360" w:lineRule="auto"/>
        <w:ind w:left="2160" w:firstLine="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w:t>
      </w:r>
      <w:r>
        <w:rPr>
          <w:rFonts w:ascii="Arial" w:hAnsi="Arial" w:cs="Arial"/>
          <w:sz w:val="24"/>
          <w:szCs w:val="24"/>
        </w:rPr>
        <w:tab/>
        <w:t>Instructed by Maphosa Attorneys</w:t>
      </w:r>
    </w:p>
    <w:p w14:paraId="0F4FCFD8" w14:textId="77777777" w:rsidR="00966636" w:rsidRDefault="00966636" w:rsidP="00966636">
      <w:pPr>
        <w:spacing w:after="0" w:line="360" w:lineRule="auto"/>
        <w:ind w:left="2160" w:firstLine="720"/>
        <w:jc w:val="both"/>
        <w:rPr>
          <w:rFonts w:ascii="Arial" w:hAnsi="Arial" w:cs="Arial"/>
          <w:sz w:val="24"/>
          <w:szCs w:val="24"/>
        </w:rPr>
      </w:pPr>
      <w:r>
        <w:rPr>
          <w:rFonts w:ascii="Arial" w:hAnsi="Arial" w:cs="Arial"/>
          <w:sz w:val="24"/>
          <w:szCs w:val="24"/>
        </w:rPr>
        <w:tab/>
      </w:r>
      <w:r>
        <w:rPr>
          <w:rFonts w:ascii="Arial" w:hAnsi="Arial" w:cs="Arial"/>
          <w:sz w:val="24"/>
          <w:szCs w:val="24"/>
        </w:rPr>
        <w:tab/>
        <w:t>C/o Kaplan Blumberg Attorneys</w:t>
      </w:r>
    </w:p>
    <w:p w14:paraId="03E551E9" w14:textId="77777777" w:rsidR="00966636" w:rsidRDefault="00966636" w:rsidP="00966636">
      <w:pPr>
        <w:spacing w:after="0" w:line="360" w:lineRule="auto"/>
        <w:ind w:left="3600" w:firstLine="720"/>
        <w:jc w:val="both"/>
        <w:rPr>
          <w:rFonts w:ascii="Arial" w:hAnsi="Arial" w:cs="Arial"/>
          <w:sz w:val="24"/>
          <w:szCs w:val="24"/>
        </w:rPr>
      </w:pPr>
      <w:r>
        <w:rPr>
          <w:rFonts w:ascii="Arial" w:hAnsi="Arial" w:cs="Arial"/>
          <w:sz w:val="24"/>
          <w:szCs w:val="24"/>
        </w:rPr>
        <w:t>70 Second Avenue</w:t>
      </w:r>
    </w:p>
    <w:p w14:paraId="0F841337" w14:textId="77777777" w:rsidR="00966636" w:rsidRDefault="00966636" w:rsidP="00966636">
      <w:pPr>
        <w:spacing w:after="0" w:line="360" w:lineRule="auto"/>
        <w:ind w:left="3600" w:firstLine="720"/>
        <w:jc w:val="both"/>
        <w:rPr>
          <w:rFonts w:ascii="Arial" w:hAnsi="Arial" w:cs="Arial"/>
          <w:sz w:val="24"/>
          <w:szCs w:val="24"/>
        </w:rPr>
      </w:pPr>
      <w:r>
        <w:rPr>
          <w:rFonts w:ascii="Arial" w:hAnsi="Arial" w:cs="Arial"/>
          <w:sz w:val="24"/>
          <w:szCs w:val="24"/>
        </w:rPr>
        <w:t>Newton Park</w:t>
      </w:r>
    </w:p>
    <w:p w14:paraId="58E1E7F7" w14:textId="77777777" w:rsidR="00966636" w:rsidRPr="0073462C" w:rsidRDefault="00966636" w:rsidP="00966636">
      <w:pPr>
        <w:spacing w:after="0" w:line="360" w:lineRule="auto"/>
        <w:ind w:left="3600" w:firstLine="720"/>
        <w:jc w:val="both"/>
        <w:rPr>
          <w:rFonts w:ascii="Arial" w:hAnsi="Arial" w:cs="Arial"/>
          <w:sz w:val="24"/>
          <w:szCs w:val="24"/>
        </w:rPr>
      </w:pPr>
      <w:r>
        <w:rPr>
          <w:rFonts w:ascii="Arial" w:hAnsi="Arial" w:cs="Arial"/>
          <w:sz w:val="24"/>
          <w:szCs w:val="24"/>
        </w:rPr>
        <w:t>Gqeberha</w:t>
      </w:r>
    </w:p>
    <w:p w14:paraId="5E78C81B" w14:textId="77777777" w:rsidR="00966636" w:rsidRDefault="00966636" w:rsidP="00966636">
      <w:pPr>
        <w:spacing w:after="0" w:line="360" w:lineRule="auto"/>
        <w:jc w:val="both"/>
        <w:rPr>
          <w:rFonts w:ascii="Arial" w:hAnsi="Arial" w:cs="Arial"/>
          <w:b/>
          <w:sz w:val="24"/>
          <w:szCs w:val="24"/>
        </w:rPr>
      </w:pPr>
    </w:p>
    <w:p w14:paraId="76E30AE0" w14:textId="77777777" w:rsidR="00A71C51" w:rsidRDefault="00A71C51" w:rsidP="00966636">
      <w:pPr>
        <w:spacing w:after="0" w:line="360" w:lineRule="auto"/>
        <w:jc w:val="both"/>
        <w:rPr>
          <w:rFonts w:ascii="Arial" w:hAnsi="Arial" w:cs="Arial"/>
          <w:b/>
          <w:sz w:val="24"/>
          <w:szCs w:val="24"/>
        </w:rPr>
      </w:pPr>
    </w:p>
    <w:p w14:paraId="586D8A79" w14:textId="77777777" w:rsidR="00832CCC" w:rsidRDefault="00832CCC" w:rsidP="00966636">
      <w:pPr>
        <w:spacing w:after="0" w:line="360" w:lineRule="auto"/>
        <w:jc w:val="both"/>
        <w:rPr>
          <w:rFonts w:ascii="Arial" w:hAnsi="Arial" w:cs="Arial"/>
          <w:b/>
          <w:sz w:val="24"/>
          <w:szCs w:val="24"/>
        </w:rPr>
      </w:pPr>
    </w:p>
    <w:p w14:paraId="371A1C4E" w14:textId="4A839556" w:rsidR="00966636" w:rsidRDefault="00966636" w:rsidP="00966636">
      <w:pPr>
        <w:spacing w:after="0" w:line="360" w:lineRule="auto"/>
        <w:jc w:val="both"/>
        <w:rPr>
          <w:rFonts w:ascii="Arial" w:hAnsi="Arial" w:cs="Arial"/>
          <w:sz w:val="24"/>
          <w:szCs w:val="24"/>
        </w:rPr>
      </w:pPr>
      <w:r>
        <w:rPr>
          <w:rFonts w:ascii="Arial" w:hAnsi="Arial" w:cs="Arial"/>
          <w:sz w:val="24"/>
          <w:szCs w:val="24"/>
        </w:rPr>
        <w:t xml:space="preserve">Counsel for the </w:t>
      </w:r>
      <w:r w:rsidR="004E3A20">
        <w:rPr>
          <w:rFonts w:ascii="Arial" w:hAnsi="Arial" w:cs="Arial"/>
          <w:sz w:val="24"/>
          <w:szCs w:val="24"/>
        </w:rPr>
        <w:t>defendant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Adv. SC Rorke SC</w:t>
      </w:r>
    </w:p>
    <w:p w14:paraId="08DB04B8" w14:textId="446FF8EA" w:rsidR="00966636" w:rsidRDefault="00966636" w:rsidP="0096663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Instructed by Pagdens Attorneys</w:t>
      </w:r>
    </w:p>
    <w:p w14:paraId="29C9B0C5" w14:textId="38EDE09A" w:rsidR="00966636" w:rsidRDefault="00966636" w:rsidP="0096663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 Castle Hill</w:t>
      </w:r>
    </w:p>
    <w:p w14:paraId="3A0A120B" w14:textId="57C94155" w:rsidR="00966636" w:rsidRDefault="00966636" w:rsidP="0096663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Central</w:t>
      </w:r>
    </w:p>
    <w:p w14:paraId="402931FB" w14:textId="7206EAA9" w:rsidR="00966636" w:rsidRDefault="00966636" w:rsidP="0096663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Gqeberha</w:t>
      </w:r>
    </w:p>
    <w:p w14:paraId="5550ADF5" w14:textId="77777777" w:rsidR="00966636" w:rsidRDefault="00966636" w:rsidP="00966636">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6DC26B39" w14:textId="4FC977EA" w:rsidR="00966636" w:rsidRDefault="00966636" w:rsidP="00966636">
      <w:pPr>
        <w:spacing w:after="0" w:line="360" w:lineRule="auto"/>
        <w:jc w:val="both"/>
        <w:rPr>
          <w:rFonts w:ascii="Arial" w:hAnsi="Arial" w:cs="Arial"/>
          <w:sz w:val="24"/>
          <w:szCs w:val="24"/>
        </w:rPr>
      </w:pPr>
      <w:r>
        <w:rPr>
          <w:rFonts w:ascii="Arial" w:hAnsi="Arial" w:cs="Arial"/>
          <w:sz w:val="24"/>
          <w:szCs w:val="24"/>
        </w:rPr>
        <w:tab/>
      </w:r>
    </w:p>
    <w:p w14:paraId="3401B683" w14:textId="77777777" w:rsidR="00966636" w:rsidRPr="00966636" w:rsidRDefault="00966636" w:rsidP="00966636">
      <w:pPr>
        <w:jc w:val="both"/>
        <w:rPr>
          <w:rFonts w:ascii="Arial" w:hAnsi="Arial" w:cs="Arial"/>
          <w:sz w:val="24"/>
          <w:szCs w:val="24"/>
        </w:rPr>
      </w:pPr>
    </w:p>
    <w:sectPr w:rsidR="00966636" w:rsidRPr="00966636" w:rsidSect="00966636">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45CEB" w14:textId="77777777" w:rsidR="007A222B" w:rsidRDefault="007A222B" w:rsidP="00966636">
      <w:pPr>
        <w:spacing w:after="0" w:line="240" w:lineRule="auto"/>
      </w:pPr>
      <w:r>
        <w:separator/>
      </w:r>
    </w:p>
  </w:endnote>
  <w:endnote w:type="continuationSeparator" w:id="0">
    <w:p w14:paraId="1BBFBE53" w14:textId="77777777" w:rsidR="007A222B" w:rsidRDefault="007A222B" w:rsidP="0096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864985"/>
      <w:docPartObj>
        <w:docPartGallery w:val="Page Numbers (Bottom of Page)"/>
        <w:docPartUnique/>
      </w:docPartObj>
    </w:sdtPr>
    <w:sdtEndPr>
      <w:rPr>
        <w:noProof/>
      </w:rPr>
    </w:sdtEndPr>
    <w:sdtContent>
      <w:p w14:paraId="6DB2FB04" w14:textId="19F36701" w:rsidR="00966636" w:rsidRDefault="00966636">
        <w:pPr>
          <w:pStyle w:val="Footer"/>
          <w:jc w:val="center"/>
        </w:pPr>
        <w:r>
          <w:fldChar w:fldCharType="begin"/>
        </w:r>
        <w:r>
          <w:instrText xml:space="preserve"> PAGE   \* MERGEFORMAT </w:instrText>
        </w:r>
        <w:r>
          <w:fldChar w:fldCharType="separate"/>
        </w:r>
        <w:r w:rsidR="001F306A">
          <w:rPr>
            <w:noProof/>
          </w:rPr>
          <w:t>2</w:t>
        </w:r>
        <w:r>
          <w:rPr>
            <w:noProof/>
          </w:rPr>
          <w:fldChar w:fldCharType="end"/>
        </w:r>
      </w:p>
    </w:sdtContent>
  </w:sdt>
  <w:p w14:paraId="4F0C5A4C" w14:textId="77777777" w:rsidR="00966636" w:rsidRDefault="00966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61F15" w14:textId="77777777" w:rsidR="007A222B" w:rsidRDefault="007A222B" w:rsidP="00966636">
      <w:pPr>
        <w:spacing w:after="0" w:line="240" w:lineRule="auto"/>
      </w:pPr>
      <w:r>
        <w:separator/>
      </w:r>
    </w:p>
  </w:footnote>
  <w:footnote w:type="continuationSeparator" w:id="0">
    <w:p w14:paraId="7925DFFB" w14:textId="77777777" w:rsidR="007A222B" w:rsidRDefault="007A222B" w:rsidP="00966636">
      <w:pPr>
        <w:spacing w:after="0" w:line="240" w:lineRule="auto"/>
      </w:pPr>
      <w:r>
        <w:continuationSeparator/>
      </w:r>
    </w:p>
  </w:footnote>
  <w:footnote w:id="1">
    <w:p w14:paraId="4AFBFB87" w14:textId="53A44156" w:rsidR="001D10C8" w:rsidRPr="001D10C8" w:rsidRDefault="001D10C8">
      <w:pPr>
        <w:pStyle w:val="FootnoteText"/>
        <w:rPr>
          <w:rFonts w:ascii="Arial" w:hAnsi="Arial" w:cs="Arial"/>
          <w:lang w:val="en-US"/>
        </w:rPr>
      </w:pPr>
      <w:r>
        <w:rPr>
          <w:rStyle w:val="FootnoteReference"/>
        </w:rPr>
        <w:footnoteRef/>
      </w:r>
      <w:r>
        <w:t xml:space="preserve"> </w:t>
      </w:r>
      <w:r>
        <w:rPr>
          <w:rFonts w:ascii="Arial" w:hAnsi="Arial" w:cs="Arial"/>
          <w:lang w:val="en-US"/>
        </w:rPr>
        <w:t xml:space="preserve">Baker v Probert 1985 (3) SA 429 (AD) at 438 I – 439 B.  </w:t>
      </w:r>
    </w:p>
  </w:footnote>
  <w:footnote w:id="2">
    <w:p w14:paraId="5E9B4A1F" w14:textId="7ED8EC6C" w:rsidR="005B75E6" w:rsidRPr="005B75E6" w:rsidRDefault="005B75E6">
      <w:pPr>
        <w:pStyle w:val="FootnoteText"/>
        <w:rPr>
          <w:rFonts w:ascii="Arial" w:hAnsi="Arial" w:cs="Arial"/>
          <w:lang w:val="en-US"/>
        </w:rPr>
      </w:pPr>
      <w:r w:rsidRPr="005B75E6">
        <w:rPr>
          <w:rStyle w:val="FootnoteReference"/>
          <w:rFonts w:ascii="Arial" w:hAnsi="Arial" w:cs="Arial"/>
        </w:rPr>
        <w:footnoteRef/>
      </w:r>
      <w:r w:rsidRPr="005B75E6">
        <w:rPr>
          <w:rFonts w:ascii="Arial" w:hAnsi="Arial" w:cs="Arial"/>
        </w:rPr>
        <w:t xml:space="preserve"> SA 2006 (1) SA 461 (SCA) at para 3</w:t>
      </w:r>
      <w:r>
        <w:rPr>
          <w:rFonts w:ascii="Arial" w:hAnsi="Arial" w:cs="Arial"/>
        </w:rPr>
        <w:t>.</w:t>
      </w:r>
    </w:p>
  </w:footnote>
  <w:footnote w:id="3">
    <w:p w14:paraId="46DDA0DC" w14:textId="5A291F7F" w:rsidR="00A4613B" w:rsidRPr="00A4613B" w:rsidRDefault="00A4613B">
      <w:pPr>
        <w:pStyle w:val="FootnoteText"/>
        <w:rPr>
          <w:rFonts w:ascii="Arial" w:hAnsi="Arial" w:cs="Arial"/>
          <w:lang w:val="en-US"/>
        </w:rPr>
      </w:pPr>
      <w:r w:rsidRPr="00A4613B">
        <w:rPr>
          <w:rStyle w:val="FootnoteReference"/>
          <w:rFonts w:ascii="Arial" w:hAnsi="Arial" w:cs="Arial"/>
        </w:rPr>
        <w:footnoteRef/>
      </w:r>
      <w:r w:rsidRPr="00A4613B">
        <w:rPr>
          <w:rFonts w:ascii="Arial" w:hAnsi="Arial" w:cs="Arial"/>
        </w:rPr>
        <w:t xml:space="preserve"> 2023 (1) SA 432 (SCA) (20 May 2022) at para 14.</w:t>
      </w:r>
    </w:p>
  </w:footnote>
  <w:footnote w:id="4">
    <w:p w14:paraId="0AFAB59F" w14:textId="06B7CCA3" w:rsidR="00E56B40" w:rsidRPr="00E56B40" w:rsidRDefault="00E56B40" w:rsidP="00E56B40">
      <w:pPr>
        <w:pStyle w:val="FootnoteText"/>
        <w:jc w:val="both"/>
        <w:rPr>
          <w:rFonts w:ascii="Arial" w:hAnsi="Arial" w:cs="Arial"/>
          <w:lang w:val="en-US"/>
        </w:rPr>
      </w:pPr>
      <w:r>
        <w:rPr>
          <w:rStyle w:val="FootnoteReference"/>
        </w:rPr>
        <w:footnoteRef/>
      </w:r>
      <w:r>
        <w:t xml:space="preserve"> </w:t>
      </w:r>
      <w:r>
        <w:rPr>
          <w:rFonts w:ascii="Arial" w:hAnsi="Arial" w:cs="Arial"/>
          <w:lang w:val="en-US"/>
        </w:rPr>
        <w:t>Trope v South African Reserve Bank 1993 (3) SA 264 (A) at 269 I; Venter and Others N.N.O. v Barritt; Venter and Others N.N.O. v W</w:t>
      </w:r>
      <w:r w:rsidR="00530847">
        <w:rPr>
          <w:rFonts w:ascii="Arial" w:hAnsi="Arial" w:cs="Arial"/>
          <w:lang w:val="en-US"/>
        </w:rPr>
        <w:t>ulfsburg Arch Investments (2) (Pty) Limited 2008 (4) SA 639 C at 643 I – 644 A.</w:t>
      </w:r>
    </w:p>
  </w:footnote>
  <w:footnote w:id="5">
    <w:p w14:paraId="44635811" w14:textId="3BC5EBC1" w:rsidR="00484AAB" w:rsidRPr="00484AAB" w:rsidRDefault="00484AAB">
      <w:pPr>
        <w:pStyle w:val="FootnoteText"/>
        <w:rPr>
          <w:rFonts w:ascii="Arial" w:hAnsi="Arial" w:cs="Arial"/>
        </w:rPr>
      </w:pPr>
      <w:r>
        <w:rPr>
          <w:rStyle w:val="FootnoteReference"/>
        </w:rPr>
        <w:footnoteRef/>
      </w:r>
      <w:r>
        <w:t xml:space="preserve"> </w:t>
      </w:r>
      <w:r w:rsidRPr="00484AAB">
        <w:rPr>
          <w:rFonts w:ascii="Arial" w:hAnsi="Arial" w:cs="Arial"/>
        </w:rPr>
        <w:t xml:space="preserve">see Venter </w:t>
      </w:r>
      <w:r w:rsidRPr="00484AAB">
        <w:rPr>
          <w:rFonts w:ascii="Arial" w:hAnsi="Arial" w:cs="Arial"/>
          <w:i/>
          <w:iCs/>
        </w:rPr>
        <w:t>supra</w:t>
      </w:r>
      <w:r w:rsidRPr="00484AAB">
        <w:rPr>
          <w:rFonts w:ascii="Arial" w:hAnsi="Arial" w:cs="Arial"/>
        </w:rPr>
        <w:t xml:space="preserve"> at 644 A – B</w:t>
      </w:r>
    </w:p>
  </w:footnote>
  <w:footnote w:id="6">
    <w:p w14:paraId="784EF1EF" w14:textId="6DFCFB1B" w:rsidR="00AE3DC5" w:rsidRPr="00AE3DC5" w:rsidRDefault="00AE3DC5">
      <w:pPr>
        <w:pStyle w:val="FootnoteText"/>
        <w:rPr>
          <w:lang w:val="en-US"/>
        </w:rPr>
      </w:pPr>
      <w:r>
        <w:rPr>
          <w:rStyle w:val="FootnoteReference"/>
        </w:rPr>
        <w:footnoteRef/>
      </w:r>
      <w:r>
        <w:t xml:space="preserve"> </w:t>
      </w:r>
      <w:r w:rsidR="00484AAB">
        <w:t xml:space="preserve"> </w:t>
      </w:r>
      <w:r w:rsidR="00484AAB" w:rsidRPr="00484AAB">
        <w:rPr>
          <w:rFonts w:ascii="Arial" w:hAnsi="Arial" w:cs="Arial"/>
        </w:rPr>
        <w:t>International Tobacco Company of SA Limited v Wollheim</w:t>
      </w:r>
      <w:r w:rsidR="00484AAB" w:rsidRPr="00AE3DC5">
        <w:rPr>
          <w:rFonts w:ascii="Arial" w:hAnsi="Arial" w:cs="Arial"/>
        </w:rPr>
        <w:t xml:space="preserve"> </w:t>
      </w:r>
      <w:r w:rsidRPr="00AE3DC5">
        <w:rPr>
          <w:rFonts w:ascii="Arial" w:hAnsi="Arial" w:cs="Arial"/>
        </w:rPr>
        <w:t>1953 (2) SA 603 (A) at 613 B</w:t>
      </w:r>
      <w:r>
        <w:rPr>
          <w:rFonts w:ascii="Arial" w:hAnsi="Arial" w:cs="Arial"/>
        </w:rPr>
        <w:t>.</w:t>
      </w:r>
    </w:p>
  </w:footnote>
  <w:footnote w:id="7">
    <w:p w14:paraId="346492C6" w14:textId="65C7B8CA" w:rsidR="00484AAB" w:rsidRPr="00484AAB" w:rsidRDefault="00484AAB">
      <w:pPr>
        <w:pStyle w:val="FootnoteText"/>
      </w:pPr>
      <w:r>
        <w:rPr>
          <w:rStyle w:val="FootnoteReference"/>
        </w:rPr>
        <w:footnoteRef/>
      </w:r>
      <w:r>
        <w:t xml:space="preserve"> </w:t>
      </w:r>
      <w:r w:rsidRPr="00484AAB">
        <w:rPr>
          <w:rFonts w:ascii="Arial" w:hAnsi="Arial" w:cs="Arial"/>
        </w:rPr>
        <w:t xml:space="preserve">Venter </w:t>
      </w:r>
      <w:r w:rsidRPr="00484AAB">
        <w:rPr>
          <w:rFonts w:ascii="Arial" w:hAnsi="Arial" w:cs="Arial"/>
          <w:i/>
          <w:iCs/>
        </w:rPr>
        <w:t>supra</w:t>
      </w:r>
      <w:r w:rsidRPr="00484AAB">
        <w:rPr>
          <w:rFonts w:ascii="Arial" w:hAnsi="Arial" w:cs="Arial"/>
        </w:rPr>
        <w:t xml:space="preserve"> at 645 C – D; Francis v Sharp 2004 (3) SA 230 (C) at 240 F – G</w:t>
      </w:r>
    </w:p>
  </w:footnote>
  <w:footnote w:id="8">
    <w:p w14:paraId="346953E3" w14:textId="2F245306" w:rsidR="0039458A" w:rsidRPr="003F2D22" w:rsidRDefault="0039458A">
      <w:pPr>
        <w:pStyle w:val="FootnoteText"/>
        <w:rPr>
          <w:rFonts w:ascii="Arial" w:hAnsi="Arial" w:cs="Arial"/>
          <w:lang w:val="en-US"/>
        </w:rPr>
      </w:pPr>
      <w:r>
        <w:rPr>
          <w:rStyle w:val="FootnoteReference"/>
        </w:rPr>
        <w:footnoteRef/>
      </w:r>
      <w:r>
        <w:t xml:space="preserve"> </w:t>
      </w:r>
      <w:r>
        <w:rPr>
          <w:rFonts w:ascii="Arial" w:hAnsi="Arial" w:cs="Arial"/>
          <w:lang w:val="en-US"/>
        </w:rPr>
        <w:t>1993 (4) SA 479 WLD</w:t>
      </w:r>
      <w:r w:rsidR="003F2D22">
        <w:rPr>
          <w:rFonts w:ascii="Arial" w:hAnsi="Arial" w:cs="Arial"/>
          <w:lang w:val="en-US"/>
        </w:rPr>
        <w:t xml:space="preserve"> </w:t>
      </w:r>
      <w:r w:rsidR="003F2D22" w:rsidRPr="003F2D22">
        <w:rPr>
          <w:rFonts w:ascii="Arial" w:hAnsi="Arial" w:cs="Arial"/>
        </w:rPr>
        <w:t>at para 485 H</w:t>
      </w:r>
    </w:p>
  </w:footnote>
  <w:footnote w:id="9">
    <w:p w14:paraId="43DEDA81" w14:textId="4D7DE195" w:rsidR="003F2D22" w:rsidRPr="003F2D22" w:rsidRDefault="003F2D22">
      <w:pPr>
        <w:pStyle w:val="FootnoteText"/>
      </w:pPr>
      <w:r>
        <w:rPr>
          <w:rStyle w:val="FootnoteReference"/>
        </w:rPr>
        <w:footnoteRef/>
      </w:r>
      <w:r>
        <w:t xml:space="preserve"> </w:t>
      </w:r>
      <w:r w:rsidRPr="003F2D22">
        <w:rPr>
          <w:rFonts w:ascii="Arial" w:hAnsi="Arial" w:cs="Arial"/>
        </w:rPr>
        <w:t>2008 (1) SA 279 (W) at para 17</w:t>
      </w:r>
    </w:p>
  </w:footnote>
  <w:footnote w:id="10">
    <w:p w14:paraId="236440AA" w14:textId="6C93ECDE" w:rsidR="00D9721B" w:rsidRPr="00D9721B" w:rsidRDefault="00D9721B">
      <w:pPr>
        <w:pStyle w:val="FootnoteText"/>
        <w:rPr>
          <w:rFonts w:ascii="Arial" w:hAnsi="Arial" w:cs="Arial"/>
          <w:lang w:val="en-US"/>
        </w:rPr>
      </w:pPr>
      <w:r>
        <w:rPr>
          <w:rStyle w:val="FootnoteReference"/>
        </w:rPr>
        <w:footnoteRef/>
      </w:r>
      <w:r>
        <w:t xml:space="preserve"> </w:t>
      </w:r>
      <w:r>
        <w:rPr>
          <w:rFonts w:ascii="Arial" w:hAnsi="Arial" w:cs="Arial"/>
          <w:lang w:val="en-US"/>
        </w:rPr>
        <w:t>2003 (5) SA 193 SCA.</w:t>
      </w:r>
    </w:p>
  </w:footnote>
  <w:footnote w:id="11">
    <w:p w14:paraId="43FB8FC8" w14:textId="71A77408" w:rsidR="008D29BB" w:rsidRPr="008D29BB" w:rsidRDefault="008D29BB">
      <w:pPr>
        <w:pStyle w:val="FootnoteText"/>
        <w:rPr>
          <w:rFonts w:ascii="Arial" w:hAnsi="Arial" w:cs="Arial"/>
          <w:lang w:val="en-US"/>
        </w:rPr>
      </w:pPr>
      <w:r>
        <w:rPr>
          <w:rStyle w:val="FootnoteReference"/>
        </w:rPr>
        <w:footnoteRef/>
      </w:r>
      <w:r>
        <w:t xml:space="preserve"> </w:t>
      </w:r>
      <w:r>
        <w:rPr>
          <w:rFonts w:ascii="Arial" w:hAnsi="Arial" w:cs="Arial"/>
          <w:lang w:val="en-US"/>
        </w:rPr>
        <w:t>Amler</w:t>
      </w:r>
      <w:r w:rsidR="00D04E41">
        <w:rPr>
          <w:rFonts w:ascii="Arial" w:hAnsi="Arial" w:cs="Arial"/>
          <w:lang w:val="en-US"/>
        </w:rPr>
        <w:t>’</w:t>
      </w:r>
      <w:r>
        <w:rPr>
          <w:rFonts w:ascii="Arial" w:hAnsi="Arial" w:cs="Arial"/>
          <w:lang w:val="en-US"/>
        </w:rPr>
        <w:t xml:space="preserve">s </w:t>
      </w:r>
      <w:r w:rsidR="00D04E41">
        <w:rPr>
          <w:rFonts w:ascii="Arial" w:hAnsi="Arial" w:cs="Arial"/>
          <w:lang w:val="en-US"/>
        </w:rPr>
        <w:t xml:space="preserve">Precedents of Pleadings </w:t>
      </w:r>
      <w:r>
        <w:rPr>
          <w:rFonts w:ascii="Arial" w:hAnsi="Arial" w:cs="Arial"/>
          <w:lang w:val="en-US"/>
        </w:rPr>
        <w:t>9</w:t>
      </w:r>
      <w:r w:rsidRPr="008D29BB">
        <w:rPr>
          <w:rFonts w:ascii="Arial" w:hAnsi="Arial" w:cs="Arial"/>
          <w:vertAlign w:val="superscript"/>
          <w:lang w:val="en-US"/>
        </w:rPr>
        <w:t>th</w:t>
      </w:r>
      <w:r>
        <w:rPr>
          <w:rFonts w:ascii="Arial" w:hAnsi="Arial" w:cs="Arial"/>
          <w:lang w:val="en-US"/>
        </w:rPr>
        <w:t xml:space="preserve"> Edition </w:t>
      </w:r>
      <w:r w:rsidR="00D04E41">
        <w:rPr>
          <w:rFonts w:ascii="Arial" w:hAnsi="Arial" w:cs="Arial"/>
          <w:lang w:val="en-US"/>
        </w:rPr>
        <w:t xml:space="preserve">Harms </w:t>
      </w:r>
      <w:r>
        <w:rPr>
          <w:rFonts w:ascii="Arial" w:hAnsi="Arial" w:cs="Arial"/>
          <w:lang w:val="en-US"/>
        </w:rPr>
        <w:t>“</w:t>
      </w:r>
      <w:r w:rsidR="004E3A20">
        <w:rPr>
          <w:rFonts w:ascii="Arial" w:hAnsi="Arial" w:cs="Arial"/>
          <w:i/>
          <w:iCs/>
          <w:lang w:val="en-US"/>
        </w:rPr>
        <w:t>Con</w:t>
      </w:r>
      <w:r>
        <w:rPr>
          <w:rFonts w:ascii="Arial" w:hAnsi="Arial" w:cs="Arial"/>
          <w:i/>
          <w:iCs/>
          <w:lang w:val="en-US"/>
        </w:rPr>
        <w:t>dictio indebiti</w:t>
      </w:r>
      <w:r>
        <w:rPr>
          <w:rFonts w:ascii="Arial" w:hAnsi="Arial" w:cs="Arial"/>
          <w:lang w:val="en-US"/>
        </w:rPr>
        <w:t>” pg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75439"/>
    <w:multiLevelType w:val="hybridMultilevel"/>
    <w:tmpl w:val="52C26672"/>
    <w:lvl w:ilvl="0" w:tplc="5C406A1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33A75810"/>
    <w:multiLevelType w:val="hybridMultilevel"/>
    <w:tmpl w:val="CBD2B5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36"/>
    <w:rsid w:val="000058CD"/>
    <w:rsid w:val="00041311"/>
    <w:rsid w:val="0004758F"/>
    <w:rsid w:val="00054758"/>
    <w:rsid w:val="00065C13"/>
    <w:rsid w:val="000701F1"/>
    <w:rsid w:val="000B4793"/>
    <w:rsid w:val="001808E9"/>
    <w:rsid w:val="001944B8"/>
    <w:rsid w:val="001B6FCF"/>
    <w:rsid w:val="001D10C8"/>
    <w:rsid w:val="001E2521"/>
    <w:rsid w:val="001F306A"/>
    <w:rsid w:val="00247281"/>
    <w:rsid w:val="0028637F"/>
    <w:rsid w:val="002B0B6A"/>
    <w:rsid w:val="00315498"/>
    <w:rsid w:val="0032389D"/>
    <w:rsid w:val="00330A05"/>
    <w:rsid w:val="00336EC9"/>
    <w:rsid w:val="0034054A"/>
    <w:rsid w:val="00382B7D"/>
    <w:rsid w:val="0039458A"/>
    <w:rsid w:val="00397520"/>
    <w:rsid w:val="003D0543"/>
    <w:rsid w:val="003F2D22"/>
    <w:rsid w:val="003F5367"/>
    <w:rsid w:val="00403BDB"/>
    <w:rsid w:val="004074FD"/>
    <w:rsid w:val="0043266E"/>
    <w:rsid w:val="00441943"/>
    <w:rsid w:val="00484AAB"/>
    <w:rsid w:val="004C7082"/>
    <w:rsid w:val="004E288C"/>
    <w:rsid w:val="004E3A20"/>
    <w:rsid w:val="004E6D3F"/>
    <w:rsid w:val="00503FC9"/>
    <w:rsid w:val="00506A24"/>
    <w:rsid w:val="00507B5D"/>
    <w:rsid w:val="00530847"/>
    <w:rsid w:val="0055450C"/>
    <w:rsid w:val="00563DB4"/>
    <w:rsid w:val="00573873"/>
    <w:rsid w:val="005B75E6"/>
    <w:rsid w:val="005D0652"/>
    <w:rsid w:val="005E26D3"/>
    <w:rsid w:val="00605AB1"/>
    <w:rsid w:val="0060770F"/>
    <w:rsid w:val="00622FD8"/>
    <w:rsid w:val="006342B0"/>
    <w:rsid w:val="00695D14"/>
    <w:rsid w:val="006C4AE8"/>
    <w:rsid w:val="006E7C0A"/>
    <w:rsid w:val="00716C2C"/>
    <w:rsid w:val="00733B18"/>
    <w:rsid w:val="00780032"/>
    <w:rsid w:val="007A222B"/>
    <w:rsid w:val="007B09E0"/>
    <w:rsid w:val="007E73B4"/>
    <w:rsid w:val="007F35B2"/>
    <w:rsid w:val="007F367C"/>
    <w:rsid w:val="00802EB8"/>
    <w:rsid w:val="00813133"/>
    <w:rsid w:val="0081395E"/>
    <w:rsid w:val="00832A61"/>
    <w:rsid w:val="00832CCC"/>
    <w:rsid w:val="00840ED7"/>
    <w:rsid w:val="008A36EA"/>
    <w:rsid w:val="008B4B14"/>
    <w:rsid w:val="008D29BB"/>
    <w:rsid w:val="008D5870"/>
    <w:rsid w:val="00900020"/>
    <w:rsid w:val="009105EA"/>
    <w:rsid w:val="00916ACC"/>
    <w:rsid w:val="009306CC"/>
    <w:rsid w:val="00966636"/>
    <w:rsid w:val="00976103"/>
    <w:rsid w:val="00976E7A"/>
    <w:rsid w:val="009A619C"/>
    <w:rsid w:val="009C759F"/>
    <w:rsid w:val="009F19DC"/>
    <w:rsid w:val="00A4613B"/>
    <w:rsid w:val="00A5725F"/>
    <w:rsid w:val="00A71C51"/>
    <w:rsid w:val="00AA2B1D"/>
    <w:rsid w:val="00AA596B"/>
    <w:rsid w:val="00AE3DC5"/>
    <w:rsid w:val="00BA137E"/>
    <w:rsid w:val="00BB3198"/>
    <w:rsid w:val="00C27AA2"/>
    <w:rsid w:val="00C30DCA"/>
    <w:rsid w:val="00C33082"/>
    <w:rsid w:val="00C4510C"/>
    <w:rsid w:val="00C858F7"/>
    <w:rsid w:val="00C93B9A"/>
    <w:rsid w:val="00CA3C65"/>
    <w:rsid w:val="00CC4AE1"/>
    <w:rsid w:val="00CD3CAC"/>
    <w:rsid w:val="00D04E41"/>
    <w:rsid w:val="00D73585"/>
    <w:rsid w:val="00D9124C"/>
    <w:rsid w:val="00D920B1"/>
    <w:rsid w:val="00D9721B"/>
    <w:rsid w:val="00DD1D80"/>
    <w:rsid w:val="00DF5530"/>
    <w:rsid w:val="00E102D1"/>
    <w:rsid w:val="00E15F54"/>
    <w:rsid w:val="00E37387"/>
    <w:rsid w:val="00E56B40"/>
    <w:rsid w:val="00E63AA8"/>
    <w:rsid w:val="00E93D06"/>
    <w:rsid w:val="00EF7215"/>
    <w:rsid w:val="00F06557"/>
    <w:rsid w:val="00F27BBE"/>
    <w:rsid w:val="00F71BC3"/>
    <w:rsid w:val="00F73DAB"/>
    <w:rsid w:val="00F81C77"/>
    <w:rsid w:val="00FB2C03"/>
    <w:rsid w:val="00FE32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A9B3"/>
  <w15:chartTrackingRefBased/>
  <w15:docId w15:val="{ECE96E56-FAE8-4AB7-A9F5-E57A33F4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36"/>
    <w:pPr>
      <w:spacing w:after="200" w:line="276" w:lineRule="auto"/>
    </w:pPr>
    <w:rPr>
      <w:rFonts w:asciiTheme="minorHAnsi" w:hAnsiTheme="minorHAnsi" w:cstheme="minorBid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636"/>
    <w:rPr>
      <w:rFonts w:asciiTheme="minorHAnsi" w:hAnsiTheme="minorHAnsi" w:cstheme="minorBidi"/>
      <w:b w:val="0"/>
      <w:sz w:val="22"/>
      <w:szCs w:val="22"/>
    </w:rPr>
  </w:style>
  <w:style w:type="paragraph" w:styleId="Footer">
    <w:name w:val="footer"/>
    <w:basedOn w:val="Normal"/>
    <w:link w:val="FooterChar"/>
    <w:uiPriority w:val="99"/>
    <w:unhideWhenUsed/>
    <w:rsid w:val="00966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636"/>
    <w:rPr>
      <w:rFonts w:asciiTheme="minorHAnsi" w:hAnsiTheme="minorHAnsi" w:cstheme="minorBidi"/>
      <w:b w:val="0"/>
      <w:sz w:val="22"/>
      <w:szCs w:val="22"/>
    </w:rPr>
  </w:style>
  <w:style w:type="paragraph" w:styleId="FootnoteText">
    <w:name w:val="footnote text"/>
    <w:basedOn w:val="Normal"/>
    <w:link w:val="FootnoteTextChar"/>
    <w:uiPriority w:val="99"/>
    <w:semiHidden/>
    <w:unhideWhenUsed/>
    <w:rsid w:val="001D1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0C8"/>
    <w:rPr>
      <w:rFonts w:asciiTheme="minorHAnsi" w:hAnsiTheme="minorHAnsi" w:cstheme="minorBidi"/>
      <w:b w:val="0"/>
      <w:sz w:val="20"/>
    </w:rPr>
  </w:style>
  <w:style w:type="character" w:styleId="FootnoteReference">
    <w:name w:val="footnote reference"/>
    <w:basedOn w:val="DefaultParagraphFont"/>
    <w:uiPriority w:val="99"/>
    <w:semiHidden/>
    <w:unhideWhenUsed/>
    <w:rsid w:val="001D10C8"/>
    <w:rPr>
      <w:vertAlign w:val="superscript"/>
    </w:rPr>
  </w:style>
  <w:style w:type="paragraph" w:styleId="ListParagraph">
    <w:name w:val="List Paragraph"/>
    <w:basedOn w:val="Normal"/>
    <w:uiPriority w:val="34"/>
    <w:qFormat/>
    <w:rsid w:val="00695D14"/>
    <w:pPr>
      <w:ind w:left="720"/>
      <w:contextualSpacing/>
    </w:pPr>
  </w:style>
  <w:style w:type="paragraph" w:styleId="Revision">
    <w:name w:val="Revision"/>
    <w:hidden/>
    <w:uiPriority w:val="99"/>
    <w:semiHidden/>
    <w:rsid w:val="00382B7D"/>
    <w:rPr>
      <w:rFonts w:ascii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6D505-5F11-4635-B25B-099D88B0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van der Linde</dc:creator>
  <cp:keywords/>
  <dc:description/>
  <cp:lastModifiedBy>Mokone</cp:lastModifiedBy>
  <cp:revision>2</cp:revision>
  <cp:lastPrinted>2023-09-04T06:54:00Z</cp:lastPrinted>
  <dcterms:created xsi:type="dcterms:W3CDTF">2023-09-06T13:53:00Z</dcterms:created>
  <dcterms:modified xsi:type="dcterms:W3CDTF">2023-09-06T13:53:00Z</dcterms:modified>
</cp:coreProperties>
</file>