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A0" w:rsidRDefault="00246FA0" w:rsidP="00FE3920">
      <w:pPr>
        <w:jc w:val="center"/>
        <w:rPr>
          <w:rFonts w:ascii="Arial" w:hAnsi="Arial" w:cs="Arial"/>
          <w:b/>
          <w:sz w:val="24"/>
          <w:szCs w:val="24"/>
        </w:rPr>
      </w:pPr>
      <w:bookmarkStart w:id="0" w:name="_GoBack"/>
      <w:bookmarkEnd w:id="0"/>
      <w:r>
        <w:rPr>
          <w:rFonts w:ascii="Arial" w:hAnsi="Arial" w:cs="Arial"/>
          <w:b/>
          <w:noProof/>
          <w:sz w:val="24"/>
          <w:szCs w:val="24"/>
          <w:lang w:val="en-US"/>
        </w:rPr>
        <w:drawing>
          <wp:inline distT="0" distB="0" distL="0" distR="0" wp14:anchorId="56ADE6FE" wp14:editId="68839123">
            <wp:extent cx="1030605"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rsidR="00B821BB" w:rsidRPr="00771590" w:rsidRDefault="00725911" w:rsidP="00FE3920">
      <w:pPr>
        <w:jc w:val="center"/>
        <w:rPr>
          <w:rFonts w:ascii="Times New Roman" w:hAnsi="Times New Roman" w:cs="Times New Roman"/>
          <w:b/>
          <w:sz w:val="28"/>
          <w:szCs w:val="28"/>
        </w:rPr>
      </w:pPr>
      <w:r w:rsidRPr="00771590">
        <w:rPr>
          <w:rFonts w:ascii="Times New Roman" w:hAnsi="Times New Roman" w:cs="Times New Roman"/>
          <w:b/>
          <w:sz w:val="28"/>
          <w:szCs w:val="28"/>
        </w:rPr>
        <w:t>IN</w:t>
      </w:r>
      <w:r w:rsidR="001315D4" w:rsidRPr="00771590">
        <w:rPr>
          <w:rFonts w:ascii="Times New Roman" w:hAnsi="Times New Roman" w:cs="Times New Roman"/>
          <w:b/>
          <w:sz w:val="28"/>
          <w:szCs w:val="28"/>
        </w:rPr>
        <w:t xml:space="preserve"> THE HIGH COURT</w:t>
      </w:r>
      <w:r w:rsidRPr="00771590">
        <w:rPr>
          <w:rFonts w:ascii="Times New Roman" w:hAnsi="Times New Roman" w:cs="Times New Roman"/>
          <w:b/>
          <w:sz w:val="28"/>
          <w:szCs w:val="28"/>
        </w:rPr>
        <w:t xml:space="preserve"> OF SOUTH AFRICA</w:t>
      </w:r>
    </w:p>
    <w:p w:rsidR="00C82A19" w:rsidRPr="00771590" w:rsidRDefault="00E86BDC" w:rsidP="00C82A19">
      <w:pPr>
        <w:jc w:val="center"/>
        <w:rPr>
          <w:rFonts w:ascii="Times New Roman" w:hAnsi="Times New Roman" w:cs="Times New Roman"/>
          <w:b/>
          <w:sz w:val="28"/>
          <w:szCs w:val="28"/>
        </w:rPr>
      </w:pPr>
      <w:r w:rsidRPr="00771590">
        <w:rPr>
          <w:rFonts w:ascii="Times New Roman" w:hAnsi="Times New Roman" w:cs="Times New Roman"/>
          <w:b/>
          <w:sz w:val="28"/>
          <w:szCs w:val="28"/>
        </w:rPr>
        <w:t>(</w:t>
      </w:r>
      <w:r w:rsidR="00C82A19" w:rsidRPr="00771590">
        <w:rPr>
          <w:rFonts w:ascii="Times New Roman" w:hAnsi="Times New Roman" w:cs="Times New Roman"/>
          <w:b/>
          <w:sz w:val="28"/>
          <w:szCs w:val="28"/>
        </w:rPr>
        <w:t>EAST</w:t>
      </w:r>
      <w:r w:rsidR="00A65854" w:rsidRPr="00771590">
        <w:rPr>
          <w:rFonts w:ascii="Times New Roman" w:hAnsi="Times New Roman" w:cs="Times New Roman"/>
          <w:b/>
          <w:sz w:val="28"/>
          <w:szCs w:val="28"/>
        </w:rPr>
        <w:t xml:space="preserve">ERN CAPE DIVISION, </w:t>
      </w:r>
      <w:r w:rsidR="00461110" w:rsidRPr="00771590">
        <w:rPr>
          <w:rFonts w:ascii="Times New Roman" w:hAnsi="Times New Roman" w:cs="Times New Roman"/>
          <w:b/>
          <w:sz w:val="28"/>
          <w:szCs w:val="28"/>
        </w:rPr>
        <w:t>GQEBERHA</w:t>
      </w:r>
      <w:r w:rsidRPr="00771590">
        <w:rPr>
          <w:rFonts w:ascii="Times New Roman" w:hAnsi="Times New Roman" w:cs="Times New Roman"/>
          <w:b/>
          <w:sz w:val="28"/>
          <w:szCs w:val="28"/>
        </w:rPr>
        <w:t>)</w:t>
      </w:r>
      <w:r w:rsidR="0014346D" w:rsidRPr="00771590">
        <w:rPr>
          <w:rFonts w:ascii="Times New Roman" w:hAnsi="Times New Roman" w:cs="Times New Roman"/>
          <w:b/>
          <w:sz w:val="28"/>
          <w:szCs w:val="28"/>
        </w:rPr>
        <w:t xml:space="preserve"> </w:t>
      </w:r>
    </w:p>
    <w:p w:rsidR="00725911" w:rsidRPr="00771590" w:rsidRDefault="00725911" w:rsidP="00C82A19">
      <w:pPr>
        <w:rPr>
          <w:rFonts w:ascii="Times New Roman" w:hAnsi="Times New Roman" w:cs="Times New Roman"/>
          <w:b/>
          <w:sz w:val="28"/>
          <w:szCs w:val="28"/>
        </w:rPr>
      </w:pPr>
    </w:p>
    <w:p w:rsidR="001315D4" w:rsidRPr="00771590" w:rsidRDefault="001315D4">
      <w:pPr>
        <w:rPr>
          <w:rFonts w:ascii="Times New Roman" w:hAnsi="Times New Roman" w:cs="Times New Roman"/>
          <w:b/>
          <w:sz w:val="28"/>
          <w:szCs w:val="28"/>
        </w:rPr>
      </w:pPr>
      <w:r w:rsidRPr="00771590">
        <w:rPr>
          <w:rFonts w:ascii="Times New Roman" w:hAnsi="Times New Roman" w:cs="Times New Roman"/>
          <w:sz w:val="28"/>
          <w:szCs w:val="28"/>
        </w:rPr>
        <w:tab/>
      </w:r>
      <w:r w:rsidRPr="00771590">
        <w:rPr>
          <w:rFonts w:ascii="Times New Roman" w:hAnsi="Times New Roman" w:cs="Times New Roman"/>
          <w:sz w:val="28"/>
          <w:szCs w:val="28"/>
        </w:rPr>
        <w:tab/>
      </w:r>
      <w:r w:rsidRPr="00771590">
        <w:rPr>
          <w:rFonts w:ascii="Times New Roman" w:hAnsi="Times New Roman" w:cs="Times New Roman"/>
          <w:sz w:val="28"/>
          <w:szCs w:val="28"/>
        </w:rPr>
        <w:tab/>
      </w:r>
      <w:r w:rsidRPr="00771590">
        <w:rPr>
          <w:rFonts w:ascii="Times New Roman" w:hAnsi="Times New Roman" w:cs="Times New Roman"/>
          <w:sz w:val="28"/>
          <w:szCs w:val="28"/>
        </w:rPr>
        <w:tab/>
      </w:r>
      <w:r w:rsidRPr="00771590">
        <w:rPr>
          <w:rFonts w:ascii="Times New Roman" w:hAnsi="Times New Roman" w:cs="Times New Roman"/>
          <w:sz w:val="28"/>
          <w:szCs w:val="28"/>
        </w:rPr>
        <w:tab/>
      </w:r>
      <w:r w:rsidRPr="00771590">
        <w:rPr>
          <w:rFonts w:ascii="Times New Roman" w:hAnsi="Times New Roman" w:cs="Times New Roman"/>
          <w:sz w:val="28"/>
          <w:szCs w:val="28"/>
        </w:rPr>
        <w:tab/>
      </w:r>
      <w:r w:rsidRPr="00771590">
        <w:rPr>
          <w:rFonts w:ascii="Times New Roman" w:hAnsi="Times New Roman" w:cs="Times New Roman"/>
          <w:sz w:val="28"/>
          <w:szCs w:val="28"/>
        </w:rPr>
        <w:tab/>
      </w:r>
      <w:r w:rsidR="00A64422" w:rsidRPr="00771590">
        <w:rPr>
          <w:rFonts w:ascii="Times New Roman" w:hAnsi="Times New Roman" w:cs="Times New Roman"/>
          <w:sz w:val="28"/>
          <w:szCs w:val="28"/>
        </w:rPr>
        <w:tab/>
        <w:t xml:space="preserve">    </w:t>
      </w:r>
      <w:r w:rsidR="00771590">
        <w:rPr>
          <w:rFonts w:ascii="Times New Roman" w:hAnsi="Times New Roman" w:cs="Times New Roman"/>
          <w:b/>
          <w:sz w:val="28"/>
          <w:szCs w:val="28"/>
        </w:rPr>
        <w:t xml:space="preserve">     </w:t>
      </w:r>
      <w:r w:rsidR="00461110" w:rsidRPr="00771590">
        <w:rPr>
          <w:rFonts w:ascii="Times New Roman" w:hAnsi="Times New Roman" w:cs="Times New Roman"/>
          <w:b/>
          <w:sz w:val="28"/>
          <w:szCs w:val="28"/>
        </w:rPr>
        <w:t>CASE NO: 3563/2021</w:t>
      </w:r>
    </w:p>
    <w:p w:rsidR="001315D4" w:rsidRPr="00771590" w:rsidRDefault="001315D4">
      <w:pPr>
        <w:rPr>
          <w:rFonts w:ascii="Times New Roman" w:hAnsi="Times New Roman" w:cs="Times New Roman"/>
          <w:sz w:val="28"/>
          <w:szCs w:val="28"/>
        </w:rPr>
      </w:pPr>
    </w:p>
    <w:p w:rsidR="001315D4" w:rsidRPr="00771590" w:rsidRDefault="001315D4">
      <w:pPr>
        <w:rPr>
          <w:rFonts w:ascii="Times New Roman" w:hAnsi="Times New Roman" w:cs="Times New Roman"/>
          <w:sz w:val="28"/>
          <w:szCs w:val="28"/>
        </w:rPr>
      </w:pPr>
    </w:p>
    <w:p w:rsidR="001315D4" w:rsidRPr="00771590" w:rsidRDefault="001315D4">
      <w:pPr>
        <w:rPr>
          <w:rFonts w:ascii="Times New Roman" w:hAnsi="Times New Roman" w:cs="Times New Roman"/>
          <w:sz w:val="28"/>
          <w:szCs w:val="28"/>
        </w:rPr>
      </w:pPr>
      <w:r w:rsidRPr="00771590">
        <w:rPr>
          <w:rFonts w:ascii="Times New Roman" w:hAnsi="Times New Roman" w:cs="Times New Roman"/>
          <w:sz w:val="28"/>
          <w:szCs w:val="28"/>
        </w:rPr>
        <w:t>In the matter between</w:t>
      </w:r>
      <w:r w:rsidR="00C82A19" w:rsidRPr="00771590">
        <w:rPr>
          <w:rFonts w:ascii="Times New Roman" w:hAnsi="Times New Roman" w:cs="Times New Roman"/>
          <w:sz w:val="28"/>
          <w:szCs w:val="28"/>
        </w:rPr>
        <w:t>:</w:t>
      </w:r>
    </w:p>
    <w:p w:rsidR="00725911" w:rsidRPr="00771590" w:rsidRDefault="00725911">
      <w:pPr>
        <w:rPr>
          <w:rFonts w:ascii="Times New Roman" w:hAnsi="Times New Roman" w:cs="Times New Roman"/>
          <w:sz w:val="28"/>
          <w:szCs w:val="28"/>
        </w:rPr>
      </w:pPr>
    </w:p>
    <w:p w:rsidR="001315D4" w:rsidRPr="00771590" w:rsidRDefault="00461110">
      <w:pPr>
        <w:rPr>
          <w:rFonts w:ascii="Times New Roman" w:hAnsi="Times New Roman" w:cs="Times New Roman"/>
          <w:sz w:val="28"/>
          <w:szCs w:val="28"/>
        </w:rPr>
      </w:pPr>
      <w:r w:rsidRPr="00771590">
        <w:rPr>
          <w:rFonts w:ascii="Times New Roman" w:hAnsi="Times New Roman" w:cs="Times New Roman"/>
          <w:b/>
          <w:sz w:val="28"/>
          <w:szCs w:val="28"/>
        </w:rPr>
        <w:t>CHARTRO PROPERTIES 9 (PTY) LTD</w:t>
      </w:r>
      <w:r w:rsidR="00246FA0" w:rsidRPr="00771590">
        <w:rPr>
          <w:rFonts w:ascii="Times New Roman" w:hAnsi="Times New Roman" w:cs="Times New Roman"/>
          <w:sz w:val="28"/>
          <w:szCs w:val="28"/>
        </w:rPr>
        <w:tab/>
      </w:r>
      <w:r w:rsidR="00246FA0" w:rsidRPr="00771590">
        <w:rPr>
          <w:rFonts w:ascii="Times New Roman" w:hAnsi="Times New Roman" w:cs="Times New Roman"/>
          <w:sz w:val="28"/>
          <w:szCs w:val="28"/>
        </w:rPr>
        <w:tab/>
        <w:t xml:space="preserve"> </w:t>
      </w:r>
      <w:r w:rsidR="00771590">
        <w:rPr>
          <w:rFonts w:ascii="Times New Roman" w:hAnsi="Times New Roman" w:cs="Times New Roman"/>
          <w:sz w:val="28"/>
          <w:szCs w:val="28"/>
        </w:rPr>
        <w:tab/>
        <w:t xml:space="preserve"> </w:t>
      </w:r>
      <w:r w:rsidR="00902FA3" w:rsidRPr="00771590">
        <w:rPr>
          <w:rFonts w:ascii="Times New Roman" w:hAnsi="Times New Roman" w:cs="Times New Roman"/>
          <w:sz w:val="28"/>
          <w:szCs w:val="28"/>
        </w:rPr>
        <w:t>Applicant</w:t>
      </w:r>
    </w:p>
    <w:p w:rsidR="008F6B0C" w:rsidRPr="00771590" w:rsidRDefault="008F6B0C">
      <w:pPr>
        <w:rPr>
          <w:rFonts w:ascii="Times New Roman" w:hAnsi="Times New Roman" w:cs="Times New Roman"/>
          <w:b/>
          <w:sz w:val="28"/>
          <w:szCs w:val="28"/>
        </w:rPr>
      </w:pPr>
    </w:p>
    <w:p w:rsidR="0074506F" w:rsidRPr="00771590" w:rsidRDefault="0074506F">
      <w:pPr>
        <w:rPr>
          <w:rFonts w:ascii="Times New Roman" w:hAnsi="Times New Roman" w:cs="Times New Roman"/>
          <w:sz w:val="28"/>
          <w:szCs w:val="28"/>
        </w:rPr>
      </w:pPr>
      <w:r w:rsidRPr="00771590">
        <w:rPr>
          <w:rFonts w:ascii="Times New Roman" w:hAnsi="Times New Roman" w:cs="Times New Roman"/>
          <w:sz w:val="28"/>
          <w:szCs w:val="28"/>
        </w:rPr>
        <w:t>And</w:t>
      </w:r>
    </w:p>
    <w:p w:rsidR="0074506F" w:rsidRPr="00771590" w:rsidRDefault="0074506F">
      <w:pPr>
        <w:rPr>
          <w:rFonts w:ascii="Times New Roman" w:hAnsi="Times New Roman" w:cs="Times New Roman"/>
          <w:b/>
          <w:sz w:val="28"/>
          <w:szCs w:val="28"/>
        </w:rPr>
      </w:pPr>
    </w:p>
    <w:p w:rsidR="00771590" w:rsidRDefault="00461110" w:rsidP="008F6B0C">
      <w:pPr>
        <w:rPr>
          <w:rFonts w:ascii="Times New Roman" w:hAnsi="Times New Roman" w:cs="Times New Roman"/>
          <w:b/>
          <w:sz w:val="28"/>
          <w:szCs w:val="28"/>
        </w:rPr>
      </w:pPr>
      <w:r w:rsidRPr="00771590">
        <w:rPr>
          <w:rFonts w:ascii="Times New Roman" w:hAnsi="Times New Roman" w:cs="Times New Roman"/>
          <w:b/>
          <w:sz w:val="28"/>
          <w:szCs w:val="28"/>
        </w:rPr>
        <w:t xml:space="preserve">MARINA MARTINIQUE HOME OWNERS </w:t>
      </w:r>
      <w:r w:rsidR="00771590">
        <w:rPr>
          <w:rFonts w:ascii="Times New Roman" w:hAnsi="Times New Roman" w:cs="Times New Roman"/>
          <w:b/>
          <w:sz w:val="28"/>
          <w:szCs w:val="28"/>
        </w:rPr>
        <w:tab/>
      </w:r>
      <w:r w:rsidR="00771590">
        <w:rPr>
          <w:rFonts w:ascii="Times New Roman" w:hAnsi="Times New Roman" w:cs="Times New Roman"/>
          <w:b/>
          <w:sz w:val="28"/>
          <w:szCs w:val="28"/>
        </w:rPr>
        <w:tab/>
      </w:r>
      <w:r w:rsidR="00771590" w:rsidRPr="00771590">
        <w:rPr>
          <w:rFonts w:ascii="Times New Roman" w:hAnsi="Times New Roman" w:cs="Times New Roman"/>
          <w:sz w:val="28"/>
          <w:szCs w:val="28"/>
        </w:rPr>
        <w:t>First Respondent</w:t>
      </w:r>
    </w:p>
    <w:p w:rsidR="00461110" w:rsidRPr="00771590" w:rsidRDefault="00461110" w:rsidP="008F6B0C">
      <w:pPr>
        <w:rPr>
          <w:rFonts w:ascii="Times New Roman" w:hAnsi="Times New Roman" w:cs="Times New Roman"/>
          <w:b/>
          <w:sz w:val="28"/>
          <w:szCs w:val="28"/>
        </w:rPr>
      </w:pPr>
      <w:r w:rsidRPr="00771590">
        <w:rPr>
          <w:rFonts w:ascii="Times New Roman" w:hAnsi="Times New Roman" w:cs="Times New Roman"/>
          <w:b/>
          <w:sz w:val="28"/>
          <w:szCs w:val="28"/>
        </w:rPr>
        <w:t>ASSOCIATION</w:t>
      </w:r>
      <w:r w:rsidRPr="00771590">
        <w:rPr>
          <w:rFonts w:ascii="Times New Roman" w:hAnsi="Times New Roman" w:cs="Times New Roman"/>
          <w:b/>
          <w:sz w:val="28"/>
          <w:szCs w:val="28"/>
        </w:rPr>
        <w:tab/>
      </w:r>
      <w:r w:rsidR="00922C9F" w:rsidRPr="00771590">
        <w:rPr>
          <w:rFonts w:ascii="Times New Roman" w:hAnsi="Times New Roman" w:cs="Times New Roman"/>
          <w:b/>
          <w:sz w:val="28"/>
          <w:szCs w:val="28"/>
        </w:rPr>
        <w:tab/>
      </w:r>
    </w:p>
    <w:p w:rsidR="00461110" w:rsidRPr="00771590" w:rsidRDefault="00922C9F" w:rsidP="008F6B0C">
      <w:pPr>
        <w:rPr>
          <w:rFonts w:ascii="Times New Roman" w:hAnsi="Times New Roman" w:cs="Times New Roman"/>
          <w:sz w:val="28"/>
          <w:szCs w:val="28"/>
        </w:rPr>
      </w:pPr>
      <w:r w:rsidRPr="00771590">
        <w:rPr>
          <w:rFonts w:ascii="Times New Roman" w:hAnsi="Times New Roman" w:cs="Times New Roman"/>
          <w:b/>
          <w:sz w:val="28"/>
          <w:szCs w:val="28"/>
        </w:rPr>
        <w:tab/>
      </w:r>
      <w:r w:rsidR="00762371" w:rsidRPr="00771590">
        <w:rPr>
          <w:rFonts w:ascii="Times New Roman" w:hAnsi="Times New Roman" w:cs="Times New Roman"/>
          <w:b/>
          <w:sz w:val="28"/>
          <w:szCs w:val="28"/>
        </w:rPr>
        <w:tab/>
      </w:r>
    </w:p>
    <w:p w:rsidR="00461110" w:rsidRPr="00771590" w:rsidRDefault="00461110" w:rsidP="008F6B0C">
      <w:pPr>
        <w:rPr>
          <w:rFonts w:ascii="Times New Roman" w:hAnsi="Times New Roman" w:cs="Times New Roman"/>
          <w:sz w:val="28"/>
          <w:szCs w:val="28"/>
        </w:rPr>
      </w:pPr>
      <w:r w:rsidRPr="00771590">
        <w:rPr>
          <w:rFonts w:ascii="Times New Roman" w:hAnsi="Times New Roman" w:cs="Times New Roman"/>
          <w:b/>
          <w:sz w:val="28"/>
          <w:szCs w:val="28"/>
        </w:rPr>
        <w:t>RICHOIL INVESTMENTS 8 (PTY) LTD</w:t>
      </w:r>
      <w:r w:rsidR="00771590">
        <w:rPr>
          <w:rFonts w:ascii="Times New Roman" w:hAnsi="Times New Roman" w:cs="Times New Roman"/>
          <w:sz w:val="28"/>
          <w:szCs w:val="28"/>
        </w:rPr>
        <w:tab/>
      </w:r>
      <w:r w:rsidR="00771590">
        <w:rPr>
          <w:rFonts w:ascii="Times New Roman" w:hAnsi="Times New Roman" w:cs="Times New Roman"/>
          <w:sz w:val="28"/>
          <w:szCs w:val="28"/>
        </w:rPr>
        <w:tab/>
      </w:r>
      <w:r w:rsidR="00771590">
        <w:rPr>
          <w:rFonts w:ascii="Times New Roman" w:hAnsi="Times New Roman" w:cs="Times New Roman"/>
          <w:sz w:val="28"/>
          <w:szCs w:val="28"/>
        </w:rPr>
        <w:tab/>
      </w:r>
      <w:r w:rsidRPr="00771590">
        <w:rPr>
          <w:rFonts w:ascii="Times New Roman" w:hAnsi="Times New Roman" w:cs="Times New Roman"/>
          <w:sz w:val="28"/>
          <w:szCs w:val="28"/>
        </w:rPr>
        <w:t>Second Respondent</w:t>
      </w:r>
    </w:p>
    <w:p w:rsidR="004D3099" w:rsidRPr="00771590" w:rsidRDefault="00461110" w:rsidP="008F6B0C">
      <w:pPr>
        <w:rPr>
          <w:rFonts w:ascii="Times New Roman" w:hAnsi="Times New Roman" w:cs="Times New Roman"/>
          <w:b/>
          <w:sz w:val="28"/>
          <w:szCs w:val="28"/>
        </w:rPr>
      </w:pPr>
      <w:r w:rsidRPr="00771590">
        <w:rPr>
          <w:rFonts w:ascii="Times New Roman" w:hAnsi="Times New Roman" w:cs="Times New Roman"/>
          <w:b/>
          <w:sz w:val="28"/>
          <w:szCs w:val="28"/>
        </w:rPr>
        <w:t>(IN LIQUIDATION)</w:t>
      </w:r>
      <w:r w:rsidRPr="00771590">
        <w:rPr>
          <w:rFonts w:ascii="Times New Roman" w:hAnsi="Times New Roman" w:cs="Times New Roman"/>
          <w:b/>
          <w:sz w:val="28"/>
          <w:szCs w:val="28"/>
        </w:rPr>
        <w:tab/>
      </w:r>
    </w:p>
    <w:p w:rsidR="00461110" w:rsidRPr="00771590" w:rsidRDefault="00461110" w:rsidP="008F6B0C">
      <w:pPr>
        <w:rPr>
          <w:rFonts w:ascii="Times New Roman" w:hAnsi="Times New Roman" w:cs="Times New Roman"/>
          <w:sz w:val="28"/>
          <w:szCs w:val="28"/>
        </w:rPr>
      </w:pPr>
    </w:p>
    <w:p w:rsidR="00461110" w:rsidRPr="00771590" w:rsidRDefault="00461110" w:rsidP="008F6B0C">
      <w:pPr>
        <w:rPr>
          <w:rFonts w:ascii="Times New Roman" w:hAnsi="Times New Roman" w:cs="Times New Roman"/>
          <w:sz w:val="28"/>
          <w:szCs w:val="28"/>
        </w:rPr>
      </w:pPr>
      <w:r w:rsidRPr="00771590">
        <w:rPr>
          <w:rFonts w:ascii="Times New Roman" w:hAnsi="Times New Roman" w:cs="Times New Roman"/>
          <w:b/>
          <w:sz w:val="28"/>
          <w:szCs w:val="28"/>
        </w:rPr>
        <w:t>THE BODY CORPORATE OF ARUBA BREEZE</w:t>
      </w:r>
      <w:r w:rsidR="00771590">
        <w:rPr>
          <w:rFonts w:ascii="Times New Roman" w:hAnsi="Times New Roman" w:cs="Times New Roman"/>
          <w:sz w:val="28"/>
          <w:szCs w:val="28"/>
        </w:rPr>
        <w:tab/>
      </w:r>
      <w:r w:rsidRPr="00771590">
        <w:rPr>
          <w:rFonts w:ascii="Times New Roman" w:hAnsi="Times New Roman" w:cs="Times New Roman"/>
          <w:sz w:val="28"/>
          <w:szCs w:val="28"/>
        </w:rPr>
        <w:t>Third Respondent</w:t>
      </w:r>
    </w:p>
    <w:p w:rsidR="008F6B0C" w:rsidRPr="00771590" w:rsidRDefault="00461110" w:rsidP="008F6B0C">
      <w:pPr>
        <w:rPr>
          <w:rFonts w:ascii="Times New Roman" w:hAnsi="Times New Roman" w:cs="Times New Roman"/>
          <w:b/>
          <w:sz w:val="28"/>
          <w:szCs w:val="28"/>
        </w:rPr>
      </w:pPr>
      <w:r w:rsidRPr="00771590">
        <w:rPr>
          <w:rFonts w:ascii="Times New Roman" w:hAnsi="Times New Roman" w:cs="Times New Roman"/>
          <w:b/>
          <w:sz w:val="28"/>
          <w:szCs w:val="28"/>
        </w:rPr>
        <w:t>(SECTIONAL TITLE SCHEME 403/2007)</w:t>
      </w:r>
    </w:p>
    <w:p w:rsidR="00567AB4" w:rsidRPr="00771590" w:rsidRDefault="00567AB4">
      <w:pPr>
        <w:rPr>
          <w:rFonts w:ascii="Times New Roman" w:hAnsi="Times New Roman" w:cs="Times New Roman"/>
          <w:b/>
          <w:sz w:val="28"/>
          <w:szCs w:val="28"/>
        </w:rPr>
      </w:pPr>
      <w:r w:rsidRPr="00771590">
        <w:rPr>
          <w:rFonts w:ascii="Times New Roman" w:hAnsi="Times New Roman" w:cs="Times New Roman"/>
          <w:b/>
          <w:sz w:val="28"/>
          <w:szCs w:val="28"/>
        </w:rPr>
        <w:tab/>
      </w:r>
      <w:r w:rsidRPr="00771590">
        <w:rPr>
          <w:rFonts w:ascii="Times New Roman" w:hAnsi="Times New Roman" w:cs="Times New Roman"/>
          <w:b/>
          <w:sz w:val="28"/>
          <w:szCs w:val="28"/>
        </w:rPr>
        <w:tab/>
      </w:r>
      <w:r w:rsidRPr="00771590">
        <w:rPr>
          <w:rFonts w:ascii="Times New Roman" w:hAnsi="Times New Roman" w:cs="Times New Roman"/>
          <w:b/>
          <w:sz w:val="28"/>
          <w:szCs w:val="28"/>
        </w:rPr>
        <w:tab/>
      </w:r>
      <w:r w:rsidR="00A65854" w:rsidRPr="00771590">
        <w:rPr>
          <w:rFonts w:ascii="Times New Roman" w:hAnsi="Times New Roman" w:cs="Times New Roman"/>
          <w:b/>
          <w:sz w:val="28"/>
          <w:szCs w:val="28"/>
        </w:rPr>
        <w:t xml:space="preserve">              </w:t>
      </w:r>
    </w:p>
    <w:p w:rsidR="00ED778F" w:rsidRPr="00771590" w:rsidRDefault="00ED778F">
      <w:pPr>
        <w:rPr>
          <w:rFonts w:ascii="Times New Roman" w:hAnsi="Times New Roman" w:cs="Times New Roman"/>
          <w:sz w:val="28"/>
          <w:szCs w:val="28"/>
        </w:rPr>
      </w:pPr>
    </w:p>
    <w:p w:rsidR="00080CB4" w:rsidRPr="00771590" w:rsidRDefault="00080CB4">
      <w:pPr>
        <w:rPr>
          <w:rFonts w:ascii="Times New Roman" w:hAnsi="Times New Roman" w:cs="Times New Roman"/>
          <w:sz w:val="28"/>
          <w:szCs w:val="28"/>
        </w:rPr>
      </w:pPr>
    </w:p>
    <w:p w:rsidR="00902FA3" w:rsidRPr="00771590" w:rsidRDefault="00902FA3">
      <w:pPr>
        <w:rPr>
          <w:rFonts w:ascii="Times New Roman" w:hAnsi="Times New Roman" w:cs="Times New Roman"/>
          <w:b/>
          <w:sz w:val="28"/>
          <w:szCs w:val="28"/>
        </w:rPr>
      </w:pPr>
    </w:p>
    <w:p w:rsidR="00ED778F" w:rsidRDefault="00AF0DAA">
      <w:pPr>
        <w:rPr>
          <w:rFonts w:ascii="Arial" w:hAnsi="Arial" w:cs="Arial"/>
          <w:b/>
          <w:sz w:val="24"/>
          <w:szCs w:val="24"/>
        </w:rPr>
      </w:pPr>
      <w:r>
        <w:rPr>
          <w:rFonts w:ascii="Arial" w:hAnsi="Arial" w:cs="Arial"/>
          <w:b/>
          <w:sz w:val="24"/>
          <w:szCs w:val="24"/>
        </w:rPr>
        <w:lastRenderedPageBreak/>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86BDC">
        <w:rPr>
          <w:rFonts w:ascii="Arial" w:hAnsi="Arial" w:cs="Arial"/>
          <w:b/>
          <w:noProof/>
          <w:sz w:val="24"/>
          <w:szCs w:val="24"/>
          <w:lang w:eastAsia="en-ZA"/>
        </w:rPr>
        <w:t xml:space="preserve">  </w:t>
      </w:r>
      <w:r w:rsidR="001D7162">
        <w:rPr>
          <w:rFonts w:ascii="Arial" w:hAnsi="Arial" w:cs="Arial"/>
          <w:b/>
          <w:noProof/>
          <w:sz w:val="24"/>
          <w:szCs w:val="24"/>
          <w:lang w:val="en-US"/>
        </w:rPr>
        <w:drawing>
          <wp:inline distT="0" distB="0" distL="0" distR="0" wp14:anchorId="1A63D704" wp14:editId="033C6C21">
            <wp:extent cx="3340735" cy="118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735" cy="1183005"/>
                    </a:xfrm>
                    <a:prstGeom prst="rect">
                      <a:avLst/>
                    </a:prstGeom>
                    <a:noFill/>
                  </pic:spPr>
                </pic:pic>
              </a:graphicData>
            </a:graphic>
          </wp:inline>
        </w:drawing>
      </w:r>
    </w:p>
    <w:p w:rsidR="001315D4" w:rsidRPr="00ED778F" w:rsidRDefault="00E30D3F">
      <w:pPr>
        <w:rPr>
          <w:rFonts w:ascii="Arial" w:hAnsi="Arial" w:cs="Arial"/>
          <w:sz w:val="24"/>
          <w:szCs w:val="24"/>
        </w:rPr>
      </w:pPr>
      <w:r w:rsidRPr="00ED778F">
        <w:rPr>
          <w:rFonts w:ascii="Arial" w:hAnsi="Arial" w:cs="Arial"/>
          <w:sz w:val="24"/>
          <w:szCs w:val="24"/>
        </w:rPr>
        <w:tab/>
      </w:r>
      <w:r w:rsidRPr="00ED778F">
        <w:rPr>
          <w:rFonts w:ascii="Arial" w:hAnsi="Arial" w:cs="Arial"/>
          <w:sz w:val="24"/>
          <w:szCs w:val="24"/>
        </w:rPr>
        <w:tab/>
      </w:r>
      <w:r w:rsidRPr="00ED778F">
        <w:rPr>
          <w:rFonts w:ascii="Arial" w:hAnsi="Arial" w:cs="Arial"/>
          <w:sz w:val="24"/>
          <w:szCs w:val="24"/>
        </w:rPr>
        <w:tab/>
      </w:r>
      <w:r w:rsidRPr="00ED778F">
        <w:rPr>
          <w:rFonts w:ascii="Arial" w:hAnsi="Arial" w:cs="Arial"/>
          <w:sz w:val="24"/>
          <w:szCs w:val="24"/>
        </w:rPr>
        <w:tab/>
      </w:r>
    </w:p>
    <w:p w:rsidR="00246FA0" w:rsidRDefault="00246FA0" w:rsidP="00C43FDD">
      <w:pPr>
        <w:pBdr>
          <w:top w:val="single" w:sz="12" w:space="1" w:color="auto"/>
          <w:bottom w:val="single" w:sz="12" w:space="1" w:color="auto"/>
        </w:pBdr>
        <w:jc w:val="center"/>
        <w:rPr>
          <w:rFonts w:ascii="Arial" w:hAnsi="Arial" w:cs="Arial"/>
          <w:b/>
          <w:sz w:val="24"/>
          <w:szCs w:val="24"/>
        </w:rPr>
      </w:pPr>
    </w:p>
    <w:p w:rsidR="00246FA0" w:rsidRDefault="00C43FDD" w:rsidP="00C82A19">
      <w:pPr>
        <w:pBdr>
          <w:top w:val="single" w:sz="12" w:space="1" w:color="auto"/>
          <w:bottom w:val="single" w:sz="12" w:space="1" w:color="auto"/>
        </w:pBdr>
        <w:jc w:val="center"/>
        <w:rPr>
          <w:rFonts w:ascii="Arial" w:hAnsi="Arial" w:cs="Arial"/>
          <w:b/>
          <w:sz w:val="24"/>
          <w:szCs w:val="24"/>
        </w:rPr>
      </w:pPr>
      <w:r>
        <w:rPr>
          <w:rFonts w:ascii="Arial" w:hAnsi="Arial" w:cs="Arial"/>
          <w:b/>
          <w:sz w:val="24"/>
          <w:szCs w:val="24"/>
        </w:rPr>
        <w:t>JUDGMENT</w:t>
      </w:r>
    </w:p>
    <w:p w:rsidR="00F072E8" w:rsidRPr="00C43FDD" w:rsidRDefault="00F072E8" w:rsidP="00C82A19">
      <w:pPr>
        <w:pBdr>
          <w:top w:val="single" w:sz="12" w:space="1" w:color="auto"/>
          <w:bottom w:val="single" w:sz="12" w:space="1" w:color="auto"/>
        </w:pBdr>
        <w:jc w:val="center"/>
        <w:rPr>
          <w:rFonts w:ascii="Arial" w:hAnsi="Arial" w:cs="Arial"/>
          <w:b/>
          <w:sz w:val="24"/>
          <w:szCs w:val="24"/>
        </w:rPr>
      </w:pPr>
    </w:p>
    <w:p w:rsidR="00A66BBF" w:rsidRPr="00437E6F" w:rsidRDefault="00507322" w:rsidP="00A41477">
      <w:pPr>
        <w:shd w:val="clear" w:color="auto" w:fill="FFFFFF"/>
        <w:spacing w:before="144" w:after="0" w:line="360" w:lineRule="atLeast"/>
        <w:jc w:val="both"/>
        <w:rPr>
          <w:rFonts w:ascii="Times New Roman" w:hAnsi="Times New Roman" w:cs="Times New Roman"/>
          <w:b/>
          <w:sz w:val="28"/>
          <w:szCs w:val="28"/>
        </w:rPr>
      </w:pPr>
      <w:r w:rsidRPr="00437E6F">
        <w:rPr>
          <w:rFonts w:ascii="Times New Roman" w:hAnsi="Times New Roman" w:cs="Times New Roman"/>
          <w:b/>
          <w:sz w:val="28"/>
          <w:szCs w:val="28"/>
        </w:rPr>
        <w:t>N</w:t>
      </w:r>
      <w:r w:rsidR="00E86BDC" w:rsidRPr="00437E6F">
        <w:rPr>
          <w:rFonts w:ascii="Times New Roman" w:hAnsi="Times New Roman" w:cs="Times New Roman"/>
          <w:b/>
          <w:sz w:val="28"/>
          <w:szCs w:val="28"/>
        </w:rPr>
        <w:t>ONCEMBU</w:t>
      </w:r>
      <w:r w:rsidR="008F6B0C" w:rsidRPr="00437E6F">
        <w:rPr>
          <w:rFonts w:ascii="Times New Roman" w:hAnsi="Times New Roman" w:cs="Times New Roman"/>
          <w:b/>
          <w:sz w:val="28"/>
          <w:szCs w:val="28"/>
        </w:rPr>
        <w:t xml:space="preserve"> </w:t>
      </w:r>
      <w:r w:rsidRPr="00437E6F">
        <w:rPr>
          <w:rFonts w:ascii="Times New Roman" w:hAnsi="Times New Roman" w:cs="Times New Roman"/>
          <w:b/>
          <w:sz w:val="28"/>
          <w:szCs w:val="28"/>
        </w:rPr>
        <w:t>J</w:t>
      </w:r>
    </w:p>
    <w:p w:rsidR="00EA5FAB" w:rsidRPr="00437E6F" w:rsidRDefault="00EA5FAB" w:rsidP="00ED6C82">
      <w:pPr>
        <w:shd w:val="clear" w:color="auto" w:fill="FFFFFF"/>
        <w:spacing w:before="144" w:after="0" w:line="360" w:lineRule="atLeast"/>
        <w:ind w:firstLine="360"/>
        <w:jc w:val="both"/>
        <w:rPr>
          <w:rFonts w:ascii="Times New Roman" w:hAnsi="Times New Roman" w:cs="Times New Roman"/>
          <w:sz w:val="28"/>
          <w:szCs w:val="28"/>
          <w:u w:val="single"/>
        </w:rPr>
      </w:pPr>
    </w:p>
    <w:p w:rsidR="00507322" w:rsidRPr="00437E6F" w:rsidRDefault="00507322" w:rsidP="00A41477">
      <w:pPr>
        <w:shd w:val="clear" w:color="auto" w:fill="FFFFFF"/>
        <w:spacing w:before="144" w:after="0" w:line="360" w:lineRule="atLeast"/>
        <w:jc w:val="both"/>
        <w:rPr>
          <w:rFonts w:ascii="Times New Roman" w:hAnsi="Times New Roman" w:cs="Times New Roman"/>
          <w:b/>
          <w:sz w:val="28"/>
          <w:szCs w:val="28"/>
        </w:rPr>
      </w:pPr>
    </w:p>
    <w:p w:rsidR="00F83CB4" w:rsidRPr="00437E6F" w:rsidRDefault="00F83CB4" w:rsidP="00A41477">
      <w:pPr>
        <w:shd w:val="clear" w:color="auto" w:fill="FFFFFF"/>
        <w:spacing w:before="144" w:after="0" w:line="360" w:lineRule="atLeast"/>
        <w:jc w:val="both"/>
        <w:rPr>
          <w:rFonts w:ascii="Times New Roman" w:hAnsi="Times New Roman" w:cs="Times New Roman"/>
          <w:sz w:val="28"/>
          <w:szCs w:val="28"/>
        </w:rPr>
      </w:pPr>
    </w:p>
    <w:p w:rsidR="005C198F" w:rsidRDefault="00A41477" w:rsidP="00A41477">
      <w:pPr>
        <w:pStyle w:val="BodyTextIndent2"/>
        <w:widowControl/>
        <w:spacing w:after="0"/>
        <w:ind w:left="0"/>
        <w:jc w:val="both"/>
        <w:rPr>
          <w:rFonts w:ascii="Times New Roman" w:hAnsi="Times New Roman"/>
          <w:sz w:val="28"/>
          <w:szCs w:val="28"/>
        </w:rPr>
      </w:pPr>
      <w:r w:rsidRPr="00437E6F">
        <w:rPr>
          <w:rFonts w:ascii="Times New Roman" w:hAnsi="Times New Roman"/>
          <w:sz w:val="28"/>
          <w:szCs w:val="28"/>
        </w:rPr>
        <w:t>[1]</w:t>
      </w:r>
      <w:r w:rsidRPr="00437E6F">
        <w:rPr>
          <w:rFonts w:ascii="Times New Roman" w:hAnsi="Times New Roman"/>
          <w:sz w:val="28"/>
          <w:szCs w:val="28"/>
        </w:rPr>
        <w:tab/>
      </w:r>
      <w:r w:rsidR="007E65CD">
        <w:rPr>
          <w:rFonts w:ascii="Times New Roman" w:hAnsi="Times New Roman"/>
          <w:sz w:val="28"/>
          <w:szCs w:val="28"/>
        </w:rPr>
        <w:t>The applicant, i</w:t>
      </w:r>
      <w:r w:rsidR="005C198F">
        <w:rPr>
          <w:rFonts w:ascii="Times New Roman" w:hAnsi="Times New Roman"/>
          <w:sz w:val="28"/>
          <w:szCs w:val="28"/>
        </w:rPr>
        <w:t xml:space="preserve">n its amended notice of </w:t>
      </w:r>
      <w:r w:rsidR="007E65CD">
        <w:rPr>
          <w:rFonts w:ascii="Times New Roman" w:hAnsi="Times New Roman"/>
          <w:sz w:val="28"/>
          <w:szCs w:val="28"/>
        </w:rPr>
        <w:t>motion</w:t>
      </w:r>
      <w:r w:rsidR="00722D37">
        <w:rPr>
          <w:rFonts w:ascii="Times New Roman" w:hAnsi="Times New Roman"/>
          <w:sz w:val="28"/>
          <w:szCs w:val="28"/>
        </w:rPr>
        <w:t>,</w:t>
      </w:r>
      <w:r w:rsidR="005C198F">
        <w:rPr>
          <w:rFonts w:ascii="Times New Roman" w:hAnsi="Times New Roman"/>
          <w:sz w:val="28"/>
          <w:szCs w:val="28"/>
        </w:rPr>
        <w:t xml:space="preserve"> is seeking relief on the following terms:</w:t>
      </w:r>
    </w:p>
    <w:p w:rsidR="00D91058" w:rsidRDefault="005C198F" w:rsidP="005C198F">
      <w:pPr>
        <w:pStyle w:val="BodyTextIndent2"/>
        <w:widowControl/>
        <w:spacing w:after="0"/>
        <w:ind w:left="720"/>
        <w:jc w:val="both"/>
        <w:rPr>
          <w:rFonts w:ascii="Times New Roman" w:hAnsi="Times New Roman"/>
          <w:i/>
          <w:sz w:val="28"/>
          <w:szCs w:val="28"/>
        </w:rPr>
      </w:pPr>
      <w:r w:rsidRPr="005C198F">
        <w:rPr>
          <w:rFonts w:ascii="Times New Roman" w:hAnsi="Times New Roman"/>
          <w:i/>
          <w:sz w:val="28"/>
          <w:szCs w:val="28"/>
        </w:rPr>
        <w:t>“1. That it be declared that the First Respondent consented to the Applicant effectively consolidating (through whatever means necessary) part of the current Erf 1310 and part of current remainder</w:t>
      </w:r>
      <w:r w:rsidR="00D91058" w:rsidRPr="005C198F">
        <w:rPr>
          <w:rFonts w:ascii="Times New Roman" w:hAnsi="Times New Roman"/>
          <w:i/>
          <w:sz w:val="28"/>
          <w:szCs w:val="28"/>
        </w:rPr>
        <w:t xml:space="preserve"> </w:t>
      </w:r>
      <w:r w:rsidRPr="005C198F">
        <w:rPr>
          <w:rFonts w:ascii="Times New Roman" w:hAnsi="Times New Roman"/>
          <w:i/>
          <w:sz w:val="28"/>
          <w:szCs w:val="28"/>
        </w:rPr>
        <w:t>of Erf 1021, after the moving of the road from the Sou</w:t>
      </w:r>
      <w:r w:rsidR="00715C9E">
        <w:rPr>
          <w:rFonts w:ascii="Times New Roman" w:hAnsi="Times New Roman"/>
          <w:i/>
          <w:sz w:val="28"/>
          <w:szCs w:val="28"/>
        </w:rPr>
        <w:t>th Eastern border to its North E</w:t>
      </w:r>
      <w:r w:rsidRPr="005C198F">
        <w:rPr>
          <w:rFonts w:ascii="Times New Roman" w:hAnsi="Times New Roman"/>
          <w:i/>
          <w:sz w:val="28"/>
          <w:szCs w:val="28"/>
        </w:rPr>
        <w:t>astern border, with Erf 1315, to enable the Applicant to construct parking bays thereon for use by the Sectional Title owners in the Aruba Breeze Sectional Title Complex;</w:t>
      </w:r>
    </w:p>
    <w:p w:rsidR="005C198F" w:rsidRDefault="005C198F" w:rsidP="005C198F">
      <w:pPr>
        <w:pStyle w:val="BodyTextIndent2"/>
        <w:widowControl/>
        <w:spacing w:after="0"/>
        <w:ind w:left="720"/>
        <w:jc w:val="both"/>
        <w:rPr>
          <w:rFonts w:ascii="Times New Roman" w:hAnsi="Times New Roman"/>
          <w:i/>
          <w:sz w:val="28"/>
          <w:szCs w:val="28"/>
        </w:rPr>
      </w:pPr>
      <w:r>
        <w:rPr>
          <w:rFonts w:ascii="Times New Roman" w:hAnsi="Times New Roman"/>
          <w:i/>
          <w:sz w:val="28"/>
          <w:szCs w:val="28"/>
        </w:rPr>
        <w:t>2. That it be declared that the First Respondent’s cancellation on 28 April 2015 of the First Respondent’s consent given to the A</w:t>
      </w:r>
      <w:r w:rsidR="000C4217">
        <w:rPr>
          <w:rFonts w:ascii="Times New Roman" w:hAnsi="Times New Roman"/>
          <w:i/>
          <w:sz w:val="28"/>
          <w:szCs w:val="28"/>
        </w:rPr>
        <w:t>pplicant in respect of the consolidation of Erven 1310 and 1315 Aston Bay, Kouga Municipality, is unlawful, is null and void;</w:t>
      </w:r>
    </w:p>
    <w:p w:rsidR="000C4217" w:rsidRDefault="000C4217" w:rsidP="005C198F">
      <w:pPr>
        <w:pStyle w:val="BodyTextIndent2"/>
        <w:widowControl/>
        <w:spacing w:after="0"/>
        <w:ind w:left="720"/>
        <w:jc w:val="both"/>
        <w:rPr>
          <w:rFonts w:ascii="Times New Roman" w:hAnsi="Times New Roman"/>
          <w:i/>
          <w:sz w:val="28"/>
          <w:szCs w:val="28"/>
        </w:rPr>
      </w:pPr>
      <w:r>
        <w:rPr>
          <w:rFonts w:ascii="Times New Roman" w:hAnsi="Times New Roman"/>
          <w:i/>
          <w:sz w:val="28"/>
          <w:szCs w:val="28"/>
        </w:rPr>
        <w:lastRenderedPageBreak/>
        <w:t>3.</w:t>
      </w:r>
      <w:r w:rsidR="00C55462">
        <w:rPr>
          <w:rFonts w:ascii="Times New Roman" w:hAnsi="Times New Roman"/>
          <w:i/>
          <w:sz w:val="28"/>
          <w:szCs w:val="28"/>
        </w:rPr>
        <w:t xml:space="preserve"> </w:t>
      </w:r>
      <w:r w:rsidR="008D4BF6">
        <w:rPr>
          <w:rFonts w:ascii="Times New Roman" w:hAnsi="Times New Roman"/>
          <w:i/>
          <w:sz w:val="28"/>
          <w:szCs w:val="28"/>
        </w:rPr>
        <w:t>By declaring that the consent of the First Respondent as described above is extant, valid and binding and that such prohibits the First Respondent from taking any steps to impede and/or frustrate the process to achieve such;</w:t>
      </w:r>
    </w:p>
    <w:p w:rsidR="008D4BF6" w:rsidRDefault="008D4BF6" w:rsidP="005C198F">
      <w:pPr>
        <w:pStyle w:val="BodyTextIndent2"/>
        <w:widowControl/>
        <w:spacing w:after="0"/>
        <w:ind w:left="720"/>
        <w:jc w:val="both"/>
        <w:rPr>
          <w:rFonts w:ascii="Times New Roman" w:hAnsi="Times New Roman"/>
          <w:i/>
          <w:sz w:val="28"/>
          <w:szCs w:val="28"/>
        </w:rPr>
      </w:pPr>
      <w:r>
        <w:rPr>
          <w:rFonts w:ascii="Times New Roman" w:hAnsi="Times New Roman"/>
          <w:i/>
          <w:sz w:val="28"/>
          <w:szCs w:val="28"/>
        </w:rPr>
        <w:t>4. The First Respondent be ordered not to levy any separate levies in respect of Erf 131</w:t>
      </w:r>
      <w:r w:rsidR="00722D37">
        <w:rPr>
          <w:rFonts w:ascii="Times New Roman" w:hAnsi="Times New Roman"/>
          <w:i/>
          <w:sz w:val="28"/>
          <w:szCs w:val="28"/>
        </w:rPr>
        <w:t>0, Aston Bay</w:t>
      </w:r>
      <w:r w:rsidR="00715C9E">
        <w:rPr>
          <w:rFonts w:ascii="Times New Roman" w:hAnsi="Times New Roman"/>
          <w:i/>
          <w:sz w:val="28"/>
          <w:szCs w:val="28"/>
        </w:rPr>
        <w:t>,</w:t>
      </w:r>
      <w:r w:rsidR="00722D37">
        <w:rPr>
          <w:rFonts w:ascii="Times New Roman" w:hAnsi="Times New Roman"/>
          <w:i/>
          <w:sz w:val="28"/>
          <w:szCs w:val="28"/>
        </w:rPr>
        <w:t xml:space="preserve"> Kouga Municipality;</w:t>
      </w:r>
    </w:p>
    <w:p w:rsidR="008D4BF6" w:rsidRDefault="008D4BF6" w:rsidP="005C198F">
      <w:pPr>
        <w:pStyle w:val="BodyTextIndent2"/>
        <w:widowControl/>
        <w:spacing w:after="0"/>
        <w:ind w:left="720"/>
        <w:jc w:val="both"/>
        <w:rPr>
          <w:rFonts w:ascii="Times New Roman" w:hAnsi="Times New Roman"/>
          <w:i/>
          <w:sz w:val="28"/>
          <w:szCs w:val="28"/>
        </w:rPr>
      </w:pPr>
      <w:r>
        <w:rPr>
          <w:rFonts w:ascii="Times New Roman" w:hAnsi="Times New Roman"/>
          <w:i/>
          <w:sz w:val="28"/>
          <w:szCs w:val="28"/>
        </w:rPr>
        <w:t>5. That the First Respondent be ordered to take all reasonable steps to assist the Applicant in consolidating Erf 1310 and 1315, Aston Bay, Kouga Municipality, or to have same notarially linked;</w:t>
      </w:r>
    </w:p>
    <w:p w:rsidR="008D4BF6" w:rsidRPr="005C198F" w:rsidRDefault="008D4BF6" w:rsidP="005C198F">
      <w:pPr>
        <w:pStyle w:val="BodyTextIndent2"/>
        <w:widowControl/>
        <w:spacing w:after="0"/>
        <w:ind w:left="720"/>
        <w:jc w:val="both"/>
        <w:rPr>
          <w:rFonts w:ascii="Times New Roman" w:hAnsi="Times New Roman"/>
          <w:i/>
          <w:sz w:val="28"/>
          <w:szCs w:val="28"/>
        </w:rPr>
      </w:pPr>
      <w:r>
        <w:rPr>
          <w:rFonts w:ascii="Times New Roman" w:hAnsi="Times New Roman"/>
          <w:i/>
          <w:sz w:val="28"/>
          <w:szCs w:val="28"/>
        </w:rPr>
        <w:t xml:space="preserve">6. That the First Respondent be ordered to pay the costs of this application.” </w:t>
      </w:r>
    </w:p>
    <w:p w:rsidR="00F669E0" w:rsidRPr="00437E6F" w:rsidRDefault="00F669E0" w:rsidP="00D91058">
      <w:pPr>
        <w:pStyle w:val="BodyTextIndent2"/>
        <w:widowControl/>
        <w:spacing w:after="0"/>
        <w:ind w:left="0"/>
        <w:jc w:val="both"/>
        <w:rPr>
          <w:rFonts w:ascii="Times New Roman" w:hAnsi="Times New Roman"/>
          <w:b/>
          <w:sz w:val="28"/>
          <w:szCs w:val="28"/>
        </w:rPr>
      </w:pPr>
    </w:p>
    <w:p w:rsidR="00FB331A" w:rsidRPr="00437E6F" w:rsidRDefault="00F072E8" w:rsidP="00FB331A">
      <w:pPr>
        <w:pStyle w:val="BodyTextIndent2"/>
        <w:widowControl/>
        <w:spacing w:after="0"/>
        <w:ind w:left="0"/>
        <w:jc w:val="both"/>
        <w:rPr>
          <w:rFonts w:ascii="Times New Roman" w:hAnsi="Times New Roman"/>
          <w:sz w:val="28"/>
          <w:szCs w:val="28"/>
        </w:rPr>
      </w:pPr>
      <w:r w:rsidRPr="00437E6F">
        <w:rPr>
          <w:rFonts w:ascii="Times New Roman" w:hAnsi="Times New Roman"/>
          <w:sz w:val="28"/>
          <w:szCs w:val="28"/>
        </w:rPr>
        <w:t>[2]</w:t>
      </w:r>
      <w:r w:rsidRPr="00437E6F">
        <w:rPr>
          <w:rFonts w:ascii="Times New Roman" w:hAnsi="Times New Roman"/>
          <w:sz w:val="28"/>
          <w:szCs w:val="28"/>
        </w:rPr>
        <w:tab/>
      </w:r>
      <w:r w:rsidR="00722D37">
        <w:rPr>
          <w:rFonts w:ascii="Times New Roman" w:hAnsi="Times New Roman"/>
          <w:sz w:val="28"/>
          <w:szCs w:val="28"/>
        </w:rPr>
        <w:t>I deem</w:t>
      </w:r>
      <w:r w:rsidR="00F957D6">
        <w:rPr>
          <w:rFonts w:ascii="Times New Roman" w:hAnsi="Times New Roman"/>
          <w:sz w:val="28"/>
          <w:szCs w:val="28"/>
        </w:rPr>
        <w:t xml:space="preserve"> it apposite, a</w:t>
      </w:r>
      <w:r w:rsidR="000B6A11">
        <w:rPr>
          <w:rFonts w:ascii="Times New Roman" w:hAnsi="Times New Roman"/>
          <w:sz w:val="28"/>
          <w:szCs w:val="28"/>
        </w:rPr>
        <w:t xml:space="preserve">s a point of departure, </w:t>
      </w:r>
      <w:r w:rsidR="00722D37">
        <w:rPr>
          <w:rFonts w:ascii="Times New Roman" w:hAnsi="Times New Roman"/>
          <w:sz w:val="28"/>
          <w:szCs w:val="28"/>
        </w:rPr>
        <w:t>to look into</w:t>
      </w:r>
      <w:r w:rsidR="00F957D6">
        <w:rPr>
          <w:rFonts w:ascii="Times New Roman" w:hAnsi="Times New Roman"/>
          <w:sz w:val="28"/>
          <w:szCs w:val="28"/>
        </w:rPr>
        <w:t xml:space="preserve"> the history of</w:t>
      </w:r>
      <w:r w:rsidR="00722D37">
        <w:rPr>
          <w:rFonts w:ascii="Times New Roman" w:hAnsi="Times New Roman"/>
          <w:sz w:val="28"/>
          <w:szCs w:val="28"/>
        </w:rPr>
        <w:t xml:space="preserve"> the matter to give proper context</w:t>
      </w:r>
      <w:r w:rsidR="00F957D6">
        <w:rPr>
          <w:rFonts w:ascii="Times New Roman" w:hAnsi="Times New Roman"/>
          <w:sz w:val="28"/>
          <w:szCs w:val="28"/>
        </w:rPr>
        <w:t xml:space="preserve"> to th</w:t>
      </w:r>
      <w:r w:rsidR="00747D7D">
        <w:rPr>
          <w:rFonts w:ascii="Times New Roman" w:hAnsi="Times New Roman"/>
          <w:sz w:val="28"/>
          <w:szCs w:val="28"/>
        </w:rPr>
        <w:t>e application, which is highly</w:t>
      </w:r>
      <w:r w:rsidR="00F957D6">
        <w:rPr>
          <w:rFonts w:ascii="Times New Roman" w:hAnsi="Times New Roman"/>
          <w:sz w:val="28"/>
          <w:szCs w:val="28"/>
        </w:rPr>
        <w:t xml:space="preserve"> opposed by the first respondent. </w:t>
      </w:r>
    </w:p>
    <w:p w:rsidR="00AF0DAA" w:rsidRPr="00437E6F" w:rsidRDefault="00AF0DAA" w:rsidP="00960A0E">
      <w:pPr>
        <w:pStyle w:val="BodyTextIndent2"/>
        <w:widowControl/>
        <w:spacing w:after="0"/>
        <w:ind w:left="0"/>
        <w:jc w:val="both"/>
        <w:rPr>
          <w:rFonts w:ascii="Times New Roman" w:hAnsi="Times New Roman"/>
          <w:sz w:val="28"/>
          <w:szCs w:val="28"/>
        </w:rPr>
      </w:pPr>
    </w:p>
    <w:p w:rsidR="00DF203C" w:rsidRPr="00BD72C3" w:rsidRDefault="00F072E8" w:rsidP="00CD2897">
      <w:pPr>
        <w:pStyle w:val="BodyTextIndent2"/>
        <w:widowControl/>
        <w:spacing w:after="0"/>
        <w:ind w:left="0"/>
        <w:jc w:val="both"/>
        <w:rPr>
          <w:rFonts w:ascii="Times New Roman" w:hAnsi="Times New Roman"/>
          <w:sz w:val="28"/>
          <w:szCs w:val="28"/>
        </w:rPr>
      </w:pPr>
      <w:r w:rsidRPr="00437E6F">
        <w:rPr>
          <w:rFonts w:ascii="Times New Roman" w:hAnsi="Times New Roman"/>
          <w:sz w:val="28"/>
          <w:szCs w:val="28"/>
        </w:rPr>
        <w:t>[3]</w:t>
      </w:r>
      <w:r w:rsidRPr="00437E6F">
        <w:rPr>
          <w:rFonts w:ascii="Times New Roman" w:hAnsi="Times New Roman"/>
          <w:sz w:val="28"/>
          <w:szCs w:val="28"/>
        </w:rPr>
        <w:tab/>
      </w:r>
      <w:r w:rsidR="00F957D6">
        <w:rPr>
          <w:rFonts w:ascii="Times New Roman" w:hAnsi="Times New Roman"/>
          <w:sz w:val="28"/>
          <w:szCs w:val="28"/>
        </w:rPr>
        <w:t>The application was first launched in December 2021 by the applicant where it sought relief in terms of the prayers 1 to 3 as contained in the original notice of motion.</w:t>
      </w:r>
      <w:r w:rsidR="00715C9E">
        <w:rPr>
          <w:rStyle w:val="FootnoteReference"/>
          <w:rFonts w:ascii="Times New Roman" w:hAnsi="Times New Roman"/>
          <w:sz w:val="28"/>
          <w:szCs w:val="28"/>
        </w:rPr>
        <w:footnoteReference w:id="1"/>
      </w:r>
      <w:r w:rsidR="00F957D6">
        <w:rPr>
          <w:rFonts w:ascii="Times New Roman" w:hAnsi="Times New Roman"/>
          <w:sz w:val="28"/>
          <w:szCs w:val="28"/>
        </w:rPr>
        <w:t xml:space="preserve"> The first respondent, in opposing </w:t>
      </w:r>
      <w:r w:rsidR="00BD72C3">
        <w:rPr>
          <w:rFonts w:ascii="Times New Roman" w:hAnsi="Times New Roman"/>
          <w:sz w:val="28"/>
          <w:szCs w:val="28"/>
        </w:rPr>
        <w:t>the matter, delivered its answering</w:t>
      </w:r>
      <w:r w:rsidR="00F957D6">
        <w:rPr>
          <w:rFonts w:ascii="Times New Roman" w:hAnsi="Times New Roman"/>
          <w:sz w:val="28"/>
          <w:szCs w:val="28"/>
        </w:rPr>
        <w:t xml:space="preserve"> affidavit on 11 March 2022</w:t>
      </w:r>
      <w:r w:rsidR="00BD72C3">
        <w:rPr>
          <w:rFonts w:ascii="Times New Roman" w:hAnsi="Times New Roman"/>
          <w:sz w:val="28"/>
          <w:szCs w:val="28"/>
        </w:rPr>
        <w:t xml:space="preserve">. The applicant delivered a replying </w:t>
      </w:r>
      <w:r w:rsidR="00BD72C3">
        <w:rPr>
          <w:rFonts w:ascii="Times New Roman" w:hAnsi="Times New Roman"/>
          <w:sz w:val="28"/>
          <w:szCs w:val="28"/>
        </w:rPr>
        <w:lastRenderedPageBreak/>
        <w:t>affidavit on 14 April 2022, thereafter took no steps to bring the matter t</w:t>
      </w:r>
      <w:r w:rsidR="00722D37">
        <w:rPr>
          <w:rFonts w:ascii="Times New Roman" w:hAnsi="Times New Roman"/>
          <w:sz w:val="28"/>
          <w:szCs w:val="28"/>
        </w:rPr>
        <w:t>o finality</w:t>
      </w:r>
      <w:r w:rsidR="00BD72C3">
        <w:rPr>
          <w:rFonts w:ascii="Times New Roman" w:hAnsi="Times New Roman"/>
          <w:sz w:val="28"/>
          <w:szCs w:val="28"/>
        </w:rPr>
        <w:t xml:space="preserve"> by applying for a date of hearing.</w:t>
      </w:r>
    </w:p>
    <w:p w:rsidR="00FB331A" w:rsidRPr="00437E6F" w:rsidRDefault="00FB331A" w:rsidP="00960A0E">
      <w:pPr>
        <w:pStyle w:val="BodyTextIndent2"/>
        <w:widowControl/>
        <w:spacing w:after="0"/>
        <w:ind w:left="0"/>
        <w:jc w:val="both"/>
        <w:rPr>
          <w:rFonts w:ascii="Times New Roman" w:hAnsi="Times New Roman"/>
          <w:sz w:val="28"/>
          <w:szCs w:val="28"/>
        </w:rPr>
      </w:pPr>
    </w:p>
    <w:p w:rsidR="00C57237" w:rsidRDefault="00F072E8" w:rsidP="00E07A2C">
      <w:pPr>
        <w:pStyle w:val="BodyTextIndent2"/>
        <w:widowControl/>
        <w:spacing w:after="0"/>
        <w:ind w:left="70"/>
        <w:jc w:val="both"/>
        <w:rPr>
          <w:rFonts w:ascii="Times New Roman" w:hAnsi="Times New Roman"/>
          <w:sz w:val="28"/>
          <w:szCs w:val="28"/>
        </w:rPr>
      </w:pPr>
      <w:r w:rsidRPr="00437E6F">
        <w:rPr>
          <w:rFonts w:ascii="Times New Roman" w:hAnsi="Times New Roman"/>
          <w:sz w:val="28"/>
          <w:szCs w:val="28"/>
        </w:rPr>
        <w:t>[4]</w:t>
      </w:r>
      <w:r w:rsidRPr="00437E6F">
        <w:rPr>
          <w:rFonts w:ascii="Times New Roman" w:hAnsi="Times New Roman"/>
          <w:sz w:val="28"/>
          <w:szCs w:val="28"/>
        </w:rPr>
        <w:tab/>
      </w:r>
      <w:r w:rsidR="00722D37">
        <w:rPr>
          <w:rFonts w:ascii="Times New Roman" w:hAnsi="Times New Roman"/>
          <w:sz w:val="28"/>
          <w:szCs w:val="28"/>
        </w:rPr>
        <w:t xml:space="preserve">Seeing no movement on the part of the applicant, </w:t>
      </w:r>
      <w:r w:rsidR="00BD72C3">
        <w:rPr>
          <w:rFonts w:ascii="Times New Roman" w:hAnsi="Times New Roman"/>
          <w:sz w:val="28"/>
          <w:szCs w:val="28"/>
        </w:rPr>
        <w:t>the first respondent</w:t>
      </w:r>
      <w:r w:rsidR="00722D37">
        <w:rPr>
          <w:rFonts w:ascii="Times New Roman" w:hAnsi="Times New Roman"/>
          <w:sz w:val="28"/>
          <w:szCs w:val="28"/>
        </w:rPr>
        <w:t xml:space="preserve"> ultimately</w:t>
      </w:r>
      <w:r w:rsidR="00BD72C3">
        <w:rPr>
          <w:rFonts w:ascii="Times New Roman" w:hAnsi="Times New Roman"/>
          <w:sz w:val="28"/>
          <w:szCs w:val="28"/>
        </w:rPr>
        <w:t xml:space="preserve"> had the matter set down for hearing, initially on 13 April 2023 and by agreement moved to 20 April 2023. On 27 March 2023 the applicant delivered a </w:t>
      </w:r>
      <w:r w:rsidR="009C4A48">
        <w:rPr>
          <w:rFonts w:ascii="Times New Roman" w:hAnsi="Times New Roman"/>
          <w:sz w:val="28"/>
          <w:szCs w:val="28"/>
        </w:rPr>
        <w:t>notice of its intention to amend</w:t>
      </w:r>
      <w:r w:rsidR="00BD72C3">
        <w:rPr>
          <w:rFonts w:ascii="Times New Roman" w:hAnsi="Times New Roman"/>
          <w:sz w:val="28"/>
          <w:szCs w:val="28"/>
        </w:rPr>
        <w:t xml:space="preserve"> the notice of </w:t>
      </w:r>
      <w:r w:rsidR="009C4A48">
        <w:rPr>
          <w:rFonts w:ascii="Times New Roman" w:hAnsi="Times New Roman"/>
          <w:sz w:val="28"/>
          <w:szCs w:val="28"/>
        </w:rPr>
        <w:t xml:space="preserve">motion. This amendment, though not strongly opposed, was not by agreement, but the matter was argued on the basis of </w:t>
      </w:r>
      <w:r w:rsidR="007E4A3C">
        <w:rPr>
          <w:rFonts w:ascii="Times New Roman" w:hAnsi="Times New Roman"/>
          <w:sz w:val="28"/>
          <w:szCs w:val="28"/>
        </w:rPr>
        <w:t xml:space="preserve">both </w:t>
      </w:r>
      <w:r w:rsidR="009C4A48">
        <w:rPr>
          <w:rFonts w:ascii="Times New Roman" w:hAnsi="Times New Roman"/>
          <w:sz w:val="28"/>
          <w:szCs w:val="28"/>
        </w:rPr>
        <w:t xml:space="preserve">the amended </w:t>
      </w:r>
      <w:r w:rsidR="007E4A3C">
        <w:rPr>
          <w:rFonts w:ascii="Times New Roman" w:hAnsi="Times New Roman"/>
          <w:sz w:val="28"/>
          <w:szCs w:val="28"/>
        </w:rPr>
        <w:t>and the original notice of motion, in anticipation of the envisaged amendment.</w:t>
      </w:r>
    </w:p>
    <w:p w:rsidR="00722D37" w:rsidRDefault="00722D37" w:rsidP="00E07A2C">
      <w:pPr>
        <w:pStyle w:val="BodyTextIndent2"/>
        <w:widowControl/>
        <w:spacing w:after="0"/>
        <w:ind w:left="70"/>
        <w:jc w:val="both"/>
        <w:rPr>
          <w:rFonts w:ascii="Times New Roman" w:hAnsi="Times New Roman"/>
          <w:sz w:val="28"/>
          <w:szCs w:val="28"/>
        </w:rPr>
      </w:pPr>
    </w:p>
    <w:p w:rsidR="00722D37" w:rsidRPr="00012C0B" w:rsidRDefault="007E4A3C" w:rsidP="00E07A2C">
      <w:pPr>
        <w:pStyle w:val="BodyTextIndent2"/>
        <w:widowControl/>
        <w:spacing w:after="0"/>
        <w:ind w:left="70"/>
        <w:jc w:val="both"/>
        <w:rPr>
          <w:rFonts w:ascii="Times New Roman" w:hAnsi="Times New Roman"/>
          <w:b/>
          <w:sz w:val="28"/>
          <w:szCs w:val="28"/>
        </w:rPr>
      </w:pPr>
      <w:r>
        <w:rPr>
          <w:rFonts w:ascii="Times New Roman" w:hAnsi="Times New Roman"/>
          <w:b/>
          <w:sz w:val="28"/>
          <w:szCs w:val="28"/>
        </w:rPr>
        <w:t>THE FACTUAL BACKGROUND</w:t>
      </w:r>
    </w:p>
    <w:p w:rsidR="00BD72C3" w:rsidRPr="00437E6F" w:rsidRDefault="00BD72C3" w:rsidP="00E07A2C">
      <w:pPr>
        <w:pStyle w:val="BodyTextIndent2"/>
        <w:widowControl/>
        <w:spacing w:after="0"/>
        <w:ind w:left="70"/>
        <w:jc w:val="both"/>
        <w:rPr>
          <w:rFonts w:ascii="Times New Roman" w:hAnsi="Times New Roman"/>
          <w:sz w:val="28"/>
          <w:szCs w:val="28"/>
        </w:rPr>
      </w:pPr>
    </w:p>
    <w:p w:rsidR="00C57237" w:rsidRPr="00437E6F" w:rsidRDefault="00164C6C" w:rsidP="00E07A2C">
      <w:pPr>
        <w:pStyle w:val="BodyTextIndent2"/>
        <w:widowControl/>
        <w:spacing w:after="0"/>
        <w:ind w:left="7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6C5B58">
        <w:rPr>
          <w:rFonts w:ascii="Times New Roman" w:hAnsi="Times New Roman"/>
          <w:sz w:val="28"/>
          <w:szCs w:val="28"/>
        </w:rPr>
        <w:t xml:space="preserve">The facts of the matter are largely common cause. </w:t>
      </w:r>
      <w:r w:rsidR="00ED3965">
        <w:rPr>
          <w:rFonts w:ascii="Times New Roman" w:hAnsi="Times New Roman"/>
          <w:sz w:val="28"/>
          <w:szCs w:val="28"/>
        </w:rPr>
        <w:t>The first respondent is the Marina Martinique Home owners association NPC, a home owner’s association with its primary object being ‘to represent the interests of its members as a collective and to do all things necessary to preserve, maintain, improve, and protect the Marina in the interest of its members and in so doing to undertake the proper management of the association.’</w:t>
      </w:r>
      <w:r w:rsidR="00ED3965">
        <w:rPr>
          <w:rStyle w:val="FootnoteReference"/>
          <w:rFonts w:ascii="Times New Roman" w:hAnsi="Times New Roman"/>
          <w:sz w:val="28"/>
          <w:szCs w:val="28"/>
        </w:rPr>
        <w:footnoteReference w:id="2"/>
      </w:r>
      <w:r w:rsidR="00ED3965">
        <w:rPr>
          <w:rFonts w:ascii="Times New Roman" w:hAnsi="Times New Roman"/>
          <w:sz w:val="28"/>
          <w:szCs w:val="28"/>
        </w:rPr>
        <w:t xml:space="preserve"> </w:t>
      </w:r>
    </w:p>
    <w:p w:rsidR="000F5219" w:rsidRPr="00437E6F" w:rsidRDefault="000F5219" w:rsidP="00C57237">
      <w:pPr>
        <w:pStyle w:val="BodyTextIndent2"/>
        <w:widowControl/>
        <w:spacing w:after="0"/>
        <w:ind w:left="0"/>
        <w:jc w:val="both"/>
        <w:rPr>
          <w:rFonts w:ascii="Times New Roman" w:hAnsi="Times New Roman"/>
          <w:sz w:val="28"/>
          <w:szCs w:val="28"/>
        </w:rPr>
      </w:pPr>
      <w:r w:rsidRPr="00437E6F">
        <w:rPr>
          <w:rFonts w:ascii="Times New Roman" w:hAnsi="Times New Roman"/>
          <w:sz w:val="28"/>
          <w:szCs w:val="28"/>
        </w:rPr>
        <w:tab/>
      </w:r>
    </w:p>
    <w:p w:rsidR="00FF7C1C" w:rsidRDefault="00DF203C" w:rsidP="00A13CD6">
      <w:pPr>
        <w:pStyle w:val="BodyTextIndent2"/>
        <w:widowControl/>
        <w:spacing w:after="0"/>
        <w:ind w:left="0"/>
        <w:jc w:val="both"/>
        <w:rPr>
          <w:rFonts w:ascii="Times New Roman" w:hAnsi="Times New Roman"/>
          <w:sz w:val="28"/>
          <w:szCs w:val="28"/>
        </w:rPr>
      </w:pPr>
      <w:r w:rsidRPr="00437E6F">
        <w:rPr>
          <w:rFonts w:ascii="Times New Roman" w:hAnsi="Times New Roman"/>
          <w:sz w:val="28"/>
          <w:szCs w:val="28"/>
        </w:rPr>
        <w:lastRenderedPageBreak/>
        <w:t>[6</w:t>
      </w:r>
      <w:r w:rsidR="00F072E8" w:rsidRPr="00437E6F">
        <w:rPr>
          <w:rFonts w:ascii="Times New Roman" w:hAnsi="Times New Roman"/>
          <w:sz w:val="28"/>
          <w:szCs w:val="28"/>
        </w:rPr>
        <w:t>]</w:t>
      </w:r>
      <w:r w:rsidRPr="00437E6F">
        <w:rPr>
          <w:rFonts w:ascii="Times New Roman" w:hAnsi="Times New Roman"/>
          <w:sz w:val="28"/>
          <w:szCs w:val="28"/>
        </w:rPr>
        <w:tab/>
      </w:r>
      <w:r w:rsidR="00067475">
        <w:rPr>
          <w:rFonts w:ascii="Times New Roman" w:hAnsi="Times New Roman"/>
          <w:sz w:val="28"/>
          <w:szCs w:val="28"/>
        </w:rPr>
        <w:t>The objects and powers of the first respondent are contained within its Memorandum of Incorporation and include under clause 4.2.3, the power to manage all services forming part of the Marina Martinique, including roads.</w:t>
      </w:r>
      <w:r w:rsidR="00067475">
        <w:rPr>
          <w:rStyle w:val="FootnoteReference"/>
          <w:rFonts w:ascii="Times New Roman" w:hAnsi="Times New Roman"/>
          <w:sz w:val="28"/>
          <w:szCs w:val="28"/>
        </w:rPr>
        <w:footnoteReference w:id="3"/>
      </w:r>
    </w:p>
    <w:p w:rsidR="00FF7C1C" w:rsidRDefault="00FF7C1C" w:rsidP="00A13CD6">
      <w:pPr>
        <w:pStyle w:val="BodyTextIndent2"/>
        <w:widowControl/>
        <w:spacing w:after="0"/>
        <w:ind w:left="0"/>
        <w:jc w:val="both"/>
        <w:rPr>
          <w:rFonts w:ascii="Times New Roman" w:hAnsi="Times New Roman"/>
          <w:sz w:val="28"/>
          <w:szCs w:val="28"/>
        </w:rPr>
      </w:pPr>
    </w:p>
    <w:p w:rsidR="00D14D4C" w:rsidRPr="00747D7D" w:rsidRDefault="00FF7C1C" w:rsidP="00D14D4C">
      <w:pPr>
        <w:pStyle w:val="BodyTextIndent2"/>
        <w:widowControl/>
        <w:spacing w:after="0"/>
        <w:ind w:left="7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D14D4C">
        <w:rPr>
          <w:rFonts w:ascii="Times New Roman" w:hAnsi="Times New Roman"/>
          <w:sz w:val="28"/>
          <w:szCs w:val="28"/>
        </w:rPr>
        <w:t>The Marina Martinique is a development which was established as a separate township</w:t>
      </w:r>
      <w:r w:rsidR="003C009C">
        <w:rPr>
          <w:rFonts w:ascii="Times New Roman" w:hAnsi="Times New Roman"/>
          <w:sz w:val="28"/>
          <w:szCs w:val="28"/>
        </w:rPr>
        <w:t xml:space="preserve"> </w:t>
      </w:r>
      <w:r w:rsidR="00D14D4C">
        <w:rPr>
          <w:rFonts w:ascii="Times New Roman" w:hAnsi="Times New Roman"/>
          <w:sz w:val="28"/>
          <w:szCs w:val="28"/>
        </w:rPr>
        <w:t xml:space="preserve">(the Marina) by the subdivision of the original Erf 856 Aston Bay. </w:t>
      </w:r>
      <w:r w:rsidR="003C009C">
        <w:rPr>
          <w:rFonts w:ascii="Times New Roman" w:hAnsi="Times New Roman"/>
          <w:sz w:val="28"/>
          <w:szCs w:val="28"/>
        </w:rPr>
        <w:t xml:space="preserve"> It constitutes</w:t>
      </w:r>
      <w:r w:rsidR="00D14D4C">
        <w:rPr>
          <w:rFonts w:ascii="Times New Roman" w:hAnsi="Times New Roman"/>
          <w:sz w:val="28"/>
          <w:szCs w:val="28"/>
        </w:rPr>
        <w:t xml:space="preserve"> a cluster housing scheme</w:t>
      </w:r>
      <w:r w:rsidR="003C009C">
        <w:rPr>
          <w:rFonts w:ascii="Times New Roman" w:hAnsi="Times New Roman"/>
          <w:sz w:val="28"/>
          <w:szCs w:val="28"/>
        </w:rPr>
        <w:t xml:space="preserve"> arranged around canals</w:t>
      </w:r>
      <w:r w:rsidR="00D14D4C">
        <w:rPr>
          <w:rFonts w:ascii="Times New Roman" w:hAnsi="Times New Roman"/>
          <w:sz w:val="28"/>
          <w:szCs w:val="28"/>
        </w:rPr>
        <w:t>.</w:t>
      </w:r>
      <w:r w:rsidR="00D14D4C">
        <w:rPr>
          <w:rStyle w:val="FootnoteReference"/>
          <w:rFonts w:ascii="Times New Roman" w:hAnsi="Times New Roman"/>
          <w:sz w:val="28"/>
          <w:szCs w:val="28"/>
        </w:rPr>
        <w:footnoteReference w:id="4"/>
      </w:r>
      <w:r w:rsidR="003C009C">
        <w:rPr>
          <w:rFonts w:ascii="Times New Roman" w:hAnsi="Times New Roman"/>
          <w:sz w:val="28"/>
          <w:szCs w:val="28"/>
        </w:rPr>
        <w:t xml:space="preserve"> The individ</w:t>
      </w:r>
      <w:r w:rsidR="00706BFF">
        <w:rPr>
          <w:rFonts w:ascii="Times New Roman" w:hAnsi="Times New Roman"/>
          <w:sz w:val="28"/>
          <w:szCs w:val="28"/>
        </w:rPr>
        <w:t>ual cadastral erven within the M</w:t>
      </w:r>
      <w:r w:rsidR="003C009C">
        <w:rPr>
          <w:rFonts w:ascii="Times New Roman" w:hAnsi="Times New Roman"/>
          <w:sz w:val="28"/>
          <w:szCs w:val="28"/>
        </w:rPr>
        <w:t>arina were uniformly zoned for single residential purposes except for the area that was rezoned for sectional title apartments. When the subdivision establishing the Marina was given effect to by the initial transfe</w:t>
      </w:r>
      <w:r w:rsidR="007E4A3C">
        <w:rPr>
          <w:rFonts w:ascii="Times New Roman" w:hAnsi="Times New Roman"/>
          <w:sz w:val="28"/>
          <w:szCs w:val="28"/>
        </w:rPr>
        <w:t>r of individual erven to buyers;</w:t>
      </w:r>
      <w:r w:rsidR="003C009C">
        <w:rPr>
          <w:rFonts w:ascii="Times New Roman" w:hAnsi="Times New Roman"/>
          <w:sz w:val="28"/>
          <w:szCs w:val="28"/>
        </w:rPr>
        <w:t xml:space="preserve"> the roads, open spaces and canals were transferred to Kouga municipality.</w:t>
      </w:r>
      <w:r w:rsidR="005F7FCF">
        <w:rPr>
          <w:rFonts w:ascii="Times New Roman" w:hAnsi="Times New Roman"/>
          <w:sz w:val="28"/>
          <w:szCs w:val="28"/>
        </w:rPr>
        <w:t xml:space="preserve"> </w:t>
      </w:r>
      <w:r w:rsidR="005F7FCF" w:rsidRPr="00747D7D">
        <w:rPr>
          <w:rFonts w:ascii="Times New Roman" w:hAnsi="Times New Roman"/>
          <w:sz w:val="28"/>
          <w:szCs w:val="28"/>
        </w:rPr>
        <w:t>It was however, a condition of the approval of the subdivis</w:t>
      </w:r>
      <w:r w:rsidR="00881996" w:rsidRPr="00747D7D">
        <w:rPr>
          <w:rFonts w:ascii="Times New Roman" w:hAnsi="Times New Roman"/>
          <w:sz w:val="28"/>
          <w:szCs w:val="28"/>
        </w:rPr>
        <w:t>ion establishing the M</w:t>
      </w:r>
      <w:r w:rsidR="005F7FCF" w:rsidRPr="00747D7D">
        <w:rPr>
          <w:rFonts w:ascii="Times New Roman" w:hAnsi="Times New Roman"/>
          <w:sz w:val="28"/>
          <w:szCs w:val="28"/>
        </w:rPr>
        <w:t>arina that initially the developer and thereafter the first respondent would be responsible for constructing and maintaining them.</w:t>
      </w:r>
      <w:r w:rsidR="002E4BC4" w:rsidRPr="00747D7D">
        <w:rPr>
          <w:rStyle w:val="FootnoteReference"/>
          <w:rFonts w:ascii="Times New Roman" w:hAnsi="Times New Roman"/>
          <w:sz w:val="28"/>
          <w:szCs w:val="28"/>
        </w:rPr>
        <w:footnoteReference w:id="5"/>
      </w:r>
    </w:p>
    <w:p w:rsidR="00A13CD6" w:rsidRPr="00437E6F" w:rsidRDefault="003F193B" w:rsidP="009E7CD1">
      <w:pPr>
        <w:pStyle w:val="BodyTextIndent2"/>
        <w:widowControl/>
        <w:spacing w:after="0"/>
        <w:ind w:left="1440" w:hanging="720"/>
        <w:jc w:val="both"/>
        <w:rPr>
          <w:rFonts w:ascii="Times New Roman" w:hAnsi="Times New Roman"/>
          <w:i/>
          <w:sz w:val="28"/>
          <w:szCs w:val="28"/>
        </w:rPr>
      </w:pPr>
      <w:r w:rsidRPr="00437E6F">
        <w:rPr>
          <w:rFonts w:ascii="Times New Roman" w:hAnsi="Times New Roman"/>
          <w:i/>
          <w:sz w:val="28"/>
          <w:szCs w:val="28"/>
        </w:rPr>
        <w:tab/>
      </w:r>
    </w:p>
    <w:p w:rsidR="00D310E7" w:rsidRPr="00437E6F" w:rsidRDefault="00FF7C1C" w:rsidP="00D310E7">
      <w:pPr>
        <w:pStyle w:val="BodyTextIndent2"/>
        <w:widowControl/>
        <w:spacing w:after="0"/>
        <w:ind w:left="0"/>
        <w:jc w:val="both"/>
        <w:rPr>
          <w:rFonts w:ascii="Times New Roman" w:hAnsi="Times New Roman"/>
          <w:sz w:val="28"/>
          <w:szCs w:val="28"/>
        </w:rPr>
      </w:pPr>
      <w:r>
        <w:rPr>
          <w:rFonts w:ascii="Times New Roman" w:hAnsi="Times New Roman"/>
          <w:sz w:val="28"/>
          <w:szCs w:val="28"/>
        </w:rPr>
        <w:t>[8</w:t>
      </w:r>
      <w:r w:rsidR="00F072E8" w:rsidRPr="00437E6F">
        <w:rPr>
          <w:rFonts w:ascii="Times New Roman" w:hAnsi="Times New Roman"/>
          <w:sz w:val="28"/>
          <w:szCs w:val="28"/>
        </w:rPr>
        <w:t>]</w:t>
      </w:r>
      <w:r w:rsidR="00F072E8" w:rsidRPr="00437E6F">
        <w:rPr>
          <w:rFonts w:ascii="Times New Roman" w:hAnsi="Times New Roman"/>
          <w:sz w:val="28"/>
          <w:szCs w:val="28"/>
        </w:rPr>
        <w:tab/>
      </w:r>
      <w:r w:rsidR="00D310E7">
        <w:rPr>
          <w:rFonts w:ascii="Times New Roman" w:hAnsi="Times New Roman"/>
          <w:sz w:val="28"/>
          <w:szCs w:val="28"/>
        </w:rPr>
        <w:t>The applicant was the developer of</w:t>
      </w:r>
      <w:r w:rsidR="007E4A3C">
        <w:rPr>
          <w:rFonts w:ascii="Times New Roman" w:hAnsi="Times New Roman"/>
          <w:sz w:val="28"/>
          <w:szCs w:val="28"/>
        </w:rPr>
        <w:t xml:space="preserve"> Aruba, such development being e</w:t>
      </w:r>
      <w:r w:rsidR="00D310E7">
        <w:rPr>
          <w:rFonts w:ascii="Times New Roman" w:hAnsi="Times New Roman"/>
          <w:sz w:val="28"/>
          <w:szCs w:val="28"/>
        </w:rPr>
        <w:t>rf 1315 and situated in Marina Martinique.</w:t>
      </w:r>
      <w:r w:rsidR="00AD1308">
        <w:rPr>
          <w:rStyle w:val="FootnoteReference"/>
          <w:rFonts w:ascii="Times New Roman" w:hAnsi="Times New Roman"/>
          <w:sz w:val="28"/>
          <w:szCs w:val="28"/>
        </w:rPr>
        <w:footnoteReference w:id="6"/>
      </w:r>
      <w:r w:rsidR="00D310E7">
        <w:rPr>
          <w:rFonts w:ascii="Times New Roman" w:hAnsi="Times New Roman"/>
          <w:sz w:val="28"/>
          <w:szCs w:val="28"/>
        </w:rPr>
        <w:t xml:space="preserve"> During 2005 the applicant </w:t>
      </w:r>
      <w:r w:rsidR="007E4A3C">
        <w:rPr>
          <w:rFonts w:ascii="Times New Roman" w:hAnsi="Times New Roman"/>
          <w:sz w:val="28"/>
          <w:szCs w:val="28"/>
        </w:rPr>
        <w:t xml:space="preserve">became the </w:t>
      </w:r>
      <w:r w:rsidR="007E4A3C">
        <w:rPr>
          <w:rFonts w:ascii="Times New Roman" w:hAnsi="Times New Roman"/>
          <w:sz w:val="28"/>
          <w:szCs w:val="28"/>
        </w:rPr>
        <w:lastRenderedPageBreak/>
        <w:t>registered owner of e</w:t>
      </w:r>
      <w:r w:rsidR="00D310E7">
        <w:rPr>
          <w:rFonts w:ascii="Times New Roman" w:hAnsi="Times New Roman"/>
          <w:sz w:val="28"/>
          <w:szCs w:val="28"/>
        </w:rPr>
        <w:t>rf 1310 situate at the Marina Martinique.</w:t>
      </w:r>
      <w:r w:rsidR="00AD1308">
        <w:rPr>
          <w:rStyle w:val="FootnoteReference"/>
          <w:rFonts w:ascii="Times New Roman" w:hAnsi="Times New Roman"/>
          <w:sz w:val="28"/>
          <w:szCs w:val="28"/>
        </w:rPr>
        <w:footnoteReference w:id="7"/>
      </w:r>
      <w:r w:rsidR="00D310E7">
        <w:rPr>
          <w:rFonts w:ascii="Times New Roman" w:hAnsi="Times New Roman"/>
          <w:sz w:val="28"/>
          <w:szCs w:val="28"/>
        </w:rPr>
        <w:t xml:space="preserve"> The intention</w:t>
      </w:r>
      <w:r w:rsidR="007E4A3C">
        <w:rPr>
          <w:rFonts w:ascii="Times New Roman" w:hAnsi="Times New Roman"/>
          <w:sz w:val="28"/>
          <w:szCs w:val="28"/>
        </w:rPr>
        <w:t xml:space="preserve"> of the applicant was to incorporate erf 1310 into e</w:t>
      </w:r>
      <w:r w:rsidR="00D310E7">
        <w:rPr>
          <w:rFonts w:ascii="Times New Roman" w:hAnsi="Times New Roman"/>
          <w:sz w:val="28"/>
          <w:szCs w:val="28"/>
        </w:rPr>
        <w:t>rf 13</w:t>
      </w:r>
      <w:r w:rsidR="007E4A3C">
        <w:rPr>
          <w:rFonts w:ascii="Times New Roman" w:hAnsi="Times New Roman"/>
          <w:sz w:val="28"/>
          <w:szCs w:val="28"/>
        </w:rPr>
        <w:t>15 with the ultimate goal that e</w:t>
      </w:r>
      <w:r w:rsidR="00D310E7">
        <w:rPr>
          <w:rFonts w:ascii="Times New Roman" w:hAnsi="Times New Roman"/>
          <w:sz w:val="28"/>
          <w:szCs w:val="28"/>
        </w:rPr>
        <w:t>rf 1310 would become part of Aruba and carports would be built thereon which would, after the consolidation of the erven, serv</w:t>
      </w:r>
      <w:r w:rsidR="007E4A3C">
        <w:rPr>
          <w:rFonts w:ascii="Times New Roman" w:hAnsi="Times New Roman"/>
          <w:sz w:val="28"/>
          <w:szCs w:val="28"/>
        </w:rPr>
        <w:t>e the sectional title units on e</w:t>
      </w:r>
      <w:r w:rsidR="00D310E7">
        <w:rPr>
          <w:rFonts w:ascii="Times New Roman" w:hAnsi="Times New Roman"/>
          <w:sz w:val="28"/>
          <w:szCs w:val="28"/>
        </w:rPr>
        <w:t>rf 1315.</w:t>
      </w:r>
    </w:p>
    <w:p w:rsidR="008C18E0" w:rsidRPr="00437E6F" w:rsidRDefault="008C18E0" w:rsidP="00F013DC">
      <w:pPr>
        <w:pStyle w:val="BodyTextIndent2"/>
        <w:widowControl/>
        <w:spacing w:after="0"/>
        <w:ind w:left="0"/>
        <w:jc w:val="both"/>
        <w:rPr>
          <w:rFonts w:ascii="Times New Roman" w:hAnsi="Times New Roman"/>
          <w:b/>
          <w:sz w:val="28"/>
          <w:szCs w:val="28"/>
        </w:rPr>
      </w:pPr>
    </w:p>
    <w:p w:rsidR="00385454" w:rsidRPr="00437E6F" w:rsidRDefault="00FF7C1C" w:rsidP="00960A0E">
      <w:pPr>
        <w:pStyle w:val="BodyTextIndent2"/>
        <w:widowControl/>
        <w:spacing w:after="0"/>
        <w:ind w:left="0"/>
        <w:jc w:val="both"/>
        <w:rPr>
          <w:rFonts w:ascii="Times New Roman" w:hAnsi="Times New Roman"/>
          <w:sz w:val="28"/>
          <w:szCs w:val="28"/>
        </w:rPr>
      </w:pPr>
      <w:r>
        <w:rPr>
          <w:rFonts w:ascii="Times New Roman" w:hAnsi="Times New Roman"/>
          <w:sz w:val="28"/>
          <w:szCs w:val="28"/>
        </w:rPr>
        <w:t>[9</w:t>
      </w:r>
      <w:r w:rsidR="00DF06B0" w:rsidRPr="00437E6F">
        <w:rPr>
          <w:rFonts w:ascii="Times New Roman" w:hAnsi="Times New Roman"/>
          <w:sz w:val="28"/>
          <w:szCs w:val="28"/>
        </w:rPr>
        <w:t>]</w:t>
      </w:r>
      <w:r w:rsidR="00DF06B0" w:rsidRPr="00437E6F">
        <w:rPr>
          <w:rFonts w:ascii="Times New Roman" w:hAnsi="Times New Roman"/>
          <w:sz w:val="28"/>
          <w:szCs w:val="28"/>
        </w:rPr>
        <w:tab/>
      </w:r>
      <w:r w:rsidR="007E4A3C">
        <w:rPr>
          <w:rFonts w:ascii="Times New Roman" w:hAnsi="Times New Roman"/>
          <w:sz w:val="28"/>
          <w:szCs w:val="28"/>
        </w:rPr>
        <w:t>As e</w:t>
      </w:r>
      <w:r w:rsidR="00600786">
        <w:rPr>
          <w:rFonts w:ascii="Times New Roman" w:hAnsi="Times New Roman"/>
          <w:sz w:val="28"/>
          <w:szCs w:val="28"/>
        </w:rPr>
        <w:t>rf 1310 and 1315 were not contiguous</w:t>
      </w:r>
      <w:r w:rsidR="00EA740C">
        <w:rPr>
          <w:rFonts w:ascii="Times New Roman" w:hAnsi="Times New Roman"/>
          <w:sz w:val="28"/>
          <w:szCs w:val="28"/>
        </w:rPr>
        <w:t xml:space="preserve"> to each other</w:t>
      </w:r>
      <w:r w:rsidR="00600786">
        <w:rPr>
          <w:rFonts w:ascii="Times New Roman" w:hAnsi="Times New Roman"/>
          <w:sz w:val="28"/>
          <w:szCs w:val="28"/>
        </w:rPr>
        <w:t xml:space="preserve">, </w:t>
      </w:r>
      <w:r w:rsidR="00EA740C">
        <w:rPr>
          <w:rFonts w:ascii="Times New Roman" w:hAnsi="Times New Roman"/>
          <w:sz w:val="28"/>
          <w:szCs w:val="28"/>
        </w:rPr>
        <w:t xml:space="preserve">as </w:t>
      </w:r>
      <w:r w:rsidR="00600786">
        <w:rPr>
          <w:rFonts w:ascii="Times New Roman" w:hAnsi="Times New Roman"/>
          <w:sz w:val="28"/>
          <w:szCs w:val="28"/>
        </w:rPr>
        <w:t>they were separated by a road</w:t>
      </w:r>
      <w:r w:rsidR="007E4A3C">
        <w:rPr>
          <w:rFonts w:ascii="Times New Roman" w:hAnsi="Times New Roman"/>
          <w:sz w:val="28"/>
          <w:szCs w:val="28"/>
        </w:rPr>
        <w:t>, the planned incorporation of e</w:t>
      </w:r>
      <w:r w:rsidR="00600786">
        <w:rPr>
          <w:rFonts w:ascii="Times New Roman" w:hAnsi="Times New Roman"/>
          <w:sz w:val="28"/>
          <w:szCs w:val="28"/>
        </w:rPr>
        <w:t xml:space="preserve">rf 1310 for the purpose of constructing carports for use in Aruba would require a series of sub-divisions and </w:t>
      </w:r>
      <w:r w:rsidR="007E4A3C">
        <w:rPr>
          <w:rFonts w:ascii="Times New Roman" w:hAnsi="Times New Roman"/>
          <w:sz w:val="28"/>
          <w:szCs w:val="28"/>
        </w:rPr>
        <w:t>rezoning’s</w:t>
      </w:r>
      <w:r w:rsidR="00DF06B0" w:rsidRPr="00437E6F">
        <w:rPr>
          <w:rFonts w:ascii="Times New Roman" w:hAnsi="Times New Roman"/>
          <w:sz w:val="28"/>
          <w:szCs w:val="28"/>
        </w:rPr>
        <w:t xml:space="preserve"> </w:t>
      </w:r>
      <w:r w:rsidR="00600786">
        <w:rPr>
          <w:rFonts w:ascii="Times New Roman" w:hAnsi="Times New Roman"/>
          <w:sz w:val="28"/>
          <w:szCs w:val="28"/>
        </w:rPr>
        <w:t>primarily due to the fact that the road portion, and all roads in the Marina M</w:t>
      </w:r>
      <w:r w:rsidR="007E4A3C">
        <w:rPr>
          <w:rFonts w:ascii="Times New Roman" w:hAnsi="Times New Roman"/>
          <w:sz w:val="28"/>
          <w:szCs w:val="28"/>
        </w:rPr>
        <w:t>artinique, were constituted as e</w:t>
      </w:r>
      <w:r w:rsidR="00600786">
        <w:rPr>
          <w:rFonts w:ascii="Times New Roman" w:hAnsi="Times New Roman"/>
          <w:sz w:val="28"/>
          <w:szCs w:val="28"/>
        </w:rPr>
        <w:t>rf</w:t>
      </w:r>
      <w:r w:rsidR="00AA61A9">
        <w:rPr>
          <w:rFonts w:ascii="Times New Roman" w:hAnsi="Times New Roman"/>
          <w:sz w:val="28"/>
          <w:szCs w:val="28"/>
        </w:rPr>
        <w:t xml:space="preserve"> 1021 and owned by Kouga Munici</w:t>
      </w:r>
      <w:r w:rsidR="00600786">
        <w:rPr>
          <w:rFonts w:ascii="Times New Roman" w:hAnsi="Times New Roman"/>
          <w:sz w:val="28"/>
          <w:szCs w:val="28"/>
        </w:rPr>
        <w:t>pality.</w:t>
      </w:r>
      <w:r w:rsidR="00600786">
        <w:rPr>
          <w:rStyle w:val="FootnoteReference"/>
          <w:rFonts w:ascii="Times New Roman" w:hAnsi="Times New Roman"/>
          <w:sz w:val="28"/>
          <w:szCs w:val="28"/>
        </w:rPr>
        <w:footnoteReference w:id="8"/>
      </w:r>
    </w:p>
    <w:p w:rsidR="003E5483" w:rsidRPr="00437E6F" w:rsidRDefault="003E5483" w:rsidP="00960A0E">
      <w:pPr>
        <w:pStyle w:val="BodyTextIndent2"/>
        <w:widowControl/>
        <w:spacing w:after="0"/>
        <w:ind w:left="0"/>
        <w:jc w:val="both"/>
        <w:rPr>
          <w:rFonts w:ascii="Times New Roman" w:hAnsi="Times New Roman"/>
          <w:sz w:val="28"/>
          <w:szCs w:val="28"/>
        </w:rPr>
      </w:pPr>
    </w:p>
    <w:p w:rsidR="00BB2698" w:rsidRDefault="00FF7C1C" w:rsidP="00BB2698">
      <w:pPr>
        <w:pStyle w:val="BodyTextIndent2"/>
        <w:widowControl/>
        <w:spacing w:after="0"/>
        <w:ind w:left="0"/>
        <w:jc w:val="both"/>
        <w:rPr>
          <w:rFonts w:ascii="Times New Roman" w:hAnsi="Times New Roman"/>
          <w:sz w:val="28"/>
          <w:szCs w:val="28"/>
        </w:rPr>
      </w:pPr>
      <w:r>
        <w:rPr>
          <w:rFonts w:ascii="Times New Roman" w:hAnsi="Times New Roman"/>
          <w:sz w:val="28"/>
          <w:szCs w:val="28"/>
        </w:rPr>
        <w:t>[10</w:t>
      </w:r>
      <w:r w:rsidR="00F072E8" w:rsidRPr="00437E6F">
        <w:rPr>
          <w:rFonts w:ascii="Times New Roman" w:hAnsi="Times New Roman"/>
          <w:sz w:val="28"/>
          <w:szCs w:val="28"/>
        </w:rPr>
        <w:t>]</w:t>
      </w:r>
      <w:r>
        <w:rPr>
          <w:rFonts w:ascii="Times New Roman" w:hAnsi="Times New Roman"/>
          <w:sz w:val="28"/>
          <w:szCs w:val="28"/>
        </w:rPr>
        <w:tab/>
      </w:r>
      <w:r w:rsidR="00BB2698">
        <w:rPr>
          <w:rFonts w:ascii="Times New Roman" w:hAnsi="Times New Roman"/>
          <w:sz w:val="28"/>
          <w:szCs w:val="28"/>
        </w:rPr>
        <w:t>This meant that</w:t>
      </w:r>
      <w:r w:rsidR="005A2EBE">
        <w:rPr>
          <w:rFonts w:ascii="Times New Roman" w:hAnsi="Times New Roman"/>
          <w:sz w:val="28"/>
          <w:szCs w:val="28"/>
        </w:rPr>
        <w:t>, from a practical viewpoint,</w:t>
      </w:r>
      <w:r w:rsidR="00BB2698">
        <w:rPr>
          <w:rFonts w:ascii="Times New Roman" w:hAnsi="Times New Roman"/>
          <w:sz w:val="28"/>
          <w:szCs w:val="28"/>
        </w:rPr>
        <w:t xml:space="preserve"> to give effect to the appli</w:t>
      </w:r>
      <w:r w:rsidR="007E4A3C">
        <w:rPr>
          <w:rFonts w:ascii="Times New Roman" w:hAnsi="Times New Roman"/>
          <w:sz w:val="28"/>
          <w:szCs w:val="28"/>
        </w:rPr>
        <w:t>cant’s intended development of e</w:t>
      </w:r>
      <w:r w:rsidR="00BB2698">
        <w:rPr>
          <w:rFonts w:ascii="Times New Roman" w:hAnsi="Times New Roman"/>
          <w:sz w:val="28"/>
          <w:szCs w:val="28"/>
        </w:rPr>
        <w:t>rf 1310 to supplement and serve Aruba, the por</w:t>
      </w:r>
      <w:r w:rsidR="007E4A3C">
        <w:rPr>
          <w:rFonts w:ascii="Times New Roman" w:hAnsi="Times New Roman"/>
          <w:sz w:val="28"/>
          <w:szCs w:val="28"/>
        </w:rPr>
        <w:t>tion of the road (a portion of e</w:t>
      </w:r>
      <w:r w:rsidR="00BB2698">
        <w:rPr>
          <w:rFonts w:ascii="Times New Roman" w:hAnsi="Times New Roman"/>
          <w:sz w:val="28"/>
          <w:szCs w:val="28"/>
        </w:rPr>
        <w:t>rf 1021) would have to be moved from its current position between the boundaries of erven 1310 and 131</w:t>
      </w:r>
      <w:r w:rsidR="00E80538">
        <w:rPr>
          <w:rFonts w:ascii="Times New Roman" w:hAnsi="Times New Roman"/>
          <w:sz w:val="28"/>
          <w:szCs w:val="28"/>
        </w:rPr>
        <w:t>5 on the South Eastern edge of e</w:t>
      </w:r>
      <w:r w:rsidR="00BB2698">
        <w:rPr>
          <w:rFonts w:ascii="Times New Roman" w:hAnsi="Times New Roman"/>
          <w:sz w:val="28"/>
          <w:szCs w:val="28"/>
        </w:rPr>
        <w:t>rf 1310, to its North Eastern edge.</w:t>
      </w:r>
      <w:r w:rsidR="005A2EBE">
        <w:rPr>
          <w:rStyle w:val="FootnoteReference"/>
          <w:rFonts w:ascii="Times New Roman" w:hAnsi="Times New Roman"/>
          <w:sz w:val="28"/>
          <w:szCs w:val="28"/>
        </w:rPr>
        <w:footnoteReference w:id="9"/>
      </w:r>
    </w:p>
    <w:p w:rsidR="00BB2698" w:rsidRDefault="00BB2698" w:rsidP="00960A0E">
      <w:pPr>
        <w:pStyle w:val="BodyTextIndent2"/>
        <w:widowControl/>
        <w:spacing w:after="0"/>
        <w:ind w:left="0"/>
        <w:jc w:val="both"/>
        <w:rPr>
          <w:rFonts w:ascii="Times New Roman" w:hAnsi="Times New Roman"/>
          <w:sz w:val="28"/>
          <w:szCs w:val="28"/>
        </w:rPr>
      </w:pPr>
    </w:p>
    <w:p w:rsidR="00A41477" w:rsidRDefault="00925F0E" w:rsidP="00A41477">
      <w:pPr>
        <w:pStyle w:val="BodyTextIndent2"/>
        <w:widowControl/>
        <w:spacing w:after="0"/>
        <w:ind w:left="0"/>
        <w:jc w:val="both"/>
        <w:rPr>
          <w:rFonts w:ascii="Times New Roman" w:hAnsi="Times New Roman"/>
          <w:sz w:val="28"/>
          <w:szCs w:val="28"/>
        </w:rPr>
      </w:pPr>
      <w:r>
        <w:rPr>
          <w:rFonts w:ascii="Times New Roman" w:hAnsi="Times New Roman"/>
          <w:sz w:val="28"/>
          <w:szCs w:val="28"/>
        </w:rPr>
        <w:lastRenderedPageBreak/>
        <w:t>[11</w:t>
      </w:r>
      <w:r w:rsidR="00614E1B" w:rsidRPr="00437E6F">
        <w:rPr>
          <w:rFonts w:ascii="Times New Roman" w:hAnsi="Times New Roman"/>
          <w:sz w:val="28"/>
          <w:szCs w:val="28"/>
        </w:rPr>
        <w:t>]</w:t>
      </w:r>
      <w:r w:rsidR="00614E1B" w:rsidRPr="00437E6F">
        <w:rPr>
          <w:rFonts w:ascii="Times New Roman" w:hAnsi="Times New Roman"/>
          <w:sz w:val="28"/>
          <w:szCs w:val="28"/>
        </w:rPr>
        <w:tab/>
        <w:t xml:space="preserve"> </w:t>
      </w:r>
      <w:r w:rsidR="00150347" w:rsidRPr="00437E6F">
        <w:rPr>
          <w:rFonts w:ascii="Times New Roman" w:hAnsi="Times New Roman"/>
          <w:sz w:val="28"/>
          <w:szCs w:val="28"/>
        </w:rPr>
        <w:t xml:space="preserve">The </w:t>
      </w:r>
      <w:r w:rsidR="00A21FD8">
        <w:rPr>
          <w:rFonts w:ascii="Times New Roman" w:hAnsi="Times New Roman"/>
          <w:sz w:val="28"/>
          <w:szCs w:val="28"/>
        </w:rPr>
        <w:t>applicant submitted an application for the rezoning and subdivision of the affected erven and same was formally approved by the first respondent on 26 July 2005. Various approvals were also obtained for the rezoning and subdivision as required by the Land Use</w:t>
      </w:r>
      <w:r w:rsidR="00BD3662">
        <w:rPr>
          <w:rFonts w:ascii="Times New Roman" w:hAnsi="Times New Roman"/>
          <w:i/>
          <w:sz w:val="28"/>
          <w:szCs w:val="28"/>
        </w:rPr>
        <w:t xml:space="preserve"> </w:t>
      </w:r>
      <w:r w:rsidR="00A21FD8">
        <w:rPr>
          <w:rFonts w:ascii="Times New Roman" w:hAnsi="Times New Roman"/>
          <w:sz w:val="28"/>
          <w:szCs w:val="28"/>
        </w:rPr>
        <w:t>Planning Ordinance, 1985 (LUPO).</w:t>
      </w:r>
    </w:p>
    <w:p w:rsidR="00BD3662" w:rsidRPr="00BD3662" w:rsidRDefault="00BD3662" w:rsidP="00A41477">
      <w:pPr>
        <w:pStyle w:val="BodyTextIndent2"/>
        <w:widowControl/>
        <w:spacing w:after="0"/>
        <w:ind w:left="0"/>
        <w:jc w:val="both"/>
        <w:rPr>
          <w:rFonts w:ascii="Times New Roman" w:hAnsi="Times New Roman"/>
          <w:i/>
          <w:sz w:val="28"/>
          <w:szCs w:val="28"/>
        </w:rPr>
      </w:pPr>
    </w:p>
    <w:p w:rsidR="006D0488" w:rsidRDefault="00925F0E" w:rsidP="004809BA">
      <w:pPr>
        <w:pStyle w:val="BodyTextIndent2"/>
        <w:widowControl/>
        <w:spacing w:after="0"/>
        <w:ind w:left="0"/>
        <w:jc w:val="both"/>
        <w:rPr>
          <w:rFonts w:ascii="Times New Roman" w:hAnsi="Times New Roman"/>
          <w:sz w:val="28"/>
          <w:szCs w:val="28"/>
        </w:rPr>
      </w:pPr>
      <w:r>
        <w:rPr>
          <w:rFonts w:ascii="Times New Roman" w:hAnsi="Times New Roman"/>
          <w:sz w:val="28"/>
          <w:szCs w:val="28"/>
        </w:rPr>
        <w:t>[12</w:t>
      </w:r>
      <w:r w:rsidR="00A41477" w:rsidRPr="00437E6F">
        <w:rPr>
          <w:rFonts w:ascii="Times New Roman" w:hAnsi="Times New Roman"/>
          <w:sz w:val="28"/>
          <w:szCs w:val="28"/>
        </w:rPr>
        <w:t>]</w:t>
      </w:r>
      <w:r w:rsidR="00A41477" w:rsidRPr="00437E6F">
        <w:rPr>
          <w:rFonts w:ascii="Times New Roman" w:hAnsi="Times New Roman"/>
          <w:sz w:val="28"/>
          <w:szCs w:val="28"/>
        </w:rPr>
        <w:tab/>
      </w:r>
      <w:r w:rsidR="00E80538">
        <w:rPr>
          <w:rFonts w:ascii="Times New Roman" w:hAnsi="Times New Roman"/>
          <w:sz w:val="28"/>
          <w:szCs w:val="28"/>
        </w:rPr>
        <w:t>Whilst the above was</w:t>
      </w:r>
      <w:r w:rsidR="006E217E">
        <w:rPr>
          <w:rFonts w:ascii="Times New Roman" w:hAnsi="Times New Roman"/>
          <w:sz w:val="28"/>
          <w:szCs w:val="28"/>
        </w:rPr>
        <w:t xml:space="preserve"> underway, i</w:t>
      </w:r>
      <w:r w:rsidR="00E369FD">
        <w:rPr>
          <w:rFonts w:ascii="Times New Roman" w:hAnsi="Times New Roman"/>
          <w:sz w:val="28"/>
          <w:szCs w:val="28"/>
        </w:rPr>
        <w:t>n April 2008 the first respondent issued summons</w:t>
      </w:r>
      <w:r w:rsidR="00E80538">
        <w:rPr>
          <w:rFonts w:ascii="Times New Roman" w:hAnsi="Times New Roman"/>
          <w:sz w:val="28"/>
          <w:szCs w:val="28"/>
        </w:rPr>
        <w:t xml:space="preserve"> in the magistrates’ court in Humansdorp</w:t>
      </w:r>
      <w:r w:rsidR="00E369FD">
        <w:rPr>
          <w:rFonts w:ascii="Times New Roman" w:hAnsi="Times New Roman"/>
          <w:sz w:val="28"/>
          <w:szCs w:val="28"/>
        </w:rPr>
        <w:t xml:space="preserve"> against the </w:t>
      </w:r>
      <w:r w:rsidR="006E217E">
        <w:rPr>
          <w:rFonts w:ascii="Times New Roman" w:hAnsi="Times New Roman"/>
          <w:sz w:val="28"/>
          <w:szCs w:val="28"/>
        </w:rPr>
        <w:t>applicant in respect of certain service ch</w:t>
      </w:r>
      <w:r w:rsidR="00E80538">
        <w:rPr>
          <w:rFonts w:ascii="Times New Roman" w:hAnsi="Times New Roman"/>
          <w:sz w:val="28"/>
          <w:szCs w:val="28"/>
        </w:rPr>
        <w:t>arges and levies pertaining to e</w:t>
      </w:r>
      <w:r w:rsidR="006E217E">
        <w:rPr>
          <w:rFonts w:ascii="Times New Roman" w:hAnsi="Times New Roman"/>
          <w:sz w:val="28"/>
          <w:szCs w:val="28"/>
        </w:rPr>
        <w:t>rf 1310. This action was defended by the applicant on the basis that the first responded had consented to the consolidation of the erven 1310 and 1315</w:t>
      </w:r>
      <w:r w:rsidR="00611700">
        <w:rPr>
          <w:rFonts w:ascii="Times New Roman" w:hAnsi="Times New Roman"/>
          <w:sz w:val="28"/>
          <w:szCs w:val="28"/>
        </w:rPr>
        <w:t xml:space="preserve"> and furthermore, that </w:t>
      </w:r>
      <w:r w:rsidR="00E80538">
        <w:rPr>
          <w:rFonts w:ascii="Times New Roman" w:hAnsi="Times New Roman"/>
          <w:sz w:val="28"/>
          <w:szCs w:val="28"/>
        </w:rPr>
        <w:t xml:space="preserve">the </w:t>
      </w:r>
      <w:r w:rsidR="00611700">
        <w:rPr>
          <w:rFonts w:ascii="Times New Roman" w:hAnsi="Times New Roman"/>
          <w:sz w:val="28"/>
          <w:szCs w:val="28"/>
        </w:rPr>
        <w:t xml:space="preserve">first respondent was in fact recovering service charges and levies as if the erven had already been consolidated. </w:t>
      </w:r>
    </w:p>
    <w:p w:rsidR="00E369FD" w:rsidRPr="00437E6F" w:rsidRDefault="00E369FD" w:rsidP="004809BA">
      <w:pPr>
        <w:pStyle w:val="BodyTextIndent2"/>
        <w:widowControl/>
        <w:spacing w:after="0"/>
        <w:ind w:left="0"/>
        <w:jc w:val="both"/>
        <w:rPr>
          <w:rFonts w:ascii="Times New Roman" w:hAnsi="Times New Roman"/>
          <w:sz w:val="28"/>
          <w:szCs w:val="28"/>
        </w:rPr>
      </w:pPr>
    </w:p>
    <w:p w:rsidR="00F1594A" w:rsidRDefault="00925F0E" w:rsidP="00611700">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[13</w:t>
      </w:r>
      <w:r w:rsidR="00960A0E" w:rsidRPr="00437E6F">
        <w:rPr>
          <w:rFonts w:ascii="Times New Roman" w:hAnsi="Times New Roman"/>
          <w:sz w:val="28"/>
          <w:szCs w:val="28"/>
          <w:lang w:val="en-ZA"/>
        </w:rPr>
        <w:t>]</w:t>
      </w:r>
      <w:r w:rsidR="00960A0E" w:rsidRPr="00437E6F">
        <w:rPr>
          <w:rFonts w:ascii="Times New Roman" w:hAnsi="Times New Roman"/>
          <w:sz w:val="28"/>
          <w:szCs w:val="28"/>
          <w:lang w:val="en-ZA"/>
        </w:rPr>
        <w:tab/>
      </w:r>
      <w:r w:rsidR="00E80538">
        <w:rPr>
          <w:rFonts w:ascii="Times New Roman" w:hAnsi="Times New Roman"/>
          <w:sz w:val="28"/>
          <w:szCs w:val="28"/>
          <w:lang w:val="en-ZA"/>
        </w:rPr>
        <w:t>This</w:t>
      </w:r>
      <w:r w:rsidR="00611700">
        <w:rPr>
          <w:rFonts w:ascii="Times New Roman" w:hAnsi="Times New Roman"/>
          <w:sz w:val="28"/>
          <w:szCs w:val="28"/>
          <w:lang w:val="en-ZA"/>
        </w:rPr>
        <w:t xml:space="preserve"> action became part of a settlement in a subsequent High Court action between the first and the second respondents. A settlement agreement incorporating both actions was made an order of court</w:t>
      </w:r>
      <w:r w:rsidR="0038218C">
        <w:rPr>
          <w:rFonts w:ascii="Times New Roman" w:hAnsi="Times New Roman"/>
          <w:sz w:val="28"/>
          <w:szCs w:val="28"/>
          <w:lang w:val="en-ZA"/>
        </w:rPr>
        <w:t xml:space="preserve"> on the following terms</w:t>
      </w:r>
      <w:r w:rsidR="00715F8C">
        <w:rPr>
          <w:rStyle w:val="FootnoteReference"/>
          <w:rFonts w:ascii="Times New Roman" w:hAnsi="Times New Roman"/>
          <w:sz w:val="28"/>
          <w:szCs w:val="28"/>
          <w:lang w:val="en-ZA"/>
        </w:rPr>
        <w:footnoteReference w:id="10"/>
      </w:r>
      <w:r w:rsidR="00006DE8">
        <w:rPr>
          <w:rFonts w:ascii="Times New Roman" w:hAnsi="Times New Roman"/>
          <w:sz w:val="28"/>
          <w:szCs w:val="28"/>
          <w:lang w:val="en-ZA"/>
        </w:rPr>
        <w:t>:</w:t>
      </w:r>
    </w:p>
    <w:p w:rsidR="00E80538" w:rsidRDefault="00E80538" w:rsidP="00611700">
      <w:pPr>
        <w:pStyle w:val="BodyTextIndent2"/>
        <w:widowControl/>
        <w:spacing w:after="0"/>
        <w:ind w:left="0"/>
        <w:jc w:val="both"/>
        <w:rPr>
          <w:rFonts w:ascii="Times New Roman" w:hAnsi="Times New Roman"/>
          <w:sz w:val="28"/>
          <w:szCs w:val="28"/>
          <w:lang w:val="en-ZA"/>
        </w:rPr>
      </w:pPr>
    </w:p>
    <w:p w:rsidR="00006DE8" w:rsidRDefault="00006DE8" w:rsidP="00611700">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ab/>
        <w:t>“IT IS ORDERED (by agreement)</w:t>
      </w:r>
    </w:p>
    <w:p w:rsidR="00006DE8" w:rsidRDefault="00006DE8" w:rsidP="00006DE8">
      <w:pPr>
        <w:pStyle w:val="BodyTextIndent2"/>
        <w:widowControl/>
        <w:numPr>
          <w:ilvl w:val="0"/>
          <w:numId w:val="48"/>
        </w:numPr>
        <w:spacing w:after="0"/>
        <w:jc w:val="both"/>
        <w:rPr>
          <w:rFonts w:ascii="Times New Roman" w:hAnsi="Times New Roman"/>
          <w:i/>
          <w:sz w:val="28"/>
          <w:szCs w:val="28"/>
          <w:lang w:val="en-ZA"/>
        </w:rPr>
      </w:pPr>
      <w:r>
        <w:rPr>
          <w:rFonts w:ascii="Times New Roman" w:hAnsi="Times New Roman"/>
          <w:i/>
          <w:sz w:val="28"/>
          <w:szCs w:val="28"/>
          <w:lang w:val="en-ZA"/>
        </w:rPr>
        <w:t>That</w:t>
      </w:r>
      <w:r w:rsidR="00E80538">
        <w:rPr>
          <w:rFonts w:ascii="Times New Roman" w:hAnsi="Times New Roman"/>
          <w:i/>
          <w:sz w:val="28"/>
          <w:szCs w:val="28"/>
          <w:lang w:val="en-ZA"/>
        </w:rPr>
        <w:t xml:space="preserve"> the Defendant</w:t>
      </w:r>
      <w:r>
        <w:rPr>
          <w:rFonts w:ascii="Times New Roman" w:hAnsi="Times New Roman"/>
          <w:i/>
          <w:sz w:val="28"/>
          <w:szCs w:val="28"/>
          <w:lang w:val="en-ZA"/>
        </w:rPr>
        <w:t xml:space="preserve"> [Richoil] pay to the</w:t>
      </w:r>
      <w:r w:rsidR="00E80538">
        <w:rPr>
          <w:rFonts w:ascii="Times New Roman" w:hAnsi="Times New Roman"/>
          <w:i/>
          <w:sz w:val="28"/>
          <w:szCs w:val="28"/>
          <w:lang w:val="en-ZA"/>
        </w:rPr>
        <w:t xml:space="preserve"> Plaintiff</w:t>
      </w:r>
      <w:r>
        <w:rPr>
          <w:rFonts w:ascii="Times New Roman" w:hAnsi="Times New Roman"/>
          <w:i/>
          <w:sz w:val="28"/>
          <w:szCs w:val="28"/>
          <w:lang w:val="en-ZA"/>
        </w:rPr>
        <w:t xml:space="preserve"> [first respondent] the sum of R 250 000 which amount is payable within 7 days of the date of </w:t>
      </w:r>
      <w:r>
        <w:rPr>
          <w:rFonts w:ascii="Times New Roman" w:hAnsi="Times New Roman"/>
          <w:i/>
          <w:sz w:val="28"/>
          <w:szCs w:val="28"/>
          <w:lang w:val="en-ZA"/>
        </w:rPr>
        <w:lastRenderedPageBreak/>
        <w:t>this order whereafter interest shall accrue at the prevailing prescribed legal rate until date of payment.</w:t>
      </w:r>
    </w:p>
    <w:p w:rsidR="00006DE8" w:rsidRDefault="007574D1" w:rsidP="00006DE8">
      <w:pPr>
        <w:pStyle w:val="BodyTextIndent2"/>
        <w:widowControl/>
        <w:numPr>
          <w:ilvl w:val="0"/>
          <w:numId w:val="48"/>
        </w:numPr>
        <w:spacing w:after="0"/>
        <w:jc w:val="both"/>
        <w:rPr>
          <w:rFonts w:ascii="Times New Roman" w:hAnsi="Times New Roman"/>
          <w:i/>
          <w:sz w:val="28"/>
          <w:szCs w:val="28"/>
          <w:lang w:val="en-ZA"/>
        </w:rPr>
      </w:pPr>
      <w:r>
        <w:rPr>
          <w:rFonts w:ascii="Times New Roman" w:hAnsi="Times New Roman"/>
          <w:i/>
          <w:sz w:val="28"/>
          <w:szCs w:val="28"/>
          <w:lang w:val="en-ZA"/>
        </w:rPr>
        <w:t>That in respect of e</w:t>
      </w:r>
      <w:r w:rsidR="00006DE8">
        <w:rPr>
          <w:rFonts w:ascii="Times New Roman" w:hAnsi="Times New Roman"/>
          <w:i/>
          <w:sz w:val="28"/>
          <w:szCs w:val="28"/>
          <w:lang w:val="en-ZA"/>
        </w:rPr>
        <w:t>rf 1428</w:t>
      </w:r>
      <w:r>
        <w:rPr>
          <w:rFonts w:ascii="Times New Roman" w:hAnsi="Times New Roman"/>
          <w:i/>
          <w:sz w:val="28"/>
          <w:szCs w:val="28"/>
          <w:lang w:val="en-ZA"/>
        </w:rPr>
        <w:t xml:space="preserve"> the Defendant</w:t>
      </w:r>
      <w:r w:rsidR="00C12A17">
        <w:rPr>
          <w:rFonts w:ascii="Times New Roman" w:hAnsi="Times New Roman"/>
          <w:i/>
          <w:sz w:val="28"/>
          <w:szCs w:val="28"/>
          <w:lang w:val="en-ZA"/>
        </w:rPr>
        <w:t xml:space="preserve"> </w:t>
      </w:r>
      <w:r w:rsidR="00006DE8">
        <w:rPr>
          <w:rFonts w:ascii="Times New Roman" w:hAnsi="Times New Roman"/>
          <w:i/>
          <w:sz w:val="28"/>
          <w:szCs w:val="28"/>
          <w:lang w:val="en-ZA"/>
        </w:rPr>
        <w:t>[Richoil] as from 1September 2011, pay the normal levies associated with a single residential erf.</w:t>
      </w:r>
    </w:p>
    <w:p w:rsidR="00006DE8" w:rsidRDefault="007574D1" w:rsidP="00006DE8">
      <w:pPr>
        <w:pStyle w:val="BodyTextIndent2"/>
        <w:widowControl/>
        <w:numPr>
          <w:ilvl w:val="0"/>
          <w:numId w:val="48"/>
        </w:numPr>
        <w:spacing w:after="0"/>
        <w:jc w:val="both"/>
        <w:rPr>
          <w:rFonts w:ascii="Times New Roman" w:hAnsi="Times New Roman"/>
          <w:i/>
          <w:sz w:val="28"/>
          <w:szCs w:val="28"/>
          <w:lang w:val="en-ZA"/>
        </w:rPr>
      </w:pPr>
      <w:r>
        <w:rPr>
          <w:rFonts w:ascii="Times New Roman" w:hAnsi="Times New Roman"/>
          <w:i/>
          <w:sz w:val="28"/>
          <w:szCs w:val="28"/>
          <w:lang w:val="en-ZA"/>
        </w:rPr>
        <w:t>That in respect of e</w:t>
      </w:r>
      <w:r w:rsidR="00352FCA">
        <w:rPr>
          <w:rFonts w:ascii="Times New Roman" w:hAnsi="Times New Roman"/>
          <w:i/>
          <w:sz w:val="28"/>
          <w:szCs w:val="28"/>
          <w:lang w:val="en-ZA"/>
        </w:rPr>
        <w:t>rf 914</w:t>
      </w:r>
      <w:r>
        <w:rPr>
          <w:rFonts w:ascii="Times New Roman" w:hAnsi="Times New Roman"/>
          <w:i/>
          <w:sz w:val="28"/>
          <w:szCs w:val="28"/>
          <w:lang w:val="en-ZA"/>
        </w:rPr>
        <w:t xml:space="preserve"> the Defendant</w:t>
      </w:r>
      <w:r w:rsidR="00352FCA">
        <w:rPr>
          <w:rFonts w:ascii="Times New Roman" w:hAnsi="Times New Roman"/>
          <w:i/>
          <w:sz w:val="28"/>
          <w:szCs w:val="28"/>
          <w:lang w:val="en-ZA"/>
        </w:rPr>
        <w:t xml:space="preserve"> [Richoil] shall:</w:t>
      </w:r>
    </w:p>
    <w:p w:rsidR="00352FCA" w:rsidRDefault="00352FCA" w:rsidP="00352FCA">
      <w:pPr>
        <w:pStyle w:val="BodyTextIndent2"/>
        <w:widowControl/>
        <w:numPr>
          <w:ilvl w:val="1"/>
          <w:numId w:val="48"/>
        </w:numPr>
        <w:spacing w:after="0"/>
        <w:jc w:val="both"/>
        <w:rPr>
          <w:rFonts w:ascii="Times New Roman" w:hAnsi="Times New Roman"/>
          <w:i/>
          <w:sz w:val="28"/>
          <w:szCs w:val="28"/>
          <w:lang w:val="en-ZA"/>
        </w:rPr>
      </w:pPr>
      <w:r>
        <w:rPr>
          <w:rFonts w:ascii="Times New Roman" w:hAnsi="Times New Roman"/>
          <w:i/>
          <w:sz w:val="28"/>
          <w:szCs w:val="28"/>
          <w:lang w:val="en-ZA"/>
        </w:rPr>
        <w:t>pay levies from 1 September 2011 on the basis of the levies and availability fee payable in respect of the two units on a general residential erf, for a period of 2 years or until</w:t>
      </w:r>
      <w:r w:rsidR="007574D1">
        <w:rPr>
          <w:rFonts w:ascii="Times New Roman" w:hAnsi="Times New Roman"/>
          <w:i/>
          <w:sz w:val="28"/>
          <w:szCs w:val="28"/>
          <w:lang w:val="en-ZA"/>
        </w:rPr>
        <w:t xml:space="preserve"> the Defendant</w:t>
      </w:r>
      <w:r>
        <w:rPr>
          <w:rFonts w:ascii="Times New Roman" w:hAnsi="Times New Roman"/>
          <w:i/>
          <w:sz w:val="28"/>
          <w:szCs w:val="28"/>
          <w:lang w:val="en-ZA"/>
        </w:rPr>
        <w:t xml:space="preserve"> [Richoil] subm</w:t>
      </w:r>
      <w:r w:rsidR="007574D1">
        <w:rPr>
          <w:rFonts w:ascii="Times New Roman" w:hAnsi="Times New Roman"/>
          <w:i/>
          <w:sz w:val="28"/>
          <w:szCs w:val="28"/>
          <w:lang w:val="en-ZA"/>
        </w:rPr>
        <w:t xml:space="preserve">it its development plans to the Plaintiff </w:t>
      </w:r>
      <w:r>
        <w:rPr>
          <w:rFonts w:ascii="Times New Roman" w:hAnsi="Times New Roman"/>
          <w:i/>
          <w:sz w:val="28"/>
          <w:szCs w:val="28"/>
          <w:lang w:val="en-ZA"/>
        </w:rPr>
        <w:t>[respondent], whereafter levies will be calculated in accordance with the proposed development.</w:t>
      </w:r>
    </w:p>
    <w:p w:rsidR="00352FCA" w:rsidRDefault="00352FCA" w:rsidP="00352FCA">
      <w:pPr>
        <w:pStyle w:val="BodyTextIndent2"/>
        <w:widowControl/>
        <w:numPr>
          <w:ilvl w:val="1"/>
          <w:numId w:val="48"/>
        </w:numPr>
        <w:spacing w:after="0"/>
        <w:jc w:val="both"/>
        <w:rPr>
          <w:rFonts w:ascii="Times New Roman" w:hAnsi="Times New Roman"/>
          <w:i/>
          <w:sz w:val="28"/>
          <w:szCs w:val="28"/>
          <w:lang w:val="en-ZA"/>
        </w:rPr>
      </w:pPr>
      <w:r>
        <w:rPr>
          <w:rFonts w:ascii="Times New Roman" w:hAnsi="Times New Roman"/>
          <w:i/>
          <w:sz w:val="28"/>
          <w:szCs w:val="28"/>
          <w:lang w:val="en-ZA"/>
        </w:rPr>
        <w:t>After the aforementioned period of 2 years if</w:t>
      </w:r>
      <w:r w:rsidR="007574D1">
        <w:rPr>
          <w:rFonts w:ascii="Times New Roman" w:hAnsi="Times New Roman"/>
          <w:i/>
          <w:sz w:val="28"/>
          <w:szCs w:val="28"/>
          <w:lang w:val="en-ZA"/>
        </w:rPr>
        <w:t xml:space="preserve"> the Defendant</w:t>
      </w:r>
      <w:r>
        <w:rPr>
          <w:rFonts w:ascii="Times New Roman" w:hAnsi="Times New Roman"/>
          <w:i/>
          <w:sz w:val="28"/>
          <w:szCs w:val="28"/>
          <w:lang w:val="en-ZA"/>
        </w:rPr>
        <w:t xml:space="preserve"> [Richoil] has not completed its development</w:t>
      </w:r>
      <w:r w:rsidR="0059573C">
        <w:rPr>
          <w:rFonts w:ascii="Times New Roman" w:hAnsi="Times New Roman"/>
          <w:i/>
          <w:sz w:val="28"/>
          <w:szCs w:val="28"/>
          <w:lang w:val="en-ZA"/>
        </w:rPr>
        <w:t>,</w:t>
      </w:r>
      <w:r w:rsidR="007574D1">
        <w:rPr>
          <w:rFonts w:ascii="Times New Roman" w:hAnsi="Times New Roman"/>
          <w:i/>
          <w:sz w:val="28"/>
          <w:szCs w:val="28"/>
          <w:lang w:val="en-ZA"/>
        </w:rPr>
        <w:t xml:space="preserve"> the Defendant</w:t>
      </w:r>
      <w:r w:rsidR="0059573C">
        <w:rPr>
          <w:rFonts w:ascii="Times New Roman" w:hAnsi="Times New Roman"/>
          <w:i/>
          <w:sz w:val="28"/>
          <w:szCs w:val="28"/>
          <w:lang w:val="en-ZA"/>
        </w:rPr>
        <w:t xml:space="preserve"> [Richoil] will thereafter pay levies on the basis of a development comprising 4 units together with the availability fee, and will continue to do so until it submits its development plans to the </w:t>
      </w:r>
      <w:r w:rsidR="007574D1">
        <w:rPr>
          <w:rFonts w:ascii="Times New Roman" w:hAnsi="Times New Roman"/>
          <w:i/>
          <w:sz w:val="28"/>
          <w:szCs w:val="28"/>
          <w:lang w:val="en-ZA"/>
        </w:rPr>
        <w:t xml:space="preserve">Plaintiff </w:t>
      </w:r>
      <w:r w:rsidR="0059573C">
        <w:rPr>
          <w:rFonts w:ascii="Times New Roman" w:hAnsi="Times New Roman"/>
          <w:i/>
          <w:sz w:val="28"/>
          <w:szCs w:val="28"/>
          <w:lang w:val="en-ZA"/>
        </w:rPr>
        <w:t>[respondent], whereafter the levies will be calculated on the basis of the actual units to be developed.</w:t>
      </w:r>
    </w:p>
    <w:p w:rsidR="0059573C" w:rsidRDefault="0059573C" w:rsidP="0059573C">
      <w:pPr>
        <w:pStyle w:val="BodyTextIndent2"/>
        <w:widowControl/>
        <w:numPr>
          <w:ilvl w:val="0"/>
          <w:numId w:val="48"/>
        </w:numPr>
        <w:spacing w:after="0"/>
        <w:jc w:val="both"/>
        <w:rPr>
          <w:rFonts w:ascii="Times New Roman" w:hAnsi="Times New Roman"/>
          <w:i/>
          <w:sz w:val="28"/>
          <w:szCs w:val="28"/>
          <w:lang w:val="en-ZA"/>
        </w:rPr>
      </w:pPr>
      <w:r>
        <w:rPr>
          <w:rFonts w:ascii="Times New Roman" w:hAnsi="Times New Roman"/>
          <w:i/>
          <w:sz w:val="28"/>
          <w:szCs w:val="28"/>
          <w:lang w:val="en-ZA"/>
        </w:rPr>
        <w:t>That it is recorded further that in the Magistrate’s Court matter between the</w:t>
      </w:r>
      <w:r w:rsidR="007574D1">
        <w:rPr>
          <w:rFonts w:ascii="Times New Roman" w:hAnsi="Times New Roman"/>
          <w:i/>
          <w:sz w:val="28"/>
          <w:szCs w:val="28"/>
          <w:lang w:val="en-ZA"/>
        </w:rPr>
        <w:t xml:space="preserve"> Plaintiff</w:t>
      </w:r>
      <w:r>
        <w:rPr>
          <w:rFonts w:ascii="Times New Roman" w:hAnsi="Times New Roman"/>
          <w:i/>
          <w:sz w:val="28"/>
          <w:szCs w:val="28"/>
          <w:lang w:val="en-ZA"/>
        </w:rPr>
        <w:t xml:space="preserve"> [first respondent] and Chart</w:t>
      </w:r>
      <w:r w:rsidR="0038218C">
        <w:rPr>
          <w:rFonts w:ascii="Times New Roman" w:hAnsi="Times New Roman"/>
          <w:i/>
          <w:sz w:val="28"/>
          <w:szCs w:val="28"/>
          <w:lang w:val="en-ZA"/>
        </w:rPr>
        <w:t>pro</w:t>
      </w:r>
      <w:r>
        <w:rPr>
          <w:rFonts w:ascii="Times New Roman" w:hAnsi="Times New Roman"/>
          <w:i/>
          <w:sz w:val="28"/>
          <w:szCs w:val="28"/>
          <w:lang w:val="en-ZA"/>
        </w:rPr>
        <w:t xml:space="preserve"> Pro</w:t>
      </w:r>
      <w:r w:rsidR="007C7FCC">
        <w:rPr>
          <w:rFonts w:ascii="Times New Roman" w:hAnsi="Times New Roman"/>
          <w:i/>
          <w:sz w:val="28"/>
          <w:szCs w:val="28"/>
          <w:lang w:val="en-ZA"/>
        </w:rPr>
        <w:t>p</w:t>
      </w:r>
      <w:r>
        <w:rPr>
          <w:rFonts w:ascii="Times New Roman" w:hAnsi="Times New Roman"/>
          <w:i/>
          <w:sz w:val="28"/>
          <w:szCs w:val="28"/>
          <w:lang w:val="en-ZA"/>
        </w:rPr>
        <w:t xml:space="preserve"> 9(Pty) Ltd [the applicant</w:t>
      </w:r>
      <w:r w:rsidR="007574D1">
        <w:rPr>
          <w:rFonts w:ascii="Times New Roman" w:hAnsi="Times New Roman"/>
          <w:i/>
          <w:sz w:val="28"/>
          <w:szCs w:val="28"/>
          <w:lang w:val="en-ZA"/>
        </w:rPr>
        <w:t>,</w:t>
      </w:r>
      <w:r>
        <w:rPr>
          <w:rFonts w:ascii="Times New Roman" w:hAnsi="Times New Roman"/>
          <w:i/>
          <w:sz w:val="28"/>
          <w:szCs w:val="28"/>
          <w:lang w:val="en-ZA"/>
        </w:rPr>
        <w:t xml:space="preserve">] being case no. 272/08 in the Magistrates Court, Humansdorp the parties are agreed that the aforesaid payment of R250 </w:t>
      </w:r>
      <w:r>
        <w:rPr>
          <w:rFonts w:ascii="Times New Roman" w:hAnsi="Times New Roman"/>
          <w:i/>
          <w:sz w:val="28"/>
          <w:szCs w:val="28"/>
          <w:lang w:val="en-ZA"/>
        </w:rPr>
        <w:lastRenderedPageBreak/>
        <w:t>000 includes payment in respect of that matter and that matter too is hereby settled.</w:t>
      </w:r>
    </w:p>
    <w:p w:rsidR="0038218C" w:rsidRDefault="007574D1" w:rsidP="0059573C">
      <w:pPr>
        <w:pStyle w:val="BodyTextIndent2"/>
        <w:widowControl/>
        <w:numPr>
          <w:ilvl w:val="0"/>
          <w:numId w:val="48"/>
        </w:numPr>
        <w:spacing w:after="0"/>
        <w:jc w:val="both"/>
        <w:rPr>
          <w:rFonts w:ascii="Times New Roman" w:hAnsi="Times New Roman"/>
          <w:i/>
          <w:sz w:val="28"/>
          <w:szCs w:val="28"/>
          <w:lang w:val="en-ZA"/>
        </w:rPr>
      </w:pPr>
      <w:r>
        <w:rPr>
          <w:rFonts w:ascii="Times New Roman" w:hAnsi="Times New Roman"/>
          <w:i/>
          <w:sz w:val="28"/>
          <w:szCs w:val="28"/>
          <w:lang w:val="en-ZA"/>
        </w:rPr>
        <w:t>That in respect of e</w:t>
      </w:r>
      <w:r w:rsidR="0038218C">
        <w:rPr>
          <w:rFonts w:ascii="Times New Roman" w:hAnsi="Times New Roman"/>
          <w:i/>
          <w:sz w:val="28"/>
          <w:szCs w:val="28"/>
          <w:lang w:val="en-ZA"/>
        </w:rPr>
        <w:t>rven 1310 and 1315 the parties agree that these erven have been consolidated and will in future be treated as such with no separate levies applicable to the individual erven.</w:t>
      </w:r>
    </w:p>
    <w:p w:rsidR="0038218C" w:rsidRDefault="0038218C" w:rsidP="0059573C">
      <w:pPr>
        <w:pStyle w:val="BodyTextIndent2"/>
        <w:widowControl/>
        <w:numPr>
          <w:ilvl w:val="0"/>
          <w:numId w:val="48"/>
        </w:numPr>
        <w:spacing w:after="0"/>
        <w:jc w:val="both"/>
        <w:rPr>
          <w:rFonts w:ascii="Times New Roman" w:hAnsi="Times New Roman"/>
          <w:i/>
          <w:sz w:val="28"/>
          <w:szCs w:val="28"/>
          <w:lang w:val="en-ZA"/>
        </w:rPr>
      </w:pPr>
      <w:r>
        <w:rPr>
          <w:rFonts w:ascii="Times New Roman" w:hAnsi="Times New Roman"/>
          <w:i/>
          <w:sz w:val="28"/>
          <w:szCs w:val="28"/>
          <w:lang w:val="en-ZA"/>
        </w:rPr>
        <w:t>That it is recorded by the parties</w:t>
      </w:r>
      <w:r w:rsidR="007C7FCC">
        <w:rPr>
          <w:rFonts w:ascii="Times New Roman" w:hAnsi="Times New Roman"/>
          <w:i/>
          <w:sz w:val="28"/>
          <w:szCs w:val="28"/>
          <w:lang w:val="en-ZA"/>
        </w:rPr>
        <w:t xml:space="preserve"> that</w:t>
      </w:r>
      <w:r>
        <w:rPr>
          <w:rFonts w:ascii="Times New Roman" w:hAnsi="Times New Roman"/>
          <w:i/>
          <w:sz w:val="28"/>
          <w:szCs w:val="28"/>
          <w:lang w:val="en-ZA"/>
        </w:rPr>
        <w:t xml:space="preserve"> G Olivier, the representative of </w:t>
      </w:r>
      <w:r w:rsidR="00A80D13">
        <w:rPr>
          <w:rFonts w:ascii="Times New Roman" w:hAnsi="Times New Roman"/>
          <w:i/>
          <w:sz w:val="28"/>
          <w:szCs w:val="28"/>
          <w:lang w:val="en-ZA"/>
        </w:rPr>
        <w:t xml:space="preserve">the Plaintiff </w:t>
      </w:r>
      <w:r>
        <w:rPr>
          <w:rFonts w:ascii="Times New Roman" w:hAnsi="Times New Roman"/>
          <w:i/>
          <w:sz w:val="28"/>
          <w:szCs w:val="28"/>
          <w:lang w:val="en-ZA"/>
        </w:rPr>
        <w:t xml:space="preserve">herein, is also authorised to represent Chartpro Prop 9 (Pty) Ltd [the applicant] herein and agrees to this order as an authorised representative of both </w:t>
      </w:r>
      <w:r w:rsidR="00A80D13">
        <w:rPr>
          <w:rFonts w:ascii="Times New Roman" w:hAnsi="Times New Roman"/>
          <w:i/>
          <w:sz w:val="28"/>
          <w:szCs w:val="28"/>
          <w:lang w:val="en-ZA"/>
        </w:rPr>
        <w:t>the Plaintiff</w:t>
      </w:r>
      <w:r>
        <w:rPr>
          <w:rFonts w:ascii="Times New Roman" w:hAnsi="Times New Roman"/>
          <w:i/>
          <w:sz w:val="28"/>
          <w:szCs w:val="28"/>
          <w:lang w:val="en-ZA"/>
        </w:rPr>
        <w:t xml:space="preserve"> and </w:t>
      </w:r>
      <w:r w:rsidR="007C7FCC">
        <w:rPr>
          <w:rFonts w:ascii="Times New Roman" w:hAnsi="Times New Roman"/>
          <w:i/>
          <w:sz w:val="28"/>
          <w:szCs w:val="28"/>
          <w:lang w:val="en-ZA"/>
        </w:rPr>
        <w:t>Chartpro Prop 9 (Pty) Ltd [the applicant]</w:t>
      </w:r>
      <w:r w:rsidR="007574D1">
        <w:rPr>
          <w:rFonts w:ascii="Times New Roman" w:hAnsi="Times New Roman"/>
          <w:i/>
          <w:sz w:val="28"/>
          <w:szCs w:val="28"/>
          <w:lang w:val="en-ZA"/>
        </w:rPr>
        <w:t>.</w:t>
      </w:r>
    </w:p>
    <w:p w:rsidR="00352FCA" w:rsidRPr="00715F8C" w:rsidRDefault="007C7FCC" w:rsidP="00715F8C">
      <w:pPr>
        <w:pStyle w:val="BodyTextIndent2"/>
        <w:widowControl/>
        <w:numPr>
          <w:ilvl w:val="0"/>
          <w:numId w:val="48"/>
        </w:numPr>
        <w:spacing w:after="0"/>
        <w:jc w:val="both"/>
        <w:rPr>
          <w:rFonts w:ascii="Times New Roman" w:hAnsi="Times New Roman"/>
          <w:i/>
          <w:sz w:val="28"/>
          <w:szCs w:val="28"/>
          <w:lang w:val="en-ZA"/>
        </w:rPr>
      </w:pPr>
      <w:r>
        <w:rPr>
          <w:rFonts w:ascii="Times New Roman" w:hAnsi="Times New Roman"/>
          <w:i/>
          <w:sz w:val="28"/>
          <w:szCs w:val="28"/>
          <w:lang w:val="en-ZA"/>
        </w:rPr>
        <w:t>That</w:t>
      </w:r>
      <w:r w:rsidR="00A80D13">
        <w:rPr>
          <w:rFonts w:ascii="Times New Roman" w:hAnsi="Times New Roman"/>
          <w:i/>
          <w:sz w:val="28"/>
          <w:szCs w:val="28"/>
          <w:lang w:val="en-ZA"/>
        </w:rPr>
        <w:t xml:space="preserve"> the Defendant</w:t>
      </w:r>
      <w:r>
        <w:rPr>
          <w:rFonts w:ascii="Times New Roman" w:hAnsi="Times New Roman"/>
          <w:i/>
          <w:sz w:val="28"/>
          <w:szCs w:val="28"/>
          <w:lang w:val="en-ZA"/>
        </w:rPr>
        <w:t xml:space="preserve"> [Richoil] pay the </w:t>
      </w:r>
      <w:r w:rsidR="00A80D13">
        <w:rPr>
          <w:rFonts w:ascii="Times New Roman" w:hAnsi="Times New Roman"/>
          <w:i/>
          <w:sz w:val="28"/>
          <w:szCs w:val="28"/>
          <w:lang w:val="en-ZA"/>
        </w:rPr>
        <w:t>Plaintiff’s</w:t>
      </w:r>
      <w:r>
        <w:rPr>
          <w:rFonts w:ascii="Times New Roman" w:hAnsi="Times New Roman"/>
          <w:i/>
          <w:sz w:val="28"/>
          <w:szCs w:val="28"/>
          <w:lang w:val="en-ZA"/>
        </w:rPr>
        <w:t>[</w:t>
      </w:r>
      <w:r w:rsidR="0031780F">
        <w:rPr>
          <w:rFonts w:ascii="Times New Roman" w:hAnsi="Times New Roman"/>
          <w:i/>
          <w:sz w:val="28"/>
          <w:szCs w:val="28"/>
          <w:lang w:val="en-ZA"/>
        </w:rPr>
        <w:t xml:space="preserve">first </w:t>
      </w:r>
      <w:r>
        <w:rPr>
          <w:rFonts w:ascii="Times New Roman" w:hAnsi="Times New Roman"/>
          <w:i/>
          <w:sz w:val="28"/>
          <w:szCs w:val="28"/>
          <w:lang w:val="en-ZA"/>
        </w:rPr>
        <w:t>respondent</w:t>
      </w:r>
      <w:r w:rsidR="0031780F">
        <w:rPr>
          <w:rFonts w:ascii="Times New Roman" w:hAnsi="Times New Roman"/>
          <w:i/>
          <w:sz w:val="28"/>
          <w:szCs w:val="28"/>
          <w:lang w:val="en-ZA"/>
        </w:rPr>
        <w:t>’</w:t>
      </w:r>
      <w:r>
        <w:rPr>
          <w:rFonts w:ascii="Times New Roman" w:hAnsi="Times New Roman"/>
          <w:i/>
          <w:sz w:val="28"/>
          <w:szCs w:val="28"/>
          <w:lang w:val="en-ZA"/>
        </w:rPr>
        <w:t xml:space="preserve">s] costs of suit in this matter on the High Court scale as taxed or agreed and the </w:t>
      </w:r>
      <w:r w:rsidR="00A80D13">
        <w:rPr>
          <w:rFonts w:ascii="Times New Roman" w:hAnsi="Times New Roman"/>
          <w:i/>
          <w:sz w:val="28"/>
          <w:szCs w:val="28"/>
          <w:lang w:val="en-ZA"/>
        </w:rPr>
        <w:t>Plaintiff’s</w:t>
      </w:r>
      <w:r>
        <w:rPr>
          <w:rFonts w:ascii="Times New Roman" w:hAnsi="Times New Roman"/>
          <w:i/>
          <w:sz w:val="28"/>
          <w:szCs w:val="28"/>
          <w:lang w:val="en-ZA"/>
        </w:rPr>
        <w:t>[</w:t>
      </w:r>
      <w:r w:rsidR="0031780F">
        <w:rPr>
          <w:rFonts w:ascii="Times New Roman" w:hAnsi="Times New Roman"/>
          <w:i/>
          <w:sz w:val="28"/>
          <w:szCs w:val="28"/>
          <w:lang w:val="en-ZA"/>
        </w:rPr>
        <w:t xml:space="preserve">first </w:t>
      </w:r>
      <w:r>
        <w:rPr>
          <w:rFonts w:ascii="Times New Roman" w:hAnsi="Times New Roman"/>
          <w:i/>
          <w:sz w:val="28"/>
          <w:szCs w:val="28"/>
          <w:lang w:val="en-ZA"/>
        </w:rPr>
        <w:t>respondents] costs in the</w:t>
      </w:r>
      <w:r w:rsidR="00A80D13">
        <w:rPr>
          <w:rFonts w:ascii="Times New Roman" w:hAnsi="Times New Roman"/>
          <w:i/>
          <w:sz w:val="28"/>
          <w:szCs w:val="28"/>
          <w:lang w:val="en-ZA"/>
        </w:rPr>
        <w:t xml:space="preserve"> Chatpro</w:t>
      </w:r>
      <w:r>
        <w:rPr>
          <w:rFonts w:ascii="Times New Roman" w:hAnsi="Times New Roman"/>
          <w:i/>
          <w:sz w:val="28"/>
          <w:szCs w:val="28"/>
          <w:lang w:val="en-ZA"/>
        </w:rPr>
        <w:t xml:space="preserve"> Magistrates’ Court matter on the appro</w:t>
      </w:r>
      <w:r w:rsidR="00A80D13">
        <w:rPr>
          <w:rFonts w:ascii="Times New Roman" w:hAnsi="Times New Roman"/>
          <w:i/>
          <w:sz w:val="28"/>
          <w:szCs w:val="28"/>
          <w:lang w:val="en-ZA"/>
        </w:rPr>
        <w:t>priate Magistrates’ Court scale as taxed or agreed.”</w:t>
      </w:r>
    </w:p>
    <w:p w:rsidR="00F1594A" w:rsidRPr="00437E6F" w:rsidRDefault="00F1594A" w:rsidP="004809BA">
      <w:pPr>
        <w:pStyle w:val="BodyTextIndent2"/>
        <w:widowControl/>
        <w:spacing w:after="0"/>
        <w:ind w:left="0"/>
        <w:jc w:val="both"/>
        <w:rPr>
          <w:rFonts w:ascii="Times New Roman" w:hAnsi="Times New Roman"/>
          <w:sz w:val="28"/>
          <w:szCs w:val="28"/>
          <w:lang w:val="en-ZA"/>
        </w:rPr>
      </w:pPr>
    </w:p>
    <w:p w:rsidR="00C462E4" w:rsidRDefault="00925F0E" w:rsidP="00715F8C">
      <w:pPr>
        <w:pStyle w:val="BodyTextIndent2"/>
        <w:widowControl/>
        <w:spacing w:after="0"/>
        <w:ind w:left="0"/>
        <w:jc w:val="both"/>
        <w:rPr>
          <w:rFonts w:ascii="Times New Roman" w:hAnsi="Times New Roman"/>
          <w:sz w:val="28"/>
          <w:szCs w:val="28"/>
        </w:rPr>
      </w:pPr>
      <w:r>
        <w:rPr>
          <w:rFonts w:ascii="Times New Roman" w:hAnsi="Times New Roman"/>
          <w:sz w:val="28"/>
          <w:szCs w:val="28"/>
        </w:rPr>
        <w:t>[15</w:t>
      </w:r>
      <w:r w:rsidR="00210ED3" w:rsidRPr="00437E6F">
        <w:rPr>
          <w:rFonts w:ascii="Times New Roman" w:hAnsi="Times New Roman"/>
          <w:sz w:val="28"/>
          <w:szCs w:val="28"/>
        </w:rPr>
        <w:t>]</w:t>
      </w:r>
      <w:r w:rsidR="00CB7D75" w:rsidRPr="00437E6F">
        <w:rPr>
          <w:rFonts w:ascii="Times New Roman" w:hAnsi="Times New Roman"/>
          <w:sz w:val="28"/>
          <w:szCs w:val="28"/>
        </w:rPr>
        <w:tab/>
      </w:r>
      <w:r w:rsidR="0056336B" w:rsidRPr="00437E6F">
        <w:rPr>
          <w:rFonts w:ascii="Times New Roman" w:hAnsi="Times New Roman"/>
          <w:sz w:val="28"/>
          <w:szCs w:val="28"/>
        </w:rPr>
        <w:t xml:space="preserve"> </w:t>
      </w:r>
      <w:r w:rsidR="00715F8C">
        <w:rPr>
          <w:rFonts w:ascii="Times New Roman" w:hAnsi="Times New Roman"/>
          <w:sz w:val="28"/>
          <w:szCs w:val="28"/>
        </w:rPr>
        <w:t>It is the applicant’s</w:t>
      </w:r>
      <w:r w:rsidR="0031780F">
        <w:rPr>
          <w:rFonts w:ascii="Times New Roman" w:hAnsi="Times New Roman"/>
          <w:sz w:val="28"/>
          <w:szCs w:val="28"/>
        </w:rPr>
        <w:t xml:space="preserve"> further</w:t>
      </w:r>
      <w:r w:rsidR="00715F8C">
        <w:rPr>
          <w:rFonts w:ascii="Times New Roman" w:hAnsi="Times New Roman"/>
          <w:sz w:val="28"/>
          <w:szCs w:val="28"/>
        </w:rPr>
        <w:t xml:space="preserve"> contention that a</w:t>
      </w:r>
      <w:r w:rsidR="00A80D13">
        <w:rPr>
          <w:rFonts w:ascii="Times New Roman" w:hAnsi="Times New Roman"/>
          <w:sz w:val="28"/>
          <w:szCs w:val="28"/>
        </w:rPr>
        <w:t>n implied /</w:t>
      </w:r>
      <w:r w:rsidR="00715F8C">
        <w:rPr>
          <w:rFonts w:ascii="Times New Roman" w:hAnsi="Times New Roman"/>
          <w:sz w:val="28"/>
          <w:szCs w:val="28"/>
        </w:rPr>
        <w:t xml:space="preserve"> tacit term of the order was that:</w:t>
      </w:r>
    </w:p>
    <w:p w:rsidR="00715F8C" w:rsidRDefault="00715F8C" w:rsidP="00715F8C">
      <w:pPr>
        <w:pStyle w:val="BodyTextIndent2"/>
        <w:widowControl/>
        <w:spacing w:after="0"/>
        <w:ind w:left="720"/>
        <w:jc w:val="both"/>
        <w:rPr>
          <w:rFonts w:ascii="Times New Roman" w:hAnsi="Times New Roman"/>
          <w:sz w:val="28"/>
          <w:szCs w:val="28"/>
        </w:rPr>
      </w:pPr>
      <w:r>
        <w:rPr>
          <w:rFonts w:ascii="Times New Roman" w:hAnsi="Times New Roman"/>
          <w:sz w:val="28"/>
          <w:szCs w:val="28"/>
        </w:rPr>
        <w:t>15.1 The first respondent would do all that is necessary to assist the applicant in whatever was required to have erven 1310 and 1315 consolidated; and</w:t>
      </w:r>
    </w:p>
    <w:p w:rsidR="00715F8C" w:rsidRPr="00925F0E" w:rsidRDefault="00715F8C" w:rsidP="00715F8C">
      <w:pPr>
        <w:pStyle w:val="BodyTextIndent2"/>
        <w:widowControl/>
        <w:spacing w:after="0"/>
        <w:ind w:left="720"/>
        <w:jc w:val="both"/>
        <w:rPr>
          <w:rFonts w:ascii="Times New Roman" w:hAnsi="Times New Roman"/>
          <w:sz w:val="28"/>
          <w:szCs w:val="28"/>
        </w:rPr>
      </w:pPr>
      <w:r>
        <w:rPr>
          <w:rFonts w:ascii="Times New Roman" w:hAnsi="Times New Roman"/>
          <w:sz w:val="28"/>
          <w:szCs w:val="28"/>
        </w:rPr>
        <w:lastRenderedPageBreak/>
        <w:t>15.2 That the treatment of the said erven as effectively consolidated erven by the first respondent entailed that nothing would be done which would hamper the applicant’s rights to have them effectively consolidated.</w:t>
      </w:r>
      <w:r w:rsidR="00DF2928">
        <w:rPr>
          <w:rFonts w:ascii="Times New Roman" w:hAnsi="Times New Roman"/>
          <w:sz w:val="28"/>
          <w:szCs w:val="28"/>
        </w:rPr>
        <w:t>”</w:t>
      </w:r>
      <w:r>
        <w:rPr>
          <w:rStyle w:val="FootnoteReference"/>
          <w:rFonts w:ascii="Times New Roman" w:hAnsi="Times New Roman"/>
          <w:sz w:val="28"/>
          <w:szCs w:val="28"/>
        </w:rPr>
        <w:footnoteReference w:id="11"/>
      </w:r>
    </w:p>
    <w:p w:rsidR="00C462E4" w:rsidRPr="00437E6F" w:rsidRDefault="00C462E4" w:rsidP="004809BA">
      <w:pPr>
        <w:pStyle w:val="BodyTextIndent2"/>
        <w:widowControl/>
        <w:spacing w:after="0"/>
        <w:ind w:left="0"/>
        <w:jc w:val="both"/>
        <w:rPr>
          <w:rFonts w:ascii="Times New Roman" w:hAnsi="Times New Roman"/>
          <w:sz w:val="28"/>
          <w:szCs w:val="28"/>
        </w:rPr>
      </w:pPr>
    </w:p>
    <w:p w:rsidR="0056336B" w:rsidRPr="00437E6F" w:rsidRDefault="0056336B" w:rsidP="004809BA">
      <w:pPr>
        <w:pStyle w:val="BodyTextIndent2"/>
        <w:widowControl/>
        <w:spacing w:after="0"/>
        <w:ind w:left="0"/>
        <w:jc w:val="both"/>
        <w:rPr>
          <w:rFonts w:ascii="Times New Roman" w:hAnsi="Times New Roman"/>
          <w:sz w:val="28"/>
          <w:szCs w:val="28"/>
        </w:rPr>
      </w:pPr>
    </w:p>
    <w:p w:rsidR="00CB7D75" w:rsidRDefault="00925F0E" w:rsidP="004809BA">
      <w:pPr>
        <w:pStyle w:val="BodyTextIndent2"/>
        <w:widowControl/>
        <w:spacing w:after="0"/>
        <w:ind w:left="0"/>
        <w:jc w:val="both"/>
        <w:rPr>
          <w:rFonts w:ascii="Times New Roman" w:hAnsi="Times New Roman"/>
          <w:sz w:val="28"/>
          <w:szCs w:val="28"/>
        </w:rPr>
      </w:pPr>
      <w:r>
        <w:rPr>
          <w:rFonts w:ascii="Times New Roman" w:hAnsi="Times New Roman"/>
          <w:sz w:val="28"/>
          <w:szCs w:val="28"/>
        </w:rPr>
        <w:t>[16</w:t>
      </w:r>
      <w:r w:rsidR="009529B8" w:rsidRPr="00437E6F">
        <w:rPr>
          <w:rFonts w:ascii="Times New Roman" w:hAnsi="Times New Roman"/>
          <w:sz w:val="28"/>
          <w:szCs w:val="28"/>
        </w:rPr>
        <w:t>]</w:t>
      </w:r>
      <w:r w:rsidR="009529B8" w:rsidRPr="00437E6F">
        <w:rPr>
          <w:rFonts w:ascii="Times New Roman" w:hAnsi="Times New Roman"/>
          <w:sz w:val="28"/>
          <w:szCs w:val="28"/>
        </w:rPr>
        <w:tab/>
      </w:r>
      <w:r w:rsidR="00A80D13">
        <w:rPr>
          <w:rFonts w:ascii="Times New Roman" w:hAnsi="Times New Roman"/>
          <w:sz w:val="28"/>
          <w:szCs w:val="28"/>
        </w:rPr>
        <w:t xml:space="preserve">In a period of </w:t>
      </w:r>
      <w:r w:rsidR="00B005AF">
        <w:rPr>
          <w:rFonts w:ascii="Times New Roman" w:hAnsi="Times New Roman"/>
          <w:sz w:val="28"/>
          <w:szCs w:val="28"/>
        </w:rPr>
        <w:t>o</w:t>
      </w:r>
      <w:r w:rsidR="00DF2928">
        <w:rPr>
          <w:rFonts w:ascii="Times New Roman" w:hAnsi="Times New Roman"/>
          <w:sz w:val="28"/>
          <w:szCs w:val="28"/>
        </w:rPr>
        <w:t>ver a year later, on 18 October 2012, the first respondent’s attorneys addressed correspondence to the</w:t>
      </w:r>
      <w:r w:rsidR="007F4317">
        <w:rPr>
          <w:rFonts w:ascii="Times New Roman" w:hAnsi="Times New Roman"/>
          <w:sz w:val="28"/>
          <w:szCs w:val="28"/>
        </w:rPr>
        <w:t xml:space="preserve"> then</w:t>
      </w:r>
      <w:r w:rsidR="00DF2928">
        <w:rPr>
          <w:rFonts w:ascii="Times New Roman" w:hAnsi="Times New Roman"/>
          <w:sz w:val="28"/>
          <w:szCs w:val="28"/>
        </w:rPr>
        <w:t xml:space="preserve"> applicant</w:t>
      </w:r>
      <w:r w:rsidR="007F4317">
        <w:rPr>
          <w:rFonts w:ascii="Times New Roman" w:hAnsi="Times New Roman"/>
          <w:sz w:val="28"/>
          <w:szCs w:val="28"/>
        </w:rPr>
        <w:t xml:space="preserve">’s </w:t>
      </w:r>
      <w:r w:rsidR="00DF2928">
        <w:rPr>
          <w:rFonts w:ascii="Times New Roman" w:hAnsi="Times New Roman"/>
          <w:sz w:val="28"/>
          <w:szCs w:val="28"/>
        </w:rPr>
        <w:t xml:space="preserve">attorneys, wherein the </w:t>
      </w:r>
      <w:r w:rsidR="007F4317">
        <w:rPr>
          <w:rFonts w:ascii="Times New Roman" w:hAnsi="Times New Roman"/>
          <w:sz w:val="28"/>
          <w:szCs w:val="28"/>
        </w:rPr>
        <w:t>applicant was put on terms</w:t>
      </w:r>
      <w:r w:rsidR="00A80D13">
        <w:rPr>
          <w:rFonts w:ascii="Times New Roman" w:hAnsi="Times New Roman"/>
          <w:sz w:val="28"/>
          <w:szCs w:val="28"/>
        </w:rPr>
        <w:t xml:space="preserve">; </w:t>
      </w:r>
      <w:r w:rsidR="007F4317" w:rsidRPr="00B005AF">
        <w:rPr>
          <w:rFonts w:ascii="Times New Roman" w:hAnsi="Times New Roman"/>
          <w:i/>
          <w:sz w:val="28"/>
          <w:szCs w:val="28"/>
        </w:rPr>
        <w:t>inter alia</w:t>
      </w:r>
      <w:r w:rsidR="007F4317">
        <w:rPr>
          <w:rFonts w:ascii="Times New Roman" w:hAnsi="Times New Roman"/>
          <w:sz w:val="28"/>
          <w:szCs w:val="28"/>
        </w:rPr>
        <w:t xml:space="preserve">, </w:t>
      </w:r>
      <w:r w:rsidR="00A80D13">
        <w:rPr>
          <w:rFonts w:ascii="Times New Roman" w:hAnsi="Times New Roman"/>
          <w:sz w:val="28"/>
          <w:szCs w:val="28"/>
        </w:rPr>
        <w:t xml:space="preserve">to submit </w:t>
      </w:r>
      <w:r w:rsidR="007F4317">
        <w:rPr>
          <w:rFonts w:ascii="Times New Roman" w:hAnsi="Times New Roman"/>
          <w:sz w:val="28"/>
          <w:szCs w:val="28"/>
        </w:rPr>
        <w:t>a progress report on the status of the consolidation application within 7 days, failing which the first respondent would cancel the agreement granting consent to the consolidation.</w:t>
      </w:r>
      <w:r w:rsidR="007F4317">
        <w:rPr>
          <w:rStyle w:val="FootnoteReference"/>
          <w:rFonts w:ascii="Times New Roman" w:hAnsi="Times New Roman"/>
          <w:sz w:val="28"/>
          <w:szCs w:val="28"/>
        </w:rPr>
        <w:footnoteReference w:id="12"/>
      </w:r>
    </w:p>
    <w:p w:rsidR="007D1693" w:rsidRPr="00437E6F" w:rsidRDefault="007D1693" w:rsidP="004809BA">
      <w:pPr>
        <w:pStyle w:val="BodyTextIndent2"/>
        <w:widowControl/>
        <w:spacing w:after="0"/>
        <w:ind w:left="0"/>
        <w:jc w:val="both"/>
        <w:rPr>
          <w:rFonts w:ascii="Times New Roman" w:hAnsi="Times New Roman"/>
          <w:sz w:val="28"/>
          <w:szCs w:val="28"/>
        </w:rPr>
      </w:pPr>
    </w:p>
    <w:p w:rsidR="000279D3" w:rsidRPr="007D1693" w:rsidRDefault="00925F0E" w:rsidP="007D1693">
      <w:pPr>
        <w:pStyle w:val="BodyTextIndent2"/>
        <w:widowControl/>
        <w:spacing w:after="0"/>
        <w:ind w:left="0"/>
        <w:jc w:val="both"/>
        <w:rPr>
          <w:rFonts w:ascii="Times New Roman" w:hAnsi="Times New Roman"/>
          <w:i/>
          <w:sz w:val="28"/>
          <w:szCs w:val="28"/>
        </w:rPr>
      </w:pPr>
      <w:r>
        <w:rPr>
          <w:rFonts w:ascii="Times New Roman" w:hAnsi="Times New Roman"/>
          <w:sz w:val="28"/>
          <w:szCs w:val="28"/>
        </w:rPr>
        <w:t>[17</w:t>
      </w:r>
      <w:r w:rsidR="00CB7D75" w:rsidRPr="00437E6F">
        <w:rPr>
          <w:rFonts w:ascii="Times New Roman" w:hAnsi="Times New Roman"/>
          <w:sz w:val="28"/>
          <w:szCs w:val="28"/>
        </w:rPr>
        <w:t>]</w:t>
      </w:r>
      <w:r w:rsidR="00CB7D75" w:rsidRPr="00437E6F">
        <w:rPr>
          <w:rFonts w:ascii="Times New Roman" w:hAnsi="Times New Roman"/>
          <w:sz w:val="28"/>
          <w:szCs w:val="28"/>
        </w:rPr>
        <w:tab/>
      </w:r>
      <w:r w:rsidR="00055222">
        <w:rPr>
          <w:rFonts w:ascii="Times New Roman" w:hAnsi="Times New Roman"/>
          <w:sz w:val="28"/>
          <w:szCs w:val="28"/>
        </w:rPr>
        <w:t>In response to the above correspondence, the applicant’s attorneys informed the first respondent’s attorneys that they were ‘</w:t>
      </w:r>
      <w:r w:rsidR="00055222" w:rsidRPr="007D1693">
        <w:rPr>
          <w:rFonts w:ascii="Times New Roman" w:hAnsi="Times New Roman"/>
          <w:i/>
          <w:sz w:val="28"/>
          <w:szCs w:val="28"/>
        </w:rPr>
        <w:t>now proceeding with the consolidation and are attending to the signature of the relevant documents’</w:t>
      </w:r>
      <w:r w:rsidR="00A80D13">
        <w:rPr>
          <w:rFonts w:ascii="Times New Roman" w:hAnsi="Times New Roman"/>
          <w:sz w:val="28"/>
          <w:szCs w:val="28"/>
        </w:rPr>
        <w:t>. Of</w:t>
      </w:r>
      <w:r w:rsidR="00055222">
        <w:rPr>
          <w:rFonts w:ascii="Times New Roman" w:hAnsi="Times New Roman"/>
          <w:sz w:val="28"/>
          <w:szCs w:val="28"/>
        </w:rPr>
        <w:t xml:space="preserve"> noteworthy</w:t>
      </w:r>
      <w:r w:rsidR="00A80D13">
        <w:rPr>
          <w:rFonts w:ascii="Times New Roman" w:hAnsi="Times New Roman"/>
          <w:sz w:val="28"/>
          <w:szCs w:val="28"/>
        </w:rPr>
        <w:t>, is the fact</w:t>
      </w:r>
      <w:r w:rsidR="00055222">
        <w:rPr>
          <w:rFonts w:ascii="Times New Roman" w:hAnsi="Times New Roman"/>
          <w:sz w:val="28"/>
          <w:szCs w:val="28"/>
        </w:rPr>
        <w:t xml:space="preserve"> that from the latter part of 2010 the first respondent was represented by Mr Heunis who is also the deponent to the answering affidavit.</w:t>
      </w:r>
    </w:p>
    <w:p w:rsidR="00AF0DAA" w:rsidRPr="00437E6F" w:rsidRDefault="00AF0DAA" w:rsidP="00960A0E">
      <w:pPr>
        <w:pStyle w:val="BodyTextIndent2"/>
        <w:widowControl/>
        <w:spacing w:after="0" w:line="276" w:lineRule="auto"/>
        <w:ind w:left="1873" w:right="116"/>
        <w:jc w:val="both"/>
        <w:rPr>
          <w:rFonts w:ascii="Times New Roman" w:hAnsi="Times New Roman"/>
          <w:sz w:val="28"/>
          <w:szCs w:val="28"/>
          <w:lang w:val="en-ZA"/>
        </w:rPr>
      </w:pPr>
    </w:p>
    <w:p w:rsidR="00F139C3" w:rsidRPr="00437E6F" w:rsidRDefault="00925F0E" w:rsidP="00A75526">
      <w:pPr>
        <w:pStyle w:val="BodyTextIndent2"/>
        <w:widowControl/>
        <w:spacing w:after="0"/>
        <w:ind w:left="0" w:right="116"/>
        <w:jc w:val="both"/>
        <w:rPr>
          <w:rFonts w:ascii="Times New Roman" w:hAnsi="Times New Roman"/>
          <w:sz w:val="28"/>
          <w:szCs w:val="28"/>
          <w:lang w:val="en-ZA"/>
        </w:rPr>
      </w:pPr>
      <w:r>
        <w:rPr>
          <w:rFonts w:ascii="Times New Roman" w:hAnsi="Times New Roman"/>
          <w:sz w:val="28"/>
          <w:szCs w:val="28"/>
          <w:lang w:val="en-ZA"/>
        </w:rPr>
        <w:t>[18</w:t>
      </w:r>
      <w:r w:rsidR="00AF0DAA" w:rsidRPr="00437E6F">
        <w:rPr>
          <w:rFonts w:ascii="Times New Roman" w:hAnsi="Times New Roman"/>
          <w:sz w:val="28"/>
          <w:szCs w:val="28"/>
          <w:lang w:val="en-ZA"/>
        </w:rPr>
        <w:t>]</w:t>
      </w:r>
      <w:r w:rsidR="00AF0DAA" w:rsidRPr="00437E6F">
        <w:rPr>
          <w:rFonts w:ascii="Times New Roman" w:hAnsi="Times New Roman"/>
          <w:sz w:val="28"/>
          <w:szCs w:val="28"/>
          <w:lang w:val="en-ZA"/>
        </w:rPr>
        <w:tab/>
      </w:r>
      <w:r w:rsidR="007D1693">
        <w:rPr>
          <w:rFonts w:ascii="Times New Roman" w:hAnsi="Times New Roman"/>
          <w:sz w:val="28"/>
          <w:szCs w:val="28"/>
          <w:lang w:val="en-ZA"/>
        </w:rPr>
        <w:t>On 27 October 2014 the first respondent’s attorneys addressed another letter to the applicant’s attorneys once again putting the applicant on terms simila</w:t>
      </w:r>
      <w:r w:rsidR="00A9231F">
        <w:rPr>
          <w:rFonts w:ascii="Times New Roman" w:hAnsi="Times New Roman"/>
          <w:sz w:val="28"/>
          <w:szCs w:val="28"/>
          <w:lang w:val="en-ZA"/>
        </w:rPr>
        <w:t>r to the letter sent in October</w:t>
      </w:r>
      <w:r w:rsidR="007D1693">
        <w:rPr>
          <w:rFonts w:ascii="Times New Roman" w:hAnsi="Times New Roman"/>
          <w:sz w:val="28"/>
          <w:szCs w:val="28"/>
          <w:lang w:val="en-ZA"/>
        </w:rPr>
        <w:t xml:space="preserve"> 2012. The only difference between this letter </w:t>
      </w:r>
      <w:r w:rsidR="007D1693">
        <w:rPr>
          <w:rFonts w:ascii="Times New Roman" w:hAnsi="Times New Roman"/>
          <w:sz w:val="28"/>
          <w:szCs w:val="28"/>
          <w:lang w:val="en-ZA"/>
        </w:rPr>
        <w:lastRenderedPageBreak/>
        <w:t>and the 2012 one being that the 2014 letter referred to the agreement granting consent as having been entered into 3 years ago. According to the applicant this coincided with the time period within which the High Court order was granted.</w:t>
      </w:r>
    </w:p>
    <w:p w:rsidR="008C3071" w:rsidRPr="00437E6F" w:rsidRDefault="008C3071" w:rsidP="00960A0E">
      <w:pPr>
        <w:pStyle w:val="BodyTextIndent2"/>
        <w:widowControl/>
        <w:spacing w:after="0" w:line="360" w:lineRule="auto"/>
        <w:ind w:left="437" w:right="116" w:hanging="437"/>
        <w:jc w:val="both"/>
        <w:rPr>
          <w:rFonts w:ascii="Times New Roman" w:hAnsi="Times New Roman"/>
          <w:sz w:val="28"/>
          <w:szCs w:val="28"/>
          <w:lang w:val="en-ZA"/>
        </w:rPr>
      </w:pPr>
    </w:p>
    <w:p w:rsidR="002D27EB" w:rsidRPr="00437E6F" w:rsidRDefault="002D27EB" w:rsidP="0062357B">
      <w:pPr>
        <w:pStyle w:val="BodyTextIndent2"/>
        <w:widowControl/>
        <w:spacing w:after="0" w:line="360" w:lineRule="auto"/>
        <w:ind w:left="720" w:right="116" w:firstLine="3"/>
        <w:jc w:val="both"/>
        <w:rPr>
          <w:rFonts w:ascii="Times New Roman" w:hAnsi="Times New Roman"/>
          <w:sz w:val="28"/>
          <w:szCs w:val="28"/>
          <w:lang w:val="en-ZA"/>
        </w:rPr>
      </w:pPr>
    </w:p>
    <w:p w:rsidR="005B74B1" w:rsidRDefault="000279D3" w:rsidP="0062357B">
      <w:pPr>
        <w:pStyle w:val="BodyTextIndent2"/>
        <w:widowControl/>
        <w:spacing w:after="0"/>
        <w:ind w:left="0"/>
        <w:jc w:val="both"/>
        <w:rPr>
          <w:rFonts w:ascii="Times New Roman" w:hAnsi="Times New Roman"/>
          <w:sz w:val="28"/>
          <w:szCs w:val="28"/>
          <w:lang w:val="en-ZA"/>
        </w:rPr>
      </w:pPr>
      <w:r w:rsidRPr="00437E6F">
        <w:rPr>
          <w:rFonts w:ascii="Times New Roman" w:hAnsi="Times New Roman"/>
          <w:sz w:val="28"/>
          <w:szCs w:val="28"/>
          <w:lang w:val="en-ZA"/>
        </w:rPr>
        <w:t>[</w:t>
      </w:r>
      <w:r w:rsidR="00925F0E">
        <w:rPr>
          <w:rFonts w:ascii="Times New Roman" w:hAnsi="Times New Roman"/>
          <w:sz w:val="28"/>
          <w:szCs w:val="28"/>
          <w:lang w:val="en-ZA"/>
        </w:rPr>
        <w:t>19</w:t>
      </w:r>
      <w:r w:rsidRPr="00437E6F">
        <w:rPr>
          <w:rFonts w:ascii="Times New Roman" w:hAnsi="Times New Roman"/>
          <w:sz w:val="28"/>
          <w:szCs w:val="28"/>
          <w:lang w:val="en-ZA"/>
        </w:rPr>
        <w:t>]</w:t>
      </w:r>
      <w:r w:rsidR="008C3071" w:rsidRPr="00437E6F">
        <w:rPr>
          <w:rFonts w:ascii="Times New Roman" w:hAnsi="Times New Roman"/>
          <w:sz w:val="28"/>
          <w:szCs w:val="28"/>
          <w:lang w:val="en-ZA"/>
        </w:rPr>
        <w:tab/>
      </w:r>
      <w:r w:rsidR="008737D5">
        <w:rPr>
          <w:rFonts w:ascii="Times New Roman" w:hAnsi="Times New Roman"/>
          <w:sz w:val="28"/>
          <w:szCs w:val="28"/>
          <w:lang w:val="en-ZA"/>
        </w:rPr>
        <w:t>With no response to the above correspondence received from the applicant, the first respondent purported to cancel the agreement on 28 April 2015, making reference to the October 2014 letter.</w:t>
      </w:r>
    </w:p>
    <w:p w:rsidR="008737D5" w:rsidRPr="00437E6F" w:rsidRDefault="008737D5" w:rsidP="0062357B">
      <w:pPr>
        <w:pStyle w:val="BodyTextIndent2"/>
        <w:widowControl/>
        <w:spacing w:after="0"/>
        <w:ind w:left="0"/>
        <w:jc w:val="both"/>
        <w:rPr>
          <w:rFonts w:ascii="Times New Roman" w:hAnsi="Times New Roman"/>
          <w:sz w:val="28"/>
          <w:szCs w:val="28"/>
          <w:lang w:val="en-ZA"/>
        </w:rPr>
      </w:pPr>
    </w:p>
    <w:p w:rsidR="005B74B1" w:rsidRPr="00437E6F" w:rsidRDefault="0023559E" w:rsidP="005B74B1">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[20</w:t>
      </w:r>
      <w:r w:rsidR="0062357B" w:rsidRPr="00437E6F">
        <w:rPr>
          <w:rFonts w:ascii="Times New Roman" w:hAnsi="Times New Roman"/>
          <w:sz w:val="28"/>
          <w:szCs w:val="28"/>
          <w:lang w:val="en-ZA"/>
        </w:rPr>
        <w:t>]</w:t>
      </w:r>
      <w:r w:rsidR="0062357B" w:rsidRPr="00437E6F">
        <w:rPr>
          <w:rFonts w:ascii="Times New Roman" w:hAnsi="Times New Roman"/>
          <w:sz w:val="28"/>
          <w:szCs w:val="28"/>
          <w:lang w:val="en-ZA"/>
        </w:rPr>
        <w:tab/>
      </w:r>
      <w:r w:rsidR="00BD4CFF">
        <w:rPr>
          <w:rFonts w:ascii="Times New Roman" w:hAnsi="Times New Roman"/>
          <w:sz w:val="28"/>
          <w:szCs w:val="28"/>
          <w:lang w:val="en-ZA"/>
        </w:rPr>
        <w:t>Subsequent to the purported cancellation, the first respondent proceeded to construct a servi</w:t>
      </w:r>
      <w:r w:rsidR="00A9231F">
        <w:rPr>
          <w:rFonts w:ascii="Times New Roman" w:hAnsi="Times New Roman"/>
          <w:sz w:val="28"/>
          <w:szCs w:val="28"/>
          <w:lang w:val="en-ZA"/>
        </w:rPr>
        <w:t>ce road on the portion between e</w:t>
      </w:r>
      <w:r w:rsidR="00BD4CFF">
        <w:rPr>
          <w:rFonts w:ascii="Times New Roman" w:hAnsi="Times New Roman"/>
          <w:sz w:val="28"/>
          <w:szCs w:val="28"/>
          <w:lang w:val="en-ZA"/>
        </w:rPr>
        <w:t>rf 1310 and 1315</w:t>
      </w:r>
      <w:r w:rsidR="00A9231F">
        <w:rPr>
          <w:rFonts w:ascii="Times New Roman" w:hAnsi="Times New Roman"/>
          <w:sz w:val="28"/>
          <w:szCs w:val="28"/>
          <w:lang w:val="en-ZA"/>
        </w:rPr>
        <w:t>. It is the applicant’s contention that this</w:t>
      </w:r>
      <w:r w:rsidR="00BD4CFF">
        <w:rPr>
          <w:rFonts w:ascii="Times New Roman" w:hAnsi="Times New Roman"/>
          <w:sz w:val="28"/>
          <w:szCs w:val="28"/>
          <w:lang w:val="en-ZA"/>
        </w:rPr>
        <w:t xml:space="preserve"> affected the</w:t>
      </w:r>
      <w:r w:rsidR="00A9231F">
        <w:rPr>
          <w:rFonts w:ascii="Times New Roman" w:hAnsi="Times New Roman"/>
          <w:sz w:val="28"/>
          <w:szCs w:val="28"/>
          <w:lang w:val="en-ZA"/>
        </w:rPr>
        <w:t xml:space="preserve"> consolidation process.</w:t>
      </w:r>
    </w:p>
    <w:p w:rsidR="003C7E8A" w:rsidRPr="00437E6F" w:rsidRDefault="003C7E8A" w:rsidP="0062357B">
      <w:pPr>
        <w:pStyle w:val="BodyTextIndent2"/>
        <w:widowControl/>
        <w:spacing w:after="0"/>
        <w:ind w:left="0"/>
        <w:jc w:val="both"/>
        <w:rPr>
          <w:rFonts w:ascii="Times New Roman" w:hAnsi="Times New Roman"/>
          <w:sz w:val="28"/>
          <w:szCs w:val="28"/>
          <w:lang w:val="en-ZA"/>
        </w:rPr>
      </w:pPr>
    </w:p>
    <w:p w:rsidR="006D0D7C" w:rsidRPr="00437E6F" w:rsidRDefault="0023559E" w:rsidP="0075710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[21</w:t>
      </w:r>
      <w:r w:rsidR="0062357B" w:rsidRPr="00437E6F">
        <w:rPr>
          <w:rFonts w:ascii="Times New Roman" w:hAnsi="Times New Roman" w:cs="Times New Roman"/>
          <w:sz w:val="28"/>
          <w:szCs w:val="28"/>
        </w:rPr>
        <w:t>]</w:t>
      </w:r>
      <w:r w:rsidR="0062357B" w:rsidRPr="00437E6F">
        <w:rPr>
          <w:rFonts w:ascii="Times New Roman" w:hAnsi="Times New Roman" w:cs="Times New Roman"/>
          <w:sz w:val="28"/>
          <w:szCs w:val="28"/>
        </w:rPr>
        <w:tab/>
      </w:r>
      <w:r w:rsidR="007C3391" w:rsidRPr="00437E6F">
        <w:rPr>
          <w:rFonts w:ascii="Times New Roman" w:hAnsi="Times New Roman" w:cs="Times New Roman"/>
          <w:sz w:val="28"/>
          <w:szCs w:val="28"/>
        </w:rPr>
        <w:t xml:space="preserve">On </w:t>
      </w:r>
      <w:r w:rsidR="00F97632">
        <w:rPr>
          <w:rFonts w:ascii="Times New Roman" w:hAnsi="Times New Roman" w:cs="Times New Roman"/>
          <w:sz w:val="28"/>
          <w:szCs w:val="28"/>
        </w:rPr>
        <w:t xml:space="preserve">3 July 2015 the applicant’s attorneys addressed correspondence to the first respondent indicating that the consolidation process originally envisaged could not have proceeded and that the process would have had to follow that of a notarial tie in due course. This requirement </w:t>
      </w:r>
      <w:r w:rsidR="00EA740C">
        <w:rPr>
          <w:rFonts w:ascii="Times New Roman" w:hAnsi="Times New Roman" w:cs="Times New Roman"/>
          <w:sz w:val="28"/>
          <w:szCs w:val="28"/>
        </w:rPr>
        <w:t>(</w:t>
      </w:r>
      <w:r w:rsidR="00F97632">
        <w:rPr>
          <w:rFonts w:ascii="Times New Roman" w:hAnsi="Times New Roman" w:cs="Times New Roman"/>
          <w:sz w:val="28"/>
          <w:szCs w:val="28"/>
        </w:rPr>
        <w:t>of a notarial tie</w:t>
      </w:r>
      <w:r w:rsidR="00EA740C">
        <w:rPr>
          <w:rFonts w:ascii="Times New Roman" w:hAnsi="Times New Roman" w:cs="Times New Roman"/>
          <w:sz w:val="28"/>
          <w:szCs w:val="28"/>
        </w:rPr>
        <w:t>)</w:t>
      </w:r>
      <w:r w:rsidR="00F97632">
        <w:rPr>
          <w:rFonts w:ascii="Times New Roman" w:hAnsi="Times New Roman" w:cs="Times New Roman"/>
          <w:sz w:val="28"/>
          <w:szCs w:val="28"/>
        </w:rPr>
        <w:t xml:space="preserve"> had been communicated to Heunis befo</w:t>
      </w:r>
      <w:r w:rsidR="00E755B7">
        <w:rPr>
          <w:rFonts w:ascii="Times New Roman" w:hAnsi="Times New Roman" w:cs="Times New Roman"/>
          <w:sz w:val="28"/>
          <w:szCs w:val="28"/>
        </w:rPr>
        <w:t>re the High Court order dated 5 September 2011.</w:t>
      </w:r>
    </w:p>
    <w:p w:rsidR="006D0D7C" w:rsidRPr="00437E6F" w:rsidRDefault="006D0D7C" w:rsidP="00BE4E39">
      <w:pPr>
        <w:pStyle w:val="BodyTextIndent2"/>
        <w:widowControl/>
        <w:spacing w:after="0"/>
        <w:ind w:left="720" w:hanging="720"/>
        <w:jc w:val="both"/>
        <w:rPr>
          <w:rFonts w:ascii="Times New Roman" w:hAnsi="Times New Roman"/>
          <w:sz w:val="28"/>
          <w:szCs w:val="28"/>
          <w:lang w:val="en-ZA"/>
        </w:rPr>
      </w:pPr>
    </w:p>
    <w:p w:rsidR="0028285F" w:rsidRPr="00437E6F" w:rsidRDefault="0023559E"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[22</w:t>
      </w:r>
      <w:r w:rsidR="006D0D7C" w:rsidRPr="00437E6F">
        <w:rPr>
          <w:rFonts w:ascii="Times New Roman" w:hAnsi="Times New Roman"/>
          <w:sz w:val="28"/>
          <w:szCs w:val="28"/>
          <w:lang w:val="en-ZA"/>
        </w:rPr>
        <w:t>]</w:t>
      </w:r>
      <w:r w:rsidR="006D0D7C" w:rsidRPr="00437E6F">
        <w:rPr>
          <w:rFonts w:ascii="Times New Roman" w:hAnsi="Times New Roman"/>
          <w:sz w:val="28"/>
          <w:szCs w:val="28"/>
          <w:lang w:val="en-ZA"/>
        </w:rPr>
        <w:tab/>
      </w:r>
      <w:r w:rsidR="00E755B7">
        <w:rPr>
          <w:rFonts w:ascii="Times New Roman" w:hAnsi="Times New Roman"/>
          <w:sz w:val="28"/>
          <w:szCs w:val="28"/>
          <w:lang w:val="en-ZA"/>
        </w:rPr>
        <w:t>On 15 June 2017, the applicant’s then attorneys wrote to the first respondent submitting that the construction of the road as well as the purported cancellation were unlawful.</w:t>
      </w:r>
    </w:p>
    <w:p w:rsidR="0028285F" w:rsidRPr="00437E6F" w:rsidRDefault="0028285F" w:rsidP="00757103">
      <w:pPr>
        <w:pStyle w:val="BodyTextIndent2"/>
        <w:widowControl/>
        <w:spacing w:after="0"/>
        <w:ind w:left="720" w:hanging="720"/>
        <w:jc w:val="both"/>
        <w:rPr>
          <w:rFonts w:ascii="Times New Roman" w:hAnsi="Times New Roman"/>
          <w:sz w:val="28"/>
          <w:szCs w:val="28"/>
          <w:lang w:val="en-ZA"/>
        </w:rPr>
      </w:pPr>
    </w:p>
    <w:p w:rsidR="0028285F" w:rsidRDefault="0023559E"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[23</w:t>
      </w:r>
      <w:r w:rsidR="0028285F" w:rsidRPr="00437E6F">
        <w:rPr>
          <w:rFonts w:ascii="Times New Roman" w:hAnsi="Times New Roman"/>
          <w:sz w:val="28"/>
          <w:szCs w:val="28"/>
          <w:lang w:val="en-ZA"/>
        </w:rPr>
        <w:t>]</w:t>
      </w:r>
      <w:r w:rsidR="0028285F" w:rsidRPr="00437E6F">
        <w:rPr>
          <w:rFonts w:ascii="Times New Roman" w:hAnsi="Times New Roman"/>
          <w:sz w:val="28"/>
          <w:szCs w:val="28"/>
          <w:lang w:val="en-ZA"/>
        </w:rPr>
        <w:tab/>
      </w:r>
      <w:r w:rsidR="00E755B7">
        <w:rPr>
          <w:rFonts w:ascii="Times New Roman" w:hAnsi="Times New Roman"/>
          <w:sz w:val="28"/>
          <w:szCs w:val="28"/>
          <w:lang w:val="en-ZA"/>
        </w:rPr>
        <w:t>On 16 July 2020 the first respondent contended that the applicant was in arrears with p</w:t>
      </w:r>
      <w:r w:rsidR="00A9231F">
        <w:rPr>
          <w:rFonts w:ascii="Times New Roman" w:hAnsi="Times New Roman"/>
          <w:sz w:val="28"/>
          <w:szCs w:val="28"/>
          <w:lang w:val="en-ZA"/>
        </w:rPr>
        <w:t>ayments for levies relating to e</w:t>
      </w:r>
      <w:r w:rsidR="00E755B7">
        <w:rPr>
          <w:rFonts w:ascii="Times New Roman" w:hAnsi="Times New Roman"/>
          <w:sz w:val="28"/>
          <w:szCs w:val="28"/>
          <w:lang w:val="en-ZA"/>
        </w:rPr>
        <w:t>rf 1310, and subsequently, issued summons</w:t>
      </w:r>
      <w:r w:rsidR="00906562">
        <w:rPr>
          <w:rFonts w:ascii="Times New Roman" w:hAnsi="Times New Roman"/>
          <w:sz w:val="28"/>
          <w:szCs w:val="28"/>
          <w:lang w:val="en-ZA"/>
        </w:rPr>
        <w:t xml:space="preserve"> for payment of such levies.</w:t>
      </w:r>
      <w:r w:rsidR="0028285F" w:rsidRPr="00437E6F">
        <w:rPr>
          <w:rFonts w:ascii="Times New Roman" w:hAnsi="Times New Roman"/>
          <w:sz w:val="28"/>
          <w:szCs w:val="28"/>
          <w:lang w:val="en-ZA"/>
        </w:rPr>
        <w:t xml:space="preserve"> </w:t>
      </w:r>
    </w:p>
    <w:p w:rsidR="00A9231F" w:rsidRPr="00437E6F" w:rsidRDefault="00A9231F" w:rsidP="009D53C9">
      <w:pPr>
        <w:pStyle w:val="BodyTextIndent2"/>
        <w:widowControl/>
        <w:spacing w:after="0"/>
        <w:ind w:left="0"/>
        <w:jc w:val="both"/>
        <w:rPr>
          <w:rFonts w:ascii="Times New Roman" w:hAnsi="Times New Roman"/>
          <w:sz w:val="28"/>
          <w:szCs w:val="28"/>
          <w:lang w:val="en-ZA"/>
        </w:rPr>
      </w:pPr>
    </w:p>
    <w:p w:rsidR="0028285F" w:rsidRDefault="00906562" w:rsidP="00757103">
      <w:pPr>
        <w:pStyle w:val="BodyTextIndent2"/>
        <w:widowControl/>
        <w:spacing w:after="0"/>
        <w:ind w:left="720" w:hanging="720"/>
        <w:jc w:val="both"/>
        <w:rPr>
          <w:rFonts w:ascii="Times New Roman" w:hAnsi="Times New Roman"/>
          <w:b/>
          <w:sz w:val="28"/>
          <w:szCs w:val="28"/>
          <w:lang w:val="en-ZA"/>
        </w:rPr>
      </w:pPr>
      <w:r w:rsidRPr="00906562">
        <w:rPr>
          <w:rFonts w:ascii="Times New Roman" w:hAnsi="Times New Roman"/>
          <w:b/>
          <w:sz w:val="28"/>
          <w:szCs w:val="28"/>
          <w:lang w:val="en-ZA"/>
        </w:rPr>
        <w:t>THE APPLICANT’S CASE</w:t>
      </w:r>
    </w:p>
    <w:p w:rsidR="00906562" w:rsidRPr="00906562" w:rsidRDefault="00906562" w:rsidP="00757103">
      <w:pPr>
        <w:pStyle w:val="BodyTextIndent2"/>
        <w:widowControl/>
        <w:spacing w:after="0"/>
        <w:ind w:left="720" w:hanging="720"/>
        <w:jc w:val="both"/>
        <w:rPr>
          <w:rFonts w:ascii="Times New Roman" w:hAnsi="Times New Roman"/>
          <w:b/>
          <w:sz w:val="28"/>
          <w:szCs w:val="28"/>
          <w:lang w:val="en-ZA"/>
        </w:rPr>
      </w:pPr>
    </w:p>
    <w:p w:rsidR="0028285F" w:rsidRPr="00437E6F" w:rsidRDefault="0023559E"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[24</w:t>
      </w:r>
      <w:r w:rsidR="0028285F" w:rsidRPr="00437E6F">
        <w:rPr>
          <w:rFonts w:ascii="Times New Roman" w:hAnsi="Times New Roman"/>
          <w:sz w:val="28"/>
          <w:szCs w:val="28"/>
          <w:lang w:val="en-ZA"/>
        </w:rPr>
        <w:t>]</w:t>
      </w:r>
      <w:r w:rsidR="0028285F" w:rsidRPr="00437E6F">
        <w:rPr>
          <w:rFonts w:ascii="Times New Roman" w:hAnsi="Times New Roman"/>
          <w:sz w:val="28"/>
          <w:szCs w:val="28"/>
          <w:lang w:val="en-ZA"/>
        </w:rPr>
        <w:tab/>
      </w:r>
      <w:r w:rsidR="00906562">
        <w:rPr>
          <w:rFonts w:ascii="Times New Roman" w:hAnsi="Times New Roman"/>
          <w:sz w:val="28"/>
          <w:szCs w:val="28"/>
          <w:lang w:val="en-ZA"/>
        </w:rPr>
        <w:t>As can be gleaned from the founding affidavit, and as it crystallised in argument at the hearing, the applicant’</w:t>
      </w:r>
      <w:r w:rsidR="00772977">
        <w:rPr>
          <w:rFonts w:ascii="Times New Roman" w:hAnsi="Times New Roman"/>
          <w:sz w:val="28"/>
          <w:szCs w:val="28"/>
          <w:lang w:val="en-ZA"/>
        </w:rPr>
        <w:t xml:space="preserve">s case is that the first respondent unconditionally consented to the effective consolidation of the aforementioned erven, which </w:t>
      </w:r>
      <w:r w:rsidR="00CF26AA">
        <w:rPr>
          <w:rFonts w:ascii="Times New Roman" w:hAnsi="Times New Roman"/>
          <w:sz w:val="28"/>
          <w:szCs w:val="28"/>
          <w:lang w:val="en-ZA"/>
        </w:rPr>
        <w:t>consent was made an order of court in terms of the settlement agreement on 5 September 2011. Furthermore, the applicant contends that in terms of the aforementioned court order, the first respondent agreed not to service</w:t>
      </w:r>
      <w:r w:rsidR="00A9231F">
        <w:rPr>
          <w:rFonts w:ascii="Times New Roman" w:hAnsi="Times New Roman"/>
          <w:sz w:val="28"/>
          <w:szCs w:val="28"/>
          <w:lang w:val="en-ZA"/>
        </w:rPr>
        <w:t xml:space="preserve"> separate levies in respect of e</w:t>
      </w:r>
      <w:r w:rsidR="00CF26AA">
        <w:rPr>
          <w:rFonts w:ascii="Times New Roman" w:hAnsi="Times New Roman"/>
          <w:sz w:val="28"/>
          <w:szCs w:val="28"/>
          <w:lang w:val="en-ZA"/>
        </w:rPr>
        <w:t>rf 1310 as the two erven would in future be treated as consolidated, thus indicating that consolidation had not taken place at the time.</w:t>
      </w:r>
    </w:p>
    <w:p w:rsidR="0028285F" w:rsidRPr="00437E6F" w:rsidRDefault="0028285F" w:rsidP="00757103">
      <w:pPr>
        <w:pStyle w:val="BodyTextIndent2"/>
        <w:widowControl/>
        <w:spacing w:after="0"/>
        <w:ind w:left="720" w:hanging="720"/>
        <w:jc w:val="both"/>
        <w:rPr>
          <w:rFonts w:ascii="Times New Roman" w:hAnsi="Times New Roman"/>
          <w:sz w:val="28"/>
          <w:szCs w:val="28"/>
          <w:lang w:val="en-ZA"/>
        </w:rPr>
      </w:pPr>
    </w:p>
    <w:p w:rsidR="0028285F" w:rsidRPr="00437E6F" w:rsidRDefault="004C4594"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[25</w:t>
      </w:r>
      <w:r w:rsidR="0028285F" w:rsidRPr="00437E6F">
        <w:rPr>
          <w:rFonts w:ascii="Times New Roman" w:hAnsi="Times New Roman"/>
          <w:sz w:val="28"/>
          <w:szCs w:val="28"/>
          <w:lang w:val="en-ZA"/>
        </w:rPr>
        <w:t>]</w:t>
      </w:r>
      <w:r w:rsidR="0028285F" w:rsidRPr="00437E6F">
        <w:rPr>
          <w:rFonts w:ascii="Times New Roman" w:hAnsi="Times New Roman"/>
          <w:sz w:val="28"/>
          <w:szCs w:val="28"/>
          <w:lang w:val="en-ZA"/>
        </w:rPr>
        <w:tab/>
        <w:t xml:space="preserve">The </w:t>
      </w:r>
      <w:r w:rsidR="00A2333C">
        <w:rPr>
          <w:rFonts w:ascii="Times New Roman" w:hAnsi="Times New Roman"/>
          <w:sz w:val="28"/>
          <w:szCs w:val="28"/>
          <w:lang w:val="en-ZA"/>
        </w:rPr>
        <w:t xml:space="preserve">applicant contends further, that implicit in the above order, the first respondent agreed to do whatever is necessary to assist the applicant in ensuring the aforementioned consolidation, including a notarial tie, and not to do anything to interfere with the said consolidation. </w:t>
      </w:r>
    </w:p>
    <w:p w:rsidR="0028285F" w:rsidRPr="00437E6F" w:rsidRDefault="0028285F" w:rsidP="00757103">
      <w:pPr>
        <w:pStyle w:val="BodyTextIndent2"/>
        <w:widowControl/>
        <w:spacing w:after="0"/>
        <w:ind w:left="720" w:hanging="720"/>
        <w:jc w:val="both"/>
        <w:rPr>
          <w:rFonts w:ascii="Times New Roman" w:hAnsi="Times New Roman"/>
          <w:sz w:val="28"/>
          <w:szCs w:val="28"/>
          <w:lang w:val="en-ZA"/>
        </w:rPr>
      </w:pPr>
    </w:p>
    <w:p w:rsidR="0001063A" w:rsidRPr="00437E6F" w:rsidRDefault="004C4594"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lastRenderedPageBreak/>
        <w:t>[26</w:t>
      </w:r>
      <w:r w:rsidR="0001063A" w:rsidRPr="00437E6F">
        <w:rPr>
          <w:rFonts w:ascii="Times New Roman" w:hAnsi="Times New Roman"/>
          <w:sz w:val="28"/>
          <w:szCs w:val="28"/>
          <w:lang w:val="en-ZA"/>
        </w:rPr>
        <w:t>]</w:t>
      </w:r>
      <w:r w:rsidR="0001063A" w:rsidRPr="00437E6F">
        <w:rPr>
          <w:rFonts w:ascii="Times New Roman" w:hAnsi="Times New Roman"/>
          <w:sz w:val="28"/>
          <w:szCs w:val="28"/>
          <w:lang w:val="en-ZA"/>
        </w:rPr>
        <w:tab/>
      </w:r>
      <w:r w:rsidR="00A2333C">
        <w:rPr>
          <w:rFonts w:ascii="Times New Roman" w:hAnsi="Times New Roman"/>
          <w:sz w:val="28"/>
          <w:szCs w:val="28"/>
          <w:lang w:val="en-ZA"/>
        </w:rPr>
        <w:t xml:space="preserve">Based on the above, it is the applicant’s contention that the first respondent’s cancellation of its consent is therefore unlawful, null and void. This, the argument goes, remains the position as the court order </w:t>
      </w:r>
      <w:r w:rsidR="00FC5D69">
        <w:rPr>
          <w:rFonts w:ascii="Times New Roman" w:hAnsi="Times New Roman"/>
          <w:sz w:val="28"/>
          <w:szCs w:val="28"/>
          <w:lang w:val="en-ZA"/>
        </w:rPr>
        <w:t>still stands and is binding until set aside by a competent court of law.</w:t>
      </w:r>
    </w:p>
    <w:p w:rsidR="0001063A" w:rsidRPr="00437E6F" w:rsidRDefault="0001063A" w:rsidP="00757103">
      <w:pPr>
        <w:pStyle w:val="BodyTextIndent2"/>
        <w:widowControl/>
        <w:spacing w:after="0"/>
        <w:ind w:left="720" w:hanging="720"/>
        <w:jc w:val="both"/>
        <w:rPr>
          <w:rFonts w:ascii="Times New Roman" w:hAnsi="Times New Roman"/>
          <w:sz w:val="28"/>
          <w:szCs w:val="28"/>
          <w:lang w:val="en-ZA"/>
        </w:rPr>
      </w:pPr>
    </w:p>
    <w:p w:rsidR="00FC153B" w:rsidRPr="00437E6F" w:rsidRDefault="004C4594"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[27</w:t>
      </w:r>
      <w:r w:rsidR="0001063A" w:rsidRPr="00437E6F">
        <w:rPr>
          <w:rFonts w:ascii="Times New Roman" w:hAnsi="Times New Roman"/>
          <w:sz w:val="28"/>
          <w:szCs w:val="28"/>
          <w:lang w:val="en-ZA"/>
        </w:rPr>
        <w:t>]</w:t>
      </w:r>
      <w:r w:rsidR="0001063A" w:rsidRPr="00437E6F">
        <w:rPr>
          <w:rFonts w:ascii="Times New Roman" w:hAnsi="Times New Roman"/>
          <w:sz w:val="28"/>
          <w:szCs w:val="28"/>
          <w:lang w:val="en-ZA"/>
        </w:rPr>
        <w:tab/>
      </w:r>
      <w:r w:rsidR="00FC5D69">
        <w:rPr>
          <w:rFonts w:ascii="Times New Roman" w:hAnsi="Times New Roman"/>
          <w:sz w:val="28"/>
          <w:szCs w:val="28"/>
          <w:lang w:val="en-ZA"/>
        </w:rPr>
        <w:t>On the other hand, the case advanced by the first respondent in reply is that the consent was conditional and that the applicant having failed</w:t>
      </w:r>
      <w:r w:rsidR="00A9231F">
        <w:rPr>
          <w:rFonts w:ascii="Times New Roman" w:hAnsi="Times New Roman"/>
          <w:sz w:val="28"/>
          <w:szCs w:val="28"/>
          <w:lang w:val="en-ZA"/>
        </w:rPr>
        <w:t xml:space="preserve"> to comply with such conditions,</w:t>
      </w:r>
      <w:r w:rsidR="00FC5D69">
        <w:rPr>
          <w:rFonts w:ascii="Times New Roman" w:hAnsi="Times New Roman"/>
          <w:sz w:val="28"/>
          <w:szCs w:val="28"/>
          <w:lang w:val="en-ZA"/>
        </w:rPr>
        <w:t xml:space="preserve"> specifically, the requirements as provided for in terms of LUPO,</w:t>
      </w:r>
      <w:r w:rsidR="00FC5D69">
        <w:rPr>
          <w:rStyle w:val="FootnoteReference"/>
          <w:rFonts w:ascii="Times New Roman" w:hAnsi="Times New Roman"/>
          <w:sz w:val="28"/>
          <w:szCs w:val="28"/>
          <w:lang w:val="en-ZA"/>
        </w:rPr>
        <w:footnoteReference w:id="13"/>
      </w:r>
      <w:r w:rsidR="00FC5D69">
        <w:rPr>
          <w:rFonts w:ascii="Times New Roman" w:hAnsi="Times New Roman"/>
          <w:sz w:val="28"/>
          <w:szCs w:val="28"/>
          <w:lang w:val="en-ZA"/>
        </w:rPr>
        <w:t>the consent lapsed in 2010, 5 years after it was given. The first respondent contends thus, that the cancellation was superfluous as the consent had already lapsed</w:t>
      </w:r>
      <w:r w:rsidR="00A9231F">
        <w:rPr>
          <w:rFonts w:ascii="Times New Roman" w:hAnsi="Times New Roman"/>
          <w:sz w:val="28"/>
          <w:szCs w:val="28"/>
          <w:lang w:val="en-ZA"/>
        </w:rPr>
        <w:t xml:space="preserve"> by that time</w:t>
      </w:r>
      <w:r w:rsidR="00FC5D69">
        <w:rPr>
          <w:rFonts w:ascii="Times New Roman" w:hAnsi="Times New Roman"/>
          <w:sz w:val="28"/>
          <w:szCs w:val="28"/>
          <w:lang w:val="en-ZA"/>
        </w:rPr>
        <w:t xml:space="preserve">. </w:t>
      </w:r>
    </w:p>
    <w:p w:rsidR="00FC153B" w:rsidRPr="00437E6F" w:rsidRDefault="00FC153B" w:rsidP="00757103">
      <w:pPr>
        <w:pStyle w:val="BodyTextIndent2"/>
        <w:widowControl/>
        <w:spacing w:after="0"/>
        <w:ind w:left="720" w:hanging="720"/>
        <w:jc w:val="both"/>
        <w:rPr>
          <w:rFonts w:ascii="Times New Roman" w:hAnsi="Times New Roman"/>
          <w:sz w:val="28"/>
          <w:szCs w:val="28"/>
          <w:lang w:val="en-ZA"/>
        </w:rPr>
      </w:pPr>
    </w:p>
    <w:p w:rsidR="00051D4A" w:rsidRPr="00437E6F" w:rsidRDefault="00C62EF5"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[28</w:t>
      </w:r>
      <w:r w:rsidR="00FC153B" w:rsidRPr="00437E6F">
        <w:rPr>
          <w:rFonts w:ascii="Times New Roman" w:hAnsi="Times New Roman"/>
          <w:sz w:val="28"/>
          <w:szCs w:val="28"/>
          <w:lang w:val="en-ZA"/>
        </w:rPr>
        <w:t>]</w:t>
      </w:r>
      <w:r w:rsidR="00FC153B" w:rsidRPr="00437E6F">
        <w:rPr>
          <w:rFonts w:ascii="Times New Roman" w:hAnsi="Times New Roman"/>
          <w:sz w:val="28"/>
          <w:szCs w:val="28"/>
          <w:lang w:val="en-ZA"/>
        </w:rPr>
        <w:tab/>
      </w:r>
      <w:r w:rsidR="00475297">
        <w:rPr>
          <w:rFonts w:ascii="Times New Roman" w:hAnsi="Times New Roman"/>
          <w:sz w:val="28"/>
          <w:szCs w:val="28"/>
          <w:lang w:val="en-ZA"/>
        </w:rPr>
        <w:t xml:space="preserve">As regards the </w:t>
      </w:r>
      <w:r w:rsidR="006073EE">
        <w:rPr>
          <w:rFonts w:ascii="Times New Roman" w:hAnsi="Times New Roman"/>
          <w:sz w:val="28"/>
          <w:szCs w:val="28"/>
          <w:lang w:val="en-ZA"/>
        </w:rPr>
        <w:t xml:space="preserve">agreement contained in the </w:t>
      </w:r>
      <w:r w:rsidR="00475297">
        <w:rPr>
          <w:rFonts w:ascii="Times New Roman" w:hAnsi="Times New Roman"/>
          <w:sz w:val="28"/>
          <w:szCs w:val="28"/>
          <w:lang w:val="en-ZA"/>
        </w:rPr>
        <w:t>court orde</w:t>
      </w:r>
      <w:r w:rsidR="006073EE">
        <w:rPr>
          <w:rFonts w:ascii="Times New Roman" w:hAnsi="Times New Roman"/>
          <w:sz w:val="28"/>
          <w:szCs w:val="28"/>
          <w:lang w:val="en-ZA"/>
        </w:rPr>
        <w:t>r, the first respondent argues that it was synallagmatic, and with no payment having been received from or on the part of the applicant in terms thereof, it is not open to the applicant to seek to enforce</w:t>
      </w:r>
      <w:r w:rsidR="00051D4A" w:rsidRPr="00437E6F">
        <w:rPr>
          <w:rFonts w:ascii="Times New Roman" w:hAnsi="Times New Roman"/>
          <w:sz w:val="28"/>
          <w:szCs w:val="28"/>
          <w:lang w:val="en-ZA"/>
        </w:rPr>
        <w:t xml:space="preserve"> </w:t>
      </w:r>
      <w:r w:rsidR="006073EE">
        <w:rPr>
          <w:rFonts w:ascii="Times New Roman" w:hAnsi="Times New Roman"/>
          <w:sz w:val="28"/>
          <w:szCs w:val="28"/>
          <w:lang w:val="en-ZA"/>
        </w:rPr>
        <w:t xml:space="preserve">the first respondent’s contended obligations in terms thereof. With no payment having been received in terms of the applicant’s obligations in terms of the agreement, the argument goes, </w:t>
      </w:r>
      <w:r w:rsidR="00340F6F">
        <w:rPr>
          <w:rFonts w:ascii="Times New Roman" w:hAnsi="Times New Roman"/>
          <w:sz w:val="28"/>
          <w:szCs w:val="28"/>
          <w:lang w:val="en-ZA"/>
        </w:rPr>
        <w:t>paragraph 5 of the court order could not be triggered.</w:t>
      </w:r>
    </w:p>
    <w:p w:rsidR="00051D4A" w:rsidRPr="00437E6F" w:rsidRDefault="00051D4A" w:rsidP="00757103">
      <w:pPr>
        <w:pStyle w:val="BodyTextIndent2"/>
        <w:widowControl/>
        <w:spacing w:after="0"/>
        <w:ind w:left="720" w:hanging="720"/>
        <w:jc w:val="both"/>
        <w:rPr>
          <w:rFonts w:ascii="Times New Roman" w:hAnsi="Times New Roman"/>
          <w:sz w:val="28"/>
          <w:szCs w:val="28"/>
          <w:lang w:val="en-ZA"/>
        </w:rPr>
      </w:pPr>
    </w:p>
    <w:p w:rsidR="00340F6F" w:rsidRDefault="005F7035"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lastRenderedPageBreak/>
        <w:t>[29</w:t>
      </w:r>
      <w:r w:rsidR="00051D4A" w:rsidRPr="00437E6F">
        <w:rPr>
          <w:rFonts w:ascii="Times New Roman" w:hAnsi="Times New Roman"/>
          <w:sz w:val="28"/>
          <w:szCs w:val="28"/>
          <w:lang w:val="en-ZA"/>
        </w:rPr>
        <w:t>]</w:t>
      </w:r>
      <w:r w:rsidR="00051D4A" w:rsidRPr="00437E6F">
        <w:rPr>
          <w:rFonts w:ascii="Times New Roman" w:hAnsi="Times New Roman"/>
          <w:sz w:val="28"/>
          <w:szCs w:val="28"/>
          <w:lang w:val="en-ZA"/>
        </w:rPr>
        <w:tab/>
      </w:r>
      <w:r w:rsidR="00340F6F">
        <w:rPr>
          <w:rFonts w:ascii="Times New Roman" w:hAnsi="Times New Roman"/>
          <w:sz w:val="28"/>
          <w:szCs w:val="28"/>
          <w:lang w:val="en-ZA"/>
        </w:rPr>
        <w:t>As a further ground for the opposition of the applicant’s case, the first respondent also raised the non-joinder of the Kouga municipal</w:t>
      </w:r>
      <w:r w:rsidR="00653F12">
        <w:rPr>
          <w:rFonts w:ascii="Times New Roman" w:hAnsi="Times New Roman"/>
          <w:sz w:val="28"/>
          <w:szCs w:val="28"/>
          <w:lang w:val="en-ZA"/>
        </w:rPr>
        <w:t>ity</w:t>
      </w:r>
      <w:r w:rsidR="00340F6F">
        <w:rPr>
          <w:rFonts w:ascii="Times New Roman" w:hAnsi="Times New Roman"/>
          <w:sz w:val="28"/>
          <w:szCs w:val="28"/>
          <w:lang w:val="en-ZA"/>
        </w:rPr>
        <w:t>. It is contended in this regard, that the grant of the order sought will have a direct impact on the basis upon which the applicant will implement the consolidation, in particular, the requirement to move the road</w:t>
      </w:r>
      <w:r w:rsidR="00113E8D">
        <w:rPr>
          <w:rFonts w:ascii="Times New Roman" w:hAnsi="Times New Roman"/>
          <w:sz w:val="28"/>
          <w:szCs w:val="28"/>
          <w:lang w:val="en-ZA"/>
        </w:rPr>
        <w:t>, and accordingly the interests of the municipality (as the owner of the roads). The submission therefore is that the municipality has a direct and substantial interest in the relief sought by the applicant, as such, the court cannot hear the ma</w:t>
      </w:r>
      <w:r w:rsidR="00653F12">
        <w:rPr>
          <w:rFonts w:ascii="Times New Roman" w:hAnsi="Times New Roman"/>
          <w:sz w:val="28"/>
          <w:szCs w:val="28"/>
          <w:lang w:val="en-ZA"/>
        </w:rPr>
        <w:t>tter in its absence. I deal with this later</w:t>
      </w:r>
      <w:r w:rsidR="00113E8D">
        <w:rPr>
          <w:rFonts w:ascii="Times New Roman" w:hAnsi="Times New Roman"/>
          <w:sz w:val="28"/>
          <w:szCs w:val="28"/>
          <w:lang w:val="en-ZA"/>
        </w:rPr>
        <w:t xml:space="preserve"> in the judgment.</w:t>
      </w:r>
    </w:p>
    <w:p w:rsidR="00340F6F" w:rsidRDefault="00340F6F" w:rsidP="009D53C9">
      <w:pPr>
        <w:pStyle w:val="BodyTextIndent2"/>
        <w:widowControl/>
        <w:spacing w:after="0"/>
        <w:ind w:left="0"/>
        <w:jc w:val="both"/>
        <w:rPr>
          <w:rFonts w:ascii="Times New Roman" w:hAnsi="Times New Roman"/>
          <w:sz w:val="28"/>
          <w:szCs w:val="28"/>
          <w:lang w:val="en-ZA"/>
        </w:rPr>
      </w:pPr>
    </w:p>
    <w:p w:rsidR="007A0760" w:rsidRPr="007A0760" w:rsidRDefault="007A0760" w:rsidP="009D53C9">
      <w:pPr>
        <w:pStyle w:val="BodyTextIndent2"/>
        <w:widowControl/>
        <w:spacing w:after="0"/>
        <w:ind w:left="0"/>
        <w:jc w:val="both"/>
        <w:rPr>
          <w:rFonts w:ascii="Times New Roman" w:hAnsi="Times New Roman"/>
          <w:b/>
          <w:sz w:val="28"/>
          <w:szCs w:val="28"/>
          <w:lang w:val="en-ZA"/>
        </w:rPr>
      </w:pPr>
      <w:r w:rsidRPr="007A0760">
        <w:rPr>
          <w:rFonts w:ascii="Times New Roman" w:hAnsi="Times New Roman"/>
          <w:b/>
          <w:sz w:val="28"/>
          <w:szCs w:val="28"/>
          <w:lang w:val="en-ZA"/>
        </w:rPr>
        <w:t>THE ISSUES FOR DETERMINATION</w:t>
      </w:r>
    </w:p>
    <w:p w:rsidR="00113E8D" w:rsidRPr="0067698B" w:rsidRDefault="00340F6F" w:rsidP="00113E8D">
      <w:pPr>
        <w:pStyle w:val="BodyTextIndent2"/>
        <w:widowControl/>
        <w:spacing w:after="0"/>
        <w:ind w:left="0"/>
        <w:jc w:val="both"/>
        <w:rPr>
          <w:rFonts w:ascii="Times New Roman" w:hAnsi="Times New Roman"/>
          <w:szCs w:val="24"/>
          <w:lang w:val="en-ZA"/>
        </w:rPr>
      </w:pPr>
      <w:r>
        <w:rPr>
          <w:rFonts w:ascii="Times New Roman" w:hAnsi="Times New Roman"/>
          <w:sz w:val="28"/>
          <w:szCs w:val="28"/>
          <w:lang w:val="en-ZA"/>
        </w:rPr>
        <w:t xml:space="preserve"> </w:t>
      </w:r>
      <w:r w:rsidR="00F80A1A">
        <w:rPr>
          <w:rFonts w:ascii="Times New Roman" w:hAnsi="Times New Roman"/>
          <w:sz w:val="28"/>
          <w:szCs w:val="28"/>
          <w:lang w:val="en-ZA"/>
        </w:rPr>
        <w:t>[30]</w:t>
      </w:r>
      <w:r w:rsidR="00F80A1A">
        <w:rPr>
          <w:rFonts w:ascii="Times New Roman" w:hAnsi="Times New Roman"/>
          <w:sz w:val="28"/>
          <w:szCs w:val="28"/>
          <w:lang w:val="en-ZA"/>
        </w:rPr>
        <w:tab/>
      </w:r>
      <w:r w:rsidR="00113E8D">
        <w:rPr>
          <w:rFonts w:ascii="Times New Roman" w:hAnsi="Times New Roman"/>
          <w:sz w:val="28"/>
          <w:szCs w:val="28"/>
          <w:lang w:val="en-ZA"/>
        </w:rPr>
        <w:t xml:space="preserve">In </w:t>
      </w:r>
      <w:r w:rsidR="005D56D6">
        <w:rPr>
          <w:rFonts w:ascii="Times New Roman" w:hAnsi="Times New Roman"/>
          <w:sz w:val="28"/>
          <w:szCs w:val="28"/>
          <w:lang w:val="en-ZA"/>
        </w:rPr>
        <w:t>my view, whilst the triable</w:t>
      </w:r>
      <w:r w:rsidR="00113E8D">
        <w:rPr>
          <w:rFonts w:ascii="Times New Roman" w:hAnsi="Times New Roman"/>
          <w:sz w:val="28"/>
          <w:szCs w:val="28"/>
          <w:lang w:val="en-ZA"/>
        </w:rPr>
        <w:t xml:space="preserve"> issues are centred around whether or not the first respondent gave an unconditional consent to the applicant for the consolidation of the aforementioned erven; and whether or not such consent is valid and extant, the crux of the matter turns on the interpretation to be accorded to the court order of 5 September 2011. </w:t>
      </w:r>
      <w:r w:rsidR="00E959FD">
        <w:rPr>
          <w:rFonts w:ascii="Times New Roman" w:hAnsi="Times New Roman"/>
          <w:sz w:val="28"/>
          <w:szCs w:val="28"/>
          <w:lang w:val="en-ZA"/>
        </w:rPr>
        <w:t>This is also what triggered the amended relief as sought in the amended notice of motion.</w:t>
      </w:r>
    </w:p>
    <w:p w:rsidR="00CE3EB7" w:rsidRPr="00437E6F" w:rsidRDefault="00CE3EB7" w:rsidP="00113E8D">
      <w:pPr>
        <w:pStyle w:val="BodyTextIndent2"/>
        <w:widowControl/>
        <w:spacing w:after="0"/>
        <w:ind w:left="0"/>
        <w:jc w:val="both"/>
        <w:rPr>
          <w:rFonts w:ascii="Times New Roman" w:hAnsi="Times New Roman"/>
          <w:sz w:val="28"/>
          <w:szCs w:val="28"/>
          <w:lang w:val="en-ZA"/>
        </w:rPr>
      </w:pPr>
    </w:p>
    <w:p w:rsidR="00CE3EB7" w:rsidRDefault="00F80A1A"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[31</w:t>
      </w:r>
      <w:r w:rsidR="00957431">
        <w:rPr>
          <w:rFonts w:ascii="Times New Roman" w:hAnsi="Times New Roman"/>
          <w:sz w:val="28"/>
          <w:szCs w:val="28"/>
          <w:lang w:val="en-ZA"/>
        </w:rPr>
        <w:t>]</w:t>
      </w:r>
      <w:r w:rsidR="00957431">
        <w:rPr>
          <w:rFonts w:ascii="Times New Roman" w:hAnsi="Times New Roman"/>
          <w:sz w:val="28"/>
          <w:szCs w:val="28"/>
          <w:lang w:val="en-ZA"/>
        </w:rPr>
        <w:tab/>
      </w:r>
      <w:r w:rsidR="007A0760">
        <w:rPr>
          <w:rFonts w:ascii="Times New Roman" w:hAnsi="Times New Roman"/>
          <w:sz w:val="28"/>
          <w:szCs w:val="28"/>
          <w:lang w:val="en-ZA"/>
        </w:rPr>
        <w:t>Furthermore, this court is also required to make a determination on whether or not the non-joinder of the municipality is dispositive to the case of the applicant.</w:t>
      </w:r>
    </w:p>
    <w:p w:rsidR="007A0760" w:rsidRDefault="007A0760" w:rsidP="009D53C9">
      <w:pPr>
        <w:pStyle w:val="BodyTextIndent2"/>
        <w:widowControl/>
        <w:spacing w:after="0"/>
        <w:ind w:left="0"/>
        <w:jc w:val="both"/>
        <w:rPr>
          <w:rFonts w:ascii="Times New Roman" w:hAnsi="Times New Roman"/>
          <w:sz w:val="28"/>
          <w:szCs w:val="28"/>
          <w:lang w:val="en-ZA"/>
        </w:rPr>
      </w:pPr>
    </w:p>
    <w:p w:rsidR="0017717F" w:rsidRPr="007A0760" w:rsidRDefault="00653F12" w:rsidP="007A0760">
      <w:pPr>
        <w:pStyle w:val="BodyTextIndent2"/>
        <w:widowControl/>
        <w:spacing w:after="0"/>
        <w:ind w:left="0"/>
        <w:jc w:val="both"/>
        <w:rPr>
          <w:rFonts w:ascii="Times New Roman" w:hAnsi="Times New Roman"/>
          <w:b/>
          <w:sz w:val="28"/>
          <w:szCs w:val="28"/>
          <w:lang w:val="en-ZA"/>
        </w:rPr>
      </w:pPr>
      <w:r>
        <w:rPr>
          <w:rFonts w:ascii="Times New Roman" w:hAnsi="Times New Roman"/>
          <w:b/>
          <w:sz w:val="28"/>
          <w:szCs w:val="28"/>
          <w:lang w:val="en-ZA"/>
        </w:rPr>
        <w:lastRenderedPageBreak/>
        <w:t xml:space="preserve">INTERPRETATION OF </w:t>
      </w:r>
      <w:r w:rsidR="007A0760" w:rsidRPr="007A0760">
        <w:rPr>
          <w:rFonts w:ascii="Times New Roman" w:hAnsi="Times New Roman"/>
          <w:b/>
          <w:sz w:val="28"/>
          <w:szCs w:val="28"/>
          <w:lang w:val="en-ZA"/>
        </w:rPr>
        <w:t xml:space="preserve">THE COURT ORDER </w:t>
      </w:r>
    </w:p>
    <w:p w:rsidR="0017717F" w:rsidRPr="00437E6F" w:rsidRDefault="00F80A1A"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[32</w:t>
      </w:r>
      <w:r w:rsidR="0017717F" w:rsidRPr="00437E6F">
        <w:rPr>
          <w:rFonts w:ascii="Times New Roman" w:hAnsi="Times New Roman"/>
          <w:sz w:val="28"/>
          <w:szCs w:val="28"/>
          <w:lang w:val="en-ZA"/>
        </w:rPr>
        <w:t>]</w:t>
      </w:r>
      <w:r w:rsidR="0017717F" w:rsidRPr="00437E6F">
        <w:rPr>
          <w:rFonts w:ascii="Times New Roman" w:hAnsi="Times New Roman"/>
          <w:sz w:val="28"/>
          <w:szCs w:val="28"/>
          <w:lang w:val="en-ZA"/>
        </w:rPr>
        <w:tab/>
      </w:r>
      <w:r w:rsidR="007A0760">
        <w:rPr>
          <w:rFonts w:ascii="Times New Roman" w:hAnsi="Times New Roman"/>
          <w:sz w:val="28"/>
          <w:szCs w:val="28"/>
          <w:lang w:val="en-ZA"/>
        </w:rPr>
        <w:t xml:space="preserve">The applicant has referred this court to a plethora of cases pertaining to the interpretation of the court order. </w:t>
      </w:r>
    </w:p>
    <w:p w:rsidR="0021439F" w:rsidRPr="00437E6F" w:rsidRDefault="0021439F" w:rsidP="00757103">
      <w:pPr>
        <w:pStyle w:val="BodyTextIndent2"/>
        <w:widowControl/>
        <w:spacing w:after="0"/>
        <w:ind w:left="720" w:hanging="720"/>
        <w:jc w:val="both"/>
        <w:rPr>
          <w:rFonts w:ascii="Times New Roman" w:hAnsi="Times New Roman"/>
          <w:sz w:val="28"/>
          <w:szCs w:val="28"/>
          <w:lang w:val="en-ZA"/>
        </w:rPr>
      </w:pPr>
    </w:p>
    <w:p w:rsidR="0021439F" w:rsidRPr="00437E6F" w:rsidRDefault="00F80A1A"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[33</w:t>
      </w:r>
      <w:r w:rsidR="0021439F" w:rsidRPr="00437E6F">
        <w:rPr>
          <w:rFonts w:ascii="Times New Roman" w:hAnsi="Times New Roman"/>
          <w:sz w:val="28"/>
          <w:szCs w:val="28"/>
          <w:lang w:val="en-ZA"/>
        </w:rPr>
        <w:t>]</w:t>
      </w:r>
      <w:r w:rsidR="0021439F" w:rsidRPr="00437E6F">
        <w:rPr>
          <w:rFonts w:ascii="Times New Roman" w:hAnsi="Times New Roman"/>
          <w:sz w:val="28"/>
          <w:szCs w:val="28"/>
          <w:lang w:val="en-ZA"/>
        </w:rPr>
        <w:tab/>
      </w:r>
      <w:r w:rsidR="0031780F">
        <w:rPr>
          <w:rFonts w:ascii="Times New Roman" w:hAnsi="Times New Roman"/>
          <w:sz w:val="28"/>
          <w:szCs w:val="28"/>
          <w:lang w:val="en-ZA"/>
        </w:rPr>
        <w:t>As a starting point, it is</w:t>
      </w:r>
      <w:r w:rsidR="00D32A79">
        <w:rPr>
          <w:rFonts w:ascii="Times New Roman" w:hAnsi="Times New Roman"/>
          <w:sz w:val="28"/>
          <w:szCs w:val="28"/>
          <w:lang w:val="en-ZA"/>
        </w:rPr>
        <w:t xml:space="preserve"> apposite to look at the current position of our law</w:t>
      </w:r>
      <w:r w:rsidR="0031780F">
        <w:rPr>
          <w:rFonts w:ascii="Times New Roman" w:hAnsi="Times New Roman"/>
          <w:sz w:val="28"/>
          <w:szCs w:val="28"/>
          <w:lang w:val="en-ZA"/>
        </w:rPr>
        <w:t xml:space="preserve"> as has become settled</w:t>
      </w:r>
      <w:r w:rsidR="00D32A79">
        <w:rPr>
          <w:rFonts w:ascii="Times New Roman" w:hAnsi="Times New Roman"/>
          <w:sz w:val="28"/>
          <w:szCs w:val="28"/>
          <w:lang w:val="en-ZA"/>
        </w:rPr>
        <w:t xml:space="preserve"> in this regard. This was </w:t>
      </w:r>
      <w:r w:rsidR="0031780F">
        <w:rPr>
          <w:rFonts w:ascii="Times New Roman" w:hAnsi="Times New Roman"/>
          <w:sz w:val="28"/>
          <w:szCs w:val="28"/>
          <w:lang w:val="en-ZA"/>
        </w:rPr>
        <w:t>set out</w:t>
      </w:r>
      <w:r w:rsidR="00D32A79">
        <w:rPr>
          <w:rFonts w:ascii="Times New Roman" w:hAnsi="Times New Roman"/>
          <w:sz w:val="28"/>
          <w:szCs w:val="28"/>
          <w:lang w:val="en-ZA"/>
        </w:rPr>
        <w:t xml:space="preserve"> as follows in </w:t>
      </w:r>
      <w:r w:rsidR="00D32A79" w:rsidRPr="00D32A79">
        <w:rPr>
          <w:rFonts w:ascii="Times New Roman" w:hAnsi="Times New Roman"/>
          <w:i/>
          <w:sz w:val="28"/>
          <w:szCs w:val="28"/>
          <w:lang w:val="en-ZA"/>
        </w:rPr>
        <w:t>Natal Joint Municipal Pension Fund v Endumeni</w:t>
      </w:r>
      <w:r w:rsidR="00D32A79">
        <w:rPr>
          <w:rFonts w:ascii="Times New Roman" w:hAnsi="Times New Roman"/>
          <w:sz w:val="28"/>
          <w:szCs w:val="28"/>
          <w:lang w:val="en-ZA"/>
        </w:rPr>
        <w:t>:</w:t>
      </w:r>
      <w:r w:rsidR="00D32A79">
        <w:rPr>
          <w:rStyle w:val="FootnoteReference"/>
          <w:rFonts w:ascii="Times New Roman" w:hAnsi="Times New Roman"/>
          <w:sz w:val="28"/>
          <w:szCs w:val="28"/>
          <w:lang w:val="en-ZA"/>
        </w:rPr>
        <w:footnoteReference w:id="14"/>
      </w:r>
    </w:p>
    <w:p w:rsidR="00D32A79" w:rsidRPr="005D56D6" w:rsidRDefault="00D32A79" w:rsidP="0052283A">
      <w:pPr>
        <w:spacing w:after="0" w:line="360" w:lineRule="auto"/>
        <w:ind w:left="709" w:hanging="709"/>
        <w:jc w:val="both"/>
        <w:rPr>
          <w:rFonts w:ascii="Times New Roman" w:hAnsi="Times New Roman" w:cs="Times New Roman"/>
          <w:i/>
          <w:sz w:val="28"/>
          <w:szCs w:val="28"/>
        </w:rPr>
      </w:pPr>
      <w:r>
        <w:rPr>
          <w:rFonts w:ascii="Times New Roman" w:hAnsi="Times New Roman"/>
          <w:sz w:val="28"/>
          <w:szCs w:val="28"/>
        </w:rPr>
        <w:tab/>
      </w:r>
      <w:r w:rsidRPr="005D56D6">
        <w:rPr>
          <w:rFonts w:ascii="Times New Roman" w:hAnsi="Times New Roman" w:cs="Times New Roman"/>
          <w:sz w:val="28"/>
          <w:szCs w:val="28"/>
        </w:rPr>
        <w:t>“</w:t>
      </w:r>
      <w:r w:rsidRPr="005D56D6">
        <w:rPr>
          <w:rFonts w:ascii="Times New Roman" w:hAnsi="Times New Roman" w:cs="Times New Roman"/>
          <w:i/>
          <w:sz w:val="28"/>
          <w:szCs w:val="28"/>
        </w:rPr>
        <w:t xml:space="preserve">Interpretation is the process of attributing meaning to the words used in a document, albeit legislation, some other statutory instrument, or contract, having regard to the context provided by reading the particular provision or provisions and the like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words actually used. To do so in regard to a statute or statutory instrument is to cross the divide between interpretation and legislation; in a contractual context it is to make a contract for the parties other than the one they in fact made. The inevitable </w:t>
      </w:r>
      <w:r w:rsidRPr="005D56D6">
        <w:rPr>
          <w:rFonts w:ascii="Times New Roman" w:hAnsi="Times New Roman" w:cs="Times New Roman"/>
          <w:i/>
          <w:sz w:val="28"/>
          <w:szCs w:val="28"/>
        </w:rPr>
        <w:lastRenderedPageBreak/>
        <w:t>point of departure is the language of the provision itself, read in context and having regard to the purpose of the provision and the background to the preparation and production of the document.”</w:t>
      </w:r>
    </w:p>
    <w:p w:rsidR="0021439F" w:rsidRPr="005D56D6" w:rsidRDefault="0021439F" w:rsidP="00757103">
      <w:pPr>
        <w:pStyle w:val="BodyTextIndent2"/>
        <w:widowControl/>
        <w:spacing w:after="0"/>
        <w:ind w:left="720" w:hanging="720"/>
        <w:jc w:val="both"/>
        <w:rPr>
          <w:rFonts w:ascii="Times New Roman" w:hAnsi="Times New Roman"/>
          <w:sz w:val="28"/>
          <w:szCs w:val="28"/>
          <w:lang w:val="en-ZA"/>
        </w:rPr>
      </w:pPr>
    </w:p>
    <w:p w:rsidR="00324108" w:rsidRPr="005D56D6" w:rsidRDefault="00FB1805" w:rsidP="00757103">
      <w:pPr>
        <w:pStyle w:val="BodyTextIndent2"/>
        <w:widowControl/>
        <w:spacing w:after="0"/>
        <w:ind w:left="720" w:hanging="720"/>
        <w:jc w:val="both"/>
        <w:rPr>
          <w:rFonts w:ascii="Times New Roman" w:hAnsi="Times New Roman"/>
          <w:sz w:val="28"/>
          <w:szCs w:val="28"/>
          <w:lang w:val="en-ZA"/>
        </w:rPr>
      </w:pPr>
      <w:r w:rsidRPr="005D56D6">
        <w:rPr>
          <w:rFonts w:ascii="Times New Roman" w:hAnsi="Times New Roman"/>
          <w:sz w:val="28"/>
          <w:szCs w:val="28"/>
          <w:lang w:val="en-ZA"/>
        </w:rPr>
        <w:t>[34]</w:t>
      </w:r>
      <w:r w:rsidRPr="005D56D6">
        <w:rPr>
          <w:rFonts w:ascii="Times New Roman" w:hAnsi="Times New Roman"/>
          <w:sz w:val="28"/>
          <w:szCs w:val="28"/>
          <w:lang w:val="en-ZA"/>
        </w:rPr>
        <w:tab/>
      </w:r>
      <w:r w:rsidR="0052283A" w:rsidRPr="005D56D6">
        <w:rPr>
          <w:rFonts w:ascii="Times New Roman" w:hAnsi="Times New Roman"/>
          <w:sz w:val="28"/>
          <w:szCs w:val="28"/>
          <w:lang w:val="en-ZA"/>
        </w:rPr>
        <w:t>This was e</w:t>
      </w:r>
      <w:r w:rsidR="00747D7D">
        <w:rPr>
          <w:rFonts w:ascii="Times New Roman" w:hAnsi="Times New Roman"/>
          <w:sz w:val="28"/>
          <w:szCs w:val="28"/>
          <w:lang w:val="en-ZA"/>
        </w:rPr>
        <w:t>xpounded upon by Wallis JA when</w:t>
      </w:r>
      <w:r w:rsidR="0052283A" w:rsidRPr="005D56D6">
        <w:rPr>
          <w:rFonts w:ascii="Times New Roman" w:hAnsi="Times New Roman"/>
          <w:sz w:val="28"/>
          <w:szCs w:val="28"/>
          <w:lang w:val="en-ZA"/>
        </w:rPr>
        <w:t xml:space="preserve"> he stated:</w:t>
      </w:r>
      <w:r w:rsidR="0052283A" w:rsidRPr="005D56D6">
        <w:rPr>
          <w:rStyle w:val="FootnoteReference"/>
          <w:rFonts w:ascii="Times New Roman" w:hAnsi="Times New Roman"/>
          <w:sz w:val="28"/>
          <w:szCs w:val="28"/>
          <w:lang w:val="en-ZA"/>
        </w:rPr>
        <w:footnoteReference w:id="15"/>
      </w:r>
      <w:r w:rsidR="00324108" w:rsidRPr="005D56D6">
        <w:rPr>
          <w:rFonts w:ascii="Times New Roman" w:hAnsi="Times New Roman"/>
          <w:sz w:val="28"/>
          <w:szCs w:val="28"/>
          <w:lang w:val="en-ZA"/>
        </w:rPr>
        <w:t xml:space="preserve"> </w:t>
      </w:r>
    </w:p>
    <w:p w:rsidR="0052283A" w:rsidRPr="005D56D6" w:rsidRDefault="0052283A" w:rsidP="00757103">
      <w:pPr>
        <w:pStyle w:val="BodyTextIndent2"/>
        <w:widowControl/>
        <w:spacing w:after="0"/>
        <w:ind w:left="720" w:hanging="720"/>
        <w:jc w:val="both"/>
        <w:rPr>
          <w:rFonts w:ascii="Times New Roman" w:hAnsi="Times New Roman"/>
          <w:sz w:val="28"/>
          <w:szCs w:val="28"/>
          <w:lang w:val="en-ZA"/>
        </w:rPr>
      </w:pPr>
    </w:p>
    <w:p w:rsidR="0052283A" w:rsidRPr="005D56D6" w:rsidRDefault="0052283A" w:rsidP="00757103">
      <w:pPr>
        <w:pStyle w:val="BodyTextIndent2"/>
        <w:widowControl/>
        <w:spacing w:after="0"/>
        <w:ind w:left="720" w:hanging="720"/>
        <w:jc w:val="both"/>
        <w:rPr>
          <w:rFonts w:ascii="Times New Roman" w:hAnsi="Times New Roman"/>
          <w:i/>
          <w:sz w:val="28"/>
          <w:szCs w:val="28"/>
          <w:lang w:val="en-ZA"/>
        </w:rPr>
      </w:pPr>
      <w:r w:rsidRPr="005D56D6">
        <w:rPr>
          <w:rFonts w:ascii="Times New Roman" w:hAnsi="Times New Roman"/>
          <w:sz w:val="28"/>
          <w:szCs w:val="28"/>
          <w:lang w:val="en-ZA"/>
        </w:rPr>
        <w:tab/>
      </w:r>
      <w:r w:rsidRPr="005D56D6">
        <w:rPr>
          <w:rFonts w:ascii="Times New Roman" w:hAnsi="Times New Roman"/>
          <w:i/>
          <w:sz w:val="28"/>
          <w:szCs w:val="28"/>
          <w:lang w:val="en-ZA"/>
        </w:rPr>
        <w:t xml:space="preserve">“Whilst the starting point remains the words of the document, which are the only relevant medium through which the parties have expressed their contractual intentions, the process of interpretation does not stop at the perceived literal meaning of those words, but considers them in the light of all relevant admissible context, including the circumstances in which the document came into being. The former distinction </w:t>
      </w:r>
      <w:r w:rsidR="00272FC0" w:rsidRPr="005D56D6">
        <w:rPr>
          <w:rFonts w:ascii="Times New Roman" w:hAnsi="Times New Roman"/>
          <w:i/>
          <w:sz w:val="28"/>
          <w:szCs w:val="28"/>
          <w:lang w:val="en-ZA"/>
        </w:rPr>
        <w:t>between permissible background and surrounding circumstances, never very clear, has fallen away. Interpretation is no longer a process that occurs in stages but is ‘essentially one unitary exercise’.”</w:t>
      </w:r>
    </w:p>
    <w:p w:rsidR="00AB2234" w:rsidRPr="005D56D6" w:rsidRDefault="00AB2234" w:rsidP="008C04FE">
      <w:pPr>
        <w:pStyle w:val="BodyTextIndent2"/>
        <w:widowControl/>
        <w:spacing w:after="0"/>
        <w:ind w:left="0"/>
        <w:jc w:val="both"/>
        <w:rPr>
          <w:rFonts w:ascii="Times New Roman" w:hAnsi="Times New Roman"/>
          <w:b/>
          <w:sz w:val="28"/>
          <w:szCs w:val="28"/>
          <w:lang w:val="en-ZA"/>
        </w:rPr>
      </w:pPr>
      <w:r w:rsidRPr="005D56D6">
        <w:rPr>
          <w:rFonts w:ascii="Times New Roman" w:hAnsi="Times New Roman"/>
          <w:b/>
          <w:sz w:val="28"/>
          <w:szCs w:val="28"/>
          <w:lang w:val="en-ZA"/>
        </w:rPr>
        <w:t xml:space="preserve">                                                                              </w:t>
      </w:r>
    </w:p>
    <w:p w:rsidR="008C04FE" w:rsidRDefault="00FB1805" w:rsidP="00187B7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[35</w:t>
      </w:r>
      <w:r w:rsidR="005E6C63">
        <w:rPr>
          <w:rFonts w:ascii="Times New Roman" w:hAnsi="Times New Roman"/>
          <w:sz w:val="28"/>
          <w:szCs w:val="28"/>
          <w:lang w:val="en-ZA"/>
        </w:rPr>
        <w:t>]</w:t>
      </w:r>
      <w:r w:rsidR="005E6C63">
        <w:rPr>
          <w:rFonts w:ascii="Times New Roman" w:hAnsi="Times New Roman"/>
          <w:sz w:val="28"/>
          <w:szCs w:val="28"/>
          <w:lang w:val="en-ZA"/>
        </w:rPr>
        <w:tab/>
      </w:r>
      <w:r w:rsidR="008C04FE">
        <w:rPr>
          <w:rFonts w:ascii="Times New Roman" w:hAnsi="Times New Roman"/>
          <w:sz w:val="28"/>
          <w:szCs w:val="28"/>
          <w:lang w:val="en-ZA"/>
        </w:rPr>
        <w:t>Wallis JA also stated:</w:t>
      </w:r>
      <w:r w:rsidR="00802547">
        <w:rPr>
          <w:rStyle w:val="FootnoteReference"/>
          <w:rFonts w:ascii="Times New Roman" w:hAnsi="Times New Roman"/>
          <w:sz w:val="28"/>
          <w:szCs w:val="28"/>
          <w:lang w:val="en-ZA"/>
        </w:rPr>
        <w:footnoteReference w:id="16"/>
      </w:r>
      <w:r w:rsidR="008C04FE">
        <w:rPr>
          <w:rFonts w:ascii="Times New Roman" w:hAnsi="Times New Roman"/>
          <w:sz w:val="28"/>
          <w:szCs w:val="28"/>
          <w:lang w:val="en-ZA"/>
        </w:rPr>
        <w:tab/>
      </w:r>
    </w:p>
    <w:p w:rsidR="00AB2234" w:rsidRPr="005D56D6" w:rsidRDefault="008C04FE" w:rsidP="005D56D6">
      <w:pPr>
        <w:pStyle w:val="BodyTextIndent"/>
        <w:spacing w:after="0" w:line="360" w:lineRule="auto"/>
        <w:ind w:left="720"/>
        <w:jc w:val="both"/>
        <w:rPr>
          <w:rFonts w:ascii="Times New Roman" w:hAnsi="Times New Roman" w:cs="Times New Roman"/>
          <w:i/>
          <w:sz w:val="24"/>
          <w:szCs w:val="24"/>
        </w:rPr>
      </w:pPr>
      <w:r w:rsidRPr="005D56D6">
        <w:rPr>
          <w:rFonts w:ascii="Times New Roman" w:hAnsi="Times New Roman" w:cs="Times New Roman"/>
          <w:i/>
          <w:sz w:val="24"/>
          <w:szCs w:val="24"/>
        </w:rPr>
        <w:t xml:space="preserve">“ </w:t>
      </w:r>
      <w:r w:rsidR="00802547" w:rsidRPr="005D56D6">
        <w:rPr>
          <w:rFonts w:ascii="Times New Roman" w:hAnsi="Times New Roman" w:cs="Times New Roman"/>
          <w:i/>
          <w:iCs/>
          <w:sz w:val="24"/>
          <w:szCs w:val="24"/>
        </w:rPr>
        <w:t>In the past, where there was perceived ambiguity in a contract, the courts held that the subsequent conduct of the parties in implementing their agreement was a factor that could be taken into account in preferring one interpretation to another.</w:t>
      </w:r>
      <w:r w:rsidR="00802547" w:rsidRPr="005D56D6">
        <w:rPr>
          <w:rStyle w:val="FootnoteReference"/>
          <w:rFonts w:ascii="Times New Roman" w:hAnsi="Times New Roman" w:cs="Times New Roman"/>
          <w:i/>
          <w:iCs/>
          <w:sz w:val="24"/>
          <w:szCs w:val="24"/>
        </w:rPr>
        <w:footnoteReference w:id="17"/>
      </w:r>
      <w:r w:rsidR="00802547" w:rsidRPr="005D56D6">
        <w:rPr>
          <w:rFonts w:ascii="Times New Roman" w:hAnsi="Times New Roman" w:cs="Times New Roman"/>
          <w:i/>
          <w:sz w:val="24"/>
          <w:szCs w:val="24"/>
        </w:rPr>
        <w:t xml:space="preserve"> Now that regard is had to all relevant context, irrespective of whether there is a perceived </w:t>
      </w:r>
      <w:r w:rsidR="00802547" w:rsidRPr="005D56D6">
        <w:rPr>
          <w:rFonts w:ascii="Times New Roman" w:hAnsi="Times New Roman" w:cs="Times New Roman"/>
          <w:i/>
          <w:sz w:val="24"/>
          <w:szCs w:val="24"/>
        </w:rPr>
        <w:lastRenderedPageBreak/>
        <w:t>ambiguity,</w:t>
      </w:r>
      <w:r w:rsidR="00802547" w:rsidRPr="005D56D6">
        <w:rPr>
          <w:rStyle w:val="FootnoteReference"/>
          <w:rFonts w:ascii="Times New Roman" w:hAnsi="Times New Roman" w:cs="Times New Roman"/>
          <w:i/>
          <w:sz w:val="24"/>
          <w:szCs w:val="24"/>
        </w:rPr>
        <w:footnoteReference w:id="18"/>
      </w:r>
      <w:r w:rsidR="00802547" w:rsidRPr="005D56D6">
        <w:rPr>
          <w:rFonts w:ascii="Times New Roman" w:hAnsi="Times New Roman" w:cs="Times New Roman"/>
          <w:i/>
          <w:sz w:val="24"/>
          <w:szCs w:val="24"/>
        </w:rPr>
        <w:t xml:space="preserve"> there is no reason not to look at the conduct of the parties in implementing the agreement. Where it is clear that they have both taken the same approach to its implementation, and hence the meaning of the provision in dispute, their conduct provides clear evidence of how reasonable business people situated as they were and knowing what they knew, would construe the disputed provision. It is therefore relevant to an objective determination of the meaning of the words they have used and the selection of the appropriate meaning from among those postulated by the parties.</w:t>
      </w:r>
      <w:r w:rsidR="00FC0D3A" w:rsidRPr="005D56D6">
        <w:rPr>
          <w:rFonts w:ascii="Times New Roman" w:hAnsi="Times New Roman" w:cs="Times New Roman"/>
          <w:i/>
          <w:sz w:val="24"/>
          <w:szCs w:val="24"/>
        </w:rPr>
        <w:t>”</w:t>
      </w:r>
    </w:p>
    <w:p w:rsidR="00AB2234" w:rsidRPr="00437E6F" w:rsidRDefault="00AB2234" w:rsidP="00AB2234">
      <w:pPr>
        <w:pStyle w:val="BodyTextIndent2"/>
        <w:widowControl/>
        <w:spacing w:after="0"/>
        <w:ind w:left="0"/>
        <w:jc w:val="both"/>
        <w:rPr>
          <w:rFonts w:ascii="Times New Roman" w:hAnsi="Times New Roman"/>
          <w:b/>
          <w:sz w:val="28"/>
          <w:szCs w:val="28"/>
        </w:rPr>
      </w:pPr>
    </w:p>
    <w:p w:rsidR="00AB2234" w:rsidRDefault="00FB1805" w:rsidP="00AB2234">
      <w:pPr>
        <w:pStyle w:val="BodyTextIndent2"/>
        <w:widowControl/>
        <w:spacing w:after="0"/>
        <w:ind w:left="0"/>
        <w:jc w:val="both"/>
        <w:rPr>
          <w:rFonts w:ascii="Times New Roman" w:hAnsi="Times New Roman"/>
          <w:sz w:val="28"/>
          <w:szCs w:val="28"/>
        </w:rPr>
      </w:pPr>
      <w:r>
        <w:rPr>
          <w:rFonts w:ascii="Times New Roman" w:hAnsi="Times New Roman"/>
          <w:sz w:val="28"/>
          <w:szCs w:val="28"/>
        </w:rPr>
        <w:t>[36</w:t>
      </w:r>
      <w:r w:rsidR="00AB2234" w:rsidRPr="00437E6F">
        <w:rPr>
          <w:rFonts w:ascii="Times New Roman" w:hAnsi="Times New Roman"/>
          <w:sz w:val="28"/>
          <w:szCs w:val="28"/>
        </w:rPr>
        <w:t>]</w:t>
      </w:r>
      <w:r w:rsidR="00AB2234" w:rsidRPr="00437E6F">
        <w:rPr>
          <w:rFonts w:ascii="Times New Roman" w:hAnsi="Times New Roman"/>
          <w:sz w:val="28"/>
          <w:szCs w:val="28"/>
        </w:rPr>
        <w:tab/>
      </w:r>
      <w:r w:rsidR="00FC0D3A">
        <w:rPr>
          <w:rFonts w:ascii="Times New Roman" w:hAnsi="Times New Roman"/>
          <w:sz w:val="28"/>
          <w:szCs w:val="28"/>
        </w:rPr>
        <w:t xml:space="preserve">It was also noted in the applicant’s heads of argument that our courts have emphasized that contracts are to be interpreted </w:t>
      </w:r>
      <w:r w:rsidR="00FC0D3A" w:rsidRPr="00FC0D3A">
        <w:rPr>
          <w:rFonts w:ascii="Times New Roman" w:hAnsi="Times New Roman"/>
          <w:i/>
          <w:sz w:val="28"/>
          <w:szCs w:val="28"/>
        </w:rPr>
        <w:t>“…in accordance with sound commercial principles and good business sense so that it receives sensible application”</w:t>
      </w:r>
      <w:r w:rsidR="00FC0D3A">
        <w:rPr>
          <w:rFonts w:ascii="Times New Roman" w:hAnsi="Times New Roman"/>
          <w:sz w:val="28"/>
          <w:szCs w:val="28"/>
        </w:rPr>
        <w:t>.</w:t>
      </w:r>
      <w:r w:rsidR="00FC0D3A">
        <w:rPr>
          <w:rStyle w:val="FootnoteReference"/>
          <w:rFonts w:ascii="Times New Roman" w:hAnsi="Times New Roman"/>
          <w:sz w:val="28"/>
          <w:szCs w:val="28"/>
        </w:rPr>
        <w:footnoteReference w:id="19"/>
      </w:r>
    </w:p>
    <w:p w:rsidR="00FC0D3A" w:rsidRPr="00437E6F" w:rsidRDefault="00FC0D3A" w:rsidP="00AB2234">
      <w:pPr>
        <w:pStyle w:val="BodyTextIndent2"/>
        <w:widowControl/>
        <w:spacing w:after="0"/>
        <w:ind w:left="0"/>
        <w:jc w:val="both"/>
        <w:rPr>
          <w:rFonts w:ascii="Times New Roman" w:hAnsi="Times New Roman"/>
          <w:sz w:val="28"/>
          <w:szCs w:val="28"/>
        </w:rPr>
      </w:pPr>
    </w:p>
    <w:p w:rsidR="00AB2234" w:rsidRDefault="00FB1805" w:rsidP="00FC0D3A">
      <w:pPr>
        <w:pStyle w:val="BodyTextIndent2"/>
        <w:widowControl/>
        <w:spacing w:after="0"/>
        <w:ind w:left="0"/>
        <w:jc w:val="both"/>
        <w:rPr>
          <w:rFonts w:ascii="Times New Roman" w:hAnsi="Times New Roman"/>
          <w:sz w:val="28"/>
          <w:szCs w:val="28"/>
        </w:rPr>
      </w:pPr>
      <w:r>
        <w:rPr>
          <w:rFonts w:ascii="Times New Roman" w:hAnsi="Times New Roman"/>
          <w:sz w:val="28"/>
          <w:szCs w:val="28"/>
        </w:rPr>
        <w:t>[37</w:t>
      </w:r>
      <w:r w:rsidR="00AB2234" w:rsidRPr="00437E6F">
        <w:rPr>
          <w:rFonts w:ascii="Times New Roman" w:hAnsi="Times New Roman"/>
          <w:sz w:val="28"/>
          <w:szCs w:val="28"/>
        </w:rPr>
        <w:t>]</w:t>
      </w:r>
      <w:r w:rsidR="00AB2234" w:rsidRPr="00437E6F">
        <w:rPr>
          <w:rFonts w:ascii="Times New Roman" w:hAnsi="Times New Roman"/>
          <w:sz w:val="28"/>
          <w:szCs w:val="28"/>
        </w:rPr>
        <w:tab/>
      </w:r>
      <w:r w:rsidR="00FC0D3A">
        <w:rPr>
          <w:rFonts w:ascii="Times New Roman" w:hAnsi="Times New Roman"/>
          <w:sz w:val="28"/>
          <w:szCs w:val="28"/>
        </w:rPr>
        <w:t xml:space="preserve">A further submission in the applicant’s heads was that in commencing at the </w:t>
      </w:r>
      <w:r w:rsidR="00FC0D3A" w:rsidRPr="00C3476D">
        <w:rPr>
          <w:rFonts w:ascii="Times New Roman" w:hAnsi="Times New Roman"/>
          <w:i/>
          <w:sz w:val="28"/>
          <w:szCs w:val="28"/>
        </w:rPr>
        <w:t>“starting point</w:t>
      </w:r>
      <w:r w:rsidR="00FC0D3A">
        <w:rPr>
          <w:rFonts w:ascii="Times New Roman" w:hAnsi="Times New Roman"/>
          <w:sz w:val="28"/>
          <w:szCs w:val="28"/>
        </w:rPr>
        <w:t>”, namely the words of the contract, a court must bear in mind that:</w:t>
      </w:r>
    </w:p>
    <w:p w:rsidR="00FC0D3A" w:rsidRPr="00437E6F" w:rsidRDefault="00FC0D3A" w:rsidP="00C12A17">
      <w:pPr>
        <w:pStyle w:val="BodyTextIndent2"/>
        <w:widowControl/>
        <w:spacing w:after="0"/>
        <w:ind w:left="720"/>
        <w:jc w:val="both"/>
        <w:rPr>
          <w:rFonts w:ascii="Times New Roman" w:hAnsi="Times New Roman"/>
          <w:sz w:val="28"/>
          <w:szCs w:val="28"/>
        </w:rPr>
      </w:pPr>
      <w:r w:rsidRPr="00C3476D">
        <w:rPr>
          <w:rFonts w:ascii="Times New Roman" w:hAnsi="Times New Roman"/>
          <w:i/>
          <w:sz w:val="28"/>
          <w:szCs w:val="28"/>
        </w:rPr>
        <w:t>“</w:t>
      </w:r>
      <w:r w:rsidR="00C3476D" w:rsidRPr="00C3476D">
        <w:rPr>
          <w:rFonts w:ascii="Times New Roman" w:hAnsi="Times New Roman"/>
          <w:i/>
          <w:sz w:val="28"/>
          <w:szCs w:val="28"/>
        </w:rPr>
        <w:t xml:space="preserve">It is a good and sound general rule in jurisprudence that one who reads a legal document, whether public or private, should not be prompt to ascribe – should not, without necessity or some sound reason, impute – to his language tautology or superfluity and should be rather at the outset </w:t>
      </w:r>
      <w:r w:rsidR="00C3476D" w:rsidRPr="00C3476D">
        <w:rPr>
          <w:rFonts w:ascii="Times New Roman" w:hAnsi="Times New Roman"/>
          <w:i/>
          <w:sz w:val="28"/>
          <w:szCs w:val="28"/>
        </w:rPr>
        <w:lastRenderedPageBreak/>
        <w:t>inclined to suppose every word intended to have some effect or be of some use.”</w:t>
      </w:r>
      <w:r w:rsidR="00C3476D">
        <w:rPr>
          <w:rStyle w:val="FootnoteReference"/>
          <w:rFonts w:ascii="Times New Roman" w:hAnsi="Times New Roman"/>
          <w:sz w:val="28"/>
          <w:szCs w:val="28"/>
        </w:rPr>
        <w:footnoteReference w:id="20"/>
      </w:r>
    </w:p>
    <w:p w:rsidR="00AB2234" w:rsidRPr="00437E6F" w:rsidRDefault="00AB2234" w:rsidP="00AB2234">
      <w:pPr>
        <w:pStyle w:val="BodyTextIndent2"/>
        <w:widowControl/>
        <w:spacing w:after="0"/>
        <w:jc w:val="both"/>
        <w:rPr>
          <w:rFonts w:ascii="Times New Roman" w:hAnsi="Times New Roman"/>
          <w:sz w:val="28"/>
          <w:szCs w:val="28"/>
        </w:rPr>
      </w:pPr>
    </w:p>
    <w:p w:rsidR="001C54FD" w:rsidRDefault="00FB1805" w:rsidP="00AB2234">
      <w:pPr>
        <w:pStyle w:val="BodyTextIndent2"/>
        <w:widowControl/>
        <w:spacing w:after="0"/>
        <w:ind w:left="0"/>
        <w:jc w:val="both"/>
        <w:rPr>
          <w:rFonts w:ascii="Times New Roman" w:hAnsi="Times New Roman"/>
          <w:sz w:val="28"/>
          <w:szCs w:val="28"/>
        </w:rPr>
      </w:pPr>
      <w:r>
        <w:rPr>
          <w:rFonts w:ascii="Times New Roman" w:hAnsi="Times New Roman"/>
          <w:sz w:val="28"/>
          <w:szCs w:val="28"/>
        </w:rPr>
        <w:t>[38</w:t>
      </w:r>
      <w:r w:rsidR="00AB2234" w:rsidRPr="00437E6F">
        <w:rPr>
          <w:rFonts w:ascii="Times New Roman" w:hAnsi="Times New Roman"/>
          <w:sz w:val="28"/>
          <w:szCs w:val="28"/>
        </w:rPr>
        <w:t>]</w:t>
      </w:r>
      <w:r w:rsidR="00AB2234" w:rsidRPr="00437E6F">
        <w:rPr>
          <w:rFonts w:ascii="Times New Roman" w:hAnsi="Times New Roman"/>
          <w:sz w:val="28"/>
          <w:szCs w:val="28"/>
        </w:rPr>
        <w:tab/>
      </w:r>
      <w:r w:rsidR="00F12C57">
        <w:rPr>
          <w:rFonts w:ascii="Times New Roman" w:hAnsi="Times New Roman"/>
          <w:sz w:val="28"/>
          <w:szCs w:val="28"/>
        </w:rPr>
        <w:t xml:space="preserve">This position was reaffirmed by Unterhalter AJA in </w:t>
      </w:r>
      <w:r w:rsidR="00F12C57" w:rsidRPr="001C54FD">
        <w:rPr>
          <w:rFonts w:ascii="Times New Roman" w:hAnsi="Times New Roman"/>
          <w:i/>
          <w:sz w:val="28"/>
          <w:szCs w:val="28"/>
        </w:rPr>
        <w:t>Capitec Bank Holdings Limited v Coral Lagoon Investments 194 (Pty) Ltd &amp; Others</w:t>
      </w:r>
      <w:r w:rsidR="00F12C57">
        <w:rPr>
          <w:rStyle w:val="FootnoteReference"/>
          <w:rFonts w:ascii="Times New Roman" w:hAnsi="Times New Roman"/>
          <w:sz w:val="28"/>
          <w:szCs w:val="28"/>
        </w:rPr>
        <w:footnoteReference w:id="21"/>
      </w:r>
      <w:r w:rsidR="00F12C57">
        <w:rPr>
          <w:rFonts w:ascii="Times New Roman" w:hAnsi="Times New Roman"/>
          <w:sz w:val="28"/>
          <w:szCs w:val="28"/>
        </w:rPr>
        <w:t>, where he said:</w:t>
      </w:r>
    </w:p>
    <w:p w:rsidR="0060664F" w:rsidRPr="005D56D6" w:rsidRDefault="001C54FD" w:rsidP="005D56D6">
      <w:pPr>
        <w:pStyle w:val="BodyTextIndent2"/>
        <w:widowControl/>
        <w:spacing w:after="0"/>
        <w:ind w:left="720"/>
        <w:jc w:val="both"/>
        <w:rPr>
          <w:rFonts w:ascii="Times New Roman" w:hAnsi="Times New Roman"/>
          <w:i/>
          <w:sz w:val="28"/>
          <w:szCs w:val="28"/>
        </w:rPr>
      </w:pPr>
      <w:r w:rsidRPr="005D56D6">
        <w:rPr>
          <w:rFonts w:ascii="Times New Roman" w:hAnsi="Times New Roman"/>
          <w:i/>
          <w:sz w:val="28"/>
          <w:szCs w:val="28"/>
        </w:rPr>
        <w:t>“Our analysis must commence with the provisions of the subscription agreement that have relevance for deciding whether Capitec Holdings’ consent was indeed required. The much-cited passages from Natal Joint Municipal Pension Fund v Endumeni Municipality (Endumeni) offer guidance as to how to approach the interpretation of the words used in a document. It is the language used, understood in the context in which it is used, and having regard to the purpose of the provision that constitutes the unitary exercise of interpretation. I would only add that the triad of text, context and purpose should not be used in a mechanical fashion. It is the relationship between the words used, the concepts expressed by those words and the place of the contested provision within the scheme of the agreement (or instrument) as a whole that constitutes the enterprise by recourse to which a coherent and salient interpretation is determined as Endumeni emphasized, citing well-known cases</w:t>
      </w:r>
      <w:r w:rsidR="005D56D6" w:rsidRPr="005D56D6">
        <w:rPr>
          <w:rFonts w:ascii="Times New Roman" w:hAnsi="Times New Roman"/>
          <w:i/>
          <w:sz w:val="28"/>
          <w:szCs w:val="28"/>
        </w:rPr>
        <w:t>, ‘[t]he inevitable point of departure is the language of the provision itself.”</w:t>
      </w:r>
    </w:p>
    <w:p w:rsidR="0021439F" w:rsidRPr="00437E6F" w:rsidRDefault="0021439F" w:rsidP="00AB2234">
      <w:pPr>
        <w:pStyle w:val="BodyTextIndent2"/>
        <w:widowControl/>
        <w:spacing w:after="0"/>
        <w:ind w:left="0"/>
        <w:jc w:val="both"/>
        <w:rPr>
          <w:rFonts w:ascii="Times New Roman" w:eastAsia="Calibri" w:hAnsi="Times New Roman"/>
          <w:b/>
          <w:snapToGrid/>
          <w:sz w:val="28"/>
          <w:szCs w:val="28"/>
        </w:rPr>
      </w:pPr>
    </w:p>
    <w:p w:rsidR="00AB2234" w:rsidRDefault="00FB1805" w:rsidP="00AB2234">
      <w:pPr>
        <w:pStyle w:val="BodyTextIndent2"/>
        <w:widowControl/>
        <w:spacing w:after="0"/>
        <w:ind w:left="0"/>
        <w:jc w:val="both"/>
        <w:rPr>
          <w:rFonts w:ascii="Times New Roman" w:eastAsia="Calibri" w:hAnsi="Times New Roman"/>
          <w:snapToGrid/>
          <w:sz w:val="28"/>
          <w:szCs w:val="28"/>
        </w:rPr>
      </w:pPr>
      <w:r>
        <w:rPr>
          <w:rFonts w:ascii="Times New Roman" w:eastAsia="Calibri" w:hAnsi="Times New Roman"/>
          <w:snapToGrid/>
          <w:sz w:val="28"/>
          <w:szCs w:val="28"/>
        </w:rPr>
        <w:t>[39</w:t>
      </w:r>
      <w:r w:rsidR="00AB2234" w:rsidRPr="00437E6F">
        <w:rPr>
          <w:rFonts w:ascii="Times New Roman" w:eastAsia="Calibri" w:hAnsi="Times New Roman"/>
          <w:snapToGrid/>
          <w:sz w:val="28"/>
          <w:szCs w:val="28"/>
        </w:rPr>
        <w:t>]</w:t>
      </w:r>
      <w:r w:rsidR="00AB2234" w:rsidRPr="00437E6F">
        <w:rPr>
          <w:rFonts w:ascii="Times New Roman" w:eastAsia="Calibri" w:hAnsi="Times New Roman"/>
          <w:snapToGrid/>
          <w:sz w:val="28"/>
          <w:szCs w:val="28"/>
        </w:rPr>
        <w:tab/>
      </w:r>
      <w:r w:rsidR="005D56D6">
        <w:rPr>
          <w:rFonts w:ascii="Times New Roman" w:eastAsia="Calibri" w:hAnsi="Times New Roman"/>
          <w:snapToGrid/>
          <w:sz w:val="28"/>
          <w:szCs w:val="28"/>
        </w:rPr>
        <w:t xml:space="preserve">With regards to court orders, the Constitutional Court added to the aforegoing in </w:t>
      </w:r>
      <w:r w:rsidR="005D56D6" w:rsidRPr="006119CE">
        <w:rPr>
          <w:rFonts w:ascii="Times New Roman" w:eastAsia="Calibri" w:hAnsi="Times New Roman"/>
          <w:i/>
          <w:snapToGrid/>
          <w:sz w:val="28"/>
          <w:szCs w:val="28"/>
        </w:rPr>
        <w:t>Eke v Parsons</w:t>
      </w:r>
      <w:r w:rsidR="005D56D6">
        <w:rPr>
          <w:rStyle w:val="FootnoteReference"/>
          <w:rFonts w:ascii="Times New Roman" w:eastAsia="Calibri" w:hAnsi="Times New Roman"/>
          <w:snapToGrid/>
          <w:sz w:val="28"/>
          <w:szCs w:val="28"/>
        </w:rPr>
        <w:footnoteReference w:id="22"/>
      </w:r>
      <w:r w:rsidR="006119CE">
        <w:rPr>
          <w:rFonts w:ascii="Times New Roman" w:eastAsia="Calibri" w:hAnsi="Times New Roman"/>
          <w:snapToGrid/>
          <w:sz w:val="28"/>
          <w:szCs w:val="28"/>
        </w:rPr>
        <w:t xml:space="preserve"> where the court stated:</w:t>
      </w:r>
    </w:p>
    <w:p w:rsidR="00591958" w:rsidRDefault="00591958" w:rsidP="00AB2234">
      <w:pPr>
        <w:pStyle w:val="BodyTextIndent2"/>
        <w:widowControl/>
        <w:spacing w:after="0"/>
        <w:ind w:left="0"/>
        <w:jc w:val="both"/>
        <w:rPr>
          <w:rFonts w:ascii="Times New Roman" w:eastAsia="Calibri" w:hAnsi="Times New Roman"/>
          <w:snapToGrid/>
          <w:sz w:val="28"/>
          <w:szCs w:val="28"/>
        </w:rPr>
      </w:pPr>
    </w:p>
    <w:p w:rsidR="0079567F" w:rsidRPr="00591958" w:rsidRDefault="0079567F" w:rsidP="0079567F">
      <w:pPr>
        <w:pStyle w:val="JUDGMENTNUMBERED"/>
        <w:numPr>
          <w:ilvl w:val="0"/>
          <w:numId w:val="0"/>
        </w:numPr>
        <w:ind w:left="2160" w:hanging="1120"/>
        <w:rPr>
          <w:i/>
          <w:sz w:val="28"/>
          <w:szCs w:val="28"/>
        </w:rPr>
      </w:pPr>
      <w:r w:rsidRPr="00591958">
        <w:rPr>
          <w:rFonts w:eastAsia="Calibri"/>
          <w:i/>
          <w:sz w:val="28"/>
          <w:szCs w:val="28"/>
        </w:rPr>
        <w:t>“[29]</w:t>
      </w:r>
      <w:r w:rsidRPr="00591958">
        <w:rPr>
          <w:rFonts w:eastAsia="Calibri"/>
          <w:i/>
          <w:sz w:val="28"/>
          <w:szCs w:val="28"/>
        </w:rPr>
        <w:tab/>
      </w:r>
      <w:r w:rsidRPr="00591958">
        <w:rPr>
          <w:i/>
          <w:sz w:val="28"/>
          <w:szCs w:val="28"/>
        </w:rPr>
        <w:t>Once a settlement agreement has been made an order of court, it is an order like any other.  It will be interpreted like all court orders.  Here is the well-established test on the interpretation of court orders:</w:t>
      </w:r>
    </w:p>
    <w:p w:rsidR="0079567F" w:rsidRPr="00591958" w:rsidRDefault="0079567F" w:rsidP="0079567F">
      <w:pPr>
        <w:pStyle w:val="QUOTATION"/>
        <w:rPr>
          <w:i/>
          <w:sz w:val="28"/>
          <w:szCs w:val="28"/>
        </w:rPr>
      </w:pPr>
    </w:p>
    <w:p w:rsidR="0079567F" w:rsidRPr="00591958" w:rsidRDefault="0079567F" w:rsidP="0079567F">
      <w:pPr>
        <w:pStyle w:val="QUOTATION"/>
        <w:ind w:left="1040"/>
        <w:rPr>
          <w:i/>
          <w:sz w:val="24"/>
          <w:szCs w:val="24"/>
        </w:rPr>
      </w:pPr>
      <w:r w:rsidRPr="00591958">
        <w:rPr>
          <w:i/>
          <w:sz w:val="24"/>
          <w:szCs w:val="24"/>
        </w:rPr>
        <w:t>“The starting point is to determine the manifest purpose of the order.  In interpreting a judgment or order, the court’s intention is to be ascertained primarily from the language of the judgment or order in accordance with the usual well-known rules relating to the interpretation of documents.  As in the case of a document, the judgment or order and the court’s reasons for giving it must be read as a whole in order to ascertain its intention.”</w:t>
      </w:r>
      <w:r w:rsidRPr="00591958">
        <w:rPr>
          <w:rStyle w:val="FootnoteReference"/>
          <w:i/>
          <w:sz w:val="24"/>
          <w:szCs w:val="24"/>
        </w:rPr>
        <w:footnoteReference w:id="23"/>
      </w:r>
    </w:p>
    <w:p w:rsidR="0079567F" w:rsidRPr="00591958" w:rsidRDefault="0079567F" w:rsidP="0079567F">
      <w:pPr>
        <w:pStyle w:val="JUDGMENTCONTINUED"/>
        <w:rPr>
          <w:i/>
          <w:sz w:val="28"/>
          <w:szCs w:val="28"/>
        </w:rPr>
      </w:pPr>
    </w:p>
    <w:p w:rsidR="0079567F" w:rsidRPr="00591958" w:rsidRDefault="0079567F" w:rsidP="0079567F">
      <w:pPr>
        <w:pStyle w:val="JUDGMENTNUMBERED"/>
        <w:numPr>
          <w:ilvl w:val="0"/>
          <w:numId w:val="0"/>
        </w:numPr>
        <w:ind w:left="1440" w:hanging="760"/>
        <w:rPr>
          <w:i/>
          <w:sz w:val="28"/>
          <w:szCs w:val="28"/>
        </w:rPr>
      </w:pPr>
      <w:r w:rsidRPr="00591958">
        <w:rPr>
          <w:i/>
          <w:sz w:val="28"/>
          <w:szCs w:val="28"/>
        </w:rPr>
        <w:t>[30]</w:t>
      </w:r>
      <w:r w:rsidRPr="00591958">
        <w:rPr>
          <w:i/>
          <w:sz w:val="28"/>
          <w:szCs w:val="28"/>
        </w:rPr>
        <w:tab/>
        <w:t>This is equally true of court orders following on settlement agreements, of course with a slant that is specific to orders of this nature:</w:t>
      </w:r>
    </w:p>
    <w:p w:rsidR="0079567F" w:rsidRPr="00591958" w:rsidRDefault="0079567F" w:rsidP="0079567F">
      <w:pPr>
        <w:pStyle w:val="QUOTATION"/>
        <w:rPr>
          <w:i/>
          <w:sz w:val="28"/>
          <w:szCs w:val="28"/>
        </w:rPr>
      </w:pPr>
    </w:p>
    <w:p w:rsidR="0079567F" w:rsidRPr="00591958" w:rsidRDefault="00591958" w:rsidP="0079567F">
      <w:pPr>
        <w:pStyle w:val="QUOTATION"/>
        <w:rPr>
          <w:i/>
          <w:sz w:val="24"/>
          <w:szCs w:val="24"/>
        </w:rPr>
      </w:pPr>
      <w:r>
        <w:rPr>
          <w:i/>
          <w:sz w:val="24"/>
          <w:szCs w:val="24"/>
        </w:rPr>
        <w:t>‘</w:t>
      </w:r>
      <w:r w:rsidR="0079567F" w:rsidRPr="00591958">
        <w:rPr>
          <w:i/>
          <w:sz w:val="24"/>
          <w:szCs w:val="24"/>
        </w:rPr>
        <w:t xml:space="preserve">The Court order in this case records an agreement of settlement and the basic principles of the interpretation of contracts need therefore be applied to ascertain the meaning of the agreement. . . </w:t>
      </w:r>
    </w:p>
    <w:p w:rsidR="0079567F" w:rsidRPr="00591958" w:rsidRDefault="0079567F" w:rsidP="0079567F">
      <w:pPr>
        <w:pStyle w:val="QUOTATION"/>
        <w:rPr>
          <w:i/>
          <w:sz w:val="24"/>
          <w:szCs w:val="24"/>
        </w:rPr>
      </w:pPr>
    </w:p>
    <w:p w:rsidR="0079567F" w:rsidRPr="00591958" w:rsidRDefault="0079567F" w:rsidP="0079567F">
      <w:pPr>
        <w:pStyle w:val="QUOTATION"/>
        <w:rPr>
          <w:i/>
          <w:sz w:val="24"/>
          <w:szCs w:val="24"/>
        </w:rPr>
      </w:pPr>
      <w:r w:rsidRPr="00591958">
        <w:rPr>
          <w:i/>
          <w:sz w:val="24"/>
          <w:szCs w:val="24"/>
        </w:rPr>
        <w:t xml:space="preserve">The intention of the parties is ascertained from the language used read in its contextual setting and in the light of admissible evidence.  There are three </w:t>
      </w:r>
      <w:r w:rsidRPr="00591958">
        <w:rPr>
          <w:i/>
          <w:sz w:val="24"/>
          <w:szCs w:val="24"/>
        </w:rPr>
        <w:lastRenderedPageBreak/>
        <w:t>classes of admissible evidence.  Evidence of background facts is always admissible.  These facts, matters probably present in the mind of the parties when they contracted, are part of the context and explain the ‘genesis of the transaction’ or its ‘factual matrix’.  Its aim is to put the Court ‘in the armchair of the author(s)’ of the document.  Evidence of ‘surrounding circumstances’ is admissible only if a contextual interpretation fails to clear up an ambiguity or uncertainty.  Evidence of what passed between the parties during the negotiations that preceded the conclusion of the agreement is admissible only in the case where evidence of the surrounding circumstances does not provide ‘sufficient certainty’.”</w:t>
      </w:r>
      <w:r w:rsidRPr="00591958">
        <w:rPr>
          <w:rStyle w:val="FootnoteReference"/>
          <w:i/>
          <w:sz w:val="24"/>
          <w:szCs w:val="24"/>
        </w:rPr>
        <w:footnoteReference w:id="24"/>
      </w:r>
      <w:r w:rsidR="00591958" w:rsidRPr="00591958">
        <w:rPr>
          <w:i/>
          <w:sz w:val="24"/>
          <w:szCs w:val="24"/>
        </w:rPr>
        <w:t xml:space="preserve">  </w:t>
      </w:r>
    </w:p>
    <w:p w:rsidR="005D56D6" w:rsidRPr="00591958" w:rsidRDefault="005D56D6" w:rsidP="00AB2234">
      <w:pPr>
        <w:pStyle w:val="BodyTextIndent2"/>
        <w:widowControl/>
        <w:spacing w:after="0"/>
        <w:ind w:left="0"/>
        <w:jc w:val="both"/>
        <w:rPr>
          <w:rFonts w:ascii="Times New Roman" w:eastAsia="Calibri" w:hAnsi="Times New Roman"/>
          <w:i/>
          <w:snapToGrid/>
          <w:sz w:val="28"/>
          <w:szCs w:val="28"/>
        </w:rPr>
      </w:pPr>
    </w:p>
    <w:p w:rsidR="00437E6F" w:rsidRDefault="00FB1805" w:rsidP="00AB2234">
      <w:pPr>
        <w:pStyle w:val="BodyTextIndent2"/>
        <w:widowControl/>
        <w:spacing w:after="0"/>
        <w:ind w:left="0"/>
        <w:jc w:val="both"/>
        <w:rPr>
          <w:rFonts w:ascii="Times New Roman" w:eastAsia="Calibri" w:hAnsi="Times New Roman"/>
          <w:snapToGrid/>
          <w:sz w:val="28"/>
          <w:szCs w:val="28"/>
        </w:rPr>
      </w:pPr>
      <w:r>
        <w:rPr>
          <w:rFonts w:ascii="Times New Roman" w:eastAsia="Calibri" w:hAnsi="Times New Roman"/>
          <w:snapToGrid/>
          <w:sz w:val="28"/>
          <w:szCs w:val="28"/>
        </w:rPr>
        <w:t>[40</w:t>
      </w:r>
      <w:r w:rsidR="00AB2234" w:rsidRPr="00437E6F">
        <w:rPr>
          <w:rFonts w:ascii="Times New Roman" w:eastAsia="Calibri" w:hAnsi="Times New Roman"/>
          <w:snapToGrid/>
          <w:sz w:val="28"/>
          <w:szCs w:val="28"/>
        </w:rPr>
        <w:t>]</w:t>
      </w:r>
      <w:r w:rsidR="00AB2234" w:rsidRPr="00437E6F">
        <w:rPr>
          <w:rFonts w:ascii="Times New Roman" w:eastAsia="Calibri" w:hAnsi="Times New Roman"/>
          <w:snapToGrid/>
          <w:sz w:val="28"/>
          <w:szCs w:val="28"/>
        </w:rPr>
        <w:tab/>
      </w:r>
      <w:r w:rsidR="00EB72B7">
        <w:rPr>
          <w:rFonts w:ascii="Times New Roman" w:eastAsia="Calibri" w:hAnsi="Times New Roman"/>
          <w:snapToGrid/>
          <w:sz w:val="28"/>
          <w:szCs w:val="28"/>
        </w:rPr>
        <w:t>Having</w:t>
      </w:r>
      <w:r w:rsidR="00393B03">
        <w:rPr>
          <w:rFonts w:ascii="Times New Roman" w:eastAsia="Calibri" w:hAnsi="Times New Roman"/>
          <w:snapToGrid/>
          <w:sz w:val="28"/>
          <w:szCs w:val="28"/>
        </w:rPr>
        <w:t xml:space="preserve"> due regard to the background above, it is the applicant’s submission that the underlying dispute between the applicant and the first respondent that preceded the court order related to the payment of separate levies in respect of erven 1315 and 1310, which aspect formed a part of the consent to the ‘consolidation’ and governed the consequences of such consent. I do not think that such can be gainsaid. </w:t>
      </w:r>
    </w:p>
    <w:p w:rsidR="00393B03" w:rsidRDefault="00393B03" w:rsidP="00AB2234">
      <w:pPr>
        <w:pStyle w:val="BodyTextIndent2"/>
        <w:widowControl/>
        <w:spacing w:after="0"/>
        <w:ind w:left="0"/>
        <w:jc w:val="both"/>
        <w:rPr>
          <w:rFonts w:ascii="Times New Roman" w:eastAsia="Calibri" w:hAnsi="Times New Roman"/>
          <w:snapToGrid/>
          <w:sz w:val="28"/>
          <w:szCs w:val="28"/>
        </w:rPr>
      </w:pPr>
    </w:p>
    <w:p w:rsidR="004D1D11" w:rsidRDefault="00FB1805" w:rsidP="00AB2234">
      <w:pPr>
        <w:pStyle w:val="BodyTextIndent2"/>
        <w:widowControl/>
        <w:spacing w:after="0"/>
        <w:ind w:left="0"/>
        <w:jc w:val="both"/>
        <w:rPr>
          <w:rFonts w:ascii="Times New Roman" w:eastAsia="Calibri" w:hAnsi="Times New Roman"/>
          <w:snapToGrid/>
          <w:sz w:val="28"/>
          <w:szCs w:val="28"/>
        </w:rPr>
      </w:pPr>
      <w:r>
        <w:rPr>
          <w:rFonts w:ascii="Times New Roman" w:eastAsia="Calibri" w:hAnsi="Times New Roman"/>
          <w:snapToGrid/>
          <w:sz w:val="28"/>
          <w:szCs w:val="28"/>
        </w:rPr>
        <w:t>[41</w:t>
      </w:r>
      <w:r w:rsidR="00437E6F">
        <w:rPr>
          <w:rFonts w:ascii="Times New Roman" w:eastAsia="Calibri" w:hAnsi="Times New Roman"/>
          <w:snapToGrid/>
          <w:sz w:val="28"/>
          <w:szCs w:val="28"/>
        </w:rPr>
        <w:t>]</w:t>
      </w:r>
      <w:r w:rsidR="00437E6F">
        <w:rPr>
          <w:rFonts w:ascii="Times New Roman" w:eastAsia="Calibri" w:hAnsi="Times New Roman"/>
          <w:snapToGrid/>
          <w:sz w:val="28"/>
          <w:szCs w:val="28"/>
        </w:rPr>
        <w:tab/>
      </w:r>
      <w:r w:rsidR="00393B03">
        <w:rPr>
          <w:rFonts w:ascii="Times New Roman" w:eastAsia="Calibri" w:hAnsi="Times New Roman"/>
          <w:snapToGrid/>
          <w:sz w:val="28"/>
          <w:szCs w:val="28"/>
        </w:rPr>
        <w:t xml:space="preserve">It is the further argument of the applicant that </w:t>
      </w:r>
      <w:r w:rsidR="00AD5C69">
        <w:rPr>
          <w:rFonts w:ascii="Times New Roman" w:eastAsia="Calibri" w:hAnsi="Times New Roman"/>
          <w:snapToGrid/>
          <w:sz w:val="28"/>
          <w:szCs w:val="28"/>
        </w:rPr>
        <w:t xml:space="preserve">the reference in paragraph 5 of the court order to the erven having been consolidated, was not intended to refer to an actual consolidation, but rather to an agreement to consolidate them. This, it is said, is underscored by the fact that the order specifically records that the erven ‘will in future be treated as [consolidated] with no separate levies applicable to the individual erven.’ </w:t>
      </w:r>
    </w:p>
    <w:p w:rsidR="00393B03" w:rsidRDefault="00393B03" w:rsidP="00AB2234">
      <w:pPr>
        <w:pStyle w:val="BodyTextIndent2"/>
        <w:widowControl/>
        <w:spacing w:after="0"/>
        <w:ind w:left="0"/>
        <w:jc w:val="both"/>
        <w:rPr>
          <w:rFonts w:ascii="Times New Roman" w:eastAsia="Calibri" w:hAnsi="Times New Roman"/>
          <w:snapToGrid/>
          <w:sz w:val="28"/>
          <w:szCs w:val="28"/>
        </w:rPr>
      </w:pPr>
    </w:p>
    <w:p w:rsidR="008B38CF" w:rsidRDefault="00FB1805" w:rsidP="00AB2234">
      <w:pPr>
        <w:pStyle w:val="BodyTextIndent2"/>
        <w:widowControl/>
        <w:spacing w:after="0"/>
        <w:ind w:left="0"/>
        <w:jc w:val="both"/>
        <w:rPr>
          <w:rFonts w:ascii="Times New Roman" w:eastAsia="Calibri" w:hAnsi="Times New Roman"/>
          <w:snapToGrid/>
          <w:sz w:val="28"/>
          <w:szCs w:val="28"/>
        </w:rPr>
      </w:pPr>
      <w:r>
        <w:rPr>
          <w:rFonts w:ascii="Times New Roman" w:eastAsia="Calibri" w:hAnsi="Times New Roman"/>
          <w:snapToGrid/>
          <w:sz w:val="28"/>
          <w:szCs w:val="28"/>
        </w:rPr>
        <w:t>[42</w:t>
      </w:r>
      <w:r w:rsidR="00FF7EB3">
        <w:rPr>
          <w:rFonts w:ascii="Times New Roman" w:eastAsia="Calibri" w:hAnsi="Times New Roman"/>
          <w:snapToGrid/>
          <w:sz w:val="28"/>
          <w:szCs w:val="28"/>
        </w:rPr>
        <w:t>]</w:t>
      </w:r>
      <w:r w:rsidR="00FF7EB3">
        <w:rPr>
          <w:rFonts w:ascii="Times New Roman" w:eastAsia="Calibri" w:hAnsi="Times New Roman"/>
          <w:snapToGrid/>
          <w:sz w:val="28"/>
          <w:szCs w:val="28"/>
        </w:rPr>
        <w:tab/>
      </w:r>
      <w:r w:rsidR="00AD5C69">
        <w:rPr>
          <w:rFonts w:ascii="Times New Roman" w:eastAsia="Calibri" w:hAnsi="Times New Roman"/>
          <w:snapToGrid/>
          <w:sz w:val="28"/>
          <w:szCs w:val="28"/>
        </w:rPr>
        <w:t xml:space="preserve">It was further argued on behalf of the applicant that the reference to individual erven and to the future treatment thereof as being consolidated, as well as the correspondence that was exchanged between the parties subsequently where it was clear that all parties were aware that no actual consolidation had occurred, as well as from the events set out in the answering affidavit by Heunis, supports a construction that the parties in fact were recording the first respondent’s agreement to the planned consolidation, which both parties at that stage </w:t>
      </w:r>
      <w:r w:rsidR="0059405E">
        <w:rPr>
          <w:rFonts w:ascii="Times New Roman" w:eastAsia="Calibri" w:hAnsi="Times New Roman"/>
          <w:snapToGrid/>
          <w:sz w:val="28"/>
          <w:szCs w:val="28"/>
        </w:rPr>
        <w:t>knew involved a notarial tie.</w:t>
      </w:r>
    </w:p>
    <w:p w:rsidR="00AD5C69" w:rsidRDefault="00AD5C69" w:rsidP="00AB2234">
      <w:pPr>
        <w:pStyle w:val="BodyTextIndent2"/>
        <w:widowControl/>
        <w:spacing w:after="0"/>
        <w:ind w:left="0"/>
        <w:jc w:val="both"/>
        <w:rPr>
          <w:rFonts w:ascii="Times New Roman" w:eastAsia="Calibri" w:hAnsi="Times New Roman"/>
          <w:snapToGrid/>
          <w:sz w:val="28"/>
          <w:szCs w:val="28"/>
        </w:rPr>
      </w:pPr>
    </w:p>
    <w:p w:rsidR="005F5966" w:rsidRDefault="00FB1805" w:rsidP="00AB2234">
      <w:pPr>
        <w:pStyle w:val="BodyTextIndent2"/>
        <w:widowControl/>
        <w:spacing w:after="0"/>
        <w:ind w:left="0"/>
        <w:jc w:val="both"/>
        <w:rPr>
          <w:rFonts w:ascii="Times New Roman" w:eastAsia="Calibri" w:hAnsi="Times New Roman"/>
          <w:snapToGrid/>
          <w:sz w:val="28"/>
          <w:szCs w:val="28"/>
        </w:rPr>
      </w:pPr>
      <w:r>
        <w:rPr>
          <w:rFonts w:ascii="Times New Roman" w:eastAsia="Calibri" w:hAnsi="Times New Roman"/>
          <w:snapToGrid/>
          <w:sz w:val="28"/>
          <w:szCs w:val="28"/>
        </w:rPr>
        <w:t>[43</w:t>
      </w:r>
      <w:r w:rsidR="008B38CF">
        <w:rPr>
          <w:rFonts w:ascii="Times New Roman" w:eastAsia="Calibri" w:hAnsi="Times New Roman"/>
          <w:snapToGrid/>
          <w:sz w:val="28"/>
          <w:szCs w:val="28"/>
        </w:rPr>
        <w:t>]</w:t>
      </w:r>
      <w:r w:rsidR="008B38CF">
        <w:rPr>
          <w:rFonts w:ascii="Times New Roman" w:eastAsia="Calibri" w:hAnsi="Times New Roman"/>
          <w:snapToGrid/>
          <w:sz w:val="28"/>
          <w:szCs w:val="28"/>
        </w:rPr>
        <w:tab/>
      </w:r>
      <w:r w:rsidR="0092567D">
        <w:rPr>
          <w:rFonts w:ascii="Times New Roman" w:eastAsia="Calibri" w:hAnsi="Times New Roman"/>
          <w:snapToGrid/>
          <w:sz w:val="28"/>
          <w:szCs w:val="28"/>
        </w:rPr>
        <w:t xml:space="preserve">The submission here was that the existence and validity of the consent at the time when the court order was agreed, was a </w:t>
      </w:r>
      <w:r w:rsidR="0092567D" w:rsidRPr="0092567D">
        <w:rPr>
          <w:rFonts w:ascii="Times New Roman" w:eastAsia="Calibri" w:hAnsi="Times New Roman"/>
          <w:i/>
          <w:snapToGrid/>
          <w:sz w:val="28"/>
          <w:szCs w:val="28"/>
        </w:rPr>
        <w:t>sine qua non</w:t>
      </w:r>
      <w:r w:rsidR="0092567D">
        <w:rPr>
          <w:rFonts w:ascii="Times New Roman" w:eastAsia="Calibri" w:hAnsi="Times New Roman"/>
          <w:snapToGrid/>
          <w:sz w:val="28"/>
          <w:szCs w:val="28"/>
        </w:rPr>
        <w:t xml:space="preserve"> to settling the dispute concerning the payment of separate levies. That on a proper interpretation of the court order considering all relevant material available</w:t>
      </w:r>
      <w:r w:rsidR="0074382C">
        <w:rPr>
          <w:rFonts w:ascii="Times New Roman" w:eastAsia="Calibri" w:hAnsi="Times New Roman"/>
          <w:snapToGrid/>
          <w:sz w:val="28"/>
          <w:szCs w:val="28"/>
        </w:rPr>
        <w:t xml:space="preserve"> as per the approach to the interpretation of court orders, that the court order either affirmed and/or constituted a recordial of the consent and /or agreement of the first respondent to the effective consolidation of the relevant erven for the purposes described.</w:t>
      </w:r>
    </w:p>
    <w:p w:rsidR="00AF59E8" w:rsidRDefault="00AF59E8" w:rsidP="00AB2234">
      <w:pPr>
        <w:pStyle w:val="BodyTextIndent2"/>
        <w:widowControl/>
        <w:spacing w:after="0"/>
        <w:ind w:left="0"/>
        <w:jc w:val="both"/>
        <w:rPr>
          <w:rFonts w:ascii="Times New Roman" w:eastAsia="Calibri" w:hAnsi="Times New Roman"/>
          <w:snapToGrid/>
          <w:sz w:val="28"/>
          <w:szCs w:val="28"/>
        </w:rPr>
      </w:pPr>
    </w:p>
    <w:p w:rsidR="00FF7EB3" w:rsidRDefault="00FB1805" w:rsidP="00AB2234">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[44</w:t>
      </w:r>
      <w:r w:rsidR="00341507">
        <w:rPr>
          <w:rFonts w:ascii="Times New Roman" w:hAnsi="Times New Roman"/>
          <w:sz w:val="28"/>
          <w:szCs w:val="28"/>
          <w:lang w:val="en-ZA"/>
        </w:rPr>
        <w:t>]</w:t>
      </w:r>
      <w:r w:rsidR="00341507">
        <w:rPr>
          <w:rFonts w:ascii="Times New Roman" w:hAnsi="Times New Roman"/>
          <w:sz w:val="28"/>
          <w:szCs w:val="28"/>
          <w:lang w:val="en-ZA"/>
        </w:rPr>
        <w:tab/>
      </w:r>
      <w:r w:rsidR="0074382C">
        <w:rPr>
          <w:rFonts w:ascii="Times New Roman" w:hAnsi="Times New Roman"/>
          <w:sz w:val="28"/>
          <w:szCs w:val="28"/>
          <w:lang w:val="en-ZA"/>
        </w:rPr>
        <w:t xml:space="preserve">In conclusion in this regard, the applicant submitted that it cannot be gainsaid, at the very least, that the court order unequivocally records the rights and obligations of the parties insofar as the raising of separate levies on the erven </w:t>
      </w:r>
      <w:r w:rsidR="0074382C">
        <w:rPr>
          <w:rFonts w:ascii="Times New Roman" w:hAnsi="Times New Roman"/>
          <w:sz w:val="28"/>
          <w:szCs w:val="28"/>
          <w:lang w:val="en-ZA"/>
        </w:rPr>
        <w:lastRenderedPageBreak/>
        <w:t>is concerned, and that the first respondent does not have an entitlement to charge separate levies in respect</w:t>
      </w:r>
      <w:r w:rsidR="006816C4">
        <w:rPr>
          <w:rFonts w:ascii="Times New Roman" w:hAnsi="Times New Roman"/>
          <w:sz w:val="28"/>
          <w:szCs w:val="28"/>
          <w:lang w:val="en-ZA"/>
        </w:rPr>
        <w:t xml:space="preserve"> of</w:t>
      </w:r>
      <w:r w:rsidR="0074382C">
        <w:rPr>
          <w:rFonts w:ascii="Times New Roman" w:hAnsi="Times New Roman"/>
          <w:sz w:val="28"/>
          <w:szCs w:val="28"/>
          <w:lang w:val="en-ZA"/>
        </w:rPr>
        <w:t xml:space="preserve"> erf 1310 for so long as the court order remains.</w:t>
      </w:r>
    </w:p>
    <w:p w:rsidR="0074382C" w:rsidRDefault="0074382C" w:rsidP="00AB2234">
      <w:pPr>
        <w:pStyle w:val="BodyTextIndent2"/>
        <w:widowControl/>
        <w:spacing w:after="0"/>
        <w:ind w:left="0"/>
        <w:jc w:val="both"/>
        <w:rPr>
          <w:rFonts w:ascii="Times New Roman" w:hAnsi="Times New Roman"/>
          <w:sz w:val="28"/>
          <w:szCs w:val="28"/>
          <w:lang w:val="en-ZA"/>
        </w:rPr>
      </w:pPr>
    </w:p>
    <w:p w:rsidR="00BF5725" w:rsidRDefault="00FB1805" w:rsidP="00AB2234">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[45</w:t>
      </w:r>
      <w:r w:rsidR="00FF7EB3">
        <w:rPr>
          <w:rFonts w:ascii="Times New Roman" w:hAnsi="Times New Roman"/>
          <w:sz w:val="28"/>
          <w:szCs w:val="28"/>
          <w:lang w:val="en-ZA"/>
        </w:rPr>
        <w:t>]</w:t>
      </w:r>
      <w:r w:rsidR="00FF7EB3">
        <w:rPr>
          <w:rFonts w:ascii="Times New Roman" w:hAnsi="Times New Roman"/>
          <w:sz w:val="28"/>
          <w:szCs w:val="28"/>
          <w:lang w:val="en-ZA"/>
        </w:rPr>
        <w:tab/>
      </w:r>
      <w:r w:rsidR="006816C4">
        <w:rPr>
          <w:rFonts w:ascii="Times New Roman" w:hAnsi="Times New Roman"/>
          <w:sz w:val="28"/>
          <w:szCs w:val="28"/>
          <w:lang w:val="en-ZA"/>
        </w:rPr>
        <w:t xml:space="preserve">On the latter, I cannot perceive of any other possible interpretation to be ascribed to the court order, given the status thereof as </w:t>
      </w:r>
      <w:r w:rsidR="00EB72B7">
        <w:rPr>
          <w:rFonts w:ascii="Times New Roman" w:hAnsi="Times New Roman"/>
          <w:sz w:val="28"/>
          <w:szCs w:val="28"/>
          <w:lang w:val="en-ZA"/>
        </w:rPr>
        <w:t>was well articulated</w:t>
      </w:r>
      <w:r w:rsidR="006816C4">
        <w:rPr>
          <w:rFonts w:ascii="Times New Roman" w:hAnsi="Times New Roman"/>
          <w:sz w:val="28"/>
          <w:szCs w:val="28"/>
          <w:lang w:val="en-ZA"/>
        </w:rPr>
        <w:t xml:space="preserve"> in </w:t>
      </w:r>
      <w:r w:rsidR="006816C4" w:rsidRPr="006816C4">
        <w:rPr>
          <w:rFonts w:ascii="Times New Roman" w:hAnsi="Times New Roman"/>
          <w:i/>
          <w:sz w:val="28"/>
          <w:szCs w:val="28"/>
          <w:lang w:val="en-ZA"/>
        </w:rPr>
        <w:t>Eke v Parsons</w:t>
      </w:r>
      <w:r w:rsidR="006816C4">
        <w:rPr>
          <w:rFonts w:ascii="Times New Roman" w:hAnsi="Times New Roman"/>
          <w:sz w:val="28"/>
          <w:szCs w:val="28"/>
          <w:lang w:val="en-ZA"/>
        </w:rPr>
        <w:t xml:space="preserve"> referred to </w:t>
      </w:r>
      <w:r w:rsidR="006816C4" w:rsidRPr="006816C4">
        <w:rPr>
          <w:rFonts w:ascii="Times New Roman" w:hAnsi="Times New Roman"/>
          <w:i/>
          <w:sz w:val="28"/>
          <w:szCs w:val="28"/>
          <w:lang w:val="en-ZA"/>
        </w:rPr>
        <w:t>supra</w:t>
      </w:r>
      <w:r w:rsidR="006816C4">
        <w:rPr>
          <w:rFonts w:ascii="Times New Roman" w:hAnsi="Times New Roman"/>
          <w:sz w:val="28"/>
          <w:szCs w:val="28"/>
          <w:lang w:val="en-ZA"/>
        </w:rPr>
        <w:t>.</w:t>
      </w:r>
      <w:r w:rsidR="00344B8C">
        <w:rPr>
          <w:rFonts w:ascii="Times New Roman" w:hAnsi="Times New Roman"/>
          <w:sz w:val="28"/>
          <w:szCs w:val="28"/>
          <w:lang w:val="en-ZA"/>
        </w:rPr>
        <w:t xml:space="preserve"> I fail to see how it can be gainsaid that the manifest purpose of the order (as a starting point), discernible from the language used in the order itself, was to regulate the future conduct of the parties in respect of the raising of separate levies for the relevant erven.</w:t>
      </w:r>
    </w:p>
    <w:p w:rsidR="0074382C" w:rsidRDefault="0074382C" w:rsidP="00AB2234">
      <w:pPr>
        <w:pStyle w:val="BodyTextIndent2"/>
        <w:widowControl/>
        <w:spacing w:after="0"/>
        <w:ind w:left="0"/>
        <w:jc w:val="both"/>
        <w:rPr>
          <w:rFonts w:ascii="Times New Roman" w:hAnsi="Times New Roman"/>
          <w:sz w:val="28"/>
          <w:szCs w:val="28"/>
          <w:lang w:val="en-ZA"/>
        </w:rPr>
      </w:pPr>
    </w:p>
    <w:p w:rsidR="00344B8C" w:rsidRDefault="00BF5725" w:rsidP="00AB2234">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[46]</w:t>
      </w:r>
      <w:r>
        <w:rPr>
          <w:rFonts w:ascii="Times New Roman" w:hAnsi="Times New Roman"/>
          <w:sz w:val="28"/>
          <w:szCs w:val="28"/>
          <w:lang w:val="en-ZA"/>
        </w:rPr>
        <w:tab/>
      </w:r>
      <w:r w:rsidR="00344B8C">
        <w:rPr>
          <w:rFonts w:ascii="Times New Roman" w:hAnsi="Times New Roman"/>
          <w:sz w:val="28"/>
          <w:szCs w:val="28"/>
          <w:lang w:val="en-ZA"/>
        </w:rPr>
        <w:t>In fact, the first respondent did not attempt to gainsay the above argument</w:t>
      </w:r>
      <w:r w:rsidR="00534766">
        <w:rPr>
          <w:rFonts w:ascii="Times New Roman" w:hAnsi="Times New Roman"/>
          <w:sz w:val="28"/>
          <w:szCs w:val="28"/>
          <w:lang w:val="en-ZA"/>
        </w:rPr>
        <w:t>, but</w:t>
      </w:r>
      <w:r w:rsidR="00344B8C">
        <w:rPr>
          <w:rFonts w:ascii="Times New Roman" w:hAnsi="Times New Roman"/>
          <w:sz w:val="28"/>
          <w:szCs w:val="28"/>
          <w:lang w:val="en-ZA"/>
        </w:rPr>
        <w:t xml:space="preserve"> argue</w:t>
      </w:r>
      <w:r w:rsidR="00534766">
        <w:rPr>
          <w:rFonts w:ascii="Times New Roman" w:hAnsi="Times New Roman"/>
          <w:sz w:val="28"/>
          <w:szCs w:val="28"/>
          <w:lang w:val="en-ZA"/>
        </w:rPr>
        <w:t>d</w:t>
      </w:r>
      <w:r w:rsidR="00344B8C">
        <w:rPr>
          <w:rFonts w:ascii="Times New Roman" w:hAnsi="Times New Roman"/>
          <w:sz w:val="28"/>
          <w:szCs w:val="28"/>
          <w:lang w:val="en-ZA"/>
        </w:rPr>
        <w:t xml:space="preserve"> that the agreement</w:t>
      </w:r>
      <w:r w:rsidR="00672B65">
        <w:rPr>
          <w:rFonts w:ascii="Times New Roman" w:hAnsi="Times New Roman"/>
          <w:sz w:val="28"/>
          <w:szCs w:val="28"/>
          <w:lang w:val="en-ZA"/>
        </w:rPr>
        <w:t xml:space="preserve"> contained in the order was synallagmatic, and given that the payment of R250 000 which included the amount due by the applicant</w:t>
      </w:r>
      <w:r w:rsidR="00534766">
        <w:rPr>
          <w:rFonts w:ascii="Times New Roman" w:hAnsi="Times New Roman"/>
          <w:sz w:val="28"/>
          <w:szCs w:val="28"/>
          <w:lang w:val="en-ZA"/>
        </w:rPr>
        <w:t xml:space="preserve"> in outstanding levies</w:t>
      </w:r>
      <w:r w:rsidR="00672B65">
        <w:rPr>
          <w:rFonts w:ascii="Times New Roman" w:hAnsi="Times New Roman"/>
          <w:sz w:val="28"/>
          <w:szCs w:val="28"/>
          <w:lang w:val="en-ZA"/>
        </w:rPr>
        <w:t>, was never received, the obligations</w:t>
      </w:r>
      <w:r w:rsidR="00534766">
        <w:rPr>
          <w:rFonts w:ascii="Times New Roman" w:hAnsi="Times New Roman"/>
          <w:sz w:val="28"/>
          <w:szCs w:val="28"/>
          <w:lang w:val="en-ZA"/>
        </w:rPr>
        <w:t xml:space="preserve"> contained therein</w:t>
      </w:r>
      <w:r w:rsidR="00672B65">
        <w:rPr>
          <w:rFonts w:ascii="Times New Roman" w:hAnsi="Times New Roman"/>
          <w:sz w:val="28"/>
          <w:szCs w:val="28"/>
          <w:lang w:val="en-ZA"/>
        </w:rPr>
        <w:t xml:space="preserve"> on the part of the first respondent</w:t>
      </w:r>
      <w:r w:rsidR="00344B8C">
        <w:rPr>
          <w:rFonts w:ascii="Times New Roman" w:hAnsi="Times New Roman"/>
          <w:sz w:val="28"/>
          <w:szCs w:val="28"/>
          <w:lang w:val="en-ZA"/>
        </w:rPr>
        <w:t xml:space="preserve"> </w:t>
      </w:r>
      <w:r w:rsidR="00672B65">
        <w:rPr>
          <w:rFonts w:ascii="Times New Roman" w:hAnsi="Times New Roman"/>
          <w:sz w:val="28"/>
          <w:szCs w:val="28"/>
          <w:lang w:val="en-ZA"/>
        </w:rPr>
        <w:t xml:space="preserve">were never triggered. </w:t>
      </w:r>
    </w:p>
    <w:p w:rsidR="00071A2D" w:rsidRDefault="00071A2D" w:rsidP="00AB2234">
      <w:pPr>
        <w:pStyle w:val="BodyTextIndent2"/>
        <w:widowControl/>
        <w:spacing w:after="0"/>
        <w:ind w:left="0"/>
        <w:jc w:val="both"/>
        <w:rPr>
          <w:rFonts w:ascii="Times New Roman" w:hAnsi="Times New Roman"/>
          <w:sz w:val="28"/>
          <w:szCs w:val="28"/>
          <w:lang w:val="en-ZA"/>
        </w:rPr>
      </w:pPr>
    </w:p>
    <w:p w:rsidR="00071A2D" w:rsidRDefault="009C6C1B" w:rsidP="00071A2D">
      <w:pPr>
        <w:pStyle w:val="JUDGMENTCONTINUED"/>
        <w:spacing w:line="480" w:lineRule="auto"/>
        <w:rPr>
          <w:sz w:val="28"/>
          <w:szCs w:val="28"/>
        </w:rPr>
      </w:pPr>
      <w:r w:rsidRPr="00071A2D">
        <w:rPr>
          <w:sz w:val="28"/>
          <w:szCs w:val="28"/>
        </w:rPr>
        <w:t>[47]</w:t>
      </w:r>
      <w:r w:rsidRPr="00071A2D">
        <w:rPr>
          <w:sz w:val="28"/>
          <w:szCs w:val="28"/>
        </w:rPr>
        <w:tab/>
      </w:r>
      <w:r w:rsidR="0072603D" w:rsidRPr="00071A2D">
        <w:rPr>
          <w:sz w:val="28"/>
          <w:szCs w:val="28"/>
        </w:rPr>
        <w:t>This</w:t>
      </w:r>
      <w:r w:rsidR="00672B65" w:rsidRPr="00071A2D">
        <w:rPr>
          <w:sz w:val="28"/>
          <w:szCs w:val="28"/>
        </w:rPr>
        <w:t xml:space="preserve"> argument however</w:t>
      </w:r>
      <w:r w:rsidR="0072603D" w:rsidRPr="00071A2D">
        <w:rPr>
          <w:sz w:val="28"/>
          <w:szCs w:val="28"/>
        </w:rPr>
        <w:t>,</w:t>
      </w:r>
      <w:r w:rsidR="00672B65" w:rsidRPr="00071A2D">
        <w:rPr>
          <w:sz w:val="28"/>
          <w:szCs w:val="28"/>
        </w:rPr>
        <w:t xml:space="preserve"> is flawed</w:t>
      </w:r>
      <w:r w:rsidR="00534766" w:rsidRPr="00071A2D">
        <w:rPr>
          <w:sz w:val="28"/>
          <w:szCs w:val="28"/>
        </w:rPr>
        <w:t xml:space="preserve"> and cannot be sustained</w:t>
      </w:r>
      <w:r w:rsidR="0072603D" w:rsidRPr="00071A2D">
        <w:rPr>
          <w:sz w:val="28"/>
          <w:szCs w:val="28"/>
        </w:rPr>
        <w:t xml:space="preserve">. </w:t>
      </w:r>
      <w:r w:rsidR="00071A2D">
        <w:rPr>
          <w:sz w:val="28"/>
          <w:szCs w:val="28"/>
        </w:rPr>
        <w:t>‘</w:t>
      </w:r>
      <w:r w:rsidR="00071A2D" w:rsidRPr="00071A2D">
        <w:rPr>
          <w:sz w:val="28"/>
          <w:szCs w:val="28"/>
        </w:rPr>
        <w:t xml:space="preserve">The effect of a settlement order is to change the status of the rights and obligations between the parties.  Save for litigation that may be consequent upon the nature of the particular order, the order brings finality to the </w:t>
      </w:r>
      <w:r w:rsidR="00071A2D" w:rsidRPr="00071A2D">
        <w:rPr>
          <w:i/>
          <w:sz w:val="28"/>
          <w:szCs w:val="28"/>
        </w:rPr>
        <w:t>lis</w:t>
      </w:r>
      <w:r w:rsidR="00071A2D" w:rsidRPr="00071A2D">
        <w:rPr>
          <w:sz w:val="28"/>
          <w:szCs w:val="28"/>
        </w:rPr>
        <w:t xml:space="preserve"> between the parties; the </w:t>
      </w:r>
      <w:r w:rsidR="00071A2D" w:rsidRPr="00071A2D">
        <w:rPr>
          <w:i/>
          <w:sz w:val="28"/>
          <w:szCs w:val="28"/>
        </w:rPr>
        <w:t>lis</w:t>
      </w:r>
      <w:r w:rsidR="00071A2D" w:rsidRPr="00071A2D">
        <w:rPr>
          <w:sz w:val="28"/>
          <w:szCs w:val="28"/>
        </w:rPr>
        <w:t xml:space="preserve"> </w:t>
      </w:r>
      <w:r w:rsidR="00071A2D" w:rsidRPr="00071A2D">
        <w:rPr>
          <w:sz w:val="28"/>
          <w:szCs w:val="28"/>
        </w:rPr>
        <w:lastRenderedPageBreak/>
        <w:t xml:space="preserve">becomes </w:t>
      </w:r>
      <w:r w:rsidR="00071A2D" w:rsidRPr="00071A2D">
        <w:rPr>
          <w:i/>
          <w:sz w:val="28"/>
          <w:szCs w:val="28"/>
        </w:rPr>
        <w:t>res judicata</w:t>
      </w:r>
      <w:r w:rsidR="00071A2D" w:rsidRPr="00071A2D">
        <w:rPr>
          <w:sz w:val="28"/>
          <w:szCs w:val="28"/>
        </w:rPr>
        <w:t xml:space="preserve"> (literally, “a matter judged”).</w:t>
      </w:r>
      <w:r w:rsidR="00071A2D" w:rsidRPr="00071A2D">
        <w:rPr>
          <w:rStyle w:val="FootnoteReference"/>
          <w:sz w:val="28"/>
          <w:szCs w:val="28"/>
        </w:rPr>
        <w:footnoteReference w:id="25"/>
      </w:r>
      <w:r w:rsidR="00071A2D" w:rsidRPr="00071A2D">
        <w:rPr>
          <w:sz w:val="28"/>
          <w:szCs w:val="28"/>
        </w:rPr>
        <w:t xml:space="preserve">  It changes the terms of a settlement agreement to an enforceable court order.  The type of enforcement may be execution or contempt proceedings.  Or it may take any other form permitted by the nature of the order.</w:t>
      </w:r>
      <w:r w:rsidR="00404789">
        <w:rPr>
          <w:rStyle w:val="FootnoteReference"/>
          <w:sz w:val="28"/>
          <w:szCs w:val="28"/>
        </w:rPr>
        <w:footnoteReference w:id="26"/>
      </w:r>
      <w:r w:rsidR="00071A2D" w:rsidRPr="00071A2D">
        <w:rPr>
          <w:sz w:val="28"/>
          <w:szCs w:val="28"/>
        </w:rPr>
        <w:t xml:space="preserve">  </w:t>
      </w:r>
    </w:p>
    <w:p w:rsidR="00071A2D" w:rsidRPr="00071A2D" w:rsidRDefault="00071A2D" w:rsidP="00071A2D">
      <w:pPr>
        <w:pStyle w:val="JUDGMENTNUMBERED"/>
        <w:numPr>
          <w:ilvl w:val="0"/>
          <w:numId w:val="0"/>
        </w:numPr>
        <w:ind w:left="1040"/>
      </w:pPr>
    </w:p>
    <w:p w:rsidR="003F36BF" w:rsidRDefault="003F36BF" w:rsidP="00AB2234">
      <w:pPr>
        <w:pStyle w:val="BodyTextIndent2"/>
        <w:widowControl/>
        <w:spacing w:after="0"/>
        <w:ind w:left="0"/>
        <w:jc w:val="both"/>
        <w:rPr>
          <w:rFonts w:ascii="Times New Roman" w:hAnsi="Times New Roman"/>
          <w:sz w:val="28"/>
          <w:szCs w:val="28"/>
          <w:lang w:val="en-ZA"/>
        </w:rPr>
      </w:pPr>
    </w:p>
    <w:p w:rsidR="00404789" w:rsidRPr="003F36BF" w:rsidRDefault="00E6312B" w:rsidP="0040478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[48]</w:t>
      </w:r>
      <w:r>
        <w:rPr>
          <w:rFonts w:ascii="Times New Roman" w:hAnsi="Times New Roman"/>
          <w:sz w:val="28"/>
          <w:szCs w:val="28"/>
          <w:lang w:val="en-ZA"/>
        </w:rPr>
        <w:tab/>
      </w:r>
      <w:r w:rsidR="00404789">
        <w:rPr>
          <w:rFonts w:ascii="Times New Roman" w:hAnsi="Times New Roman"/>
          <w:sz w:val="28"/>
          <w:szCs w:val="28"/>
          <w:lang w:val="en-ZA"/>
        </w:rPr>
        <w:t xml:space="preserve">The </w:t>
      </w:r>
      <w:r w:rsidR="0031780F">
        <w:rPr>
          <w:rFonts w:ascii="Times New Roman" w:hAnsi="Times New Roman"/>
          <w:sz w:val="28"/>
          <w:szCs w:val="28"/>
          <w:lang w:val="en-ZA"/>
        </w:rPr>
        <w:t xml:space="preserve">language used in the order and the </w:t>
      </w:r>
      <w:r w:rsidR="00404789">
        <w:rPr>
          <w:rFonts w:ascii="Times New Roman" w:hAnsi="Times New Roman"/>
          <w:sz w:val="28"/>
          <w:szCs w:val="28"/>
          <w:lang w:val="en-ZA"/>
        </w:rPr>
        <w:t xml:space="preserve">surrounding circumstances make it very clear that the first respondent accepted that the court order settled the underlying dispute between the parties which, as its origin, emanated from outstanding levies. The agreement and the subsequent court order resolved the issue of outstanding levies, which was closely tied to the raising of separate levies for the relevant erven.  This aspect therefore became </w:t>
      </w:r>
      <w:r w:rsidR="00404789" w:rsidRPr="004D030B">
        <w:rPr>
          <w:rFonts w:ascii="Times New Roman" w:hAnsi="Times New Roman"/>
          <w:i/>
          <w:sz w:val="28"/>
          <w:szCs w:val="28"/>
          <w:lang w:val="en-ZA"/>
        </w:rPr>
        <w:t>res judicata</w:t>
      </w:r>
      <w:r w:rsidR="00404789">
        <w:rPr>
          <w:rFonts w:ascii="Times New Roman" w:hAnsi="Times New Roman"/>
          <w:sz w:val="28"/>
          <w:szCs w:val="28"/>
          <w:lang w:val="en-ZA"/>
        </w:rPr>
        <w:t xml:space="preserve">, there was thereafter no </w:t>
      </w:r>
      <w:r w:rsidR="00404789" w:rsidRPr="004D030B">
        <w:rPr>
          <w:rFonts w:ascii="Times New Roman" w:hAnsi="Times New Roman"/>
          <w:i/>
          <w:sz w:val="28"/>
          <w:szCs w:val="28"/>
          <w:lang w:val="en-ZA"/>
        </w:rPr>
        <w:t>lis</w:t>
      </w:r>
      <w:r w:rsidR="00404789">
        <w:rPr>
          <w:rFonts w:ascii="Times New Roman" w:hAnsi="Times New Roman"/>
          <w:sz w:val="28"/>
          <w:szCs w:val="28"/>
          <w:lang w:val="en-ZA"/>
        </w:rPr>
        <w:t xml:space="preserve"> between the parties in this regard. </w:t>
      </w:r>
    </w:p>
    <w:p w:rsidR="00324108" w:rsidRPr="00437E6F" w:rsidRDefault="00324108" w:rsidP="00F93A7B">
      <w:pPr>
        <w:pStyle w:val="BodyTextIndent2"/>
        <w:widowControl/>
        <w:spacing w:after="0"/>
        <w:ind w:left="0"/>
        <w:jc w:val="both"/>
        <w:rPr>
          <w:rFonts w:ascii="Times New Roman" w:hAnsi="Times New Roman"/>
          <w:sz w:val="28"/>
          <w:szCs w:val="28"/>
          <w:lang w:val="en-ZA"/>
        </w:rPr>
      </w:pPr>
    </w:p>
    <w:p w:rsidR="00404789" w:rsidRPr="003F36BF" w:rsidRDefault="00E6312B" w:rsidP="0040478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[49]</w:t>
      </w:r>
      <w:r>
        <w:rPr>
          <w:rFonts w:ascii="Times New Roman" w:hAnsi="Times New Roman"/>
          <w:sz w:val="28"/>
          <w:szCs w:val="28"/>
          <w:lang w:val="en-ZA"/>
        </w:rPr>
        <w:tab/>
      </w:r>
      <w:r w:rsidR="00404789">
        <w:rPr>
          <w:rFonts w:ascii="Times New Roman" w:hAnsi="Times New Roman"/>
          <w:sz w:val="28"/>
          <w:szCs w:val="28"/>
          <w:lang w:val="en-ZA"/>
        </w:rPr>
        <w:t xml:space="preserve">This is further fortified by the fact that when no payment was forthcoming from the second respondent in terms of the court order, the first respondent took steps against the second respondent to enforce payment in terms of the order. It is that enforcement process that culminated in an application for the liquidation and the ultimate liquidation of the second respondent. </w:t>
      </w:r>
    </w:p>
    <w:p w:rsidR="00012801" w:rsidRPr="00437E6F" w:rsidRDefault="00012801" w:rsidP="003E04CB">
      <w:pPr>
        <w:pStyle w:val="BodyTextIndent2"/>
        <w:widowControl/>
        <w:spacing w:after="0"/>
        <w:ind w:left="720" w:hanging="720"/>
        <w:jc w:val="both"/>
        <w:rPr>
          <w:rFonts w:ascii="Times New Roman" w:hAnsi="Times New Roman"/>
          <w:szCs w:val="24"/>
          <w:lang w:val="en-ZA"/>
        </w:rPr>
      </w:pPr>
    </w:p>
    <w:p w:rsidR="00404789" w:rsidRDefault="00370B46" w:rsidP="0040478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lastRenderedPageBreak/>
        <w:t>[50</w:t>
      </w:r>
      <w:r w:rsidR="00012801" w:rsidRPr="00437E6F">
        <w:rPr>
          <w:rFonts w:ascii="Times New Roman" w:hAnsi="Times New Roman"/>
          <w:sz w:val="28"/>
          <w:szCs w:val="28"/>
          <w:lang w:val="en-ZA"/>
        </w:rPr>
        <w:t>]</w:t>
      </w:r>
      <w:r w:rsidR="00012801" w:rsidRPr="00437E6F">
        <w:rPr>
          <w:rFonts w:ascii="Times New Roman" w:hAnsi="Times New Roman"/>
          <w:sz w:val="28"/>
          <w:szCs w:val="28"/>
          <w:lang w:val="en-ZA"/>
        </w:rPr>
        <w:tab/>
        <w:t xml:space="preserve"> </w:t>
      </w:r>
      <w:r w:rsidR="004363E0">
        <w:rPr>
          <w:rFonts w:ascii="Times New Roman" w:hAnsi="Times New Roman"/>
          <w:sz w:val="28"/>
          <w:szCs w:val="28"/>
          <w:lang w:val="en-ZA"/>
        </w:rPr>
        <w:t xml:space="preserve">For </w:t>
      </w:r>
      <w:r w:rsidR="00404789">
        <w:rPr>
          <w:rFonts w:ascii="Times New Roman" w:hAnsi="Times New Roman"/>
          <w:sz w:val="28"/>
          <w:szCs w:val="28"/>
          <w:lang w:val="en-ZA"/>
        </w:rPr>
        <w:t>the first respondent to</w:t>
      </w:r>
      <w:r w:rsidR="004363E0">
        <w:rPr>
          <w:rFonts w:ascii="Times New Roman" w:hAnsi="Times New Roman"/>
          <w:sz w:val="28"/>
          <w:szCs w:val="28"/>
          <w:lang w:val="en-ZA"/>
        </w:rPr>
        <w:t xml:space="preserve"> now</w:t>
      </w:r>
      <w:r w:rsidR="00404789">
        <w:rPr>
          <w:rFonts w:ascii="Times New Roman" w:hAnsi="Times New Roman"/>
          <w:sz w:val="28"/>
          <w:szCs w:val="28"/>
          <w:lang w:val="en-ZA"/>
        </w:rPr>
        <w:t xml:space="preserve"> argue that its obligations in ter</w:t>
      </w:r>
      <w:r w:rsidR="004363E0">
        <w:rPr>
          <w:rFonts w:ascii="Times New Roman" w:hAnsi="Times New Roman"/>
          <w:sz w:val="28"/>
          <w:szCs w:val="28"/>
          <w:lang w:val="en-ZA"/>
        </w:rPr>
        <w:t>ms of the</w:t>
      </w:r>
      <w:r w:rsidR="00404789">
        <w:rPr>
          <w:rFonts w:ascii="Times New Roman" w:hAnsi="Times New Roman"/>
          <w:sz w:val="28"/>
          <w:szCs w:val="28"/>
          <w:lang w:val="en-ZA"/>
        </w:rPr>
        <w:t xml:space="preserve"> court order were never </w:t>
      </w:r>
      <w:r w:rsidR="004363E0">
        <w:rPr>
          <w:rFonts w:ascii="Times New Roman" w:hAnsi="Times New Roman"/>
          <w:sz w:val="28"/>
          <w:szCs w:val="28"/>
          <w:lang w:val="en-ZA"/>
        </w:rPr>
        <w:t>triggered is both fallacious and untenable.</w:t>
      </w:r>
    </w:p>
    <w:p w:rsidR="00404789" w:rsidRDefault="00404789" w:rsidP="00012801">
      <w:pPr>
        <w:pStyle w:val="BodyTextIndent2"/>
        <w:widowControl/>
        <w:spacing w:after="0"/>
        <w:jc w:val="both"/>
        <w:rPr>
          <w:rFonts w:ascii="Times New Roman" w:hAnsi="Times New Roman"/>
          <w:sz w:val="28"/>
          <w:szCs w:val="28"/>
          <w:lang w:val="en-ZA"/>
        </w:rPr>
      </w:pPr>
    </w:p>
    <w:p w:rsidR="009436E0" w:rsidRPr="00A07C35" w:rsidRDefault="004363E0" w:rsidP="00C12A17">
      <w:pPr>
        <w:pStyle w:val="BodyTextIndent2"/>
        <w:widowControl/>
        <w:spacing w:after="0"/>
        <w:ind w:left="0"/>
        <w:jc w:val="both"/>
        <w:rPr>
          <w:rFonts w:ascii="Times New Roman" w:hAnsi="Times New Roman"/>
          <w:szCs w:val="24"/>
          <w:lang w:val="en-ZA"/>
        </w:rPr>
      </w:pPr>
      <w:r>
        <w:rPr>
          <w:rFonts w:ascii="Times New Roman" w:hAnsi="Times New Roman"/>
          <w:sz w:val="28"/>
          <w:szCs w:val="28"/>
          <w:lang w:val="en-ZA"/>
        </w:rPr>
        <w:t xml:space="preserve">[51]   </w:t>
      </w:r>
      <w:r w:rsidR="00C96F57">
        <w:rPr>
          <w:rFonts w:ascii="Times New Roman" w:hAnsi="Times New Roman"/>
          <w:sz w:val="28"/>
          <w:szCs w:val="28"/>
          <w:lang w:val="en-ZA"/>
        </w:rPr>
        <w:t>With regards to the interpretation of the court order as contended by the applicant, the argument on behalf of the first respondent is that</w:t>
      </w:r>
      <w:r w:rsidR="004C6C4B">
        <w:rPr>
          <w:rFonts w:ascii="Times New Roman" w:hAnsi="Times New Roman"/>
          <w:sz w:val="28"/>
          <w:szCs w:val="28"/>
          <w:lang w:val="en-ZA"/>
        </w:rPr>
        <w:t xml:space="preserve"> its representatives, specifically, Heunis, took the applicant’s assertion that the consolidation had been given effect to at face value and assumed its correctness in agreeing that separate levies would not be raised. </w:t>
      </w:r>
    </w:p>
    <w:p w:rsidR="00370B46" w:rsidRDefault="00370B46" w:rsidP="00012801">
      <w:pPr>
        <w:pStyle w:val="BodyTextIndent2"/>
        <w:widowControl/>
        <w:spacing w:after="0"/>
        <w:jc w:val="both"/>
        <w:rPr>
          <w:rFonts w:ascii="Times New Roman" w:hAnsi="Times New Roman"/>
          <w:sz w:val="28"/>
          <w:szCs w:val="28"/>
          <w:lang w:val="en-ZA"/>
        </w:rPr>
      </w:pPr>
    </w:p>
    <w:p w:rsidR="001F605B" w:rsidRPr="00A07C35" w:rsidRDefault="00A07C35" w:rsidP="004C6C4B">
      <w:pPr>
        <w:pStyle w:val="BodyTextIndent2"/>
        <w:widowControl/>
        <w:spacing w:after="0"/>
        <w:jc w:val="both"/>
        <w:rPr>
          <w:rFonts w:ascii="Times New Roman" w:hAnsi="Times New Roman"/>
          <w:szCs w:val="24"/>
          <w:lang w:val="en-ZA"/>
        </w:rPr>
      </w:pPr>
      <w:r>
        <w:rPr>
          <w:rFonts w:ascii="Times New Roman" w:hAnsi="Times New Roman"/>
          <w:sz w:val="28"/>
          <w:szCs w:val="28"/>
          <w:lang w:val="en-ZA"/>
        </w:rPr>
        <w:t>[52]</w:t>
      </w:r>
      <w:r>
        <w:rPr>
          <w:rFonts w:ascii="Times New Roman" w:hAnsi="Times New Roman"/>
          <w:sz w:val="28"/>
          <w:szCs w:val="28"/>
          <w:lang w:val="en-ZA"/>
        </w:rPr>
        <w:tab/>
      </w:r>
      <w:r w:rsidR="004C6C4B">
        <w:rPr>
          <w:rFonts w:ascii="Times New Roman" w:hAnsi="Times New Roman"/>
          <w:sz w:val="28"/>
          <w:szCs w:val="28"/>
          <w:lang w:val="en-ZA"/>
        </w:rPr>
        <w:t>The subsequent conduct of the</w:t>
      </w:r>
      <w:r w:rsidR="004363E0">
        <w:rPr>
          <w:rFonts w:ascii="Times New Roman" w:hAnsi="Times New Roman"/>
          <w:sz w:val="28"/>
          <w:szCs w:val="28"/>
          <w:lang w:val="en-ZA"/>
        </w:rPr>
        <w:t xml:space="preserve"> parties however, seem to indicate otherwise. What is demonstrable from their conduct is </w:t>
      </w:r>
      <w:r w:rsidR="004C6C4B">
        <w:rPr>
          <w:rFonts w:ascii="Times New Roman" w:hAnsi="Times New Roman"/>
          <w:sz w:val="28"/>
          <w:szCs w:val="28"/>
          <w:lang w:val="en-ZA"/>
        </w:rPr>
        <w:t xml:space="preserve">that the parties took the same approach with regards to the contended for interpretation of the court order regarding the consolidation, ie. </w:t>
      </w:r>
      <w:r w:rsidR="001F7136">
        <w:rPr>
          <w:rFonts w:ascii="Times New Roman" w:hAnsi="Times New Roman"/>
          <w:sz w:val="28"/>
          <w:szCs w:val="28"/>
          <w:lang w:val="en-ZA"/>
        </w:rPr>
        <w:t>(</w:t>
      </w:r>
      <w:r w:rsidR="004C6C4B">
        <w:rPr>
          <w:rFonts w:ascii="Times New Roman" w:hAnsi="Times New Roman"/>
          <w:sz w:val="28"/>
          <w:szCs w:val="28"/>
          <w:lang w:val="en-ZA"/>
        </w:rPr>
        <w:t>that th</w:t>
      </w:r>
      <w:r w:rsidR="004363E0">
        <w:rPr>
          <w:rFonts w:ascii="Times New Roman" w:hAnsi="Times New Roman"/>
          <w:sz w:val="28"/>
          <w:szCs w:val="28"/>
          <w:lang w:val="en-ZA"/>
        </w:rPr>
        <w:t>e erven would in future be</w:t>
      </w:r>
      <w:r w:rsidR="004C6C4B">
        <w:rPr>
          <w:rFonts w:ascii="Times New Roman" w:hAnsi="Times New Roman"/>
          <w:sz w:val="28"/>
          <w:szCs w:val="28"/>
          <w:lang w:val="en-ZA"/>
        </w:rPr>
        <w:t xml:space="preserve"> consolidated</w:t>
      </w:r>
      <w:r w:rsidR="001F7136">
        <w:rPr>
          <w:rFonts w:ascii="Times New Roman" w:hAnsi="Times New Roman"/>
          <w:sz w:val="28"/>
          <w:szCs w:val="28"/>
          <w:lang w:val="en-ZA"/>
        </w:rPr>
        <w:t>)</w:t>
      </w:r>
      <w:r w:rsidR="004C6C4B">
        <w:rPr>
          <w:rFonts w:ascii="Times New Roman" w:hAnsi="Times New Roman"/>
          <w:sz w:val="28"/>
          <w:szCs w:val="28"/>
          <w:lang w:val="en-ZA"/>
        </w:rPr>
        <w:t xml:space="preserve">. </w:t>
      </w:r>
      <w:r w:rsidR="004363E0">
        <w:rPr>
          <w:rFonts w:ascii="Times New Roman" w:hAnsi="Times New Roman"/>
          <w:sz w:val="28"/>
          <w:szCs w:val="28"/>
          <w:lang w:val="en-ZA"/>
        </w:rPr>
        <w:t>In addition to</w:t>
      </w:r>
      <w:r w:rsidR="001F7136">
        <w:rPr>
          <w:rFonts w:ascii="Times New Roman" w:hAnsi="Times New Roman"/>
          <w:sz w:val="28"/>
          <w:szCs w:val="28"/>
          <w:lang w:val="en-ZA"/>
        </w:rPr>
        <w:t xml:space="preserve"> the actual wording of the order which states that in future the erven will be treated as consolidated with no separate levies applicable to the individual erven, subsequent correspondence from the first respondent’s attorneys s</w:t>
      </w:r>
      <w:r w:rsidR="004363E0">
        <w:rPr>
          <w:rFonts w:ascii="Times New Roman" w:hAnsi="Times New Roman"/>
          <w:sz w:val="28"/>
          <w:szCs w:val="28"/>
          <w:lang w:val="en-ZA"/>
        </w:rPr>
        <w:t>eem to affirm this interpretation</w:t>
      </w:r>
      <w:r w:rsidR="001F7136">
        <w:rPr>
          <w:rFonts w:ascii="Times New Roman" w:hAnsi="Times New Roman"/>
          <w:sz w:val="28"/>
          <w:szCs w:val="28"/>
          <w:lang w:val="en-ZA"/>
        </w:rPr>
        <w:t>.</w:t>
      </w:r>
    </w:p>
    <w:p w:rsidR="001F605B" w:rsidRDefault="001F605B" w:rsidP="001F605B">
      <w:pPr>
        <w:pStyle w:val="BodyTextIndent2"/>
        <w:widowControl/>
        <w:spacing w:after="0"/>
        <w:jc w:val="both"/>
        <w:rPr>
          <w:rFonts w:ascii="Times New Roman" w:hAnsi="Times New Roman"/>
          <w:sz w:val="28"/>
          <w:szCs w:val="28"/>
          <w:lang w:val="en-ZA"/>
        </w:rPr>
      </w:pPr>
    </w:p>
    <w:p w:rsidR="006E403A" w:rsidRDefault="001F605B" w:rsidP="001F605B">
      <w:pPr>
        <w:pStyle w:val="BodyTextIndent2"/>
        <w:widowControl/>
        <w:spacing w:after="0"/>
        <w:jc w:val="both"/>
        <w:rPr>
          <w:rFonts w:ascii="Times New Roman" w:hAnsi="Times New Roman"/>
          <w:sz w:val="28"/>
          <w:szCs w:val="28"/>
          <w:lang w:val="en-ZA"/>
        </w:rPr>
      </w:pPr>
      <w:r>
        <w:rPr>
          <w:rFonts w:ascii="Times New Roman" w:hAnsi="Times New Roman"/>
          <w:sz w:val="28"/>
          <w:szCs w:val="28"/>
          <w:lang w:val="en-ZA"/>
        </w:rPr>
        <w:t>[53]</w:t>
      </w:r>
      <w:r>
        <w:rPr>
          <w:rFonts w:ascii="Times New Roman" w:hAnsi="Times New Roman"/>
          <w:sz w:val="28"/>
          <w:szCs w:val="28"/>
          <w:lang w:val="en-ZA"/>
        </w:rPr>
        <w:tab/>
      </w:r>
      <w:r w:rsidR="00D65AE6">
        <w:rPr>
          <w:rFonts w:ascii="Times New Roman" w:hAnsi="Times New Roman"/>
          <w:sz w:val="28"/>
          <w:szCs w:val="28"/>
          <w:lang w:val="en-ZA"/>
        </w:rPr>
        <w:t>I</w:t>
      </w:r>
      <w:r w:rsidR="001F7136">
        <w:rPr>
          <w:rFonts w:ascii="Times New Roman" w:hAnsi="Times New Roman"/>
          <w:sz w:val="28"/>
          <w:szCs w:val="28"/>
          <w:lang w:val="en-ZA"/>
        </w:rPr>
        <w:t>n the letter</w:t>
      </w:r>
      <w:r w:rsidR="00D65AE6">
        <w:rPr>
          <w:rFonts w:ascii="Times New Roman" w:hAnsi="Times New Roman"/>
          <w:sz w:val="28"/>
          <w:szCs w:val="28"/>
          <w:lang w:val="en-ZA"/>
        </w:rPr>
        <w:t>s</w:t>
      </w:r>
      <w:r w:rsidR="001F7136">
        <w:rPr>
          <w:rFonts w:ascii="Times New Roman" w:hAnsi="Times New Roman"/>
          <w:sz w:val="28"/>
          <w:szCs w:val="28"/>
          <w:lang w:val="en-ZA"/>
        </w:rPr>
        <w:t xml:space="preserve"> dated </w:t>
      </w:r>
      <w:r w:rsidR="00D65AE6">
        <w:rPr>
          <w:rFonts w:ascii="Times New Roman" w:hAnsi="Times New Roman"/>
          <w:sz w:val="28"/>
          <w:szCs w:val="28"/>
          <w:lang w:val="en-ZA"/>
        </w:rPr>
        <w:t xml:space="preserve">18 October 2012 and 24 October 2014 from the first respondent’s attorneys, as well as the response thereto from the applicant, it is patently clear that the first respondent was aware that consolidation had not taken place at the time of the court order, hence the applicant was put on </w:t>
      </w:r>
      <w:r w:rsidR="00D65AE6">
        <w:rPr>
          <w:rFonts w:ascii="Times New Roman" w:hAnsi="Times New Roman"/>
          <w:sz w:val="28"/>
          <w:szCs w:val="28"/>
          <w:lang w:val="en-ZA"/>
        </w:rPr>
        <w:lastRenderedPageBreak/>
        <w:t xml:space="preserve">terms to finalise same. The subsequent conduct of the first respondent therefore does not support the contention that it was under the belief that consolidation had taken effect at the time of the order. This is further supported by the fact that it is not disputed by the first respondent that Heunis (its representative) had been made aware before the court order, of the fact that a notarial tie would be needed. </w:t>
      </w:r>
    </w:p>
    <w:p w:rsidR="00D65AE6" w:rsidRDefault="00D65AE6" w:rsidP="001F605B">
      <w:pPr>
        <w:pStyle w:val="BodyTextIndent2"/>
        <w:widowControl/>
        <w:spacing w:after="0"/>
        <w:jc w:val="both"/>
        <w:rPr>
          <w:rFonts w:ascii="Times New Roman" w:hAnsi="Times New Roman"/>
          <w:sz w:val="28"/>
          <w:szCs w:val="28"/>
          <w:lang w:val="en-ZA"/>
        </w:rPr>
      </w:pPr>
    </w:p>
    <w:p w:rsidR="008647C8" w:rsidRDefault="006E403A" w:rsidP="001F605B">
      <w:pPr>
        <w:pStyle w:val="BodyTextIndent2"/>
        <w:widowControl/>
        <w:spacing w:after="0"/>
        <w:jc w:val="both"/>
        <w:rPr>
          <w:rFonts w:ascii="Times New Roman" w:hAnsi="Times New Roman"/>
          <w:sz w:val="28"/>
          <w:szCs w:val="28"/>
          <w:lang w:val="en-ZA"/>
        </w:rPr>
      </w:pPr>
      <w:r>
        <w:rPr>
          <w:rFonts w:ascii="Times New Roman" w:hAnsi="Times New Roman"/>
          <w:sz w:val="28"/>
          <w:szCs w:val="28"/>
          <w:lang w:val="en-ZA"/>
        </w:rPr>
        <w:t>[54]</w:t>
      </w:r>
      <w:r>
        <w:rPr>
          <w:rFonts w:ascii="Times New Roman" w:hAnsi="Times New Roman"/>
          <w:sz w:val="28"/>
          <w:szCs w:val="28"/>
          <w:lang w:val="en-ZA"/>
        </w:rPr>
        <w:tab/>
      </w:r>
      <w:r w:rsidR="00D65AE6">
        <w:rPr>
          <w:rFonts w:ascii="Times New Roman" w:hAnsi="Times New Roman"/>
          <w:sz w:val="28"/>
          <w:szCs w:val="28"/>
          <w:lang w:val="en-ZA"/>
        </w:rPr>
        <w:t xml:space="preserve">In the circumstances therefore, I can find no other possible interpretation to be ascribed to the court order than that asserted to by the applicant. In the premise therefore, </w:t>
      </w:r>
      <w:r w:rsidR="00F14799">
        <w:rPr>
          <w:rFonts w:ascii="Times New Roman" w:hAnsi="Times New Roman"/>
          <w:sz w:val="28"/>
          <w:szCs w:val="28"/>
          <w:lang w:val="en-ZA"/>
        </w:rPr>
        <w:t xml:space="preserve">I find that the court order either affirmed and/or constituted a recordial of the consent and /or agreement of the first respondent to the effective consolidation of the relevant erven for the purposes described. </w:t>
      </w:r>
    </w:p>
    <w:p w:rsidR="00D65AE6" w:rsidRDefault="00D65AE6" w:rsidP="001F605B">
      <w:pPr>
        <w:pStyle w:val="BodyTextIndent2"/>
        <w:widowControl/>
        <w:spacing w:after="0"/>
        <w:jc w:val="both"/>
        <w:rPr>
          <w:rFonts w:ascii="Times New Roman" w:hAnsi="Times New Roman"/>
          <w:sz w:val="28"/>
          <w:szCs w:val="28"/>
          <w:lang w:val="en-ZA"/>
        </w:rPr>
      </w:pPr>
    </w:p>
    <w:p w:rsidR="00AC3023" w:rsidRDefault="008647C8" w:rsidP="001F605B">
      <w:pPr>
        <w:pStyle w:val="BodyTextIndent2"/>
        <w:widowControl/>
        <w:spacing w:after="0"/>
        <w:jc w:val="both"/>
        <w:rPr>
          <w:rFonts w:ascii="Times New Roman" w:hAnsi="Times New Roman"/>
          <w:sz w:val="28"/>
          <w:szCs w:val="28"/>
          <w:lang w:val="en-ZA"/>
        </w:rPr>
      </w:pPr>
      <w:r>
        <w:rPr>
          <w:rFonts w:ascii="Times New Roman" w:hAnsi="Times New Roman"/>
          <w:sz w:val="28"/>
          <w:szCs w:val="28"/>
          <w:lang w:val="en-ZA"/>
        </w:rPr>
        <w:t>[55]</w:t>
      </w:r>
      <w:r>
        <w:rPr>
          <w:rFonts w:ascii="Times New Roman" w:hAnsi="Times New Roman"/>
          <w:sz w:val="28"/>
          <w:szCs w:val="28"/>
          <w:lang w:val="en-ZA"/>
        </w:rPr>
        <w:tab/>
      </w:r>
      <w:r w:rsidR="00F14799">
        <w:rPr>
          <w:rFonts w:ascii="Times New Roman" w:hAnsi="Times New Roman"/>
          <w:sz w:val="28"/>
          <w:szCs w:val="28"/>
          <w:lang w:val="en-ZA"/>
        </w:rPr>
        <w:t>Court orders granted by a competent court, including the making of settlement agreements into orders of court, are binding until set aside by a competent court.</w:t>
      </w:r>
      <w:r w:rsidR="00F14799">
        <w:rPr>
          <w:rStyle w:val="FootnoteReference"/>
          <w:rFonts w:ascii="Times New Roman" w:hAnsi="Times New Roman"/>
          <w:sz w:val="28"/>
          <w:szCs w:val="28"/>
          <w:lang w:val="en-ZA"/>
        </w:rPr>
        <w:footnoteReference w:id="27"/>
      </w:r>
      <w:r w:rsidR="00DF63B0">
        <w:rPr>
          <w:rFonts w:ascii="Times New Roman" w:hAnsi="Times New Roman"/>
          <w:sz w:val="28"/>
          <w:szCs w:val="28"/>
          <w:lang w:val="en-ZA"/>
        </w:rPr>
        <w:t xml:space="preserve"> The court order in </w:t>
      </w:r>
      <w:r w:rsidR="00DF63B0" w:rsidRPr="00DF63B0">
        <w:rPr>
          <w:rFonts w:ascii="Times New Roman" w:hAnsi="Times New Roman"/>
          <w:i/>
          <w:sz w:val="28"/>
          <w:szCs w:val="28"/>
          <w:lang w:val="en-ZA"/>
        </w:rPr>
        <w:t>casu</w:t>
      </w:r>
      <w:r w:rsidR="00DF63B0">
        <w:rPr>
          <w:rFonts w:ascii="Times New Roman" w:hAnsi="Times New Roman"/>
          <w:sz w:val="28"/>
          <w:szCs w:val="28"/>
          <w:lang w:val="en-ZA"/>
        </w:rPr>
        <w:t xml:space="preserve"> was never set aside or rescinded, as such remains extant, valid and binding. </w:t>
      </w:r>
    </w:p>
    <w:p w:rsidR="00F14799" w:rsidRDefault="00F14799" w:rsidP="001F605B">
      <w:pPr>
        <w:pStyle w:val="BodyTextIndent2"/>
        <w:widowControl/>
        <w:spacing w:after="0"/>
        <w:jc w:val="both"/>
        <w:rPr>
          <w:rFonts w:ascii="Times New Roman" w:hAnsi="Times New Roman"/>
          <w:sz w:val="28"/>
          <w:szCs w:val="28"/>
          <w:lang w:val="en-ZA"/>
        </w:rPr>
      </w:pPr>
    </w:p>
    <w:p w:rsidR="00AC3023" w:rsidRPr="00D32039" w:rsidRDefault="00AC3023" w:rsidP="00DF63B0">
      <w:pPr>
        <w:pStyle w:val="BodyTextIndent2"/>
        <w:widowControl/>
        <w:spacing w:after="0"/>
        <w:jc w:val="both"/>
        <w:rPr>
          <w:rFonts w:ascii="Times New Roman" w:hAnsi="Times New Roman"/>
          <w:sz w:val="28"/>
          <w:szCs w:val="28"/>
          <w:lang w:val="en-ZA"/>
        </w:rPr>
      </w:pPr>
      <w:r>
        <w:rPr>
          <w:rFonts w:ascii="Times New Roman" w:hAnsi="Times New Roman"/>
          <w:sz w:val="28"/>
          <w:szCs w:val="28"/>
          <w:lang w:val="en-ZA"/>
        </w:rPr>
        <w:lastRenderedPageBreak/>
        <w:t>[56]</w:t>
      </w:r>
      <w:r>
        <w:rPr>
          <w:rFonts w:ascii="Times New Roman" w:hAnsi="Times New Roman"/>
          <w:sz w:val="28"/>
          <w:szCs w:val="28"/>
          <w:lang w:val="en-ZA"/>
        </w:rPr>
        <w:tab/>
      </w:r>
      <w:r w:rsidR="00DF63B0">
        <w:rPr>
          <w:rFonts w:ascii="Times New Roman" w:hAnsi="Times New Roman"/>
          <w:sz w:val="28"/>
          <w:szCs w:val="28"/>
          <w:lang w:val="en-ZA"/>
        </w:rPr>
        <w:t>The first respondent’s contentions on consent having lapsed seem to conflate the approvals by the municipality</w:t>
      </w:r>
      <w:r w:rsidR="002672BC">
        <w:rPr>
          <w:rFonts w:ascii="Times New Roman" w:hAnsi="Times New Roman"/>
          <w:sz w:val="28"/>
          <w:szCs w:val="28"/>
          <w:lang w:val="en-ZA"/>
        </w:rPr>
        <w:t>, which pertain to the subdivision and the rezoning of the erven in question, and therefore subject to the provisions of LUPO, with the relief being sought by the applicant which pertains to the first respondent’s consent to consolidation and the treatment of the relevant erven as consolidated.</w:t>
      </w:r>
      <w:r w:rsidR="00DF63B0">
        <w:rPr>
          <w:rFonts w:ascii="Times New Roman" w:hAnsi="Times New Roman"/>
          <w:sz w:val="28"/>
          <w:szCs w:val="28"/>
          <w:lang w:val="en-ZA"/>
        </w:rPr>
        <w:t xml:space="preserve"> </w:t>
      </w:r>
      <w:r w:rsidR="00353AC1">
        <w:rPr>
          <w:rFonts w:ascii="Times New Roman" w:hAnsi="Times New Roman"/>
          <w:sz w:val="28"/>
          <w:szCs w:val="28"/>
          <w:lang w:val="en-ZA"/>
        </w:rPr>
        <w:t>These a</w:t>
      </w:r>
      <w:r w:rsidR="00D32039">
        <w:rPr>
          <w:rFonts w:ascii="Times New Roman" w:hAnsi="Times New Roman"/>
          <w:sz w:val="28"/>
          <w:szCs w:val="28"/>
          <w:lang w:val="en-ZA"/>
        </w:rPr>
        <w:t xml:space="preserve">re two distinct aspects. That this is the case is also apparent from the answering affidavit deposed to by Heunis where he states at paragraph 21 ‘…In providing its consent to the application for subdivision and rezoning, </w:t>
      </w:r>
      <w:r w:rsidR="00D32039" w:rsidRPr="00D32039">
        <w:rPr>
          <w:rFonts w:ascii="Times New Roman" w:hAnsi="Times New Roman"/>
          <w:b/>
          <w:sz w:val="28"/>
          <w:szCs w:val="28"/>
          <w:lang w:val="en-ZA"/>
        </w:rPr>
        <w:t>the First Respondent’s Board also consented to the aforesaid consolidations (although it was not necessary for the Applicant to obtain the municipality’s approval therefor)’</w:t>
      </w:r>
      <w:r w:rsidR="00D32039">
        <w:rPr>
          <w:rFonts w:ascii="Times New Roman" w:hAnsi="Times New Roman"/>
          <w:b/>
          <w:sz w:val="28"/>
          <w:szCs w:val="28"/>
          <w:lang w:val="en-ZA"/>
        </w:rPr>
        <w:t xml:space="preserve"> </w:t>
      </w:r>
      <w:r w:rsidR="00D32039" w:rsidRPr="00D32039">
        <w:rPr>
          <w:rFonts w:ascii="Times New Roman" w:hAnsi="Times New Roman"/>
          <w:sz w:val="28"/>
          <w:szCs w:val="28"/>
          <w:lang w:val="en-ZA"/>
        </w:rPr>
        <w:t>(Emphasis intended)</w:t>
      </w:r>
      <w:r w:rsidR="00D32039">
        <w:rPr>
          <w:rFonts w:ascii="Times New Roman" w:hAnsi="Times New Roman"/>
          <w:sz w:val="28"/>
          <w:szCs w:val="28"/>
          <w:lang w:val="en-ZA"/>
        </w:rPr>
        <w:t>. The latter consent, which Heunis categorically states did not require</w:t>
      </w:r>
      <w:r w:rsidR="004E4E2A">
        <w:rPr>
          <w:rFonts w:ascii="Times New Roman" w:hAnsi="Times New Roman"/>
          <w:sz w:val="28"/>
          <w:szCs w:val="28"/>
          <w:lang w:val="en-ZA"/>
        </w:rPr>
        <w:t xml:space="preserve"> the</w:t>
      </w:r>
      <w:r w:rsidR="00D32039">
        <w:rPr>
          <w:rFonts w:ascii="Times New Roman" w:hAnsi="Times New Roman"/>
          <w:sz w:val="28"/>
          <w:szCs w:val="28"/>
          <w:lang w:val="en-ZA"/>
        </w:rPr>
        <w:t xml:space="preserve"> approval</w:t>
      </w:r>
      <w:r w:rsidR="004E4E2A">
        <w:rPr>
          <w:rFonts w:ascii="Times New Roman" w:hAnsi="Times New Roman"/>
          <w:sz w:val="28"/>
          <w:szCs w:val="28"/>
          <w:lang w:val="en-ZA"/>
        </w:rPr>
        <w:t xml:space="preserve"> of the municipality, is what</w:t>
      </w:r>
      <w:r w:rsidR="00D32039">
        <w:rPr>
          <w:rFonts w:ascii="Times New Roman" w:hAnsi="Times New Roman"/>
          <w:sz w:val="28"/>
          <w:szCs w:val="28"/>
          <w:lang w:val="en-ZA"/>
        </w:rPr>
        <w:t xml:space="preserve"> constitutes the applicant’s cause of action in the matter.</w:t>
      </w:r>
    </w:p>
    <w:p w:rsidR="008647C8" w:rsidRDefault="008647C8" w:rsidP="001F605B">
      <w:pPr>
        <w:pStyle w:val="BodyTextIndent2"/>
        <w:widowControl/>
        <w:spacing w:after="0"/>
        <w:jc w:val="both"/>
        <w:rPr>
          <w:rFonts w:ascii="Times New Roman" w:hAnsi="Times New Roman"/>
          <w:sz w:val="28"/>
          <w:szCs w:val="28"/>
          <w:lang w:val="en-ZA"/>
        </w:rPr>
      </w:pPr>
    </w:p>
    <w:p w:rsidR="00353AC1" w:rsidRDefault="00353AC1" w:rsidP="00747D7D">
      <w:pPr>
        <w:pStyle w:val="BodyTextIndent2"/>
        <w:widowControl/>
        <w:spacing w:after="0"/>
        <w:ind w:left="0"/>
        <w:jc w:val="both"/>
        <w:rPr>
          <w:rFonts w:ascii="Times New Roman" w:hAnsi="Times New Roman"/>
          <w:b/>
          <w:sz w:val="28"/>
          <w:szCs w:val="28"/>
          <w:lang w:val="en-ZA"/>
        </w:rPr>
      </w:pPr>
      <w:r w:rsidRPr="00353AC1">
        <w:rPr>
          <w:rFonts w:ascii="Times New Roman" w:hAnsi="Times New Roman"/>
          <w:b/>
          <w:sz w:val="28"/>
          <w:szCs w:val="28"/>
          <w:lang w:val="en-ZA"/>
        </w:rPr>
        <w:t xml:space="preserve"> NON-JOINDER</w:t>
      </w:r>
      <w:r w:rsidR="00747D7D">
        <w:rPr>
          <w:rFonts w:ascii="Times New Roman" w:hAnsi="Times New Roman"/>
          <w:b/>
          <w:sz w:val="28"/>
          <w:szCs w:val="28"/>
          <w:lang w:val="en-ZA"/>
        </w:rPr>
        <w:t xml:space="preserve"> OF THE KOUGA MUNICIPALITY</w:t>
      </w:r>
    </w:p>
    <w:p w:rsidR="00353AC1" w:rsidRPr="00353AC1" w:rsidRDefault="00353AC1" w:rsidP="001F605B">
      <w:pPr>
        <w:pStyle w:val="BodyTextIndent2"/>
        <w:widowControl/>
        <w:spacing w:after="0"/>
        <w:jc w:val="both"/>
        <w:rPr>
          <w:rFonts w:ascii="Times New Roman" w:hAnsi="Times New Roman"/>
          <w:b/>
          <w:sz w:val="28"/>
          <w:szCs w:val="28"/>
          <w:lang w:val="en-ZA"/>
        </w:rPr>
      </w:pPr>
    </w:p>
    <w:p w:rsidR="004A5B76" w:rsidRDefault="00182554" w:rsidP="00353AC1">
      <w:pPr>
        <w:pStyle w:val="BodyTextIndent2"/>
        <w:widowControl/>
        <w:spacing w:after="0"/>
        <w:ind w:left="0"/>
        <w:jc w:val="both"/>
        <w:rPr>
          <w:rFonts w:ascii="Times New Roman" w:hAnsi="Times New Roman"/>
          <w:szCs w:val="24"/>
          <w:lang w:val="en-ZA"/>
        </w:rPr>
      </w:pPr>
      <w:r>
        <w:rPr>
          <w:rFonts w:ascii="Times New Roman" w:hAnsi="Times New Roman"/>
          <w:sz w:val="28"/>
          <w:szCs w:val="28"/>
          <w:lang w:val="en-ZA"/>
        </w:rPr>
        <w:t>[57</w:t>
      </w:r>
      <w:r w:rsidR="008647C8">
        <w:rPr>
          <w:rFonts w:ascii="Times New Roman" w:hAnsi="Times New Roman"/>
          <w:sz w:val="28"/>
          <w:szCs w:val="28"/>
          <w:lang w:val="en-ZA"/>
        </w:rPr>
        <w:t>]</w:t>
      </w:r>
      <w:r>
        <w:rPr>
          <w:rFonts w:ascii="Times New Roman" w:hAnsi="Times New Roman"/>
          <w:sz w:val="28"/>
          <w:szCs w:val="28"/>
          <w:lang w:val="en-ZA"/>
        </w:rPr>
        <w:tab/>
      </w:r>
      <w:r w:rsidR="00353AC1">
        <w:rPr>
          <w:rFonts w:ascii="Times New Roman" w:hAnsi="Times New Roman"/>
          <w:sz w:val="28"/>
          <w:szCs w:val="28"/>
          <w:lang w:val="en-ZA"/>
        </w:rPr>
        <w:t xml:space="preserve">On a similar vein, far from it being a dilatory defence, the issue of non-joinder does not arise as the relief sought by the applicant relates to the consent of the first respondent </w:t>
      </w:r>
      <w:r w:rsidR="004E4E2A">
        <w:rPr>
          <w:rFonts w:ascii="Times New Roman" w:hAnsi="Times New Roman"/>
          <w:sz w:val="28"/>
          <w:szCs w:val="28"/>
          <w:lang w:val="en-ZA"/>
        </w:rPr>
        <w:t xml:space="preserve">to consolidation </w:t>
      </w:r>
      <w:r w:rsidR="00353AC1">
        <w:rPr>
          <w:rFonts w:ascii="Times New Roman" w:hAnsi="Times New Roman"/>
          <w:sz w:val="28"/>
          <w:szCs w:val="28"/>
          <w:lang w:val="en-ZA"/>
        </w:rPr>
        <w:t xml:space="preserve">and the issue of separate levies being raised. </w:t>
      </w:r>
      <w:r w:rsidR="004D5183">
        <w:rPr>
          <w:rFonts w:ascii="Times New Roman" w:hAnsi="Times New Roman"/>
          <w:sz w:val="28"/>
          <w:szCs w:val="28"/>
          <w:lang w:val="en-ZA"/>
        </w:rPr>
        <w:t>It does not relate to any aspec</w:t>
      </w:r>
      <w:r w:rsidR="00244A7D">
        <w:rPr>
          <w:rFonts w:ascii="Times New Roman" w:hAnsi="Times New Roman"/>
          <w:sz w:val="28"/>
          <w:szCs w:val="28"/>
          <w:lang w:val="en-ZA"/>
        </w:rPr>
        <w:t>t which concerns the subdivision and rezoning</w:t>
      </w:r>
      <w:r w:rsidR="004D5183">
        <w:rPr>
          <w:rFonts w:ascii="Times New Roman" w:hAnsi="Times New Roman"/>
          <w:sz w:val="28"/>
          <w:szCs w:val="28"/>
          <w:lang w:val="en-ZA"/>
        </w:rPr>
        <w:t xml:space="preserve"> as that is a separate aspect that the applicant would have to deal with as </w:t>
      </w:r>
      <w:r w:rsidR="004D5183">
        <w:rPr>
          <w:rFonts w:ascii="Times New Roman" w:hAnsi="Times New Roman"/>
          <w:sz w:val="28"/>
          <w:szCs w:val="28"/>
          <w:lang w:val="en-ZA"/>
        </w:rPr>
        <w:lastRenderedPageBreak/>
        <w:t>and when it becomes necessary. At this stage therefore, the interests of Kouga Municipality are not affected.</w:t>
      </w:r>
    </w:p>
    <w:p w:rsidR="008647C8" w:rsidRPr="00386B79" w:rsidRDefault="008647C8" w:rsidP="00386B79">
      <w:pPr>
        <w:pStyle w:val="BodyTextIndent2"/>
        <w:widowControl/>
        <w:spacing w:after="0"/>
        <w:ind w:left="1440"/>
        <w:jc w:val="both"/>
        <w:rPr>
          <w:rFonts w:ascii="Times New Roman" w:hAnsi="Times New Roman"/>
          <w:szCs w:val="24"/>
          <w:lang w:val="en-ZA"/>
        </w:rPr>
      </w:pPr>
      <w:r w:rsidRPr="00386B79">
        <w:rPr>
          <w:rFonts w:ascii="Times New Roman" w:hAnsi="Times New Roman"/>
          <w:szCs w:val="24"/>
          <w:lang w:val="en-ZA"/>
        </w:rPr>
        <w:t xml:space="preserve"> </w:t>
      </w:r>
    </w:p>
    <w:p w:rsidR="00154E3C" w:rsidRDefault="00386B79" w:rsidP="00A17E1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[58]</w:t>
      </w:r>
      <w:r>
        <w:rPr>
          <w:rFonts w:ascii="Times New Roman" w:hAnsi="Times New Roman"/>
          <w:sz w:val="28"/>
          <w:szCs w:val="28"/>
          <w:lang w:val="en-ZA"/>
        </w:rPr>
        <w:tab/>
      </w:r>
      <w:r w:rsidR="00244A7D">
        <w:rPr>
          <w:rFonts w:ascii="Times New Roman" w:hAnsi="Times New Roman"/>
          <w:sz w:val="28"/>
          <w:szCs w:val="28"/>
          <w:lang w:val="en-ZA"/>
        </w:rPr>
        <w:t>having conclusively decided the issue of the interpretation to be ascribed to the court order, I therefore do not find it necessary for me to deal with the issue of the implied terms of the order. Suffice it to say that, having found that a valid consent to consolidation exists</w:t>
      </w:r>
      <w:r w:rsidR="00921B57">
        <w:rPr>
          <w:rFonts w:ascii="Times New Roman" w:hAnsi="Times New Roman"/>
          <w:sz w:val="28"/>
          <w:szCs w:val="28"/>
          <w:lang w:val="en-ZA"/>
        </w:rPr>
        <w:t>, which consent was</w:t>
      </w:r>
      <w:r w:rsidR="00244A7D">
        <w:rPr>
          <w:rFonts w:ascii="Times New Roman" w:hAnsi="Times New Roman"/>
          <w:sz w:val="28"/>
          <w:szCs w:val="28"/>
          <w:lang w:val="en-ZA"/>
        </w:rPr>
        <w:t xml:space="preserve"> affirmed and/or recorded in the court order in terms of the settlement agreement, it follows therefore</w:t>
      </w:r>
      <w:r w:rsidR="005C015B">
        <w:rPr>
          <w:rFonts w:ascii="Times New Roman" w:hAnsi="Times New Roman"/>
          <w:sz w:val="28"/>
          <w:szCs w:val="28"/>
          <w:lang w:val="en-ZA"/>
        </w:rPr>
        <w:t>, and implicit therein</w:t>
      </w:r>
      <w:r w:rsidR="00244A7D">
        <w:rPr>
          <w:rFonts w:ascii="Times New Roman" w:hAnsi="Times New Roman"/>
          <w:sz w:val="28"/>
          <w:szCs w:val="28"/>
          <w:lang w:val="en-ZA"/>
        </w:rPr>
        <w:t xml:space="preserve"> that the </w:t>
      </w:r>
      <w:r w:rsidR="005C015B">
        <w:rPr>
          <w:rFonts w:ascii="Times New Roman" w:hAnsi="Times New Roman"/>
          <w:sz w:val="28"/>
          <w:szCs w:val="28"/>
          <w:lang w:val="en-ZA"/>
        </w:rPr>
        <w:t>first respondent would be obligated not to do anything to frustrate such a process.</w:t>
      </w:r>
      <w:r w:rsidR="00921B57">
        <w:rPr>
          <w:rFonts w:ascii="Times New Roman" w:hAnsi="Times New Roman"/>
          <w:sz w:val="28"/>
          <w:szCs w:val="28"/>
          <w:lang w:val="en-ZA"/>
        </w:rPr>
        <w:t xml:space="preserve"> I am however not </w:t>
      </w:r>
      <w:r w:rsidR="00130445">
        <w:rPr>
          <w:rFonts w:ascii="Times New Roman" w:hAnsi="Times New Roman"/>
          <w:sz w:val="28"/>
          <w:szCs w:val="28"/>
          <w:lang w:val="en-ZA"/>
        </w:rPr>
        <w:t>convinced</w:t>
      </w:r>
      <w:r w:rsidR="00921B57">
        <w:rPr>
          <w:rFonts w:ascii="Times New Roman" w:hAnsi="Times New Roman"/>
          <w:sz w:val="28"/>
          <w:szCs w:val="28"/>
          <w:lang w:val="en-ZA"/>
        </w:rPr>
        <w:t xml:space="preserve"> that such extends to a positive obligation on the part of the first respondent in ensuring that such consolidation is effected.</w:t>
      </w:r>
    </w:p>
    <w:p w:rsidR="00921B57" w:rsidRDefault="00921B57" w:rsidP="00A17E19">
      <w:pPr>
        <w:pStyle w:val="BodyTextIndent2"/>
        <w:widowControl/>
        <w:spacing w:after="0"/>
        <w:ind w:left="0"/>
        <w:jc w:val="both"/>
        <w:rPr>
          <w:rFonts w:ascii="Times New Roman" w:hAnsi="Times New Roman"/>
          <w:sz w:val="28"/>
          <w:szCs w:val="28"/>
          <w:lang w:val="en-ZA"/>
        </w:rPr>
      </w:pPr>
    </w:p>
    <w:p w:rsidR="00921B57" w:rsidRPr="00921B57" w:rsidRDefault="00921B57" w:rsidP="00A17E19">
      <w:pPr>
        <w:pStyle w:val="BodyTextIndent2"/>
        <w:widowControl/>
        <w:spacing w:after="0"/>
        <w:ind w:left="0"/>
        <w:jc w:val="both"/>
        <w:rPr>
          <w:rFonts w:ascii="Times New Roman" w:hAnsi="Times New Roman"/>
          <w:b/>
          <w:sz w:val="28"/>
          <w:szCs w:val="28"/>
          <w:lang w:val="en-ZA"/>
        </w:rPr>
      </w:pPr>
      <w:r w:rsidRPr="00921B57">
        <w:rPr>
          <w:rFonts w:ascii="Times New Roman" w:hAnsi="Times New Roman"/>
          <w:b/>
          <w:sz w:val="28"/>
          <w:szCs w:val="28"/>
          <w:lang w:val="en-ZA"/>
        </w:rPr>
        <w:t>CONCLUSION</w:t>
      </w:r>
    </w:p>
    <w:p w:rsidR="00FF5A50" w:rsidRDefault="00FF5A50" w:rsidP="00FF5A50">
      <w:pPr>
        <w:pStyle w:val="BodyTextIndent2"/>
        <w:widowControl/>
        <w:spacing w:after="0"/>
        <w:jc w:val="both"/>
        <w:rPr>
          <w:rFonts w:ascii="Times New Roman" w:hAnsi="Times New Roman"/>
          <w:szCs w:val="24"/>
          <w:lang w:val="en-ZA"/>
        </w:rPr>
      </w:pPr>
    </w:p>
    <w:p w:rsidR="00FF5A50" w:rsidRPr="00FF5A50" w:rsidRDefault="00FF5A50" w:rsidP="003A4118">
      <w:pPr>
        <w:pStyle w:val="BodyTextIndent2"/>
        <w:widowControl/>
        <w:spacing w:after="0"/>
        <w:ind w:left="0"/>
        <w:jc w:val="both"/>
        <w:rPr>
          <w:rFonts w:ascii="Times New Roman" w:hAnsi="Times New Roman"/>
          <w:szCs w:val="24"/>
          <w:lang w:val="en-ZA"/>
        </w:rPr>
      </w:pPr>
      <w:r>
        <w:rPr>
          <w:rFonts w:ascii="Times New Roman" w:hAnsi="Times New Roman"/>
          <w:sz w:val="28"/>
          <w:szCs w:val="28"/>
          <w:lang w:val="en-ZA"/>
        </w:rPr>
        <w:t>[59]</w:t>
      </w:r>
      <w:r>
        <w:rPr>
          <w:rFonts w:ascii="Times New Roman" w:hAnsi="Times New Roman"/>
          <w:sz w:val="28"/>
          <w:szCs w:val="28"/>
          <w:lang w:val="en-ZA"/>
        </w:rPr>
        <w:tab/>
      </w:r>
      <w:r w:rsidR="005C015B">
        <w:rPr>
          <w:rFonts w:ascii="Times New Roman" w:hAnsi="Times New Roman"/>
          <w:sz w:val="28"/>
          <w:szCs w:val="28"/>
          <w:lang w:val="en-ZA"/>
        </w:rPr>
        <w:t>As earlier indicated, the matter was argued on the basis of the amended notice of motion by both parties. Furthermore, given that the fir</w:t>
      </w:r>
      <w:r w:rsidR="00F00A3C">
        <w:rPr>
          <w:rFonts w:ascii="Times New Roman" w:hAnsi="Times New Roman"/>
          <w:sz w:val="28"/>
          <w:szCs w:val="28"/>
          <w:lang w:val="en-ZA"/>
        </w:rPr>
        <w:t xml:space="preserve">st respondent shifted its reliance on the cancellation of its consent in its answering papers, to the lapsing thereof, it therefore became necessary for the applicant to amend its notice of motion. </w:t>
      </w:r>
      <w:r w:rsidR="005C015B">
        <w:rPr>
          <w:rFonts w:ascii="Times New Roman" w:hAnsi="Times New Roman"/>
          <w:sz w:val="28"/>
          <w:szCs w:val="28"/>
          <w:lang w:val="en-ZA"/>
        </w:rPr>
        <w:t>There is therefore no reason why the application for the amendment of the notice of motion should not be granted.</w:t>
      </w:r>
    </w:p>
    <w:p w:rsidR="00A11BAA" w:rsidRDefault="00A11BAA" w:rsidP="00012801">
      <w:pPr>
        <w:pStyle w:val="BodyTextIndent2"/>
        <w:widowControl/>
        <w:spacing w:after="0"/>
        <w:jc w:val="both"/>
        <w:rPr>
          <w:rFonts w:ascii="Times New Roman" w:hAnsi="Times New Roman"/>
          <w:sz w:val="28"/>
          <w:szCs w:val="28"/>
          <w:lang w:val="en-ZA"/>
        </w:rPr>
      </w:pPr>
    </w:p>
    <w:p w:rsidR="00F00A3C" w:rsidRPr="00F00A3C" w:rsidRDefault="00F00A3C" w:rsidP="00012801">
      <w:pPr>
        <w:pStyle w:val="BodyTextIndent2"/>
        <w:widowControl/>
        <w:spacing w:after="0"/>
        <w:jc w:val="both"/>
        <w:rPr>
          <w:rFonts w:ascii="Times New Roman" w:hAnsi="Times New Roman"/>
          <w:b/>
          <w:sz w:val="28"/>
          <w:szCs w:val="28"/>
          <w:lang w:val="en-ZA"/>
        </w:rPr>
      </w:pPr>
      <w:r w:rsidRPr="00F00A3C">
        <w:rPr>
          <w:rFonts w:ascii="Times New Roman" w:hAnsi="Times New Roman"/>
          <w:b/>
          <w:sz w:val="28"/>
          <w:szCs w:val="28"/>
          <w:lang w:val="en-ZA"/>
        </w:rPr>
        <w:lastRenderedPageBreak/>
        <w:t>ORDER</w:t>
      </w:r>
    </w:p>
    <w:p w:rsidR="00266F02" w:rsidRDefault="00A17E19" w:rsidP="00A65854">
      <w:pPr>
        <w:spacing w:after="0" w:line="360" w:lineRule="auto"/>
        <w:contextualSpacing/>
        <w:jc w:val="both"/>
        <w:rPr>
          <w:rFonts w:ascii="Times New Roman" w:eastAsia="Calibri" w:hAnsi="Times New Roman" w:cs="Times New Roman"/>
          <w:sz w:val="28"/>
          <w:szCs w:val="28"/>
          <w:lang w:val="en-GB"/>
        </w:rPr>
      </w:pPr>
      <w:r w:rsidRPr="00A17E19">
        <w:rPr>
          <w:rFonts w:ascii="Times New Roman" w:eastAsia="Calibri" w:hAnsi="Times New Roman" w:cs="Times New Roman"/>
          <w:sz w:val="28"/>
          <w:szCs w:val="28"/>
          <w:lang w:val="en-GB"/>
        </w:rPr>
        <w:t>[60]</w:t>
      </w:r>
      <w:r w:rsidRPr="00A17E19">
        <w:rPr>
          <w:rFonts w:ascii="Times New Roman" w:eastAsia="Calibri" w:hAnsi="Times New Roman" w:cs="Times New Roman"/>
          <w:sz w:val="28"/>
          <w:szCs w:val="28"/>
          <w:lang w:val="en-GB"/>
        </w:rPr>
        <w:tab/>
      </w:r>
      <w:r w:rsidR="005C015B">
        <w:rPr>
          <w:rFonts w:ascii="Times New Roman" w:eastAsia="Calibri" w:hAnsi="Times New Roman" w:cs="Times New Roman"/>
          <w:sz w:val="28"/>
          <w:szCs w:val="28"/>
          <w:lang w:val="en-GB"/>
        </w:rPr>
        <w:t>In the premise, I make the following orders:</w:t>
      </w:r>
    </w:p>
    <w:p w:rsidR="005C015B" w:rsidRDefault="005C015B" w:rsidP="00A65854">
      <w:pPr>
        <w:spacing w:after="0" w:line="360" w:lineRule="auto"/>
        <w:contextualSpacing/>
        <w:jc w:val="both"/>
        <w:rPr>
          <w:rFonts w:ascii="Times New Roman" w:eastAsia="Calibri" w:hAnsi="Times New Roman" w:cs="Times New Roman"/>
          <w:sz w:val="28"/>
          <w:szCs w:val="28"/>
          <w:lang w:val="en-GB"/>
        </w:rPr>
      </w:pPr>
    </w:p>
    <w:p w:rsidR="005C015B" w:rsidRPr="00130445" w:rsidRDefault="005C015B" w:rsidP="005C015B">
      <w:pPr>
        <w:pStyle w:val="ListParagraph"/>
        <w:numPr>
          <w:ilvl w:val="0"/>
          <w:numId w:val="50"/>
        </w:numPr>
        <w:spacing w:after="0" w:line="360" w:lineRule="auto"/>
        <w:jc w:val="both"/>
        <w:rPr>
          <w:rFonts w:ascii="Times New Roman" w:eastAsia="Calibri" w:hAnsi="Times New Roman" w:cs="Times New Roman"/>
          <w:b/>
          <w:sz w:val="28"/>
          <w:szCs w:val="28"/>
          <w:lang w:val="en-GB"/>
        </w:rPr>
      </w:pPr>
      <w:r w:rsidRPr="00130445">
        <w:rPr>
          <w:rFonts w:ascii="Times New Roman" w:eastAsia="Calibri" w:hAnsi="Times New Roman" w:cs="Times New Roman"/>
          <w:b/>
          <w:i/>
          <w:sz w:val="28"/>
          <w:szCs w:val="28"/>
          <w:lang w:val="en-GB"/>
        </w:rPr>
        <w:t>The application for the amendment of the notice of motion is</w:t>
      </w:r>
      <w:r w:rsidR="00921B57" w:rsidRPr="00130445">
        <w:rPr>
          <w:rFonts w:ascii="Times New Roman" w:eastAsia="Calibri" w:hAnsi="Times New Roman" w:cs="Times New Roman"/>
          <w:b/>
          <w:i/>
          <w:sz w:val="28"/>
          <w:szCs w:val="28"/>
          <w:lang w:val="en-GB"/>
        </w:rPr>
        <w:t xml:space="preserve"> hereby</w:t>
      </w:r>
      <w:r w:rsidRPr="00130445">
        <w:rPr>
          <w:rFonts w:ascii="Times New Roman" w:eastAsia="Calibri" w:hAnsi="Times New Roman" w:cs="Times New Roman"/>
          <w:b/>
          <w:i/>
          <w:sz w:val="28"/>
          <w:szCs w:val="28"/>
          <w:lang w:val="en-GB"/>
        </w:rPr>
        <w:t xml:space="preserve"> granted</w:t>
      </w:r>
      <w:r w:rsidRPr="00130445">
        <w:rPr>
          <w:rFonts w:ascii="Times New Roman" w:eastAsia="Calibri" w:hAnsi="Times New Roman" w:cs="Times New Roman"/>
          <w:b/>
          <w:sz w:val="28"/>
          <w:szCs w:val="28"/>
          <w:lang w:val="en-GB"/>
        </w:rPr>
        <w:t>.</w:t>
      </w:r>
    </w:p>
    <w:p w:rsidR="00F00A3C" w:rsidRPr="00130445" w:rsidRDefault="00F00A3C" w:rsidP="00F00A3C">
      <w:pPr>
        <w:pStyle w:val="ListParagraph"/>
        <w:spacing w:after="0" w:line="360" w:lineRule="auto"/>
        <w:ind w:left="1080"/>
        <w:jc w:val="both"/>
        <w:rPr>
          <w:rFonts w:ascii="Times New Roman" w:eastAsia="Calibri" w:hAnsi="Times New Roman" w:cs="Times New Roman"/>
          <w:b/>
          <w:sz w:val="28"/>
          <w:szCs w:val="28"/>
          <w:lang w:val="en-GB"/>
        </w:rPr>
      </w:pPr>
    </w:p>
    <w:p w:rsidR="00F00A3C" w:rsidRPr="00130445" w:rsidRDefault="00F00A3C" w:rsidP="00F00A3C">
      <w:pPr>
        <w:pStyle w:val="ListParagraph"/>
        <w:numPr>
          <w:ilvl w:val="0"/>
          <w:numId w:val="50"/>
        </w:numPr>
        <w:spacing w:after="0" w:line="360" w:lineRule="auto"/>
        <w:jc w:val="both"/>
        <w:rPr>
          <w:rFonts w:ascii="Times New Roman" w:eastAsia="Calibri" w:hAnsi="Times New Roman" w:cs="Times New Roman"/>
          <w:b/>
          <w:sz w:val="28"/>
          <w:szCs w:val="28"/>
          <w:lang w:val="en-GB"/>
        </w:rPr>
      </w:pPr>
      <w:r w:rsidRPr="00130445">
        <w:rPr>
          <w:rFonts w:ascii="Times New Roman" w:eastAsia="Calibri" w:hAnsi="Times New Roman" w:cs="Times New Roman"/>
          <w:b/>
          <w:i/>
          <w:sz w:val="28"/>
          <w:szCs w:val="28"/>
          <w:lang w:val="en-GB"/>
        </w:rPr>
        <w:t>It</w:t>
      </w:r>
      <w:r w:rsidRPr="00130445">
        <w:rPr>
          <w:rFonts w:ascii="Times New Roman" w:eastAsia="Calibri" w:hAnsi="Times New Roman" w:cs="Times New Roman"/>
          <w:b/>
          <w:sz w:val="28"/>
          <w:szCs w:val="28"/>
          <w:lang w:val="en-GB"/>
        </w:rPr>
        <w:t xml:space="preserve"> is </w:t>
      </w:r>
      <w:r w:rsidR="00130445" w:rsidRPr="00130445">
        <w:rPr>
          <w:rFonts w:ascii="Times New Roman" w:hAnsi="Times New Roman"/>
          <w:b/>
          <w:i/>
          <w:sz w:val="28"/>
          <w:szCs w:val="28"/>
        </w:rPr>
        <w:t>declared that the first respondent consented to the a</w:t>
      </w:r>
      <w:r w:rsidRPr="00130445">
        <w:rPr>
          <w:rFonts w:ascii="Times New Roman" w:hAnsi="Times New Roman"/>
          <w:b/>
          <w:i/>
          <w:sz w:val="28"/>
          <w:szCs w:val="28"/>
        </w:rPr>
        <w:t>pplicant effectively consolidating (through whatever means necessary) part of the current Erf 1310 and part of current remainder of Erf 1021, after the moving of the road from the South Eastern border to its North Eastern border</w:t>
      </w:r>
      <w:r w:rsidR="00130445" w:rsidRPr="00130445">
        <w:rPr>
          <w:rFonts w:ascii="Times New Roman" w:hAnsi="Times New Roman"/>
          <w:b/>
          <w:i/>
          <w:sz w:val="28"/>
          <w:szCs w:val="28"/>
        </w:rPr>
        <w:t>, with Erf 1315, to enable the a</w:t>
      </w:r>
      <w:r w:rsidRPr="00130445">
        <w:rPr>
          <w:rFonts w:ascii="Times New Roman" w:hAnsi="Times New Roman"/>
          <w:b/>
          <w:i/>
          <w:sz w:val="28"/>
          <w:szCs w:val="28"/>
        </w:rPr>
        <w:t>pplicant to construct parking bays thereon for use by the Sectional Title owners in the Aruba Breeze Sectional Title Complex;</w:t>
      </w:r>
    </w:p>
    <w:p w:rsidR="00F00A3C" w:rsidRPr="00130445" w:rsidRDefault="00F00A3C" w:rsidP="00F00A3C">
      <w:pPr>
        <w:pStyle w:val="ListParagraph"/>
        <w:rPr>
          <w:rFonts w:ascii="Times New Roman" w:eastAsia="Calibri" w:hAnsi="Times New Roman" w:cs="Times New Roman"/>
          <w:b/>
          <w:sz w:val="28"/>
          <w:szCs w:val="28"/>
          <w:lang w:val="en-GB"/>
        </w:rPr>
      </w:pPr>
    </w:p>
    <w:p w:rsidR="00F00A3C" w:rsidRPr="00130445" w:rsidRDefault="00F00A3C" w:rsidP="00F00A3C">
      <w:pPr>
        <w:pStyle w:val="ListParagraph"/>
        <w:numPr>
          <w:ilvl w:val="0"/>
          <w:numId w:val="50"/>
        </w:numPr>
        <w:spacing w:after="0" w:line="360" w:lineRule="auto"/>
        <w:jc w:val="both"/>
        <w:rPr>
          <w:rFonts w:ascii="Times New Roman" w:eastAsia="Calibri" w:hAnsi="Times New Roman" w:cs="Times New Roman"/>
          <w:b/>
          <w:sz w:val="28"/>
          <w:szCs w:val="28"/>
          <w:lang w:val="en-GB"/>
        </w:rPr>
      </w:pPr>
      <w:r w:rsidRPr="00130445">
        <w:rPr>
          <w:rFonts w:ascii="Times New Roman" w:hAnsi="Times New Roman"/>
          <w:b/>
          <w:i/>
          <w:sz w:val="28"/>
          <w:szCs w:val="28"/>
        </w:rPr>
        <w:t xml:space="preserve"> It is</w:t>
      </w:r>
      <w:r w:rsidR="00921B57" w:rsidRPr="00130445">
        <w:rPr>
          <w:rFonts w:ascii="Times New Roman" w:hAnsi="Times New Roman"/>
          <w:b/>
          <w:i/>
          <w:sz w:val="28"/>
          <w:szCs w:val="28"/>
        </w:rPr>
        <w:t xml:space="preserve"> further</w:t>
      </w:r>
      <w:r w:rsidR="00130445" w:rsidRPr="00130445">
        <w:rPr>
          <w:rFonts w:ascii="Times New Roman" w:hAnsi="Times New Roman"/>
          <w:b/>
          <w:i/>
          <w:sz w:val="28"/>
          <w:szCs w:val="28"/>
        </w:rPr>
        <w:t xml:space="preserve"> declared that the first r</w:t>
      </w:r>
      <w:r w:rsidRPr="00130445">
        <w:rPr>
          <w:rFonts w:ascii="Times New Roman" w:hAnsi="Times New Roman"/>
          <w:b/>
          <w:i/>
          <w:sz w:val="28"/>
          <w:szCs w:val="28"/>
        </w:rPr>
        <w:t>espondent’s cancel</w:t>
      </w:r>
      <w:r w:rsidR="00130445" w:rsidRPr="00130445">
        <w:rPr>
          <w:rFonts w:ascii="Times New Roman" w:hAnsi="Times New Roman"/>
          <w:b/>
          <w:i/>
          <w:sz w:val="28"/>
          <w:szCs w:val="28"/>
        </w:rPr>
        <w:t>lation on 28 April 2015 of the first r</w:t>
      </w:r>
      <w:r w:rsidRPr="00130445">
        <w:rPr>
          <w:rFonts w:ascii="Times New Roman" w:hAnsi="Times New Roman"/>
          <w:b/>
          <w:i/>
          <w:sz w:val="28"/>
          <w:szCs w:val="28"/>
        </w:rPr>
        <w:t>espondent’s consent given to the Applicant in respect of the consolidation of Erven 1310 and 1315 Aston Bay, Kouga Municipality, is unlawful, is null and void;</w:t>
      </w:r>
    </w:p>
    <w:p w:rsidR="00F00A3C" w:rsidRPr="00130445" w:rsidRDefault="00F00A3C" w:rsidP="00F00A3C">
      <w:pPr>
        <w:pStyle w:val="ListParagraph"/>
        <w:rPr>
          <w:rFonts w:ascii="Times New Roman" w:eastAsia="Calibri" w:hAnsi="Times New Roman" w:cs="Times New Roman"/>
          <w:b/>
          <w:sz w:val="28"/>
          <w:szCs w:val="28"/>
          <w:lang w:val="en-GB"/>
        </w:rPr>
      </w:pPr>
    </w:p>
    <w:p w:rsidR="00F00A3C" w:rsidRPr="00130445" w:rsidRDefault="00F00A3C" w:rsidP="00F00A3C">
      <w:pPr>
        <w:pStyle w:val="ListParagraph"/>
        <w:numPr>
          <w:ilvl w:val="0"/>
          <w:numId w:val="50"/>
        </w:numPr>
        <w:spacing w:after="0" w:line="360" w:lineRule="auto"/>
        <w:jc w:val="both"/>
        <w:rPr>
          <w:rFonts w:ascii="Times New Roman" w:eastAsia="Calibri" w:hAnsi="Times New Roman" w:cs="Times New Roman"/>
          <w:b/>
          <w:sz w:val="28"/>
          <w:szCs w:val="28"/>
          <w:lang w:val="en-GB"/>
        </w:rPr>
      </w:pPr>
      <w:r w:rsidRPr="00130445">
        <w:rPr>
          <w:rFonts w:ascii="Times New Roman" w:hAnsi="Times New Roman"/>
          <w:b/>
          <w:i/>
          <w:sz w:val="28"/>
          <w:szCs w:val="28"/>
        </w:rPr>
        <w:t xml:space="preserve"> It is </w:t>
      </w:r>
      <w:r w:rsidR="00921B57" w:rsidRPr="00130445">
        <w:rPr>
          <w:rFonts w:ascii="Times New Roman" w:hAnsi="Times New Roman"/>
          <w:b/>
          <w:i/>
          <w:sz w:val="28"/>
          <w:szCs w:val="28"/>
        </w:rPr>
        <w:t xml:space="preserve">further </w:t>
      </w:r>
      <w:r w:rsidRPr="00130445">
        <w:rPr>
          <w:rFonts w:ascii="Times New Roman" w:hAnsi="Times New Roman"/>
          <w:b/>
          <w:i/>
          <w:sz w:val="28"/>
          <w:szCs w:val="28"/>
        </w:rPr>
        <w:t>declared</w:t>
      </w:r>
      <w:r w:rsidR="00130445" w:rsidRPr="00130445">
        <w:rPr>
          <w:rFonts w:ascii="Times New Roman" w:hAnsi="Times New Roman"/>
          <w:b/>
          <w:i/>
          <w:sz w:val="28"/>
          <w:szCs w:val="28"/>
        </w:rPr>
        <w:t xml:space="preserve"> that the consent of the first r</w:t>
      </w:r>
      <w:r w:rsidRPr="00130445">
        <w:rPr>
          <w:rFonts w:ascii="Times New Roman" w:hAnsi="Times New Roman"/>
          <w:b/>
          <w:i/>
          <w:sz w:val="28"/>
          <w:szCs w:val="28"/>
        </w:rPr>
        <w:t>espondent as described above is extant, valid and bindi</w:t>
      </w:r>
      <w:r w:rsidR="00130445" w:rsidRPr="00130445">
        <w:rPr>
          <w:rFonts w:ascii="Times New Roman" w:hAnsi="Times New Roman"/>
          <w:b/>
          <w:i/>
          <w:sz w:val="28"/>
          <w:szCs w:val="28"/>
        </w:rPr>
        <w:t>ng and that such prohibits the first r</w:t>
      </w:r>
      <w:r w:rsidRPr="00130445">
        <w:rPr>
          <w:rFonts w:ascii="Times New Roman" w:hAnsi="Times New Roman"/>
          <w:b/>
          <w:i/>
          <w:sz w:val="28"/>
          <w:szCs w:val="28"/>
        </w:rPr>
        <w:t>espondent from taking any steps to impede and/or frustrate the process to achieve such;</w:t>
      </w:r>
    </w:p>
    <w:p w:rsidR="00921B57" w:rsidRPr="00130445" w:rsidRDefault="00921B57" w:rsidP="00921B57">
      <w:pPr>
        <w:pStyle w:val="ListParagraph"/>
        <w:rPr>
          <w:rFonts w:ascii="Times New Roman" w:eastAsia="Calibri" w:hAnsi="Times New Roman" w:cs="Times New Roman"/>
          <w:b/>
          <w:sz w:val="28"/>
          <w:szCs w:val="28"/>
          <w:lang w:val="en-GB"/>
        </w:rPr>
      </w:pPr>
    </w:p>
    <w:p w:rsidR="00F00A3C" w:rsidRPr="00130445" w:rsidRDefault="00130445" w:rsidP="00921B57">
      <w:pPr>
        <w:pStyle w:val="ListParagraph"/>
        <w:numPr>
          <w:ilvl w:val="0"/>
          <w:numId w:val="50"/>
        </w:numPr>
        <w:spacing w:after="0" w:line="360" w:lineRule="auto"/>
        <w:jc w:val="both"/>
        <w:rPr>
          <w:rFonts w:ascii="Times New Roman" w:eastAsia="Calibri" w:hAnsi="Times New Roman" w:cs="Times New Roman"/>
          <w:b/>
          <w:sz w:val="28"/>
          <w:szCs w:val="28"/>
          <w:lang w:val="en-GB"/>
        </w:rPr>
      </w:pPr>
      <w:r w:rsidRPr="00130445">
        <w:rPr>
          <w:rFonts w:ascii="Times New Roman" w:hAnsi="Times New Roman"/>
          <w:b/>
          <w:i/>
          <w:sz w:val="28"/>
          <w:szCs w:val="28"/>
        </w:rPr>
        <w:t xml:space="preserve"> The f</w:t>
      </w:r>
      <w:r w:rsidR="00F00A3C" w:rsidRPr="00130445">
        <w:rPr>
          <w:rFonts w:ascii="Times New Roman" w:hAnsi="Times New Roman"/>
          <w:b/>
          <w:i/>
          <w:sz w:val="28"/>
          <w:szCs w:val="28"/>
        </w:rPr>
        <w:t>ir</w:t>
      </w:r>
      <w:r w:rsidRPr="00130445">
        <w:rPr>
          <w:rFonts w:ascii="Times New Roman" w:hAnsi="Times New Roman"/>
          <w:b/>
          <w:i/>
          <w:sz w:val="28"/>
          <w:szCs w:val="28"/>
        </w:rPr>
        <w:t>st r</w:t>
      </w:r>
      <w:r w:rsidR="00921B57" w:rsidRPr="00130445">
        <w:rPr>
          <w:rFonts w:ascii="Times New Roman" w:hAnsi="Times New Roman"/>
          <w:b/>
          <w:i/>
          <w:sz w:val="28"/>
          <w:szCs w:val="28"/>
        </w:rPr>
        <w:t>espondent is</w:t>
      </w:r>
      <w:r w:rsidR="00F00A3C" w:rsidRPr="00130445">
        <w:rPr>
          <w:rFonts w:ascii="Times New Roman" w:hAnsi="Times New Roman"/>
          <w:b/>
          <w:i/>
          <w:sz w:val="28"/>
          <w:szCs w:val="28"/>
        </w:rPr>
        <w:t xml:space="preserve"> ordered not to levy any separate levies in respect of Erf 1310, Aston Bay, Kouga Municipality;</w:t>
      </w:r>
    </w:p>
    <w:p w:rsidR="00921B57" w:rsidRPr="00130445" w:rsidRDefault="00921B57" w:rsidP="00130445">
      <w:pPr>
        <w:rPr>
          <w:rFonts w:ascii="Times New Roman" w:eastAsia="Calibri" w:hAnsi="Times New Roman" w:cs="Times New Roman"/>
          <w:b/>
          <w:sz w:val="28"/>
          <w:szCs w:val="28"/>
          <w:lang w:val="en-GB"/>
        </w:rPr>
      </w:pPr>
    </w:p>
    <w:p w:rsidR="00F00A3C" w:rsidRPr="00130445" w:rsidRDefault="00921B57" w:rsidP="00921B57">
      <w:pPr>
        <w:pStyle w:val="ListParagraph"/>
        <w:numPr>
          <w:ilvl w:val="0"/>
          <w:numId w:val="50"/>
        </w:numPr>
        <w:spacing w:after="0" w:line="360" w:lineRule="auto"/>
        <w:jc w:val="both"/>
        <w:rPr>
          <w:rFonts w:ascii="Times New Roman" w:eastAsia="Calibri" w:hAnsi="Times New Roman" w:cs="Times New Roman"/>
          <w:b/>
          <w:sz w:val="28"/>
          <w:szCs w:val="28"/>
          <w:lang w:val="en-GB"/>
        </w:rPr>
      </w:pPr>
      <w:r w:rsidRPr="00130445">
        <w:rPr>
          <w:rFonts w:ascii="Times New Roman" w:hAnsi="Times New Roman"/>
          <w:b/>
          <w:i/>
          <w:sz w:val="28"/>
          <w:szCs w:val="28"/>
        </w:rPr>
        <w:t>T</w:t>
      </w:r>
      <w:r w:rsidR="00130445" w:rsidRPr="00130445">
        <w:rPr>
          <w:rFonts w:ascii="Times New Roman" w:hAnsi="Times New Roman"/>
          <w:b/>
          <w:i/>
          <w:sz w:val="28"/>
          <w:szCs w:val="28"/>
        </w:rPr>
        <w:t>he first r</w:t>
      </w:r>
      <w:r w:rsidRPr="00130445">
        <w:rPr>
          <w:rFonts w:ascii="Times New Roman" w:hAnsi="Times New Roman"/>
          <w:b/>
          <w:i/>
          <w:sz w:val="28"/>
          <w:szCs w:val="28"/>
        </w:rPr>
        <w:t>espondent is</w:t>
      </w:r>
      <w:r w:rsidR="00F00A3C" w:rsidRPr="00130445">
        <w:rPr>
          <w:rFonts w:ascii="Times New Roman" w:hAnsi="Times New Roman"/>
          <w:b/>
          <w:i/>
          <w:sz w:val="28"/>
          <w:szCs w:val="28"/>
        </w:rPr>
        <w:t xml:space="preserve"> ordered to pay</w:t>
      </w:r>
      <w:r w:rsidRPr="00130445">
        <w:rPr>
          <w:rFonts w:ascii="Times New Roman" w:hAnsi="Times New Roman"/>
          <w:b/>
          <w:i/>
          <w:sz w:val="28"/>
          <w:szCs w:val="28"/>
        </w:rPr>
        <w:t xml:space="preserve"> the costs of this application.</w:t>
      </w:r>
      <w:r w:rsidR="00F00A3C" w:rsidRPr="00130445">
        <w:rPr>
          <w:rFonts w:ascii="Times New Roman" w:hAnsi="Times New Roman"/>
          <w:b/>
          <w:i/>
          <w:sz w:val="28"/>
          <w:szCs w:val="28"/>
        </w:rPr>
        <w:t xml:space="preserve"> </w:t>
      </w:r>
    </w:p>
    <w:p w:rsidR="005C015B" w:rsidRPr="00921B57" w:rsidRDefault="005C015B" w:rsidP="00921B57">
      <w:pPr>
        <w:spacing w:after="0" w:line="360" w:lineRule="auto"/>
        <w:ind w:left="720"/>
        <w:jc w:val="both"/>
        <w:rPr>
          <w:rFonts w:ascii="Times New Roman" w:eastAsia="Calibri" w:hAnsi="Times New Roman" w:cs="Times New Roman"/>
          <w:sz w:val="28"/>
          <w:szCs w:val="28"/>
          <w:lang w:val="en-GB"/>
        </w:rPr>
      </w:pPr>
    </w:p>
    <w:p w:rsidR="003A4118" w:rsidRDefault="003A4118" w:rsidP="00A65854">
      <w:pPr>
        <w:spacing w:after="0" w:line="360" w:lineRule="auto"/>
        <w:contextualSpacing/>
        <w:jc w:val="both"/>
        <w:rPr>
          <w:rFonts w:ascii="Times New Roman" w:eastAsia="Calibri" w:hAnsi="Times New Roman" w:cs="Times New Roman"/>
          <w:sz w:val="28"/>
          <w:szCs w:val="28"/>
          <w:lang w:val="en-GB"/>
        </w:rPr>
      </w:pPr>
    </w:p>
    <w:p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rsidR="0039258D" w:rsidRPr="00437E6F" w:rsidRDefault="008A3C3F" w:rsidP="00A65854">
      <w:pPr>
        <w:spacing w:after="0" w:line="360" w:lineRule="auto"/>
        <w:contextualSpacing/>
        <w:jc w:val="both"/>
        <w:rPr>
          <w:rFonts w:ascii="Times New Roman" w:eastAsia="Calibri" w:hAnsi="Times New Roman" w:cs="Times New Roman"/>
          <w:b/>
          <w:sz w:val="28"/>
          <w:szCs w:val="28"/>
          <w:lang w:val="en-GB"/>
        </w:rPr>
      </w:pPr>
      <w:r w:rsidRPr="008A3C3F">
        <w:rPr>
          <w:rFonts w:ascii="Times New Roman" w:eastAsia="Calibri" w:hAnsi="Times New Roman" w:cs="Times New Roman"/>
          <w:b/>
          <w:noProof/>
          <w:sz w:val="28"/>
          <w:szCs w:val="28"/>
          <w:lang w:val="en-US"/>
        </w:rPr>
        <w:drawing>
          <wp:inline distT="0" distB="0" distL="0" distR="0">
            <wp:extent cx="1822450" cy="1295400"/>
            <wp:effectExtent l="0" t="0" r="6350" b="0"/>
            <wp:docPr id="3" name="Picture 3" descr="C:\Users\VNoncembu\Document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Noncembu\Documents\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2450" cy="1295400"/>
                    </a:xfrm>
                    <a:prstGeom prst="rect">
                      <a:avLst/>
                    </a:prstGeom>
                    <a:noFill/>
                    <a:ln>
                      <a:noFill/>
                    </a:ln>
                  </pic:spPr>
                </pic:pic>
              </a:graphicData>
            </a:graphic>
          </wp:inline>
        </w:drawing>
      </w:r>
    </w:p>
    <w:p w:rsidR="00A65854" w:rsidRPr="00437E6F" w:rsidRDefault="00A65854" w:rsidP="00A65854">
      <w:pPr>
        <w:spacing w:after="0" w:line="360" w:lineRule="auto"/>
        <w:contextualSpacing/>
        <w:jc w:val="both"/>
        <w:rPr>
          <w:rFonts w:ascii="Times New Roman" w:eastAsia="Calibri" w:hAnsi="Times New Roman" w:cs="Times New Roman"/>
          <w:b/>
          <w:sz w:val="28"/>
          <w:szCs w:val="28"/>
          <w:lang w:val="en-GB"/>
        </w:rPr>
      </w:pPr>
      <w:r w:rsidRPr="00437E6F">
        <w:rPr>
          <w:rFonts w:ascii="Times New Roman" w:eastAsia="Calibri" w:hAnsi="Times New Roman" w:cs="Times New Roman"/>
          <w:b/>
          <w:sz w:val="28"/>
          <w:szCs w:val="28"/>
          <w:lang w:val="en-GB"/>
        </w:rPr>
        <w:t>________________________</w:t>
      </w:r>
    </w:p>
    <w:p w:rsidR="00A65854" w:rsidRPr="00437E6F" w:rsidRDefault="00E703D1" w:rsidP="00A65854">
      <w:pPr>
        <w:spacing w:after="0" w:line="360" w:lineRule="auto"/>
        <w:rPr>
          <w:rFonts w:ascii="Times New Roman" w:eastAsia="Calibri" w:hAnsi="Times New Roman" w:cs="Times New Roman"/>
          <w:b/>
          <w:sz w:val="28"/>
          <w:szCs w:val="28"/>
          <w:lang w:val="en-GB"/>
        </w:rPr>
      </w:pPr>
      <w:r w:rsidRPr="00437E6F">
        <w:rPr>
          <w:rFonts w:ascii="Times New Roman" w:eastAsia="Calibri" w:hAnsi="Times New Roman" w:cs="Times New Roman"/>
          <w:b/>
          <w:sz w:val="28"/>
          <w:szCs w:val="28"/>
          <w:lang w:val="en-GB"/>
        </w:rPr>
        <w:t>V</w:t>
      </w:r>
      <w:r w:rsidR="00A7042D" w:rsidRPr="00437E6F">
        <w:rPr>
          <w:rFonts w:ascii="Times New Roman" w:eastAsia="Calibri" w:hAnsi="Times New Roman" w:cs="Times New Roman"/>
          <w:b/>
          <w:sz w:val="28"/>
          <w:szCs w:val="28"/>
          <w:lang w:val="en-GB"/>
        </w:rPr>
        <w:t xml:space="preserve"> P</w:t>
      </w:r>
      <w:r w:rsidRPr="00437E6F">
        <w:rPr>
          <w:rFonts w:ascii="Times New Roman" w:eastAsia="Calibri" w:hAnsi="Times New Roman" w:cs="Times New Roman"/>
          <w:b/>
          <w:sz w:val="28"/>
          <w:szCs w:val="28"/>
          <w:lang w:val="en-GB"/>
        </w:rPr>
        <w:t xml:space="preserve"> </w:t>
      </w:r>
      <w:r w:rsidR="00892BC8" w:rsidRPr="00437E6F">
        <w:rPr>
          <w:rFonts w:ascii="Times New Roman" w:eastAsia="Calibri" w:hAnsi="Times New Roman" w:cs="Times New Roman"/>
          <w:b/>
          <w:sz w:val="28"/>
          <w:szCs w:val="28"/>
          <w:lang w:val="en-GB"/>
        </w:rPr>
        <w:t xml:space="preserve">NONCEMBU </w:t>
      </w:r>
      <w:r w:rsidR="00A65854" w:rsidRPr="00437E6F">
        <w:rPr>
          <w:rFonts w:ascii="Times New Roman" w:eastAsia="Calibri" w:hAnsi="Times New Roman" w:cs="Times New Roman"/>
          <w:b/>
          <w:sz w:val="28"/>
          <w:szCs w:val="28"/>
          <w:lang w:val="en-GB"/>
        </w:rPr>
        <w:t xml:space="preserve">     </w:t>
      </w:r>
    </w:p>
    <w:p w:rsidR="00A65854" w:rsidRPr="00437E6F" w:rsidRDefault="00EE5791" w:rsidP="00A65854">
      <w:pPr>
        <w:spacing w:after="0" w:line="360" w:lineRule="auto"/>
        <w:rPr>
          <w:rFonts w:ascii="Times New Roman" w:eastAsia="Calibri" w:hAnsi="Times New Roman" w:cs="Times New Roman"/>
          <w:b/>
          <w:bCs/>
          <w:sz w:val="28"/>
          <w:szCs w:val="28"/>
          <w:lang w:val="en-US"/>
        </w:rPr>
      </w:pPr>
      <w:r w:rsidRPr="00437E6F">
        <w:rPr>
          <w:rFonts w:ascii="Times New Roman" w:eastAsia="Calibri" w:hAnsi="Times New Roman" w:cs="Times New Roman"/>
          <w:b/>
          <w:bCs/>
          <w:sz w:val="28"/>
          <w:szCs w:val="28"/>
          <w:lang w:val="en-US"/>
        </w:rPr>
        <w:t xml:space="preserve">JUDGE OF THE HIGH COURT </w:t>
      </w:r>
    </w:p>
    <w:p w:rsidR="00BD498D" w:rsidRDefault="00BD498D" w:rsidP="004F3FD0">
      <w:pPr>
        <w:spacing w:line="360" w:lineRule="auto"/>
        <w:jc w:val="both"/>
        <w:rPr>
          <w:rFonts w:ascii="Times New Roman" w:hAnsi="Times New Roman" w:cs="Times New Roman"/>
          <w:b/>
          <w:sz w:val="28"/>
          <w:szCs w:val="28"/>
        </w:rPr>
      </w:pPr>
    </w:p>
    <w:p w:rsidR="00BD498D" w:rsidRDefault="00BD498D" w:rsidP="004F3FD0">
      <w:pPr>
        <w:spacing w:line="360" w:lineRule="auto"/>
        <w:jc w:val="both"/>
        <w:rPr>
          <w:rFonts w:ascii="Times New Roman" w:hAnsi="Times New Roman" w:cs="Times New Roman"/>
          <w:b/>
          <w:sz w:val="28"/>
          <w:szCs w:val="28"/>
        </w:rPr>
      </w:pPr>
    </w:p>
    <w:p w:rsidR="004F3FD0" w:rsidRPr="00437E6F" w:rsidRDefault="004F3FD0" w:rsidP="004F3FD0">
      <w:pPr>
        <w:spacing w:line="360" w:lineRule="auto"/>
        <w:jc w:val="both"/>
        <w:rPr>
          <w:rFonts w:ascii="Times New Roman" w:hAnsi="Times New Roman" w:cs="Times New Roman"/>
          <w:b/>
          <w:sz w:val="28"/>
          <w:szCs w:val="28"/>
        </w:rPr>
      </w:pPr>
      <w:r w:rsidRPr="00437E6F">
        <w:rPr>
          <w:rFonts w:ascii="Times New Roman" w:hAnsi="Times New Roman" w:cs="Times New Roman"/>
          <w:b/>
          <w:sz w:val="28"/>
          <w:szCs w:val="28"/>
        </w:rPr>
        <w:t>APPEARANCES</w:t>
      </w:r>
    </w:p>
    <w:p w:rsidR="00AF0DAA" w:rsidRPr="00437E6F" w:rsidRDefault="00AF0DAA" w:rsidP="004F3FD0">
      <w:pPr>
        <w:spacing w:line="360" w:lineRule="auto"/>
        <w:jc w:val="both"/>
        <w:rPr>
          <w:rFonts w:ascii="Times New Roman" w:hAnsi="Times New Roman" w:cs="Times New Roman"/>
          <w:sz w:val="28"/>
          <w:szCs w:val="28"/>
          <w:u w:val="single"/>
        </w:rPr>
      </w:pPr>
      <w:r w:rsidRPr="00437E6F">
        <w:rPr>
          <w:rFonts w:ascii="Times New Roman" w:hAnsi="Times New Roman" w:cs="Times New Roman"/>
          <w:sz w:val="28"/>
          <w:szCs w:val="28"/>
          <w:u w:val="single"/>
        </w:rPr>
        <w:t xml:space="preserve">                                                                                                                                                                                                                                                                                                                                                                                                                                                                                                                                                                                                                                                                                                                                                                                                                                                                                                                                                                                                                                                                                                                                                                                                                                                                                                                                                                                                                                                                                                                                                                                                                                                                                                                                                                                                                                                                                                                                                                                                                                                                                                                                                                                                                                                                                                                                                                                                                                                                                                                                                                                                                                                                                                                                                                                                                                                                                                                                                                                                                                                                                                                                                                                                                                                                                                                                                                                                                                                                                                                                                                                                                                                                                                                                                                                                                                                                                                                                                                                                                                                                                                                                                                                                                                                                                                                                                                                                              </w:t>
      </w:r>
    </w:p>
    <w:p w:rsidR="004F3FD0" w:rsidRPr="00437E6F" w:rsidRDefault="004F3FD0" w:rsidP="004F3FD0">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 xml:space="preserve">Counsel </w:t>
      </w:r>
      <w:r w:rsidR="00130445">
        <w:rPr>
          <w:rFonts w:ascii="Times New Roman" w:hAnsi="Times New Roman" w:cs="Times New Roman"/>
          <w:sz w:val="28"/>
          <w:szCs w:val="28"/>
        </w:rPr>
        <w:t>for the a</w:t>
      </w:r>
      <w:r w:rsidR="00A65854" w:rsidRPr="00437E6F">
        <w:rPr>
          <w:rFonts w:ascii="Times New Roman" w:hAnsi="Times New Roman" w:cs="Times New Roman"/>
          <w:sz w:val="28"/>
          <w:szCs w:val="28"/>
        </w:rPr>
        <w:t>pplicant</w:t>
      </w:r>
      <w:r w:rsidR="00A65854" w:rsidRPr="00437E6F">
        <w:rPr>
          <w:rFonts w:ascii="Times New Roman" w:hAnsi="Times New Roman" w:cs="Times New Roman"/>
          <w:sz w:val="28"/>
          <w:szCs w:val="28"/>
        </w:rPr>
        <w:tab/>
      </w:r>
      <w:r w:rsidR="00E7503F">
        <w:rPr>
          <w:rFonts w:ascii="Times New Roman" w:hAnsi="Times New Roman" w:cs="Times New Roman"/>
          <w:sz w:val="28"/>
          <w:szCs w:val="28"/>
        </w:rPr>
        <w:t xml:space="preserve"> </w:t>
      </w:r>
      <w:r w:rsidR="00A65854" w:rsidRPr="00437E6F">
        <w:rPr>
          <w:rFonts w:ascii="Times New Roman" w:hAnsi="Times New Roman" w:cs="Times New Roman"/>
          <w:sz w:val="28"/>
          <w:szCs w:val="28"/>
        </w:rPr>
        <w:tab/>
      </w:r>
      <w:r w:rsidR="00A65854" w:rsidRPr="00437E6F">
        <w:rPr>
          <w:rFonts w:ascii="Times New Roman" w:hAnsi="Times New Roman" w:cs="Times New Roman"/>
          <w:sz w:val="28"/>
          <w:szCs w:val="28"/>
        </w:rPr>
        <w:tab/>
        <w:t xml:space="preserve">: </w:t>
      </w:r>
      <w:r w:rsidR="00C12A17">
        <w:rPr>
          <w:rFonts w:ascii="Times New Roman" w:hAnsi="Times New Roman" w:cs="Times New Roman"/>
          <w:sz w:val="28"/>
          <w:szCs w:val="28"/>
        </w:rPr>
        <w:t>Adv J Nepgen</w:t>
      </w:r>
    </w:p>
    <w:p w:rsidR="00130445" w:rsidRDefault="00483401" w:rsidP="004F3FD0">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 xml:space="preserve">Instructed by </w:t>
      </w:r>
      <w:r w:rsidRPr="00437E6F">
        <w:rPr>
          <w:rFonts w:ascii="Times New Roman" w:hAnsi="Times New Roman" w:cs="Times New Roman"/>
          <w:sz w:val="28"/>
          <w:szCs w:val="28"/>
        </w:rPr>
        <w:tab/>
      </w:r>
      <w:r w:rsidR="00130445">
        <w:rPr>
          <w:rFonts w:ascii="Times New Roman" w:hAnsi="Times New Roman" w:cs="Times New Roman"/>
          <w:sz w:val="28"/>
          <w:szCs w:val="28"/>
        </w:rPr>
        <w:tab/>
      </w:r>
      <w:r w:rsidR="00130445">
        <w:rPr>
          <w:rFonts w:ascii="Times New Roman" w:hAnsi="Times New Roman" w:cs="Times New Roman"/>
          <w:sz w:val="28"/>
          <w:szCs w:val="28"/>
        </w:rPr>
        <w:tab/>
      </w:r>
      <w:r w:rsidR="00130445">
        <w:rPr>
          <w:rFonts w:ascii="Times New Roman" w:hAnsi="Times New Roman" w:cs="Times New Roman"/>
          <w:sz w:val="28"/>
          <w:szCs w:val="28"/>
        </w:rPr>
        <w:tab/>
        <w:t>: Lex Icon Attorneys</w:t>
      </w:r>
    </w:p>
    <w:p w:rsidR="004F3FD0" w:rsidRPr="00437E6F" w:rsidRDefault="00130445" w:rsidP="004F3FD0">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83401" w:rsidRPr="00437E6F">
        <w:rPr>
          <w:rFonts w:ascii="Times New Roman" w:hAnsi="Times New Roman" w:cs="Times New Roman"/>
          <w:sz w:val="28"/>
          <w:szCs w:val="28"/>
        </w:rPr>
        <w:tab/>
      </w:r>
      <w:r w:rsidR="00483401" w:rsidRPr="00437E6F">
        <w:rPr>
          <w:rFonts w:ascii="Times New Roman" w:hAnsi="Times New Roman" w:cs="Times New Roman"/>
          <w:sz w:val="28"/>
          <w:szCs w:val="28"/>
        </w:rPr>
        <w:tab/>
      </w:r>
      <w:r w:rsidR="00483401" w:rsidRPr="00437E6F">
        <w:rPr>
          <w:rFonts w:ascii="Times New Roman" w:hAnsi="Times New Roman" w:cs="Times New Roman"/>
          <w:sz w:val="28"/>
          <w:szCs w:val="28"/>
        </w:rPr>
        <w:tab/>
      </w:r>
      <w:r w:rsidR="00AB3B5A" w:rsidRPr="00437E6F">
        <w:rPr>
          <w:rFonts w:ascii="Times New Roman" w:hAnsi="Times New Roman" w:cs="Times New Roman"/>
          <w:sz w:val="28"/>
          <w:szCs w:val="28"/>
        </w:rPr>
        <w:tab/>
      </w:r>
      <w:r w:rsidR="00EE5791" w:rsidRPr="00437E6F">
        <w:rPr>
          <w:rFonts w:ascii="Times New Roman" w:hAnsi="Times New Roman" w:cs="Times New Roman"/>
          <w:sz w:val="28"/>
          <w:szCs w:val="28"/>
        </w:rPr>
        <w:t xml:space="preserve">        </w:t>
      </w:r>
      <w:r>
        <w:rPr>
          <w:rFonts w:ascii="Times New Roman" w:hAnsi="Times New Roman" w:cs="Times New Roman"/>
          <w:sz w:val="28"/>
          <w:szCs w:val="28"/>
        </w:rPr>
        <w:t xml:space="preserve">    Gqeberha</w:t>
      </w:r>
    </w:p>
    <w:p w:rsidR="009B0A28" w:rsidRPr="00437E6F" w:rsidRDefault="009B0A28" w:rsidP="00330C6E">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p>
    <w:p w:rsidR="004F3FD0" w:rsidRPr="00437E6F" w:rsidRDefault="00A65854" w:rsidP="004F3FD0">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00483401" w:rsidRPr="00437E6F">
        <w:rPr>
          <w:rFonts w:ascii="Times New Roman" w:hAnsi="Times New Roman" w:cs="Times New Roman"/>
          <w:sz w:val="28"/>
          <w:szCs w:val="28"/>
        </w:rPr>
        <w:tab/>
      </w:r>
      <w:r w:rsidR="00483401" w:rsidRPr="00437E6F">
        <w:rPr>
          <w:rFonts w:ascii="Times New Roman" w:hAnsi="Times New Roman" w:cs="Times New Roman"/>
          <w:sz w:val="28"/>
          <w:szCs w:val="28"/>
        </w:rPr>
        <w:tab/>
      </w:r>
      <w:r w:rsidR="00483401" w:rsidRPr="00437E6F">
        <w:rPr>
          <w:rFonts w:ascii="Times New Roman" w:hAnsi="Times New Roman" w:cs="Times New Roman"/>
          <w:sz w:val="28"/>
          <w:szCs w:val="28"/>
        </w:rPr>
        <w:tab/>
        <w:t xml:space="preserve"> </w:t>
      </w:r>
    </w:p>
    <w:p w:rsidR="004F3FD0" w:rsidRPr="00437E6F" w:rsidRDefault="004F3FD0" w:rsidP="004F3FD0">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Counsel</w:t>
      </w:r>
      <w:r w:rsidR="00483401" w:rsidRPr="00437E6F">
        <w:rPr>
          <w:rFonts w:ascii="Times New Roman" w:hAnsi="Times New Roman" w:cs="Times New Roman"/>
          <w:sz w:val="28"/>
          <w:szCs w:val="28"/>
        </w:rPr>
        <w:t xml:space="preserve"> for the</w:t>
      </w:r>
      <w:r w:rsidR="00130445">
        <w:rPr>
          <w:rFonts w:ascii="Times New Roman" w:hAnsi="Times New Roman" w:cs="Times New Roman"/>
          <w:sz w:val="28"/>
          <w:szCs w:val="28"/>
        </w:rPr>
        <w:t xml:space="preserve"> first r</w:t>
      </w:r>
      <w:r w:rsidR="00483401" w:rsidRPr="00437E6F">
        <w:rPr>
          <w:rFonts w:ascii="Times New Roman" w:hAnsi="Times New Roman" w:cs="Times New Roman"/>
          <w:sz w:val="28"/>
          <w:szCs w:val="28"/>
        </w:rPr>
        <w:t>e</w:t>
      </w:r>
      <w:r w:rsidR="00A65854" w:rsidRPr="00437E6F">
        <w:rPr>
          <w:rFonts w:ascii="Times New Roman" w:hAnsi="Times New Roman" w:cs="Times New Roman"/>
          <w:sz w:val="28"/>
          <w:szCs w:val="28"/>
        </w:rPr>
        <w:t>spondent</w:t>
      </w:r>
      <w:r w:rsidR="00EE5791" w:rsidRPr="00437E6F">
        <w:rPr>
          <w:rFonts w:ascii="Times New Roman" w:hAnsi="Times New Roman" w:cs="Times New Roman"/>
          <w:sz w:val="28"/>
          <w:szCs w:val="28"/>
        </w:rPr>
        <w:t xml:space="preserve">     </w:t>
      </w:r>
      <w:r w:rsidR="00130445">
        <w:rPr>
          <w:rFonts w:ascii="Times New Roman" w:hAnsi="Times New Roman" w:cs="Times New Roman"/>
          <w:sz w:val="28"/>
          <w:szCs w:val="28"/>
        </w:rPr>
        <w:tab/>
      </w:r>
      <w:r w:rsidR="00EE5791" w:rsidRPr="00437E6F">
        <w:rPr>
          <w:rFonts w:ascii="Times New Roman" w:hAnsi="Times New Roman" w:cs="Times New Roman"/>
          <w:sz w:val="28"/>
          <w:szCs w:val="28"/>
        </w:rPr>
        <w:t xml:space="preserve"> </w:t>
      </w:r>
      <w:r w:rsidR="00A65854" w:rsidRPr="00437E6F">
        <w:rPr>
          <w:rFonts w:ascii="Times New Roman" w:hAnsi="Times New Roman" w:cs="Times New Roman"/>
          <w:sz w:val="28"/>
          <w:szCs w:val="28"/>
        </w:rPr>
        <w:t xml:space="preserve">: </w:t>
      </w:r>
      <w:r w:rsidR="00C12A17">
        <w:rPr>
          <w:rFonts w:ascii="Times New Roman" w:hAnsi="Times New Roman" w:cs="Times New Roman"/>
          <w:sz w:val="28"/>
          <w:szCs w:val="28"/>
        </w:rPr>
        <w:t>Adv J Richards</w:t>
      </w:r>
    </w:p>
    <w:p w:rsidR="00330C6E" w:rsidRDefault="00130445" w:rsidP="00D926D8">
      <w:pPr>
        <w:spacing w:line="360" w:lineRule="auto"/>
        <w:ind w:left="3600" w:hanging="3600"/>
        <w:jc w:val="both"/>
        <w:rPr>
          <w:rFonts w:ascii="Times New Roman" w:hAnsi="Times New Roman" w:cs="Times New Roman"/>
          <w:sz w:val="28"/>
          <w:szCs w:val="28"/>
        </w:rPr>
      </w:pPr>
      <w:r>
        <w:rPr>
          <w:rFonts w:ascii="Times New Roman" w:hAnsi="Times New Roman" w:cs="Times New Roman"/>
          <w:sz w:val="28"/>
          <w:szCs w:val="28"/>
        </w:rPr>
        <w:t xml:space="preserve">Instructed by </w:t>
      </w:r>
      <w:r>
        <w:rPr>
          <w:rFonts w:ascii="Times New Roman" w:hAnsi="Times New Roman" w:cs="Times New Roman"/>
          <w:sz w:val="28"/>
          <w:szCs w:val="28"/>
        </w:rPr>
        <w:tab/>
      </w:r>
      <w:r>
        <w:rPr>
          <w:rFonts w:ascii="Times New Roman" w:hAnsi="Times New Roman" w:cs="Times New Roman"/>
          <w:sz w:val="28"/>
          <w:szCs w:val="28"/>
        </w:rPr>
        <w:tab/>
        <w:t xml:space="preserve"> : Rushmere Noach Incorporated</w:t>
      </w:r>
    </w:p>
    <w:p w:rsidR="00130445" w:rsidRPr="00437E6F" w:rsidRDefault="00130445" w:rsidP="00D926D8">
      <w:pPr>
        <w:spacing w:line="360" w:lineRule="auto"/>
        <w:ind w:left="3600" w:hanging="36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Gqeberha</w:t>
      </w:r>
    </w:p>
    <w:p w:rsidR="00330C6E" w:rsidRPr="00437E6F" w:rsidRDefault="00330C6E" w:rsidP="00330C6E">
      <w:pPr>
        <w:spacing w:line="360" w:lineRule="auto"/>
        <w:jc w:val="both"/>
        <w:rPr>
          <w:rFonts w:ascii="Times New Roman" w:hAnsi="Times New Roman" w:cs="Times New Roman"/>
          <w:sz w:val="28"/>
          <w:szCs w:val="28"/>
        </w:rPr>
      </w:pPr>
    </w:p>
    <w:p w:rsidR="00EE5791" w:rsidRPr="00437E6F" w:rsidRDefault="00EE5791" w:rsidP="004F3FD0">
      <w:pPr>
        <w:spacing w:line="360" w:lineRule="auto"/>
        <w:jc w:val="both"/>
        <w:rPr>
          <w:rFonts w:ascii="Times New Roman" w:hAnsi="Times New Roman" w:cs="Times New Roman"/>
          <w:sz w:val="28"/>
          <w:szCs w:val="28"/>
        </w:rPr>
      </w:pPr>
    </w:p>
    <w:p w:rsidR="00EE5791" w:rsidRPr="00437E6F" w:rsidRDefault="00130445" w:rsidP="00EE5791">
      <w:pPr>
        <w:tabs>
          <w:tab w:val="left" w:pos="5529"/>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Date of hearing                                          : 20 April 2023</w:t>
      </w:r>
    </w:p>
    <w:p w:rsidR="00EE5791" w:rsidRPr="00437E6F" w:rsidRDefault="00EE5791" w:rsidP="00EE5791">
      <w:pPr>
        <w:tabs>
          <w:tab w:val="left" w:pos="5670"/>
        </w:tabs>
        <w:spacing w:line="360" w:lineRule="auto"/>
        <w:jc w:val="both"/>
        <w:rPr>
          <w:rFonts w:ascii="Times New Roman" w:hAnsi="Times New Roman" w:cs="Times New Roman"/>
          <w:color w:val="5B9BD5" w:themeColor="accent1"/>
          <w:sz w:val="28"/>
          <w:szCs w:val="28"/>
        </w:rPr>
      </w:pPr>
      <w:r w:rsidRPr="00437E6F">
        <w:rPr>
          <w:rFonts w:ascii="Times New Roman" w:hAnsi="Times New Roman" w:cs="Times New Roman"/>
          <w:sz w:val="28"/>
          <w:szCs w:val="28"/>
        </w:rPr>
        <w:t>Date judgment delivered</w:t>
      </w:r>
      <w:r w:rsidR="0005260D" w:rsidRPr="00437E6F">
        <w:rPr>
          <w:rFonts w:ascii="Times New Roman" w:hAnsi="Times New Roman" w:cs="Times New Roman"/>
          <w:sz w:val="28"/>
          <w:szCs w:val="28"/>
        </w:rPr>
        <w:t xml:space="preserve">             </w:t>
      </w:r>
      <w:r w:rsidR="00130445">
        <w:rPr>
          <w:rFonts w:ascii="Times New Roman" w:hAnsi="Times New Roman" w:cs="Times New Roman"/>
          <w:sz w:val="28"/>
          <w:szCs w:val="28"/>
        </w:rPr>
        <w:t xml:space="preserve">               : 26 September 2023</w:t>
      </w:r>
    </w:p>
    <w:p w:rsidR="00483401" w:rsidRPr="00437E6F" w:rsidRDefault="00483401" w:rsidP="00B5331D">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t xml:space="preserve"> </w:t>
      </w:r>
    </w:p>
    <w:p w:rsidR="004F3FD0" w:rsidRPr="00437E6F" w:rsidRDefault="004F3FD0" w:rsidP="004F3FD0">
      <w:pPr>
        <w:pStyle w:val="BodyTextIndent2"/>
        <w:widowControl/>
        <w:spacing w:after="0"/>
        <w:ind w:left="1440" w:hanging="1157"/>
        <w:rPr>
          <w:rFonts w:ascii="Times New Roman" w:hAnsi="Times New Roman"/>
          <w:sz w:val="28"/>
          <w:szCs w:val="28"/>
          <w:lang w:val="en-ZA"/>
        </w:rPr>
      </w:pPr>
    </w:p>
    <w:p w:rsidR="004F3FD0" w:rsidRPr="00437E6F" w:rsidRDefault="004F3FD0" w:rsidP="004F3FD0">
      <w:pPr>
        <w:pStyle w:val="BodyTextIndent2"/>
        <w:widowControl/>
        <w:spacing w:after="0"/>
        <w:ind w:left="0"/>
        <w:jc w:val="both"/>
        <w:rPr>
          <w:rFonts w:ascii="Times New Roman" w:hAnsi="Times New Roman"/>
          <w:sz w:val="28"/>
          <w:szCs w:val="28"/>
        </w:rPr>
      </w:pPr>
    </w:p>
    <w:p w:rsidR="004F3FD0" w:rsidRPr="00437E6F" w:rsidRDefault="004F3FD0" w:rsidP="004F3FD0">
      <w:pPr>
        <w:spacing w:after="0" w:line="360" w:lineRule="auto"/>
        <w:ind w:left="432"/>
        <w:rPr>
          <w:rFonts w:ascii="Times New Roman" w:eastAsia="Calibri" w:hAnsi="Times New Roman" w:cs="Times New Roman"/>
          <w:bCs/>
          <w:sz w:val="28"/>
          <w:szCs w:val="28"/>
          <w:lang w:val="en-US"/>
        </w:rPr>
      </w:pPr>
    </w:p>
    <w:p w:rsidR="00351545" w:rsidRPr="00437E6F" w:rsidRDefault="00351545" w:rsidP="00507322">
      <w:pPr>
        <w:spacing w:after="0" w:line="360" w:lineRule="auto"/>
        <w:ind w:left="432"/>
        <w:jc w:val="right"/>
        <w:rPr>
          <w:rFonts w:ascii="Times New Roman" w:eastAsia="Calibri" w:hAnsi="Times New Roman" w:cs="Times New Roman"/>
          <w:bCs/>
          <w:sz w:val="28"/>
          <w:szCs w:val="28"/>
          <w:lang w:val="en-US"/>
        </w:rPr>
      </w:pPr>
    </w:p>
    <w:p w:rsidR="00576DBC" w:rsidRPr="00242C36" w:rsidRDefault="00576DBC" w:rsidP="00F512C8">
      <w:pPr>
        <w:pStyle w:val="Title"/>
      </w:pPr>
    </w:p>
    <w:sectPr w:rsidR="00576DBC" w:rsidRPr="00242C3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E9A" w:rsidRDefault="007F0E9A" w:rsidP="00D74C89">
      <w:pPr>
        <w:spacing w:after="0" w:line="240" w:lineRule="auto"/>
      </w:pPr>
      <w:r>
        <w:separator/>
      </w:r>
    </w:p>
  </w:endnote>
  <w:endnote w:type="continuationSeparator" w:id="0">
    <w:p w:rsidR="007F0E9A" w:rsidRDefault="007F0E9A" w:rsidP="00D7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856603"/>
      <w:docPartObj>
        <w:docPartGallery w:val="Page Numbers (Bottom of Page)"/>
        <w:docPartUnique/>
      </w:docPartObj>
    </w:sdtPr>
    <w:sdtEndPr>
      <w:rPr>
        <w:noProof/>
      </w:rPr>
    </w:sdtEndPr>
    <w:sdtContent>
      <w:p w:rsidR="0079567F" w:rsidRDefault="0079567F">
        <w:pPr>
          <w:pStyle w:val="Footer"/>
          <w:jc w:val="right"/>
        </w:pPr>
        <w:r>
          <w:fldChar w:fldCharType="begin"/>
        </w:r>
        <w:r>
          <w:instrText xml:space="preserve"> PAGE   \* MERGEFORMAT </w:instrText>
        </w:r>
        <w:r>
          <w:fldChar w:fldCharType="separate"/>
        </w:r>
        <w:r w:rsidR="00D0442B">
          <w:rPr>
            <w:noProof/>
          </w:rPr>
          <w:t>2</w:t>
        </w:r>
        <w:r>
          <w:rPr>
            <w:noProof/>
          </w:rPr>
          <w:fldChar w:fldCharType="end"/>
        </w:r>
      </w:p>
    </w:sdtContent>
  </w:sdt>
  <w:p w:rsidR="0079567F" w:rsidRDefault="00795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E9A" w:rsidRDefault="007F0E9A" w:rsidP="00D74C89">
      <w:pPr>
        <w:spacing w:after="0" w:line="240" w:lineRule="auto"/>
      </w:pPr>
      <w:r>
        <w:separator/>
      </w:r>
    </w:p>
  </w:footnote>
  <w:footnote w:type="continuationSeparator" w:id="0">
    <w:p w:rsidR="007F0E9A" w:rsidRDefault="007F0E9A" w:rsidP="00D74C89">
      <w:pPr>
        <w:spacing w:after="0" w:line="240" w:lineRule="auto"/>
      </w:pPr>
      <w:r>
        <w:continuationSeparator/>
      </w:r>
    </w:p>
  </w:footnote>
  <w:footnote w:id="1">
    <w:p w:rsidR="0079567F" w:rsidRPr="00715C9E" w:rsidRDefault="0079567F">
      <w:pPr>
        <w:pStyle w:val="FootnoteText"/>
        <w:rPr>
          <w:lang w:val="en-US"/>
        </w:rPr>
      </w:pPr>
      <w:r>
        <w:rPr>
          <w:rStyle w:val="FootnoteReference"/>
        </w:rPr>
        <w:footnoteRef/>
      </w:r>
      <w:r>
        <w:t xml:space="preserve"> These mainly entailed prayers 2, 4 and 5 as re-numbered in the amended notice of motion.</w:t>
      </w:r>
    </w:p>
  </w:footnote>
  <w:footnote w:id="2">
    <w:p w:rsidR="0079567F" w:rsidRPr="00ED3965" w:rsidRDefault="0079567F">
      <w:pPr>
        <w:pStyle w:val="FootnoteText"/>
        <w:rPr>
          <w:lang w:val="en-US"/>
        </w:rPr>
      </w:pPr>
      <w:r>
        <w:rPr>
          <w:rStyle w:val="FootnoteReference"/>
        </w:rPr>
        <w:footnoteRef/>
      </w:r>
      <w:r>
        <w:t xml:space="preserve"> </w:t>
      </w:r>
      <w:r>
        <w:rPr>
          <w:lang w:val="en-US"/>
        </w:rPr>
        <w:t>Record: p 13 para 5, et al.</w:t>
      </w:r>
    </w:p>
  </w:footnote>
  <w:footnote w:id="3">
    <w:p w:rsidR="0079567F" w:rsidRPr="00067475" w:rsidRDefault="0079567F">
      <w:pPr>
        <w:pStyle w:val="FootnoteText"/>
        <w:rPr>
          <w:lang w:val="en-US"/>
        </w:rPr>
      </w:pPr>
      <w:r>
        <w:rPr>
          <w:rStyle w:val="FootnoteReference"/>
        </w:rPr>
        <w:footnoteRef/>
      </w:r>
      <w:r>
        <w:t xml:space="preserve"> </w:t>
      </w:r>
      <w:r>
        <w:rPr>
          <w:lang w:val="en-US"/>
        </w:rPr>
        <w:t>Record: p 158, Annexure “AA1”.</w:t>
      </w:r>
    </w:p>
  </w:footnote>
  <w:footnote w:id="4">
    <w:p w:rsidR="0079567F" w:rsidRPr="00ED3965" w:rsidRDefault="0079567F" w:rsidP="00D14D4C">
      <w:pPr>
        <w:pStyle w:val="FootnoteText"/>
        <w:rPr>
          <w:lang w:val="en-US"/>
        </w:rPr>
      </w:pPr>
      <w:r>
        <w:rPr>
          <w:rStyle w:val="FootnoteReference"/>
        </w:rPr>
        <w:footnoteRef/>
      </w:r>
      <w:r>
        <w:t xml:space="preserve"> </w:t>
      </w:r>
      <w:r>
        <w:rPr>
          <w:lang w:val="en-US"/>
        </w:rPr>
        <w:t>Record: p 122, para 5 AA.</w:t>
      </w:r>
    </w:p>
  </w:footnote>
  <w:footnote w:id="5">
    <w:p w:rsidR="0079567F" w:rsidRPr="002E4BC4" w:rsidRDefault="0079567F">
      <w:pPr>
        <w:pStyle w:val="FootnoteText"/>
        <w:rPr>
          <w:lang w:val="en-US"/>
        </w:rPr>
      </w:pPr>
      <w:r>
        <w:rPr>
          <w:rStyle w:val="FootnoteReference"/>
        </w:rPr>
        <w:footnoteRef/>
      </w:r>
      <w:r>
        <w:t xml:space="preserve"> Record: p 122, para 6 AA</w:t>
      </w:r>
    </w:p>
  </w:footnote>
  <w:footnote w:id="6">
    <w:p w:rsidR="0079567F" w:rsidRPr="00AD1308" w:rsidRDefault="0079567F">
      <w:pPr>
        <w:pStyle w:val="FootnoteText"/>
        <w:rPr>
          <w:lang w:val="en-US"/>
        </w:rPr>
      </w:pPr>
      <w:r>
        <w:rPr>
          <w:rStyle w:val="FootnoteReference"/>
        </w:rPr>
        <w:footnoteRef/>
      </w:r>
      <w:r>
        <w:t xml:space="preserve"> </w:t>
      </w:r>
      <w:r>
        <w:rPr>
          <w:lang w:val="en-US"/>
        </w:rPr>
        <w:t>After having acquired a number of erven in the Marina, which included erven 1306 to 1310 during the first half of 2005, the applicant took steps to establish the third respondent (The Body Corporate of Aruba Breeze). To that end, on 19 September 2005, erven 1306 to 1309 were consolidated as erf 1315 Aston Bay in terms of Consolidation Title T75489/2005 (the CCT) in the name of the applicant. On 21 June 2007 the CCT was endorsed to reflect that erf 1315 was subject to a development scheme registered in a sectional title register “which land and building(s) are known as Aruba Breeze”.</w:t>
      </w:r>
    </w:p>
  </w:footnote>
  <w:footnote w:id="7">
    <w:p w:rsidR="0079567F" w:rsidRPr="00AD1308" w:rsidRDefault="0079567F">
      <w:pPr>
        <w:pStyle w:val="FootnoteText"/>
        <w:rPr>
          <w:lang w:val="en-US"/>
        </w:rPr>
      </w:pPr>
      <w:r>
        <w:rPr>
          <w:rStyle w:val="FootnoteReference"/>
        </w:rPr>
        <w:footnoteRef/>
      </w:r>
      <w:r>
        <w:t xml:space="preserve"> Record: p 16, para 17 FA.</w:t>
      </w:r>
    </w:p>
  </w:footnote>
  <w:footnote w:id="8">
    <w:p w:rsidR="0079567F" w:rsidRPr="00600786" w:rsidRDefault="0079567F">
      <w:pPr>
        <w:pStyle w:val="FootnoteText"/>
        <w:rPr>
          <w:lang w:val="en-US"/>
        </w:rPr>
      </w:pPr>
      <w:r>
        <w:rPr>
          <w:rStyle w:val="FootnoteReference"/>
        </w:rPr>
        <w:footnoteRef/>
      </w:r>
      <w:r>
        <w:t xml:space="preserve"> </w:t>
      </w:r>
      <w:r>
        <w:rPr>
          <w:lang w:val="en-US"/>
        </w:rPr>
        <w:t>The road in question had not yet been constructed at the time.</w:t>
      </w:r>
    </w:p>
  </w:footnote>
  <w:footnote w:id="9">
    <w:p w:rsidR="0079567F" w:rsidRPr="005A2EBE" w:rsidRDefault="0079567F">
      <w:pPr>
        <w:pStyle w:val="FootnoteText"/>
        <w:rPr>
          <w:lang w:val="en-US"/>
        </w:rPr>
      </w:pPr>
      <w:r>
        <w:rPr>
          <w:rStyle w:val="FootnoteReference"/>
        </w:rPr>
        <w:footnoteRef/>
      </w:r>
      <w:r>
        <w:t xml:space="preserve"> </w:t>
      </w:r>
      <w:r>
        <w:rPr>
          <w:lang w:val="en-US"/>
        </w:rPr>
        <w:t>Record: p 17, para 23 FA.</w:t>
      </w:r>
    </w:p>
  </w:footnote>
  <w:footnote w:id="10">
    <w:p w:rsidR="0079567F" w:rsidRPr="00715F8C" w:rsidRDefault="0079567F">
      <w:pPr>
        <w:pStyle w:val="FootnoteText"/>
        <w:rPr>
          <w:lang w:val="en-US"/>
        </w:rPr>
      </w:pPr>
      <w:r>
        <w:rPr>
          <w:rStyle w:val="FootnoteReference"/>
        </w:rPr>
        <w:footnoteRef/>
      </w:r>
      <w:r>
        <w:t xml:space="preserve"> </w:t>
      </w:r>
      <w:r>
        <w:rPr>
          <w:lang w:val="en-US"/>
        </w:rPr>
        <w:t>The court order was dated 5 September 2011.</w:t>
      </w:r>
    </w:p>
  </w:footnote>
  <w:footnote w:id="11">
    <w:p w:rsidR="0079567F" w:rsidRPr="00715F8C" w:rsidRDefault="0079567F">
      <w:pPr>
        <w:pStyle w:val="FootnoteText"/>
        <w:rPr>
          <w:lang w:val="en-US"/>
        </w:rPr>
      </w:pPr>
      <w:r>
        <w:rPr>
          <w:rStyle w:val="FootnoteReference"/>
        </w:rPr>
        <w:footnoteRef/>
      </w:r>
      <w:r>
        <w:t xml:space="preserve"> Record: p 23, paras 39 and 40 FA.</w:t>
      </w:r>
    </w:p>
  </w:footnote>
  <w:footnote w:id="12">
    <w:p w:rsidR="0079567F" w:rsidRPr="007F4317" w:rsidRDefault="0079567F">
      <w:pPr>
        <w:pStyle w:val="FootnoteText"/>
        <w:rPr>
          <w:lang w:val="en-US"/>
        </w:rPr>
      </w:pPr>
      <w:r>
        <w:rPr>
          <w:rStyle w:val="FootnoteReference"/>
        </w:rPr>
        <w:footnoteRef/>
      </w:r>
      <w:r>
        <w:t xml:space="preserve"> </w:t>
      </w:r>
      <w:r>
        <w:rPr>
          <w:lang w:val="en-US"/>
        </w:rPr>
        <w:t>Record: p 130, para 39 AA.</w:t>
      </w:r>
    </w:p>
  </w:footnote>
  <w:footnote w:id="13">
    <w:p w:rsidR="0079567F" w:rsidRPr="00FC5D69" w:rsidRDefault="0079567F">
      <w:pPr>
        <w:pStyle w:val="FootnoteText"/>
        <w:rPr>
          <w:lang w:val="en-US"/>
        </w:rPr>
      </w:pPr>
      <w:r>
        <w:rPr>
          <w:rStyle w:val="FootnoteReference"/>
        </w:rPr>
        <w:footnoteRef/>
      </w:r>
      <w:r>
        <w:t xml:space="preserve"> The Land Use Planning Ordinance, 1985, which was applicable at the time (has since been repealed) and required, </w:t>
      </w:r>
      <w:r w:rsidRPr="00475297">
        <w:rPr>
          <w:i/>
        </w:rPr>
        <w:t>inter alia</w:t>
      </w:r>
      <w:r>
        <w:t>, that the sub-division and rezoning be confirmed within 5 years of the approval, failing which such approval would be deemed to have lapsed.</w:t>
      </w:r>
    </w:p>
  </w:footnote>
  <w:footnote w:id="14">
    <w:p w:rsidR="0079567F" w:rsidRPr="00D32A79" w:rsidRDefault="0079567F">
      <w:pPr>
        <w:pStyle w:val="FootnoteText"/>
        <w:rPr>
          <w:lang w:val="en-US"/>
        </w:rPr>
      </w:pPr>
      <w:r>
        <w:rPr>
          <w:rStyle w:val="FootnoteReference"/>
        </w:rPr>
        <w:footnoteRef/>
      </w:r>
      <w:r>
        <w:t xml:space="preserve"> </w:t>
      </w:r>
      <w:r>
        <w:rPr>
          <w:lang w:val="en-US"/>
        </w:rPr>
        <w:t>2012 (4) SA 593 (SCA) at para 18.</w:t>
      </w:r>
    </w:p>
  </w:footnote>
  <w:footnote w:id="15">
    <w:p w:rsidR="0079567F" w:rsidRPr="0052283A" w:rsidRDefault="0079567F">
      <w:pPr>
        <w:pStyle w:val="FootnoteText"/>
        <w:rPr>
          <w:lang w:val="en-US"/>
        </w:rPr>
      </w:pPr>
      <w:r>
        <w:rPr>
          <w:rStyle w:val="FootnoteReference"/>
        </w:rPr>
        <w:footnoteRef/>
      </w:r>
      <w:r>
        <w:t xml:space="preserve"> In </w:t>
      </w:r>
      <w:r w:rsidRPr="0052283A">
        <w:rPr>
          <w:i/>
          <w:lang w:val="en-US"/>
        </w:rPr>
        <w:t>Bothma-Batho Transport (Edms) BPK v Bothma en Seun Transports (Edms) Bpk</w:t>
      </w:r>
      <w:r>
        <w:rPr>
          <w:lang w:val="en-US"/>
        </w:rPr>
        <w:t xml:space="preserve"> 2014 (2) SA 494 at para 12.</w:t>
      </w:r>
    </w:p>
  </w:footnote>
  <w:footnote w:id="16">
    <w:p w:rsidR="0079567F" w:rsidRPr="00802547" w:rsidRDefault="0079567F">
      <w:pPr>
        <w:pStyle w:val="FootnoteText"/>
        <w:rPr>
          <w:lang w:val="en-US"/>
        </w:rPr>
      </w:pPr>
      <w:r>
        <w:rPr>
          <w:rStyle w:val="FootnoteReference"/>
        </w:rPr>
        <w:footnoteRef/>
      </w:r>
      <w:r>
        <w:t xml:space="preserve"> </w:t>
      </w:r>
      <w:r w:rsidR="004D030B">
        <w:t xml:space="preserve">In </w:t>
      </w:r>
      <w:r w:rsidRPr="004D030B">
        <w:rPr>
          <w:i/>
          <w:lang w:val="en-US"/>
        </w:rPr>
        <w:t>Comwezi Security Services (Pty) Ltd &amp; Another v Cape Empowerment Trust Limited</w:t>
      </w:r>
      <w:r w:rsidR="004D030B">
        <w:rPr>
          <w:lang w:val="en-US"/>
        </w:rPr>
        <w:t xml:space="preserve"> (759/11) [2012] ZASCA 126 (21 September 2012).</w:t>
      </w:r>
    </w:p>
  </w:footnote>
  <w:footnote w:id="17">
    <w:p w:rsidR="0079567F" w:rsidRDefault="0079567F" w:rsidP="00802547">
      <w:pPr>
        <w:pStyle w:val="FootnoteText"/>
        <w:jc w:val="both"/>
      </w:pPr>
      <w:r>
        <w:rPr>
          <w:rStyle w:val="FootnoteReference"/>
        </w:rPr>
        <w:footnoteRef/>
      </w:r>
      <w:r>
        <w:t xml:space="preserve"> </w:t>
      </w:r>
      <w:r>
        <w:rPr>
          <w:i/>
        </w:rPr>
        <w:t xml:space="preserve">Shill v Milner </w:t>
      </w:r>
      <w:r>
        <w:t xml:space="preserve">1937 AD 101 at 110-111; </w:t>
      </w:r>
      <w:r>
        <w:rPr>
          <w:i/>
        </w:rPr>
        <w:t xml:space="preserve">Shacklock v Shacklock </w:t>
      </w:r>
      <w:r>
        <w:t xml:space="preserve">1949 (1) SA 91 (A) at 101; </w:t>
      </w:r>
      <w:r>
        <w:rPr>
          <w:i/>
        </w:rPr>
        <w:t>MTK Saagmeule (Pty) Ltd v Killyman Estates (Pty) Ltd</w:t>
      </w:r>
      <w:r>
        <w:t xml:space="preserve"> 1980 (3) SA 1 (A) at 12F-H. (759/2011) [2012] ZASCA 126 (21 September 2012).</w:t>
      </w:r>
    </w:p>
  </w:footnote>
  <w:footnote w:id="18">
    <w:p w:rsidR="0079567F" w:rsidRDefault="0079567F" w:rsidP="00802547">
      <w:pPr>
        <w:pStyle w:val="FootnoteText"/>
        <w:jc w:val="both"/>
      </w:pPr>
      <w:r>
        <w:rPr>
          <w:rStyle w:val="FootnoteReference"/>
        </w:rPr>
        <w:footnoteRef/>
      </w:r>
      <w:r>
        <w:t xml:space="preserve"> Formerly it was said that ‘background circumstances’ were always admissible to provide context, but ‘surrounding circumstances’ could only be considered if there was ambiguity. That distinction was swept away in </w:t>
      </w:r>
      <w:r>
        <w:rPr>
          <w:i/>
        </w:rPr>
        <w:t xml:space="preserve">KPMG Chartered Accountants (SA) v Securefin Ltd &amp; another </w:t>
      </w:r>
      <w:r>
        <w:t>2009 (4) SA 399 (SCA) para 39.</w:t>
      </w:r>
      <w:r>
        <w:rPr>
          <w:i/>
        </w:rPr>
        <w:t xml:space="preserve"> </w:t>
      </w:r>
    </w:p>
  </w:footnote>
  <w:footnote w:id="19">
    <w:p w:rsidR="0079567F" w:rsidRPr="00FC0D3A" w:rsidRDefault="0079567F">
      <w:pPr>
        <w:pStyle w:val="FootnoteText"/>
        <w:rPr>
          <w:lang w:val="en-US"/>
        </w:rPr>
      </w:pPr>
      <w:r>
        <w:rPr>
          <w:rStyle w:val="FootnoteReference"/>
        </w:rPr>
        <w:footnoteRef/>
      </w:r>
      <w:r>
        <w:t xml:space="preserve"> </w:t>
      </w:r>
      <w:r w:rsidRPr="00C3476D">
        <w:rPr>
          <w:i/>
        </w:rPr>
        <w:t>Hyprop Investments v Shoprite Checkers</w:t>
      </w:r>
      <w:r>
        <w:t xml:space="preserve"> (315/10) [2011] ZASCA 51 (30 March 2011) at para 12.</w:t>
      </w:r>
    </w:p>
  </w:footnote>
  <w:footnote w:id="20">
    <w:p w:rsidR="0079567F" w:rsidRPr="00C3476D" w:rsidRDefault="0079567F">
      <w:pPr>
        <w:pStyle w:val="FootnoteText"/>
        <w:rPr>
          <w:lang w:val="en-US"/>
        </w:rPr>
      </w:pPr>
      <w:r>
        <w:rPr>
          <w:rStyle w:val="FootnoteReference"/>
        </w:rPr>
        <w:footnoteRef/>
      </w:r>
      <w:r>
        <w:t xml:space="preserve"> </w:t>
      </w:r>
      <w:r w:rsidRPr="00FC0D3A">
        <w:rPr>
          <w:i/>
          <w:lang w:val="en-US"/>
        </w:rPr>
        <w:t>Portion 1 of 46 Wadeville (Pty) Ltd v Unity Cutlery (Pty) Ltd &amp; Others</w:t>
      </w:r>
      <w:r>
        <w:rPr>
          <w:lang w:val="en-US"/>
        </w:rPr>
        <w:t xml:space="preserve"> 1984 (1) SA 61 (A) at 70 C – D.</w:t>
      </w:r>
    </w:p>
  </w:footnote>
  <w:footnote w:id="21">
    <w:p w:rsidR="0079567F" w:rsidRPr="00F12C57" w:rsidRDefault="0079567F">
      <w:pPr>
        <w:pStyle w:val="FootnoteText"/>
        <w:rPr>
          <w:lang w:val="en-US"/>
        </w:rPr>
      </w:pPr>
      <w:r>
        <w:rPr>
          <w:rStyle w:val="FootnoteReference"/>
        </w:rPr>
        <w:footnoteRef/>
      </w:r>
      <w:r>
        <w:t xml:space="preserve"> 2022 (1) SA 100 (SCA) at para 25.</w:t>
      </w:r>
    </w:p>
  </w:footnote>
  <w:footnote w:id="22">
    <w:p w:rsidR="0079567F" w:rsidRPr="005D56D6" w:rsidRDefault="0079567F">
      <w:pPr>
        <w:pStyle w:val="FootnoteText"/>
        <w:rPr>
          <w:lang w:val="en-US"/>
        </w:rPr>
      </w:pPr>
      <w:r>
        <w:rPr>
          <w:rStyle w:val="FootnoteReference"/>
        </w:rPr>
        <w:footnoteRef/>
      </w:r>
      <w:r>
        <w:t xml:space="preserve"> </w:t>
      </w:r>
      <w:r>
        <w:rPr>
          <w:lang w:val="en-US"/>
        </w:rPr>
        <w:t>2016 (3) SA 37 (CC); 2015 (11) BCLR 1319 (CC).</w:t>
      </w:r>
    </w:p>
  </w:footnote>
  <w:footnote w:id="23">
    <w:p w:rsidR="0079567F" w:rsidRDefault="0079567F" w:rsidP="0079567F">
      <w:pPr>
        <w:pStyle w:val="FootnoteText"/>
      </w:pPr>
      <w:r>
        <w:rPr>
          <w:rStyle w:val="FootnoteReference"/>
        </w:rPr>
        <w:footnoteRef/>
      </w:r>
      <w:r>
        <w:t xml:space="preserve"> Making reference to </w:t>
      </w:r>
      <w:r>
        <w:rPr>
          <w:i/>
        </w:rPr>
        <w:t>Finishing Touch 163 (Pty) Ltd v BHP Billiton Energy Coal South Africa Ltd and Others</w:t>
      </w:r>
      <w:r>
        <w:t xml:space="preserve"> [2012] ZASCA 49; 2013 (2) SA 204 (SCA) (</w:t>
      </w:r>
      <w:r>
        <w:rPr>
          <w:i/>
        </w:rPr>
        <w:t>Finishing Touch 163</w:t>
      </w:r>
      <w:r>
        <w:t>)</w:t>
      </w:r>
      <w:r>
        <w:rPr>
          <w:i/>
        </w:rPr>
        <w:t xml:space="preserve"> </w:t>
      </w:r>
      <w:r>
        <w:t xml:space="preserve">at para 13.  See also </w:t>
      </w:r>
      <w:r>
        <w:rPr>
          <w:i/>
        </w:rPr>
        <w:t>Firestone South Africa (Pty) Ltd v Genticuro AG</w:t>
      </w:r>
      <w:r>
        <w:t xml:space="preserve"> 1977 (4) SA 298 (A).</w:t>
      </w:r>
    </w:p>
  </w:footnote>
  <w:footnote w:id="24">
    <w:p w:rsidR="0079567F" w:rsidRDefault="0079567F" w:rsidP="0079567F">
      <w:pPr>
        <w:pStyle w:val="FootnoteText"/>
      </w:pPr>
      <w:r>
        <w:rPr>
          <w:rStyle w:val="FootnoteReference"/>
        </w:rPr>
        <w:footnoteRef/>
      </w:r>
      <w:r>
        <w:t xml:space="preserve"> With reference to </w:t>
      </w:r>
      <w:r>
        <w:rPr>
          <w:i/>
        </w:rPr>
        <w:t xml:space="preserve">Engelbrecht and Another v Senwes Ltd </w:t>
      </w:r>
      <w:r w:rsidRPr="007C28A1">
        <w:t>[2006] ZASCA 138</w:t>
      </w:r>
      <w:r>
        <w:t>; 2007 (3) SA 29 (SCA) at paras 6-7.</w:t>
      </w:r>
    </w:p>
  </w:footnote>
  <w:footnote w:id="25">
    <w:p w:rsidR="00071A2D" w:rsidRDefault="00071A2D" w:rsidP="00071A2D">
      <w:pPr>
        <w:pStyle w:val="FootnoteText"/>
      </w:pPr>
      <w:r>
        <w:rPr>
          <w:rStyle w:val="FootnoteReference"/>
        </w:rPr>
        <w:footnoteRef/>
      </w:r>
      <w:r>
        <w:t xml:space="preserve"> The principle is that generally parties may not again litigate on the same matter once it has been determined on the merits.</w:t>
      </w:r>
    </w:p>
  </w:footnote>
  <w:footnote w:id="26">
    <w:p w:rsidR="00404789" w:rsidRPr="00404789" w:rsidRDefault="00404789">
      <w:pPr>
        <w:pStyle w:val="FootnoteText"/>
        <w:rPr>
          <w:lang w:val="en-US"/>
        </w:rPr>
      </w:pPr>
      <w:r>
        <w:rPr>
          <w:rStyle w:val="FootnoteReference"/>
        </w:rPr>
        <w:footnoteRef/>
      </w:r>
      <w:r>
        <w:t xml:space="preserve"> </w:t>
      </w:r>
      <w:r w:rsidRPr="00404789">
        <w:rPr>
          <w:i/>
          <w:lang w:val="en-US"/>
        </w:rPr>
        <w:t>Eke v Parsons supra</w:t>
      </w:r>
      <w:r>
        <w:rPr>
          <w:lang w:val="en-US"/>
        </w:rPr>
        <w:t>, at para [31].</w:t>
      </w:r>
    </w:p>
  </w:footnote>
  <w:footnote w:id="27">
    <w:p w:rsidR="00F14799" w:rsidRPr="00F14799" w:rsidRDefault="00F14799">
      <w:pPr>
        <w:pStyle w:val="FootnoteText"/>
        <w:rPr>
          <w:lang w:val="en-US"/>
        </w:rPr>
      </w:pPr>
      <w:r>
        <w:rPr>
          <w:rStyle w:val="FootnoteReference"/>
        </w:rPr>
        <w:footnoteRef/>
      </w:r>
      <w:r>
        <w:t xml:space="preserve"> </w:t>
      </w:r>
      <w:r w:rsidRPr="00DF63B0">
        <w:rPr>
          <w:i/>
          <w:lang w:val="en-US"/>
        </w:rPr>
        <w:t>Department of Transport v Tasima</w:t>
      </w:r>
      <w:r>
        <w:rPr>
          <w:lang w:val="en-US"/>
        </w:rPr>
        <w:t xml:space="preserve"> 2017 (2) 622 (CC) paras 179 – 183; </w:t>
      </w:r>
      <w:r w:rsidRPr="00DF63B0">
        <w:rPr>
          <w:i/>
          <w:lang w:val="en-US"/>
        </w:rPr>
        <w:t>Victoria Park Rate Payers Association v Greyvenouw</w:t>
      </w:r>
      <w:r w:rsidR="00DF63B0">
        <w:rPr>
          <w:lang w:val="en-US"/>
        </w:rPr>
        <w:t xml:space="preserve"> CC [2004] 3 All SA 623 (SE) para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415C"/>
    <w:multiLevelType w:val="hybridMultilevel"/>
    <w:tmpl w:val="43E623EC"/>
    <w:lvl w:ilvl="0" w:tplc="6A7EF744">
      <w:start w:val="1"/>
      <w:numFmt w:val="bullet"/>
      <w:lvlText w:val="•"/>
      <w:lvlJc w:val="left"/>
      <w:pPr>
        <w:tabs>
          <w:tab w:val="num" w:pos="720"/>
        </w:tabs>
        <w:ind w:left="720" w:hanging="360"/>
      </w:pPr>
      <w:rPr>
        <w:rFonts w:ascii="Arial" w:hAnsi="Arial" w:hint="default"/>
      </w:rPr>
    </w:lvl>
    <w:lvl w:ilvl="1" w:tplc="7A544A9C" w:tentative="1">
      <w:start w:val="1"/>
      <w:numFmt w:val="bullet"/>
      <w:lvlText w:val="•"/>
      <w:lvlJc w:val="left"/>
      <w:pPr>
        <w:tabs>
          <w:tab w:val="num" w:pos="1440"/>
        </w:tabs>
        <w:ind w:left="1440" w:hanging="360"/>
      </w:pPr>
      <w:rPr>
        <w:rFonts w:ascii="Arial" w:hAnsi="Arial" w:hint="default"/>
      </w:rPr>
    </w:lvl>
    <w:lvl w:ilvl="2" w:tplc="9ED0FBA2" w:tentative="1">
      <w:start w:val="1"/>
      <w:numFmt w:val="bullet"/>
      <w:lvlText w:val="•"/>
      <w:lvlJc w:val="left"/>
      <w:pPr>
        <w:tabs>
          <w:tab w:val="num" w:pos="2160"/>
        </w:tabs>
        <w:ind w:left="2160" w:hanging="360"/>
      </w:pPr>
      <w:rPr>
        <w:rFonts w:ascii="Arial" w:hAnsi="Arial" w:hint="default"/>
      </w:rPr>
    </w:lvl>
    <w:lvl w:ilvl="3" w:tplc="07D28436" w:tentative="1">
      <w:start w:val="1"/>
      <w:numFmt w:val="bullet"/>
      <w:lvlText w:val="•"/>
      <w:lvlJc w:val="left"/>
      <w:pPr>
        <w:tabs>
          <w:tab w:val="num" w:pos="2880"/>
        </w:tabs>
        <w:ind w:left="2880" w:hanging="360"/>
      </w:pPr>
      <w:rPr>
        <w:rFonts w:ascii="Arial" w:hAnsi="Arial" w:hint="default"/>
      </w:rPr>
    </w:lvl>
    <w:lvl w:ilvl="4" w:tplc="A76C5A94" w:tentative="1">
      <w:start w:val="1"/>
      <w:numFmt w:val="bullet"/>
      <w:lvlText w:val="•"/>
      <w:lvlJc w:val="left"/>
      <w:pPr>
        <w:tabs>
          <w:tab w:val="num" w:pos="3600"/>
        </w:tabs>
        <w:ind w:left="3600" w:hanging="360"/>
      </w:pPr>
      <w:rPr>
        <w:rFonts w:ascii="Arial" w:hAnsi="Arial" w:hint="default"/>
      </w:rPr>
    </w:lvl>
    <w:lvl w:ilvl="5" w:tplc="673CE3DA" w:tentative="1">
      <w:start w:val="1"/>
      <w:numFmt w:val="bullet"/>
      <w:lvlText w:val="•"/>
      <w:lvlJc w:val="left"/>
      <w:pPr>
        <w:tabs>
          <w:tab w:val="num" w:pos="4320"/>
        </w:tabs>
        <w:ind w:left="4320" w:hanging="360"/>
      </w:pPr>
      <w:rPr>
        <w:rFonts w:ascii="Arial" w:hAnsi="Arial" w:hint="default"/>
      </w:rPr>
    </w:lvl>
    <w:lvl w:ilvl="6" w:tplc="DA5C8240" w:tentative="1">
      <w:start w:val="1"/>
      <w:numFmt w:val="bullet"/>
      <w:lvlText w:val="•"/>
      <w:lvlJc w:val="left"/>
      <w:pPr>
        <w:tabs>
          <w:tab w:val="num" w:pos="5040"/>
        </w:tabs>
        <w:ind w:left="5040" w:hanging="360"/>
      </w:pPr>
      <w:rPr>
        <w:rFonts w:ascii="Arial" w:hAnsi="Arial" w:hint="default"/>
      </w:rPr>
    </w:lvl>
    <w:lvl w:ilvl="7" w:tplc="5816A726" w:tentative="1">
      <w:start w:val="1"/>
      <w:numFmt w:val="bullet"/>
      <w:lvlText w:val="•"/>
      <w:lvlJc w:val="left"/>
      <w:pPr>
        <w:tabs>
          <w:tab w:val="num" w:pos="5760"/>
        </w:tabs>
        <w:ind w:left="5760" w:hanging="360"/>
      </w:pPr>
      <w:rPr>
        <w:rFonts w:ascii="Arial" w:hAnsi="Arial" w:hint="default"/>
      </w:rPr>
    </w:lvl>
    <w:lvl w:ilvl="8" w:tplc="EC2CF69C" w:tentative="1">
      <w:start w:val="1"/>
      <w:numFmt w:val="bullet"/>
      <w:lvlText w:val="•"/>
      <w:lvlJc w:val="left"/>
      <w:pPr>
        <w:tabs>
          <w:tab w:val="num" w:pos="6480"/>
        </w:tabs>
        <w:ind w:left="6480" w:hanging="360"/>
      </w:pPr>
      <w:rPr>
        <w:rFonts w:ascii="Arial" w:hAnsi="Arial" w:hint="default"/>
      </w:rPr>
    </w:lvl>
  </w:abstractNum>
  <w:abstractNum w:abstractNumId="1">
    <w:nsid w:val="01204461"/>
    <w:multiLevelType w:val="hybridMultilevel"/>
    <w:tmpl w:val="9794ACD2"/>
    <w:lvl w:ilvl="0" w:tplc="8B92D9F8">
      <w:start w:val="1"/>
      <w:numFmt w:val="decimal"/>
      <w:lvlText w:val="%1."/>
      <w:lvlJc w:val="left"/>
      <w:pPr>
        <w:ind w:left="1870" w:hanging="360"/>
      </w:pPr>
      <w:rPr>
        <w:rFonts w:hint="default"/>
      </w:rPr>
    </w:lvl>
    <w:lvl w:ilvl="1" w:tplc="1C090019" w:tentative="1">
      <w:start w:val="1"/>
      <w:numFmt w:val="lowerLetter"/>
      <w:lvlText w:val="%2."/>
      <w:lvlJc w:val="left"/>
      <w:pPr>
        <w:ind w:left="2590" w:hanging="360"/>
      </w:pPr>
    </w:lvl>
    <w:lvl w:ilvl="2" w:tplc="1C09001B" w:tentative="1">
      <w:start w:val="1"/>
      <w:numFmt w:val="lowerRoman"/>
      <w:lvlText w:val="%3."/>
      <w:lvlJc w:val="right"/>
      <w:pPr>
        <w:ind w:left="3310" w:hanging="180"/>
      </w:pPr>
    </w:lvl>
    <w:lvl w:ilvl="3" w:tplc="1C09000F" w:tentative="1">
      <w:start w:val="1"/>
      <w:numFmt w:val="decimal"/>
      <w:lvlText w:val="%4."/>
      <w:lvlJc w:val="left"/>
      <w:pPr>
        <w:ind w:left="4030" w:hanging="360"/>
      </w:pPr>
    </w:lvl>
    <w:lvl w:ilvl="4" w:tplc="1C090019" w:tentative="1">
      <w:start w:val="1"/>
      <w:numFmt w:val="lowerLetter"/>
      <w:lvlText w:val="%5."/>
      <w:lvlJc w:val="left"/>
      <w:pPr>
        <w:ind w:left="4750" w:hanging="360"/>
      </w:pPr>
    </w:lvl>
    <w:lvl w:ilvl="5" w:tplc="1C09001B" w:tentative="1">
      <w:start w:val="1"/>
      <w:numFmt w:val="lowerRoman"/>
      <w:lvlText w:val="%6."/>
      <w:lvlJc w:val="right"/>
      <w:pPr>
        <w:ind w:left="5470" w:hanging="180"/>
      </w:pPr>
    </w:lvl>
    <w:lvl w:ilvl="6" w:tplc="1C09000F" w:tentative="1">
      <w:start w:val="1"/>
      <w:numFmt w:val="decimal"/>
      <w:lvlText w:val="%7."/>
      <w:lvlJc w:val="left"/>
      <w:pPr>
        <w:ind w:left="6190" w:hanging="360"/>
      </w:pPr>
    </w:lvl>
    <w:lvl w:ilvl="7" w:tplc="1C090019" w:tentative="1">
      <w:start w:val="1"/>
      <w:numFmt w:val="lowerLetter"/>
      <w:lvlText w:val="%8."/>
      <w:lvlJc w:val="left"/>
      <w:pPr>
        <w:ind w:left="6910" w:hanging="360"/>
      </w:pPr>
    </w:lvl>
    <w:lvl w:ilvl="8" w:tplc="1C09001B" w:tentative="1">
      <w:start w:val="1"/>
      <w:numFmt w:val="lowerRoman"/>
      <w:lvlText w:val="%9."/>
      <w:lvlJc w:val="right"/>
      <w:pPr>
        <w:ind w:left="7630" w:hanging="180"/>
      </w:pPr>
    </w:lvl>
  </w:abstractNum>
  <w:abstractNum w:abstractNumId="2">
    <w:nsid w:val="039F194C"/>
    <w:multiLevelType w:val="multilevel"/>
    <w:tmpl w:val="6136C7C6"/>
    <w:lvl w:ilvl="0">
      <w:start w:val="3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95A7A26"/>
    <w:multiLevelType w:val="hybridMultilevel"/>
    <w:tmpl w:val="4612B14A"/>
    <w:lvl w:ilvl="0" w:tplc="0CD23EA0">
      <w:start w:val="1"/>
      <w:numFmt w:val="decimal"/>
      <w:pStyle w:val="JUDGMENTNUMBERED"/>
      <w:lvlText w:val="[%1]"/>
      <w:lvlJc w:val="left"/>
      <w:pPr>
        <w:ind w:left="1040" w:hanging="360"/>
      </w:pPr>
      <w:rPr>
        <w:rFonts w:ascii="Times New Roman" w:hAnsi="Times New Roman" w:cs="Times New Roman" w:hint="default"/>
        <w:caps w:val="0"/>
        <w:strike w:val="0"/>
        <w:dstrike w:val="0"/>
        <w:vanish w:val="0"/>
        <w:sz w:val="26"/>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3A5D3B"/>
    <w:multiLevelType w:val="hybridMultilevel"/>
    <w:tmpl w:val="607E25A0"/>
    <w:lvl w:ilvl="0" w:tplc="28B05A2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0B3D54AA"/>
    <w:multiLevelType w:val="hybridMultilevel"/>
    <w:tmpl w:val="311084DE"/>
    <w:lvl w:ilvl="0" w:tplc="936E8D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B531655"/>
    <w:multiLevelType w:val="hybridMultilevel"/>
    <w:tmpl w:val="33D60480"/>
    <w:lvl w:ilvl="0" w:tplc="DDA4696E">
      <w:numFmt w:val="bullet"/>
      <w:lvlText w:val="-"/>
      <w:lvlJc w:val="left"/>
      <w:pPr>
        <w:ind w:left="1069" w:hanging="360"/>
      </w:pPr>
      <w:rPr>
        <w:rFonts w:ascii="Arial" w:eastAsia="Times New Roman" w:hAnsi="Arial" w:cs="Arial" w:hint="default"/>
        <w:i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0E73020B"/>
    <w:multiLevelType w:val="multilevel"/>
    <w:tmpl w:val="1578DE50"/>
    <w:lvl w:ilvl="0">
      <w:start w:val="31"/>
      <w:numFmt w:val="decimal"/>
      <w:lvlText w:val="%1"/>
      <w:lvlJc w:val="left"/>
      <w:pPr>
        <w:ind w:left="460" w:hanging="460"/>
      </w:pPr>
      <w:rPr>
        <w:rFonts w:hint="default"/>
      </w:rPr>
    </w:lvl>
    <w:lvl w:ilvl="1">
      <w:start w:val="1"/>
      <w:numFmt w:val="decimal"/>
      <w:lvlText w:val="%1.%2"/>
      <w:lvlJc w:val="left"/>
      <w:pPr>
        <w:ind w:left="1640" w:hanging="460"/>
      </w:pPr>
      <w:rPr>
        <w:rFonts w:hint="default"/>
      </w:rPr>
    </w:lvl>
    <w:lvl w:ilvl="2">
      <w:start w:val="1"/>
      <w:numFmt w:val="decimal"/>
      <w:lvlText w:val="%1.%2.%3"/>
      <w:lvlJc w:val="left"/>
      <w:pPr>
        <w:ind w:left="3080" w:hanging="720"/>
      </w:pPr>
      <w:rPr>
        <w:rFonts w:hint="default"/>
      </w:rPr>
    </w:lvl>
    <w:lvl w:ilvl="3">
      <w:start w:val="1"/>
      <w:numFmt w:val="decimal"/>
      <w:lvlText w:val="%1.%2.%3.%4"/>
      <w:lvlJc w:val="left"/>
      <w:pPr>
        <w:ind w:left="4620" w:hanging="1080"/>
      </w:pPr>
      <w:rPr>
        <w:rFonts w:hint="default"/>
      </w:rPr>
    </w:lvl>
    <w:lvl w:ilvl="4">
      <w:start w:val="1"/>
      <w:numFmt w:val="decimal"/>
      <w:lvlText w:val="%1.%2.%3.%4.%5"/>
      <w:lvlJc w:val="left"/>
      <w:pPr>
        <w:ind w:left="5800" w:hanging="1080"/>
      </w:pPr>
      <w:rPr>
        <w:rFonts w:hint="default"/>
      </w:rPr>
    </w:lvl>
    <w:lvl w:ilvl="5">
      <w:start w:val="1"/>
      <w:numFmt w:val="decimal"/>
      <w:lvlText w:val="%1.%2.%3.%4.%5.%6"/>
      <w:lvlJc w:val="left"/>
      <w:pPr>
        <w:ind w:left="7340" w:hanging="1440"/>
      </w:pPr>
      <w:rPr>
        <w:rFonts w:hint="default"/>
      </w:rPr>
    </w:lvl>
    <w:lvl w:ilvl="6">
      <w:start w:val="1"/>
      <w:numFmt w:val="decimal"/>
      <w:lvlText w:val="%1.%2.%3.%4.%5.%6.%7"/>
      <w:lvlJc w:val="left"/>
      <w:pPr>
        <w:ind w:left="8520" w:hanging="1440"/>
      </w:pPr>
      <w:rPr>
        <w:rFonts w:hint="default"/>
      </w:rPr>
    </w:lvl>
    <w:lvl w:ilvl="7">
      <w:start w:val="1"/>
      <w:numFmt w:val="decimal"/>
      <w:lvlText w:val="%1.%2.%3.%4.%5.%6.%7.%8"/>
      <w:lvlJc w:val="left"/>
      <w:pPr>
        <w:ind w:left="10060" w:hanging="1800"/>
      </w:pPr>
      <w:rPr>
        <w:rFonts w:hint="default"/>
      </w:rPr>
    </w:lvl>
    <w:lvl w:ilvl="8">
      <w:start w:val="1"/>
      <w:numFmt w:val="decimal"/>
      <w:lvlText w:val="%1.%2.%3.%4.%5.%6.%7.%8.%9"/>
      <w:lvlJc w:val="left"/>
      <w:pPr>
        <w:ind w:left="11240" w:hanging="1800"/>
      </w:pPr>
      <w:rPr>
        <w:rFonts w:hint="default"/>
      </w:rPr>
    </w:lvl>
  </w:abstractNum>
  <w:abstractNum w:abstractNumId="8">
    <w:nsid w:val="131B18F6"/>
    <w:multiLevelType w:val="multilevel"/>
    <w:tmpl w:val="8FE84F36"/>
    <w:lvl w:ilvl="0">
      <w:start w:val="31"/>
      <w:numFmt w:val="decimal"/>
      <w:lvlText w:val="%1"/>
      <w:lvlJc w:val="left"/>
      <w:pPr>
        <w:ind w:left="460" w:hanging="460"/>
      </w:pPr>
      <w:rPr>
        <w:rFonts w:hint="default"/>
      </w:rPr>
    </w:lvl>
    <w:lvl w:ilvl="1">
      <w:start w:val="1"/>
      <w:numFmt w:val="decimal"/>
      <w:lvlText w:val="%1.%2"/>
      <w:lvlJc w:val="left"/>
      <w:pPr>
        <w:ind w:left="743" w:hanging="4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nsid w:val="132F2C18"/>
    <w:multiLevelType w:val="hybridMultilevel"/>
    <w:tmpl w:val="11B22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51619A0"/>
    <w:multiLevelType w:val="multilevel"/>
    <w:tmpl w:val="9C7CD9BE"/>
    <w:lvl w:ilvl="0">
      <w:start w:val="6"/>
      <w:numFmt w:val="decimal"/>
      <w:lvlText w:val="%1"/>
      <w:lvlJc w:val="left"/>
      <w:pPr>
        <w:ind w:left="360" w:hanging="360"/>
      </w:pPr>
      <w:rPr>
        <w:rFonts w:hint="default"/>
      </w:rPr>
    </w:lvl>
    <w:lvl w:ilvl="1">
      <w:start w:val="1"/>
      <w:numFmt w:val="decimal"/>
      <w:lvlText w:val="%1.%2"/>
      <w:lvlJc w:val="left"/>
      <w:pPr>
        <w:ind w:left="1850" w:hanging="360"/>
      </w:pPr>
      <w:rPr>
        <w:rFonts w:hint="default"/>
      </w:rPr>
    </w:lvl>
    <w:lvl w:ilvl="2">
      <w:start w:val="1"/>
      <w:numFmt w:val="decimal"/>
      <w:lvlText w:val="%1.%2.%3"/>
      <w:lvlJc w:val="left"/>
      <w:pPr>
        <w:ind w:left="3700" w:hanging="720"/>
      </w:pPr>
      <w:rPr>
        <w:rFonts w:hint="default"/>
      </w:rPr>
    </w:lvl>
    <w:lvl w:ilvl="3">
      <w:start w:val="1"/>
      <w:numFmt w:val="decimal"/>
      <w:lvlText w:val="%1.%2.%3.%4"/>
      <w:lvlJc w:val="left"/>
      <w:pPr>
        <w:ind w:left="5190" w:hanging="720"/>
      </w:pPr>
      <w:rPr>
        <w:rFonts w:hint="default"/>
      </w:rPr>
    </w:lvl>
    <w:lvl w:ilvl="4">
      <w:start w:val="1"/>
      <w:numFmt w:val="decimal"/>
      <w:lvlText w:val="%1.%2.%3.%4.%5"/>
      <w:lvlJc w:val="left"/>
      <w:pPr>
        <w:ind w:left="7040" w:hanging="1080"/>
      </w:pPr>
      <w:rPr>
        <w:rFonts w:hint="default"/>
      </w:rPr>
    </w:lvl>
    <w:lvl w:ilvl="5">
      <w:start w:val="1"/>
      <w:numFmt w:val="decimal"/>
      <w:lvlText w:val="%1.%2.%3.%4.%5.%6"/>
      <w:lvlJc w:val="left"/>
      <w:pPr>
        <w:ind w:left="8530" w:hanging="1080"/>
      </w:pPr>
      <w:rPr>
        <w:rFonts w:hint="default"/>
      </w:rPr>
    </w:lvl>
    <w:lvl w:ilvl="6">
      <w:start w:val="1"/>
      <w:numFmt w:val="decimal"/>
      <w:lvlText w:val="%1.%2.%3.%4.%5.%6.%7"/>
      <w:lvlJc w:val="left"/>
      <w:pPr>
        <w:ind w:left="10380" w:hanging="1440"/>
      </w:pPr>
      <w:rPr>
        <w:rFonts w:hint="default"/>
      </w:rPr>
    </w:lvl>
    <w:lvl w:ilvl="7">
      <w:start w:val="1"/>
      <w:numFmt w:val="decimal"/>
      <w:lvlText w:val="%1.%2.%3.%4.%5.%6.%7.%8"/>
      <w:lvlJc w:val="left"/>
      <w:pPr>
        <w:ind w:left="11870" w:hanging="1440"/>
      </w:pPr>
      <w:rPr>
        <w:rFonts w:hint="default"/>
      </w:rPr>
    </w:lvl>
    <w:lvl w:ilvl="8">
      <w:start w:val="1"/>
      <w:numFmt w:val="decimal"/>
      <w:lvlText w:val="%1.%2.%3.%4.%5.%6.%7.%8.%9"/>
      <w:lvlJc w:val="left"/>
      <w:pPr>
        <w:ind w:left="13720" w:hanging="1800"/>
      </w:pPr>
      <w:rPr>
        <w:rFonts w:hint="default"/>
      </w:rPr>
    </w:lvl>
  </w:abstractNum>
  <w:abstractNum w:abstractNumId="11">
    <w:nsid w:val="18274B19"/>
    <w:multiLevelType w:val="multilevel"/>
    <w:tmpl w:val="A89CFCF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1E5B35E1"/>
    <w:multiLevelType w:val="multilevel"/>
    <w:tmpl w:val="4C70BD16"/>
    <w:lvl w:ilvl="0">
      <w:start w:val="1"/>
      <w:numFmt w:val="decimal"/>
      <w:lvlText w:val="%1."/>
      <w:lvlJc w:val="left"/>
      <w:pPr>
        <w:ind w:left="1080" w:hanging="360"/>
      </w:pPr>
      <w:rPr>
        <w:rFonts w:hint="default"/>
        <w:i w:val="0"/>
      </w:rPr>
    </w:lvl>
    <w:lvl w:ilvl="1">
      <w:start w:val="1"/>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3">
    <w:nsid w:val="21060BA4"/>
    <w:multiLevelType w:val="hybridMultilevel"/>
    <w:tmpl w:val="43FED886"/>
    <w:lvl w:ilvl="0" w:tplc="4C90BAC2">
      <w:numFmt w:val="bullet"/>
      <w:lvlText w:val="-"/>
      <w:lvlJc w:val="left"/>
      <w:pPr>
        <w:ind w:left="1540" w:hanging="360"/>
      </w:pPr>
      <w:rPr>
        <w:rFonts w:ascii="Arial" w:eastAsia="Times New Roman" w:hAnsi="Arial" w:cs="Arial" w:hint="default"/>
      </w:rPr>
    </w:lvl>
    <w:lvl w:ilvl="1" w:tplc="1C090003" w:tentative="1">
      <w:start w:val="1"/>
      <w:numFmt w:val="bullet"/>
      <w:lvlText w:val="o"/>
      <w:lvlJc w:val="left"/>
      <w:pPr>
        <w:ind w:left="2260" w:hanging="360"/>
      </w:pPr>
      <w:rPr>
        <w:rFonts w:ascii="Courier New" w:hAnsi="Courier New" w:cs="Courier New" w:hint="default"/>
      </w:rPr>
    </w:lvl>
    <w:lvl w:ilvl="2" w:tplc="1C090005" w:tentative="1">
      <w:start w:val="1"/>
      <w:numFmt w:val="bullet"/>
      <w:lvlText w:val=""/>
      <w:lvlJc w:val="left"/>
      <w:pPr>
        <w:ind w:left="2980" w:hanging="360"/>
      </w:pPr>
      <w:rPr>
        <w:rFonts w:ascii="Wingdings" w:hAnsi="Wingdings" w:hint="default"/>
      </w:rPr>
    </w:lvl>
    <w:lvl w:ilvl="3" w:tplc="1C090001" w:tentative="1">
      <w:start w:val="1"/>
      <w:numFmt w:val="bullet"/>
      <w:lvlText w:val=""/>
      <w:lvlJc w:val="left"/>
      <w:pPr>
        <w:ind w:left="3700" w:hanging="360"/>
      </w:pPr>
      <w:rPr>
        <w:rFonts w:ascii="Symbol" w:hAnsi="Symbol" w:hint="default"/>
      </w:rPr>
    </w:lvl>
    <w:lvl w:ilvl="4" w:tplc="1C090003" w:tentative="1">
      <w:start w:val="1"/>
      <w:numFmt w:val="bullet"/>
      <w:lvlText w:val="o"/>
      <w:lvlJc w:val="left"/>
      <w:pPr>
        <w:ind w:left="4420" w:hanging="360"/>
      </w:pPr>
      <w:rPr>
        <w:rFonts w:ascii="Courier New" w:hAnsi="Courier New" w:cs="Courier New" w:hint="default"/>
      </w:rPr>
    </w:lvl>
    <w:lvl w:ilvl="5" w:tplc="1C090005" w:tentative="1">
      <w:start w:val="1"/>
      <w:numFmt w:val="bullet"/>
      <w:lvlText w:val=""/>
      <w:lvlJc w:val="left"/>
      <w:pPr>
        <w:ind w:left="5140" w:hanging="360"/>
      </w:pPr>
      <w:rPr>
        <w:rFonts w:ascii="Wingdings" w:hAnsi="Wingdings" w:hint="default"/>
      </w:rPr>
    </w:lvl>
    <w:lvl w:ilvl="6" w:tplc="1C090001" w:tentative="1">
      <w:start w:val="1"/>
      <w:numFmt w:val="bullet"/>
      <w:lvlText w:val=""/>
      <w:lvlJc w:val="left"/>
      <w:pPr>
        <w:ind w:left="5860" w:hanging="360"/>
      </w:pPr>
      <w:rPr>
        <w:rFonts w:ascii="Symbol" w:hAnsi="Symbol" w:hint="default"/>
      </w:rPr>
    </w:lvl>
    <w:lvl w:ilvl="7" w:tplc="1C090003" w:tentative="1">
      <w:start w:val="1"/>
      <w:numFmt w:val="bullet"/>
      <w:lvlText w:val="o"/>
      <w:lvlJc w:val="left"/>
      <w:pPr>
        <w:ind w:left="6580" w:hanging="360"/>
      </w:pPr>
      <w:rPr>
        <w:rFonts w:ascii="Courier New" w:hAnsi="Courier New" w:cs="Courier New" w:hint="default"/>
      </w:rPr>
    </w:lvl>
    <w:lvl w:ilvl="8" w:tplc="1C090005" w:tentative="1">
      <w:start w:val="1"/>
      <w:numFmt w:val="bullet"/>
      <w:lvlText w:val=""/>
      <w:lvlJc w:val="left"/>
      <w:pPr>
        <w:ind w:left="7300" w:hanging="360"/>
      </w:pPr>
      <w:rPr>
        <w:rFonts w:ascii="Wingdings" w:hAnsi="Wingdings" w:hint="default"/>
      </w:rPr>
    </w:lvl>
  </w:abstractNum>
  <w:abstractNum w:abstractNumId="14">
    <w:nsid w:val="23786F02"/>
    <w:multiLevelType w:val="multilevel"/>
    <w:tmpl w:val="D4BE12AC"/>
    <w:lvl w:ilvl="0">
      <w:start w:val="31"/>
      <w:numFmt w:val="decimal"/>
      <w:lvlText w:val="%1"/>
      <w:lvlJc w:val="left"/>
      <w:pPr>
        <w:ind w:left="460" w:hanging="460"/>
      </w:pPr>
      <w:rPr>
        <w:rFonts w:hint="default"/>
      </w:rPr>
    </w:lvl>
    <w:lvl w:ilvl="1">
      <w:start w:val="1"/>
      <w:numFmt w:val="decimal"/>
      <w:lvlText w:val="%1.%2"/>
      <w:lvlJc w:val="left"/>
      <w:pPr>
        <w:ind w:left="743" w:hanging="4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5">
    <w:nsid w:val="27CA1E42"/>
    <w:multiLevelType w:val="hybridMultilevel"/>
    <w:tmpl w:val="034E373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29B706F7"/>
    <w:multiLevelType w:val="hybridMultilevel"/>
    <w:tmpl w:val="A35EF3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C806678"/>
    <w:multiLevelType w:val="hybridMultilevel"/>
    <w:tmpl w:val="F98AB8B0"/>
    <w:lvl w:ilvl="0" w:tplc="2E106780">
      <w:start w:val="3"/>
      <w:numFmt w:val="bullet"/>
      <w:lvlText w:val="-"/>
      <w:lvlJc w:val="left"/>
      <w:pPr>
        <w:ind w:left="1150" w:hanging="360"/>
      </w:pPr>
      <w:rPr>
        <w:rFonts w:ascii="Times New Roman" w:eastAsia="Times New Roman" w:hAnsi="Times New Roman" w:cs="Times New Roman"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8">
    <w:nsid w:val="2CA5600E"/>
    <w:multiLevelType w:val="hybridMultilevel"/>
    <w:tmpl w:val="F0F22FF2"/>
    <w:lvl w:ilvl="0" w:tplc="9A58BA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2D152F9E"/>
    <w:multiLevelType w:val="multilevel"/>
    <w:tmpl w:val="005034D4"/>
    <w:lvl w:ilvl="0">
      <w:start w:val="10"/>
      <w:numFmt w:val="decimal"/>
      <w:lvlText w:val="%1"/>
      <w:lvlJc w:val="left"/>
      <w:pPr>
        <w:ind w:left="390" w:hanging="390"/>
      </w:pPr>
      <w:rPr>
        <w:rFonts w:hint="default"/>
      </w:rPr>
    </w:lvl>
    <w:lvl w:ilvl="1">
      <w:start w:val="6"/>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0">
    <w:nsid w:val="30A849FF"/>
    <w:multiLevelType w:val="hybridMultilevel"/>
    <w:tmpl w:val="5DA04098"/>
    <w:lvl w:ilvl="0" w:tplc="18526B7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5B80891"/>
    <w:multiLevelType w:val="multilevel"/>
    <w:tmpl w:val="947273DE"/>
    <w:lvl w:ilvl="0">
      <w:start w:val="1"/>
      <w:numFmt w:val="decimal"/>
      <w:lvlText w:val="[%1]"/>
      <w:lvlJc w:val="left"/>
      <w:pPr>
        <w:ind w:left="863" w:hanging="360"/>
      </w:pPr>
      <w:rPr>
        <w:rFonts w:hint="default"/>
        <w:i w:val="0"/>
        <w:sz w:val="24"/>
      </w:rPr>
    </w:lvl>
    <w:lvl w:ilvl="1">
      <w:start w:val="1"/>
      <w:numFmt w:val="decimal"/>
      <w:isLgl/>
      <w:lvlText w:val="%2."/>
      <w:lvlJc w:val="left"/>
      <w:pPr>
        <w:ind w:left="1273" w:hanging="410"/>
      </w:pPr>
      <w:rPr>
        <w:rFonts w:ascii="Arial" w:eastAsiaTheme="minorHAnsi" w:hAnsi="Arial" w:cs="Arial"/>
      </w:rPr>
    </w:lvl>
    <w:lvl w:ilvl="2">
      <w:start w:val="1"/>
      <w:numFmt w:val="decimal"/>
      <w:isLgl/>
      <w:lvlText w:val="%1.%2.%3"/>
      <w:lvlJc w:val="left"/>
      <w:pPr>
        <w:ind w:left="1943" w:hanging="720"/>
      </w:pPr>
      <w:rPr>
        <w:rFonts w:hint="default"/>
      </w:rPr>
    </w:lvl>
    <w:lvl w:ilvl="3">
      <w:start w:val="1"/>
      <w:numFmt w:val="decimal"/>
      <w:isLgl/>
      <w:lvlText w:val="%1.%2.%3.%4"/>
      <w:lvlJc w:val="left"/>
      <w:pPr>
        <w:ind w:left="2663" w:hanging="1080"/>
      </w:pPr>
      <w:rPr>
        <w:rFonts w:hint="default"/>
      </w:rPr>
    </w:lvl>
    <w:lvl w:ilvl="4">
      <w:start w:val="1"/>
      <w:numFmt w:val="decimal"/>
      <w:isLgl/>
      <w:lvlText w:val="%1.%2.%3.%4.%5"/>
      <w:lvlJc w:val="left"/>
      <w:pPr>
        <w:ind w:left="3023" w:hanging="1080"/>
      </w:pPr>
      <w:rPr>
        <w:rFonts w:hint="default"/>
      </w:rPr>
    </w:lvl>
    <w:lvl w:ilvl="5">
      <w:start w:val="1"/>
      <w:numFmt w:val="decimal"/>
      <w:isLgl/>
      <w:lvlText w:val="%1.%2.%3.%4.%5.%6"/>
      <w:lvlJc w:val="left"/>
      <w:pPr>
        <w:ind w:left="3743" w:hanging="1440"/>
      </w:pPr>
      <w:rPr>
        <w:rFonts w:hint="default"/>
      </w:rPr>
    </w:lvl>
    <w:lvl w:ilvl="6">
      <w:start w:val="1"/>
      <w:numFmt w:val="decimal"/>
      <w:isLgl/>
      <w:lvlText w:val="%1.%2.%3.%4.%5.%6.%7"/>
      <w:lvlJc w:val="left"/>
      <w:pPr>
        <w:ind w:left="4103" w:hanging="1440"/>
      </w:pPr>
      <w:rPr>
        <w:rFonts w:hint="default"/>
      </w:rPr>
    </w:lvl>
    <w:lvl w:ilvl="7">
      <w:start w:val="1"/>
      <w:numFmt w:val="decimal"/>
      <w:isLgl/>
      <w:lvlText w:val="%1.%2.%3.%4.%5.%6.%7.%8"/>
      <w:lvlJc w:val="left"/>
      <w:pPr>
        <w:ind w:left="4823" w:hanging="1800"/>
      </w:pPr>
      <w:rPr>
        <w:rFonts w:hint="default"/>
      </w:rPr>
    </w:lvl>
    <w:lvl w:ilvl="8">
      <w:start w:val="1"/>
      <w:numFmt w:val="decimal"/>
      <w:isLgl/>
      <w:lvlText w:val="%1.%2.%3.%4.%5.%6.%7.%8.%9"/>
      <w:lvlJc w:val="left"/>
      <w:pPr>
        <w:ind w:left="5183" w:hanging="1800"/>
      </w:pPr>
      <w:rPr>
        <w:rFonts w:hint="default"/>
      </w:rPr>
    </w:lvl>
  </w:abstractNum>
  <w:abstractNum w:abstractNumId="22">
    <w:nsid w:val="36A04A7E"/>
    <w:multiLevelType w:val="hybridMultilevel"/>
    <w:tmpl w:val="EC204228"/>
    <w:lvl w:ilvl="0" w:tplc="1C09000F">
      <w:start w:val="1"/>
      <w:numFmt w:val="decimal"/>
      <w:lvlText w:val="%1."/>
      <w:lvlJc w:val="left"/>
      <w:pPr>
        <w:ind w:left="1003" w:hanging="360"/>
      </w:pPr>
    </w:lvl>
    <w:lvl w:ilvl="1" w:tplc="1C090019" w:tentative="1">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abstractNum w:abstractNumId="23">
    <w:nsid w:val="376C5B8B"/>
    <w:multiLevelType w:val="multilevel"/>
    <w:tmpl w:val="3E64EC06"/>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86A0A54"/>
    <w:multiLevelType w:val="multilevel"/>
    <w:tmpl w:val="BFA8402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38AA1794"/>
    <w:multiLevelType w:val="hybridMultilevel"/>
    <w:tmpl w:val="BA2A61C4"/>
    <w:lvl w:ilvl="0" w:tplc="F2A4471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95D5AF6"/>
    <w:multiLevelType w:val="hybridMultilevel"/>
    <w:tmpl w:val="5486246E"/>
    <w:lvl w:ilvl="0" w:tplc="7F2AD942">
      <w:numFmt w:val="bullet"/>
      <w:lvlText w:val="-"/>
      <w:lvlJc w:val="left"/>
      <w:pPr>
        <w:ind w:left="1080" w:hanging="360"/>
      </w:pPr>
      <w:rPr>
        <w:rFonts w:ascii="Arial" w:eastAsia="Times New Roman"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AE53194"/>
    <w:multiLevelType w:val="multilevel"/>
    <w:tmpl w:val="70BECABA"/>
    <w:lvl w:ilvl="0">
      <w:start w:val="31"/>
      <w:numFmt w:val="decimal"/>
      <w:lvlText w:val="%1"/>
      <w:lvlJc w:val="left"/>
      <w:pPr>
        <w:ind w:left="460" w:hanging="460"/>
      </w:pPr>
      <w:rPr>
        <w:rFonts w:hint="default"/>
      </w:rPr>
    </w:lvl>
    <w:lvl w:ilvl="1">
      <w:start w:val="1"/>
      <w:numFmt w:val="decimal"/>
      <w:lvlText w:val="%1.%2"/>
      <w:lvlJc w:val="left"/>
      <w:pPr>
        <w:ind w:left="743" w:hanging="4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8">
    <w:nsid w:val="3F2815A9"/>
    <w:multiLevelType w:val="hybridMultilevel"/>
    <w:tmpl w:val="5424510C"/>
    <w:lvl w:ilvl="0" w:tplc="1C09000F">
      <w:start w:val="1"/>
      <w:numFmt w:val="decimal"/>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nsid w:val="3F961750"/>
    <w:multiLevelType w:val="hybridMultilevel"/>
    <w:tmpl w:val="2C2C17F2"/>
    <w:lvl w:ilvl="0" w:tplc="156E6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02B013B"/>
    <w:multiLevelType w:val="hybridMultilevel"/>
    <w:tmpl w:val="8B76CD1E"/>
    <w:lvl w:ilvl="0" w:tplc="F9AE46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40FF2CD3"/>
    <w:multiLevelType w:val="multilevel"/>
    <w:tmpl w:val="A2A40D9C"/>
    <w:lvl w:ilvl="0">
      <w:start w:val="5"/>
      <w:numFmt w:val="decimal"/>
      <w:lvlText w:val="%1"/>
      <w:lvlJc w:val="left"/>
      <w:pPr>
        <w:ind w:left="360" w:hanging="360"/>
      </w:pPr>
      <w:rPr>
        <w:rFonts w:hint="default"/>
      </w:rPr>
    </w:lvl>
    <w:lvl w:ilvl="1">
      <w:start w:val="1"/>
      <w:numFmt w:val="decimal"/>
      <w:lvlText w:val="%1.%2"/>
      <w:lvlJc w:val="left"/>
      <w:pPr>
        <w:ind w:left="1490" w:hanging="36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470" w:hanging="108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7090" w:hanging="144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710" w:hanging="1800"/>
      </w:pPr>
      <w:rPr>
        <w:rFonts w:hint="default"/>
      </w:rPr>
    </w:lvl>
    <w:lvl w:ilvl="8">
      <w:start w:val="1"/>
      <w:numFmt w:val="decimal"/>
      <w:lvlText w:val="%1.%2.%3.%4.%5.%6.%7.%8.%9"/>
      <w:lvlJc w:val="left"/>
      <w:pPr>
        <w:ind w:left="10840" w:hanging="1800"/>
      </w:pPr>
      <w:rPr>
        <w:rFonts w:hint="default"/>
      </w:rPr>
    </w:lvl>
  </w:abstractNum>
  <w:abstractNum w:abstractNumId="32">
    <w:nsid w:val="41077D77"/>
    <w:multiLevelType w:val="hybridMultilevel"/>
    <w:tmpl w:val="AB6A8EC6"/>
    <w:lvl w:ilvl="0" w:tplc="1C090017">
      <w:start w:val="1"/>
      <w:numFmt w:val="lowerLetter"/>
      <w:lvlText w:val="%1)"/>
      <w:lvlJc w:val="left"/>
      <w:pPr>
        <w:ind w:left="2590" w:hanging="360"/>
      </w:pPr>
    </w:lvl>
    <w:lvl w:ilvl="1" w:tplc="1C090019" w:tentative="1">
      <w:start w:val="1"/>
      <w:numFmt w:val="lowerLetter"/>
      <w:lvlText w:val="%2."/>
      <w:lvlJc w:val="left"/>
      <w:pPr>
        <w:ind w:left="3310" w:hanging="360"/>
      </w:pPr>
    </w:lvl>
    <w:lvl w:ilvl="2" w:tplc="1C09001B" w:tentative="1">
      <w:start w:val="1"/>
      <w:numFmt w:val="lowerRoman"/>
      <w:lvlText w:val="%3."/>
      <w:lvlJc w:val="right"/>
      <w:pPr>
        <w:ind w:left="4030" w:hanging="180"/>
      </w:pPr>
    </w:lvl>
    <w:lvl w:ilvl="3" w:tplc="1C09000F" w:tentative="1">
      <w:start w:val="1"/>
      <w:numFmt w:val="decimal"/>
      <w:lvlText w:val="%4."/>
      <w:lvlJc w:val="left"/>
      <w:pPr>
        <w:ind w:left="4750" w:hanging="360"/>
      </w:pPr>
    </w:lvl>
    <w:lvl w:ilvl="4" w:tplc="1C090019" w:tentative="1">
      <w:start w:val="1"/>
      <w:numFmt w:val="lowerLetter"/>
      <w:lvlText w:val="%5."/>
      <w:lvlJc w:val="left"/>
      <w:pPr>
        <w:ind w:left="5470" w:hanging="360"/>
      </w:pPr>
    </w:lvl>
    <w:lvl w:ilvl="5" w:tplc="1C09001B" w:tentative="1">
      <w:start w:val="1"/>
      <w:numFmt w:val="lowerRoman"/>
      <w:lvlText w:val="%6."/>
      <w:lvlJc w:val="right"/>
      <w:pPr>
        <w:ind w:left="6190" w:hanging="180"/>
      </w:pPr>
    </w:lvl>
    <w:lvl w:ilvl="6" w:tplc="1C09000F" w:tentative="1">
      <w:start w:val="1"/>
      <w:numFmt w:val="decimal"/>
      <w:lvlText w:val="%7."/>
      <w:lvlJc w:val="left"/>
      <w:pPr>
        <w:ind w:left="6910" w:hanging="360"/>
      </w:pPr>
    </w:lvl>
    <w:lvl w:ilvl="7" w:tplc="1C090019" w:tentative="1">
      <w:start w:val="1"/>
      <w:numFmt w:val="lowerLetter"/>
      <w:lvlText w:val="%8."/>
      <w:lvlJc w:val="left"/>
      <w:pPr>
        <w:ind w:left="7630" w:hanging="360"/>
      </w:pPr>
    </w:lvl>
    <w:lvl w:ilvl="8" w:tplc="1C09001B" w:tentative="1">
      <w:start w:val="1"/>
      <w:numFmt w:val="lowerRoman"/>
      <w:lvlText w:val="%9."/>
      <w:lvlJc w:val="right"/>
      <w:pPr>
        <w:ind w:left="8350" w:hanging="180"/>
      </w:pPr>
    </w:lvl>
  </w:abstractNum>
  <w:abstractNum w:abstractNumId="33">
    <w:nsid w:val="4133142C"/>
    <w:multiLevelType w:val="hybridMultilevel"/>
    <w:tmpl w:val="C13A7CEE"/>
    <w:lvl w:ilvl="0" w:tplc="777C4C20">
      <w:start w:val="1"/>
      <w:numFmt w:val="lowerLetter"/>
      <w:lvlText w:val="(%1)"/>
      <w:lvlJc w:val="left"/>
      <w:pPr>
        <w:ind w:left="1803" w:hanging="36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34">
    <w:nsid w:val="451E4F8B"/>
    <w:multiLevelType w:val="hybridMultilevel"/>
    <w:tmpl w:val="7C9A8A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4F8C6AEC"/>
    <w:multiLevelType w:val="hybridMultilevel"/>
    <w:tmpl w:val="5A784B6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6">
    <w:nsid w:val="53BF1045"/>
    <w:multiLevelType w:val="multilevel"/>
    <w:tmpl w:val="61A08F2E"/>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7">
    <w:nsid w:val="55FF6A3A"/>
    <w:multiLevelType w:val="hybridMultilevel"/>
    <w:tmpl w:val="D1CAE0A2"/>
    <w:lvl w:ilvl="0" w:tplc="B3649454">
      <w:start w:val="510"/>
      <w:numFmt w:val="decimal"/>
      <w:lvlText w:val="%1"/>
      <w:lvlJc w:val="left"/>
      <w:pPr>
        <w:ind w:left="1490" w:hanging="360"/>
      </w:pPr>
      <w:rPr>
        <w:rFonts w:hint="default"/>
      </w:rPr>
    </w:lvl>
    <w:lvl w:ilvl="1" w:tplc="1C090019" w:tentative="1">
      <w:start w:val="1"/>
      <w:numFmt w:val="lowerLetter"/>
      <w:lvlText w:val="%2."/>
      <w:lvlJc w:val="left"/>
      <w:pPr>
        <w:ind w:left="2210" w:hanging="360"/>
      </w:pPr>
    </w:lvl>
    <w:lvl w:ilvl="2" w:tplc="1C09001B" w:tentative="1">
      <w:start w:val="1"/>
      <w:numFmt w:val="lowerRoman"/>
      <w:lvlText w:val="%3."/>
      <w:lvlJc w:val="right"/>
      <w:pPr>
        <w:ind w:left="2930" w:hanging="180"/>
      </w:pPr>
    </w:lvl>
    <w:lvl w:ilvl="3" w:tplc="1C09000F" w:tentative="1">
      <w:start w:val="1"/>
      <w:numFmt w:val="decimal"/>
      <w:lvlText w:val="%4."/>
      <w:lvlJc w:val="left"/>
      <w:pPr>
        <w:ind w:left="3650" w:hanging="360"/>
      </w:pPr>
    </w:lvl>
    <w:lvl w:ilvl="4" w:tplc="1C090019" w:tentative="1">
      <w:start w:val="1"/>
      <w:numFmt w:val="lowerLetter"/>
      <w:lvlText w:val="%5."/>
      <w:lvlJc w:val="left"/>
      <w:pPr>
        <w:ind w:left="4370" w:hanging="360"/>
      </w:pPr>
    </w:lvl>
    <w:lvl w:ilvl="5" w:tplc="1C09001B" w:tentative="1">
      <w:start w:val="1"/>
      <w:numFmt w:val="lowerRoman"/>
      <w:lvlText w:val="%6."/>
      <w:lvlJc w:val="right"/>
      <w:pPr>
        <w:ind w:left="5090" w:hanging="180"/>
      </w:pPr>
    </w:lvl>
    <w:lvl w:ilvl="6" w:tplc="1C09000F" w:tentative="1">
      <w:start w:val="1"/>
      <w:numFmt w:val="decimal"/>
      <w:lvlText w:val="%7."/>
      <w:lvlJc w:val="left"/>
      <w:pPr>
        <w:ind w:left="5810" w:hanging="360"/>
      </w:pPr>
    </w:lvl>
    <w:lvl w:ilvl="7" w:tplc="1C090019" w:tentative="1">
      <w:start w:val="1"/>
      <w:numFmt w:val="lowerLetter"/>
      <w:lvlText w:val="%8."/>
      <w:lvlJc w:val="left"/>
      <w:pPr>
        <w:ind w:left="6530" w:hanging="360"/>
      </w:pPr>
    </w:lvl>
    <w:lvl w:ilvl="8" w:tplc="1C09001B" w:tentative="1">
      <w:start w:val="1"/>
      <w:numFmt w:val="lowerRoman"/>
      <w:lvlText w:val="%9."/>
      <w:lvlJc w:val="right"/>
      <w:pPr>
        <w:ind w:left="7250" w:hanging="180"/>
      </w:pPr>
    </w:lvl>
  </w:abstractNum>
  <w:abstractNum w:abstractNumId="38">
    <w:nsid w:val="5C5D2C3B"/>
    <w:multiLevelType w:val="hybridMultilevel"/>
    <w:tmpl w:val="FB3278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5D775930"/>
    <w:multiLevelType w:val="multilevel"/>
    <w:tmpl w:val="62CEFC4C"/>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5E373EF6"/>
    <w:multiLevelType w:val="multilevel"/>
    <w:tmpl w:val="F6C446EE"/>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64C70417"/>
    <w:multiLevelType w:val="multilevel"/>
    <w:tmpl w:val="07C21A20"/>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50F36A9"/>
    <w:multiLevelType w:val="hybridMultilevel"/>
    <w:tmpl w:val="39D61668"/>
    <w:lvl w:ilvl="0" w:tplc="BCB643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654D0E1C"/>
    <w:multiLevelType w:val="hybridMultilevel"/>
    <w:tmpl w:val="921813E0"/>
    <w:lvl w:ilvl="0" w:tplc="18EEA9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672C481C"/>
    <w:multiLevelType w:val="multilevel"/>
    <w:tmpl w:val="BC9893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C082AD7"/>
    <w:multiLevelType w:val="hybridMultilevel"/>
    <w:tmpl w:val="E0E099BE"/>
    <w:lvl w:ilvl="0" w:tplc="D0C0E34E">
      <w:start w:val="311"/>
      <w:numFmt w:val="decimal"/>
      <w:lvlText w:val="%1"/>
      <w:lvlJc w:val="left"/>
      <w:pPr>
        <w:ind w:left="1676" w:hanging="390"/>
      </w:pPr>
      <w:rPr>
        <w:rFonts w:hint="default"/>
      </w:rPr>
    </w:lvl>
    <w:lvl w:ilvl="1" w:tplc="1C090019" w:tentative="1">
      <w:start w:val="1"/>
      <w:numFmt w:val="lowerLetter"/>
      <w:lvlText w:val="%2."/>
      <w:lvlJc w:val="left"/>
      <w:pPr>
        <w:ind w:left="2366" w:hanging="360"/>
      </w:pPr>
    </w:lvl>
    <w:lvl w:ilvl="2" w:tplc="1C09001B" w:tentative="1">
      <w:start w:val="1"/>
      <w:numFmt w:val="lowerRoman"/>
      <w:lvlText w:val="%3."/>
      <w:lvlJc w:val="right"/>
      <w:pPr>
        <w:ind w:left="3086" w:hanging="180"/>
      </w:pPr>
    </w:lvl>
    <w:lvl w:ilvl="3" w:tplc="1C09000F" w:tentative="1">
      <w:start w:val="1"/>
      <w:numFmt w:val="decimal"/>
      <w:lvlText w:val="%4."/>
      <w:lvlJc w:val="left"/>
      <w:pPr>
        <w:ind w:left="3806" w:hanging="360"/>
      </w:pPr>
    </w:lvl>
    <w:lvl w:ilvl="4" w:tplc="1C090019" w:tentative="1">
      <w:start w:val="1"/>
      <w:numFmt w:val="lowerLetter"/>
      <w:lvlText w:val="%5."/>
      <w:lvlJc w:val="left"/>
      <w:pPr>
        <w:ind w:left="4526" w:hanging="360"/>
      </w:pPr>
    </w:lvl>
    <w:lvl w:ilvl="5" w:tplc="1C09001B" w:tentative="1">
      <w:start w:val="1"/>
      <w:numFmt w:val="lowerRoman"/>
      <w:lvlText w:val="%6."/>
      <w:lvlJc w:val="right"/>
      <w:pPr>
        <w:ind w:left="5246" w:hanging="180"/>
      </w:pPr>
    </w:lvl>
    <w:lvl w:ilvl="6" w:tplc="1C09000F" w:tentative="1">
      <w:start w:val="1"/>
      <w:numFmt w:val="decimal"/>
      <w:lvlText w:val="%7."/>
      <w:lvlJc w:val="left"/>
      <w:pPr>
        <w:ind w:left="5966" w:hanging="360"/>
      </w:pPr>
    </w:lvl>
    <w:lvl w:ilvl="7" w:tplc="1C090019" w:tentative="1">
      <w:start w:val="1"/>
      <w:numFmt w:val="lowerLetter"/>
      <w:lvlText w:val="%8."/>
      <w:lvlJc w:val="left"/>
      <w:pPr>
        <w:ind w:left="6686" w:hanging="360"/>
      </w:pPr>
    </w:lvl>
    <w:lvl w:ilvl="8" w:tplc="1C09001B" w:tentative="1">
      <w:start w:val="1"/>
      <w:numFmt w:val="lowerRoman"/>
      <w:lvlText w:val="%9."/>
      <w:lvlJc w:val="right"/>
      <w:pPr>
        <w:ind w:left="7406" w:hanging="180"/>
      </w:pPr>
    </w:lvl>
  </w:abstractNum>
  <w:abstractNum w:abstractNumId="46">
    <w:nsid w:val="6C7177DB"/>
    <w:multiLevelType w:val="hybridMultilevel"/>
    <w:tmpl w:val="D2F208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nsid w:val="70651C08"/>
    <w:multiLevelType w:val="multilevel"/>
    <w:tmpl w:val="FB2A0690"/>
    <w:lvl w:ilvl="0">
      <w:start w:val="1"/>
      <w:numFmt w:val="decimal"/>
      <w:lvlText w:val="%1."/>
      <w:lvlJc w:val="left"/>
      <w:pPr>
        <w:ind w:left="720" w:hanging="360"/>
      </w:pPr>
      <w:rPr>
        <w:rFonts w:hint="default"/>
      </w:rPr>
    </w:lvl>
    <w:lvl w:ilvl="1">
      <w:start w:val="1"/>
      <w:numFmt w:val="decimal"/>
      <w:isLgl/>
      <w:lvlText w:val="%2."/>
      <w:lvlJc w:val="left"/>
      <w:pPr>
        <w:ind w:left="1130" w:hanging="410"/>
      </w:pPr>
      <w:rPr>
        <w:rFonts w:ascii="Arial" w:eastAsiaTheme="minorHAnsi"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8">
    <w:nsid w:val="7B7D30BF"/>
    <w:multiLevelType w:val="hybridMultilevel"/>
    <w:tmpl w:val="C30062A6"/>
    <w:lvl w:ilvl="0" w:tplc="3580F11E">
      <w:start w:val="1"/>
      <w:numFmt w:val="decimal"/>
      <w:lvlText w:val="%1."/>
      <w:lvlJc w:val="left"/>
      <w:pPr>
        <w:ind w:left="1069" w:hanging="360"/>
      </w:pPr>
      <w:rPr>
        <w:rFonts w:eastAsiaTheme="minorHAnsi"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9">
    <w:nsid w:val="7EEA2C1A"/>
    <w:multiLevelType w:val="hybridMultilevel"/>
    <w:tmpl w:val="465219D2"/>
    <w:lvl w:ilvl="0" w:tplc="7F2ADC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5"/>
  </w:num>
  <w:num w:numId="6">
    <w:abstractNumId w:val="18"/>
  </w:num>
  <w:num w:numId="7">
    <w:abstractNumId w:val="38"/>
  </w:num>
  <w:num w:numId="8">
    <w:abstractNumId w:val="36"/>
  </w:num>
  <w:num w:numId="9">
    <w:abstractNumId w:val="1"/>
  </w:num>
  <w:num w:numId="10">
    <w:abstractNumId w:val="32"/>
  </w:num>
  <w:num w:numId="11">
    <w:abstractNumId w:val="15"/>
  </w:num>
  <w:num w:numId="12">
    <w:abstractNumId w:val="42"/>
  </w:num>
  <w:num w:numId="13">
    <w:abstractNumId w:val="5"/>
  </w:num>
  <w:num w:numId="14">
    <w:abstractNumId w:val="21"/>
  </w:num>
  <w:num w:numId="15">
    <w:abstractNumId w:val="0"/>
  </w:num>
  <w:num w:numId="16">
    <w:abstractNumId w:val="31"/>
  </w:num>
  <w:num w:numId="17">
    <w:abstractNumId w:val="44"/>
  </w:num>
  <w:num w:numId="18">
    <w:abstractNumId w:val="11"/>
  </w:num>
  <w:num w:numId="19">
    <w:abstractNumId w:val="48"/>
  </w:num>
  <w:num w:numId="20">
    <w:abstractNumId w:val="43"/>
  </w:num>
  <w:num w:numId="21">
    <w:abstractNumId w:val="47"/>
  </w:num>
  <w:num w:numId="22">
    <w:abstractNumId w:val="2"/>
  </w:num>
  <w:num w:numId="23">
    <w:abstractNumId w:val="13"/>
  </w:num>
  <w:num w:numId="24">
    <w:abstractNumId w:val="37"/>
  </w:num>
  <w:num w:numId="25">
    <w:abstractNumId w:val="7"/>
  </w:num>
  <w:num w:numId="26">
    <w:abstractNumId w:val="8"/>
  </w:num>
  <w:num w:numId="27">
    <w:abstractNumId w:val="14"/>
  </w:num>
  <w:num w:numId="28">
    <w:abstractNumId w:val="45"/>
  </w:num>
  <w:num w:numId="29">
    <w:abstractNumId w:val="27"/>
  </w:num>
  <w:num w:numId="30">
    <w:abstractNumId w:val="10"/>
  </w:num>
  <w:num w:numId="31">
    <w:abstractNumId w:val="41"/>
  </w:num>
  <w:num w:numId="32">
    <w:abstractNumId w:val="39"/>
  </w:num>
  <w:num w:numId="33">
    <w:abstractNumId w:val="40"/>
  </w:num>
  <w:num w:numId="34">
    <w:abstractNumId w:val="23"/>
  </w:num>
  <w:num w:numId="35">
    <w:abstractNumId w:val="19"/>
  </w:num>
  <w:num w:numId="36">
    <w:abstractNumId w:val="26"/>
  </w:num>
  <w:num w:numId="37">
    <w:abstractNumId w:val="6"/>
  </w:num>
  <w:num w:numId="38">
    <w:abstractNumId w:val="46"/>
  </w:num>
  <w:num w:numId="39">
    <w:abstractNumId w:val="49"/>
  </w:num>
  <w:num w:numId="40">
    <w:abstractNumId w:val="4"/>
  </w:num>
  <w:num w:numId="41">
    <w:abstractNumId w:val="33"/>
  </w:num>
  <w:num w:numId="42">
    <w:abstractNumId w:val="28"/>
  </w:num>
  <w:num w:numId="43">
    <w:abstractNumId w:val="22"/>
  </w:num>
  <w:num w:numId="44">
    <w:abstractNumId w:val="24"/>
  </w:num>
  <w:num w:numId="45">
    <w:abstractNumId w:val="16"/>
  </w:num>
  <w:num w:numId="46">
    <w:abstractNumId w:val="20"/>
  </w:num>
  <w:num w:numId="47">
    <w:abstractNumId w:val="17"/>
  </w:num>
  <w:num w:numId="48">
    <w:abstractNumId w:val="12"/>
  </w:num>
  <w:num w:numId="49">
    <w:abstractNumId w:val="3"/>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C1"/>
    <w:rsid w:val="0000230A"/>
    <w:rsid w:val="00004530"/>
    <w:rsid w:val="000066BF"/>
    <w:rsid w:val="00006DE8"/>
    <w:rsid w:val="0001063A"/>
    <w:rsid w:val="00011354"/>
    <w:rsid w:val="000117DA"/>
    <w:rsid w:val="00011946"/>
    <w:rsid w:val="00012801"/>
    <w:rsid w:val="00012C0B"/>
    <w:rsid w:val="000139F1"/>
    <w:rsid w:val="000154D4"/>
    <w:rsid w:val="000209CD"/>
    <w:rsid w:val="00024BAB"/>
    <w:rsid w:val="000253EE"/>
    <w:rsid w:val="00025ADD"/>
    <w:rsid w:val="0002772F"/>
    <w:rsid w:val="000279D3"/>
    <w:rsid w:val="000302F2"/>
    <w:rsid w:val="00030586"/>
    <w:rsid w:val="000369B8"/>
    <w:rsid w:val="00042013"/>
    <w:rsid w:val="000456F9"/>
    <w:rsid w:val="000466A6"/>
    <w:rsid w:val="00047C24"/>
    <w:rsid w:val="00051D4A"/>
    <w:rsid w:val="0005260D"/>
    <w:rsid w:val="00055222"/>
    <w:rsid w:val="0005733A"/>
    <w:rsid w:val="00057C57"/>
    <w:rsid w:val="00061CAD"/>
    <w:rsid w:val="000624B8"/>
    <w:rsid w:val="00064399"/>
    <w:rsid w:val="00064448"/>
    <w:rsid w:val="00064AC4"/>
    <w:rsid w:val="0006536B"/>
    <w:rsid w:val="00067475"/>
    <w:rsid w:val="000704C8"/>
    <w:rsid w:val="00071A2D"/>
    <w:rsid w:val="000720B3"/>
    <w:rsid w:val="000722CB"/>
    <w:rsid w:val="00076CB9"/>
    <w:rsid w:val="00080CB4"/>
    <w:rsid w:val="00080F06"/>
    <w:rsid w:val="00082563"/>
    <w:rsid w:val="00086785"/>
    <w:rsid w:val="000867C5"/>
    <w:rsid w:val="00086884"/>
    <w:rsid w:val="0009049B"/>
    <w:rsid w:val="00095177"/>
    <w:rsid w:val="00096C51"/>
    <w:rsid w:val="000A1979"/>
    <w:rsid w:val="000A1C86"/>
    <w:rsid w:val="000A27A7"/>
    <w:rsid w:val="000A5412"/>
    <w:rsid w:val="000B0026"/>
    <w:rsid w:val="000B31C3"/>
    <w:rsid w:val="000B4C52"/>
    <w:rsid w:val="000B5273"/>
    <w:rsid w:val="000B64B6"/>
    <w:rsid w:val="000B67C1"/>
    <w:rsid w:val="000B6A11"/>
    <w:rsid w:val="000C0F1B"/>
    <w:rsid w:val="000C2A7A"/>
    <w:rsid w:val="000C4217"/>
    <w:rsid w:val="000C4D01"/>
    <w:rsid w:val="000C6742"/>
    <w:rsid w:val="000C6D2A"/>
    <w:rsid w:val="000D6D22"/>
    <w:rsid w:val="000D7A92"/>
    <w:rsid w:val="000E3CE1"/>
    <w:rsid w:val="000E3D95"/>
    <w:rsid w:val="000E785F"/>
    <w:rsid w:val="000F3476"/>
    <w:rsid w:val="000F5219"/>
    <w:rsid w:val="00100CE0"/>
    <w:rsid w:val="0010265F"/>
    <w:rsid w:val="00102E08"/>
    <w:rsid w:val="00103466"/>
    <w:rsid w:val="0010663A"/>
    <w:rsid w:val="00106DE4"/>
    <w:rsid w:val="00110778"/>
    <w:rsid w:val="00111BD9"/>
    <w:rsid w:val="001122BC"/>
    <w:rsid w:val="0011347C"/>
    <w:rsid w:val="00113E8D"/>
    <w:rsid w:val="00120C23"/>
    <w:rsid w:val="001224A8"/>
    <w:rsid w:val="00122601"/>
    <w:rsid w:val="00124875"/>
    <w:rsid w:val="00124F34"/>
    <w:rsid w:val="0012505C"/>
    <w:rsid w:val="00125EAF"/>
    <w:rsid w:val="00126899"/>
    <w:rsid w:val="00130272"/>
    <w:rsid w:val="00130445"/>
    <w:rsid w:val="001315D4"/>
    <w:rsid w:val="00133474"/>
    <w:rsid w:val="001337E5"/>
    <w:rsid w:val="00133F6A"/>
    <w:rsid w:val="00134669"/>
    <w:rsid w:val="00140B24"/>
    <w:rsid w:val="00142A19"/>
    <w:rsid w:val="0014346D"/>
    <w:rsid w:val="00143EF5"/>
    <w:rsid w:val="00147051"/>
    <w:rsid w:val="0015011E"/>
    <w:rsid w:val="00150347"/>
    <w:rsid w:val="00152795"/>
    <w:rsid w:val="00153E2A"/>
    <w:rsid w:val="001543E0"/>
    <w:rsid w:val="00154E3C"/>
    <w:rsid w:val="0015561E"/>
    <w:rsid w:val="001557FA"/>
    <w:rsid w:val="001563E5"/>
    <w:rsid w:val="00160694"/>
    <w:rsid w:val="0016192E"/>
    <w:rsid w:val="00164C6C"/>
    <w:rsid w:val="00166425"/>
    <w:rsid w:val="001670BA"/>
    <w:rsid w:val="00171387"/>
    <w:rsid w:val="001713EE"/>
    <w:rsid w:val="001743D4"/>
    <w:rsid w:val="0017717F"/>
    <w:rsid w:val="001771B1"/>
    <w:rsid w:val="001819FA"/>
    <w:rsid w:val="00182554"/>
    <w:rsid w:val="001857C8"/>
    <w:rsid w:val="00185AEB"/>
    <w:rsid w:val="0018620A"/>
    <w:rsid w:val="00186BCC"/>
    <w:rsid w:val="00186E6F"/>
    <w:rsid w:val="00187918"/>
    <w:rsid w:val="00187B79"/>
    <w:rsid w:val="00191512"/>
    <w:rsid w:val="00191775"/>
    <w:rsid w:val="001978A1"/>
    <w:rsid w:val="001A2D2B"/>
    <w:rsid w:val="001A2E23"/>
    <w:rsid w:val="001A31B7"/>
    <w:rsid w:val="001A4EA5"/>
    <w:rsid w:val="001B0953"/>
    <w:rsid w:val="001B4961"/>
    <w:rsid w:val="001B5BC4"/>
    <w:rsid w:val="001B5DE2"/>
    <w:rsid w:val="001C2F84"/>
    <w:rsid w:val="001C4908"/>
    <w:rsid w:val="001C54FD"/>
    <w:rsid w:val="001D02F8"/>
    <w:rsid w:val="001D08CB"/>
    <w:rsid w:val="001D2FEC"/>
    <w:rsid w:val="001D4A42"/>
    <w:rsid w:val="001D5624"/>
    <w:rsid w:val="001D5747"/>
    <w:rsid w:val="001D5FF2"/>
    <w:rsid w:val="001D7162"/>
    <w:rsid w:val="001D74DB"/>
    <w:rsid w:val="001E0992"/>
    <w:rsid w:val="001E6F7E"/>
    <w:rsid w:val="001F0DCC"/>
    <w:rsid w:val="001F31B9"/>
    <w:rsid w:val="001F36D6"/>
    <w:rsid w:val="001F49D9"/>
    <w:rsid w:val="001F53B6"/>
    <w:rsid w:val="001F55D7"/>
    <w:rsid w:val="001F605B"/>
    <w:rsid w:val="001F7136"/>
    <w:rsid w:val="002022DE"/>
    <w:rsid w:val="0020272F"/>
    <w:rsid w:val="002102D9"/>
    <w:rsid w:val="0021038E"/>
    <w:rsid w:val="00210ED3"/>
    <w:rsid w:val="002111F7"/>
    <w:rsid w:val="002115C7"/>
    <w:rsid w:val="0021341E"/>
    <w:rsid w:val="00213C0B"/>
    <w:rsid w:val="0021439F"/>
    <w:rsid w:val="00214502"/>
    <w:rsid w:val="002230E1"/>
    <w:rsid w:val="0023103A"/>
    <w:rsid w:val="00231482"/>
    <w:rsid w:val="00231D6A"/>
    <w:rsid w:val="00232428"/>
    <w:rsid w:val="0023559E"/>
    <w:rsid w:val="00237BD4"/>
    <w:rsid w:val="00241629"/>
    <w:rsid w:val="00242C36"/>
    <w:rsid w:val="00243BF5"/>
    <w:rsid w:val="002444DE"/>
    <w:rsid w:val="00244A7D"/>
    <w:rsid w:val="00246FA0"/>
    <w:rsid w:val="00254538"/>
    <w:rsid w:val="00254C34"/>
    <w:rsid w:val="002562F1"/>
    <w:rsid w:val="00256F02"/>
    <w:rsid w:val="00257782"/>
    <w:rsid w:val="00257872"/>
    <w:rsid w:val="0026099D"/>
    <w:rsid w:val="00262B5C"/>
    <w:rsid w:val="002644F9"/>
    <w:rsid w:val="00266857"/>
    <w:rsid w:val="00266F02"/>
    <w:rsid w:val="002672BC"/>
    <w:rsid w:val="00272FC0"/>
    <w:rsid w:val="002767DD"/>
    <w:rsid w:val="002820AC"/>
    <w:rsid w:val="002820EA"/>
    <w:rsid w:val="0028285F"/>
    <w:rsid w:val="00284A04"/>
    <w:rsid w:val="00284C5D"/>
    <w:rsid w:val="0028534F"/>
    <w:rsid w:val="0028679D"/>
    <w:rsid w:val="00286AA5"/>
    <w:rsid w:val="00290F17"/>
    <w:rsid w:val="0029345C"/>
    <w:rsid w:val="00294459"/>
    <w:rsid w:val="002948CE"/>
    <w:rsid w:val="0029651A"/>
    <w:rsid w:val="00296C12"/>
    <w:rsid w:val="002A79D6"/>
    <w:rsid w:val="002B136B"/>
    <w:rsid w:val="002B4F19"/>
    <w:rsid w:val="002C1099"/>
    <w:rsid w:val="002C36E8"/>
    <w:rsid w:val="002C776B"/>
    <w:rsid w:val="002C7A72"/>
    <w:rsid w:val="002D22B9"/>
    <w:rsid w:val="002D27EB"/>
    <w:rsid w:val="002D4849"/>
    <w:rsid w:val="002D4904"/>
    <w:rsid w:val="002D679C"/>
    <w:rsid w:val="002D7629"/>
    <w:rsid w:val="002D7B10"/>
    <w:rsid w:val="002E1BF7"/>
    <w:rsid w:val="002E4BC4"/>
    <w:rsid w:val="002E7792"/>
    <w:rsid w:val="002F035E"/>
    <w:rsid w:val="002F1055"/>
    <w:rsid w:val="002F1169"/>
    <w:rsid w:val="002F2961"/>
    <w:rsid w:val="002F3EA1"/>
    <w:rsid w:val="002F7CD1"/>
    <w:rsid w:val="0030151C"/>
    <w:rsid w:val="00302899"/>
    <w:rsid w:val="00302F97"/>
    <w:rsid w:val="00305A94"/>
    <w:rsid w:val="00313302"/>
    <w:rsid w:val="003138C2"/>
    <w:rsid w:val="00314BE2"/>
    <w:rsid w:val="00314E88"/>
    <w:rsid w:val="003175F3"/>
    <w:rsid w:val="0031780F"/>
    <w:rsid w:val="00317B15"/>
    <w:rsid w:val="00320660"/>
    <w:rsid w:val="00321CEE"/>
    <w:rsid w:val="00324108"/>
    <w:rsid w:val="00330A9C"/>
    <w:rsid w:val="00330C6E"/>
    <w:rsid w:val="0033140E"/>
    <w:rsid w:val="00331CB8"/>
    <w:rsid w:val="003323D9"/>
    <w:rsid w:val="00335871"/>
    <w:rsid w:val="00340F6F"/>
    <w:rsid w:val="00341507"/>
    <w:rsid w:val="003448F6"/>
    <w:rsid w:val="00344B8C"/>
    <w:rsid w:val="00345573"/>
    <w:rsid w:val="00345C37"/>
    <w:rsid w:val="0034709F"/>
    <w:rsid w:val="00351545"/>
    <w:rsid w:val="003516A9"/>
    <w:rsid w:val="00352C09"/>
    <w:rsid w:val="00352C34"/>
    <w:rsid w:val="00352FCA"/>
    <w:rsid w:val="00353178"/>
    <w:rsid w:val="00353AC1"/>
    <w:rsid w:val="00360BC9"/>
    <w:rsid w:val="00362B9D"/>
    <w:rsid w:val="003654B9"/>
    <w:rsid w:val="003702A5"/>
    <w:rsid w:val="00370A03"/>
    <w:rsid w:val="00370B46"/>
    <w:rsid w:val="0037118F"/>
    <w:rsid w:val="00376670"/>
    <w:rsid w:val="00377501"/>
    <w:rsid w:val="0038218C"/>
    <w:rsid w:val="003837C6"/>
    <w:rsid w:val="00383C6A"/>
    <w:rsid w:val="003844C1"/>
    <w:rsid w:val="003844C9"/>
    <w:rsid w:val="00385454"/>
    <w:rsid w:val="00385AF0"/>
    <w:rsid w:val="00386B79"/>
    <w:rsid w:val="003920AF"/>
    <w:rsid w:val="0039258D"/>
    <w:rsid w:val="00393B03"/>
    <w:rsid w:val="00393F10"/>
    <w:rsid w:val="003A0DD5"/>
    <w:rsid w:val="003A30D8"/>
    <w:rsid w:val="003A3D06"/>
    <w:rsid w:val="003A4118"/>
    <w:rsid w:val="003A4925"/>
    <w:rsid w:val="003A56CC"/>
    <w:rsid w:val="003A7938"/>
    <w:rsid w:val="003B12F8"/>
    <w:rsid w:val="003B14BB"/>
    <w:rsid w:val="003B1F4A"/>
    <w:rsid w:val="003B424A"/>
    <w:rsid w:val="003B4AB7"/>
    <w:rsid w:val="003C009C"/>
    <w:rsid w:val="003C088A"/>
    <w:rsid w:val="003C0D88"/>
    <w:rsid w:val="003C1219"/>
    <w:rsid w:val="003C47ED"/>
    <w:rsid w:val="003C4BDD"/>
    <w:rsid w:val="003C7E8A"/>
    <w:rsid w:val="003D1034"/>
    <w:rsid w:val="003D1D01"/>
    <w:rsid w:val="003D3745"/>
    <w:rsid w:val="003D3DDB"/>
    <w:rsid w:val="003D4505"/>
    <w:rsid w:val="003D5F87"/>
    <w:rsid w:val="003E04CB"/>
    <w:rsid w:val="003E0E09"/>
    <w:rsid w:val="003E5483"/>
    <w:rsid w:val="003E6B9A"/>
    <w:rsid w:val="003E7E0B"/>
    <w:rsid w:val="003F0E7C"/>
    <w:rsid w:val="003F193B"/>
    <w:rsid w:val="003F2206"/>
    <w:rsid w:val="003F36BF"/>
    <w:rsid w:val="00401D17"/>
    <w:rsid w:val="00402FE2"/>
    <w:rsid w:val="00404789"/>
    <w:rsid w:val="00404A0E"/>
    <w:rsid w:val="00406D59"/>
    <w:rsid w:val="004115AC"/>
    <w:rsid w:val="00411FD4"/>
    <w:rsid w:val="0041397A"/>
    <w:rsid w:val="00415AAB"/>
    <w:rsid w:val="00417185"/>
    <w:rsid w:val="00422A65"/>
    <w:rsid w:val="004236EC"/>
    <w:rsid w:val="00423C04"/>
    <w:rsid w:val="0042696D"/>
    <w:rsid w:val="00427720"/>
    <w:rsid w:val="004278E2"/>
    <w:rsid w:val="00431502"/>
    <w:rsid w:val="00433F64"/>
    <w:rsid w:val="004363E0"/>
    <w:rsid w:val="004377FA"/>
    <w:rsid w:val="00437E6F"/>
    <w:rsid w:val="00441898"/>
    <w:rsid w:val="00442589"/>
    <w:rsid w:val="00447A00"/>
    <w:rsid w:val="00451DE2"/>
    <w:rsid w:val="00452604"/>
    <w:rsid w:val="0045300D"/>
    <w:rsid w:val="00455BFD"/>
    <w:rsid w:val="004567A0"/>
    <w:rsid w:val="00461110"/>
    <w:rsid w:val="00466B1D"/>
    <w:rsid w:val="00466E15"/>
    <w:rsid w:val="00474176"/>
    <w:rsid w:val="00474E0D"/>
    <w:rsid w:val="00475297"/>
    <w:rsid w:val="00476A63"/>
    <w:rsid w:val="00476F5F"/>
    <w:rsid w:val="004809BA"/>
    <w:rsid w:val="00481760"/>
    <w:rsid w:val="004819A5"/>
    <w:rsid w:val="00483401"/>
    <w:rsid w:val="00490CFF"/>
    <w:rsid w:val="004916E0"/>
    <w:rsid w:val="00495821"/>
    <w:rsid w:val="00495AE4"/>
    <w:rsid w:val="004A3167"/>
    <w:rsid w:val="004A5B76"/>
    <w:rsid w:val="004B0523"/>
    <w:rsid w:val="004B058B"/>
    <w:rsid w:val="004B1018"/>
    <w:rsid w:val="004B1C7E"/>
    <w:rsid w:val="004B31B2"/>
    <w:rsid w:val="004B4DE5"/>
    <w:rsid w:val="004B63B3"/>
    <w:rsid w:val="004C2519"/>
    <w:rsid w:val="004C4594"/>
    <w:rsid w:val="004C4A5D"/>
    <w:rsid w:val="004C4BA7"/>
    <w:rsid w:val="004C5AE6"/>
    <w:rsid w:val="004C6C4B"/>
    <w:rsid w:val="004C7E49"/>
    <w:rsid w:val="004D030B"/>
    <w:rsid w:val="004D1664"/>
    <w:rsid w:val="004D1D11"/>
    <w:rsid w:val="004D3099"/>
    <w:rsid w:val="004D46B0"/>
    <w:rsid w:val="004D4FB9"/>
    <w:rsid w:val="004D5183"/>
    <w:rsid w:val="004D5450"/>
    <w:rsid w:val="004E29A8"/>
    <w:rsid w:val="004E4E2A"/>
    <w:rsid w:val="004E6E86"/>
    <w:rsid w:val="004E7E06"/>
    <w:rsid w:val="004F0C86"/>
    <w:rsid w:val="004F361B"/>
    <w:rsid w:val="004F3D58"/>
    <w:rsid w:val="004F3FD0"/>
    <w:rsid w:val="004F455A"/>
    <w:rsid w:val="004F560F"/>
    <w:rsid w:val="004F6E63"/>
    <w:rsid w:val="004F70FF"/>
    <w:rsid w:val="005020BC"/>
    <w:rsid w:val="005035CC"/>
    <w:rsid w:val="0050613C"/>
    <w:rsid w:val="00506150"/>
    <w:rsid w:val="00507322"/>
    <w:rsid w:val="00512C79"/>
    <w:rsid w:val="00515B3E"/>
    <w:rsid w:val="00515D12"/>
    <w:rsid w:val="0051602D"/>
    <w:rsid w:val="0052283A"/>
    <w:rsid w:val="00523EE9"/>
    <w:rsid w:val="00524477"/>
    <w:rsid w:val="00524773"/>
    <w:rsid w:val="00530856"/>
    <w:rsid w:val="00530B12"/>
    <w:rsid w:val="00530FEF"/>
    <w:rsid w:val="00533076"/>
    <w:rsid w:val="00533F2F"/>
    <w:rsid w:val="00534766"/>
    <w:rsid w:val="005358E3"/>
    <w:rsid w:val="005367B9"/>
    <w:rsid w:val="00540613"/>
    <w:rsid w:val="0054698A"/>
    <w:rsid w:val="00547882"/>
    <w:rsid w:val="00551CD3"/>
    <w:rsid w:val="0055287A"/>
    <w:rsid w:val="00556136"/>
    <w:rsid w:val="00556C14"/>
    <w:rsid w:val="00557113"/>
    <w:rsid w:val="00561D84"/>
    <w:rsid w:val="00561F16"/>
    <w:rsid w:val="0056336B"/>
    <w:rsid w:val="0056454E"/>
    <w:rsid w:val="005656C8"/>
    <w:rsid w:val="005661F3"/>
    <w:rsid w:val="00567AB4"/>
    <w:rsid w:val="00576DBC"/>
    <w:rsid w:val="005815E1"/>
    <w:rsid w:val="00587600"/>
    <w:rsid w:val="00591958"/>
    <w:rsid w:val="00592A16"/>
    <w:rsid w:val="0059405E"/>
    <w:rsid w:val="0059573C"/>
    <w:rsid w:val="0059614B"/>
    <w:rsid w:val="005A1436"/>
    <w:rsid w:val="005A14B6"/>
    <w:rsid w:val="005A279C"/>
    <w:rsid w:val="005A2EBE"/>
    <w:rsid w:val="005A3A74"/>
    <w:rsid w:val="005A3AD7"/>
    <w:rsid w:val="005B2C59"/>
    <w:rsid w:val="005B2D4A"/>
    <w:rsid w:val="005B2FEC"/>
    <w:rsid w:val="005B3638"/>
    <w:rsid w:val="005B3787"/>
    <w:rsid w:val="005B6965"/>
    <w:rsid w:val="005B74B1"/>
    <w:rsid w:val="005C015B"/>
    <w:rsid w:val="005C18ED"/>
    <w:rsid w:val="005C198F"/>
    <w:rsid w:val="005C1D0C"/>
    <w:rsid w:val="005C562E"/>
    <w:rsid w:val="005D01D7"/>
    <w:rsid w:val="005D16F7"/>
    <w:rsid w:val="005D18D2"/>
    <w:rsid w:val="005D28D5"/>
    <w:rsid w:val="005D2AA0"/>
    <w:rsid w:val="005D3CB6"/>
    <w:rsid w:val="005D56D6"/>
    <w:rsid w:val="005D5CB5"/>
    <w:rsid w:val="005D75C5"/>
    <w:rsid w:val="005E06C5"/>
    <w:rsid w:val="005E30C0"/>
    <w:rsid w:val="005E3D9E"/>
    <w:rsid w:val="005E6C63"/>
    <w:rsid w:val="005E6E94"/>
    <w:rsid w:val="005F387A"/>
    <w:rsid w:val="005F39DE"/>
    <w:rsid w:val="005F3D9B"/>
    <w:rsid w:val="005F4C5C"/>
    <w:rsid w:val="005F5966"/>
    <w:rsid w:val="005F7035"/>
    <w:rsid w:val="005F7C2C"/>
    <w:rsid w:val="005F7FCF"/>
    <w:rsid w:val="00600786"/>
    <w:rsid w:val="00602CFD"/>
    <w:rsid w:val="00605E63"/>
    <w:rsid w:val="00606035"/>
    <w:rsid w:val="0060664F"/>
    <w:rsid w:val="006073EE"/>
    <w:rsid w:val="006077A1"/>
    <w:rsid w:val="00611700"/>
    <w:rsid w:val="006119CE"/>
    <w:rsid w:val="0061310E"/>
    <w:rsid w:val="00614122"/>
    <w:rsid w:val="00614398"/>
    <w:rsid w:val="0061440C"/>
    <w:rsid w:val="00614E1B"/>
    <w:rsid w:val="006168D1"/>
    <w:rsid w:val="0061790F"/>
    <w:rsid w:val="006200CF"/>
    <w:rsid w:val="00620EA3"/>
    <w:rsid w:val="0062357B"/>
    <w:rsid w:val="0062387B"/>
    <w:rsid w:val="00625C67"/>
    <w:rsid w:val="006262DF"/>
    <w:rsid w:val="00627562"/>
    <w:rsid w:val="00630724"/>
    <w:rsid w:val="006355B5"/>
    <w:rsid w:val="00635D81"/>
    <w:rsid w:val="006361E2"/>
    <w:rsid w:val="0063646A"/>
    <w:rsid w:val="00636BDF"/>
    <w:rsid w:val="00640967"/>
    <w:rsid w:val="00640EDA"/>
    <w:rsid w:val="00641007"/>
    <w:rsid w:val="006414D6"/>
    <w:rsid w:val="006431AA"/>
    <w:rsid w:val="006439C7"/>
    <w:rsid w:val="00647128"/>
    <w:rsid w:val="00651A17"/>
    <w:rsid w:val="00652F79"/>
    <w:rsid w:val="00653F12"/>
    <w:rsid w:val="00654095"/>
    <w:rsid w:val="00656FD9"/>
    <w:rsid w:val="006607F8"/>
    <w:rsid w:val="00660B94"/>
    <w:rsid w:val="00661A3B"/>
    <w:rsid w:val="0066308A"/>
    <w:rsid w:val="006652B6"/>
    <w:rsid w:val="006653D0"/>
    <w:rsid w:val="00667115"/>
    <w:rsid w:val="00672955"/>
    <w:rsid w:val="00672B65"/>
    <w:rsid w:val="006732A3"/>
    <w:rsid w:val="006758A0"/>
    <w:rsid w:val="0067698B"/>
    <w:rsid w:val="00677ECE"/>
    <w:rsid w:val="006816C4"/>
    <w:rsid w:val="00681F06"/>
    <w:rsid w:val="006847EF"/>
    <w:rsid w:val="00690A9F"/>
    <w:rsid w:val="0069110C"/>
    <w:rsid w:val="00692CB8"/>
    <w:rsid w:val="0069544D"/>
    <w:rsid w:val="006A58B4"/>
    <w:rsid w:val="006A685A"/>
    <w:rsid w:val="006A6EEF"/>
    <w:rsid w:val="006B2444"/>
    <w:rsid w:val="006B39DF"/>
    <w:rsid w:val="006B6D52"/>
    <w:rsid w:val="006B7A61"/>
    <w:rsid w:val="006C5B58"/>
    <w:rsid w:val="006C6BA6"/>
    <w:rsid w:val="006D00F1"/>
    <w:rsid w:val="006D0488"/>
    <w:rsid w:val="006D0D7C"/>
    <w:rsid w:val="006D14DD"/>
    <w:rsid w:val="006D227F"/>
    <w:rsid w:val="006D33A9"/>
    <w:rsid w:val="006D49B3"/>
    <w:rsid w:val="006D585D"/>
    <w:rsid w:val="006D5AEC"/>
    <w:rsid w:val="006D6043"/>
    <w:rsid w:val="006D640F"/>
    <w:rsid w:val="006D7EAD"/>
    <w:rsid w:val="006D7FF3"/>
    <w:rsid w:val="006E0BC0"/>
    <w:rsid w:val="006E1B34"/>
    <w:rsid w:val="006E217E"/>
    <w:rsid w:val="006E2C46"/>
    <w:rsid w:val="006E34F6"/>
    <w:rsid w:val="006E403A"/>
    <w:rsid w:val="006E64F4"/>
    <w:rsid w:val="006F4A99"/>
    <w:rsid w:val="006F6563"/>
    <w:rsid w:val="006F72AB"/>
    <w:rsid w:val="00700A81"/>
    <w:rsid w:val="00700D35"/>
    <w:rsid w:val="0070228B"/>
    <w:rsid w:val="00706BFF"/>
    <w:rsid w:val="00710377"/>
    <w:rsid w:val="007123F3"/>
    <w:rsid w:val="007126CC"/>
    <w:rsid w:val="00713686"/>
    <w:rsid w:val="007149E2"/>
    <w:rsid w:val="00714D23"/>
    <w:rsid w:val="0071541F"/>
    <w:rsid w:val="00715C9E"/>
    <w:rsid w:val="00715F8C"/>
    <w:rsid w:val="00716F8A"/>
    <w:rsid w:val="00717B23"/>
    <w:rsid w:val="007209AC"/>
    <w:rsid w:val="00722D37"/>
    <w:rsid w:val="00722D3E"/>
    <w:rsid w:val="007248E2"/>
    <w:rsid w:val="00725911"/>
    <w:rsid w:val="0072603D"/>
    <w:rsid w:val="00727B8E"/>
    <w:rsid w:val="00731092"/>
    <w:rsid w:val="00731BAC"/>
    <w:rsid w:val="00732856"/>
    <w:rsid w:val="0073458E"/>
    <w:rsid w:val="00736C79"/>
    <w:rsid w:val="00737883"/>
    <w:rsid w:val="0074382C"/>
    <w:rsid w:val="0074506F"/>
    <w:rsid w:val="00747B8C"/>
    <w:rsid w:val="00747D7D"/>
    <w:rsid w:val="00751510"/>
    <w:rsid w:val="00752D6E"/>
    <w:rsid w:val="00752DF8"/>
    <w:rsid w:val="0075672A"/>
    <w:rsid w:val="00757103"/>
    <w:rsid w:val="007574D1"/>
    <w:rsid w:val="0076073E"/>
    <w:rsid w:val="00761683"/>
    <w:rsid w:val="00762371"/>
    <w:rsid w:val="00764993"/>
    <w:rsid w:val="00764DBD"/>
    <w:rsid w:val="00770AA4"/>
    <w:rsid w:val="00771590"/>
    <w:rsid w:val="00772977"/>
    <w:rsid w:val="007752D9"/>
    <w:rsid w:val="007762AC"/>
    <w:rsid w:val="00781D15"/>
    <w:rsid w:val="007842DE"/>
    <w:rsid w:val="0078520D"/>
    <w:rsid w:val="00787B2C"/>
    <w:rsid w:val="00792BB8"/>
    <w:rsid w:val="0079567F"/>
    <w:rsid w:val="00795DE6"/>
    <w:rsid w:val="007976D4"/>
    <w:rsid w:val="00797BE5"/>
    <w:rsid w:val="007A0760"/>
    <w:rsid w:val="007A4009"/>
    <w:rsid w:val="007A6BB2"/>
    <w:rsid w:val="007A7143"/>
    <w:rsid w:val="007B238A"/>
    <w:rsid w:val="007B686F"/>
    <w:rsid w:val="007C3391"/>
    <w:rsid w:val="007C35A1"/>
    <w:rsid w:val="007C56CA"/>
    <w:rsid w:val="007C6203"/>
    <w:rsid w:val="007C7A3C"/>
    <w:rsid w:val="007C7C6A"/>
    <w:rsid w:val="007C7FCC"/>
    <w:rsid w:val="007D1314"/>
    <w:rsid w:val="007D1693"/>
    <w:rsid w:val="007D1ACE"/>
    <w:rsid w:val="007D7165"/>
    <w:rsid w:val="007E0B4C"/>
    <w:rsid w:val="007E1FAB"/>
    <w:rsid w:val="007E2C0A"/>
    <w:rsid w:val="007E3617"/>
    <w:rsid w:val="007E399D"/>
    <w:rsid w:val="007E4A3C"/>
    <w:rsid w:val="007E65CD"/>
    <w:rsid w:val="007F0E9A"/>
    <w:rsid w:val="007F1863"/>
    <w:rsid w:val="007F31A6"/>
    <w:rsid w:val="007F389B"/>
    <w:rsid w:val="007F4317"/>
    <w:rsid w:val="007F4EDA"/>
    <w:rsid w:val="007F6BDF"/>
    <w:rsid w:val="007F6E68"/>
    <w:rsid w:val="00800C8A"/>
    <w:rsid w:val="0080101B"/>
    <w:rsid w:val="008020A7"/>
    <w:rsid w:val="00802547"/>
    <w:rsid w:val="00803F05"/>
    <w:rsid w:val="008040FB"/>
    <w:rsid w:val="00805539"/>
    <w:rsid w:val="0080727D"/>
    <w:rsid w:val="00807C4A"/>
    <w:rsid w:val="00813388"/>
    <w:rsid w:val="00815CF3"/>
    <w:rsid w:val="00820B31"/>
    <w:rsid w:val="00823B8B"/>
    <w:rsid w:val="0082551B"/>
    <w:rsid w:val="00827DFF"/>
    <w:rsid w:val="008303DA"/>
    <w:rsid w:val="008344BA"/>
    <w:rsid w:val="00835674"/>
    <w:rsid w:val="00836254"/>
    <w:rsid w:val="00841352"/>
    <w:rsid w:val="00841609"/>
    <w:rsid w:val="00842133"/>
    <w:rsid w:val="00842839"/>
    <w:rsid w:val="00842C75"/>
    <w:rsid w:val="008434C5"/>
    <w:rsid w:val="00847B2C"/>
    <w:rsid w:val="008513A5"/>
    <w:rsid w:val="00856921"/>
    <w:rsid w:val="00857B19"/>
    <w:rsid w:val="008638FF"/>
    <w:rsid w:val="008647C8"/>
    <w:rsid w:val="0086656A"/>
    <w:rsid w:val="008737D5"/>
    <w:rsid w:val="00877F60"/>
    <w:rsid w:val="008810BF"/>
    <w:rsid w:val="0088180B"/>
    <w:rsid w:val="00881996"/>
    <w:rsid w:val="008831FD"/>
    <w:rsid w:val="008860D3"/>
    <w:rsid w:val="00886471"/>
    <w:rsid w:val="00886C28"/>
    <w:rsid w:val="00887AEF"/>
    <w:rsid w:val="00887F62"/>
    <w:rsid w:val="00890109"/>
    <w:rsid w:val="00891107"/>
    <w:rsid w:val="00892216"/>
    <w:rsid w:val="00892BC8"/>
    <w:rsid w:val="008A0FAF"/>
    <w:rsid w:val="008A3C3F"/>
    <w:rsid w:val="008A41A2"/>
    <w:rsid w:val="008B0725"/>
    <w:rsid w:val="008B1745"/>
    <w:rsid w:val="008B20EF"/>
    <w:rsid w:val="008B2AD6"/>
    <w:rsid w:val="008B38CF"/>
    <w:rsid w:val="008C04FE"/>
    <w:rsid w:val="008C18E0"/>
    <w:rsid w:val="008C3071"/>
    <w:rsid w:val="008C4B13"/>
    <w:rsid w:val="008C7896"/>
    <w:rsid w:val="008D026F"/>
    <w:rsid w:val="008D053C"/>
    <w:rsid w:val="008D1851"/>
    <w:rsid w:val="008D1FF2"/>
    <w:rsid w:val="008D273A"/>
    <w:rsid w:val="008D4BF6"/>
    <w:rsid w:val="008D72C5"/>
    <w:rsid w:val="008D76C4"/>
    <w:rsid w:val="008D7EF7"/>
    <w:rsid w:val="008E28FD"/>
    <w:rsid w:val="008E5567"/>
    <w:rsid w:val="008F0286"/>
    <w:rsid w:val="008F1921"/>
    <w:rsid w:val="008F6B0C"/>
    <w:rsid w:val="00902FA3"/>
    <w:rsid w:val="00906562"/>
    <w:rsid w:val="0090685D"/>
    <w:rsid w:val="009106F1"/>
    <w:rsid w:val="00910C7D"/>
    <w:rsid w:val="009179FD"/>
    <w:rsid w:val="0092018D"/>
    <w:rsid w:val="00921B57"/>
    <w:rsid w:val="00922C9F"/>
    <w:rsid w:val="0092567D"/>
    <w:rsid w:val="00925F0E"/>
    <w:rsid w:val="009313CB"/>
    <w:rsid w:val="00931F1F"/>
    <w:rsid w:val="009360CB"/>
    <w:rsid w:val="009368F2"/>
    <w:rsid w:val="00941700"/>
    <w:rsid w:val="009436E0"/>
    <w:rsid w:val="00945369"/>
    <w:rsid w:val="009457B9"/>
    <w:rsid w:val="00951B02"/>
    <w:rsid w:val="009529B8"/>
    <w:rsid w:val="009531CA"/>
    <w:rsid w:val="00954B32"/>
    <w:rsid w:val="00954FE6"/>
    <w:rsid w:val="00955709"/>
    <w:rsid w:val="00955E0A"/>
    <w:rsid w:val="00957431"/>
    <w:rsid w:val="00960A0E"/>
    <w:rsid w:val="0096112B"/>
    <w:rsid w:val="009643F7"/>
    <w:rsid w:val="0096765A"/>
    <w:rsid w:val="0097215D"/>
    <w:rsid w:val="009723D1"/>
    <w:rsid w:val="00972CAE"/>
    <w:rsid w:val="0097343E"/>
    <w:rsid w:val="0097357B"/>
    <w:rsid w:val="009776A3"/>
    <w:rsid w:val="009812FF"/>
    <w:rsid w:val="00982F16"/>
    <w:rsid w:val="0099003D"/>
    <w:rsid w:val="00991BA1"/>
    <w:rsid w:val="0099653D"/>
    <w:rsid w:val="00997020"/>
    <w:rsid w:val="009979AF"/>
    <w:rsid w:val="009A02C8"/>
    <w:rsid w:val="009A2897"/>
    <w:rsid w:val="009A2933"/>
    <w:rsid w:val="009A3F37"/>
    <w:rsid w:val="009A616C"/>
    <w:rsid w:val="009A79AD"/>
    <w:rsid w:val="009B051D"/>
    <w:rsid w:val="009B0A28"/>
    <w:rsid w:val="009B1B00"/>
    <w:rsid w:val="009B1F71"/>
    <w:rsid w:val="009B21CF"/>
    <w:rsid w:val="009B5573"/>
    <w:rsid w:val="009B6074"/>
    <w:rsid w:val="009B62EF"/>
    <w:rsid w:val="009B64BD"/>
    <w:rsid w:val="009C0598"/>
    <w:rsid w:val="009C09EA"/>
    <w:rsid w:val="009C4A48"/>
    <w:rsid w:val="009C4FD0"/>
    <w:rsid w:val="009C4FEC"/>
    <w:rsid w:val="009C66A3"/>
    <w:rsid w:val="009C6C1B"/>
    <w:rsid w:val="009D0733"/>
    <w:rsid w:val="009D1A95"/>
    <w:rsid w:val="009D53C9"/>
    <w:rsid w:val="009E1E48"/>
    <w:rsid w:val="009E4E59"/>
    <w:rsid w:val="009E6E47"/>
    <w:rsid w:val="009E7CD1"/>
    <w:rsid w:val="009F1FBC"/>
    <w:rsid w:val="00A01373"/>
    <w:rsid w:val="00A0374C"/>
    <w:rsid w:val="00A05738"/>
    <w:rsid w:val="00A07C35"/>
    <w:rsid w:val="00A11BAA"/>
    <w:rsid w:val="00A12097"/>
    <w:rsid w:val="00A12270"/>
    <w:rsid w:val="00A13CD6"/>
    <w:rsid w:val="00A14A5F"/>
    <w:rsid w:val="00A14CF4"/>
    <w:rsid w:val="00A14E85"/>
    <w:rsid w:val="00A16094"/>
    <w:rsid w:val="00A17E19"/>
    <w:rsid w:val="00A21E36"/>
    <w:rsid w:val="00A21FD8"/>
    <w:rsid w:val="00A2333C"/>
    <w:rsid w:val="00A242B8"/>
    <w:rsid w:val="00A2541D"/>
    <w:rsid w:val="00A3153D"/>
    <w:rsid w:val="00A31A81"/>
    <w:rsid w:val="00A32DD4"/>
    <w:rsid w:val="00A340B9"/>
    <w:rsid w:val="00A34A67"/>
    <w:rsid w:val="00A3571A"/>
    <w:rsid w:val="00A37F9B"/>
    <w:rsid w:val="00A4008C"/>
    <w:rsid w:val="00A41477"/>
    <w:rsid w:val="00A423F1"/>
    <w:rsid w:val="00A425F1"/>
    <w:rsid w:val="00A42725"/>
    <w:rsid w:val="00A44CDF"/>
    <w:rsid w:val="00A45AFB"/>
    <w:rsid w:val="00A474E3"/>
    <w:rsid w:val="00A47CB1"/>
    <w:rsid w:val="00A5104B"/>
    <w:rsid w:val="00A51BEB"/>
    <w:rsid w:val="00A521F4"/>
    <w:rsid w:val="00A5454B"/>
    <w:rsid w:val="00A60094"/>
    <w:rsid w:val="00A6076E"/>
    <w:rsid w:val="00A62601"/>
    <w:rsid w:val="00A62FC1"/>
    <w:rsid w:val="00A63CE5"/>
    <w:rsid w:val="00A64422"/>
    <w:rsid w:val="00A65854"/>
    <w:rsid w:val="00A668D0"/>
    <w:rsid w:val="00A66BBF"/>
    <w:rsid w:val="00A673BD"/>
    <w:rsid w:val="00A7042D"/>
    <w:rsid w:val="00A70B9A"/>
    <w:rsid w:val="00A712D6"/>
    <w:rsid w:val="00A75526"/>
    <w:rsid w:val="00A7724F"/>
    <w:rsid w:val="00A80134"/>
    <w:rsid w:val="00A80D13"/>
    <w:rsid w:val="00A83025"/>
    <w:rsid w:val="00A8629B"/>
    <w:rsid w:val="00A9130B"/>
    <w:rsid w:val="00A9231F"/>
    <w:rsid w:val="00A93701"/>
    <w:rsid w:val="00A93DC8"/>
    <w:rsid w:val="00AA0D42"/>
    <w:rsid w:val="00AA1F64"/>
    <w:rsid w:val="00AA2928"/>
    <w:rsid w:val="00AA61A9"/>
    <w:rsid w:val="00AB0FC5"/>
    <w:rsid w:val="00AB1DB3"/>
    <w:rsid w:val="00AB2234"/>
    <w:rsid w:val="00AB301F"/>
    <w:rsid w:val="00AB3B5A"/>
    <w:rsid w:val="00AB7E59"/>
    <w:rsid w:val="00AC1106"/>
    <w:rsid w:val="00AC3023"/>
    <w:rsid w:val="00AC316C"/>
    <w:rsid w:val="00AC368F"/>
    <w:rsid w:val="00AC3BD2"/>
    <w:rsid w:val="00AC4842"/>
    <w:rsid w:val="00AC5327"/>
    <w:rsid w:val="00AC53D9"/>
    <w:rsid w:val="00AC672E"/>
    <w:rsid w:val="00AC699D"/>
    <w:rsid w:val="00AD1308"/>
    <w:rsid w:val="00AD403E"/>
    <w:rsid w:val="00AD5C69"/>
    <w:rsid w:val="00AD7A4A"/>
    <w:rsid w:val="00AE1DEE"/>
    <w:rsid w:val="00AE4869"/>
    <w:rsid w:val="00AE5220"/>
    <w:rsid w:val="00AE646C"/>
    <w:rsid w:val="00AE72AB"/>
    <w:rsid w:val="00AE7FD4"/>
    <w:rsid w:val="00AF0DAA"/>
    <w:rsid w:val="00AF40A7"/>
    <w:rsid w:val="00AF4F1E"/>
    <w:rsid w:val="00AF59E8"/>
    <w:rsid w:val="00AF642B"/>
    <w:rsid w:val="00AF6D18"/>
    <w:rsid w:val="00AF7510"/>
    <w:rsid w:val="00B005AF"/>
    <w:rsid w:val="00B00B91"/>
    <w:rsid w:val="00B010AD"/>
    <w:rsid w:val="00B017D7"/>
    <w:rsid w:val="00B01810"/>
    <w:rsid w:val="00B046AE"/>
    <w:rsid w:val="00B13DB8"/>
    <w:rsid w:val="00B153DC"/>
    <w:rsid w:val="00B16443"/>
    <w:rsid w:val="00B24D86"/>
    <w:rsid w:val="00B2601F"/>
    <w:rsid w:val="00B27976"/>
    <w:rsid w:val="00B308CD"/>
    <w:rsid w:val="00B35D3B"/>
    <w:rsid w:val="00B375EC"/>
    <w:rsid w:val="00B37E59"/>
    <w:rsid w:val="00B45D47"/>
    <w:rsid w:val="00B4661E"/>
    <w:rsid w:val="00B5331D"/>
    <w:rsid w:val="00B53C9C"/>
    <w:rsid w:val="00B5578C"/>
    <w:rsid w:val="00B55F9D"/>
    <w:rsid w:val="00B63B29"/>
    <w:rsid w:val="00B66FDA"/>
    <w:rsid w:val="00B67E17"/>
    <w:rsid w:val="00B706F7"/>
    <w:rsid w:val="00B7267B"/>
    <w:rsid w:val="00B7330B"/>
    <w:rsid w:val="00B7663C"/>
    <w:rsid w:val="00B77E30"/>
    <w:rsid w:val="00B81381"/>
    <w:rsid w:val="00B81384"/>
    <w:rsid w:val="00B821BB"/>
    <w:rsid w:val="00B855F1"/>
    <w:rsid w:val="00B9317A"/>
    <w:rsid w:val="00B94561"/>
    <w:rsid w:val="00B94E5D"/>
    <w:rsid w:val="00B96058"/>
    <w:rsid w:val="00B96C59"/>
    <w:rsid w:val="00BA13B6"/>
    <w:rsid w:val="00BA3D0B"/>
    <w:rsid w:val="00BA512E"/>
    <w:rsid w:val="00BB0FFD"/>
    <w:rsid w:val="00BB22BF"/>
    <w:rsid w:val="00BB23F7"/>
    <w:rsid w:val="00BB2698"/>
    <w:rsid w:val="00BB4765"/>
    <w:rsid w:val="00BB4769"/>
    <w:rsid w:val="00BB4C56"/>
    <w:rsid w:val="00BC094E"/>
    <w:rsid w:val="00BC17E0"/>
    <w:rsid w:val="00BC45DB"/>
    <w:rsid w:val="00BD2C21"/>
    <w:rsid w:val="00BD3662"/>
    <w:rsid w:val="00BD498D"/>
    <w:rsid w:val="00BD4CFF"/>
    <w:rsid w:val="00BD72C3"/>
    <w:rsid w:val="00BD7B06"/>
    <w:rsid w:val="00BD7C58"/>
    <w:rsid w:val="00BE1C67"/>
    <w:rsid w:val="00BE206C"/>
    <w:rsid w:val="00BE4377"/>
    <w:rsid w:val="00BE4E39"/>
    <w:rsid w:val="00BE548B"/>
    <w:rsid w:val="00BE6E2F"/>
    <w:rsid w:val="00BE78FE"/>
    <w:rsid w:val="00BF1D78"/>
    <w:rsid w:val="00BF2CF4"/>
    <w:rsid w:val="00BF354A"/>
    <w:rsid w:val="00BF48F9"/>
    <w:rsid w:val="00BF5725"/>
    <w:rsid w:val="00BF5E5A"/>
    <w:rsid w:val="00BF63B8"/>
    <w:rsid w:val="00BF7C53"/>
    <w:rsid w:val="00C00481"/>
    <w:rsid w:val="00C00EF2"/>
    <w:rsid w:val="00C01C12"/>
    <w:rsid w:val="00C02043"/>
    <w:rsid w:val="00C02DFE"/>
    <w:rsid w:val="00C03AD0"/>
    <w:rsid w:val="00C03D66"/>
    <w:rsid w:val="00C03FB7"/>
    <w:rsid w:val="00C0527D"/>
    <w:rsid w:val="00C061D2"/>
    <w:rsid w:val="00C07286"/>
    <w:rsid w:val="00C12A17"/>
    <w:rsid w:val="00C141F3"/>
    <w:rsid w:val="00C17016"/>
    <w:rsid w:val="00C21C15"/>
    <w:rsid w:val="00C2523E"/>
    <w:rsid w:val="00C25A9A"/>
    <w:rsid w:val="00C26463"/>
    <w:rsid w:val="00C26714"/>
    <w:rsid w:val="00C26B11"/>
    <w:rsid w:val="00C324FE"/>
    <w:rsid w:val="00C33F93"/>
    <w:rsid w:val="00C3476D"/>
    <w:rsid w:val="00C354EE"/>
    <w:rsid w:val="00C3777D"/>
    <w:rsid w:val="00C41D93"/>
    <w:rsid w:val="00C43FDD"/>
    <w:rsid w:val="00C46088"/>
    <w:rsid w:val="00C462E4"/>
    <w:rsid w:val="00C468E2"/>
    <w:rsid w:val="00C46BA6"/>
    <w:rsid w:val="00C52EDD"/>
    <w:rsid w:val="00C53E68"/>
    <w:rsid w:val="00C54090"/>
    <w:rsid w:val="00C54F0A"/>
    <w:rsid w:val="00C55462"/>
    <w:rsid w:val="00C57237"/>
    <w:rsid w:val="00C622C4"/>
    <w:rsid w:val="00C62EF5"/>
    <w:rsid w:val="00C7009D"/>
    <w:rsid w:val="00C70585"/>
    <w:rsid w:val="00C74C34"/>
    <w:rsid w:val="00C8020D"/>
    <w:rsid w:val="00C80D07"/>
    <w:rsid w:val="00C82A19"/>
    <w:rsid w:val="00C85493"/>
    <w:rsid w:val="00C873E6"/>
    <w:rsid w:val="00C87AFC"/>
    <w:rsid w:val="00C9383A"/>
    <w:rsid w:val="00C942FC"/>
    <w:rsid w:val="00C95C98"/>
    <w:rsid w:val="00C96F57"/>
    <w:rsid w:val="00C972C1"/>
    <w:rsid w:val="00CA11A0"/>
    <w:rsid w:val="00CA289A"/>
    <w:rsid w:val="00CB093A"/>
    <w:rsid w:val="00CB0EA8"/>
    <w:rsid w:val="00CB5334"/>
    <w:rsid w:val="00CB7D75"/>
    <w:rsid w:val="00CC21EC"/>
    <w:rsid w:val="00CC2933"/>
    <w:rsid w:val="00CC3B4D"/>
    <w:rsid w:val="00CC4780"/>
    <w:rsid w:val="00CC55BB"/>
    <w:rsid w:val="00CC5BEB"/>
    <w:rsid w:val="00CD00A5"/>
    <w:rsid w:val="00CD062C"/>
    <w:rsid w:val="00CD0A09"/>
    <w:rsid w:val="00CD2897"/>
    <w:rsid w:val="00CD2EB3"/>
    <w:rsid w:val="00CD315F"/>
    <w:rsid w:val="00CD3D62"/>
    <w:rsid w:val="00CD486D"/>
    <w:rsid w:val="00CD4E78"/>
    <w:rsid w:val="00CD5353"/>
    <w:rsid w:val="00CD65BB"/>
    <w:rsid w:val="00CD7EDF"/>
    <w:rsid w:val="00CE3EB7"/>
    <w:rsid w:val="00CE4201"/>
    <w:rsid w:val="00CE45B0"/>
    <w:rsid w:val="00CE5A63"/>
    <w:rsid w:val="00CF1263"/>
    <w:rsid w:val="00CF16B0"/>
    <w:rsid w:val="00CF26AA"/>
    <w:rsid w:val="00CF31AA"/>
    <w:rsid w:val="00CF4154"/>
    <w:rsid w:val="00CF5A80"/>
    <w:rsid w:val="00CF5C7C"/>
    <w:rsid w:val="00CF74F7"/>
    <w:rsid w:val="00CF7A1E"/>
    <w:rsid w:val="00D01FF9"/>
    <w:rsid w:val="00D02D29"/>
    <w:rsid w:val="00D0442B"/>
    <w:rsid w:val="00D04F7A"/>
    <w:rsid w:val="00D07032"/>
    <w:rsid w:val="00D1105B"/>
    <w:rsid w:val="00D12B1A"/>
    <w:rsid w:val="00D14003"/>
    <w:rsid w:val="00D14506"/>
    <w:rsid w:val="00D1490E"/>
    <w:rsid w:val="00D14D4C"/>
    <w:rsid w:val="00D16CEC"/>
    <w:rsid w:val="00D17F69"/>
    <w:rsid w:val="00D217B6"/>
    <w:rsid w:val="00D21CE1"/>
    <w:rsid w:val="00D22476"/>
    <w:rsid w:val="00D226A2"/>
    <w:rsid w:val="00D23337"/>
    <w:rsid w:val="00D237B2"/>
    <w:rsid w:val="00D24A0F"/>
    <w:rsid w:val="00D27125"/>
    <w:rsid w:val="00D303CD"/>
    <w:rsid w:val="00D310E7"/>
    <w:rsid w:val="00D31695"/>
    <w:rsid w:val="00D31AEE"/>
    <w:rsid w:val="00D32039"/>
    <w:rsid w:val="00D320F6"/>
    <w:rsid w:val="00D32A79"/>
    <w:rsid w:val="00D37354"/>
    <w:rsid w:val="00D40B0E"/>
    <w:rsid w:val="00D415A7"/>
    <w:rsid w:val="00D41E87"/>
    <w:rsid w:val="00D420F5"/>
    <w:rsid w:val="00D4275C"/>
    <w:rsid w:val="00D43DC6"/>
    <w:rsid w:val="00D4489A"/>
    <w:rsid w:val="00D45A2D"/>
    <w:rsid w:val="00D479CF"/>
    <w:rsid w:val="00D5054B"/>
    <w:rsid w:val="00D50BDB"/>
    <w:rsid w:val="00D521A7"/>
    <w:rsid w:val="00D5328C"/>
    <w:rsid w:val="00D53838"/>
    <w:rsid w:val="00D53858"/>
    <w:rsid w:val="00D54B4B"/>
    <w:rsid w:val="00D54DEB"/>
    <w:rsid w:val="00D55E02"/>
    <w:rsid w:val="00D57E94"/>
    <w:rsid w:val="00D6029E"/>
    <w:rsid w:val="00D6225B"/>
    <w:rsid w:val="00D63E56"/>
    <w:rsid w:val="00D65AE6"/>
    <w:rsid w:val="00D65E1E"/>
    <w:rsid w:val="00D671FF"/>
    <w:rsid w:val="00D67F48"/>
    <w:rsid w:val="00D702BE"/>
    <w:rsid w:val="00D74C89"/>
    <w:rsid w:val="00D74E1A"/>
    <w:rsid w:val="00D7529A"/>
    <w:rsid w:val="00D75ED8"/>
    <w:rsid w:val="00D775CE"/>
    <w:rsid w:val="00D77EB8"/>
    <w:rsid w:val="00D80713"/>
    <w:rsid w:val="00D80C6F"/>
    <w:rsid w:val="00D828CC"/>
    <w:rsid w:val="00D82BF3"/>
    <w:rsid w:val="00D83A41"/>
    <w:rsid w:val="00D846BB"/>
    <w:rsid w:val="00D90510"/>
    <w:rsid w:val="00D91058"/>
    <w:rsid w:val="00D91B0B"/>
    <w:rsid w:val="00D926D8"/>
    <w:rsid w:val="00DA29B1"/>
    <w:rsid w:val="00DB04ED"/>
    <w:rsid w:val="00DB431E"/>
    <w:rsid w:val="00DC07FF"/>
    <w:rsid w:val="00DC082D"/>
    <w:rsid w:val="00DC4C4A"/>
    <w:rsid w:val="00DC5003"/>
    <w:rsid w:val="00DC5F35"/>
    <w:rsid w:val="00DC6862"/>
    <w:rsid w:val="00DD0D0A"/>
    <w:rsid w:val="00DD1FD2"/>
    <w:rsid w:val="00DD3647"/>
    <w:rsid w:val="00DD3E27"/>
    <w:rsid w:val="00DD48A3"/>
    <w:rsid w:val="00DD7BB1"/>
    <w:rsid w:val="00DE1E47"/>
    <w:rsid w:val="00DE55F8"/>
    <w:rsid w:val="00DE5CA8"/>
    <w:rsid w:val="00DF06B0"/>
    <w:rsid w:val="00DF203C"/>
    <w:rsid w:val="00DF2928"/>
    <w:rsid w:val="00DF2DA5"/>
    <w:rsid w:val="00DF417E"/>
    <w:rsid w:val="00DF63B0"/>
    <w:rsid w:val="00DF6FDE"/>
    <w:rsid w:val="00E032B4"/>
    <w:rsid w:val="00E04DCE"/>
    <w:rsid w:val="00E04EB3"/>
    <w:rsid w:val="00E06871"/>
    <w:rsid w:val="00E06E7F"/>
    <w:rsid w:val="00E07A2C"/>
    <w:rsid w:val="00E114D0"/>
    <w:rsid w:val="00E13427"/>
    <w:rsid w:val="00E1598B"/>
    <w:rsid w:val="00E1617D"/>
    <w:rsid w:val="00E2102B"/>
    <w:rsid w:val="00E21895"/>
    <w:rsid w:val="00E23CAB"/>
    <w:rsid w:val="00E24683"/>
    <w:rsid w:val="00E252C5"/>
    <w:rsid w:val="00E25871"/>
    <w:rsid w:val="00E26328"/>
    <w:rsid w:val="00E26BEF"/>
    <w:rsid w:val="00E30047"/>
    <w:rsid w:val="00E30D3F"/>
    <w:rsid w:val="00E33759"/>
    <w:rsid w:val="00E345A6"/>
    <w:rsid w:val="00E369FD"/>
    <w:rsid w:val="00E377BB"/>
    <w:rsid w:val="00E37B5C"/>
    <w:rsid w:val="00E47A93"/>
    <w:rsid w:val="00E53325"/>
    <w:rsid w:val="00E55728"/>
    <w:rsid w:val="00E564B1"/>
    <w:rsid w:val="00E5798B"/>
    <w:rsid w:val="00E620B8"/>
    <w:rsid w:val="00E6312B"/>
    <w:rsid w:val="00E670E5"/>
    <w:rsid w:val="00E703D1"/>
    <w:rsid w:val="00E732C7"/>
    <w:rsid w:val="00E73697"/>
    <w:rsid w:val="00E74962"/>
    <w:rsid w:val="00E7503F"/>
    <w:rsid w:val="00E755B7"/>
    <w:rsid w:val="00E77935"/>
    <w:rsid w:val="00E80538"/>
    <w:rsid w:val="00E8181F"/>
    <w:rsid w:val="00E8562D"/>
    <w:rsid w:val="00E859A8"/>
    <w:rsid w:val="00E86BDC"/>
    <w:rsid w:val="00E90CC9"/>
    <w:rsid w:val="00E933ED"/>
    <w:rsid w:val="00E939C2"/>
    <w:rsid w:val="00E9457E"/>
    <w:rsid w:val="00E95716"/>
    <w:rsid w:val="00E959FD"/>
    <w:rsid w:val="00EA044C"/>
    <w:rsid w:val="00EA5E25"/>
    <w:rsid w:val="00EA5FAB"/>
    <w:rsid w:val="00EA740C"/>
    <w:rsid w:val="00EB02EB"/>
    <w:rsid w:val="00EB491F"/>
    <w:rsid w:val="00EB4E4B"/>
    <w:rsid w:val="00EB72B7"/>
    <w:rsid w:val="00EC1CDD"/>
    <w:rsid w:val="00EC2887"/>
    <w:rsid w:val="00EC29A8"/>
    <w:rsid w:val="00EC520C"/>
    <w:rsid w:val="00EC5EB6"/>
    <w:rsid w:val="00EC7228"/>
    <w:rsid w:val="00ED267D"/>
    <w:rsid w:val="00ED3965"/>
    <w:rsid w:val="00ED4D1C"/>
    <w:rsid w:val="00ED68C3"/>
    <w:rsid w:val="00ED68D6"/>
    <w:rsid w:val="00ED6C82"/>
    <w:rsid w:val="00ED778F"/>
    <w:rsid w:val="00EE3A9B"/>
    <w:rsid w:val="00EE3C99"/>
    <w:rsid w:val="00EE5791"/>
    <w:rsid w:val="00EF15FC"/>
    <w:rsid w:val="00EF2A1B"/>
    <w:rsid w:val="00EF7536"/>
    <w:rsid w:val="00F00A3C"/>
    <w:rsid w:val="00F013DC"/>
    <w:rsid w:val="00F02673"/>
    <w:rsid w:val="00F02E63"/>
    <w:rsid w:val="00F072E8"/>
    <w:rsid w:val="00F07B81"/>
    <w:rsid w:val="00F110C6"/>
    <w:rsid w:val="00F117C9"/>
    <w:rsid w:val="00F12C57"/>
    <w:rsid w:val="00F13420"/>
    <w:rsid w:val="00F13499"/>
    <w:rsid w:val="00F134C9"/>
    <w:rsid w:val="00F139C3"/>
    <w:rsid w:val="00F14799"/>
    <w:rsid w:val="00F1594A"/>
    <w:rsid w:val="00F22754"/>
    <w:rsid w:val="00F22BB8"/>
    <w:rsid w:val="00F24DE7"/>
    <w:rsid w:val="00F258D2"/>
    <w:rsid w:val="00F303E6"/>
    <w:rsid w:val="00F30EC1"/>
    <w:rsid w:val="00F315CC"/>
    <w:rsid w:val="00F31888"/>
    <w:rsid w:val="00F3203C"/>
    <w:rsid w:val="00F32998"/>
    <w:rsid w:val="00F331E7"/>
    <w:rsid w:val="00F34595"/>
    <w:rsid w:val="00F34F39"/>
    <w:rsid w:val="00F35277"/>
    <w:rsid w:val="00F37547"/>
    <w:rsid w:val="00F4469D"/>
    <w:rsid w:val="00F47A62"/>
    <w:rsid w:val="00F512C8"/>
    <w:rsid w:val="00F52210"/>
    <w:rsid w:val="00F55352"/>
    <w:rsid w:val="00F5584B"/>
    <w:rsid w:val="00F5587F"/>
    <w:rsid w:val="00F55A54"/>
    <w:rsid w:val="00F61A38"/>
    <w:rsid w:val="00F61C2A"/>
    <w:rsid w:val="00F627D6"/>
    <w:rsid w:val="00F6301D"/>
    <w:rsid w:val="00F64972"/>
    <w:rsid w:val="00F65BD9"/>
    <w:rsid w:val="00F6604E"/>
    <w:rsid w:val="00F669E0"/>
    <w:rsid w:val="00F714B5"/>
    <w:rsid w:val="00F71C40"/>
    <w:rsid w:val="00F750C7"/>
    <w:rsid w:val="00F76937"/>
    <w:rsid w:val="00F80A1A"/>
    <w:rsid w:val="00F833F8"/>
    <w:rsid w:val="00F83CB4"/>
    <w:rsid w:val="00F86439"/>
    <w:rsid w:val="00F8762A"/>
    <w:rsid w:val="00F91D1A"/>
    <w:rsid w:val="00F93085"/>
    <w:rsid w:val="00F9321F"/>
    <w:rsid w:val="00F9351F"/>
    <w:rsid w:val="00F93A7B"/>
    <w:rsid w:val="00F957D6"/>
    <w:rsid w:val="00F962BB"/>
    <w:rsid w:val="00F97632"/>
    <w:rsid w:val="00FA07BF"/>
    <w:rsid w:val="00FB1805"/>
    <w:rsid w:val="00FB331A"/>
    <w:rsid w:val="00FB4DCB"/>
    <w:rsid w:val="00FB54A0"/>
    <w:rsid w:val="00FB6C56"/>
    <w:rsid w:val="00FC0D3A"/>
    <w:rsid w:val="00FC153B"/>
    <w:rsid w:val="00FC39A7"/>
    <w:rsid w:val="00FC3C16"/>
    <w:rsid w:val="00FC4443"/>
    <w:rsid w:val="00FC5D69"/>
    <w:rsid w:val="00FC6EAB"/>
    <w:rsid w:val="00FD1A10"/>
    <w:rsid w:val="00FD4F9D"/>
    <w:rsid w:val="00FE1C91"/>
    <w:rsid w:val="00FE3920"/>
    <w:rsid w:val="00FE56B4"/>
    <w:rsid w:val="00FE65C3"/>
    <w:rsid w:val="00FF1EB3"/>
    <w:rsid w:val="00FF23B5"/>
    <w:rsid w:val="00FF5A50"/>
    <w:rsid w:val="00FF5D65"/>
    <w:rsid w:val="00FF7C1C"/>
    <w:rsid w:val="00FF7E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693D4-B1C8-40C0-9A5A-E8C66BB3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68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34"/>
    <w:pPr>
      <w:ind w:left="720"/>
      <w:contextualSpacing/>
    </w:pPr>
  </w:style>
  <w:style w:type="paragraph" w:styleId="FootnoteText">
    <w:name w:val="footnote text"/>
    <w:basedOn w:val="Normal"/>
    <w:link w:val="FootnoteTextChar"/>
    <w:uiPriority w:val="99"/>
    <w:unhideWhenUsed/>
    <w:rsid w:val="00D74C89"/>
    <w:pPr>
      <w:spacing w:after="0" w:line="240" w:lineRule="auto"/>
    </w:pPr>
    <w:rPr>
      <w:sz w:val="20"/>
      <w:szCs w:val="20"/>
    </w:rPr>
  </w:style>
  <w:style w:type="character" w:customStyle="1" w:styleId="FootnoteTextChar">
    <w:name w:val="Footnote Text Char"/>
    <w:basedOn w:val="DefaultParagraphFont"/>
    <w:link w:val="FootnoteText"/>
    <w:uiPriority w:val="99"/>
    <w:rsid w:val="00D74C89"/>
    <w:rPr>
      <w:sz w:val="20"/>
      <w:szCs w:val="20"/>
    </w:rPr>
  </w:style>
  <w:style w:type="character" w:styleId="FootnoteReference">
    <w:name w:val="footnote reference"/>
    <w:basedOn w:val="DefaultParagraphFont"/>
    <w:uiPriority w:val="99"/>
    <w:semiHidden/>
    <w:unhideWhenUsed/>
    <w:rsid w:val="00D74C89"/>
    <w:rPr>
      <w:vertAlign w:val="superscript"/>
    </w:rPr>
  </w:style>
  <w:style w:type="paragraph" w:styleId="Header">
    <w:name w:val="header"/>
    <w:basedOn w:val="Normal"/>
    <w:link w:val="HeaderChar"/>
    <w:uiPriority w:val="99"/>
    <w:unhideWhenUsed/>
    <w:rsid w:val="00616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8D1"/>
  </w:style>
  <w:style w:type="paragraph" w:styleId="Footer">
    <w:name w:val="footer"/>
    <w:basedOn w:val="Normal"/>
    <w:link w:val="FooterChar"/>
    <w:uiPriority w:val="99"/>
    <w:unhideWhenUsed/>
    <w:rsid w:val="00616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8D1"/>
  </w:style>
  <w:style w:type="paragraph" w:customStyle="1" w:styleId="western">
    <w:name w:val="western"/>
    <w:basedOn w:val="Normal"/>
    <w:rsid w:val="0016069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60694"/>
    <w:rPr>
      <w:color w:val="0000FF"/>
      <w:u w:val="single"/>
    </w:rPr>
  </w:style>
  <w:style w:type="paragraph" w:styleId="BodyText2">
    <w:name w:val="Body Text 2"/>
    <w:basedOn w:val="Normal"/>
    <w:link w:val="BodyText2Char"/>
    <w:rsid w:val="00455BFD"/>
    <w:pPr>
      <w:widowControl w:val="0"/>
      <w:spacing w:after="120" w:line="480" w:lineRule="auto"/>
    </w:pPr>
    <w:rPr>
      <w:rFonts w:ascii="Univers" w:eastAsia="Times New Roman" w:hAnsi="Univers" w:cs="Times New Roman"/>
      <w:snapToGrid w:val="0"/>
      <w:sz w:val="24"/>
      <w:szCs w:val="20"/>
      <w:lang w:val="en-GB"/>
    </w:rPr>
  </w:style>
  <w:style w:type="character" w:customStyle="1" w:styleId="BodyText2Char">
    <w:name w:val="Body Text 2 Char"/>
    <w:basedOn w:val="DefaultParagraphFont"/>
    <w:link w:val="BodyText2"/>
    <w:rsid w:val="00455BFD"/>
    <w:rPr>
      <w:rFonts w:ascii="Univers" w:eastAsia="Times New Roman" w:hAnsi="Univers" w:cs="Times New Roman"/>
      <w:snapToGrid w:val="0"/>
      <w:sz w:val="24"/>
      <w:szCs w:val="20"/>
      <w:lang w:val="en-GB"/>
    </w:rPr>
  </w:style>
  <w:style w:type="paragraph" w:styleId="BodyTextIndent2">
    <w:name w:val="Body Text Indent 2"/>
    <w:basedOn w:val="Normal"/>
    <w:link w:val="BodyTextIndent2Char"/>
    <w:rsid w:val="00455BFD"/>
    <w:pPr>
      <w:widowControl w:val="0"/>
      <w:spacing w:after="120" w:line="480" w:lineRule="auto"/>
      <w:ind w:left="283"/>
    </w:pPr>
    <w:rPr>
      <w:rFonts w:ascii="Univers" w:eastAsia="Times New Roman" w:hAnsi="Univers" w:cs="Times New Roman"/>
      <w:snapToGrid w:val="0"/>
      <w:sz w:val="24"/>
      <w:szCs w:val="20"/>
      <w:lang w:val="en-GB"/>
    </w:rPr>
  </w:style>
  <w:style w:type="character" w:customStyle="1" w:styleId="BodyTextIndent2Char">
    <w:name w:val="Body Text Indent 2 Char"/>
    <w:basedOn w:val="DefaultParagraphFont"/>
    <w:link w:val="BodyTextIndent2"/>
    <w:rsid w:val="00455BFD"/>
    <w:rPr>
      <w:rFonts w:ascii="Univers" w:eastAsia="Times New Roman" w:hAnsi="Univers" w:cs="Times New Roman"/>
      <w:snapToGrid w:val="0"/>
      <w:sz w:val="24"/>
      <w:szCs w:val="20"/>
      <w:lang w:val="en-GB"/>
    </w:rPr>
  </w:style>
  <w:style w:type="paragraph" w:styleId="Title">
    <w:name w:val="Title"/>
    <w:basedOn w:val="Normal"/>
    <w:next w:val="Normal"/>
    <w:link w:val="TitleChar"/>
    <w:uiPriority w:val="10"/>
    <w:qFormat/>
    <w:rsid w:val="00133F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F6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42589"/>
    <w:rPr>
      <w:sz w:val="16"/>
      <w:szCs w:val="16"/>
    </w:rPr>
  </w:style>
  <w:style w:type="paragraph" w:styleId="CommentText">
    <w:name w:val="annotation text"/>
    <w:basedOn w:val="Normal"/>
    <w:link w:val="CommentTextChar"/>
    <w:uiPriority w:val="99"/>
    <w:semiHidden/>
    <w:unhideWhenUsed/>
    <w:rsid w:val="00442589"/>
    <w:pPr>
      <w:spacing w:line="240" w:lineRule="auto"/>
    </w:pPr>
    <w:rPr>
      <w:sz w:val="20"/>
      <w:szCs w:val="20"/>
    </w:rPr>
  </w:style>
  <w:style w:type="character" w:customStyle="1" w:styleId="CommentTextChar">
    <w:name w:val="Comment Text Char"/>
    <w:basedOn w:val="DefaultParagraphFont"/>
    <w:link w:val="CommentText"/>
    <w:uiPriority w:val="99"/>
    <w:semiHidden/>
    <w:rsid w:val="00442589"/>
    <w:rPr>
      <w:sz w:val="20"/>
      <w:szCs w:val="20"/>
    </w:rPr>
  </w:style>
  <w:style w:type="paragraph" w:styleId="CommentSubject">
    <w:name w:val="annotation subject"/>
    <w:basedOn w:val="CommentText"/>
    <w:next w:val="CommentText"/>
    <w:link w:val="CommentSubjectChar"/>
    <w:uiPriority w:val="99"/>
    <w:semiHidden/>
    <w:unhideWhenUsed/>
    <w:rsid w:val="00442589"/>
    <w:rPr>
      <w:b/>
      <w:bCs/>
    </w:rPr>
  </w:style>
  <w:style w:type="character" w:customStyle="1" w:styleId="CommentSubjectChar">
    <w:name w:val="Comment Subject Char"/>
    <w:basedOn w:val="CommentTextChar"/>
    <w:link w:val="CommentSubject"/>
    <w:uiPriority w:val="99"/>
    <w:semiHidden/>
    <w:rsid w:val="00442589"/>
    <w:rPr>
      <w:b/>
      <w:bCs/>
      <w:sz w:val="20"/>
      <w:szCs w:val="20"/>
    </w:rPr>
  </w:style>
  <w:style w:type="paragraph" w:styleId="BalloonText">
    <w:name w:val="Balloon Text"/>
    <w:basedOn w:val="Normal"/>
    <w:link w:val="BalloonTextChar"/>
    <w:uiPriority w:val="99"/>
    <w:semiHidden/>
    <w:unhideWhenUsed/>
    <w:rsid w:val="00ED6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82"/>
    <w:rPr>
      <w:rFonts w:ascii="Segoe UI" w:hAnsi="Segoe UI" w:cs="Segoe UI"/>
      <w:sz w:val="18"/>
      <w:szCs w:val="18"/>
    </w:rPr>
  </w:style>
  <w:style w:type="paragraph" w:styleId="Revision">
    <w:name w:val="Revision"/>
    <w:hidden/>
    <w:uiPriority w:val="99"/>
    <w:semiHidden/>
    <w:rsid w:val="007F6BDF"/>
    <w:pPr>
      <w:spacing w:after="0" w:line="240" w:lineRule="auto"/>
    </w:pPr>
  </w:style>
  <w:style w:type="character" w:customStyle="1" w:styleId="Heading1Char">
    <w:name w:val="Heading 1 Char"/>
    <w:basedOn w:val="DefaultParagraphFont"/>
    <w:link w:val="Heading1"/>
    <w:uiPriority w:val="9"/>
    <w:rsid w:val="0090685D"/>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uiPriority w:val="99"/>
    <w:unhideWhenUsed/>
    <w:rsid w:val="00802547"/>
    <w:pPr>
      <w:spacing w:after="120"/>
      <w:ind w:left="360"/>
    </w:pPr>
  </w:style>
  <w:style w:type="character" w:customStyle="1" w:styleId="BodyTextIndentChar">
    <w:name w:val="Body Text Indent Char"/>
    <w:basedOn w:val="DefaultParagraphFont"/>
    <w:link w:val="BodyTextIndent"/>
    <w:uiPriority w:val="99"/>
    <w:rsid w:val="00802547"/>
  </w:style>
  <w:style w:type="paragraph" w:customStyle="1" w:styleId="JUDGMENTNUMBERED">
    <w:name w:val="JUDGMENT NUMBERED"/>
    <w:basedOn w:val="Normal"/>
    <w:next w:val="JUDGMENTCONTINUED"/>
    <w:link w:val="JUDGMENTNUMBEREDChar"/>
    <w:qFormat/>
    <w:rsid w:val="0079567F"/>
    <w:pPr>
      <w:numPr>
        <w:numId w:val="49"/>
      </w:numPr>
      <w:spacing w:after="0" w:line="360" w:lineRule="auto"/>
      <w:jc w:val="both"/>
    </w:pPr>
    <w:rPr>
      <w:rFonts w:ascii="Times New Roman" w:eastAsia="Times New Roman" w:hAnsi="Times New Roman" w:cs="Times New Roman"/>
      <w:sz w:val="26"/>
    </w:rPr>
  </w:style>
  <w:style w:type="paragraph" w:customStyle="1" w:styleId="JUDGMENTCONTINUED">
    <w:name w:val="JUDGMENT CONTINUED"/>
    <w:basedOn w:val="JUDGMENTNUMBERED"/>
    <w:next w:val="JUDGMENTNUMBERED"/>
    <w:qFormat/>
    <w:rsid w:val="0079567F"/>
    <w:pPr>
      <w:numPr>
        <w:numId w:val="0"/>
      </w:numPr>
    </w:pPr>
  </w:style>
  <w:style w:type="paragraph" w:customStyle="1" w:styleId="QUOTATION">
    <w:name w:val="QUOTATION"/>
    <w:basedOn w:val="Normal"/>
    <w:next w:val="JUDGMENTCONTINUED"/>
    <w:qFormat/>
    <w:rsid w:val="0079567F"/>
    <w:pPr>
      <w:spacing w:after="0" w:line="360" w:lineRule="auto"/>
      <w:ind w:left="720" w:right="720"/>
      <w:jc w:val="both"/>
    </w:pPr>
    <w:rPr>
      <w:rFonts w:ascii="Times New Roman" w:eastAsia="Times New Roman" w:hAnsi="Times New Roman" w:cs="Times New Roman"/>
    </w:rPr>
  </w:style>
  <w:style w:type="character" w:customStyle="1" w:styleId="JUDGMENTNUMBEREDChar">
    <w:name w:val="JUDGMENT NUMBERED Char"/>
    <w:basedOn w:val="DefaultParagraphFont"/>
    <w:link w:val="JUDGMENTNUMBERED"/>
    <w:locked/>
    <w:rsid w:val="0079567F"/>
    <w:rPr>
      <w:rFonts w:ascii="Times New Roman" w:eastAsia="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8416">
      <w:bodyDiv w:val="1"/>
      <w:marLeft w:val="0"/>
      <w:marRight w:val="0"/>
      <w:marTop w:val="0"/>
      <w:marBottom w:val="0"/>
      <w:divBdr>
        <w:top w:val="none" w:sz="0" w:space="0" w:color="auto"/>
        <w:left w:val="none" w:sz="0" w:space="0" w:color="auto"/>
        <w:bottom w:val="none" w:sz="0" w:space="0" w:color="auto"/>
        <w:right w:val="none" w:sz="0" w:space="0" w:color="auto"/>
      </w:divBdr>
    </w:div>
    <w:div w:id="211884996">
      <w:bodyDiv w:val="1"/>
      <w:marLeft w:val="0"/>
      <w:marRight w:val="0"/>
      <w:marTop w:val="0"/>
      <w:marBottom w:val="0"/>
      <w:divBdr>
        <w:top w:val="none" w:sz="0" w:space="0" w:color="auto"/>
        <w:left w:val="none" w:sz="0" w:space="0" w:color="auto"/>
        <w:bottom w:val="none" w:sz="0" w:space="0" w:color="auto"/>
        <w:right w:val="none" w:sz="0" w:space="0" w:color="auto"/>
      </w:divBdr>
    </w:div>
    <w:div w:id="478377099">
      <w:bodyDiv w:val="1"/>
      <w:marLeft w:val="0"/>
      <w:marRight w:val="0"/>
      <w:marTop w:val="0"/>
      <w:marBottom w:val="0"/>
      <w:divBdr>
        <w:top w:val="none" w:sz="0" w:space="0" w:color="auto"/>
        <w:left w:val="none" w:sz="0" w:space="0" w:color="auto"/>
        <w:bottom w:val="none" w:sz="0" w:space="0" w:color="auto"/>
        <w:right w:val="none" w:sz="0" w:space="0" w:color="auto"/>
      </w:divBdr>
    </w:div>
    <w:div w:id="593321703">
      <w:bodyDiv w:val="1"/>
      <w:marLeft w:val="0"/>
      <w:marRight w:val="0"/>
      <w:marTop w:val="0"/>
      <w:marBottom w:val="0"/>
      <w:divBdr>
        <w:top w:val="none" w:sz="0" w:space="0" w:color="auto"/>
        <w:left w:val="none" w:sz="0" w:space="0" w:color="auto"/>
        <w:bottom w:val="none" w:sz="0" w:space="0" w:color="auto"/>
        <w:right w:val="none" w:sz="0" w:space="0" w:color="auto"/>
      </w:divBdr>
      <w:divsChild>
        <w:div w:id="347603762">
          <w:marLeft w:val="547"/>
          <w:marRight w:val="0"/>
          <w:marTop w:val="154"/>
          <w:marBottom w:val="0"/>
          <w:divBdr>
            <w:top w:val="none" w:sz="0" w:space="0" w:color="auto"/>
            <w:left w:val="none" w:sz="0" w:space="0" w:color="auto"/>
            <w:bottom w:val="none" w:sz="0" w:space="0" w:color="auto"/>
            <w:right w:val="none" w:sz="0" w:space="0" w:color="auto"/>
          </w:divBdr>
        </w:div>
      </w:divsChild>
    </w:div>
    <w:div w:id="627248053">
      <w:bodyDiv w:val="1"/>
      <w:marLeft w:val="0"/>
      <w:marRight w:val="0"/>
      <w:marTop w:val="0"/>
      <w:marBottom w:val="0"/>
      <w:divBdr>
        <w:top w:val="none" w:sz="0" w:space="0" w:color="auto"/>
        <w:left w:val="none" w:sz="0" w:space="0" w:color="auto"/>
        <w:bottom w:val="none" w:sz="0" w:space="0" w:color="auto"/>
        <w:right w:val="none" w:sz="0" w:space="0" w:color="auto"/>
      </w:divBdr>
    </w:div>
    <w:div w:id="796333482">
      <w:bodyDiv w:val="1"/>
      <w:marLeft w:val="0"/>
      <w:marRight w:val="0"/>
      <w:marTop w:val="0"/>
      <w:marBottom w:val="0"/>
      <w:divBdr>
        <w:top w:val="none" w:sz="0" w:space="0" w:color="auto"/>
        <w:left w:val="none" w:sz="0" w:space="0" w:color="auto"/>
        <w:bottom w:val="none" w:sz="0" w:space="0" w:color="auto"/>
        <w:right w:val="none" w:sz="0" w:space="0" w:color="auto"/>
      </w:divBdr>
    </w:div>
    <w:div w:id="1095252911">
      <w:bodyDiv w:val="1"/>
      <w:marLeft w:val="0"/>
      <w:marRight w:val="0"/>
      <w:marTop w:val="0"/>
      <w:marBottom w:val="0"/>
      <w:divBdr>
        <w:top w:val="none" w:sz="0" w:space="0" w:color="auto"/>
        <w:left w:val="none" w:sz="0" w:space="0" w:color="auto"/>
        <w:bottom w:val="none" w:sz="0" w:space="0" w:color="auto"/>
        <w:right w:val="none" w:sz="0" w:space="0" w:color="auto"/>
      </w:divBdr>
    </w:div>
    <w:div w:id="1132213411">
      <w:bodyDiv w:val="1"/>
      <w:marLeft w:val="0"/>
      <w:marRight w:val="0"/>
      <w:marTop w:val="0"/>
      <w:marBottom w:val="0"/>
      <w:divBdr>
        <w:top w:val="none" w:sz="0" w:space="0" w:color="auto"/>
        <w:left w:val="none" w:sz="0" w:space="0" w:color="auto"/>
        <w:bottom w:val="none" w:sz="0" w:space="0" w:color="auto"/>
        <w:right w:val="none" w:sz="0" w:space="0" w:color="auto"/>
      </w:divBdr>
    </w:div>
    <w:div w:id="1228569149">
      <w:bodyDiv w:val="1"/>
      <w:marLeft w:val="0"/>
      <w:marRight w:val="0"/>
      <w:marTop w:val="0"/>
      <w:marBottom w:val="0"/>
      <w:divBdr>
        <w:top w:val="none" w:sz="0" w:space="0" w:color="auto"/>
        <w:left w:val="none" w:sz="0" w:space="0" w:color="auto"/>
        <w:bottom w:val="none" w:sz="0" w:space="0" w:color="auto"/>
        <w:right w:val="none" w:sz="0" w:space="0" w:color="auto"/>
      </w:divBdr>
    </w:div>
    <w:div w:id="1499342600">
      <w:bodyDiv w:val="1"/>
      <w:marLeft w:val="0"/>
      <w:marRight w:val="0"/>
      <w:marTop w:val="0"/>
      <w:marBottom w:val="0"/>
      <w:divBdr>
        <w:top w:val="none" w:sz="0" w:space="0" w:color="auto"/>
        <w:left w:val="none" w:sz="0" w:space="0" w:color="auto"/>
        <w:bottom w:val="none" w:sz="0" w:space="0" w:color="auto"/>
        <w:right w:val="none" w:sz="0" w:space="0" w:color="auto"/>
      </w:divBdr>
    </w:div>
    <w:div w:id="1592543424">
      <w:bodyDiv w:val="1"/>
      <w:marLeft w:val="0"/>
      <w:marRight w:val="0"/>
      <w:marTop w:val="0"/>
      <w:marBottom w:val="0"/>
      <w:divBdr>
        <w:top w:val="none" w:sz="0" w:space="0" w:color="auto"/>
        <w:left w:val="none" w:sz="0" w:space="0" w:color="auto"/>
        <w:bottom w:val="none" w:sz="0" w:space="0" w:color="auto"/>
        <w:right w:val="none" w:sz="0" w:space="0" w:color="auto"/>
      </w:divBdr>
    </w:div>
    <w:div w:id="197860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BE4C83E-DDDC-4B93-ACE8-6F18FDAB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5852</Words>
  <Characters>33360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Noncembu Vuyokazi</dc:creator>
  <cp:keywords/>
  <dc:description/>
  <cp:lastModifiedBy>Mokone</cp:lastModifiedBy>
  <cp:revision>2</cp:revision>
  <cp:lastPrinted>2023-09-26T06:51:00Z</cp:lastPrinted>
  <dcterms:created xsi:type="dcterms:W3CDTF">2023-09-29T09:29:00Z</dcterms:created>
  <dcterms:modified xsi:type="dcterms:W3CDTF">2023-09-29T09:29:00Z</dcterms:modified>
</cp:coreProperties>
</file>