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A5248" w14:textId="77777777" w:rsidR="004B01D9" w:rsidRDefault="004B01D9" w:rsidP="004B01D9">
      <w:pPr>
        <w:contextualSpacing/>
        <w:jc w:val="both"/>
        <w:rPr>
          <w:rFonts w:ascii="Times New Roman" w:hAnsi="Times New Roman"/>
          <w:b/>
          <w:sz w:val="28"/>
          <w:szCs w:val="28"/>
        </w:rPr>
      </w:pPr>
      <w:r w:rsidRPr="00095CCD">
        <w:rPr>
          <w:rFonts w:ascii="Times New Roman" w:hAnsi="Times New Roman"/>
          <w:noProof/>
          <w:sz w:val="28"/>
          <w:szCs w:val="28"/>
          <w:lang w:val="en-US" w:eastAsia="en-US"/>
        </w:rPr>
        <w:drawing>
          <wp:anchor distT="0" distB="0" distL="114300" distR="114300" simplePos="0" relativeHeight="251659264" behindDoc="0" locked="0" layoutInCell="1" allowOverlap="1" wp14:anchorId="36B2FF73" wp14:editId="0BFEA643">
            <wp:simplePos x="0" y="0"/>
            <wp:positionH relativeFrom="column">
              <wp:posOffset>2032000</wp:posOffset>
            </wp:positionH>
            <wp:positionV relativeFrom="paragraph">
              <wp:posOffset>0</wp:posOffset>
            </wp:positionV>
            <wp:extent cx="1333500" cy="12668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anchor>
        </w:drawing>
      </w:r>
    </w:p>
    <w:p w14:paraId="1283709F" w14:textId="77777777" w:rsidR="004B01D9" w:rsidRDefault="004B01D9" w:rsidP="004B01D9">
      <w:pPr>
        <w:contextualSpacing/>
        <w:jc w:val="both"/>
        <w:rPr>
          <w:rFonts w:ascii="Times New Roman" w:hAnsi="Times New Roman"/>
          <w:b/>
          <w:sz w:val="28"/>
          <w:szCs w:val="28"/>
        </w:rPr>
      </w:pPr>
    </w:p>
    <w:p w14:paraId="57843CC8" w14:textId="77777777" w:rsidR="004B01D9" w:rsidRDefault="004B01D9" w:rsidP="004B01D9">
      <w:pPr>
        <w:contextualSpacing/>
        <w:jc w:val="both"/>
        <w:rPr>
          <w:rFonts w:ascii="Times New Roman" w:hAnsi="Times New Roman"/>
          <w:b/>
          <w:sz w:val="28"/>
          <w:szCs w:val="28"/>
        </w:rPr>
      </w:pPr>
    </w:p>
    <w:p w14:paraId="071CA744" w14:textId="77777777" w:rsidR="004B01D9" w:rsidRDefault="004B01D9" w:rsidP="004B01D9">
      <w:pPr>
        <w:contextualSpacing/>
        <w:jc w:val="both"/>
        <w:rPr>
          <w:rFonts w:ascii="Times New Roman" w:hAnsi="Times New Roman"/>
          <w:b/>
          <w:sz w:val="28"/>
          <w:szCs w:val="28"/>
        </w:rPr>
      </w:pPr>
    </w:p>
    <w:p w14:paraId="714990AD" w14:textId="77777777" w:rsidR="004B01D9" w:rsidRPr="00095CCD" w:rsidRDefault="004B01D9" w:rsidP="004B01D9">
      <w:pPr>
        <w:contextualSpacing/>
        <w:jc w:val="both"/>
        <w:rPr>
          <w:rFonts w:ascii="Times New Roman" w:hAnsi="Times New Roman"/>
          <w:b/>
          <w:sz w:val="28"/>
          <w:szCs w:val="28"/>
        </w:rPr>
      </w:pPr>
    </w:p>
    <w:p w14:paraId="2E4026CC" w14:textId="77777777" w:rsidR="004B01D9" w:rsidRPr="00095CCD" w:rsidRDefault="004B01D9" w:rsidP="004B01D9">
      <w:pPr>
        <w:contextualSpacing/>
        <w:jc w:val="right"/>
        <w:rPr>
          <w:rFonts w:ascii="Times New Roman" w:hAnsi="Times New Roman"/>
          <w:b/>
          <w:sz w:val="28"/>
          <w:szCs w:val="28"/>
        </w:rPr>
      </w:pPr>
      <w:r w:rsidRPr="00095CCD">
        <w:rPr>
          <w:rFonts w:ascii="Times New Roman" w:hAnsi="Times New Roman"/>
          <w:b/>
          <w:sz w:val="28"/>
          <w:szCs w:val="28"/>
        </w:rPr>
        <w:t>NOT REPORTABLE</w:t>
      </w:r>
    </w:p>
    <w:p w14:paraId="715EFB4B" w14:textId="77777777" w:rsidR="004B01D9" w:rsidRDefault="004B01D9" w:rsidP="004B01D9">
      <w:pPr>
        <w:contextualSpacing/>
        <w:jc w:val="both"/>
        <w:rPr>
          <w:rFonts w:ascii="Times New Roman" w:hAnsi="Times New Roman"/>
          <w:b/>
          <w:sz w:val="28"/>
          <w:szCs w:val="28"/>
        </w:rPr>
      </w:pPr>
      <w:r w:rsidRPr="00095CCD">
        <w:rPr>
          <w:rFonts w:ascii="Times New Roman" w:hAnsi="Times New Roman"/>
          <w:b/>
          <w:sz w:val="28"/>
          <w:szCs w:val="28"/>
        </w:rPr>
        <w:t>IN THE HIGH COURT OF SOUTH AFRICA</w:t>
      </w:r>
    </w:p>
    <w:p w14:paraId="63DB5C90" w14:textId="77777777" w:rsidR="004B01D9" w:rsidRPr="00FE0355" w:rsidRDefault="004B01D9" w:rsidP="004B01D9">
      <w:pPr>
        <w:contextualSpacing/>
        <w:jc w:val="both"/>
        <w:rPr>
          <w:rFonts w:ascii="Times New Roman" w:hAnsi="Times New Roman" w:cs="Times New Roman"/>
          <w:b/>
          <w:sz w:val="28"/>
          <w:szCs w:val="28"/>
        </w:rPr>
      </w:pPr>
      <w:r w:rsidRPr="00FE0355">
        <w:rPr>
          <w:rFonts w:ascii="Times New Roman" w:hAnsi="Times New Roman" w:cs="Times New Roman"/>
          <w:b/>
          <w:sz w:val="28"/>
          <w:szCs w:val="28"/>
        </w:rPr>
        <w:t xml:space="preserve">(EASTERN CAPE DIVISION, </w:t>
      </w:r>
      <w:r>
        <w:rPr>
          <w:rFonts w:ascii="Times New Roman" w:hAnsi="Times New Roman" w:cs="Times New Roman"/>
          <w:b/>
          <w:sz w:val="28"/>
          <w:szCs w:val="28"/>
        </w:rPr>
        <w:t>GQEBERHA</w:t>
      </w:r>
      <w:r w:rsidRPr="00FE0355">
        <w:rPr>
          <w:rFonts w:ascii="Times New Roman" w:hAnsi="Times New Roman" w:cs="Times New Roman"/>
          <w:b/>
          <w:sz w:val="28"/>
          <w:szCs w:val="28"/>
        </w:rPr>
        <w:t>)</w:t>
      </w:r>
    </w:p>
    <w:p w14:paraId="12ADC938" w14:textId="010916FA" w:rsidR="004B01D9" w:rsidRDefault="004B01D9" w:rsidP="006157CB">
      <w:pPr>
        <w:widowControl w:val="0"/>
        <w:autoSpaceDE w:val="0"/>
        <w:autoSpaceDN w:val="0"/>
        <w:adjustRightInd w:val="0"/>
        <w:ind w:left="5760" w:firstLine="720"/>
        <w:contextualSpacing/>
        <w:jc w:val="both"/>
        <w:rPr>
          <w:rFonts w:ascii="Times New Roman" w:hAnsi="Times New Roman"/>
          <w:color w:val="000000"/>
          <w:sz w:val="28"/>
          <w:szCs w:val="28"/>
        </w:rPr>
      </w:pPr>
      <w:r w:rsidRPr="00095CCD">
        <w:rPr>
          <w:rFonts w:ascii="Times New Roman" w:hAnsi="Times New Roman"/>
          <w:color w:val="000000"/>
          <w:sz w:val="28"/>
          <w:szCs w:val="28"/>
        </w:rPr>
        <w:t>CASE NO.</w:t>
      </w:r>
      <w:r w:rsidR="006157CB">
        <w:rPr>
          <w:rFonts w:ascii="Times New Roman" w:hAnsi="Times New Roman"/>
          <w:color w:val="000000"/>
          <w:sz w:val="28"/>
          <w:szCs w:val="28"/>
        </w:rPr>
        <w:t xml:space="preserve"> 2923/2021</w:t>
      </w:r>
      <w:r w:rsidRPr="00095CCD">
        <w:rPr>
          <w:rFonts w:ascii="Times New Roman" w:hAnsi="Times New Roman"/>
          <w:color w:val="000000"/>
          <w:sz w:val="28"/>
          <w:szCs w:val="28"/>
        </w:rPr>
        <w:t xml:space="preserve"> </w:t>
      </w:r>
      <w:r>
        <w:rPr>
          <w:rFonts w:ascii="Times New Roman" w:hAnsi="Times New Roman"/>
          <w:color w:val="000000"/>
          <w:sz w:val="28"/>
          <w:szCs w:val="28"/>
        </w:rPr>
        <w:t xml:space="preserve"> </w:t>
      </w:r>
    </w:p>
    <w:p w14:paraId="300D30E7" w14:textId="77777777" w:rsidR="004B01D9" w:rsidRDefault="004B01D9" w:rsidP="004B01D9">
      <w:pPr>
        <w:widowControl w:val="0"/>
        <w:autoSpaceDE w:val="0"/>
        <w:autoSpaceDN w:val="0"/>
        <w:adjustRightInd w:val="0"/>
        <w:contextualSpacing/>
        <w:jc w:val="both"/>
        <w:rPr>
          <w:rFonts w:ascii="Times New Roman" w:hAnsi="Times New Roman"/>
          <w:color w:val="000000"/>
          <w:sz w:val="28"/>
          <w:szCs w:val="28"/>
        </w:rPr>
      </w:pPr>
    </w:p>
    <w:p w14:paraId="0519D34E" w14:textId="77777777" w:rsidR="004B01D9" w:rsidRPr="00095CCD" w:rsidRDefault="004B01D9" w:rsidP="004B01D9">
      <w:pPr>
        <w:widowControl w:val="0"/>
        <w:autoSpaceDE w:val="0"/>
        <w:autoSpaceDN w:val="0"/>
        <w:adjustRightInd w:val="0"/>
        <w:contextualSpacing/>
        <w:jc w:val="both"/>
        <w:rPr>
          <w:rFonts w:ascii="Times New Roman" w:hAnsi="Times New Roman"/>
          <w:color w:val="000000"/>
          <w:sz w:val="28"/>
          <w:szCs w:val="28"/>
        </w:rPr>
      </w:pPr>
      <w:r w:rsidRPr="00095CCD">
        <w:rPr>
          <w:rFonts w:ascii="Times New Roman" w:hAnsi="Times New Roman"/>
          <w:color w:val="000000"/>
          <w:sz w:val="28"/>
          <w:szCs w:val="28"/>
        </w:rPr>
        <w:t>In the matter between:</w:t>
      </w:r>
    </w:p>
    <w:p w14:paraId="4ACC1274" w14:textId="77777777" w:rsidR="004B01D9" w:rsidRPr="00095CCD" w:rsidRDefault="004B01D9" w:rsidP="004B01D9">
      <w:pPr>
        <w:widowControl w:val="0"/>
        <w:autoSpaceDE w:val="0"/>
        <w:autoSpaceDN w:val="0"/>
        <w:adjustRightInd w:val="0"/>
        <w:contextualSpacing/>
        <w:jc w:val="both"/>
        <w:rPr>
          <w:rFonts w:ascii="Arial" w:hAnsi="Arial" w:cs="Arial"/>
          <w:sz w:val="28"/>
          <w:szCs w:val="28"/>
        </w:rPr>
      </w:pPr>
      <w:r w:rsidRPr="00095CCD">
        <w:rPr>
          <w:rFonts w:ascii="Arial" w:hAnsi="Arial" w:cs="Arial"/>
          <w:sz w:val="28"/>
          <w:szCs w:val="28"/>
        </w:rPr>
        <w:t xml:space="preserve">     </w:t>
      </w:r>
    </w:p>
    <w:p w14:paraId="5E14F223" w14:textId="6EF30743" w:rsidR="006157CB" w:rsidRDefault="006157CB" w:rsidP="004B01D9">
      <w:pPr>
        <w:widowControl w:val="0"/>
        <w:autoSpaceDE w:val="0"/>
        <w:autoSpaceDN w:val="0"/>
        <w:adjustRightInd w:val="0"/>
        <w:contextualSpacing/>
        <w:jc w:val="both"/>
        <w:rPr>
          <w:rFonts w:ascii="Times New Roman" w:hAnsi="Times New Roman"/>
          <w:bCs/>
          <w:color w:val="000000"/>
          <w:sz w:val="28"/>
          <w:szCs w:val="28"/>
        </w:rPr>
      </w:pPr>
      <w:r>
        <w:rPr>
          <w:rFonts w:ascii="Times New Roman" w:hAnsi="Times New Roman"/>
          <w:bCs/>
          <w:color w:val="000000"/>
          <w:sz w:val="28"/>
          <w:szCs w:val="28"/>
        </w:rPr>
        <w:t>GARY DAVID MEYERS N.O.</w:t>
      </w:r>
      <w:r w:rsidR="004B01D9">
        <w:rPr>
          <w:rFonts w:ascii="Times New Roman" w:hAnsi="Times New Roman"/>
          <w:bCs/>
          <w:color w:val="000000"/>
          <w:sz w:val="28"/>
          <w:szCs w:val="28"/>
        </w:rPr>
        <w:tab/>
      </w:r>
      <w:r w:rsidR="004B01D9">
        <w:rPr>
          <w:rFonts w:ascii="Times New Roman" w:hAnsi="Times New Roman"/>
          <w:bCs/>
          <w:color w:val="000000"/>
          <w:sz w:val="28"/>
          <w:szCs w:val="28"/>
        </w:rPr>
        <w:tab/>
      </w:r>
      <w:r w:rsidR="004B01D9">
        <w:rPr>
          <w:rFonts w:ascii="Times New Roman" w:hAnsi="Times New Roman"/>
          <w:bCs/>
          <w:color w:val="000000"/>
          <w:sz w:val="28"/>
          <w:szCs w:val="28"/>
        </w:rPr>
        <w:tab/>
      </w:r>
      <w:r w:rsidR="004B01D9">
        <w:rPr>
          <w:rFonts w:ascii="Times New Roman" w:hAnsi="Times New Roman"/>
          <w:bCs/>
          <w:color w:val="000000"/>
          <w:sz w:val="28"/>
          <w:szCs w:val="28"/>
        </w:rPr>
        <w:tab/>
      </w:r>
      <w:r w:rsidR="004B01D9">
        <w:rPr>
          <w:rFonts w:ascii="Times New Roman" w:hAnsi="Times New Roman"/>
          <w:bCs/>
          <w:color w:val="000000"/>
          <w:sz w:val="28"/>
          <w:szCs w:val="28"/>
        </w:rPr>
        <w:tab/>
      </w:r>
      <w:r>
        <w:rPr>
          <w:rFonts w:ascii="Times New Roman" w:hAnsi="Times New Roman"/>
          <w:bCs/>
          <w:color w:val="000000"/>
          <w:sz w:val="28"/>
          <w:szCs w:val="28"/>
        </w:rPr>
        <w:t>First Plaintiff</w:t>
      </w:r>
    </w:p>
    <w:p w14:paraId="11ECD20C" w14:textId="10B51A3B" w:rsidR="004B01D9" w:rsidRDefault="006157CB" w:rsidP="004B01D9">
      <w:pPr>
        <w:widowControl w:val="0"/>
        <w:autoSpaceDE w:val="0"/>
        <w:autoSpaceDN w:val="0"/>
        <w:adjustRightInd w:val="0"/>
        <w:contextualSpacing/>
        <w:jc w:val="both"/>
        <w:rPr>
          <w:rFonts w:ascii="Times New Roman" w:hAnsi="Times New Roman"/>
          <w:bCs/>
          <w:color w:val="000000"/>
          <w:sz w:val="28"/>
          <w:szCs w:val="28"/>
        </w:rPr>
      </w:pPr>
      <w:r>
        <w:rPr>
          <w:rFonts w:ascii="Times New Roman" w:hAnsi="Times New Roman"/>
          <w:bCs/>
          <w:color w:val="000000"/>
          <w:sz w:val="28"/>
          <w:szCs w:val="28"/>
        </w:rPr>
        <w:t>HILTON SAVEN N.O.</w:t>
      </w:r>
      <w:r w:rsidR="004B01D9">
        <w:rPr>
          <w:rFonts w:ascii="Times New Roman" w:hAnsi="Times New Roman"/>
          <w:bCs/>
          <w:color w:val="000000"/>
          <w:sz w:val="28"/>
          <w:szCs w:val="28"/>
        </w:rPr>
        <w:tab/>
      </w:r>
      <w:r w:rsidR="004B01D9">
        <w:rPr>
          <w:rFonts w:ascii="Times New Roman" w:hAnsi="Times New Roman"/>
          <w:bCs/>
          <w:color w:val="000000"/>
          <w:sz w:val="28"/>
          <w:szCs w:val="28"/>
        </w:rPr>
        <w:tab/>
      </w:r>
      <w:r>
        <w:rPr>
          <w:rFonts w:ascii="Times New Roman" w:hAnsi="Times New Roman"/>
          <w:bCs/>
          <w:color w:val="000000"/>
          <w:sz w:val="28"/>
          <w:szCs w:val="28"/>
        </w:rPr>
        <w:tab/>
      </w:r>
      <w:r w:rsidR="004B01D9">
        <w:rPr>
          <w:rFonts w:ascii="Times New Roman" w:hAnsi="Times New Roman"/>
          <w:bCs/>
          <w:color w:val="000000"/>
          <w:sz w:val="28"/>
          <w:szCs w:val="28"/>
        </w:rPr>
        <w:tab/>
      </w:r>
      <w:r w:rsidR="004B01D9">
        <w:rPr>
          <w:rFonts w:ascii="Times New Roman" w:hAnsi="Times New Roman"/>
          <w:bCs/>
          <w:color w:val="000000"/>
          <w:sz w:val="28"/>
          <w:szCs w:val="28"/>
        </w:rPr>
        <w:tab/>
      </w:r>
      <w:r>
        <w:rPr>
          <w:rFonts w:ascii="Times New Roman" w:hAnsi="Times New Roman"/>
          <w:bCs/>
          <w:color w:val="000000"/>
          <w:sz w:val="28"/>
          <w:szCs w:val="28"/>
        </w:rPr>
        <w:tab/>
        <w:t>Second Plaintiff</w:t>
      </w:r>
    </w:p>
    <w:p w14:paraId="5F074F9D" w14:textId="246E5FAC" w:rsidR="006157CB" w:rsidRDefault="006157CB" w:rsidP="004B01D9">
      <w:pPr>
        <w:widowControl w:val="0"/>
        <w:autoSpaceDE w:val="0"/>
        <w:autoSpaceDN w:val="0"/>
        <w:adjustRightInd w:val="0"/>
        <w:contextualSpacing/>
        <w:jc w:val="both"/>
        <w:rPr>
          <w:rFonts w:ascii="Times New Roman" w:hAnsi="Times New Roman"/>
          <w:bCs/>
          <w:color w:val="000000"/>
          <w:sz w:val="28"/>
          <w:szCs w:val="28"/>
        </w:rPr>
      </w:pPr>
      <w:r>
        <w:rPr>
          <w:rFonts w:ascii="Times New Roman" w:hAnsi="Times New Roman"/>
          <w:bCs/>
          <w:color w:val="000000"/>
          <w:sz w:val="28"/>
          <w:szCs w:val="28"/>
        </w:rPr>
        <w:t>JACK MEYERS N.O.</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Third Plaintiff</w:t>
      </w:r>
    </w:p>
    <w:p w14:paraId="4542CB09" w14:textId="77777777" w:rsidR="004B01D9" w:rsidRDefault="004B01D9" w:rsidP="004B01D9">
      <w:pPr>
        <w:widowControl w:val="0"/>
        <w:autoSpaceDE w:val="0"/>
        <w:autoSpaceDN w:val="0"/>
        <w:adjustRightInd w:val="0"/>
        <w:contextualSpacing/>
        <w:jc w:val="both"/>
        <w:rPr>
          <w:rFonts w:ascii="Times New Roman" w:hAnsi="Times New Roman"/>
          <w:color w:val="000000"/>
          <w:sz w:val="28"/>
          <w:szCs w:val="28"/>
        </w:rPr>
      </w:pPr>
    </w:p>
    <w:p w14:paraId="2E73E659" w14:textId="77777777" w:rsidR="004B01D9" w:rsidRDefault="004B01D9" w:rsidP="004B01D9">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a</w:t>
      </w:r>
      <w:r w:rsidRPr="00095CCD">
        <w:rPr>
          <w:rFonts w:ascii="Times New Roman" w:hAnsi="Times New Roman"/>
          <w:color w:val="000000"/>
          <w:sz w:val="28"/>
          <w:szCs w:val="28"/>
        </w:rPr>
        <w:t>nd</w:t>
      </w:r>
    </w:p>
    <w:p w14:paraId="2F58A226" w14:textId="77777777" w:rsidR="004B01D9" w:rsidRPr="00095CCD" w:rsidRDefault="004B01D9" w:rsidP="004B01D9">
      <w:pPr>
        <w:widowControl w:val="0"/>
        <w:autoSpaceDE w:val="0"/>
        <w:autoSpaceDN w:val="0"/>
        <w:adjustRightInd w:val="0"/>
        <w:contextualSpacing/>
        <w:jc w:val="both"/>
        <w:rPr>
          <w:rFonts w:ascii="Times New Roman" w:hAnsi="Times New Roman"/>
          <w:color w:val="000000"/>
          <w:sz w:val="28"/>
          <w:szCs w:val="28"/>
        </w:rPr>
      </w:pPr>
    </w:p>
    <w:p w14:paraId="378163E6" w14:textId="77777777" w:rsidR="006157CB" w:rsidRDefault="006157CB" w:rsidP="004B01D9">
      <w:pPr>
        <w:pBdr>
          <w:bottom w:val="single" w:sz="12" w:space="1" w:color="auto"/>
        </w:pBdr>
        <w:contextualSpacing/>
        <w:jc w:val="both"/>
        <w:rPr>
          <w:rFonts w:ascii="Times New Roman" w:hAnsi="Times New Roman"/>
          <w:bCs/>
          <w:sz w:val="28"/>
          <w:szCs w:val="28"/>
        </w:rPr>
      </w:pPr>
      <w:r>
        <w:rPr>
          <w:rFonts w:ascii="Times New Roman" w:hAnsi="Times New Roman"/>
          <w:bCs/>
          <w:sz w:val="28"/>
          <w:szCs w:val="28"/>
        </w:rPr>
        <w:t xml:space="preserve">NELSON MANDELA BAY </w:t>
      </w:r>
    </w:p>
    <w:p w14:paraId="7C29712F" w14:textId="77777777" w:rsidR="006157CB" w:rsidRDefault="006157CB" w:rsidP="004B01D9">
      <w:pPr>
        <w:pBdr>
          <w:bottom w:val="single" w:sz="12" w:space="1" w:color="auto"/>
        </w:pBdr>
        <w:contextualSpacing/>
        <w:jc w:val="both"/>
        <w:rPr>
          <w:rFonts w:ascii="Times New Roman" w:hAnsi="Times New Roman"/>
          <w:bCs/>
          <w:sz w:val="28"/>
          <w:szCs w:val="28"/>
        </w:rPr>
      </w:pPr>
      <w:r>
        <w:rPr>
          <w:rFonts w:ascii="Times New Roman" w:hAnsi="Times New Roman"/>
          <w:bCs/>
          <w:sz w:val="28"/>
          <w:szCs w:val="28"/>
        </w:rPr>
        <w:t>METROPOLITAN MUNICIPALITY</w:t>
      </w:r>
      <w:r w:rsidR="004B01D9">
        <w:rPr>
          <w:rFonts w:ascii="Times New Roman" w:hAnsi="Times New Roman"/>
          <w:bCs/>
          <w:sz w:val="28"/>
          <w:szCs w:val="28"/>
        </w:rPr>
        <w:tab/>
      </w:r>
      <w:r w:rsidR="004B01D9">
        <w:rPr>
          <w:rFonts w:ascii="Times New Roman" w:hAnsi="Times New Roman"/>
          <w:bCs/>
          <w:sz w:val="28"/>
          <w:szCs w:val="28"/>
        </w:rPr>
        <w:tab/>
      </w:r>
      <w:r w:rsidR="004B01D9">
        <w:rPr>
          <w:rFonts w:ascii="Times New Roman" w:hAnsi="Times New Roman"/>
          <w:bCs/>
          <w:sz w:val="28"/>
          <w:szCs w:val="28"/>
        </w:rPr>
        <w:tab/>
      </w:r>
      <w:r w:rsidR="004B01D9">
        <w:rPr>
          <w:rFonts w:ascii="Times New Roman" w:hAnsi="Times New Roman"/>
          <w:bCs/>
          <w:sz w:val="28"/>
          <w:szCs w:val="28"/>
        </w:rPr>
        <w:tab/>
      </w:r>
      <w:r>
        <w:rPr>
          <w:rFonts w:ascii="Times New Roman" w:hAnsi="Times New Roman"/>
          <w:bCs/>
          <w:sz w:val="28"/>
          <w:szCs w:val="28"/>
        </w:rPr>
        <w:t>First Defendant</w:t>
      </w:r>
      <w:r w:rsidR="004B01D9">
        <w:rPr>
          <w:rFonts w:ascii="Times New Roman" w:hAnsi="Times New Roman"/>
          <w:bCs/>
          <w:sz w:val="28"/>
          <w:szCs w:val="28"/>
        </w:rPr>
        <w:tab/>
      </w:r>
    </w:p>
    <w:p w14:paraId="69833696" w14:textId="77777777" w:rsidR="006157CB" w:rsidRDefault="006157CB" w:rsidP="004B01D9">
      <w:pPr>
        <w:pBdr>
          <w:bottom w:val="single" w:sz="12" w:space="1" w:color="auto"/>
        </w:pBdr>
        <w:contextualSpacing/>
        <w:jc w:val="both"/>
        <w:rPr>
          <w:rFonts w:ascii="Times New Roman" w:hAnsi="Times New Roman"/>
          <w:bCs/>
          <w:sz w:val="28"/>
          <w:szCs w:val="28"/>
        </w:rPr>
      </w:pPr>
      <w:r>
        <w:rPr>
          <w:rFonts w:ascii="Times New Roman" w:hAnsi="Times New Roman"/>
          <w:bCs/>
          <w:sz w:val="28"/>
          <w:szCs w:val="28"/>
        </w:rPr>
        <w:t>THE BUILDING CONTROL OFFICER</w:t>
      </w:r>
    </w:p>
    <w:p w14:paraId="74F4FE9E" w14:textId="372EFC26" w:rsidR="004B01D9" w:rsidRPr="006157CB" w:rsidRDefault="006157CB" w:rsidP="004B01D9">
      <w:pPr>
        <w:pBdr>
          <w:bottom w:val="single" w:sz="12" w:space="1" w:color="auto"/>
        </w:pBdr>
        <w:contextualSpacing/>
        <w:jc w:val="both"/>
        <w:rPr>
          <w:rFonts w:ascii="Times New Roman" w:hAnsi="Times New Roman"/>
          <w:bCs/>
          <w:sz w:val="28"/>
          <w:szCs w:val="28"/>
        </w:rPr>
      </w:pPr>
      <w:r>
        <w:rPr>
          <w:rFonts w:ascii="Times New Roman" w:hAnsi="Times New Roman"/>
          <w:bCs/>
          <w:sz w:val="28"/>
          <w:szCs w:val="28"/>
        </w:rPr>
        <w:t>OF THE FIRST DEFENDANT</w:t>
      </w:r>
      <w:r>
        <w:rPr>
          <w:rFonts w:ascii="Times New Roman" w:hAnsi="Times New Roman"/>
          <w:bCs/>
          <w:sz w:val="28"/>
          <w:szCs w:val="28"/>
        </w:rPr>
        <w:tab/>
      </w:r>
      <w:r w:rsidR="004B01D9">
        <w:rPr>
          <w:rFonts w:ascii="Times New Roman" w:hAnsi="Times New Roman"/>
          <w:bCs/>
          <w:sz w:val="28"/>
          <w:szCs w:val="28"/>
        </w:rPr>
        <w:tab/>
      </w:r>
      <w:r w:rsidR="004B01D9">
        <w:rPr>
          <w:rFonts w:ascii="Times New Roman" w:hAnsi="Times New Roman"/>
          <w:bCs/>
          <w:sz w:val="28"/>
          <w:szCs w:val="28"/>
        </w:rPr>
        <w:tab/>
      </w:r>
      <w:r w:rsidR="004B01D9">
        <w:rPr>
          <w:rFonts w:ascii="Times New Roman" w:hAnsi="Times New Roman"/>
          <w:bCs/>
          <w:sz w:val="28"/>
          <w:szCs w:val="28"/>
        </w:rPr>
        <w:tab/>
      </w:r>
      <w:r w:rsidR="004B01D9">
        <w:rPr>
          <w:rFonts w:ascii="Times New Roman" w:hAnsi="Times New Roman"/>
          <w:bCs/>
          <w:sz w:val="28"/>
          <w:szCs w:val="28"/>
        </w:rPr>
        <w:tab/>
      </w:r>
      <w:r>
        <w:rPr>
          <w:rFonts w:ascii="Times New Roman" w:hAnsi="Times New Roman"/>
          <w:bCs/>
          <w:sz w:val="28"/>
          <w:szCs w:val="28"/>
        </w:rPr>
        <w:t>Second Defendant</w:t>
      </w:r>
      <w:r w:rsidR="004B01D9">
        <w:rPr>
          <w:rFonts w:ascii="Times New Roman" w:hAnsi="Times New Roman"/>
          <w:bCs/>
          <w:sz w:val="28"/>
          <w:szCs w:val="28"/>
        </w:rPr>
        <w:t xml:space="preserve"> </w:t>
      </w:r>
      <w:r w:rsidR="004B01D9" w:rsidRPr="00095CCD">
        <w:rPr>
          <w:rFonts w:ascii="Times New Roman" w:hAnsi="Times New Roman"/>
          <w:bCs/>
          <w:sz w:val="28"/>
          <w:szCs w:val="28"/>
        </w:rPr>
        <w:tab/>
      </w:r>
      <w:r w:rsidR="004B01D9" w:rsidRPr="00095CCD">
        <w:rPr>
          <w:rFonts w:ascii="Times New Roman" w:hAnsi="Times New Roman"/>
          <w:bCs/>
          <w:sz w:val="28"/>
          <w:szCs w:val="28"/>
        </w:rPr>
        <w:tab/>
      </w:r>
      <w:r w:rsidR="004B01D9" w:rsidRPr="00095CCD">
        <w:rPr>
          <w:rFonts w:ascii="Times New Roman" w:hAnsi="Times New Roman"/>
          <w:bCs/>
          <w:sz w:val="28"/>
          <w:szCs w:val="28"/>
        </w:rPr>
        <w:tab/>
      </w:r>
      <w:r w:rsidR="004B01D9" w:rsidRPr="00095CCD">
        <w:rPr>
          <w:rFonts w:ascii="Times New Roman" w:hAnsi="Times New Roman"/>
          <w:bCs/>
          <w:sz w:val="28"/>
          <w:szCs w:val="28"/>
        </w:rPr>
        <w:tab/>
      </w:r>
      <w:r w:rsidR="004B01D9" w:rsidRPr="00095CCD">
        <w:rPr>
          <w:rFonts w:ascii="Times New Roman" w:hAnsi="Times New Roman"/>
          <w:bCs/>
          <w:sz w:val="28"/>
          <w:szCs w:val="28"/>
        </w:rPr>
        <w:tab/>
      </w:r>
      <w:r w:rsidR="004B01D9" w:rsidRPr="00095CCD">
        <w:rPr>
          <w:rFonts w:ascii="Times New Roman" w:hAnsi="Times New Roman"/>
          <w:bCs/>
          <w:sz w:val="28"/>
          <w:szCs w:val="28"/>
        </w:rPr>
        <w:tab/>
      </w:r>
      <w:r w:rsidR="004B01D9" w:rsidRPr="00095CCD">
        <w:rPr>
          <w:rFonts w:ascii="Times New Roman" w:hAnsi="Times New Roman"/>
          <w:bCs/>
          <w:sz w:val="28"/>
          <w:szCs w:val="28"/>
        </w:rPr>
        <w:tab/>
      </w:r>
    </w:p>
    <w:p w14:paraId="75D8F0FA" w14:textId="77777777" w:rsidR="004B01D9" w:rsidRPr="00972E20" w:rsidRDefault="004B01D9" w:rsidP="004B01D9">
      <w:pPr>
        <w:contextualSpacing/>
        <w:jc w:val="both"/>
        <w:rPr>
          <w:rFonts w:ascii="Times New Roman" w:hAnsi="Times New Roman"/>
          <w:b/>
          <w:sz w:val="28"/>
          <w:szCs w:val="28"/>
        </w:rPr>
      </w:pPr>
      <w:r w:rsidRPr="00972E20">
        <w:rPr>
          <w:rFonts w:ascii="Times New Roman" w:hAnsi="Times New Roman"/>
          <w:b/>
          <w:sz w:val="28"/>
          <w:szCs w:val="28"/>
        </w:rPr>
        <w:t xml:space="preserve"> </w:t>
      </w:r>
    </w:p>
    <w:p w14:paraId="363DCB9A" w14:textId="7BB8A1B1" w:rsidR="006157CB" w:rsidRDefault="004B01D9" w:rsidP="004B01D9">
      <w:pPr>
        <w:pBdr>
          <w:bottom w:val="single" w:sz="12" w:space="1" w:color="auto"/>
        </w:pBdr>
        <w:contextualSpacing/>
        <w:jc w:val="center"/>
        <w:rPr>
          <w:rFonts w:ascii="Times New Roman" w:hAnsi="Times New Roman"/>
          <w:b/>
          <w:sz w:val="28"/>
          <w:szCs w:val="28"/>
        </w:rPr>
      </w:pPr>
      <w:r>
        <w:rPr>
          <w:rFonts w:ascii="Times New Roman" w:hAnsi="Times New Roman"/>
          <w:b/>
          <w:sz w:val="28"/>
          <w:szCs w:val="28"/>
        </w:rPr>
        <w:t>JUDGMENT IN RESPECT OF EXCEPTION</w:t>
      </w:r>
    </w:p>
    <w:p w14:paraId="67A66405" w14:textId="77777777" w:rsidR="006157CB" w:rsidRDefault="006157CB" w:rsidP="004B01D9">
      <w:pPr>
        <w:pBdr>
          <w:bottom w:val="single" w:sz="12" w:space="1" w:color="auto"/>
        </w:pBdr>
        <w:contextualSpacing/>
        <w:jc w:val="center"/>
        <w:rPr>
          <w:rFonts w:ascii="Times New Roman" w:hAnsi="Times New Roman"/>
          <w:b/>
          <w:sz w:val="28"/>
          <w:szCs w:val="28"/>
        </w:rPr>
      </w:pPr>
    </w:p>
    <w:p w14:paraId="374A08B1" w14:textId="77777777" w:rsidR="004B01D9" w:rsidRDefault="004B01D9" w:rsidP="004B01D9">
      <w:pPr>
        <w:pStyle w:val="ListParagraph"/>
        <w:tabs>
          <w:tab w:val="left" w:pos="0"/>
        </w:tabs>
        <w:ind w:left="0"/>
        <w:jc w:val="both"/>
        <w:rPr>
          <w:rFonts w:ascii="Times New Roman" w:hAnsi="Times New Roman"/>
          <w:b/>
          <w:sz w:val="28"/>
          <w:szCs w:val="28"/>
        </w:rPr>
      </w:pPr>
    </w:p>
    <w:p w14:paraId="2E3C3662" w14:textId="77777777" w:rsidR="004B01D9" w:rsidRPr="00095CCD" w:rsidRDefault="004B01D9" w:rsidP="004B01D9">
      <w:pPr>
        <w:pStyle w:val="ListParagraph"/>
        <w:tabs>
          <w:tab w:val="left" w:pos="0"/>
        </w:tabs>
        <w:ind w:left="0"/>
        <w:jc w:val="both"/>
        <w:rPr>
          <w:rFonts w:ascii="Times New Roman" w:hAnsi="Times New Roman"/>
          <w:b/>
          <w:sz w:val="28"/>
          <w:szCs w:val="28"/>
        </w:rPr>
      </w:pPr>
      <w:r w:rsidRPr="00095CCD">
        <w:rPr>
          <w:rFonts w:ascii="Times New Roman" w:hAnsi="Times New Roman"/>
          <w:b/>
          <w:sz w:val="28"/>
          <w:szCs w:val="28"/>
        </w:rPr>
        <w:t>HARTLE J</w:t>
      </w:r>
    </w:p>
    <w:p w14:paraId="56FF1D66" w14:textId="77777777" w:rsidR="004B01D9" w:rsidRDefault="004B01D9" w:rsidP="004B01D9">
      <w:pPr>
        <w:contextualSpacing/>
        <w:jc w:val="both"/>
        <w:rPr>
          <w:rFonts w:ascii="Times New Roman" w:hAnsi="Times New Roman" w:cs="Times New Roman"/>
          <w:b/>
          <w:sz w:val="28"/>
          <w:szCs w:val="28"/>
        </w:rPr>
      </w:pPr>
    </w:p>
    <w:p w14:paraId="1417BD0E" w14:textId="77777777" w:rsidR="004B01D9" w:rsidRPr="00256352" w:rsidRDefault="004B01D9" w:rsidP="004B01D9">
      <w:pPr>
        <w:pStyle w:val="ListParagraph"/>
        <w:tabs>
          <w:tab w:val="left" w:pos="709"/>
        </w:tabs>
        <w:ind w:left="0"/>
        <w:jc w:val="both"/>
        <w:rPr>
          <w:rFonts w:ascii="Times New Roman" w:hAnsi="Times New Roman" w:cs="Times New Roman"/>
          <w:sz w:val="28"/>
          <w:szCs w:val="28"/>
          <w:u w:val="single"/>
          <w:lang w:val="en-US"/>
        </w:rPr>
      </w:pPr>
      <w:bookmarkStart w:id="0" w:name="_Hlk142479805"/>
    </w:p>
    <w:p w14:paraId="60933E0A" w14:textId="53902172" w:rsidR="004B01D9" w:rsidRPr="0034627C" w:rsidRDefault="0034627C" w:rsidP="0034627C">
      <w:pPr>
        <w:tabs>
          <w:tab w:val="left" w:pos="709"/>
        </w:tabs>
        <w:jc w:val="both"/>
        <w:rPr>
          <w:rFonts w:ascii="Times New Roman" w:hAnsi="Times New Roman" w:cs="Times New Roman"/>
          <w:sz w:val="28"/>
          <w:szCs w:val="28"/>
          <w:u w:val="single"/>
          <w:lang w:val="en-US"/>
        </w:rPr>
      </w:pPr>
      <w:r w:rsidRPr="000F2CBD">
        <w:rPr>
          <w:rFonts w:ascii="Times New Roman" w:hAnsi="Times New Roman" w:cs="Times New Roman"/>
          <w:sz w:val="28"/>
          <w:szCs w:val="28"/>
          <w:lang w:val="en-US"/>
        </w:rPr>
        <w:t>[1]</w:t>
      </w:r>
      <w:r w:rsidRPr="000F2CBD">
        <w:rPr>
          <w:rFonts w:ascii="Times New Roman" w:hAnsi="Times New Roman" w:cs="Times New Roman"/>
          <w:sz w:val="28"/>
          <w:szCs w:val="28"/>
          <w:lang w:val="en-US"/>
        </w:rPr>
        <w:tab/>
      </w:r>
      <w:r w:rsidR="004B01D9" w:rsidRPr="0034627C">
        <w:rPr>
          <w:rFonts w:ascii="Times New Roman" w:hAnsi="Times New Roman" w:cs="Times New Roman"/>
          <w:sz w:val="28"/>
          <w:szCs w:val="28"/>
          <w:lang w:val="en-US"/>
        </w:rPr>
        <w:t>In this matter the defendant</w:t>
      </w:r>
      <w:r w:rsidR="003C06C9" w:rsidRPr="0034627C">
        <w:rPr>
          <w:rFonts w:ascii="Times New Roman" w:hAnsi="Times New Roman" w:cs="Times New Roman"/>
          <w:sz w:val="28"/>
          <w:szCs w:val="28"/>
          <w:lang w:val="en-US"/>
        </w:rPr>
        <w:t>s</w:t>
      </w:r>
      <w:r w:rsidR="00E43BA7">
        <w:rPr>
          <w:rStyle w:val="FootnoteReference"/>
          <w:rFonts w:ascii="Times New Roman" w:hAnsi="Times New Roman" w:cs="Times New Roman"/>
          <w:sz w:val="28"/>
          <w:szCs w:val="28"/>
          <w:lang w:val="en-US"/>
        </w:rPr>
        <w:footnoteReference w:id="1"/>
      </w:r>
      <w:r w:rsidR="004B01D9" w:rsidRPr="0034627C">
        <w:rPr>
          <w:rFonts w:ascii="Times New Roman" w:hAnsi="Times New Roman" w:cs="Times New Roman"/>
          <w:sz w:val="28"/>
          <w:szCs w:val="28"/>
          <w:lang w:val="en-US"/>
        </w:rPr>
        <w:t xml:space="preserve"> persisted with an exception taken to the plaintiffs</w:t>
      </w:r>
      <w:r w:rsidR="006157CB" w:rsidRPr="0034627C">
        <w:rPr>
          <w:rFonts w:ascii="Times New Roman" w:hAnsi="Times New Roman" w:cs="Times New Roman"/>
          <w:sz w:val="28"/>
          <w:szCs w:val="28"/>
          <w:lang w:val="en-US"/>
        </w:rPr>
        <w:t>’</w:t>
      </w:r>
      <w:r w:rsidR="004B01D9" w:rsidRPr="0034627C">
        <w:rPr>
          <w:rFonts w:ascii="Times New Roman" w:hAnsi="Times New Roman" w:cs="Times New Roman"/>
          <w:sz w:val="28"/>
          <w:szCs w:val="28"/>
          <w:lang w:val="en-US"/>
        </w:rPr>
        <w:t xml:space="preserve"> amended particulars of claim on the </w:t>
      </w:r>
      <w:r w:rsidR="00E43BA7" w:rsidRPr="0034627C">
        <w:rPr>
          <w:rFonts w:ascii="Times New Roman" w:hAnsi="Times New Roman" w:cs="Times New Roman"/>
          <w:sz w:val="28"/>
          <w:szCs w:val="28"/>
          <w:lang w:val="en-US"/>
        </w:rPr>
        <w:t xml:space="preserve">sole remaining </w:t>
      </w:r>
      <w:r w:rsidR="004B01D9" w:rsidRPr="0034627C">
        <w:rPr>
          <w:rFonts w:ascii="Times New Roman" w:hAnsi="Times New Roman" w:cs="Times New Roman"/>
          <w:sz w:val="28"/>
          <w:szCs w:val="28"/>
          <w:lang w:val="en-US"/>
        </w:rPr>
        <w:t>basis that they lack averments necessary to sustain a cause of action.</w:t>
      </w:r>
    </w:p>
    <w:p w14:paraId="11BE5C6C" w14:textId="77777777" w:rsidR="000F2CBD" w:rsidRPr="000F2CBD" w:rsidRDefault="000F2CBD" w:rsidP="000F2CBD">
      <w:pPr>
        <w:pStyle w:val="ListParagraph"/>
        <w:tabs>
          <w:tab w:val="left" w:pos="709"/>
        </w:tabs>
        <w:ind w:left="0"/>
        <w:jc w:val="both"/>
        <w:rPr>
          <w:rFonts w:ascii="Times New Roman" w:hAnsi="Times New Roman" w:cs="Times New Roman"/>
          <w:sz w:val="28"/>
          <w:szCs w:val="28"/>
          <w:u w:val="single"/>
          <w:lang w:val="en-US"/>
        </w:rPr>
      </w:pPr>
    </w:p>
    <w:p w14:paraId="1154126C" w14:textId="50D98173" w:rsidR="000F2CBD" w:rsidRPr="0034627C" w:rsidRDefault="0034627C" w:rsidP="0034627C">
      <w:pPr>
        <w:tabs>
          <w:tab w:val="left" w:pos="709"/>
        </w:tabs>
        <w:jc w:val="both"/>
        <w:rPr>
          <w:rFonts w:ascii="Times New Roman" w:hAnsi="Times New Roman" w:cs="Times New Roman"/>
          <w:sz w:val="28"/>
          <w:szCs w:val="28"/>
          <w:u w:val="single"/>
          <w:lang w:val="en-US"/>
        </w:rPr>
      </w:pPr>
      <w:r w:rsidRPr="004B01D9">
        <w:rPr>
          <w:rFonts w:ascii="Times New Roman" w:hAnsi="Times New Roman" w:cs="Times New Roman"/>
          <w:sz w:val="28"/>
          <w:szCs w:val="28"/>
          <w:lang w:val="en-US"/>
        </w:rPr>
        <w:t>[2]</w:t>
      </w:r>
      <w:r w:rsidRPr="004B01D9">
        <w:rPr>
          <w:rFonts w:ascii="Times New Roman" w:hAnsi="Times New Roman" w:cs="Times New Roman"/>
          <w:sz w:val="28"/>
          <w:szCs w:val="28"/>
          <w:lang w:val="en-US"/>
        </w:rPr>
        <w:tab/>
      </w:r>
      <w:r w:rsidR="000F2CBD" w:rsidRPr="0034627C">
        <w:rPr>
          <w:rFonts w:ascii="Times New Roman" w:hAnsi="Times New Roman" w:cs="Times New Roman"/>
          <w:sz w:val="28"/>
          <w:szCs w:val="28"/>
          <w:lang w:val="en-US"/>
        </w:rPr>
        <w:t>The plaintiffs</w:t>
      </w:r>
      <w:r w:rsidR="006157CB" w:rsidRPr="0034627C">
        <w:rPr>
          <w:rFonts w:ascii="Times New Roman" w:hAnsi="Times New Roman" w:cs="Times New Roman"/>
          <w:sz w:val="28"/>
          <w:szCs w:val="28"/>
          <w:lang w:val="en-US"/>
        </w:rPr>
        <w:t>’</w:t>
      </w:r>
      <w:r w:rsidR="000F2CBD" w:rsidRPr="0034627C">
        <w:rPr>
          <w:rFonts w:ascii="Times New Roman" w:hAnsi="Times New Roman" w:cs="Times New Roman"/>
          <w:sz w:val="28"/>
          <w:szCs w:val="28"/>
          <w:lang w:val="en-US"/>
        </w:rPr>
        <w:t xml:space="preserve"> </w:t>
      </w:r>
      <w:r w:rsidR="00F35CC6" w:rsidRPr="0034627C">
        <w:rPr>
          <w:rFonts w:ascii="Times New Roman" w:hAnsi="Times New Roman" w:cs="Times New Roman"/>
          <w:sz w:val="28"/>
          <w:szCs w:val="28"/>
          <w:lang w:val="en-US"/>
        </w:rPr>
        <w:t xml:space="preserve">purported </w:t>
      </w:r>
      <w:r w:rsidR="000F2CBD" w:rsidRPr="0034627C">
        <w:rPr>
          <w:rFonts w:ascii="Times New Roman" w:hAnsi="Times New Roman" w:cs="Times New Roman"/>
          <w:sz w:val="28"/>
          <w:szCs w:val="28"/>
          <w:lang w:val="en-US"/>
        </w:rPr>
        <w:t xml:space="preserve">claim is one in delict for damages </w:t>
      </w:r>
      <w:r w:rsidR="005044BD" w:rsidRPr="0034627C">
        <w:rPr>
          <w:rFonts w:ascii="Times New Roman" w:hAnsi="Times New Roman" w:cs="Times New Roman"/>
          <w:sz w:val="28"/>
          <w:szCs w:val="28"/>
          <w:lang w:val="en-US"/>
        </w:rPr>
        <w:t>(</w:t>
      </w:r>
      <w:r w:rsidR="007C067C" w:rsidRPr="0034627C">
        <w:rPr>
          <w:rFonts w:ascii="Times New Roman" w:hAnsi="Times New Roman" w:cs="Times New Roman"/>
          <w:sz w:val="28"/>
          <w:szCs w:val="28"/>
          <w:lang w:val="en-US"/>
        </w:rPr>
        <w:t>pure economic</w:t>
      </w:r>
      <w:r w:rsidR="005044BD" w:rsidRPr="0034627C">
        <w:rPr>
          <w:rFonts w:ascii="Times New Roman" w:hAnsi="Times New Roman" w:cs="Times New Roman"/>
          <w:sz w:val="28"/>
          <w:szCs w:val="28"/>
          <w:lang w:val="en-US"/>
        </w:rPr>
        <w:t xml:space="preserve"> loss) </w:t>
      </w:r>
      <w:r w:rsidR="0020736E" w:rsidRPr="0034627C">
        <w:rPr>
          <w:rFonts w:ascii="Times New Roman" w:hAnsi="Times New Roman" w:cs="Times New Roman"/>
          <w:sz w:val="28"/>
          <w:szCs w:val="28"/>
          <w:lang w:val="en-US"/>
        </w:rPr>
        <w:t xml:space="preserve">alleged to have been </w:t>
      </w:r>
      <w:r w:rsidR="000F2CBD" w:rsidRPr="0034627C">
        <w:rPr>
          <w:rFonts w:ascii="Times New Roman" w:hAnsi="Times New Roman" w:cs="Times New Roman"/>
          <w:sz w:val="28"/>
          <w:szCs w:val="28"/>
          <w:lang w:val="en-US"/>
        </w:rPr>
        <w:t xml:space="preserve">suffered as a direct and consequent result of the </w:t>
      </w:r>
      <w:r w:rsidR="00FD061B" w:rsidRPr="0034627C">
        <w:rPr>
          <w:rFonts w:ascii="Times New Roman" w:hAnsi="Times New Roman" w:cs="Times New Roman"/>
          <w:sz w:val="28"/>
          <w:szCs w:val="28"/>
          <w:lang w:val="en-US"/>
        </w:rPr>
        <w:t>conduct</w:t>
      </w:r>
      <w:r w:rsidR="00191DA5" w:rsidRPr="0034627C">
        <w:rPr>
          <w:rFonts w:ascii="Times New Roman" w:hAnsi="Times New Roman" w:cs="Times New Roman"/>
          <w:sz w:val="28"/>
          <w:szCs w:val="28"/>
          <w:lang w:val="en-US"/>
        </w:rPr>
        <w:t xml:space="preserve"> </w:t>
      </w:r>
      <w:r w:rsidR="0058514B" w:rsidRPr="0034627C">
        <w:rPr>
          <w:rFonts w:ascii="Times New Roman" w:hAnsi="Times New Roman" w:cs="Times New Roman"/>
          <w:sz w:val="28"/>
          <w:szCs w:val="28"/>
          <w:lang w:val="en-US"/>
        </w:rPr>
        <w:t>referred to below</w:t>
      </w:r>
      <w:r w:rsidR="005C3777" w:rsidRPr="0034627C">
        <w:rPr>
          <w:rFonts w:ascii="Times New Roman" w:hAnsi="Times New Roman" w:cs="Times New Roman"/>
          <w:sz w:val="28"/>
          <w:szCs w:val="28"/>
          <w:lang w:val="en-US"/>
        </w:rPr>
        <w:t>.</w:t>
      </w:r>
    </w:p>
    <w:p w14:paraId="0C243BC0" w14:textId="77777777" w:rsidR="004B01D9" w:rsidRPr="004B01D9" w:rsidRDefault="004B01D9" w:rsidP="004B01D9">
      <w:pPr>
        <w:pStyle w:val="ListParagraph"/>
        <w:tabs>
          <w:tab w:val="left" w:pos="709"/>
        </w:tabs>
        <w:ind w:left="0"/>
        <w:jc w:val="both"/>
        <w:rPr>
          <w:rFonts w:ascii="Times New Roman" w:hAnsi="Times New Roman" w:cs="Times New Roman"/>
          <w:sz w:val="28"/>
          <w:szCs w:val="28"/>
          <w:u w:val="single"/>
          <w:lang w:val="en-US"/>
        </w:rPr>
      </w:pPr>
    </w:p>
    <w:p w14:paraId="52C0E445" w14:textId="7FBC01DE" w:rsidR="000451D5" w:rsidRPr="0034627C" w:rsidRDefault="0034627C" w:rsidP="0034627C">
      <w:pPr>
        <w:tabs>
          <w:tab w:val="left" w:pos="709"/>
        </w:tabs>
        <w:spacing w:before="240"/>
        <w:jc w:val="both"/>
        <w:rPr>
          <w:rFonts w:ascii="Times New Roman" w:hAnsi="Times New Roman" w:cs="Times New Roman"/>
          <w:sz w:val="28"/>
          <w:szCs w:val="28"/>
          <w:u w:val="single"/>
          <w:lang w:val="en-US"/>
        </w:rPr>
      </w:pPr>
      <w:r w:rsidRPr="000451D5">
        <w:rPr>
          <w:rFonts w:ascii="Times New Roman" w:hAnsi="Times New Roman" w:cs="Times New Roman"/>
          <w:sz w:val="28"/>
          <w:szCs w:val="28"/>
          <w:lang w:val="en-US"/>
        </w:rPr>
        <w:t>[3]</w:t>
      </w:r>
      <w:r w:rsidRPr="000451D5">
        <w:rPr>
          <w:rFonts w:ascii="Times New Roman" w:hAnsi="Times New Roman" w:cs="Times New Roman"/>
          <w:sz w:val="28"/>
          <w:szCs w:val="28"/>
          <w:lang w:val="en-US"/>
        </w:rPr>
        <w:tab/>
      </w:r>
      <w:r w:rsidR="004B01D9" w:rsidRPr="0034627C">
        <w:rPr>
          <w:rFonts w:ascii="Times New Roman" w:hAnsi="Times New Roman" w:cs="Times New Roman"/>
          <w:sz w:val="28"/>
          <w:szCs w:val="28"/>
          <w:lang w:val="en-US"/>
        </w:rPr>
        <w:t xml:space="preserve">The plaintiffs </w:t>
      </w:r>
      <w:r w:rsidR="00F35CC6" w:rsidRPr="0034627C">
        <w:rPr>
          <w:rFonts w:ascii="Times New Roman" w:hAnsi="Times New Roman" w:cs="Times New Roman"/>
          <w:sz w:val="28"/>
          <w:szCs w:val="28"/>
          <w:lang w:val="en-US"/>
        </w:rPr>
        <w:t xml:space="preserve">have </w:t>
      </w:r>
      <w:r w:rsidR="004B01D9" w:rsidRPr="0034627C">
        <w:rPr>
          <w:rFonts w:ascii="Times New Roman" w:hAnsi="Times New Roman" w:cs="Times New Roman"/>
          <w:sz w:val="28"/>
          <w:szCs w:val="28"/>
          <w:lang w:val="en-US"/>
        </w:rPr>
        <w:t xml:space="preserve">sued the defendants in their capacities as the trustees of the Meyprop Trust </w:t>
      </w:r>
      <w:r w:rsidR="003C06C9" w:rsidRPr="0034627C">
        <w:rPr>
          <w:rFonts w:ascii="Times New Roman" w:hAnsi="Times New Roman" w:cs="Times New Roman"/>
          <w:sz w:val="28"/>
          <w:szCs w:val="28"/>
          <w:lang w:val="en-US"/>
        </w:rPr>
        <w:t>(“the</w:t>
      </w:r>
      <w:r w:rsidR="004B01D9" w:rsidRPr="0034627C">
        <w:rPr>
          <w:rFonts w:ascii="Times New Roman" w:hAnsi="Times New Roman" w:cs="Times New Roman"/>
          <w:sz w:val="28"/>
          <w:szCs w:val="28"/>
          <w:lang w:val="en-US"/>
        </w:rPr>
        <w:t xml:space="preserve"> trust”). The trust is the registered owner of immovable property situated in Swartkops, Gqeberha</w:t>
      </w:r>
      <w:r w:rsidR="003C06C9" w:rsidRPr="0034627C">
        <w:rPr>
          <w:rFonts w:ascii="Times New Roman" w:hAnsi="Times New Roman" w:cs="Times New Roman"/>
          <w:sz w:val="28"/>
          <w:szCs w:val="28"/>
          <w:lang w:val="en-US"/>
        </w:rPr>
        <w:t xml:space="preserve">, </w:t>
      </w:r>
      <w:r w:rsidR="00E43BA7" w:rsidRPr="0034627C">
        <w:rPr>
          <w:rFonts w:ascii="Times New Roman" w:hAnsi="Times New Roman" w:cs="Times New Roman"/>
          <w:sz w:val="28"/>
          <w:szCs w:val="28"/>
          <w:lang w:val="en-US"/>
        </w:rPr>
        <w:t>(</w:t>
      </w:r>
      <w:r w:rsidR="007744CC" w:rsidRPr="0034627C">
        <w:rPr>
          <w:rFonts w:ascii="Times New Roman" w:hAnsi="Times New Roman" w:cs="Times New Roman"/>
          <w:sz w:val="28"/>
          <w:szCs w:val="28"/>
          <w:lang w:val="en-US"/>
        </w:rPr>
        <w:t>“</w:t>
      </w:r>
      <w:r w:rsidR="00E43BA7" w:rsidRPr="0034627C">
        <w:rPr>
          <w:rFonts w:ascii="Times New Roman" w:hAnsi="Times New Roman" w:cs="Times New Roman"/>
          <w:sz w:val="28"/>
          <w:szCs w:val="28"/>
          <w:lang w:val="en-US"/>
        </w:rPr>
        <w:t xml:space="preserve">the property”) </w:t>
      </w:r>
      <w:r w:rsidR="003C06C9" w:rsidRPr="0034627C">
        <w:rPr>
          <w:rFonts w:ascii="Times New Roman" w:hAnsi="Times New Roman" w:cs="Times New Roman"/>
          <w:sz w:val="28"/>
          <w:szCs w:val="28"/>
          <w:lang w:val="en-US"/>
        </w:rPr>
        <w:t xml:space="preserve">which resorts within the municipal area of jurisdiction of the first defendant. The second defendant is the </w:t>
      </w:r>
      <w:r w:rsidR="00C71B06" w:rsidRPr="0034627C">
        <w:rPr>
          <w:rFonts w:ascii="Times New Roman" w:hAnsi="Times New Roman" w:cs="Times New Roman"/>
          <w:i/>
          <w:iCs/>
          <w:sz w:val="28"/>
          <w:szCs w:val="28"/>
          <w:lang w:val="en-US"/>
        </w:rPr>
        <w:t>“</w:t>
      </w:r>
      <w:r w:rsidR="003C06C9" w:rsidRPr="0034627C">
        <w:rPr>
          <w:rFonts w:ascii="Times New Roman" w:hAnsi="Times New Roman" w:cs="Times New Roman"/>
          <w:i/>
          <w:iCs/>
          <w:sz w:val="28"/>
          <w:szCs w:val="28"/>
          <w:lang w:val="en-US"/>
        </w:rPr>
        <w:t>building control officer</w:t>
      </w:r>
      <w:r w:rsidR="00C71B06" w:rsidRPr="0034627C">
        <w:rPr>
          <w:rFonts w:ascii="Times New Roman" w:hAnsi="Times New Roman" w:cs="Times New Roman"/>
          <w:i/>
          <w:iCs/>
          <w:sz w:val="28"/>
          <w:szCs w:val="28"/>
          <w:lang w:val="en-US"/>
        </w:rPr>
        <w:t>”</w:t>
      </w:r>
      <w:r w:rsidR="003C06C9" w:rsidRPr="0034627C">
        <w:rPr>
          <w:rFonts w:ascii="Times New Roman" w:hAnsi="Times New Roman" w:cs="Times New Roman"/>
          <w:sz w:val="28"/>
          <w:szCs w:val="28"/>
          <w:lang w:val="en-US"/>
        </w:rPr>
        <w:t xml:space="preserve"> of the municipality</w:t>
      </w:r>
      <w:r w:rsidR="00C71B06" w:rsidRPr="0034627C">
        <w:rPr>
          <w:rFonts w:ascii="Times New Roman" w:hAnsi="Times New Roman" w:cs="Times New Roman"/>
          <w:sz w:val="28"/>
          <w:szCs w:val="28"/>
          <w:lang w:val="en-US"/>
        </w:rPr>
        <w:t xml:space="preserve"> </w:t>
      </w:r>
      <w:r w:rsidR="003C06C9" w:rsidRPr="0034627C">
        <w:rPr>
          <w:rFonts w:ascii="Times New Roman" w:hAnsi="Times New Roman" w:cs="Times New Roman"/>
          <w:sz w:val="28"/>
          <w:szCs w:val="28"/>
          <w:lang w:val="en-US"/>
        </w:rPr>
        <w:t>appointed by the first defendant in accordance with the provisions of the National</w:t>
      </w:r>
      <w:r w:rsidR="003C06C9" w:rsidRPr="0034627C">
        <w:rPr>
          <w:rFonts w:ascii="Times New Roman" w:hAnsi="Times New Roman" w:cs="Times New Roman"/>
          <w:sz w:val="28"/>
          <w:szCs w:val="28"/>
          <w:lang w:val="en-GB"/>
        </w:rPr>
        <w:t xml:space="preserve"> </w:t>
      </w:r>
      <w:r w:rsidR="000F2CBD" w:rsidRPr="0034627C">
        <w:rPr>
          <w:rFonts w:ascii="Times New Roman" w:hAnsi="Times New Roman" w:cs="Times New Roman"/>
          <w:sz w:val="28"/>
          <w:szCs w:val="28"/>
          <w:lang w:val="en-GB"/>
        </w:rPr>
        <w:t xml:space="preserve">Building </w:t>
      </w:r>
      <w:r w:rsidR="003C06C9" w:rsidRPr="0034627C">
        <w:rPr>
          <w:rFonts w:ascii="Times New Roman" w:hAnsi="Times New Roman" w:cs="Times New Roman"/>
          <w:sz w:val="28"/>
          <w:szCs w:val="28"/>
          <w:lang w:val="en-GB"/>
        </w:rPr>
        <w:t>Regulations and Building Standards Act</w:t>
      </w:r>
      <w:r w:rsidR="000F2CBD" w:rsidRPr="0034627C">
        <w:rPr>
          <w:rFonts w:ascii="Times New Roman" w:hAnsi="Times New Roman" w:cs="Times New Roman"/>
          <w:sz w:val="28"/>
          <w:szCs w:val="28"/>
          <w:lang w:val="en-GB"/>
        </w:rPr>
        <w:t xml:space="preserve">, </w:t>
      </w:r>
      <w:r w:rsidR="005044BD" w:rsidRPr="0034627C">
        <w:rPr>
          <w:rFonts w:ascii="Times New Roman" w:hAnsi="Times New Roman" w:cs="Times New Roman"/>
          <w:sz w:val="28"/>
          <w:szCs w:val="28"/>
          <w:lang w:val="en-GB"/>
        </w:rPr>
        <w:t>N</w:t>
      </w:r>
      <w:r w:rsidR="000F2CBD" w:rsidRPr="0034627C">
        <w:rPr>
          <w:rFonts w:ascii="Times New Roman" w:hAnsi="Times New Roman" w:cs="Times New Roman"/>
          <w:sz w:val="28"/>
          <w:szCs w:val="28"/>
          <w:lang w:val="en-GB"/>
        </w:rPr>
        <w:t>o.</w:t>
      </w:r>
      <w:r w:rsidR="003C06C9" w:rsidRPr="0034627C">
        <w:rPr>
          <w:rFonts w:ascii="Times New Roman" w:hAnsi="Times New Roman" w:cs="Times New Roman"/>
          <w:sz w:val="28"/>
          <w:szCs w:val="28"/>
          <w:lang w:val="en-GB"/>
        </w:rPr>
        <w:t xml:space="preserve"> 103 of 1977</w:t>
      </w:r>
      <w:r w:rsidR="000F2CBD" w:rsidRPr="0034627C">
        <w:rPr>
          <w:rFonts w:ascii="Times New Roman" w:hAnsi="Times New Roman" w:cs="Times New Roman"/>
          <w:sz w:val="28"/>
          <w:szCs w:val="28"/>
          <w:lang w:val="en-GB"/>
        </w:rPr>
        <w:t xml:space="preserve"> (“the Act”),</w:t>
      </w:r>
      <w:r w:rsidR="00C71B06">
        <w:rPr>
          <w:rStyle w:val="FootnoteReference"/>
          <w:rFonts w:ascii="Times New Roman" w:hAnsi="Times New Roman" w:cs="Times New Roman"/>
          <w:sz w:val="28"/>
          <w:szCs w:val="28"/>
          <w:lang w:val="en-GB"/>
        </w:rPr>
        <w:footnoteReference w:id="2"/>
      </w:r>
      <w:r w:rsidR="003C06C9" w:rsidRPr="0034627C">
        <w:rPr>
          <w:rFonts w:ascii="Times New Roman" w:hAnsi="Times New Roman" w:cs="Times New Roman"/>
          <w:sz w:val="28"/>
          <w:szCs w:val="28"/>
          <w:lang w:val="en-GB"/>
        </w:rPr>
        <w:t xml:space="preserve"> as read together with the </w:t>
      </w:r>
      <w:r w:rsidR="000F2CBD" w:rsidRPr="0034627C">
        <w:rPr>
          <w:rFonts w:ascii="Times New Roman" w:hAnsi="Times New Roman" w:cs="Times New Roman"/>
          <w:sz w:val="28"/>
          <w:szCs w:val="28"/>
          <w:lang w:val="en-GB"/>
        </w:rPr>
        <w:t>R</w:t>
      </w:r>
      <w:r w:rsidR="003C06C9" w:rsidRPr="0034627C">
        <w:rPr>
          <w:rFonts w:ascii="Times New Roman" w:hAnsi="Times New Roman" w:cs="Times New Roman"/>
          <w:sz w:val="28"/>
          <w:szCs w:val="28"/>
          <w:lang w:val="en-GB"/>
        </w:rPr>
        <w:t xml:space="preserve">egulations promulgated in terms of the </w:t>
      </w:r>
      <w:r w:rsidR="005044BD" w:rsidRPr="0034627C">
        <w:rPr>
          <w:rFonts w:ascii="Times New Roman" w:hAnsi="Times New Roman" w:cs="Times New Roman"/>
          <w:sz w:val="28"/>
          <w:szCs w:val="28"/>
          <w:lang w:val="en-GB"/>
        </w:rPr>
        <w:t>Act</w:t>
      </w:r>
      <w:r w:rsidR="000F2CBD" w:rsidRPr="0034627C">
        <w:rPr>
          <w:rFonts w:ascii="Times New Roman" w:hAnsi="Times New Roman" w:cs="Times New Roman"/>
          <w:sz w:val="28"/>
          <w:szCs w:val="28"/>
          <w:lang w:val="en-GB"/>
        </w:rPr>
        <w:t xml:space="preserve"> (“the Regulations”)</w:t>
      </w:r>
      <w:r w:rsidR="00C71B06" w:rsidRPr="0034627C">
        <w:rPr>
          <w:rFonts w:ascii="Times New Roman" w:hAnsi="Times New Roman" w:cs="Times New Roman"/>
          <w:sz w:val="28"/>
          <w:szCs w:val="28"/>
          <w:lang w:val="en-GB"/>
        </w:rPr>
        <w:t>. It is</w:t>
      </w:r>
      <w:r w:rsidR="000F2CBD" w:rsidRPr="0034627C">
        <w:rPr>
          <w:rFonts w:ascii="Times New Roman" w:hAnsi="Times New Roman" w:cs="Times New Roman"/>
          <w:sz w:val="28"/>
          <w:szCs w:val="28"/>
          <w:lang w:val="en-GB"/>
        </w:rPr>
        <w:t xml:space="preserve"> under the </w:t>
      </w:r>
      <w:r w:rsidR="00EF6F84" w:rsidRPr="0034627C">
        <w:rPr>
          <w:rFonts w:ascii="Times New Roman" w:hAnsi="Times New Roman" w:cs="Times New Roman"/>
          <w:sz w:val="28"/>
          <w:szCs w:val="28"/>
          <w:lang w:val="en-GB"/>
        </w:rPr>
        <w:t>ambit</w:t>
      </w:r>
      <w:r w:rsidR="000F2CBD" w:rsidRPr="0034627C">
        <w:rPr>
          <w:rFonts w:ascii="Times New Roman" w:hAnsi="Times New Roman" w:cs="Times New Roman"/>
          <w:sz w:val="28"/>
          <w:szCs w:val="28"/>
          <w:lang w:val="en-GB"/>
        </w:rPr>
        <w:t xml:space="preserve"> </w:t>
      </w:r>
      <w:r w:rsidR="00BE46ED" w:rsidRPr="0034627C">
        <w:rPr>
          <w:rFonts w:ascii="Times New Roman" w:hAnsi="Times New Roman" w:cs="Times New Roman"/>
          <w:sz w:val="28"/>
          <w:szCs w:val="28"/>
          <w:lang w:val="en-GB"/>
        </w:rPr>
        <w:t xml:space="preserve">or </w:t>
      </w:r>
      <w:r w:rsidR="004369C2" w:rsidRPr="0034627C">
        <w:rPr>
          <w:rFonts w:ascii="Times New Roman" w:hAnsi="Times New Roman" w:cs="Times New Roman"/>
          <w:sz w:val="28"/>
          <w:szCs w:val="28"/>
          <w:lang w:val="en-GB"/>
        </w:rPr>
        <w:t>in the context of</w:t>
      </w:r>
      <w:r w:rsidR="00BE46ED" w:rsidRPr="0034627C">
        <w:rPr>
          <w:rFonts w:ascii="Times New Roman" w:hAnsi="Times New Roman" w:cs="Times New Roman"/>
          <w:sz w:val="28"/>
          <w:szCs w:val="28"/>
          <w:lang w:val="en-GB"/>
        </w:rPr>
        <w:t xml:space="preserve"> </w:t>
      </w:r>
      <w:r w:rsidR="00C71B06" w:rsidRPr="0034627C">
        <w:rPr>
          <w:rFonts w:ascii="Times New Roman" w:hAnsi="Times New Roman" w:cs="Times New Roman"/>
          <w:sz w:val="28"/>
          <w:szCs w:val="28"/>
          <w:lang w:val="en-GB"/>
        </w:rPr>
        <w:t xml:space="preserve">this </w:t>
      </w:r>
      <w:r w:rsidR="0070074F" w:rsidRPr="0034627C">
        <w:rPr>
          <w:rFonts w:ascii="Times New Roman" w:hAnsi="Times New Roman" w:cs="Times New Roman"/>
          <w:sz w:val="28"/>
          <w:szCs w:val="28"/>
          <w:lang w:val="en-GB"/>
        </w:rPr>
        <w:t xml:space="preserve">legislation </w:t>
      </w:r>
      <w:r w:rsidR="00905240" w:rsidRPr="0034627C">
        <w:rPr>
          <w:rFonts w:ascii="Times New Roman" w:hAnsi="Times New Roman" w:cs="Times New Roman"/>
          <w:sz w:val="28"/>
          <w:szCs w:val="28"/>
          <w:lang w:val="en-GB"/>
        </w:rPr>
        <w:t xml:space="preserve">(“the empowering provisions”) </w:t>
      </w:r>
      <w:r w:rsidR="0070074F" w:rsidRPr="0034627C">
        <w:rPr>
          <w:rFonts w:ascii="Times New Roman" w:hAnsi="Times New Roman" w:cs="Times New Roman"/>
          <w:sz w:val="28"/>
          <w:szCs w:val="28"/>
          <w:lang w:val="en-GB"/>
        </w:rPr>
        <w:t>that</w:t>
      </w:r>
      <w:r w:rsidR="005C3777" w:rsidRPr="0034627C">
        <w:rPr>
          <w:rFonts w:ascii="Times New Roman" w:hAnsi="Times New Roman" w:cs="Times New Roman"/>
          <w:sz w:val="28"/>
          <w:szCs w:val="28"/>
          <w:lang w:val="en-GB"/>
        </w:rPr>
        <w:t xml:space="preserve"> </w:t>
      </w:r>
      <w:r w:rsidR="000F2CBD" w:rsidRPr="0034627C">
        <w:rPr>
          <w:rFonts w:ascii="Times New Roman" w:hAnsi="Times New Roman" w:cs="Times New Roman"/>
          <w:sz w:val="28"/>
          <w:szCs w:val="28"/>
          <w:lang w:val="en-GB"/>
        </w:rPr>
        <w:t xml:space="preserve">the harm causing conduct </w:t>
      </w:r>
      <w:r w:rsidR="00F35CC6" w:rsidRPr="0034627C">
        <w:rPr>
          <w:rFonts w:ascii="Times New Roman" w:hAnsi="Times New Roman" w:cs="Times New Roman"/>
          <w:sz w:val="28"/>
          <w:szCs w:val="28"/>
          <w:lang w:val="en-GB"/>
        </w:rPr>
        <w:t>described in the particulars of claim is</w:t>
      </w:r>
      <w:r w:rsidR="005044BD" w:rsidRPr="0034627C">
        <w:rPr>
          <w:rFonts w:ascii="Times New Roman" w:hAnsi="Times New Roman" w:cs="Times New Roman"/>
          <w:sz w:val="28"/>
          <w:szCs w:val="28"/>
          <w:lang w:val="en-GB"/>
        </w:rPr>
        <w:t xml:space="preserve"> said to have occurred.</w:t>
      </w:r>
      <w:r w:rsidR="00E43BA7" w:rsidRPr="0034627C">
        <w:rPr>
          <w:rFonts w:ascii="Times New Roman" w:hAnsi="Times New Roman" w:cs="Times New Roman"/>
          <w:sz w:val="28"/>
          <w:szCs w:val="28"/>
          <w:lang w:val="en-GB"/>
        </w:rPr>
        <w:t xml:space="preserve"> </w:t>
      </w:r>
    </w:p>
    <w:p w14:paraId="4D0214CA" w14:textId="77777777" w:rsidR="000451D5" w:rsidRPr="000451D5" w:rsidRDefault="000451D5" w:rsidP="000451D5">
      <w:pPr>
        <w:pStyle w:val="ListParagraph"/>
        <w:rPr>
          <w:rFonts w:ascii="Times New Roman" w:hAnsi="Times New Roman" w:cs="Times New Roman"/>
          <w:sz w:val="28"/>
          <w:szCs w:val="28"/>
          <w:lang w:val="en-GB"/>
        </w:rPr>
      </w:pPr>
    </w:p>
    <w:p w14:paraId="710312AF" w14:textId="25A0F6AE" w:rsidR="004B01D9" w:rsidRPr="0034627C" w:rsidRDefault="0034627C" w:rsidP="0034627C">
      <w:pPr>
        <w:tabs>
          <w:tab w:val="left" w:pos="709"/>
        </w:tabs>
        <w:spacing w:before="240"/>
        <w:jc w:val="both"/>
        <w:rPr>
          <w:rFonts w:ascii="Times New Roman" w:hAnsi="Times New Roman" w:cs="Times New Roman"/>
          <w:sz w:val="28"/>
          <w:szCs w:val="28"/>
          <w:u w:val="single"/>
          <w:lang w:val="en-US"/>
        </w:rPr>
      </w:pPr>
      <w:r w:rsidRPr="004B01D9">
        <w:rPr>
          <w:rFonts w:ascii="Times New Roman" w:hAnsi="Times New Roman" w:cs="Times New Roman"/>
          <w:sz w:val="28"/>
          <w:szCs w:val="28"/>
          <w:lang w:val="en-US"/>
        </w:rPr>
        <w:lastRenderedPageBreak/>
        <w:t>[4]</w:t>
      </w:r>
      <w:r w:rsidRPr="004B01D9">
        <w:rPr>
          <w:rFonts w:ascii="Times New Roman" w:hAnsi="Times New Roman" w:cs="Times New Roman"/>
          <w:sz w:val="28"/>
          <w:szCs w:val="28"/>
          <w:lang w:val="en-US"/>
        </w:rPr>
        <w:tab/>
      </w:r>
      <w:r w:rsidR="00E43BA7" w:rsidRPr="0034627C">
        <w:rPr>
          <w:rFonts w:ascii="Times New Roman" w:hAnsi="Times New Roman" w:cs="Times New Roman"/>
          <w:sz w:val="28"/>
          <w:szCs w:val="28"/>
          <w:lang w:val="en-GB"/>
        </w:rPr>
        <w:t xml:space="preserve">The conduct essentially entails a failure </w:t>
      </w:r>
      <w:r w:rsidR="00905240" w:rsidRPr="0034627C">
        <w:rPr>
          <w:rFonts w:ascii="Times New Roman" w:hAnsi="Times New Roman" w:cs="Times New Roman"/>
          <w:sz w:val="28"/>
          <w:szCs w:val="28"/>
          <w:lang w:val="en-GB"/>
        </w:rPr>
        <w:t xml:space="preserve">on the part of the </w:t>
      </w:r>
      <w:r w:rsidR="00C75503" w:rsidRPr="0034627C">
        <w:rPr>
          <w:rFonts w:ascii="Times New Roman" w:hAnsi="Times New Roman" w:cs="Times New Roman"/>
          <w:sz w:val="28"/>
          <w:szCs w:val="28"/>
          <w:lang w:val="en-GB"/>
        </w:rPr>
        <w:t>m</w:t>
      </w:r>
      <w:r w:rsidR="00905240" w:rsidRPr="0034627C">
        <w:rPr>
          <w:rFonts w:ascii="Times New Roman" w:hAnsi="Times New Roman" w:cs="Times New Roman"/>
          <w:sz w:val="28"/>
          <w:szCs w:val="28"/>
          <w:lang w:val="en-GB"/>
        </w:rPr>
        <w:t>unicipality’s functionaries</w:t>
      </w:r>
      <w:r w:rsidR="00C75503" w:rsidRPr="0034627C">
        <w:rPr>
          <w:rFonts w:ascii="Times New Roman" w:hAnsi="Times New Roman" w:cs="Times New Roman"/>
          <w:sz w:val="28"/>
          <w:szCs w:val="28"/>
          <w:lang w:val="en-GB"/>
        </w:rPr>
        <w:t xml:space="preserve"> - </w:t>
      </w:r>
      <w:r w:rsidR="00632C39" w:rsidRPr="0034627C">
        <w:rPr>
          <w:rFonts w:ascii="Times New Roman" w:hAnsi="Times New Roman" w:cs="Times New Roman"/>
          <w:sz w:val="28"/>
          <w:szCs w:val="28"/>
          <w:lang w:val="en-GB"/>
        </w:rPr>
        <w:t>on two occasions in the course of considering and approving plans submitted to it under the empowering provisions</w:t>
      </w:r>
      <w:r w:rsidR="00F92A18" w:rsidRPr="0034627C">
        <w:rPr>
          <w:rFonts w:ascii="Times New Roman" w:hAnsi="Times New Roman" w:cs="Times New Roman"/>
          <w:sz w:val="28"/>
          <w:szCs w:val="28"/>
          <w:lang w:val="en-GB"/>
        </w:rPr>
        <w:t>,</w:t>
      </w:r>
      <w:r w:rsidR="00632C39" w:rsidRPr="0034627C">
        <w:rPr>
          <w:rFonts w:ascii="Times New Roman" w:hAnsi="Times New Roman" w:cs="Times New Roman"/>
          <w:sz w:val="28"/>
          <w:szCs w:val="28"/>
          <w:lang w:val="en-GB"/>
        </w:rPr>
        <w:t xml:space="preserve"> </w:t>
      </w:r>
      <w:r w:rsidR="00905240" w:rsidRPr="0034627C">
        <w:rPr>
          <w:rFonts w:ascii="Times New Roman" w:hAnsi="Times New Roman" w:cs="Times New Roman"/>
          <w:sz w:val="28"/>
          <w:szCs w:val="28"/>
          <w:lang w:val="en-GB"/>
        </w:rPr>
        <w:t xml:space="preserve">to have </w:t>
      </w:r>
      <w:r w:rsidR="00F633DB" w:rsidRPr="0034627C">
        <w:rPr>
          <w:rFonts w:ascii="Times New Roman" w:hAnsi="Times New Roman" w:cs="Times New Roman"/>
          <w:sz w:val="28"/>
          <w:szCs w:val="28"/>
          <w:lang w:val="en-GB"/>
        </w:rPr>
        <w:t xml:space="preserve">ascertained and </w:t>
      </w:r>
      <w:r w:rsidR="00F92A18" w:rsidRPr="0034627C">
        <w:rPr>
          <w:rFonts w:ascii="Times New Roman" w:hAnsi="Times New Roman" w:cs="Times New Roman"/>
          <w:sz w:val="28"/>
          <w:szCs w:val="28"/>
          <w:lang w:val="en-GB"/>
        </w:rPr>
        <w:t>drawn</w:t>
      </w:r>
      <w:r w:rsidR="00905240" w:rsidRPr="0034627C">
        <w:rPr>
          <w:rFonts w:ascii="Times New Roman" w:hAnsi="Times New Roman" w:cs="Times New Roman"/>
          <w:sz w:val="28"/>
          <w:szCs w:val="28"/>
          <w:lang w:val="en-GB"/>
        </w:rPr>
        <w:t xml:space="preserve"> the trust</w:t>
      </w:r>
      <w:r w:rsidR="00F92A18" w:rsidRPr="0034627C">
        <w:rPr>
          <w:rFonts w:ascii="Times New Roman" w:hAnsi="Times New Roman" w:cs="Times New Roman"/>
          <w:sz w:val="28"/>
          <w:szCs w:val="28"/>
          <w:lang w:val="en-GB"/>
        </w:rPr>
        <w:t xml:space="preserve">’s attention to </w:t>
      </w:r>
      <w:r w:rsidR="00905240" w:rsidRPr="0034627C">
        <w:rPr>
          <w:rFonts w:ascii="Times New Roman" w:hAnsi="Times New Roman" w:cs="Times New Roman"/>
          <w:sz w:val="28"/>
          <w:szCs w:val="28"/>
          <w:lang w:val="en-GB"/>
        </w:rPr>
        <w:t xml:space="preserve">existing </w:t>
      </w:r>
      <w:r w:rsidR="00CE14A5" w:rsidRPr="0034627C">
        <w:rPr>
          <w:rFonts w:ascii="Times New Roman" w:hAnsi="Times New Roman" w:cs="Times New Roman"/>
          <w:sz w:val="28"/>
          <w:szCs w:val="28"/>
          <w:lang w:val="en-GB"/>
        </w:rPr>
        <w:t xml:space="preserve">municipal </w:t>
      </w:r>
      <w:r w:rsidR="00905240" w:rsidRPr="0034627C">
        <w:rPr>
          <w:rFonts w:ascii="Times New Roman" w:hAnsi="Times New Roman" w:cs="Times New Roman"/>
          <w:sz w:val="28"/>
          <w:szCs w:val="28"/>
          <w:lang w:val="en-GB"/>
        </w:rPr>
        <w:t>services of which it ought to have been reasonably aware, which failures, in turn, led directly to the losses sustained by the trust.</w:t>
      </w:r>
    </w:p>
    <w:p w14:paraId="1DF0A8E1" w14:textId="77777777" w:rsidR="004B01D9" w:rsidRPr="004B01D9" w:rsidRDefault="004B01D9" w:rsidP="004B01D9">
      <w:pPr>
        <w:pStyle w:val="ListParagraph"/>
        <w:rPr>
          <w:rFonts w:ascii="Times New Roman" w:hAnsi="Times New Roman" w:cs="Times New Roman"/>
          <w:sz w:val="28"/>
          <w:szCs w:val="28"/>
          <w:lang w:val="en-US"/>
        </w:rPr>
      </w:pPr>
    </w:p>
    <w:p w14:paraId="466367E0" w14:textId="1B0D136E" w:rsidR="000E3DAB" w:rsidRPr="0034627C" w:rsidRDefault="0034627C" w:rsidP="0034627C">
      <w:pPr>
        <w:tabs>
          <w:tab w:val="left" w:pos="709"/>
        </w:tabs>
        <w:jc w:val="both"/>
        <w:rPr>
          <w:rFonts w:ascii="Times New Roman" w:hAnsi="Times New Roman" w:cs="Times New Roman"/>
          <w:sz w:val="28"/>
          <w:szCs w:val="28"/>
          <w:lang w:val="en-US"/>
        </w:rPr>
      </w:pPr>
      <w:r w:rsidRPr="00B21C40">
        <w:rPr>
          <w:rFonts w:ascii="Times New Roman" w:hAnsi="Times New Roman" w:cs="Times New Roman"/>
          <w:sz w:val="28"/>
          <w:szCs w:val="28"/>
          <w:lang w:val="en-US"/>
        </w:rPr>
        <w:t>[5]</w:t>
      </w:r>
      <w:r w:rsidRPr="00B21C40">
        <w:rPr>
          <w:rFonts w:ascii="Times New Roman" w:hAnsi="Times New Roman" w:cs="Times New Roman"/>
          <w:sz w:val="28"/>
          <w:szCs w:val="28"/>
          <w:lang w:val="en-US"/>
        </w:rPr>
        <w:tab/>
      </w:r>
      <w:r w:rsidR="000E3DAB" w:rsidRPr="0034627C">
        <w:rPr>
          <w:rFonts w:ascii="Times New Roman" w:hAnsi="Times New Roman" w:cs="Times New Roman"/>
          <w:sz w:val="28"/>
          <w:szCs w:val="28"/>
          <w:lang w:val="en-GB"/>
        </w:rPr>
        <w:t xml:space="preserve">The following factual averments set </w:t>
      </w:r>
      <w:r w:rsidR="005C3777" w:rsidRPr="0034627C">
        <w:rPr>
          <w:rFonts w:ascii="Times New Roman" w:hAnsi="Times New Roman" w:cs="Times New Roman"/>
          <w:sz w:val="28"/>
          <w:szCs w:val="28"/>
          <w:lang w:val="en-GB"/>
        </w:rPr>
        <w:t>forth in</w:t>
      </w:r>
      <w:r w:rsidR="000E3DAB" w:rsidRPr="0034627C">
        <w:rPr>
          <w:rFonts w:ascii="Times New Roman" w:hAnsi="Times New Roman" w:cs="Times New Roman"/>
          <w:sz w:val="28"/>
          <w:szCs w:val="28"/>
          <w:lang w:val="en-GB"/>
        </w:rPr>
        <w:t xml:space="preserve"> the amended particulars of claim</w:t>
      </w:r>
      <w:r w:rsidR="00F76324" w:rsidRPr="0034627C">
        <w:rPr>
          <w:rFonts w:ascii="Times New Roman" w:hAnsi="Times New Roman" w:cs="Times New Roman"/>
          <w:sz w:val="28"/>
          <w:szCs w:val="28"/>
          <w:lang w:val="en-GB"/>
        </w:rPr>
        <w:t xml:space="preserve"> (which I </w:t>
      </w:r>
      <w:r w:rsidR="00DD1C1A" w:rsidRPr="0034627C">
        <w:rPr>
          <w:rFonts w:ascii="Times New Roman" w:hAnsi="Times New Roman" w:cs="Times New Roman"/>
          <w:sz w:val="28"/>
          <w:szCs w:val="28"/>
          <w:lang w:val="en-GB"/>
        </w:rPr>
        <w:t>must for purposes of deciding the exception assume to be correct)</w:t>
      </w:r>
      <w:r w:rsidR="00DD1C1A">
        <w:rPr>
          <w:rStyle w:val="FootnoteReference"/>
          <w:rFonts w:ascii="Times New Roman" w:hAnsi="Times New Roman" w:cs="Times New Roman"/>
          <w:sz w:val="28"/>
          <w:szCs w:val="28"/>
          <w:lang w:val="en-GB"/>
        </w:rPr>
        <w:footnoteReference w:id="3"/>
      </w:r>
      <w:r w:rsidR="000E3DAB" w:rsidRPr="0034627C">
        <w:rPr>
          <w:rFonts w:ascii="Times New Roman" w:hAnsi="Times New Roman" w:cs="Times New Roman"/>
          <w:sz w:val="28"/>
          <w:szCs w:val="28"/>
          <w:lang w:val="en-GB"/>
        </w:rPr>
        <w:t xml:space="preserve"> are relevant to </w:t>
      </w:r>
      <w:r w:rsidR="009872BA" w:rsidRPr="0034627C">
        <w:rPr>
          <w:rFonts w:ascii="Times New Roman" w:hAnsi="Times New Roman" w:cs="Times New Roman"/>
          <w:sz w:val="28"/>
          <w:szCs w:val="28"/>
          <w:lang w:val="en-GB"/>
        </w:rPr>
        <w:t>the trust’s</w:t>
      </w:r>
      <w:r w:rsidR="000E3DAB" w:rsidRPr="0034627C">
        <w:rPr>
          <w:rFonts w:ascii="Times New Roman" w:hAnsi="Times New Roman" w:cs="Times New Roman"/>
          <w:sz w:val="28"/>
          <w:szCs w:val="28"/>
          <w:lang w:val="en-GB"/>
        </w:rPr>
        <w:t xml:space="preserve"> contention that the defendants</w:t>
      </w:r>
      <w:r w:rsidR="00FD061B" w:rsidRPr="0034627C">
        <w:rPr>
          <w:rFonts w:ascii="Times New Roman" w:hAnsi="Times New Roman" w:cs="Times New Roman"/>
          <w:sz w:val="28"/>
          <w:szCs w:val="28"/>
          <w:lang w:val="en-GB"/>
        </w:rPr>
        <w:t>’</w:t>
      </w:r>
      <w:r w:rsidR="000E3DAB" w:rsidRPr="0034627C">
        <w:rPr>
          <w:rFonts w:ascii="Times New Roman" w:hAnsi="Times New Roman" w:cs="Times New Roman"/>
          <w:sz w:val="28"/>
          <w:szCs w:val="28"/>
          <w:lang w:val="en-GB"/>
        </w:rPr>
        <w:t xml:space="preserve"> </w:t>
      </w:r>
      <w:r w:rsidR="00FD061B" w:rsidRPr="0034627C">
        <w:rPr>
          <w:rFonts w:ascii="Times New Roman" w:hAnsi="Times New Roman" w:cs="Times New Roman"/>
          <w:sz w:val="28"/>
          <w:szCs w:val="28"/>
          <w:lang w:val="en-GB"/>
        </w:rPr>
        <w:t xml:space="preserve">conduct </w:t>
      </w:r>
      <w:r w:rsidR="009872BA" w:rsidRPr="0034627C">
        <w:rPr>
          <w:rFonts w:ascii="Times New Roman" w:hAnsi="Times New Roman" w:cs="Times New Roman"/>
          <w:sz w:val="28"/>
          <w:szCs w:val="28"/>
          <w:lang w:val="en-GB"/>
        </w:rPr>
        <w:t>in the peculiar circumstances of the matter</w:t>
      </w:r>
      <w:r w:rsidR="00FD061B" w:rsidRPr="0034627C">
        <w:rPr>
          <w:rFonts w:ascii="Times New Roman" w:hAnsi="Times New Roman" w:cs="Times New Roman"/>
          <w:sz w:val="28"/>
          <w:szCs w:val="28"/>
          <w:lang w:val="en-GB"/>
        </w:rPr>
        <w:t xml:space="preserve"> attracts liability for its economic loss</w:t>
      </w:r>
      <w:r w:rsidR="00F74A0E" w:rsidRPr="0034627C">
        <w:rPr>
          <w:rFonts w:ascii="Times New Roman" w:hAnsi="Times New Roman" w:cs="Times New Roman"/>
          <w:sz w:val="28"/>
          <w:szCs w:val="28"/>
          <w:lang w:val="en-GB"/>
        </w:rPr>
        <w:t>es</w:t>
      </w:r>
      <w:r w:rsidR="00E84C8C" w:rsidRPr="0034627C">
        <w:rPr>
          <w:rFonts w:ascii="Times New Roman" w:hAnsi="Times New Roman" w:cs="Times New Roman"/>
          <w:sz w:val="28"/>
          <w:szCs w:val="28"/>
          <w:lang w:val="en-GB"/>
        </w:rPr>
        <w:t xml:space="preserve"> in delict</w:t>
      </w:r>
      <w:r w:rsidR="009872BA" w:rsidRPr="0034627C">
        <w:rPr>
          <w:rFonts w:ascii="Times New Roman" w:hAnsi="Times New Roman" w:cs="Times New Roman"/>
          <w:sz w:val="28"/>
          <w:szCs w:val="28"/>
          <w:lang w:val="en-GB"/>
        </w:rPr>
        <w:t>.</w:t>
      </w:r>
      <w:r w:rsidR="003C63AF" w:rsidRPr="0034627C">
        <w:rPr>
          <w:rFonts w:ascii="Times New Roman" w:hAnsi="Times New Roman" w:cs="Times New Roman"/>
          <w:sz w:val="28"/>
          <w:szCs w:val="28"/>
          <w:lang w:val="en-GB"/>
        </w:rPr>
        <w:t xml:space="preserve"> </w:t>
      </w:r>
    </w:p>
    <w:p w14:paraId="1D5EC583" w14:textId="77777777" w:rsidR="00B21C40" w:rsidRPr="00B21C40" w:rsidRDefault="00B21C40" w:rsidP="0070074F">
      <w:pPr>
        <w:pStyle w:val="ListParagraph"/>
        <w:tabs>
          <w:tab w:val="left" w:pos="709"/>
        </w:tabs>
        <w:ind w:left="0"/>
        <w:jc w:val="both"/>
        <w:rPr>
          <w:rFonts w:ascii="Times New Roman" w:hAnsi="Times New Roman" w:cs="Times New Roman"/>
          <w:sz w:val="28"/>
          <w:szCs w:val="28"/>
          <w:lang w:val="en-US"/>
        </w:rPr>
      </w:pPr>
    </w:p>
    <w:p w14:paraId="05498BF6" w14:textId="330B2CD6" w:rsidR="005044BD" w:rsidRPr="0034627C" w:rsidRDefault="0034627C" w:rsidP="0034627C">
      <w:pPr>
        <w:tabs>
          <w:tab w:val="left" w:pos="709"/>
        </w:tabs>
        <w:jc w:val="both"/>
        <w:rPr>
          <w:rFonts w:ascii="Times New Roman" w:hAnsi="Times New Roman" w:cs="Times New Roman"/>
          <w:sz w:val="28"/>
          <w:szCs w:val="28"/>
          <w:u w:val="single"/>
          <w:lang w:val="en-US"/>
        </w:rPr>
      </w:pPr>
      <w:r w:rsidRPr="009872BA">
        <w:rPr>
          <w:rFonts w:ascii="Times New Roman" w:hAnsi="Times New Roman" w:cs="Times New Roman"/>
          <w:sz w:val="28"/>
          <w:szCs w:val="28"/>
          <w:lang w:val="en-US"/>
        </w:rPr>
        <w:t>[6]</w:t>
      </w:r>
      <w:r w:rsidRPr="009872BA">
        <w:rPr>
          <w:rFonts w:ascii="Times New Roman" w:hAnsi="Times New Roman" w:cs="Times New Roman"/>
          <w:sz w:val="28"/>
          <w:szCs w:val="28"/>
          <w:lang w:val="en-US"/>
        </w:rPr>
        <w:tab/>
      </w:r>
      <w:r w:rsidR="004B01D9" w:rsidRPr="0034627C">
        <w:rPr>
          <w:rFonts w:ascii="Times New Roman" w:hAnsi="Times New Roman" w:cs="Times New Roman"/>
          <w:sz w:val="28"/>
          <w:szCs w:val="28"/>
          <w:lang w:val="en-US"/>
        </w:rPr>
        <w:t xml:space="preserve">In August 2018 the trust, in accordance with the </w:t>
      </w:r>
      <w:r w:rsidR="005044BD" w:rsidRPr="0034627C">
        <w:rPr>
          <w:rFonts w:ascii="Times New Roman" w:hAnsi="Times New Roman" w:cs="Times New Roman"/>
          <w:sz w:val="28"/>
          <w:szCs w:val="28"/>
          <w:lang w:val="en-US"/>
        </w:rPr>
        <w:t>relevant provisions of the Act and Regulations</w:t>
      </w:r>
      <w:r w:rsidR="004B01D9" w:rsidRPr="0034627C">
        <w:rPr>
          <w:rFonts w:ascii="Times New Roman" w:hAnsi="Times New Roman" w:cs="Times New Roman"/>
          <w:sz w:val="28"/>
          <w:szCs w:val="28"/>
          <w:lang w:val="en-US"/>
        </w:rPr>
        <w:t xml:space="preserve">, applied for the approval of a </w:t>
      </w:r>
      <w:r w:rsidR="005044BD" w:rsidRPr="0034627C">
        <w:rPr>
          <w:rFonts w:ascii="Times New Roman" w:hAnsi="Times New Roman" w:cs="Times New Roman"/>
          <w:sz w:val="28"/>
          <w:szCs w:val="28"/>
          <w:lang w:val="en-US"/>
        </w:rPr>
        <w:t>site</w:t>
      </w:r>
      <w:r w:rsidR="004B01D9" w:rsidRPr="0034627C">
        <w:rPr>
          <w:rFonts w:ascii="Times New Roman" w:hAnsi="Times New Roman" w:cs="Times New Roman"/>
          <w:sz w:val="28"/>
          <w:szCs w:val="28"/>
          <w:lang w:val="en-US"/>
        </w:rPr>
        <w:t xml:space="preserve"> development plan and building plans </w:t>
      </w:r>
      <w:r w:rsidR="00905240" w:rsidRPr="0034627C">
        <w:rPr>
          <w:rFonts w:ascii="Times New Roman" w:hAnsi="Times New Roman" w:cs="Times New Roman"/>
          <w:sz w:val="28"/>
          <w:szCs w:val="28"/>
          <w:lang w:val="en-US"/>
        </w:rPr>
        <w:t>respectively with a view to</w:t>
      </w:r>
      <w:r w:rsidR="004B01D9" w:rsidRPr="0034627C">
        <w:rPr>
          <w:rFonts w:ascii="Times New Roman" w:hAnsi="Times New Roman" w:cs="Times New Roman"/>
          <w:sz w:val="28"/>
          <w:szCs w:val="28"/>
          <w:lang w:val="en-US"/>
        </w:rPr>
        <w:t xml:space="preserve"> the </w:t>
      </w:r>
      <w:r w:rsidR="005044BD" w:rsidRPr="0034627C">
        <w:rPr>
          <w:rFonts w:ascii="Times New Roman" w:hAnsi="Times New Roman" w:cs="Times New Roman"/>
          <w:sz w:val="28"/>
          <w:szCs w:val="28"/>
          <w:lang w:val="en-US"/>
        </w:rPr>
        <w:t xml:space="preserve">proposed </w:t>
      </w:r>
      <w:r w:rsidR="004B01D9" w:rsidRPr="0034627C">
        <w:rPr>
          <w:rFonts w:ascii="Times New Roman" w:hAnsi="Times New Roman" w:cs="Times New Roman"/>
          <w:sz w:val="28"/>
          <w:szCs w:val="28"/>
          <w:lang w:val="en-US"/>
        </w:rPr>
        <w:t xml:space="preserve">development of </w:t>
      </w:r>
      <w:r w:rsidR="00905240" w:rsidRPr="0034627C">
        <w:rPr>
          <w:rFonts w:ascii="Times New Roman" w:hAnsi="Times New Roman" w:cs="Times New Roman"/>
          <w:sz w:val="28"/>
          <w:szCs w:val="28"/>
          <w:lang w:val="en-US"/>
        </w:rPr>
        <w:t xml:space="preserve">its </w:t>
      </w:r>
      <w:r w:rsidR="004B01D9" w:rsidRPr="0034627C">
        <w:rPr>
          <w:rFonts w:ascii="Times New Roman" w:hAnsi="Times New Roman" w:cs="Times New Roman"/>
          <w:sz w:val="28"/>
          <w:szCs w:val="28"/>
          <w:lang w:val="en-US"/>
        </w:rPr>
        <w:t>property.</w:t>
      </w:r>
      <w:r w:rsidR="005044BD" w:rsidRPr="0034627C">
        <w:rPr>
          <w:rFonts w:ascii="Times New Roman" w:hAnsi="Times New Roman" w:cs="Times New Roman"/>
          <w:sz w:val="28"/>
          <w:szCs w:val="28"/>
          <w:lang w:val="en-US"/>
        </w:rPr>
        <w:t xml:space="preserve"> </w:t>
      </w:r>
      <w:r w:rsidR="004B01D9" w:rsidRPr="0034627C">
        <w:rPr>
          <w:rFonts w:ascii="Times New Roman" w:hAnsi="Times New Roman" w:cs="Times New Roman"/>
          <w:sz w:val="28"/>
          <w:szCs w:val="28"/>
          <w:lang w:val="en-US"/>
        </w:rPr>
        <w:t xml:space="preserve">On 11 and 14 December 2018 </w:t>
      </w:r>
      <w:r w:rsidR="005044BD" w:rsidRPr="0034627C">
        <w:rPr>
          <w:rFonts w:ascii="Times New Roman" w:hAnsi="Times New Roman" w:cs="Times New Roman"/>
          <w:sz w:val="28"/>
          <w:szCs w:val="28"/>
          <w:lang w:val="en-US"/>
        </w:rPr>
        <w:t>respectively, these</w:t>
      </w:r>
      <w:r w:rsidR="004B01D9" w:rsidRPr="0034627C">
        <w:rPr>
          <w:rFonts w:ascii="Times New Roman" w:hAnsi="Times New Roman" w:cs="Times New Roman"/>
          <w:sz w:val="28"/>
          <w:szCs w:val="28"/>
          <w:lang w:val="en-US"/>
        </w:rPr>
        <w:t xml:space="preserve"> </w:t>
      </w:r>
      <w:r w:rsidR="004F0648" w:rsidRPr="0034627C">
        <w:rPr>
          <w:rFonts w:ascii="Times New Roman" w:hAnsi="Times New Roman" w:cs="Times New Roman"/>
          <w:sz w:val="28"/>
          <w:szCs w:val="28"/>
          <w:lang w:val="en-US"/>
        </w:rPr>
        <w:t>received the go ahead</w:t>
      </w:r>
      <w:r w:rsidR="004B01D9" w:rsidRPr="0034627C">
        <w:rPr>
          <w:rFonts w:ascii="Times New Roman" w:hAnsi="Times New Roman" w:cs="Times New Roman"/>
          <w:sz w:val="28"/>
          <w:szCs w:val="28"/>
          <w:lang w:val="en-US"/>
        </w:rPr>
        <w:t xml:space="preserve"> by the first defendant</w:t>
      </w:r>
      <w:r w:rsidR="009872BA" w:rsidRPr="0034627C">
        <w:rPr>
          <w:rFonts w:ascii="Times New Roman" w:hAnsi="Times New Roman" w:cs="Times New Roman"/>
          <w:sz w:val="28"/>
          <w:szCs w:val="28"/>
          <w:lang w:val="en-US"/>
        </w:rPr>
        <w:t xml:space="preserve"> acting through </w:t>
      </w:r>
      <w:r w:rsidR="004F0648" w:rsidRPr="0034627C">
        <w:rPr>
          <w:rFonts w:ascii="Times New Roman" w:hAnsi="Times New Roman" w:cs="Times New Roman"/>
          <w:sz w:val="28"/>
          <w:szCs w:val="28"/>
          <w:lang w:val="en-US"/>
        </w:rPr>
        <w:t>its</w:t>
      </w:r>
      <w:r w:rsidR="009872BA" w:rsidRPr="0034627C">
        <w:rPr>
          <w:rFonts w:ascii="Times New Roman" w:hAnsi="Times New Roman" w:cs="Times New Roman"/>
          <w:sz w:val="28"/>
          <w:szCs w:val="28"/>
          <w:lang w:val="en-US"/>
        </w:rPr>
        <w:t xml:space="preserve"> relevant functionaries, including the second defendant</w:t>
      </w:r>
      <w:r w:rsidR="00C71B06" w:rsidRPr="0034627C">
        <w:rPr>
          <w:rFonts w:ascii="Times New Roman" w:hAnsi="Times New Roman" w:cs="Times New Roman"/>
          <w:sz w:val="28"/>
          <w:szCs w:val="28"/>
          <w:lang w:val="en-US"/>
        </w:rPr>
        <w:t>,</w:t>
      </w:r>
      <w:r w:rsidR="009872BA" w:rsidRPr="0034627C">
        <w:rPr>
          <w:rFonts w:ascii="Times New Roman" w:hAnsi="Times New Roman" w:cs="Times New Roman"/>
          <w:sz w:val="28"/>
          <w:szCs w:val="28"/>
          <w:lang w:val="en-US"/>
        </w:rPr>
        <w:t xml:space="preserve"> who approved the bu</w:t>
      </w:r>
      <w:r w:rsidR="00DA5891" w:rsidRPr="0034627C">
        <w:rPr>
          <w:rFonts w:ascii="Times New Roman" w:hAnsi="Times New Roman" w:cs="Times New Roman"/>
          <w:sz w:val="28"/>
          <w:szCs w:val="28"/>
          <w:lang w:val="en-US"/>
        </w:rPr>
        <w:t xml:space="preserve">ilding </w:t>
      </w:r>
      <w:r w:rsidR="009872BA" w:rsidRPr="0034627C">
        <w:rPr>
          <w:rFonts w:ascii="Times New Roman" w:hAnsi="Times New Roman" w:cs="Times New Roman"/>
          <w:sz w:val="28"/>
          <w:szCs w:val="28"/>
          <w:lang w:val="en-US"/>
        </w:rPr>
        <w:t>plans.</w:t>
      </w:r>
    </w:p>
    <w:p w14:paraId="358160E6" w14:textId="77777777" w:rsidR="009872BA" w:rsidRPr="009872BA" w:rsidRDefault="009872BA" w:rsidP="009872BA">
      <w:pPr>
        <w:pStyle w:val="ListParagraph"/>
        <w:rPr>
          <w:rFonts w:ascii="Times New Roman" w:hAnsi="Times New Roman" w:cs="Times New Roman"/>
          <w:sz w:val="28"/>
          <w:szCs w:val="28"/>
          <w:u w:val="single"/>
          <w:lang w:val="en-US"/>
        </w:rPr>
      </w:pPr>
    </w:p>
    <w:p w14:paraId="3EEA1701" w14:textId="29768CA4" w:rsidR="009872BA" w:rsidRPr="0034627C" w:rsidRDefault="0034627C" w:rsidP="0034627C">
      <w:pPr>
        <w:tabs>
          <w:tab w:val="left" w:pos="709"/>
        </w:tabs>
        <w:jc w:val="both"/>
        <w:rPr>
          <w:rFonts w:ascii="Times New Roman" w:hAnsi="Times New Roman" w:cs="Times New Roman"/>
          <w:sz w:val="28"/>
          <w:szCs w:val="28"/>
          <w:lang w:val="en-US"/>
        </w:rPr>
      </w:pPr>
      <w:r w:rsidRPr="009872BA">
        <w:rPr>
          <w:rFonts w:ascii="Times New Roman" w:hAnsi="Times New Roman" w:cs="Times New Roman"/>
          <w:sz w:val="28"/>
          <w:szCs w:val="28"/>
          <w:lang w:val="en-US"/>
        </w:rPr>
        <w:t>[7]</w:t>
      </w:r>
      <w:r w:rsidRPr="009872BA">
        <w:rPr>
          <w:rFonts w:ascii="Times New Roman" w:hAnsi="Times New Roman" w:cs="Times New Roman"/>
          <w:sz w:val="28"/>
          <w:szCs w:val="28"/>
          <w:lang w:val="en-US"/>
        </w:rPr>
        <w:tab/>
      </w:r>
      <w:r w:rsidR="009872BA" w:rsidRPr="0034627C">
        <w:rPr>
          <w:rFonts w:ascii="Times New Roman" w:hAnsi="Times New Roman" w:cs="Times New Roman"/>
          <w:sz w:val="28"/>
          <w:szCs w:val="28"/>
          <w:lang w:val="en-US"/>
        </w:rPr>
        <w:t xml:space="preserve">The trust </w:t>
      </w:r>
      <w:r w:rsidR="004F0648" w:rsidRPr="0034627C">
        <w:rPr>
          <w:rFonts w:ascii="Times New Roman" w:hAnsi="Times New Roman" w:cs="Times New Roman"/>
          <w:sz w:val="28"/>
          <w:szCs w:val="28"/>
          <w:lang w:val="en-US"/>
        </w:rPr>
        <w:t>says</w:t>
      </w:r>
      <w:r w:rsidR="009872BA" w:rsidRPr="0034627C">
        <w:rPr>
          <w:rFonts w:ascii="Times New Roman" w:hAnsi="Times New Roman" w:cs="Times New Roman"/>
          <w:sz w:val="28"/>
          <w:szCs w:val="28"/>
          <w:lang w:val="en-US"/>
        </w:rPr>
        <w:t xml:space="preserve"> that</w:t>
      </w:r>
      <w:r w:rsidR="00744791" w:rsidRPr="0034627C">
        <w:rPr>
          <w:rFonts w:ascii="Times New Roman" w:hAnsi="Times New Roman" w:cs="Times New Roman"/>
          <w:sz w:val="28"/>
          <w:szCs w:val="28"/>
          <w:lang w:val="en-US"/>
        </w:rPr>
        <w:t xml:space="preserve"> </w:t>
      </w:r>
      <w:r w:rsidR="009872BA" w:rsidRPr="0034627C">
        <w:rPr>
          <w:rFonts w:ascii="Times New Roman" w:hAnsi="Times New Roman" w:cs="Times New Roman"/>
          <w:sz w:val="28"/>
          <w:szCs w:val="28"/>
          <w:lang w:val="en-US"/>
        </w:rPr>
        <w:t xml:space="preserve">it complied with all conditions of </w:t>
      </w:r>
      <w:r w:rsidR="00744791" w:rsidRPr="0034627C">
        <w:rPr>
          <w:rFonts w:ascii="Times New Roman" w:hAnsi="Times New Roman" w:cs="Times New Roman"/>
          <w:sz w:val="28"/>
          <w:szCs w:val="28"/>
          <w:lang w:val="en-US"/>
        </w:rPr>
        <w:t xml:space="preserve">approval, as imposed by the </w:t>
      </w:r>
      <w:r w:rsidR="00744791" w:rsidRPr="0034627C">
        <w:rPr>
          <w:rFonts w:ascii="Times New Roman" w:hAnsi="Times New Roman" w:cs="Times New Roman"/>
          <w:i/>
          <w:iCs/>
          <w:sz w:val="28"/>
          <w:szCs w:val="28"/>
          <w:lang w:val="en-US"/>
        </w:rPr>
        <w:t>“defendant”</w:t>
      </w:r>
      <w:r w:rsidR="00C71B06" w:rsidRPr="005252F0">
        <w:rPr>
          <w:rStyle w:val="FootnoteReference"/>
          <w:rFonts w:ascii="Times New Roman" w:hAnsi="Times New Roman" w:cs="Times New Roman"/>
          <w:sz w:val="28"/>
          <w:szCs w:val="28"/>
          <w:lang w:val="en-US"/>
        </w:rPr>
        <w:footnoteReference w:id="4"/>
      </w:r>
      <w:r w:rsidR="00744791" w:rsidRPr="0034627C">
        <w:rPr>
          <w:rFonts w:ascii="Times New Roman" w:hAnsi="Times New Roman" w:cs="Times New Roman"/>
          <w:sz w:val="28"/>
          <w:szCs w:val="28"/>
          <w:lang w:val="en-US"/>
        </w:rPr>
        <w:t xml:space="preserve"> and that it commenced with the construction and development at the property in accordance with these plans, which commenced during or about late December 2018.</w:t>
      </w:r>
    </w:p>
    <w:p w14:paraId="718B16CF" w14:textId="77777777" w:rsidR="005044BD" w:rsidRPr="005044BD" w:rsidRDefault="005044BD" w:rsidP="005044BD">
      <w:pPr>
        <w:pStyle w:val="ListParagraph"/>
        <w:rPr>
          <w:rFonts w:ascii="Times New Roman" w:hAnsi="Times New Roman" w:cs="Times New Roman"/>
          <w:sz w:val="28"/>
          <w:szCs w:val="28"/>
          <w:lang w:val="en-US"/>
        </w:rPr>
      </w:pPr>
    </w:p>
    <w:p w14:paraId="04A257C0" w14:textId="78D138AB" w:rsidR="005044BD" w:rsidRPr="0034627C" w:rsidRDefault="0034627C" w:rsidP="0034627C">
      <w:pPr>
        <w:tabs>
          <w:tab w:val="left" w:pos="709"/>
        </w:tabs>
        <w:jc w:val="both"/>
        <w:rPr>
          <w:rFonts w:ascii="Times New Roman" w:hAnsi="Times New Roman" w:cs="Times New Roman"/>
          <w:sz w:val="28"/>
          <w:szCs w:val="28"/>
          <w:u w:val="single"/>
          <w:lang w:val="en-US"/>
        </w:rPr>
      </w:pPr>
      <w:r w:rsidRPr="00724240">
        <w:rPr>
          <w:rFonts w:ascii="Times New Roman" w:hAnsi="Times New Roman" w:cs="Times New Roman"/>
          <w:sz w:val="28"/>
          <w:szCs w:val="28"/>
          <w:lang w:val="en-US"/>
        </w:rPr>
        <w:lastRenderedPageBreak/>
        <w:t>[8]</w:t>
      </w:r>
      <w:r w:rsidRPr="00724240">
        <w:rPr>
          <w:rFonts w:ascii="Times New Roman" w:hAnsi="Times New Roman" w:cs="Times New Roman"/>
          <w:sz w:val="28"/>
          <w:szCs w:val="28"/>
          <w:lang w:val="en-US"/>
        </w:rPr>
        <w:tab/>
      </w:r>
      <w:r w:rsidR="004B01D9" w:rsidRPr="0034627C">
        <w:rPr>
          <w:rFonts w:ascii="Times New Roman" w:hAnsi="Times New Roman" w:cs="Times New Roman"/>
          <w:sz w:val="28"/>
          <w:szCs w:val="28"/>
          <w:lang w:val="en-US"/>
        </w:rPr>
        <w:t>During February 2019 the trust</w:t>
      </w:r>
      <w:r w:rsidR="005044BD" w:rsidRPr="0034627C">
        <w:rPr>
          <w:rFonts w:ascii="Times New Roman" w:hAnsi="Times New Roman" w:cs="Times New Roman"/>
          <w:sz w:val="28"/>
          <w:szCs w:val="28"/>
          <w:lang w:val="en-US"/>
        </w:rPr>
        <w:t>’</w:t>
      </w:r>
      <w:r w:rsidR="004B01D9" w:rsidRPr="0034627C">
        <w:rPr>
          <w:rFonts w:ascii="Times New Roman" w:hAnsi="Times New Roman" w:cs="Times New Roman"/>
          <w:sz w:val="28"/>
          <w:szCs w:val="28"/>
          <w:lang w:val="en-US"/>
        </w:rPr>
        <w:t>s building contractors discovered</w:t>
      </w:r>
      <w:r w:rsidR="00744791" w:rsidRPr="0034627C">
        <w:rPr>
          <w:rFonts w:ascii="Times New Roman" w:hAnsi="Times New Roman" w:cs="Times New Roman"/>
          <w:sz w:val="28"/>
          <w:szCs w:val="28"/>
          <w:lang w:val="en-US"/>
        </w:rPr>
        <w:t xml:space="preserve">, to </w:t>
      </w:r>
      <w:r w:rsidR="004F0648" w:rsidRPr="0034627C">
        <w:rPr>
          <w:rFonts w:ascii="Times New Roman" w:hAnsi="Times New Roman" w:cs="Times New Roman"/>
          <w:sz w:val="28"/>
          <w:szCs w:val="28"/>
          <w:lang w:val="en-US"/>
        </w:rPr>
        <w:t>the</w:t>
      </w:r>
      <w:r w:rsidR="00744791" w:rsidRPr="0034627C">
        <w:rPr>
          <w:rFonts w:ascii="Times New Roman" w:hAnsi="Times New Roman" w:cs="Times New Roman"/>
          <w:sz w:val="28"/>
          <w:szCs w:val="28"/>
          <w:lang w:val="en-US"/>
        </w:rPr>
        <w:t xml:space="preserve"> surprise</w:t>
      </w:r>
      <w:r w:rsidR="00DF79F5" w:rsidRPr="0034627C">
        <w:rPr>
          <w:rFonts w:ascii="Times New Roman" w:hAnsi="Times New Roman" w:cs="Times New Roman"/>
          <w:sz w:val="28"/>
          <w:szCs w:val="28"/>
          <w:lang w:val="en-US"/>
        </w:rPr>
        <w:t xml:space="preserve"> </w:t>
      </w:r>
      <w:r w:rsidR="004F0648" w:rsidRPr="0034627C">
        <w:rPr>
          <w:rFonts w:ascii="Times New Roman" w:hAnsi="Times New Roman" w:cs="Times New Roman"/>
          <w:sz w:val="28"/>
          <w:szCs w:val="28"/>
          <w:lang w:val="en-US"/>
        </w:rPr>
        <w:t xml:space="preserve">of its trustees </w:t>
      </w:r>
      <w:r w:rsidR="00DF79F5" w:rsidRPr="0034627C">
        <w:rPr>
          <w:rFonts w:ascii="Times New Roman" w:hAnsi="Times New Roman" w:cs="Times New Roman"/>
          <w:sz w:val="28"/>
          <w:szCs w:val="28"/>
          <w:lang w:val="en-US"/>
        </w:rPr>
        <w:t xml:space="preserve">since </w:t>
      </w:r>
      <w:r w:rsidR="003A072C" w:rsidRPr="0034627C">
        <w:rPr>
          <w:rFonts w:ascii="Times New Roman" w:hAnsi="Times New Roman" w:cs="Times New Roman"/>
          <w:sz w:val="28"/>
          <w:szCs w:val="28"/>
          <w:lang w:val="en-US"/>
        </w:rPr>
        <w:t>its</w:t>
      </w:r>
      <w:r w:rsidR="00DF79F5" w:rsidRPr="0034627C">
        <w:rPr>
          <w:rFonts w:ascii="Times New Roman" w:hAnsi="Times New Roman" w:cs="Times New Roman"/>
          <w:sz w:val="28"/>
          <w:szCs w:val="28"/>
          <w:lang w:val="en-US"/>
        </w:rPr>
        <w:t xml:space="preserve"> existence </w:t>
      </w:r>
      <w:r w:rsidR="005C3777" w:rsidRPr="0034627C">
        <w:rPr>
          <w:rFonts w:ascii="Times New Roman" w:hAnsi="Times New Roman" w:cs="Times New Roman"/>
          <w:sz w:val="28"/>
          <w:szCs w:val="28"/>
          <w:lang w:val="en-US"/>
        </w:rPr>
        <w:t>was</w:t>
      </w:r>
      <w:r w:rsidR="00DF79F5" w:rsidRPr="0034627C">
        <w:rPr>
          <w:rFonts w:ascii="Times New Roman" w:hAnsi="Times New Roman" w:cs="Times New Roman"/>
          <w:sz w:val="28"/>
          <w:szCs w:val="28"/>
          <w:lang w:val="en-US"/>
        </w:rPr>
        <w:t xml:space="preserve"> not given recognition on the approved </w:t>
      </w:r>
      <w:r w:rsidR="00FD061B" w:rsidRPr="0034627C">
        <w:rPr>
          <w:rFonts w:ascii="Times New Roman" w:hAnsi="Times New Roman" w:cs="Times New Roman"/>
          <w:sz w:val="28"/>
          <w:szCs w:val="28"/>
          <w:lang w:val="en-US"/>
        </w:rPr>
        <w:t>site development plan</w:t>
      </w:r>
      <w:r w:rsidR="00DF79F5" w:rsidRPr="0034627C">
        <w:rPr>
          <w:rFonts w:ascii="Times New Roman" w:hAnsi="Times New Roman" w:cs="Times New Roman"/>
          <w:sz w:val="28"/>
          <w:szCs w:val="28"/>
          <w:lang w:val="en-US"/>
        </w:rPr>
        <w:t xml:space="preserve"> and/or building plans</w:t>
      </w:r>
      <w:r w:rsidR="00744791" w:rsidRPr="0034627C">
        <w:rPr>
          <w:rFonts w:ascii="Times New Roman" w:hAnsi="Times New Roman" w:cs="Times New Roman"/>
          <w:sz w:val="28"/>
          <w:szCs w:val="28"/>
          <w:lang w:val="en-US"/>
        </w:rPr>
        <w:t>,</w:t>
      </w:r>
      <w:r w:rsidR="004B01D9" w:rsidRPr="0034627C">
        <w:rPr>
          <w:rFonts w:ascii="Times New Roman" w:hAnsi="Times New Roman" w:cs="Times New Roman"/>
          <w:sz w:val="28"/>
          <w:szCs w:val="28"/>
          <w:lang w:val="en-US"/>
        </w:rPr>
        <w:t xml:space="preserve"> a 450 </w:t>
      </w:r>
      <w:r w:rsidR="005044BD" w:rsidRPr="0034627C">
        <w:rPr>
          <w:rFonts w:ascii="Times New Roman" w:hAnsi="Times New Roman" w:cs="Times New Roman"/>
          <w:sz w:val="28"/>
          <w:szCs w:val="28"/>
          <w:lang w:val="en-US"/>
        </w:rPr>
        <w:t>mm</w:t>
      </w:r>
      <w:r w:rsidR="004B01D9" w:rsidRPr="0034627C">
        <w:rPr>
          <w:rFonts w:ascii="Times New Roman" w:hAnsi="Times New Roman" w:cs="Times New Roman"/>
          <w:sz w:val="28"/>
          <w:szCs w:val="28"/>
          <w:lang w:val="en-US"/>
        </w:rPr>
        <w:t xml:space="preserve"> effluent pipe</w:t>
      </w:r>
      <w:r w:rsidR="00571D1D" w:rsidRPr="0034627C">
        <w:rPr>
          <w:rFonts w:ascii="Times New Roman" w:hAnsi="Times New Roman" w:cs="Times New Roman"/>
          <w:sz w:val="28"/>
          <w:szCs w:val="28"/>
          <w:lang w:val="en-US"/>
        </w:rPr>
        <w:t>line (</w:t>
      </w:r>
      <w:r w:rsidR="00130279" w:rsidRPr="0034627C">
        <w:rPr>
          <w:rFonts w:ascii="Times New Roman" w:hAnsi="Times New Roman" w:cs="Times New Roman"/>
          <w:sz w:val="28"/>
          <w:szCs w:val="28"/>
          <w:lang w:val="en-US"/>
        </w:rPr>
        <w:t>“the pipe”)</w:t>
      </w:r>
      <w:r w:rsidR="004B01D9" w:rsidRPr="0034627C">
        <w:rPr>
          <w:rFonts w:ascii="Times New Roman" w:hAnsi="Times New Roman" w:cs="Times New Roman"/>
          <w:sz w:val="28"/>
          <w:szCs w:val="28"/>
          <w:lang w:val="en-US"/>
        </w:rPr>
        <w:t xml:space="preserve"> under the surface of the property, which extended underneath the newly constructed warehouse on </w:t>
      </w:r>
      <w:r w:rsidR="004F0648" w:rsidRPr="0034627C">
        <w:rPr>
          <w:rFonts w:ascii="Times New Roman" w:hAnsi="Times New Roman" w:cs="Times New Roman"/>
          <w:sz w:val="28"/>
          <w:szCs w:val="28"/>
          <w:lang w:val="en-US"/>
        </w:rPr>
        <w:t>its</w:t>
      </w:r>
      <w:r w:rsidR="004B01D9" w:rsidRPr="0034627C">
        <w:rPr>
          <w:rFonts w:ascii="Times New Roman" w:hAnsi="Times New Roman" w:cs="Times New Roman"/>
          <w:sz w:val="28"/>
          <w:szCs w:val="28"/>
          <w:lang w:val="en-US"/>
        </w:rPr>
        <w:t xml:space="preserve"> property.</w:t>
      </w:r>
      <w:r w:rsidR="00744791" w:rsidRPr="0034627C">
        <w:rPr>
          <w:rFonts w:ascii="Times New Roman" w:hAnsi="Times New Roman" w:cs="Times New Roman"/>
          <w:sz w:val="28"/>
          <w:szCs w:val="28"/>
          <w:lang w:val="en-US"/>
        </w:rPr>
        <w:t xml:space="preserve"> The pipe extends from the western to the eastern boundary, and approximately 4 metres from the northern boundary of the property.</w:t>
      </w:r>
      <w:r w:rsidR="004F0648">
        <w:rPr>
          <w:rStyle w:val="FootnoteReference"/>
          <w:rFonts w:ascii="Times New Roman" w:hAnsi="Times New Roman" w:cs="Times New Roman"/>
          <w:sz w:val="28"/>
          <w:szCs w:val="28"/>
          <w:lang w:val="en-US"/>
        </w:rPr>
        <w:footnoteReference w:id="5"/>
      </w:r>
    </w:p>
    <w:p w14:paraId="263AB7FF" w14:textId="77777777" w:rsidR="00724240" w:rsidRPr="00724240" w:rsidRDefault="00724240" w:rsidP="00724240">
      <w:pPr>
        <w:pStyle w:val="ListParagraph"/>
        <w:rPr>
          <w:rFonts w:ascii="Times New Roman" w:hAnsi="Times New Roman" w:cs="Times New Roman"/>
          <w:sz w:val="28"/>
          <w:szCs w:val="28"/>
          <w:u w:val="single"/>
          <w:lang w:val="en-US"/>
        </w:rPr>
      </w:pPr>
    </w:p>
    <w:p w14:paraId="3F1C9301" w14:textId="05FED97B" w:rsidR="00130279" w:rsidRPr="0034627C" w:rsidRDefault="0034627C" w:rsidP="0034627C">
      <w:pPr>
        <w:tabs>
          <w:tab w:val="left" w:pos="709"/>
        </w:tabs>
        <w:jc w:val="both"/>
        <w:rPr>
          <w:rFonts w:ascii="Times New Roman" w:hAnsi="Times New Roman" w:cs="Times New Roman"/>
          <w:sz w:val="28"/>
          <w:szCs w:val="28"/>
          <w:lang w:val="en-US"/>
        </w:rPr>
      </w:pPr>
      <w:r w:rsidRPr="00130279">
        <w:rPr>
          <w:rFonts w:ascii="Times New Roman" w:hAnsi="Times New Roman" w:cs="Times New Roman"/>
          <w:sz w:val="28"/>
          <w:szCs w:val="28"/>
          <w:lang w:val="en-US"/>
        </w:rPr>
        <w:t>[9]</w:t>
      </w:r>
      <w:r w:rsidRPr="00130279">
        <w:rPr>
          <w:rFonts w:ascii="Times New Roman" w:hAnsi="Times New Roman" w:cs="Times New Roman"/>
          <w:sz w:val="28"/>
          <w:szCs w:val="28"/>
          <w:lang w:val="en-US"/>
        </w:rPr>
        <w:tab/>
      </w:r>
      <w:r w:rsidR="00724240" w:rsidRPr="0034627C">
        <w:rPr>
          <w:rFonts w:ascii="Times New Roman" w:hAnsi="Times New Roman" w:cs="Times New Roman"/>
          <w:sz w:val="28"/>
          <w:szCs w:val="28"/>
          <w:lang w:val="en-US"/>
        </w:rPr>
        <w:t xml:space="preserve">The plaintiffs plead that the officers of the first defendant, including the second defendant, did not advise the trust </w:t>
      </w:r>
      <w:r w:rsidR="00B56E72" w:rsidRPr="0034627C">
        <w:rPr>
          <w:rFonts w:ascii="Times New Roman" w:hAnsi="Times New Roman" w:cs="Times New Roman"/>
          <w:sz w:val="28"/>
          <w:szCs w:val="28"/>
          <w:lang w:val="en-US"/>
        </w:rPr>
        <w:t xml:space="preserve">(who was entirely nescient) </w:t>
      </w:r>
      <w:r w:rsidR="00724240" w:rsidRPr="0034627C">
        <w:rPr>
          <w:rFonts w:ascii="Times New Roman" w:hAnsi="Times New Roman" w:cs="Times New Roman"/>
          <w:sz w:val="28"/>
          <w:szCs w:val="28"/>
          <w:lang w:val="en-US"/>
        </w:rPr>
        <w:t>of the pipe’s existence</w:t>
      </w:r>
      <w:r w:rsidR="00CB5A64" w:rsidRPr="0034627C">
        <w:rPr>
          <w:rFonts w:ascii="Times New Roman" w:hAnsi="Times New Roman" w:cs="Times New Roman"/>
          <w:sz w:val="28"/>
          <w:szCs w:val="28"/>
          <w:lang w:val="en-GB"/>
        </w:rPr>
        <w:t xml:space="preserve"> notwithstanding the fact that they knew or ought reasonably to have known thereof.</w:t>
      </w:r>
    </w:p>
    <w:p w14:paraId="464065EE" w14:textId="77777777" w:rsidR="00130279" w:rsidRPr="00130279" w:rsidRDefault="00130279" w:rsidP="00130279">
      <w:pPr>
        <w:pStyle w:val="ListParagraph"/>
        <w:rPr>
          <w:rFonts w:ascii="Times New Roman" w:hAnsi="Times New Roman" w:cs="Times New Roman"/>
          <w:sz w:val="28"/>
          <w:szCs w:val="28"/>
          <w:lang w:val="en-GB"/>
        </w:rPr>
      </w:pPr>
    </w:p>
    <w:p w14:paraId="36E06EA8" w14:textId="0369ACF4" w:rsidR="00130279" w:rsidRPr="0034627C" w:rsidRDefault="0034627C" w:rsidP="0034627C">
      <w:pPr>
        <w:tabs>
          <w:tab w:val="left" w:pos="709"/>
        </w:tabs>
        <w:jc w:val="both"/>
        <w:rPr>
          <w:rFonts w:ascii="Times New Roman" w:hAnsi="Times New Roman" w:cs="Times New Roman"/>
          <w:sz w:val="28"/>
          <w:szCs w:val="28"/>
          <w:lang w:val="en-US"/>
        </w:rPr>
      </w:pPr>
      <w:r w:rsidRPr="008B2C27">
        <w:rPr>
          <w:rFonts w:ascii="Times New Roman" w:hAnsi="Times New Roman" w:cs="Times New Roman"/>
          <w:sz w:val="28"/>
          <w:szCs w:val="28"/>
          <w:lang w:val="en-US"/>
        </w:rPr>
        <w:t>[10]</w:t>
      </w:r>
      <w:r w:rsidRPr="008B2C27">
        <w:rPr>
          <w:rFonts w:ascii="Times New Roman" w:hAnsi="Times New Roman" w:cs="Times New Roman"/>
          <w:sz w:val="28"/>
          <w:szCs w:val="28"/>
          <w:lang w:val="en-US"/>
        </w:rPr>
        <w:tab/>
      </w:r>
      <w:r w:rsidR="00130279" w:rsidRPr="0034627C">
        <w:rPr>
          <w:rFonts w:ascii="Times New Roman" w:hAnsi="Times New Roman" w:cs="Times New Roman"/>
          <w:sz w:val="28"/>
          <w:szCs w:val="28"/>
          <w:lang w:val="en-GB"/>
        </w:rPr>
        <w:t xml:space="preserve">The </w:t>
      </w:r>
      <w:r w:rsidR="00782C5A" w:rsidRPr="0034627C">
        <w:rPr>
          <w:rFonts w:ascii="Times New Roman" w:hAnsi="Times New Roman" w:cs="Times New Roman"/>
          <w:sz w:val="28"/>
          <w:szCs w:val="28"/>
          <w:lang w:val="en-GB"/>
        </w:rPr>
        <w:t xml:space="preserve">trust </w:t>
      </w:r>
      <w:r w:rsidR="00336C42" w:rsidRPr="0034627C">
        <w:rPr>
          <w:rFonts w:ascii="Times New Roman" w:hAnsi="Times New Roman" w:cs="Times New Roman"/>
          <w:sz w:val="28"/>
          <w:szCs w:val="28"/>
          <w:lang w:val="en-GB"/>
        </w:rPr>
        <w:t>avers further,</w:t>
      </w:r>
      <w:r w:rsidR="000C42EF" w:rsidRPr="0034627C">
        <w:rPr>
          <w:rFonts w:ascii="Times New Roman" w:hAnsi="Times New Roman" w:cs="Times New Roman"/>
          <w:sz w:val="28"/>
          <w:szCs w:val="28"/>
          <w:lang w:val="en-GB"/>
        </w:rPr>
        <w:t xml:space="preserve"> in the context of the</w:t>
      </w:r>
      <w:r w:rsidR="002A2529" w:rsidRPr="0034627C">
        <w:rPr>
          <w:rFonts w:ascii="Times New Roman" w:hAnsi="Times New Roman" w:cs="Times New Roman"/>
          <w:sz w:val="28"/>
          <w:szCs w:val="28"/>
          <w:lang w:val="en-GB"/>
        </w:rPr>
        <w:t xml:space="preserve"> defendant’s </w:t>
      </w:r>
      <w:r w:rsidR="00FF21E7" w:rsidRPr="0034627C">
        <w:rPr>
          <w:rFonts w:ascii="Times New Roman" w:hAnsi="Times New Roman" w:cs="Times New Roman"/>
          <w:sz w:val="28"/>
          <w:szCs w:val="28"/>
          <w:lang w:val="en-GB"/>
        </w:rPr>
        <w:t>failure to</w:t>
      </w:r>
      <w:r w:rsidR="002A2529" w:rsidRPr="0034627C">
        <w:rPr>
          <w:rFonts w:ascii="Times New Roman" w:hAnsi="Times New Roman" w:cs="Times New Roman"/>
          <w:sz w:val="28"/>
          <w:szCs w:val="28"/>
          <w:lang w:val="en-GB"/>
        </w:rPr>
        <w:t xml:space="preserve"> have informed it of the pipe’s existence</w:t>
      </w:r>
      <w:r w:rsidR="00336C42" w:rsidRPr="0034627C">
        <w:rPr>
          <w:rFonts w:ascii="Times New Roman" w:hAnsi="Times New Roman" w:cs="Times New Roman"/>
          <w:sz w:val="28"/>
          <w:szCs w:val="28"/>
          <w:lang w:val="en-GB"/>
        </w:rPr>
        <w:t>,</w:t>
      </w:r>
      <w:r w:rsidR="002A2529" w:rsidRPr="0034627C">
        <w:rPr>
          <w:rFonts w:ascii="Times New Roman" w:hAnsi="Times New Roman" w:cs="Times New Roman"/>
          <w:sz w:val="28"/>
          <w:szCs w:val="28"/>
          <w:lang w:val="en-GB"/>
        </w:rPr>
        <w:t xml:space="preserve"> </w:t>
      </w:r>
      <w:r w:rsidR="00130279" w:rsidRPr="0034627C">
        <w:rPr>
          <w:rFonts w:ascii="Times New Roman" w:hAnsi="Times New Roman" w:cs="Times New Roman"/>
          <w:sz w:val="28"/>
          <w:szCs w:val="28"/>
          <w:lang w:val="en-GB"/>
        </w:rPr>
        <w:t xml:space="preserve">additionally that: </w:t>
      </w:r>
      <w:r w:rsidR="00130279" w:rsidRPr="0034627C">
        <w:rPr>
          <w:rFonts w:ascii="Times New Roman" w:hAnsi="Times New Roman" w:cs="Times New Roman"/>
          <w:i/>
          <w:iCs/>
          <w:sz w:val="28"/>
          <w:szCs w:val="28"/>
          <w:lang w:val="en-GB"/>
        </w:rPr>
        <w:t xml:space="preserve">“By approving the SDP and/or Building Plans, the defendants represented that no Municipal services, such as </w:t>
      </w:r>
      <w:r w:rsidR="001C0E57" w:rsidRPr="0034627C">
        <w:rPr>
          <w:rFonts w:ascii="Times New Roman" w:hAnsi="Times New Roman" w:cs="Times New Roman"/>
          <w:i/>
          <w:iCs/>
          <w:sz w:val="28"/>
          <w:szCs w:val="28"/>
          <w:lang w:val="en-GB"/>
        </w:rPr>
        <w:t xml:space="preserve">the </w:t>
      </w:r>
      <w:r w:rsidR="00130279" w:rsidRPr="0034627C">
        <w:rPr>
          <w:rFonts w:ascii="Times New Roman" w:hAnsi="Times New Roman" w:cs="Times New Roman"/>
          <w:i/>
          <w:iCs/>
          <w:sz w:val="28"/>
          <w:szCs w:val="28"/>
          <w:lang w:val="en-GB"/>
        </w:rPr>
        <w:t>450 mm Pipe, would be adversely affected by the construction and development at the property.”</w:t>
      </w:r>
      <w:r w:rsidR="00DF3B4D">
        <w:rPr>
          <w:rStyle w:val="FootnoteReference"/>
          <w:rFonts w:ascii="Times New Roman" w:hAnsi="Times New Roman" w:cs="Times New Roman"/>
          <w:sz w:val="28"/>
          <w:szCs w:val="28"/>
          <w:lang w:val="en-GB"/>
        </w:rPr>
        <w:footnoteReference w:id="6"/>
      </w:r>
    </w:p>
    <w:p w14:paraId="5B01EABC" w14:textId="77777777" w:rsidR="00130279" w:rsidRPr="00130279" w:rsidRDefault="00130279" w:rsidP="00130279">
      <w:pPr>
        <w:pStyle w:val="ListParagraph"/>
        <w:rPr>
          <w:rFonts w:ascii="Times New Roman" w:hAnsi="Times New Roman" w:cs="Times New Roman"/>
          <w:sz w:val="28"/>
          <w:szCs w:val="28"/>
          <w:lang w:val="en-GB"/>
        </w:rPr>
      </w:pPr>
    </w:p>
    <w:p w14:paraId="4E3D7191" w14:textId="1BBD2C3B" w:rsidR="00724240" w:rsidRPr="0034627C" w:rsidRDefault="0034627C" w:rsidP="0034627C">
      <w:pPr>
        <w:tabs>
          <w:tab w:val="left" w:pos="709"/>
        </w:tabs>
        <w:jc w:val="both"/>
        <w:rPr>
          <w:rFonts w:ascii="Times New Roman" w:hAnsi="Times New Roman" w:cs="Times New Roman"/>
          <w:sz w:val="28"/>
          <w:szCs w:val="28"/>
          <w:lang w:val="en-US"/>
        </w:rPr>
      </w:pPr>
      <w:r w:rsidRPr="00724240">
        <w:rPr>
          <w:rFonts w:ascii="Times New Roman" w:hAnsi="Times New Roman" w:cs="Times New Roman"/>
          <w:sz w:val="28"/>
          <w:szCs w:val="28"/>
          <w:lang w:val="en-US"/>
        </w:rPr>
        <w:lastRenderedPageBreak/>
        <w:t>[11]</w:t>
      </w:r>
      <w:r w:rsidRPr="00724240">
        <w:rPr>
          <w:rFonts w:ascii="Times New Roman" w:hAnsi="Times New Roman" w:cs="Times New Roman"/>
          <w:sz w:val="28"/>
          <w:szCs w:val="28"/>
          <w:lang w:val="en-US"/>
        </w:rPr>
        <w:tab/>
      </w:r>
      <w:r w:rsidR="008B2C27" w:rsidRPr="0034627C">
        <w:rPr>
          <w:rFonts w:ascii="Times New Roman" w:hAnsi="Times New Roman" w:cs="Times New Roman"/>
          <w:sz w:val="28"/>
          <w:szCs w:val="28"/>
          <w:lang w:val="en-GB"/>
        </w:rPr>
        <w:t xml:space="preserve">The trust </w:t>
      </w:r>
      <w:r w:rsidR="00336C42" w:rsidRPr="0034627C">
        <w:rPr>
          <w:rFonts w:ascii="Times New Roman" w:hAnsi="Times New Roman" w:cs="Times New Roman"/>
          <w:sz w:val="28"/>
          <w:szCs w:val="28"/>
          <w:lang w:val="en-GB"/>
        </w:rPr>
        <w:t>asserts</w:t>
      </w:r>
      <w:r w:rsidR="008B2C27" w:rsidRPr="0034627C">
        <w:rPr>
          <w:rFonts w:ascii="Times New Roman" w:hAnsi="Times New Roman" w:cs="Times New Roman"/>
          <w:sz w:val="28"/>
          <w:szCs w:val="28"/>
          <w:lang w:val="en-GB"/>
        </w:rPr>
        <w:t xml:space="preserve"> that the defendant had</w:t>
      </w:r>
      <w:r w:rsidR="00E32D1D" w:rsidRPr="0034627C">
        <w:rPr>
          <w:rFonts w:ascii="Times New Roman" w:hAnsi="Times New Roman" w:cs="Times New Roman"/>
          <w:sz w:val="28"/>
          <w:szCs w:val="28"/>
          <w:lang w:val="en-GB"/>
        </w:rPr>
        <w:t xml:space="preserve"> a </w:t>
      </w:r>
      <w:r w:rsidR="00A70452" w:rsidRPr="0034627C">
        <w:rPr>
          <w:rFonts w:ascii="Times New Roman" w:hAnsi="Times New Roman" w:cs="Times New Roman"/>
          <w:i/>
          <w:iCs/>
          <w:sz w:val="28"/>
          <w:szCs w:val="28"/>
          <w:lang w:val="en-GB"/>
        </w:rPr>
        <w:t>“</w:t>
      </w:r>
      <w:r w:rsidR="00E32D1D" w:rsidRPr="0034627C">
        <w:rPr>
          <w:rFonts w:ascii="Times New Roman" w:hAnsi="Times New Roman" w:cs="Times New Roman"/>
          <w:i/>
          <w:iCs/>
          <w:sz w:val="28"/>
          <w:szCs w:val="28"/>
          <w:lang w:val="en-GB"/>
        </w:rPr>
        <w:t>duty of care</w:t>
      </w:r>
      <w:r w:rsidR="00A70452" w:rsidRPr="0034627C">
        <w:rPr>
          <w:rFonts w:ascii="Times New Roman" w:hAnsi="Times New Roman" w:cs="Times New Roman"/>
          <w:i/>
          <w:iCs/>
          <w:sz w:val="28"/>
          <w:szCs w:val="28"/>
          <w:lang w:val="en-GB"/>
        </w:rPr>
        <w:t>”</w:t>
      </w:r>
      <w:r w:rsidR="00E32D1D" w:rsidRPr="0034627C">
        <w:rPr>
          <w:rFonts w:ascii="Times New Roman" w:hAnsi="Times New Roman" w:cs="Times New Roman"/>
          <w:sz w:val="28"/>
          <w:szCs w:val="28"/>
          <w:lang w:val="en-GB"/>
        </w:rPr>
        <w:t xml:space="preserve"> to draw the fact of </w:t>
      </w:r>
      <w:r w:rsidR="00990F53" w:rsidRPr="0034627C">
        <w:rPr>
          <w:rFonts w:ascii="Times New Roman" w:hAnsi="Times New Roman" w:cs="Times New Roman"/>
          <w:sz w:val="28"/>
          <w:szCs w:val="28"/>
          <w:lang w:val="en-GB"/>
        </w:rPr>
        <w:t>the pipe’s</w:t>
      </w:r>
      <w:r w:rsidR="00E32D1D" w:rsidRPr="0034627C">
        <w:rPr>
          <w:rFonts w:ascii="Times New Roman" w:hAnsi="Times New Roman" w:cs="Times New Roman"/>
          <w:sz w:val="28"/>
          <w:szCs w:val="28"/>
          <w:lang w:val="en-GB"/>
        </w:rPr>
        <w:t xml:space="preserve"> existence </w:t>
      </w:r>
      <w:r w:rsidR="00990F53" w:rsidRPr="0034627C">
        <w:rPr>
          <w:rFonts w:ascii="Times New Roman" w:hAnsi="Times New Roman" w:cs="Times New Roman"/>
          <w:sz w:val="28"/>
          <w:szCs w:val="28"/>
          <w:lang w:val="en-GB"/>
        </w:rPr>
        <w:t xml:space="preserve">and position of its current services </w:t>
      </w:r>
      <w:r w:rsidR="00737D8E" w:rsidRPr="0034627C">
        <w:rPr>
          <w:rFonts w:ascii="Times New Roman" w:hAnsi="Times New Roman" w:cs="Times New Roman"/>
          <w:sz w:val="28"/>
          <w:szCs w:val="28"/>
          <w:lang w:val="en-GB"/>
        </w:rPr>
        <w:t xml:space="preserve">(including the pipe) </w:t>
      </w:r>
      <w:r w:rsidR="00E32D1D" w:rsidRPr="0034627C">
        <w:rPr>
          <w:rFonts w:ascii="Times New Roman" w:hAnsi="Times New Roman" w:cs="Times New Roman"/>
          <w:sz w:val="28"/>
          <w:szCs w:val="28"/>
          <w:lang w:val="en-GB"/>
        </w:rPr>
        <w:t xml:space="preserve">to </w:t>
      </w:r>
      <w:r w:rsidR="005C3777" w:rsidRPr="0034627C">
        <w:rPr>
          <w:rFonts w:ascii="Times New Roman" w:hAnsi="Times New Roman" w:cs="Times New Roman"/>
          <w:sz w:val="28"/>
          <w:szCs w:val="28"/>
          <w:lang w:val="en-GB"/>
        </w:rPr>
        <w:t>its</w:t>
      </w:r>
      <w:r w:rsidR="00E32D1D" w:rsidRPr="0034627C">
        <w:rPr>
          <w:rFonts w:ascii="Times New Roman" w:hAnsi="Times New Roman" w:cs="Times New Roman"/>
          <w:sz w:val="28"/>
          <w:szCs w:val="28"/>
          <w:lang w:val="en-GB"/>
        </w:rPr>
        <w:t xml:space="preserve"> attention</w:t>
      </w:r>
      <w:r w:rsidR="00A70452" w:rsidRPr="0034627C">
        <w:rPr>
          <w:rFonts w:ascii="Times New Roman" w:hAnsi="Times New Roman" w:cs="Times New Roman"/>
          <w:sz w:val="28"/>
          <w:szCs w:val="28"/>
          <w:lang w:val="en-GB"/>
        </w:rPr>
        <w:t xml:space="preserve"> when approving the development of the trust’s property. </w:t>
      </w:r>
      <w:r w:rsidR="00F85D64" w:rsidRPr="0034627C">
        <w:rPr>
          <w:rFonts w:ascii="Times New Roman" w:hAnsi="Times New Roman" w:cs="Times New Roman"/>
          <w:sz w:val="28"/>
          <w:szCs w:val="28"/>
          <w:lang w:val="en-GB"/>
        </w:rPr>
        <w:t>Such duty arises from the obligation on it to record and be aware of the existing municipal services, particularly those which traverse property owned by the trust</w:t>
      </w:r>
      <w:r w:rsidR="00CE14A5" w:rsidRPr="0034627C">
        <w:rPr>
          <w:rFonts w:ascii="Times New Roman" w:hAnsi="Times New Roman" w:cs="Times New Roman"/>
          <w:sz w:val="28"/>
          <w:szCs w:val="28"/>
          <w:lang w:val="en-GB"/>
        </w:rPr>
        <w:t>,</w:t>
      </w:r>
      <w:r w:rsidR="008A52A2" w:rsidRPr="0034627C">
        <w:rPr>
          <w:rFonts w:ascii="Times New Roman" w:hAnsi="Times New Roman" w:cs="Times New Roman"/>
          <w:sz w:val="28"/>
          <w:szCs w:val="28"/>
          <w:lang w:val="en-GB"/>
        </w:rPr>
        <w:t xml:space="preserve"> and to have drawn attention to their existence and position prior to or at the time of approval of the plans</w:t>
      </w:r>
      <w:r w:rsidR="00F85D64" w:rsidRPr="0034627C">
        <w:rPr>
          <w:rFonts w:ascii="Times New Roman" w:hAnsi="Times New Roman" w:cs="Times New Roman"/>
          <w:sz w:val="28"/>
          <w:szCs w:val="28"/>
          <w:lang w:val="en-GB"/>
        </w:rPr>
        <w:t xml:space="preserve">. </w:t>
      </w:r>
      <w:r w:rsidR="00A70452" w:rsidRPr="0034627C">
        <w:rPr>
          <w:rFonts w:ascii="Times New Roman" w:hAnsi="Times New Roman" w:cs="Times New Roman"/>
          <w:sz w:val="28"/>
          <w:szCs w:val="28"/>
          <w:lang w:val="en-GB"/>
        </w:rPr>
        <w:t xml:space="preserve"> </w:t>
      </w:r>
      <w:r w:rsidR="00CE14A5" w:rsidRPr="0034627C">
        <w:rPr>
          <w:rFonts w:ascii="Times New Roman" w:hAnsi="Times New Roman" w:cs="Times New Roman"/>
          <w:sz w:val="28"/>
          <w:szCs w:val="28"/>
          <w:lang w:val="en-GB"/>
        </w:rPr>
        <w:t>Concerning their alleged negligence,</w:t>
      </w:r>
      <w:r w:rsidR="00A70452" w:rsidRPr="0034627C">
        <w:rPr>
          <w:rFonts w:ascii="Times New Roman" w:hAnsi="Times New Roman" w:cs="Times New Roman"/>
          <w:sz w:val="28"/>
          <w:szCs w:val="28"/>
          <w:lang w:val="en-GB"/>
        </w:rPr>
        <w:t xml:space="preserve"> </w:t>
      </w:r>
      <w:r w:rsidR="00724240" w:rsidRPr="0034627C">
        <w:rPr>
          <w:rFonts w:ascii="Times New Roman" w:hAnsi="Times New Roman" w:cs="Times New Roman"/>
          <w:sz w:val="28"/>
          <w:szCs w:val="28"/>
          <w:lang w:val="en-GB"/>
        </w:rPr>
        <w:t xml:space="preserve">the defendant was </w:t>
      </w:r>
      <w:r w:rsidR="009E4F12" w:rsidRPr="0034627C">
        <w:rPr>
          <w:rFonts w:ascii="Times New Roman" w:hAnsi="Times New Roman" w:cs="Times New Roman"/>
          <w:sz w:val="28"/>
          <w:szCs w:val="28"/>
          <w:lang w:val="en-GB"/>
        </w:rPr>
        <w:t xml:space="preserve">said to have been </w:t>
      </w:r>
      <w:r w:rsidR="00724240" w:rsidRPr="0034627C">
        <w:rPr>
          <w:rFonts w:ascii="Times New Roman" w:hAnsi="Times New Roman" w:cs="Times New Roman"/>
          <w:sz w:val="28"/>
          <w:szCs w:val="28"/>
          <w:lang w:val="en-GB"/>
        </w:rPr>
        <w:t xml:space="preserve">in possession of drawings showing the existence of the pipe in accordance with the obligation on it to record and be aware of the existing municipal </w:t>
      </w:r>
      <w:r w:rsidR="00CE14A5" w:rsidRPr="0034627C">
        <w:rPr>
          <w:rFonts w:ascii="Times New Roman" w:hAnsi="Times New Roman" w:cs="Times New Roman"/>
          <w:sz w:val="28"/>
          <w:szCs w:val="28"/>
          <w:lang w:val="en-GB"/>
        </w:rPr>
        <w:t>services at</w:t>
      </w:r>
      <w:r w:rsidR="00CB5A64" w:rsidRPr="0034627C">
        <w:rPr>
          <w:rFonts w:ascii="Times New Roman" w:hAnsi="Times New Roman" w:cs="Times New Roman"/>
          <w:sz w:val="28"/>
          <w:szCs w:val="28"/>
          <w:lang w:val="en-GB"/>
        </w:rPr>
        <w:t xml:space="preserve"> the time of approving the plans </w:t>
      </w:r>
      <w:r w:rsidR="00CE14A5" w:rsidRPr="0034627C">
        <w:rPr>
          <w:rFonts w:ascii="Times New Roman" w:hAnsi="Times New Roman" w:cs="Times New Roman"/>
          <w:sz w:val="28"/>
          <w:szCs w:val="28"/>
          <w:lang w:val="en-GB"/>
        </w:rPr>
        <w:t>(particularly those which also traverse the property owned by the trust) and</w:t>
      </w:r>
      <w:r w:rsidR="008A52A2" w:rsidRPr="0034627C">
        <w:rPr>
          <w:rFonts w:ascii="Times New Roman" w:hAnsi="Times New Roman" w:cs="Times New Roman"/>
          <w:sz w:val="28"/>
          <w:szCs w:val="28"/>
          <w:lang w:val="en-GB"/>
        </w:rPr>
        <w:t xml:space="preserve"> </w:t>
      </w:r>
      <w:r w:rsidR="00CE14A5" w:rsidRPr="0034627C">
        <w:rPr>
          <w:rFonts w:ascii="Times New Roman" w:hAnsi="Times New Roman" w:cs="Times New Roman"/>
          <w:sz w:val="28"/>
          <w:szCs w:val="28"/>
          <w:lang w:val="en-GB"/>
        </w:rPr>
        <w:t xml:space="preserve">therefore </w:t>
      </w:r>
      <w:r w:rsidR="000451D5" w:rsidRPr="0034627C">
        <w:rPr>
          <w:rFonts w:ascii="Times New Roman" w:hAnsi="Times New Roman" w:cs="Times New Roman"/>
          <w:sz w:val="28"/>
          <w:szCs w:val="28"/>
          <w:lang w:val="en-GB"/>
        </w:rPr>
        <w:t xml:space="preserve">ought </w:t>
      </w:r>
      <w:r w:rsidR="00CB5A64" w:rsidRPr="0034627C">
        <w:rPr>
          <w:rFonts w:ascii="Times New Roman" w:hAnsi="Times New Roman" w:cs="Times New Roman"/>
          <w:sz w:val="28"/>
          <w:szCs w:val="28"/>
          <w:lang w:val="en-GB"/>
        </w:rPr>
        <w:t>reasonably to have known of the pipe’s existence</w:t>
      </w:r>
      <w:r w:rsidR="008A52A2" w:rsidRPr="0034627C">
        <w:rPr>
          <w:rFonts w:ascii="Times New Roman" w:hAnsi="Times New Roman" w:cs="Times New Roman"/>
          <w:sz w:val="28"/>
          <w:szCs w:val="28"/>
          <w:lang w:val="en-GB"/>
        </w:rPr>
        <w:t xml:space="preserve"> </w:t>
      </w:r>
      <w:r w:rsidR="00CE14A5" w:rsidRPr="0034627C">
        <w:rPr>
          <w:rFonts w:ascii="Times New Roman" w:hAnsi="Times New Roman" w:cs="Times New Roman"/>
          <w:sz w:val="28"/>
          <w:szCs w:val="28"/>
          <w:lang w:val="en-GB"/>
        </w:rPr>
        <w:t xml:space="preserve">so as to </w:t>
      </w:r>
      <w:r w:rsidR="008A52A2" w:rsidRPr="0034627C">
        <w:rPr>
          <w:rFonts w:ascii="Times New Roman" w:hAnsi="Times New Roman" w:cs="Times New Roman"/>
          <w:sz w:val="28"/>
          <w:szCs w:val="28"/>
          <w:lang w:val="en-GB"/>
        </w:rPr>
        <w:t xml:space="preserve">have drawn this </w:t>
      </w:r>
      <w:r w:rsidR="00CE14A5" w:rsidRPr="0034627C">
        <w:rPr>
          <w:rFonts w:ascii="Times New Roman" w:hAnsi="Times New Roman" w:cs="Times New Roman"/>
          <w:sz w:val="28"/>
          <w:szCs w:val="28"/>
          <w:lang w:val="en-GB"/>
        </w:rPr>
        <w:t xml:space="preserve">adverse effect by the proposed development </w:t>
      </w:r>
      <w:r w:rsidR="008A52A2" w:rsidRPr="0034627C">
        <w:rPr>
          <w:rFonts w:ascii="Times New Roman" w:hAnsi="Times New Roman" w:cs="Times New Roman"/>
          <w:sz w:val="28"/>
          <w:szCs w:val="28"/>
          <w:lang w:val="en-GB"/>
        </w:rPr>
        <w:t xml:space="preserve">to </w:t>
      </w:r>
      <w:r w:rsidR="00CE14A5" w:rsidRPr="0034627C">
        <w:rPr>
          <w:rFonts w:ascii="Times New Roman" w:hAnsi="Times New Roman" w:cs="Times New Roman"/>
          <w:sz w:val="28"/>
          <w:szCs w:val="28"/>
          <w:lang w:val="en-GB"/>
        </w:rPr>
        <w:t>its</w:t>
      </w:r>
      <w:r w:rsidR="008A52A2" w:rsidRPr="0034627C">
        <w:rPr>
          <w:rFonts w:ascii="Times New Roman" w:hAnsi="Times New Roman" w:cs="Times New Roman"/>
          <w:sz w:val="28"/>
          <w:szCs w:val="28"/>
          <w:lang w:val="en-GB"/>
        </w:rPr>
        <w:t xml:space="preserve"> attention</w:t>
      </w:r>
      <w:r w:rsidR="009E4F12" w:rsidRPr="0034627C">
        <w:rPr>
          <w:rFonts w:ascii="Times New Roman" w:hAnsi="Times New Roman" w:cs="Times New Roman"/>
          <w:sz w:val="28"/>
          <w:szCs w:val="28"/>
          <w:lang w:val="en-GB"/>
        </w:rPr>
        <w:t>, which it failed to do.</w:t>
      </w:r>
    </w:p>
    <w:p w14:paraId="03BB1994" w14:textId="77777777" w:rsidR="00724240" w:rsidRPr="00724240" w:rsidRDefault="00724240" w:rsidP="00724240">
      <w:pPr>
        <w:pStyle w:val="ListParagraph"/>
        <w:rPr>
          <w:rFonts w:ascii="Times New Roman" w:hAnsi="Times New Roman" w:cs="Times New Roman"/>
          <w:sz w:val="28"/>
          <w:szCs w:val="28"/>
          <w:lang w:val="en-US"/>
        </w:rPr>
      </w:pPr>
    </w:p>
    <w:p w14:paraId="1C3DA3A1" w14:textId="0AA892A8" w:rsidR="00724240"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r w:rsidR="00CB5A64" w:rsidRPr="0034627C">
        <w:rPr>
          <w:rFonts w:ascii="Times New Roman" w:hAnsi="Times New Roman" w:cs="Times New Roman"/>
          <w:sz w:val="28"/>
          <w:szCs w:val="28"/>
          <w:lang w:val="en-US"/>
        </w:rPr>
        <w:t>The</w:t>
      </w:r>
      <w:r w:rsidR="00780C67" w:rsidRPr="0034627C">
        <w:rPr>
          <w:rFonts w:ascii="Times New Roman" w:hAnsi="Times New Roman" w:cs="Times New Roman"/>
          <w:sz w:val="28"/>
          <w:szCs w:val="28"/>
          <w:lang w:val="en-US"/>
        </w:rPr>
        <w:t xml:space="preserve"> </w:t>
      </w:r>
      <w:r w:rsidR="00371AC4" w:rsidRPr="0034627C">
        <w:rPr>
          <w:rFonts w:ascii="Times New Roman" w:hAnsi="Times New Roman" w:cs="Times New Roman"/>
          <w:sz w:val="28"/>
          <w:szCs w:val="28"/>
          <w:lang w:val="en-US"/>
        </w:rPr>
        <w:t xml:space="preserve">trust </w:t>
      </w:r>
      <w:r w:rsidR="00F85D64" w:rsidRPr="0034627C">
        <w:rPr>
          <w:rFonts w:ascii="Times New Roman" w:hAnsi="Times New Roman" w:cs="Times New Roman"/>
          <w:sz w:val="28"/>
          <w:szCs w:val="28"/>
          <w:lang w:val="en-US"/>
        </w:rPr>
        <w:t>concludes</w:t>
      </w:r>
      <w:r w:rsidR="00371AC4" w:rsidRPr="0034627C">
        <w:rPr>
          <w:rFonts w:ascii="Times New Roman" w:hAnsi="Times New Roman" w:cs="Times New Roman"/>
          <w:sz w:val="28"/>
          <w:szCs w:val="28"/>
          <w:lang w:val="en-US"/>
        </w:rPr>
        <w:t xml:space="preserve"> that the </w:t>
      </w:r>
      <w:r w:rsidR="00780C67" w:rsidRPr="0034627C">
        <w:rPr>
          <w:rFonts w:ascii="Times New Roman" w:hAnsi="Times New Roman" w:cs="Times New Roman"/>
          <w:sz w:val="28"/>
          <w:szCs w:val="28"/>
          <w:lang w:val="en-US"/>
        </w:rPr>
        <w:t>defendant was</w:t>
      </w:r>
      <w:r w:rsidR="00F85D64" w:rsidRPr="0034627C">
        <w:rPr>
          <w:rFonts w:ascii="Times New Roman" w:hAnsi="Times New Roman" w:cs="Times New Roman"/>
          <w:sz w:val="28"/>
          <w:szCs w:val="28"/>
          <w:lang w:val="en-US"/>
        </w:rPr>
        <w:t xml:space="preserve"> therefore both</w:t>
      </w:r>
      <w:r w:rsidR="00780C67" w:rsidRPr="0034627C">
        <w:rPr>
          <w:rFonts w:ascii="Times New Roman" w:hAnsi="Times New Roman" w:cs="Times New Roman"/>
          <w:sz w:val="28"/>
          <w:szCs w:val="28"/>
          <w:lang w:val="en-US"/>
        </w:rPr>
        <w:t xml:space="preserve"> negligent</w:t>
      </w:r>
      <w:r w:rsidR="00452B99" w:rsidRPr="0034627C">
        <w:rPr>
          <w:rFonts w:ascii="Times New Roman" w:hAnsi="Times New Roman" w:cs="Times New Roman"/>
          <w:sz w:val="28"/>
          <w:szCs w:val="28"/>
          <w:lang w:val="en-US"/>
        </w:rPr>
        <w:t xml:space="preserve"> and acted wrongfully</w:t>
      </w:r>
      <w:r w:rsidR="00E42955" w:rsidRPr="0034627C">
        <w:rPr>
          <w:rFonts w:ascii="Times New Roman" w:hAnsi="Times New Roman" w:cs="Times New Roman"/>
          <w:sz w:val="28"/>
          <w:szCs w:val="28"/>
          <w:lang w:val="en-US"/>
        </w:rPr>
        <w:t xml:space="preserve"> in having </w:t>
      </w:r>
      <w:r w:rsidR="005731BE" w:rsidRPr="0034627C">
        <w:rPr>
          <w:rFonts w:ascii="Times New Roman" w:hAnsi="Times New Roman" w:cs="Times New Roman"/>
          <w:sz w:val="28"/>
          <w:szCs w:val="28"/>
          <w:lang w:val="en-US"/>
        </w:rPr>
        <w:t>failed to draw the trust’s attention</w:t>
      </w:r>
      <w:r w:rsidR="00E42955" w:rsidRPr="0034627C">
        <w:rPr>
          <w:rFonts w:ascii="Times New Roman" w:hAnsi="Times New Roman" w:cs="Times New Roman"/>
          <w:sz w:val="28"/>
          <w:szCs w:val="28"/>
          <w:lang w:val="en-US"/>
        </w:rPr>
        <w:t xml:space="preserve"> to </w:t>
      </w:r>
      <w:r w:rsidR="00724240" w:rsidRPr="0034627C">
        <w:rPr>
          <w:rFonts w:ascii="Times New Roman" w:hAnsi="Times New Roman" w:cs="Times New Roman"/>
          <w:sz w:val="28"/>
          <w:szCs w:val="28"/>
          <w:lang w:val="en-US"/>
        </w:rPr>
        <w:t xml:space="preserve">the existence and position of current services, including the </w:t>
      </w:r>
      <w:r w:rsidR="006E6B09" w:rsidRPr="0034627C">
        <w:rPr>
          <w:rFonts w:ascii="Times New Roman" w:hAnsi="Times New Roman" w:cs="Times New Roman"/>
          <w:sz w:val="28"/>
          <w:szCs w:val="28"/>
          <w:lang w:val="en-US"/>
        </w:rPr>
        <w:t>pipe, when</w:t>
      </w:r>
      <w:r w:rsidR="006F6987" w:rsidRPr="0034627C">
        <w:rPr>
          <w:rFonts w:ascii="Times New Roman" w:hAnsi="Times New Roman" w:cs="Times New Roman"/>
          <w:sz w:val="28"/>
          <w:szCs w:val="28"/>
          <w:lang w:val="en-US"/>
        </w:rPr>
        <w:t xml:space="preserve"> </w:t>
      </w:r>
      <w:r w:rsidR="006E6B09" w:rsidRPr="0034627C">
        <w:rPr>
          <w:rFonts w:ascii="Times New Roman" w:hAnsi="Times New Roman" w:cs="Times New Roman"/>
          <w:sz w:val="28"/>
          <w:szCs w:val="28"/>
          <w:lang w:val="en-US"/>
        </w:rPr>
        <w:t xml:space="preserve">approving the site development </w:t>
      </w:r>
      <w:r w:rsidR="0051645A" w:rsidRPr="0034627C">
        <w:rPr>
          <w:rFonts w:ascii="Times New Roman" w:hAnsi="Times New Roman" w:cs="Times New Roman"/>
          <w:sz w:val="28"/>
          <w:szCs w:val="28"/>
          <w:lang w:val="en-US"/>
        </w:rPr>
        <w:t xml:space="preserve">and building </w:t>
      </w:r>
      <w:r w:rsidR="006E6B09" w:rsidRPr="0034627C">
        <w:rPr>
          <w:rFonts w:ascii="Times New Roman" w:hAnsi="Times New Roman" w:cs="Times New Roman"/>
          <w:sz w:val="28"/>
          <w:szCs w:val="28"/>
          <w:lang w:val="en-US"/>
        </w:rPr>
        <w:t>plan</w:t>
      </w:r>
      <w:r w:rsidR="0051645A" w:rsidRPr="0034627C">
        <w:rPr>
          <w:rFonts w:ascii="Times New Roman" w:hAnsi="Times New Roman" w:cs="Times New Roman"/>
          <w:sz w:val="28"/>
          <w:szCs w:val="28"/>
          <w:lang w:val="en-US"/>
        </w:rPr>
        <w:t>s</w:t>
      </w:r>
      <w:r w:rsidR="00B56E72" w:rsidRPr="0034627C">
        <w:rPr>
          <w:rFonts w:ascii="Times New Roman" w:hAnsi="Times New Roman" w:cs="Times New Roman"/>
          <w:sz w:val="28"/>
          <w:szCs w:val="28"/>
          <w:lang w:val="en-US"/>
        </w:rPr>
        <w:t>.</w:t>
      </w:r>
    </w:p>
    <w:p w14:paraId="33867FED" w14:textId="77777777" w:rsidR="00D16451" w:rsidRPr="00D16451" w:rsidRDefault="00D16451" w:rsidP="00D16451">
      <w:pPr>
        <w:pStyle w:val="ListParagraph"/>
        <w:rPr>
          <w:rFonts w:ascii="Times New Roman" w:hAnsi="Times New Roman" w:cs="Times New Roman"/>
          <w:sz w:val="28"/>
          <w:szCs w:val="28"/>
          <w:lang w:val="en-US"/>
        </w:rPr>
      </w:pPr>
    </w:p>
    <w:p w14:paraId="37FB01F2" w14:textId="5A18AC52" w:rsidR="00D16451"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r>
      <w:r w:rsidR="00D16451" w:rsidRPr="0034627C">
        <w:rPr>
          <w:rFonts w:ascii="Times New Roman" w:hAnsi="Times New Roman" w:cs="Times New Roman"/>
          <w:sz w:val="28"/>
          <w:szCs w:val="28"/>
          <w:lang w:val="en-US"/>
        </w:rPr>
        <w:t>The consequence that would have been averted had the trust been so advised at the relevant time is that it “</w:t>
      </w:r>
      <w:r w:rsidR="00D16451" w:rsidRPr="0034627C">
        <w:rPr>
          <w:rFonts w:ascii="Times New Roman" w:hAnsi="Times New Roman" w:cs="Times New Roman"/>
          <w:i/>
          <w:iCs/>
          <w:sz w:val="28"/>
          <w:szCs w:val="28"/>
          <w:lang w:val="en-GB"/>
        </w:rPr>
        <w:t>would have made adjustments to the SDP and Building Plans so as to avoid the additional costs occasioned by accommodating such existing services.”</w:t>
      </w:r>
    </w:p>
    <w:p w14:paraId="630D0BD5" w14:textId="77777777" w:rsidR="005044BD" w:rsidRPr="00AF2860" w:rsidRDefault="005044BD" w:rsidP="00AF2860">
      <w:pPr>
        <w:rPr>
          <w:rFonts w:ascii="Times New Roman" w:hAnsi="Times New Roman" w:cs="Times New Roman"/>
          <w:sz w:val="28"/>
          <w:szCs w:val="28"/>
          <w:lang w:val="en-US"/>
        </w:rPr>
      </w:pPr>
    </w:p>
    <w:p w14:paraId="346AD553" w14:textId="708B73CD" w:rsidR="005044BD" w:rsidRPr="0034627C" w:rsidRDefault="0034627C" w:rsidP="0034627C">
      <w:pPr>
        <w:tabs>
          <w:tab w:val="left" w:pos="709"/>
        </w:tabs>
        <w:jc w:val="both"/>
        <w:rPr>
          <w:rFonts w:ascii="Times New Roman" w:hAnsi="Times New Roman" w:cs="Times New Roman"/>
          <w:sz w:val="28"/>
          <w:szCs w:val="28"/>
          <w:u w:val="single"/>
          <w:lang w:val="en-US"/>
        </w:rPr>
      </w:pPr>
      <w:r w:rsidRPr="005044BD">
        <w:rPr>
          <w:rFonts w:ascii="Times New Roman" w:hAnsi="Times New Roman" w:cs="Times New Roman"/>
          <w:sz w:val="28"/>
          <w:szCs w:val="28"/>
          <w:lang w:val="en-US"/>
        </w:rPr>
        <w:lastRenderedPageBreak/>
        <w:t>[14]</w:t>
      </w:r>
      <w:r w:rsidRPr="005044BD">
        <w:rPr>
          <w:rFonts w:ascii="Times New Roman" w:hAnsi="Times New Roman" w:cs="Times New Roman"/>
          <w:sz w:val="28"/>
          <w:szCs w:val="28"/>
          <w:lang w:val="en-US"/>
        </w:rPr>
        <w:tab/>
      </w:r>
      <w:r w:rsidR="0020736E" w:rsidRPr="0034627C">
        <w:rPr>
          <w:rFonts w:ascii="Times New Roman" w:hAnsi="Times New Roman" w:cs="Times New Roman"/>
          <w:sz w:val="28"/>
          <w:szCs w:val="28"/>
          <w:lang w:val="en-US"/>
        </w:rPr>
        <w:t>On 12 June</w:t>
      </w:r>
      <w:r w:rsidR="003B5F44" w:rsidRPr="0034627C">
        <w:rPr>
          <w:rFonts w:ascii="Times New Roman" w:hAnsi="Times New Roman" w:cs="Times New Roman"/>
          <w:sz w:val="28"/>
          <w:szCs w:val="28"/>
          <w:lang w:val="en-US"/>
        </w:rPr>
        <w:t xml:space="preserve"> 2019 </w:t>
      </w:r>
      <w:r w:rsidR="0020736E" w:rsidRPr="0034627C">
        <w:rPr>
          <w:rFonts w:ascii="Times New Roman" w:hAnsi="Times New Roman" w:cs="Times New Roman"/>
          <w:sz w:val="28"/>
          <w:szCs w:val="28"/>
          <w:lang w:val="en-US"/>
        </w:rPr>
        <w:t>(by way of a circuitous route first to compel it to take such steps</w:t>
      </w:r>
      <w:r w:rsidR="00320E49" w:rsidRPr="0034627C">
        <w:rPr>
          <w:rFonts w:ascii="Times New Roman" w:hAnsi="Times New Roman" w:cs="Times New Roman"/>
          <w:sz w:val="28"/>
          <w:szCs w:val="28"/>
          <w:lang w:val="en-US"/>
        </w:rPr>
        <w:t xml:space="preserve"> and evidently upon the compunction of a court order</w:t>
      </w:r>
      <w:r w:rsidR="0020736E" w:rsidRPr="0034627C">
        <w:rPr>
          <w:rFonts w:ascii="Times New Roman" w:hAnsi="Times New Roman" w:cs="Times New Roman"/>
          <w:sz w:val="28"/>
          <w:szCs w:val="28"/>
          <w:lang w:val="en-US"/>
        </w:rPr>
        <w:t>)</w:t>
      </w:r>
      <w:r w:rsidR="00320E49">
        <w:rPr>
          <w:rStyle w:val="FootnoteReference"/>
          <w:rFonts w:ascii="Times New Roman" w:hAnsi="Times New Roman" w:cs="Times New Roman"/>
          <w:sz w:val="28"/>
          <w:szCs w:val="28"/>
          <w:lang w:val="en-US"/>
        </w:rPr>
        <w:footnoteReference w:id="7"/>
      </w:r>
      <w:r w:rsidR="0020736E" w:rsidRPr="0034627C">
        <w:rPr>
          <w:rFonts w:ascii="Times New Roman" w:hAnsi="Times New Roman" w:cs="Times New Roman"/>
          <w:sz w:val="28"/>
          <w:szCs w:val="28"/>
          <w:lang w:val="en-US"/>
        </w:rPr>
        <w:t xml:space="preserve"> </w:t>
      </w:r>
      <w:r w:rsidR="004B01D9" w:rsidRPr="0034627C">
        <w:rPr>
          <w:rFonts w:ascii="Times New Roman" w:hAnsi="Times New Roman" w:cs="Times New Roman"/>
          <w:sz w:val="28"/>
          <w:szCs w:val="28"/>
          <w:lang w:val="en-US"/>
        </w:rPr>
        <w:t>the first defendant approved plans and drawings submitted by the trust</w:t>
      </w:r>
      <w:r w:rsidR="005044BD" w:rsidRPr="0034627C">
        <w:rPr>
          <w:rFonts w:ascii="Times New Roman" w:hAnsi="Times New Roman" w:cs="Times New Roman"/>
          <w:sz w:val="28"/>
          <w:szCs w:val="28"/>
          <w:lang w:val="en-US"/>
        </w:rPr>
        <w:t xml:space="preserve"> </w:t>
      </w:r>
      <w:r w:rsidR="004B01D9" w:rsidRPr="0034627C">
        <w:rPr>
          <w:rFonts w:ascii="Times New Roman" w:hAnsi="Times New Roman" w:cs="Times New Roman"/>
          <w:sz w:val="28"/>
          <w:szCs w:val="28"/>
          <w:lang w:val="en-US"/>
        </w:rPr>
        <w:t>which allowed for the diversion of the pipe on the property</w:t>
      </w:r>
      <w:r w:rsidR="00137F7B" w:rsidRPr="0034627C">
        <w:rPr>
          <w:rFonts w:ascii="Times New Roman" w:hAnsi="Times New Roman" w:cs="Times New Roman"/>
          <w:sz w:val="28"/>
          <w:szCs w:val="28"/>
          <w:lang w:val="en-US"/>
        </w:rPr>
        <w:t xml:space="preserve"> (“the diversion approval”) which conditions it pleads it </w:t>
      </w:r>
      <w:r w:rsidR="00F74A0E" w:rsidRPr="0034627C">
        <w:rPr>
          <w:rFonts w:ascii="Times New Roman" w:hAnsi="Times New Roman" w:cs="Times New Roman"/>
          <w:sz w:val="28"/>
          <w:szCs w:val="28"/>
          <w:lang w:val="en-US"/>
        </w:rPr>
        <w:t xml:space="preserve">also </w:t>
      </w:r>
      <w:r w:rsidR="00137F7B" w:rsidRPr="0034627C">
        <w:rPr>
          <w:rFonts w:ascii="Times New Roman" w:hAnsi="Times New Roman" w:cs="Times New Roman"/>
          <w:sz w:val="28"/>
          <w:szCs w:val="28"/>
          <w:lang w:val="en-US"/>
        </w:rPr>
        <w:t>complied with</w:t>
      </w:r>
      <w:r w:rsidR="00DF79F5" w:rsidRPr="0034627C">
        <w:rPr>
          <w:rFonts w:ascii="Times New Roman" w:hAnsi="Times New Roman" w:cs="Times New Roman"/>
          <w:sz w:val="28"/>
          <w:szCs w:val="28"/>
          <w:lang w:val="en-US"/>
        </w:rPr>
        <w:t xml:space="preserve">. </w:t>
      </w:r>
    </w:p>
    <w:p w14:paraId="0186A719" w14:textId="77777777" w:rsidR="005044BD" w:rsidRPr="005044BD" w:rsidRDefault="005044BD" w:rsidP="005044BD">
      <w:pPr>
        <w:pStyle w:val="ListParagraph"/>
        <w:rPr>
          <w:rFonts w:ascii="Times New Roman" w:hAnsi="Times New Roman" w:cs="Times New Roman"/>
          <w:sz w:val="28"/>
          <w:szCs w:val="28"/>
          <w:lang w:val="en-US"/>
        </w:rPr>
      </w:pPr>
    </w:p>
    <w:p w14:paraId="6B7C565C" w14:textId="11EBDABB" w:rsidR="000E3DAB" w:rsidRPr="0034627C" w:rsidRDefault="0034627C" w:rsidP="0034627C">
      <w:pPr>
        <w:tabs>
          <w:tab w:val="left" w:pos="709"/>
        </w:tabs>
        <w:jc w:val="both"/>
        <w:rPr>
          <w:rFonts w:ascii="Times New Roman" w:hAnsi="Times New Roman" w:cs="Times New Roman"/>
          <w:sz w:val="28"/>
          <w:szCs w:val="28"/>
          <w:u w:val="single"/>
          <w:lang w:val="en-US"/>
        </w:rPr>
      </w:pPr>
      <w:r w:rsidRPr="00137F7B">
        <w:rPr>
          <w:rFonts w:ascii="Times New Roman" w:hAnsi="Times New Roman" w:cs="Times New Roman"/>
          <w:sz w:val="28"/>
          <w:szCs w:val="28"/>
          <w:lang w:val="en-US"/>
        </w:rPr>
        <w:t>[15]</w:t>
      </w:r>
      <w:r w:rsidRPr="00137F7B">
        <w:rPr>
          <w:rFonts w:ascii="Times New Roman" w:hAnsi="Times New Roman" w:cs="Times New Roman"/>
          <w:sz w:val="28"/>
          <w:szCs w:val="28"/>
          <w:lang w:val="en-US"/>
        </w:rPr>
        <w:tab/>
      </w:r>
      <w:r w:rsidR="005044BD" w:rsidRPr="0034627C">
        <w:rPr>
          <w:rFonts w:ascii="Times New Roman" w:hAnsi="Times New Roman" w:cs="Times New Roman"/>
          <w:sz w:val="28"/>
          <w:szCs w:val="28"/>
          <w:lang w:val="en-US"/>
        </w:rPr>
        <w:t>O</w:t>
      </w:r>
      <w:r w:rsidR="004B01D9" w:rsidRPr="0034627C">
        <w:rPr>
          <w:rFonts w:ascii="Times New Roman" w:hAnsi="Times New Roman" w:cs="Times New Roman"/>
          <w:sz w:val="28"/>
          <w:szCs w:val="28"/>
          <w:lang w:val="en-US"/>
        </w:rPr>
        <w:t xml:space="preserve">n 28 June </w:t>
      </w:r>
      <w:r w:rsidR="0020736E" w:rsidRPr="0034627C">
        <w:rPr>
          <w:rFonts w:ascii="Times New Roman" w:hAnsi="Times New Roman" w:cs="Times New Roman"/>
          <w:sz w:val="28"/>
          <w:szCs w:val="28"/>
          <w:lang w:val="en-US"/>
        </w:rPr>
        <w:t>2019 the</w:t>
      </w:r>
      <w:r w:rsidR="004B01D9" w:rsidRPr="0034627C">
        <w:rPr>
          <w:rFonts w:ascii="Times New Roman" w:hAnsi="Times New Roman" w:cs="Times New Roman"/>
          <w:sz w:val="28"/>
          <w:szCs w:val="28"/>
          <w:lang w:val="en-US"/>
        </w:rPr>
        <w:t xml:space="preserve"> first defendant approved the trust's request for the relocation of the pipe</w:t>
      </w:r>
      <w:r w:rsidR="00137F7B" w:rsidRPr="0034627C">
        <w:rPr>
          <w:rFonts w:ascii="Times New Roman" w:hAnsi="Times New Roman" w:cs="Times New Roman"/>
          <w:sz w:val="28"/>
          <w:szCs w:val="28"/>
          <w:lang w:val="en-US"/>
        </w:rPr>
        <w:t xml:space="preserve"> (“the relocation approval”)</w:t>
      </w:r>
      <w:r w:rsidR="004B01D9" w:rsidRPr="0034627C">
        <w:rPr>
          <w:rFonts w:ascii="Times New Roman" w:hAnsi="Times New Roman" w:cs="Times New Roman"/>
          <w:sz w:val="28"/>
          <w:szCs w:val="28"/>
          <w:lang w:val="en-US"/>
        </w:rPr>
        <w:t>. Pursuant to this approval, on 16 October 2019</w:t>
      </w:r>
      <w:r w:rsidR="00137F7B" w:rsidRPr="0034627C">
        <w:rPr>
          <w:rFonts w:ascii="Times New Roman" w:hAnsi="Times New Roman" w:cs="Times New Roman"/>
          <w:sz w:val="28"/>
          <w:szCs w:val="28"/>
          <w:lang w:val="en-US"/>
        </w:rPr>
        <w:t xml:space="preserve"> (“the October submission”),</w:t>
      </w:r>
      <w:r w:rsidR="004B01D9" w:rsidRPr="0034627C">
        <w:rPr>
          <w:rFonts w:ascii="Times New Roman" w:hAnsi="Times New Roman" w:cs="Times New Roman"/>
          <w:sz w:val="28"/>
          <w:szCs w:val="28"/>
          <w:lang w:val="en-US"/>
        </w:rPr>
        <w:t xml:space="preserve"> </w:t>
      </w:r>
      <w:r w:rsidR="00137F7B" w:rsidRPr="0034627C">
        <w:rPr>
          <w:rFonts w:ascii="Times New Roman" w:hAnsi="Times New Roman" w:cs="Times New Roman"/>
          <w:sz w:val="28"/>
          <w:szCs w:val="28"/>
          <w:lang w:val="en-US"/>
        </w:rPr>
        <w:t xml:space="preserve">the trust through its consulting engineers </w:t>
      </w:r>
      <w:r w:rsidR="004B01D9" w:rsidRPr="0034627C">
        <w:rPr>
          <w:rFonts w:ascii="Times New Roman" w:hAnsi="Times New Roman" w:cs="Times New Roman"/>
          <w:sz w:val="28"/>
          <w:szCs w:val="28"/>
          <w:lang w:val="en-US"/>
        </w:rPr>
        <w:t>submitted plans and drawings for approval by the defendant of the design for the relocation of the pipe, for leave to commence with construction relating to the relocation of the pipe</w:t>
      </w:r>
      <w:r w:rsidR="000E3DAB" w:rsidRPr="0034627C">
        <w:rPr>
          <w:rFonts w:ascii="Times New Roman" w:hAnsi="Times New Roman" w:cs="Times New Roman"/>
          <w:sz w:val="28"/>
          <w:szCs w:val="28"/>
          <w:lang w:val="en-US"/>
        </w:rPr>
        <w:t>,</w:t>
      </w:r>
      <w:r w:rsidR="004B01D9" w:rsidRPr="0034627C">
        <w:rPr>
          <w:rFonts w:ascii="Times New Roman" w:hAnsi="Times New Roman" w:cs="Times New Roman"/>
          <w:sz w:val="28"/>
          <w:szCs w:val="28"/>
          <w:lang w:val="en-US"/>
        </w:rPr>
        <w:t xml:space="preserve"> and for comment on all other municipal services that may or may not be affected by the proposed construction. </w:t>
      </w:r>
    </w:p>
    <w:p w14:paraId="53A85B92" w14:textId="77777777" w:rsidR="00137F7B" w:rsidRPr="00137F7B" w:rsidRDefault="00137F7B" w:rsidP="00137F7B">
      <w:pPr>
        <w:pStyle w:val="ListParagraph"/>
        <w:rPr>
          <w:rFonts w:ascii="Times New Roman" w:hAnsi="Times New Roman" w:cs="Times New Roman"/>
          <w:sz w:val="28"/>
          <w:szCs w:val="28"/>
          <w:u w:val="single"/>
          <w:lang w:val="en-US"/>
        </w:rPr>
      </w:pPr>
    </w:p>
    <w:p w14:paraId="1FA1E6B9" w14:textId="0F6DF7B1" w:rsidR="00CB44B8" w:rsidRPr="0034627C" w:rsidRDefault="0034627C" w:rsidP="0034627C">
      <w:pPr>
        <w:tabs>
          <w:tab w:val="left" w:pos="709"/>
        </w:tabs>
        <w:jc w:val="both"/>
        <w:rPr>
          <w:rFonts w:ascii="Times New Roman" w:hAnsi="Times New Roman" w:cs="Times New Roman"/>
          <w:sz w:val="28"/>
          <w:szCs w:val="28"/>
          <w:lang w:val="en-US"/>
        </w:rPr>
      </w:pPr>
      <w:r w:rsidRPr="008346BA">
        <w:rPr>
          <w:rFonts w:ascii="Times New Roman" w:hAnsi="Times New Roman" w:cs="Times New Roman"/>
          <w:sz w:val="28"/>
          <w:szCs w:val="28"/>
          <w:lang w:val="en-US"/>
        </w:rPr>
        <w:t>[16]</w:t>
      </w:r>
      <w:r w:rsidRPr="008346BA">
        <w:rPr>
          <w:rFonts w:ascii="Times New Roman" w:hAnsi="Times New Roman" w:cs="Times New Roman"/>
          <w:sz w:val="28"/>
          <w:szCs w:val="28"/>
          <w:lang w:val="en-US"/>
        </w:rPr>
        <w:tab/>
      </w:r>
      <w:r w:rsidR="00137F7B" w:rsidRPr="0034627C">
        <w:rPr>
          <w:rFonts w:ascii="Times New Roman" w:hAnsi="Times New Roman" w:cs="Times New Roman"/>
          <w:sz w:val="28"/>
          <w:szCs w:val="28"/>
          <w:lang w:val="en-US"/>
        </w:rPr>
        <w:t>The defendant</w:t>
      </w:r>
      <w:r w:rsidR="00CB44B8" w:rsidRPr="0034627C">
        <w:rPr>
          <w:rFonts w:ascii="Times New Roman" w:hAnsi="Times New Roman" w:cs="Times New Roman"/>
          <w:sz w:val="28"/>
          <w:szCs w:val="28"/>
          <w:lang w:val="en-US"/>
        </w:rPr>
        <w:t>s</w:t>
      </w:r>
      <w:r w:rsidR="00137F7B" w:rsidRPr="0034627C">
        <w:rPr>
          <w:rFonts w:ascii="Times New Roman" w:hAnsi="Times New Roman" w:cs="Times New Roman"/>
          <w:sz w:val="28"/>
          <w:szCs w:val="28"/>
          <w:lang w:val="en-US"/>
        </w:rPr>
        <w:t xml:space="preserve"> required certain amendments to the plans and drawing </w:t>
      </w:r>
      <w:r w:rsidR="00CB44B8" w:rsidRPr="0034627C">
        <w:rPr>
          <w:rFonts w:ascii="Times New Roman" w:hAnsi="Times New Roman" w:cs="Times New Roman"/>
          <w:sz w:val="28"/>
          <w:szCs w:val="28"/>
          <w:lang w:val="en-US"/>
        </w:rPr>
        <w:t>forming</w:t>
      </w:r>
      <w:r w:rsidR="00137F7B" w:rsidRPr="0034627C">
        <w:rPr>
          <w:rFonts w:ascii="Times New Roman" w:hAnsi="Times New Roman" w:cs="Times New Roman"/>
          <w:sz w:val="28"/>
          <w:szCs w:val="28"/>
          <w:lang w:val="en-US"/>
        </w:rPr>
        <w:t xml:space="preserve"> the subject matter of the October submission</w:t>
      </w:r>
      <w:r w:rsidR="00CB44B8" w:rsidRPr="0034627C">
        <w:rPr>
          <w:rFonts w:ascii="Times New Roman" w:hAnsi="Times New Roman" w:cs="Times New Roman"/>
          <w:sz w:val="28"/>
          <w:szCs w:val="28"/>
          <w:lang w:val="en-US"/>
        </w:rPr>
        <w:t xml:space="preserve"> which the trust’s </w:t>
      </w:r>
      <w:r w:rsidR="00CB2014" w:rsidRPr="0034627C">
        <w:rPr>
          <w:rFonts w:ascii="Times New Roman" w:hAnsi="Times New Roman" w:cs="Times New Roman"/>
          <w:sz w:val="28"/>
          <w:szCs w:val="28"/>
          <w:lang w:val="en-US"/>
        </w:rPr>
        <w:t>engineers</w:t>
      </w:r>
      <w:r w:rsidR="00CB44B8" w:rsidRPr="0034627C">
        <w:rPr>
          <w:rFonts w:ascii="Times New Roman" w:hAnsi="Times New Roman" w:cs="Times New Roman"/>
          <w:sz w:val="28"/>
          <w:szCs w:val="28"/>
          <w:lang w:val="en-US"/>
        </w:rPr>
        <w:t xml:space="preserve"> complied with and </w:t>
      </w:r>
      <w:r w:rsidR="00C71B06" w:rsidRPr="0034627C">
        <w:rPr>
          <w:rFonts w:ascii="Times New Roman" w:hAnsi="Times New Roman" w:cs="Times New Roman"/>
          <w:sz w:val="28"/>
          <w:szCs w:val="28"/>
          <w:lang w:val="en-US"/>
        </w:rPr>
        <w:t xml:space="preserve">upon which they </w:t>
      </w:r>
      <w:r w:rsidR="00CB44B8" w:rsidRPr="0034627C">
        <w:rPr>
          <w:rFonts w:ascii="Times New Roman" w:hAnsi="Times New Roman" w:cs="Times New Roman"/>
          <w:sz w:val="28"/>
          <w:szCs w:val="28"/>
          <w:lang w:val="en-US"/>
        </w:rPr>
        <w:t>resubmitted certain amended plans and drawings to the defendants for approval (“the December submission”). In resubmitting, they repeated the same requests alluded to in paragraph 1</w:t>
      </w:r>
      <w:r w:rsidR="00692697" w:rsidRPr="0034627C">
        <w:rPr>
          <w:rFonts w:ascii="Times New Roman" w:hAnsi="Times New Roman" w:cs="Times New Roman"/>
          <w:sz w:val="28"/>
          <w:szCs w:val="28"/>
          <w:lang w:val="en-US"/>
        </w:rPr>
        <w:t>5</w:t>
      </w:r>
      <w:r w:rsidR="00CB44B8" w:rsidRPr="0034627C">
        <w:rPr>
          <w:rFonts w:ascii="Times New Roman" w:hAnsi="Times New Roman" w:cs="Times New Roman"/>
          <w:sz w:val="28"/>
          <w:szCs w:val="28"/>
          <w:lang w:val="en-US"/>
        </w:rPr>
        <w:t xml:space="preserve"> above which significantly called for </w:t>
      </w:r>
      <w:r w:rsidR="00F74A0E" w:rsidRPr="0034627C">
        <w:rPr>
          <w:rFonts w:ascii="Times New Roman" w:hAnsi="Times New Roman" w:cs="Times New Roman"/>
          <w:i/>
          <w:iCs/>
          <w:sz w:val="28"/>
          <w:szCs w:val="28"/>
          <w:lang w:val="en-US"/>
        </w:rPr>
        <w:t>“</w:t>
      </w:r>
      <w:r w:rsidR="00CB44B8" w:rsidRPr="0034627C">
        <w:rPr>
          <w:rFonts w:ascii="Times New Roman" w:hAnsi="Times New Roman" w:cs="Times New Roman"/>
          <w:i/>
          <w:iCs/>
          <w:sz w:val="28"/>
          <w:szCs w:val="28"/>
          <w:lang w:val="en-US"/>
        </w:rPr>
        <w:t>comment</w:t>
      </w:r>
      <w:r w:rsidR="00F74A0E" w:rsidRPr="0034627C">
        <w:rPr>
          <w:rFonts w:ascii="Times New Roman" w:hAnsi="Times New Roman" w:cs="Times New Roman"/>
          <w:i/>
          <w:iCs/>
          <w:sz w:val="28"/>
          <w:szCs w:val="28"/>
          <w:lang w:val="en-US"/>
        </w:rPr>
        <w:t>”</w:t>
      </w:r>
      <w:r w:rsidR="00CB44B8" w:rsidRPr="0034627C">
        <w:rPr>
          <w:rFonts w:ascii="Times New Roman" w:hAnsi="Times New Roman" w:cs="Times New Roman"/>
          <w:sz w:val="28"/>
          <w:szCs w:val="28"/>
          <w:lang w:val="en-US"/>
        </w:rPr>
        <w:t xml:space="preserve"> on all other municipal services that may or may not be affected by the proposed construction.</w:t>
      </w:r>
      <w:r w:rsidR="005A2B21">
        <w:rPr>
          <w:rStyle w:val="FootnoteReference"/>
          <w:rFonts w:ascii="Times New Roman" w:hAnsi="Times New Roman" w:cs="Times New Roman"/>
          <w:sz w:val="28"/>
          <w:szCs w:val="28"/>
          <w:lang w:val="en-US"/>
        </w:rPr>
        <w:footnoteReference w:id="8"/>
      </w:r>
    </w:p>
    <w:p w14:paraId="37270E06" w14:textId="3838A677" w:rsidR="00F35CC6"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[17]</w:t>
      </w:r>
      <w:r>
        <w:rPr>
          <w:rFonts w:ascii="Times New Roman" w:hAnsi="Times New Roman" w:cs="Times New Roman"/>
          <w:sz w:val="28"/>
          <w:szCs w:val="28"/>
          <w:lang w:val="en-US"/>
        </w:rPr>
        <w:tab/>
      </w:r>
      <w:r w:rsidR="00CB44B8" w:rsidRPr="0034627C">
        <w:rPr>
          <w:rFonts w:ascii="Times New Roman" w:hAnsi="Times New Roman" w:cs="Times New Roman"/>
          <w:sz w:val="28"/>
          <w:szCs w:val="28"/>
          <w:lang w:val="en-US"/>
        </w:rPr>
        <w:t xml:space="preserve"> On 10</w:t>
      </w:r>
      <w:r w:rsidR="000E3DAB" w:rsidRPr="0034627C">
        <w:rPr>
          <w:rFonts w:ascii="Times New Roman" w:hAnsi="Times New Roman" w:cs="Times New Roman"/>
          <w:sz w:val="28"/>
          <w:szCs w:val="28"/>
          <w:lang w:val="en-US"/>
        </w:rPr>
        <w:t xml:space="preserve"> </w:t>
      </w:r>
      <w:r w:rsidR="004B01D9" w:rsidRPr="0034627C">
        <w:rPr>
          <w:rFonts w:ascii="Times New Roman" w:hAnsi="Times New Roman" w:cs="Times New Roman"/>
          <w:sz w:val="28"/>
          <w:szCs w:val="28"/>
          <w:lang w:val="en-US"/>
        </w:rPr>
        <w:t xml:space="preserve">December 2019 the first defendant gave the trust its approval </w:t>
      </w:r>
      <w:r w:rsidR="000E3DAB" w:rsidRPr="0034627C">
        <w:rPr>
          <w:rFonts w:ascii="Times New Roman" w:hAnsi="Times New Roman" w:cs="Times New Roman"/>
          <w:sz w:val="28"/>
          <w:szCs w:val="28"/>
          <w:lang w:val="en-US"/>
        </w:rPr>
        <w:t>in</w:t>
      </w:r>
      <w:r w:rsidR="004B01D9" w:rsidRPr="0034627C">
        <w:rPr>
          <w:rFonts w:ascii="Times New Roman" w:hAnsi="Times New Roman" w:cs="Times New Roman"/>
          <w:sz w:val="28"/>
          <w:szCs w:val="28"/>
          <w:lang w:val="en-US"/>
        </w:rPr>
        <w:t xml:space="preserve"> respect </w:t>
      </w:r>
      <w:r w:rsidR="000E3DAB" w:rsidRPr="0034627C">
        <w:rPr>
          <w:rFonts w:ascii="Times New Roman" w:hAnsi="Times New Roman" w:cs="Times New Roman"/>
          <w:sz w:val="28"/>
          <w:szCs w:val="28"/>
          <w:lang w:val="en-US"/>
        </w:rPr>
        <w:t>of</w:t>
      </w:r>
      <w:r w:rsidR="004B01D9" w:rsidRPr="0034627C">
        <w:rPr>
          <w:rFonts w:ascii="Times New Roman" w:hAnsi="Times New Roman" w:cs="Times New Roman"/>
          <w:sz w:val="28"/>
          <w:szCs w:val="28"/>
          <w:lang w:val="en-US"/>
        </w:rPr>
        <w:t xml:space="preserve"> the design </w:t>
      </w:r>
      <w:r w:rsidR="000E3DAB" w:rsidRPr="0034627C">
        <w:rPr>
          <w:rFonts w:ascii="Times New Roman" w:hAnsi="Times New Roman" w:cs="Times New Roman"/>
          <w:sz w:val="28"/>
          <w:szCs w:val="28"/>
          <w:lang w:val="en-US"/>
        </w:rPr>
        <w:t>relati</w:t>
      </w:r>
      <w:r w:rsidR="0020736E" w:rsidRPr="0034627C">
        <w:rPr>
          <w:rFonts w:ascii="Times New Roman" w:hAnsi="Times New Roman" w:cs="Times New Roman"/>
          <w:sz w:val="28"/>
          <w:szCs w:val="28"/>
          <w:lang w:val="en-US"/>
        </w:rPr>
        <w:t>ve</w:t>
      </w:r>
      <w:r w:rsidR="004B01D9" w:rsidRPr="0034627C">
        <w:rPr>
          <w:rFonts w:ascii="Times New Roman" w:hAnsi="Times New Roman" w:cs="Times New Roman"/>
          <w:sz w:val="28"/>
          <w:szCs w:val="28"/>
          <w:lang w:val="en-US"/>
        </w:rPr>
        <w:t xml:space="preserve"> to the relocation of the pipe</w:t>
      </w:r>
      <w:r w:rsidR="00CB2014" w:rsidRPr="0034627C">
        <w:rPr>
          <w:rFonts w:ascii="Times New Roman" w:hAnsi="Times New Roman" w:cs="Times New Roman"/>
          <w:sz w:val="28"/>
          <w:szCs w:val="28"/>
          <w:lang w:val="en-US"/>
        </w:rPr>
        <w:t xml:space="preserve"> (“the design approval”)</w:t>
      </w:r>
      <w:r w:rsidR="004B01D9" w:rsidRPr="0034627C">
        <w:rPr>
          <w:rFonts w:ascii="Times New Roman" w:hAnsi="Times New Roman" w:cs="Times New Roman"/>
          <w:sz w:val="28"/>
          <w:szCs w:val="28"/>
          <w:lang w:val="en-US"/>
        </w:rPr>
        <w:t xml:space="preserve">. In terms of this approval the trust was required to relocate the pipe to a municipal servitude </w:t>
      </w:r>
      <w:r w:rsidR="00CB44B8" w:rsidRPr="0034627C">
        <w:rPr>
          <w:rFonts w:ascii="Times New Roman" w:hAnsi="Times New Roman" w:cs="Times New Roman"/>
          <w:sz w:val="28"/>
          <w:szCs w:val="28"/>
          <w:lang w:val="en-US"/>
        </w:rPr>
        <w:t xml:space="preserve">area (i.e., a servitude registered in favour of the first defendant) </w:t>
      </w:r>
      <w:r w:rsidR="004B01D9" w:rsidRPr="0034627C">
        <w:rPr>
          <w:rFonts w:ascii="Times New Roman" w:hAnsi="Times New Roman" w:cs="Times New Roman"/>
          <w:sz w:val="28"/>
          <w:szCs w:val="28"/>
          <w:lang w:val="en-US"/>
        </w:rPr>
        <w:t xml:space="preserve">located to the north of the boundary </w:t>
      </w:r>
      <w:r w:rsidR="00CB2014" w:rsidRPr="0034627C">
        <w:rPr>
          <w:rFonts w:ascii="Times New Roman" w:hAnsi="Times New Roman" w:cs="Times New Roman"/>
          <w:sz w:val="28"/>
          <w:szCs w:val="28"/>
          <w:lang w:val="en-US"/>
        </w:rPr>
        <w:t xml:space="preserve">wall </w:t>
      </w:r>
      <w:r w:rsidR="004B01D9" w:rsidRPr="0034627C">
        <w:rPr>
          <w:rFonts w:ascii="Times New Roman" w:hAnsi="Times New Roman" w:cs="Times New Roman"/>
          <w:sz w:val="28"/>
          <w:szCs w:val="28"/>
          <w:lang w:val="en-US"/>
        </w:rPr>
        <w:t xml:space="preserve">of </w:t>
      </w:r>
      <w:r w:rsidR="000E3DAB" w:rsidRPr="0034627C">
        <w:rPr>
          <w:rFonts w:ascii="Times New Roman" w:hAnsi="Times New Roman" w:cs="Times New Roman"/>
          <w:sz w:val="28"/>
          <w:szCs w:val="28"/>
          <w:lang w:val="en-US"/>
        </w:rPr>
        <w:t xml:space="preserve">its </w:t>
      </w:r>
      <w:r w:rsidR="004B01D9" w:rsidRPr="0034627C">
        <w:rPr>
          <w:rFonts w:ascii="Times New Roman" w:hAnsi="Times New Roman" w:cs="Times New Roman"/>
          <w:sz w:val="28"/>
          <w:szCs w:val="28"/>
          <w:lang w:val="en-US"/>
        </w:rPr>
        <w:t>property</w:t>
      </w:r>
      <w:r w:rsidR="00CB2014" w:rsidRPr="0034627C">
        <w:rPr>
          <w:rFonts w:ascii="Times New Roman" w:hAnsi="Times New Roman" w:cs="Times New Roman"/>
          <w:sz w:val="28"/>
          <w:szCs w:val="28"/>
          <w:lang w:val="en-US"/>
        </w:rPr>
        <w:t xml:space="preserve"> (“the servitude area”)</w:t>
      </w:r>
      <w:r w:rsidR="004B01D9" w:rsidRPr="0034627C">
        <w:rPr>
          <w:rFonts w:ascii="Times New Roman" w:hAnsi="Times New Roman" w:cs="Times New Roman"/>
          <w:sz w:val="28"/>
          <w:szCs w:val="28"/>
          <w:lang w:val="en-US"/>
        </w:rPr>
        <w:t>.</w:t>
      </w:r>
      <w:r w:rsidR="007C7AB0">
        <w:rPr>
          <w:rStyle w:val="FootnoteReference"/>
          <w:rFonts w:ascii="Times New Roman" w:hAnsi="Times New Roman" w:cs="Times New Roman"/>
          <w:sz w:val="28"/>
          <w:szCs w:val="28"/>
          <w:lang w:val="en-US"/>
        </w:rPr>
        <w:footnoteReference w:id="9"/>
      </w:r>
    </w:p>
    <w:p w14:paraId="5FB2BEE4" w14:textId="77777777" w:rsidR="00CB44B8" w:rsidRPr="00CB44B8" w:rsidRDefault="00CB44B8" w:rsidP="00CB44B8">
      <w:pPr>
        <w:pStyle w:val="ListParagraph"/>
        <w:rPr>
          <w:rFonts w:ascii="Times New Roman" w:hAnsi="Times New Roman" w:cs="Times New Roman"/>
          <w:sz w:val="28"/>
          <w:szCs w:val="28"/>
          <w:lang w:val="en-US"/>
        </w:rPr>
      </w:pPr>
    </w:p>
    <w:p w14:paraId="41ED9AF0" w14:textId="252FBB96" w:rsidR="00CB2014"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r>
      <w:r w:rsidR="00F85D64" w:rsidRPr="0034627C">
        <w:rPr>
          <w:rFonts w:ascii="Times New Roman" w:hAnsi="Times New Roman" w:cs="Times New Roman"/>
          <w:sz w:val="28"/>
          <w:szCs w:val="28"/>
          <w:lang w:val="en-US"/>
        </w:rPr>
        <w:t>S</w:t>
      </w:r>
      <w:r w:rsidR="00CB2014" w:rsidRPr="0034627C">
        <w:rPr>
          <w:rFonts w:ascii="Times New Roman" w:hAnsi="Times New Roman" w:cs="Times New Roman"/>
          <w:sz w:val="28"/>
          <w:szCs w:val="28"/>
          <w:lang w:val="en-US"/>
        </w:rPr>
        <w:t>ignificantly, from the trust’s perspective, the defendants did not advise the trust or its engineers, of any existing municipal services that may be affected by the design</w:t>
      </w:r>
      <w:r w:rsidR="00B466C4" w:rsidRPr="0034627C">
        <w:rPr>
          <w:rFonts w:ascii="Times New Roman" w:hAnsi="Times New Roman" w:cs="Times New Roman"/>
          <w:sz w:val="28"/>
          <w:szCs w:val="28"/>
          <w:lang w:val="en-US"/>
        </w:rPr>
        <w:t xml:space="preserve"> </w:t>
      </w:r>
      <w:r w:rsidR="00CB2014" w:rsidRPr="0034627C">
        <w:rPr>
          <w:rFonts w:ascii="Times New Roman" w:hAnsi="Times New Roman" w:cs="Times New Roman"/>
          <w:sz w:val="28"/>
          <w:szCs w:val="28"/>
          <w:lang w:val="en-US"/>
        </w:rPr>
        <w:t xml:space="preserve">or the design approval </w:t>
      </w:r>
      <w:r w:rsidR="00B466C4" w:rsidRPr="0034627C">
        <w:rPr>
          <w:rFonts w:ascii="Times New Roman" w:hAnsi="Times New Roman" w:cs="Times New Roman"/>
          <w:sz w:val="28"/>
          <w:szCs w:val="28"/>
          <w:lang w:val="en-US"/>
        </w:rPr>
        <w:t xml:space="preserve">(despite a request for comment in this regard), </w:t>
      </w:r>
      <w:r w:rsidR="00CB2014" w:rsidRPr="0034627C">
        <w:rPr>
          <w:rFonts w:ascii="Times New Roman" w:hAnsi="Times New Roman" w:cs="Times New Roman"/>
          <w:sz w:val="28"/>
          <w:szCs w:val="28"/>
          <w:lang w:val="en-US"/>
        </w:rPr>
        <w:t xml:space="preserve">and it </w:t>
      </w:r>
      <w:r w:rsidR="009569E1" w:rsidRPr="0034627C">
        <w:rPr>
          <w:rFonts w:ascii="Times New Roman" w:hAnsi="Times New Roman" w:cs="Times New Roman"/>
          <w:sz w:val="28"/>
          <w:szCs w:val="28"/>
          <w:lang w:val="en-US"/>
        </w:rPr>
        <w:t xml:space="preserve">accordingly </w:t>
      </w:r>
      <w:r w:rsidR="00CB2014" w:rsidRPr="0034627C">
        <w:rPr>
          <w:rFonts w:ascii="Times New Roman" w:hAnsi="Times New Roman" w:cs="Times New Roman"/>
          <w:sz w:val="28"/>
          <w:szCs w:val="28"/>
          <w:lang w:val="en-US"/>
        </w:rPr>
        <w:t xml:space="preserve">put the work out to tender to attend to the relocation of the pipe in accordance with the relocation and design approvals. </w:t>
      </w:r>
    </w:p>
    <w:p w14:paraId="535DD096" w14:textId="77777777" w:rsidR="00CB2014" w:rsidRPr="00CB2014" w:rsidRDefault="00CB2014" w:rsidP="00CB2014">
      <w:pPr>
        <w:pStyle w:val="ListParagraph"/>
        <w:rPr>
          <w:rFonts w:ascii="Times New Roman" w:hAnsi="Times New Roman" w:cs="Times New Roman"/>
          <w:sz w:val="28"/>
          <w:szCs w:val="28"/>
          <w:lang w:val="en-US"/>
        </w:rPr>
      </w:pPr>
    </w:p>
    <w:p w14:paraId="74FE6D44" w14:textId="14A02A91" w:rsidR="00CB44B8" w:rsidRPr="0034627C" w:rsidRDefault="0034627C" w:rsidP="0034627C">
      <w:pPr>
        <w:tabs>
          <w:tab w:val="left" w:pos="709"/>
        </w:tabs>
        <w:jc w:val="both"/>
        <w:rPr>
          <w:rFonts w:ascii="Times New Roman" w:hAnsi="Times New Roman" w:cs="Times New Roman"/>
          <w:sz w:val="28"/>
          <w:szCs w:val="28"/>
          <w:lang w:val="en-US"/>
        </w:rPr>
      </w:pPr>
      <w:r w:rsidRPr="00CB44B8">
        <w:rPr>
          <w:rFonts w:ascii="Times New Roman" w:hAnsi="Times New Roman" w:cs="Times New Roman"/>
          <w:sz w:val="28"/>
          <w:szCs w:val="28"/>
          <w:lang w:val="en-US"/>
        </w:rPr>
        <w:t>[19]</w:t>
      </w:r>
      <w:r w:rsidRPr="00CB44B8">
        <w:rPr>
          <w:rFonts w:ascii="Times New Roman" w:hAnsi="Times New Roman" w:cs="Times New Roman"/>
          <w:sz w:val="28"/>
          <w:szCs w:val="28"/>
          <w:lang w:val="en-US"/>
        </w:rPr>
        <w:tab/>
      </w:r>
      <w:r w:rsidR="00CB2014" w:rsidRPr="0034627C">
        <w:rPr>
          <w:rFonts w:ascii="Times New Roman" w:hAnsi="Times New Roman" w:cs="Times New Roman"/>
          <w:sz w:val="28"/>
          <w:szCs w:val="28"/>
          <w:lang w:val="en-US"/>
        </w:rPr>
        <w:t xml:space="preserve">After </w:t>
      </w:r>
      <w:r w:rsidR="007441CB" w:rsidRPr="0034627C">
        <w:rPr>
          <w:rFonts w:ascii="Times New Roman" w:hAnsi="Times New Roman" w:cs="Times New Roman"/>
          <w:sz w:val="28"/>
          <w:szCs w:val="28"/>
          <w:lang w:val="en-US"/>
        </w:rPr>
        <w:t>having awarded</w:t>
      </w:r>
      <w:r w:rsidR="00CB2014" w:rsidRPr="0034627C">
        <w:rPr>
          <w:rFonts w:ascii="Times New Roman" w:hAnsi="Times New Roman" w:cs="Times New Roman"/>
          <w:sz w:val="28"/>
          <w:szCs w:val="28"/>
          <w:lang w:val="en-US"/>
        </w:rPr>
        <w:t xml:space="preserve"> a tender to </w:t>
      </w:r>
      <w:r w:rsidR="007441CB" w:rsidRPr="0034627C">
        <w:rPr>
          <w:rFonts w:ascii="Times New Roman" w:hAnsi="Times New Roman" w:cs="Times New Roman"/>
          <w:sz w:val="28"/>
          <w:szCs w:val="28"/>
          <w:lang w:val="en-US"/>
        </w:rPr>
        <w:t xml:space="preserve">it, </w:t>
      </w:r>
      <w:r w:rsidR="00CB2014" w:rsidRPr="0034627C">
        <w:rPr>
          <w:rFonts w:ascii="Times New Roman" w:hAnsi="Times New Roman" w:cs="Times New Roman"/>
          <w:sz w:val="28"/>
          <w:szCs w:val="28"/>
          <w:lang w:val="en-US"/>
        </w:rPr>
        <w:t>Mawethu Civils (Pty) Ltd (“Mawethu”)</w:t>
      </w:r>
      <w:r w:rsidR="00CB44B8" w:rsidRPr="0034627C">
        <w:rPr>
          <w:rFonts w:ascii="Times New Roman" w:hAnsi="Times New Roman" w:cs="Times New Roman"/>
          <w:sz w:val="28"/>
          <w:szCs w:val="28"/>
          <w:lang w:val="en-US"/>
        </w:rPr>
        <w:t xml:space="preserve"> </w:t>
      </w:r>
      <w:r w:rsidR="007441CB" w:rsidRPr="0034627C">
        <w:rPr>
          <w:rFonts w:ascii="Times New Roman" w:hAnsi="Times New Roman" w:cs="Times New Roman"/>
          <w:sz w:val="28"/>
          <w:szCs w:val="28"/>
          <w:lang w:val="en-US"/>
        </w:rPr>
        <w:t xml:space="preserve">commenced construction work </w:t>
      </w:r>
      <w:r w:rsidR="009569E1" w:rsidRPr="0034627C">
        <w:rPr>
          <w:rFonts w:ascii="Times New Roman" w:hAnsi="Times New Roman" w:cs="Times New Roman"/>
          <w:sz w:val="28"/>
          <w:szCs w:val="28"/>
          <w:lang w:val="en-US"/>
        </w:rPr>
        <w:t xml:space="preserve">at the property </w:t>
      </w:r>
      <w:r w:rsidR="007441CB" w:rsidRPr="0034627C">
        <w:rPr>
          <w:rFonts w:ascii="Times New Roman" w:hAnsi="Times New Roman" w:cs="Times New Roman"/>
          <w:sz w:val="28"/>
          <w:szCs w:val="28"/>
          <w:lang w:val="en-US"/>
        </w:rPr>
        <w:t>at the behest of the trust pursuant to the design approval on 2 March 2020 when it discovered the existence of nine high voltage electrical cables within the servitude area, with the result that the pipe could not be installed in the servitude area, as per the design approval.</w:t>
      </w:r>
    </w:p>
    <w:p w14:paraId="7051DE55" w14:textId="77777777" w:rsidR="00F35CC6" w:rsidRPr="00F35CC6" w:rsidRDefault="00F35CC6" w:rsidP="00F35CC6">
      <w:pPr>
        <w:pStyle w:val="ListParagraph"/>
        <w:rPr>
          <w:rFonts w:ascii="Times New Roman" w:hAnsi="Times New Roman" w:cs="Times New Roman"/>
          <w:sz w:val="28"/>
          <w:szCs w:val="28"/>
          <w:lang w:val="en-US"/>
        </w:rPr>
      </w:pPr>
    </w:p>
    <w:p w14:paraId="292620D0" w14:textId="5A79DBFB" w:rsidR="000E3DAB"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ab/>
      </w:r>
      <w:r w:rsidR="007441CB" w:rsidRPr="0034627C">
        <w:rPr>
          <w:rFonts w:ascii="Times New Roman" w:hAnsi="Times New Roman" w:cs="Times New Roman"/>
          <w:sz w:val="28"/>
          <w:szCs w:val="28"/>
          <w:lang w:val="en-US"/>
        </w:rPr>
        <w:t>The trust pleads that this has rendered the design approval completely unusable and inoperable, with the result that it must incur further costs in having a new design prepared and submitted for approval.</w:t>
      </w:r>
    </w:p>
    <w:p w14:paraId="79106A7F" w14:textId="77777777" w:rsidR="007441CB" w:rsidRPr="007441CB" w:rsidRDefault="007441CB" w:rsidP="007441CB">
      <w:pPr>
        <w:pStyle w:val="ListParagraph"/>
        <w:rPr>
          <w:rFonts w:ascii="Times New Roman" w:hAnsi="Times New Roman" w:cs="Times New Roman"/>
          <w:sz w:val="28"/>
          <w:szCs w:val="28"/>
          <w:lang w:val="en-US"/>
        </w:rPr>
      </w:pPr>
    </w:p>
    <w:p w14:paraId="4796A3A2" w14:textId="5913E938" w:rsidR="007441CB"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[21]</w:t>
      </w:r>
      <w:r>
        <w:rPr>
          <w:rFonts w:ascii="Times New Roman" w:hAnsi="Times New Roman" w:cs="Times New Roman"/>
          <w:sz w:val="28"/>
          <w:szCs w:val="28"/>
          <w:lang w:val="en-US"/>
        </w:rPr>
        <w:tab/>
      </w:r>
      <w:r w:rsidR="00B466C4" w:rsidRPr="0034627C">
        <w:rPr>
          <w:rFonts w:ascii="Times New Roman" w:hAnsi="Times New Roman" w:cs="Times New Roman"/>
          <w:sz w:val="28"/>
          <w:szCs w:val="28"/>
          <w:lang w:val="en-US"/>
        </w:rPr>
        <w:t>The</w:t>
      </w:r>
      <w:r w:rsidR="0040245B" w:rsidRPr="0034627C">
        <w:rPr>
          <w:rFonts w:ascii="Times New Roman" w:hAnsi="Times New Roman" w:cs="Times New Roman"/>
          <w:sz w:val="28"/>
          <w:szCs w:val="28"/>
          <w:lang w:val="en-US"/>
        </w:rPr>
        <w:t xml:space="preserve"> </w:t>
      </w:r>
      <w:r w:rsidR="00E369A1" w:rsidRPr="0034627C">
        <w:rPr>
          <w:rFonts w:ascii="Times New Roman" w:hAnsi="Times New Roman" w:cs="Times New Roman"/>
          <w:sz w:val="28"/>
          <w:szCs w:val="28"/>
          <w:lang w:val="en-US"/>
        </w:rPr>
        <w:t>trust avers</w:t>
      </w:r>
      <w:r w:rsidR="007441CB" w:rsidRPr="0034627C">
        <w:rPr>
          <w:rFonts w:ascii="Times New Roman" w:hAnsi="Times New Roman" w:cs="Times New Roman"/>
          <w:sz w:val="28"/>
          <w:szCs w:val="28"/>
          <w:lang w:val="en-US"/>
        </w:rPr>
        <w:t xml:space="preserve"> that the defendant was negligent in this respect too</w:t>
      </w:r>
      <w:r w:rsidR="00110336" w:rsidRPr="0034627C">
        <w:rPr>
          <w:rFonts w:ascii="Times New Roman" w:hAnsi="Times New Roman" w:cs="Times New Roman"/>
          <w:sz w:val="28"/>
          <w:szCs w:val="28"/>
          <w:lang w:val="en-US"/>
        </w:rPr>
        <w:t xml:space="preserve"> and acted </w:t>
      </w:r>
      <w:r w:rsidR="00E369A1" w:rsidRPr="0034627C">
        <w:rPr>
          <w:rFonts w:ascii="Times New Roman" w:hAnsi="Times New Roman" w:cs="Times New Roman"/>
          <w:sz w:val="28"/>
          <w:szCs w:val="28"/>
          <w:lang w:val="en-US"/>
        </w:rPr>
        <w:t>wrongfully</w:t>
      </w:r>
      <w:r w:rsidR="00E369A1" w:rsidRPr="0034627C">
        <w:rPr>
          <w:rFonts w:ascii="Times New Roman" w:hAnsi="Times New Roman" w:cs="Times New Roman"/>
          <w:i/>
          <w:iCs/>
          <w:sz w:val="28"/>
          <w:szCs w:val="28"/>
          <w:lang w:val="en-US"/>
        </w:rPr>
        <w:t>.</w:t>
      </w:r>
      <w:r w:rsidR="00E369A1" w:rsidRPr="0034627C">
        <w:rPr>
          <w:rFonts w:ascii="Times New Roman" w:hAnsi="Times New Roman" w:cs="Times New Roman"/>
          <w:sz w:val="28"/>
          <w:szCs w:val="28"/>
          <w:lang w:val="en-US"/>
        </w:rPr>
        <w:t xml:space="preserve"> Firstly, it is </w:t>
      </w:r>
      <w:r w:rsidR="005705C0" w:rsidRPr="0034627C">
        <w:rPr>
          <w:rFonts w:ascii="Times New Roman" w:hAnsi="Times New Roman" w:cs="Times New Roman"/>
          <w:sz w:val="28"/>
          <w:szCs w:val="28"/>
          <w:lang w:val="en-US"/>
        </w:rPr>
        <w:t xml:space="preserve">under </w:t>
      </w:r>
      <w:r w:rsidR="0022173C" w:rsidRPr="0034627C">
        <w:rPr>
          <w:rFonts w:ascii="Times New Roman" w:hAnsi="Times New Roman" w:cs="Times New Roman"/>
          <w:sz w:val="28"/>
          <w:szCs w:val="28"/>
          <w:lang w:val="en-US"/>
        </w:rPr>
        <w:t>obligation</w:t>
      </w:r>
      <w:r w:rsidR="003A6BF7" w:rsidRPr="0034627C">
        <w:rPr>
          <w:rFonts w:ascii="Times New Roman" w:hAnsi="Times New Roman" w:cs="Times New Roman"/>
          <w:sz w:val="28"/>
          <w:szCs w:val="28"/>
          <w:lang w:val="en-US"/>
        </w:rPr>
        <w:t xml:space="preserve"> to record and be aware of the existence of the existing municipal services</w:t>
      </w:r>
      <w:r w:rsidR="00E369A1" w:rsidRPr="0034627C">
        <w:rPr>
          <w:rFonts w:ascii="Times New Roman" w:hAnsi="Times New Roman" w:cs="Times New Roman"/>
          <w:sz w:val="28"/>
          <w:szCs w:val="28"/>
          <w:lang w:val="en-US"/>
        </w:rPr>
        <w:t xml:space="preserve"> and</w:t>
      </w:r>
      <w:r w:rsidR="003A6BF7" w:rsidRPr="0034627C">
        <w:rPr>
          <w:rFonts w:ascii="Times New Roman" w:hAnsi="Times New Roman" w:cs="Times New Roman"/>
          <w:sz w:val="28"/>
          <w:szCs w:val="28"/>
          <w:lang w:val="en-US"/>
        </w:rPr>
        <w:t xml:space="preserve"> had been specifically asked on two occasions to comment on all other municipal services that may o</w:t>
      </w:r>
      <w:r w:rsidR="000A0B9D" w:rsidRPr="0034627C">
        <w:rPr>
          <w:rFonts w:ascii="Times New Roman" w:hAnsi="Times New Roman" w:cs="Times New Roman"/>
          <w:sz w:val="28"/>
          <w:szCs w:val="28"/>
          <w:lang w:val="en-US"/>
        </w:rPr>
        <w:t>r</w:t>
      </w:r>
      <w:r w:rsidR="003A6BF7" w:rsidRPr="0034627C">
        <w:rPr>
          <w:rFonts w:ascii="Times New Roman" w:hAnsi="Times New Roman" w:cs="Times New Roman"/>
          <w:sz w:val="28"/>
          <w:szCs w:val="28"/>
          <w:lang w:val="en-US"/>
        </w:rPr>
        <w:t xml:space="preserve"> may not be affected by the proposed </w:t>
      </w:r>
      <w:r w:rsidR="00E369A1" w:rsidRPr="0034627C">
        <w:rPr>
          <w:rFonts w:ascii="Times New Roman" w:hAnsi="Times New Roman" w:cs="Times New Roman"/>
          <w:sz w:val="28"/>
          <w:szCs w:val="28"/>
          <w:lang w:val="en-US"/>
        </w:rPr>
        <w:t>diversion or relocation of the pipe so when it approved the design therefor</w:t>
      </w:r>
      <w:r w:rsidR="000A0B9D" w:rsidRPr="0034627C">
        <w:rPr>
          <w:rFonts w:ascii="Times New Roman" w:hAnsi="Times New Roman" w:cs="Times New Roman"/>
          <w:sz w:val="28"/>
          <w:szCs w:val="28"/>
          <w:lang w:val="en-US"/>
        </w:rPr>
        <w:t>,</w:t>
      </w:r>
      <w:r w:rsidR="00E369A1" w:rsidRPr="0034627C">
        <w:rPr>
          <w:rFonts w:ascii="Times New Roman" w:hAnsi="Times New Roman" w:cs="Times New Roman"/>
          <w:sz w:val="28"/>
          <w:szCs w:val="28"/>
          <w:lang w:val="en-US"/>
        </w:rPr>
        <w:t xml:space="preserve"> it owed it a duty of care to </w:t>
      </w:r>
      <w:r w:rsidR="000A0B9D" w:rsidRPr="0034627C">
        <w:rPr>
          <w:rFonts w:ascii="Times New Roman" w:hAnsi="Times New Roman" w:cs="Times New Roman"/>
          <w:sz w:val="28"/>
          <w:szCs w:val="28"/>
          <w:lang w:val="en-US"/>
        </w:rPr>
        <w:t xml:space="preserve">have </w:t>
      </w:r>
      <w:r w:rsidR="00E369A1" w:rsidRPr="0034627C">
        <w:rPr>
          <w:rFonts w:ascii="Times New Roman" w:hAnsi="Times New Roman" w:cs="Times New Roman"/>
          <w:sz w:val="28"/>
          <w:szCs w:val="28"/>
          <w:lang w:val="en-US"/>
        </w:rPr>
        <w:t>draw</w:t>
      </w:r>
      <w:r w:rsidR="000A0B9D" w:rsidRPr="0034627C">
        <w:rPr>
          <w:rFonts w:ascii="Times New Roman" w:hAnsi="Times New Roman" w:cs="Times New Roman"/>
          <w:sz w:val="28"/>
          <w:szCs w:val="28"/>
          <w:lang w:val="en-US"/>
        </w:rPr>
        <w:t>n</w:t>
      </w:r>
      <w:r w:rsidR="00E369A1" w:rsidRPr="0034627C">
        <w:rPr>
          <w:rFonts w:ascii="Times New Roman" w:hAnsi="Times New Roman" w:cs="Times New Roman"/>
          <w:sz w:val="28"/>
          <w:szCs w:val="28"/>
          <w:lang w:val="en-US"/>
        </w:rPr>
        <w:t xml:space="preserve"> </w:t>
      </w:r>
      <w:r w:rsidR="000A0B9D" w:rsidRPr="0034627C">
        <w:rPr>
          <w:rFonts w:ascii="Times New Roman" w:hAnsi="Times New Roman" w:cs="Times New Roman"/>
          <w:sz w:val="28"/>
          <w:szCs w:val="28"/>
          <w:lang w:val="en-US"/>
        </w:rPr>
        <w:t>its</w:t>
      </w:r>
      <w:r w:rsidR="00E369A1" w:rsidRPr="0034627C">
        <w:rPr>
          <w:rFonts w:ascii="Times New Roman" w:hAnsi="Times New Roman" w:cs="Times New Roman"/>
          <w:sz w:val="28"/>
          <w:szCs w:val="28"/>
          <w:lang w:val="en-US"/>
        </w:rPr>
        <w:t xml:space="preserve"> attention to the existence of the high voltage cables. Secondly, since it </w:t>
      </w:r>
      <w:r w:rsidR="003A6BF7" w:rsidRPr="0034627C">
        <w:rPr>
          <w:rFonts w:ascii="Times New Roman" w:hAnsi="Times New Roman" w:cs="Times New Roman"/>
          <w:sz w:val="28"/>
          <w:szCs w:val="28"/>
          <w:lang w:val="en-US"/>
        </w:rPr>
        <w:t xml:space="preserve">was at the time of approving the design in possession of </w:t>
      </w:r>
      <w:r w:rsidR="00E369A1" w:rsidRPr="0034627C">
        <w:rPr>
          <w:rFonts w:ascii="Times New Roman" w:hAnsi="Times New Roman" w:cs="Times New Roman"/>
          <w:sz w:val="28"/>
          <w:szCs w:val="28"/>
          <w:lang w:val="en-US"/>
        </w:rPr>
        <w:t>original</w:t>
      </w:r>
      <w:r w:rsidR="003A6BF7" w:rsidRPr="0034627C">
        <w:rPr>
          <w:rFonts w:ascii="Times New Roman" w:hAnsi="Times New Roman" w:cs="Times New Roman"/>
          <w:sz w:val="28"/>
          <w:szCs w:val="28"/>
          <w:lang w:val="en-US"/>
        </w:rPr>
        <w:t xml:space="preserve"> drawings showing the existence of the cables</w:t>
      </w:r>
      <w:r w:rsidR="00E369A1" w:rsidRPr="0034627C">
        <w:rPr>
          <w:rFonts w:ascii="Times New Roman" w:hAnsi="Times New Roman" w:cs="Times New Roman"/>
          <w:sz w:val="28"/>
          <w:szCs w:val="28"/>
          <w:lang w:val="en-US"/>
        </w:rPr>
        <w:t xml:space="preserve">, it acted negligently in not </w:t>
      </w:r>
      <w:r w:rsidR="00637C8A" w:rsidRPr="0034627C">
        <w:rPr>
          <w:rFonts w:ascii="Times New Roman" w:hAnsi="Times New Roman" w:cs="Times New Roman"/>
          <w:sz w:val="28"/>
          <w:szCs w:val="28"/>
          <w:lang w:val="en-US"/>
        </w:rPr>
        <w:t xml:space="preserve">ascertaining the existence and position of the cables and in not informing the trust of same before or at the time of approving the design. </w:t>
      </w:r>
    </w:p>
    <w:p w14:paraId="39BDB3E9" w14:textId="77777777" w:rsidR="00637C8A" w:rsidRPr="00637C8A" w:rsidRDefault="00637C8A" w:rsidP="00637C8A">
      <w:pPr>
        <w:pStyle w:val="ListParagraph"/>
        <w:rPr>
          <w:rFonts w:ascii="Times New Roman" w:hAnsi="Times New Roman" w:cs="Times New Roman"/>
          <w:sz w:val="28"/>
          <w:szCs w:val="28"/>
          <w:lang w:val="en-US"/>
        </w:rPr>
      </w:pPr>
    </w:p>
    <w:p w14:paraId="762D0FA2" w14:textId="0E2D09E7" w:rsidR="00637C8A" w:rsidRPr="0034627C" w:rsidRDefault="0034627C" w:rsidP="0034627C">
      <w:pPr>
        <w:tabs>
          <w:tab w:val="left" w:pos="709"/>
        </w:tabs>
        <w:jc w:val="both"/>
        <w:rPr>
          <w:rFonts w:ascii="Times New Roman" w:hAnsi="Times New Roman" w:cs="Times New Roman"/>
          <w:sz w:val="28"/>
          <w:szCs w:val="28"/>
          <w:lang w:val="en-US"/>
        </w:rPr>
      </w:pPr>
      <w:r w:rsidRPr="00CB2014">
        <w:rPr>
          <w:rFonts w:ascii="Times New Roman" w:hAnsi="Times New Roman" w:cs="Times New Roman"/>
          <w:sz w:val="28"/>
          <w:szCs w:val="28"/>
          <w:lang w:val="en-US"/>
        </w:rPr>
        <w:t>[22]</w:t>
      </w:r>
      <w:r w:rsidRPr="00CB2014">
        <w:rPr>
          <w:rFonts w:ascii="Times New Roman" w:hAnsi="Times New Roman" w:cs="Times New Roman"/>
          <w:sz w:val="28"/>
          <w:szCs w:val="28"/>
          <w:lang w:val="en-US"/>
        </w:rPr>
        <w:tab/>
      </w:r>
      <w:r w:rsidR="00637C8A" w:rsidRPr="0034627C">
        <w:rPr>
          <w:rFonts w:ascii="Times New Roman" w:hAnsi="Times New Roman" w:cs="Times New Roman"/>
          <w:sz w:val="28"/>
          <w:szCs w:val="28"/>
          <w:lang w:val="en-US"/>
        </w:rPr>
        <w:t xml:space="preserve">It pleads that had it been so informed at the relevant </w:t>
      </w:r>
      <w:r w:rsidR="0053705D" w:rsidRPr="0034627C">
        <w:rPr>
          <w:rFonts w:ascii="Times New Roman" w:hAnsi="Times New Roman" w:cs="Times New Roman"/>
          <w:sz w:val="28"/>
          <w:szCs w:val="28"/>
          <w:lang w:val="en-US"/>
        </w:rPr>
        <w:t xml:space="preserve">time </w:t>
      </w:r>
      <w:r w:rsidR="00637C8A" w:rsidRPr="0034627C">
        <w:rPr>
          <w:rFonts w:ascii="Times New Roman" w:hAnsi="Times New Roman" w:cs="Times New Roman"/>
          <w:sz w:val="28"/>
          <w:szCs w:val="28"/>
          <w:lang w:val="en-US"/>
        </w:rPr>
        <w:t>two consequences would have been averted. The first is that Mawethu would not have been instructed to commence work at the property and, secondly, they would have adjusted the design so as to avoid the additional costs occasioned by accommodating the cables.</w:t>
      </w:r>
    </w:p>
    <w:p w14:paraId="021152D9" w14:textId="77777777" w:rsidR="0020736E" w:rsidRDefault="0020736E" w:rsidP="0020736E">
      <w:pPr>
        <w:pStyle w:val="ListParagraph"/>
        <w:rPr>
          <w:rFonts w:ascii="Times New Roman" w:hAnsi="Times New Roman" w:cs="Times New Roman"/>
          <w:sz w:val="28"/>
          <w:szCs w:val="28"/>
          <w:u w:val="single"/>
          <w:lang w:val="en-US"/>
        </w:rPr>
      </w:pPr>
    </w:p>
    <w:p w14:paraId="0A0522B6" w14:textId="38013621" w:rsidR="0020736E"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r>
      <w:r w:rsidR="00637C8A" w:rsidRPr="0034627C">
        <w:rPr>
          <w:rFonts w:ascii="Times New Roman" w:hAnsi="Times New Roman" w:cs="Times New Roman"/>
          <w:sz w:val="28"/>
          <w:szCs w:val="28"/>
          <w:lang w:val="en-US"/>
        </w:rPr>
        <w:t>In the result it claims damages in the sum of R1</w:t>
      </w:r>
      <w:r w:rsidR="00921D71" w:rsidRPr="0034627C">
        <w:rPr>
          <w:rFonts w:ascii="Times New Roman" w:hAnsi="Times New Roman" w:cs="Times New Roman"/>
          <w:sz w:val="28"/>
          <w:szCs w:val="28"/>
          <w:lang w:val="en-US"/>
        </w:rPr>
        <w:t xml:space="preserve"> </w:t>
      </w:r>
      <w:r w:rsidR="00637C8A" w:rsidRPr="0034627C">
        <w:rPr>
          <w:rFonts w:ascii="Times New Roman" w:hAnsi="Times New Roman" w:cs="Times New Roman"/>
          <w:sz w:val="28"/>
          <w:szCs w:val="28"/>
          <w:lang w:val="en-US"/>
        </w:rPr>
        <w:t>312</w:t>
      </w:r>
      <w:r w:rsidR="00921D71" w:rsidRPr="0034627C">
        <w:rPr>
          <w:rFonts w:ascii="Times New Roman" w:hAnsi="Times New Roman" w:cs="Times New Roman"/>
          <w:sz w:val="28"/>
          <w:szCs w:val="28"/>
          <w:lang w:val="en-US"/>
        </w:rPr>
        <w:t> </w:t>
      </w:r>
      <w:r w:rsidR="00637C8A" w:rsidRPr="0034627C">
        <w:rPr>
          <w:rFonts w:ascii="Times New Roman" w:hAnsi="Times New Roman" w:cs="Times New Roman"/>
          <w:sz w:val="28"/>
          <w:szCs w:val="28"/>
          <w:lang w:val="en-US"/>
        </w:rPr>
        <w:t>621</w:t>
      </w:r>
      <w:r w:rsidR="00921D71" w:rsidRPr="0034627C">
        <w:rPr>
          <w:rFonts w:ascii="Times New Roman" w:hAnsi="Times New Roman" w:cs="Times New Roman"/>
          <w:sz w:val="28"/>
          <w:szCs w:val="28"/>
          <w:lang w:val="en-US"/>
        </w:rPr>
        <w:t>.</w:t>
      </w:r>
      <w:r w:rsidR="00110336" w:rsidRPr="0034627C">
        <w:rPr>
          <w:rFonts w:ascii="Times New Roman" w:hAnsi="Times New Roman" w:cs="Times New Roman"/>
          <w:sz w:val="28"/>
          <w:szCs w:val="28"/>
          <w:lang w:val="en-US"/>
        </w:rPr>
        <w:t>00 made</w:t>
      </w:r>
      <w:r w:rsidR="00637C8A" w:rsidRPr="0034627C">
        <w:rPr>
          <w:rFonts w:ascii="Times New Roman" w:hAnsi="Times New Roman" w:cs="Times New Roman"/>
          <w:sz w:val="28"/>
          <w:szCs w:val="28"/>
          <w:lang w:val="en-US"/>
        </w:rPr>
        <w:t xml:space="preserve"> up of various fees incurred as a result of the </w:t>
      </w:r>
      <w:r w:rsidR="00110336" w:rsidRPr="0034627C">
        <w:rPr>
          <w:rFonts w:ascii="Times New Roman" w:hAnsi="Times New Roman" w:cs="Times New Roman"/>
          <w:sz w:val="28"/>
          <w:szCs w:val="28"/>
          <w:lang w:val="en-US"/>
        </w:rPr>
        <w:t>defendants</w:t>
      </w:r>
      <w:r w:rsidR="005252F0" w:rsidRPr="0034627C">
        <w:rPr>
          <w:rFonts w:ascii="Times New Roman" w:hAnsi="Times New Roman" w:cs="Times New Roman"/>
          <w:sz w:val="28"/>
          <w:szCs w:val="28"/>
          <w:lang w:val="en-US"/>
        </w:rPr>
        <w:t>’</w:t>
      </w:r>
      <w:r w:rsidR="00637C8A" w:rsidRPr="0034627C">
        <w:rPr>
          <w:rFonts w:ascii="Times New Roman" w:hAnsi="Times New Roman" w:cs="Times New Roman"/>
          <w:sz w:val="28"/>
          <w:szCs w:val="28"/>
          <w:lang w:val="en-US"/>
        </w:rPr>
        <w:t xml:space="preserve"> negligence on </w:t>
      </w:r>
      <w:r w:rsidR="008A52A2" w:rsidRPr="0034627C">
        <w:rPr>
          <w:rFonts w:ascii="Times New Roman" w:hAnsi="Times New Roman" w:cs="Times New Roman"/>
          <w:sz w:val="28"/>
          <w:szCs w:val="28"/>
          <w:lang w:val="en-US"/>
        </w:rPr>
        <w:t xml:space="preserve">the two </w:t>
      </w:r>
      <w:r w:rsidR="007C7AB0" w:rsidRPr="0034627C">
        <w:rPr>
          <w:rFonts w:ascii="Times New Roman" w:hAnsi="Times New Roman" w:cs="Times New Roman"/>
          <w:sz w:val="28"/>
          <w:szCs w:val="28"/>
          <w:lang w:val="en-US"/>
        </w:rPr>
        <w:t>occasions</w:t>
      </w:r>
      <w:r w:rsidR="00110336" w:rsidRPr="0034627C">
        <w:rPr>
          <w:rFonts w:ascii="Times New Roman" w:hAnsi="Times New Roman" w:cs="Times New Roman"/>
          <w:sz w:val="28"/>
          <w:szCs w:val="28"/>
          <w:lang w:val="en-US"/>
        </w:rPr>
        <w:t xml:space="preserve"> outlined above</w:t>
      </w:r>
      <w:r w:rsidR="00637C8A" w:rsidRPr="0034627C">
        <w:rPr>
          <w:rFonts w:ascii="Times New Roman" w:hAnsi="Times New Roman" w:cs="Times New Roman"/>
          <w:sz w:val="28"/>
          <w:szCs w:val="28"/>
          <w:lang w:val="en-US"/>
        </w:rPr>
        <w:t>.</w:t>
      </w:r>
      <w:r w:rsidR="007C7AB0">
        <w:rPr>
          <w:rStyle w:val="FootnoteReference"/>
          <w:rFonts w:ascii="Times New Roman" w:hAnsi="Times New Roman" w:cs="Times New Roman"/>
          <w:sz w:val="28"/>
          <w:szCs w:val="28"/>
          <w:lang w:val="en-US"/>
        </w:rPr>
        <w:footnoteReference w:id="10"/>
      </w:r>
      <w:r w:rsidR="00637C8A" w:rsidRPr="0034627C">
        <w:rPr>
          <w:rFonts w:ascii="Times New Roman" w:hAnsi="Times New Roman" w:cs="Times New Roman"/>
          <w:sz w:val="28"/>
          <w:szCs w:val="28"/>
          <w:lang w:val="en-US"/>
        </w:rPr>
        <w:t xml:space="preserve"> </w:t>
      </w:r>
    </w:p>
    <w:p w14:paraId="05B55E39" w14:textId="77777777" w:rsidR="00110336" w:rsidRPr="00110336" w:rsidRDefault="00110336" w:rsidP="00110336">
      <w:pPr>
        <w:pStyle w:val="ListParagraph"/>
        <w:rPr>
          <w:rFonts w:ascii="Times New Roman" w:hAnsi="Times New Roman" w:cs="Times New Roman"/>
          <w:sz w:val="28"/>
          <w:szCs w:val="28"/>
          <w:lang w:val="en-US"/>
        </w:rPr>
      </w:pPr>
    </w:p>
    <w:p w14:paraId="133C1671" w14:textId="51A56BF8" w:rsidR="00B7576D"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r>
      <w:r w:rsidR="002E3775" w:rsidRPr="0034627C">
        <w:rPr>
          <w:rFonts w:ascii="Times New Roman" w:hAnsi="Times New Roman" w:cs="Times New Roman"/>
          <w:sz w:val="28"/>
          <w:szCs w:val="28"/>
          <w:lang w:val="en-US"/>
        </w:rPr>
        <w:t>The nature of the trust</w:t>
      </w:r>
      <w:r w:rsidR="001D29E9" w:rsidRPr="0034627C">
        <w:rPr>
          <w:rFonts w:ascii="Times New Roman" w:hAnsi="Times New Roman" w:cs="Times New Roman"/>
          <w:sz w:val="28"/>
          <w:szCs w:val="28"/>
          <w:lang w:val="en-US"/>
        </w:rPr>
        <w:t>’</w:t>
      </w:r>
      <w:r w:rsidR="002E3775" w:rsidRPr="0034627C">
        <w:rPr>
          <w:rFonts w:ascii="Times New Roman" w:hAnsi="Times New Roman" w:cs="Times New Roman"/>
          <w:sz w:val="28"/>
          <w:szCs w:val="28"/>
          <w:lang w:val="en-US"/>
        </w:rPr>
        <w:t xml:space="preserve">s claim </w:t>
      </w:r>
      <w:r w:rsidR="005719F9" w:rsidRPr="0034627C">
        <w:rPr>
          <w:rFonts w:ascii="Times New Roman" w:hAnsi="Times New Roman" w:cs="Times New Roman"/>
          <w:sz w:val="28"/>
          <w:szCs w:val="28"/>
          <w:lang w:val="en-US"/>
        </w:rPr>
        <w:t xml:space="preserve">for the losses it claims to have suffered </w:t>
      </w:r>
      <w:r w:rsidR="002E3775" w:rsidRPr="0034627C">
        <w:rPr>
          <w:rFonts w:ascii="Times New Roman" w:hAnsi="Times New Roman" w:cs="Times New Roman"/>
          <w:sz w:val="28"/>
          <w:szCs w:val="28"/>
          <w:lang w:val="en-US"/>
        </w:rPr>
        <w:t xml:space="preserve">is clearly one </w:t>
      </w:r>
      <w:r w:rsidR="001D29E9" w:rsidRPr="0034627C">
        <w:rPr>
          <w:rFonts w:ascii="Times New Roman" w:hAnsi="Times New Roman" w:cs="Times New Roman"/>
          <w:sz w:val="28"/>
          <w:szCs w:val="28"/>
          <w:lang w:val="en-US"/>
        </w:rPr>
        <w:t>framed in the private law of delict</w:t>
      </w:r>
      <w:r w:rsidR="00473F14" w:rsidRPr="0034627C">
        <w:rPr>
          <w:rFonts w:ascii="Times New Roman" w:hAnsi="Times New Roman" w:cs="Times New Roman"/>
          <w:sz w:val="28"/>
          <w:szCs w:val="28"/>
          <w:lang w:val="en-US"/>
        </w:rPr>
        <w:t>.</w:t>
      </w:r>
      <w:r w:rsidR="000E62E7">
        <w:rPr>
          <w:rStyle w:val="FootnoteReference"/>
          <w:rFonts w:ascii="Times New Roman" w:hAnsi="Times New Roman" w:cs="Times New Roman"/>
          <w:sz w:val="28"/>
          <w:szCs w:val="28"/>
          <w:lang w:val="en-US"/>
        </w:rPr>
        <w:footnoteReference w:id="11"/>
      </w:r>
      <w:r w:rsidR="00473F14" w:rsidRPr="0034627C">
        <w:rPr>
          <w:rFonts w:ascii="Times New Roman" w:hAnsi="Times New Roman" w:cs="Times New Roman"/>
          <w:sz w:val="28"/>
          <w:szCs w:val="28"/>
          <w:lang w:val="en-US"/>
        </w:rPr>
        <w:t xml:space="preserve"> </w:t>
      </w:r>
    </w:p>
    <w:p w14:paraId="0335AA1F" w14:textId="77777777" w:rsidR="00B7576D" w:rsidRPr="00B7576D" w:rsidRDefault="00B7576D" w:rsidP="00B7576D">
      <w:pPr>
        <w:pStyle w:val="ListParagraph"/>
        <w:rPr>
          <w:rFonts w:ascii="Times New Roman" w:hAnsi="Times New Roman" w:cs="Times New Roman"/>
          <w:sz w:val="28"/>
          <w:szCs w:val="28"/>
          <w:lang w:val="en-US"/>
        </w:rPr>
      </w:pPr>
    </w:p>
    <w:p w14:paraId="56D67149" w14:textId="69AB4455" w:rsidR="00901089"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[25]</w:t>
      </w:r>
      <w:r>
        <w:rPr>
          <w:rFonts w:ascii="Times New Roman" w:hAnsi="Times New Roman" w:cs="Times New Roman"/>
          <w:sz w:val="28"/>
          <w:szCs w:val="28"/>
          <w:lang w:val="en-US"/>
        </w:rPr>
        <w:tab/>
      </w:r>
      <w:r w:rsidR="007D6B50" w:rsidRPr="0034627C">
        <w:rPr>
          <w:rFonts w:ascii="Times New Roman" w:hAnsi="Times New Roman" w:cs="Times New Roman"/>
          <w:sz w:val="28"/>
          <w:szCs w:val="28"/>
          <w:lang w:val="en-US"/>
        </w:rPr>
        <w:t>T</w:t>
      </w:r>
      <w:r w:rsidR="00903C1B" w:rsidRPr="0034627C">
        <w:rPr>
          <w:rFonts w:ascii="Times New Roman" w:hAnsi="Times New Roman" w:cs="Times New Roman"/>
          <w:sz w:val="28"/>
          <w:szCs w:val="28"/>
          <w:lang w:val="en-US"/>
        </w:rPr>
        <w:t>he first principle of the law of delict is that</w:t>
      </w:r>
      <w:r w:rsidR="00EB06BC" w:rsidRPr="0034627C">
        <w:rPr>
          <w:rFonts w:ascii="Times New Roman" w:hAnsi="Times New Roman" w:cs="Times New Roman"/>
          <w:sz w:val="28"/>
          <w:szCs w:val="28"/>
          <w:lang w:val="en-US"/>
        </w:rPr>
        <w:t xml:space="preserve"> </w:t>
      </w:r>
      <w:r w:rsidR="001637E9" w:rsidRPr="0034627C">
        <w:rPr>
          <w:rFonts w:ascii="Times New Roman" w:hAnsi="Times New Roman" w:cs="Times New Roman"/>
          <w:sz w:val="28"/>
          <w:szCs w:val="28"/>
          <w:lang w:val="en-US"/>
        </w:rPr>
        <w:t xml:space="preserve">everyone </w:t>
      </w:r>
      <w:r w:rsidR="0065274D" w:rsidRPr="0034627C">
        <w:rPr>
          <w:rFonts w:ascii="Times New Roman" w:hAnsi="Times New Roman" w:cs="Times New Roman"/>
          <w:sz w:val="28"/>
          <w:szCs w:val="28"/>
          <w:lang w:val="en-US"/>
        </w:rPr>
        <w:t>has to bear the loss that he or she suffers.</w:t>
      </w:r>
      <w:r w:rsidR="002C7A43">
        <w:rPr>
          <w:rStyle w:val="FootnoteReference"/>
          <w:rFonts w:ascii="Times New Roman" w:hAnsi="Times New Roman" w:cs="Times New Roman"/>
          <w:sz w:val="28"/>
          <w:szCs w:val="28"/>
          <w:lang w:val="en-US"/>
        </w:rPr>
        <w:footnoteReference w:id="12"/>
      </w:r>
      <w:r w:rsidR="002C7A43" w:rsidRPr="0034627C">
        <w:rPr>
          <w:rFonts w:ascii="Times New Roman" w:hAnsi="Times New Roman" w:cs="Times New Roman"/>
          <w:sz w:val="28"/>
          <w:szCs w:val="28"/>
          <w:lang w:val="en-US"/>
        </w:rPr>
        <w:t xml:space="preserve"> </w:t>
      </w:r>
      <w:r w:rsidR="005761F4" w:rsidRPr="0034627C">
        <w:rPr>
          <w:rFonts w:ascii="Times New Roman" w:hAnsi="Times New Roman" w:cs="Times New Roman"/>
          <w:sz w:val="28"/>
          <w:szCs w:val="28"/>
          <w:lang w:val="en-US"/>
        </w:rPr>
        <w:t xml:space="preserve"> And, in contrast to instances of physical harm</w:t>
      </w:r>
      <w:r w:rsidR="00EF5D79" w:rsidRPr="0034627C">
        <w:rPr>
          <w:rFonts w:ascii="Times New Roman" w:hAnsi="Times New Roman" w:cs="Times New Roman"/>
          <w:sz w:val="28"/>
          <w:szCs w:val="28"/>
          <w:lang w:val="en-US"/>
        </w:rPr>
        <w:t xml:space="preserve">, </w:t>
      </w:r>
      <w:r w:rsidR="005761F4" w:rsidRPr="0034627C">
        <w:rPr>
          <w:rFonts w:ascii="Times New Roman" w:hAnsi="Times New Roman" w:cs="Times New Roman"/>
          <w:sz w:val="28"/>
          <w:szCs w:val="28"/>
          <w:lang w:val="en-US"/>
        </w:rPr>
        <w:t>conduct causing pure economic loss</w:t>
      </w:r>
      <w:r w:rsidR="00A11B2D">
        <w:rPr>
          <w:rStyle w:val="FootnoteReference"/>
          <w:rFonts w:ascii="Times New Roman" w:hAnsi="Times New Roman" w:cs="Times New Roman"/>
          <w:sz w:val="28"/>
          <w:szCs w:val="28"/>
          <w:lang w:val="en-US"/>
        </w:rPr>
        <w:footnoteReference w:id="13"/>
      </w:r>
      <w:r w:rsidR="005761F4" w:rsidRPr="0034627C">
        <w:rPr>
          <w:rFonts w:ascii="Times New Roman" w:hAnsi="Times New Roman" w:cs="Times New Roman"/>
          <w:sz w:val="28"/>
          <w:szCs w:val="28"/>
          <w:lang w:val="en-US"/>
        </w:rPr>
        <w:t xml:space="preserve"> is not </w:t>
      </w:r>
      <w:r w:rsidR="005761F4" w:rsidRPr="0034627C">
        <w:rPr>
          <w:rFonts w:ascii="Times New Roman" w:hAnsi="Times New Roman" w:cs="Times New Roman"/>
          <w:i/>
          <w:iCs/>
          <w:sz w:val="28"/>
          <w:szCs w:val="28"/>
          <w:lang w:val="en-US"/>
        </w:rPr>
        <w:t xml:space="preserve">prima </w:t>
      </w:r>
      <w:r w:rsidR="00EF5D79" w:rsidRPr="0034627C">
        <w:rPr>
          <w:rFonts w:ascii="Times New Roman" w:hAnsi="Times New Roman" w:cs="Times New Roman"/>
          <w:i/>
          <w:iCs/>
          <w:sz w:val="28"/>
          <w:szCs w:val="28"/>
          <w:lang w:val="en-US"/>
        </w:rPr>
        <w:t>facie</w:t>
      </w:r>
      <w:r w:rsidR="005761F4" w:rsidRPr="0034627C">
        <w:rPr>
          <w:rFonts w:ascii="Times New Roman" w:hAnsi="Times New Roman" w:cs="Times New Roman"/>
          <w:sz w:val="28"/>
          <w:szCs w:val="28"/>
          <w:lang w:val="en-US"/>
        </w:rPr>
        <w:t xml:space="preserve"> wrongful. Accordingly, </w:t>
      </w:r>
      <w:r w:rsidR="00EF5D79" w:rsidRPr="0034627C">
        <w:rPr>
          <w:rFonts w:ascii="Times New Roman" w:hAnsi="Times New Roman" w:cs="Times New Roman"/>
          <w:sz w:val="28"/>
          <w:szCs w:val="28"/>
          <w:lang w:val="en-US"/>
        </w:rPr>
        <w:t xml:space="preserve">a </w:t>
      </w:r>
      <w:r w:rsidR="005761F4" w:rsidRPr="0034627C">
        <w:rPr>
          <w:rFonts w:ascii="Times New Roman" w:hAnsi="Times New Roman" w:cs="Times New Roman"/>
          <w:sz w:val="28"/>
          <w:szCs w:val="28"/>
          <w:lang w:val="en-US"/>
        </w:rPr>
        <w:t xml:space="preserve">plaintiff suing for the recovery of </w:t>
      </w:r>
      <w:r w:rsidR="002C7A43" w:rsidRPr="0034627C">
        <w:rPr>
          <w:rFonts w:ascii="Times New Roman" w:hAnsi="Times New Roman" w:cs="Times New Roman"/>
          <w:sz w:val="28"/>
          <w:szCs w:val="28"/>
          <w:lang w:val="en-US"/>
        </w:rPr>
        <w:t>such</w:t>
      </w:r>
      <w:r w:rsidR="005761F4" w:rsidRPr="0034627C">
        <w:rPr>
          <w:rFonts w:ascii="Times New Roman" w:hAnsi="Times New Roman" w:cs="Times New Roman"/>
          <w:sz w:val="28"/>
          <w:szCs w:val="28"/>
          <w:lang w:val="en-US"/>
        </w:rPr>
        <w:t xml:space="preserve"> loss is in no position to rely on an inference of wrongfulness </w:t>
      </w:r>
      <w:r w:rsidR="00054019" w:rsidRPr="0034627C">
        <w:rPr>
          <w:rFonts w:ascii="Times New Roman" w:hAnsi="Times New Roman" w:cs="Times New Roman"/>
          <w:sz w:val="28"/>
          <w:szCs w:val="28"/>
          <w:lang w:val="en-US"/>
        </w:rPr>
        <w:t xml:space="preserve">such as would </w:t>
      </w:r>
      <w:r w:rsidR="005761F4" w:rsidRPr="0034627C">
        <w:rPr>
          <w:rFonts w:ascii="Times New Roman" w:hAnsi="Times New Roman" w:cs="Times New Roman"/>
          <w:sz w:val="28"/>
          <w:szCs w:val="28"/>
          <w:lang w:val="en-US"/>
        </w:rPr>
        <w:t>flow</w:t>
      </w:r>
      <w:r w:rsidR="00054019" w:rsidRPr="0034627C">
        <w:rPr>
          <w:rFonts w:ascii="Times New Roman" w:hAnsi="Times New Roman" w:cs="Times New Roman"/>
          <w:sz w:val="28"/>
          <w:szCs w:val="28"/>
          <w:lang w:val="en-US"/>
        </w:rPr>
        <w:t xml:space="preserve"> naturally</w:t>
      </w:r>
      <w:r w:rsidR="005761F4" w:rsidRPr="0034627C">
        <w:rPr>
          <w:rFonts w:ascii="Times New Roman" w:hAnsi="Times New Roman" w:cs="Times New Roman"/>
          <w:sz w:val="28"/>
          <w:szCs w:val="28"/>
          <w:lang w:val="en-US"/>
        </w:rPr>
        <w:t xml:space="preserve"> from an allegation of physical damage to property</w:t>
      </w:r>
      <w:r w:rsidR="00777FB9" w:rsidRPr="0034627C">
        <w:rPr>
          <w:rFonts w:ascii="Times New Roman" w:hAnsi="Times New Roman" w:cs="Times New Roman"/>
          <w:sz w:val="28"/>
          <w:szCs w:val="28"/>
          <w:lang w:val="en-US"/>
        </w:rPr>
        <w:t xml:space="preserve"> </w:t>
      </w:r>
      <w:r w:rsidR="00AE3158" w:rsidRPr="0034627C">
        <w:rPr>
          <w:rFonts w:ascii="Times New Roman" w:hAnsi="Times New Roman" w:cs="Times New Roman"/>
          <w:sz w:val="28"/>
          <w:szCs w:val="28"/>
          <w:lang w:val="en-US"/>
        </w:rPr>
        <w:t>(</w:t>
      </w:r>
      <w:r w:rsidR="000C5AB9" w:rsidRPr="0034627C">
        <w:rPr>
          <w:rFonts w:ascii="Times New Roman" w:hAnsi="Times New Roman" w:cs="Times New Roman"/>
          <w:sz w:val="28"/>
          <w:szCs w:val="28"/>
          <w:lang w:val="en-US"/>
        </w:rPr>
        <w:t>or</w:t>
      </w:r>
      <w:r w:rsidR="00777FB9" w:rsidRPr="0034627C">
        <w:rPr>
          <w:rFonts w:ascii="Times New Roman" w:hAnsi="Times New Roman" w:cs="Times New Roman"/>
          <w:sz w:val="28"/>
          <w:szCs w:val="28"/>
          <w:lang w:val="en-US"/>
        </w:rPr>
        <w:t xml:space="preserve"> injury t</w:t>
      </w:r>
      <w:r w:rsidR="000C5AB9" w:rsidRPr="0034627C">
        <w:rPr>
          <w:rFonts w:ascii="Times New Roman" w:hAnsi="Times New Roman" w:cs="Times New Roman"/>
          <w:sz w:val="28"/>
          <w:szCs w:val="28"/>
          <w:lang w:val="en-US"/>
        </w:rPr>
        <w:t>o</w:t>
      </w:r>
      <w:r w:rsidR="00777FB9" w:rsidRPr="0034627C">
        <w:rPr>
          <w:rFonts w:ascii="Times New Roman" w:hAnsi="Times New Roman" w:cs="Times New Roman"/>
          <w:sz w:val="28"/>
          <w:szCs w:val="28"/>
          <w:lang w:val="en-US"/>
        </w:rPr>
        <w:t xml:space="preserve"> person) because the negligent causation of pure economic loss is </w:t>
      </w:r>
      <w:r w:rsidR="000C5AB9" w:rsidRPr="0034627C">
        <w:rPr>
          <w:rFonts w:ascii="Times New Roman" w:hAnsi="Times New Roman" w:cs="Times New Roman"/>
          <w:i/>
          <w:iCs/>
          <w:sz w:val="28"/>
          <w:szCs w:val="28"/>
          <w:lang w:val="en-US"/>
        </w:rPr>
        <w:t>prima facie</w:t>
      </w:r>
      <w:r w:rsidR="00777FB9" w:rsidRPr="0034627C">
        <w:rPr>
          <w:rFonts w:ascii="Times New Roman" w:hAnsi="Times New Roman" w:cs="Times New Roman"/>
          <w:sz w:val="28"/>
          <w:szCs w:val="28"/>
          <w:lang w:val="en-US"/>
        </w:rPr>
        <w:t xml:space="preserve"> not wrongful in the </w:t>
      </w:r>
      <w:r w:rsidR="000C5AB9" w:rsidRPr="0034627C">
        <w:rPr>
          <w:rFonts w:ascii="Times New Roman" w:hAnsi="Times New Roman" w:cs="Times New Roman"/>
          <w:sz w:val="28"/>
          <w:szCs w:val="28"/>
          <w:lang w:val="en-US"/>
        </w:rPr>
        <w:t>delictual</w:t>
      </w:r>
      <w:r w:rsidR="00777FB9" w:rsidRPr="0034627C">
        <w:rPr>
          <w:rFonts w:ascii="Times New Roman" w:hAnsi="Times New Roman" w:cs="Times New Roman"/>
          <w:sz w:val="28"/>
          <w:szCs w:val="28"/>
          <w:lang w:val="en-US"/>
        </w:rPr>
        <w:t xml:space="preserve"> sense and does not give rise to liability </w:t>
      </w:r>
      <w:r w:rsidR="00847FEB" w:rsidRPr="0034627C">
        <w:rPr>
          <w:rFonts w:ascii="Times New Roman" w:hAnsi="Times New Roman" w:cs="Times New Roman"/>
          <w:sz w:val="28"/>
          <w:szCs w:val="28"/>
          <w:lang w:val="en-US"/>
        </w:rPr>
        <w:t>for</w:t>
      </w:r>
      <w:r w:rsidR="00777FB9" w:rsidRPr="0034627C">
        <w:rPr>
          <w:rFonts w:ascii="Times New Roman" w:hAnsi="Times New Roman" w:cs="Times New Roman"/>
          <w:sz w:val="28"/>
          <w:szCs w:val="28"/>
          <w:lang w:val="en-US"/>
        </w:rPr>
        <w:t xml:space="preserve"> damages</w:t>
      </w:r>
      <w:r w:rsidR="00FD3AA1" w:rsidRPr="0034627C">
        <w:rPr>
          <w:rFonts w:ascii="Times New Roman" w:hAnsi="Times New Roman" w:cs="Times New Roman"/>
          <w:sz w:val="28"/>
          <w:szCs w:val="28"/>
          <w:lang w:val="en-US"/>
        </w:rPr>
        <w:t>, that is at least not</w:t>
      </w:r>
      <w:r w:rsidR="00777FB9" w:rsidRPr="0034627C">
        <w:rPr>
          <w:rFonts w:ascii="Times New Roman" w:hAnsi="Times New Roman" w:cs="Times New Roman"/>
          <w:sz w:val="28"/>
          <w:szCs w:val="28"/>
          <w:lang w:val="en-US"/>
        </w:rPr>
        <w:t xml:space="preserve"> </w:t>
      </w:r>
      <w:r w:rsidR="00847FEB" w:rsidRPr="0034627C">
        <w:rPr>
          <w:rFonts w:ascii="Times New Roman" w:hAnsi="Times New Roman" w:cs="Times New Roman"/>
          <w:sz w:val="28"/>
          <w:szCs w:val="28"/>
          <w:lang w:val="en-US"/>
        </w:rPr>
        <w:t>unless</w:t>
      </w:r>
      <w:r w:rsidR="00777FB9" w:rsidRPr="0034627C">
        <w:rPr>
          <w:rFonts w:ascii="Times New Roman" w:hAnsi="Times New Roman" w:cs="Times New Roman"/>
          <w:sz w:val="28"/>
          <w:szCs w:val="28"/>
          <w:lang w:val="en-US"/>
        </w:rPr>
        <w:t xml:space="preserve"> policy considerations require that the plaintiff should be recompensed by the defendant for the loss suffered</w:t>
      </w:r>
      <w:r w:rsidR="000E62E7" w:rsidRPr="0034627C">
        <w:rPr>
          <w:rFonts w:ascii="Times New Roman" w:hAnsi="Times New Roman" w:cs="Times New Roman"/>
          <w:sz w:val="28"/>
          <w:szCs w:val="28"/>
          <w:lang w:val="en-US"/>
        </w:rPr>
        <w:t xml:space="preserve"> thus rendering the conduct relied upon to be wrongful in the Aquil</w:t>
      </w:r>
      <w:r w:rsidR="007D6B50" w:rsidRPr="0034627C">
        <w:rPr>
          <w:rFonts w:ascii="Times New Roman" w:hAnsi="Times New Roman" w:cs="Times New Roman"/>
          <w:sz w:val="28"/>
          <w:szCs w:val="28"/>
          <w:lang w:val="en-US"/>
        </w:rPr>
        <w:t>ian sense</w:t>
      </w:r>
      <w:r w:rsidR="00921D71" w:rsidRPr="0034627C">
        <w:rPr>
          <w:rFonts w:ascii="Times New Roman" w:hAnsi="Times New Roman" w:cs="Times New Roman"/>
          <w:sz w:val="28"/>
          <w:szCs w:val="28"/>
          <w:lang w:val="en-US"/>
        </w:rPr>
        <w:t>.</w:t>
      </w:r>
      <w:r w:rsidR="006641D6">
        <w:rPr>
          <w:rStyle w:val="FootnoteReference"/>
          <w:rFonts w:ascii="Times New Roman" w:hAnsi="Times New Roman" w:cs="Times New Roman"/>
          <w:sz w:val="28"/>
          <w:szCs w:val="28"/>
          <w:lang w:val="en-US"/>
        </w:rPr>
        <w:footnoteReference w:id="14"/>
      </w:r>
      <w:r w:rsidR="003712F4" w:rsidRPr="0034627C">
        <w:rPr>
          <w:rFonts w:ascii="Times New Roman" w:hAnsi="Times New Roman" w:cs="Times New Roman"/>
          <w:sz w:val="28"/>
          <w:szCs w:val="28"/>
          <w:lang w:val="en-US"/>
        </w:rPr>
        <w:t xml:space="preserve"> </w:t>
      </w:r>
      <w:r w:rsidR="00C63F29" w:rsidRPr="0034627C">
        <w:rPr>
          <w:rFonts w:ascii="Times New Roman" w:hAnsi="Times New Roman" w:cs="Times New Roman"/>
          <w:sz w:val="28"/>
          <w:szCs w:val="28"/>
          <w:lang w:val="en-US"/>
        </w:rPr>
        <w:t>(</w:t>
      </w:r>
      <w:r w:rsidR="004D522C" w:rsidRPr="0034627C">
        <w:rPr>
          <w:rFonts w:ascii="Times New Roman" w:hAnsi="Times New Roman" w:cs="Times New Roman"/>
          <w:sz w:val="28"/>
          <w:szCs w:val="28"/>
          <w:lang w:val="en-US"/>
        </w:rPr>
        <w:t xml:space="preserve">It is on the basis of </w:t>
      </w:r>
      <w:r w:rsidR="001C637A" w:rsidRPr="0034627C">
        <w:rPr>
          <w:rFonts w:ascii="Times New Roman" w:hAnsi="Times New Roman" w:cs="Times New Roman"/>
          <w:sz w:val="28"/>
          <w:szCs w:val="28"/>
          <w:lang w:val="en-US"/>
        </w:rPr>
        <w:t xml:space="preserve">such </w:t>
      </w:r>
      <w:r w:rsidR="004D522C" w:rsidRPr="0034627C">
        <w:rPr>
          <w:rFonts w:ascii="Times New Roman" w:hAnsi="Times New Roman" w:cs="Times New Roman"/>
          <w:sz w:val="28"/>
          <w:szCs w:val="28"/>
          <w:lang w:val="en-US"/>
        </w:rPr>
        <w:t xml:space="preserve">policy considerations </w:t>
      </w:r>
      <w:r w:rsidR="00F76F22" w:rsidRPr="0034627C">
        <w:rPr>
          <w:rFonts w:ascii="Times New Roman" w:hAnsi="Times New Roman" w:cs="Times New Roman"/>
          <w:sz w:val="28"/>
          <w:szCs w:val="28"/>
          <w:lang w:val="en-US"/>
        </w:rPr>
        <w:t xml:space="preserve">applied to </w:t>
      </w:r>
      <w:r w:rsidR="001C637A" w:rsidRPr="0034627C">
        <w:rPr>
          <w:rFonts w:ascii="Times New Roman" w:hAnsi="Times New Roman" w:cs="Times New Roman"/>
          <w:sz w:val="28"/>
          <w:szCs w:val="28"/>
          <w:lang w:val="en-US"/>
        </w:rPr>
        <w:t xml:space="preserve">the unique factual situation that pertains </w:t>
      </w:r>
      <w:r w:rsidR="0085598A" w:rsidRPr="0034627C">
        <w:rPr>
          <w:rFonts w:ascii="Times New Roman" w:hAnsi="Times New Roman" w:cs="Times New Roman"/>
          <w:sz w:val="28"/>
          <w:szCs w:val="28"/>
          <w:lang w:val="en-US"/>
        </w:rPr>
        <w:t xml:space="preserve">in this matter that the trust hopes </w:t>
      </w:r>
      <w:r w:rsidR="00C63F29" w:rsidRPr="0034627C">
        <w:rPr>
          <w:rFonts w:ascii="Times New Roman" w:hAnsi="Times New Roman" w:cs="Times New Roman"/>
          <w:sz w:val="28"/>
          <w:szCs w:val="28"/>
          <w:lang w:val="en-US"/>
        </w:rPr>
        <w:t xml:space="preserve">to </w:t>
      </w:r>
      <w:r w:rsidR="0008353A" w:rsidRPr="0034627C">
        <w:rPr>
          <w:rFonts w:ascii="Times New Roman" w:hAnsi="Times New Roman" w:cs="Times New Roman"/>
          <w:sz w:val="28"/>
          <w:szCs w:val="28"/>
          <w:lang w:val="en-US"/>
        </w:rPr>
        <w:t>recover its losses</w:t>
      </w:r>
      <w:r w:rsidR="00C63F29" w:rsidRPr="0034627C">
        <w:rPr>
          <w:rFonts w:ascii="Times New Roman" w:hAnsi="Times New Roman" w:cs="Times New Roman"/>
          <w:sz w:val="28"/>
          <w:szCs w:val="28"/>
          <w:lang w:val="en-US"/>
        </w:rPr>
        <w:t>.)</w:t>
      </w:r>
    </w:p>
    <w:p w14:paraId="7BC4EC43" w14:textId="77777777" w:rsidR="00901089" w:rsidRPr="00901089" w:rsidRDefault="00901089" w:rsidP="00901089">
      <w:pPr>
        <w:pStyle w:val="ListParagraph"/>
        <w:rPr>
          <w:rFonts w:ascii="Times New Roman" w:hAnsi="Times New Roman" w:cs="Times New Roman"/>
          <w:sz w:val="28"/>
          <w:szCs w:val="28"/>
          <w:lang w:val="en-US"/>
        </w:rPr>
      </w:pPr>
    </w:p>
    <w:p w14:paraId="246C3ED5" w14:textId="6283AFDE" w:rsidR="00901089" w:rsidRPr="0034627C" w:rsidRDefault="0034627C" w:rsidP="0034627C">
      <w:pPr>
        <w:tabs>
          <w:tab w:val="left" w:pos="709"/>
        </w:tabs>
        <w:jc w:val="both"/>
        <w:rPr>
          <w:rFonts w:ascii="Times New Roman" w:hAnsi="Times New Roman" w:cs="Times New Roman"/>
          <w:sz w:val="28"/>
          <w:szCs w:val="28"/>
          <w:lang w:val="en-US"/>
        </w:rPr>
      </w:pPr>
      <w:r w:rsidRPr="00181F11">
        <w:rPr>
          <w:rFonts w:ascii="Times New Roman" w:hAnsi="Times New Roman" w:cs="Times New Roman"/>
          <w:sz w:val="28"/>
          <w:szCs w:val="28"/>
          <w:lang w:val="en-US"/>
        </w:rPr>
        <w:t>[26]</w:t>
      </w:r>
      <w:r w:rsidRPr="00181F11">
        <w:rPr>
          <w:rFonts w:ascii="Times New Roman" w:hAnsi="Times New Roman" w:cs="Times New Roman"/>
          <w:sz w:val="28"/>
          <w:szCs w:val="28"/>
          <w:lang w:val="en-US"/>
        </w:rPr>
        <w:tab/>
      </w:r>
      <w:r w:rsidR="00E20216" w:rsidRPr="0034627C">
        <w:rPr>
          <w:rFonts w:ascii="Times New Roman" w:hAnsi="Times New Roman" w:cs="Times New Roman"/>
          <w:sz w:val="28"/>
          <w:szCs w:val="28"/>
          <w:lang w:val="en-US"/>
        </w:rPr>
        <w:t>The plaintiff must allege facts from which the wrongfulness can be inferred</w:t>
      </w:r>
      <w:r w:rsidR="00D46687" w:rsidRPr="0034627C">
        <w:rPr>
          <w:rFonts w:ascii="Times New Roman" w:hAnsi="Times New Roman" w:cs="Times New Roman"/>
          <w:sz w:val="28"/>
          <w:szCs w:val="28"/>
          <w:lang w:val="en-US"/>
        </w:rPr>
        <w:t xml:space="preserve">. </w:t>
      </w:r>
      <w:r w:rsidR="00BA3B59" w:rsidRPr="0034627C">
        <w:rPr>
          <w:rFonts w:ascii="Times New Roman" w:hAnsi="Times New Roman" w:cs="Times New Roman"/>
          <w:sz w:val="28"/>
          <w:szCs w:val="28"/>
          <w:lang w:val="en-US"/>
        </w:rPr>
        <w:t>If the element can be implied from the allegation that the defendant negligently</w:t>
      </w:r>
      <w:r w:rsidR="006D4546" w:rsidRPr="0034627C">
        <w:rPr>
          <w:rFonts w:ascii="Times New Roman" w:hAnsi="Times New Roman" w:cs="Times New Roman"/>
          <w:sz w:val="28"/>
          <w:szCs w:val="28"/>
          <w:lang w:val="en-US"/>
        </w:rPr>
        <w:t xml:space="preserve"> caused the plaintiff’s damage, it is not customary to allege separately </w:t>
      </w:r>
      <w:r w:rsidR="006C36BD" w:rsidRPr="0034627C">
        <w:rPr>
          <w:rFonts w:ascii="Times New Roman" w:hAnsi="Times New Roman" w:cs="Times New Roman"/>
          <w:sz w:val="28"/>
          <w:szCs w:val="28"/>
          <w:lang w:val="en-US"/>
        </w:rPr>
        <w:t>that the act or omission was wrongful.  This is the usual case</w:t>
      </w:r>
      <w:r w:rsidR="004B0A0C" w:rsidRPr="0034627C">
        <w:rPr>
          <w:rFonts w:ascii="Times New Roman" w:hAnsi="Times New Roman" w:cs="Times New Roman"/>
          <w:sz w:val="28"/>
          <w:szCs w:val="28"/>
          <w:lang w:val="en-US"/>
        </w:rPr>
        <w:t xml:space="preserve">, for example, where physical damage </w:t>
      </w:r>
      <w:r w:rsidR="004B0A0C" w:rsidRPr="0034627C">
        <w:rPr>
          <w:rFonts w:ascii="Times New Roman" w:hAnsi="Times New Roman" w:cs="Times New Roman"/>
          <w:sz w:val="28"/>
          <w:szCs w:val="28"/>
          <w:lang w:val="en-US"/>
        </w:rPr>
        <w:lastRenderedPageBreak/>
        <w:t>was caused.</w:t>
      </w:r>
      <w:r w:rsidR="00E20216" w:rsidRPr="0034627C">
        <w:rPr>
          <w:rFonts w:ascii="Times New Roman" w:hAnsi="Times New Roman" w:cs="Times New Roman"/>
          <w:sz w:val="28"/>
          <w:szCs w:val="28"/>
          <w:lang w:val="en-US"/>
        </w:rPr>
        <w:t xml:space="preserve"> </w:t>
      </w:r>
      <w:r w:rsidR="00ED56F7" w:rsidRPr="0034627C">
        <w:rPr>
          <w:rFonts w:ascii="Times New Roman" w:hAnsi="Times New Roman" w:cs="Times New Roman"/>
          <w:sz w:val="28"/>
          <w:szCs w:val="28"/>
          <w:lang w:val="en-US"/>
        </w:rPr>
        <w:t>If on the other hand</w:t>
      </w:r>
      <w:r w:rsidR="00E20216" w:rsidRPr="0034627C">
        <w:rPr>
          <w:rFonts w:ascii="Times New Roman" w:hAnsi="Times New Roman" w:cs="Times New Roman"/>
          <w:sz w:val="28"/>
          <w:szCs w:val="28"/>
          <w:lang w:val="en-US"/>
        </w:rPr>
        <w:t xml:space="preserve"> wrongfulness cannot naturally be inferred from the nature of the loss, which will certainly be the case where the plaintiff claims for a loss resulting from an omission or for pure economic loss (both of which apply in the present scenario), the defendant’s legal</w:t>
      </w:r>
      <w:r w:rsidR="00181F11" w:rsidRPr="0034627C">
        <w:rPr>
          <w:rFonts w:ascii="Times New Roman" w:hAnsi="Times New Roman" w:cs="Times New Roman"/>
          <w:sz w:val="28"/>
          <w:szCs w:val="28"/>
          <w:lang w:val="en-US"/>
        </w:rPr>
        <w:t xml:space="preserve"> </w:t>
      </w:r>
      <w:r w:rsidR="00E20216" w:rsidRPr="0034627C">
        <w:rPr>
          <w:rFonts w:ascii="Times New Roman" w:hAnsi="Times New Roman" w:cs="Times New Roman"/>
          <w:sz w:val="28"/>
          <w:szCs w:val="28"/>
          <w:lang w:val="en-US"/>
        </w:rPr>
        <w:t>duty towards the plaintiff must be “defined” and the “breach” alleged.</w:t>
      </w:r>
      <w:r w:rsidR="00E20216">
        <w:rPr>
          <w:rStyle w:val="FootnoteReference"/>
          <w:rFonts w:ascii="Times New Roman" w:hAnsi="Times New Roman" w:cs="Times New Roman"/>
          <w:sz w:val="28"/>
          <w:szCs w:val="28"/>
          <w:lang w:val="en-US"/>
        </w:rPr>
        <w:footnoteReference w:id="15"/>
      </w:r>
      <w:r w:rsidR="00E20216" w:rsidRPr="0034627C">
        <w:rPr>
          <w:rFonts w:ascii="Times New Roman" w:hAnsi="Times New Roman" w:cs="Times New Roman"/>
          <w:sz w:val="28"/>
          <w:szCs w:val="28"/>
          <w:lang w:val="en-US"/>
        </w:rPr>
        <w:t xml:space="preserve"> </w:t>
      </w:r>
    </w:p>
    <w:p w14:paraId="41BF85FF" w14:textId="77777777" w:rsidR="00E20216" w:rsidRPr="00E20216" w:rsidRDefault="00E20216" w:rsidP="00E20216">
      <w:pPr>
        <w:pStyle w:val="ListParagraph"/>
        <w:rPr>
          <w:rFonts w:ascii="Times New Roman" w:hAnsi="Times New Roman" w:cs="Times New Roman"/>
          <w:sz w:val="28"/>
          <w:szCs w:val="28"/>
          <w:lang w:val="en-US"/>
        </w:rPr>
      </w:pPr>
    </w:p>
    <w:p w14:paraId="2AB375EB" w14:textId="3B72007A" w:rsidR="00E20216"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[27]</w:t>
      </w:r>
      <w:r>
        <w:rPr>
          <w:rFonts w:ascii="Times New Roman" w:hAnsi="Times New Roman" w:cs="Times New Roman"/>
          <w:sz w:val="28"/>
          <w:szCs w:val="28"/>
          <w:lang w:val="en-US"/>
        </w:rPr>
        <w:tab/>
      </w:r>
      <w:r w:rsidR="00E20216" w:rsidRPr="0034627C">
        <w:rPr>
          <w:rFonts w:ascii="Times New Roman" w:hAnsi="Times New Roman" w:cs="Times New Roman"/>
          <w:sz w:val="28"/>
          <w:szCs w:val="28"/>
          <w:lang w:val="en-US"/>
        </w:rPr>
        <w:t xml:space="preserve">Wrongfulness can manifest itself in different ways, for </w:t>
      </w:r>
      <w:r w:rsidR="00AE3EED" w:rsidRPr="0034627C">
        <w:rPr>
          <w:rFonts w:ascii="Times New Roman" w:hAnsi="Times New Roman" w:cs="Times New Roman"/>
          <w:sz w:val="28"/>
          <w:szCs w:val="28"/>
          <w:lang w:val="en-US"/>
        </w:rPr>
        <w:t xml:space="preserve">example, as the breach of a common law right, particular statutory duty, or duty of care that may arise for example </w:t>
      </w:r>
      <w:r w:rsidR="003A16EE" w:rsidRPr="0034627C">
        <w:rPr>
          <w:rFonts w:ascii="Times New Roman" w:hAnsi="Times New Roman" w:cs="Times New Roman"/>
          <w:sz w:val="28"/>
          <w:szCs w:val="28"/>
          <w:lang w:val="en-US"/>
        </w:rPr>
        <w:t>fro</w:t>
      </w:r>
      <w:r w:rsidR="001D48E9" w:rsidRPr="0034627C">
        <w:rPr>
          <w:rFonts w:ascii="Times New Roman" w:hAnsi="Times New Roman" w:cs="Times New Roman"/>
          <w:sz w:val="28"/>
          <w:szCs w:val="28"/>
          <w:lang w:val="en-US"/>
        </w:rPr>
        <w:t xml:space="preserve">m the provisions of the Bill of Rights. For instance, the </w:t>
      </w:r>
      <w:r w:rsidR="00132102" w:rsidRPr="0034627C">
        <w:rPr>
          <w:rFonts w:ascii="Times New Roman" w:hAnsi="Times New Roman" w:cs="Times New Roman"/>
          <w:sz w:val="28"/>
          <w:szCs w:val="28"/>
          <w:lang w:val="en-US"/>
        </w:rPr>
        <w:t>s</w:t>
      </w:r>
      <w:r w:rsidR="001D48E9" w:rsidRPr="0034627C">
        <w:rPr>
          <w:rFonts w:ascii="Times New Roman" w:hAnsi="Times New Roman" w:cs="Times New Roman"/>
          <w:sz w:val="28"/>
          <w:szCs w:val="28"/>
          <w:lang w:val="en-US"/>
        </w:rPr>
        <w:t xml:space="preserve">tate </w:t>
      </w:r>
      <w:r w:rsidR="00916B1B" w:rsidRPr="0034627C">
        <w:rPr>
          <w:rFonts w:ascii="Times New Roman" w:hAnsi="Times New Roman" w:cs="Times New Roman"/>
          <w:sz w:val="28"/>
          <w:szCs w:val="28"/>
          <w:lang w:val="en-US"/>
        </w:rPr>
        <w:t xml:space="preserve">has a positive duty to protect </w:t>
      </w:r>
      <w:r w:rsidR="00132102" w:rsidRPr="0034627C">
        <w:rPr>
          <w:rFonts w:ascii="Times New Roman" w:hAnsi="Times New Roman" w:cs="Times New Roman"/>
          <w:sz w:val="28"/>
          <w:szCs w:val="28"/>
          <w:lang w:val="en-US"/>
        </w:rPr>
        <w:t>individuals</w:t>
      </w:r>
      <w:r w:rsidR="00916B1B" w:rsidRPr="0034627C">
        <w:rPr>
          <w:rFonts w:ascii="Times New Roman" w:hAnsi="Times New Roman" w:cs="Times New Roman"/>
          <w:sz w:val="28"/>
          <w:szCs w:val="28"/>
          <w:lang w:val="en-US"/>
        </w:rPr>
        <w:t xml:space="preserve"> from </w:t>
      </w:r>
      <w:r w:rsidR="00C01691" w:rsidRPr="0034627C">
        <w:rPr>
          <w:rFonts w:ascii="Times New Roman" w:hAnsi="Times New Roman" w:cs="Times New Roman"/>
          <w:sz w:val="28"/>
          <w:szCs w:val="28"/>
          <w:lang w:val="en-US"/>
        </w:rPr>
        <w:t>violence, and</w:t>
      </w:r>
      <w:r w:rsidR="00132102" w:rsidRPr="0034627C">
        <w:rPr>
          <w:rFonts w:ascii="Times New Roman" w:hAnsi="Times New Roman" w:cs="Times New Roman"/>
          <w:sz w:val="28"/>
          <w:szCs w:val="28"/>
          <w:lang w:val="en-US"/>
        </w:rPr>
        <w:t xml:space="preserve"> it’s failure to do so </w:t>
      </w:r>
      <w:r w:rsidR="00AE3EED" w:rsidRPr="0034627C">
        <w:rPr>
          <w:rFonts w:ascii="Times New Roman" w:hAnsi="Times New Roman" w:cs="Times New Roman"/>
          <w:sz w:val="28"/>
          <w:szCs w:val="28"/>
          <w:lang w:val="en-US"/>
        </w:rPr>
        <w:t>may give rise to liability.</w:t>
      </w:r>
      <w:r w:rsidR="00C01691">
        <w:rPr>
          <w:rStyle w:val="FootnoteReference"/>
          <w:rFonts w:ascii="Times New Roman" w:hAnsi="Times New Roman" w:cs="Times New Roman"/>
          <w:sz w:val="28"/>
          <w:szCs w:val="28"/>
          <w:lang w:val="en-US"/>
        </w:rPr>
        <w:footnoteReference w:id="16"/>
      </w:r>
      <w:r w:rsidR="00AD45AE" w:rsidRPr="0034627C">
        <w:rPr>
          <w:rFonts w:ascii="Times New Roman" w:hAnsi="Times New Roman" w:cs="Times New Roman"/>
          <w:sz w:val="28"/>
          <w:szCs w:val="28"/>
          <w:lang w:val="en-US"/>
        </w:rPr>
        <w:t xml:space="preserve"> </w:t>
      </w:r>
      <w:r w:rsidR="00AE3EED" w:rsidRPr="0034627C">
        <w:rPr>
          <w:rFonts w:ascii="Times New Roman" w:hAnsi="Times New Roman" w:cs="Times New Roman"/>
          <w:sz w:val="28"/>
          <w:szCs w:val="28"/>
          <w:lang w:val="en-US"/>
        </w:rPr>
        <w:t xml:space="preserve">The more specific the breach of a duty of care relied upon, </w:t>
      </w:r>
      <w:r w:rsidR="00EE0148" w:rsidRPr="0034627C">
        <w:rPr>
          <w:rFonts w:ascii="Times New Roman" w:hAnsi="Times New Roman" w:cs="Times New Roman"/>
          <w:sz w:val="28"/>
          <w:szCs w:val="28"/>
          <w:lang w:val="en-US"/>
        </w:rPr>
        <w:t xml:space="preserve">obviously the more information is required to be pleaded to </w:t>
      </w:r>
      <w:r w:rsidR="00710AB3" w:rsidRPr="0034627C">
        <w:rPr>
          <w:rFonts w:ascii="Times New Roman" w:hAnsi="Times New Roman" w:cs="Times New Roman"/>
          <w:sz w:val="28"/>
          <w:szCs w:val="28"/>
          <w:lang w:val="en-US"/>
        </w:rPr>
        <w:t>give a context to</w:t>
      </w:r>
      <w:r w:rsidR="00EE0148" w:rsidRPr="0034627C">
        <w:rPr>
          <w:rFonts w:ascii="Times New Roman" w:hAnsi="Times New Roman" w:cs="Times New Roman"/>
          <w:sz w:val="28"/>
          <w:szCs w:val="28"/>
          <w:lang w:val="en-US"/>
        </w:rPr>
        <w:t xml:space="preserve"> the nature </w:t>
      </w:r>
      <w:r w:rsidR="008C74CE" w:rsidRPr="0034627C">
        <w:rPr>
          <w:rFonts w:ascii="Times New Roman" w:hAnsi="Times New Roman" w:cs="Times New Roman"/>
          <w:sz w:val="28"/>
          <w:szCs w:val="28"/>
          <w:lang w:val="en-US"/>
        </w:rPr>
        <w:t>thereof</w:t>
      </w:r>
      <w:r w:rsidR="00EE0148" w:rsidRPr="0034627C">
        <w:rPr>
          <w:rFonts w:ascii="Times New Roman" w:hAnsi="Times New Roman" w:cs="Times New Roman"/>
          <w:sz w:val="28"/>
          <w:szCs w:val="28"/>
          <w:lang w:val="en-US"/>
        </w:rPr>
        <w:t xml:space="preserve"> and to provide a premise for why the court should determine </w:t>
      </w:r>
      <w:r w:rsidR="00B60DCD" w:rsidRPr="0034627C">
        <w:rPr>
          <w:rFonts w:ascii="Times New Roman" w:hAnsi="Times New Roman" w:cs="Times New Roman"/>
          <w:sz w:val="28"/>
          <w:szCs w:val="28"/>
          <w:lang w:val="en-US"/>
        </w:rPr>
        <w:t>its existence</w:t>
      </w:r>
      <w:r w:rsidR="00B27A68" w:rsidRPr="0034627C">
        <w:rPr>
          <w:rFonts w:ascii="Times New Roman" w:hAnsi="Times New Roman" w:cs="Times New Roman"/>
          <w:sz w:val="28"/>
          <w:szCs w:val="28"/>
          <w:lang w:val="en-US"/>
        </w:rPr>
        <w:t>,</w:t>
      </w:r>
      <w:r w:rsidR="00B60DCD" w:rsidRPr="0034627C">
        <w:rPr>
          <w:rFonts w:ascii="Times New Roman" w:hAnsi="Times New Roman" w:cs="Times New Roman"/>
          <w:sz w:val="28"/>
          <w:szCs w:val="28"/>
          <w:lang w:val="en-US"/>
        </w:rPr>
        <w:t xml:space="preserve"> and </w:t>
      </w:r>
      <w:r w:rsidR="00020B27" w:rsidRPr="0034627C">
        <w:rPr>
          <w:rFonts w:ascii="Times New Roman" w:hAnsi="Times New Roman" w:cs="Times New Roman"/>
          <w:sz w:val="28"/>
          <w:szCs w:val="28"/>
          <w:lang w:val="en-US"/>
        </w:rPr>
        <w:t>breach</w:t>
      </w:r>
      <w:r w:rsidR="00B27A68" w:rsidRPr="0034627C">
        <w:rPr>
          <w:rFonts w:ascii="Times New Roman" w:hAnsi="Times New Roman" w:cs="Times New Roman"/>
          <w:sz w:val="28"/>
          <w:szCs w:val="28"/>
          <w:lang w:val="en-US"/>
        </w:rPr>
        <w:t>,</w:t>
      </w:r>
      <w:r w:rsidR="00020B27" w:rsidRPr="0034627C">
        <w:rPr>
          <w:rFonts w:ascii="Times New Roman" w:hAnsi="Times New Roman" w:cs="Times New Roman"/>
          <w:sz w:val="28"/>
          <w:szCs w:val="28"/>
          <w:lang w:val="en-US"/>
        </w:rPr>
        <w:t xml:space="preserve"> </w:t>
      </w:r>
      <w:r w:rsidR="00C01691" w:rsidRPr="0034627C">
        <w:rPr>
          <w:rFonts w:ascii="Times New Roman" w:hAnsi="Times New Roman" w:cs="Times New Roman"/>
          <w:sz w:val="28"/>
          <w:szCs w:val="28"/>
          <w:lang w:val="en-US"/>
        </w:rPr>
        <w:t xml:space="preserve">compensable </w:t>
      </w:r>
      <w:r w:rsidR="00EE0148" w:rsidRPr="0034627C">
        <w:rPr>
          <w:rFonts w:ascii="Times New Roman" w:hAnsi="Times New Roman" w:cs="Times New Roman"/>
          <w:sz w:val="28"/>
          <w:szCs w:val="28"/>
          <w:lang w:val="en-US"/>
        </w:rPr>
        <w:t>by way of a claim in delict.</w:t>
      </w:r>
    </w:p>
    <w:p w14:paraId="67B34872" w14:textId="77777777" w:rsidR="00901089" w:rsidRPr="00901089" w:rsidRDefault="00901089" w:rsidP="00901089">
      <w:pPr>
        <w:pStyle w:val="ListParagraph"/>
        <w:rPr>
          <w:rFonts w:ascii="Times New Roman" w:hAnsi="Times New Roman" w:cs="Times New Roman"/>
          <w:i/>
          <w:iCs/>
          <w:sz w:val="28"/>
          <w:szCs w:val="28"/>
          <w:lang w:val="en-US"/>
        </w:rPr>
      </w:pPr>
    </w:p>
    <w:p w14:paraId="580C63BC" w14:textId="3867D6A2" w:rsidR="00A91DDB" w:rsidRPr="0034627C" w:rsidRDefault="0034627C" w:rsidP="0034627C">
      <w:pPr>
        <w:tabs>
          <w:tab w:val="left" w:pos="709"/>
        </w:tabs>
        <w:jc w:val="both"/>
        <w:rPr>
          <w:rFonts w:ascii="Times New Roman" w:hAnsi="Times New Roman" w:cs="Times New Roman"/>
          <w:sz w:val="28"/>
          <w:szCs w:val="28"/>
          <w:lang w:val="en-US"/>
        </w:rPr>
      </w:pPr>
      <w:r w:rsidRPr="00901089">
        <w:rPr>
          <w:rFonts w:ascii="Times New Roman" w:hAnsi="Times New Roman" w:cs="Times New Roman"/>
          <w:sz w:val="28"/>
          <w:szCs w:val="28"/>
          <w:lang w:val="en-US"/>
        </w:rPr>
        <w:t>[28]</w:t>
      </w:r>
      <w:r w:rsidRPr="00901089">
        <w:rPr>
          <w:rFonts w:ascii="Times New Roman" w:hAnsi="Times New Roman" w:cs="Times New Roman"/>
          <w:sz w:val="28"/>
          <w:szCs w:val="28"/>
          <w:lang w:val="en-US"/>
        </w:rPr>
        <w:tab/>
      </w:r>
      <w:r w:rsidR="00181F11" w:rsidRPr="0034627C">
        <w:rPr>
          <w:rFonts w:ascii="Times New Roman" w:hAnsi="Times New Roman" w:cs="Times New Roman"/>
          <w:sz w:val="28"/>
          <w:szCs w:val="28"/>
          <w:lang w:val="en-US"/>
        </w:rPr>
        <w:t>In restating the common law test for determining whether particular conduct is wrongful, p</w:t>
      </w:r>
      <w:r w:rsidR="0027316E" w:rsidRPr="0034627C">
        <w:rPr>
          <w:rFonts w:ascii="Times New Roman" w:hAnsi="Times New Roman" w:cs="Times New Roman"/>
          <w:sz w:val="28"/>
          <w:szCs w:val="28"/>
          <w:lang w:val="en-US"/>
        </w:rPr>
        <w:t>olicy considerations must dictate</w:t>
      </w:r>
      <w:r w:rsidR="00F8236D" w:rsidRPr="0034627C">
        <w:rPr>
          <w:rFonts w:ascii="Times New Roman" w:hAnsi="Times New Roman" w:cs="Times New Roman"/>
          <w:sz w:val="28"/>
          <w:szCs w:val="28"/>
          <w:lang w:val="en-US"/>
        </w:rPr>
        <w:t xml:space="preserve"> that the plaintiff should be entitled to be recompensed by the defend</w:t>
      </w:r>
      <w:r w:rsidR="00341022" w:rsidRPr="0034627C">
        <w:rPr>
          <w:rFonts w:ascii="Times New Roman" w:hAnsi="Times New Roman" w:cs="Times New Roman"/>
          <w:sz w:val="28"/>
          <w:szCs w:val="28"/>
          <w:lang w:val="en-US"/>
        </w:rPr>
        <w:t>ant for the loss suffered.</w:t>
      </w:r>
      <w:r w:rsidR="00341022" w:rsidRPr="00901089">
        <w:rPr>
          <w:rStyle w:val="FootnoteReference"/>
          <w:rFonts w:ascii="Times New Roman" w:hAnsi="Times New Roman" w:cs="Times New Roman"/>
          <w:sz w:val="28"/>
          <w:szCs w:val="28"/>
          <w:lang w:val="en-US"/>
        </w:rPr>
        <w:footnoteReference w:id="17"/>
      </w:r>
      <w:r w:rsidR="00A71A61" w:rsidRPr="0034627C">
        <w:rPr>
          <w:rFonts w:ascii="Times New Roman" w:hAnsi="Times New Roman" w:cs="Times New Roman"/>
          <w:sz w:val="28"/>
          <w:szCs w:val="28"/>
          <w:lang w:val="en-US"/>
        </w:rPr>
        <w:t xml:space="preserve"> </w:t>
      </w:r>
      <w:r w:rsidR="00854D0A" w:rsidRPr="0034627C">
        <w:rPr>
          <w:rFonts w:ascii="Times New Roman" w:hAnsi="Times New Roman" w:cs="Times New Roman"/>
          <w:i/>
          <w:iCs/>
          <w:sz w:val="28"/>
          <w:szCs w:val="28"/>
          <w:lang w:val="en-US"/>
        </w:rPr>
        <w:t xml:space="preserve"> </w:t>
      </w:r>
      <w:r w:rsidR="00A71A61" w:rsidRPr="0034627C">
        <w:rPr>
          <w:rFonts w:ascii="Times New Roman" w:hAnsi="Times New Roman" w:cs="Times New Roman"/>
          <w:sz w:val="28"/>
          <w:szCs w:val="28"/>
          <w:lang w:val="en-US"/>
        </w:rPr>
        <w:t>In</w:t>
      </w:r>
      <w:bookmarkStart w:id="1" w:name="_Hlk144711596"/>
      <w:r w:rsidR="00B27A68" w:rsidRPr="0034627C">
        <w:rPr>
          <w:rFonts w:ascii="Times New Roman" w:hAnsi="Times New Roman" w:cs="Times New Roman"/>
          <w:sz w:val="28"/>
          <w:szCs w:val="28"/>
          <w:lang w:val="en-US"/>
        </w:rPr>
        <w:t xml:space="preserve"> </w:t>
      </w:r>
      <w:r w:rsidR="00901089" w:rsidRPr="0034627C">
        <w:rPr>
          <w:rFonts w:ascii="Times New Roman" w:hAnsi="Times New Roman" w:cs="Times New Roman"/>
          <w:i/>
          <w:iCs/>
          <w:sz w:val="28"/>
          <w:szCs w:val="28"/>
          <w:lang w:val="en-US"/>
        </w:rPr>
        <w:t>Telematrix (Pty) Ltd T/A Matrix Vehicle Tracking v Advertising Standards Authority SA</w:t>
      </w:r>
      <w:bookmarkEnd w:id="1"/>
      <w:r w:rsidR="00B27A68" w:rsidRPr="0034627C">
        <w:rPr>
          <w:rFonts w:ascii="Times New Roman" w:hAnsi="Times New Roman" w:cs="Times New Roman"/>
          <w:i/>
          <w:iCs/>
          <w:sz w:val="28"/>
          <w:szCs w:val="28"/>
          <w:lang w:val="en-US"/>
        </w:rPr>
        <w:t xml:space="preserve">, </w:t>
      </w:r>
      <w:r w:rsidR="00B27A68" w:rsidRPr="0034627C">
        <w:rPr>
          <w:rFonts w:ascii="Times New Roman" w:hAnsi="Times New Roman" w:cs="Times New Roman"/>
          <w:sz w:val="28"/>
          <w:szCs w:val="28"/>
          <w:lang w:val="en-US"/>
        </w:rPr>
        <w:t xml:space="preserve">the court held in this </w:t>
      </w:r>
      <w:r w:rsidR="00A11B2D" w:rsidRPr="0034627C">
        <w:rPr>
          <w:rFonts w:ascii="Times New Roman" w:hAnsi="Times New Roman" w:cs="Times New Roman"/>
          <w:sz w:val="28"/>
          <w:szCs w:val="28"/>
          <w:lang w:val="en-US"/>
        </w:rPr>
        <w:t>respect</w:t>
      </w:r>
      <w:r w:rsidR="00B27A68" w:rsidRPr="0034627C">
        <w:rPr>
          <w:rFonts w:ascii="Times New Roman" w:hAnsi="Times New Roman" w:cs="Times New Roman"/>
          <w:sz w:val="28"/>
          <w:szCs w:val="28"/>
          <w:lang w:val="en-US"/>
        </w:rPr>
        <w:t xml:space="preserve"> that</w:t>
      </w:r>
      <w:r w:rsidR="00A71A61" w:rsidRPr="0034627C">
        <w:rPr>
          <w:rFonts w:ascii="Times New Roman" w:hAnsi="Times New Roman" w:cs="Times New Roman"/>
          <w:sz w:val="28"/>
          <w:szCs w:val="28"/>
          <w:lang w:val="en-US"/>
        </w:rPr>
        <w:t>:</w:t>
      </w:r>
      <w:r w:rsidR="005455E8">
        <w:rPr>
          <w:rStyle w:val="FootnoteReference"/>
          <w:rFonts w:ascii="Times New Roman" w:hAnsi="Times New Roman" w:cs="Times New Roman"/>
          <w:sz w:val="28"/>
          <w:szCs w:val="28"/>
          <w:lang w:val="en-US"/>
        </w:rPr>
        <w:footnoteReference w:id="18"/>
      </w:r>
    </w:p>
    <w:p w14:paraId="60E6C5F5" w14:textId="0AE1EC8F" w:rsidR="001F536C" w:rsidRPr="001F536C" w:rsidRDefault="001F536C" w:rsidP="001F536C">
      <w:pPr>
        <w:pStyle w:val="normaltext"/>
        <w:shd w:val="clear" w:color="auto" w:fill="FFFFFF"/>
        <w:spacing w:before="180" w:beforeAutospacing="0" w:after="0" w:afterAutospacing="0"/>
        <w:ind w:left="720"/>
        <w:jc w:val="both"/>
        <w:rPr>
          <w:color w:val="000000"/>
          <w:sz w:val="28"/>
          <w:szCs w:val="28"/>
        </w:rPr>
      </w:pPr>
      <w:r w:rsidRPr="00AC6BD0">
        <w:rPr>
          <w:color w:val="000000"/>
        </w:rPr>
        <w:t>“…conduct is wrongful if public policy considerations demand that in the circumstances the plaintiff has to be compensated for the loss caused by the negligent act or omission of the defendant.</w:t>
      </w:r>
      <w:r w:rsidRPr="001F536C">
        <w:rPr>
          <w:rStyle w:val="FootnoteReference"/>
          <w:color w:val="000000"/>
          <w:sz w:val="28"/>
          <w:szCs w:val="28"/>
        </w:rPr>
        <w:footnoteReference w:id="19"/>
      </w:r>
      <w:r w:rsidRPr="001F536C">
        <w:rPr>
          <w:color w:val="000000"/>
          <w:sz w:val="28"/>
          <w:szCs w:val="28"/>
        </w:rPr>
        <w:t xml:space="preserve"> </w:t>
      </w:r>
      <w:r w:rsidRPr="00AC6BD0">
        <w:rPr>
          <w:color w:val="000000"/>
        </w:rPr>
        <w:t xml:space="preserve">It is then that it can be said that the legal convictions of society regard the </w:t>
      </w:r>
      <w:r w:rsidRPr="00AC6BD0">
        <w:rPr>
          <w:color w:val="000000"/>
        </w:rPr>
        <w:lastRenderedPageBreak/>
        <w:t>conduct as wrongful,</w:t>
      </w:r>
      <w:r w:rsidRPr="00B27A68">
        <w:rPr>
          <w:rStyle w:val="FootnoteReference"/>
          <w:sz w:val="28"/>
          <w:szCs w:val="28"/>
        </w:rPr>
        <w:footnoteReference w:id="20"/>
      </w:r>
      <w:r w:rsidR="007744CC">
        <w:rPr>
          <w:color w:val="000000"/>
        </w:rPr>
        <w:t xml:space="preserve"> </w:t>
      </w:r>
      <w:r w:rsidRPr="00AC6BD0">
        <w:rPr>
          <w:color w:val="000000"/>
        </w:rPr>
        <w:t xml:space="preserve">something akin to and perhaps derived from the modern Dutch test </w:t>
      </w:r>
      <w:r w:rsidRPr="00901089">
        <w:rPr>
          <w:i/>
          <w:iCs/>
          <w:color w:val="000000"/>
        </w:rPr>
        <w:t>"in strijd . . . met hetgeen volgens ongeschreven recht in het maatschappelijk verkeer betaamt"</w:t>
      </w:r>
      <w:r w:rsidRPr="00AC6BD0">
        <w:rPr>
          <w:color w:val="000000"/>
        </w:rPr>
        <w:t xml:space="preserve"> (contrary to what is acceptable in social relations according to unwritten law).”</w:t>
      </w:r>
      <w:r w:rsidRPr="001F536C">
        <w:rPr>
          <w:rStyle w:val="FootnoteReference"/>
          <w:color w:val="000000"/>
          <w:sz w:val="28"/>
          <w:szCs w:val="28"/>
        </w:rPr>
        <w:footnoteReference w:id="21"/>
      </w:r>
    </w:p>
    <w:p w14:paraId="6D51CDF8" w14:textId="77777777" w:rsidR="00472053" w:rsidRPr="008D45CC" w:rsidRDefault="00472053" w:rsidP="008D45CC">
      <w:pPr>
        <w:rPr>
          <w:rFonts w:ascii="Times New Roman" w:hAnsi="Times New Roman" w:cs="Times New Roman"/>
          <w:sz w:val="28"/>
          <w:szCs w:val="28"/>
          <w:lang w:val="en-US"/>
        </w:rPr>
      </w:pPr>
    </w:p>
    <w:p w14:paraId="7934E000" w14:textId="48CC6A0E" w:rsidR="00280E00" w:rsidRPr="0034627C" w:rsidRDefault="0034627C" w:rsidP="0034627C">
      <w:pPr>
        <w:tabs>
          <w:tab w:val="left" w:pos="709"/>
        </w:tabs>
        <w:jc w:val="both"/>
        <w:rPr>
          <w:rFonts w:ascii="Times New Roman" w:eastAsia="Times New Roman" w:hAnsi="Times New Roman" w:cs="Times New Roman"/>
          <w:color w:val="000000"/>
          <w:sz w:val="28"/>
          <w:szCs w:val="28"/>
          <w:lang w:eastAsia="en-ZA"/>
        </w:rPr>
      </w:pPr>
      <w:r>
        <w:rPr>
          <w:rFonts w:ascii="Times New Roman" w:eastAsia="Times New Roman" w:hAnsi="Times New Roman" w:cs="Times New Roman"/>
          <w:color w:val="000000"/>
          <w:sz w:val="28"/>
          <w:szCs w:val="28"/>
          <w:lang w:eastAsia="en-ZA"/>
        </w:rPr>
        <w:t>[29]</w:t>
      </w:r>
      <w:r>
        <w:rPr>
          <w:rFonts w:ascii="Times New Roman" w:eastAsia="Times New Roman" w:hAnsi="Times New Roman" w:cs="Times New Roman"/>
          <w:color w:val="000000"/>
          <w:sz w:val="28"/>
          <w:szCs w:val="28"/>
          <w:lang w:eastAsia="en-ZA"/>
        </w:rPr>
        <w:tab/>
      </w:r>
      <w:r w:rsidR="00D843A8" w:rsidRPr="0034627C">
        <w:rPr>
          <w:rFonts w:ascii="Times New Roman" w:hAnsi="Times New Roman" w:cs="Times New Roman"/>
          <w:sz w:val="28"/>
          <w:szCs w:val="28"/>
          <w:lang w:val="en-US"/>
        </w:rPr>
        <w:t xml:space="preserve">In </w:t>
      </w:r>
      <w:r w:rsidR="00D843A8" w:rsidRPr="0034627C">
        <w:rPr>
          <w:rFonts w:ascii="Times New Roman" w:hAnsi="Times New Roman" w:cs="Times New Roman"/>
          <w:i/>
          <w:iCs/>
          <w:sz w:val="28"/>
          <w:szCs w:val="28"/>
          <w:lang w:val="en-US"/>
        </w:rPr>
        <w:t>Knop</w:t>
      </w:r>
      <w:r w:rsidR="008F19D4" w:rsidRPr="0034627C">
        <w:rPr>
          <w:rFonts w:ascii="Times New Roman" w:hAnsi="Times New Roman" w:cs="Times New Roman"/>
          <w:i/>
          <w:iCs/>
          <w:sz w:val="28"/>
          <w:szCs w:val="28"/>
          <w:lang w:val="en-US"/>
        </w:rPr>
        <w:t xml:space="preserve"> v Johannesburg City Council</w:t>
      </w:r>
      <w:r w:rsidR="008F19D4" w:rsidRPr="0034627C">
        <w:rPr>
          <w:rFonts w:ascii="Times New Roman" w:hAnsi="Times New Roman" w:cs="Times New Roman"/>
          <w:sz w:val="28"/>
          <w:szCs w:val="28"/>
          <w:lang w:val="en-US"/>
        </w:rPr>
        <w:t>,</w:t>
      </w:r>
      <w:r w:rsidR="008F19D4">
        <w:rPr>
          <w:rStyle w:val="FootnoteReference"/>
          <w:rFonts w:ascii="Times New Roman" w:hAnsi="Times New Roman" w:cs="Times New Roman"/>
          <w:sz w:val="28"/>
          <w:szCs w:val="28"/>
          <w:lang w:val="en-US"/>
        </w:rPr>
        <w:footnoteReference w:id="22"/>
      </w:r>
      <w:r w:rsidR="008F19D4" w:rsidRPr="0034627C">
        <w:rPr>
          <w:rFonts w:ascii="Times New Roman" w:hAnsi="Times New Roman" w:cs="Times New Roman"/>
          <w:sz w:val="28"/>
          <w:szCs w:val="28"/>
          <w:lang w:val="en-US"/>
        </w:rPr>
        <w:t xml:space="preserve"> an appeal </w:t>
      </w:r>
      <w:r w:rsidR="00464D00" w:rsidRPr="0034627C">
        <w:rPr>
          <w:rFonts w:ascii="Times New Roman" w:eastAsia="Times New Roman" w:hAnsi="Times New Roman" w:cs="Times New Roman"/>
          <w:color w:val="000000"/>
          <w:sz w:val="28"/>
          <w:szCs w:val="28"/>
          <w:lang w:eastAsia="en-ZA"/>
        </w:rPr>
        <w:t>against a judgment upholding an exception by the respondent to the particulars of claim of the appellant in an action for damages brought by the latter, the basis of who</w:t>
      </w:r>
      <w:r w:rsidR="00F76F22" w:rsidRPr="0034627C">
        <w:rPr>
          <w:rFonts w:ascii="Times New Roman" w:eastAsia="Times New Roman" w:hAnsi="Times New Roman" w:cs="Times New Roman"/>
          <w:color w:val="000000"/>
          <w:sz w:val="28"/>
          <w:szCs w:val="28"/>
          <w:lang w:eastAsia="en-ZA"/>
        </w:rPr>
        <w:t>’s</w:t>
      </w:r>
      <w:r w:rsidR="00464D00" w:rsidRPr="0034627C">
        <w:rPr>
          <w:rFonts w:ascii="Times New Roman" w:eastAsia="Times New Roman" w:hAnsi="Times New Roman" w:cs="Times New Roman"/>
          <w:color w:val="000000"/>
          <w:sz w:val="28"/>
          <w:szCs w:val="28"/>
          <w:lang w:eastAsia="en-ZA"/>
        </w:rPr>
        <w:t xml:space="preserve"> claim was to be found in allegations that th</w:t>
      </w:r>
      <w:r w:rsidR="00F74982" w:rsidRPr="0034627C">
        <w:rPr>
          <w:rFonts w:ascii="Times New Roman" w:eastAsia="Times New Roman" w:hAnsi="Times New Roman" w:cs="Times New Roman"/>
          <w:color w:val="000000"/>
          <w:sz w:val="28"/>
          <w:szCs w:val="28"/>
          <w:lang w:eastAsia="en-ZA"/>
        </w:rPr>
        <w:t>at</w:t>
      </w:r>
      <w:r w:rsidR="00464D00" w:rsidRPr="0034627C">
        <w:rPr>
          <w:rFonts w:ascii="Times New Roman" w:eastAsia="Times New Roman" w:hAnsi="Times New Roman" w:cs="Times New Roman"/>
          <w:color w:val="000000"/>
          <w:sz w:val="28"/>
          <w:szCs w:val="28"/>
          <w:lang w:eastAsia="en-ZA"/>
        </w:rPr>
        <w:t xml:space="preserve"> municipality’s officials owed certain duties to him in connection with the exercise of their statutory powers in the course of a wrongful approval as it were of an application for subdivision under the Johannesburg Town Planning Scheme and that the</w:t>
      </w:r>
      <w:r w:rsidR="00A11B2D" w:rsidRPr="0034627C">
        <w:rPr>
          <w:rFonts w:ascii="Times New Roman" w:eastAsia="Times New Roman" w:hAnsi="Times New Roman" w:cs="Times New Roman"/>
          <w:color w:val="000000"/>
          <w:sz w:val="28"/>
          <w:szCs w:val="28"/>
          <w:lang w:eastAsia="en-ZA"/>
        </w:rPr>
        <w:t xml:space="preserve"> municipality </w:t>
      </w:r>
      <w:r w:rsidR="00464D00" w:rsidRPr="0034627C">
        <w:rPr>
          <w:rFonts w:ascii="Times New Roman" w:eastAsia="Times New Roman" w:hAnsi="Times New Roman" w:cs="Times New Roman"/>
          <w:color w:val="000000"/>
          <w:sz w:val="28"/>
          <w:szCs w:val="28"/>
          <w:lang w:eastAsia="en-ZA"/>
        </w:rPr>
        <w:t xml:space="preserve"> negligently failed to comply with such duties in certain respects,</w:t>
      </w:r>
      <w:r w:rsidR="00280E00">
        <w:rPr>
          <w:rStyle w:val="FootnoteReference"/>
          <w:rFonts w:ascii="Times New Roman" w:eastAsia="Times New Roman" w:hAnsi="Times New Roman" w:cs="Times New Roman"/>
          <w:color w:val="000000"/>
          <w:sz w:val="28"/>
          <w:szCs w:val="28"/>
          <w:lang w:eastAsia="en-ZA"/>
        </w:rPr>
        <w:footnoteReference w:id="23"/>
      </w:r>
      <w:r w:rsidR="00464D00" w:rsidRPr="0034627C">
        <w:rPr>
          <w:rFonts w:ascii="Times New Roman" w:eastAsia="Times New Roman" w:hAnsi="Times New Roman" w:cs="Times New Roman"/>
          <w:color w:val="000000"/>
          <w:sz w:val="28"/>
          <w:szCs w:val="28"/>
          <w:lang w:eastAsia="en-ZA"/>
        </w:rPr>
        <w:t xml:space="preserve"> the court referred to this as a “legal duty”.</w:t>
      </w:r>
      <w:r w:rsidR="00280E00" w:rsidRPr="0034627C">
        <w:rPr>
          <w:rFonts w:ascii="Times New Roman" w:eastAsia="Times New Roman" w:hAnsi="Times New Roman" w:cs="Times New Roman"/>
          <w:color w:val="000000"/>
          <w:sz w:val="28"/>
          <w:szCs w:val="28"/>
          <w:lang w:eastAsia="en-ZA"/>
        </w:rPr>
        <w:t xml:space="preserve"> It noted as follows in this respect:</w:t>
      </w:r>
    </w:p>
    <w:p w14:paraId="2F418D31" w14:textId="07CA97E8" w:rsidR="00280E00" w:rsidRPr="004C7E90" w:rsidRDefault="00280E00" w:rsidP="007744CC">
      <w:pPr>
        <w:shd w:val="clear" w:color="auto" w:fill="FFFFFF"/>
        <w:spacing w:before="180" w:line="240" w:lineRule="auto"/>
        <w:ind w:left="720"/>
        <w:jc w:val="both"/>
        <w:rPr>
          <w:rFonts w:ascii="Times New Roman" w:eastAsia="Times New Roman" w:hAnsi="Times New Roman" w:cs="Times New Roman"/>
          <w:color w:val="000000"/>
          <w:sz w:val="24"/>
          <w:szCs w:val="24"/>
          <w:lang w:eastAsia="en-ZA"/>
        </w:rPr>
      </w:pPr>
      <w:r w:rsidRPr="004C7E90">
        <w:rPr>
          <w:rFonts w:ascii="Times New Roman" w:eastAsia="Times New Roman" w:hAnsi="Times New Roman" w:cs="Times New Roman"/>
          <w:color w:val="000000"/>
          <w:sz w:val="24"/>
          <w:szCs w:val="24"/>
          <w:lang w:eastAsia="en-ZA"/>
        </w:rPr>
        <w:t>“In the phraseology of our law the “policy-based or notional duty of care” is more appropriately expressed as a “legal duty”, in consonance with the requirement of wrongfulness as an element of delictual liability and the underlying concept of legal reprehensibility in respect of the causing of pure economic loss. As is evident from the passage quoted from </w:t>
      </w:r>
      <w:r w:rsidRPr="004C7E90">
        <w:rPr>
          <w:rFonts w:ascii="Times New Roman" w:eastAsia="Times New Roman" w:hAnsi="Times New Roman" w:cs="Times New Roman"/>
          <w:i/>
          <w:iCs/>
          <w:color w:val="000000"/>
          <w:sz w:val="24"/>
          <w:szCs w:val="24"/>
          <w:lang w:eastAsia="en-ZA"/>
        </w:rPr>
        <w:t>Millner</w:t>
      </w:r>
      <w:r w:rsidRPr="004C7E90">
        <w:rPr>
          <w:rFonts w:ascii="Times New Roman" w:eastAsia="Times New Roman" w:hAnsi="Times New Roman" w:cs="Times New Roman"/>
          <w:color w:val="000000"/>
          <w:sz w:val="24"/>
          <w:szCs w:val="24"/>
          <w:lang w:eastAsia="en-ZA"/>
        </w:rPr>
        <w:t>, and from the clear distinction in our law between fault and unlawfulness referred to by CORBETT CJ in the </w:t>
      </w:r>
      <w:r w:rsidRPr="004C7E90">
        <w:rPr>
          <w:rFonts w:ascii="Times New Roman" w:eastAsia="Times New Roman" w:hAnsi="Times New Roman" w:cs="Times New Roman"/>
          <w:i/>
          <w:iCs/>
          <w:color w:val="000000"/>
          <w:sz w:val="24"/>
          <w:szCs w:val="24"/>
          <w:lang w:eastAsia="en-ZA"/>
        </w:rPr>
        <w:t>Simon’s Town Municipality </w:t>
      </w:r>
      <w:r w:rsidRPr="004C7E90">
        <w:rPr>
          <w:rFonts w:ascii="Times New Roman" w:eastAsia="Times New Roman" w:hAnsi="Times New Roman" w:cs="Times New Roman"/>
          <w:color w:val="000000"/>
          <w:sz w:val="24"/>
          <w:szCs w:val="24"/>
          <w:lang w:eastAsia="en-ZA"/>
        </w:rPr>
        <w:t>case </w:t>
      </w:r>
      <w:r w:rsidRPr="004C7E90">
        <w:rPr>
          <w:rFonts w:ascii="Times New Roman" w:eastAsia="Times New Roman" w:hAnsi="Times New Roman" w:cs="Times New Roman"/>
          <w:i/>
          <w:iCs/>
          <w:color w:val="000000"/>
          <w:sz w:val="24"/>
          <w:szCs w:val="24"/>
          <w:lang w:eastAsia="en-ZA"/>
        </w:rPr>
        <w:t>supra </w:t>
      </w:r>
      <w:r w:rsidRPr="004C7E90">
        <w:rPr>
          <w:rFonts w:ascii="Times New Roman" w:eastAsia="Times New Roman" w:hAnsi="Times New Roman" w:cs="Times New Roman"/>
          <w:color w:val="000000"/>
          <w:sz w:val="24"/>
          <w:szCs w:val="24"/>
          <w:lang w:eastAsia="en-ZA"/>
        </w:rPr>
        <w:t xml:space="preserve">at 196F, the enquiry into the existence of a legal duty is discrete from the enquiry into negligence. </w:t>
      </w:r>
      <w:bookmarkStart w:id="3" w:name="_Hlk144957542"/>
      <w:r w:rsidRPr="004C7E90">
        <w:rPr>
          <w:rFonts w:ascii="Times New Roman" w:eastAsia="Times New Roman" w:hAnsi="Times New Roman" w:cs="Times New Roman"/>
          <w:color w:val="000000"/>
          <w:sz w:val="24"/>
          <w:szCs w:val="24"/>
          <w:lang w:eastAsia="en-ZA"/>
        </w:rPr>
        <w:t xml:space="preserve">Nor can the mere allegation in the particulars of claim that </w:t>
      </w:r>
      <w:r w:rsidRPr="005464E7">
        <w:rPr>
          <w:rFonts w:ascii="Times New Roman" w:eastAsia="Times New Roman" w:hAnsi="Times New Roman" w:cs="Times New Roman"/>
          <w:color w:val="000000"/>
          <w:sz w:val="24"/>
          <w:szCs w:val="24"/>
          <w:lang w:eastAsia="en-ZA"/>
        </w:rPr>
        <w:t>the</w:t>
      </w:r>
      <w:r w:rsidR="00F76F22">
        <w:rPr>
          <w:rFonts w:ascii="Times New Roman" w:eastAsia="Times New Roman" w:hAnsi="Times New Roman" w:cs="Times New Roman"/>
          <w:color w:val="000000"/>
          <w:sz w:val="24"/>
          <w:szCs w:val="24"/>
          <w:lang w:eastAsia="en-ZA"/>
        </w:rPr>
        <w:t xml:space="preserve"> Council w</w:t>
      </w:r>
      <w:r w:rsidRPr="004C7E90">
        <w:rPr>
          <w:rFonts w:ascii="Times New Roman" w:eastAsia="Times New Roman" w:hAnsi="Times New Roman" w:cs="Times New Roman"/>
          <w:color w:val="000000"/>
          <w:sz w:val="24"/>
          <w:szCs w:val="24"/>
          <w:lang w:eastAsia="en-ZA"/>
        </w:rPr>
        <w:t xml:space="preserve">as under a duty to take steps to prevent loss being caused to the plaintiff carry the day for him. The existence of the legal duty to prevent loss is a conclusion of law depending on a consideration of all the circumstances of the case. </w:t>
      </w:r>
      <w:bookmarkEnd w:id="3"/>
      <w:r w:rsidRPr="004C7E90">
        <w:rPr>
          <w:rFonts w:ascii="Times New Roman" w:eastAsia="Times New Roman" w:hAnsi="Times New Roman" w:cs="Times New Roman"/>
          <w:color w:val="000000"/>
          <w:sz w:val="24"/>
          <w:szCs w:val="24"/>
          <w:lang w:eastAsia="en-ZA"/>
        </w:rPr>
        <w:t>The general nature of the enquiry is stated in the well-known passage in Fleming, </w:t>
      </w:r>
      <w:r w:rsidRPr="004C7E90">
        <w:rPr>
          <w:rFonts w:ascii="Times New Roman" w:eastAsia="Times New Roman" w:hAnsi="Times New Roman" w:cs="Times New Roman"/>
          <w:i/>
          <w:iCs/>
          <w:color w:val="000000"/>
          <w:sz w:val="24"/>
          <w:szCs w:val="24"/>
          <w:lang w:eastAsia="en-ZA"/>
        </w:rPr>
        <w:t>The Law of Torts </w:t>
      </w:r>
      <w:r w:rsidRPr="004C7E90">
        <w:rPr>
          <w:rFonts w:ascii="Times New Roman" w:eastAsia="Times New Roman" w:hAnsi="Times New Roman" w:cs="Times New Roman"/>
          <w:color w:val="000000"/>
          <w:sz w:val="24"/>
          <w:szCs w:val="24"/>
          <w:lang w:eastAsia="en-ZA"/>
        </w:rPr>
        <w:t>(4th edition), quoted in the </w:t>
      </w:r>
      <w:r w:rsidRPr="004C7E90">
        <w:rPr>
          <w:rFonts w:ascii="Times New Roman" w:eastAsia="Times New Roman" w:hAnsi="Times New Roman" w:cs="Times New Roman"/>
          <w:i/>
          <w:iCs/>
          <w:color w:val="000000"/>
          <w:sz w:val="24"/>
          <w:szCs w:val="24"/>
          <w:lang w:eastAsia="en-ZA"/>
        </w:rPr>
        <w:t>Administrateur, Natal </w:t>
      </w:r>
      <w:r w:rsidRPr="004C7E90">
        <w:rPr>
          <w:rFonts w:ascii="Times New Roman" w:eastAsia="Times New Roman" w:hAnsi="Times New Roman" w:cs="Times New Roman"/>
          <w:color w:val="000000"/>
          <w:sz w:val="24"/>
          <w:szCs w:val="24"/>
          <w:lang w:eastAsia="en-ZA"/>
        </w:rPr>
        <w:t>case </w:t>
      </w:r>
      <w:r w:rsidRPr="004C7E90">
        <w:rPr>
          <w:rFonts w:ascii="Times New Roman" w:eastAsia="Times New Roman" w:hAnsi="Times New Roman" w:cs="Times New Roman"/>
          <w:i/>
          <w:iCs/>
          <w:color w:val="000000"/>
          <w:sz w:val="24"/>
          <w:szCs w:val="24"/>
          <w:lang w:eastAsia="en-ZA"/>
        </w:rPr>
        <w:t>supra </w:t>
      </w:r>
      <w:r w:rsidRPr="004C7E90">
        <w:rPr>
          <w:rFonts w:ascii="Times New Roman" w:eastAsia="Times New Roman" w:hAnsi="Times New Roman" w:cs="Times New Roman"/>
          <w:color w:val="000000"/>
          <w:sz w:val="24"/>
          <w:szCs w:val="24"/>
          <w:lang w:eastAsia="en-ZA"/>
        </w:rPr>
        <w:t>at 833 </w:t>
      </w:r>
      <w:r w:rsidRPr="004C7E90">
        <w:rPr>
          <w:rFonts w:ascii="Times New Roman" w:eastAsia="Times New Roman" w:hAnsi="Times New Roman" w:cs="Times New Roman"/>
          <w:i/>
          <w:iCs/>
          <w:color w:val="000000"/>
          <w:sz w:val="24"/>
          <w:szCs w:val="24"/>
          <w:lang w:eastAsia="en-ZA"/>
        </w:rPr>
        <w:t>in fine – </w:t>
      </w:r>
      <w:r w:rsidRPr="004C7E90">
        <w:rPr>
          <w:rFonts w:ascii="Times New Roman" w:eastAsia="Times New Roman" w:hAnsi="Times New Roman" w:cs="Times New Roman"/>
          <w:color w:val="000000"/>
          <w:sz w:val="24"/>
          <w:szCs w:val="24"/>
          <w:lang w:eastAsia="en-ZA"/>
        </w:rPr>
        <w:t>834 A:</w:t>
      </w:r>
    </w:p>
    <w:p w14:paraId="00D267A6" w14:textId="6B97C749" w:rsidR="00280E00" w:rsidRPr="004C7E90" w:rsidRDefault="00280E00" w:rsidP="007744CC">
      <w:pPr>
        <w:shd w:val="clear" w:color="auto" w:fill="FFFFFF"/>
        <w:spacing w:before="80" w:line="240" w:lineRule="auto"/>
        <w:ind w:left="1440"/>
        <w:jc w:val="both"/>
        <w:rPr>
          <w:rFonts w:ascii="Times New Roman" w:eastAsia="Times New Roman" w:hAnsi="Times New Roman" w:cs="Times New Roman"/>
          <w:color w:val="000000"/>
          <w:sz w:val="24"/>
          <w:szCs w:val="24"/>
          <w:lang w:eastAsia="en-ZA"/>
        </w:rPr>
      </w:pPr>
      <w:r w:rsidRPr="004C7E90">
        <w:rPr>
          <w:rFonts w:ascii="Times New Roman" w:eastAsia="Times New Roman" w:hAnsi="Times New Roman" w:cs="Times New Roman"/>
          <w:color w:val="000000"/>
          <w:sz w:val="24"/>
          <w:szCs w:val="24"/>
          <w:lang w:eastAsia="en-ZA"/>
        </w:rPr>
        <w:t xml:space="preserve">“In short, recognition of a duty of care is the outcome of a value judgment, that the plaintiffs invaded interest is deemed worthy of legal protection against negligent interference by conduct of the kind alleged against the defendant. In the decision whether or not there is a duty, many factors interplay; the hand of history, our ideas of morals and justice, the convenience of administering the rule and our social ideas as to where the loss should fall. Hence, the incidence and extent of duties are liable </w:t>
      </w:r>
      <w:r w:rsidRPr="004C7E90">
        <w:rPr>
          <w:rFonts w:ascii="Times New Roman" w:eastAsia="Times New Roman" w:hAnsi="Times New Roman" w:cs="Times New Roman"/>
          <w:color w:val="000000"/>
          <w:sz w:val="24"/>
          <w:szCs w:val="24"/>
          <w:lang w:eastAsia="en-ZA"/>
        </w:rPr>
        <w:lastRenderedPageBreak/>
        <w:t>to adjustment in the light of the constant shifts and changes in community attitudes.”</w:t>
      </w:r>
      <w:r w:rsidR="00F76F22">
        <w:rPr>
          <w:rStyle w:val="FootnoteReference"/>
          <w:rFonts w:ascii="Times New Roman" w:eastAsia="Times New Roman" w:hAnsi="Times New Roman" w:cs="Times New Roman"/>
          <w:color w:val="000000"/>
          <w:sz w:val="24"/>
          <w:szCs w:val="24"/>
          <w:lang w:eastAsia="en-ZA"/>
        </w:rPr>
        <w:footnoteReference w:id="24"/>
      </w:r>
    </w:p>
    <w:p w14:paraId="22DEEC6D" w14:textId="77777777" w:rsidR="00280E00" w:rsidRPr="004C7E90" w:rsidRDefault="00280E00" w:rsidP="007744CC">
      <w:pPr>
        <w:shd w:val="clear" w:color="auto" w:fill="FFFFFF"/>
        <w:spacing w:before="180" w:line="240" w:lineRule="auto"/>
        <w:ind w:left="720"/>
        <w:jc w:val="both"/>
        <w:rPr>
          <w:rFonts w:ascii="Times New Roman" w:eastAsia="Times New Roman" w:hAnsi="Times New Roman" w:cs="Times New Roman"/>
          <w:color w:val="000000"/>
          <w:sz w:val="24"/>
          <w:szCs w:val="24"/>
          <w:lang w:eastAsia="en-ZA"/>
        </w:rPr>
      </w:pPr>
      <w:r w:rsidRPr="004C7E90">
        <w:rPr>
          <w:rFonts w:ascii="Times New Roman" w:eastAsia="Times New Roman" w:hAnsi="Times New Roman" w:cs="Times New Roman"/>
          <w:color w:val="000000"/>
          <w:sz w:val="24"/>
          <w:szCs w:val="24"/>
          <w:lang w:eastAsia="en-ZA"/>
        </w:rPr>
        <w:t>The enquiry encompasses the application of the general criterion of reasonableness, having regard to the legal convictions of the community as assessed by the Court (see, e.g. </w:t>
      </w:r>
      <w:r w:rsidRPr="004C7E90">
        <w:rPr>
          <w:rFonts w:ascii="Times New Roman" w:eastAsia="Times New Roman" w:hAnsi="Times New Roman" w:cs="Times New Roman"/>
          <w:i/>
          <w:iCs/>
          <w:color w:val="000000"/>
          <w:sz w:val="24"/>
          <w:szCs w:val="24"/>
          <w:lang w:eastAsia="en-ZA"/>
        </w:rPr>
        <w:t>Minister van Polisie v Ewels </w:t>
      </w:r>
      <w:r w:rsidRPr="004C7E90">
        <w:rPr>
          <w:rFonts w:ascii="Times New Roman" w:eastAsia="Times New Roman" w:hAnsi="Times New Roman" w:cs="Times New Roman"/>
          <w:color w:val="000000"/>
          <w:sz w:val="24"/>
          <w:szCs w:val="24"/>
          <w:lang w:eastAsia="en-ZA"/>
        </w:rPr>
        <w:t>1975 (3) S A 590 (A) at 596 H – 597 F and </w:t>
      </w:r>
      <w:r w:rsidRPr="004C7E90">
        <w:rPr>
          <w:rFonts w:ascii="Times New Roman" w:eastAsia="Times New Roman" w:hAnsi="Times New Roman" w:cs="Times New Roman"/>
          <w:i/>
          <w:iCs/>
          <w:color w:val="000000"/>
          <w:sz w:val="24"/>
          <w:szCs w:val="24"/>
          <w:lang w:eastAsia="en-ZA"/>
        </w:rPr>
        <w:t>Lillicrap’s </w:t>
      </w:r>
      <w:r w:rsidRPr="004C7E90">
        <w:rPr>
          <w:rFonts w:ascii="Times New Roman" w:eastAsia="Times New Roman" w:hAnsi="Times New Roman" w:cs="Times New Roman"/>
          <w:color w:val="000000"/>
          <w:sz w:val="24"/>
          <w:szCs w:val="24"/>
          <w:lang w:eastAsia="en-ZA"/>
        </w:rPr>
        <w:t>case </w:t>
      </w:r>
      <w:r w:rsidRPr="004C7E90">
        <w:rPr>
          <w:rFonts w:ascii="Times New Roman" w:eastAsia="Times New Roman" w:hAnsi="Times New Roman" w:cs="Times New Roman"/>
          <w:i/>
          <w:iCs/>
          <w:color w:val="000000"/>
          <w:sz w:val="24"/>
          <w:szCs w:val="24"/>
          <w:lang w:eastAsia="en-ZA"/>
        </w:rPr>
        <w:t>supra </w:t>
      </w:r>
      <w:r w:rsidRPr="004C7E90">
        <w:rPr>
          <w:rFonts w:ascii="Times New Roman" w:eastAsia="Times New Roman" w:hAnsi="Times New Roman" w:cs="Times New Roman"/>
          <w:color w:val="000000"/>
          <w:sz w:val="24"/>
          <w:szCs w:val="24"/>
          <w:lang w:eastAsia="en-ZA"/>
        </w:rPr>
        <w:t>at 498G-H).”</w:t>
      </w:r>
    </w:p>
    <w:p w14:paraId="4B42AE7F" w14:textId="4C4847E2" w:rsidR="00464D00" w:rsidRPr="005464E7" w:rsidRDefault="00280E00" w:rsidP="00280E00">
      <w:pPr>
        <w:pStyle w:val="ListParagraph"/>
        <w:tabs>
          <w:tab w:val="left" w:pos="709"/>
        </w:tabs>
        <w:ind w:left="0"/>
        <w:jc w:val="both"/>
        <w:rPr>
          <w:rFonts w:ascii="Times New Roman" w:eastAsia="Times New Roman" w:hAnsi="Times New Roman" w:cs="Times New Roman"/>
          <w:color w:val="000000"/>
          <w:sz w:val="28"/>
          <w:szCs w:val="28"/>
          <w:lang w:eastAsia="en-ZA"/>
        </w:rPr>
      </w:pPr>
      <w:r>
        <w:rPr>
          <w:rFonts w:ascii="Times New Roman" w:eastAsia="Times New Roman" w:hAnsi="Times New Roman" w:cs="Times New Roman"/>
          <w:color w:val="000000"/>
          <w:sz w:val="28"/>
          <w:szCs w:val="28"/>
          <w:lang w:eastAsia="en-ZA"/>
        </w:rPr>
        <w:t xml:space="preserve"> </w:t>
      </w:r>
    </w:p>
    <w:p w14:paraId="5EFCE4E8" w14:textId="1050A1E4" w:rsidR="00EE0148"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[30]</w:t>
      </w:r>
      <w:r>
        <w:rPr>
          <w:rFonts w:ascii="Times New Roman" w:hAnsi="Times New Roman" w:cs="Times New Roman"/>
          <w:sz w:val="28"/>
          <w:szCs w:val="28"/>
          <w:lang w:val="en-US"/>
        </w:rPr>
        <w:tab/>
      </w:r>
      <w:r w:rsidR="005464E7" w:rsidRPr="0034627C">
        <w:rPr>
          <w:rFonts w:ascii="Times New Roman" w:hAnsi="Times New Roman" w:cs="Times New Roman"/>
          <w:sz w:val="28"/>
          <w:szCs w:val="28"/>
          <w:lang w:val="en-US"/>
        </w:rPr>
        <w:t xml:space="preserve">It is to be noted from the excerpt above that the observation of the court that </w:t>
      </w:r>
      <w:r w:rsidR="00E31D54" w:rsidRPr="0034627C">
        <w:rPr>
          <w:rFonts w:ascii="Times New Roman" w:hAnsi="Times New Roman" w:cs="Times New Roman"/>
          <w:sz w:val="28"/>
          <w:szCs w:val="28"/>
          <w:lang w:val="en-US"/>
        </w:rPr>
        <w:t>the mere</w:t>
      </w:r>
      <w:r w:rsidR="00EE0148" w:rsidRPr="0034627C">
        <w:rPr>
          <w:rFonts w:ascii="Times New Roman" w:hAnsi="Times New Roman" w:cs="Times New Roman"/>
          <w:sz w:val="28"/>
          <w:szCs w:val="28"/>
          <w:lang w:val="en-US"/>
        </w:rPr>
        <w:t xml:space="preserve"> allegation that </w:t>
      </w:r>
      <w:r w:rsidR="00692697" w:rsidRPr="0034627C">
        <w:rPr>
          <w:rFonts w:ascii="Times New Roman" w:hAnsi="Times New Roman" w:cs="Times New Roman"/>
          <w:sz w:val="28"/>
          <w:szCs w:val="28"/>
          <w:lang w:val="en-US"/>
        </w:rPr>
        <w:t>a</w:t>
      </w:r>
      <w:r w:rsidR="00EE0148" w:rsidRPr="0034627C">
        <w:rPr>
          <w:rFonts w:ascii="Times New Roman" w:hAnsi="Times New Roman" w:cs="Times New Roman"/>
          <w:sz w:val="28"/>
          <w:szCs w:val="28"/>
          <w:lang w:val="en-US"/>
        </w:rPr>
        <w:t xml:space="preserve"> defendant is under a duty of care </w:t>
      </w:r>
      <w:r w:rsidR="00692697" w:rsidRPr="0034627C">
        <w:rPr>
          <w:rFonts w:ascii="Times New Roman" w:hAnsi="Times New Roman" w:cs="Times New Roman"/>
          <w:sz w:val="28"/>
          <w:szCs w:val="28"/>
          <w:lang w:val="en-US"/>
        </w:rPr>
        <w:t xml:space="preserve">to take steps to prevent the loss </w:t>
      </w:r>
      <w:r w:rsidR="00EE0148" w:rsidRPr="0034627C">
        <w:rPr>
          <w:rFonts w:ascii="Times New Roman" w:hAnsi="Times New Roman" w:cs="Times New Roman"/>
          <w:sz w:val="28"/>
          <w:szCs w:val="28"/>
          <w:lang w:val="en-US"/>
        </w:rPr>
        <w:t>is insufficient</w:t>
      </w:r>
      <w:r w:rsidR="005464E7" w:rsidRPr="0034627C">
        <w:rPr>
          <w:rFonts w:ascii="Times New Roman" w:hAnsi="Times New Roman" w:cs="Times New Roman"/>
          <w:sz w:val="28"/>
          <w:szCs w:val="28"/>
          <w:lang w:val="en-US"/>
        </w:rPr>
        <w:t xml:space="preserve"> </w:t>
      </w:r>
      <w:r w:rsidR="00E31D54" w:rsidRPr="0034627C">
        <w:rPr>
          <w:rFonts w:ascii="Times New Roman" w:hAnsi="Times New Roman" w:cs="Times New Roman"/>
          <w:sz w:val="28"/>
          <w:szCs w:val="28"/>
          <w:lang w:val="en-US"/>
        </w:rPr>
        <w:t xml:space="preserve">has less to do with a direction to a plaintiff  as to how to plead his cause of action than on pointing out that the enquiry envisaged in order to get to the conclusion that a legal duty exists </w:t>
      </w:r>
      <w:r w:rsidR="00692697" w:rsidRPr="0034627C">
        <w:rPr>
          <w:rFonts w:ascii="Times New Roman" w:hAnsi="Times New Roman" w:cs="Times New Roman"/>
          <w:sz w:val="28"/>
          <w:szCs w:val="28"/>
          <w:lang w:val="en-US"/>
        </w:rPr>
        <w:t>and</w:t>
      </w:r>
      <w:r w:rsidR="00A134A2" w:rsidRPr="0034627C">
        <w:rPr>
          <w:rFonts w:ascii="Times New Roman" w:hAnsi="Times New Roman" w:cs="Times New Roman"/>
          <w:sz w:val="28"/>
          <w:szCs w:val="28"/>
          <w:lang w:val="en-US"/>
        </w:rPr>
        <w:t xml:space="preserve"> that the conduct in question is </w:t>
      </w:r>
      <w:r w:rsidR="00692697" w:rsidRPr="0034627C">
        <w:rPr>
          <w:rFonts w:ascii="Times New Roman" w:hAnsi="Times New Roman" w:cs="Times New Roman"/>
          <w:sz w:val="28"/>
          <w:szCs w:val="28"/>
          <w:lang w:val="en-US"/>
        </w:rPr>
        <w:t xml:space="preserve">pursuant to the outcome a value judgement </w:t>
      </w:r>
      <w:r w:rsidR="00A134A2" w:rsidRPr="0034627C">
        <w:rPr>
          <w:rFonts w:ascii="Times New Roman" w:hAnsi="Times New Roman" w:cs="Times New Roman"/>
          <w:sz w:val="28"/>
          <w:szCs w:val="28"/>
          <w:lang w:val="en-US"/>
        </w:rPr>
        <w:t xml:space="preserve">wrongful </w:t>
      </w:r>
      <w:r w:rsidR="00E31D54" w:rsidRPr="0034627C">
        <w:rPr>
          <w:rFonts w:ascii="Times New Roman" w:hAnsi="Times New Roman" w:cs="Times New Roman"/>
          <w:sz w:val="28"/>
          <w:szCs w:val="28"/>
          <w:lang w:val="en-US"/>
        </w:rPr>
        <w:t xml:space="preserve">is discrete from the enquiry into negligence and cannot be morphed into being by merely </w:t>
      </w:r>
      <w:r w:rsidR="00A134A2" w:rsidRPr="0034627C">
        <w:rPr>
          <w:rFonts w:ascii="Times New Roman" w:hAnsi="Times New Roman" w:cs="Times New Roman"/>
          <w:sz w:val="28"/>
          <w:szCs w:val="28"/>
          <w:lang w:val="en-US"/>
        </w:rPr>
        <w:t>stating</w:t>
      </w:r>
      <w:r w:rsidR="00E31D54" w:rsidRPr="0034627C">
        <w:rPr>
          <w:rFonts w:ascii="Times New Roman" w:hAnsi="Times New Roman" w:cs="Times New Roman"/>
          <w:sz w:val="28"/>
          <w:szCs w:val="28"/>
          <w:lang w:val="en-US"/>
        </w:rPr>
        <w:t xml:space="preserve"> </w:t>
      </w:r>
      <w:r w:rsidR="00140243" w:rsidRPr="0034627C">
        <w:rPr>
          <w:rFonts w:ascii="Times New Roman" w:hAnsi="Times New Roman" w:cs="Times New Roman"/>
          <w:sz w:val="28"/>
          <w:szCs w:val="28"/>
          <w:lang w:val="en-US"/>
        </w:rPr>
        <w:t xml:space="preserve">in one’s particulars of claim </w:t>
      </w:r>
      <w:r w:rsidR="00E31D54" w:rsidRPr="0034627C">
        <w:rPr>
          <w:rFonts w:ascii="Times New Roman" w:hAnsi="Times New Roman" w:cs="Times New Roman"/>
          <w:sz w:val="28"/>
          <w:szCs w:val="28"/>
          <w:lang w:val="en-US"/>
        </w:rPr>
        <w:t>that a duty of care</w:t>
      </w:r>
      <w:r w:rsidR="00451D16" w:rsidRPr="0034627C">
        <w:rPr>
          <w:rFonts w:ascii="Times New Roman" w:hAnsi="Times New Roman" w:cs="Times New Roman"/>
          <w:sz w:val="28"/>
          <w:szCs w:val="28"/>
          <w:lang w:val="en-US"/>
        </w:rPr>
        <w:t xml:space="preserve"> not to cause harm</w:t>
      </w:r>
      <w:r w:rsidR="00E31D54" w:rsidRPr="0034627C">
        <w:rPr>
          <w:rFonts w:ascii="Times New Roman" w:hAnsi="Times New Roman" w:cs="Times New Roman"/>
          <w:sz w:val="28"/>
          <w:szCs w:val="28"/>
          <w:lang w:val="en-US"/>
        </w:rPr>
        <w:t xml:space="preserve"> exists</w:t>
      </w:r>
      <w:r w:rsidR="00EE0148" w:rsidRPr="0034627C">
        <w:rPr>
          <w:rFonts w:ascii="Times New Roman" w:hAnsi="Times New Roman" w:cs="Times New Roman"/>
          <w:sz w:val="28"/>
          <w:szCs w:val="28"/>
          <w:lang w:val="en-US"/>
        </w:rPr>
        <w:t xml:space="preserve">. </w:t>
      </w:r>
      <w:r w:rsidR="00692697" w:rsidRPr="0034627C">
        <w:rPr>
          <w:rFonts w:ascii="Times New Roman" w:hAnsi="Times New Roman" w:cs="Times New Roman"/>
          <w:sz w:val="28"/>
          <w:szCs w:val="28"/>
          <w:lang w:val="en-US"/>
        </w:rPr>
        <w:t>Instead,</w:t>
      </w:r>
      <w:r w:rsidR="00EE0148" w:rsidRPr="0034627C">
        <w:rPr>
          <w:rFonts w:ascii="Times New Roman" w:hAnsi="Times New Roman" w:cs="Times New Roman"/>
          <w:sz w:val="28"/>
          <w:szCs w:val="28"/>
          <w:lang w:val="en-US"/>
        </w:rPr>
        <w:t xml:space="preserve"> the existence of a duty of care to prevent loss is a conclusion of law </w:t>
      </w:r>
      <w:r w:rsidR="00EE0148" w:rsidRPr="0034627C">
        <w:rPr>
          <w:rFonts w:ascii="Times New Roman" w:hAnsi="Times New Roman" w:cs="Times New Roman"/>
          <w:i/>
          <w:iCs/>
          <w:sz w:val="28"/>
          <w:szCs w:val="28"/>
          <w:lang w:val="en-US"/>
        </w:rPr>
        <w:t>dependent on all the circumstances of the case</w:t>
      </w:r>
      <w:r w:rsidR="00EE0148" w:rsidRPr="0034627C">
        <w:rPr>
          <w:rFonts w:ascii="Times New Roman" w:hAnsi="Times New Roman" w:cs="Times New Roman"/>
          <w:sz w:val="28"/>
          <w:szCs w:val="28"/>
          <w:lang w:val="en-US"/>
        </w:rPr>
        <w:t>.</w:t>
      </w:r>
      <w:r w:rsidR="00EE0148">
        <w:rPr>
          <w:rStyle w:val="FootnoteReference"/>
          <w:rFonts w:ascii="Times New Roman" w:hAnsi="Times New Roman" w:cs="Times New Roman"/>
          <w:sz w:val="28"/>
          <w:szCs w:val="28"/>
          <w:lang w:val="en-US"/>
        </w:rPr>
        <w:footnoteReference w:id="25"/>
      </w:r>
      <w:r w:rsidR="00EE0148" w:rsidRPr="0034627C">
        <w:rPr>
          <w:rFonts w:ascii="Times New Roman" w:hAnsi="Times New Roman" w:cs="Times New Roman"/>
          <w:sz w:val="28"/>
          <w:szCs w:val="28"/>
          <w:lang w:val="en-US"/>
        </w:rPr>
        <w:t xml:space="preserve"> </w:t>
      </w:r>
      <w:r w:rsidR="00692697" w:rsidRPr="0034627C">
        <w:rPr>
          <w:rFonts w:ascii="Times New Roman" w:hAnsi="Times New Roman" w:cs="Times New Roman"/>
          <w:sz w:val="28"/>
          <w:szCs w:val="28"/>
          <w:lang w:val="en-US"/>
        </w:rPr>
        <w:t>It begs the question, when all is in the pan, whether the defendant owes a legal duty to the plaintiff.</w:t>
      </w:r>
    </w:p>
    <w:p w14:paraId="15391ED5" w14:textId="77777777" w:rsidR="00CF0F78" w:rsidRPr="00CF0F78" w:rsidRDefault="00CF0F78" w:rsidP="00CF0F78">
      <w:pPr>
        <w:pStyle w:val="ListParagraph"/>
        <w:tabs>
          <w:tab w:val="left" w:pos="709"/>
        </w:tabs>
        <w:ind w:left="0"/>
        <w:jc w:val="both"/>
        <w:rPr>
          <w:rFonts w:ascii="Times New Roman" w:hAnsi="Times New Roman" w:cs="Times New Roman"/>
          <w:sz w:val="28"/>
          <w:szCs w:val="28"/>
          <w:lang w:val="en-US"/>
        </w:rPr>
      </w:pPr>
    </w:p>
    <w:p w14:paraId="15E452B7" w14:textId="7F0F453B" w:rsidR="00A51D0D"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r>
      <w:r w:rsidR="00F76F22" w:rsidRPr="0034627C">
        <w:rPr>
          <w:rFonts w:ascii="Times New Roman" w:hAnsi="Times New Roman" w:cs="Times New Roman"/>
          <w:sz w:val="28"/>
          <w:szCs w:val="28"/>
          <w:lang w:val="en-US"/>
        </w:rPr>
        <w:t xml:space="preserve">It is evident </w:t>
      </w:r>
      <w:r w:rsidR="00692697" w:rsidRPr="0034627C">
        <w:rPr>
          <w:rFonts w:ascii="Times New Roman" w:hAnsi="Times New Roman" w:cs="Times New Roman"/>
          <w:sz w:val="28"/>
          <w:szCs w:val="28"/>
          <w:lang w:val="en-US"/>
        </w:rPr>
        <w:t>therefore</w:t>
      </w:r>
      <w:r w:rsidR="007D6B50" w:rsidRPr="0034627C">
        <w:rPr>
          <w:rFonts w:ascii="Times New Roman" w:hAnsi="Times New Roman" w:cs="Times New Roman"/>
          <w:sz w:val="28"/>
          <w:szCs w:val="28"/>
          <w:lang w:val="en-US"/>
        </w:rPr>
        <w:t xml:space="preserve"> that </w:t>
      </w:r>
      <w:r w:rsidR="007D6B50" w:rsidRPr="0034627C">
        <w:rPr>
          <w:rFonts w:ascii="Times New Roman" w:hAnsi="Times New Roman" w:cs="Times New Roman"/>
          <w:i/>
          <w:iCs/>
          <w:sz w:val="28"/>
          <w:szCs w:val="28"/>
          <w:lang w:val="en-US"/>
        </w:rPr>
        <w:t>“more”</w:t>
      </w:r>
      <w:r w:rsidR="007D6B50" w:rsidRPr="0034627C">
        <w:rPr>
          <w:rFonts w:ascii="Times New Roman" w:hAnsi="Times New Roman" w:cs="Times New Roman"/>
          <w:sz w:val="28"/>
          <w:szCs w:val="28"/>
          <w:lang w:val="en-US"/>
        </w:rPr>
        <w:t xml:space="preserve"> is needed to justify </w:t>
      </w:r>
      <w:r w:rsidR="00565762" w:rsidRPr="0034627C">
        <w:rPr>
          <w:rFonts w:ascii="Times New Roman" w:hAnsi="Times New Roman" w:cs="Times New Roman"/>
          <w:sz w:val="28"/>
          <w:szCs w:val="28"/>
          <w:lang w:val="en-US"/>
        </w:rPr>
        <w:t>a case</w:t>
      </w:r>
      <w:r w:rsidR="00C979A6" w:rsidRPr="0034627C">
        <w:rPr>
          <w:rFonts w:ascii="Times New Roman" w:hAnsi="Times New Roman" w:cs="Times New Roman"/>
          <w:sz w:val="28"/>
          <w:szCs w:val="28"/>
          <w:lang w:val="en-US"/>
        </w:rPr>
        <w:t xml:space="preserve"> that</w:t>
      </w:r>
      <w:r w:rsidR="007D6B50" w:rsidRPr="0034627C">
        <w:rPr>
          <w:rFonts w:ascii="Times New Roman" w:hAnsi="Times New Roman" w:cs="Times New Roman"/>
          <w:sz w:val="28"/>
          <w:szCs w:val="28"/>
          <w:lang w:val="en-US"/>
        </w:rPr>
        <w:t xml:space="preserve"> delictual liability should be imputed in any particular set of circumstance.</w:t>
      </w:r>
      <w:r w:rsidR="007D6B50">
        <w:rPr>
          <w:rStyle w:val="FootnoteReference"/>
          <w:rFonts w:ascii="Times New Roman" w:hAnsi="Times New Roman" w:cs="Times New Roman"/>
          <w:sz w:val="28"/>
          <w:szCs w:val="28"/>
          <w:lang w:val="en-US"/>
        </w:rPr>
        <w:footnoteReference w:id="26"/>
      </w:r>
      <w:r w:rsidR="007D6B50" w:rsidRPr="0034627C">
        <w:rPr>
          <w:rFonts w:ascii="Times New Roman" w:hAnsi="Times New Roman" w:cs="Times New Roman"/>
          <w:sz w:val="28"/>
          <w:szCs w:val="28"/>
          <w:lang w:val="en-US"/>
        </w:rPr>
        <w:t xml:space="preserve"> </w:t>
      </w:r>
      <w:r w:rsidR="008346BA" w:rsidRPr="0034627C">
        <w:rPr>
          <w:rFonts w:ascii="Times New Roman" w:hAnsi="Times New Roman" w:cs="Times New Roman"/>
          <w:sz w:val="28"/>
          <w:szCs w:val="28"/>
          <w:lang w:val="en-US"/>
        </w:rPr>
        <w:t xml:space="preserve"> </w:t>
      </w:r>
      <w:r w:rsidR="007D6B50" w:rsidRPr="0034627C">
        <w:rPr>
          <w:rFonts w:ascii="Times New Roman" w:hAnsi="Times New Roman" w:cs="Times New Roman"/>
          <w:sz w:val="28"/>
          <w:szCs w:val="28"/>
          <w:lang w:val="en-US"/>
        </w:rPr>
        <w:t>Wrongfulness</w:t>
      </w:r>
      <w:r w:rsidR="00D843A8" w:rsidRPr="0034627C">
        <w:rPr>
          <w:rFonts w:ascii="Times New Roman" w:hAnsi="Times New Roman" w:cs="Times New Roman"/>
          <w:sz w:val="28"/>
          <w:szCs w:val="28"/>
          <w:lang w:val="en-US"/>
        </w:rPr>
        <w:t xml:space="preserve">, </w:t>
      </w:r>
      <w:r w:rsidR="007D6B50" w:rsidRPr="0034627C">
        <w:rPr>
          <w:rFonts w:ascii="Times New Roman" w:hAnsi="Times New Roman" w:cs="Times New Roman"/>
          <w:sz w:val="28"/>
          <w:szCs w:val="28"/>
          <w:lang w:val="en-US"/>
        </w:rPr>
        <w:t>an element distinct from that of negligence</w:t>
      </w:r>
      <w:r w:rsidR="007D6B50">
        <w:rPr>
          <w:rStyle w:val="FootnoteReference"/>
          <w:rFonts w:ascii="Times New Roman" w:hAnsi="Times New Roman" w:cs="Times New Roman"/>
          <w:sz w:val="28"/>
          <w:szCs w:val="28"/>
          <w:lang w:val="en-US"/>
        </w:rPr>
        <w:footnoteReference w:id="27"/>
      </w:r>
      <w:r w:rsidR="007D6B50" w:rsidRPr="0034627C">
        <w:rPr>
          <w:rFonts w:ascii="Times New Roman" w:hAnsi="Times New Roman" w:cs="Times New Roman"/>
          <w:sz w:val="28"/>
          <w:szCs w:val="28"/>
          <w:lang w:val="en-US"/>
        </w:rPr>
        <w:t xml:space="preserve"> and which lies in a failure to fulfil a </w:t>
      </w:r>
      <w:r w:rsidR="007D6B50" w:rsidRPr="0034627C">
        <w:rPr>
          <w:rFonts w:ascii="Times New Roman" w:hAnsi="Times New Roman" w:cs="Times New Roman"/>
          <w:sz w:val="28"/>
          <w:szCs w:val="28"/>
          <w:lang w:val="en-US"/>
        </w:rPr>
        <w:lastRenderedPageBreak/>
        <w:t>different, legal duty</w:t>
      </w:r>
      <w:r w:rsidR="00D843A8" w:rsidRPr="0034627C">
        <w:rPr>
          <w:rFonts w:ascii="Times New Roman" w:hAnsi="Times New Roman" w:cs="Times New Roman"/>
          <w:sz w:val="28"/>
          <w:szCs w:val="28"/>
          <w:lang w:val="en-US"/>
        </w:rPr>
        <w:t>,</w:t>
      </w:r>
      <w:r w:rsidR="007D6B50" w:rsidRPr="0034627C">
        <w:rPr>
          <w:rFonts w:ascii="Times New Roman" w:hAnsi="Times New Roman" w:cs="Times New Roman"/>
          <w:sz w:val="28"/>
          <w:szCs w:val="28"/>
          <w:lang w:val="en-US"/>
        </w:rPr>
        <w:t xml:space="preserve"> to prevent harm to others,</w:t>
      </w:r>
      <w:r w:rsidR="007D6B50">
        <w:rPr>
          <w:rStyle w:val="FootnoteReference"/>
          <w:rFonts w:ascii="Times New Roman" w:hAnsi="Times New Roman" w:cs="Times New Roman"/>
          <w:sz w:val="28"/>
          <w:szCs w:val="28"/>
          <w:lang w:val="en-US"/>
        </w:rPr>
        <w:footnoteReference w:id="28"/>
      </w:r>
      <w:r w:rsidR="007D6B50" w:rsidRPr="0034627C">
        <w:rPr>
          <w:rFonts w:ascii="Times New Roman" w:hAnsi="Times New Roman" w:cs="Times New Roman"/>
          <w:sz w:val="28"/>
          <w:szCs w:val="28"/>
          <w:lang w:val="en-US"/>
        </w:rPr>
        <w:t xml:space="preserve"> must be positively established</w:t>
      </w:r>
      <w:r w:rsidR="00692697">
        <w:rPr>
          <w:rStyle w:val="FootnoteReference"/>
          <w:rFonts w:ascii="Times New Roman" w:hAnsi="Times New Roman" w:cs="Times New Roman"/>
          <w:sz w:val="28"/>
          <w:szCs w:val="28"/>
          <w:lang w:val="en-US"/>
        </w:rPr>
        <w:footnoteReference w:id="29"/>
      </w:r>
      <w:r w:rsidR="00692697" w:rsidRPr="0034627C">
        <w:rPr>
          <w:rFonts w:ascii="Times New Roman" w:hAnsi="Times New Roman" w:cs="Times New Roman"/>
          <w:sz w:val="28"/>
          <w:szCs w:val="28"/>
          <w:lang w:val="en-US"/>
        </w:rPr>
        <w:t xml:space="preserve"> </w:t>
      </w:r>
      <w:r w:rsidR="00CF0F78" w:rsidRPr="0034627C">
        <w:rPr>
          <w:rFonts w:ascii="Times New Roman" w:hAnsi="Times New Roman" w:cs="Times New Roman"/>
          <w:sz w:val="28"/>
          <w:szCs w:val="28"/>
          <w:lang w:val="en-US"/>
        </w:rPr>
        <w:t xml:space="preserve"> and, so it was submitted on behalf of the municipality, </w:t>
      </w:r>
      <w:r w:rsidR="00692697" w:rsidRPr="0034627C">
        <w:rPr>
          <w:rFonts w:ascii="Times New Roman" w:hAnsi="Times New Roman" w:cs="Times New Roman"/>
          <w:sz w:val="28"/>
          <w:szCs w:val="28"/>
          <w:lang w:val="en-US"/>
        </w:rPr>
        <w:t>a</w:t>
      </w:r>
      <w:r w:rsidR="00CF0F78" w:rsidRPr="0034627C">
        <w:rPr>
          <w:rFonts w:ascii="Times New Roman" w:hAnsi="Times New Roman" w:cs="Times New Roman"/>
          <w:sz w:val="28"/>
          <w:szCs w:val="28"/>
          <w:lang w:val="en-US"/>
        </w:rPr>
        <w:t xml:space="preserve"> basis </w:t>
      </w:r>
      <w:r w:rsidR="00692697" w:rsidRPr="0034627C">
        <w:rPr>
          <w:rFonts w:ascii="Times New Roman" w:hAnsi="Times New Roman" w:cs="Times New Roman"/>
          <w:sz w:val="28"/>
          <w:szCs w:val="28"/>
          <w:lang w:val="en-US"/>
        </w:rPr>
        <w:t xml:space="preserve">to </w:t>
      </w:r>
      <w:r w:rsidR="00F74982" w:rsidRPr="0034627C">
        <w:rPr>
          <w:rFonts w:ascii="Times New Roman" w:hAnsi="Times New Roman" w:cs="Times New Roman"/>
          <w:sz w:val="28"/>
          <w:szCs w:val="28"/>
          <w:lang w:val="en-US"/>
        </w:rPr>
        <w:t>justify the conclusion sought to be drawn</w:t>
      </w:r>
      <w:r w:rsidR="00692697" w:rsidRPr="0034627C">
        <w:rPr>
          <w:rFonts w:ascii="Times New Roman" w:hAnsi="Times New Roman" w:cs="Times New Roman"/>
          <w:sz w:val="28"/>
          <w:szCs w:val="28"/>
          <w:lang w:val="en-US"/>
        </w:rPr>
        <w:t xml:space="preserve"> </w:t>
      </w:r>
      <w:r w:rsidR="00F74982" w:rsidRPr="0034627C">
        <w:rPr>
          <w:rFonts w:ascii="Times New Roman" w:hAnsi="Times New Roman" w:cs="Times New Roman"/>
          <w:sz w:val="28"/>
          <w:szCs w:val="28"/>
          <w:lang w:val="en-US"/>
        </w:rPr>
        <w:t xml:space="preserve">that </w:t>
      </w:r>
      <w:r w:rsidR="009D471A" w:rsidRPr="0034627C">
        <w:rPr>
          <w:rFonts w:ascii="Times New Roman" w:hAnsi="Times New Roman" w:cs="Times New Roman"/>
          <w:sz w:val="28"/>
          <w:szCs w:val="28"/>
          <w:lang w:val="en-US"/>
        </w:rPr>
        <w:t>its conduct in this instance should be determined to be wrongful</w:t>
      </w:r>
      <w:r w:rsidR="00F74982" w:rsidRPr="0034627C">
        <w:rPr>
          <w:rFonts w:ascii="Times New Roman" w:hAnsi="Times New Roman" w:cs="Times New Roman"/>
          <w:sz w:val="28"/>
          <w:szCs w:val="28"/>
          <w:lang w:val="en-US"/>
        </w:rPr>
        <w:t>, ought to be</w:t>
      </w:r>
      <w:r w:rsidR="00CF0F78" w:rsidRPr="0034627C">
        <w:rPr>
          <w:rFonts w:ascii="Times New Roman" w:hAnsi="Times New Roman" w:cs="Times New Roman"/>
          <w:sz w:val="28"/>
          <w:szCs w:val="28"/>
          <w:lang w:val="en-US"/>
        </w:rPr>
        <w:t xml:space="preserve"> pleaded.</w:t>
      </w:r>
      <w:r w:rsidR="007D6B50" w:rsidRPr="0034627C">
        <w:rPr>
          <w:rFonts w:ascii="Times New Roman" w:hAnsi="Times New Roman" w:cs="Times New Roman"/>
          <w:sz w:val="28"/>
          <w:szCs w:val="28"/>
          <w:lang w:val="en-US"/>
        </w:rPr>
        <w:t xml:space="preserve"> </w:t>
      </w:r>
    </w:p>
    <w:p w14:paraId="734600F5" w14:textId="77777777" w:rsidR="00A51D0D" w:rsidRPr="00A51D0D" w:rsidRDefault="00A51D0D" w:rsidP="00A51D0D">
      <w:pPr>
        <w:pStyle w:val="ListParagraph"/>
        <w:rPr>
          <w:rFonts w:ascii="Times New Roman" w:hAnsi="Times New Roman" w:cs="Times New Roman"/>
          <w:sz w:val="28"/>
          <w:szCs w:val="28"/>
          <w:lang w:val="en-US"/>
        </w:rPr>
      </w:pPr>
    </w:p>
    <w:p w14:paraId="72298F21" w14:textId="46C34882" w:rsidR="00692697" w:rsidRPr="0034627C" w:rsidRDefault="0034627C" w:rsidP="0034627C">
      <w:pPr>
        <w:tabs>
          <w:tab w:val="left" w:pos="709"/>
        </w:tabs>
        <w:jc w:val="both"/>
        <w:rPr>
          <w:rFonts w:ascii="Times New Roman" w:hAnsi="Times New Roman" w:cs="Times New Roman"/>
          <w:sz w:val="28"/>
          <w:szCs w:val="28"/>
          <w:lang w:val="en-US"/>
        </w:rPr>
      </w:pPr>
      <w:r w:rsidRPr="00692697">
        <w:rPr>
          <w:rFonts w:ascii="Times New Roman" w:hAnsi="Times New Roman" w:cs="Times New Roman"/>
          <w:sz w:val="28"/>
          <w:szCs w:val="28"/>
          <w:lang w:val="en-US"/>
        </w:rPr>
        <w:t>[32]</w:t>
      </w:r>
      <w:r w:rsidRPr="00692697">
        <w:rPr>
          <w:rFonts w:ascii="Times New Roman" w:hAnsi="Times New Roman" w:cs="Times New Roman"/>
          <w:sz w:val="28"/>
          <w:szCs w:val="28"/>
          <w:lang w:val="en-US"/>
        </w:rPr>
        <w:tab/>
      </w:r>
      <w:r w:rsidR="00A51D0D" w:rsidRPr="0034627C">
        <w:rPr>
          <w:rFonts w:ascii="Times New Roman" w:hAnsi="Times New Roman" w:cs="Times New Roman"/>
          <w:sz w:val="28"/>
          <w:szCs w:val="28"/>
          <w:lang w:val="en-US"/>
        </w:rPr>
        <w:t>The last submission is an important one in the context of the test upon exception</w:t>
      </w:r>
      <w:r w:rsidR="00F76F22" w:rsidRPr="0034627C">
        <w:rPr>
          <w:rFonts w:ascii="Times New Roman" w:hAnsi="Times New Roman" w:cs="Times New Roman"/>
          <w:sz w:val="28"/>
          <w:szCs w:val="28"/>
          <w:lang w:val="en-US"/>
        </w:rPr>
        <w:t>. The issue before this court is</w:t>
      </w:r>
      <w:r w:rsidR="00A51D0D" w:rsidRPr="0034627C">
        <w:rPr>
          <w:rFonts w:ascii="Times New Roman" w:hAnsi="Times New Roman" w:cs="Times New Roman"/>
          <w:sz w:val="28"/>
          <w:szCs w:val="28"/>
          <w:lang w:val="en-US"/>
        </w:rPr>
        <w:t xml:space="preserve"> whether </w:t>
      </w:r>
      <w:r w:rsidR="00A51D0D" w:rsidRPr="0034627C">
        <w:rPr>
          <w:rFonts w:ascii="Times New Roman" w:eastAsia="Times New Roman" w:hAnsi="Times New Roman" w:cs="Times New Roman"/>
          <w:color w:val="000000"/>
          <w:sz w:val="28"/>
          <w:szCs w:val="28"/>
          <w:lang w:eastAsia="en-ZA"/>
        </w:rPr>
        <w:t>the allegations of fact in the particulars of claim, if assumed to be proved, are susceptible in law of sustaining a finding that the municipality in this instance was under a legal duty to the trust, by exercising care, to avoid the loss it seeks to recover in the action which it says was caused to it under the peculiar circumstances. If they are not, the trust will be unable at the trial to discharge the </w:t>
      </w:r>
      <w:r w:rsidR="00A51D0D" w:rsidRPr="0034627C">
        <w:rPr>
          <w:rFonts w:ascii="Times New Roman" w:eastAsia="Times New Roman" w:hAnsi="Times New Roman" w:cs="Times New Roman"/>
          <w:i/>
          <w:iCs/>
          <w:color w:val="000000"/>
          <w:sz w:val="28"/>
          <w:szCs w:val="28"/>
          <w:lang w:eastAsia="en-ZA"/>
        </w:rPr>
        <w:t>onus </w:t>
      </w:r>
      <w:r w:rsidR="00A51D0D" w:rsidRPr="0034627C">
        <w:rPr>
          <w:rFonts w:ascii="Times New Roman" w:eastAsia="Times New Roman" w:hAnsi="Times New Roman" w:cs="Times New Roman"/>
          <w:color w:val="000000"/>
          <w:sz w:val="28"/>
          <w:szCs w:val="28"/>
          <w:lang w:eastAsia="en-ZA"/>
        </w:rPr>
        <w:t>of proving that the municipality’s conduct (committed through its officials) was wrongful, and the exception would be well founded.</w:t>
      </w:r>
    </w:p>
    <w:p w14:paraId="3F64DB86" w14:textId="77777777" w:rsidR="00692697" w:rsidRPr="00692697" w:rsidRDefault="00692697" w:rsidP="00692697">
      <w:pPr>
        <w:pStyle w:val="ListParagraph"/>
        <w:rPr>
          <w:rFonts w:ascii="Times New Roman" w:hAnsi="Times New Roman" w:cs="Times New Roman"/>
          <w:sz w:val="28"/>
          <w:szCs w:val="28"/>
          <w:lang w:val="en-US"/>
        </w:rPr>
      </w:pPr>
    </w:p>
    <w:p w14:paraId="432D6721" w14:textId="0AFD711C" w:rsidR="00692697" w:rsidRPr="0034627C" w:rsidRDefault="0034627C" w:rsidP="0034627C">
      <w:pPr>
        <w:tabs>
          <w:tab w:val="left" w:pos="709"/>
        </w:tabs>
        <w:jc w:val="both"/>
        <w:rPr>
          <w:rFonts w:ascii="Times New Roman" w:hAnsi="Times New Roman" w:cs="Times New Roman"/>
          <w:sz w:val="28"/>
          <w:szCs w:val="28"/>
          <w:lang w:val="en-US"/>
        </w:rPr>
      </w:pPr>
      <w:r w:rsidRPr="00692697">
        <w:rPr>
          <w:rFonts w:ascii="Times New Roman" w:hAnsi="Times New Roman" w:cs="Times New Roman"/>
          <w:sz w:val="28"/>
          <w:szCs w:val="28"/>
          <w:lang w:val="en-US"/>
        </w:rPr>
        <w:t>[33]</w:t>
      </w:r>
      <w:r w:rsidRPr="00692697">
        <w:rPr>
          <w:rFonts w:ascii="Times New Roman" w:hAnsi="Times New Roman" w:cs="Times New Roman"/>
          <w:sz w:val="28"/>
          <w:szCs w:val="28"/>
          <w:lang w:val="en-US"/>
        </w:rPr>
        <w:tab/>
      </w:r>
      <w:r w:rsidR="00692697" w:rsidRPr="0034627C">
        <w:rPr>
          <w:rFonts w:ascii="Times New Roman" w:hAnsi="Times New Roman" w:cs="Times New Roman"/>
          <w:sz w:val="28"/>
          <w:szCs w:val="28"/>
          <w:lang w:val="en-US"/>
        </w:rPr>
        <w:t xml:space="preserve">As an aside the municipality initially also objected to the trust’s particulars of claim on the basis that they are vague and embarrassing more particularly because they contain no averments as to which portions of the empowering provisions create a duty of care by the municipality to the trust, but this aspect of the exception was not pursued before me. Despite this, submissions were made at the hearing that the particulars of claim are “fatally defective”, and that the municipality does not know what case to meet.  In my view all of this relates to a misconception created by taking the observation in </w:t>
      </w:r>
      <w:r w:rsidR="00692697" w:rsidRPr="0034627C">
        <w:rPr>
          <w:rFonts w:ascii="Times New Roman" w:hAnsi="Times New Roman" w:cs="Times New Roman"/>
          <w:i/>
          <w:iCs/>
          <w:sz w:val="28"/>
          <w:szCs w:val="28"/>
          <w:lang w:val="en-US"/>
        </w:rPr>
        <w:t>Knop</w:t>
      </w:r>
      <w:r w:rsidR="00692697" w:rsidRPr="0034627C">
        <w:rPr>
          <w:rFonts w:ascii="Times New Roman" w:hAnsi="Times New Roman" w:cs="Times New Roman"/>
          <w:sz w:val="28"/>
          <w:szCs w:val="28"/>
          <w:lang w:val="en-US"/>
        </w:rPr>
        <w:t xml:space="preserve"> that “</w:t>
      </w:r>
      <w:r w:rsidR="00692697" w:rsidRPr="0034627C">
        <w:rPr>
          <w:rFonts w:ascii="Times New Roman" w:eastAsia="Times New Roman" w:hAnsi="Times New Roman" w:cs="Times New Roman"/>
          <w:i/>
          <w:iCs/>
          <w:color w:val="000000"/>
          <w:sz w:val="28"/>
          <w:szCs w:val="28"/>
          <w:lang w:eastAsia="en-ZA"/>
        </w:rPr>
        <w:t xml:space="preserve">Nor can the mere allegation in the particulars of claim that the Council was under a duty to take steps to prevent loss being caused to the </w:t>
      </w:r>
      <w:r w:rsidR="00692697" w:rsidRPr="0034627C">
        <w:rPr>
          <w:rFonts w:ascii="Times New Roman" w:eastAsia="Times New Roman" w:hAnsi="Times New Roman" w:cs="Times New Roman"/>
          <w:i/>
          <w:iCs/>
          <w:color w:val="000000"/>
          <w:sz w:val="28"/>
          <w:szCs w:val="28"/>
          <w:lang w:eastAsia="en-ZA"/>
        </w:rPr>
        <w:lastRenderedPageBreak/>
        <w:t>plaintiff carry the day for him</w:t>
      </w:r>
      <w:r w:rsidR="00692697" w:rsidRPr="0034627C">
        <w:rPr>
          <w:rFonts w:ascii="Times New Roman" w:eastAsia="Times New Roman" w:hAnsi="Times New Roman" w:cs="Times New Roman"/>
          <w:color w:val="000000"/>
          <w:sz w:val="28"/>
          <w:szCs w:val="28"/>
          <w:lang w:eastAsia="en-ZA"/>
        </w:rPr>
        <w:t xml:space="preserve">” out of context or rather reading it in isolation without the next important statement that: </w:t>
      </w:r>
      <w:r w:rsidR="00692697" w:rsidRPr="0034627C">
        <w:rPr>
          <w:rFonts w:ascii="Times New Roman" w:eastAsia="Times New Roman" w:hAnsi="Times New Roman" w:cs="Times New Roman"/>
          <w:i/>
          <w:iCs/>
          <w:color w:val="000000"/>
          <w:sz w:val="28"/>
          <w:szCs w:val="28"/>
          <w:lang w:eastAsia="en-ZA"/>
        </w:rPr>
        <w:t xml:space="preserve">“The existence of the legal duty to prevent loss is a conclusion of law depending on a consideration of all the circumstances of the case.” </w:t>
      </w:r>
      <w:r w:rsidR="00692697" w:rsidRPr="0034627C">
        <w:rPr>
          <w:rFonts w:ascii="Times New Roman" w:eastAsia="Times New Roman" w:hAnsi="Times New Roman" w:cs="Times New Roman"/>
          <w:color w:val="000000"/>
          <w:sz w:val="28"/>
          <w:szCs w:val="28"/>
          <w:lang w:eastAsia="en-ZA"/>
        </w:rPr>
        <w:t xml:space="preserve">I have already stated in paragraph [30] above that the first comment cannot be taken to mean what counsel for the municipality contended for. </w:t>
      </w:r>
    </w:p>
    <w:p w14:paraId="1FE37B8A" w14:textId="77777777" w:rsidR="00692697" w:rsidRPr="00692697" w:rsidRDefault="00692697" w:rsidP="00692697">
      <w:pPr>
        <w:pStyle w:val="ListParagraph"/>
        <w:tabs>
          <w:tab w:val="left" w:pos="709"/>
        </w:tabs>
        <w:ind w:left="0"/>
        <w:jc w:val="both"/>
        <w:rPr>
          <w:rFonts w:ascii="Times New Roman" w:hAnsi="Times New Roman" w:cs="Times New Roman"/>
          <w:sz w:val="28"/>
          <w:szCs w:val="28"/>
          <w:lang w:val="en-US"/>
        </w:rPr>
      </w:pPr>
    </w:p>
    <w:p w14:paraId="60992F0B" w14:textId="1FE762A8" w:rsidR="00692697" w:rsidRPr="0034627C" w:rsidRDefault="0034627C" w:rsidP="0034627C">
      <w:pPr>
        <w:tabs>
          <w:tab w:val="left" w:pos="709"/>
        </w:tabs>
        <w:jc w:val="both"/>
        <w:rPr>
          <w:rFonts w:ascii="Times New Roman" w:hAnsi="Times New Roman" w:cs="Times New Roman"/>
          <w:sz w:val="28"/>
          <w:szCs w:val="28"/>
          <w:lang w:val="en-US"/>
        </w:rPr>
      </w:pPr>
      <w:r w:rsidRPr="00692697">
        <w:rPr>
          <w:rFonts w:ascii="Times New Roman" w:hAnsi="Times New Roman" w:cs="Times New Roman"/>
          <w:sz w:val="28"/>
          <w:szCs w:val="28"/>
          <w:lang w:val="en-US"/>
        </w:rPr>
        <w:t>[34]</w:t>
      </w:r>
      <w:r w:rsidRPr="00692697">
        <w:rPr>
          <w:rFonts w:ascii="Times New Roman" w:hAnsi="Times New Roman" w:cs="Times New Roman"/>
          <w:sz w:val="28"/>
          <w:szCs w:val="28"/>
          <w:lang w:val="en-US"/>
        </w:rPr>
        <w:tab/>
      </w:r>
      <w:r w:rsidR="00692697" w:rsidRPr="0034627C">
        <w:rPr>
          <w:rFonts w:ascii="Times New Roman" w:eastAsia="Times New Roman" w:hAnsi="Times New Roman" w:cs="Times New Roman"/>
          <w:color w:val="000000"/>
          <w:sz w:val="28"/>
          <w:szCs w:val="28"/>
          <w:lang w:eastAsia="en-ZA"/>
        </w:rPr>
        <w:t xml:space="preserve">The enquiry into wrongfulness is evidently an </w:t>
      </w:r>
      <w:r w:rsidR="00692697" w:rsidRPr="0034627C">
        <w:rPr>
          <w:rFonts w:ascii="Times New Roman" w:eastAsia="Times New Roman" w:hAnsi="Times New Roman" w:cs="Times New Roman"/>
          <w:i/>
          <w:iCs/>
          <w:color w:val="000000"/>
          <w:sz w:val="28"/>
          <w:szCs w:val="28"/>
          <w:lang w:eastAsia="en-ZA"/>
        </w:rPr>
        <w:t>after-the-fact</w:t>
      </w:r>
      <w:r w:rsidR="00692697" w:rsidRPr="0034627C">
        <w:rPr>
          <w:rFonts w:ascii="Times New Roman" w:eastAsia="Times New Roman" w:hAnsi="Times New Roman" w:cs="Times New Roman"/>
          <w:color w:val="000000"/>
          <w:sz w:val="28"/>
          <w:szCs w:val="28"/>
          <w:lang w:eastAsia="en-ZA"/>
        </w:rPr>
        <w:t xml:space="preserve"> objective assessment of whether conduct which </w:t>
      </w:r>
      <w:r w:rsidR="00692697" w:rsidRPr="0034627C">
        <w:rPr>
          <w:rFonts w:ascii="Times New Roman" w:eastAsia="Times New Roman" w:hAnsi="Times New Roman" w:cs="Times New Roman"/>
          <w:i/>
          <w:iCs/>
          <w:color w:val="000000"/>
          <w:sz w:val="28"/>
          <w:szCs w:val="28"/>
          <w:lang w:eastAsia="en-ZA"/>
        </w:rPr>
        <w:t>prima facie</w:t>
      </w:r>
      <w:r w:rsidR="00692697" w:rsidRPr="0034627C">
        <w:rPr>
          <w:rFonts w:ascii="Times New Roman" w:eastAsia="Times New Roman" w:hAnsi="Times New Roman" w:cs="Times New Roman"/>
          <w:color w:val="000000"/>
          <w:sz w:val="28"/>
          <w:szCs w:val="28"/>
          <w:lang w:eastAsia="en-ZA"/>
        </w:rPr>
        <w:t xml:space="preserve"> may not be</w:t>
      </w:r>
      <w:r w:rsidR="00692697" w:rsidRPr="0034627C">
        <w:rPr>
          <w:rFonts w:ascii="Times New Roman" w:eastAsia="Times New Roman" w:hAnsi="Times New Roman" w:cs="Times New Roman"/>
          <w:i/>
          <w:iCs/>
          <w:color w:val="000000"/>
          <w:sz w:val="28"/>
          <w:szCs w:val="28"/>
          <w:lang w:eastAsia="en-ZA"/>
        </w:rPr>
        <w:t> </w:t>
      </w:r>
      <w:r w:rsidR="00692697" w:rsidRPr="0034627C">
        <w:rPr>
          <w:rFonts w:ascii="Times New Roman" w:eastAsia="Times New Roman" w:hAnsi="Times New Roman" w:cs="Times New Roman"/>
          <w:color w:val="000000"/>
          <w:sz w:val="28"/>
          <w:szCs w:val="28"/>
          <w:lang w:eastAsia="en-ZA"/>
        </w:rPr>
        <w:t>wrongful should be regarded as attracting legal sanction.</w:t>
      </w:r>
      <w:r w:rsidR="00692697">
        <w:rPr>
          <w:rStyle w:val="FootnoteReference"/>
          <w:rFonts w:ascii="Times New Roman" w:eastAsia="Times New Roman" w:hAnsi="Times New Roman" w:cs="Times New Roman"/>
          <w:color w:val="000000"/>
          <w:sz w:val="28"/>
          <w:szCs w:val="28"/>
          <w:lang w:eastAsia="en-ZA"/>
        </w:rPr>
        <w:footnoteReference w:id="30"/>
      </w:r>
      <w:r w:rsidR="00692697" w:rsidRPr="0034627C">
        <w:rPr>
          <w:rFonts w:ascii="Times New Roman" w:eastAsia="Times New Roman" w:hAnsi="Times New Roman" w:cs="Times New Roman"/>
          <w:color w:val="000000"/>
          <w:sz w:val="28"/>
          <w:szCs w:val="28"/>
          <w:lang w:eastAsia="en-ZA"/>
        </w:rPr>
        <w:t xml:space="preserve"> </w:t>
      </w:r>
    </w:p>
    <w:p w14:paraId="6FAE94A1" w14:textId="77777777" w:rsidR="00692697" w:rsidRPr="00692697" w:rsidRDefault="00692697" w:rsidP="00692697">
      <w:pPr>
        <w:pStyle w:val="ListParagraph"/>
        <w:rPr>
          <w:rFonts w:ascii="Times New Roman" w:eastAsia="Times New Roman" w:hAnsi="Times New Roman" w:cs="Times New Roman"/>
          <w:color w:val="000000"/>
          <w:sz w:val="28"/>
          <w:szCs w:val="28"/>
          <w:lang w:eastAsia="en-ZA"/>
        </w:rPr>
      </w:pPr>
    </w:p>
    <w:p w14:paraId="6E2A6FE7" w14:textId="3CA42B0D" w:rsidR="00692697"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[35]</w:t>
      </w:r>
      <w:r>
        <w:rPr>
          <w:rFonts w:ascii="Times New Roman" w:hAnsi="Times New Roman" w:cs="Times New Roman"/>
          <w:sz w:val="28"/>
          <w:szCs w:val="28"/>
          <w:lang w:val="en-US"/>
        </w:rPr>
        <w:tab/>
      </w:r>
      <w:r w:rsidR="00692697" w:rsidRPr="0034627C">
        <w:rPr>
          <w:rFonts w:ascii="Times New Roman" w:eastAsia="Times New Roman" w:hAnsi="Times New Roman" w:cs="Times New Roman"/>
          <w:color w:val="000000"/>
          <w:sz w:val="28"/>
          <w:szCs w:val="28"/>
          <w:lang w:eastAsia="en-ZA"/>
        </w:rPr>
        <w:t xml:space="preserve">However, I do espouse the view that the enquiry must at least precede from a “factual theory of the case” premise that suggests that it is fair and reasonable that a duty should arise in the circumstances.    </w:t>
      </w:r>
      <w:r w:rsidR="00692697" w:rsidRPr="0034627C">
        <w:rPr>
          <w:rFonts w:ascii="Times New Roman" w:hAnsi="Times New Roman" w:cs="Times New Roman"/>
          <w:sz w:val="28"/>
          <w:szCs w:val="28"/>
          <w:lang w:val="en-US"/>
        </w:rPr>
        <w:t>This, as I will demonstrate below, the trust has sought in its particulars of claim to do.  For the rest all the essential averments for the delictual claim have been pleaded by it and it is quite clear that it wishes to prevail on the trial court to assess whether the conduct it relies on is wrongful for the purposes of Aquilian liability</w:t>
      </w:r>
      <w:r w:rsidR="0076241F" w:rsidRPr="0034627C">
        <w:rPr>
          <w:rFonts w:ascii="Times New Roman" w:hAnsi="Times New Roman" w:cs="Times New Roman"/>
          <w:sz w:val="28"/>
          <w:szCs w:val="28"/>
          <w:lang w:val="en-US"/>
        </w:rPr>
        <w:t xml:space="preserve"> or not</w:t>
      </w:r>
      <w:r w:rsidR="00692697" w:rsidRPr="0034627C">
        <w:rPr>
          <w:rFonts w:ascii="Times New Roman" w:hAnsi="Times New Roman" w:cs="Times New Roman"/>
          <w:sz w:val="28"/>
          <w:szCs w:val="28"/>
          <w:lang w:val="en-US"/>
        </w:rPr>
        <w:t>.</w:t>
      </w:r>
    </w:p>
    <w:p w14:paraId="7B85BA5E" w14:textId="77777777" w:rsidR="00692697" w:rsidRPr="00692697" w:rsidRDefault="00692697" w:rsidP="00692697">
      <w:pPr>
        <w:pStyle w:val="ListParagraph"/>
        <w:rPr>
          <w:rFonts w:ascii="Times New Roman" w:hAnsi="Times New Roman" w:cs="Times New Roman"/>
          <w:sz w:val="28"/>
          <w:szCs w:val="28"/>
          <w:lang w:val="en-US"/>
        </w:rPr>
      </w:pPr>
    </w:p>
    <w:p w14:paraId="26B7FD86" w14:textId="6E9BD157" w:rsidR="00692697" w:rsidRPr="0034627C" w:rsidRDefault="0034627C" w:rsidP="0034627C">
      <w:pPr>
        <w:tabs>
          <w:tab w:val="left" w:pos="709"/>
        </w:tabs>
        <w:jc w:val="both"/>
        <w:rPr>
          <w:rFonts w:ascii="Times New Roman" w:hAnsi="Times New Roman" w:cs="Times New Roman"/>
          <w:sz w:val="28"/>
          <w:szCs w:val="28"/>
          <w:lang w:val="en-US"/>
        </w:rPr>
      </w:pPr>
      <w:r w:rsidRPr="00692697">
        <w:rPr>
          <w:rFonts w:ascii="Times New Roman" w:hAnsi="Times New Roman" w:cs="Times New Roman"/>
          <w:sz w:val="28"/>
          <w:szCs w:val="28"/>
          <w:lang w:val="en-US"/>
        </w:rPr>
        <w:t>[36]</w:t>
      </w:r>
      <w:r w:rsidRPr="00692697">
        <w:rPr>
          <w:rFonts w:ascii="Times New Roman" w:hAnsi="Times New Roman" w:cs="Times New Roman"/>
          <w:sz w:val="28"/>
          <w:szCs w:val="28"/>
          <w:lang w:val="en-US"/>
        </w:rPr>
        <w:tab/>
      </w:r>
      <w:r w:rsidR="00692697" w:rsidRPr="0034627C">
        <w:rPr>
          <w:rFonts w:ascii="Times New Roman" w:hAnsi="Times New Roman" w:cs="Times New Roman"/>
          <w:sz w:val="28"/>
          <w:szCs w:val="28"/>
          <w:lang w:val="en-US"/>
        </w:rPr>
        <w:t xml:space="preserve">A final word on this issue is to note the caution expressed by the court in </w:t>
      </w:r>
      <w:r w:rsidR="00692697" w:rsidRPr="0034627C">
        <w:rPr>
          <w:rFonts w:ascii="Times New Roman" w:hAnsi="Times New Roman" w:cs="Times New Roman"/>
          <w:i/>
          <w:iCs/>
          <w:sz w:val="28"/>
          <w:szCs w:val="28"/>
          <w:lang w:val="en-US"/>
        </w:rPr>
        <w:t>Telematrix</w:t>
      </w:r>
      <w:r w:rsidR="00692697" w:rsidRPr="0034627C">
        <w:rPr>
          <w:rFonts w:ascii="Times New Roman" w:hAnsi="Times New Roman" w:cs="Times New Roman"/>
          <w:sz w:val="28"/>
          <w:szCs w:val="28"/>
          <w:lang w:val="en-US"/>
        </w:rPr>
        <w:t xml:space="preserve"> that exceptions should firstly be dealt with sensibly,</w:t>
      </w:r>
      <w:r w:rsidR="00692697">
        <w:rPr>
          <w:rStyle w:val="FootnoteReference"/>
          <w:rFonts w:ascii="Times New Roman" w:hAnsi="Times New Roman" w:cs="Times New Roman"/>
          <w:sz w:val="28"/>
          <w:szCs w:val="28"/>
          <w:lang w:val="en-US"/>
        </w:rPr>
        <w:footnoteReference w:id="31"/>
      </w:r>
      <w:r w:rsidR="00692697" w:rsidRPr="0034627C">
        <w:rPr>
          <w:rFonts w:ascii="Times New Roman" w:hAnsi="Times New Roman" w:cs="Times New Roman"/>
          <w:sz w:val="28"/>
          <w:szCs w:val="28"/>
          <w:lang w:val="en-US"/>
        </w:rPr>
        <w:t xml:space="preserve"> and that it is not true in all cases that it is appropriate to decide issues of wrongfulness on exception where the issue</w:t>
      </w:r>
      <w:r w:rsidR="0076241F" w:rsidRPr="0034627C">
        <w:rPr>
          <w:rFonts w:ascii="Times New Roman" w:hAnsi="Times New Roman" w:cs="Times New Roman"/>
          <w:sz w:val="28"/>
          <w:szCs w:val="28"/>
          <w:lang w:val="en-US"/>
        </w:rPr>
        <w:t>s are</w:t>
      </w:r>
      <w:r w:rsidR="00692697" w:rsidRPr="0034627C">
        <w:rPr>
          <w:rFonts w:ascii="Times New Roman" w:hAnsi="Times New Roman" w:cs="Times New Roman"/>
          <w:sz w:val="28"/>
          <w:szCs w:val="28"/>
          <w:lang w:val="en-US"/>
        </w:rPr>
        <w:t xml:space="preserve"> “fact bound”.</w:t>
      </w:r>
      <w:r w:rsidR="00692697">
        <w:rPr>
          <w:rStyle w:val="FootnoteReference"/>
          <w:rFonts w:ascii="Times New Roman" w:hAnsi="Times New Roman" w:cs="Times New Roman"/>
          <w:sz w:val="28"/>
          <w:szCs w:val="28"/>
          <w:lang w:val="en-US"/>
        </w:rPr>
        <w:footnoteReference w:id="32"/>
      </w:r>
      <w:r w:rsidR="00692697" w:rsidRPr="0034627C">
        <w:rPr>
          <w:rFonts w:ascii="Times New Roman" w:hAnsi="Times New Roman" w:cs="Times New Roman"/>
          <w:sz w:val="28"/>
          <w:szCs w:val="28"/>
          <w:lang w:val="en-US"/>
        </w:rPr>
        <w:t xml:space="preserve">  Here the trust hopes to be allowed the benefit of leading evidence concerning the circumstances surrounding the various submissions of site development plans and building plans to the municipality. The </w:t>
      </w:r>
      <w:r w:rsidR="00692697" w:rsidRPr="0034627C">
        <w:rPr>
          <w:rFonts w:ascii="Times New Roman" w:hAnsi="Times New Roman" w:cs="Times New Roman"/>
          <w:sz w:val="28"/>
          <w:szCs w:val="28"/>
          <w:lang w:val="en-US"/>
        </w:rPr>
        <w:lastRenderedPageBreak/>
        <w:t>numerous annexures filed in support of averments portend the comprehensive evidence to come.  They give an indication that there may be relevant evidence that “can throw light” on the issue of wrongfulness.</w:t>
      </w:r>
      <w:r w:rsidR="00692697">
        <w:rPr>
          <w:rStyle w:val="FootnoteReference"/>
          <w:rFonts w:ascii="Times New Roman" w:hAnsi="Times New Roman" w:cs="Times New Roman"/>
          <w:sz w:val="28"/>
          <w:szCs w:val="28"/>
          <w:lang w:val="en-US"/>
        </w:rPr>
        <w:footnoteReference w:id="33"/>
      </w:r>
      <w:r w:rsidR="00692697" w:rsidRPr="0034627C">
        <w:rPr>
          <w:rFonts w:ascii="Times New Roman" w:hAnsi="Times New Roman" w:cs="Times New Roman"/>
          <w:sz w:val="28"/>
          <w:szCs w:val="28"/>
          <w:lang w:val="en-US"/>
        </w:rPr>
        <w:t xml:space="preserve"> It would therefore be counterintuitive to decide the question of wrongfulness without a detailed factual matrix that is reasonably anticipated from the averments pleaded</w:t>
      </w:r>
      <w:r w:rsidR="0076241F" w:rsidRPr="0034627C">
        <w:rPr>
          <w:rFonts w:ascii="Times New Roman" w:hAnsi="Times New Roman" w:cs="Times New Roman"/>
          <w:sz w:val="28"/>
          <w:szCs w:val="28"/>
          <w:lang w:val="en-US"/>
        </w:rPr>
        <w:t>,</w:t>
      </w:r>
      <w:r w:rsidR="00692697" w:rsidRPr="0034627C">
        <w:rPr>
          <w:rFonts w:ascii="Times New Roman" w:hAnsi="Times New Roman" w:cs="Times New Roman"/>
          <w:sz w:val="28"/>
          <w:szCs w:val="28"/>
          <w:lang w:val="en-US"/>
        </w:rPr>
        <w:t xml:space="preserve"> read together with the annexures and documentation provided in the trust’s statement of case.</w:t>
      </w:r>
      <w:r w:rsidR="00692697">
        <w:rPr>
          <w:rStyle w:val="FootnoteReference"/>
          <w:rFonts w:ascii="Times New Roman" w:hAnsi="Times New Roman" w:cs="Times New Roman"/>
          <w:sz w:val="28"/>
          <w:szCs w:val="28"/>
          <w:lang w:val="en-US"/>
        </w:rPr>
        <w:footnoteReference w:id="34"/>
      </w:r>
    </w:p>
    <w:p w14:paraId="735B6DEB" w14:textId="77777777" w:rsidR="00EE0148" w:rsidRDefault="00EE0148" w:rsidP="00EE0148">
      <w:pPr>
        <w:pStyle w:val="ListParagraph"/>
        <w:tabs>
          <w:tab w:val="left" w:pos="709"/>
        </w:tabs>
        <w:ind w:left="0"/>
        <w:jc w:val="both"/>
        <w:rPr>
          <w:rFonts w:ascii="Times New Roman" w:hAnsi="Times New Roman" w:cs="Times New Roman"/>
          <w:sz w:val="28"/>
          <w:szCs w:val="28"/>
          <w:lang w:val="en-US"/>
        </w:rPr>
      </w:pPr>
    </w:p>
    <w:p w14:paraId="2BECC456" w14:textId="067B42CD" w:rsidR="00D9196B"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[37]</w:t>
      </w:r>
      <w:r>
        <w:rPr>
          <w:rFonts w:ascii="Times New Roman" w:hAnsi="Times New Roman" w:cs="Times New Roman"/>
          <w:sz w:val="28"/>
          <w:szCs w:val="28"/>
          <w:lang w:val="en-US"/>
        </w:rPr>
        <w:tab/>
      </w:r>
      <w:r w:rsidR="00A727B7" w:rsidRPr="0034627C">
        <w:rPr>
          <w:rFonts w:ascii="Times New Roman" w:hAnsi="Times New Roman" w:cs="Times New Roman"/>
          <w:sz w:val="28"/>
          <w:szCs w:val="28"/>
          <w:lang w:val="en-US"/>
        </w:rPr>
        <w:t>To return to the theme that “more’ is needed</w:t>
      </w:r>
      <w:r w:rsidR="00692697" w:rsidRPr="0034627C">
        <w:rPr>
          <w:rFonts w:ascii="Times New Roman" w:hAnsi="Times New Roman" w:cs="Times New Roman"/>
          <w:sz w:val="28"/>
          <w:szCs w:val="28"/>
          <w:lang w:val="en-US"/>
        </w:rPr>
        <w:t xml:space="preserve"> </w:t>
      </w:r>
      <w:r w:rsidR="00A4264F" w:rsidRPr="0034627C">
        <w:rPr>
          <w:rFonts w:ascii="Times New Roman" w:hAnsi="Times New Roman" w:cs="Times New Roman"/>
          <w:sz w:val="28"/>
          <w:szCs w:val="28"/>
          <w:lang w:val="en-US"/>
        </w:rPr>
        <w:t>to underpin</w:t>
      </w:r>
      <w:r w:rsidR="00692697" w:rsidRPr="0034627C">
        <w:rPr>
          <w:rFonts w:ascii="Times New Roman" w:hAnsi="Times New Roman" w:cs="Times New Roman"/>
          <w:sz w:val="28"/>
          <w:szCs w:val="28"/>
          <w:lang w:val="en-US"/>
        </w:rPr>
        <w:t xml:space="preserve"> the after-the-fact objective assessment of wrongfulness</w:t>
      </w:r>
      <w:r w:rsidR="00A727B7" w:rsidRPr="0034627C">
        <w:rPr>
          <w:rFonts w:ascii="Times New Roman" w:hAnsi="Times New Roman" w:cs="Times New Roman"/>
          <w:sz w:val="28"/>
          <w:szCs w:val="28"/>
          <w:lang w:val="en-US"/>
        </w:rPr>
        <w:t>, this is particularly</w:t>
      </w:r>
      <w:r w:rsidR="00F0143F" w:rsidRPr="0034627C">
        <w:rPr>
          <w:rFonts w:ascii="Times New Roman" w:hAnsi="Times New Roman" w:cs="Times New Roman"/>
          <w:sz w:val="28"/>
          <w:szCs w:val="28"/>
          <w:lang w:val="en-US"/>
        </w:rPr>
        <w:t xml:space="preserve"> so i</w:t>
      </w:r>
      <w:r w:rsidR="00472053" w:rsidRPr="0034627C">
        <w:rPr>
          <w:rFonts w:ascii="Times New Roman" w:hAnsi="Times New Roman" w:cs="Times New Roman"/>
          <w:sz w:val="28"/>
          <w:szCs w:val="28"/>
          <w:lang w:val="en-US"/>
        </w:rPr>
        <w:t xml:space="preserve">n </w:t>
      </w:r>
      <w:r w:rsidR="007E66F3" w:rsidRPr="0034627C">
        <w:rPr>
          <w:rFonts w:ascii="Times New Roman" w:hAnsi="Times New Roman" w:cs="Times New Roman"/>
          <w:sz w:val="28"/>
          <w:szCs w:val="28"/>
          <w:lang w:val="en-US"/>
        </w:rPr>
        <w:t>the</w:t>
      </w:r>
      <w:r w:rsidR="00472053" w:rsidRPr="0034627C">
        <w:rPr>
          <w:rFonts w:ascii="Times New Roman" w:hAnsi="Times New Roman" w:cs="Times New Roman"/>
          <w:sz w:val="28"/>
          <w:szCs w:val="28"/>
          <w:lang w:val="en-US"/>
        </w:rPr>
        <w:t xml:space="preserve"> administrative </w:t>
      </w:r>
      <w:r w:rsidR="00BF47D2" w:rsidRPr="0034627C">
        <w:rPr>
          <w:rFonts w:ascii="Times New Roman" w:hAnsi="Times New Roman" w:cs="Times New Roman"/>
          <w:sz w:val="28"/>
          <w:szCs w:val="28"/>
          <w:lang w:val="en-US"/>
        </w:rPr>
        <w:t>law context</w:t>
      </w:r>
      <w:r w:rsidR="00081D2B" w:rsidRPr="0034627C">
        <w:rPr>
          <w:rFonts w:ascii="Times New Roman" w:hAnsi="Times New Roman" w:cs="Times New Roman"/>
          <w:sz w:val="28"/>
          <w:szCs w:val="28"/>
          <w:lang w:val="en-US"/>
        </w:rPr>
        <w:t xml:space="preserve"> </w:t>
      </w:r>
      <w:r w:rsidR="00F76F22" w:rsidRPr="0034627C">
        <w:rPr>
          <w:rFonts w:ascii="Times New Roman" w:hAnsi="Times New Roman" w:cs="Times New Roman"/>
          <w:sz w:val="28"/>
          <w:szCs w:val="28"/>
          <w:lang w:val="en-US"/>
        </w:rPr>
        <w:t xml:space="preserve"> </w:t>
      </w:r>
      <w:r w:rsidR="00081D2B" w:rsidRPr="0034627C">
        <w:rPr>
          <w:rFonts w:ascii="Times New Roman" w:hAnsi="Times New Roman" w:cs="Times New Roman"/>
          <w:sz w:val="28"/>
          <w:szCs w:val="28"/>
          <w:lang w:val="en-US"/>
        </w:rPr>
        <w:t xml:space="preserve">which naturally implicates the </w:t>
      </w:r>
      <w:r w:rsidR="0029227A" w:rsidRPr="0034627C">
        <w:rPr>
          <w:rFonts w:ascii="Times New Roman" w:hAnsi="Times New Roman" w:cs="Times New Roman"/>
          <w:sz w:val="28"/>
          <w:szCs w:val="28"/>
          <w:lang w:val="en-US"/>
        </w:rPr>
        <w:t xml:space="preserve">constitutional right to </w:t>
      </w:r>
      <w:r w:rsidR="00161E4A" w:rsidRPr="0034627C">
        <w:rPr>
          <w:rFonts w:ascii="Times New Roman" w:hAnsi="Times New Roman" w:cs="Times New Roman"/>
          <w:sz w:val="28"/>
          <w:szCs w:val="28"/>
          <w:lang w:val="en-US"/>
        </w:rPr>
        <w:t>fair and just administrative action</w:t>
      </w:r>
      <w:r w:rsidR="00736661" w:rsidRPr="0034627C">
        <w:rPr>
          <w:rFonts w:ascii="Times New Roman" w:hAnsi="Times New Roman" w:cs="Times New Roman"/>
          <w:sz w:val="28"/>
          <w:szCs w:val="28"/>
          <w:lang w:val="en-US"/>
        </w:rPr>
        <w:t xml:space="preserve"> under the provisions of</w:t>
      </w:r>
      <w:r w:rsidR="006D6B1D" w:rsidRPr="0034627C">
        <w:rPr>
          <w:rFonts w:ascii="Times New Roman" w:hAnsi="Times New Roman" w:cs="Times New Roman"/>
          <w:sz w:val="28"/>
          <w:szCs w:val="28"/>
          <w:lang w:val="en-US"/>
        </w:rPr>
        <w:t xml:space="preserve"> the promotion of </w:t>
      </w:r>
      <w:r w:rsidR="002E2B84" w:rsidRPr="0034627C">
        <w:rPr>
          <w:rFonts w:ascii="Times New Roman" w:hAnsi="Times New Roman" w:cs="Times New Roman"/>
          <w:sz w:val="28"/>
          <w:szCs w:val="28"/>
          <w:lang w:val="en-US"/>
        </w:rPr>
        <w:t>Administrative</w:t>
      </w:r>
      <w:r w:rsidR="006D6B1D" w:rsidRPr="0034627C">
        <w:rPr>
          <w:rFonts w:ascii="Times New Roman" w:hAnsi="Times New Roman" w:cs="Times New Roman"/>
          <w:sz w:val="28"/>
          <w:szCs w:val="28"/>
          <w:lang w:val="en-US"/>
        </w:rPr>
        <w:t xml:space="preserve"> Justice Act, </w:t>
      </w:r>
      <w:r w:rsidR="002E2B84" w:rsidRPr="0034627C">
        <w:rPr>
          <w:rFonts w:ascii="Times New Roman" w:hAnsi="Times New Roman" w:cs="Times New Roman"/>
          <w:sz w:val="28"/>
          <w:szCs w:val="28"/>
          <w:lang w:val="en-US"/>
        </w:rPr>
        <w:t>No. 3 of 2000 (“PAJA”</w:t>
      </w:r>
      <w:r w:rsidR="00170C93" w:rsidRPr="0034627C">
        <w:rPr>
          <w:rFonts w:ascii="Times New Roman" w:hAnsi="Times New Roman" w:cs="Times New Roman"/>
          <w:sz w:val="28"/>
          <w:szCs w:val="28"/>
          <w:lang w:val="en-US"/>
        </w:rPr>
        <w:t xml:space="preserve">) </w:t>
      </w:r>
      <w:r w:rsidR="006F5367" w:rsidRPr="0034627C">
        <w:rPr>
          <w:rFonts w:ascii="Times New Roman" w:hAnsi="Times New Roman" w:cs="Times New Roman"/>
          <w:sz w:val="28"/>
          <w:szCs w:val="28"/>
          <w:lang w:val="en-US"/>
        </w:rPr>
        <w:t>that</w:t>
      </w:r>
      <w:r w:rsidR="00170C93" w:rsidRPr="0034627C">
        <w:rPr>
          <w:rFonts w:ascii="Times New Roman" w:hAnsi="Times New Roman" w:cs="Times New Roman"/>
          <w:sz w:val="28"/>
          <w:szCs w:val="28"/>
          <w:lang w:val="en-US"/>
        </w:rPr>
        <w:t xml:space="preserve"> provides </w:t>
      </w:r>
      <w:r w:rsidR="006F5367" w:rsidRPr="0034627C">
        <w:rPr>
          <w:rFonts w:ascii="Times New Roman" w:hAnsi="Times New Roman" w:cs="Times New Roman"/>
          <w:sz w:val="28"/>
          <w:szCs w:val="28"/>
          <w:lang w:val="en-US"/>
        </w:rPr>
        <w:t xml:space="preserve">for </w:t>
      </w:r>
      <w:r w:rsidR="007F3AC2" w:rsidRPr="0034627C">
        <w:rPr>
          <w:rFonts w:ascii="Times New Roman" w:hAnsi="Times New Roman" w:cs="Times New Roman"/>
          <w:sz w:val="28"/>
          <w:szCs w:val="28"/>
          <w:lang w:val="en-US"/>
        </w:rPr>
        <w:t xml:space="preserve">its own </w:t>
      </w:r>
      <w:r w:rsidR="003E45BD" w:rsidRPr="0034627C">
        <w:rPr>
          <w:rFonts w:ascii="Times New Roman" w:hAnsi="Times New Roman" w:cs="Times New Roman"/>
          <w:sz w:val="28"/>
          <w:szCs w:val="28"/>
          <w:lang w:val="en-US"/>
        </w:rPr>
        <w:t xml:space="preserve">unique </w:t>
      </w:r>
      <w:r w:rsidR="007F3AC2" w:rsidRPr="0034627C">
        <w:rPr>
          <w:rFonts w:ascii="Times New Roman" w:hAnsi="Times New Roman" w:cs="Times New Roman"/>
          <w:sz w:val="28"/>
          <w:szCs w:val="28"/>
          <w:lang w:val="en-US"/>
        </w:rPr>
        <w:t>remedies</w:t>
      </w:r>
      <w:r w:rsidR="00CB4980" w:rsidRPr="0034627C">
        <w:rPr>
          <w:rFonts w:ascii="Times New Roman" w:hAnsi="Times New Roman" w:cs="Times New Roman"/>
          <w:sz w:val="28"/>
          <w:szCs w:val="28"/>
          <w:lang w:val="en-US"/>
        </w:rPr>
        <w:t xml:space="preserve"> and or consequences of</w:t>
      </w:r>
      <w:r w:rsidR="00207B34" w:rsidRPr="0034627C">
        <w:rPr>
          <w:rFonts w:ascii="Times New Roman" w:hAnsi="Times New Roman" w:cs="Times New Roman"/>
          <w:sz w:val="28"/>
          <w:szCs w:val="28"/>
          <w:lang w:val="en-US"/>
        </w:rPr>
        <w:t xml:space="preserve"> any </w:t>
      </w:r>
      <w:r w:rsidR="00671874" w:rsidRPr="0034627C">
        <w:rPr>
          <w:rFonts w:ascii="Times New Roman" w:hAnsi="Times New Roman" w:cs="Times New Roman"/>
          <w:sz w:val="28"/>
          <w:szCs w:val="28"/>
          <w:lang w:val="en-US"/>
        </w:rPr>
        <w:t>unfair or unjust administrative action</w:t>
      </w:r>
      <w:r w:rsidR="00F76F22" w:rsidRPr="0034627C">
        <w:rPr>
          <w:rFonts w:ascii="Times New Roman" w:hAnsi="Times New Roman" w:cs="Times New Roman"/>
          <w:sz w:val="28"/>
          <w:szCs w:val="28"/>
          <w:lang w:val="en-US"/>
        </w:rPr>
        <w:t>.</w:t>
      </w:r>
      <w:r w:rsidR="00AB0E5F">
        <w:rPr>
          <w:rStyle w:val="FootnoteReference"/>
          <w:rFonts w:ascii="Times New Roman" w:hAnsi="Times New Roman" w:cs="Times New Roman"/>
          <w:sz w:val="28"/>
          <w:szCs w:val="28"/>
          <w:lang w:val="en-US"/>
        </w:rPr>
        <w:footnoteReference w:id="35"/>
      </w:r>
      <w:r w:rsidR="00F0143F" w:rsidRPr="0034627C">
        <w:rPr>
          <w:rFonts w:ascii="Times New Roman" w:hAnsi="Times New Roman" w:cs="Times New Roman"/>
          <w:sz w:val="28"/>
          <w:szCs w:val="28"/>
          <w:lang w:val="en-US"/>
        </w:rPr>
        <w:t xml:space="preserve"> </w:t>
      </w:r>
      <w:r w:rsidR="00F76F22" w:rsidRPr="0034627C">
        <w:rPr>
          <w:rFonts w:ascii="Times New Roman" w:hAnsi="Times New Roman" w:cs="Times New Roman"/>
          <w:sz w:val="28"/>
          <w:szCs w:val="28"/>
          <w:lang w:val="en-US"/>
        </w:rPr>
        <w:t xml:space="preserve">In </w:t>
      </w:r>
      <w:r w:rsidR="00692697" w:rsidRPr="0034627C">
        <w:rPr>
          <w:rFonts w:ascii="Times New Roman" w:hAnsi="Times New Roman" w:cs="Times New Roman"/>
          <w:sz w:val="28"/>
          <w:szCs w:val="28"/>
          <w:lang w:val="en-US"/>
        </w:rPr>
        <w:t>such a</w:t>
      </w:r>
      <w:r w:rsidR="00F76F22" w:rsidRPr="0034627C">
        <w:rPr>
          <w:rFonts w:ascii="Times New Roman" w:hAnsi="Times New Roman" w:cs="Times New Roman"/>
          <w:sz w:val="28"/>
          <w:szCs w:val="28"/>
          <w:lang w:val="en-US"/>
        </w:rPr>
        <w:t xml:space="preserve"> setting </w:t>
      </w:r>
      <w:r w:rsidR="00F0143F" w:rsidRPr="0034627C">
        <w:rPr>
          <w:rFonts w:ascii="Times New Roman" w:hAnsi="Times New Roman" w:cs="Times New Roman"/>
          <w:sz w:val="28"/>
          <w:szCs w:val="28"/>
          <w:lang w:val="en-US"/>
        </w:rPr>
        <w:t xml:space="preserve">the element of </w:t>
      </w:r>
      <w:r w:rsidR="00674A19" w:rsidRPr="0034627C">
        <w:rPr>
          <w:rFonts w:ascii="Times New Roman" w:hAnsi="Times New Roman" w:cs="Times New Roman"/>
          <w:sz w:val="28"/>
          <w:szCs w:val="28"/>
          <w:lang w:val="en-US"/>
        </w:rPr>
        <w:t>wrongfulness</w:t>
      </w:r>
      <w:r w:rsidR="00EF20A6" w:rsidRPr="0034627C">
        <w:rPr>
          <w:rFonts w:ascii="Times New Roman" w:hAnsi="Times New Roman" w:cs="Times New Roman"/>
          <w:sz w:val="28"/>
          <w:szCs w:val="28"/>
          <w:lang w:val="en-US"/>
        </w:rPr>
        <w:t xml:space="preserve"> </w:t>
      </w:r>
      <w:r w:rsidR="00F76F22" w:rsidRPr="0034627C">
        <w:rPr>
          <w:rFonts w:ascii="Times New Roman" w:hAnsi="Times New Roman" w:cs="Times New Roman"/>
          <w:sz w:val="28"/>
          <w:szCs w:val="28"/>
          <w:lang w:val="en-US"/>
        </w:rPr>
        <w:t xml:space="preserve">similarly </w:t>
      </w:r>
      <w:r w:rsidR="00EF20A6" w:rsidRPr="0034627C">
        <w:rPr>
          <w:rFonts w:ascii="Times New Roman" w:hAnsi="Times New Roman" w:cs="Times New Roman"/>
          <w:sz w:val="28"/>
          <w:szCs w:val="28"/>
          <w:lang w:val="en-US"/>
        </w:rPr>
        <w:t xml:space="preserve">cannot be assumed to exist in the presence of </w:t>
      </w:r>
      <w:r w:rsidR="00674A19" w:rsidRPr="0034627C">
        <w:rPr>
          <w:rFonts w:ascii="Times New Roman" w:hAnsi="Times New Roman" w:cs="Times New Roman"/>
          <w:sz w:val="28"/>
          <w:szCs w:val="28"/>
          <w:lang w:val="en-US"/>
        </w:rPr>
        <w:t xml:space="preserve">illegality or unlawfulness. </w:t>
      </w:r>
      <w:r w:rsidR="002415D6" w:rsidRPr="0034627C">
        <w:rPr>
          <w:rFonts w:ascii="Times New Roman" w:hAnsi="Times New Roman" w:cs="Times New Roman"/>
          <w:sz w:val="28"/>
          <w:szCs w:val="28"/>
          <w:lang w:val="en-US"/>
        </w:rPr>
        <w:t xml:space="preserve"> </w:t>
      </w:r>
      <w:r w:rsidR="00F02CC8" w:rsidRPr="0034627C">
        <w:rPr>
          <w:rFonts w:ascii="Times New Roman" w:hAnsi="Times New Roman" w:cs="Times New Roman"/>
          <w:sz w:val="28"/>
          <w:szCs w:val="28"/>
          <w:lang w:val="en-US"/>
        </w:rPr>
        <w:t xml:space="preserve">An administrator </w:t>
      </w:r>
      <w:r w:rsidR="00B26B74" w:rsidRPr="0034627C">
        <w:rPr>
          <w:rFonts w:ascii="Times New Roman" w:hAnsi="Times New Roman" w:cs="Times New Roman"/>
          <w:sz w:val="28"/>
          <w:szCs w:val="28"/>
          <w:lang w:val="en-US"/>
        </w:rPr>
        <w:t xml:space="preserve">may be liable in delict for damages caused </w:t>
      </w:r>
      <w:r w:rsidR="00BC1B3E" w:rsidRPr="0034627C">
        <w:rPr>
          <w:rFonts w:ascii="Times New Roman" w:hAnsi="Times New Roman" w:cs="Times New Roman"/>
          <w:sz w:val="28"/>
          <w:szCs w:val="28"/>
          <w:lang w:val="en-US"/>
        </w:rPr>
        <w:t>during</w:t>
      </w:r>
      <w:r w:rsidR="000661B6" w:rsidRPr="0034627C">
        <w:rPr>
          <w:rFonts w:ascii="Times New Roman" w:hAnsi="Times New Roman" w:cs="Times New Roman"/>
          <w:sz w:val="28"/>
          <w:szCs w:val="28"/>
          <w:lang w:val="en-US"/>
        </w:rPr>
        <w:t xml:space="preserve"> </w:t>
      </w:r>
      <w:r w:rsidR="00BC1B3E" w:rsidRPr="0034627C">
        <w:rPr>
          <w:rFonts w:ascii="Times New Roman" w:hAnsi="Times New Roman" w:cs="Times New Roman"/>
          <w:sz w:val="28"/>
          <w:szCs w:val="28"/>
          <w:lang w:val="en-US"/>
        </w:rPr>
        <w:t>or as a result of</w:t>
      </w:r>
      <w:r w:rsidR="000661B6" w:rsidRPr="0034627C">
        <w:rPr>
          <w:rFonts w:ascii="Times New Roman" w:hAnsi="Times New Roman" w:cs="Times New Roman"/>
          <w:sz w:val="28"/>
          <w:szCs w:val="28"/>
          <w:lang w:val="en-US"/>
        </w:rPr>
        <w:t xml:space="preserve"> the performance of their </w:t>
      </w:r>
      <w:r w:rsidR="00E97E6A" w:rsidRPr="0034627C">
        <w:rPr>
          <w:rFonts w:ascii="Times New Roman" w:hAnsi="Times New Roman" w:cs="Times New Roman"/>
          <w:sz w:val="28"/>
          <w:szCs w:val="28"/>
          <w:lang w:val="en-US"/>
        </w:rPr>
        <w:t xml:space="preserve">statutory </w:t>
      </w:r>
      <w:r w:rsidR="0033642B" w:rsidRPr="0034627C">
        <w:rPr>
          <w:rFonts w:ascii="Times New Roman" w:hAnsi="Times New Roman" w:cs="Times New Roman"/>
          <w:sz w:val="28"/>
          <w:szCs w:val="28"/>
          <w:lang w:val="en-US"/>
        </w:rPr>
        <w:t>functions but</w:t>
      </w:r>
      <w:r w:rsidR="00D520E3" w:rsidRPr="0034627C">
        <w:rPr>
          <w:rFonts w:ascii="Times New Roman" w:hAnsi="Times New Roman" w:cs="Times New Roman"/>
          <w:sz w:val="28"/>
          <w:szCs w:val="28"/>
          <w:lang w:val="en-US"/>
        </w:rPr>
        <w:t xml:space="preserve"> would escape liability by showing that their actions </w:t>
      </w:r>
      <w:r w:rsidR="00BA4ED2" w:rsidRPr="0034627C">
        <w:rPr>
          <w:rFonts w:ascii="Times New Roman" w:hAnsi="Times New Roman" w:cs="Times New Roman"/>
          <w:sz w:val="28"/>
          <w:szCs w:val="28"/>
          <w:lang w:val="en-US"/>
        </w:rPr>
        <w:t xml:space="preserve">were authorized by statute </w:t>
      </w:r>
      <w:r w:rsidR="006F4945" w:rsidRPr="0034627C">
        <w:rPr>
          <w:rFonts w:ascii="Times New Roman" w:hAnsi="Times New Roman" w:cs="Times New Roman"/>
          <w:sz w:val="28"/>
          <w:szCs w:val="28"/>
          <w:lang w:val="en-US"/>
        </w:rPr>
        <w:t>(</w:t>
      </w:r>
      <w:r w:rsidR="00D559B2" w:rsidRPr="0034627C">
        <w:rPr>
          <w:rFonts w:ascii="Times New Roman" w:hAnsi="Times New Roman" w:cs="Times New Roman"/>
          <w:sz w:val="28"/>
          <w:szCs w:val="28"/>
          <w:lang w:val="en-US"/>
        </w:rPr>
        <w:t xml:space="preserve">it is obvious that an action authorized by </w:t>
      </w:r>
      <w:r w:rsidR="00CC2BEC" w:rsidRPr="0034627C">
        <w:rPr>
          <w:rFonts w:ascii="Times New Roman" w:hAnsi="Times New Roman" w:cs="Times New Roman"/>
          <w:sz w:val="28"/>
          <w:szCs w:val="28"/>
          <w:lang w:val="en-US"/>
        </w:rPr>
        <w:t>statu</w:t>
      </w:r>
      <w:r w:rsidR="00AD0586" w:rsidRPr="0034627C">
        <w:rPr>
          <w:rFonts w:ascii="Times New Roman" w:hAnsi="Times New Roman" w:cs="Times New Roman"/>
          <w:sz w:val="28"/>
          <w:szCs w:val="28"/>
          <w:lang w:val="en-US"/>
        </w:rPr>
        <w:t>t</w:t>
      </w:r>
      <w:r w:rsidR="00CC2BEC" w:rsidRPr="0034627C">
        <w:rPr>
          <w:rFonts w:ascii="Times New Roman" w:hAnsi="Times New Roman" w:cs="Times New Roman"/>
          <w:sz w:val="28"/>
          <w:szCs w:val="28"/>
          <w:lang w:val="en-US"/>
        </w:rPr>
        <w:t>e</w:t>
      </w:r>
      <w:r w:rsidR="00D559B2" w:rsidRPr="0034627C">
        <w:rPr>
          <w:rFonts w:ascii="Times New Roman" w:hAnsi="Times New Roman" w:cs="Times New Roman"/>
          <w:sz w:val="28"/>
          <w:szCs w:val="28"/>
          <w:lang w:val="en-US"/>
        </w:rPr>
        <w:t xml:space="preserve"> </w:t>
      </w:r>
      <w:r w:rsidR="00CC2BEC" w:rsidRPr="0034627C">
        <w:rPr>
          <w:rFonts w:ascii="Times New Roman" w:hAnsi="Times New Roman" w:cs="Times New Roman"/>
          <w:sz w:val="28"/>
          <w:szCs w:val="28"/>
          <w:lang w:val="en-US"/>
        </w:rPr>
        <w:t xml:space="preserve">cannot be wrongful even if it infringes </w:t>
      </w:r>
      <w:r w:rsidR="00AD0586" w:rsidRPr="0034627C">
        <w:rPr>
          <w:rFonts w:ascii="Times New Roman" w:hAnsi="Times New Roman" w:cs="Times New Roman"/>
          <w:sz w:val="28"/>
          <w:szCs w:val="28"/>
          <w:lang w:val="en-US"/>
        </w:rPr>
        <w:t>rights</w:t>
      </w:r>
      <w:r w:rsidR="00CC2BEC" w:rsidRPr="0034627C">
        <w:rPr>
          <w:rFonts w:ascii="Times New Roman" w:hAnsi="Times New Roman" w:cs="Times New Roman"/>
          <w:sz w:val="28"/>
          <w:szCs w:val="28"/>
          <w:lang w:val="en-US"/>
        </w:rPr>
        <w:t xml:space="preserve"> or causes other harm</w:t>
      </w:r>
      <w:r w:rsidR="00F631C2" w:rsidRPr="0034627C">
        <w:rPr>
          <w:rFonts w:ascii="Times New Roman" w:hAnsi="Times New Roman" w:cs="Times New Roman"/>
          <w:sz w:val="28"/>
          <w:szCs w:val="28"/>
          <w:lang w:val="en-US"/>
        </w:rPr>
        <w:t>)</w:t>
      </w:r>
      <w:r w:rsidR="006F371E" w:rsidRPr="0034627C">
        <w:rPr>
          <w:rFonts w:ascii="Times New Roman" w:hAnsi="Times New Roman" w:cs="Times New Roman"/>
          <w:sz w:val="28"/>
          <w:szCs w:val="28"/>
          <w:lang w:val="en-US"/>
        </w:rPr>
        <w:t>,</w:t>
      </w:r>
      <w:r w:rsidR="00F631C2" w:rsidRPr="0034627C">
        <w:rPr>
          <w:rFonts w:ascii="Times New Roman" w:hAnsi="Times New Roman" w:cs="Times New Roman"/>
          <w:sz w:val="28"/>
          <w:szCs w:val="28"/>
          <w:lang w:val="en-US"/>
        </w:rPr>
        <w:t xml:space="preserve"> or</w:t>
      </w:r>
      <w:r w:rsidR="00BA4ED2" w:rsidRPr="0034627C">
        <w:rPr>
          <w:rFonts w:ascii="Times New Roman" w:hAnsi="Times New Roman" w:cs="Times New Roman"/>
          <w:sz w:val="28"/>
          <w:szCs w:val="28"/>
          <w:lang w:val="en-US"/>
        </w:rPr>
        <w:t xml:space="preserve"> </w:t>
      </w:r>
      <w:r w:rsidR="00EC2193" w:rsidRPr="0034627C">
        <w:rPr>
          <w:rFonts w:ascii="Times New Roman" w:hAnsi="Times New Roman" w:cs="Times New Roman"/>
          <w:sz w:val="28"/>
          <w:szCs w:val="28"/>
          <w:lang w:val="en-US"/>
        </w:rPr>
        <w:t xml:space="preserve">on the basis that they </w:t>
      </w:r>
      <w:r w:rsidR="00CC2C21" w:rsidRPr="0034627C">
        <w:rPr>
          <w:rFonts w:ascii="Times New Roman" w:hAnsi="Times New Roman" w:cs="Times New Roman"/>
          <w:sz w:val="28"/>
          <w:szCs w:val="28"/>
          <w:lang w:val="en-US"/>
        </w:rPr>
        <w:t xml:space="preserve">were </w:t>
      </w:r>
      <w:r w:rsidR="00BA4ED2" w:rsidRPr="0034627C">
        <w:rPr>
          <w:rFonts w:ascii="Times New Roman" w:hAnsi="Times New Roman" w:cs="Times New Roman"/>
          <w:sz w:val="28"/>
          <w:szCs w:val="28"/>
          <w:lang w:val="en-US"/>
        </w:rPr>
        <w:t xml:space="preserve">otherwise </w:t>
      </w:r>
      <w:r w:rsidR="00CC2C21" w:rsidRPr="0034627C">
        <w:rPr>
          <w:rFonts w:ascii="Times New Roman" w:hAnsi="Times New Roman" w:cs="Times New Roman"/>
          <w:sz w:val="28"/>
          <w:szCs w:val="28"/>
          <w:lang w:val="en-US"/>
        </w:rPr>
        <w:t>lawful.</w:t>
      </w:r>
      <w:r w:rsidR="008924AA">
        <w:rPr>
          <w:rStyle w:val="FootnoteReference"/>
          <w:rFonts w:ascii="Times New Roman" w:hAnsi="Times New Roman" w:cs="Times New Roman"/>
          <w:sz w:val="28"/>
          <w:szCs w:val="28"/>
          <w:lang w:val="en-US"/>
        </w:rPr>
        <w:footnoteReference w:id="36"/>
      </w:r>
    </w:p>
    <w:p w14:paraId="3534F0A2" w14:textId="77777777" w:rsidR="00D9196B" w:rsidRPr="00D9196B" w:rsidRDefault="00D9196B" w:rsidP="00D9196B">
      <w:pPr>
        <w:pStyle w:val="ListParagraph"/>
        <w:rPr>
          <w:rFonts w:ascii="Times New Roman" w:hAnsi="Times New Roman" w:cs="Times New Roman"/>
          <w:sz w:val="28"/>
          <w:szCs w:val="28"/>
          <w:lang w:val="en-US"/>
        </w:rPr>
      </w:pPr>
    </w:p>
    <w:p w14:paraId="16B9F238" w14:textId="30CBBAD0" w:rsidR="005F59ED"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[38]</w:t>
      </w:r>
      <w:r>
        <w:rPr>
          <w:rFonts w:ascii="Times New Roman" w:hAnsi="Times New Roman" w:cs="Times New Roman"/>
          <w:sz w:val="28"/>
          <w:szCs w:val="28"/>
          <w:lang w:val="en-US"/>
        </w:rPr>
        <w:tab/>
      </w:r>
      <w:r w:rsidR="00843380" w:rsidRPr="0034627C">
        <w:rPr>
          <w:rFonts w:ascii="Times New Roman" w:hAnsi="Times New Roman" w:cs="Times New Roman"/>
          <w:sz w:val="28"/>
          <w:szCs w:val="28"/>
          <w:lang w:val="en-US"/>
        </w:rPr>
        <w:t xml:space="preserve">The </w:t>
      </w:r>
      <w:r w:rsidR="00DF6988" w:rsidRPr="0034627C">
        <w:rPr>
          <w:rFonts w:ascii="Times New Roman" w:hAnsi="Times New Roman" w:cs="Times New Roman"/>
          <w:sz w:val="28"/>
          <w:szCs w:val="28"/>
          <w:lang w:val="en-US"/>
        </w:rPr>
        <w:t>breach of a constitutional or statutory provision</w:t>
      </w:r>
      <w:r w:rsidR="00B51D1D" w:rsidRPr="0034627C">
        <w:rPr>
          <w:rFonts w:ascii="Times New Roman" w:hAnsi="Times New Roman" w:cs="Times New Roman"/>
          <w:sz w:val="28"/>
          <w:szCs w:val="28"/>
          <w:lang w:val="en-US"/>
        </w:rPr>
        <w:t xml:space="preserve"> (</w:t>
      </w:r>
      <w:r w:rsidR="00B5330B" w:rsidRPr="0034627C">
        <w:rPr>
          <w:rFonts w:ascii="Times New Roman" w:hAnsi="Times New Roman" w:cs="Times New Roman"/>
          <w:sz w:val="28"/>
          <w:szCs w:val="28"/>
          <w:lang w:val="en-US"/>
        </w:rPr>
        <w:t>generally</w:t>
      </w:r>
      <w:r w:rsidR="00345A30" w:rsidRPr="0034627C">
        <w:rPr>
          <w:rFonts w:ascii="Times New Roman" w:hAnsi="Times New Roman" w:cs="Times New Roman"/>
          <w:sz w:val="28"/>
          <w:szCs w:val="28"/>
          <w:lang w:val="en-US"/>
        </w:rPr>
        <w:t xml:space="preserve"> </w:t>
      </w:r>
      <w:r w:rsidR="00B51D1D" w:rsidRPr="0034627C">
        <w:rPr>
          <w:rFonts w:ascii="Times New Roman" w:hAnsi="Times New Roman" w:cs="Times New Roman"/>
          <w:sz w:val="28"/>
          <w:szCs w:val="28"/>
          <w:lang w:val="en-US"/>
        </w:rPr>
        <w:t>appli</w:t>
      </w:r>
      <w:r w:rsidR="00ED76A9" w:rsidRPr="0034627C">
        <w:rPr>
          <w:rFonts w:ascii="Times New Roman" w:hAnsi="Times New Roman" w:cs="Times New Roman"/>
          <w:sz w:val="28"/>
          <w:szCs w:val="28"/>
          <w:lang w:val="en-US"/>
        </w:rPr>
        <w:t xml:space="preserve">cable to the performance of </w:t>
      </w:r>
      <w:r w:rsidR="00C2301B" w:rsidRPr="0034627C">
        <w:rPr>
          <w:rFonts w:ascii="Times New Roman" w:hAnsi="Times New Roman" w:cs="Times New Roman"/>
          <w:sz w:val="28"/>
          <w:szCs w:val="28"/>
          <w:lang w:val="en-US"/>
        </w:rPr>
        <w:t>an</w:t>
      </w:r>
      <w:r w:rsidR="00ED76A9" w:rsidRPr="0034627C">
        <w:rPr>
          <w:rFonts w:ascii="Times New Roman" w:hAnsi="Times New Roman" w:cs="Times New Roman"/>
          <w:sz w:val="28"/>
          <w:szCs w:val="28"/>
          <w:lang w:val="en-US"/>
        </w:rPr>
        <w:t xml:space="preserve"> </w:t>
      </w:r>
      <w:r w:rsidR="00573C2F" w:rsidRPr="0034627C">
        <w:rPr>
          <w:rFonts w:ascii="Times New Roman" w:hAnsi="Times New Roman" w:cs="Times New Roman"/>
          <w:sz w:val="28"/>
          <w:szCs w:val="28"/>
          <w:lang w:val="en-US"/>
        </w:rPr>
        <w:t>administrative function)</w:t>
      </w:r>
      <w:r w:rsidR="00DF6988" w:rsidRPr="0034627C">
        <w:rPr>
          <w:rFonts w:ascii="Times New Roman" w:hAnsi="Times New Roman" w:cs="Times New Roman"/>
          <w:sz w:val="28"/>
          <w:szCs w:val="28"/>
          <w:lang w:val="en-US"/>
        </w:rPr>
        <w:t xml:space="preserve"> does not</w:t>
      </w:r>
      <w:r w:rsidR="00ED23B9" w:rsidRPr="0034627C">
        <w:rPr>
          <w:rFonts w:ascii="Times New Roman" w:hAnsi="Times New Roman" w:cs="Times New Roman"/>
          <w:sz w:val="28"/>
          <w:szCs w:val="28"/>
          <w:lang w:val="en-US"/>
        </w:rPr>
        <w:t xml:space="preserve">, </w:t>
      </w:r>
      <w:r w:rsidR="00DF6988" w:rsidRPr="0034627C">
        <w:rPr>
          <w:rFonts w:ascii="Times New Roman" w:hAnsi="Times New Roman" w:cs="Times New Roman"/>
          <w:i/>
          <w:iCs/>
          <w:sz w:val="28"/>
          <w:szCs w:val="28"/>
          <w:lang w:val="en-US"/>
        </w:rPr>
        <w:t>without more</w:t>
      </w:r>
      <w:r w:rsidR="00D91390" w:rsidRPr="0034627C">
        <w:rPr>
          <w:rFonts w:ascii="Times New Roman" w:hAnsi="Times New Roman" w:cs="Times New Roman"/>
          <w:sz w:val="28"/>
          <w:szCs w:val="28"/>
          <w:lang w:val="en-US"/>
        </w:rPr>
        <w:t xml:space="preserve">, </w:t>
      </w:r>
      <w:r w:rsidR="00DF6988" w:rsidRPr="0034627C">
        <w:rPr>
          <w:rFonts w:ascii="Times New Roman" w:hAnsi="Times New Roman" w:cs="Times New Roman"/>
          <w:sz w:val="28"/>
          <w:szCs w:val="28"/>
          <w:lang w:val="en-US"/>
        </w:rPr>
        <w:t xml:space="preserve">give rise to </w:t>
      </w:r>
      <w:r w:rsidR="00C22F28" w:rsidRPr="0034627C">
        <w:rPr>
          <w:rFonts w:ascii="Times New Roman" w:hAnsi="Times New Roman" w:cs="Times New Roman"/>
          <w:sz w:val="28"/>
          <w:szCs w:val="28"/>
          <w:lang w:val="en-US"/>
        </w:rPr>
        <w:t>a delictual</w:t>
      </w:r>
      <w:r w:rsidR="00DF6988" w:rsidRPr="0034627C">
        <w:rPr>
          <w:rFonts w:ascii="Times New Roman" w:hAnsi="Times New Roman" w:cs="Times New Roman"/>
          <w:sz w:val="28"/>
          <w:szCs w:val="28"/>
          <w:lang w:val="en-US"/>
        </w:rPr>
        <w:t xml:space="preserve"> claim. It may </w:t>
      </w:r>
      <w:r w:rsidR="00ED23B9" w:rsidRPr="0034627C">
        <w:rPr>
          <w:rFonts w:ascii="Times New Roman" w:hAnsi="Times New Roman" w:cs="Times New Roman"/>
          <w:sz w:val="28"/>
          <w:szCs w:val="28"/>
          <w:lang w:val="en-US"/>
        </w:rPr>
        <w:t>however</w:t>
      </w:r>
      <w:r w:rsidR="00DF6988" w:rsidRPr="0034627C">
        <w:rPr>
          <w:rFonts w:ascii="Times New Roman" w:hAnsi="Times New Roman" w:cs="Times New Roman"/>
          <w:sz w:val="28"/>
          <w:szCs w:val="28"/>
          <w:lang w:val="en-US"/>
        </w:rPr>
        <w:t xml:space="preserve"> do so in either of two circumstances. The first is when, on </w:t>
      </w:r>
      <w:r w:rsidR="00474EF0" w:rsidRPr="0034627C">
        <w:rPr>
          <w:rFonts w:ascii="Times New Roman" w:hAnsi="Times New Roman" w:cs="Times New Roman"/>
          <w:sz w:val="28"/>
          <w:szCs w:val="28"/>
          <w:lang w:val="en-US"/>
        </w:rPr>
        <w:t xml:space="preserve">a </w:t>
      </w:r>
      <w:r w:rsidR="00C22F28" w:rsidRPr="0034627C">
        <w:rPr>
          <w:rFonts w:ascii="Times New Roman" w:hAnsi="Times New Roman" w:cs="Times New Roman"/>
          <w:sz w:val="28"/>
          <w:szCs w:val="28"/>
          <w:lang w:val="en-US"/>
        </w:rPr>
        <w:t>proper</w:t>
      </w:r>
      <w:r w:rsidR="00DF6988" w:rsidRPr="0034627C">
        <w:rPr>
          <w:rFonts w:ascii="Times New Roman" w:hAnsi="Times New Roman" w:cs="Times New Roman"/>
          <w:sz w:val="28"/>
          <w:szCs w:val="28"/>
          <w:lang w:val="en-US"/>
        </w:rPr>
        <w:t xml:space="preserve"> construction, the breach of the </w:t>
      </w:r>
      <w:r w:rsidR="00B5330B" w:rsidRPr="0034627C">
        <w:rPr>
          <w:rFonts w:ascii="Times New Roman" w:hAnsi="Times New Roman" w:cs="Times New Roman"/>
          <w:sz w:val="28"/>
          <w:szCs w:val="28"/>
          <w:lang w:val="en-US"/>
        </w:rPr>
        <w:t>empowering</w:t>
      </w:r>
      <w:r w:rsidR="00DF6988" w:rsidRPr="0034627C">
        <w:rPr>
          <w:rFonts w:ascii="Times New Roman" w:hAnsi="Times New Roman" w:cs="Times New Roman"/>
          <w:sz w:val="28"/>
          <w:szCs w:val="28"/>
          <w:lang w:val="en-US"/>
        </w:rPr>
        <w:t xml:space="preserve"> provision imposes an obligation to pay damages for loss caused by the breach</w:t>
      </w:r>
      <w:r w:rsidR="001863DD" w:rsidRPr="0034627C">
        <w:rPr>
          <w:rFonts w:ascii="Times New Roman" w:hAnsi="Times New Roman" w:cs="Times New Roman"/>
          <w:sz w:val="28"/>
          <w:szCs w:val="28"/>
          <w:lang w:val="en-US"/>
        </w:rPr>
        <w:t>.</w:t>
      </w:r>
      <w:r w:rsidR="004C6458">
        <w:rPr>
          <w:rStyle w:val="FootnoteReference"/>
          <w:rFonts w:ascii="Times New Roman" w:hAnsi="Times New Roman" w:cs="Times New Roman"/>
          <w:sz w:val="28"/>
          <w:szCs w:val="28"/>
          <w:lang w:val="en-US"/>
        </w:rPr>
        <w:footnoteReference w:id="37"/>
      </w:r>
      <w:r w:rsidR="005577BB" w:rsidRPr="0034627C">
        <w:rPr>
          <w:rFonts w:ascii="Times New Roman" w:hAnsi="Times New Roman" w:cs="Times New Roman"/>
          <w:sz w:val="28"/>
          <w:szCs w:val="28"/>
          <w:lang w:val="en-US"/>
        </w:rPr>
        <w:t xml:space="preserve"> </w:t>
      </w:r>
      <w:r w:rsidR="001863DD" w:rsidRPr="0034627C">
        <w:rPr>
          <w:rFonts w:ascii="Times New Roman" w:hAnsi="Times New Roman" w:cs="Times New Roman"/>
          <w:sz w:val="28"/>
          <w:szCs w:val="28"/>
          <w:lang w:val="en-US"/>
        </w:rPr>
        <w:t xml:space="preserve"> The second is when the statutory provision, taken together with all the relevant facts, and salient constitutional norms, mandates the conclusion that a common law duty, actionable </w:t>
      </w:r>
      <w:r w:rsidR="00452A61" w:rsidRPr="0034627C">
        <w:rPr>
          <w:rFonts w:ascii="Times New Roman" w:hAnsi="Times New Roman" w:cs="Times New Roman"/>
          <w:sz w:val="28"/>
          <w:szCs w:val="28"/>
          <w:lang w:val="en-US"/>
        </w:rPr>
        <w:t>in delict</w:t>
      </w:r>
      <w:r w:rsidR="001863DD" w:rsidRPr="0034627C">
        <w:rPr>
          <w:rFonts w:ascii="Times New Roman" w:hAnsi="Times New Roman" w:cs="Times New Roman"/>
          <w:sz w:val="28"/>
          <w:szCs w:val="28"/>
          <w:lang w:val="en-US"/>
        </w:rPr>
        <w:t>, exists.</w:t>
      </w:r>
      <w:r w:rsidR="00C4104D">
        <w:rPr>
          <w:rStyle w:val="FootnoteReference"/>
          <w:rFonts w:ascii="Times New Roman" w:hAnsi="Times New Roman" w:cs="Times New Roman"/>
          <w:sz w:val="28"/>
          <w:szCs w:val="28"/>
          <w:lang w:val="en-US"/>
        </w:rPr>
        <w:footnoteReference w:id="38"/>
      </w:r>
      <w:r w:rsidR="00B72BFF" w:rsidRPr="0034627C">
        <w:rPr>
          <w:rFonts w:ascii="Times New Roman" w:hAnsi="Times New Roman" w:cs="Times New Roman"/>
          <w:sz w:val="28"/>
          <w:szCs w:val="28"/>
          <w:lang w:val="en-US"/>
        </w:rPr>
        <w:t xml:space="preserve"> </w:t>
      </w:r>
    </w:p>
    <w:p w14:paraId="768E062A" w14:textId="77777777" w:rsidR="005F59ED" w:rsidRPr="005F59ED" w:rsidRDefault="005F59ED" w:rsidP="005F59ED">
      <w:pPr>
        <w:pStyle w:val="ListParagraph"/>
        <w:rPr>
          <w:rFonts w:ascii="Times New Roman" w:hAnsi="Times New Roman" w:cs="Times New Roman"/>
          <w:sz w:val="28"/>
          <w:szCs w:val="28"/>
          <w:lang w:val="en-US"/>
        </w:rPr>
      </w:pPr>
    </w:p>
    <w:p w14:paraId="585A7ECF" w14:textId="2CA9AC5A" w:rsidR="002D6897" w:rsidRPr="0034627C" w:rsidRDefault="0034627C" w:rsidP="0034627C">
      <w:pPr>
        <w:tabs>
          <w:tab w:val="left" w:pos="709"/>
        </w:tabs>
        <w:jc w:val="both"/>
        <w:rPr>
          <w:rFonts w:ascii="Times New Roman" w:hAnsi="Times New Roman" w:cs="Times New Roman"/>
          <w:sz w:val="28"/>
          <w:szCs w:val="28"/>
          <w:lang w:val="en-US"/>
        </w:rPr>
      </w:pPr>
      <w:r w:rsidRPr="005F59ED">
        <w:rPr>
          <w:rFonts w:ascii="Times New Roman" w:hAnsi="Times New Roman" w:cs="Times New Roman"/>
          <w:sz w:val="28"/>
          <w:szCs w:val="28"/>
          <w:lang w:val="en-US"/>
        </w:rPr>
        <w:t>[39]</w:t>
      </w:r>
      <w:r w:rsidRPr="005F59ED">
        <w:rPr>
          <w:rFonts w:ascii="Times New Roman" w:hAnsi="Times New Roman" w:cs="Times New Roman"/>
          <w:sz w:val="28"/>
          <w:szCs w:val="28"/>
          <w:lang w:val="en-US"/>
        </w:rPr>
        <w:tab/>
      </w:r>
      <w:r w:rsidR="00B72BFF" w:rsidRPr="0034627C">
        <w:rPr>
          <w:rFonts w:ascii="Times New Roman" w:hAnsi="Times New Roman" w:cs="Times New Roman"/>
          <w:sz w:val="28"/>
          <w:szCs w:val="28"/>
          <w:lang w:val="en-US"/>
        </w:rPr>
        <w:t xml:space="preserve">These two </w:t>
      </w:r>
      <w:r w:rsidR="00FA04A4" w:rsidRPr="0034627C">
        <w:rPr>
          <w:rFonts w:ascii="Times New Roman" w:hAnsi="Times New Roman" w:cs="Times New Roman"/>
          <w:sz w:val="28"/>
          <w:szCs w:val="28"/>
          <w:lang w:val="en-US"/>
        </w:rPr>
        <w:t>e</w:t>
      </w:r>
      <w:r w:rsidR="00B72BFF" w:rsidRPr="0034627C">
        <w:rPr>
          <w:rFonts w:ascii="Times New Roman" w:hAnsi="Times New Roman" w:cs="Times New Roman"/>
          <w:sz w:val="28"/>
          <w:szCs w:val="28"/>
          <w:lang w:val="en-US"/>
        </w:rPr>
        <w:t xml:space="preserve">nquiries </w:t>
      </w:r>
      <w:r w:rsidR="00297AEA" w:rsidRPr="0034627C">
        <w:rPr>
          <w:rFonts w:ascii="Times New Roman" w:hAnsi="Times New Roman" w:cs="Times New Roman"/>
          <w:sz w:val="28"/>
          <w:szCs w:val="28"/>
          <w:lang w:val="en-US"/>
        </w:rPr>
        <w:t>have been</w:t>
      </w:r>
      <w:r w:rsidR="00991CFD" w:rsidRPr="0034627C">
        <w:rPr>
          <w:rFonts w:ascii="Times New Roman" w:hAnsi="Times New Roman" w:cs="Times New Roman"/>
          <w:sz w:val="28"/>
          <w:szCs w:val="28"/>
          <w:lang w:val="en-US"/>
        </w:rPr>
        <w:t xml:space="preserve"> said to </w:t>
      </w:r>
      <w:r w:rsidR="00B72BFF" w:rsidRPr="0034627C">
        <w:rPr>
          <w:rFonts w:ascii="Times New Roman" w:hAnsi="Times New Roman" w:cs="Times New Roman"/>
          <w:sz w:val="28"/>
          <w:szCs w:val="28"/>
          <w:lang w:val="en-US"/>
        </w:rPr>
        <w:t>overlap.</w:t>
      </w:r>
      <w:r w:rsidR="009669AE">
        <w:rPr>
          <w:rStyle w:val="FootnoteReference"/>
          <w:rFonts w:ascii="Times New Roman" w:hAnsi="Times New Roman" w:cs="Times New Roman"/>
          <w:sz w:val="28"/>
          <w:szCs w:val="28"/>
          <w:lang w:val="en-US"/>
        </w:rPr>
        <w:footnoteReference w:id="39"/>
      </w:r>
      <w:r w:rsidR="00B72BFF" w:rsidRPr="0034627C">
        <w:rPr>
          <w:rFonts w:ascii="Times New Roman" w:hAnsi="Times New Roman" w:cs="Times New Roman"/>
          <w:sz w:val="28"/>
          <w:szCs w:val="28"/>
          <w:lang w:val="en-US"/>
        </w:rPr>
        <w:t xml:space="preserve"> </w:t>
      </w:r>
      <w:r w:rsidR="007744CC" w:rsidRPr="0034627C">
        <w:rPr>
          <w:rFonts w:ascii="Times New Roman" w:hAnsi="Times New Roman" w:cs="Times New Roman"/>
          <w:sz w:val="28"/>
          <w:szCs w:val="28"/>
          <w:lang w:val="en-US"/>
        </w:rPr>
        <w:t xml:space="preserve"> </w:t>
      </w:r>
      <w:r w:rsidR="00B72BFF" w:rsidRPr="0034627C">
        <w:rPr>
          <w:rFonts w:ascii="Times New Roman" w:hAnsi="Times New Roman" w:cs="Times New Roman"/>
          <w:sz w:val="28"/>
          <w:szCs w:val="28"/>
          <w:lang w:val="en-US"/>
        </w:rPr>
        <w:t>If, on a proper construction, a statutory or constitutional provision</w:t>
      </w:r>
      <w:r w:rsidR="00756F63" w:rsidRPr="0034627C">
        <w:rPr>
          <w:rFonts w:ascii="Times New Roman" w:hAnsi="Times New Roman" w:cs="Times New Roman"/>
          <w:sz w:val="28"/>
          <w:szCs w:val="28"/>
          <w:lang w:val="en-US"/>
        </w:rPr>
        <w:t xml:space="preserve"> provides that a litigant is not entitled to recover damages for its breach, then a common law claim for damages </w:t>
      </w:r>
      <w:r w:rsidR="009669AE" w:rsidRPr="0034627C">
        <w:rPr>
          <w:rFonts w:ascii="Times New Roman" w:hAnsi="Times New Roman" w:cs="Times New Roman"/>
          <w:sz w:val="28"/>
          <w:szCs w:val="28"/>
          <w:lang w:val="en-US"/>
        </w:rPr>
        <w:t>ought</w:t>
      </w:r>
      <w:r w:rsidR="00756F63" w:rsidRPr="0034627C">
        <w:rPr>
          <w:rFonts w:ascii="Times New Roman" w:hAnsi="Times New Roman" w:cs="Times New Roman"/>
          <w:sz w:val="28"/>
          <w:szCs w:val="28"/>
          <w:lang w:val="en-US"/>
        </w:rPr>
        <w:t xml:space="preserve"> also not </w:t>
      </w:r>
      <w:r w:rsidR="009669AE" w:rsidRPr="0034627C">
        <w:rPr>
          <w:rFonts w:ascii="Times New Roman" w:hAnsi="Times New Roman" w:cs="Times New Roman"/>
          <w:sz w:val="28"/>
          <w:szCs w:val="28"/>
          <w:lang w:val="en-US"/>
        </w:rPr>
        <w:t xml:space="preserve">to </w:t>
      </w:r>
      <w:r w:rsidR="00756F63" w:rsidRPr="0034627C">
        <w:rPr>
          <w:rFonts w:ascii="Times New Roman" w:hAnsi="Times New Roman" w:cs="Times New Roman"/>
          <w:sz w:val="28"/>
          <w:szCs w:val="28"/>
          <w:lang w:val="en-US"/>
        </w:rPr>
        <w:t>arise</w:t>
      </w:r>
      <w:r w:rsidR="00B111E3" w:rsidRPr="0034627C">
        <w:rPr>
          <w:rFonts w:ascii="Times New Roman" w:hAnsi="Times New Roman" w:cs="Times New Roman"/>
          <w:sz w:val="28"/>
          <w:szCs w:val="28"/>
          <w:lang w:val="en-US"/>
        </w:rPr>
        <w:t xml:space="preserve">. The reason suggested for this is </w:t>
      </w:r>
      <w:r w:rsidR="00A351CA" w:rsidRPr="0034627C">
        <w:rPr>
          <w:rFonts w:ascii="Times New Roman" w:hAnsi="Times New Roman" w:cs="Times New Roman"/>
          <w:sz w:val="28"/>
          <w:szCs w:val="28"/>
          <w:lang w:val="en-US"/>
        </w:rPr>
        <w:t>that</w:t>
      </w:r>
      <w:r w:rsidR="00756F63" w:rsidRPr="0034627C">
        <w:rPr>
          <w:rFonts w:ascii="Times New Roman" w:hAnsi="Times New Roman" w:cs="Times New Roman"/>
          <w:sz w:val="28"/>
          <w:szCs w:val="28"/>
          <w:lang w:val="en-US"/>
        </w:rPr>
        <w:t xml:space="preserve"> to allow for a damages claim would subvert the statutory or constitutional </w:t>
      </w:r>
      <w:r w:rsidR="00150F12" w:rsidRPr="0034627C">
        <w:rPr>
          <w:rFonts w:ascii="Times New Roman" w:hAnsi="Times New Roman" w:cs="Times New Roman"/>
          <w:sz w:val="28"/>
          <w:szCs w:val="28"/>
          <w:lang w:val="en-US"/>
        </w:rPr>
        <w:t>scheme</w:t>
      </w:r>
      <w:r w:rsidR="00297AEA" w:rsidRPr="0034627C">
        <w:rPr>
          <w:rFonts w:ascii="Times New Roman" w:hAnsi="Times New Roman" w:cs="Times New Roman"/>
          <w:sz w:val="28"/>
          <w:szCs w:val="28"/>
          <w:lang w:val="en-US"/>
        </w:rPr>
        <w:t xml:space="preserve"> applicable in a particular factual matrix</w:t>
      </w:r>
      <w:r w:rsidR="00150F12" w:rsidRPr="0034627C">
        <w:rPr>
          <w:rFonts w:ascii="Times New Roman" w:hAnsi="Times New Roman" w:cs="Times New Roman"/>
          <w:sz w:val="28"/>
          <w:szCs w:val="28"/>
          <w:lang w:val="en-US"/>
        </w:rPr>
        <w:t>,</w:t>
      </w:r>
      <w:r w:rsidR="00A351CA" w:rsidRPr="0034627C">
        <w:rPr>
          <w:rFonts w:ascii="Times New Roman" w:hAnsi="Times New Roman" w:cs="Times New Roman"/>
          <w:sz w:val="28"/>
          <w:szCs w:val="28"/>
          <w:lang w:val="en-US"/>
        </w:rPr>
        <w:t xml:space="preserve"> but this does not </w:t>
      </w:r>
      <w:r w:rsidR="00BB5A80" w:rsidRPr="0034627C">
        <w:rPr>
          <w:rFonts w:ascii="Times New Roman" w:hAnsi="Times New Roman" w:cs="Times New Roman"/>
          <w:sz w:val="28"/>
          <w:szCs w:val="28"/>
          <w:lang w:val="en-US"/>
        </w:rPr>
        <w:t>necessarily follow</w:t>
      </w:r>
      <w:r w:rsidR="00756F63" w:rsidRPr="0034627C">
        <w:rPr>
          <w:rFonts w:ascii="Times New Roman" w:hAnsi="Times New Roman" w:cs="Times New Roman"/>
          <w:sz w:val="28"/>
          <w:szCs w:val="28"/>
          <w:lang w:val="en-US"/>
        </w:rPr>
        <w:t xml:space="preserve">. </w:t>
      </w:r>
      <w:r w:rsidR="002D6897" w:rsidRPr="0034627C">
        <w:rPr>
          <w:rFonts w:ascii="Times New Roman" w:hAnsi="Times New Roman" w:cs="Times New Roman"/>
          <w:sz w:val="28"/>
          <w:szCs w:val="28"/>
          <w:lang w:val="en-US"/>
        </w:rPr>
        <w:t xml:space="preserve">In </w:t>
      </w:r>
      <w:r w:rsidR="002D6897" w:rsidRPr="0034627C">
        <w:rPr>
          <w:rFonts w:ascii="Times New Roman" w:hAnsi="Times New Roman" w:cs="Times New Roman"/>
          <w:i/>
          <w:iCs/>
          <w:sz w:val="28"/>
          <w:szCs w:val="28"/>
          <w:lang w:val="en-US"/>
        </w:rPr>
        <w:t>Steenkamp</w:t>
      </w:r>
      <w:r w:rsidR="002D6897" w:rsidRPr="0034627C">
        <w:rPr>
          <w:rFonts w:ascii="Times New Roman" w:hAnsi="Times New Roman" w:cs="Times New Roman"/>
          <w:sz w:val="28"/>
          <w:szCs w:val="28"/>
          <w:lang w:val="en-US"/>
        </w:rPr>
        <w:t xml:space="preserve"> </w:t>
      </w:r>
      <w:r w:rsidR="002D6897" w:rsidRPr="0034627C">
        <w:rPr>
          <w:rFonts w:ascii="Times New Roman" w:hAnsi="Times New Roman" w:cs="Times New Roman"/>
          <w:i/>
          <w:iCs/>
          <w:sz w:val="28"/>
          <w:szCs w:val="28"/>
          <w:lang w:val="en-US"/>
        </w:rPr>
        <w:t>CC</w:t>
      </w:r>
      <w:r w:rsidR="002D6897" w:rsidRPr="0034627C">
        <w:rPr>
          <w:rFonts w:ascii="Times New Roman" w:hAnsi="Times New Roman" w:cs="Times New Roman"/>
          <w:sz w:val="28"/>
          <w:szCs w:val="28"/>
          <w:lang w:val="en-US"/>
        </w:rPr>
        <w:t xml:space="preserve"> Langa CJ and O’Regan J penned a minority judgment in which they disagreed </w:t>
      </w:r>
      <w:r w:rsidR="008004C2" w:rsidRPr="0034627C">
        <w:rPr>
          <w:rFonts w:ascii="Times New Roman" w:hAnsi="Times New Roman" w:cs="Times New Roman"/>
          <w:sz w:val="28"/>
          <w:szCs w:val="28"/>
          <w:lang w:val="en-US"/>
        </w:rPr>
        <w:t xml:space="preserve">with the </w:t>
      </w:r>
      <w:r w:rsidR="00C73F71" w:rsidRPr="0034627C">
        <w:rPr>
          <w:rFonts w:ascii="Times New Roman" w:hAnsi="Times New Roman" w:cs="Times New Roman"/>
          <w:sz w:val="28"/>
          <w:szCs w:val="28"/>
          <w:lang w:val="en-US"/>
        </w:rPr>
        <w:t>proposition</w:t>
      </w:r>
      <w:r w:rsidR="008004C2" w:rsidRPr="0034627C">
        <w:rPr>
          <w:rFonts w:ascii="Times New Roman" w:hAnsi="Times New Roman" w:cs="Times New Roman"/>
          <w:sz w:val="28"/>
          <w:szCs w:val="28"/>
          <w:lang w:val="en-US"/>
        </w:rPr>
        <w:t xml:space="preserve"> that </w:t>
      </w:r>
      <w:r w:rsidR="00C73F71" w:rsidRPr="0034627C">
        <w:rPr>
          <w:rFonts w:ascii="Times New Roman" w:hAnsi="Times New Roman" w:cs="Times New Roman"/>
          <w:sz w:val="28"/>
          <w:szCs w:val="28"/>
          <w:lang w:val="en-US"/>
        </w:rPr>
        <w:t xml:space="preserve">if no conclusion as to whether liability should arise </w:t>
      </w:r>
      <w:r w:rsidR="00FE5A54" w:rsidRPr="0034627C">
        <w:rPr>
          <w:rFonts w:ascii="Times New Roman" w:hAnsi="Times New Roman" w:cs="Times New Roman"/>
          <w:sz w:val="28"/>
          <w:szCs w:val="28"/>
          <w:lang w:val="en-US"/>
        </w:rPr>
        <w:t>can be drawn from the relevant statute that i</w:t>
      </w:r>
      <w:r w:rsidR="002A173A" w:rsidRPr="0034627C">
        <w:rPr>
          <w:rFonts w:ascii="Times New Roman" w:hAnsi="Times New Roman" w:cs="Times New Roman"/>
          <w:sz w:val="28"/>
          <w:szCs w:val="28"/>
          <w:lang w:val="en-US"/>
        </w:rPr>
        <w:t>t</w:t>
      </w:r>
      <w:r w:rsidR="00FE5A54" w:rsidRPr="0034627C">
        <w:rPr>
          <w:rFonts w:ascii="Times New Roman" w:hAnsi="Times New Roman" w:cs="Times New Roman"/>
          <w:sz w:val="28"/>
          <w:szCs w:val="28"/>
          <w:lang w:val="en-US"/>
        </w:rPr>
        <w:t xml:space="preserve"> is </w:t>
      </w:r>
      <w:r w:rsidR="002A173A" w:rsidRPr="0034627C">
        <w:rPr>
          <w:rFonts w:ascii="Times New Roman" w:hAnsi="Times New Roman" w:cs="Times New Roman"/>
          <w:sz w:val="28"/>
          <w:szCs w:val="28"/>
          <w:lang w:val="en-US"/>
        </w:rPr>
        <w:t>unlikely</w:t>
      </w:r>
      <w:r w:rsidR="00825D84" w:rsidRPr="0034627C">
        <w:rPr>
          <w:rFonts w:ascii="Times New Roman" w:hAnsi="Times New Roman" w:cs="Times New Roman"/>
          <w:sz w:val="28"/>
          <w:szCs w:val="28"/>
          <w:lang w:val="en-US"/>
        </w:rPr>
        <w:t xml:space="preserve"> that policy considerations</w:t>
      </w:r>
      <w:r w:rsidR="000C1A53" w:rsidRPr="0034627C">
        <w:rPr>
          <w:rFonts w:ascii="Times New Roman" w:hAnsi="Times New Roman" w:cs="Times New Roman"/>
          <w:sz w:val="28"/>
          <w:szCs w:val="28"/>
          <w:lang w:val="en-US"/>
        </w:rPr>
        <w:t xml:space="preserve"> could weigh in favour of granting a common law remedy</w:t>
      </w:r>
      <w:r w:rsidR="00974CB8" w:rsidRPr="0034627C">
        <w:rPr>
          <w:rFonts w:ascii="Times New Roman" w:hAnsi="Times New Roman" w:cs="Times New Roman"/>
          <w:sz w:val="28"/>
          <w:szCs w:val="28"/>
          <w:lang w:val="en-US"/>
        </w:rPr>
        <w:t>, this</w:t>
      </w:r>
      <w:r w:rsidR="00F63522" w:rsidRPr="0034627C">
        <w:rPr>
          <w:rFonts w:ascii="Times New Roman" w:hAnsi="Times New Roman" w:cs="Times New Roman"/>
          <w:sz w:val="28"/>
          <w:szCs w:val="28"/>
          <w:lang w:val="en-US"/>
        </w:rPr>
        <w:t xml:space="preserve"> with reference to the </w:t>
      </w:r>
      <w:r w:rsidR="00A54DDA" w:rsidRPr="0034627C">
        <w:rPr>
          <w:rFonts w:ascii="Times New Roman" w:hAnsi="Times New Roman" w:cs="Times New Roman"/>
          <w:sz w:val="28"/>
          <w:szCs w:val="28"/>
          <w:lang w:val="en-US"/>
        </w:rPr>
        <w:t xml:space="preserve">approach adopted by </w:t>
      </w:r>
      <w:r w:rsidR="002A173A" w:rsidRPr="0034627C">
        <w:rPr>
          <w:rFonts w:ascii="Times New Roman" w:hAnsi="Times New Roman" w:cs="Times New Roman"/>
          <w:sz w:val="28"/>
          <w:szCs w:val="28"/>
          <w:lang w:val="en-US"/>
        </w:rPr>
        <w:t xml:space="preserve"> </w:t>
      </w:r>
      <w:r w:rsidR="00974CB8" w:rsidRPr="0034627C">
        <w:rPr>
          <w:rFonts w:ascii="Times New Roman" w:hAnsi="Times New Roman" w:cs="Times New Roman"/>
          <w:sz w:val="28"/>
          <w:szCs w:val="28"/>
          <w:lang w:val="en-US"/>
        </w:rPr>
        <w:t xml:space="preserve">Cameron JA in </w:t>
      </w:r>
      <w:r w:rsidR="00692697" w:rsidRPr="0034627C">
        <w:rPr>
          <w:rFonts w:ascii="Times New Roman" w:hAnsi="Times New Roman" w:cs="Times New Roman"/>
          <w:i/>
          <w:iCs/>
          <w:color w:val="000000"/>
          <w:sz w:val="28"/>
          <w:szCs w:val="28"/>
        </w:rPr>
        <w:t>Olitzki</w:t>
      </w:r>
      <w:r w:rsidR="00692697" w:rsidRPr="0034627C">
        <w:rPr>
          <w:rFonts w:ascii="Times New Roman" w:hAnsi="Times New Roman" w:cs="Times New Roman"/>
          <w:color w:val="000000"/>
          <w:sz w:val="28"/>
          <w:szCs w:val="28"/>
        </w:rPr>
        <w:t xml:space="preserve"> </w:t>
      </w:r>
      <w:r w:rsidR="00692697" w:rsidRPr="0034627C">
        <w:rPr>
          <w:rFonts w:ascii="Times New Roman" w:hAnsi="Times New Roman" w:cs="Times New Roman"/>
          <w:i/>
          <w:iCs/>
          <w:color w:val="000000"/>
          <w:sz w:val="28"/>
          <w:szCs w:val="28"/>
        </w:rPr>
        <w:t>Property Holdings v State Tender Board &amp; another </w:t>
      </w:r>
      <w:r w:rsidR="00A27FFE" w:rsidRPr="0034627C">
        <w:rPr>
          <w:rFonts w:ascii="Times New Roman" w:hAnsi="Times New Roman" w:cs="Times New Roman"/>
          <w:sz w:val="28"/>
          <w:szCs w:val="28"/>
          <w:lang w:val="en-US"/>
        </w:rPr>
        <w:t xml:space="preserve">(in effect endorsed by both the SCA and CC in </w:t>
      </w:r>
      <w:r w:rsidR="00CB32EF" w:rsidRPr="0034627C">
        <w:rPr>
          <w:rFonts w:ascii="Times New Roman" w:hAnsi="Times New Roman" w:cs="Times New Roman"/>
          <w:i/>
          <w:iCs/>
          <w:sz w:val="28"/>
          <w:szCs w:val="28"/>
          <w:lang w:val="en-US"/>
        </w:rPr>
        <w:t>S</w:t>
      </w:r>
      <w:r w:rsidR="00A27FFE" w:rsidRPr="0034627C">
        <w:rPr>
          <w:rFonts w:ascii="Times New Roman" w:hAnsi="Times New Roman" w:cs="Times New Roman"/>
          <w:i/>
          <w:iCs/>
          <w:sz w:val="28"/>
          <w:szCs w:val="28"/>
          <w:lang w:val="en-US"/>
        </w:rPr>
        <w:t>teenkamp</w:t>
      </w:r>
      <w:r w:rsidR="00A27FFE" w:rsidRPr="0034627C">
        <w:rPr>
          <w:rFonts w:ascii="Times New Roman" w:hAnsi="Times New Roman" w:cs="Times New Roman"/>
          <w:sz w:val="28"/>
          <w:szCs w:val="28"/>
          <w:lang w:val="en-US"/>
        </w:rPr>
        <w:t xml:space="preserve">) </w:t>
      </w:r>
      <w:r w:rsidR="003F5D4E" w:rsidRPr="0034627C">
        <w:rPr>
          <w:rFonts w:ascii="Times New Roman" w:hAnsi="Times New Roman" w:cs="Times New Roman"/>
          <w:sz w:val="28"/>
          <w:szCs w:val="28"/>
          <w:lang w:val="en-US"/>
        </w:rPr>
        <w:t xml:space="preserve">to the effect that </w:t>
      </w:r>
      <w:r w:rsidR="00D731CD" w:rsidRPr="0034627C">
        <w:rPr>
          <w:rFonts w:ascii="Times New Roman" w:hAnsi="Times New Roman" w:cs="Times New Roman"/>
          <w:sz w:val="28"/>
          <w:szCs w:val="28"/>
          <w:lang w:val="en-US"/>
        </w:rPr>
        <w:t xml:space="preserve">where a common law duty </w:t>
      </w:r>
      <w:r w:rsidR="000E5D13" w:rsidRPr="0034627C">
        <w:rPr>
          <w:rFonts w:ascii="Times New Roman" w:hAnsi="Times New Roman" w:cs="Times New Roman"/>
          <w:sz w:val="28"/>
          <w:szCs w:val="28"/>
          <w:lang w:val="en-US"/>
        </w:rPr>
        <w:t xml:space="preserve">is at issue </w:t>
      </w:r>
      <w:r w:rsidR="003E1E1E" w:rsidRPr="0034627C">
        <w:rPr>
          <w:rFonts w:ascii="Times New Roman" w:hAnsi="Times New Roman" w:cs="Times New Roman"/>
          <w:sz w:val="28"/>
          <w:szCs w:val="28"/>
          <w:lang w:val="en-US"/>
        </w:rPr>
        <w:t>:</w:t>
      </w:r>
    </w:p>
    <w:p w14:paraId="2DA4356A" w14:textId="77777777" w:rsidR="002E6C0A" w:rsidRPr="002E6C0A" w:rsidRDefault="002E6C0A" w:rsidP="002E6C0A">
      <w:pPr>
        <w:pStyle w:val="ListParagraph"/>
        <w:rPr>
          <w:rFonts w:ascii="Times New Roman" w:hAnsi="Times New Roman" w:cs="Times New Roman"/>
          <w:sz w:val="28"/>
          <w:szCs w:val="28"/>
          <w:lang w:val="en-US"/>
        </w:rPr>
      </w:pPr>
    </w:p>
    <w:p w14:paraId="092A8EF3" w14:textId="1C85CE5F" w:rsidR="00302424" w:rsidRPr="00E65A0A" w:rsidRDefault="00302424" w:rsidP="007744CC">
      <w:pPr>
        <w:spacing w:line="240" w:lineRule="auto"/>
        <w:ind w:left="720"/>
        <w:jc w:val="both"/>
        <w:rPr>
          <w:rFonts w:ascii="Times New Roman" w:hAnsi="Times New Roman" w:cs="Times New Roman"/>
          <w:color w:val="242121"/>
          <w:sz w:val="24"/>
          <w:szCs w:val="24"/>
          <w:shd w:val="clear" w:color="auto" w:fill="FFFFFF"/>
        </w:rPr>
      </w:pPr>
      <w:r>
        <w:rPr>
          <w:rFonts w:ascii="Times New Roman" w:hAnsi="Times New Roman" w:cs="Times New Roman"/>
          <w:color w:val="242121"/>
          <w:sz w:val="24"/>
          <w:szCs w:val="24"/>
          <w:shd w:val="clear" w:color="auto" w:fill="FFFFFF"/>
        </w:rPr>
        <w:t>“…</w:t>
      </w:r>
      <w:r w:rsidRPr="00E65A0A">
        <w:rPr>
          <w:rFonts w:ascii="Times New Roman" w:hAnsi="Times New Roman" w:cs="Times New Roman"/>
          <w:color w:val="242121"/>
          <w:sz w:val="24"/>
          <w:szCs w:val="24"/>
          <w:shd w:val="clear" w:color="auto" w:fill="FFFFFF"/>
        </w:rPr>
        <w:t>the answer now depends less on the application of formulaic approaches to statutory construction than on a broad assessment by the court whether it is “just and reasonable” that a civil claim for damages should be accorded. “The conduct is wrongful, not because of the breach of the statutory duty per se, but because it is reasonable in the circumstances to compensate the plaintiff for the infringement of his legal right”. The determination of reasonableness here in turn depends on whether affording the plaintiff a remedy is congruent with the court’s appreciation of the sense of justice of the community. This appreciation must unavoidably include the application of broad considerations of public policy determined also in the light of the Constitution and the impact upon them that the grant or refusal of the remedy the plaintiff seeks will entail.</w:t>
      </w:r>
      <w:r>
        <w:rPr>
          <w:rFonts w:ascii="Times New Roman" w:hAnsi="Times New Roman" w:cs="Times New Roman"/>
          <w:color w:val="242121"/>
          <w:sz w:val="24"/>
          <w:szCs w:val="24"/>
          <w:shd w:val="clear" w:color="auto" w:fill="FFFFFF"/>
        </w:rPr>
        <w:t>”</w:t>
      </w:r>
    </w:p>
    <w:p w14:paraId="2C755E02" w14:textId="40BAB64D" w:rsidR="002E6C0A" w:rsidRPr="00327D07" w:rsidRDefault="002E6C0A" w:rsidP="002E6C0A">
      <w:pPr>
        <w:pStyle w:val="ListParagraph"/>
        <w:tabs>
          <w:tab w:val="left" w:pos="709"/>
        </w:tabs>
        <w:ind w:left="0"/>
        <w:jc w:val="both"/>
        <w:rPr>
          <w:rFonts w:ascii="Times New Roman" w:hAnsi="Times New Roman" w:cs="Times New Roman"/>
          <w:sz w:val="28"/>
          <w:szCs w:val="28"/>
          <w:lang w:val="en-US"/>
        </w:rPr>
      </w:pPr>
    </w:p>
    <w:p w14:paraId="68040BED" w14:textId="0DA1C2C9" w:rsidR="00B47E8F" w:rsidRPr="0034627C" w:rsidRDefault="0034627C" w:rsidP="0034627C">
      <w:pPr>
        <w:tabs>
          <w:tab w:val="left" w:pos="709"/>
        </w:tabs>
        <w:jc w:val="both"/>
        <w:rPr>
          <w:rFonts w:ascii="Times New Roman" w:hAnsi="Times New Roman" w:cs="Times New Roman"/>
          <w:sz w:val="28"/>
          <w:szCs w:val="28"/>
          <w:lang w:val="en-US"/>
        </w:rPr>
      </w:pPr>
      <w:r>
        <w:rPr>
          <w:rFonts w:ascii="Times New Roman" w:hAnsi="Times New Roman" w:cs="Times New Roman"/>
          <w:sz w:val="28"/>
          <w:szCs w:val="28"/>
          <w:lang w:val="en-US"/>
        </w:rPr>
        <w:t>[40]</w:t>
      </w:r>
      <w:r>
        <w:rPr>
          <w:rFonts w:ascii="Times New Roman" w:hAnsi="Times New Roman" w:cs="Times New Roman"/>
          <w:sz w:val="28"/>
          <w:szCs w:val="28"/>
          <w:lang w:val="en-US"/>
        </w:rPr>
        <w:tab/>
      </w:r>
      <w:r w:rsidR="00756F63" w:rsidRPr="0034627C">
        <w:rPr>
          <w:rFonts w:ascii="Times New Roman" w:hAnsi="Times New Roman" w:cs="Times New Roman"/>
          <w:sz w:val="28"/>
          <w:szCs w:val="28"/>
          <w:lang w:val="en-US"/>
        </w:rPr>
        <w:t xml:space="preserve">The proper construction of the </w:t>
      </w:r>
      <w:r w:rsidR="00A90C60" w:rsidRPr="0034627C">
        <w:rPr>
          <w:rFonts w:ascii="Times New Roman" w:hAnsi="Times New Roman" w:cs="Times New Roman"/>
          <w:sz w:val="28"/>
          <w:szCs w:val="28"/>
          <w:lang w:val="en-US"/>
        </w:rPr>
        <w:t>empowering</w:t>
      </w:r>
      <w:r w:rsidR="00756F63" w:rsidRPr="0034627C">
        <w:rPr>
          <w:rFonts w:ascii="Times New Roman" w:hAnsi="Times New Roman" w:cs="Times New Roman"/>
          <w:sz w:val="28"/>
          <w:szCs w:val="28"/>
          <w:lang w:val="en-US"/>
        </w:rPr>
        <w:t xml:space="preserve"> provision</w:t>
      </w:r>
      <w:r w:rsidR="00A90C60" w:rsidRPr="0034627C">
        <w:rPr>
          <w:rFonts w:ascii="Times New Roman" w:hAnsi="Times New Roman" w:cs="Times New Roman"/>
          <w:sz w:val="28"/>
          <w:szCs w:val="28"/>
          <w:lang w:val="en-US"/>
        </w:rPr>
        <w:t xml:space="preserve"> (such as is applicable</w:t>
      </w:r>
      <w:r w:rsidR="002E1619" w:rsidRPr="0034627C">
        <w:rPr>
          <w:rFonts w:ascii="Times New Roman" w:hAnsi="Times New Roman" w:cs="Times New Roman"/>
          <w:sz w:val="28"/>
          <w:szCs w:val="28"/>
          <w:lang w:val="en-US"/>
        </w:rPr>
        <w:t xml:space="preserve"> to the </w:t>
      </w:r>
      <w:r w:rsidR="00290222" w:rsidRPr="0034627C">
        <w:rPr>
          <w:rFonts w:ascii="Times New Roman" w:hAnsi="Times New Roman" w:cs="Times New Roman"/>
          <w:sz w:val="28"/>
          <w:szCs w:val="28"/>
          <w:lang w:val="en-US"/>
        </w:rPr>
        <w:t xml:space="preserve">peculiar </w:t>
      </w:r>
      <w:r w:rsidR="002E1619" w:rsidRPr="0034627C">
        <w:rPr>
          <w:rFonts w:ascii="Times New Roman" w:hAnsi="Times New Roman" w:cs="Times New Roman"/>
          <w:sz w:val="28"/>
          <w:szCs w:val="28"/>
          <w:lang w:val="en-US"/>
        </w:rPr>
        <w:t>circumstances</w:t>
      </w:r>
      <w:r w:rsidR="00290222" w:rsidRPr="0034627C">
        <w:rPr>
          <w:rFonts w:ascii="Times New Roman" w:hAnsi="Times New Roman" w:cs="Times New Roman"/>
          <w:sz w:val="28"/>
          <w:szCs w:val="28"/>
          <w:lang w:val="en-US"/>
        </w:rPr>
        <w:t xml:space="preserve"> of each matter</w:t>
      </w:r>
      <w:r w:rsidR="002E1619" w:rsidRPr="0034627C">
        <w:rPr>
          <w:rFonts w:ascii="Times New Roman" w:hAnsi="Times New Roman" w:cs="Times New Roman"/>
          <w:sz w:val="28"/>
          <w:szCs w:val="28"/>
          <w:lang w:val="en-US"/>
        </w:rPr>
        <w:t>)</w:t>
      </w:r>
      <w:r w:rsidR="00756F63" w:rsidRPr="0034627C">
        <w:rPr>
          <w:rFonts w:ascii="Times New Roman" w:hAnsi="Times New Roman" w:cs="Times New Roman"/>
          <w:sz w:val="28"/>
          <w:szCs w:val="28"/>
          <w:lang w:val="en-US"/>
        </w:rPr>
        <w:t xml:space="preserve"> is </w:t>
      </w:r>
      <w:r w:rsidR="005046EE" w:rsidRPr="0034627C">
        <w:rPr>
          <w:rFonts w:ascii="Times New Roman" w:hAnsi="Times New Roman" w:cs="Times New Roman"/>
          <w:sz w:val="28"/>
          <w:szCs w:val="28"/>
          <w:lang w:val="en-US"/>
        </w:rPr>
        <w:t>thus relevant</w:t>
      </w:r>
      <w:r w:rsidR="00756F63" w:rsidRPr="0034627C">
        <w:rPr>
          <w:rFonts w:ascii="Times New Roman" w:hAnsi="Times New Roman" w:cs="Times New Roman"/>
          <w:sz w:val="28"/>
          <w:szCs w:val="28"/>
          <w:lang w:val="en-US"/>
        </w:rPr>
        <w:t xml:space="preserve"> to both </w:t>
      </w:r>
      <w:r w:rsidR="005046EE" w:rsidRPr="0034627C">
        <w:rPr>
          <w:rFonts w:ascii="Times New Roman" w:hAnsi="Times New Roman" w:cs="Times New Roman"/>
          <w:sz w:val="28"/>
          <w:szCs w:val="28"/>
          <w:lang w:val="en-US"/>
        </w:rPr>
        <w:t>e</w:t>
      </w:r>
      <w:r w:rsidR="00756F63" w:rsidRPr="0034627C">
        <w:rPr>
          <w:rFonts w:ascii="Times New Roman" w:hAnsi="Times New Roman" w:cs="Times New Roman"/>
          <w:sz w:val="28"/>
          <w:szCs w:val="28"/>
          <w:lang w:val="en-US"/>
        </w:rPr>
        <w:t xml:space="preserve">nquiries and requires </w:t>
      </w:r>
      <w:r w:rsidR="00B47E8F" w:rsidRPr="0034627C">
        <w:rPr>
          <w:rFonts w:ascii="Times New Roman" w:hAnsi="Times New Roman" w:cs="Times New Roman"/>
          <w:sz w:val="28"/>
          <w:szCs w:val="28"/>
          <w:lang w:val="en-US"/>
        </w:rPr>
        <w:t>a</w:t>
      </w:r>
      <w:r w:rsidR="00756F63" w:rsidRPr="0034627C">
        <w:rPr>
          <w:rFonts w:ascii="Times New Roman" w:hAnsi="Times New Roman" w:cs="Times New Roman"/>
          <w:sz w:val="28"/>
          <w:szCs w:val="28"/>
          <w:lang w:val="en-US"/>
        </w:rPr>
        <w:t xml:space="preserve"> consideration of:</w:t>
      </w:r>
    </w:p>
    <w:p w14:paraId="6AF0D7A1" w14:textId="0E789B2F" w:rsidR="006A4E16" w:rsidRPr="00E724A3" w:rsidRDefault="006A4E16" w:rsidP="006A4E16">
      <w:pPr>
        <w:shd w:val="clear" w:color="auto" w:fill="FFFFFF"/>
        <w:spacing w:before="180" w:line="240" w:lineRule="auto"/>
        <w:ind w:left="720"/>
        <w:jc w:val="both"/>
        <w:rPr>
          <w:rFonts w:ascii="Times New Roman" w:eastAsia="Times New Roman" w:hAnsi="Times New Roman" w:cs="Times New Roman"/>
          <w:color w:val="000000"/>
          <w:sz w:val="24"/>
          <w:szCs w:val="24"/>
          <w:lang w:eastAsia="en-ZA"/>
        </w:rPr>
      </w:pPr>
      <w:r w:rsidRPr="00E724A3">
        <w:rPr>
          <w:rFonts w:ascii="Times New Roman" w:eastAsia="Times New Roman" w:hAnsi="Times New Roman" w:cs="Times New Roman"/>
          <w:color w:val="000000"/>
          <w:sz w:val="24"/>
          <w:szCs w:val="24"/>
          <w:lang w:eastAsia="en-ZA"/>
        </w:rPr>
        <w:t>“</w:t>
      </w:r>
      <w:r w:rsidRPr="0061706C">
        <w:rPr>
          <w:rFonts w:ascii="Times New Roman" w:eastAsia="Times New Roman" w:hAnsi="Times New Roman" w:cs="Times New Roman"/>
          <w:color w:val="000000"/>
          <w:sz w:val="24"/>
          <w:szCs w:val="24"/>
          <w:lang w:eastAsia="en-ZA"/>
        </w:rPr>
        <w:t xml:space="preserve">whether the operative statute anticipates, directly or by inference, compensation of damages for the aggrieved party;  whether there are alternative remedies such as an interdict, review or appeal; whether the object of the statutory scheme is mainly to protect individuals or advance public good; whether the statutory power conferred grants the public functionary a discretion in decision-making;  whether an imposition of liability for damages is likely to have a </w:t>
      </w:r>
      <w:r w:rsidR="00854D0A">
        <w:rPr>
          <w:rFonts w:ascii="Times New Roman" w:eastAsia="Times New Roman" w:hAnsi="Times New Roman" w:cs="Times New Roman"/>
          <w:color w:val="000000"/>
          <w:sz w:val="24"/>
          <w:szCs w:val="24"/>
          <w:lang w:eastAsia="en-ZA"/>
        </w:rPr>
        <w:t>“</w:t>
      </w:r>
      <w:r w:rsidRPr="0061706C">
        <w:rPr>
          <w:rFonts w:ascii="Times New Roman" w:eastAsia="Times New Roman" w:hAnsi="Times New Roman" w:cs="Times New Roman"/>
          <w:color w:val="000000"/>
          <w:sz w:val="24"/>
          <w:szCs w:val="24"/>
          <w:lang w:eastAsia="en-ZA"/>
        </w:rPr>
        <w:t>chilling effect</w:t>
      </w:r>
      <w:r w:rsidR="00854D0A">
        <w:rPr>
          <w:rFonts w:ascii="Times New Roman" w:eastAsia="Times New Roman" w:hAnsi="Times New Roman" w:cs="Times New Roman"/>
          <w:color w:val="000000"/>
          <w:sz w:val="24"/>
          <w:szCs w:val="24"/>
          <w:lang w:eastAsia="en-ZA"/>
        </w:rPr>
        <w:t>”</w:t>
      </w:r>
      <w:r w:rsidRPr="0061706C">
        <w:rPr>
          <w:rFonts w:ascii="Times New Roman" w:eastAsia="Times New Roman" w:hAnsi="Times New Roman" w:cs="Times New Roman"/>
          <w:color w:val="000000"/>
          <w:sz w:val="24"/>
          <w:szCs w:val="24"/>
          <w:lang w:eastAsia="en-ZA"/>
        </w:rPr>
        <w:t xml:space="preserve"> on performance of administrative or statutory function; whether the party bearing the loss is the author of its misfortune; whether the harm that ensued was foreseeable.</w:t>
      </w:r>
      <w:r w:rsidRPr="00E724A3">
        <w:rPr>
          <w:rFonts w:ascii="Times New Roman" w:eastAsia="Times New Roman" w:hAnsi="Times New Roman" w:cs="Times New Roman"/>
          <w:color w:val="000000"/>
          <w:sz w:val="24"/>
          <w:szCs w:val="24"/>
          <w:lang w:eastAsia="en-ZA"/>
        </w:rPr>
        <w:t>”</w:t>
      </w:r>
      <w:r w:rsidR="00692697" w:rsidRPr="00692697">
        <w:rPr>
          <w:rStyle w:val="FootnoteReference"/>
          <w:rFonts w:ascii="Times New Roman" w:hAnsi="Times New Roman" w:cs="Times New Roman"/>
          <w:sz w:val="28"/>
          <w:szCs w:val="28"/>
          <w:lang w:val="en-US"/>
        </w:rPr>
        <w:t xml:space="preserve"> </w:t>
      </w:r>
      <w:r w:rsidR="00692697">
        <w:rPr>
          <w:rStyle w:val="FootnoteReference"/>
          <w:rFonts w:ascii="Times New Roman" w:hAnsi="Times New Roman" w:cs="Times New Roman"/>
          <w:sz w:val="28"/>
          <w:szCs w:val="28"/>
          <w:lang w:val="en-US"/>
        </w:rPr>
        <w:footnoteReference w:id="40"/>
      </w:r>
    </w:p>
    <w:p w14:paraId="4E4EFB7A" w14:textId="77777777" w:rsidR="00921D71" w:rsidRPr="008346BA" w:rsidRDefault="00921D71" w:rsidP="00345A30">
      <w:pPr>
        <w:rPr>
          <w:rFonts w:ascii="Times New Roman" w:hAnsi="Times New Roman" w:cs="Times New Roman"/>
          <w:sz w:val="28"/>
          <w:szCs w:val="28"/>
        </w:rPr>
      </w:pPr>
    </w:p>
    <w:p w14:paraId="416112A1" w14:textId="4580759F" w:rsidR="009D13B5" w:rsidRPr="0034627C" w:rsidRDefault="0034627C" w:rsidP="0034627C">
      <w:pPr>
        <w:tabs>
          <w:tab w:val="left" w:pos="709"/>
        </w:tabs>
        <w:jc w:val="both"/>
        <w:rPr>
          <w:rFonts w:ascii="Times New Roman" w:hAnsi="Times New Roman" w:cs="Times New Roman"/>
          <w:sz w:val="28"/>
          <w:szCs w:val="28"/>
          <w:lang w:val="en-US"/>
        </w:rPr>
      </w:pPr>
      <w:r w:rsidRPr="00921D71">
        <w:rPr>
          <w:rFonts w:ascii="Times New Roman" w:hAnsi="Times New Roman" w:cs="Times New Roman"/>
          <w:sz w:val="28"/>
          <w:szCs w:val="28"/>
          <w:lang w:val="en-US"/>
        </w:rPr>
        <w:t>[41]</w:t>
      </w:r>
      <w:r w:rsidRPr="00921D71">
        <w:rPr>
          <w:rFonts w:ascii="Times New Roman" w:hAnsi="Times New Roman" w:cs="Times New Roman"/>
          <w:sz w:val="28"/>
          <w:szCs w:val="28"/>
          <w:lang w:val="en-US"/>
        </w:rPr>
        <w:tab/>
      </w:r>
      <w:r w:rsidR="009D13B5" w:rsidRPr="0034627C">
        <w:rPr>
          <w:rFonts w:ascii="Times New Roman" w:hAnsi="Times New Roman" w:cs="Times New Roman"/>
          <w:sz w:val="28"/>
          <w:szCs w:val="28"/>
          <w:lang w:val="en-US"/>
        </w:rPr>
        <w:t xml:space="preserve">As can be seen above the trust has attempted to go into considerable detail in pleading the </w:t>
      </w:r>
      <w:r w:rsidR="0001754A" w:rsidRPr="0034627C">
        <w:rPr>
          <w:rFonts w:ascii="Times New Roman" w:hAnsi="Times New Roman" w:cs="Times New Roman"/>
          <w:sz w:val="28"/>
          <w:szCs w:val="28"/>
          <w:lang w:val="en-US"/>
        </w:rPr>
        <w:t xml:space="preserve">necessary </w:t>
      </w:r>
      <w:r w:rsidR="009D13B5" w:rsidRPr="0034627C">
        <w:rPr>
          <w:rFonts w:ascii="Times New Roman" w:hAnsi="Times New Roman" w:cs="Times New Roman"/>
          <w:sz w:val="28"/>
          <w:szCs w:val="28"/>
          <w:lang w:val="en-US"/>
        </w:rPr>
        <w:t>facts that give a context and background to the matter</w:t>
      </w:r>
      <w:r w:rsidR="009D13B5">
        <w:rPr>
          <w:rStyle w:val="FootnoteReference"/>
          <w:rFonts w:ascii="Times New Roman" w:hAnsi="Times New Roman" w:cs="Times New Roman"/>
          <w:sz w:val="28"/>
          <w:szCs w:val="28"/>
          <w:lang w:val="en-US"/>
        </w:rPr>
        <w:footnoteReference w:id="41"/>
      </w:r>
      <w:r w:rsidR="009D13B5" w:rsidRPr="0034627C">
        <w:rPr>
          <w:rFonts w:ascii="Times New Roman" w:hAnsi="Times New Roman" w:cs="Times New Roman"/>
          <w:sz w:val="28"/>
          <w:szCs w:val="28"/>
          <w:lang w:val="en-US"/>
        </w:rPr>
        <w:t xml:space="preserve"> to illuminate the </w:t>
      </w:r>
      <w:r w:rsidR="009D13B5" w:rsidRPr="0034627C">
        <w:rPr>
          <w:rFonts w:ascii="Times New Roman" w:hAnsi="Times New Roman" w:cs="Times New Roman"/>
          <w:i/>
          <w:iCs/>
          <w:sz w:val="28"/>
          <w:szCs w:val="28"/>
          <w:lang w:val="en-US"/>
        </w:rPr>
        <w:t>“something more”</w:t>
      </w:r>
      <w:r w:rsidR="009D13B5" w:rsidRPr="0034627C">
        <w:rPr>
          <w:rFonts w:ascii="Times New Roman" w:hAnsi="Times New Roman" w:cs="Times New Roman"/>
          <w:sz w:val="28"/>
          <w:szCs w:val="28"/>
          <w:lang w:val="en-US"/>
        </w:rPr>
        <w:t xml:space="preserve"> that is required to hold </w:t>
      </w:r>
      <w:r w:rsidR="00474EF0" w:rsidRPr="0034627C">
        <w:rPr>
          <w:rFonts w:ascii="Times New Roman" w:hAnsi="Times New Roman" w:cs="Times New Roman"/>
          <w:sz w:val="28"/>
          <w:szCs w:val="28"/>
          <w:lang w:val="en-US"/>
        </w:rPr>
        <w:t xml:space="preserve">the </w:t>
      </w:r>
      <w:r w:rsidR="008C77D0" w:rsidRPr="0034627C">
        <w:rPr>
          <w:rFonts w:ascii="Times New Roman" w:hAnsi="Times New Roman" w:cs="Times New Roman"/>
          <w:sz w:val="28"/>
          <w:szCs w:val="28"/>
          <w:lang w:val="en-US"/>
        </w:rPr>
        <w:t>municipality</w:t>
      </w:r>
      <w:r w:rsidR="009D13B5" w:rsidRPr="0034627C">
        <w:rPr>
          <w:rFonts w:ascii="Times New Roman" w:hAnsi="Times New Roman" w:cs="Times New Roman"/>
          <w:sz w:val="28"/>
          <w:szCs w:val="28"/>
          <w:lang w:val="en-US"/>
        </w:rPr>
        <w:t xml:space="preserve"> liable for </w:t>
      </w:r>
      <w:r w:rsidR="00474EF0" w:rsidRPr="0034627C">
        <w:rPr>
          <w:rFonts w:ascii="Times New Roman" w:hAnsi="Times New Roman" w:cs="Times New Roman"/>
          <w:sz w:val="28"/>
          <w:szCs w:val="28"/>
          <w:lang w:val="en-US"/>
        </w:rPr>
        <w:t>its pleaded failures</w:t>
      </w:r>
      <w:r w:rsidR="004F28A6" w:rsidRPr="0034627C">
        <w:rPr>
          <w:rFonts w:ascii="Times New Roman" w:hAnsi="Times New Roman" w:cs="Times New Roman"/>
          <w:sz w:val="28"/>
          <w:szCs w:val="28"/>
          <w:lang w:val="en-US"/>
        </w:rPr>
        <w:t>/omissions</w:t>
      </w:r>
      <w:r w:rsidR="00474EF0" w:rsidRPr="0034627C">
        <w:rPr>
          <w:rFonts w:ascii="Times New Roman" w:hAnsi="Times New Roman" w:cs="Times New Roman"/>
          <w:sz w:val="28"/>
          <w:szCs w:val="28"/>
          <w:lang w:val="en-US"/>
        </w:rPr>
        <w:t xml:space="preserve"> (or negligent misstatement)</w:t>
      </w:r>
      <w:r w:rsidR="009D13B5" w:rsidRPr="0034627C">
        <w:rPr>
          <w:rFonts w:ascii="Times New Roman" w:hAnsi="Times New Roman" w:cs="Times New Roman"/>
          <w:sz w:val="28"/>
          <w:szCs w:val="28"/>
          <w:lang w:val="en-US"/>
        </w:rPr>
        <w:t xml:space="preserve"> and going to the element of wrongfulness. </w:t>
      </w:r>
    </w:p>
    <w:p w14:paraId="33BA89D3" w14:textId="77777777" w:rsidR="005E245E" w:rsidRPr="005E245E" w:rsidRDefault="005E245E" w:rsidP="005E245E">
      <w:pPr>
        <w:pStyle w:val="ListParagraph"/>
        <w:tabs>
          <w:tab w:val="left" w:pos="709"/>
        </w:tabs>
        <w:ind w:left="0"/>
        <w:jc w:val="both"/>
        <w:rPr>
          <w:rFonts w:ascii="Times New Roman" w:hAnsi="Times New Roman" w:cs="Times New Roman"/>
          <w:sz w:val="28"/>
          <w:szCs w:val="28"/>
          <w:u w:val="single"/>
          <w:lang w:val="en-US"/>
        </w:rPr>
      </w:pPr>
    </w:p>
    <w:p w14:paraId="4DF2005E" w14:textId="549709DC" w:rsidR="00921D71" w:rsidRPr="0034627C" w:rsidRDefault="0034627C" w:rsidP="0034627C">
      <w:pPr>
        <w:tabs>
          <w:tab w:val="left" w:pos="709"/>
        </w:tabs>
        <w:jc w:val="both"/>
        <w:rPr>
          <w:rFonts w:ascii="Times New Roman" w:hAnsi="Times New Roman" w:cs="Times New Roman"/>
          <w:i/>
          <w:iCs/>
          <w:sz w:val="28"/>
          <w:szCs w:val="28"/>
          <w:u w:val="single"/>
          <w:lang w:val="en-US"/>
        </w:rPr>
      </w:pPr>
      <w:bookmarkStart w:id="4" w:name="_Hlk144897898"/>
      <w:r w:rsidRPr="00921D71">
        <w:rPr>
          <w:rFonts w:ascii="Times New Roman" w:hAnsi="Times New Roman" w:cs="Times New Roman"/>
          <w:sz w:val="28"/>
          <w:szCs w:val="28"/>
          <w:lang w:val="en-US"/>
        </w:rPr>
        <w:lastRenderedPageBreak/>
        <w:t>[42]</w:t>
      </w:r>
      <w:r w:rsidRPr="00921D71">
        <w:rPr>
          <w:rFonts w:ascii="Times New Roman" w:hAnsi="Times New Roman" w:cs="Times New Roman"/>
          <w:sz w:val="28"/>
          <w:szCs w:val="28"/>
          <w:lang w:val="en-US"/>
        </w:rPr>
        <w:tab/>
      </w:r>
      <w:r w:rsidR="005E245E" w:rsidRPr="0034627C">
        <w:rPr>
          <w:rFonts w:ascii="Times New Roman" w:hAnsi="Times New Roman" w:cs="Times New Roman"/>
          <w:sz w:val="28"/>
          <w:szCs w:val="28"/>
          <w:lang w:val="en-US"/>
        </w:rPr>
        <w:t xml:space="preserve">In </w:t>
      </w:r>
      <w:r w:rsidR="00AC173D" w:rsidRPr="0034627C">
        <w:rPr>
          <w:rFonts w:ascii="Times New Roman" w:hAnsi="Times New Roman" w:cs="Times New Roman"/>
          <w:i/>
          <w:iCs/>
          <w:sz w:val="28"/>
          <w:szCs w:val="28"/>
          <w:lang w:val="en-US"/>
        </w:rPr>
        <w:t xml:space="preserve">Steenkamp </w:t>
      </w:r>
      <w:r w:rsidR="006C5647" w:rsidRPr="0034627C">
        <w:rPr>
          <w:rFonts w:ascii="Times New Roman" w:hAnsi="Times New Roman" w:cs="Times New Roman"/>
          <w:i/>
          <w:iCs/>
          <w:sz w:val="28"/>
          <w:szCs w:val="28"/>
          <w:lang w:val="en-US"/>
        </w:rPr>
        <w:t>NO v Provincial Tender Board, Eastern Cape</w:t>
      </w:r>
      <w:r w:rsidR="00A966BF" w:rsidRPr="0034627C">
        <w:rPr>
          <w:rFonts w:ascii="Times New Roman" w:hAnsi="Times New Roman" w:cs="Times New Roman"/>
          <w:i/>
          <w:iCs/>
          <w:sz w:val="28"/>
          <w:szCs w:val="28"/>
          <w:lang w:val="en-US"/>
        </w:rPr>
        <w:t xml:space="preserve"> (“Steenkamp SCA”)</w:t>
      </w:r>
      <w:r w:rsidR="00692697">
        <w:rPr>
          <w:rStyle w:val="FootnoteReference"/>
          <w:rFonts w:ascii="Times New Roman" w:hAnsi="Times New Roman" w:cs="Times New Roman"/>
          <w:sz w:val="28"/>
          <w:szCs w:val="28"/>
          <w:lang w:val="en-US"/>
        </w:rPr>
        <w:footnoteReference w:id="42"/>
      </w:r>
      <w:r w:rsidR="005E245E" w:rsidRPr="0034627C">
        <w:rPr>
          <w:rFonts w:ascii="Times New Roman" w:hAnsi="Times New Roman" w:cs="Times New Roman"/>
          <w:i/>
          <w:iCs/>
          <w:sz w:val="28"/>
          <w:szCs w:val="28"/>
          <w:lang w:val="en-US"/>
        </w:rPr>
        <w:t xml:space="preserve"> </w:t>
      </w:r>
      <w:bookmarkEnd w:id="4"/>
      <w:r w:rsidR="005E245E" w:rsidRPr="0034627C">
        <w:rPr>
          <w:rFonts w:ascii="Times New Roman" w:hAnsi="Times New Roman" w:cs="Times New Roman"/>
          <w:sz w:val="28"/>
          <w:szCs w:val="28"/>
          <w:lang w:val="en-US"/>
        </w:rPr>
        <w:t xml:space="preserve">the </w:t>
      </w:r>
      <w:r w:rsidR="00A966BF" w:rsidRPr="0034627C">
        <w:rPr>
          <w:rFonts w:ascii="Times New Roman" w:hAnsi="Times New Roman" w:cs="Times New Roman"/>
          <w:sz w:val="28"/>
          <w:szCs w:val="28"/>
          <w:lang w:val="en-US"/>
        </w:rPr>
        <w:t xml:space="preserve">court </w:t>
      </w:r>
      <w:r w:rsidR="00374E2D" w:rsidRPr="0034627C">
        <w:rPr>
          <w:rFonts w:ascii="Times New Roman" w:hAnsi="Times New Roman" w:cs="Times New Roman"/>
          <w:sz w:val="28"/>
          <w:szCs w:val="28"/>
          <w:lang w:val="en-US"/>
        </w:rPr>
        <w:t xml:space="preserve">alluded to this </w:t>
      </w:r>
      <w:r w:rsidR="006D0DDA" w:rsidRPr="0034627C">
        <w:rPr>
          <w:rFonts w:ascii="Times New Roman" w:hAnsi="Times New Roman" w:cs="Times New Roman"/>
          <w:i/>
          <w:iCs/>
          <w:sz w:val="28"/>
          <w:szCs w:val="28"/>
          <w:lang w:val="en-US"/>
        </w:rPr>
        <w:t>“</w:t>
      </w:r>
      <w:r w:rsidR="00374E2D" w:rsidRPr="0034627C">
        <w:rPr>
          <w:rFonts w:ascii="Times New Roman" w:hAnsi="Times New Roman" w:cs="Times New Roman"/>
          <w:i/>
          <w:iCs/>
          <w:sz w:val="28"/>
          <w:szCs w:val="28"/>
          <w:lang w:val="en-US"/>
        </w:rPr>
        <w:t>something more</w:t>
      </w:r>
      <w:r w:rsidR="006D0DDA" w:rsidRPr="0034627C">
        <w:rPr>
          <w:rFonts w:ascii="Times New Roman" w:hAnsi="Times New Roman" w:cs="Times New Roman"/>
          <w:i/>
          <w:iCs/>
          <w:sz w:val="28"/>
          <w:szCs w:val="28"/>
          <w:lang w:val="en-US"/>
        </w:rPr>
        <w:t>”</w:t>
      </w:r>
      <w:r w:rsidR="00374E2D" w:rsidRPr="0034627C">
        <w:rPr>
          <w:rFonts w:ascii="Times New Roman" w:hAnsi="Times New Roman" w:cs="Times New Roman"/>
          <w:sz w:val="28"/>
          <w:szCs w:val="28"/>
          <w:lang w:val="en-US"/>
        </w:rPr>
        <w:t xml:space="preserve"> </w:t>
      </w:r>
      <w:r w:rsidR="009D63CC" w:rsidRPr="0034627C">
        <w:rPr>
          <w:rFonts w:ascii="Times New Roman" w:hAnsi="Times New Roman" w:cs="Times New Roman"/>
          <w:sz w:val="28"/>
          <w:szCs w:val="28"/>
          <w:lang w:val="en-US"/>
        </w:rPr>
        <w:t xml:space="preserve">that is necessary </w:t>
      </w:r>
      <w:r w:rsidR="0064462D" w:rsidRPr="0034627C">
        <w:rPr>
          <w:rFonts w:ascii="Times New Roman" w:hAnsi="Times New Roman" w:cs="Times New Roman"/>
          <w:sz w:val="28"/>
          <w:szCs w:val="28"/>
          <w:lang w:val="en-US"/>
        </w:rPr>
        <w:t xml:space="preserve">to be established </w:t>
      </w:r>
      <w:r w:rsidR="009D63CC" w:rsidRPr="0034627C">
        <w:rPr>
          <w:rFonts w:ascii="Times New Roman" w:hAnsi="Times New Roman" w:cs="Times New Roman"/>
          <w:sz w:val="28"/>
          <w:szCs w:val="28"/>
          <w:lang w:val="en-US"/>
        </w:rPr>
        <w:t xml:space="preserve">in laying </w:t>
      </w:r>
      <w:r w:rsidR="00432EEB" w:rsidRPr="0034627C">
        <w:rPr>
          <w:rFonts w:ascii="Times New Roman" w:hAnsi="Times New Roman" w:cs="Times New Roman"/>
          <w:sz w:val="28"/>
          <w:szCs w:val="28"/>
          <w:lang w:val="en-US"/>
        </w:rPr>
        <w:t>down the</w:t>
      </w:r>
      <w:r w:rsidR="006D0DDA" w:rsidRPr="0034627C">
        <w:rPr>
          <w:rFonts w:ascii="Times New Roman" w:eastAsia="Times New Roman" w:hAnsi="Times New Roman" w:cs="Times New Roman"/>
          <w:color w:val="000000"/>
          <w:sz w:val="28"/>
          <w:szCs w:val="28"/>
          <w:lang w:eastAsia="en-ZA"/>
        </w:rPr>
        <w:t xml:space="preserve"> general approach to delictual liability for pure economic loss caused by administrative breaches</w:t>
      </w:r>
      <w:r w:rsidR="0001754A" w:rsidRPr="0034627C">
        <w:rPr>
          <w:rFonts w:ascii="Times New Roman" w:eastAsia="Times New Roman" w:hAnsi="Times New Roman" w:cs="Times New Roman"/>
          <w:color w:val="000000"/>
          <w:sz w:val="28"/>
          <w:szCs w:val="28"/>
          <w:lang w:eastAsia="en-ZA"/>
        </w:rPr>
        <w:t xml:space="preserve"> </w:t>
      </w:r>
      <w:r w:rsidR="00432EEB" w:rsidRPr="0034627C">
        <w:rPr>
          <w:rFonts w:ascii="Times New Roman" w:eastAsia="Times New Roman" w:hAnsi="Times New Roman" w:cs="Times New Roman"/>
          <w:color w:val="000000"/>
          <w:sz w:val="28"/>
          <w:szCs w:val="28"/>
          <w:lang w:eastAsia="en-ZA"/>
        </w:rPr>
        <w:t>as follows:</w:t>
      </w:r>
    </w:p>
    <w:p w14:paraId="38C628CD" w14:textId="13A5AFE7" w:rsidR="00921D71" w:rsidRPr="00432EEB" w:rsidRDefault="00921D71" w:rsidP="00921D71">
      <w:pPr>
        <w:shd w:val="clear" w:color="auto" w:fill="FFFFFF"/>
        <w:spacing w:before="240" w:line="240" w:lineRule="auto"/>
        <w:ind w:left="720"/>
        <w:jc w:val="both"/>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
          <w:bCs/>
          <w:color w:val="000000"/>
          <w:sz w:val="24"/>
          <w:szCs w:val="24"/>
          <w:lang w:eastAsia="en-ZA"/>
        </w:rPr>
        <w:t>“</w:t>
      </w:r>
      <w:r w:rsidRPr="00AB6AE8">
        <w:rPr>
          <w:rFonts w:ascii="Times New Roman" w:eastAsia="Times New Roman" w:hAnsi="Times New Roman" w:cs="Times New Roman"/>
          <w:color w:val="000000"/>
          <w:sz w:val="24"/>
          <w:szCs w:val="24"/>
          <w:lang w:eastAsia="en-ZA"/>
        </w:rPr>
        <w:t>Subject to the duty of courts to develop the common law in accordance with constitutional principles, the general approach of our law towards the extension of the boundaries of delictual liability remains conservative. This is especially the case when dealing with liability for pure economic losses. And although organs of State and administrators have no delictual immunity, "something more" than a mere negligent statutory breach and consequent economic loss is required to hold them delictually liable for the improper performance of an administrative function.  Administrative law is a system that over centuries has developed its own remedies and, in general, delictual liability will not be imposed for a breach of its rules unless convincing policy considerations point in another direction.</w:t>
      </w:r>
      <w:r>
        <w:rPr>
          <w:rFonts w:ascii="Times New Roman" w:eastAsia="Times New Roman" w:hAnsi="Times New Roman" w:cs="Times New Roman"/>
          <w:color w:val="000000"/>
          <w:sz w:val="24"/>
          <w:szCs w:val="24"/>
          <w:lang w:eastAsia="en-ZA"/>
        </w:rPr>
        <w:t>”</w:t>
      </w:r>
      <w:r w:rsidR="00BA2718">
        <w:rPr>
          <w:rStyle w:val="FootnoteReference"/>
          <w:rFonts w:ascii="Times New Roman" w:eastAsia="Times New Roman" w:hAnsi="Times New Roman" w:cs="Times New Roman"/>
          <w:color w:val="000000"/>
          <w:sz w:val="24"/>
          <w:szCs w:val="24"/>
          <w:lang w:eastAsia="en-ZA"/>
        </w:rPr>
        <w:footnoteReference w:id="43"/>
      </w:r>
    </w:p>
    <w:p w14:paraId="7077A371" w14:textId="77777777" w:rsidR="00921D71" w:rsidRPr="00921D71" w:rsidRDefault="00921D71" w:rsidP="00921D71">
      <w:pPr>
        <w:pStyle w:val="ListParagraph"/>
        <w:rPr>
          <w:rFonts w:ascii="Times New Roman" w:eastAsia="Times New Roman" w:hAnsi="Times New Roman" w:cs="Times New Roman"/>
          <w:color w:val="000000"/>
          <w:sz w:val="28"/>
          <w:szCs w:val="28"/>
          <w:lang w:eastAsia="en-ZA"/>
        </w:rPr>
      </w:pPr>
    </w:p>
    <w:p w14:paraId="068DDD2B" w14:textId="768A7784" w:rsidR="00345A30" w:rsidRPr="0034627C" w:rsidRDefault="0034627C" w:rsidP="0034627C">
      <w:pPr>
        <w:tabs>
          <w:tab w:val="left" w:pos="709"/>
        </w:tabs>
        <w:jc w:val="both"/>
        <w:rPr>
          <w:rFonts w:ascii="Times New Roman" w:hAnsi="Times New Roman" w:cs="Times New Roman"/>
          <w:i/>
          <w:iCs/>
          <w:sz w:val="28"/>
          <w:szCs w:val="28"/>
          <w:u w:val="single"/>
          <w:lang w:val="en-US"/>
        </w:rPr>
      </w:pPr>
      <w:r w:rsidRPr="00345A30">
        <w:rPr>
          <w:rFonts w:ascii="Times New Roman" w:hAnsi="Times New Roman" w:cs="Times New Roman"/>
          <w:sz w:val="28"/>
          <w:szCs w:val="28"/>
          <w:lang w:val="en-US"/>
        </w:rPr>
        <w:t>[43]</w:t>
      </w:r>
      <w:r w:rsidRPr="00345A30">
        <w:rPr>
          <w:rFonts w:ascii="Times New Roman" w:hAnsi="Times New Roman" w:cs="Times New Roman"/>
          <w:sz w:val="28"/>
          <w:szCs w:val="28"/>
          <w:lang w:val="en-US"/>
        </w:rPr>
        <w:tab/>
      </w:r>
      <w:r w:rsidR="00C05D0F" w:rsidRPr="0034627C">
        <w:rPr>
          <w:rFonts w:ascii="Times New Roman" w:eastAsia="Times New Roman" w:hAnsi="Times New Roman" w:cs="Times New Roman"/>
          <w:color w:val="000000"/>
          <w:sz w:val="28"/>
          <w:szCs w:val="28"/>
          <w:lang w:eastAsia="en-ZA"/>
        </w:rPr>
        <w:t>In </w:t>
      </w:r>
      <w:r w:rsidR="00C05D0F" w:rsidRPr="0034627C">
        <w:rPr>
          <w:rFonts w:ascii="Times New Roman" w:eastAsia="Times New Roman" w:hAnsi="Times New Roman" w:cs="Times New Roman"/>
          <w:i/>
          <w:iCs/>
          <w:color w:val="000000"/>
          <w:sz w:val="28"/>
          <w:szCs w:val="28"/>
          <w:lang w:eastAsia="en-ZA"/>
        </w:rPr>
        <w:t>Steenkamp (CC)</w:t>
      </w:r>
      <w:r w:rsidR="00DA6DCE" w:rsidRPr="0034627C">
        <w:rPr>
          <w:rFonts w:ascii="Times New Roman" w:eastAsia="Times New Roman" w:hAnsi="Times New Roman" w:cs="Times New Roman"/>
          <w:color w:val="000000"/>
          <w:sz w:val="28"/>
          <w:szCs w:val="28"/>
          <w:lang w:eastAsia="en-ZA"/>
        </w:rPr>
        <w:t xml:space="preserve"> the court </w:t>
      </w:r>
      <w:r w:rsidR="00C05D0F" w:rsidRPr="0034627C">
        <w:rPr>
          <w:rFonts w:ascii="Times New Roman" w:eastAsia="Times New Roman" w:hAnsi="Times New Roman" w:cs="Times New Roman"/>
          <w:color w:val="000000"/>
          <w:sz w:val="28"/>
          <w:szCs w:val="28"/>
          <w:lang w:eastAsia="en-ZA"/>
        </w:rPr>
        <w:t xml:space="preserve">considered whether a successful tenderer, whose award was subsequently set aside, could recover in delict the out-of-pocket expenses it incurred in reliance on the award. The </w:t>
      </w:r>
      <w:r w:rsidR="00DA6DCE" w:rsidRPr="0034627C">
        <w:rPr>
          <w:rFonts w:ascii="Times New Roman" w:eastAsia="Times New Roman" w:hAnsi="Times New Roman" w:cs="Times New Roman"/>
          <w:color w:val="000000"/>
          <w:sz w:val="28"/>
          <w:szCs w:val="28"/>
          <w:lang w:eastAsia="en-ZA"/>
        </w:rPr>
        <w:t>c</w:t>
      </w:r>
      <w:r w:rsidR="00C05D0F" w:rsidRPr="0034627C">
        <w:rPr>
          <w:rFonts w:ascii="Times New Roman" w:eastAsia="Times New Roman" w:hAnsi="Times New Roman" w:cs="Times New Roman"/>
          <w:color w:val="000000"/>
          <w:sz w:val="28"/>
          <w:szCs w:val="28"/>
          <w:lang w:eastAsia="en-ZA"/>
        </w:rPr>
        <w:t>ourt held that it could not and, further, that “[c]</w:t>
      </w:r>
      <w:r w:rsidR="00C05D0F" w:rsidRPr="0034627C">
        <w:rPr>
          <w:rFonts w:ascii="Times New Roman" w:eastAsia="Times New Roman" w:hAnsi="Times New Roman" w:cs="Times New Roman"/>
          <w:i/>
          <w:iCs/>
          <w:color w:val="000000"/>
          <w:sz w:val="28"/>
          <w:szCs w:val="28"/>
          <w:lang w:eastAsia="en-ZA"/>
        </w:rPr>
        <w:t>ompelling public considerations require that adjudicators of disputes, as of competing tenders, are immune from damages claims in respect of their incorrect or negligent but honest decisions</w:t>
      </w:r>
      <w:r w:rsidR="00C05D0F" w:rsidRPr="0034627C">
        <w:rPr>
          <w:rFonts w:ascii="Times New Roman" w:eastAsia="Times New Roman" w:hAnsi="Times New Roman" w:cs="Times New Roman"/>
          <w:color w:val="000000"/>
          <w:sz w:val="28"/>
          <w:szCs w:val="28"/>
          <w:lang w:eastAsia="en-ZA"/>
        </w:rPr>
        <w:t>”</w:t>
      </w:r>
      <w:r w:rsidR="00854D0A" w:rsidRPr="0034627C">
        <w:rPr>
          <w:rFonts w:ascii="Times New Roman" w:eastAsia="Times New Roman" w:hAnsi="Times New Roman" w:cs="Times New Roman"/>
          <w:color w:val="000000"/>
          <w:sz w:val="28"/>
          <w:szCs w:val="28"/>
          <w:lang w:eastAsia="en-ZA"/>
        </w:rPr>
        <w:t>.</w:t>
      </w:r>
      <w:r w:rsidR="00FC7D45">
        <w:rPr>
          <w:rStyle w:val="FootnoteReference"/>
          <w:rFonts w:ascii="Times New Roman" w:eastAsia="Times New Roman" w:hAnsi="Times New Roman" w:cs="Times New Roman"/>
          <w:color w:val="000000"/>
          <w:sz w:val="28"/>
          <w:szCs w:val="28"/>
          <w:lang w:eastAsia="en-ZA"/>
        </w:rPr>
        <w:footnoteReference w:id="44"/>
      </w:r>
      <w:r w:rsidR="00854D0A" w:rsidRPr="0034627C">
        <w:rPr>
          <w:rFonts w:ascii="Times New Roman" w:eastAsia="Times New Roman" w:hAnsi="Times New Roman" w:cs="Times New Roman"/>
          <w:color w:val="000000"/>
          <w:sz w:val="28"/>
          <w:szCs w:val="28"/>
          <w:lang w:eastAsia="en-ZA"/>
        </w:rPr>
        <w:t xml:space="preserve">  </w:t>
      </w:r>
    </w:p>
    <w:p w14:paraId="0D92C0CF" w14:textId="77777777" w:rsidR="00345A30" w:rsidRPr="00345A30" w:rsidRDefault="00345A30" w:rsidP="00345A30">
      <w:pPr>
        <w:pStyle w:val="ListParagraph"/>
        <w:tabs>
          <w:tab w:val="left" w:pos="709"/>
        </w:tabs>
        <w:ind w:left="0"/>
        <w:jc w:val="both"/>
        <w:rPr>
          <w:rFonts w:ascii="Times New Roman" w:hAnsi="Times New Roman" w:cs="Times New Roman"/>
          <w:i/>
          <w:iCs/>
          <w:sz w:val="28"/>
          <w:szCs w:val="28"/>
          <w:u w:val="single"/>
          <w:lang w:val="en-US"/>
        </w:rPr>
      </w:pPr>
    </w:p>
    <w:p w14:paraId="598C6B43" w14:textId="30547910" w:rsidR="00692697" w:rsidRPr="0034627C" w:rsidRDefault="0034627C" w:rsidP="0034627C">
      <w:pPr>
        <w:tabs>
          <w:tab w:val="left" w:pos="709"/>
        </w:tabs>
        <w:jc w:val="both"/>
        <w:rPr>
          <w:rFonts w:ascii="Times New Roman" w:hAnsi="Times New Roman" w:cs="Times New Roman"/>
          <w:i/>
          <w:iCs/>
          <w:sz w:val="28"/>
          <w:szCs w:val="28"/>
          <w:u w:val="single"/>
          <w:lang w:val="en-US"/>
        </w:rPr>
      </w:pPr>
      <w:r w:rsidRPr="00692697">
        <w:rPr>
          <w:rFonts w:ascii="Times New Roman" w:hAnsi="Times New Roman" w:cs="Times New Roman"/>
          <w:sz w:val="28"/>
          <w:szCs w:val="28"/>
          <w:lang w:val="en-US"/>
        </w:rPr>
        <w:t>[44]</w:t>
      </w:r>
      <w:r w:rsidRPr="00692697">
        <w:rPr>
          <w:rFonts w:ascii="Times New Roman" w:hAnsi="Times New Roman" w:cs="Times New Roman"/>
          <w:sz w:val="28"/>
          <w:szCs w:val="28"/>
          <w:lang w:val="en-US"/>
        </w:rPr>
        <w:tab/>
      </w:r>
      <w:r w:rsidR="00614AB7" w:rsidRPr="0034627C">
        <w:rPr>
          <w:rFonts w:ascii="Times New Roman" w:eastAsia="Times New Roman" w:hAnsi="Times New Roman" w:cs="Times New Roman"/>
          <w:color w:val="000000"/>
          <w:sz w:val="28"/>
          <w:szCs w:val="28"/>
          <w:lang w:eastAsia="en-ZA"/>
        </w:rPr>
        <w:t xml:space="preserve">The court </w:t>
      </w:r>
      <w:r w:rsidR="0025114B" w:rsidRPr="0034627C">
        <w:rPr>
          <w:rFonts w:ascii="Times New Roman" w:eastAsia="Times New Roman" w:hAnsi="Times New Roman" w:cs="Times New Roman"/>
          <w:color w:val="000000"/>
          <w:sz w:val="28"/>
          <w:szCs w:val="28"/>
          <w:lang w:eastAsia="en-ZA"/>
        </w:rPr>
        <w:t>however left</w:t>
      </w:r>
      <w:r w:rsidR="00C05D0F" w:rsidRPr="0034627C">
        <w:rPr>
          <w:rFonts w:ascii="Times New Roman" w:eastAsia="Times New Roman" w:hAnsi="Times New Roman" w:cs="Times New Roman"/>
          <w:color w:val="000000"/>
          <w:sz w:val="28"/>
          <w:szCs w:val="28"/>
          <w:lang w:eastAsia="en-ZA"/>
        </w:rPr>
        <w:t xml:space="preserve"> open the question whether an administrative decision tainted by </w:t>
      </w:r>
      <w:r w:rsidR="004379D7" w:rsidRPr="0034627C">
        <w:rPr>
          <w:rFonts w:ascii="Times New Roman" w:eastAsia="Times New Roman" w:hAnsi="Times New Roman" w:cs="Times New Roman"/>
          <w:color w:val="000000"/>
          <w:sz w:val="28"/>
          <w:szCs w:val="28"/>
          <w:lang w:eastAsia="en-ZA"/>
        </w:rPr>
        <w:t xml:space="preserve">other conduct </w:t>
      </w:r>
      <w:r w:rsidR="003D614D" w:rsidRPr="0034627C">
        <w:rPr>
          <w:rFonts w:ascii="Times New Roman" w:eastAsia="Times New Roman" w:hAnsi="Times New Roman" w:cs="Times New Roman"/>
          <w:color w:val="000000"/>
          <w:sz w:val="28"/>
          <w:szCs w:val="28"/>
          <w:lang w:eastAsia="en-ZA"/>
        </w:rPr>
        <w:t>having its origin in the administrative domain</w:t>
      </w:r>
      <w:r w:rsidR="00C05D0F" w:rsidRPr="0034627C">
        <w:rPr>
          <w:rFonts w:ascii="Times New Roman" w:eastAsia="Times New Roman" w:hAnsi="Times New Roman" w:cs="Times New Roman"/>
          <w:color w:val="000000"/>
          <w:sz w:val="28"/>
          <w:szCs w:val="28"/>
          <w:lang w:eastAsia="en-ZA"/>
        </w:rPr>
        <w:t xml:space="preserve"> might </w:t>
      </w:r>
      <w:r w:rsidR="003D614D" w:rsidRPr="0034627C">
        <w:rPr>
          <w:rFonts w:ascii="Times New Roman" w:eastAsia="Times New Roman" w:hAnsi="Times New Roman" w:cs="Times New Roman"/>
          <w:color w:val="000000"/>
          <w:sz w:val="28"/>
          <w:szCs w:val="28"/>
          <w:lang w:eastAsia="en-ZA"/>
        </w:rPr>
        <w:t xml:space="preserve">yet </w:t>
      </w:r>
      <w:r w:rsidR="00C05D0F" w:rsidRPr="0034627C">
        <w:rPr>
          <w:rFonts w:ascii="Times New Roman" w:eastAsia="Times New Roman" w:hAnsi="Times New Roman" w:cs="Times New Roman"/>
          <w:color w:val="000000"/>
          <w:sz w:val="28"/>
          <w:szCs w:val="28"/>
          <w:lang w:eastAsia="en-ZA"/>
        </w:rPr>
        <w:t xml:space="preserve">attract delictual liability. It held that </w:t>
      </w:r>
      <w:r w:rsidR="00C05D0F" w:rsidRPr="0034627C">
        <w:rPr>
          <w:rFonts w:ascii="Times New Roman" w:eastAsia="Times New Roman" w:hAnsi="Times New Roman" w:cs="Times New Roman"/>
          <w:i/>
          <w:iCs/>
          <w:color w:val="000000"/>
          <w:sz w:val="28"/>
          <w:szCs w:val="28"/>
          <w:lang w:eastAsia="en-ZA"/>
        </w:rPr>
        <w:t>“if an administrative or statutory decision is made in bad faith or under corrupt circumstances or completely outside the legitimate scope of the empowering provision, different public policy considerations may well apply</w:t>
      </w:r>
      <w:r w:rsidR="00DA6DCE" w:rsidRPr="0034627C">
        <w:rPr>
          <w:rFonts w:ascii="Times New Roman" w:eastAsia="Times New Roman" w:hAnsi="Times New Roman" w:cs="Times New Roman"/>
          <w:i/>
          <w:iCs/>
          <w:color w:val="000000"/>
          <w:sz w:val="28"/>
          <w:szCs w:val="28"/>
          <w:lang w:eastAsia="en-ZA"/>
        </w:rPr>
        <w:t>.</w:t>
      </w:r>
      <w:r w:rsidR="00C05D0F" w:rsidRPr="0034627C">
        <w:rPr>
          <w:rFonts w:ascii="Times New Roman" w:eastAsia="Times New Roman" w:hAnsi="Times New Roman" w:cs="Times New Roman"/>
          <w:i/>
          <w:iCs/>
          <w:color w:val="000000"/>
          <w:sz w:val="28"/>
          <w:szCs w:val="28"/>
          <w:lang w:eastAsia="en-ZA"/>
        </w:rPr>
        <w:t>”</w:t>
      </w:r>
    </w:p>
    <w:p w14:paraId="7AFBC9FE" w14:textId="77777777" w:rsidR="00692697" w:rsidRPr="00692697" w:rsidRDefault="00692697" w:rsidP="00692697">
      <w:pPr>
        <w:pStyle w:val="ListParagraph"/>
        <w:rPr>
          <w:rFonts w:ascii="Times New Roman" w:eastAsia="Times New Roman" w:hAnsi="Times New Roman" w:cs="Times New Roman"/>
          <w:color w:val="000000"/>
          <w:sz w:val="28"/>
          <w:szCs w:val="28"/>
          <w:lang w:eastAsia="en-ZA"/>
        </w:rPr>
      </w:pPr>
    </w:p>
    <w:p w14:paraId="69C20758" w14:textId="6F7DAA96" w:rsidR="00692697" w:rsidRPr="0034627C" w:rsidRDefault="0034627C" w:rsidP="0034627C">
      <w:pPr>
        <w:tabs>
          <w:tab w:val="left" w:pos="709"/>
        </w:tabs>
        <w:jc w:val="both"/>
        <w:rPr>
          <w:rFonts w:ascii="Times New Roman" w:hAnsi="Times New Roman" w:cs="Times New Roman"/>
          <w:i/>
          <w:iCs/>
          <w:sz w:val="28"/>
          <w:szCs w:val="28"/>
          <w:u w:val="single"/>
          <w:lang w:val="en-US"/>
        </w:rPr>
      </w:pPr>
      <w:r w:rsidRPr="00692697">
        <w:rPr>
          <w:rFonts w:ascii="Times New Roman" w:hAnsi="Times New Roman" w:cs="Times New Roman"/>
          <w:sz w:val="28"/>
          <w:szCs w:val="28"/>
          <w:lang w:val="en-US"/>
        </w:rPr>
        <w:t>[45]</w:t>
      </w:r>
      <w:r w:rsidRPr="00692697">
        <w:rPr>
          <w:rFonts w:ascii="Times New Roman" w:hAnsi="Times New Roman" w:cs="Times New Roman"/>
          <w:sz w:val="28"/>
          <w:szCs w:val="28"/>
          <w:lang w:val="en-US"/>
        </w:rPr>
        <w:tab/>
      </w:r>
      <w:r w:rsidR="00692697" w:rsidRPr="0034627C">
        <w:rPr>
          <w:rFonts w:ascii="Times New Roman" w:eastAsia="Times New Roman" w:hAnsi="Times New Roman" w:cs="Times New Roman"/>
          <w:color w:val="000000"/>
          <w:sz w:val="28"/>
          <w:szCs w:val="28"/>
          <w:lang w:eastAsia="en-ZA"/>
        </w:rPr>
        <w:t xml:space="preserve">As </w:t>
      </w:r>
      <w:r w:rsidR="00DA6DCE" w:rsidRPr="0034627C">
        <w:rPr>
          <w:rFonts w:ascii="Times New Roman" w:eastAsia="Times New Roman" w:hAnsi="Times New Roman" w:cs="Times New Roman"/>
          <w:color w:val="000000"/>
          <w:sz w:val="28"/>
          <w:szCs w:val="28"/>
          <w:lang w:eastAsia="en-ZA"/>
        </w:rPr>
        <w:t>was pointed out by Mr</w:t>
      </w:r>
      <w:r w:rsidR="007744CC" w:rsidRPr="0034627C">
        <w:rPr>
          <w:rFonts w:ascii="Times New Roman" w:eastAsia="Times New Roman" w:hAnsi="Times New Roman" w:cs="Times New Roman"/>
          <w:color w:val="000000"/>
          <w:sz w:val="28"/>
          <w:szCs w:val="28"/>
          <w:lang w:eastAsia="en-ZA"/>
        </w:rPr>
        <w:t>.</w:t>
      </w:r>
      <w:r w:rsidR="00DA6DCE" w:rsidRPr="0034627C">
        <w:rPr>
          <w:rFonts w:ascii="Times New Roman" w:eastAsia="Times New Roman" w:hAnsi="Times New Roman" w:cs="Times New Roman"/>
          <w:color w:val="000000"/>
          <w:sz w:val="28"/>
          <w:szCs w:val="28"/>
          <w:lang w:eastAsia="en-ZA"/>
        </w:rPr>
        <w:t xml:space="preserve"> Buchanan who appeared on behalf of the trust, </w:t>
      </w:r>
      <w:r w:rsidR="00DA6DCE" w:rsidRPr="0034627C">
        <w:rPr>
          <w:rFonts w:ascii="Times New Roman" w:eastAsia="Times New Roman" w:hAnsi="Times New Roman" w:cs="Times New Roman"/>
          <w:i/>
          <w:iCs/>
          <w:color w:val="000000"/>
          <w:sz w:val="28"/>
          <w:szCs w:val="28"/>
          <w:lang w:eastAsia="en-ZA"/>
        </w:rPr>
        <w:t>Steenkamp CC</w:t>
      </w:r>
      <w:r w:rsidR="00DA6DCE" w:rsidRPr="0034627C">
        <w:rPr>
          <w:rFonts w:ascii="Times New Roman" w:eastAsia="Times New Roman" w:hAnsi="Times New Roman" w:cs="Times New Roman"/>
          <w:color w:val="000000"/>
          <w:sz w:val="28"/>
          <w:szCs w:val="28"/>
          <w:lang w:eastAsia="en-ZA"/>
        </w:rPr>
        <w:t xml:space="preserve"> does not postulate an absolute rule that there can never be such a delictual claim unless one can establish </w:t>
      </w:r>
      <w:r w:rsidR="00DA6DCE" w:rsidRPr="0034627C">
        <w:rPr>
          <w:rFonts w:ascii="Times New Roman" w:eastAsia="Times New Roman" w:hAnsi="Times New Roman" w:cs="Times New Roman"/>
          <w:i/>
          <w:iCs/>
          <w:color w:val="000000"/>
          <w:sz w:val="28"/>
          <w:szCs w:val="28"/>
          <w:lang w:eastAsia="en-ZA"/>
        </w:rPr>
        <w:t>mala fides</w:t>
      </w:r>
      <w:r w:rsidR="00DA6DCE" w:rsidRPr="0034627C">
        <w:rPr>
          <w:rFonts w:ascii="Times New Roman" w:eastAsia="Times New Roman" w:hAnsi="Times New Roman" w:cs="Times New Roman"/>
          <w:color w:val="000000"/>
          <w:sz w:val="28"/>
          <w:szCs w:val="28"/>
          <w:lang w:eastAsia="en-ZA"/>
        </w:rPr>
        <w:t>, corruption or the like.  It simply means that one has</w:t>
      </w:r>
      <w:r w:rsidR="004F7B35" w:rsidRPr="0034627C">
        <w:rPr>
          <w:rFonts w:ascii="Times New Roman" w:eastAsia="Times New Roman" w:hAnsi="Times New Roman" w:cs="Times New Roman"/>
          <w:color w:val="000000"/>
          <w:sz w:val="28"/>
          <w:szCs w:val="28"/>
          <w:lang w:eastAsia="en-ZA"/>
        </w:rPr>
        <w:t xml:space="preserve"> to persuade the court that a legal duty exists to prevent loss to a plaintiff in any instance of financial loss caused by improper performance of a statutory or administrative function </w:t>
      </w:r>
      <w:r w:rsidR="004F7B35" w:rsidRPr="0034627C">
        <w:rPr>
          <w:rFonts w:ascii="Times New Roman" w:eastAsia="Times New Roman" w:hAnsi="Times New Roman" w:cs="Times New Roman"/>
          <w:i/>
          <w:iCs/>
          <w:color w:val="000000"/>
          <w:sz w:val="28"/>
          <w:szCs w:val="28"/>
          <w:lang w:eastAsia="en-ZA"/>
        </w:rPr>
        <w:t>“where called for by policy considerations of fairness and reasonableness.</w:t>
      </w:r>
      <w:r w:rsidR="004F7B35" w:rsidRPr="0034627C">
        <w:rPr>
          <w:rFonts w:ascii="Times New Roman" w:eastAsia="Times New Roman" w:hAnsi="Times New Roman" w:cs="Times New Roman"/>
          <w:color w:val="000000"/>
          <w:sz w:val="28"/>
          <w:szCs w:val="28"/>
          <w:lang w:eastAsia="en-ZA"/>
        </w:rPr>
        <w:t>”</w:t>
      </w:r>
      <w:r w:rsidR="004F7B35">
        <w:rPr>
          <w:rStyle w:val="FootnoteReference"/>
          <w:rFonts w:ascii="Times New Roman" w:eastAsia="Times New Roman" w:hAnsi="Times New Roman" w:cs="Times New Roman"/>
          <w:color w:val="000000"/>
          <w:sz w:val="28"/>
          <w:szCs w:val="28"/>
          <w:lang w:eastAsia="en-ZA"/>
        </w:rPr>
        <w:footnoteReference w:id="45"/>
      </w:r>
    </w:p>
    <w:p w14:paraId="53A0AA63" w14:textId="77777777" w:rsidR="00692697" w:rsidRDefault="00692697" w:rsidP="00692697">
      <w:pPr>
        <w:pStyle w:val="ListParagraph"/>
        <w:rPr>
          <w:rFonts w:ascii="Times New Roman" w:eastAsia="Times New Roman" w:hAnsi="Times New Roman" w:cs="Times New Roman"/>
          <w:color w:val="000000"/>
          <w:sz w:val="28"/>
          <w:szCs w:val="28"/>
          <w:lang w:eastAsia="en-ZA"/>
        </w:rPr>
      </w:pPr>
    </w:p>
    <w:p w14:paraId="0CDDA52A" w14:textId="664B10A7" w:rsidR="00C05D0F" w:rsidRPr="0034627C" w:rsidRDefault="0034627C" w:rsidP="0034627C">
      <w:pPr>
        <w:tabs>
          <w:tab w:val="left" w:pos="709"/>
        </w:tabs>
        <w:jc w:val="both"/>
        <w:rPr>
          <w:rFonts w:ascii="Times New Roman" w:hAnsi="Times New Roman" w:cs="Times New Roman"/>
          <w:i/>
          <w:iCs/>
          <w:sz w:val="28"/>
          <w:szCs w:val="28"/>
          <w:u w:val="single"/>
          <w:lang w:val="en-US"/>
        </w:rPr>
      </w:pPr>
      <w:r w:rsidRPr="008346BA">
        <w:rPr>
          <w:rFonts w:ascii="Times New Roman" w:hAnsi="Times New Roman" w:cs="Times New Roman"/>
          <w:sz w:val="28"/>
          <w:szCs w:val="28"/>
          <w:lang w:val="en-US"/>
        </w:rPr>
        <w:t>[46]</w:t>
      </w:r>
      <w:r w:rsidRPr="008346BA">
        <w:rPr>
          <w:rFonts w:ascii="Times New Roman" w:hAnsi="Times New Roman" w:cs="Times New Roman"/>
          <w:sz w:val="28"/>
          <w:szCs w:val="28"/>
          <w:lang w:val="en-US"/>
        </w:rPr>
        <w:tab/>
      </w:r>
      <w:r w:rsidR="00C05D0F" w:rsidRPr="0034627C">
        <w:rPr>
          <w:rFonts w:ascii="Times New Roman" w:eastAsia="Times New Roman" w:hAnsi="Times New Roman" w:cs="Times New Roman"/>
          <w:color w:val="000000"/>
          <w:sz w:val="28"/>
          <w:szCs w:val="28"/>
          <w:lang w:eastAsia="en-ZA"/>
        </w:rPr>
        <w:t xml:space="preserve">Therefore, notionally, any other </w:t>
      </w:r>
      <w:r w:rsidR="00C05D0F" w:rsidRPr="0034627C">
        <w:rPr>
          <w:rFonts w:ascii="Times New Roman" w:eastAsia="Times New Roman" w:hAnsi="Times New Roman" w:cs="Times New Roman"/>
          <w:i/>
          <w:iCs/>
          <w:color w:val="000000"/>
          <w:sz w:val="28"/>
          <w:szCs w:val="28"/>
          <w:lang w:eastAsia="en-ZA"/>
        </w:rPr>
        <w:t>“misconduct”</w:t>
      </w:r>
      <w:r w:rsidR="005F59ED" w:rsidRPr="0034627C">
        <w:rPr>
          <w:rFonts w:ascii="Times New Roman" w:eastAsia="Times New Roman" w:hAnsi="Times New Roman" w:cs="Times New Roman"/>
          <w:i/>
          <w:iCs/>
          <w:color w:val="000000"/>
          <w:sz w:val="28"/>
          <w:szCs w:val="28"/>
          <w:lang w:eastAsia="en-ZA"/>
        </w:rPr>
        <w:t xml:space="preserve"> </w:t>
      </w:r>
      <w:r w:rsidR="005F59ED" w:rsidRPr="0034627C">
        <w:rPr>
          <w:rFonts w:ascii="Times New Roman" w:eastAsia="Times New Roman" w:hAnsi="Times New Roman" w:cs="Times New Roman"/>
          <w:color w:val="000000"/>
          <w:sz w:val="28"/>
          <w:szCs w:val="28"/>
          <w:lang w:eastAsia="en-ZA"/>
        </w:rPr>
        <w:t>(or improper performance of a statutory or administrative function</w:t>
      </w:r>
      <w:r w:rsidR="00047AED" w:rsidRPr="0034627C">
        <w:rPr>
          <w:rFonts w:ascii="Times New Roman" w:eastAsia="Times New Roman" w:hAnsi="Times New Roman" w:cs="Times New Roman"/>
          <w:color w:val="000000"/>
          <w:sz w:val="28"/>
          <w:szCs w:val="28"/>
          <w:lang w:eastAsia="en-ZA"/>
        </w:rPr>
        <w:t>,</w:t>
      </w:r>
      <w:r w:rsidR="005F59ED" w:rsidRPr="0034627C">
        <w:rPr>
          <w:rFonts w:ascii="Times New Roman" w:eastAsia="Times New Roman" w:hAnsi="Times New Roman" w:cs="Times New Roman"/>
          <w:color w:val="000000"/>
          <w:sz w:val="28"/>
          <w:szCs w:val="28"/>
          <w:lang w:eastAsia="en-ZA"/>
        </w:rPr>
        <w:t xml:space="preserve"> or misfeasance), </w:t>
      </w:r>
      <w:r w:rsidR="00C05D0F" w:rsidRPr="0034627C">
        <w:rPr>
          <w:rFonts w:ascii="Times New Roman" w:eastAsia="Times New Roman" w:hAnsi="Times New Roman" w:cs="Times New Roman"/>
          <w:color w:val="000000"/>
          <w:sz w:val="28"/>
          <w:szCs w:val="28"/>
          <w:lang w:eastAsia="en-ZA"/>
        </w:rPr>
        <w:t>that is other than merely incorrect or negligent but honest decisions</w:t>
      </w:r>
      <w:r w:rsidR="005F59ED" w:rsidRPr="0034627C">
        <w:rPr>
          <w:rFonts w:ascii="Times New Roman" w:eastAsia="Times New Roman" w:hAnsi="Times New Roman" w:cs="Times New Roman"/>
          <w:color w:val="000000"/>
          <w:sz w:val="28"/>
          <w:szCs w:val="28"/>
          <w:lang w:eastAsia="en-ZA"/>
        </w:rPr>
        <w:t>,</w:t>
      </w:r>
      <w:r w:rsidR="00E36E8F">
        <w:rPr>
          <w:rStyle w:val="FootnoteReference"/>
          <w:rFonts w:ascii="Times New Roman" w:eastAsia="Times New Roman" w:hAnsi="Times New Roman" w:cs="Times New Roman"/>
          <w:color w:val="000000"/>
          <w:sz w:val="28"/>
          <w:szCs w:val="28"/>
          <w:lang w:eastAsia="en-ZA"/>
        </w:rPr>
        <w:footnoteReference w:id="46"/>
      </w:r>
      <w:r w:rsidR="00C05D0F" w:rsidRPr="0034627C">
        <w:rPr>
          <w:rFonts w:ascii="Times New Roman" w:eastAsia="Times New Roman" w:hAnsi="Times New Roman" w:cs="Times New Roman"/>
          <w:color w:val="000000"/>
          <w:sz w:val="28"/>
          <w:szCs w:val="28"/>
          <w:lang w:eastAsia="en-ZA"/>
        </w:rPr>
        <w:t xml:space="preserve"> might for policy reasons require the </w:t>
      </w:r>
      <w:r w:rsidR="005300EF" w:rsidRPr="0034627C">
        <w:rPr>
          <w:rFonts w:ascii="Times New Roman" w:eastAsia="Times New Roman" w:hAnsi="Times New Roman" w:cs="Times New Roman"/>
          <w:color w:val="000000"/>
          <w:sz w:val="28"/>
          <w:szCs w:val="28"/>
          <w:lang w:eastAsia="en-ZA"/>
        </w:rPr>
        <w:t>Aquilian</w:t>
      </w:r>
      <w:r w:rsidR="00C05D0F" w:rsidRPr="0034627C">
        <w:rPr>
          <w:rFonts w:ascii="Times New Roman" w:eastAsia="Times New Roman" w:hAnsi="Times New Roman" w:cs="Times New Roman"/>
          <w:color w:val="000000"/>
          <w:sz w:val="28"/>
          <w:szCs w:val="28"/>
          <w:lang w:eastAsia="en-ZA"/>
        </w:rPr>
        <w:t xml:space="preserve"> law of delict to be extended to permit the recovery of a pure economic loss occasioned by such </w:t>
      </w:r>
      <w:r w:rsidR="00503DDF" w:rsidRPr="0034627C">
        <w:rPr>
          <w:rFonts w:ascii="Times New Roman" w:eastAsia="Times New Roman" w:hAnsi="Times New Roman" w:cs="Times New Roman"/>
          <w:color w:val="000000"/>
          <w:sz w:val="28"/>
          <w:szCs w:val="28"/>
          <w:lang w:eastAsia="en-ZA"/>
        </w:rPr>
        <w:t>conduct</w:t>
      </w:r>
      <w:r w:rsidR="004F7B35" w:rsidRPr="0034627C">
        <w:rPr>
          <w:rFonts w:ascii="Times New Roman" w:eastAsia="Times New Roman" w:hAnsi="Times New Roman" w:cs="Times New Roman"/>
          <w:color w:val="000000"/>
          <w:sz w:val="28"/>
          <w:szCs w:val="28"/>
          <w:lang w:eastAsia="en-ZA"/>
        </w:rPr>
        <w:t xml:space="preserve"> </w:t>
      </w:r>
      <w:r w:rsidR="00E36E8F" w:rsidRPr="0034627C">
        <w:rPr>
          <w:rFonts w:ascii="Times New Roman" w:eastAsia="Times New Roman" w:hAnsi="Times New Roman" w:cs="Times New Roman"/>
          <w:color w:val="000000"/>
          <w:sz w:val="28"/>
          <w:szCs w:val="28"/>
          <w:lang w:eastAsia="en-ZA"/>
        </w:rPr>
        <w:t>but</w:t>
      </w:r>
      <w:r w:rsidR="004F7B35" w:rsidRPr="0034627C">
        <w:rPr>
          <w:rFonts w:ascii="Times New Roman" w:eastAsia="Times New Roman" w:hAnsi="Times New Roman" w:cs="Times New Roman"/>
          <w:color w:val="000000"/>
          <w:sz w:val="28"/>
          <w:szCs w:val="28"/>
          <w:lang w:eastAsia="en-ZA"/>
        </w:rPr>
        <w:t xml:space="preserve"> each case will </w:t>
      </w:r>
      <w:r w:rsidR="00E36E8F" w:rsidRPr="0034627C">
        <w:rPr>
          <w:rFonts w:ascii="Times New Roman" w:eastAsia="Times New Roman" w:hAnsi="Times New Roman" w:cs="Times New Roman"/>
          <w:color w:val="000000"/>
          <w:sz w:val="28"/>
          <w:szCs w:val="28"/>
          <w:lang w:eastAsia="en-ZA"/>
        </w:rPr>
        <w:t xml:space="preserve">in my view </w:t>
      </w:r>
      <w:r w:rsidR="004F7B35" w:rsidRPr="0034627C">
        <w:rPr>
          <w:rFonts w:ascii="Times New Roman" w:eastAsia="Times New Roman" w:hAnsi="Times New Roman" w:cs="Times New Roman"/>
          <w:color w:val="000000"/>
          <w:sz w:val="28"/>
          <w:szCs w:val="28"/>
          <w:lang w:eastAsia="en-ZA"/>
        </w:rPr>
        <w:t>stand on its own merits</w:t>
      </w:r>
      <w:r w:rsidR="00E36E8F" w:rsidRPr="0034627C">
        <w:rPr>
          <w:rFonts w:ascii="Times New Roman" w:eastAsia="Times New Roman" w:hAnsi="Times New Roman" w:cs="Times New Roman"/>
          <w:color w:val="000000"/>
          <w:sz w:val="28"/>
          <w:szCs w:val="28"/>
          <w:lang w:eastAsia="en-ZA"/>
        </w:rPr>
        <w:t xml:space="preserve"> and be context specific</w:t>
      </w:r>
      <w:r w:rsidR="004F7B35" w:rsidRPr="0034627C">
        <w:rPr>
          <w:rFonts w:ascii="Times New Roman" w:eastAsia="Times New Roman" w:hAnsi="Times New Roman" w:cs="Times New Roman"/>
          <w:color w:val="000000"/>
          <w:sz w:val="28"/>
          <w:szCs w:val="28"/>
          <w:lang w:eastAsia="en-ZA"/>
        </w:rPr>
        <w:t>.</w:t>
      </w:r>
    </w:p>
    <w:p w14:paraId="2E948DBA" w14:textId="77777777" w:rsidR="004F7B35" w:rsidRPr="004F7B35" w:rsidRDefault="004F7B35" w:rsidP="004F7B35">
      <w:pPr>
        <w:pStyle w:val="ListParagraph"/>
        <w:rPr>
          <w:rFonts w:ascii="Times New Roman" w:hAnsi="Times New Roman" w:cs="Times New Roman"/>
          <w:i/>
          <w:iCs/>
          <w:sz w:val="28"/>
          <w:szCs w:val="28"/>
          <w:u w:val="single"/>
          <w:lang w:val="en-US"/>
        </w:rPr>
      </w:pPr>
    </w:p>
    <w:p w14:paraId="40022D67" w14:textId="2ED373F8" w:rsidR="004F7B35" w:rsidRPr="0034627C" w:rsidRDefault="0034627C" w:rsidP="0034627C">
      <w:pPr>
        <w:tabs>
          <w:tab w:val="left" w:pos="709"/>
        </w:tabs>
        <w:jc w:val="both"/>
        <w:rPr>
          <w:rFonts w:ascii="Times New Roman" w:hAnsi="Times New Roman" w:cs="Times New Roman"/>
          <w:sz w:val="28"/>
          <w:szCs w:val="28"/>
          <w:u w:val="single"/>
          <w:lang w:val="en-US"/>
        </w:rPr>
      </w:pPr>
      <w:r w:rsidRPr="005F59ED">
        <w:rPr>
          <w:rFonts w:ascii="Times New Roman" w:hAnsi="Times New Roman" w:cs="Times New Roman"/>
          <w:sz w:val="28"/>
          <w:szCs w:val="28"/>
          <w:lang w:val="en-US"/>
        </w:rPr>
        <w:t>[47]</w:t>
      </w:r>
      <w:r w:rsidRPr="005F59ED">
        <w:rPr>
          <w:rFonts w:ascii="Times New Roman" w:hAnsi="Times New Roman" w:cs="Times New Roman"/>
          <w:sz w:val="28"/>
          <w:szCs w:val="28"/>
          <w:lang w:val="en-US"/>
        </w:rPr>
        <w:tab/>
      </w:r>
      <w:r w:rsidR="00E36E8F" w:rsidRPr="0034627C">
        <w:rPr>
          <w:rFonts w:ascii="Times New Roman" w:hAnsi="Times New Roman" w:cs="Times New Roman"/>
          <w:sz w:val="28"/>
          <w:szCs w:val="28"/>
          <w:lang w:val="en-US"/>
        </w:rPr>
        <w:t xml:space="preserve">In this instance the particulars of </w:t>
      </w:r>
      <w:r w:rsidR="005F59ED" w:rsidRPr="0034627C">
        <w:rPr>
          <w:rFonts w:ascii="Times New Roman" w:hAnsi="Times New Roman" w:cs="Times New Roman"/>
          <w:sz w:val="28"/>
          <w:szCs w:val="28"/>
          <w:lang w:val="en-US"/>
        </w:rPr>
        <w:t>claim allege</w:t>
      </w:r>
      <w:r w:rsidR="00E36E8F" w:rsidRPr="0034627C">
        <w:rPr>
          <w:rFonts w:ascii="Times New Roman" w:hAnsi="Times New Roman" w:cs="Times New Roman"/>
          <w:sz w:val="28"/>
          <w:szCs w:val="28"/>
          <w:lang w:val="en-US"/>
        </w:rPr>
        <w:t xml:space="preserve"> actual knowledge of existing services on the part of the relevant officials, including the second defendant, </w:t>
      </w:r>
      <w:r w:rsidR="005F59ED" w:rsidRPr="0034627C">
        <w:rPr>
          <w:rFonts w:ascii="Times New Roman" w:hAnsi="Times New Roman" w:cs="Times New Roman"/>
          <w:sz w:val="28"/>
          <w:szCs w:val="28"/>
          <w:lang w:val="en-US"/>
        </w:rPr>
        <w:t>and</w:t>
      </w:r>
      <w:r w:rsidR="00E36E8F" w:rsidRPr="0034627C">
        <w:rPr>
          <w:rFonts w:ascii="Times New Roman" w:hAnsi="Times New Roman" w:cs="Times New Roman"/>
          <w:sz w:val="28"/>
          <w:szCs w:val="28"/>
          <w:lang w:val="en-US"/>
        </w:rPr>
        <w:t xml:space="preserve"> </w:t>
      </w:r>
      <w:r w:rsidR="00E36E8F" w:rsidRPr="0034627C">
        <w:rPr>
          <w:rFonts w:ascii="Times New Roman" w:hAnsi="Times New Roman" w:cs="Times New Roman"/>
          <w:sz w:val="28"/>
          <w:szCs w:val="28"/>
          <w:lang w:val="en-US"/>
        </w:rPr>
        <w:lastRenderedPageBreak/>
        <w:t>furthermore allege that the officials were expressly requested to consider and investigate the presence of existing services</w:t>
      </w:r>
      <w:r w:rsidR="00047AED" w:rsidRPr="0034627C">
        <w:rPr>
          <w:rFonts w:ascii="Times New Roman" w:hAnsi="Times New Roman" w:cs="Times New Roman"/>
          <w:sz w:val="28"/>
          <w:szCs w:val="28"/>
          <w:lang w:val="en-US"/>
        </w:rPr>
        <w:t xml:space="preserve"> which are self-evidently under their control</w:t>
      </w:r>
      <w:r w:rsidR="00E36E8F" w:rsidRPr="0034627C">
        <w:rPr>
          <w:rFonts w:ascii="Times New Roman" w:hAnsi="Times New Roman" w:cs="Times New Roman"/>
          <w:sz w:val="28"/>
          <w:szCs w:val="28"/>
          <w:lang w:val="en-US"/>
        </w:rPr>
        <w:t>.</w:t>
      </w:r>
      <w:r w:rsidR="00047AED">
        <w:rPr>
          <w:rStyle w:val="FootnoteReference"/>
          <w:rFonts w:ascii="Times New Roman" w:hAnsi="Times New Roman" w:cs="Times New Roman"/>
          <w:sz w:val="28"/>
          <w:szCs w:val="28"/>
          <w:lang w:val="en-US"/>
        </w:rPr>
        <w:footnoteReference w:id="47"/>
      </w:r>
      <w:r w:rsidR="00E36E8F" w:rsidRPr="0034627C">
        <w:rPr>
          <w:rFonts w:ascii="Times New Roman" w:hAnsi="Times New Roman" w:cs="Times New Roman"/>
          <w:sz w:val="28"/>
          <w:szCs w:val="28"/>
          <w:lang w:val="en-US"/>
        </w:rPr>
        <w:t xml:space="preserve"> Notwithstanding such knowledge</w:t>
      </w:r>
      <w:r w:rsidR="00047AED" w:rsidRPr="0034627C">
        <w:rPr>
          <w:rFonts w:ascii="Times New Roman" w:hAnsi="Times New Roman" w:cs="Times New Roman"/>
          <w:sz w:val="28"/>
          <w:szCs w:val="28"/>
          <w:lang w:val="en-US"/>
        </w:rPr>
        <w:t xml:space="preserve"> (which it must be accepted for present purposes the trust could not have had absent the registration of a servitude over its own property concerning the pipe, or of the high voltage cables on the neighboring erf)</w:t>
      </w:r>
      <w:r w:rsidR="00E36E8F" w:rsidRPr="0034627C">
        <w:rPr>
          <w:rFonts w:ascii="Times New Roman" w:hAnsi="Times New Roman" w:cs="Times New Roman"/>
          <w:sz w:val="28"/>
          <w:szCs w:val="28"/>
          <w:lang w:val="en-US"/>
        </w:rPr>
        <w:t>, and notwithstanding such request on more than one occasion</w:t>
      </w:r>
      <w:r w:rsidR="00047AED" w:rsidRPr="0034627C">
        <w:rPr>
          <w:rFonts w:ascii="Times New Roman" w:hAnsi="Times New Roman" w:cs="Times New Roman"/>
          <w:sz w:val="28"/>
          <w:szCs w:val="28"/>
          <w:lang w:val="en-US"/>
        </w:rPr>
        <w:t xml:space="preserve"> regarding the failure to identify the presence of not one but several high voltage cables</w:t>
      </w:r>
      <w:r w:rsidR="00E36E8F" w:rsidRPr="0034627C">
        <w:rPr>
          <w:rFonts w:ascii="Times New Roman" w:hAnsi="Times New Roman" w:cs="Times New Roman"/>
          <w:sz w:val="28"/>
          <w:szCs w:val="28"/>
          <w:lang w:val="en-US"/>
        </w:rPr>
        <w:t xml:space="preserve">, the officials of the municipality simply failed to advise the trust of the presence of </w:t>
      </w:r>
      <w:r w:rsidR="007D560D" w:rsidRPr="0034627C">
        <w:rPr>
          <w:rFonts w:ascii="Times New Roman" w:hAnsi="Times New Roman" w:cs="Times New Roman"/>
          <w:sz w:val="28"/>
          <w:szCs w:val="28"/>
          <w:lang w:val="en-US"/>
        </w:rPr>
        <w:t>such</w:t>
      </w:r>
      <w:r w:rsidR="00E36E8F" w:rsidRPr="0034627C">
        <w:rPr>
          <w:rFonts w:ascii="Times New Roman" w:hAnsi="Times New Roman" w:cs="Times New Roman"/>
          <w:sz w:val="28"/>
          <w:szCs w:val="28"/>
          <w:lang w:val="en-US"/>
        </w:rPr>
        <w:t xml:space="preserve"> services, which failure, in turn, led directly to the loss sustained by </w:t>
      </w:r>
      <w:r w:rsidR="007D560D" w:rsidRPr="0034627C">
        <w:rPr>
          <w:rFonts w:ascii="Times New Roman" w:hAnsi="Times New Roman" w:cs="Times New Roman"/>
          <w:sz w:val="28"/>
          <w:szCs w:val="28"/>
          <w:lang w:val="en-US"/>
        </w:rPr>
        <w:t>it. It additionally relies on a negligent misstatement which is a class of a claim on its own.</w:t>
      </w:r>
      <w:r w:rsidR="007D560D">
        <w:rPr>
          <w:rStyle w:val="FootnoteReference"/>
          <w:rFonts w:ascii="Times New Roman" w:hAnsi="Times New Roman" w:cs="Times New Roman"/>
          <w:sz w:val="28"/>
          <w:szCs w:val="28"/>
          <w:lang w:val="en-US"/>
        </w:rPr>
        <w:footnoteReference w:id="48"/>
      </w:r>
      <w:r w:rsidR="007D560D" w:rsidRPr="0034627C">
        <w:rPr>
          <w:rFonts w:ascii="Times New Roman" w:hAnsi="Times New Roman" w:cs="Times New Roman"/>
          <w:sz w:val="28"/>
          <w:szCs w:val="28"/>
          <w:lang w:val="en-US"/>
        </w:rPr>
        <w:t xml:space="preserve"> </w:t>
      </w:r>
    </w:p>
    <w:p w14:paraId="2CBC4E18" w14:textId="77777777" w:rsidR="009F7C3B" w:rsidRPr="009F7C3B" w:rsidRDefault="009F7C3B" w:rsidP="00C05D0F">
      <w:pPr>
        <w:pStyle w:val="ListParagraph"/>
        <w:tabs>
          <w:tab w:val="left" w:pos="709"/>
        </w:tabs>
        <w:ind w:left="0"/>
        <w:jc w:val="both"/>
        <w:rPr>
          <w:rFonts w:ascii="Times New Roman" w:hAnsi="Times New Roman" w:cs="Times New Roman"/>
          <w:sz w:val="28"/>
          <w:szCs w:val="28"/>
          <w:u w:val="single"/>
          <w:lang w:val="en-US"/>
        </w:rPr>
      </w:pPr>
    </w:p>
    <w:p w14:paraId="2E8EF7EC" w14:textId="70B1370D" w:rsidR="00301533" w:rsidRPr="0034627C" w:rsidRDefault="0034627C" w:rsidP="0034627C">
      <w:pPr>
        <w:tabs>
          <w:tab w:val="left" w:pos="709"/>
        </w:tabs>
        <w:jc w:val="both"/>
        <w:rPr>
          <w:rFonts w:ascii="Times New Roman" w:hAnsi="Times New Roman" w:cs="Times New Roman"/>
          <w:sz w:val="28"/>
          <w:szCs w:val="28"/>
          <w:u w:val="single"/>
          <w:lang w:val="en-US"/>
        </w:rPr>
      </w:pPr>
      <w:r w:rsidRPr="00301533">
        <w:rPr>
          <w:rFonts w:ascii="Times New Roman" w:hAnsi="Times New Roman" w:cs="Times New Roman"/>
          <w:sz w:val="28"/>
          <w:szCs w:val="28"/>
          <w:lang w:val="en-US"/>
        </w:rPr>
        <w:t>[48]</w:t>
      </w:r>
      <w:r w:rsidRPr="00301533">
        <w:rPr>
          <w:rFonts w:ascii="Times New Roman" w:hAnsi="Times New Roman" w:cs="Times New Roman"/>
          <w:sz w:val="28"/>
          <w:szCs w:val="28"/>
          <w:lang w:val="en-US"/>
        </w:rPr>
        <w:tab/>
      </w:r>
      <w:r w:rsidR="00301533" w:rsidRPr="0034627C">
        <w:rPr>
          <w:rFonts w:ascii="Times New Roman" w:hAnsi="Times New Roman" w:cs="Times New Roman"/>
          <w:sz w:val="28"/>
          <w:szCs w:val="28"/>
          <w:lang w:val="en-US"/>
        </w:rPr>
        <w:t>Against this background the municipality’s complaint that</w:t>
      </w:r>
      <w:r w:rsidR="00B3150D" w:rsidRPr="0034627C">
        <w:rPr>
          <w:rFonts w:ascii="Times New Roman" w:hAnsi="Times New Roman" w:cs="Times New Roman"/>
          <w:sz w:val="28"/>
          <w:szCs w:val="28"/>
          <w:lang w:val="en-US"/>
        </w:rPr>
        <w:t xml:space="preserve"> the trust’s amended particulars of claim </w:t>
      </w:r>
      <w:r w:rsidR="002D1371" w:rsidRPr="0034627C">
        <w:rPr>
          <w:rFonts w:ascii="Times New Roman" w:hAnsi="Times New Roman" w:cs="Times New Roman"/>
          <w:sz w:val="28"/>
          <w:szCs w:val="28"/>
          <w:lang w:val="en-US"/>
        </w:rPr>
        <w:t xml:space="preserve">lack averments to sustain a </w:t>
      </w:r>
      <w:r w:rsidR="001779B3" w:rsidRPr="0034627C">
        <w:rPr>
          <w:rFonts w:ascii="Times New Roman" w:hAnsi="Times New Roman" w:cs="Times New Roman"/>
          <w:sz w:val="28"/>
          <w:szCs w:val="28"/>
          <w:lang w:val="en-US"/>
        </w:rPr>
        <w:t>cause</w:t>
      </w:r>
      <w:r w:rsidR="002D1371" w:rsidRPr="0034627C">
        <w:rPr>
          <w:rFonts w:ascii="Times New Roman" w:hAnsi="Times New Roman" w:cs="Times New Roman"/>
          <w:sz w:val="28"/>
          <w:szCs w:val="28"/>
          <w:lang w:val="en-US"/>
        </w:rPr>
        <w:t xml:space="preserve"> of action</w:t>
      </w:r>
      <w:r w:rsidR="00301533" w:rsidRPr="0034627C">
        <w:rPr>
          <w:rFonts w:ascii="Times New Roman" w:hAnsi="Times New Roman" w:cs="Times New Roman"/>
          <w:sz w:val="28"/>
          <w:szCs w:val="28"/>
          <w:lang w:val="en-US"/>
        </w:rPr>
        <w:t xml:space="preserve"> ring particularly hollow. I </w:t>
      </w:r>
      <w:r w:rsidR="002F6E31" w:rsidRPr="0034627C">
        <w:rPr>
          <w:rFonts w:ascii="Times New Roman" w:hAnsi="Times New Roman" w:cs="Times New Roman"/>
          <w:sz w:val="28"/>
          <w:szCs w:val="28"/>
          <w:lang w:val="en-US"/>
        </w:rPr>
        <w:t>agree</w:t>
      </w:r>
      <w:r w:rsidR="00301533" w:rsidRPr="0034627C">
        <w:rPr>
          <w:rFonts w:ascii="Times New Roman" w:hAnsi="Times New Roman" w:cs="Times New Roman"/>
          <w:sz w:val="28"/>
          <w:szCs w:val="28"/>
          <w:lang w:val="en-US"/>
        </w:rPr>
        <w:t xml:space="preserve"> with Mr. Buchanan that this is not a case where the process was free of innocent errors or where the kind of situation is one made provision for by exemptions in the Act and regulations at least concerning the process for the approval of site development and building plans.  The wrongful approval of the plans which serves to </w:t>
      </w:r>
      <w:r w:rsidR="002F6E31" w:rsidRPr="0034627C">
        <w:rPr>
          <w:rFonts w:ascii="Times New Roman" w:hAnsi="Times New Roman" w:cs="Times New Roman"/>
          <w:sz w:val="28"/>
          <w:szCs w:val="28"/>
          <w:lang w:val="en-US"/>
        </w:rPr>
        <w:t xml:space="preserve">demonstrate that the municipal officials (specialists in the engineering and land survey fields) are not on top of their obligation to record and be aware of their own services, even when pressed for comment and assurance, is </w:t>
      </w:r>
      <w:r w:rsidR="002F6E31" w:rsidRPr="0034627C">
        <w:rPr>
          <w:rFonts w:ascii="Times New Roman" w:hAnsi="Times New Roman" w:cs="Times New Roman"/>
          <w:sz w:val="28"/>
          <w:szCs w:val="28"/>
          <w:lang w:val="en-US"/>
        </w:rPr>
        <w:lastRenderedPageBreak/>
        <w:t>also particularly reprehensible</w:t>
      </w:r>
      <w:r w:rsidR="0073172E">
        <w:rPr>
          <w:rStyle w:val="FootnoteReference"/>
          <w:rFonts w:ascii="Times New Roman" w:hAnsi="Times New Roman" w:cs="Times New Roman"/>
          <w:sz w:val="28"/>
          <w:szCs w:val="28"/>
          <w:lang w:val="en-US"/>
        </w:rPr>
        <w:footnoteReference w:id="49"/>
      </w:r>
      <w:r w:rsidR="00301533" w:rsidRPr="0034627C">
        <w:rPr>
          <w:rFonts w:ascii="Times New Roman" w:hAnsi="Times New Roman" w:cs="Times New Roman"/>
          <w:sz w:val="28"/>
          <w:szCs w:val="28"/>
          <w:lang w:val="en-US"/>
        </w:rPr>
        <w:t xml:space="preserve"> </w:t>
      </w:r>
      <w:r w:rsidR="002F6E31" w:rsidRPr="0034627C">
        <w:rPr>
          <w:rFonts w:ascii="Times New Roman" w:hAnsi="Times New Roman" w:cs="Times New Roman"/>
          <w:sz w:val="28"/>
          <w:szCs w:val="28"/>
          <w:lang w:val="en-US"/>
        </w:rPr>
        <w:t xml:space="preserve">and provides a novel set of circumstances that deserve  to be assessed and put through the wringer of the </w:t>
      </w:r>
      <w:r w:rsidR="009C1B3A" w:rsidRPr="0034627C">
        <w:rPr>
          <w:rFonts w:ascii="Times New Roman" w:hAnsi="Times New Roman" w:cs="Times New Roman"/>
          <w:sz w:val="28"/>
          <w:szCs w:val="28"/>
          <w:lang w:val="en-US"/>
        </w:rPr>
        <w:t>indicated value judgment required to establish if the trust’s invaded interests are deemed worthy of legal protection by a private law remedy.</w:t>
      </w:r>
      <w:r w:rsidR="002F6E31" w:rsidRPr="0034627C">
        <w:rPr>
          <w:rFonts w:ascii="Times New Roman" w:hAnsi="Times New Roman" w:cs="Times New Roman"/>
          <w:sz w:val="28"/>
          <w:szCs w:val="28"/>
          <w:lang w:val="en-US"/>
        </w:rPr>
        <w:t xml:space="preserve"> </w:t>
      </w:r>
    </w:p>
    <w:p w14:paraId="3DC9EC48" w14:textId="77777777" w:rsidR="00301533" w:rsidRPr="00301533" w:rsidRDefault="00301533" w:rsidP="00301533">
      <w:pPr>
        <w:pStyle w:val="ListParagraph"/>
        <w:rPr>
          <w:rFonts w:ascii="Times New Roman" w:hAnsi="Times New Roman" w:cs="Times New Roman"/>
          <w:sz w:val="28"/>
          <w:szCs w:val="28"/>
          <w:lang w:val="en-US"/>
        </w:rPr>
      </w:pPr>
    </w:p>
    <w:p w14:paraId="7CD771A6" w14:textId="3F02E779" w:rsidR="006157CB" w:rsidRPr="0034627C" w:rsidRDefault="0034627C" w:rsidP="0034627C">
      <w:pPr>
        <w:tabs>
          <w:tab w:val="left" w:pos="709"/>
        </w:tabs>
        <w:jc w:val="both"/>
        <w:rPr>
          <w:rFonts w:ascii="Times New Roman" w:hAnsi="Times New Roman" w:cs="Times New Roman"/>
          <w:sz w:val="28"/>
          <w:szCs w:val="28"/>
          <w:lang w:val="en-US"/>
        </w:rPr>
      </w:pPr>
      <w:r w:rsidRPr="006157CB">
        <w:rPr>
          <w:rFonts w:ascii="Times New Roman" w:hAnsi="Times New Roman" w:cs="Times New Roman"/>
          <w:sz w:val="28"/>
          <w:szCs w:val="28"/>
          <w:lang w:val="en-US"/>
        </w:rPr>
        <w:t>[49]</w:t>
      </w:r>
      <w:r w:rsidRPr="006157CB">
        <w:rPr>
          <w:rFonts w:ascii="Times New Roman" w:hAnsi="Times New Roman" w:cs="Times New Roman"/>
          <w:sz w:val="28"/>
          <w:szCs w:val="28"/>
          <w:lang w:val="en-US"/>
        </w:rPr>
        <w:tab/>
      </w:r>
      <w:r w:rsidR="009C1B3A" w:rsidRPr="0034627C">
        <w:rPr>
          <w:rFonts w:ascii="Times New Roman" w:hAnsi="Times New Roman" w:cs="Times New Roman"/>
          <w:sz w:val="28"/>
          <w:szCs w:val="28"/>
          <w:lang w:val="en-US"/>
        </w:rPr>
        <w:t>Finally, on the issue of an appropriate public law remedy, the municipality’s s</w:t>
      </w:r>
      <w:r w:rsidR="00DD3AB0" w:rsidRPr="0034627C">
        <w:rPr>
          <w:rFonts w:ascii="Times New Roman" w:hAnsi="Times New Roman" w:cs="Times New Roman"/>
          <w:sz w:val="28"/>
          <w:szCs w:val="28"/>
          <w:lang w:val="en-US"/>
        </w:rPr>
        <w:t xml:space="preserve">ubmissions were amplified after oral argument when on 13 November 2022 the Constitutional Court in </w:t>
      </w:r>
      <w:r w:rsidR="00DD3AB0" w:rsidRPr="0034627C">
        <w:rPr>
          <w:rFonts w:ascii="Times New Roman" w:hAnsi="Times New Roman" w:cs="Times New Roman"/>
          <w:i/>
          <w:iCs/>
          <w:sz w:val="28"/>
          <w:szCs w:val="28"/>
          <w:lang w:val="en-US"/>
        </w:rPr>
        <w:t>Esorfranki</w:t>
      </w:r>
      <w:r w:rsidR="00DD3AB0">
        <w:rPr>
          <w:rStyle w:val="FootnoteReference"/>
          <w:rFonts w:ascii="Times New Roman" w:hAnsi="Times New Roman" w:cs="Times New Roman"/>
          <w:sz w:val="28"/>
          <w:szCs w:val="28"/>
          <w:lang w:val="en-US"/>
        </w:rPr>
        <w:footnoteReference w:id="50"/>
      </w:r>
      <w:r w:rsidR="00DD3AB0" w:rsidRPr="0034627C">
        <w:rPr>
          <w:rFonts w:ascii="Times New Roman" w:hAnsi="Times New Roman" w:cs="Times New Roman"/>
          <w:i/>
          <w:iCs/>
          <w:sz w:val="28"/>
          <w:szCs w:val="28"/>
          <w:lang w:val="en-US"/>
        </w:rPr>
        <w:t xml:space="preserve"> </w:t>
      </w:r>
      <w:r w:rsidR="00DD3AB0" w:rsidRPr="0034627C">
        <w:rPr>
          <w:rFonts w:ascii="Times New Roman" w:hAnsi="Times New Roman" w:cs="Times New Roman"/>
          <w:sz w:val="28"/>
          <w:szCs w:val="28"/>
          <w:lang w:val="en-US"/>
        </w:rPr>
        <w:t>handed down its judgment in which it was confirmed that the appropriate avenue for a claim for compensation for loss sustained as a result of a breach of the precepts of administrative action is PAJA.</w:t>
      </w:r>
      <w:r w:rsidR="00DD3AB0">
        <w:rPr>
          <w:rStyle w:val="FootnoteReference"/>
          <w:rFonts w:ascii="Times New Roman" w:hAnsi="Times New Roman" w:cs="Times New Roman"/>
          <w:sz w:val="28"/>
          <w:szCs w:val="28"/>
          <w:lang w:val="en-US"/>
        </w:rPr>
        <w:footnoteReference w:id="51"/>
      </w:r>
      <w:r w:rsidR="0006420D" w:rsidRPr="0034627C">
        <w:rPr>
          <w:rFonts w:ascii="Times New Roman" w:hAnsi="Times New Roman" w:cs="Times New Roman"/>
          <w:sz w:val="28"/>
          <w:szCs w:val="28"/>
          <w:lang w:val="en-US"/>
        </w:rPr>
        <w:t xml:space="preserve"> (Sic) </w:t>
      </w:r>
      <w:r w:rsidR="000C735B" w:rsidRPr="0034627C">
        <w:rPr>
          <w:rFonts w:ascii="Times New Roman" w:hAnsi="Times New Roman" w:cs="Times New Roman"/>
          <w:sz w:val="28"/>
          <w:szCs w:val="28"/>
          <w:lang w:val="en-US"/>
        </w:rPr>
        <w:t>In my view th</w:t>
      </w:r>
      <w:r w:rsidR="0006420D" w:rsidRPr="0034627C">
        <w:rPr>
          <w:rFonts w:ascii="Times New Roman" w:hAnsi="Times New Roman" w:cs="Times New Roman"/>
          <w:sz w:val="28"/>
          <w:szCs w:val="28"/>
          <w:lang w:val="en-US"/>
        </w:rPr>
        <w:t xml:space="preserve">e facts in </w:t>
      </w:r>
      <w:r w:rsidR="0006420D" w:rsidRPr="0034627C">
        <w:rPr>
          <w:rFonts w:ascii="Times New Roman" w:hAnsi="Times New Roman" w:cs="Times New Roman"/>
          <w:i/>
          <w:iCs/>
          <w:sz w:val="28"/>
          <w:szCs w:val="28"/>
          <w:lang w:val="en-US"/>
        </w:rPr>
        <w:t>Esorfranki</w:t>
      </w:r>
      <w:r w:rsidR="0006420D" w:rsidRPr="0034627C">
        <w:rPr>
          <w:rFonts w:ascii="Times New Roman" w:hAnsi="Times New Roman" w:cs="Times New Roman"/>
          <w:sz w:val="28"/>
          <w:szCs w:val="28"/>
          <w:lang w:val="en-US"/>
        </w:rPr>
        <w:t xml:space="preserve"> are</w:t>
      </w:r>
      <w:r w:rsidR="000C735B" w:rsidRPr="0034627C">
        <w:rPr>
          <w:rFonts w:ascii="Times New Roman" w:hAnsi="Times New Roman" w:cs="Times New Roman"/>
          <w:sz w:val="28"/>
          <w:szCs w:val="28"/>
          <w:lang w:val="en-US"/>
        </w:rPr>
        <w:t xml:space="preserve"> entirely distinguishable from the facts </w:t>
      </w:r>
      <w:r w:rsidR="0006420D" w:rsidRPr="0034627C">
        <w:rPr>
          <w:rFonts w:ascii="Times New Roman" w:hAnsi="Times New Roman" w:cs="Times New Roman"/>
          <w:sz w:val="28"/>
          <w:szCs w:val="28"/>
          <w:lang w:val="en-US"/>
        </w:rPr>
        <w:t xml:space="preserve">in </w:t>
      </w:r>
      <w:r w:rsidR="000C735B" w:rsidRPr="0034627C">
        <w:rPr>
          <w:rFonts w:ascii="Times New Roman" w:hAnsi="Times New Roman" w:cs="Times New Roman"/>
          <w:sz w:val="28"/>
          <w:szCs w:val="28"/>
          <w:lang w:val="en-US"/>
        </w:rPr>
        <w:t xml:space="preserve">the </w:t>
      </w:r>
      <w:r w:rsidR="0006420D" w:rsidRPr="0034627C">
        <w:rPr>
          <w:rFonts w:ascii="Times New Roman" w:hAnsi="Times New Roman" w:cs="Times New Roman"/>
          <w:sz w:val="28"/>
          <w:szCs w:val="28"/>
          <w:lang w:val="en-US"/>
        </w:rPr>
        <w:t xml:space="preserve">present </w:t>
      </w:r>
      <w:r w:rsidR="000C735B" w:rsidRPr="0034627C">
        <w:rPr>
          <w:rFonts w:ascii="Times New Roman" w:hAnsi="Times New Roman" w:cs="Times New Roman"/>
          <w:sz w:val="28"/>
          <w:szCs w:val="28"/>
          <w:lang w:val="en-US"/>
        </w:rPr>
        <w:t>matter</w:t>
      </w:r>
      <w:r w:rsidR="0006420D" w:rsidRPr="0034627C">
        <w:rPr>
          <w:rFonts w:ascii="Times New Roman" w:hAnsi="Times New Roman" w:cs="Times New Roman"/>
          <w:sz w:val="28"/>
          <w:szCs w:val="28"/>
          <w:lang w:val="en-US"/>
        </w:rPr>
        <w:t xml:space="preserve"> and the court’s pronouncement that it was both constitutionally impermissible and unnecessary for it to extend the common law was qualified to relate to the applicant’s unique claim</w:t>
      </w:r>
      <w:r w:rsidR="000C735B" w:rsidRPr="0034627C">
        <w:rPr>
          <w:rFonts w:ascii="Times New Roman" w:hAnsi="Times New Roman" w:cs="Times New Roman"/>
          <w:sz w:val="28"/>
          <w:szCs w:val="28"/>
          <w:lang w:val="en-US"/>
        </w:rPr>
        <w:t xml:space="preserve">.  Indeed, that matter related to the </w:t>
      </w:r>
      <w:r w:rsidR="0006420D" w:rsidRPr="0034627C">
        <w:rPr>
          <w:rFonts w:ascii="Times New Roman" w:hAnsi="Times New Roman" w:cs="Times New Roman"/>
          <w:sz w:val="28"/>
          <w:szCs w:val="28"/>
          <w:lang w:val="en-US"/>
        </w:rPr>
        <w:t>issue of</w:t>
      </w:r>
      <w:r w:rsidR="000C735B" w:rsidRPr="0034627C">
        <w:rPr>
          <w:rFonts w:ascii="Times New Roman" w:hAnsi="Times New Roman" w:cs="Times New Roman"/>
          <w:sz w:val="28"/>
          <w:szCs w:val="28"/>
          <w:lang w:val="en-US"/>
        </w:rPr>
        <w:t xml:space="preserve"> whether delictual liability attaches to an intentional breach of sections 33 and 217 of the Constitution whereas the trust in this instance seems to eschew any direct administrative law relationship.  Though the judgement may influence how policy considerations evolve in the future in the domain of administrative law, </w:t>
      </w:r>
      <w:r w:rsidR="0006420D" w:rsidRPr="0034627C">
        <w:rPr>
          <w:rFonts w:ascii="Times New Roman" w:hAnsi="Times New Roman" w:cs="Times New Roman"/>
          <w:sz w:val="28"/>
          <w:szCs w:val="28"/>
          <w:lang w:val="en-US"/>
        </w:rPr>
        <w:t xml:space="preserve">my conclusion is that </w:t>
      </w:r>
      <w:r w:rsidR="000C735B" w:rsidRPr="0034627C">
        <w:rPr>
          <w:rFonts w:ascii="Times New Roman" w:hAnsi="Times New Roman" w:cs="Times New Roman"/>
          <w:sz w:val="28"/>
          <w:szCs w:val="28"/>
          <w:lang w:val="en-US"/>
        </w:rPr>
        <w:t xml:space="preserve">it does not render the </w:t>
      </w:r>
      <w:r w:rsidR="0006420D" w:rsidRPr="0034627C">
        <w:rPr>
          <w:rFonts w:ascii="Times New Roman" w:hAnsi="Times New Roman" w:cs="Times New Roman"/>
          <w:sz w:val="28"/>
          <w:szCs w:val="28"/>
          <w:lang w:val="en-US"/>
        </w:rPr>
        <w:t>trust’s claim any less susceptible to a finding that the conduct relied upon will be established to be wrongful</w:t>
      </w:r>
      <w:r w:rsidR="00A9397F" w:rsidRPr="0034627C">
        <w:rPr>
          <w:rFonts w:ascii="Times New Roman" w:hAnsi="Times New Roman" w:cs="Times New Roman"/>
          <w:sz w:val="28"/>
          <w:szCs w:val="28"/>
          <w:lang w:val="en-US"/>
        </w:rPr>
        <w:t xml:space="preserve"> in all the circumstances.</w:t>
      </w:r>
      <w:r w:rsidR="0006420D" w:rsidRPr="0034627C">
        <w:rPr>
          <w:rFonts w:ascii="Times New Roman" w:hAnsi="Times New Roman" w:cs="Times New Roman"/>
          <w:sz w:val="28"/>
          <w:szCs w:val="28"/>
          <w:lang w:val="en-US"/>
        </w:rPr>
        <w:t xml:space="preserve"> </w:t>
      </w:r>
    </w:p>
    <w:p w14:paraId="40160210" w14:textId="77777777" w:rsidR="0097704F" w:rsidRPr="0097704F" w:rsidRDefault="0097704F" w:rsidP="0097704F">
      <w:pPr>
        <w:pStyle w:val="ListParagraph"/>
        <w:rPr>
          <w:rFonts w:ascii="Times New Roman" w:hAnsi="Times New Roman" w:cs="Times New Roman"/>
          <w:sz w:val="28"/>
          <w:szCs w:val="28"/>
          <w:u w:val="single"/>
          <w:lang w:val="en-US"/>
        </w:rPr>
      </w:pPr>
    </w:p>
    <w:p w14:paraId="4C7BA70A" w14:textId="6C7223F4" w:rsidR="00402112" w:rsidRPr="0034627C" w:rsidRDefault="0034627C" w:rsidP="0034627C">
      <w:pPr>
        <w:tabs>
          <w:tab w:val="left" w:pos="709"/>
        </w:tabs>
        <w:jc w:val="both"/>
        <w:rPr>
          <w:rFonts w:ascii="Times New Roman" w:hAnsi="Times New Roman" w:cs="Times New Roman"/>
          <w:sz w:val="28"/>
          <w:szCs w:val="28"/>
          <w:u w:val="single"/>
          <w:lang w:val="en-US"/>
        </w:rPr>
      </w:pPr>
      <w:r w:rsidRPr="00402112">
        <w:rPr>
          <w:rFonts w:ascii="Times New Roman" w:hAnsi="Times New Roman" w:cs="Times New Roman"/>
          <w:sz w:val="28"/>
          <w:szCs w:val="28"/>
          <w:lang w:val="en-US"/>
        </w:rPr>
        <w:lastRenderedPageBreak/>
        <w:t>[50]</w:t>
      </w:r>
      <w:r w:rsidRPr="00402112">
        <w:rPr>
          <w:rFonts w:ascii="Times New Roman" w:hAnsi="Times New Roman" w:cs="Times New Roman"/>
          <w:sz w:val="28"/>
          <w:szCs w:val="28"/>
          <w:lang w:val="en-US"/>
        </w:rPr>
        <w:tab/>
      </w:r>
      <w:r w:rsidR="00A9397F" w:rsidRPr="0034627C">
        <w:rPr>
          <w:rFonts w:ascii="Times New Roman" w:hAnsi="Times New Roman" w:cs="Times New Roman"/>
          <w:sz w:val="28"/>
          <w:szCs w:val="28"/>
          <w:lang w:val="en-US"/>
        </w:rPr>
        <w:t>In the premises the municipality has not met the onus on it to show that the trust’s amended particulars of claim are excipiable</w:t>
      </w:r>
      <w:r w:rsidR="00A9397F">
        <w:rPr>
          <w:rStyle w:val="FootnoteReference"/>
          <w:rFonts w:ascii="Times New Roman" w:hAnsi="Times New Roman" w:cs="Times New Roman"/>
          <w:sz w:val="28"/>
          <w:szCs w:val="28"/>
          <w:lang w:val="en-US"/>
        </w:rPr>
        <w:footnoteReference w:id="52"/>
      </w:r>
      <w:r w:rsidR="00A9397F" w:rsidRPr="0034627C">
        <w:rPr>
          <w:rFonts w:ascii="Times New Roman" w:hAnsi="Times New Roman" w:cs="Times New Roman"/>
          <w:sz w:val="28"/>
          <w:szCs w:val="28"/>
          <w:lang w:val="en-US"/>
        </w:rPr>
        <w:t xml:space="preserve"> or that that upon every interpretation which the pleading can reasonably bear, no cause of action is disclosed.</w:t>
      </w:r>
      <w:r w:rsidR="00A9397F">
        <w:rPr>
          <w:rStyle w:val="FootnoteReference"/>
          <w:rFonts w:ascii="Times New Roman" w:hAnsi="Times New Roman" w:cs="Times New Roman"/>
          <w:sz w:val="28"/>
          <w:szCs w:val="28"/>
          <w:lang w:val="en-US"/>
        </w:rPr>
        <w:footnoteReference w:id="53"/>
      </w:r>
    </w:p>
    <w:p w14:paraId="65F1203A" w14:textId="77777777" w:rsidR="00402112" w:rsidRPr="00103A82" w:rsidRDefault="00402112" w:rsidP="009C1B3A">
      <w:pPr>
        <w:pStyle w:val="ListParagraph"/>
        <w:tabs>
          <w:tab w:val="left" w:pos="709"/>
        </w:tabs>
        <w:ind w:left="0"/>
        <w:jc w:val="both"/>
        <w:rPr>
          <w:rFonts w:ascii="Times New Roman" w:hAnsi="Times New Roman" w:cs="Times New Roman"/>
          <w:sz w:val="28"/>
          <w:szCs w:val="28"/>
          <w:u w:val="single"/>
          <w:lang w:val="en-US"/>
        </w:rPr>
      </w:pPr>
    </w:p>
    <w:p w14:paraId="530C3EBD" w14:textId="76DBEB41" w:rsidR="00103A82" w:rsidRPr="0034627C" w:rsidRDefault="0034627C" w:rsidP="0034627C">
      <w:pPr>
        <w:tabs>
          <w:tab w:val="left" w:pos="709"/>
        </w:tabs>
        <w:jc w:val="both"/>
        <w:rPr>
          <w:rFonts w:ascii="Times New Roman" w:hAnsi="Times New Roman" w:cs="Times New Roman"/>
          <w:sz w:val="28"/>
          <w:szCs w:val="28"/>
          <w:u w:val="single"/>
          <w:lang w:val="en-US"/>
        </w:rPr>
      </w:pPr>
      <w:r>
        <w:rPr>
          <w:rFonts w:ascii="Times New Roman" w:hAnsi="Times New Roman" w:cs="Times New Roman"/>
          <w:sz w:val="28"/>
          <w:szCs w:val="28"/>
          <w:lang w:val="en-US"/>
        </w:rPr>
        <w:t>[51]</w:t>
      </w:r>
      <w:r>
        <w:rPr>
          <w:rFonts w:ascii="Times New Roman" w:hAnsi="Times New Roman" w:cs="Times New Roman"/>
          <w:sz w:val="28"/>
          <w:szCs w:val="28"/>
          <w:lang w:val="en-US"/>
        </w:rPr>
        <w:tab/>
      </w:r>
      <w:r w:rsidR="00103A82" w:rsidRPr="0034627C">
        <w:rPr>
          <w:rFonts w:ascii="Times New Roman" w:hAnsi="Times New Roman" w:cs="Times New Roman"/>
          <w:sz w:val="28"/>
          <w:szCs w:val="28"/>
          <w:lang w:val="en-US"/>
        </w:rPr>
        <w:t>As for the question of costs there is no reason why these should not follow the result</w:t>
      </w:r>
      <w:r w:rsidR="000D0489" w:rsidRPr="0034627C">
        <w:rPr>
          <w:rFonts w:ascii="Times New Roman" w:hAnsi="Times New Roman" w:cs="Times New Roman"/>
          <w:sz w:val="28"/>
          <w:szCs w:val="28"/>
          <w:lang w:val="en-US"/>
        </w:rPr>
        <w:t>.</w:t>
      </w:r>
      <w:r w:rsidR="00A9397F" w:rsidRPr="0034627C">
        <w:rPr>
          <w:rFonts w:ascii="Times New Roman" w:hAnsi="Times New Roman" w:cs="Times New Roman"/>
          <w:sz w:val="28"/>
          <w:szCs w:val="28"/>
          <w:lang w:val="en-US"/>
        </w:rPr>
        <w:t xml:space="preserve"> Mr. Ronaasen who appeared for the municipality suggested that these courts should be determined by the trial </w:t>
      </w:r>
      <w:r w:rsidR="00827765" w:rsidRPr="0034627C">
        <w:rPr>
          <w:rFonts w:ascii="Times New Roman" w:hAnsi="Times New Roman" w:cs="Times New Roman"/>
          <w:sz w:val="28"/>
          <w:szCs w:val="28"/>
          <w:lang w:val="en-US"/>
        </w:rPr>
        <w:t>court depending</w:t>
      </w:r>
      <w:r w:rsidR="00A9397F" w:rsidRPr="0034627C">
        <w:rPr>
          <w:rFonts w:ascii="Times New Roman" w:hAnsi="Times New Roman" w:cs="Times New Roman"/>
          <w:sz w:val="28"/>
          <w:szCs w:val="28"/>
          <w:lang w:val="en-US"/>
        </w:rPr>
        <w:t xml:space="preserve"> how that might go for the trust</w:t>
      </w:r>
      <w:r w:rsidR="00827765" w:rsidRPr="0034627C">
        <w:rPr>
          <w:rFonts w:ascii="Times New Roman" w:hAnsi="Times New Roman" w:cs="Times New Roman"/>
          <w:sz w:val="28"/>
          <w:szCs w:val="28"/>
          <w:lang w:val="en-US"/>
        </w:rPr>
        <w:t>.</w:t>
      </w:r>
      <w:r w:rsidR="00A9397F" w:rsidRPr="0034627C">
        <w:rPr>
          <w:rFonts w:ascii="Times New Roman" w:hAnsi="Times New Roman" w:cs="Times New Roman"/>
          <w:sz w:val="28"/>
          <w:szCs w:val="28"/>
          <w:lang w:val="en-US"/>
        </w:rPr>
        <w:t xml:space="preserve"> </w:t>
      </w:r>
      <w:r w:rsidR="00827765" w:rsidRPr="0034627C">
        <w:rPr>
          <w:rFonts w:ascii="Times New Roman" w:hAnsi="Times New Roman" w:cs="Times New Roman"/>
          <w:sz w:val="28"/>
          <w:szCs w:val="28"/>
          <w:lang w:val="en-US"/>
        </w:rPr>
        <w:t>He added that his client</w:t>
      </w:r>
      <w:r w:rsidR="00A9397F" w:rsidRPr="0034627C">
        <w:rPr>
          <w:rFonts w:ascii="Times New Roman" w:hAnsi="Times New Roman" w:cs="Times New Roman"/>
          <w:sz w:val="28"/>
          <w:szCs w:val="28"/>
          <w:lang w:val="en-US"/>
        </w:rPr>
        <w:t xml:space="preserve"> may be criticized at the end of the trial for not have taken the </w:t>
      </w:r>
      <w:r w:rsidR="00827765" w:rsidRPr="0034627C">
        <w:rPr>
          <w:rFonts w:ascii="Times New Roman" w:hAnsi="Times New Roman" w:cs="Times New Roman"/>
          <w:sz w:val="28"/>
          <w:szCs w:val="28"/>
          <w:lang w:val="en-US"/>
        </w:rPr>
        <w:t>exception,</w:t>
      </w:r>
      <w:r w:rsidR="00A9397F" w:rsidRPr="0034627C">
        <w:rPr>
          <w:rFonts w:ascii="Times New Roman" w:hAnsi="Times New Roman" w:cs="Times New Roman"/>
          <w:sz w:val="28"/>
          <w:szCs w:val="28"/>
          <w:lang w:val="en-US"/>
        </w:rPr>
        <w:t xml:space="preserve"> but </w:t>
      </w:r>
      <w:r w:rsidR="00827765" w:rsidRPr="0034627C">
        <w:rPr>
          <w:rFonts w:ascii="Times New Roman" w:hAnsi="Times New Roman" w:cs="Times New Roman"/>
          <w:sz w:val="28"/>
          <w:szCs w:val="28"/>
          <w:lang w:val="en-US"/>
        </w:rPr>
        <w:t>such</w:t>
      </w:r>
      <w:r w:rsidR="00A9397F" w:rsidRPr="0034627C">
        <w:rPr>
          <w:rFonts w:ascii="Times New Roman" w:hAnsi="Times New Roman" w:cs="Times New Roman"/>
          <w:sz w:val="28"/>
          <w:szCs w:val="28"/>
          <w:lang w:val="en-US"/>
        </w:rPr>
        <w:t xml:space="preserve"> overcaution </w:t>
      </w:r>
      <w:r w:rsidR="00827765" w:rsidRPr="0034627C">
        <w:rPr>
          <w:rFonts w:ascii="Times New Roman" w:hAnsi="Times New Roman" w:cs="Times New Roman"/>
          <w:sz w:val="28"/>
          <w:szCs w:val="28"/>
          <w:lang w:val="en-US"/>
        </w:rPr>
        <w:t xml:space="preserve">must be for its own account. </w:t>
      </w:r>
    </w:p>
    <w:p w14:paraId="5183D2F1" w14:textId="77777777" w:rsidR="0097704F" w:rsidRPr="0097704F" w:rsidRDefault="0097704F" w:rsidP="0097704F">
      <w:pPr>
        <w:pStyle w:val="ListParagraph"/>
        <w:rPr>
          <w:rFonts w:ascii="Times New Roman" w:hAnsi="Times New Roman" w:cs="Times New Roman"/>
          <w:sz w:val="28"/>
          <w:szCs w:val="28"/>
          <w:lang w:val="en-GB"/>
        </w:rPr>
      </w:pPr>
    </w:p>
    <w:p w14:paraId="68B34AFA" w14:textId="7F6D3195" w:rsidR="004B01D9" w:rsidRPr="0034627C" w:rsidRDefault="0034627C" w:rsidP="0034627C">
      <w:pPr>
        <w:tabs>
          <w:tab w:val="left" w:pos="709"/>
        </w:tabs>
        <w:jc w:val="both"/>
        <w:rPr>
          <w:rFonts w:ascii="Times New Roman" w:hAnsi="Times New Roman" w:cs="Times New Roman"/>
          <w:sz w:val="28"/>
          <w:szCs w:val="28"/>
          <w:u w:val="single"/>
          <w:lang w:val="en-US"/>
        </w:rPr>
      </w:pPr>
      <w:r w:rsidRPr="001C37A5">
        <w:rPr>
          <w:rFonts w:ascii="Times New Roman" w:hAnsi="Times New Roman" w:cs="Times New Roman"/>
          <w:sz w:val="28"/>
          <w:szCs w:val="28"/>
          <w:lang w:val="en-US"/>
        </w:rPr>
        <w:t>[</w:t>
      </w:r>
      <w:bookmarkStart w:id="5" w:name="_GoBack"/>
      <w:bookmarkEnd w:id="5"/>
      <w:r w:rsidRPr="001C37A5">
        <w:rPr>
          <w:rFonts w:ascii="Times New Roman" w:hAnsi="Times New Roman" w:cs="Times New Roman"/>
          <w:sz w:val="28"/>
          <w:szCs w:val="28"/>
          <w:lang w:val="en-US"/>
        </w:rPr>
        <w:t>52]</w:t>
      </w:r>
      <w:r w:rsidRPr="001C37A5">
        <w:rPr>
          <w:rFonts w:ascii="Times New Roman" w:hAnsi="Times New Roman" w:cs="Times New Roman"/>
          <w:sz w:val="28"/>
          <w:szCs w:val="28"/>
          <w:lang w:val="en-US"/>
        </w:rPr>
        <w:tab/>
      </w:r>
      <w:r w:rsidR="004B01D9" w:rsidRPr="0034627C">
        <w:rPr>
          <w:rFonts w:ascii="Times New Roman" w:hAnsi="Times New Roman" w:cs="Times New Roman"/>
          <w:sz w:val="28"/>
          <w:szCs w:val="28"/>
          <w:lang w:val="en-GB"/>
        </w:rPr>
        <w:t>In the result I issue the following order:</w:t>
      </w:r>
    </w:p>
    <w:p w14:paraId="06333359" w14:textId="77777777" w:rsidR="001C37A5" w:rsidRPr="001C37A5" w:rsidRDefault="001C37A5" w:rsidP="001C37A5">
      <w:pPr>
        <w:pStyle w:val="ListParagraph"/>
        <w:rPr>
          <w:rFonts w:ascii="Times New Roman" w:hAnsi="Times New Roman" w:cs="Times New Roman"/>
          <w:sz w:val="28"/>
          <w:szCs w:val="28"/>
          <w:lang w:val="en-US"/>
        </w:rPr>
      </w:pPr>
    </w:p>
    <w:p w14:paraId="41504D2F" w14:textId="5BD88543" w:rsidR="004B01D9" w:rsidRPr="0034627C" w:rsidRDefault="0034627C" w:rsidP="0034627C">
      <w:pPr>
        <w:ind w:left="1080" w:hanging="360"/>
        <w:rPr>
          <w:rFonts w:ascii="Times New Roman" w:hAnsi="Times New Roman" w:cs="Times New Roman"/>
          <w:sz w:val="28"/>
          <w:szCs w:val="28"/>
          <w:lang w:val="en-GB"/>
        </w:rPr>
      </w:pPr>
      <w:r w:rsidRPr="001C37A5">
        <w:rPr>
          <w:rFonts w:ascii="Times New Roman" w:hAnsi="Times New Roman" w:cs="Times New Roman"/>
          <w:sz w:val="28"/>
          <w:szCs w:val="28"/>
          <w:lang w:val="en-GB"/>
        </w:rPr>
        <w:t>1.</w:t>
      </w:r>
      <w:r w:rsidRPr="001C37A5">
        <w:rPr>
          <w:rFonts w:ascii="Times New Roman" w:hAnsi="Times New Roman" w:cs="Times New Roman"/>
          <w:sz w:val="28"/>
          <w:szCs w:val="28"/>
          <w:lang w:val="en-GB"/>
        </w:rPr>
        <w:tab/>
      </w:r>
      <w:r w:rsidR="001C37A5" w:rsidRPr="0034627C">
        <w:rPr>
          <w:rFonts w:ascii="Times New Roman" w:hAnsi="Times New Roman" w:cs="Times New Roman"/>
          <w:sz w:val="28"/>
          <w:szCs w:val="28"/>
          <w:lang w:val="en-GB"/>
        </w:rPr>
        <w:t>The exception is dismissed, with costs.</w:t>
      </w:r>
    </w:p>
    <w:bookmarkEnd w:id="0"/>
    <w:p w14:paraId="63397A4B" w14:textId="77777777" w:rsidR="004B01D9" w:rsidRPr="001C37A5" w:rsidRDefault="004B01D9" w:rsidP="004B01D9">
      <w:pPr>
        <w:pStyle w:val="ListParagraph"/>
        <w:tabs>
          <w:tab w:val="left" w:pos="709"/>
        </w:tabs>
        <w:ind w:left="0"/>
        <w:jc w:val="both"/>
        <w:rPr>
          <w:rFonts w:ascii="Times New Roman" w:hAnsi="Times New Roman" w:cs="Times New Roman"/>
          <w:sz w:val="28"/>
          <w:szCs w:val="28"/>
          <w:lang w:val="en-US"/>
        </w:rPr>
      </w:pPr>
    </w:p>
    <w:p w14:paraId="2F157C58" w14:textId="77777777" w:rsidR="004B01D9" w:rsidRPr="001C37A5" w:rsidRDefault="004B01D9" w:rsidP="004B01D9">
      <w:pPr>
        <w:pStyle w:val="ListParagraph"/>
        <w:tabs>
          <w:tab w:val="left" w:pos="709"/>
        </w:tabs>
        <w:ind w:left="0"/>
        <w:jc w:val="both"/>
        <w:rPr>
          <w:rFonts w:ascii="Times New Roman" w:hAnsi="Times New Roman" w:cs="Times New Roman"/>
          <w:sz w:val="28"/>
          <w:szCs w:val="28"/>
          <w:lang w:val="en-US"/>
        </w:rPr>
      </w:pPr>
    </w:p>
    <w:p w14:paraId="66500CE4" w14:textId="77777777" w:rsidR="004B01D9" w:rsidRDefault="004B01D9" w:rsidP="004B01D9">
      <w:pPr>
        <w:pStyle w:val="ListParagraph"/>
        <w:tabs>
          <w:tab w:val="left" w:pos="709"/>
        </w:tabs>
        <w:ind w:left="0"/>
        <w:jc w:val="both"/>
        <w:rPr>
          <w:rFonts w:ascii="Times New Roman" w:hAnsi="Times New Roman" w:cs="Times New Roman"/>
          <w:sz w:val="28"/>
          <w:szCs w:val="28"/>
          <w:lang w:val="en-US"/>
        </w:rPr>
      </w:pPr>
    </w:p>
    <w:p w14:paraId="280B6743" w14:textId="77777777" w:rsidR="004B01D9" w:rsidRDefault="004B01D9" w:rsidP="004B01D9">
      <w:pPr>
        <w:pStyle w:val="ListParagraph"/>
        <w:tabs>
          <w:tab w:val="left" w:pos="0"/>
        </w:tabs>
        <w:ind w:left="0"/>
        <w:jc w:val="both"/>
        <w:rPr>
          <w:rFonts w:ascii="Times New Roman" w:hAnsi="Times New Roman" w:cs="Times New Roman"/>
          <w:sz w:val="28"/>
          <w:szCs w:val="28"/>
        </w:rPr>
      </w:pPr>
    </w:p>
    <w:p w14:paraId="58854669" w14:textId="77777777" w:rsidR="004B01D9" w:rsidRDefault="004B01D9" w:rsidP="004B01D9">
      <w:pPr>
        <w:pStyle w:val="ListParagraph"/>
        <w:tabs>
          <w:tab w:val="left" w:pos="0"/>
        </w:tabs>
        <w:ind w:left="0"/>
        <w:jc w:val="both"/>
        <w:rPr>
          <w:rFonts w:ascii="Times New Roman" w:hAnsi="Times New Roman" w:cs="Times New Roman"/>
          <w:sz w:val="28"/>
          <w:szCs w:val="28"/>
        </w:rPr>
      </w:pPr>
    </w:p>
    <w:p w14:paraId="0BEB1884" w14:textId="77777777" w:rsidR="004B01D9" w:rsidRPr="00FE0355" w:rsidRDefault="004B01D9" w:rsidP="004B01D9">
      <w:pPr>
        <w:pStyle w:val="ListParagraph"/>
        <w:tabs>
          <w:tab w:val="left" w:pos="0"/>
        </w:tabs>
        <w:ind w:left="0"/>
        <w:jc w:val="both"/>
        <w:rPr>
          <w:rFonts w:ascii="Times New Roman" w:hAnsi="Times New Roman" w:cs="Times New Roman"/>
          <w:sz w:val="28"/>
          <w:szCs w:val="28"/>
        </w:rPr>
      </w:pPr>
    </w:p>
    <w:p w14:paraId="551848C8" w14:textId="77777777" w:rsidR="004B01D9" w:rsidRPr="00FE0355" w:rsidRDefault="004B01D9" w:rsidP="004B01D9">
      <w:pPr>
        <w:contextualSpacing/>
        <w:jc w:val="both"/>
        <w:rPr>
          <w:rFonts w:ascii="Times New Roman" w:hAnsi="Times New Roman" w:cs="Times New Roman"/>
          <w:sz w:val="28"/>
          <w:szCs w:val="28"/>
        </w:rPr>
      </w:pPr>
      <w:r w:rsidRPr="00FE0355">
        <w:rPr>
          <w:rFonts w:ascii="Times New Roman" w:hAnsi="Times New Roman" w:cs="Times New Roman"/>
          <w:sz w:val="28"/>
          <w:szCs w:val="28"/>
        </w:rPr>
        <w:t>_________________</w:t>
      </w:r>
    </w:p>
    <w:p w14:paraId="1FAD0FC7" w14:textId="77777777" w:rsidR="004B01D9" w:rsidRPr="00FE0355" w:rsidRDefault="004B01D9" w:rsidP="004B01D9">
      <w:pPr>
        <w:contextualSpacing/>
        <w:jc w:val="both"/>
        <w:rPr>
          <w:rFonts w:ascii="Times New Roman" w:hAnsi="Times New Roman" w:cs="Times New Roman"/>
          <w:sz w:val="28"/>
          <w:szCs w:val="28"/>
        </w:rPr>
      </w:pPr>
      <w:r>
        <w:rPr>
          <w:rFonts w:ascii="Times New Roman" w:hAnsi="Times New Roman" w:cs="Times New Roman"/>
          <w:sz w:val="28"/>
          <w:szCs w:val="28"/>
        </w:rPr>
        <w:t xml:space="preserve">B HARTLE </w:t>
      </w:r>
      <w:r w:rsidRPr="00FE0355">
        <w:rPr>
          <w:rFonts w:ascii="Times New Roman" w:hAnsi="Times New Roman" w:cs="Times New Roman"/>
          <w:sz w:val="28"/>
          <w:szCs w:val="28"/>
        </w:rPr>
        <w:t xml:space="preserve"> </w:t>
      </w:r>
    </w:p>
    <w:p w14:paraId="4D430714" w14:textId="77777777" w:rsidR="004B01D9" w:rsidRPr="00FE0355" w:rsidRDefault="004B01D9" w:rsidP="004B01D9">
      <w:pPr>
        <w:contextualSpacing/>
        <w:jc w:val="both"/>
        <w:rPr>
          <w:rFonts w:ascii="Times New Roman" w:hAnsi="Times New Roman" w:cs="Times New Roman"/>
          <w:sz w:val="28"/>
          <w:szCs w:val="28"/>
        </w:rPr>
      </w:pPr>
      <w:r w:rsidRPr="00FE0355">
        <w:rPr>
          <w:rFonts w:ascii="Times New Roman" w:hAnsi="Times New Roman" w:cs="Times New Roman"/>
          <w:sz w:val="28"/>
          <w:szCs w:val="28"/>
        </w:rPr>
        <w:t>JUDGE OF THE HIGH COURT</w:t>
      </w:r>
    </w:p>
    <w:p w14:paraId="2B9751AB" w14:textId="77777777" w:rsidR="004B01D9" w:rsidRDefault="004B01D9" w:rsidP="004B01D9">
      <w:pPr>
        <w:contextualSpacing/>
        <w:rPr>
          <w:rFonts w:ascii="Times New Roman" w:hAnsi="Times New Roman" w:cs="Times New Roman"/>
          <w:sz w:val="28"/>
          <w:szCs w:val="28"/>
        </w:rPr>
      </w:pPr>
    </w:p>
    <w:p w14:paraId="3051C0FD" w14:textId="77777777" w:rsidR="004B01D9" w:rsidRDefault="004B01D9" w:rsidP="004B01D9">
      <w:pPr>
        <w:contextualSpacing/>
        <w:rPr>
          <w:rFonts w:ascii="Times New Roman" w:hAnsi="Times New Roman" w:cs="Times New Roman"/>
          <w:sz w:val="28"/>
          <w:szCs w:val="28"/>
        </w:rPr>
      </w:pPr>
    </w:p>
    <w:p w14:paraId="318C2E01" w14:textId="77777777" w:rsidR="008346BA" w:rsidRDefault="008346BA" w:rsidP="004B01D9">
      <w:pPr>
        <w:contextualSpacing/>
        <w:rPr>
          <w:rFonts w:ascii="Times New Roman" w:hAnsi="Times New Roman" w:cs="Times New Roman"/>
          <w:sz w:val="28"/>
          <w:szCs w:val="28"/>
        </w:rPr>
      </w:pPr>
    </w:p>
    <w:p w14:paraId="14C80F93" w14:textId="77777777" w:rsidR="008346BA" w:rsidRDefault="008346BA" w:rsidP="004B01D9">
      <w:pPr>
        <w:contextualSpacing/>
        <w:rPr>
          <w:rFonts w:ascii="Times New Roman" w:hAnsi="Times New Roman" w:cs="Times New Roman"/>
          <w:sz w:val="28"/>
          <w:szCs w:val="28"/>
        </w:rPr>
      </w:pPr>
    </w:p>
    <w:p w14:paraId="4B6564E1" w14:textId="69CDBC92" w:rsidR="004B01D9" w:rsidRDefault="004B01D9" w:rsidP="004B01D9">
      <w:pPr>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w:t>
      </w:r>
      <w:r>
        <w:rPr>
          <w:rFonts w:ascii="Times New Roman" w:hAnsi="Times New Roman" w:cs="Times New Roman"/>
          <w:sz w:val="28"/>
          <w:szCs w:val="28"/>
        </w:rPr>
        <w:t>HEARING</w:t>
      </w:r>
      <w:r w:rsidRPr="00FE0355">
        <w:rPr>
          <w:rFonts w:ascii="Times New Roman" w:hAnsi="Times New Roman" w:cs="Times New Roman"/>
          <w:sz w:val="28"/>
          <w:szCs w:val="28"/>
        </w:rPr>
        <w:t xml:space="preserve"> </w:t>
      </w:r>
      <w:r w:rsidRPr="00FE0355">
        <w:rPr>
          <w:rFonts w:ascii="Times New Roman" w:hAnsi="Times New Roman" w:cs="Times New Roman"/>
          <w:sz w:val="28"/>
          <w:szCs w:val="28"/>
        </w:rPr>
        <w:tab/>
      </w:r>
      <w:r w:rsidRPr="00FE0355">
        <w:rPr>
          <w:rFonts w:ascii="Times New Roman" w:hAnsi="Times New Roman" w:cs="Times New Roman"/>
          <w:sz w:val="28"/>
          <w:szCs w:val="28"/>
        </w:rPr>
        <w:tab/>
      </w:r>
      <w:r w:rsidR="0014201C">
        <w:rPr>
          <w:rFonts w:ascii="Times New Roman" w:hAnsi="Times New Roman" w:cs="Times New Roman"/>
          <w:sz w:val="28"/>
          <w:szCs w:val="28"/>
        </w:rPr>
        <w:tab/>
      </w:r>
      <w:r w:rsidRPr="00FE0355">
        <w:rPr>
          <w:rFonts w:ascii="Times New Roman" w:hAnsi="Times New Roman" w:cs="Times New Roman"/>
          <w:sz w:val="28"/>
          <w:szCs w:val="28"/>
        </w:rPr>
        <w:t>:</w:t>
      </w:r>
      <w:r w:rsidRPr="00FE0355">
        <w:rPr>
          <w:rFonts w:ascii="Times New Roman" w:hAnsi="Times New Roman" w:cs="Times New Roman"/>
          <w:sz w:val="28"/>
          <w:szCs w:val="28"/>
        </w:rPr>
        <w:tab/>
      </w:r>
      <w:r w:rsidR="00C03DBC">
        <w:rPr>
          <w:rFonts w:ascii="Times New Roman" w:hAnsi="Times New Roman" w:cs="Times New Roman"/>
          <w:sz w:val="28"/>
          <w:szCs w:val="28"/>
        </w:rPr>
        <w:t xml:space="preserve">10 </w:t>
      </w:r>
      <w:r w:rsidR="0014201C">
        <w:rPr>
          <w:rFonts w:ascii="Times New Roman" w:hAnsi="Times New Roman" w:cs="Times New Roman"/>
          <w:sz w:val="28"/>
          <w:szCs w:val="28"/>
        </w:rPr>
        <w:t xml:space="preserve">November </w:t>
      </w:r>
      <w:r w:rsidRPr="00FE0355">
        <w:rPr>
          <w:rFonts w:ascii="Times New Roman" w:hAnsi="Times New Roman" w:cs="Times New Roman"/>
          <w:sz w:val="28"/>
          <w:szCs w:val="28"/>
        </w:rPr>
        <w:t>2022</w:t>
      </w:r>
    </w:p>
    <w:p w14:paraId="6D9582B2" w14:textId="1F92F08D" w:rsidR="0014201C" w:rsidRDefault="0014201C" w:rsidP="004B01D9">
      <w:pPr>
        <w:contextualSpacing/>
        <w:rPr>
          <w:rFonts w:ascii="Times New Roman" w:hAnsi="Times New Roman" w:cs="Times New Roman"/>
          <w:sz w:val="28"/>
          <w:szCs w:val="28"/>
        </w:rPr>
      </w:pPr>
      <w:r>
        <w:rPr>
          <w:rFonts w:ascii="Times New Roman" w:hAnsi="Times New Roman" w:cs="Times New Roman"/>
          <w:sz w:val="28"/>
          <w:szCs w:val="28"/>
        </w:rPr>
        <w:t>DATE OF PLAINTIFF</w:t>
      </w:r>
      <w:r w:rsidR="005A4397">
        <w:rPr>
          <w:rFonts w:ascii="Times New Roman" w:hAnsi="Times New Roman" w:cs="Times New Roman"/>
          <w:sz w:val="28"/>
          <w:szCs w:val="28"/>
        </w:rPr>
        <w:t>’</w:t>
      </w:r>
      <w:r>
        <w:rPr>
          <w:rFonts w:ascii="Times New Roman" w:hAnsi="Times New Roman" w:cs="Times New Roman"/>
          <w:sz w:val="28"/>
          <w:szCs w:val="28"/>
        </w:rPr>
        <w:t xml:space="preserve">S </w:t>
      </w:r>
    </w:p>
    <w:p w14:paraId="64F0DE9C" w14:textId="3C675E14" w:rsidR="0014201C" w:rsidRDefault="0014201C" w:rsidP="004B01D9">
      <w:pPr>
        <w:contextualSpacing/>
        <w:rPr>
          <w:rFonts w:ascii="Times New Roman" w:hAnsi="Times New Roman" w:cs="Times New Roman"/>
          <w:sz w:val="28"/>
          <w:szCs w:val="28"/>
        </w:rPr>
      </w:pPr>
      <w:r>
        <w:rPr>
          <w:rFonts w:ascii="Times New Roman" w:hAnsi="Times New Roman" w:cs="Times New Roman"/>
          <w:sz w:val="28"/>
          <w:szCs w:val="28"/>
        </w:rPr>
        <w:t>FURTHER REPRESENTATIONS</w:t>
      </w:r>
      <w:r>
        <w:rPr>
          <w:rFonts w:ascii="Times New Roman" w:hAnsi="Times New Roman" w:cs="Times New Roman"/>
          <w:sz w:val="28"/>
          <w:szCs w:val="28"/>
        </w:rPr>
        <w:tab/>
        <w:t xml:space="preserve">: </w:t>
      </w:r>
      <w:r>
        <w:rPr>
          <w:rFonts w:ascii="Times New Roman" w:hAnsi="Times New Roman" w:cs="Times New Roman"/>
          <w:sz w:val="28"/>
          <w:szCs w:val="28"/>
        </w:rPr>
        <w:tab/>
        <w:t>12 January 2023</w:t>
      </w:r>
    </w:p>
    <w:p w14:paraId="2555BFC7" w14:textId="1A5D4D0F" w:rsidR="0014201C" w:rsidRDefault="0014201C" w:rsidP="004B01D9">
      <w:pPr>
        <w:contextualSpacing/>
        <w:rPr>
          <w:rFonts w:ascii="Times New Roman" w:hAnsi="Times New Roman" w:cs="Times New Roman"/>
          <w:sz w:val="28"/>
          <w:szCs w:val="28"/>
        </w:rPr>
      </w:pPr>
      <w:r>
        <w:rPr>
          <w:rFonts w:ascii="Times New Roman" w:hAnsi="Times New Roman" w:cs="Times New Roman"/>
          <w:sz w:val="28"/>
          <w:szCs w:val="28"/>
        </w:rPr>
        <w:t>DATE OF DEFENDANTS</w:t>
      </w:r>
      <w:r w:rsidR="005A4397">
        <w:rPr>
          <w:rFonts w:ascii="Times New Roman" w:hAnsi="Times New Roman" w:cs="Times New Roman"/>
          <w:sz w:val="28"/>
          <w:szCs w:val="28"/>
        </w:rPr>
        <w:t>’</w:t>
      </w:r>
      <w:r>
        <w:rPr>
          <w:rFonts w:ascii="Times New Roman" w:hAnsi="Times New Roman" w:cs="Times New Roman"/>
          <w:sz w:val="28"/>
          <w:szCs w:val="28"/>
        </w:rPr>
        <w:t xml:space="preserve"> </w:t>
      </w:r>
    </w:p>
    <w:p w14:paraId="053D9673" w14:textId="0861F419" w:rsidR="0014201C" w:rsidRPr="00FE0355" w:rsidRDefault="0014201C" w:rsidP="004B01D9">
      <w:pPr>
        <w:contextualSpacing/>
        <w:rPr>
          <w:rFonts w:ascii="Times New Roman" w:hAnsi="Times New Roman" w:cs="Times New Roman"/>
          <w:sz w:val="28"/>
          <w:szCs w:val="28"/>
        </w:rPr>
      </w:pPr>
      <w:r>
        <w:rPr>
          <w:rFonts w:ascii="Times New Roman" w:hAnsi="Times New Roman" w:cs="Times New Roman"/>
          <w:sz w:val="28"/>
          <w:szCs w:val="28"/>
        </w:rPr>
        <w:t>FURTHE</w:t>
      </w:r>
      <w:r w:rsidR="005A4397">
        <w:rPr>
          <w:rFonts w:ascii="Times New Roman" w:hAnsi="Times New Roman" w:cs="Times New Roman"/>
          <w:sz w:val="28"/>
          <w:szCs w:val="28"/>
        </w:rPr>
        <w:t>R</w:t>
      </w:r>
      <w:r>
        <w:rPr>
          <w:rFonts w:ascii="Times New Roman" w:hAnsi="Times New Roman" w:cs="Times New Roman"/>
          <w:sz w:val="28"/>
          <w:szCs w:val="28"/>
        </w:rPr>
        <w:t xml:space="preserve"> REPRESENTATIONS </w:t>
      </w:r>
      <w:r>
        <w:rPr>
          <w:rFonts w:ascii="Times New Roman" w:hAnsi="Times New Roman" w:cs="Times New Roman"/>
          <w:sz w:val="28"/>
          <w:szCs w:val="28"/>
        </w:rPr>
        <w:tab/>
        <w:t xml:space="preserve">: </w:t>
      </w:r>
      <w:r>
        <w:rPr>
          <w:rFonts w:ascii="Times New Roman" w:hAnsi="Times New Roman" w:cs="Times New Roman"/>
          <w:sz w:val="28"/>
          <w:szCs w:val="28"/>
        </w:rPr>
        <w:tab/>
        <w:t>19 January 2023</w:t>
      </w:r>
    </w:p>
    <w:p w14:paraId="0BDBE3B5" w14:textId="6B8DC389" w:rsidR="004B01D9" w:rsidRPr="00FE0355" w:rsidRDefault="004B01D9" w:rsidP="004B01D9">
      <w:pPr>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JUDGMENT </w:t>
      </w:r>
      <w:r w:rsidRPr="00FE0355">
        <w:rPr>
          <w:rFonts w:ascii="Times New Roman" w:hAnsi="Times New Roman" w:cs="Times New Roman"/>
          <w:sz w:val="28"/>
          <w:szCs w:val="28"/>
        </w:rPr>
        <w:tab/>
      </w:r>
      <w:r w:rsidRPr="00FE0355">
        <w:rPr>
          <w:rFonts w:ascii="Times New Roman" w:hAnsi="Times New Roman" w:cs="Times New Roman"/>
          <w:sz w:val="28"/>
          <w:szCs w:val="28"/>
        </w:rPr>
        <w:tab/>
      </w:r>
      <w:r w:rsidR="0014201C">
        <w:rPr>
          <w:rFonts w:ascii="Times New Roman" w:hAnsi="Times New Roman" w:cs="Times New Roman"/>
          <w:sz w:val="28"/>
          <w:szCs w:val="28"/>
        </w:rPr>
        <w:tab/>
      </w:r>
      <w:r w:rsidRPr="00FE0355">
        <w:rPr>
          <w:rFonts w:ascii="Times New Roman" w:hAnsi="Times New Roman" w:cs="Times New Roman"/>
          <w:sz w:val="28"/>
          <w:szCs w:val="28"/>
        </w:rPr>
        <w:t xml:space="preserve">: </w:t>
      </w:r>
      <w:r w:rsidRPr="00FE0355">
        <w:rPr>
          <w:rFonts w:ascii="Times New Roman" w:hAnsi="Times New Roman" w:cs="Times New Roman"/>
          <w:sz w:val="28"/>
          <w:szCs w:val="28"/>
        </w:rPr>
        <w:tab/>
      </w:r>
      <w:r w:rsidR="00C03DBC">
        <w:rPr>
          <w:rFonts w:ascii="Times New Roman" w:hAnsi="Times New Roman" w:cs="Times New Roman"/>
          <w:sz w:val="28"/>
          <w:szCs w:val="28"/>
        </w:rPr>
        <w:t>7 September</w:t>
      </w:r>
      <w:r w:rsidR="0014201C">
        <w:rPr>
          <w:rFonts w:ascii="Times New Roman" w:hAnsi="Times New Roman" w:cs="Times New Roman"/>
          <w:sz w:val="28"/>
          <w:szCs w:val="28"/>
        </w:rPr>
        <w:t xml:space="preserve"> </w:t>
      </w:r>
      <w:r>
        <w:rPr>
          <w:rFonts w:ascii="Times New Roman" w:hAnsi="Times New Roman" w:cs="Times New Roman"/>
          <w:sz w:val="28"/>
          <w:szCs w:val="28"/>
        </w:rPr>
        <w:t>2023</w:t>
      </w:r>
    </w:p>
    <w:p w14:paraId="0DBB53AD" w14:textId="77777777" w:rsidR="004B01D9" w:rsidRPr="00A01EA9" w:rsidRDefault="004B01D9" w:rsidP="004B01D9">
      <w:pPr>
        <w:contextualSpacing/>
        <w:rPr>
          <w:rFonts w:ascii="Times New Roman" w:hAnsi="Times New Roman" w:cs="Times New Roman"/>
          <w:b/>
          <w:sz w:val="24"/>
          <w:szCs w:val="24"/>
        </w:rPr>
      </w:pPr>
    </w:p>
    <w:p w14:paraId="60C7EBE5" w14:textId="77777777" w:rsidR="0014201C" w:rsidRDefault="0014201C" w:rsidP="004B01D9">
      <w:pPr>
        <w:contextualSpacing/>
        <w:jc w:val="both"/>
        <w:rPr>
          <w:rFonts w:ascii="Times New Roman" w:hAnsi="Times New Roman" w:cs="Times New Roman"/>
          <w:i/>
          <w:sz w:val="24"/>
          <w:szCs w:val="24"/>
          <w:u w:val="single"/>
        </w:rPr>
      </w:pPr>
    </w:p>
    <w:p w14:paraId="6685BACF" w14:textId="6B98D247" w:rsidR="004B01D9" w:rsidRPr="00A01EA9" w:rsidRDefault="004B01D9" w:rsidP="004B01D9">
      <w:pPr>
        <w:contextualSpacing/>
        <w:jc w:val="both"/>
        <w:rPr>
          <w:rFonts w:ascii="Times New Roman" w:hAnsi="Times New Roman" w:cs="Times New Roman"/>
          <w:i/>
          <w:sz w:val="24"/>
          <w:szCs w:val="24"/>
          <w:u w:val="single"/>
        </w:rPr>
      </w:pPr>
      <w:r w:rsidRPr="00A01EA9">
        <w:rPr>
          <w:rFonts w:ascii="Times New Roman" w:hAnsi="Times New Roman" w:cs="Times New Roman"/>
          <w:i/>
          <w:sz w:val="24"/>
          <w:szCs w:val="24"/>
          <w:u w:val="single"/>
        </w:rPr>
        <w:t xml:space="preserve">Appearances: </w:t>
      </w:r>
    </w:p>
    <w:p w14:paraId="335C826C" w14:textId="77777777" w:rsidR="004B01D9" w:rsidRPr="00A01EA9" w:rsidRDefault="004B01D9" w:rsidP="004B01D9">
      <w:pPr>
        <w:contextualSpacing/>
        <w:jc w:val="both"/>
        <w:rPr>
          <w:rFonts w:ascii="Times New Roman" w:hAnsi="Times New Roman" w:cs="Times New Roman"/>
          <w:i/>
          <w:sz w:val="24"/>
          <w:szCs w:val="24"/>
        </w:rPr>
      </w:pPr>
      <w:r w:rsidRPr="00A01EA9">
        <w:rPr>
          <w:rFonts w:ascii="Times New Roman" w:hAnsi="Times New Roman" w:cs="Times New Roman"/>
          <w:i/>
          <w:sz w:val="24"/>
          <w:szCs w:val="24"/>
        </w:rPr>
        <w:tab/>
      </w:r>
      <w:r w:rsidRPr="00A01EA9">
        <w:rPr>
          <w:rFonts w:ascii="Times New Roman" w:hAnsi="Times New Roman" w:cs="Times New Roman"/>
          <w:i/>
          <w:sz w:val="24"/>
          <w:szCs w:val="24"/>
        </w:rPr>
        <w:tab/>
      </w:r>
      <w:r w:rsidRPr="00A01EA9">
        <w:rPr>
          <w:rFonts w:ascii="Times New Roman" w:hAnsi="Times New Roman" w:cs="Times New Roman"/>
          <w:i/>
          <w:sz w:val="24"/>
          <w:szCs w:val="24"/>
        </w:rPr>
        <w:tab/>
      </w:r>
    </w:p>
    <w:p w14:paraId="7F04404C" w14:textId="5A0A2868" w:rsidR="004B01D9" w:rsidRDefault="004B01D9" w:rsidP="004B01D9">
      <w:pPr>
        <w:contextualSpacing/>
        <w:jc w:val="both"/>
        <w:rPr>
          <w:rFonts w:ascii="Times New Roman" w:hAnsi="Times New Roman" w:cs="Times New Roman"/>
          <w:i/>
          <w:sz w:val="24"/>
          <w:szCs w:val="24"/>
        </w:rPr>
      </w:pPr>
      <w:r>
        <w:rPr>
          <w:rFonts w:ascii="Times New Roman" w:hAnsi="Times New Roman" w:cs="Times New Roman"/>
          <w:i/>
          <w:sz w:val="24"/>
          <w:szCs w:val="24"/>
        </w:rPr>
        <w:t xml:space="preserve">For the </w:t>
      </w:r>
      <w:r w:rsidR="0014201C">
        <w:rPr>
          <w:rFonts w:ascii="Times New Roman" w:hAnsi="Times New Roman" w:cs="Times New Roman"/>
          <w:i/>
          <w:sz w:val="24"/>
          <w:szCs w:val="24"/>
        </w:rPr>
        <w:t xml:space="preserve">Plaintiffs </w:t>
      </w:r>
      <w:r w:rsidR="0014201C">
        <w:rPr>
          <w:rFonts w:ascii="Times New Roman" w:hAnsi="Times New Roman" w:cs="Times New Roman"/>
          <w:i/>
          <w:sz w:val="24"/>
          <w:szCs w:val="24"/>
        </w:rPr>
        <w:tab/>
        <w:t xml:space="preserve">:  Adv. R Buchanan SC instructed by </w:t>
      </w:r>
      <w:r>
        <w:rPr>
          <w:rFonts w:ascii="Times New Roman" w:hAnsi="Times New Roman" w:cs="Times New Roman"/>
          <w:i/>
          <w:sz w:val="24"/>
          <w:szCs w:val="24"/>
        </w:rPr>
        <w:tab/>
      </w:r>
      <w:r w:rsidR="0014201C">
        <w:rPr>
          <w:rFonts w:ascii="Times New Roman" w:hAnsi="Times New Roman" w:cs="Times New Roman"/>
          <w:i/>
          <w:sz w:val="24"/>
          <w:szCs w:val="24"/>
        </w:rPr>
        <w:t xml:space="preserve">STBB </w:t>
      </w:r>
      <w:r w:rsidR="0014201C">
        <w:rPr>
          <w:rFonts w:ascii="Times New Roman" w:hAnsi="Times New Roman" w:cs="Times New Roman"/>
          <w:i/>
          <w:sz w:val="24"/>
          <w:szCs w:val="24"/>
        </w:rPr>
        <w:sym w:font="Symbol" w:char="F07C"/>
      </w:r>
      <w:r>
        <w:rPr>
          <w:rFonts w:ascii="Times New Roman" w:hAnsi="Times New Roman" w:cs="Times New Roman"/>
          <w:i/>
          <w:sz w:val="24"/>
          <w:szCs w:val="24"/>
        </w:rPr>
        <w:tab/>
      </w:r>
      <w:r w:rsidR="0014201C">
        <w:rPr>
          <w:rFonts w:ascii="Times New Roman" w:hAnsi="Times New Roman" w:cs="Times New Roman"/>
          <w:i/>
          <w:sz w:val="24"/>
          <w:szCs w:val="24"/>
        </w:rPr>
        <w:t>Smith Tabata Buchanan Boyes c/o Pagdens, Gqeberha (ref. J Eksteen)</w:t>
      </w:r>
      <w:r w:rsidR="008346BA">
        <w:rPr>
          <w:rFonts w:ascii="Times New Roman" w:hAnsi="Times New Roman" w:cs="Times New Roman"/>
          <w:i/>
          <w:sz w:val="24"/>
          <w:szCs w:val="24"/>
        </w:rPr>
        <w:t>.</w:t>
      </w:r>
    </w:p>
    <w:p w14:paraId="648A4A1D" w14:textId="48E8A2B9" w:rsidR="001E46DE" w:rsidRDefault="004B01D9" w:rsidP="008346BA">
      <w:pPr>
        <w:contextualSpacing/>
        <w:jc w:val="both"/>
      </w:pPr>
      <w:r>
        <w:rPr>
          <w:rFonts w:ascii="Times New Roman" w:hAnsi="Times New Roman" w:cs="Times New Roman"/>
          <w:i/>
          <w:sz w:val="24"/>
          <w:szCs w:val="24"/>
        </w:rPr>
        <w:t xml:space="preserve">For the </w:t>
      </w:r>
      <w:r w:rsidR="0014201C">
        <w:rPr>
          <w:rFonts w:ascii="Times New Roman" w:hAnsi="Times New Roman" w:cs="Times New Roman"/>
          <w:i/>
          <w:sz w:val="24"/>
          <w:szCs w:val="24"/>
        </w:rPr>
        <w:t>Defendants</w:t>
      </w:r>
      <w:r w:rsidR="0014201C">
        <w:rPr>
          <w:rFonts w:ascii="Times New Roman" w:hAnsi="Times New Roman" w:cs="Times New Roman"/>
          <w:i/>
          <w:sz w:val="24"/>
          <w:szCs w:val="24"/>
        </w:rPr>
        <w:tab/>
      </w:r>
      <w:r>
        <w:rPr>
          <w:rFonts w:ascii="Times New Roman" w:hAnsi="Times New Roman" w:cs="Times New Roman"/>
          <w:i/>
          <w:sz w:val="24"/>
          <w:szCs w:val="24"/>
        </w:rPr>
        <w:t>:</w:t>
      </w:r>
      <w:r w:rsidR="0014201C">
        <w:rPr>
          <w:rFonts w:ascii="Times New Roman" w:hAnsi="Times New Roman" w:cs="Times New Roman"/>
          <w:i/>
          <w:sz w:val="24"/>
          <w:szCs w:val="24"/>
        </w:rPr>
        <w:t xml:space="preserve"> Adv. O Ronaasen SC </w:t>
      </w:r>
      <w:r w:rsidR="00A45033">
        <w:rPr>
          <w:rFonts w:ascii="Times New Roman" w:hAnsi="Times New Roman" w:cs="Times New Roman"/>
          <w:i/>
          <w:sz w:val="24"/>
          <w:szCs w:val="24"/>
        </w:rPr>
        <w:t>together with</w:t>
      </w:r>
      <w:r w:rsidR="0014201C">
        <w:rPr>
          <w:rFonts w:ascii="Times New Roman" w:hAnsi="Times New Roman" w:cs="Times New Roman"/>
          <w:i/>
          <w:sz w:val="24"/>
          <w:szCs w:val="24"/>
        </w:rPr>
        <w:t xml:space="preserve"> Adv N L Nsepe instructed by Maci Incorporated, Gqeberha (ref. SM/N0019/21/os).</w:t>
      </w:r>
      <w:r>
        <w:rPr>
          <w:rFonts w:ascii="Times New Roman" w:hAnsi="Times New Roman" w:cs="Times New Roman"/>
          <w:i/>
          <w:sz w:val="24"/>
          <w:szCs w:val="24"/>
        </w:rPr>
        <w:tab/>
        <w:t xml:space="preserve"> </w:t>
      </w:r>
    </w:p>
    <w:sectPr w:rsidR="001E46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1F6F4" w14:textId="77777777" w:rsidR="006E17C7" w:rsidRDefault="006E17C7" w:rsidP="004B01D9">
      <w:pPr>
        <w:spacing w:line="240" w:lineRule="auto"/>
      </w:pPr>
      <w:r>
        <w:separator/>
      </w:r>
    </w:p>
  </w:endnote>
  <w:endnote w:type="continuationSeparator" w:id="0">
    <w:p w14:paraId="5E992056" w14:textId="77777777" w:rsidR="006E17C7" w:rsidRDefault="006E17C7" w:rsidP="004B0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57B95" w14:textId="77777777" w:rsidR="006E17C7" w:rsidRDefault="006E17C7" w:rsidP="004B01D9">
      <w:pPr>
        <w:spacing w:line="240" w:lineRule="auto"/>
      </w:pPr>
      <w:r>
        <w:separator/>
      </w:r>
    </w:p>
  </w:footnote>
  <w:footnote w:type="continuationSeparator" w:id="0">
    <w:p w14:paraId="4E38EF37" w14:textId="77777777" w:rsidR="006E17C7" w:rsidRDefault="006E17C7" w:rsidP="004B01D9">
      <w:pPr>
        <w:spacing w:line="240" w:lineRule="auto"/>
      </w:pPr>
      <w:r>
        <w:continuationSeparator/>
      </w:r>
    </w:p>
  </w:footnote>
  <w:footnote w:id="1">
    <w:p w14:paraId="239CF567" w14:textId="77777777" w:rsidR="00E43BA7" w:rsidRPr="00F35CC6" w:rsidRDefault="00E43BA7" w:rsidP="007744CC">
      <w:pPr>
        <w:pStyle w:val="FootnoteText"/>
        <w:jc w:val="both"/>
        <w:rPr>
          <w:lang w:val="en-GB"/>
        </w:rPr>
      </w:pPr>
      <w:r>
        <w:rPr>
          <w:rStyle w:val="FootnoteReference"/>
        </w:rPr>
        <w:footnoteRef/>
      </w:r>
      <w:r>
        <w:t xml:space="preserve"> </w:t>
      </w:r>
      <w:r>
        <w:rPr>
          <w:lang w:val="en-GB"/>
        </w:rPr>
        <w:t xml:space="preserve">I intend to refer to the parties as they are cited in the main action. In this instance the defendants are the excipients. </w:t>
      </w:r>
    </w:p>
  </w:footnote>
  <w:footnote w:id="2">
    <w:p w14:paraId="1A57652B" w14:textId="31F86008" w:rsidR="00C71B06" w:rsidRPr="00C71B06" w:rsidRDefault="00C71B06" w:rsidP="007744CC">
      <w:pPr>
        <w:pStyle w:val="FootnoteText"/>
        <w:jc w:val="both"/>
        <w:rPr>
          <w:lang w:val="en-GB"/>
        </w:rPr>
      </w:pPr>
      <w:r>
        <w:rPr>
          <w:rStyle w:val="FootnoteReference"/>
        </w:rPr>
        <w:footnoteRef/>
      </w:r>
      <w:r>
        <w:t xml:space="preserve"> </w:t>
      </w:r>
      <w:r>
        <w:rPr>
          <w:lang w:val="en-GB"/>
        </w:rPr>
        <w:t>Section 5.</w:t>
      </w:r>
    </w:p>
  </w:footnote>
  <w:footnote w:id="3">
    <w:p w14:paraId="03DA703C" w14:textId="02AF75A4" w:rsidR="00DD1C1A" w:rsidRPr="00DD1C1A" w:rsidRDefault="00DD1C1A" w:rsidP="007744CC">
      <w:pPr>
        <w:pStyle w:val="FootnoteText"/>
        <w:jc w:val="both"/>
        <w:rPr>
          <w:lang w:val="en-GB"/>
        </w:rPr>
      </w:pPr>
      <w:r>
        <w:rPr>
          <w:rStyle w:val="FootnoteReference"/>
        </w:rPr>
        <w:footnoteRef/>
      </w:r>
      <w:r>
        <w:t xml:space="preserve"> </w:t>
      </w:r>
      <w:r w:rsidR="00A34977" w:rsidRPr="009C190F">
        <w:rPr>
          <w:i/>
          <w:iCs/>
          <w:lang w:val="en-GB"/>
        </w:rPr>
        <w:t>Voget v Kleinhans</w:t>
      </w:r>
      <w:r w:rsidR="00A34977">
        <w:rPr>
          <w:lang w:val="en-GB"/>
        </w:rPr>
        <w:t xml:space="preserve"> 2003 (2) SA 148 (C)</w:t>
      </w:r>
      <w:r w:rsidR="009C190F">
        <w:rPr>
          <w:lang w:val="en-GB"/>
        </w:rPr>
        <w:t xml:space="preserve"> at 151.</w:t>
      </w:r>
    </w:p>
  </w:footnote>
  <w:footnote w:id="4">
    <w:p w14:paraId="58B48CE0" w14:textId="777CAAAB" w:rsidR="00C71B06" w:rsidRPr="00C71B06" w:rsidRDefault="00C71B06" w:rsidP="007744CC">
      <w:pPr>
        <w:pStyle w:val="FootnoteText"/>
        <w:jc w:val="both"/>
        <w:rPr>
          <w:lang w:val="en-GB"/>
        </w:rPr>
      </w:pPr>
      <w:r>
        <w:rPr>
          <w:rStyle w:val="FootnoteReference"/>
        </w:rPr>
        <w:footnoteRef/>
      </w:r>
      <w:r>
        <w:t xml:space="preserve"> </w:t>
      </w:r>
      <w:r w:rsidR="004F0648">
        <w:rPr>
          <w:lang w:val="en-GB"/>
        </w:rPr>
        <w:t>T</w:t>
      </w:r>
      <w:r>
        <w:rPr>
          <w:lang w:val="en-GB"/>
        </w:rPr>
        <w:t>he first and second defendants are collectively referred to as “the Defendant/s”</w:t>
      </w:r>
      <w:r w:rsidR="004F0648">
        <w:rPr>
          <w:lang w:val="en-GB"/>
        </w:rPr>
        <w:t xml:space="preserve"> in the particulars of claim, which nomenclature I will retain for purposes of referencing th</w:t>
      </w:r>
      <w:r w:rsidR="000B3139">
        <w:rPr>
          <w:lang w:val="en-GB"/>
        </w:rPr>
        <w:t>is</w:t>
      </w:r>
      <w:r w:rsidR="004F0648">
        <w:rPr>
          <w:lang w:val="en-GB"/>
        </w:rPr>
        <w:t xml:space="preserve"> pleading.</w:t>
      </w:r>
    </w:p>
  </w:footnote>
  <w:footnote w:id="5">
    <w:p w14:paraId="36CB4B52" w14:textId="1A4C0761" w:rsidR="004F0648" w:rsidRPr="004F0648" w:rsidRDefault="004F0648" w:rsidP="007744CC">
      <w:pPr>
        <w:pStyle w:val="FootnoteText"/>
        <w:jc w:val="both"/>
        <w:rPr>
          <w:lang w:val="en-GB"/>
        </w:rPr>
      </w:pPr>
      <w:r>
        <w:rPr>
          <w:rStyle w:val="FootnoteReference"/>
        </w:rPr>
        <w:footnoteRef/>
      </w:r>
      <w:r>
        <w:t xml:space="preserve"> </w:t>
      </w:r>
      <w:r>
        <w:rPr>
          <w:lang w:val="en-GB"/>
        </w:rPr>
        <w:t xml:space="preserve">According to the trust’s official demand </w:t>
      </w:r>
      <w:r w:rsidR="001D0D8E">
        <w:rPr>
          <w:lang w:val="en-GB"/>
        </w:rPr>
        <w:t>addressed</w:t>
      </w:r>
      <w:r w:rsidR="00906951">
        <w:rPr>
          <w:lang w:val="en-GB"/>
        </w:rPr>
        <w:t xml:space="preserve"> </w:t>
      </w:r>
      <w:r>
        <w:rPr>
          <w:lang w:val="en-GB"/>
        </w:rPr>
        <w:t xml:space="preserve">to the </w:t>
      </w:r>
      <w:r w:rsidR="00F67804">
        <w:rPr>
          <w:lang w:val="en-GB"/>
        </w:rPr>
        <w:t>m</w:t>
      </w:r>
      <w:r>
        <w:rPr>
          <w:lang w:val="en-GB"/>
        </w:rPr>
        <w:t xml:space="preserve">unicipality, included as an annexure to the particulars of claim, the title deed in respect of the property </w:t>
      </w:r>
      <w:r w:rsidR="002A611C">
        <w:rPr>
          <w:lang w:val="en-GB"/>
        </w:rPr>
        <w:t xml:space="preserve">does not contain any reference to a servitude.  The evidence thereby portended is that </w:t>
      </w:r>
      <w:r w:rsidR="002A611C" w:rsidRPr="002A611C">
        <w:rPr>
          <w:i/>
          <w:iCs/>
          <w:lang w:val="en-GB"/>
        </w:rPr>
        <w:t>sans</w:t>
      </w:r>
      <w:r w:rsidR="002A611C">
        <w:rPr>
          <w:lang w:val="en-GB"/>
        </w:rPr>
        <w:t xml:space="preserve"> registration the trust could not been expected to have known of the servitude.  Also portended by correspondence attached to the particulars of claim and alleged in the pleading itself is the fact that prior to the approval requests the </w:t>
      </w:r>
      <w:r w:rsidR="00F67804">
        <w:rPr>
          <w:lang w:val="en-GB"/>
        </w:rPr>
        <w:t>m</w:t>
      </w:r>
      <w:r w:rsidR="002A611C">
        <w:rPr>
          <w:lang w:val="en-GB"/>
        </w:rPr>
        <w:t xml:space="preserve">unicipality was in possession of original sepia service drawings that reflected the water services traversing the trust’s property. (The same applies in respect of the second set of </w:t>
      </w:r>
      <w:r w:rsidR="00336C42">
        <w:rPr>
          <w:lang w:val="en-GB"/>
        </w:rPr>
        <w:t xml:space="preserve">approvals. In this regard the </w:t>
      </w:r>
      <w:r w:rsidR="00F67804">
        <w:rPr>
          <w:lang w:val="en-GB"/>
        </w:rPr>
        <w:t>m</w:t>
      </w:r>
      <w:r w:rsidR="00336C42">
        <w:rPr>
          <w:lang w:val="en-GB"/>
        </w:rPr>
        <w:t xml:space="preserve">unicipality was in possession of original service drawings recording the presence of high voltage cables in the servitude area of a neighbouring property over which the trust hoped by its second application to relocate the pipe to instead of </w:t>
      </w:r>
      <w:r w:rsidR="000B3139">
        <w:rPr>
          <w:lang w:val="en-GB"/>
        </w:rPr>
        <w:t>accommodating them underneath its newly constructed warehouse.</w:t>
      </w:r>
      <w:r w:rsidR="00336C42">
        <w:rPr>
          <w:lang w:val="en-GB"/>
        </w:rPr>
        <w:t>)</w:t>
      </w:r>
    </w:p>
  </w:footnote>
  <w:footnote w:id="6">
    <w:p w14:paraId="1097884B" w14:textId="3A0922D1" w:rsidR="00DF3B4D" w:rsidRPr="007744CC" w:rsidRDefault="00DF3B4D" w:rsidP="007744CC">
      <w:pPr>
        <w:pStyle w:val="FootnoteText"/>
        <w:jc w:val="both"/>
        <w:rPr>
          <w:i/>
          <w:iCs/>
        </w:rPr>
      </w:pPr>
      <w:r>
        <w:rPr>
          <w:rStyle w:val="FootnoteReference"/>
        </w:rPr>
        <w:footnoteRef/>
      </w:r>
      <w:r>
        <w:t xml:space="preserve"> </w:t>
      </w:r>
      <w:r w:rsidRPr="000B3139">
        <w:rPr>
          <w:lang w:val="en-US"/>
        </w:rPr>
        <w:t xml:space="preserve">One gets the </w:t>
      </w:r>
      <w:r w:rsidR="00A70452" w:rsidRPr="000B3139">
        <w:rPr>
          <w:lang w:val="en-US"/>
        </w:rPr>
        <w:t>impression (</w:t>
      </w:r>
      <w:r w:rsidR="000B3139">
        <w:rPr>
          <w:lang w:val="en-US"/>
        </w:rPr>
        <w:t>confirmed by</w:t>
      </w:r>
      <w:r w:rsidR="00A70452" w:rsidRPr="000B3139">
        <w:rPr>
          <w:lang w:val="en-US"/>
        </w:rPr>
        <w:t xml:space="preserve"> the demand letter)</w:t>
      </w:r>
      <w:r w:rsidRPr="000B3139">
        <w:rPr>
          <w:lang w:val="en-US"/>
        </w:rPr>
        <w:t xml:space="preserve"> that the trust</w:t>
      </w:r>
      <w:r w:rsidR="008C5E0E" w:rsidRPr="000B3139">
        <w:rPr>
          <w:lang w:val="en-US"/>
        </w:rPr>
        <w:t xml:space="preserve">’s claim </w:t>
      </w:r>
      <w:r w:rsidR="0053705D">
        <w:rPr>
          <w:lang w:val="en-US"/>
        </w:rPr>
        <w:t>is also</w:t>
      </w:r>
      <w:r w:rsidR="008C5E0E" w:rsidRPr="000B3139">
        <w:rPr>
          <w:lang w:val="en-US"/>
        </w:rPr>
        <w:t xml:space="preserve"> based on negligent mis</w:t>
      </w:r>
      <w:r w:rsidR="00207E5C" w:rsidRPr="000B3139">
        <w:rPr>
          <w:lang w:val="en-US"/>
        </w:rPr>
        <w:t>statement</w:t>
      </w:r>
      <w:r w:rsidR="00336C42" w:rsidRPr="000B3139">
        <w:rPr>
          <w:lang w:val="en-US"/>
        </w:rPr>
        <w:t xml:space="preserve"> in this respect</w:t>
      </w:r>
      <w:r w:rsidR="000B3139">
        <w:rPr>
          <w:lang w:val="en-US"/>
        </w:rPr>
        <w:t xml:space="preserve">. The </w:t>
      </w:r>
      <w:r w:rsidR="00CD64E5">
        <w:rPr>
          <w:lang w:val="en-US"/>
        </w:rPr>
        <w:t>notice heralded</w:t>
      </w:r>
      <w:r w:rsidR="000B3139">
        <w:rPr>
          <w:lang w:val="en-US"/>
        </w:rPr>
        <w:t xml:space="preserve"> that it would </w:t>
      </w:r>
      <w:r w:rsidR="00692697">
        <w:rPr>
          <w:lang w:val="en-US"/>
        </w:rPr>
        <w:t xml:space="preserve">also </w:t>
      </w:r>
      <w:r w:rsidR="000B3139">
        <w:rPr>
          <w:lang w:val="en-US"/>
        </w:rPr>
        <w:t xml:space="preserve">rely on a negligent misstatement concerning </w:t>
      </w:r>
      <w:r w:rsidR="009E4F12">
        <w:rPr>
          <w:lang w:val="en-US"/>
        </w:rPr>
        <w:t xml:space="preserve">the absence of any high voltage cables in the servitude area on the neighboring property that was supposedly available for the relocation of the pipe, but this was not </w:t>
      </w:r>
      <w:r w:rsidR="0053705D">
        <w:rPr>
          <w:lang w:val="en-US"/>
        </w:rPr>
        <w:t>carried over</w:t>
      </w:r>
      <w:r w:rsidR="009E4F12">
        <w:rPr>
          <w:lang w:val="en-US"/>
        </w:rPr>
        <w:t xml:space="preserve"> in the particulars of claim.</w:t>
      </w:r>
    </w:p>
  </w:footnote>
  <w:footnote w:id="7">
    <w:p w14:paraId="4933BB17" w14:textId="0C7DF14C" w:rsidR="00320E49" w:rsidRPr="00320E49" w:rsidRDefault="00320E49" w:rsidP="007744CC">
      <w:pPr>
        <w:pStyle w:val="FootnoteText"/>
        <w:jc w:val="both"/>
        <w:rPr>
          <w:lang w:val="en-GB"/>
        </w:rPr>
      </w:pPr>
      <w:r>
        <w:rPr>
          <w:rStyle w:val="FootnoteReference"/>
        </w:rPr>
        <w:footnoteRef/>
      </w:r>
      <w:r>
        <w:t xml:space="preserve"> A substantive application was launched under case number 1396/2019 to compel the municipality’s functionaries to consider and approve plans and drawings the trust submitted to it for the diversion of the storm water pipeline on the property, and to take a decision on certain proposals that had been made by it to resolve the conundrum that had been posed by the </w:t>
      </w:r>
      <w:r w:rsidR="00102418">
        <w:t>revelation</w:t>
      </w:r>
      <w:r>
        <w:t xml:space="preserve"> of the existence of the pipe traversing its property.  Although the municipality filed a notice to oppose the application it did not put up answering papers and the court granted an order in the trust’s favour.</w:t>
      </w:r>
    </w:p>
  </w:footnote>
  <w:footnote w:id="8">
    <w:p w14:paraId="06552045" w14:textId="4E6C2299" w:rsidR="005A2B21" w:rsidRPr="005A2B21" w:rsidRDefault="005A2B21" w:rsidP="007744CC">
      <w:pPr>
        <w:pStyle w:val="FootnoteText"/>
        <w:jc w:val="both"/>
        <w:rPr>
          <w:lang w:val="en-US"/>
        </w:rPr>
      </w:pPr>
      <w:r>
        <w:rPr>
          <w:rStyle w:val="FootnoteReference"/>
        </w:rPr>
        <w:footnoteRef/>
      </w:r>
      <w:r>
        <w:t xml:space="preserve"> </w:t>
      </w:r>
      <w:r w:rsidR="00BE0AEB" w:rsidRPr="009E4F12">
        <w:rPr>
          <w:lang w:val="en-US"/>
        </w:rPr>
        <w:t>Possibly the request was made in terms of section A3</w:t>
      </w:r>
      <w:r w:rsidR="006955D9" w:rsidRPr="009E4F12">
        <w:rPr>
          <w:lang w:val="en-US"/>
        </w:rPr>
        <w:t xml:space="preserve"> (1) of the Regulations</w:t>
      </w:r>
      <w:r w:rsidR="00AA780C" w:rsidRPr="009E4F12">
        <w:rPr>
          <w:lang w:val="en-US"/>
        </w:rPr>
        <w:t xml:space="preserve">, </w:t>
      </w:r>
      <w:r w:rsidR="00CC568A" w:rsidRPr="009E4F12">
        <w:rPr>
          <w:lang w:val="en-US"/>
        </w:rPr>
        <w:t xml:space="preserve">but the trust gives no </w:t>
      </w:r>
      <w:r w:rsidR="00F10AB5" w:rsidRPr="009E4F12">
        <w:rPr>
          <w:lang w:val="en-US"/>
        </w:rPr>
        <w:t xml:space="preserve">further </w:t>
      </w:r>
      <w:r w:rsidR="00CC568A" w:rsidRPr="009E4F12">
        <w:rPr>
          <w:lang w:val="en-US"/>
        </w:rPr>
        <w:t xml:space="preserve">context to its </w:t>
      </w:r>
      <w:r w:rsidR="00547FCD" w:rsidRPr="009E4F12">
        <w:rPr>
          <w:lang w:val="en-US"/>
        </w:rPr>
        <w:t xml:space="preserve">request for such comments except to state that </w:t>
      </w:r>
      <w:r w:rsidR="00F45214" w:rsidRPr="009E4F12">
        <w:rPr>
          <w:lang w:val="en-US"/>
        </w:rPr>
        <w:t xml:space="preserve">the defendant failed to </w:t>
      </w:r>
      <w:r w:rsidR="00882FE8" w:rsidRPr="009E4F12">
        <w:rPr>
          <w:lang w:val="en-US"/>
        </w:rPr>
        <w:t>respond</w:t>
      </w:r>
      <w:r w:rsidR="007F1E36" w:rsidRPr="009E4F12">
        <w:rPr>
          <w:lang w:val="en-US"/>
        </w:rPr>
        <w:t>.  In the trust</w:t>
      </w:r>
      <w:r w:rsidR="00AC5CB2" w:rsidRPr="009E4F12">
        <w:rPr>
          <w:lang w:val="en-US"/>
        </w:rPr>
        <w:t>’s official letter of demand to the defendant it appears</w:t>
      </w:r>
      <w:r w:rsidR="009E4F12">
        <w:rPr>
          <w:lang w:val="en-US"/>
        </w:rPr>
        <w:t xml:space="preserve"> (as I have stated elsewhere)</w:t>
      </w:r>
      <w:r w:rsidR="00AC5CB2" w:rsidRPr="009E4F12">
        <w:rPr>
          <w:lang w:val="en-US"/>
        </w:rPr>
        <w:t xml:space="preserve"> that it </w:t>
      </w:r>
      <w:r w:rsidR="00762F49">
        <w:rPr>
          <w:lang w:val="en-US"/>
        </w:rPr>
        <w:t xml:space="preserve">possibly </w:t>
      </w:r>
      <w:r w:rsidR="0089524D">
        <w:rPr>
          <w:lang w:val="en-US"/>
        </w:rPr>
        <w:t xml:space="preserve">also </w:t>
      </w:r>
      <w:r w:rsidR="00E01328" w:rsidRPr="009E4F12">
        <w:rPr>
          <w:lang w:val="en-US"/>
        </w:rPr>
        <w:t xml:space="preserve">relies for the harm causing conduct </w:t>
      </w:r>
      <w:r w:rsidR="00882FE8" w:rsidRPr="009E4F12">
        <w:rPr>
          <w:lang w:val="en-US"/>
        </w:rPr>
        <w:t xml:space="preserve">on </w:t>
      </w:r>
      <w:r w:rsidR="0053705D">
        <w:rPr>
          <w:lang w:val="en-US"/>
        </w:rPr>
        <w:t>negligent misstatement</w:t>
      </w:r>
      <w:r w:rsidR="00882FE8" w:rsidRPr="009E4F12">
        <w:rPr>
          <w:lang w:val="en-US"/>
        </w:rPr>
        <w:t xml:space="preserve"> causing it harm</w:t>
      </w:r>
      <w:r w:rsidR="00730E7B">
        <w:rPr>
          <w:lang w:val="en-US"/>
        </w:rPr>
        <w:t>,</w:t>
      </w:r>
      <w:r w:rsidR="0089524D">
        <w:rPr>
          <w:lang w:val="en-US"/>
        </w:rPr>
        <w:t xml:space="preserve"> if not on o</w:t>
      </w:r>
      <w:r w:rsidR="00730E7B">
        <w:rPr>
          <w:lang w:val="en-US"/>
        </w:rPr>
        <w:t>missions</w:t>
      </w:r>
      <w:r w:rsidR="006975A2" w:rsidRPr="009E4F12">
        <w:rPr>
          <w:lang w:val="en-US"/>
        </w:rPr>
        <w:t xml:space="preserve">.  The first was its misrepresentation </w:t>
      </w:r>
      <w:r w:rsidR="0016714D" w:rsidRPr="009E4F12">
        <w:rPr>
          <w:lang w:val="en-US"/>
        </w:rPr>
        <w:t>(implicit in the approval</w:t>
      </w:r>
      <w:r w:rsidR="00433E5D" w:rsidRPr="009E4F12">
        <w:rPr>
          <w:lang w:val="en-US"/>
        </w:rPr>
        <w:t xml:space="preserve"> of the plans in the first place) that the pipe did not exist, and the </w:t>
      </w:r>
      <w:r w:rsidR="00830B2A" w:rsidRPr="009E4F12">
        <w:rPr>
          <w:lang w:val="en-US"/>
        </w:rPr>
        <w:t xml:space="preserve">second, </w:t>
      </w:r>
      <w:r w:rsidR="00874410" w:rsidRPr="009E4F12">
        <w:rPr>
          <w:lang w:val="en-US"/>
        </w:rPr>
        <w:t xml:space="preserve">(again implicit in </w:t>
      </w:r>
      <w:r w:rsidR="0053705D">
        <w:rPr>
          <w:lang w:val="en-US"/>
        </w:rPr>
        <w:t xml:space="preserve">both </w:t>
      </w:r>
      <w:r w:rsidR="00874410" w:rsidRPr="009E4F12">
        <w:rPr>
          <w:lang w:val="en-US"/>
        </w:rPr>
        <w:t>the relocation approval</w:t>
      </w:r>
      <w:r w:rsidR="00C5376B" w:rsidRPr="009E4F12">
        <w:rPr>
          <w:lang w:val="en-US"/>
        </w:rPr>
        <w:t xml:space="preserve"> and the failure to comment</w:t>
      </w:r>
      <w:r w:rsidR="00874410" w:rsidRPr="009E4F12">
        <w:rPr>
          <w:lang w:val="en-US"/>
        </w:rPr>
        <w:t xml:space="preserve">) </w:t>
      </w:r>
      <w:r w:rsidR="00830B2A" w:rsidRPr="009E4F12">
        <w:rPr>
          <w:lang w:val="en-US"/>
        </w:rPr>
        <w:t>that the high voltage cables did n</w:t>
      </w:r>
      <w:r w:rsidR="006A7D05" w:rsidRPr="009E4F12">
        <w:rPr>
          <w:lang w:val="en-US"/>
        </w:rPr>
        <w:t xml:space="preserve">ot exist and that the servitude area </w:t>
      </w:r>
      <w:r w:rsidR="00B82CB1" w:rsidRPr="009E4F12">
        <w:rPr>
          <w:lang w:val="en-US"/>
        </w:rPr>
        <w:t xml:space="preserve">in question was available for the purpose of relocating the pipe.  </w:t>
      </w:r>
      <w:r w:rsidR="00C3403A" w:rsidRPr="009E4F12">
        <w:rPr>
          <w:lang w:val="en-US"/>
        </w:rPr>
        <w:t>I understood the thrust of the trust</w:t>
      </w:r>
      <w:r w:rsidR="004314C5" w:rsidRPr="009E4F12">
        <w:rPr>
          <w:lang w:val="en-US"/>
        </w:rPr>
        <w:t xml:space="preserve">’s </w:t>
      </w:r>
      <w:r w:rsidR="005F09CF" w:rsidRPr="009E4F12">
        <w:rPr>
          <w:lang w:val="en-US"/>
        </w:rPr>
        <w:t>argument</w:t>
      </w:r>
      <w:r w:rsidR="004314C5" w:rsidRPr="009E4F12">
        <w:rPr>
          <w:lang w:val="en-US"/>
        </w:rPr>
        <w:t xml:space="preserve"> to be that it was the </w:t>
      </w:r>
      <w:r w:rsidR="00A51FAE" w:rsidRPr="009E4F12">
        <w:rPr>
          <w:lang w:val="en-US"/>
        </w:rPr>
        <w:t>(</w:t>
      </w:r>
      <w:r w:rsidR="004314C5" w:rsidRPr="009E4F12">
        <w:rPr>
          <w:lang w:val="en-US"/>
        </w:rPr>
        <w:t>mis</w:t>
      </w:r>
      <w:r w:rsidR="00A51FAE" w:rsidRPr="009E4F12">
        <w:rPr>
          <w:lang w:val="en-US"/>
        </w:rPr>
        <w:t>)</w:t>
      </w:r>
      <w:r w:rsidR="004314C5" w:rsidRPr="009E4F12">
        <w:rPr>
          <w:lang w:val="en-US"/>
        </w:rPr>
        <w:t xml:space="preserve">representations </w:t>
      </w:r>
      <w:r w:rsidR="005F09CF" w:rsidRPr="009E4F12">
        <w:rPr>
          <w:lang w:val="en-US"/>
        </w:rPr>
        <w:t>made in this matter</w:t>
      </w:r>
      <w:r w:rsidR="0053705D">
        <w:rPr>
          <w:lang w:val="en-US"/>
        </w:rPr>
        <w:t xml:space="preserve"> (</w:t>
      </w:r>
      <w:r w:rsidR="0053705D" w:rsidRPr="0053705D">
        <w:rPr>
          <w:i/>
          <w:iCs/>
          <w:lang w:val="en-US"/>
        </w:rPr>
        <w:t>inter alia</w:t>
      </w:r>
      <w:r w:rsidR="0053705D">
        <w:rPr>
          <w:lang w:val="en-US"/>
        </w:rPr>
        <w:t>)</w:t>
      </w:r>
      <w:r w:rsidR="005F09CF" w:rsidRPr="009E4F12">
        <w:rPr>
          <w:lang w:val="en-US"/>
        </w:rPr>
        <w:t xml:space="preserve"> that </w:t>
      </w:r>
      <w:r w:rsidR="00DC36A8" w:rsidRPr="009E4F12">
        <w:rPr>
          <w:lang w:val="en-US"/>
        </w:rPr>
        <w:t xml:space="preserve">gave it the edge over the </w:t>
      </w:r>
      <w:r w:rsidR="00EF045B" w:rsidRPr="009E4F12">
        <w:rPr>
          <w:lang w:val="en-US"/>
        </w:rPr>
        <w:t xml:space="preserve">kind of </w:t>
      </w:r>
      <w:r w:rsidR="00DC36A8" w:rsidRPr="009E4F12">
        <w:rPr>
          <w:lang w:val="en-US"/>
        </w:rPr>
        <w:t xml:space="preserve">situation arising in the </w:t>
      </w:r>
      <w:r w:rsidR="00DC36A8" w:rsidRPr="009E4F12">
        <w:rPr>
          <w:i/>
          <w:iCs/>
          <w:lang w:val="en-US"/>
        </w:rPr>
        <w:t>Steenkamp</w:t>
      </w:r>
      <w:r w:rsidR="00DC36A8" w:rsidRPr="009E4F12">
        <w:rPr>
          <w:lang w:val="en-US"/>
        </w:rPr>
        <w:t xml:space="preserve"> judgment which I refer to</w:t>
      </w:r>
      <w:r w:rsidR="00A17A4A" w:rsidRPr="009E4F12">
        <w:rPr>
          <w:lang w:val="en-US"/>
        </w:rPr>
        <w:t xml:space="preserve"> above, </w:t>
      </w:r>
      <w:r w:rsidR="009F2794" w:rsidRPr="009E4F12">
        <w:rPr>
          <w:lang w:val="en-US"/>
        </w:rPr>
        <w:t xml:space="preserve">where the </w:t>
      </w:r>
      <w:r w:rsidR="0069041A" w:rsidRPr="009E4F12">
        <w:rPr>
          <w:lang w:val="en-US"/>
        </w:rPr>
        <w:t xml:space="preserve">subject of the administrative conduct </w:t>
      </w:r>
      <w:r w:rsidR="0053705D">
        <w:rPr>
          <w:lang w:val="en-US"/>
        </w:rPr>
        <w:t>in question in that matter</w:t>
      </w:r>
      <w:r w:rsidR="0069041A" w:rsidRPr="009E4F12">
        <w:rPr>
          <w:lang w:val="en-US"/>
        </w:rPr>
        <w:t xml:space="preserve"> </w:t>
      </w:r>
      <w:r w:rsidR="0000717A" w:rsidRPr="009E4F12">
        <w:rPr>
          <w:lang w:val="en-US"/>
        </w:rPr>
        <w:t>concerned</w:t>
      </w:r>
      <w:r w:rsidR="009E4F12">
        <w:rPr>
          <w:lang w:val="en-US"/>
        </w:rPr>
        <w:t xml:space="preserve"> </w:t>
      </w:r>
      <w:r w:rsidR="00D3184F">
        <w:rPr>
          <w:lang w:val="en-US"/>
        </w:rPr>
        <w:t>negli</w:t>
      </w:r>
      <w:r w:rsidR="00AD1CF9">
        <w:rPr>
          <w:lang w:val="en-US"/>
        </w:rPr>
        <w:t xml:space="preserve">gent but </w:t>
      </w:r>
      <w:r w:rsidR="00AD1CF9" w:rsidRPr="00692697">
        <w:rPr>
          <w:i/>
          <w:iCs/>
          <w:lang w:val="en-US"/>
        </w:rPr>
        <w:t>bona fide</w:t>
      </w:r>
      <w:r w:rsidR="00A17A4A" w:rsidRPr="009E4F12">
        <w:rPr>
          <w:lang w:val="en-US"/>
        </w:rPr>
        <w:t xml:space="preserve"> </w:t>
      </w:r>
      <w:r w:rsidR="00CB716F" w:rsidRPr="009E4F12">
        <w:rPr>
          <w:lang w:val="en-US"/>
        </w:rPr>
        <w:t>errors</w:t>
      </w:r>
      <w:r w:rsidR="0000717A" w:rsidRPr="009E4F12">
        <w:rPr>
          <w:lang w:val="en-US"/>
        </w:rPr>
        <w:t xml:space="preserve"> </w:t>
      </w:r>
      <w:r w:rsidR="005725B2" w:rsidRPr="009E4F12">
        <w:rPr>
          <w:lang w:val="en-US"/>
        </w:rPr>
        <w:t xml:space="preserve">made in the course of a tender board carrying out its administrative </w:t>
      </w:r>
      <w:r w:rsidR="006D11B9" w:rsidRPr="009E4F12">
        <w:rPr>
          <w:lang w:val="en-US"/>
        </w:rPr>
        <w:t>functions</w:t>
      </w:r>
      <w:r w:rsidR="007F0047" w:rsidRPr="009E4F12">
        <w:rPr>
          <w:lang w:val="en-US"/>
        </w:rPr>
        <w:t>.</w:t>
      </w:r>
      <w:r w:rsidR="00CB716F">
        <w:rPr>
          <w:lang w:val="en-US"/>
        </w:rPr>
        <w:t xml:space="preserve"> </w:t>
      </w:r>
    </w:p>
  </w:footnote>
  <w:footnote w:id="9">
    <w:p w14:paraId="59E9AAE0" w14:textId="0DE06762" w:rsidR="007C7AB0" w:rsidRPr="007C7AB0" w:rsidRDefault="007C7AB0" w:rsidP="007744CC">
      <w:pPr>
        <w:pStyle w:val="FootnoteText"/>
        <w:jc w:val="both"/>
        <w:rPr>
          <w:lang w:val="en-GB"/>
        </w:rPr>
      </w:pPr>
      <w:r>
        <w:rPr>
          <w:rStyle w:val="FootnoteReference"/>
        </w:rPr>
        <w:footnoteRef/>
      </w:r>
      <w:r>
        <w:t xml:space="preserve"> It appears from annexures supplied that the servitude area is on a neighbouring property.</w:t>
      </w:r>
    </w:p>
  </w:footnote>
  <w:footnote w:id="10">
    <w:p w14:paraId="48FDBF4F" w14:textId="3B65F2FD" w:rsidR="007C7AB0" w:rsidRPr="00692697" w:rsidRDefault="007C7AB0" w:rsidP="007744CC">
      <w:pPr>
        <w:pStyle w:val="FootnoteText"/>
        <w:jc w:val="both"/>
        <w:rPr>
          <w:lang w:val="en-GB"/>
        </w:rPr>
      </w:pPr>
      <w:r>
        <w:rPr>
          <w:rStyle w:val="FootnoteReference"/>
        </w:rPr>
        <w:footnoteRef/>
      </w:r>
      <w:r>
        <w:t xml:space="preserve"> </w:t>
      </w:r>
      <w:r>
        <w:rPr>
          <w:lang w:val="en-GB"/>
        </w:rPr>
        <w:t xml:space="preserve">It would have been helpful to plead more specifically how each </w:t>
      </w:r>
      <w:r w:rsidR="0006211E">
        <w:rPr>
          <w:lang w:val="en-GB"/>
        </w:rPr>
        <w:t>fee</w:t>
      </w:r>
      <w:r>
        <w:rPr>
          <w:lang w:val="en-GB"/>
        </w:rPr>
        <w:t xml:space="preserve"> arose to understand </w:t>
      </w:r>
      <w:r w:rsidR="008634CB">
        <w:rPr>
          <w:lang w:val="en-GB"/>
        </w:rPr>
        <w:t>how the harm</w:t>
      </w:r>
      <w:r w:rsidR="00DD7366">
        <w:rPr>
          <w:lang w:val="en-GB"/>
        </w:rPr>
        <w:t xml:space="preserve"> is causally connected to the negligent conduct</w:t>
      </w:r>
      <w:r w:rsidR="00B23877">
        <w:rPr>
          <w:lang w:val="en-GB"/>
        </w:rPr>
        <w:t xml:space="preserve"> </w:t>
      </w:r>
      <w:r w:rsidR="00491807">
        <w:rPr>
          <w:lang w:val="en-GB"/>
        </w:rPr>
        <w:t xml:space="preserve">in </w:t>
      </w:r>
      <w:r w:rsidR="006D080F">
        <w:rPr>
          <w:lang w:val="en-GB"/>
        </w:rPr>
        <w:t xml:space="preserve">each instance </w:t>
      </w:r>
      <w:r w:rsidR="00B23877">
        <w:rPr>
          <w:lang w:val="en-GB"/>
        </w:rPr>
        <w:t>but the gist of it is there</w:t>
      </w:r>
      <w:r w:rsidR="009907BB">
        <w:rPr>
          <w:lang w:val="en-GB"/>
        </w:rPr>
        <w:t>. One o</w:t>
      </w:r>
      <w:r w:rsidR="00400A5C">
        <w:rPr>
          <w:lang w:val="en-GB"/>
        </w:rPr>
        <w:t xml:space="preserve">f the factors that goes to wrongfulness </w:t>
      </w:r>
      <w:r w:rsidR="00832A85">
        <w:rPr>
          <w:lang w:val="en-GB"/>
        </w:rPr>
        <w:t xml:space="preserve">is whether the harm that ensued was </w:t>
      </w:r>
      <w:r w:rsidR="00E76E2F">
        <w:rPr>
          <w:lang w:val="en-GB"/>
        </w:rPr>
        <w:t xml:space="preserve">foreseeable. In </w:t>
      </w:r>
      <w:r w:rsidR="002C441B" w:rsidRPr="00921D71">
        <w:rPr>
          <w:i/>
          <w:iCs/>
        </w:rPr>
        <w:t xml:space="preserve">Steenkamp NO v The Provincial Tender Board of the Eastern Cape </w:t>
      </w:r>
      <w:r w:rsidR="002C441B">
        <w:t>2007 (3) SA  121 (CC)</w:t>
      </w:r>
      <w:r w:rsidR="00E76E2F" w:rsidRPr="00944AF1">
        <w:rPr>
          <w:i/>
          <w:iCs/>
          <w:lang w:val="en-GB"/>
        </w:rPr>
        <w:t xml:space="preserve"> </w:t>
      </w:r>
      <w:r w:rsidR="00E87E19" w:rsidRPr="00944AF1">
        <w:rPr>
          <w:lang w:val="en-GB"/>
        </w:rPr>
        <w:t xml:space="preserve">at </w:t>
      </w:r>
      <w:r w:rsidR="00E73CDE" w:rsidRPr="00944AF1">
        <w:rPr>
          <w:lang w:val="en-GB"/>
        </w:rPr>
        <w:t>par [42]</w:t>
      </w:r>
      <w:r w:rsidR="000451D5">
        <w:rPr>
          <w:lang w:val="en-GB"/>
        </w:rPr>
        <w:t xml:space="preserve"> (“</w:t>
      </w:r>
      <w:r w:rsidR="000451D5" w:rsidRPr="00921D71">
        <w:rPr>
          <w:i/>
          <w:iCs/>
        </w:rPr>
        <w:t>Steenkamp</w:t>
      </w:r>
      <w:r w:rsidR="000451D5">
        <w:rPr>
          <w:i/>
          <w:iCs/>
        </w:rPr>
        <w:t xml:space="preserve"> CC”)</w:t>
      </w:r>
      <w:r w:rsidR="00E73CDE">
        <w:rPr>
          <w:i/>
          <w:iCs/>
          <w:lang w:val="en-GB"/>
        </w:rPr>
        <w:t xml:space="preserve"> </w:t>
      </w:r>
      <w:r w:rsidR="009F773B" w:rsidRPr="00E87E19">
        <w:rPr>
          <w:lang w:val="en-GB"/>
        </w:rPr>
        <w:t xml:space="preserve">we are reminded that in the determination of </w:t>
      </w:r>
      <w:r w:rsidR="00E73CDE" w:rsidRPr="00E87E19">
        <w:rPr>
          <w:lang w:val="en-GB"/>
        </w:rPr>
        <w:t>wrongfulness</w:t>
      </w:r>
      <w:r w:rsidR="00E87E19" w:rsidRPr="00E87E19">
        <w:rPr>
          <w:lang w:val="en-GB"/>
        </w:rPr>
        <w:t xml:space="preserve"> foreseeability of harm, although ordinarily a standard for negligence, is not </w:t>
      </w:r>
      <w:r w:rsidR="00E73CDE" w:rsidRPr="00E87E19">
        <w:rPr>
          <w:lang w:val="en-GB"/>
        </w:rPr>
        <w:t>irrelevant</w:t>
      </w:r>
      <w:r w:rsidR="00E87E19" w:rsidRPr="00E87E19">
        <w:rPr>
          <w:lang w:val="en-GB"/>
        </w:rPr>
        <w:t>.</w:t>
      </w:r>
      <w:r w:rsidR="006472D7">
        <w:rPr>
          <w:lang w:val="en-GB"/>
        </w:rPr>
        <w:t xml:space="preserve"> The circumstances of this matter are quite novel</w:t>
      </w:r>
      <w:r w:rsidR="006729D1">
        <w:rPr>
          <w:lang w:val="en-GB"/>
        </w:rPr>
        <w:t xml:space="preserve">. </w:t>
      </w:r>
      <w:r w:rsidR="00E33594">
        <w:rPr>
          <w:lang w:val="en-GB"/>
        </w:rPr>
        <w:t xml:space="preserve">From a property </w:t>
      </w:r>
      <w:r w:rsidR="00280BCC">
        <w:rPr>
          <w:lang w:val="en-GB"/>
        </w:rPr>
        <w:t xml:space="preserve">law </w:t>
      </w:r>
      <w:r w:rsidR="00E33594">
        <w:rPr>
          <w:lang w:val="en-GB"/>
        </w:rPr>
        <w:t>point of vie</w:t>
      </w:r>
      <w:r w:rsidR="006B49C4">
        <w:rPr>
          <w:lang w:val="en-GB"/>
        </w:rPr>
        <w:t>w the pipe servitude</w:t>
      </w:r>
      <w:r w:rsidR="00EA16FD">
        <w:rPr>
          <w:lang w:val="en-GB"/>
        </w:rPr>
        <w:t xml:space="preserve"> on the trust’s property</w:t>
      </w:r>
      <w:r w:rsidR="006B49C4">
        <w:rPr>
          <w:lang w:val="en-GB"/>
        </w:rPr>
        <w:t xml:space="preserve"> (albeit not registered) could not be wished away</w:t>
      </w:r>
      <w:r w:rsidR="007847D9">
        <w:rPr>
          <w:lang w:val="en-GB"/>
        </w:rPr>
        <w:t xml:space="preserve"> and had to be engaged with by the trust </w:t>
      </w:r>
      <w:r w:rsidR="00C954C8">
        <w:rPr>
          <w:lang w:val="en-GB"/>
        </w:rPr>
        <w:t xml:space="preserve">who it seems </w:t>
      </w:r>
      <w:r w:rsidR="004C5ED0">
        <w:rPr>
          <w:lang w:val="en-GB"/>
        </w:rPr>
        <w:t xml:space="preserve">as a means of </w:t>
      </w:r>
      <w:r w:rsidR="00670526">
        <w:rPr>
          <w:lang w:val="en-GB"/>
        </w:rPr>
        <w:t xml:space="preserve">solving the problem </w:t>
      </w:r>
      <w:r w:rsidR="00C954C8">
        <w:rPr>
          <w:lang w:val="en-GB"/>
        </w:rPr>
        <w:t xml:space="preserve">offered to bear the costs of </w:t>
      </w:r>
      <w:r w:rsidR="000A671D">
        <w:rPr>
          <w:lang w:val="en-GB"/>
        </w:rPr>
        <w:t>a diversion</w:t>
      </w:r>
      <w:r w:rsidR="00AD7D5F">
        <w:rPr>
          <w:lang w:val="en-GB"/>
        </w:rPr>
        <w:t xml:space="preserve"> su</w:t>
      </w:r>
      <w:r w:rsidR="004E0506">
        <w:rPr>
          <w:lang w:val="en-GB"/>
        </w:rPr>
        <w:t xml:space="preserve">bject to the reservation of its right to reclaim such costs </w:t>
      </w:r>
      <w:r w:rsidR="00EA16FD">
        <w:rPr>
          <w:lang w:val="en-GB"/>
        </w:rPr>
        <w:t>down the line</w:t>
      </w:r>
      <w:r w:rsidR="00DF0803">
        <w:rPr>
          <w:lang w:val="en-GB"/>
        </w:rPr>
        <w:t xml:space="preserve">. </w:t>
      </w:r>
      <w:r w:rsidR="001C020B">
        <w:rPr>
          <w:lang w:val="en-GB"/>
        </w:rPr>
        <w:t xml:space="preserve">An application to compel ensued, </w:t>
      </w:r>
      <w:r w:rsidR="008428BD">
        <w:rPr>
          <w:lang w:val="en-GB"/>
        </w:rPr>
        <w:t>there was a</w:t>
      </w:r>
      <w:r w:rsidR="00601C3D">
        <w:rPr>
          <w:lang w:val="en-GB"/>
        </w:rPr>
        <w:t xml:space="preserve"> </w:t>
      </w:r>
      <w:r w:rsidR="009A3F96">
        <w:rPr>
          <w:lang w:val="en-GB"/>
        </w:rPr>
        <w:t>counteroffer</w:t>
      </w:r>
      <w:r w:rsidR="00601C3D">
        <w:rPr>
          <w:lang w:val="en-GB"/>
        </w:rPr>
        <w:t xml:space="preserve">, </w:t>
      </w:r>
      <w:r w:rsidR="001C0668">
        <w:rPr>
          <w:lang w:val="en-GB"/>
        </w:rPr>
        <w:t>a plan and a revised plan</w:t>
      </w:r>
      <w:r w:rsidR="00D10219">
        <w:rPr>
          <w:lang w:val="en-GB"/>
        </w:rPr>
        <w:t xml:space="preserve"> etc</w:t>
      </w:r>
      <w:r w:rsidR="009A3F96">
        <w:rPr>
          <w:lang w:val="en-GB"/>
        </w:rPr>
        <w:t xml:space="preserve">.  The point sought to be made is that </w:t>
      </w:r>
      <w:r w:rsidR="00280BCC">
        <w:rPr>
          <w:lang w:val="en-GB"/>
        </w:rPr>
        <w:t xml:space="preserve">it becomes hard to see what </w:t>
      </w:r>
      <w:r w:rsidR="00FF6774">
        <w:rPr>
          <w:lang w:val="en-GB"/>
        </w:rPr>
        <w:t xml:space="preserve">in the fees that were invoiced are directly related to </w:t>
      </w:r>
      <w:r w:rsidR="00F85D57">
        <w:rPr>
          <w:lang w:val="en-GB"/>
        </w:rPr>
        <w:t xml:space="preserve">the claimed </w:t>
      </w:r>
      <w:r w:rsidR="00F57547">
        <w:rPr>
          <w:lang w:val="en-GB"/>
        </w:rPr>
        <w:t>negligence of</w:t>
      </w:r>
      <w:r w:rsidR="00B137D4">
        <w:rPr>
          <w:lang w:val="en-GB"/>
        </w:rPr>
        <w:t xml:space="preserve"> the </w:t>
      </w:r>
      <w:r w:rsidR="00217DC8">
        <w:rPr>
          <w:lang w:val="en-GB"/>
        </w:rPr>
        <w:t>m</w:t>
      </w:r>
      <w:r w:rsidR="00B137D4">
        <w:rPr>
          <w:lang w:val="en-GB"/>
        </w:rPr>
        <w:t>unicipality</w:t>
      </w:r>
      <w:r w:rsidR="00F85D57">
        <w:rPr>
          <w:lang w:val="en-GB"/>
        </w:rPr>
        <w:t xml:space="preserve"> to have ascertained </w:t>
      </w:r>
      <w:r w:rsidR="00B137D4">
        <w:rPr>
          <w:lang w:val="en-GB"/>
        </w:rPr>
        <w:t>and advised the trust</w:t>
      </w:r>
      <w:r w:rsidR="002123ED">
        <w:rPr>
          <w:lang w:val="en-GB"/>
        </w:rPr>
        <w:t xml:space="preserve"> of the </w:t>
      </w:r>
      <w:r w:rsidR="002123ED" w:rsidRPr="00692697">
        <w:rPr>
          <w:lang w:val="en-GB"/>
        </w:rPr>
        <w:t xml:space="preserve">presence and existence of the pipe </w:t>
      </w:r>
      <w:r w:rsidR="00A35DBE" w:rsidRPr="00692697">
        <w:rPr>
          <w:lang w:val="en-GB"/>
        </w:rPr>
        <w:t>and high</w:t>
      </w:r>
      <w:r w:rsidR="002123ED" w:rsidRPr="00692697">
        <w:rPr>
          <w:lang w:val="en-GB"/>
        </w:rPr>
        <w:t xml:space="preserve"> voltage cables</w:t>
      </w:r>
      <w:r w:rsidR="00D11306" w:rsidRPr="00692697">
        <w:rPr>
          <w:lang w:val="en-GB"/>
        </w:rPr>
        <w:t>, or to the misstatement</w:t>
      </w:r>
      <w:r w:rsidR="009C18A7" w:rsidRPr="00692697">
        <w:rPr>
          <w:lang w:val="en-GB"/>
        </w:rPr>
        <w:t>(s)</w:t>
      </w:r>
      <w:r w:rsidR="00D17E40" w:rsidRPr="00692697">
        <w:rPr>
          <w:lang w:val="en-GB"/>
        </w:rPr>
        <w:t xml:space="preserve"> relied upon</w:t>
      </w:r>
      <w:r w:rsidR="00EA16FD" w:rsidRPr="00692697">
        <w:rPr>
          <w:lang w:val="en-GB"/>
        </w:rPr>
        <w:t xml:space="preserve"> concerning their presence and existence respectively</w:t>
      </w:r>
      <w:r w:rsidR="00D17E40" w:rsidRPr="00692697">
        <w:rPr>
          <w:lang w:val="en-GB"/>
        </w:rPr>
        <w:t>.</w:t>
      </w:r>
    </w:p>
  </w:footnote>
  <w:footnote w:id="11">
    <w:p w14:paraId="4C2A9508" w14:textId="0FB62E8E" w:rsidR="000E62E7" w:rsidRPr="00692697" w:rsidRDefault="000E62E7" w:rsidP="007744CC">
      <w:pPr>
        <w:pStyle w:val="FootnoteText"/>
        <w:jc w:val="both"/>
        <w:rPr>
          <w:lang w:val="en-GB"/>
        </w:rPr>
      </w:pPr>
      <w:r w:rsidRPr="00692697">
        <w:rPr>
          <w:rStyle w:val="FootnoteReference"/>
        </w:rPr>
        <w:footnoteRef/>
      </w:r>
      <w:r w:rsidRPr="00692697">
        <w:t xml:space="preserve"> </w:t>
      </w:r>
      <w:r w:rsidRPr="00692697">
        <w:rPr>
          <w:lang w:val="en-GB"/>
        </w:rPr>
        <w:t xml:space="preserve">The </w:t>
      </w:r>
      <w:r w:rsidRPr="00692697">
        <w:rPr>
          <w:i/>
          <w:iCs/>
          <w:lang w:val="en-GB"/>
        </w:rPr>
        <w:t xml:space="preserve">actio legis Aquiliae </w:t>
      </w:r>
      <w:r w:rsidRPr="00692697">
        <w:rPr>
          <w:lang w:val="en-GB"/>
        </w:rPr>
        <w:t>enables a plaintiff to recover patrimonial loss, including pure economic loss, suffered through a wrongful and negligent act of the defendant.</w:t>
      </w:r>
      <w:r w:rsidR="007D6B50" w:rsidRPr="00692697">
        <w:rPr>
          <w:lang w:val="en-GB"/>
        </w:rPr>
        <w:t xml:space="preserve"> Liability depends on the wrongfulness of the act or omission of the defendant.</w:t>
      </w:r>
    </w:p>
  </w:footnote>
  <w:footnote w:id="12">
    <w:p w14:paraId="300DE3B0" w14:textId="5E29DBAE" w:rsidR="002C7A43" w:rsidRPr="00692697" w:rsidRDefault="002C7A43" w:rsidP="007744CC">
      <w:pPr>
        <w:spacing w:line="240" w:lineRule="auto"/>
        <w:jc w:val="both"/>
        <w:rPr>
          <w:rFonts w:cstheme="minorHAnsi"/>
          <w:sz w:val="20"/>
          <w:szCs w:val="20"/>
        </w:rPr>
      </w:pPr>
      <w:r w:rsidRPr="00692697">
        <w:rPr>
          <w:rStyle w:val="FootnoteReference"/>
          <w:sz w:val="20"/>
          <w:szCs w:val="20"/>
        </w:rPr>
        <w:footnoteRef/>
      </w:r>
      <w:r w:rsidRPr="00692697">
        <w:rPr>
          <w:sz w:val="20"/>
          <w:szCs w:val="20"/>
        </w:rPr>
        <w:t xml:space="preserve"> </w:t>
      </w:r>
      <w:r w:rsidR="007D6B50" w:rsidRPr="00692697">
        <w:rPr>
          <w:rFonts w:cstheme="minorHAnsi"/>
          <w:i/>
          <w:iCs/>
          <w:sz w:val="20"/>
          <w:szCs w:val="20"/>
          <w:lang w:val="en-US"/>
        </w:rPr>
        <w:t xml:space="preserve">Telematrix (Pty) Ltd T/A Matrix Vehicle Tracking v Advertising Standards Authority SA </w:t>
      </w:r>
      <w:r w:rsidRPr="00692697">
        <w:rPr>
          <w:rFonts w:cstheme="minorHAnsi"/>
          <w:sz w:val="20"/>
          <w:szCs w:val="20"/>
        </w:rPr>
        <w:t>2006 (1) SA 461 SCA at</w:t>
      </w:r>
      <w:r w:rsidR="007D6B50" w:rsidRPr="00692697">
        <w:rPr>
          <w:rFonts w:cstheme="minorHAnsi"/>
          <w:sz w:val="20"/>
          <w:szCs w:val="20"/>
        </w:rPr>
        <w:t xml:space="preserve"> </w:t>
      </w:r>
      <w:r w:rsidRPr="00692697">
        <w:rPr>
          <w:rFonts w:cstheme="minorHAnsi"/>
          <w:sz w:val="20"/>
          <w:szCs w:val="20"/>
        </w:rPr>
        <w:t>[12]</w:t>
      </w:r>
      <w:r w:rsidR="007D624B" w:rsidRPr="00692697">
        <w:rPr>
          <w:rFonts w:cstheme="minorHAnsi"/>
          <w:sz w:val="20"/>
          <w:szCs w:val="20"/>
        </w:rPr>
        <w:t xml:space="preserve">: </w:t>
      </w:r>
      <w:r w:rsidR="00EA16FD" w:rsidRPr="00692697">
        <w:rPr>
          <w:rFonts w:cstheme="minorHAnsi"/>
          <w:i/>
          <w:iCs/>
          <w:sz w:val="20"/>
          <w:szCs w:val="20"/>
          <w:lang w:val="en-US"/>
        </w:rPr>
        <w:t>Steenkamp NO v Provincial Tender Board, Eastern Cape</w:t>
      </w:r>
      <w:r w:rsidR="00EA16FD" w:rsidRPr="00692697">
        <w:rPr>
          <w:rStyle w:val="FootnoteReference"/>
          <w:rFonts w:cstheme="minorHAnsi"/>
          <w:sz w:val="20"/>
          <w:szCs w:val="20"/>
          <w:lang w:val="en-US"/>
        </w:rPr>
        <w:footnoteRef/>
      </w:r>
      <w:r w:rsidR="00EA16FD" w:rsidRPr="00692697">
        <w:rPr>
          <w:rFonts w:cstheme="minorHAnsi"/>
          <w:i/>
          <w:iCs/>
          <w:sz w:val="20"/>
          <w:szCs w:val="20"/>
          <w:lang w:val="en-US"/>
        </w:rPr>
        <w:t xml:space="preserve"> (“Steenkamp SCA”)</w:t>
      </w:r>
      <w:r w:rsidR="00EA16FD" w:rsidRPr="00692697">
        <w:rPr>
          <w:rFonts w:cstheme="minorHAnsi"/>
          <w:sz w:val="20"/>
          <w:szCs w:val="20"/>
        </w:rPr>
        <w:t xml:space="preserve"> </w:t>
      </w:r>
      <w:r w:rsidR="007D624B" w:rsidRPr="00692697">
        <w:rPr>
          <w:rFonts w:cstheme="minorHAnsi"/>
          <w:sz w:val="20"/>
          <w:szCs w:val="20"/>
        </w:rPr>
        <w:t xml:space="preserve">at [1]; </w:t>
      </w:r>
      <w:r w:rsidR="007D624B" w:rsidRPr="007744CC">
        <w:rPr>
          <w:rFonts w:cstheme="minorHAnsi"/>
          <w:i/>
          <w:iCs/>
          <w:sz w:val="20"/>
          <w:szCs w:val="20"/>
        </w:rPr>
        <w:t>Min of Fin v Gore NO</w:t>
      </w:r>
      <w:r w:rsidR="007D624B" w:rsidRPr="00692697">
        <w:rPr>
          <w:rFonts w:cstheme="minorHAnsi"/>
          <w:sz w:val="20"/>
          <w:szCs w:val="20"/>
        </w:rPr>
        <w:t xml:space="preserve"> </w:t>
      </w:r>
      <w:r w:rsidR="00692697" w:rsidRPr="00692697">
        <w:rPr>
          <w:rFonts w:cstheme="minorHAnsi"/>
          <w:sz w:val="20"/>
          <w:szCs w:val="20"/>
        </w:rPr>
        <w:t xml:space="preserve">2007 (1) SA 111 (SCA) </w:t>
      </w:r>
      <w:r w:rsidR="007D624B" w:rsidRPr="00692697">
        <w:rPr>
          <w:rFonts w:cstheme="minorHAnsi"/>
          <w:sz w:val="20"/>
          <w:szCs w:val="20"/>
        </w:rPr>
        <w:t xml:space="preserve">at [82]; </w:t>
      </w:r>
      <w:r w:rsidR="007D624B" w:rsidRPr="00692697">
        <w:rPr>
          <w:rFonts w:cstheme="minorHAnsi"/>
          <w:i/>
          <w:iCs/>
          <w:sz w:val="20"/>
          <w:szCs w:val="20"/>
        </w:rPr>
        <w:t>St</w:t>
      </w:r>
      <w:r w:rsidR="00532134" w:rsidRPr="00692697">
        <w:rPr>
          <w:rFonts w:cstheme="minorHAnsi"/>
          <w:i/>
          <w:iCs/>
          <w:sz w:val="20"/>
          <w:szCs w:val="20"/>
        </w:rPr>
        <w:t>e</w:t>
      </w:r>
      <w:r w:rsidR="007D624B" w:rsidRPr="00692697">
        <w:rPr>
          <w:rFonts w:cstheme="minorHAnsi"/>
          <w:i/>
          <w:iCs/>
          <w:sz w:val="20"/>
          <w:szCs w:val="20"/>
        </w:rPr>
        <w:t>enkamp CC</w:t>
      </w:r>
      <w:r w:rsidR="007D624B" w:rsidRPr="00692697">
        <w:rPr>
          <w:rFonts w:cstheme="minorHAnsi"/>
          <w:sz w:val="20"/>
          <w:szCs w:val="20"/>
        </w:rPr>
        <w:t xml:space="preserve"> at [69]</w:t>
      </w:r>
      <w:r w:rsidR="00EA16FD" w:rsidRPr="00692697">
        <w:rPr>
          <w:rFonts w:cstheme="minorHAnsi"/>
          <w:sz w:val="20"/>
          <w:szCs w:val="20"/>
        </w:rPr>
        <w:t>.</w:t>
      </w:r>
    </w:p>
  </w:footnote>
  <w:footnote w:id="13">
    <w:p w14:paraId="0A8DB921" w14:textId="5CDD4CD8" w:rsidR="00A11B2D" w:rsidRPr="00692697" w:rsidRDefault="00A11B2D" w:rsidP="007744CC">
      <w:pPr>
        <w:pStyle w:val="FootnoteText"/>
        <w:jc w:val="both"/>
        <w:rPr>
          <w:lang w:val="en-GB"/>
        </w:rPr>
      </w:pPr>
      <w:r w:rsidRPr="00692697">
        <w:rPr>
          <w:rStyle w:val="FootnoteReference"/>
        </w:rPr>
        <w:footnoteRef/>
      </w:r>
      <w:r w:rsidRPr="00692697">
        <w:t xml:space="preserve"> </w:t>
      </w:r>
      <w:r w:rsidRPr="00692697">
        <w:rPr>
          <w:lang w:val="en-GB"/>
        </w:rPr>
        <w:t xml:space="preserve">Pure economic loss in this context connotes loss that does not arise directly from damage to the plaintiff’s person or property but rather in consequence of the negligent act itself, such as a loss of property, being put to extra expenses, or the diminution in the value of the property. See </w:t>
      </w:r>
      <w:r w:rsidRPr="00692697">
        <w:rPr>
          <w:i/>
          <w:iCs/>
          <w:lang w:val="en-GB"/>
        </w:rPr>
        <w:t>Telematrix</w:t>
      </w:r>
      <w:r w:rsidRPr="00692697">
        <w:rPr>
          <w:lang w:val="en-GB"/>
        </w:rPr>
        <w:t xml:space="preserve"> at [1].</w:t>
      </w:r>
    </w:p>
  </w:footnote>
  <w:footnote w:id="14">
    <w:p w14:paraId="1C9F2EB1" w14:textId="0F76239B" w:rsidR="006641D6" w:rsidRPr="00692697" w:rsidRDefault="006641D6" w:rsidP="007744CC">
      <w:pPr>
        <w:pStyle w:val="FootnoteText"/>
        <w:jc w:val="both"/>
        <w:rPr>
          <w:lang w:val="en-US"/>
        </w:rPr>
      </w:pPr>
      <w:r w:rsidRPr="00692697">
        <w:rPr>
          <w:rStyle w:val="FootnoteReference"/>
        </w:rPr>
        <w:footnoteRef/>
      </w:r>
      <w:r w:rsidRPr="00692697">
        <w:t xml:space="preserve"> </w:t>
      </w:r>
      <w:r w:rsidRPr="00692697">
        <w:rPr>
          <w:i/>
          <w:iCs/>
          <w:lang w:val="en-US"/>
        </w:rPr>
        <w:t xml:space="preserve">Home Talk Development (Pty) </w:t>
      </w:r>
      <w:r w:rsidR="00F76269" w:rsidRPr="00692697">
        <w:rPr>
          <w:i/>
          <w:iCs/>
          <w:lang w:val="en-US"/>
        </w:rPr>
        <w:t xml:space="preserve">Ltd &amp; Others v Ekurhuleni Metropolitan </w:t>
      </w:r>
      <w:r w:rsidR="00671AE7" w:rsidRPr="00692697">
        <w:rPr>
          <w:i/>
          <w:iCs/>
          <w:lang w:val="en-US"/>
        </w:rPr>
        <w:t>Municip</w:t>
      </w:r>
      <w:r w:rsidR="00921D71" w:rsidRPr="00692697">
        <w:rPr>
          <w:i/>
          <w:iCs/>
          <w:lang w:val="en-US"/>
        </w:rPr>
        <w:t>al</w:t>
      </w:r>
      <w:r w:rsidR="005252F0" w:rsidRPr="00692697">
        <w:rPr>
          <w:i/>
          <w:iCs/>
          <w:lang w:val="en-US"/>
        </w:rPr>
        <w:t>ity</w:t>
      </w:r>
      <w:r w:rsidR="00671AE7" w:rsidRPr="00692697">
        <w:rPr>
          <w:i/>
          <w:iCs/>
          <w:lang w:val="en-US"/>
        </w:rPr>
        <w:t xml:space="preserve"> </w:t>
      </w:r>
      <w:r w:rsidR="00671AE7" w:rsidRPr="00692697">
        <w:rPr>
          <w:lang w:val="en-US"/>
        </w:rPr>
        <w:t xml:space="preserve">[2017] 3 All SA </w:t>
      </w:r>
      <w:r w:rsidR="003712F4" w:rsidRPr="00692697">
        <w:rPr>
          <w:lang w:val="en-US"/>
        </w:rPr>
        <w:t>382 (SCA) at [1].</w:t>
      </w:r>
    </w:p>
  </w:footnote>
  <w:footnote w:id="15">
    <w:p w14:paraId="50EB97B9" w14:textId="3F07D658" w:rsidR="00E20216" w:rsidRPr="00E20216" w:rsidRDefault="00E20216" w:rsidP="007744CC">
      <w:pPr>
        <w:pStyle w:val="FootnoteText"/>
        <w:jc w:val="both"/>
        <w:rPr>
          <w:lang w:val="en-GB"/>
        </w:rPr>
      </w:pPr>
      <w:r>
        <w:rPr>
          <w:rStyle w:val="FootnoteReference"/>
        </w:rPr>
        <w:footnoteRef/>
      </w:r>
      <w:r>
        <w:t xml:space="preserve"> See the requirements postulated in </w:t>
      </w:r>
      <w:r w:rsidRPr="00E20216">
        <w:rPr>
          <w:i/>
          <w:iCs/>
          <w:lang w:val="en-GB"/>
        </w:rPr>
        <w:t>Amler’s Precedents of Pleadings</w:t>
      </w:r>
      <w:r>
        <w:rPr>
          <w:lang w:val="en-GB"/>
        </w:rPr>
        <w:t xml:space="preserve"> for claims under the mantle of </w:t>
      </w:r>
      <w:r w:rsidRPr="00E20216">
        <w:rPr>
          <w:i/>
          <w:iCs/>
          <w:lang w:val="en-GB"/>
        </w:rPr>
        <w:t>Lex Aquilia</w:t>
      </w:r>
      <w:r>
        <w:rPr>
          <w:lang w:val="en-GB"/>
        </w:rPr>
        <w:t xml:space="preserve"> and the cases cited therein.</w:t>
      </w:r>
    </w:p>
  </w:footnote>
  <w:footnote w:id="16">
    <w:p w14:paraId="0927B878" w14:textId="622204C5" w:rsidR="00C01691" w:rsidRPr="00C01691" w:rsidRDefault="00C01691" w:rsidP="007744CC">
      <w:pPr>
        <w:pStyle w:val="FootnoteText"/>
        <w:jc w:val="both"/>
        <w:rPr>
          <w:lang w:val="en-GB"/>
        </w:rPr>
      </w:pPr>
      <w:r>
        <w:rPr>
          <w:rStyle w:val="FootnoteReference"/>
        </w:rPr>
        <w:footnoteRef/>
      </w:r>
      <w:r>
        <w:t xml:space="preserve"> Amler’s</w:t>
      </w:r>
      <w:r w:rsidR="000D46A9">
        <w:t>, and the cases cited therein.</w:t>
      </w:r>
    </w:p>
  </w:footnote>
  <w:footnote w:id="17">
    <w:p w14:paraId="1F330E2A" w14:textId="4E1DF01A" w:rsidR="00341022" w:rsidRPr="007744CC" w:rsidRDefault="00341022" w:rsidP="007744CC">
      <w:pPr>
        <w:pStyle w:val="FootnoteText"/>
        <w:jc w:val="both"/>
        <w:rPr>
          <w:lang w:val="en-US"/>
        </w:rPr>
      </w:pPr>
      <w:r>
        <w:rPr>
          <w:rStyle w:val="FootnoteReference"/>
        </w:rPr>
        <w:footnoteRef/>
      </w:r>
      <w:r w:rsidRPr="007744CC">
        <w:rPr>
          <w:lang w:val="en-US"/>
        </w:rPr>
        <w:t xml:space="preserve"> </w:t>
      </w:r>
      <w:r w:rsidRPr="007744CC">
        <w:rPr>
          <w:i/>
          <w:iCs/>
          <w:lang w:val="en-US"/>
        </w:rPr>
        <w:t>Telematrix</w:t>
      </w:r>
      <w:r w:rsidR="00921D71" w:rsidRPr="007744CC">
        <w:rPr>
          <w:i/>
          <w:iCs/>
          <w:lang w:val="en-US"/>
        </w:rPr>
        <w:t xml:space="preserve"> </w:t>
      </w:r>
      <w:r w:rsidRPr="007744CC">
        <w:rPr>
          <w:lang w:val="en-US"/>
        </w:rPr>
        <w:t>at [13</w:t>
      </w:r>
      <w:r w:rsidR="00A71A61" w:rsidRPr="007744CC">
        <w:rPr>
          <w:lang w:val="en-US"/>
        </w:rPr>
        <w:t>].</w:t>
      </w:r>
      <w:r w:rsidR="006C1732" w:rsidRPr="007744CC">
        <w:rPr>
          <w:lang w:val="en-US"/>
        </w:rPr>
        <w:t xml:space="preserve"> </w:t>
      </w:r>
      <w:r w:rsidR="006C1732" w:rsidRPr="007744CC">
        <w:rPr>
          <w:i/>
          <w:iCs/>
          <w:lang w:val="en-US"/>
        </w:rPr>
        <w:t>Steenkamp</w:t>
      </w:r>
      <w:r w:rsidR="00181F11" w:rsidRPr="007744CC">
        <w:rPr>
          <w:i/>
          <w:iCs/>
          <w:lang w:val="en-US"/>
        </w:rPr>
        <w:t xml:space="preserve"> CC</w:t>
      </w:r>
      <w:r w:rsidR="006C1732" w:rsidRPr="007744CC">
        <w:rPr>
          <w:lang w:val="en-US"/>
        </w:rPr>
        <w:t xml:space="preserve"> at [39]</w:t>
      </w:r>
      <w:r w:rsidR="00EA16FD" w:rsidRPr="007744CC">
        <w:rPr>
          <w:lang w:val="en-US"/>
        </w:rPr>
        <w:t>.</w:t>
      </w:r>
    </w:p>
  </w:footnote>
  <w:footnote w:id="18">
    <w:p w14:paraId="06DDD2C3" w14:textId="6D90FCEB" w:rsidR="005455E8" w:rsidRPr="007744CC" w:rsidRDefault="005455E8" w:rsidP="007744CC">
      <w:pPr>
        <w:pStyle w:val="FootnoteText"/>
        <w:jc w:val="both"/>
        <w:rPr>
          <w:lang w:val="en-US"/>
        </w:rPr>
      </w:pPr>
      <w:r>
        <w:rPr>
          <w:rStyle w:val="FootnoteReference"/>
        </w:rPr>
        <w:footnoteRef/>
      </w:r>
      <w:r w:rsidRPr="007744CC">
        <w:rPr>
          <w:lang w:val="en-US"/>
        </w:rPr>
        <w:t xml:space="preserve"> </w:t>
      </w:r>
      <w:r w:rsidR="001460D0" w:rsidRPr="007744CC">
        <w:rPr>
          <w:i/>
          <w:iCs/>
          <w:lang w:val="en-US"/>
        </w:rPr>
        <w:t xml:space="preserve">Telematrix </w:t>
      </w:r>
      <w:r w:rsidR="001460D0" w:rsidRPr="007744CC">
        <w:rPr>
          <w:lang w:val="en-US"/>
        </w:rPr>
        <w:t>at [13].</w:t>
      </w:r>
    </w:p>
  </w:footnote>
  <w:footnote w:id="19">
    <w:p w14:paraId="0DB03FC6" w14:textId="2B614C2F" w:rsidR="001F536C" w:rsidRPr="00181F11" w:rsidRDefault="001F536C" w:rsidP="007744CC">
      <w:pPr>
        <w:pStyle w:val="footnotes"/>
        <w:shd w:val="clear" w:color="auto" w:fill="FFFFFF"/>
        <w:spacing w:before="0" w:beforeAutospacing="0" w:after="0" w:afterAutospacing="0"/>
        <w:jc w:val="both"/>
        <w:rPr>
          <w:rFonts w:asciiTheme="minorHAnsi" w:hAnsiTheme="minorHAnsi" w:cstheme="minorHAnsi"/>
          <w:color w:val="000000"/>
          <w:sz w:val="20"/>
          <w:szCs w:val="20"/>
        </w:rPr>
      </w:pPr>
      <w:r>
        <w:rPr>
          <w:rStyle w:val="FootnoteReference"/>
        </w:rPr>
        <w:footnoteRef/>
      </w:r>
      <w:r>
        <w:t xml:space="preserve"> </w:t>
      </w:r>
      <w:r w:rsidR="00E415C4" w:rsidRPr="00181F11">
        <w:rPr>
          <w:rFonts w:asciiTheme="minorHAnsi" w:hAnsiTheme="minorHAnsi" w:cstheme="minorHAnsi"/>
          <w:i/>
          <w:iCs/>
          <w:color w:val="000000"/>
          <w:sz w:val="20"/>
          <w:szCs w:val="20"/>
        </w:rPr>
        <w:t>Minister van Polisie v Ewels </w:t>
      </w:r>
      <w:r w:rsidR="00E415C4" w:rsidRPr="00181F11">
        <w:rPr>
          <w:rFonts w:asciiTheme="minorHAnsi" w:hAnsiTheme="minorHAnsi" w:cstheme="minorHAnsi"/>
          <w:color w:val="000000"/>
          <w:sz w:val="20"/>
          <w:szCs w:val="20"/>
        </w:rPr>
        <w:t xml:space="preserve">1975 (3) SA 590 (A) at 597A–B; </w:t>
      </w:r>
      <w:bookmarkStart w:id="2" w:name="_Hlk144961249"/>
      <w:r w:rsidR="00E77348" w:rsidRPr="00181F11">
        <w:rPr>
          <w:rFonts w:asciiTheme="minorHAnsi" w:hAnsiTheme="minorHAnsi" w:cstheme="minorHAnsi"/>
          <w:i/>
          <w:iCs/>
          <w:color w:val="000000"/>
          <w:sz w:val="20"/>
          <w:szCs w:val="20"/>
        </w:rPr>
        <w:t>Ol</w:t>
      </w:r>
      <w:r w:rsidR="0036259F" w:rsidRPr="00181F11">
        <w:rPr>
          <w:rFonts w:asciiTheme="minorHAnsi" w:hAnsiTheme="minorHAnsi" w:cstheme="minorHAnsi"/>
          <w:i/>
          <w:iCs/>
          <w:color w:val="000000"/>
          <w:sz w:val="20"/>
          <w:szCs w:val="20"/>
        </w:rPr>
        <w:t>it</w:t>
      </w:r>
      <w:r w:rsidR="006207BA" w:rsidRPr="00181F11">
        <w:rPr>
          <w:rFonts w:asciiTheme="minorHAnsi" w:hAnsiTheme="minorHAnsi" w:cstheme="minorHAnsi"/>
          <w:i/>
          <w:iCs/>
          <w:color w:val="000000"/>
          <w:sz w:val="20"/>
          <w:szCs w:val="20"/>
        </w:rPr>
        <w:t>z</w:t>
      </w:r>
      <w:r w:rsidR="00A004EE" w:rsidRPr="00181F11">
        <w:rPr>
          <w:rFonts w:asciiTheme="minorHAnsi" w:hAnsiTheme="minorHAnsi" w:cstheme="minorHAnsi"/>
          <w:i/>
          <w:iCs/>
          <w:color w:val="000000"/>
          <w:sz w:val="20"/>
          <w:szCs w:val="20"/>
        </w:rPr>
        <w:t>ki</w:t>
      </w:r>
      <w:r w:rsidR="00A004EE" w:rsidRPr="00181F11">
        <w:rPr>
          <w:rFonts w:asciiTheme="minorHAnsi" w:hAnsiTheme="minorHAnsi" w:cstheme="minorHAnsi"/>
          <w:color w:val="000000"/>
          <w:sz w:val="20"/>
          <w:szCs w:val="20"/>
        </w:rPr>
        <w:t xml:space="preserve"> </w:t>
      </w:r>
      <w:r w:rsidR="00E415C4" w:rsidRPr="00181F11">
        <w:rPr>
          <w:rFonts w:asciiTheme="minorHAnsi" w:hAnsiTheme="minorHAnsi" w:cstheme="minorHAnsi"/>
          <w:i/>
          <w:iCs/>
          <w:color w:val="000000"/>
          <w:sz w:val="20"/>
          <w:szCs w:val="20"/>
        </w:rPr>
        <w:t>Property Holdings v State Tender Board &amp; another </w:t>
      </w:r>
      <w:bookmarkEnd w:id="2"/>
      <w:r w:rsidR="00E415C4" w:rsidRPr="00181F11">
        <w:rPr>
          <w:rFonts w:asciiTheme="minorHAnsi" w:hAnsiTheme="minorHAnsi" w:cstheme="minorHAnsi"/>
          <w:color w:val="000000"/>
          <w:sz w:val="20"/>
          <w:szCs w:val="20"/>
        </w:rPr>
        <w:t>2001 (3) SA 1247 (SCA) para [12]; </w:t>
      </w:r>
      <w:r w:rsidR="00E415C4" w:rsidRPr="00181F11">
        <w:rPr>
          <w:rFonts w:asciiTheme="minorHAnsi" w:hAnsiTheme="minorHAnsi" w:cstheme="minorHAnsi"/>
          <w:i/>
          <w:iCs/>
          <w:color w:val="000000"/>
          <w:sz w:val="20"/>
          <w:szCs w:val="20"/>
        </w:rPr>
        <w:t>Pretorius en andere v McCallum </w:t>
      </w:r>
      <w:r w:rsidR="00E415C4" w:rsidRPr="00181F11">
        <w:rPr>
          <w:rFonts w:asciiTheme="minorHAnsi" w:hAnsiTheme="minorHAnsi" w:cstheme="minorHAnsi"/>
          <w:color w:val="000000"/>
          <w:sz w:val="20"/>
          <w:szCs w:val="20"/>
        </w:rPr>
        <w:t xml:space="preserve">2002 (2) SA 423 (C) at 427E. </w:t>
      </w:r>
    </w:p>
  </w:footnote>
  <w:footnote w:id="20">
    <w:p w14:paraId="5EF5563B" w14:textId="406C5B2D" w:rsidR="001F536C" w:rsidRPr="00921D71" w:rsidRDefault="001F536C" w:rsidP="007744CC">
      <w:pPr>
        <w:pStyle w:val="footnotes"/>
        <w:shd w:val="clear" w:color="auto" w:fill="FFFFFF"/>
        <w:spacing w:before="0" w:beforeAutospacing="0" w:after="0" w:afterAutospacing="0"/>
        <w:jc w:val="both"/>
        <w:rPr>
          <w:rFonts w:asciiTheme="minorHAnsi" w:hAnsiTheme="minorHAnsi" w:cstheme="minorHAnsi"/>
          <w:color w:val="000000"/>
          <w:sz w:val="20"/>
          <w:szCs w:val="20"/>
        </w:rPr>
      </w:pPr>
      <w:r w:rsidRPr="00921D71">
        <w:rPr>
          <w:rStyle w:val="FootnoteReference"/>
          <w:rFonts w:asciiTheme="minorHAnsi" w:hAnsiTheme="minorHAnsi" w:cstheme="minorHAnsi"/>
          <w:sz w:val="20"/>
          <w:szCs w:val="20"/>
        </w:rPr>
        <w:footnoteRef/>
      </w:r>
      <w:r w:rsidRPr="00921D71">
        <w:rPr>
          <w:rFonts w:asciiTheme="minorHAnsi" w:hAnsiTheme="minorHAnsi" w:cstheme="minorHAnsi"/>
          <w:sz w:val="20"/>
          <w:szCs w:val="20"/>
        </w:rPr>
        <w:t xml:space="preserve"> </w:t>
      </w:r>
      <w:r w:rsidR="00B702A3" w:rsidRPr="00921D71">
        <w:rPr>
          <w:rFonts w:asciiTheme="minorHAnsi" w:hAnsiTheme="minorHAnsi" w:cstheme="minorHAnsi"/>
          <w:i/>
          <w:iCs/>
          <w:color w:val="000000"/>
          <w:sz w:val="20"/>
          <w:szCs w:val="20"/>
        </w:rPr>
        <w:t>Minister van Polisie v Ewels</w:t>
      </w:r>
      <w:r w:rsidR="00B702A3" w:rsidRPr="00921D71">
        <w:rPr>
          <w:rFonts w:asciiTheme="minorHAnsi" w:hAnsiTheme="minorHAnsi" w:cstheme="minorHAnsi"/>
          <w:color w:val="000000"/>
          <w:sz w:val="20"/>
          <w:szCs w:val="20"/>
        </w:rPr>
        <w:t>)</w:t>
      </w:r>
      <w:r w:rsidR="00181F11">
        <w:rPr>
          <w:rFonts w:asciiTheme="minorHAnsi" w:hAnsiTheme="minorHAnsi" w:cstheme="minorHAnsi"/>
          <w:color w:val="000000"/>
          <w:sz w:val="20"/>
          <w:szCs w:val="20"/>
        </w:rPr>
        <w:t xml:space="preserve">, </w:t>
      </w:r>
      <w:r w:rsidR="00181F11" w:rsidRPr="007744CC">
        <w:rPr>
          <w:rFonts w:asciiTheme="minorHAnsi" w:hAnsiTheme="minorHAnsi" w:cstheme="minorHAnsi"/>
          <w:i/>
          <w:iCs/>
          <w:color w:val="000000"/>
          <w:sz w:val="20"/>
          <w:szCs w:val="20"/>
        </w:rPr>
        <w:t>Supra</w:t>
      </w:r>
      <w:r w:rsidR="00181F11">
        <w:rPr>
          <w:rFonts w:asciiTheme="minorHAnsi" w:hAnsiTheme="minorHAnsi" w:cstheme="minorHAnsi"/>
          <w:color w:val="000000"/>
          <w:sz w:val="20"/>
          <w:szCs w:val="20"/>
        </w:rPr>
        <w:t>,</w:t>
      </w:r>
      <w:r w:rsidR="00B702A3" w:rsidRPr="00921D71">
        <w:rPr>
          <w:rFonts w:asciiTheme="minorHAnsi" w:hAnsiTheme="minorHAnsi" w:cstheme="minorHAnsi"/>
          <w:color w:val="000000"/>
          <w:sz w:val="20"/>
          <w:szCs w:val="20"/>
        </w:rPr>
        <w:t xml:space="preserve"> at 597A–B.</w:t>
      </w:r>
    </w:p>
  </w:footnote>
  <w:footnote w:id="21">
    <w:p w14:paraId="58435A66" w14:textId="24EE71A5" w:rsidR="001F536C" w:rsidRPr="00921D71" w:rsidRDefault="001F536C" w:rsidP="007744CC">
      <w:pPr>
        <w:pStyle w:val="footnotes"/>
        <w:shd w:val="clear" w:color="auto" w:fill="FFFFFF"/>
        <w:spacing w:before="0" w:beforeAutospacing="0" w:after="0" w:afterAutospacing="0"/>
        <w:jc w:val="both"/>
        <w:rPr>
          <w:rFonts w:asciiTheme="minorHAnsi" w:hAnsiTheme="minorHAnsi" w:cstheme="minorHAnsi"/>
          <w:color w:val="000000"/>
          <w:sz w:val="20"/>
          <w:szCs w:val="20"/>
          <w:lang w:val="de-DE"/>
        </w:rPr>
      </w:pPr>
      <w:r w:rsidRPr="00921D71">
        <w:rPr>
          <w:rStyle w:val="FootnoteReference"/>
          <w:rFonts w:asciiTheme="minorHAnsi" w:hAnsiTheme="minorHAnsi" w:cstheme="minorHAnsi"/>
          <w:sz w:val="20"/>
          <w:szCs w:val="20"/>
        </w:rPr>
        <w:footnoteRef/>
      </w:r>
      <w:r w:rsidRPr="00921D71">
        <w:rPr>
          <w:rFonts w:asciiTheme="minorHAnsi" w:hAnsiTheme="minorHAnsi" w:cstheme="minorHAnsi"/>
          <w:sz w:val="20"/>
          <w:szCs w:val="20"/>
          <w:lang w:val="de-DE"/>
        </w:rPr>
        <w:t xml:space="preserve"> </w:t>
      </w:r>
      <w:r w:rsidR="00074FB6" w:rsidRPr="00921D71">
        <w:rPr>
          <w:rFonts w:asciiTheme="minorHAnsi" w:hAnsiTheme="minorHAnsi" w:cstheme="minorHAnsi"/>
          <w:color w:val="000000"/>
          <w:sz w:val="20"/>
          <w:szCs w:val="20"/>
          <w:lang w:val="de-DE"/>
        </w:rPr>
        <w:t>Asser </w:t>
      </w:r>
      <w:r w:rsidR="00074FB6" w:rsidRPr="00921D71">
        <w:rPr>
          <w:rFonts w:asciiTheme="minorHAnsi" w:hAnsiTheme="minorHAnsi" w:cstheme="minorHAnsi"/>
          <w:i/>
          <w:iCs/>
          <w:color w:val="000000"/>
          <w:sz w:val="20"/>
          <w:szCs w:val="20"/>
          <w:lang w:val="de-DE"/>
          <w14:ligatures w14:val="none"/>
        </w:rPr>
        <w:t>Handleiding tot de beoefening van het Nederlands Burgerlijk Recht</w:t>
      </w:r>
      <w:r w:rsidR="00074FB6" w:rsidRPr="00921D71">
        <w:rPr>
          <w:rFonts w:asciiTheme="minorHAnsi" w:hAnsiTheme="minorHAnsi" w:cstheme="minorHAnsi"/>
          <w:color w:val="000000"/>
          <w:sz w:val="20"/>
          <w:szCs w:val="20"/>
          <w:lang w:val="de-DE"/>
          <w14:ligatures w14:val="none"/>
        </w:rPr>
        <w:t>: </w:t>
      </w:r>
      <w:r w:rsidR="00074FB6" w:rsidRPr="00921D71">
        <w:rPr>
          <w:rFonts w:asciiTheme="minorHAnsi" w:hAnsiTheme="minorHAnsi" w:cstheme="minorHAnsi"/>
          <w:i/>
          <w:iCs/>
          <w:color w:val="000000"/>
          <w:sz w:val="20"/>
          <w:szCs w:val="20"/>
          <w:lang w:val="de-DE"/>
          <w14:ligatures w14:val="none"/>
        </w:rPr>
        <w:t>Verbintenissenrecht </w:t>
      </w:r>
      <w:r w:rsidR="00074FB6" w:rsidRPr="00921D71">
        <w:rPr>
          <w:rFonts w:asciiTheme="minorHAnsi" w:hAnsiTheme="minorHAnsi" w:cstheme="minorHAnsi"/>
          <w:color w:val="000000"/>
          <w:sz w:val="20"/>
          <w:szCs w:val="20"/>
          <w:lang w:val="de-DE"/>
          <w14:ligatures w14:val="none"/>
        </w:rPr>
        <w:t xml:space="preserve">(9 ed) (1994) Part III </w:t>
      </w:r>
      <w:r w:rsidR="00074FB6" w:rsidRPr="00921D71">
        <w:rPr>
          <w:rFonts w:asciiTheme="minorHAnsi" w:hAnsiTheme="minorHAnsi" w:cstheme="minorHAnsi"/>
          <w:color w:val="000000"/>
          <w:sz w:val="20"/>
          <w:szCs w:val="20"/>
          <w:lang w:val="de-DE"/>
        </w:rPr>
        <w:t>at 36–37.</w:t>
      </w:r>
    </w:p>
  </w:footnote>
  <w:footnote w:id="22">
    <w:p w14:paraId="3794291B" w14:textId="558B5E4F" w:rsidR="008F19D4" w:rsidRPr="008F19D4" w:rsidRDefault="008F19D4" w:rsidP="007744CC">
      <w:pPr>
        <w:pStyle w:val="FootnoteText"/>
        <w:jc w:val="both"/>
        <w:rPr>
          <w:lang w:val="en-GB"/>
        </w:rPr>
      </w:pPr>
      <w:r>
        <w:rPr>
          <w:rStyle w:val="FootnoteReference"/>
        </w:rPr>
        <w:footnoteRef/>
      </w:r>
      <w:r>
        <w:t xml:space="preserve"> </w:t>
      </w:r>
      <w:r w:rsidR="003C063F">
        <w:t>1995 (2) SA 1 (A).</w:t>
      </w:r>
    </w:p>
  </w:footnote>
  <w:footnote w:id="23">
    <w:p w14:paraId="3C665968" w14:textId="7E070830" w:rsidR="00280E00" w:rsidRPr="00280E00" w:rsidRDefault="00280E00" w:rsidP="007744CC">
      <w:pPr>
        <w:pStyle w:val="FootnoteText"/>
        <w:jc w:val="both"/>
        <w:rPr>
          <w:lang w:val="en-GB"/>
        </w:rPr>
      </w:pPr>
      <w:r>
        <w:rPr>
          <w:rStyle w:val="FootnoteReference"/>
        </w:rPr>
        <w:footnoteRef/>
      </w:r>
      <w:r>
        <w:t xml:space="preserve"> </w:t>
      </w:r>
      <w:r>
        <w:rPr>
          <w:lang w:val="en-GB"/>
        </w:rPr>
        <w:t xml:space="preserve">The facts of that matter bear </w:t>
      </w:r>
      <w:r w:rsidR="00A134A2">
        <w:rPr>
          <w:lang w:val="en-GB"/>
        </w:rPr>
        <w:t xml:space="preserve">some </w:t>
      </w:r>
      <w:r w:rsidR="005464E7">
        <w:rPr>
          <w:lang w:val="en-GB"/>
        </w:rPr>
        <w:t>similarity to those in the present matter.</w:t>
      </w:r>
    </w:p>
  </w:footnote>
  <w:footnote w:id="24">
    <w:p w14:paraId="38C53C79" w14:textId="09322098" w:rsidR="00F76F22" w:rsidRPr="00F76F22" w:rsidRDefault="00F76F22" w:rsidP="007744CC">
      <w:pPr>
        <w:pStyle w:val="FootnoteText"/>
        <w:jc w:val="both"/>
        <w:rPr>
          <w:lang w:val="en-GB"/>
        </w:rPr>
      </w:pPr>
      <w:r>
        <w:rPr>
          <w:rStyle w:val="FootnoteReference"/>
        </w:rPr>
        <w:footnoteRef/>
      </w:r>
      <w:r>
        <w:t xml:space="preserve"> </w:t>
      </w:r>
      <w:r>
        <w:rPr>
          <w:lang w:val="en-GB"/>
        </w:rPr>
        <w:t>At page 30.</w:t>
      </w:r>
    </w:p>
  </w:footnote>
  <w:footnote w:id="25">
    <w:p w14:paraId="7D31DFB2" w14:textId="585CDF55" w:rsidR="00EE0148" w:rsidRPr="00EE0148" w:rsidRDefault="00EE0148" w:rsidP="007744CC">
      <w:pPr>
        <w:pStyle w:val="FootnoteText"/>
        <w:jc w:val="both"/>
        <w:rPr>
          <w:lang w:val="en-GB"/>
        </w:rPr>
      </w:pPr>
      <w:r>
        <w:rPr>
          <w:rStyle w:val="FootnoteReference"/>
        </w:rPr>
        <w:footnoteRef/>
      </w:r>
      <w:r>
        <w:t xml:space="preserve"> </w:t>
      </w:r>
      <w:r w:rsidRPr="007744CC">
        <w:rPr>
          <w:i/>
          <w:iCs/>
          <w:lang w:val="en-GB"/>
        </w:rPr>
        <w:t>Knop</w:t>
      </w:r>
      <w:r w:rsidRPr="00451D16">
        <w:rPr>
          <w:lang w:val="en-GB"/>
        </w:rPr>
        <w:t xml:space="preserve"> at </w:t>
      </w:r>
      <w:r w:rsidR="00451D16">
        <w:rPr>
          <w:lang w:val="en-GB"/>
        </w:rPr>
        <w:t xml:space="preserve">page </w:t>
      </w:r>
      <w:r w:rsidRPr="00451D16">
        <w:rPr>
          <w:lang w:val="en-GB"/>
        </w:rPr>
        <w:t>27.</w:t>
      </w:r>
    </w:p>
  </w:footnote>
  <w:footnote w:id="26">
    <w:p w14:paraId="3DDE40D3" w14:textId="0788CFA7" w:rsidR="007D6B50" w:rsidRPr="007D71A5" w:rsidRDefault="007D6B50" w:rsidP="007744CC">
      <w:pPr>
        <w:pStyle w:val="FootnoteText"/>
        <w:jc w:val="both"/>
        <w:rPr>
          <w:lang w:val="en-US"/>
        </w:rPr>
      </w:pPr>
      <w:r>
        <w:rPr>
          <w:rStyle w:val="FootnoteReference"/>
        </w:rPr>
        <w:footnoteRef/>
      </w:r>
      <w:r>
        <w:t xml:space="preserve"> </w:t>
      </w:r>
      <w:r w:rsidRPr="00921D71">
        <w:rPr>
          <w:i/>
          <w:iCs/>
        </w:rPr>
        <w:t xml:space="preserve">Telematrix </w:t>
      </w:r>
      <w:r>
        <w:t xml:space="preserve">at [13]; </w:t>
      </w:r>
      <w:r w:rsidRPr="00921D71">
        <w:rPr>
          <w:i/>
          <w:iCs/>
        </w:rPr>
        <w:t>BOE Bank Ltd v Ries</w:t>
      </w:r>
      <w:r>
        <w:t xml:space="preserve"> 2002 (2) SA 39 (SCA) at [12] – [13].</w:t>
      </w:r>
      <w:r w:rsidR="00451D16">
        <w:t xml:space="preserve"> The “more” here envisaged is that the court must be persuaded that the legal convictions of the community demand that the conduct ought to be regarded as unlawful.  What will go into the pan, on the back of the allegation of wrongfulness, will in my view begin with a theory of the case with a focus on </w:t>
      </w:r>
      <w:r w:rsidR="00692697">
        <w:t>all the relevant facts and background, an examination of the statutory context (if applicable) and the nature of the statutory duty and end with a normative analysis and balancing of these involving legal policy.</w:t>
      </w:r>
    </w:p>
  </w:footnote>
  <w:footnote w:id="27">
    <w:p w14:paraId="18687C60" w14:textId="610F49F6" w:rsidR="007D6B50" w:rsidRPr="003712F4" w:rsidRDefault="007D6B50" w:rsidP="007744CC">
      <w:pPr>
        <w:pStyle w:val="FootnoteText"/>
        <w:tabs>
          <w:tab w:val="left" w:pos="2780"/>
        </w:tabs>
        <w:jc w:val="both"/>
        <w:rPr>
          <w:lang w:val="en-US"/>
        </w:rPr>
      </w:pPr>
      <w:r>
        <w:rPr>
          <w:rStyle w:val="FootnoteReference"/>
        </w:rPr>
        <w:footnoteRef/>
      </w:r>
      <w:r>
        <w:t xml:space="preserve"> </w:t>
      </w:r>
      <w:r w:rsidRPr="00854D0A">
        <w:rPr>
          <w:i/>
          <w:iCs/>
          <w:lang w:val="en-US"/>
        </w:rPr>
        <w:t xml:space="preserve">Telematrix </w:t>
      </w:r>
      <w:r>
        <w:rPr>
          <w:lang w:val="en-US"/>
        </w:rPr>
        <w:t>at [12].</w:t>
      </w:r>
      <w:r>
        <w:rPr>
          <w:lang w:val="en-US"/>
        </w:rPr>
        <w:tab/>
      </w:r>
    </w:p>
  </w:footnote>
  <w:footnote w:id="28">
    <w:p w14:paraId="7B7840C5" w14:textId="16E6EECF" w:rsidR="007D6B50" w:rsidRPr="00760517" w:rsidRDefault="007D6B50" w:rsidP="007744CC">
      <w:pPr>
        <w:pStyle w:val="FootnoteText"/>
        <w:jc w:val="both"/>
        <w:rPr>
          <w:lang w:val="en-US"/>
        </w:rPr>
      </w:pPr>
      <w:r>
        <w:rPr>
          <w:rStyle w:val="FootnoteReference"/>
        </w:rPr>
        <w:footnoteRef/>
      </w:r>
      <w:r>
        <w:t xml:space="preserve">  </w:t>
      </w:r>
      <w:r w:rsidRPr="00921D71">
        <w:rPr>
          <w:i/>
          <w:iCs/>
        </w:rPr>
        <w:t xml:space="preserve">Steenkamp </w:t>
      </w:r>
      <w:r>
        <w:t>CC</w:t>
      </w:r>
      <w:r w:rsidR="00D843A8">
        <w:t xml:space="preserve">, </w:t>
      </w:r>
      <w:r>
        <w:t>at [39]</w:t>
      </w:r>
      <w:r w:rsidR="006C1732">
        <w:t xml:space="preserve"> – [42]</w:t>
      </w:r>
      <w:r>
        <w:t xml:space="preserve">; </w:t>
      </w:r>
      <w:r w:rsidRPr="00921D71">
        <w:rPr>
          <w:i/>
          <w:iCs/>
          <w:lang w:val="en-US"/>
        </w:rPr>
        <w:t xml:space="preserve">Telematrix </w:t>
      </w:r>
      <w:r>
        <w:rPr>
          <w:lang w:val="en-US"/>
        </w:rPr>
        <w:t xml:space="preserve">at [14].  See also </w:t>
      </w:r>
      <w:r w:rsidRPr="00921D71">
        <w:rPr>
          <w:i/>
          <w:iCs/>
          <w:lang w:val="en-US"/>
        </w:rPr>
        <w:t xml:space="preserve">Knop </w:t>
      </w:r>
      <w:r>
        <w:rPr>
          <w:lang w:val="en-US"/>
        </w:rPr>
        <w:t xml:space="preserve">at pages 26-27. </w:t>
      </w:r>
    </w:p>
  </w:footnote>
  <w:footnote w:id="29">
    <w:p w14:paraId="22410E53" w14:textId="2ADD9388" w:rsidR="00692697" w:rsidRPr="00B944BE" w:rsidRDefault="00692697" w:rsidP="007744CC">
      <w:pPr>
        <w:pStyle w:val="FootnoteText"/>
        <w:jc w:val="both"/>
        <w:rPr>
          <w:lang w:val="en-US"/>
        </w:rPr>
      </w:pPr>
      <w:r>
        <w:rPr>
          <w:rStyle w:val="FootnoteReference"/>
        </w:rPr>
        <w:footnoteRef/>
      </w:r>
      <w:r>
        <w:t xml:space="preserve"> </w:t>
      </w:r>
      <w:r w:rsidRPr="00DA1280">
        <w:rPr>
          <w:i/>
          <w:iCs/>
          <w:lang w:val="en-US"/>
        </w:rPr>
        <w:t>Country Cloud Trading CC v MEC, Department of Infrastructure Development, Gauteng</w:t>
      </w:r>
      <w:r>
        <w:rPr>
          <w:lang w:val="en-US"/>
        </w:rPr>
        <w:t xml:space="preserve"> 2014 (12) BCLR 1397 (CC) at paragraph </w:t>
      </w:r>
      <w:r>
        <w:t xml:space="preserve">at [23]; </w:t>
      </w:r>
      <w:r w:rsidRPr="00921D71">
        <w:rPr>
          <w:i/>
          <w:iCs/>
        </w:rPr>
        <w:t>Esorfranki Pipelines (Pty) Ltd v Mopani District</w:t>
      </w:r>
      <w:r>
        <w:t xml:space="preserve"> Municipality 2023 (2) BCLR 149 (CC) at [29].</w:t>
      </w:r>
    </w:p>
  </w:footnote>
  <w:footnote w:id="30">
    <w:p w14:paraId="662B6B1F" w14:textId="5A3CB238" w:rsidR="00692697" w:rsidRPr="00C3624F" w:rsidRDefault="00692697" w:rsidP="007744CC">
      <w:pPr>
        <w:pStyle w:val="FootnoteText"/>
        <w:jc w:val="both"/>
        <w:rPr>
          <w:lang w:val="en-US"/>
        </w:rPr>
      </w:pPr>
      <w:r>
        <w:rPr>
          <w:rStyle w:val="FootnoteReference"/>
        </w:rPr>
        <w:footnoteRef/>
      </w:r>
      <w:r>
        <w:t xml:space="preserve"> </w:t>
      </w:r>
      <w:r w:rsidRPr="00921D71">
        <w:rPr>
          <w:i/>
          <w:iCs/>
          <w:lang w:val="en-US"/>
        </w:rPr>
        <w:t xml:space="preserve">Steenkamp CC </w:t>
      </w:r>
      <w:r>
        <w:rPr>
          <w:lang w:val="en-US"/>
        </w:rPr>
        <w:t>at [41].</w:t>
      </w:r>
    </w:p>
  </w:footnote>
  <w:footnote w:id="31">
    <w:p w14:paraId="55A26723" w14:textId="09A4C9B5" w:rsidR="00692697" w:rsidRPr="00692697" w:rsidRDefault="00692697" w:rsidP="007744CC">
      <w:pPr>
        <w:pStyle w:val="FootnoteText"/>
        <w:jc w:val="both"/>
        <w:rPr>
          <w:lang w:val="en-GB"/>
        </w:rPr>
      </w:pPr>
      <w:r>
        <w:rPr>
          <w:rStyle w:val="FootnoteReference"/>
        </w:rPr>
        <w:footnoteRef/>
      </w:r>
      <w:r>
        <w:t xml:space="preserve"> </w:t>
      </w:r>
      <w:r w:rsidRPr="00692697">
        <w:rPr>
          <w:i/>
          <w:iCs/>
          <w:lang w:val="en-GB"/>
        </w:rPr>
        <w:t>Telematrix</w:t>
      </w:r>
      <w:r>
        <w:rPr>
          <w:lang w:val="en-GB"/>
        </w:rPr>
        <w:t xml:space="preserve"> at [3].</w:t>
      </w:r>
    </w:p>
  </w:footnote>
  <w:footnote w:id="32">
    <w:p w14:paraId="12082E1E" w14:textId="79DE3380" w:rsidR="00692697" w:rsidRPr="00692697" w:rsidRDefault="00692697" w:rsidP="007744CC">
      <w:pPr>
        <w:pStyle w:val="FootnoteText"/>
        <w:jc w:val="both"/>
        <w:rPr>
          <w:lang w:val="en-GB"/>
        </w:rPr>
      </w:pPr>
      <w:r>
        <w:rPr>
          <w:rStyle w:val="FootnoteReference"/>
        </w:rPr>
        <w:footnoteRef/>
      </w:r>
      <w:r>
        <w:t xml:space="preserve"> </w:t>
      </w:r>
      <w:r>
        <w:rPr>
          <w:lang w:val="en-GB"/>
        </w:rPr>
        <w:t>At [2].</w:t>
      </w:r>
    </w:p>
  </w:footnote>
  <w:footnote w:id="33">
    <w:p w14:paraId="03E0B6B1" w14:textId="7E3A1D31" w:rsidR="00692697" w:rsidRPr="00692697" w:rsidRDefault="00692697" w:rsidP="007744CC">
      <w:pPr>
        <w:pStyle w:val="FootnoteText"/>
        <w:jc w:val="both"/>
        <w:rPr>
          <w:lang w:val="en-GB"/>
        </w:rPr>
      </w:pPr>
      <w:r>
        <w:rPr>
          <w:rStyle w:val="FootnoteReference"/>
        </w:rPr>
        <w:footnoteRef/>
      </w:r>
      <w:r>
        <w:t xml:space="preserve"> </w:t>
      </w:r>
      <w:r>
        <w:rPr>
          <w:lang w:val="en-GB"/>
        </w:rPr>
        <w:t>At [2].</w:t>
      </w:r>
    </w:p>
  </w:footnote>
  <w:footnote w:id="34">
    <w:p w14:paraId="1906FDAB" w14:textId="01F19B42" w:rsidR="00692697" w:rsidRPr="00692697" w:rsidRDefault="00692697" w:rsidP="007744CC">
      <w:pPr>
        <w:pStyle w:val="FootnoteText"/>
        <w:jc w:val="both"/>
        <w:rPr>
          <w:lang w:val="en-GB"/>
        </w:rPr>
      </w:pPr>
      <w:r>
        <w:rPr>
          <w:rStyle w:val="FootnoteReference"/>
        </w:rPr>
        <w:footnoteRef/>
      </w:r>
      <w:r>
        <w:t xml:space="preserve"> </w:t>
      </w:r>
      <w:r>
        <w:rPr>
          <w:lang w:val="en-GB"/>
        </w:rPr>
        <w:t>At [3].</w:t>
      </w:r>
    </w:p>
  </w:footnote>
  <w:footnote w:id="35">
    <w:p w14:paraId="60E6298E" w14:textId="6500A886" w:rsidR="00AB0E5F" w:rsidRPr="00AB0E5F" w:rsidRDefault="00AB0E5F" w:rsidP="007744CC">
      <w:pPr>
        <w:pStyle w:val="FootnoteText"/>
        <w:jc w:val="both"/>
        <w:rPr>
          <w:lang w:val="en-GB"/>
        </w:rPr>
      </w:pPr>
      <w:r>
        <w:rPr>
          <w:rStyle w:val="FootnoteReference"/>
        </w:rPr>
        <w:footnoteRef/>
      </w:r>
      <w:r>
        <w:t xml:space="preserve"> </w:t>
      </w:r>
      <w:r w:rsidR="0049035B">
        <w:t xml:space="preserve">See </w:t>
      </w:r>
      <w:r w:rsidR="0096361F" w:rsidRPr="00D843A8">
        <w:rPr>
          <w:i/>
          <w:iCs/>
          <w:lang w:val="en-GB"/>
        </w:rPr>
        <w:t>E</w:t>
      </w:r>
      <w:r w:rsidR="00D843A8">
        <w:rPr>
          <w:i/>
          <w:iCs/>
          <w:lang w:val="en-GB"/>
        </w:rPr>
        <w:t>sor</w:t>
      </w:r>
      <w:r w:rsidR="0096361F" w:rsidRPr="00D843A8">
        <w:rPr>
          <w:i/>
          <w:iCs/>
          <w:lang w:val="en-GB"/>
        </w:rPr>
        <w:t>franki</w:t>
      </w:r>
      <w:r w:rsidR="00D4301A">
        <w:rPr>
          <w:lang w:val="en-GB"/>
        </w:rPr>
        <w:t xml:space="preserve"> </w:t>
      </w:r>
      <w:r w:rsidR="00D843A8">
        <w:rPr>
          <w:lang w:val="en-GB"/>
        </w:rPr>
        <w:t xml:space="preserve"> at [32]  and [43] </w:t>
      </w:r>
      <w:r w:rsidR="00D4301A">
        <w:rPr>
          <w:lang w:val="en-GB"/>
        </w:rPr>
        <w:t xml:space="preserve">in which the court </w:t>
      </w:r>
      <w:r w:rsidR="00C321C7">
        <w:rPr>
          <w:lang w:val="en-GB"/>
        </w:rPr>
        <w:t>noted the unique positio</w:t>
      </w:r>
      <w:r w:rsidR="003F03AA">
        <w:rPr>
          <w:lang w:val="en-GB"/>
        </w:rPr>
        <w:t xml:space="preserve">n where the breach of a statutory </w:t>
      </w:r>
      <w:r w:rsidR="00896B75">
        <w:rPr>
          <w:lang w:val="en-GB"/>
        </w:rPr>
        <w:t xml:space="preserve">provision giving rise to the harm </w:t>
      </w:r>
      <w:r w:rsidR="005F1128">
        <w:rPr>
          <w:lang w:val="en-GB"/>
        </w:rPr>
        <w:t xml:space="preserve">is a constitutional one that </w:t>
      </w:r>
      <w:r w:rsidR="003641B0">
        <w:rPr>
          <w:lang w:val="en-GB"/>
        </w:rPr>
        <w:t xml:space="preserve">additionally requires the court </w:t>
      </w:r>
      <w:r w:rsidR="00D843A8">
        <w:rPr>
          <w:lang w:val="en-GB"/>
        </w:rPr>
        <w:t>(</w:t>
      </w:r>
      <w:r w:rsidR="00423339">
        <w:rPr>
          <w:lang w:val="en-GB"/>
        </w:rPr>
        <w:t xml:space="preserve">in determining the substantive issue of wrongfulness) </w:t>
      </w:r>
      <w:r w:rsidR="003641B0">
        <w:rPr>
          <w:lang w:val="en-GB"/>
        </w:rPr>
        <w:t xml:space="preserve">to </w:t>
      </w:r>
      <w:r w:rsidR="004950D9">
        <w:rPr>
          <w:lang w:val="en-GB"/>
        </w:rPr>
        <w:t>add to its list of considerations</w:t>
      </w:r>
      <w:r w:rsidR="005261F0">
        <w:rPr>
          <w:lang w:val="en-GB"/>
        </w:rPr>
        <w:t xml:space="preserve"> the norms </w:t>
      </w:r>
      <w:r w:rsidR="00C4112A">
        <w:rPr>
          <w:lang w:val="en-GB"/>
        </w:rPr>
        <w:t xml:space="preserve">of accountability by government agencies and the </w:t>
      </w:r>
      <w:r w:rsidR="00234629">
        <w:rPr>
          <w:lang w:val="en-GB"/>
        </w:rPr>
        <w:t xml:space="preserve">constitutional </w:t>
      </w:r>
      <w:r w:rsidR="00C4112A">
        <w:rPr>
          <w:lang w:val="en-GB"/>
        </w:rPr>
        <w:t xml:space="preserve">principle of </w:t>
      </w:r>
      <w:r w:rsidR="000A7A9A">
        <w:rPr>
          <w:lang w:val="en-GB"/>
        </w:rPr>
        <w:t xml:space="preserve">subsidiarity </w:t>
      </w:r>
      <w:r w:rsidR="00234629">
        <w:rPr>
          <w:lang w:val="en-GB"/>
        </w:rPr>
        <w:t xml:space="preserve">that leads one back to the </w:t>
      </w:r>
      <w:r w:rsidR="00BD0748">
        <w:rPr>
          <w:lang w:val="en-GB"/>
        </w:rPr>
        <w:t>all-encompassing</w:t>
      </w:r>
      <w:r w:rsidR="004E4078">
        <w:rPr>
          <w:lang w:val="en-GB"/>
        </w:rPr>
        <w:t xml:space="preserve"> </w:t>
      </w:r>
      <w:r w:rsidR="00BD0748">
        <w:rPr>
          <w:lang w:val="en-GB"/>
        </w:rPr>
        <w:t xml:space="preserve">provisions of PAJA which is constitutionally </w:t>
      </w:r>
      <w:r w:rsidR="00893C3E">
        <w:rPr>
          <w:lang w:val="en-GB"/>
        </w:rPr>
        <w:t xml:space="preserve">mandated legislation designed to give effect to </w:t>
      </w:r>
      <w:r w:rsidR="00583BEF">
        <w:rPr>
          <w:lang w:val="en-GB"/>
        </w:rPr>
        <w:t>section 33</w:t>
      </w:r>
      <w:r w:rsidR="00290222">
        <w:rPr>
          <w:lang w:val="en-GB"/>
        </w:rPr>
        <w:t xml:space="preserve"> of the Constitution</w:t>
      </w:r>
      <w:r w:rsidR="00583BEF">
        <w:rPr>
          <w:lang w:val="en-GB"/>
        </w:rPr>
        <w:t xml:space="preserve"> in both substantive and remedial terms</w:t>
      </w:r>
      <w:r w:rsidR="00423339">
        <w:rPr>
          <w:lang w:val="en-GB"/>
        </w:rPr>
        <w:t>.</w:t>
      </w:r>
    </w:p>
  </w:footnote>
  <w:footnote w:id="36">
    <w:p w14:paraId="4553EE57" w14:textId="788B877A" w:rsidR="008924AA" w:rsidRPr="008924AA" w:rsidRDefault="008924AA" w:rsidP="007744CC">
      <w:pPr>
        <w:pStyle w:val="FootnoteText"/>
        <w:jc w:val="both"/>
        <w:rPr>
          <w:lang w:val="en-US"/>
        </w:rPr>
      </w:pPr>
      <w:r w:rsidRPr="00921D71">
        <w:rPr>
          <w:rStyle w:val="FootnoteReference"/>
          <w:rFonts w:cstheme="minorHAnsi"/>
        </w:rPr>
        <w:footnoteRef/>
      </w:r>
      <w:r w:rsidRPr="00921D71">
        <w:rPr>
          <w:rFonts w:cstheme="minorHAnsi"/>
        </w:rPr>
        <w:t xml:space="preserve"> </w:t>
      </w:r>
      <w:r w:rsidR="00A724CC" w:rsidRPr="00921D71">
        <w:rPr>
          <w:rFonts w:cstheme="minorHAnsi"/>
          <w:lang w:val="en-US"/>
        </w:rPr>
        <w:t>C Hoexter and G Penfold</w:t>
      </w:r>
      <w:r w:rsidR="00C43784" w:rsidRPr="00921D71">
        <w:rPr>
          <w:rFonts w:cstheme="minorHAnsi"/>
          <w:lang w:val="en-US"/>
        </w:rPr>
        <w:t>, Administrative Law in South Africa, 3</w:t>
      </w:r>
      <w:r w:rsidR="00C43784" w:rsidRPr="00921D71">
        <w:rPr>
          <w:rFonts w:cstheme="minorHAnsi"/>
          <w:vertAlign w:val="superscript"/>
          <w:lang w:val="en-US"/>
        </w:rPr>
        <w:t>rd</w:t>
      </w:r>
      <w:r w:rsidR="00C43784" w:rsidRPr="00921D71">
        <w:rPr>
          <w:rFonts w:cstheme="minorHAnsi"/>
          <w:lang w:val="en-US"/>
        </w:rPr>
        <w:t xml:space="preserve"> Edition at </w:t>
      </w:r>
      <w:r w:rsidR="006F5367" w:rsidRPr="00921D71">
        <w:rPr>
          <w:rFonts w:cstheme="minorHAnsi"/>
          <w:lang w:val="en-US"/>
        </w:rPr>
        <w:t>704-9.</w:t>
      </w:r>
    </w:p>
  </w:footnote>
  <w:footnote w:id="37">
    <w:p w14:paraId="71C2E19C" w14:textId="69A38A3F" w:rsidR="004C6458" w:rsidRPr="004C6458" w:rsidRDefault="004C6458" w:rsidP="007744CC">
      <w:pPr>
        <w:pStyle w:val="FootnoteText"/>
        <w:jc w:val="both"/>
        <w:rPr>
          <w:lang w:val="en-US"/>
        </w:rPr>
      </w:pPr>
      <w:r>
        <w:rPr>
          <w:rStyle w:val="FootnoteReference"/>
        </w:rPr>
        <w:footnoteRef/>
      </w:r>
      <w:r>
        <w:t xml:space="preserve"> </w:t>
      </w:r>
      <w:r>
        <w:rPr>
          <w:lang w:val="en-US"/>
        </w:rPr>
        <w:t xml:space="preserve">See </w:t>
      </w:r>
      <w:r w:rsidRPr="00921D71">
        <w:rPr>
          <w:i/>
          <w:iCs/>
          <w:lang w:val="en-US"/>
        </w:rPr>
        <w:t>Knop</w:t>
      </w:r>
      <w:r>
        <w:rPr>
          <w:lang w:val="en-US"/>
        </w:rPr>
        <w:t xml:space="preserve"> at page 31 where the court </w:t>
      </w:r>
      <w:r w:rsidR="000B3566">
        <w:rPr>
          <w:lang w:val="en-US"/>
        </w:rPr>
        <w:t xml:space="preserve">notes that the enquiry into the intention of the legislature </w:t>
      </w:r>
      <w:r w:rsidR="00C41071">
        <w:rPr>
          <w:lang w:val="en-US"/>
        </w:rPr>
        <w:t xml:space="preserve">serves the purpose of determining whether a defendant owes </w:t>
      </w:r>
      <w:r w:rsidR="00C07308">
        <w:rPr>
          <w:lang w:val="en-US"/>
        </w:rPr>
        <w:t xml:space="preserve">a legal duty to the </w:t>
      </w:r>
      <w:r w:rsidR="00A92438">
        <w:rPr>
          <w:lang w:val="en-US"/>
        </w:rPr>
        <w:t xml:space="preserve">administrative subject to exercise care in exercising </w:t>
      </w:r>
      <w:r w:rsidR="009147A8">
        <w:rPr>
          <w:lang w:val="en-US"/>
        </w:rPr>
        <w:t>the powers conferred upon it</w:t>
      </w:r>
      <w:r w:rsidR="002B69FD">
        <w:rPr>
          <w:lang w:val="en-US"/>
        </w:rPr>
        <w:t xml:space="preserve"> in relation to his or her application</w:t>
      </w:r>
      <w:r w:rsidR="00290222">
        <w:rPr>
          <w:lang w:val="en-US"/>
        </w:rPr>
        <w:t>, in that instance for subdivision approval</w:t>
      </w:r>
      <w:r w:rsidR="002B69FD">
        <w:rPr>
          <w:lang w:val="en-US"/>
        </w:rPr>
        <w:t xml:space="preserve">.  In other </w:t>
      </w:r>
      <w:r w:rsidR="000D6ECE">
        <w:rPr>
          <w:lang w:val="en-US"/>
        </w:rPr>
        <w:t>words,</w:t>
      </w:r>
      <w:r w:rsidR="002B69FD">
        <w:rPr>
          <w:lang w:val="en-US"/>
        </w:rPr>
        <w:t xml:space="preserve"> </w:t>
      </w:r>
      <w:r w:rsidR="00BE475A">
        <w:rPr>
          <w:lang w:val="en-US"/>
        </w:rPr>
        <w:t xml:space="preserve">did the legislature intend that such an applicant should have a claim </w:t>
      </w:r>
      <w:r w:rsidR="00B77C27">
        <w:rPr>
          <w:lang w:val="en-US"/>
        </w:rPr>
        <w:t xml:space="preserve">for damages in respect of loss caused by the administrator’s </w:t>
      </w:r>
      <w:r w:rsidR="00A63D9C">
        <w:rPr>
          <w:lang w:val="en-US"/>
        </w:rPr>
        <w:t>negligence.</w:t>
      </w:r>
    </w:p>
  </w:footnote>
  <w:footnote w:id="38">
    <w:p w14:paraId="0A8622BF" w14:textId="0CE49CC9" w:rsidR="00C4104D" w:rsidRPr="00C4104D" w:rsidRDefault="00C4104D" w:rsidP="007744CC">
      <w:pPr>
        <w:pStyle w:val="FootnoteText"/>
        <w:jc w:val="both"/>
        <w:rPr>
          <w:lang w:val="en-US"/>
        </w:rPr>
      </w:pPr>
      <w:r>
        <w:rPr>
          <w:rStyle w:val="FootnoteReference"/>
        </w:rPr>
        <w:footnoteRef/>
      </w:r>
      <w:r>
        <w:t xml:space="preserve"> </w:t>
      </w:r>
      <w:r w:rsidR="00804E24" w:rsidRPr="00921D71">
        <w:rPr>
          <w:i/>
          <w:iCs/>
        </w:rPr>
        <w:t>Esorfranki</w:t>
      </w:r>
      <w:r w:rsidR="00921D71" w:rsidRPr="00921D71">
        <w:rPr>
          <w:i/>
          <w:iCs/>
        </w:rPr>
        <w:t xml:space="preserve"> </w:t>
      </w:r>
      <w:r w:rsidR="00804E24">
        <w:t>at [30].</w:t>
      </w:r>
    </w:p>
  </w:footnote>
  <w:footnote w:id="39">
    <w:p w14:paraId="76BFE6DA" w14:textId="0D47ED02" w:rsidR="009669AE" w:rsidRPr="009669AE" w:rsidRDefault="009669AE" w:rsidP="007744CC">
      <w:pPr>
        <w:pStyle w:val="FootnoteText"/>
        <w:jc w:val="both"/>
        <w:rPr>
          <w:lang w:val="en-GB"/>
        </w:rPr>
      </w:pPr>
      <w:r>
        <w:rPr>
          <w:rStyle w:val="FootnoteReference"/>
        </w:rPr>
        <w:footnoteRef/>
      </w:r>
      <w:r>
        <w:t xml:space="preserve"> </w:t>
      </w:r>
      <w:r w:rsidR="00692697">
        <w:t>At [31].</w:t>
      </w:r>
    </w:p>
  </w:footnote>
  <w:footnote w:id="40">
    <w:p w14:paraId="58B205DE" w14:textId="77777777" w:rsidR="00692697" w:rsidRPr="00D832DE" w:rsidRDefault="00692697" w:rsidP="007744CC">
      <w:pPr>
        <w:pStyle w:val="FootnoteText"/>
        <w:jc w:val="both"/>
        <w:rPr>
          <w:lang w:val="en-US"/>
        </w:rPr>
      </w:pPr>
      <w:r>
        <w:rPr>
          <w:rStyle w:val="FootnoteReference"/>
        </w:rPr>
        <w:footnoteRef/>
      </w:r>
      <w:r>
        <w:t xml:space="preserve"> </w:t>
      </w:r>
      <w:r w:rsidRPr="00921D71">
        <w:rPr>
          <w:i/>
          <w:iCs/>
          <w:lang w:val="en-US"/>
        </w:rPr>
        <w:t>Esorfranki Supra</w:t>
      </w:r>
      <w:r>
        <w:rPr>
          <w:lang w:val="en-US"/>
        </w:rPr>
        <w:t xml:space="preserve"> at [31].</w:t>
      </w:r>
    </w:p>
  </w:footnote>
  <w:footnote w:id="41">
    <w:p w14:paraId="4414720B" w14:textId="1464822C" w:rsidR="009D13B5" w:rsidRPr="00AC173D" w:rsidRDefault="009D13B5" w:rsidP="007744CC">
      <w:pPr>
        <w:pStyle w:val="FootnoteText"/>
        <w:jc w:val="both"/>
        <w:rPr>
          <w:lang w:val="en-GB"/>
        </w:rPr>
      </w:pPr>
      <w:r>
        <w:rPr>
          <w:rStyle w:val="FootnoteReference"/>
        </w:rPr>
        <w:footnoteRef/>
      </w:r>
      <w:r>
        <w:t xml:space="preserve"> </w:t>
      </w:r>
      <w:r w:rsidR="005F2498">
        <w:rPr>
          <w:lang w:val="en-GB"/>
        </w:rPr>
        <w:t>The trust</w:t>
      </w:r>
      <w:r>
        <w:rPr>
          <w:lang w:val="en-GB"/>
        </w:rPr>
        <w:t xml:space="preserve"> has also extensively referenced official documentation attached as annexures that portend what the evidence will be.</w:t>
      </w:r>
      <w:r w:rsidR="00557A84">
        <w:rPr>
          <w:lang w:val="en-GB"/>
        </w:rPr>
        <w:t xml:space="preserve"> </w:t>
      </w:r>
      <w:r w:rsidR="009E2FB8">
        <w:rPr>
          <w:lang w:val="en-GB"/>
        </w:rPr>
        <w:t xml:space="preserve">As suggested in </w:t>
      </w:r>
      <w:r w:rsidR="009E2FB8" w:rsidRPr="00695772">
        <w:rPr>
          <w:i/>
          <w:iCs/>
          <w:lang w:val="en-GB"/>
        </w:rPr>
        <w:t>Telematrix</w:t>
      </w:r>
      <w:r w:rsidR="009E2FB8">
        <w:rPr>
          <w:lang w:val="en-GB"/>
        </w:rPr>
        <w:t xml:space="preserve"> </w:t>
      </w:r>
      <w:r w:rsidR="00695772">
        <w:rPr>
          <w:lang w:val="en-GB"/>
        </w:rPr>
        <w:t xml:space="preserve">at [2] </w:t>
      </w:r>
      <w:r w:rsidR="009E2FB8">
        <w:rPr>
          <w:lang w:val="en-GB"/>
        </w:rPr>
        <w:t xml:space="preserve">the </w:t>
      </w:r>
      <w:r w:rsidR="00C85298">
        <w:rPr>
          <w:lang w:val="en-GB"/>
        </w:rPr>
        <w:t>allegations are “</w:t>
      </w:r>
      <w:r w:rsidR="00C85298" w:rsidRPr="00695772">
        <w:rPr>
          <w:i/>
          <w:iCs/>
          <w:lang w:val="en-GB"/>
        </w:rPr>
        <w:t xml:space="preserve">fleshed out by means of </w:t>
      </w:r>
      <w:r w:rsidR="00695772" w:rsidRPr="00695772">
        <w:rPr>
          <w:i/>
          <w:iCs/>
          <w:lang w:val="en-GB"/>
        </w:rPr>
        <w:t>annexures</w:t>
      </w:r>
      <w:r w:rsidR="00C85298" w:rsidRPr="00695772">
        <w:rPr>
          <w:i/>
          <w:iCs/>
          <w:lang w:val="en-GB"/>
        </w:rPr>
        <w:t xml:space="preserve"> that tell a story</w:t>
      </w:r>
      <w:r w:rsidR="00C60FBA">
        <w:rPr>
          <w:lang w:val="en-GB"/>
        </w:rPr>
        <w:t>.”</w:t>
      </w:r>
      <w:r w:rsidR="005F2498">
        <w:rPr>
          <w:lang w:val="en-GB"/>
        </w:rPr>
        <w:t xml:space="preserve"> </w:t>
      </w:r>
    </w:p>
  </w:footnote>
  <w:footnote w:id="42">
    <w:p w14:paraId="6B5F5475" w14:textId="77777777" w:rsidR="00692697" w:rsidRPr="006C5647" w:rsidRDefault="00692697" w:rsidP="007744CC">
      <w:pPr>
        <w:pStyle w:val="FootnoteText"/>
        <w:jc w:val="both"/>
        <w:rPr>
          <w:lang w:val="en-GB"/>
        </w:rPr>
      </w:pPr>
      <w:r>
        <w:rPr>
          <w:rStyle w:val="FootnoteReference"/>
        </w:rPr>
        <w:footnoteRef/>
      </w:r>
      <w:r>
        <w:t xml:space="preserve"> 2006 (3) SA 151 (SCA). </w:t>
      </w:r>
    </w:p>
  </w:footnote>
  <w:footnote w:id="43">
    <w:p w14:paraId="5659E79D" w14:textId="04565981" w:rsidR="00BA2718" w:rsidRPr="00BA2718" w:rsidRDefault="00BA2718" w:rsidP="007744CC">
      <w:pPr>
        <w:pStyle w:val="FootnoteText"/>
        <w:jc w:val="both"/>
        <w:rPr>
          <w:lang w:val="en-GB"/>
        </w:rPr>
      </w:pPr>
      <w:r>
        <w:rPr>
          <w:rStyle w:val="FootnoteReference"/>
        </w:rPr>
        <w:footnoteRef/>
      </w:r>
      <w:r>
        <w:t xml:space="preserve"> at [27].</w:t>
      </w:r>
    </w:p>
  </w:footnote>
  <w:footnote w:id="44">
    <w:p w14:paraId="329A95EC" w14:textId="46F492B0" w:rsidR="00FC7D45" w:rsidRPr="00FC7D45" w:rsidRDefault="00FC7D45" w:rsidP="007744CC">
      <w:pPr>
        <w:pStyle w:val="FootnoteText"/>
        <w:jc w:val="both"/>
        <w:rPr>
          <w:lang w:val="en-GB"/>
        </w:rPr>
      </w:pPr>
      <w:r>
        <w:rPr>
          <w:rStyle w:val="FootnoteReference"/>
        </w:rPr>
        <w:footnoteRef/>
      </w:r>
      <w:r>
        <w:t xml:space="preserve"> </w:t>
      </w:r>
      <w:r>
        <w:rPr>
          <w:lang w:val="en-GB"/>
        </w:rPr>
        <w:t xml:space="preserve">In the present scenario we are not </w:t>
      </w:r>
      <w:r w:rsidR="00D22200">
        <w:rPr>
          <w:lang w:val="en-GB"/>
        </w:rPr>
        <w:t>concerned with the exercise of a discretion</w:t>
      </w:r>
      <w:r w:rsidR="004B673F">
        <w:rPr>
          <w:lang w:val="en-GB"/>
        </w:rPr>
        <w:t>.</w:t>
      </w:r>
    </w:p>
  </w:footnote>
  <w:footnote w:id="45">
    <w:p w14:paraId="1A7EE9D3" w14:textId="0FFE0C72" w:rsidR="004F7B35" w:rsidRPr="004F7B35" w:rsidRDefault="004F7B35" w:rsidP="007744CC">
      <w:pPr>
        <w:pStyle w:val="FootnoteText"/>
        <w:jc w:val="both"/>
        <w:rPr>
          <w:lang w:val="en-GB"/>
        </w:rPr>
      </w:pPr>
      <w:r>
        <w:rPr>
          <w:rStyle w:val="FootnoteReference"/>
        </w:rPr>
        <w:footnoteRef/>
      </w:r>
      <w:r>
        <w:t xml:space="preserve"> </w:t>
      </w:r>
      <w:r>
        <w:rPr>
          <w:lang w:val="en-GB"/>
        </w:rPr>
        <w:t xml:space="preserve">See in this regard Moseneke DCJ’s amplification of his judgement in </w:t>
      </w:r>
      <w:r w:rsidRPr="004F7B35">
        <w:rPr>
          <w:i/>
          <w:iCs/>
          <w:lang w:val="en-GB"/>
        </w:rPr>
        <w:t>Steenkamp</w:t>
      </w:r>
      <w:r>
        <w:rPr>
          <w:lang w:val="en-GB"/>
        </w:rPr>
        <w:t xml:space="preserve"> articulated </w:t>
      </w:r>
      <w:r w:rsidRPr="004F7B35">
        <w:rPr>
          <w:i/>
          <w:iCs/>
          <w:lang w:val="en-GB"/>
        </w:rPr>
        <w:t xml:space="preserve">in </w:t>
      </w:r>
      <w:r>
        <w:rPr>
          <w:i/>
          <w:iCs/>
          <w:lang w:val="en-GB"/>
        </w:rPr>
        <w:t>“</w:t>
      </w:r>
      <w:r w:rsidRPr="004F7B35">
        <w:rPr>
          <w:i/>
          <w:iCs/>
          <w:lang w:val="en-GB"/>
        </w:rPr>
        <w:t>All Rise A judicial Memoir</w:t>
      </w:r>
      <w:r>
        <w:rPr>
          <w:i/>
          <w:iCs/>
          <w:lang w:val="en-GB"/>
        </w:rPr>
        <w:t>”</w:t>
      </w:r>
      <w:r>
        <w:rPr>
          <w:lang w:val="en-GB"/>
        </w:rPr>
        <w:t xml:space="preserve"> at 184</w:t>
      </w:r>
      <w:r w:rsidR="00A4264F">
        <w:rPr>
          <w:lang w:val="en-GB"/>
        </w:rPr>
        <w:t xml:space="preserve"> </w:t>
      </w:r>
      <w:r>
        <w:rPr>
          <w:lang w:val="en-GB"/>
        </w:rPr>
        <w:t>to such effect.</w:t>
      </w:r>
    </w:p>
  </w:footnote>
  <w:footnote w:id="46">
    <w:p w14:paraId="55EFF41B" w14:textId="35914EA8" w:rsidR="00E36E8F" w:rsidRPr="007744CC" w:rsidRDefault="00E36E8F" w:rsidP="007744CC">
      <w:pPr>
        <w:pStyle w:val="FootnoteText"/>
        <w:jc w:val="both"/>
        <w:rPr>
          <w:lang w:val="en-GB"/>
        </w:rPr>
      </w:pPr>
      <w:r>
        <w:rPr>
          <w:rStyle w:val="FootnoteReference"/>
        </w:rPr>
        <w:footnoteRef/>
      </w:r>
      <w:r>
        <w:t xml:space="preserve"> Policy has already been formed through the sentiment expressed in </w:t>
      </w:r>
      <w:r w:rsidRPr="00A4264F">
        <w:rPr>
          <w:i/>
          <w:iCs/>
        </w:rPr>
        <w:t>Logbro Properties CC v Bedderson NO and Others</w:t>
      </w:r>
      <w:r>
        <w:t xml:space="preserve"> 2003 (2) SA 460 (SCA) at [17] for example that administrative subjects are </w:t>
      </w:r>
      <w:r w:rsidRPr="00A4264F">
        <w:rPr>
          <w:i/>
          <w:iCs/>
        </w:rPr>
        <w:t>“..not entitled to a perfect process, free of innocent errors, and the administrative subject could not expect to be immunised from all prejudicial conseque</w:t>
      </w:r>
      <w:r w:rsidR="00A4264F" w:rsidRPr="00A4264F">
        <w:rPr>
          <w:i/>
          <w:iCs/>
        </w:rPr>
        <w:t>nces flowing from such errors.”</w:t>
      </w:r>
      <w:r w:rsidR="00A4264F">
        <w:rPr>
          <w:i/>
          <w:iCs/>
        </w:rPr>
        <w:t xml:space="preserve">  Telematrix </w:t>
      </w:r>
      <w:r w:rsidR="00A4264F" w:rsidRPr="00A4264F">
        <w:t>at [26]</w:t>
      </w:r>
      <w:r w:rsidR="00A4264F">
        <w:rPr>
          <w:i/>
          <w:iCs/>
        </w:rPr>
        <w:t xml:space="preserve"> </w:t>
      </w:r>
      <w:r w:rsidR="00A4264F" w:rsidRPr="00A4264F">
        <w:t>also puts</w:t>
      </w:r>
      <w:r w:rsidR="00A4264F">
        <w:rPr>
          <w:i/>
          <w:iCs/>
        </w:rPr>
        <w:t xml:space="preserve"> </w:t>
      </w:r>
      <w:r w:rsidR="00A4264F" w:rsidRPr="00A4264F">
        <w:t>the decisions of adjudicators</w:t>
      </w:r>
      <w:r w:rsidR="00A4264F">
        <w:rPr>
          <w:i/>
          <w:iCs/>
        </w:rPr>
        <w:t xml:space="preserve"> </w:t>
      </w:r>
      <w:r w:rsidR="00A4264F" w:rsidRPr="00A4264F">
        <w:t>beyond the pale and as being immune to damages claims in respect of their incorrect and negligent (but not made</w:t>
      </w:r>
      <w:r w:rsidR="00A4264F">
        <w:rPr>
          <w:i/>
          <w:iCs/>
        </w:rPr>
        <w:t xml:space="preserve"> </w:t>
      </w:r>
      <w:r w:rsidR="00A4264F" w:rsidRPr="00A4264F">
        <w:t>in bad faith) by reason of public policy considerations, the overriding consideration being that, by the very nature of the adjudication process, rights will be affected and that the process will bog down unless decisions can be made without fear of damages claims, something that must impact on the independence of the adjudicator.</w:t>
      </w:r>
      <w:r w:rsidR="0076241F">
        <w:t xml:space="preserve"> An example on the other side of the coin, where the court has felt compelled by policy considerations to permit a private law remedy </w:t>
      </w:r>
      <w:r w:rsidR="004B1831">
        <w:t xml:space="preserve">is that of </w:t>
      </w:r>
      <w:r w:rsidR="004B1831" w:rsidRPr="008346BA">
        <w:rPr>
          <w:i/>
          <w:iCs/>
        </w:rPr>
        <w:t>Minister</w:t>
      </w:r>
      <w:r w:rsidR="0076241F" w:rsidRPr="006157CB">
        <w:rPr>
          <w:i/>
          <w:iCs/>
        </w:rPr>
        <w:t xml:space="preserve"> of Finance v Gore</w:t>
      </w:r>
      <w:r w:rsidR="0076241F">
        <w:t xml:space="preserve"> 2007 (1) SA 111 (SCA) in which the loss of a contract</w:t>
      </w:r>
      <w:r w:rsidR="004B1831">
        <w:t xml:space="preserve"> (in a tender </w:t>
      </w:r>
      <w:r w:rsidR="00947583">
        <w:t>process) had</w:t>
      </w:r>
      <w:r w:rsidR="0076241F">
        <w:t xml:space="preserve"> been brought about by dishonesty or fraud on the part of the public officials concerned.  </w:t>
      </w:r>
      <w:r w:rsidR="0073172E">
        <w:t xml:space="preserve">In </w:t>
      </w:r>
      <w:r w:rsidR="0073172E" w:rsidRPr="0073172E">
        <w:rPr>
          <w:i/>
          <w:iCs/>
        </w:rPr>
        <w:t>Olitzki</w:t>
      </w:r>
      <w:r w:rsidR="0073172E">
        <w:t>, where the defendant’s conduct was found to be deliberate and dishonest, the court noted that these factors “strongly” suggested a basis for liability to following damages even where a public tender is being awarded.</w:t>
      </w:r>
    </w:p>
  </w:footnote>
  <w:footnote w:id="47">
    <w:p w14:paraId="303F0213" w14:textId="2518A27A" w:rsidR="00047AED" w:rsidRPr="00047AED" w:rsidRDefault="00047AED" w:rsidP="007744CC">
      <w:pPr>
        <w:pStyle w:val="FootnoteText"/>
        <w:jc w:val="both"/>
        <w:rPr>
          <w:lang w:val="en-GB"/>
        </w:rPr>
      </w:pPr>
      <w:r>
        <w:rPr>
          <w:rStyle w:val="FootnoteReference"/>
        </w:rPr>
        <w:footnoteRef/>
      </w:r>
      <w:r>
        <w:t xml:space="preserve"> </w:t>
      </w:r>
      <w:r w:rsidR="004B1831">
        <w:t xml:space="preserve"> </w:t>
      </w:r>
      <w:r w:rsidR="004B1831">
        <w:rPr>
          <w:lang w:val="en-GB"/>
        </w:rPr>
        <w:t>Section 116 of the Local Government: Municipal Systems Act, No</w:t>
      </w:r>
      <w:r w:rsidR="007744CC">
        <w:rPr>
          <w:lang w:val="en-GB"/>
        </w:rPr>
        <w:t>.</w:t>
      </w:r>
      <w:r w:rsidR="004B1831">
        <w:rPr>
          <w:lang w:val="en-GB"/>
        </w:rPr>
        <w:t xml:space="preserve"> 32 of 2000 provides that public servitudes are under the control of the municipality which must protect and enforce the rights of the local community arising from these servitudes. Local authorities also have obligations with regard to maintaining the accuracy of </w:t>
      </w:r>
      <w:r w:rsidR="00947583">
        <w:rPr>
          <w:lang w:val="en-GB"/>
        </w:rPr>
        <w:t>details</w:t>
      </w:r>
      <w:r w:rsidR="004B1831">
        <w:rPr>
          <w:lang w:val="en-GB"/>
        </w:rPr>
        <w:t xml:space="preserve"> </w:t>
      </w:r>
      <w:r w:rsidR="00947583">
        <w:rPr>
          <w:lang w:val="en-GB"/>
        </w:rPr>
        <w:t>required pursuant to</w:t>
      </w:r>
      <w:r w:rsidR="004B1831">
        <w:rPr>
          <w:lang w:val="en-GB"/>
        </w:rPr>
        <w:t xml:space="preserve"> the Land Survey Act, No</w:t>
      </w:r>
      <w:r w:rsidR="00947583">
        <w:rPr>
          <w:lang w:val="en-GB"/>
        </w:rPr>
        <w:t xml:space="preserve"> 8 of 1997. In this instance there is also the suggestion of evidence that will establish that the municipality is in possession of original service plans </w:t>
      </w:r>
      <w:r w:rsidR="0073172E">
        <w:rPr>
          <w:lang w:val="en-GB"/>
        </w:rPr>
        <w:t>that reflect the existence and presence of the pipe and high voltage cables that are the subject of the trust’s claims.</w:t>
      </w:r>
    </w:p>
  </w:footnote>
  <w:footnote w:id="48">
    <w:p w14:paraId="7C8CE6D4" w14:textId="016D867D" w:rsidR="007D560D" w:rsidRPr="007D560D" w:rsidRDefault="007D560D" w:rsidP="007744CC">
      <w:pPr>
        <w:pStyle w:val="FootnoteText"/>
        <w:jc w:val="both"/>
        <w:rPr>
          <w:lang w:val="en-GB"/>
        </w:rPr>
      </w:pPr>
      <w:r>
        <w:rPr>
          <w:rStyle w:val="FootnoteReference"/>
        </w:rPr>
        <w:footnoteRef/>
      </w:r>
      <w:r>
        <w:t xml:space="preserve"> </w:t>
      </w:r>
      <w:r>
        <w:rPr>
          <w:lang w:val="en-US"/>
        </w:rPr>
        <w:t xml:space="preserve">This presupposes an already established category of claim for pure economic loss where the plaintiff can show a right or legally recognized interest the defendant has infringed without having to extend the law of delict. See </w:t>
      </w:r>
      <w:r w:rsidRPr="00DA1280">
        <w:rPr>
          <w:i/>
          <w:iCs/>
          <w:lang w:val="en-US"/>
        </w:rPr>
        <w:t>Country Cloud Trading CC v MEC, Department of Infrastructure Development, Gauteng</w:t>
      </w:r>
      <w:r>
        <w:rPr>
          <w:lang w:val="en-US"/>
        </w:rPr>
        <w:t xml:space="preserve"> 2014 (12) BCLR 1397 (CC) at paragraph [23] in which the </w:t>
      </w:r>
      <w:r w:rsidRPr="00854D0A">
        <w:rPr>
          <w:lang w:val="en-US"/>
        </w:rPr>
        <w:t xml:space="preserve">court refers to the classic example in </w:t>
      </w:r>
      <w:r w:rsidRPr="00854D0A">
        <w:rPr>
          <w:rFonts w:eastAsia="Times New Roman" w:cstheme="minorHAnsi"/>
          <w:i/>
          <w:iCs/>
          <w:color w:val="000000"/>
          <w:lang w:eastAsia="en-ZA"/>
        </w:rPr>
        <w:t>Mukheiber v Raath and</w:t>
      </w:r>
      <w:r>
        <w:rPr>
          <w:rFonts w:eastAsia="Times New Roman" w:cstheme="minorHAnsi"/>
          <w:i/>
          <w:iCs/>
          <w:color w:val="000000"/>
          <w:lang w:eastAsia="en-ZA"/>
        </w:rPr>
        <w:t xml:space="preserve"> </w:t>
      </w:r>
      <w:r w:rsidRPr="00854D0A">
        <w:rPr>
          <w:rFonts w:eastAsia="Times New Roman" w:cstheme="minorHAnsi"/>
          <w:i/>
          <w:iCs/>
          <w:color w:val="000000"/>
          <w:lang w:eastAsia="en-ZA"/>
        </w:rPr>
        <w:t>others </w:t>
      </w:r>
      <w:r w:rsidRPr="00854D0A">
        <w:rPr>
          <w:rFonts w:eastAsia="Times New Roman" w:cstheme="minorHAnsi"/>
          <w:color w:val="000000"/>
          <w:lang w:eastAsia="en-ZA"/>
        </w:rPr>
        <w:t>1999 (3) SA 1065 (SCA).</w:t>
      </w:r>
      <w:r>
        <w:rPr>
          <w:rFonts w:eastAsia="Times New Roman" w:cstheme="minorHAnsi"/>
          <w:color w:val="000000"/>
          <w:lang w:eastAsia="en-ZA"/>
        </w:rPr>
        <w:t xml:space="preserve"> I imagine though that it would have to be relooked at through the prism of public policy considerations applicable to an administrative law setting</w:t>
      </w:r>
      <w:r w:rsidR="00301533">
        <w:rPr>
          <w:rFonts w:eastAsia="Times New Roman" w:cstheme="minorHAnsi"/>
          <w:color w:val="000000"/>
          <w:lang w:eastAsia="en-ZA"/>
        </w:rPr>
        <w:t xml:space="preserve">. </w:t>
      </w:r>
    </w:p>
  </w:footnote>
  <w:footnote w:id="49">
    <w:p w14:paraId="428994F0" w14:textId="71211FEA" w:rsidR="0073172E" w:rsidRPr="0073172E" w:rsidRDefault="0073172E" w:rsidP="007744CC">
      <w:pPr>
        <w:pStyle w:val="FootnoteText"/>
        <w:jc w:val="both"/>
        <w:rPr>
          <w:lang w:val="en-GB"/>
        </w:rPr>
      </w:pPr>
      <w:r>
        <w:rPr>
          <w:rStyle w:val="FootnoteReference"/>
        </w:rPr>
        <w:footnoteRef/>
      </w:r>
      <w:r>
        <w:t xml:space="preserve"> See </w:t>
      </w:r>
      <w:r w:rsidRPr="000C735B">
        <w:rPr>
          <w:i/>
          <w:iCs/>
        </w:rPr>
        <w:t>Esorfrank</w:t>
      </w:r>
      <w:r>
        <w:t>i at [42] where the court held that the intensity</w:t>
      </w:r>
      <w:r w:rsidR="000C735B">
        <w:t xml:space="preserve"> of the defendant’s fault is also relevant to the wrongful enquiry.</w:t>
      </w:r>
    </w:p>
  </w:footnote>
  <w:footnote w:id="50">
    <w:p w14:paraId="3CB35CD6" w14:textId="1FF3EDC1" w:rsidR="00DD3AB0" w:rsidRPr="00551E35" w:rsidRDefault="00DD3AB0" w:rsidP="007744CC">
      <w:pPr>
        <w:pStyle w:val="FootnoteText"/>
        <w:jc w:val="both"/>
        <w:rPr>
          <w:lang w:val="en-GB"/>
        </w:rPr>
      </w:pPr>
      <w:r>
        <w:rPr>
          <w:rStyle w:val="FootnoteReference"/>
        </w:rPr>
        <w:footnoteRef/>
      </w:r>
      <w:r>
        <w:t xml:space="preserve"> </w:t>
      </w:r>
      <w:r w:rsidR="000C735B" w:rsidRPr="000C735B">
        <w:rPr>
          <w:i/>
          <w:iCs/>
        </w:rPr>
        <w:t>Supra.</w:t>
      </w:r>
    </w:p>
  </w:footnote>
  <w:footnote w:id="51">
    <w:p w14:paraId="47FD4D18" w14:textId="77777777" w:rsidR="00DD3AB0" w:rsidRPr="00EE499A" w:rsidRDefault="00DD3AB0" w:rsidP="007744CC">
      <w:pPr>
        <w:pStyle w:val="FootnoteText"/>
        <w:jc w:val="both"/>
        <w:rPr>
          <w:lang w:val="en-GB"/>
        </w:rPr>
      </w:pPr>
      <w:r>
        <w:rPr>
          <w:rStyle w:val="FootnoteReference"/>
        </w:rPr>
        <w:footnoteRef/>
      </w:r>
      <w:r>
        <w:t xml:space="preserve"> </w:t>
      </w:r>
      <w:r>
        <w:rPr>
          <w:lang w:val="en-GB"/>
        </w:rPr>
        <w:t>At paragraph [47].</w:t>
      </w:r>
    </w:p>
  </w:footnote>
  <w:footnote w:id="52">
    <w:p w14:paraId="293EBFC4" w14:textId="77777777" w:rsidR="00A9397F" w:rsidRPr="006A7483" w:rsidRDefault="00A9397F" w:rsidP="007744CC">
      <w:pPr>
        <w:pStyle w:val="FootnoteText"/>
        <w:jc w:val="both"/>
        <w:rPr>
          <w:lang w:val="en-GB"/>
        </w:rPr>
      </w:pPr>
      <w:r>
        <w:rPr>
          <w:rStyle w:val="FootnoteReference"/>
        </w:rPr>
        <w:footnoteRef/>
      </w:r>
      <w:r>
        <w:t xml:space="preserve"> </w:t>
      </w:r>
      <w:r w:rsidRPr="006157CB">
        <w:rPr>
          <w:i/>
          <w:iCs/>
          <w:lang w:val="en-GB"/>
        </w:rPr>
        <w:t>South African National Parks v Ras</w:t>
      </w:r>
      <w:r>
        <w:rPr>
          <w:lang w:val="en-GB"/>
        </w:rPr>
        <w:t xml:space="preserve"> 2002 (2) SA 537 (C) at 541ff.</w:t>
      </w:r>
    </w:p>
  </w:footnote>
  <w:footnote w:id="53">
    <w:p w14:paraId="674F972B" w14:textId="77777777" w:rsidR="00A9397F" w:rsidRPr="006A7483" w:rsidRDefault="00A9397F" w:rsidP="007744CC">
      <w:pPr>
        <w:pStyle w:val="FootnoteText"/>
        <w:jc w:val="both"/>
        <w:rPr>
          <w:lang w:val="en-GB"/>
        </w:rPr>
      </w:pPr>
      <w:r>
        <w:rPr>
          <w:rStyle w:val="FootnoteReference"/>
        </w:rPr>
        <w:footnoteRef/>
      </w:r>
      <w:r>
        <w:t xml:space="preserve"> </w:t>
      </w:r>
      <w:r w:rsidRPr="006157CB">
        <w:rPr>
          <w:i/>
          <w:iCs/>
        </w:rPr>
        <w:t>Herbstein and Van Winsen, Supra</w:t>
      </w:r>
      <w:r>
        <w:t>, at 639 and the authorities set out in footnote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298237"/>
      <w:docPartObj>
        <w:docPartGallery w:val="Page Numbers (Top of Page)"/>
        <w:docPartUnique/>
      </w:docPartObj>
    </w:sdtPr>
    <w:sdtEndPr>
      <w:rPr>
        <w:noProof/>
      </w:rPr>
    </w:sdtEndPr>
    <w:sdtContent>
      <w:p w14:paraId="23A7A9DA" w14:textId="71191C3A" w:rsidR="009F7886" w:rsidRDefault="00906F61">
        <w:pPr>
          <w:pStyle w:val="Header"/>
          <w:jc w:val="center"/>
        </w:pPr>
        <w:r>
          <w:fldChar w:fldCharType="begin"/>
        </w:r>
        <w:r>
          <w:instrText xml:space="preserve"> PAGE   \* MERGEFORMAT </w:instrText>
        </w:r>
        <w:r>
          <w:fldChar w:fldCharType="separate"/>
        </w:r>
        <w:r w:rsidR="0034627C">
          <w:rPr>
            <w:noProof/>
          </w:rPr>
          <w:t>22</w:t>
        </w:r>
        <w:r>
          <w:rPr>
            <w:noProof/>
          </w:rPr>
          <w:fldChar w:fldCharType="end"/>
        </w:r>
      </w:p>
    </w:sdtContent>
  </w:sdt>
  <w:p w14:paraId="722BD966" w14:textId="77777777" w:rsidR="009F7886" w:rsidRDefault="009F7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36629"/>
    <w:multiLevelType w:val="hybridMultilevel"/>
    <w:tmpl w:val="53C061A6"/>
    <w:lvl w:ilvl="0" w:tplc="72EE959C">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E5E40C1"/>
    <w:multiLevelType w:val="hybridMultilevel"/>
    <w:tmpl w:val="6EFE8064"/>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06E160D"/>
    <w:multiLevelType w:val="multilevel"/>
    <w:tmpl w:val="522E41C8"/>
    <w:lvl w:ilvl="0">
      <w:start w:val="23"/>
      <w:numFmt w:val="decimal"/>
      <w:lvlText w:val="%1"/>
      <w:lvlJc w:val="left"/>
      <w:pPr>
        <w:ind w:left="525" w:hanging="525"/>
      </w:pPr>
      <w:rPr>
        <w:rFonts w:hint="default"/>
        <w:u w:val="none"/>
      </w:rPr>
    </w:lvl>
    <w:lvl w:ilvl="1">
      <w:start w:val="1"/>
      <w:numFmt w:val="decimal"/>
      <w:lvlText w:val="%1.%2"/>
      <w:lvlJc w:val="left"/>
      <w:pPr>
        <w:ind w:left="525" w:hanging="52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
    <w:nsid w:val="34586242"/>
    <w:multiLevelType w:val="multilevel"/>
    <w:tmpl w:val="AC02544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4F2349D"/>
    <w:multiLevelType w:val="hybridMultilevel"/>
    <w:tmpl w:val="6AB4FCF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D4E6162"/>
    <w:multiLevelType w:val="hybridMultilevel"/>
    <w:tmpl w:val="91F6EF4A"/>
    <w:lvl w:ilvl="0" w:tplc="6C4E5B14">
      <w:start w:val="1"/>
      <w:numFmt w:val="decimal"/>
      <w:lvlText w:val="[%1]"/>
      <w:lvlJc w:val="left"/>
      <w:pPr>
        <w:ind w:left="720" w:hanging="360"/>
      </w:pPr>
      <w:rPr>
        <w:rFonts w:hint="default"/>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37EE1"/>
    <w:multiLevelType w:val="multilevel"/>
    <w:tmpl w:val="C736DD80"/>
    <w:lvl w:ilvl="0">
      <w:start w:val="34"/>
      <w:numFmt w:val="decimal"/>
      <w:lvlText w:val="%1"/>
      <w:lvlJc w:val="left"/>
      <w:pPr>
        <w:ind w:left="490" w:hanging="490"/>
      </w:pPr>
      <w:rPr>
        <w:rFonts w:hint="default"/>
        <w:u w:val="none"/>
      </w:rPr>
    </w:lvl>
    <w:lvl w:ilvl="1">
      <w:start w:val="1"/>
      <w:numFmt w:val="decimal"/>
      <w:lvlText w:val="%1.%2"/>
      <w:lvlJc w:val="left"/>
      <w:pPr>
        <w:ind w:left="1200" w:hanging="49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3210" w:hanging="108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990" w:hanging="144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770" w:hanging="1800"/>
      </w:pPr>
      <w:rPr>
        <w:rFonts w:hint="default"/>
        <w:u w:val="none"/>
      </w:rPr>
    </w:lvl>
    <w:lvl w:ilvl="8">
      <w:start w:val="1"/>
      <w:numFmt w:val="decimal"/>
      <w:lvlText w:val="%1.%2.%3.%4.%5.%6.%7.%8.%9"/>
      <w:lvlJc w:val="left"/>
      <w:pPr>
        <w:ind w:left="7840" w:hanging="2160"/>
      </w:pPr>
      <w:rPr>
        <w:rFonts w:hint="default"/>
        <w:u w:val="none"/>
      </w:rPr>
    </w:lvl>
  </w:abstractNum>
  <w:abstractNum w:abstractNumId="7">
    <w:nsid w:val="643B6EF6"/>
    <w:multiLevelType w:val="hybridMultilevel"/>
    <w:tmpl w:val="5B320884"/>
    <w:lvl w:ilvl="0" w:tplc="56767E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782F07B8"/>
    <w:multiLevelType w:val="multilevel"/>
    <w:tmpl w:val="876E2682"/>
    <w:lvl w:ilvl="0">
      <w:start w:val="22"/>
      <w:numFmt w:val="decimal"/>
      <w:lvlText w:val="%1"/>
      <w:lvlJc w:val="left"/>
      <w:pPr>
        <w:ind w:left="525" w:hanging="525"/>
      </w:pPr>
      <w:rPr>
        <w:rFonts w:hint="default"/>
        <w:u w:val="none"/>
      </w:rPr>
    </w:lvl>
    <w:lvl w:ilvl="1">
      <w:start w:val="1"/>
      <w:numFmt w:val="decimal"/>
      <w:lvlText w:val="%1.%2"/>
      <w:lvlJc w:val="left"/>
      <w:pPr>
        <w:ind w:left="1230" w:hanging="525"/>
      </w:pPr>
      <w:rPr>
        <w:rFonts w:hint="default"/>
        <w:u w:val="none"/>
      </w:rPr>
    </w:lvl>
    <w:lvl w:ilvl="2">
      <w:start w:val="1"/>
      <w:numFmt w:val="decimal"/>
      <w:lvlText w:val="%1.%2.%3"/>
      <w:lvlJc w:val="left"/>
      <w:pPr>
        <w:ind w:left="2130" w:hanging="720"/>
      </w:pPr>
      <w:rPr>
        <w:rFonts w:hint="default"/>
        <w:u w:val="none"/>
      </w:rPr>
    </w:lvl>
    <w:lvl w:ilvl="3">
      <w:start w:val="1"/>
      <w:numFmt w:val="decimal"/>
      <w:lvlText w:val="%1.%2.%3.%4"/>
      <w:lvlJc w:val="left"/>
      <w:pPr>
        <w:ind w:left="3195" w:hanging="1080"/>
      </w:pPr>
      <w:rPr>
        <w:rFonts w:hint="default"/>
        <w:u w:val="none"/>
      </w:rPr>
    </w:lvl>
    <w:lvl w:ilvl="4">
      <w:start w:val="1"/>
      <w:numFmt w:val="decimal"/>
      <w:lvlText w:val="%1.%2.%3.%4.%5"/>
      <w:lvlJc w:val="left"/>
      <w:pPr>
        <w:ind w:left="3900" w:hanging="1080"/>
      </w:pPr>
      <w:rPr>
        <w:rFonts w:hint="default"/>
        <w:u w:val="none"/>
      </w:rPr>
    </w:lvl>
    <w:lvl w:ilvl="5">
      <w:start w:val="1"/>
      <w:numFmt w:val="decimal"/>
      <w:lvlText w:val="%1.%2.%3.%4.%5.%6"/>
      <w:lvlJc w:val="left"/>
      <w:pPr>
        <w:ind w:left="4965" w:hanging="1440"/>
      </w:pPr>
      <w:rPr>
        <w:rFonts w:hint="default"/>
        <w:u w:val="none"/>
      </w:rPr>
    </w:lvl>
    <w:lvl w:ilvl="6">
      <w:start w:val="1"/>
      <w:numFmt w:val="decimal"/>
      <w:lvlText w:val="%1.%2.%3.%4.%5.%6.%7"/>
      <w:lvlJc w:val="left"/>
      <w:pPr>
        <w:ind w:left="5670" w:hanging="1440"/>
      </w:pPr>
      <w:rPr>
        <w:rFonts w:hint="default"/>
        <w:u w:val="none"/>
      </w:rPr>
    </w:lvl>
    <w:lvl w:ilvl="7">
      <w:start w:val="1"/>
      <w:numFmt w:val="decimal"/>
      <w:lvlText w:val="%1.%2.%3.%4.%5.%6.%7.%8"/>
      <w:lvlJc w:val="left"/>
      <w:pPr>
        <w:ind w:left="6735" w:hanging="1800"/>
      </w:pPr>
      <w:rPr>
        <w:rFonts w:hint="default"/>
        <w:u w:val="none"/>
      </w:rPr>
    </w:lvl>
    <w:lvl w:ilvl="8">
      <w:start w:val="1"/>
      <w:numFmt w:val="decimal"/>
      <w:lvlText w:val="%1.%2.%3.%4.%5.%6.%7.%8.%9"/>
      <w:lvlJc w:val="left"/>
      <w:pPr>
        <w:ind w:left="7800" w:hanging="2160"/>
      </w:pPr>
      <w:rPr>
        <w:rFonts w:hint="default"/>
        <w:u w:val="none"/>
      </w:rPr>
    </w:lvl>
  </w:abstractNum>
  <w:abstractNum w:abstractNumId="9">
    <w:nsid w:val="7D39541C"/>
    <w:multiLevelType w:val="hybridMultilevel"/>
    <w:tmpl w:val="922643B6"/>
    <w:lvl w:ilvl="0" w:tplc="50EE33CC">
      <w:start w:val="23"/>
      <w:numFmt w:val="decimal"/>
      <w:lvlText w:val="%1."/>
      <w:lvlJc w:val="left"/>
      <w:pPr>
        <w:ind w:left="735" w:hanging="375"/>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3"/>
  </w:num>
  <w:num w:numId="6">
    <w:abstractNumId w:val="8"/>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D9"/>
    <w:rsid w:val="00003BF8"/>
    <w:rsid w:val="0000717A"/>
    <w:rsid w:val="0001421C"/>
    <w:rsid w:val="0001754A"/>
    <w:rsid w:val="00020B27"/>
    <w:rsid w:val="000451D5"/>
    <w:rsid w:val="00047AED"/>
    <w:rsid w:val="0005214F"/>
    <w:rsid w:val="00054019"/>
    <w:rsid w:val="0006211E"/>
    <w:rsid w:val="0006420D"/>
    <w:rsid w:val="000661B6"/>
    <w:rsid w:val="00070891"/>
    <w:rsid w:val="000735F1"/>
    <w:rsid w:val="00074FB6"/>
    <w:rsid w:val="00081C36"/>
    <w:rsid w:val="00081D2B"/>
    <w:rsid w:val="0008353A"/>
    <w:rsid w:val="00087736"/>
    <w:rsid w:val="00090887"/>
    <w:rsid w:val="00091700"/>
    <w:rsid w:val="00095FD7"/>
    <w:rsid w:val="000A0B9D"/>
    <w:rsid w:val="000A36D3"/>
    <w:rsid w:val="000A54FD"/>
    <w:rsid w:val="000A671D"/>
    <w:rsid w:val="000A7A9A"/>
    <w:rsid w:val="000B06DD"/>
    <w:rsid w:val="000B3139"/>
    <w:rsid w:val="000B31D5"/>
    <w:rsid w:val="000B3566"/>
    <w:rsid w:val="000C1A53"/>
    <w:rsid w:val="000C3D5D"/>
    <w:rsid w:val="000C42EF"/>
    <w:rsid w:val="000C5AB9"/>
    <w:rsid w:val="000C735B"/>
    <w:rsid w:val="000D0489"/>
    <w:rsid w:val="000D46A9"/>
    <w:rsid w:val="000D5A2F"/>
    <w:rsid w:val="000D6ECE"/>
    <w:rsid w:val="000E3DAB"/>
    <w:rsid w:val="000E5D13"/>
    <w:rsid w:val="000E62E7"/>
    <w:rsid w:val="000E6587"/>
    <w:rsid w:val="000F07CD"/>
    <w:rsid w:val="000F2CBD"/>
    <w:rsid w:val="001000AF"/>
    <w:rsid w:val="00102418"/>
    <w:rsid w:val="00103A82"/>
    <w:rsid w:val="00110336"/>
    <w:rsid w:val="0011083E"/>
    <w:rsid w:val="00120F8B"/>
    <w:rsid w:val="00130279"/>
    <w:rsid w:val="00130812"/>
    <w:rsid w:val="00130B61"/>
    <w:rsid w:val="00132102"/>
    <w:rsid w:val="00137F7B"/>
    <w:rsid w:val="00140243"/>
    <w:rsid w:val="0014201C"/>
    <w:rsid w:val="00142835"/>
    <w:rsid w:val="0014447E"/>
    <w:rsid w:val="00145FAA"/>
    <w:rsid w:val="001460D0"/>
    <w:rsid w:val="00150F12"/>
    <w:rsid w:val="00151CD3"/>
    <w:rsid w:val="00152DFE"/>
    <w:rsid w:val="001554A5"/>
    <w:rsid w:val="00156C93"/>
    <w:rsid w:val="00161E4A"/>
    <w:rsid w:val="001637E9"/>
    <w:rsid w:val="0016714D"/>
    <w:rsid w:val="001671AE"/>
    <w:rsid w:val="00170B0A"/>
    <w:rsid w:val="00170C93"/>
    <w:rsid w:val="001712F1"/>
    <w:rsid w:val="001779B3"/>
    <w:rsid w:val="00181F11"/>
    <w:rsid w:val="001863DD"/>
    <w:rsid w:val="00191DA5"/>
    <w:rsid w:val="00195927"/>
    <w:rsid w:val="001B48E5"/>
    <w:rsid w:val="001B5823"/>
    <w:rsid w:val="001B7FC6"/>
    <w:rsid w:val="001C020B"/>
    <w:rsid w:val="001C0668"/>
    <w:rsid w:val="001C0E57"/>
    <w:rsid w:val="001C1198"/>
    <w:rsid w:val="001C37A5"/>
    <w:rsid w:val="001C637A"/>
    <w:rsid w:val="001C6956"/>
    <w:rsid w:val="001D0D8E"/>
    <w:rsid w:val="001D229F"/>
    <w:rsid w:val="001D29E9"/>
    <w:rsid w:val="001D48E9"/>
    <w:rsid w:val="001E2B96"/>
    <w:rsid w:val="001E46DE"/>
    <w:rsid w:val="001E5CC7"/>
    <w:rsid w:val="001F3C6B"/>
    <w:rsid w:val="001F536C"/>
    <w:rsid w:val="00201078"/>
    <w:rsid w:val="00206F7A"/>
    <w:rsid w:val="0020736E"/>
    <w:rsid w:val="00207B34"/>
    <w:rsid w:val="00207E5C"/>
    <w:rsid w:val="002123ED"/>
    <w:rsid w:val="00213F0D"/>
    <w:rsid w:val="00217DC8"/>
    <w:rsid w:val="0022173C"/>
    <w:rsid w:val="00234629"/>
    <w:rsid w:val="00236670"/>
    <w:rsid w:val="00237DD4"/>
    <w:rsid w:val="002415D6"/>
    <w:rsid w:val="0024532E"/>
    <w:rsid w:val="002468DE"/>
    <w:rsid w:val="0025114B"/>
    <w:rsid w:val="002527EB"/>
    <w:rsid w:val="00252B34"/>
    <w:rsid w:val="00256B77"/>
    <w:rsid w:val="0027316E"/>
    <w:rsid w:val="00273A46"/>
    <w:rsid w:val="00280BCC"/>
    <w:rsid w:val="00280E00"/>
    <w:rsid w:val="002857D3"/>
    <w:rsid w:val="00290222"/>
    <w:rsid w:val="00290E49"/>
    <w:rsid w:val="00291E88"/>
    <w:rsid w:val="0029227A"/>
    <w:rsid w:val="00297AEA"/>
    <w:rsid w:val="002A173A"/>
    <w:rsid w:val="002A2529"/>
    <w:rsid w:val="002A41CF"/>
    <w:rsid w:val="002A611C"/>
    <w:rsid w:val="002B1077"/>
    <w:rsid w:val="002B1FED"/>
    <w:rsid w:val="002B21C3"/>
    <w:rsid w:val="002B69FD"/>
    <w:rsid w:val="002C2421"/>
    <w:rsid w:val="002C277E"/>
    <w:rsid w:val="002C441B"/>
    <w:rsid w:val="002C5766"/>
    <w:rsid w:val="002C7A43"/>
    <w:rsid w:val="002D1371"/>
    <w:rsid w:val="002D6897"/>
    <w:rsid w:val="002E1619"/>
    <w:rsid w:val="002E2B84"/>
    <w:rsid w:val="002E3775"/>
    <w:rsid w:val="002E41B9"/>
    <w:rsid w:val="002E6C0A"/>
    <w:rsid w:val="002E6F5A"/>
    <w:rsid w:val="002F6E31"/>
    <w:rsid w:val="003007D2"/>
    <w:rsid w:val="00301533"/>
    <w:rsid w:val="00302424"/>
    <w:rsid w:val="00320E49"/>
    <w:rsid w:val="0032121A"/>
    <w:rsid w:val="003273AF"/>
    <w:rsid w:val="00327D07"/>
    <w:rsid w:val="00334167"/>
    <w:rsid w:val="0033642B"/>
    <w:rsid w:val="00336C42"/>
    <w:rsid w:val="00341022"/>
    <w:rsid w:val="0034504F"/>
    <w:rsid w:val="00345951"/>
    <w:rsid w:val="00345A30"/>
    <w:rsid w:val="0034627C"/>
    <w:rsid w:val="00346387"/>
    <w:rsid w:val="003544C5"/>
    <w:rsid w:val="00356DFA"/>
    <w:rsid w:val="0036259F"/>
    <w:rsid w:val="003641B0"/>
    <w:rsid w:val="00370E3F"/>
    <w:rsid w:val="00371067"/>
    <w:rsid w:val="003712F4"/>
    <w:rsid w:val="00371AC4"/>
    <w:rsid w:val="003730DE"/>
    <w:rsid w:val="003747E0"/>
    <w:rsid w:val="00374BCB"/>
    <w:rsid w:val="00374E2D"/>
    <w:rsid w:val="003801E4"/>
    <w:rsid w:val="003A072C"/>
    <w:rsid w:val="003A16EE"/>
    <w:rsid w:val="003A6BF7"/>
    <w:rsid w:val="003B5DC4"/>
    <w:rsid w:val="003B5F44"/>
    <w:rsid w:val="003B79C1"/>
    <w:rsid w:val="003C063F"/>
    <w:rsid w:val="003C06C9"/>
    <w:rsid w:val="003C45FF"/>
    <w:rsid w:val="003C63AF"/>
    <w:rsid w:val="003D614D"/>
    <w:rsid w:val="003E0F22"/>
    <w:rsid w:val="003E1E1E"/>
    <w:rsid w:val="003E45BD"/>
    <w:rsid w:val="003E5B5A"/>
    <w:rsid w:val="003F03AA"/>
    <w:rsid w:val="003F3AE8"/>
    <w:rsid w:val="003F5D4E"/>
    <w:rsid w:val="00400A5C"/>
    <w:rsid w:val="00402112"/>
    <w:rsid w:val="0040245B"/>
    <w:rsid w:val="00405A3C"/>
    <w:rsid w:val="00412209"/>
    <w:rsid w:val="00413B4C"/>
    <w:rsid w:val="00420F25"/>
    <w:rsid w:val="00421707"/>
    <w:rsid w:val="00423339"/>
    <w:rsid w:val="004270E7"/>
    <w:rsid w:val="004314C5"/>
    <w:rsid w:val="00431AE8"/>
    <w:rsid w:val="00432EEB"/>
    <w:rsid w:val="00433E5D"/>
    <w:rsid w:val="004369C2"/>
    <w:rsid w:val="004379D7"/>
    <w:rsid w:val="004440CE"/>
    <w:rsid w:val="00451D16"/>
    <w:rsid w:val="00452A61"/>
    <w:rsid w:val="00452B99"/>
    <w:rsid w:val="004579BA"/>
    <w:rsid w:val="00462244"/>
    <w:rsid w:val="00464139"/>
    <w:rsid w:val="00464D00"/>
    <w:rsid w:val="0046556B"/>
    <w:rsid w:val="00472053"/>
    <w:rsid w:val="00472AD5"/>
    <w:rsid w:val="00473F14"/>
    <w:rsid w:val="00474158"/>
    <w:rsid w:val="00474EF0"/>
    <w:rsid w:val="00483E61"/>
    <w:rsid w:val="0048550A"/>
    <w:rsid w:val="004867C0"/>
    <w:rsid w:val="0049035B"/>
    <w:rsid w:val="00491807"/>
    <w:rsid w:val="004950D9"/>
    <w:rsid w:val="004955D3"/>
    <w:rsid w:val="004957AB"/>
    <w:rsid w:val="004975D4"/>
    <w:rsid w:val="004A2E69"/>
    <w:rsid w:val="004B01D9"/>
    <w:rsid w:val="004B0A0C"/>
    <w:rsid w:val="004B1831"/>
    <w:rsid w:val="004B1A57"/>
    <w:rsid w:val="004B26B1"/>
    <w:rsid w:val="004B4DD2"/>
    <w:rsid w:val="004B5ACB"/>
    <w:rsid w:val="004B673F"/>
    <w:rsid w:val="004B77C1"/>
    <w:rsid w:val="004C4A6E"/>
    <w:rsid w:val="004C5ED0"/>
    <w:rsid w:val="004C6458"/>
    <w:rsid w:val="004C77EA"/>
    <w:rsid w:val="004D522C"/>
    <w:rsid w:val="004E0506"/>
    <w:rsid w:val="004E1186"/>
    <w:rsid w:val="004E4078"/>
    <w:rsid w:val="004F0648"/>
    <w:rsid w:val="004F28A6"/>
    <w:rsid w:val="004F3E69"/>
    <w:rsid w:val="004F49FA"/>
    <w:rsid w:val="004F7B35"/>
    <w:rsid w:val="00501B68"/>
    <w:rsid w:val="00503DDF"/>
    <w:rsid w:val="005044BD"/>
    <w:rsid w:val="005046EE"/>
    <w:rsid w:val="00513739"/>
    <w:rsid w:val="0051645A"/>
    <w:rsid w:val="00523C3E"/>
    <w:rsid w:val="005252F0"/>
    <w:rsid w:val="005261F0"/>
    <w:rsid w:val="005300EF"/>
    <w:rsid w:val="00532134"/>
    <w:rsid w:val="0053442E"/>
    <w:rsid w:val="00534505"/>
    <w:rsid w:val="0053705D"/>
    <w:rsid w:val="005455E8"/>
    <w:rsid w:val="005464E7"/>
    <w:rsid w:val="00547FCD"/>
    <w:rsid w:val="00551E35"/>
    <w:rsid w:val="0055359A"/>
    <w:rsid w:val="005577BB"/>
    <w:rsid w:val="00557A84"/>
    <w:rsid w:val="00562F29"/>
    <w:rsid w:val="00565762"/>
    <w:rsid w:val="005705C0"/>
    <w:rsid w:val="005719F9"/>
    <w:rsid w:val="00571D1D"/>
    <w:rsid w:val="005725B2"/>
    <w:rsid w:val="005731BE"/>
    <w:rsid w:val="00573C2F"/>
    <w:rsid w:val="00574A98"/>
    <w:rsid w:val="005761F4"/>
    <w:rsid w:val="00577ED0"/>
    <w:rsid w:val="005834FB"/>
    <w:rsid w:val="00583BEF"/>
    <w:rsid w:val="00584A7A"/>
    <w:rsid w:val="0058514B"/>
    <w:rsid w:val="0058593F"/>
    <w:rsid w:val="00587AFE"/>
    <w:rsid w:val="005A08EB"/>
    <w:rsid w:val="005A2B21"/>
    <w:rsid w:val="005A4397"/>
    <w:rsid w:val="005B3A0E"/>
    <w:rsid w:val="005B42F9"/>
    <w:rsid w:val="005B55A7"/>
    <w:rsid w:val="005B7F37"/>
    <w:rsid w:val="005C0CDA"/>
    <w:rsid w:val="005C3777"/>
    <w:rsid w:val="005C5B1E"/>
    <w:rsid w:val="005D12DA"/>
    <w:rsid w:val="005E245E"/>
    <w:rsid w:val="005E27AA"/>
    <w:rsid w:val="005F09CF"/>
    <w:rsid w:val="005F1128"/>
    <w:rsid w:val="005F2498"/>
    <w:rsid w:val="005F59ED"/>
    <w:rsid w:val="005F7C26"/>
    <w:rsid w:val="00601C3D"/>
    <w:rsid w:val="006141B8"/>
    <w:rsid w:val="00614AB7"/>
    <w:rsid w:val="006157CB"/>
    <w:rsid w:val="006207BA"/>
    <w:rsid w:val="006244EC"/>
    <w:rsid w:val="006279A7"/>
    <w:rsid w:val="006322DE"/>
    <w:rsid w:val="00632C39"/>
    <w:rsid w:val="00633ED7"/>
    <w:rsid w:val="00637240"/>
    <w:rsid w:val="00637C8A"/>
    <w:rsid w:val="0064462D"/>
    <w:rsid w:val="006467A5"/>
    <w:rsid w:val="006472D7"/>
    <w:rsid w:val="0065274D"/>
    <w:rsid w:val="006540EE"/>
    <w:rsid w:val="0066180E"/>
    <w:rsid w:val="006641D6"/>
    <w:rsid w:val="00670526"/>
    <w:rsid w:val="006709E9"/>
    <w:rsid w:val="00671874"/>
    <w:rsid w:val="00671AE7"/>
    <w:rsid w:val="006729D1"/>
    <w:rsid w:val="00674A19"/>
    <w:rsid w:val="006761AA"/>
    <w:rsid w:val="00682556"/>
    <w:rsid w:val="00683B14"/>
    <w:rsid w:val="0069041A"/>
    <w:rsid w:val="006904DF"/>
    <w:rsid w:val="00692697"/>
    <w:rsid w:val="006955D9"/>
    <w:rsid w:val="00695772"/>
    <w:rsid w:val="006975A2"/>
    <w:rsid w:val="00697FC4"/>
    <w:rsid w:val="006A1BEF"/>
    <w:rsid w:val="006A4E16"/>
    <w:rsid w:val="006A7483"/>
    <w:rsid w:val="006A7565"/>
    <w:rsid w:val="006A7D05"/>
    <w:rsid w:val="006B1D84"/>
    <w:rsid w:val="006B49C4"/>
    <w:rsid w:val="006C062E"/>
    <w:rsid w:val="006C1732"/>
    <w:rsid w:val="006C36BD"/>
    <w:rsid w:val="006C3E94"/>
    <w:rsid w:val="006C54AC"/>
    <w:rsid w:val="006C5647"/>
    <w:rsid w:val="006D080F"/>
    <w:rsid w:val="006D0DDA"/>
    <w:rsid w:val="006D11B9"/>
    <w:rsid w:val="006D4546"/>
    <w:rsid w:val="006D459F"/>
    <w:rsid w:val="006D6B1D"/>
    <w:rsid w:val="006E17C7"/>
    <w:rsid w:val="006E3446"/>
    <w:rsid w:val="006E6B09"/>
    <w:rsid w:val="006F371E"/>
    <w:rsid w:val="006F4945"/>
    <w:rsid w:val="006F4967"/>
    <w:rsid w:val="006F5367"/>
    <w:rsid w:val="006F692A"/>
    <w:rsid w:val="006F6987"/>
    <w:rsid w:val="0070074F"/>
    <w:rsid w:val="00704B5F"/>
    <w:rsid w:val="00705BEB"/>
    <w:rsid w:val="00710AB3"/>
    <w:rsid w:val="00715963"/>
    <w:rsid w:val="00715CE5"/>
    <w:rsid w:val="00717B41"/>
    <w:rsid w:val="00720016"/>
    <w:rsid w:val="0072210A"/>
    <w:rsid w:val="00724240"/>
    <w:rsid w:val="00726B69"/>
    <w:rsid w:val="00730434"/>
    <w:rsid w:val="00730E7B"/>
    <w:rsid w:val="0073172E"/>
    <w:rsid w:val="00731E0D"/>
    <w:rsid w:val="00736661"/>
    <w:rsid w:val="00737D8E"/>
    <w:rsid w:val="007441CB"/>
    <w:rsid w:val="00744791"/>
    <w:rsid w:val="00744F7D"/>
    <w:rsid w:val="00750497"/>
    <w:rsid w:val="00755A50"/>
    <w:rsid w:val="00756F63"/>
    <w:rsid w:val="00760517"/>
    <w:rsid w:val="0076241F"/>
    <w:rsid w:val="00762F49"/>
    <w:rsid w:val="007744CC"/>
    <w:rsid w:val="007767E9"/>
    <w:rsid w:val="00777FB9"/>
    <w:rsid w:val="00780C67"/>
    <w:rsid w:val="00782C5A"/>
    <w:rsid w:val="007847D9"/>
    <w:rsid w:val="007861FF"/>
    <w:rsid w:val="00786A9D"/>
    <w:rsid w:val="00786B02"/>
    <w:rsid w:val="007955CD"/>
    <w:rsid w:val="007A4114"/>
    <w:rsid w:val="007A76B6"/>
    <w:rsid w:val="007B0FD6"/>
    <w:rsid w:val="007C067C"/>
    <w:rsid w:val="007C0EFA"/>
    <w:rsid w:val="007C11B1"/>
    <w:rsid w:val="007C7705"/>
    <w:rsid w:val="007C7AB0"/>
    <w:rsid w:val="007D03A4"/>
    <w:rsid w:val="007D3A31"/>
    <w:rsid w:val="007D41CE"/>
    <w:rsid w:val="007D560D"/>
    <w:rsid w:val="007D624B"/>
    <w:rsid w:val="007D6B50"/>
    <w:rsid w:val="007D71A5"/>
    <w:rsid w:val="007E3DF5"/>
    <w:rsid w:val="007E66F3"/>
    <w:rsid w:val="007E69F4"/>
    <w:rsid w:val="007E6AF2"/>
    <w:rsid w:val="007F0047"/>
    <w:rsid w:val="007F1E36"/>
    <w:rsid w:val="007F2C91"/>
    <w:rsid w:val="007F3AC2"/>
    <w:rsid w:val="007F60FE"/>
    <w:rsid w:val="008004C2"/>
    <w:rsid w:val="00804E24"/>
    <w:rsid w:val="00810E14"/>
    <w:rsid w:val="0081366C"/>
    <w:rsid w:val="00825D84"/>
    <w:rsid w:val="00827765"/>
    <w:rsid w:val="00830B2A"/>
    <w:rsid w:val="00832A85"/>
    <w:rsid w:val="00832ED4"/>
    <w:rsid w:val="008346BA"/>
    <w:rsid w:val="00835633"/>
    <w:rsid w:val="00841149"/>
    <w:rsid w:val="008428BD"/>
    <w:rsid w:val="00843380"/>
    <w:rsid w:val="00847FEB"/>
    <w:rsid w:val="00851AA9"/>
    <w:rsid w:val="00852297"/>
    <w:rsid w:val="00854D0A"/>
    <w:rsid w:val="0085598A"/>
    <w:rsid w:val="008570FD"/>
    <w:rsid w:val="00862001"/>
    <w:rsid w:val="008634CB"/>
    <w:rsid w:val="008716FA"/>
    <w:rsid w:val="00874410"/>
    <w:rsid w:val="00882FE8"/>
    <w:rsid w:val="008834DF"/>
    <w:rsid w:val="008849C4"/>
    <w:rsid w:val="008860D8"/>
    <w:rsid w:val="0088676B"/>
    <w:rsid w:val="008924AA"/>
    <w:rsid w:val="00893C3E"/>
    <w:rsid w:val="00893FBE"/>
    <w:rsid w:val="008946C8"/>
    <w:rsid w:val="0089524D"/>
    <w:rsid w:val="00896B75"/>
    <w:rsid w:val="008A08F3"/>
    <w:rsid w:val="008A52A2"/>
    <w:rsid w:val="008A7993"/>
    <w:rsid w:val="008B2C27"/>
    <w:rsid w:val="008C1621"/>
    <w:rsid w:val="008C192E"/>
    <w:rsid w:val="008C5E0E"/>
    <w:rsid w:val="008C74CE"/>
    <w:rsid w:val="008C77D0"/>
    <w:rsid w:val="008C7F60"/>
    <w:rsid w:val="008D45CC"/>
    <w:rsid w:val="008E1786"/>
    <w:rsid w:val="008E703E"/>
    <w:rsid w:val="008F183F"/>
    <w:rsid w:val="008F19D4"/>
    <w:rsid w:val="008F1CD3"/>
    <w:rsid w:val="008F2F0E"/>
    <w:rsid w:val="008F5FE6"/>
    <w:rsid w:val="00901089"/>
    <w:rsid w:val="00903C1B"/>
    <w:rsid w:val="00905240"/>
    <w:rsid w:val="00906951"/>
    <w:rsid w:val="00906F61"/>
    <w:rsid w:val="009147A8"/>
    <w:rsid w:val="00916B1B"/>
    <w:rsid w:val="00916F67"/>
    <w:rsid w:val="00921B13"/>
    <w:rsid w:val="00921D71"/>
    <w:rsid w:val="00922FB8"/>
    <w:rsid w:val="00936B59"/>
    <w:rsid w:val="00942A95"/>
    <w:rsid w:val="00944AF1"/>
    <w:rsid w:val="00947583"/>
    <w:rsid w:val="00951D4F"/>
    <w:rsid w:val="009521A9"/>
    <w:rsid w:val="00955978"/>
    <w:rsid w:val="009569E1"/>
    <w:rsid w:val="00957245"/>
    <w:rsid w:val="009616EF"/>
    <w:rsid w:val="00962020"/>
    <w:rsid w:val="009621DD"/>
    <w:rsid w:val="0096361F"/>
    <w:rsid w:val="009669AE"/>
    <w:rsid w:val="00972B13"/>
    <w:rsid w:val="00974CB8"/>
    <w:rsid w:val="0097704F"/>
    <w:rsid w:val="00980F95"/>
    <w:rsid w:val="00983E3F"/>
    <w:rsid w:val="009872BA"/>
    <w:rsid w:val="00987D02"/>
    <w:rsid w:val="009907BB"/>
    <w:rsid w:val="00990F53"/>
    <w:rsid w:val="00991CFD"/>
    <w:rsid w:val="009A3F96"/>
    <w:rsid w:val="009A6EE1"/>
    <w:rsid w:val="009B24A4"/>
    <w:rsid w:val="009B475E"/>
    <w:rsid w:val="009B7E91"/>
    <w:rsid w:val="009C18A7"/>
    <w:rsid w:val="009C190F"/>
    <w:rsid w:val="009C1B3A"/>
    <w:rsid w:val="009D13B5"/>
    <w:rsid w:val="009D471A"/>
    <w:rsid w:val="009D63AF"/>
    <w:rsid w:val="009D63CC"/>
    <w:rsid w:val="009E2FB8"/>
    <w:rsid w:val="009E4F12"/>
    <w:rsid w:val="009F0010"/>
    <w:rsid w:val="009F2794"/>
    <w:rsid w:val="009F773B"/>
    <w:rsid w:val="009F7886"/>
    <w:rsid w:val="009F7C3B"/>
    <w:rsid w:val="00A004EE"/>
    <w:rsid w:val="00A03EB6"/>
    <w:rsid w:val="00A11B2D"/>
    <w:rsid w:val="00A134A2"/>
    <w:rsid w:val="00A14718"/>
    <w:rsid w:val="00A17A4A"/>
    <w:rsid w:val="00A20511"/>
    <w:rsid w:val="00A27FFE"/>
    <w:rsid w:val="00A310CA"/>
    <w:rsid w:val="00A34977"/>
    <w:rsid w:val="00A351CA"/>
    <w:rsid w:val="00A35DBE"/>
    <w:rsid w:val="00A4264F"/>
    <w:rsid w:val="00A45033"/>
    <w:rsid w:val="00A51D0D"/>
    <w:rsid w:val="00A51FAE"/>
    <w:rsid w:val="00A54DDA"/>
    <w:rsid w:val="00A60119"/>
    <w:rsid w:val="00A6343B"/>
    <w:rsid w:val="00A63D9C"/>
    <w:rsid w:val="00A70452"/>
    <w:rsid w:val="00A71A61"/>
    <w:rsid w:val="00A724CC"/>
    <w:rsid w:val="00A727B7"/>
    <w:rsid w:val="00A760B1"/>
    <w:rsid w:val="00A90C60"/>
    <w:rsid w:val="00A91DDB"/>
    <w:rsid w:val="00A92438"/>
    <w:rsid w:val="00A9397F"/>
    <w:rsid w:val="00A966BF"/>
    <w:rsid w:val="00AA2263"/>
    <w:rsid w:val="00AA2616"/>
    <w:rsid w:val="00AA780C"/>
    <w:rsid w:val="00AB0E5F"/>
    <w:rsid w:val="00AC1701"/>
    <w:rsid w:val="00AC173D"/>
    <w:rsid w:val="00AC4A1C"/>
    <w:rsid w:val="00AC5CB2"/>
    <w:rsid w:val="00AC7428"/>
    <w:rsid w:val="00AD0586"/>
    <w:rsid w:val="00AD1CF9"/>
    <w:rsid w:val="00AD1FC3"/>
    <w:rsid w:val="00AD45AE"/>
    <w:rsid w:val="00AD7D5F"/>
    <w:rsid w:val="00AE178C"/>
    <w:rsid w:val="00AE3158"/>
    <w:rsid w:val="00AE3EED"/>
    <w:rsid w:val="00AE4BC0"/>
    <w:rsid w:val="00AF2860"/>
    <w:rsid w:val="00AF7C6D"/>
    <w:rsid w:val="00B01580"/>
    <w:rsid w:val="00B030D6"/>
    <w:rsid w:val="00B035FD"/>
    <w:rsid w:val="00B111E3"/>
    <w:rsid w:val="00B137D4"/>
    <w:rsid w:val="00B17040"/>
    <w:rsid w:val="00B21C40"/>
    <w:rsid w:val="00B23877"/>
    <w:rsid w:val="00B257D2"/>
    <w:rsid w:val="00B26B74"/>
    <w:rsid w:val="00B27A68"/>
    <w:rsid w:val="00B3150D"/>
    <w:rsid w:val="00B31884"/>
    <w:rsid w:val="00B34533"/>
    <w:rsid w:val="00B36BC8"/>
    <w:rsid w:val="00B46620"/>
    <w:rsid w:val="00B466C4"/>
    <w:rsid w:val="00B47E8F"/>
    <w:rsid w:val="00B51D1D"/>
    <w:rsid w:val="00B5330B"/>
    <w:rsid w:val="00B56E72"/>
    <w:rsid w:val="00B600F1"/>
    <w:rsid w:val="00B60DCD"/>
    <w:rsid w:val="00B62519"/>
    <w:rsid w:val="00B702A3"/>
    <w:rsid w:val="00B72BFF"/>
    <w:rsid w:val="00B74328"/>
    <w:rsid w:val="00B7576D"/>
    <w:rsid w:val="00B77C27"/>
    <w:rsid w:val="00B77D9B"/>
    <w:rsid w:val="00B8204E"/>
    <w:rsid w:val="00B8293F"/>
    <w:rsid w:val="00B82CB1"/>
    <w:rsid w:val="00B86210"/>
    <w:rsid w:val="00B944BE"/>
    <w:rsid w:val="00B97DC2"/>
    <w:rsid w:val="00BA0866"/>
    <w:rsid w:val="00BA2718"/>
    <w:rsid w:val="00BA3B59"/>
    <w:rsid w:val="00BA4BE6"/>
    <w:rsid w:val="00BA4ED2"/>
    <w:rsid w:val="00BA7031"/>
    <w:rsid w:val="00BB091D"/>
    <w:rsid w:val="00BB5231"/>
    <w:rsid w:val="00BB5A80"/>
    <w:rsid w:val="00BB7F3B"/>
    <w:rsid w:val="00BC1B3E"/>
    <w:rsid w:val="00BC4344"/>
    <w:rsid w:val="00BC61EF"/>
    <w:rsid w:val="00BD0748"/>
    <w:rsid w:val="00BE0AEB"/>
    <w:rsid w:val="00BE2D03"/>
    <w:rsid w:val="00BE46ED"/>
    <w:rsid w:val="00BE475A"/>
    <w:rsid w:val="00BF47D2"/>
    <w:rsid w:val="00C01691"/>
    <w:rsid w:val="00C03DBC"/>
    <w:rsid w:val="00C05D0F"/>
    <w:rsid w:val="00C07308"/>
    <w:rsid w:val="00C1654A"/>
    <w:rsid w:val="00C22F28"/>
    <w:rsid w:val="00C2301B"/>
    <w:rsid w:val="00C242CD"/>
    <w:rsid w:val="00C270C4"/>
    <w:rsid w:val="00C321C7"/>
    <w:rsid w:val="00C3403A"/>
    <w:rsid w:val="00C3624F"/>
    <w:rsid w:val="00C4104D"/>
    <w:rsid w:val="00C41071"/>
    <w:rsid w:val="00C4112A"/>
    <w:rsid w:val="00C415DA"/>
    <w:rsid w:val="00C41F39"/>
    <w:rsid w:val="00C42B89"/>
    <w:rsid w:val="00C43784"/>
    <w:rsid w:val="00C449C2"/>
    <w:rsid w:val="00C46DFC"/>
    <w:rsid w:val="00C479EF"/>
    <w:rsid w:val="00C504D2"/>
    <w:rsid w:val="00C530DC"/>
    <w:rsid w:val="00C5376B"/>
    <w:rsid w:val="00C54A14"/>
    <w:rsid w:val="00C57C23"/>
    <w:rsid w:val="00C60FBA"/>
    <w:rsid w:val="00C63F29"/>
    <w:rsid w:val="00C71B06"/>
    <w:rsid w:val="00C73F71"/>
    <w:rsid w:val="00C75503"/>
    <w:rsid w:val="00C77BCE"/>
    <w:rsid w:val="00C80886"/>
    <w:rsid w:val="00C85298"/>
    <w:rsid w:val="00C87BD0"/>
    <w:rsid w:val="00C954C8"/>
    <w:rsid w:val="00C9584A"/>
    <w:rsid w:val="00C979A6"/>
    <w:rsid w:val="00CA3C06"/>
    <w:rsid w:val="00CA3F49"/>
    <w:rsid w:val="00CB2014"/>
    <w:rsid w:val="00CB32EF"/>
    <w:rsid w:val="00CB44B8"/>
    <w:rsid w:val="00CB4980"/>
    <w:rsid w:val="00CB5A64"/>
    <w:rsid w:val="00CB716F"/>
    <w:rsid w:val="00CC2BEC"/>
    <w:rsid w:val="00CC2C21"/>
    <w:rsid w:val="00CC568A"/>
    <w:rsid w:val="00CD0CCB"/>
    <w:rsid w:val="00CD64E5"/>
    <w:rsid w:val="00CE14A5"/>
    <w:rsid w:val="00CE23EC"/>
    <w:rsid w:val="00CF0F78"/>
    <w:rsid w:val="00D0640D"/>
    <w:rsid w:val="00D10219"/>
    <w:rsid w:val="00D11306"/>
    <w:rsid w:val="00D16037"/>
    <w:rsid w:val="00D16451"/>
    <w:rsid w:val="00D17E40"/>
    <w:rsid w:val="00D22200"/>
    <w:rsid w:val="00D26A19"/>
    <w:rsid w:val="00D3184F"/>
    <w:rsid w:val="00D32CDB"/>
    <w:rsid w:val="00D35436"/>
    <w:rsid w:val="00D401C3"/>
    <w:rsid w:val="00D41809"/>
    <w:rsid w:val="00D4301A"/>
    <w:rsid w:val="00D43206"/>
    <w:rsid w:val="00D46687"/>
    <w:rsid w:val="00D520E3"/>
    <w:rsid w:val="00D5564C"/>
    <w:rsid w:val="00D55819"/>
    <w:rsid w:val="00D559B2"/>
    <w:rsid w:val="00D56CF5"/>
    <w:rsid w:val="00D6079C"/>
    <w:rsid w:val="00D61713"/>
    <w:rsid w:val="00D6776C"/>
    <w:rsid w:val="00D67EC1"/>
    <w:rsid w:val="00D70A1C"/>
    <w:rsid w:val="00D7138D"/>
    <w:rsid w:val="00D731CD"/>
    <w:rsid w:val="00D77D98"/>
    <w:rsid w:val="00D832DE"/>
    <w:rsid w:val="00D843A8"/>
    <w:rsid w:val="00D86345"/>
    <w:rsid w:val="00D91390"/>
    <w:rsid w:val="00D9196B"/>
    <w:rsid w:val="00D96163"/>
    <w:rsid w:val="00DA1280"/>
    <w:rsid w:val="00DA5891"/>
    <w:rsid w:val="00DA6747"/>
    <w:rsid w:val="00DA6DCE"/>
    <w:rsid w:val="00DA7055"/>
    <w:rsid w:val="00DB0110"/>
    <w:rsid w:val="00DB09B7"/>
    <w:rsid w:val="00DB2916"/>
    <w:rsid w:val="00DC35CC"/>
    <w:rsid w:val="00DC36A8"/>
    <w:rsid w:val="00DC57E7"/>
    <w:rsid w:val="00DC6649"/>
    <w:rsid w:val="00DD1C1A"/>
    <w:rsid w:val="00DD3AB0"/>
    <w:rsid w:val="00DD7366"/>
    <w:rsid w:val="00DE53E6"/>
    <w:rsid w:val="00DF0803"/>
    <w:rsid w:val="00DF3780"/>
    <w:rsid w:val="00DF3B4D"/>
    <w:rsid w:val="00DF4873"/>
    <w:rsid w:val="00DF6988"/>
    <w:rsid w:val="00DF6AAC"/>
    <w:rsid w:val="00DF79F5"/>
    <w:rsid w:val="00E01328"/>
    <w:rsid w:val="00E0149D"/>
    <w:rsid w:val="00E04A3B"/>
    <w:rsid w:val="00E16625"/>
    <w:rsid w:val="00E176BA"/>
    <w:rsid w:val="00E20216"/>
    <w:rsid w:val="00E31D54"/>
    <w:rsid w:val="00E32D1D"/>
    <w:rsid w:val="00E32E17"/>
    <w:rsid w:val="00E33594"/>
    <w:rsid w:val="00E33FFA"/>
    <w:rsid w:val="00E369A1"/>
    <w:rsid w:val="00E36E8F"/>
    <w:rsid w:val="00E415C4"/>
    <w:rsid w:val="00E42351"/>
    <w:rsid w:val="00E42955"/>
    <w:rsid w:val="00E43BA7"/>
    <w:rsid w:val="00E44D48"/>
    <w:rsid w:val="00E465BE"/>
    <w:rsid w:val="00E469F4"/>
    <w:rsid w:val="00E57789"/>
    <w:rsid w:val="00E657D6"/>
    <w:rsid w:val="00E73CDE"/>
    <w:rsid w:val="00E73F2F"/>
    <w:rsid w:val="00E76E2F"/>
    <w:rsid w:val="00E77348"/>
    <w:rsid w:val="00E774F7"/>
    <w:rsid w:val="00E77D60"/>
    <w:rsid w:val="00E84C8C"/>
    <w:rsid w:val="00E87E19"/>
    <w:rsid w:val="00E97E6A"/>
    <w:rsid w:val="00EA16FD"/>
    <w:rsid w:val="00EA1C5A"/>
    <w:rsid w:val="00EA42F3"/>
    <w:rsid w:val="00EB06BC"/>
    <w:rsid w:val="00EB389F"/>
    <w:rsid w:val="00EB708E"/>
    <w:rsid w:val="00EC080F"/>
    <w:rsid w:val="00EC2193"/>
    <w:rsid w:val="00ED23B9"/>
    <w:rsid w:val="00ED56F7"/>
    <w:rsid w:val="00ED62AD"/>
    <w:rsid w:val="00ED76A9"/>
    <w:rsid w:val="00EE0148"/>
    <w:rsid w:val="00EE2694"/>
    <w:rsid w:val="00EE499A"/>
    <w:rsid w:val="00EF045B"/>
    <w:rsid w:val="00EF20A6"/>
    <w:rsid w:val="00EF4126"/>
    <w:rsid w:val="00EF5D79"/>
    <w:rsid w:val="00EF6F84"/>
    <w:rsid w:val="00EF7AE3"/>
    <w:rsid w:val="00F0143F"/>
    <w:rsid w:val="00F02CC8"/>
    <w:rsid w:val="00F10AB5"/>
    <w:rsid w:val="00F17D6A"/>
    <w:rsid w:val="00F2086F"/>
    <w:rsid w:val="00F231F7"/>
    <w:rsid w:val="00F246A7"/>
    <w:rsid w:val="00F35019"/>
    <w:rsid w:val="00F35CC6"/>
    <w:rsid w:val="00F443D6"/>
    <w:rsid w:val="00F45214"/>
    <w:rsid w:val="00F57547"/>
    <w:rsid w:val="00F57F1D"/>
    <w:rsid w:val="00F62A6D"/>
    <w:rsid w:val="00F62BBB"/>
    <w:rsid w:val="00F631C2"/>
    <w:rsid w:val="00F633DB"/>
    <w:rsid w:val="00F63522"/>
    <w:rsid w:val="00F662E1"/>
    <w:rsid w:val="00F67804"/>
    <w:rsid w:val="00F71C3D"/>
    <w:rsid w:val="00F74982"/>
    <w:rsid w:val="00F74A0E"/>
    <w:rsid w:val="00F76269"/>
    <w:rsid w:val="00F76324"/>
    <w:rsid w:val="00F7681A"/>
    <w:rsid w:val="00F76F22"/>
    <w:rsid w:val="00F8236D"/>
    <w:rsid w:val="00F85D57"/>
    <w:rsid w:val="00F85D64"/>
    <w:rsid w:val="00F91703"/>
    <w:rsid w:val="00F92A18"/>
    <w:rsid w:val="00FA04A4"/>
    <w:rsid w:val="00FA5204"/>
    <w:rsid w:val="00FA64D9"/>
    <w:rsid w:val="00FA7312"/>
    <w:rsid w:val="00FB1952"/>
    <w:rsid w:val="00FC42EC"/>
    <w:rsid w:val="00FC7D45"/>
    <w:rsid w:val="00FD061B"/>
    <w:rsid w:val="00FD3AA1"/>
    <w:rsid w:val="00FD3DA9"/>
    <w:rsid w:val="00FD4D23"/>
    <w:rsid w:val="00FD6406"/>
    <w:rsid w:val="00FE4821"/>
    <w:rsid w:val="00FE5A54"/>
    <w:rsid w:val="00FE79F4"/>
    <w:rsid w:val="00FF21E7"/>
    <w:rsid w:val="00FF4E99"/>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F6FF"/>
  <w15:chartTrackingRefBased/>
  <w15:docId w15:val="{9FF62B81-35B2-4D89-A6F4-AC9A6069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D9"/>
    <w:pPr>
      <w:spacing w:after="0" w:line="360" w:lineRule="auto"/>
    </w:pPr>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01D9"/>
    <w:pPr>
      <w:spacing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4B01D9"/>
    <w:pPr>
      <w:ind w:left="720"/>
      <w:contextualSpacing/>
    </w:pPr>
  </w:style>
  <w:style w:type="paragraph" w:styleId="Header">
    <w:name w:val="header"/>
    <w:basedOn w:val="Normal"/>
    <w:link w:val="HeaderChar"/>
    <w:uiPriority w:val="99"/>
    <w:unhideWhenUsed/>
    <w:rsid w:val="004B01D9"/>
    <w:pPr>
      <w:tabs>
        <w:tab w:val="center" w:pos="4680"/>
        <w:tab w:val="right" w:pos="9360"/>
      </w:tabs>
      <w:spacing w:line="240" w:lineRule="auto"/>
    </w:pPr>
  </w:style>
  <w:style w:type="character" w:customStyle="1" w:styleId="HeaderChar">
    <w:name w:val="Header Char"/>
    <w:basedOn w:val="DefaultParagraphFont"/>
    <w:link w:val="Header"/>
    <w:uiPriority w:val="99"/>
    <w:rsid w:val="004B01D9"/>
    <w:rPr>
      <w:rFonts w:eastAsiaTheme="minorEastAsia"/>
      <w:lang w:val="en-ZA" w:eastAsia="en-GB"/>
    </w:rPr>
  </w:style>
  <w:style w:type="paragraph" w:styleId="Footer">
    <w:name w:val="footer"/>
    <w:basedOn w:val="Normal"/>
    <w:link w:val="FooterChar"/>
    <w:uiPriority w:val="99"/>
    <w:unhideWhenUsed/>
    <w:rsid w:val="004B01D9"/>
    <w:pPr>
      <w:tabs>
        <w:tab w:val="center" w:pos="4680"/>
        <w:tab w:val="right" w:pos="9360"/>
      </w:tabs>
      <w:spacing w:line="240" w:lineRule="auto"/>
    </w:pPr>
  </w:style>
  <w:style w:type="character" w:customStyle="1" w:styleId="FooterChar">
    <w:name w:val="Footer Char"/>
    <w:basedOn w:val="DefaultParagraphFont"/>
    <w:link w:val="Footer"/>
    <w:uiPriority w:val="99"/>
    <w:rsid w:val="004B01D9"/>
    <w:rPr>
      <w:rFonts w:eastAsiaTheme="minorEastAsia"/>
      <w:lang w:val="en-ZA" w:eastAsia="en-GB"/>
    </w:rPr>
  </w:style>
  <w:style w:type="paragraph" w:styleId="FootnoteText">
    <w:name w:val="footnote text"/>
    <w:basedOn w:val="Normal"/>
    <w:link w:val="FootnoteTextChar"/>
    <w:uiPriority w:val="99"/>
    <w:semiHidden/>
    <w:unhideWhenUsed/>
    <w:rsid w:val="004B01D9"/>
    <w:pPr>
      <w:spacing w:line="240" w:lineRule="auto"/>
    </w:pPr>
    <w:rPr>
      <w:sz w:val="20"/>
      <w:szCs w:val="20"/>
    </w:rPr>
  </w:style>
  <w:style w:type="character" w:customStyle="1" w:styleId="FootnoteTextChar">
    <w:name w:val="Footnote Text Char"/>
    <w:basedOn w:val="DefaultParagraphFont"/>
    <w:link w:val="FootnoteText"/>
    <w:uiPriority w:val="99"/>
    <w:semiHidden/>
    <w:rsid w:val="004B01D9"/>
    <w:rPr>
      <w:rFonts w:eastAsiaTheme="minorEastAsia"/>
      <w:sz w:val="20"/>
      <w:szCs w:val="20"/>
      <w:lang w:val="en-ZA" w:eastAsia="en-GB"/>
    </w:rPr>
  </w:style>
  <w:style w:type="character" w:styleId="FootnoteReference">
    <w:name w:val="footnote reference"/>
    <w:basedOn w:val="DefaultParagraphFont"/>
    <w:uiPriority w:val="99"/>
    <w:semiHidden/>
    <w:unhideWhenUsed/>
    <w:rsid w:val="004B01D9"/>
    <w:rPr>
      <w:vertAlign w:val="superscript"/>
    </w:rPr>
  </w:style>
  <w:style w:type="paragraph" w:customStyle="1" w:styleId="lg-section">
    <w:name w:val="lg-section"/>
    <w:basedOn w:val="Normal"/>
    <w:rsid w:val="004B01D9"/>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 w:type="paragraph" w:customStyle="1" w:styleId="lg-a-1">
    <w:name w:val="lg-a-1"/>
    <w:basedOn w:val="Normal"/>
    <w:rsid w:val="004B01D9"/>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 w:type="paragraph" w:customStyle="1" w:styleId="lg-para3">
    <w:name w:val="lg-para3"/>
    <w:basedOn w:val="Normal"/>
    <w:rsid w:val="004B01D9"/>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 w:type="character" w:styleId="Hyperlink">
    <w:name w:val="Hyperlink"/>
    <w:basedOn w:val="DefaultParagraphFont"/>
    <w:uiPriority w:val="99"/>
    <w:semiHidden/>
    <w:unhideWhenUsed/>
    <w:rsid w:val="004B01D9"/>
    <w:rPr>
      <w:color w:val="0000FF"/>
      <w:u w:val="single"/>
    </w:rPr>
  </w:style>
  <w:style w:type="paragraph" w:styleId="NormalWeb">
    <w:name w:val="Normal (Web)"/>
    <w:basedOn w:val="Normal"/>
    <w:uiPriority w:val="99"/>
    <w:unhideWhenUsed/>
    <w:rsid w:val="004B01D9"/>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 w:type="paragraph" w:customStyle="1" w:styleId="para1quad">
    <w:name w:val="para1quad"/>
    <w:basedOn w:val="Normal"/>
    <w:rsid w:val="004B01D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generator-item">
    <w:name w:val="generator-item"/>
    <w:basedOn w:val="Normal"/>
    <w:rsid w:val="004B01D9"/>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 w:type="paragraph" w:customStyle="1" w:styleId="normaltext">
    <w:name w:val="normaltext"/>
    <w:basedOn w:val="Normal"/>
    <w:rsid w:val="001F536C"/>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 w:type="character" w:customStyle="1" w:styleId="footnote-link">
    <w:name w:val="footnote-link"/>
    <w:basedOn w:val="DefaultParagraphFont"/>
    <w:rsid w:val="001F536C"/>
  </w:style>
  <w:style w:type="paragraph" w:customStyle="1" w:styleId="footnotes">
    <w:name w:val="footnotes"/>
    <w:basedOn w:val="Normal"/>
    <w:rsid w:val="00E415C4"/>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99E1-02A6-4AAE-9A7D-5AC0B1E5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4944</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Hartle</dc:creator>
  <cp:keywords/>
  <dc:description/>
  <cp:lastModifiedBy>Mokone</cp:lastModifiedBy>
  <cp:revision>3</cp:revision>
  <cp:lastPrinted>2023-08-29T09:16:00Z</cp:lastPrinted>
  <dcterms:created xsi:type="dcterms:W3CDTF">2023-10-10T10:55:00Z</dcterms:created>
  <dcterms:modified xsi:type="dcterms:W3CDTF">2023-10-10T10:59:00Z</dcterms:modified>
</cp:coreProperties>
</file>