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044B50" w:rsidRDefault="00D450B5" w:rsidP="00772E4B">
      <w:pPr>
        <w:autoSpaceDE w:val="0"/>
        <w:autoSpaceDN w:val="0"/>
        <w:adjustRightInd w:val="0"/>
        <w:jc w:val="right"/>
        <w:rPr>
          <w:lang w:val="en-GB"/>
        </w:rPr>
      </w:pPr>
      <w:bookmarkStart w:id="0" w:name="_GoBack"/>
      <w:bookmarkEnd w:id="0"/>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0A140927" w:rsidR="00D450B5" w:rsidRPr="00044B50" w:rsidRDefault="000E75F0" w:rsidP="00772E4B">
      <w:pPr>
        <w:jc w:val="center"/>
        <w:rPr>
          <w:b/>
          <w:bCs/>
          <w:lang w:val="en-GB"/>
        </w:rPr>
      </w:pPr>
      <w:r>
        <w:rPr>
          <w:b/>
          <w:bCs/>
          <w:lang w:val="en-GB"/>
        </w:rPr>
        <w:t>(</w:t>
      </w:r>
      <w:r w:rsidR="00D450B5" w:rsidRPr="00044B50">
        <w:rPr>
          <w:b/>
          <w:bCs/>
          <w:lang w:val="en-GB"/>
        </w:rPr>
        <w:t>EASTERN CAPE DIVISION,</w:t>
      </w:r>
      <w:r w:rsidR="00CA22C7">
        <w:rPr>
          <w:b/>
          <w:bCs/>
          <w:lang w:val="en-GB"/>
        </w:rPr>
        <w:t xml:space="preserve"> </w:t>
      </w:r>
      <w:r w:rsidR="00A76549">
        <w:rPr>
          <w:b/>
          <w:bCs/>
          <w:lang w:val="en-GB"/>
        </w:rPr>
        <w:t>GQEBERHA</w:t>
      </w:r>
      <w:r>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32A324EF" w:rsidR="00D450B5" w:rsidRPr="00044B50" w:rsidRDefault="00D450B5" w:rsidP="00772E4B">
      <w:pPr>
        <w:ind w:right="-52"/>
        <w:jc w:val="center"/>
        <w:rPr>
          <w:b/>
          <w:bCs/>
          <w:lang w:val="en-GB"/>
        </w:rPr>
      </w:pPr>
      <w:r w:rsidRPr="00044B50">
        <w:rPr>
          <w:lang w:val="en-GB"/>
        </w:rPr>
        <w:t xml:space="preserve">                                                                                   </w:t>
      </w:r>
      <w:r w:rsidR="006E3357">
        <w:rPr>
          <w:b/>
          <w:bCs/>
          <w:lang w:val="en-GB"/>
        </w:rPr>
        <w:t>OF INTEREST</w:t>
      </w:r>
      <w:r w:rsidRPr="00044B50">
        <w:rPr>
          <w:b/>
          <w:bCs/>
          <w:lang w:val="en-GB"/>
        </w:rPr>
        <w:t xml:space="preserve">                                     </w:t>
      </w:r>
    </w:p>
    <w:p w14:paraId="101AD6EF" w14:textId="77777777" w:rsidR="008A75F3" w:rsidRDefault="00E44987" w:rsidP="008A75F3">
      <w:pPr>
        <w:jc w:val="center"/>
        <w:rPr>
          <w:lang w:val="en-GB"/>
        </w:rPr>
      </w:pPr>
      <w:r w:rsidRPr="00044B50">
        <w:rPr>
          <w:lang w:val="en-GB"/>
        </w:rPr>
        <w:t xml:space="preserve">                                                                                                  </w:t>
      </w:r>
    </w:p>
    <w:p w14:paraId="4934DB4B" w14:textId="6ADB47A5" w:rsidR="00E44987" w:rsidRPr="00044B50" w:rsidRDefault="00E44987" w:rsidP="008A75F3">
      <w:pPr>
        <w:ind w:left="5760" w:firstLine="720"/>
        <w:rPr>
          <w:lang w:val="en-GB"/>
        </w:rPr>
      </w:pPr>
      <w:r w:rsidRPr="00044B50">
        <w:rPr>
          <w:lang w:val="en-GB"/>
        </w:rPr>
        <w:t xml:space="preserve">Case no: </w:t>
      </w:r>
      <w:r w:rsidR="000E75F0">
        <w:rPr>
          <w:lang w:val="en-GB"/>
        </w:rPr>
        <w:t>16/2022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72265A2C" w:rsidR="00D450B5" w:rsidRPr="000E75F0" w:rsidRDefault="00A76549" w:rsidP="008B4E99">
      <w:pPr>
        <w:tabs>
          <w:tab w:val="left" w:pos="7088"/>
          <w:tab w:val="right" w:pos="9072"/>
        </w:tabs>
        <w:suppressAutoHyphens/>
        <w:rPr>
          <w:b/>
          <w:lang w:val="en-GB"/>
        </w:rPr>
      </w:pPr>
      <w:r w:rsidRPr="000E75F0">
        <w:rPr>
          <w:b/>
          <w:bCs/>
          <w:lang w:val="en-GB"/>
        </w:rPr>
        <w:t>DONOVAN WOLF</w:t>
      </w:r>
      <w:r w:rsidR="00CD2E30" w:rsidRPr="000E75F0">
        <w:rPr>
          <w:b/>
          <w:lang w:val="en-GB"/>
        </w:rPr>
        <w:t xml:space="preserve"> </w:t>
      </w:r>
      <w:r w:rsidR="008B4E99" w:rsidRPr="000E75F0">
        <w:rPr>
          <w:b/>
          <w:lang w:val="en-GB"/>
        </w:rPr>
        <w:tab/>
        <w:t>APPLICANT</w:t>
      </w:r>
    </w:p>
    <w:p w14:paraId="50A760EA" w14:textId="77777777" w:rsidR="00F565D0" w:rsidRPr="000E75F0" w:rsidRDefault="00F565D0" w:rsidP="00772E4B">
      <w:pPr>
        <w:tabs>
          <w:tab w:val="right" w:pos="9072"/>
        </w:tabs>
        <w:suppressAutoHyphens/>
        <w:jc w:val="both"/>
        <w:rPr>
          <w:b/>
          <w:lang w:val="en-GB"/>
        </w:rPr>
      </w:pPr>
    </w:p>
    <w:p w14:paraId="460137EF" w14:textId="77777777" w:rsidR="00D450B5" w:rsidRPr="000E75F0" w:rsidRDefault="00D450B5" w:rsidP="00772E4B">
      <w:pPr>
        <w:jc w:val="both"/>
        <w:rPr>
          <w:lang w:val="en-GB"/>
        </w:rPr>
      </w:pPr>
      <w:r w:rsidRPr="000E75F0">
        <w:rPr>
          <w:lang w:val="en-GB"/>
        </w:rPr>
        <w:t>and</w:t>
      </w:r>
    </w:p>
    <w:p w14:paraId="37CBA823" w14:textId="4B4FCA3C" w:rsidR="00D450B5" w:rsidRPr="000E75F0" w:rsidRDefault="00D450B5" w:rsidP="00772E4B">
      <w:pPr>
        <w:jc w:val="both"/>
        <w:rPr>
          <w:b/>
          <w:lang w:val="en-GB"/>
        </w:rPr>
      </w:pPr>
    </w:p>
    <w:p w14:paraId="4F0E2CE6" w14:textId="7E5DF9A4" w:rsidR="00C246F2" w:rsidRPr="000E75F0" w:rsidRDefault="005F6519" w:rsidP="008B4E99">
      <w:pPr>
        <w:tabs>
          <w:tab w:val="left" w:pos="7088"/>
        </w:tabs>
        <w:jc w:val="both"/>
        <w:rPr>
          <w:b/>
          <w:bCs/>
          <w:lang w:val="en-GB"/>
        </w:rPr>
      </w:pPr>
      <w:r w:rsidRPr="000E75F0">
        <w:rPr>
          <w:b/>
          <w:bCs/>
          <w:lang w:val="en-GB"/>
        </w:rPr>
        <w:t>THE STATE</w:t>
      </w:r>
      <w:r w:rsidRPr="000E75F0">
        <w:rPr>
          <w:b/>
          <w:lang w:val="en-GB"/>
        </w:rPr>
        <w:t xml:space="preserve"> </w:t>
      </w:r>
      <w:r w:rsidR="008B4E99" w:rsidRPr="000E75F0">
        <w:rPr>
          <w:b/>
          <w:lang w:val="en-GB"/>
        </w:rPr>
        <w:tab/>
        <w:t>RESPONDENT</w:t>
      </w:r>
    </w:p>
    <w:p w14:paraId="76889E9C" w14:textId="24974D08" w:rsidR="00D450B5" w:rsidRPr="00051BFB" w:rsidRDefault="00D450B5" w:rsidP="00772E4B">
      <w:pPr>
        <w:jc w:val="both"/>
        <w:rPr>
          <w:lang w:val="en-GB"/>
        </w:rPr>
      </w:pPr>
      <w:r w:rsidRPr="00051BFB">
        <w:rPr>
          <w:lang w:val="en-GB"/>
        </w:rPr>
        <w:t>__________________________________________________________________</w:t>
      </w:r>
      <w:r w:rsidR="006B1DCE" w:rsidRPr="00051BFB">
        <w:rPr>
          <w:lang w:val="en-GB"/>
        </w:rPr>
        <w:t>_</w:t>
      </w:r>
    </w:p>
    <w:p w14:paraId="37FFD90E" w14:textId="77777777" w:rsidR="0009497C" w:rsidRPr="00051BFB" w:rsidRDefault="0009497C" w:rsidP="00772E4B">
      <w:pPr>
        <w:jc w:val="center"/>
        <w:rPr>
          <w:lang w:val="en-GB"/>
        </w:rPr>
      </w:pPr>
    </w:p>
    <w:p w14:paraId="7239B7A9" w14:textId="483808B3" w:rsidR="00D450B5" w:rsidRPr="00044B50" w:rsidRDefault="00D52F58" w:rsidP="00772E4B">
      <w:pPr>
        <w:jc w:val="center"/>
        <w:rPr>
          <w:b/>
          <w:bCs/>
          <w:lang w:val="en-GB"/>
        </w:rPr>
      </w:pPr>
      <w:r>
        <w:rPr>
          <w:b/>
          <w:bCs/>
          <w:lang w:val="en-GB"/>
        </w:rPr>
        <w:t>RULING</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197B46F8" w14:textId="7413820A" w:rsidR="00383E66" w:rsidRDefault="00383E66" w:rsidP="00383E66">
      <w:pPr>
        <w:pStyle w:val="ListParagraph"/>
        <w:autoSpaceDE w:val="0"/>
        <w:autoSpaceDN w:val="0"/>
        <w:adjustRightInd w:val="0"/>
        <w:ind w:left="0"/>
        <w:jc w:val="both"/>
        <w:rPr>
          <w:lang w:val="en-GB"/>
        </w:rPr>
      </w:pPr>
    </w:p>
    <w:p w14:paraId="2B70ABE6" w14:textId="48AE82E9" w:rsidR="001410AA" w:rsidRDefault="001410AA" w:rsidP="00383E66">
      <w:pPr>
        <w:pStyle w:val="ListParagraph"/>
        <w:autoSpaceDE w:val="0"/>
        <w:autoSpaceDN w:val="0"/>
        <w:adjustRightInd w:val="0"/>
        <w:ind w:left="0"/>
        <w:jc w:val="both"/>
        <w:rPr>
          <w:b/>
          <w:bCs/>
          <w:lang w:val="en-GB"/>
        </w:rPr>
      </w:pPr>
      <w:r>
        <w:rPr>
          <w:b/>
          <w:bCs/>
          <w:lang w:val="en-GB"/>
        </w:rPr>
        <w:t>Background</w:t>
      </w:r>
    </w:p>
    <w:p w14:paraId="69E101C7" w14:textId="77777777" w:rsidR="001410AA" w:rsidRPr="001410AA" w:rsidRDefault="001410AA" w:rsidP="00383E66">
      <w:pPr>
        <w:pStyle w:val="ListParagraph"/>
        <w:autoSpaceDE w:val="0"/>
        <w:autoSpaceDN w:val="0"/>
        <w:adjustRightInd w:val="0"/>
        <w:ind w:left="0"/>
        <w:jc w:val="both"/>
        <w:rPr>
          <w:b/>
          <w:bCs/>
          <w:lang w:val="en-GB"/>
        </w:rPr>
      </w:pPr>
    </w:p>
    <w:p w14:paraId="3251DF72" w14:textId="7C6972B8" w:rsidR="00383E66" w:rsidRPr="00821D0B" w:rsidRDefault="00821D0B" w:rsidP="00821D0B">
      <w:pPr>
        <w:autoSpaceDE w:val="0"/>
        <w:autoSpaceDN w:val="0"/>
        <w:adjustRightInd w:val="0"/>
        <w:jc w:val="both"/>
        <w:rPr>
          <w:lang w:val="en-GB"/>
        </w:rPr>
      </w:pPr>
      <w:r w:rsidRPr="00E91CFD">
        <w:rPr>
          <w:lang w:val="en-GB"/>
        </w:rPr>
        <w:t>[1]</w:t>
      </w:r>
      <w:r w:rsidRPr="00E91CFD">
        <w:rPr>
          <w:lang w:val="en-GB"/>
        </w:rPr>
        <w:tab/>
      </w:r>
      <w:r w:rsidR="00383E66" w:rsidRPr="00821D0B">
        <w:rPr>
          <w:lang w:val="en-GB"/>
        </w:rPr>
        <w:t>A</w:t>
      </w:r>
      <w:r w:rsidR="00652A6F" w:rsidRPr="00821D0B">
        <w:rPr>
          <w:lang w:val="en-GB"/>
        </w:rPr>
        <w:t xml:space="preserve"> </w:t>
      </w:r>
      <w:r w:rsidR="00383E66" w:rsidRPr="00821D0B">
        <w:rPr>
          <w:lang w:val="en-GB"/>
        </w:rPr>
        <w:t xml:space="preserve">police docket ordinarily consists of three sections. Section </w:t>
      </w:r>
      <w:r w:rsidR="0093242F" w:rsidRPr="00821D0B">
        <w:rPr>
          <w:lang w:val="en-GB"/>
        </w:rPr>
        <w:t>‘</w:t>
      </w:r>
      <w:r w:rsidR="00383E66" w:rsidRPr="00821D0B">
        <w:rPr>
          <w:lang w:val="en-GB"/>
        </w:rPr>
        <w:t>A</w:t>
      </w:r>
      <w:r w:rsidR="0093242F" w:rsidRPr="00821D0B">
        <w:rPr>
          <w:lang w:val="en-GB"/>
        </w:rPr>
        <w:t>’</w:t>
      </w:r>
      <w:r w:rsidR="00383E66" w:rsidRPr="00821D0B">
        <w:rPr>
          <w:lang w:val="en-GB"/>
        </w:rPr>
        <w:t xml:space="preserve"> contains statements of witnesses, expert reports and documentary evidence. Section </w:t>
      </w:r>
      <w:r w:rsidR="0093242F" w:rsidRPr="00821D0B">
        <w:rPr>
          <w:lang w:val="en-GB"/>
        </w:rPr>
        <w:t>‘</w:t>
      </w:r>
      <w:r w:rsidR="00383E66" w:rsidRPr="00821D0B">
        <w:rPr>
          <w:lang w:val="en-GB"/>
        </w:rPr>
        <w:t>B</w:t>
      </w:r>
      <w:r w:rsidR="0093242F" w:rsidRPr="00821D0B">
        <w:rPr>
          <w:lang w:val="en-GB"/>
        </w:rPr>
        <w:t>’</w:t>
      </w:r>
      <w:r w:rsidR="00383E66" w:rsidRPr="00821D0B">
        <w:rPr>
          <w:lang w:val="en-GB"/>
        </w:rPr>
        <w:t xml:space="preserve"> contains internal reports and memoranda, and </w:t>
      </w:r>
      <w:r w:rsidR="0093242F" w:rsidRPr="00821D0B">
        <w:rPr>
          <w:lang w:val="en-GB"/>
        </w:rPr>
        <w:t>section</w:t>
      </w:r>
      <w:r w:rsidR="00383E66" w:rsidRPr="00821D0B">
        <w:rPr>
          <w:lang w:val="en-GB"/>
        </w:rPr>
        <w:t xml:space="preserve"> </w:t>
      </w:r>
      <w:r w:rsidR="0093242F" w:rsidRPr="00821D0B">
        <w:rPr>
          <w:lang w:val="en-GB"/>
        </w:rPr>
        <w:t>‘</w:t>
      </w:r>
      <w:r w:rsidR="00383E66" w:rsidRPr="00821D0B">
        <w:rPr>
          <w:lang w:val="en-GB"/>
        </w:rPr>
        <w:t>C</w:t>
      </w:r>
      <w:r w:rsidR="0093242F" w:rsidRPr="00821D0B">
        <w:rPr>
          <w:lang w:val="en-GB"/>
        </w:rPr>
        <w:t>’</w:t>
      </w:r>
      <w:r w:rsidR="00383E66" w:rsidRPr="00821D0B">
        <w:rPr>
          <w:lang w:val="en-GB"/>
        </w:rPr>
        <w:t xml:space="preserve"> the investigation diary.</w:t>
      </w:r>
      <w:r w:rsidR="00E91CFD" w:rsidRPr="00821D0B">
        <w:rPr>
          <w:lang w:val="en-GB"/>
        </w:rPr>
        <w:t xml:space="preserve"> </w:t>
      </w:r>
      <w:r w:rsidR="00D70945" w:rsidRPr="00821D0B">
        <w:rPr>
          <w:lang w:val="en-GB"/>
        </w:rPr>
        <w:lastRenderedPageBreak/>
        <w:t xml:space="preserve">Following </w:t>
      </w:r>
      <w:r w:rsidR="00D70945" w:rsidRPr="00821D0B">
        <w:rPr>
          <w:i/>
          <w:iCs/>
          <w:lang w:val="en-GB"/>
        </w:rPr>
        <w:t>Shabalala</w:t>
      </w:r>
      <w:r w:rsidR="00CC29E0" w:rsidRPr="00821D0B">
        <w:rPr>
          <w:i/>
          <w:iCs/>
          <w:lang w:val="en-GB"/>
        </w:rPr>
        <w:t xml:space="preserve"> and Others v Attorney-General of Transvaal &amp; Another</w:t>
      </w:r>
      <w:r w:rsidR="00D70945" w:rsidRPr="00821D0B">
        <w:rPr>
          <w:lang w:val="en-GB"/>
        </w:rPr>
        <w:t>,</w:t>
      </w:r>
      <w:r w:rsidR="00CC29E0">
        <w:rPr>
          <w:rStyle w:val="FootnoteReference"/>
          <w:lang w:val="en-GB"/>
        </w:rPr>
        <w:footnoteReference w:id="1"/>
      </w:r>
      <w:r w:rsidR="00AA43DA" w:rsidRPr="00821D0B">
        <w:rPr>
          <w:lang w:val="en-GB"/>
        </w:rPr>
        <w:t xml:space="preserve"> (‘</w:t>
      </w:r>
      <w:r w:rsidR="00AA43DA" w:rsidRPr="00821D0B">
        <w:rPr>
          <w:i/>
          <w:iCs/>
          <w:lang w:val="en-GB"/>
        </w:rPr>
        <w:t>Shabalala</w:t>
      </w:r>
      <w:r w:rsidR="00AA43DA" w:rsidRPr="00821D0B">
        <w:rPr>
          <w:lang w:val="en-GB"/>
        </w:rPr>
        <w:t>’)</w:t>
      </w:r>
      <w:r w:rsidR="00D70945" w:rsidRPr="00821D0B">
        <w:rPr>
          <w:lang w:val="en-GB"/>
        </w:rPr>
        <w:t xml:space="preserve"> it is trite that a ‘blanket’ docket privilege in criminal cases conflicts with the constitutional right to a fair trial. The </w:t>
      </w:r>
      <w:r w:rsidR="00A07944" w:rsidRPr="00821D0B">
        <w:rPr>
          <w:lang w:val="en-GB"/>
        </w:rPr>
        <w:t xml:space="preserve">resultant </w:t>
      </w:r>
      <w:r w:rsidR="00D70945" w:rsidRPr="00821D0B">
        <w:rPr>
          <w:lang w:val="en-GB"/>
        </w:rPr>
        <w:t>position</w:t>
      </w:r>
      <w:r w:rsidR="002F1965" w:rsidRPr="00821D0B">
        <w:rPr>
          <w:lang w:val="en-GB"/>
        </w:rPr>
        <w:t xml:space="preserve">, also elucidated </w:t>
      </w:r>
      <w:r w:rsidR="00D70945" w:rsidRPr="00821D0B">
        <w:rPr>
          <w:lang w:val="en-GB"/>
        </w:rPr>
        <w:t xml:space="preserve">in </w:t>
      </w:r>
      <w:r w:rsidR="000409D2" w:rsidRPr="00821D0B">
        <w:rPr>
          <w:i/>
          <w:iCs/>
          <w:lang w:val="en-GB"/>
        </w:rPr>
        <w:t>National Director of Public Prosecutions v King</w:t>
      </w:r>
      <w:r w:rsidR="000409D2">
        <w:rPr>
          <w:rStyle w:val="FootnoteReference"/>
          <w:lang w:val="en-GB"/>
        </w:rPr>
        <w:footnoteReference w:id="2"/>
      </w:r>
      <w:r w:rsidR="000409D2" w:rsidRPr="00821D0B">
        <w:rPr>
          <w:lang w:val="en-GB"/>
        </w:rPr>
        <w:t xml:space="preserve"> </w:t>
      </w:r>
      <w:r w:rsidR="00AF30C0" w:rsidRPr="00821D0B">
        <w:rPr>
          <w:lang w:val="en-GB"/>
        </w:rPr>
        <w:t>(‘</w:t>
      </w:r>
      <w:r w:rsidR="00AF30C0" w:rsidRPr="00821D0B">
        <w:rPr>
          <w:i/>
          <w:iCs/>
          <w:lang w:val="en-GB"/>
        </w:rPr>
        <w:t>King</w:t>
      </w:r>
      <w:r w:rsidR="00AF30C0" w:rsidRPr="00821D0B">
        <w:rPr>
          <w:lang w:val="en-GB"/>
        </w:rPr>
        <w:t>’)</w:t>
      </w:r>
      <w:r w:rsidR="00A25781" w:rsidRPr="00821D0B">
        <w:rPr>
          <w:lang w:val="en-GB"/>
        </w:rPr>
        <w:t>,</w:t>
      </w:r>
      <w:r w:rsidR="00AF30C0" w:rsidRPr="00821D0B">
        <w:rPr>
          <w:i/>
          <w:iCs/>
          <w:lang w:val="en-GB"/>
        </w:rPr>
        <w:t xml:space="preserve"> </w:t>
      </w:r>
      <w:r w:rsidR="00D70945" w:rsidRPr="00821D0B">
        <w:rPr>
          <w:lang w:val="en-GB"/>
        </w:rPr>
        <w:t>is nuanced: litigation privilege no longer applies to documents in the police docket that are incriminating, exculpatory or prima facie likely to be helpful to the defence</w:t>
      </w:r>
      <w:r w:rsidR="00270AFF" w:rsidRPr="00821D0B">
        <w:rPr>
          <w:lang w:val="en-GB"/>
        </w:rPr>
        <w:t xml:space="preserve">, </w:t>
      </w:r>
      <w:r w:rsidR="00FB3BBC" w:rsidRPr="00821D0B">
        <w:rPr>
          <w:lang w:val="en-GB"/>
        </w:rPr>
        <w:t>barring</w:t>
      </w:r>
      <w:r w:rsidR="00270AFF" w:rsidRPr="00821D0B">
        <w:rPr>
          <w:lang w:val="en-GB"/>
        </w:rPr>
        <w:t xml:space="preserve"> rare cases</w:t>
      </w:r>
      <w:r w:rsidR="00FB3BBC" w:rsidRPr="00821D0B">
        <w:rPr>
          <w:lang w:val="en-GB"/>
        </w:rPr>
        <w:t xml:space="preserve"> where</w:t>
      </w:r>
      <w:r w:rsidR="00270AFF" w:rsidRPr="00821D0B">
        <w:rPr>
          <w:lang w:val="en-GB"/>
        </w:rPr>
        <w:t xml:space="preserve"> the State is able to justify the refusal of such access on the grounds that it is not justified for the purposes of a fair trial</w:t>
      </w:r>
      <w:r w:rsidR="00D70945" w:rsidRPr="00821D0B">
        <w:rPr>
          <w:lang w:val="en-GB"/>
        </w:rPr>
        <w:t>.</w:t>
      </w:r>
      <w:r w:rsidR="00270AFF">
        <w:rPr>
          <w:rStyle w:val="FootnoteReference"/>
          <w:lang w:val="en-GB"/>
        </w:rPr>
        <w:footnoteReference w:id="3"/>
      </w:r>
      <w:r w:rsidR="00D70945" w:rsidRPr="00821D0B">
        <w:rPr>
          <w:lang w:val="en-GB"/>
        </w:rPr>
        <w:t xml:space="preserve"> The effect is that an accused </w:t>
      </w:r>
      <w:r w:rsidR="009D3DD3" w:rsidRPr="00821D0B">
        <w:rPr>
          <w:lang w:val="en-GB"/>
        </w:rPr>
        <w:t xml:space="preserve">person </w:t>
      </w:r>
      <w:r w:rsidR="00D70945" w:rsidRPr="00821D0B">
        <w:rPr>
          <w:lang w:val="en-GB"/>
        </w:rPr>
        <w:t xml:space="preserve">is </w:t>
      </w:r>
      <w:r w:rsidR="005D7B56" w:rsidRPr="00821D0B">
        <w:rPr>
          <w:lang w:val="en-GB"/>
        </w:rPr>
        <w:t xml:space="preserve">generally </w:t>
      </w:r>
      <w:r w:rsidR="00D70945" w:rsidRPr="00821D0B">
        <w:rPr>
          <w:lang w:val="en-GB"/>
        </w:rPr>
        <w:t>entitled to</w:t>
      </w:r>
      <w:r w:rsidR="005A2882" w:rsidRPr="00821D0B">
        <w:rPr>
          <w:lang w:val="en-GB"/>
        </w:rPr>
        <w:t xml:space="preserve"> such of</w:t>
      </w:r>
      <w:r w:rsidR="00D70945" w:rsidRPr="00821D0B">
        <w:rPr>
          <w:lang w:val="en-GB"/>
        </w:rPr>
        <w:t xml:space="preserve"> the content</w:t>
      </w:r>
      <w:r w:rsidR="005A2882" w:rsidRPr="00821D0B">
        <w:rPr>
          <w:lang w:val="en-GB"/>
        </w:rPr>
        <w:t>s</w:t>
      </w:r>
      <w:r w:rsidR="00D70945" w:rsidRPr="00821D0B">
        <w:rPr>
          <w:lang w:val="en-GB"/>
        </w:rPr>
        <w:t xml:space="preserve"> </w:t>
      </w:r>
      <w:r w:rsidR="005A2882" w:rsidRPr="00821D0B">
        <w:rPr>
          <w:lang w:val="en-GB"/>
        </w:rPr>
        <w:t>of</w:t>
      </w:r>
      <w:r w:rsidR="00D70945" w:rsidRPr="00821D0B">
        <w:rPr>
          <w:lang w:val="en-GB"/>
        </w:rPr>
        <w:t xml:space="preserve"> the </w:t>
      </w:r>
      <w:r w:rsidR="00F848EE" w:rsidRPr="00821D0B">
        <w:rPr>
          <w:lang w:val="en-GB"/>
        </w:rPr>
        <w:t xml:space="preserve">police </w:t>
      </w:r>
      <w:r w:rsidR="00D70945" w:rsidRPr="00821D0B">
        <w:rPr>
          <w:lang w:val="en-GB"/>
        </w:rPr>
        <w:t xml:space="preserve">docket </w:t>
      </w:r>
      <w:r w:rsidR="003768AF" w:rsidRPr="00821D0B">
        <w:rPr>
          <w:lang w:val="en-GB"/>
        </w:rPr>
        <w:t>as are</w:t>
      </w:r>
      <w:r w:rsidR="00D70945" w:rsidRPr="00821D0B">
        <w:rPr>
          <w:lang w:val="en-GB"/>
        </w:rPr>
        <w:t xml:space="preserve"> </w:t>
      </w:r>
      <w:r w:rsidR="00A25781" w:rsidRPr="00821D0B">
        <w:rPr>
          <w:lang w:val="en-GB"/>
        </w:rPr>
        <w:t xml:space="preserve">prima facie </w:t>
      </w:r>
      <w:r w:rsidR="00D70945" w:rsidRPr="00821D0B">
        <w:rPr>
          <w:lang w:val="en-GB"/>
        </w:rPr>
        <w:t>‘relevant’ for the exercise or protection of that right.</w:t>
      </w:r>
      <w:r w:rsidR="00455B19">
        <w:rPr>
          <w:rStyle w:val="FootnoteReference"/>
          <w:lang w:val="en-GB"/>
        </w:rPr>
        <w:footnoteReference w:id="4"/>
      </w:r>
      <w:r w:rsidR="00D70945" w:rsidRPr="00821D0B">
        <w:rPr>
          <w:lang w:val="en-GB"/>
        </w:rPr>
        <w:t xml:space="preserve"> The entitlement is not restricted to statements of witnesses or exhibits, but extends to all documents that might be ‘important for an accused to properly “adduce and challenge evidence”,</w:t>
      </w:r>
      <w:r w:rsidR="00B13EDA" w:rsidRPr="00821D0B">
        <w:rPr>
          <w:lang w:val="en-GB"/>
        </w:rPr>
        <w:t xml:space="preserve"> in</w:t>
      </w:r>
      <w:r w:rsidR="00D70945" w:rsidRPr="00821D0B">
        <w:rPr>
          <w:lang w:val="en-GB"/>
        </w:rPr>
        <w:t xml:space="preserve"> ensuring a fair trial.</w:t>
      </w:r>
      <w:r w:rsidR="00037353" w:rsidRPr="00821D0B">
        <w:rPr>
          <w:lang w:val="en-GB"/>
        </w:rPr>
        <w:t>’</w:t>
      </w:r>
      <w:r w:rsidR="0094670F">
        <w:rPr>
          <w:rStyle w:val="FootnoteReference"/>
          <w:lang w:val="en-GB"/>
        </w:rPr>
        <w:footnoteReference w:id="5"/>
      </w:r>
    </w:p>
    <w:p w14:paraId="029E173B" w14:textId="77777777" w:rsidR="00383E66" w:rsidRPr="00383E66" w:rsidRDefault="00383E66" w:rsidP="00383E66">
      <w:pPr>
        <w:pStyle w:val="ListParagraph"/>
        <w:rPr>
          <w:lang w:val="en-GB"/>
        </w:rPr>
      </w:pPr>
    </w:p>
    <w:p w14:paraId="684989A6" w14:textId="16C78CEA" w:rsidR="00802A17" w:rsidRPr="00821D0B" w:rsidRDefault="00821D0B" w:rsidP="00821D0B">
      <w:pPr>
        <w:autoSpaceDE w:val="0"/>
        <w:autoSpaceDN w:val="0"/>
        <w:adjustRightInd w:val="0"/>
        <w:jc w:val="both"/>
        <w:rPr>
          <w:lang w:val="en-GB"/>
        </w:rPr>
      </w:pPr>
      <w:r>
        <w:rPr>
          <w:lang w:val="en-GB"/>
        </w:rPr>
        <w:t>[2]</w:t>
      </w:r>
      <w:r>
        <w:rPr>
          <w:lang w:val="en-GB"/>
        </w:rPr>
        <w:tab/>
      </w:r>
      <w:r w:rsidR="00E91CFD" w:rsidRPr="00821D0B">
        <w:rPr>
          <w:lang w:val="en-GB"/>
        </w:rPr>
        <w:t>The applicant has pleaded not guilty to a charge of murder. Relying on the SCA’s decision in</w:t>
      </w:r>
      <w:r w:rsidR="00D359E7" w:rsidRPr="00821D0B">
        <w:rPr>
          <w:lang w:val="en-GB"/>
        </w:rPr>
        <w:t xml:space="preserve"> </w:t>
      </w:r>
      <w:r w:rsidR="00D359E7" w:rsidRPr="00821D0B">
        <w:rPr>
          <w:i/>
          <w:iCs/>
          <w:lang w:val="en-GB"/>
        </w:rPr>
        <w:t>King</w:t>
      </w:r>
      <w:r w:rsidR="00E91CFD" w:rsidRPr="00821D0B">
        <w:rPr>
          <w:lang w:val="en-GB"/>
        </w:rPr>
        <w:t>, he</w:t>
      </w:r>
      <w:r w:rsidR="00E91CFD" w:rsidRPr="00821D0B">
        <w:rPr>
          <w:i/>
          <w:iCs/>
          <w:lang w:val="en-GB"/>
        </w:rPr>
        <w:t xml:space="preserve"> </w:t>
      </w:r>
      <w:r w:rsidR="00E91CFD" w:rsidRPr="00821D0B">
        <w:rPr>
          <w:lang w:val="en-GB"/>
        </w:rPr>
        <w:t xml:space="preserve">claims entitlement to access to </w:t>
      </w:r>
      <w:r w:rsidR="00685709" w:rsidRPr="00821D0B">
        <w:rPr>
          <w:lang w:val="en-GB"/>
        </w:rPr>
        <w:t>s</w:t>
      </w:r>
      <w:r w:rsidR="00E91CFD" w:rsidRPr="00821D0B">
        <w:rPr>
          <w:lang w:val="en-GB"/>
        </w:rPr>
        <w:t>ection</w:t>
      </w:r>
      <w:r w:rsidR="00685709" w:rsidRPr="00821D0B">
        <w:rPr>
          <w:lang w:val="en-GB"/>
        </w:rPr>
        <w:t>s</w:t>
      </w:r>
      <w:r w:rsidR="00E91CFD" w:rsidRPr="00821D0B">
        <w:rPr>
          <w:lang w:val="en-GB"/>
        </w:rPr>
        <w:t xml:space="preserve"> </w:t>
      </w:r>
      <w:r w:rsidR="00685709" w:rsidRPr="00821D0B">
        <w:rPr>
          <w:lang w:val="en-GB"/>
        </w:rPr>
        <w:t>‘</w:t>
      </w:r>
      <w:r w:rsidR="00E91CFD" w:rsidRPr="00821D0B">
        <w:rPr>
          <w:lang w:val="en-GB"/>
        </w:rPr>
        <w:t>B</w:t>
      </w:r>
      <w:r w:rsidR="00685709" w:rsidRPr="00821D0B">
        <w:rPr>
          <w:lang w:val="en-GB"/>
        </w:rPr>
        <w:t>’</w:t>
      </w:r>
      <w:r w:rsidR="00E91CFD" w:rsidRPr="00821D0B">
        <w:rPr>
          <w:lang w:val="en-GB"/>
        </w:rPr>
        <w:t xml:space="preserve"> a</w:t>
      </w:r>
      <w:r w:rsidR="00685709" w:rsidRPr="00821D0B">
        <w:rPr>
          <w:lang w:val="en-GB"/>
        </w:rPr>
        <w:t>nd ‘</w:t>
      </w:r>
      <w:r w:rsidR="00E91CFD" w:rsidRPr="00821D0B">
        <w:rPr>
          <w:lang w:val="en-GB"/>
        </w:rPr>
        <w:t>C</w:t>
      </w:r>
      <w:r w:rsidR="00685709" w:rsidRPr="00821D0B">
        <w:rPr>
          <w:lang w:val="en-GB"/>
        </w:rPr>
        <w:t>’</w:t>
      </w:r>
      <w:r w:rsidR="00E91CFD" w:rsidRPr="00821D0B">
        <w:rPr>
          <w:lang w:val="en-GB"/>
        </w:rPr>
        <w:t xml:space="preserve"> of the police docket on the basis that it is ‘likely to be helpful to the defence’</w:t>
      </w:r>
      <w:r w:rsidR="00FC7F5B" w:rsidRPr="00821D0B">
        <w:rPr>
          <w:lang w:val="en-GB"/>
        </w:rPr>
        <w:t xml:space="preserve">, </w:t>
      </w:r>
      <w:r w:rsidR="00E91CFD" w:rsidRPr="00821D0B">
        <w:rPr>
          <w:lang w:val="en-GB"/>
        </w:rPr>
        <w:t>important for purposes of ‘adducing and challenging’ evidence to ensure a fair trial</w:t>
      </w:r>
      <w:r w:rsidR="00FC7F5B" w:rsidRPr="00821D0B">
        <w:rPr>
          <w:lang w:val="en-GB"/>
        </w:rPr>
        <w:t xml:space="preserve"> and ‘relevant’ for the exercise or protection of that right</w:t>
      </w:r>
      <w:r w:rsidR="00E91CFD" w:rsidRPr="00821D0B">
        <w:rPr>
          <w:lang w:val="en-GB"/>
        </w:rPr>
        <w:t xml:space="preserve">. </w:t>
      </w:r>
    </w:p>
    <w:p w14:paraId="68328356" w14:textId="77777777" w:rsidR="00802A17" w:rsidRPr="00802A17" w:rsidRDefault="00802A17" w:rsidP="00802A17">
      <w:pPr>
        <w:pStyle w:val="ListParagraph"/>
        <w:rPr>
          <w:lang w:val="en-GB"/>
        </w:rPr>
      </w:pPr>
    </w:p>
    <w:p w14:paraId="276FEC15" w14:textId="5D06421A" w:rsidR="00526F89" w:rsidRPr="00821D0B" w:rsidRDefault="00821D0B" w:rsidP="00821D0B">
      <w:pPr>
        <w:autoSpaceDE w:val="0"/>
        <w:autoSpaceDN w:val="0"/>
        <w:adjustRightInd w:val="0"/>
        <w:jc w:val="both"/>
        <w:rPr>
          <w:lang w:val="en-GB"/>
        </w:rPr>
      </w:pPr>
      <w:r>
        <w:rPr>
          <w:lang w:val="en-GB"/>
        </w:rPr>
        <w:t>[3]</w:t>
      </w:r>
      <w:r>
        <w:rPr>
          <w:lang w:val="en-GB"/>
        </w:rPr>
        <w:tab/>
      </w:r>
      <w:r w:rsidR="00E65CC0" w:rsidRPr="00821D0B">
        <w:rPr>
          <w:lang w:val="en-GB"/>
        </w:rPr>
        <w:t>T</w:t>
      </w:r>
      <w:r w:rsidR="0083107B" w:rsidRPr="00821D0B">
        <w:rPr>
          <w:lang w:val="en-GB"/>
        </w:rPr>
        <w:t xml:space="preserve">here are three broad grounds advanced for access. </w:t>
      </w:r>
      <w:r w:rsidR="00CA512D" w:rsidRPr="00821D0B">
        <w:rPr>
          <w:lang w:val="en-GB"/>
        </w:rPr>
        <w:t xml:space="preserve">The first relates to alleged pressure brought to bear </w:t>
      </w:r>
      <w:r w:rsidR="008E3174" w:rsidRPr="00821D0B">
        <w:rPr>
          <w:lang w:val="en-GB"/>
        </w:rPr>
        <w:t>on</w:t>
      </w:r>
      <w:r w:rsidR="00CA512D" w:rsidRPr="00821D0B">
        <w:rPr>
          <w:lang w:val="en-GB"/>
        </w:rPr>
        <w:t xml:space="preserve"> state witnesses</w:t>
      </w:r>
      <w:r w:rsidR="00EB7B0B" w:rsidRPr="00821D0B">
        <w:rPr>
          <w:lang w:val="en-GB"/>
        </w:rPr>
        <w:t xml:space="preserve"> </w:t>
      </w:r>
      <w:r w:rsidR="004E5E6E" w:rsidRPr="00821D0B">
        <w:rPr>
          <w:lang w:val="en-GB"/>
        </w:rPr>
        <w:t xml:space="preserve">to change or adapt their versions of events in deposing to supplementary affidavits pertaining to </w:t>
      </w:r>
      <w:r w:rsidR="008D63E7" w:rsidRPr="00821D0B">
        <w:rPr>
          <w:lang w:val="en-GB"/>
        </w:rPr>
        <w:t>the alleged planting of a knife</w:t>
      </w:r>
      <w:r w:rsidR="00B40607" w:rsidRPr="00821D0B">
        <w:rPr>
          <w:lang w:val="en-GB"/>
        </w:rPr>
        <w:t>(s) at the scene</w:t>
      </w:r>
      <w:r w:rsidR="00CA512D" w:rsidRPr="00821D0B">
        <w:rPr>
          <w:lang w:val="en-GB"/>
        </w:rPr>
        <w:t>.</w:t>
      </w:r>
      <w:r w:rsidR="00274E36" w:rsidRPr="00821D0B">
        <w:rPr>
          <w:lang w:val="en-GB"/>
        </w:rPr>
        <w:t xml:space="preserve"> The second is based on the relationships between the first state witness called to testify and </w:t>
      </w:r>
      <w:r w:rsidR="00396651" w:rsidRPr="00821D0B">
        <w:rPr>
          <w:lang w:val="en-GB"/>
        </w:rPr>
        <w:t xml:space="preserve">both </w:t>
      </w:r>
      <w:r w:rsidR="00274E36" w:rsidRPr="00821D0B">
        <w:rPr>
          <w:lang w:val="en-GB"/>
        </w:rPr>
        <w:t xml:space="preserve">the </w:t>
      </w:r>
      <w:r w:rsidR="007427DB" w:rsidRPr="00821D0B">
        <w:rPr>
          <w:lang w:val="en-GB"/>
        </w:rPr>
        <w:t>initial prosecutor</w:t>
      </w:r>
      <w:r w:rsidR="002B5CC2" w:rsidRPr="00821D0B">
        <w:rPr>
          <w:lang w:val="en-GB"/>
        </w:rPr>
        <w:t>,</w:t>
      </w:r>
      <w:r w:rsidR="007427DB" w:rsidRPr="00821D0B">
        <w:rPr>
          <w:lang w:val="en-GB"/>
        </w:rPr>
        <w:t xml:space="preserve"> </w:t>
      </w:r>
      <w:r w:rsidR="002B5CC2" w:rsidRPr="00821D0B">
        <w:rPr>
          <w:lang w:val="en-GB"/>
        </w:rPr>
        <w:t>as well as</w:t>
      </w:r>
      <w:r w:rsidR="007427DB" w:rsidRPr="00821D0B">
        <w:rPr>
          <w:lang w:val="en-GB"/>
        </w:rPr>
        <w:t xml:space="preserve"> </w:t>
      </w:r>
      <w:r w:rsidR="002B5CC2" w:rsidRPr="00821D0B">
        <w:rPr>
          <w:lang w:val="en-GB"/>
        </w:rPr>
        <w:t xml:space="preserve">with the </w:t>
      </w:r>
      <w:r w:rsidR="00A04F3A" w:rsidRPr="00821D0B">
        <w:rPr>
          <w:lang w:val="en-GB"/>
        </w:rPr>
        <w:t xml:space="preserve">wife of the </w:t>
      </w:r>
      <w:r w:rsidR="00274E36" w:rsidRPr="00821D0B">
        <w:rPr>
          <w:lang w:val="en-GB"/>
        </w:rPr>
        <w:t>current investigating officer</w:t>
      </w:r>
      <w:r w:rsidR="00773B88" w:rsidRPr="00821D0B">
        <w:rPr>
          <w:lang w:val="en-GB"/>
        </w:rPr>
        <w:t>, who was close to the deceased</w:t>
      </w:r>
      <w:r w:rsidR="0016005C" w:rsidRPr="00821D0B">
        <w:rPr>
          <w:lang w:val="en-GB"/>
        </w:rPr>
        <w:t>. The third</w:t>
      </w:r>
      <w:r w:rsidR="00C92FE2" w:rsidRPr="00821D0B">
        <w:rPr>
          <w:lang w:val="en-GB"/>
        </w:rPr>
        <w:t xml:space="preserve"> is an intended future application in terms of s 317(1) of the </w:t>
      </w:r>
      <w:r w:rsidR="0023737E" w:rsidRPr="00821D0B">
        <w:rPr>
          <w:lang w:val="en-GB"/>
        </w:rPr>
        <w:t>Criminal Procedure Act</w:t>
      </w:r>
      <w:r w:rsidR="0053033B" w:rsidRPr="00821D0B">
        <w:rPr>
          <w:lang w:val="en-GB"/>
        </w:rPr>
        <w:t>, 1977</w:t>
      </w:r>
      <w:r w:rsidR="00AA6F6D">
        <w:rPr>
          <w:rStyle w:val="FootnoteReference"/>
          <w:lang w:val="en-GB"/>
        </w:rPr>
        <w:footnoteReference w:id="6"/>
      </w:r>
      <w:r w:rsidR="00C92FE2" w:rsidRPr="00821D0B">
        <w:rPr>
          <w:lang w:val="en-GB"/>
        </w:rPr>
        <w:t xml:space="preserve"> for special entries.</w:t>
      </w:r>
      <w:r w:rsidR="00274E36" w:rsidRPr="00821D0B">
        <w:rPr>
          <w:lang w:val="en-GB"/>
        </w:rPr>
        <w:t xml:space="preserve"> </w:t>
      </w:r>
      <w:r w:rsidR="00CA512D" w:rsidRPr="00821D0B">
        <w:rPr>
          <w:lang w:val="en-GB"/>
        </w:rPr>
        <w:t xml:space="preserve"> </w:t>
      </w:r>
    </w:p>
    <w:p w14:paraId="0BC0A19F" w14:textId="77777777" w:rsidR="00526F89" w:rsidRPr="00526F89" w:rsidRDefault="00526F89" w:rsidP="00526F89">
      <w:pPr>
        <w:pStyle w:val="ListParagraph"/>
        <w:rPr>
          <w:lang w:val="en-GB"/>
        </w:rPr>
      </w:pPr>
    </w:p>
    <w:p w14:paraId="1C75C014" w14:textId="764B1BFA" w:rsidR="00E91CFD" w:rsidRPr="00821D0B" w:rsidRDefault="00821D0B" w:rsidP="00821D0B">
      <w:pPr>
        <w:autoSpaceDE w:val="0"/>
        <w:autoSpaceDN w:val="0"/>
        <w:adjustRightInd w:val="0"/>
        <w:jc w:val="both"/>
        <w:rPr>
          <w:lang w:val="en-GB"/>
        </w:rPr>
      </w:pPr>
      <w:r>
        <w:rPr>
          <w:lang w:val="en-GB"/>
        </w:rPr>
        <w:lastRenderedPageBreak/>
        <w:t>[4]</w:t>
      </w:r>
      <w:r>
        <w:rPr>
          <w:lang w:val="en-GB"/>
        </w:rPr>
        <w:tab/>
      </w:r>
      <w:r w:rsidR="00E91CFD" w:rsidRPr="00821D0B">
        <w:rPr>
          <w:lang w:val="en-GB"/>
        </w:rPr>
        <w:t xml:space="preserve">The </w:t>
      </w:r>
      <w:r w:rsidR="00526F89" w:rsidRPr="00821D0B">
        <w:rPr>
          <w:lang w:val="en-GB"/>
        </w:rPr>
        <w:t>respondent’s</w:t>
      </w:r>
      <w:r w:rsidR="00E91CFD" w:rsidRPr="00821D0B">
        <w:rPr>
          <w:lang w:val="en-GB"/>
        </w:rPr>
        <w:t xml:space="preserve"> oppos</w:t>
      </w:r>
      <w:r w:rsidR="00526F89" w:rsidRPr="00821D0B">
        <w:rPr>
          <w:lang w:val="en-GB"/>
        </w:rPr>
        <w:t xml:space="preserve">ition to the application is supported by answering affidavits filed by the Deputy Director of Public Prosecutions </w:t>
      </w:r>
      <w:r w:rsidR="007934F8" w:rsidRPr="00821D0B">
        <w:rPr>
          <w:lang w:val="en-GB"/>
        </w:rPr>
        <w:t xml:space="preserve">(‘the DDPP’) </w:t>
      </w:r>
      <w:r w:rsidR="00526F89" w:rsidRPr="00821D0B">
        <w:rPr>
          <w:lang w:val="en-GB"/>
        </w:rPr>
        <w:t>and by the Head Control Prosecutor at the Humansdorp Magistrate’s Court</w:t>
      </w:r>
      <w:r w:rsidR="00A94CC9" w:rsidRPr="00821D0B">
        <w:rPr>
          <w:lang w:val="en-GB"/>
        </w:rPr>
        <w:t>, Ms Mentz</w:t>
      </w:r>
      <w:r w:rsidR="00990504" w:rsidRPr="00821D0B">
        <w:rPr>
          <w:lang w:val="en-GB"/>
        </w:rPr>
        <w:t>, to which the applicant replied.</w:t>
      </w:r>
      <w:r w:rsidR="0059210E">
        <w:rPr>
          <w:rStyle w:val="FootnoteReference"/>
          <w:lang w:val="en-GB"/>
        </w:rPr>
        <w:footnoteReference w:id="7"/>
      </w:r>
    </w:p>
    <w:p w14:paraId="31108728" w14:textId="77777777" w:rsidR="00E91CFD" w:rsidRDefault="00E91CFD" w:rsidP="00D22E90">
      <w:pPr>
        <w:rPr>
          <w:lang w:val="en-GB"/>
        </w:rPr>
      </w:pPr>
    </w:p>
    <w:p w14:paraId="5FACF5A0" w14:textId="43B537DA" w:rsidR="00D22E90" w:rsidRDefault="00D22E90" w:rsidP="00D22E90">
      <w:pPr>
        <w:rPr>
          <w:b/>
          <w:bCs/>
          <w:lang w:val="en-GB"/>
        </w:rPr>
      </w:pPr>
      <w:r>
        <w:rPr>
          <w:b/>
          <w:bCs/>
          <w:lang w:val="en-GB"/>
        </w:rPr>
        <w:t>Facts</w:t>
      </w:r>
    </w:p>
    <w:p w14:paraId="395AFDE1" w14:textId="77777777" w:rsidR="00D22E90" w:rsidRPr="00D22E90" w:rsidRDefault="00D22E90" w:rsidP="00D22E90">
      <w:pPr>
        <w:rPr>
          <w:b/>
          <w:bCs/>
          <w:lang w:val="en-GB"/>
        </w:rPr>
      </w:pPr>
    </w:p>
    <w:p w14:paraId="4E76726C" w14:textId="40F54CCE" w:rsidR="00E91CFD" w:rsidRPr="00821D0B" w:rsidRDefault="00821D0B" w:rsidP="00821D0B">
      <w:pPr>
        <w:autoSpaceDE w:val="0"/>
        <w:autoSpaceDN w:val="0"/>
        <w:adjustRightInd w:val="0"/>
        <w:jc w:val="both"/>
        <w:rPr>
          <w:lang w:val="en-GB"/>
        </w:rPr>
      </w:pPr>
      <w:r>
        <w:rPr>
          <w:lang w:val="en-GB"/>
        </w:rPr>
        <w:t>[5]</w:t>
      </w:r>
      <w:r>
        <w:rPr>
          <w:lang w:val="en-GB"/>
        </w:rPr>
        <w:tab/>
      </w:r>
      <w:r w:rsidR="00D22E90" w:rsidRPr="00821D0B">
        <w:rPr>
          <w:lang w:val="en-GB"/>
        </w:rPr>
        <w:t>The applicant’s defence is that the deceased attacked him with a knife and that he shot him in self-defence.</w:t>
      </w:r>
      <w:r w:rsidR="00C23B05" w:rsidRPr="00821D0B">
        <w:rPr>
          <w:lang w:val="en-GB"/>
        </w:rPr>
        <w:t xml:space="preserve"> He was initially also charged with defeating or obstructing the course of justice in that he, together with another individual or other individuals, acting in concert and in the execution of a common purpose, placed a knife in the hand of the deceased and / or placed a second knife in close proximity of the deceased</w:t>
      </w:r>
      <w:r w:rsidR="000B3905" w:rsidRPr="00821D0B">
        <w:rPr>
          <w:lang w:val="en-GB"/>
        </w:rPr>
        <w:t xml:space="preserve"> (‘Count 2’)</w:t>
      </w:r>
      <w:r w:rsidR="00C23B05" w:rsidRPr="00821D0B">
        <w:rPr>
          <w:lang w:val="en-GB"/>
        </w:rPr>
        <w:t xml:space="preserve">. This </w:t>
      </w:r>
      <w:r w:rsidR="006B0DAC" w:rsidRPr="00821D0B">
        <w:rPr>
          <w:lang w:val="en-GB"/>
        </w:rPr>
        <w:t xml:space="preserve">to </w:t>
      </w:r>
      <w:r w:rsidR="00C23B05" w:rsidRPr="00821D0B">
        <w:rPr>
          <w:lang w:val="en-GB"/>
        </w:rPr>
        <w:t>create the impression that the deceased was armed at the time of the shooting and to support the claim of self-defence.</w:t>
      </w:r>
      <w:r w:rsidR="00046643" w:rsidRPr="00821D0B">
        <w:rPr>
          <w:lang w:val="en-GB"/>
        </w:rPr>
        <w:t xml:space="preserve"> </w:t>
      </w:r>
    </w:p>
    <w:p w14:paraId="1A8B17A5" w14:textId="77777777" w:rsidR="00046643" w:rsidRDefault="00046643" w:rsidP="00046643">
      <w:pPr>
        <w:pStyle w:val="ListParagraph"/>
        <w:autoSpaceDE w:val="0"/>
        <w:autoSpaceDN w:val="0"/>
        <w:adjustRightInd w:val="0"/>
        <w:ind w:left="0"/>
        <w:jc w:val="both"/>
        <w:rPr>
          <w:lang w:val="en-GB"/>
        </w:rPr>
      </w:pPr>
    </w:p>
    <w:p w14:paraId="634F501D" w14:textId="24DDC564" w:rsidR="002B2432" w:rsidRPr="00821D0B" w:rsidRDefault="00821D0B" w:rsidP="00821D0B">
      <w:pPr>
        <w:autoSpaceDE w:val="0"/>
        <w:autoSpaceDN w:val="0"/>
        <w:adjustRightInd w:val="0"/>
        <w:jc w:val="both"/>
        <w:rPr>
          <w:sz w:val="22"/>
          <w:szCs w:val="22"/>
          <w:lang w:val="en-GB"/>
        </w:rPr>
      </w:pPr>
      <w:r w:rsidRPr="00054BA1">
        <w:rPr>
          <w:sz w:val="22"/>
          <w:szCs w:val="22"/>
          <w:lang w:val="en-GB"/>
        </w:rPr>
        <w:t>[6]</w:t>
      </w:r>
      <w:r w:rsidRPr="00054BA1">
        <w:rPr>
          <w:sz w:val="22"/>
          <w:szCs w:val="22"/>
          <w:lang w:val="en-GB"/>
        </w:rPr>
        <w:tab/>
      </w:r>
      <w:r w:rsidR="00046643" w:rsidRPr="00821D0B">
        <w:rPr>
          <w:lang w:val="en-GB"/>
        </w:rPr>
        <w:t>The State responded to a request for better further particulars to that charge, which has since been withdrawn.</w:t>
      </w:r>
      <w:r w:rsidR="00054BA1" w:rsidRPr="00821D0B">
        <w:rPr>
          <w:lang w:val="en-GB"/>
        </w:rPr>
        <w:t xml:space="preserve"> </w:t>
      </w:r>
      <w:r w:rsidR="00CA6E7F" w:rsidRPr="00821D0B">
        <w:rPr>
          <w:lang w:val="en-GB"/>
        </w:rPr>
        <w:t>Four state witnesses had deposed to various witness statements prior to the commencement of the trial</w:t>
      </w:r>
      <w:r w:rsidR="00C346C2" w:rsidRPr="00821D0B">
        <w:rPr>
          <w:lang w:val="en-GB"/>
        </w:rPr>
        <w:t xml:space="preserve"> on </w:t>
      </w:r>
      <w:r w:rsidR="009A30FE" w:rsidRPr="00821D0B">
        <w:rPr>
          <w:lang w:val="en-GB"/>
        </w:rPr>
        <w:t>3</w:t>
      </w:r>
      <w:r w:rsidR="00C346C2" w:rsidRPr="00821D0B">
        <w:rPr>
          <w:lang w:val="en-GB"/>
        </w:rPr>
        <w:t xml:space="preserve"> October 2023</w:t>
      </w:r>
      <w:r w:rsidR="00CA6E7F" w:rsidRPr="00821D0B">
        <w:rPr>
          <w:lang w:val="en-GB"/>
        </w:rPr>
        <w:t>.</w:t>
      </w:r>
      <w:r w:rsidR="00C346C2" w:rsidRPr="00821D0B">
        <w:rPr>
          <w:lang w:val="en-GB"/>
        </w:rPr>
        <w:t xml:space="preserve"> All four have since deposed to supplementary witness statements. </w:t>
      </w:r>
      <w:r w:rsidR="00196619" w:rsidRPr="00821D0B">
        <w:rPr>
          <w:lang w:val="en-GB"/>
        </w:rPr>
        <w:t xml:space="preserve">The crux of the </w:t>
      </w:r>
      <w:r w:rsidR="005D2740" w:rsidRPr="00821D0B">
        <w:rPr>
          <w:lang w:val="en-GB"/>
        </w:rPr>
        <w:t xml:space="preserve">first basis for the </w:t>
      </w:r>
      <w:r w:rsidR="00196619" w:rsidRPr="00821D0B">
        <w:rPr>
          <w:lang w:val="en-GB"/>
        </w:rPr>
        <w:t>application is that all four witnesses have, in their supplementary affidavits, changed or adapted their versions to align with the allegation of a knife having been ‘planted’ either at the scene and / or in the right hand of the deceased.</w:t>
      </w:r>
      <w:r w:rsidR="00100586" w:rsidRPr="00821D0B">
        <w:rPr>
          <w:lang w:val="en-GB"/>
        </w:rPr>
        <w:t xml:space="preserve"> </w:t>
      </w:r>
      <w:r w:rsidR="002B2432" w:rsidRPr="00821D0B">
        <w:rPr>
          <w:lang w:val="en-GB"/>
        </w:rPr>
        <w:t>To take one example, one Breytenbach initially deposed to an affidavit stating</w:t>
      </w:r>
      <w:r w:rsidR="00D1039F" w:rsidRPr="00821D0B">
        <w:rPr>
          <w:lang w:val="en-GB"/>
        </w:rPr>
        <w:t>,</w:t>
      </w:r>
      <w:r w:rsidR="002B2432" w:rsidRPr="00821D0B">
        <w:rPr>
          <w:lang w:val="en-GB"/>
        </w:rPr>
        <w:t xml:space="preserve"> ‘M</w:t>
      </w:r>
      <w:r w:rsidR="003467C6" w:rsidRPr="00821D0B">
        <w:rPr>
          <w:lang w:val="en-GB"/>
        </w:rPr>
        <w:t>y</w:t>
      </w:r>
      <w:r w:rsidR="002B2432" w:rsidRPr="00821D0B">
        <w:rPr>
          <w:lang w:val="en-GB"/>
        </w:rPr>
        <w:t xml:space="preserve"> eye caught a glare and a knife was found about 2 metres from the suspect’. Breytenbach’s supplementary affidavit now states</w:t>
      </w:r>
      <w:r w:rsidR="003F3783" w:rsidRPr="00821D0B">
        <w:rPr>
          <w:lang w:val="en-GB"/>
        </w:rPr>
        <w:t>, inter alia</w:t>
      </w:r>
      <w:r w:rsidR="002B2432" w:rsidRPr="00821D0B">
        <w:rPr>
          <w:lang w:val="en-GB"/>
        </w:rPr>
        <w:t>:</w:t>
      </w:r>
    </w:p>
    <w:p w14:paraId="08B9C35C" w14:textId="77777777" w:rsidR="002747D3" w:rsidRDefault="002747D3" w:rsidP="002747D3">
      <w:pPr>
        <w:pStyle w:val="ListParagraph"/>
        <w:autoSpaceDE w:val="0"/>
        <w:autoSpaceDN w:val="0"/>
        <w:adjustRightInd w:val="0"/>
        <w:ind w:left="0"/>
        <w:jc w:val="both"/>
        <w:rPr>
          <w:lang w:val="en-GB"/>
        </w:rPr>
      </w:pPr>
    </w:p>
    <w:p w14:paraId="1355A99F" w14:textId="27A976FA" w:rsidR="002B2432" w:rsidRPr="002B2432" w:rsidRDefault="002B2432" w:rsidP="002B2432">
      <w:pPr>
        <w:pStyle w:val="ListParagraph"/>
        <w:autoSpaceDE w:val="0"/>
        <w:autoSpaceDN w:val="0"/>
        <w:adjustRightInd w:val="0"/>
        <w:ind w:left="0"/>
        <w:jc w:val="both"/>
        <w:rPr>
          <w:sz w:val="22"/>
          <w:szCs w:val="22"/>
          <w:lang w:val="en-GB"/>
        </w:rPr>
      </w:pPr>
      <w:r>
        <w:rPr>
          <w:sz w:val="22"/>
          <w:szCs w:val="22"/>
          <w:lang w:val="en-GB"/>
        </w:rPr>
        <w:t>‘The Okapi knife I do not know anything about. The tactical knife is mine. I also planted that knife on the scene…’</w:t>
      </w:r>
    </w:p>
    <w:p w14:paraId="358689C3" w14:textId="77777777" w:rsidR="002B2432" w:rsidRDefault="002B2432" w:rsidP="002B2432">
      <w:pPr>
        <w:pStyle w:val="ListParagraph"/>
        <w:autoSpaceDE w:val="0"/>
        <w:autoSpaceDN w:val="0"/>
        <w:adjustRightInd w:val="0"/>
        <w:ind w:left="0"/>
        <w:jc w:val="both"/>
        <w:rPr>
          <w:lang w:val="en-GB"/>
        </w:rPr>
      </w:pPr>
    </w:p>
    <w:p w14:paraId="1682AD57" w14:textId="24E885FB" w:rsidR="00867602" w:rsidRPr="00821D0B" w:rsidRDefault="00821D0B" w:rsidP="00821D0B">
      <w:pPr>
        <w:autoSpaceDE w:val="0"/>
        <w:autoSpaceDN w:val="0"/>
        <w:adjustRightInd w:val="0"/>
        <w:jc w:val="both"/>
        <w:rPr>
          <w:lang w:val="en-GB"/>
        </w:rPr>
      </w:pPr>
      <w:r>
        <w:rPr>
          <w:lang w:val="en-GB"/>
        </w:rPr>
        <w:lastRenderedPageBreak/>
        <w:t>[7]</w:t>
      </w:r>
      <w:r>
        <w:rPr>
          <w:lang w:val="en-GB"/>
        </w:rPr>
        <w:tab/>
      </w:r>
      <w:r w:rsidR="00100586" w:rsidRPr="00821D0B">
        <w:rPr>
          <w:lang w:val="en-GB"/>
        </w:rPr>
        <w:t xml:space="preserve">The further submission is that these witnesses must have been </w:t>
      </w:r>
      <w:r w:rsidR="006D565A" w:rsidRPr="00821D0B">
        <w:rPr>
          <w:lang w:val="en-GB"/>
        </w:rPr>
        <w:t>‘</w:t>
      </w:r>
      <w:r w:rsidR="00100586" w:rsidRPr="00821D0B">
        <w:rPr>
          <w:lang w:val="en-GB"/>
        </w:rPr>
        <w:t>prevailed upon</w:t>
      </w:r>
      <w:r w:rsidR="006D565A" w:rsidRPr="00821D0B">
        <w:rPr>
          <w:lang w:val="en-GB"/>
        </w:rPr>
        <w:t>’</w:t>
      </w:r>
      <w:r w:rsidR="00100586" w:rsidRPr="00821D0B">
        <w:rPr>
          <w:lang w:val="en-GB"/>
        </w:rPr>
        <w:t xml:space="preserve">, </w:t>
      </w:r>
      <w:r w:rsidR="00160F3A" w:rsidRPr="00821D0B">
        <w:rPr>
          <w:lang w:val="en-GB"/>
        </w:rPr>
        <w:t xml:space="preserve">that is, </w:t>
      </w:r>
      <w:r w:rsidR="00100586" w:rsidRPr="00821D0B">
        <w:rPr>
          <w:lang w:val="en-GB"/>
        </w:rPr>
        <w:t>pressurised to do so</w:t>
      </w:r>
      <w:r w:rsidR="006F159C" w:rsidRPr="00821D0B">
        <w:rPr>
          <w:lang w:val="en-GB"/>
        </w:rPr>
        <w:t>, following the application to compel the state to provide better particulars to the second charge.</w:t>
      </w:r>
      <w:r w:rsidR="007A0522" w:rsidRPr="00821D0B">
        <w:rPr>
          <w:lang w:val="en-GB"/>
        </w:rPr>
        <w:t xml:space="preserve"> This on the basis that the initial reply to the request for further particulars demonstrated a lack of evidence to support the </w:t>
      </w:r>
      <w:r w:rsidR="00956C1C" w:rsidRPr="00821D0B">
        <w:rPr>
          <w:lang w:val="en-GB"/>
        </w:rPr>
        <w:t>C</w:t>
      </w:r>
      <w:r w:rsidR="007A0522" w:rsidRPr="00821D0B">
        <w:rPr>
          <w:lang w:val="en-GB"/>
        </w:rPr>
        <w:t>ount 2 allegations at that point in time</w:t>
      </w:r>
      <w:r w:rsidR="008C5E53" w:rsidRPr="00821D0B">
        <w:rPr>
          <w:lang w:val="en-GB"/>
        </w:rPr>
        <w:t xml:space="preserve">. The applicant argues that the inescapable inference to be drawn is that the </w:t>
      </w:r>
      <w:r w:rsidR="00F86F7F" w:rsidRPr="00821D0B">
        <w:rPr>
          <w:lang w:val="en-GB"/>
        </w:rPr>
        <w:t>S</w:t>
      </w:r>
      <w:r w:rsidR="008C5E53" w:rsidRPr="00821D0B">
        <w:rPr>
          <w:lang w:val="en-GB"/>
        </w:rPr>
        <w:t xml:space="preserve">tate witnesses were belatedly and improperly induced to depose to supplementary witness statements in the terms in which they did. </w:t>
      </w:r>
      <w:r w:rsidR="003E79CF" w:rsidRPr="00821D0B">
        <w:rPr>
          <w:lang w:val="en-GB"/>
        </w:rPr>
        <w:t>T</w:t>
      </w:r>
      <w:r w:rsidR="008C5E53" w:rsidRPr="00821D0B">
        <w:rPr>
          <w:lang w:val="en-GB"/>
        </w:rPr>
        <w:t>he</w:t>
      </w:r>
      <w:r w:rsidR="00166B89" w:rsidRPr="00821D0B">
        <w:rPr>
          <w:lang w:val="en-GB"/>
        </w:rPr>
        <w:t xml:space="preserve"> applicant seeks to </w:t>
      </w:r>
      <w:r w:rsidR="008C5E53" w:rsidRPr="00821D0B">
        <w:rPr>
          <w:lang w:val="en-GB"/>
        </w:rPr>
        <w:t>pursue</w:t>
      </w:r>
      <w:r w:rsidR="00DA38A6" w:rsidRPr="00821D0B">
        <w:rPr>
          <w:lang w:val="en-GB"/>
        </w:rPr>
        <w:t xml:space="preserve"> </w:t>
      </w:r>
      <w:r w:rsidR="003E79CF" w:rsidRPr="00821D0B">
        <w:rPr>
          <w:lang w:val="en-GB"/>
        </w:rPr>
        <w:t xml:space="preserve">this dimension </w:t>
      </w:r>
      <w:r w:rsidR="00DA38A6" w:rsidRPr="00821D0B">
        <w:rPr>
          <w:lang w:val="en-GB"/>
        </w:rPr>
        <w:t>in preparing and conducting his defence</w:t>
      </w:r>
      <w:r w:rsidR="003E79CF" w:rsidRPr="00821D0B">
        <w:rPr>
          <w:lang w:val="en-GB"/>
        </w:rPr>
        <w:t>, necessitating the present application.</w:t>
      </w:r>
    </w:p>
    <w:p w14:paraId="4184D11D" w14:textId="77777777" w:rsidR="00C23B05" w:rsidRDefault="00C23B05" w:rsidP="00C23B05">
      <w:pPr>
        <w:pStyle w:val="ListParagraph"/>
        <w:autoSpaceDE w:val="0"/>
        <w:autoSpaceDN w:val="0"/>
        <w:adjustRightInd w:val="0"/>
        <w:ind w:left="0"/>
        <w:jc w:val="both"/>
        <w:rPr>
          <w:lang w:val="en-GB"/>
        </w:rPr>
      </w:pPr>
    </w:p>
    <w:p w14:paraId="35262DB8" w14:textId="36E15ED4" w:rsidR="00031DA1" w:rsidRPr="00821D0B" w:rsidRDefault="00821D0B" w:rsidP="00821D0B">
      <w:pPr>
        <w:autoSpaceDE w:val="0"/>
        <w:autoSpaceDN w:val="0"/>
        <w:adjustRightInd w:val="0"/>
        <w:jc w:val="both"/>
        <w:rPr>
          <w:lang w:val="en-GB"/>
        </w:rPr>
      </w:pPr>
      <w:r>
        <w:rPr>
          <w:lang w:val="en-GB"/>
        </w:rPr>
        <w:t>[8]</w:t>
      </w:r>
      <w:r>
        <w:rPr>
          <w:lang w:val="en-GB"/>
        </w:rPr>
        <w:tab/>
      </w:r>
      <w:r w:rsidR="00652A6F" w:rsidRPr="00821D0B">
        <w:rPr>
          <w:lang w:val="en-GB"/>
        </w:rPr>
        <w:t xml:space="preserve">Ms Lucretia Stuurman has been the only witness to testify to date in the trial. </w:t>
      </w:r>
      <w:r w:rsidR="0066418A" w:rsidRPr="00821D0B">
        <w:rPr>
          <w:lang w:val="en-GB"/>
        </w:rPr>
        <w:t xml:space="preserve">Her evidence was that she had previously worked as a clerk of the criminal court at the Humansdorp Magistrate’s Court, and was on friendly terms with Ms Vicki Rossouw, a prosecutor at that court. </w:t>
      </w:r>
      <w:r w:rsidR="00031DA1" w:rsidRPr="00821D0B">
        <w:rPr>
          <w:lang w:val="en-GB"/>
        </w:rPr>
        <w:t>It was Ms Rossouw that appeared on behalf of the State at the applicant’s first appearance in the magistrate’s court after his arrest.</w:t>
      </w:r>
      <w:r w:rsidR="00572C5F" w:rsidRPr="00821D0B">
        <w:rPr>
          <w:lang w:val="en-GB"/>
        </w:rPr>
        <w:t xml:space="preserve"> In addition, Ms Stuurman </w:t>
      </w:r>
      <w:r w:rsidR="003565DF" w:rsidRPr="00821D0B">
        <w:rPr>
          <w:lang w:val="en-GB"/>
        </w:rPr>
        <w:t>testified that she had a close relationship with an ‘aunt Selma’, who was the wife of Captain Scott, the investigating officer who had taken over from Warrant Officer Rispel in investigating the case.</w:t>
      </w:r>
      <w:r w:rsidR="006D4F4B" w:rsidRPr="00821D0B">
        <w:rPr>
          <w:lang w:val="en-GB"/>
        </w:rPr>
        <w:t xml:space="preserve"> Ms Stuurman’s evidence further described a close relationship </w:t>
      </w:r>
      <w:r w:rsidR="00E108A1" w:rsidRPr="00821D0B">
        <w:rPr>
          <w:lang w:val="en-GB"/>
        </w:rPr>
        <w:t>between Aunt Selma and the deceased.</w:t>
      </w:r>
    </w:p>
    <w:p w14:paraId="7B556441" w14:textId="77777777" w:rsidR="00636093" w:rsidRPr="00636093" w:rsidRDefault="00636093" w:rsidP="00636093">
      <w:pPr>
        <w:pStyle w:val="ListParagraph"/>
        <w:rPr>
          <w:lang w:val="en-GB"/>
        </w:rPr>
      </w:pPr>
    </w:p>
    <w:p w14:paraId="3431F373" w14:textId="2C207CD2" w:rsidR="00636093" w:rsidRPr="00821D0B" w:rsidRDefault="00821D0B" w:rsidP="00821D0B">
      <w:pPr>
        <w:autoSpaceDE w:val="0"/>
        <w:autoSpaceDN w:val="0"/>
        <w:adjustRightInd w:val="0"/>
        <w:jc w:val="both"/>
        <w:rPr>
          <w:lang w:val="en-GB"/>
        </w:rPr>
      </w:pPr>
      <w:r>
        <w:rPr>
          <w:lang w:val="en-GB"/>
        </w:rPr>
        <w:t>[9]</w:t>
      </w:r>
      <w:r>
        <w:rPr>
          <w:lang w:val="en-GB"/>
        </w:rPr>
        <w:tab/>
      </w:r>
      <w:r w:rsidR="005E0AA6" w:rsidRPr="00821D0B">
        <w:rPr>
          <w:lang w:val="en-GB"/>
        </w:rPr>
        <w:t xml:space="preserve">The applicant relies on the evidence of Ms Stuurman to </w:t>
      </w:r>
      <w:r w:rsidR="007C59F0" w:rsidRPr="00821D0B">
        <w:rPr>
          <w:lang w:val="en-GB"/>
        </w:rPr>
        <w:t xml:space="preserve">question the objectivity and impartiality of Captain Scott as investigating officer, averring that this has compromised the </w:t>
      </w:r>
      <w:r w:rsidR="00F86F7F" w:rsidRPr="00821D0B">
        <w:rPr>
          <w:lang w:val="en-GB"/>
        </w:rPr>
        <w:t>S</w:t>
      </w:r>
      <w:r w:rsidR="007C59F0" w:rsidRPr="00821D0B">
        <w:rPr>
          <w:lang w:val="en-GB"/>
        </w:rPr>
        <w:t>tate</w:t>
      </w:r>
      <w:r w:rsidR="00F86F7F" w:rsidRPr="00821D0B">
        <w:rPr>
          <w:lang w:val="en-GB"/>
        </w:rPr>
        <w:t>’s</w:t>
      </w:r>
      <w:r w:rsidR="007C59F0" w:rsidRPr="00821D0B">
        <w:rPr>
          <w:lang w:val="en-GB"/>
        </w:rPr>
        <w:t xml:space="preserve"> case.</w:t>
      </w:r>
      <w:r w:rsidR="00A6768E" w:rsidRPr="00821D0B">
        <w:rPr>
          <w:lang w:val="en-GB"/>
        </w:rPr>
        <w:t xml:space="preserve"> The applicant adds that the deceased was, to his knowledge, good friends with Captain Scott’s grandson</w:t>
      </w:r>
      <w:r w:rsidR="0035468A" w:rsidRPr="00821D0B">
        <w:rPr>
          <w:lang w:val="en-GB"/>
        </w:rPr>
        <w:t xml:space="preserve"> and that the resulting conflict of interest may have influenced his decisions and conduct in investigating the case, to the applicant’s detriment.</w:t>
      </w:r>
    </w:p>
    <w:p w14:paraId="1D116C55" w14:textId="77777777" w:rsidR="00341CAA" w:rsidRPr="00341CAA" w:rsidRDefault="00341CAA" w:rsidP="00341CAA">
      <w:pPr>
        <w:pStyle w:val="ListParagraph"/>
        <w:rPr>
          <w:lang w:val="en-GB"/>
        </w:rPr>
      </w:pPr>
    </w:p>
    <w:p w14:paraId="232D548D" w14:textId="2F7EE632" w:rsidR="00341CAA" w:rsidRPr="00821D0B" w:rsidRDefault="00821D0B" w:rsidP="00821D0B">
      <w:pPr>
        <w:autoSpaceDE w:val="0"/>
        <w:autoSpaceDN w:val="0"/>
        <w:adjustRightInd w:val="0"/>
        <w:jc w:val="both"/>
        <w:rPr>
          <w:lang w:val="en-GB"/>
        </w:rPr>
      </w:pPr>
      <w:r>
        <w:rPr>
          <w:lang w:val="en-GB"/>
        </w:rPr>
        <w:t>[10]</w:t>
      </w:r>
      <w:r>
        <w:rPr>
          <w:lang w:val="en-GB"/>
        </w:rPr>
        <w:tab/>
      </w:r>
      <w:r w:rsidR="008061A0" w:rsidRPr="00821D0B">
        <w:rPr>
          <w:lang w:val="en-GB"/>
        </w:rPr>
        <w:t>The same averments are made in respect of Ms Rossouw’s prosecution and investigation of the case</w:t>
      </w:r>
      <w:r w:rsidR="00692DB5" w:rsidRPr="00821D0B">
        <w:rPr>
          <w:lang w:val="en-GB"/>
        </w:rPr>
        <w:t xml:space="preserve">. </w:t>
      </w:r>
      <w:r w:rsidR="00380D5F" w:rsidRPr="00821D0B">
        <w:rPr>
          <w:lang w:val="en-GB"/>
        </w:rPr>
        <w:t xml:space="preserve">The </w:t>
      </w:r>
      <w:r w:rsidR="00341CAA" w:rsidRPr="00821D0B">
        <w:rPr>
          <w:lang w:val="en-GB"/>
        </w:rPr>
        <w:t xml:space="preserve">applicant relies on </w:t>
      </w:r>
      <w:r w:rsidR="00380D5F" w:rsidRPr="00821D0B">
        <w:rPr>
          <w:lang w:val="en-GB"/>
        </w:rPr>
        <w:t xml:space="preserve">Ms Rossouw’s </w:t>
      </w:r>
      <w:r w:rsidR="00341CAA" w:rsidRPr="00821D0B">
        <w:rPr>
          <w:lang w:val="en-GB"/>
        </w:rPr>
        <w:t>conduct during the hearing of a bail application</w:t>
      </w:r>
      <w:r w:rsidR="007B29BE" w:rsidRPr="00821D0B">
        <w:rPr>
          <w:lang w:val="en-GB"/>
        </w:rPr>
        <w:t>, including reference to alleged racial motivation</w:t>
      </w:r>
      <w:r w:rsidR="00BE0350" w:rsidRPr="00821D0B">
        <w:rPr>
          <w:lang w:val="en-GB"/>
        </w:rPr>
        <w:t xml:space="preserve"> for the incident</w:t>
      </w:r>
      <w:r w:rsidR="007B29BE" w:rsidRPr="00821D0B">
        <w:rPr>
          <w:lang w:val="en-GB"/>
        </w:rPr>
        <w:t>,</w:t>
      </w:r>
      <w:r w:rsidR="00341CAA" w:rsidRPr="00821D0B">
        <w:rPr>
          <w:lang w:val="en-GB"/>
        </w:rPr>
        <w:t xml:space="preserve"> to suggest that she did not remain objective and became personally involved in the investigation of the </w:t>
      </w:r>
      <w:r w:rsidR="007D3EB4" w:rsidRPr="00821D0B">
        <w:rPr>
          <w:lang w:val="en-GB"/>
        </w:rPr>
        <w:t>case.</w:t>
      </w:r>
      <w:r w:rsidR="002E1DFD" w:rsidRPr="00821D0B">
        <w:rPr>
          <w:lang w:val="en-GB"/>
        </w:rPr>
        <w:t xml:space="preserve"> It may be added</w:t>
      </w:r>
      <w:r w:rsidR="00805C6E" w:rsidRPr="00821D0B">
        <w:rPr>
          <w:lang w:val="en-GB"/>
        </w:rPr>
        <w:t xml:space="preserve"> </w:t>
      </w:r>
      <w:r w:rsidR="002E1DFD" w:rsidRPr="00821D0B">
        <w:rPr>
          <w:lang w:val="en-GB"/>
        </w:rPr>
        <w:t xml:space="preserve">that the </w:t>
      </w:r>
      <w:r w:rsidR="003742BF" w:rsidRPr="00821D0B">
        <w:rPr>
          <w:lang w:val="en-GB"/>
        </w:rPr>
        <w:t xml:space="preserve">conduct of the </w:t>
      </w:r>
      <w:r w:rsidR="0042500B" w:rsidRPr="00821D0B">
        <w:rPr>
          <w:lang w:val="en-GB"/>
        </w:rPr>
        <w:t>Office of the Director of Public Prosecution</w:t>
      </w:r>
      <w:r w:rsidR="003742BF" w:rsidRPr="00821D0B">
        <w:rPr>
          <w:lang w:val="en-GB"/>
        </w:rPr>
        <w:t>s</w:t>
      </w:r>
      <w:r w:rsidR="002E1DFD" w:rsidRPr="00821D0B">
        <w:rPr>
          <w:lang w:val="en-GB"/>
        </w:rPr>
        <w:t xml:space="preserve"> </w:t>
      </w:r>
      <w:r w:rsidR="001202E1" w:rsidRPr="00821D0B">
        <w:rPr>
          <w:lang w:val="en-GB"/>
        </w:rPr>
        <w:t>(</w:t>
      </w:r>
      <w:r w:rsidR="00B8687A" w:rsidRPr="00821D0B">
        <w:rPr>
          <w:lang w:val="en-GB"/>
        </w:rPr>
        <w:t>‘</w:t>
      </w:r>
      <w:r w:rsidR="002749F4" w:rsidRPr="00821D0B">
        <w:rPr>
          <w:lang w:val="en-GB"/>
        </w:rPr>
        <w:t xml:space="preserve">the </w:t>
      </w:r>
      <w:r w:rsidR="001202E1" w:rsidRPr="00821D0B">
        <w:rPr>
          <w:lang w:val="en-GB"/>
        </w:rPr>
        <w:t>DPP</w:t>
      </w:r>
      <w:r w:rsidR="00B8687A" w:rsidRPr="00821D0B">
        <w:rPr>
          <w:lang w:val="en-GB"/>
        </w:rPr>
        <w:t>’</w:t>
      </w:r>
      <w:r w:rsidR="001202E1" w:rsidRPr="00821D0B">
        <w:rPr>
          <w:lang w:val="en-GB"/>
        </w:rPr>
        <w:t xml:space="preserve">) </w:t>
      </w:r>
      <w:r w:rsidR="002E1DFD" w:rsidRPr="00821D0B">
        <w:rPr>
          <w:lang w:val="en-GB"/>
        </w:rPr>
        <w:t xml:space="preserve">in aspects of the proceedings leading up to a bail appeal </w:t>
      </w:r>
      <w:r w:rsidR="00A9427E" w:rsidRPr="00821D0B">
        <w:rPr>
          <w:lang w:val="en-GB"/>
        </w:rPr>
        <w:t>has been</w:t>
      </w:r>
      <w:r w:rsidR="002E1DFD" w:rsidRPr="00821D0B">
        <w:rPr>
          <w:lang w:val="en-GB"/>
        </w:rPr>
        <w:t xml:space="preserve"> subjected to </w:t>
      </w:r>
      <w:r w:rsidR="004906B9" w:rsidRPr="00821D0B">
        <w:rPr>
          <w:lang w:val="en-GB"/>
        </w:rPr>
        <w:t xml:space="preserve">trenchant </w:t>
      </w:r>
      <w:r w:rsidR="002E1DFD" w:rsidRPr="00821D0B">
        <w:rPr>
          <w:lang w:val="en-GB"/>
        </w:rPr>
        <w:t>judicial criticism</w:t>
      </w:r>
      <w:r w:rsidR="00805C6E" w:rsidRPr="00821D0B">
        <w:rPr>
          <w:lang w:val="en-GB"/>
        </w:rPr>
        <w:t xml:space="preserve"> placed before this </w:t>
      </w:r>
      <w:r w:rsidR="00805C6E" w:rsidRPr="00821D0B">
        <w:rPr>
          <w:lang w:val="en-GB"/>
        </w:rPr>
        <w:lastRenderedPageBreak/>
        <w:t>court</w:t>
      </w:r>
      <w:r w:rsidR="002E1DFD" w:rsidRPr="00821D0B">
        <w:rPr>
          <w:lang w:val="en-GB"/>
        </w:rPr>
        <w:t>. Van Zyl DJP, in granting bail on appeal, raised concern about the issue of a s 60(11A) certificate</w:t>
      </w:r>
      <w:r w:rsidR="00332741" w:rsidRPr="00821D0B">
        <w:rPr>
          <w:lang w:val="en-GB"/>
        </w:rPr>
        <w:t xml:space="preserve">, as well as the </w:t>
      </w:r>
      <w:r w:rsidR="004862B4" w:rsidRPr="00821D0B">
        <w:rPr>
          <w:lang w:val="en-GB"/>
        </w:rPr>
        <w:t>district</w:t>
      </w:r>
      <w:r w:rsidR="00332741" w:rsidRPr="00821D0B">
        <w:rPr>
          <w:lang w:val="en-GB"/>
        </w:rPr>
        <w:t xml:space="preserve"> prosecutor’s reliance on the issue of race in arguing the bail proceedings before a magistrate</w:t>
      </w:r>
      <w:r w:rsidR="00781788" w:rsidRPr="00821D0B">
        <w:rPr>
          <w:lang w:val="en-GB"/>
        </w:rPr>
        <w:t>, seemingly absent any underpinning evidence</w:t>
      </w:r>
      <w:r w:rsidR="009A62BB" w:rsidRPr="00821D0B">
        <w:rPr>
          <w:lang w:val="en-GB"/>
        </w:rPr>
        <w:t>.</w:t>
      </w:r>
      <w:r w:rsidR="00853DE9" w:rsidRPr="00821D0B">
        <w:rPr>
          <w:lang w:val="en-GB"/>
        </w:rPr>
        <w:t xml:space="preserve"> The use of the statement of the deceased’s sister in opposing bail was criticised as lacking relevance and prejudicial to the applicant so that it should not have been used. </w:t>
      </w:r>
      <w:r w:rsidR="00572227" w:rsidRPr="00821D0B">
        <w:rPr>
          <w:lang w:val="en-GB"/>
        </w:rPr>
        <w:t xml:space="preserve">The prosecutor was </w:t>
      </w:r>
      <w:r w:rsidR="003F2B7B" w:rsidRPr="00821D0B">
        <w:rPr>
          <w:lang w:val="en-GB"/>
        </w:rPr>
        <w:t xml:space="preserve">specifically criticised for seeking to advance the </w:t>
      </w:r>
      <w:r w:rsidR="00F86F7F" w:rsidRPr="00821D0B">
        <w:rPr>
          <w:lang w:val="en-GB"/>
        </w:rPr>
        <w:t>S</w:t>
      </w:r>
      <w:r w:rsidR="003F2B7B" w:rsidRPr="00821D0B">
        <w:rPr>
          <w:lang w:val="en-GB"/>
        </w:rPr>
        <w:t xml:space="preserve">tate’s case beyond what could be proved with the aid of </w:t>
      </w:r>
      <w:r w:rsidR="00174594" w:rsidRPr="00821D0B">
        <w:rPr>
          <w:lang w:val="en-GB"/>
        </w:rPr>
        <w:t>the available evidence.</w:t>
      </w:r>
    </w:p>
    <w:p w14:paraId="14B4B5CD" w14:textId="77777777" w:rsidR="00031DA1" w:rsidRPr="00031DA1" w:rsidRDefault="00031DA1" w:rsidP="00031DA1">
      <w:pPr>
        <w:pStyle w:val="ListParagraph"/>
        <w:rPr>
          <w:lang w:val="en-GB"/>
        </w:rPr>
      </w:pPr>
    </w:p>
    <w:p w14:paraId="0B48CAF0" w14:textId="4076CE29" w:rsidR="00383E66" w:rsidRPr="00821D0B" w:rsidRDefault="00821D0B" w:rsidP="00821D0B">
      <w:pPr>
        <w:autoSpaceDE w:val="0"/>
        <w:autoSpaceDN w:val="0"/>
        <w:adjustRightInd w:val="0"/>
        <w:jc w:val="both"/>
        <w:rPr>
          <w:lang w:val="en-GB"/>
        </w:rPr>
      </w:pPr>
      <w:r>
        <w:rPr>
          <w:lang w:val="en-GB"/>
        </w:rPr>
        <w:t>[11]</w:t>
      </w:r>
      <w:r>
        <w:rPr>
          <w:lang w:val="en-GB"/>
        </w:rPr>
        <w:tab/>
      </w:r>
      <w:r w:rsidR="00C811E2" w:rsidRPr="00821D0B">
        <w:rPr>
          <w:lang w:val="en-GB"/>
        </w:rPr>
        <w:t xml:space="preserve">Linked to the above, the applicant hopes to glean the following information from access to </w:t>
      </w:r>
      <w:r w:rsidR="00D22B7B" w:rsidRPr="00821D0B">
        <w:rPr>
          <w:lang w:val="en-GB"/>
        </w:rPr>
        <w:t>s</w:t>
      </w:r>
      <w:r w:rsidR="00C811E2" w:rsidRPr="00821D0B">
        <w:rPr>
          <w:lang w:val="en-GB"/>
        </w:rPr>
        <w:t xml:space="preserve">ections </w:t>
      </w:r>
      <w:r w:rsidR="00D22B7B" w:rsidRPr="00821D0B">
        <w:rPr>
          <w:lang w:val="en-GB"/>
        </w:rPr>
        <w:t>‘</w:t>
      </w:r>
      <w:r w:rsidR="00C811E2" w:rsidRPr="00821D0B">
        <w:rPr>
          <w:lang w:val="en-GB"/>
        </w:rPr>
        <w:t>B</w:t>
      </w:r>
      <w:r w:rsidR="00D22B7B" w:rsidRPr="00821D0B">
        <w:rPr>
          <w:lang w:val="en-GB"/>
        </w:rPr>
        <w:t>’</w:t>
      </w:r>
      <w:r w:rsidR="00C811E2" w:rsidRPr="00821D0B">
        <w:rPr>
          <w:lang w:val="en-GB"/>
        </w:rPr>
        <w:t xml:space="preserve"> and / or </w:t>
      </w:r>
      <w:r w:rsidR="00D22B7B" w:rsidRPr="00821D0B">
        <w:rPr>
          <w:lang w:val="en-GB"/>
        </w:rPr>
        <w:t>‘</w:t>
      </w:r>
      <w:r w:rsidR="00C811E2" w:rsidRPr="00821D0B">
        <w:rPr>
          <w:lang w:val="en-GB"/>
        </w:rPr>
        <w:t>C</w:t>
      </w:r>
      <w:r w:rsidR="00D22B7B" w:rsidRPr="00821D0B">
        <w:rPr>
          <w:lang w:val="en-GB"/>
        </w:rPr>
        <w:t>’</w:t>
      </w:r>
      <w:r w:rsidR="00C811E2" w:rsidRPr="00821D0B">
        <w:rPr>
          <w:lang w:val="en-GB"/>
        </w:rPr>
        <w:t xml:space="preserve"> of the docket:</w:t>
      </w:r>
    </w:p>
    <w:p w14:paraId="6BA389AE" w14:textId="77777777" w:rsidR="008658C4" w:rsidRDefault="008658C4" w:rsidP="008658C4">
      <w:pPr>
        <w:pStyle w:val="ListParagraph"/>
        <w:autoSpaceDE w:val="0"/>
        <w:autoSpaceDN w:val="0"/>
        <w:adjustRightInd w:val="0"/>
        <w:ind w:left="0"/>
        <w:jc w:val="both"/>
        <w:rPr>
          <w:lang w:val="en-GB"/>
        </w:rPr>
      </w:pPr>
    </w:p>
    <w:p w14:paraId="38DAED2B" w14:textId="27BDBA0C" w:rsidR="008658C4" w:rsidRPr="00821D0B" w:rsidRDefault="00821D0B" w:rsidP="00821D0B">
      <w:pPr>
        <w:ind w:left="1080" w:hanging="720"/>
        <w:jc w:val="both"/>
        <w:rPr>
          <w:lang w:val="en-GB"/>
        </w:rPr>
      </w:pPr>
      <w:r>
        <w:rPr>
          <w:lang w:val="en-GB"/>
        </w:rPr>
        <w:t>i)</w:t>
      </w:r>
      <w:r>
        <w:rPr>
          <w:lang w:val="en-GB"/>
        </w:rPr>
        <w:tab/>
      </w:r>
      <w:r w:rsidR="008658C4" w:rsidRPr="00821D0B">
        <w:rPr>
          <w:lang w:val="en-GB"/>
        </w:rPr>
        <w:t>When Captain Scott became the investigating officer in the case;</w:t>
      </w:r>
    </w:p>
    <w:p w14:paraId="03F8FC07" w14:textId="46C22FAB" w:rsidR="008658C4" w:rsidRPr="00821D0B" w:rsidRDefault="00821D0B" w:rsidP="00821D0B">
      <w:pPr>
        <w:ind w:left="1080" w:hanging="720"/>
        <w:jc w:val="both"/>
        <w:rPr>
          <w:lang w:val="en-GB"/>
        </w:rPr>
      </w:pPr>
      <w:r>
        <w:rPr>
          <w:lang w:val="en-GB"/>
        </w:rPr>
        <w:t>ii)</w:t>
      </w:r>
      <w:r>
        <w:rPr>
          <w:lang w:val="en-GB"/>
        </w:rPr>
        <w:tab/>
      </w:r>
      <w:r w:rsidR="008658C4" w:rsidRPr="00821D0B">
        <w:rPr>
          <w:lang w:val="en-GB"/>
        </w:rPr>
        <w:t>Why and under whose direction Warrant Officer Rispel was removed from the case as the investigating officer;</w:t>
      </w:r>
    </w:p>
    <w:p w14:paraId="2B7D2646" w14:textId="167E8062" w:rsidR="008658C4" w:rsidRPr="00821D0B" w:rsidRDefault="00821D0B" w:rsidP="00821D0B">
      <w:pPr>
        <w:ind w:left="1080" w:hanging="720"/>
        <w:jc w:val="both"/>
        <w:rPr>
          <w:lang w:val="en-GB"/>
        </w:rPr>
      </w:pPr>
      <w:r>
        <w:rPr>
          <w:lang w:val="en-GB"/>
        </w:rPr>
        <w:t>iii)</w:t>
      </w:r>
      <w:r>
        <w:rPr>
          <w:lang w:val="en-GB"/>
        </w:rPr>
        <w:tab/>
      </w:r>
      <w:r w:rsidR="008658C4" w:rsidRPr="00821D0B">
        <w:rPr>
          <w:lang w:val="en-GB"/>
        </w:rPr>
        <w:t>Captain Scott’s exact roll played in the investigation of the case;</w:t>
      </w:r>
    </w:p>
    <w:p w14:paraId="66DB0D4E" w14:textId="03A7A6C6" w:rsidR="008658C4" w:rsidRPr="00821D0B" w:rsidRDefault="00821D0B" w:rsidP="00821D0B">
      <w:pPr>
        <w:ind w:left="1080" w:hanging="720"/>
        <w:jc w:val="both"/>
        <w:rPr>
          <w:lang w:val="en-GB"/>
        </w:rPr>
      </w:pPr>
      <w:r>
        <w:rPr>
          <w:lang w:val="en-GB"/>
        </w:rPr>
        <w:t>iv)</w:t>
      </w:r>
      <w:r>
        <w:rPr>
          <w:lang w:val="en-GB"/>
        </w:rPr>
        <w:tab/>
      </w:r>
      <w:r w:rsidR="008658C4" w:rsidRPr="00821D0B">
        <w:rPr>
          <w:lang w:val="en-GB"/>
        </w:rPr>
        <w:t>When the relevant State witnesses were interviewed by the police, whether they were asked about the alleged ‘planting’ of a knife or knives at the scene and their initial responses to this;</w:t>
      </w:r>
    </w:p>
    <w:p w14:paraId="3A7E3664" w14:textId="2E315A63" w:rsidR="008658C4" w:rsidRPr="00821D0B" w:rsidRDefault="00821D0B" w:rsidP="00821D0B">
      <w:pPr>
        <w:ind w:left="1080" w:hanging="720"/>
        <w:jc w:val="both"/>
        <w:rPr>
          <w:lang w:val="en-GB"/>
        </w:rPr>
      </w:pPr>
      <w:r>
        <w:rPr>
          <w:lang w:val="en-GB"/>
        </w:rPr>
        <w:t>v)</w:t>
      </w:r>
      <w:r>
        <w:rPr>
          <w:lang w:val="en-GB"/>
        </w:rPr>
        <w:tab/>
      </w:r>
      <w:r w:rsidR="008658C4" w:rsidRPr="00821D0B">
        <w:rPr>
          <w:lang w:val="en-GB"/>
        </w:rPr>
        <w:t>Ms Rossouw’s rol</w:t>
      </w:r>
      <w:r w:rsidR="0034787F" w:rsidRPr="00821D0B">
        <w:rPr>
          <w:lang w:val="en-GB"/>
        </w:rPr>
        <w:t>e</w:t>
      </w:r>
      <w:r w:rsidR="008658C4" w:rsidRPr="00821D0B">
        <w:rPr>
          <w:lang w:val="en-GB"/>
        </w:rPr>
        <w:t xml:space="preserve"> in the investigation of the case;</w:t>
      </w:r>
    </w:p>
    <w:p w14:paraId="3967409A" w14:textId="2FF8B2A2" w:rsidR="008658C4" w:rsidRPr="00821D0B" w:rsidRDefault="00821D0B" w:rsidP="00821D0B">
      <w:pPr>
        <w:ind w:left="1080" w:hanging="720"/>
        <w:jc w:val="both"/>
        <w:rPr>
          <w:lang w:val="en-GB"/>
        </w:rPr>
      </w:pPr>
      <w:r>
        <w:rPr>
          <w:lang w:val="en-GB"/>
        </w:rPr>
        <w:t>vi)</w:t>
      </w:r>
      <w:r>
        <w:rPr>
          <w:lang w:val="en-GB"/>
        </w:rPr>
        <w:tab/>
      </w:r>
      <w:r w:rsidR="00BF0503" w:rsidRPr="00821D0B">
        <w:rPr>
          <w:lang w:val="en-GB"/>
        </w:rPr>
        <w:t>The instructions given by Ms Rossouw and / or Mr Stander and / or the DDPP to the police in connection with the investigation of the allegation that a knife was ‘planted’ at the scene; and</w:t>
      </w:r>
    </w:p>
    <w:p w14:paraId="55DD7215" w14:textId="3533F27D" w:rsidR="00BF0503" w:rsidRPr="00821D0B" w:rsidRDefault="00821D0B" w:rsidP="00821D0B">
      <w:pPr>
        <w:ind w:left="1080" w:hanging="720"/>
        <w:jc w:val="both"/>
        <w:rPr>
          <w:lang w:val="en-GB"/>
        </w:rPr>
      </w:pPr>
      <w:r>
        <w:rPr>
          <w:lang w:val="en-GB"/>
        </w:rPr>
        <w:t>vii)</w:t>
      </w:r>
      <w:r>
        <w:rPr>
          <w:lang w:val="en-GB"/>
        </w:rPr>
        <w:tab/>
      </w:r>
      <w:r w:rsidR="00BF0503" w:rsidRPr="00821D0B">
        <w:rPr>
          <w:lang w:val="en-GB"/>
        </w:rPr>
        <w:t>Whether there were any irregularities in the manner in which the case was investigated given the alleged irregular involvement of Ms Rossouw and Captain Scott.</w:t>
      </w:r>
    </w:p>
    <w:p w14:paraId="346BD1D5" w14:textId="77777777" w:rsidR="009B1E9E" w:rsidRDefault="009B1E9E" w:rsidP="009B1E9E">
      <w:pPr>
        <w:pStyle w:val="ListParagraph"/>
        <w:autoSpaceDE w:val="0"/>
        <w:autoSpaceDN w:val="0"/>
        <w:adjustRightInd w:val="0"/>
        <w:ind w:left="0"/>
        <w:jc w:val="both"/>
        <w:rPr>
          <w:lang w:val="en-GB"/>
        </w:rPr>
      </w:pPr>
    </w:p>
    <w:p w14:paraId="6A9776C6" w14:textId="23503018" w:rsidR="000F5480" w:rsidRPr="00821D0B" w:rsidRDefault="00821D0B" w:rsidP="00821D0B">
      <w:pPr>
        <w:autoSpaceDE w:val="0"/>
        <w:autoSpaceDN w:val="0"/>
        <w:adjustRightInd w:val="0"/>
        <w:jc w:val="both"/>
        <w:rPr>
          <w:lang w:val="en-GB"/>
        </w:rPr>
      </w:pPr>
      <w:r>
        <w:rPr>
          <w:lang w:val="en-GB"/>
        </w:rPr>
        <w:t>[12]</w:t>
      </w:r>
      <w:r>
        <w:rPr>
          <w:lang w:val="en-GB"/>
        </w:rPr>
        <w:tab/>
      </w:r>
      <w:r w:rsidR="008E5F26" w:rsidRPr="00821D0B">
        <w:rPr>
          <w:lang w:val="en-GB"/>
        </w:rPr>
        <w:t>As for the State’s opposition</w:t>
      </w:r>
      <w:r w:rsidR="001B30B3" w:rsidRPr="00821D0B">
        <w:rPr>
          <w:lang w:val="en-GB"/>
        </w:rPr>
        <w:t xml:space="preserve">, </w:t>
      </w:r>
      <w:r w:rsidR="000F5480" w:rsidRPr="00821D0B">
        <w:rPr>
          <w:lang w:val="en-GB"/>
        </w:rPr>
        <w:t xml:space="preserve">Ms Mentz’s answering affidavit explains that all of the Humansdorp prosecutors would have been in a similar position as Ms Rossouw, as Ms Stuurman was known to all of them. It further indicates, with reference to the </w:t>
      </w:r>
      <w:r w:rsidR="00C00C96" w:rsidRPr="00821D0B">
        <w:rPr>
          <w:lang w:val="en-GB"/>
        </w:rPr>
        <w:t>National Prosecuting Authority</w:t>
      </w:r>
      <w:r w:rsidR="000F5480" w:rsidRPr="00821D0B">
        <w:rPr>
          <w:lang w:val="en-GB"/>
        </w:rPr>
        <w:t xml:space="preserve"> Policy Manual, that Ms Rossouw’s consultation with the paramedics, as prospective witnesses, was not unusual as part of the prosecutorial decision-making process.</w:t>
      </w:r>
    </w:p>
    <w:p w14:paraId="579DA024" w14:textId="77777777" w:rsidR="000F5480" w:rsidRDefault="000F5480" w:rsidP="000F5480">
      <w:pPr>
        <w:pStyle w:val="ListParagraph"/>
        <w:autoSpaceDE w:val="0"/>
        <w:autoSpaceDN w:val="0"/>
        <w:adjustRightInd w:val="0"/>
        <w:ind w:left="0"/>
        <w:jc w:val="both"/>
        <w:rPr>
          <w:lang w:val="en-GB"/>
        </w:rPr>
      </w:pPr>
    </w:p>
    <w:p w14:paraId="34D4BC10" w14:textId="2E3AB231" w:rsidR="00892CF6" w:rsidRPr="00821D0B" w:rsidRDefault="00821D0B" w:rsidP="00821D0B">
      <w:pPr>
        <w:autoSpaceDE w:val="0"/>
        <w:autoSpaceDN w:val="0"/>
        <w:adjustRightInd w:val="0"/>
        <w:jc w:val="both"/>
        <w:rPr>
          <w:lang w:val="en-GB"/>
        </w:rPr>
      </w:pPr>
      <w:r w:rsidRPr="00154151">
        <w:rPr>
          <w:lang w:val="en-GB"/>
        </w:rPr>
        <w:lastRenderedPageBreak/>
        <w:t>[13]</w:t>
      </w:r>
      <w:r w:rsidRPr="00154151">
        <w:rPr>
          <w:lang w:val="en-GB"/>
        </w:rPr>
        <w:tab/>
      </w:r>
      <w:r w:rsidR="008C1632" w:rsidRPr="00821D0B">
        <w:rPr>
          <w:lang w:val="en-GB"/>
        </w:rPr>
        <w:t>The DDPP</w:t>
      </w:r>
      <w:r w:rsidR="00C013F4" w:rsidRPr="00821D0B">
        <w:rPr>
          <w:lang w:val="en-GB"/>
        </w:rPr>
        <w:t>’s answering affidavit</w:t>
      </w:r>
      <w:r w:rsidR="00590674" w:rsidRPr="00821D0B">
        <w:rPr>
          <w:lang w:val="en-GB"/>
        </w:rPr>
        <w:t xml:space="preserve"> highlighted selected aspects of Ms Stuurman’s testimony during cross-examination, notably that she had not discussed the case with Ms Rossouw prior to its enrolment and her lack of knowledge as to the reason for Warrant Officer Rispel’s replacement.</w:t>
      </w:r>
      <w:r w:rsidR="00556B66" w:rsidRPr="00821D0B">
        <w:rPr>
          <w:lang w:val="en-GB"/>
        </w:rPr>
        <w:t xml:space="preserve"> It emphasised that the supplementary affidavits obtained had resulted in the withdrawal of </w:t>
      </w:r>
      <w:r w:rsidR="000D517E" w:rsidRPr="00821D0B">
        <w:rPr>
          <w:lang w:val="en-GB"/>
        </w:rPr>
        <w:t>C</w:t>
      </w:r>
      <w:r w:rsidR="00556B66" w:rsidRPr="00821D0B">
        <w:rPr>
          <w:lang w:val="en-GB"/>
        </w:rPr>
        <w:t xml:space="preserve">ount 2, and authority </w:t>
      </w:r>
      <w:r w:rsidR="0034787F" w:rsidRPr="00821D0B">
        <w:rPr>
          <w:lang w:val="en-GB"/>
        </w:rPr>
        <w:t>from this D</w:t>
      </w:r>
      <w:r w:rsidR="00AC4F68" w:rsidRPr="00821D0B">
        <w:rPr>
          <w:lang w:val="en-GB"/>
        </w:rPr>
        <w:t xml:space="preserve">ivision pertaining to the realities of </w:t>
      </w:r>
      <w:r w:rsidR="00DB0F5A" w:rsidRPr="00821D0B">
        <w:rPr>
          <w:lang w:val="en-GB"/>
        </w:rPr>
        <w:t>the interaction between prosecutors and members of the community</w:t>
      </w:r>
      <w:r w:rsidR="00C85CA1" w:rsidRPr="00821D0B">
        <w:rPr>
          <w:lang w:val="en-GB"/>
        </w:rPr>
        <w:t xml:space="preserve"> who supply evidence</w:t>
      </w:r>
      <w:r w:rsidR="00154151" w:rsidRPr="00821D0B">
        <w:rPr>
          <w:lang w:val="en-GB"/>
        </w:rPr>
        <w:t xml:space="preserve">. </w:t>
      </w:r>
      <w:r w:rsidR="000E6472" w:rsidRPr="00821D0B">
        <w:rPr>
          <w:lang w:val="en-GB"/>
        </w:rPr>
        <w:t xml:space="preserve">The </w:t>
      </w:r>
      <w:r w:rsidR="000716ED" w:rsidRPr="00821D0B">
        <w:rPr>
          <w:lang w:val="en-GB"/>
        </w:rPr>
        <w:t>State averred that Ms Rossouw had played no further part in dealing with the matter once the case docket was submitted to the DDPP’s office on 13 April 2021.</w:t>
      </w:r>
      <w:r w:rsidR="00F40301" w:rsidRPr="00821D0B">
        <w:rPr>
          <w:lang w:val="en-GB"/>
        </w:rPr>
        <w:t xml:space="preserve"> </w:t>
      </w:r>
      <w:r w:rsidR="00EB5423" w:rsidRPr="00821D0B">
        <w:rPr>
          <w:lang w:val="en-GB"/>
        </w:rPr>
        <w:t>There was nothing untoward in her consultation with the relatives of the deceased in a murder matter, or in her consultation with the paramedics</w:t>
      </w:r>
      <w:r w:rsidR="002F6CDF" w:rsidRPr="00821D0B">
        <w:rPr>
          <w:lang w:val="en-GB"/>
        </w:rPr>
        <w:t>, which was in line with her mandate at the time.</w:t>
      </w:r>
    </w:p>
    <w:p w14:paraId="603F7B51" w14:textId="77777777" w:rsidR="00892CF6" w:rsidRPr="00892CF6" w:rsidRDefault="00892CF6" w:rsidP="00892CF6">
      <w:pPr>
        <w:pStyle w:val="ListParagraph"/>
        <w:rPr>
          <w:lang w:val="en-GB"/>
        </w:rPr>
      </w:pPr>
    </w:p>
    <w:p w14:paraId="5AB2168B" w14:textId="5A39C138" w:rsidR="00892CF6" w:rsidRPr="00821D0B" w:rsidRDefault="00821D0B" w:rsidP="00821D0B">
      <w:pPr>
        <w:autoSpaceDE w:val="0"/>
        <w:autoSpaceDN w:val="0"/>
        <w:adjustRightInd w:val="0"/>
        <w:jc w:val="both"/>
        <w:rPr>
          <w:lang w:val="en-GB"/>
        </w:rPr>
      </w:pPr>
      <w:r>
        <w:rPr>
          <w:lang w:val="en-GB"/>
        </w:rPr>
        <w:t>[14]</w:t>
      </w:r>
      <w:r>
        <w:rPr>
          <w:lang w:val="en-GB"/>
        </w:rPr>
        <w:tab/>
      </w:r>
      <w:r w:rsidR="00892CF6" w:rsidRPr="00821D0B">
        <w:rPr>
          <w:lang w:val="en-GB"/>
        </w:rPr>
        <w:t xml:space="preserve">The DDPP’s affidavit </w:t>
      </w:r>
      <w:r w:rsidR="00154151" w:rsidRPr="00821D0B">
        <w:rPr>
          <w:lang w:val="en-GB"/>
        </w:rPr>
        <w:t xml:space="preserve">also </w:t>
      </w:r>
      <w:r w:rsidR="00892CF6" w:rsidRPr="00821D0B">
        <w:rPr>
          <w:lang w:val="en-GB"/>
        </w:rPr>
        <w:t xml:space="preserve">explains the contents of </w:t>
      </w:r>
      <w:r w:rsidR="00426E1C" w:rsidRPr="00821D0B">
        <w:rPr>
          <w:lang w:val="en-GB"/>
        </w:rPr>
        <w:t xml:space="preserve">section </w:t>
      </w:r>
      <w:r w:rsidR="00892CF6" w:rsidRPr="00821D0B">
        <w:rPr>
          <w:lang w:val="en-GB"/>
        </w:rPr>
        <w:t>‘B’ of the case docket. It contains:</w:t>
      </w:r>
    </w:p>
    <w:p w14:paraId="7D17C1B0" w14:textId="06BAA9CA" w:rsidR="00892CF6" w:rsidRPr="00821D0B" w:rsidRDefault="00821D0B" w:rsidP="00821D0B">
      <w:pPr>
        <w:ind w:left="1080" w:hanging="720"/>
        <w:rPr>
          <w:lang w:val="en-GB"/>
        </w:rPr>
      </w:pPr>
      <w:r>
        <w:rPr>
          <w:lang w:val="en-GB"/>
        </w:rPr>
        <w:t>i)</w:t>
      </w:r>
      <w:r>
        <w:rPr>
          <w:lang w:val="en-GB"/>
        </w:rPr>
        <w:tab/>
      </w:r>
      <w:r w:rsidR="00892CF6" w:rsidRPr="00821D0B">
        <w:rPr>
          <w:lang w:val="en-GB"/>
        </w:rPr>
        <w:t>The SAPS 328 form completed upon the initial release of the app</w:t>
      </w:r>
      <w:r w:rsidR="0034787F" w:rsidRPr="00821D0B">
        <w:rPr>
          <w:lang w:val="en-GB"/>
        </w:rPr>
        <w:t>lican</w:t>
      </w:r>
      <w:r w:rsidR="00892CF6" w:rsidRPr="00821D0B">
        <w:rPr>
          <w:lang w:val="en-GB"/>
        </w:rPr>
        <w:t>t on 11 February 2021;</w:t>
      </w:r>
      <w:r w:rsidR="00806719" w:rsidRPr="00821D0B">
        <w:rPr>
          <w:lang w:val="en-GB"/>
        </w:rPr>
        <w:t xml:space="preserve"> </w:t>
      </w:r>
    </w:p>
    <w:p w14:paraId="678E8CDC" w14:textId="00452BA0" w:rsidR="00892CF6" w:rsidRPr="00821D0B" w:rsidRDefault="00821D0B" w:rsidP="00821D0B">
      <w:pPr>
        <w:ind w:left="1080" w:hanging="720"/>
        <w:rPr>
          <w:lang w:val="en-GB"/>
        </w:rPr>
      </w:pPr>
      <w:r>
        <w:rPr>
          <w:lang w:val="en-GB"/>
        </w:rPr>
        <w:t>ii)</w:t>
      </w:r>
      <w:r>
        <w:rPr>
          <w:lang w:val="en-GB"/>
        </w:rPr>
        <w:tab/>
      </w:r>
      <w:r w:rsidR="00892CF6" w:rsidRPr="00821D0B">
        <w:rPr>
          <w:lang w:val="en-GB"/>
        </w:rPr>
        <w:t>The application for J50 warrant of arrest for the app</w:t>
      </w:r>
      <w:r w:rsidR="0034787F" w:rsidRPr="00821D0B">
        <w:rPr>
          <w:lang w:val="en-GB"/>
        </w:rPr>
        <w:t>lica</w:t>
      </w:r>
      <w:r w:rsidR="00892CF6" w:rsidRPr="00821D0B">
        <w:rPr>
          <w:lang w:val="en-GB"/>
        </w:rPr>
        <w:t>nt dated 26 February 2021;</w:t>
      </w:r>
      <w:r w:rsidR="00EA6D40" w:rsidRPr="00821D0B">
        <w:rPr>
          <w:lang w:val="en-GB"/>
        </w:rPr>
        <w:t xml:space="preserve"> </w:t>
      </w:r>
    </w:p>
    <w:p w14:paraId="47D6E8A4" w14:textId="332A361E" w:rsidR="00892CF6" w:rsidRPr="00821D0B" w:rsidRDefault="00821D0B" w:rsidP="00821D0B">
      <w:pPr>
        <w:ind w:left="1080" w:hanging="720"/>
        <w:rPr>
          <w:lang w:val="en-GB"/>
        </w:rPr>
      </w:pPr>
      <w:r>
        <w:rPr>
          <w:lang w:val="en-GB"/>
        </w:rPr>
        <w:t>iii)</w:t>
      </w:r>
      <w:r>
        <w:rPr>
          <w:lang w:val="en-GB"/>
        </w:rPr>
        <w:tab/>
      </w:r>
      <w:r w:rsidR="00892CF6" w:rsidRPr="00821D0B">
        <w:rPr>
          <w:lang w:val="en-GB"/>
        </w:rPr>
        <w:t>Internal police status reports;</w:t>
      </w:r>
      <w:r w:rsidR="00997700" w:rsidRPr="00821D0B">
        <w:rPr>
          <w:lang w:val="en-GB"/>
        </w:rPr>
        <w:t xml:space="preserve"> </w:t>
      </w:r>
    </w:p>
    <w:p w14:paraId="220A0A0C" w14:textId="626CA3E5" w:rsidR="00892CF6" w:rsidRPr="00821D0B" w:rsidRDefault="00821D0B" w:rsidP="00821D0B">
      <w:pPr>
        <w:ind w:left="1080" w:hanging="720"/>
        <w:rPr>
          <w:lang w:val="en-GB"/>
        </w:rPr>
      </w:pPr>
      <w:r>
        <w:rPr>
          <w:lang w:val="en-GB"/>
        </w:rPr>
        <w:t>iv)</w:t>
      </w:r>
      <w:r>
        <w:rPr>
          <w:lang w:val="en-GB"/>
        </w:rPr>
        <w:tab/>
      </w:r>
      <w:r w:rsidR="00892CF6" w:rsidRPr="00821D0B">
        <w:rPr>
          <w:lang w:val="en-GB"/>
        </w:rPr>
        <w:t>Internal police memorandums;</w:t>
      </w:r>
    </w:p>
    <w:p w14:paraId="6D185400" w14:textId="32BA7DA2" w:rsidR="00892CF6" w:rsidRPr="00821D0B" w:rsidRDefault="00821D0B" w:rsidP="00821D0B">
      <w:pPr>
        <w:ind w:left="1080" w:hanging="720"/>
        <w:rPr>
          <w:lang w:val="en-GB"/>
        </w:rPr>
      </w:pPr>
      <w:r>
        <w:rPr>
          <w:lang w:val="en-GB"/>
        </w:rPr>
        <w:t>v)</w:t>
      </w:r>
      <w:r>
        <w:rPr>
          <w:lang w:val="en-GB"/>
        </w:rPr>
        <w:tab/>
      </w:r>
      <w:r w:rsidR="00892CF6" w:rsidRPr="00821D0B">
        <w:rPr>
          <w:lang w:val="en-GB"/>
        </w:rPr>
        <w:t xml:space="preserve">Clips of newspaper articles; </w:t>
      </w:r>
    </w:p>
    <w:p w14:paraId="18A1B12D" w14:textId="61D7A6C1" w:rsidR="00892CF6" w:rsidRPr="00821D0B" w:rsidRDefault="00821D0B" w:rsidP="00821D0B">
      <w:pPr>
        <w:ind w:left="1080" w:hanging="720"/>
        <w:rPr>
          <w:lang w:val="en-GB"/>
        </w:rPr>
      </w:pPr>
      <w:r>
        <w:rPr>
          <w:lang w:val="en-GB"/>
        </w:rPr>
        <w:t>vi)</w:t>
      </w:r>
      <w:r>
        <w:rPr>
          <w:lang w:val="en-GB"/>
        </w:rPr>
        <w:tab/>
      </w:r>
      <w:r w:rsidR="00892CF6" w:rsidRPr="00821D0B">
        <w:rPr>
          <w:lang w:val="en-GB"/>
        </w:rPr>
        <w:t>Correspondence, covering sheets and ‘nodal print records’ between various stakeholders in the SAPS;</w:t>
      </w:r>
    </w:p>
    <w:p w14:paraId="54508D2E" w14:textId="6B22976B" w:rsidR="00892CF6" w:rsidRPr="00821D0B" w:rsidRDefault="00821D0B" w:rsidP="00821D0B">
      <w:pPr>
        <w:ind w:left="1080" w:hanging="720"/>
        <w:rPr>
          <w:lang w:val="en-GB"/>
        </w:rPr>
      </w:pPr>
      <w:r>
        <w:rPr>
          <w:lang w:val="en-GB"/>
        </w:rPr>
        <w:t>vii)</w:t>
      </w:r>
      <w:r>
        <w:rPr>
          <w:lang w:val="en-GB"/>
        </w:rPr>
        <w:tab/>
      </w:r>
      <w:r w:rsidR="00892CF6" w:rsidRPr="00821D0B">
        <w:rPr>
          <w:lang w:val="en-GB"/>
        </w:rPr>
        <w:t>Copies of digital images included in section</w:t>
      </w:r>
      <w:r w:rsidR="008A6664" w:rsidRPr="00821D0B">
        <w:rPr>
          <w:lang w:val="en-GB"/>
        </w:rPr>
        <w:t xml:space="preserve"> ‘A’</w:t>
      </w:r>
      <w:r w:rsidR="00892CF6" w:rsidRPr="00821D0B">
        <w:rPr>
          <w:lang w:val="en-GB"/>
        </w:rPr>
        <w:t xml:space="preserve"> of the case docket, to which the applicant has access;</w:t>
      </w:r>
    </w:p>
    <w:p w14:paraId="009B6D7C" w14:textId="0ADD8751" w:rsidR="00892CF6" w:rsidRPr="00821D0B" w:rsidRDefault="00821D0B" w:rsidP="00821D0B">
      <w:pPr>
        <w:ind w:left="1080" w:hanging="720"/>
        <w:rPr>
          <w:lang w:val="en-GB"/>
        </w:rPr>
      </w:pPr>
      <w:r>
        <w:rPr>
          <w:lang w:val="en-GB"/>
        </w:rPr>
        <w:t>viii)</w:t>
      </w:r>
      <w:r>
        <w:rPr>
          <w:lang w:val="en-GB"/>
        </w:rPr>
        <w:tab/>
      </w:r>
      <w:r w:rsidR="00892CF6" w:rsidRPr="00821D0B">
        <w:rPr>
          <w:lang w:val="en-GB"/>
        </w:rPr>
        <w:t>Correspondence between the office of the DDPP and the investigating officer.</w:t>
      </w:r>
    </w:p>
    <w:p w14:paraId="3A383B5F" w14:textId="77777777" w:rsidR="00892CF6" w:rsidRPr="00892CF6" w:rsidRDefault="00892CF6" w:rsidP="00892CF6">
      <w:pPr>
        <w:pStyle w:val="ListParagraph"/>
        <w:ind w:left="1080"/>
        <w:rPr>
          <w:lang w:val="en-GB"/>
        </w:rPr>
      </w:pPr>
    </w:p>
    <w:p w14:paraId="3DE910B9" w14:textId="48D4D652" w:rsidR="000E6472" w:rsidRPr="00821D0B" w:rsidRDefault="00821D0B" w:rsidP="00821D0B">
      <w:pPr>
        <w:autoSpaceDE w:val="0"/>
        <w:autoSpaceDN w:val="0"/>
        <w:adjustRightInd w:val="0"/>
        <w:jc w:val="both"/>
        <w:rPr>
          <w:lang w:val="en-GB"/>
        </w:rPr>
      </w:pPr>
      <w:r>
        <w:rPr>
          <w:lang w:val="en-GB"/>
        </w:rPr>
        <w:t>[15]</w:t>
      </w:r>
      <w:r>
        <w:rPr>
          <w:lang w:val="en-GB"/>
        </w:rPr>
        <w:tab/>
      </w:r>
      <w:r w:rsidR="00892CF6" w:rsidRPr="00821D0B">
        <w:rPr>
          <w:lang w:val="en-GB"/>
        </w:rPr>
        <w:t xml:space="preserve"> The </w:t>
      </w:r>
      <w:r w:rsidR="007B3DE3" w:rsidRPr="00821D0B">
        <w:rPr>
          <w:lang w:val="en-GB"/>
        </w:rPr>
        <w:t>S</w:t>
      </w:r>
      <w:r w:rsidR="00892CF6" w:rsidRPr="00821D0B">
        <w:rPr>
          <w:lang w:val="en-GB"/>
        </w:rPr>
        <w:t xml:space="preserve">tate argues that this documentation is neither exculpatory nor inculpatory and, prima facie, does not favour the applicant so that access is </w:t>
      </w:r>
      <w:r w:rsidR="00FA3F83" w:rsidRPr="00821D0B">
        <w:rPr>
          <w:lang w:val="en-GB"/>
        </w:rPr>
        <w:t>unjustified, also being irrelevant to the applicant’s guilt or defence and unnecessary for purposes of preparation of a defence.</w:t>
      </w:r>
      <w:r w:rsidR="00B94F3D" w:rsidRPr="00821D0B">
        <w:rPr>
          <w:lang w:val="en-GB"/>
        </w:rPr>
        <w:t xml:space="preserve"> The </w:t>
      </w:r>
      <w:r w:rsidR="00C16F7C" w:rsidRPr="00821D0B">
        <w:rPr>
          <w:lang w:val="en-GB"/>
        </w:rPr>
        <w:t xml:space="preserve">last-mentioned </w:t>
      </w:r>
      <w:r w:rsidR="00B94F3D" w:rsidRPr="00821D0B">
        <w:rPr>
          <w:lang w:val="en-GB"/>
        </w:rPr>
        <w:t xml:space="preserve">correspondence between the DDPP and the investigating officer is </w:t>
      </w:r>
      <w:r w:rsidR="00C34997" w:rsidRPr="00821D0B">
        <w:rPr>
          <w:lang w:val="en-GB"/>
        </w:rPr>
        <w:t>specifically</w:t>
      </w:r>
      <w:r w:rsidR="00555B5F" w:rsidRPr="00821D0B">
        <w:rPr>
          <w:lang w:val="en-GB"/>
        </w:rPr>
        <w:t xml:space="preserve">, and vigorously, </w:t>
      </w:r>
      <w:r w:rsidR="00B94F3D" w:rsidRPr="00821D0B">
        <w:rPr>
          <w:lang w:val="en-GB"/>
        </w:rPr>
        <w:t xml:space="preserve">resisted on the basis of litigation </w:t>
      </w:r>
      <w:r w:rsidR="00B94F3D" w:rsidRPr="00821D0B">
        <w:rPr>
          <w:lang w:val="en-GB"/>
        </w:rPr>
        <w:lastRenderedPageBreak/>
        <w:t>privilege</w:t>
      </w:r>
      <w:r w:rsidR="00ED235A" w:rsidRPr="00821D0B">
        <w:rPr>
          <w:lang w:val="en-GB"/>
        </w:rPr>
        <w:t xml:space="preserve">, it being averred that correspondence with evidential value has already been made available as part of </w:t>
      </w:r>
      <w:r w:rsidR="005506DB" w:rsidRPr="00821D0B">
        <w:rPr>
          <w:lang w:val="en-GB"/>
        </w:rPr>
        <w:t>section</w:t>
      </w:r>
      <w:r w:rsidR="00ED235A" w:rsidRPr="00821D0B">
        <w:rPr>
          <w:lang w:val="en-GB"/>
        </w:rPr>
        <w:t xml:space="preserve"> ‘A’ of the docket.</w:t>
      </w:r>
      <w:r w:rsidR="00F71B39" w:rsidRPr="00821D0B">
        <w:rPr>
          <w:lang w:val="en-GB"/>
        </w:rPr>
        <w:t xml:space="preserve"> </w:t>
      </w:r>
    </w:p>
    <w:p w14:paraId="60D487FA" w14:textId="77777777" w:rsidR="00C2432D" w:rsidRDefault="00C2432D" w:rsidP="00C2432D">
      <w:pPr>
        <w:pStyle w:val="ListParagraph"/>
        <w:autoSpaceDE w:val="0"/>
        <w:autoSpaceDN w:val="0"/>
        <w:adjustRightInd w:val="0"/>
        <w:ind w:left="0"/>
        <w:jc w:val="both"/>
        <w:rPr>
          <w:lang w:val="en-GB"/>
        </w:rPr>
      </w:pPr>
    </w:p>
    <w:p w14:paraId="6ED66FAC" w14:textId="51774CE1" w:rsidR="00C2432D" w:rsidRPr="00821D0B" w:rsidRDefault="00821D0B" w:rsidP="00821D0B">
      <w:pPr>
        <w:autoSpaceDE w:val="0"/>
        <w:autoSpaceDN w:val="0"/>
        <w:adjustRightInd w:val="0"/>
        <w:jc w:val="both"/>
        <w:rPr>
          <w:lang w:val="en-GB"/>
        </w:rPr>
      </w:pPr>
      <w:r>
        <w:rPr>
          <w:lang w:val="en-GB"/>
        </w:rPr>
        <w:t>[16]</w:t>
      </w:r>
      <w:r>
        <w:rPr>
          <w:lang w:val="en-GB"/>
        </w:rPr>
        <w:tab/>
      </w:r>
      <w:r w:rsidR="00500611" w:rsidRPr="00821D0B">
        <w:rPr>
          <w:lang w:val="en-GB"/>
        </w:rPr>
        <w:t>Little is said about t</w:t>
      </w:r>
      <w:r w:rsidR="00C2432D" w:rsidRPr="00821D0B">
        <w:rPr>
          <w:lang w:val="en-GB"/>
        </w:rPr>
        <w:t xml:space="preserve">he </w:t>
      </w:r>
      <w:r w:rsidR="00020F2E" w:rsidRPr="00821D0B">
        <w:rPr>
          <w:lang w:val="en-GB"/>
        </w:rPr>
        <w:t xml:space="preserve">specificities of </w:t>
      </w:r>
      <w:r w:rsidR="00B831A1" w:rsidRPr="00821D0B">
        <w:rPr>
          <w:lang w:val="en-GB"/>
        </w:rPr>
        <w:t>section</w:t>
      </w:r>
      <w:r w:rsidR="00020F2E" w:rsidRPr="00821D0B">
        <w:rPr>
          <w:lang w:val="en-GB"/>
        </w:rPr>
        <w:t xml:space="preserve"> </w:t>
      </w:r>
      <w:r w:rsidR="00C2432D" w:rsidRPr="00821D0B">
        <w:rPr>
          <w:lang w:val="en-GB"/>
        </w:rPr>
        <w:t>‘C’ of the docket</w:t>
      </w:r>
      <w:r w:rsidR="00500611" w:rsidRPr="00821D0B">
        <w:rPr>
          <w:lang w:val="en-GB"/>
        </w:rPr>
        <w:t>, other than that it</w:t>
      </w:r>
      <w:r w:rsidR="00C2432D" w:rsidRPr="00821D0B">
        <w:rPr>
          <w:lang w:val="en-GB"/>
        </w:rPr>
        <w:t xml:space="preserve"> contains a record of events with reference to documents filed in the case docket.</w:t>
      </w:r>
      <w:r w:rsidR="00EC5EEF" w:rsidRPr="00821D0B">
        <w:rPr>
          <w:lang w:val="en-GB"/>
        </w:rPr>
        <w:t xml:space="preserve"> It is apparent from </w:t>
      </w:r>
      <w:r w:rsidR="00EC5EEF" w:rsidRPr="00821D0B">
        <w:rPr>
          <w:i/>
          <w:iCs/>
          <w:lang w:val="en-GB"/>
        </w:rPr>
        <w:t>Panayiotou v The State</w:t>
      </w:r>
      <w:r w:rsidR="00EC5EEF" w:rsidRPr="00821D0B">
        <w:rPr>
          <w:lang w:val="en-GB"/>
        </w:rPr>
        <w:t xml:space="preserve"> (‘</w:t>
      </w:r>
      <w:r w:rsidR="00EC5EEF" w:rsidRPr="00821D0B">
        <w:rPr>
          <w:i/>
          <w:iCs/>
          <w:lang w:val="en-GB"/>
        </w:rPr>
        <w:t>Panayiotou</w:t>
      </w:r>
      <w:r w:rsidR="00EC5EEF" w:rsidRPr="00821D0B">
        <w:rPr>
          <w:lang w:val="en-GB"/>
        </w:rPr>
        <w:t>’) that it may serve as a reference in court should any aspect of an investigation process be questioned.</w:t>
      </w:r>
      <w:r w:rsidR="006B7DFD">
        <w:rPr>
          <w:rStyle w:val="FootnoteReference"/>
          <w:lang w:val="en-GB"/>
        </w:rPr>
        <w:footnoteReference w:id="8"/>
      </w:r>
      <w:r w:rsidR="00EC5EEF" w:rsidRPr="00821D0B">
        <w:rPr>
          <w:lang w:val="en-GB"/>
        </w:rPr>
        <w:t xml:space="preserve"> </w:t>
      </w:r>
      <w:r w:rsidR="00567524" w:rsidRPr="00821D0B">
        <w:rPr>
          <w:lang w:val="en-GB"/>
        </w:rPr>
        <w:t xml:space="preserve">The application is opposed, in general, on the basis that it </w:t>
      </w:r>
      <w:r w:rsidR="009969D4" w:rsidRPr="00821D0B">
        <w:rPr>
          <w:lang w:val="en-GB"/>
        </w:rPr>
        <w:t xml:space="preserve">is premature and </w:t>
      </w:r>
      <w:r w:rsidR="00567524" w:rsidRPr="00821D0B">
        <w:rPr>
          <w:lang w:val="en-GB"/>
        </w:rPr>
        <w:t>constitutes a fishing expedition,</w:t>
      </w:r>
      <w:r w:rsidR="002945D1">
        <w:rPr>
          <w:rStyle w:val="FootnoteReference"/>
          <w:lang w:val="en-GB"/>
        </w:rPr>
        <w:footnoteReference w:id="9"/>
      </w:r>
      <w:r w:rsidR="00567524" w:rsidRPr="00821D0B">
        <w:rPr>
          <w:lang w:val="en-GB"/>
        </w:rPr>
        <w:t xml:space="preserve"> and that the information contained in those sections of the case docket are typically not </w:t>
      </w:r>
      <w:r w:rsidR="009E63E2" w:rsidRPr="00821D0B">
        <w:rPr>
          <w:lang w:val="en-GB"/>
        </w:rPr>
        <w:t>of the kind that requires their production in court.</w:t>
      </w:r>
      <w:r w:rsidR="00814498" w:rsidRPr="00821D0B">
        <w:rPr>
          <w:lang w:val="en-GB"/>
        </w:rPr>
        <w:t xml:space="preserve"> </w:t>
      </w:r>
      <w:r w:rsidR="00FD1590" w:rsidRPr="00821D0B">
        <w:rPr>
          <w:lang w:val="en-GB"/>
        </w:rPr>
        <w:t xml:space="preserve">As for the first and second </w:t>
      </w:r>
      <w:r w:rsidR="00D00C66" w:rsidRPr="00821D0B">
        <w:rPr>
          <w:lang w:val="en-GB"/>
        </w:rPr>
        <w:t>grounds</w:t>
      </w:r>
      <w:r w:rsidR="00FD1590" w:rsidRPr="00821D0B">
        <w:rPr>
          <w:lang w:val="en-GB"/>
        </w:rPr>
        <w:t xml:space="preserve"> for the application, the </w:t>
      </w:r>
      <w:r w:rsidR="007B3DE3" w:rsidRPr="00821D0B">
        <w:rPr>
          <w:lang w:val="en-GB"/>
        </w:rPr>
        <w:t>S</w:t>
      </w:r>
      <w:r w:rsidR="00FD1590" w:rsidRPr="00821D0B">
        <w:rPr>
          <w:lang w:val="en-GB"/>
        </w:rPr>
        <w:t xml:space="preserve">tate highlights that the </w:t>
      </w:r>
      <w:r w:rsidR="009E26D0" w:rsidRPr="00821D0B">
        <w:rPr>
          <w:lang w:val="en-GB"/>
        </w:rPr>
        <w:t xml:space="preserve">witnesses and </w:t>
      </w:r>
      <w:r w:rsidR="00FD1590" w:rsidRPr="00821D0B">
        <w:rPr>
          <w:lang w:val="en-GB"/>
        </w:rPr>
        <w:t xml:space="preserve">investigating </w:t>
      </w:r>
      <w:r w:rsidR="009E26D0" w:rsidRPr="00821D0B">
        <w:rPr>
          <w:lang w:val="en-GB"/>
        </w:rPr>
        <w:t>officers will be subjected to cross-examination, or made available to the defence, and that the applicant’s version of events would be put to them in due course.</w:t>
      </w:r>
    </w:p>
    <w:p w14:paraId="72D927C1" w14:textId="77777777" w:rsidR="00FA251D" w:rsidRPr="00FA251D" w:rsidRDefault="00FA251D" w:rsidP="00FA251D">
      <w:pPr>
        <w:pStyle w:val="ListParagraph"/>
        <w:rPr>
          <w:lang w:val="en-GB"/>
        </w:rPr>
      </w:pPr>
    </w:p>
    <w:p w14:paraId="36DA6172" w14:textId="3E736363" w:rsidR="00FA251D" w:rsidRPr="00821D0B" w:rsidRDefault="00821D0B" w:rsidP="00821D0B">
      <w:pPr>
        <w:autoSpaceDE w:val="0"/>
        <w:autoSpaceDN w:val="0"/>
        <w:adjustRightInd w:val="0"/>
        <w:jc w:val="both"/>
        <w:rPr>
          <w:lang w:val="en-GB"/>
        </w:rPr>
      </w:pPr>
      <w:r>
        <w:rPr>
          <w:lang w:val="en-GB"/>
        </w:rPr>
        <w:t>[17]</w:t>
      </w:r>
      <w:r>
        <w:rPr>
          <w:lang w:val="en-GB"/>
        </w:rPr>
        <w:tab/>
      </w:r>
      <w:r w:rsidR="00FA251D" w:rsidRPr="00821D0B">
        <w:rPr>
          <w:lang w:val="en-GB"/>
        </w:rPr>
        <w:t>An additional matter also emerged from the DDPP’s answering affidavit, somewhat out of the blue:</w:t>
      </w:r>
    </w:p>
    <w:p w14:paraId="74B07E8B" w14:textId="33AB21FB" w:rsidR="0027119B" w:rsidRDefault="0027119B" w:rsidP="0027119B">
      <w:pPr>
        <w:rPr>
          <w:lang w:val="en-GB"/>
        </w:rPr>
      </w:pPr>
    </w:p>
    <w:p w14:paraId="0125E319" w14:textId="77777777" w:rsidR="0027119B" w:rsidRPr="00FA251D" w:rsidRDefault="0027119B" w:rsidP="0027119B">
      <w:pPr>
        <w:pStyle w:val="ListParagraph"/>
        <w:autoSpaceDE w:val="0"/>
        <w:autoSpaceDN w:val="0"/>
        <w:adjustRightInd w:val="0"/>
        <w:ind w:left="0"/>
        <w:jc w:val="both"/>
        <w:rPr>
          <w:sz w:val="22"/>
          <w:szCs w:val="22"/>
          <w:lang w:val="en-GB"/>
        </w:rPr>
      </w:pPr>
      <w:r>
        <w:rPr>
          <w:sz w:val="22"/>
          <w:szCs w:val="22"/>
          <w:lang w:val="en-GB"/>
        </w:rPr>
        <w:t>‘On Friday 13 October 2023 it was brought to my attention that a police official enquired why he received no subpoena to testify in this matter. When informed that there is no affidavit contained in the case docket and no reference is made of him the witness furnished the investigating officer, Warrant Officer Scott, with an affidavit, a photo album together with a CD containing certain images. This information will be disclosed soonest.’</w:t>
      </w:r>
    </w:p>
    <w:p w14:paraId="47436FD4" w14:textId="77777777" w:rsidR="0027119B" w:rsidRPr="0027119B" w:rsidRDefault="0027119B" w:rsidP="0027119B">
      <w:pPr>
        <w:rPr>
          <w:lang w:val="en-GB"/>
        </w:rPr>
      </w:pPr>
    </w:p>
    <w:p w14:paraId="40576AFF" w14:textId="064E2629" w:rsidR="0027119B" w:rsidRPr="00821D0B" w:rsidRDefault="00821D0B" w:rsidP="00821D0B">
      <w:pPr>
        <w:autoSpaceDE w:val="0"/>
        <w:autoSpaceDN w:val="0"/>
        <w:adjustRightInd w:val="0"/>
        <w:jc w:val="both"/>
        <w:rPr>
          <w:lang w:val="en-GB"/>
        </w:rPr>
      </w:pPr>
      <w:r>
        <w:rPr>
          <w:lang w:val="en-GB"/>
        </w:rPr>
        <w:t>[18]</w:t>
      </w:r>
      <w:r>
        <w:rPr>
          <w:lang w:val="en-GB"/>
        </w:rPr>
        <w:tab/>
      </w:r>
      <w:r w:rsidR="004F264E" w:rsidRPr="00821D0B">
        <w:rPr>
          <w:lang w:val="en-GB"/>
        </w:rPr>
        <w:t>The</w:t>
      </w:r>
      <w:r w:rsidR="0068020F" w:rsidRPr="00821D0B">
        <w:rPr>
          <w:lang w:val="en-GB"/>
        </w:rPr>
        <w:t xml:space="preserve"> applicant’s reply takes the issue further. </w:t>
      </w:r>
      <w:r w:rsidR="003D1A92" w:rsidRPr="00821D0B">
        <w:rPr>
          <w:lang w:val="en-GB"/>
        </w:rPr>
        <w:t xml:space="preserve">The police official referenced is one </w:t>
      </w:r>
      <w:r w:rsidR="00686229" w:rsidRPr="00821D0B">
        <w:rPr>
          <w:lang w:val="en-GB"/>
        </w:rPr>
        <w:t>Warrant Officer</w:t>
      </w:r>
      <w:r w:rsidR="003D1A92" w:rsidRPr="00821D0B">
        <w:rPr>
          <w:lang w:val="en-GB"/>
        </w:rPr>
        <w:t xml:space="preserve"> Opperman</w:t>
      </w:r>
      <w:r w:rsidR="00E5767B" w:rsidRPr="00821D0B">
        <w:rPr>
          <w:lang w:val="en-GB"/>
        </w:rPr>
        <w:t xml:space="preserve"> (‘Opperman’)</w:t>
      </w:r>
      <w:r w:rsidR="003D1A92" w:rsidRPr="00821D0B">
        <w:rPr>
          <w:lang w:val="en-GB"/>
        </w:rPr>
        <w:t xml:space="preserve">. </w:t>
      </w:r>
      <w:r w:rsidR="00840717" w:rsidRPr="00821D0B">
        <w:rPr>
          <w:lang w:val="en-GB"/>
        </w:rPr>
        <w:t xml:space="preserve">His affidavit is dated 11 October 2023. Some 39 images were only provided to the defence on 17 October 2023. </w:t>
      </w:r>
      <w:r w:rsidR="00BA2B7E" w:rsidRPr="00821D0B">
        <w:rPr>
          <w:lang w:val="en-GB"/>
        </w:rPr>
        <w:t>The contents of Opperman’s affidavit and the images together constitute, in the words of the defence ‘potentially critical inculpatory evidence which the Defence should have been made aware of prior to the commencement of the trial’.</w:t>
      </w:r>
      <w:r w:rsidR="0050543C" w:rsidRPr="00821D0B">
        <w:rPr>
          <w:lang w:val="en-GB"/>
        </w:rPr>
        <w:t xml:space="preserve"> </w:t>
      </w:r>
      <w:r w:rsidR="00983779" w:rsidRPr="00821D0B">
        <w:rPr>
          <w:lang w:val="en-GB"/>
        </w:rPr>
        <w:t>Without traversing the details, c</w:t>
      </w:r>
      <w:r w:rsidR="00566400" w:rsidRPr="00821D0B">
        <w:rPr>
          <w:lang w:val="en-GB"/>
        </w:rPr>
        <w:t xml:space="preserve">onsidering the contents of Opperman’s affidavit, as well as the summary of substantial facts and reply to the request for further particulars, that assessment is </w:t>
      </w:r>
      <w:r w:rsidR="00C24706" w:rsidRPr="00821D0B">
        <w:rPr>
          <w:lang w:val="en-GB"/>
        </w:rPr>
        <w:lastRenderedPageBreak/>
        <w:t>seemingly appropriate</w:t>
      </w:r>
      <w:r w:rsidR="0039485C" w:rsidRPr="00821D0B">
        <w:rPr>
          <w:lang w:val="en-GB"/>
        </w:rPr>
        <w:t>.</w:t>
      </w:r>
      <w:r w:rsidR="00021DEA" w:rsidRPr="00821D0B">
        <w:rPr>
          <w:lang w:val="en-GB"/>
        </w:rPr>
        <w:t xml:space="preserve"> That being the case, it begs the question </w:t>
      </w:r>
      <w:r w:rsidR="008403D2" w:rsidRPr="00821D0B">
        <w:rPr>
          <w:lang w:val="en-GB"/>
        </w:rPr>
        <w:t xml:space="preserve">as to the circumstances that resulted in the belated awareness of a potentially important </w:t>
      </w:r>
      <w:r w:rsidR="007B3DE3" w:rsidRPr="00821D0B">
        <w:rPr>
          <w:lang w:val="en-GB"/>
        </w:rPr>
        <w:t>S</w:t>
      </w:r>
      <w:r w:rsidR="008403D2" w:rsidRPr="00821D0B">
        <w:rPr>
          <w:lang w:val="en-GB"/>
        </w:rPr>
        <w:t xml:space="preserve">tate witness. </w:t>
      </w:r>
      <w:r w:rsidR="00686229" w:rsidRPr="00821D0B">
        <w:rPr>
          <w:lang w:val="en-GB"/>
        </w:rPr>
        <w:t xml:space="preserve">This in circumstances where the erstwhile investigating officer, Warrant Officer Rispel, engaged with Opperman on the scene, </w:t>
      </w:r>
      <w:r w:rsidR="008A20B5" w:rsidRPr="00821D0B">
        <w:rPr>
          <w:lang w:val="en-GB"/>
        </w:rPr>
        <w:t>ostensibly</w:t>
      </w:r>
      <w:r w:rsidR="00686229" w:rsidRPr="00821D0B">
        <w:rPr>
          <w:lang w:val="en-GB"/>
        </w:rPr>
        <w:t xml:space="preserve"> while the images now disclosed were captured by a Constable in attendance.</w:t>
      </w:r>
      <w:r w:rsidR="00502BC3" w:rsidRPr="00821D0B">
        <w:rPr>
          <w:lang w:val="en-GB"/>
        </w:rPr>
        <w:t xml:space="preserve"> The </w:t>
      </w:r>
      <w:r w:rsidR="008A20B5" w:rsidRPr="00821D0B">
        <w:rPr>
          <w:lang w:val="en-GB"/>
        </w:rPr>
        <w:t>applicant</w:t>
      </w:r>
      <w:r w:rsidR="00502BC3" w:rsidRPr="00821D0B">
        <w:rPr>
          <w:lang w:val="en-GB"/>
        </w:rPr>
        <w:t xml:space="preserve"> argues that this is a further basis for the application to be granted, as </w:t>
      </w:r>
      <w:r w:rsidR="008318DC" w:rsidRPr="00821D0B">
        <w:rPr>
          <w:lang w:val="en-GB"/>
        </w:rPr>
        <w:t>sections ‘B’ and / or ‘C’</w:t>
      </w:r>
      <w:r w:rsidR="00502BC3" w:rsidRPr="00821D0B">
        <w:rPr>
          <w:lang w:val="en-GB"/>
        </w:rPr>
        <w:t xml:space="preserve"> of the police docket may shed light on what is, at best, an oversight and, at worst, </w:t>
      </w:r>
      <w:r w:rsidR="008562AF" w:rsidRPr="00821D0B">
        <w:rPr>
          <w:lang w:val="en-GB"/>
        </w:rPr>
        <w:t xml:space="preserve">evidence intentionally concealed by the </w:t>
      </w:r>
      <w:r w:rsidR="00FB5A37" w:rsidRPr="00821D0B">
        <w:rPr>
          <w:lang w:val="en-GB"/>
        </w:rPr>
        <w:t>respondent.</w:t>
      </w:r>
    </w:p>
    <w:p w14:paraId="6C15DE09" w14:textId="77777777" w:rsidR="00CA266B" w:rsidRDefault="00CA266B" w:rsidP="00CA266B">
      <w:pPr>
        <w:rPr>
          <w:lang w:val="en-GB"/>
        </w:rPr>
      </w:pPr>
    </w:p>
    <w:p w14:paraId="021DC994" w14:textId="5F72D22B" w:rsidR="00CA266B" w:rsidRDefault="009B6339" w:rsidP="00CA266B">
      <w:pPr>
        <w:rPr>
          <w:b/>
          <w:bCs/>
          <w:lang w:val="en-GB"/>
        </w:rPr>
      </w:pPr>
      <w:r>
        <w:rPr>
          <w:b/>
          <w:bCs/>
          <w:lang w:val="en-GB"/>
        </w:rPr>
        <w:t>The law</w:t>
      </w:r>
    </w:p>
    <w:p w14:paraId="3B44097F" w14:textId="77777777" w:rsidR="00CA266B" w:rsidRPr="00CA266B" w:rsidRDefault="00CA266B" w:rsidP="00CA266B">
      <w:pPr>
        <w:rPr>
          <w:b/>
          <w:bCs/>
          <w:lang w:val="en-GB"/>
        </w:rPr>
      </w:pPr>
    </w:p>
    <w:p w14:paraId="7726C6FB" w14:textId="06640AD5" w:rsidR="002470F2" w:rsidRPr="00821D0B" w:rsidRDefault="00821D0B" w:rsidP="00821D0B">
      <w:pPr>
        <w:autoSpaceDE w:val="0"/>
        <w:autoSpaceDN w:val="0"/>
        <w:adjustRightInd w:val="0"/>
        <w:jc w:val="both"/>
        <w:rPr>
          <w:lang w:val="en-GB"/>
        </w:rPr>
      </w:pPr>
      <w:r>
        <w:rPr>
          <w:lang w:val="en-GB"/>
        </w:rPr>
        <w:t>[19]</w:t>
      </w:r>
      <w:r>
        <w:rPr>
          <w:lang w:val="en-GB"/>
        </w:rPr>
        <w:tab/>
      </w:r>
      <w:r w:rsidR="008A1178" w:rsidRPr="00821D0B">
        <w:rPr>
          <w:lang w:val="en-GB"/>
        </w:rPr>
        <w:t>The application concerns access to parts of the docket as an element of the constitutional right to a fair trial</w:t>
      </w:r>
      <w:r w:rsidR="00F6398D" w:rsidRPr="00821D0B">
        <w:rPr>
          <w:lang w:val="en-GB"/>
        </w:rPr>
        <w:t>.</w:t>
      </w:r>
      <w:r w:rsidR="00F6398D">
        <w:rPr>
          <w:rStyle w:val="FootnoteReference"/>
          <w:lang w:val="en-GB"/>
        </w:rPr>
        <w:footnoteReference w:id="10"/>
      </w:r>
      <w:r w:rsidR="008A1178" w:rsidRPr="00821D0B">
        <w:rPr>
          <w:i/>
          <w:iCs/>
          <w:lang w:val="en-GB"/>
        </w:rPr>
        <w:t xml:space="preserve"> </w:t>
      </w:r>
      <w:r w:rsidR="002470F2" w:rsidRPr="00821D0B">
        <w:rPr>
          <w:lang w:val="en-GB"/>
        </w:rPr>
        <w:t xml:space="preserve">This </w:t>
      </w:r>
      <w:r w:rsidR="00D03C82" w:rsidRPr="00821D0B">
        <w:rPr>
          <w:lang w:val="en-GB"/>
        </w:rPr>
        <w:t xml:space="preserve">issue </w:t>
      </w:r>
      <w:r w:rsidR="002470F2" w:rsidRPr="00821D0B">
        <w:rPr>
          <w:lang w:val="en-GB"/>
        </w:rPr>
        <w:t xml:space="preserve">cannot be </w:t>
      </w:r>
      <w:r w:rsidR="00D03C82" w:rsidRPr="00821D0B">
        <w:rPr>
          <w:lang w:val="en-GB"/>
        </w:rPr>
        <w:t>addressed</w:t>
      </w:r>
      <w:r w:rsidR="002470F2" w:rsidRPr="00821D0B">
        <w:rPr>
          <w:lang w:val="en-GB"/>
        </w:rPr>
        <w:t xml:space="preserve"> in abstract, and must be determined having regard to the particular circumstances of each case.</w:t>
      </w:r>
      <w:r w:rsidR="003F6F60" w:rsidRPr="00821D0B">
        <w:rPr>
          <w:lang w:val="en-GB"/>
        </w:rPr>
        <w:t xml:space="preserve"> In other words, what a fair trial might require in a particular case depends on the circumstances</w:t>
      </w:r>
      <w:r w:rsidR="00AB7E89" w:rsidRPr="00821D0B">
        <w:rPr>
          <w:lang w:val="en-GB"/>
        </w:rPr>
        <w:t xml:space="preserve">, as Mahomed DP held in </w:t>
      </w:r>
      <w:r w:rsidR="00AB7E89" w:rsidRPr="00821D0B">
        <w:rPr>
          <w:i/>
          <w:iCs/>
          <w:lang w:val="en-GB"/>
        </w:rPr>
        <w:t>Shabalala</w:t>
      </w:r>
      <w:r w:rsidR="00AB7E89" w:rsidRPr="00821D0B">
        <w:rPr>
          <w:lang w:val="en-GB"/>
        </w:rPr>
        <w:t>:</w:t>
      </w:r>
      <w:r w:rsidR="003F6F60">
        <w:rPr>
          <w:rStyle w:val="FootnoteReference"/>
          <w:lang w:val="en-GB"/>
        </w:rPr>
        <w:footnoteReference w:id="11"/>
      </w:r>
    </w:p>
    <w:p w14:paraId="6EBB9CD1" w14:textId="77777777" w:rsidR="007847E2" w:rsidRDefault="007847E2" w:rsidP="007847E2">
      <w:pPr>
        <w:pStyle w:val="ListParagraph"/>
        <w:autoSpaceDE w:val="0"/>
        <w:autoSpaceDN w:val="0"/>
        <w:adjustRightInd w:val="0"/>
        <w:ind w:left="0"/>
        <w:jc w:val="both"/>
        <w:rPr>
          <w:lang w:val="en-GB"/>
        </w:rPr>
      </w:pPr>
    </w:p>
    <w:p w14:paraId="6114004F" w14:textId="70C0ADF3" w:rsidR="007847E2" w:rsidRPr="00EC5E35" w:rsidRDefault="00EC5E35" w:rsidP="007847E2">
      <w:pPr>
        <w:pStyle w:val="ListParagraph"/>
        <w:autoSpaceDE w:val="0"/>
        <w:autoSpaceDN w:val="0"/>
        <w:adjustRightInd w:val="0"/>
        <w:ind w:left="0"/>
        <w:jc w:val="both"/>
        <w:rPr>
          <w:sz w:val="22"/>
          <w:szCs w:val="22"/>
          <w:lang w:val="en-GB"/>
        </w:rPr>
      </w:pPr>
      <w:r>
        <w:rPr>
          <w:sz w:val="22"/>
          <w:szCs w:val="22"/>
          <w:lang w:val="en-GB"/>
        </w:rPr>
        <w:t xml:space="preserve">‘The accused may, however, be entitled to have access to the relevant parts of the police docket even in cases where the particularity furnished might be sufficient to enable the accused to understand the charge against him or her but, in the special circumstances of a particular case, it might not enable the defence to prepare its own case sufficiently, or to properly exercise its right “to adduce and challenge the evidence”; or to identify witnesses able to contradict the assertions made by the State witnesses; or to obtain evidence which might sufficiently impact upon the credibility and motives of the State witnesses during cross-examination; … </w:t>
      </w:r>
      <w:r w:rsidR="00AB7E89">
        <w:rPr>
          <w:sz w:val="22"/>
          <w:szCs w:val="22"/>
          <w:lang w:val="en-GB"/>
        </w:rPr>
        <w:t>or to focus properly on significant matters omitted by the State witnesses in their depositions; or to properly deal with the significance of matters deposed to by such witnesses</w:t>
      </w:r>
      <w:r w:rsidR="009946EF">
        <w:rPr>
          <w:sz w:val="22"/>
          <w:szCs w:val="22"/>
          <w:lang w:val="en-GB"/>
        </w:rPr>
        <w:t xml:space="preserve"> in one statement and not in another or deposed to in a statement and not repeated in evidence …</w:t>
      </w:r>
      <w:r w:rsidR="002B09F6">
        <w:rPr>
          <w:sz w:val="22"/>
          <w:szCs w:val="22"/>
          <w:lang w:val="en-GB"/>
        </w:rPr>
        <w:t xml:space="preserve"> The fair trial requirement is fundamental. The court in each case would have to exercise a proper discretion balancing the accused’s need for a fair trial against the legitimate interests of the State in enhancing and protecting the ends of justice.</w:t>
      </w:r>
      <w:r w:rsidR="009946EF">
        <w:rPr>
          <w:sz w:val="22"/>
          <w:szCs w:val="22"/>
          <w:lang w:val="en-GB"/>
        </w:rPr>
        <w:t>’</w:t>
      </w:r>
    </w:p>
    <w:p w14:paraId="64446B20" w14:textId="77777777" w:rsidR="002470F2" w:rsidRPr="002470F2" w:rsidRDefault="002470F2" w:rsidP="002470F2">
      <w:pPr>
        <w:pStyle w:val="ListParagraph"/>
        <w:autoSpaceDE w:val="0"/>
        <w:autoSpaceDN w:val="0"/>
        <w:adjustRightInd w:val="0"/>
        <w:ind w:left="0"/>
        <w:jc w:val="both"/>
        <w:rPr>
          <w:lang w:val="en-GB"/>
        </w:rPr>
      </w:pPr>
    </w:p>
    <w:p w14:paraId="4D34441C" w14:textId="6F401719" w:rsidR="005D47E9" w:rsidRPr="00821D0B" w:rsidRDefault="00821D0B" w:rsidP="00821D0B">
      <w:pPr>
        <w:autoSpaceDE w:val="0"/>
        <w:autoSpaceDN w:val="0"/>
        <w:adjustRightInd w:val="0"/>
        <w:jc w:val="both"/>
        <w:rPr>
          <w:lang w:val="en-GB"/>
        </w:rPr>
      </w:pPr>
      <w:r>
        <w:rPr>
          <w:lang w:val="en-GB"/>
        </w:rPr>
        <w:lastRenderedPageBreak/>
        <w:t>[20]</w:t>
      </w:r>
      <w:r>
        <w:rPr>
          <w:lang w:val="en-GB"/>
        </w:rPr>
        <w:tab/>
      </w:r>
      <w:r w:rsidR="005D47E9" w:rsidRPr="00821D0B">
        <w:rPr>
          <w:lang w:val="en-GB"/>
        </w:rPr>
        <w:t xml:space="preserve">In attempting to strike the appropriate balance, various </w:t>
      </w:r>
      <w:r w:rsidR="00E36A10" w:rsidRPr="00821D0B">
        <w:rPr>
          <w:lang w:val="en-GB"/>
        </w:rPr>
        <w:t xml:space="preserve">rights and </w:t>
      </w:r>
      <w:r w:rsidR="005D47E9" w:rsidRPr="00821D0B">
        <w:rPr>
          <w:lang w:val="en-GB"/>
        </w:rPr>
        <w:t xml:space="preserve">principles require reiteration. </w:t>
      </w:r>
      <w:r w:rsidR="004D44EF" w:rsidRPr="00821D0B">
        <w:rPr>
          <w:lang w:val="en-GB"/>
        </w:rPr>
        <w:t>As indicated, t</w:t>
      </w:r>
      <w:r w:rsidR="00E36A10" w:rsidRPr="00821D0B">
        <w:rPr>
          <w:lang w:val="en-GB"/>
        </w:rPr>
        <w:t xml:space="preserve">he </w:t>
      </w:r>
      <w:r w:rsidR="00EC06FA" w:rsidRPr="00821D0B">
        <w:rPr>
          <w:lang w:val="en-GB"/>
        </w:rPr>
        <w:t>starting point</w:t>
      </w:r>
      <w:r w:rsidR="00E36A10" w:rsidRPr="00821D0B">
        <w:rPr>
          <w:lang w:val="en-GB"/>
        </w:rPr>
        <w:t xml:space="preserve"> is that every accused person has a right to a fair trial, including the right to </w:t>
      </w:r>
      <w:r w:rsidR="00823AF8" w:rsidRPr="00821D0B">
        <w:rPr>
          <w:lang w:val="en-GB"/>
        </w:rPr>
        <w:t>‘make full answer and defence’</w:t>
      </w:r>
      <w:r w:rsidR="00823AF8">
        <w:rPr>
          <w:rStyle w:val="FootnoteReference"/>
          <w:lang w:val="en-GB"/>
        </w:rPr>
        <w:footnoteReference w:id="12"/>
      </w:r>
      <w:r w:rsidR="00823AF8" w:rsidRPr="00821D0B">
        <w:rPr>
          <w:lang w:val="en-GB"/>
        </w:rPr>
        <w:t xml:space="preserve"> and to </w:t>
      </w:r>
      <w:r w:rsidR="00E36A10" w:rsidRPr="00821D0B">
        <w:rPr>
          <w:lang w:val="en-GB"/>
        </w:rPr>
        <w:t>adduce and challenge evidence.</w:t>
      </w:r>
      <w:r w:rsidR="00E36A10">
        <w:rPr>
          <w:rStyle w:val="FootnoteReference"/>
          <w:lang w:val="en-GB"/>
        </w:rPr>
        <w:footnoteReference w:id="13"/>
      </w:r>
      <w:r w:rsidR="00E36A10" w:rsidRPr="00821D0B">
        <w:rPr>
          <w:lang w:val="en-GB"/>
        </w:rPr>
        <w:t xml:space="preserve"> </w:t>
      </w:r>
      <w:r w:rsidR="00EC06FA" w:rsidRPr="00821D0B">
        <w:rPr>
          <w:lang w:val="en-GB"/>
        </w:rPr>
        <w:t>The issue at hand is a ‘fair-trial question’</w:t>
      </w:r>
      <w:r w:rsidR="005B0D00" w:rsidRPr="00821D0B">
        <w:rPr>
          <w:lang w:val="en-GB"/>
        </w:rPr>
        <w:t xml:space="preserve"> and the right is not </w:t>
      </w:r>
      <w:r w:rsidR="00981918" w:rsidRPr="00821D0B">
        <w:rPr>
          <w:lang w:val="en-GB"/>
        </w:rPr>
        <w:t>unqualified</w:t>
      </w:r>
      <w:r w:rsidR="00EC06FA" w:rsidRPr="00821D0B">
        <w:rPr>
          <w:lang w:val="en-GB"/>
        </w:rPr>
        <w:t xml:space="preserve">. </w:t>
      </w:r>
      <w:r w:rsidR="00E27020" w:rsidRPr="00821D0B">
        <w:rPr>
          <w:lang w:val="en-GB"/>
        </w:rPr>
        <w:t>When interpreting the Bill of Rights, a court must promote the values that underlie an open and democratic society based on human dignity, equality and freedom</w:t>
      </w:r>
      <w:r w:rsidR="00BB1F3C" w:rsidRPr="00821D0B">
        <w:rPr>
          <w:lang w:val="en-GB"/>
        </w:rPr>
        <w:t>, must consider international law and may consider foreign law.</w:t>
      </w:r>
      <w:r w:rsidR="00CA5F63">
        <w:rPr>
          <w:rStyle w:val="FootnoteReference"/>
          <w:lang w:val="en-GB"/>
        </w:rPr>
        <w:footnoteReference w:id="14"/>
      </w:r>
      <w:r w:rsidR="00BB1F3C" w:rsidRPr="00821D0B">
        <w:rPr>
          <w:lang w:val="en-GB"/>
        </w:rPr>
        <w:t xml:space="preserve"> </w:t>
      </w:r>
      <w:r w:rsidR="00D736F6" w:rsidRPr="00821D0B">
        <w:rPr>
          <w:lang w:val="en-GB"/>
        </w:rPr>
        <w:t>The following</w:t>
      </w:r>
      <w:r w:rsidR="005B130C" w:rsidRPr="00821D0B">
        <w:rPr>
          <w:lang w:val="en-GB"/>
        </w:rPr>
        <w:t xml:space="preserve"> considerations</w:t>
      </w:r>
      <w:r w:rsidR="00D736F6" w:rsidRPr="00821D0B">
        <w:rPr>
          <w:lang w:val="en-GB"/>
        </w:rPr>
        <w:t>, drawn from the Canadian Supreme Court</w:t>
      </w:r>
      <w:r w:rsidR="002C1613" w:rsidRPr="00821D0B">
        <w:rPr>
          <w:lang w:val="en-GB"/>
        </w:rPr>
        <w:t xml:space="preserve"> decision in </w:t>
      </w:r>
      <w:r w:rsidR="002C1613" w:rsidRPr="00821D0B">
        <w:rPr>
          <w:i/>
          <w:iCs/>
          <w:lang w:val="en-GB"/>
        </w:rPr>
        <w:t>Stinchcombe</w:t>
      </w:r>
      <w:r w:rsidR="00D736F6" w:rsidRPr="00821D0B">
        <w:rPr>
          <w:lang w:val="en-GB"/>
        </w:rPr>
        <w:t>,</w:t>
      </w:r>
      <w:r w:rsidR="00EA1DB9">
        <w:rPr>
          <w:rStyle w:val="FootnoteReference"/>
          <w:lang w:val="en-GB"/>
        </w:rPr>
        <w:footnoteReference w:id="15"/>
      </w:r>
      <w:r w:rsidR="00D736F6" w:rsidRPr="00821D0B">
        <w:rPr>
          <w:lang w:val="en-GB"/>
        </w:rPr>
        <w:t xml:space="preserve"> </w:t>
      </w:r>
      <w:r w:rsidR="005B130C" w:rsidRPr="00821D0B">
        <w:rPr>
          <w:lang w:val="en-GB"/>
        </w:rPr>
        <w:t>were</w:t>
      </w:r>
      <w:r w:rsidR="00D736F6" w:rsidRPr="00821D0B">
        <w:rPr>
          <w:lang w:val="en-GB"/>
        </w:rPr>
        <w:t xml:space="preserve"> summarised by Ponnan JA in </w:t>
      </w:r>
      <w:r w:rsidR="00D736F6" w:rsidRPr="00821D0B">
        <w:rPr>
          <w:i/>
          <w:iCs/>
          <w:lang w:val="en-GB"/>
        </w:rPr>
        <w:t>Du Toit v The Magistrate and Others</w:t>
      </w:r>
      <w:r w:rsidR="00D736F6" w:rsidRPr="00821D0B">
        <w:rPr>
          <w:lang w:val="en-GB"/>
        </w:rPr>
        <w:t>:</w:t>
      </w:r>
      <w:r w:rsidR="00D736F6">
        <w:rPr>
          <w:rStyle w:val="FootnoteReference"/>
          <w:lang w:val="en-GB"/>
        </w:rPr>
        <w:footnoteReference w:id="16"/>
      </w:r>
      <w:r w:rsidR="005D47E9" w:rsidRPr="00821D0B">
        <w:rPr>
          <w:lang w:val="en-GB"/>
        </w:rPr>
        <w:t xml:space="preserve">  </w:t>
      </w:r>
    </w:p>
    <w:p w14:paraId="1CF7DEE5" w14:textId="55F9A4D2" w:rsidR="005D47E9" w:rsidRDefault="005D47E9" w:rsidP="005D47E9">
      <w:pPr>
        <w:pStyle w:val="ListParagraph"/>
        <w:autoSpaceDE w:val="0"/>
        <w:autoSpaceDN w:val="0"/>
        <w:adjustRightInd w:val="0"/>
        <w:ind w:left="0"/>
        <w:jc w:val="both"/>
        <w:rPr>
          <w:lang w:val="en-GB"/>
        </w:rPr>
      </w:pPr>
    </w:p>
    <w:p w14:paraId="6534E29B" w14:textId="2EEEBCEB" w:rsidR="002E1B9C" w:rsidRDefault="004A4311" w:rsidP="005D47E9">
      <w:pPr>
        <w:pStyle w:val="ListParagraph"/>
        <w:autoSpaceDE w:val="0"/>
        <w:autoSpaceDN w:val="0"/>
        <w:adjustRightInd w:val="0"/>
        <w:ind w:left="0"/>
        <w:jc w:val="both"/>
        <w:rPr>
          <w:sz w:val="22"/>
          <w:szCs w:val="22"/>
          <w:lang w:val="en-GB"/>
        </w:rPr>
      </w:pPr>
      <w:r>
        <w:rPr>
          <w:sz w:val="22"/>
          <w:szCs w:val="22"/>
          <w:lang w:val="en-GB"/>
        </w:rPr>
        <w:t xml:space="preserve">‘(a) </w:t>
      </w:r>
      <w:r w:rsidR="00F2632E">
        <w:rPr>
          <w:sz w:val="22"/>
          <w:szCs w:val="22"/>
          <w:lang w:val="en-GB"/>
        </w:rPr>
        <w:tab/>
      </w:r>
      <w:r>
        <w:rPr>
          <w:sz w:val="22"/>
          <w:szCs w:val="22"/>
          <w:lang w:val="en-GB"/>
        </w:rPr>
        <w:t>Justice is better served by the elimination of surprise …</w:t>
      </w:r>
    </w:p>
    <w:p w14:paraId="113462DD" w14:textId="21C17E7F" w:rsidR="004A4311" w:rsidRDefault="004A4311" w:rsidP="005D47E9">
      <w:pPr>
        <w:pStyle w:val="ListParagraph"/>
        <w:autoSpaceDE w:val="0"/>
        <w:autoSpaceDN w:val="0"/>
        <w:adjustRightInd w:val="0"/>
        <w:ind w:left="0"/>
        <w:jc w:val="both"/>
        <w:rPr>
          <w:sz w:val="22"/>
          <w:szCs w:val="22"/>
          <w:lang w:val="en-GB"/>
        </w:rPr>
      </w:pPr>
    </w:p>
    <w:p w14:paraId="171E892F" w14:textId="17D260A9" w:rsidR="004A4311" w:rsidRDefault="004A4311" w:rsidP="00F2632E">
      <w:pPr>
        <w:pStyle w:val="ListParagraph"/>
        <w:autoSpaceDE w:val="0"/>
        <w:autoSpaceDN w:val="0"/>
        <w:adjustRightInd w:val="0"/>
        <w:ind w:hanging="720"/>
        <w:jc w:val="both"/>
        <w:rPr>
          <w:sz w:val="22"/>
          <w:szCs w:val="22"/>
          <w:lang w:val="en-GB"/>
        </w:rPr>
      </w:pPr>
      <w:r>
        <w:rPr>
          <w:sz w:val="22"/>
          <w:szCs w:val="22"/>
          <w:lang w:val="en-GB"/>
        </w:rPr>
        <w:t xml:space="preserve">(b) </w:t>
      </w:r>
      <w:r w:rsidR="00F2632E">
        <w:rPr>
          <w:sz w:val="22"/>
          <w:szCs w:val="22"/>
          <w:lang w:val="en-GB"/>
        </w:rPr>
        <w:tab/>
      </w:r>
      <w:r>
        <w:rPr>
          <w:sz w:val="22"/>
          <w:szCs w:val="22"/>
          <w:lang w:val="en-GB"/>
        </w:rPr>
        <w:t>The fruits of the investigation in possession of the [prosecution] are not the property of the [prosecution] but of the public to ensure that justice is done.</w:t>
      </w:r>
    </w:p>
    <w:p w14:paraId="53D3051F" w14:textId="61785B43" w:rsidR="004A4311" w:rsidRDefault="004A4311" w:rsidP="005D47E9">
      <w:pPr>
        <w:pStyle w:val="ListParagraph"/>
        <w:autoSpaceDE w:val="0"/>
        <w:autoSpaceDN w:val="0"/>
        <w:adjustRightInd w:val="0"/>
        <w:ind w:left="0"/>
        <w:jc w:val="both"/>
        <w:rPr>
          <w:sz w:val="22"/>
          <w:szCs w:val="22"/>
          <w:lang w:val="en-GB"/>
        </w:rPr>
      </w:pPr>
    </w:p>
    <w:p w14:paraId="615213D9" w14:textId="7CD2EC56" w:rsidR="004A4311" w:rsidRDefault="004A4311" w:rsidP="00F2632E">
      <w:pPr>
        <w:pStyle w:val="ListParagraph"/>
        <w:autoSpaceDE w:val="0"/>
        <w:autoSpaceDN w:val="0"/>
        <w:adjustRightInd w:val="0"/>
        <w:ind w:hanging="720"/>
        <w:jc w:val="both"/>
        <w:rPr>
          <w:sz w:val="22"/>
          <w:szCs w:val="22"/>
          <w:lang w:val="en-GB"/>
        </w:rPr>
      </w:pPr>
      <w:r>
        <w:rPr>
          <w:sz w:val="22"/>
          <w:szCs w:val="22"/>
          <w:lang w:val="en-GB"/>
        </w:rPr>
        <w:t xml:space="preserve">(c) </w:t>
      </w:r>
      <w:r w:rsidR="00F2632E">
        <w:rPr>
          <w:sz w:val="22"/>
          <w:szCs w:val="22"/>
          <w:lang w:val="en-GB"/>
        </w:rPr>
        <w:tab/>
      </w:r>
      <w:r>
        <w:rPr>
          <w:sz w:val="22"/>
          <w:szCs w:val="22"/>
          <w:lang w:val="en-GB"/>
        </w:rPr>
        <w:t>The defence has no obligation to assist the prosecution and is entitled to be adversarial.</w:t>
      </w:r>
    </w:p>
    <w:p w14:paraId="1C6DA8B2" w14:textId="35ED6B83" w:rsidR="004A4311" w:rsidRDefault="004A4311" w:rsidP="005D47E9">
      <w:pPr>
        <w:pStyle w:val="ListParagraph"/>
        <w:autoSpaceDE w:val="0"/>
        <w:autoSpaceDN w:val="0"/>
        <w:adjustRightInd w:val="0"/>
        <w:ind w:left="0"/>
        <w:jc w:val="both"/>
        <w:rPr>
          <w:sz w:val="22"/>
          <w:szCs w:val="22"/>
          <w:lang w:val="en-GB"/>
        </w:rPr>
      </w:pPr>
    </w:p>
    <w:p w14:paraId="704258ED" w14:textId="42C1A13E" w:rsidR="004A4311" w:rsidRDefault="004A4311" w:rsidP="005D47E9">
      <w:pPr>
        <w:pStyle w:val="ListParagraph"/>
        <w:autoSpaceDE w:val="0"/>
        <w:autoSpaceDN w:val="0"/>
        <w:adjustRightInd w:val="0"/>
        <w:ind w:left="0"/>
        <w:jc w:val="both"/>
        <w:rPr>
          <w:sz w:val="22"/>
          <w:szCs w:val="22"/>
          <w:lang w:val="en-GB"/>
        </w:rPr>
      </w:pPr>
      <w:r>
        <w:rPr>
          <w:sz w:val="22"/>
          <w:szCs w:val="22"/>
          <w:lang w:val="en-GB"/>
        </w:rPr>
        <w:t xml:space="preserve">(d) </w:t>
      </w:r>
      <w:r w:rsidR="00F2632E">
        <w:rPr>
          <w:sz w:val="22"/>
          <w:szCs w:val="22"/>
          <w:lang w:val="en-GB"/>
        </w:rPr>
        <w:tab/>
      </w:r>
      <w:r>
        <w:rPr>
          <w:sz w:val="22"/>
          <w:szCs w:val="22"/>
          <w:lang w:val="en-GB"/>
        </w:rPr>
        <w:t>The search for the truth is advanced by disclosure of all relevant material.</w:t>
      </w:r>
    </w:p>
    <w:p w14:paraId="178F2243" w14:textId="69221724" w:rsidR="004A4311" w:rsidRDefault="004A4311" w:rsidP="005D47E9">
      <w:pPr>
        <w:pStyle w:val="ListParagraph"/>
        <w:autoSpaceDE w:val="0"/>
        <w:autoSpaceDN w:val="0"/>
        <w:adjustRightInd w:val="0"/>
        <w:ind w:left="0"/>
        <w:jc w:val="both"/>
        <w:rPr>
          <w:sz w:val="22"/>
          <w:szCs w:val="22"/>
          <w:lang w:val="en-GB"/>
        </w:rPr>
      </w:pPr>
    </w:p>
    <w:p w14:paraId="5BDE9FC3" w14:textId="1953A70F" w:rsidR="004A4311" w:rsidRDefault="004A4311" w:rsidP="005D47E9">
      <w:pPr>
        <w:pStyle w:val="ListParagraph"/>
        <w:autoSpaceDE w:val="0"/>
        <w:autoSpaceDN w:val="0"/>
        <w:adjustRightInd w:val="0"/>
        <w:ind w:left="0"/>
        <w:jc w:val="both"/>
        <w:rPr>
          <w:sz w:val="22"/>
          <w:szCs w:val="22"/>
          <w:lang w:val="en-GB"/>
        </w:rPr>
      </w:pPr>
      <w:r>
        <w:rPr>
          <w:sz w:val="22"/>
          <w:szCs w:val="22"/>
          <w:lang w:val="en-GB"/>
        </w:rPr>
        <w:t xml:space="preserve">(e) </w:t>
      </w:r>
      <w:r w:rsidR="00F2632E">
        <w:rPr>
          <w:sz w:val="22"/>
          <w:szCs w:val="22"/>
          <w:lang w:val="en-GB"/>
        </w:rPr>
        <w:tab/>
      </w:r>
      <w:r>
        <w:rPr>
          <w:sz w:val="22"/>
          <w:szCs w:val="22"/>
          <w:lang w:val="en-GB"/>
        </w:rPr>
        <w:t>The prosecution must retain a degree of discretion in respect of these matters.</w:t>
      </w:r>
    </w:p>
    <w:p w14:paraId="0E25A60D" w14:textId="555FE9A2" w:rsidR="004A4311" w:rsidRDefault="004A4311" w:rsidP="005D47E9">
      <w:pPr>
        <w:pStyle w:val="ListParagraph"/>
        <w:autoSpaceDE w:val="0"/>
        <w:autoSpaceDN w:val="0"/>
        <w:adjustRightInd w:val="0"/>
        <w:ind w:left="0"/>
        <w:jc w:val="both"/>
        <w:rPr>
          <w:sz w:val="22"/>
          <w:szCs w:val="22"/>
          <w:lang w:val="en-GB"/>
        </w:rPr>
      </w:pPr>
    </w:p>
    <w:p w14:paraId="5B92CC6F" w14:textId="393CB4A1" w:rsidR="004A4311" w:rsidRDefault="004A4311" w:rsidP="005D47E9">
      <w:pPr>
        <w:pStyle w:val="ListParagraph"/>
        <w:autoSpaceDE w:val="0"/>
        <w:autoSpaceDN w:val="0"/>
        <w:adjustRightInd w:val="0"/>
        <w:ind w:left="0"/>
        <w:jc w:val="both"/>
        <w:rPr>
          <w:sz w:val="22"/>
          <w:szCs w:val="22"/>
          <w:lang w:val="en-GB"/>
        </w:rPr>
      </w:pPr>
      <w:r>
        <w:rPr>
          <w:sz w:val="22"/>
          <w:szCs w:val="22"/>
          <w:lang w:val="en-GB"/>
        </w:rPr>
        <w:t xml:space="preserve">(f) </w:t>
      </w:r>
      <w:r w:rsidR="00F2632E">
        <w:rPr>
          <w:sz w:val="22"/>
          <w:szCs w:val="22"/>
          <w:lang w:val="en-GB"/>
        </w:rPr>
        <w:tab/>
      </w:r>
      <w:r>
        <w:rPr>
          <w:sz w:val="22"/>
          <w:szCs w:val="22"/>
          <w:lang w:val="en-GB"/>
        </w:rPr>
        <w:t>The exercise of the [prosecution’s] discretion should be subject to review by the Court.</w:t>
      </w:r>
    </w:p>
    <w:p w14:paraId="3E9B0BD8" w14:textId="5D222B9E" w:rsidR="004A4311" w:rsidRDefault="004A4311" w:rsidP="005D47E9">
      <w:pPr>
        <w:pStyle w:val="ListParagraph"/>
        <w:autoSpaceDE w:val="0"/>
        <w:autoSpaceDN w:val="0"/>
        <w:adjustRightInd w:val="0"/>
        <w:ind w:left="0"/>
        <w:jc w:val="both"/>
        <w:rPr>
          <w:sz w:val="22"/>
          <w:szCs w:val="22"/>
          <w:lang w:val="en-GB"/>
        </w:rPr>
      </w:pPr>
    </w:p>
    <w:p w14:paraId="02F0378D" w14:textId="2AAA2884" w:rsidR="004A4311" w:rsidRDefault="004A4311" w:rsidP="005D47E9">
      <w:pPr>
        <w:pStyle w:val="ListParagraph"/>
        <w:autoSpaceDE w:val="0"/>
        <w:autoSpaceDN w:val="0"/>
        <w:adjustRightInd w:val="0"/>
        <w:ind w:left="0"/>
        <w:jc w:val="both"/>
        <w:rPr>
          <w:sz w:val="22"/>
          <w:szCs w:val="22"/>
          <w:lang w:val="en-GB"/>
        </w:rPr>
      </w:pPr>
      <w:r>
        <w:rPr>
          <w:sz w:val="22"/>
          <w:szCs w:val="22"/>
          <w:lang w:val="en-GB"/>
        </w:rPr>
        <w:t>…</w:t>
      </w:r>
    </w:p>
    <w:p w14:paraId="5CE118A2" w14:textId="427AE009" w:rsidR="004A4311" w:rsidRDefault="004A4311" w:rsidP="005D47E9">
      <w:pPr>
        <w:pStyle w:val="ListParagraph"/>
        <w:autoSpaceDE w:val="0"/>
        <w:autoSpaceDN w:val="0"/>
        <w:adjustRightInd w:val="0"/>
        <w:ind w:left="0"/>
        <w:jc w:val="both"/>
        <w:rPr>
          <w:sz w:val="22"/>
          <w:szCs w:val="22"/>
          <w:lang w:val="en-GB"/>
        </w:rPr>
      </w:pPr>
    </w:p>
    <w:p w14:paraId="7EF1834C" w14:textId="68EA5795" w:rsidR="004A4311" w:rsidRDefault="004A4311" w:rsidP="00F2632E">
      <w:pPr>
        <w:pStyle w:val="ListParagraph"/>
        <w:autoSpaceDE w:val="0"/>
        <w:autoSpaceDN w:val="0"/>
        <w:adjustRightInd w:val="0"/>
        <w:ind w:hanging="720"/>
        <w:jc w:val="both"/>
        <w:rPr>
          <w:sz w:val="22"/>
          <w:szCs w:val="22"/>
          <w:lang w:val="en-GB"/>
        </w:rPr>
      </w:pPr>
      <w:r>
        <w:rPr>
          <w:sz w:val="22"/>
          <w:szCs w:val="22"/>
          <w:lang w:val="en-GB"/>
        </w:rPr>
        <w:t xml:space="preserve">(h) </w:t>
      </w:r>
      <w:r w:rsidR="00F2632E">
        <w:rPr>
          <w:sz w:val="22"/>
          <w:szCs w:val="22"/>
          <w:lang w:val="en-GB"/>
        </w:rPr>
        <w:tab/>
      </w:r>
      <w:r>
        <w:rPr>
          <w:sz w:val="22"/>
          <w:szCs w:val="22"/>
          <w:lang w:val="en-GB"/>
        </w:rPr>
        <w:t>There is a general principle that disclosure is not to be withheld if there is a reasonable possibility that failure to disclose may impede or may impair the accused’s right to make full answer and defence which is a principle of fundamental justice protected under [the Constitution].</w:t>
      </w:r>
    </w:p>
    <w:p w14:paraId="0204C331" w14:textId="0BC0D205" w:rsidR="004A4311" w:rsidRDefault="004A4311" w:rsidP="005D47E9">
      <w:pPr>
        <w:pStyle w:val="ListParagraph"/>
        <w:autoSpaceDE w:val="0"/>
        <w:autoSpaceDN w:val="0"/>
        <w:adjustRightInd w:val="0"/>
        <w:ind w:left="0"/>
        <w:jc w:val="both"/>
        <w:rPr>
          <w:sz w:val="22"/>
          <w:szCs w:val="22"/>
          <w:lang w:val="en-GB"/>
        </w:rPr>
      </w:pPr>
    </w:p>
    <w:p w14:paraId="7F45CB87" w14:textId="012ED9D5" w:rsidR="004A4311" w:rsidRDefault="004A4311" w:rsidP="00F2632E">
      <w:pPr>
        <w:autoSpaceDE w:val="0"/>
        <w:autoSpaceDN w:val="0"/>
        <w:adjustRightInd w:val="0"/>
        <w:ind w:left="720" w:hanging="720"/>
        <w:jc w:val="both"/>
        <w:rPr>
          <w:sz w:val="22"/>
          <w:szCs w:val="22"/>
          <w:lang w:val="en-GB"/>
        </w:rPr>
      </w:pPr>
      <w:r>
        <w:rPr>
          <w:sz w:val="22"/>
          <w:szCs w:val="22"/>
          <w:lang w:val="en-GB"/>
        </w:rPr>
        <w:t xml:space="preserve">(i) </w:t>
      </w:r>
      <w:r w:rsidR="00F2632E">
        <w:rPr>
          <w:sz w:val="22"/>
          <w:szCs w:val="22"/>
          <w:lang w:val="en-GB"/>
        </w:rPr>
        <w:tab/>
      </w:r>
      <w:r>
        <w:rPr>
          <w:sz w:val="22"/>
          <w:szCs w:val="22"/>
          <w:lang w:val="en-GB"/>
        </w:rPr>
        <w:t>Anything less than full disclosure by the [prosecution] falls short of decency and fair play.</w:t>
      </w:r>
    </w:p>
    <w:p w14:paraId="432A9DD5" w14:textId="2C306624" w:rsidR="004A4311" w:rsidRDefault="004A4311" w:rsidP="004A4311">
      <w:pPr>
        <w:autoSpaceDE w:val="0"/>
        <w:autoSpaceDN w:val="0"/>
        <w:adjustRightInd w:val="0"/>
        <w:jc w:val="both"/>
        <w:rPr>
          <w:sz w:val="22"/>
          <w:szCs w:val="22"/>
          <w:lang w:val="en-GB"/>
        </w:rPr>
      </w:pPr>
    </w:p>
    <w:p w14:paraId="57CB4187" w14:textId="02DA80FF" w:rsidR="004A4311" w:rsidRDefault="004A4311" w:rsidP="00F2632E">
      <w:pPr>
        <w:autoSpaceDE w:val="0"/>
        <w:autoSpaceDN w:val="0"/>
        <w:adjustRightInd w:val="0"/>
        <w:ind w:left="720" w:hanging="720"/>
        <w:jc w:val="both"/>
        <w:rPr>
          <w:sz w:val="22"/>
          <w:szCs w:val="22"/>
          <w:lang w:val="en-GB"/>
        </w:rPr>
      </w:pPr>
      <w:r>
        <w:rPr>
          <w:sz w:val="22"/>
          <w:szCs w:val="22"/>
          <w:lang w:val="en-GB"/>
        </w:rPr>
        <w:t xml:space="preserve">(j) </w:t>
      </w:r>
      <w:r w:rsidR="00F2632E">
        <w:rPr>
          <w:sz w:val="22"/>
          <w:szCs w:val="22"/>
          <w:lang w:val="en-GB"/>
        </w:rPr>
        <w:tab/>
      </w:r>
      <w:r>
        <w:rPr>
          <w:sz w:val="22"/>
          <w:szCs w:val="22"/>
          <w:lang w:val="en-GB"/>
        </w:rPr>
        <w:t>It is neither possible nor appropriate to lay down precise rules here and disclosure should be worked out in the context of concrete situations.’</w:t>
      </w:r>
    </w:p>
    <w:p w14:paraId="6CFD050C" w14:textId="77777777" w:rsidR="008B4AEE" w:rsidRDefault="008B4AEE" w:rsidP="008B4AEE">
      <w:pPr>
        <w:pStyle w:val="ListParagraph"/>
        <w:autoSpaceDE w:val="0"/>
        <w:autoSpaceDN w:val="0"/>
        <w:adjustRightInd w:val="0"/>
        <w:ind w:left="0"/>
        <w:jc w:val="both"/>
        <w:rPr>
          <w:lang w:val="en-GB"/>
        </w:rPr>
      </w:pPr>
    </w:p>
    <w:p w14:paraId="41B79219" w14:textId="55BB0469" w:rsidR="008B4AEE" w:rsidRPr="00821D0B" w:rsidRDefault="00821D0B" w:rsidP="00821D0B">
      <w:pPr>
        <w:autoSpaceDE w:val="0"/>
        <w:autoSpaceDN w:val="0"/>
        <w:adjustRightInd w:val="0"/>
        <w:jc w:val="both"/>
        <w:rPr>
          <w:lang w:val="en-GB"/>
        </w:rPr>
      </w:pPr>
      <w:r>
        <w:rPr>
          <w:lang w:val="en-GB"/>
        </w:rPr>
        <w:t>[21]</w:t>
      </w:r>
      <w:r>
        <w:rPr>
          <w:lang w:val="en-GB"/>
        </w:rPr>
        <w:tab/>
      </w:r>
      <w:r w:rsidR="000E471E" w:rsidRPr="00821D0B">
        <w:rPr>
          <w:lang w:val="en-GB"/>
        </w:rPr>
        <w:t xml:space="preserve">Following </w:t>
      </w:r>
      <w:r w:rsidR="000E471E" w:rsidRPr="00821D0B">
        <w:rPr>
          <w:i/>
          <w:iCs/>
          <w:lang w:val="en-GB"/>
        </w:rPr>
        <w:t>Shabalala</w:t>
      </w:r>
      <w:r w:rsidR="000E471E" w:rsidRPr="00821D0B">
        <w:rPr>
          <w:lang w:val="en-GB"/>
        </w:rPr>
        <w:t>,</w:t>
      </w:r>
      <w:r w:rsidR="0075328C">
        <w:rPr>
          <w:rStyle w:val="FootnoteReference"/>
          <w:lang w:val="en-GB"/>
        </w:rPr>
        <w:footnoteReference w:id="17"/>
      </w:r>
      <w:r w:rsidR="000E471E" w:rsidRPr="00821D0B">
        <w:rPr>
          <w:i/>
          <w:iCs/>
          <w:lang w:val="en-GB"/>
        </w:rPr>
        <w:t xml:space="preserve"> </w:t>
      </w:r>
      <w:r w:rsidR="008B4AEE" w:rsidRPr="00821D0B">
        <w:rPr>
          <w:lang w:val="en-GB"/>
        </w:rPr>
        <w:t xml:space="preserve">‘… in each instance, it </w:t>
      </w:r>
      <w:r w:rsidR="00553C01" w:rsidRPr="00821D0B">
        <w:rPr>
          <w:lang w:val="en-GB"/>
        </w:rPr>
        <w:t>[is]</w:t>
      </w:r>
      <w:r w:rsidR="008B4AEE" w:rsidRPr="00821D0B">
        <w:rPr>
          <w:lang w:val="en-GB"/>
        </w:rPr>
        <w:t xml:space="preserve"> for the court to exercise a proper discretion by balancing the degree of risk involved in attracting the consequences sought to be avoided by the prosecution (if access is permitted) against the degree of the risk </w:t>
      </w:r>
      <w:r w:rsidR="0034787F" w:rsidRPr="00821D0B">
        <w:rPr>
          <w:lang w:val="en-GB"/>
        </w:rPr>
        <w:t>that a fair trial might not ensu</w:t>
      </w:r>
      <w:r w:rsidR="008B4AEE" w:rsidRPr="00821D0B">
        <w:rPr>
          <w:lang w:val="en-GB"/>
        </w:rPr>
        <w:t>e (if such access is denied). What is essentially required is a judicial assessment of the balance of risk …’</w:t>
      </w:r>
    </w:p>
    <w:p w14:paraId="6BF27DD8" w14:textId="77777777" w:rsidR="006B16D0" w:rsidRDefault="006B16D0" w:rsidP="006B16D0">
      <w:pPr>
        <w:pStyle w:val="ListParagraph"/>
        <w:autoSpaceDE w:val="0"/>
        <w:autoSpaceDN w:val="0"/>
        <w:adjustRightInd w:val="0"/>
        <w:ind w:left="0"/>
        <w:jc w:val="both"/>
        <w:rPr>
          <w:lang w:val="en-GB"/>
        </w:rPr>
      </w:pPr>
    </w:p>
    <w:p w14:paraId="3BA5A752" w14:textId="5FDC96E4" w:rsidR="00CA4681" w:rsidRPr="00821D0B" w:rsidRDefault="00821D0B" w:rsidP="00821D0B">
      <w:pPr>
        <w:autoSpaceDE w:val="0"/>
        <w:autoSpaceDN w:val="0"/>
        <w:adjustRightInd w:val="0"/>
        <w:jc w:val="both"/>
        <w:rPr>
          <w:lang w:val="en-GB"/>
        </w:rPr>
      </w:pPr>
      <w:r>
        <w:rPr>
          <w:lang w:val="en-GB"/>
        </w:rPr>
        <w:t>[22]</w:t>
      </w:r>
      <w:r>
        <w:rPr>
          <w:lang w:val="en-GB"/>
        </w:rPr>
        <w:tab/>
      </w:r>
      <w:r w:rsidR="00D30706" w:rsidRPr="00821D0B">
        <w:rPr>
          <w:lang w:val="en-GB"/>
        </w:rPr>
        <w:t>That judgment noted that, generally, ‘the search for truth is advanced rather than retarded by disclosure of all relevant material’.</w:t>
      </w:r>
      <w:r w:rsidR="00D30706">
        <w:rPr>
          <w:rStyle w:val="FootnoteReference"/>
          <w:lang w:val="en-GB"/>
        </w:rPr>
        <w:footnoteReference w:id="18"/>
      </w:r>
      <w:r w:rsidR="00D30706" w:rsidRPr="00821D0B">
        <w:rPr>
          <w:lang w:val="en-GB"/>
        </w:rPr>
        <w:t xml:space="preserve"> </w:t>
      </w:r>
      <w:r w:rsidR="00CA4681" w:rsidRPr="00821D0B">
        <w:rPr>
          <w:lang w:val="en-GB"/>
        </w:rPr>
        <w:t xml:space="preserve">Nonetheless, </w:t>
      </w:r>
      <w:r w:rsidR="00B31055" w:rsidRPr="00821D0B">
        <w:rPr>
          <w:lang w:val="en-GB"/>
        </w:rPr>
        <w:t>d</w:t>
      </w:r>
      <w:r w:rsidR="00CA4681" w:rsidRPr="00821D0B">
        <w:rPr>
          <w:lang w:val="en-GB"/>
        </w:rPr>
        <w:t xml:space="preserve">iscovery in criminal cases </w:t>
      </w:r>
      <w:r w:rsidR="00B8147A" w:rsidRPr="00821D0B">
        <w:rPr>
          <w:lang w:val="en-GB"/>
        </w:rPr>
        <w:t>remains something of</w:t>
      </w:r>
      <w:r w:rsidR="00CA4681" w:rsidRPr="00821D0B">
        <w:rPr>
          <w:lang w:val="en-GB"/>
        </w:rPr>
        <w:t xml:space="preserve"> a matter of compromise,</w:t>
      </w:r>
      <w:r w:rsidR="003F61F9" w:rsidRPr="00821D0B">
        <w:rPr>
          <w:lang w:val="en-GB"/>
        </w:rPr>
        <w:t xml:space="preserve"> and courts </w:t>
      </w:r>
      <w:r w:rsidR="009430BC" w:rsidRPr="00821D0B">
        <w:rPr>
          <w:lang w:val="en-GB"/>
        </w:rPr>
        <w:t>are expected to remain alive to a range of dynamics</w:t>
      </w:r>
      <w:r w:rsidR="00862159" w:rsidRPr="00821D0B">
        <w:rPr>
          <w:lang w:val="en-GB"/>
        </w:rPr>
        <w:t>.</w:t>
      </w:r>
      <w:r w:rsidR="00CA4681" w:rsidRPr="00821D0B">
        <w:rPr>
          <w:lang w:val="en-GB"/>
        </w:rPr>
        <w:t xml:space="preserve"> </w:t>
      </w:r>
      <w:r w:rsidR="003F20D8" w:rsidRPr="00821D0B">
        <w:rPr>
          <w:lang w:val="en-GB"/>
        </w:rPr>
        <w:t xml:space="preserve">This is apparent from </w:t>
      </w:r>
      <w:r w:rsidR="00CA4681" w:rsidRPr="00821D0B">
        <w:rPr>
          <w:lang w:val="en-GB"/>
        </w:rPr>
        <w:t>the following oft-cited dicta of Harms DP</w:t>
      </w:r>
      <w:r w:rsidR="00AA572B" w:rsidRPr="00821D0B">
        <w:rPr>
          <w:lang w:val="en-GB"/>
        </w:rPr>
        <w:t xml:space="preserve"> in </w:t>
      </w:r>
      <w:r w:rsidR="00AA572B" w:rsidRPr="00821D0B">
        <w:rPr>
          <w:i/>
          <w:iCs/>
          <w:lang w:val="en-GB"/>
        </w:rPr>
        <w:t>King</w:t>
      </w:r>
      <w:r w:rsidR="00CA4681" w:rsidRPr="00821D0B">
        <w:rPr>
          <w:lang w:val="en-GB"/>
        </w:rPr>
        <w:t>:</w:t>
      </w:r>
      <w:r w:rsidR="00CA4681">
        <w:rPr>
          <w:rStyle w:val="FootnoteReference"/>
          <w:lang w:val="en-GB"/>
        </w:rPr>
        <w:footnoteReference w:id="19"/>
      </w:r>
    </w:p>
    <w:p w14:paraId="5D10D7EB" w14:textId="77777777" w:rsidR="00CA4681" w:rsidRDefault="00CA4681" w:rsidP="00CA4681">
      <w:pPr>
        <w:pStyle w:val="ListParagraph"/>
        <w:rPr>
          <w:lang w:val="en-GB"/>
        </w:rPr>
      </w:pPr>
    </w:p>
    <w:p w14:paraId="01E05135" w14:textId="50B818E5" w:rsidR="00D30706" w:rsidRPr="00CA4681" w:rsidRDefault="00CA4681" w:rsidP="00CA4681">
      <w:pPr>
        <w:jc w:val="both"/>
        <w:rPr>
          <w:sz w:val="22"/>
          <w:szCs w:val="22"/>
          <w:lang w:val="en-GB"/>
        </w:rPr>
      </w:pPr>
      <w:r>
        <w:rPr>
          <w:sz w:val="22"/>
          <w:szCs w:val="22"/>
          <w:lang w:val="en-GB"/>
        </w:rPr>
        <w:t xml:space="preserve">‘Fairness is not a one-way street conferring an unlimited right on an accused to demand the most favourable possible treatment, but also requires fairness to the public as represented by the State. This does not mean that the accused’s right should be subordinated to the public’s interest in the protection and suppression of crime; however, the purpose of the fair trial provision is not to make it impracticable to conduct a prosecution. The fair trial right does not mean a predilection for technical niceties and ingenious legal stratagems, or to encourage preliminary litigation … To the contrary: courts should within the confines of fairness actively discourage preliminary litigation. Courts should further be aware that persons facing serious charges – and especially minimum sentences – have little inclination to co-operate in a process that may lead to their conviction and “any new procedure can offer opportunities </w:t>
      </w:r>
      <w:r>
        <w:rPr>
          <w:sz w:val="22"/>
          <w:szCs w:val="22"/>
          <w:lang w:val="en-GB"/>
        </w:rPr>
        <w:lastRenderedPageBreak/>
        <w:t>capable of exploitation to obstruct and delay”. One can add the tendency of such accused, instead of confronting the charge, of attacking the prosecution.’</w:t>
      </w:r>
    </w:p>
    <w:p w14:paraId="3991AC75" w14:textId="77777777" w:rsidR="003E33E9" w:rsidRPr="00A65182" w:rsidRDefault="003E33E9" w:rsidP="00A65182">
      <w:pPr>
        <w:rPr>
          <w:lang w:val="en-GB"/>
        </w:rPr>
      </w:pPr>
    </w:p>
    <w:p w14:paraId="3AE22782" w14:textId="24BEBA8B" w:rsidR="00BD36A4" w:rsidRPr="00821D0B" w:rsidRDefault="00821D0B" w:rsidP="00821D0B">
      <w:pPr>
        <w:autoSpaceDE w:val="0"/>
        <w:autoSpaceDN w:val="0"/>
        <w:adjustRightInd w:val="0"/>
        <w:jc w:val="both"/>
        <w:rPr>
          <w:lang w:val="en-GB"/>
        </w:rPr>
      </w:pPr>
      <w:r>
        <w:rPr>
          <w:lang w:val="en-GB"/>
        </w:rPr>
        <w:t>[23]</w:t>
      </w:r>
      <w:r>
        <w:rPr>
          <w:lang w:val="en-GB"/>
        </w:rPr>
        <w:tab/>
      </w:r>
      <w:r w:rsidR="00BD36A4" w:rsidRPr="00821D0B">
        <w:rPr>
          <w:lang w:val="en-GB"/>
        </w:rPr>
        <w:t xml:space="preserve">It may be noted that while </w:t>
      </w:r>
      <w:r w:rsidR="00BD36A4" w:rsidRPr="00821D0B">
        <w:rPr>
          <w:i/>
          <w:iCs/>
          <w:lang w:val="en-GB"/>
        </w:rPr>
        <w:t>King</w:t>
      </w:r>
      <w:r w:rsidR="00BD36A4" w:rsidRPr="00821D0B">
        <w:rPr>
          <w:lang w:val="en-GB"/>
        </w:rPr>
        <w:t xml:space="preserve"> was in fact not about the disclosure of documents at all, the principles emerging from the decision remain relevant to an application for access to sections </w:t>
      </w:r>
      <w:r w:rsidR="001468EC" w:rsidRPr="00821D0B">
        <w:rPr>
          <w:lang w:val="en-GB"/>
        </w:rPr>
        <w:t>‘</w:t>
      </w:r>
      <w:r w:rsidR="00BD36A4" w:rsidRPr="00821D0B">
        <w:rPr>
          <w:lang w:val="en-GB"/>
        </w:rPr>
        <w:t>B</w:t>
      </w:r>
      <w:r w:rsidR="001468EC" w:rsidRPr="00821D0B">
        <w:rPr>
          <w:lang w:val="en-GB"/>
        </w:rPr>
        <w:t>’</w:t>
      </w:r>
      <w:r w:rsidR="00BD36A4" w:rsidRPr="00821D0B">
        <w:rPr>
          <w:lang w:val="en-GB"/>
        </w:rPr>
        <w:t xml:space="preserve"> and </w:t>
      </w:r>
      <w:r w:rsidR="001468EC" w:rsidRPr="00821D0B">
        <w:rPr>
          <w:lang w:val="en-GB"/>
        </w:rPr>
        <w:t>‘</w:t>
      </w:r>
      <w:r w:rsidR="00BD36A4" w:rsidRPr="00821D0B">
        <w:rPr>
          <w:lang w:val="en-GB"/>
        </w:rPr>
        <w:t>C</w:t>
      </w:r>
      <w:r w:rsidR="001468EC" w:rsidRPr="00821D0B">
        <w:rPr>
          <w:lang w:val="en-GB"/>
        </w:rPr>
        <w:t>’</w:t>
      </w:r>
      <w:r w:rsidR="00BD36A4" w:rsidRPr="00821D0B">
        <w:rPr>
          <w:lang w:val="en-GB"/>
        </w:rPr>
        <w:t xml:space="preserve"> of the docket.</w:t>
      </w:r>
      <w:r w:rsidR="00BD36A4">
        <w:rPr>
          <w:rStyle w:val="FootnoteReference"/>
          <w:lang w:val="en-GB"/>
        </w:rPr>
        <w:footnoteReference w:id="20"/>
      </w:r>
      <w:r w:rsidR="00BD36A4" w:rsidRPr="00821D0B">
        <w:rPr>
          <w:lang w:val="en-GB"/>
        </w:rPr>
        <w:t xml:space="preserve"> In that matter, Harms DP explained that the defence was not entitled to ‘every bit of information in the hands of the prosecution’ as of right</w:t>
      </w:r>
      <w:r w:rsidR="00CD5B94" w:rsidRPr="00821D0B">
        <w:rPr>
          <w:lang w:val="en-GB"/>
        </w:rPr>
        <w:t xml:space="preserve">, a point made by Mr </w:t>
      </w:r>
      <w:r w:rsidR="00CD5B94" w:rsidRPr="00821D0B">
        <w:rPr>
          <w:i/>
          <w:iCs/>
          <w:lang w:val="en-GB"/>
        </w:rPr>
        <w:t>Stander</w:t>
      </w:r>
      <w:r w:rsidR="003B4527" w:rsidRPr="00821D0B">
        <w:rPr>
          <w:lang w:val="en-GB"/>
        </w:rPr>
        <w:t>, for the State,</w:t>
      </w:r>
      <w:r w:rsidR="00CD5B94" w:rsidRPr="00821D0B">
        <w:rPr>
          <w:lang w:val="en-GB"/>
        </w:rPr>
        <w:t xml:space="preserve"> in these proceedings.</w:t>
      </w:r>
    </w:p>
    <w:p w14:paraId="25CD951F" w14:textId="77777777" w:rsidR="00861E38" w:rsidRPr="00861E38" w:rsidRDefault="00861E38" w:rsidP="00861E38">
      <w:pPr>
        <w:pStyle w:val="ListParagraph"/>
        <w:autoSpaceDE w:val="0"/>
        <w:autoSpaceDN w:val="0"/>
        <w:adjustRightInd w:val="0"/>
        <w:ind w:left="0"/>
        <w:jc w:val="both"/>
        <w:rPr>
          <w:lang w:val="en-GB"/>
        </w:rPr>
      </w:pPr>
    </w:p>
    <w:p w14:paraId="30516267" w14:textId="61C7C598" w:rsidR="00E063B3" w:rsidRPr="00821D0B" w:rsidRDefault="00821D0B" w:rsidP="00821D0B">
      <w:pPr>
        <w:autoSpaceDE w:val="0"/>
        <w:autoSpaceDN w:val="0"/>
        <w:adjustRightInd w:val="0"/>
        <w:jc w:val="both"/>
        <w:rPr>
          <w:lang w:val="en-GB"/>
        </w:rPr>
      </w:pPr>
      <w:r>
        <w:rPr>
          <w:lang w:val="en-GB"/>
        </w:rPr>
        <w:t>[24]</w:t>
      </w:r>
      <w:r>
        <w:rPr>
          <w:lang w:val="en-GB"/>
        </w:rPr>
        <w:tab/>
      </w:r>
      <w:r w:rsidR="00426C3A" w:rsidRPr="00821D0B">
        <w:rPr>
          <w:lang w:val="en-GB"/>
        </w:rPr>
        <w:t>What remains a challenge is to resolve</w:t>
      </w:r>
      <w:r w:rsidR="001A131A" w:rsidRPr="00821D0B">
        <w:rPr>
          <w:lang w:val="en-GB"/>
        </w:rPr>
        <w:t xml:space="preserve"> situations</w:t>
      </w:r>
      <w:r w:rsidR="00426C3A" w:rsidRPr="00821D0B">
        <w:rPr>
          <w:lang w:val="en-GB"/>
        </w:rPr>
        <w:t>, such as the present,</w:t>
      </w:r>
      <w:r w:rsidR="002746A3" w:rsidRPr="00821D0B">
        <w:rPr>
          <w:lang w:val="en-GB"/>
        </w:rPr>
        <w:t xml:space="preserve"> </w:t>
      </w:r>
      <w:r w:rsidR="00426C3A" w:rsidRPr="00821D0B">
        <w:rPr>
          <w:lang w:val="en-GB"/>
        </w:rPr>
        <w:t>where access to documents is based on their perceived helpfulness</w:t>
      </w:r>
      <w:r w:rsidR="00756F21" w:rsidRPr="00821D0B">
        <w:rPr>
          <w:lang w:val="en-GB"/>
        </w:rPr>
        <w:t>, or relevance,</w:t>
      </w:r>
      <w:r w:rsidR="00426C3A" w:rsidRPr="00821D0B">
        <w:rPr>
          <w:lang w:val="en-GB"/>
        </w:rPr>
        <w:t xml:space="preserve"> to the defence. </w:t>
      </w:r>
      <w:r w:rsidR="003E33E9" w:rsidRPr="00821D0B">
        <w:rPr>
          <w:lang w:val="en-GB"/>
        </w:rPr>
        <w:t xml:space="preserve">A useful exposition of the </w:t>
      </w:r>
      <w:r w:rsidR="00426C3A" w:rsidRPr="00821D0B">
        <w:rPr>
          <w:lang w:val="en-GB"/>
        </w:rPr>
        <w:t xml:space="preserve">applicable </w:t>
      </w:r>
      <w:r w:rsidR="003E33E9" w:rsidRPr="00821D0B">
        <w:rPr>
          <w:lang w:val="en-GB"/>
        </w:rPr>
        <w:t xml:space="preserve">principles is contained in the judgment of Goosen J in this Division in </w:t>
      </w:r>
      <w:r w:rsidR="003E33E9" w:rsidRPr="00821D0B">
        <w:rPr>
          <w:i/>
          <w:iCs/>
          <w:lang w:val="en-GB"/>
        </w:rPr>
        <w:t>Panayiotou</w:t>
      </w:r>
      <w:r w:rsidR="003E33E9" w:rsidRPr="00821D0B">
        <w:rPr>
          <w:lang w:val="en-GB"/>
        </w:rPr>
        <w:t>.</w:t>
      </w:r>
      <w:r w:rsidR="003E33E9" w:rsidRPr="00131616">
        <w:rPr>
          <w:rStyle w:val="FootnoteReference"/>
          <w:lang w:val="en-GB"/>
        </w:rPr>
        <w:footnoteReference w:id="21"/>
      </w:r>
      <w:r w:rsidR="003E33E9" w:rsidRPr="00821D0B">
        <w:rPr>
          <w:lang w:val="en-GB"/>
        </w:rPr>
        <w:t xml:space="preserve"> That case </w:t>
      </w:r>
      <w:r w:rsidR="00CC3343" w:rsidRPr="00821D0B">
        <w:rPr>
          <w:lang w:val="en-GB"/>
        </w:rPr>
        <w:t xml:space="preserve">also </w:t>
      </w:r>
      <w:r w:rsidR="003E33E9" w:rsidRPr="00821D0B">
        <w:rPr>
          <w:lang w:val="en-GB"/>
        </w:rPr>
        <w:t xml:space="preserve">considered the implications of both </w:t>
      </w:r>
      <w:r w:rsidR="003E33E9" w:rsidRPr="00821D0B">
        <w:rPr>
          <w:i/>
          <w:iCs/>
          <w:lang w:val="en-GB"/>
        </w:rPr>
        <w:t>Shabalala</w:t>
      </w:r>
      <w:r w:rsidR="003E33E9" w:rsidRPr="00821D0B">
        <w:rPr>
          <w:lang w:val="en-GB"/>
        </w:rPr>
        <w:t xml:space="preserve"> and </w:t>
      </w:r>
      <w:r w:rsidR="003E33E9" w:rsidRPr="00821D0B">
        <w:rPr>
          <w:i/>
          <w:iCs/>
          <w:lang w:val="en-GB"/>
        </w:rPr>
        <w:t>King</w:t>
      </w:r>
      <w:r w:rsidR="003E33E9" w:rsidRPr="00821D0B">
        <w:rPr>
          <w:lang w:val="en-GB"/>
        </w:rPr>
        <w:t xml:space="preserve"> for access to the </w:t>
      </w:r>
      <w:r w:rsidR="00EF28E9" w:rsidRPr="00821D0B">
        <w:rPr>
          <w:lang w:val="en-GB"/>
        </w:rPr>
        <w:t>‘</w:t>
      </w:r>
      <w:r w:rsidR="003E33E9" w:rsidRPr="00821D0B">
        <w:rPr>
          <w:lang w:val="en-GB"/>
        </w:rPr>
        <w:t>B</w:t>
      </w:r>
      <w:r w:rsidR="00EF28E9" w:rsidRPr="00821D0B">
        <w:rPr>
          <w:lang w:val="en-GB"/>
        </w:rPr>
        <w:t>’</w:t>
      </w:r>
      <w:r w:rsidR="003E33E9" w:rsidRPr="00821D0B">
        <w:rPr>
          <w:lang w:val="en-GB"/>
        </w:rPr>
        <w:t xml:space="preserve"> and </w:t>
      </w:r>
      <w:r w:rsidR="00EF28E9" w:rsidRPr="00821D0B">
        <w:rPr>
          <w:lang w:val="en-GB"/>
        </w:rPr>
        <w:t>‘</w:t>
      </w:r>
      <w:r w:rsidR="003E33E9" w:rsidRPr="00821D0B">
        <w:rPr>
          <w:lang w:val="en-GB"/>
        </w:rPr>
        <w:t>C</w:t>
      </w:r>
      <w:r w:rsidR="00EF28E9" w:rsidRPr="00821D0B">
        <w:rPr>
          <w:lang w:val="en-GB"/>
        </w:rPr>
        <w:t>’</w:t>
      </w:r>
      <w:r w:rsidR="003E33E9" w:rsidRPr="00821D0B">
        <w:rPr>
          <w:lang w:val="en-GB"/>
        </w:rPr>
        <w:t xml:space="preserve"> sections of the case docket. The learned judge applied </w:t>
      </w:r>
      <w:r w:rsidR="00E063B3" w:rsidRPr="00821D0B">
        <w:rPr>
          <w:lang w:val="en-GB"/>
        </w:rPr>
        <w:t xml:space="preserve">what may be </w:t>
      </w:r>
      <w:r w:rsidR="00A20DCB" w:rsidRPr="00821D0B">
        <w:rPr>
          <w:lang w:val="en-GB"/>
        </w:rPr>
        <w:t>reformulated</w:t>
      </w:r>
      <w:r w:rsidR="00E063B3" w:rsidRPr="00821D0B">
        <w:rPr>
          <w:lang w:val="en-GB"/>
        </w:rPr>
        <w:t xml:space="preserve"> as </w:t>
      </w:r>
      <w:r w:rsidR="003E33E9" w:rsidRPr="00821D0B">
        <w:rPr>
          <w:lang w:val="en-GB"/>
        </w:rPr>
        <w:t>the following test</w:t>
      </w:r>
      <w:r w:rsidR="00941545" w:rsidRPr="00821D0B">
        <w:rPr>
          <w:lang w:val="en-GB"/>
        </w:rPr>
        <w:t>, which I intend to apply in determining the matter</w:t>
      </w:r>
      <w:r w:rsidR="003E33E9" w:rsidRPr="00821D0B">
        <w:rPr>
          <w:lang w:val="en-GB"/>
        </w:rPr>
        <w:t>:</w:t>
      </w:r>
      <w:r w:rsidR="000600EF">
        <w:rPr>
          <w:rStyle w:val="FootnoteReference"/>
          <w:lang w:val="en-GB"/>
        </w:rPr>
        <w:footnoteReference w:id="22"/>
      </w:r>
    </w:p>
    <w:p w14:paraId="31A5E47A" w14:textId="029C3EF2" w:rsidR="000D25A2" w:rsidRDefault="000D25A2" w:rsidP="000D25A2">
      <w:pPr>
        <w:rPr>
          <w:lang w:val="en-GB"/>
        </w:rPr>
      </w:pPr>
    </w:p>
    <w:p w14:paraId="68306071" w14:textId="753EC52F" w:rsidR="000D25A2" w:rsidRPr="00821D0B" w:rsidRDefault="00821D0B" w:rsidP="00821D0B">
      <w:pPr>
        <w:autoSpaceDE w:val="0"/>
        <w:autoSpaceDN w:val="0"/>
        <w:adjustRightInd w:val="0"/>
        <w:ind w:left="1080" w:hanging="720"/>
        <w:jc w:val="both"/>
        <w:rPr>
          <w:lang w:val="en-GB"/>
        </w:rPr>
      </w:pPr>
      <w:r>
        <w:rPr>
          <w:lang w:val="en-GB"/>
        </w:rPr>
        <w:t>i)</w:t>
      </w:r>
      <w:r>
        <w:rPr>
          <w:lang w:val="en-GB"/>
        </w:rPr>
        <w:tab/>
      </w:r>
      <w:r w:rsidR="000D25A2" w:rsidRPr="00821D0B">
        <w:rPr>
          <w:lang w:val="en-GB"/>
        </w:rPr>
        <w:t xml:space="preserve">Has the applicant established prima facie facts which point to the contents of </w:t>
      </w:r>
      <w:r w:rsidR="001A336E" w:rsidRPr="00821D0B">
        <w:rPr>
          <w:lang w:val="en-GB"/>
        </w:rPr>
        <w:t>sections</w:t>
      </w:r>
      <w:r w:rsidR="000D25A2" w:rsidRPr="00821D0B">
        <w:rPr>
          <w:lang w:val="en-GB"/>
        </w:rPr>
        <w:t xml:space="preserve"> </w:t>
      </w:r>
      <w:r w:rsidR="001A336E" w:rsidRPr="00821D0B">
        <w:rPr>
          <w:lang w:val="en-GB"/>
        </w:rPr>
        <w:t>‘</w:t>
      </w:r>
      <w:r w:rsidR="000D25A2" w:rsidRPr="00821D0B">
        <w:rPr>
          <w:lang w:val="en-GB"/>
        </w:rPr>
        <w:t>B</w:t>
      </w:r>
      <w:r w:rsidR="001A336E" w:rsidRPr="00821D0B">
        <w:rPr>
          <w:lang w:val="en-GB"/>
        </w:rPr>
        <w:t>’</w:t>
      </w:r>
      <w:r w:rsidR="000D25A2" w:rsidRPr="00821D0B">
        <w:rPr>
          <w:lang w:val="en-GB"/>
        </w:rPr>
        <w:t xml:space="preserve"> and </w:t>
      </w:r>
      <w:r w:rsidR="001A336E" w:rsidRPr="00821D0B">
        <w:rPr>
          <w:lang w:val="en-GB"/>
        </w:rPr>
        <w:t>‘</w:t>
      </w:r>
      <w:r w:rsidR="000D25A2" w:rsidRPr="00821D0B">
        <w:rPr>
          <w:lang w:val="en-GB"/>
        </w:rPr>
        <w:t>C</w:t>
      </w:r>
      <w:r w:rsidR="001A336E" w:rsidRPr="00821D0B">
        <w:rPr>
          <w:lang w:val="en-GB"/>
        </w:rPr>
        <w:t>’</w:t>
      </w:r>
      <w:r w:rsidR="000D25A2" w:rsidRPr="00821D0B">
        <w:rPr>
          <w:lang w:val="en-GB"/>
        </w:rPr>
        <w:t xml:space="preserve"> of the case docket as being relevant in the sense required by the </w:t>
      </w:r>
      <w:r w:rsidR="000D25A2" w:rsidRPr="00821D0B">
        <w:rPr>
          <w:i/>
          <w:iCs/>
          <w:lang w:val="en-GB"/>
        </w:rPr>
        <w:t xml:space="preserve">King </w:t>
      </w:r>
      <w:r w:rsidR="000D25A2" w:rsidRPr="00821D0B">
        <w:rPr>
          <w:lang w:val="en-GB"/>
        </w:rPr>
        <w:t>matter?</w:t>
      </w:r>
    </w:p>
    <w:p w14:paraId="22F0B960" w14:textId="77777777" w:rsidR="000D25A2" w:rsidRDefault="000D25A2" w:rsidP="000D25A2">
      <w:pPr>
        <w:pStyle w:val="ListParagraph"/>
        <w:autoSpaceDE w:val="0"/>
        <w:autoSpaceDN w:val="0"/>
        <w:adjustRightInd w:val="0"/>
        <w:ind w:left="1080"/>
        <w:jc w:val="both"/>
        <w:rPr>
          <w:lang w:val="en-GB"/>
        </w:rPr>
      </w:pPr>
    </w:p>
    <w:p w14:paraId="0804680D" w14:textId="65D4CE6D" w:rsidR="000D25A2" w:rsidRPr="00821D0B" w:rsidRDefault="00821D0B" w:rsidP="00821D0B">
      <w:pPr>
        <w:autoSpaceDE w:val="0"/>
        <w:autoSpaceDN w:val="0"/>
        <w:adjustRightInd w:val="0"/>
        <w:ind w:left="1440" w:hanging="360"/>
        <w:jc w:val="both"/>
        <w:rPr>
          <w:lang w:val="en-GB"/>
        </w:rPr>
      </w:pPr>
      <w:r>
        <w:rPr>
          <w:lang w:val="en-GB"/>
        </w:rPr>
        <w:t>a.</w:t>
      </w:r>
      <w:r>
        <w:rPr>
          <w:lang w:val="en-GB"/>
        </w:rPr>
        <w:tab/>
      </w:r>
      <w:r w:rsidR="000D25A2" w:rsidRPr="00821D0B">
        <w:rPr>
          <w:lang w:val="en-GB"/>
        </w:rPr>
        <w:t xml:space="preserve">If not, access to the documents should be refused. </w:t>
      </w:r>
    </w:p>
    <w:p w14:paraId="2C187BD6" w14:textId="77777777" w:rsidR="000D25A2" w:rsidRDefault="000D25A2" w:rsidP="000D25A2">
      <w:pPr>
        <w:pStyle w:val="ListParagraph"/>
        <w:autoSpaceDE w:val="0"/>
        <w:autoSpaceDN w:val="0"/>
        <w:adjustRightInd w:val="0"/>
        <w:ind w:left="1440"/>
        <w:jc w:val="both"/>
        <w:rPr>
          <w:lang w:val="en-GB"/>
        </w:rPr>
      </w:pPr>
    </w:p>
    <w:p w14:paraId="425394A9" w14:textId="49865B0D" w:rsidR="000D25A2" w:rsidRPr="00821D0B" w:rsidRDefault="00821D0B" w:rsidP="00821D0B">
      <w:pPr>
        <w:autoSpaceDE w:val="0"/>
        <w:autoSpaceDN w:val="0"/>
        <w:adjustRightInd w:val="0"/>
        <w:ind w:left="1080" w:hanging="720"/>
        <w:jc w:val="both"/>
        <w:rPr>
          <w:lang w:val="en-GB"/>
        </w:rPr>
      </w:pPr>
      <w:r>
        <w:rPr>
          <w:lang w:val="en-GB"/>
        </w:rPr>
        <w:t>ii)</w:t>
      </w:r>
      <w:r>
        <w:rPr>
          <w:lang w:val="en-GB"/>
        </w:rPr>
        <w:tab/>
      </w:r>
      <w:r w:rsidR="000D25A2" w:rsidRPr="00821D0B">
        <w:rPr>
          <w:lang w:val="en-GB"/>
        </w:rPr>
        <w:t xml:space="preserve">If so, is there a justified ground for non-disclosure raised by the State? </w:t>
      </w:r>
    </w:p>
    <w:p w14:paraId="1B7B0205" w14:textId="77777777" w:rsidR="000D25A2" w:rsidRPr="0074602C" w:rsidRDefault="000D25A2" w:rsidP="000D25A2">
      <w:pPr>
        <w:pStyle w:val="ListParagraph"/>
        <w:autoSpaceDE w:val="0"/>
        <w:autoSpaceDN w:val="0"/>
        <w:adjustRightInd w:val="0"/>
        <w:ind w:left="1080"/>
        <w:jc w:val="both"/>
        <w:rPr>
          <w:lang w:val="en-GB"/>
        </w:rPr>
      </w:pPr>
    </w:p>
    <w:p w14:paraId="59093F80" w14:textId="05E68433" w:rsidR="000D25A2" w:rsidRPr="00821D0B" w:rsidRDefault="00821D0B" w:rsidP="00821D0B">
      <w:pPr>
        <w:autoSpaceDE w:val="0"/>
        <w:autoSpaceDN w:val="0"/>
        <w:adjustRightInd w:val="0"/>
        <w:ind w:left="1440" w:hanging="360"/>
        <w:jc w:val="both"/>
        <w:rPr>
          <w:lang w:val="en-GB"/>
        </w:rPr>
      </w:pPr>
      <w:r>
        <w:rPr>
          <w:lang w:val="en-GB"/>
        </w:rPr>
        <w:t>a.</w:t>
      </w:r>
      <w:r>
        <w:rPr>
          <w:lang w:val="en-GB"/>
        </w:rPr>
        <w:tab/>
      </w:r>
      <w:r w:rsidR="000D25A2" w:rsidRPr="00821D0B">
        <w:rPr>
          <w:lang w:val="en-GB"/>
        </w:rPr>
        <w:t>If not, access to the documents should be ordered.</w:t>
      </w:r>
    </w:p>
    <w:p w14:paraId="3F2777EC" w14:textId="77777777" w:rsidR="000D25A2" w:rsidRPr="000D25A2" w:rsidRDefault="000D25A2" w:rsidP="000D25A2">
      <w:pPr>
        <w:rPr>
          <w:lang w:val="en-GB"/>
        </w:rPr>
      </w:pPr>
    </w:p>
    <w:p w14:paraId="3E05EF64" w14:textId="3B3F0A33" w:rsidR="000D25A2" w:rsidRPr="00821D0B" w:rsidRDefault="00821D0B" w:rsidP="00821D0B">
      <w:pPr>
        <w:autoSpaceDE w:val="0"/>
        <w:autoSpaceDN w:val="0"/>
        <w:adjustRightInd w:val="0"/>
        <w:jc w:val="both"/>
        <w:rPr>
          <w:lang w:val="en-GB"/>
        </w:rPr>
      </w:pPr>
      <w:r w:rsidRPr="00B543F0">
        <w:rPr>
          <w:lang w:val="en-GB"/>
        </w:rPr>
        <w:t>[25]</w:t>
      </w:r>
      <w:r w:rsidRPr="00B543F0">
        <w:rPr>
          <w:lang w:val="en-GB"/>
        </w:rPr>
        <w:tab/>
      </w:r>
      <w:r w:rsidR="00F635F4" w:rsidRPr="00821D0B">
        <w:rPr>
          <w:lang w:val="en-GB"/>
        </w:rPr>
        <w:t>With reference to the first leg,</w:t>
      </w:r>
      <w:r w:rsidR="000D25A2" w:rsidRPr="00821D0B">
        <w:rPr>
          <w:lang w:val="en-GB"/>
        </w:rPr>
        <w:t xml:space="preserve"> </w:t>
      </w:r>
      <w:r w:rsidR="00DF10E2" w:rsidRPr="00821D0B">
        <w:rPr>
          <w:lang w:val="en-GB"/>
        </w:rPr>
        <w:t xml:space="preserve">it </w:t>
      </w:r>
      <w:r w:rsidR="000D25A2" w:rsidRPr="00821D0B">
        <w:rPr>
          <w:lang w:val="en-GB"/>
        </w:rPr>
        <w:t xml:space="preserve">is apparent that the notion of litigation privilege in criminal cases, notwithstanding its limitation by </w:t>
      </w:r>
      <w:r w:rsidR="000D25A2" w:rsidRPr="00821D0B">
        <w:rPr>
          <w:i/>
          <w:iCs/>
          <w:lang w:val="en-GB"/>
        </w:rPr>
        <w:t>Shabalala</w:t>
      </w:r>
      <w:r w:rsidR="000D25A2" w:rsidRPr="00821D0B">
        <w:rPr>
          <w:lang w:val="en-GB"/>
        </w:rPr>
        <w:t xml:space="preserve">, still extends to irrelevant </w:t>
      </w:r>
      <w:r w:rsidR="000D25A2" w:rsidRPr="00821D0B">
        <w:rPr>
          <w:lang w:val="en-GB"/>
        </w:rPr>
        <w:lastRenderedPageBreak/>
        <w:t>documents or information.</w:t>
      </w:r>
      <w:r w:rsidR="000D25A2">
        <w:rPr>
          <w:rStyle w:val="FootnoteReference"/>
          <w:lang w:val="en-GB"/>
        </w:rPr>
        <w:footnoteReference w:id="23"/>
      </w:r>
      <w:r w:rsidR="000D25A2" w:rsidRPr="00821D0B">
        <w:rPr>
          <w:lang w:val="en-GB"/>
        </w:rPr>
        <w:t xml:space="preserve"> </w:t>
      </w:r>
      <w:r w:rsidR="00027501" w:rsidRPr="00821D0B">
        <w:rPr>
          <w:lang w:val="en-GB"/>
        </w:rPr>
        <w:t>It is so that t</w:t>
      </w:r>
      <w:r w:rsidR="00AD4993" w:rsidRPr="00821D0B">
        <w:rPr>
          <w:lang w:val="en-GB"/>
        </w:rPr>
        <w:t xml:space="preserve">he initial decision as to what parts of sections </w:t>
      </w:r>
      <w:r w:rsidR="00790C64" w:rsidRPr="00821D0B">
        <w:rPr>
          <w:lang w:val="en-GB"/>
        </w:rPr>
        <w:t xml:space="preserve">‘B’ and ‘C’ </w:t>
      </w:r>
      <w:r w:rsidR="00AD4993" w:rsidRPr="00821D0B">
        <w:rPr>
          <w:lang w:val="en-GB"/>
        </w:rPr>
        <w:t xml:space="preserve">of the docket are to be made available to an accused person is that of the prosecution. </w:t>
      </w:r>
      <w:r w:rsidR="00E130BC" w:rsidRPr="00821D0B">
        <w:rPr>
          <w:lang w:val="en-GB"/>
        </w:rPr>
        <w:t>But t</w:t>
      </w:r>
      <w:r w:rsidR="00AD4993" w:rsidRPr="00821D0B">
        <w:rPr>
          <w:lang w:val="en-GB"/>
        </w:rPr>
        <w:t>he applicant need not be satisfied with the say-so of the prosecution and, if the initial decision of the prosecution is shown to be prima facie wrong during the trial, a court may order more.</w:t>
      </w:r>
      <w:r w:rsidR="00AD4993">
        <w:rPr>
          <w:rStyle w:val="FootnoteReference"/>
          <w:lang w:val="en-GB"/>
        </w:rPr>
        <w:footnoteReference w:id="24"/>
      </w:r>
      <w:r w:rsidR="00AD4993" w:rsidRPr="00821D0B">
        <w:rPr>
          <w:lang w:val="en-GB"/>
        </w:rPr>
        <w:t xml:space="preserve"> </w:t>
      </w:r>
      <w:r w:rsidR="00323AD5" w:rsidRPr="00821D0B">
        <w:rPr>
          <w:lang w:val="en-GB"/>
        </w:rPr>
        <w:t>Prima facie facts and their relevance</w:t>
      </w:r>
      <w:r w:rsidR="000D25A2" w:rsidRPr="00821D0B">
        <w:rPr>
          <w:lang w:val="en-GB"/>
        </w:rPr>
        <w:t xml:space="preserve"> must be assessed in relation both to the charge itself and to the reasonably possible defences. A document may be relevant to the prosecution without being relevant to the accused’s guilt or defence ‘for the purpose of making full answer and defence’.</w:t>
      </w:r>
      <w:r w:rsidR="000D25A2">
        <w:rPr>
          <w:rStyle w:val="FootnoteReference"/>
          <w:lang w:val="en-GB"/>
        </w:rPr>
        <w:footnoteReference w:id="25"/>
      </w:r>
    </w:p>
    <w:p w14:paraId="2AB398E1" w14:textId="77777777" w:rsidR="009A0A52" w:rsidRDefault="009A0A52" w:rsidP="009A0A52">
      <w:pPr>
        <w:pStyle w:val="ListParagraph"/>
        <w:autoSpaceDE w:val="0"/>
        <w:autoSpaceDN w:val="0"/>
        <w:adjustRightInd w:val="0"/>
        <w:ind w:left="0"/>
        <w:jc w:val="both"/>
        <w:rPr>
          <w:lang w:val="en-GB"/>
        </w:rPr>
      </w:pPr>
    </w:p>
    <w:p w14:paraId="3E355932" w14:textId="2F0EFF29" w:rsidR="00346D12" w:rsidRPr="00821D0B" w:rsidRDefault="00821D0B" w:rsidP="00821D0B">
      <w:pPr>
        <w:autoSpaceDE w:val="0"/>
        <w:autoSpaceDN w:val="0"/>
        <w:adjustRightInd w:val="0"/>
        <w:jc w:val="both"/>
        <w:rPr>
          <w:lang w:val="en-GB"/>
        </w:rPr>
      </w:pPr>
      <w:r>
        <w:rPr>
          <w:lang w:val="en-GB"/>
        </w:rPr>
        <w:t>[26]</w:t>
      </w:r>
      <w:r>
        <w:rPr>
          <w:lang w:val="en-GB"/>
        </w:rPr>
        <w:tab/>
      </w:r>
      <w:r w:rsidR="00FD27AD" w:rsidRPr="00821D0B">
        <w:rPr>
          <w:lang w:val="en-GB"/>
        </w:rPr>
        <w:t xml:space="preserve">As to the second leg, </w:t>
      </w:r>
      <w:r w:rsidR="0086262E" w:rsidRPr="00821D0B">
        <w:rPr>
          <w:i/>
          <w:iCs/>
          <w:lang w:val="en-GB"/>
        </w:rPr>
        <w:t xml:space="preserve">Shabalala </w:t>
      </w:r>
      <w:r w:rsidR="0086262E" w:rsidRPr="00821D0B">
        <w:rPr>
          <w:lang w:val="en-GB"/>
        </w:rPr>
        <w:t>provides pointed guidance</w:t>
      </w:r>
      <w:r w:rsidR="00346D12" w:rsidRPr="00821D0B">
        <w:rPr>
          <w:lang w:val="en-GB"/>
        </w:rPr>
        <w:t xml:space="preserve"> when the </w:t>
      </w:r>
      <w:r w:rsidR="007B3DE3" w:rsidRPr="00821D0B">
        <w:rPr>
          <w:lang w:val="en-GB"/>
        </w:rPr>
        <w:t>S</w:t>
      </w:r>
      <w:r w:rsidR="00346D12" w:rsidRPr="00821D0B">
        <w:rPr>
          <w:lang w:val="en-GB"/>
        </w:rPr>
        <w:t>tate alludes to risks in disclosure of documentation</w:t>
      </w:r>
      <w:r w:rsidR="00A969AF" w:rsidRPr="00821D0B">
        <w:rPr>
          <w:lang w:val="en-GB"/>
        </w:rPr>
        <w:t xml:space="preserve">: </w:t>
      </w:r>
      <w:r w:rsidR="000F27F5" w:rsidRPr="00821D0B">
        <w:rPr>
          <w:lang w:val="en-GB"/>
        </w:rPr>
        <w:t xml:space="preserve">what the prosecution is obliged to do (by a proper disclosure of as much of the evidence and material as it is able) is to establish that it has reasonable grounds for its belief that the disclosure of the information sought carries with it </w:t>
      </w:r>
      <w:r w:rsidR="007C0423" w:rsidRPr="00821D0B">
        <w:rPr>
          <w:lang w:val="en-GB"/>
        </w:rPr>
        <w:t xml:space="preserve">a reasonable risk </w:t>
      </w:r>
      <w:r w:rsidR="004A270B" w:rsidRPr="00821D0B">
        <w:rPr>
          <w:lang w:val="en-GB"/>
        </w:rPr>
        <w:t xml:space="preserve">that it might lead to, inter alia, the impediment of the proper ends of justice. </w:t>
      </w:r>
      <w:r w:rsidR="001376E0" w:rsidRPr="00821D0B">
        <w:rPr>
          <w:lang w:val="en-GB"/>
        </w:rPr>
        <w:t>This is an objective test and it is insufficient to demonstrate that the belief is held bona fide. It must be shown that a reasonable person in the position of the prosecution would be entitled to hold such a belief, based on what emerges from the papers.</w:t>
      </w:r>
      <w:r w:rsidR="004F4265" w:rsidRPr="00821D0B">
        <w:rPr>
          <w:lang w:val="en-GB"/>
        </w:rPr>
        <w:t xml:space="preserve"> It follows that if the </w:t>
      </w:r>
      <w:r w:rsidR="007B3DE3" w:rsidRPr="00821D0B">
        <w:rPr>
          <w:lang w:val="en-GB"/>
        </w:rPr>
        <w:t>S</w:t>
      </w:r>
      <w:r w:rsidR="004F4265" w:rsidRPr="00821D0B">
        <w:rPr>
          <w:lang w:val="en-GB"/>
        </w:rPr>
        <w:t xml:space="preserve">tate is unable to justify its opposition to the disclosure of the relevant information on these grounds, a claim that there </w:t>
      </w:r>
      <w:r w:rsidR="00824BE5" w:rsidRPr="00821D0B">
        <w:rPr>
          <w:lang w:val="en-GB"/>
        </w:rPr>
        <w:t>is</w:t>
      </w:r>
      <w:r w:rsidR="004F4265" w:rsidRPr="00821D0B">
        <w:rPr>
          <w:lang w:val="en-GB"/>
        </w:rPr>
        <w:t xml:space="preserve"> a justifiable </w:t>
      </w:r>
      <w:r w:rsidR="00045B98" w:rsidRPr="00821D0B">
        <w:rPr>
          <w:lang w:val="en-GB"/>
        </w:rPr>
        <w:t>reason to refuse access</w:t>
      </w:r>
      <w:r w:rsidR="004F4265" w:rsidRPr="00821D0B">
        <w:rPr>
          <w:lang w:val="en-GB"/>
        </w:rPr>
        <w:t xml:space="preserve"> to the relevant documents should fail.</w:t>
      </w:r>
      <w:r w:rsidR="009C46F5">
        <w:rPr>
          <w:rStyle w:val="FootnoteReference"/>
          <w:lang w:val="en-GB"/>
        </w:rPr>
        <w:footnoteReference w:id="26"/>
      </w:r>
      <w:r w:rsidR="006063B1" w:rsidRPr="00821D0B">
        <w:rPr>
          <w:lang w:val="en-GB"/>
        </w:rPr>
        <w:t xml:space="preserve"> </w:t>
      </w:r>
    </w:p>
    <w:p w14:paraId="15EAD12E" w14:textId="69FD0253" w:rsidR="006976D7" w:rsidRDefault="006976D7" w:rsidP="00720B01">
      <w:pPr>
        <w:rPr>
          <w:lang w:val="en-GB"/>
        </w:rPr>
      </w:pPr>
    </w:p>
    <w:p w14:paraId="2A4F0D22" w14:textId="3C48A75F" w:rsidR="00720B01" w:rsidRDefault="00720B01" w:rsidP="00720B01">
      <w:pPr>
        <w:rPr>
          <w:b/>
          <w:bCs/>
          <w:lang w:val="en-GB"/>
        </w:rPr>
      </w:pPr>
      <w:r>
        <w:rPr>
          <w:b/>
          <w:bCs/>
          <w:lang w:val="en-GB"/>
        </w:rPr>
        <w:t>Analysis</w:t>
      </w:r>
    </w:p>
    <w:p w14:paraId="4A49AF5E" w14:textId="77777777" w:rsidR="00720B01" w:rsidRPr="00720B01" w:rsidRDefault="00720B01" w:rsidP="00720B01">
      <w:pPr>
        <w:rPr>
          <w:b/>
          <w:bCs/>
          <w:lang w:val="en-GB"/>
        </w:rPr>
      </w:pPr>
    </w:p>
    <w:p w14:paraId="4D98DDF8" w14:textId="53063EA6" w:rsidR="00B8687A" w:rsidRPr="00821D0B" w:rsidRDefault="00821D0B" w:rsidP="00821D0B">
      <w:pPr>
        <w:autoSpaceDE w:val="0"/>
        <w:autoSpaceDN w:val="0"/>
        <w:adjustRightInd w:val="0"/>
        <w:jc w:val="both"/>
        <w:rPr>
          <w:lang w:val="en-GB"/>
        </w:rPr>
      </w:pPr>
      <w:r>
        <w:rPr>
          <w:lang w:val="en-GB"/>
        </w:rPr>
        <w:t>[27]</w:t>
      </w:r>
      <w:r>
        <w:rPr>
          <w:lang w:val="en-GB"/>
        </w:rPr>
        <w:tab/>
      </w:r>
      <w:r w:rsidR="00074AC8" w:rsidRPr="00821D0B">
        <w:rPr>
          <w:lang w:val="en-GB"/>
        </w:rPr>
        <w:t xml:space="preserve">The circumstances of this case are unusual. </w:t>
      </w:r>
      <w:r w:rsidR="00483CA3" w:rsidRPr="00821D0B">
        <w:rPr>
          <w:lang w:val="en-GB"/>
        </w:rPr>
        <w:t xml:space="preserve">Firstly, </w:t>
      </w:r>
      <w:r w:rsidR="009C60EB" w:rsidRPr="00821D0B">
        <w:rPr>
          <w:lang w:val="en-GB"/>
        </w:rPr>
        <w:t xml:space="preserve">and with reference to </w:t>
      </w:r>
      <w:r w:rsidR="00583B6E" w:rsidRPr="00821D0B">
        <w:rPr>
          <w:lang w:val="en-GB"/>
        </w:rPr>
        <w:t xml:space="preserve">the </w:t>
      </w:r>
      <w:r w:rsidR="009C60EB" w:rsidRPr="00821D0B">
        <w:rPr>
          <w:lang w:val="en-GB"/>
        </w:rPr>
        <w:t xml:space="preserve">issue of a knife / knives at the scene, </w:t>
      </w:r>
      <w:r w:rsidR="00483CA3" w:rsidRPr="00821D0B">
        <w:rPr>
          <w:lang w:val="en-GB"/>
        </w:rPr>
        <w:t>p</w:t>
      </w:r>
      <w:r w:rsidR="00930DC0" w:rsidRPr="00821D0B">
        <w:rPr>
          <w:lang w:val="en-GB"/>
        </w:rPr>
        <w:t xml:space="preserve">ossible material changes </w:t>
      </w:r>
      <w:r w:rsidR="00931FC0" w:rsidRPr="00821D0B">
        <w:rPr>
          <w:lang w:val="en-GB"/>
        </w:rPr>
        <w:t xml:space="preserve">or additions </w:t>
      </w:r>
      <w:r w:rsidR="00930DC0" w:rsidRPr="00821D0B">
        <w:rPr>
          <w:lang w:val="en-GB"/>
        </w:rPr>
        <w:t xml:space="preserve">in the versions of State witnesses </w:t>
      </w:r>
      <w:r w:rsidR="007D0F44" w:rsidRPr="00821D0B">
        <w:rPr>
          <w:lang w:val="en-GB"/>
        </w:rPr>
        <w:t>are reflected in the papers</w:t>
      </w:r>
      <w:r w:rsidR="00253C88" w:rsidRPr="00821D0B">
        <w:rPr>
          <w:lang w:val="en-GB"/>
        </w:rPr>
        <w:t xml:space="preserve">. </w:t>
      </w:r>
      <w:r w:rsidR="00C44E93" w:rsidRPr="00821D0B">
        <w:rPr>
          <w:lang w:val="en-GB"/>
        </w:rPr>
        <w:t xml:space="preserve">This </w:t>
      </w:r>
      <w:r w:rsidR="00822FCB" w:rsidRPr="00821D0B">
        <w:rPr>
          <w:lang w:val="en-GB"/>
        </w:rPr>
        <w:t>bearing in mind that</w:t>
      </w:r>
      <w:r w:rsidR="00C44E93" w:rsidRPr="00821D0B">
        <w:rPr>
          <w:lang w:val="en-GB"/>
        </w:rPr>
        <w:t xml:space="preserve"> the summary of substantial facts makes reference to the planting of knives, and where the applicant’s defence, from as early as 2 March 2021, has been one of self-defence.</w:t>
      </w:r>
      <w:r w:rsidR="005E765C" w:rsidRPr="00821D0B">
        <w:rPr>
          <w:lang w:val="en-GB"/>
        </w:rPr>
        <w:t xml:space="preserve"> </w:t>
      </w:r>
    </w:p>
    <w:p w14:paraId="12727038" w14:textId="77777777" w:rsidR="00B8687A" w:rsidRDefault="00B8687A" w:rsidP="00B8687A">
      <w:pPr>
        <w:pStyle w:val="ListParagraph"/>
        <w:autoSpaceDE w:val="0"/>
        <w:autoSpaceDN w:val="0"/>
        <w:adjustRightInd w:val="0"/>
        <w:ind w:left="0"/>
        <w:jc w:val="both"/>
        <w:rPr>
          <w:lang w:val="en-GB"/>
        </w:rPr>
      </w:pPr>
    </w:p>
    <w:p w14:paraId="1A1A685D" w14:textId="3E1C9C04" w:rsidR="00B8687A" w:rsidRPr="00821D0B" w:rsidRDefault="00821D0B" w:rsidP="00821D0B">
      <w:pPr>
        <w:autoSpaceDE w:val="0"/>
        <w:autoSpaceDN w:val="0"/>
        <w:adjustRightInd w:val="0"/>
        <w:jc w:val="both"/>
        <w:rPr>
          <w:lang w:val="en-GB"/>
        </w:rPr>
      </w:pPr>
      <w:r>
        <w:rPr>
          <w:lang w:val="en-GB"/>
        </w:rPr>
        <w:t>[28]</w:t>
      </w:r>
      <w:r>
        <w:rPr>
          <w:lang w:val="en-GB"/>
        </w:rPr>
        <w:tab/>
      </w:r>
      <w:r w:rsidR="005E765C" w:rsidRPr="00821D0B">
        <w:rPr>
          <w:lang w:val="en-GB"/>
        </w:rPr>
        <w:t>Secondly, the first State witness to testify</w:t>
      </w:r>
      <w:r w:rsidR="00764464" w:rsidRPr="00821D0B">
        <w:rPr>
          <w:lang w:val="en-GB"/>
        </w:rPr>
        <w:t xml:space="preserve"> </w:t>
      </w:r>
      <w:r w:rsidR="00CA2C86" w:rsidRPr="00821D0B">
        <w:rPr>
          <w:lang w:val="en-GB"/>
        </w:rPr>
        <w:t>had previously worked as a clerk of the criminal court at the Humansdorp Magistrate’s Court. The circumstances are such that she had developed friendly relations with</w:t>
      </w:r>
      <w:r w:rsidR="005E765C" w:rsidRPr="00821D0B">
        <w:rPr>
          <w:lang w:val="en-GB"/>
        </w:rPr>
        <w:t xml:space="preserve"> </w:t>
      </w:r>
      <w:r w:rsidR="00CA2C86" w:rsidRPr="00821D0B">
        <w:rPr>
          <w:lang w:val="en-GB"/>
        </w:rPr>
        <w:t xml:space="preserve">both a </w:t>
      </w:r>
      <w:r w:rsidR="005E765C" w:rsidRPr="00821D0B">
        <w:rPr>
          <w:lang w:val="en-GB"/>
        </w:rPr>
        <w:t>prosecutor</w:t>
      </w:r>
      <w:r w:rsidR="00CA2C86" w:rsidRPr="00821D0B">
        <w:rPr>
          <w:lang w:val="en-GB"/>
        </w:rPr>
        <w:t xml:space="preserve"> at that court</w:t>
      </w:r>
      <w:r w:rsidR="00764464" w:rsidRPr="00821D0B">
        <w:rPr>
          <w:lang w:val="en-GB"/>
        </w:rPr>
        <w:t>,</w:t>
      </w:r>
      <w:r w:rsidR="005E765C" w:rsidRPr="00821D0B">
        <w:rPr>
          <w:lang w:val="en-GB"/>
        </w:rPr>
        <w:t xml:space="preserve"> who was involved with the case docket prior to 13 April 2021</w:t>
      </w:r>
      <w:r w:rsidR="00764464" w:rsidRPr="00821D0B">
        <w:rPr>
          <w:lang w:val="en-GB"/>
        </w:rPr>
        <w:t>, as well as with the wife of the investigating officer, who took over from another investigating officer.</w:t>
      </w:r>
      <w:r w:rsidR="00225911" w:rsidRPr="00821D0B">
        <w:rPr>
          <w:lang w:val="en-GB"/>
        </w:rPr>
        <w:t xml:space="preserve"> </w:t>
      </w:r>
      <w:r w:rsidR="00392E8E" w:rsidRPr="00821D0B">
        <w:rPr>
          <w:lang w:val="en-GB"/>
        </w:rPr>
        <w:t>I hasten to add that there may well be nothing untoward in any of this. The point, for present purposes, is to highlight the distinguishing features of the matter.</w:t>
      </w:r>
    </w:p>
    <w:p w14:paraId="02226F29" w14:textId="77777777" w:rsidR="00B8687A" w:rsidRPr="00B8687A" w:rsidRDefault="00B8687A" w:rsidP="00B8687A">
      <w:pPr>
        <w:pStyle w:val="ListParagraph"/>
        <w:rPr>
          <w:lang w:val="en-GB"/>
        </w:rPr>
      </w:pPr>
    </w:p>
    <w:p w14:paraId="14F2F06D" w14:textId="6B114343" w:rsidR="00E8142E" w:rsidRPr="00821D0B" w:rsidRDefault="00821D0B" w:rsidP="00821D0B">
      <w:pPr>
        <w:autoSpaceDE w:val="0"/>
        <w:autoSpaceDN w:val="0"/>
        <w:adjustRightInd w:val="0"/>
        <w:jc w:val="both"/>
        <w:rPr>
          <w:lang w:val="en-GB"/>
        </w:rPr>
      </w:pPr>
      <w:r>
        <w:rPr>
          <w:lang w:val="en-GB"/>
        </w:rPr>
        <w:t>[29]</w:t>
      </w:r>
      <w:r>
        <w:rPr>
          <w:lang w:val="en-GB"/>
        </w:rPr>
        <w:tab/>
      </w:r>
      <w:r w:rsidR="00225911" w:rsidRPr="00821D0B">
        <w:rPr>
          <w:lang w:val="en-GB"/>
        </w:rPr>
        <w:t xml:space="preserve">To that must be added, thirdly, the events that resulted in the need for a senior judge of this Division to </w:t>
      </w:r>
      <w:r w:rsidR="00C31559" w:rsidRPr="00821D0B">
        <w:rPr>
          <w:lang w:val="en-GB"/>
        </w:rPr>
        <w:t>express himself, in a bail appeal judgment, as to the conduct of the DPP’s office</w:t>
      </w:r>
      <w:r w:rsidR="00225911" w:rsidRPr="00821D0B">
        <w:rPr>
          <w:lang w:val="en-GB"/>
        </w:rPr>
        <w:t xml:space="preserve"> </w:t>
      </w:r>
      <w:r w:rsidR="00B8687A" w:rsidRPr="00821D0B">
        <w:rPr>
          <w:lang w:val="en-GB"/>
        </w:rPr>
        <w:t xml:space="preserve">in issuing a section 60(11A) certificate absent evidence of a planned or premeditated murder, </w:t>
      </w:r>
      <w:r w:rsidR="00F80E91" w:rsidRPr="00821D0B">
        <w:rPr>
          <w:lang w:val="en-GB"/>
        </w:rPr>
        <w:t>and in</w:t>
      </w:r>
      <w:r w:rsidR="00B8687A" w:rsidRPr="00821D0B">
        <w:rPr>
          <w:lang w:val="en-GB"/>
        </w:rPr>
        <w:t xml:space="preserve"> an application to place further evidence before a Magistrate on </w:t>
      </w:r>
      <w:r w:rsidR="00612658" w:rsidRPr="00821D0B">
        <w:rPr>
          <w:lang w:val="en-GB"/>
        </w:rPr>
        <w:t>that</w:t>
      </w:r>
      <w:r w:rsidR="00B8687A" w:rsidRPr="00821D0B">
        <w:rPr>
          <w:lang w:val="en-GB"/>
        </w:rPr>
        <w:t xml:space="preserve"> issue</w:t>
      </w:r>
      <w:r w:rsidR="005F2146" w:rsidRPr="00821D0B">
        <w:rPr>
          <w:lang w:val="en-GB"/>
        </w:rPr>
        <w:t xml:space="preserve">, in circumstances where the </w:t>
      </w:r>
      <w:r w:rsidR="00566732" w:rsidRPr="00821D0B">
        <w:rPr>
          <w:lang w:val="en-GB"/>
        </w:rPr>
        <w:t xml:space="preserve">available </w:t>
      </w:r>
      <w:r w:rsidR="005F2146" w:rsidRPr="00821D0B">
        <w:rPr>
          <w:lang w:val="en-GB"/>
        </w:rPr>
        <w:t xml:space="preserve">evidence took the matter no further. </w:t>
      </w:r>
      <w:r w:rsidR="00FB2805" w:rsidRPr="00821D0B">
        <w:rPr>
          <w:lang w:val="en-GB"/>
        </w:rPr>
        <w:t>The conduct of the prosecutor in the district court, Ms Rossouw, was subjected to condemnation ‘in the strongest terms’</w:t>
      </w:r>
      <w:r w:rsidR="00B2105E" w:rsidRPr="00821D0B">
        <w:rPr>
          <w:lang w:val="en-GB"/>
        </w:rPr>
        <w:t xml:space="preserve">, notably because she </w:t>
      </w:r>
      <w:r w:rsidR="00FB2805" w:rsidRPr="00821D0B">
        <w:rPr>
          <w:lang w:val="en-GB"/>
        </w:rPr>
        <w:t>had placed into evidence a statement by the deceased’s sister that lacked any evidential value</w:t>
      </w:r>
      <w:r w:rsidR="00436742" w:rsidRPr="00821D0B">
        <w:rPr>
          <w:lang w:val="en-GB"/>
        </w:rPr>
        <w:t>, and added a</w:t>
      </w:r>
      <w:r w:rsidR="00911708" w:rsidRPr="00821D0B">
        <w:rPr>
          <w:lang w:val="en-GB"/>
        </w:rPr>
        <w:t>n unnecessary</w:t>
      </w:r>
      <w:r w:rsidR="00436742" w:rsidRPr="00821D0B">
        <w:rPr>
          <w:lang w:val="en-GB"/>
        </w:rPr>
        <w:t xml:space="preserve"> racial dimension to proceedings</w:t>
      </w:r>
      <w:r w:rsidR="00FB2805" w:rsidRPr="00821D0B">
        <w:rPr>
          <w:lang w:val="en-GB"/>
        </w:rPr>
        <w:t>.</w:t>
      </w:r>
    </w:p>
    <w:p w14:paraId="1FDBABA5" w14:textId="77777777" w:rsidR="00225911" w:rsidRDefault="00225911" w:rsidP="00225911">
      <w:pPr>
        <w:pStyle w:val="ListParagraph"/>
        <w:autoSpaceDE w:val="0"/>
        <w:autoSpaceDN w:val="0"/>
        <w:adjustRightInd w:val="0"/>
        <w:ind w:left="0"/>
        <w:jc w:val="both"/>
        <w:rPr>
          <w:lang w:val="en-GB"/>
        </w:rPr>
      </w:pPr>
    </w:p>
    <w:p w14:paraId="06D345C8" w14:textId="23E8CF19" w:rsidR="004A59B3" w:rsidRPr="00821D0B" w:rsidRDefault="00821D0B" w:rsidP="00821D0B">
      <w:pPr>
        <w:autoSpaceDE w:val="0"/>
        <w:autoSpaceDN w:val="0"/>
        <w:adjustRightInd w:val="0"/>
        <w:jc w:val="both"/>
        <w:rPr>
          <w:lang w:val="en-GB"/>
        </w:rPr>
      </w:pPr>
      <w:r>
        <w:rPr>
          <w:lang w:val="en-GB"/>
        </w:rPr>
        <w:t>[30]</w:t>
      </w:r>
      <w:r>
        <w:rPr>
          <w:lang w:val="en-GB"/>
        </w:rPr>
        <w:tab/>
      </w:r>
      <w:r w:rsidR="004F4FB4" w:rsidRPr="00821D0B">
        <w:rPr>
          <w:lang w:val="en-GB"/>
        </w:rPr>
        <w:t xml:space="preserve">Fourthly, there is the spectre of Opperman, who </w:t>
      </w:r>
      <w:r w:rsidR="0081138B" w:rsidRPr="00821D0B">
        <w:rPr>
          <w:lang w:val="en-GB"/>
        </w:rPr>
        <w:t>a</w:t>
      </w:r>
      <w:r w:rsidR="004F4FB4" w:rsidRPr="00821D0B">
        <w:rPr>
          <w:lang w:val="en-GB"/>
        </w:rPr>
        <w:t xml:space="preserve"> week ago </w:t>
      </w:r>
      <w:r w:rsidR="004C52C0" w:rsidRPr="00821D0B">
        <w:rPr>
          <w:lang w:val="en-GB"/>
        </w:rPr>
        <w:t xml:space="preserve">belatedly </w:t>
      </w:r>
      <w:r w:rsidR="004F4FB4" w:rsidRPr="00821D0B">
        <w:rPr>
          <w:lang w:val="en-GB"/>
        </w:rPr>
        <w:t>alert</w:t>
      </w:r>
      <w:r w:rsidR="0081138B" w:rsidRPr="00821D0B">
        <w:rPr>
          <w:lang w:val="en-GB"/>
        </w:rPr>
        <w:t>ed</w:t>
      </w:r>
      <w:r w:rsidR="004F4FB4" w:rsidRPr="00821D0B">
        <w:rPr>
          <w:lang w:val="en-GB"/>
        </w:rPr>
        <w:t xml:space="preserve"> the DDPP as to his importance as a State witness</w:t>
      </w:r>
      <w:r w:rsidR="00CA1221" w:rsidRPr="00821D0B">
        <w:rPr>
          <w:lang w:val="en-GB"/>
        </w:rPr>
        <w:t xml:space="preserve">, </w:t>
      </w:r>
      <w:r w:rsidR="0024313D" w:rsidRPr="00821D0B">
        <w:rPr>
          <w:lang w:val="en-GB"/>
        </w:rPr>
        <w:t>and</w:t>
      </w:r>
      <w:r w:rsidR="00CA1221" w:rsidRPr="00821D0B">
        <w:rPr>
          <w:lang w:val="en-GB"/>
        </w:rPr>
        <w:t xml:space="preserve"> </w:t>
      </w:r>
      <w:r w:rsidR="0024313D" w:rsidRPr="00821D0B">
        <w:rPr>
          <w:lang w:val="en-GB"/>
        </w:rPr>
        <w:t>introduce</w:t>
      </w:r>
      <w:r w:rsidR="004C52C0" w:rsidRPr="00821D0B">
        <w:rPr>
          <w:lang w:val="en-GB"/>
        </w:rPr>
        <w:t>d</w:t>
      </w:r>
      <w:r w:rsidR="00CA1221" w:rsidRPr="00821D0B">
        <w:rPr>
          <w:lang w:val="en-GB"/>
        </w:rPr>
        <w:t xml:space="preserve"> a photo album together with a CD containing images. </w:t>
      </w:r>
      <w:r w:rsidR="00323202" w:rsidRPr="00821D0B">
        <w:rPr>
          <w:lang w:val="en-GB"/>
        </w:rPr>
        <w:t>As already indicated, his evidence is prima facie of relevance</w:t>
      </w:r>
      <w:r w:rsidR="0074045F" w:rsidRPr="00821D0B">
        <w:rPr>
          <w:lang w:val="en-GB"/>
        </w:rPr>
        <w:t xml:space="preserve">, and the delayed </w:t>
      </w:r>
      <w:r w:rsidR="003E3815" w:rsidRPr="00821D0B">
        <w:rPr>
          <w:lang w:val="en-GB"/>
        </w:rPr>
        <w:t>airing of its contents questionable.</w:t>
      </w:r>
    </w:p>
    <w:p w14:paraId="7228B44A" w14:textId="77777777" w:rsidR="004A59B3" w:rsidRPr="004A59B3" w:rsidRDefault="004A59B3" w:rsidP="004A59B3">
      <w:pPr>
        <w:pStyle w:val="ListParagraph"/>
        <w:rPr>
          <w:lang w:val="en-GB"/>
        </w:rPr>
      </w:pPr>
    </w:p>
    <w:p w14:paraId="5E39E7A3" w14:textId="419C2308" w:rsidR="00465A60" w:rsidRPr="00821D0B" w:rsidRDefault="00821D0B" w:rsidP="00821D0B">
      <w:pPr>
        <w:autoSpaceDE w:val="0"/>
        <w:autoSpaceDN w:val="0"/>
        <w:adjustRightInd w:val="0"/>
        <w:jc w:val="both"/>
        <w:rPr>
          <w:lang w:val="en-GB"/>
        </w:rPr>
      </w:pPr>
      <w:r w:rsidRPr="00BD57AE">
        <w:rPr>
          <w:lang w:val="en-GB"/>
        </w:rPr>
        <w:t>[31]</w:t>
      </w:r>
      <w:r w:rsidRPr="00BD57AE">
        <w:rPr>
          <w:lang w:val="en-GB"/>
        </w:rPr>
        <w:tab/>
      </w:r>
      <w:r w:rsidR="004A59B3" w:rsidRPr="00821D0B">
        <w:rPr>
          <w:lang w:val="en-GB"/>
        </w:rPr>
        <w:t>Cumulatively, t</w:t>
      </w:r>
      <w:r w:rsidR="003D40F9" w:rsidRPr="00821D0B">
        <w:rPr>
          <w:lang w:val="en-GB"/>
        </w:rPr>
        <w:t xml:space="preserve">hese </w:t>
      </w:r>
      <w:r w:rsidR="00DE6564" w:rsidRPr="00821D0B">
        <w:rPr>
          <w:lang w:val="en-GB"/>
        </w:rPr>
        <w:t>factors</w:t>
      </w:r>
      <w:r w:rsidR="003D40F9" w:rsidRPr="00821D0B">
        <w:rPr>
          <w:lang w:val="en-GB"/>
        </w:rPr>
        <w:t xml:space="preserve"> </w:t>
      </w:r>
      <w:r w:rsidR="00392E8E" w:rsidRPr="00821D0B">
        <w:rPr>
          <w:lang w:val="en-GB"/>
        </w:rPr>
        <w:t xml:space="preserve">raise questions </w:t>
      </w:r>
      <w:r w:rsidR="00C22FB1" w:rsidRPr="00821D0B">
        <w:rPr>
          <w:lang w:val="en-GB"/>
        </w:rPr>
        <w:t xml:space="preserve">that </w:t>
      </w:r>
      <w:r w:rsidR="00AD149A" w:rsidRPr="00821D0B">
        <w:rPr>
          <w:lang w:val="en-GB"/>
        </w:rPr>
        <w:t>gnaw at both the investigative and prosecutorial dimensions of the State’s handling of the case</w:t>
      </w:r>
      <w:r w:rsidR="008549D9" w:rsidRPr="00821D0B">
        <w:rPr>
          <w:lang w:val="en-GB"/>
        </w:rPr>
        <w:t xml:space="preserve"> thus far</w:t>
      </w:r>
      <w:r w:rsidR="00FE317D" w:rsidRPr="00821D0B">
        <w:rPr>
          <w:lang w:val="en-GB"/>
        </w:rPr>
        <w:t xml:space="preserve">, as argued by Mr </w:t>
      </w:r>
      <w:r w:rsidR="00FE317D" w:rsidRPr="00821D0B">
        <w:rPr>
          <w:i/>
          <w:iCs/>
          <w:lang w:val="en-GB"/>
        </w:rPr>
        <w:t>Daubermann</w:t>
      </w:r>
      <w:r w:rsidR="008549D9" w:rsidRPr="00821D0B">
        <w:rPr>
          <w:lang w:val="en-GB"/>
        </w:rPr>
        <w:t>.</w:t>
      </w:r>
      <w:r w:rsidR="00490478" w:rsidRPr="00821D0B">
        <w:rPr>
          <w:lang w:val="en-GB"/>
        </w:rPr>
        <w:t xml:space="preserve"> </w:t>
      </w:r>
      <w:r w:rsidR="00465A60" w:rsidRPr="00821D0B">
        <w:rPr>
          <w:lang w:val="en-GB"/>
        </w:rPr>
        <w:t>The applicant has specifically identified various resulting aspects that are of concern to the preparation of his defence to the remaining charge of murder.</w:t>
      </w:r>
      <w:r w:rsidR="00BD57AE" w:rsidRPr="00821D0B">
        <w:rPr>
          <w:lang w:val="en-GB"/>
        </w:rPr>
        <w:t xml:space="preserve"> </w:t>
      </w:r>
      <w:r w:rsidR="009C7B8E" w:rsidRPr="00821D0B">
        <w:rPr>
          <w:lang w:val="en-GB"/>
        </w:rPr>
        <w:t>Th</w:t>
      </w:r>
      <w:r w:rsidR="002D5C05" w:rsidRPr="00821D0B">
        <w:rPr>
          <w:lang w:val="en-GB"/>
        </w:rPr>
        <w:t>ese matters</w:t>
      </w:r>
      <w:r w:rsidR="009C7B8E" w:rsidRPr="00821D0B">
        <w:rPr>
          <w:lang w:val="en-GB"/>
        </w:rPr>
        <w:t xml:space="preserve"> </w:t>
      </w:r>
      <w:r w:rsidR="002D5C05" w:rsidRPr="00821D0B">
        <w:rPr>
          <w:lang w:val="en-GB"/>
        </w:rPr>
        <w:t xml:space="preserve">must </w:t>
      </w:r>
      <w:r w:rsidR="009C7B8E" w:rsidRPr="00821D0B">
        <w:rPr>
          <w:lang w:val="en-GB"/>
        </w:rPr>
        <w:t xml:space="preserve">impact on my finding in respect of the first leg of the test to be applied in respect of both sections ‘B’ and ‘C’ of the docket. </w:t>
      </w:r>
    </w:p>
    <w:p w14:paraId="6CA87CB8" w14:textId="428EE0D9" w:rsidR="009B2A97" w:rsidRPr="00465A60" w:rsidRDefault="009B2A97" w:rsidP="00465A60">
      <w:pPr>
        <w:pStyle w:val="ListParagraph"/>
        <w:autoSpaceDE w:val="0"/>
        <w:autoSpaceDN w:val="0"/>
        <w:adjustRightInd w:val="0"/>
        <w:ind w:left="0"/>
        <w:jc w:val="both"/>
        <w:rPr>
          <w:lang w:val="en-GB"/>
        </w:rPr>
      </w:pPr>
    </w:p>
    <w:p w14:paraId="0CA11B3A" w14:textId="7B8D6022" w:rsidR="00225911" w:rsidRPr="00821D0B" w:rsidRDefault="00821D0B" w:rsidP="00821D0B">
      <w:pPr>
        <w:autoSpaceDE w:val="0"/>
        <w:autoSpaceDN w:val="0"/>
        <w:adjustRightInd w:val="0"/>
        <w:jc w:val="both"/>
        <w:rPr>
          <w:lang w:val="en-GB"/>
        </w:rPr>
      </w:pPr>
      <w:r>
        <w:rPr>
          <w:lang w:val="en-GB"/>
        </w:rPr>
        <w:t>[32]</w:t>
      </w:r>
      <w:r>
        <w:rPr>
          <w:lang w:val="en-GB"/>
        </w:rPr>
        <w:tab/>
      </w:r>
      <w:r w:rsidR="009B2A97" w:rsidRPr="00821D0B">
        <w:rPr>
          <w:lang w:val="en-GB"/>
        </w:rPr>
        <w:t xml:space="preserve">It is convenient to consider section ‘C’ access first. </w:t>
      </w:r>
      <w:r w:rsidR="00E32AFB" w:rsidRPr="00821D0B">
        <w:rPr>
          <w:lang w:val="en-GB"/>
        </w:rPr>
        <w:t xml:space="preserve">In </w:t>
      </w:r>
      <w:r w:rsidR="00490478" w:rsidRPr="00821D0B">
        <w:rPr>
          <w:i/>
          <w:iCs/>
          <w:lang w:val="en-GB"/>
        </w:rPr>
        <w:t>Panayiotou</w:t>
      </w:r>
      <w:r w:rsidR="00E32AFB" w:rsidRPr="00821D0B">
        <w:rPr>
          <w:lang w:val="en-GB"/>
        </w:rPr>
        <w:t xml:space="preserve">, the court granted access to </w:t>
      </w:r>
      <w:r w:rsidR="009F2142" w:rsidRPr="00821D0B">
        <w:rPr>
          <w:lang w:val="en-GB"/>
        </w:rPr>
        <w:t>that section</w:t>
      </w:r>
      <w:r w:rsidR="00E32AFB" w:rsidRPr="00821D0B">
        <w:rPr>
          <w:lang w:val="en-GB"/>
        </w:rPr>
        <w:t xml:space="preserve"> of the docket </w:t>
      </w:r>
      <w:r w:rsidR="00514364" w:rsidRPr="00821D0B">
        <w:rPr>
          <w:lang w:val="en-GB"/>
        </w:rPr>
        <w:t xml:space="preserve">(the </w:t>
      </w:r>
      <w:r w:rsidR="00370D8A" w:rsidRPr="00821D0B">
        <w:rPr>
          <w:lang w:val="en-GB"/>
        </w:rPr>
        <w:t xml:space="preserve">so-called </w:t>
      </w:r>
      <w:r w:rsidR="00514364" w:rsidRPr="00821D0B">
        <w:rPr>
          <w:lang w:val="en-GB"/>
        </w:rPr>
        <w:t xml:space="preserve">investigation diary) </w:t>
      </w:r>
      <w:r w:rsidR="00E32AFB" w:rsidRPr="00821D0B">
        <w:rPr>
          <w:lang w:val="en-GB"/>
        </w:rPr>
        <w:t xml:space="preserve">on the basis that the applicant had signalled an intention to bring into question aspects of the </w:t>
      </w:r>
      <w:r w:rsidR="00E32AFB" w:rsidRPr="00821D0B">
        <w:rPr>
          <w:lang w:val="en-GB"/>
        </w:rPr>
        <w:lastRenderedPageBreak/>
        <w:t xml:space="preserve">police investigation. </w:t>
      </w:r>
      <w:r w:rsidR="003D6FA8" w:rsidRPr="00821D0B">
        <w:rPr>
          <w:lang w:val="en-GB"/>
        </w:rPr>
        <w:t xml:space="preserve">As Goosen J noted in that case, the merits of such a challenge are a separate matter. </w:t>
      </w:r>
      <w:r w:rsidR="00514364" w:rsidRPr="00821D0B">
        <w:rPr>
          <w:lang w:val="en-GB"/>
        </w:rPr>
        <w:t xml:space="preserve">Following that reasoning, </w:t>
      </w:r>
      <w:r w:rsidR="00BA39A0" w:rsidRPr="00821D0B">
        <w:rPr>
          <w:lang w:val="en-GB"/>
        </w:rPr>
        <w:t xml:space="preserve">and the principles in </w:t>
      </w:r>
      <w:r w:rsidR="00BA39A0" w:rsidRPr="00821D0B">
        <w:rPr>
          <w:i/>
          <w:iCs/>
          <w:lang w:val="en-GB"/>
        </w:rPr>
        <w:t>Shabalala</w:t>
      </w:r>
      <w:r w:rsidR="00BA39A0" w:rsidRPr="00821D0B">
        <w:rPr>
          <w:lang w:val="en-GB"/>
        </w:rPr>
        <w:t>,</w:t>
      </w:r>
      <w:r w:rsidR="00BA39A0" w:rsidRPr="00821D0B">
        <w:rPr>
          <w:i/>
          <w:iCs/>
          <w:lang w:val="en-GB"/>
        </w:rPr>
        <w:t xml:space="preserve"> </w:t>
      </w:r>
      <w:r w:rsidR="00514364" w:rsidRPr="00821D0B">
        <w:rPr>
          <w:lang w:val="en-GB"/>
        </w:rPr>
        <w:t>I am of the view that the applicant has advanced a</w:t>
      </w:r>
      <w:r w:rsidR="00540FA6" w:rsidRPr="00821D0B">
        <w:rPr>
          <w:lang w:val="en-GB"/>
        </w:rPr>
        <w:t>t least a</w:t>
      </w:r>
      <w:r w:rsidR="00514364" w:rsidRPr="00821D0B">
        <w:rPr>
          <w:lang w:val="en-GB"/>
        </w:rPr>
        <w:t xml:space="preserve"> prima facie entitlement to access to section</w:t>
      </w:r>
      <w:r w:rsidR="00A905B8" w:rsidRPr="00821D0B">
        <w:rPr>
          <w:lang w:val="en-GB"/>
        </w:rPr>
        <w:t xml:space="preserve"> </w:t>
      </w:r>
      <w:r w:rsidR="00351F79" w:rsidRPr="00821D0B">
        <w:rPr>
          <w:lang w:val="en-GB"/>
        </w:rPr>
        <w:t xml:space="preserve">‘C’ </w:t>
      </w:r>
      <w:r w:rsidR="005807AA" w:rsidRPr="00821D0B">
        <w:rPr>
          <w:lang w:val="en-GB"/>
        </w:rPr>
        <w:t>along similar lines</w:t>
      </w:r>
      <w:r w:rsidR="00514364" w:rsidRPr="00821D0B">
        <w:rPr>
          <w:lang w:val="en-GB"/>
        </w:rPr>
        <w:t>. Absent any justified grounds for non-disclosure raised by the State</w:t>
      </w:r>
      <w:r w:rsidR="00A36274" w:rsidRPr="00821D0B">
        <w:rPr>
          <w:lang w:val="en-GB"/>
        </w:rPr>
        <w:t xml:space="preserve">, </w:t>
      </w:r>
      <w:r w:rsidR="006F36C6" w:rsidRPr="00821D0B">
        <w:rPr>
          <w:lang w:val="en-GB"/>
        </w:rPr>
        <w:t>disclosure must be ordered.</w:t>
      </w:r>
    </w:p>
    <w:p w14:paraId="02AA03C9" w14:textId="77777777" w:rsidR="00242FAC" w:rsidRPr="00242FAC" w:rsidRDefault="00242FAC" w:rsidP="00242FAC">
      <w:pPr>
        <w:pStyle w:val="ListParagraph"/>
        <w:rPr>
          <w:lang w:val="en-GB"/>
        </w:rPr>
      </w:pPr>
    </w:p>
    <w:p w14:paraId="3D27FD58" w14:textId="478D39EB" w:rsidR="003A6522" w:rsidRPr="00821D0B" w:rsidRDefault="00821D0B" w:rsidP="00821D0B">
      <w:pPr>
        <w:autoSpaceDE w:val="0"/>
        <w:autoSpaceDN w:val="0"/>
        <w:adjustRightInd w:val="0"/>
        <w:jc w:val="both"/>
        <w:rPr>
          <w:lang w:val="en-GB"/>
        </w:rPr>
      </w:pPr>
      <w:r>
        <w:rPr>
          <w:lang w:val="en-GB"/>
        </w:rPr>
        <w:t>[33]</w:t>
      </w:r>
      <w:r>
        <w:rPr>
          <w:lang w:val="en-GB"/>
        </w:rPr>
        <w:tab/>
      </w:r>
      <w:r w:rsidR="00DA3810" w:rsidRPr="00821D0B">
        <w:rPr>
          <w:lang w:val="en-GB"/>
        </w:rPr>
        <w:t xml:space="preserve">For similar reasons, </w:t>
      </w:r>
      <w:r w:rsidR="00242FAC" w:rsidRPr="00821D0B">
        <w:rPr>
          <w:lang w:val="en-GB"/>
        </w:rPr>
        <w:t>the contents of section ‘B’ of the docket</w:t>
      </w:r>
      <w:r w:rsidR="00662820" w:rsidRPr="00821D0B">
        <w:rPr>
          <w:lang w:val="en-GB"/>
        </w:rPr>
        <w:t>, barring clips of newspaper articles and copies of digital images already provided to the applicant,</w:t>
      </w:r>
      <w:r w:rsidR="00242FAC" w:rsidRPr="00821D0B">
        <w:rPr>
          <w:lang w:val="en-GB"/>
        </w:rPr>
        <w:t xml:space="preserve"> are prima facie likely to be helpful to the defence. </w:t>
      </w:r>
      <w:r w:rsidR="00B45BBB" w:rsidRPr="00821D0B">
        <w:rPr>
          <w:lang w:val="en-GB"/>
        </w:rPr>
        <w:t xml:space="preserve">Here, the </w:t>
      </w:r>
      <w:r w:rsidR="008A5CA6" w:rsidRPr="00821D0B">
        <w:rPr>
          <w:lang w:val="en-GB"/>
        </w:rPr>
        <w:t xml:space="preserve">significant </w:t>
      </w:r>
      <w:r w:rsidR="00B45BBB" w:rsidRPr="00821D0B">
        <w:rPr>
          <w:lang w:val="en-GB"/>
        </w:rPr>
        <w:t xml:space="preserve">difference between the facts </w:t>
      </w:r>
      <w:r w:rsidR="00D71C7E" w:rsidRPr="00821D0B">
        <w:rPr>
          <w:lang w:val="en-GB"/>
        </w:rPr>
        <w:t>supporting the application in</w:t>
      </w:r>
      <w:r w:rsidR="00B45BBB" w:rsidRPr="00821D0B">
        <w:rPr>
          <w:lang w:val="en-GB"/>
        </w:rPr>
        <w:t xml:space="preserve"> </w:t>
      </w:r>
      <w:r w:rsidR="00B45BBB" w:rsidRPr="00821D0B">
        <w:rPr>
          <w:i/>
          <w:iCs/>
          <w:lang w:val="en-GB"/>
        </w:rPr>
        <w:t>Panayiotou</w:t>
      </w:r>
      <w:r w:rsidR="00B45BBB" w:rsidRPr="00821D0B">
        <w:rPr>
          <w:lang w:val="en-GB"/>
        </w:rPr>
        <w:t xml:space="preserve"> and </w:t>
      </w:r>
      <w:r w:rsidR="00D71C7E" w:rsidRPr="00821D0B">
        <w:rPr>
          <w:lang w:val="en-GB"/>
        </w:rPr>
        <w:t xml:space="preserve">those involved in </w:t>
      </w:r>
      <w:r w:rsidR="00B45BBB" w:rsidRPr="00821D0B">
        <w:rPr>
          <w:lang w:val="en-GB"/>
        </w:rPr>
        <w:t xml:space="preserve">the present matter </w:t>
      </w:r>
      <w:r w:rsidR="00D71C7E" w:rsidRPr="00821D0B">
        <w:rPr>
          <w:lang w:val="en-GB"/>
        </w:rPr>
        <w:t xml:space="preserve">explains the </w:t>
      </w:r>
      <w:r w:rsidR="00F01001" w:rsidRPr="00821D0B">
        <w:rPr>
          <w:lang w:val="en-GB"/>
        </w:rPr>
        <w:t xml:space="preserve">divergent </w:t>
      </w:r>
      <w:r w:rsidR="00D71C7E" w:rsidRPr="00821D0B">
        <w:rPr>
          <w:lang w:val="en-GB"/>
        </w:rPr>
        <w:t>outcome.</w:t>
      </w:r>
      <w:r w:rsidR="00B45BBB" w:rsidRPr="00821D0B">
        <w:rPr>
          <w:lang w:val="en-GB"/>
        </w:rPr>
        <w:t xml:space="preserve"> </w:t>
      </w:r>
      <w:r w:rsidR="00362F0B" w:rsidRPr="00821D0B">
        <w:rPr>
          <w:lang w:val="en-GB"/>
        </w:rPr>
        <w:t>Specifically included in this determination is correspondence between the office of the DDPP and the investigating officers</w:t>
      </w:r>
      <w:r w:rsidR="00AC7E7B" w:rsidRPr="00821D0B">
        <w:rPr>
          <w:lang w:val="en-GB"/>
        </w:rPr>
        <w:t>, whic</w:t>
      </w:r>
      <w:r w:rsidR="00B70D34" w:rsidRPr="00821D0B">
        <w:rPr>
          <w:lang w:val="en-GB"/>
        </w:rPr>
        <w:t>h</w:t>
      </w:r>
      <w:r w:rsidR="000535E6" w:rsidRPr="00821D0B">
        <w:rPr>
          <w:lang w:val="en-GB"/>
        </w:rPr>
        <w:t xml:space="preserve"> in present circumstances</w:t>
      </w:r>
      <w:r w:rsidR="00AC7E7B" w:rsidRPr="00821D0B">
        <w:rPr>
          <w:lang w:val="en-GB"/>
        </w:rPr>
        <w:t xml:space="preserve"> is prima facie </w:t>
      </w:r>
      <w:r w:rsidR="005B0C2C" w:rsidRPr="00821D0B">
        <w:rPr>
          <w:lang w:val="en-GB"/>
        </w:rPr>
        <w:t>relevant</w:t>
      </w:r>
      <w:r w:rsidR="00AC7E7B" w:rsidRPr="00821D0B">
        <w:rPr>
          <w:lang w:val="en-GB"/>
        </w:rPr>
        <w:t xml:space="preserve"> </w:t>
      </w:r>
      <w:r w:rsidR="009B0D78" w:rsidRPr="00821D0B">
        <w:rPr>
          <w:lang w:val="en-GB"/>
        </w:rPr>
        <w:t>to the applicant’s ability to adduce and challenge evidence</w:t>
      </w:r>
      <w:r w:rsidR="00124909" w:rsidRPr="00821D0B">
        <w:rPr>
          <w:lang w:val="en-GB"/>
        </w:rPr>
        <w:t xml:space="preserve">, including by way of properly prepared </w:t>
      </w:r>
      <w:r w:rsidR="00E20249" w:rsidRPr="00821D0B">
        <w:rPr>
          <w:lang w:val="en-GB"/>
        </w:rPr>
        <w:t xml:space="preserve">and tailored </w:t>
      </w:r>
      <w:r w:rsidR="00124909" w:rsidRPr="00821D0B">
        <w:rPr>
          <w:lang w:val="en-GB"/>
        </w:rPr>
        <w:t>cross-exa</w:t>
      </w:r>
      <w:r w:rsidR="003A6FB6" w:rsidRPr="00821D0B">
        <w:rPr>
          <w:lang w:val="en-GB"/>
        </w:rPr>
        <w:t>mi</w:t>
      </w:r>
      <w:r w:rsidR="00124909" w:rsidRPr="00821D0B">
        <w:rPr>
          <w:lang w:val="en-GB"/>
        </w:rPr>
        <w:t>nation,</w:t>
      </w:r>
      <w:r w:rsidR="009B0D78" w:rsidRPr="00821D0B">
        <w:rPr>
          <w:lang w:val="en-GB"/>
        </w:rPr>
        <w:t xml:space="preserve"> as part of his right to a fair trial.</w:t>
      </w:r>
      <w:r w:rsidR="00DE19DA" w:rsidRPr="00821D0B">
        <w:rPr>
          <w:lang w:val="en-GB"/>
        </w:rPr>
        <w:t xml:space="preserve"> </w:t>
      </w:r>
      <w:r w:rsidR="00625AA9" w:rsidRPr="00821D0B">
        <w:rPr>
          <w:lang w:val="en-GB"/>
        </w:rPr>
        <w:t>That being the case, and bearing in mind that the trial has already commenced, the application cannot be criticised as premature. On my assessment, there is a sufficient prima facie factual underpinning</w:t>
      </w:r>
      <w:r w:rsidR="0082593A" w:rsidRPr="00821D0B">
        <w:rPr>
          <w:lang w:val="en-GB"/>
        </w:rPr>
        <w:t xml:space="preserve"> </w:t>
      </w:r>
      <w:r w:rsidR="00B938C6" w:rsidRPr="00821D0B">
        <w:rPr>
          <w:lang w:val="en-GB"/>
        </w:rPr>
        <w:t xml:space="preserve">to gainsay the claim of an unwarranted </w:t>
      </w:r>
      <w:r w:rsidR="009B2496" w:rsidRPr="00821D0B">
        <w:rPr>
          <w:lang w:val="en-GB"/>
        </w:rPr>
        <w:t>foray</w:t>
      </w:r>
      <w:r w:rsidR="00601B61" w:rsidRPr="00821D0B">
        <w:rPr>
          <w:lang w:val="en-GB"/>
        </w:rPr>
        <w:t xml:space="preserve"> for information.</w:t>
      </w:r>
      <w:r w:rsidR="00625AA9" w:rsidRPr="00821D0B">
        <w:rPr>
          <w:lang w:val="en-GB"/>
        </w:rPr>
        <w:t xml:space="preserve"> </w:t>
      </w:r>
      <w:r w:rsidR="00AB28C1" w:rsidRPr="00821D0B">
        <w:rPr>
          <w:lang w:val="en-GB"/>
        </w:rPr>
        <w:t xml:space="preserve">Precisely what assistance the applicant might obtain through docket access need not be demonstrated: in the special circumstances of this </w:t>
      </w:r>
      <w:r w:rsidR="00BE5389" w:rsidRPr="00821D0B">
        <w:rPr>
          <w:lang w:val="en-GB"/>
        </w:rPr>
        <w:t>case,</w:t>
      </w:r>
      <w:r w:rsidR="00AB28C1" w:rsidRPr="00821D0B">
        <w:rPr>
          <w:lang w:val="en-GB"/>
        </w:rPr>
        <w:t xml:space="preserve"> it has been established that it is prima facie likely to be helpful. </w:t>
      </w:r>
    </w:p>
    <w:p w14:paraId="1DFD82AF" w14:textId="77777777" w:rsidR="003A6522" w:rsidRDefault="003A6522" w:rsidP="003A6522">
      <w:pPr>
        <w:pStyle w:val="ListParagraph"/>
        <w:autoSpaceDE w:val="0"/>
        <w:autoSpaceDN w:val="0"/>
        <w:adjustRightInd w:val="0"/>
        <w:ind w:left="0"/>
        <w:jc w:val="both"/>
        <w:rPr>
          <w:lang w:val="en-GB"/>
        </w:rPr>
      </w:pPr>
    </w:p>
    <w:p w14:paraId="0E6D48CB" w14:textId="47A6B5AA" w:rsidR="003A6522" w:rsidRPr="00821D0B" w:rsidRDefault="00821D0B" w:rsidP="00821D0B">
      <w:pPr>
        <w:autoSpaceDE w:val="0"/>
        <w:autoSpaceDN w:val="0"/>
        <w:adjustRightInd w:val="0"/>
        <w:jc w:val="both"/>
        <w:rPr>
          <w:lang w:val="en-GB"/>
        </w:rPr>
      </w:pPr>
      <w:r>
        <w:rPr>
          <w:lang w:val="en-GB"/>
        </w:rPr>
        <w:t>[34]</w:t>
      </w:r>
      <w:r>
        <w:rPr>
          <w:lang w:val="en-GB"/>
        </w:rPr>
        <w:tab/>
      </w:r>
      <w:r w:rsidR="009B2496" w:rsidRPr="00821D0B">
        <w:rPr>
          <w:lang w:val="en-GB"/>
        </w:rPr>
        <w:t>T</w:t>
      </w:r>
      <w:r w:rsidR="00DE19DA" w:rsidRPr="00821D0B">
        <w:rPr>
          <w:lang w:val="en-GB"/>
        </w:rPr>
        <w:t>he State</w:t>
      </w:r>
      <w:r w:rsidR="004D4AF1" w:rsidRPr="00821D0B">
        <w:rPr>
          <w:lang w:val="en-GB"/>
        </w:rPr>
        <w:t xml:space="preserve"> has </w:t>
      </w:r>
      <w:r w:rsidR="009B2496" w:rsidRPr="00821D0B">
        <w:rPr>
          <w:lang w:val="en-GB"/>
        </w:rPr>
        <w:t xml:space="preserve">again </w:t>
      </w:r>
      <w:r w:rsidR="004D4AF1" w:rsidRPr="00821D0B">
        <w:rPr>
          <w:lang w:val="en-GB"/>
        </w:rPr>
        <w:t xml:space="preserve">failed </w:t>
      </w:r>
      <w:r w:rsidR="00DE19DA" w:rsidRPr="00821D0B">
        <w:rPr>
          <w:lang w:val="en-GB"/>
        </w:rPr>
        <w:t xml:space="preserve">to demonstrate reasonable grounds for believing that disclosure of </w:t>
      </w:r>
      <w:r w:rsidR="00604085" w:rsidRPr="00821D0B">
        <w:rPr>
          <w:lang w:val="en-GB"/>
        </w:rPr>
        <w:t>section ‘B’</w:t>
      </w:r>
      <w:r w:rsidR="00DE19DA" w:rsidRPr="00821D0B">
        <w:rPr>
          <w:lang w:val="en-GB"/>
        </w:rPr>
        <w:t xml:space="preserve"> information carries risks that may realistically impede the proper ends of justice. </w:t>
      </w:r>
      <w:r w:rsidR="003A6522" w:rsidRPr="00821D0B">
        <w:rPr>
          <w:lang w:val="en-GB"/>
        </w:rPr>
        <w:t xml:space="preserve">To the extent that </w:t>
      </w:r>
      <w:r w:rsidR="003A6522" w:rsidRPr="00821D0B">
        <w:rPr>
          <w:i/>
          <w:iCs/>
          <w:lang w:val="en-GB"/>
        </w:rPr>
        <w:t xml:space="preserve">Shabalala </w:t>
      </w:r>
      <w:r w:rsidR="003A6522" w:rsidRPr="00821D0B">
        <w:rPr>
          <w:lang w:val="en-GB"/>
        </w:rPr>
        <w:t xml:space="preserve">may be interpreted to hold that the enquiry boils down to a judicial assessment of the balance of risk, the outcome is </w:t>
      </w:r>
      <w:r w:rsidR="00A120B5" w:rsidRPr="00821D0B">
        <w:rPr>
          <w:lang w:val="en-GB"/>
        </w:rPr>
        <w:t>readily apparent</w:t>
      </w:r>
      <w:r w:rsidR="003A6522" w:rsidRPr="00821D0B">
        <w:rPr>
          <w:lang w:val="en-GB"/>
        </w:rPr>
        <w:t xml:space="preserve"> on the papers</w:t>
      </w:r>
      <w:r w:rsidR="005E371C" w:rsidRPr="00821D0B">
        <w:rPr>
          <w:lang w:val="en-GB"/>
        </w:rPr>
        <w:t xml:space="preserve"> in respect of both sections</w:t>
      </w:r>
      <w:r w:rsidR="003E712B" w:rsidRPr="00821D0B">
        <w:rPr>
          <w:lang w:val="en-GB"/>
        </w:rPr>
        <w:t xml:space="preserve"> ‘B’ and ‘C’</w:t>
      </w:r>
      <w:r w:rsidR="003A6522" w:rsidRPr="00821D0B">
        <w:rPr>
          <w:lang w:val="en-GB"/>
        </w:rPr>
        <w:t xml:space="preserve">. </w:t>
      </w:r>
      <w:r w:rsidR="0097020E" w:rsidRPr="00821D0B">
        <w:rPr>
          <w:lang w:val="en-GB"/>
        </w:rPr>
        <w:t>While I accept the State’s bona fides in opposing the application, t</w:t>
      </w:r>
      <w:r w:rsidR="00DE19DA" w:rsidRPr="00821D0B">
        <w:rPr>
          <w:lang w:val="en-GB"/>
        </w:rPr>
        <w:t>here is no objective basis made out on the papers</w:t>
      </w:r>
      <w:r w:rsidR="0068696C" w:rsidRPr="00821D0B">
        <w:rPr>
          <w:lang w:val="en-GB"/>
        </w:rPr>
        <w:t xml:space="preserve"> to justify opposition to disclosure in these circumstances.</w:t>
      </w:r>
    </w:p>
    <w:p w14:paraId="3507EE3B" w14:textId="37E95BA3" w:rsidR="00131AE3" w:rsidRPr="003A6522" w:rsidRDefault="00DE19DA" w:rsidP="003A6522">
      <w:pPr>
        <w:pStyle w:val="ListParagraph"/>
        <w:autoSpaceDE w:val="0"/>
        <w:autoSpaceDN w:val="0"/>
        <w:adjustRightInd w:val="0"/>
        <w:ind w:left="0"/>
        <w:jc w:val="both"/>
        <w:rPr>
          <w:lang w:val="en-GB"/>
        </w:rPr>
      </w:pPr>
      <w:r w:rsidRPr="003A6522">
        <w:rPr>
          <w:lang w:val="en-GB"/>
        </w:rPr>
        <w:t xml:space="preserve">  </w:t>
      </w:r>
    </w:p>
    <w:p w14:paraId="401F9512" w14:textId="3E1A9FC9" w:rsidR="00502D98" w:rsidRPr="00821D0B" w:rsidRDefault="00821D0B" w:rsidP="00821D0B">
      <w:pPr>
        <w:autoSpaceDE w:val="0"/>
        <w:autoSpaceDN w:val="0"/>
        <w:adjustRightInd w:val="0"/>
        <w:jc w:val="both"/>
        <w:rPr>
          <w:lang w:val="en-GB"/>
        </w:rPr>
      </w:pPr>
      <w:r>
        <w:rPr>
          <w:lang w:val="en-GB"/>
        </w:rPr>
        <w:t>[35]</w:t>
      </w:r>
      <w:r>
        <w:rPr>
          <w:lang w:val="en-GB"/>
        </w:rPr>
        <w:tab/>
      </w:r>
      <w:r w:rsidR="00356DFF" w:rsidRPr="00821D0B">
        <w:rPr>
          <w:lang w:val="en-GB"/>
        </w:rPr>
        <w:t xml:space="preserve">There is accordingly no need to canvas the third basis for the application. </w:t>
      </w:r>
      <w:r w:rsidR="00131AE3" w:rsidRPr="00821D0B">
        <w:rPr>
          <w:lang w:val="en-GB"/>
        </w:rPr>
        <w:t>Th</w:t>
      </w:r>
      <w:r w:rsidR="00FA0C19" w:rsidRPr="00821D0B">
        <w:rPr>
          <w:lang w:val="en-GB"/>
        </w:rPr>
        <w:t>e overall</w:t>
      </w:r>
      <w:r w:rsidR="00131AE3" w:rsidRPr="00821D0B">
        <w:rPr>
          <w:lang w:val="en-GB"/>
        </w:rPr>
        <w:t xml:space="preserve"> outcome finds </w:t>
      </w:r>
      <w:r w:rsidR="00382377" w:rsidRPr="00821D0B">
        <w:rPr>
          <w:lang w:val="en-GB"/>
        </w:rPr>
        <w:t xml:space="preserve">additional </w:t>
      </w:r>
      <w:r w:rsidR="00131AE3" w:rsidRPr="00821D0B">
        <w:rPr>
          <w:lang w:val="en-GB"/>
        </w:rPr>
        <w:t xml:space="preserve">support in various quarters. </w:t>
      </w:r>
      <w:r w:rsidR="00992EF4" w:rsidRPr="00821D0B">
        <w:rPr>
          <w:lang w:val="en-GB"/>
        </w:rPr>
        <w:t>D</w:t>
      </w:r>
      <w:r w:rsidR="003F1A0A" w:rsidRPr="00821D0B">
        <w:rPr>
          <w:lang w:val="en-GB"/>
        </w:rPr>
        <w:t>rawing</w:t>
      </w:r>
      <w:r w:rsidR="00992EF4" w:rsidRPr="00821D0B">
        <w:rPr>
          <w:lang w:val="en-GB"/>
        </w:rPr>
        <w:t xml:space="preserve"> again</w:t>
      </w:r>
      <w:r w:rsidR="003F1A0A" w:rsidRPr="00821D0B">
        <w:rPr>
          <w:lang w:val="en-GB"/>
        </w:rPr>
        <w:t xml:space="preserve"> from the constitutional dispensation and the decision in </w:t>
      </w:r>
      <w:r w:rsidR="003F1A0A" w:rsidRPr="00821D0B">
        <w:rPr>
          <w:i/>
          <w:iCs/>
          <w:lang w:val="en-GB"/>
        </w:rPr>
        <w:t>Shabalala</w:t>
      </w:r>
      <w:r w:rsidR="003F1A0A" w:rsidRPr="00821D0B">
        <w:rPr>
          <w:lang w:val="en-GB"/>
        </w:rPr>
        <w:t xml:space="preserve">, the SCA in </w:t>
      </w:r>
      <w:r w:rsidR="003F1A0A" w:rsidRPr="00821D0B">
        <w:rPr>
          <w:i/>
          <w:iCs/>
          <w:lang w:val="en-GB"/>
        </w:rPr>
        <w:t>Crossberg</w:t>
      </w:r>
      <w:r w:rsidR="003F1A0A" w:rsidRPr="00821D0B">
        <w:rPr>
          <w:lang w:val="en-GB"/>
        </w:rPr>
        <w:t xml:space="preserve"> has confirmed that there is an ‘overwhelming balance in favour of an accused person’s </w:t>
      </w:r>
      <w:r w:rsidR="003F1A0A" w:rsidRPr="00821D0B">
        <w:rPr>
          <w:lang w:val="en-GB"/>
        </w:rPr>
        <w:lastRenderedPageBreak/>
        <w:t>right to disclosure in those circumstances where there [was] no reasonable risk that such disclosure might lead to the disclosure of the identity of informers or State secrets or to intimidation or obstruction of the proper ends of justice’.</w:t>
      </w:r>
      <w:r w:rsidR="00B630C2">
        <w:rPr>
          <w:rStyle w:val="FootnoteReference"/>
          <w:lang w:val="en-GB"/>
        </w:rPr>
        <w:footnoteReference w:id="27"/>
      </w:r>
      <w:r w:rsidR="00F63FA2" w:rsidRPr="00821D0B">
        <w:rPr>
          <w:lang w:val="en-GB"/>
        </w:rPr>
        <w:t xml:space="preserve"> Absent any demonstratable risks of this sort, there is little to balance the applicant’s claim for docket access. </w:t>
      </w:r>
    </w:p>
    <w:p w14:paraId="16A69A80" w14:textId="622BD13E" w:rsidR="00502D98" w:rsidRDefault="00502D98" w:rsidP="00502D98">
      <w:pPr>
        <w:rPr>
          <w:lang w:val="en-GB"/>
        </w:rPr>
      </w:pPr>
    </w:p>
    <w:p w14:paraId="1D78F1AD" w14:textId="1ECC4CA6" w:rsidR="00502D98" w:rsidRPr="00821D0B" w:rsidRDefault="00821D0B" w:rsidP="00821D0B">
      <w:pPr>
        <w:autoSpaceDE w:val="0"/>
        <w:autoSpaceDN w:val="0"/>
        <w:adjustRightInd w:val="0"/>
        <w:jc w:val="both"/>
        <w:rPr>
          <w:lang w:val="en-GB"/>
        </w:rPr>
      </w:pPr>
      <w:r>
        <w:rPr>
          <w:lang w:val="en-GB"/>
        </w:rPr>
        <w:t>[36]</w:t>
      </w:r>
      <w:r>
        <w:rPr>
          <w:lang w:val="en-GB"/>
        </w:rPr>
        <w:tab/>
      </w:r>
      <w:r w:rsidR="00502D98" w:rsidRPr="00821D0B">
        <w:rPr>
          <w:lang w:val="en-GB"/>
        </w:rPr>
        <w:t>A similar point is made in</w:t>
      </w:r>
      <w:r w:rsidR="00427A48" w:rsidRPr="00821D0B">
        <w:rPr>
          <w:i/>
          <w:iCs/>
          <w:lang w:val="en-GB"/>
        </w:rPr>
        <w:t xml:space="preserve"> Du Toit: Commentary on the Criminal Procedure Act</w:t>
      </w:r>
      <w:r w:rsidR="00502D98" w:rsidRPr="00821D0B">
        <w:rPr>
          <w:lang w:val="en-GB"/>
        </w:rPr>
        <w:t>:</w:t>
      </w:r>
      <w:r w:rsidR="00502D98">
        <w:rPr>
          <w:rStyle w:val="FootnoteReference"/>
          <w:lang w:val="en-GB"/>
        </w:rPr>
        <w:footnoteReference w:id="28"/>
      </w:r>
    </w:p>
    <w:p w14:paraId="43DC4081" w14:textId="77777777" w:rsidR="00502D98" w:rsidRDefault="00502D98" w:rsidP="00502D98">
      <w:pPr>
        <w:rPr>
          <w:lang w:val="en-GB"/>
        </w:rPr>
      </w:pPr>
    </w:p>
    <w:p w14:paraId="73A379B7" w14:textId="77777777" w:rsidR="00502D98" w:rsidRPr="00714969" w:rsidRDefault="00502D98" w:rsidP="00502D98">
      <w:pPr>
        <w:autoSpaceDE w:val="0"/>
        <w:autoSpaceDN w:val="0"/>
        <w:adjustRightInd w:val="0"/>
        <w:jc w:val="both"/>
        <w:rPr>
          <w:sz w:val="22"/>
          <w:szCs w:val="22"/>
          <w:lang w:val="en-GB"/>
        </w:rPr>
      </w:pPr>
      <w:r w:rsidRPr="00714969">
        <w:rPr>
          <w:sz w:val="22"/>
          <w:szCs w:val="22"/>
          <w:lang w:val="en-GB"/>
        </w:rPr>
        <w:t xml:space="preserve">‘It would be artificial to consider each of these privileges separately, dismissing one, here, and engaging another, there, when the situation calls for a simple weighing up of their cumulative force against the constant counterweight represented by the value of ventilating all relevant evidence in the service of accurate fact-finding together with all its attendant benefits in the hands of an accused person seeking to make a proper defence.’ </w:t>
      </w:r>
    </w:p>
    <w:p w14:paraId="46073494" w14:textId="77777777" w:rsidR="00502D98" w:rsidRPr="00502D98" w:rsidRDefault="00502D98" w:rsidP="00502D98">
      <w:pPr>
        <w:rPr>
          <w:lang w:val="en-GB"/>
        </w:rPr>
      </w:pPr>
    </w:p>
    <w:p w14:paraId="5E624CA7" w14:textId="3F737AE9" w:rsidR="00237F3F" w:rsidRPr="00821D0B" w:rsidRDefault="00821D0B" w:rsidP="00821D0B">
      <w:pPr>
        <w:autoSpaceDE w:val="0"/>
        <w:autoSpaceDN w:val="0"/>
        <w:adjustRightInd w:val="0"/>
        <w:jc w:val="both"/>
        <w:rPr>
          <w:lang w:val="en-GB"/>
        </w:rPr>
      </w:pPr>
      <w:r>
        <w:rPr>
          <w:lang w:val="en-GB"/>
        </w:rPr>
        <w:t>[37]</w:t>
      </w:r>
      <w:r>
        <w:rPr>
          <w:lang w:val="en-GB"/>
        </w:rPr>
        <w:tab/>
      </w:r>
      <w:r w:rsidR="003040DF" w:rsidRPr="00821D0B">
        <w:rPr>
          <w:lang w:val="en-GB"/>
        </w:rPr>
        <w:t xml:space="preserve">Finally, </w:t>
      </w:r>
      <w:r w:rsidR="0000261E" w:rsidRPr="00821D0B">
        <w:rPr>
          <w:lang w:val="en-GB"/>
        </w:rPr>
        <w:t>i</w:t>
      </w:r>
      <w:r w:rsidR="008B0049" w:rsidRPr="00821D0B">
        <w:rPr>
          <w:lang w:val="en-GB"/>
        </w:rPr>
        <w:t xml:space="preserve">t has been said that issues that are apparently extraneous </w:t>
      </w:r>
      <w:r w:rsidR="00833CA6" w:rsidRPr="00821D0B">
        <w:rPr>
          <w:lang w:val="en-GB"/>
        </w:rPr>
        <w:t xml:space="preserve">may </w:t>
      </w:r>
      <w:r w:rsidR="00FC4675" w:rsidRPr="00821D0B">
        <w:rPr>
          <w:lang w:val="en-GB"/>
        </w:rPr>
        <w:t>ultimately</w:t>
      </w:r>
      <w:r w:rsidR="008B0049" w:rsidRPr="00821D0B">
        <w:rPr>
          <w:lang w:val="en-GB"/>
        </w:rPr>
        <w:t xml:space="preserve"> be crucial to determine the guilt or innocence of an accused.</w:t>
      </w:r>
      <w:r w:rsidR="008B0049">
        <w:rPr>
          <w:rStyle w:val="FootnoteReference"/>
          <w:lang w:val="en-GB"/>
        </w:rPr>
        <w:footnoteReference w:id="29"/>
      </w:r>
      <w:r w:rsidR="008B0049" w:rsidRPr="00821D0B">
        <w:rPr>
          <w:lang w:val="en-GB"/>
        </w:rPr>
        <w:t xml:space="preserve">  G</w:t>
      </w:r>
      <w:r w:rsidR="00F24E9E" w:rsidRPr="00821D0B">
        <w:rPr>
          <w:lang w:val="en-GB"/>
        </w:rPr>
        <w:t>ranting such access</w:t>
      </w:r>
      <w:r w:rsidR="00572A0F" w:rsidRPr="00821D0B">
        <w:rPr>
          <w:lang w:val="en-GB"/>
        </w:rPr>
        <w:t xml:space="preserve"> also</w:t>
      </w:r>
      <w:r w:rsidR="00F24E9E" w:rsidRPr="00821D0B">
        <w:rPr>
          <w:lang w:val="en-GB"/>
        </w:rPr>
        <w:t xml:space="preserve"> contributes to a sense of equality at arms </w:t>
      </w:r>
      <w:r w:rsidR="00572A0F" w:rsidRPr="00821D0B">
        <w:rPr>
          <w:lang w:val="en-GB"/>
        </w:rPr>
        <w:t>between the State and the accused</w:t>
      </w:r>
      <w:r w:rsidR="00BA2181" w:rsidRPr="00821D0B">
        <w:rPr>
          <w:lang w:val="en-GB"/>
        </w:rPr>
        <w:t xml:space="preserve">, particularly considering the </w:t>
      </w:r>
      <w:r w:rsidR="00596F5C" w:rsidRPr="00821D0B">
        <w:rPr>
          <w:lang w:val="en-GB"/>
        </w:rPr>
        <w:t>history of the matter</w:t>
      </w:r>
      <w:r w:rsidR="00BA2181" w:rsidRPr="00821D0B">
        <w:rPr>
          <w:lang w:val="en-GB"/>
        </w:rPr>
        <w:t xml:space="preserve"> </w:t>
      </w:r>
      <w:r w:rsidR="009B3011" w:rsidRPr="00821D0B">
        <w:rPr>
          <w:lang w:val="en-GB"/>
        </w:rPr>
        <w:t>in the light of</w:t>
      </w:r>
      <w:r w:rsidR="00BA2181" w:rsidRPr="00821D0B">
        <w:rPr>
          <w:lang w:val="en-GB"/>
        </w:rPr>
        <w:t xml:space="preserve"> the constitutional promise of a fair trial.</w:t>
      </w:r>
    </w:p>
    <w:p w14:paraId="22C5906B" w14:textId="104229FC" w:rsidR="003543F5" w:rsidRDefault="003543F5" w:rsidP="003543F5">
      <w:pPr>
        <w:pStyle w:val="ListParagraph"/>
        <w:autoSpaceDE w:val="0"/>
        <w:autoSpaceDN w:val="0"/>
        <w:adjustRightInd w:val="0"/>
        <w:ind w:left="0"/>
        <w:jc w:val="both"/>
        <w:rPr>
          <w:lang w:val="en-GB"/>
        </w:rPr>
      </w:pPr>
    </w:p>
    <w:p w14:paraId="555160DB" w14:textId="26F9245F" w:rsidR="003543F5" w:rsidRDefault="003543F5" w:rsidP="003543F5">
      <w:pPr>
        <w:pStyle w:val="ListParagraph"/>
        <w:autoSpaceDE w:val="0"/>
        <w:autoSpaceDN w:val="0"/>
        <w:adjustRightInd w:val="0"/>
        <w:ind w:left="0"/>
        <w:jc w:val="both"/>
        <w:rPr>
          <w:b/>
          <w:bCs/>
          <w:lang w:val="en-GB"/>
        </w:rPr>
      </w:pPr>
      <w:r>
        <w:rPr>
          <w:b/>
          <w:bCs/>
          <w:lang w:val="en-GB"/>
        </w:rPr>
        <w:t>Order</w:t>
      </w:r>
    </w:p>
    <w:p w14:paraId="3EF51718" w14:textId="77777777" w:rsidR="003543F5" w:rsidRPr="003543F5" w:rsidRDefault="003543F5" w:rsidP="003543F5">
      <w:pPr>
        <w:pStyle w:val="ListParagraph"/>
        <w:autoSpaceDE w:val="0"/>
        <w:autoSpaceDN w:val="0"/>
        <w:adjustRightInd w:val="0"/>
        <w:ind w:left="0"/>
        <w:jc w:val="both"/>
        <w:rPr>
          <w:b/>
          <w:bCs/>
          <w:lang w:val="en-GB"/>
        </w:rPr>
      </w:pPr>
    </w:p>
    <w:p w14:paraId="01944497" w14:textId="3DAB9FA2" w:rsidR="003543F5" w:rsidRPr="00821D0B" w:rsidRDefault="00821D0B" w:rsidP="00821D0B">
      <w:pPr>
        <w:autoSpaceDE w:val="0"/>
        <w:autoSpaceDN w:val="0"/>
        <w:adjustRightInd w:val="0"/>
        <w:jc w:val="both"/>
        <w:rPr>
          <w:lang w:val="en-GB"/>
        </w:rPr>
      </w:pPr>
      <w:r>
        <w:rPr>
          <w:lang w:val="en-GB"/>
        </w:rPr>
        <w:t>[38]</w:t>
      </w:r>
      <w:r>
        <w:rPr>
          <w:lang w:val="en-GB"/>
        </w:rPr>
        <w:tab/>
      </w:r>
      <w:r w:rsidR="003543F5" w:rsidRPr="00821D0B">
        <w:rPr>
          <w:lang w:val="en-GB"/>
        </w:rPr>
        <w:t>The following order is issued:</w:t>
      </w:r>
    </w:p>
    <w:p w14:paraId="201375AE" w14:textId="77777777" w:rsidR="00C452BC" w:rsidRDefault="00C452BC" w:rsidP="00C452BC">
      <w:pPr>
        <w:pStyle w:val="ListParagraph"/>
        <w:autoSpaceDE w:val="0"/>
        <w:autoSpaceDN w:val="0"/>
        <w:adjustRightInd w:val="0"/>
        <w:ind w:left="0"/>
        <w:jc w:val="both"/>
        <w:rPr>
          <w:lang w:val="en-GB"/>
        </w:rPr>
      </w:pPr>
    </w:p>
    <w:p w14:paraId="28CE2F73" w14:textId="25FF30EB" w:rsidR="00C452BC" w:rsidRPr="00821D0B" w:rsidRDefault="00821D0B" w:rsidP="00821D0B">
      <w:pPr>
        <w:autoSpaceDE w:val="0"/>
        <w:autoSpaceDN w:val="0"/>
        <w:adjustRightInd w:val="0"/>
        <w:ind w:left="720" w:hanging="360"/>
        <w:jc w:val="both"/>
        <w:rPr>
          <w:lang w:val="en-GB"/>
        </w:rPr>
      </w:pPr>
      <w:r>
        <w:rPr>
          <w:lang w:val="en-GB"/>
        </w:rPr>
        <w:t>1.</w:t>
      </w:r>
      <w:r>
        <w:rPr>
          <w:lang w:val="en-GB"/>
        </w:rPr>
        <w:tab/>
      </w:r>
      <w:r w:rsidR="00614F6A" w:rsidRPr="00821D0B">
        <w:rPr>
          <w:lang w:val="en-GB"/>
        </w:rPr>
        <w:t>The respondent is ordered to provide the applicant with a copy of section</w:t>
      </w:r>
      <w:r w:rsidR="0004595D" w:rsidRPr="00821D0B">
        <w:rPr>
          <w:lang w:val="en-GB"/>
        </w:rPr>
        <w:t>s</w:t>
      </w:r>
      <w:r w:rsidR="00FB6F99" w:rsidRPr="00821D0B">
        <w:rPr>
          <w:lang w:val="en-GB"/>
        </w:rPr>
        <w:t xml:space="preserve"> </w:t>
      </w:r>
      <w:r w:rsidR="00AE5589" w:rsidRPr="00821D0B">
        <w:rPr>
          <w:lang w:val="en-GB"/>
        </w:rPr>
        <w:t>‘</w:t>
      </w:r>
      <w:r w:rsidR="00FB6F99" w:rsidRPr="00821D0B">
        <w:rPr>
          <w:lang w:val="en-GB"/>
        </w:rPr>
        <w:t>B</w:t>
      </w:r>
      <w:r w:rsidR="00AE5589" w:rsidRPr="00821D0B">
        <w:rPr>
          <w:lang w:val="en-GB"/>
        </w:rPr>
        <w:t>’</w:t>
      </w:r>
      <w:r w:rsidR="0004595D" w:rsidRPr="00821D0B">
        <w:rPr>
          <w:lang w:val="en-GB"/>
        </w:rPr>
        <w:t xml:space="preserve"> and </w:t>
      </w:r>
      <w:r w:rsidR="00AE5589" w:rsidRPr="00821D0B">
        <w:rPr>
          <w:lang w:val="en-GB"/>
        </w:rPr>
        <w:t>‘</w:t>
      </w:r>
      <w:r w:rsidR="0004595D" w:rsidRPr="00821D0B">
        <w:rPr>
          <w:lang w:val="en-GB"/>
        </w:rPr>
        <w:t>C</w:t>
      </w:r>
      <w:r w:rsidR="00AE5589" w:rsidRPr="00821D0B">
        <w:rPr>
          <w:lang w:val="en-GB"/>
        </w:rPr>
        <w:t>’</w:t>
      </w:r>
      <w:r w:rsidR="00FB6F99" w:rsidRPr="00821D0B">
        <w:rPr>
          <w:lang w:val="en-GB"/>
        </w:rPr>
        <w:t xml:space="preserve"> </w:t>
      </w:r>
      <w:r w:rsidR="00614F6A" w:rsidRPr="00821D0B">
        <w:rPr>
          <w:lang w:val="en-GB"/>
        </w:rPr>
        <w:t>of the investigation docket</w:t>
      </w:r>
      <w:r w:rsidR="0004595D" w:rsidRPr="00821D0B">
        <w:rPr>
          <w:lang w:val="en-GB"/>
        </w:rPr>
        <w:t xml:space="preserve">, excluding </w:t>
      </w:r>
      <w:r w:rsidR="00A71D29" w:rsidRPr="00821D0B">
        <w:rPr>
          <w:lang w:val="en-GB"/>
        </w:rPr>
        <w:t>clips</w:t>
      </w:r>
      <w:r w:rsidR="0004595D" w:rsidRPr="00821D0B">
        <w:rPr>
          <w:lang w:val="en-GB"/>
        </w:rPr>
        <w:t xml:space="preserve"> of newspaper </w:t>
      </w:r>
      <w:r w:rsidR="00A71D29" w:rsidRPr="00821D0B">
        <w:rPr>
          <w:lang w:val="en-GB"/>
        </w:rPr>
        <w:t xml:space="preserve">articles and copies of digital images to which the applicant already has access, </w:t>
      </w:r>
      <w:r w:rsidR="00614F6A" w:rsidRPr="00821D0B">
        <w:rPr>
          <w:lang w:val="en-GB"/>
        </w:rPr>
        <w:t>within 10 days of the date of this order.</w:t>
      </w:r>
      <w:r w:rsidR="00942F00" w:rsidRPr="00821D0B">
        <w:rPr>
          <w:lang w:val="en-GB"/>
        </w:rPr>
        <w:t xml:space="preserve"> </w:t>
      </w:r>
    </w:p>
    <w:p w14:paraId="56B83F9F" w14:textId="77777777" w:rsidR="00AE5589" w:rsidRDefault="00AE5589" w:rsidP="00AE5589">
      <w:pPr>
        <w:pStyle w:val="ListParagraph"/>
        <w:autoSpaceDE w:val="0"/>
        <w:autoSpaceDN w:val="0"/>
        <w:adjustRightInd w:val="0"/>
        <w:jc w:val="both"/>
        <w:rPr>
          <w:lang w:val="en-GB"/>
        </w:rPr>
      </w:pPr>
    </w:p>
    <w:p w14:paraId="63624B88" w14:textId="47BD3DF0" w:rsidR="00412489" w:rsidRPr="00821D0B" w:rsidRDefault="00821D0B" w:rsidP="00821D0B">
      <w:pPr>
        <w:autoSpaceDE w:val="0"/>
        <w:autoSpaceDN w:val="0"/>
        <w:adjustRightInd w:val="0"/>
        <w:ind w:left="720" w:hanging="360"/>
        <w:jc w:val="both"/>
        <w:rPr>
          <w:lang w:val="en-GB"/>
        </w:rPr>
      </w:pPr>
      <w:r>
        <w:rPr>
          <w:lang w:val="en-GB"/>
        </w:rPr>
        <w:t>2.</w:t>
      </w:r>
      <w:r>
        <w:rPr>
          <w:lang w:val="en-GB"/>
        </w:rPr>
        <w:tab/>
      </w:r>
      <w:r w:rsidR="00A0717A" w:rsidRPr="00821D0B">
        <w:rPr>
          <w:lang w:val="en-GB"/>
        </w:rPr>
        <w:t xml:space="preserve">In the event that </w:t>
      </w:r>
      <w:r w:rsidR="00A85B0B" w:rsidRPr="00821D0B">
        <w:rPr>
          <w:lang w:val="en-GB"/>
        </w:rPr>
        <w:t>any documentation is only available in hard copy, the respondent is to provide copies to the applicant against tender of payment of the reasonable photocopying charges in respect thereto.</w:t>
      </w:r>
    </w:p>
    <w:p w14:paraId="64A2580D" w14:textId="2BA0647D" w:rsidR="00614F6A" w:rsidRPr="0004595D" w:rsidRDefault="00614F6A" w:rsidP="002F2A81">
      <w:pPr>
        <w:pStyle w:val="ListParagraph"/>
        <w:autoSpaceDE w:val="0"/>
        <w:autoSpaceDN w:val="0"/>
        <w:adjustRightInd w:val="0"/>
        <w:jc w:val="both"/>
        <w:rPr>
          <w:lang w:val="en-GB"/>
        </w:rPr>
      </w:pPr>
    </w:p>
    <w:p w14:paraId="7638C8C1" w14:textId="77777777" w:rsidR="00185C15" w:rsidRPr="00FA1CFB" w:rsidRDefault="00185C15" w:rsidP="00185C15">
      <w:pPr>
        <w:pStyle w:val="ListParagraph"/>
        <w:autoSpaceDE w:val="0"/>
        <w:autoSpaceDN w:val="0"/>
        <w:adjustRightInd w:val="0"/>
        <w:ind w:left="0"/>
        <w:jc w:val="both"/>
        <w:rPr>
          <w:lang w:val="en-GB"/>
        </w:rPr>
      </w:pPr>
    </w:p>
    <w:p w14:paraId="09591DFE" w14:textId="3AE04316" w:rsidR="007C517D" w:rsidRDefault="007C517D" w:rsidP="004D1AAF">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CA056D">
      <w:pPr>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01E8CEBE" w:rsidR="00D450B5" w:rsidRPr="00044B50" w:rsidRDefault="00D450B5" w:rsidP="00CA056D">
      <w:pPr>
        <w:jc w:val="both"/>
        <w:rPr>
          <w:b/>
          <w:bCs/>
          <w:lang w:val="en-GB"/>
        </w:rPr>
      </w:pPr>
      <w:r w:rsidRPr="00044B50">
        <w:rPr>
          <w:b/>
          <w:bCs/>
          <w:lang w:val="en-GB"/>
        </w:rPr>
        <w:t xml:space="preserve">A GOVINDJEE                                                                                                                                                       </w:t>
      </w:r>
    </w:p>
    <w:p w14:paraId="14E92973" w14:textId="77777777" w:rsidR="00D450B5" w:rsidRPr="00044B50" w:rsidRDefault="00D450B5" w:rsidP="00CA056D">
      <w:pPr>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23058FE6" w:rsidR="007A7BBE" w:rsidRPr="00A87D38" w:rsidRDefault="007A7BBE" w:rsidP="00CA056D">
      <w:pPr>
        <w:widowControl w:val="0"/>
        <w:ind w:right="656"/>
        <w:rPr>
          <w:spacing w:val="14"/>
          <w:kern w:val="2"/>
          <w:lang w:val="en-GB"/>
        </w:rPr>
      </w:pPr>
      <w:r w:rsidRPr="000E75F0">
        <w:rPr>
          <w:b/>
          <w:spacing w:val="14"/>
          <w:kern w:val="2"/>
          <w:lang w:val="en-GB"/>
        </w:rPr>
        <w:t>Heard</w:t>
      </w:r>
      <w:r w:rsidRPr="00A87D38">
        <w:rPr>
          <w:spacing w:val="14"/>
          <w:kern w:val="2"/>
          <w:lang w:val="en-GB"/>
        </w:rPr>
        <w:t>:</w:t>
      </w:r>
      <w:r w:rsidR="000E75F0">
        <w:rPr>
          <w:spacing w:val="14"/>
          <w:kern w:val="2"/>
          <w:lang w:val="en-GB"/>
        </w:rPr>
        <w:t xml:space="preserve"> 18 October 2023</w:t>
      </w:r>
    </w:p>
    <w:p w14:paraId="299C01BC" w14:textId="77777777" w:rsidR="00CA056D" w:rsidRDefault="00CA056D" w:rsidP="000D4C7F">
      <w:pPr>
        <w:widowControl w:val="0"/>
        <w:ind w:left="4320" w:right="656" w:firstLine="720"/>
        <w:jc w:val="right"/>
        <w:rPr>
          <w:spacing w:val="14"/>
          <w:kern w:val="2"/>
          <w:lang w:val="en-GB"/>
        </w:rPr>
      </w:pPr>
    </w:p>
    <w:p w14:paraId="5D550954" w14:textId="0A431313" w:rsidR="007A7BBE" w:rsidRPr="00A87D38" w:rsidRDefault="007A7BBE" w:rsidP="00CA056D">
      <w:pPr>
        <w:widowControl w:val="0"/>
        <w:ind w:right="656"/>
        <w:rPr>
          <w:spacing w:val="14"/>
          <w:kern w:val="2"/>
          <w:lang w:val="en-GB"/>
        </w:rPr>
      </w:pPr>
      <w:r w:rsidRPr="000E75F0">
        <w:rPr>
          <w:b/>
          <w:spacing w:val="14"/>
          <w:kern w:val="2"/>
          <w:lang w:val="en-GB"/>
        </w:rPr>
        <w:t>Delivered</w:t>
      </w:r>
      <w:r w:rsidRPr="00A87D38">
        <w:rPr>
          <w:spacing w:val="14"/>
          <w:kern w:val="2"/>
          <w:lang w:val="en-GB"/>
        </w:rPr>
        <w:t>:</w:t>
      </w:r>
      <w:r w:rsidR="000E75F0">
        <w:rPr>
          <w:spacing w:val="14"/>
          <w:kern w:val="2"/>
          <w:lang w:val="en-GB"/>
        </w:rPr>
        <w:t xml:space="preserve"> 20 October 2023</w:t>
      </w:r>
    </w:p>
    <w:p w14:paraId="398380BF" w14:textId="40BE1419" w:rsidR="007A7BBE" w:rsidRDefault="007A7BBE" w:rsidP="004A5151">
      <w:pPr>
        <w:autoSpaceDE w:val="0"/>
        <w:autoSpaceDN w:val="0"/>
        <w:adjustRightInd w:val="0"/>
        <w:jc w:val="both"/>
        <w:rPr>
          <w:lang w:val="en-GB"/>
        </w:rPr>
      </w:pPr>
    </w:p>
    <w:p w14:paraId="5715DCEC" w14:textId="44B6EC49" w:rsidR="000E75F0" w:rsidRDefault="000E75F0" w:rsidP="004A5151">
      <w:pPr>
        <w:autoSpaceDE w:val="0"/>
        <w:autoSpaceDN w:val="0"/>
        <w:adjustRightInd w:val="0"/>
        <w:jc w:val="both"/>
        <w:rPr>
          <w:lang w:val="en-GB"/>
        </w:rPr>
      </w:pPr>
    </w:p>
    <w:p w14:paraId="38937F3E" w14:textId="0688F823" w:rsidR="000E75F0" w:rsidRDefault="000E75F0" w:rsidP="004A5151">
      <w:pPr>
        <w:autoSpaceDE w:val="0"/>
        <w:autoSpaceDN w:val="0"/>
        <w:adjustRightInd w:val="0"/>
        <w:jc w:val="both"/>
        <w:rPr>
          <w:lang w:val="en-GB"/>
        </w:rPr>
      </w:pPr>
    </w:p>
    <w:p w14:paraId="4FA417C1" w14:textId="0A9E43E6" w:rsidR="000E75F0" w:rsidRDefault="000E75F0" w:rsidP="004A5151">
      <w:pPr>
        <w:autoSpaceDE w:val="0"/>
        <w:autoSpaceDN w:val="0"/>
        <w:adjustRightInd w:val="0"/>
        <w:jc w:val="both"/>
        <w:rPr>
          <w:lang w:val="en-GB"/>
        </w:rPr>
      </w:pPr>
    </w:p>
    <w:p w14:paraId="749F73DE" w14:textId="4F6D3914" w:rsidR="000E75F0" w:rsidRDefault="000E75F0" w:rsidP="004A5151">
      <w:pPr>
        <w:autoSpaceDE w:val="0"/>
        <w:autoSpaceDN w:val="0"/>
        <w:adjustRightInd w:val="0"/>
        <w:jc w:val="both"/>
        <w:rPr>
          <w:lang w:val="en-GB"/>
        </w:rPr>
      </w:pPr>
    </w:p>
    <w:p w14:paraId="2C33A52F" w14:textId="3685C249" w:rsidR="000E75F0" w:rsidRDefault="000E75F0" w:rsidP="004A5151">
      <w:pPr>
        <w:autoSpaceDE w:val="0"/>
        <w:autoSpaceDN w:val="0"/>
        <w:adjustRightInd w:val="0"/>
        <w:jc w:val="both"/>
        <w:rPr>
          <w:lang w:val="en-GB"/>
        </w:rPr>
      </w:pPr>
    </w:p>
    <w:p w14:paraId="447B4ACD" w14:textId="0AC2F631" w:rsidR="000E75F0" w:rsidRDefault="000E75F0" w:rsidP="004A5151">
      <w:pPr>
        <w:autoSpaceDE w:val="0"/>
        <w:autoSpaceDN w:val="0"/>
        <w:adjustRightInd w:val="0"/>
        <w:jc w:val="both"/>
        <w:rPr>
          <w:lang w:val="en-GB"/>
        </w:rPr>
      </w:pPr>
    </w:p>
    <w:p w14:paraId="746B5F9C" w14:textId="5A9AAF96" w:rsidR="000E75F0" w:rsidRDefault="000E75F0" w:rsidP="004A5151">
      <w:pPr>
        <w:autoSpaceDE w:val="0"/>
        <w:autoSpaceDN w:val="0"/>
        <w:adjustRightInd w:val="0"/>
        <w:jc w:val="both"/>
        <w:rPr>
          <w:lang w:val="en-GB"/>
        </w:rPr>
      </w:pPr>
    </w:p>
    <w:p w14:paraId="7B4EE41B" w14:textId="662BED07" w:rsidR="000E75F0" w:rsidRDefault="000E75F0" w:rsidP="004A5151">
      <w:pPr>
        <w:autoSpaceDE w:val="0"/>
        <w:autoSpaceDN w:val="0"/>
        <w:adjustRightInd w:val="0"/>
        <w:jc w:val="both"/>
        <w:rPr>
          <w:lang w:val="en-GB"/>
        </w:rPr>
      </w:pPr>
    </w:p>
    <w:p w14:paraId="3E311124" w14:textId="2E4AB33F" w:rsidR="000E75F0" w:rsidRDefault="000E75F0" w:rsidP="004A5151">
      <w:pPr>
        <w:autoSpaceDE w:val="0"/>
        <w:autoSpaceDN w:val="0"/>
        <w:adjustRightInd w:val="0"/>
        <w:jc w:val="both"/>
        <w:rPr>
          <w:lang w:val="en-GB"/>
        </w:rPr>
      </w:pPr>
    </w:p>
    <w:p w14:paraId="02CB5627" w14:textId="483AA5DB" w:rsidR="000E75F0" w:rsidRDefault="000E75F0" w:rsidP="004A5151">
      <w:pPr>
        <w:autoSpaceDE w:val="0"/>
        <w:autoSpaceDN w:val="0"/>
        <w:adjustRightInd w:val="0"/>
        <w:jc w:val="both"/>
        <w:rPr>
          <w:lang w:val="en-GB"/>
        </w:rPr>
      </w:pPr>
    </w:p>
    <w:p w14:paraId="0CF99116" w14:textId="157EE99A" w:rsidR="000E75F0" w:rsidRDefault="000E75F0" w:rsidP="004A5151">
      <w:pPr>
        <w:autoSpaceDE w:val="0"/>
        <w:autoSpaceDN w:val="0"/>
        <w:adjustRightInd w:val="0"/>
        <w:jc w:val="both"/>
        <w:rPr>
          <w:lang w:val="en-GB"/>
        </w:rPr>
      </w:pPr>
    </w:p>
    <w:p w14:paraId="40D482E6" w14:textId="016F040A" w:rsidR="000E75F0" w:rsidRDefault="000E75F0" w:rsidP="004A5151">
      <w:pPr>
        <w:autoSpaceDE w:val="0"/>
        <w:autoSpaceDN w:val="0"/>
        <w:adjustRightInd w:val="0"/>
        <w:jc w:val="both"/>
        <w:rPr>
          <w:lang w:val="en-GB"/>
        </w:rPr>
      </w:pPr>
    </w:p>
    <w:p w14:paraId="1AFA94FA" w14:textId="0AB39A1A" w:rsidR="000E75F0" w:rsidRDefault="000E75F0" w:rsidP="004A5151">
      <w:pPr>
        <w:autoSpaceDE w:val="0"/>
        <w:autoSpaceDN w:val="0"/>
        <w:adjustRightInd w:val="0"/>
        <w:jc w:val="both"/>
        <w:rPr>
          <w:lang w:val="en-GB"/>
        </w:rPr>
      </w:pPr>
    </w:p>
    <w:p w14:paraId="272B7B7D" w14:textId="0322BFFB" w:rsidR="000E75F0" w:rsidRDefault="000E75F0" w:rsidP="004A5151">
      <w:pPr>
        <w:autoSpaceDE w:val="0"/>
        <w:autoSpaceDN w:val="0"/>
        <w:adjustRightInd w:val="0"/>
        <w:jc w:val="both"/>
        <w:rPr>
          <w:lang w:val="en-GB"/>
        </w:rPr>
      </w:pPr>
    </w:p>
    <w:p w14:paraId="672BAA5E" w14:textId="3E79BAA3" w:rsidR="000E75F0" w:rsidRDefault="000E75F0" w:rsidP="004A5151">
      <w:pPr>
        <w:autoSpaceDE w:val="0"/>
        <w:autoSpaceDN w:val="0"/>
        <w:adjustRightInd w:val="0"/>
        <w:jc w:val="both"/>
        <w:rPr>
          <w:lang w:val="en-GB"/>
        </w:rPr>
      </w:pPr>
    </w:p>
    <w:p w14:paraId="5EF9DD53" w14:textId="05F66447" w:rsidR="000E75F0" w:rsidRDefault="000E75F0" w:rsidP="004A5151">
      <w:pPr>
        <w:autoSpaceDE w:val="0"/>
        <w:autoSpaceDN w:val="0"/>
        <w:adjustRightInd w:val="0"/>
        <w:jc w:val="both"/>
        <w:rPr>
          <w:lang w:val="en-GB"/>
        </w:rPr>
      </w:pPr>
    </w:p>
    <w:p w14:paraId="5871B036" w14:textId="77777777" w:rsidR="000E75F0" w:rsidRPr="00044B50" w:rsidRDefault="000E75F0"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lastRenderedPageBreak/>
        <w:t>Appearances:</w:t>
      </w:r>
    </w:p>
    <w:p w14:paraId="66837056" w14:textId="5B798FD9" w:rsidR="00C33845" w:rsidRDefault="00C33845" w:rsidP="00772E4B">
      <w:pPr>
        <w:jc w:val="both"/>
        <w:rPr>
          <w:lang w:val="en-GB"/>
        </w:rPr>
      </w:pPr>
    </w:p>
    <w:p w14:paraId="1A96B021" w14:textId="4B2AB910" w:rsidR="00C33845" w:rsidRDefault="00C33845" w:rsidP="00772E4B">
      <w:pPr>
        <w:jc w:val="both"/>
        <w:rPr>
          <w:lang w:val="en-GB"/>
        </w:rPr>
      </w:pPr>
      <w:r>
        <w:rPr>
          <w:lang w:val="en-GB"/>
        </w:rPr>
        <w:t xml:space="preserve">For </w:t>
      </w:r>
      <w:r w:rsidR="000E75F0">
        <w:rPr>
          <w:lang w:val="en-GB"/>
        </w:rPr>
        <w:t>the Applicant</w:t>
      </w:r>
      <w:r>
        <w:rPr>
          <w:lang w:val="en-GB"/>
        </w:rPr>
        <w:t>:</w:t>
      </w:r>
      <w:r>
        <w:rPr>
          <w:lang w:val="en-GB"/>
        </w:rPr>
        <w:tab/>
      </w:r>
      <w:r>
        <w:rPr>
          <w:lang w:val="en-GB"/>
        </w:rPr>
        <w:tab/>
      </w:r>
      <w:r>
        <w:rPr>
          <w:lang w:val="en-GB"/>
        </w:rPr>
        <w:tab/>
      </w:r>
      <w:r>
        <w:rPr>
          <w:lang w:val="en-GB"/>
        </w:rPr>
        <w:tab/>
      </w:r>
      <w:r w:rsidR="000E75F0">
        <w:rPr>
          <w:lang w:val="en-GB"/>
        </w:rPr>
        <w:t>Mr P Daubermann</w:t>
      </w:r>
    </w:p>
    <w:p w14:paraId="410A7FF7" w14:textId="18970D74" w:rsidR="000E75F0" w:rsidRDefault="000E75F0" w:rsidP="00772E4B">
      <w:pPr>
        <w:jc w:val="both"/>
        <w:rPr>
          <w:lang w:val="en-GB"/>
        </w:rPr>
      </w:pPr>
      <w:r>
        <w:rPr>
          <w:lang w:val="en-GB"/>
        </w:rPr>
        <w:tab/>
      </w:r>
      <w:r>
        <w:rPr>
          <w:lang w:val="en-GB"/>
        </w:rPr>
        <w:tab/>
      </w:r>
      <w:r>
        <w:rPr>
          <w:lang w:val="en-GB"/>
        </w:rPr>
        <w:tab/>
      </w:r>
      <w:r>
        <w:rPr>
          <w:lang w:val="en-GB"/>
        </w:rPr>
        <w:tab/>
      </w:r>
      <w:r>
        <w:rPr>
          <w:lang w:val="en-GB"/>
        </w:rPr>
        <w:tab/>
      </w:r>
      <w:r>
        <w:rPr>
          <w:lang w:val="en-GB"/>
        </w:rPr>
        <w:tab/>
        <w:t>Gqeberha</w:t>
      </w:r>
    </w:p>
    <w:p w14:paraId="75EBC878" w14:textId="1415C457" w:rsidR="000E75F0" w:rsidRDefault="000E75F0" w:rsidP="00772E4B">
      <w:pPr>
        <w:jc w:val="both"/>
        <w:rPr>
          <w:lang w:val="en-GB"/>
        </w:rPr>
      </w:pPr>
    </w:p>
    <w:p w14:paraId="221A0B29" w14:textId="69545CF1" w:rsidR="000E75F0" w:rsidRDefault="000E75F0" w:rsidP="00674836">
      <w:pPr>
        <w:tabs>
          <w:tab w:val="left" w:pos="4320"/>
        </w:tabs>
        <w:jc w:val="both"/>
        <w:rPr>
          <w:lang w:val="en-GB"/>
        </w:rPr>
      </w:pPr>
      <w:r>
        <w:rPr>
          <w:lang w:val="en-GB"/>
        </w:rPr>
        <w:t>Instructed by:</w:t>
      </w:r>
      <w:r w:rsidR="00B80271">
        <w:rPr>
          <w:lang w:val="en-GB"/>
        </w:rPr>
        <w:tab/>
      </w:r>
      <w:r>
        <w:rPr>
          <w:lang w:val="en-GB"/>
        </w:rPr>
        <w:t>Griebenow Attorneys</w:t>
      </w:r>
    </w:p>
    <w:p w14:paraId="6E2FEB22" w14:textId="77777777" w:rsidR="00B80271" w:rsidRDefault="000E75F0" w:rsidP="00B80271">
      <w:pPr>
        <w:jc w:val="both"/>
        <w:rPr>
          <w:lang w:val="en-GB"/>
        </w:rPr>
      </w:pPr>
      <w:r>
        <w:rPr>
          <w:lang w:val="en-GB"/>
        </w:rPr>
        <w:tab/>
      </w:r>
      <w:r>
        <w:rPr>
          <w:lang w:val="en-GB"/>
        </w:rPr>
        <w:tab/>
      </w:r>
      <w:r>
        <w:rPr>
          <w:lang w:val="en-GB"/>
        </w:rPr>
        <w:tab/>
      </w:r>
      <w:r>
        <w:rPr>
          <w:lang w:val="en-GB"/>
        </w:rPr>
        <w:tab/>
      </w:r>
      <w:r w:rsidR="00B80271">
        <w:rPr>
          <w:lang w:val="en-GB"/>
        </w:rPr>
        <w:tab/>
      </w:r>
      <w:r w:rsidR="00B80271">
        <w:rPr>
          <w:lang w:val="en-GB"/>
        </w:rPr>
        <w:tab/>
      </w:r>
      <w:r>
        <w:rPr>
          <w:lang w:val="en-GB"/>
        </w:rPr>
        <w:t>Applicant’s Attorneys</w:t>
      </w:r>
    </w:p>
    <w:p w14:paraId="065350E9" w14:textId="15BC2B3A" w:rsidR="00B80271" w:rsidRDefault="00B80271" w:rsidP="00674836">
      <w:pPr>
        <w:tabs>
          <w:tab w:val="left" w:pos="3060"/>
          <w:tab w:val="left" w:pos="4320"/>
        </w:tabs>
        <w:jc w:val="both"/>
        <w:rPr>
          <w:lang w:val="en-GB"/>
        </w:rPr>
      </w:pPr>
      <w:r>
        <w:rPr>
          <w:lang w:val="en-GB"/>
        </w:rPr>
        <w:t xml:space="preserve"> </w:t>
      </w:r>
      <w:r>
        <w:rPr>
          <w:lang w:val="en-GB"/>
        </w:rPr>
        <w:tab/>
      </w:r>
      <w:r>
        <w:rPr>
          <w:lang w:val="en-GB"/>
        </w:rPr>
        <w:tab/>
      </w:r>
      <w:r w:rsidR="000E75F0">
        <w:rPr>
          <w:lang w:val="en-GB"/>
        </w:rPr>
        <w:t>157 Cape Road</w:t>
      </w:r>
    </w:p>
    <w:p w14:paraId="78408E03" w14:textId="4C4AEA25" w:rsidR="000E75F0" w:rsidRDefault="00B80271" w:rsidP="00674836">
      <w:pPr>
        <w:tabs>
          <w:tab w:val="left" w:pos="4230"/>
          <w:tab w:val="left" w:pos="5040"/>
        </w:tabs>
        <w:jc w:val="both"/>
        <w:rPr>
          <w:lang w:val="en-GB"/>
        </w:rPr>
      </w:pPr>
      <w:r>
        <w:rPr>
          <w:lang w:val="en-GB"/>
        </w:rPr>
        <w:tab/>
        <w:t xml:space="preserve"> </w:t>
      </w:r>
      <w:r w:rsidR="00674836">
        <w:rPr>
          <w:lang w:val="en-GB"/>
        </w:rPr>
        <w:t xml:space="preserve"> </w:t>
      </w:r>
      <w:r w:rsidR="000E75F0">
        <w:rPr>
          <w:lang w:val="en-GB"/>
        </w:rPr>
        <w:t>Millpark</w:t>
      </w:r>
    </w:p>
    <w:p w14:paraId="5B2EB711" w14:textId="7D749373" w:rsidR="00051BFB" w:rsidRDefault="00051BFB" w:rsidP="00051BFB">
      <w:pPr>
        <w:tabs>
          <w:tab w:val="left" w:pos="3600"/>
        </w:tabs>
        <w:jc w:val="both"/>
        <w:rPr>
          <w:lang w:val="en-GB"/>
        </w:rPr>
      </w:pPr>
      <w:r>
        <w:rPr>
          <w:lang w:val="en-GB"/>
        </w:rPr>
        <w:tab/>
      </w:r>
      <w:r>
        <w:rPr>
          <w:lang w:val="en-GB"/>
        </w:rPr>
        <w:tab/>
        <w:t xml:space="preserve"> Gqeberha</w:t>
      </w:r>
    </w:p>
    <w:p w14:paraId="1E1AA301" w14:textId="333D362A" w:rsidR="00051BFB" w:rsidRDefault="00051BFB" w:rsidP="00772E4B">
      <w:pPr>
        <w:jc w:val="both"/>
        <w:rPr>
          <w:lang w:val="en-GB"/>
        </w:rPr>
      </w:pPr>
      <w:r>
        <w:rPr>
          <w:lang w:val="en-GB"/>
        </w:rPr>
        <w:tab/>
      </w:r>
      <w:r>
        <w:rPr>
          <w:lang w:val="en-GB"/>
        </w:rPr>
        <w:tab/>
      </w:r>
      <w:r>
        <w:rPr>
          <w:lang w:val="en-GB"/>
        </w:rPr>
        <w:tab/>
      </w:r>
      <w:r>
        <w:rPr>
          <w:lang w:val="en-GB"/>
        </w:rPr>
        <w:tab/>
      </w:r>
      <w:r>
        <w:rPr>
          <w:lang w:val="en-GB"/>
        </w:rPr>
        <w:tab/>
      </w:r>
      <w:r>
        <w:rPr>
          <w:lang w:val="en-GB"/>
        </w:rPr>
        <w:tab/>
        <w:t xml:space="preserve"> Email: griebenow@yebo.co.za</w:t>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3C901047" w14:textId="5F5B7ADD" w:rsidR="00051BFB" w:rsidRDefault="00C33845" w:rsidP="00772E4B">
      <w:pPr>
        <w:jc w:val="both"/>
        <w:rPr>
          <w:lang w:val="en-GB"/>
        </w:rPr>
      </w:pPr>
      <w:r>
        <w:rPr>
          <w:lang w:val="en-GB"/>
        </w:rPr>
        <w:t xml:space="preserve">For </w:t>
      </w:r>
      <w:r w:rsidR="00051BFB">
        <w:rPr>
          <w:lang w:val="en-GB"/>
        </w:rPr>
        <w:t>the Respondent</w:t>
      </w:r>
      <w:r>
        <w:rPr>
          <w:lang w:val="en-GB"/>
        </w:rPr>
        <w:t>:</w:t>
      </w:r>
      <w:r>
        <w:rPr>
          <w:lang w:val="en-GB"/>
        </w:rPr>
        <w:tab/>
      </w:r>
      <w:r>
        <w:rPr>
          <w:lang w:val="en-GB"/>
        </w:rPr>
        <w:tab/>
      </w:r>
      <w:r>
        <w:rPr>
          <w:lang w:val="en-GB"/>
        </w:rPr>
        <w:tab/>
      </w:r>
      <w:r w:rsidR="00B80271">
        <w:rPr>
          <w:lang w:val="en-GB"/>
        </w:rPr>
        <w:t xml:space="preserve"> </w:t>
      </w:r>
      <w:r w:rsidR="00051BFB">
        <w:rPr>
          <w:lang w:val="en-GB"/>
        </w:rPr>
        <w:t>Adv M Stander</w:t>
      </w:r>
    </w:p>
    <w:p w14:paraId="415D4F67" w14:textId="44D65D04" w:rsidR="00051BFB" w:rsidRDefault="00051BFB"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B80271">
        <w:rPr>
          <w:lang w:val="en-GB"/>
        </w:rPr>
        <w:t xml:space="preserve"> </w:t>
      </w:r>
      <w:r>
        <w:rPr>
          <w:lang w:val="en-GB"/>
        </w:rPr>
        <w:t>Gqeberha</w:t>
      </w:r>
    </w:p>
    <w:p w14:paraId="020A4EAB" w14:textId="797062E7" w:rsidR="00051BFB" w:rsidRDefault="00051BFB"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B80271">
        <w:rPr>
          <w:lang w:val="en-GB"/>
        </w:rPr>
        <w:t xml:space="preserve"> </w:t>
      </w:r>
      <w:r>
        <w:rPr>
          <w:lang w:val="en-GB"/>
        </w:rPr>
        <w:t>Deputy Director of Public P</w:t>
      </w:r>
      <w:r w:rsidR="00B80271">
        <w:rPr>
          <w:lang w:val="en-GB"/>
        </w:rPr>
        <w:t>rosecutions U</w:t>
      </w:r>
      <w:r>
        <w:rPr>
          <w:lang w:val="en-GB"/>
        </w:rPr>
        <w:t>nit</w:t>
      </w:r>
    </w:p>
    <w:p w14:paraId="6190544B" w14:textId="5E4E24BA" w:rsidR="00C33845" w:rsidRPr="00044B50" w:rsidRDefault="00051BFB" w:rsidP="00B80271">
      <w:pPr>
        <w:tabs>
          <w:tab w:val="left" w:pos="4320"/>
        </w:tabs>
        <w:jc w:val="both"/>
        <w:rPr>
          <w:lang w:val="en-GB"/>
        </w:rPr>
      </w:pPr>
      <w:r>
        <w:rPr>
          <w:lang w:val="en-GB"/>
        </w:rPr>
        <w:tab/>
      </w:r>
      <w:r w:rsidR="00B80271">
        <w:rPr>
          <w:lang w:val="en-GB"/>
        </w:rPr>
        <w:t xml:space="preserve"> </w:t>
      </w:r>
      <w:r>
        <w:rPr>
          <w:lang w:val="en-GB"/>
        </w:rPr>
        <w:t>Email: mstander@npa.gov.za</w:t>
      </w:r>
      <w:r w:rsidR="00C33845">
        <w:rPr>
          <w:lang w:val="en-GB"/>
        </w:rPr>
        <w:tab/>
      </w:r>
      <w:r w:rsidR="00C33845">
        <w:rPr>
          <w:lang w:val="en-GB"/>
        </w:rPr>
        <w:tab/>
      </w:r>
      <w:r w:rsidR="00C33845">
        <w:rPr>
          <w:lang w:val="en-GB"/>
        </w:rPr>
        <w:tab/>
      </w:r>
      <w:r w:rsidR="00C33845">
        <w:rPr>
          <w:lang w:val="en-GB"/>
        </w:rPr>
        <w:tab/>
      </w:r>
      <w:r w:rsidR="00C33845">
        <w:rPr>
          <w:lang w:val="en-GB"/>
        </w:rPr>
        <w:tab/>
      </w:r>
    </w:p>
    <w:p w14:paraId="412BB833" w14:textId="77777777" w:rsidR="007C247A" w:rsidRPr="00044B50" w:rsidRDefault="007C247A" w:rsidP="00772E4B">
      <w:pPr>
        <w:jc w:val="both"/>
        <w:rPr>
          <w:lang w:val="en-GB"/>
        </w:rPr>
      </w:pPr>
    </w:p>
    <w:p w14:paraId="2E5260E3" w14:textId="77777777" w:rsidR="00C038B8" w:rsidRPr="00044B50" w:rsidRDefault="00C038B8" w:rsidP="00772E4B">
      <w:pPr>
        <w:tabs>
          <w:tab w:val="left" w:pos="3402"/>
          <w:tab w:val="center" w:pos="4003"/>
        </w:tabs>
        <w:ind w:hanging="142"/>
        <w:jc w:val="both"/>
        <w:rPr>
          <w:lang w:val="en-GB"/>
        </w:rPr>
      </w:pP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A9A55" w14:textId="77777777" w:rsidR="00DE2C8F" w:rsidRDefault="00DE2C8F" w:rsidP="00005691">
      <w:r>
        <w:separator/>
      </w:r>
    </w:p>
  </w:endnote>
  <w:endnote w:type="continuationSeparator" w:id="0">
    <w:p w14:paraId="016E3D68" w14:textId="77777777" w:rsidR="00DE2C8F" w:rsidRDefault="00DE2C8F"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FBE8" w14:textId="77777777" w:rsidR="00DE2C8F" w:rsidRDefault="00DE2C8F" w:rsidP="00005691">
      <w:r>
        <w:separator/>
      </w:r>
    </w:p>
  </w:footnote>
  <w:footnote w:type="continuationSeparator" w:id="0">
    <w:p w14:paraId="0B0DFE4F" w14:textId="77777777" w:rsidR="00DE2C8F" w:rsidRDefault="00DE2C8F" w:rsidP="00005691">
      <w:r>
        <w:continuationSeparator/>
      </w:r>
    </w:p>
  </w:footnote>
  <w:footnote w:id="1">
    <w:p w14:paraId="4B2FCA69" w14:textId="5E55C067" w:rsidR="00CC29E0" w:rsidRPr="0023770D" w:rsidRDefault="00CC29E0" w:rsidP="00714969">
      <w:pPr>
        <w:pStyle w:val="FootnoteText"/>
        <w:spacing w:line="240" w:lineRule="auto"/>
        <w:jc w:val="both"/>
        <w:rPr>
          <w:lang w:val="en-US"/>
        </w:rPr>
      </w:pPr>
      <w:r>
        <w:rPr>
          <w:rStyle w:val="FootnoteReference"/>
        </w:rPr>
        <w:footnoteRef/>
      </w:r>
      <w:r>
        <w:t xml:space="preserve"> </w:t>
      </w:r>
      <w:r>
        <w:rPr>
          <w:i/>
          <w:iCs/>
          <w:lang w:val="en-US"/>
        </w:rPr>
        <w:t>Shabalala &amp; Others v Attorney-General of Transvaal &amp; Another</w:t>
      </w:r>
      <w:r>
        <w:rPr>
          <w:lang w:val="en-US"/>
        </w:rPr>
        <w:t xml:space="preserve"> 1996 (1) SA 725 (CC)</w:t>
      </w:r>
      <w:r w:rsidR="0023770D">
        <w:rPr>
          <w:lang w:val="en-US"/>
        </w:rPr>
        <w:t xml:space="preserve"> (‘</w:t>
      </w:r>
      <w:r w:rsidR="0023770D">
        <w:rPr>
          <w:i/>
          <w:iCs/>
          <w:lang w:val="en-US"/>
        </w:rPr>
        <w:t>Shabalala</w:t>
      </w:r>
      <w:r w:rsidR="0023770D">
        <w:rPr>
          <w:lang w:val="en-US"/>
        </w:rPr>
        <w:t>’).</w:t>
      </w:r>
    </w:p>
  </w:footnote>
  <w:footnote w:id="2">
    <w:p w14:paraId="21727E6E" w14:textId="0B61DCBF" w:rsidR="000409D2" w:rsidRPr="00324CF5" w:rsidRDefault="000409D2" w:rsidP="00714969">
      <w:pPr>
        <w:pStyle w:val="FootnoteText"/>
        <w:spacing w:line="240" w:lineRule="auto"/>
        <w:jc w:val="both"/>
        <w:rPr>
          <w:lang w:val="en-US"/>
        </w:rPr>
      </w:pPr>
      <w:r>
        <w:rPr>
          <w:rStyle w:val="FootnoteReference"/>
        </w:rPr>
        <w:footnoteRef/>
      </w:r>
      <w:r>
        <w:t xml:space="preserve"> </w:t>
      </w:r>
      <w:r>
        <w:rPr>
          <w:i/>
          <w:iCs/>
          <w:lang w:val="en-US"/>
        </w:rPr>
        <w:t>National Director of Public Prosecutions v King</w:t>
      </w:r>
      <w:r>
        <w:rPr>
          <w:lang w:val="en-US"/>
        </w:rPr>
        <w:t xml:space="preserve"> 2010 (2) SACR 146 (SCA)</w:t>
      </w:r>
      <w:r w:rsidR="007728EE">
        <w:rPr>
          <w:lang w:val="en-US"/>
        </w:rPr>
        <w:t xml:space="preserve"> (‘</w:t>
      </w:r>
      <w:r w:rsidR="007728EE">
        <w:rPr>
          <w:i/>
          <w:iCs/>
          <w:lang w:val="en-US"/>
        </w:rPr>
        <w:t>King</w:t>
      </w:r>
      <w:r w:rsidR="007728EE">
        <w:rPr>
          <w:lang w:val="en-US"/>
        </w:rPr>
        <w:t>’)</w:t>
      </w:r>
      <w:r>
        <w:rPr>
          <w:lang w:val="en-US"/>
        </w:rPr>
        <w:t>.</w:t>
      </w:r>
    </w:p>
  </w:footnote>
  <w:footnote w:id="3">
    <w:p w14:paraId="7A2C07C6" w14:textId="1D9D7041" w:rsidR="00270AFF" w:rsidRPr="00270AFF" w:rsidRDefault="00270AFF" w:rsidP="00714969">
      <w:pPr>
        <w:pStyle w:val="FootnoteText"/>
        <w:spacing w:line="240" w:lineRule="auto"/>
        <w:jc w:val="both"/>
        <w:rPr>
          <w:lang w:val="en-US"/>
        </w:rPr>
      </w:pPr>
      <w:r>
        <w:rPr>
          <w:rStyle w:val="FootnoteReference"/>
        </w:rPr>
        <w:footnoteRef/>
      </w:r>
      <w:r>
        <w:t xml:space="preserve"> </w:t>
      </w:r>
      <w:r>
        <w:rPr>
          <w:i/>
          <w:iCs/>
          <w:lang w:val="en-US"/>
        </w:rPr>
        <w:t>Shabalala</w:t>
      </w:r>
      <w:r>
        <w:rPr>
          <w:lang w:val="en-US"/>
        </w:rPr>
        <w:t xml:space="preserve"> above n </w:t>
      </w:r>
      <w:r w:rsidR="008318DC">
        <w:rPr>
          <w:lang w:val="en-US"/>
        </w:rPr>
        <w:t>1</w:t>
      </w:r>
      <w:r>
        <w:rPr>
          <w:lang w:val="en-US"/>
        </w:rPr>
        <w:t xml:space="preserve"> para 72, A3.</w:t>
      </w:r>
    </w:p>
  </w:footnote>
  <w:footnote w:id="4">
    <w:p w14:paraId="4351E3C5" w14:textId="580FEA10" w:rsidR="00455B19" w:rsidRPr="00455B19" w:rsidRDefault="00455B19" w:rsidP="00714969">
      <w:pPr>
        <w:pStyle w:val="FootnoteText"/>
        <w:spacing w:line="240" w:lineRule="auto"/>
        <w:jc w:val="both"/>
        <w:rPr>
          <w:lang w:val="en-US"/>
        </w:rPr>
      </w:pPr>
      <w:r>
        <w:rPr>
          <w:rStyle w:val="FootnoteReference"/>
        </w:rPr>
        <w:footnoteRef/>
      </w:r>
      <w:r>
        <w:t xml:space="preserve"> </w:t>
      </w:r>
      <w:r>
        <w:rPr>
          <w:i/>
          <w:iCs/>
          <w:lang w:val="en-US"/>
        </w:rPr>
        <w:t>Shabalala</w:t>
      </w:r>
      <w:r>
        <w:rPr>
          <w:lang w:val="en-US"/>
        </w:rPr>
        <w:t xml:space="preserve"> above n </w:t>
      </w:r>
      <w:r w:rsidR="008318DC">
        <w:rPr>
          <w:lang w:val="en-US"/>
        </w:rPr>
        <w:t>1</w:t>
      </w:r>
      <w:r>
        <w:rPr>
          <w:lang w:val="en-US"/>
        </w:rPr>
        <w:t xml:space="preserve"> para 72, A4.</w:t>
      </w:r>
      <w:r w:rsidR="00EE1D4D">
        <w:rPr>
          <w:lang w:val="en-US"/>
        </w:rPr>
        <w:t xml:space="preserve"> Again, the prosecution may, in a particular case, be able to justify the denial of such access on the grounds that it is not justified for the purposes of a fair trial, depending on the circumstances.</w:t>
      </w:r>
    </w:p>
  </w:footnote>
  <w:footnote w:id="5">
    <w:p w14:paraId="512F6FF1" w14:textId="51F96E68" w:rsidR="0094670F" w:rsidRPr="0094670F" w:rsidRDefault="0094670F" w:rsidP="00714969">
      <w:pPr>
        <w:pStyle w:val="FootnoteText"/>
        <w:spacing w:line="240" w:lineRule="auto"/>
        <w:jc w:val="both"/>
        <w:rPr>
          <w:lang w:val="en-US"/>
        </w:rPr>
      </w:pPr>
      <w:r>
        <w:rPr>
          <w:rStyle w:val="FootnoteReference"/>
        </w:rPr>
        <w:footnoteRef/>
      </w:r>
      <w:r>
        <w:t xml:space="preserve"> </w:t>
      </w:r>
      <w:r w:rsidR="009D7980">
        <w:rPr>
          <w:i/>
          <w:iCs/>
        </w:rPr>
        <w:t xml:space="preserve">Shabalala </w:t>
      </w:r>
      <w:r w:rsidR="009D7980">
        <w:t xml:space="preserve">above n </w:t>
      </w:r>
      <w:r w:rsidR="008318DC">
        <w:t>1</w:t>
      </w:r>
      <w:r w:rsidR="009D7980">
        <w:t xml:space="preserve"> para 57</w:t>
      </w:r>
      <w:r w:rsidR="00856021">
        <w:t xml:space="preserve">; </w:t>
      </w:r>
      <w:r>
        <w:rPr>
          <w:i/>
          <w:iCs/>
          <w:lang w:val="en-US"/>
        </w:rPr>
        <w:t>King</w:t>
      </w:r>
      <w:r>
        <w:rPr>
          <w:lang w:val="en-US"/>
        </w:rPr>
        <w:t xml:space="preserve"> above n </w:t>
      </w:r>
      <w:r w:rsidR="008318DC">
        <w:rPr>
          <w:lang w:val="en-US"/>
        </w:rPr>
        <w:t>2</w:t>
      </w:r>
      <w:r>
        <w:rPr>
          <w:lang w:val="en-US"/>
        </w:rPr>
        <w:t xml:space="preserve"> at para 1.</w:t>
      </w:r>
    </w:p>
  </w:footnote>
  <w:footnote w:id="6">
    <w:p w14:paraId="56D5C5AC" w14:textId="71C2653B" w:rsidR="00AA6F6D" w:rsidRPr="00AA6F6D" w:rsidRDefault="00AA6F6D" w:rsidP="00714969">
      <w:pPr>
        <w:pStyle w:val="FootnoteText"/>
        <w:spacing w:line="240" w:lineRule="auto"/>
        <w:jc w:val="both"/>
        <w:rPr>
          <w:lang w:val="en-US"/>
        </w:rPr>
      </w:pPr>
      <w:r>
        <w:rPr>
          <w:rStyle w:val="FootnoteReference"/>
        </w:rPr>
        <w:footnoteRef/>
      </w:r>
      <w:r>
        <w:t xml:space="preserve"> </w:t>
      </w:r>
      <w:r>
        <w:rPr>
          <w:lang w:val="en-US"/>
        </w:rPr>
        <w:t>Act 51 of 1977.</w:t>
      </w:r>
    </w:p>
  </w:footnote>
  <w:footnote w:id="7">
    <w:p w14:paraId="3EF9B399" w14:textId="46E494A7" w:rsidR="0059210E" w:rsidRPr="003248EA" w:rsidRDefault="0059210E" w:rsidP="00714969">
      <w:pPr>
        <w:pStyle w:val="FootnoteText"/>
        <w:spacing w:line="240" w:lineRule="auto"/>
        <w:jc w:val="both"/>
        <w:rPr>
          <w:lang w:val="en-US"/>
        </w:rPr>
      </w:pPr>
      <w:r>
        <w:rPr>
          <w:rStyle w:val="FootnoteReference"/>
        </w:rPr>
        <w:footnoteRef/>
      </w:r>
      <w:r>
        <w:t xml:space="preserve"> </w:t>
      </w:r>
      <w:r w:rsidR="009A2E54">
        <w:t xml:space="preserve">The State initially opposed this court hearing the application but abandoned that position prior to argument. </w:t>
      </w:r>
      <w:r>
        <w:rPr>
          <w:lang w:val="en-US"/>
        </w:rPr>
        <w:t xml:space="preserve">See the judgment of Davis AJ in </w:t>
      </w:r>
      <w:r>
        <w:rPr>
          <w:i/>
          <w:iCs/>
          <w:lang w:val="en-US"/>
        </w:rPr>
        <w:t>S v Murphy</w:t>
      </w:r>
      <w:r>
        <w:rPr>
          <w:lang w:val="en-US"/>
        </w:rPr>
        <w:t xml:space="preserve"> [2022] ZAWCHC 278 paras 14-16. Also see, in general, </w:t>
      </w:r>
      <w:r>
        <w:rPr>
          <w:i/>
          <w:iCs/>
          <w:lang w:val="en-US"/>
        </w:rPr>
        <w:t>Van der Merwe v National Director of Public Prosecutions and Others</w:t>
      </w:r>
      <w:r>
        <w:rPr>
          <w:lang w:val="en-US"/>
        </w:rPr>
        <w:t xml:space="preserve"> 2011 (1) SACR 94 (SCA) paras 31, 32. Cf </w:t>
      </w:r>
      <w:r>
        <w:rPr>
          <w:i/>
          <w:iCs/>
          <w:lang w:val="en-US"/>
        </w:rPr>
        <w:t>S v Rowand and Another</w:t>
      </w:r>
      <w:r>
        <w:rPr>
          <w:lang w:val="en-US"/>
        </w:rPr>
        <w:t xml:space="preserve"> 2009 (2) SACR 450 (W) paras 12 and following.</w:t>
      </w:r>
    </w:p>
  </w:footnote>
  <w:footnote w:id="8">
    <w:p w14:paraId="2CBF58A2" w14:textId="46FA51DB" w:rsidR="006B7DFD" w:rsidRPr="006B7DFD" w:rsidRDefault="006B7DFD" w:rsidP="00714969">
      <w:pPr>
        <w:pStyle w:val="FootnoteText"/>
        <w:spacing w:line="240" w:lineRule="auto"/>
        <w:jc w:val="both"/>
        <w:rPr>
          <w:lang w:val="en-US"/>
        </w:rPr>
      </w:pPr>
      <w:r>
        <w:rPr>
          <w:rStyle w:val="FootnoteReference"/>
        </w:rPr>
        <w:footnoteRef/>
      </w:r>
      <w:r>
        <w:t xml:space="preserve"> </w:t>
      </w:r>
      <w:r>
        <w:rPr>
          <w:i/>
          <w:iCs/>
          <w:lang w:val="en-US"/>
        </w:rPr>
        <w:t>Panayiotou v The State and Others</w:t>
      </w:r>
      <w:r>
        <w:rPr>
          <w:lang w:val="en-US"/>
        </w:rPr>
        <w:t xml:space="preserve"> 2017 (1) SACR 354 (ECP) (‘</w:t>
      </w:r>
      <w:r>
        <w:rPr>
          <w:i/>
          <w:iCs/>
          <w:lang w:val="en-US"/>
        </w:rPr>
        <w:t>Panayiotou</w:t>
      </w:r>
      <w:r>
        <w:rPr>
          <w:lang w:val="en-US"/>
        </w:rPr>
        <w:t>’) para 33.</w:t>
      </w:r>
    </w:p>
  </w:footnote>
  <w:footnote w:id="9">
    <w:p w14:paraId="50EAD340" w14:textId="049C67E3" w:rsidR="002945D1" w:rsidRPr="009E0242" w:rsidRDefault="002945D1" w:rsidP="00714969">
      <w:pPr>
        <w:pStyle w:val="FootnoteText"/>
        <w:spacing w:line="240" w:lineRule="auto"/>
        <w:jc w:val="both"/>
        <w:rPr>
          <w:lang w:val="en-US"/>
        </w:rPr>
      </w:pPr>
      <w:r>
        <w:rPr>
          <w:rStyle w:val="FootnoteReference"/>
        </w:rPr>
        <w:footnoteRef/>
      </w:r>
      <w:r>
        <w:t xml:space="preserve"> </w:t>
      </w:r>
      <w:r>
        <w:rPr>
          <w:lang w:val="en-US"/>
        </w:rPr>
        <w:t xml:space="preserve">This is not the first occasion that an application of this nature has been met with this </w:t>
      </w:r>
      <w:r w:rsidR="009E0242">
        <w:rPr>
          <w:lang w:val="en-US"/>
        </w:rPr>
        <w:t xml:space="preserve">pejorative </w:t>
      </w:r>
      <w:r>
        <w:rPr>
          <w:lang w:val="en-US"/>
        </w:rPr>
        <w:t xml:space="preserve">analogy: </w:t>
      </w:r>
      <w:r w:rsidR="009E0242">
        <w:rPr>
          <w:lang w:val="en-US"/>
        </w:rPr>
        <w:t xml:space="preserve">see </w:t>
      </w:r>
      <w:r w:rsidR="009E0242">
        <w:rPr>
          <w:i/>
          <w:iCs/>
          <w:lang w:val="en-US"/>
        </w:rPr>
        <w:t>R v McNeil</w:t>
      </w:r>
      <w:r w:rsidR="009E0242">
        <w:rPr>
          <w:lang w:val="en-US"/>
        </w:rPr>
        <w:t xml:space="preserve"> (2009 SCC 3) para 28.</w:t>
      </w:r>
    </w:p>
  </w:footnote>
  <w:footnote w:id="10">
    <w:p w14:paraId="1BFC1640" w14:textId="42A1FAAC" w:rsidR="00F6398D" w:rsidRPr="00F6398D" w:rsidRDefault="00F6398D" w:rsidP="00714969">
      <w:pPr>
        <w:pStyle w:val="FootnoteText"/>
        <w:spacing w:line="240" w:lineRule="auto"/>
        <w:jc w:val="both"/>
        <w:rPr>
          <w:lang w:val="en-US"/>
        </w:rPr>
      </w:pPr>
      <w:r>
        <w:rPr>
          <w:rStyle w:val="FootnoteReference"/>
        </w:rPr>
        <w:footnoteRef/>
      </w:r>
      <w:r>
        <w:t xml:space="preserve"> </w:t>
      </w:r>
      <w:r w:rsidR="007F05CF">
        <w:rPr>
          <w:i/>
          <w:iCs/>
        </w:rPr>
        <w:t xml:space="preserve">Shabalala </w:t>
      </w:r>
      <w:r w:rsidR="00FF2B48">
        <w:t xml:space="preserve">above n </w:t>
      </w:r>
      <w:r w:rsidR="00C622EB">
        <w:t>1</w:t>
      </w:r>
      <w:r w:rsidR="00FF2B48">
        <w:t xml:space="preserve"> </w:t>
      </w:r>
      <w:r>
        <w:rPr>
          <w:lang w:val="en-US"/>
        </w:rPr>
        <w:t>para</w:t>
      </w:r>
      <w:r w:rsidR="00F461A1">
        <w:rPr>
          <w:lang w:val="en-US"/>
        </w:rPr>
        <w:t>s 29, 36.</w:t>
      </w:r>
    </w:p>
  </w:footnote>
  <w:footnote w:id="11">
    <w:p w14:paraId="6823BC62" w14:textId="2105474D" w:rsidR="003F6F60" w:rsidRPr="003F6F60" w:rsidRDefault="003F6F60" w:rsidP="00714969">
      <w:pPr>
        <w:pStyle w:val="FootnoteText"/>
        <w:spacing w:line="240" w:lineRule="auto"/>
        <w:jc w:val="both"/>
        <w:rPr>
          <w:lang w:val="en-US"/>
        </w:rPr>
      </w:pPr>
      <w:r>
        <w:rPr>
          <w:rStyle w:val="FootnoteReference"/>
        </w:rPr>
        <w:footnoteRef/>
      </w:r>
      <w:r>
        <w:t xml:space="preserve"> </w:t>
      </w:r>
      <w:r w:rsidR="00FF2B48">
        <w:rPr>
          <w:i/>
          <w:iCs/>
          <w:lang w:val="en-US"/>
        </w:rPr>
        <w:t>Shabalala</w:t>
      </w:r>
      <w:r w:rsidR="00FF2B48">
        <w:rPr>
          <w:lang w:val="en-US"/>
        </w:rPr>
        <w:t xml:space="preserve"> above n </w:t>
      </w:r>
      <w:r w:rsidR="00C622EB">
        <w:rPr>
          <w:lang w:val="en-US"/>
        </w:rPr>
        <w:t>1</w:t>
      </w:r>
      <w:r>
        <w:rPr>
          <w:lang w:val="en-US"/>
        </w:rPr>
        <w:t xml:space="preserve"> para</w:t>
      </w:r>
      <w:r w:rsidR="007A4A3B">
        <w:rPr>
          <w:lang w:val="en-US"/>
        </w:rPr>
        <w:t>s</w:t>
      </w:r>
      <w:r>
        <w:rPr>
          <w:lang w:val="en-US"/>
        </w:rPr>
        <w:t xml:space="preserve"> 37</w:t>
      </w:r>
      <w:r w:rsidR="00761BEC">
        <w:rPr>
          <w:lang w:val="en-US"/>
        </w:rPr>
        <w:t>, 52.</w:t>
      </w:r>
    </w:p>
  </w:footnote>
  <w:footnote w:id="12">
    <w:p w14:paraId="0BDE5859" w14:textId="29146968" w:rsidR="00823AF8" w:rsidRPr="00823AF8" w:rsidRDefault="00823AF8" w:rsidP="0071496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Du Toit v The Magistrate and Others</w:t>
      </w:r>
      <w:r>
        <w:rPr>
          <w:lang w:val="en-US"/>
        </w:rPr>
        <w:t xml:space="preserve"> 2016 (2) SACR 112 (SCA) para 9.</w:t>
      </w:r>
    </w:p>
  </w:footnote>
  <w:footnote w:id="13">
    <w:p w14:paraId="69ADB521" w14:textId="20767E4A" w:rsidR="00E36A10" w:rsidRPr="00E36A10" w:rsidRDefault="00E36A10" w:rsidP="00714969">
      <w:pPr>
        <w:pStyle w:val="FootnoteText"/>
        <w:spacing w:line="240" w:lineRule="auto"/>
        <w:jc w:val="both"/>
        <w:rPr>
          <w:lang w:val="en-US"/>
        </w:rPr>
      </w:pPr>
      <w:r>
        <w:rPr>
          <w:rStyle w:val="FootnoteReference"/>
        </w:rPr>
        <w:footnoteRef/>
      </w:r>
      <w:r>
        <w:t xml:space="preserve"> </w:t>
      </w:r>
      <w:r>
        <w:rPr>
          <w:lang w:val="en-US"/>
        </w:rPr>
        <w:t>S 35(3)(</w:t>
      </w:r>
      <w:r>
        <w:rPr>
          <w:i/>
          <w:iCs/>
          <w:lang w:val="en-US"/>
        </w:rPr>
        <w:t>i)</w:t>
      </w:r>
      <w:r>
        <w:rPr>
          <w:lang w:val="en-US"/>
        </w:rPr>
        <w:t xml:space="preserve"> of the Constitution of the Republic of South Africa, 1996 (‘the Constitution’).</w:t>
      </w:r>
    </w:p>
  </w:footnote>
  <w:footnote w:id="14">
    <w:p w14:paraId="6C0F3A3C" w14:textId="05D0F626" w:rsidR="00CA5F63" w:rsidRPr="00CA5F63" w:rsidRDefault="00CA5F63" w:rsidP="00714969">
      <w:pPr>
        <w:pStyle w:val="FootnoteText"/>
        <w:spacing w:line="240" w:lineRule="auto"/>
        <w:jc w:val="both"/>
        <w:rPr>
          <w:lang w:val="en-US"/>
        </w:rPr>
      </w:pPr>
      <w:r>
        <w:rPr>
          <w:rStyle w:val="FootnoteReference"/>
        </w:rPr>
        <w:footnoteRef/>
      </w:r>
      <w:r>
        <w:t xml:space="preserve"> </w:t>
      </w:r>
      <w:r>
        <w:rPr>
          <w:lang w:val="en-US"/>
        </w:rPr>
        <w:t>S 39 (1) of the Constitution.</w:t>
      </w:r>
    </w:p>
  </w:footnote>
  <w:footnote w:id="15">
    <w:p w14:paraId="76EFEC48" w14:textId="0187AA29" w:rsidR="00EA1DB9" w:rsidRPr="00EA1DB9" w:rsidRDefault="00EA1DB9" w:rsidP="00714969">
      <w:pPr>
        <w:pStyle w:val="FootnoteText"/>
        <w:spacing w:line="240" w:lineRule="auto"/>
        <w:jc w:val="both"/>
        <w:rPr>
          <w:lang w:val="en-US"/>
        </w:rPr>
      </w:pPr>
      <w:r>
        <w:rPr>
          <w:rStyle w:val="FootnoteReference"/>
        </w:rPr>
        <w:footnoteRef/>
      </w:r>
      <w:r>
        <w:t xml:space="preserve"> </w:t>
      </w:r>
      <w:r>
        <w:rPr>
          <w:i/>
          <w:iCs/>
          <w:lang w:val="en-US"/>
        </w:rPr>
        <w:t xml:space="preserve">R v Stinchcombe </w:t>
      </w:r>
      <w:r>
        <w:rPr>
          <w:lang w:val="en-US"/>
        </w:rPr>
        <w:t>(1992) 68 CCC (3d) 1 ([1991] 3 SCR 326; [1992] SCC 1; [1992] LRC (Crim) 68; 18 CRR (2d) 210; 8 CR (4 th) 277).</w:t>
      </w:r>
    </w:p>
  </w:footnote>
  <w:footnote w:id="16">
    <w:p w14:paraId="12B9AA34" w14:textId="7AD688AA" w:rsidR="00D736F6" w:rsidRPr="00D736F6" w:rsidRDefault="00D736F6" w:rsidP="00714969">
      <w:pPr>
        <w:pStyle w:val="FootnoteText"/>
        <w:spacing w:line="240" w:lineRule="auto"/>
        <w:jc w:val="both"/>
        <w:rPr>
          <w:lang w:val="en-US"/>
        </w:rPr>
      </w:pPr>
      <w:r>
        <w:rPr>
          <w:rStyle w:val="FootnoteReference"/>
        </w:rPr>
        <w:footnoteRef/>
      </w:r>
      <w:r>
        <w:t xml:space="preserve"> </w:t>
      </w:r>
      <w:r>
        <w:rPr>
          <w:i/>
          <w:iCs/>
          <w:lang w:val="en-US"/>
        </w:rPr>
        <w:t>Du Toit v The Magistrate and Others</w:t>
      </w:r>
      <w:r>
        <w:rPr>
          <w:lang w:val="en-US"/>
        </w:rPr>
        <w:t xml:space="preserve"> 2016 (2) SACR 112 (SCA) para 8.</w:t>
      </w:r>
    </w:p>
  </w:footnote>
  <w:footnote w:id="17">
    <w:p w14:paraId="137531C5" w14:textId="22A2C487" w:rsidR="0075328C" w:rsidRPr="0075328C" w:rsidRDefault="0075328C" w:rsidP="00714969">
      <w:pPr>
        <w:pStyle w:val="FootnoteText"/>
        <w:spacing w:line="240" w:lineRule="auto"/>
        <w:jc w:val="both"/>
        <w:rPr>
          <w:lang w:val="en-US"/>
        </w:rPr>
      </w:pPr>
      <w:r>
        <w:rPr>
          <w:rStyle w:val="FootnoteReference"/>
        </w:rPr>
        <w:footnoteRef/>
      </w:r>
      <w:r>
        <w:t xml:space="preserve"> </w:t>
      </w:r>
      <w:r>
        <w:rPr>
          <w:i/>
          <w:iCs/>
          <w:lang w:val="en-US"/>
        </w:rPr>
        <w:t>Shabalala</w:t>
      </w:r>
      <w:r>
        <w:rPr>
          <w:lang w:val="en-US"/>
        </w:rPr>
        <w:t xml:space="preserve"> above n </w:t>
      </w:r>
      <w:r w:rsidR="00FE71FC">
        <w:rPr>
          <w:lang w:val="en-US"/>
        </w:rPr>
        <w:t xml:space="preserve">1 </w:t>
      </w:r>
      <w:r>
        <w:rPr>
          <w:lang w:val="en-US"/>
        </w:rPr>
        <w:t>para 55</w:t>
      </w:r>
      <w:r>
        <w:rPr>
          <w:i/>
          <w:iCs/>
          <w:lang w:val="en-US"/>
        </w:rPr>
        <w:t>(g)</w:t>
      </w:r>
      <w:r>
        <w:rPr>
          <w:lang w:val="en-US"/>
        </w:rPr>
        <w:t>.</w:t>
      </w:r>
      <w:r w:rsidR="008D1DF2">
        <w:rPr>
          <w:lang w:val="en-US"/>
        </w:rPr>
        <w:t xml:space="preserve"> The concept of a court ‘discretion’ in such matters has been critici</w:t>
      </w:r>
      <w:r w:rsidR="00F95137">
        <w:rPr>
          <w:lang w:val="en-US"/>
        </w:rPr>
        <w:t>s</w:t>
      </w:r>
      <w:r w:rsidR="008D1DF2">
        <w:rPr>
          <w:lang w:val="en-US"/>
        </w:rPr>
        <w:t>ed</w:t>
      </w:r>
      <w:r w:rsidR="00F95137">
        <w:rPr>
          <w:lang w:val="en-US"/>
        </w:rPr>
        <w:t xml:space="preserve"> on the basis that it is rather an application of a legal rule</w:t>
      </w:r>
      <w:r w:rsidR="008D1DF2">
        <w:rPr>
          <w:lang w:val="en-US"/>
        </w:rPr>
        <w:t xml:space="preserve">: see S Terblanche (ed) </w:t>
      </w:r>
      <w:r w:rsidR="008D1DF2">
        <w:rPr>
          <w:i/>
          <w:iCs/>
          <w:lang w:val="en-US"/>
        </w:rPr>
        <w:t>Du Toit: Commentary on the Criminal Procedure Act</w:t>
      </w:r>
      <w:r w:rsidR="008D1DF2">
        <w:rPr>
          <w:lang w:val="en-US"/>
        </w:rPr>
        <w:t xml:space="preserve"> (RS57) (2016)</w:t>
      </w:r>
      <w:r w:rsidR="005E0C30">
        <w:rPr>
          <w:i/>
          <w:iCs/>
          <w:lang w:val="en-US"/>
        </w:rPr>
        <w:t xml:space="preserve"> </w:t>
      </w:r>
      <w:r w:rsidR="008D1DF2">
        <w:rPr>
          <w:lang w:val="en-US"/>
        </w:rPr>
        <w:t xml:space="preserve">ch23-p42R-6. </w:t>
      </w:r>
    </w:p>
  </w:footnote>
  <w:footnote w:id="18">
    <w:p w14:paraId="06F71461" w14:textId="7401C1EE" w:rsidR="00D30706" w:rsidRPr="00A679C2" w:rsidRDefault="00D30706" w:rsidP="00714969">
      <w:pPr>
        <w:pStyle w:val="FootnoteText"/>
        <w:spacing w:line="240" w:lineRule="auto"/>
        <w:jc w:val="both"/>
        <w:rPr>
          <w:lang w:val="en-US"/>
        </w:rPr>
      </w:pPr>
      <w:r>
        <w:rPr>
          <w:rStyle w:val="FootnoteReference"/>
        </w:rPr>
        <w:footnoteRef/>
      </w:r>
      <w:r>
        <w:t xml:space="preserve"> </w:t>
      </w:r>
      <w:r>
        <w:rPr>
          <w:i/>
          <w:iCs/>
          <w:lang w:val="en-US"/>
        </w:rPr>
        <w:t>Shabalala</w:t>
      </w:r>
      <w:r>
        <w:rPr>
          <w:lang w:val="en-US"/>
        </w:rPr>
        <w:t xml:space="preserve"> above n </w:t>
      </w:r>
      <w:r w:rsidR="00FE71FC">
        <w:rPr>
          <w:lang w:val="en-US"/>
        </w:rPr>
        <w:t>1</w:t>
      </w:r>
      <w:r>
        <w:rPr>
          <w:lang w:val="en-US"/>
        </w:rPr>
        <w:t xml:space="preserve"> para 46.</w:t>
      </w:r>
      <w:r w:rsidR="00A679C2">
        <w:rPr>
          <w:lang w:val="en-US"/>
        </w:rPr>
        <w:t xml:space="preserve"> </w:t>
      </w:r>
      <w:r w:rsidR="00696DE5">
        <w:rPr>
          <w:lang w:val="en-US"/>
        </w:rPr>
        <w:t>On the relationship between the prosecution’s duty to disclose and the enhancement of a legal culture of accountability and transparency,</w:t>
      </w:r>
      <w:r w:rsidR="00A679C2">
        <w:rPr>
          <w:lang w:val="en-US"/>
        </w:rPr>
        <w:t xml:space="preserve"> see M Watney ‘The prosecution’s duty to disclose: More reason to litigate?’ (2012) </w:t>
      </w:r>
      <w:r w:rsidR="00A679C2">
        <w:rPr>
          <w:i/>
          <w:iCs/>
          <w:lang w:val="en-US"/>
        </w:rPr>
        <w:t>TSAR</w:t>
      </w:r>
      <w:r w:rsidR="00A679C2">
        <w:rPr>
          <w:lang w:val="en-US"/>
        </w:rPr>
        <w:t xml:space="preserve"> 320 at 330.</w:t>
      </w:r>
    </w:p>
  </w:footnote>
  <w:footnote w:id="19">
    <w:p w14:paraId="3C98E5E3" w14:textId="0097DC77" w:rsidR="00CA4681" w:rsidRPr="00631F61" w:rsidRDefault="00CA4681" w:rsidP="00714969">
      <w:pPr>
        <w:pStyle w:val="FootnoteText"/>
        <w:spacing w:line="240" w:lineRule="auto"/>
        <w:jc w:val="both"/>
        <w:rPr>
          <w:lang w:val="en-US"/>
        </w:rPr>
      </w:pPr>
      <w:r>
        <w:rPr>
          <w:rStyle w:val="FootnoteReference"/>
        </w:rPr>
        <w:footnoteRef/>
      </w:r>
      <w:r>
        <w:t xml:space="preserve"> </w:t>
      </w:r>
      <w:r>
        <w:rPr>
          <w:i/>
          <w:iCs/>
          <w:lang w:val="en-US"/>
        </w:rPr>
        <w:t>King</w:t>
      </w:r>
      <w:r>
        <w:rPr>
          <w:lang w:val="en-US"/>
        </w:rPr>
        <w:t xml:space="preserve"> above n </w:t>
      </w:r>
      <w:r w:rsidR="00FE71FC">
        <w:rPr>
          <w:lang w:val="en-US"/>
        </w:rPr>
        <w:t>2</w:t>
      </w:r>
      <w:r>
        <w:rPr>
          <w:lang w:val="en-US"/>
        </w:rPr>
        <w:t xml:space="preserve"> para 5</w:t>
      </w:r>
      <w:r w:rsidR="00631F61">
        <w:rPr>
          <w:lang w:val="en-US"/>
        </w:rPr>
        <w:t xml:space="preserve">; Watney above n </w:t>
      </w:r>
      <w:r w:rsidR="00FE71FC">
        <w:rPr>
          <w:lang w:val="en-US"/>
        </w:rPr>
        <w:t>18</w:t>
      </w:r>
      <w:r w:rsidR="00631F61">
        <w:rPr>
          <w:lang w:val="en-US"/>
        </w:rPr>
        <w:t xml:space="preserve"> at 330.</w:t>
      </w:r>
    </w:p>
  </w:footnote>
  <w:footnote w:id="20">
    <w:p w14:paraId="2C529EFC" w14:textId="3E1012F2" w:rsidR="00BD36A4" w:rsidRPr="00856021" w:rsidRDefault="00BD36A4" w:rsidP="00714969">
      <w:pPr>
        <w:pStyle w:val="FootnoteText"/>
        <w:spacing w:line="240" w:lineRule="auto"/>
        <w:jc w:val="both"/>
        <w:rPr>
          <w:lang w:val="en-US"/>
        </w:rPr>
      </w:pPr>
      <w:r>
        <w:rPr>
          <w:rStyle w:val="FootnoteReference"/>
        </w:rPr>
        <w:footnoteRef/>
      </w:r>
      <w:r>
        <w:t xml:space="preserve"> </w:t>
      </w:r>
      <w:r>
        <w:rPr>
          <w:i/>
          <w:iCs/>
          <w:lang w:val="en-US"/>
        </w:rPr>
        <w:t>King</w:t>
      </w:r>
      <w:r>
        <w:rPr>
          <w:lang w:val="en-US"/>
        </w:rPr>
        <w:t xml:space="preserve"> above n </w:t>
      </w:r>
      <w:r w:rsidR="00FE71FC">
        <w:rPr>
          <w:lang w:val="en-US"/>
        </w:rPr>
        <w:t>2</w:t>
      </w:r>
      <w:r>
        <w:rPr>
          <w:lang w:val="en-US"/>
        </w:rPr>
        <w:t xml:space="preserve"> paras 3, 54. See </w:t>
      </w:r>
      <w:r w:rsidR="000B03CB">
        <w:rPr>
          <w:i/>
          <w:iCs/>
          <w:lang w:val="en-US"/>
        </w:rPr>
        <w:t xml:space="preserve">Panayiotou </w:t>
      </w:r>
      <w:r w:rsidR="000B03CB">
        <w:rPr>
          <w:lang w:val="en-US"/>
        </w:rPr>
        <w:t xml:space="preserve">above n </w:t>
      </w:r>
      <w:r w:rsidR="00FE71FC">
        <w:rPr>
          <w:lang w:val="en-US"/>
        </w:rPr>
        <w:t>8</w:t>
      </w:r>
      <w:r w:rsidR="000B03CB">
        <w:rPr>
          <w:lang w:val="en-US"/>
        </w:rPr>
        <w:t xml:space="preserve"> </w:t>
      </w:r>
      <w:r>
        <w:rPr>
          <w:lang w:val="en-US"/>
        </w:rPr>
        <w:t>para 24.</w:t>
      </w:r>
    </w:p>
  </w:footnote>
  <w:footnote w:id="21">
    <w:p w14:paraId="0745D319" w14:textId="491E0C7B" w:rsidR="003E33E9" w:rsidRPr="00A854E2" w:rsidRDefault="003E33E9" w:rsidP="00714969">
      <w:pPr>
        <w:pStyle w:val="FootnoteText"/>
        <w:spacing w:line="240" w:lineRule="auto"/>
        <w:jc w:val="both"/>
        <w:rPr>
          <w:lang w:val="en-US"/>
        </w:rPr>
      </w:pPr>
      <w:r>
        <w:rPr>
          <w:rStyle w:val="FootnoteReference"/>
        </w:rPr>
        <w:footnoteRef/>
      </w:r>
      <w:r>
        <w:t xml:space="preserve"> </w:t>
      </w:r>
      <w:r>
        <w:rPr>
          <w:i/>
          <w:iCs/>
          <w:lang w:val="en-US"/>
        </w:rPr>
        <w:t xml:space="preserve">Panayiotou </w:t>
      </w:r>
      <w:r w:rsidR="00C12127">
        <w:rPr>
          <w:lang w:val="en-US"/>
        </w:rPr>
        <w:t xml:space="preserve">above n </w:t>
      </w:r>
      <w:r w:rsidR="00FE71FC">
        <w:rPr>
          <w:lang w:val="en-US"/>
        </w:rPr>
        <w:t>8</w:t>
      </w:r>
      <w:r>
        <w:rPr>
          <w:lang w:val="en-US"/>
        </w:rPr>
        <w:t xml:space="preserve"> paras 18 – 35.</w:t>
      </w:r>
    </w:p>
  </w:footnote>
  <w:footnote w:id="22">
    <w:p w14:paraId="70A50675" w14:textId="6F813552" w:rsidR="000600EF" w:rsidRPr="00355370" w:rsidRDefault="000600EF" w:rsidP="00714969">
      <w:pPr>
        <w:pStyle w:val="FootnoteText"/>
        <w:spacing w:line="240" w:lineRule="auto"/>
        <w:jc w:val="both"/>
        <w:rPr>
          <w:lang w:val="en-US"/>
        </w:rPr>
      </w:pPr>
      <w:r>
        <w:rPr>
          <w:rStyle w:val="FootnoteReference"/>
        </w:rPr>
        <w:footnoteRef/>
      </w:r>
      <w:r>
        <w:t xml:space="preserve"> </w:t>
      </w:r>
      <w:r>
        <w:rPr>
          <w:i/>
          <w:iCs/>
          <w:lang w:val="en-US"/>
        </w:rPr>
        <w:t>Panayiotou</w:t>
      </w:r>
      <w:r>
        <w:rPr>
          <w:lang w:val="en-US"/>
        </w:rPr>
        <w:t xml:space="preserve"> above n </w:t>
      </w:r>
      <w:r w:rsidR="00FE71FC">
        <w:rPr>
          <w:lang w:val="en-US"/>
        </w:rPr>
        <w:t>8</w:t>
      </w:r>
      <w:r>
        <w:rPr>
          <w:lang w:val="en-US"/>
        </w:rPr>
        <w:t xml:space="preserve"> paras 32, 34.</w:t>
      </w:r>
      <w:r w:rsidR="005E0C30">
        <w:rPr>
          <w:lang w:val="en-US"/>
        </w:rPr>
        <w:t xml:space="preserve"> As to the onus of proof in constitutional matters in general, see </w:t>
      </w:r>
      <w:r w:rsidR="00FE71FC">
        <w:rPr>
          <w:lang w:val="en-US"/>
        </w:rPr>
        <w:t>Terblanche</w:t>
      </w:r>
      <w:r w:rsidR="00355370">
        <w:rPr>
          <w:i/>
          <w:iCs/>
          <w:lang w:val="en-US"/>
        </w:rPr>
        <w:t xml:space="preserve"> </w:t>
      </w:r>
      <w:r w:rsidR="006366F3">
        <w:rPr>
          <w:lang w:val="en-US"/>
        </w:rPr>
        <w:t xml:space="preserve">above n 17 </w:t>
      </w:r>
      <w:r w:rsidR="00355370">
        <w:rPr>
          <w:lang w:val="en-US"/>
        </w:rPr>
        <w:t>ch23-p42R-6.</w:t>
      </w:r>
    </w:p>
  </w:footnote>
  <w:footnote w:id="23">
    <w:p w14:paraId="04BDA4E6" w14:textId="220E945A" w:rsidR="000D25A2" w:rsidRPr="00965B07" w:rsidRDefault="000D25A2" w:rsidP="00714969">
      <w:pPr>
        <w:pStyle w:val="FootnoteText"/>
        <w:spacing w:line="240" w:lineRule="auto"/>
        <w:jc w:val="both"/>
        <w:rPr>
          <w:lang w:val="en-US"/>
        </w:rPr>
      </w:pPr>
      <w:r>
        <w:rPr>
          <w:rStyle w:val="FootnoteReference"/>
        </w:rPr>
        <w:footnoteRef/>
      </w:r>
      <w:r>
        <w:t xml:space="preserve"> </w:t>
      </w:r>
      <w:r>
        <w:rPr>
          <w:i/>
          <w:iCs/>
          <w:lang w:val="en-US"/>
        </w:rPr>
        <w:t>King</w:t>
      </w:r>
      <w:r>
        <w:rPr>
          <w:lang w:val="en-US"/>
        </w:rPr>
        <w:t xml:space="preserve"> above n </w:t>
      </w:r>
      <w:r w:rsidR="00272FB6">
        <w:rPr>
          <w:lang w:val="en-US"/>
        </w:rPr>
        <w:t>2</w:t>
      </w:r>
      <w:r>
        <w:rPr>
          <w:lang w:val="en-US"/>
        </w:rPr>
        <w:t xml:space="preserve"> para 2.</w:t>
      </w:r>
    </w:p>
  </w:footnote>
  <w:footnote w:id="24">
    <w:p w14:paraId="42C78878" w14:textId="459D9470" w:rsidR="00AD4993" w:rsidRPr="00035D8C" w:rsidRDefault="00AD4993" w:rsidP="00714969">
      <w:pPr>
        <w:pStyle w:val="FootnoteText"/>
        <w:spacing w:line="240" w:lineRule="auto"/>
        <w:jc w:val="both"/>
        <w:rPr>
          <w:lang w:val="en-US"/>
        </w:rPr>
      </w:pPr>
      <w:r>
        <w:rPr>
          <w:rStyle w:val="FootnoteReference"/>
        </w:rPr>
        <w:footnoteRef/>
      </w:r>
      <w:r>
        <w:t xml:space="preserve"> </w:t>
      </w:r>
      <w:r>
        <w:rPr>
          <w:i/>
          <w:iCs/>
          <w:lang w:val="en-US"/>
        </w:rPr>
        <w:t>King</w:t>
      </w:r>
      <w:r>
        <w:rPr>
          <w:lang w:val="en-US"/>
        </w:rPr>
        <w:t xml:space="preserve"> above n </w:t>
      </w:r>
      <w:r w:rsidR="00272FB6">
        <w:rPr>
          <w:lang w:val="en-US"/>
        </w:rPr>
        <w:t>2</w:t>
      </w:r>
      <w:r>
        <w:rPr>
          <w:lang w:val="en-US"/>
        </w:rPr>
        <w:t xml:space="preserve"> para 32.</w:t>
      </w:r>
      <w:r w:rsidR="00AE653F">
        <w:rPr>
          <w:lang w:val="en-US"/>
        </w:rPr>
        <w:t xml:space="preserve"> </w:t>
      </w:r>
      <w:r w:rsidR="00E732BB">
        <w:rPr>
          <w:lang w:val="en-US"/>
        </w:rPr>
        <w:t xml:space="preserve">Cf </w:t>
      </w:r>
      <w:r w:rsidR="00AE653F">
        <w:rPr>
          <w:i/>
          <w:iCs/>
          <w:lang w:val="en-US"/>
        </w:rPr>
        <w:t>S v Rowand and Another</w:t>
      </w:r>
      <w:r w:rsidR="00AE653F">
        <w:rPr>
          <w:lang w:val="en-US"/>
        </w:rPr>
        <w:t xml:space="preserve"> 2009 (2) SACR 450 (W) para 17</w:t>
      </w:r>
      <w:r w:rsidR="00E732BB">
        <w:rPr>
          <w:lang w:val="en-US"/>
        </w:rPr>
        <w:t xml:space="preserve">, holding </w:t>
      </w:r>
      <w:r w:rsidR="00AE653F">
        <w:rPr>
          <w:lang w:val="en-US"/>
        </w:rPr>
        <w:t>that the State cannot decide what is relevant and what not, as far as the defence case is concerned.</w:t>
      </w:r>
      <w:r w:rsidR="00380C05">
        <w:rPr>
          <w:lang w:val="en-US"/>
        </w:rPr>
        <w:t xml:space="preserve"> </w:t>
      </w:r>
      <w:r w:rsidR="00035D8C">
        <w:rPr>
          <w:lang w:val="en-US"/>
        </w:rPr>
        <w:t xml:space="preserve">For </w:t>
      </w:r>
      <w:r w:rsidR="003033DF">
        <w:rPr>
          <w:lang w:val="en-US"/>
        </w:rPr>
        <w:t>academic</w:t>
      </w:r>
      <w:r w:rsidR="00035D8C">
        <w:rPr>
          <w:lang w:val="en-US"/>
        </w:rPr>
        <w:t xml:space="preserve"> analysis </w:t>
      </w:r>
      <w:r w:rsidR="00BC150E">
        <w:rPr>
          <w:lang w:val="en-US"/>
        </w:rPr>
        <w:t>in support of</w:t>
      </w:r>
      <w:r w:rsidR="00035D8C">
        <w:rPr>
          <w:lang w:val="en-US"/>
        </w:rPr>
        <w:t xml:space="preserve"> this decision, see N Whitear-Nel ‘The right of an accused to access to evidence in the possession of the state before trial: A discussion of </w:t>
      </w:r>
      <w:r w:rsidR="00035D8C">
        <w:rPr>
          <w:i/>
          <w:iCs/>
          <w:lang w:val="en-US"/>
        </w:rPr>
        <w:t>S v Rowand</w:t>
      </w:r>
      <w:r w:rsidR="00035D8C">
        <w:rPr>
          <w:lang w:val="en-US"/>
        </w:rPr>
        <w:t xml:space="preserve"> 2009 (2) SACR 450 (W)’ (2010) </w:t>
      </w:r>
      <w:r w:rsidR="00035D8C">
        <w:rPr>
          <w:i/>
          <w:iCs/>
          <w:lang w:val="en-US"/>
        </w:rPr>
        <w:t>SACJ</w:t>
      </w:r>
      <w:r w:rsidR="00035D8C">
        <w:rPr>
          <w:lang w:val="en-US"/>
        </w:rPr>
        <w:t xml:space="preserve"> 263</w:t>
      </w:r>
      <w:r w:rsidR="00070049">
        <w:rPr>
          <w:lang w:val="en-US"/>
        </w:rPr>
        <w:t xml:space="preserve"> at 264</w:t>
      </w:r>
      <w:r w:rsidR="007E6D8F">
        <w:rPr>
          <w:lang w:val="en-US"/>
        </w:rPr>
        <w:t>, 267</w:t>
      </w:r>
      <w:r w:rsidR="00070049">
        <w:rPr>
          <w:lang w:val="en-US"/>
        </w:rPr>
        <w:t>.</w:t>
      </w:r>
    </w:p>
  </w:footnote>
  <w:footnote w:id="25">
    <w:p w14:paraId="7A6BCFA9" w14:textId="46078E86" w:rsidR="000D25A2" w:rsidRPr="00405604" w:rsidRDefault="000D25A2" w:rsidP="00714969">
      <w:pPr>
        <w:pStyle w:val="FootnoteText"/>
        <w:spacing w:line="240" w:lineRule="auto"/>
        <w:jc w:val="both"/>
        <w:rPr>
          <w:lang w:val="en-US"/>
        </w:rPr>
      </w:pPr>
      <w:r>
        <w:rPr>
          <w:rStyle w:val="FootnoteReference"/>
        </w:rPr>
        <w:footnoteRef/>
      </w:r>
      <w:r>
        <w:t xml:space="preserve"> </w:t>
      </w:r>
      <w:r>
        <w:rPr>
          <w:i/>
          <w:iCs/>
          <w:lang w:val="en-US"/>
        </w:rPr>
        <w:t xml:space="preserve">King </w:t>
      </w:r>
      <w:r>
        <w:rPr>
          <w:lang w:val="en-US"/>
        </w:rPr>
        <w:t xml:space="preserve">above n </w:t>
      </w:r>
      <w:r w:rsidR="000377C2">
        <w:rPr>
          <w:lang w:val="en-US"/>
        </w:rPr>
        <w:t>2</w:t>
      </w:r>
      <w:r>
        <w:rPr>
          <w:lang w:val="en-US"/>
        </w:rPr>
        <w:t xml:space="preserve"> para 30.</w:t>
      </w:r>
    </w:p>
  </w:footnote>
  <w:footnote w:id="26">
    <w:p w14:paraId="24F95053" w14:textId="197C64BC" w:rsidR="009C46F5" w:rsidRPr="00C02B2A" w:rsidRDefault="009C46F5" w:rsidP="00714969">
      <w:pPr>
        <w:pStyle w:val="FootnoteText"/>
        <w:spacing w:line="240" w:lineRule="auto"/>
        <w:jc w:val="both"/>
        <w:rPr>
          <w:lang w:val="en-US"/>
        </w:rPr>
      </w:pPr>
      <w:r>
        <w:rPr>
          <w:rStyle w:val="FootnoteReference"/>
        </w:rPr>
        <w:footnoteRef/>
      </w:r>
      <w:r>
        <w:t xml:space="preserve"> </w:t>
      </w:r>
      <w:r>
        <w:rPr>
          <w:i/>
          <w:iCs/>
          <w:lang w:val="en-US"/>
        </w:rPr>
        <w:t>Shabalala</w:t>
      </w:r>
      <w:r>
        <w:rPr>
          <w:lang w:val="en-US"/>
        </w:rPr>
        <w:t xml:space="preserve"> above n </w:t>
      </w:r>
      <w:r w:rsidR="000377C2">
        <w:rPr>
          <w:lang w:val="en-US"/>
        </w:rPr>
        <w:t>1</w:t>
      </w:r>
      <w:r>
        <w:rPr>
          <w:lang w:val="en-US"/>
        </w:rPr>
        <w:t xml:space="preserve"> para 55</w:t>
      </w:r>
      <w:r>
        <w:rPr>
          <w:i/>
          <w:iCs/>
          <w:lang w:val="en-US"/>
        </w:rPr>
        <w:t>(d)</w:t>
      </w:r>
      <w:r w:rsidR="00C02B2A">
        <w:rPr>
          <w:lang w:val="en-US"/>
        </w:rPr>
        <w:t xml:space="preserve"> and </w:t>
      </w:r>
      <w:r w:rsidR="00C02B2A">
        <w:rPr>
          <w:i/>
          <w:iCs/>
          <w:lang w:val="en-US"/>
        </w:rPr>
        <w:t>(e)</w:t>
      </w:r>
      <w:r w:rsidR="00C02B2A">
        <w:rPr>
          <w:lang w:val="en-US"/>
        </w:rPr>
        <w:t>.</w:t>
      </w:r>
      <w:r w:rsidR="009F2862">
        <w:rPr>
          <w:lang w:val="en-US"/>
        </w:rPr>
        <w:t xml:space="preserve"> Also see </w:t>
      </w:r>
      <w:r w:rsidR="009F2862">
        <w:rPr>
          <w:i/>
          <w:iCs/>
          <w:lang w:val="en-US"/>
        </w:rPr>
        <w:t>S v Rowand and Another</w:t>
      </w:r>
      <w:r w:rsidR="009F2862">
        <w:rPr>
          <w:lang w:val="en-US"/>
        </w:rPr>
        <w:t xml:space="preserve"> </w:t>
      </w:r>
      <w:r w:rsidR="00380C05">
        <w:rPr>
          <w:lang w:val="en-US"/>
        </w:rPr>
        <w:t xml:space="preserve">above n </w:t>
      </w:r>
      <w:r w:rsidR="000377C2">
        <w:rPr>
          <w:lang w:val="en-US"/>
        </w:rPr>
        <w:t>24</w:t>
      </w:r>
      <w:r w:rsidR="00380C05">
        <w:rPr>
          <w:lang w:val="en-US"/>
        </w:rPr>
        <w:t xml:space="preserve"> </w:t>
      </w:r>
      <w:r w:rsidR="009F2862">
        <w:rPr>
          <w:lang w:val="en-US"/>
        </w:rPr>
        <w:t>para 14.</w:t>
      </w:r>
    </w:p>
  </w:footnote>
  <w:footnote w:id="27">
    <w:p w14:paraId="2B92585F" w14:textId="1E0AB27D" w:rsidR="00B630C2" w:rsidRPr="00A44AC5" w:rsidRDefault="00B630C2" w:rsidP="00714969">
      <w:pPr>
        <w:pStyle w:val="FootnoteText"/>
        <w:spacing w:line="240" w:lineRule="auto"/>
        <w:jc w:val="both"/>
        <w:rPr>
          <w:i/>
          <w:iCs/>
          <w:lang w:val="en-US"/>
        </w:rPr>
      </w:pPr>
      <w:r>
        <w:rPr>
          <w:rStyle w:val="FootnoteReference"/>
        </w:rPr>
        <w:footnoteRef/>
      </w:r>
      <w:r>
        <w:t xml:space="preserve"> </w:t>
      </w:r>
      <w:r>
        <w:rPr>
          <w:lang w:val="en-US"/>
        </w:rPr>
        <w:t xml:space="preserve">See </w:t>
      </w:r>
      <w:r>
        <w:rPr>
          <w:i/>
          <w:iCs/>
          <w:lang w:val="en-US"/>
        </w:rPr>
        <w:t>S v Crossberg</w:t>
      </w:r>
      <w:r>
        <w:rPr>
          <w:lang w:val="en-US"/>
        </w:rPr>
        <w:t xml:space="preserve"> 2008 (2) SACR 317 (SCA) para 7</w:t>
      </w:r>
      <w:r w:rsidR="005E73DF">
        <w:rPr>
          <w:lang w:val="en-US"/>
        </w:rPr>
        <w:t>4</w:t>
      </w:r>
      <w:r w:rsidR="00A44AC5">
        <w:rPr>
          <w:lang w:val="en-US"/>
        </w:rPr>
        <w:t xml:space="preserve">. The case also provides an illustration of the dangers of conviction in circumstances there are </w:t>
      </w:r>
      <w:r w:rsidR="002A3799">
        <w:rPr>
          <w:lang w:val="en-US"/>
        </w:rPr>
        <w:t>investigatory</w:t>
      </w:r>
      <w:r w:rsidR="00A44AC5">
        <w:rPr>
          <w:lang w:val="en-US"/>
        </w:rPr>
        <w:t xml:space="preserve"> irregularities.</w:t>
      </w:r>
    </w:p>
  </w:footnote>
  <w:footnote w:id="28">
    <w:p w14:paraId="61814E0D" w14:textId="2FC3863F" w:rsidR="00502D98" w:rsidRPr="00237F3F" w:rsidRDefault="00502D98" w:rsidP="00502D98">
      <w:pPr>
        <w:pStyle w:val="FootnoteText"/>
        <w:spacing w:line="240" w:lineRule="auto"/>
        <w:jc w:val="both"/>
        <w:rPr>
          <w:lang w:val="en-US"/>
        </w:rPr>
      </w:pPr>
      <w:r>
        <w:rPr>
          <w:rStyle w:val="FootnoteReference"/>
        </w:rPr>
        <w:footnoteRef/>
      </w:r>
      <w:r>
        <w:t xml:space="preserve"> </w:t>
      </w:r>
      <w:r w:rsidR="00276344">
        <w:rPr>
          <w:lang w:val="en-US"/>
        </w:rPr>
        <w:t>Terblanche</w:t>
      </w:r>
      <w:r>
        <w:rPr>
          <w:lang w:val="en-US"/>
        </w:rPr>
        <w:t xml:space="preserve"> above n </w:t>
      </w:r>
      <w:r w:rsidR="00C10315">
        <w:rPr>
          <w:lang w:val="en-US"/>
        </w:rPr>
        <w:t>17</w:t>
      </w:r>
      <w:r>
        <w:rPr>
          <w:lang w:val="en-US"/>
        </w:rPr>
        <w:t xml:space="preserve"> ch23-p42R-5.</w:t>
      </w:r>
    </w:p>
  </w:footnote>
  <w:footnote w:id="29">
    <w:p w14:paraId="26306B9F" w14:textId="51A21245" w:rsidR="008B0049" w:rsidRPr="00804DE4" w:rsidRDefault="008B0049" w:rsidP="008B0049">
      <w:pPr>
        <w:pStyle w:val="FootnoteText"/>
        <w:spacing w:line="240" w:lineRule="auto"/>
        <w:jc w:val="both"/>
        <w:rPr>
          <w:lang w:val="en-US"/>
        </w:rPr>
      </w:pPr>
      <w:r>
        <w:rPr>
          <w:rStyle w:val="FootnoteReference"/>
        </w:rPr>
        <w:footnoteRef/>
      </w:r>
      <w:r>
        <w:t xml:space="preserve"> </w:t>
      </w:r>
      <w:r>
        <w:rPr>
          <w:i/>
          <w:iCs/>
          <w:lang w:val="en-US"/>
        </w:rPr>
        <w:t>Shabalala</w:t>
      </w:r>
      <w:r>
        <w:rPr>
          <w:lang w:val="en-US"/>
        </w:rPr>
        <w:t xml:space="preserve"> above n </w:t>
      </w:r>
      <w:r w:rsidR="00104383">
        <w:rPr>
          <w:lang w:val="en-US"/>
        </w:rPr>
        <w:t>1</w:t>
      </w:r>
      <w:r>
        <w:rPr>
          <w:lang w:val="en-US"/>
        </w:rPr>
        <w:t xml:space="preserve"> paras 57, 48.</w:t>
      </w:r>
      <w:r w:rsidR="00804DE4">
        <w:rPr>
          <w:lang w:val="en-US"/>
        </w:rPr>
        <w:t xml:space="preserve"> See RP Mosteller ‘Exculpatory evidence, ethics and the road to disbarment of Mike Nifong: The critical importance of full open-file discovery’ (Winter 2008) 15 </w:t>
      </w:r>
      <w:r w:rsidR="00804DE4">
        <w:rPr>
          <w:i/>
          <w:iCs/>
          <w:lang w:val="en-US"/>
        </w:rPr>
        <w:t>George Mason Law Review</w:t>
      </w:r>
      <w:r w:rsidR="00804DE4">
        <w:rPr>
          <w:lang w:val="en-US"/>
        </w:rPr>
        <w:t xml:space="preserve"> 257 at 318 as cited in Whittear-Nel above n </w:t>
      </w:r>
      <w:r w:rsidR="008D15BE">
        <w:rPr>
          <w:lang w:val="en-US"/>
        </w:rPr>
        <w:t>24</w:t>
      </w:r>
      <w:r w:rsidR="00804DE4">
        <w:rPr>
          <w:lang w:val="en-US"/>
        </w:rPr>
        <w:t xml:space="preserve"> at 268.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6EB2BC26"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1D0B">
          <w:rPr>
            <w:rStyle w:val="PageNumber"/>
            <w:noProof/>
          </w:rPr>
          <w:t>17</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16E0"/>
    <w:multiLevelType w:val="hybridMultilevel"/>
    <w:tmpl w:val="1D3CDFF4"/>
    <w:lvl w:ilvl="0" w:tplc="115E99B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46BAF"/>
    <w:multiLevelType w:val="hybridMultilevel"/>
    <w:tmpl w:val="537E8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9343A"/>
    <w:multiLevelType w:val="hybridMultilevel"/>
    <w:tmpl w:val="E7FC475A"/>
    <w:lvl w:ilvl="0" w:tplc="C0948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794CDA"/>
    <w:multiLevelType w:val="hybridMultilevel"/>
    <w:tmpl w:val="82AC7AC0"/>
    <w:lvl w:ilvl="0" w:tplc="7D6E4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C5800"/>
    <w:multiLevelType w:val="hybridMultilevel"/>
    <w:tmpl w:val="F7307FD8"/>
    <w:lvl w:ilvl="0" w:tplc="454831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2"/>
  </w:num>
  <w:num w:numId="6">
    <w:abstractNumId w:val="7"/>
  </w:num>
  <w:num w:numId="7">
    <w:abstractNumId w:val="15"/>
  </w:num>
  <w:num w:numId="8">
    <w:abstractNumId w:val="1"/>
  </w:num>
  <w:num w:numId="9">
    <w:abstractNumId w:val="6"/>
  </w:num>
  <w:num w:numId="10">
    <w:abstractNumId w:val="8"/>
  </w:num>
  <w:num w:numId="11">
    <w:abstractNumId w:val="14"/>
  </w:num>
  <w:num w:numId="12">
    <w:abstractNumId w:val="13"/>
  </w:num>
  <w:num w:numId="13">
    <w:abstractNumId w:val="11"/>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261E"/>
    <w:rsid w:val="000043E1"/>
    <w:rsid w:val="00004E1E"/>
    <w:rsid w:val="00005691"/>
    <w:rsid w:val="00005ABB"/>
    <w:rsid w:val="00005BC2"/>
    <w:rsid w:val="0000642E"/>
    <w:rsid w:val="00006EF3"/>
    <w:rsid w:val="00007087"/>
    <w:rsid w:val="00007904"/>
    <w:rsid w:val="000101B2"/>
    <w:rsid w:val="000109B4"/>
    <w:rsid w:val="00012271"/>
    <w:rsid w:val="00012A2F"/>
    <w:rsid w:val="00014437"/>
    <w:rsid w:val="00014770"/>
    <w:rsid w:val="00016FDA"/>
    <w:rsid w:val="00020F2E"/>
    <w:rsid w:val="00021DEA"/>
    <w:rsid w:val="000220C3"/>
    <w:rsid w:val="00022804"/>
    <w:rsid w:val="000250A6"/>
    <w:rsid w:val="00027501"/>
    <w:rsid w:val="00027DA3"/>
    <w:rsid w:val="00030A25"/>
    <w:rsid w:val="00031D9B"/>
    <w:rsid w:val="00031DA1"/>
    <w:rsid w:val="000323B0"/>
    <w:rsid w:val="000341AF"/>
    <w:rsid w:val="00034B32"/>
    <w:rsid w:val="0003553E"/>
    <w:rsid w:val="00035D8C"/>
    <w:rsid w:val="00037353"/>
    <w:rsid w:val="000377C2"/>
    <w:rsid w:val="0004040E"/>
    <w:rsid w:val="000409D2"/>
    <w:rsid w:val="00040F79"/>
    <w:rsid w:val="0004127F"/>
    <w:rsid w:val="000422CD"/>
    <w:rsid w:val="0004347D"/>
    <w:rsid w:val="0004373B"/>
    <w:rsid w:val="00044B50"/>
    <w:rsid w:val="000451D0"/>
    <w:rsid w:val="0004595D"/>
    <w:rsid w:val="00045B98"/>
    <w:rsid w:val="00046643"/>
    <w:rsid w:val="00047035"/>
    <w:rsid w:val="000478E8"/>
    <w:rsid w:val="0005061D"/>
    <w:rsid w:val="00051BFB"/>
    <w:rsid w:val="00051F6C"/>
    <w:rsid w:val="000535E6"/>
    <w:rsid w:val="000536DD"/>
    <w:rsid w:val="00053D81"/>
    <w:rsid w:val="00054BA1"/>
    <w:rsid w:val="00054DEC"/>
    <w:rsid w:val="00055C33"/>
    <w:rsid w:val="00056042"/>
    <w:rsid w:val="00056FBA"/>
    <w:rsid w:val="000574BF"/>
    <w:rsid w:val="000600EF"/>
    <w:rsid w:val="00063188"/>
    <w:rsid w:val="00063C6E"/>
    <w:rsid w:val="00063D5A"/>
    <w:rsid w:val="000659C7"/>
    <w:rsid w:val="00070049"/>
    <w:rsid w:val="0007050F"/>
    <w:rsid w:val="000716ED"/>
    <w:rsid w:val="0007234C"/>
    <w:rsid w:val="00073EFC"/>
    <w:rsid w:val="00074AC8"/>
    <w:rsid w:val="000778A4"/>
    <w:rsid w:val="00080D4E"/>
    <w:rsid w:val="000815F5"/>
    <w:rsid w:val="00083322"/>
    <w:rsid w:val="00083386"/>
    <w:rsid w:val="000833DB"/>
    <w:rsid w:val="00083A06"/>
    <w:rsid w:val="00084C6F"/>
    <w:rsid w:val="00086278"/>
    <w:rsid w:val="00086A06"/>
    <w:rsid w:val="0009015D"/>
    <w:rsid w:val="000910CD"/>
    <w:rsid w:val="00091766"/>
    <w:rsid w:val="00091F8C"/>
    <w:rsid w:val="0009497C"/>
    <w:rsid w:val="00096BC1"/>
    <w:rsid w:val="00097276"/>
    <w:rsid w:val="000976CA"/>
    <w:rsid w:val="000A1ACE"/>
    <w:rsid w:val="000A59DC"/>
    <w:rsid w:val="000A7474"/>
    <w:rsid w:val="000B03CB"/>
    <w:rsid w:val="000B0946"/>
    <w:rsid w:val="000B0DC8"/>
    <w:rsid w:val="000B26AE"/>
    <w:rsid w:val="000B26CF"/>
    <w:rsid w:val="000B3905"/>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25A2"/>
    <w:rsid w:val="000D487F"/>
    <w:rsid w:val="000D4BFA"/>
    <w:rsid w:val="000D4C7F"/>
    <w:rsid w:val="000D517E"/>
    <w:rsid w:val="000D667A"/>
    <w:rsid w:val="000E1C45"/>
    <w:rsid w:val="000E2444"/>
    <w:rsid w:val="000E3E15"/>
    <w:rsid w:val="000E471E"/>
    <w:rsid w:val="000E4F0D"/>
    <w:rsid w:val="000E5100"/>
    <w:rsid w:val="000E6472"/>
    <w:rsid w:val="000E75F0"/>
    <w:rsid w:val="000E7ECD"/>
    <w:rsid w:val="000F05E0"/>
    <w:rsid w:val="000F1A95"/>
    <w:rsid w:val="000F27F5"/>
    <w:rsid w:val="000F5480"/>
    <w:rsid w:val="000F6BFE"/>
    <w:rsid w:val="000F7DF4"/>
    <w:rsid w:val="00100586"/>
    <w:rsid w:val="0010068E"/>
    <w:rsid w:val="00100F9A"/>
    <w:rsid w:val="0010218C"/>
    <w:rsid w:val="00102D5B"/>
    <w:rsid w:val="00104383"/>
    <w:rsid w:val="001044DB"/>
    <w:rsid w:val="00105EB6"/>
    <w:rsid w:val="001060DD"/>
    <w:rsid w:val="0010622C"/>
    <w:rsid w:val="001078B5"/>
    <w:rsid w:val="00107A5F"/>
    <w:rsid w:val="0011026A"/>
    <w:rsid w:val="00110EF0"/>
    <w:rsid w:val="001124A5"/>
    <w:rsid w:val="00116EB9"/>
    <w:rsid w:val="00117BAD"/>
    <w:rsid w:val="001202E1"/>
    <w:rsid w:val="00120E93"/>
    <w:rsid w:val="001226DE"/>
    <w:rsid w:val="00123296"/>
    <w:rsid w:val="00124909"/>
    <w:rsid w:val="0012621C"/>
    <w:rsid w:val="00130228"/>
    <w:rsid w:val="00131616"/>
    <w:rsid w:val="00131984"/>
    <w:rsid w:val="00131A28"/>
    <w:rsid w:val="00131AE3"/>
    <w:rsid w:val="001336C9"/>
    <w:rsid w:val="001337CC"/>
    <w:rsid w:val="00134C11"/>
    <w:rsid w:val="00135AC3"/>
    <w:rsid w:val="00135C81"/>
    <w:rsid w:val="001376E0"/>
    <w:rsid w:val="00137E08"/>
    <w:rsid w:val="001410AA"/>
    <w:rsid w:val="00142F79"/>
    <w:rsid w:val="001435EB"/>
    <w:rsid w:val="00143FD6"/>
    <w:rsid w:val="00144974"/>
    <w:rsid w:val="00144FD2"/>
    <w:rsid w:val="001468EC"/>
    <w:rsid w:val="00146BA3"/>
    <w:rsid w:val="001506DB"/>
    <w:rsid w:val="001517E0"/>
    <w:rsid w:val="00154151"/>
    <w:rsid w:val="00157785"/>
    <w:rsid w:val="00157898"/>
    <w:rsid w:val="00157C19"/>
    <w:rsid w:val="0016005C"/>
    <w:rsid w:val="00160EBC"/>
    <w:rsid w:val="00160F3A"/>
    <w:rsid w:val="00160F58"/>
    <w:rsid w:val="00163A58"/>
    <w:rsid w:val="001643F5"/>
    <w:rsid w:val="00164B7B"/>
    <w:rsid w:val="00166B89"/>
    <w:rsid w:val="00172B5C"/>
    <w:rsid w:val="00173547"/>
    <w:rsid w:val="00174594"/>
    <w:rsid w:val="00174B6D"/>
    <w:rsid w:val="0017614D"/>
    <w:rsid w:val="0018006A"/>
    <w:rsid w:val="00180F4E"/>
    <w:rsid w:val="00181102"/>
    <w:rsid w:val="00181923"/>
    <w:rsid w:val="00181E7E"/>
    <w:rsid w:val="001820F0"/>
    <w:rsid w:val="00182175"/>
    <w:rsid w:val="00183532"/>
    <w:rsid w:val="00184625"/>
    <w:rsid w:val="00184820"/>
    <w:rsid w:val="00185C15"/>
    <w:rsid w:val="00186769"/>
    <w:rsid w:val="001870AF"/>
    <w:rsid w:val="00191768"/>
    <w:rsid w:val="00192869"/>
    <w:rsid w:val="001943D2"/>
    <w:rsid w:val="001954F0"/>
    <w:rsid w:val="00195571"/>
    <w:rsid w:val="001955AB"/>
    <w:rsid w:val="00196619"/>
    <w:rsid w:val="00196742"/>
    <w:rsid w:val="001A131A"/>
    <w:rsid w:val="001A336E"/>
    <w:rsid w:val="001A4F33"/>
    <w:rsid w:val="001B0D01"/>
    <w:rsid w:val="001B2063"/>
    <w:rsid w:val="001B21DE"/>
    <w:rsid w:val="001B2578"/>
    <w:rsid w:val="001B298B"/>
    <w:rsid w:val="001B2FE4"/>
    <w:rsid w:val="001B30B3"/>
    <w:rsid w:val="001B505F"/>
    <w:rsid w:val="001B69E3"/>
    <w:rsid w:val="001B795A"/>
    <w:rsid w:val="001C014F"/>
    <w:rsid w:val="001C04BC"/>
    <w:rsid w:val="001C2DD7"/>
    <w:rsid w:val="001C48A5"/>
    <w:rsid w:val="001C61FE"/>
    <w:rsid w:val="001C7061"/>
    <w:rsid w:val="001D0962"/>
    <w:rsid w:val="001D214B"/>
    <w:rsid w:val="001D4C5E"/>
    <w:rsid w:val="001D5A9D"/>
    <w:rsid w:val="001D5F83"/>
    <w:rsid w:val="001D61C8"/>
    <w:rsid w:val="001E0F36"/>
    <w:rsid w:val="001E1834"/>
    <w:rsid w:val="001E1B07"/>
    <w:rsid w:val="001E24E0"/>
    <w:rsid w:val="001E4824"/>
    <w:rsid w:val="001E4AAF"/>
    <w:rsid w:val="001E640A"/>
    <w:rsid w:val="001E6A6E"/>
    <w:rsid w:val="001E701F"/>
    <w:rsid w:val="001E7844"/>
    <w:rsid w:val="001E78D5"/>
    <w:rsid w:val="001E7C8F"/>
    <w:rsid w:val="001F2276"/>
    <w:rsid w:val="001F335C"/>
    <w:rsid w:val="001F3A41"/>
    <w:rsid w:val="001F59AB"/>
    <w:rsid w:val="00201DC6"/>
    <w:rsid w:val="00201F12"/>
    <w:rsid w:val="0020368A"/>
    <w:rsid w:val="00205D25"/>
    <w:rsid w:val="00206D6C"/>
    <w:rsid w:val="00207573"/>
    <w:rsid w:val="002115FE"/>
    <w:rsid w:val="00211B51"/>
    <w:rsid w:val="00213565"/>
    <w:rsid w:val="00213E6D"/>
    <w:rsid w:val="0021430F"/>
    <w:rsid w:val="00215EBC"/>
    <w:rsid w:val="0021730A"/>
    <w:rsid w:val="00217399"/>
    <w:rsid w:val="002203EC"/>
    <w:rsid w:val="002222E8"/>
    <w:rsid w:val="00222854"/>
    <w:rsid w:val="0022380E"/>
    <w:rsid w:val="00224363"/>
    <w:rsid w:val="00225860"/>
    <w:rsid w:val="00225911"/>
    <w:rsid w:val="0022594E"/>
    <w:rsid w:val="00226444"/>
    <w:rsid w:val="00226ADA"/>
    <w:rsid w:val="00227379"/>
    <w:rsid w:val="00230B10"/>
    <w:rsid w:val="00231325"/>
    <w:rsid w:val="002327AF"/>
    <w:rsid w:val="0023410F"/>
    <w:rsid w:val="0023677B"/>
    <w:rsid w:val="00236B9D"/>
    <w:rsid w:val="0023737E"/>
    <w:rsid w:val="0023768E"/>
    <w:rsid w:val="0023770D"/>
    <w:rsid w:val="00237F3F"/>
    <w:rsid w:val="002402F6"/>
    <w:rsid w:val="00242FAC"/>
    <w:rsid w:val="0024313D"/>
    <w:rsid w:val="00243C70"/>
    <w:rsid w:val="00245504"/>
    <w:rsid w:val="00245BEB"/>
    <w:rsid w:val="002470F2"/>
    <w:rsid w:val="00247551"/>
    <w:rsid w:val="00250530"/>
    <w:rsid w:val="0025056A"/>
    <w:rsid w:val="00252FC1"/>
    <w:rsid w:val="00253273"/>
    <w:rsid w:val="00253C88"/>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0AFF"/>
    <w:rsid w:val="0027119B"/>
    <w:rsid w:val="00272FB6"/>
    <w:rsid w:val="00273903"/>
    <w:rsid w:val="002746A3"/>
    <w:rsid w:val="002747D3"/>
    <w:rsid w:val="002749F4"/>
    <w:rsid w:val="00274C64"/>
    <w:rsid w:val="00274E36"/>
    <w:rsid w:val="00275410"/>
    <w:rsid w:val="00276100"/>
    <w:rsid w:val="00276344"/>
    <w:rsid w:val="002764D5"/>
    <w:rsid w:val="00277EB6"/>
    <w:rsid w:val="0028182D"/>
    <w:rsid w:val="002852C4"/>
    <w:rsid w:val="00285664"/>
    <w:rsid w:val="00285D48"/>
    <w:rsid w:val="00287A18"/>
    <w:rsid w:val="00287A26"/>
    <w:rsid w:val="00290DC6"/>
    <w:rsid w:val="00290E92"/>
    <w:rsid w:val="0029395B"/>
    <w:rsid w:val="00294129"/>
    <w:rsid w:val="00294313"/>
    <w:rsid w:val="002945D1"/>
    <w:rsid w:val="002960D0"/>
    <w:rsid w:val="002A01B5"/>
    <w:rsid w:val="002A080F"/>
    <w:rsid w:val="002A0EB5"/>
    <w:rsid w:val="002A157A"/>
    <w:rsid w:val="002A1950"/>
    <w:rsid w:val="002A1D97"/>
    <w:rsid w:val="002A1E2F"/>
    <w:rsid w:val="002A21AF"/>
    <w:rsid w:val="002A2AA4"/>
    <w:rsid w:val="002A3799"/>
    <w:rsid w:val="002A3836"/>
    <w:rsid w:val="002A3C5C"/>
    <w:rsid w:val="002A61D9"/>
    <w:rsid w:val="002A6332"/>
    <w:rsid w:val="002A6593"/>
    <w:rsid w:val="002A6B82"/>
    <w:rsid w:val="002A73A7"/>
    <w:rsid w:val="002B09F6"/>
    <w:rsid w:val="002B0DEA"/>
    <w:rsid w:val="002B1D3C"/>
    <w:rsid w:val="002B2432"/>
    <w:rsid w:val="002B31B7"/>
    <w:rsid w:val="002B3FE3"/>
    <w:rsid w:val="002B54B7"/>
    <w:rsid w:val="002B5CC2"/>
    <w:rsid w:val="002B6730"/>
    <w:rsid w:val="002B7874"/>
    <w:rsid w:val="002C1613"/>
    <w:rsid w:val="002C1ECF"/>
    <w:rsid w:val="002C1ED3"/>
    <w:rsid w:val="002C33DB"/>
    <w:rsid w:val="002C3A0D"/>
    <w:rsid w:val="002C45D8"/>
    <w:rsid w:val="002C7128"/>
    <w:rsid w:val="002D2B81"/>
    <w:rsid w:val="002D4CBC"/>
    <w:rsid w:val="002D5C05"/>
    <w:rsid w:val="002D6D70"/>
    <w:rsid w:val="002D7292"/>
    <w:rsid w:val="002E0CCA"/>
    <w:rsid w:val="002E141A"/>
    <w:rsid w:val="002E1B95"/>
    <w:rsid w:val="002E1B9C"/>
    <w:rsid w:val="002E1DFD"/>
    <w:rsid w:val="002E3EC7"/>
    <w:rsid w:val="002E4808"/>
    <w:rsid w:val="002E483E"/>
    <w:rsid w:val="002E6D7C"/>
    <w:rsid w:val="002E7045"/>
    <w:rsid w:val="002E7199"/>
    <w:rsid w:val="002F012F"/>
    <w:rsid w:val="002F0513"/>
    <w:rsid w:val="002F0990"/>
    <w:rsid w:val="002F0C58"/>
    <w:rsid w:val="002F13D1"/>
    <w:rsid w:val="002F1965"/>
    <w:rsid w:val="002F2A81"/>
    <w:rsid w:val="002F2DBA"/>
    <w:rsid w:val="002F37F8"/>
    <w:rsid w:val="002F4EDB"/>
    <w:rsid w:val="002F60D3"/>
    <w:rsid w:val="002F6CDF"/>
    <w:rsid w:val="002F7574"/>
    <w:rsid w:val="002F7895"/>
    <w:rsid w:val="00300A59"/>
    <w:rsid w:val="0030214A"/>
    <w:rsid w:val="00302E78"/>
    <w:rsid w:val="003033DF"/>
    <w:rsid w:val="00303420"/>
    <w:rsid w:val="003035F7"/>
    <w:rsid w:val="003040DF"/>
    <w:rsid w:val="00306288"/>
    <w:rsid w:val="003140F9"/>
    <w:rsid w:val="003148EA"/>
    <w:rsid w:val="003150CA"/>
    <w:rsid w:val="00315CB8"/>
    <w:rsid w:val="00315D8D"/>
    <w:rsid w:val="003168ED"/>
    <w:rsid w:val="003172EB"/>
    <w:rsid w:val="00317AB4"/>
    <w:rsid w:val="003209FF"/>
    <w:rsid w:val="00321E11"/>
    <w:rsid w:val="003228A7"/>
    <w:rsid w:val="00323202"/>
    <w:rsid w:val="00323AD5"/>
    <w:rsid w:val="003248EA"/>
    <w:rsid w:val="00324CE8"/>
    <w:rsid w:val="00324CF5"/>
    <w:rsid w:val="00325BD4"/>
    <w:rsid w:val="00326A33"/>
    <w:rsid w:val="0032785C"/>
    <w:rsid w:val="00327A03"/>
    <w:rsid w:val="00327E36"/>
    <w:rsid w:val="00327E53"/>
    <w:rsid w:val="00330795"/>
    <w:rsid w:val="00330E85"/>
    <w:rsid w:val="0033219D"/>
    <w:rsid w:val="00332741"/>
    <w:rsid w:val="00334624"/>
    <w:rsid w:val="00335693"/>
    <w:rsid w:val="00335897"/>
    <w:rsid w:val="0033634C"/>
    <w:rsid w:val="0033669D"/>
    <w:rsid w:val="003367DD"/>
    <w:rsid w:val="00341CAA"/>
    <w:rsid w:val="0034206E"/>
    <w:rsid w:val="00343E5D"/>
    <w:rsid w:val="0034439B"/>
    <w:rsid w:val="003455A7"/>
    <w:rsid w:val="003467C6"/>
    <w:rsid w:val="003469BB"/>
    <w:rsid w:val="00346D12"/>
    <w:rsid w:val="0034787F"/>
    <w:rsid w:val="00350743"/>
    <w:rsid w:val="00350A47"/>
    <w:rsid w:val="003513CA"/>
    <w:rsid w:val="00351F79"/>
    <w:rsid w:val="00351FAC"/>
    <w:rsid w:val="003529AF"/>
    <w:rsid w:val="00352E4C"/>
    <w:rsid w:val="00353652"/>
    <w:rsid w:val="003541AD"/>
    <w:rsid w:val="003543F5"/>
    <w:rsid w:val="0035468A"/>
    <w:rsid w:val="00355370"/>
    <w:rsid w:val="003564CA"/>
    <w:rsid w:val="003565DF"/>
    <w:rsid w:val="00356DFF"/>
    <w:rsid w:val="0035756C"/>
    <w:rsid w:val="00357751"/>
    <w:rsid w:val="003601F1"/>
    <w:rsid w:val="00360BFC"/>
    <w:rsid w:val="00362A40"/>
    <w:rsid w:val="00362F0B"/>
    <w:rsid w:val="00363BF3"/>
    <w:rsid w:val="003649E8"/>
    <w:rsid w:val="00365FFA"/>
    <w:rsid w:val="00366631"/>
    <w:rsid w:val="003679D5"/>
    <w:rsid w:val="00367B79"/>
    <w:rsid w:val="00367FD0"/>
    <w:rsid w:val="003700BB"/>
    <w:rsid w:val="0037015D"/>
    <w:rsid w:val="00370D8A"/>
    <w:rsid w:val="0037217E"/>
    <w:rsid w:val="00373BB6"/>
    <w:rsid w:val="003742BF"/>
    <w:rsid w:val="00374F02"/>
    <w:rsid w:val="00375614"/>
    <w:rsid w:val="003768AF"/>
    <w:rsid w:val="00380C05"/>
    <w:rsid w:val="00380D5F"/>
    <w:rsid w:val="00380E60"/>
    <w:rsid w:val="00381483"/>
    <w:rsid w:val="00381C36"/>
    <w:rsid w:val="00381D62"/>
    <w:rsid w:val="00382377"/>
    <w:rsid w:val="00382ADF"/>
    <w:rsid w:val="00383E66"/>
    <w:rsid w:val="003869D5"/>
    <w:rsid w:val="003905B9"/>
    <w:rsid w:val="0039206E"/>
    <w:rsid w:val="003920AD"/>
    <w:rsid w:val="00392A4B"/>
    <w:rsid w:val="00392AA2"/>
    <w:rsid w:val="00392E8E"/>
    <w:rsid w:val="00393BA3"/>
    <w:rsid w:val="0039485C"/>
    <w:rsid w:val="0039527F"/>
    <w:rsid w:val="00395A71"/>
    <w:rsid w:val="00396651"/>
    <w:rsid w:val="0039682A"/>
    <w:rsid w:val="003A35F7"/>
    <w:rsid w:val="003A37F4"/>
    <w:rsid w:val="003A4F1D"/>
    <w:rsid w:val="003A4F95"/>
    <w:rsid w:val="003A6522"/>
    <w:rsid w:val="003A6F71"/>
    <w:rsid w:val="003A6FB6"/>
    <w:rsid w:val="003A745C"/>
    <w:rsid w:val="003A7AA6"/>
    <w:rsid w:val="003A7BAA"/>
    <w:rsid w:val="003B01D4"/>
    <w:rsid w:val="003B10EC"/>
    <w:rsid w:val="003B1570"/>
    <w:rsid w:val="003B15C9"/>
    <w:rsid w:val="003B21BF"/>
    <w:rsid w:val="003B3C31"/>
    <w:rsid w:val="003B43B8"/>
    <w:rsid w:val="003B4527"/>
    <w:rsid w:val="003B5125"/>
    <w:rsid w:val="003B5FEE"/>
    <w:rsid w:val="003B6B75"/>
    <w:rsid w:val="003B76D9"/>
    <w:rsid w:val="003C0CEB"/>
    <w:rsid w:val="003C351A"/>
    <w:rsid w:val="003C3BC6"/>
    <w:rsid w:val="003C3F8E"/>
    <w:rsid w:val="003C5934"/>
    <w:rsid w:val="003C7080"/>
    <w:rsid w:val="003D11D0"/>
    <w:rsid w:val="003D1A92"/>
    <w:rsid w:val="003D239A"/>
    <w:rsid w:val="003D2C74"/>
    <w:rsid w:val="003D40F9"/>
    <w:rsid w:val="003D5245"/>
    <w:rsid w:val="003D5507"/>
    <w:rsid w:val="003D5A10"/>
    <w:rsid w:val="003D5E6D"/>
    <w:rsid w:val="003D6FA8"/>
    <w:rsid w:val="003D7CB9"/>
    <w:rsid w:val="003E0F7C"/>
    <w:rsid w:val="003E2B73"/>
    <w:rsid w:val="003E2F03"/>
    <w:rsid w:val="003E33E9"/>
    <w:rsid w:val="003E3815"/>
    <w:rsid w:val="003E3BBF"/>
    <w:rsid w:val="003E424A"/>
    <w:rsid w:val="003E59EF"/>
    <w:rsid w:val="003E712B"/>
    <w:rsid w:val="003E75F3"/>
    <w:rsid w:val="003E79CF"/>
    <w:rsid w:val="003F0A53"/>
    <w:rsid w:val="003F0D9E"/>
    <w:rsid w:val="003F1974"/>
    <w:rsid w:val="003F1A0A"/>
    <w:rsid w:val="003F20D8"/>
    <w:rsid w:val="003F2109"/>
    <w:rsid w:val="003F2790"/>
    <w:rsid w:val="003F2B7B"/>
    <w:rsid w:val="003F3783"/>
    <w:rsid w:val="003F3860"/>
    <w:rsid w:val="003F50FF"/>
    <w:rsid w:val="003F5900"/>
    <w:rsid w:val="003F61F9"/>
    <w:rsid w:val="003F6355"/>
    <w:rsid w:val="003F6F60"/>
    <w:rsid w:val="00400266"/>
    <w:rsid w:val="00401A9A"/>
    <w:rsid w:val="00402EEA"/>
    <w:rsid w:val="00404201"/>
    <w:rsid w:val="00405604"/>
    <w:rsid w:val="00405CEF"/>
    <w:rsid w:val="00406337"/>
    <w:rsid w:val="00406A00"/>
    <w:rsid w:val="004074B3"/>
    <w:rsid w:val="004075EA"/>
    <w:rsid w:val="004107E4"/>
    <w:rsid w:val="00410C82"/>
    <w:rsid w:val="0041108E"/>
    <w:rsid w:val="00412489"/>
    <w:rsid w:val="00412DF2"/>
    <w:rsid w:val="004138F5"/>
    <w:rsid w:val="00413D22"/>
    <w:rsid w:val="00414C90"/>
    <w:rsid w:val="004157BE"/>
    <w:rsid w:val="004165B0"/>
    <w:rsid w:val="004165D6"/>
    <w:rsid w:val="0042163E"/>
    <w:rsid w:val="00423163"/>
    <w:rsid w:val="004244A5"/>
    <w:rsid w:val="0042500B"/>
    <w:rsid w:val="00426C3A"/>
    <w:rsid w:val="00426E1C"/>
    <w:rsid w:val="00427318"/>
    <w:rsid w:val="004276CD"/>
    <w:rsid w:val="0042778E"/>
    <w:rsid w:val="00427843"/>
    <w:rsid w:val="00427A48"/>
    <w:rsid w:val="004302B6"/>
    <w:rsid w:val="0043230A"/>
    <w:rsid w:val="0043511C"/>
    <w:rsid w:val="00435538"/>
    <w:rsid w:val="00435E35"/>
    <w:rsid w:val="00436742"/>
    <w:rsid w:val="00437E88"/>
    <w:rsid w:val="00440672"/>
    <w:rsid w:val="00441E70"/>
    <w:rsid w:val="00442858"/>
    <w:rsid w:val="00442B62"/>
    <w:rsid w:val="00443779"/>
    <w:rsid w:val="00443CCC"/>
    <w:rsid w:val="004441E4"/>
    <w:rsid w:val="004448E8"/>
    <w:rsid w:val="004474FB"/>
    <w:rsid w:val="004528CC"/>
    <w:rsid w:val="004529C3"/>
    <w:rsid w:val="00453225"/>
    <w:rsid w:val="00455B19"/>
    <w:rsid w:val="0045608B"/>
    <w:rsid w:val="004652FD"/>
    <w:rsid w:val="004657F4"/>
    <w:rsid w:val="00465A60"/>
    <w:rsid w:val="00466979"/>
    <w:rsid w:val="00466D17"/>
    <w:rsid w:val="00467E20"/>
    <w:rsid w:val="00472A4C"/>
    <w:rsid w:val="00472B05"/>
    <w:rsid w:val="00472E85"/>
    <w:rsid w:val="00473068"/>
    <w:rsid w:val="004735D5"/>
    <w:rsid w:val="0047556B"/>
    <w:rsid w:val="00475C2D"/>
    <w:rsid w:val="00477226"/>
    <w:rsid w:val="004813E8"/>
    <w:rsid w:val="004827F3"/>
    <w:rsid w:val="004829F2"/>
    <w:rsid w:val="00483CA3"/>
    <w:rsid w:val="00485889"/>
    <w:rsid w:val="00486114"/>
    <w:rsid w:val="004862B4"/>
    <w:rsid w:val="004863E4"/>
    <w:rsid w:val="00487264"/>
    <w:rsid w:val="00490478"/>
    <w:rsid w:val="004906B9"/>
    <w:rsid w:val="00490D2A"/>
    <w:rsid w:val="0049105D"/>
    <w:rsid w:val="004918C4"/>
    <w:rsid w:val="004932A2"/>
    <w:rsid w:val="00496E8C"/>
    <w:rsid w:val="00496EAA"/>
    <w:rsid w:val="004A00B9"/>
    <w:rsid w:val="004A04A2"/>
    <w:rsid w:val="004A08D7"/>
    <w:rsid w:val="004A270B"/>
    <w:rsid w:val="004A4311"/>
    <w:rsid w:val="004A5151"/>
    <w:rsid w:val="004A59B3"/>
    <w:rsid w:val="004A5DB1"/>
    <w:rsid w:val="004A687F"/>
    <w:rsid w:val="004A7359"/>
    <w:rsid w:val="004B3161"/>
    <w:rsid w:val="004B5BAF"/>
    <w:rsid w:val="004B5CB4"/>
    <w:rsid w:val="004B632A"/>
    <w:rsid w:val="004B741E"/>
    <w:rsid w:val="004B7E82"/>
    <w:rsid w:val="004C06AD"/>
    <w:rsid w:val="004C0946"/>
    <w:rsid w:val="004C0C08"/>
    <w:rsid w:val="004C13CF"/>
    <w:rsid w:val="004C32DB"/>
    <w:rsid w:val="004C52C0"/>
    <w:rsid w:val="004C7EB2"/>
    <w:rsid w:val="004D0163"/>
    <w:rsid w:val="004D0AC5"/>
    <w:rsid w:val="004D19EB"/>
    <w:rsid w:val="004D1AAF"/>
    <w:rsid w:val="004D3210"/>
    <w:rsid w:val="004D34FE"/>
    <w:rsid w:val="004D35C6"/>
    <w:rsid w:val="004D44EF"/>
    <w:rsid w:val="004D4AF1"/>
    <w:rsid w:val="004E06B4"/>
    <w:rsid w:val="004E189A"/>
    <w:rsid w:val="004E1A28"/>
    <w:rsid w:val="004E2076"/>
    <w:rsid w:val="004E2F8E"/>
    <w:rsid w:val="004E318F"/>
    <w:rsid w:val="004E5A0A"/>
    <w:rsid w:val="004E5E6E"/>
    <w:rsid w:val="004E6694"/>
    <w:rsid w:val="004E6764"/>
    <w:rsid w:val="004E791F"/>
    <w:rsid w:val="004F021C"/>
    <w:rsid w:val="004F1757"/>
    <w:rsid w:val="004F1D20"/>
    <w:rsid w:val="004F264E"/>
    <w:rsid w:val="004F326C"/>
    <w:rsid w:val="004F38A6"/>
    <w:rsid w:val="004F3C3B"/>
    <w:rsid w:val="004F4265"/>
    <w:rsid w:val="004F444A"/>
    <w:rsid w:val="004F4FB4"/>
    <w:rsid w:val="004F5575"/>
    <w:rsid w:val="004F79D9"/>
    <w:rsid w:val="00500611"/>
    <w:rsid w:val="005014BC"/>
    <w:rsid w:val="00501617"/>
    <w:rsid w:val="00502229"/>
    <w:rsid w:val="00502BC3"/>
    <w:rsid w:val="00502D98"/>
    <w:rsid w:val="005030DE"/>
    <w:rsid w:val="00504BCF"/>
    <w:rsid w:val="0050543C"/>
    <w:rsid w:val="0050634D"/>
    <w:rsid w:val="00506F75"/>
    <w:rsid w:val="005078B2"/>
    <w:rsid w:val="005079C1"/>
    <w:rsid w:val="00507BBF"/>
    <w:rsid w:val="00511260"/>
    <w:rsid w:val="00511565"/>
    <w:rsid w:val="0051172C"/>
    <w:rsid w:val="00511E50"/>
    <w:rsid w:val="0051380C"/>
    <w:rsid w:val="00513F98"/>
    <w:rsid w:val="00514364"/>
    <w:rsid w:val="00514878"/>
    <w:rsid w:val="00515299"/>
    <w:rsid w:val="00516B81"/>
    <w:rsid w:val="0051706E"/>
    <w:rsid w:val="00520E7F"/>
    <w:rsid w:val="00523DBC"/>
    <w:rsid w:val="005244E9"/>
    <w:rsid w:val="00525DF3"/>
    <w:rsid w:val="00526F89"/>
    <w:rsid w:val="0053033B"/>
    <w:rsid w:val="00530509"/>
    <w:rsid w:val="005305A5"/>
    <w:rsid w:val="00532080"/>
    <w:rsid w:val="00540FA6"/>
    <w:rsid w:val="00545009"/>
    <w:rsid w:val="00545140"/>
    <w:rsid w:val="00545668"/>
    <w:rsid w:val="005506DB"/>
    <w:rsid w:val="0055098F"/>
    <w:rsid w:val="00551482"/>
    <w:rsid w:val="005517B9"/>
    <w:rsid w:val="005535FA"/>
    <w:rsid w:val="00553C01"/>
    <w:rsid w:val="00553E7D"/>
    <w:rsid w:val="005542BD"/>
    <w:rsid w:val="00555B5F"/>
    <w:rsid w:val="00556489"/>
    <w:rsid w:val="00556B66"/>
    <w:rsid w:val="00556EDA"/>
    <w:rsid w:val="00556FC7"/>
    <w:rsid w:val="005573D6"/>
    <w:rsid w:val="0056029F"/>
    <w:rsid w:val="005617AA"/>
    <w:rsid w:val="0056509F"/>
    <w:rsid w:val="00565326"/>
    <w:rsid w:val="00566400"/>
    <w:rsid w:val="00566732"/>
    <w:rsid w:val="00567524"/>
    <w:rsid w:val="005703D6"/>
    <w:rsid w:val="00570A0D"/>
    <w:rsid w:val="00572227"/>
    <w:rsid w:val="00572A0F"/>
    <w:rsid w:val="00572C5F"/>
    <w:rsid w:val="005739A2"/>
    <w:rsid w:val="005754FC"/>
    <w:rsid w:val="00575F9C"/>
    <w:rsid w:val="00576979"/>
    <w:rsid w:val="00577D50"/>
    <w:rsid w:val="005807AA"/>
    <w:rsid w:val="00580D85"/>
    <w:rsid w:val="005813AC"/>
    <w:rsid w:val="0058354A"/>
    <w:rsid w:val="00583B6E"/>
    <w:rsid w:val="00584BA7"/>
    <w:rsid w:val="00586CFB"/>
    <w:rsid w:val="00587D29"/>
    <w:rsid w:val="00590674"/>
    <w:rsid w:val="00591072"/>
    <w:rsid w:val="0059210E"/>
    <w:rsid w:val="005934B8"/>
    <w:rsid w:val="00594C9D"/>
    <w:rsid w:val="00595C65"/>
    <w:rsid w:val="005964E5"/>
    <w:rsid w:val="005969E2"/>
    <w:rsid w:val="00596F5C"/>
    <w:rsid w:val="00597705"/>
    <w:rsid w:val="005A1548"/>
    <w:rsid w:val="005A2449"/>
    <w:rsid w:val="005A2882"/>
    <w:rsid w:val="005A2C73"/>
    <w:rsid w:val="005A3A3D"/>
    <w:rsid w:val="005A3E4D"/>
    <w:rsid w:val="005A4FC0"/>
    <w:rsid w:val="005A71F7"/>
    <w:rsid w:val="005A77A0"/>
    <w:rsid w:val="005A79BC"/>
    <w:rsid w:val="005B0C2C"/>
    <w:rsid w:val="005B0D00"/>
    <w:rsid w:val="005B130C"/>
    <w:rsid w:val="005B1333"/>
    <w:rsid w:val="005B1872"/>
    <w:rsid w:val="005B5A60"/>
    <w:rsid w:val="005B5EFB"/>
    <w:rsid w:val="005B649F"/>
    <w:rsid w:val="005B7922"/>
    <w:rsid w:val="005B7CEE"/>
    <w:rsid w:val="005C033A"/>
    <w:rsid w:val="005C1439"/>
    <w:rsid w:val="005C15DC"/>
    <w:rsid w:val="005C1DEC"/>
    <w:rsid w:val="005C1FB1"/>
    <w:rsid w:val="005C28AE"/>
    <w:rsid w:val="005C36E4"/>
    <w:rsid w:val="005C4FDA"/>
    <w:rsid w:val="005C5C47"/>
    <w:rsid w:val="005C6A41"/>
    <w:rsid w:val="005D0320"/>
    <w:rsid w:val="005D0B78"/>
    <w:rsid w:val="005D25D6"/>
    <w:rsid w:val="005D2740"/>
    <w:rsid w:val="005D3407"/>
    <w:rsid w:val="005D3941"/>
    <w:rsid w:val="005D411A"/>
    <w:rsid w:val="005D47C3"/>
    <w:rsid w:val="005D47E9"/>
    <w:rsid w:val="005D5E9D"/>
    <w:rsid w:val="005D6BF3"/>
    <w:rsid w:val="005D6D77"/>
    <w:rsid w:val="005D7B56"/>
    <w:rsid w:val="005E0AA6"/>
    <w:rsid w:val="005E0C30"/>
    <w:rsid w:val="005E2F30"/>
    <w:rsid w:val="005E3541"/>
    <w:rsid w:val="005E371C"/>
    <w:rsid w:val="005E411E"/>
    <w:rsid w:val="005E4AE7"/>
    <w:rsid w:val="005E560B"/>
    <w:rsid w:val="005E601A"/>
    <w:rsid w:val="005E73DF"/>
    <w:rsid w:val="005E765C"/>
    <w:rsid w:val="005E77F3"/>
    <w:rsid w:val="005F03D5"/>
    <w:rsid w:val="005F0403"/>
    <w:rsid w:val="005F04A5"/>
    <w:rsid w:val="005F05B6"/>
    <w:rsid w:val="005F158C"/>
    <w:rsid w:val="005F2146"/>
    <w:rsid w:val="005F236B"/>
    <w:rsid w:val="005F6519"/>
    <w:rsid w:val="005F6D85"/>
    <w:rsid w:val="005F77BC"/>
    <w:rsid w:val="00600269"/>
    <w:rsid w:val="0060138F"/>
    <w:rsid w:val="006013AE"/>
    <w:rsid w:val="00601B61"/>
    <w:rsid w:val="0060391E"/>
    <w:rsid w:val="00604085"/>
    <w:rsid w:val="0060443D"/>
    <w:rsid w:val="0060486E"/>
    <w:rsid w:val="006062FB"/>
    <w:rsid w:val="006063B1"/>
    <w:rsid w:val="00606867"/>
    <w:rsid w:val="00607419"/>
    <w:rsid w:val="006101AF"/>
    <w:rsid w:val="00612393"/>
    <w:rsid w:val="00612658"/>
    <w:rsid w:val="00612ACF"/>
    <w:rsid w:val="00613E36"/>
    <w:rsid w:val="00614A7A"/>
    <w:rsid w:val="00614F6A"/>
    <w:rsid w:val="00616B35"/>
    <w:rsid w:val="00617A30"/>
    <w:rsid w:val="00617F99"/>
    <w:rsid w:val="00620527"/>
    <w:rsid w:val="006215E6"/>
    <w:rsid w:val="00621B4B"/>
    <w:rsid w:val="006232F1"/>
    <w:rsid w:val="00623DDE"/>
    <w:rsid w:val="00624695"/>
    <w:rsid w:val="006249C3"/>
    <w:rsid w:val="00625AA9"/>
    <w:rsid w:val="00625D2D"/>
    <w:rsid w:val="006271A4"/>
    <w:rsid w:val="00630138"/>
    <w:rsid w:val="006313FC"/>
    <w:rsid w:val="00631F61"/>
    <w:rsid w:val="00632171"/>
    <w:rsid w:val="006332F2"/>
    <w:rsid w:val="00634B17"/>
    <w:rsid w:val="00636093"/>
    <w:rsid w:val="006366F3"/>
    <w:rsid w:val="00636E78"/>
    <w:rsid w:val="00637A17"/>
    <w:rsid w:val="00641035"/>
    <w:rsid w:val="00641661"/>
    <w:rsid w:val="00642942"/>
    <w:rsid w:val="00642B48"/>
    <w:rsid w:val="006446A7"/>
    <w:rsid w:val="00644FB0"/>
    <w:rsid w:val="006476E6"/>
    <w:rsid w:val="00650EE2"/>
    <w:rsid w:val="006511A4"/>
    <w:rsid w:val="006513E2"/>
    <w:rsid w:val="00651916"/>
    <w:rsid w:val="00651DE7"/>
    <w:rsid w:val="00652A6F"/>
    <w:rsid w:val="006531C9"/>
    <w:rsid w:val="006535E1"/>
    <w:rsid w:val="0066025E"/>
    <w:rsid w:val="0066085D"/>
    <w:rsid w:val="00661D64"/>
    <w:rsid w:val="00662682"/>
    <w:rsid w:val="00662820"/>
    <w:rsid w:val="006639A0"/>
    <w:rsid w:val="00663D7F"/>
    <w:rsid w:val="0066418A"/>
    <w:rsid w:val="00664CD0"/>
    <w:rsid w:val="00665D94"/>
    <w:rsid w:val="006668FE"/>
    <w:rsid w:val="00667591"/>
    <w:rsid w:val="00667F9F"/>
    <w:rsid w:val="006710E7"/>
    <w:rsid w:val="00671A0B"/>
    <w:rsid w:val="00671B03"/>
    <w:rsid w:val="0067210D"/>
    <w:rsid w:val="0067238C"/>
    <w:rsid w:val="00674836"/>
    <w:rsid w:val="00675C81"/>
    <w:rsid w:val="0068020F"/>
    <w:rsid w:val="0068034D"/>
    <w:rsid w:val="00681152"/>
    <w:rsid w:val="00682987"/>
    <w:rsid w:val="00682CE5"/>
    <w:rsid w:val="006841DC"/>
    <w:rsid w:val="0068468E"/>
    <w:rsid w:val="00685709"/>
    <w:rsid w:val="00685DAD"/>
    <w:rsid w:val="0068615D"/>
    <w:rsid w:val="00686229"/>
    <w:rsid w:val="0068675A"/>
    <w:rsid w:val="0068696C"/>
    <w:rsid w:val="0069106B"/>
    <w:rsid w:val="00691AF2"/>
    <w:rsid w:val="00691CB2"/>
    <w:rsid w:val="00692DB5"/>
    <w:rsid w:val="00694527"/>
    <w:rsid w:val="0069550C"/>
    <w:rsid w:val="00696DE5"/>
    <w:rsid w:val="00697465"/>
    <w:rsid w:val="006976D7"/>
    <w:rsid w:val="00697EB1"/>
    <w:rsid w:val="006A2310"/>
    <w:rsid w:val="006A2706"/>
    <w:rsid w:val="006A498B"/>
    <w:rsid w:val="006A7DA6"/>
    <w:rsid w:val="006B0DAC"/>
    <w:rsid w:val="006B150C"/>
    <w:rsid w:val="006B16D0"/>
    <w:rsid w:val="006B1DCE"/>
    <w:rsid w:val="006B42B2"/>
    <w:rsid w:val="006B6180"/>
    <w:rsid w:val="006B692B"/>
    <w:rsid w:val="006B7DFD"/>
    <w:rsid w:val="006C177A"/>
    <w:rsid w:val="006C1B13"/>
    <w:rsid w:val="006C32C4"/>
    <w:rsid w:val="006D067F"/>
    <w:rsid w:val="006D07FB"/>
    <w:rsid w:val="006D4DCF"/>
    <w:rsid w:val="006D4F4B"/>
    <w:rsid w:val="006D565A"/>
    <w:rsid w:val="006D5A67"/>
    <w:rsid w:val="006D762E"/>
    <w:rsid w:val="006D7DFD"/>
    <w:rsid w:val="006E16D1"/>
    <w:rsid w:val="006E2B6D"/>
    <w:rsid w:val="006E3357"/>
    <w:rsid w:val="006E3C88"/>
    <w:rsid w:val="006E4C1C"/>
    <w:rsid w:val="006E7146"/>
    <w:rsid w:val="006F09D8"/>
    <w:rsid w:val="006F159C"/>
    <w:rsid w:val="006F1624"/>
    <w:rsid w:val="006F3052"/>
    <w:rsid w:val="006F31BD"/>
    <w:rsid w:val="006F3259"/>
    <w:rsid w:val="006F36C6"/>
    <w:rsid w:val="006F3C00"/>
    <w:rsid w:val="006F401B"/>
    <w:rsid w:val="006F5758"/>
    <w:rsid w:val="006F78DB"/>
    <w:rsid w:val="00702C42"/>
    <w:rsid w:val="00704A2E"/>
    <w:rsid w:val="007057AB"/>
    <w:rsid w:val="00705F57"/>
    <w:rsid w:val="00707343"/>
    <w:rsid w:val="007073FB"/>
    <w:rsid w:val="00710C28"/>
    <w:rsid w:val="00711C08"/>
    <w:rsid w:val="00711CC1"/>
    <w:rsid w:val="00712ED3"/>
    <w:rsid w:val="00714697"/>
    <w:rsid w:val="00714969"/>
    <w:rsid w:val="00714C9E"/>
    <w:rsid w:val="00715651"/>
    <w:rsid w:val="00717903"/>
    <w:rsid w:val="00717B10"/>
    <w:rsid w:val="00720B01"/>
    <w:rsid w:val="00724B29"/>
    <w:rsid w:val="00727A78"/>
    <w:rsid w:val="00730A5A"/>
    <w:rsid w:val="00731207"/>
    <w:rsid w:val="0073171B"/>
    <w:rsid w:val="00734430"/>
    <w:rsid w:val="0074045F"/>
    <w:rsid w:val="0074053C"/>
    <w:rsid w:val="007427DB"/>
    <w:rsid w:val="00743D4D"/>
    <w:rsid w:val="00743EB1"/>
    <w:rsid w:val="0074485F"/>
    <w:rsid w:val="007451A8"/>
    <w:rsid w:val="0074527C"/>
    <w:rsid w:val="00745BF2"/>
    <w:rsid w:val="00745E2B"/>
    <w:rsid w:val="0074602C"/>
    <w:rsid w:val="00746757"/>
    <w:rsid w:val="00750F89"/>
    <w:rsid w:val="00751ADD"/>
    <w:rsid w:val="007520F6"/>
    <w:rsid w:val="0075328C"/>
    <w:rsid w:val="007532C0"/>
    <w:rsid w:val="00756020"/>
    <w:rsid w:val="00756098"/>
    <w:rsid w:val="00756F21"/>
    <w:rsid w:val="00757F3C"/>
    <w:rsid w:val="00761BEC"/>
    <w:rsid w:val="007625B5"/>
    <w:rsid w:val="007631E0"/>
    <w:rsid w:val="00763628"/>
    <w:rsid w:val="00763BF3"/>
    <w:rsid w:val="00764464"/>
    <w:rsid w:val="00764F87"/>
    <w:rsid w:val="00767A6B"/>
    <w:rsid w:val="00771094"/>
    <w:rsid w:val="00771421"/>
    <w:rsid w:val="007728EE"/>
    <w:rsid w:val="00772E4B"/>
    <w:rsid w:val="00773B88"/>
    <w:rsid w:val="007744D5"/>
    <w:rsid w:val="0077459E"/>
    <w:rsid w:val="00775448"/>
    <w:rsid w:val="007755E9"/>
    <w:rsid w:val="0077676B"/>
    <w:rsid w:val="007800EB"/>
    <w:rsid w:val="00781788"/>
    <w:rsid w:val="00782782"/>
    <w:rsid w:val="007841E0"/>
    <w:rsid w:val="007847E2"/>
    <w:rsid w:val="007863FC"/>
    <w:rsid w:val="007866DC"/>
    <w:rsid w:val="00790C64"/>
    <w:rsid w:val="00791465"/>
    <w:rsid w:val="00791DF6"/>
    <w:rsid w:val="0079276A"/>
    <w:rsid w:val="007934F8"/>
    <w:rsid w:val="00794AA8"/>
    <w:rsid w:val="00796986"/>
    <w:rsid w:val="00796F39"/>
    <w:rsid w:val="00796F7A"/>
    <w:rsid w:val="00797A49"/>
    <w:rsid w:val="007A0522"/>
    <w:rsid w:val="007A1488"/>
    <w:rsid w:val="007A1A81"/>
    <w:rsid w:val="007A2884"/>
    <w:rsid w:val="007A3705"/>
    <w:rsid w:val="007A39B0"/>
    <w:rsid w:val="007A4A3B"/>
    <w:rsid w:val="007A52DA"/>
    <w:rsid w:val="007A7BBE"/>
    <w:rsid w:val="007B196E"/>
    <w:rsid w:val="007B1E47"/>
    <w:rsid w:val="007B1F09"/>
    <w:rsid w:val="007B29BE"/>
    <w:rsid w:val="007B3DE3"/>
    <w:rsid w:val="007B566C"/>
    <w:rsid w:val="007B686F"/>
    <w:rsid w:val="007B6CEF"/>
    <w:rsid w:val="007C0423"/>
    <w:rsid w:val="007C175F"/>
    <w:rsid w:val="007C17AD"/>
    <w:rsid w:val="007C247A"/>
    <w:rsid w:val="007C4731"/>
    <w:rsid w:val="007C517D"/>
    <w:rsid w:val="007C546A"/>
    <w:rsid w:val="007C59F0"/>
    <w:rsid w:val="007D0644"/>
    <w:rsid w:val="007D0A2D"/>
    <w:rsid w:val="007D0F44"/>
    <w:rsid w:val="007D3ACE"/>
    <w:rsid w:val="007D3EB4"/>
    <w:rsid w:val="007D64EC"/>
    <w:rsid w:val="007E05A2"/>
    <w:rsid w:val="007E1089"/>
    <w:rsid w:val="007E1B26"/>
    <w:rsid w:val="007E1F8D"/>
    <w:rsid w:val="007E3B0D"/>
    <w:rsid w:val="007E5E24"/>
    <w:rsid w:val="007E6D8F"/>
    <w:rsid w:val="007F05CF"/>
    <w:rsid w:val="007F1E72"/>
    <w:rsid w:val="007F2C37"/>
    <w:rsid w:val="007F435D"/>
    <w:rsid w:val="007F4798"/>
    <w:rsid w:val="007F540E"/>
    <w:rsid w:val="00800438"/>
    <w:rsid w:val="0080099A"/>
    <w:rsid w:val="008019A5"/>
    <w:rsid w:val="008020C2"/>
    <w:rsid w:val="008020CD"/>
    <w:rsid w:val="00802389"/>
    <w:rsid w:val="00802A17"/>
    <w:rsid w:val="00803543"/>
    <w:rsid w:val="00804DE4"/>
    <w:rsid w:val="00805C6E"/>
    <w:rsid w:val="008061A0"/>
    <w:rsid w:val="00806719"/>
    <w:rsid w:val="00806AFC"/>
    <w:rsid w:val="008078D9"/>
    <w:rsid w:val="00810336"/>
    <w:rsid w:val="0081138B"/>
    <w:rsid w:val="0081156D"/>
    <w:rsid w:val="00811A17"/>
    <w:rsid w:val="00811B30"/>
    <w:rsid w:val="00812D95"/>
    <w:rsid w:val="00813448"/>
    <w:rsid w:val="00813ACA"/>
    <w:rsid w:val="00814498"/>
    <w:rsid w:val="00814EDE"/>
    <w:rsid w:val="0081612B"/>
    <w:rsid w:val="00816ED1"/>
    <w:rsid w:val="00821D0B"/>
    <w:rsid w:val="00821D82"/>
    <w:rsid w:val="00822FCB"/>
    <w:rsid w:val="008230F2"/>
    <w:rsid w:val="00823442"/>
    <w:rsid w:val="00823AF8"/>
    <w:rsid w:val="00823CFE"/>
    <w:rsid w:val="008242ED"/>
    <w:rsid w:val="00824BE5"/>
    <w:rsid w:val="0082593A"/>
    <w:rsid w:val="008276BB"/>
    <w:rsid w:val="00830F6A"/>
    <w:rsid w:val="0083107B"/>
    <w:rsid w:val="008318DC"/>
    <w:rsid w:val="00832EA6"/>
    <w:rsid w:val="00832FD6"/>
    <w:rsid w:val="0083336E"/>
    <w:rsid w:val="00833CA6"/>
    <w:rsid w:val="00834066"/>
    <w:rsid w:val="008343B4"/>
    <w:rsid w:val="00837B9A"/>
    <w:rsid w:val="00837E1F"/>
    <w:rsid w:val="008403D2"/>
    <w:rsid w:val="008405CE"/>
    <w:rsid w:val="008405CF"/>
    <w:rsid w:val="00840717"/>
    <w:rsid w:val="00841726"/>
    <w:rsid w:val="008417D1"/>
    <w:rsid w:val="008426AA"/>
    <w:rsid w:val="0084295A"/>
    <w:rsid w:val="0084393F"/>
    <w:rsid w:val="00846269"/>
    <w:rsid w:val="00851511"/>
    <w:rsid w:val="008536CA"/>
    <w:rsid w:val="00853DE9"/>
    <w:rsid w:val="008547C2"/>
    <w:rsid w:val="008549D9"/>
    <w:rsid w:val="00854A89"/>
    <w:rsid w:val="00855355"/>
    <w:rsid w:val="008557C2"/>
    <w:rsid w:val="00855F97"/>
    <w:rsid w:val="00856021"/>
    <w:rsid w:val="008562AF"/>
    <w:rsid w:val="0086080D"/>
    <w:rsid w:val="00861E38"/>
    <w:rsid w:val="00862159"/>
    <w:rsid w:val="0086262E"/>
    <w:rsid w:val="008634DE"/>
    <w:rsid w:val="008647BD"/>
    <w:rsid w:val="00864F72"/>
    <w:rsid w:val="008658C4"/>
    <w:rsid w:val="008665C4"/>
    <w:rsid w:val="0086751C"/>
    <w:rsid w:val="00867602"/>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73B"/>
    <w:rsid w:val="00890F28"/>
    <w:rsid w:val="00892541"/>
    <w:rsid w:val="00892CF6"/>
    <w:rsid w:val="0089372D"/>
    <w:rsid w:val="00893E14"/>
    <w:rsid w:val="0089533C"/>
    <w:rsid w:val="00895554"/>
    <w:rsid w:val="008957A8"/>
    <w:rsid w:val="00895A54"/>
    <w:rsid w:val="00896B6A"/>
    <w:rsid w:val="00897185"/>
    <w:rsid w:val="008A0454"/>
    <w:rsid w:val="008A1178"/>
    <w:rsid w:val="008A1381"/>
    <w:rsid w:val="008A1561"/>
    <w:rsid w:val="008A1A60"/>
    <w:rsid w:val="008A20B5"/>
    <w:rsid w:val="008A3B56"/>
    <w:rsid w:val="008A4281"/>
    <w:rsid w:val="008A537D"/>
    <w:rsid w:val="008A5CA6"/>
    <w:rsid w:val="008A6664"/>
    <w:rsid w:val="008A6C85"/>
    <w:rsid w:val="008A7240"/>
    <w:rsid w:val="008A75F3"/>
    <w:rsid w:val="008A7BFC"/>
    <w:rsid w:val="008A7CF7"/>
    <w:rsid w:val="008A7FAD"/>
    <w:rsid w:val="008B0049"/>
    <w:rsid w:val="008B100F"/>
    <w:rsid w:val="008B1DA6"/>
    <w:rsid w:val="008B3660"/>
    <w:rsid w:val="008B4AEE"/>
    <w:rsid w:val="008B4E99"/>
    <w:rsid w:val="008C1632"/>
    <w:rsid w:val="008C210D"/>
    <w:rsid w:val="008C3E59"/>
    <w:rsid w:val="008C480D"/>
    <w:rsid w:val="008C4C45"/>
    <w:rsid w:val="008C5E53"/>
    <w:rsid w:val="008C651B"/>
    <w:rsid w:val="008C7138"/>
    <w:rsid w:val="008D136B"/>
    <w:rsid w:val="008D15BE"/>
    <w:rsid w:val="008D1DF2"/>
    <w:rsid w:val="008D2564"/>
    <w:rsid w:val="008D3A95"/>
    <w:rsid w:val="008D3C26"/>
    <w:rsid w:val="008D63E7"/>
    <w:rsid w:val="008E1626"/>
    <w:rsid w:val="008E270C"/>
    <w:rsid w:val="008E3174"/>
    <w:rsid w:val="008E46B0"/>
    <w:rsid w:val="008E51D4"/>
    <w:rsid w:val="008E5F26"/>
    <w:rsid w:val="008E66F8"/>
    <w:rsid w:val="008E74EF"/>
    <w:rsid w:val="008E7904"/>
    <w:rsid w:val="008E7EFA"/>
    <w:rsid w:val="008F051D"/>
    <w:rsid w:val="008F0FC5"/>
    <w:rsid w:val="008F0FD2"/>
    <w:rsid w:val="008F17A3"/>
    <w:rsid w:val="008F1B1B"/>
    <w:rsid w:val="008F4376"/>
    <w:rsid w:val="008F59AF"/>
    <w:rsid w:val="008F5B07"/>
    <w:rsid w:val="008F5E59"/>
    <w:rsid w:val="008F61FC"/>
    <w:rsid w:val="008F74A5"/>
    <w:rsid w:val="00901474"/>
    <w:rsid w:val="009014FD"/>
    <w:rsid w:val="00902AA7"/>
    <w:rsid w:val="00902C55"/>
    <w:rsid w:val="00903496"/>
    <w:rsid w:val="00903A37"/>
    <w:rsid w:val="009041F8"/>
    <w:rsid w:val="00904CBE"/>
    <w:rsid w:val="00904D53"/>
    <w:rsid w:val="00905C49"/>
    <w:rsid w:val="00906675"/>
    <w:rsid w:val="00906C53"/>
    <w:rsid w:val="0090737A"/>
    <w:rsid w:val="00911708"/>
    <w:rsid w:val="0091491D"/>
    <w:rsid w:val="0091517B"/>
    <w:rsid w:val="00920713"/>
    <w:rsid w:val="00921597"/>
    <w:rsid w:val="00921696"/>
    <w:rsid w:val="00924D6E"/>
    <w:rsid w:val="0092525C"/>
    <w:rsid w:val="009257EE"/>
    <w:rsid w:val="009262E3"/>
    <w:rsid w:val="00926926"/>
    <w:rsid w:val="00927E7F"/>
    <w:rsid w:val="009300E6"/>
    <w:rsid w:val="00930DC0"/>
    <w:rsid w:val="00931856"/>
    <w:rsid w:val="00931957"/>
    <w:rsid w:val="00931FC0"/>
    <w:rsid w:val="00932259"/>
    <w:rsid w:val="0093242F"/>
    <w:rsid w:val="0093398B"/>
    <w:rsid w:val="00934D2D"/>
    <w:rsid w:val="00937B2D"/>
    <w:rsid w:val="00937F6E"/>
    <w:rsid w:val="00940225"/>
    <w:rsid w:val="00941545"/>
    <w:rsid w:val="009429D4"/>
    <w:rsid w:val="00942F00"/>
    <w:rsid w:val="009430BC"/>
    <w:rsid w:val="00943D4D"/>
    <w:rsid w:val="00944464"/>
    <w:rsid w:val="0094595D"/>
    <w:rsid w:val="00945BC4"/>
    <w:rsid w:val="0094670F"/>
    <w:rsid w:val="009503FE"/>
    <w:rsid w:val="0095291D"/>
    <w:rsid w:val="00954778"/>
    <w:rsid w:val="0095687B"/>
    <w:rsid w:val="00956C1C"/>
    <w:rsid w:val="00957730"/>
    <w:rsid w:val="00957F20"/>
    <w:rsid w:val="00960CDB"/>
    <w:rsid w:val="00960E53"/>
    <w:rsid w:val="00962E0E"/>
    <w:rsid w:val="00964882"/>
    <w:rsid w:val="009648F1"/>
    <w:rsid w:val="00964C44"/>
    <w:rsid w:val="00964DFA"/>
    <w:rsid w:val="00965B07"/>
    <w:rsid w:val="0096634B"/>
    <w:rsid w:val="0097020E"/>
    <w:rsid w:val="0097136D"/>
    <w:rsid w:val="00971D2F"/>
    <w:rsid w:val="009737E6"/>
    <w:rsid w:val="0097492C"/>
    <w:rsid w:val="00974E2D"/>
    <w:rsid w:val="00975DB5"/>
    <w:rsid w:val="00976DCD"/>
    <w:rsid w:val="00976F0D"/>
    <w:rsid w:val="0098066C"/>
    <w:rsid w:val="009812F2"/>
    <w:rsid w:val="009814B0"/>
    <w:rsid w:val="00981871"/>
    <w:rsid w:val="00981918"/>
    <w:rsid w:val="00983779"/>
    <w:rsid w:val="00984181"/>
    <w:rsid w:val="0098571F"/>
    <w:rsid w:val="009867A0"/>
    <w:rsid w:val="00987780"/>
    <w:rsid w:val="0099005D"/>
    <w:rsid w:val="00990504"/>
    <w:rsid w:val="00992B0D"/>
    <w:rsid w:val="00992EF4"/>
    <w:rsid w:val="00993347"/>
    <w:rsid w:val="009946EF"/>
    <w:rsid w:val="009949C6"/>
    <w:rsid w:val="00995CFF"/>
    <w:rsid w:val="009969D4"/>
    <w:rsid w:val="009969E0"/>
    <w:rsid w:val="00996B5C"/>
    <w:rsid w:val="00997700"/>
    <w:rsid w:val="009A0545"/>
    <w:rsid w:val="009A0A52"/>
    <w:rsid w:val="009A0B4E"/>
    <w:rsid w:val="009A1EC2"/>
    <w:rsid w:val="009A2E54"/>
    <w:rsid w:val="009A30FE"/>
    <w:rsid w:val="009A36AF"/>
    <w:rsid w:val="009A3E97"/>
    <w:rsid w:val="009A591E"/>
    <w:rsid w:val="009A62BB"/>
    <w:rsid w:val="009A77E7"/>
    <w:rsid w:val="009B0D78"/>
    <w:rsid w:val="009B172C"/>
    <w:rsid w:val="009B1B5C"/>
    <w:rsid w:val="009B1E9E"/>
    <w:rsid w:val="009B2496"/>
    <w:rsid w:val="009B2A97"/>
    <w:rsid w:val="009B3011"/>
    <w:rsid w:val="009B306D"/>
    <w:rsid w:val="009B5983"/>
    <w:rsid w:val="009B6339"/>
    <w:rsid w:val="009B7B65"/>
    <w:rsid w:val="009C052D"/>
    <w:rsid w:val="009C09A0"/>
    <w:rsid w:val="009C2135"/>
    <w:rsid w:val="009C323D"/>
    <w:rsid w:val="009C36F1"/>
    <w:rsid w:val="009C3B51"/>
    <w:rsid w:val="009C3E3C"/>
    <w:rsid w:val="009C46F5"/>
    <w:rsid w:val="009C4F54"/>
    <w:rsid w:val="009C5271"/>
    <w:rsid w:val="009C5303"/>
    <w:rsid w:val="009C60EB"/>
    <w:rsid w:val="009C63A4"/>
    <w:rsid w:val="009C63D5"/>
    <w:rsid w:val="009C6B5F"/>
    <w:rsid w:val="009C787C"/>
    <w:rsid w:val="009C7B8E"/>
    <w:rsid w:val="009C7FC6"/>
    <w:rsid w:val="009D161A"/>
    <w:rsid w:val="009D1693"/>
    <w:rsid w:val="009D1BCC"/>
    <w:rsid w:val="009D3D26"/>
    <w:rsid w:val="009D3DD3"/>
    <w:rsid w:val="009D4AB7"/>
    <w:rsid w:val="009D5302"/>
    <w:rsid w:val="009D62F3"/>
    <w:rsid w:val="009D754F"/>
    <w:rsid w:val="009D7980"/>
    <w:rsid w:val="009E0242"/>
    <w:rsid w:val="009E1896"/>
    <w:rsid w:val="009E1980"/>
    <w:rsid w:val="009E1ACC"/>
    <w:rsid w:val="009E20B0"/>
    <w:rsid w:val="009E26D0"/>
    <w:rsid w:val="009E2833"/>
    <w:rsid w:val="009E2BB3"/>
    <w:rsid w:val="009E2EA4"/>
    <w:rsid w:val="009E325E"/>
    <w:rsid w:val="009E3484"/>
    <w:rsid w:val="009E569F"/>
    <w:rsid w:val="009E5FDA"/>
    <w:rsid w:val="009E63E2"/>
    <w:rsid w:val="009E646F"/>
    <w:rsid w:val="009E776E"/>
    <w:rsid w:val="009E785A"/>
    <w:rsid w:val="009E7F5F"/>
    <w:rsid w:val="009F1760"/>
    <w:rsid w:val="009F2142"/>
    <w:rsid w:val="009F2862"/>
    <w:rsid w:val="009F3183"/>
    <w:rsid w:val="009F4396"/>
    <w:rsid w:val="009F5BAA"/>
    <w:rsid w:val="009F5D93"/>
    <w:rsid w:val="009F6AE9"/>
    <w:rsid w:val="009F6F14"/>
    <w:rsid w:val="009F7433"/>
    <w:rsid w:val="00A00F3C"/>
    <w:rsid w:val="00A0144A"/>
    <w:rsid w:val="00A02053"/>
    <w:rsid w:val="00A02844"/>
    <w:rsid w:val="00A034F2"/>
    <w:rsid w:val="00A042CC"/>
    <w:rsid w:val="00A04F3A"/>
    <w:rsid w:val="00A06BF5"/>
    <w:rsid w:val="00A0717A"/>
    <w:rsid w:val="00A076B8"/>
    <w:rsid w:val="00A07944"/>
    <w:rsid w:val="00A07E9C"/>
    <w:rsid w:val="00A07EDA"/>
    <w:rsid w:val="00A10F9D"/>
    <w:rsid w:val="00A11066"/>
    <w:rsid w:val="00A1196D"/>
    <w:rsid w:val="00A11A36"/>
    <w:rsid w:val="00A120B5"/>
    <w:rsid w:val="00A122F8"/>
    <w:rsid w:val="00A1243E"/>
    <w:rsid w:val="00A12914"/>
    <w:rsid w:val="00A12EEB"/>
    <w:rsid w:val="00A136BB"/>
    <w:rsid w:val="00A14173"/>
    <w:rsid w:val="00A167B8"/>
    <w:rsid w:val="00A17060"/>
    <w:rsid w:val="00A17613"/>
    <w:rsid w:val="00A17ED7"/>
    <w:rsid w:val="00A20492"/>
    <w:rsid w:val="00A20DCB"/>
    <w:rsid w:val="00A2185E"/>
    <w:rsid w:val="00A21919"/>
    <w:rsid w:val="00A23951"/>
    <w:rsid w:val="00A25781"/>
    <w:rsid w:val="00A26381"/>
    <w:rsid w:val="00A31C08"/>
    <w:rsid w:val="00A32889"/>
    <w:rsid w:val="00A328AB"/>
    <w:rsid w:val="00A32AE8"/>
    <w:rsid w:val="00A331C2"/>
    <w:rsid w:val="00A36274"/>
    <w:rsid w:val="00A36A40"/>
    <w:rsid w:val="00A36D42"/>
    <w:rsid w:val="00A414A1"/>
    <w:rsid w:val="00A41BC0"/>
    <w:rsid w:val="00A42893"/>
    <w:rsid w:val="00A42906"/>
    <w:rsid w:val="00A43E5D"/>
    <w:rsid w:val="00A44AC5"/>
    <w:rsid w:val="00A45490"/>
    <w:rsid w:val="00A4723D"/>
    <w:rsid w:val="00A47250"/>
    <w:rsid w:val="00A51567"/>
    <w:rsid w:val="00A5180C"/>
    <w:rsid w:val="00A521EE"/>
    <w:rsid w:val="00A5427C"/>
    <w:rsid w:val="00A603C3"/>
    <w:rsid w:val="00A61267"/>
    <w:rsid w:val="00A63829"/>
    <w:rsid w:val="00A64250"/>
    <w:rsid w:val="00A64FD8"/>
    <w:rsid w:val="00A65182"/>
    <w:rsid w:val="00A6550F"/>
    <w:rsid w:val="00A6768E"/>
    <w:rsid w:val="00A679C2"/>
    <w:rsid w:val="00A67C97"/>
    <w:rsid w:val="00A711F9"/>
    <w:rsid w:val="00A71783"/>
    <w:rsid w:val="00A719FE"/>
    <w:rsid w:val="00A71D29"/>
    <w:rsid w:val="00A74937"/>
    <w:rsid w:val="00A75B8E"/>
    <w:rsid w:val="00A76549"/>
    <w:rsid w:val="00A76660"/>
    <w:rsid w:val="00A80111"/>
    <w:rsid w:val="00A81DF8"/>
    <w:rsid w:val="00A82B55"/>
    <w:rsid w:val="00A83F39"/>
    <w:rsid w:val="00A84210"/>
    <w:rsid w:val="00A847B4"/>
    <w:rsid w:val="00A85465"/>
    <w:rsid w:val="00A854E2"/>
    <w:rsid w:val="00A85B0B"/>
    <w:rsid w:val="00A866AE"/>
    <w:rsid w:val="00A878A5"/>
    <w:rsid w:val="00A87D38"/>
    <w:rsid w:val="00A905B8"/>
    <w:rsid w:val="00A92225"/>
    <w:rsid w:val="00A936C8"/>
    <w:rsid w:val="00A9381F"/>
    <w:rsid w:val="00A9427E"/>
    <w:rsid w:val="00A94CC9"/>
    <w:rsid w:val="00A958D5"/>
    <w:rsid w:val="00A95B9A"/>
    <w:rsid w:val="00A95CB4"/>
    <w:rsid w:val="00A969AF"/>
    <w:rsid w:val="00A976E6"/>
    <w:rsid w:val="00AA00D8"/>
    <w:rsid w:val="00AA31A6"/>
    <w:rsid w:val="00AA32DA"/>
    <w:rsid w:val="00AA43DA"/>
    <w:rsid w:val="00AA45A4"/>
    <w:rsid w:val="00AA4712"/>
    <w:rsid w:val="00AA4FAB"/>
    <w:rsid w:val="00AA5125"/>
    <w:rsid w:val="00AA572B"/>
    <w:rsid w:val="00AA65F4"/>
    <w:rsid w:val="00AA6F6D"/>
    <w:rsid w:val="00AA7A71"/>
    <w:rsid w:val="00AB01B3"/>
    <w:rsid w:val="00AB1B2B"/>
    <w:rsid w:val="00AB28C1"/>
    <w:rsid w:val="00AB43EE"/>
    <w:rsid w:val="00AB4F07"/>
    <w:rsid w:val="00AB5121"/>
    <w:rsid w:val="00AB51EA"/>
    <w:rsid w:val="00AB6F0C"/>
    <w:rsid w:val="00AB7E89"/>
    <w:rsid w:val="00AC1EC5"/>
    <w:rsid w:val="00AC3E7C"/>
    <w:rsid w:val="00AC4AC4"/>
    <w:rsid w:val="00AC4F68"/>
    <w:rsid w:val="00AC6A3A"/>
    <w:rsid w:val="00AC7E7B"/>
    <w:rsid w:val="00AC7F40"/>
    <w:rsid w:val="00AC7FDF"/>
    <w:rsid w:val="00AD0544"/>
    <w:rsid w:val="00AD061A"/>
    <w:rsid w:val="00AD149A"/>
    <w:rsid w:val="00AD1C15"/>
    <w:rsid w:val="00AD31E1"/>
    <w:rsid w:val="00AD35F0"/>
    <w:rsid w:val="00AD4993"/>
    <w:rsid w:val="00AD6B3C"/>
    <w:rsid w:val="00AE099A"/>
    <w:rsid w:val="00AE154F"/>
    <w:rsid w:val="00AE18E1"/>
    <w:rsid w:val="00AE1EE1"/>
    <w:rsid w:val="00AE207E"/>
    <w:rsid w:val="00AE2782"/>
    <w:rsid w:val="00AE2C20"/>
    <w:rsid w:val="00AE3DAE"/>
    <w:rsid w:val="00AE412E"/>
    <w:rsid w:val="00AE4DDB"/>
    <w:rsid w:val="00AE5589"/>
    <w:rsid w:val="00AE5E46"/>
    <w:rsid w:val="00AE653F"/>
    <w:rsid w:val="00AF05EC"/>
    <w:rsid w:val="00AF2426"/>
    <w:rsid w:val="00AF252E"/>
    <w:rsid w:val="00AF2AE0"/>
    <w:rsid w:val="00AF30C0"/>
    <w:rsid w:val="00AF3957"/>
    <w:rsid w:val="00AF399D"/>
    <w:rsid w:val="00AF3D18"/>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3EDA"/>
    <w:rsid w:val="00B14FF9"/>
    <w:rsid w:val="00B15941"/>
    <w:rsid w:val="00B15D9A"/>
    <w:rsid w:val="00B160F4"/>
    <w:rsid w:val="00B1684F"/>
    <w:rsid w:val="00B1722F"/>
    <w:rsid w:val="00B17CCB"/>
    <w:rsid w:val="00B207AC"/>
    <w:rsid w:val="00B20D36"/>
    <w:rsid w:val="00B2105E"/>
    <w:rsid w:val="00B21512"/>
    <w:rsid w:val="00B21FA2"/>
    <w:rsid w:val="00B2221B"/>
    <w:rsid w:val="00B235FF"/>
    <w:rsid w:val="00B24486"/>
    <w:rsid w:val="00B24846"/>
    <w:rsid w:val="00B25955"/>
    <w:rsid w:val="00B26963"/>
    <w:rsid w:val="00B26AA4"/>
    <w:rsid w:val="00B271DC"/>
    <w:rsid w:val="00B27A37"/>
    <w:rsid w:val="00B30BDA"/>
    <w:rsid w:val="00B30C98"/>
    <w:rsid w:val="00B31055"/>
    <w:rsid w:val="00B32AE8"/>
    <w:rsid w:val="00B3323A"/>
    <w:rsid w:val="00B34ECD"/>
    <w:rsid w:val="00B36696"/>
    <w:rsid w:val="00B40607"/>
    <w:rsid w:val="00B418D6"/>
    <w:rsid w:val="00B446F9"/>
    <w:rsid w:val="00B45BBB"/>
    <w:rsid w:val="00B46ADF"/>
    <w:rsid w:val="00B50382"/>
    <w:rsid w:val="00B512A3"/>
    <w:rsid w:val="00B51F04"/>
    <w:rsid w:val="00B53331"/>
    <w:rsid w:val="00B543F0"/>
    <w:rsid w:val="00B559B2"/>
    <w:rsid w:val="00B565D4"/>
    <w:rsid w:val="00B56BAF"/>
    <w:rsid w:val="00B56D2F"/>
    <w:rsid w:val="00B56DA8"/>
    <w:rsid w:val="00B575F9"/>
    <w:rsid w:val="00B57BF8"/>
    <w:rsid w:val="00B60D9E"/>
    <w:rsid w:val="00B60E51"/>
    <w:rsid w:val="00B621A1"/>
    <w:rsid w:val="00B630C2"/>
    <w:rsid w:val="00B63F7F"/>
    <w:rsid w:val="00B6537F"/>
    <w:rsid w:val="00B65433"/>
    <w:rsid w:val="00B65D0C"/>
    <w:rsid w:val="00B65DEE"/>
    <w:rsid w:val="00B673D7"/>
    <w:rsid w:val="00B70D34"/>
    <w:rsid w:val="00B71571"/>
    <w:rsid w:val="00B715B1"/>
    <w:rsid w:val="00B71E5D"/>
    <w:rsid w:val="00B7619E"/>
    <w:rsid w:val="00B76C01"/>
    <w:rsid w:val="00B77677"/>
    <w:rsid w:val="00B77BF3"/>
    <w:rsid w:val="00B80271"/>
    <w:rsid w:val="00B80D7F"/>
    <w:rsid w:val="00B8147A"/>
    <w:rsid w:val="00B831A1"/>
    <w:rsid w:val="00B83257"/>
    <w:rsid w:val="00B8381D"/>
    <w:rsid w:val="00B84964"/>
    <w:rsid w:val="00B849F3"/>
    <w:rsid w:val="00B85F87"/>
    <w:rsid w:val="00B8687A"/>
    <w:rsid w:val="00B9092D"/>
    <w:rsid w:val="00B91527"/>
    <w:rsid w:val="00B92287"/>
    <w:rsid w:val="00B92470"/>
    <w:rsid w:val="00B929D1"/>
    <w:rsid w:val="00B938C6"/>
    <w:rsid w:val="00B93AC6"/>
    <w:rsid w:val="00B93F6D"/>
    <w:rsid w:val="00B94F3D"/>
    <w:rsid w:val="00B95349"/>
    <w:rsid w:val="00B955C0"/>
    <w:rsid w:val="00B95B9C"/>
    <w:rsid w:val="00B961E2"/>
    <w:rsid w:val="00BA0067"/>
    <w:rsid w:val="00BA0F9A"/>
    <w:rsid w:val="00BA2179"/>
    <w:rsid w:val="00BA2181"/>
    <w:rsid w:val="00BA2B7E"/>
    <w:rsid w:val="00BA39A0"/>
    <w:rsid w:val="00BA3C6E"/>
    <w:rsid w:val="00BA65AC"/>
    <w:rsid w:val="00BB1F3C"/>
    <w:rsid w:val="00BB2985"/>
    <w:rsid w:val="00BC026A"/>
    <w:rsid w:val="00BC0A20"/>
    <w:rsid w:val="00BC150E"/>
    <w:rsid w:val="00BC21A0"/>
    <w:rsid w:val="00BC4EF3"/>
    <w:rsid w:val="00BC77C0"/>
    <w:rsid w:val="00BC7C7C"/>
    <w:rsid w:val="00BD0B25"/>
    <w:rsid w:val="00BD234D"/>
    <w:rsid w:val="00BD2561"/>
    <w:rsid w:val="00BD36A4"/>
    <w:rsid w:val="00BD57AE"/>
    <w:rsid w:val="00BD5DCD"/>
    <w:rsid w:val="00BD616D"/>
    <w:rsid w:val="00BD6C4D"/>
    <w:rsid w:val="00BE0350"/>
    <w:rsid w:val="00BE0997"/>
    <w:rsid w:val="00BE1907"/>
    <w:rsid w:val="00BE1A97"/>
    <w:rsid w:val="00BE3AF3"/>
    <w:rsid w:val="00BE485B"/>
    <w:rsid w:val="00BE5389"/>
    <w:rsid w:val="00BE6A74"/>
    <w:rsid w:val="00BE7D08"/>
    <w:rsid w:val="00BF0503"/>
    <w:rsid w:val="00BF0840"/>
    <w:rsid w:val="00BF0DFF"/>
    <w:rsid w:val="00BF22B8"/>
    <w:rsid w:val="00BF2603"/>
    <w:rsid w:val="00BF3C17"/>
    <w:rsid w:val="00BF51CE"/>
    <w:rsid w:val="00BF649B"/>
    <w:rsid w:val="00BF6541"/>
    <w:rsid w:val="00C00C96"/>
    <w:rsid w:val="00C013F4"/>
    <w:rsid w:val="00C01A0D"/>
    <w:rsid w:val="00C02607"/>
    <w:rsid w:val="00C028D9"/>
    <w:rsid w:val="00C02B2A"/>
    <w:rsid w:val="00C036E4"/>
    <w:rsid w:val="00C038B8"/>
    <w:rsid w:val="00C03B35"/>
    <w:rsid w:val="00C06574"/>
    <w:rsid w:val="00C06F31"/>
    <w:rsid w:val="00C10315"/>
    <w:rsid w:val="00C11EE9"/>
    <w:rsid w:val="00C12127"/>
    <w:rsid w:val="00C126C0"/>
    <w:rsid w:val="00C12B8C"/>
    <w:rsid w:val="00C155D9"/>
    <w:rsid w:val="00C16F7C"/>
    <w:rsid w:val="00C2211D"/>
    <w:rsid w:val="00C22FB1"/>
    <w:rsid w:val="00C23175"/>
    <w:rsid w:val="00C2344F"/>
    <w:rsid w:val="00C23B05"/>
    <w:rsid w:val="00C2432D"/>
    <w:rsid w:val="00C246F2"/>
    <w:rsid w:val="00C24706"/>
    <w:rsid w:val="00C25876"/>
    <w:rsid w:val="00C26707"/>
    <w:rsid w:val="00C27719"/>
    <w:rsid w:val="00C31559"/>
    <w:rsid w:val="00C31BCD"/>
    <w:rsid w:val="00C320EB"/>
    <w:rsid w:val="00C32F7B"/>
    <w:rsid w:val="00C33845"/>
    <w:rsid w:val="00C346C2"/>
    <w:rsid w:val="00C34997"/>
    <w:rsid w:val="00C3513F"/>
    <w:rsid w:val="00C355AA"/>
    <w:rsid w:val="00C36223"/>
    <w:rsid w:val="00C40725"/>
    <w:rsid w:val="00C4207E"/>
    <w:rsid w:val="00C43785"/>
    <w:rsid w:val="00C44A3A"/>
    <w:rsid w:val="00C44E93"/>
    <w:rsid w:val="00C451A3"/>
    <w:rsid w:val="00C452BC"/>
    <w:rsid w:val="00C4577E"/>
    <w:rsid w:val="00C5072A"/>
    <w:rsid w:val="00C50C8F"/>
    <w:rsid w:val="00C50D41"/>
    <w:rsid w:val="00C51156"/>
    <w:rsid w:val="00C532DA"/>
    <w:rsid w:val="00C53FD7"/>
    <w:rsid w:val="00C55C61"/>
    <w:rsid w:val="00C57047"/>
    <w:rsid w:val="00C6137C"/>
    <w:rsid w:val="00C620FE"/>
    <w:rsid w:val="00C622EB"/>
    <w:rsid w:val="00C64F44"/>
    <w:rsid w:val="00C650ED"/>
    <w:rsid w:val="00C65132"/>
    <w:rsid w:val="00C6518A"/>
    <w:rsid w:val="00C65F6A"/>
    <w:rsid w:val="00C67F3E"/>
    <w:rsid w:val="00C70CD5"/>
    <w:rsid w:val="00C717DB"/>
    <w:rsid w:val="00C7194E"/>
    <w:rsid w:val="00C7216F"/>
    <w:rsid w:val="00C730E4"/>
    <w:rsid w:val="00C73BB8"/>
    <w:rsid w:val="00C74CC5"/>
    <w:rsid w:val="00C76B48"/>
    <w:rsid w:val="00C76CC4"/>
    <w:rsid w:val="00C77430"/>
    <w:rsid w:val="00C77815"/>
    <w:rsid w:val="00C811E2"/>
    <w:rsid w:val="00C823C5"/>
    <w:rsid w:val="00C82D42"/>
    <w:rsid w:val="00C8322A"/>
    <w:rsid w:val="00C83583"/>
    <w:rsid w:val="00C84B12"/>
    <w:rsid w:val="00C85282"/>
    <w:rsid w:val="00C85CA1"/>
    <w:rsid w:val="00C869BC"/>
    <w:rsid w:val="00C8737E"/>
    <w:rsid w:val="00C90444"/>
    <w:rsid w:val="00C9243B"/>
    <w:rsid w:val="00C92FE2"/>
    <w:rsid w:val="00C953C0"/>
    <w:rsid w:val="00C96E5A"/>
    <w:rsid w:val="00C97ACC"/>
    <w:rsid w:val="00CA056D"/>
    <w:rsid w:val="00CA1221"/>
    <w:rsid w:val="00CA181F"/>
    <w:rsid w:val="00CA22C7"/>
    <w:rsid w:val="00CA266B"/>
    <w:rsid w:val="00CA2A54"/>
    <w:rsid w:val="00CA2C86"/>
    <w:rsid w:val="00CA3219"/>
    <w:rsid w:val="00CA38E6"/>
    <w:rsid w:val="00CA4681"/>
    <w:rsid w:val="00CA49F9"/>
    <w:rsid w:val="00CA512D"/>
    <w:rsid w:val="00CA5F63"/>
    <w:rsid w:val="00CA6898"/>
    <w:rsid w:val="00CA6E7F"/>
    <w:rsid w:val="00CB01EB"/>
    <w:rsid w:val="00CB0DFA"/>
    <w:rsid w:val="00CB250C"/>
    <w:rsid w:val="00CB34D5"/>
    <w:rsid w:val="00CB3C28"/>
    <w:rsid w:val="00CB6CB0"/>
    <w:rsid w:val="00CC134C"/>
    <w:rsid w:val="00CC29E0"/>
    <w:rsid w:val="00CC3343"/>
    <w:rsid w:val="00CC36F9"/>
    <w:rsid w:val="00CC3E8F"/>
    <w:rsid w:val="00CD0BA2"/>
    <w:rsid w:val="00CD18DE"/>
    <w:rsid w:val="00CD1C22"/>
    <w:rsid w:val="00CD2E30"/>
    <w:rsid w:val="00CD5B94"/>
    <w:rsid w:val="00CD643B"/>
    <w:rsid w:val="00CD6B61"/>
    <w:rsid w:val="00CD7B7F"/>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0C66"/>
    <w:rsid w:val="00D013E1"/>
    <w:rsid w:val="00D01E61"/>
    <w:rsid w:val="00D02296"/>
    <w:rsid w:val="00D02B99"/>
    <w:rsid w:val="00D0306C"/>
    <w:rsid w:val="00D034FA"/>
    <w:rsid w:val="00D03C82"/>
    <w:rsid w:val="00D05D68"/>
    <w:rsid w:val="00D06027"/>
    <w:rsid w:val="00D0751A"/>
    <w:rsid w:val="00D078F8"/>
    <w:rsid w:val="00D07D25"/>
    <w:rsid w:val="00D1039F"/>
    <w:rsid w:val="00D110F0"/>
    <w:rsid w:val="00D116BA"/>
    <w:rsid w:val="00D12852"/>
    <w:rsid w:val="00D13010"/>
    <w:rsid w:val="00D133F0"/>
    <w:rsid w:val="00D143ED"/>
    <w:rsid w:val="00D16469"/>
    <w:rsid w:val="00D16C5A"/>
    <w:rsid w:val="00D16DAA"/>
    <w:rsid w:val="00D17E12"/>
    <w:rsid w:val="00D20F59"/>
    <w:rsid w:val="00D21B84"/>
    <w:rsid w:val="00D22983"/>
    <w:rsid w:val="00D22B7B"/>
    <w:rsid w:val="00D22E90"/>
    <w:rsid w:val="00D25359"/>
    <w:rsid w:val="00D25E7D"/>
    <w:rsid w:val="00D261EA"/>
    <w:rsid w:val="00D26D6A"/>
    <w:rsid w:val="00D27732"/>
    <w:rsid w:val="00D27842"/>
    <w:rsid w:val="00D30628"/>
    <w:rsid w:val="00D30706"/>
    <w:rsid w:val="00D30CEE"/>
    <w:rsid w:val="00D31D6C"/>
    <w:rsid w:val="00D32B3D"/>
    <w:rsid w:val="00D33C8D"/>
    <w:rsid w:val="00D359E7"/>
    <w:rsid w:val="00D363C2"/>
    <w:rsid w:val="00D37148"/>
    <w:rsid w:val="00D37A00"/>
    <w:rsid w:val="00D40860"/>
    <w:rsid w:val="00D4280D"/>
    <w:rsid w:val="00D42B76"/>
    <w:rsid w:val="00D43787"/>
    <w:rsid w:val="00D447D8"/>
    <w:rsid w:val="00D447FF"/>
    <w:rsid w:val="00D450B5"/>
    <w:rsid w:val="00D45623"/>
    <w:rsid w:val="00D4586E"/>
    <w:rsid w:val="00D45942"/>
    <w:rsid w:val="00D45968"/>
    <w:rsid w:val="00D468AF"/>
    <w:rsid w:val="00D470FA"/>
    <w:rsid w:val="00D47F57"/>
    <w:rsid w:val="00D50983"/>
    <w:rsid w:val="00D52F58"/>
    <w:rsid w:val="00D53B35"/>
    <w:rsid w:val="00D5648F"/>
    <w:rsid w:val="00D56E3B"/>
    <w:rsid w:val="00D57CC2"/>
    <w:rsid w:val="00D616EC"/>
    <w:rsid w:val="00D625B8"/>
    <w:rsid w:val="00D648BA"/>
    <w:rsid w:val="00D66709"/>
    <w:rsid w:val="00D66A4D"/>
    <w:rsid w:val="00D67CA9"/>
    <w:rsid w:val="00D67D56"/>
    <w:rsid w:val="00D707C5"/>
    <w:rsid w:val="00D70945"/>
    <w:rsid w:val="00D71C7E"/>
    <w:rsid w:val="00D724E1"/>
    <w:rsid w:val="00D736F6"/>
    <w:rsid w:val="00D75D86"/>
    <w:rsid w:val="00D76A95"/>
    <w:rsid w:val="00D77198"/>
    <w:rsid w:val="00D801E1"/>
    <w:rsid w:val="00D82515"/>
    <w:rsid w:val="00D82682"/>
    <w:rsid w:val="00D82E21"/>
    <w:rsid w:val="00D840E2"/>
    <w:rsid w:val="00D846FE"/>
    <w:rsid w:val="00D8492E"/>
    <w:rsid w:val="00D860CB"/>
    <w:rsid w:val="00D87C68"/>
    <w:rsid w:val="00D92783"/>
    <w:rsid w:val="00D92B70"/>
    <w:rsid w:val="00D92D3B"/>
    <w:rsid w:val="00D9456A"/>
    <w:rsid w:val="00D94B4E"/>
    <w:rsid w:val="00D94DBD"/>
    <w:rsid w:val="00D95CA1"/>
    <w:rsid w:val="00D9736E"/>
    <w:rsid w:val="00D97B33"/>
    <w:rsid w:val="00DA00BB"/>
    <w:rsid w:val="00DA2D28"/>
    <w:rsid w:val="00DA3810"/>
    <w:rsid w:val="00DA38A6"/>
    <w:rsid w:val="00DA38F9"/>
    <w:rsid w:val="00DA6166"/>
    <w:rsid w:val="00DA776D"/>
    <w:rsid w:val="00DA7AAB"/>
    <w:rsid w:val="00DA7E62"/>
    <w:rsid w:val="00DB0815"/>
    <w:rsid w:val="00DB0F5A"/>
    <w:rsid w:val="00DB1859"/>
    <w:rsid w:val="00DB3ABE"/>
    <w:rsid w:val="00DB4C0C"/>
    <w:rsid w:val="00DB6676"/>
    <w:rsid w:val="00DC2ABE"/>
    <w:rsid w:val="00DC59DE"/>
    <w:rsid w:val="00DC7217"/>
    <w:rsid w:val="00DC79BB"/>
    <w:rsid w:val="00DD11EB"/>
    <w:rsid w:val="00DD1B8B"/>
    <w:rsid w:val="00DD1F32"/>
    <w:rsid w:val="00DD23D6"/>
    <w:rsid w:val="00DD3E6C"/>
    <w:rsid w:val="00DD4855"/>
    <w:rsid w:val="00DD75C4"/>
    <w:rsid w:val="00DE19DA"/>
    <w:rsid w:val="00DE1FBA"/>
    <w:rsid w:val="00DE2C8F"/>
    <w:rsid w:val="00DE4550"/>
    <w:rsid w:val="00DE55DE"/>
    <w:rsid w:val="00DE5968"/>
    <w:rsid w:val="00DE6564"/>
    <w:rsid w:val="00DE6A2A"/>
    <w:rsid w:val="00DF10E2"/>
    <w:rsid w:val="00DF1227"/>
    <w:rsid w:val="00DF131F"/>
    <w:rsid w:val="00DF2C98"/>
    <w:rsid w:val="00DF77FD"/>
    <w:rsid w:val="00DF7AB6"/>
    <w:rsid w:val="00E000BC"/>
    <w:rsid w:val="00E00DCA"/>
    <w:rsid w:val="00E033B7"/>
    <w:rsid w:val="00E038DB"/>
    <w:rsid w:val="00E04FFB"/>
    <w:rsid w:val="00E05EEE"/>
    <w:rsid w:val="00E063B3"/>
    <w:rsid w:val="00E065DD"/>
    <w:rsid w:val="00E075A8"/>
    <w:rsid w:val="00E07D5A"/>
    <w:rsid w:val="00E105EE"/>
    <w:rsid w:val="00E108A1"/>
    <w:rsid w:val="00E10D91"/>
    <w:rsid w:val="00E130BC"/>
    <w:rsid w:val="00E134FC"/>
    <w:rsid w:val="00E1436B"/>
    <w:rsid w:val="00E14F22"/>
    <w:rsid w:val="00E151BD"/>
    <w:rsid w:val="00E170FA"/>
    <w:rsid w:val="00E1718E"/>
    <w:rsid w:val="00E2020E"/>
    <w:rsid w:val="00E20249"/>
    <w:rsid w:val="00E20D15"/>
    <w:rsid w:val="00E25A13"/>
    <w:rsid w:val="00E26F75"/>
    <w:rsid w:val="00E27020"/>
    <w:rsid w:val="00E3064C"/>
    <w:rsid w:val="00E32AFB"/>
    <w:rsid w:val="00E33007"/>
    <w:rsid w:val="00E34483"/>
    <w:rsid w:val="00E3456D"/>
    <w:rsid w:val="00E34B02"/>
    <w:rsid w:val="00E36A10"/>
    <w:rsid w:val="00E406B2"/>
    <w:rsid w:val="00E4190D"/>
    <w:rsid w:val="00E42DF7"/>
    <w:rsid w:val="00E44987"/>
    <w:rsid w:val="00E44EB9"/>
    <w:rsid w:val="00E44F34"/>
    <w:rsid w:val="00E45859"/>
    <w:rsid w:val="00E47666"/>
    <w:rsid w:val="00E47752"/>
    <w:rsid w:val="00E47C2B"/>
    <w:rsid w:val="00E504E9"/>
    <w:rsid w:val="00E507A9"/>
    <w:rsid w:val="00E5253D"/>
    <w:rsid w:val="00E53860"/>
    <w:rsid w:val="00E55048"/>
    <w:rsid w:val="00E554E7"/>
    <w:rsid w:val="00E5688C"/>
    <w:rsid w:val="00E56C47"/>
    <w:rsid w:val="00E5767B"/>
    <w:rsid w:val="00E57C72"/>
    <w:rsid w:val="00E60AEE"/>
    <w:rsid w:val="00E6547E"/>
    <w:rsid w:val="00E65CC0"/>
    <w:rsid w:val="00E65E36"/>
    <w:rsid w:val="00E669A1"/>
    <w:rsid w:val="00E67625"/>
    <w:rsid w:val="00E700D9"/>
    <w:rsid w:val="00E732BB"/>
    <w:rsid w:val="00E75FF6"/>
    <w:rsid w:val="00E77A6F"/>
    <w:rsid w:val="00E801BA"/>
    <w:rsid w:val="00E8142E"/>
    <w:rsid w:val="00E82C63"/>
    <w:rsid w:val="00E8390A"/>
    <w:rsid w:val="00E83A3B"/>
    <w:rsid w:val="00E84B78"/>
    <w:rsid w:val="00E86EC2"/>
    <w:rsid w:val="00E901D7"/>
    <w:rsid w:val="00E9172D"/>
    <w:rsid w:val="00E91BD8"/>
    <w:rsid w:val="00E91CFD"/>
    <w:rsid w:val="00E922BE"/>
    <w:rsid w:val="00E9258D"/>
    <w:rsid w:val="00E9268E"/>
    <w:rsid w:val="00E92B00"/>
    <w:rsid w:val="00E9368B"/>
    <w:rsid w:val="00E94D9A"/>
    <w:rsid w:val="00E951CA"/>
    <w:rsid w:val="00E953FA"/>
    <w:rsid w:val="00E962A9"/>
    <w:rsid w:val="00E97D0F"/>
    <w:rsid w:val="00E97E28"/>
    <w:rsid w:val="00EA1387"/>
    <w:rsid w:val="00EA1DB9"/>
    <w:rsid w:val="00EA420D"/>
    <w:rsid w:val="00EA484D"/>
    <w:rsid w:val="00EA4A96"/>
    <w:rsid w:val="00EA6D40"/>
    <w:rsid w:val="00EB1A14"/>
    <w:rsid w:val="00EB1C95"/>
    <w:rsid w:val="00EB2832"/>
    <w:rsid w:val="00EB3B0A"/>
    <w:rsid w:val="00EB3DAC"/>
    <w:rsid w:val="00EB4093"/>
    <w:rsid w:val="00EB46F3"/>
    <w:rsid w:val="00EB4958"/>
    <w:rsid w:val="00EB5423"/>
    <w:rsid w:val="00EB7B0B"/>
    <w:rsid w:val="00EC0548"/>
    <w:rsid w:val="00EC06FA"/>
    <w:rsid w:val="00EC1371"/>
    <w:rsid w:val="00EC2445"/>
    <w:rsid w:val="00EC33B2"/>
    <w:rsid w:val="00EC3796"/>
    <w:rsid w:val="00EC41A4"/>
    <w:rsid w:val="00EC57DF"/>
    <w:rsid w:val="00EC5D78"/>
    <w:rsid w:val="00EC5E35"/>
    <w:rsid w:val="00EC5EEF"/>
    <w:rsid w:val="00EC6563"/>
    <w:rsid w:val="00EC6676"/>
    <w:rsid w:val="00EC727E"/>
    <w:rsid w:val="00EC7294"/>
    <w:rsid w:val="00EC7555"/>
    <w:rsid w:val="00EC7728"/>
    <w:rsid w:val="00EC7B2C"/>
    <w:rsid w:val="00ED0109"/>
    <w:rsid w:val="00ED0680"/>
    <w:rsid w:val="00ED10A6"/>
    <w:rsid w:val="00ED13A9"/>
    <w:rsid w:val="00ED235A"/>
    <w:rsid w:val="00ED27B9"/>
    <w:rsid w:val="00ED2905"/>
    <w:rsid w:val="00ED3D65"/>
    <w:rsid w:val="00ED668D"/>
    <w:rsid w:val="00ED78C2"/>
    <w:rsid w:val="00ED7E7A"/>
    <w:rsid w:val="00EE08D5"/>
    <w:rsid w:val="00EE0D8C"/>
    <w:rsid w:val="00EE149D"/>
    <w:rsid w:val="00EE172B"/>
    <w:rsid w:val="00EE1D4D"/>
    <w:rsid w:val="00EE3F56"/>
    <w:rsid w:val="00EE4BB2"/>
    <w:rsid w:val="00EE560A"/>
    <w:rsid w:val="00EE6B47"/>
    <w:rsid w:val="00EE733B"/>
    <w:rsid w:val="00EE7B6D"/>
    <w:rsid w:val="00EF13A5"/>
    <w:rsid w:val="00EF1724"/>
    <w:rsid w:val="00EF1AA9"/>
    <w:rsid w:val="00EF1B4E"/>
    <w:rsid w:val="00EF1CC2"/>
    <w:rsid w:val="00EF28E9"/>
    <w:rsid w:val="00EF3963"/>
    <w:rsid w:val="00EF5079"/>
    <w:rsid w:val="00EF7A77"/>
    <w:rsid w:val="00EF7DE3"/>
    <w:rsid w:val="00F006C9"/>
    <w:rsid w:val="00F01001"/>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169DB"/>
    <w:rsid w:val="00F21F8C"/>
    <w:rsid w:val="00F220EF"/>
    <w:rsid w:val="00F225F5"/>
    <w:rsid w:val="00F2298C"/>
    <w:rsid w:val="00F229C1"/>
    <w:rsid w:val="00F24CF2"/>
    <w:rsid w:val="00F24E9E"/>
    <w:rsid w:val="00F25235"/>
    <w:rsid w:val="00F254F6"/>
    <w:rsid w:val="00F2632E"/>
    <w:rsid w:val="00F3022D"/>
    <w:rsid w:val="00F30708"/>
    <w:rsid w:val="00F31B3B"/>
    <w:rsid w:val="00F31E35"/>
    <w:rsid w:val="00F3228A"/>
    <w:rsid w:val="00F3395E"/>
    <w:rsid w:val="00F33A72"/>
    <w:rsid w:val="00F3415D"/>
    <w:rsid w:val="00F363F1"/>
    <w:rsid w:val="00F37256"/>
    <w:rsid w:val="00F40301"/>
    <w:rsid w:val="00F4087A"/>
    <w:rsid w:val="00F4164A"/>
    <w:rsid w:val="00F43DFC"/>
    <w:rsid w:val="00F45E5A"/>
    <w:rsid w:val="00F461A1"/>
    <w:rsid w:val="00F50172"/>
    <w:rsid w:val="00F51DE8"/>
    <w:rsid w:val="00F54227"/>
    <w:rsid w:val="00F54740"/>
    <w:rsid w:val="00F565D0"/>
    <w:rsid w:val="00F57A3E"/>
    <w:rsid w:val="00F62899"/>
    <w:rsid w:val="00F635F4"/>
    <w:rsid w:val="00F637A9"/>
    <w:rsid w:val="00F6398D"/>
    <w:rsid w:val="00F63A4A"/>
    <w:rsid w:val="00F63E31"/>
    <w:rsid w:val="00F63FA2"/>
    <w:rsid w:val="00F645AE"/>
    <w:rsid w:val="00F67D00"/>
    <w:rsid w:val="00F67D2C"/>
    <w:rsid w:val="00F70011"/>
    <w:rsid w:val="00F71B39"/>
    <w:rsid w:val="00F720FA"/>
    <w:rsid w:val="00F733B2"/>
    <w:rsid w:val="00F74BFA"/>
    <w:rsid w:val="00F75DF6"/>
    <w:rsid w:val="00F772EA"/>
    <w:rsid w:val="00F77698"/>
    <w:rsid w:val="00F80E91"/>
    <w:rsid w:val="00F83BC2"/>
    <w:rsid w:val="00F848EE"/>
    <w:rsid w:val="00F84ED2"/>
    <w:rsid w:val="00F8520E"/>
    <w:rsid w:val="00F86F7F"/>
    <w:rsid w:val="00F87AC1"/>
    <w:rsid w:val="00F90290"/>
    <w:rsid w:val="00F91546"/>
    <w:rsid w:val="00F915B8"/>
    <w:rsid w:val="00F91921"/>
    <w:rsid w:val="00F91B3B"/>
    <w:rsid w:val="00F91E06"/>
    <w:rsid w:val="00F94EC0"/>
    <w:rsid w:val="00F95137"/>
    <w:rsid w:val="00F976C6"/>
    <w:rsid w:val="00FA0C19"/>
    <w:rsid w:val="00FA0C52"/>
    <w:rsid w:val="00FA1CFB"/>
    <w:rsid w:val="00FA215D"/>
    <w:rsid w:val="00FA2451"/>
    <w:rsid w:val="00FA251D"/>
    <w:rsid w:val="00FA2726"/>
    <w:rsid w:val="00FA3F83"/>
    <w:rsid w:val="00FA3FB9"/>
    <w:rsid w:val="00FA457D"/>
    <w:rsid w:val="00FA6E33"/>
    <w:rsid w:val="00FA72B1"/>
    <w:rsid w:val="00FA7360"/>
    <w:rsid w:val="00FB2805"/>
    <w:rsid w:val="00FB3BBC"/>
    <w:rsid w:val="00FB5A37"/>
    <w:rsid w:val="00FB6A74"/>
    <w:rsid w:val="00FB6F99"/>
    <w:rsid w:val="00FC4675"/>
    <w:rsid w:val="00FC479C"/>
    <w:rsid w:val="00FC4F8A"/>
    <w:rsid w:val="00FC6E57"/>
    <w:rsid w:val="00FC7151"/>
    <w:rsid w:val="00FC7F5B"/>
    <w:rsid w:val="00FD0560"/>
    <w:rsid w:val="00FD0C02"/>
    <w:rsid w:val="00FD0EAB"/>
    <w:rsid w:val="00FD1590"/>
    <w:rsid w:val="00FD1FCF"/>
    <w:rsid w:val="00FD27AD"/>
    <w:rsid w:val="00FD282F"/>
    <w:rsid w:val="00FD6EAA"/>
    <w:rsid w:val="00FE0ABB"/>
    <w:rsid w:val="00FE141F"/>
    <w:rsid w:val="00FE20F0"/>
    <w:rsid w:val="00FE317D"/>
    <w:rsid w:val="00FE413F"/>
    <w:rsid w:val="00FE71FC"/>
    <w:rsid w:val="00FE7911"/>
    <w:rsid w:val="00FE7A76"/>
    <w:rsid w:val="00FE7E32"/>
    <w:rsid w:val="00FF1735"/>
    <w:rsid w:val="00FF2B48"/>
    <w:rsid w:val="00FF31C9"/>
    <w:rsid w:val="00FF3D51"/>
    <w:rsid w:val="00FF49F2"/>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051B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F6F9-6E27-407E-B9B9-BC7C2421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3</cp:revision>
  <cp:lastPrinted>2023-10-20T10:30:00Z</cp:lastPrinted>
  <dcterms:created xsi:type="dcterms:W3CDTF">2023-10-26T09:18:00Z</dcterms:created>
  <dcterms:modified xsi:type="dcterms:W3CDTF">2023-10-26T10:25:00Z</dcterms:modified>
</cp:coreProperties>
</file>