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73A3" w14:textId="77777777" w:rsidR="00D60B6E" w:rsidRDefault="00D60B6E" w:rsidP="00D60B6E">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3C1E99E1" wp14:editId="7D0223E0">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56275218" wp14:editId="3D85372A">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1BB4214"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3AA214EF" wp14:editId="7709E405">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278EB91"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4091F4CE" w14:textId="77777777" w:rsidR="00D60B6E" w:rsidRPr="002322FF" w:rsidRDefault="00D60B6E" w:rsidP="00D60B6E">
      <w:pPr>
        <w:jc w:val="center"/>
        <w:rPr>
          <w:rFonts w:ascii="Arial" w:hAnsi="Arial" w:cs="Arial"/>
          <w:b/>
          <w:sz w:val="24"/>
          <w:szCs w:val="24"/>
        </w:rPr>
      </w:pPr>
      <w:r w:rsidRPr="002322FF">
        <w:rPr>
          <w:rFonts w:ascii="Arial" w:hAnsi="Arial" w:cs="Arial"/>
          <w:b/>
          <w:sz w:val="24"/>
          <w:szCs w:val="24"/>
        </w:rPr>
        <w:t>IN THE HIGH COURT OF SOUTH AFRICA</w:t>
      </w:r>
    </w:p>
    <w:p w14:paraId="3A694C57" w14:textId="77777777" w:rsidR="00D60B6E" w:rsidRPr="002322FF" w:rsidRDefault="00D60B6E" w:rsidP="00D60B6E">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74A286B6" w14:textId="77777777" w:rsidR="00D60B6E" w:rsidRPr="002322FF" w:rsidRDefault="00D60B6E" w:rsidP="00D60B6E">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1A16DD8B" w14:textId="1A76A547" w:rsidR="00D60B6E" w:rsidRPr="005E0A83" w:rsidRDefault="00D60B6E" w:rsidP="00D60B6E">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15</w:t>
      </w:r>
      <w:r w:rsidR="00E26FDD">
        <w:rPr>
          <w:rFonts w:ascii="Arial" w:hAnsi="Arial" w:cs="Arial"/>
          <w:szCs w:val="24"/>
        </w:rPr>
        <w:t>85</w:t>
      </w:r>
      <w:r>
        <w:rPr>
          <w:rFonts w:ascii="Arial" w:hAnsi="Arial" w:cs="Arial"/>
          <w:szCs w:val="24"/>
        </w:rPr>
        <w:t>/202</w:t>
      </w:r>
      <w:r w:rsidR="00E26FDD">
        <w:rPr>
          <w:rFonts w:ascii="Arial" w:hAnsi="Arial" w:cs="Arial"/>
          <w:szCs w:val="24"/>
        </w:rPr>
        <w:t>2</w:t>
      </w:r>
    </w:p>
    <w:p w14:paraId="7A3DE6D9" w14:textId="77777777" w:rsidR="00D60B6E" w:rsidRPr="005E0A83" w:rsidRDefault="00D60B6E" w:rsidP="00D60B6E">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33CE0C5E" w14:textId="77777777" w:rsidR="00D60B6E" w:rsidRPr="005E0A83" w:rsidRDefault="00D60B6E" w:rsidP="00D60B6E">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02BD3D9B" w14:textId="77777777" w:rsidR="00D60B6E" w:rsidRPr="005E0A83" w:rsidRDefault="00D60B6E" w:rsidP="00D60B6E">
      <w:pPr>
        <w:pStyle w:val="GW11"/>
        <w:rPr>
          <w:rFonts w:ascii="Arial" w:hAnsi="Arial" w:cs="Arial"/>
          <w:szCs w:val="24"/>
        </w:rPr>
      </w:pPr>
    </w:p>
    <w:p w14:paraId="30F1136A" w14:textId="7E7EDC27" w:rsidR="00D60B6E" w:rsidRDefault="00E70BD7" w:rsidP="00D60B6E">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MINISTER OF POLICE</w:t>
      </w:r>
      <w:r w:rsidR="00D60B6E" w:rsidRPr="005E0A83">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sidR="00D60B6E">
        <w:rPr>
          <w:rFonts w:ascii="Arial" w:hAnsi="Arial" w:cs="Arial"/>
          <w:b/>
          <w:szCs w:val="24"/>
        </w:rPr>
        <w:tab/>
      </w:r>
      <w:r w:rsidR="00D60B6E" w:rsidRPr="000E7F54">
        <w:rPr>
          <w:rFonts w:ascii="Arial" w:hAnsi="Arial" w:cs="Arial"/>
          <w:bCs/>
          <w:szCs w:val="24"/>
        </w:rPr>
        <w:t>Applicant</w:t>
      </w:r>
    </w:p>
    <w:p w14:paraId="4B884F9D" w14:textId="77777777" w:rsidR="00D60B6E" w:rsidRDefault="00D60B6E" w:rsidP="00D60B6E">
      <w:pPr>
        <w:pStyle w:val="GW12"/>
        <w:tabs>
          <w:tab w:val="clear" w:pos="6048"/>
          <w:tab w:val="clear" w:pos="8640"/>
          <w:tab w:val="left" w:pos="4820"/>
          <w:tab w:val="right" w:pos="8931"/>
        </w:tabs>
        <w:ind w:right="-46"/>
        <w:jc w:val="left"/>
        <w:rPr>
          <w:rFonts w:ascii="Arial" w:hAnsi="Arial" w:cs="Arial"/>
          <w:b/>
          <w:szCs w:val="24"/>
        </w:rPr>
      </w:pPr>
    </w:p>
    <w:p w14:paraId="476314B3" w14:textId="77777777" w:rsidR="00D60B6E" w:rsidRPr="000E7F54" w:rsidRDefault="00D60B6E" w:rsidP="00D60B6E">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3F1DE8A0" w14:textId="77777777" w:rsidR="00D60B6E" w:rsidRDefault="00D60B6E" w:rsidP="00D60B6E">
      <w:pPr>
        <w:pStyle w:val="GW12"/>
        <w:tabs>
          <w:tab w:val="clear" w:pos="6048"/>
          <w:tab w:val="clear" w:pos="8640"/>
          <w:tab w:val="left" w:pos="4820"/>
          <w:tab w:val="right" w:pos="8931"/>
        </w:tabs>
        <w:ind w:right="-46"/>
        <w:jc w:val="left"/>
        <w:rPr>
          <w:rFonts w:ascii="Arial" w:hAnsi="Arial" w:cs="Arial"/>
          <w:b/>
          <w:szCs w:val="24"/>
        </w:rPr>
      </w:pPr>
    </w:p>
    <w:p w14:paraId="7972148B" w14:textId="24525908" w:rsidR="00D60B6E" w:rsidRDefault="00E70BD7" w:rsidP="00D60B6E">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MAGISTRATE MR NOBUMBA N.O.</w:t>
      </w:r>
      <w:r w:rsidR="00D60B6E">
        <w:rPr>
          <w:rFonts w:ascii="Arial" w:hAnsi="Arial" w:cs="Arial"/>
          <w:b/>
          <w:szCs w:val="24"/>
        </w:rPr>
        <w:tab/>
      </w:r>
      <w:r w:rsidR="00D60B6E">
        <w:rPr>
          <w:rFonts w:ascii="Arial" w:hAnsi="Arial" w:cs="Arial"/>
          <w:b/>
          <w:szCs w:val="24"/>
        </w:rPr>
        <w:tab/>
      </w:r>
      <w:r w:rsidR="00D60B6E">
        <w:rPr>
          <w:rFonts w:ascii="Arial" w:hAnsi="Arial" w:cs="Arial"/>
          <w:b/>
          <w:szCs w:val="24"/>
        </w:rPr>
        <w:tab/>
      </w:r>
      <w:r w:rsidR="00D60B6E" w:rsidRPr="000E7F54">
        <w:rPr>
          <w:rFonts w:ascii="Arial" w:hAnsi="Arial" w:cs="Arial"/>
          <w:bCs/>
          <w:szCs w:val="24"/>
        </w:rPr>
        <w:t>First Respondent</w:t>
      </w:r>
    </w:p>
    <w:p w14:paraId="288B1135" w14:textId="77777777" w:rsidR="00D60B6E" w:rsidRDefault="00D60B6E" w:rsidP="00D60B6E">
      <w:pPr>
        <w:pStyle w:val="GW12"/>
        <w:tabs>
          <w:tab w:val="clear" w:pos="6048"/>
          <w:tab w:val="clear" w:pos="8640"/>
          <w:tab w:val="left" w:pos="4820"/>
          <w:tab w:val="right" w:pos="8931"/>
        </w:tabs>
        <w:ind w:right="-46"/>
        <w:jc w:val="left"/>
        <w:rPr>
          <w:rFonts w:ascii="Arial" w:hAnsi="Arial" w:cs="Arial"/>
          <w:b/>
          <w:szCs w:val="24"/>
        </w:rPr>
      </w:pPr>
    </w:p>
    <w:p w14:paraId="7A1FE9B4" w14:textId="7C0BC1AE" w:rsidR="00D60B6E" w:rsidRDefault="00E70BD7" w:rsidP="00D60B6E">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NTSIKELELO</w:t>
      </w:r>
      <w:r w:rsidR="00713100">
        <w:rPr>
          <w:rFonts w:ascii="Arial" w:hAnsi="Arial" w:cs="Arial"/>
          <w:b/>
          <w:szCs w:val="24"/>
        </w:rPr>
        <w:t xml:space="preserve"> SIKO</w:t>
      </w:r>
      <w:r>
        <w:rPr>
          <w:rFonts w:ascii="Arial" w:hAnsi="Arial" w:cs="Arial"/>
          <w:b/>
          <w:szCs w:val="24"/>
        </w:rPr>
        <w:tab/>
      </w:r>
      <w:r w:rsidR="00D60B6E">
        <w:rPr>
          <w:rFonts w:ascii="Arial" w:hAnsi="Arial" w:cs="Arial"/>
          <w:b/>
          <w:szCs w:val="24"/>
        </w:rPr>
        <w:tab/>
      </w:r>
      <w:r w:rsidR="00D60B6E">
        <w:rPr>
          <w:rFonts w:ascii="Arial" w:hAnsi="Arial" w:cs="Arial"/>
          <w:b/>
          <w:szCs w:val="24"/>
        </w:rPr>
        <w:tab/>
      </w:r>
      <w:r w:rsidR="00D60B6E">
        <w:rPr>
          <w:rFonts w:ascii="Arial" w:hAnsi="Arial" w:cs="Arial"/>
          <w:b/>
          <w:szCs w:val="24"/>
        </w:rPr>
        <w:tab/>
      </w:r>
      <w:r w:rsidR="00D60B6E" w:rsidRPr="000E7F54">
        <w:rPr>
          <w:rFonts w:ascii="Arial" w:hAnsi="Arial" w:cs="Arial"/>
          <w:bCs/>
          <w:szCs w:val="24"/>
        </w:rPr>
        <w:t>Second Respondent</w:t>
      </w:r>
    </w:p>
    <w:p w14:paraId="35559B39" w14:textId="77777777" w:rsidR="00D60B6E" w:rsidRPr="005E0A83" w:rsidRDefault="00D60B6E" w:rsidP="00D60B6E">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3030A4DD" w14:textId="77777777" w:rsidR="00D60B6E" w:rsidRPr="005E0A83" w:rsidRDefault="00D60B6E" w:rsidP="00D60B6E">
      <w:pPr>
        <w:pStyle w:val="GW13"/>
        <w:tabs>
          <w:tab w:val="clear" w:pos="8640"/>
        </w:tabs>
        <w:spacing w:line="240" w:lineRule="auto"/>
        <w:ind w:right="-45"/>
        <w:jc w:val="center"/>
        <w:rPr>
          <w:rFonts w:ascii="Arial" w:hAnsi="Arial" w:cs="Arial"/>
          <w:b/>
          <w:szCs w:val="24"/>
        </w:rPr>
      </w:pPr>
    </w:p>
    <w:p w14:paraId="55316CE1" w14:textId="77777777" w:rsidR="00D60B6E" w:rsidRPr="005E0A83" w:rsidRDefault="00D60B6E" w:rsidP="00D60B6E">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642ACF39" w14:textId="77777777" w:rsidR="00D60B6E" w:rsidRPr="005E0A83" w:rsidRDefault="00D60B6E" w:rsidP="00D60B6E">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595CB597" w14:textId="77777777" w:rsidR="00D60B6E" w:rsidRPr="005E0A83" w:rsidRDefault="00D60B6E" w:rsidP="00D60B6E">
      <w:pPr>
        <w:pStyle w:val="GW13"/>
        <w:tabs>
          <w:tab w:val="clear" w:pos="8640"/>
          <w:tab w:val="right" w:pos="9072"/>
        </w:tabs>
        <w:spacing w:line="480" w:lineRule="auto"/>
        <w:ind w:right="-46"/>
        <w:rPr>
          <w:rFonts w:ascii="Arial" w:hAnsi="Arial" w:cs="Arial"/>
          <w:b/>
          <w:szCs w:val="24"/>
        </w:rPr>
      </w:pPr>
    </w:p>
    <w:p w14:paraId="54AF53AC" w14:textId="77777777" w:rsidR="00D60B6E" w:rsidRPr="005E0A83" w:rsidRDefault="00D60B6E" w:rsidP="00D60B6E">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6529C3F3" w14:textId="77777777" w:rsidR="00D60B6E" w:rsidRDefault="00D60B6E" w:rsidP="00D60B6E">
      <w:pPr>
        <w:spacing w:after="0" w:line="480" w:lineRule="auto"/>
        <w:jc w:val="both"/>
        <w:rPr>
          <w:rFonts w:ascii="Arial" w:hAnsi="Arial" w:cs="Arial"/>
          <w:sz w:val="24"/>
          <w:szCs w:val="24"/>
        </w:rPr>
      </w:pPr>
    </w:p>
    <w:p w14:paraId="0E4F32A6" w14:textId="0630AAFD" w:rsidR="00D60B6E" w:rsidRPr="00C628E4" w:rsidRDefault="00C628E4" w:rsidP="00C628E4">
      <w:pPr>
        <w:spacing w:after="0" w:line="480" w:lineRule="auto"/>
        <w:ind w:left="851" w:hanging="851"/>
        <w:jc w:val="both"/>
        <w:rPr>
          <w:rFonts w:ascii="Arial" w:hAnsi="Arial" w:cs="Arial"/>
          <w:sz w:val="24"/>
          <w:szCs w:val="24"/>
        </w:rPr>
      </w:pPr>
      <w:bookmarkStart w:id="0" w:name="_GoBack"/>
      <w:bookmarkEnd w:id="0"/>
      <w:r>
        <w:rPr>
          <w:rFonts w:ascii="Arial" w:hAnsi="Arial" w:cs="Arial"/>
          <w:sz w:val="24"/>
          <w:szCs w:val="24"/>
        </w:rPr>
        <w:t>[1]</w:t>
      </w:r>
      <w:r>
        <w:rPr>
          <w:rFonts w:ascii="Arial" w:hAnsi="Arial" w:cs="Arial"/>
          <w:sz w:val="24"/>
          <w:szCs w:val="24"/>
        </w:rPr>
        <w:tab/>
      </w:r>
      <w:r w:rsidR="00986B88" w:rsidRPr="00C628E4">
        <w:rPr>
          <w:rFonts w:ascii="Arial" w:hAnsi="Arial" w:cs="Arial"/>
          <w:sz w:val="24"/>
          <w:szCs w:val="24"/>
        </w:rPr>
        <w:t>Many a claim has floundered at the first hurdle.  This matter is no different.</w:t>
      </w:r>
    </w:p>
    <w:p w14:paraId="0F56B6F7" w14:textId="77777777" w:rsidR="00D60B6E" w:rsidRDefault="00D60B6E" w:rsidP="00EF6E6A">
      <w:pPr>
        <w:pStyle w:val="ListParagraph"/>
        <w:spacing w:after="0" w:line="480" w:lineRule="auto"/>
        <w:ind w:left="851"/>
        <w:jc w:val="both"/>
        <w:rPr>
          <w:rFonts w:ascii="Arial" w:hAnsi="Arial" w:cs="Arial"/>
          <w:sz w:val="24"/>
          <w:szCs w:val="24"/>
        </w:rPr>
      </w:pPr>
    </w:p>
    <w:p w14:paraId="219B0FDB" w14:textId="5E4D3A7E" w:rsidR="00986B88"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86B88" w:rsidRPr="00C628E4">
        <w:rPr>
          <w:rFonts w:ascii="Arial" w:hAnsi="Arial" w:cs="Arial"/>
          <w:sz w:val="24"/>
          <w:szCs w:val="24"/>
        </w:rPr>
        <w:t>The applicant applied to review and set aside the decision of the first respondent, condoning the second respondent’s non-compliance with section 3(2)(a), read with section 4(1)(a)</w:t>
      </w:r>
      <w:r w:rsidR="00DA02F1" w:rsidRPr="00C628E4">
        <w:rPr>
          <w:rFonts w:ascii="Arial" w:hAnsi="Arial" w:cs="Arial"/>
          <w:sz w:val="24"/>
          <w:szCs w:val="24"/>
        </w:rPr>
        <w:t>,</w:t>
      </w:r>
      <w:r w:rsidR="00986B88" w:rsidRPr="00C628E4">
        <w:rPr>
          <w:rFonts w:ascii="Arial" w:hAnsi="Arial" w:cs="Arial"/>
          <w:sz w:val="24"/>
          <w:szCs w:val="24"/>
        </w:rPr>
        <w:t xml:space="preserve"> of the Institution of Legal Proceedings Against Certain Organs of State</w:t>
      </w:r>
      <w:r w:rsidR="00DA02F1" w:rsidRPr="00C628E4">
        <w:rPr>
          <w:rFonts w:ascii="Arial" w:hAnsi="Arial" w:cs="Arial"/>
          <w:sz w:val="24"/>
          <w:szCs w:val="24"/>
        </w:rPr>
        <w:t>,</w:t>
      </w:r>
      <w:r w:rsidR="00986B88" w:rsidRPr="00C628E4">
        <w:rPr>
          <w:rFonts w:ascii="Arial" w:hAnsi="Arial" w:cs="Arial"/>
          <w:sz w:val="24"/>
          <w:szCs w:val="24"/>
        </w:rPr>
        <w:t xml:space="preserve"> Act 20 of 2002</w:t>
      </w:r>
      <w:r w:rsidR="00DA02F1" w:rsidRPr="00C628E4">
        <w:rPr>
          <w:rFonts w:ascii="Arial" w:hAnsi="Arial" w:cs="Arial"/>
          <w:sz w:val="24"/>
          <w:szCs w:val="24"/>
        </w:rPr>
        <w:t xml:space="preserve"> (“</w:t>
      </w:r>
      <w:r w:rsidR="00DA02F1" w:rsidRPr="00C628E4">
        <w:rPr>
          <w:rFonts w:ascii="Arial" w:hAnsi="Arial" w:cs="Arial"/>
          <w:i/>
          <w:iCs/>
          <w:sz w:val="24"/>
          <w:szCs w:val="24"/>
        </w:rPr>
        <w:t>the Institution of Legal Proceedings Act</w:t>
      </w:r>
      <w:r w:rsidR="00DA02F1" w:rsidRPr="00C628E4">
        <w:rPr>
          <w:rFonts w:ascii="Arial" w:hAnsi="Arial" w:cs="Arial"/>
          <w:sz w:val="24"/>
          <w:szCs w:val="24"/>
        </w:rPr>
        <w:t>”); and granting the second respondent leave to pursue the civil action against the applicant for unlawful arrest and detention</w:t>
      </w:r>
      <w:r w:rsidR="00986B88" w:rsidRPr="00C628E4">
        <w:rPr>
          <w:rFonts w:ascii="Arial" w:hAnsi="Arial" w:cs="Arial"/>
          <w:sz w:val="24"/>
          <w:szCs w:val="24"/>
        </w:rPr>
        <w:t>.</w:t>
      </w:r>
      <w:r w:rsidR="00DA02F1" w:rsidRPr="00C628E4">
        <w:rPr>
          <w:rFonts w:ascii="Arial" w:hAnsi="Arial" w:cs="Arial"/>
          <w:sz w:val="24"/>
          <w:szCs w:val="24"/>
        </w:rPr>
        <w:t xml:space="preserve">  In pursuance of such relief, the applicant placed reliance on the provisions of the Promotion of Administrative Justice Act, 3 of 2000 (“</w:t>
      </w:r>
      <w:r w:rsidR="00DA02F1" w:rsidRPr="00C628E4">
        <w:rPr>
          <w:rFonts w:ascii="Arial" w:hAnsi="Arial" w:cs="Arial"/>
          <w:i/>
          <w:iCs/>
          <w:sz w:val="24"/>
          <w:szCs w:val="24"/>
        </w:rPr>
        <w:t>PAJA</w:t>
      </w:r>
      <w:r w:rsidR="00DA02F1" w:rsidRPr="00C628E4">
        <w:rPr>
          <w:rFonts w:ascii="Arial" w:hAnsi="Arial" w:cs="Arial"/>
          <w:sz w:val="24"/>
          <w:szCs w:val="24"/>
        </w:rPr>
        <w:t>”).</w:t>
      </w:r>
      <w:r w:rsidR="00251D59" w:rsidRPr="00C628E4">
        <w:rPr>
          <w:rFonts w:ascii="Arial" w:hAnsi="Arial" w:cs="Arial"/>
          <w:sz w:val="24"/>
          <w:szCs w:val="24"/>
        </w:rPr>
        <w:t xml:space="preserve">  </w:t>
      </w:r>
      <w:r w:rsidR="00455BF0" w:rsidRPr="00C628E4">
        <w:rPr>
          <w:rFonts w:ascii="Arial" w:hAnsi="Arial" w:cs="Arial"/>
          <w:sz w:val="24"/>
          <w:szCs w:val="24"/>
        </w:rPr>
        <w:t>Only the second respondent opposes the relief sought, with the first respondent having filed a notice to abide the decision of this court.</w:t>
      </w:r>
    </w:p>
    <w:p w14:paraId="54BC116F" w14:textId="77777777" w:rsidR="00986B88" w:rsidRPr="00986B88" w:rsidRDefault="00986B88" w:rsidP="00EF6E6A">
      <w:pPr>
        <w:pStyle w:val="ListParagraph"/>
        <w:spacing w:after="0" w:line="480" w:lineRule="auto"/>
        <w:rPr>
          <w:rFonts w:ascii="Arial" w:hAnsi="Arial" w:cs="Arial"/>
          <w:sz w:val="24"/>
          <w:szCs w:val="24"/>
        </w:rPr>
      </w:pPr>
    </w:p>
    <w:p w14:paraId="1D4DC423" w14:textId="4CA1E920" w:rsidR="008076F6"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3A2D07" w:rsidRPr="00C628E4">
        <w:rPr>
          <w:rFonts w:ascii="Arial" w:hAnsi="Arial" w:cs="Arial"/>
          <w:sz w:val="24"/>
          <w:szCs w:val="24"/>
        </w:rPr>
        <w:t>T</w:t>
      </w:r>
      <w:r w:rsidR="008076F6" w:rsidRPr="00C628E4">
        <w:rPr>
          <w:rFonts w:ascii="Arial" w:hAnsi="Arial" w:cs="Arial"/>
          <w:sz w:val="24"/>
          <w:szCs w:val="24"/>
        </w:rPr>
        <w:t xml:space="preserve">he history of this matter can be summarised as follows.  </w:t>
      </w:r>
      <w:r w:rsidR="009622DC" w:rsidRPr="00C628E4">
        <w:rPr>
          <w:rFonts w:ascii="Arial" w:hAnsi="Arial" w:cs="Arial"/>
          <w:sz w:val="24"/>
          <w:szCs w:val="24"/>
        </w:rPr>
        <w:t xml:space="preserve">The </w:t>
      </w:r>
      <w:r w:rsidR="009148F6" w:rsidRPr="00C628E4">
        <w:rPr>
          <w:rFonts w:ascii="Arial" w:hAnsi="Arial" w:cs="Arial"/>
          <w:sz w:val="24"/>
          <w:szCs w:val="24"/>
        </w:rPr>
        <w:t>second respondent</w:t>
      </w:r>
      <w:r w:rsidR="009622DC" w:rsidRPr="00C628E4">
        <w:rPr>
          <w:rFonts w:ascii="Arial" w:hAnsi="Arial" w:cs="Arial"/>
          <w:sz w:val="24"/>
          <w:szCs w:val="24"/>
        </w:rPr>
        <w:t xml:space="preserve"> was arrested</w:t>
      </w:r>
      <w:r w:rsidR="009148F6" w:rsidRPr="00C628E4">
        <w:rPr>
          <w:rFonts w:ascii="Arial" w:hAnsi="Arial" w:cs="Arial"/>
          <w:sz w:val="24"/>
          <w:szCs w:val="24"/>
        </w:rPr>
        <w:t>, without a warrant,</w:t>
      </w:r>
      <w:r w:rsidR="009622DC" w:rsidRPr="00C628E4">
        <w:rPr>
          <w:rFonts w:ascii="Arial" w:hAnsi="Arial" w:cs="Arial"/>
          <w:sz w:val="24"/>
          <w:szCs w:val="24"/>
        </w:rPr>
        <w:t xml:space="preserve"> by members of the South African Police Services</w:t>
      </w:r>
      <w:r w:rsidR="003A2D07" w:rsidRPr="00C628E4">
        <w:rPr>
          <w:rFonts w:ascii="Arial" w:hAnsi="Arial" w:cs="Arial"/>
          <w:sz w:val="24"/>
          <w:szCs w:val="24"/>
        </w:rPr>
        <w:t xml:space="preserve"> (“</w:t>
      </w:r>
      <w:r w:rsidR="003A2D07" w:rsidRPr="00C628E4">
        <w:rPr>
          <w:rFonts w:ascii="Arial" w:hAnsi="Arial" w:cs="Arial"/>
          <w:i/>
          <w:iCs/>
          <w:sz w:val="24"/>
          <w:szCs w:val="24"/>
        </w:rPr>
        <w:t>SAPS</w:t>
      </w:r>
      <w:r w:rsidR="003A2D07" w:rsidRPr="00C628E4">
        <w:rPr>
          <w:rFonts w:ascii="Arial" w:hAnsi="Arial" w:cs="Arial"/>
          <w:sz w:val="24"/>
          <w:szCs w:val="24"/>
        </w:rPr>
        <w:t>”)</w:t>
      </w:r>
      <w:r w:rsidR="009622DC" w:rsidRPr="00C628E4">
        <w:rPr>
          <w:rFonts w:ascii="Arial" w:hAnsi="Arial" w:cs="Arial"/>
          <w:sz w:val="24"/>
          <w:szCs w:val="24"/>
        </w:rPr>
        <w:t xml:space="preserve"> on 15 January 2020 and detained </w:t>
      </w:r>
      <w:r w:rsidR="009148F6" w:rsidRPr="00C628E4">
        <w:rPr>
          <w:rFonts w:ascii="Arial" w:hAnsi="Arial" w:cs="Arial"/>
          <w:sz w:val="24"/>
          <w:szCs w:val="24"/>
        </w:rPr>
        <w:t xml:space="preserve">until the next day.  Aggrieved by the aforesaid, the </w:t>
      </w:r>
      <w:r w:rsidR="008076F6" w:rsidRPr="00C628E4">
        <w:rPr>
          <w:rFonts w:ascii="Arial" w:hAnsi="Arial" w:cs="Arial"/>
          <w:sz w:val="24"/>
          <w:szCs w:val="24"/>
        </w:rPr>
        <w:t>second respondent instituted action in the New Brighton District Court, claiming damages against the applicant</w:t>
      </w:r>
      <w:r w:rsidR="009148F6" w:rsidRPr="00C628E4">
        <w:rPr>
          <w:rFonts w:ascii="Arial" w:hAnsi="Arial" w:cs="Arial"/>
          <w:sz w:val="24"/>
          <w:szCs w:val="24"/>
        </w:rPr>
        <w:t xml:space="preserve"> </w:t>
      </w:r>
      <w:r w:rsidR="008076F6" w:rsidRPr="00C628E4">
        <w:rPr>
          <w:rFonts w:ascii="Arial" w:hAnsi="Arial" w:cs="Arial"/>
          <w:sz w:val="24"/>
          <w:szCs w:val="24"/>
        </w:rPr>
        <w:t>for his alleged unlawful arrest and detention.</w:t>
      </w:r>
      <w:r w:rsidR="009622DC" w:rsidRPr="00C628E4">
        <w:rPr>
          <w:rFonts w:ascii="Arial" w:hAnsi="Arial" w:cs="Arial"/>
          <w:sz w:val="24"/>
          <w:szCs w:val="24"/>
        </w:rPr>
        <w:t xml:space="preserve">  </w:t>
      </w:r>
      <w:r w:rsidR="003C0AC1" w:rsidRPr="00C628E4">
        <w:rPr>
          <w:rFonts w:ascii="Arial" w:hAnsi="Arial" w:cs="Arial"/>
          <w:sz w:val="24"/>
          <w:szCs w:val="24"/>
        </w:rPr>
        <w:t>T</w:t>
      </w:r>
      <w:r w:rsidR="009148F6" w:rsidRPr="00C628E4">
        <w:rPr>
          <w:rFonts w:ascii="Arial" w:hAnsi="Arial" w:cs="Arial"/>
          <w:sz w:val="24"/>
          <w:szCs w:val="24"/>
        </w:rPr>
        <w:t>wo special pleas were raised on the pleadings</w:t>
      </w:r>
      <w:r w:rsidR="003C0AC1" w:rsidRPr="00C628E4">
        <w:rPr>
          <w:rFonts w:ascii="Arial" w:hAnsi="Arial" w:cs="Arial"/>
          <w:sz w:val="24"/>
          <w:szCs w:val="24"/>
        </w:rPr>
        <w:t xml:space="preserve">.  </w:t>
      </w:r>
      <w:r w:rsidR="00C31399" w:rsidRPr="00C628E4">
        <w:rPr>
          <w:rFonts w:ascii="Arial" w:hAnsi="Arial" w:cs="Arial"/>
          <w:sz w:val="24"/>
          <w:szCs w:val="24"/>
        </w:rPr>
        <w:t>Following the withdrawal of the applicant’s second special plea, argument proceeded</w:t>
      </w:r>
      <w:r w:rsidR="00DF441C" w:rsidRPr="00C628E4">
        <w:rPr>
          <w:rFonts w:ascii="Arial" w:hAnsi="Arial" w:cs="Arial"/>
          <w:sz w:val="24"/>
          <w:szCs w:val="24"/>
        </w:rPr>
        <w:t xml:space="preserve"> on 25 October 2021 </w:t>
      </w:r>
      <w:r w:rsidR="00C31399" w:rsidRPr="00C628E4">
        <w:rPr>
          <w:rFonts w:ascii="Arial" w:hAnsi="Arial" w:cs="Arial"/>
          <w:sz w:val="24"/>
          <w:szCs w:val="24"/>
        </w:rPr>
        <w:t>in respect of the first special plea, which was founded on the second respondent’s failure to serve a notice of intended legal proceedings o</w:t>
      </w:r>
      <w:r w:rsidR="003A2D07" w:rsidRPr="00C628E4">
        <w:rPr>
          <w:rFonts w:ascii="Arial" w:hAnsi="Arial" w:cs="Arial"/>
          <w:sz w:val="24"/>
          <w:szCs w:val="24"/>
        </w:rPr>
        <w:t>n</w:t>
      </w:r>
      <w:r w:rsidR="00C31399" w:rsidRPr="00C628E4">
        <w:rPr>
          <w:rFonts w:ascii="Arial" w:hAnsi="Arial" w:cs="Arial"/>
          <w:sz w:val="24"/>
          <w:szCs w:val="24"/>
        </w:rPr>
        <w:t xml:space="preserve"> the National Commissioner of SAPS within six months of the date on which </w:t>
      </w:r>
      <w:r w:rsidR="003A2D07" w:rsidRPr="00C628E4">
        <w:rPr>
          <w:rFonts w:ascii="Arial" w:hAnsi="Arial" w:cs="Arial"/>
          <w:sz w:val="24"/>
          <w:szCs w:val="24"/>
        </w:rPr>
        <w:t>the debt became due.</w:t>
      </w:r>
      <w:r w:rsidR="00C31399" w:rsidRPr="00C628E4">
        <w:rPr>
          <w:rFonts w:ascii="Arial" w:hAnsi="Arial" w:cs="Arial"/>
          <w:sz w:val="24"/>
          <w:szCs w:val="24"/>
        </w:rPr>
        <w:t xml:space="preserve">  </w:t>
      </w:r>
      <w:r w:rsidR="009148F6" w:rsidRPr="00C628E4">
        <w:rPr>
          <w:rFonts w:ascii="Arial" w:hAnsi="Arial" w:cs="Arial"/>
          <w:sz w:val="24"/>
          <w:szCs w:val="24"/>
        </w:rPr>
        <w:t xml:space="preserve"> </w:t>
      </w:r>
      <w:r w:rsidR="009622DC" w:rsidRPr="00C628E4">
        <w:rPr>
          <w:rFonts w:ascii="Arial" w:hAnsi="Arial" w:cs="Arial"/>
          <w:sz w:val="24"/>
          <w:szCs w:val="24"/>
        </w:rPr>
        <w:t xml:space="preserve">  </w:t>
      </w:r>
    </w:p>
    <w:p w14:paraId="4B6A3540" w14:textId="77777777" w:rsidR="008076F6" w:rsidRPr="008076F6" w:rsidRDefault="008076F6" w:rsidP="00276502">
      <w:pPr>
        <w:pStyle w:val="ListParagraph"/>
        <w:spacing w:after="0" w:line="480" w:lineRule="auto"/>
        <w:rPr>
          <w:rFonts w:ascii="Arial" w:hAnsi="Arial" w:cs="Arial"/>
          <w:sz w:val="24"/>
          <w:szCs w:val="24"/>
        </w:rPr>
      </w:pPr>
    </w:p>
    <w:p w14:paraId="233D0EAF" w14:textId="671A03DA" w:rsidR="008076F6"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DF441C" w:rsidRPr="00C628E4">
        <w:rPr>
          <w:rFonts w:ascii="Arial" w:hAnsi="Arial" w:cs="Arial"/>
          <w:sz w:val="24"/>
          <w:szCs w:val="24"/>
        </w:rPr>
        <w:t xml:space="preserve">Following argument, the </w:t>
      </w:r>
      <w:r w:rsidR="0018415E" w:rsidRPr="00C628E4">
        <w:rPr>
          <w:rFonts w:ascii="Arial" w:hAnsi="Arial" w:cs="Arial"/>
          <w:sz w:val="24"/>
          <w:szCs w:val="24"/>
        </w:rPr>
        <w:t>first</w:t>
      </w:r>
      <w:r w:rsidR="00DF441C" w:rsidRPr="00C628E4">
        <w:rPr>
          <w:rFonts w:ascii="Arial" w:hAnsi="Arial" w:cs="Arial"/>
          <w:sz w:val="24"/>
          <w:szCs w:val="24"/>
        </w:rPr>
        <w:t xml:space="preserve"> respondent granted an order upholding the first special plea.</w:t>
      </w:r>
      <w:r w:rsidR="008076F6" w:rsidRPr="00C628E4">
        <w:rPr>
          <w:rFonts w:ascii="Arial" w:hAnsi="Arial" w:cs="Arial"/>
          <w:sz w:val="24"/>
          <w:szCs w:val="24"/>
        </w:rPr>
        <w:t xml:space="preserve">    </w:t>
      </w:r>
    </w:p>
    <w:p w14:paraId="798DAB18" w14:textId="7B2A9A88" w:rsidR="004E3039"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DF441C" w:rsidRPr="00C628E4">
        <w:rPr>
          <w:rFonts w:ascii="Arial" w:hAnsi="Arial" w:cs="Arial"/>
          <w:sz w:val="24"/>
          <w:szCs w:val="24"/>
        </w:rPr>
        <w:t xml:space="preserve">On 11 November 2021, the </w:t>
      </w:r>
      <w:r w:rsidR="00664ECC" w:rsidRPr="00C628E4">
        <w:rPr>
          <w:rFonts w:ascii="Arial" w:hAnsi="Arial" w:cs="Arial"/>
          <w:sz w:val="24"/>
          <w:szCs w:val="24"/>
        </w:rPr>
        <w:t>second</w:t>
      </w:r>
      <w:r w:rsidR="00DF441C" w:rsidRPr="00C628E4">
        <w:rPr>
          <w:rFonts w:ascii="Arial" w:hAnsi="Arial" w:cs="Arial"/>
          <w:sz w:val="24"/>
          <w:szCs w:val="24"/>
        </w:rPr>
        <w:t xml:space="preserve"> respondent brought an application for condonation </w:t>
      </w:r>
      <w:r w:rsidR="00664ECC" w:rsidRPr="00C628E4">
        <w:rPr>
          <w:rFonts w:ascii="Arial" w:hAnsi="Arial" w:cs="Arial"/>
          <w:sz w:val="24"/>
          <w:szCs w:val="24"/>
        </w:rPr>
        <w:t xml:space="preserve">for his aforesaid failure.  </w:t>
      </w:r>
      <w:r w:rsidR="00DF441C" w:rsidRPr="00C628E4">
        <w:rPr>
          <w:rFonts w:ascii="Arial" w:hAnsi="Arial" w:cs="Arial"/>
          <w:sz w:val="24"/>
          <w:szCs w:val="24"/>
        </w:rPr>
        <w:t>The applicant</w:t>
      </w:r>
      <w:r w:rsidR="00664ECC" w:rsidRPr="00C628E4">
        <w:rPr>
          <w:rFonts w:ascii="Arial" w:hAnsi="Arial" w:cs="Arial"/>
          <w:sz w:val="24"/>
          <w:szCs w:val="24"/>
        </w:rPr>
        <w:t>, having elected not to file an answering affidavit,</w:t>
      </w:r>
      <w:r w:rsidR="00DF441C" w:rsidRPr="00C628E4">
        <w:rPr>
          <w:rFonts w:ascii="Arial" w:hAnsi="Arial" w:cs="Arial"/>
          <w:sz w:val="24"/>
          <w:szCs w:val="24"/>
        </w:rPr>
        <w:t xml:space="preserve"> file</w:t>
      </w:r>
      <w:r w:rsidR="00664ECC" w:rsidRPr="00C628E4">
        <w:rPr>
          <w:rFonts w:ascii="Arial" w:hAnsi="Arial" w:cs="Arial"/>
          <w:sz w:val="24"/>
          <w:szCs w:val="24"/>
        </w:rPr>
        <w:t>d</w:t>
      </w:r>
      <w:r w:rsidR="00DF441C" w:rsidRPr="00C628E4">
        <w:rPr>
          <w:rFonts w:ascii="Arial" w:hAnsi="Arial" w:cs="Arial"/>
          <w:sz w:val="24"/>
          <w:szCs w:val="24"/>
        </w:rPr>
        <w:t xml:space="preserve"> a notice in terms of </w:t>
      </w:r>
      <w:r w:rsidR="004E3039" w:rsidRPr="00C628E4">
        <w:rPr>
          <w:rFonts w:ascii="Arial" w:hAnsi="Arial" w:cs="Arial"/>
          <w:sz w:val="24"/>
          <w:szCs w:val="24"/>
        </w:rPr>
        <w:t xml:space="preserve">Rule 55(1)(g)(iii) of the Magistrates’ Rules of Court, in which the following </w:t>
      </w:r>
      <w:r w:rsidR="00664ECC" w:rsidRPr="00C628E4">
        <w:rPr>
          <w:rFonts w:ascii="Arial" w:hAnsi="Arial" w:cs="Arial"/>
          <w:sz w:val="24"/>
          <w:szCs w:val="24"/>
        </w:rPr>
        <w:t>was</w:t>
      </w:r>
      <w:r w:rsidR="004E3039" w:rsidRPr="00C628E4">
        <w:rPr>
          <w:rFonts w:ascii="Arial" w:hAnsi="Arial" w:cs="Arial"/>
          <w:sz w:val="24"/>
          <w:szCs w:val="24"/>
        </w:rPr>
        <w:t xml:space="preserve"> raised:</w:t>
      </w:r>
    </w:p>
    <w:p w14:paraId="424A5F18" w14:textId="264DA239" w:rsidR="004E3039" w:rsidRDefault="004E3039" w:rsidP="004E3039">
      <w:pPr>
        <w:pStyle w:val="ListParagraph"/>
        <w:spacing w:after="0" w:line="480" w:lineRule="auto"/>
        <w:ind w:left="0"/>
        <w:jc w:val="both"/>
        <w:rPr>
          <w:rFonts w:ascii="Arial" w:hAnsi="Arial" w:cs="Arial"/>
          <w:sz w:val="24"/>
          <w:szCs w:val="24"/>
        </w:rPr>
      </w:pPr>
    </w:p>
    <w:p w14:paraId="2E717F41" w14:textId="6EC65E5F" w:rsidR="004E3039" w:rsidRPr="00251D59" w:rsidRDefault="004E3039" w:rsidP="00541FE6">
      <w:pPr>
        <w:pStyle w:val="ListParagraph"/>
        <w:spacing w:after="0" w:line="360" w:lineRule="auto"/>
        <w:ind w:left="1440" w:hanging="720"/>
        <w:jc w:val="both"/>
        <w:rPr>
          <w:rFonts w:ascii="Arial" w:hAnsi="Arial" w:cs="Arial"/>
          <w:i/>
          <w:iCs/>
          <w:sz w:val="20"/>
          <w:szCs w:val="20"/>
          <w:lang w:val="en-US"/>
        </w:rPr>
      </w:pPr>
      <w:r w:rsidRPr="00251D59">
        <w:rPr>
          <w:rFonts w:ascii="Arial" w:hAnsi="Arial" w:cs="Arial"/>
          <w:i/>
          <w:iCs/>
          <w:sz w:val="20"/>
          <w:szCs w:val="20"/>
        </w:rPr>
        <w:t>“1.</w:t>
      </w:r>
      <w:r w:rsidRPr="00251D59">
        <w:rPr>
          <w:rFonts w:ascii="Arial" w:hAnsi="Arial" w:cs="Arial"/>
          <w:i/>
          <w:iCs/>
          <w:sz w:val="20"/>
          <w:szCs w:val="20"/>
        </w:rPr>
        <w:tab/>
      </w:r>
      <w:r w:rsidRPr="00251D59">
        <w:rPr>
          <w:rFonts w:ascii="Arial" w:hAnsi="Arial" w:cs="Arial"/>
          <w:i/>
          <w:iCs/>
          <w:sz w:val="20"/>
          <w:szCs w:val="20"/>
          <w:lang w:val="en-US"/>
        </w:rPr>
        <w:t>Two Special Pleas were raised as per the Defendant’s Amended Plea, in respect of non-compliance with the provisions of Act 40 of 2002 and Act 8 of 2017.</w:t>
      </w:r>
    </w:p>
    <w:p w14:paraId="4F018CCC" w14:textId="77777777" w:rsidR="004E3039" w:rsidRPr="00251D59" w:rsidRDefault="004E3039" w:rsidP="004E3039">
      <w:pPr>
        <w:pStyle w:val="ListParagraph"/>
        <w:spacing w:after="0" w:line="360" w:lineRule="auto"/>
        <w:ind w:left="0"/>
        <w:jc w:val="both"/>
        <w:rPr>
          <w:rFonts w:ascii="Arial" w:hAnsi="Arial" w:cs="Arial"/>
          <w:i/>
          <w:iCs/>
          <w:sz w:val="20"/>
          <w:szCs w:val="20"/>
          <w:lang w:val="en-US"/>
        </w:rPr>
      </w:pPr>
    </w:p>
    <w:p w14:paraId="35F7D172" w14:textId="343D1ECA" w:rsidR="004E3039" w:rsidRPr="00251D59" w:rsidRDefault="004E3039" w:rsidP="00541FE6">
      <w:pPr>
        <w:pStyle w:val="ListParagraph"/>
        <w:spacing w:after="0" w:line="360" w:lineRule="auto"/>
        <w:ind w:left="1440" w:hanging="720"/>
        <w:jc w:val="both"/>
        <w:rPr>
          <w:rFonts w:ascii="Arial" w:hAnsi="Arial" w:cs="Arial"/>
          <w:i/>
          <w:iCs/>
          <w:sz w:val="20"/>
          <w:szCs w:val="20"/>
          <w:lang w:val="en-US"/>
        </w:rPr>
      </w:pPr>
      <w:r w:rsidRPr="00251D59">
        <w:rPr>
          <w:rFonts w:ascii="Arial" w:hAnsi="Arial" w:cs="Arial"/>
          <w:i/>
          <w:iCs/>
          <w:sz w:val="20"/>
          <w:szCs w:val="20"/>
          <w:lang w:val="en-US"/>
        </w:rPr>
        <w:t>2.</w:t>
      </w:r>
      <w:r w:rsidRPr="00251D59">
        <w:rPr>
          <w:rFonts w:ascii="Arial" w:hAnsi="Arial" w:cs="Arial"/>
          <w:i/>
          <w:iCs/>
          <w:sz w:val="20"/>
          <w:szCs w:val="20"/>
          <w:lang w:val="en-US"/>
        </w:rPr>
        <w:tab/>
        <w:t>Arguments only proceeded on Special Plea (sic) in respect of Act 40 of 2002, separately from the merits before court on 25</w:t>
      </w:r>
      <w:r w:rsidRPr="00251D59">
        <w:rPr>
          <w:rFonts w:ascii="Arial" w:hAnsi="Arial" w:cs="Arial"/>
          <w:i/>
          <w:iCs/>
          <w:sz w:val="20"/>
          <w:szCs w:val="20"/>
          <w:vertAlign w:val="superscript"/>
          <w:lang w:val="en-US"/>
        </w:rPr>
        <w:t>th</w:t>
      </w:r>
      <w:r w:rsidRPr="00251D59">
        <w:rPr>
          <w:rFonts w:ascii="Arial" w:hAnsi="Arial" w:cs="Arial"/>
          <w:i/>
          <w:iCs/>
          <w:sz w:val="20"/>
          <w:szCs w:val="20"/>
          <w:lang w:val="en-US"/>
        </w:rPr>
        <w:t xml:space="preserve"> October 2021, and consequently the </w:t>
      </w:r>
      <w:r w:rsidR="00B21EAE" w:rsidRPr="00251D59">
        <w:rPr>
          <w:rFonts w:ascii="Arial" w:hAnsi="Arial" w:cs="Arial"/>
          <w:i/>
          <w:iCs/>
          <w:sz w:val="20"/>
          <w:szCs w:val="20"/>
          <w:lang w:val="en-US"/>
        </w:rPr>
        <w:t>S</w:t>
      </w:r>
      <w:r w:rsidRPr="00251D59">
        <w:rPr>
          <w:rFonts w:ascii="Arial" w:hAnsi="Arial" w:cs="Arial"/>
          <w:i/>
          <w:iCs/>
          <w:sz w:val="20"/>
          <w:szCs w:val="20"/>
          <w:lang w:val="en-US"/>
        </w:rPr>
        <w:t xml:space="preserve">pecial </w:t>
      </w:r>
      <w:r w:rsidR="00B21EAE" w:rsidRPr="00251D59">
        <w:rPr>
          <w:rFonts w:ascii="Arial" w:hAnsi="Arial" w:cs="Arial"/>
          <w:i/>
          <w:iCs/>
          <w:sz w:val="20"/>
          <w:szCs w:val="20"/>
          <w:lang w:val="en-US"/>
        </w:rPr>
        <w:t>P</w:t>
      </w:r>
      <w:r w:rsidRPr="00251D59">
        <w:rPr>
          <w:rFonts w:ascii="Arial" w:hAnsi="Arial" w:cs="Arial"/>
          <w:i/>
          <w:iCs/>
          <w:sz w:val="20"/>
          <w:szCs w:val="20"/>
          <w:lang w:val="en-US"/>
        </w:rPr>
        <w:t xml:space="preserve">lea was upheld with costs as per </w:t>
      </w:r>
      <w:r w:rsidR="00B21EAE" w:rsidRPr="00251D59">
        <w:rPr>
          <w:rFonts w:ascii="Arial" w:hAnsi="Arial" w:cs="Arial"/>
          <w:i/>
          <w:iCs/>
          <w:sz w:val="20"/>
          <w:szCs w:val="20"/>
          <w:lang w:val="en-US"/>
        </w:rPr>
        <w:t>C</w:t>
      </w:r>
      <w:r w:rsidRPr="00251D59">
        <w:rPr>
          <w:rFonts w:ascii="Arial" w:hAnsi="Arial" w:cs="Arial"/>
          <w:i/>
          <w:iCs/>
          <w:sz w:val="20"/>
          <w:szCs w:val="20"/>
          <w:lang w:val="en-US"/>
        </w:rPr>
        <w:t xml:space="preserve">ourt </w:t>
      </w:r>
      <w:r w:rsidR="00B21EAE" w:rsidRPr="00251D59">
        <w:rPr>
          <w:rFonts w:ascii="Arial" w:hAnsi="Arial" w:cs="Arial"/>
          <w:i/>
          <w:iCs/>
          <w:sz w:val="20"/>
          <w:szCs w:val="20"/>
          <w:lang w:val="en-US"/>
        </w:rPr>
        <w:t>O</w:t>
      </w:r>
      <w:r w:rsidRPr="00251D59">
        <w:rPr>
          <w:rFonts w:ascii="Arial" w:hAnsi="Arial" w:cs="Arial"/>
          <w:i/>
          <w:iCs/>
          <w:sz w:val="20"/>
          <w:szCs w:val="20"/>
          <w:lang w:val="en-US"/>
        </w:rPr>
        <w:t>rder dated 25 October 2021 result</w:t>
      </w:r>
      <w:r w:rsidR="00B21EAE" w:rsidRPr="00251D59">
        <w:rPr>
          <w:rFonts w:ascii="Arial" w:hAnsi="Arial" w:cs="Arial"/>
          <w:i/>
          <w:iCs/>
          <w:sz w:val="20"/>
          <w:szCs w:val="20"/>
          <w:lang w:val="en-US"/>
        </w:rPr>
        <w:t xml:space="preserve">ing int the action </w:t>
      </w:r>
      <w:r w:rsidRPr="00251D59">
        <w:rPr>
          <w:rFonts w:ascii="Arial" w:hAnsi="Arial" w:cs="Arial"/>
          <w:i/>
          <w:iCs/>
          <w:sz w:val="20"/>
          <w:szCs w:val="20"/>
          <w:lang w:val="en-US"/>
        </w:rPr>
        <w:t>being dismissed with costs.</w:t>
      </w:r>
    </w:p>
    <w:p w14:paraId="2A113E22" w14:textId="77777777" w:rsidR="004E3039" w:rsidRPr="00251D59" w:rsidRDefault="004E3039" w:rsidP="004E3039">
      <w:pPr>
        <w:pStyle w:val="ListParagraph"/>
        <w:spacing w:after="0" w:line="360" w:lineRule="auto"/>
        <w:ind w:left="0"/>
        <w:jc w:val="both"/>
        <w:rPr>
          <w:rFonts w:ascii="Arial" w:hAnsi="Arial" w:cs="Arial"/>
          <w:i/>
          <w:iCs/>
          <w:sz w:val="20"/>
          <w:szCs w:val="20"/>
          <w:lang w:val="en-US"/>
        </w:rPr>
      </w:pPr>
    </w:p>
    <w:p w14:paraId="78D94CD8" w14:textId="77777777" w:rsidR="00296228" w:rsidRDefault="00B21EAE" w:rsidP="00541FE6">
      <w:pPr>
        <w:pStyle w:val="ListParagraph"/>
        <w:spacing w:after="0" w:line="360" w:lineRule="auto"/>
        <w:ind w:left="1440" w:hanging="720"/>
        <w:jc w:val="both"/>
        <w:rPr>
          <w:rFonts w:ascii="Arial" w:hAnsi="Arial" w:cs="Arial"/>
          <w:sz w:val="20"/>
          <w:szCs w:val="20"/>
          <w:lang w:val="en-US"/>
        </w:rPr>
      </w:pPr>
      <w:r w:rsidRPr="00251D59">
        <w:rPr>
          <w:rFonts w:ascii="Arial" w:hAnsi="Arial" w:cs="Arial"/>
          <w:i/>
          <w:iCs/>
          <w:sz w:val="20"/>
          <w:szCs w:val="20"/>
          <w:lang w:val="en-US"/>
        </w:rPr>
        <w:t>3.</w:t>
      </w:r>
      <w:r w:rsidRPr="00251D59">
        <w:rPr>
          <w:rFonts w:ascii="Arial" w:hAnsi="Arial" w:cs="Arial"/>
          <w:i/>
          <w:iCs/>
          <w:sz w:val="20"/>
          <w:szCs w:val="20"/>
          <w:lang w:val="en-US"/>
        </w:rPr>
        <w:tab/>
      </w:r>
      <w:r w:rsidR="004E3039" w:rsidRPr="00251D59">
        <w:rPr>
          <w:rFonts w:ascii="Arial" w:hAnsi="Arial" w:cs="Arial"/>
          <w:i/>
          <w:iCs/>
          <w:sz w:val="20"/>
          <w:szCs w:val="20"/>
          <w:lang w:val="en-US"/>
        </w:rPr>
        <w:t xml:space="preserve">The only legal remedy available to the </w:t>
      </w:r>
      <w:r w:rsidRPr="00251D59">
        <w:rPr>
          <w:rFonts w:ascii="Arial" w:hAnsi="Arial" w:cs="Arial"/>
          <w:i/>
          <w:iCs/>
          <w:sz w:val="20"/>
          <w:szCs w:val="20"/>
          <w:lang w:val="en-US"/>
        </w:rPr>
        <w:t>A</w:t>
      </w:r>
      <w:r w:rsidR="004E3039" w:rsidRPr="00251D59">
        <w:rPr>
          <w:rFonts w:ascii="Arial" w:hAnsi="Arial" w:cs="Arial"/>
          <w:i/>
          <w:iCs/>
          <w:sz w:val="20"/>
          <w:szCs w:val="20"/>
          <w:lang w:val="en-US"/>
        </w:rPr>
        <w:t>pplicant is an appeal, at a higher court within the prescribed</w:t>
      </w:r>
      <w:r w:rsidR="008E220E" w:rsidRPr="00251D59">
        <w:rPr>
          <w:rFonts w:ascii="Arial" w:hAnsi="Arial" w:cs="Arial"/>
          <w:i/>
          <w:iCs/>
          <w:sz w:val="20"/>
          <w:szCs w:val="20"/>
          <w:lang w:val="en-US"/>
        </w:rPr>
        <w:t xml:space="preserve"> period by </w:t>
      </w:r>
      <w:r w:rsidR="004E3039" w:rsidRPr="00251D59">
        <w:rPr>
          <w:rFonts w:ascii="Arial" w:hAnsi="Arial" w:cs="Arial"/>
          <w:i/>
          <w:iCs/>
          <w:sz w:val="20"/>
          <w:szCs w:val="20"/>
          <w:lang w:val="en-US"/>
        </w:rPr>
        <w:t xml:space="preserve">the </w:t>
      </w:r>
      <w:r w:rsidR="008E220E" w:rsidRPr="00251D59">
        <w:rPr>
          <w:rFonts w:ascii="Arial" w:hAnsi="Arial" w:cs="Arial"/>
          <w:i/>
          <w:iCs/>
          <w:sz w:val="20"/>
          <w:szCs w:val="20"/>
          <w:lang w:val="en-US"/>
        </w:rPr>
        <w:t>C</w:t>
      </w:r>
      <w:r w:rsidR="004E3039" w:rsidRPr="00251D59">
        <w:rPr>
          <w:rFonts w:ascii="Arial" w:hAnsi="Arial" w:cs="Arial"/>
          <w:i/>
          <w:iCs/>
          <w:sz w:val="20"/>
          <w:szCs w:val="20"/>
          <w:lang w:val="en-US"/>
        </w:rPr>
        <w:t xml:space="preserve">ourt </w:t>
      </w:r>
      <w:r w:rsidR="008E220E" w:rsidRPr="00251D59">
        <w:rPr>
          <w:rFonts w:ascii="Arial" w:hAnsi="Arial" w:cs="Arial"/>
          <w:i/>
          <w:iCs/>
          <w:sz w:val="20"/>
          <w:szCs w:val="20"/>
          <w:lang w:val="en-US"/>
        </w:rPr>
        <w:t>R</w:t>
      </w:r>
      <w:r w:rsidR="004E3039" w:rsidRPr="00251D59">
        <w:rPr>
          <w:rFonts w:ascii="Arial" w:hAnsi="Arial" w:cs="Arial"/>
          <w:i/>
          <w:iCs/>
          <w:sz w:val="20"/>
          <w:szCs w:val="20"/>
          <w:lang w:val="en-US"/>
        </w:rPr>
        <w:t xml:space="preserve">ules, as the matter is dismissed. </w:t>
      </w:r>
      <w:r w:rsidR="008E220E" w:rsidRPr="00251D59">
        <w:rPr>
          <w:rFonts w:ascii="Arial" w:hAnsi="Arial" w:cs="Arial"/>
          <w:i/>
          <w:iCs/>
          <w:sz w:val="20"/>
          <w:szCs w:val="20"/>
          <w:lang w:val="en-US"/>
        </w:rPr>
        <w:t xml:space="preserve"> </w:t>
      </w:r>
      <w:r w:rsidR="004E3039" w:rsidRPr="00251D59">
        <w:rPr>
          <w:rFonts w:ascii="Arial" w:hAnsi="Arial" w:cs="Arial"/>
          <w:i/>
          <w:iCs/>
          <w:sz w:val="20"/>
          <w:szCs w:val="20"/>
          <w:lang w:val="en-US"/>
        </w:rPr>
        <w:t xml:space="preserve">This was confirmed in </w:t>
      </w:r>
      <w:r w:rsidR="008E220E" w:rsidRPr="00251D59">
        <w:rPr>
          <w:rFonts w:ascii="Arial" w:hAnsi="Arial" w:cs="Arial"/>
          <w:i/>
          <w:iCs/>
          <w:sz w:val="20"/>
          <w:szCs w:val="20"/>
          <w:lang w:val="en-US"/>
        </w:rPr>
        <w:t>Lindile Soga vs Minister of Police &amp; Another, where it was stipulated that</w:t>
      </w:r>
      <w:r w:rsidR="008E220E" w:rsidRPr="00251D59">
        <w:rPr>
          <w:rFonts w:ascii="Arial" w:hAnsi="Arial" w:cs="Arial"/>
          <w:b/>
          <w:bCs/>
          <w:i/>
          <w:iCs/>
          <w:sz w:val="20"/>
          <w:szCs w:val="20"/>
          <w:u w:val="single"/>
          <w:lang w:val="en-US"/>
        </w:rPr>
        <w:t xml:space="preserve"> S</w:t>
      </w:r>
      <w:r w:rsidR="004E3039" w:rsidRPr="00251D59">
        <w:rPr>
          <w:rFonts w:ascii="Arial" w:hAnsi="Arial" w:cs="Arial"/>
          <w:b/>
          <w:bCs/>
          <w:i/>
          <w:iCs/>
          <w:sz w:val="20"/>
          <w:szCs w:val="20"/>
          <w:u w:val="single"/>
          <w:lang w:val="en-US"/>
        </w:rPr>
        <w:t xml:space="preserve">pecial </w:t>
      </w:r>
      <w:r w:rsidR="008E220E" w:rsidRPr="00251D59">
        <w:rPr>
          <w:rFonts w:ascii="Arial" w:hAnsi="Arial" w:cs="Arial"/>
          <w:b/>
          <w:bCs/>
          <w:i/>
          <w:iCs/>
          <w:sz w:val="20"/>
          <w:szCs w:val="20"/>
          <w:u w:val="single"/>
          <w:lang w:val="en-US"/>
        </w:rPr>
        <w:t>P</w:t>
      </w:r>
      <w:r w:rsidR="004E3039" w:rsidRPr="00251D59">
        <w:rPr>
          <w:rFonts w:ascii="Arial" w:hAnsi="Arial" w:cs="Arial"/>
          <w:b/>
          <w:bCs/>
          <w:i/>
          <w:iCs/>
          <w:sz w:val="20"/>
          <w:szCs w:val="20"/>
          <w:u w:val="single"/>
          <w:lang w:val="en-US"/>
        </w:rPr>
        <w:t>leas of time</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bearing</w:t>
      </w:r>
      <w:r w:rsidR="008E220E" w:rsidRPr="00251D59">
        <w:rPr>
          <w:rFonts w:ascii="Arial" w:hAnsi="Arial" w:cs="Arial"/>
          <w:b/>
          <w:bCs/>
          <w:i/>
          <w:iCs/>
          <w:sz w:val="20"/>
          <w:szCs w:val="20"/>
          <w:u w:val="single"/>
          <w:lang w:val="en-US"/>
        </w:rPr>
        <w:t xml:space="preserve"> (sic)</w:t>
      </w:r>
      <w:r w:rsidR="004E3039" w:rsidRPr="00251D59">
        <w:rPr>
          <w:rFonts w:ascii="Arial" w:hAnsi="Arial" w:cs="Arial"/>
          <w:b/>
          <w:bCs/>
          <w:i/>
          <w:iCs/>
          <w:sz w:val="20"/>
          <w:szCs w:val="20"/>
          <w:u w:val="single"/>
          <w:lang w:val="en-US"/>
        </w:rPr>
        <w:t xml:space="preserve"> render the claim permanently unenforceable and the plaintiff has no duty to give notice of any intended legal proceedings as there is no claim</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 xml:space="preserve"> </w:t>
      </w:r>
      <w:r w:rsidR="008E220E" w:rsidRPr="00251D59">
        <w:rPr>
          <w:rFonts w:ascii="Arial" w:hAnsi="Arial" w:cs="Arial"/>
          <w:b/>
          <w:bCs/>
          <w:i/>
          <w:iCs/>
          <w:sz w:val="20"/>
          <w:szCs w:val="20"/>
          <w:u w:val="single"/>
          <w:lang w:val="en-US"/>
        </w:rPr>
        <w:t xml:space="preserve"> M</w:t>
      </w:r>
      <w:r w:rsidR="004E3039" w:rsidRPr="00251D59">
        <w:rPr>
          <w:rFonts w:ascii="Arial" w:hAnsi="Arial" w:cs="Arial"/>
          <w:b/>
          <w:bCs/>
          <w:i/>
          <w:iCs/>
          <w:sz w:val="20"/>
          <w:szCs w:val="20"/>
          <w:u w:val="single"/>
          <w:lang w:val="en-US"/>
        </w:rPr>
        <w:t xml:space="preserve">oreover, </w:t>
      </w:r>
      <w:r w:rsidR="008E220E" w:rsidRPr="00251D59">
        <w:rPr>
          <w:rFonts w:ascii="Arial" w:hAnsi="Arial" w:cs="Arial"/>
          <w:b/>
          <w:bCs/>
          <w:i/>
          <w:iCs/>
          <w:sz w:val="20"/>
          <w:szCs w:val="20"/>
          <w:u w:val="single"/>
          <w:lang w:val="en-US"/>
        </w:rPr>
        <w:t>A</w:t>
      </w:r>
      <w:r w:rsidR="004E3039" w:rsidRPr="00251D59">
        <w:rPr>
          <w:rFonts w:ascii="Arial" w:hAnsi="Arial" w:cs="Arial"/>
          <w:b/>
          <w:bCs/>
          <w:i/>
          <w:iCs/>
          <w:sz w:val="20"/>
          <w:szCs w:val="20"/>
          <w:u w:val="single"/>
          <w:lang w:val="en-US"/>
        </w:rPr>
        <w:t xml:space="preserve">pplication for </w:t>
      </w:r>
      <w:r w:rsidR="008E220E" w:rsidRPr="00251D59">
        <w:rPr>
          <w:rFonts w:ascii="Arial" w:hAnsi="Arial" w:cs="Arial"/>
          <w:b/>
          <w:bCs/>
          <w:i/>
          <w:iCs/>
          <w:sz w:val="20"/>
          <w:szCs w:val="20"/>
          <w:u w:val="single"/>
          <w:lang w:val="en-US"/>
        </w:rPr>
        <w:t>C</w:t>
      </w:r>
      <w:r w:rsidR="004E3039" w:rsidRPr="00251D59">
        <w:rPr>
          <w:rFonts w:ascii="Arial" w:hAnsi="Arial" w:cs="Arial"/>
          <w:b/>
          <w:bCs/>
          <w:i/>
          <w:iCs/>
          <w:sz w:val="20"/>
          <w:szCs w:val="20"/>
          <w:u w:val="single"/>
          <w:lang w:val="en-US"/>
        </w:rPr>
        <w:t>ond</w:t>
      </w:r>
      <w:r w:rsidR="008E220E" w:rsidRPr="00251D59">
        <w:rPr>
          <w:rFonts w:ascii="Arial" w:hAnsi="Arial" w:cs="Arial"/>
          <w:b/>
          <w:bCs/>
          <w:i/>
          <w:iCs/>
          <w:sz w:val="20"/>
          <w:szCs w:val="20"/>
          <w:u w:val="single"/>
          <w:lang w:val="en-US"/>
        </w:rPr>
        <w:t xml:space="preserve">onation </w:t>
      </w:r>
      <w:r w:rsidR="004E3039" w:rsidRPr="00251D59">
        <w:rPr>
          <w:rFonts w:ascii="Arial" w:hAnsi="Arial" w:cs="Arial"/>
          <w:b/>
          <w:bCs/>
          <w:i/>
          <w:iCs/>
          <w:sz w:val="20"/>
          <w:szCs w:val="20"/>
          <w:u w:val="single"/>
          <w:lang w:val="en-US"/>
        </w:rPr>
        <w:t xml:space="preserve">cannot revive the claim unless the judgment is reversed on appeal. </w:t>
      </w:r>
      <w:r w:rsidR="008E220E" w:rsidRPr="00251D59">
        <w:rPr>
          <w:rFonts w:ascii="Arial" w:hAnsi="Arial" w:cs="Arial"/>
          <w:b/>
          <w:bCs/>
          <w:i/>
          <w:iCs/>
          <w:sz w:val="20"/>
          <w:szCs w:val="20"/>
          <w:u w:val="single"/>
          <w:lang w:val="en-US"/>
        </w:rPr>
        <w:t xml:space="preserve"> </w:t>
      </w:r>
      <w:r w:rsidR="004E3039" w:rsidRPr="00251D59">
        <w:rPr>
          <w:rFonts w:ascii="Arial" w:hAnsi="Arial" w:cs="Arial"/>
          <w:b/>
          <w:bCs/>
          <w:i/>
          <w:iCs/>
          <w:sz w:val="20"/>
          <w:szCs w:val="20"/>
          <w:u w:val="single"/>
          <w:lang w:val="en-US"/>
        </w:rPr>
        <w:t xml:space="preserve">See a copy whereof </w:t>
      </w:r>
      <w:r w:rsidR="008E220E" w:rsidRPr="00251D59">
        <w:rPr>
          <w:rFonts w:ascii="Arial" w:hAnsi="Arial" w:cs="Arial"/>
          <w:b/>
          <w:bCs/>
          <w:i/>
          <w:iCs/>
          <w:sz w:val="20"/>
          <w:szCs w:val="20"/>
          <w:u w:val="single"/>
          <w:lang w:val="en-US"/>
        </w:rPr>
        <w:t xml:space="preserve">duly (sic) annexed hereto </w:t>
      </w:r>
      <w:r w:rsidR="004E3039" w:rsidRPr="00251D59">
        <w:rPr>
          <w:rFonts w:ascii="Arial" w:hAnsi="Arial" w:cs="Arial"/>
          <w:b/>
          <w:bCs/>
          <w:i/>
          <w:iCs/>
          <w:sz w:val="20"/>
          <w:szCs w:val="20"/>
          <w:u w:val="single"/>
          <w:lang w:val="en-US"/>
        </w:rPr>
        <w:t xml:space="preserve">marked </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A</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 xml:space="preserve"> and </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B</w:t>
      </w:r>
      <w:r w:rsidR="008E220E" w:rsidRPr="00251D59">
        <w:rPr>
          <w:rFonts w:ascii="Arial" w:hAnsi="Arial" w:cs="Arial"/>
          <w:b/>
          <w:bCs/>
          <w:i/>
          <w:iCs/>
          <w:sz w:val="20"/>
          <w:szCs w:val="20"/>
          <w:u w:val="single"/>
          <w:lang w:val="en-US"/>
        </w:rPr>
        <w:t>”</w:t>
      </w:r>
      <w:r w:rsidR="004E3039" w:rsidRPr="00251D59">
        <w:rPr>
          <w:rFonts w:ascii="Arial" w:hAnsi="Arial" w:cs="Arial"/>
          <w:b/>
          <w:bCs/>
          <w:i/>
          <w:iCs/>
          <w:sz w:val="20"/>
          <w:szCs w:val="20"/>
          <w:u w:val="single"/>
          <w:lang w:val="en-US"/>
        </w:rPr>
        <w:t>.</w:t>
      </w:r>
      <w:r w:rsidR="008E220E" w:rsidRPr="00251D59">
        <w:rPr>
          <w:rFonts w:ascii="Arial" w:hAnsi="Arial" w:cs="Arial"/>
          <w:i/>
          <w:iCs/>
          <w:sz w:val="20"/>
          <w:szCs w:val="20"/>
          <w:lang w:val="en-US"/>
        </w:rPr>
        <w:t>”</w:t>
      </w:r>
      <w:r w:rsidR="004E3039" w:rsidRPr="00251D59">
        <w:rPr>
          <w:rFonts w:ascii="Arial" w:hAnsi="Arial" w:cs="Arial"/>
          <w:i/>
          <w:iCs/>
          <w:sz w:val="20"/>
          <w:szCs w:val="20"/>
          <w:lang w:val="en-US"/>
        </w:rPr>
        <w:t xml:space="preserve"> </w:t>
      </w:r>
      <w:r w:rsidR="00296228">
        <w:rPr>
          <w:rFonts w:ascii="Arial" w:hAnsi="Arial" w:cs="Arial"/>
          <w:sz w:val="20"/>
          <w:szCs w:val="20"/>
          <w:lang w:val="en-US"/>
        </w:rPr>
        <w:t xml:space="preserve"> </w:t>
      </w:r>
    </w:p>
    <w:p w14:paraId="3934C272" w14:textId="77777777" w:rsidR="00296228" w:rsidRDefault="00296228" w:rsidP="00541FE6">
      <w:pPr>
        <w:pStyle w:val="ListParagraph"/>
        <w:spacing w:after="0" w:line="360" w:lineRule="auto"/>
        <w:ind w:left="1440" w:hanging="720"/>
        <w:jc w:val="both"/>
        <w:rPr>
          <w:rFonts w:ascii="Arial" w:hAnsi="Arial" w:cs="Arial"/>
          <w:sz w:val="20"/>
          <w:szCs w:val="20"/>
          <w:lang w:val="en-US"/>
        </w:rPr>
      </w:pPr>
    </w:p>
    <w:p w14:paraId="0B552599" w14:textId="068F0773" w:rsidR="004E3039" w:rsidRPr="00804678" w:rsidRDefault="00296228" w:rsidP="00296228">
      <w:pPr>
        <w:pStyle w:val="ListParagraph"/>
        <w:spacing w:after="0" w:line="360" w:lineRule="auto"/>
        <w:ind w:left="1440"/>
        <w:jc w:val="both"/>
        <w:rPr>
          <w:rFonts w:ascii="Arial" w:hAnsi="Arial" w:cs="Arial"/>
          <w:sz w:val="24"/>
          <w:szCs w:val="24"/>
        </w:rPr>
      </w:pPr>
      <w:r w:rsidRPr="00804678">
        <w:rPr>
          <w:rFonts w:ascii="Arial" w:hAnsi="Arial" w:cs="Arial"/>
          <w:sz w:val="24"/>
          <w:szCs w:val="24"/>
          <w:lang w:val="en-US"/>
        </w:rPr>
        <w:t xml:space="preserve">[Underlining and bold typeset as contained in the notice]. </w:t>
      </w:r>
    </w:p>
    <w:p w14:paraId="3A2EED51" w14:textId="77777777" w:rsidR="004E3039" w:rsidRPr="004E3039" w:rsidRDefault="004E3039" w:rsidP="00664ECC">
      <w:pPr>
        <w:pStyle w:val="ListParagraph"/>
        <w:spacing w:after="0" w:line="480" w:lineRule="auto"/>
        <w:rPr>
          <w:rFonts w:ascii="Arial" w:hAnsi="Arial" w:cs="Arial"/>
          <w:sz w:val="24"/>
          <w:szCs w:val="24"/>
        </w:rPr>
      </w:pPr>
    </w:p>
    <w:p w14:paraId="5C0EA320" w14:textId="49CF01F2" w:rsidR="008E220E"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8E220E" w:rsidRPr="00C628E4">
        <w:rPr>
          <w:rFonts w:ascii="Arial" w:hAnsi="Arial" w:cs="Arial"/>
          <w:sz w:val="24"/>
          <w:szCs w:val="24"/>
        </w:rPr>
        <w:t xml:space="preserve">Following argument of the application for condonation, the </w:t>
      </w:r>
      <w:r w:rsidR="00664ECC" w:rsidRPr="00C628E4">
        <w:rPr>
          <w:rFonts w:ascii="Arial" w:hAnsi="Arial" w:cs="Arial"/>
          <w:sz w:val="24"/>
          <w:szCs w:val="24"/>
        </w:rPr>
        <w:t>first</w:t>
      </w:r>
      <w:r w:rsidR="008E220E" w:rsidRPr="00C628E4">
        <w:rPr>
          <w:rFonts w:ascii="Arial" w:hAnsi="Arial" w:cs="Arial"/>
          <w:sz w:val="24"/>
          <w:szCs w:val="24"/>
        </w:rPr>
        <w:t xml:space="preserve"> respondent granted the order</w:t>
      </w:r>
      <w:r w:rsidR="000E120A" w:rsidRPr="00C628E4">
        <w:rPr>
          <w:rFonts w:ascii="Arial" w:hAnsi="Arial" w:cs="Arial"/>
          <w:sz w:val="24"/>
          <w:szCs w:val="24"/>
        </w:rPr>
        <w:t xml:space="preserve"> </w:t>
      </w:r>
      <w:r w:rsidR="00B929B3" w:rsidRPr="00C628E4">
        <w:rPr>
          <w:rFonts w:ascii="Arial" w:hAnsi="Arial" w:cs="Arial"/>
          <w:sz w:val="24"/>
          <w:szCs w:val="24"/>
        </w:rPr>
        <w:t>form</w:t>
      </w:r>
      <w:r w:rsidR="000E120A" w:rsidRPr="00C628E4">
        <w:rPr>
          <w:rFonts w:ascii="Arial" w:hAnsi="Arial" w:cs="Arial"/>
          <w:sz w:val="24"/>
          <w:szCs w:val="24"/>
        </w:rPr>
        <w:t>ing</w:t>
      </w:r>
      <w:r w:rsidR="00B929B3" w:rsidRPr="00C628E4">
        <w:rPr>
          <w:rFonts w:ascii="Arial" w:hAnsi="Arial" w:cs="Arial"/>
          <w:sz w:val="24"/>
          <w:szCs w:val="24"/>
        </w:rPr>
        <w:t xml:space="preserve"> the subject matter of this review.</w:t>
      </w:r>
      <w:r w:rsidR="00CF1C34" w:rsidRPr="00C628E4">
        <w:rPr>
          <w:rFonts w:ascii="Arial" w:hAnsi="Arial" w:cs="Arial"/>
          <w:sz w:val="24"/>
          <w:szCs w:val="24"/>
        </w:rPr>
        <w:t xml:space="preserve">  I pause to mention that the condonation proceedings were not recorded and accordingly, there exists no transcript.</w:t>
      </w:r>
      <w:r w:rsidR="00924A8B" w:rsidRPr="00C628E4">
        <w:rPr>
          <w:rFonts w:ascii="Arial" w:hAnsi="Arial" w:cs="Arial"/>
          <w:sz w:val="24"/>
          <w:szCs w:val="24"/>
        </w:rPr>
        <w:t xml:space="preserve">  I now </w:t>
      </w:r>
      <w:r w:rsidR="008A6F2C" w:rsidRPr="00C628E4">
        <w:rPr>
          <w:rFonts w:ascii="Arial" w:hAnsi="Arial" w:cs="Arial"/>
          <w:sz w:val="24"/>
          <w:szCs w:val="24"/>
        </w:rPr>
        <w:t xml:space="preserve">turn </w:t>
      </w:r>
      <w:r w:rsidR="00924A8B" w:rsidRPr="00C628E4">
        <w:rPr>
          <w:rFonts w:ascii="Arial" w:hAnsi="Arial" w:cs="Arial"/>
          <w:sz w:val="24"/>
          <w:szCs w:val="24"/>
        </w:rPr>
        <w:t xml:space="preserve">to the </w:t>
      </w:r>
      <w:r w:rsidR="001A5914" w:rsidRPr="00C628E4">
        <w:rPr>
          <w:rFonts w:ascii="Arial" w:hAnsi="Arial" w:cs="Arial"/>
          <w:sz w:val="24"/>
          <w:szCs w:val="24"/>
        </w:rPr>
        <w:t xml:space="preserve">application </w:t>
      </w:r>
      <w:r w:rsidR="00924A8B" w:rsidRPr="00C628E4">
        <w:rPr>
          <w:rFonts w:ascii="Arial" w:hAnsi="Arial" w:cs="Arial"/>
          <w:sz w:val="24"/>
          <w:szCs w:val="24"/>
        </w:rPr>
        <w:t>at hand.</w:t>
      </w:r>
      <w:r w:rsidR="00276502" w:rsidRPr="00C628E4">
        <w:rPr>
          <w:rFonts w:ascii="Arial" w:hAnsi="Arial" w:cs="Arial"/>
          <w:sz w:val="24"/>
          <w:szCs w:val="24"/>
        </w:rPr>
        <w:t xml:space="preserve">  </w:t>
      </w:r>
    </w:p>
    <w:p w14:paraId="442AB843" w14:textId="475C01B3" w:rsidR="008E220E" w:rsidRDefault="008E220E" w:rsidP="00541FE6">
      <w:pPr>
        <w:pStyle w:val="ListParagraph"/>
        <w:spacing w:after="0" w:line="480" w:lineRule="auto"/>
        <w:ind w:left="851"/>
        <w:jc w:val="both"/>
        <w:rPr>
          <w:rFonts w:ascii="Arial" w:hAnsi="Arial" w:cs="Arial"/>
          <w:sz w:val="24"/>
          <w:szCs w:val="24"/>
        </w:rPr>
      </w:pPr>
    </w:p>
    <w:p w14:paraId="7CDC81E3" w14:textId="017B76CC" w:rsidR="008E220E"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8E220E" w:rsidRPr="00C628E4">
        <w:rPr>
          <w:rFonts w:ascii="Arial" w:hAnsi="Arial" w:cs="Arial"/>
          <w:sz w:val="24"/>
          <w:szCs w:val="24"/>
        </w:rPr>
        <w:t xml:space="preserve">The </w:t>
      </w:r>
      <w:r w:rsidR="00541E31" w:rsidRPr="00C628E4">
        <w:rPr>
          <w:rFonts w:ascii="Arial" w:hAnsi="Arial" w:cs="Arial"/>
          <w:sz w:val="24"/>
          <w:szCs w:val="24"/>
        </w:rPr>
        <w:t xml:space="preserve">applicant’s shortcomings </w:t>
      </w:r>
      <w:r w:rsidR="008E220E" w:rsidRPr="00C628E4">
        <w:rPr>
          <w:rFonts w:ascii="Arial" w:hAnsi="Arial" w:cs="Arial"/>
          <w:sz w:val="24"/>
          <w:szCs w:val="24"/>
        </w:rPr>
        <w:t>in the present proceedings are patent.</w:t>
      </w:r>
    </w:p>
    <w:p w14:paraId="4384337D" w14:textId="77777777" w:rsidR="00804678" w:rsidRDefault="00804678" w:rsidP="00804678">
      <w:pPr>
        <w:pStyle w:val="ListParagraph"/>
        <w:spacing w:after="0" w:line="480" w:lineRule="auto"/>
        <w:ind w:left="851"/>
        <w:jc w:val="both"/>
        <w:rPr>
          <w:rFonts w:ascii="Arial" w:hAnsi="Arial" w:cs="Arial"/>
          <w:sz w:val="24"/>
          <w:szCs w:val="24"/>
        </w:rPr>
      </w:pPr>
    </w:p>
    <w:p w14:paraId="167FDB37" w14:textId="1DCF2C6D" w:rsidR="00CB544E"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CB544E" w:rsidRPr="00C628E4">
        <w:rPr>
          <w:rFonts w:ascii="Arial" w:hAnsi="Arial" w:cs="Arial"/>
          <w:sz w:val="24"/>
          <w:szCs w:val="24"/>
        </w:rPr>
        <w:t>Judicial review under PAJA is only tenable if the impugned decision constitutes ‘administrative action’.  In terms of section 1 of PAJA:</w:t>
      </w:r>
    </w:p>
    <w:p w14:paraId="4311D7CC" w14:textId="77777777" w:rsidR="00FB7FAC" w:rsidRDefault="00FB7FAC" w:rsidP="00541FE6">
      <w:pPr>
        <w:pStyle w:val="ListParagraph"/>
        <w:spacing w:after="0" w:line="360" w:lineRule="auto"/>
        <w:ind w:left="851"/>
        <w:jc w:val="both"/>
        <w:rPr>
          <w:rFonts w:ascii="Arial" w:hAnsi="Arial" w:cs="Arial"/>
          <w:i/>
          <w:iCs/>
          <w:sz w:val="20"/>
          <w:szCs w:val="20"/>
        </w:rPr>
      </w:pPr>
    </w:p>
    <w:p w14:paraId="454269C7" w14:textId="4A8DF58C" w:rsidR="00541FE6" w:rsidRPr="00251D59" w:rsidRDefault="00CB544E" w:rsidP="00541FE6">
      <w:pPr>
        <w:pStyle w:val="ListParagraph"/>
        <w:spacing w:after="0" w:line="360" w:lineRule="auto"/>
        <w:ind w:left="851"/>
        <w:jc w:val="both"/>
        <w:rPr>
          <w:rFonts w:ascii="Arial" w:hAnsi="Arial" w:cs="Arial"/>
          <w:i/>
          <w:iCs/>
          <w:sz w:val="20"/>
          <w:szCs w:val="20"/>
        </w:rPr>
      </w:pPr>
      <w:r w:rsidRPr="00251D59">
        <w:rPr>
          <w:rFonts w:ascii="Arial" w:hAnsi="Arial" w:cs="Arial"/>
          <w:i/>
          <w:iCs/>
          <w:sz w:val="20"/>
          <w:szCs w:val="20"/>
        </w:rPr>
        <w:t>“</w:t>
      </w:r>
      <w:r w:rsidRPr="00251D59">
        <w:rPr>
          <w:rFonts w:ascii="Arial" w:hAnsi="Arial" w:cs="Arial"/>
          <w:b/>
          <w:bCs/>
          <w:i/>
          <w:iCs/>
          <w:sz w:val="20"/>
          <w:szCs w:val="20"/>
        </w:rPr>
        <w:t>administrative action</w:t>
      </w:r>
      <w:r w:rsidRPr="00251D59">
        <w:rPr>
          <w:rFonts w:ascii="Arial" w:hAnsi="Arial" w:cs="Arial"/>
          <w:i/>
          <w:iCs/>
          <w:sz w:val="20"/>
          <w:szCs w:val="20"/>
        </w:rPr>
        <w:t xml:space="preserve">” means any decision taken, or any failure to take a decision, by- </w:t>
      </w:r>
    </w:p>
    <w:p w14:paraId="2EA72420" w14:textId="06B768F6" w:rsidR="00CB544E" w:rsidRPr="00251D59" w:rsidRDefault="00CB544E" w:rsidP="00541FE6">
      <w:pPr>
        <w:pStyle w:val="ListParagraph"/>
        <w:spacing w:after="0" w:line="360" w:lineRule="auto"/>
        <w:ind w:left="851"/>
        <w:jc w:val="both"/>
        <w:rPr>
          <w:rFonts w:ascii="Arial" w:hAnsi="Arial" w:cs="Arial"/>
          <w:i/>
          <w:iCs/>
          <w:sz w:val="20"/>
          <w:szCs w:val="20"/>
        </w:rPr>
      </w:pPr>
      <w:r w:rsidRPr="00251D59">
        <w:rPr>
          <w:rFonts w:ascii="Arial" w:hAnsi="Arial" w:cs="Arial"/>
          <w:i/>
          <w:iCs/>
          <w:sz w:val="20"/>
          <w:szCs w:val="20"/>
        </w:rPr>
        <w:t xml:space="preserve">(a) </w:t>
      </w:r>
      <w:r w:rsidRPr="00251D59">
        <w:rPr>
          <w:rFonts w:ascii="Arial" w:hAnsi="Arial" w:cs="Arial"/>
          <w:i/>
          <w:iCs/>
          <w:sz w:val="20"/>
          <w:szCs w:val="20"/>
        </w:rPr>
        <w:tab/>
        <w:t xml:space="preserve">an organ of state, when- </w:t>
      </w:r>
    </w:p>
    <w:p w14:paraId="6946878F" w14:textId="510B123E" w:rsidR="00CB544E" w:rsidRPr="00C628E4" w:rsidRDefault="00C628E4" w:rsidP="00C628E4">
      <w:pPr>
        <w:spacing w:after="0" w:line="360" w:lineRule="auto"/>
        <w:ind w:left="1985" w:hanging="567"/>
        <w:jc w:val="both"/>
        <w:rPr>
          <w:rFonts w:ascii="Arial" w:hAnsi="Arial" w:cs="Arial"/>
          <w:i/>
          <w:iCs/>
          <w:sz w:val="20"/>
          <w:szCs w:val="20"/>
        </w:rPr>
      </w:pPr>
      <w:r w:rsidRPr="00251D59">
        <w:rPr>
          <w:rFonts w:ascii="Arial" w:hAnsi="Arial" w:cs="Arial"/>
          <w:i/>
          <w:iCs/>
          <w:sz w:val="20"/>
          <w:szCs w:val="20"/>
        </w:rPr>
        <w:t>(i)</w:t>
      </w:r>
      <w:r w:rsidRPr="00251D59">
        <w:rPr>
          <w:rFonts w:ascii="Arial" w:hAnsi="Arial" w:cs="Arial"/>
          <w:i/>
          <w:iCs/>
          <w:sz w:val="20"/>
          <w:szCs w:val="20"/>
        </w:rPr>
        <w:tab/>
      </w:r>
      <w:r w:rsidR="00CB544E" w:rsidRPr="00C628E4">
        <w:rPr>
          <w:rFonts w:ascii="Arial" w:hAnsi="Arial" w:cs="Arial"/>
          <w:i/>
          <w:iCs/>
          <w:sz w:val="20"/>
          <w:szCs w:val="20"/>
        </w:rPr>
        <w:t xml:space="preserve">exercising a power in terms of the Constitution or a provincial constitution; or </w:t>
      </w:r>
    </w:p>
    <w:p w14:paraId="05EAA4CF" w14:textId="373E2285" w:rsidR="00CB544E" w:rsidRPr="00C628E4" w:rsidRDefault="00C628E4" w:rsidP="00C628E4">
      <w:pPr>
        <w:spacing w:after="0" w:line="360" w:lineRule="auto"/>
        <w:ind w:left="1985" w:hanging="567"/>
        <w:jc w:val="both"/>
        <w:rPr>
          <w:rFonts w:ascii="Arial" w:hAnsi="Arial" w:cs="Arial"/>
          <w:i/>
          <w:iCs/>
          <w:sz w:val="20"/>
          <w:szCs w:val="20"/>
        </w:rPr>
      </w:pPr>
      <w:r w:rsidRPr="00251D59">
        <w:rPr>
          <w:rFonts w:ascii="Arial" w:hAnsi="Arial" w:cs="Arial"/>
          <w:i/>
          <w:iCs/>
          <w:sz w:val="20"/>
          <w:szCs w:val="20"/>
        </w:rPr>
        <w:t>(ii)</w:t>
      </w:r>
      <w:r w:rsidRPr="00251D59">
        <w:rPr>
          <w:rFonts w:ascii="Arial" w:hAnsi="Arial" w:cs="Arial"/>
          <w:i/>
          <w:iCs/>
          <w:sz w:val="20"/>
          <w:szCs w:val="20"/>
        </w:rPr>
        <w:tab/>
      </w:r>
      <w:r w:rsidR="00CB544E" w:rsidRPr="00C628E4">
        <w:rPr>
          <w:rFonts w:ascii="Arial" w:hAnsi="Arial" w:cs="Arial"/>
          <w:i/>
          <w:iCs/>
          <w:sz w:val="20"/>
          <w:szCs w:val="20"/>
        </w:rPr>
        <w:t xml:space="preserve">exercising a public power or performing a public function in terms of any legislation; or </w:t>
      </w:r>
    </w:p>
    <w:p w14:paraId="4DBBD64C" w14:textId="77777777" w:rsidR="00CB544E" w:rsidRPr="00251D59" w:rsidRDefault="00CB544E" w:rsidP="00541FE6">
      <w:pPr>
        <w:pStyle w:val="ListParagraph"/>
        <w:spacing w:after="0" w:line="360" w:lineRule="auto"/>
        <w:ind w:left="1418" w:hanging="567"/>
        <w:jc w:val="both"/>
        <w:rPr>
          <w:rFonts w:ascii="Arial" w:hAnsi="Arial" w:cs="Arial"/>
          <w:i/>
          <w:iCs/>
          <w:sz w:val="20"/>
          <w:szCs w:val="20"/>
        </w:rPr>
      </w:pPr>
      <w:r w:rsidRPr="00251D59">
        <w:rPr>
          <w:rFonts w:ascii="Arial" w:hAnsi="Arial" w:cs="Arial"/>
          <w:i/>
          <w:iCs/>
          <w:sz w:val="20"/>
          <w:szCs w:val="20"/>
        </w:rPr>
        <w:t xml:space="preserve">(b) </w:t>
      </w:r>
      <w:r w:rsidRPr="00251D59">
        <w:rPr>
          <w:rFonts w:ascii="Arial" w:hAnsi="Arial" w:cs="Arial"/>
          <w:i/>
          <w:iCs/>
          <w:sz w:val="20"/>
          <w:szCs w:val="20"/>
        </w:rPr>
        <w:tab/>
        <w:t xml:space="preserve">a natural or juristic person, other than an organ of state, when exercising a public power or performing a public function in terms of an empowering provision, which adversely affects the rights of any person and which has a direct, external legal effect, but does not include- </w:t>
      </w:r>
    </w:p>
    <w:p w14:paraId="1BC3849E" w14:textId="77777777" w:rsidR="00CB544E" w:rsidRPr="00251D59" w:rsidRDefault="00CB544E" w:rsidP="00541FE6">
      <w:pPr>
        <w:spacing w:after="0" w:line="360" w:lineRule="auto"/>
        <w:ind w:left="1985" w:hanging="567"/>
        <w:jc w:val="both"/>
        <w:rPr>
          <w:rFonts w:ascii="Arial" w:hAnsi="Arial" w:cs="Arial"/>
          <w:i/>
          <w:iCs/>
          <w:sz w:val="20"/>
          <w:szCs w:val="20"/>
        </w:rPr>
      </w:pPr>
      <w:r w:rsidRPr="00251D59">
        <w:rPr>
          <w:rFonts w:ascii="Arial" w:hAnsi="Arial" w:cs="Arial"/>
          <w:i/>
          <w:iCs/>
          <w:sz w:val="20"/>
          <w:szCs w:val="20"/>
        </w:rPr>
        <w:t xml:space="preserve">(aa) </w:t>
      </w:r>
      <w:r w:rsidRPr="00251D59">
        <w:rPr>
          <w:rFonts w:ascii="Arial" w:hAnsi="Arial" w:cs="Arial"/>
          <w:i/>
          <w:iCs/>
          <w:sz w:val="20"/>
          <w:szCs w:val="20"/>
        </w:rPr>
        <w:tab/>
        <w:t>…</w:t>
      </w:r>
    </w:p>
    <w:p w14:paraId="6B448F24" w14:textId="77777777" w:rsidR="00CB544E" w:rsidRPr="00251D59" w:rsidRDefault="00CB544E" w:rsidP="00541FE6">
      <w:pPr>
        <w:spacing w:after="0" w:line="360" w:lineRule="auto"/>
        <w:ind w:left="1985" w:hanging="567"/>
        <w:jc w:val="both"/>
        <w:rPr>
          <w:rFonts w:ascii="Arial" w:hAnsi="Arial" w:cs="Arial"/>
          <w:i/>
          <w:iCs/>
          <w:sz w:val="20"/>
          <w:szCs w:val="20"/>
        </w:rPr>
      </w:pPr>
      <w:r w:rsidRPr="00251D59">
        <w:rPr>
          <w:rFonts w:ascii="Arial" w:hAnsi="Arial" w:cs="Arial"/>
          <w:i/>
          <w:iCs/>
          <w:sz w:val="20"/>
          <w:szCs w:val="20"/>
        </w:rPr>
        <w:t xml:space="preserve">(bb) </w:t>
      </w:r>
      <w:r w:rsidRPr="00251D59">
        <w:rPr>
          <w:rFonts w:ascii="Arial" w:hAnsi="Arial" w:cs="Arial"/>
          <w:i/>
          <w:iCs/>
          <w:sz w:val="20"/>
          <w:szCs w:val="20"/>
        </w:rPr>
        <w:tab/>
        <w:t>…</w:t>
      </w:r>
    </w:p>
    <w:p w14:paraId="72BE62BA" w14:textId="77777777" w:rsidR="00CB544E" w:rsidRPr="00251D59" w:rsidRDefault="00CB544E" w:rsidP="00541FE6">
      <w:pPr>
        <w:spacing w:after="0" w:line="360" w:lineRule="auto"/>
        <w:ind w:left="1985" w:hanging="567"/>
        <w:jc w:val="both"/>
        <w:rPr>
          <w:rFonts w:ascii="Arial" w:hAnsi="Arial" w:cs="Arial"/>
          <w:i/>
          <w:iCs/>
          <w:sz w:val="20"/>
          <w:szCs w:val="20"/>
        </w:rPr>
      </w:pPr>
      <w:r w:rsidRPr="00251D59">
        <w:rPr>
          <w:rFonts w:ascii="Arial" w:hAnsi="Arial" w:cs="Arial"/>
          <w:i/>
          <w:iCs/>
          <w:sz w:val="20"/>
          <w:szCs w:val="20"/>
        </w:rPr>
        <w:t>(cc)</w:t>
      </w:r>
      <w:r w:rsidRPr="00251D59">
        <w:rPr>
          <w:rFonts w:ascii="Arial" w:hAnsi="Arial" w:cs="Arial"/>
          <w:i/>
          <w:iCs/>
          <w:sz w:val="20"/>
          <w:szCs w:val="20"/>
        </w:rPr>
        <w:tab/>
        <w:t>…</w:t>
      </w:r>
    </w:p>
    <w:p w14:paraId="57C5F922" w14:textId="77777777" w:rsidR="00CB544E" w:rsidRPr="00251D59" w:rsidRDefault="00CB544E" w:rsidP="00541FE6">
      <w:pPr>
        <w:spacing w:after="0" w:line="360" w:lineRule="auto"/>
        <w:ind w:left="1985" w:hanging="567"/>
        <w:jc w:val="both"/>
        <w:rPr>
          <w:rFonts w:ascii="Arial" w:hAnsi="Arial" w:cs="Arial"/>
          <w:i/>
          <w:iCs/>
          <w:sz w:val="20"/>
          <w:szCs w:val="20"/>
        </w:rPr>
      </w:pPr>
      <w:r w:rsidRPr="00251D59">
        <w:rPr>
          <w:rFonts w:ascii="Arial" w:hAnsi="Arial" w:cs="Arial"/>
          <w:i/>
          <w:iCs/>
          <w:sz w:val="20"/>
          <w:szCs w:val="20"/>
        </w:rPr>
        <w:t>(dd)</w:t>
      </w:r>
      <w:r w:rsidRPr="00251D59">
        <w:rPr>
          <w:rFonts w:ascii="Arial" w:hAnsi="Arial" w:cs="Arial"/>
          <w:i/>
          <w:iCs/>
          <w:sz w:val="20"/>
          <w:szCs w:val="20"/>
        </w:rPr>
        <w:tab/>
        <w:t>…</w:t>
      </w:r>
    </w:p>
    <w:p w14:paraId="42B537C0" w14:textId="03345869" w:rsidR="00CB544E" w:rsidRPr="00251D59" w:rsidRDefault="00CB544E" w:rsidP="00541FE6">
      <w:pPr>
        <w:spacing w:after="0" w:line="360" w:lineRule="auto"/>
        <w:ind w:left="1985" w:hanging="567"/>
        <w:jc w:val="both"/>
        <w:rPr>
          <w:rFonts w:ascii="Arial" w:hAnsi="Arial" w:cs="Arial"/>
          <w:i/>
          <w:iCs/>
          <w:sz w:val="20"/>
          <w:szCs w:val="20"/>
        </w:rPr>
      </w:pPr>
      <w:r w:rsidRPr="00251D59">
        <w:rPr>
          <w:rFonts w:ascii="Arial" w:hAnsi="Arial" w:cs="Arial"/>
          <w:i/>
          <w:iCs/>
          <w:sz w:val="20"/>
          <w:szCs w:val="20"/>
        </w:rPr>
        <w:t>(ee)</w:t>
      </w:r>
      <w:r w:rsidRPr="00251D59">
        <w:rPr>
          <w:rFonts w:ascii="Arial" w:hAnsi="Arial" w:cs="Arial"/>
          <w:i/>
          <w:iCs/>
          <w:sz w:val="20"/>
          <w:szCs w:val="20"/>
        </w:rPr>
        <w:tab/>
        <w:t>the judicial functions of a judicial officer of a court referred to in section 166 of the Constitution or of a Special Tribunal established under section 2 of the Special Investigating 7 Units and Special Tribunals Act, 1996 (Act 74 of 1996), and the judicial functions of a traditional leader under customary law or any other law;</w:t>
      </w:r>
    </w:p>
    <w:p w14:paraId="0A30593D" w14:textId="7579312F" w:rsidR="00541FE6" w:rsidRPr="00251D59" w:rsidRDefault="00541FE6" w:rsidP="00541FE6">
      <w:pPr>
        <w:spacing w:after="0" w:line="360" w:lineRule="auto"/>
        <w:ind w:left="1985" w:hanging="567"/>
        <w:jc w:val="both"/>
        <w:rPr>
          <w:rFonts w:ascii="Arial" w:hAnsi="Arial" w:cs="Arial"/>
          <w:sz w:val="20"/>
          <w:szCs w:val="20"/>
        </w:rPr>
      </w:pPr>
      <w:r w:rsidRPr="00251D59">
        <w:rPr>
          <w:rFonts w:ascii="Arial" w:hAnsi="Arial" w:cs="Arial"/>
          <w:i/>
          <w:iCs/>
          <w:sz w:val="20"/>
          <w:szCs w:val="20"/>
        </w:rPr>
        <w:t>(ff)</w:t>
      </w:r>
      <w:r w:rsidRPr="00251D59">
        <w:rPr>
          <w:rFonts w:ascii="Arial" w:hAnsi="Arial" w:cs="Arial"/>
          <w:i/>
          <w:iCs/>
          <w:sz w:val="20"/>
          <w:szCs w:val="20"/>
        </w:rPr>
        <w:tab/>
        <w:t>…</w:t>
      </w:r>
      <w:r w:rsidRPr="00251D59">
        <w:rPr>
          <w:rFonts w:ascii="Arial" w:hAnsi="Arial" w:cs="Arial"/>
          <w:sz w:val="20"/>
          <w:szCs w:val="20"/>
        </w:rPr>
        <w:t>”</w:t>
      </w:r>
    </w:p>
    <w:p w14:paraId="326FD1B6" w14:textId="77777777" w:rsidR="008E220E" w:rsidRPr="008E220E" w:rsidRDefault="008E220E" w:rsidP="00CB544E">
      <w:pPr>
        <w:pStyle w:val="ListParagraph"/>
        <w:spacing w:after="0" w:line="480" w:lineRule="auto"/>
        <w:ind w:left="0"/>
        <w:jc w:val="both"/>
        <w:rPr>
          <w:rFonts w:ascii="Arial" w:hAnsi="Arial" w:cs="Arial"/>
          <w:sz w:val="24"/>
          <w:szCs w:val="24"/>
        </w:rPr>
      </w:pPr>
    </w:p>
    <w:p w14:paraId="570E993E" w14:textId="60327792" w:rsidR="003D2F95"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3D2F95" w:rsidRPr="00C628E4">
        <w:rPr>
          <w:rFonts w:ascii="Arial" w:hAnsi="Arial" w:cs="Arial"/>
          <w:sz w:val="24"/>
          <w:szCs w:val="24"/>
        </w:rPr>
        <w:t>Accordingly, decisions of judicial officers are specifically excluded from the ambit of PAJA</w:t>
      </w:r>
      <w:r w:rsidR="00FB7FAC" w:rsidRPr="00C628E4">
        <w:rPr>
          <w:rFonts w:ascii="Arial" w:hAnsi="Arial" w:cs="Arial"/>
          <w:sz w:val="24"/>
          <w:szCs w:val="24"/>
        </w:rPr>
        <w:t xml:space="preserve"> and do not constitute administrative action</w:t>
      </w:r>
      <w:r w:rsidR="003D2F95" w:rsidRPr="00C628E4">
        <w:rPr>
          <w:rFonts w:ascii="Arial" w:hAnsi="Arial" w:cs="Arial"/>
          <w:sz w:val="24"/>
          <w:szCs w:val="24"/>
        </w:rPr>
        <w:t>.  Instead, s</w:t>
      </w:r>
      <w:r w:rsidR="002F4596" w:rsidRPr="00C628E4">
        <w:rPr>
          <w:rFonts w:ascii="Arial" w:hAnsi="Arial" w:cs="Arial"/>
          <w:sz w:val="24"/>
          <w:szCs w:val="24"/>
        </w:rPr>
        <w:t>ection 22 of the Superior Courts Act</w:t>
      </w:r>
      <w:r w:rsidR="003D2F95" w:rsidRPr="00C628E4">
        <w:rPr>
          <w:rFonts w:ascii="Arial" w:hAnsi="Arial" w:cs="Arial"/>
          <w:sz w:val="24"/>
          <w:szCs w:val="24"/>
        </w:rPr>
        <w:t xml:space="preserve"> </w:t>
      </w:r>
      <w:r w:rsidR="002F4596" w:rsidRPr="00C628E4">
        <w:rPr>
          <w:rFonts w:ascii="Arial" w:hAnsi="Arial" w:cs="Arial"/>
          <w:sz w:val="24"/>
          <w:szCs w:val="24"/>
        </w:rPr>
        <w:t>10 of 2013</w:t>
      </w:r>
      <w:r w:rsidR="003D2F95" w:rsidRPr="00C628E4">
        <w:rPr>
          <w:rFonts w:ascii="Arial" w:hAnsi="Arial" w:cs="Arial"/>
          <w:sz w:val="24"/>
          <w:szCs w:val="24"/>
        </w:rPr>
        <w:t xml:space="preserve"> (“</w:t>
      </w:r>
      <w:r w:rsidR="003D2F95" w:rsidRPr="00C628E4">
        <w:rPr>
          <w:rFonts w:ascii="Arial" w:hAnsi="Arial" w:cs="Arial"/>
          <w:i/>
          <w:iCs/>
          <w:sz w:val="24"/>
          <w:szCs w:val="24"/>
        </w:rPr>
        <w:t>the Superior Courts Act</w:t>
      </w:r>
      <w:r w:rsidR="003D2F95" w:rsidRPr="00C628E4">
        <w:rPr>
          <w:rFonts w:ascii="Arial" w:hAnsi="Arial" w:cs="Arial"/>
          <w:sz w:val="24"/>
          <w:szCs w:val="24"/>
        </w:rPr>
        <w:t>”)</w:t>
      </w:r>
      <w:r w:rsidR="002F4596" w:rsidRPr="00C628E4">
        <w:rPr>
          <w:rFonts w:ascii="Arial" w:hAnsi="Arial" w:cs="Arial"/>
          <w:sz w:val="24"/>
          <w:szCs w:val="24"/>
        </w:rPr>
        <w:t xml:space="preserve"> </w:t>
      </w:r>
      <w:r w:rsidR="00F14BE8" w:rsidRPr="00C628E4">
        <w:rPr>
          <w:rFonts w:ascii="Arial" w:hAnsi="Arial" w:cs="Arial"/>
          <w:sz w:val="24"/>
          <w:szCs w:val="24"/>
        </w:rPr>
        <w:t>is of application</w:t>
      </w:r>
      <w:r w:rsidR="00D26207" w:rsidRPr="00C628E4">
        <w:rPr>
          <w:rFonts w:ascii="Arial" w:hAnsi="Arial" w:cs="Arial"/>
          <w:sz w:val="24"/>
          <w:szCs w:val="24"/>
        </w:rPr>
        <w:t>.</w:t>
      </w:r>
      <w:r w:rsidR="003D2F95" w:rsidRPr="00C628E4">
        <w:rPr>
          <w:rFonts w:ascii="Arial" w:hAnsi="Arial" w:cs="Arial"/>
          <w:sz w:val="24"/>
          <w:szCs w:val="24"/>
        </w:rPr>
        <w:t xml:space="preserve"> </w:t>
      </w:r>
    </w:p>
    <w:p w14:paraId="046D3083" w14:textId="0C3865F5" w:rsidR="003D2F95" w:rsidRDefault="003D2F95" w:rsidP="003D2F95">
      <w:pPr>
        <w:pStyle w:val="ListParagraph"/>
        <w:spacing w:after="0" w:line="480" w:lineRule="auto"/>
        <w:ind w:left="851"/>
        <w:jc w:val="both"/>
        <w:rPr>
          <w:rFonts w:ascii="Arial" w:hAnsi="Arial" w:cs="Arial"/>
          <w:sz w:val="24"/>
          <w:szCs w:val="24"/>
        </w:rPr>
      </w:pPr>
    </w:p>
    <w:p w14:paraId="69EBB53B" w14:textId="34C21030" w:rsidR="003D2F95"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D2F95" w:rsidRPr="00C628E4">
        <w:rPr>
          <w:rFonts w:ascii="Arial" w:hAnsi="Arial" w:cs="Arial"/>
          <w:sz w:val="24"/>
          <w:szCs w:val="24"/>
        </w:rPr>
        <w:t>In terms of section 22 of the Superior Courts Act:</w:t>
      </w:r>
    </w:p>
    <w:p w14:paraId="12947D5D" w14:textId="77777777" w:rsidR="003D2F95" w:rsidRDefault="003D2F95" w:rsidP="003D2F95">
      <w:pPr>
        <w:pStyle w:val="ListParagraph"/>
        <w:spacing w:after="0" w:line="480" w:lineRule="auto"/>
        <w:ind w:left="851"/>
        <w:jc w:val="both"/>
        <w:rPr>
          <w:rFonts w:ascii="Arial" w:hAnsi="Arial" w:cs="Arial"/>
          <w:sz w:val="24"/>
          <w:szCs w:val="24"/>
        </w:rPr>
      </w:pPr>
    </w:p>
    <w:p w14:paraId="659A25F6" w14:textId="77777777" w:rsidR="003D2F95" w:rsidRPr="00733195" w:rsidRDefault="003D2F95" w:rsidP="003D2F95">
      <w:pPr>
        <w:pStyle w:val="ListParagraph"/>
        <w:spacing w:after="0" w:line="360" w:lineRule="auto"/>
        <w:ind w:left="1436" w:hanging="585"/>
        <w:jc w:val="both"/>
        <w:rPr>
          <w:rFonts w:ascii="Arial" w:hAnsi="Arial" w:cs="Arial"/>
          <w:i/>
          <w:iCs/>
          <w:sz w:val="20"/>
          <w:szCs w:val="20"/>
        </w:rPr>
      </w:pPr>
      <w:r>
        <w:rPr>
          <w:rFonts w:ascii="Arial" w:hAnsi="Arial" w:cs="Arial"/>
          <w:sz w:val="20"/>
          <w:szCs w:val="20"/>
        </w:rPr>
        <w:t>“</w:t>
      </w:r>
      <w:r w:rsidRPr="00733195">
        <w:rPr>
          <w:rFonts w:ascii="Arial" w:hAnsi="Arial" w:cs="Arial"/>
          <w:i/>
          <w:iCs/>
          <w:sz w:val="20"/>
          <w:szCs w:val="20"/>
        </w:rPr>
        <w:t>(1)</w:t>
      </w:r>
      <w:r w:rsidRPr="00733195">
        <w:rPr>
          <w:rFonts w:ascii="Arial" w:hAnsi="Arial" w:cs="Arial"/>
          <w:i/>
          <w:iCs/>
          <w:sz w:val="20"/>
          <w:szCs w:val="20"/>
        </w:rPr>
        <w:tab/>
        <w:t xml:space="preserve">The grounds upon which the proceedings of any Magistrates’ Court may be brought under review before a court of a Division are— </w:t>
      </w:r>
    </w:p>
    <w:p w14:paraId="65AF2BA7" w14:textId="77777777" w:rsidR="003D2F95" w:rsidRPr="00733195" w:rsidRDefault="003D2F95" w:rsidP="003D2F95">
      <w:pPr>
        <w:pStyle w:val="ListParagraph"/>
        <w:spacing w:after="0" w:line="360" w:lineRule="auto"/>
        <w:ind w:left="1436"/>
        <w:jc w:val="both"/>
        <w:rPr>
          <w:rFonts w:ascii="Arial" w:hAnsi="Arial" w:cs="Arial"/>
          <w:i/>
          <w:iCs/>
          <w:sz w:val="20"/>
          <w:szCs w:val="20"/>
        </w:rPr>
      </w:pPr>
    </w:p>
    <w:p w14:paraId="0C2A84FB" w14:textId="77777777" w:rsidR="003D2F95" w:rsidRPr="00733195" w:rsidRDefault="003D2F95" w:rsidP="003D2F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(a) </w:t>
      </w:r>
      <w:r w:rsidRPr="00733195">
        <w:rPr>
          <w:rFonts w:ascii="Arial" w:hAnsi="Arial" w:cs="Arial"/>
          <w:i/>
          <w:iCs/>
          <w:sz w:val="20"/>
          <w:szCs w:val="20"/>
        </w:rPr>
        <w:tab/>
        <w:t xml:space="preserve">absence of jurisdiction on the part of the court; </w:t>
      </w:r>
    </w:p>
    <w:p w14:paraId="563C4675" w14:textId="77777777" w:rsidR="003D2F95" w:rsidRPr="00733195" w:rsidRDefault="003D2F95" w:rsidP="003D2F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lastRenderedPageBreak/>
        <w:t xml:space="preserve">(b)  </w:t>
      </w:r>
      <w:r w:rsidRPr="00733195">
        <w:rPr>
          <w:rFonts w:ascii="Arial" w:hAnsi="Arial" w:cs="Arial"/>
          <w:i/>
          <w:iCs/>
          <w:sz w:val="20"/>
          <w:szCs w:val="20"/>
        </w:rPr>
        <w:tab/>
        <w:t xml:space="preserve">interest in the cause, bias, malice or corruption on the part of the presiding judicial officer; </w:t>
      </w:r>
    </w:p>
    <w:p w14:paraId="6167D5F6" w14:textId="77777777" w:rsidR="003D2F95" w:rsidRPr="00733195" w:rsidRDefault="003D2F95" w:rsidP="003D2F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(c) </w:t>
      </w:r>
      <w:r w:rsidRPr="00733195">
        <w:rPr>
          <w:rFonts w:ascii="Arial" w:hAnsi="Arial" w:cs="Arial"/>
          <w:i/>
          <w:iCs/>
          <w:sz w:val="20"/>
          <w:szCs w:val="20"/>
        </w:rPr>
        <w:tab/>
        <w:t xml:space="preserve">gross irregularity in the proceedings; and </w:t>
      </w:r>
    </w:p>
    <w:p w14:paraId="678827F0" w14:textId="77777777" w:rsidR="003D2F95" w:rsidRPr="00733195" w:rsidRDefault="003D2F95" w:rsidP="003D2F95">
      <w:pPr>
        <w:pStyle w:val="ListParagraph"/>
        <w:spacing w:after="0" w:line="360" w:lineRule="auto"/>
        <w:ind w:left="1843" w:hanging="425"/>
        <w:jc w:val="both"/>
        <w:rPr>
          <w:rFonts w:ascii="Arial" w:hAnsi="Arial" w:cs="Arial"/>
          <w:i/>
          <w:iCs/>
          <w:sz w:val="20"/>
          <w:szCs w:val="20"/>
        </w:rPr>
      </w:pPr>
      <w:r w:rsidRPr="00733195">
        <w:rPr>
          <w:rFonts w:ascii="Arial" w:hAnsi="Arial" w:cs="Arial"/>
          <w:i/>
          <w:iCs/>
          <w:sz w:val="20"/>
          <w:szCs w:val="20"/>
        </w:rPr>
        <w:t xml:space="preserve">(d) </w:t>
      </w:r>
      <w:r w:rsidRPr="00733195">
        <w:rPr>
          <w:rFonts w:ascii="Arial" w:hAnsi="Arial" w:cs="Arial"/>
          <w:i/>
          <w:iCs/>
          <w:sz w:val="20"/>
          <w:szCs w:val="20"/>
        </w:rPr>
        <w:tab/>
        <w:t xml:space="preserve">the admission of inadmissible or incompetent evidence or the rejection of admissible or competent evidence. </w:t>
      </w:r>
    </w:p>
    <w:p w14:paraId="6D711FC4" w14:textId="77777777" w:rsidR="003D2F95" w:rsidRPr="00733195" w:rsidRDefault="003D2F95" w:rsidP="003D2F95">
      <w:pPr>
        <w:spacing w:after="0" w:line="360" w:lineRule="auto"/>
        <w:ind w:firstLine="851"/>
        <w:jc w:val="both"/>
        <w:rPr>
          <w:rFonts w:ascii="Arial" w:hAnsi="Arial" w:cs="Arial"/>
          <w:i/>
          <w:iCs/>
          <w:sz w:val="20"/>
          <w:szCs w:val="20"/>
        </w:rPr>
      </w:pPr>
    </w:p>
    <w:p w14:paraId="27DC8C87" w14:textId="77777777" w:rsidR="003D2F95" w:rsidRDefault="003D2F95" w:rsidP="003D2F95">
      <w:pPr>
        <w:spacing w:after="0" w:line="360" w:lineRule="auto"/>
        <w:ind w:left="1418" w:hanging="567"/>
        <w:jc w:val="both"/>
        <w:rPr>
          <w:rFonts w:ascii="Arial" w:hAnsi="Arial" w:cs="Arial"/>
          <w:sz w:val="20"/>
          <w:szCs w:val="20"/>
        </w:rPr>
      </w:pPr>
      <w:r w:rsidRPr="00733195">
        <w:rPr>
          <w:rFonts w:ascii="Arial" w:hAnsi="Arial" w:cs="Arial"/>
          <w:i/>
          <w:iCs/>
          <w:sz w:val="20"/>
          <w:szCs w:val="20"/>
        </w:rPr>
        <w:t xml:space="preserve">(2) </w:t>
      </w:r>
      <w:r w:rsidRPr="00733195">
        <w:rPr>
          <w:rFonts w:ascii="Arial" w:hAnsi="Arial" w:cs="Arial"/>
          <w:i/>
          <w:iCs/>
          <w:sz w:val="20"/>
          <w:szCs w:val="20"/>
        </w:rPr>
        <w:tab/>
        <w:t>This section does not affect the provisions of any other law relating to the review of proceedings in Magistrates’ Courts.</w:t>
      </w:r>
      <w:r>
        <w:rPr>
          <w:rFonts w:ascii="Arial" w:hAnsi="Arial" w:cs="Arial"/>
          <w:sz w:val="20"/>
          <w:szCs w:val="20"/>
        </w:rPr>
        <w:t>”</w:t>
      </w:r>
    </w:p>
    <w:p w14:paraId="5307E74A" w14:textId="77777777" w:rsidR="003D2F95" w:rsidRDefault="003D2F95" w:rsidP="003D2F95">
      <w:pPr>
        <w:pStyle w:val="ListParagraph"/>
        <w:spacing w:after="0" w:line="480" w:lineRule="auto"/>
        <w:ind w:left="851"/>
        <w:jc w:val="both"/>
        <w:rPr>
          <w:rFonts w:ascii="Arial" w:hAnsi="Arial" w:cs="Arial"/>
          <w:sz w:val="24"/>
          <w:szCs w:val="24"/>
        </w:rPr>
      </w:pPr>
    </w:p>
    <w:p w14:paraId="169AD86C" w14:textId="2F01BCFF" w:rsidR="00E506DC"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E40D5" w:rsidRPr="00C628E4">
        <w:rPr>
          <w:rFonts w:ascii="Arial" w:hAnsi="Arial" w:cs="Arial"/>
          <w:sz w:val="24"/>
          <w:szCs w:val="24"/>
        </w:rPr>
        <w:t xml:space="preserve">This was correctly raised in the heads of argument filed on behalf of the </w:t>
      </w:r>
      <w:r w:rsidR="00132A8E" w:rsidRPr="00C628E4">
        <w:rPr>
          <w:rFonts w:ascii="Arial" w:hAnsi="Arial" w:cs="Arial"/>
          <w:sz w:val="24"/>
          <w:szCs w:val="24"/>
        </w:rPr>
        <w:t>second</w:t>
      </w:r>
      <w:r w:rsidR="004E40D5" w:rsidRPr="00C628E4">
        <w:rPr>
          <w:rFonts w:ascii="Arial" w:hAnsi="Arial" w:cs="Arial"/>
          <w:sz w:val="24"/>
          <w:szCs w:val="24"/>
        </w:rPr>
        <w:t xml:space="preserve"> respondent.  In response thereto, </w:t>
      </w:r>
      <w:r w:rsidR="00AD7625" w:rsidRPr="00C628E4">
        <w:rPr>
          <w:rFonts w:ascii="Arial" w:hAnsi="Arial" w:cs="Arial"/>
          <w:sz w:val="24"/>
          <w:szCs w:val="24"/>
        </w:rPr>
        <w:t xml:space="preserve">the </w:t>
      </w:r>
      <w:r w:rsidR="00B77C24" w:rsidRPr="00C628E4">
        <w:rPr>
          <w:rFonts w:ascii="Arial" w:hAnsi="Arial" w:cs="Arial"/>
          <w:sz w:val="24"/>
          <w:szCs w:val="24"/>
        </w:rPr>
        <w:t>applicant</w:t>
      </w:r>
      <w:r w:rsidR="00EF1B9E" w:rsidRPr="00C628E4">
        <w:rPr>
          <w:rFonts w:ascii="Arial" w:hAnsi="Arial" w:cs="Arial"/>
          <w:sz w:val="24"/>
          <w:szCs w:val="24"/>
        </w:rPr>
        <w:t xml:space="preserve"> filed supplementary heads of argument in which the court was implored to adopt an approach that substance prevail over form.  </w:t>
      </w:r>
      <w:r w:rsidR="00E506DC" w:rsidRPr="00C628E4">
        <w:rPr>
          <w:rFonts w:ascii="Arial" w:hAnsi="Arial" w:cs="Arial"/>
          <w:sz w:val="24"/>
          <w:szCs w:val="24"/>
        </w:rPr>
        <w:t>It is so that the labels used by the parties is not decisive.</w:t>
      </w:r>
      <w:r w:rsidR="00A11767">
        <w:rPr>
          <w:rStyle w:val="FootnoteReference"/>
          <w:rFonts w:ascii="Arial" w:hAnsi="Arial" w:cs="Arial"/>
          <w:sz w:val="24"/>
          <w:szCs w:val="24"/>
        </w:rPr>
        <w:footnoteReference w:id="1"/>
      </w:r>
      <w:r w:rsidR="00E506DC" w:rsidRPr="00C628E4">
        <w:rPr>
          <w:rFonts w:ascii="Arial" w:hAnsi="Arial" w:cs="Arial"/>
          <w:sz w:val="24"/>
          <w:szCs w:val="24"/>
        </w:rPr>
        <w:t xml:space="preserve">  However, where a litigant relies upon a statutory provision, and whilst it is not necessary to specify it, it must be clear from the facts alleged by the litigant that the section is relevant and operative.</w:t>
      </w:r>
      <w:bookmarkStart w:id="1" w:name="_ftnref16"/>
      <w:r w:rsidR="00E506DC">
        <w:rPr>
          <w:rStyle w:val="FootnoteReference"/>
          <w:rFonts w:ascii="Arial" w:hAnsi="Arial" w:cs="Arial"/>
          <w:sz w:val="24"/>
          <w:szCs w:val="24"/>
        </w:rPr>
        <w:footnoteReference w:id="2"/>
      </w:r>
      <w:r w:rsidR="00E506DC" w:rsidRPr="00C628E4">
        <w:rPr>
          <w:rFonts w:ascii="Arial" w:hAnsi="Arial" w:cs="Arial"/>
          <w:sz w:val="24"/>
          <w:szCs w:val="24"/>
        </w:rPr>
        <w:t xml:space="preserve">  </w:t>
      </w:r>
      <w:r w:rsidR="00A11767" w:rsidRPr="00C628E4">
        <w:rPr>
          <w:rFonts w:ascii="Arial" w:hAnsi="Arial" w:cs="Arial"/>
          <w:sz w:val="24"/>
          <w:szCs w:val="24"/>
        </w:rPr>
        <w:t>For the purposes of this judgment and on the assumption that the applicant’s incorrect characterisation</w:t>
      </w:r>
      <w:bookmarkEnd w:id="1"/>
      <w:r w:rsidR="00A11767" w:rsidRPr="00C628E4">
        <w:rPr>
          <w:rFonts w:ascii="Arial" w:hAnsi="Arial" w:cs="Arial"/>
          <w:sz w:val="24"/>
          <w:szCs w:val="24"/>
        </w:rPr>
        <w:t xml:space="preserve"> </w:t>
      </w:r>
      <w:r w:rsidR="00963F82" w:rsidRPr="00C628E4">
        <w:rPr>
          <w:rFonts w:ascii="Arial" w:hAnsi="Arial" w:cs="Arial"/>
          <w:sz w:val="24"/>
          <w:szCs w:val="24"/>
        </w:rPr>
        <w:t>of the proceedings is not fatal to</w:t>
      </w:r>
      <w:r w:rsidR="007076CF" w:rsidRPr="00C628E4">
        <w:rPr>
          <w:rFonts w:ascii="Arial" w:hAnsi="Arial" w:cs="Arial"/>
          <w:sz w:val="24"/>
          <w:szCs w:val="24"/>
        </w:rPr>
        <w:t xml:space="preserve"> his</w:t>
      </w:r>
      <w:r w:rsidR="00963F82" w:rsidRPr="00C628E4">
        <w:rPr>
          <w:rFonts w:ascii="Arial" w:hAnsi="Arial" w:cs="Arial"/>
          <w:sz w:val="24"/>
          <w:szCs w:val="24"/>
        </w:rPr>
        <w:t xml:space="preserve"> cause of action, it is necessary to consider whether the papers set out fully the facts upon which the applicant’s cause of action is based, and the legal basis therefor.  </w:t>
      </w:r>
    </w:p>
    <w:p w14:paraId="64197CC8" w14:textId="73874EAD" w:rsidR="002346D1" w:rsidRDefault="002346D1" w:rsidP="002346D1">
      <w:pPr>
        <w:pStyle w:val="ListParagraph"/>
        <w:spacing w:after="0" w:line="480" w:lineRule="auto"/>
        <w:ind w:left="851"/>
        <w:jc w:val="both"/>
        <w:rPr>
          <w:rFonts w:ascii="Arial" w:hAnsi="Arial" w:cs="Arial"/>
          <w:sz w:val="24"/>
          <w:szCs w:val="24"/>
        </w:rPr>
      </w:pPr>
    </w:p>
    <w:p w14:paraId="3B82D433" w14:textId="268708A5" w:rsidR="002346D1"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346D1" w:rsidRPr="00C628E4">
        <w:rPr>
          <w:rFonts w:ascii="Arial" w:hAnsi="Arial" w:cs="Arial"/>
          <w:sz w:val="24"/>
          <w:szCs w:val="24"/>
        </w:rPr>
        <w:t xml:space="preserve">In this regard, it was argued on behalf of the applicant, that the </w:t>
      </w:r>
      <w:r w:rsidR="00EC2634" w:rsidRPr="00C628E4">
        <w:rPr>
          <w:rFonts w:ascii="Arial" w:hAnsi="Arial" w:cs="Arial"/>
          <w:sz w:val="24"/>
          <w:szCs w:val="24"/>
        </w:rPr>
        <w:t>first respondent, in entertaining the application for condonation, committed a gross irregularity as envisaged in section 22(1)(</w:t>
      </w:r>
      <w:r w:rsidR="00CA40FA" w:rsidRPr="00C628E4">
        <w:rPr>
          <w:rFonts w:ascii="Arial" w:hAnsi="Arial" w:cs="Arial"/>
          <w:sz w:val="24"/>
          <w:szCs w:val="24"/>
        </w:rPr>
        <w:t>c</w:t>
      </w:r>
      <w:r w:rsidR="00EC2634" w:rsidRPr="00C628E4">
        <w:rPr>
          <w:rFonts w:ascii="Arial" w:hAnsi="Arial" w:cs="Arial"/>
          <w:sz w:val="24"/>
          <w:szCs w:val="24"/>
        </w:rPr>
        <w:t>) of the Superior Courts Act.</w:t>
      </w:r>
    </w:p>
    <w:p w14:paraId="431318FE" w14:textId="77777777" w:rsidR="00EC2634" w:rsidRPr="00EC2634" w:rsidRDefault="00EC2634" w:rsidP="00EC2634">
      <w:pPr>
        <w:pStyle w:val="ListParagraph"/>
        <w:spacing w:after="0" w:line="480" w:lineRule="auto"/>
        <w:rPr>
          <w:rFonts w:ascii="Arial" w:hAnsi="Arial" w:cs="Arial"/>
          <w:sz w:val="24"/>
          <w:szCs w:val="24"/>
        </w:rPr>
      </w:pPr>
    </w:p>
    <w:p w14:paraId="2C48A741" w14:textId="61499FCA" w:rsidR="00EC2634" w:rsidRPr="00C628E4" w:rsidRDefault="00C628E4" w:rsidP="00C628E4">
      <w:pPr>
        <w:spacing w:after="0" w:line="480" w:lineRule="auto"/>
        <w:ind w:left="851" w:hanging="851"/>
        <w:jc w:val="both"/>
        <w:rPr>
          <w:rFonts w:ascii="Arial" w:hAnsi="Arial" w:cs="Arial"/>
          <w:sz w:val="24"/>
          <w:szCs w:val="24"/>
        </w:rPr>
      </w:pPr>
      <w:r w:rsidRPr="00EC2634">
        <w:rPr>
          <w:rFonts w:ascii="Arial" w:hAnsi="Arial" w:cs="Arial"/>
          <w:sz w:val="24"/>
          <w:szCs w:val="24"/>
        </w:rPr>
        <w:lastRenderedPageBreak/>
        <w:t>[13]</w:t>
      </w:r>
      <w:r w:rsidRPr="00EC2634">
        <w:rPr>
          <w:rFonts w:ascii="Arial" w:hAnsi="Arial" w:cs="Arial"/>
          <w:sz w:val="24"/>
          <w:szCs w:val="24"/>
        </w:rPr>
        <w:tab/>
      </w:r>
      <w:r w:rsidR="00EC2634" w:rsidRPr="00C628E4">
        <w:rPr>
          <w:rFonts w:ascii="Arial" w:hAnsi="Arial" w:cs="Arial"/>
          <w:sz w:val="24"/>
          <w:szCs w:val="24"/>
        </w:rPr>
        <w:t xml:space="preserve">Van Loggerenburg, </w:t>
      </w:r>
      <w:r w:rsidR="00EC2634" w:rsidRPr="00C628E4">
        <w:rPr>
          <w:rFonts w:ascii="Arial" w:hAnsi="Arial" w:cs="Arial"/>
          <w:i/>
          <w:iCs/>
          <w:sz w:val="24"/>
          <w:szCs w:val="24"/>
        </w:rPr>
        <w:t xml:space="preserve">Erasmus, Superior Court Practice </w:t>
      </w:r>
      <w:r w:rsidR="00EC2634" w:rsidRPr="00C628E4">
        <w:rPr>
          <w:rFonts w:ascii="Arial" w:hAnsi="Arial" w:cs="Arial"/>
          <w:sz w:val="24"/>
          <w:szCs w:val="24"/>
        </w:rPr>
        <w:t>Vol 2 (Juta)</w:t>
      </w:r>
      <w:r w:rsidR="00EC2634">
        <w:rPr>
          <w:rStyle w:val="FootnoteReference"/>
          <w:rFonts w:ascii="Arial" w:hAnsi="Arial" w:cs="Arial"/>
          <w:sz w:val="24"/>
          <w:szCs w:val="24"/>
        </w:rPr>
        <w:footnoteReference w:id="3"/>
      </w:r>
      <w:r w:rsidR="00EC2634" w:rsidRPr="00C628E4">
        <w:rPr>
          <w:rFonts w:ascii="Arial" w:hAnsi="Arial" w:cs="Arial"/>
          <w:sz w:val="24"/>
          <w:szCs w:val="24"/>
        </w:rPr>
        <w:t xml:space="preserve"> interprets gross irregularity to refer to “</w:t>
      </w:r>
      <w:r w:rsidR="00EC2634" w:rsidRPr="00C628E4">
        <w:rPr>
          <w:rFonts w:ascii="Arial" w:hAnsi="Arial" w:cs="Arial"/>
          <w:i/>
          <w:iCs/>
          <w:sz w:val="24"/>
          <w:szCs w:val="24"/>
        </w:rPr>
        <w:t>an irregular act or omission by the presiding judicial officer . . . in respect of the proceedings of so gross a nature that it was calculated to prejudice the aggrieved litigant, on proof of which the court would set aside such proceedings unless it was satisfied that the litigant had in fact not suffered any prejudice.</w:t>
      </w:r>
      <w:r w:rsidR="00EC2634" w:rsidRPr="00C628E4">
        <w:rPr>
          <w:rFonts w:ascii="Arial" w:hAnsi="Arial" w:cs="Arial"/>
          <w:sz w:val="24"/>
          <w:szCs w:val="24"/>
        </w:rPr>
        <w:t>”</w:t>
      </w:r>
    </w:p>
    <w:p w14:paraId="0481D142" w14:textId="2E61A943" w:rsidR="00963F82" w:rsidRDefault="00963F82" w:rsidP="00963F82">
      <w:pPr>
        <w:pStyle w:val="ListParagraph"/>
        <w:spacing w:after="0" w:line="480" w:lineRule="auto"/>
        <w:ind w:left="851"/>
        <w:jc w:val="both"/>
        <w:rPr>
          <w:rFonts w:ascii="Arial" w:hAnsi="Arial" w:cs="Arial"/>
          <w:sz w:val="24"/>
          <w:szCs w:val="24"/>
        </w:rPr>
      </w:pPr>
    </w:p>
    <w:p w14:paraId="2EF4AD96" w14:textId="1C91B5E7" w:rsidR="00963F82"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70CA0" w:rsidRPr="00C628E4">
        <w:rPr>
          <w:rFonts w:ascii="Arial" w:hAnsi="Arial" w:cs="Arial"/>
          <w:sz w:val="24"/>
          <w:szCs w:val="24"/>
        </w:rPr>
        <w:t xml:space="preserve">The high-water mark of the applicant’s case is contained in paragraphs 26 </w:t>
      </w:r>
      <w:r w:rsidR="000344FC" w:rsidRPr="00C628E4">
        <w:rPr>
          <w:rFonts w:ascii="Arial" w:hAnsi="Arial" w:cs="Arial"/>
          <w:sz w:val="24"/>
          <w:szCs w:val="24"/>
        </w:rPr>
        <w:t>to</w:t>
      </w:r>
      <w:r w:rsidR="00770CA0" w:rsidRPr="00C628E4">
        <w:rPr>
          <w:rFonts w:ascii="Arial" w:hAnsi="Arial" w:cs="Arial"/>
          <w:sz w:val="24"/>
          <w:szCs w:val="24"/>
        </w:rPr>
        <w:t xml:space="preserve"> 2</w:t>
      </w:r>
      <w:r w:rsidR="002765F5" w:rsidRPr="00C628E4">
        <w:rPr>
          <w:rFonts w:ascii="Arial" w:hAnsi="Arial" w:cs="Arial"/>
          <w:sz w:val="24"/>
          <w:szCs w:val="24"/>
        </w:rPr>
        <w:t>8</w:t>
      </w:r>
      <w:r w:rsidR="00770CA0" w:rsidRPr="00C628E4">
        <w:rPr>
          <w:rFonts w:ascii="Arial" w:hAnsi="Arial" w:cs="Arial"/>
          <w:sz w:val="24"/>
          <w:szCs w:val="24"/>
        </w:rPr>
        <w:t xml:space="preserve"> of his founding papers, which read</w:t>
      </w:r>
      <w:r w:rsidR="00EC2634" w:rsidRPr="00C628E4">
        <w:rPr>
          <w:rFonts w:ascii="Arial" w:hAnsi="Arial" w:cs="Arial"/>
          <w:sz w:val="24"/>
          <w:szCs w:val="24"/>
        </w:rPr>
        <w:t>s</w:t>
      </w:r>
      <w:r w:rsidR="00770CA0" w:rsidRPr="00C628E4">
        <w:rPr>
          <w:rFonts w:ascii="Arial" w:hAnsi="Arial" w:cs="Arial"/>
          <w:sz w:val="24"/>
          <w:szCs w:val="24"/>
        </w:rPr>
        <w:t xml:space="preserve"> as follows:</w:t>
      </w:r>
    </w:p>
    <w:p w14:paraId="7CFDE467" w14:textId="77777777" w:rsidR="00770CA0" w:rsidRPr="00770CA0" w:rsidRDefault="00770CA0" w:rsidP="009B0041">
      <w:pPr>
        <w:pStyle w:val="ListParagraph"/>
        <w:spacing w:after="0" w:line="480" w:lineRule="auto"/>
        <w:rPr>
          <w:rFonts w:ascii="Arial" w:hAnsi="Arial" w:cs="Arial"/>
          <w:sz w:val="24"/>
          <w:szCs w:val="24"/>
        </w:rPr>
      </w:pPr>
    </w:p>
    <w:p w14:paraId="54EF5788" w14:textId="72063BA6" w:rsidR="00770CA0" w:rsidRPr="00251D59" w:rsidRDefault="00770CA0" w:rsidP="009B0041">
      <w:pPr>
        <w:pStyle w:val="ListParagraph"/>
        <w:spacing w:after="0" w:line="360" w:lineRule="auto"/>
        <w:ind w:left="1436" w:hanging="585"/>
        <w:jc w:val="both"/>
        <w:rPr>
          <w:rFonts w:ascii="Arial" w:hAnsi="Arial" w:cs="Arial"/>
          <w:i/>
          <w:iCs/>
          <w:sz w:val="20"/>
          <w:szCs w:val="20"/>
        </w:rPr>
      </w:pPr>
      <w:r w:rsidRPr="00251D59">
        <w:rPr>
          <w:rFonts w:ascii="Arial" w:hAnsi="Arial" w:cs="Arial"/>
          <w:sz w:val="20"/>
          <w:szCs w:val="20"/>
        </w:rPr>
        <w:t>“</w:t>
      </w:r>
      <w:r w:rsidR="009B0041" w:rsidRPr="00251D59">
        <w:rPr>
          <w:rFonts w:ascii="Arial" w:hAnsi="Arial" w:cs="Arial"/>
          <w:i/>
          <w:iCs/>
          <w:sz w:val="20"/>
          <w:szCs w:val="20"/>
        </w:rPr>
        <w:t>26.</w:t>
      </w:r>
      <w:r w:rsidR="009B0041" w:rsidRPr="00251D59">
        <w:rPr>
          <w:rFonts w:ascii="Arial" w:hAnsi="Arial" w:cs="Arial"/>
          <w:i/>
          <w:iCs/>
          <w:sz w:val="20"/>
          <w:szCs w:val="20"/>
        </w:rPr>
        <w:tab/>
      </w:r>
      <w:r w:rsidRPr="00251D59">
        <w:rPr>
          <w:rFonts w:ascii="Arial" w:hAnsi="Arial" w:cs="Arial"/>
          <w:i/>
          <w:iCs/>
          <w:sz w:val="20"/>
          <w:szCs w:val="20"/>
        </w:rPr>
        <w:t>O</w:t>
      </w:r>
      <w:r w:rsidR="009B0041" w:rsidRPr="00251D59">
        <w:rPr>
          <w:rFonts w:ascii="Arial" w:hAnsi="Arial" w:cs="Arial"/>
          <w:i/>
          <w:iCs/>
          <w:sz w:val="20"/>
          <w:szCs w:val="20"/>
        </w:rPr>
        <w:t>n</w:t>
      </w:r>
      <w:r w:rsidRPr="00251D59">
        <w:rPr>
          <w:rFonts w:ascii="Arial" w:hAnsi="Arial" w:cs="Arial"/>
          <w:i/>
          <w:iCs/>
          <w:sz w:val="20"/>
          <w:szCs w:val="20"/>
        </w:rPr>
        <w:t xml:space="preserve"> 30</w:t>
      </w:r>
      <w:r w:rsidRPr="00251D59">
        <w:rPr>
          <w:rFonts w:ascii="Arial" w:hAnsi="Arial" w:cs="Arial"/>
          <w:i/>
          <w:iCs/>
          <w:sz w:val="20"/>
          <w:szCs w:val="20"/>
          <w:vertAlign w:val="superscript"/>
        </w:rPr>
        <w:t>th</w:t>
      </w:r>
      <w:r w:rsidRPr="00251D59">
        <w:rPr>
          <w:rFonts w:ascii="Arial" w:hAnsi="Arial" w:cs="Arial"/>
          <w:i/>
          <w:iCs/>
          <w:sz w:val="20"/>
          <w:szCs w:val="20"/>
        </w:rPr>
        <w:t xml:space="preserve"> March 2022, Ms Ngeyakhe argued the matter on behalf of the Applicant and it was before the First Respondent once again, </w:t>
      </w:r>
      <w:r w:rsidR="009B0041" w:rsidRPr="00251D59">
        <w:rPr>
          <w:rFonts w:ascii="Arial" w:hAnsi="Arial" w:cs="Arial"/>
          <w:i/>
          <w:iCs/>
          <w:sz w:val="20"/>
          <w:szCs w:val="20"/>
        </w:rPr>
        <w:t>the First Respondent with great respect committed an error in law by entertaining the application m</w:t>
      </w:r>
      <w:r w:rsidR="002346D1" w:rsidRPr="00251D59">
        <w:rPr>
          <w:rFonts w:ascii="Arial" w:hAnsi="Arial" w:cs="Arial"/>
          <w:i/>
          <w:iCs/>
          <w:sz w:val="20"/>
          <w:szCs w:val="20"/>
        </w:rPr>
        <w:t>o</w:t>
      </w:r>
      <w:r w:rsidR="009B0041" w:rsidRPr="00251D59">
        <w:rPr>
          <w:rFonts w:ascii="Arial" w:hAnsi="Arial" w:cs="Arial"/>
          <w:i/>
          <w:iCs/>
          <w:sz w:val="20"/>
          <w:szCs w:val="20"/>
        </w:rPr>
        <w:t xml:space="preserve">re especially having regard to the fact that he upheld the special plea, which effectually disposed of the matter permanently.  </w:t>
      </w:r>
    </w:p>
    <w:p w14:paraId="6962B85A" w14:textId="0B47332F" w:rsidR="009B0041" w:rsidRPr="00251D59" w:rsidRDefault="009B0041" w:rsidP="009B0041">
      <w:pPr>
        <w:pStyle w:val="ListParagraph"/>
        <w:spacing w:after="0" w:line="360" w:lineRule="auto"/>
        <w:ind w:left="851"/>
        <w:jc w:val="both"/>
        <w:rPr>
          <w:rFonts w:ascii="Arial" w:hAnsi="Arial" w:cs="Arial"/>
          <w:i/>
          <w:iCs/>
          <w:sz w:val="20"/>
          <w:szCs w:val="20"/>
        </w:rPr>
      </w:pPr>
    </w:p>
    <w:p w14:paraId="5C45172D" w14:textId="77777777" w:rsidR="000344FC" w:rsidRPr="00251D59" w:rsidRDefault="009B0041" w:rsidP="009B0041">
      <w:pPr>
        <w:pStyle w:val="ListParagraph"/>
        <w:spacing w:after="0" w:line="360" w:lineRule="auto"/>
        <w:ind w:left="1436" w:hanging="585"/>
        <w:jc w:val="both"/>
        <w:rPr>
          <w:rFonts w:ascii="Arial" w:hAnsi="Arial" w:cs="Arial"/>
          <w:i/>
          <w:iCs/>
          <w:sz w:val="20"/>
          <w:szCs w:val="20"/>
        </w:rPr>
      </w:pPr>
      <w:r w:rsidRPr="00251D59">
        <w:rPr>
          <w:rFonts w:ascii="Arial" w:hAnsi="Arial" w:cs="Arial"/>
          <w:i/>
          <w:iCs/>
          <w:sz w:val="20"/>
          <w:szCs w:val="20"/>
        </w:rPr>
        <w:t>27.</w:t>
      </w:r>
      <w:r w:rsidRPr="00251D59">
        <w:rPr>
          <w:rFonts w:ascii="Arial" w:hAnsi="Arial" w:cs="Arial"/>
          <w:i/>
          <w:iCs/>
          <w:sz w:val="20"/>
          <w:szCs w:val="20"/>
        </w:rPr>
        <w:tab/>
        <w:t>I submit with respect that a condonation application cannot be instituted and considered in respect of a claim, which was dismissed.  By upholding the special plea, First Respondent has finally decided the issue raised by the Special plea; such decision resulted in the dismissal of the claim and as such is final and permanent.</w:t>
      </w:r>
    </w:p>
    <w:p w14:paraId="78A5B6F7" w14:textId="1C632EFF" w:rsidR="000344FC" w:rsidRPr="00251D59" w:rsidRDefault="000344FC" w:rsidP="009B0041">
      <w:pPr>
        <w:pStyle w:val="ListParagraph"/>
        <w:spacing w:after="0" w:line="360" w:lineRule="auto"/>
        <w:ind w:left="1436" w:hanging="585"/>
        <w:jc w:val="both"/>
        <w:rPr>
          <w:rFonts w:ascii="Arial" w:hAnsi="Arial" w:cs="Arial"/>
          <w:i/>
          <w:iCs/>
          <w:sz w:val="20"/>
          <w:szCs w:val="20"/>
        </w:rPr>
      </w:pPr>
    </w:p>
    <w:p w14:paraId="240EC055" w14:textId="60B8F1D5" w:rsidR="000344FC" w:rsidRPr="00251D59" w:rsidRDefault="000344FC" w:rsidP="009B0041">
      <w:pPr>
        <w:pStyle w:val="ListParagraph"/>
        <w:spacing w:after="0" w:line="360" w:lineRule="auto"/>
        <w:ind w:left="1436" w:hanging="585"/>
        <w:jc w:val="both"/>
        <w:rPr>
          <w:rFonts w:ascii="Arial" w:hAnsi="Arial" w:cs="Arial"/>
          <w:b/>
          <w:bCs/>
          <w:i/>
          <w:iCs/>
          <w:sz w:val="20"/>
          <w:szCs w:val="20"/>
          <w:u w:val="single"/>
        </w:rPr>
      </w:pPr>
      <w:r w:rsidRPr="00251D59">
        <w:rPr>
          <w:rFonts w:ascii="Arial" w:hAnsi="Arial" w:cs="Arial"/>
          <w:b/>
          <w:bCs/>
          <w:i/>
          <w:iCs/>
          <w:sz w:val="20"/>
          <w:szCs w:val="20"/>
          <w:u w:val="single"/>
        </w:rPr>
        <w:t>GROUNDS FOR REVIEW</w:t>
      </w:r>
    </w:p>
    <w:p w14:paraId="6B28EF76" w14:textId="77777777" w:rsidR="000344FC" w:rsidRPr="00251D59" w:rsidRDefault="000344FC" w:rsidP="009B0041">
      <w:pPr>
        <w:pStyle w:val="ListParagraph"/>
        <w:spacing w:after="0" w:line="360" w:lineRule="auto"/>
        <w:ind w:left="1436" w:hanging="585"/>
        <w:jc w:val="both"/>
        <w:rPr>
          <w:rFonts w:ascii="Arial" w:hAnsi="Arial" w:cs="Arial"/>
          <w:i/>
          <w:iCs/>
          <w:sz w:val="20"/>
          <w:szCs w:val="20"/>
        </w:rPr>
      </w:pPr>
    </w:p>
    <w:p w14:paraId="4535287E" w14:textId="77777777" w:rsidR="000344FC" w:rsidRPr="00251D59" w:rsidRDefault="000344FC" w:rsidP="009B0041">
      <w:pPr>
        <w:pStyle w:val="ListParagraph"/>
        <w:spacing w:after="0" w:line="360" w:lineRule="auto"/>
        <w:ind w:left="1436" w:hanging="585"/>
        <w:jc w:val="both"/>
        <w:rPr>
          <w:rFonts w:ascii="Arial" w:hAnsi="Arial" w:cs="Arial"/>
          <w:i/>
          <w:iCs/>
          <w:sz w:val="20"/>
          <w:szCs w:val="20"/>
        </w:rPr>
      </w:pPr>
      <w:r w:rsidRPr="00251D59">
        <w:rPr>
          <w:rFonts w:ascii="Arial" w:hAnsi="Arial" w:cs="Arial"/>
          <w:i/>
          <w:iCs/>
          <w:sz w:val="20"/>
          <w:szCs w:val="20"/>
        </w:rPr>
        <w:t>28.</w:t>
      </w:r>
      <w:r w:rsidRPr="00251D59">
        <w:rPr>
          <w:rFonts w:ascii="Arial" w:hAnsi="Arial" w:cs="Arial"/>
          <w:i/>
          <w:iCs/>
          <w:sz w:val="20"/>
          <w:szCs w:val="20"/>
        </w:rPr>
        <w:tab/>
        <w:t>The decision taken by the First Respondent falls to be set aside by this Honourable Court in terms of Section 6(2)(d) read with section 8 of the Promotion of Administrative Justice Act No 3 of 2002 (“PAJA”) for the following reasons:</w:t>
      </w:r>
    </w:p>
    <w:p w14:paraId="169827E5" w14:textId="77777777" w:rsidR="000344FC" w:rsidRPr="00251D59" w:rsidRDefault="000344FC" w:rsidP="000344FC">
      <w:pPr>
        <w:pStyle w:val="ListParagraph"/>
        <w:spacing w:after="0" w:line="360" w:lineRule="auto"/>
        <w:ind w:left="1436"/>
        <w:jc w:val="both"/>
        <w:rPr>
          <w:rFonts w:ascii="Arial" w:hAnsi="Arial" w:cs="Arial"/>
          <w:i/>
          <w:iCs/>
          <w:sz w:val="20"/>
          <w:szCs w:val="20"/>
        </w:rPr>
      </w:pPr>
    </w:p>
    <w:p w14:paraId="252D7BD5" w14:textId="571A1A7B" w:rsidR="000344FC" w:rsidRPr="00C628E4" w:rsidRDefault="00C628E4" w:rsidP="00C628E4">
      <w:pPr>
        <w:spacing w:after="0" w:line="360" w:lineRule="auto"/>
        <w:ind w:left="1796" w:hanging="360"/>
        <w:jc w:val="both"/>
        <w:rPr>
          <w:rFonts w:ascii="Arial" w:hAnsi="Arial" w:cs="Arial"/>
          <w:sz w:val="20"/>
          <w:szCs w:val="20"/>
        </w:rPr>
      </w:pPr>
      <w:r w:rsidRPr="00251D59">
        <w:rPr>
          <w:rFonts w:ascii="Arial" w:hAnsi="Arial" w:cs="Arial"/>
          <w:i/>
          <w:szCs w:val="20"/>
        </w:rPr>
        <w:t>a)</w:t>
      </w:r>
      <w:r w:rsidRPr="00251D59">
        <w:rPr>
          <w:rFonts w:ascii="Arial" w:hAnsi="Arial" w:cs="Arial"/>
          <w:i/>
          <w:szCs w:val="20"/>
        </w:rPr>
        <w:tab/>
      </w:r>
      <w:r w:rsidR="000344FC" w:rsidRPr="00C628E4">
        <w:rPr>
          <w:rFonts w:ascii="Arial" w:hAnsi="Arial" w:cs="Arial"/>
          <w:i/>
          <w:iCs/>
          <w:sz w:val="20"/>
          <w:szCs w:val="20"/>
        </w:rPr>
        <w:t>The First Respondent has granted an order upholding the special plea and thereby disposing of the matter permanently, it is wrong in law to then entertain a condonation application on a matter which had already been finally dealt with; - Res Judicata;</w:t>
      </w:r>
    </w:p>
    <w:p w14:paraId="234E706E" w14:textId="77777777" w:rsidR="00916FDD" w:rsidRPr="00251D59" w:rsidRDefault="00916FDD" w:rsidP="00916FDD">
      <w:pPr>
        <w:pStyle w:val="ListParagraph"/>
        <w:spacing w:after="0" w:line="360" w:lineRule="auto"/>
        <w:ind w:left="1796"/>
        <w:jc w:val="both"/>
        <w:rPr>
          <w:rFonts w:ascii="Arial" w:hAnsi="Arial" w:cs="Arial"/>
          <w:sz w:val="20"/>
          <w:szCs w:val="20"/>
        </w:rPr>
      </w:pPr>
    </w:p>
    <w:p w14:paraId="0C7DC5E0" w14:textId="4019C972" w:rsidR="000344FC" w:rsidRPr="00C628E4" w:rsidRDefault="00C628E4" w:rsidP="00C628E4">
      <w:pPr>
        <w:spacing w:after="0" w:line="360" w:lineRule="auto"/>
        <w:ind w:left="1796" w:hanging="360"/>
        <w:jc w:val="both"/>
        <w:rPr>
          <w:rFonts w:ascii="Arial" w:hAnsi="Arial" w:cs="Arial"/>
          <w:sz w:val="20"/>
          <w:szCs w:val="20"/>
        </w:rPr>
      </w:pPr>
      <w:r w:rsidRPr="00251D59">
        <w:rPr>
          <w:rFonts w:ascii="Arial" w:hAnsi="Arial" w:cs="Arial"/>
          <w:i/>
          <w:szCs w:val="20"/>
        </w:rPr>
        <w:lastRenderedPageBreak/>
        <w:t>b)</w:t>
      </w:r>
      <w:r w:rsidRPr="00251D59">
        <w:rPr>
          <w:rFonts w:ascii="Arial" w:hAnsi="Arial" w:cs="Arial"/>
          <w:i/>
          <w:szCs w:val="20"/>
        </w:rPr>
        <w:tab/>
      </w:r>
      <w:r w:rsidR="000344FC" w:rsidRPr="00C628E4">
        <w:rPr>
          <w:rFonts w:ascii="Arial" w:hAnsi="Arial" w:cs="Arial"/>
          <w:i/>
          <w:iCs/>
          <w:sz w:val="20"/>
          <w:szCs w:val="20"/>
        </w:rPr>
        <w:t>The First Respondent committed an error in law by handing down an order that the Second Respondent is granted leave to pursue a permanently disposed of civil action;</w:t>
      </w:r>
    </w:p>
    <w:p w14:paraId="7EC051C6" w14:textId="77777777" w:rsidR="00916FDD" w:rsidRPr="00251D59" w:rsidRDefault="00916FDD" w:rsidP="00916FDD">
      <w:pPr>
        <w:pStyle w:val="ListParagraph"/>
        <w:spacing w:after="0" w:line="360" w:lineRule="auto"/>
        <w:ind w:left="1796"/>
        <w:jc w:val="both"/>
        <w:rPr>
          <w:rFonts w:ascii="Arial" w:hAnsi="Arial" w:cs="Arial"/>
          <w:sz w:val="20"/>
          <w:szCs w:val="20"/>
        </w:rPr>
      </w:pPr>
    </w:p>
    <w:p w14:paraId="7770E0B8" w14:textId="780B3843" w:rsidR="000344FC" w:rsidRPr="00C628E4" w:rsidRDefault="00C628E4" w:rsidP="00C628E4">
      <w:pPr>
        <w:spacing w:after="0" w:line="360" w:lineRule="auto"/>
        <w:ind w:left="1796" w:hanging="360"/>
        <w:jc w:val="both"/>
        <w:rPr>
          <w:rFonts w:ascii="Arial" w:hAnsi="Arial" w:cs="Arial"/>
          <w:sz w:val="20"/>
          <w:szCs w:val="20"/>
        </w:rPr>
      </w:pPr>
      <w:r w:rsidRPr="00251D59">
        <w:rPr>
          <w:rFonts w:ascii="Arial" w:hAnsi="Arial" w:cs="Arial"/>
          <w:i/>
          <w:szCs w:val="20"/>
        </w:rPr>
        <w:t>c)</w:t>
      </w:r>
      <w:r w:rsidRPr="00251D59">
        <w:rPr>
          <w:rFonts w:ascii="Arial" w:hAnsi="Arial" w:cs="Arial"/>
          <w:i/>
          <w:szCs w:val="20"/>
        </w:rPr>
        <w:tab/>
      </w:r>
      <w:r w:rsidR="000344FC" w:rsidRPr="00C628E4">
        <w:rPr>
          <w:rFonts w:ascii="Arial" w:hAnsi="Arial" w:cs="Arial"/>
          <w:i/>
          <w:iCs/>
          <w:sz w:val="20"/>
          <w:szCs w:val="20"/>
        </w:rPr>
        <w:t>The First Respondent’s decisions in this matter were materially influenced by error of law; The First Respondent failed to take the relevant legislative and judicial interpretation of the law into account;</w:t>
      </w:r>
    </w:p>
    <w:p w14:paraId="3DADAD45" w14:textId="77777777" w:rsidR="00916FDD" w:rsidRPr="00251D59" w:rsidRDefault="00916FDD" w:rsidP="00916FDD">
      <w:pPr>
        <w:pStyle w:val="ListParagraph"/>
        <w:spacing w:after="0" w:line="360" w:lineRule="auto"/>
        <w:ind w:left="1796"/>
        <w:jc w:val="both"/>
        <w:rPr>
          <w:rFonts w:ascii="Arial" w:hAnsi="Arial" w:cs="Arial"/>
          <w:sz w:val="20"/>
          <w:szCs w:val="20"/>
        </w:rPr>
      </w:pPr>
    </w:p>
    <w:p w14:paraId="4583476C" w14:textId="0F64C9E4" w:rsidR="009B0041" w:rsidRPr="00C628E4" w:rsidRDefault="00C628E4" w:rsidP="00C628E4">
      <w:pPr>
        <w:spacing w:after="0" w:line="360" w:lineRule="auto"/>
        <w:ind w:left="1796" w:hanging="360"/>
        <w:jc w:val="both"/>
        <w:rPr>
          <w:rFonts w:ascii="Arial" w:hAnsi="Arial" w:cs="Arial"/>
          <w:sz w:val="20"/>
          <w:szCs w:val="20"/>
        </w:rPr>
      </w:pPr>
      <w:r w:rsidRPr="00251D59">
        <w:rPr>
          <w:rFonts w:ascii="Arial" w:hAnsi="Arial" w:cs="Arial"/>
          <w:i/>
          <w:szCs w:val="20"/>
        </w:rPr>
        <w:t>d)</w:t>
      </w:r>
      <w:r w:rsidRPr="00251D59">
        <w:rPr>
          <w:rFonts w:ascii="Arial" w:hAnsi="Arial" w:cs="Arial"/>
          <w:i/>
          <w:szCs w:val="20"/>
        </w:rPr>
        <w:tab/>
      </w:r>
      <w:r w:rsidR="000344FC" w:rsidRPr="00C628E4">
        <w:rPr>
          <w:rFonts w:ascii="Arial" w:hAnsi="Arial" w:cs="Arial"/>
          <w:i/>
          <w:iCs/>
          <w:sz w:val="20"/>
          <w:szCs w:val="20"/>
        </w:rPr>
        <w:t>The decisions were unreasonable, irrational and no reasonable decision maker would come to the same decision.</w:t>
      </w:r>
      <w:r w:rsidR="009B0041" w:rsidRPr="00C628E4">
        <w:rPr>
          <w:rFonts w:ascii="Arial" w:hAnsi="Arial" w:cs="Arial"/>
          <w:sz w:val="20"/>
          <w:szCs w:val="20"/>
        </w:rPr>
        <w:t>”</w:t>
      </w:r>
    </w:p>
    <w:p w14:paraId="59591EF2" w14:textId="77777777" w:rsidR="00770CA0" w:rsidRPr="00E506DC" w:rsidRDefault="00770CA0" w:rsidP="00770CA0">
      <w:pPr>
        <w:pStyle w:val="ListParagraph"/>
        <w:spacing w:after="0" w:line="480" w:lineRule="auto"/>
        <w:ind w:left="851"/>
        <w:jc w:val="both"/>
        <w:rPr>
          <w:rFonts w:ascii="Arial" w:hAnsi="Arial" w:cs="Arial"/>
          <w:sz w:val="24"/>
          <w:szCs w:val="24"/>
        </w:rPr>
      </w:pPr>
    </w:p>
    <w:p w14:paraId="6BAB4AD5" w14:textId="29EF01AA" w:rsidR="00391833"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26099" w:rsidRPr="00C628E4">
        <w:rPr>
          <w:rFonts w:ascii="Arial" w:hAnsi="Arial" w:cs="Arial"/>
          <w:sz w:val="24"/>
          <w:szCs w:val="24"/>
        </w:rPr>
        <w:t>On a proper con</w:t>
      </w:r>
      <w:r w:rsidR="00F603E1" w:rsidRPr="00C628E4">
        <w:rPr>
          <w:rFonts w:ascii="Arial" w:hAnsi="Arial" w:cs="Arial"/>
          <w:sz w:val="24"/>
          <w:szCs w:val="24"/>
        </w:rPr>
        <w:t xml:space="preserve">struction </w:t>
      </w:r>
      <w:r w:rsidR="00E26099" w:rsidRPr="00C628E4">
        <w:rPr>
          <w:rFonts w:ascii="Arial" w:hAnsi="Arial" w:cs="Arial"/>
          <w:sz w:val="24"/>
          <w:szCs w:val="24"/>
        </w:rPr>
        <w:t xml:space="preserve">of the aforesaid, the basis for the review is that the applicant contends that the second respondent’s claim was finally adjudicated upon and has accordingly been rendered </w:t>
      </w:r>
      <w:r w:rsidR="00E26099" w:rsidRPr="00C628E4">
        <w:rPr>
          <w:rFonts w:ascii="Arial" w:hAnsi="Arial" w:cs="Arial"/>
          <w:i/>
          <w:iCs/>
          <w:sz w:val="24"/>
          <w:szCs w:val="24"/>
        </w:rPr>
        <w:t>res judicata</w:t>
      </w:r>
      <w:r w:rsidR="00050F44" w:rsidRPr="00C628E4">
        <w:rPr>
          <w:rFonts w:ascii="Arial" w:hAnsi="Arial" w:cs="Arial"/>
          <w:i/>
          <w:iCs/>
          <w:sz w:val="24"/>
          <w:szCs w:val="24"/>
        </w:rPr>
        <w:t xml:space="preserve">.  </w:t>
      </w:r>
      <w:r w:rsidR="00050F44" w:rsidRPr="00C628E4">
        <w:rPr>
          <w:rFonts w:ascii="Arial" w:hAnsi="Arial" w:cs="Arial"/>
          <w:sz w:val="24"/>
          <w:szCs w:val="24"/>
        </w:rPr>
        <w:t>Accordingly it was wrong in law to entertain the application</w:t>
      </w:r>
      <w:r w:rsidR="00E26099" w:rsidRPr="00C628E4">
        <w:rPr>
          <w:rFonts w:ascii="Arial" w:hAnsi="Arial" w:cs="Arial"/>
          <w:sz w:val="24"/>
          <w:szCs w:val="24"/>
        </w:rPr>
        <w:t>.</w:t>
      </w:r>
      <w:r w:rsidR="00391833" w:rsidRPr="00C628E4">
        <w:rPr>
          <w:rFonts w:ascii="Arial" w:hAnsi="Arial" w:cs="Arial"/>
          <w:sz w:val="24"/>
          <w:szCs w:val="24"/>
        </w:rPr>
        <w:t xml:space="preserve">  This is not a </w:t>
      </w:r>
      <w:r w:rsidR="00BB0441" w:rsidRPr="00C628E4">
        <w:rPr>
          <w:rFonts w:ascii="Arial" w:hAnsi="Arial" w:cs="Arial"/>
          <w:sz w:val="24"/>
          <w:szCs w:val="24"/>
        </w:rPr>
        <w:t xml:space="preserve">ground of review </w:t>
      </w:r>
      <w:r w:rsidR="00391833" w:rsidRPr="00C628E4">
        <w:rPr>
          <w:rFonts w:ascii="Arial" w:hAnsi="Arial" w:cs="Arial"/>
          <w:sz w:val="24"/>
          <w:szCs w:val="24"/>
        </w:rPr>
        <w:t xml:space="preserve">which </w:t>
      </w:r>
      <w:r w:rsidR="00CB601B" w:rsidRPr="00C628E4">
        <w:rPr>
          <w:rFonts w:ascii="Arial" w:hAnsi="Arial" w:cs="Arial"/>
          <w:sz w:val="24"/>
          <w:szCs w:val="24"/>
        </w:rPr>
        <w:t xml:space="preserve">falls within the purview of </w:t>
      </w:r>
      <w:r w:rsidR="00391833" w:rsidRPr="00C628E4">
        <w:rPr>
          <w:rFonts w:ascii="Arial" w:hAnsi="Arial" w:cs="Arial"/>
          <w:sz w:val="24"/>
          <w:szCs w:val="24"/>
        </w:rPr>
        <w:t>section 22(1)(c) of the Superior Courts Act and accordingly, the application stands to be dismissed on this ground alone.</w:t>
      </w:r>
    </w:p>
    <w:p w14:paraId="011C6F04" w14:textId="23B8BF97" w:rsidR="00391833" w:rsidRDefault="00391833" w:rsidP="00391833">
      <w:pPr>
        <w:pStyle w:val="ListParagraph"/>
        <w:spacing w:after="0" w:line="480" w:lineRule="auto"/>
        <w:ind w:left="851"/>
        <w:jc w:val="both"/>
        <w:rPr>
          <w:rFonts w:ascii="Arial" w:hAnsi="Arial" w:cs="Arial"/>
          <w:sz w:val="24"/>
          <w:szCs w:val="24"/>
        </w:rPr>
      </w:pPr>
    </w:p>
    <w:p w14:paraId="3385503A" w14:textId="3880BE9F" w:rsidR="00916FDD"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344FC" w:rsidRPr="00C628E4">
        <w:rPr>
          <w:rFonts w:ascii="Arial" w:hAnsi="Arial" w:cs="Arial"/>
          <w:sz w:val="24"/>
          <w:szCs w:val="24"/>
        </w:rPr>
        <w:t>In any event, if I am incorrect in this regard, the ground</w:t>
      </w:r>
      <w:r w:rsidR="00916FDD" w:rsidRPr="00C628E4">
        <w:rPr>
          <w:rFonts w:ascii="Arial" w:hAnsi="Arial" w:cs="Arial"/>
          <w:sz w:val="24"/>
          <w:szCs w:val="24"/>
        </w:rPr>
        <w:t>s</w:t>
      </w:r>
      <w:r w:rsidR="000344FC" w:rsidRPr="00C628E4">
        <w:rPr>
          <w:rFonts w:ascii="Arial" w:hAnsi="Arial" w:cs="Arial"/>
          <w:sz w:val="24"/>
          <w:szCs w:val="24"/>
        </w:rPr>
        <w:t xml:space="preserve"> of review relied upon by the applicant</w:t>
      </w:r>
      <w:r w:rsidR="00916FDD" w:rsidRPr="00C628E4">
        <w:rPr>
          <w:rFonts w:ascii="Arial" w:hAnsi="Arial" w:cs="Arial"/>
          <w:sz w:val="24"/>
          <w:szCs w:val="24"/>
        </w:rPr>
        <w:t xml:space="preserve"> in the context of the present matter, properly considered, </w:t>
      </w:r>
      <w:r w:rsidR="000344FC" w:rsidRPr="00C628E4">
        <w:rPr>
          <w:rFonts w:ascii="Arial" w:hAnsi="Arial" w:cs="Arial"/>
          <w:sz w:val="24"/>
          <w:szCs w:val="24"/>
        </w:rPr>
        <w:t>take issue with the result of the proceedings</w:t>
      </w:r>
      <w:r w:rsidR="00916FDD" w:rsidRPr="00C628E4">
        <w:rPr>
          <w:rFonts w:ascii="Arial" w:hAnsi="Arial" w:cs="Arial"/>
          <w:sz w:val="24"/>
          <w:szCs w:val="24"/>
        </w:rPr>
        <w:t xml:space="preserve"> and not the method thereof and accordingly constitute grounds of appeal and not grounds of review.</w:t>
      </w:r>
    </w:p>
    <w:p w14:paraId="1C6389D4" w14:textId="77777777" w:rsidR="00916FDD" w:rsidRPr="00916FDD" w:rsidRDefault="00916FDD" w:rsidP="00916FDD">
      <w:pPr>
        <w:pStyle w:val="ListParagraph"/>
        <w:spacing w:after="0" w:line="480" w:lineRule="auto"/>
        <w:rPr>
          <w:rFonts w:ascii="Arial" w:hAnsi="Arial" w:cs="Arial"/>
          <w:sz w:val="24"/>
          <w:szCs w:val="24"/>
        </w:rPr>
      </w:pPr>
    </w:p>
    <w:p w14:paraId="4B4DF9CA" w14:textId="62BFFC0A" w:rsidR="00916FDD"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16FDD" w:rsidRPr="00C628E4">
        <w:rPr>
          <w:rFonts w:ascii="Arial" w:hAnsi="Arial" w:cs="Arial"/>
          <w:sz w:val="24"/>
          <w:szCs w:val="24"/>
        </w:rPr>
        <w:t xml:space="preserve">In the context of review proceedings, the court, in the oft-quoted passage in </w:t>
      </w:r>
      <w:r w:rsidR="00916FDD" w:rsidRPr="00C628E4">
        <w:rPr>
          <w:rFonts w:ascii="Arial" w:hAnsi="Arial" w:cs="Arial"/>
          <w:i/>
          <w:iCs/>
          <w:sz w:val="24"/>
          <w:szCs w:val="24"/>
        </w:rPr>
        <w:t>Ellis v Morgan</w:t>
      </w:r>
      <w:r w:rsidR="00916FDD" w:rsidRPr="00C628E4">
        <w:rPr>
          <w:rFonts w:ascii="Arial" w:hAnsi="Arial" w:cs="Arial"/>
          <w:sz w:val="24"/>
          <w:szCs w:val="24"/>
        </w:rPr>
        <w:t>, stated as follows:</w:t>
      </w:r>
      <w:r w:rsidR="00916FDD">
        <w:rPr>
          <w:rStyle w:val="FootnoteReference"/>
          <w:rFonts w:ascii="Arial" w:hAnsi="Arial" w:cs="Arial"/>
          <w:sz w:val="24"/>
          <w:szCs w:val="24"/>
        </w:rPr>
        <w:footnoteReference w:id="4"/>
      </w:r>
      <w:r w:rsidR="00916FDD" w:rsidRPr="00C628E4">
        <w:rPr>
          <w:rFonts w:ascii="Arial" w:hAnsi="Arial" w:cs="Arial"/>
          <w:sz w:val="24"/>
          <w:szCs w:val="24"/>
        </w:rPr>
        <w:t xml:space="preserve"> </w:t>
      </w:r>
    </w:p>
    <w:p w14:paraId="09749460" w14:textId="77777777" w:rsidR="00916FDD" w:rsidRPr="000418BC" w:rsidRDefault="00916FDD" w:rsidP="00916FDD">
      <w:pPr>
        <w:pStyle w:val="ListParagraph"/>
        <w:rPr>
          <w:rFonts w:ascii="Arial" w:hAnsi="Arial" w:cs="Arial"/>
          <w:sz w:val="24"/>
          <w:szCs w:val="24"/>
        </w:rPr>
      </w:pPr>
    </w:p>
    <w:p w14:paraId="586CE01E" w14:textId="77777777" w:rsidR="00916FDD" w:rsidRDefault="00916FDD" w:rsidP="00916FDD">
      <w:pPr>
        <w:pStyle w:val="ListParagraph"/>
        <w:spacing w:after="0" w:line="360" w:lineRule="auto"/>
        <w:ind w:left="851"/>
        <w:jc w:val="both"/>
        <w:rPr>
          <w:rFonts w:ascii="Arial" w:hAnsi="Arial" w:cs="Arial"/>
          <w:i/>
          <w:iCs/>
          <w:sz w:val="20"/>
          <w:szCs w:val="20"/>
          <w:lang w:val="en-US"/>
        </w:rPr>
      </w:pPr>
      <w:r>
        <w:rPr>
          <w:rFonts w:ascii="Arial" w:hAnsi="Arial" w:cs="Arial"/>
          <w:i/>
          <w:iCs/>
          <w:sz w:val="20"/>
          <w:szCs w:val="20"/>
          <w:lang w:val="en-US"/>
        </w:rPr>
        <w:t>“</w:t>
      </w:r>
      <w:r w:rsidRPr="00126AF6">
        <w:rPr>
          <w:rFonts w:ascii="Arial" w:hAnsi="Arial" w:cs="Arial"/>
          <w:i/>
          <w:iCs/>
          <w:sz w:val="20"/>
          <w:szCs w:val="20"/>
          <w:lang w:val="en-US"/>
        </w:rPr>
        <w:t xml:space="preserve">But an irregularity in proceedings does not mean an incorrect judgment; it refers not to the result, but to the methods of a trial, such as, for example, some high-handed or mistaken </w:t>
      </w:r>
      <w:r w:rsidRPr="00126AF6">
        <w:rPr>
          <w:rFonts w:ascii="Arial" w:hAnsi="Arial" w:cs="Arial"/>
          <w:i/>
          <w:iCs/>
          <w:sz w:val="20"/>
          <w:szCs w:val="20"/>
          <w:lang w:val="en-US"/>
        </w:rPr>
        <w:lastRenderedPageBreak/>
        <w:t>action which has prevented the aggrieved party from having his case fully and fairly determined.</w:t>
      </w:r>
      <w:r>
        <w:rPr>
          <w:rFonts w:ascii="Arial" w:hAnsi="Arial" w:cs="Arial"/>
          <w:i/>
          <w:iCs/>
          <w:sz w:val="20"/>
          <w:szCs w:val="20"/>
          <w:lang w:val="en-US"/>
        </w:rPr>
        <w:t>”</w:t>
      </w:r>
    </w:p>
    <w:p w14:paraId="617CD44C" w14:textId="77777777" w:rsidR="00A318E6" w:rsidRDefault="00A318E6" w:rsidP="00A318E6">
      <w:pPr>
        <w:pStyle w:val="ListParagraph"/>
        <w:spacing w:after="0" w:line="480" w:lineRule="auto"/>
        <w:ind w:left="851"/>
        <w:jc w:val="both"/>
        <w:rPr>
          <w:rFonts w:ascii="Arial" w:hAnsi="Arial" w:cs="Arial"/>
          <w:sz w:val="24"/>
          <w:szCs w:val="24"/>
        </w:rPr>
      </w:pPr>
    </w:p>
    <w:p w14:paraId="76D4491E" w14:textId="3979B77D" w:rsidR="00916FDD"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16FDD" w:rsidRPr="00C628E4">
        <w:rPr>
          <w:rFonts w:ascii="Arial" w:hAnsi="Arial" w:cs="Arial"/>
          <w:sz w:val="24"/>
          <w:szCs w:val="24"/>
        </w:rPr>
        <w:t xml:space="preserve">The aforesaid principle was thereafter qualified in </w:t>
      </w:r>
      <w:r w:rsidR="00916FDD" w:rsidRPr="00C628E4">
        <w:rPr>
          <w:rFonts w:ascii="Arial" w:hAnsi="Arial" w:cs="Arial"/>
          <w:i/>
          <w:iCs/>
          <w:sz w:val="24"/>
          <w:szCs w:val="24"/>
        </w:rPr>
        <w:t>Goldfields Investments Ltd and Another v City Council of Johannesburg and Another</w:t>
      </w:r>
      <w:r w:rsidR="00916FDD">
        <w:rPr>
          <w:rStyle w:val="FootnoteReference"/>
          <w:rFonts w:ascii="Arial" w:hAnsi="Arial" w:cs="Arial"/>
          <w:sz w:val="24"/>
          <w:szCs w:val="24"/>
        </w:rPr>
        <w:footnoteReference w:id="5"/>
      </w:r>
      <w:r w:rsidR="00916FDD" w:rsidRPr="00C628E4">
        <w:rPr>
          <w:rFonts w:ascii="Arial" w:hAnsi="Arial" w:cs="Arial"/>
          <w:sz w:val="24"/>
          <w:szCs w:val="24"/>
        </w:rPr>
        <w:t xml:space="preserve"> wherein the court expressed that:</w:t>
      </w:r>
    </w:p>
    <w:p w14:paraId="4905EEF9" w14:textId="77777777" w:rsidR="00916FDD" w:rsidRDefault="00916FDD" w:rsidP="00916FDD">
      <w:pPr>
        <w:pStyle w:val="ListParagraph"/>
        <w:spacing w:after="0" w:line="480" w:lineRule="auto"/>
        <w:ind w:left="851"/>
        <w:jc w:val="both"/>
        <w:rPr>
          <w:rFonts w:ascii="Arial" w:hAnsi="Arial" w:cs="Arial"/>
          <w:sz w:val="24"/>
          <w:szCs w:val="24"/>
        </w:rPr>
      </w:pPr>
    </w:p>
    <w:p w14:paraId="03AD8FAA" w14:textId="77777777" w:rsidR="00916FDD" w:rsidRDefault="00916FDD" w:rsidP="00916FDD">
      <w:pPr>
        <w:pStyle w:val="ListParagraph"/>
        <w:spacing w:after="0" w:line="360" w:lineRule="auto"/>
        <w:ind w:left="851"/>
        <w:jc w:val="both"/>
        <w:rPr>
          <w:rFonts w:ascii="Arial" w:hAnsi="Arial" w:cs="Arial"/>
          <w:sz w:val="24"/>
          <w:szCs w:val="24"/>
        </w:rPr>
      </w:pPr>
      <w:r>
        <w:rPr>
          <w:rFonts w:ascii="Arial" w:hAnsi="Arial" w:cs="Arial"/>
          <w:sz w:val="24"/>
          <w:szCs w:val="24"/>
        </w:rPr>
        <w:t>“</w:t>
      </w:r>
      <w:r w:rsidRPr="00126AF6">
        <w:rPr>
          <w:rFonts w:ascii="Arial" w:hAnsi="Arial" w:cs="Arial"/>
          <w:i/>
          <w:iCs/>
          <w:color w:val="242121"/>
          <w:sz w:val="20"/>
          <w:szCs w:val="20"/>
          <w:shd w:val="clear" w:color="auto" w:fill="FFFFFF"/>
        </w:rPr>
        <w:t>The law, as stated in Ellis v Morgan (supra) has been accepted in subsequent cases, and the passage which has been quoted from that case shows that it is not merely high-handed or arbitrary conduct which is described as a gross irregularity; behaviour which is perfectly well-intentioned and bona fide, though mistaken, may come under that description. The crucial question is whether it prevented a fair trial of the issues. If it did prevent a fair trial of the issues then it will amount to a gross irregularity. Many patent irregularities have this effect. And if from the magistrate’s reasons it appears that his mind was not in a state to enable him to try the case fairly this will amount to a latent gross irregularity. If, on the other hand, he merely comes to a wrong decision owing to his having made a mistake on a point of law in relation to the merits, this does not amount to gross irregularity. In matters relating to the merits the magistrate may err by taking a wrong one of several possible views, or he may err by mistaking or misunderstanding the point in issue. In the latter case it may be said that he is in a sense failing to address his mind to the true point to be decided and therefore failing to afford the parties a fair trial. But that is not necessarily the case. Where the point relates only to the merits of the case, it would be straining the language to describe it as a gross irregularity or a denial of a fair trial. 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use of language to say that the losing party has not had a fair trial.</w:t>
      </w:r>
      <w:r>
        <w:rPr>
          <w:rFonts w:ascii="Verdana" w:hAnsi="Verdana"/>
          <w:color w:val="242121"/>
          <w:shd w:val="clear" w:color="auto" w:fill="FFFFFF"/>
        </w:rPr>
        <w:t>”</w:t>
      </w:r>
    </w:p>
    <w:p w14:paraId="346D31FE" w14:textId="77777777" w:rsidR="00916FDD" w:rsidRDefault="00916FDD" w:rsidP="00916FDD">
      <w:pPr>
        <w:pStyle w:val="ListParagraph"/>
        <w:spacing w:after="0" w:line="480" w:lineRule="auto"/>
        <w:ind w:left="851"/>
        <w:jc w:val="both"/>
        <w:rPr>
          <w:rFonts w:ascii="Arial" w:hAnsi="Arial" w:cs="Arial"/>
          <w:sz w:val="24"/>
          <w:szCs w:val="24"/>
        </w:rPr>
      </w:pPr>
    </w:p>
    <w:p w14:paraId="5C23B0D1" w14:textId="06E675B9" w:rsidR="00916FDD"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16FDD" w:rsidRPr="00C628E4">
        <w:rPr>
          <w:rFonts w:ascii="Arial" w:hAnsi="Arial" w:cs="Arial"/>
          <w:sz w:val="24"/>
          <w:szCs w:val="24"/>
        </w:rPr>
        <w:t xml:space="preserve">The Supreme Court of Appeal, in </w:t>
      </w:r>
      <w:r w:rsidR="00916FDD" w:rsidRPr="00C628E4">
        <w:rPr>
          <w:rFonts w:ascii="Arial" w:hAnsi="Arial" w:cs="Arial"/>
          <w:i/>
          <w:iCs/>
          <w:sz w:val="24"/>
          <w:szCs w:val="24"/>
        </w:rPr>
        <w:t>Telcordia Technologies Inc. (supra)</w:t>
      </w:r>
      <w:r w:rsidR="00916FDD" w:rsidRPr="00C628E4">
        <w:rPr>
          <w:rFonts w:ascii="Arial" w:hAnsi="Arial" w:cs="Arial"/>
          <w:sz w:val="24"/>
          <w:szCs w:val="24"/>
        </w:rPr>
        <w:t>, drew a distinction between the reasoning of the decision-maker and the conduct of the proceedings, and warned that the two concepts ought not to be confused with one another.</w:t>
      </w:r>
    </w:p>
    <w:p w14:paraId="0C97FCD5" w14:textId="4556FE7A" w:rsidR="00916FDD"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916FDD" w:rsidRPr="00C628E4">
        <w:rPr>
          <w:rFonts w:ascii="Arial" w:hAnsi="Arial" w:cs="Arial"/>
          <w:sz w:val="24"/>
          <w:szCs w:val="24"/>
        </w:rPr>
        <w:t xml:space="preserve">The Constitutional Court </w:t>
      </w:r>
      <w:r w:rsidR="00916FDD" w:rsidRPr="00C628E4">
        <w:rPr>
          <w:rFonts w:ascii="Arial" w:hAnsi="Arial" w:cs="Arial"/>
          <w:i/>
          <w:iCs/>
          <w:sz w:val="24"/>
          <w:szCs w:val="24"/>
        </w:rPr>
        <w:t>in Sidumo and Another v Rustenburg Platinum Mines Ltd and Others</w:t>
      </w:r>
      <w:r w:rsidR="00916FDD" w:rsidRPr="00C628E4">
        <w:rPr>
          <w:rFonts w:ascii="Arial" w:hAnsi="Arial" w:cs="Arial"/>
          <w:sz w:val="24"/>
          <w:szCs w:val="24"/>
        </w:rPr>
        <w:t>, with reference to the aforesaid distinction, said as follows:</w:t>
      </w:r>
      <w:r w:rsidR="00916FDD">
        <w:rPr>
          <w:rStyle w:val="FootnoteReference"/>
          <w:rFonts w:ascii="Arial" w:hAnsi="Arial" w:cs="Arial"/>
          <w:sz w:val="24"/>
          <w:szCs w:val="24"/>
        </w:rPr>
        <w:footnoteReference w:id="6"/>
      </w:r>
    </w:p>
    <w:p w14:paraId="3DCB2622" w14:textId="77777777" w:rsidR="00916FDD" w:rsidRPr="00AC6223" w:rsidRDefault="00916FDD" w:rsidP="00916FDD">
      <w:pPr>
        <w:pStyle w:val="ListParagraph"/>
        <w:spacing w:after="0" w:line="480" w:lineRule="auto"/>
        <w:rPr>
          <w:rFonts w:ascii="Arial" w:hAnsi="Arial" w:cs="Arial"/>
          <w:sz w:val="24"/>
          <w:szCs w:val="24"/>
        </w:rPr>
      </w:pPr>
    </w:p>
    <w:p w14:paraId="3582CD61" w14:textId="77777777" w:rsidR="00916FDD" w:rsidRPr="00F1374C" w:rsidRDefault="00916FDD" w:rsidP="00916FDD">
      <w:pPr>
        <w:pStyle w:val="ListParagraph"/>
        <w:spacing w:after="0" w:line="360" w:lineRule="auto"/>
        <w:ind w:left="851"/>
        <w:jc w:val="both"/>
        <w:rPr>
          <w:rFonts w:ascii="Arial" w:hAnsi="Arial" w:cs="Arial"/>
          <w:i/>
          <w:iCs/>
          <w:sz w:val="20"/>
          <w:szCs w:val="20"/>
          <w:shd w:val="clear" w:color="auto" w:fill="FFFFFF"/>
        </w:rPr>
      </w:pPr>
      <w:r w:rsidRPr="00F1374C">
        <w:rPr>
          <w:rFonts w:ascii="Arial" w:hAnsi="Arial" w:cs="Arial"/>
          <w:i/>
          <w:iCs/>
          <w:sz w:val="20"/>
          <w:szCs w:val="20"/>
          <w:shd w:val="clear" w:color="auto" w:fill="FFFFFF"/>
        </w:rPr>
        <w:t>“Both Ellis and Goldfields make it plain that the crucial enquiry is whether the conduct of the decision-maker complained of prevented a fair trial of issues.  The complaint must be directed at the method or conduct and not the result of the proceedings.  And the reasoning of the decision-maker must not be confused with the conduct of the proceedings.  There is a fine line between reasoning and the conduct of the proceedings, and at times it may be difficult to draw the line; there is nevertheless an important difference.”</w:t>
      </w:r>
    </w:p>
    <w:p w14:paraId="0DBEF588" w14:textId="77777777" w:rsidR="00916FDD" w:rsidRDefault="00916FDD" w:rsidP="00916FDD">
      <w:pPr>
        <w:pStyle w:val="ListParagraph"/>
        <w:spacing w:after="0" w:line="480" w:lineRule="auto"/>
        <w:ind w:left="851"/>
        <w:jc w:val="both"/>
        <w:rPr>
          <w:rFonts w:ascii="Arial" w:hAnsi="Arial" w:cs="Arial"/>
          <w:sz w:val="24"/>
          <w:szCs w:val="24"/>
        </w:rPr>
      </w:pPr>
    </w:p>
    <w:p w14:paraId="147FD665" w14:textId="7BF1A3E4" w:rsidR="001205FA"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16FDD" w:rsidRPr="00C628E4">
        <w:rPr>
          <w:rFonts w:ascii="Arial" w:hAnsi="Arial" w:cs="Arial"/>
          <w:sz w:val="24"/>
          <w:szCs w:val="24"/>
        </w:rPr>
        <w:t>The applicant</w:t>
      </w:r>
      <w:r w:rsidR="00574C0C" w:rsidRPr="00C628E4">
        <w:rPr>
          <w:rFonts w:ascii="Arial" w:hAnsi="Arial" w:cs="Arial"/>
          <w:sz w:val="24"/>
          <w:szCs w:val="24"/>
        </w:rPr>
        <w:t>,</w:t>
      </w:r>
      <w:r w:rsidR="001205FA" w:rsidRPr="00C628E4">
        <w:rPr>
          <w:rFonts w:ascii="Arial" w:hAnsi="Arial" w:cs="Arial"/>
          <w:sz w:val="24"/>
          <w:szCs w:val="24"/>
        </w:rPr>
        <w:t xml:space="preserve"> seemingly</w:t>
      </w:r>
      <w:r w:rsidR="00574C0C" w:rsidRPr="00C628E4">
        <w:rPr>
          <w:rFonts w:ascii="Arial" w:hAnsi="Arial" w:cs="Arial"/>
          <w:sz w:val="24"/>
          <w:szCs w:val="24"/>
        </w:rPr>
        <w:t>,</w:t>
      </w:r>
      <w:r w:rsidR="001205FA" w:rsidRPr="00C628E4">
        <w:rPr>
          <w:rFonts w:ascii="Arial" w:hAnsi="Arial" w:cs="Arial"/>
          <w:sz w:val="24"/>
          <w:szCs w:val="24"/>
        </w:rPr>
        <w:t xml:space="preserve"> conflate</w:t>
      </w:r>
      <w:r w:rsidR="00574C0C" w:rsidRPr="00C628E4">
        <w:rPr>
          <w:rFonts w:ascii="Arial" w:hAnsi="Arial" w:cs="Arial"/>
          <w:sz w:val="24"/>
          <w:szCs w:val="24"/>
        </w:rPr>
        <w:t>s</w:t>
      </w:r>
      <w:r w:rsidR="001205FA" w:rsidRPr="00C628E4">
        <w:rPr>
          <w:rFonts w:ascii="Arial" w:hAnsi="Arial" w:cs="Arial"/>
          <w:sz w:val="24"/>
          <w:szCs w:val="24"/>
        </w:rPr>
        <w:t xml:space="preserve"> these two </w:t>
      </w:r>
      <w:r w:rsidR="00574C0C" w:rsidRPr="00C628E4">
        <w:rPr>
          <w:rFonts w:ascii="Arial" w:hAnsi="Arial" w:cs="Arial"/>
          <w:sz w:val="24"/>
          <w:szCs w:val="24"/>
        </w:rPr>
        <w:t>issues.</w:t>
      </w:r>
    </w:p>
    <w:p w14:paraId="3A4DFBEA" w14:textId="77777777" w:rsidR="001205FA" w:rsidRDefault="001205FA" w:rsidP="001205FA">
      <w:pPr>
        <w:pStyle w:val="ListParagraph"/>
        <w:spacing w:after="0" w:line="480" w:lineRule="auto"/>
        <w:ind w:left="851"/>
        <w:jc w:val="both"/>
        <w:rPr>
          <w:rFonts w:ascii="Arial" w:hAnsi="Arial" w:cs="Arial"/>
          <w:sz w:val="24"/>
          <w:szCs w:val="24"/>
        </w:rPr>
      </w:pPr>
    </w:p>
    <w:p w14:paraId="425848F9" w14:textId="5840EDD4" w:rsidR="00D60B6E" w:rsidRPr="00C628E4" w:rsidRDefault="00C628E4" w:rsidP="00C628E4">
      <w:pPr>
        <w:spacing w:after="0" w:line="480" w:lineRule="auto"/>
        <w:ind w:left="851" w:hanging="851"/>
        <w:jc w:val="both"/>
        <w:rPr>
          <w:rFonts w:ascii="Arial" w:hAnsi="Arial" w:cs="Arial"/>
          <w:sz w:val="24"/>
          <w:szCs w:val="24"/>
        </w:rPr>
      </w:pPr>
      <w:r w:rsidRPr="001205FA">
        <w:rPr>
          <w:rFonts w:ascii="Arial" w:hAnsi="Arial" w:cs="Arial"/>
          <w:sz w:val="24"/>
          <w:szCs w:val="24"/>
        </w:rPr>
        <w:t>[22]</w:t>
      </w:r>
      <w:r w:rsidRPr="001205FA">
        <w:rPr>
          <w:rFonts w:ascii="Arial" w:hAnsi="Arial" w:cs="Arial"/>
          <w:sz w:val="24"/>
          <w:szCs w:val="24"/>
        </w:rPr>
        <w:tab/>
      </w:r>
      <w:r w:rsidR="001205FA" w:rsidRPr="00C628E4">
        <w:rPr>
          <w:rFonts w:ascii="Arial" w:hAnsi="Arial" w:cs="Arial"/>
          <w:sz w:val="24"/>
          <w:szCs w:val="24"/>
        </w:rPr>
        <w:t>Accordingly, the applicant’s application for review</w:t>
      </w:r>
      <w:r w:rsidR="00B776DF" w:rsidRPr="00C628E4">
        <w:rPr>
          <w:rFonts w:ascii="Arial" w:hAnsi="Arial" w:cs="Arial"/>
          <w:sz w:val="24"/>
          <w:szCs w:val="24"/>
        </w:rPr>
        <w:t xml:space="preserve"> stands to be dismissed </w:t>
      </w:r>
      <w:r w:rsidR="001205FA" w:rsidRPr="00C628E4">
        <w:rPr>
          <w:rFonts w:ascii="Arial" w:hAnsi="Arial" w:cs="Arial"/>
          <w:sz w:val="24"/>
          <w:szCs w:val="24"/>
        </w:rPr>
        <w:t>on either of the aforesaid grounds.</w:t>
      </w:r>
      <w:r w:rsidR="00D60B6E" w:rsidRPr="00C628E4">
        <w:rPr>
          <w:rFonts w:ascii="Arial" w:hAnsi="Arial" w:cs="Arial"/>
          <w:sz w:val="24"/>
          <w:szCs w:val="24"/>
        </w:rPr>
        <w:t xml:space="preserve"> </w:t>
      </w:r>
      <w:r w:rsidR="001205FA" w:rsidRPr="00C628E4">
        <w:rPr>
          <w:rFonts w:ascii="Arial" w:hAnsi="Arial" w:cs="Arial"/>
          <w:sz w:val="24"/>
          <w:szCs w:val="24"/>
        </w:rPr>
        <w:t xml:space="preserve"> I see no reason why the </w:t>
      </w:r>
      <w:r w:rsidR="00D60B6E" w:rsidRPr="00C628E4">
        <w:rPr>
          <w:rFonts w:ascii="Arial" w:hAnsi="Arial" w:cs="Arial"/>
          <w:sz w:val="24"/>
          <w:szCs w:val="24"/>
        </w:rPr>
        <w:t>costs should</w:t>
      </w:r>
      <w:r w:rsidR="001205FA" w:rsidRPr="00C628E4">
        <w:rPr>
          <w:rFonts w:ascii="Arial" w:hAnsi="Arial" w:cs="Arial"/>
          <w:sz w:val="24"/>
          <w:szCs w:val="24"/>
        </w:rPr>
        <w:t xml:space="preserve"> not</w:t>
      </w:r>
      <w:r w:rsidR="00D60B6E" w:rsidRPr="00C628E4">
        <w:rPr>
          <w:rFonts w:ascii="Arial" w:hAnsi="Arial" w:cs="Arial"/>
          <w:sz w:val="24"/>
          <w:szCs w:val="24"/>
        </w:rPr>
        <w:t xml:space="preserve"> follow the result</w:t>
      </w:r>
      <w:r w:rsidR="001205FA" w:rsidRPr="00C628E4">
        <w:rPr>
          <w:rFonts w:ascii="Arial" w:hAnsi="Arial" w:cs="Arial"/>
          <w:sz w:val="24"/>
          <w:szCs w:val="24"/>
        </w:rPr>
        <w:t>.</w:t>
      </w:r>
      <w:r w:rsidR="00D60B6E" w:rsidRPr="00C628E4">
        <w:rPr>
          <w:rFonts w:ascii="Arial" w:hAnsi="Arial" w:cs="Arial"/>
          <w:sz w:val="24"/>
          <w:szCs w:val="24"/>
        </w:rPr>
        <w:t xml:space="preserve"> </w:t>
      </w:r>
    </w:p>
    <w:p w14:paraId="4FF45764" w14:textId="77777777" w:rsidR="00D60B6E" w:rsidRPr="0024512B" w:rsidRDefault="00D60B6E" w:rsidP="00D60B6E">
      <w:pPr>
        <w:pStyle w:val="ListParagraph"/>
        <w:spacing w:after="0" w:line="480" w:lineRule="auto"/>
        <w:rPr>
          <w:rFonts w:ascii="Arial" w:hAnsi="Arial" w:cs="Arial"/>
          <w:sz w:val="24"/>
          <w:szCs w:val="24"/>
        </w:rPr>
      </w:pPr>
    </w:p>
    <w:p w14:paraId="6BC9767C" w14:textId="19E74E12" w:rsidR="00D60B6E" w:rsidRPr="00C628E4" w:rsidRDefault="00C628E4" w:rsidP="00C628E4">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60B6E" w:rsidRPr="00C628E4">
        <w:rPr>
          <w:rFonts w:ascii="Arial" w:hAnsi="Arial" w:cs="Arial"/>
          <w:sz w:val="24"/>
          <w:szCs w:val="24"/>
        </w:rPr>
        <w:t>In the result, I make the following order:</w:t>
      </w:r>
    </w:p>
    <w:p w14:paraId="2AD3671D" w14:textId="77777777" w:rsidR="00D60B6E" w:rsidRPr="0024512B" w:rsidRDefault="00D60B6E" w:rsidP="00D60B6E">
      <w:pPr>
        <w:pStyle w:val="ListParagraph"/>
        <w:spacing w:after="0" w:line="480" w:lineRule="auto"/>
        <w:rPr>
          <w:rFonts w:ascii="Arial" w:hAnsi="Arial" w:cs="Arial"/>
          <w:sz w:val="24"/>
          <w:szCs w:val="24"/>
        </w:rPr>
      </w:pPr>
    </w:p>
    <w:p w14:paraId="77CA816C" w14:textId="45F5FDA5" w:rsidR="00D60B6E" w:rsidRPr="00C628E4" w:rsidRDefault="00C628E4" w:rsidP="00C628E4">
      <w:pPr>
        <w:spacing w:after="0" w:line="480" w:lineRule="auto"/>
        <w:ind w:left="1211" w:hanging="360"/>
        <w:jc w:val="both"/>
        <w:rPr>
          <w:rFonts w:ascii="Arial" w:hAnsi="Arial" w:cs="Arial"/>
          <w:sz w:val="24"/>
          <w:szCs w:val="24"/>
        </w:rPr>
      </w:pPr>
      <w:r w:rsidRPr="000B610C">
        <w:rPr>
          <w:rFonts w:ascii="Arial" w:hAnsi="Arial" w:cs="Arial"/>
          <w:sz w:val="24"/>
          <w:szCs w:val="24"/>
        </w:rPr>
        <w:t>1.</w:t>
      </w:r>
      <w:r w:rsidRPr="000B610C">
        <w:rPr>
          <w:rFonts w:ascii="Arial" w:hAnsi="Arial" w:cs="Arial"/>
          <w:sz w:val="24"/>
          <w:szCs w:val="24"/>
        </w:rPr>
        <w:tab/>
      </w:r>
      <w:r w:rsidR="00DF276B" w:rsidRPr="00C628E4">
        <w:rPr>
          <w:rFonts w:ascii="Arial" w:hAnsi="Arial" w:cs="Arial"/>
          <w:sz w:val="24"/>
          <w:szCs w:val="24"/>
        </w:rPr>
        <w:t xml:space="preserve">The </w:t>
      </w:r>
      <w:r w:rsidR="002F51F6" w:rsidRPr="00C628E4">
        <w:rPr>
          <w:rFonts w:ascii="Arial" w:hAnsi="Arial" w:cs="Arial"/>
          <w:sz w:val="24"/>
          <w:szCs w:val="24"/>
        </w:rPr>
        <w:t>review</w:t>
      </w:r>
      <w:r w:rsidR="00DF276B" w:rsidRPr="00C628E4">
        <w:rPr>
          <w:rFonts w:ascii="Arial" w:hAnsi="Arial" w:cs="Arial"/>
          <w:sz w:val="24"/>
          <w:szCs w:val="24"/>
        </w:rPr>
        <w:t xml:space="preserve"> is dismissed with costs.</w:t>
      </w:r>
    </w:p>
    <w:p w14:paraId="2ED3FBA7" w14:textId="77777777" w:rsidR="00D60B6E" w:rsidRDefault="00D60B6E" w:rsidP="00D60B6E">
      <w:pPr>
        <w:spacing w:after="0" w:line="480" w:lineRule="auto"/>
        <w:jc w:val="both"/>
        <w:rPr>
          <w:rStyle w:val="Hyperlink"/>
          <w:rFonts w:ascii="Arial" w:hAnsi="Arial" w:cs="Arial"/>
          <w:i/>
          <w:iCs/>
          <w:sz w:val="24"/>
          <w:szCs w:val="24"/>
        </w:rPr>
      </w:pPr>
    </w:p>
    <w:p w14:paraId="156A1368" w14:textId="77777777" w:rsidR="00D60B6E" w:rsidRDefault="00D60B6E" w:rsidP="00D60B6E">
      <w:pPr>
        <w:spacing w:after="0" w:line="480" w:lineRule="auto"/>
        <w:jc w:val="both"/>
        <w:rPr>
          <w:rStyle w:val="Hyperlink"/>
          <w:rFonts w:ascii="Arial" w:hAnsi="Arial" w:cs="Arial"/>
          <w:i/>
          <w:iCs/>
          <w:sz w:val="24"/>
          <w:szCs w:val="24"/>
        </w:rPr>
      </w:pPr>
    </w:p>
    <w:p w14:paraId="2177392D" w14:textId="77777777" w:rsidR="00D60B6E" w:rsidRPr="004948BA" w:rsidRDefault="00D60B6E" w:rsidP="00D60B6E">
      <w:pPr>
        <w:spacing w:after="0" w:line="480" w:lineRule="auto"/>
        <w:jc w:val="both"/>
        <w:rPr>
          <w:rStyle w:val="Hyperlink"/>
          <w:rFonts w:ascii="Arial" w:hAnsi="Arial" w:cs="Arial"/>
          <w:i/>
          <w:iCs/>
          <w:color w:val="auto"/>
          <w:sz w:val="24"/>
          <w:szCs w:val="24"/>
        </w:rPr>
      </w:pPr>
      <w:r w:rsidRPr="004948BA">
        <w:rPr>
          <w:rStyle w:val="Hyperlink"/>
          <w:rFonts w:ascii="Arial" w:hAnsi="Arial" w:cs="Arial"/>
          <w:i/>
          <w:iCs/>
          <w:color w:val="auto"/>
          <w:sz w:val="24"/>
          <w:szCs w:val="24"/>
        </w:rPr>
        <w:t>________________________________</w:t>
      </w:r>
    </w:p>
    <w:p w14:paraId="75D93641" w14:textId="77777777" w:rsidR="00D60B6E" w:rsidRPr="004948BA" w:rsidRDefault="00D60B6E" w:rsidP="00D60B6E">
      <w:pPr>
        <w:spacing w:after="0" w:line="480" w:lineRule="auto"/>
        <w:jc w:val="both"/>
        <w:rPr>
          <w:rFonts w:ascii="Arial" w:hAnsi="Arial" w:cs="Arial"/>
          <w:b/>
          <w:bCs/>
          <w:sz w:val="24"/>
          <w:szCs w:val="24"/>
        </w:rPr>
      </w:pPr>
      <w:r w:rsidRPr="004948BA">
        <w:rPr>
          <w:rFonts w:ascii="Arial" w:hAnsi="Arial" w:cs="Arial"/>
          <w:b/>
          <w:bCs/>
          <w:sz w:val="24"/>
          <w:szCs w:val="24"/>
        </w:rPr>
        <w:t xml:space="preserve">I BANDS </w:t>
      </w:r>
    </w:p>
    <w:p w14:paraId="290363AF" w14:textId="77777777" w:rsidR="00D60B6E" w:rsidRPr="005E0A83" w:rsidRDefault="00D60B6E" w:rsidP="00D60B6E">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02140506" w14:textId="28DE8C84" w:rsidR="00D60B6E" w:rsidRDefault="00D60B6E" w:rsidP="00D60B6E">
      <w:pPr>
        <w:spacing w:after="0" w:line="480" w:lineRule="auto"/>
        <w:jc w:val="both"/>
        <w:rPr>
          <w:rFonts w:ascii="Arial" w:hAnsi="Arial" w:cs="Arial"/>
          <w:sz w:val="24"/>
          <w:szCs w:val="24"/>
        </w:rPr>
      </w:pPr>
    </w:p>
    <w:p w14:paraId="7CC178C5" w14:textId="7CD42052" w:rsidR="00DF276B" w:rsidRDefault="00DF276B" w:rsidP="00D60B6E">
      <w:pPr>
        <w:spacing w:after="0" w:line="480" w:lineRule="auto"/>
        <w:jc w:val="both"/>
        <w:rPr>
          <w:rFonts w:ascii="Arial" w:hAnsi="Arial" w:cs="Arial"/>
          <w:sz w:val="24"/>
          <w:szCs w:val="24"/>
        </w:rPr>
      </w:pPr>
    </w:p>
    <w:p w14:paraId="70E8D349" w14:textId="77777777" w:rsidR="00DF276B" w:rsidRDefault="00DF276B" w:rsidP="00D60B6E">
      <w:pPr>
        <w:spacing w:after="0" w:line="480" w:lineRule="auto"/>
        <w:jc w:val="both"/>
        <w:rPr>
          <w:rFonts w:ascii="Arial" w:hAnsi="Arial" w:cs="Arial"/>
          <w:sz w:val="24"/>
          <w:szCs w:val="24"/>
        </w:rPr>
      </w:pPr>
    </w:p>
    <w:p w14:paraId="18A679AA" w14:textId="0188C752" w:rsidR="00DF276B" w:rsidRDefault="00DF276B" w:rsidP="00D60B6E">
      <w:pPr>
        <w:spacing w:after="0" w:line="480" w:lineRule="auto"/>
        <w:jc w:val="both"/>
        <w:rPr>
          <w:rFonts w:ascii="Arial" w:hAnsi="Arial" w:cs="Arial"/>
          <w:sz w:val="24"/>
          <w:szCs w:val="24"/>
        </w:rPr>
      </w:pPr>
      <w:r>
        <w:rPr>
          <w:rFonts w:ascii="Arial" w:hAnsi="Arial" w:cs="Arial"/>
          <w:sz w:val="24"/>
          <w:szCs w:val="24"/>
        </w:rPr>
        <w:t>I agree.</w:t>
      </w:r>
    </w:p>
    <w:p w14:paraId="77533561" w14:textId="4E33CAF7" w:rsidR="00DF276B" w:rsidRDefault="00DF276B" w:rsidP="00D60B6E">
      <w:pPr>
        <w:spacing w:after="0" w:line="480" w:lineRule="auto"/>
        <w:jc w:val="both"/>
        <w:rPr>
          <w:rFonts w:ascii="Arial" w:hAnsi="Arial" w:cs="Arial"/>
          <w:sz w:val="24"/>
          <w:szCs w:val="24"/>
        </w:rPr>
      </w:pPr>
    </w:p>
    <w:p w14:paraId="3DEA7DEA" w14:textId="77777777" w:rsidR="00DF276B" w:rsidRPr="004948BA" w:rsidRDefault="00DF276B" w:rsidP="00DF276B">
      <w:pPr>
        <w:spacing w:after="0" w:line="480" w:lineRule="auto"/>
        <w:jc w:val="both"/>
        <w:rPr>
          <w:rStyle w:val="Hyperlink"/>
          <w:rFonts w:ascii="Arial" w:hAnsi="Arial" w:cs="Arial"/>
          <w:i/>
          <w:iCs/>
          <w:color w:val="auto"/>
          <w:sz w:val="24"/>
          <w:szCs w:val="24"/>
        </w:rPr>
      </w:pPr>
      <w:r w:rsidRPr="004948BA">
        <w:rPr>
          <w:rStyle w:val="Hyperlink"/>
          <w:rFonts w:ascii="Arial" w:hAnsi="Arial" w:cs="Arial"/>
          <w:i/>
          <w:iCs/>
          <w:color w:val="auto"/>
          <w:sz w:val="24"/>
          <w:szCs w:val="24"/>
        </w:rPr>
        <w:t>________________________________</w:t>
      </w:r>
    </w:p>
    <w:p w14:paraId="67ED5C63" w14:textId="4FDAED00" w:rsidR="00DF276B" w:rsidRPr="004948BA" w:rsidRDefault="00DF276B" w:rsidP="00DF276B">
      <w:pPr>
        <w:spacing w:after="0" w:line="480" w:lineRule="auto"/>
        <w:jc w:val="both"/>
        <w:rPr>
          <w:rFonts w:ascii="Arial" w:hAnsi="Arial" w:cs="Arial"/>
          <w:b/>
          <w:bCs/>
          <w:sz w:val="24"/>
          <w:szCs w:val="24"/>
        </w:rPr>
      </w:pPr>
      <w:r>
        <w:rPr>
          <w:rFonts w:ascii="Arial" w:hAnsi="Arial" w:cs="Arial"/>
          <w:b/>
          <w:bCs/>
          <w:sz w:val="24"/>
          <w:szCs w:val="24"/>
        </w:rPr>
        <w:t>L RUSI</w:t>
      </w:r>
      <w:r w:rsidRPr="004948BA">
        <w:rPr>
          <w:rFonts w:ascii="Arial" w:hAnsi="Arial" w:cs="Arial"/>
          <w:b/>
          <w:bCs/>
          <w:sz w:val="24"/>
          <w:szCs w:val="24"/>
        </w:rPr>
        <w:t xml:space="preserve"> </w:t>
      </w:r>
    </w:p>
    <w:p w14:paraId="17FE2EC3" w14:textId="1CC2EB93" w:rsidR="00DF276B" w:rsidRPr="005E0A83" w:rsidRDefault="00DF276B" w:rsidP="00DF276B">
      <w:pPr>
        <w:spacing w:after="0" w:line="480" w:lineRule="auto"/>
        <w:jc w:val="both"/>
        <w:rPr>
          <w:rFonts w:ascii="Arial" w:hAnsi="Arial" w:cs="Arial"/>
          <w:b/>
          <w:bCs/>
          <w:sz w:val="24"/>
          <w:szCs w:val="24"/>
        </w:rPr>
      </w:pPr>
      <w:r w:rsidRPr="005E0A83">
        <w:rPr>
          <w:rFonts w:ascii="Arial" w:hAnsi="Arial" w:cs="Arial"/>
          <w:b/>
          <w:bCs/>
          <w:sz w:val="24"/>
          <w:szCs w:val="24"/>
        </w:rPr>
        <w:t xml:space="preserve">JUDGE OF THE HIGH COURT </w:t>
      </w:r>
    </w:p>
    <w:p w14:paraId="33FE4D5B" w14:textId="77777777" w:rsidR="00DF276B" w:rsidRDefault="00DF276B" w:rsidP="00D60B6E">
      <w:pPr>
        <w:spacing w:after="0" w:line="480" w:lineRule="auto"/>
        <w:jc w:val="both"/>
        <w:rPr>
          <w:rFonts w:ascii="Arial" w:hAnsi="Arial" w:cs="Arial"/>
          <w:sz w:val="24"/>
          <w:szCs w:val="24"/>
        </w:rPr>
      </w:pPr>
    </w:p>
    <w:p w14:paraId="55115F7D" w14:textId="77777777" w:rsidR="00D60B6E" w:rsidRPr="005E0A83" w:rsidRDefault="00D60B6E" w:rsidP="00D60B6E">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168933FA" w14:textId="6B7FDDB7" w:rsidR="00D60B6E" w:rsidRPr="005E0A83" w:rsidRDefault="00D60B6E" w:rsidP="00D60B6E">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Cubungu</w:t>
      </w:r>
      <w:r>
        <w:rPr>
          <w:rFonts w:ascii="Arial" w:hAnsi="Arial" w:cs="Arial"/>
          <w:sz w:val="24"/>
          <w:szCs w:val="24"/>
        </w:rPr>
        <w:tab/>
      </w:r>
      <w:r w:rsidRPr="005E0A83">
        <w:rPr>
          <w:rFonts w:ascii="Arial" w:hAnsi="Arial" w:cs="Arial"/>
          <w:sz w:val="24"/>
          <w:szCs w:val="24"/>
        </w:rPr>
        <w:tab/>
      </w:r>
    </w:p>
    <w:p w14:paraId="289BC813" w14:textId="116DAC1D" w:rsidR="00D60B6E" w:rsidRDefault="00D60B6E" w:rsidP="00D60B6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State Attorney</w:t>
      </w:r>
    </w:p>
    <w:p w14:paraId="7B575AF6" w14:textId="2266EED6" w:rsidR="00D60B6E" w:rsidRDefault="00D60B6E" w:rsidP="00D60B6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 Western Road, Central, Gqeberha</w:t>
      </w:r>
    </w:p>
    <w:p w14:paraId="61499C4E" w14:textId="77777777" w:rsidR="00D60B6E" w:rsidRDefault="00D60B6E" w:rsidP="00D60B6E">
      <w:pPr>
        <w:spacing w:after="0" w:line="360" w:lineRule="auto"/>
        <w:jc w:val="both"/>
        <w:rPr>
          <w:rFonts w:ascii="Arial" w:hAnsi="Arial" w:cs="Arial"/>
          <w:sz w:val="24"/>
          <w:szCs w:val="24"/>
        </w:rPr>
      </w:pPr>
    </w:p>
    <w:p w14:paraId="5FFE4FCC" w14:textId="4873D7A3" w:rsidR="00D60B6E" w:rsidRPr="005E0A83" w:rsidRDefault="00D60B6E" w:rsidP="00D60B6E">
      <w:pPr>
        <w:spacing w:after="0" w:line="360" w:lineRule="auto"/>
        <w:jc w:val="both"/>
        <w:rPr>
          <w:rFonts w:ascii="Arial" w:hAnsi="Arial" w:cs="Arial"/>
          <w:sz w:val="24"/>
          <w:szCs w:val="24"/>
        </w:rPr>
      </w:pPr>
      <w:r>
        <w:rPr>
          <w:rFonts w:ascii="Arial" w:hAnsi="Arial" w:cs="Arial"/>
          <w:sz w:val="24"/>
          <w:szCs w:val="24"/>
        </w:rPr>
        <w:t>For second respondent:</w:t>
      </w:r>
      <w:r>
        <w:rPr>
          <w:rFonts w:ascii="Arial" w:hAnsi="Arial" w:cs="Arial"/>
          <w:sz w:val="24"/>
          <w:szCs w:val="24"/>
        </w:rPr>
        <w:tab/>
      </w:r>
      <w:r>
        <w:rPr>
          <w:rFonts w:ascii="Arial" w:hAnsi="Arial" w:cs="Arial"/>
          <w:sz w:val="24"/>
          <w:szCs w:val="24"/>
        </w:rPr>
        <w:tab/>
      </w:r>
      <w:r>
        <w:rPr>
          <w:rFonts w:ascii="Arial" w:hAnsi="Arial" w:cs="Arial"/>
          <w:sz w:val="24"/>
          <w:szCs w:val="24"/>
        </w:rPr>
        <w:tab/>
        <w:t>Ms Ntsepe</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3A4841CA" w14:textId="077DAFAF" w:rsidR="00D60B6E" w:rsidRDefault="00D60B6E" w:rsidP="00D60B6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Magqabi Seth Zitha Attorneys</w:t>
      </w:r>
    </w:p>
    <w:p w14:paraId="228263AF" w14:textId="77777777" w:rsidR="00D60B6E" w:rsidRDefault="00D60B6E" w:rsidP="00D60B6E">
      <w:pPr>
        <w:spacing w:after="0" w:line="360" w:lineRule="auto"/>
        <w:ind w:left="4320"/>
        <w:jc w:val="both"/>
        <w:rPr>
          <w:rFonts w:ascii="Arial" w:hAnsi="Arial" w:cs="Arial"/>
          <w:sz w:val="24"/>
          <w:szCs w:val="24"/>
        </w:rPr>
      </w:pPr>
      <w:r>
        <w:rPr>
          <w:rFonts w:ascii="Arial" w:hAnsi="Arial" w:cs="Arial"/>
          <w:sz w:val="24"/>
          <w:szCs w:val="24"/>
        </w:rPr>
        <w:t>No 14 Market Street, Harmony Building,</w:t>
      </w:r>
    </w:p>
    <w:p w14:paraId="0110C5D1" w14:textId="3651A6CA" w:rsidR="00D60B6E" w:rsidRDefault="00D60B6E" w:rsidP="00D60B6E">
      <w:pPr>
        <w:spacing w:after="0" w:line="360" w:lineRule="auto"/>
        <w:ind w:left="4320"/>
        <w:jc w:val="both"/>
        <w:rPr>
          <w:rFonts w:ascii="Arial" w:hAnsi="Arial" w:cs="Arial"/>
          <w:sz w:val="24"/>
          <w:szCs w:val="24"/>
        </w:rPr>
      </w:pPr>
      <w:r>
        <w:rPr>
          <w:rFonts w:ascii="Arial" w:hAnsi="Arial" w:cs="Arial"/>
          <w:sz w:val="24"/>
          <w:szCs w:val="24"/>
        </w:rPr>
        <w:t>North End, Gqeberha</w:t>
      </w:r>
    </w:p>
    <w:p w14:paraId="7B8197D2" w14:textId="77777777" w:rsidR="00D60B6E" w:rsidRPr="005E0A83" w:rsidRDefault="00D60B6E" w:rsidP="00D60B6E">
      <w:pPr>
        <w:spacing w:after="0" w:line="480" w:lineRule="auto"/>
        <w:jc w:val="both"/>
        <w:rPr>
          <w:rFonts w:ascii="Arial" w:hAnsi="Arial" w:cs="Arial"/>
          <w:sz w:val="24"/>
          <w:szCs w:val="24"/>
        </w:rPr>
      </w:pPr>
    </w:p>
    <w:p w14:paraId="35AA5CA2" w14:textId="77777777" w:rsidR="00D60B6E" w:rsidRDefault="00D60B6E" w:rsidP="00D60B6E">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63B09648" w14:textId="67AF4571" w:rsidR="00D60B6E" w:rsidRPr="005E0A83" w:rsidRDefault="00D60B6E" w:rsidP="00D60B6E">
      <w:pPr>
        <w:pStyle w:val="GW12"/>
        <w:pBdr>
          <w:top w:val="single" w:sz="4" w:space="1" w:color="auto"/>
        </w:pBdr>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r>
      <w:r>
        <w:rPr>
          <w:rFonts w:ascii="Arial" w:hAnsi="Arial" w:cs="Arial"/>
          <w:szCs w:val="24"/>
        </w:rPr>
        <w:t xml:space="preserve">Rusi J </w:t>
      </w:r>
      <w:r w:rsidRPr="003374B5">
        <w:rPr>
          <w:rFonts w:ascii="Arial" w:hAnsi="Arial" w:cs="Arial"/>
          <w:i/>
          <w:iCs/>
          <w:szCs w:val="24"/>
        </w:rPr>
        <w:t>et</w:t>
      </w:r>
      <w:r>
        <w:rPr>
          <w:rFonts w:ascii="Arial" w:hAnsi="Arial" w:cs="Arial"/>
          <w:szCs w:val="24"/>
        </w:rPr>
        <w:t xml:space="preserve"> </w:t>
      </w:r>
      <w:r w:rsidRPr="005E0A83">
        <w:rPr>
          <w:rFonts w:ascii="Arial" w:hAnsi="Arial" w:cs="Arial"/>
          <w:szCs w:val="24"/>
        </w:rPr>
        <w:t>Bands AJ</w:t>
      </w:r>
    </w:p>
    <w:p w14:paraId="0882236C" w14:textId="77777777" w:rsidR="00D60B6E" w:rsidRPr="005E0A83" w:rsidRDefault="00D60B6E" w:rsidP="00D60B6E">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1 December</w:t>
      </w:r>
      <w:r w:rsidRPr="005E0A83">
        <w:rPr>
          <w:rFonts w:ascii="Arial" w:hAnsi="Arial" w:cs="Arial"/>
          <w:szCs w:val="24"/>
        </w:rPr>
        <w:t xml:space="preserve"> 2022</w:t>
      </w:r>
    </w:p>
    <w:p w14:paraId="0395A2DB" w14:textId="3CB2297C" w:rsidR="00D60B6E" w:rsidRPr="005E0A83" w:rsidRDefault="00D60B6E" w:rsidP="00D60B6E">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2 March 2023</w:t>
      </w:r>
    </w:p>
    <w:p w14:paraId="1E955D03" w14:textId="77777777" w:rsidR="00D60B6E" w:rsidRDefault="00D60B6E" w:rsidP="00D60B6E"/>
    <w:p w14:paraId="631E116E" w14:textId="77777777" w:rsidR="00D60B6E" w:rsidRDefault="00D60B6E" w:rsidP="00D60B6E"/>
    <w:p w14:paraId="138FA4E5" w14:textId="77777777" w:rsidR="00F94735" w:rsidRDefault="00F94735"/>
    <w:sectPr w:rsidR="00F94735"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DBF1" w14:textId="77777777" w:rsidR="00ED2055" w:rsidRDefault="00ED2055" w:rsidP="00D60B6E">
      <w:pPr>
        <w:spacing w:after="0" w:line="240" w:lineRule="auto"/>
      </w:pPr>
      <w:r>
        <w:separator/>
      </w:r>
    </w:p>
  </w:endnote>
  <w:endnote w:type="continuationSeparator" w:id="0">
    <w:p w14:paraId="5717FB50" w14:textId="77777777" w:rsidR="00ED2055" w:rsidRDefault="00ED2055" w:rsidP="00D6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9320" w14:textId="77777777" w:rsidR="00D154BB" w:rsidRDefault="002C37FA"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D191" w14:textId="77777777" w:rsidR="00ED2055" w:rsidRDefault="00ED2055" w:rsidP="00D60B6E">
      <w:pPr>
        <w:spacing w:after="0" w:line="240" w:lineRule="auto"/>
      </w:pPr>
      <w:r>
        <w:separator/>
      </w:r>
    </w:p>
  </w:footnote>
  <w:footnote w:type="continuationSeparator" w:id="0">
    <w:p w14:paraId="7F1B8E5C" w14:textId="77777777" w:rsidR="00ED2055" w:rsidRDefault="00ED2055" w:rsidP="00D60B6E">
      <w:pPr>
        <w:spacing w:after="0" w:line="240" w:lineRule="auto"/>
      </w:pPr>
      <w:r>
        <w:continuationSeparator/>
      </w:r>
    </w:p>
  </w:footnote>
  <w:footnote w:id="1">
    <w:p w14:paraId="7D452240" w14:textId="7E0AB9E6" w:rsidR="00A11767" w:rsidRPr="00251D59" w:rsidRDefault="00A11767" w:rsidP="00A11767">
      <w:pPr>
        <w:pStyle w:val="FootnoteText"/>
        <w:spacing w:line="360" w:lineRule="auto"/>
        <w:rPr>
          <w:rFonts w:ascii="Arial" w:hAnsi="Arial" w:cs="Arial"/>
          <w:vertAlign w:val="superscript"/>
        </w:rPr>
      </w:pPr>
      <w:r w:rsidRPr="00251D59">
        <w:rPr>
          <w:rStyle w:val="FootnoteReference"/>
          <w:rFonts w:ascii="Arial" w:hAnsi="Arial" w:cs="Arial"/>
        </w:rPr>
        <w:footnoteRef/>
      </w:r>
      <w:r w:rsidRPr="00251D59">
        <w:rPr>
          <w:rStyle w:val="FootnoteReference"/>
          <w:rFonts w:ascii="Arial" w:hAnsi="Arial" w:cs="Arial"/>
        </w:rPr>
        <w:t xml:space="preserve"> </w:t>
      </w:r>
      <w:r w:rsidRPr="00251D59">
        <w:rPr>
          <w:rStyle w:val="FootnoteReference"/>
          <w:rFonts w:ascii="Arial" w:hAnsi="Arial" w:cs="Arial"/>
          <w:i/>
          <w:iCs/>
          <w:vertAlign w:val="baseline"/>
        </w:rPr>
        <w:t xml:space="preserve">Notyawa v Makana Municipality and Others </w:t>
      </w:r>
      <w:r w:rsidRPr="00251D59">
        <w:rPr>
          <w:rStyle w:val="FootnoteReference"/>
          <w:rFonts w:ascii="Arial" w:hAnsi="Arial" w:cs="Arial"/>
          <w:vertAlign w:val="baseline"/>
        </w:rPr>
        <w:t>2020 (2) BCLR 136 (CC).</w:t>
      </w:r>
    </w:p>
  </w:footnote>
  <w:footnote w:id="2">
    <w:p w14:paraId="7A67A6AE" w14:textId="08E96CAA" w:rsidR="00E506DC" w:rsidRPr="00E506DC" w:rsidRDefault="00E506DC" w:rsidP="00A11767">
      <w:pPr>
        <w:pStyle w:val="FootnoteText"/>
        <w:spacing w:line="360" w:lineRule="auto"/>
        <w:rPr>
          <w:rFonts w:ascii="Arial" w:hAnsi="Arial" w:cs="Arial"/>
        </w:rPr>
      </w:pPr>
      <w:r w:rsidRPr="00251D59">
        <w:rPr>
          <w:rStyle w:val="FootnoteReference"/>
          <w:rFonts w:ascii="Arial" w:hAnsi="Arial" w:cs="Arial"/>
        </w:rPr>
        <w:footnoteRef/>
      </w:r>
      <w:r w:rsidRPr="00251D59">
        <w:rPr>
          <w:rFonts w:ascii="Arial" w:hAnsi="Arial" w:cs="Arial"/>
        </w:rPr>
        <w:t xml:space="preserve"> </w:t>
      </w:r>
      <w:r w:rsidRPr="00E506DC">
        <w:rPr>
          <w:rFonts w:ascii="Arial" w:eastAsia="Times New Roman" w:hAnsi="Arial" w:cs="Arial"/>
          <w:i/>
          <w:iCs/>
          <w:lang w:eastAsia="en-ZA"/>
        </w:rPr>
        <w:t>Bato Star Fishing (Pty) Ltd v Minister of Environmental Affairs and Tourism and Others</w:t>
      </w:r>
      <w:r w:rsidRPr="00E506DC">
        <w:rPr>
          <w:rFonts w:ascii="Arial" w:eastAsia="Times New Roman" w:hAnsi="Arial" w:cs="Arial"/>
          <w:lang w:eastAsia="en-ZA"/>
        </w:rPr>
        <w:t xml:space="preserve"> </w:t>
      </w:r>
      <w:r w:rsidRPr="00251D59">
        <w:rPr>
          <w:rFonts w:ascii="Arial" w:eastAsia="Times New Roman" w:hAnsi="Arial" w:cs="Arial"/>
          <w:lang w:eastAsia="en-ZA"/>
        </w:rPr>
        <w:t>2</w:t>
      </w:r>
      <w:r w:rsidRPr="00E506DC">
        <w:rPr>
          <w:rFonts w:ascii="Arial" w:eastAsia="Times New Roman" w:hAnsi="Arial" w:cs="Arial"/>
          <w:lang w:eastAsia="en-ZA"/>
        </w:rPr>
        <w:t>004 (4) SA 490 (CC)</w:t>
      </w:r>
      <w:r w:rsidRPr="00251D59">
        <w:rPr>
          <w:rFonts w:ascii="Arial" w:eastAsia="Times New Roman" w:hAnsi="Arial" w:cs="Arial"/>
          <w:lang w:eastAsia="en-ZA"/>
        </w:rPr>
        <w:t xml:space="preserve"> at para 27.</w:t>
      </w:r>
    </w:p>
    <w:p w14:paraId="49313C04" w14:textId="77777777" w:rsidR="00E506DC" w:rsidRPr="00E506DC" w:rsidRDefault="00E506DC">
      <w:pPr>
        <w:pStyle w:val="FootnoteText"/>
      </w:pPr>
    </w:p>
  </w:footnote>
  <w:footnote w:id="3">
    <w:p w14:paraId="6C6A1D3B" w14:textId="20EAEF80" w:rsidR="00EC2634" w:rsidRPr="004E40D5" w:rsidRDefault="00EC2634" w:rsidP="00EC2634">
      <w:pPr>
        <w:pStyle w:val="FootnoteText"/>
        <w:spacing w:line="360" w:lineRule="auto"/>
        <w:rPr>
          <w:rFonts w:ascii="Arial" w:hAnsi="Arial" w:cs="Arial"/>
        </w:rPr>
      </w:pPr>
      <w:r w:rsidRPr="004E40D5">
        <w:rPr>
          <w:rStyle w:val="FootnoteReference"/>
          <w:rFonts w:ascii="Arial" w:hAnsi="Arial" w:cs="Arial"/>
        </w:rPr>
        <w:footnoteRef/>
      </w:r>
      <w:r w:rsidRPr="004E40D5">
        <w:rPr>
          <w:rFonts w:ascii="Arial" w:hAnsi="Arial" w:cs="Arial"/>
        </w:rPr>
        <w:t xml:space="preserve"> [Service 7, 2018] A2-134.</w:t>
      </w:r>
    </w:p>
  </w:footnote>
  <w:footnote w:id="4">
    <w:p w14:paraId="00BB6853" w14:textId="77777777" w:rsidR="00916FDD" w:rsidRPr="008F4C9D" w:rsidRDefault="00916FDD" w:rsidP="00916FD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w:t>
      </w:r>
      <w:r w:rsidRPr="008F4C9D">
        <w:rPr>
          <w:rFonts w:ascii="Arial" w:hAnsi="Arial" w:cs="Arial"/>
          <w:i/>
          <w:iCs/>
        </w:rPr>
        <w:t>Ellis v Morgan; Ellis v Dessai</w:t>
      </w:r>
      <w:r w:rsidRPr="008F4C9D">
        <w:rPr>
          <w:rFonts w:ascii="Arial" w:hAnsi="Arial" w:cs="Arial"/>
        </w:rPr>
        <w:t xml:space="preserve"> 1909 TS 576.</w:t>
      </w:r>
    </w:p>
    <w:p w14:paraId="309DDE84" w14:textId="77777777" w:rsidR="00916FDD" w:rsidRPr="008F4C9D" w:rsidRDefault="00916FDD" w:rsidP="00916FDD">
      <w:pPr>
        <w:pStyle w:val="Heading2"/>
        <w:shd w:val="clear" w:color="auto" w:fill="FFFFFF"/>
        <w:spacing w:before="0" w:beforeAutospacing="0" w:after="0" w:afterAutospacing="0" w:line="360" w:lineRule="auto"/>
        <w:rPr>
          <w:rFonts w:ascii="Arial" w:hAnsi="Arial" w:cs="Arial"/>
          <w:b w:val="0"/>
          <w:bCs w:val="0"/>
          <w:sz w:val="20"/>
          <w:szCs w:val="20"/>
        </w:rPr>
      </w:pPr>
      <w:r w:rsidRPr="008F4C9D">
        <w:rPr>
          <w:rFonts w:ascii="Arial" w:hAnsi="Arial" w:cs="Arial"/>
          <w:b w:val="0"/>
          <w:bCs w:val="0"/>
          <w:sz w:val="20"/>
          <w:szCs w:val="20"/>
        </w:rPr>
        <w:t xml:space="preserve">See also: </w:t>
      </w:r>
      <w:r w:rsidRPr="008F4C9D">
        <w:rPr>
          <w:rFonts w:ascii="Arial" w:hAnsi="Arial" w:cs="Arial"/>
          <w:b w:val="0"/>
          <w:bCs w:val="0"/>
          <w:i/>
          <w:iCs/>
          <w:sz w:val="20"/>
          <w:szCs w:val="20"/>
        </w:rPr>
        <w:t>Telcordia Technologies Inc v Telkom SA Ltd</w:t>
      </w:r>
      <w:r w:rsidRPr="008F4C9D">
        <w:rPr>
          <w:rFonts w:ascii="Arial" w:hAnsi="Arial" w:cs="Arial"/>
          <w:b w:val="0"/>
          <w:bCs w:val="0"/>
          <w:sz w:val="20"/>
          <w:szCs w:val="20"/>
        </w:rPr>
        <w:t xml:space="preserve"> 2007 (3) SA 266 (SCA) at paragraph [72].</w:t>
      </w:r>
    </w:p>
  </w:footnote>
  <w:footnote w:id="5">
    <w:p w14:paraId="336E47CB" w14:textId="77777777" w:rsidR="00916FDD" w:rsidRPr="008F4C9D" w:rsidRDefault="00916FDD" w:rsidP="00916FDD">
      <w:pPr>
        <w:pStyle w:val="FootnoteText"/>
        <w:spacing w:line="360" w:lineRule="auto"/>
        <w:rPr>
          <w:rFonts w:ascii="Arial" w:hAnsi="Arial" w:cs="Arial"/>
        </w:rPr>
      </w:pPr>
      <w:r w:rsidRPr="008F4C9D">
        <w:rPr>
          <w:rStyle w:val="FootnoteReference"/>
          <w:rFonts w:ascii="Arial" w:hAnsi="Arial" w:cs="Arial"/>
        </w:rPr>
        <w:footnoteRef/>
      </w:r>
      <w:r w:rsidRPr="008F4C9D">
        <w:rPr>
          <w:rFonts w:ascii="Arial" w:hAnsi="Arial" w:cs="Arial"/>
        </w:rPr>
        <w:t xml:space="preserve"> 1938 TPD 551.</w:t>
      </w:r>
    </w:p>
  </w:footnote>
  <w:footnote w:id="6">
    <w:p w14:paraId="28C513EC" w14:textId="77777777" w:rsidR="00916FDD" w:rsidRPr="00ED4E21" w:rsidRDefault="00916FDD" w:rsidP="00916FDD">
      <w:pPr>
        <w:pStyle w:val="FootnoteText"/>
        <w:rPr>
          <w:rFonts w:ascii="Arial" w:hAnsi="Arial" w:cs="Arial"/>
        </w:rPr>
      </w:pPr>
      <w:r w:rsidRPr="00ED4E21">
        <w:rPr>
          <w:rStyle w:val="FootnoteReference"/>
          <w:rFonts w:ascii="Arial" w:hAnsi="Arial" w:cs="Arial"/>
        </w:rPr>
        <w:footnoteRef/>
      </w:r>
      <w:r w:rsidRPr="00ED4E21">
        <w:rPr>
          <w:rFonts w:ascii="Arial" w:hAnsi="Arial" w:cs="Arial"/>
        </w:rPr>
        <w:t xml:space="preserve"> 2008 (2) SA 24 at paragraph [265].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6A8F622C" w14:textId="25F97594" w:rsidR="00840E2F" w:rsidRDefault="002C37F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28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28E4">
          <w:rPr>
            <w:b/>
            <w:bCs/>
            <w:noProof/>
          </w:rPr>
          <w:t>10</w:t>
        </w:r>
        <w:r>
          <w:rPr>
            <w:b/>
            <w:bCs/>
            <w:sz w:val="24"/>
            <w:szCs w:val="24"/>
          </w:rPr>
          <w:fldChar w:fldCharType="end"/>
        </w:r>
      </w:p>
    </w:sdtContent>
  </w:sdt>
  <w:p w14:paraId="19B62DB2" w14:textId="77777777" w:rsidR="00840E2F" w:rsidRDefault="00ED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D62897"/>
    <w:multiLevelType w:val="hybridMultilevel"/>
    <w:tmpl w:val="2988AB5E"/>
    <w:lvl w:ilvl="0" w:tplc="B690635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58946799"/>
    <w:multiLevelType w:val="hybridMultilevel"/>
    <w:tmpl w:val="A72CB108"/>
    <w:lvl w:ilvl="0" w:tplc="14568B9E">
      <w:start w:val="1"/>
      <w:numFmt w:val="lowerRoman"/>
      <w:lvlText w:val="(%1)"/>
      <w:lvlJc w:val="left"/>
      <w:pPr>
        <w:ind w:left="1931" w:hanging="1080"/>
      </w:pPr>
      <w:rPr>
        <w:rFonts w:ascii="Arial" w:hAnsi="Arial" w:cs="Arial" w:hint="default"/>
        <w:i/>
        <w:iCs/>
        <w:sz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B312C09"/>
    <w:multiLevelType w:val="hybridMultilevel"/>
    <w:tmpl w:val="4F12DE58"/>
    <w:lvl w:ilvl="0" w:tplc="3392F30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A4206E4"/>
    <w:multiLevelType w:val="hybridMultilevel"/>
    <w:tmpl w:val="57061D72"/>
    <w:lvl w:ilvl="0" w:tplc="C9C29024">
      <w:start w:val="1"/>
      <w:numFmt w:val="lowerLetter"/>
      <w:lvlText w:val="%1)"/>
      <w:lvlJc w:val="left"/>
      <w:pPr>
        <w:ind w:left="1796" w:hanging="360"/>
      </w:pPr>
      <w:rPr>
        <w:rFonts w:hint="default"/>
        <w:i/>
        <w:sz w:val="22"/>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6E"/>
    <w:rsid w:val="000344FC"/>
    <w:rsid w:val="00046BA1"/>
    <w:rsid w:val="00050F44"/>
    <w:rsid w:val="0008393A"/>
    <w:rsid w:val="000859A8"/>
    <w:rsid w:val="000E120A"/>
    <w:rsid w:val="001205FA"/>
    <w:rsid w:val="00132A8E"/>
    <w:rsid w:val="0018415E"/>
    <w:rsid w:val="001A5914"/>
    <w:rsid w:val="002346D1"/>
    <w:rsid w:val="00251D59"/>
    <w:rsid w:val="00276502"/>
    <w:rsid w:val="002765F5"/>
    <w:rsid w:val="00296228"/>
    <w:rsid w:val="002C37FA"/>
    <w:rsid w:val="002F4596"/>
    <w:rsid w:val="002F51F6"/>
    <w:rsid w:val="00391833"/>
    <w:rsid w:val="003A2D07"/>
    <w:rsid w:val="003C0AC1"/>
    <w:rsid w:val="003C2855"/>
    <w:rsid w:val="003D2F95"/>
    <w:rsid w:val="00455BF0"/>
    <w:rsid w:val="004E3039"/>
    <w:rsid w:val="004E40D5"/>
    <w:rsid w:val="00541E31"/>
    <w:rsid w:val="00541FE6"/>
    <w:rsid w:val="00574C0C"/>
    <w:rsid w:val="00664ECC"/>
    <w:rsid w:val="007076CF"/>
    <w:rsid w:val="00713100"/>
    <w:rsid w:val="00755BBB"/>
    <w:rsid w:val="00770CA0"/>
    <w:rsid w:val="007B4F19"/>
    <w:rsid w:val="00804678"/>
    <w:rsid w:val="008076F6"/>
    <w:rsid w:val="00882061"/>
    <w:rsid w:val="008A6F2C"/>
    <w:rsid w:val="008E220E"/>
    <w:rsid w:val="009148F6"/>
    <w:rsid w:val="00916FDD"/>
    <w:rsid w:val="00924A8B"/>
    <w:rsid w:val="009622DC"/>
    <w:rsid w:val="00963F82"/>
    <w:rsid w:val="00986B88"/>
    <w:rsid w:val="009B0041"/>
    <w:rsid w:val="00A11767"/>
    <w:rsid w:val="00A318E6"/>
    <w:rsid w:val="00A552DC"/>
    <w:rsid w:val="00AA3539"/>
    <w:rsid w:val="00AB5F93"/>
    <w:rsid w:val="00AD7625"/>
    <w:rsid w:val="00B21EAE"/>
    <w:rsid w:val="00B776DF"/>
    <w:rsid w:val="00B77C24"/>
    <w:rsid w:val="00B84484"/>
    <w:rsid w:val="00B929B3"/>
    <w:rsid w:val="00BB0441"/>
    <w:rsid w:val="00C31399"/>
    <w:rsid w:val="00C628E4"/>
    <w:rsid w:val="00CA40FA"/>
    <w:rsid w:val="00CB544E"/>
    <w:rsid w:val="00CB601B"/>
    <w:rsid w:val="00CC1E77"/>
    <w:rsid w:val="00CF1C34"/>
    <w:rsid w:val="00D26207"/>
    <w:rsid w:val="00D60B6E"/>
    <w:rsid w:val="00DA02F1"/>
    <w:rsid w:val="00DA7E63"/>
    <w:rsid w:val="00DF276B"/>
    <w:rsid w:val="00DF441C"/>
    <w:rsid w:val="00E26099"/>
    <w:rsid w:val="00E26FDD"/>
    <w:rsid w:val="00E506DC"/>
    <w:rsid w:val="00E70BD7"/>
    <w:rsid w:val="00EB7B91"/>
    <w:rsid w:val="00EC2634"/>
    <w:rsid w:val="00ED2055"/>
    <w:rsid w:val="00EF1B9E"/>
    <w:rsid w:val="00EF6E6A"/>
    <w:rsid w:val="00F14BE8"/>
    <w:rsid w:val="00F15DAB"/>
    <w:rsid w:val="00F320F7"/>
    <w:rsid w:val="00F603E1"/>
    <w:rsid w:val="00F94735"/>
    <w:rsid w:val="00FB7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59BB"/>
  <w15:chartTrackingRefBased/>
  <w15:docId w15:val="{B8DC9786-9679-4D1F-9ECE-979E5EBD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6E"/>
    <w:pPr>
      <w:spacing w:after="200" w:line="276" w:lineRule="auto"/>
    </w:pPr>
  </w:style>
  <w:style w:type="paragraph" w:styleId="Heading2">
    <w:name w:val="heading 2"/>
    <w:basedOn w:val="Normal"/>
    <w:link w:val="Heading2Char"/>
    <w:uiPriority w:val="9"/>
    <w:qFormat/>
    <w:rsid w:val="00E506D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0B6E"/>
    <w:pPr>
      <w:spacing w:after="0" w:line="240" w:lineRule="auto"/>
    </w:pPr>
    <w:rPr>
      <w:sz w:val="20"/>
      <w:szCs w:val="20"/>
    </w:rPr>
  </w:style>
  <w:style w:type="character" w:customStyle="1" w:styleId="FootnoteTextChar">
    <w:name w:val="Footnote Text Char"/>
    <w:basedOn w:val="DefaultParagraphFont"/>
    <w:link w:val="FootnoteText"/>
    <w:uiPriority w:val="99"/>
    <w:rsid w:val="00D60B6E"/>
    <w:rPr>
      <w:sz w:val="20"/>
      <w:szCs w:val="20"/>
    </w:rPr>
  </w:style>
  <w:style w:type="character" w:styleId="FootnoteReference">
    <w:name w:val="footnote reference"/>
    <w:basedOn w:val="DefaultParagraphFont"/>
    <w:uiPriority w:val="99"/>
    <w:semiHidden/>
    <w:unhideWhenUsed/>
    <w:rsid w:val="00D60B6E"/>
    <w:rPr>
      <w:vertAlign w:val="superscript"/>
    </w:rPr>
  </w:style>
  <w:style w:type="paragraph" w:styleId="ListParagraph">
    <w:name w:val="List Paragraph"/>
    <w:basedOn w:val="Normal"/>
    <w:link w:val="ListParagraphChar"/>
    <w:uiPriority w:val="34"/>
    <w:qFormat/>
    <w:rsid w:val="00D60B6E"/>
    <w:pPr>
      <w:ind w:left="720"/>
      <w:contextualSpacing/>
    </w:pPr>
  </w:style>
  <w:style w:type="paragraph" w:styleId="Header">
    <w:name w:val="header"/>
    <w:basedOn w:val="Normal"/>
    <w:link w:val="HeaderChar"/>
    <w:uiPriority w:val="99"/>
    <w:unhideWhenUsed/>
    <w:rsid w:val="00D60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B6E"/>
  </w:style>
  <w:style w:type="paragraph" w:styleId="Footer">
    <w:name w:val="footer"/>
    <w:basedOn w:val="Normal"/>
    <w:link w:val="FooterChar"/>
    <w:uiPriority w:val="99"/>
    <w:unhideWhenUsed/>
    <w:rsid w:val="00D60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6E"/>
  </w:style>
  <w:style w:type="paragraph" w:customStyle="1" w:styleId="GW11">
    <w:name w:val="GW1.1"/>
    <w:basedOn w:val="Normal"/>
    <w:rsid w:val="00D60B6E"/>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D60B6E"/>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D60B6E"/>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D60B6E"/>
  </w:style>
  <w:style w:type="character" w:styleId="Hyperlink">
    <w:name w:val="Hyperlink"/>
    <w:basedOn w:val="DefaultParagraphFont"/>
    <w:uiPriority w:val="99"/>
    <w:semiHidden/>
    <w:unhideWhenUsed/>
    <w:rsid w:val="00D60B6E"/>
    <w:rPr>
      <w:color w:val="0000FF"/>
      <w:u w:val="single"/>
    </w:rPr>
  </w:style>
  <w:style w:type="paragraph" w:styleId="NormalWeb">
    <w:name w:val="Normal (Web)"/>
    <w:basedOn w:val="Normal"/>
    <w:uiPriority w:val="99"/>
    <w:semiHidden/>
    <w:unhideWhenUsed/>
    <w:rsid w:val="00D60B6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506DC"/>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7969">
      <w:bodyDiv w:val="1"/>
      <w:marLeft w:val="0"/>
      <w:marRight w:val="0"/>
      <w:marTop w:val="0"/>
      <w:marBottom w:val="0"/>
      <w:divBdr>
        <w:top w:val="none" w:sz="0" w:space="0" w:color="auto"/>
        <w:left w:val="none" w:sz="0" w:space="0" w:color="auto"/>
        <w:bottom w:val="none" w:sz="0" w:space="0" w:color="auto"/>
        <w:right w:val="none" w:sz="0" w:space="0" w:color="auto"/>
      </w:divBdr>
    </w:div>
    <w:div w:id="18353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64FA-C74E-43CB-871D-C243D720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2023-03-02T10:31:00Z</cp:lastPrinted>
  <dcterms:created xsi:type="dcterms:W3CDTF">2023-03-08T08:58:00Z</dcterms:created>
  <dcterms:modified xsi:type="dcterms:W3CDTF">2023-03-08T09:01:00Z</dcterms:modified>
</cp:coreProperties>
</file>