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A897" w14:textId="3FB6FAA2" w:rsidR="000A1C49" w:rsidRDefault="000A1C49" w:rsidP="000A1C49">
      <w:pPr>
        <w:jc w:val="center"/>
        <w:rPr>
          <w:rFonts w:ascii="Arial" w:hAnsi="Arial" w:cs="Arial"/>
          <w:b/>
          <w:sz w:val="24"/>
          <w:szCs w:val="24"/>
          <w:lang w:val="en-GB"/>
        </w:rPr>
      </w:pPr>
      <w:r>
        <w:rPr>
          <w:noProof/>
          <w:lang w:eastAsia="en-ZA"/>
        </w:rPr>
        <w:drawing>
          <wp:inline distT="0" distB="0" distL="0" distR="0" wp14:anchorId="724AF75D" wp14:editId="42AB465B">
            <wp:extent cx="1466850" cy="1095375"/>
            <wp:effectExtent l="0" t="0" r="0" b="9525"/>
            <wp:docPr id="60321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515081CB" w14:textId="77777777" w:rsidR="000A1C49" w:rsidRDefault="000A1C49" w:rsidP="000A1C49">
      <w:pPr>
        <w:jc w:val="center"/>
        <w:rPr>
          <w:rFonts w:ascii="Arial" w:hAnsi="Arial" w:cs="Arial"/>
          <w:b/>
          <w:sz w:val="24"/>
          <w:szCs w:val="24"/>
          <w:lang w:val="en-GB"/>
        </w:rPr>
      </w:pPr>
      <w:r>
        <w:rPr>
          <w:rFonts w:ascii="Arial" w:hAnsi="Arial" w:cs="Arial"/>
          <w:b/>
          <w:sz w:val="24"/>
          <w:szCs w:val="24"/>
          <w:lang w:val="en-GB"/>
        </w:rPr>
        <w:t>IN THE HIGH COURT OF SOUTH AFRICA</w:t>
      </w:r>
    </w:p>
    <w:p w14:paraId="189039E4" w14:textId="7F58AD37" w:rsidR="000A1C49" w:rsidRDefault="000A1C49" w:rsidP="000A1C49">
      <w:pPr>
        <w:jc w:val="center"/>
        <w:rPr>
          <w:rFonts w:ascii="Arial" w:hAnsi="Arial" w:cs="Arial"/>
          <w:b/>
          <w:sz w:val="24"/>
          <w:szCs w:val="24"/>
          <w:lang w:val="en-GB"/>
        </w:rPr>
      </w:pPr>
      <w:r>
        <w:rPr>
          <w:rFonts w:ascii="Arial" w:hAnsi="Arial" w:cs="Arial"/>
          <w:b/>
          <w:sz w:val="24"/>
          <w:szCs w:val="24"/>
          <w:lang w:val="en-GB"/>
        </w:rPr>
        <w:t>[EASTERN CAPE DIVISION: GQEBERHA]</w:t>
      </w:r>
    </w:p>
    <w:p w14:paraId="70099DF1" w14:textId="7EA5A7A7" w:rsidR="000A1C49" w:rsidRDefault="000A1C49" w:rsidP="000A1C49">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3041/2023</w:t>
      </w:r>
    </w:p>
    <w:p w14:paraId="3BFD16A5" w14:textId="77777777" w:rsidR="000A1C49" w:rsidRDefault="000A1C49" w:rsidP="000A1C49">
      <w:pPr>
        <w:rPr>
          <w:rFonts w:ascii="Arial" w:hAnsi="Arial" w:cs="Arial"/>
          <w:sz w:val="24"/>
          <w:szCs w:val="24"/>
          <w:lang w:val="en-GB"/>
        </w:rPr>
      </w:pPr>
      <w:r>
        <w:rPr>
          <w:rFonts w:ascii="Arial" w:hAnsi="Arial" w:cs="Arial"/>
          <w:sz w:val="24"/>
          <w:szCs w:val="24"/>
          <w:lang w:val="en-GB"/>
        </w:rPr>
        <w:t>In the matter between:</w:t>
      </w:r>
    </w:p>
    <w:p w14:paraId="775A8796" w14:textId="77777777" w:rsidR="000A1C49" w:rsidRDefault="000A1C49" w:rsidP="000A1C49">
      <w:pPr>
        <w:rPr>
          <w:rFonts w:ascii="Arial" w:hAnsi="Arial" w:cs="Arial"/>
          <w:b/>
          <w:sz w:val="24"/>
          <w:szCs w:val="24"/>
          <w:lang w:val="en-GB"/>
        </w:rPr>
      </w:pPr>
    </w:p>
    <w:p w14:paraId="671088EA" w14:textId="4243EA3B" w:rsidR="000A1C49" w:rsidRDefault="000A1C49" w:rsidP="000A1C49">
      <w:pPr>
        <w:rPr>
          <w:rFonts w:ascii="Arial" w:hAnsi="Arial" w:cs="Arial"/>
          <w:b/>
          <w:sz w:val="24"/>
          <w:szCs w:val="24"/>
          <w:lang w:val="en-GB"/>
        </w:rPr>
      </w:pPr>
      <w:r>
        <w:rPr>
          <w:rFonts w:ascii="Arial" w:hAnsi="Arial" w:cs="Arial"/>
          <w:b/>
          <w:sz w:val="24"/>
          <w:szCs w:val="24"/>
          <w:lang w:val="en-GB"/>
        </w:rPr>
        <w:t>ZENITH CAR RENTAL (PTY) L</w:t>
      </w:r>
      <w:r w:rsidR="00651696">
        <w:rPr>
          <w:rFonts w:ascii="Arial" w:hAnsi="Arial" w:cs="Arial"/>
          <w:b/>
          <w:sz w:val="24"/>
          <w:szCs w:val="24"/>
          <w:lang w:val="en-GB"/>
        </w:rPr>
        <w:t>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14:paraId="006169EE" w14:textId="77777777" w:rsidR="000A1C49" w:rsidRDefault="000A1C49" w:rsidP="000A1C49">
      <w:pPr>
        <w:rPr>
          <w:rFonts w:ascii="Arial" w:hAnsi="Arial" w:cs="Arial"/>
          <w:b/>
          <w:sz w:val="24"/>
          <w:szCs w:val="24"/>
          <w:lang w:val="en-GB"/>
        </w:rPr>
      </w:pPr>
    </w:p>
    <w:p w14:paraId="342978AC" w14:textId="77777777" w:rsidR="000A1C49" w:rsidRDefault="000A1C49" w:rsidP="000A1C49">
      <w:pPr>
        <w:rPr>
          <w:rFonts w:ascii="Arial" w:hAnsi="Arial" w:cs="Arial"/>
          <w:b/>
          <w:sz w:val="24"/>
          <w:szCs w:val="24"/>
          <w:lang w:val="en-GB"/>
        </w:rPr>
      </w:pPr>
      <w:r>
        <w:rPr>
          <w:rFonts w:ascii="Arial" w:hAnsi="Arial" w:cs="Arial"/>
          <w:b/>
          <w:sz w:val="24"/>
          <w:szCs w:val="24"/>
          <w:lang w:val="en-GB"/>
        </w:rPr>
        <w:t>and</w:t>
      </w:r>
    </w:p>
    <w:p w14:paraId="36073494" w14:textId="77777777" w:rsidR="000A1C49" w:rsidRDefault="000A1C49" w:rsidP="000A1C49">
      <w:pPr>
        <w:rPr>
          <w:rFonts w:ascii="Arial" w:hAnsi="Arial" w:cs="Arial"/>
          <w:b/>
          <w:sz w:val="24"/>
          <w:szCs w:val="24"/>
          <w:lang w:val="en-GB"/>
        </w:rPr>
      </w:pPr>
    </w:p>
    <w:p w14:paraId="4D78EEAD" w14:textId="12DB3929"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VALULINE FOUR (PTY)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0A1C49">
        <w:rPr>
          <w:rFonts w:ascii="Arial" w:hAnsi="Arial" w:cs="Arial"/>
          <w:b/>
          <w:sz w:val="24"/>
          <w:szCs w:val="24"/>
          <w:vertAlign w:val="superscript"/>
          <w:lang w:val="en-GB"/>
        </w:rPr>
        <w:t>st</w:t>
      </w:r>
      <w:r>
        <w:rPr>
          <w:rFonts w:ascii="Arial" w:hAnsi="Arial" w:cs="Arial"/>
          <w:b/>
          <w:sz w:val="24"/>
          <w:szCs w:val="24"/>
          <w:lang w:val="en-GB"/>
        </w:rPr>
        <w:t xml:space="preserve"> Respondent</w:t>
      </w:r>
    </w:p>
    <w:p w14:paraId="6AA2CDE8" w14:textId="77777777" w:rsidR="000A1C49" w:rsidRDefault="000A1C49" w:rsidP="000A1C49">
      <w:pPr>
        <w:spacing w:line="240" w:lineRule="auto"/>
        <w:rPr>
          <w:rFonts w:ascii="Arial" w:hAnsi="Arial" w:cs="Arial"/>
          <w:b/>
          <w:sz w:val="24"/>
          <w:szCs w:val="24"/>
          <w:lang w:val="en-GB"/>
        </w:rPr>
      </w:pPr>
    </w:p>
    <w:p w14:paraId="6E50ABA7" w14:textId="37FB138D"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K2015/024023/07 (SOUTH AFRICA) (PTY)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0A1C49">
        <w:rPr>
          <w:rFonts w:ascii="Arial" w:hAnsi="Arial" w:cs="Arial"/>
          <w:b/>
          <w:sz w:val="24"/>
          <w:szCs w:val="24"/>
          <w:vertAlign w:val="superscript"/>
          <w:lang w:val="en-GB"/>
        </w:rPr>
        <w:t>nd</w:t>
      </w:r>
      <w:r>
        <w:rPr>
          <w:rFonts w:ascii="Arial" w:hAnsi="Arial" w:cs="Arial"/>
          <w:b/>
          <w:sz w:val="24"/>
          <w:szCs w:val="24"/>
          <w:lang w:val="en-GB"/>
        </w:rPr>
        <w:t xml:space="preserve"> Respondent</w:t>
      </w:r>
    </w:p>
    <w:p w14:paraId="2B58E679" w14:textId="77777777" w:rsidR="000A1C49" w:rsidRDefault="000A1C49" w:rsidP="000A1C49">
      <w:pPr>
        <w:spacing w:line="240" w:lineRule="auto"/>
        <w:rPr>
          <w:rFonts w:ascii="Arial" w:hAnsi="Arial" w:cs="Arial"/>
          <w:b/>
          <w:sz w:val="24"/>
          <w:szCs w:val="24"/>
          <w:lang w:val="en-GB"/>
        </w:rPr>
      </w:pPr>
    </w:p>
    <w:p w14:paraId="4E8C1F5B" w14:textId="74FDAA6B"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K2016/399064/07 (SOUTH AFRICA) (PTY)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r w:rsidRPr="000A1C49">
        <w:rPr>
          <w:rFonts w:ascii="Arial" w:hAnsi="Arial" w:cs="Arial"/>
          <w:b/>
          <w:sz w:val="24"/>
          <w:szCs w:val="24"/>
          <w:vertAlign w:val="superscript"/>
          <w:lang w:val="en-GB"/>
        </w:rPr>
        <w:t>rd</w:t>
      </w:r>
      <w:r>
        <w:rPr>
          <w:rFonts w:ascii="Arial" w:hAnsi="Arial" w:cs="Arial"/>
          <w:b/>
          <w:sz w:val="24"/>
          <w:szCs w:val="24"/>
          <w:lang w:val="en-GB"/>
        </w:rPr>
        <w:t xml:space="preserve"> Respondent</w:t>
      </w:r>
    </w:p>
    <w:p w14:paraId="7FACF329" w14:textId="77777777" w:rsidR="000A1C49" w:rsidRDefault="000A1C49" w:rsidP="000A1C49">
      <w:pPr>
        <w:spacing w:line="240" w:lineRule="auto"/>
        <w:rPr>
          <w:rFonts w:ascii="Arial" w:hAnsi="Arial" w:cs="Arial"/>
          <w:b/>
          <w:sz w:val="24"/>
          <w:szCs w:val="24"/>
          <w:lang w:val="en-GB"/>
        </w:rPr>
      </w:pPr>
    </w:p>
    <w:p w14:paraId="05EB1348" w14:textId="605AFC9F"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APEX VEHICLE RENTAL (PTY)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w:t>
      </w:r>
      <w:r w:rsidRPr="000A1C49">
        <w:rPr>
          <w:rFonts w:ascii="Arial" w:hAnsi="Arial" w:cs="Arial"/>
          <w:b/>
          <w:sz w:val="24"/>
          <w:szCs w:val="24"/>
          <w:vertAlign w:val="superscript"/>
          <w:lang w:val="en-GB"/>
        </w:rPr>
        <w:t>th</w:t>
      </w:r>
      <w:r>
        <w:rPr>
          <w:rFonts w:ascii="Arial" w:hAnsi="Arial" w:cs="Arial"/>
          <w:b/>
          <w:sz w:val="24"/>
          <w:szCs w:val="24"/>
          <w:lang w:val="en-GB"/>
        </w:rPr>
        <w:t xml:space="preserve"> Respondent</w:t>
      </w:r>
    </w:p>
    <w:p w14:paraId="336945AE" w14:textId="77777777"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68A2EE17" w14:textId="77777777" w:rsidR="000A1C49" w:rsidRDefault="000A1C49" w:rsidP="000A1C49">
      <w:pPr>
        <w:spacing w:line="240" w:lineRule="auto"/>
        <w:jc w:val="center"/>
        <w:rPr>
          <w:rFonts w:ascii="Arial" w:hAnsi="Arial" w:cs="Arial"/>
          <w:b/>
          <w:sz w:val="24"/>
          <w:szCs w:val="24"/>
          <w:lang w:val="en-GB"/>
        </w:rPr>
      </w:pPr>
      <w:r>
        <w:rPr>
          <w:rFonts w:ascii="Arial" w:hAnsi="Arial" w:cs="Arial"/>
          <w:b/>
          <w:sz w:val="24"/>
          <w:szCs w:val="24"/>
          <w:lang w:val="en-GB"/>
        </w:rPr>
        <w:t>JUDGMENT</w:t>
      </w:r>
    </w:p>
    <w:p w14:paraId="4D94C5F1" w14:textId="77777777" w:rsidR="000A1C49" w:rsidRDefault="000A1C49" w:rsidP="000A1C49">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5F7A835E" w14:textId="77777777" w:rsidR="000A1C49" w:rsidRDefault="000A1C49" w:rsidP="000A1C49">
      <w:pPr>
        <w:spacing w:line="480" w:lineRule="auto"/>
        <w:jc w:val="both"/>
        <w:rPr>
          <w:rFonts w:ascii="Arial" w:hAnsi="Arial" w:cs="Arial"/>
          <w:b/>
          <w:sz w:val="24"/>
          <w:szCs w:val="24"/>
          <w:lang w:val="en-GB"/>
        </w:rPr>
      </w:pPr>
      <w:r>
        <w:rPr>
          <w:rFonts w:ascii="Arial" w:hAnsi="Arial" w:cs="Arial"/>
          <w:b/>
          <w:sz w:val="24"/>
          <w:szCs w:val="24"/>
          <w:lang w:val="en-GB"/>
        </w:rPr>
        <w:t>JOLWANA J:</w:t>
      </w:r>
    </w:p>
    <w:p w14:paraId="425866D5" w14:textId="7046D53B" w:rsidR="000A1C49" w:rsidRPr="000A1C49" w:rsidRDefault="000A1C49" w:rsidP="000A1C49">
      <w:pPr>
        <w:spacing w:line="480" w:lineRule="auto"/>
        <w:jc w:val="both"/>
        <w:rPr>
          <w:rFonts w:ascii="Arial" w:hAnsi="Arial" w:cs="Arial"/>
          <w:bCs/>
          <w:i/>
          <w:iCs/>
          <w:sz w:val="24"/>
          <w:szCs w:val="24"/>
          <w:lang w:val="en-GB"/>
        </w:rPr>
      </w:pPr>
      <w:r w:rsidRPr="000A1C49">
        <w:rPr>
          <w:rFonts w:ascii="Arial" w:hAnsi="Arial" w:cs="Arial"/>
          <w:bCs/>
          <w:i/>
          <w:iCs/>
          <w:sz w:val="24"/>
          <w:szCs w:val="24"/>
          <w:lang w:val="en-GB"/>
        </w:rPr>
        <w:t>Introduction.</w:t>
      </w:r>
    </w:p>
    <w:p w14:paraId="097B8967" w14:textId="57A0484E" w:rsidR="000A1C49" w:rsidRDefault="000A1C49" w:rsidP="000A1C49">
      <w:pPr>
        <w:spacing w:line="480" w:lineRule="auto"/>
        <w:jc w:val="both"/>
        <w:rPr>
          <w:rFonts w:ascii="Arial" w:hAnsi="Arial" w:cs="Arial"/>
          <w:bCs/>
          <w:sz w:val="24"/>
          <w:szCs w:val="24"/>
          <w:lang w:val="en-GB"/>
        </w:rPr>
      </w:pPr>
      <w:r>
        <w:rPr>
          <w:rFonts w:ascii="Arial" w:hAnsi="Arial" w:cs="Arial"/>
          <w:bCs/>
          <w:sz w:val="24"/>
          <w:szCs w:val="24"/>
          <w:lang w:val="en-GB"/>
        </w:rPr>
        <w:t xml:space="preserve">[1] This application concerns </w:t>
      </w:r>
      <w:r w:rsidR="00C049AB">
        <w:rPr>
          <w:rFonts w:ascii="Arial" w:hAnsi="Arial" w:cs="Arial"/>
          <w:bCs/>
          <w:sz w:val="24"/>
          <w:szCs w:val="24"/>
          <w:lang w:val="en-GB"/>
        </w:rPr>
        <w:t xml:space="preserve">the enforcement of </w:t>
      </w:r>
      <w:r>
        <w:rPr>
          <w:rFonts w:ascii="Arial" w:hAnsi="Arial" w:cs="Arial"/>
          <w:bCs/>
          <w:sz w:val="24"/>
          <w:szCs w:val="24"/>
          <w:lang w:val="en-GB"/>
        </w:rPr>
        <w:t xml:space="preserve">restraint of trade agreements </w:t>
      </w:r>
      <w:r w:rsidR="00C049AB">
        <w:rPr>
          <w:rFonts w:ascii="Arial" w:hAnsi="Arial" w:cs="Arial"/>
          <w:bCs/>
          <w:sz w:val="24"/>
          <w:szCs w:val="24"/>
          <w:lang w:val="en-GB"/>
        </w:rPr>
        <w:t xml:space="preserve">contained in a trademark and systems sub-licence agreement (the sub-licence agreement) </w:t>
      </w:r>
      <w:r>
        <w:rPr>
          <w:rFonts w:ascii="Arial" w:hAnsi="Arial" w:cs="Arial"/>
          <w:bCs/>
          <w:sz w:val="24"/>
          <w:szCs w:val="24"/>
          <w:lang w:val="en-GB"/>
        </w:rPr>
        <w:t xml:space="preserve">and </w:t>
      </w:r>
      <w:r>
        <w:rPr>
          <w:rFonts w:ascii="Arial" w:hAnsi="Arial" w:cs="Arial"/>
          <w:bCs/>
          <w:sz w:val="24"/>
          <w:szCs w:val="24"/>
          <w:lang w:val="en-GB"/>
        </w:rPr>
        <w:lastRenderedPageBreak/>
        <w:t>agency agreements</w:t>
      </w:r>
      <w:r w:rsidR="00C049AB">
        <w:rPr>
          <w:rFonts w:ascii="Arial" w:hAnsi="Arial" w:cs="Arial"/>
          <w:bCs/>
          <w:sz w:val="24"/>
          <w:szCs w:val="24"/>
          <w:lang w:val="en-GB"/>
        </w:rPr>
        <w:t xml:space="preserve">. </w:t>
      </w:r>
      <w:r>
        <w:rPr>
          <w:rFonts w:ascii="Arial" w:hAnsi="Arial" w:cs="Arial"/>
          <w:bCs/>
          <w:sz w:val="24"/>
          <w:szCs w:val="24"/>
          <w:lang w:val="en-GB"/>
        </w:rPr>
        <w:t xml:space="preserve"> </w:t>
      </w:r>
      <w:r w:rsidR="00C049AB">
        <w:rPr>
          <w:rFonts w:ascii="Arial" w:hAnsi="Arial" w:cs="Arial"/>
          <w:bCs/>
          <w:sz w:val="24"/>
          <w:szCs w:val="24"/>
          <w:lang w:val="en-GB"/>
        </w:rPr>
        <w:t>The</w:t>
      </w:r>
      <w:r>
        <w:rPr>
          <w:rFonts w:ascii="Arial" w:hAnsi="Arial" w:cs="Arial"/>
          <w:bCs/>
          <w:sz w:val="24"/>
          <w:szCs w:val="24"/>
          <w:lang w:val="en-GB"/>
        </w:rPr>
        <w:t xml:space="preserve"> restraint of trade provisions </w:t>
      </w:r>
      <w:r w:rsidR="00230879">
        <w:rPr>
          <w:rFonts w:ascii="Arial" w:hAnsi="Arial" w:cs="Arial"/>
          <w:bCs/>
          <w:sz w:val="24"/>
          <w:szCs w:val="24"/>
          <w:lang w:val="en-GB"/>
        </w:rPr>
        <w:t>are sought to be enforced by way of a</w:t>
      </w:r>
      <w:r w:rsidR="00C049AB">
        <w:rPr>
          <w:rFonts w:ascii="Arial" w:hAnsi="Arial" w:cs="Arial"/>
          <w:bCs/>
          <w:sz w:val="24"/>
          <w:szCs w:val="24"/>
          <w:lang w:val="en-GB"/>
        </w:rPr>
        <w:t>n urgent</w:t>
      </w:r>
      <w:r w:rsidR="00230879">
        <w:rPr>
          <w:rFonts w:ascii="Arial" w:hAnsi="Arial" w:cs="Arial"/>
          <w:bCs/>
          <w:sz w:val="24"/>
          <w:szCs w:val="24"/>
          <w:lang w:val="en-GB"/>
        </w:rPr>
        <w:t xml:space="preserve"> </w:t>
      </w:r>
      <w:r w:rsidR="00086F6E">
        <w:rPr>
          <w:rFonts w:ascii="Arial" w:hAnsi="Arial" w:cs="Arial"/>
          <w:bCs/>
          <w:sz w:val="24"/>
          <w:szCs w:val="24"/>
          <w:lang w:val="en-GB"/>
        </w:rPr>
        <w:t xml:space="preserve">permanent interdict.  The papers were issued </w:t>
      </w:r>
      <w:r w:rsidR="00BE0AFB">
        <w:rPr>
          <w:rFonts w:ascii="Arial" w:hAnsi="Arial" w:cs="Arial"/>
          <w:bCs/>
          <w:sz w:val="24"/>
          <w:szCs w:val="24"/>
          <w:lang w:val="en-GB"/>
        </w:rPr>
        <w:t xml:space="preserve">on an </w:t>
      </w:r>
      <w:r w:rsidR="00086F6E">
        <w:rPr>
          <w:rFonts w:ascii="Arial" w:hAnsi="Arial" w:cs="Arial"/>
          <w:bCs/>
          <w:sz w:val="24"/>
          <w:szCs w:val="24"/>
          <w:lang w:val="en-GB"/>
        </w:rPr>
        <w:t xml:space="preserve">urgent basis on the 08 </w:t>
      </w:r>
      <w:r w:rsidR="007D72A3">
        <w:rPr>
          <w:rFonts w:ascii="Arial" w:hAnsi="Arial" w:cs="Arial"/>
          <w:bCs/>
          <w:sz w:val="24"/>
          <w:szCs w:val="24"/>
          <w:lang w:val="en-GB"/>
        </w:rPr>
        <w:t>September</w:t>
      </w:r>
      <w:r w:rsidR="00086F6E">
        <w:rPr>
          <w:rFonts w:ascii="Arial" w:hAnsi="Arial" w:cs="Arial"/>
          <w:bCs/>
          <w:sz w:val="24"/>
          <w:szCs w:val="24"/>
          <w:lang w:val="en-GB"/>
        </w:rPr>
        <w:t xml:space="preserve"> 2023 with</w:t>
      </w:r>
      <w:r w:rsidR="005C343B">
        <w:rPr>
          <w:rFonts w:ascii="Arial" w:hAnsi="Arial" w:cs="Arial"/>
          <w:bCs/>
          <w:sz w:val="24"/>
          <w:szCs w:val="24"/>
          <w:lang w:val="en-GB"/>
        </w:rPr>
        <w:t xml:space="preserve"> acutely</w:t>
      </w:r>
      <w:r w:rsidR="00086F6E">
        <w:rPr>
          <w:rFonts w:ascii="Arial" w:hAnsi="Arial" w:cs="Arial"/>
          <w:bCs/>
          <w:sz w:val="24"/>
          <w:szCs w:val="24"/>
          <w:lang w:val="en-GB"/>
        </w:rPr>
        <w:t xml:space="preserve"> truncated time frames</w:t>
      </w:r>
      <w:r w:rsidR="00C049AB">
        <w:rPr>
          <w:rFonts w:ascii="Arial" w:hAnsi="Arial" w:cs="Arial"/>
          <w:bCs/>
          <w:sz w:val="24"/>
          <w:szCs w:val="24"/>
          <w:lang w:val="en-GB"/>
        </w:rPr>
        <w:t>,</w:t>
      </w:r>
      <w:r w:rsidR="00086F6E">
        <w:rPr>
          <w:rFonts w:ascii="Arial" w:hAnsi="Arial" w:cs="Arial"/>
          <w:bCs/>
          <w:sz w:val="24"/>
          <w:szCs w:val="24"/>
          <w:lang w:val="en-GB"/>
        </w:rPr>
        <w:t xml:space="preserve"> the intended date of hearing being set out as the 3 October 2023.  However, </w:t>
      </w:r>
      <w:r w:rsidR="00C049AB">
        <w:rPr>
          <w:rFonts w:ascii="Arial" w:hAnsi="Arial" w:cs="Arial"/>
          <w:bCs/>
          <w:sz w:val="24"/>
          <w:szCs w:val="24"/>
          <w:lang w:val="en-GB"/>
        </w:rPr>
        <w:t>the application</w:t>
      </w:r>
      <w:r w:rsidR="00086F6E">
        <w:rPr>
          <w:rFonts w:ascii="Arial" w:hAnsi="Arial" w:cs="Arial"/>
          <w:bCs/>
          <w:sz w:val="24"/>
          <w:szCs w:val="24"/>
          <w:lang w:val="en-GB"/>
        </w:rPr>
        <w:t xml:space="preserve"> was ultimately heard on 26 October 2023, almost two months later</w:t>
      </w:r>
      <w:r w:rsidR="007D72A3">
        <w:rPr>
          <w:rFonts w:ascii="Arial" w:hAnsi="Arial" w:cs="Arial"/>
          <w:bCs/>
          <w:sz w:val="24"/>
          <w:szCs w:val="24"/>
          <w:lang w:val="en-GB"/>
        </w:rPr>
        <w:t xml:space="preserve">. </w:t>
      </w:r>
      <w:r w:rsidR="00086F6E">
        <w:rPr>
          <w:rFonts w:ascii="Arial" w:hAnsi="Arial" w:cs="Arial"/>
          <w:bCs/>
          <w:sz w:val="24"/>
          <w:szCs w:val="24"/>
          <w:lang w:val="en-GB"/>
        </w:rPr>
        <w:t xml:space="preserve"> </w:t>
      </w:r>
      <w:r w:rsidR="00C049AB">
        <w:rPr>
          <w:rFonts w:ascii="Arial" w:hAnsi="Arial" w:cs="Arial"/>
          <w:bCs/>
          <w:sz w:val="24"/>
          <w:szCs w:val="24"/>
          <w:lang w:val="en-GB"/>
        </w:rPr>
        <w:t xml:space="preserve">Not only is the application </w:t>
      </w:r>
      <w:r w:rsidR="00E13C30">
        <w:rPr>
          <w:rFonts w:ascii="Arial" w:hAnsi="Arial" w:cs="Arial"/>
          <w:bCs/>
          <w:sz w:val="24"/>
          <w:szCs w:val="24"/>
          <w:lang w:val="en-GB"/>
        </w:rPr>
        <w:t>o</w:t>
      </w:r>
      <w:r w:rsidR="00C049AB">
        <w:rPr>
          <w:rFonts w:ascii="Arial" w:hAnsi="Arial" w:cs="Arial"/>
          <w:bCs/>
          <w:sz w:val="24"/>
          <w:szCs w:val="24"/>
          <w:lang w:val="en-GB"/>
        </w:rPr>
        <w:t>pposed but also</w:t>
      </w:r>
      <w:r w:rsidR="00C55BE5">
        <w:rPr>
          <w:rFonts w:ascii="Arial" w:hAnsi="Arial" w:cs="Arial"/>
          <w:bCs/>
          <w:sz w:val="24"/>
          <w:szCs w:val="24"/>
          <w:lang w:val="en-GB"/>
        </w:rPr>
        <w:t xml:space="preserve"> t</w:t>
      </w:r>
      <w:r w:rsidR="00086F6E">
        <w:rPr>
          <w:rFonts w:ascii="Arial" w:hAnsi="Arial" w:cs="Arial"/>
          <w:bCs/>
          <w:sz w:val="24"/>
          <w:szCs w:val="24"/>
          <w:lang w:val="en-GB"/>
        </w:rPr>
        <w:t xml:space="preserve">he issue of urgency </w:t>
      </w:r>
      <w:r w:rsidR="007D72A3">
        <w:rPr>
          <w:rFonts w:ascii="Arial" w:hAnsi="Arial" w:cs="Arial"/>
          <w:bCs/>
          <w:sz w:val="24"/>
          <w:szCs w:val="24"/>
          <w:lang w:val="en-GB"/>
        </w:rPr>
        <w:t xml:space="preserve">is being strenuously </w:t>
      </w:r>
      <w:r w:rsidR="008C6724">
        <w:rPr>
          <w:rFonts w:ascii="Arial" w:hAnsi="Arial" w:cs="Arial"/>
          <w:bCs/>
          <w:sz w:val="24"/>
          <w:szCs w:val="24"/>
          <w:lang w:val="en-GB"/>
        </w:rPr>
        <w:t>contested</w:t>
      </w:r>
      <w:r w:rsidR="00086F6E">
        <w:rPr>
          <w:rFonts w:ascii="Arial" w:hAnsi="Arial" w:cs="Arial"/>
          <w:bCs/>
          <w:sz w:val="24"/>
          <w:szCs w:val="24"/>
          <w:lang w:val="en-GB"/>
        </w:rPr>
        <w:t xml:space="preserve">.  </w:t>
      </w:r>
    </w:p>
    <w:p w14:paraId="5B111DCB" w14:textId="674BC183" w:rsidR="00B05587" w:rsidRDefault="00B05587"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parties.</w:t>
      </w:r>
    </w:p>
    <w:p w14:paraId="4FC19E85" w14:textId="531EAB38" w:rsidR="00B05587" w:rsidRDefault="00B05587" w:rsidP="000A1C49">
      <w:pPr>
        <w:spacing w:line="480" w:lineRule="auto"/>
        <w:jc w:val="both"/>
        <w:rPr>
          <w:rFonts w:ascii="Arial" w:hAnsi="Arial" w:cs="Arial"/>
          <w:bCs/>
          <w:sz w:val="24"/>
          <w:szCs w:val="24"/>
          <w:lang w:val="en-GB"/>
        </w:rPr>
      </w:pPr>
      <w:r>
        <w:rPr>
          <w:rFonts w:ascii="Arial" w:hAnsi="Arial" w:cs="Arial"/>
          <w:bCs/>
          <w:sz w:val="24"/>
          <w:szCs w:val="24"/>
          <w:lang w:val="en-GB"/>
        </w:rPr>
        <w:t xml:space="preserve">[2] The applicant is a well-known player in the vehicle rental business which it conducts through </w:t>
      </w:r>
      <w:r w:rsidR="005C5C7C">
        <w:rPr>
          <w:rFonts w:ascii="Arial" w:hAnsi="Arial" w:cs="Arial"/>
          <w:bCs/>
          <w:sz w:val="24"/>
          <w:szCs w:val="24"/>
          <w:lang w:val="en-GB"/>
        </w:rPr>
        <w:t>the</w:t>
      </w:r>
      <w:r>
        <w:rPr>
          <w:rFonts w:ascii="Arial" w:hAnsi="Arial" w:cs="Arial"/>
          <w:bCs/>
          <w:sz w:val="24"/>
          <w:szCs w:val="24"/>
          <w:lang w:val="en-GB"/>
        </w:rPr>
        <w:t xml:space="preserve"> vehicle rental </w:t>
      </w:r>
      <w:r w:rsidR="00C55BE5">
        <w:rPr>
          <w:rFonts w:ascii="Arial" w:hAnsi="Arial" w:cs="Arial"/>
          <w:bCs/>
          <w:sz w:val="24"/>
          <w:szCs w:val="24"/>
          <w:lang w:val="en-GB"/>
        </w:rPr>
        <w:t>trade name</w:t>
      </w:r>
      <w:r>
        <w:rPr>
          <w:rFonts w:ascii="Arial" w:hAnsi="Arial" w:cs="Arial"/>
          <w:bCs/>
          <w:sz w:val="24"/>
          <w:szCs w:val="24"/>
          <w:lang w:val="en-GB"/>
        </w:rPr>
        <w:t xml:space="preserve"> commonly known as Avis.  It acquired the rights to use trademarks </w:t>
      </w:r>
      <w:r w:rsidR="00AC362C">
        <w:rPr>
          <w:rFonts w:ascii="Arial" w:hAnsi="Arial" w:cs="Arial"/>
          <w:bCs/>
          <w:sz w:val="24"/>
          <w:szCs w:val="24"/>
          <w:lang w:val="en-GB"/>
        </w:rPr>
        <w:t>and systems of Avis International as a sub-licensor for Africa.</w:t>
      </w:r>
      <w:r w:rsidR="006218BD">
        <w:rPr>
          <w:rFonts w:ascii="Arial" w:hAnsi="Arial" w:cs="Arial"/>
          <w:bCs/>
          <w:sz w:val="24"/>
          <w:szCs w:val="24"/>
          <w:lang w:val="en-GB"/>
        </w:rPr>
        <w:t xml:space="preserve">  Its vehicle rental business includes inter alia, </w:t>
      </w:r>
      <w:r w:rsidR="00C55BE5">
        <w:rPr>
          <w:rFonts w:ascii="Arial" w:hAnsi="Arial" w:cs="Arial"/>
          <w:bCs/>
          <w:sz w:val="24"/>
          <w:szCs w:val="24"/>
          <w:lang w:val="en-GB"/>
        </w:rPr>
        <w:t>V</w:t>
      </w:r>
      <w:r w:rsidR="006218BD">
        <w:rPr>
          <w:rFonts w:ascii="Arial" w:hAnsi="Arial" w:cs="Arial"/>
          <w:bCs/>
          <w:sz w:val="24"/>
          <w:szCs w:val="24"/>
          <w:lang w:val="en-GB"/>
        </w:rPr>
        <w:t xml:space="preserve">an Rentals, Avis Rent A </w:t>
      </w:r>
      <w:proofErr w:type="gramStart"/>
      <w:r w:rsidR="006218BD">
        <w:rPr>
          <w:rFonts w:ascii="Arial" w:hAnsi="Arial" w:cs="Arial"/>
          <w:bCs/>
          <w:sz w:val="24"/>
          <w:szCs w:val="24"/>
          <w:lang w:val="en-GB"/>
        </w:rPr>
        <w:t>Car</w:t>
      </w:r>
      <w:proofErr w:type="gramEnd"/>
      <w:r w:rsidR="006218BD">
        <w:rPr>
          <w:rFonts w:ascii="Arial" w:hAnsi="Arial" w:cs="Arial"/>
          <w:bCs/>
          <w:sz w:val="24"/>
          <w:szCs w:val="24"/>
          <w:lang w:val="en-GB"/>
        </w:rPr>
        <w:t xml:space="preserve"> and Budget Rent A Car.  It conducts its business </w:t>
      </w:r>
      <w:r w:rsidR="00C55BE5">
        <w:rPr>
          <w:rFonts w:ascii="Arial" w:hAnsi="Arial" w:cs="Arial"/>
          <w:bCs/>
          <w:sz w:val="24"/>
          <w:szCs w:val="24"/>
          <w:lang w:val="en-GB"/>
        </w:rPr>
        <w:t xml:space="preserve">as such </w:t>
      </w:r>
      <w:r w:rsidR="006218BD">
        <w:rPr>
          <w:rFonts w:ascii="Arial" w:hAnsi="Arial" w:cs="Arial"/>
          <w:bCs/>
          <w:sz w:val="24"/>
          <w:szCs w:val="24"/>
          <w:lang w:val="en-GB"/>
        </w:rPr>
        <w:t>throughout the Republic of South Africa by concluding sub-licensing agreements and agency agreements with sub-licen</w:t>
      </w:r>
      <w:r w:rsidR="007D72A3">
        <w:rPr>
          <w:rFonts w:ascii="Arial" w:hAnsi="Arial" w:cs="Arial"/>
          <w:bCs/>
          <w:sz w:val="24"/>
          <w:szCs w:val="24"/>
          <w:lang w:val="en-GB"/>
        </w:rPr>
        <w:t>c</w:t>
      </w:r>
      <w:r w:rsidR="006218BD">
        <w:rPr>
          <w:rFonts w:ascii="Arial" w:hAnsi="Arial" w:cs="Arial"/>
          <w:bCs/>
          <w:sz w:val="24"/>
          <w:szCs w:val="24"/>
          <w:lang w:val="en-GB"/>
        </w:rPr>
        <w:t>e</w:t>
      </w:r>
      <w:r w:rsidR="00C55BE5">
        <w:rPr>
          <w:rFonts w:ascii="Arial" w:hAnsi="Arial" w:cs="Arial"/>
          <w:bCs/>
          <w:sz w:val="24"/>
          <w:szCs w:val="24"/>
          <w:lang w:val="en-GB"/>
        </w:rPr>
        <w:t>e</w:t>
      </w:r>
      <w:r w:rsidR="006218BD">
        <w:rPr>
          <w:rFonts w:ascii="Arial" w:hAnsi="Arial" w:cs="Arial"/>
          <w:bCs/>
          <w:sz w:val="24"/>
          <w:szCs w:val="24"/>
          <w:lang w:val="en-GB"/>
        </w:rPr>
        <w:t>s and agents.  These agreements</w:t>
      </w:r>
      <w:r w:rsidR="00C55BE5">
        <w:rPr>
          <w:rFonts w:ascii="Arial" w:hAnsi="Arial" w:cs="Arial"/>
          <w:bCs/>
          <w:sz w:val="24"/>
          <w:szCs w:val="24"/>
          <w:lang w:val="en-GB"/>
        </w:rPr>
        <w:t>,</w:t>
      </w:r>
      <w:r w:rsidR="006218BD">
        <w:rPr>
          <w:rFonts w:ascii="Arial" w:hAnsi="Arial" w:cs="Arial"/>
          <w:bCs/>
          <w:sz w:val="24"/>
          <w:szCs w:val="24"/>
          <w:lang w:val="en-GB"/>
        </w:rPr>
        <w:t xml:space="preserve"> </w:t>
      </w:r>
      <w:r w:rsidR="007D72A3" w:rsidRPr="007D72A3">
        <w:rPr>
          <w:rFonts w:ascii="Arial" w:hAnsi="Arial" w:cs="Arial"/>
          <w:bCs/>
          <w:i/>
          <w:iCs/>
          <w:sz w:val="24"/>
          <w:szCs w:val="24"/>
          <w:lang w:val="en-GB"/>
        </w:rPr>
        <w:t>inter alia</w:t>
      </w:r>
      <w:r w:rsidR="00C55BE5">
        <w:rPr>
          <w:rFonts w:ascii="Arial" w:hAnsi="Arial" w:cs="Arial"/>
          <w:bCs/>
          <w:i/>
          <w:iCs/>
          <w:sz w:val="24"/>
          <w:szCs w:val="24"/>
          <w:lang w:val="en-GB"/>
        </w:rPr>
        <w:t>,</w:t>
      </w:r>
      <w:r w:rsidR="007D72A3">
        <w:rPr>
          <w:rFonts w:ascii="Arial" w:hAnsi="Arial" w:cs="Arial"/>
          <w:bCs/>
          <w:sz w:val="24"/>
          <w:szCs w:val="24"/>
          <w:lang w:val="en-GB"/>
        </w:rPr>
        <w:t xml:space="preserve"> </w:t>
      </w:r>
      <w:r w:rsidR="006218BD">
        <w:rPr>
          <w:rFonts w:ascii="Arial" w:hAnsi="Arial" w:cs="Arial"/>
          <w:bCs/>
          <w:sz w:val="24"/>
          <w:szCs w:val="24"/>
          <w:lang w:val="en-GB"/>
        </w:rPr>
        <w:t>provide for the applicant providing logistical</w:t>
      </w:r>
      <w:r w:rsidR="00C55BE5">
        <w:rPr>
          <w:rFonts w:ascii="Arial" w:hAnsi="Arial" w:cs="Arial"/>
          <w:bCs/>
          <w:sz w:val="24"/>
          <w:szCs w:val="24"/>
          <w:lang w:val="en-GB"/>
        </w:rPr>
        <w:t xml:space="preserve">, </w:t>
      </w:r>
      <w:proofErr w:type="gramStart"/>
      <w:r w:rsidR="00C55BE5">
        <w:rPr>
          <w:rFonts w:ascii="Arial" w:hAnsi="Arial" w:cs="Arial"/>
          <w:bCs/>
          <w:sz w:val="24"/>
          <w:szCs w:val="24"/>
          <w:lang w:val="en-GB"/>
        </w:rPr>
        <w:t>administrative</w:t>
      </w:r>
      <w:proofErr w:type="gramEnd"/>
      <w:r w:rsidR="00C55BE5">
        <w:rPr>
          <w:rFonts w:ascii="Arial" w:hAnsi="Arial" w:cs="Arial"/>
          <w:bCs/>
          <w:sz w:val="24"/>
          <w:szCs w:val="24"/>
          <w:lang w:val="en-GB"/>
        </w:rPr>
        <w:t xml:space="preserve"> and financial</w:t>
      </w:r>
      <w:r w:rsidR="006218BD">
        <w:rPr>
          <w:rFonts w:ascii="Arial" w:hAnsi="Arial" w:cs="Arial"/>
          <w:bCs/>
          <w:sz w:val="24"/>
          <w:szCs w:val="24"/>
          <w:lang w:val="en-GB"/>
        </w:rPr>
        <w:t xml:space="preserve"> support to its sub-licen</w:t>
      </w:r>
      <w:r w:rsidR="007D72A3">
        <w:rPr>
          <w:rFonts w:ascii="Arial" w:hAnsi="Arial" w:cs="Arial"/>
          <w:bCs/>
          <w:sz w:val="24"/>
          <w:szCs w:val="24"/>
          <w:lang w:val="en-GB"/>
        </w:rPr>
        <w:t>c</w:t>
      </w:r>
      <w:r w:rsidR="006218BD">
        <w:rPr>
          <w:rFonts w:ascii="Arial" w:hAnsi="Arial" w:cs="Arial"/>
          <w:bCs/>
          <w:sz w:val="24"/>
          <w:szCs w:val="24"/>
          <w:lang w:val="en-GB"/>
        </w:rPr>
        <w:t>e</w:t>
      </w:r>
      <w:r w:rsidR="00C55BE5">
        <w:rPr>
          <w:rFonts w:ascii="Arial" w:hAnsi="Arial" w:cs="Arial"/>
          <w:bCs/>
          <w:sz w:val="24"/>
          <w:szCs w:val="24"/>
          <w:lang w:val="en-GB"/>
        </w:rPr>
        <w:t>e</w:t>
      </w:r>
      <w:r w:rsidR="006218BD">
        <w:rPr>
          <w:rFonts w:ascii="Arial" w:hAnsi="Arial" w:cs="Arial"/>
          <w:bCs/>
          <w:sz w:val="24"/>
          <w:szCs w:val="24"/>
          <w:lang w:val="en-GB"/>
        </w:rPr>
        <w:t>s and agents.  In turn</w:t>
      </w:r>
      <w:r w:rsidR="00C55BE5">
        <w:rPr>
          <w:rFonts w:ascii="Arial" w:hAnsi="Arial" w:cs="Arial"/>
          <w:bCs/>
          <w:sz w:val="24"/>
          <w:szCs w:val="24"/>
          <w:lang w:val="en-GB"/>
        </w:rPr>
        <w:t>,</w:t>
      </w:r>
      <w:r w:rsidR="006218BD">
        <w:rPr>
          <w:rFonts w:ascii="Arial" w:hAnsi="Arial" w:cs="Arial"/>
          <w:bCs/>
          <w:sz w:val="24"/>
          <w:szCs w:val="24"/>
          <w:lang w:val="en-GB"/>
        </w:rPr>
        <w:t xml:space="preserve"> the sub-licen</w:t>
      </w:r>
      <w:r w:rsidR="007D72A3">
        <w:rPr>
          <w:rFonts w:ascii="Arial" w:hAnsi="Arial" w:cs="Arial"/>
          <w:bCs/>
          <w:sz w:val="24"/>
          <w:szCs w:val="24"/>
          <w:lang w:val="en-GB"/>
        </w:rPr>
        <w:t>c</w:t>
      </w:r>
      <w:r w:rsidR="006218BD">
        <w:rPr>
          <w:rFonts w:ascii="Arial" w:hAnsi="Arial" w:cs="Arial"/>
          <w:bCs/>
          <w:sz w:val="24"/>
          <w:szCs w:val="24"/>
          <w:lang w:val="en-GB"/>
        </w:rPr>
        <w:t>e</w:t>
      </w:r>
      <w:r w:rsidR="00C55BE5">
        <w:rPr>
          <w:rFonts w:ascii="Arial" w:hAnsi="Arial" w:cs="Arial"/>
          <w:bCs/>
          <w:sz w:val="24"/>
          <w:szCs w:val="24"/>
          <w:lang w:val="en-GB"/>
        </w:rPr>
        <w:t>e</w:t>
      </w:r>
      <w:r w:rsidR="006218BD">
        <w:rPr>
          <w:rFonts w:ascii="Arial" w:hAnsi="Arial" w:cs="Arial"/>
          <w:bCs/>
          <w:sz w:val="24"/>
          <w:szCs w:val="24"/>
          <w:lang w:val="en-GB"/>
        </w:rPr>
        <w:t xml:space="preserve">s and agents pay the applicant a portion of the revenue they generate under the banner of Avis.  </w:t>
      </w:r>
    </w:p>
    <w:p w14:paraId="062BBAAE" w14:textId="7FF00630" w:rsidR="006218BD" w:rsidRDefault="006218BD" w:rsidP="000A1C49">
      <w:pPr>
        <w:spacing w:line="480" w:lineRule="auto"/>
        <w:jc w:val="both"/>
        <w:rPr>
          <w:rFonts w:ascii="Arial" w:hAnsi="Arial" w:cs="Arial"/>
          <w:bCs/>
          <w:sz w:val="24"/>
          <w:szCs w:val="24"/>
          <w:lang w:val="en-GB"/>
        </w:rPr>
      </w:pPr>
      <w:r>
        <w:rPr>
          <w:rFonts w:ascii="Arial" w:hAnsi="Arial" w:cs="Arial"/>
          <w:bCs/>
          <w:sz w:val="24"/>
          <w:szCs w:val="24"/>
          <w:lang w:val="en-GB"/>
        </w:rPr>
        <w:t>[3] The first respondent conduct</w:t>
      </w:r>
      <w:r w:rsidR="00830795">
        <w:rPr>
          <w:rFonts w:ascii="Arial" w:hAnsi="Arial" w:cs="Arial"/>
          <w:bCs/>
          <w:sz w:val="24"/>
          <w:szCs w:val="24"/>
          <w:lang w:val="en-GB"/>
        </w:rPr>
        <w:t>ed</w:t>
      </w:r>
      <w:r>
        <w:rPr>
          <w:rFonts w:ascii="Arial" w:hAnsi="Arial" w:cs="Arial"/>
          <w:bCs/>
          <w:sz w:val="24"/>
          <w:szCs w:val="24"/>
          <w:lang w:val="en-GB"/>
        </w:rPr>
        <w:t xml:space="preserve"> its business under the banner of Avis Van Rental, Eastern Cape with its principal place of business at no.125 Albert Road, </w:t>
      </w:r>
      <w:proofErr w:type="spellStart"/>
      <w:r>
        <w:rPr>
          <w:rFonts w:ascii="Arial" w:hAnsi="Arial" w:cs="Arial"/>
          <w:bCs/>
          <w:sz w:val="24"/>
          <w:szCs w:val="24"/>
          <w:lang w:val="en-GB"/>
        </w:rPr>
        <w:t>Walmer</w:t>
      </w:r>
      <w:proofErr w:type="spellEnd"/>
      <w:r>
        <w:rPr>
          <w:rFonts w:ascii="Arial" w:hAnsi="Arial" w:cs="Arial"/>
          <w:bCs/>
          <w:sz w:val="24"/>
          <w:szCs w:val="24"/>
          <w:lang w:val="en-GB"/>
        </w:rPr>
        <w:t xml:space="preserve">, </w:t>
      </w:r>
      <w:proofErr w:type="spellStart"/>
      <w:r>
        <w:rPr>
          <w:rFonts w:ascii="Arial" w:hAnsi="Arial" w:cs="Arial"/>
          <w:bCs/>
          <w:sz w:val="24"/>
          <w:szCs w:val="24"/>
          <w:lang w:val="en-GB"/>
        </w:rPr>
        <w:t>Gqeberha</w:t>
      </w:r>
      <w:proofErr w:type="spellEnd"/>
      <w:r>
        <w:rPr>
          <w:rFonts w:ascii="Arial" w:hAnsi="Arial" w:cs="Arial"/>
          <w:bCs/>
          <w:sz w:val="24"/>
          <w:szCs w:val="24"/>
          <w:lang w:val="en-GB"/>
        </w:rPr>
        <w:t xml:space="preserve"> in the Eastern Cape.  It </w:t>
      </w:r>
      <w:r w:rsidR="00EB1AC0">
        <w:rPr>
          <w:rFonts w:ascii="Arial" w:hAnsi="Arial" w:cs="Arial"/>
          <w:bCs/>
          <w:sz w:val="24"/>
          <w:szCs w:val="24"/>
          <w:lang w:val="en-GB"/>
        </w:rPr>
        <w:t>was</w:t>
      </w:r>
      <w:r>
        <w:rPr>
          <w:rFonts w:ascii="Arial" w:hAnsi="Arial" w:cs="Arial"/>
          <w:bCs/>
          <w:sz w:val="24"/>
          <w:szCs w:val="24"/>
          <w:lang w:val="en-GB"/>
        </w:rPr>
        <w:t xml:space="preserve"> a sub-licen</w:t>
      </w:r>
      <w:r w:rsidR="007D72A3">
        <w:rPr>
          <w:rFonts w:ascii="Arial" w:hAnsi="Arial" w:cs="Arial"/>
          <w:bCs/>
          <w:sz w:val="24"/>
          <w:szCs w:val="24"/>
          <w:lang w:val="en-GB"/>
        </w:rPr>
        <w:t>c</w:t>
      </w:r>
      <w:r w:rsidR="00C55BE5">
        <w:rPr>
          <w:rFonts w:ascii="Arial" w:hAnsi="Arial" w:cs="Arial"/>
          <w:bCs/>
          <w:sz w:val="24"/>
          <w:szCs w:val="24"/>
          <w:lang w:val="en-GB"/>
        </w:rPr>
        <w:t>e</w:t>
      </w:r>
      <w:r>
        <w:rPr>
          <w:rFonts w:ascii="Arial" w:hAnsi="Arial" w:cs="Arial"/>
          <w:bCs/>
          <w:sz w:val="24"/>
          <w:szCs w:val="24"/>
          <w:lang w:val="en-GB"/>
        </w:rPr>
        <w:t>e and agent of the applicant and carrie</w:t>
      </w:r>
      <w:r w:rsidR="00EB4070">
        <w:rPr>
          <w:rFonts w:ascii="Arial" w:hAnsi="Arial" w:cs="Arial"/>
          <w:bCs/>
          <w:sz w:val="24"/>
          <w:szCs w:val="24"/>
          <w:lang w:val="en-GB"/>
        </w:rPr>
        <w:t>d</w:t>
      </w:r>
      <w:r>
        <w:rPr>
          <w:rFonts w:ascii="Arial" w:hAnsi="Arial" w:cs="Arial"/>
          <w:bCs/>
          <w:sz w:val="24"/>
          <w:szCs w:val="24"/>
          <w:lang w:val="en-GB"/>
        </w:rPr>
        <w:t xml:space="preserve"> on its vehicle rental business as Avis, East London, Eastern Cape.</w:t>
      </w:r>
    </w:p>
    <w:p w14:paraId="476F2DAB" w14:textId="4CBD6072" w:rsidR="00F95B1F" w:rsidRDefault="006218BD" w:rsidP="000A1C49">
      <w:pPr>
        <w:spacing w:line="480" w:lineRule="auto"/>
        <w:jc w:val="both"/>
        <w:rPr>
          <w:rFonts w:ascii="Arial" w:hAnsi="Arial" w:cs="Arial"/>
          <w:bCs/>
          <w:sz w:val="24"/>
          <w:szCs w:val="24"/>
          <w:lang w:val="en-GB"/>
        </w:rPr>
      </w:pPr>
      <w:r>
        <w:rPr>
          <w:rFonts w:ascii="Arial" w:hAnsi="Arial" w:cs="Arial"/>
          <w:bCs/>
          <w:sz w:val="24"/>
          <w:szCs w:val="24"/>
          <w:lang w:val="en-GB"/>
        </w:rPr>
        <w:t>[4] The second respondent trade</w:t>
      </w:r>
      <w:r w:rsidR="00C55BE5">
        <w:rPr>
          <w:rFonts w:ascii="Arial" w:hAnsi="Arial" w:cs="Arial"/>
          <w:bCs/>
          <w:sz w:val="24"/>
          <w:szCs w:val="24"/>
          <w:lang w:val="en-GB"/>
        </w:rPr>
        <w:t>d</w:t>
      </w:r>
      <w:r>
        <w:rPr>
          <w:rFonts w:ascii="Arial" w:hAnsi="Arial" w:cs="Arial"/>
          <w:bCs/>
          <w:sz w:val="24"/>
          <w:szCs w:val="24"/>
          <w:lang w:val="en-GB"/>
        </w:rPr>
        <w:t xml:space="preserve"> as Avis</w:t>
      </w:r>
      <w:r w:rsidR="00CC3535">
        <w:rPr>
          <w:rFonts w:ascii="Arial" w:hAnsi="Arial" w:cs="Arial"/>
          <w:bCs/>
          <w:sz w:val="24"/>
          <w:szCs w:val="24"/>
          <w:lang w:val="en-GB"/>
        </w:rPr>
        <w:t xml:space="preserve"> Van</w:t>
      </w:r>
      <w:r>
        <w:rPr>
          <w:rFonts w:ascii="Arial" w:hAnsi="Arial" w:cs="Arial"/>
          <w:bCs/>
          <w:sz w:val="24"/>
          <w:szCs w:val="24"/>
          <w:lang w:val="en-GB"/>
        </w:rPr>
        <w:t xml:space="preserve"> Rental</w:t>
      </w:r>
      <w:r w:rsidR="00F95B1F">
        <w:rPr>
          <w:rFonts w:ascii="Arial" w:hAnsi="Arial" w:cs="Arial"/>
          <w:bCs/>
          <w:sz w:val="24"/>
          <w:szCs w:val="24"/>
          <w:lang w:val="en-GB"/>
        </w:rPr>
        <w:t>,</w:t>
      </w:r>
      <w:r>
        <w:rPr>
          <w:rFonts w:ascii="Arial" w:hAnsi="Arial" w:cs="Arial"/>
          <w:bCs/>
          <w:sz w:val="24"/>
          <w:szCs w:val="24"/>
          <w:lang w:val="en-GB"/>
        </w:rPr>
        <w:t xml:space="preserve"> Southern Cape with </w:t>
      </w:r>
      <w:r w:rsidR="00344B29">
        <w:rPr>
          <w:rFonts w:ascii="Arial" w:hAnsi="Arial" w:cs="Arial"/>
          <w:bCs/>
          <w:sz w:val="24"/>
          <w:szCs w:val="24"/>
          <w:lang w:val="en-GB"/>
        </w:rPr>
        <w:t xml:space="preserve">its principal place of business also at 125 Albert Road, </w:t>
      </w:r>
      <w:proofErr w:type="spellStart"/>
      <w:r w:rsidR="00344B29">
        <w:rPr>
          <w:rFonts w:ascii="Arial" w:hAnsi="Arial" w:cs="Arial"/>
          <w:bCs/>
          <w:sz w:val="24"/>
          <w:szCs w:val="24"/>
          <w:lang w:val="en-GB"/>
        </w:rPr>
        <w:t>W</w:t>
      </w:r>
      <w:r w:rsidR="00F95B1F">
        <w:rPr>
          <w:rFonts w:ascii="Arial" w:hAnsi="Arial" w:cs="Arial"/>
          <w:bCs/>
          <w:sz w:val="24"/>
          <w:szCs w:val="24"/>
          <w:lang w:val="en-GB"/>
        </w:rPr>
        <w:t>a</w:t>
      </w:r>
      <w:r w:rsidR="00344B29">
        <w:rPr>
          <w:rFonts w:ascii="Arial" w:hAnsi="Arial" w:cs="Arial"/>
          <w:bCs/>
          <w:sz w:val="24"/>
          <w:szCs w:val="24"/>
          <w:lang w:val="en-GB"/>
        </w:rPr>
        <w:t>lmer</w:t>
      </w:r>
      <w:proofErr w:type="spellEnd"/>
      <w:r w:rsidR="00344B29">
        <w:rPr>
          <w:rFonts w:ascii="Arial" w:hAnsi="Arial" w:cs="Arial"/>
          <w:bCs/>
          <w:sz w:val="24"/>
          <w:szCs w:val="24"/>
          <w:lang w:val="en-GB"/>
        </w:rPr>
        <w:t xml:space="preserve">, </w:t>
      </w:r>
      <w:proofErr w:type="spellStart"/>
      <w:r w:rsidR="00344B29">
        <w:rPr>
          <w:rFonts w:ascii="Arial" w:hAnsi="Arial" w:cs="Arial"/>
          <w:bCs/>
          <w:sz w:val="24"/>
          <w:szCs w:val="24"/>
          <w:lang w:val="en-GB"/>
        </w:rPr>
        <w:t>Gqeberha</w:t>
      </w:r>
      <w:proofErr w:type="spellEnd"/>
      <w:r w:rsidR="00344B29">
        <w:rPr>
          <w:rFonts w:ascii="Arial" w:hAnsi="Arial" w:cs="Arial"/>
          <w:bCs/>
          <w:sz w:val="24"/>
          <w:szCs w:val="24"/>
          <w:lang w:val="en-GB"/>
        </w:rPr>
        <w:t xml:space="preserve">, Eastern Cape.  It </w:t>
      </w:r>
      <w:r w:rsidR="00C55BE5">
        <w:rPr>
          <w:rFonts w:ascii="Arial" w:hAnsi="Arial" w:cs="Arial"/>
          <w:bCs/>
          <w:sz w:val="24"/>
          <w:szCs w:val="24"/>
          <w:lang w:val="en-GB"/>
        </w:rPr>
        <w:t>wa</w:t>
      </w:r>
      <w:r w:rsidR="00344B29">
        <w:rPr>
          <w:rFonts w:ascii="Arial" w:hAnsi="Arial" w:cs="Arial"/>
          <w:bCs/>
          <w:sz w:val="24"/>
          <w:szCs w:val="24"/>
          <w:lang w:val="en-GB"/>
        </w:rPr>
        <w:t>s a</w:t>
      </w:r>
      <w:r w:rsidR="00B973DC">
        <w:rPr>
          <w:rFonts w:ascii="Arial" w:hAnsi="Arial" w:cs="Arial"/>
          <w:bCs/>
          <w:sz w:val="24"/>
          <w:szCs w:val="24"/>
          <w:lang w:val="en-GB"/>
        </w:rPr>
        <w:t>n</w:t>
      </w:r>
      <w:r w:rsidR="00344B29">
        <w:rPr>
          <w:rFonts w:ascii="Arial" w:hAnsi="Arial" w:cs="Arial"/>
          <w:bCs/>
          <w:sz w:val="24"/>
          <w:szCs w:val="24"/>
          <w:lang w:val="en-GB"/>
        </w:rPr>
        <w:t xml:space="preserve"> </w:t>
      </w:r>
      <w:r w:rsidR="00395D02">
        <w:rPr>
          <w:rFonts w:ascii="Arial" w:hAnsi="Arial" w:cs="Arial"/>
          <w:bCs/>
          <w:sz w:val="24"/>
          <w:szCs w:val="24"/>
          <w:lang w:val="en-GB"/>
        </w:rPr>
        <w:lastRenderedPageBreak/>
        <w:t>agent of the applicant and carrie</w:t>
      </w:r>
      <w:r w:rsidR="00397AEB">
        <w:rPr>
          <w:rFonts w:ascii="Arial" w:hAnsi="Arial" w:cs="Arial"/>
          <w:bCs/>
          <w:sz w:val="24"/>
          <w:szCs w:val="24"/>
          <w:lang w:val="en-GB"/>
        </w:rPr>
        <w:t>d</w:t>
      </w:r>
      <w:r w:rsidR="00395D02">
        <w:rPr>
          <w:rFonts w:ascii="Arial" w:hAnsi="Arial" w:cs="Arial"/>
          <w:bCs/>
          <w:sz w:val="24"/>
          <w:szCs w:val="24"/>
          <w:lang w:val="en-GB"/>
        </w:rPr>
        <w:t xml:space="preserve"> on business as a vehicle rental company as Avis, George, Western Cape (Southern Cape).  </w:t>
      </w:r>
    </w:p>
    <w:p w14:paraId="403B5DCA" w14:textId="220762D0" w:rsidR="006218BD" w:rsidRDefault="00EE6009"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065F5">
        <w:rPr>
          <w:rFonts w:ascii="Arial" w:hAnsi="Arial" w:cs="Arial"/>
          <w:bCs/>
          <w:sz w:val="24"/>
          <w:szCs w:val="24"/>
          <w:lang w:val="en-GB"/>
        </w:rPr>
        <w:t>5] The</w:t>
      </w:r>
      <w:r w:rsidR="00395D02">
        <w:rPr>
          <w:rFonts w:ascii="Arial" w:hAnsi="Arial" w:cs="Arial"/>
          <w:bCs/>
          <w:sz w:val="24"/>
          <w:szCs w:val="24"/>
          <w:lang w:val="en-GB"/>
        </w:rPr>
        <w:t xml:space="preserve"> third respondent conduct</w:t>
      </w:r>
      <w:r w:rsidR="00C55BE5">
        <w:rPr>
          <w:rFonts w:ascii="Arial" w:hAnsi="Arial" w:cs="Arial"/>
          <w:bCs/>
          <w:sz w:val="24"/>
          <w:szCs w:val="24"/>
          <w:lang w:val="en-GB"/>
        </w:rPr>
        <w:t>ed</w:t>
      </w:r>
      <w:r w:rsidR="00395D02">
        <w:rPr>
          <w:rFonts w:ascii="Arial" w:hAnsi="Arial" w:cs="Arial"/>
          <w:bCs/>
          <w:sz w:val="24"/>
          <w:szCs w:val="24"/>
          <w:lang w:val="en-GB"/>
        </w:rPr>
        <w:t xml:space="preserve"> its business as Avis Van Rental</w:t>
      </w:r>
      <w:r w:rsidR="001C1069">
        <w:rPr>
          <w:rFonts w:ascii="Arial" w:hAnsi="Arial" w:cs="Arial"/>
          <w:bCs/>
          <w:sz w:val="24"/>
          <w:szCs w:val="24"/>
          <w:lang w:val="en-GB"/>
        </w:rPr>
        <w:t>s</w:t>
      </w:r>
      <w:r w:rsidR="00F95B1F">
        <w:rPr>
          <w:rFonts w:ascii="Arial" w:hAnsi="Arial" w:cs="Arial"/>
          <w:bCs/>
          <w:sz w:val="24"/>
          <w:szCs w:val="24"/>
          <w:lang w:val="en-GB"/>
        </w:rPr>
        <w:t>,</w:t>
      </w:r>
      <w:r w:rsidR="00395D02">
        <w:rPr>
          <w:rFonts w:ascii="Arial" w:hAnsi="Arial" w:cs="Arial"/>
          <w:bCs/>
          <w:sz w:val="24"/>
          <w:szCs w:val="24"/>
          <w:lang w:val="en-GB"/>
        </w:rPr>
        <w:t xml:space="preserve"> Winelands and ha</w:t>
      </w:r>
      <w:r w:rsidR="001C1069">
        <w:rPr>
          <w:rFonts w:ascii="Arial" w:hAnsi="Arial" w:cs="Arial"/>
          <w:bCs/>
          <w:sz w:val="24"/>
          <w:szCs w:val="24"/>
          <w:lang w:val="en-GB"/>
        </w:rPr>
        <w:t>d</w:t>
      </w:r>
      <w:r w:rsidR="00395D02">
        <w:rPr>
          <w:rFonts w:ascii="Arial" w:hAnsi="Arial" w:cs="Arial"/>
          <w:bCs/>
          <w:sz w:val="24"/>
          <w:szCs w:val="24"/>
          <w:lang w:val="en-GB"/>
        </w:rPr>
        <w:t xml:space="preserve"> its principal place of business at the same physical address as the first and second respondents.  The third respondent </w:t>
      </w:r>
      <w:r w:rsidR="00C55BE5">
        <w:rPr>
          <w:rFonts w:ascii="Arial" w:hAnsi="Arial" w:cs="Arial"/>
          <w:bCs/>
          <w:sz w:val="24"/>
          <w:szCs w:val="24"/>
          <w:lang w:val="en-GB"/>
        </w:rPr>
        <w:t>wa</w:t>
      </w:r>
      <w:r w:rsidR="00395D02">
        <w:rPr>
          <w:rFonts w:ascii="Arial" w:hAnsi="Arial" w:cs="Arial"/>
          <w:bCs/>
          <w:sz w:val="24"/>
          <w:szCs w:val="24"/>
          <w:lang w:val="en-GB"/>
        </w:rPr>
        <w:t>s also a</w:t>
      </w:r>
      <w:r w:rsidR="002065F5">
        <w:rPr>
          <w:rFonts w:ascii="Arial" w:hAnsi="Arial" w:cs="Arial"/>
          <w:bCs/>
          <w:sz w:val="24"/>
          <w:szCs w:val="24"/>
          <w:lang w:val="en-GB"/>
        </w:rPr>
        <w:t>n</w:t>
      </w:r>
      <w:r w:rsidR="00395D02">
        <w:rPr>
          <w:rFonts w:ascii="Arial" w:hAnsi="Arial" w:cs="Arial"/>
          <w:bCs/>
          <w:sz w:val="24"/>
          <w:szCs w:val="24"/>
          <w:lang w:val="en-GB"/>
        </w:rPr>
        <w:t xml:space="preserve"> agent of the applicant.  It carrie</w:t>
      </w:r>
      <w:r w:rsidR="005A369D">
        <w:rPr>
          <w:rFonts w:ascii="Arial" w:hAnsi="Arial" w:cs="Arial"/>
          <w:bCs/>
          <w:sz w:val="24"/>
          <w:szCs w:val="24"/>
          <w:lang w:val="en-GB"/>
        </w:rPr>
        <w:t>d</w:t>
      </w:r>
      <w:r w:rsidR="00395D02">
        <w:rPr>
          <w:rFonts w:ascii="Arial" w:hAnsi="Arial" w:cs="Arial"/>
          <w:bCs/>
          <w:sz w:val="24"/>
          <w:szCs w:val="24"/>
          <w:lang w:val="en-GB"/>
        </w:rPr>
        <w:t xml:space="preserve"> on its vehicle rental business as Avis, Paarl, Western Cape.</w:t>
      </w:r>
    </w:p>
    <w:p w14:paraId="6B3364A2" w14:textId="54E0EE12" w:rsidR="00395D02" w:rsidRDefault="00395D02"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5D3B4D">
        <w:rPr>
          <w:rFonts w:ascii="Arial" w:hAnsi="Arial" w:cs="Arial"/>
          <w:bCs/>
          <w:sz w:val="24"/>
          <w:szCs w:val="24"/>
          <w:lang w:val="en-GB"/>
        </w:rPr>
        <w:t>6</w:t>
      </w:r>
      <w:r>
        <w:rPr>
          <w:rFonts w:ascii="Arial" w:hAnsi="Arial" w:cs="Arial"/>
          <w:bCs/>
          <w:sz w:val="24"/>
          <w:szCs w:val="24"/>
          <w:lang w:val="en-GB"/>
        </w:rPr>
        <w:t xml:space="preserve">] The fourth respondent has its principal place of business at </w:t>
      </w:r>
      <w:r w:rsidR="00C55BE5">
        <w:rPr>
          <w:rFonts w:ascii="Arial" w:hAnsi="Arial" w:cs="Arial"/>
          <w:bCs/>
          <w:sz w:val="24"/>
          <w:szCs w:val="24"/>
          <w:lang w:val="en-GB"/>
        </w:rPr>
        <w:t>Unit 24 Milnerton Business Park, Corner of Ko</w:t>
      </w:r>
      <w:r w:rsidR="005D3B4D">
        <w:rPr>
          <w:rFonts w:ascii="Arial" w:hAnsi="Arial" w:cs="Arial"/>
          <w:bCs/>
          <w:sz w:val="24"/>
          <w:szCs w:val="24"/>
          <w:lang w:val="en-GB"/>
        </w:rPr>
        <w:t>e</w:t>
      </w:r>
      <w:r w:rsidR="00C55BE5">
        <w:rPr>
          <w:rFonts w:ascii="Arial" w:hAnsi="Arial" w:cs="Arial"/>
          <w:bCs/>
          <w:sz w:val="24"/>
          <w:szCs w:val="24"/>
          <w:lang w:val="en-GB"/>
        </w:rPr>
        <w:t>berg and Racecourse Road, Milnerton</w:t>
      </w:r>
      <w:r w:rsidR="006A4236">
        <w:rPr>
          <w:rFonts w:ascii="Arial" w:hAnsi="Arial" w:cs="Arial"/>
          <w:bCs/>
          <w:sz w:val="24"/>
          <w:szCs w:val="24"/>
          <w:lang w:val="en-GB"/>
        </w:rPr>
        <w:t>,</w:t>
      </w:r>
      <w:r w:rsidR="00C55BE5">
        <w:rPr>
          <w:rFonts w:ascii="Arial" w:hAnsi="Arial" w:cs="Arial"/>
          <w:bCs/>
          <w:sz w:val="24"/>
          <w:szCs w:val="24"/>
          <w:lang w:val="en-GB"/>
        </w:rPr>
        <w:t xml:space="preserve"> Cape Town.</w:t>
      </w:r>
      <w:r w:rsidR="00C2759F">
        <w:rPr>
          <w:rFonts w:ascii="Arial" w:hAnsi="Arial" w:cs="Arial"/>
          <w:bCs/>
          <w:sz w:val="24"/>
          <w:szCs w:val="24"/>
          <w:lang w:val="en-GB"/>
        </w:rPr>
        <w:t xml:space="preserve">  There is no restraint of trade agreement or agency agreement between the applicant and the fourth respondent.</w:t>
      </w:r>
      <w:r w:rsidR="00BD718A">
        <w:rPr>
          <w:rFonts w:ascii="Arial" w:hAnsi="Arial" w:cs="Arial"/>
          <w:bCs/>
          <w:sz w:val="24"/>
          <w:szCs w:val="24"/>
          <w:lang w:val="en-GB"/>
        </w:rPr>
        <w:t xml:space="preserve"> I</w:t>
      </w:r>
      <w:r w:rsidR="00D90428">
        <w:rPr>
          <w:rFonts w:ascii="Arial" w:hAnsi="Arial" w:cs="Arial"/>
          <w:bCs/>
          <w:sz w:val="24"/>
          <w:szCs w:val="24"/>
          <w:lang w:val="en-GB"/>
        </w:rPr>
        <w:t xml:space="preserve">t therefore has no restraint of trade agreement </w:t>
      </w:r>
      <w:r w:rsidR="00D345DF">
        <w:rPr>
          <w:rFonts w:ascii="Arial" w:hAnsi="Arial" w:cs="Arial"/>
          <w:bCs/>
          <w:sz w:val="24"/>
          <w:szCs w:val="24"/>
          <w:lang w:val="en-GB"/>
        </w:rPr>
        <w:t>with the applicant or any binding restraint</w:t>
      </w:r>
      <w:r w:rsidR="003C179F">
        <w:rPr>
          <w:rFonts w:ascii="Arial" w:hAnsi="Arial" w:cs="Arial"/>
          <w:bCs/>
          <w:sz w:val="24"/>
          <w:szCs w:val="24"/>
          <w:lang w:val="en-GB"/>
        </w:rPr>
        <w:t xml:space="preserve"> </w:t>
      </w:r>
      <w:r w:rsidR="00D345DF">
        <w:rPr>
          <w:rFonts w:ascii="Arial" w:hAnsi="Arial" w:cs="Arial"/>
          <w:bCs/>
          <w:sz w:val="24"/>
          <w:szCs w:val="24"/>
          <w:lang w:val="en-GB"/>
        </w:rPr>
        <w:t>provision.</w:t>
      </w:r>
    </w:p>
    <w:p w14:paraId="4402F7AA" w14:textId="7CB9E891" w:rsidR="00166621" w:rsidRDefault="00166621"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170712">
        <w:rPr>
          <w:rFonts w:ascii="Arial" w:hAnsi="Arial" w:cs="Arial"/>
          <w:bCs/>
          <w:sz w:val="24"/>
          <w:szCs w:val="24"/>
          <w:lang w:val="en-GB"/>
        </w:rPr>
        <w:t>7</w:t>
      </w:r>
      <w:r>
        <w:rPr>
          <w:rFonts w:ascii="Arial" w:hAnsi="Arial" w:cs="Arial"/>
          <w:bCs/>
          <w:sz w:val="24"/>
          <w:szCs w:val="24"/>
          <w:lang w:val="en-GB"/>
        </w:rPr>
        <w:t xml:space="preserve">] </w:t>
      </w:r>
      <w:r w:rsidR="0024266C">
        <w:rPr>
          <w:rFonts w:ascii="Arial" w:hAnsi="Arial" w:cs="Arial"/>
          <w:bCs/>
          <w:sz w:val="24"/>
          <w:szCs w:val="24"/>
          <w:lang w:val="en-GB"/>
        </w:rPr>
        <w:t>T</w:t>
      </w:r>
      <w:r>
        <w:rPr>
          <w:rFonts w:ascii="Arial" w:hAnsi="Arial" w:cs="Arial"/>
          <w:bCs/>
          <w:sz w:val="24"/>
          <w:szCs w:val="24"/>
          <w:lang w:val="en-GB"/>
        </w:rPr>
        <w:t xml:space="preserve">he applicant shall </w:t>
      </w:r>
      <w:r w:rsidR="004F065A">
        <w:rPr>
          <w:rFonts w:ascii="Arial" w:hAnsi="Arial" w:cs="Arial"/>
          <w:bCs/>
          <w:sz w:val="24"/>
          <w:szCs w:val="24"/>
          <w:lang w:val="en-GB"/>
        </w:rPr>
        <w:t>continue being</w:t>
      </w:r>
      <w:r>
        <w:rPr>
          <w:rFonts w:ascii="Arial" w:hAnsi="Arial" w:cs="Arial"/>
          <w:bCs/>
          <w:sz w:val="24"/>
          <w:szCs w:val="24"/>
          <w:lang w:val="en-GB"/>
        </w:rPr>
        <w:t xml:space="preserve"> referred to </w:t>
      </w:r>
      <w:r w:rsidR="007C5240">
        <w:rPr>
          <w:rFonts w:ascii="Arial" w:hAnsi="Arial" w:cs="Arial"/>
          <w:bCs/>
          <w:sz w:val="24"/>
          <w:szCs w:val="24"/>
          <w:lang w:val="en-GB"/>
        </w:rPr>
        <w:t>as the applicant whereas</w:t>
      </w:r>
      <w:r>
        <w:rPr>
          <w:rFonts w:ascii="Arial" w:hAnsi="Arial" w:cs="Arial"/>
          <w:bCs/>
          <w:sz w:val="24"/>
          <w:szCs w:val="24"/>
          <w:lang w:val="en-GB"/>
        </w:rPr>
        <w:t xml:space="preserve"> the first to third respondents shall be referred to </w:t>
      </w:r>
      <w:r w:rsidR="007C5240">
        <w:rPr>
          <w:rFonts w:ascii="Arial" w:hAnsi="Arial" w:cs="Arial"/>
          <w:bCs/>
          <w:sz w:val="24"/>
          <w:szCs w:val="24"/>
          <w:lang w:val="en-GB"/>
        </w:rPr>
        <w:t xml:space="preserve">simply </w:t>
      </w:r>
      <w:r>
        <w:rPr>
          <w:rFonts w:ascii="Arial" w:hAnsi="Arial" w:cs="Arial"/>
          <w:bCs/>
          <w:sz w:val="24"/>
          <w:szCs w:val="24"/>
          <w:lang w:val="en-GB"/>
        </w:rPr>
        <w:t>as the respondent</w:t>
      </w:r>
      <w:r w:rsidR="00F95B1F">
        <w:rPr>
          <w:rFonts w:ascii="Arial" w:hAnsi="Arial" w:cs="Arial"/>
          <w:bCs/>
          <w:sz w:val="24"/>
          <w:szCs w:val="24"/>
          <w:lang w:val="en-GB"/>
        </w:rPr>
        <w:t>s</w:t>
      </w:r>
      <w:r>
        <w:rPr>
          <w:rFonts w:ascii="Arial" w:hAnsi="Arial" w:cs="Arial"/>
          <w:bCs/>
          <w:sz w:val="24"/>
          <w:szCs w:val="24"/>
          <w:lang w:val="en-GB"/>
        </w:rPr>
        <w:t xml:space="preserve">. Where and if it becomes necessary, a specific respondent shall be referred to individually as either, the first, second </w:t>
      </w:r>
      <w:r w:rsidR="00F95B1F">
        <w:rPr>
          <w:rFonts w:ascii="Arial" w:hAnsi="Arial" w:cs="Arial"/>
          <w:bCs/>
          <w:sz w:val="24"/>
          <w:szCs w:val="24"/>
          <w:lang w:val="en-GB"/>
        </w:rPr>
        <w:t>or</w:t>
      </w:r>
      <w:r>
        <w:rPr>
          <w:rFonts w:ascii="Arial" w:hAnsi="Arial" w:cs="Arial"/>
          <w:bCs/>
          <w:sz w:val="24"/>
          <w:szCs w:val="24"/>
          <w:lang w:val="en-GB"/>
        </w:rPr>
        <w:t xml:space="preserve"> third respondent.  The fourth respondent shall be referred to simply as Apex.</w:t>
      </w:r>
      <w:r w:rsidR="007C5240">
        <w:rPr>
          <w:rFonts w:ascii="Arial" w:hAnsi="Arial" w:cs="Arial"/>
          <w:bCs/>
          <w:sz w:val="24"/>
          <w:szCs w:val="24"/>
          <w:lang w:val="en-GB"/>
        </w:rPr>
        <w:t xml:space="preserve">  This will hopefully make it easy to follow the factual matrix pertaining to each one of the parties cited in this application</w:t>
      </w:r>
      <w:r w:rsidR="00014306">
        <w:rPr>
          <w:rFonts w:ascii="Arial" w:hAnsi="Arial" w:cs="Arial"/>
          <w:bCs/>
          <w:sz w:val="24"/>
          <w:szCs w:val="24"/>
          <w:lang w:val="en-GB"/>
        </w:rPr>
        <w:t>.</w:t>
      </w:r>
    </w:p>
    <w:p w14:paraId="22CC268F" w14:textId="1B1EED4B" w:rsidR="00166621" w:rsidRDefault="00166621"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facts.</w:t>
      </w:r>
    </w:p>
    <w:p w14:paraId="745FA881" w14:textId="7759E093" w:rsidR="00166621" w:rsidRDefault="00166621"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BC20C0">
        <w:rPr>
          <w:rFonts w:ascii="Arial" w:hAnsi="Arial" w:cs="Arial"/>
          <w:bCs/>
          <w:sz w:val="24"/>
          <w:szCs w:val="24"/>
          <w:lang w:val="en-GB"/>
        </w:rPr>
        <w:t>8</w:t>
      </w:r>
      <w:r>
        <w:rPr>
          <w:rFonts w:ascii="Arial" w:hAnsi="Arial" w:cs="Arial"/>
          <w:bCs/>
          <w:sz w:val="24"/>
          <w:szCs w:val="24"/>
          <w:lang w:val="en-GB"/>
        </w:rPr>
        <w:t xml:space="preserve">] </w:t>
      </w:r>
      <w:r w:rsidR="00671BAD">
        <w:rPr>
          <w:rFonts w:ascii="Arial" w:hAnsi="Arial" w:cs="Arial"/>
          <w:bCs/>
          <w:sz w:val="24"/>
          <w:szCs w:val="24"/>
          <w:lang w:val="en-GB"/>
        </w:rPr>
        <w:t xml:space="preserve">Some </w:t>
      </w:r>
      <w:r w:rsidR="003F10FF">
        <w:rPr>
          <w:rFonts w:ascii="Arial" w:hAnsi="Arial" w:cs="Arial"/>
          <w:bCs/>
          <w:sz w:val="24"/>
          <w:szCs w:val="24"/>
          <w:lang w:val="en-GB"/>
        </w:rPr>
        <w:t xml:space="preserve">of the facts as </w:t>
      </w:r>
      <w:r w:rsidR="009059FA">
        <w:rPr>
          <w:rFonts w:ascii="Arial" w:hAnsi="Arial" w:cs="Arial"/>
          <w:bCs/>
          <w:sz w:val="24"/>
          <w:szCs w:val="24"/>
          <w:lang w:val="en-GB"/>
        </w:rPr>
        <w:t xml:space="preserve">far </w:t>
      </w:r>
      <w:r w:rsidR="00AD4C26">
        <w:rPr>
          <w:rFonts w:ascii="Arial" w:hAnsi="Arial" w:cs="Arial"/>
          <w:bCs/>
          <w:sz w:val="24"/>
          <w:szCs w:val="24"/>
          <w:lang w:val="en-GB"/>
        </w:rPr>
        <w:t>as could</w:t>
      </w:r>
      <w:r w:rsidR="003F10FF">
        <w:rPr>
          <w:rFonts w:ascii="Arial" w:hAnsi="Arial" w:cs="Arial"/>
          <w:bCs/>
          <w:sz w:val="24"/>
          <w:szCs w:val="24"/>
          <w:lang w:val="en-GB"/>
        </w:rPr>
        <w:t xml:space="preserve"> be gle</w:t>
      </w:r>
      <w:r w:rsidR="00FE1C8A">
        <w:rPr>
          <w:rFonts w:ascii="Arial" w:hAnsi="Arial" w:cs="Arial"/>
          <w:bCs/>
          <w:sz w:val="24"/>
          <w:szCs w:val="24"/>
          <w:lang w:val="en-GB"/>
        </w:rPr>
        <w:t xml:space="preserve">aned from the applicant’s </w:t>
      </w:r>
      <w:r w:rsidR="00FF3A7F" w:rsidRPr="00756F5E">
        <w:rPr>
          <w:rFonts w:ascii="Arial" w:hAnsi="Arial" w:cs="Arial"/>
          <w:bCs/>
          <w:sz w:val="24"/>
          <w:szCs w:val="24"/>
          <w:lang w:val="en-GB"/>
        </w:rPr>
        <w:t>p</w:t>
      </w:r>
      <w:r w:rsidR="00756F5E">
        <w:rPr>
          <w:rFonts w:ascii="Arial" w:hAnsi="Arial" w:cs="Arial"/>
          <w:bCs/>
          <w:sz w:val="24"/>
          <w:szCs w:val="24"/>
          <w:lang w:val="en-GB"/>
        </w:rPr>
        <w:t>apers</w:t>
      </w:r>
      <w:r w:rsidR="00C9209D">
        <w:rPr>
          <w:rFonts w:ascii="Arial" w:hAnsi="Arial" w:cs="Arial"/>
          <w:bCs/>
          <w:sz w:val="24"/>
          <w:szCs w:val="24"/>
          <w:lang w:val="en-GB"/>
        </w:rPr>
        <w:t xml:space="preserve"> are more as less the following</w:t>
      </w:r>
      <w:r w:rsidR="00FF3A7F">
        <w:rPr>
          <w:rFonts w:ascii="Arial" w:hAnsi="Arial" w:cs="Arial"/>
          <w:bCs/>
          <w:sz w:val="24"/>
          <w:szCs w:val="24"/>
          <w:lang w:val="en-GB"/>
        </w:rPr>
        <w:t>. In</w:t>
      </w:r>
      <w:r w:rsidR="00B35641">
        <w:rPr>
          <w:rFonts w:ascii="Arial" w:hAnsi="Arial" w:cs="Arial"/>
          <w:bCs/>
          <w:sz w:val="24"/>
          <w:szCs w:val="24"/>
          <w:lang w:val="en-GB"/>
        </w:rPr>
        <w:t xml:space="preserve"> April 2018 </w:t>
      </w:r>
      <w:r w:rsidR="00D6190A">
        <w:rPr>
          <w:rFonts w:ascii="Arial" w:hAnsi="Arial" w:cs="Arial"/>
          <w:bCs/>
          <w:sz w:val="24"/>
          <w:szCs w:val="24"/>
          <w:lang w:val="en-GB"/>
        </w:rPr>
        <w:t>the applicant</w:t>
      </w:r>
      <w:r w:rsidR="00B35641">
        <w:rPr>
          <w:rFonts w:ascii="Arial" w:hAnsi="Arial" w:cs="Arial"/>
          <w:bCs/>
          <w:sz w:val="24"/>
          <w:szCs w:val="24"/>
          <w:lang w:val="en-GB"/>
        </w:rPr>
        <w:t xml:space="preserve"> concluded a sub-licen</w:t>
      </w:r>
      <w:r w:rsidR="00F95B1F">
        <w:rPr>
          <w:rFonts w:ascii="Arial" w:hAnsi="Arial" w:cs="Arial"/>
          <w:bCs/>
          <w:sz w:val="24"/>
          <w:szCs w:val="24"/>
          <w:lang w:val="en-GB"/>
        </w:rPr>
        <w:t>c</w:t>
      </w:r>
      <w:r w:rsidR="00B35641">
        <w:rPr>
          <w:rFonts w:ascii="Arial" w:hAnsi="Arial" w:cs="Arial"/>
          <w:bCs/>
          <w:sz w:val="24"/>
          <w:szCs w:val="24"/>
          <w:lang w:val="en-GB"/>
        </w:rPr>
        <w:t xml:space="preserve">e agreement </w:t>
      </w:r>
      <w:r w:rsidR="00014306">
        <w:rPr>
          <w:rFonts w:ascii="Arial" w:hAnsi="Arial" w:cs="Arial"/>
          <w:bCs/>
          <w:sz w:val="24"/>
          <w:szCs w:val="24"/>
          <w:lang w:val="en-GB"/>
        </w:rPr>
        <w:t xml:space="preserve">with the first respondent </w:t>
      </w:r>
      <w:r w:rsidR="00B35641">
        <w:rPr>
          <w:rFonts w:ascii="Arial" w:hAnsi="Arial" w:cs="Arial"/>
          <w:bCs/>
          <w:sz w:val="24"/>
          <w:szCs w:val="24"/>
          <w:lang w:val="en-GB"/>
        </w:rPr>
        <w:t>and agency agreement</w:t>
      </w:r>
      <w:r w:rsidR="00372DB7">
        <w:rPr>
          <w:rFonts w:ascii="Arial" w:hAnsi="Arial" w:cs="Arial"/>
          <w:bCs/>
          <w:sz w:val="24"/>
          <w:szCs w:val="24"/>
          <w:lang w:val="en-GB"/>
        </w:rPr>
        <w:t>s</w:t>
      </w:r>
      <w:r w:rsidR="00B35641">
        <w:rPr>
          <w:rFonts w:ascii="Arial" w:hAnsi="Arial" w:cs="Arial"/>
          <w:bCs/>
          <w:sz w:val="24"/>
          <w:szCs w:val="24"/>
          <w:lang w:val="en-GB"/>
        </w:rPr>
        <w:t xml:space="preserve"> </w:t>
      </w:r>
      <w:r w:rsidR="00F95B1F">
        <w:rPr>
          <w:rFonts w:ascii="Arial" w:hAnsi="Arial" w:cs="Arial"/>
          <w:bCs/>
          <w:sz w:val="24"/>
          <w:szCs w:val="24"/>
          <w:lang w:val="en-GB"/>
        </w:rPr>
        <w:t xml:space="preserve">with the </w:t>
      </w:r>
      <w:r w:rsidR="00014306">
        <w:rPr>
          <w:rFonts w:ascii="Arial" w:hAnsi="Arial" w:cs="Arial"/>
          <w:bCs/>
          <w:sz w:val="24"/>
          <w:szCs w:val="24"/>
          <w:lang w:val="en-GB"/>
        </w:rPr>
        <w:t xml:space="preserve">second and third </w:t>
      </w:r>
      <w:r w:rsidR="00775AD8">
        <w:rPr>
          <w:rFonts w:ascii="Arial" w:hAnsi="Arial" w:cs="Arial"/>
          <w:bCs/>
          <w:sz w:val="24"/>
          <w:szCs w:val="24"/>
          <w:lang w:val="en-GB"/>
        </w:rPr>
        <w:t>respondents. The</w:t>
      </w:r>
      <w:r w:rsidR="00B35641">
        <w:rPr>
          <w:rFonts w:ascii="Arial" w:hAnsi="Arial" w:cs="Arial"/>
          <w:bCs/>
          <w:sz w:val="24"/>
          <w:szCs w:val="24"/>
          <w:lang w:val="en-GB"/>
        </w:rPr>
        <w:t xml:space="preserve"> </w:t>
      </w:r>
      <w:r w:rsidR="00775AD8">
        <w:rPr>
          <w:rFonts w:ascii="Arial" w:hAnsi="Arial" w:cs="Arial"/>
          <w:bCs/>
          <w:sz w:val="24"/>
          <w:szCs w:val="24"/>
          <w:lang w:val="en-GB"/>
        </w:rPr>
        <w:t>s</w:t>
      </w:r>
      <w:r w:rsidR="00054707">
        <w:rPr>
          <w:rFonts w:ascii="Arial" w:hAnsi="Arial" w:cs="Arial"/>
          <w:bCs/>
          <w:sz w:val="24"/>
          <w:szCs w:val="24"/>
          <w:lang w:val="en-GB"/>
        </w:rPr>
        <w:t>aid agreements</w:t>
      </w:r>
      <w:r w:rsidR="00B35641">
        <w:rPr>
          <w:rFonts w:ascii="Arial" w:hAnsi="Arial" w:cs="Arial"/>
          <w:bCs/>
          <w:sz w:val="24"/>
          <w:szCs w:val="24"/>
          <w:lang w:val="en-GB"/>
        </w:rPr>
        <w:t xml:space="preserve"> were to endure for a period of seven years expir</w:t>
      </w:r>
      <w:r w:rsidR="00014306">
        <w:rPr>
          <w:rFonts w:ascii="Arial" w:hAnsi="Arial" w:cs="Arial"/>
          <w:bCs/>
          <w:sz w:val="24"/>
          <w:szCs w:val="24"/>
          <w:lang w:val="en-GB"/>
        </w:rPr>
        <w:t>ing</w:t>
      </w:r>
      <w:r w:rsidR="00B35641">
        <w:rPr>
          <w:rFonts w:ascii="Arial" w:hAnsi="Arial" w:cs="Arial"/>
          <w:bCs/>
          <w:sz w:val="24"/>
          <w:szCs w:val="24"/>
          <w:lang w:val="en-GB"/>
        </w:rPr>
        <w:t xml:space="preserve"> at the end of April 2025.  </w:t>
      </w:r>
      <w:r w:rsidR="00B35641">
        <w:rPr>
          <w:rFonts w:ascii="Arial" w:hAnsi="Arial" w:cs="Arial"/>
          <w:bCs/>
          <w:sz w:val="24"/>
          <w:szCs w:val="24"/>
          <w:lang w:val="en-GB"/>
        </w:rPr>
        <w:lastRenderedPageBreak/>
        <w:t>The</w:t>
      </w:r>
      <w:r w:rsidR="00162D14">
        <w:rPr>
          <w:rFonts w:ascii="Arial" w:hAnsi="Arial" w:cs="Arial"/>
          <w:bCs/>
          <w:sz w:val="24"/>
          <w:szCs w:val="24"/>
          <w:lang w:val="en-GB"/>
        </w:rPr>
        <w:t>se</w:t>
      </w:r>
      <w:r w:rsidR="00B35641">
        <w:rPr>
          <w:rFonts w:ascii="Arial" w:hAnsi="Arial" w:cs="Arial"/>
          <w:bCs/>
          <w:sz w:val="24"/>
          <w:szCs w:val="24"/>
          <w:lang w:val="en-GB"/>
        </w:rPr>
        <w:t xml:space="preserve"> agreements also provided for a cooling off period of 12 months from the date of termination or expir</w:t>
      </w:r>
      <w:r w:rsidR="00EE6009">
        <w:rPr>
          <w:rFonts w:ascii="Arial" w:hAnsi="Arial" w:cs="Arial"/>
          <w:bCs/>
          <w:sz w:val="24"/>
          <w:szCs w:val="24"/>
          <w:lang w:val="en-GB"/>
        </w:rPr>
        <w:t>y</w:t>
      </w:r>
      <w:r w:rsidR="00B35641">
        <w:rPr>
          <w:rFonts w:ascii="Arial" w:hAnsi="Arial" w:cs="Arial"/>
          <w:bCs/>
          <w:sz w:val="24"/>
          <w:szCs w:val="24"/>
          <w:lang w:val="en-GB"/>
        </w:rPr>
        <w:t xml:space="preserve"> during which the relevant clauses provided for a non-compete, non-circumvention, non-</w:t>
      </w:r>
      <w:proofErr w:type="gramStart"/>
      <w:r w:rsidR="00B35641">
        <w:rPr>
          <w:rFonts w:ascii="Arial" w:hAnsi="Arial" w:cs="Arial"/>
          <w:bCs/>
          <w:sz w:val="24"/>
          <w:szCs w:val="24"/>
          <w:lang w:val="en-GB"/>
        </w:rPr>
        <w:t>association</w:t>
      </w:r>
      <w:proofErr w:type="gramEnd"/>
      <w:r w:rsidR="00B35641">
        <w:rPr>
          <w:rFonts w:ascii="Arial" w:hAnsi="Arial" w:cs="Arial"/>
          <w:bCs/>
          <w:sz w:val="24"/>
          <w:szCs w:val="24"/>
          <w:lang w:val="en-GB"/>
        </w:rPr>
        <w:t xml:space="preserve"> and restraint against the respondent</w:t>
      </w:r>
      <w:r w:rsidR="00B03B17">
        <w:rPr>
          <w:rFonts w:ascii="Arial" w:hAnsi="Arial" w:cs="Arial"/>
          <w:bCs/>
          <w:sz w:val="24"/>
          <w:szCs w:val="24"/>
          <w:lang w:val="en-GB"/>
        </w:rPr>
        <w:t>s</w:t>
      </w:r>
      <w:r w:rsidR="00B35641">
        <w:rPr>
          <w:rFonts w:ascii="Arial" w:hAnsi="Arial" w:cs="Arial"/>
          <w:bCs/>
          <w:sz w:val="24"/>
          <w:szCs w:val="24"/>
          <w:lang w:val="en-GB"/>
        </w:rPr>
        <w:t xml:space="preserve"> for the duration of the agreements and for a further 12 month</w:t>
      </w:r>
      <w:r w:rsidR="009F04EC">
        <w:rPr>
          <w:rFonts w:ascii="Arial" w:hAnsi="Arial" w:cs="Arial"/>
          <w:bCs/>
          <w:sz w:val="24"/>
          <w:szCs w:val="24"/>
          <w:lang w:val="en-GB"/>
        </w:rPr>
        <w:t>s</w:t>
      </w:r>
      <w:r w:rsidR="00B35641">
        <w:rPr>
          <w:rFonts w:ascii="Arial" w:hAnsi="Arial" w:cs="Arial"/>
          <w:bCs/>
          <w:sz w:val="24"/>
          <w:szCs w:val="24"/>
          <w:lang w:val="en-GB"/>
        </w:rPr>
        <w:t xml:space="preserve"> period after termination thereof.</w:t>
      </w:r>
    </w:p>
    <w:p w14:paraId="2858714B" w14:textId="75162B28" w:rsidR="00B35641" w:rsidRDefault="00B35641"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E33291">
        <w:rPr>
          <w:rFonts w:ascii="Arial" w:hAnsi="Arial" w:cs="Arial"/>
          <w:bCs/>
          <w:sz w:val="24"/>
          <w:szCs w:val="24"/>
          <w:lang w:val="en-GB"/>
        </w:rPr>
        <w:t>9</w:t>
      </w:r>
      <w:r>
        <w:rPr>
          <w:rFonts w:ascii="Arial" w:hAnsi="Arial" w:cs="Arial"/>
          <w:bCs/>
          <w:sz w:val="24"/>
          <w:szCs w:val="24"/>
          <w:lang w:val="en-GB"/>
        </w:rPr>
        <w:t xml:space="preserve">] </w:t>
      </w:r>
      <w:r w:rsidR="00B03B17">
        <w:rPr>
          <w:rFonts w:ascii="Arial" w:hAnsi="Arial" w:cs="Arial"/>
          <w:bCs/>
          <w:sz w:val="24"/>
          <w:szCs w:val="24"/>
          <w:lang w:val="en-GB"/>
        </w:rPr>
        <w:t>The applicant says that</w:t>
      </w:r>
      <w:r>
        <w:rPr>
          <w:rFonts w:ascii="Arial" w:hAnsi="Arial" w:cs="Arial"/>
          <w:bCs/>
          <w:sz w:val="24"/>
          <w:szCs w:val="24"/>
          <w:lang w:val="en-GB"/>
        </w:rPr>
        <w:t xml:space="preserve"> the restraint clauses were intended to protect its confidential information, trade se</w:t>
      </w:r>
      <w:r w:rsidR="00EE6009">
        <w:rPr>
          <w:rFonts w:ascii="Arial" w:hAnsi="Arial" w:cs="Arial"/>
          <w:bCs/>
          <w:sz w:val="24"/>
          <w:szCs w:val="24"/>
          <w:lang w:val="en-GB"/>
        </w:rPr>
        <w:t>cr</w:t>
      </w:r>
      <w:r>
        <w:rPr>
          <w:rFonts w:ascii="Arial" w:hAnsi="Arial" w:cs="Arial"/>
          <w:bCs/>
          <w:sz w:val="24"/>
          <w:szCs w:val="24"/>
          <w:lang w:val="en-GB"/>
        </w:rPr>
        <w:t>e</w:t>
      </w:r>
      <w:r w:rsidR="00EE6009">
        <w:rPr>
          <w:rFonts w:ascii="Arial" w:hAnsi="Arial" w:cs="Arial"/>
          <w:bCs/>
          <w:sz w:val="24"/>
          <w:szCs w:val="24"/>
          <w:lang w:val="en-GB"/>
        </w:rPr>
        <w:t>t</w:t>
      </w:r>
      <w:r>
        <w:rPr>
          <w:rFonts w:ascii="Arial" w:hAnsi="Arial" w:cs="Arial"/>
          <w:bCs/>
          <w:sz w:val="24"/>
          <w:szCs w:val="24"/>
          <w:lang w:val="en-GB"/>
        </w:rPr>
        <w:t>s and customer connections which would be created by the respondents pursuant to the agreements.</w:t>
      </w:r>
      <w:r w:rsidR="00EE6009">
        <w:rPr>
          <w:rFonts w:ascii="Arial" w:hAnsi="Arial" w:cs="Arial"/>
          <w:bCs/>
          <w:sz w:val="24"/>
          <w:szCs w:val="24"/>
          <w:lang w:val="en-GB"/>
        </w:rPr>
        <w:t xml:space="preserve">  </w:t>
      </w:r>
      <w:r w:rsidR="00B03B17">
        <w:rPr>
          <w:rFonts w:ascii="Arial" w:hAnsi="Arial" w:cs="Arial"/>
          <w:bCs/>
          <w:sz w:val="24"/>
          <w:szCs w:val="24"/>
          <w:lang w:val="en-GB"/>
        </w:rPr>
        <w:t>T</w:t>
      </w:r>
      <w:r w:rsidR="00EE6009">
        <w:rPr>
          <w:rFonts w:ascii="Arial" w:hAnsi="Arial" w:cs="Arial"/>
          <w:bCs/>
          <w:sz w:val="24"/>
          <w:szCs w:val="24"/>
          <w:lang w:val="en-GB"/>
        </w:rPr>
        <w:t>his is because the respondents would acquire knowledge and insight into its business and gain influence over its customers</w:t>
      </w:r>
      <w:r w:rsidR="009470B1">
        <w:rPr>
          <w:rFonts w:ascii="Arial" w:hAnsi="Arial" w:cs="Arial"/>
          <w:bCs/>
          <w:sz w:val="24"/>
          <w:szCs w:val="24"/>
          <w:lang w:val="en-GB"/>
        </w:rPr>
        <w:t>.</w:t>
      </w:r>
      <w:r w:rsidR="00B03B17">
        <w:rPr>
          <w:rFonts w:ascii="Arial" w:hAnsi="Arial" w:cs="Arial"/>
          <w:bCs/>
          <w:sz w:val="24"/>
          <w:szCs w:val="24"/>
          <w:lang w:val="en-GB"/>
        </w:rPr>
        <w:t xml:space="preserve"> </w:t>
      </w:r>
    </w:p>
    <w:p w14:paraId="4BE33ACF" w14:textId="1FFE66C5" w:rsidR="00790E7F" w:rsidRDefault="00790E7F"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B178C5">
        <w:rPr>
          <w:rFonts w:ascii="Arial" w:hAnsi="Arial" w:cs="Arial"/>
          <w:bCs/>
          <w:sz w:val="24"/>
          <w:szCs w:val="24"/>
          <w:lang w:val="en-GB"/>
        </w:rPr>
        <w:t>1</w:t>
      </w:r>
      <w:r w:rsidR="002519FD">
        <w:rPr>
          <w:rFonts w:ascii="Arial" w:hAnsi="Arial" w:cs="Arial"/>
          <w:bCs/>
          <w:sz w:val="24"/>
          <w:szCs w:val="24"/>
          <w:lang w:val="en-GB"/>
        </w:rPr>
        <w:t>0</w:t>
      </w:r>
      <w:r>
        <w:rPr>
          <w:rFonts w:ascii="Arial" w:hAnsi="Arial" w:cs="Arial"/>
          <w:bCs/>
          <w:sz w:val="24"/>
          <w:szCs w:val="24"/>
          <w:lang w:val="en-GB"/>
        </w:rPr>
        <w:t xml:space="preserve">] In January 2023 </w:t>
      </w:r>
      <w:r w:rsidR="00B03B17">
        <w:rPr>
          <w:rFonts w:ascii="Arial" w:hAnsi="Arial" w:cs="Arial"/>
          <w:bCs/>
          <w:sz w:val="24"/>
          <w:szCs w:val="24"/>
          <w:lang w:val="en-GB"/>
        </w:rPr>
        <w:t>the applicant</w:t>
      </w:r>
      <w:r>
        <w:rPr>
          <w:rFonts w:ascii="Arial" w:hAnsi="Arial" w:cs="Arial"/>
          <w:bCs/>
          <w:sz w:val="24"/>
          <w:szCs w:val="24"/>
          <w:lang w:val="en-GB"/>
        </w:rPr>
        <w:t xml:space="preserve"> advised all its sub-licen</w:t>
      </w:r>
      <w:r w:rsidR="00EE6009">
        <w:rPr>
          <w:rFonts w:ascii="Arial" w:hAnsi="Arial" w:cs="Arial"/>
          <w:bCs/>
          <w:sz w:val="24"/>
          <w:szCs w:val="24"/>
          <w:lang w:val="en-GB"/>
        </w:rPr>
        <w:t>c</w:t>
      </w:r>
      <w:r>
        <w:rPr>
          <w:rFonts w:ascii="Arial" w:hAnsi="Arial" w:cs="Arial"/>
          <w:bCs/>
          <w:sz w:val="24"/>
          <w:szCs w:val="24"/>
          <w:lang w:val="en-GB"/>
        </w:rPr>
        <w:t>e</w:t>
      </w:r>
      <w:r w:rsidR="00B03B17">
        <w:rPr>
          <w:rFonts w:ascii="Arial" w:hAnsi="Arial" w:cs="Arial"/>
          <w:bCs/>
          <w:sz w:val="24"/>
          <w:szCs w:val="24"/>
          <w:lang w:val="en-GB"/>
        </w:rPr>
        <w:t>e</w:t>
      </w:r>
      <w:r>
        <w:rPr>
          <w:rFonts w:ascii="Arial" w:hAnsi="Arial" w:cs="Arial"/>
          <w:bCs/>
          <w:sz w:val="24"/>
          <w:szCs w:val="24"/>
          <w:lang w:val="en-GB"/>
        </w:rPr>
        <w:t>s and agents including the respondents of its intention to implement a new model and business structure from March 2025.  That mean</w:t>
      </w:r>
      <w:r w:rsidR="002419F6">
        <w:rPr>
          <w:rFonts w:ascii="Arial" w:hAnsi="Arial" w:cs="Arial"/>
          <w:bCs/>
          <w:sz w:val="24"/>
          <w:szCs w:val="24"/>
          <w:lang w:val="en-GB"/>
        </w:rPr>
        <w:t>t</w:t>
      </w:r>
      <w:r>
        <w:rPr>
          <w:rFonts w:ascii="Arial" w:hAnsi="Arial" w:cs="Arial"/>
          <w:bCs/>
          <w:sz w:val="24"/>
          <w:szCs w:val="24"/>
          <w:lang w:val="en-GB"/>
        </w:rPr>
        <w:t xml:space="preserve"> that at the termination of the existing agreements by effluxion of time, the sub-licen</w:t>
      </w:r>
      <w:r w:rsidR="00EE6009">
        <w:rPr>
          <w:rFonts w:ascii="Arial" w:hAnsi="Arial" w:cs="Arial"/>
          <w:bCs/>
          <w:sz w:val="24"/>
          <w:szCs w:val="24"/>
          <w:lang w:val="en-GB"/>
        </w:rPr>
        <w:t>c</w:t>
      </w:r>
      <w:r>
        <w:rPr>
          <w:rFonts w:ascii="Arial" w:hAnsi="Arial" w:cs="Arial"/>
          <w:bCs/>
          <w:sz w:val="24"/>
          <w:szCs w:val="24"/>
          <w:lang w:val="en-GB"/>
        </w:rPr>
        <w:t>e</w:t>
      </w:r>
      <w:r w:rsidR="00B03B17">
        <w:rPr>
          <w:rFonts w:ascii="Arial" w:hAnsi="Arial" w:cs="Arial"/>
          <w:bCs/>
          <w:sz w:val="24"/>
          <w:szCs w:val="24"/>
          <w:lang w:val="en-GB"/>
        </w:rPr>
        <w:t>e</w:t>
      </w:r>
      <w:r>
        <w:rPr>
          <w:rFonts w:ascii="Arial" w:hAnsi="Arial" w:cs="Arial"/>
          <w:bCs/>
          <w:sz w:val="24"/>
          <w:szCs w:val="24"/>
          <w:lang w:val="en-GB"/>
        </w:rPr>
        <w:t xml:space="preserve">s and agents would be given an election to either renew </w:t>
      </w:r>
      <w:r w:rsidR="00B03B17">
        <w:rPr>
          <w:rFonts w:ascii="Arial" w:hAnsi="Arial" w:cs="Arial"/>
          <w:bCs/>
          <w:sz w:val="24"/>
          <w:szCs w:val="24"/>
          <w:lang w:val="en-GB"/>
        </w:rPr>
        <w:t xml:space="preserve">the agreements </w:t>
      </w:r>
      <w:r>
        <w:rPr>
          <w:rFonts w:ascii="Arial" w:hAnsi="Arial" w:cs="Arial"/>
          <w:bCs/>
          <w:sz w:val="24"/>
          <w:szCs w:val="24"/>
          <w:lang w:val="en-GB"/>
        </w:rPr>
        <w:t>in accordance with the new business model or terminate the existing agreements.  On 17 April 2023 the respondents gave notice of termination of the existing sub-licence and agency agreements.  The applicant accepted the respondents’ termination notice.</w:t>
      </w:r>
    </w:p>
    <w:p w14:paraId="2FBF20E0" w14:textId="5AE22DFC" w:rsidR="00B03B17" w:rsidRDefault="00B03B17"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alleged breach.</w:t>
      </w:r>
    </w:p>
    <w:p w14:paraId="5F61A803" w14:textId="15B30EAE" w:rsidR="00A505A6" w:rsidRDefault="00790E7F"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AB13CB">
        <w:rPr>
          <w:rFonts w:ascii="Arial" w:hAnsi="Arial" w:cs="Arial"/>
          <w:bCs/>
          <w:sz w:val="24"/>
          <w:szCs w:val="24"/>
          <w:lang w:val="en-GB"/>
        </w:rPr>
        <w:t>1</w:t>
      </w:r>
      <w:r>
        <w:rPr>
          <w:rFonts w:ascii="Arial" w:hAnsi="Arial" w:cs="Arial"/>
          <w:bCs/>
          <w:sz w:val="24"/>
          <w:szCs w:val="24"/>
          <w:lang w:val="en-GB"/>
        </w:rPr>
        <w:t xml:space="preserve">] In March 2023 </w:t>
      </w:r>
      <w:r w:rsidR="00AB13CB">
        <w:rPr>
          <w:rFonts w:ascii="Arial" w:hAnsi="Arial" w:cs="Arial"/>
          <w:bCs/>
          <w:sz w:val="24"/>
          <w:szCs w:val="24"/>
          <w:lang w:val="en-GB"/>
        </w:rPr>
        <w:t>the applicant</w:t>
      </w:r>
      <w:r w:rsidR="00EB1825">
        <w:rPr>
          <w:rFonts w:ascii="Arial" w:hAnsi="Arial" w:cs="Arial"/>
          <w:bCs/>
          <w:sz w:val="24"/>
          <w:szCs w:val="24"/>
          <w:lang w:val="en-GB"/>
        </w:rPr>
        <w:t xml:space="preserve"> was</w:t>
      </w:r>
      <w:r>
        <w:rPr>
          <w:rFonts w:ascii="Arial" w:hAnsi="Arial" w:cs="Arial"/>
          <w:bCs/>
          <w:sz w:val="24"/>
          <w:szCs w:val="24"/>
          <w:lang w:val="en-GB"/>
        </w:rPr>
        <w:t xml:space="preserve"> informed by one of its customers</w:t>
      </w:r>
      <w:r w:rsidR="00AA48F6">
        <w:rPr>
          <w:rFonts w:ascii="Arial" w:hAnsi="Arial" w:cs="Arial"/>
          <w:bCs/>
          <w:sz w:val="24"/>
          <w:szCs w:val="24"/>
          <w:lang w:val="en-GB"/>
        </w:rPr>
        <w:t xml:space="preserve"> referred</w:t>
      </w:r>
      <w:r w:rsidR="00716AEB">
        <w:rPr>
          <w:rFonts w:ascii="Arial" w:hAnsi="Arial" w:cs="Arial"/>
          <w:bCs/>
          <w:sz w:val="24"/>
          <w:szCs w:val="24"/>
          <w:lang w:val="en-GB"/>
        </w:rPr>
        <w:t xml:space="preserve"> </w:t>
      </w:r>
      <w:r w:rsidR="000377FB">
        <w:rPr>
          <w:rFonts w:ascii="Arial" w:hAnsi="Arial" w:cs="Arial"/>
          <w:bCs/>
          <w:sz w:val="24"/>
          <w:szCs w:val="24"/>
          <w:lang w:val="en-GB"/>
        </w:rPr>
        <w:t>to as</w:t>
      </w:r>
      <w:r>
        <w:rPr>
          <w:rFonts w:ascii="Arial" w:hAnsi="Arial" w:cs="Arial"/>
          <w:bCs/>
          <w:sz w:val="24"/>
          <w:szCs w:val="24"/>
          <w:lang w:val="en-GB"/>
        </w:rPr>
        <w:t xml:space="preserve"> Eri</w:t>
      </w:r>
      <w:r w:rsidR="000216F5">
        <w:rPr>
          <w:rFonts w:ascii="Arial" w:hAnsi="Arial" w:cs="Arial"/>
          <w:bCs/>
          <w:sz w:val="24"/>
          <w:szCs w:val="24"/>
          <w:lang w:val="en-GB"/>
        </w:rPr>
        <w:t>c</w:t>
      </w:r>
      <w:r>
        <w:rPr>
          <w:rFonts w:ascii="Arial" w:hAnsi="Arial" w:cs="Arial"/>
          <w:bCs/>
          <w:sz w:val="24"/>
          <w:szCs w:val="24"/>
          <w:lang w:val="en-GB"/>
        </w:rPr>
        <w:t xml:space="preserve">sson that the respondents, acting through Apex, had approached it for purposes of </w:t>
      </w:r>
      <w:r w:rsidR="00B03B17">
        <w:rPr>
          <w:rFonts w:ascii="Arial" w:hAnsi="Arial" w:cs="Arial"/>
          <w:bCs/>
          <w:sz w:val="24"/>
          <w:szCs w:val="24"/>
          <w:lang w:val="en-GB"/>
        </w:rPr>
        <w:t>s</w:t>
      </w:r>
      <w:r>
        <w:rPr>
          <w:rFonts w:ascii="Arial" w:hAnsi="Arial" w:cs="Arial"/>
          <w:bCs/>
          <w:sz w:val="24"/>
          <w:szCs w:val="24"/>
          <w:lang w:val="en-GB"/>
        </w:rPr>
        <w:t>ecurring Er</w:t>
      </w:r>
      <w:r w:rsidR="000F560C">
        <w:rPr>
          <w:rFonts w:ascii="Arial" w:hAnsi="Arial" w:cs="Arial"/>
          <w:bCs/>
          <w:sz w:val="24"/>
          <w:szCs w:val="24"/>
          <w:lang w:val="en-GB"/>
        </w:rPr>
        <w:t>i</w:t>
      </w:r>
      <w:r w:rsidR="000216F5">
        <w:rPr>
          <w:rFonts w:ascii="Arial" w:hAnsi="Arial" w:cs="Arial"/>
          <w:bCs/>
          <w:sz w:val="24"/>
          <w:szCs w:val="24"/>
          <w:lang w:val="en-GB"/>
        </w:rPr>
        <w:t>c</w:t>
      </w:r>
      <w:r>
        <w:rPr>
          <w:rFonts w:ascii="Arial" w:hAnsi="Arial" w:cs="Arial"/>
          <w:bCs/>
          <w:sz w:val="24"/>
          <w:szCs w:val="24"/>
          <w:lang w:val="en-GB"/>
        </w:rPr>
        <w:t xml:space="preserve">sson as Apex’s client.  </w:t>
      </w:r>
      <w:r w:rsidR="00EE6009">
        <w:rPr>
          <w:rFonts w:ascii="Arial" w:hAnsi="Arial" w:cs="Arial"/>
          <w:bCs/>
          <w:sz w:val="24"/>
          <w:szCs w:val="24"/>
          <w:lang w:val="en-GB"/>
        </w:rPr>
        <w:t xml:space="preserve">In this regard </w:t>
      </w:r>
      <w:r w:rsidR="00B03B17">
        <w:rPr>
          <w:rFonts w:ascii="Arial" w:hAnsi="Arial" w:cs="Arial"/>
          <w:bCs/>
          <w:sz w:val="24"/>
          <w:szCs w:val="24"/>
          <w:lang w:val="en-GB"/>
        </w:rPr>
        <w:t>the applicant</w:t>
      </w:r>
      <w:r>
        <w:rPr>
          <w:rFonts w:ascii="Arial" w:hAnsi="Arial" w:cs="Arial"/>
          <w:bCs/>
          <w:sz w:val="24"/>
          <w:szCs w:val="24"/>
          <w:lang w:val="en-GB"/>
        </w:rPr>
        <w:t xml:space="preserve"> refers to an email it received from Eri</w:t>
      </w:r>
      <w:r w:rsidR="00406687">
        <w:rPr>
          <w:rFonts w:ascii="Arial" w:hAnsi="Arial" w:cs="Arial"/>
          <w:bCs/>
          <w:sz w:val="24"/>
          <w:szCs w:val="24"/>
          <w:lang w:val="en-GB"/>
        </w:rPr>
        <w:t>c</w:t>
      </w:r>
      <w:r>
        <w:rPr>
          <w:rFonts w:ascii="Arial" w:hAnsi="Arial" w:cs="Arial"/>
          <w:bCs/>
          <w:sz w:val="24"/>
          <w:szCs w:val="24"/>
          <w:lang w:val="en-GB"/>
        </w:rPr>
        <w:t xml:space="preserve">sson which it </w:t>
      </w:r>
      <w:r w:rsidR="00CF7040">
        <w:rPr>
          <w:rFonts w:ascii="Arial" w:hAnsi="Arial" w:cs="Arial"/>
          <w:bCs/>
          <w:sz w:val="24"/>
          <w:szCs w:val="24"/>
          <w:lang w:val="en-GB"/>
        </w:rPr>
        <w:t>understood to be</w:t>
      </w:r>
      <w:r>
        <w:rPr>
          <w:rFonts w:ascii="Arial" w:hAnsi="Arial" w:cs="Arial"/>
          <w:bCs/>
          <w:sz w:val="24"/>
          <w:szCs w:val="24"/>
          <w:lang w:val="en-GB"/>
        </w:rPr>
        <w:t xml:space="preserve"> Apex </w:t>
      </w:r>
      <w:r w:rsidR="006F3E62">
        <w:rPr>
          <w:rFonts w:ascii="Arial" w:hAnsi="Arial" w:cs="Arial"/>
          <w:bCs/>
          <w:sz w:val="24"/>
          <w:szCs w:val="24"/>
          <w:lang w:val="en-GB"/>
        </w:rPr>
        <w:t xml:space="preserve">soliciting </w:t>
      </w:r>
      <w:r w:rsidR="00A3732A">
        <w:rPr>
          <w:rFonts w:ascii="Arial" w:hAnsi="Arial" w:cs="Arial"/>
          <w:bCs/>
          <w:sz w:val="24"/>
          <w:szCs w:val="24"/>
          <w:lang w:val="en-GB"/>
        </w:rPr>
        <w:t>Eri</w:t>
      </w:r>
      <w:r w:rsidR="000377FB">
        <w:rPr>
          <w:rFonts w:ascii="Arial" w:hAnsi="Arial" w:cs="Arial"/>
          <w:bCs/>
          <w:sz w:val="24"/>
          <w:szCs w:val="24"/>
          <w:lang w:val="en-GB"/>
        </w:rPr>
        <w:t>c</w:t>
      </w:r>
      <w:r w:rsidR="00A3732A">
        <w:rPr>
          <w:rFonts w:ascii="Arial" w:hAnsi="Arial" w:cs="Arial"/>
          <w:bCs/>
          <w:sz w:val="24"/>
          <w:szCs w:val="24"/>
          <w:lang w:val="en-GB"/>
        </w:rPr>
        <w:t>sson</w:t>
      </w:r>
      <w:r w:rsidR="0069608B">
        <w:rPr>
          <w:rFonts w:ascii="Arial" w:hAnsi="Arial" w:cs="Arial"/>
          <w:bCs/>
          <w:sz w:val="24"/>
          <w:szCs w:val="24"/>
          <w:lang w:val="en-GB"/>
        </w:rPr>
        <w:t xml:space="preserve"> by </w:t>
      </w:r>
      <w:r w:rsidR="003D13E3">
        <w:rPr>
          <w:rFonts w:ascii="Arial" w:hAnsi="Arial" w:cs="Arial"/>
          <w:bCs/>
          <w:sz w:val="24"/>
          <w:szCs w:val="24"/>
          <w:lang w:val="en-GB"/>
        </w:rPr>
        <w:t>saying that</w:t>
      </w:r>
      <w:r>
        <w:rPr>
          <w:rFonts w:ascii="Arial" w:hAnsi="Arial" w:cs="Arial"/>
          <w:bCs/>
          <w:sz w:val="24"/>
          <w:szCs w:val="24"/>
          <w:lang w:val="en-GB"/>
        </w:rPr>
        <w:t xml:space="preserve"> </w:t>
      </w:r>
      <w:r w:rsidR="00B03B17">
        <w:rPr>
          <w:rFonts w:ascii="Arial" w:hAnsi="Arial" w:cs="Arial"/>
          <w:bCs/>
          <w:sz w:val="24"/>
          <w:szCs w:val="24"/>
          <w:lang w:val="en-GB"/>
        </w:rPr>
        <w:t>the applicant</w:t>
      </w:r>
      <w:r>
        <w:rPr>
          <w:rFonts w:ascii="Arial" w:hAnsi="Arial" w:cs="Arial"/>
          <w:bCs/>
          <w:sz w:val="24"/>
          <w:szCs w:val="24"/>
          <w:lang w:val="en-GB"/>
        </w:rPr>
        <w:t xml:space="preserve"> was no longer operating a </w:t>
      </w:r>
      <w:r w:rsidR="00237676">
        <w:rPr>
          <w:rFonts w:ascii="Arial" w:hAnsi="Arial" w:cs="Arial"/>
          <w:bCs/>
          <w:sz w:val="24"/>
          <w:szCs w:val="24"/>
          <w:lang w:val="en-GB"/>
        </w:rPr>
        <w:t xml:space="preserve">van rental business and that Apex was operating a van rental business.  </w:t>
      </w:r>
    </w:p>
    <w:p w14:paraId="41DC8D3C" w14:textId="1D5249E9" w:rsidR="00790E7F" w:rsidRDefault="00720AC3" w:rsidP="000A1C49">
      <w:pPr>
        <w:spacing w:line="480" w:lineRule="auto"/>
        <w:jc w:val="both"/>
        <w:rPr>
          <w:rFonts w:ascii="Arial" w:hAnsi="Arial" w:cs="Arial"/>
          <w:bCs/>
          <w:sz w:val="24"/>
          <w:szCs w:val="24"/>
          <w:lang w:val="en-GB"/>
        </w:rPr>
      </w:pPr>
      <w:r>
        <w:rPr>
          <w:rFonts w:ascii="Arial" w:hAnsi="Arial" w:cs="Arial"/>
          <w:bCs/>
          <w:sz w:val="24"/>
          <w:szCs w:val="24"/>
          <w:lang w:val="en-GB"/>
        </w:rPr>
        <w:lastRenderedPageBreak/>
        <w:t>[1</w:t>
      </w:r>
      <w:r w:rsidR="00B230D9">
        <w:rPr>
          <w:rFonts w:ascii="Arial" w:hAnsi="Arial" w:cs="Arial"/>
          <w:bCs/>
          <w:sz w:val="24"/>
          <w:szCs w:val="24"/>
          <w:lang w:val="en-GB"/>
        </w:rPr>
        <w:t>2</w:t>
      </w:r>
      <w:r>
        <w:rPr>
          <w:rFonts w:ascii="Arial" w:hAnsi="Arial" w:cs="Arial"/>
          <w:bCs/>
          <w:sz w:val="24"/>
          <w:szCs w:val="24"/>
          <w:lang w:val="en-GB"/>
        </w:rPr>
        <w:t xml:space="preserve">] </w:t>
      </w:r>
      <w:r w:rsidR="00237676">
        <w:rPr>
          <w:rFonts w:ascii="Arial" w:hAnsi="Arial" w:cs="Arial"/>
          <w:bCs/>
          <w:sz w:val="24"/>
          <w:szCs w:val="24"/>
          <w:lang w:val="en-GB"/>
        </w:rPr>
        <w:t xml:space="preserve">As a </w:t>
      </w:r>
      <w:r w:rsidR="00381070">
        <w:rPr>
          <w:rFonts w:ascii="Arial" w:hAnsi="Arial" w:cs="Arial"/>
          <w:bCs/>
          <w:sz w:val="24"/>
          <w:szCs w:val="24"/>
          <w:lang w:val="en-GB"/>
        </w:rPr>
        <w:t>result,</w:t>
      </w:r>
      <w:r w:rsidR="00237676">
        <w:rPr>
          <w:rFonts w:ascii="Arial" w:hAnsi="Arial" w:cs="Arial"/>
          <w:bCs/>
          <w:sz w:val="24"/>
          <w:szCs w:val="24"/>
          <w:lang w:val="en-GB"/>
        </w:rPr>
        <w:t xml:space="preserve"> </w:t>
      </w:r>
      <w:r w:rsidR="00B03B17">
        <w:rPr>
          <w:rFonts w:ascii="Arial" w:hAnsi="Arial" w:cs="Arial"/>
          <w:bCs/>
          <w:sz w:val="24"/>
          <w:szCs w:val="24"/>
          <w:lang w:val="en-GB"/>
        </w:rPr>
        <w:t>the applicant</w:t>
      </w:r>
      <w:r w:rsidR="00237676">
        <w:rPr>
          <w:rFonts w:ascii="Arial" w:hAnsi="Arial" w:cs="Arial"/>
          <w:bCs/>
          <w:sz w:val="24"/>
          <w:szCs w:val="24"/>
          <w:lang w:val="en-GB"/>
        </w:rPr>
        <w:t xml:space="preserve"> sent a letter to the respondents confronting them with this information.  The respondents, represented by Mr Du Toit, denied</w:t>
      </w:r>
      <w:r w:rsidR="00D13F06">
        <w:rPr>
          <w:rFonts w:ascii="Arial" w:hAnsi="Arial" w:cs="Arial"/>
          <w:bCs/>
          <w:sz w:val="24"/>
          <w:szCs w:val="24"/>
          <w:lang w:val="en-GB"/>
        </w:rPr>
        <w:t xml:space="preserve"> in </w:t>
      </w:r>
      <w:r w:rsidR="00FA1756">
        <w:rPr>
          <w:rFonts w:ascii="Arial" w:hAnsi="Arial" w:cs="Arial"/>
          <w:bCs/>
          <w:sz w:val="24"/>
          <w:szCs w:val="24"/>
          <w:lang w:val="en-GB"/>
        </w:rPr>
        <w:t>writing</w:t>
      </w:r>
      <w:r w:rsidR="00237676">
        <w:rPr>
          <w:rFonts w:ascii="Arial" w:hAnsi="Arial" w:cs="Arial"/>
          <w:bCs/>
          <w:sz w:val="24"/>
          <w:szCs w:val="24"/>
          <w:lang w:val="en-GB"/>
        </w:rPr>
        <w:t xml:space="preserve"> that they solicited or enticed Eri</w:t>
      </w:r>
      <w:r w:rsidR="00811D3E">
        <w:rPr>
          <w:rFonts w:ascii="Arial" w:hAnsi="Arial" w:cs="Arial"/>
          <w:bCs/>
          <w:sz w:val="24"/>
          <w:szCs w:val="24"/>
          <w:lang w:val="en-GB"/>
        </w:rPr>
        <w:t>c</w:t>
      </w:r>
      <w:r w:rsidR="00237676">
        <w:rPr>
          <w:rFonts w:ascii="Arial" w:hAnsi="Arial" w:cs="Arial"/>
          <w:bCs/>
          <w:sz w:val="24"/>
          <w:szCs w:val="24"/>
          <w:lang w:val="en-GB"/>
        </w:rPr>
        <w:t>sson to be the customer</w:t>
      </w:r>
      <w:r w:rsidR="006A3661">
        <w:rPr>
          <w:rFonts w:ascii="Arial" w:hAnsi="Arial" w:cs="Arial"/>
          <w:bCs/>
          <w:sz w:val="24"/>
          <w:szCs w:val="24"/>
          <w:lang w:val="en-GB"/>
        </w:rPr>
        <w:t xml:space="preserve"> of Apex.  In that</w:t>
      </w:r>
      <w:r w:rsidR="00956F0A">
        <w:rPr>
          <w:rFonts w:ascii="Arial" w:hAnsi="Arial" w:cs="Arial"/>
          <w:bCs/>
          <w:sz w:val="24"/>
          <w:szCs w:val="24"/>
          <w:lang w:val="en-GB"/>
        </w:rPr>
        <w:t xml:space="preserve"> </w:t>
      </w:r>
      <w:r w:rsidR="00FA1756">
        <w:rPr>
          <w:rFonts w:ascii="Arial" w:hAnsi="Arial" w:cs="Arial"/>
          <w:bCs/>
          <w:sz w:val="24"/>
          <w:szCs w:val="24"/>
          <w:lang w:val="en-GB"/>
        </w:rPr>
        <w:t>correspondence</w:t>
      </w:r>
      <w:r w:rsidR="006A3661">
        <w:rPr>
          <w:rFonts w:ascii="Arial" w:hAnsi="Arial" w:cs="Arial"/>
          <w:bCs/>
          <w:sz w:val="24"/>
          <w:szCs w:val="24"/>
          <w:lang w:val="en-GB"/>
        </w:rPr>
        <w:t xml:space="preserve"> Mr Du Toit</w:t>
      </w:r>
      <w:r w:rsidR="004C601C">
        <w:rPr>
          <w:rFonts w:ascii="Arial" w:hAnsi="Arial" w:cs="Arial"/>
          <w:bCs/>
          <w:sz w:val="24"/>
          <w:szCs w:val="24"/>
          <w:lang w:val="en-GB"/>
        </w:rPr>
        <w:t xml:space="preserve"> also</w:t>
      </w:r>
      <w:r w:rsidR="006A3661">
        <w:rPr>
          <w:rFonts w:ascii="Arial" w:hAnsi="Arial" w:cs="Arial"/>
          <w:bCs/>
          <w:sz w:val="24"/>
          <w:szCs w:val="24"/>
          <w:lang w:val="en-GB"/>
        </w:rPr>
        <w:t xml:space="preserve"> confirmed </w:t>
      </w:r>
      <w:r w:rsidR="00B03B17">
        <w:rPr>
          <w:rFonts w:ascii="Arial" w:hAnsi="Arial" w:cs="Arial"/>
          <w:bCs/>
          <w:sz w:val="24"/>
          <w:szCs w:val="24"/>
          <w:lang w:val="en-GB"/>
        </w:rPr>
        <w:t xml:space="preserve">his </w:t>
      </w:r>
      <w:r w:rsidR="00FA1756">
        <w:rPr>
          <w:rFonts w:ascii="Arial" w:hAnsi="Arial" w:cs="Arial"/>
          <w:bCs/>
          <w:sz w:val="24"/>
          <w:szCs w:val="24"/>
          <w:lang w:val="en-GB"/>
        </w:rPr>
        <w:t>directorship of</w:t>
      </w:r>
      <w:r w:rsidR="006A3661">
        <w:rPr>
          <w:rFonts w:ascii="Arial" w:hAnsi="Arial" w:cs="Arial"/>
          <w:bCs/>
          <w:sz w:val="24"/>
          <w:szCs w:val="24"/>
          <w:lang w:val="en-GB"/>
        </w:rPr>
        <w:t xml:space="preserve"> Apex but denied </w:t>
      </w:r>
      <w:r w:rsidR="001801EB">
        <w:rPr>
          <w:rFonts w:ascii="Arial" w:hAnsi="Arial" w:cs="Arial"/>
          <w:bCs/>
          <w:sz w:val="24"/>
          <w:szCs w:val="24"/>
          <w:lang w:val="en-GB"/>
        </w:rPr>
        <w:t xml:space="preserve">that Apex conducts the same or similar business to that of </w:t>
      </w:r>
      <w:r w:rsidR="00B03B17">
        <w:rPr>
          <w:rFonts w:ascii="Arial" w:hAnsi="Arial" w:cs="Arial"/>
          <w:bCs/>
          <w:sz w:val="24"/>
          <w:szCs w:val="24"/>
          <w:lang w:val="en-GB"/>
        </w:rPr>
        <w:t>the applicant</w:t>
      </w:r>
      <w:r w:rsidR="001801EB">
        <w:rPr>
          <w:rFonts w:ascii="Arial" w:hAnsi="Arial" w:cs="Arial"/>
          <w:bCs/>
          <w:sz w:val="24"/>
          <w:szCs w:val="24"/>
          <w:lang w:val="en-GB"/>
        </w:rPr>
        <w:t>.  He further indicated that he was not aware of the conduct of Kim Lockem</w:t>
      </w:r>
      <w:r w:rsidR="00B03B17">
        <w:rPr>
          <w:rFonts w:ascii="Arial" w:hAnsi="Arial" w:cs="Arial"/>
          <w:bCs/>
          <w:sz w:val="24"/>
          <w:szCs w:val="24"/>
          <w:lang w:val="en-GB"/>
        </w:rPr>
        <w:t>, an employee</w:t>
      </w:r>
      <w:r w:rsidR="005504B0">
        <w:rPr>
          <w:rFonts w:ascii="Arial" w:hAnsi="Arial" w:cs="Arial"/>
          <w:bCs/>
          <w:sz w:val="24"/>
          <w:szCs w:val="24"/>
          <w:lang w:val="en-GB"/>
        </w:rPr>
        <w:t xml:space="preserve"> of Apex</w:t>
      </w:r>
      <w:r w:rsidR="001801EB">
        <w:rPr>
          <w:rFonts w:ascii="Arial" w:hAnsi="Arial" w:cs="Arial"/>
          <w:bCs/>
          <w:sz w:val="24"/>
          <w:szCs w:val="24"/>
          <w:lang w:val="en-GB"/>
        </w:rPr>
        <w:t xml:space="preserve"> who</w:t>
      </w:r>
      <w:r w:rsidR="005504B0">
        <w:rPr>
          <w:rFonts w:ascii="Arial" w:hAnsi="Arial" w:cs="Arial"/>
          <w:bCs/>
          <w:sz w:val="24"/>
          <w:szCs w:val="24"/>
          <w:lang w:val="en-GB"/>
        </w:rPr>
        <w:t xml:space="preserve">m </w:t>
      </w:r>
      <w:r w:rsidR="00C2389C">
        <w:rPr>
          <w:rFonts w:ascii="Arial" w:hAnsi="Arial" w:cs="Arial"/>
          <w:bCs/>
          <w:sz w:val="24"/>
          <w:szCs w:val="24"/>
          <w:lang w:val="en-GB"/>
        </w:rPr>
        <w:t>it was alleged</w:t>
      </w:r>
      <w:r w:rsidR="007754CD">
        <w:rPr>
          <w:rFonts w:ascii="Arial" w:hAnsi="Arial" w:cs="Arial"/>
          <w:bCs/>
          <w:sz w:val="24"/>
          <w:szCs w:val="24"/>
          <w:lang w:val="en-GB"/>
        </w:rPr>
        <w:t>,</w:t>
      </w:r>
      <w:r w:rsidR="001801EB">
        <w:rPr>
          <w:rFonts w:ascii="Arial" w:hAnsi="Arial" w:cs="Arial"/>
          <w:bCs/>
          <w:sz w:val="24"/>
          <w:szCs w:val="24"/>
          <w:lang w:val="en-GB"/>
        </w:rPr>
        <w:t xml:space="preserve"> ostensibl</w:t>
      </w:r>
      <w:r w:rsidR="008A6648">
        <w:rPr>
          <w:rFonts w:ascii="Arial" w:hAnsi="Arial" w:cs="Arial"/>
          <w:bCs/>
          <w:sz w:val="24"/>
          <w:szCs w:val="24"/>
          <w:lang w:val="en-GB"/>
        </w:rPr>
        <w:t>y</w:t>
      </w:r>
      <w:r w:rsidR="001801EB">
        <w:rPr>
          <w:rFonts w:ascii="Arial" w:hAnsi="Arial" w:cs="Arial"/>
          <w:bCs/>
          <w:sz w:val="24"/>
          <w:szCs w:val="24"/>
          <w:lang w:val="en-GB"/>
        </w:rPr>
        <w:t xml:space="preserve"> </w:t>
      </w:r>
      <w:r w:rsidR="008A6648">
        <w:rPr>
          <w:rFonts w:ascii="Arial" w:hAnsi="Arial" w:cs="Arial"/>
          <w:bCs/>
          <w:sz w:val="24"/>
          <w:szCs w:val="24"/>
          <w:lang w:val="en-GB"/>
        </w:rPr>
        <w:t>utilized</w:t>
      </w:r>
      <w:r w:rsidR="001801EB">
        <w:rPr>
          <w:rFonts w:ascii="Arial" w:hAnsi="Arial" w:cs="Arial"/>
          <w:bCs/>
          <w:sz w:val="24"/>
          <w:szCs w:val="24"/>
          <w:lang w:val="en-GB"/>
        </w:rPr>
        <w:t xml:space="preserve"> Apex to compete with </w:t>
      </w:r>
      <w:r w:rsidR="00B03B17">
        <w:rPr>
          <w:rFonts w:ascii="Arial" w:hAnsi="Arial" w:cs="Arial"/>
          <w:bCs/>
          <w:sz w:val="24"/>
          <w:szCs w:val="24"/>
          <w:lang w:val="en-GB"/>
        </w:rPr>
        <w:t>the applicant</w:t>
      </w:r>
      <w:r w:rsidR="001801EB">
        <w:rPr>
          <w:rFonts w:ascii="Arial" w:hAnsi="Arial" w:cs="Arial"/>
          <w:bCs/>
          <w:sz w:val="24"/>
          <w:szCs w:val="24"/>
          <w:lang w:val="en-GB"/>
        </w:rPr>
        <w:t>.</w:t>
      </w:r>
    </w:p>
    <w:p w14:paraId="22CB46DA" w14:textId="6AA7B0E6" w:rsidR="001801EB" w:rsidRDefault="001801EB"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0467B3">
        <w:rPr>
          <w:rFonts w:ascii="Arial" w:hAnsi="Arial" w:cs="Arial"/>
          <w:bCs/>
          <w:sz w:val="24"/>
          <w:szCs w:val="24"/>
          <w:lang w:val="en-GB"/>
        </w:rPr>
        <w:t>3</w:t>
      </w:r>
      <w:r>
        <w:rPr>
          <w:rFonts w:ascii="Arial" w:hAnsi="Arial" w:cs="Arial"/>
          <w:bCs/>
          <w:sz w:val="24"/>
          <w:szCs w:val="24"/>
          <w:lang w:val="en-GB"/>
        </w:rPr>
        <w:t xml:space="preserve">] </w:t>
      </w:r>
      <w:r w:rsidR="009A76A4">
        <w:rPr>
          <w:rFonts w:ascii="Arial" w:hAnsi="Arial" w:cs="Arial"/>
          <w:bCs/>
          <w:sz w:val="24"/>
          <w:szCs w:val="24"/>
          <w:lang w:val="en-GB"/>
        </w:rPr>
        <w:t>The applicant</w:t>
      </w:r>
      <w:r>
        <w:rPr>
          <w:rFonts w:ascii="Arial" w:hAnsi="Arial" w:cs="Arial"/>
          <w:bCs/>
          <w:sz w:val="24"/>
          <w:szCs w:val="24"/>
          <w:lang w:val="en-GB"/>
        </w:rPr>
        <w:t xml:space="preserve"> further alleges that it</w:t>
      </w:r>
      <w:r w:rsidR="00077E79">
        <w:rPr>
          <w:rFonts w:ascii="Arial" w:hAnsi="Arial" w:cs="Arial"/>
          <w:bCs/>
          <w:sz w:val="24"/>
          <w:szCs w:val="24"/>
          <w:lang w:val="en-GB"/>
        </w:rPr>
        <w:t xml:space="preserve"> became</w:t>
      </w:r>
      <w:r>
        <w:rPr>
          <w:rFonts w:ascii="Arial" w:hAnsi="Arial" w:cs="Arial"/>
          <w:bCs/>
          <w:sz w:val="24"/>
          <w:szCs w:val="24"/>
          <w:lang w:val="en-GB"/>
        </w:rPr>
        <w:t xml:space="preserve"> apparent to it that when the respondents gave their notice of termination of the agreements, it was after they had been </w:t>
      </w:r>
      <w:r w:rsidR="008A6648">
        <w:rPr>
          <w:rFonts w:ascii="Arial" w:hAnsi="Arial" w:cs="Arial"/>
          <w:bCs/>
          <w:sz w:val="24"/>
          <w:szCs w:val="24"/>
          <w:lang w:val="en-GB"/>
        </w:rPr>
        <w:t>confronted</w:t>
      </w:r>
      <w:r>
        <w:rPr>
          <w:rFonts w:ascii="Arial" w:hAnsi="Arial" w:cs="Arial"/>
          <w:bCs/>
          <w:sz w:val="24"/>
          <w:szCs w:val="24"/>
          <w:lang w:val="en-GB"/>
        </w:rPr>
        <w:t xml:space="preserve"> with the evidence </w:t>
      </w:r>
      <w:r w:rsidR="009A76A4">
        <w:rPr>
          <w:rFonts w:ascii="Arial" w:hAnsi="Arial" w:cs="Arial"/>
          <w:bCs/>
          <w:sz w:val="24"/>
          <w:szCs w:val="24"/>
          <w:lang w:val="en-GB"/>
        </w:rPr>
        <w:t xml:space="preserve">of </w:t>
      </w:r>
      <w:r>
        <w:rPr>
          <w:rFonts w:ascii="Arial" w:hAnsi="Arial" w:cs="Arial"/>
          <w:bCs/>
          <w:sz w:val="24"/>
          <w:szCs w:val="24"/>
          <w:lang w:val="en-GB"/>
        </w:rPr>
        <w:t>the breach of the restraint clauses</w:t>
      </w:r>
      <w:r w:rsidR="008A6648">
        <w:rPr>
          <w:rFonts w:ascii="Arial" w:hAnsi="Arial" w:cs="Arial"/>
          <w:bCs/>
          <w:sz w:val="24"/>
          <w:szCs w:val="24"/>
          <w:lang w:val="en-GB"/>
        </w:rPr>
        <w:t xml:space="preserve"> in respect of Erics</w:t>
      </w:r>
      <w:r w:rsidR="000C62F5">
        <w:rPr>
          <w:rFonts w:ascii="Arial" w:hAnsi="Arial" w:cs="Arial"/>
          <w:bCs/>
          <w:sz w:val="24"/>
          <w:szCs w:val="24"/>
          <w:lang w:val="en-GB"/>
        </w:rPr>
        <w:t>s</w:t>
      </w:r>
      <w:r w:rsidR="008A6648">
        <w:rPr>
          <w:rFonts w:ascii="Arial" w:hAnsi="Arial" w:cs="Arial"/>
          <w:bCs/>
          <w:sz w:val="24"/>
          <w:szCs w:val="24"/>
          <w:lang w:val="en-GB"/>
        </w:rPr>
        <w:t>on</w:t>
      </w:r>
      <w:r>
        <w:rPr>
          <w:rFonts w:ascii="Arial" w:hAnsi="Arial" w:cs="Arial"/>
          <w:bCs/>
          <w:sz w:val="24"/>
          <w:szCs w:val="24"/>
          <w:lang w:val="en-GB"/>
        </w:rPr>
        <w:t>.  Consequent upon being confronted with the aforesaid breach</w:t>
      </w:r>
      <w:r w:rsidR="008A6648">
        <w:rPr>
          <w:rFonts w:ascii="Arial" w:hAnsi="Arial" w:cs="Arial"/>
          <w:bCs/>
          <w:sz w:val="24"/>
          <w:szCs w:val="24"/>
          <w:lang w:val="en-GB"/>
        </w:rPr>
        <w:t>,</w:t>
      </w:r>
      <w:r>
        <w:rPr>
          <w:rFonts w:ascii="Arial" w:hAnsi="Arial" w:cs="Arial"/>
          <w:bCs/>
          <w:sz w:val="24"/>
          <w:szCs w:val="24"/>
          <w:lang w:val="en-GB"/>
        </w:rPr>
        <w:t xml:space="preserve"> Mr Du Toit resigned as a director of Apex.  Ms Lund</w:t>
      </w:r>
      <w:r w:rsidR="009A76A4">
        <w:rPr>
          <w:rFonts w:ascii="Arial" w:hAnsi="Arial" w:cs="Arial"/>
          <w:bCs/>
          <w:sz w:val="24"/>
          <w:szCs w:val="24"/>
          <w:lang w:val="en-GB"/>
        </w:rPr>
        <w:t>y</w:t>
      </w:r>
      <w:r w:rsidR="003E4B7B">
        <w:rPr>
          <w:rFonts w:ascii="Arial" w:hAnsi="Arial" w:cs="Arial"/>
          <w:bCs/>
          <w:sz w:val="24"/>
          <w:szCs w:val="24"/>
          <w:lang w:val="en-GB"/>
        </w:rPr>
        <w:t xml:space="preserve"> who</w:t>
      </w:r>
      <w:r>
        <w:rPr>
          <w:rFonts w:ascii="Arial" w:hAnsi="Arial" w:cs="Arial"/>
          <w:bCs/>
          <w:sz w:val="24"/>
          <w:szCs w:val="24"/>
          <w:lang w:val="en-GB"/>
        </w:rPr>
        <w:t xml:space="preserve"> had worked for </w:t>
      </w:r>
      <w:r w:rsidR="008859C6">
        <w:rPr>
          <w:rFonts w:ascii="Arial" w:hAnsi="Arial" w:cs="Arial"/>
          <w:bCs/>
          <w:sz w:val="24"/>
          <w:szCs w:val="24"/>
          <w:lang w:val="en-GB"/>
        </w:rPr>
        <w:t>the applicant</w:t>
      </w:r>
      <w:r>
        <w:rPr>
          <w:rFonts w:ascii="Arial" w:hAnsi="Arial" w:cs="Arial"/>
          <w:bCs/>
          <w:sz w:val="24"/>
          <w:szCs w:val="24"/>
          <w:lang w:val="en-GB"/>
        </w:rPr>
        <w:t xml:space="preserve"> before</w:t>
      </w:r>
      <w:r w:rsidR="00275C4C">
        <w:rPr>
          <w:rFonts w:ascii="Arial" w:hAnsi="Arial" w:cs="Arial"/>
          <w:bCs/>
          <w:sz w:val="24"/>
          <w:szCs w:val="24"/>
          <w:lang w:val="en-GB"/>
        </w:rPr>
        <w:t xml:space="preserve"> was appointed as director of Apex.</w:t>
      </w:r>
      <w:r w:rsidR="00DD0A55">
        <w:rPr>
          <w:rFonts w:ascii="Arial" w:hAnsi="Arial" w:cs="Arial"/>
          <w:bCs/>
          <w:sz w:val="24"/>
          <w:szCs w:val="24"/>
          <w:lang w:val="en-GB"/>
        </w:rPr>
        <w:t xml:space="preserve">     </w:t>
      </w:r>
    </w:p>
    <w:p w14:paraId="1F4BC1CC" w14:textId="3D0E5555" w:rsidR="001801EB" w:rsidRDefault="001801EB"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9C1627">
        <w:rPr>
          <w:rFonts w:ascii="Arial" w:hAnsi="Arial" w:cs="Arial"/>
          <w:bCs/>
          <w:sz w:val="24"/>
          <w:szCs w:val="24"/>
          <w:lang w:val="en-GB"/>
        </w:rPr>
        <w:t>4</w:t>
      </w:r>
      <w:r>
        <w:rPr>
          <w:rFonts w:ascii="Arial" w:hAnsi="Arial" w:cs="Arial"/>
          <w:bCs/>
          <w:sz w:val="24"/>
          <w:szCs w:val="24"/>
          <w:lang w:val="en-GB"/>
        </w:rPr>
        <w:t xml:space="preserve">] </w:t>
      </w:r>
      <w:r w:rsidR="009A76A4">
        <w:rPr>
          <w:rFonts w:ascii="Arial" w:hAnsi="Arial" w:cs="Arial"/>
          <w:bCs/>
          <w:sz w:val="24"/>
          <w:szCs w:val="24"/>
          <w:lang w:val="en-GB"/>
        </w:rPr>
        <w:t>The applicant furt</w:t>
      </w:r>
      <w:r w:rsidR="004334F4">
        <w:rPr>
          <w:rFonts w:ascii="Arial" w:hAnsi="Arial" w:cs="Arial"/>
          <w:bCs/>
          <w:sz w:val="24"/>
          <w:szCs w:val="24"/>
          <w:lang w:val="en-GB"/>
        </w:rPr>
        <w:t>h</w:t>
      </w:r>
      <w:r w:rsidR="009A76A4">
        <w:rPr>
          <w:rFonts w:ascii="Arial" w:hAnsi="Arial" w:cs="Arial"/>
          <w:bCs/>
          <w:sz w:val="24"/>
          <w:szCs w:val="24"/>
          <w:lang w:val="en-GB"/>
        </w:rPr>
        <w:t>er</w:t>
      </w:r>
      <w:r>
        <w:rPr>
          <w:rFonts w:ascii="Arial" w:hAnsi="Arial" w:cs="Arial"/>
          <w:bCs/>
          <w:sz w:val="24"/>
          <w:szCs w:val="24"/>
          <w:lang w:val="en-GB"/>
        </w:rPr>
        <w:t xml:space="preserve"> alleges that Apex approached its sub-licence</w:t>
      </w:r>
      <w:r w:rsidR="008A6648">
        <w:rPr>
          <w:rFonts w:ascii="Arial" w:hAnsi="Arial" w:cs="Arial"/>
          <w:bCs/>
          <w:sz w:val="24"/>
          <w:szCs w:val="24"/>
          <w:lang w:val="en-GB"/>
        </w:rPr>
        <w:t>e</w:t>
      </w:r>
      <w:r>
        <w:rPr>
          <w:rFonts w:ascii="Arial" w:hAnsi="Arial" w:cs="Arial"/>
          <w:bCs/>
          <w:sz w:val="24"/>
          <w:szCs w:val="24"/>
          <w:lang w:val="en-GB"/>
        </w:rPr>
        <w:t xml:space="preserve">s and agents in the province of </w:t>
      </w:r>
      <w:r w:rsidR="00DA5690">
        <w:rPr>
          <w:rFonts w:ascii="Arial" w:hAnsi="Arial" w:cs="Arial"/>
          <w:bCs/>
          <w:sz w:val="24"/>
          <w:szCs w:val="24"/>
          <w:lang w:val="en-GB"/>
        </w:rPr>
        <w:t>Limpopo</w:t>
      </w:r>
      <w:r>
        <w:rPr>
          <w:rFonts w:ascii="Arial" w:hAnsi="Arial" w:cs="Arial"/>
          <w:bCs/>
          <w:sz w:val="24"/>
          <w:szCs w:val="24"/>
          <w:lang w:val="en-GB"/>
        </w:rPr>
        <w:t xml:space="preserve"> in Polokwane soliciting them to Apex’s vehicle re</w:t>
      </w:r>
      <w:r w:rsidR="008A6648">
        <w:rPr>
          <w:rFonts w:ascii="Arial" w:hAnsi="Arial" w:cs="Arial"/>
          <w:bCs/>
          <w:sz w:val="24"/>
          <w:szCs w:val="24"/>
          <w:lang w:val="en-GB"/>
        </w:rPr>
        <w:t>ntal</w:t>
      </w:r>
      <w:r>
        <w:rPr>
          <w:rFonts w:ascii="Arial" w:hAnsi="Arial" w:cs="Arial"/>
          <w:bCs/>
          <w:sz w:val="24"/>
          <w:szCs w:val="24"/>
          <w:lang w:val="en-GB"/>
        </w:rPr>
        <w:t xml:space="preserve"> business.  With all</w:t>
      </w:r>
      <w:r w:rsidR="0081050C">
        <w:rPr>
          <w:rFonts w:ascii="Arial" w:hAnsi="Arial" w:cs="Arial"/>
          <w:bCs/>
          <w:sz w:val="24"/>
          <w:szCs w:val="24"/>
          <w:lang w:val="en-GB"/>
        </w:rPr>
        <w:t xml:space="preserve"> </w:t>
      </w:r>
      <w:r>
        <w:rPr>
          <w:rFonts w:ascii="Arial" w:hAnsi="Arial" w:cs="Arial"/>
          <w:bCs/>
          <w:sz w:val="24"/>
          <w:szCs w:val="24"/>
          <w:lang w:val="en-GB"/>
        </w:rPr>
        <w:t xml:space="preserve">of this information the inference drawn by </w:t>
      </w:r>
      <w:r w:rsidR="009A76A4">
        <w:rPr>
          <w:rFonts w:ascii="Arial" w:hAnsi="Arial" w:cs="Arial"/>
          <w:bCs/>
          <w:sz w:val="24"/>
          <w:szCs w:val="24"/>
          <w:lang w:val="en-GB"/>
        </w:rPr>
        <w:t>it</w:t>
      </w:r>
      <w:r>
        <w:rPr>
          <w:rFonts w:ascii="Arial" w:hAnsi="Arial" w:cs="Arial"/>
          <w:bCs/>
          <w:sz w:val="24"/>
          <w:szCs w:val="24"/>
          <w:lang w:val="en-GB"/>
        </w:rPr>
        <w:t xml:space="preserve"> </w:t>
      </w:r>
      <w:r w:rsidR="00CA19D5">
        <w:rPr>
          <w:rFonts w:ascii="Arial" w:hAnsi="Arial" w:cs="Arial"/>
          <w:bCs/>
          <w:sz w:val="24"/>
          <w:szCs w:val="24"/>
          <w:lang w:val="en-GB"/>
        </w:rPr>
        <w:t>was</w:t>
      </w:r>
      <w:r>
        <w:rPr>
          <w:rFonts w:ascii="Arial" w:hAnsi="Arial" w:cs="Arial"/>
          <w:bCs/>
          <w:sz w:val="24"/>
          <w:szCs w:val="24"/>
          <w:lang w:val="en-GB"/>
        </w:rPr>
        <w:t xml:space="preserve"> that Mr Du Toit engineered the incorpor</w:t>
      </w:r>
      <w:r w:rsidR="00244D98">
        <w:rPr>
          <w:rFonts w:ascii="Arial" w:hAnsi="Arial" w:cs="Arial"/>
          <w:bCs/>
          <w:sz w:val="24"/>
          <w:szCs w:val="24"/>
          <w:lang w:val="en-GB"/>
        </w:rPr>
        <w:t xml:space="preserve">ation of Apex and is working with other </w:t>
      </w:r>
      <w:r w:rsidR="00244D98" w:rsidRPr="00621FFB">
        <w:rPr>
          <w:rFonts w:ascii="Arial" w:hAnsi="Arial" w:cs="Arial"/>
          <w:bCs/>
          <w:sz w:val="24"/>
          <w:szCs w:val="24"/>
          <w:lang w:val="en-GB"/>
        </w:rPr>
        <w:t>sub-licence</w:t>
      </w:r>
      <w:r w:rsidR="008A6648" w:rsidRPr="00621FFB">
        <w:rPr>
          <w:rFonts w:ascii="Arial" w:hAnsi="Arial" w:cs="Arial"/>
          <w:bCs/>
          <w:sz w:val="24"/>
          <w:szCs w:val="24"/>
          <w:lang w:val="en-GB"/>
        </w:rPr>
        <w:t>e</w:t>
      </w:r>
      <w:r w:rsidR="00244D98" w:rsidRPr="00621FFB">
        <w:rPr>
          <w:rFonts w:ascii="Arial" w:hAnsi="Arial" w:cs="Arial"/>
          <w:bCs/>
          <w:sz w:val="24"/>
          <w:szCs w:val="24"/>
          <w:lang w:val="en-GB"/>
        </w:rPr>
        <w:t xml:space="preserve">s and agents of </w:t>
      </w:r>
      <w:r w:rsidR="009A76A4" w:rsidRPr="00621FFB">
        <w:rPr>
          <w:rFonts w:ascii="Arial" w:hAnsi="Arial" w:cs="Arial"/>
          <w:bCs/>
          <w:sz w:val="24"/>
          <w:szCs w:val="24"/>
          <w:lang w:val="en-GB"/>
        </w:rPr>
        <w:t>the applicant</w:t>
      </w:r>
      <w:r w:rsidR="00244D98" w:rsidRPr="00621FFB">
        <w:rPr>
          <w:rFonts w:ascii="Arial" w:hAnsi="Arial" w:cs="Arial"/>
          <w:bCs/>
          <w:sz w:val="24"/>
          <w:szCs w:val="24"/>
          <w:lang w:val="en-GB"/>
        </w:rPr>
        <w:t xml:space="preserve"> to compete</w:t>
      </w:r>
      <w:r w:rsidR="00244D98">
        <w:rPr>
          <w:rFonts w:ascii="Arial" w:hAnsi="Arial" w:cs="Arial"/>
          <w:bCs/>
          <w:sz w:val="24"/>
          <w:szCs w:val="24"/>
          <w:lang w:val="en-GB"/>
        </w:rPr>
        <w:t xml:space="preserve">, </w:t>
      </w:r>
      <w:r w:rsidR="00BB55AF">
        <w:rPr>
          <w:rFonts w:ascii="Arial" w:hAnsi="Arial" w:cs="Arial"/>
          <w:bCs/>
          <w:sz w:val="24"/>
          <w:szCs w:val="24"/>
          <w:lang w:val="en-GB"/>
        </w:rPr>
        <w:t xml:space="preserve">unlawfully with </w:t>
      </w:r>
      <w:r w:rsidR="005776EB">
        <w:rPr>
          <w:rFonts w:ascii="Arial" w:hAnsi="Arial" w:cs="Arial"/>
          <w:bCs/>
          <w:sz w:val="24"/>
          <w:szCs w:val="24"/>
          <w:lang w:val="en-GB"/>
        </w:rPr>
        <w:t>it</w:t>
      </w:r>
      <w:r w:rsidR="00BB55AF">
        <w:rPr>
          <w:rFonts w:ascii="Arial" w:hAnsi="Arial" w:cs="Arial"/>
          <w:bCs/>
          <w:sz w:val="24"/>
          <w:szCs w:val="24"/>
          <w:lang w:val="en-GB"/>
        </w:rPr>
        <w:t xml:space="preserve"> in breach of the restraint provisions.  On this basis, alleges </w:t>
      </w:r>
      <w:r w:rsidR="009A76A4">
        <w:rPr>
          <w:rFonts w:ascii="Arial" w:hAnsi="Arial" w:cs="Arial"/>
          <w:bCs/>
          <w:sz w:val="24"/>
          <w:szCs w:val="24"/>
          <w:lang w:val="en-GB"/>
        </w:rPr>
        <w:t>the applicant</w:t>
      </w:r>
      <w:r w:rsidR="005776EB">
        <w:rPr>
          <w:rFonts w:ascii="Arial" w:hAnsi="Arial" w:cs="Arial"/>
          <w:bCs/>
          <w:sz w:val="24"/>
          <w:szCs w:val="24"/>
          <w:lang w:val="en-GB"/>
        </w:rPr>
        <w:t>,</w:t>
      </w:r>
      <w:r w:rsidR="00BB55AF">
        <w:rPr>
          <w:rFonts w:ascii="Arial" w:hAnsi="Arial" w:cs="Arial"/>
          <w:bCs/>
          <w:sz w:val="24"/>
          <w:szCs w:val="24"/>
          <w:lang w:val="en-GB"/>
        </w:rPr>
        <w:t xml:space="preserve"> the respondents, acting through Apex are unlawfully competing with </w:t>
      </w:r>
      <w:r w:rsidR="005776EB">
        <w:rPr>
          <w:rFonts w:ascii="Arial" w:hAnsi="Arial" w:cs="Arial"/>
          <w:bCs/>
          <w:sz w:val="24"/>
          <w:szCs w:val="24"/>
          <w:lang w:val="en-GB"/>
        </w:rPr>
        <w:t>it</w:t>
      </w:r>
      <w:r w:rsidR="00BB55AF">
        <w:rPr>
          <w:rFonts w:ascii="Arial" w:hAnsi="Arial" w:cs="Arial"/>
          <w:bCs/>
          <w:sz w:val="24"/>
          <w:szCs w:val="24"/>
          <w:lang w:val="en-GB"/>
        </w:rPr>
        <w:t xml:space="preserve"> in breach of their respective restraint provisions contained in their agreements with it.  </w:t>
      </w:r>
    </w:p>
    <w:p w14:paraId="29C57B10" w14:textId="38F68E8A" w:rsidR="009A76A4" w:rsidRDefault="001F4F49"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6C0A98">
        <w:rPr>
          <w:rFonts w:ascii="Arial" w:hAnsi="Arial" w:cs="Arial"/>
          <w:bCs/>
          <w:sz w:val="24"/>
          <w:szCs w:val="24"/>
          <w:lang w:val="en-GB"/>
        </w:rPr>
        <w:t>5</w:t>
      </w:r>
      <w:r>
        <w:rPr>
          <w:rFonts w:ascii="Arial" w:hAnsi="Arial" w:cs="Arial"/>
          <w:bCs/>
          <w:sz w:val="24"/>
          <w:szCs w:val="24"/>
          <w:lang w:val="en-GB"/>
        </w:rPr>
        <w:t xml:space="preserve">] </w:t>
      </w:r>
      <w:r w:rsidR="009A76A4">
        <w:rPr>
          <w:rFonts w:ascii="Arial" w:hAnsi="Arial" w:cs="Arial"/>
          <w:bCs/>
          <w:sz w:val="24"/>
          <w:szCs w:val="24"/>
          <w:lang w:val="en-GB"/>
        </w:rPr>
        <w:t>The applicant</w:t>
      </w:r>
      <w:r w:rsidR="001A449D">
        <w:rPr>
          <w:rFonts w:ascii="Arial" w:hAnsi="Arial" w:cs="Arial"/>
          <w:bCs/>
          <w:sz w:val="24"/>
          <w:szCs w:val="24"/>
          <w:lang w:val="en-GB"/>
        </w:rPr>
        <w:t xml:space="preserve"> further alleges that the respondents and Apex all share the same business </w:t>
      </w:r>
      <w:r w:rsidR="009A76A4">
        <w:rPr>
          <w:rFonts w:ascii="Arial" w:hAnsi="Arial" w:cs="Arial"/>
          <w:bCs/>
          <w:sz w:val="24"/>
          <w:szCs w:val="24"/>
          <w:lang w:val="en-GB"/>
        </w:rPr>
        <w:t>and</w:t>
      </w:r>
      <w:r w:rsidR="000E14EB">
        <w:rPr>
          <w:rFonts w:ascii="Arial" w:hAnsi="Arial" w:cs="Arial"/>
          <w:bCs/>
          <w:sz w:val="24"/>
          <w:szCs w:val="24"/>
          <w:lang w:val="en-GB"/>
        </w:rPr>
        <w:t>/</w:t>
      </w:r>
      <w:r w:rsidR="001A449D">
        <w:rPr>
          <w:rFonts w:ascii="Arial" w:hAnsi="Arial" w:cs="Arial"/>
          <w:bCs/>
          <w:sz w:val="24"/>
          <w:szCs w:val="24"/>
          <w:lang w:val="en-GB"/>
        </w:rPr>
        <w:t xml:space="preserve">or registered address.  </w:t>
      </w:r>
      <w:r>
        <w:rPr>
          <w:rFonts w:ascii="Arial" w:hAnsi="Arial" w:cs="Arial"/>
          <w:bCs/>
          <w:sz w:val="24"/>
          <w:szCs w:val="24"/>
          <w:lang w:val="en-GB"/>
        </w:rPr>
        <w:t xml:space="preserve">In further substantiation of its contentions </w:t>
      </w:r>
      <w:r w:rsidR="009A76A4">
        <w:rPr>
          <w:rFonts w:ascii="Arial" w:hAnsi="Arial" w:cs="Arial"/>
          <w:bCs/>
          <w:sz w:val="24"/>
          <w:szCs w:val="24"/>
          <w:lang w:val="en-GB"/>
        </w:rPr>
        <w:t>the applicant</w:t>
      </w:r>
      <w:r>
        <w:rPr>
          <w:rFonts w:ascii="Arial" w:hAnsi="Arial" w:cs="Arial"/>
          <w:bCs/>
          <w:sz w:val="24"/>
          <w:szCs w:val="24"/>
          <w:lang w:val="en-GB"/>
        </w:rPr>
        <w:t xml:space="preserve"> alleges that Apex’s business brochure lists the first respondent’s current </w:t>
      </w:r>
      <w:r>
        <w:rPr>
          <w:rFonts w:ascii="Arial" w:hAnsi="Arial" w:cs="Arial"/>
          <w:bCs/>
          <w:sz w:val="24"/>
          <w:szCs w:val="24"/>
          <w:lang w:val="en-GB"/>
        </w:rPr>
        <w:lastRenderedPageBreak/>
        <w:t>business vehicles and branches.  Apex further uses the respondents</w:t>
      </w:r>
      <w:r w:rsidR="00282C12">
        <w:rPr>
          <w:rFonts w:ascii="Arial" w:hAnsi="Arial" w:cs="Arial"/>
          <w:bCs/>
          <w:sz w:val="24"/>
          <w:szCs w:val="24"/>
          <w:lang w:val="en-GB"/>
        </w:rPr>
        <w:t>’</w:t>
      </w:r>
      <w:r>
        <w:rPr>
          <w:rFonts w:ascii="Arial" w:hAnsi="Arial" w:cs="Arial"/>
          <w:bCs/>
          <w:sz w:val="24"/>
          <w:szCs w:val="24"/>
          <w:lang w:val="en-GB"/>
        </w:rPr>
        <w:t xml:space="preserve"> telephone numbers for its vehicle rental business which are </w:t>
      </w:r>
      <w:r w:rsidR="00282C12">
        <w:rPr>
          <w:rFonts w:ascii="Arial" w:hAnsi="Arial" w:cs="Arial"/>
          <w:bCs/>
          <w:sz w:val="24"/>
          <w:szCs w:val="24"/>
          <w:lang w:val="en-GB"/>
        </w:rPr>
        <w:t>t</w:t>
      </w:r>
      <w:r>
        <w:rPr>
          <w:rFonts w:ascii="Arial" w:hAnsi="Arial" w:cs="Arial"/>
          <w:bCs/>
          <w:sz w:val="24"/>
          <w:szCs w:val="24"/>
          <w:lang w:val="en-GB"/>
        </w:rPr>
        <w:t xml:space="preserve">he same telephone numbers the respondents </w:t>
      </w:r>
      <w:r w:rsidR="009A76A4">
        <w:rPr>
          <w:rFonts w:ascii="Arial" w:hAnsi="Arial" w:cs="Arial"/>
          <w:bCs/>
          <w:sz w:val="24"/>
          <w:szCs w:val="24"/>
          <w:lang w:val="en-GB"/>
        </w:rPr>
        <w:t>utilized</w:t>
      </w:r>
      <w:r>
        <w:rPr>
          <w:rFonts w:ascii="Arial" w:hAnsi="Arial" w:cs="Arial"/>
          <w:bCs/>
          <w:sz w:val="24"/>
          <w:szCs w:val="24"/>
          <w:lang w:val="en-GB"/>
        </w:rPr>
        <w:t xml:space="preserve"> when they were operating its vehicle rental business.  </w:t>
      </w:r>
      <w:r w:rsidR="00282C12">
        <w:rPr>
          <w:rFonts w:ascii="Arial" w:hAnsi="Arial" w:cs="Arial"/>
          <w:bCs/>
          <w:sz w:val="24"/>
          <w:szCs w:val="24"/>
          <w:lang w:val="en-GB"/>
        </w:rPr>
        <w:t>In t</w:t>
      </w:r>
      <w:r>
        <w:rPr>
          <w:rFonts w:ascii="Arial" w:hAnsi="Arial" w:cs="Arial"/>
          <w:bCs/>
          <w:sz w:val="24"/>
          <w:szCs w:val="24"/>
          <w:lang w:val="en-GB"/>
        </w:rPr>
        <w:t xml:space="preserve">erms of the agreements, those telephone numbers were required to have been handed over to the applicant.  </w:t>
      </w:r>
    </w:p>
    <w:p w14:paraId="11131DB1" w14:textId="1F26D58D" w:rsidR="001F4F49" w:rsidRDefault="009A76A4"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6C0A98">
        <w:rPr>
          <w:rFonts w:ascii="Arial" w:hAnsi="Arial" w:cs="Arial"/>
          <w:bCs/>
          <w:sz w:val="24"/>
          <w:szCs w:val="24"/>
          <w:lang w:val="en-GB"/>
        </w:rPr>
        <w:t>6</w:t>
      </w:r>
      <w:r>
        <w:rPr>
          <w:rFonts w:ascii="Arial" w:hAnsi="Arial" w:cs="Arial"/>
          <w:bCs/>
          <w:sz w:val="24"/>
          <w:szCs w:val="24"/>
          <w:lang w:val="en-GB"/>
        </w:rPr>
        <w:t xml:space="preserve">] </w:t>
      </w:r>
      <w:r w:rsidR="00943937">
        <w:rPr>
          <w:rFonts w:ascii="Arial" w:hAnsi="Arial" w:cs="Arial"/>
          <w:bCs/>
          <w:sz w:val="24"/>
          <w:szCs w:val="24"/>
          <w:lang w:val="en-GB"/>
        </w:rPr>
        <w:t xml:space="preserve">On the basis of </w:t>
      </w:r>
      <w:r w:rsidR="006328CF">
        <w:rPr>
          <w:rFonts w:ascii="Arial" w:hAnsi="Arial" w:cs="Arial"/>
          <w:bCs/>
          <w:sz w:val="24"/>
          <w:szCs w:val="24"/>
          <w:lang w:val="en-GB"/>
        </w:rPr>
        <w:t>all</w:t>
      </w:r>
      <w:r w:rsidR="00943937">
        <w:rPr>
          <w:rFonts w:ascii="Arial" w:hAnsi="Arial" w:cs="Arial"/>
          <w:bCs/>
          <w:sz w:val="24"/>
          <w:szCs w:val="24"/>
          <w:lang w:val="en-GB"/>
        </w:rPr>
        <w:t xml:space="preserve"> these allegations </w:t>
      </w:r>
      <w:r>
        <w:rPr>
          <w:rFonts w:ascii="Arial" w:hAnsi="Arial" w:cs="Arial"/>
          <w:bCs/>
          <w:sz w:val="24"/>
          <w:szCs w:val="24"/>
          <w:lang w:val="en-GB"/>
        </w:rPr>
        <w:t>the applicant</w:t>
      </w:r>
      <w:r w:rsidR="00943937">
        <w:rPr>
          <w:rFonts w:ascii="Arial" w:hAnsi="Arial" w:cs="Arial"/>
          <w:bCs/>
          <w:sz w:val="24"/>
          <w:szCs w:val="24"/>
          <w:lang w:val="en-GB"/>
        </w:rPr>
        <w:t xml:space="preserve"> </w:t>
      </w:r>
      <w:r w:rsidR="00282C12">
        <w:rPr>
          <w:rFonts w:ascii="Arial" w:hAnsi="Arial" w:cs="Arial"/>
          <w:bCs/>
          <w:sz w:val="24"/>
          <w:szCs w:val="24"/>
          <w:lang w:val="en-GB"/>
        </w:rPr>
        <w:t>contends</w:t>
      </w:r>
      <w:r w:rsidR="00943937">
        <w:rPr>
          <w:rFonts w:ascii="Arial" w:hAnsi="Arial" w:cs="Arial"/>
          <w:bCs/>
          <w:sz w:val="24"/>
          <w:szCs w:val="24"/>
          <w:lang w:val="en-GB"/>
        </w:rPr>
        <w:t xml:space="preserve"> that Apex is being used by the respondents as a condu</w:t>
      </w:r>
      <w:r w:rsidR="00282C12">
        <w:rPr>
          <w:rFonts w:ascii="Arial" w:hAnsi="Arial" w:cs="Arial"/>
          <w:bCs/>
          <w:sz w:val="24"/>
          <w:szCs w:val="24"/>
          <w:lang w:val="en-GB"/>
        </w:rPr>
        <w:t>i</w:t>
      </w:r>
      <w:r w:rsidR="00943937">
        <w:rPr>
          <w:rFonts w:ascii="Arial" w:hAnsi="Arial" w:cs="Arial"/>
          <w:bCs/>
          <w:sz w:val="24"/>
          <w:szCs w:val="24"/>
          <w:lang w:val="en-GB"/>
        </w:rPr>
        <w:t>t to circumvent their respective restraint of trade provisions.  Its protectable interests including its operating manual</w:t>
      </w:r>
      <w:r w:rsidR="00BE5B13">
        <w:rPr>
          <w:rFonts w:ascii="Arial" w:hAnsi="Arial" w:cs="Arial"/>
          <w:bCs/>
          <w:sz w:val="24"/>
          <w:szCs w:val="24"/>
          <w:lang w:val="en-GB"/>
        </w:rPr>
        <w:t>,</w:t>
      </w:r>
      <w:r w:rsidR="00943937">
        <w:rPr>
          <w:rFonts w:ascii="Arial" w:hAnsi="Arial" w:cs="Arial"/>
          <w:bCs/>
          <w:sz w:val="24"/>
          <w:szCs w:val="24"/>
          <w:lang w:val="en-GB"/>
        </w:rPr>
        <w:t xml:space="preserve"> copies and records of its customer</w:t>
      </w:r>
      <w:r w:rsidR="00EF5604">
        <w:rPr>
          <w:rFonts w:ascii="Arial" w:hAnsi="Arial" w:cs="Arial"/>
          <w:bCs/>
          <w:sz w:val="24"/>
          <w:szCs w:val="24"/>
          <w:lang w:val="en-GB"/>
        </w:rPr>
        <w:t xml:space="preserve"> lists</w:t>
      </w:r>
      <w:r w:rsidR="00943937">
        <w:rPr>
          <w:rFonts w:ascii="Arial" w:hAnsi="Arial" w:cs="Arial"/>
          <w:bCs/>
          <w:sz w:val="24"/>
          <w:szCs w:val="24"/>
          <w:lang w:val="en-GB"/>
        </w:rPr>
        <w:t xml:space="preserve"> are in the process</w:t>
      </w:r>
      <w:r w:rsidR="00BE5B13">
        <w:rPr>
          <w:rFonts w:ascii="Arial" w:hAnsi="Arial" w:cs="Arial"/>
          <w:bCs/>
          <w:sz w:val="24"/>
          <w:szCs w:val="24"/>
          <w:lang w:val="en-GB"/>
        </w:rPr>
        <w:t>,</w:t>
      </w:r>
      <w:r w:rsidR="00943937">
        <w:rPr>
          <w:rFonts w:ascii="Arial" w:hAnsi="Arial" w:cs="Arial"/>
          <w:bCs/>
          <w:sz w:val="24"/>
          <w:szCs w:val="24"/>
          <w:lang w:val="en-GB"/>
        </w:rPr>
        <w:t xml:space="preserve"> being transferred to Apex.  Therefore, Apex is complicit in the respondents’ breach of their restraint provisions.  Apex is also being used by the respondents as a springboard to circumvent the said restraint provisions and in that way is unlawfully competing with </w:t>
      </w:r>
      <w:r>
        <w:rPr>
          <w:rFonts w:ascii="Arial" w:hAnsi="Arial" w:cs="Arial"/>
          <w:bCs/>
          <w:sz w:val="24"/>
          <w:szCs w:val="24"/>
          <w:lang w:val="en-GB"/>
        </w:rPr>
        <w:t>the applicant</w:t>
      </w:r>
      <w:r w:rsidR="006A4A0B">
        <w:rPr>
          <w:rFonts w:ascii="Arial" w:hAnsi="Arial" w:cs="Arial"/>
          <w:bCs/>
          <w:sz w:val="24"/>
          <w:szCs w:val="24"/>
          <w:lang w:val="en-GB"/>
        </w:rPr>
        <w:t>.</w:t>
      </w:r>
    </w:p>
    <w:p w14:paraId="6A424B76" w14:textId="3642BAF0" w:rsidR="00943937" w:rsidRDefault="0026204C"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BA7502">
        <w:rPr>
          <w:rFonts w:ascii="Arial" w:hAnsi="Arial" w:cs="Arial"/>
          <w:bCs/>
          <w:sz w:val="24"/>
          <w:szCs w:val="24"/>
          <w:lang w:val="en-GB"/>
        </w:rPr>
        <w:t>7</w:t>
      </w:r>
      <w:r>
        <w:rPr>
          <w:rFonts w:ascii="Arial" w:hAnsi="Arial" w:cs="Arial"/>
          <w:bCs/>
          <w:sz w:val="24"/>
          <w:szCs w:val="24"/>
          <w:lang w:val="en-GB"/>
        </w:rPr>
        <w:t xml:space="preserve">] Mr Du Toit deposed to an answering affidavit on behalf of the respondents indicating therein that he </w:t>
      </w:r>
      <w:r w:rsidR="001A7378">
        <w:rPr>
          <w:rFonts w:ascii="Arial" w:hAnsi="Arial" w:cs="Arial"/>
          <w:bCs/>
          <w:sz w:val="24"/>
          <w:szCs w:val="24"/>
          <w:lang w:val="en-GB"/>
        </w:rPr>
        <w:t xml:space="preserve">is the sole director of all the three respondents.  His exposition of the factual matrix on the basis of which the respondents opposed the relief sought by </w:t>
      </w:r>
      <w:r w:rsidR="009A76A4">
        <w:rPr>
          <w:rFonts w:ascii="Arial" w:hAnsi="Arial" w:cs="Arial"/>
          <w:bCs/>
          <w:sz w:val="24"/>
          <w:szCs w:val="24"/>
          <w:lang w:val="en-GB"/>
        </w:rPr>
        <w:t>the applicant</w:t>
      </w:r>
      <w:r w:rsidR="001A7378">
        <w:rPr>
          <w:rFonts w:ascii="Arial" w:hAnsi="Arial" w:cs="Arial"/>
          <w:bCs/>
          <w:sz w:val="24"/>
          <w:szCs w:val="24"/>
          <w:lang w:val="en-GB"/>
        </w:rPr>
        <w:t xml:space="preserve"> </w:t>
      </w:r>
      <w:r w:rsidR="00CB6635">
        <w:rPr>
          <w:rFonts w:ascii="Arial" w:hAnsi="Arial" w:cs="Arial"/>
          <w:bCs/>
          <w:sz w:val="24"/>
          <w:szCs w:val="24"/>
          <w:lang w:val="en-GB"/>
        </w:rPr>
        <w:t xml:space="preserve">paints a completely different picture which is </w:t>
      </w:r>
      <w:r w:rsidR="00341D5F">
        <w:rPr>
          <w:rFonts w:ascii="Arial" w:hAnsi="Arial" w:cs="Arial"/>
          <w:bCs/>
          <w:sz w:val="24"/>
          <w:szCs w:val="24"/>
          <w:lang w:val="en-GB"/>
        </w:rPr>
        <w:t>more or less the fol</w:t>
      </w:r>
      <w:r w:rsidR="009F0DCC">
        <w:rPr>
          <w:rFonts w:ascii="Arial" w:hAnsi="Arial" w:cs="Arial"/>
          <w:bCs/>
          <w:sz w:val="24"/>
          <w:szCs w:val="24"/>
          <w:lang w:val="en-GB"/>
        </w:rPr>
        <w:t>lowing</w:t>
      </w:r>
      <w:r w:rsidR="001A7378">
        <w:rPr>
          <w:rFonts w:ascii="Arial" w:hAnsi="Arial" w:cs="Arial"/>
          <w:bCs/>
          <w:sz w:val="24"/>
          <w:szCs w:val="24"/>
          <w:lang w:val="en-GB"/>
        </w:rPr>
        <w:t xml:space="preserve">.  The respondents were previously </w:t>
      </w:r>
      <w:r w:rsidR="00F46D3C">
        <w:rPr>
          <w:rFonts w:ascii="Arial" w:hAnsi="Arial" w:cs="Arial"/>
          <w:bCs/>
          <w:sz w:val="24"/>
          <w:szCs w:val="24"/>
          <w:lang w:val="en-GB"/>
        </w:rPr>
        <w:t>sub-</w:t>
      </w:r>
      <w:r w:rsidR="003C284A">
        <w:rPr>
          <w:rFonts w:ascii="Arial" w:hAnsi="Arial" w:cs="Arial"/>
          <w:bCs/>
          <w:sz w:val="24"/>
          <w:szCs w:val="24"/>
          <w:lang w:val="en-GB"/>
        </w:rPr>
        <w:t xml:space="preserve">licencee and </w:t>
      </w:r>
      <w:r w:rsidR="001A7378">
        <w:rPr>
          <w:rFonts w:ascii="Arial" w:hAnsi="Arial" w:cs="Arial"/>
          <w:bCs/>
          <w:sz w:val="24"/>
          <w:szCs w:val="24"/>
          <w:lang w:val="en-GB"/>
        </w:rPr>
        <w:t xml:space="preserve">agents of </w:t>
      </w:r>
      <w:r w:rsidR="003C284A">
        <w:rPr>
          <w:rFonts w:ascii="Arial" w:hAnsi="Arial" w:cs="Arial"/>
          <w:bCs/>
          <w:sz w:val="24"/>
          <w:szCs w:val="24"/>
          <w:lang w:val="en-GB"/>
        </w:rPr>
        <w:t>the applicant</w:t>
      </w:r>
      <w:r w:rsidR="001A7378">
        <w:rPr>
          <w:rFonts w:ascii="Arial" w:hAnsi="Arial" w:cs="Arial"/>
          <w:bCs/>
          <w:sz w:val="24"/>
          <w:szCs w:val="24"/>
          <w:lang w:val="en-GB"/>
        </w:rPr>
        <w:t>.  The first respondent</w:t>
      </w:r>
      <w:r w:rsidR="00A1127F">
        <w:rPr>
          <w:rFonts w:ascii="Arial" w:hAnsi="Arial" w:cs="Arial"/>
          <w:bCs/>
          <w:sz w:val="24"/>
          <w:szCs w:val="24"/>
          <w:lang w:val="en-GB"/>
        </w:rPr>
        <w:t xml:space="preserve"> traded out of Gqeberha and East London.  The second respondent traded out of G</w:t>
      </w:r>
      <w:r w:rsidR="001A150A">
        <w:rPr>
          <w:rFonts w:ascii="Arial" w:hAnsi="Arial" w:cs="Arial"/>
          <w:bCs/>
          <w:sz w:val="24"/>
          <w:szCs w:val="24"/>
          <w:lang w:val="en-GB"/>
        </w:rPr>
        <w:t>eo</w:t>
      </w:r>
      <w:r w:rsidR="00A1127F">
        <w:rPr>
          <w:rFonts w:ascii="Arial" w:hAnsi="Arial" w:cs="Arial"/>
          <w:bCs/>
          <w:sz w:val="24"/>
          <w:szCs w:val="24"/>
          <w:lang w:val="en-GB"/>
        </w:rPr>
        <w:t xml:space="preserve">rge in the Western Cape and the third respondent out of Paarl </w:t>
      </w:r>
      <w:r w:rsidR="00BE5B13">
        <w:rPr>
          <w:rFonts w:ascii="Arial" w:hAnsi="Arial" w:cs="Arial"/>
          <w:bCs/>
          <w:sz w:val="24"/>
          <w:szCs w:val="24"/>
          <w:lang w:val="en-GB"/>
        </w:rPr>
        <w:t xml:space="preserve">also </w:t>
      </w:r>
      <w:r w:rsidR="00A1127F">
        <w:rPr>
          <w:rFonts w:ascii="Arial" w:hAnsi="Arial" w:cs="Arial"/>
          <w:bCs/>
          <w:sz w:val="24"/>
          <w:szCs w:val="24"/>
          <w:lang w:val="en-GB"/>
        </w:rPr>
        <w:t>in the Western Cape.</w:t>
      </w:r>
    </w:p>
    <w:p w14:paraId="4A051FD9" w14:textId="199D33A3" w:rsidR="00A1127F" w:rsidRDefault="00745D6C" w:rsidP="000A1C49">
      <w:pPr>
        <w:spacing w:line="480" w:lineRule="auto"/>
        <w:jc w:val="both"/>
        <w:rPr>
          <w:rFonts w:ascii="Arial" w:hAnsi="Arial" w:cs="Arial"/>
          <w:bCs/>
          <w:sz w:val="24"/>
          <w:szCs w:val="24"/>
          <w:lang w:val="en-GB"/>
        </w:rPr>
      </w:pPr>
      <w:r>
        <w:rPr>
          <w:rFonts w:ascii="Arial" w:hAnsi="Arial" w:cs="Arial"/>
          <w:bCs/>
          <w:sz w:val="24"/>
          <w:szCs w:val="24"/>
          <w:lang w:val="en-GB"/>
        </w:rPr>
        <w:t>[1</w:t>
      </w:r>
      <w:r w:rsidR="00BA7502">
        <w:rPr>
          <w:rFonts w:ascii="Arial" w:hAnsi="Arial" w:cs="Arial"/>
          <w:bCs/>
          <w:sz w:val="24"/>
          <w:szCs w:val="24"/>
          <w:lang w:val="en-GB"/>
        </w:rPr>
        <w:t>8</w:t>
      </w:r>
      <w:r>
        <w:rPr>
          <w:rFonts w:ascii="Arial" w:hAnsi="Arial" w:cs="Arial"/>
          <w:bCs/>
          <w:sz w:val="24"/>
          <w:szCs w:val="24"/>
          <w:lang w:val="en-GB"/>
        </w:rPr>
        <w:t>] The third respondent’s agency agreement terminated in March 2022.  The first and second respondents</w:t>
      </w:r>
      <w:r w:rsidR="003C284A">
        <w:rPr>
          <w:rFonts w:ascii="Arial" w:hAnsi="Arial" w:cs="Arial"/>
          <w:bCs/>
          <w:sz w:val="24"/>
          <w:szCs w:val="24"/>
          <w:lang w:val="en-GB"/>
        </w:rPr>
        <w:t>’</w:t>
      </w:r>
      <w:r>
        <w:rPr>
          <w:rFonts w:ascii="Arial" w:hAnsi="Arial" w:cs="Arial"/>
          <w:bCs/>
          <w:sz w:val="24"/>
          <w:szCs w:val="24"/>
          <w:lang w:val="en-GB"/>
        </w:rPr>
        <w:t xml:space="preserve"> agency agreement</w:t>
      </w:r>
      <w:r w:rsidR="00BE5B13">
        <w:rPr>
          <w:rFonts w:ascii="Arial" w:hAnsi="Arial" w:cs="Arial"/>
          <w:bCs/>
          <w:sz w:val="24"/>
          <w:szCs w:val="24"/>
          <w:lang w:val="en-GB"/>
        </w:rPr>
        <w:t>s</w:t>
      </w:r>
      <w:r>
        <w:rPr>
          <w:rFonts w:ascii="Arial" w:hAnsi="Arial" w:cs="Arial"/>
          <w:bCs/>
          <w:sz w:val="24"/>
          <w:szCs w:val="24"/>
          <w:lang w:val="en-GB"/>
        </w:rPr>
        <w:t xml:space="preserve"> terminated at the end of May 2023.  In terms of the </w:t>
      </w:r>
      <w:r w:rsidR="003C284A">
        <w:rPr>
          <w:rFonts w:ascii="Arial" w:hAnsi="Arial" w:cs="Arial"/>
          <w:bCs/>
          <w:sz w:val="24"/>
          <w:szCs w:val="24"/>
          <w:lang w:val="en-GB"/>
        </w:rPr>
        <w:t>agreements</w:t>
      </w:r>
      <w:r>
        <w:rPr>
          <w:rFonts w:ascii="Arial" w:hAnsi="Arial" w:cs="Arial"/>
          <w:bCs/>
          <w:sz w:val="24"/>
          <w:szCs w:val="24"/>
          <w:lang w:val="en-GB"/>
        </w:rPr>
        <w:t xml:space="preserve"> </w:t>
      </w:r>
      <w:r w:rsidR="00224125">
        <w:rPr>
          <w:rFonts w:ascii="Arial" w:hAnsi="Arial" w:cs="Arial"/>
          <w:bCs/>
          <w:sz w:val="24"/>
          <w:szCs w:val="24"/>
          <w:lang w:val="en-GB"/>
        </w:rPr>
        <w:t xml:space="preserve">the applicant </w:t>
      </w:r>
      <w:r>
        <w:rPr>
          <w:rFonts w:ascii="Arial" w:hAnsi="Arial" w:cs="Arial"/>
          <w:bCs/>
          <w:sz w:val="24"/>
          <w:szCs w:val="24"/>
          <w:lang w:val="en-GB"/>
        </w:rPr>
        <w:t xml:space="preserve">had with </w:t>
      </w:r>
      <w:r w:rsidR="00BE5B13">
        <w:rPr>
          <w:rFonts w:ascii="Arial" w:hAnsi="Arial" w:cs="Arial"/>
          <w:bCs/>
          <w:sz w:val="24"/>
          <w:szCs w:val="24"/>
          <w:lang w:val="en-GB"/>
        </w:rPr>
        <w:t>them</w:t>
      </w:r>
      <w:r w:rsidR="003C284A">
        <w:rPr>
          <w:rFonts w:ascii="Arial" w:hAnsi="Arial" w:cs="Arial"/>
          <w:bCs/>
          <w:sz w:val="24"/>
          <w:szCs w:val="24"/>
          <w:lang w:val="en-GB"/>
        </w:rPr>
        <w:t xml:space="preserve">, </w:t>
      </w:r>
      <w:r w:rsidR="00BE5B13">
        <w:rPr>
          <w:rFonts w:ascii="Arial" w:hAnsi="Arial" w:cs="Arial"/>
          <w:bCs/>
          <w:sz w:val="24"/>
          <w:szCs w:val="24"/>
          <w:lang w:val="en-GB"/>
        </w:rPr>
        <w:t xml:space="preserve">the </w:t>
      </w:r>
      <w:r>
        <w:rPr>
          <w:rFonts w:ascii="Arial" w:hAnsi="Arial" w:cs="Arial"/>
          <w:bCs/>
          <w:sz w:val="24"/>
          <w:szCs w:val="24"/>
          <w:lang w:val="en-GB"/>
        </w:rPr>
        <w:t>respondent</w:t>
      </w:r>
      <w:r w:rsidR="007E5C51">
        <w:rPr>
          <w:rFonts w:ascii="Arial" w:hAnsi="Arial" w:cs="Arial"/>
          <w:bCs/>
          <w:sz w:val="24"/>
          <w:szCs w:val="24"/>
          <w:lang w:val="en-GB"/>
        </w:rPr>
        <w:t>s</w:t>
      </w:r>
      <w:r>
        <w:rPr>
          <w:rFonts w:ascii="Arial" w:hAnsi="Arial" w:cs="Arial"/>
          <w:bCs/>
          <w:sz w:val="24"/>
          <w:szCs w:val="24"/>
          <w:lang w:val="en-GB"/>
        </w:rPr>
        <w:t xml:space="preserve"> w</w:t>
      </w:r>
      <w:r w:rsidR="00E90ADE">
        <w:rPr>
          <w:rFonts w:ascii="Arial" w:hAnsi="Arial" w:cs="Arial"/>
          <w:bCs/>
          <w:sz w:val="24"/>
          <w:szCs w:val="24"/>
          <w:lang w:val="en-GB"/>
        </w:rPr>
        <w:t>ere</w:t>
      </w:r>
      <w:r>
        <w:rPr>
          <w:rFonts w:ascii="Arial" w:hAnsi="Arial" w:cs="Arial"/>
          <w:bCs/>
          <w:sz w:val="24"/>
          <w:szCs w:val="24"/>
          <w:lang w:val="en-GB"/>
        </w:rPr>
        <w:t xml:space="preserve"> entitled to contract directly with customers under the umbrella of the Avis brand in respect of </w:t>
      </w:r>
      <w:r w:rsidR="003C284A">
        <w:rPr>
          <w:rFonts w:ascii="Arial" w:hAnsi="Arial" w:cs="Arial"/>
          <w:bCs/>
          <w:sz w:val="24"/>
          <w:szCs w:val="24"/>
          <w:lang w:val="en-GB"/>
        </w:rPr>
        <w:t>van rentals</w:t>
      </w:r>
      <w:r>
        <w:rPr>
          <w:rFonts w:ascii="Arial" w:hAnsi="Arial" w:cs="Arial"/>
          <w:bCs/>
          <w:sz w:val="24"/>
          <w:szCs w:val="24"/>
          <w:lang w:val="en-GB"/>
        </w:rPr>
        <w:t xml:space="preserve">.  As </w:t>
      </w:r>
      <w:r>
        <w:rPr>
          <w:rFonts w:ascii="Arial" w:hAnsi="Arial" w:cs="Arial"/>
          <w:bCs/>
          <w:sz w:val="24"/>
          <w:szCs w:val="24"/>
          <w:lang w:val="en-GB"/>
        </w:rPr>
        <w:lastRenderedPageBreak/>
        <w:t xml:space="preserve">a </w:t>
      </w:r>
      <w:r w:rsidR="00381070">
        <w:rPr>
          <w:rFonts w:ascii="Arial" w:hAnsi="Arial" w:cs="Arial"/>
          <w:bCs/>
          <w:sz w:val="24"/>
          <w:szCs w:val="24"/>
          <w:lang w:val="en-GB"/>
        </w:rPr>
        <w:t>result,</w:t>
      </w:r>
      <w:r>
        <w:rPr>
          <w:rFonts w:ascii="Arial" w:hAnsi="Arial" w:cs="Arial"/>
          <w:bCs/>
          <w:sz w:val="24"/>
          <w:szCs w:val="24"/>
          <w:lang w:val="en-GB"/>
        </w:rPr>
        <w:t xml:space="preserve"> the first respondent owns a fleet of approximately 286 vehicles, the second respondent 104 vehicles and the third respondent </w:t>
      </w:r>
      <w:proofErr w:type="gramStart"/>
      <w:r w:rsidR="00346BE1">
        <w:rPr>
          <w:rFonts w:ascii="Arial" w:hAnsi="Arial" w:cs="Arial"/>
          <w:bCs/>
          <w:sz w:val="24"/>
          <w:szCs w:val="24"/>
          <w:lang w:val="en-GB"/>
        </w:rPr>
        <w:t>own</w:t>
      </w:r>
      <w:r w:rsidR="00E042BE">
        <w:rPr>
          <w:rFonts w:ascii="Arial" w:hAnsi="Arial" w:cs="Arial"/>
          <w:bCs/>
          <w:sz w:val="24"/>
          <w:szCs w:val="24"/>
          <w:lang w:val="en-GB"/>
        </w:rPr>
        <w:t>s</w:t>
      </w:r>
      <w:proofErr w:type="gramEnd"/>
      <w:r>
        <w:rPr>
          <w:rFonts w:ascii="Arial" w:hAnsi="Arial" w:cs="Arial"/>
          <w:bCs/>
          <w:sz w:val="24"/>
          <w:szCs w:val="24"/>
          <w:lang w:val="en-GB"/>
        </w:rPr>
        <w:t xml:space="preserve"> 64 vehicles.</w:t>
      </w:r>
    </w:p>
    <w:p w14:paraId="195A5DBD" w14:textId="2D38AF0C" w:rsidR="00745D6C" w:rsidRDefault="00745D6C"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6E61C2">
        <w:rPr>
          <w:rFonts w:ascii="Arial" w:hAnsi="Arial" w:cs="Arial"/>
          <w:bCs/>
          <w:sz w:val="24"/>
          <w:szCs w:val="24"/>
          <w:lang w:val="en-GB"/>
        </w:rPr>
        <w:t>19</w:t>
      </w:r>
      <w:r>
        <w:rPr>
          <w:rFonts w:ascii="Arial" w:hAnsi="Arial" w:cs="Arial"/>
          <w:bCs/>
          <w:sz w:val="24"/>
          <w:szCs w:val="24"/>
          <w:lang w:val="en-GB"/>
        </w:rPr>
        <w:t xml:space="preserve">] </w:t>
      </w:r>
      <w:r w:rsidR="008765F7">
        <w:rPr>
          <w:rFonts w:ascii="Arial" w:hAnsi="Arial" w:cs="Arial"/>
          <w:bCs/>
          <w:sz w:val="24"/>
          <w:szCs w:val="24"/>
          <w:lang w:val="en-GB"/>
        </w:rPr>
        <w:t xml:space="preserve">With regards to the decision of the respondents to exit the agency and sub-licence agreements with </w:t>
      </w:r>
      <w:r w:rsidR="003C284A">
        <w:rPr>
          <w:rFonts w:ascii="Arial" w:hAnsi="Arial" w:cs="Arial"/>
          <w:bCs/>
          <w:sz w:val="24"/>
          <w:szCs w:val="24"/>
          <w:lang w:val="en-GB"/>
        </w:rPr>
        <w:t>the applicant</w:t>
      </w:r>
      <w:r w:rsidR="008765F7">
        <w:rPr>
          <w:rFonts w:ascii="Arial" w:hAnsi="Arial" w:cs="Arial"/>
          <w:bCs/>
          <w:sz w:val="24"/>
          <w:szCs w:val="24"/>
          <w:lang w:val="en-GB"/>
        </w:rPr>
        <w:t xml:space="preserve"> he makes the </w:t>
      </w:r>
      <w:r w:rsidR="007917E9">
        <w:rPr>
          <w:rFonts w:ascii="Arial" w:hAnsi="Arial" w:cs="Arial"/>
          <w:bCs/>
          <w:sz w:val="24"/>
          <w:szCs w:val="24"/>
          <w:lang w:val="en-GB"/>
        </w:rPr>
        <w:t xml:space="preserve">following averments.  There was a </w:t>
      </w:r>
      <w:r w:rsidR="005F41BA">
        <w:rPr>
          <w:rFonts w:ascii="Arial" w:hAnsi="Arial" w:cs="Arial"/>
          <w:bCs/>
          <w:sz w:val="24"/>
          <w:szCs w:val="24"/>
          <w:lang w:val="en-GB"/>
        </w:rPr>
        <w:t>v</w:t>
      </w:r>
      <w:r w:rsidR="007917E9">
        <w:rPr>
          <w:rFonts w:ascii="Arial" w:hAnsi="Arial" w:cs="Arial"/>
          <w:bCs/>
          <w:sz w:val="24"/>
          <w:szCs w:val="24"/>
          <w:lang w:val="en-GB"/>
        </w:rPr>
        <w:t xml:space="preserve">an </w:t>
      </w:r>
      <w:r w:rsidR="005F41BA">
        <w:rPr>
          <w:rFonts w:ascii="Arial" w:hAnsi="Arial" w:cs="Arial"/>
          <w:bCs/>
          <w:sz w:val="24"/>
          <w:szCs w:val="24"/>
          <w:lang w:val="en-GB"/>
        </w:rPr>
        <w:t>r</w:t>
      </w:r>
      <w:r w:rsidR="007917E9">
        <w:rPr>
          <w:rFonts w:ascii="Arial" w:hAnsi="Arial" w:cs="Arial"/>
          <w:bCs/>
          <w:sz w:val="24"/>
          <w:szCs w:val="24"/>
          <w:lang w:val="en-GB"/>
        </w:rPr>
        <w:t>ental conference held on 24 to 26 August 2022.</w:t>
      </w:r>
      <w:r w:rsidR="00A42EB6">
        <w:rPr>
          <w:rFonts w:ascii="Arial" w:hAnsi="Arial" w:cs="Arial"/>
          <w:bCs/>
          <w:sz w:val="24"/>
          <w:szCs w:val="24"/>
          <w:lang w:val="en-GB"/>
        </w:rPr>
        <w:t xml:space="preserve">  In that conference </w:t>
      </w:r>
      <w:r w:rsidR="003C284A">
        <w:rPr>
          <w:rFonts w:ascii="Arial" w:hAnsi="Arial" w:cs="Arial"/>
          <w:bCs/>
          <w:sz w:val="24"/>
          <w:szCs w:val="24"/>
          <w:lang w:val="en-GB"/>
        </w:rPr>
        <w:t>the applicant</w:t>
      </w:r>
      <w:r w:rsidR="00A42EB6">
        <w:rPr>
          <w:rFonts w:ascii="Arial" w:hAnsi="Arial" w:cs="Arial"/>
          <w:bCs/>
          <w:sz w:val="24"/>
          <w:szCs w:val="24"/>
          <w:lang w:val="en-GB"/>
        </w:rPr>
        <w:t xml:space="preserve"> informed all </w:t>
      </w:r>
      <w:r w:rsidR="00282219">
        <w:rPr>
          <w:rFonts w:ascii="Arial" w:hAnsi="Arial" w:cs="Arial"/>
          <w:bCs/>
          <w:sz w:val="24"/>
          <w:szCs w:val="24"/>
          <w:lang w:val="en-GB"/>
        </w:rPr>
        <w:t xml:space="preserve">its </w:t>
      </w:r>
      <w:r w:rsidR="00A42EB6">
        <w:rPr>
          <w:rFonts w:ascii="Arial" w:hAnsi="Arial" w:cs="Arial"/>
          <w:bCs/>
          <w:sz w:val="24"/>
          <w:szCs w:val="24"/>
          <w:lang w:val="en-GB"/>
        </w:rPr>
        <w:t>licen</w:t>
      </w:r>
      <w:r w:rsidR="005F41BA">
        <w:rPr>
          <w:rFonts w:ascii="Arial" w:hAnsi="Arial" w:cs="Arial"/>
          <w:bCs/>
          <w:sz w:val="24"/>
          <w:szCs w:val="24"/>
          <w:lang w:val="en-GB"/>
        </w:rPr>
        <w:t>c</w:t>
      </w:r>
      <w:r w:rsidR="00A42EB6">
        <w:rPr>
          <w:rFonts w:ascii="Arial" w:hAnsi="Arial" w:cs="Arial"/>
          <w:bCs/>
          <w:sz w:val="24"/>
          <w:szCs w:val="24"/>
          <w:lang w:val="en-GB"/>
        </w:rPr>
        <w:t>ees that it would be discontinuing the agreements when they exp</w:t>
      </w:r>
      <w:r w:rsidR="005F41BA">
        <w:rPr>
          <w:rFonts w:ascii="Arial" w:hAnsi="Arial" w:cs="Arial"/>
          <w:bCs/>
          <w:sz w:val="24"/>
          <w:szCs w:val="24"/>
          <w:lang w:val="en-GB"/>
        </w:rPr>
        <w:t>i</w:t>
      </w:r>
      <w:r w:rsidR="00A42EB6">
        <w:rPr>
          <w:rFonts w:ascii="Arial" w:hAnsi="Arial" w:cs="Arial"/>
          <w:bCs/>
          <w:sz w:val="24"/>
          <w:szCs w:val="24"/>
          <w:lang w:val="en-GB"/>
        </w:rPr>
        <w:t>re</w:t>
      </w:r>
      <w:r w:rsidR="005158A4">
        <w:rPr>
          <w:rFonts w:ascii="Arial" w:hAnsi="Arial" w:cs="Arial"/>
          <w:bCs/>
          <w:sz w:val="24"/>
          <w:szCs w:val="24"/>
          <w:lang w:val="en-GB"/>
        </w:rPr>
        <w:t>d</w:t>
      </w:r>
      <w:r w:rsidR="00A42EB6">
        <w:rPr>
          <w:rFonts w:ascii="Arial" w:hAnsi="Arial" w:cs="Arial"/>
          <w:bCs/>
          <w:sz w:val="24"/>
          <w:szCs w:val="24"/>
          <w:lang w:val="en-GB"/>
        </w:rPr>
        <w:t xml:space="preserve"> </w:t>
      </w:r>
      <w:r w:rsidR="007829F7">
        <w:rPr>
          <w:rFonts w:ascii="Arial" w:hAnsi="Arial" w:cs="Arial"/>
          <w:bCs/>
          <w:sz w:val="24"/>
          <w:szCs w:val="24"/>
          <w:lang w:val="en-GB"/>
        </w:rPr>
        <w:t>and indicated</w:t>
      </w:r>
      <w:r w:rsidR="00886C69">
        <w:rPr>
          <w:rFonts w:ascii="Arial" w:hAnsi="Arial" w:cs="Arial"/>
          <w:bCs/>
          <w:sz w:val="24"/>
          <w:szCs w:val="24"/>
          <w:lang w:val="en-GB"/>
        </w:rPr>
        <w:t xml:space="preserve"> a number of options that were open to it</w:t>
      </w:r>
      <w:r w:rsidR="00A42EB6">
        <w:rPr>
          <w:rFonts w:ascii="Arial" w:hAnsi="Arial" w:cs="Arial"/>
          <w:bCs/>
          <w:sz w:val="24"/>
          <w:szCs w:val="24"/>
          <w:lang w:val="en-GB"/>
        </w:rPr>
        <w:t xml:space="preserve">.  </w:t>
      </w:r>
      <w:r w:rsidR="005F41BA">
        <w:rPr>
          <w:rFonts w:ascii="Arial" w:hAnsi="Arial" w:cs="Arial"/>
          <w:bCs/>
          <w:sz w:val="24"/>
          <w:szCs w:val="24"/>
          <w:lang w:val="en-GB"/>
        </w:rPr>
        <w:t>A</w:t>
      </w:r>
      <w:r w:rsidR="000D306D">
        <w:rPr>
          <w:rFonts w:ascii="Arial" w:hAnsi="Arial" w:cs="Arial"/>
          <w:bCs/>
          <w:sz w:val="24"/>
          <w:szCs w:val="24"/>
          <w:lang w:val="en-GB"/>
        </w:rPr>
        <w:t xml:space="preserve"> restr</w:t>
      </w:r>
      <w:r w:rsidR="003C284A">
        <w:rPr>
          <w:rFonts w:ascii="Arial" w:hAnsi="Arial" w:cs="Arial"/>
          <w:bCs/>
          <w:sz w:val="24"/>
          <w:szCs w:val="24"/>
          <w:lang w:val="en-GB"/>
        </w:rPr>
        <w:t>u</w:t>
      </w:r>
      <w:r w:rsidR="000D306D">
        <w:rPr>
          <w:rFonts w:ascii="Arial" w:hAnsi="Arial" w:cs="Arial"/>
          <w:bCs/>
          <w:sz w:val="24"/>
          <w:szCs w:val="24"/>
          <w:lang w:val="en-GB"/>
        </w:rPr>
        <w:t>ct</w:t>
      </w:r>
      <w:r w:rsidR="003B31FD">
        <w:rPr>
          <w:rFonts w:ascii="Arial" w:hAnsi="Arial" w:cs="Arial"/>
          <w:bCs/>
          <w:sz w:val="24"/>
          <w:szCs w:val="24"/>
          <w:lang w:val="en-GB"/>
        </w:rPr>
        <w:t>ur</w:t>
      </w:r>
      <w:r w:rsidR="003C284A">
        <w:rPr>
          <w:rFonts w:ascii="Arial" w:hAnsi="Arial" w:cs="Arial"/>
          <w:bCs/>
          <w:sz w:val="24"/>
          <w:szCs w:val="24"/>
          <w:lang w:val="en-GB"/>
        </w:rPr>
        <w:t>ing</w:t>
      </w:r>
      <w:r w:rsidR="000D306D">
        <w:rPr>
          <w:rFonts w:ascii="Arial" w:hAnsi="Arial" w:cs="Arial"/>
          <w:bCs/>
          <w:sz w:val="24"/>
          <w:szCs w:val="24"/>
          <w:lang w:val="en-GB"/>
        </w:rPr>
        <w:t xml:space="preserve"> propos</w:t>
      </w:r>
      <w:r w:rsidR="003B31FD">
        <w:rPr>
          <w:rFonts w:ascii="Arial" w:hAnsi="Arial" w:cs="Arial"/>
          <w:bCs/>
          <w:sz w:val="24"/>
          <w:szCs w:val="24"/>
          <w:lang w:val="en-GB"/>
        </w:rPr>
        <w:t>al</w:t>
      </w:r>
      <w:r w:rsidR="000D306D">
        <w:rPr>
          <w:rFonts w:ascii="Arial" w:hAnsi="Arial" w:cs="Arial"/>
          <w:bCs/>
          <w:sz w:val="24"/>
          <w:szCs w:val="24"/>
          <w:lang w:val="en-GB"/>
        </w:rPr>
        <w:t xml:space="preserve"> was</w:t>
      </w:r>
      <w:r w:rsidR="00E457D4">
        <w:rPr>
          <w:rFonts w:ascii="Arial" w:hAnsi="Arial" w:cs="Arial"/>
          <w:bCs/>
          <w:sz w:val="24"/>
          <w:szCs w:val="24"/>
          <w:lang w:val="en-GB"/>
        </w:rPr>
        <w:t xml:space="preserve"> later</w:t>
      </w:r>
      <w:r w:rsidR="000D306D">
        <w:rPr>
          <w:rFonts w:ascii="Arial" w:hAnsi="Arial" w:cs="Arial"/>
          <w:bCs/>
          <w:sz w:val="24"/>
          <w:szCs w:val="24"/>
          <w:lang w:val="en-GB"/>
        </w:rPr>
        <w:t xml:space="preserve"> made to the </w:t>
      </w:r>
      <w:r w:rsidR="00381070">
        <w:rPr>
          <w:rFonts w:ascii="Arial" w:hAnsi="Arial" w:cs="Arial"/>
          <w:bCs/>
          <w:sz w:val="24"/>
          <w:szCs w:val="24"/>
          <w:lang w:val="en-GB"/>
        </w:rPr>
        <w:t>respondents</w:t>
      </w:r>
      <w:r w:rsidR="00A31830">
        <w:rPr>
          <w:rFonts w:ascii="Arial" w:hAnsi="Arial" w:cs="Arial"/>
          <w:bCs/>
          <w:sz w:val="24"/>
          <w:szCs w:val="24"/>
          <w:lang w:val="en-GB"/>
        </w:rPr>
        <w:t>.</w:t>
      </w:r>
      <w:r w:rsidR="00C13468">
        <w:rPr>
          <w:rFonts w:ascii="Arial" w:hAnsi="Arial" w:cs="Arial"/>
          <w:bCs/>
          <w:sz w:val="24"/>
          <w:szCs w:val="24"/>
          <w:lang w:val="en-GB"/>
        </w:rPr>
        <w:t xml:space="preserve"> </w:t>
      </w:r>
      <w:r w:rsidR="00A31830">
        <w:rPr>
          <w:rFonts w:ascii="Arial" w:hAnsi="Arial" w:cs="Arial"/>
          <w:bCs/>
          <w:sz w:val="24"/>
          <w:szCs w:val="24"/>
          <w:lang w:val="en-GB"/>
        </w:rPr>
        <w:t>T</w:t>
      </w:r>
      <w:r w:rsidR="000D306D">
        <w:rPr>
          <w:rFonts w:ascii="Arial" w:hAnsi="Arial" w:cs="Arial"/>
          <w:bCs/>
          <w:sz w:val="24"/>
          <w:szCs w:val="24"/>
          <w:lang w:val="en-GB"/>
        </w:rPr>
        <w:t xml:space="preserve">hey were advised that if they were not happy with it </w:t>
      </w:r>
      <w:r w:rsidR="003C284A">
        <w:rPr>
          <w:rFonts w:ascii="Arial" w:hAnsi="Arial" w:cs="Arial"/>
          <w:bCs/>
          <w:sz w:val="24"/>
          <w:szCs w:val="24"/>
          <w:lang w:val="en-GB"/>
        </w:rPr>
        <w:t>the applicant</w:t>
      </w:r>
      <w:r w:rsidR="000D306D">
        <w:rPr>
          <w:rFonts w:ascii="Arial" w:hAnsi="Arial" w:cs="Arial"/>
          <w:bCs/>
          <w:sz w:val="24"/>
          <w:szCs w:val="24"/>
          <w:lang w:val="en-GB"/>
        </w:rPr>
        <w:t xml:space="preserve"> would be willing to discuss </w:t>
      </w:r>
      <w:r w:rsidR="00B925A2">
        <w:rPr>
          <w:rFonts w:ascii="Arial" w:hAnsi="Arial" w:cs="Arial"/>
          <w:bCs/>
          <w:sz w:val="24"/>
          <w:szCs w:val="24"/>
          <w:lang w:val="en-GB"/>
        </w:rPr>
        <w:t>a</w:t>
      </w:r>
      <w:r w:rsidR="000D306D">
        <w:rPr>
          <w:rFonts w:ascii="Arial" w:hAnsi="Arial" w:cs="Arial"/>
          <w:bCs/>
          <w:sz w:val="24"/>
          <w:szCs w:val="24"/>
          <w:lang w:val="en-GB"/>
        </w:rPr>
        <w:t xml:space="preserve">n early termination of the sub-licence agreement with the first respondent and the agency </w:t>
      </w:r>
      <w:r w:rsidR="00BE4231">
        <w:rPr>
          <w:rFonts w:ascii="Arial" w:hAnsi="Arial" w:cs="Arial"/>
          <w:bCs/>
          <w:sz w:val="24"/>
          <w:szCs w:val="24"/>
          <w:lang w:val="en-GB"/>
        </w:rPr>
        <w:t>agreements with the first to third respondents</w:t>
      </w:r>
      <w:r w:rsidR="002E1CCF">
        <w:rPr>
          <w:rFonts w:ascii="Arial" w:hAnsi="Arial" w:cs="Arial"/>
          <w:bCs/>
          <w:sz w:val="24"/>
          <w:szCs w:val="24"/>
          <w:lang w:val="en-GB"/>
        </w:rPr>
        <w:t>.</w:t>
      </w:r>
      <w:r w:rsidR="00BE4231">
        <w:rPr>
          <w:rFonts w:ascii="Arial" w:hAnsi="Arial" w:cs="Arial"/>
          <w:bCs/>
          <w:sz w:val="24"/>
          <w:szCs w:val="24"/>
          <w:lang w:val="en-GB"/>
        </w:rPr>
        <w:t xml:space="preserve"> </w:t>
      </w:r>
      <w:r w:rsidR="002E1CCF">
        <w:rPr>
          <w:rFonts w:ascii="Arial" w:hAnsi="Arial" w:cs="Arial"/>
          <w:bCs/>
          <w:sz w:val="24"/>
          <w:szCs w:val="24"/>
          <w:lang w:val="en-GB"/>
        </w:rPr>
        <w:t>H</w:t>
      </w:r>
      <w:r w:rsidR="00FC2AA1">
        <w:rPr>
          <w:rFonts w:ascii="Arial" w:hAnsi="Arial" w:cs="Arial"/>
          <w:bCs/>
          <w:sz w:val="24"/>
          <w:szCs w:val="24"/>
          <w:lang w:val="en-GB"/>
        </w:rPr>
        <w:t>owever,</w:t>
      </w:r>
      <w:r w:rsidR="00BE4231">
        <w:rPr>
          <w:rFonts w:ascii="Arial" w:hAnsi="Arial" w:cs="Arial"/>
          <w:bCs/>
          <w:sz w:val="24"/>
          <w:szCs w:val="24"/>
          <w:lang w:val="en-GB"/>
        </w:rPr>
        <w:t xml:space="preserve"> no goodwill would be paid</w:t>
      </w:r>
      <w:r w:rsidR="00C83E8C">
        <w:rPr>
          <w:rFonts w:ascii="Arial" w:hAnsi="Arial" w:cs="Arial"/>
          <w:bCs/>
          <w:sz w:val="24"/>
          <w:szCs w:val="24"/>
          <w:lang w:val="en-GB"/>
        </w:rPr>
        <w:t xml:space="preserve"> to the respondents.</w:t>
      </w:r>
    </w:p>
    <w:p w14:paraId="294E9775" w14:textId="2239105B" w:rsidR="00BE4231" w:rsidRDefault="005A3A7E"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2</w:t>
      </w:r>
      <w:r w:rsidR="007E5C44">
        <w:rPr>
          <w:rFonts w:ascii="Arial" w:hAnsi="Arial" w:cs="Arial"/>
          <w:bCs/>
          <w:sz w:val="24"/>
          <w:szCs w:val="24"/>
          <w:lang w:val="en-GB"/>
        </w:rPr>
        <w:t>0</w:t>
      </w:r>
      <w:r>
        <w:rPr>
          <w:rFonts w:ascii="Arial" w:hAnsi="Arial" w:cs="Arial"/>
          <w:bCs/>
          <w:sz w:val="24"/>
          <w:szCs w:val="24"/>
          <w:lang w:val="en-GB"/>
        </w:rPr>
        <w:t xml:space="preserve">] The respondents elected to exit the agreements early which resulted in their termination as at the 31 May 2023.  </w:t>
      </w:r>
      <w:r w:rsidR="003C284A">
        <w:rPr>
          <w:rFonts w:ascii="Arial" w:hAnsi="Arial" w:cs="Arial"/>
          <w:bCs/>
          <w:sz w:val="24"/>
          <w:szCs w:val="24"/>
          <w:lang w:val="en-GB"/>
        </w:rPr>
        <w:t>The applicant</w:t>
      </w:r>
      <w:r>
        <w:rPr>
          <w:rFonts w:ascii="Arial" w:hAnsi="Arial" w:cs="Arial"/>
          <w:bCs/>
          <w:sz w:val="24"/>
          <w:szCs w:val="24"/>
          <w:lang w:val="en-GB"/>
        </w:rPr>
        <w:t xml:space="preserve"> took over the second respondent’s staff and premises.  The third respondent’s leas</w:t>
      </w:r>
      <w:r w:rsidR="00B925A2">
        <w:rPr>
          <w:rFonts w:ascii="Arial" w:hAnsi="Arial" w:cs="Arial"/>
          <w:bCs/>
          <w:sz w:val="24"/>
          <w:szCs w:val="24"/>
          <w:lang w:val="en-GB"/>
        </w:rPr>
        <w:t>e</w:t>
      </w:r>
      <w:r>
        <w:rPr>
          <w:rFonts w:ascii="Arial" w:hAnsi="Arial" w:cs="Arial"/>
          <w:bCs/>
          <w:sz w:val="24"/>
          <w:szCs w:val="24"/>
          <w:lang w:val="en-GB"/>
        </w:rPr>
        <w:t xml:space="preserve"> agreement was terminating as at the 31 May 2023</w:t>
      </w:r>
      <w:r w:rsidR="003C284A">
        <w:rPr>
          <w:rFonts w:ascii="Arial" w:hAnsi="Arial" w:cs="Arial"/>
          <w:bCs/>
          <w:sz w:val="24"/>
          <w:szCs w:val="24"/>
          <w:lang w:val="en-GB"/>
        </w:rPr>
        <w:t>,</w:t>
      </w:r>
      <w:r>
        <w:rPr>
          <w:rFonts w:ascii="Arial" w:hAnsi="Arial" w:cs="Arial"/>
          <w:bCs/>
          <w:sz w:val="24"/>
          <w:szCs w:val="24"/>
          <w:lang w:val="en-GB"/>
        </w:rPr>
        <w:t xml:space="preserve"> </w:t>
      </w:r>
      <w:r w:rsidR="003545F6">
        <w:rPr>
          <w:rFonts w:ascii="Arial" w:hAnsi="Arial" w:cs="Arial"/>
          <w:bCs/>
          <w:sz w:val="24"/>
          <w:szCs w:val="24"/>
          <w:lang w:val="en-GB"/>
        </w:rPr>
        <w:t>and it therefore</w:t>
      </w:r>
      <w:r>
        <w:rPr>
          <w:rFonts w:ascii="Arial" w:hAnsi="Arial" w:cs="Arial"/>
          <w:bCs/>
          <w:sz w:val="24"/>
          <w:szCs w:val="24"/>
          <w:lang w:val="en-GB"/>
        </w:rPr>
        <w:t xml:space="preserve"> did not renew it.  As a result, the second and third respondents effectively no </w:t>
      </w:r>
      <w:r w:rsidR="00C96CB4">
        <w:rPr>
          <w:rFonts w:ascii="Arial" w:hAnsi="Arial" w:cs="Arial"/>
          <w:bCs/>
          <w:sz w:val="24"/>
          <w:szCs w:val="24"/>
          <w:lang w:val="en-GB"/>
        </w:rPr>
        <w:t>longer</w:t>
      </w:r>
      <w:r>
        <w:rPr>
          <w:rFonts w:ascii="Arial" w:hAnsi="Arial" w:cs="Arial"/>
          <w:bCs/>
          <w:sz w:val="24"/>
          <w:szCs w:val="24"/>
          <w:lang w:val="en-GB"/>
        </w:rPr>
        <w:t xml:space="preserve"> trade other than </w:t>
      </w:r>
      <w:r w:rsidR="00B925A2">
        <w:rPr>
          <w:rFonts w:ascii="Arial" w:hAnsi="Arial" w:cs="Arial"/>
          <w:bCs/>
          <w:sz w:val="24"/>
          <w:szCs w:val="24"/>
          <w:lang w:val="en-GB"/>
        </w:rPr>
        <w:t>the</w:t>
      </w:r>
      <w:r>
        <w:rPr>
          <w:rFonts w:ascii="Arial" w:hAnsi="Arial" w:cs="Arial"/>
          <w:bCs/>
          <w:sz w:val="24"/>
          <w:szCs w:val="24"/>
          <w:lang w:val="en-GB"/>
        </w:rPr>
        <w:t xml:space="preserve"> historical vehicles which are currently on lease to the first respondent.  The first respondent sublet its East London premises to </w:t>
      </w:r>
      <w:r w:rsidR="003C284A">
        <w:rPr>
          <w:rFonts w:ascii="Arial" w:hAnsi="Arial" w:cs="Arial"/>
          <w:bCs/>
          <w:sz w:val="24"/>
          <w:szCs w:val="24"/>
          <w:lang w:val="en-GB"/>
        </w:rPr>
        <w:t xml:space="preserve">the applicant. </w:t>
      </w:r>
      <w:r>
        <w:rPr>
          <w:rFonts w:ascii="Arial" w:hAnsi="Arial" w:cs="Arial"/>
          <w:bCs/>
          <w:sz w:val="24"/>
          <w:szCs w:val="24"/>
          <w:lang w:val="en-GB"/>
        </w:rPr>
        <w:t xml:space="preserve"> </w:t>
      </w:r>
      <w:r w:rsidR="003C284A">
        <w:rPr>
          <w:rFonts w:ascii="Arial" w:hAnsi="Arial" w:cs="Arial"/>
          <w:bCs/>
          <w:sz w:val="24"/>
          <w:szCs w:val="24"/>
          <w:lang w:val="en-GB"/>
        </w:rPr>
        <w:t>T</w:t>
      </w:r>
      <w:r>
        <w:rPr>
          <w:rFonts w:ascii="Arial" w:hAnsi="Arial" w:cs="Arial"/>
          <w:bCs/>
          <w:sz w:val="24"/>
          <w:szCs w:val="24"/>
          <w:lang w:val="en-GB"/>
        </w:rPr>
        <w:t xml:space="preserve">he applicant chose not to take over </w:t>
      </w:r>
      <w:r w:rsidR="003C284A">
        <w:rPr>
          <w:rFonts w:ascii="Arial" w:hAnsi="Arial" w:cs="Arial"/>
          <w:bCs/>
          <w:sz w:val="24"/>
          <w:szCs w:val="24"/>
          <w:lang w:val="en-GB"/>
        </w:rPr>
        <w:t>the first respondent’s</w:t>
      </w:r>
      <w:r>
        <w:rPr>
          <w:rFonts w:ascii="Arial" w:hAnsi="Arial" w:cs="Arial"/>
          <w:bCs/>
          <w:sz w:val="24"/>
          <w:szCs w:val="24"/>
          <w:lang w:val="en-GB"/>
        </w:rPr>
        <w:t xml:space="preserve"> Gqeberha </w:t>
      </w:r>
      <w:r w:rsidR="004C7F0E">
        <w:rPr>
          <w:rFonts w:ascii="Arial" w:hAnsi="Arial" w:cs="Arial"/>
          <w:bCs/>
          <w:sz w:val="24"/>
          <w:szCs w:val="24"/>
          <w:lang w:val="en-GB"/>
        </w:rPr>
        <w:t xml:space="preserve">premises which were </w:t>
      </w:r>
      <w:r w:rsidR="00B925A2">
        <w:rPr>
          <w:rFonts w:ascii="Arial" w:hAnsi="Arial" w:cs="Arial"/>
          <w:bCs/>
          <w:sz w:val="24"/>
          <w:szCs w:val="24"/>
          <w:lang w:val="en-GB"/>
        </w:rPr>
        <w:t xml:space="preserve">then </w:t>
      </w:r>
      <w:r w:rsidR="004C7F0E">
        <w:rPr>
          <w:rFonts w:ascii="Arial" w:hAnsi="Arial" w:cs="Arial"/>
          <w:bCs/>
          <w:sz w:val="24"/>
          <w:szCs w:val="24"/>
          <w:lang w:val="en-GB"/>
        </w:rPr>
        <w:t>take</w:t>
      </w:r>
      <w:r w:rsidR="00B925A2">
        <w:rPr>
          <w:rFonts w:ascii="Arial" w:hAnsi="Arial" w:cs="Arial"/>
          <w:bCs/>
          <w:sz w:val="24"/>
          <w:szCs w:val="24"/>
          <w:lang w:val="en-GB"/>
        </w:rPr>
        <w:t>n</w:t>
      </w:r>
      <w:r w:rsidR="004C7F0E">
        <w:rPr>
          <w:rFonts w:ascii="Arial" w:hAnsi="Arial" w:cs="Arial"/>
          <w:bCs/>
          <w:sz w:val="24"/>
          <w:szCs w:val="24"/>
          <w:lang w:val="en-GB"/>
        </w:rPr>
        <w:t xml:space="preserve"> over by another entity.  Currently the first respondent trades from 4 Reit</w:t>
      </w:r>
      <w:r w:rsidR="00B925A2">
        <w:rPr>
          <w:rFonts w:ascii="Arial" w:hAnsi="Arial" w:cs="Arial"/>
          <w:bCs/>
          <w:sz w:val="24"/>
          <w:szCs w:val="24"/>
          <w:lang w:val="en-GB"/>
        </w:rPr>
        <w:t>z</w:t>
      </w:r>
      <w:r w:rsidR="004C7F0E">
        <w:rPr>
          <w:rFonts w:ascii="Arial" w:hAnsi="Arial" w:cs="Arial"/>
          <w:bCs/>
          <w:sz w:val="24"/>
          <w:szCs w:val="24"/>
          <w:lang w:val="en-GB"/>
        </w:rPr>
        <w:t xml:space="preserve"> Road, </w:t>
      </w:r>
      <w:proofErr w:type="spellStart"/>
      <w:r w:rsidR="004C7F0E">
        <w:rPr>
          <w:rFonts w:ascii="Arial" w:hAnsi="Arial" w:cs="Arial"/>
          <w:bCs/>
          <w:sz w:val="24"/>
          <w:szCs w:val="24"/>
          <w:lang w:val="en-GB"/>
        </w:rPr>
        <w:t>Millpark</w:t>
      </w:r>
      <w:proofErr w:type="spellEnd"/>
      <w:r w:rsidR="004C7F0E">
        <w:rPr>
          <w:rFonts w:ascii="Arial" w:hAnsi="Arial" w:cs="Arial"/>
          <w:bCs/>
          <w:sz w:val="24"/>
          <w:szCs w:val="24"/>
          <w:lang w:val="en-GB"/>
        </w:rPr>
        <w:t xml:space="preserve">, </w:t>
      </w:r>
      <w:proofErr w:type="spellStart"/>
      <w:r w:rsidR="004C7F0E">
        <w:rPr>
          <w:rFonts w:ascii="Arial" w:hAnsi="Arial" w:cs="Arial"/>
          <w:bCs/>
          <w:sz w:val="24"/>
          <w:szCs w:val="24"/>
          <w:lang w:val="en-GB"/>
        </w:rPr>
        <w:t>Gqeberha</w:t>
      </w:r>
      <w:proofErr w:type="spellEnd"/>
      <w:r w:rsidR="004C7F0E">
        <w:rPr>
          <w:rFonts w:ascii="Arial" w:hAnsi="Arial" w:cs="Arial"/>
          <w:bCs/>
          <w:sz w:val="24"/>
          <w:szCs w:val="24"/>
          <w:lang w:val="en-GB"/>
        </w:rPr>
        <w:t xml:space="preserve"> and is busy winding up its business consequent upon the termination of the agreements.</w:t>
      </w:r>
    </w:p>
    <w:p w14:paraId="2FF8575B" w14:textId="31025FCE" w:rsidR="004C7F0E" w:rsidRDefault="004C7F0E"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2</w:t>
      </w:r>
      <w:r w:rsidR="00C7671C">
        <w:rPr>
          <w:rFonts w:ascii="Arial" w:hAnsi="Arial" w:cs="Arial"/>
          <w:bCs/>
          <w:sz w:val="24"/>
          <w:szCs w:val="24"/>
          <w:lang w:val="en-GB"/>
        </w:rPr>
        <w:t>1</w:t>
      </w:r>
      <w:r>
        <w:rPr>
          <w:rFonts w:ascii="Arial" w:hAnsi="Arial" w:cs="Arial"/>
          <w:bCs/>
          <w:sz w:val="24"/>
          <w:szCs w:val="24"/>
          <w:lang w:val="en-GB"/>
        </w:rPr>
        <w:t xml:space="preserve">] The first respondent’s remaining </w:t>
      </w:r>
      <w:r w:rsidR="00D72B19">
        <w:rPr>
          <w:rFonts w:ascii="Arial" w:hAnsi="Arial" w:cs="Arial"/>
          <w:bCs/>
          <w:sz w:val="24"/>
          <w:szCs w:val="24"/>
          <w:lang w:val="en-GB"/>
        </w:rPr>
        <w:t>fleet of vehicles are leased to the applicant, two of the applicant’s sub-licen</w:t>
      </w:r>
      <w:r w:rsidR="002A4CA7">
        <w:rPr>
          <w:rFonts w:ascii="Arial" w:hAnsi="Arial" w:cs="Arial"/>
          <w:bCs/>
          <w:sz w:val="24"/>
          <w:szCs w:val="24"/>
          <w:lang w:val="en-GB"/>
        </w:rPr>
        <w:t>c</w:t>
      </w:r>
      <w:r w:rsidR="00D72B19">
        <w:rPr>
          <w:rFonts w:ascii="Arial" w:hAnsi="Arial" w:cs="Arial"/>
          <w:bCs/>
          <w:sz w:val="24"/>
          <w:szCs w:val="24"/>
          <w:lang w:val="en-GB"/>
        </w:rPr>
        <w:t xml:space="preserve">ees and three of </w:t>
      </w:r>
      <w:r w:rsidR="000435B0">
        <w:rPr>
          <w:rFonts w:ascii="Arial" w:hAnsi="Arial" w:cs="Arial"/>
          <w:bCs/>
          <w:sz w:val="24"/>
          <w:szCs w:val="24"/>
          <w:lang w:val="en-GB"/>
        </w:rPr>
        <w:t>Apex’s</w:t>
      </w:r>
      <w:r w:rsidR="00D72B19">
        <w:rPr>
          <w:rFonts w:ascii="Arial" w:hAnsi="Arial" w:cs="Arial"/>
          <w:bCs/>
          <w:sz w:val="24"/>
          <w:szCs w:val="24"/>
          <w:lang w:val="en-GB"/>
        </w:rPr>
        <w:t xml:space="preserve"> franc</w:t>
      </w:r>
      <w:r w:rsidR="002A4CA7">
        <w:rPr>
          <w:rFonts w:ascii="Arial" w:hAnsi="Arial" w:cs="Arial"/>
          <w:bCs/>
          <w:sz w:val="24"/>
          <w:szCs w:val="24"/>
          <w:lang w:val="en-GB"/>
        </w:rPr>
        <w:t>h</w:t>
      </w:r>
      <w:r w:rsidR="00D72B19">
        <w:rPr>
          <w:rFonts w:ascii="Arial" w:hAnsi="Arial" w:cs="Arial"/>
          <w:bCs/>
          <w:sz w:val="24"/>
          <w:szCs w:val="24"/>
          <w:lang w:val="en-GB"/>
        </w:rPr>
        <w:t>isees</w:t>
      </w:r>
      <w:r w:rsidR="002A4CA7">
        <w:rPr>
          <w:rFonts w:ascii="Arial" w:hAnsi="Arial" w:cs="Arial"/>
          <w:bCs/>
          <w:sz w:val="24"/>
          <w:szCs w:val="24"/>
          <w:lang w:val="en-GB"/>
        </w:rPr>
        <w:t xml:space="preserve">. </w:t>
      </w:r>
      <w:r w:rsidR="00D72B19">
        <w:rPr>
          <w:rFonts w:ascii="Arial" w:hAnsi="Arial" w:cs="Arial"/>
          <w:bCs/>
          <w:sz w:val="24"/>
          <w:szCs w:val="24"/>
          <w:lang w:val="en-GB"/>
        </w:rPr>
        <w:t xml:space="preserve"> Mr Du Toit</w:t>
      </w:r>
      <w:r w:rsidR="002A4CA7">
        <w:rPr>
          <w:rFonts w:ascii="Arial" w:hAnsi="Arial" w:cs="Arial"/>
          <w:bCs/>
          <w:sz w:val="24"/>
          <w:szCs w:val="24"/>
          <w:lang w:val="en-GB"/>
        </w:rPr>
        <w:t xml:space="preserve"> </w:t>
      </w:r>
      <w:r w:rsidR="00D72B19">
        <w:rPr>
          <w:rFonts w:ascii="Arial" w:hAnsi="Arial" w:cs="Arial"/>
          <w:bCs/>
          <w:sz w:val="24"/>
          <w:szCs w:val="24"/>
          <w:lang w:val="en-GB"/>
        </w:rPr>
        <w:t xml:space="preserve">is not only the </w:t>
      </w:r>
      <w:r w:rsidR="00D72B19">
        <w:rPr>
          <w:rFonts w:ascii="Arial" w:hAnsi="Arial" w:cs="Arial"/>
          <w:bCs/>
          <w:sz w:val="24"/>
          <w:szCs w:val="24"/>
          <w:lang w:val="en-GB"/>
        </w:rPr>
        <w:lastRenderedPageBreak/>
        <w:t>director of the respondents but also an indirect shareholder through a family trust</w:t>
      </w:r>
      <w:r w:rsidR="00292B75">
        <w:rPr>
          <w:rFonts w:ascii="Arial" w:hAnsi="Arial" w:cs="Arial"/>
          <w:bCs/>
          <w:sz w:val="24"/>
          <w:szCs w:val="24"/>
          <w:lang w:val="en-GB"/>
        </w:rPr>
        <w:t xml:space="preserve"> and</w:t>
      </w:r>
      <w:r w:rsidR="00D72B19">
        <w:rPr>
          <w:rFonts w:ascii="Arial" w:hAnsi="Arial" w:cs="Arial"/>
          <w:bCs/>
          <w:sz w:val="24"/>
          <w:szCs w:val="24"/>
          <w:lang w:val="en-GB"/>
        </w:rPr>
        <w:t xml:space="preserve"> an entity known as Peachey Holdings in which his family trust is a 100% shareholder.  Peachey Holdings is a 50%</w:t>
      </w:r>
      <w:r w:rsidR="004C432C">
        <w:rPr>
          <w:rFonts w:ascii="Arial" w:hAnsi="Arial" w:cs="Arial"/>
          <w:bCs/>
          <w:sz w:val="24"/>
          <w:szCs w:val="24"/>
          <w:lang w:val="en-GB"/>
        </w:rPr>
        <w:t xml:space="preserve"> shareholder in Apex and the other 50% is held by </w:t>
      </w:r>
      <w:proofErr w:type="spellStart"/>
      <w:r w:rsidR="004C432C">
        <w:rPr>
          <w:rFonts w:ascii="Arial" w:hAnsi="Arial" w:cs="Arial"/>
          <w:bCs/>
          <w:sz w:val="24"/>
          <w:szCs w:val="24"/>
          <w:lang w:val="en-GB"/>
        </w:rPr>
        <w:t>Katsea</w:t>
      </w:r>
      <w:proofErr w:type="spellEnd"/>
      <w:r w:rsidR="004C432C">
        <w:rPr>
          <w:rFonts w:ascii="Arial" w:hAnsi="Arial" w:cs="Arial"/>
          <w:bCs/>
          <w:sz w:val="24"/>
          <w:szCs w:val="24"/>
          <w:lang w:val="en-GB"/>
        </w:rPr>
        <w:t xml:space="preserve"> Trust.</w:t>
      </w:r>
    </w:p>
    <w:p w14:paraId="6295B16B" w14:textId="64208636" w:rsidR="004C432C" w:rsidRDefault="00DC2FA2"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2</w:t>
      </w:r>
      <w:r w:rsidR="000E2B92">
        <w:rPr>
          <w:rFonts w:ascii="Arial" w:hAnsi="Arial" w:cs="Arial"/>
          <w:bCs/>
          <w:sz w:val="24"/>
          <w:szCs w:val="24"/>
          <w:lang w:val="en-GB"/>
        </w:rPr>
        <w:t>2</w:t>
      </w:r>
      <w:r>
        <w:rPr>
          <w:rFonts w:ascii="Arial" w:hAnsi="Arial" w:cs="Arial"/>
          <w:bCs/>
          <w:sz w:val="24"/>
          <w:szCs w:val="24"/>
          <w:lang w:val="en-GB"/>
        </w:rPr>
        <w:t>] Apex’s principal place of business is Unit 24 Mil</w:t>
      </w:r>
      <w:r w:rsidR="00A236C7">
        <w:rPr>
          <w:rFonts w:ascii="Arial" w:hAnsi="Arial" w:cs="Arial"/>
          <w:bCs/>
          <w:sz w:val="24"/>
          <w:szCs w:val="24"/>
          <w:lang w:val="en-GB"/>
        </w:rPr>
        <w:t>n</w:t>
      </w:r>
      <w:r>
        <w:rPr>
          <w:rFonts w:ascii="Arial" w:hAnsi="Arial" w:cs="Arial"/>
          <w:bCs/>
          <w:sz w:val="24"/>
          <w:szCs w:val="24"/>
          <w:lang w:val="en-GB"/>
        </w:rPr>
        <w:t>erton Business Park, Corner Ko</w:t>
      </w:r>
      <w:r w:rsidR="00A236C7">
        <w:rPr>
          <w:rFonts w:ascii="Arial" w:hAnsi="Arial" w:cs="Arial"/>
          <w:bCs/>
          <w:sz w:val="24"/>
          <w:szCs w:val="24"/>
          <w:lang w:val="en-GB"/>
        </w:rPr>
        <w:t>e</w:t>
      </w:r>
      <w:r>
        <w:rPr>
          <w:rFonts w:ascii="Arial" w:hAnsi="Arial" w:cs="Arial"/>
          <w:bCs/>
          <w:sz w:val="24"/>
          <w:szCs w:val="24"/>
          <w:lang w:val="en-GB"/>
        </w:rPr>
        <w:t>berg and Racecourse Road, Mil</w:t>
      </w:r>
      <w:r w:rsidR="00455694">
        <w:rPr>
          <w:rFonts w:ascii="Arial" w:hAnsi="Arial" w:cs="Arial"/>
          <w:bCs/>
          <w:sz w:val="24"/>
          <w:szCs w:val="24"/>
          <w:lang w:val="en-GB"/>
        </w:rPr>
        <w:t>nerton, Cape Town.  The address reflected in the broc</w:t>
      </w:r>
      <w:r w:rsidR="00A236C7">
        <w:rPr>
          <w:rFonts w:ascii="Arial" w:hAnsi="Arial" w:cs="Arial"/>
          <w:bCs/>
          <w:sz w:val="24"/>
          <w:szCs w:val="24"/>
          <w:lang w:val="en-GB"/>
        </w:rPr>
        <w:t>h</w:t>
      </w:r>
      <w:r w:rsidR="00455694">
        <w:rPr>
          <w:rFonts w:ascii="Arial" w:hAnsi="Arial" w:cs="Arial"/>
          <w:bCs/>
          <w:sz w:val="24"/>
          <w:szCs w:val="24"/>
          <w:lang w:val="en-GB"/>
        </w:rPr>
        <w:t>ure referred to in the founding affidavit is not that of Apex but that of its franchisees including</w:t>
      </w:r>
      <w:r w:rsidR="00D42CD3">
        <w:rPr>
          <w:rFonts w:ascii="Arial" w:hAnsi="Arial" w:cs="Arial"/>
          <w:bCs/>
          <w:sz w:val="24"/>
          <w:szCs w:val="24"/>
          <w:lang w:val="en-GB"/>
        </w:rPr>
        <w:t xml:space="preserve"> the</w:t>
      </w:r>
      <w:r w:rsidR="00455694">
        <w:rPr>
          <w:rFonts w:ascii="Arial" w:hAnsi="Arial" w:cs="Arial"/>
          <w:bCs/>
          <w:sz w:val="24"/>
          <w:szCs w:val="24"/>
          <w:lang w:val="en-GB"/>
        </w:rPr>
        <w:t xml:space="preserve"> one that trades at 125 Albert Road, </w:t>
      </w:r>
      <w:proofErr w:type="spellStart"/>
      <w:r w:rsidR="00455694">
        <w:rPr>
          <w:rFonts w:ascii="Arial" w:hAnsi="Arial" w:cs="Arial"/>
          <w:bCs/>
          <w:sz w:val="24"/>
          <w:szCs w:val="24"/>
          <w:lang w:val="en-GB"/>
        </w:rPr>
        <w:t>Walmer</w:t>
      </w:r>
      <w:proofErr w:type="spellEnd"/>
      <w:r w:rsidR="00455694">
        <w:rPr>
          <w:rFonts w:ascii="Arial" w:hAnsi="Arial" w:cs="Arial"/>
          <w:bCs/>
          <w:sz w:val="24"/>
          <w:szCs w:val="24"/>
          <w:lang w:val="en-GB"/>
        </w:rPr>
        <w:t xml:space="preserve">, </w:t>
      </w:r>
      <w:proofErr w:type="spellStart"/>
      <w:r w:rsidR="00455694">
        <w:rPr>
          <w:rFonts w:ascii="Arial" w:hAnsi="Arial" w:cs="Arial"/>
          <w:bCs/>
          <w:sz w:val="24"/>
          <w:szCs w:val="24"/>
          <w:lang w:val="en-GB"/>
        </w:rPr>
        <w:t>Gqeberha</w:t>
      </w:r>
      <w:proofErr w:type="spellEnd"/>
      <w:r w:rsidR="00455694">
        <w:rPr>
          <w:rFonts w:ascii="Arial" w:hAnsi="Arial" w:cs="Arial"/>
          <w:bCs/>
          <w:sz w:val="24"/>
          <w:szCs w:val="24"/>
          <w:lang w:val="en-GB"/>
        </w:rPr>
        <w:t>.</w:t>
      </w:r>
    </w:p>
    <w:p w14:paraId="7DD0D1C8" w14:textId="17FC2045" w:rsidR="00B72C49" w:rsidRDefault="00B72C49" w:rsidP="000A1C49">
      <w:pPr>
        <w:spacing w:line="480" w:lineRule="auto"/>
        <w:jc w:val="both"/>
        <w:rPr>
          <w:rFonts w:ascii="Arial" w:hAnsi="Arial" w:cs="Arial"/>
          <w:bCs/>
          <w:sz w:val="24"/>
          <w:szCs w:val="24"/>
          <w:lang w:val="en-GB"/>
        </w:rPr>
      </w:pPr>
      <w:r>
        <w:rPr>
          <w:rFonts w:ascii="Arial" w:hAnsi="Arial" w:cs="Arial"/>
          <w:bCs/>
          <w:sz w:val="24"/>
          <w:szCs w:val="24"/>
          <w:lang w:val="en-GB"/>
        </w:rPr>
        <w:t>[2</w:t>
      </w:r>
      <w:r w:rsidR="000E2B92">
        <w:rPr>
          <w:rFonts w:ascii="Arial" w:hAnsi="Arial" w:cs="Arial"/>
          <w:bCs/>
          <w:sz w:val="24"/>
          <w:szCs w:val="24"/>
          <w:lang w:val="en-GB"/>
        </w:rPr>
        <w:t>3</w:t>
      </w:r>
      <w:r>
        <w:rPr>
          <w:rFonts w:ascii="Arial" w:hAnsi="Arial" w:cs="Arial"/>
          <w:bCs/>
          <w:sz w:val="24"/>
          <w:szCs w:val="24"/>
          <w:lang w:val="en-GB"/>
        </w:rPr>
        <w:t xml:space="preserve">] The respondents deny acting in breach </w:t>
      </w:r>
      <w:r w:rsidR="008F2F3B">
        <w:rPr>
          <w:rFonts w:ascii="Arial" w:hAnsi="Arial" w:cs="Arial"/>
          <w:bCs/>
          <w:sz w:val="24"/>
          <w:szCs w:val="24"/>
          <w:lang w:val="en-GB"/>
        </w:rPr>
        <w:t>o</w:t>
      </w:r>
      <w:r>
        <w:rPr>
          <w:rFonts w:ascii="Arial" w:hAnsi="Arial" w:cs="Arial"/>
          <w:bCs/>
          <w:sz w:val="24"/>
          <w:szCs w:val="24"/>
          <w:lang w:val="en-GB"/>
        </w:rPr>
        <w:t>f the restraint of trade and further den</w:t>
      </w:r>
      <w:r w:rsidR="00483E26">
        <w:rPr>
          <w:rFonts w:ascii="Arial" w:hAnsi="Arial" w:cs="Arial"/>
          <w:bCs/>
          <w:sz w:val="24"/>
          <w:szCs w:val="24"/>
          <w:lang w:val="en-GB"/>
        </w:rPr>
        <w:t>y</w:t>
      </w:r>
      <w:r>
        <w:rPr>
          <w:rFonts w:ascii="Arial" w:hAnsi="Arial" w:cs="Arial"/>
          <w:bCs/>
          <w:sz w:val="24"/>
          <w:szCs w:val="24"/>
          <w:lang w:val="en-GB"/>
        </w:rPr>
        <w:t xml:space="preserve"> that the applicant, in any event, has any protectable interest.  This is because the respondents were merely a condu</w:t>
      </w:r>
      <w:r w:rsidR="00483E26">
        <w:rPr>
          <w:rFonts w:ascii="Arial" w:hAnsi="Arial" w:cs="Arial"/>
          <w:bCs/>
          <w:sz w:val="24"/>
          <w:szCs w:val="24"/>
          <w:lang w:val="en-GB"/>
        </w:rPr>
        <w:t>i</w:t>
      </w:r>
      <w:r>
        <w:rPr>
          <w:rFonts w:ascii="Arial" w:hAnsi="Arial" w:cs="Arial"/>
          <w:bCs/>
          <w:sz w:val="24"/>
          <w:szCs w:val="24"/>
          <w:lang w:val="en-GB"/>
        </w:rPr>
        <w:t>t for customers wishing to collect and drop off vehicles re</w:t>
      </w:r>
      <w:r w:rsidR="00483E26">
        <w:rPr>
          <w:rFonts w:ascii="Arial" w:hAnsi="Arial" w:cs="Arial"/>
          <w:bCs/>
          <w:sz w:val="24"/>
          <w:szCs w:val="24"/>
          <w:lang w:val="en-GB"/>
        </w:rPr>
        <w:t>n</w:t>
      </w:r>
      <w:r>
        <w:rPr>
          <w:rFonts w:ascii="Arial" w:hAnsi="Arial" w:cs="Arial"/>
          <w:bCs/>
          <w:sz w:val="24"/>
          <w:szCs w:val="24"/>
          <w:lang w:val="en-GB"/>
        </w:rPr>
        <w:t>ted from the applicant and the respondents ha</w:t>
      </w:r>
      <w:r w:rsidR="00483E26">
        <w:rPr>
          <w:rFonts w:ascii="Arial" w:hAnsi="Arial" w:cs="Arial"/>
          <w:bCs/>
          <w:sz w:val="24"/>
          <w:szCs w:val="24"/>
          <w:lang w:val="en-GB"/>
        </w:rPr>
        <w:t>d</w:t>
      </w:r>
      <w:r>
        <w:rPr>
          <w:rFonts w:ascii="Arial" w:hAnsi="Arial" w:cs="Arial"/>
          <w:bCs/>
          <w:sz w:val="24"/>
          <w:szCs w:val="24"/>
          <w:lang w:val="en-GB"/>
        </w:rPr>
        <w:t xml:space="preserve"> no relationship with </w:t>
      </w:r>
      <w:r w:rsidR="00F96D1F">
        <w:rPr>
          <w:rFonts w:ascii="Arial" w:hAnsi="Arial" w:cs="Arial"/>
          <w:bCs/>
          <w:sz w:val="24"/>
          <w:szCs w:val="24"/>
          <w:lang w:val="en-GB"/>
        </w:rPr>
        <w:t xml:space="preserve">those </w:t>
      </w:r>
      <w:r>
        <w:rPr>
          <w:rFonts w:ascii="Arial" w:hAnsi="Arial" w:cs="Arial"/>
          <w:bCs/>
          <w:sz w:val="24"/>
          <w:szCs w:val="24"/>
          <w:lang w:val="en-GB"/>
        </w:rPr>
        <w:t>customers.  The respondents ha</w:t>
      </w:r>
      <w:r w:rsidR="00483E26">
        <w:rPr>
          <w:rFonts w:ascii="Arial" w:hAnsi="Arial" w:cs="Arial"/>
          <w:bCs/>
          <w:sz w:val="24"/>
          <w:szCs w:val="24"/>
          <w:lang w:val="en-GB"/>
        </w:rPr>
        <w:t>ve</w:t>
      </w:r>
      <w:r>
        <w:rPr>
          <w:rFonts w:ascii="Arial" w:hAnsi="Arial" w:cs="Arial"/>
          <w:bCs/>
          <w:sz w:val="24"/>
          <w:szCs w:val="24"/>
          <w:lang w:val="en-GB"/>
        </w:rPr>
        <w:t xml:space="preserve"> no knowledge of the business of the applicant, its information</w:t>
      </w:r>
      <w:r w:rsidR="00CF05B3">
        <w:rPr>
          <w:rFonts w:ascii="Arial" w:hAnsi="Arial" w:cs="Arial"/>
          <w:bCs/>
          <w:sz w:val="24"/>
          <w:szCs w:val="24"/>
          <w:lang w:val="en-GB"/>
        </w:rPr>
        <w:t>,</w:t>
      </w:r>
      <w:r w:rsidR="00377A41">
        <w:rPr>
          <w:rFonts w:ascii="Arial" w:hAnsi="Arial" w:cs="Arial"/>
          <w:bCs/>
          <w:sz w:val="24"/>
          <w:szCs w:val="24"/>
          <w:lang w:val="en-GB"/>
        </w:rPr>
        <w:t xml:space="preserve"> trade sec</w:t>
      </w:r>
      <w:r w:rsidR="0014332D">
        <w:rPr>
          <w:rFonts w:ascii="Arial" w:hAnsi="Arial" w:cs="Arial"/>
          <w:bCs/>
          <w:sz w:val="24"/>
          <w:szCs w:val="24"/>
          <w:lang w:val="en-GB"/>
        </w:rPr>
        <w:t>rets</w:t>
      </w:r>
      <w:r>
        <w:rPr>
          <w:rFonts w:ascii="Arial" w:hAnsi="Arial" w:cs="Arial"/>
          <w:bCs/>
          <w:sz w:val="24"/>
          <w:szCs w:val="24"/>
          <w:lang w:val="en-GB"/>
        </w:rPr>
        <w:t xml:space="preserve"> and ha</w:t>
      </w:r>
      <w:r w:rsidR="00972884">
        <w:rPr>
          <w:rFonts w:ascii="Arial" w:hAnsi="Arial" w:cs="Arial"/>
          <w:bCs/>
          <w:sz w:val="24"/>
          <w:szCs w:val="24"/>
          <w:lang w:val="en-GB"/>
        </w:rPr>
        <w:t>d</w:t>
      </w:r>
      <w:r>
        <w:rPr>
          <w:rFonts w:ascii="Arial" w:hAnsi="Arial" w:cs="Arial"/>
          <w:bCs/>
          <w:sz w:val="24"/>
          <w:szCs w:val="24"/>
          <w:lang w:val="en-GB"/>
        </w:rPr>
        <w:t xml:space="preserve"> no customer connections.  Apex is a franchisor and as such does not carry on the same business as the respondents.  In any event it is not subject to any restraint of trade agreement.  Mr Du</w:t>
      </w:r>
      <w:r w:rsidR="00353BA8">
        <w:rPr>
          <w:rFonts w:ascii="Arial" w:hAnsi="Arial" w:cs="Arial"/>
          <w:bCs/>
          <w:sz w:val="24"/>
          <w:szCs w:val="24"/>
          <w:lang w:val="en-GB"/>
        </w:rPr>
        <w:t xml:space="preserve"> </w:t>
      </w:r>
      <w:r>
        <w:rPr>
          <w:rFonts w:ascii="Arial" w:hAnsi="Arial" w:cs="Arial"/>
          <w:bCs/>
          <w:sz w:val="24"/>
          <w:szCs w:val="24"/>
          <w:lang w:val="en-GB"/>
        </w:rPr>
        <w:t>T</w:t>
      </w:r>
      <w:r w:rsidR="0021145C">
        <w:rPr>
          <w:rFonts w:ascii="Arial" w:hAnsi="Arial" w:cs="Arial"/>
          <w:bCs/>
          <w:sz w:val="24"/>
          <w:szCs w:val="24"/>
          <w:lang w:val="en-GB"/>
        </w:rPr>
        <w:t>oi</w:t>
      </w:r>
      <w:r>
        <w:rPr>
          <w:rFonts w:ascii="Arial" w:hAnsi="Arial" w:cs="Arial"/>
          <w:bCs/>
          <w:sz w:val="24"/>
          <w:szCs w:val="24"/>
          <w:lang w:val="en-GB"/>
        </w:rPr>
        <w:t>t further denies that Apex approached the applicant’s sub-licencees</w:t>
      </w:r>
      <w:r w:rsidR="004756E6">
        <w:rPr>
          <w:rFonts w:ascii="Arial" w:hAnsi="Arial" w:cs="Arial"/>
          <w:bCs/>
          <w:sz w:val="24"/>
          <w:szCs w:val="24"/>
          <w:lang w:val="en-GB"/>
        </w:rPr>
        <w:t xml:space="preserve"> or agents</w:t>
      </w:r>
      <w:r>
        <w:rPr>
          <w:rFonts w:ascii="Arial" w:hAnsi="Arial" w:cs="Arial"/>
          <w:bCs/>
          <w:sz w:val="24"/>
          <w:szCs w:val="24"/>
          <w:lang w:val="en-GB"/>
        </w:rPr>
        <w:t>.  In any event the email marked as annexure CZR10 was from an employee of a franchisee of Apex.  Furthermore, and in any event</w:t>
      </w:r>
      <w:r w:rsidR="00F96D1F">
        <w:rPr>
          <w:rFonts w:ascii="Arial" w:hAnsi="Arial" w:cs="Arial"/>
          <w:bCs/>
          <w:sz w:val="24"/>
          <w:szCs w:val="24"/>
          <w:lang w:val="en-GB"/>
        </w:rPr>
        <w:t>,</w:t>
      </w:r>
      <w:r>
        <w:rPr>
          <w:rFonts w:ascii="Arial" w:hAnsi="Arial" w:cs="Arial"/>
          <w:bCs/>
          <w:sz w:val="24"/>
          <w:szCs w:val="24"/>
          <w:lang w:val="en-GB"/>
        </w:rPr>
        <w:t xml:space="preserve"> </w:t>
      </w:r>
      <w:r w:rsidR="005B2B7F">
        <w:rPr>
          <w:rFonts w:ascii="Arial" w:hAnsi="Arial" w:cs="Arial"/>
          <w:bCs/>
          <w:sz w:val="24"/>
          <w:szCs w:val="24"/>
          <w:lang w:val="en-GB"/>
        </w:rPr>
        <w:t>Limpopo</w:t>
      </w:r>
      <w:r>
        <w:rPr>
          <w:rFonts w:ascii="Arial" w:hAnsi="Arial" w:cs="Arial"/>
          <w:bCs/>
          <w:sz w:val="24"/>
          <w:szCs w:val="24"/>
          <w:lang w:val="en-GB"/>
        </w:rPr>
        <w:t xml:space="preserve"> and Polokwane are not areas in which the respondents are restrained at all from operating.  The respondents deny that Apex utilises their telephone numbers.</w:t>
      </w:r>
    </w:p>
    <w:p w14:paraId="5A38E2F1" w14:textId="02A3500A" w:rsidR="00452DFD" w:rsidRDefault="00CC2A1E" w:rsidP="000A1C49">
      <w:pPr>
        <w:spacing w:line="480" w:lineRule="auto"/>
        <w:jc w:val="both"/>
        <w:rPr>
          <w:rFonts w:ascii="Arial" w:hAnsi="Arial" w:cs="Arial"/>
          <w:bCs/>
          <w:sz w:val="24"/>
          <w:szCs w:val="24"/>
          <w:lang w:val="en-GB"/>
        </w:rPr>
      </w:pPr>
      <w:r>
        <w:rPr>
          <w:rFonts w:ascii="Arial" w:hAnsi="Arial" w:cs="Arial"/>
          <w:bCs/>
          <w:sz w:val="24"/>
          <w:szCs w:val="24"/>
          <w:lang w:val="en-GB"/>
        </w:rPr>
        <w:t>[2</w:t>
      </w:r>
      <w:r w:rsidR="001D214D">
        <w:rPr>
          <w:rFonts w:ascii="Arial" w:hAnsi="Arial" w:cs="Arial"/>
          <w:bCs/>
          <w:sz w:val="24"/>
          <w:szCs w:val="24"/>
          <w:lang w:val="en-GB"/>
        </w:rPr>
        <w:t>4</w:t>
      </w:r>
      <w:r>
        <w:rPr>
          <w:rFonts w:ascii="Arial" w:hAnsi="Arial" w:cs="Arial"/>
          <w:bCs/>
          <w:sz w:val="24"/>
          <w:szCs w:val="24"/>
          <w:lang w:val="en-GB"/>
        </w:rPr>
        <w:t>] At the termination of the agreement</w:t>
      </w:r>
      <w:r w:rsidR="00903FC4">
        <w:rPr>
          <w:rFonts w:ascii="Arial" w:hAnsi="Arial" w:cs="Arial"/>
          <w:bCs/>
          <w:sz w:val="24"/>
          <w:szCs w:val="24"/>
          <w:lang w:val="en-GB"/>
        </w:rPr>
        <w:t>s</w:t>
      </w:r>
      <w:r>
        <w:rPr>
          <w:rFonts w:ascii="Arial" w:hAnsi="Arial" w:cs="Arial"/>
          <w:bCs/>
          <w:sz w:val="24"/>
          <w:szCs w:val="24"/>
          <w:lang w:val="en-GB"/>
        </w:rPr>
        <w:t xml:space="preserve"> with the applicant</w:t>
      </w:r>
      <w:r w:rsidR="00F96D1F">
        <w:rPr>
          <w:rFonts w:ascii="Arial" w:hAnsi="Arial" w:cs="Arial"/>
          <w:bCs/>
          <w:sz w:val="24"/>
          <w:szCs w:val="24"/>
          <w:lang w:val="en-GB"/>
        </w:rPr>
        <w:t>,</w:t>
      </w:r>
      <w:r>
        <w:rPr>
          <w:rFonts w:ascii="Arial" w:hAnsi="Arial" w:cs="Arial"/>
          <w:bCs/>
          <w:sz w:val="24"/>
          <w:szCs w:val="24"/>
          <w:lang w:val="en-GB"/>
        </w:rPr>
        <w:t xml:space="preserve"> the lease agreements of the second and third respondents were </w:t>
      </w:r>
      <w:r w:rsidR="00381070">
        <w:rPr>
          <w:rFonts w:ascii="Arial" w:hAnsi="Arial" w:cs="Arial"/>
          <w:bCs/>
          <w:sz w:val="24"/>
          <w:szCs w:val="24"/>
          <w:lang w:val="en-GB"/>
        </w:rPr>
        <w:t>expiring,</w:t>
      </w:r>
      <w:r>
        <w:rPr>
          <w:rFonts w:ascii="Arial" w:hAnsi="Arial" w:cs="Arial"/>
          <w:bCs/>
          <w:sz w:val="24"/>
          <w:szCs w:val="24"/>
          <w:lang w:val="en-GB"/>
        </w:rPr>
        <w:t xml:space="preserve"> and the applicant was advised of the contact details of the </w:t>
      </w:r>
      <w:r w:rsidR="00B616BA">
        <w:rPr>
          <w:rFonts w:ascii="Arial" w:hAnsi="Arial" w:cs="Arial"/>
          <w:bCs/>
          <w:sz w:val="24"/>
          <w:szCs w:val="24"/>
          <w:lang w:val="en-GB"/>
        </w:rPr>
        <w:t xml:space="preserve">relevant landlords so that it may enter into agreements with them.  </w:t>
      </w:r>
      <w:r w:rsidR="00405701">
        <w:rPr>
          <w:rFonts w:ascii="Arial" w:hAnsi="Arial" w:cs="Arial"/>
          <w:bCs/>
          <w:sz w:val="24"/>
          <w:szCs w:val="24"/>
          <w:lang w:val="en-GB"/>
        </w:rPr>
        <w:t xml:space="preserve">As </w:t>
      </w:r>
      <w:r w:rsidR="00F96D1F">
        <w:rPr>
          <w:rFonts w:ascii="Arial" w:hAnsi="Arial" w:cs="Arial"/>
          <w:bCs/>
          <w:sz w:val="24"/>
          <w:szCs w:val="24"/>
          <w:lang w:val="en-GB"/>
        </w:rPr>
        <w:t xml:space="preserve">a </w:t>
      </w:r>
      <w:r w:rsidR="00381070">
        <w:rPr>
          <w:rFonts w:ascii="Arial" w:hAnsi="Arial" w:cs="Arial"/>
          <w:bCs/>
          <w:sz w:val="24"/>
          <w:szCs w:val="24"/>
          <w:lang w:val="en-GB"/>
        </w:rPr>
        <w:lastRenderedPageBreak/>
        <w:t>result,</w:t>
      </w:r>
      <w:r w:rsidR="00F96D1F">
        <w:rPr>
          <w:rFonts w:ascii="Arial" w:hAnsi="Arial" w:cs="Arial"/>
          <w:bCs/>
          <w:sz w:val="24"/>
          <w:szCs w:val="24"/>
          <w:lang w:val="en-GB"/>
        </w:rPr>
        <w:t xml:space="preserve"> the applicant</w:t>
      </w:r>
      <w:r w:rsidR="00405701">
        <w:rPr>
          <w:rFonts w:ascii="Arial" w:hAnsi="Arial" w:cs="Arial"/>
          <w:bCs/>
          <w:sz w:val="24"/>
          <w:szCs w:val="24"/>
          <w:lang w:val="en-GB"/>
        </w:rPr>
        <w:t xml:space="preserve"> </w:t>
      </w:r>
      <w:r w:rsidR="00B616BA">
        <w:rPr>
          <w:rFonts w:ascii="Arial" w:hAnsi="Arial" w:cs="Arial"/>
          <w:bCs/>
          <w:sz w:val="24"/>
          <w:szCs w:val="24"/>
          <w:lang w:val="en-GB"/>
        </w:rPr>
        <w:t xml:space="preserve">took over the premises in George but not the ones in Paarl.  In respect of the East London premises the applicant has </w:t>
      </w:r>
      <w:r w:rsidR="00F143BA">
        <w:rPr>
          <w:rFonts w:ascii="Arial" w:hAnsi="Arial" w:cs="Arial"/>
          <w:bCs/>
          <w:sz w:val="24"/>
          <w:szCs w:val="24"/>
          <w:lang w:val="en-GB"/>
        </w:rPr>
        <w:t>taken over those premises through a sub-lease with the first respondent.  The applicant has therefore taken over those telephone lines.</w:t>
      </w:r>
      <w:r w:rsidR="00C34D6A">
        <w:rPr>
          <w:rFonts w:ascii="Arial" w:hAnsi="Arial" w:cs="Arial"/>
          <w:bCs/>
          <w:sz w:val="24"/>
          <w:szCs w:val="24"/>
          <w:lang w:val="en-GB"/>
        </w:rPr>
        <w:t xml:space="preserve">  It was </w:t>
      </w:r>
      <w:r w:rsidR="00FB206B">
        <w:rPr>
          <w:rFonts w:ascii="Arial" w:hAnsi="Arial" w:cs="Arial"/>
          <w:bCs/>
          <w:sz w:val="24"/>
          <w:szCs w:val="24"/>
          <w:lang w:val="en-GB"/>
        </w:rPr>
        <w:t>offered the Gqeberha premises but declined to take them.  Therefore, the applicant had an opportunity to take over all four premises.  The telephone numbers in the brochure are those of the franchisees</w:t>
      </w:r>
      <w:r w:rsidR="00405701">
        <w:rPr>
          <w:rFonts w:ascii="Arial" w:hAnsi="Arial" w:cs="Arial"/>
          <w:bCs/>
          <w:sz w:val="24"/>
          <w:szCs w:val="24"/>
          <w:lang w:val="en-GB"/>
        </w:rPr>
        <w:t xml:space="preserve"> of Apex</w:t>
      </w:r>
      <w:r w:rsidR="00FB206B">
        <w:rPr>
          <w:rFonts w:ascii="Arial" w:hAnsi="Arial" w:cs="Arial"/>
          <w:bCs/>
          <w:sz w:val="24"/>
          <w:szCs w:val="24"/>
          <w:lang w:val="en-GB"/>
        </w:rPr>
        <w:t xml:space="preserve">.  </w:t>
      </w:r>
    </w:p>
    <w:p w14:paraId="2B7F580F" w14:textId="2D135DCC" w:rsidR="00582F47" w:rsidRPr="00582F47" w:rsidRDefault="00582F47"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sub-licen</w:t>
      </w:r>
      <w:r w:rsidR="00405701">
        <w:rPr>
          <w:rFonts w:ascii="Arial" w:hAnsi="Arial" w:cs="Arial"/>
          <w:bCs/>
          <w:i/>
          <w:iCs/>
          <w:sz w:val="24"/>
          <w:szCs w:val="24"/>
          <w:lang w:val="en-GB"/>
        </w:rPr>
        <w:t>c</w:t>
      </w:r>
      <w:r w:rsidR="0071660A">
        <w:rPr>
          <w:rFonts w:ascii="Arial" w:hAnsi="Arial" w:cs="Arial"/>
          <w:bCs/>
          <w:i/>
          <w:iCs/>
          <w:sz w:val="24"/>
          <w:szCs w:val="24"/>
          <w:lang w:val="en-GB"/>
        </w:rPr>
        <w:t>e</w:t>
      </w:r>
      <w:r>
        <w:rPr>
          <w:rFonts w:ascii="Arial" w:hAnsi="Arial" w:cs="Arial"/>
          <w:bCs/>
          <w:i/>
          <w:iCs/>
          <w:sz w:val="24"/>
          <w:szCs w:val="24"/>
          <w:lang w:val="en-GB"/>
        </w:rPr>
        <w:t xml:space="preserve"> agreement.</w:t>
      </w:r>
    </w:p>
    <w:p w14:paraId="6CF5AE2D" w14:textId="711B4661" w:rsidR="00FB206B" w:rsidRDefault="00FB206B" w:rsidP="000A1C49">
      <w:pPr>
        <w:spacing w:line="480" w:lineRule="auto"/>
        <w:jc w:val="both"/>
        <w:rPr>
          <w:rFonts w:ascii="Arial" w:hAnsi="Arial" w:cs="Arial"/>
          <w:bCs/>
          <w:sz w:val="24"/>
          <w:szCs w:val="24"/>
          <w:lang w:val="en-GB"/>
        </w:rPr>
      </w:pPr>
      <w:r>
        <w:rPr>
          <w:rFonts w:ascii="Arial" w:hAnsi="Arial" w:cs="Arial"/>
          <w:bCs/>
          <w:sz w:val="24"/>
          <w:szCs w:val="24"/>
          <w:lang w:val="en-GB"/>
        </w:rPr>
        <w:t>[2</w:t>
      </w:r>
      <w:r w:rsidR="001D214D">
        <w:rPr>
          <w:rFonts w:ascii="Arial" w:hAnsi="Arial" w:cs="Arial"/>
          <w:bCs/>
          <w:sz w:val="24"/>
          <w:szCs w:val="24"/>
          <w:lang w:val="en-GB"/>
        </w:rPr>
        <w:t>5</w:t>
      </w:r>
      <w:r>
        <w:rPr>
          <w:rFonts w:ascii="Arial" w:hAnsi="Arial" w:cs="Arial"/>
          <w:bCs/>
          <w:sz w:val="24"/>
          <w:szCs w:val="24"/>
          <w:lang w:val="en-GB"/>
        </w:rPr>
        <w:t xml:space="preserve">] </w:t>
      </w:r>
      <w:r w:rsidR="00452DFD">
        <w:rPr>
          <w:rFonts w:ascii="Arial" w:hAnsi="Arial" w:cs="Arial"/>
          <w:bCs/>
          <w:sz w:val="24"/>
          <w:szCs w:val="24"/>
          <w:lang w:val="en-GB"/>
        </w:rPr>
        <w:t>It is common cause that o</w:t>
      </w:r>
      <w:r w:rsidR="00582F47">
        <w:rPr>
          <w:rFonts w:ascii="Arial" w:hAnsi="Arial" w:cs="Arial"/>
          <w:bCs/>
          <w:sz w:val="24"/>
          <w:szCs w:val="24"/>
          <w:lang w:val="en-GB"/>
        </w:rPr>
        <w:t>nly the first respondent concluded a sub-licen</w:t>
      </w:r>
      <w:r w:rsidR="00405701">
        <w:rPr>
          <w:rFonts w:ascii="Arial" w:hAnsi="Arial" w:cs="Arial"/>
          <w:bCs/>
          <w:sz w:val="24"/>
          <w:szCs w:val="24"/>
          <w:lang w:val="en-GB"/>
        </w:rPr>
        <w:t>c</w:t>
      </w:r>
      <w:r w:rsidR="001D214D">
        <w:rPr>
          <w:rFonts w:ascii="Arial" w:hAnsi="Arial" w:cs="Arial"/>
          <w:bCs/>
          <w:sz w:val="24"/>
          <w:szCs w:val="24"/>
          <w:lang w:val="en-GB"/>
        </w:rPr>
        <w:t xml:space="preserve">e </w:t>
      </w:r>
      <w:r w:rsidR="00582F47">
        <w:rPr>
          <w:rFonts w:ascii="Arial" w:hAnsi="Arial" w:cs="Arial"/>
          <w:bCs/>
          <w:sz w:val="24"/>
          <w:szCs w:val="24"/>
          <w:lang w:val="en-GB"/>
        </w:rPr>
        <w:t xml:space="preserve">agreement with the </w:t>
      </w:r>
      <w:r w:rsidR="00452DFD">
        <w:rPr>
          <w:rFonts w:ascii="Arial" w:hAnsi="Arial" w:cs="Arial"/>
          <w:bCs/>
          <w:sz w:val="24"/>
          <w:szCs w:val="24"/>
          <w:lang w:val="en-GB"/>
        </w:rPr>
        <w:t xml:space="preserve">applicant </w:t>
      </w:r>
      <w:r w:rsidR="00D77D35">
        <w:rPr>
          <w:rFonts w:ascii="Arial" w:hAnsi="Arial" w:cs="Arial"/>
          <w:bCs/>
          <w:sz w:val="24"/>
          <w:szCs w:val="24"/>
          <w:lang w:val="en-GB"/>
        </w:rPr>
        <w:t>while</w:t>
      </w:r>
      <w:r w:rsidR="00452DFD">
        <w:rPr>
          <w:rFonts w:ascii="Arial" w:hAnsi="Arial" w:cs="Arial"/>
          <w:bCs/>
          <w:sz w:val="24"/>
          <w:szCs w:val="24"/>
          <w:lang w:val="en-GB"/>
        </w:rPr>
        <w:t xml:space="preserve"> the </w:t>
      </w:r>
      <w:r w:rsidR="00582F47">
        <w:rPr>
          <w:rFonts w:ascii="Arial" w:hAnsi="Arial" w:cs="Arial"/>
          <w:bCs/>
          <w:sz w:val="24"/>
          <w:szCs w:val="24"/>
          <w:lang w:val="en-GB"/>
        </w:rPr>
        <w:t>second and third respondent</w:t>
      </w:r>
      <w:r w:rsidR="00817F31">
        <w:rPr>
          <w:rFonts w:ascii="Arial" w:hAnsi="Arial" w:cs="Arial"/>
          <w:bCs/>
          <w:sz w:val="24"/>
          <w:szCs w:val="24"/>
          <w:lang w:val="en-GB"/>
        </w:rPr>
        <w:t>s</w:t>
      </w:r>
      <w:r w:rsidR="00582F47">
        <w:rPr>
          <w:rFonts w:ascii="Arial" w:hAnsi="Arial" w:cs="Arial"/>
          <w:bCs/>
          <w:sz w:val="24"/>
          <w:szCs w:val="24"/>
          <w:lang w:val="en-GB"/>
        </w:rPr>
        <w:t xml:space="preserve"> conclud</w:t>
      </w:r>
      <w:r w:rsidR="006D2103">
        <w:rPr>
          <w:rFonts w:ascii="Arial" w:hAnsi="Arial" w:cs="Arial"/>
          <w:bCs/>
          <w:sz w:val="24"/>
          <w:szCs w:val="24"/>
          <w:lang w:val="en-GB"/>
        </w:rPr>
        <w:t>ed</w:t>
      </w:r>
      <w:r w:rsidR="00582F47">
        <w:rPr>
          <w:rFonts w:ascii="Arial" w:hAnsi="Arial" w:cs="Arial"/>
          <w:bCs/>
          <w:sz w:val="24"/>
          <w:szCs w:val="24"/>
          <w:lang w:val="en-GB"/>
        </w:rPr>
        <w:t xml:space="preserve"> agency</w:t>
      </w:r>
      <w:r w:rsidR="00BA53E1">
        <w:rPr>
          <w:rFonts w:ascii="Arial" w:hAnsi="Arial" w:cs="Arial"/>
          <w:bCs/>
          <w:sz w:val="24"/>
          <w:szCs w:val="24"/>
          <w:lang w:val="en-GB"/>
        </w:rPr>
        <w:t xml:space="preserve"> agreements</w:t>
      </w:r>
      <w:r w:rsidR="00814772">
        <w:rPr>
          <w:rFonts w:ascii="Arial" w:hAnsi="Arial" w:cs="Arial"/>
          <w:bCs/>
          <w:sz w:val="24"/>
          <w:szCs w:val="24"/>
          <w:lang w:val="en-GB"/>
        </w:rPr>
        <w:t>.</w:t>
      </w:r>
      <w:r w:rsidR="00BA53E1">
        <w:rPr>
          <w:rFonts w:ascii="Arial" w:hAnsi="Arial" w:cs="Arial"/>
          <w:bCs/>
          <w:sz w:val="24"/>
          <w:szCs w:val="24"/>
          <w:lang w:val="en-GB"/>
        </w:rPr>
        <w:t xml:space="preserve"> As earlier indicated, there was n</w:t>
      </w:r>
      <w:r w:rsidR="00405701">
        <w:rPr>
          <w:rFonts w:ascii="Arial" w:hAnsi="Arial" w:cs="Arial"/>
          <w:bCs/>
          <w:sz w:val="24"/>
          <w:szCs w:val="24"/>
          <w:lang w:val="en-GB"/>
        </w:rPr>
        <w:t>o</w:t>
      </w:r>
      <w:r w:rsidR="00BA53E1">
        <w:rPr>
          <w:rFonts w:ascii="Arial" w:hAnsi="Arial" w:cs="Arial"/>
          <w:bCs/>
          <w:sz w:val="24"/>
          <w:szCs w:val="24"/>
          <w:lang w:val="en-GB"/>
        </w:rPr>
        <w:t xml:space="preserve"> restrain</w:t>
      </w:r>
      <w:r w:rsidR="00405701">
        <w:rPr>
          <w:rFonts w:ascii="Arial" w:hAnsi="Arial" w:cs="Arial"/>
          <w:bCs/>
          <w:sz w:val="24"/>
          <w:szCs w:val="24"/>
          <w:lang w:val="en-GB"/>
        </w:rPr>
        <w:t>t</w:t>
      </w:r>
      <w:r w:rsidR="00BA53E1">
        <w:rPr>
          <w:rFonts w:ascii="Arial" w:hAnsi="Arial" w:cs="Arial"/>
          <w:bCs/>
          <w:sz w:val="24"/>
          <w:szCs w:val="24"/>
          <w:lang w:val="en-GB"/>
        </w:rPr>
        <w:t xml:space="preserve"> of trade agreement at all concluded with Apex which is cited herein not as a party to any such agreement but for allegedly engaging</w:t>
      </w:r>
      <w:r w:rsidR="00CD495F">
        <w:rPr>
          <w:rFonts w:ascii="Arial" w:hAnsi="Arial" w:cs="Arial"/>
          <w:bCs/>
          <w:sz w:val="24"/>
          <w:szCs w:val="24"/>
          <w:lang w:val="en-GB"/>
        </w:rPr>
        <w:t xml:space="preserve"> in what is said to be an unlawful competition.  I will deal with Apex later in this judgment.</w:t>
      </w:r>
    </w:p>
    <w:p w14:paraId="3553936D" w14:textId="57661523" w:rsidR="00CD495F" w:rsidRDefault="00CD495F"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terms of the sub-licen</w:t>
      </w:r>
      <w:r w:rsidR="00452DFD">
        <w:rPr>
          <w:rFonts w:ascii="Arial" w:hAnsi="Arial" w:cs="Arial"/>
          <w:bCs/>
          <w:i/>
          <w:iCs/>
          <w:sz w:val="24"/>
          <w:szCs w:val="24"/>
          <w:lang w:val="en-GB"/>
        </w:rPr>
        <w:t>ce</w:t>
      </w:r>
      <w:r>
        <w:rPr>
          <w:rFonts w:ascii="Arial" w:hAnsi="Arial" w:cs="Arial"/>
          <w:bCs/>
          <w:i/>
          <w:iCs/>
          <w:sz w:val="24"/>
          <w:szCs w:val="24"/>
          <w:lang w:val="en-GB"/>
        </w:rPr>
        <w:t xml:space="preserve"> agreement.</w:t>
      </w:r>
    </w:p>
    <w:p w14:paraId="3F59117F" w14:textId="4AD076C8" w:rsidR="00CD495F" w:rsidRDefault="00CD495F" w:rsidP="000A1C49">
      <w:pPr>
        <w:spacing w:line="480" w:lineRule="auto"/>
        <w:jc w:val="both"/>
        <w:rPr>
          <w:rFonts w:ascii="Arial" w:hAnsi="Arial" w:cs="Arial"/>
          <w:bCs/>
          <w:sz w:val="24"/>
          <w:szCs w:val="24"/>
          <w:lang w:val="en-GB"/>
        </w:rPr>
      </w:pPr>
      <w:r>
        <w:rPr>
          <w:rFonts w:ascii="Arial" w:hAnsi="Arial" w:cs="Arial"/>
          <w:bCs/>
          <w:sz w:val="24"/>
          <w:szCs w:val="24"/>
          <w:lang w:val="en-GB"/>
        </w:rPr>
        <w:t>[2</w:t>
      </w:r>
      <w:r w:rsidR="00FC22A0">
        <w:rPr>
          <w:rFonts w:ascii="Arial" w:hAnsi="Arial" w:cs="Arial"/>
          <w:bCs/>
          <w:sz w:val="24"/>
          <w:szCs w:val="24"/>
          <w:lang w:val="en-GB"/>
        </w:rPr>
        <w:t>6</w:t>
      </w:r>
      <w:r>
        <w:rPr>
          <w:rFonts w:ascii="Arial" w:hAnsi="Arial" w:cs="Arial"/>
          <w:bCs/>
          <w:sz w:val="24"/>
          <w:szCs w:val="24"/>
          <w:lang w:val="en-GB"/>
        </w:rPr>
        <w:t xml:space="preserve">] The </w:t>
      </w:r>
      <w:r w:rsidR="00FE3323">
        <w:rPr>
          <w:rFonts w:ascii="Arial" w:hAnsi="Arial" w:cs="Arial"/>
          <w:bCs/>
          <w:sz w:val="24"/>
          <w:szCs w:val="24"/>
          <w:lang w:val="en-GB"/>
        </w:rPr>
        <w:t xml:space="preserve">restraints provisions contained in the </w:t>
      </w:r>
      <w:r>
        <w:rPr>
          <w:rFonts w:ascii="Arial" w:hAnsi="Arial" w:cs="Arial"/>
          <w:bCs/>
          <w:sz w:val="24"/>
          <w:szCs w:val="24"/>
          <w:lang w:val="en-GB"/>
        </w:rPr>
        <w:t>sub-licen</w:t>
      </w:r>
      <w:r w:rsidR="00452DFD">
        <w:rPr>
          <w:rFonts w:ascii="Arial" w:hAnsi="Arial" w:cs="Arial"/>
          <w:bCs/>
          <w:sz w:val="24"/>
          <w:szCs w:val="24"/>
          <w:lang w:val="en-GB"/>
        </w:rPr>
        <w:t>ce</w:t>
      </w:r>
      <w:r>
        <w:rPr>
          <w:rFonts w:ascii="Arial" w:hAnsi="Arial" w:cs="Arial"/>
          <w:bCs/>
          <w:sz w:val="24"/>
          <w:szCs w:val="24"/>
          <w:lang w:val="en-GB"/>
        </w:rPr>
        <w:t xml:space="preserve"> agreement concluded with the first respondent read:</w:t>
      </w:r>
    </w:p>
    <w:p w14:paraId="56337CE3" w14:textId="315240DC" w:rsidR="00CD495F" w:rsidRPr="007A25A5" w:rsidRDefault="00CD495F" w:rsidP="007A25A5">
      <w:pPr>
        <w:spacing w:line="360" w:lineRule="auto"/>
        <w:ind w:left="1170" w:hanging="630"/>
        <w:jc w:val="both"/>
        <w:rPr>
          <w:rFonts w:ascii="Arial" w:hAnsi="Arial" w:cs="Arial"/>
          <w:bCs/>
          <w:lang w:val="en-GB"/>
        </w:rPr>
      </w:pPr>
      <w:r w:rsidRPr="007A25A5">
        <w:rPr>
          <w:rFonts w:ascii="Arial" w:hAnsi="Arial" w:cs="Arial"/>
          <w:bCs/>
          <w:lang w:val="en-GB"/>
        </w:rPr>
        <w:t>“14.3 U</w:t>
      </w:r>
      <w:r w:rsidR="00F5527C" w:rsidRPr="007A25A5">
        <w:rPr>
          <w:rFonts w:ascii="Arial" w:hAnsi="Arial" w:cs="Arial"/>
          <w:bCs/>
          <w:lang w:val="en-GB"/>
        </w:rPr>
        <w:t xml:space="preserve">pon termination or expiration of this </w:t>
      </w:r>
      <w:r w:rsidR="00FD4559">
        <w:rPr>
          <w:rFonts w:ascii="Arial" w:hAnsi="Arial" w:cs="Arial"/>
          <w:bCs/>
          <w:lang w:val="en-GB"/>
        </w:rPr>
        <w:t>A</w:t>
      </w:r>
      <w:r w:rsidR="00F5527C" w:rsidRPr="007A25A5">
        <w:rPr>
          <w:rFonts w:ascii="Arial" w:hAnsi="Arial" w:cs="Arial"/>
          <w:bCs/>
          <w:lang w:val="en-GB"/>
        </w:rPr>
        <w:t xml:space="preserve">greement neither the </w:t>
      </w:r>
      <w:r w:rsidR="00FD4559">
        <w:rPr>
          <w:rFonts w:ascii="Arial" w:hAnsi="Arial" w:cs="Arial"/>
          <w:bCs/>
          <w:lang w:val="en-GB"/>
        </w:rPr>
        <w:t>S</w:t>
      </w:r>
      <w:r w:rsidR="00F5527C" w:rsidRPr="007A25A5">
        <w:rPr>
          <w:rFonts w:ascii="Arial" w:hAnsi="Arial" w:cs="Arial"/>
          <w:bCs/>
          <w:lang w:val="en-GB"/>
        </w:rPr>
        <w:t>ub-</w:t>
      </w:r>
      <w:r w:rsidR="005C0A33">
        <w:rPr>
          <w:rFonts w:ascii="Arial" w:hAnsi="Arial" w:cs="Arial"/>
          <w:bCs/>
          <w:lang w:val="en-GB"/>
        </w:rPr>
        <w:t>L</w:t>
      </w:r>
      <w:r w:rsidR="00F5527C" w:rsidRPr="007A25A5">
        <w:rPr>
          <w:rFonts w:ascii="Arial" w:hAnsi="Arial" w:cs="Arial"/>
          <w:bCs/>
          <w:lang w:val="en-GB"/>
        </w:rPr>
        <w:t>icen</w:t>
      </w:r>
      <w:r w:rsidR="00405701">
        <w:rPr>
          <w:rFonts w:ascii="Arial" w:hAnsi="Arial" w:cs="Arial"/>
          <w:bCs/>
          <w:lang w:val="en-GB"/>
        </w:rPr>
        <w:t>c</w:t>
      </w:r>
      <w:r w:rsidR="00F5527C" w:rsidRPr="007A25A5">
        <w:rPr>
          <w:rFonts w:ascii="Arial" w:hAnsi="Arial" w:cs="Arial"/>
          <w:bCs/>
          <w:lang w:val="en-GB"/>
        </w:rPr>
        <w:t xml:space="preserve">ee, nor its shareholders or its and their </w:t>
      </w:r>
      <w:r w:rsidR="005C0A33">
        <w:rPr>
          <w:rFonts w:ascii="Arial" w:hAnsi="Arial" w:cs="Arial"/>
          <w:bCs/>
          <w:lang w:val="en-GB"/>
        </w:rPr>
        <w:t>R</w:t>
      </w:r>
      <w:r w:rsidR="00F5527C" w:rsidRPr="007A25A5">
        <w:rPr>
          <w:rFonts w:ascii="Arial" w:hAnsi="Arial" w:cs="Arial"/>
          <w:bCs/>
          <w:lang w:val="en-GB"/>
        </w:rPr>
        <w:t xml:space="preserve">elated </w:t>
      </w:r>
      <w:r w:rsidR="005C0A33">
        <w:rPr>
          <w:rFonts w:ascii="Arial" w:hAnsi="Arial" w:cs="Arial"/>
          <w:bCs/>
          <w:lang w:val="en-GB"/>
        </w:rPr>
        <w:t>E</w:t>
      </w:r>
      <w:r w:rsidR="00F5527C" w:rsidRPr="007A25A5">
        <w:rPr>
          <w:rFonts w:ascii="Arial" w:hAnsi="Arial" w:cs="Arial"/>
          <w:bCs/>
          <w:lang w:val="en-GB"/>
        </w:rPr>
        <w:t>ntit</w:t>
      </w:r>
      <w:r w:rsidR="00405701">
        <w:rPr>
          <w:rFonts w:ascii="Arial" w:hAnsi="Arial" w:cs="Arial"/>
          <w:bCs/>
          <w:lang w:val="en-GB"/>
        </w:rPr>
        <w:t>i</w:t>
      </w:r>
      <w:r w:rsidR="00F5527C" w:rsidRPr="007A25A5">
        <w:rPr>
          <w:rFonts w:ascii="Arial" w:hAnsi="Arial" w:cs="Arial"/>
          <w:bCs/>
          <w:lang w:val="en-GB"/>
        </w:rPr>
        <w:t>es may for a period of 12 months from the date of termination o</w:t>
      </w:r>
      <w:r w:rsidR="00405701">
        <w:rPr>
          <w:rFonts w:ascii="Arial" w:hAnsi="Arial" w:cs="Arial"/>
          <w:bCs/>
          <w:lang w:val="en-GB"/>
        </w:rPr>
        <w:t>r</w:t>
      </w:r>
      <w:r w:rsidR="00F5527C" w:rsidRPr="007A25A5">
        <w:rPr>
          <w:rFonts w:ascii="Arial" w:hAnsi="Arial" w:cs="Arial"/>
          <w:bCs/>
          <w:lang w:val="en-GB"/>
        </w:rPr>
        <w:t xml:space="preserve"> expiry of this </w:t>
      </w:r>
      <w:r w:rsidR="00F425BD">
        <w:rPr>
          <w:rFonts w:ascii="Arial" w:hAnsi="Arial" w:cs="Arial"/>
          <w:bCs/>
          <w:lang w:val="en-GB"/>
        </w:rPr>
        <w:t>A</w:t>
      </w:r>
      <w:r w:rsidR="00F5527C" w:rsidRPr="007A25A5">
        <w:rPr>
          <w:rFonts w:ascii="Arial" w:hAnsi="Arial" w:cs="Arial"/>
          <w:bCs/>
          <w:lang w:val="en-GB"/>
        </w:rPr>
        <w:t xml:space="preserve">greement, directly or indirectly solicit business from any </w:t>
      </w:r>
      <w:r w:rsidR="00F33484">
        <w:rPr>
          <w:rFonts w:ascii="Arial" w:hAnsi="Arial" w:cs="Arial"/>
          <w:bCs/>
          <w:lang w:val="en-GB"/>
        </w:rPr>
        <w:t>L</w:t>
      </w:r>
      <w:r w:rsidR="00F5527C" w:rsidRPr="007A25A5">
        <w:rPr>
          <w:rFonts w:ascii="Arial" w:hAnsi="Arial" w:cs="Arial"/>
          <w:bCs/>
          <w:lang w:val="en-GB"/>
        </w:rPr>
        <w:t xml:space="preserve">ocation within the </w:t>
      </w:r>
      <w:r w:rsidR="00F33484">
        <w:rPr>
          <w:rFonts w:ascii="Arial" w:hAnsi="Arial" w:cs="Arial"/>
          <w:bCs/>
          <w:lang w:val="en-GB"/>
        </w:rPr>
        <w:t>T</w:t>
      </w:r>
      <w:r w:rsidR="00F5527C" w:rsidRPr="007A25A5">
        <w:rPr>
          <w:rFonts w:ascii="Arial" w:hAnsi="Arial" w:cs="Arial"/>
          <w:bCs/>
          <w:lang w:val="en-GB"/>
        </w:rPr>
        <w:t xml:space="preserve">erritory from any person who was, during the 12-month period prior to such termination or expiry a regular customer of or in the habit of dealing with the </w:t>
      </w:r>
      <w:r w:rsidR="00F27FD2">
        <w:rPr>
          <w:rFonts w:ascii="Arial" w:hAnsi="Arial" w:cs="Arial"/>
          <w:bCs/>
          <w:lang w:val="en-GB"/>
        </w:rPr>
        <w:t>B</w:t>
      </w:r>
      <w:r w:rsidR="00F5527C" w:rsidRPr="007A25A5">
        <w:rPr>
          <w:rFonts w:ascii="Arial" w:hAnsi="Arial" w:cs="Arial"/>
          <w:bCs/>
          <w:lang w:val="en-GB"/>
        </w:rPr>
        <w:t xml:space="preserve">usiness.  The foregoing restrictions shall not apply where the </w:t>
      </w:r>
      <w:r w:rsidR="00A273FA">
        <w:rPr>
          <w:rFonts w:ascii="Arial" w:hAnsi="Arial" w:cs="Arial"/>
          <w:bCs/>
          <w:lang w:val="en-GB"/>
        </w:rPr>
        <w:t>A</w:t>
      </w:r>
      <w:r w:rsidR="00F5527C" w:rsidRPr="007A25A5">
        <w:rPr>
          <w:rFonts w:ascii="Arial" w:hAnsi="Arial" w:cs="Arial"/>
          <w:bCs/>
          <w:lang w:val="en-GB"/>
        </w:rPr>
        <w:t xml:space="preserve">greement is terminated by the </w:t>
      </w:r>
      <w:r w:rsidR="001919B1">
        <w:rPr>
          <w:rFonts w:ascii="Arial" w:hAnsi="Arial" w:cs="Arial"/>
          <w:bCs/>
          <w:lang w:val="en-GB"/>
        </w:rPr>
        <w:t>S</w:t>
      </w:r>
      <w:r w:rsidR="00F5527C" w:rsidRPr="007A25A5">
        <w:rPr>
          <w:rFonts w:ascii="Arial" w:hAnsi="Arial" w:cs="Arial"/>
          <w:bCs/>
          <w:lang w:val="en-GB"/>
        </w:rPr>
        <w:t>ub-</w:t>
      </w:r>
      <w:r w:rsidR="001919B1">
        <w:rPr>
          <w:rFonts w:ascii="Arial" w:hAnsi="Arial" w:cs="Arial"/>
          <w:bCs/>
          <w:lang w:val="en-GB"/>
        </w:rPr>
        <w:t>L</w:t>
      </w:r>
      <w:r w:rsidR="00F5527C" w:rsidRPr="007A25A5">
        <w:rPr>
          <w:rFonts w:ascii="Arial" w:hAnsi="Arial" w:cs="Arial"/>
          <w:bCs/>
          <w:lang w:val="en-GB"/>
        </w:rPr>
        <w:t>icen</w:t>
      </w:r>
      <w:r w:rsidR="00452DFD">
        <w:rPr>
          <w:rFonts w:ascii="Arial" w:hAnsi="Arial" w:cs="Arial"/>
          <w:bCs/>
          <w:lang w:val="en-GB"/>
        </w:rPr>
        <w:t>c</w:t>
      </w:r>
      <w:r w:rsidR="00F5527C" w:rsidRPr="007A25A5">
        <w:rPr>
          <w:rFonts w:ascii="Arial" w:hAnsi="Arial" w:cs="Arial"/>
          <w:bCs/>
          <w:lang w:val="en-GB"/>
        </w:rPr>
        <w:t xml:space="preserve">ee for reasons related to material breach of this agreement by the </w:t>
      </w:r>
      <w:r w:rsidR="00B358BE">
        <w:rPr>
          <w:rFonts w:ascii="Arial" w:hAnsi="Arial" w:cs="Arial"/>
          <w:bCs/>
          <w:lang w:val="en-GB"/>
        </w:rPr>
        <w:t>S</w:t>
      </w:r>
      <w:r w:rsidR="00775890" w:rsidRPr="007A25A5">
        <w:rPr>
          <w:rFonts w:ascii="Arial" w:hAnsi="Arial" w:cs="Arial"/>
          <w:bCs/>
          <w:lang w:val="en-GB"/>
        </w:rPr>
        <w:t>ub-</w:t>
      </w:r>
      <w:r w:rsidR="00B358BE">
        <w:rPr>
          <w:rFonts w:ascii="Arial" w:hAnsi="Arial" w:cs="Arial"/>
          <w:bCs/>
          <w:lang w:val="en-GB"/>
        </w:rPr>
        <w:t>L</w:t>
      </w:r>
      <w:r w:rsidR="00775890" w:rsidRPr="007A25A5">
        <w:rPr>
          <w:rFonts w:ascii="Arial" w:hAnsi="Arial" w:cs="Arial"/>
          <w:bCs/>
          <w:lang w:val="en-GB"/>
        </w:rPr>
        <w:t>icensor.</w:t>
      </w:r>
    </w:p>
    <w:p w14:paraId="4748DFA2" w14:textId="7FC4103C" w:rsidR="00775890" w:rsidRPr="007A25A5" w:rsidRDefault="00775890" w:rsidP="007A25A5">
      <w:pPr>
        <w:spacing w:line="360" w:lineRule="auto"/>
        <w:ind w:left="1080" w:hanging="540"/>
        <w:jc w:val="both"/>
        <w:rPr>
          <w:rFonts w:ascii="Arial" w:hAnsi="Arial" w:cs="Arial"/>
          <w:bCs/>
          <w:lang w:val="en-GB"/>
        </w:rPr>
      </w:pPr>
      <w:r w:rsidRPr="007A25A5">
        <w:rPr>
          <w:rFonts w:ascii="Arial" w:hAnsi="Arial" w:cs="Arial"/>
          <w:bCs/>
          <w:lang w:val="en-GB"/>
        </w:rPr>
        <w:lastRenderedPageBreak/>
        <w:t xml:space="preserve">14.4 The restrictions imposed on the </w:t>
      </w:r>
      <w:r w:rsidR="008F6CCB">
        <w:rPr>
          <w:rFonts w:ascii="Arial" w:hAnsi="Arial" w:cs="Arial"/>
          <w:bCs/>
          <w:lang w:val="en-GB"/>
        </w:rPr>
        <w:t>S</w:t>
      </w:r>
      <w:r w:rsidRPr="007A25A5">
        <w:rPr>
          <w:rFonts w:ascii="Arial" w:hAnsi="Arial" w:cs="Arial"/>
          <w:bCs/>
          <w:lang w:val="en-GB"/>
        </w:rPr>
        <w:t>ub-</w:t>
      </w:r>
      <w:r w:rsidR="008F6CCB">
        <w:rPr>
          <w:rFonts w:ascii="Arial" w:hAnsi="Arial" w:cs="Arial"/>
          <w:bCs/>
          <w:lang w:val="en-GB"/>
        </w:rPr>
        <w:t>L</w:t>
      </w:r>
      <w:r w:rsidRPr="007A25A5">
        <w:rPr>
          <w:rFonts w:ascii="Arial" w:hAnsi="Arial" w:cs="Arial"/>
          <w:bCs/>
          <w:lang w:val="en-GB"/>
        </w:rPr>
        <w:t>icen</w:t>
      </w:r>
      <w:r w:rsidR="00452DFD">
        <w:rPr>
          <w:rFonts w:ascii="Arial" w:hAnsi="Arial" w:cs="Arial"/>
          <w:bCs/>
          <w:lang w:val="en-GB"/>
        </w:rPr>
        <w:t>c</w:t>
      </w:r>
      <w:r w:rsidRPr="007A25A5">
        <w:rPr>
          <w:rFonts w:ascii="Arial" w:hAnsi="Arial" w:cs="Arial"/>
          <w:bCs/>
          <w:lang w:val="en-GB"/>
        </w:rPr>
        <w:t xml:space="preserve">ee, its shareholders or its and their </w:t>
      </w:r>
      <w:r w:rsidR="00EB4EB6">
        <w:rPr>
          <w:rFonts w:ascii="Arial" w:hAnsi="Arial" w:cs="Arial"/>
          <w:bCs/>
          <w:lang w:val="en-GB"/>
        </w:rPr>
        <w:t>R</w:t>
      </w:r>
      <w:r w:rsidRPr="007A25A5">
        <w:rPr>
          <w:rFonts w:ascii="Arial" w:hAnsi="Arial" w:cs="Arial"/>
          <w:bCs/>
          <w:lang w:val="en-GB"/>
        </w:rPr>
        <w:t xml:space="preserve">elated </w:t>
      </w:r>
      <w:r w:rsidR="00EB4EB6">
        <w:rPr>
          <w:rFonts w:ascii="Arial" w:hAnsi="Arial" w:cs="Arial"/>
          <w:bCs/>
          <w:lang w:val="en-GB"/>
        </w:rPr>
        <w:t>E</w:t>
      </w:r>
      <w:r w:rsidRPr="007A25A5">
        <w:rPr>
          <w:rFonts w:ascii="Arial" w:hAnsi="Arial" w:cs="Arial"/>
          <w:bCs/>
          <w:lang w:val="en-GB"/>
        </w:rPr>
        <w:t>ntit</w:t>
      </w:r>
      <w:r w:rsidR="00405701">
        <w:rPr>
          <w:rFonts w:ascii="Arial" w:hAnsi="Arial" w:cs="Arial"/>
          <w:bCs/>
          <w:lang w:val="en-GB"/>
        </w:rPr>
        <w:t>i</w:t>
      </w:r>
      <w:r w:rsidRPr="007A25A5">
        <w:rPr>
          <w:rFonts w:ascii="Arial" w:hAnsi="Arial" w:cs="Arial"/>
          <w:bCs/>
          <w:lang w:val="en-GB"/>
        </w:rPr>
        <w:t xml:space="preserve">es apply to them acting (i) directly or indirectly, or (ii) on their own behalf or on behalf of or in conjunction with, any firm, </w:t>
      </w:r>
      <w:proofErr w:type="gramStart"/>
      <w:r w:rsidRPr="007A25A5">
        <w:rPr>
          <w:rFonts w:ascii="Arial" w:hAnsi="Arial" w:cs="Arial"/>
          <w:bCs/>
          <w:lang w:val="en-GB"/>
        </w:rPr>
        <w:t>company</w:t>
      </w:r>
      <w:proofErr w:type="gramEnd"/>
      <w:r w:rsidRPr="007A25A5">
        <w:rPr>
          <w:rFonts w:ascii="Arial" w:hAnsi="Arial" w:cs="Arial"/>
          <w:bCs/>
          <w:lang w:val="en-GB"/>
        </w:rPr>
        <w:t xml:space="preserve"> or person.</w:t>
      </w:r>
    </w:p>
    <w:p w14:paraId="65C29186" w14:textId="3F20DDC4" w:rsidR="00775890" w:rsidRPr="007A25A5" w:rsidRDefault="00775890" w:rsidP="007A25A5">
      <w:pPr>
        <w:spacing w:line="360" w:lineRule="auto"/>
        <w:ind w:left="1080" w:hanging="540"/>
        <w:jc w:val="both"/>
        <w:rPr>
          <w:rFonts w:ascii="Arial" w:hAnsi="Arial" w:cs="Arial"/>
          <w:bCs/>
          <w:lang w:val="en-GB"/>
        </w:rPr>
      </w:pPr>
      <w:r w:rsidRPr="007A25A5">
        <w:rPr>
          <w:rFonts w:ascii="Arial" w:hAnsi="Arial" w:cs="Arial"/>
          <w:bCs/>
          <w:lang w:val="en-GB"/>
        </w:rPr>
        <w:t>14.5 Each of the restrictions in this clause is intended to be separate and severable.  If any of the restrictions are held to be void but would be valid if part of the wording were deleted, such restrictions shall apply with such deletion as may be necessary to make it valid or effective.”</w:t>
      </w:r>
    </w:p>
    <w:p w14:paraId="0F995C76" w14:textId="7DED0683" w:rsidR="00227E01" w:rsidRPr="00227E01" w:rsidRDefault="00775890" w:rsidP="000A1C49">
      <w:pPr>
        <w:spacing w:line="480" w:lineRule="auto"/>
        <w:jc w:val="both"/>
        <w:rPr>
          <w:rFonts w:ascii="Arial" w:hAnsi="Arial" w:cs="Arial"/>
          <w:bCs/>
          <w:sz w:val="24"/>
          <w:szCs w:val="24"/>
          <w:lang w:val="en-GB"/>
        </w:rPr>
      </w:pPr>
      <w:r>
        <w:rPr>
          <w:rFonts w:ascii="Arial" w:hAnsi="Arial" w:cs="Arial"/>
          <w:bCs/>
          <w:sz w:val="24"/>
          <w:szCs w:val="24"/>
          <w:lang w:val="en-GB"/>
        </w:rPr>
        <w:t>[2</w:t>
      </w:r>
      <w:r w:rsidR="00585A09">
        <w:rPr>
          <w:rFonts w:ascii="Arial" w:hAnsi="Arial" w:cs="Arial"/>
          <w:bCs/>
          <w:sz w:val="24"/>
          <w:szCs w:val="24"/>
          <w:lang w:val="en-GB"/>
        </w:rPr>
        <w:t>7</w:t>
      </w:r>
      <w:r>
        <w:rPr>
          <w:rFonts w:ascii="Arial" w:hAnsi="Arial" w:cs="Arial"/>
          <w:bCs/>
          <w:sz w:val="24"/>
          <w:szCs w:val="24"/>
          <w:lang w:val="en-GB"/>
        </w:rPr>
        <w:t xml:space="preserve">] </w:t>
      </w:r>
      <w:r w:rsidR="00CC4F20">
        <w:rPr>
          <w:rFonts w:ascii="Arial" w:hAnsi="Arial" w:cs="Arial"/>
          <w:bCs/>
          <w:sz w:val="24"/>
          <w:szCs w:val="24"/>
          <w:lang w:val="en-GB"/>
        </w:rPr>
        <w:t xml:space="preserve">As indicated </w:t>
      </w:r>
      <w:r w:rsidR="00A504F7">
        <w:rPr>
          <w:rFonts w:ascii="Arial" w:hAnsi="Arial" w:cs="Arial"/>
          <w:bCs/>
          <w:sz w:val="24"/>
          <w:szCs w:val="24"/>
          <w:lang w:val="en-GB"/>
        </w:rPr>
        <w:t>earlier</w:t>
      </w:r>
      <w:r w:rsidR="000C15CA">
        <w:rPr>
          <w:rFonts w:ascii="Arial" w:hAnsi="Arial" w:cs="Arial"/>
          <w:bCs/>
          <w:sz w:val="24"/>
          <w:szCs w:val="24"/>
          <w:lang w:val="en-GB"/>
        </w:rPr>
        <w:t>,</w:t>
      </w:r>
      <w:r w:rsidR="00A504F7">
        <w:rPr>
          <w:rFonts w:ascii="Arial" w:hAnsi="Arial" w:cs="Arial"/>
          <w:bCs/>
          <w:sz w:val="24"/>
          <w:szCs w:val="24"/>
          <w:lang w:val="en-GB"/>
        </w:rPr>
        <w:t xml:space="preserve"> t</w:t>
      </w:r>
      <w:r>
        <w:rPr>
          <w:rFonts w:ascii="Arial" w:hAnsi="Arial" w:cs="Arial"/>
          <w:bCs/>
          <w:sz w:val="24"/>
          <w:szCs w:val="24"/>
          <w:lang w:val="en-GB"/>
        </w:rPr>
        <w:t>he applicant</w:t>
      </w:r>
      <w:r w:rsidR="004E557A">
        <w:rPr>
          <w:rFonts w:ascii="Arial" w:hAnsi="Arial" w:cs="Arial"/>
          <w:bCs/>
          <w:sz w:val="24"/>
          <w:szCs w:val="24"/>
          <w:lang w:val="en-GB"/>
        </w:rPr>
        <w:t xml:space="preserve"> also</w:t>
      </w:r>
      <w:r>
        <w:rPr>
          <w:rFonts w:ascii="Arial" w:hAnsi="Arial" w:cs="Arial"/>
          <w:bCs/>
          <w:sz w:val="24"/>
          <w:szCs w:val="24"/>
          <w:lang w:val="en-GB"/>
        </w:rPr>
        <w:t xml:space="preserve"> concluded agency agreements with the respondents.  However, it</w:t>
      </w:r>
      <w:r w:rsidR="00E06854">
        <w:rPr>
          <w:rFonts w:ascii="Arial" w:hAnsi="Arial" w:cs="Arial"/>
          <w:bCs/>
          <w:sz w:val="24"/>
          <w:szCs w:val="24"/>
          <w:lang w:val="en-GB"/>
        </w:rPr>
        <w:t xml:space="preserve"> is</w:t>
      </w:r>
      <w:r>
        <w:rPr>
          <w:rFonts w:ascii="Arial" w:hAnsi="Arial" w:cs="Arial"/>
          <w:bCs/>
          <w:sz w:val="24"/>
          <w:szCs w:val="24"/>
          <w:lang w:val="en-GB"/>
        </w:rPr>
        <w:t xml:space="preserve"> common cause that the agency agreement concluded with the </w:t>
      </w:r>
      <w:r w:rsidR="00405701">
        <w:rPr>
          <w:rFonts w:ascii="Arial" w:hAnsi="Arial" w:cs="Arial"/>
          <w:bCs/>
          <w:sz w:val="24"/>
          <w:szCs w:val="24"/>
          <w:lang w:val="en-GB"/>
        </w:rPr>
        <w:t>third</w:t>
      </w:r>
      <w:r>
        <w:rPr>
          <w:rFonts w:ascii="Arial" w:hAnsi="Arial" w:cs="Arial"/>
          <w:bCs/>
          <w:sz w:val="24"/>
          <w:szCs w:val="24"/>
          <w:lang w:val="en-GB"/>
        </w:rPr>
        <w:t xml:space="preserve"> respondent expired in March 2022.  </w:t>
      </w:r>
      <w:r w:rsidR="00000923">
        <w:rPr>
          <w:rFonts w:ascii="Arial" w:hAnsi="Arial" w:cs="Arial"/>
          <w:bCs/>
          <w:sz w:val="24"/>
          <w:szCs w:val="24"/>
          <w:lang w:val="en-GB"/>
        </w:rPr>
        <w:t>C</w:t>
      </w:r>
      <w:r>
        <w:rPr>
          <w:rFonts w:ascii="Arial" w:hAnsi="Arial" w:cs="Arial"/>
          <w:bCs/>
          <w:sz w:val="24"/>
          <w:szCs w:val="24"/>
          <w:lang w:val="en-GB"/>
        </w:rPr>
        <w:t>ounsel for the applicant pointed out during the hearing of this matter that in those circumstances, no relief was sought against the third respondent</w:t>
      </w:r>
      <w:r w:rsidR="00EA6D80">
        <w:rPr>
          <w:rFonts w:ascii="Arial" w:hAnsi="Arial" w:cs="Arial"/>
          <w:bCs/>
          <w:sz w:val="24"/>
          <w:szCs w:val="24"/>
          <w:lang w:val="en-GB"/>
        </w:rPr>
        <w:t xml:space="preserve"> which was in</w:t>
      </w:r>
      <w:r w:rsidR="007E2CDF">
        <w:rPr>
          <w:rFonts w:ascii="Arial" w:hAnsi="Arial" w:cs="Arial"/>
          <w:bCs/>
          <w:sz w:val="24"/>
          <w:szCs w:val="24"/>
          <w:lang w:val="en-GB"/>
        </w:rPr>
        <w:t xml:space="preserve"> fact being </w:t>
      </w:r>
      <w:r w:rsidR="007219E6">
        <w:rPr>
          <w:rFonts w:ascii="Arial" w:hAnsi="Arial" w:cs="Arial"/>
          <w:bCs/>
          <w:sz w:val="24"/>
          <w:szCs w:val="24"/>
          <w:lang w:val="en-GB"/>
        </w:rPr>
        <w:t>abandoned</w:t>
      </w:r>
      <w:r>
        <w:rPr>
          <w:rFonts w:ascii="Arial" w:hAnsi="Arial" w:cs="Arial"/>
          <w:bCs/>
          <w:sz w:val="24"/>
          <w:szCs w:val="24"/>
          <w:lang w:val="en-GB"/>
        </w:rPr>
        <w:t>.  The applicant only persist</w:t>
      </w:r>
      <w:r w:rsidR="007219E6">
        <w:rPr>
          <w:rFonts w:ascii="Arial" w:hAnsi="Arial" w:cs="Arial"/>
          <w:bCs/>
          <w:sz w:val="24"/>
          <w:szCs w:val="24"/>
          <w:lang w:val="en-GB"/>
        </w:rPr>
        <w:t xml:space="preserve">ed </w:t>
      </w:r>
      <w:r>
        <w:rPr>
          <w:rFonts w:ascii="Arial" w:hAnsi="Arial" w:cs="Arial"/>
          <w:bCs/>
          <w:sz w:val="24"/>
          <w:szCs w:val="24"/>
          <w:lang w:val="en-GB"/>
        </w:rPr>
        <w:t>with the relief sought against the first and second respondents regarding the sub-licen</w:t>
      </w:r>
      <w:r w:rsidR="00DD5784">
        <w:rPr>
          <w:rFonts w:ascii="Arial" w:hAnsi="Arial" w:cs="Arial"/>
          <w:bCs/>
          <w:sz w:val="24"/>
          <w:szCs w:val="24"/>
          <w:lang w:val="en-GB"/>
        </w:rPr>
        <w:t>c</w:t>
      </w:r>
      <w:r>
        <w:rPr>
          <w:rFonts w:ascii="Arial" w:hAnsi="Arial" w:cs="Arial"/>
          <w:bCs/>
          <w:sz w:val="24"/>
          <w:szCs w:val="24"/>
          <w:lang w:val="en-GB"/>
        </w:rPr>
        <w:t>e and agency agreement</w:t>
      </w:r>
      <w:r w:rsidR="002629CC">
        <w:rPr>
          <w:rFonts w:ascii="Arial" w:hAnsi="Arial" w:cs="Arial"/>
          <w:bCs/>
          <w:sz w:val="24"/>
          <w:szCs w:val="24"/>
          <w:lang w:val="en-GB"/>
        </w:rPr>
        <w:t>s</w:t>
      </w:r>
      <w:r>
        <w:rPr>
          <w:rFonts w:ascii="Arial" w:hAnsi="Arial" w:cs="Arial"/>
          <w:bCs/>
          <w:sz w:val="24"/>
          <w:szCs w:val="24"/>
          <w:lang w:val="en-GB"/>
        </w:rPr>
        <w:t xml:space="preserve"> and </w:t>
      </w:r>
      <w:r w:rsidR="002629CC">
        <w:rPr>
          <w:rFonts w:ascii="Arial" w:hAnsi="Arial" w:cs="Arial"/>
          <w:bCs/>
          <w:sz w:val="24"/>
          <w:szCs w:val="24"/>
          <w:lang w:val="en-GB"/>
        </w:rPr>
        <w:t xml:space="preserve">against </w:t>
      </w:r>
      <w:r>
        <w:rPr>
          <w:rFonts w:ascii="Arial" w:hAnsi="Arial" w:cs="Arial"/>
          <w:bCs/>
          <w:sz w:val="24"/>
          <w:szCs w:val="24"/>
          <w:lang w:val="en-GB"/>
        </w:rPr>
        <w:t>Apex</w:t>
      </w:r>
      <w:r w:rsidR="008D65C8">
        <w:rPr>
          <w:rFonts w:ascii="Arial" w:hAnsi="Arial" w:cs="Arial"/>
          <w:bCs/>
          <w:sz w:val="24"/>
          <w:szCs w:val="24"/>
          <w:lang w:val="en-GB"/>
        </w:rPr>
        <w:t xml:space="preserve"> </w:t>
      </w:r>
      <w:r>
        <w:rPr>
          <w:rFonts w:ascii="Arial" w:hAnsi="Arial" w:cs="Arial"/>
          <w:bCs/>
          <w:sz w:val="24"/>
          <w:szCs w:val="24"/>
          <w:lang w:val="en-GB"/>
        </w:rPr>
        <w:t xml:space="preserve">regarding the </w:t>
      </w:r>
      <w:r w:rsidR="000F23AC">
        <w:rPr>
          <w:rFonts w:ascii="Arial" w:hAnsi="Arial" w:cs="Arial"/>
          <w:bCs/>
          <w:sz w:val="24"/>
          <w:szCs w:val="24"/>
          <w:lang w:val="en-GB"/>
        </w:rPr>
        <w:t xml:space="preserve">alleged </w:t>
      </w:r>
      <w:r>
        <w:rPr>
          <w:rFonts w:ascii="Arial" w:hAnsi="Arial" w:cs="Arial"/>
          <w:bCs/>
          <w:sz w:val="24"/>
          <w:szCs w:val="24"/>
          <w:lang w:val="en-GB"/>
        </w:rPr>
        <w:t>unlawful competition</w:t>
      </w:r>
      <w:r w:rsidR="00DB0A62">
        <w:rPr>
          <w:rFonts w:ascii="Arial" w:hAnsi="Arial" w:cs="Arial"/>
          <w:bCs/>
          <w:sz w:val="24"/>
          <w:szCs w:val="24"/>
          <w:lang w:val="en-GB"/>
        </w:rPr>
        <w:t>.</w:t>
      </w:r>
    </w:p>
    <w:p w14:paraId="59D05B09" w14:textId="7E3F5C11" w:rsidR="008D65C8" w:rsidRDefault="008D65C8"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agency agreements.</w:t>
      </w:r>
    </w:p>
    <w:p w14:paraId="05C6D240" w14:textId="1CC0A12A" w:rsidR="008D65C8" w:rsidRDefault="008D65C8"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AE0546">
        <w:rPr>
          <w:rFonts w:ascii="Arial" w:hAnsi="Arial" w:cs="Arial"/>
          <w:bCs/>
          <w:sz w:val="24"/>
          <w:szCs w:val="24"/>
          <w:lang w:val="en-GB"/>
        </w:rPr>
        <w:t>2</w:t>
      </w:r>
      <w:r w:rsidR="00FC22A0">
        <w:rPr>
          <w:rFonts w:ascii="Arial" w:hAnsi="Arial" w:cs="Arial"/>
          <w:bCs/>
          <w:sz w:val="24"/>
          <w:szCs w:val="24"/>
          <w:lang w:val="en-GB"/>
        </w:rPr>
        <w:t>8</w:t>
      </w:r>
      <w:r>
        <w:rPr>
          <w:rFonts w:ascii="Arial" w:hAnsi="Arial" w:cs="Arial"/>
          <w:bCs/>
          <w:sz w:val="24"/>
          <w:szCs w:val="24"/>
          <w:lang w:val="en-GB"/>
        </w:rPr>
        <w:t>] The restraint provision</w:t>
      </w:r>
      <w:r w:rsidR="005F143D">
        <w:rPr>
          <w:rFonts w:ascii="Arial" w:hAnsi="Arial" w:cs="Arial"/>
          <w:bCs/>
          <w:sz w:val="24"/>
          <w:szCs w:val="24"/>
          <w:lang w:val="en-GB"/>
        </w:rPr>
        <w:t>s</w:t>
      </w:r>
      <w:r>
        <w:rPr>
          <w:rFonts w:ascii="Arial" w:hAnsi="Arial" w:cs="Arial"/>
          <w:bCs/>
          <w:sz w:val="24"/>
          <w:szCs w:val="24"/>
          <w:lang w:val="en-GB"/>
        </w:rPr>
        <w:t xml:space="preserve"> in the agency agreement</w:t>
      </w:r>
      <w:r w:rsidR="00842F42">
        <w:rPr>
          <w:rFonts w:ascii="Arial" w:hAnsi="Arial" w:cs="Arial"/>
          <w:bCs/>
          <w:sz w:val="24"/>
          <w:szCs w:val="24"/>
          <w:lang w:val="en-GB"/>
        </w:rPr>
        <w:t>s</w:t>
      </w:r>
      <w:r>
        <w:rPr>
          <w:rFonts w:ascii="Arial" w:hAnsi="Arial" w:cs="Arial"/>
          <w:bCs/>
          <w:sz w:val="24"/>
          <w:szCs w:val="24"/>
          <w:lang w:val="en-GB"/>
        </w:rPr>
        <w:t xml:space="preserve"> which w</w:t>
      </w:r>
      <w:r w:rsidR="00401123">
        <w:rPr>
          <w:rFonts w:ascii="Arial" w:hAnsi="Arial" w:cs="Arial"/>
          <w:bCs/>
          <w:sz w:val="24"/>
          <w:szCs w:val="24"/>
          <w:lang w:val="en-GB"/>
        </w:rPr>
        <w:t>ere</w:t>
      </w:r>
      <w:r>
        <w:rPr>
          <w:rFonts w:ascii="Arial" w:hAnsi="Arial" w:cs="Arial"/>
          <w:bCs/>
          <w:sz w:val="24"/>
          <w:szCs w:val="24"/>
          <w:lang w:val="en-GB"/>
        </w:rPr>
        <w:t xml:space="preserve"> similarly worded in respect of all the relevant respondents read as follows.</w:t>
      </w:r>
    </w:p>
    <w:p w14:paraId="43E4E529" w14:textId="7425B214" w:rsidR="008D65C8" w:rsidRDefault="008D65C8" w:rsidP="007A25A5">
      <w:pPr>
        <w:spacing w:line="360" w:lineRule="auto"/>
        <w:ind w:left="540"/>
        <w:jc w:val="both"/>
        <w:rPr>
          <w:rFonts w:ascii="Arial" w:hAnsi="Arial" w:cs="Arial"/>
          <w:bCs/>
          <w:lang w:val="en-GB"/>
        </w:rPr>
      </w:pPr>
      <w:r w:rsidRPr="007A25A5">
        <w:rPr>
          <w:rFonts w:ascii="Arial" w:hAnsi="Arial" w:cs="Arial"/>
          <w:bCs/>
          <w:lang w:val="en-GB"/>
        </w:rPr>
        <w:t>“17. Restraint</w:t>
      </w:r>
    </w:p>
    <w:p w14:paraId="3563D629" w14:textId="1A72B3BA" w:rsidR="008D65C8" w:rsidRPr="007A25A5" w:rsidRDefault="008D65C8" w:rsidP="007D077B">
      <w:pPr>
        <w:spacing w:line="360" w:lineRule="auto"/>
        <w:ind w:left="1080"/>
        <w:jc w:val="both"/>
        <w:rPr>
          <w:rFonts w:ascii="Arial" w:hAnsi="Arial" w:cs="Arial"/>
          <w:bCs/>
          <w:lang w:val="en-GB"/>
        </w:rPr>
      </w:pPr>
      <w:r w:rsidRPr="007A25A5">
        <w:rPr>
          <w:rFonts w:ascii="Arial" w:hAnsi="Arial" w:cs="Arial"/>
          <w:bCs/>
          <w:lang w:val="en-GB"/>
        </w:rPr>
        <w:t xml:space="preserve">17.1 During the currency of this </w:t>
      </w:r>
      <w:r w:rsidR="005208AD">
        <w:rPr>
          <w:rFonts w:ascii="Arial" w:hAnsi="Arial" w:cs="Arial"/>
          <w:bCs/>
          <w:lang w:val="en-GB"/>
        </w:rPr>
        <w:t>A</w:t>
      </w:r>
      <w:r w:rsidRPr="007A25A5">
        <w:rPr>
          <w:rFonts w:ascii="Arial" w:hAnsi="Arial" w:cs="Arial"/>
          <w:bCs/>
          <w:lang w:val="en-GB"/>
        </w:rPr>
        <w:t>greement and for a period of 12</w:t>
      </w:r>
      <w:r w:rsidR="00935A28">
        <w:rPr>
          <w:rFonts w:ascii="Arial" w:hAnsi="Arial" w:cs="Arial"/>
          <w:bCs/>
          <w:lang w:val="en-GB"/>
        </w:rPr>
        <w:t>(twelve)</w:t>
      </w:r>
      <w:r w:rsidRPr="007A25A5">
        <w:rPr>
          <w:rFonts w:ascii="Arial" w:hAnsi="Arial" w:cs="Arial"/>
          <w:bCs/>
          <w:lang w:val="en-GB"/>
        </w:rPr>
        <w:t xml:space="preserve"> months after the termination of this </w:t>
      </w:r>
      <w:r w:rsidR="001B5779">
        <w:rPr>
          <w:rFonts w:ascii="Arial" w:hAnsi="Arial" w:cs="Arial"/>
          <w:bCs/>
          <w:lang w:val="en-GB"/>
        </w:rPr>
        <w:t>A</w:t>
      </w:r>
      <w:r w:rsidRPr="007A25A5">
        <w:rPr>
          <w:rFonts w:ascii="Arial" w:hAnsi="Arial" w:cs="Arial"/>
          <w:bCs/>
          <w:lang w:val="en-GB"/>
        </w:rPr>
        <w:t xml:space="preserve">greement by either party and for any reason whatsoever the </w:t>
      </w:r>
      <w:r w:rsidR="001B5779">
        <w:rPr>
          <w:rFonts w:ascii="Arial" w:hAnsi="Arial" w:cs="Arial"/>
          <w:bCs/>
          <w:lang w:val="en-GB"/>
        </w:rPr>
        <w:t>O</w:t>
      </w:r>
      <w:r w:rsidRPr="007A25A5">
        <w:rPr>
          <w:rFonts w:ascii="Arial" w:hAnsi="Arial" w:cs="Arial"/>
          <w:bCs/>
          <w:lang w:val="en-GB"/>
        </w:rPr>
        <w:t>perator and his/her immediate family members shall not:</w:t>
      </w:r>
    </w:p>
    <w:p w14:paraId="62976CD9" w14:textId="03FC34A6" w:rsidR="008D65C8" w:rsidRPr="007A25A5" w:rsidRDefault="008D65C8" w:rsidP="007A25A5">
      <w:pPr>
        <w:spacing w:line="360" w:lineRule="auto"/>
        <w:ind w:left="2340" w:hanging="720"/>
        <w:jc w:val="both"/>
        <w:rPr>
          <w:rFonts w:ascii="Arial" w:hAnsi="Arial" w:cs="Arial"/>
          <w:bCs/>
          <w:lang w:val="en-GB"/>
        </w:rPr>
      </w:pPr>
      <w:r w:rsidRPr="007A25A5">
        <w:rPr>
          <w:rFonts w:ascii="Arial" w:hAnsi="Arial" w:cs="Arial"/>
          <w:bCs/>
          <w:lang w:val="en-GB"/>
        </w:rPr>
        <w:t xml:space="preserve">17.1.1 rent out any </w:t>
      </w:r>
      <w:r w:rsidR="001B5779">
        <w:rPr>
          <w:rFonts w:ascii="Arial" w:hAnsi="Arial" w:cs="Arial"/>
          <w:bCs/>
          <w:lang w:val="en-GB"/>
        </w:rPr>
        <w:t>V</w:t>
      </w:r>
      <w:r w:rsidRPr="007A25A5">
        <w:rPr>
          <w:rFonts w:ascii="Arial" w:hAnsi="Arial" w:cs="Arial"/>
          <w:bCs/>
          <w:lang w:val="en-GB"/>
        </w:rPr>
        <w:t xml:space="preserve">ehicle in the </w:t>
      </w:r>
      <w:r w:rsidR="00C042D3">
        <w:rPr>
          <w:rFonts w:ascii="Arial" w:hAnsi="Arial" w:cs="Arial"/>
          <w:bCs/>
          <w:lang w:val="en-GB"/>
        </w:rPr>
        <w:t>A</w:t>
      </w:r>
      <w:r w:rsidRPr="007A25A5">
        <w:rPr>
          <w:rFonts w:ascii="Arial" w:hAnsi="Arial" w:cs="Arial"/>
          <w:bCs/>
          <w:lang w:val="en-GB"/>
        </w:rPr>
        <w:t xml:space="preserve">rea or permit or assist any third party to advertise promote or carry on a vehicle rental or any similar business in the </w:t>
      </w:r>
      <w:proofErr w:type="gramStart"/>
      <w:r w:rsidR="00C042D3">
        <w:rPr>
          <w:rFonts w:ascii="Arial" w:hAnsi="Arial" w:cs="Arial"/>
          <w:bCs/>
          <w:lang w:val="en-GB"/>
        </w:rPr>
        <w:t>A</w:t>
      </w:r>
      <w:r w:rsidRPr="007A25A5">
        <w:rPr>
          <w:rFonts w:ascii="Arial" w:hAnsi="Arial" w:cs="Arial"/>
          <w:bCs/>
          <w:lang w:val="en-GB"/>
        </w:rPr>
        <w:t>rea;</w:t>
      </w:r>
      <w:proofErr w:type="gramEnd"/>
      <w:r w:rsidRPr="007A25A5">
        <w:rPr>
          <w:rFonts w:ascii="Arial" w:hAnsi="Arial" w:cs="Arial"/>
          <w:bCs/>
          <w:lang w:val="en-GB"/>
        </w:rPr>
        <w:t xml:space="preserve"> </w:t>
      </w:r>
    </w:p>
    <w:p w14:paraId="207578D4" w14:textId="457DA442" w:rsidR="008D65C8" w:rsidRPr="007A25A5" w:rsidRDefault="008D65C8" w:rsidP="007A25A5">
      <w:pPr>
        <w:spacing w:line="360" w:lineRule="auto"/>
        <w:ind w:left="2340" w:hanging="720"/>
        <w:jc w:val="both"/>
        <w:rPr>
          <w:rFonts w:ascii="Arial" w:hAnsi="Arial" w:cs="Arial"/>
          <w:bCs/>
          <w:lang w:val="en-GB"/>
        </w:rPr>
      </w:pPr>
      <w:r w:rsidRPr="007A25A5">
        <w:rPr>
          <w:rFonts w:ascii="Arial" w:hAnsi="Arial" w:cs="Arial"/>
          <w:bCs/>
          <w:lang w:val="en-GB"/>
        </w:rPr>
        <w:lastRenderedPageBreak/>
        <w:t xml:space="preserve">17.1.2 be or </w:t>
      </w:r>
      <w:r w:rsidR="00F57D01" w:rsidRPr="007A25A5">
        <w:rPr>
          <w:rFonts w:ascii="Arial" w:hAnsi="Arial" w:cs="Arial"/>
          <w:bCs/>
          <w:lang w:val="en-GB"/>
        </w:rPr>
        <w:t xml:space="preserve">become directly or indirectly engaged or be concerned or interested in any other transient rent </w:t>
      </w:r>
      <w:r w:rsidR="00884871">
        <w:rPr>
          <w:rFonts w:ascii="Arial" w:hAnsi="Arial" w:cs="Arial"/>
          <w:bCs/>
          <w:lang w:val="en-GB"/>
        </w:rPr>
        <w:t xml:space="preserve">a car operation, van rental </w:t>
      </w:r>
      <w:r w:rsidR="00F57D01" w:rsidRPr="007A25A5">
        <w:rPr>
          <w:rFonts w:ascii="Arial" w:hAnsi="Arial" w:cs="Arial"/>
          <w:bCs/>
          <w:lang w:val="en-GB"/>
        </w:rPr>
        <w:t xml:space="preserve">or truck rental </w:t>
      </w:r>
      <w:proofErr w:type="gramStart"/>
      <w:r w:rsidR="00F57D01" w:rsidRPr="007A25A5">
        <w:rPr>
          <w:rFonts w:ascii="Arial" w:hAnsi="Arial" w:cs="Arial"/>
          <w:bCs/>
          <w:lang w:val="en-GB"/>
        </w:rPr>
        <w:t>business;</w:t>
      </w:r>
      <w:proofErr w:type="gramEnd"/>
      <w:r w:rsidR="00F57D01" w:rsidRPr="007A25A5">
        <w:rPr>
          <w:rFonts w:ascii="Arial" w:hAnsi="Arial" w:cs="Arial"/>
          <w:bCs/>
          <w:lang w:val="en-GB"/>
        </w:rPr>
        <w:t xml:space="preserve"> </w:t>
      </w:r>
    </w:p>
    <w:p w14:paraId="6A495CF7" w14:textId="68AEE7BC" w:rsidR="00F57D01" w:rsidRDefault="00F57D01" w:rsidP="007A25A5">
      <w:pPr>
        <w:spacing w:line="360" w:lineRule="auto"/>
        <w:ind w:left="2340" w:hanging="720"/>
        <w:jc w:val="both"/>
        <w:rPr>
          <w:rFonts w:ascii="Arial" w:hAnsi="Arial" w:cs="Arial"/>
          <w:bCs/>
          <w:lang w:val="en-GB"/>
        </w:rPr>
      </w:pPr>
      <w:r w:rsidRPr="007A25A5">
        <w:rPr>
          <w:rFonts w:ascii="Arial" w:hAnsi="Arial" w:cs="Arial"/>
          <w:bCs/>
          <w:lang w:val="en-GB"/>
        </w:rPr>
        <w:t>17.1.3 undertake or assist in the solicitation of customers for vehicle rental</w:t>
      </w:r>
      <w:r w:rsidR="00345246">
        <w:rPr>
          <w:rFonts w:ascii="Arial" w:hAnsi="Arial" w:cs="Arial"/>
          <w:bCs/>
          <w:lang w:val="en-GB"/>
        </w:rPr>
        <w:t>,</w:t>
      </w:r>
      <w:r w:rsidRPr="007A25A5">
        <w:rPr>
          <w:rFonts w:ascii="Arial" w:hAnsi="Arial" w:cs="Arial"/>
          <w:bCs/>
          <w:lang w:val="en-GB"/>
        </w:rPr>
        <w:t xml:space="preserve"> van rental or truck rental, with whom it dealt with during this </w:t>
      </w:r>
      <w:proofErr w:type="gramStart"/>
      <w:r w:rsidRPr="007A25A5">
        <w:rPr>
          <w:rFonts w:ascii="Arial" w:hAnsi="Arial" w:cs="Arial"/>
          <w:bCs/>
          <w:lang w:val="en-GB"/>
        </w:rPr>
        <w:t>agreement</w:t>
      </w:r>
      <w:r w:rsidR="00A20F16">
        <w:rPr>
          <w:rFonts w:ascii="Arial" w:hAnsi="Arial" w:cs="Arial"/>
          <w:bCs/>
          <w:lang w:val="en-GB"/>
        </w:rPr>
        <w:t>;</w:t>
      </w:r>
      <w:proofErr w:type="gramEnd"/>
    </w:p>
    <w:p w14:paraId="4F3550A3" w14:textId="252B8BFD" w:rsidR="008919F2" w:rsidRDefault="00E13A87" w:rsidP="007A25A5">
      <w:pPr>
        <w:spacing w:line="360" w:lineRule="auto"/>
        <w:ind w:left="2340" w:hanging="720"/>
        <w:jc w:val="both"/>
        <w:rPr>
          <w:rFonts w:ascii="Arial" w:hAnsi="Arial" w:cs="Arial"/>
          <w:bCs/>
          <w:sz w:val="24"/>
          <w:szCs w:val="24"/>
          <w:lang w:val="en-GB"/>
        </w:rPr>
      </w:pPr>
      <w:r>
        <w:rPr>
          <w:rFonts w:ascii="Arial" w:hAnsi="Arial" w:cs="Arial"/>
          <w:bCs/>
          <w:lang w:val="en-GB"/>
        </w:rPr>
        <w:t xml:space="preserve">17.1.4 in any way say </w:t>
      </w:r>
      <w:r w:rsidR="00DB4DBD">
        <w:rPr>
          <w:rFonts w:ascii="Arial" w:hAnsi="Arial" w:cs="Arial"/>
          <w:bCs/>
          <w:lang w:val="en-GB"/>
        </w:rPr>
        <w:t>a</w:t>
      </w:r>
      <w:r w:rsidR="00E73772">
        <w:rPr>
          <w:rFonts w:ascii="Arial" w:hAnsi="Arial" w:cs="Arial"/>
          <w:bCs/>
          <w:lang w:val="en-GB"/>
        </w:rPr>
        <w:t>ny</w:t>
      </w:r>
      <w:r w:rsidR="00DB4DBD">
        <w:rPr>
          <w:rFonts w:ascii="Arial" w:hAnsi="Arial" w:cs="Arial"/>
          <w:bCs/>
          <w:lang w:val="en-GB"/>
        </w:rPr>
        <w:t xml:space="preserve">thing adverse about the Avis Budget brand </w:t>
      </w:r>
      <w:r w:rsidR="00E73772">
        <w:rPr>
          <w:rFonts w:ascii="Arial" w:hAnsi="Arial" w:cs="Arial"/>
          <w:bCs/>
          <w:lang w:val="en-GB"/>
        </w:rPr>
        <w:t>and/or the company</w:t>
      </w:r>
      <w:r w:rsidR="00255738">
        <w:rPr>
          <w:rFonts w:ascii="Arial" w:hAnsi="Arial" w:cs="Arial"/>
          <w:bCs/>
          <w:lang w:val="en-GB"/>
        </w:rPr>
        <w:t>.’’</w:t>
      </w:r>
    </w:p>
    <w:p w14:paraId="2BE88830" w14:textId="7EF04389" w:rsidR="00F57D01" w:rsidRDefault="00F57D01"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5D613E">
        <w:rPr>
          <w:rFonts w:ascii="Arial" w:hAnsi="Arial" w:cs="Arial"/>
          <w:bCs/>
          <w:sz w:val="24"/>
          <w:szCs w:val="24"/>
          <w:lang w:val="en-GB"/>
        </w:rPr>
        <w:t>29</w:t>
      </w:r>
      <w:r>
        <w:rPr>
          <w:rFonts w:ascii="Arial" w:hAnsi="Arial" w:cs="Arial"/>
          <w:bCs/>
          <w:sz w:val="24"/>
          <w:szCs w:val="24"/>
          <w:lang w:val="en-GB"/>
        </w:rPr>
        <w:t xml:space="preserve">] </w:t>
      </w:r>
      <w:r w:rsidR="00884871">
        <w:rPr>
          <w:rFonts w:ascii="Arial" w:hAnsi="Arial" w:cs="Arial"/>
          <w:bCs/>
          <w:sz w:val="24"/>
          <w:szCs w:val="24"/>
          <w:lang w:val="en-GB"/>
        </w:rPr>
        <w:t>The applicable legal</w:t>
      </w:r>
      <w:r>
        <w:rPr>
          <w:rFonts w:ascii="Arial" w:hAnsi="Arial" w:cs="Arial"/>
          <w:bCs/>
          <w:sz w:val="24"/>
          <w:szCs w:val="24"/>
          <w:lang w:val="en-GB"/>
        </w:rPr>
        <w:t xml:space="preserve"> principles in restrain</w:t>
      </w:r>
      <w:r w:rsidR="00884871">
        <w:rPr>
          <w:rFonts w:ascii="Arial" w:hAnsi="Arial" w:cs="Arial"/>
          <w:bCs/>
          <w:sz w:val="24"/>
          <w:szCs w:val="24"/>
          <w:lang w:val="en-GB"/>
        </w:rPr>
        <w:t>t</w:t>
      </w:r>
      <w:r>
        <w:rPr>
          <w:rFonts w:ascii="Arial" w:hAnsi="Arial" w:cs="Arial"/>
          <w:bCs/>
          <w:sz w:val="24"/>
          <w:szCs w:val="24"/>
          <w:lang w:val="en-GB"/>
        </w:rPr>
        <w:t xml:space="preserve"> of trade agreement</w:t>
      </w:r>
      <w:r w:rsidR="00452DFD">
        <w:rPr>
          <w:rFonts w:ascii="Arial" w:hAnsi="Arial" w:cs="Arial"/>
          <w:bCs/>
          <w:sz w:val="24"/>
          <w:szCs w:val="24"/>
          <w:lang w:val="en-GB"/>
        </w:rPr>
        <w:t>s</w:t>
      </w:r>
      <w:r>
        <w:rPr>
          <w:rFonts w:ascii="Arial" w:hAnsi="Arial" w:cs="Arial"/>
          <w:bCs/>
          <w:sz w:val="24"/>
          <w:szCs w:val="24"/>
          <w:lang w:val="en-GB"/>
        </w:rPr>
        <w:t xml:space="preserve"> have been stated and restated by our courts for </w:t>
      </w:r>
      <w:r w:rsidR="001275F9">
        <w:rPr>
          <w:rFonts w:ascii="Arial" w:hAnsi="Arial" w:cs="Arial"/>
          <w:bCs/>
          <w:sz w:val="24"/>
          <w:szCs w:val="24"/>
          <w:lang w:val="en-GB"/>
        </w:rPr>
        <w:t>some time now.  Amongst other cases</w:t>
      </w:r>
      <w:r w:rsidR="00F620DE">
        <w:rPr>
          <w:rFonts w:ascii="Arial" w:hAnsi="Arial" w:cs="Arial"/>
          <w:bCs/>
          <w:sz w:val="24"/>
          <w:szCs w:val="24"/>
          <w:lang w:val="en-GB"/>
        </w:rPr>
        <w:t>,</w:t>
      </w:r>
      <w:r w:rsidR="001275F9">
        <w:rPr>
          <w:rFonts w:ascii="Arial" w:hAnsi="Arial" w:cs="Arial"/>
          <w:bCs/>
          <w:sz w:val="24"/>
          <w:szCs w:val="24"/>
          <w:lang w:val="en-GB"/>
        </w:rPr>
        <w:t xml:space="preserve"> those principles were restated in </w:t>
      </w:r>
      <w:r w:rsidR="001275F9" w:rsidRPr="00D037BB">
        <w:rPr>
          <w:rFonts w:ascii="Arial" w:hAnsi="Arial" w:cs="Arial"/>
          <w:bCs/>
          <w:i/>
          <w:iCs/>
          <w:sz w:val="24"/>
          <w:szCs w:val="24"/>
          <w:lang w:val="en-GB"/>
        </w:rPr>
        <w:t>Reddy</w:t>
      </w:r>
      <w:r w:rsidR="001275F9">
        <w:rPr>
          <w:rStyle w:val="FootnoteReference"/>
          <w:rFonts w:ascii="Arial" w:hAnsi="Arial" w:cs="Arial"/>
          <w:bCs/>
          <w:sz w:val="24"/>
          <w:szCs w:val="24"/>
          <w:lang w:val="en-GB"/>
        </w:rPr>
        <w:footnoteReference w:id="1"/>
      </w:r>
      <w:r w:rsidR="00452DFD">
        <w:rPr>
          <w:rFonts w:ascii="Arial" w:hAnsi="Arial" w:cs="Arial"/>
          <w:bCs/>
          <w:i/>
          <w:iCs/>
          <w:sz w:val="24"/>
          <w:szCs w:val="24"/>
          <w:lang w:val="en-GB"/>
        </w:rPr>
        <w:t xml:space="preserve"> </w:t>
      </w:r>
      <w:r w:rsidR="00E37411">
        <w:rPr>
          <w:rFonts w:ascii="Arial" w:hAnsi="Arial" w:cs="Arial"/>
          <w:bCs/>
          <w:sz w:val="24"/>
          <w:szCs w:val="24"/>
          <w:lang w:val="en-GB"/>
        </w:rPr>
        <w:t xml:space="preserve">about sixteen </w:t>
      </w:r>
      <w:r w:rsidR="002E3463">
        <w:rPr>
          <w:rFonts w:ascii="Arial" w:hAnsi="Arial" w:cs="Arial"/>
          <w:bCs/>
          <w:sz w:val="24"/>
          <w:szCs w:val="24"/>
          <w:lang w:val="en-GB"/>
        </w:rPr>
        <w:t xml:space="preserve">years </w:t>
      </w:r>
      <w:r w:rsidR="00E37411">
        <w:rPr>
          <w:rFonts w:ascii="Arial" w:hAnsi="Arial" w:cs="Arial"/>
          <w:bCs/>
          <w:sz w:val="24"/>
          <w:szCs w:val="24"/>
          <w:lang w:val="en-GB"/>
        </w:rPr>
        <w:t xml:space="preserve">or </w:t>
      </w:r>
      <w:r w:rsidR="00AC3EC7">
        <w:rPr>
          <w:rFonts w:ascii="Arial" w:hAnsi="Arial" w:cs="Arial"/>
          <w:bCs/>
          <w:sz w:val="24"/>
          <w:szCs w:val="24"/>
          <w:lang w:val="en-GB"/>
        </w:rPr>
        <w:t xml:space="preserve">so </w:t>
      </w:r>
      <w:r w:rsidR="00E37411">
        <w:rPr>
          <w:rFonts w:ascii="Arial" w:hAnsi="Arial" w:cs="Arial"/>
          <w:bCs/>
          <w:sz w:val="24"/>
          <w:szCs w:val="24"/>
          <w:lang w:val="en-GB"/>
        </w:rPr>
        <w:t>ago</w:t>
      </w:r>
      <w:r w:rsidR="00C47A1B">
        <w:rPr>
          <w:rFonts w:ascii="Arial" w:hAnsi="Arial" w:cs="Arial"/>
          <w:bCs/>
          <w:sz w:val="24"/>
          <w:szCs w:val="24"/>
          <w:lang w:val="en-GB"/>
        </w:rPr>
        <w:t>.</w:t>
      </w:r>
    </w:p>
    <w:p w14:paraId="28A4F8FF" w14:textId="765280DF" w:rsidR="00452DFD" w:rsidRPr="00452DFD" w:rsidRDefault="00452DFD"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analysis.</w:t>
      </w:r>
    </w:p>
    <w:p w14:paraId="312F7A3E" w14:textId="4A5F3720" w:rsidR="00C47A1B" w:rsidRDefault="00C47A1B"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3</w:t>
      </w:r>
      <w:r w:rsidR="00AD4450">
        <w:rPr>
          <w:rFonts w:ascii="Arial" w:hAnsi="Arial" w:cs="Arial"/>
          <w:bCs/>
          <w:sz w:val="24"/>
          <w:szCs w:val="24"/>
          <w:lang w:val="en-GB"/>
        </w:rPr>
        <w:t>0</w:t>
      </w:r>
      <w:r>
        <w:rPr>
          <w:rFonts w:ascii="Arial" w:hAnsi="Arial" w:cs="Arial"/>
          <w:bCs/>
          <w:sz w:val="24"/>
          <w:szCs w:val="24"/>
          <w:lang w:val="en-GB"/>
        </w:rPr>
        <w:t>]</w:t>
      </w:r>
      <w:r w:rsidR="006125AB">
        <w:rPr>
          <w:rFonts w:ascii="Arial" w:hAnsi="Arial" w:cs="Arial"/>
          <w:bCs/>
          <w:sz w:val="24"/>
          <w:szCs w:val="24"/>
          <w:lang w:val="en-GB"/>
        </w:rPr>
        <w:t xml:space="preserve"> The </w:t>
      </w:r>
      <w:r>
        <w:rPr>
          <w:rFonts w:ascii="Arial" w:hAnsi="Arial" w:cs="Arial"/>
          <w:bCs/>
          <w:sz w:val="24"/>
          <w:szCs w:val="24"/>
          <w:lang w:val="en-GB"/>
        </w:rPr>
        <w:t>applicant</w:t>
      </w:r>
      <w:r w:rsidR="008B071F">
        <w:rPr>
          <w:rFonts w:ascii="Arial" w:hAnsi="Arial" w:cs="Arial"/>
          <w:bCs/>
          <w:sz w:val="24"/>
          <w:szCs w:val="24"/>
          <w:lang w:val="en-GB"/>
        </w:rPr>
        <w:t>’s case is that</w:t>
      </w:r>
      <w:r>
        <w:rPr>
          <w:rFonts w:ascii="Arial" w:hAnsi="Arial" w:cs="Arial"/>
          <w:bCs/>
          <w:sz w:val="24"/>
          <w:szCs w:val="24"/>
          <w:lang w:val="en-GB"/>
        </w:rPr>
        <w:t xml:space="preserve"> it entered into restraint agreement</w:t>
      </w:r>
      <w:r w:rsidR="008B071F">
        <w:rPr>
          <w:rFonts w:ascii="Arial" w:hAnsi="Arial" w:cs="Arial"/>
          <w:bCs/>
          <w:sz w:val="24"/>
          <w:szCs w:val="24"/>
          <w:lang w:val="en-GB"/>
        </w:rPr>
        <w:t>s</w:t>
      </w:r>
      <w:r>
        <w:rPr>
          <w:rFonts w:ascii="Arial" w:hAnsi="Arial" w:cs="Arial"/>
          <w:bCs/>
          <w:sz w:val="24"/>
          <w:szCs w:val="24"/>
          <w:lang w:val="en-GB"/>
        </w:rPr>
        <w:t xml:space="preserve"> with the respondents to prevent them from communi</w:t>
      </w:r>
      <w:r w:rsidR="008B071F">
        <w:rPr>
          <w:rFonts w:ascii="Arial" w:hAnsi="Arial" w:cs="Arial"/>
          <w:bCs/>
          <w:sz w:val="24"/>
          <w:szCs w:val="24"/>
          <w:lang w:val="en-GB"/>
        </w:rPr>
        <w:t>cating</w:t>
      </w:r>
      <w:r>
        <w:rPr>
          <w:rFonts w:ascii="Arial" w:hAnsi="Arial" w:cs="Arial"/>
          <w:bCs/>
          <w:sz w:val="24"/>
          <w:szCs w:val="24"/>
          <w:lang w:val="en-GB"/>
        </w:rPr>
        <w:t xml:space="preserve"> its trade secrets to or utilising its customer connections on behalf of its rival, </w:t>
      </w:r>
      <w:r w:rsidR="002B3963">
        <w:rPr>
          <w:rFonts w:ascii="Arial" w:hAnsi="Arial" w:cs="Arial"/>
          <w:bCs/>
          <w:sz w:val="24"/>
          <w:szCs w:val="24"/>
          <w:lang w:val="en-GB"/>
        </w:rPr>
        <w:t xml:space="preserve">Apex.  It contends that all it needs to show is that there is confidential information which the respondents could </w:t>
      </w:r>
      <w:r w:rsidR="00AE3566">
        <w:rPr>
          <w:rFonts w:ascii="Arial" w:hAnsi="Arial" w:cs="Arial"/>
          <w:bCs/>
          <w:sz w:val="24"/>
          <w:szCs w:val="24"/>
          <w:lang w:val="en-GB"/>
        </w:rPr>
        <w:t>transmit</w:t>
      </w:r>
      <w:r w:rsidR="002B3963">
        <w:rPr>
          <w:rFonts w:ascii="Arial" w:hAnsi="Arial" w:cs="Arial"/>
          <w:bCs/>
          <w:sz w:val="24"/>
          <w:szCs w:val="24"/>
          <w:lang w:val="en-GB"/>
        </w:rPr>
        <w:t xml:space="preserve"> to Apex should they desire to do so.  It does not have to show that they have in fact utilised the information confidential to it.  It merely has to show that they could do so.  On this point the applicant </w:t>
      </w:r>
      <w:r w:rsidR="002B3963">
        <w:rPr>
          <w:rFonts w:ascii="Arial" w:hAnsi="Arial" w:cs="Arial"/>
          <w:bCs/>
          <w:sz w:val="24"/>
          <w:szCs w:val="24"/>
          <w:lang w:val="en-GB"/>
        </w:rPr>
        <w:lastRenderedPageBreak/>
        <w:t xml:space="preserve">relies on, </w:t>
      </w:r>
      <w:r w:rsidR="002B3963" w:rsidRPr="00452DFD">
        <w:rPr>
          <w:rFonts w:ascii="Arial" w:hAnsi="Arial" w:cs="Arial"/>
          <w:bCs/>
          <w:i/>
          <w:iCs/>
          <w:sz w:val="24"/>
          <w:szCs w:val="24"/>
          <w:lang w:val="en-GB"/>
        </w:rPr>
        <w:t>inter alia</w:t>
      </w:r>
      <w:r w:rsidR="002B3963">
        <w:rPr>
          <w:rFonts w:ascii="Arial" w:hAnsi="Arial" w:cs="Arial"/>
          <w:bCs/>
          <w:sz w:val="24"/>
          <w:szCs w:val="24"/>
          <w:lang w:val="en-GB"/>
        </w:rPr>
        <w:t xml:space="preserve">, the case of </w:t>
      </w:r>
      <w:r w:rsidR="008B071F" w:rsidRPr="00452DFD">
        <w:rPr>
          <w:rFonts w:ascii="Arial" w:hAnsi="Arial" w:cs="Arial"/>
          <w:bCs/>
          <w:i/>
          <w:iCs/>
          <w:sz w:val="24"/>
          <w:szCs w:val="24"/>
          <w:lang w:val="en-GB"/>
        </w:rPr>
        <w:t>N</w:t>
      </w:r>
      <w:r w:rsidR="002B3963" w:rsidRPr="00452DFD">
        <w:rPr>
          <w:rFonts w:ascii="Arial" w:hAnsi="Arial" w:cs="Arial"/>
          <w:bCs/>
          <w:i/>
          <w:iCs/>
          <w:sz w:val="24"/>
          <w:szCs w:val="24"/>
          <w:lang w:val="en-GB"/>
        </w:rPr>
        <w:t>ew</w:t>
      </w:r>
      <w:r w:rsidR="002B3963">
        <w:rPr>
          <w:rFonts w:ascii="Arial" w:hAnsi="Arial" w:cs="Arial"/>
          <w:bCs/>
          <w:sz w:val="24"/>
          <w:szCs w:val="24"/>
          <w:lang w:val="en-GB"/>
        </w:rPr>
        <w:t xml:space="preserve"> </w:t>
      </w:r>
      <w:r w:rsidR="002B3963" w:rsidRPr="00AE3566">
        <w:rPr>
          <w:rFonts w:ascii="Arial" w:hAnsi="Arial" w:cs="Arial"/>
          <w:bCs/>
          <w:i/>
          <w:iCs/>
          <w:sz w:val="24"/>
          <w:szCs w:val="24"/>
          <w:lang w:val="en-GB"/>
        </w:rPr>
        <w:t>Justfu</w:t>
      </w:r>
      <w:r w:rsidR="00DA4501">
        <w:rPr>
          <w:rFonts w:ascii="Arial" w:hAnsi="Arial" w:cs="Arial"/>
          <w:bCs/>
          <w:i/>
          <w:iCs/>
          <w:sz w:val="24"/>
          <w:szCs w:val="24"/>
          <w:lang w:val="en-GB"/>
        </w:rPr>
        <w:t>n</w:t>
      </w:r>
      <w:r w:rsidR="002B3963" w:rsidRPr="00AE3566">
        <w:rPr>
          <w:rFonts w:ascii="Arial" w:hAnsi="Arial" w:cs="Arial"/>
          <w:bCs/>
          <w:i/>
          <w:iCs/>
          <w:sz w:val="24"/>
          <w:szCs w:val="24"/>
          <w:lang w:val="en-GB"/>
        </w:rPr>
        <w:t xml:space="preserve"> Group</w:t>
      </w:r>
      <w:r w:rsidR="009A3BA8">
        <w:rPr>
          <w:rStyle w:val="FootnoteReference"/>
          <w:rFonts w:ascii="Arial" w:hAnsi="Arial" w:cs="Arial"/>
          <w:bCs/>
          <w:sz w:val="24"/>
          <w:szCs w:val="24"/>
          <w:lang w:val="en-GB"/>
        </w:rPr>
        <w:footnoteReference w:id="2"/>
      </w:r>
      <w:r w:rsidR="002B3963">
        <w:rPr>
          <w:rFonts w:ascii="Arial" w:hAnsi="Arial" w:cs="Arial"/>
          <w:bCs/>
          <w:sz w:val="24"/>
          <w:szCs w:val="24"/>
          <w:lang w:val="en-GB"/>
        </w:rPr>
        <w:t>.  In that case Van Ni</w:t>
      </w:r>
      <w:r w:rsidR="00452DFD">
        <w:rPr>
          <w:rFonts w:ascii="Arial" w:hAnsi="Arial" w:cs="Arial"/>
          <w:bCs/>
          <w:sz w:val="24"/>
          <w:szCs w:val="24"/>
          <w:lang w:val="en-GB"/>
        </w:rPr>
        <w:t>e</w:t>
      </w:r>
      <w:r w:rsidR="002B3963">
        <w:rPr>
          <w:rFonts w:ascii="Arial" w:hAnsi="Arial" w:cs="Arial"/>
          <w:bCs/>
          <w:sz w:val="24"/>
          <w:szCs w:val="24"/>
          <w:lang w:val="en-GB"/>
        </w:rPr>
        <w:t>kerk J</w:t>
      </w:r>
      <w:r w:rsidR="00452DFD">
        <w:rPr>
          <w:rFonts w:ascii="Arial" w:hAnsi="Arial" w:cs="Arial"/>
          <w:bCs/>
          <w:sz w:val="24"/>
          <w:szCs w:val="24"/>
          <w:lang w:val="en-GB"/>
        </w:rPr>
        <w:t>,</w:t>
      </w:r>
      <w:r w:rsidR="002B3963">
        <w:rPr>
          <w:rFonts w:ascii="Arial" w:hAnsi="Arial" w:cs="Arial"/>
          <w:bCs/>
          <w:sz w:val="24"/>
          <w:szCs w:val="24"/>
          <w:lang w:val="en-GB"/>
        </w:rPr>
        <w:t xml:space="preserve"> in part</w:t>
      </w:r>
      <w:r w:rsidR="008B071F">
        <w:rPr>
          <w:rFonts w:ascii="Arial" w:hAnsi="Arial" w:cs="Arial"/>
          <w:bCs/>
          <w:sz w:val="24"/>
          <w:szCs w:val="24"/>
          <w:lang w:val="en-GB"/>
        </w:rPr>
        <w:t>,</w:t>
      </w:r>
      <w:r w:rsidR="002B3963">
        <w:rPr>
          <w:rFonts w:ascii="Arial" w:hAnsi="Arial" w:cs="Arial"/>
          <w:bCs/>
          <w:sz w:val="24"/>
          <w:szCs w:val="24"/>
          <w:lang w:val="en-GB"/>
        </w:rPr>
        <w:t xml:space="preserve"> had this</w:t>
      </w:r>
      <w:r w:rsidR="00C31D2A">
        <w:rPr>
          <w:rFonts w:ascii="Arial" w:hAnsi="Arial" w:cs="Arial"/>
          <w:bCs/>
          <w:sz w:val="24"/>
          <w:szCs w:val="24"/>
          <w:lang w:val="en-GB"/>
        </w:rPr>
        <w:t xml:space="preserve"> to </w:t>
      </w:r>
      <w:r w:rsidR="002B3963">
        <w:rPr>
          <w:rFonts w:ascii="Arial" w:hAnsi="Arial" w:cs="Arial"/>
          <w:bCs/>
          <w:sz w:val="24"/>
          <w:szCs w:val="24"/>
          <w:lang w:val="en-GB"/>
        </w:rPr>
        <w:t>say:</w:t>
      </w:r>
    </w:p>
    <w:p w14:paraId="6D60081D" w14:textId="3EDC84F0" w:rsidR="002B3963" w:rsidRPr="007A25A5" w:rsidRDefault="002B3963" w:rsidP="007A25A5">
      <w:pPr>
        <w:spacing w:line="360" w:lineRule="auto"/>
        <w:ind w:left="720"/>
        <w:jc w:val="both"/>
        <w:rPr>
          <w:rFonts w:ascii="Arial" w:hAnsi="Arial" w:cs="Arial"/>
          <w:bCs/>
          <w:lang w:val="en-GB"/>
        </w:rPr>
      </w:pPr>
      <w:r w:rsidRPr="007A25A5">
        <w:rPr>
          <w:rFonts w:ascii="Arial" w:hAnsi="Arial" w:cs="Arial"/>
          <w:bCs/>
          <w:lang w:val="en-GB"/>
        </w:rPr>
        <w:t xml:space="preserve">“The enforcement of a restraint the purpose of which is to protect confidential information, cannot be defeated </w:t>
      </w:r>
      <w:r w:rsidR="009A3BA8" w:rsidRPr="007A25A5">
        <w:rPr>
          <w:rFonts w:ascii="Arial" w:hAnsi="Arial" w:cs="Arial"/>
          <w:bCs/>
          <w:lang w:val="en-GB"/>
        </w:rPr>
        <w:t>by an undertaking that the employee will not div</w:t>
      </w:r>
      <w:r w:rsidR="008B071F">
        <w:rPr>
          <w:rFonts w:ascii="Arial" w:hAnsi="Arial" w:cs="Arial"/>
          <w:bCs/>
          <w:lang w:val="en-GB"/>
        </w:rPr>
        <w:t>ulge</w:t>
      </w:r>
      <w:r w:rsidR="009A3BA8" w:rsidRPr="007A25A5">
        <w:rPr>
          <w:rFonts w:ascii="Arial" w:hAnsi="Arial" w:cs="Arial"/>
          <w:bCs/>
          <w:lang w:val="en-GB"/>
        </w:rPr>
        <w:t xml:space="preserve"> the information if he or she </w:t>
      </w:r>
      <w:r w:rsidR="008B071F">
        <w:rPr>
          <w:rFonts w:ascii="Arial" w:hAnsi="Arial" w:cs="Arial"/>
          <w:bCs/>
          <w:lang w:val="en-GB"/>
        </w:rPr>
        <w:t xml:space="preserve">is </w:t>
      </w:r>
      <w:r w:rsidR="009A3BA8" w:rsidRPr="007A25A5">
        <w:rPr>
          <w:rFonts w:ascii="Arial" w:hAnsi="Arial" w:cs="Arial"/>
          <w:bCs/>
          <w:lang w:val="en-GB"/>
        </w:rPr>
        <w:t>permitted, contrary to the restraint</w:t>
      </w:r>
      <w:r w:rsidR="008B071F">
        <w:rPr>
          <w:rFonts w:ascii="Arial" w:hAnsi="Arial" w:cs="Arial"/>
          <w:bCs/>
          <w:lang w:val="en-GB"/>
        </w:rPr>
        <w:t>,</w:t>
      </w:r>
      <w:r w:rsidR="009A3BA8" w:rsidRPr="007A25A5">
        <w:rPr>
          <w:rFonts w:ascii="Arial" w:hAnsi="Arial" w:cs="Arial"/>
          <w:bCs/>
          <w:lang w:val="en-GB"/>
        </w:rPr>
        <w:t xml:space="preserve"> from entering into employment with a competito</w:t>
      </w:r>
      <w:r w:rsidR="008B071F">
        <w:rPr>
          <w:rFonts w:ascii="Arial" w:hAnsi="Arial" w:cs="Arial"/>
          <w:bCs/>
          <w:lang w:val="en-GB"/>
        </w:rPr>
        <w:t>r</w:t>
      </w:r>
      <w:r w:rsidR="009A3BA8" w:rsidRPr="007A25A5">
        <w:rPr>
          <w:rFonts w:ascii="Arial" w:hAnsi="Arial" w:cs="Arial"/>
          <w:bCs/>
          <w:lang w:val="en-GB"/>
        </w:rPr>
        <w:t xml:space="preserve">.  </w:t>
      </w:r>
      <w:r w:rsidR="009A3BA8" w:rsidRPr="007A25A5">
        <w:rPr>
          <w:rFonts w:ascii="Arial" w:hAnsi="Arial" w:cs="Arial"/>
          <w:bCs/>
          <w:i/>
          <w:iCs/>
          <w:lang w:val="en-GB"/>
        </w:rPr>
        <w:t>BHT Water Treatment (Pty) Ltd v Les</w:t>
      </w:r>
      <w:r w:rsidR="008B071F">
        <w:rPr>
          <w:rFonts w:ascii="Arial" w:hAnsi="Arial" w:cs="Arial"/>
          <w:bCs/>
          <w:i/>
          <w:iCs/>
          <w:lang w:val="en-GB"/>
        </w:rPr>
        <w:t>li</w:t>
      </w:r>
      <w:r w:rsidR="009A3BA8" w:rsidRPr="007A25A5">
        <w:rPr>
          <w:rFonts w:ascii="Arial" w:hAnsi="Arial" w:cs="Arial"/>
          <w:bCs/>
          <w:i/>
          <w:iCs/>
          <w:lang w:val="en-GB"/>
        </w:rPr>
        <w:t>e</w:t>
      </w:r>
      <w:r w:rsidR="009A3BA8" w:rsidRPr="007A25A5">
        <w:rPr>
          <w:rFonts w:ascii="Arial" w:hAnsi="Arial" w:cs="Arial"/>
          <w:bCs/>
          <w:lang w:val="en-GB"/>
        </w:rPr>
        <w:t xml:space="preserve"> 1993 (1) SA 47 (W), at 57-58 B.  This approach was recently affirmed in </w:t>
      </w:r>
      <w:r w:rsidR="009A3BA8" w:rsidRPr="007A25A5">
        <w:rPr>
          <w:rFonts w:ascii="Arial" w:hAnsi="Arial" w:cs="Arial"/>
          <w:bCs/>
          <w:i/>
          <w:iCs/>
          <w:lang w:val="en-GB"/>
        </w:rPr>
        <w:t>Experian SA (Pty) Ltd v Hayes &amp; Another</w:t>
      </w:r>
      <w:r w:rsidR="009A3BA8" w:rsidRPr="007A25A5">
        <w:rPr>
          <w:rFonts w:ascii="Arial" w:hAnsi="Arial" w:cs="Arial"/>
          <w:bCs/>
          <w:lang w:val="en-GB"/>
        </w:rPr>
        <w:t xml:space="preserve"> (2013 34 ILJ 529 (GSJ) and by the </w:t>
      </w:r>
      <w:r w:rsidR="009A3BA8" w:rsidRPr="00CE4146">
        <w:rPr>
          <w:rFonts w:ascii="Arial" w:hAnsi="Arial" w:cs="Arial"/>
          <w:bCs/>
          <w:lang w:val="en-GB"/>
        </w:rPr>
        <w:t>Labour Appeal Court in</w:t>
      </w:r>
      <w:r w:rsidR="009A3BA8" w:rsidRPr="007A25A5">
        <w:rPr>
          <w:rFonts w:ascii="Arial" w:hAnsi="Arial" w:cs="Arial"/>
          <w:bCs/>
          <w:i/>
          <w:iCs/>
          <w:lang w:val="en-GB"/>
        </w:rPr>
        <w:t xml:space="preserve"> Ball v Bambela Bolts (Pty) Ltd &amp; Another</w:t>
      </w:r>
      <w:r w:rsidR="009A3BA8" w:rsidRPr="007A25A5">
        <w:rPr>
          <w:rFonts w:ascii="Arial" w:hAnsi="Arial" w:cs="Arial"/>
          <w:bCs/>
          <w:lang w:val="en-GB"/>
        </w:rPr>
        <w:t xml:space="preserve"> (2013) 34 ILJ 2021 (LAC) where Coppin AJA noted that the fact that an employee had stated that she did not intend and did not </w:t>
      </w:r>
      <w:r w:rsidR="00AE3566" w:rsidRPr="007A25A5">
        <w:rPr>
          <w:rFonts w:ascii="Arial" w:hAnsi="Arial" w:cs="Arial"/>
          <w:bCs/>
          <w:lang w:val="en-GB"/>
        </w:rPr>
        <w:t xml:space="preserve">use confidential information for the benefit of her new employer </w:t>
      </w:r>
      <w:r w:rsidR="008B071F">
        <w:rPr>
          <w:rFonts w:ascii="Arial" w:hAnsi="Arial" w:cs="Arial"/>
          <w:bCs/>
          <w:lang w:val="en-GB"/>
        </w:rPr>
        <w:t xml:space="preserve">is </w:t>
      </w:r>
      <w:r w:rsidR="00AE3566" w:rsidRPr="007A25A5">
        <w:rPr>
          <w:rFonts w:ascii="Arial" w:hAnsi="Arial" w:cs="Arial"/>
          <w:bCs/>
          <w:lang w:val="en-GB"/>
        </w:rPr>
        <w:t xml:space="preserve">irrelevant in determining whether a restraint is reasonable, or whether it has been breached.  The purpose of a restraint agreement as the court observed in </w:t>
      </w:r>
      <w:r w:rsidR="00AE3566" w:rsidRPr="00CE4146">
        <w:rPr>
          <w:rFonts w:ascii="Arial" w:hAnsi="Arial" w:cs="Arial"/>
          <w:bCs/>
          <w:i/>
          <w:iCs/>
          <w:lang w:val="en-GB"/>
        </w:rPr>
        <w:t>Reddy v Siemens Telecommunications (Pty) Ltd</w:t>
      </w:r>
      <w:r w:rsidR="00AE3566" w:rsidRPr="007A25A5">
        <w:rPr>
          <w:rFonts w:ascii="Arial" w:hAnsi="Arial" w:cs="Arial"/>
          <w:bCs/>
          <w:lang w:val="en-GB"/>
        </w:rPr>
        <w:t xml:space="preserve"> (2007) 28 ILJ 317 (SCA) is to relieve the applicant of having to rely on T</w:t>
      </w:r>
      <w:r w:rsidR="00DA7B9E">
        <w:rPr>
          <w:rFonts w:ascii="Arial" w:hAnsi="Arial" w:cs="Arial"/>
          <w:bCs/>
          <w:lang w:val="en-GB"/>
        </w:rPr>
        <w:t>u</w:t>
      </w:r>
      <w:r w:rsidR="00AE3566" w:rsidRPr="007A25A5">
        <w:rPr>
          <w:rFonts w:ascii="Arial" w:hAnsi="Arial" w:cs="Arial"/>
          <w:bCs/>
          <w:lang w:val="en-GB"/>
        </w:rPr>
        <w:t>rner’s bona fides.”</w:t>
      </w:r>
    </w:p>
    <w:p w14:paraId="7B65CC66" w14:textId="0CE93CAA" w:rsidR="00AE3566" w:rsidRDefault="00035120"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3</w:t>
      </w:r>
      <w:r w:rsidR="00FF725A">
        <w:rPr>
          <w:rFonts w:ascii="Arial" w:hAnsi="Arial" w:cs="Arial"/>
          <w:bCs/>
          <w:sz w:val="24"/>
          <w:szCs w:val="24"/>
          <w:lang w:val="en-GB"/>
        </w:rPr>
        <w:t>1</w:t>
      </w:r>
      <w:r>
        <w:rPr>
          <w:rFonts w:ascii="Arial" w:hAnsi="Arial" w:cs="Arial"/>
          <w:bCs/>
          <w:sz w:val="24"/>
          <w:szCs w:val="24"/>
          <w:lang w:val="en-GB"/>
        </w:rPr>
        <w:t xml:space="preserve">] It is indeed so, </w:t>
      </w:r>
      <w:r w:rsidR="001A7182">
        <w:rPr>
          <w:rFonts w:ascii="Arial" w:hAnsi="Arial" w:cs="Arial"/>
          <w:bCs/>
          <w:sz w:val="24"/>
          <w:szCs w:val="24"/>
          <w:lang w:val="en-GB"/>
        </w:rPr>
        <w:t>as the authorities indicate, that the applicant should not have to rely on the respondents</w:t>
      </w:r>
      <w:r w:rsidR="0036476C">
        <w:rPr>
          <w:rFonts w:ascii="Arial" w:hAnsi="Arial" w:cs="Arial"/>
          <w:bCs/>
          <w:sz w:val="24"/>
          <w:szCs w:val="24"/>
          <w:lang w:val="en-GB"/>
        </w:rPr>
        <w:t>’</w:t>
      </w:r>
      <w:r w:rsidR="001A7182">
        <w:rPr>
          <w:rFonts w:ascii="Arial" w:hAnsi="Arial" w:cs="Arial"/>
          <w:bCs/>
          <w:sz w:val="24"/>
          <w:szCs w:val="24"/>
          <w:lang w:val="en-GB"/>
        </w:rPr>
        <w:t xml:space="preserve"> bon</w:t>
      </w:r>
      <w:r w:rsidR="00DA7B9E">
        <w:rPr>
          <w:rFonts w:ascii="Arial" w:hAnsi="Arial" w:cs="Arial"/>
          <w:bCs/>
          <w:sz w:val="24"/>
          <w:szCs w:val="24"/>
          <w:lang w:val="en-GB"/>
        </w:rPr>
        <w:t>a</w:t>
      </w:r>
      <w:r w:rsidR="001A7182">
        <w:rPr>
          <w:rFonts w:ascii="Arial" w:hAnsi="Arial" w:cs="Arial"/>
          <w:bCs/>
          <w:sz w:val="24"/>
          <w:szCs w:val="24"/>
          <w:lang w:val="en-GB"/>
        </w:rPr>
        <w:t xml:space="preserve"> fides and as </w:t>
      </w:r>
      <w:r w:rsidR="00DA7B9E">
        <w:rPr>
          <w:rFonts w:ascii="Arial" w:hAnsi="Arial" w:cs="Arial"/>
          <w:bCs/>
          <w:sz w:val="24"/>
          <w:szCs w:val="24"/>
          <w:lang w:val="en-GB"/>
        </w:rPr>
        <w:t>the applicant put it</w:t>
      </w:r>
      <w:r w:rsidR="00CE4146">
        <w:rPr>
          <w:rFonts w:ascii="Arial" w:hAnsi="Arial" w:cs="Arial"/>
          <w:bCs/>
          <w:sz w:val="24"/>
          <w:szCs w:val="24"/>
          <w:lang w:val="en-GB"/>
        </w:rPr>
        <w:t>,</w:t>
      </w:r>
      <w:r w:rsidR="001A7182">
        <w:rPr>
          <w:rFonts w:ascii="Arial" w:hAnsi="Arial" w:cs="Arial"/>
          <w:bCs/>
          <w:sz w:val="24"/>
          <w:szCs w:val="24"/>
          <w:lang w:val="en-GB"/>
        </w:rPr>
        <w:t xml:space="preserve"> cross it</w:t>
      </w:r>
      <w:r w:rsidR="00DA7B9E">
        <w:rPr>
          <w:rFonts w:ascii="Arial" w:hAnsi="Arial" w:cs="Arial"/>
          <w:bCs/>
          <w:sz w:val="24"/>
          <w:szCs w:val="24"/>
          <w:lang w:val="en-GB"/>
        </w:rPr>
        <w:t>s</w:t>
      </w:r>
      <w:r w:rsidR="001A7182">
        <w:rPr>
          <w:rFonts w:ascii="Arial" w:hAnsi="Arial" w:cs="Arial"/>
          <w:bCs/>
          <w:sz w:val="24"/>
          <w:szCs w:val="24"/>
          <w:lang w:val="en-GB"/>
        </w:rPr>
        <w:t xml:space="preserve"> fingers hoping that they would act honourably or abide by their undertaking.  However, since the Eric</w:t>
      </w:r>
      <w:r w:rsidR="006D3B98">
        <w:rPr>
          <w:rFonts w:ascii="Arial" w:hAnsi="Arial" w:cs="Arial"/>
          <w:bCs/>
          <w:sz w:val="24"/>
          <w:szCs w:val="24"/>
          <w:lang w:val="en-GB"/>
        </w:rPr>
        <w:t>s</w:t>
      </w:r>
      <w:r w:rsidR="001A7182">
        <w:rPr>
          <w:rFonts w:ascii="Arial" w:hAnsi="Arial" w:cs="Arial"/>
          <w:bCs/>
          <w:sz w:val="24"/>
          <w:szCs w:val="24"/>
          <w:lang w:val="en-GB"/>
        </w:rPr>
        <w:t xml:space="preserve">son incident which is </w:t>
      </w:r>
      <w:r w:rsidR="00531DAC">
        <w:rPr>
          <w:rFonts w:ascii="Arial" w:hAnsi="Arial" w:cs="Arial"/>
          <w:bCs/>
          <w:sz w:val="24"/>
          <w:szCs w:val="24"/>
          <w:lang w:val="en-GB"/>
        </w:rPr>
        <w:t>the closest that the applicant has come up with any evidence of an alleged breach</w:t>
      </w:r>
      <w:r w:rsidR="006D3B98">
        <w:rPr>
          <w:rFonts w:ascii="Arial" w:hAnsi="Arial" w:cs="Arial"/>
          <w:bCs/>
          <w:sz w:val="24"/>
          <w:szCs w:val="24"/>
          <w:lang w:val="en-GB"/>
        </w:rPr>
        <w:t>,</w:t>
      </w:r>
      <w:r w:rsidR="00531DAC">
        <w:rPr>
          <w:rFonts w:ascii="Arial" w:hAnsi="Arial" w:cs="Arial"/>
          <w:bCs/>
          <w:sz w:val="24"/>
          <w:szCs w:val="24"/>
          <w:lang w:val="en-GB"/>
        </w:rPr>
        <w:t xml:space="preserve"> which remains disputed</w:t>
      </w:r>
      <w:r w:rsidR="00B166CD">
        <w:rPr>
          <w:rFonts w:ascii="Arial" w:hAnsi="Arial" w:cs="Arial"/>
          <w:bCs/>
          <w:sz w:val="24"/>
          <w:szCs w:val="24"/>
          <w:lang w:val="en-GB"/>
        </w:rPr>
        <w:t>,</w:t>
      </w:r>
      <w:r w:rsidR="00DA7B9E">
        <w:rPr>
          <w:rFonts w:ascii="Arial" w:hAnsi="Arial" w:cs="Arial"/>
          <w:bCs/>
          <w:sz w:val="24"/>
          <w:szCs w:val="24"/>
          <w:lang w:val="en-GB"/>
        </w:rPr>
        <w:t xml:space="preserve"> there is no evidence of the respondents having committed any breach</w:t>
      </w:r>
      <w:r w:rsidR="007D4982">
        <w:rPr>
          <w:rFonts w:ascii="Arial" w:hAnsi="Arial" w:cs="Arial"/>
          <w:bCs/>
          <w:sz w:val="24"/>
          <w:szCs w:val="24"/>
          <w:lang w:val="en-GB"/>
        </w:rPr>
        <w:t xml:space="preserve"> anywhere in the territory as defined</w:t>
      </w:r>
      <w:r w:rsidR="00531DAC">
        <w:rPr>
          <w:rFonts w:ascii="Arial" w:hAnsi="Arial" w:cs="Arial"/>
          <w:bCs/>
          <w:sz w:val="24"/>
          <w:szCs w:val="24"/>
          <w:lang w:val="en-GB"/>
        </w:rPr>
        <w:t xml:space="preserve">.  In the founding affidavit the applicant indicates that Mr Du Toit, on behalf of the respondents and Apex denied that those respondents acted in breach of the agreements.  The correspondence that the applicant is referring to is dated 7 April 2023.  This is in respect of </w:t>
      </w:r>
      <w:r w:rsidR="00CE4146">
        <w:rPr>
          <w:rFonts w:ascii="Arial" w:hAnsi="Arial" w:cs="Arial"/>
          <w:bCs/>
          <w:sz w:val="24"/>
          <w:szCs w:val="24"/>
          <w:lang w:val="en-GB"/>
        </w:rPr>
        <w:t xml:space="preserve">the </w:t>
      </w:r>
      <w:r w:rsidR="00531DAC">
        <w:rPr>
          <w:rFonts w:ascii="Arial" w:hAnsi="Arial" w:cs="Arial"/>
          <w:bCs/>
          <w:sz w:val="24"/>
          <w:szCs w:val="24"/>
          <w:lang w:val="en-GB"/>
        </w:rPr>
        <w:t xml:space="preserve">alleged </w:t>
      </w:r>
      <w:r w:rsidR="00E97876">
        <w:rPr>
          <w:rFonts w:ascii="Arial" w:hAnsi="Arial" w:cs="Arial"/>
          <w:bCs/>
          <w:sz w:val="24"/>
          <w:szCs w:val="24"/>
          <w:lang w:val="en-GB"/>
        </w:rPr>
        <w:t>Erics</w:t>
      </w:r>
      <w:r w:rsidR="00CE4146">
        <w:rPr>
          <w:rFonts w:ascii="Arial" w:hAnsi="Arial" w:cs="Arial"/>
          <w:bCs/>
          <w:sz w:val="24"/>
          <w:szCs w:val="24"/>
          <w:lang w:val="en-GB"/>
        </w:rPr>
        <w:t>s</w:t>
      </w:r>
      <w:r w:rsidR="00E97876">
        <w:rPr>
          <w:rFonts w:ascii="Arial" w:hAnsi="Arial" w:cs="Arial"/>
          <w:bCs/>
          <w:sz w:val="24"/>
          <w:szCs w:val="24"/>
          <w:lang w:val="en-GB"/>
        </w:rPr>
        <w:t xml:space="preserve">on </w:t>
      </w:r>
      <w:r w:rsidR="009A1DD5">
        <w:rPr>
          <w:rFonts w:ascii="Arial" w:hAnsi="Arial" w:cs="Arial"/>
          <w:bCs/>
          <w:sz w:val="24"/>
          <w:szCs w:val="24"/>
          <w:lang w:val="en-GB"/>
        </w:rPr>
        <w:t>solicitation that took place in March 2023.  Since then</w:t>
      </w:r>
      <w:r w:rsidR="00832AC9">
        <w:rPr>
          <w:rFonts w:ascii="Arial" w:hAnsi="Arial" w:cs="Arial"/>
          <w:bCs/>
          <w:sz w:val="24"/>
          <w:szCs w:val="24"/>
          <w:lang w:val="en-GB"/>
        </w:rPr>
        <w:t>,</w:t>
      </w:r>
      <w:r w:rsidR="009A1DD5">
        <w:rPr>
          <w:rFonts w:ascii="Arial" w:hAnsi="Arial" w:cs="Arial"/>
          <w:bCs/>
          <w:sz w:val="24"/>
          <w:szCs w:val="24"/>
          <w:lang w:val="en-GB"/>
        </w:rPr>
        <w:t xml:space="preserve"> until September 2023 when these proceed</w:t>
      </w:r>
      <w:r w:rsidR="00E97876">
        <w:rPr>
          <w:rFonts w:ascii="Arial" w:hAnsi="Arial" w:cs="Arial"/>
          <w:bCs/>
          <w:sz w:val="24"/>
          <w:szCs w:val="24"/>
          <w:lang w:val="en-GB"/>
        </w:rPr>
        <w:t>ing</w:t>
      </w:r>
      <w:r w:rsidR="009A1DD5">
        <w:rPr>
          <w:rFonts w:ascii="Arial" w:hAnsi="Arial" w:cs="Arial"/>
          <w:bCs/>
          <w:sz w:val="24"/>
          <w:szCs w:val="24"/>
          <w:lang w:val="en-GB"/>
        </w:rPr>
        <w:t xml:space="preserve"> were instituted nothing seems to have happened or been done </w:t>
      </w:r>
      <w:r w:rsidR="00E97876">
        <w:rPr>
          <w:rFonts w:ascii="Arial" w:hAnsi="Arial" w:cs="Arial"/>
          <w:bCs/>
          <w:sz w:val="24"/>
          <w:szCs w:val="24"/>
          <w:lang w:val="en-GB"/>
        </w:rPr>
        <w:t xml:space="preserve">by the </w:t>
      </w:r>
      <w:r w:rsidR="00E97876">
        <w:rPr>
          <w:rFonts w:ascii="Arial" w:hAnsi="Arial" w:cs="Arial"/>
          <w:bCs/>
          <w:sz w:val="24"/>
          <w:szCs w:val="24"/>
          <w:lang w:val="en-GB"/>
        </w:rPr>
        <w:lastRenderedPageBreak/>
        <w:t xml:space="preserve">applicant </w:t>
      </w:r>
      <w:r w:rsidR="009A1DD5">
        <w:rPr>
          <w:rFonts w:ascii="Arial" w:hAnsi="Arial" w:cs="Arial"/>
          <w:bCs/>
          <w:sz w:val="24"/>
          <w:szCs w:val="24"/>
          <w:lang w:val="en-GB"/>
        </w:rPr>
        <w:t xml:space="preserve">about that alleged solicitation </w:t>
      </w:r>
      <w:r w:rsidR="00E97876">
        <w:rPr>
          <w:rFonts w:ascii="Arial" w:hAnsi="Arial" w:cs="Arial"/>
          <w:bCs/>
          <w:sz w:val="24"/>
          <w:szCs w:val="24"/>
          <w:lang w:val="en-GB"/>
        </w:rPr>
        <w:t>of Erics</w:t>
      </w:r>
      <w:r w:rsidR="00CE4146">
        <w:rPr>
          <w:rFonts w:ascii="Arial" w:hAnsi="Arial" w:cs="Arial"/>
          <w:bCs/>
          <w:sz w:val="24"/>
          <w:szCs w:val="24"/>
          <w:lang w:val="en-GB"/>
        </w:rPr>
        <w:t>s</w:t>
      </w:r>
      <w:r w:rsidR="00E97876">
        <w:rPr>
          <w:rFonts w:ascii="Arial" w:hAnsi="Arial" w:cs="Arial"/>
          <w:bCs/>
          <w:sz w:val="24"/>
          <w:szCs w:val="24"/>
          <w:lang w:val="en-GB"/>
        </w:rPr>
        <w:t>on</w:t>
      </w:r>
      <w:r w:rsidR="009A1DD5">
        <w:rPr>
          <w:rFonts w:ascii="Arial" w:hAnsi="Arial" w:cs="Arial"/>
          <w:bCs/>
          <w:sz w:val="24"/>
          <w:szCs w:val="24"/>
          <w:lang w:val="en-GB"/>
        </w:rPr>
        <w:t>.  I take the view that the applicant must have chosen to rely on Mr Du Toit</w:t>
      </w:r>
      <w:r w:rsidR="00CE4146">
        <w:rPr>
          <w:rFonts w:ascii="Arial" w:hAnsi="Arial" w:cs="Arial"/>
          <w:bCs/>
          <w:sz w:val="24"/>
          <w:szCs w:val="24"/>
          <w:lang w:val="en-GB"/>
        </w:rPr>
        <w:t>’s</w:t>
      </w:r>
      <w:r w:rsidR="009A1DD5">
        <w:rPr>
          <w:rFonts w:ascii="Arial" w:hAnsi="Arial" w:cs="Arial"/>
          <w:bCs/>
          <w:sz w:val="24"/>
          <w:szCs w:val="24"/>
          <w:lang w:val="en-GB"/>
        </w:rPr>
        <w:t xml:space="preserve"> </w:t>
      </w:r>
      <w:r w:rsidR="00E256CA">
        <w:rPr>
          <w:rFonts w:ascii="Arial" w:hAnsi="Arial" w:cs="Arial"/>
          <w:bCs/>
          <w:sz w:val="24"/>
          <w:szCs w:val="24"/>
          <w:lang w:val="en-GB"/>
        </w:rPr>
        <w:t xml:space="preserve">undertaking in his </w:t>
      </w:r>
      <w:r w:rsidR="0036292F">
        <w:rPr>
          <w:rFonts w:ascii="Arial" w:hAnsi="Arial" w:cs="Arial"/>
          <w:bCs/>
          <w:sz w:val="24"/>
          <w:szCs w:val="24"/>
          <w:lang w:val="en-GB"/>
        </w:rPr>
        <w:t>correspondence</w:t>
      </w:r>
      <w:r w:rsidR="00E256CA">
        <w:rPr>
          <w:rFonts w:ascii="Arial" w:hAnsi="Arial" w:cs="Arial"/>
          <w:bCs/>
          <w:sz w:val="24"/>
          <w:szCs w:val="24"/>
          <w:lang w:val="en-GB"/>
        </w:rPr>
        <w:t xml:space="preserve"> </w:t>
      </w:r>
      <w:r w:rsidR="00CE4146">
        <w:rPr>
          <w:rFonts w:ascii="Arial" w:hAnsi="Arial" w:cs="Arial"/>
          <w:bCs/>
          <w:sz w:val="24"/>
          <w:szCs w:val="24"/>
          <w:lang w:val="en-GB"/>
        </w:rPr>
        <w:t xml:space="preserve">mentioned </w:t>
      </w:r>
      <w:r w:rsidR="00E91D37">
        <w:rPr>
          <w:rFonts w:ascii="Arial" w:hAnsi="Arial" w:cs="Arial"/>
          <w:bCs/>
          <w:sz w:val="24"/>
          <w:szCs w:val="24"/>
          <w:lang w:val="en-GB"/>
        </w:rPr>
        <w:t>earlier</w:t>
      </w:r>
      <w:r w:rsidR="00E256CA">
        <w:rPr>
          <w:rFonts w:ascii="Arial" w:hAnsi="Arial" w:cs="Arial"/>
          <w:bCs/>
          <w:sz w:val="24"/>
          <w:szCs w:val="24"/>
          <w:lang w:val="en-GB"/>
        </w:rPr>
        <w:t xml:space="preserve"> in which he, inter alia, said </w:t>
      </w:r>
      <w:r w:rsidR="00E97876" w:rsidRPr="00CE4146">
        <w:rPr>
          <w:rFonts w:ascii="Arial" w:hAnsi="Arial" w:cs="Arial"/>
          <w:bCs/>
          <w:i/>
          <w:iCs/>
          <w:sz w:val="24"/>
          <w:szCs w:val="24"/>
          <w:lang w:val="en-GB"/>
        </w:rPr>
        <w:t>“</w:t>
      </w:r>
      <w:r w:rsidR="00E256CA" w:rsidRPr="00CE4146">
        <w:rPr>
          <w:rFonts w:ascii="Arial" w:hAnsi="Arial" w:cs="Arial"/>
          <w:bCs/>
          <w:i/>
          <w:iCs/>
          <w:sz w:val="24"/>
          <w:szCs w:val="24"/>
          <w:lang w:val="en-GB"/>
        </w:rPr>
        <w:t>[a]t the outset, I must record that, subject to what I stated hereunder, I have and will continue to fulfil all of my obligations in terms of the sub-licence agreement</w:t>
      </w:r>
      <w:r w:rsidR="00E97876">
        <w:rPr>
          <w:rFonts w:ascii="Arial" w:hAnsi="Arial" w:cs="Arial"/>
          <w:bCs/>
          <w:sz w:val="24"/>
          <w:szCs w:val="24"/>
          <w:lang w:val="en-GB"/>
        </w:rPr>
        <w:t>”</w:t>
      </w:r>
      <w:r w:rsidR="00E256CA">
        <w:rPr>
          <w:rFonts w:ascii="Arial" w:hAnsi="Arial" w:cs="Arial"/>
          <w:bCs/>
          <w:sz w:val="24"/>
          <w:szCs w:val="24"/>
          <w:lang w:val="en-GB"/>
        </w:rPr>
        <w:t>.</w:t>
      </w:r>
    </w:p>
    <w:p w14:paraId="7BF5F95B" w14:textId="23CA65F0" w:rsidR="00E256CA" w:rsidRDefault="00E256CA"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3</w:t>
      </w:r>
      <w:r w:rsidR="002B3631">
        <w:rPr>
          <w:rFonts w:ascii="Arial" w:hAnsi="Arial" w:cs="Arial"/>
          <w:bCs/>
          <w:sz w:val="24"/>
          <w:szCs w:val="24"/>
          <w:lang w:val="en-GB"/>
        </w:rPr>
        <w:t>2</w:t>
      </w:r>
      <w:r>
        <w:rPr>
          <w:rFonts w:ascii="Arial" w:hAnsi="Arial" w:cs="Arial"/>
          <w:bCs/>
          <w:sz w:val="24"/>
          <w:szCs w:val="24"/>
          <w:lang w:val="en-GB"/>
        </w:rPr>
        <w:t>] There is</w:t>
      </w:r>
      <w:r w:rsidR="00A232D9">
        <w:rPr>
          <w:rFonts w:ascii="Arial" w:hAnsi="Arial" w:cs="Arial"/>
          <w:bCs/>
          <w:sz w:val="24"/>
          <w:szCs w:val="24"/>
          <w:lang w:val="en-GB"/>
        </w:rPr>
        <w:t xml:space="preserve"> a</w:t>
      </w:r>
      <w:r>
        <w:rPr>
          <w:rFonts w:ascii="Arial" w:hAnsi="Arial" w:cs="Arial"/>
          <w:bCs/>
          <w:sz w:val="24"/>
          <w:szCs w:val="24"/>
          <w:lang w:val="en-GB"/>
        </w:rPr>
        <w:t xml:space="preserve"> </w:t>
      </w:r>
      <w:r w:rsidR="00CE4146">
        <w:rPr>
          <w:rFonts w:ascii="Arial" w:hAnsi="Arial" w:cs="Arial"/>
          <w:bCs/>
          <w:sz w:val="24"/>
          <w:szCs w:val="24"/>
          <w:lang w:val="en-GB"/>
        </w:rPr>
        <w:t xml:space="preserve">surprisingly </w:t>
      </w:r>
      <w:r>
        <w:rPr>
          <w:rFonts w:ascii="Arial" w:hAnsi="Arial" w:cs="Arial"/>
          <w:bCs/>
          <w:sz w:val="24"/>
          <w:szCs w:val="24"/>
          <w:lang w:val="en-GB"/>
        </w:rPr>
        <w:t>pa</w:t>
      </w:r>
      <w:r w:rsidR="00E97876">
        <w:rPr>
          <w:rFonts w:ascii="Arial" w:hAnsi="Arial" w:cs="Arial"/>
          <w:bCs/>
          <w:sz w:val="24"/>
          <w:szCs w:val="24"/>
          <w:lang w:val="en-GB"/>
        </w:rPr>
        <w:t>u</w:t>
      </w:r>
      <w:r>
        <w:rPr>
          <w:rFonts w:ascii="Arial" w:hAnsi="Arial" w:cs="Arial"/>
          <w:bCs/>
          <w:sz w:val="24"/>
          <w:szCs w:val="24"/>
          <w:lang w:val="en-GB"/>
        </w:rPr>
        <w:t>city of information</w:t>
      </w:r>
      <w:r w:rsidR="004B75EF">
        <w:rPr>
          <w:rFonts w:ascii="Arial" w:hAnsi="Arial" w:cs="Arial"/>
          <w:bCs/>
          <w:sz w:val="24"/>
          <w:szCs w:val="24"/>
          <w:lang w:val="en-GB"/>
        </w:rPr>
        <w:t xml:space="preserve"> </w:t>
      </w:r>
      <w:r w:rsidR="00394836">
        <w:rPr>
          <w:rFonts w:ascii="Arial" w:hAnsi="Arial" w:cs="Arial"/>
          <w:bCs/>
          <w:sz w:val="24"/>
          <w:szCs w:val="24"/>
          <w:lang w:val="en-GB"/>
        </w:rPr>
        <w:t>o</w:t>
      </w:r>
      <w:r w:rsidR="004B75EF">
        <w:rPr>
          <w:rFonts w:ascii="Arial" w:hAnsi="Arial" w:cs="Arial"/>
          <w:bCs/>
          <w:sz w:val="24"/>
          <w:szCs w:val="24"/>
          <w:lang w:val="en-GB"/>
        </w:rPr>
        <w:t>r</w:t>
      </w:r>
      <w:r w:rsidR="00CE4146">
        <w:rPr>
          <w:rFonts w:ascii="Arial" w:hAnsi="Arial" w:cs="Arial"/>
          <w:bCs/>
          <w:sz w:val="24"/>
          <w:szCs w:val="24"/>
          <w:lang w:val="en-GB"/>
        </w:rPr>
        <w:t xml:space="preserve"> details </w:t>
      </w:r>
      <w:r>
        <w:rPr>
          <w:rFonts w:ascii="Arial" w:hAnsi="Arial" w:cs="Arial"/>
          <w:bCs/>
          <w:sz w:val="24"/>
          <w:szCs w:val="24"/>
          <w:lang w:val="en-GB"/>
        </w:rPr>
        <w:t>about the Eric</w:t>
      </w:r>
      <w:r w:rsidR="00CE4146">
        <w:rPr>
          <w:rFonts w:ascii="Arial" w:hAnsi="Arial" w:cs="Arial"/>
          <w:bCs/>
          <w:sz w:val="24"/>
          <w:szCs w:val="24"/>
          <w:lang w:val="en-GB"/>
        </w:rPr>
        <w:t>s</w:t>
      </w:r>
      <w:r>
        <w:rPr>
          <w:rFonts w:ascii="Arial" w:hAnsi="Arial" w:cs="Arial"/>
          <w:bCs/>
          <w:sz w:val="24"/>
          <w:szCs w:val="24"/>
          <w:lang w:val="en-GB"/>
        </w:rPr>
        <w:t>son incident.  Just at the most elementary level, there is not even an affidavit from the applicant’s</w:t>
      </w:r>
      <w:r w:rsidR="00CE4146">
        <w:rPr>
          <w:rFonts w:ascii="Arial" w:hAnsi="Arial" w:cs="Arial"/>
          <w:bCs/>
          <w:sz w:val="24"/>
          <w:szCs w:val="24"/>
          <w:lang w:val="en-GB"/>
        </w:rPr>
        <w:t xml:space="preserve"> or its sub-lincencee’s</w:t>
      </w:r>
      <w:r>
        <w:rPr>
          <w:rFonts w:ascii="Arial" w:hAnsi="Arial" w:cs="Arial"/>
          <w:bCs/>
          <w:sz w:val="24"/>
          <w:szCs w:val="24"/>
          <w:lang w:val="en-GB"/>
        </w:rPr>
        <w:t xml:space="preserve"> employee to whom the attempted solicitation was directed.  There is no evidence of any form of direct communication or even conversations that that employee had with Kim Lockem who is alleged to </w:t>
      </w:r>
      <w:r w:rsidR="00E97876">
        <w:rPr>
          <w:rFonts w:ascii="Arial" w:hAnsi="Arial" w:cs="Arial"/>
          <w:bCs/>
          <w:sz w:val="24"/>
          <w:szCs w:val="24"/>
          <w:lang w:val="en-GB"/>
        </w:rPr>
        <w:t xml:space="preserve">have </w:t>
      </w:r>
      <w:r>
        <w:rPr>
          <w:rFonts w:ascii="Arial" w:hAnsi="Arial" w:cs="Arial"/>
          <w:bCs/>
          <w:sz w:val="24"/>
          <w:szCs w:val="24"/>
          <w:lang w:val="en-GB"/>
        </w:rPr>
        <w:t>utilized Apex to compete with the applicant.  This is important because the onus is squarely on the applicant to prove the alleged breach of the restraint provision</w:t>
      </w:r>
      <w:r w:rsidR="00CE4146">
        <w:rPr>
          <w:rFonts w:ascii="Arial" w:hAnsi="Arial" w:cs="Arial"/>
          <w:bCs/>
          <w:sz w:val="24"/>
          <w:szCs w:val="24"/>
          <w:lang w:val="en-GB"/>
        </w:rPr>
        <w:t>s</w:t>
      </w:r>
      <w:r w:rsidR="009F4570">
        <w:rPr>
          <w:rFonts w:ascii="Arial" w:hAnsi="Arial" w:cs="Arial"/>
          <w:bCs/>
          <w:sz w:val="24"/>
          <w:szCs w:val="24"/>
          <w:lang w:val="en-GB"/>
        </w:rPr>
        <w:t xml:space="preserve">, or at the very least, the attempt </w:t>
      </w:r>
      <w:r w:rsidR="007F692D">
        <w:rPr>
          <w:rFonts w:ascii="Arial" w:hAnsi="Arial" w:cs="Arial"/>
          <w:bCs/>
          <w:sz w:val="24"/>
          <w:szCs w:val="24"/>
          <w:lang w:val="en-GB"/>
        </w:rPr>
        <w:t>to do so. Even the appl</w:t>
      </w:r>
      <w:r w:rsidR="00D77679">
        <w:rPr>
          <w:rFonts w:ascii="Arial" w:hAnsi="Arial" w:cs="Arial"/>
          <w:bCs/>
          <w:sz w:val="24"/>
          <w:szCs w:val="24"/>
          <w:lang w:val="en-GB"/>
        </w:rPr>
        <w:t>icant</w:t>
      </w:r>
      <w:r w:rsidR="00BB6AA8">
        <w:rPr>
          <w:rFonts w:ascii="Arial" w:hAnsi="Arial" w:cs="Arial"/>
          <w:bCs/>
          <w:sz w:val="24"/>
          <w:szCs w:val="24"/>
          <w:lang w:val="en-GB"/>
        </w:rPr>
        <w:t>’s</w:t>
      </w:r>
      <w:r w:rsidR="00D77679">
        <w:rPr>
          <w:rFonts w:ascii="Arial" w:hAnsi="Arial" w:cs="Arial"/>
          <w:bCs/>
          <w:sz w:val="24"/>
          <w:szCs w:val="24"/>
          <w:lang w:val="en-GB"/>
        </w:rPr>
        <w:t xml:space="preserve"> as own affi</w:t>
      </w:r>
      <w:r w:rsidR="00702E23">
        <w:rPr>
          <w:rFonts w:ascii="Arial" w:hAnsi="Arial" w:cs="Arial"/>
          <w:bCs/>
          <w:sz w:val="24"/>
          <w:szCs w:val="24"/>
          <w:lang w:val="en-GB"/>
        </w:rPr>
        <w:t xml:space="preserve">davit </w:t>
      </w:r>
      <w:r w:rsidR="006F055B">
        <w:rPr>
          <w:rFonts w:ascii="Arial" w:hAnsi="Arial" w:cs="Arial"/>
          <w:bCs/>
          <w:sz w:val="24"/>
          <w:szCs w:val="24"/>
          <w:lang w:val="en-GB"/>
        </w:rPr>
        <w:t xml:space="preserve">is sketchy </w:t>
      </w:r>
      <w:r w:rsidR="00603DA9">
        <w:rPr>
          <w:rFonts w:ascii="Arial" w:hAnsi="Arial" w:cs="Arial"/>
          <w:bCs/>
          <w:sz w:val="24"/>
          <w:szCs w:val="24"/>
          <w:lang w:val="en-GB"/>
        </w:rPr>
        <w:t xml:space="preserve">and annexes </w:t>
      </w:r>
      <w:r w:rsidR="008B6AF5">
        <w:rPr>
          <w:rFonts w:ascii="Arial" w:hAnsi="Arial" w:cs="Arial"/>
          <w:bCs/>
          <w:sz w:val="24"/>
          <w:szCs w:val="24"/>
          <w:lang w:val="en-GB"/>
        </w:rPr>
        <w:t>email c</w:t>
      </w:r>
      <w:r w:rsidR="00E44322">
        <w:rPr>
          <w:rFonts w:ascii="Arial" w:hAnsi="Arial" w:cs="Arial"/>
          <w:bCs/>
          <w:sz w:val="24"/>
          <w:szCs w:val="24"/>
          <w:lang w:val="en-GB"/>
        </w:rPr>
        <w:t>hains</w:t>
      </w:r>
      <w:r w:rsidR="008B6AF5">
        <w:rPr>
          <w:rFonts w:ascii="Arial" w:hAnsi="Arial" w:cs="Arial"/>
          <w:bCs/>
          <w:sz w:val="24"/>
          <w:szCs w:val="24"/>
          <w:lang w:val="en-GB"/>
        </w:rPr>
        <w:t xml:space="preserve"> with no specific direct re</w:t>
      </w:r>
      <w:r w:rsidR="00063E33">
        <w:rPr>
          <w:rFonts w:ascii="Arial" w:hAnsi="Arial" w:cs="Arial"/>
          <w:bCs/>
          <w:sz w:val="24"/>
          <w:szCs w:val="24"/>
          <w:lang w:val="en-GB"/>
        </w:rPr>
        <w:t>fere</w:t>
      </w:r>
      <w:r w:rsidR="008B6AF5">
        <w:rPr>
          <w:rFonts w:ascii="Arial" w:hAnsi="Arial" w:cs="Arial"/>
          <w:bCs/>
          <w:sz w:val="24"/>
          <w:szCs w:val="24"/>
          <w:lang w:val="en-GB"/>
        </w:rPr>
        <w:t>nce to th</w:t>
      </w:r>
      <w:r w:rsidR="00D5025A">
        <w:rPr>
          <w:rFonts w:ascii="Arial" w:hAnsi="Arial" w:cs="Arial"/>
          <w:bCs/>
          <w:sz w:val="24"/>
          <w:szCs w:val="24"/>
          <w:lang w:val="en-GB"/>
        </w:rPr>
        <w:t xml:space="preserve">e offending </w:t>
      </w:r>
      <w:r w:rsidR="00A7125A">
        <w:rPr>
          <w:rFonts w:ascii="Arial" w:hAnsi="Arial" w:cs="Arial"/>
          <w:bCs/>
          <w:sz w:val="24"/>
          <w:szCs w:val="24"/>
          <w:lang w:val="en-GB"/>
        </w:rPr>
        <w:t xml:space="preserve">part of the </w:t>
      </w:r>
      <w:r w:rsidR="00D5025A">
        <w:rPr>
          <w:rFonts w:ascii="Arial" w:hAnsi="Arial" w:cs="Arial"/>
          <w:bCs/>
          <w:sz w:val="24"/>
          <w:szCs w:val="24"/>
          <w:lang w:val="en-GB"/>
        </w:rPr>
        <w:t>email</w:t>
      </w:r>
      <w:r w:rsidR="00FF6F49">
        <w:rPr>
          <w:rFonts w:ascii="Arial" w:hAnsi="Arial" w:cs="Arial"/>
          <w:bCs/>
          <w:sz w:val="24"/>
          <w:szCs w:val="24"/>
          <w:lang w:val="en-GB"/>
        </w:rPr>
        <w:t xml:space="preserve"> c</w:t>
      </w:r>
      <w:r w:rsidR="004D080C">
        <w:rPr>
          <w:rFonts w:ascii="Arial" w:hAnsi="Arial" w:cs="Arial"/>
          <w:bCs/>
          <w:sz w:val="24"/>
          <w:szCs w:val="24"/>
          <w:lang w:val="en-GB"/>
        </w:rPr>
        <w:t>hain.</w:t>
      </w:r>
    </w:p>
    <w:p w14:paraId="27787D3E" w14:textId="77777777" w:rsidR="00BC5290" w:rsidRDefault="00E256CA" w:rsidP="000A1C49">
      <w:pPr>
        <w:spacing w:line="480" w:lineRule="auto"/>
        <w:jc w:val="both"/>
        <w:rPr>
          <w:rFonts w:ascii="Arial" w:hAnsi="Arial" w:cs="Arial"/>
          <w:bCs/>
          <w:sz w:val="24"/>
          <w:szCs w:val="24"/>
          <w:lang w:val="en-GB"/>
        </w:rPr>
      </w:pPr>
      <w:r>
        <w:rPr>
          <w:rFonts w:ascii="Arial" w:hAnsi="Arial" w:cs="Arial"/>
          <w:bCs/>
          <w:sz w:val="24"/>
          <w:szCs w:val="24"/>
          <w:lang w:val="en-GB"/>
        </w:rPr>
        <w:t>[3</w:t>
      </w:r>
      <w:r w:rsidR="000F377E">
        <w:rPr>
          <w:rFonts w:ascii="Arial" w:hAnsi="Arial" w:cs="Arial"/>
          <w:bCs/>
          <w:sz w:val="24"/>
          <w:szCs w:val="24"/>
          <w:lang w:val="en-GB"/>
        </w:rPr>
        <w:t>3</w:t>
      </w:r>
      <w:r>
        <w:rPr>
          <w:rFonts w:ascii="Arial" w:hAnsi="Arial" w:cs="Arial"/>
          <w:bCs/>
          <w:sz w:val="24"/>
          <w:szCs w:val="24"/>
          <w:lang w:val="en-GB"/>
        </w:rPr>
        <w:t>] There are many other points raised</w:t>
      </w:r>
      <w:r w:rsidR="00A9762E">
        <w:rPr>
          <w:rFonts w:ascii="Arial" w:hAnsi="Arial" w:cs="Arial"/>
          <w:bCs/>
          <w:sz w:val="24"/>
          <w:szCs w:val="24"/>
          <w:lang w:val="en-GB"/>
        </w:rPr>
        <w:t xml:space="preserve"> b</w:t>
      </w:r>
      <w:r w:rsidR="00810E57">
        <w:rPr>
          <w:rFonts w:ascii="Arial" w:hAnsi="Arial" w:cs="Arial"/>
          <w:bCs/>
          <w:sz w:val="24"/>
          <w:szCs w:val="24"/>
          <w:lang w:val="en-GB"/>
        </w:rPr>
        <w:t>y</w:t>
      </w:r>
      <w:r w:rsidR="00A9762E">
        <w:rPr>
          <w:rFonts w:ascii="Arial" w:hAnsi="Arial" w:cs="Arial"/>
          <w:bCs/>
          <w:sz w:val="24"/>
          <w:szCs w:val="24"/>
          <w:lang w:val="en-GB"/>
        </w:rPr>
        <w:t xml:space="preserve"> the </w:t>
      </w:r>
      <w:r w:rsidR="00810E57">
        <w:rPr>
          <w:rFonts w:ascii="Arial" w:hAnsi="Arial" w:cs="Arial"/>
          <w:bCs/>
          <w:sz w:val="24"/>
          <w:szCs w:val="24"/>
          <w:lang w:val="en-GB"/>
        </w:rPr>
        <w:t>respondent</w:t>
      </w:r>
      <w:r>
        <w:rPr>
          <w:rFonts w:ascii="Arial" w:hAnsi="Arial" w:cs="Arial"/>
          <w:bCs/>
          <w:sz w:val="24"/>
          <w:szCs w:val="24"/>
          <w:lang w:val="en-GB"/>
        </w:rPr>
        <w:t>.</w:t>
      </w:r>
      <w:r w:rsidR="00FF262E">
        <w:rPr>
          <w:rFonts w:ascii="Arial" w:hAnsi="Arial" w:cs="Arial"/>
          <w:bCs/>
          <w:sz w:val="24"/>
          <w:szCs w:val="24"/>
          <w:lang w:val="en-GB"/>
        </w:rPr>
        <w:t xml:space="preserve"> However</w:t>
      </w:r>
      <w:r w:rsidR="008D3B21">
        <w:rPr>
          <w:rFonts w:ascii="Arial" w:hAnsi="Arial" w:cs="Arial"/>
          <w:bCs/>
          <w:sz w:val="24"/>
          <w:szCs w:val="24"/>
          <w:lang w:val="en-GB"/>
        </w:rPr>
        <w:t>,</w:t>
      </w:r>
      <w:r w:rsidR="00FF262E">
        <w:rPr>
          <w:rFonts w:ascii="Arial" w:hAnsi="Arial" w:cs="Arial"/>
          <w:bCs/>
          <w:sz w:val="24"/>
          <w:szCs w:val="24"/>
          <w:lang w:val="en-GB"/>
        </w:rPr>
        <w:t xml:space="preserve"> t</w:t>
      </w:r>
      <w:r>
        <w:rPr>
          <w:rFonts w:ascii="Arial" w:hAnsi="Arial" w:cs="Arial"/>
          <w:bCs/>
          <w:sz w:val="24"/>
          <w:szCs w:val="24"/>
          <w:lang w:val="en-GB"/>
        </w:rPr>
        <w:t xml:space="preserve">he approach I have adopted is the one that assumes, without concluding, that </w:t>
      </w:r>
      <w:r w:rsidR="00CE4146">
        <w:rPr>
          <w:rFonts w:ascii="Arial" w:hAnsi="Arial" w:cs="Arial"/>
          <w:bCs/>
          <w:sz w:val="24"/>
          <w:szCs w:val="24"/>
          <w:lang w:val="en-GB"/>
        </w:rPr>
        <w:t xml:space="preserve">even if </w:t>
      </w:r>
      <w:r>
        <w:rPr>
          <w:rFonts w:ascii="Arial" w:hAnsi="Arial" w:cs="Arial"/>
          <w:bCs/>
          <w:sz w:val="24"/>
          <w:szCs w:val="24"/>
          <w:lang w:val="en-GB"/>
        </w:rPr>
        <w:t xml:space="preserve">there </w:t>
      </w:r>
      <w:r w:rsidR="00CE4146">
        <w:rPr>
          <w:rFonts w:ascii="Arial" w:hAnsi="Arial" w:cs="Arial"/>
          <w:bCs/>
          <w:sz w:val="24"/>
          <w:szCs w:val="24"/>
          <w:lang w:val="en-GB"/>
        </w:rPr>
        <w:t>may have been</w:t>
      </w:r>
      <w:r>
        <w:rPr>
          <w:rFonts w:ascii="Arial" w:hAnsi="Arial" w:cs="Arial"/>
          <w:bCs/>
          <w:sz w:val="24"/>
          <w:szCs w:val="24"/>
          <w:lang w:val="en-GB"/>
        </w:rPr>
        <w:t xml:space="preserve"> confidential information</w:t>
      </w:r>
      <w:r w:rsidR="00235891">
        <w:rPr>
          <w:rFonts w:ascii="Arial" w:hAnsi="Arial" w:cs="Arial"/>
          <w:bCs/>
          <w:sz w:val="24"/>
          <w:szCs w:val="24"/>
          <w:lang w:val="en-GB"/>
        </w:rPr>
        <w:t xml:space="preserve"> that th</w:t>
      </w:r>
      <w:r w:rsidR="006719FB">
        <w:rPr>
          <w:rFonts w:ascii="Arial" w:hAnsi="Arial" w:cs="Arial"/>
          <w:bCs/>
          <w:sz w:val="24"/>
          <w:szCs w:val="24"/>
          <w:lang w:val="en-GB"/>
        </w:rPr>
        <w:t>e</w:t>
      </w:r>
      <w:r w:rsidR="00235891">
        <w:rPr>
          <w:rFonts w:ascii="Arial" w:hAnsi="Arial" w:cs="Arial"/>
          <w:bCs/>
          <w:sz w:val="24"/>
          <w:szCs w:val="24"/>
          <w:lang w:val="en-GB"/>
        </w:rPr>
        <w:t xml:space="preserve"> applicant needed to protect hence the invocation of the restraint </w:t>
      </w:r>
      <w:r w:rsidR="00506263">
        <w:rPr>
          <w:rFonts w:ascii="Arial" w:hAnsi="Arial" w:cs="Arial"/>
          <w:bCs/>
          <w:sz w:val="24"/>
          <w:szCs w:val="24"/>
          <w:lang w:val="en-GB"/>
        </w:rPr>
        <w:t>provisions</w:t>
      </w:r>
      <w:r w:rsidR="00CE4146">
        <w:rPr>
          <w:rFonts w:ascii="Arial" w:hAnsi="Arial" w:cs="Arial"/>
          <w:bCs/>
          <w:sz w:val="24"/>
          <w:szCs w:val="24"/>
          <w:lang w:val="en-GB"/>
        </w:rPr>
        <w:t>, the fundamentals of that evidence are</w:t>
      </w:r>
      <w:r w:rsidR="007804D7">
        <w:rPr>
          <w:rFonts w:ascii="Arial" w:hAnsi="Arial" w:cs="Arial"/>
          <w:bCs/>
          <w:sz w:val="24"/>
          <w:szCs w:val="24"/>
          <w:lang w:val="en-GB"/>
        </w:rPr>
        <w:t xml:space="preserve"> sorely</w:t>
      </w:r>
      <w:r w:rsidR="00CE4146">
        <w:rPr>
          <w:rFonts w:ascii="Arial" w:hAnsi="Arial" w:cs="Arial"/>
          <w:bCs/>
          <w:sz w:val="24"/>
          <w:szCs w:val="24"/>
          <w:lang w:val="en-GB"/>
        </w:rPr>
        <w:t xml:space="preserve"> lacking</w:t>
      </w:r>
      <w:r w:rsidR="00235891">
        <w:rPr>
          <w:rFonts w:ascii="Arial" w:hAnsi="Arial" w:cs="Arial"/>
          <w:bCs/>
          <w:sz w:val="24"/>
          <w:szCs w:val="24"/>
          <w:lang w:val="en-GB"/>
        </w:rPr>
        <w:t xml:space="preserve">.  </w:t>
      </w:r>
      <w:r w:rsidR="00CE4146">
        <w:rPr>
          <w:rFonts w:ascii="Arial" w:hAnsi="Arial" w:cs="Arial"/>
          <w:bCs/>
          <w:sz w:val="24"/>
          <w:szCs w:val="24"/>
          <w:lang w:val="en-GB"/>
        </w:rPr>
        <w:t>T</w:t>
      </w:r>
      <w:r w:rsidR="00235891">
        <w:rPr>
          <w:rFonts w:ascii="Arial" w:hAnsi="Arial" w:cs="Arial"/>
          <w:bCs/>
          <w:sz w:val="24"/>
          <w:szCs w:val="24"/>
          <w:lang w:val="en-GB"/>
        </w:rPr>
        <w:t xml:space="preserve">he approach adopted by the applicant </w:t>
      </w:r>
      <w:r w:rsidR="0088337B">
        <w:rPr>
          <w:rFonts w:ascii="Arial" w:hAnsi="Arial" w:cs="Arial"/>
          <w:bCs/>
          <w:sz w:val="24"/>
          <w:szCs w:val="24"/>
          <w:lang w:val="en-GB"/>
        </w:rPr>
        <w:t>seem</w:t>
      </w:r>
      <w:r w:rsidR="00067FD1">
        <w:rPr>
          <w:rFonts w:ascii="Arial" w:hAnsi="Arial" w:cs="Arial"/>
          <w:bCs/>
          <w:sz w:val="24"/>
          <w:szCs w:val="24"/>
          <w:lang w:val="en-GB"/>
        </w:rPr>
        <w:t>s</w:t>
      </w:r>
      <w:r w:rsidR="0088337B">
        <w:rPr>
          <w:rFonts w:ascii="Arial" w:hAnsi="Arial" w:cs="Arial"/>
          <w:bCs/>
          <w:sz w:val="24"/>
          <w:szCs w:val="24"/>
          <w:lang w:val="en-GB"/>
        </w:rPr>
        <w:t xml:space="preserve"> to</w:t>
      </w:r>
      <w:r w:rsidR="00235891">
        <w:rPr>
          <w:rFonts w:ascii="Arial" w:hAnsi="Arial" w:cs="Arial"/>
          <w:bCs/>
          <w:sz w:val="24"/>
          <w:szCs w:val="24"/>
          <w:lang w:val="en-GB"/>
        </w:rPr>
        <w:t xml:space="preserve"> </w:t>
      </w:r>
      <w:r w:rsidR="006F5A10">
        <w:rPr>
          <w:rFonts w:ascii="Arial" w:hAnsi="Arial" w:cs="Arial"/>
          <w:bCs/>
          <w:sz w:val="24"/>
          <w:szCs w:val="24"/>
          <w:lang w:val="en-GB"/>
        </w:rPr>
        <w:t xml:space="preserve">be </w:t>
      </w:r>
      <w:r w:rsidR="00235891">
        <w:rPr>
          <w:rFonts w:ascii="Arial" w:hAnsi="Arial" w:cs="Arial"/>
          <w:bCs/>
          <w:sz w:val="24"/>
          <w:szCs w:val="24"/>
          <w:lang w:val="en-GB"/>
        </w:rPr>
        <w:t>that of not doing much to give evidence of the nature of this information</w:t>
      </w:r>
      <w:r w:rsidR="00CE4146">
        <w:rPr>
          <w:rFonts w:ascii="Arial" w:hAnsi="Arial" w:cs="Arial"/>
          <w:bCs/>
          <w:sz w:val="24"/>
          <w:szCs w:val="24"/>
          <w:lang w:val="en-GB"/>
        </w:rPr>
        <w:t>, trade secrets or customer connections</w:t>
      </w:r>
      <w:r w:rsidR="00235891">
        <w:rPr>
          <w:rFonts w:ascii="Arial" w:hAnsi="Arial" w:cs="Arial"/>
          <w:bCs/>
          <w:sz w:val="24"/>
          <w:szCs w:val="24"/>
          <w:lang w:val="en-GB"/>
        </w:rPr>
        <w:t xml:space="preserve"> and how it came to be that the respondents received</w:t>
      </w:r>
      <w:r w:rsidR="000544C0">
        <w:rPr>
          <w:rFonts w:ascii="Arial" w:hAnsi="Arial" w:cs="Arial"/>
          <w:bCs/>
          <w:sz w:val="24"/>
          <w:szCs w:val="24"/>
          <w:lang w:val="en-GB"/>
        </w:rPr>
        <w:t xml:space="preserve"> it</w:t>
      </w:r>
      <w:r w:rsidR="006C2AE4">
        <w:rPr>
          <w:rFonts w:ascii="Arial" w:hAnsi="Arial" w:cs="Arial"/>
          <w:bCs/>
          <w:sz w:val="24"/>
          <w:szCs w:val="24"/>
          <w:lang w:val="en-GB"/>
        </w:rPr>
        <w:t xml:space="preserve"> and how </w:t>
      </w:r>
      <w:r w:rsidR="007F604D">
        <w:rPr>
          <w:rFonts w:ascii="Arial" w:hAnsi="Arial" w:cs="Arial"/>
          <w:bCs/>
          <w:sz w:val="24"/>
          <w:szCs w:val="24"/>
          <w:lang w:val="en-GB"/>
        </w:rPr>
        <w:t>the</w:t>
      </w:r>
      <w:r w:rsidR="008B4611">
        <w:rPr>
          <w:rFonts w:ascii="Arial" w:hAnsi="Arial" w:cs="Arial"/>
          <w:bCs/>
          <w:sz w:val="24"/>
          <w:szCs w:val="24"/>
          <w:lang w:val="en-GB"/>
        </w:rPr>
        <w:t>y</w:t>
      </w:r>
      <w:r w:rsidR="007F604D">
        <w:rPr>
          <w:rFonts w:ascii="Arial" w:hAnsi="Arial" w:cs="Arial"/>
          <w:bCs/>
          <w:sz w:val="24"/>
          <w:szCs w:val="24"/>
          <w:lang w:val="en-GB"/>
        </w:rPr>
        <w:t xml:space="preserve"> attempted to use it or how the</w:t>
      </w:r>
      <w:r w:rsidR="00476D75">
        <w:rPr>
          <w:rFonts w:ascii="Arial" w:hAnsi="Arial" w:cs="Arial"/>
          <w:bCs/>
          <w:sz w:val="24"/>
          <w:szCs w:val="24"/>
          <w:lang w:val="en-GB"/>
        </w:rPr>
        <w:t>y</w:t>
      </w:r>
      <w:r w:rsidR="007F604D">
        <w:rPr>
          <w:rFonts w:ascii="Arial" w:hAnsi="Arial" w:cs="Arial"/>
          <w:bCs/>
          <w:sz w:val="24"/>
          <w:szCs w:val="24"/>
          <w:lang w:val="en-GB"/>
        </w:rPr>
        <w:t xml:space="preserve"> in fact </w:t>
      </w:r>
      <w:r w:rsidR="001C1DE0">
        <w:rPr>
          <w:rFonts w:ascii="Arial" w:hAnsi="Arial" w:cs="Arial"/>
          <w:bCs/>
          <w:sz w:val="24"/>
          <w:szCs w:val="24"/>
          <w:lang w:val="en-GB"/>
        </w:rPr>
        <w:t>used it.</w:t>
      </w:r>
      <w:r w:rsidR="00556C57">
        <w:rPr>
          <w:rFonts w:ascii="Arial" w:hAnsi="Arial" w:cs="Arial"/>
          <w:bCs/>
          <w:sz w:val="24"/>
          <w:szCs w:val="24"/>
          <w:lang w:val="en-GB"/>
        </w:rPr>
        <w:t xml:space="preserve"> In those circumstances it is </w:t>
      </w:r>
      <w:r w:rsidR="005E7D4B">
        <w:rPr>
          <w:rFonts w:ascii="Arial" w:hAnsi="Arial" w:cs="Arial"/>
          <w:bCs/>
          <w:sz w:val="24"/>
          <w:szCs w:val="24"/>
          <w:lang w:val="en-GB"/>
        </w:rPr>
        <w:t>difficult to understand how the respondents</w:t>
      </w:r>
      <w:r w:rsidR="00B95650">
        <w:rPr>
          <w:rFonts w:ascii="Arial" w:hAnsi="Arial" w:cs="Arial"/>
          <w:bCs/>
          <w:sz w:val="24"/>
          <w:szCs w:val="24"/>
          <w:lang w:val="en-GB"/>
        </w:rPr>
        <w:t xml:space="preserve"> use</w:t>
      </w:r>
      <w:r w:rsidR="006556CA">
        <w:rPr>
          <w:rFonts w:ascii="Arial" w:hAnsi="Arial" w:cs="Arial"/>
          <w:bCs/>
          <w:sz w:val="24"/>
          <w:szCs w:val="24"/>
          <w:lang w:val="en-GB"/>
        </w:rPr>
        <w:t>d</w:t>
      </w:r>
      <w:r w:rsidR="00B95650">
        <w:rPr>
          <w:rFonts w:ascii="Arial" w:hAnsi="Arial" w:cs="Arial"/>
          <w:bCs/>
          <w:sz w:val="24"/>
          <w:szCs w:val="24"/>
          <w:lang w:val="en-GB"/>
        </w:rPr>
        <w:t xml:space="preserve"> the said information assuming </w:t>
      </w:r>
      <w:r w:rsidR="008142D7">
        <w:rPr>
          <w:rFonts w:ascii="Arial" w:hAnsi="Arial" w:cs="Arial"/>
          <w:bCs/>
          <w:sz w:val="24"/>
          <w:szCs w:val="24"/>
          <w:lang w:val="en-GB"/>
        </w:rPr>
        <w:t>that they have it.</w:t>
      </w:r>
      <w:r w:rsidR="00235891">
        <w:rPr>
          <w:rFonts w:ascii="Arial" w:hAnsi="Arial" w:cs="Arial"/>
          <w:bCs/>
          <w:sz w:val="24"/>
          <w:szCs w:val="24"/>
          <w:lang w:val="en-GB"/>
        </w:rPr>
        <w:t xml:space="preserve"> The applicant sought to rely</w:t>
      </w:r>
      <w:r w:rsidR="003C76A1">
        <w:rPr>
          <w:rFonts w:ascii="Arial" w:hAnsi="Arial" w:cs="Arial"/>
          <w:bCs/>
          <w:sz w:val="24"/>
          <w:szCs w:val="24"/>
          <w:lang w:val="en-GB"/>
        </w:rPr>
        <w:t xml:space="preserve"> largely</w:t>
      </w:r>
      <w:r w:rsidR="00235891">
        <w:rPr>
          <w:rFonts w:ascii="Arial" w:hAnsi="Arial" w:cs="Arial"/>
          <w:bCs/>
          <w:sz w:val="24"/>
          <w:szCs w:val="24"/>
          <w:lang w:val="en-GB"/>
        </w:rPr>
        <w:t xml:space="preserve"> on the restraint </w:t>
      </w:r>
      <w:r w:rsidR="00235891">
        <w:rPr>
          <w:rFonts w:ascii="Arial" w:hAnsi="Arial" w:cs="Arial"/>
          <w:bCs/>
          <w:sz w:val="24"/>
          <w:szCs w:val="24"/>
          <w:lang w:val="en-GB"/>
        </w:rPr>
        <w:lastRenderedPageBreak/>
        <w:t>clauses as if in and of themselves are a proof of anything alleged</w:t>
      </w:r>
      <w:r w:rsidR="00E23F6C">
        <w:rPr>
          <w:rFonts w:ascii="Arial" w:hAnsi="Arial" w:cs="Arial"/>
          <w:bCs/>
          <w:sz w:val="24"/>
          <w:szCs w:val="24"/>
          <w:lang w:val="en-GB"/>
        </w:rPr>
        <w:t xml:space="preserve"> just</w:t>
      </w:r>
      <w:r w:rsidR="000544C0">
        <w:rPr>
          <w:rFonts w:ascii="Arial" w:hAnsi="Arial" w:cs="Arial"/>
          <w:bCs/>
          <w:sz w:val="24"/>
          <w:szCs w:val="24"/>
          <w:lang w:val="en-GB"/>
        </w:rPr>
        <w:t xml:space="preserve"> by their sheer existence</w:t>
      </w:r>
      <w:r w:rsidR="00235891">
        <w:rPr>
          <w:rFonts w:ascii="Arial" w:hAnsi="Arial" w:cs="Arial"/>
          <w:bCs/>
          <w:sz w:val="24"/>
          <w:szCs w:val="24"/>
          <w:lang w:val="en-GB"/>
        </w:rPr>
        <w:t>.</w:t>
      </w:r>
      <w:r w:rsidR="000544C0">
        <w:rPr>
          <w:rFonts w:ascii="Arial" w:hAnsi="Arial" w:cs="Arial"/>
          <w:bCs/>
          <w:sz w:val="24"/>
          <w:szCs w:val="24"/>
          <w:lang w:val="en-GB"/>
        </w:rPr>
        <w:t xml:space="preserve">  </w:t>
      </w:r>
    </w:p>
    <w:p w14:paraId="270F671C" w14:textId="2F1D8961" w:rsidR="000544C0" w:rsidRDefault="00DF37F6" w:rsidP="000A1C49">
      <w:pPr>
        <w:spacing w:line="480" w:lineRule="auto"/>
        <w:jc w:val="both"/>
        <w:rPr>
          <w:rFonts w:ascii="Arial" w:hAnsi="Arial" w:cs="Arial"/>
          <w:bCs/>
          <w:sz w:val="24"/>
          <w:szCs w:val="24"/>
          <w:lang w:val="en-GB"/>
        </w:rPr>
      </w:pPr>
      <w:r>
        <w:rPr>
          <w:rFonts w:ascii="Arial" w:hAnsi="Arial" w:cs="Arial"/>
          <w:bCs/>
          <w:sz w:val="24"/>
          <w:szCs w:val="24"/>
          <w:lang w:val="en-GB"/>
        </w:rPr>
        <w:t>[34] In</w:t>
      </w:r>
      <w:r w:rsidR="00235891">
        <w:rPr>
          <w:rFonts w:ascii="Arial" w:hAnsi="Arial" w:cs="Arial"/>
          <w:bCs/>
          <w:sz w:val="24"/>
          <w:szCs w:val="24"/>
          <w:lang w:val="en-GB"/>
        </w:rPr>
        <w:t xml:space="preserve"> any even</w:t>
      </w:r>
      <w:r w:rsidR="00A47917">
        <w:rPr>
          <w:rFonts w:ascii="Arial" w:hAnsi="Arial" w:cs="Arial"/>
          <w:bCs/>
          <w:sz w:val="24"/>
          <w:szCs w:val="24"/>
          <w:lang w:val="en-GB"/>
        </w:rPr>
        <w:t>t</w:t>
      </w:r>
      <w:r w:rsidR="00235891">
        <w:rPr>
          <w:rFonts w:ascii="Arial" w:hAnsi="Arial" w:cs="Arial"/>
          <w:bCs/>
          <w:sz w:val="24"/>
          <w:szCs w:val="24"/>
          <w:lang w:val="en-GB"/>
        </w:rPr>
        <w:t xml:space="preserve"> other than the Erics</w:t>
      </w:r>
      <w:r w:rsidR="00080F94">
        <w:rPr>
          <w:rFonts w:ascii="Arial" w:hAnsi="Arial" w:cs="Arial"/>
          <w:bCs/>
          <w:sz w:val="24"/>
          <w:szCs w:val="24"/>
          <w:lang w:val="en-GB"/>
        </w:rPr>
        <w:t>s</w:t>
      </w:r>
      <w:r w:rsidR="00235891">
        <w:rPr>
          <w:rFonts w:ascii="Arial" w:hAnsi="Arial" w:cs="Arial"/>
          <w:bCs/>
          <w:sz w:val="24"/>
          <w:szCs w:val="24"/>
          <w:lang w:val="en-GB"/>
        </w:rPr>
        <w:t>on incident</w:t>
      </w:r>
      <w:r w:rsidR="00080F94">
        <w:rPr>
          <w:rFonts w:ascii="Arial" w:hAnsi="Arial" w:cs="Arial"/>
          <w:bCs/>
          <w:sz w:val="24"/>
          <w:szCs w:val="24"/>
          <w:lang w:val="en-GB"/>
        </w:rPr>
        <w:t>,</w:t>
      </w:r>
      <w:r w:rsidR="00235891">
        <w:rPr>
          <w:rFonts w:ascii="Arial" w:hAnsi="Arial" w:cs="Arial"/>
          <w:bCs/>
          <w:sz w:val="24"/>
          <w:szCs w:val="24"/>
          <w:lang w:val="en-GB"/>
        </w:rPr>
        <w:t xml:space="preserve"> there is no evidence of any conduct on the </w:t>
      </w:r>
      <w:r w:rsidR="00080F94">
        <w:rPr>
          <w:rFonts w:ascii="Arial" w:hAnsi="Arial" w:cs="Arial"/>
          <w:bCs/>
          <w:sz w:val="24"/>
          <w:szCs w:val="24"/>
          <w:lang w:val="en-GB"/>
        </w:rPr>
        <w:t>part</w:t>
      </w:r>
      <w:r w:rsidR="00235891">
        <w:rPr>
          <w:rFonts w:ascii="Arial" w:hAnsi="Arial" w:cs="Arial"/>
          <w:bCs/>
          <w:sz w:val="24"/>
          <w:szCs w:val="24"/>
          <w:lang w:val="en-GB"/>
        </w:rPr>
        <w:t xml:space="preserve"> of any </w:t>
      </w:r>
      <w:r w:rsidR="001D3242">
        <w:rPr>
          <w:rFonts w:ascii="Arial" w:hAnsi="Arial" w:cs="Arial"/>
          <w:bCs/>
          <w:sz w:val="24"/>
          <w:szCs w:val="24"/>
          <w:lang w:val="en-GB"/>
        </w:rPr>
        <w:t xml:space="preserve">of </w:t>
      </w:r>
      <w:r w:rsidR="00235891">
        <w:rPr>
          <w:rFonts w:ascii="Arial" w:hAnsi="Arial" w:cs="Arial"/>
          <w:bCs/>
          <w:sz w:val="24"/>
          <w:szCs w:val="24"/>
          <w:lang w:val="en-GB"/>
        </w:rPr>
        <w:t xml:space="preserve">the respondents after that </w:t>
      </w:r>
      <w:r w:rsidR="00080F94">
        <w:rPr>
          <w:rFonts w:ascii="Arial" w:hAnsi="Arial" w:cs="Arial"/>
          <w:bCs/>
          <w:sz w:val="24"/>
          <w:szCs w:val="24"/>
          <w:lang w:val="en-GB"/>
        </w:rPr>
        <w:t xml:space="preserve">incident </w:t>
      </w:r>
      <w:r w:rsidR="00235891">
        <w:rPr>
          <w:rFonts w:ascii="Arial" w:hAnsi="Arial" w:cs="Arial"/>
          <w:bCs/>
          <w:sz w:val="24"/>
          <w:szCs w:val="24"/>
          <w:lang w:val="en-GB"/>
        </w:rPr>
        <w:t>which suggest</w:t>
      </w:r>
      <w:r w:rsidR="00080F94">
        <w:rPr>
          <w:rFonts w:ascii="Arial" w:hAnsi="Arial" w:cs="Arial"/>
          <w:bCs/>
          <w:sz w:val="24"/>
          <w:szCs w:val="24"/>
          <w:lang w:val="en-GB"/>
        </w:rPr>
        <w:t>s</w:t>
      </w:r>
      <w:r w:rsidR="004C1B78">
        <w:rPr>
          <w:rFonts w:ascii="Arial" w:hAnsi="Arial" w:cs="Arial"/>
          <w:bCs/>
          <w:sz w:val="24"/>
          <w:szCs w:val="24"/>
          <w:lang w:val="en-GB"/>
        </w:rPr>
        <w:t>,</w:t>
      </w:r>
      <w:r w:rsidR="00235891">
        <w:rPr>
          <w:rFonts w:ascii="Arial" w:hAnsi="Arial" w:cs="Arial"/>
          <w:bCs/>
          <w:sz w:val="24"/>
          <w:szCs w:val="24"/>
          <w:lang w:val="en-GB"/>
        </w:rPr>
        <w:t xml:space="preserve"> even remotely</w:t>
      </w:r>
      <w:r w:rsidR="004C1B78">
        <w:rPr>
          <w:rFonts w:ascii="Arial" w:hAnsi="Arial" w:cs="Arial"/>
          <w:bCs/>
          <w:sz w:val="24"/>
          <w:szCs w:val="24"/>
          <w:lang w:val="en-GB"/>
        </w:rPr>
        <w:t>,</w:t>
      </w:r>
      <w:r w:rsidR="00235891">
        <w:rPr>
          <w:rFonts w:ascii="Arial" w:hAnsi="Arial" w:cs="Arial"/>
          <w:bCs/>
          <w:sz w:val="24"/>
          <w:szCs w:val="24"/>
          <w:lang w:val="en-GB"/>
        </w:rPr>
        <w:t xml:space="preserve"> that the respondents could breach the restraint </w:t>
      </w:r>
      <w:r w:rsidR="00614936">
        <w:rPr>
          <w:rFonts w:ascii="Arial" w:hAnsi="Arial" w:cs="Arial"/>
          <w:bCs/>
          <w:sz w:val="24"/>
          <w:szCs w:val="24"/>
          <w:lang w:val="en-GB"/>
        </w:rPr>
        <w:t>provisions</w:t>
      </w:r>
      <w:r w:rsidR="00235891">
        <w:rPr>
          <w:rFonts w:ascii="Arial" w:hAnsi="Arial" w:cs="Arial"/>
          <w:bCs/>
          <w:sz w:val="24"/>
          <w:szCs w:val="24"/>
          <w:lang w:val="en-GB"/>
        </w:rPr>
        <w:t xml:space="preserve">.  </w:t>
      </w:r>
      <w:r w:rsidR="00080F94">
        <w:rPr>
          <w:rFonts w:ascii="Arial" w:hAnsi="Arial" w:cs="Arial"/>
          <w:bCs/>
          <w:sz w:val="24"/>
          <w:szCs w:val="24"/>
          <w:lang w:val="en-GB"/>
        </w:rPr>
        <w:t>The Ericsson incident having been dealt with in April</w:t>
      </w:r>
      <w:r w:rsidR="003F40BD">
        <w:rPr>
          <w:rFonts w:ascii="Arial" w:hAnsi="Arial" w:cs="Arial"/>
          <w:bCs/>
          <w:sz w:val="24"/>
          <w:szCs w:val="24"/>
          <w:lang w:val="en-GB"/>
        </w:rPr>
        <w:t xml:space="preserve"> 2023</w:t>
      </w:r>
      <w:r w:rsidR="00080F94">
        <w:rPr>
          <w:rFonts w:ascii="Arial" w:hAnsi="Arial" w:cs="Arial"/>
          <w:bCs/>
          <w:sz w:val="24"/>
          <w:szCs w:val="24"/>
          <w:lang w:val="en-GB"/>
        </w:rPr>
        <w:t xml:space="preserve"> through written correspondence between the applicant and Mr </w:t>
      </w:r>
      <w:r w:rsidR="004C1B78">
        <w:rPr>
          <w:rFonts w:ascii="Arial" w:hAnsi="Arial" w:cs="Arial"/>
          <w:bCs/>
          <w:sz w:val="24"/>
          <w:szCs w:val="24"/>
          <w:lang w:val="en-GB"/>
        </w:rPr>
        <w:t>D</w:t>
      </w:r>
      <w:r w:rsidR="00080F94">
        <w:rPr>
          <w:rFonts w:ascii="Arial" w:hAnsi="Arial" w:cs="Arial"/>
          <w:bCs/>
          <w:sz w:val="24"/>
          <w:szCs w:val="24"/>
          <w:lang w:val="en-GB"/>
        </w:rPr>
        <w:t>u Toit</w:t>
      </w:r>
      <w:r w:rsidR="0096132B">
        <w:rPr>
          <w:rFonts w:ascii="Arial" w:hAnsi="Arial" w:cs="Arial"/>
          <w:bCs/>
          <w:sz w:val="24"/>
          <w:szCs w:val="24"/>
          <w:lang w:val="en-GB"/>
        </w:rPr>
        <w:t xml:space="preserve"> and appearing to have been resolved</w:t>
      </w:r>
      <w:r w:rsidR="00F72096">
        <w:rPr>
          <w:rFonts w:ascii="Arial" w:hAnsi="Arial" w:cs="Arial"/>
          <w:bCs/>
          <w:sz w:val="24"/>
          <w:szCs w:val="24"/>
          <w:lang w:val="en-GB"/>
        </w:rPr>
        <w:t xml:space="preserve"> from the applicant’s own conduct thereafter</w:t>
      </w:r>
      <w:r w:rsidR="00E41954">
        <w:rPr>
          <w:rFonts w:ascii="Arial" w:hAnsi="Arial" w:cs="Arial"/>
          <w:bCs/>
          <w:sz w:val="24"/>
          <w:szCs w:val="24"/>
          <w:lang w:val="en-GB"/>
        </w:rPr>
        <w:t xml:space="preserve">, I </w:t>
      </w:r>
      <w:r w:rsidR="003231D8">
        <w:rPr>
          <w:rFonts w:ascii="Arial" w:hAnsi="Arial" w:cs="Arial"/>
          <w:bCs/>
          <w:sz w:val="24"/>
          <w:szCs w:val="24"/>
          <w:lang w:val="en-GB"/>
        </w:rPr>
        <w:t xml:space="preserve">have </w:t>
      </w:r>
      <w:r w:rsidR="00C75BFF">
        <w:rPr>
          <w:rFonts w:ascii="Arial" w:hAnsi="Arial" w:cs="Arial"/>
          <w:bCs/>
          <w:sz w:val="24"/>
          <w:szCs w:val="24"/>
          <w:lang w:val="en-GB"/>
        </w:rPr>
        <w:t>serious</w:t>
      </w:r>
      <w:r w:rsidR="003231D8">
        <w:rPr>
          <w:rFonts w:ascii="Arial" w:hAnsi="Arial" w:cs="Arial"/>
          <w:bCs/>
          <w:sz w:val="24"/>
          <w:szCs w:val="24"/>
          <w:lang w:val="en-GB"/>
        </w:rPr>
        <w:t xml:space="preserve"> reservations about </w:t>
      </w:r>
      <w:r w:rsidR="00BA741F">
        <w:rPr>
          <w:rFonts w:ascii="Arial" w:hAnsi="Arial" w:cs="Arial"/>
          <w:bCs/>
          <w:sz w:val="24"/>
          <w:szCs w:val="24"/>
          <w:lang w:val="en-GB"/>
        </w:rPr>
        <w:t xml:space="preserve">the manner it is now </w:t>
      </w:r>
      <w:r w:rsidR="00D43C32">
        <w:rPr>
          <w:rFonts w:ascii="Arial" w:hAnsi="Arial" w:cs="Arial"/>
          <w:bCs/>
          <w:sz w:val="24"/>
          <w:szCs w:val="24"/>
          <w:lang w:val="en-GB"/>
        </w:rPr>
        <w:t>being</w:t>
      </w:r>
      <w:r w:rsidR="00FD3D5C">
        <w:rPr>
          <w:rFonts w:ascii="Arial" w:hAnsi="Arial" w:cs="Arial"/>
          <w:bCs/>
          <w:sz w:val="24"/>
          <w:szCs w:val="24"/>
          <w:lang w:val="en-GB"/>
        </w:rPr>
        <w:t xml:space="preserve"> used in the</w:t>
      </w:r>
      <w:r w:rsidR="00C75BFF">
        <w:rPr>
          <w:rFonts w:ascii="Arial" w:hAnsi="Arial" w:cs="Arial"/>
          <w:bCs/>
          <w:sz w:val="24"/>
          <w:szCs w:val="24"/>
          <w:lang w:val="en-GB"/>
        </w:rPr>
        <w:t>se</w:t>
      </w:r>
      <w:r w:rsidR="00FD3D5C">
        <w:rPr>
          <w:rFonts w:ascii="Arial" w:hAnsi="Arial" w:cs="Arial"/>
          <w:bCs/>
          <w:sz w:val="24"/>
          <w:szCs w:val="24"/>
          <w:lang w:val="en-GB"/>
        </w:rPr>
        <w:t xml:space="preserve"> proceedings.</w:t>
      </w:r>
    </w:p>
    <w:p w14:paraId="55AFDDDA" w14:textId="4C8268FF" w:rsidR="004F032E" w:rsidRDefault="000544C0" w:rsidP="000A1C49">
      <w:pPr>
        <w:spacing w:line="480" w:lineRule="auto"/>
        <w:jc w:val="both"/>
        <w:rPr>
          <w:rFonts w:ascii="Arial" w:hAnsi="Arial" w:cs="Arial"/>
          <w:bCs/>
          <w:sz w:val="24"/>
          <w:szCs w:val="24"/>
          <w:lang w:val="en-GB"/>
        </w:rPr>
      </w:pPr>
      <w:r>
        <w:rPr>
          <w:rFonts w:ascii="Arial" w:hAnsi="Arial" w:cs="Arial"/>
          <w:bCs/>
          <w:sz w:val="24"/>
          <w:szCs w:val="24"/>
          <w:lang w:val="en-GB"/>
        </w:rPr>
        <w:t>[3</w:t>
      </w:r>
      <w:r w:rsidR="00DF37F6">
        <w:rPr>
          <w:rFonts w:ascii="Arial" w:hAnsi="Arial" w:cs="Arial"/>
          <w:bCs/>
          <w:sz w:val="24"/>
          <w:szCs w:val="24"/>
          <w:lang w:val="en-GB"/>
        </w:rPr>
        <w:t>5</w:t>
      </w:r>
      <w:r>
        <w:rPr>
          <w:rFonts w:ascii="Arial" w:hAnsi="Arial" w:cs="Arial"/>
          <w:bCs/>
          <w:sz w:val="24"/>
          <w:szCs w:val="24"/>
          <w:lang w:val="en-GB"/>
        </w:rPr>
        <w:t>] T</w:t>
      </w:r>
      <w:r w:rsidR="00235891">
        <w:rPr>
          <w:rFonts w:ascii="Arial" w:hAnsi="Arial" w:cs="Arial"/>
          <w:bCs/>
          <w:sz w:val="24"/>
          <w:szCs w:val="24"/>
          <w:lang w:val="en-GB"/>
        </w:rPr>
        <w:t>he only other incident after Erics</w:t>
      </w:r>
      <w:r w:rsidR="00080F94">
        <w:rPr>
          <w:rFonts w:ascii="Arial" w:hAnsi="Arial" w:cs="Arial"/>
          <w:bCs/>
          <w:sz w:val="24"/>
          <w:szCs w:val="24"/>
          <w:lang w:val="en-GB"/>
        </w:rPr>
        <w:t>s</w:t>
      </w:r>
      <w:r w:rsidR="00235891">
        <w:rPr>
          <w:rFonts w:ascii="Arial" w:hAnsi="Arial" w:cs="Arial"/>
          <w:bCs/>
          <w:sz w:val="24"/>
          <w:szCs w:val="24"/>
          <w:lang w:val="en-GB"/>
        </w:rPr>
        <w:t>on</w:t>
      </w:r>
      <w:r>
        <w:rPr>
          <w:rFonts w:ascii="Arial" w:hAnsi="Arial" w:cs="Arial"/>
          <w:bCs/>
          <w:sz w:val="24"/>
          <w:szCs w:val="24"/>
          <w:lang w:val="en-GB"/>
        </w:rPr>
        <w:t>’s</w:t>
      </w:r>
      <w:r w:rsidR="00235891">
        <w:rPr>
          <w:rFonts w:ascii="Arial" w:hAnsi="Arial" w:cs="Arial"/>
          <w:bCs/>
          <w:sz w:val="24"/>
          <w:szCs w:val="24"/>
          <w:lang w:val="en-GB"/>
        </w:rPr>
        <w:t xml:space="preserve"> is the so called Landbank incident which happened in August</w:t>
      </w:r>
      <w:r>
        <w:rPr>
          <w:rFonts w:ascii="Arial" w:hAnsi="Arial" w:cs="Arial"/>
          <w:bCs/>
          <w:sz w:val="24"/>
          <w:szCs w:val="24"/>
          <w:lang w:val="en-GB"/>
        </w:rPr>
        <w:t xml:space="preserve"> 2023</w:t>
      </w:r>
      <w:r w:rsidR="00235891">
        <w:rPr>
          <w:rFonts w:ascii="Arial" w:hAnsi="Arial" w:cs="Arial"/>
          <w:bCs/>
          <w:sz w:val="24"/>
          <w:szCs w:val="24"/>
          <w:lang w:val="en-GB"/>
        </w:rPr>
        <w:t xml:space="preserve">.  In </w:t>
      </w:r>
      <w:r w:rsidR="00080F94">
        <w:rPr>
          <w:rFonts w:ascii="Arial" w:hAnsi="Arial" w:cs="Arial"/>
          <w:bCs/>
          <w:sz w:val="24"/>
          <w:szCs w:val="24"/>
          <w:lang w:val="en-GB"/>
        </w:rPr>
        <w:t xml:space="preserve">respect of </w:t>
      </w:r>
      <w:r w:rsidR="00235891">
        <w:rPr>
          <w:rFonts w:ascii="Arial" w:hAnsi="Arial" w:cs="Arial"/>
          <w:bCs/>
          <w:sz w:val="24"/>
          <w:szCs w:val="24"/>
          <w:lang w:val="en-GB"/>
        </w:rPr>
        <w:t>the Landbank inciden</w:t>
      </w:r>
      <w:r w:rsidR="00080F94">
        <w:rPr>
          <w:rFonts w:ascii="Arial" w:hAnsi="Arial" w:cs="Arial"/>
          <w:bCs/>
          <w:sz w:val="24"/>
          <w:szCs w:val="24"/>
          <w:lang w:val="en-GB"/>
        </w:rPr>
        <w:t>t, the respondents and Apex say that</w:t>
      </w:r>
      <w:r w:rsidR="00235891">
        <w:rPr>
          <w:rFonts w:ascii="Arial" w:hAnsi="Arial" w:cs="Arial"/>
          <w:bCs/>
          <w:sz w:val="24"/>
          <w:szCs w:val="24"/>
          <w:lang w:val="en-GB"/>
        </w:rPr>
        <w:t xml:space="preserve"> a franchisee of Apex called Apex </w:t>
      </w:r>
      <w:r w:rsidR="00F40E68">
        <w:rPr>
          <w:rFonts w:ascii="Arial" w:hAnsi="Arial" w:cs="Arial"/>
          <w:bCs/>
          <w:sz w:val="24"/>
          <w:szCs w:val="24"/>
          <w:lang w:val="en-GB"/>
        </w:rPr>
        <w:t>V</w:t>
      </w:r>
      <w:r w:rsidR="00235891">
        <w:rPr>
          <w:rFonts w:ascii="Arial" w:hAnsi="Arial" w:cs="Arial"/>
          <w:bCs/>
          <w:sz w:val="24"/>
          <w:szCs w:val="24"/>
          <w:lang w:val="en-GB"/>
        </w:rPr>
        <w:t xml:space="preserve">ehicle </w:t>
      </w:r>
      <w:r w:rsidR="00F40E68">
        <w:rPr>
          <w:rFonts w:ascii="Arial" w:hAnsi="Arial" w:cs="Arial"/>
          <w:bCs/>
          <w:sz w:val="24"/>
          <w:szCs w:val="24"/>
          <w:lang w:val="en-GB"/>
        </w:rPr>
        <w:t>Rental</w:t>
      </w:r>
      <w:r w:rsidR="003649B4">
        <w:rPr>
          <w:rFonts w:ascii="Arial" w:hAnsi="Arial" w:cs="Arial"/>
          <w:bCs/>
          <w:sz w:val="24"/>
          <w:szCs w:val="24"/>
          <w:lang w:val="en-GB"/>
        </w:rPr>
        <w:t xml:space="preserve"> Coastal (</w:t>
      </w:r>
      <w:r w:rsidR="008946B8">
        <w:rPr>
          <w:rFonts w:ascii="Arial" w:hAnsi="Arial" w:cs="Arial"/>
          <w:bCs/>
          <w:sz w:val="24"/>
          <w:szCs w:val="24"/>
          <w:lang w:val="en-GB"/>
        </w:rPr>
        <w:t>Pty)</w:t>
      </w:r>
      <w:r w:rsidR="00235891">
        <w:rPr>
          <w:rFonts w:ascii="Arial" w:hAnsi="Arial" w:cs="Arial"/>
          <w:bCs/>
          <w:sz w:val="24"/>
          <w:szCs w:val="24"/>
          <w:lang w:val="en-GB"/>
        </w:rPr>
        <w:t xml:space="preserve"> </w:t>
      </w:r>
      <w:r w:rsidR="009A51B0">
        <w:rPr>
          <w:rFonts w:ascii="Arial" w:hAnsi="Arial" w:cs="Arial"/>
          <w:bCs/>
          <w:sz w:val="24"/>
          <w:szCs w:val="24"/>
          <w:lang w:val="en-GB"/>
        </w:rPr>
        <w:t>Ltd</w:t>
      </w:r>
      <w:r w:rsidR="007E495F">
        <w:rPr>
          <w:rFonts w:ascii="Arial" w:hAnsi="Arial" w:cs="Arial"/>
          <w:bCs/>
          <w:sz w:val="24"/>
          <w:szCs w:val="24"/>
          <w:lang w:val="en-GB"/>
        </w:rPr>
        <w:t xml:space="preserve"> </w:t>
      </w:r>
      <w:r w:rsidR="00B0181E">
        <w:rPr>
          <w:rFonts w:ascii="Arial" w:hAnsi="Arial" w:cs="Arial"/>
          <w:bCs/>
          <w:sz w:val="24"/>
          <w:szCs w:val="24"/>
          <w:lang w:val="en-GB"/>
        </w:rPr>
        <w:t xml:space="preserve">whose </w:t>
      </w:r>
      <w:r w:rsidR="00CA43F8">
        <w:rPr>
          <w:rFonts w:ascii="Arial" w:hAnsi="Arial" w:cs="Arial"/>
          <w:bCs/>
          <w:sz w:val="24"/>
          <w:szCs w:val="24"/>
          <w:lang w:val="en-GB"/>
        </w:rPr>
        <w:t>existence</w:t>
      </w:r>
      <w:r w:rsidR="00B0181E">
        <w:rPr>
          <w:rFonts w:ascii="Arial" w:hAnsi="Arial" w:cs="Arial"/>
          <w:bCs/>
          <w:sz w:val="24"/>
          <w:szCs w:val="24"/>
          <w:lang w:val="en-GB"/>
        </w:rPr>
        <w:t xml:space="preserve"> the applicant </w:t>
      </w:r>
      <w:r w:rsidR="00817BC8">
        <w:rPr>
          <w:rFonts w:ascii="Arial" w:hAnsi="Arial" w:cs="Arial"/>
          <w:bCs/>
          <w:sz w:val="24"/>
          <w:szCs w:val="24"/>
          <w:lang w:val="en-GB"/>
        </w:rPr>
        <w:t>was always aware of</w:t>
      </w:r>
      <w:r w:rsidR="000A6737">
        <w:rPr>
          <w:rFonts w:ascii="Arial" w:hAnsi="Arial" w:cs="Arial"/>
          <w:bCs/>
          <w:sz w:val="24"/>
          <w:szCs w:val="24"/>
          <w:lang w:val="en-GB"/>
        </w:rPr>
        <w:t>,</w:t>
      </w:r>
      <w:r w:rsidR="009A51B0">
        <w:rPr>
          <w:rFonts w:ascii="Arial" w:hAnsi="Arial" w:cs="Arial"/>
          <w:bCs/>
          <w:sz w:val="24"/>
          <w:szCs w:val="24"/>
          <w:lang w:val="en-GB"/>
        </w:rPr>
        <w:t xml:space="preserve"> </w:t>
      </w:r>
      <w:r w:rsidR="00235891">
        <w:rPr>
          <w:rFonts w:ascii="Arial" w:hAnsi="Arial" w:cs="Arial"/>
          <w:bCs/>
          <w:sz w:val="24"/>
          <w:szCs w:val="24"/>
          <w:lang w:val="en-GB"/>
        </w:rPr>
        <w:t xml:space="preserve">did what is </w:t>
      </w:r>
      <w:r w:rsidR="00F40E68">
        <w:rPr>
          <w:rFonts w:ascii="Arial" w:hAnsi="Arial" w:cs="Arial"/>
          <w:bCs/>
          <w:sz w:val="24"/>
          <w:szCs w:val="24"/>
          <w:lang w:val="en-GB"/>
        </w:rPr>
        <w:t>alleged</w:t>
      </w:r>
      <w:r w:rsidR="00235891">
        <w:rPr>
          <w:rFonts w:ascii="Arial" w:hAnsi="Arial" w:cs="Arial"/>
          <w:bCs/>
          <w:sz w:val="24"/>
          <w:szCs w:val="24"/>
          <w:lang w:val="en-GB"/>
        </w:rPr>
        <w:t xml:space="preserve"> to be solicitation</w:t>
      </w:r>
      <w:r w:rsidR="00F40E68">
        <w:rPr>
          <w:rFonts w:ascii="Arial" w:hAnsi="Arial" w:cs="Arial"/>
          <w:bCs/>
          <w:sz w:val="24"/>
          <w:szCs w:val="24"/>
          <w:lang w:val="en-GB"/>
        </w:rPr>
        <w:t xml:space="preserve"> by Apex</w:t>
      </w:r>
      <w:r w:rsidR="00080F94">
        <w:rPr>
          <w:rFonts w:ascii="Arial" w:hAnsi="Arial" w:cs="Arial"/>
          <w:bCs/>
          <w:sz w:val="24"/>
          <w:szCs w:val="24"/>
          <w:lang w:val="en-GB"/>
        </w:rPr>
        <w:t xml:space="preserve"> Vehicle Rental (Pty) Ltd</w:t>
      </w:r>
      <w:r w:rsidR="007322F2">
        <w:rPr>
          <w:rFonts w:ascii="Arial" w:hAnsi="Arial" w:cs="Arial"/>
          <w:bCs/>
          <w:sz w:val="24"/>
          <w:szCs w:val="24"/>
          <w:lang w:val="en-GB"/>
        </w:rPr>
        <w:t xml:space="preserve"> which is the </w:t>
      </w:r>
      <w:r w:rsidR="000C7AC5">
        <w:rPr>
          <w:rFonts w:ascii="Arial" w:hAnsi="Arial" w:cs="Arial"/>
          <w:bCs/>
          <w:sz w:val="24"/>
          <w:szCs w:val="24"/>
          <w:lang w:val="en-GB"/>
        </w:rPr>
        <w:t xml:space="preserve">fourth </w:t>
      </w:r>
      <w:r w:rsidR="00094104">
        <w:rPr>
          <w:rFonts w:ascii="Arial" w:hAnsi="Arial" w:cs="Arial"/>
          <w:bCs/>
          <w:sz w:val="24"/>
          <w:szCs w:val="24"/>
          <w:lang w:val="en-GB"/>
        </w:rPr>
        <w:t>respondent herein</w:t>
      </w:r>
      <w:r w:rsidR="00235891">
        <w:rPr>
          <w:rFonts w:ascii="Arial" w:hAnsi="Arial" w:cs="Arial"/>
          <w:bCs/>
          <w:sz w:val="24"/>
          <w:szCs w:val="24"/>
          <w:lang w:val="en-GB"/>
        </w:rPr>
        <w:t>.  I do not think that I need to make a finding</w:t>
      </w:r>
      <w:r w:rsidR="00E80AC1">
        <w:rPr>
          <w:rFonts w:ascii="Arial" w:hAnsi="Arial" w:cs="Arial"/>
          <w:bCs/>
          <w:sz w:val="24"/>
          <w:szCs w:val="24"/>
          <w:lang w:val="en-GB"/>
        </w:rPr>
        <w:t xml:space="preserve"> on</w:t>
      </w:r>
      <w:r w:rsidR="00235891">
        <w:rPr>
          <w:rFonts w:ascii="Arial" w:hAnsi="Arial" w:cs="Arial"/>
          <w:bCs/>
          <w:sz w:val="24"/>
          <w:szCs w:val="24"/>
          <w:lang w:val="en-GB"/>
        </w:rPr>
        <w:t xml:space="preserve"> </w:t>
      </w:r>
      <w:r w:rsidR="002747A2">
        <w:rPr>
          <w:rFonts w:ascii="Arial" w:hAnsi="Arial" w:cs="Arial"/>
          <w:bCs/>
          <w:sz w:val="24"/>
          <w:szCs w:val="24"/>
          <w:lang w:val="en-GB"/>
        </w:rPr>
        <w:t>whether or not</w:t>
      </w:r>
      <w:r w:rsidR="00235891">
        <w:rPr>
          <w:rFonts w:ascii="Arial" w:hAnsi="Arial" w:cs="Arial"/>
          <w:bCs/>
          <w:sz w:val="24"/>
          <w:szCs w:val="24"/>
          <w:lang w:val="en-GB"/>
        </w:rPr>
        <w:t xml:space="preserve"> what the</w:t>
      </w:r>
      <w:r w:rsidR="00D50326">
        <w:rPr>
          <w:rFonts w:ascii="Arial" w:hAnsi="Arial" w:cs="Arial"/>
          <w:bCs/>
          <w:sz w:val="24"/>
          <w:szCs w:val="24"/>
          <w:lang w:val="en-GB"/>
        </w:rPr>
        <w:t xml:space="preserve"> said</w:t>
      </w:r>
      <w:r w:rsidR="00235891">
        <w:rPr>
          <w:rFonts w:ascii="Arial" w:hAnsi="Arial" w:cs="Arial"/>
          <w:bCs/>
          <w:sz w:val="24"/>
          <w:szCs w:val="24"/>
          <w:lang w:val="en-GB"/>
        </w:rPr>
        <w:t xml:space="preserve"> franchisee did was in fact solicitation</w:t>
      </w:r>
      <w:r w:rsidR="003C7A10">
        <w:rPr>
          <w:rFonts w:ascii="Arial" w:hAnsi="Arial" w:cs="Arial"/>
          <w:bCs/>
          <w:sz w:val="24"/>
          <w:szCs w:val="24"/>
          <w:lang w:val="en-GB"/>
        </w:rPr>
        <w:t xml:space="preserve"> as it </w:t>
      </w:r>
      <w:r w:rsidR="00EE7422">
        <w:rPr>
          <w:rFonts w:ascii="Arial" w:hAnsi="Arial" w:cs="Arial"/>
          <w:bCs/>
          <w:sz w:val="24"/>
          <w:szCs w:val="24"/>
          <w:lang w:val="en-GB"/>
        </w:rPr>
        <w:t xml:space="preserve">is not </w:t>
      </w:r>
      <w:r w:rsidR="00612698">
        <w:rPr>
          <w:rFonts w:ascii="Arial" w:hAnsi="Arial" w:cs="Arial"/>
          <w:bCs/>
          <w:sz w:val="24"/>
          <w:szCs w:val="24"/>
          <w:lang w:val="en-GB"/>
        </w:rPr>
        <w:t>cited</w:t>
      </w:r>
      <w:r w:rsidR="003E78A1">
        <w:rPr>
          <w:rFonts w:ascii="Arial" w:hAnsi="Arial" w:cs="Arial"/>
          <w:bCs/>
          <w:sz w:val="24"/>
          <w:szCs w:val="24"/>
          <w:lang w:val="en-GB"/>
        </w:rPr>
        <w:t xml:space="preserve">.  I do not even think that </w:t>
      </w:r>
      <w:r w:rsidR="000928B8">
        <w:rPr>
          <w:rFonts w:ascii="Arial" w:hAnsi="Arial" w:cs="Arial"/>
          <w:bCs/>
          <w:sz w:val="24"/>
          <w:szCs w:val="24"/>
          <w:lang w:val="en-GB"/>
        </w:rPr>
        <w:t xml:space="preserve">on the </w:t>
      </w:r>
      <w:r w:rsidR="005B5A3F">
        <w:rPr>
          <w:rFonts w:ascii="Arial" w:hAnsi="Arial" w:cs="Arial"/>
          <w:bCs/>
          <w:sz w:val="24"/>
          <w:szCs w:val="24"/>
          <w:lang w:val="en-GB"/>
        </w:rPr>
        <w:t>facts of this matter by</w:t>
      </w:r>
      <w:r w:rsidR="00F40E68">
        <w:rPr>
          <w:rFonts w:ascii="Arial" w:hAnsi="Arial" w:cs="Arial"/>
          <w:bCs/>
          <w:sz w:val="24"/>
          <w:szCs w:val="24"/>
          <w:lang w:val="en-GB"/>
        </w:rPr>
        <w:t xml:space="preserve"> </w:t>
      </w:r>
      <w:r w:rsidR="003E78A1">
        <w:rPr>
          <w:rFonts w:ascii="Arial" w:hAnsi="Arial" w:cs="Arial"/>
          <w:bCs/>
          <w:sz w:val="24"/>
          <w:szCs w:val="24"/>
          <w:lang w:val="en-GB"/>
        </w:rPr>
        <w:t>the conduct that it engaged in</w:t>
      </w:r>
      <w:r w:rsidR="001B279D">
        <w:rPr>
          <w:rFonts w:ascii="Arial" w:hAnsi="Arial" w:cs="Arial"/>
          <w:bCs/>
          <w:sz w:val="24"/>
          <w:szCs w:val="24"/>
          <w:lang w:val="en-GB"/>
        </w:rPr>
        <w:t>,</w:t>
      </w:r>
      <w:r w:rsidR="003E78A1">
        <w:rPr>
          <w:rFonts w:ascii="Arial" w:hAnsi="Arial" w:cs="Arial"/>
          <w:bCs/>
          <w:sz w:val="24"/>
          <w:szCs w:val="24"/>
          <w:lang w:val="en-GB"/>
        </w:rPr>
        <w:t xml:space="preserve"> Apex </w:t>
      </w:r>
      <w:r w:rsidR="00F70517">
        <w:rPr>
          <w:rFonts w:ascii="Arial" w:hAnsi="Arial" w:cs="Arial"/>
          <w:bCs/>
          <w:sz w:val="24"/>
          <w:szCs w:val="24"/>
          <w:lang w:val="en-GB"/>
        </w:rPr>
        <w:t>would have been</w:t>
      </w:r>
      <w:r w:rsidR="003E78A1">
        <w:rPr>
          <w:rFonts w:ascii="Arial" w:hAnsi="Arial" w:cs="Arial"/>
          <w:bCs/>
          <w:sz w:val="24"/>
          <w:szCs w:val="24"/>
          <w:lang w:val="en-GB"/>
        </w:rPr>
        <w:t xml:space="preserve"> involved in unlawful competition with the applicant</w:t>
      </w:r>
      <w:r w:rsidR="00080F94">
        <w:rPr>
          <w:rFonts w:ascii="Arial" w:hAnsi="Arial" w:cs="Arial"/>
          <w:bCs/>
          <w:sz w:val="24"/>
          <w:szCs w:val="24"/>
          <w:lang w:val="en-GB"/>
        </w:rPr>
        <w:t xml:space="preserve"> even if it were to be true that it was Apex and not its franchisee</w:t>
      </w:r>
      <w:r w:rsidR="003D1415">
        <w:rPr>
          <w:rFonts w:ascii="Arial" w:hAnsi="Arial" w:cs="Arial"/>
          <w:bCs/>
          <w:sz w:val="24"/>
          <w:szCs w:val="24"/>
          <w:lang w:val="en-GB"/>
        </w:rPr>
        <w:t xml:space="preserve"> who conducted themselves</w:t>
      </w:r>
      <w:r w:rsidR="00B41F8E">
        <w:rPr>
          <w:rFonts w:ascii="Arial" w:hAnsi="Arial" w:cs="Arial"/>
          <w:bCs/>
          <w:sz w:val="24"/>
          <w:szCs w:val="24"/>
          <w:lang w:val="en-GB"/>
        </w:rPr>
        <w:t xml:space="preserve"> as alleged</w:t>
      </w:r>
      <w:r w:rsidR="003E78A1">
        <w:rPr>
          <w:rFonts w:ascii="Arial" w:hAnsi="Arial" w:cs="Arial"/>
          <w:bCs/>
          <w:sz w:val="24"/>
          <w:szCs w:val="24"/>
          <w:lang w:val="en-GB"/>
        </w:rPr>
        <w:t xml:space="preserve">.  The reason why none of </w:t>
      </w:r>
      <w:r w:rsidR="00CE51DD">
        <w:rPr>
          <w:rFonts w:ascii="Arial" w:hAnsi="Arial" w:cs="Arial"/>
          <w:bCs/>
          <w:sz w:val="24"/>
          <w:szCs w:val="24"/>
          <w:lang w:val="en-GB"/>
        </w:rPr>
        <w:t>th</w:t>
      </w:r>
      <w:r w:rsidR="00A61A11">
        <w:rPr>
          <w:rFonts w:ascii="Arial" w:hAnsi="Arial" w:cs="Arial"/>
          <w:bCs/>
          <w:sz w:val="24"/>
          <w:szCs w:val="24"/>
          <w:lang w:val="en-GB"/>
        </w:rPr>
        <w:t>at</w:t>
      </w:r>
      <w:r w:rsidR="00CE51DD">
        <w:rPr>
          <w:rFonts w:ascii="Arial" w:hAnsi="Arial" w:cs="Arial"/>
          <w:bCs/>
          <w:sz w:val="24"/>
          <w:szCs w:val="24"/>
          <w:lang w:val="en-GB"/>
        </w:rPr>
        <w:t xml:space="preserve"> matters is</w:t>
      </w:r>
      <w:r w:rsidR="003E78A1">
        <w:rPr>
          <w:rFonts w:ascii="Arial" w:hAnsi="Arial" w:cs="Arial"/>
          <w:bCs/>
          <w:sz w:val="24"/>
          <w:szCs w:val="24"/>
          <w:lang w:val="en-GB"/>
        </w:rPr>
        <w:t xml:space="preserve"> because </w:t>
      </w:r>
      <w:r w:rsidR="00F40DC8">
        <w:rPr>
          <w:rFonts w:ascii="Arial" w:hAnsi="Arial" w:cs="Arial"/>
          <w:bCs/>
          <w:sz w:val="24"/>
          <w:szCs w:val="24"/>
          <w:lang w:val="en-GB"/>
        </w:rPr>
        <w:t>th</w:t>
      </w:r>
      <w:r w:rsidR="004E0C4A">
        <w:rPr>
          <w:rFonts w:ascii="Arial" w:hAnsi="Arial" w:cs="Arial"/>
          <w:bCs/>
          <w:sz w:val="24"/>
          <w:szCs w:val="24"/>
          <w:lang w:val="en-GB"/>
        </w:rPr>
        <w:t xml:space="preserve">ere is </w:t>
      </w:r>
      <w:r w:rsidR="003E78A1">
        <w:rPr>
          <w:rFonts w:ascii="Arial" w:hAnsi="Arial" w:cs="Arial"/>
          <w:bCs/>
          <w:sz w:val="24"/>
          <w:szCs w:val="24"/>
          <w:lang w:val="en-GB"/>
        </w:rPr>
        <w:t xml:space="preserve">no restraint agreement </w:t>
      </w:r>
      <w:r w:rsidR="00382938">
        <w:rPr>
          <w:rFonts w:ascii="Arial" w:hAnsi="Arial" w:cs="Arial"/>
          <w:bCs/>
          <w:sz w:val="24"/>
          <w:szCs w:val="24"/>
          <w:lang w:val="en-GB"/>
        </w:rPr>
        <w:t>between</w:t>
      </w:r>
      <w:r w:rsidR="003E78A1">
        <w:rPr>
          <w:rFonts w:ascii="Arial" w:hAnsi="Arial" w:cs="Arial"/>
          <w:bCs/>
          <w:sz w:val="24"/>
          <w:szCs w:val="24"/>
          <w:lang w:val="en-GB"/>
        </w:rPr>
        <w:t xml:space="preserve"> the applicant and</w:t>
      </w:r>
      <w:r w:rsidR="006A2412">
        <w:rPr>
          <w:rFonts w:ascii="Arial" w:hAnsi="Arial" w:cs="Arial"/>
          <w:bCs/>
          <w:sz w:val="24"/>
          <w:szCs w:val="24"/>
          <w:lang w:val="en-GB"/>
        </w:rPr>
        <w:t xml:space="preserve"> Apex</w:t>
      </w:r>
      <w:r w:rsidR="00382938">
        <w:rPr>
          <w:rFonts w:ascii="Arial" w:hAnsi="Arial" w:cs="Arial"/>
          <w:bCs/>
          <w:sz w:val="24"/>
          <w:szCs w:val="24"/>
          <w:lang w:val="en-GB"/>
        </w:rPr>
        <w:t xml:space="preserve">. </w:t>
      </w:r>
      <w:r w:rsidR="006A2412">
        <w:rPr>
          <w:rFonts w:ascii="Arial" w:hAnsi="Arial" w:cs="Arial"/>
          <w:bCs/>
          <w:sz w:val="24"/>
          <w:szCs w:val="24"/>
          <w:lang w:val="en-GB"/>
        </w:rPr>
        <w:t xml:space="preserve"> </w:t>
      </w:r>
      <w:r w:rsidR="00A710FC">
        <w:rPr>
          <w:rFonts w:ascii="Arial" w:hAnsi="Arial" w:cs="Arial"/>
          <w:bCs/>
          <w:sz w:val="24"/>
          <w:szCs w:val="24"/>
          <w:lang w:val="en-GB"/>
        </w:rPr>
        <w:t>Therefore,</w:t>
      </w:r>
      <w:r w:rsidR="00031073">
        <w:rPr>
          <w:rFonts w:ascii="Arial" w:hAnsi="Arial" w:cs="Arial"/>
          <w:bCs/>
          <w:sz w:val="24"/>
          <w:szCs w:val="24"/>
          <w:lang w:val="en-GB"/>
        </w:rPr>
        <w:t xml:space="preserve"> Apex</w:t>
      </w:r>
      <w:r w:rsidR="003E78A1">
        <w:rPr>
          <w:rFonts w:ascii="Arial" w:hAnsi="Arial" w:cs="Arial"/>
          <w:bCs/>
          <w:sz w:val="24"/>
          <w:szCs w:val="24"/>
          <w:lang w:val="en-GB"/>
        </w:rPr>
        <w:t xml:space="preserve"> </w:t>
      </w:r>
      <w:r w:rsidR="00031073">
        <w:rPr>
          <w:rFonts w:ascii="Arial" w:hAnsi="Arial" w:cs="Arial"/>
          <w:bCs/>
          <w:sz w:val="24"/>
          <w:szCs w:val="24"/>
          <w:lang w:val="en-GB"/>
        </w:rPr>
        <w:t xml:space="preserve">is </w:t>
      </w:r>
      <w:r w:rsidR="00B50A1D">
        <w:rPr>
          <w:rFonts w:ascii="Arial" w:hAnsi="Arial" w:cs="Arial"/>
          <w:bCs/>
          <w:sz w:val="24"/>
          <w:szCs w:val="24"/>
          <w:lang w:val="en-GB"/>
        </w:rPr>
        <w:t xml:space="preserve">generally </w:t>
      </w:r>
      <w:r w:rsidR="003E78A1">
        <w:rPr>
          <w:rFonts w:ascii="Arial" w:hAnsi="Arial" w:cs="Arial"/>
          <w:bCs/>
          <w:sz w:val="24"/>
          <w:szCs w:val="24"/>
          <w:lang w:val="en-GB"/>
        </w:rPr>
        <w:t>entitled to compete open</w:t>
      </w:r>
      <w:r w:rsidR="004F032E">
        <w:rPr>
          <w:rFonts w:ascii="Arial" w:hAnsi="Arial" w:cs="Arial"/>
          <w:bCs/>
          <w:sz w:val="24"/>
          <w:szCs w:val="24"/>
          <w:lang w:val="en-GB"/>
        </w:rPr>
        <w:t>ly</w:t>
      </w:r>
      <w:r w:rsidR="003E78A1">
        <w:rPr>
          <w:rFonts w:ascii="Arial" w:hAnsi="Arial" w:cs="Arial"/>
          <w:bCs/>
          <w:sz w:val="24"/>
          <w:szCs w:val="24"/>
          <w:lang w:val="en-GB"/>
        </w:rPr>
        <w:t xml:space="preserve"> with </w:t>
      </w:r>
      <w:r w:rsidR="00353D05">
        <w:rPr>
          <w:rFonts w:ascii="Arial" w:hAnsi="Arial" w:cs="Arial"/>
          <w:bCs/>
          <w:sz w:val="24"/>
          <w:szCs w:val="24"/>
          <w:lang w:val="en-GB"/>
        </w:rPr>
        <w:t xml:space="preserve">the </w:t>
      </w:r>
      <w:r w:rsidR="003E78A1">
        <w:rPr>
          <w:rFonts w:ascii="Arial" w:hAnsi="Arial" w:cs="Arial"/>
          <w:bCs/>
          <w:sz w:val="24"/>
          <w:szCs w:val="24"/>
          <w:lang w:val="en-GB"/>
        </w:rPr>
        <w:t xml:space="preserve">applicant as </w:t>
      </w:r>
      <w:r w:rsidR="0085450E">
        <w:rPr>
          <w:rFonts w:ascii="Arial" w:hAnsi="Arial" w:cs="Arial"/>
          <w:bCs/>
          <w:sz w:val="24"/>
          <w:szCs w:val="24"/>
          <w:lang w:val="en-GB"/>
        </w:rPr>
        <w:t>are</w:t>
      </w:r>
      <w:r w:rsidR="003E78A1">
        <w:rPr>
          <w:rFonts w:ascii="Arial" w:hAnsi="Arial" w:cs="Arial"/>
          <w:bCs/>
          <w:sz w:val="24"/>
          <w:szCs w:val="24"/>
          <w:lang w:val="en-GB"/>
        </w:rPr>
        <w:t xml:space="preserve"> its</w:t>
      </w:r>
      <w:r w:rsidR="001D29DF">
        <w:rPr>
          <w:rFonts w:ascii="Arial" w:hAnsi="Arial" w:cs="Arial"/>
          <w:bCs/>
          <w:sz w:val="24"/>
          <w:szCs w:val="24"/>
          <w:lang w:val="en-GB"/>
        </w:rPr>
        <w:t xml:space="preserve"> franchisees</w:t>
      </w:r>
      <w:r w:rsidR="00445DA7">
        <w:rPr>
          <w:rFonts w:ascii="Arial" w:hAnsi="Arial" w:cs="Arial"/>
          <w:bCs/>
          <w:sz w:val="24"/>
          <w:szCs w:val="24"/>
          <w:lang w:val="en-GB"/>
        </w:rPr>
        <w:t xml:space="preserve">. </w:t>
      </w:r>
      <w:r w:rsidR="00A710FC">
        <w:rPr>
          <w:rFonts w:ascii="Arial" w:hAnsi="Arial" w:cs="Arial"/>
          <w:bCs/>
          <w:sz w:val="24"/>
          <w:szCs w:val="24"/>
          <w:lang w:val="en-GB"/>
        </w:rPr>
        <w:t>Furthermore,</w:t>
      </w:r>
      <w:r w:rsidR="004112B5">
        <w:rPr>
          <w:rFonts w:ascii="Arial" w:hAnsi="Arial" w:cs="Arial"/>
          <w:bCs/>
          <w:sz w:val="24"/>
          <w:szCs w:val="24"/>
          <w:lang w:val="en-GB"/>
        </w:rPr>
        <w:t xml:space="preserve"> </w:t>
      </w:r>
      <w:r w:rsidR="00A710FC">
        <w:rPr>
          <w:rFonts w:ascii="Arial" w:hAnsi="Arial" w:cs="Arial"/>
          <w:bCs/>
          <w:sz w:val="24"/>
          <w:szCs w:val="24"/>
          <w:lang w:val="en-GB"/>
        </w:rPr>
        <w:t>t</w:t>
      </w:r>
      <w:r w:rsidR="001D29DF">
        <w:rPr>
          <w:rFonts w:ascii="Arial" w:hAnsi="Arial" w:cs="Arial"/>
          <w:bCs/>
          <w:sz w:val="24"/>
          <w:szCs w:val="24"/>
          <w:lang w:val="en-GB"/>
        </w:rPr>
        <w:t xml:space="preserve">he respondents would </w:t>
      </w:r>
      <w:r w:rsidR="004F032E">
        <w:rPr>
          <w:rFonts w:ascii="Arial" w:hAnsi="Arial" w:cs="Arial"/>
          <w:bCs/>
          <w:sz w:val="24"/>
          <w:szCs w:val="24"/>
          <w:lang w:val="en-GB"/>
        </w:rPr>
        <w:t xml:space="preserve">ordinarily </w:t>
      </w:r>
      <w:r w:rsidR="001D29DF">
        <w:rPr>
          <w:rFonts w:ascii="Arial" w:hAnsi="Arial" w:cs="Arial"/>
          <w:bCs/>
          <w:sz w:val="24"/>
          <w:szCs w:val="24"/>
          <w:lang w:val="en-GB"/>
        </w:rPr>
        <w:t>also themselves have been entitled to compete openly with</w:t>
      </w:r>
      <w:r w:rsidR="001D6FFD">
        <w:rPr>
          <w:rFonts w:ascii="Arial" w:hAnsi="Arial" w:cs="Arial"/>
          <w:bCs/>
          <w:sz w:val="24"/>
          <w:szCs w:val="24"/>
          <w:lang w:val="en-GB"/>
        </w:rPr>
        <w:t xml:space="preserve"> the</w:t>
      </w:r>
      <w:r w:rsidR="001D29DF">
        <w:rPr>
          <w:rFonts w:ascii="Arial" w:hAnsi="Arial" w:cs="Arial"/>
          <w:bCs/>
          <w:sz w:val="24"/>
          <w:szCs w:val="24"/>
          <w:lang w:val="en-GB"/>
        </w:rPr>
        <w:t xml:space="preserve"> applicant</w:t>
      </w:r>
      <w:r w:rsidR="0080553B">
        <w:rPr>
          <w:rFonts w:ascii="Arial" w:hAnsi="Arial" w:cs="Arial"/>
          <w:bCs/>
          <w:sz w:val="24"/>
          <w:szCs w:val="24"/>
          <w:lang w:val="en-GB"/>
        </w:rPr>
        <w:t xml:space="preserve"> </w:t>
      </w:r>
      <w:r w:rsidR="001D29DF">
        <w:rPr>
          <w:rFonts w:ascii="Arial" w:hAnsi="Arial" w:cs="Arial"/>
          <w:bCs/>
          <w:sz w:val="24"/>
          <w:szCs w:val="24"/>
          <w:lang w:val="en-GB"/>
        </w:rPr>
        <w:t xml:space="preserve">in </w:t>
      </w:r>
      <w:r w:rsidR="00353D05">
        <w:rPr>
          <w:rFonts w:ascii="Arial" w:hAnsi="Arial" w:cs="Arial"/>
          <w:bCs/>
          <w:sz w:val="24"/>
          <w:szCs w:val="24"/>
          <w:lang w:val="en-GB"/>
        </w:rPr>
        <w:t>Limpopo</w:t>
      </w:r>
      <w:r w:rsidR="001D29DF">
        <w:rPr>
          <w:rFonts w:ascii="Arial" w:hAnsi="Arial" w:cs="Arial"/>
          <w:bCs/>
          <w:sz w:val="24"/>
          <w:szCs w:val="24"/>
          <w:lang w:val="en-GB"/>
        </w:rPr>
        <w:t xml:space="preserve"> </w:t>
      </w:r>
      <w:r w:rsidR="00080F94">
        <w:rPr>
          <w:rFonts w:ascii="Arial" w:hAnsi="Arial" w:cs="Arial"/>
          <w:bCs/>
          <w:sz w:val="24"/>
          <w:szCs w:val="24"/>
          <w:lang w:val="en-GB"/>
        </w:rPr>
        <w:t>P</w:t>
      </w:r>
      <w:r w:rsidR="001D29DF">
        <w:rPr>
          <w:rFonts w:ascii="Arial" w:hAnsi="Arial" w:cs="Arial"/>
          <w:bCs/>
          <w:sz w:val="24"/>
          <w:szCs w:val="24"/>
          <w:lang w:val="en-GB"/>
        </w:rPr>
        <w:t>rovince</w:t>
      </w:r>
      <w:r w:rsidR="00314061">
        <w:rPr>
          <w:rFonts w:ascii="Arial" w:hAnsi="Arial" w:cs="Arial"/>
          <w:bCs/>
          <w:sz w:val="24"/>
          <w:szCs w:val="24"/>
          <w:lang w:val="en-GB"/>
        </w:rPr>
        <w:t xml:space="preserve"> i</w:t>
      </w:r>
      <w:r w:rsidR="000017C1">
        <w:rPr>
          <w:rFonts w:ascii="Arial" w:hAnsi="Arial" w:cs="Arial"/>
          <w:bCs/>
          <w:sz w:val="24"/>
          <w:szCs w:val="24"/>
          <w:lang w:val="en-GB"/>
        </w:rPr>
        <w:t>f</w:t>
      </w:r>
      <w:r w:rsidR="00314061">
        <w:rPr>
          <w:rFonts w:ascii="Arial" w:hAnsi="Arial" w:cs="Arial"/>
          <w:bCs/>
          <w:sz w:val="24"/>
          <w:szCs w:val="24"/>
          <w:lang w:val="en-GB"/>
        </w:rPr>
        <w:t xml:space="preserve"> regard is had to the fact that</w:t>
      </w:r>
      <w:r w:rsidR="00AC6AEA">
        <w:rPr>
          <w:rFonts w:ascii="Arial" w:hAnsi="Arial" w:cs="Arial"/>
          <w:bCs/>
          <w:sz w:val="24"/>
          <w:szCs w:val="24"/>
          <w:lang w:val="en-GB"/>
        </w:rPr>
        <w:t>, that</w:t>
      </w:r>
      <w:r w:rsidR="00916F04">
        <w:rPr>
          <w:rFonts w:ascii="Arial" w:hAnsi="Arial" w:cs="Arial"/>
          <w:bCs/>
          <w:sz w:val="24"/>
          <w:szCs w:val="24"/>
          <w:lang w:val="en-GB"/>
        </w:rPr>
        <w:t xml:space="preserve"> province is outside the </w:t>
      </w:r>
      <w:r w:rsidR="007D222F">
        <w:rPr>
          <w:rFonts w:ascii="Arial" w:hAnsi="Arial" w:cs="Arial"/>
          <w:bCs/>
          <w:sz w:val="24"/>
          <w:szCs w:val="24"/>
          <w:lang w:val="en-GB"/>
        </w:rPr>
        <w:t>territory as defined in the agreement</w:t>
      </w:r>
      <w:r w:rsidR="00AC6AEA">
        <w:rPr>
          <w:rFonts w:ascii="Arial" w:hAnsi="Arial" w:cs="Arial"/>
          <w:bCs/>
          <w:sz w:val="24"/>
          <w:szCs w:val="24"/>
          <w:lang w:val="en-GB"/>
        </w:rPr>
        <w:t>s</w:t>
      </w:r>
      <w:r w:rsidR="007D222F">
        <w:rPr>
          <w:rFonts w:ascii="Arial" w:hAnsi="Arial" w:cs="Arial"/>
          <w:bCs/>
          <w:sz w:val="24"/>
          <w:szCs w:val="24"/>
          <w:lang w:val="en-GB"/>
        </w:rPr>
        <w:t>.</w:t>
      </w:r>
      <w:r w:rsidR="00DD4D5D">
        <w:rPr>
          <w:rFonts w:ascii="Arial" w:hAnsi="Arial" w:cs="Arial"/>
          <w:bCs/>
          <w:sz w:val="24"/>
          <w:szCs w:val="24"/>
          <w:lang w:val="en-GB"/>
        </w:rPr>
        <w:t xml:space="preserve"> </w:t>
      </w:r>
    </w:p>
    <w:p w14:paraId="71C3DD61" w14:textId="317B545A" w:rsidR="00235891" w:rsidRDefault="004F032E" w:rsidP="000A1C49">
      <w:pPr>
        <w:spacing w:line="480" w:lineRule="auto"/>
        <w:jc w:val="both"/>
        <w:rPr>
          <w:rFonts w:ascii="Arial" w:hAnsi="Arial" w:cs="Arial"/>
          <w:bCs/>
          <w:sz w:val="24"/>
          <w:szCs w:val="24"/>
          <w:lang w:val="en-GB"/>
        </w:rPr>
      </w:pPr>
      <w:r>
        <w:rPr>
          <w:rFonts w:ascii="Arial" w:hAnsi="Arial" w:cs="Arial"/>
          <w:bCs/>
          <w:sz w:val="24"/>
          <w:szCs w:val="24"/>
          <w:lang w:val="en-GB"/>
        </w:rPr>
        <w:lastRenderedPageBreak/>
        <w:t>[3</w:t>
      </w:r>
      <w:r w:rsidR="00DF37F6">
        <w:rPr>
          <w:rFonts w:ascii="Arial" w:hAnsi="Arial" w:cs="Arial"/>
          <w:bCs/>
          <w:sz w:val="24"/>
          <w:szCs w:val="24"/>
          <w:lang w:val="en-GB"/>
        </w:rPr>
        <w:t>6</w:t>
      </w:r>
      <w:r>
        <w:rPr>
          <w:rFonts w:ascii="Arial" w:hAnsi="Arial" w:cs="Arial"/>
          <w:bCs/>
          <w:sz w:val="24"/>
          <w:szCs w:val="24"/>
          <w:lang w:val="en-GB"/>
        </w:rPr>
        <w:t xml:space="preserve">] </w:t>
      </w:r>
      <w:r w:rsidR="00DD4D5D">
        <w:rPr>
          <w:rFonts w:ascii="Arial" w:hAnsi="Arial" w:cs="Arial"/>
          <w:bCs/>
          <w:sz w:val="24"/>
          <w:szCs w:val="24"/>
          <w:lang w:val="en-GB"/>
        </w:rPr>
        <w:t>To understand this, one needs look no further than the sublicen</w:t>
      </w:r>
      <w:r>
        <w:rPr>
          <w:rFonts w:ascii="Arial" w:hAnsi="Arial" w:cs="Arial"/>
          <w:bCs/>
          <w:sz w:val="24"/>
          <w:szCs w:val="24"/>
          <w:lang w:val="en-GB"/>
        </w:rPr>
        <w:t>c</w:t>
      </w:r>
      <w:r w:rsidR="00DD4D5D">
        <w:rPr>
          <w:rFonts w:ascii="Arial" w:hAnsi="Arial" w:cs="Arial"/>
          <w:bCs/>
          <w:sz w:val="24"/>
          <w:szCs w:val="24"/>
          <w:lang w:val="en-GB"/>
        </w:rPr>
        <w:t>e and agency agreements</w:t>
      </w:r>
      <w:r w:rsidR="00A80634">
        <w:rPr>
          <w:rFonts w:ascii="Arial" w:hAnsi="Arial" w:cs="Arial"/>
          <w:bCs/>
          <w:sz w:val="24"/>
          <w:szCs w:val="24"/>
          <w:lang w:val="en-GB"/>
        </w:rPr>
        <w:t xml:space="preserve"> themselves</w:t>
      </w:r>
      <w:r w:rsidR="00DD4D5D">
        <w:rPr>
          <w:rFonts w:ascii="Arial" w:hAnsi="Arial" w:cs="Arial"/>
          <w:bCs/>
          <w:sz w:val="24"/>
          <w:szCs w:val="24"/>
          <w:lang w:val="en-GB"/>
        </w:rPr>
        <w:t xml:space="preserve">. </w:t>
      </w:r>
      <w:r w:rsidR="00A80634">
        <w:rPr>
          <w:rFonts w:ascii="Arial" w:hAnsi="Arial" w:cs="Arial"/>
          <w:bCs/>
          <w:sz w:val="24"/>
          <w:szCs w:val="24"/>
          <w:lang w:val="en-GB"/>
        </w:rPr>
        <w:t>The s</w:t>
      </w:r>
      <w:r w:rsidR="00DD4D5D">
        <w:rPr>
          <w:rFonts w:ascii="Arial" w:hAnsi="Arial" w:cs="Arial"/>
          <w:bCs/>
          <w:sz w:val="24"/>
          <w:szCs w:val="24"/>
          <w:lang w:val="en-GB"/>
        </w:rPr>
        <w:t>ub</w:t>
      </w:r>
      <w:r w:rsidR="003B1B06">
        <w:rPr>
          <w:rFonts w:ascii="Arial" w:hAnsi="Arial" w:cs="Arial"/>
          <w:bCs/>
          <w:sz w:val="24"/>
          <w:szCs w:val="24"/>
          <w:lang w:val="en-GB"/>
        </w:rPr>
        <w:t>-</w:t>
      </w:r>
      <w:r w:rsidR="00DD4D5D">
        <w:rPr>
          <w:rFonts w:ascii="Arial" w:hAnsi="Arial" w:cs="Arial"/>
          <w:bCs/>
          <w:sz w:val="24"/>
          <w:szCs w:val="24"/>
          <w:lang w:val="en-GB"/>
        </w:rPr>
        <w:t>licen</w:t>
      </w:r>
      <w:r w:rsidR="003B1B06">
        <w:rPr>
          <w:rFonts w:ascii="Arial" w:hAnsi="Arial" w:cs="Arial"/>
          <w:bCs/>
          <w:sz w:val="24"/>
          <w:szCs w:val="24"/>
          <w:lang w:val="en-GB"/>
        </w:rPr>
        <w:t>ce</w:t>
      </w:r>
      <w:r w:rsidR="00DD4D5D">
        <w:rPr>
          <w:rFonts w:ascii="Arial" w:hAnsi="Arial" w:cs="Arial"/>
          <w:bCs/>
          <w:sz w:val="24"/>
          <w:szCs w:val="24"/>
          <w:lang w:val="en-GB"/>
        </w:rPr>
        <w:t xml:space="preserve"> agreement entered into between the applicant and the first respondent reflects the territory as the Eastern Cape &amp; Winelands.  In the founding affidavit</w:t>
      </w:r>
      <w:r w:rsidR="0065614C">
        <w:rPr>
          <w:rFonts w:ascii="Arial" w:hAnsi="Arial" w:cs="Arial"/>
          <w:bCs/>
          <w:sz w:val="24"/>
          <w:szCs w:val="24"/>
          <w:lang w:val="en-GB"/>
        </w:rPr>
        <w:t>,</w:t>
      </w:r>
      <w:r w:rsidR="00DD4D5D">
        <w:rPr>
          <w:rFonts w:ascii="Arial" w:hAnsi="Arial" w:cs="Arial"/>
          <w:bCs/>
          <w:sz w:val="24"/>
          <w:szCs w:val="24"/>
          <w:lang w:val="en-GB"/>
        </w:rPr>
        <w:t xml:space="preserve"> no case is made that any of the respondents was not entitled to operate outside the territory as defined.  The </w:t>
      </w:r>
      <w:r w:rsidR="00CD7787">
        <w:rPr>
          <w:rFonts w:ascii="Arial" w:hAnsi="Arial" w:cs="Arial"/>
          <w:bCs/>
          <w:sz w:val="24"/>
          <w:szCs w:val="24"/>
          <w:lang w:val="en-GB"/>
        </w:rPr>
        <w:t xml:space="preserve">Landbank issue in another province and outside of the territory is raised without any basis being laid as to why such an approach was either in some way in breach of the agreements </w:t>
      </w:r>
      <w:r w:rsidR="003B1B06">
        <w:rPr>
          <w:rFonts w:ascii="Arial" w:hAnsi="Arial" w:cs="Arial"/>
          <w:bCs/>
          <w:sz w:val="24"/>
          <w:szCs w:val="24"/>
          <w:lang w:val="en-GB"/>
        </w:rPr>
        <w:t>by the respondents or Apex or is</w:t>
      </w:r>
      <w:r w:rsidR="00C90AAE">
        <w:rPr>
          <w:rFonts w:ascii="Arial" w:hAnsi="Arial" w:cs="Arial"/>
          <w:bCs/>
          <w:sz w:val="24"/>
          <w:szCs w:val="24"/>
          <w:lang w:val="en-GB"/>
        </w:rPr>
        <w:t xml:space="preserve"> some</w:t>
      </w:r>
      <w:r w:rsidR="00C565F8">
        <w:rPr>
          <w:rFonts w:ascii="Arial" w:hAnsi="Arial" w:cs="Arial"/>
          <w:bCs/>
          <w:sz w:val="24"/>
          <w:szCs w:val="24"/>
          <w:lang w:val="en-GB"/>
        </w:rPr>
        <w:t>how</w:t>
      </w:r>
      <w:r w:rsidR="00CD7787">
        <w:rPr>
          <w:rFonts w:ascii="Arial" w:hAnsi="Arial" w:cs="Arial"/>
          <w:bCs/>
          <w:sz w:val="24"/>
          <w:szCs w:val="24"/>
          <w:lang w:val="en-GB"/>
        </w:rPr>
        <w:t xml:space="preserve"> tainted by unlawfulness in any way whatsoever.</w:t>
      </w:r>
      <w:r w:rsidR="00225777">
        <w:rPr>
          <w:rFonts w:ascii="Arial" w:hAnsi="Arial" w:cs="Arial"/>
          <w:bCs/>
          <w:sz w:val="24"/>
          <w:szCs w:val="24"/>
          <w:lang w:val="en-GB"/>
        </w:rPr>
        <w:t xml:space="preserve"> </w:t>
      </w:r>
      <w:r w:rsidR="00605DA4">
        <w:rPr>
          <w:rFonts w:ascii="Arial" w:hAnsi="Arial" w:cs="Arial"/>
          <w:bCs/>
          <w:sz w:val="24"/>
          <w:szCs w:val="24"/>
          <w:lang w:val="en-GB"/>
        </w:rPr>
        <w:t>This crea</w:t>
      </w:r>
      <w:r w:rsidR="006C53AF">
        <w:rPr>
          <w:rFonts w:ascii="Arial" w:hAnsi="Arial" w:cs="Arial"/>
          <w:bCs/>
          <w:sz w:val="24"/>
          <w:szCs w:val="24"/>
          <w:lang w:val="en-GB"/>
        </w:rPr>
        <w:t xml:space="preserve">tes a huge disconnect between </w:t>
      </w:r>
      <w:r w:rsidR="00532D44">
        <w:rPr>
          <w:rFonts w:ascii="Arial" w:hAnsi="Arial" w:cs="Arial"/>
          <w:bCs/>
          <w:sz w:val="24"/>
          <w:szCs w:val="24"/>
          <w:lang w:val="en-GB"/>
        </w:rPr>
        <w:t xml:space="preserve">the </w:t>
      </w:r>
      <w:r w:rsidR="0094260E">
        <w:rPr>
          <w:rFonts w:ascii="Arial" w:hAnsi="Arial" w:cs="Arial"/>
          <w:bCs/>
          <w:sz w:val="24"/>
          <w:szCs w:val="24"/>
          <w:lang w:val="en-GB"/>
        </w:rPr>
        <w:t>Ericsson</w:t>
      </w:r>
      <w:r w:rsidR="004520B8">
        <w:rPr>
          <w:rFonts w:ascii="Arial" w:hAnsi="Arial" w:cs="Arial"/>
          <w:bCs/>
          <w:sz w:val="24"/>
          <w:szCs w:val="24"/>
          <w:lang w:val="en-GB"/>
        </w:rPr>
        <w:t xml:space="preserve"> incident</w:t>
      </w:r>
      <w:r w:rsidR="0094260E">
        <w:rPr>
          <w:rFonts w:ascii="Arial" w:hAnsi="Arial" w:cs="Arial"/>
          <w:bCs/>
          <w:sz w:val="24"/>
          <w:szCs w:val="24"/>
          <w:lang w:val="en-GB"/>
        </w:rPr>
        <w:t xml:space="preserve"> which was dealt with</w:t>
      </w:r>
      <w:r w:rsidR="00122634">
        <w:rPr>
          <w:rFonts w:ascii="Arial" w:hAnsi="Arial" w:cs="Arial"/>
          <w:bCs/>
          <w:sz w:val="24"/>
          <w:szCs w:val="24"/>
          <w:lang w:val="en-GB"/>
        </w:rPr>
        <w:t xml:space="preserve"> by Mr Du Toit and the Landbank </w:t>
      </w:r>
      <w:r w:rsidR="00B05F81">
        <w:rPr>
          <w:rFonts w:ascii="Arial" w:hAnsi="Arial" w:cs="Arial"/>
          <w:bCs/>
          <w:sz w:val="24"/>
          <w:szCs w:val="24"/>
          <w:lang w:val="en-GB"/>
        </w:rPr>
        <w:t xml:space="preserve">incident </w:t>
      </w:r>
      <w:r w:rsidR="00715B6B">
        <w:rPr>
          <w:rFonts w:ascii="Arial" w:hAnsi="Arial" w:cs="Arial"/>
          <w:bCs/>
          <w:sz w:val="24"/>
          <w:szCs w:val="24"/>
          <w:lang w:val="en-GB"/>
        </w:rPr>
        <w:t xml:space="preserve">in </w:t>
      </w:r>
      <w:r w:rsidR="00900012">
        <w:rPr>
          <w:rFonts w:ascii="Arial" w:hAnsi="Arial" w:cs="Arial"/>
          <w:bCs/>
          <w:sz w:val="24"/>
          <w:szCs w:val="24"/>
          <w:lang w:val="en-GB"/>
        </w:rPr>
        <w:t>ano</w:t>
      </w:r>
      <w:r w:rsidR="00715B6B">
        <w:rPr>
          <w:rFonts w:ascii="Arial" w:hAnsi="Arial" w:cs="Arial"/>
          <w:bCs/>
          <w:sz w:val="24"/>
          <w:szCs w:val="24"/>
          <w:lang w:val="en-GB"/>
        </w:rPr>
        <w:t>ther area outside the territory as defined.</w:t>
      </w:r>
    </w:p>
    <w:p w14:paraId="039B883D" w14:textId="0C78E651" w:rsidR="005E6DD6" w:rsidRDefault="003E21BD" w:rsidP="000A1C49">
      <w:pPr>
        <w:spacing w:line="480" w:lineRule="auto"/>
        <w:jc w:val="both"/>
        <w:rPr>
          <w:rFonts w:ascii="Arial" w:hAnsi="Arial" w:cs="Arial"/>
          <w:bCs/>
          <w:sz w:val="24"/>
          <w:szCs w:val="24"/>
          <w:lang w:val="en-GB"/>
        </w:rPr>
      </w:pPr>
      <w:r w:rsidRPr="003A2E16">
        <w:rPr>
          <w:rFonts w:ascii="Arial" w:hAnsi="Arial" w:cs="Arial"/>
          <w:bCs/>
          <w:i/>
          <w:iCs/>
          <w:sz w:val="24"/>
          <w:szCs w:val="24"/>
          <w:lang w:val="en-GB"/>
        </w:rPr>
        <w:t>Some of the evidence in the founding affi</w:t>
      </w:r>
      <w:r w:rsidR="003A2E16" w:rsidRPr="003A2E16">
        <w:rPr>
          <w:rFonts w:ascii="Arial" w:hAnsi="Arial" w:cs="Arial"/>
          <w:bCs/>
          <w:i/>
          <w:iCs/>
          <w:sz w:val="24"/>
          <w:szCs w:val="24"/>
          <w:lang w:val="en-GB"/>
        </w:rPr>
        <w:t>davit</w:t>
      </w:r>
      <w:r w:rsidR="003A2E16">
        <w:rPr>
          <w:rFonts w:ascii="Arial" w:hAnsi="Arial" w:cs="Arial"/>
          <w:bCs/>
          <w:sz w:val="24"/>
          <w:szCs w:val="24"/>
          <w:lang w:val="en-GB"/>
        </w:rPr>
        <w:t>.</w:t>
      </w:r>
    </w:p>
    <w:p w14:paraId="5A720352" w14:textId="5CEDEA8C" w:rsidR="00D671BF" w:rsidRDefault="00CD7787" w:rsidP="000A1C49">
      <w:pPr>
        <w:spacing w:line="480" w:lineRule="auto"/>
        <w:jc w:val="both"/>
        <w:rPr>
          <w:rFonts w:ascii="Arial" w:hAnsi="Arial" w:cs="Arial"/>
          <w:bCs/>
          <w:sz w:val="24"/>
          <w:szCs w:val="24"/>
          <w:lang w:val="en-GB"/>
        </w:rPr>
      </w:pPr>
      <w:r>
        <w:rPr>
          <w:rFonts w:ascii="Arial" w:hAnsi="Arial" w:cs="Arial"/>
          <w:bCs/>
          <w:sz w:val="24"/>
          <w:szCs w:val="24"/>
          <w:lang w:val="en-GB"/>
        </w:rPr>
        <w:t>[3</w:t>
      </w:r>
      <w:r w:rsidR="00E63AC0">
        <w:rPr>
          <w:rFonts w:ascii="Arial" w:hAnsi="Arial" w:cs="Arial"/>
          <w:bCs/>
          <w:sz w:val="24"/>
          <w:szCs w:val="24"/>
          <w:lang w:val="en-GB"/>
        </w:rPr>
        <w:t>7</w:t>
      </w:r>
      <w:r>
        <w:rPr>
          <w:rFonts w:ascii="Arial" w:hAnsi="Arial" w:cs="Arial"/>
          <w:bCs/>
          <w:sz w:val="24"/>
          <w:szCs w:val="24"/>
          <w:lang w:val="en-GB"/>
        </w:rPr>
        <w:t xml:space="preserve">] With regard to the respondents, </w:t>
      </w:r>
      <w:r w:rsidR="004F032E">
        <w:rPr>
          <w:rFonts w:ascii="Arial" w:hAnsi="Arial" w:cs="Arial"/>
          <w:bCs/>
          <w:sz w:val="24"/>
          <w:szCs w:val="24"/>
          <w:lang w:val="en-GB"/>
        </w:rPr>
        <w:t xml:space="preserve">the </w:t>
      </w:r>
      <w:r>
        <w:rPr>
          <w:rFonts w:ascii="Arial" w:hAnsi="Arial" w:cs="Arial"/>
          <w:bCs/>
          <w:sz w:val="24"/>
          <w:szCs w:val="24"/>
          <w:lang w:val="en-GB"/>
        </w:rPr>
        <w:t>applicant refers to the clauses it relies on for the relief sought.  It specifically states the prohibited conduct in the agreements.  Thereafter the purpose of the</w:t>
      </w:r>
      <w:r w:rsidR="005B2933">
        <w:rPr>
          <w:rFonts w:ascii="Arial" w:hAnsi="Arial" w:cs="Arial"/>
          <w:bCs/>
          <w:sz w:val="24"/>
          <w:szCs w:val="24"/>
          <w:lang w:val="en-GB"/>
        </w:rPr>
        <w:t xml:space="preserve"> re</w:t>
      </w:r>
      <w:r w:rsidR="00A373E9">
        <w:rPr>
          <w:rFonts w:ascii="Arial" w:hAnsi="Arial" w:cs="Arial"/>
          <w:bCs/>
          <w:sz w:val="24"/>
          <w:szCs w:val="24"/>
          <w:lang w:val="en-GB"/>
        </w:rPr>
        <w:t>straint</w:t>
      </w:r>
      <w:r>
        <w:rPr>
          <w:rFonts w:ascii="Arial" w:hAnsi="Arial" w:cs="Arial"/>
          <w:bCs/>
          <w:sz w:val="24"/>
          <w:szCs w:val="24"/>
          <w:lang w:val="en-GB"/>
        </w:rPr>
        <w:t xml:space="preserve"> clauses is stated as being to protect the applicant’s confidential information, trade secrets and the customer connections which would be created by the respondents </w:t>
      </w:r>
      <w:r w:rsidR="003B1B06">
        <w:rPr>
          <w:rFonts w:ascii="Arial" w:hAnsi="Arial" w:cs="Arial"/>
          <w:bCs/>
          <w:sz w:val="24"/>
          <w:szCs w:val="24"/>
          <w:lang w:val="en-GB"/>
        </w:rPr>
        <w:t>pursuant</w:t>
      </w:r>
      <w:r>
        <w:rPr>
          <w:rFonts w:ascii="Arial" w:hAnsi="Arial" w:cs="Arial"/>
          <w:bCs/>
          <w:sz w:val="24"/>
          <w:szCs w:val="24"/>
          <w:lang w:val="en-GB"/>
        </w:rPr>
        <w:t xml:space="preserve"> to the agreements.  It is alleged that the respondents would acquire knowledge and insight into</w:t>
      </w:r>
      <w:r w:rsidR="00DD02DB">
        <w:rPr>
          <w:rFonts w:ascii="Arial" w:hAnsi="Arial" w:cs="Arial"/>
          <w:bCs/>
          <w:sz w:val="24"/>
          <w:szCs w:val="24"/>
          <w:lang w:val="en-GB"/>
        </w:rPr>
        <w:t xml:space="preserve"> the</w:t>
      </w:r>
      <w:r>
        <w:rPr>
          <w:rFonts w:ascii="Arial" w:hAnsi="Arial" w:cs="Arial"/>
          <w:bCs/>
          <w:sz w:val="24"/>
          <w:szCs w:val="24"/>
          <w:lang w:val="en-GB"/>
        </w:rPr>
        <w:t xml:space="preserve"> applicant’s business and gain influence over its customers.  However, the</w:t>
      </w:r>
      <w:r w:rsidR="00C50385">
        <w:rPr>
          <w:rFonts w:ascii="Arial" w:hAnsi="Arial" w:cs="Arial"/>
          <w:bCs/>
          <w:sz w:val="24"/>
          <w:szCs w:val="24"/>
          <w:lang w:val="en-GB"/>
        </w:rPr>
        <w:t xml:space="preserve"> nature of </w:t>
      </w:r>
      <w:r w:rsidR="00A248C6">
        <w:rPr>
          <w:rFonts w:ascii="Arial" w:hAnsi="Arial" w:cs="Arial"/>
          <w:bCs/>
          <w:sz w:val="24"/>
          <w:szCs w:val="24"/>
          <w:lang w:val="en-GB"/>
        </w:rPr>
        <w:t>the alleged</w:t>
      </w:r>
      <w:r w:rsidR="004F032E">
        <w:rPr>
          <w:rFonts w:ascii="Arial" w:hAnsi="Arial" w:cs="Arial"/>
          <w:bCs/>
          <w:sz w:val="24"/>
          <w:szCs w:val="24"/>
          <w:lang w:val="en-GB"/>
        </w:rPr>
        <w:t xml:space="preserve"> </w:t>
      </w:r>
      <w:r>
        <w:rPr>
          <w:rFonts w:ascii="Arial" w:hAnsi="Arial" w:cs="Arial"/>
          <w:bCs/>
          <w:sz w:val="24"/>
          <w:szCs w:val="24"/>
          <w:lang w:val="en-GB"/>
        </w:rPr>
        <w:t>confidential information,</w:t>
      </w:r>
      <w:r w:rsidR="00740294">
        <w:rPr>
          <w:rFonts w:ascii="Arial" w:hAnsi="Arial" w:cs="Arial"/>
          <w:bCs/>
          <w:sz w:val="24"/>
          <w:szCs w:val="24"/>
          <w:lang w:val="en-GB"/>
        </w:rPr>
        <w:t xml:space="preserve"> the knowledge that would be acquired,</w:t>
      </w:r>
      <w:r w:rsidR="003C6E3E">
        <w:rPr>
          <w:rFonts w:ascii="Arial" w:hAnsi="Arial" w:cs="Arial"/>
          <w:bCs/>
          <w:sz w:val="24"/>
          <w:szCs w:val="24"/>
          <w:lang w:val="en-GB"/>
        </w:rPr>
        <w:t xml:space="preserve"> the</w:t>
      </w:r>
      <w:r w:rsidR="00740294">
        <w:rPr>
          <w:rFonts w:ascii="Arial" w:hAnsi="Arial" w:cs="Arial"/>
          <w:bCs/>
          <w:sz w:val="24"/>
          <w:szCs w:val="24"/>
          <w:lang w:val="en-GB"/>
        </w:rPr>
        <w:t xml:space="preserve"> </w:t>
      </w:r>
      <w:r>
        <w:rPr>
          <w:rFonts w:ascii="Arial" w:hAnsi="Arial" w:cs="Arial"/>
          <w:bCs/>
          <w:sz w:val="24"/>
          <w:szCs w:val="24"/>
          <w:lang w:val="en-GB"/>
        </w:rPr>
        <w:t>trade secrets and the customer connections are almost not mentioned at all</w:t>
      </w:r>
      <w:r w:rsidR="00C44C9C">
        <w:rPr>
          <w:rFonts w:ascii="Arial" w:hAnsi="Arial" w:cs="Arial"/>
          <w:bCs/>
          <w:sz w:val="24"/>
          <w:szCs w:val="24"/>
          <w:lang w:val="en-GB"/>
        </w:rPr>
        <w:t xml:space="preserve"> save for the passing</w:t>
      </w:r>
      <w:r w:rsidR="00E20BDA">
        <w:rPr>
          <w:rFonts w:ascii="Arial" w:hAnsi="Arial" w:cs="Arial"/>
          <w:bCs/>
          <w:sz w:val="24"/>
          <w:szCs w:val="24"/>
          <w:lang w:val="en-GB"/>
        </w:rPr>
        <w:t xml:space="preserve"> </w:t>
      </w:r>
      <w:r w:rsidR="0030528F">
        <w:rPr>
          <w:rFonts w:ascii="Arial" w:hAnsi="Arial" w:cs="Arial"/>
          <w:bCs/>
          <w:sz w:val="24"/>
          <w:szCs w:val="24"/>
          <w:lang w:val="en-GB"/>
        </w:rPr>
        <w:t>reference here and there.</w:t>
      </w:r>
      <w:r>
        <w:rPr>
          <w:rFonts w:ascii="Arial" w:hAnsi="Arial" w:cs="Arial"/>
          <w:bCs/>
          <w:sz w:val="24"/>
          <w:szCs w:val="24"/>
          <w:lang w:val="en-GB"/>
        </w:rPr>
        <w:t xml:space="preserve">  </w:t>
      </w:r>
    </w:p>
    <w:p w14:paraId="21AB31E7" w14:textId="0DECB378" w:rsidR="00CD7787" w:rsidRDefault="00D671BF" w:rsidP="000A1C49">
      <w:pPr>
        <w:spacing w:line="480" w:lineRule="auto"/>
        <w:jc w:val="both"/>
        <w:rPr>
          <w:rFonts w:ascii="Arial" w:hAnsi="Arial" w:cs="Arial"/>
          <w:bCs/>
          <w:sz w:val="24"/>
          <w:szCs w:val="24"/>
          <w:lang w:val="en-GB"/>
        </w:rPr>
      </w:pPr>
      <w:r>
        <w:rPr>
          <w:rFonts w:ascii="Arial" w:hAnsi="Arial" w:cs="Arial"/>
          <w:bCs/>
          <w:sz w:val="24"/>
          <w:szCs w:val="24"/>
          <w:lang w:val="en-GB"/>
        </w:rPr>
        <w:t>[3</w:t>
      </w:r>
      <w:r w:rsidR="00865770">
        <w:rPr>
          <w:rFonts w:ascii="Arial" w:hAnsi="Arial" w:cs="Arial"/>
          <w:bCs/>
          <w:sz w:val="24"/>
          <w:szCs w:val="24"/>
          <w:lang w:val="en-GB"/>
        </w:rPr>
        <w:t>8</w:t>
      </w:r>
      <w:r>
        <w:rPr>
          <w:rFonts w:ascii="Arial" w:hAnsi="Arial" w:cs="Arial"/>
          <w:bCs/>
          <w:sz w:val="24"/>
          <w:szCs w:val="24"/>
          <w:lang w:val="en-GB"/>
        </w:rPr>
        <w:t xml:space="preserve">] </w:t>
      </w:r>
      <w:r w:rsidR="00CD7787">
        <w:rPr>
          <w:rFonts w:ascii="Arial" w:hAnsi="Arial" w:cs="Arial"/>
          <w:bCs/>
          <w:sz w:val="24"/>
          <w:szCs w:val="24"/>
          <w:lang w:val="en-GB"/>
        </w:rPr>
        <w:t>There is no</w:t>
      </w:r>
      <w:r w:rsidR="00816AA2">
        <w:rPr>
          <w:rFonts w:ascii="Arial" w:hAnsi="Arial" w:cs="Arial"/>
          <w:bCs/>
          <w:sz w:val="24"/>
          <w:szCs w:val="24"/>
          <w:lang w:val="en-GB"/>
        </w:rPr>
        <w:t xml:space="preserve"> serious</w:t>
      </w:r>
      <w:r w:rsidR="00CD7787">
        <w:rPr>
          <w:rFonts w:ascii="Arial" w:hAnsi="Arial" w:cs="Arial"/>
          <w:bCs/>
          <w:sz w:val="24"/>
          <w:szCs w:val="24"/>
          <w:lang w:val="en-GB"/>
        </w:rPr>
        <w:t xml:space="preserve"> attempt to indicate in the affidavit what is this confidential information, what are the trade secrets and customer connections the respondents in fact acquired</w:t>
      </w:r>
      <w:r w:rsidR="000C70ED">
        <w:rPr>
          <w:rFonts w:ascii="Arial" w:hAnsi="Arial" w:cs="Arial"/>
          <w:bCs/>
          <w:sz w:val="24"/>
          <w:szCs w:val="24"/>
          <w:lang w:val="en-GB"/>
        </w:rPr>
        <w:t>,</w:t>
      </w:r>
      <w:r>
        <w:rPr>
          <w:rFonts w:ascii="Arial" w:hAnsi="Arial" w:cs="Arial"/>
          <w:bCs/>
          <w:sz w:val="24"/>
          <w:szCs w:val="24"/>
          <w:lang w:val="en-GB"/>
        </w:rPr>
        <w:t xml:space="preserve"> as a result of their business with the applicant</w:t>
      </w:r>
      <w:r w:rsidR="00AC47E1">
        <w:rPr>
          <w:rFonts w:ascii="Arial" w:hAnsi="Arial" w:cs="Arial"/>
          <w:bCs/>
          <w:sz w:val="24"/>
          <w:szCs w:val="24"/>
          <w:lang w:val="en-GB"/>
        </w:rPr>
        <w:t xml:space="preserve"> or evidence of the actual </w:t>
      </w:r>
      <w:r w:rsidR="00EF3F93">
        <w:rPr>
          <w:rFonts w:ascii="Arial" w:hAnsi="Arial" w:cs="Arial"/>
          <w:bCs/>
          <w:sz w:val="24"/>
          <w:szCs w:val="24"/>
          <w:lang w:val="en-GB"/>
        </w:rPr>
        <w:lastRenderedPageBreak/>
        <w:t>acquisition</w:t>
      </w:r>
      <w:r w:rsidR="00CD7787">
        <w:rPr>
          <w:rFonts w:ascii="Arial" w:hAnsi="Arial" w:cs="Arial"/>
          <w:bCs/>
          <w:sz w:val="24"/>
          <w:szCs w:val="24"/>
          <w:lang w:val="en-GB"/>
        </w:rPr>
        <w:t xml:space="preserve">.  The significance of this evidence is that the respondents surely are entitled to know which case they are required to meet and </w:t>
      </w:r>
      <w:r w:rsidR="004F032E">
        <w:rPr>
          <w:rFonts w:ascii="Arial" w:hAnsi="Arial" w:cs="Arial"/>
          <w:bCs/>
          <w:sz w:val="24"/>
          <w:szCs w:val="24"/>
          <w:lang w:val="en-GB"/>
        </w:rPr>
        <w:t xml:space="preserve">to </w:t>
      </w:r>
      <w:r w:rsidR="00CD7787">
        <w:rPr>
          <w:rFonts w:ascii="Arial" w:hAnsi="Arial" w:cs="Arial"/>
          <w:bCs/>
          <w:sz w:val="24"/>
          <w:szCs w:val="24"/>
          <w:lang w:val="en-GB"/>
        </w:rPr>
        <w:t>deal with it</w:t>
      </w:r>
      <w:r w:rsidR="00401555">
        <w:rPr>
          <w:rFonts w:ascii="Arial" w:hAnsi="Arial" w:cs="Arial"/>
          <w:bCs/>
          <w:sz w:val="24"/>
          <w:szCs w:val="24"/>
          <w:lang w:val="en-GB"/>
        </w:rPr>
        <w:t>,</w:t>
      </w:r>
      <w:r>
        <w:rPr>
          <w:rFonts w:ascii="Arial" w:hAnsi="Arial" w:cs="Arial"/>
          <w:bCs/>
          <w:sz w:val="24"/>
          <w:szCs w:val="24"/>
          <w:lang w:val="en-GB"/>
        </w:rPr>
        <w:t xml:space="preserve"> a point they raised forth </w:t>
      </w:r>
      <w:r w:rsidR="00754076">
        <w:rPr>
          <w:rFonts w:ascii="Arial" w:hAnsi="Arial" w:cs="Arial"/>
          <w:bCs/>
          <w:sz w:val="24"/>
          <w:szCs w:val="24"/>
          <w:lang w:val="en-GB"/>
        </w:rPr>
        <w:t>rightly</w:t>
      </w:r>
      <w:r>
        <w:rPr>
          <w:rFonts w:ascii="Arial" w:hAnsi="Arial" w:cs="Arial"/>
          <w:bCs/>
          <w:sz w:val="24"/>
          <w:szCs w:val="24"/>
          <w:lang w:val="en-GB"/>
        </w:rPr>
        <w:t>.</w:t>
      </w:r>
      <w:r w:rsidR="00CD7787">
        <w:rPr>
          <w:rFonts w:ascii="Arial" w:hAnsi="Arial" w:cs="Arial"/>
          <w:bCs/>
          <w:sz w:val="24"/>
          <w:szCs w:val="24"/>
          <w:lang w:val="en-GB"/>
        </w:rPr>
        <w:t xml:space="preserve">  </w:t>
      </w:r>
      <w:r w:rsidR="001462AF">
        <w:rPr>
          <w:rFonts w:ascii="Arial" w:hAnsi="Arial" w:cs="Arial"/>
          <w:bCs/>
          <w:sz w:val="24"/>
          <w:szCs w:val="24"/>
          <w:lang w:val="en-GB"/>
        </w:rPr>
        <w:t>I</w:t>
      </w:r>
      <w:r w:rsidR="003F6E43">
        <w:rPr>
          <w:rFonts w:ascii="Arial" w:hAnsi="Arial" w:cs="Arial"/>
          <w:bCs/>
          <w:sz w:val="24"/>
          <w:szCs w:val="24"/>
          <w:lang w:val="en-GB"/>
        </w:rPr>
        <w:t>nsipi</w:t>
      </w:r>
      <w:r w:rsidR="00CD7787">
        <w:rPr>
          <w:rFonts w:ascii="Arial" w:hAnsi="Arial" w:cs="Arial"/>
          <w:bCs/>
          <w:sz w:val="24"/>
          <w:szCs w:val="24"/>
          <w:lang w:val="en-GB"/>
        </w:rPr>
        <w:t xml:space="preserve">d allegations with no evidence whatsoever and in particular </w:t>
      </w:r>
      <w:r>
        <w:rPr>
          <w:rFonts w:ascii="Arial" w:hAnsi="Arial" w:cs="Arial"/>
          <w:bCs/>
          <w:sz w:val="24"/>
          <w:szCs w:val="24"/>
          <w:lang w:val="en-GB"/>
        </w:rPr>
        <w:t xml:space="preserve">where </w:t>
      </w:r>
      <w:r w:rsidR="00CD7787">
        <w:rPr>
          <w:rFonts w:ascii="Arial" w:hAnsi="Arial" w:cs="Arial"/>
          <w:bCs/>
          <w:sz w:val="24"/>
          <w:szCs w:val="24"/>
          <w:lang w:val="en-GB"/>
        </w:rPr>
        <w:t>there is no allegation in the founding affidavit that the respondents</w:t>
      </w:r>
      <w:r w:rsidR="00B8413C">
        <w:rPr>
          <w:rFonts w:ascii="Arial" w:hAnsi="Arial" w:cs="Arial"/>
          <w:bCs/>
          <w:sz w:val="24"/>
          <w:szCs w:val="24"/>
          <w:lang w:val="en-GB"/>
        </w:rPr>
        <w:t>, in conducting themselves in a</w:t>
      </w:r>
      <w:r w:rsidR="00B300F0">
        <w:rPr>
          <w:rFonts w:ascii="Arial" w:hAnsi="Arial" w:cs="Arial"/>
          <w:bCs/>
          <w:sz w:val="24"/>
          <w:szCs w:val="24"/>
          <w:lang w:val="en-GB"/>
        </w:rPr>
        <w:t xml:space="preserve"> specific and</w:t>
      </w:r>
      <w:r w:rsidR="00B8413C">
        <w:rPr>
          <w:rFonts w:ascii="Arial" w:hAnsi="Arial" w:cs="Arial"/>
          <w:bCs/>
          <w:sz w:val="24"/>
          <w:szCs w:val="24"/>
          <w:lang w:val="en-GB"/>
        </w:rPr>
        <w:t xml:space="preserve"> particular way, acted in breach of the restraint clauses in the agreements</w:t>
      </w:r>
      <w:r>
        <w:rPr>
          <w:rFonts w:ascii="Arial" w:hAnsi="Arial" w:cs="Arial"/>
          <w:bCs/>
          <w:sz w:val="24"/>
          <w:szCs w:val="24"/>
          <w:lang w:val="en-GB"/>
        </w:rPr>
        <w:t xml:space="preserve"> makes the applicant’s case lacking in material respects </w:t>
      </w:r>
      <w:r w:rsidR="00B2681A">
        <w:rPr>
          <w:rFonts w:ascii="Arial" w:hAnsi="Arial" w:cs="Arial"/>
          <w:bCs/>
          <w:sz w:val="24"/>
          <w:szCs w:val="24"/>
          <w:lang w:val="en-GB"/>
        </w:rPr>
        <w:t xml:space="preserve">which </w:t>
      </w:r>
      <w:r w:rsidR="0003774F">
        <w:rPr>
          <w:rFonts w:ascii="Arial" w:hAnsi="Arial" w:cs="Arial"/>
          <w:bCs/>
          <w:sz w:val="24"/>
          <w:szCs w:val="24"/>
          <w:lang w:val="en-GB"/>
        </w:rPr>
        <w:t>inevitably leads</w:t>
      </w:r>
      <w:r>
        <w:rPr>
          <w:rFonts w:ascii="Arial" w:hAnsi="Arial" w:cs="Arial"/>
          <w:bCs/>
          <w:sz w:val="24"/>
          <w:szCs w:val="24"/>
          <w:lang w:val="en-GB"/>
        </w:rPr>
        <w:t xml:space="preserve"> to its failure to discharge the onus resting upon it</w:t>
      </w:r>
      <w:r w:rsidR="00B8413C">
        <w:rPr>
          <w:rFonts w:ascii="Arial" w:hAnsi="Arial" w:cs="Arial"/>
          <w:bCs/>
          <w:sz w:val="24"/>
          <w:szCs w:val="24"/>
          <w:lang w:val="en-GB"/>
        </w:rPr>
        <w:t>.</w:t>
      </w:r>
    </w:p>
    <w:p w14:paraId="01F337BC" w14:textId="04F75505" w:rsidR="00BF13D5" w:rsidRDefault="00B8413C"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E92177">
        <w:rPr>
          <w:rFonts w:ascii="Arial" w:hAnsi="Arial" w:cs="Arial"/>
          <w:bCs/>
          <w:sz w:val="24"/>
          <w:szCs w:val="24"/>
          <w:lang w:val="en-GB"/>
        </w:rPr>
        <w:t>3</w:t>
      </w:r>
      <w:r w:rsidR="007D62C4">
        <w:rPr>
          <w:rFonts w:ascii="Arial" w:hAnsi="Arial" w:cs="Arial"/>
          <w:bCs/>
          <w:sz w:val="24"/>
          <w:szCs w:val="24"/>
          <w:lang w:val="en-GB"/>
        </w:rPr>
        <w:t>9</w:t>
      </w:r>
      <w:r>
        <w:rPr>
          <w:rFonts w:ascii="Arial" w:hAnsi="Arial" w:cs="Arial"/>
          <w:bCs/>
          <w:sz w:val="24"/>
          <w:szCs w:val="24"/>
          <w:lang w:val="en-GB"/>
        </w:rPr>
        <w:t>] The affidavit thereafter moves to deal with Apex</w:t>
      </w:r>
      <w:r w:rsidR="00E05FC8">
        <w:rPr>
          <w:rFonts w:ascii="Arial" w:hAnsi="Arial" w:cs="Arial"/>
          <w:bCs/>
          <w:sz w:val="24"/>
          <w:szCs w:val="24"/>
          <w:lang w:val="en-GB"/>
        </w:rPr>
        <w:t>. S</w:t>
      </w:r>
      <w:r>
        <w:rPr>
          <w:rFonts w:ascii="Arial" w:hAnsi="Arial" w:cs="Arial"/>
          <w:bCs/>
          <w:sz w:val="24"/>
          <w:szCs w:val="24"/>
          <w:lang w:val="en-GB"/>
        </w:rPr>
        <w:t xml:space="preserve">ome allegations are made about Mr Du Toit and his shareholding in the </w:t>
      </w:r>
      <w:r w:rsidR="00D50745">
        <w:rPr>
          <w:rFonts w:ascii="Arial" w:hAnsi="Arial" w:cs="Arial"/>
          <w:bCs/>
          <w:sz w:val="24"/>
          <w:szCs w:val="24"/>
          <w:lang w:val="en-GB"/>
        </w:rPr>
        <w:t xml:space="preserve">respondents and his alleged involvement in the incorporation of Apex.  However, he is, for some reason, not cited and yet he is alleged to be the mastermind or </w:t>
      </w:r>
      <w:r w:rsidR="004136C2">
        <w:rPr>
          <w:rFonts w:ascii="Arial" w:hAnsi="Arial" w:cs="Arial"/>
          <w:bCs/>
          <w:sz w:val="24"/>
          <w:szCs w:val="24"/>
          <w:lang w:val="en-GB"/>
        </w:rPr>
        <w:t xml:space="preserve">the </w:t>
      </w:r>
      <w:r w:rsidR="00D50745">
        <w:rPr>
          <w:rFonts w:ascii="Arial" w:hAnsi="Arial" w:cs="Arial"/>
          <w:bCs/>
          <w:sz w:val="24"/>
          <w:szCs w:val="24"/>
          <w:lang w:val="en-GB"/>
        </w:rPr>
        <w:t>brains behind the alleged breaches presumably</w:t>
      </w:r>
      <w:r w:rsidR="00BF13D5">
        <w:rPr>
          <w:rFonts w:ascii="Arial" w:hAnsi="Arial" w:cs="Arial"/>
          <w:bCs/>
          <w:sz w:val="24"/>
          <w:szCs w:val="24"/>
          <w:lang w:val="en-GB"/>
        </w:rPr>
        <w:t xml:space="preserve"> because of his alleged active involvement in Apex.  </w:t>
      </w:r>
      <w:r w:rsidR="004136C2">
        <w:rPr>
          <w:rFonts w:ascii="Arial" w:hAnsi="Arial" w:cs="Arial"/>
          <w:bCs/>
          <w:sz w:val="24"/>
          <w:szCs w:val="24"/>
          <w:lang w:val="en-GB"/>
        </w:rPr>
        <w:t xml:space="preserve">No attempt is made to distinguish between Apex </w:t>
      </w:r>
      <w:r w:rsidR="0060767E">
        <w:rPr>
          <w:rFonts w:ascii="Arial" w:hAnsi="Arial" w:cs="Arial"/>
          <w:bCs/>
          <w:sz w:val="24"/>
          <w:szCs w:val="24"/>
          <w:lang w:val="en-GB"/>
        </w:rPr>
        <w:t>V</w:t>
      </w:r>
      <w:r w:rsidR="004136C2">
        <w:rPr>
          <w:rFonts w:ascii="Arial" w:hAnsi="Arial" w:cs="Arial"/>
          <w:bCs/>
          <w:sz w:val="24"/>
          <w:szCs w:val="24"/>
          <w:lang w:val="en-GB"/>
        </w:rPr>
        <w:t xml:space="preserve">ehicle Rental (Pty) Ltd, the fourth respondent and Apex </w:t>
      </w:r>
      <w:r w:rsidR="0060767E">
        <w:rPr>
          <w:rFonts w:ascii="Arial" w:hAnsi="Arial" w:cs="Arial"/>
          <w:bCs/>
          <w:sz w:val="24"/>
          <w:szCs w:val="24"/>
          <w:lang w:val="en-GB"/>
        </w:rPr>
        <w:t>V</w:t>
      </w:r>
      <w:r w:rsidR="004136C2">
        <w:rPr>
          <w:rFonts w:ascii="Arial" w:hAnsi="Arial" w:cs="Arial"/>
          <w:bCs/>
          <w:sz w:val="24"/>
          <w:szCs w:val="24"/>
          <w:lang w:val="en-GB"/>
        </w:rPr>
        <w:t xml:space="preserve">ehicle Rental Coastal (Pty) Ltd which is the fourth respondent’s franchisee, a separate entity </w:t>
      </w:r>
      <w:r w:rsidR="0060767E">
        <w:rPr>
          <w:rFonts w:ascii="Arial" w:hAnsi="Arial" w:cs="Arial"/>
          <w:bCs/>
          <w:sz w:val="24"/>
          <w:szCs w:val="24"/>
          <w:lang w:val="en-GB"/>
        </w:rPr>
        <w:t>which is also</w:t>
      </w:r>
      <w:r w:rsidR="004136C2">
        <w:rPr>
          <w:rFonts w:ascii="Arial" w:hAnsi="Arial" w:cs="Arial"/>
          <w:bCs/>
          <w:sz w:val="24"/>
          <w:szCs w:val="24"/>
          <w:lang w:val="en-GB"/>
        </w:rPr>
        <w:t xml:space="preserve"> not before court.</w:t>
      </w:r>
      <w:r w:rsidR="00C6580E">
        <w:rPr>
          <w:rFonts w:ascii="Arial" w:hAnsi="Arial" w:cs="Arial"/>
          <w:bCs/>
          <w:sz w:val="24"/>
          <w:szCs w:val="24"/>
          <w:lang w:val="en-GB"/>
        </w:rPr>
        <w:t xml:space="preserve"> I</w:t>
      </w:r>
      <w:r w:rsidR="008A1F41">
        <w:rPr>
          <w:rFonts w:ascii="Arial" w:hAnsi="Arial" w:cs="Arial"/>
          <w:bCs/>
          <w:sz w:val="24"/>
          <w:szCs w:val="24"/>
          <w:lang w:val="en-GB"/>
        </w:rPr>
        <w:t xml:space="preserve">t appears that the applicant was under the impression that </w:t>
      </w:r>
      <w:r w:rsidR="008F7A3E">
        <w:rPr>
          <w:rFonts w:ascii="Arial" w:hAnsi="Arial" w:cs="Arial"/>
          <w:bCs/>
          <w:sz w:val="24"/>
          <w:szCs w:val="24"/>
          <w:lang w:val="en-GB"/>
        </w:rPr>
        <w:t>the two entities are the same.</w:t>
      </w:r>
      <w:r w:rsidR="004136C2">
        <w:rPr>
          <w:rFonts w:ascii="Arial" w:hAnsi="Arial" w:cs="Arial"/>
          <w:bCs/>
          <w:sz w:val="24"/>
          <w:szCs w:val="24"/>
          <w:lang w:val="en-GB"/>
        </w:rPr>
        <w:t xml:space="preserve"> </w:t>
      </w:r>
      <w:r w:rsidR="00BF13D5">
        <w:rPr>
          <w:rFonts w:ascii="Arial" w:hAnsi="Arial" w:cs="Arial"/>
          <w:bCs/>
          <w:sz w:val="24"/>
          <w:szCs w:val="24"/>
          <w:lang w:val="en-GB"/>
        </w:rPr>
        <w:t>The Eric</w:t>
      </w:r>
      <w:r w:rsidR="0060767E">
        <w:rPr>
          <w:rFonts w:ascii="Arial" w:hAnsi="Arial" w:cs="Arial"/>
          <w:bCs/>
          <w:sz w:val="24"/>
          <w:szCs w:val="24"/>
          <w:lang w:val="en-GB"/>
        </w:rPr>
        <w:t>s</w:t>
      </w:r>
      <w:r w:rsidR="00BF13D5">
        <w:rPr>
          <w:rFonts w:ascii="Arial" w:hAnsi="Arial" w:cs="Arial"/>
          <w:bCs/>
          <w:sz w:val="24"/>
          <w:szCs w:val="24"/>
          <w:lang w:val="en-GB"/>
        </w:rPr>
        <w:t>son incident is dealt with and how Mr Du Toit dealt with it.</w:t>
      </w:r>
      <w:r w:rsidR="00DF1C3C">
        <w:rPr>
          <w:rFonts w:ascii="Arial" w:hAnsi="Arial" w:cs="Arial"/>
          <w:bCs/>
          <w:sz w:val="24"/>
          <w:szCs w:val="24"/>
          <w:lang w:val="en-GB"/>
        </w:rPr>
        <w:t xml:space="preserve"> What is not </w:t>
      </w:r>
      <w:r w:rsidR="00AE6095">
        <w:rPr>
          <w:rFonts w:ascii="Arial" w:hAnsi="Arial" w:cs="Arial"/>
          <w:bCs/>
          <w:sz w:val="24"/>
          <w:szCs w:val="24"/>
          <w:lang w:val="en-GB"/>
        </w:rPr>
        <w:t>dealt with is in what manner after his under</w:t>
      </w:r>
      <w:r w:rsidR="00FB217B">
        <w:rPr>
          <w:rFonts w:ascii="Arial" w:hAnsi="Arial" w:cs="Arial"/>
          <w:bCs/>
          <w:sz w:val="24"/>
          <w:szCs w:val="24"/>
          <w:lang w:val="en-GB"/>
        </w:rPr>
        <w:t xml:space="preserve">taking did any of the </w:t>
      </w:r>
      <w:r w:rsidR="009E3F00">
        <w:rPr>
          <w:rFonts w:ascii="Arial" w:hAnsi="Arial" w:cs="Arial"/>
          <w:bCs/>
          <w:sz w:val="24"/>
          <w:szCs w:val="24"/>
          <w:lang w:val="en-GB"/>
        </w:rPr>
        <w:t>respondents act or attempt</w:t>
      </w:r>
      <w:r w:rsidR="002A189C">
        <w:rPr>
          <w:rFonts w:ascii="Arial" w:hAnsi="Arial" w:cs="Arial"/>
          <w:bCs/>
          <w:sz w:val="24"/>
          <w:szCs w:val="24"/>
          <w:lang w:val="en-GB"/>
        </w:rPr>
        <w:t xml:space="preserve"> or somehow behav</w:t>
      </w:r>
      <w:r w:rsidR="00556AC5">
        <w:rPr>
          <w:rFonts w:ascii="Arial" w:hAnsi="Arial" w:cs="Arial"/>
          <w:bCs/>
          <w:sz w:val="24"/>
          <w:szCs w:val="24"/>
          <w:lang w:val="en-GB"/>
        </w:rPr>
        <w:t>e</w:t>
      </w:r>
      <w:r w:rsidR="002A189C">
        <w:rPr>
          <w:rFonts w:ascii="Arial" w:hAnsi="Arial" w:cs="Arial"/>
          <w:bCs/>
          <w:sz w:val="24"/>
          <w:szCs w:val="24"/>
          <w:lang w:val="en-GB"/>
        </w:rPr>
        <w:t xml:space="preserve"> in a manner</w:t>
      </w:r>
      <w:r w:rsidR="003E07B7">
        <w:rPr>
          <w:rFonts w:ascii="Arial" w:hAnsi="Arial" w:cs="Arial"/>
          <w:bCs/>
          <w:sz w:val="24"/>
          <w:szCs w:val="24"/>
          <w:lang w:val="en-GB"/>
        </w:rPr>
        <w:t xml:space="preserve"> that </w:t>
      </w:r>
      <w:r w:rsidR="00B16E07">
        <w:rPr>
          <w:rFonts w:ascii="Arial" w:hAnsi="Arial" w:cs="Arial"/>
          <w:bCs/>
          <w:sz w:val="24"/>
          <w:szCs w:val="24"/>
          <w:lang w:val="en-GB"/>
        </w:rPr>
        <w:t xml:space="preserve">indicated an indiscretion or </w:t>
      </w:r>
      <w:r w:rsidR="00250D83">
        <w:rPr>
          <w:rFonts w:ascii="Arial" w:hAnsi="Arial" w:cs="Arial"/>
          <w:bCs/>
          <w:sz w:val="24"/>
          <w:szCs w:val="24"/>
          <w:lang w:val="en-GB"/>
        </w:rPr>
        <w:t xml:space="preserve">transgression. </w:t>
      </w:r>
      <w:r w:rsidR="00BF13D5">
        <w:rPr>
          <w:rFonts w:ascii="Arial" w:hAnsi="Arial" w:cs="Arial"/>
          <w:bCs/>
          <w:sz w:val="24"/>
          <w:szCs w:val="24"/>
          <w:lang w:val="en-GB"/>
        </w:rPr>
        <w:t xml:space="preserve">Thereafter the allegations haphazardly hop into Mr </w:t>
      </w:r>
      <w:r w:rsidR="0060767E">
        <w:rPr>
          <w:rFonts w:ascii="Arial" w:hAnsi="Arial" w:cs="Arial"/>
          <w:bCs/>
          <w:sz w:val="24"/>
          <w:szCs w:val="24"/>
          <w:lang w:val="en-GB"/>
        </w:rPr>
        <w:t>D</w:t>
      </w:r>
      <w:r w:rsidR="00BF13D5">
        <w:rPr>
          <w:rFonts w:ascii="Arial" w:hAnsi="Arial" w:cs="Arial"/>
          <w:bCs/>
          <w:sz w:val="24"/>
          <w:szCs w:val="24"/>
          <w:lang w:val="en-GB"/>
        </w:rPr>
        <w:t>u Toit</w:t>
      </w:r>
      <w:r w:rsidR="004136C2">
        <w:rPr>
          <w:rFonts w:ascii="Arial" w:hAnsi="Arial" w:cs="Arial"/>
          <w:bCs/>
          <w:sz w:val="24"/>
          <w:szCs w:val="24"/>
          <w:lang w:val="en-GB"/>
        </w:rPr>
        <w:t>’s</w:t>
      </w:r>
      <w:r w:rsidR="00BF13D5">
        <w:rPr>
          <w:rFonts w:ascii="Arial" w:hAnsi="Arial" w:cs="Arial"/>
          <w:bCs/>
          <w:sz w:val="24"/>
          <w:szCs w:val="24"/>
          <w:lang w:val="en-GB"/>
        </w:rPr>
        <w:t xml:space="preserve"> resignation from Apex and the appointment of Ms Lund</w:t>
      </w:r>
      <w:r w:rsidR="0060767E">
        <w:rPr>
          <w:rFonts w:ascii="Arial" w:hAnsi="Arial" w:cs="Arial"/>
          <w:bCs/>
          <w:sz w:val="24"/>
          <w:szCs w:val="24"/>
          <w:lang w:val="en-GB"/>
        </w:rPr>
        <w:t>y</w:t>
      </w:r>
      <w:r w:rsidR="00BF13D5">
        <w:rPr>
          <w:rFonts w:ascii="Arial" w:hAnsi="Arial" w:cs="Arial"/>
          <w:bCs/>
          <w:sz w:val="24"/>
          <w:szCs w:val="24"/>
          <w:lang w:val="en-GB"/>
        </w:rPr>
        <w:t xml:space="preserve">.  After that Mr </w:t>
      </w:r>
      <w:r w:rsidR="0060767E">
        <w:rPr>
          <w:rFonts w:ascii="Arial" w:hAnsi="Arial" w:cs="Arial"/>
          <w:bCs/>
          <w:sz w:val="24"/>
          <w:szCs w:val="24"/>
          <w:lang w:val="en-GB"/>
        </w:rPr>
        <w:t>D</w:t>
      </w:r>
      <w:r w:rsidR="00BF13D5">
        <w:rPr>
          <w:rFonts w:ascii="Arial" w:hAnsi="Arial" w:cs="Arial"/>
          <w:bCs/>
          <w:sz w:val="24"/>
          <w:szCs w:val="24"/>
          <w:lang w:val="en-GB"/>
        </w:rPr>
        <w:t xml:space="preserve">u Toit is alleged to have been the brains behind the incorporation of Apex and is alleged to be working with the respondents to unlawfully compete with the applicant and in breach of their restraint provisions.  Again, I </w:t>
      </w:r>
      <w:r w:rsidR="00BF13D5">
        <w:rPr>
          <w:rFonts w:ascii="Arial" w:hAnsi="Arial" w:cs="Arial"/>
          <w:bCs/>
          <w:sz w:val="24"/>
          <w:szCs w:val="24"/>
          <w:lang w:val="en-GB"/>
        </w:rPr>
        <w:lastRenderedPageBreak/>
        <w:t xml:space="preserve">must mention that he is not </w:t>
      </w:r>
      <w:r w:rsidR="00F17FA6">
        <w:rPr>
          <w:rFonts w:ascii="Arial" w:hAnsi="Arial" w:cs="Arial"/>
          <w:bCs/>
          <w:sz w:val="24"/>
          <w:szCs w:val="24"/>
          <w:lang w:val="en-GB"/>
        </w:rPr>
        <w:t>cited,</w:t>
      </w:r>
      <w:r w:rsidR="0060767E">
        <w:rPr>
          <w:rFonts w:ascii="Arial" w:hAnsi="Arial" w:cs="Arial"/>
          <w:bCs/>
          <w:sz w:val="24"/>
          <w:szCs w:val="24"/>
          <w:lang w:val="en-GB"/>
        </w:rPr>
        <w:t xml:space="preserve"> and these allegations are made with no attempt to substantiate them</w:t>
      </w:r>
      <w:r w:rsidR="00BF13D5">
        <w:rPr>
          <w:rFonts w:ascii="Arial" w:hAnsi="Arial" w:cs="Arial"/>
          <w:bCs/>
          <w:sz w:val="24"/>
          <w:szCs w:val="24"/>
          <w:lang w:val="en-GB"/>
        </w:rPr>
        <w:t>.</w:t>
      </w:r>
    </w:p>
    <w:p w14:paraId="6DBCCAD0" w14:textId="39560DCA" w:rsidR="00B8413C" w:rsidRDefault="00BF13D5"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BE7DCA">
        <w:rPr>
          <w:rFonts w:ascii="Arial" w:hAnsi="Arial" w:cs="Arial"/>
          <w:bCs/>
          <w:sz w:val="24"/>
          <w:szCs w:val="24"/>
          <w:lang w:val="en-GB"/>
        </w:rPr>
        <w:t>40</w:t>
      </w:r>
      <w:r>
        <w:rPr>
          <w:rFonts w:ascii="Arial" w:hAnsi="Arial" w:cs="Arial"/>
          <w:bCs/>
          <w:sz w:val="24"/>
          <w:szCs w:val="24"/>
          <w:lang w:val="en-GB"/>
        </w:rPr>
        <w:t xml:space="preserve">] </w:t>
      </w:r>
      <w:r w:rsidR="00AF7C7C">
        <w:rPr>
          <w:rFonts w:ascii="Arial" w:hAnsi="Arial" w:cs="Arial"/>
          <w:bCs/>
          <w:sz w:val="24"/>
          <w:szCs w:val="24"/>
          <w:lang w:val="en-GB"/>
        </w:rPr>
        <w:t>Allegations are</w:t>
      </w:r>
      <w:r w:rsidR="0090024A">
        <w:rPr>
          <w:rFonts w:ascii="Arial" w:hAnsi="Arial" w:cs="Arial"/>
          <w:bCs/>
          <w:sz w:val="24"/>
          <w:szCs w:val="24"/>
          <w:lang w:val="en-GB"/>
        </w:rPr>
        <w:t xml:space="preserve"> then</w:t>
      </w:r>
      <w:r w:rsidR="00AF7C7C">
        <w:rPr>
          <w:rFonts w:ascii="Arial" w:hAnsi="Arial" w:cs="Arial"/>
          <w:bCs/>
          <w:sz w:val="24"/>
          <w:szCs w:val="24"/>
          <w:lang w:val="en-GB"/>
        </w:rPr>
        <w:t xml:space="preserve"> made about the respondents and Apex sharing the same business and/or registered address and the </w:t>
      </w:r>
      <w:r w:rsidR="00230040">
        <w:rPr>
          <w:rFonts w:ascii="Arial" w:hAnsi="Arial" w:cs="Arial"/>
          <w:bCs/>
          <w:sz w:val="24"/>
          <w:szCs w:val="24"/>
          <w:lang w:val="en-GB"/>
        </w:rPr>
        <w:t>alleged use</w:t>
      </w:r>
      <w:r w:rsidR="00AF7C7C">
        <w:rPr>
          <w:rFonts w:ascii="Arial" w:hAnsi="Arial" w:cs="Arial"/>
          <w:bCs/>
          <w:sz w:val="24"/>
          <w:szCs w:val="24"/>
          <w:lang w:val="en-GB"/>
        </w:rPr>
        <w:t xml:space="preserve"> by Apex of the respondents’ telephone numbers and other allegations are thrown into the mix with no attempt at provi</w:t>
      </w:r>
      <w:r w:rsidR="00F33BF6">
        <w:rPr>
          <w:rFonts w:ascii="Arial" w:hAnsi="Arial" w:cs="Arial"/>
          <w:bCs/>
          <w:sz w:val="24"/>
          <w:szCs w:val="24"/>
          <w:lang w:val="en-GB"/>
        </w:rPr>
        <w:t>di</w:t>
      </w:r>
      <w:r w:rsidR="00AF7C7C">
        <w:rPr>
          <w:rFonts w:ascii="Arial" w:hAnsi="Arial" w:cs="Arial"/>
          <w:bCs/>
          <w:sz w:val="24"/>
          <w:szCs w:val="24"/>
          <w:lang w:val="en-GB"/>
        </w:rPr>
        <w:t xml:space="preserve">ng proper evidence to sustain the </w:t>
      </w:r>
      <w:r w:rsidR="0060767E">
        <w:rPr>
          <w:rFonts w:ascii="Arial" w:hAnsi="Arial" w:cs="Arial"/>
          <w:bCs/>
          <w:sz w:val="24"/>
          <w:szCs w:val="24"/>
          <w:lang w:val="en-GB"/>
        </w:rPr>
        <w:t xml:space="preserve">said </w:t>
      </w:r>
      <w:r w:rsidR="00AF7C7C">
        <w:rPr>
          <w:rFonts w:ascii="Arial" w:hAnsi="Arial" w:cs="Arial"/>
          <w:bCs/>
          <w:sz w:val="24"/>
          <w:szCs w:val="24"/>
          <w:lang w:val="en-GB"/>
        </w:rPr>
        <w:t xml:space="preserve">allegations.  </w:t>
      </w:r>
      <w:r w:rsidR="00084A8F">
        <w:rPr>
          <w:rFonts w:ascii="Arial" w:hAnsi="Arial" w:cs="Arial"/>
          <w:bCs/>
          <w:sz w:val="24"/>
          <w:szCs w:val="24"/>
          <w:lang w:val="en-GB"/>
        </w:rPr>
        <w:t>Finally,</w:t>
      </w:r>
      <w:r w:rsidR="00AF7C7C">
        <w:rPr>
          <w:rFonts w:ascii="Arial" w:hAnsi="Arial" w:cs="Arial"/>
          <w:bCs/>
          <w:sz w:val="24"/>
          <w:szCs w:val="24"/>
          <w:lang w:val="en-GB"/>
        </w:rPr>
        <w:t xml:space="preserve"> Apex is alleged to be not only complicit in assisting the respondents’ breach of their respective restraint provisions</w:t>
      </w:r>
      <w:r w:rsidR="00DC5413">
        <w:rPr>
          <w:rFonts w:ascii="Arial" w:hAnsi="Arial" w:cs="Arial"/>
          <w:bCs/>
          <w:sz w:val="24"/>
          <w:szCs w:val="24"/>
          <w:lang w:val="en-GB"/>
        </w:rPr>
        <w:t>.</w:t>
      </w:r>
      <w:r w:rsidR="00873555">
        <w:rPr>
          <w:rFonts w:ascii="Arial" w:hAnsi="Arial" w:cs="Arial"/>
          <w:bCs/>
          <w:sz w:val="24"/>
          <w:szCs w:val="24"/>
          <w:lang w:val="en-GB"/>
        </w:rPr>
        <w:t xml:space="preserve"> It </w:t>
      </w:r>
      <w:r w:rsidR="00AF7C7C">
        <w:rPr>
          <w:rFonts w:ascii="Arial" w:hAnsi="Arial" w:cs="Arial"/>
          <w:bCs/>
          <w:sz w:val="24"/>
          <w:szCs w:val="24"/>
          <w:lang w:val="en-GB"/>
        </w:rPr>
        <w:t>is further alleged that the respondents are springboarding Apex to circumvent the said restraint provisions.  Therefore, Apex is alleged to be, in so doing, competing unlawfully with</w:t>
      </w:r>
      <w:r w:rsidR="003C7C9B">
        <w:rPr>
          <w:rFonts w:ascii="Arial" w:hAnsi="Arial" w:cs="Arial"/>
          <w:bCs/>
          <w:sz w:val="24"/>
          <w:szCs w:val="24"/>
          <w:lang w:val="en-GB"/>
        </w:rPr>
        <w:t xml:space="preserve"> the</w:t>
      </w:r>
      <w:r w:rsidR="00AF7C7C">
        <w:rPr>
          <w:rFonts w:ascii="Arial" w:hAnsi="Arial" w:cs="Arial"/>
          <w:bCs/>
          <w:sz w:val="24"/>
          <w:szCs w:val="24"/>
          <w:lang w:val="en-GB"/>
        </w:rPr>
        <w:t xml:space="preserve"> applicant. </w:t>
      </w:r>
      <w:r w:rsidR="00EE3277">
        <w:rPr>
          <w:rFonts w:ascii="Arial" w:hAnsi="Arial" w:cs="Arial"/>
          <w:bCs/>
          <w:sz w:val="24"/>
          <w:szCs w:val="24"/>
          <w:lang w:val="en-GB"/>
        </w:rPr>
        <w:t>How Apex</w:t>
      </w:r>
      <w:r w:rsidR="002855E1">
        <w:rPr>
          <w:rFonts w:ascii="Arial" w:hAnsi="Arial" w:cs="Arial"/>
          <w:bCs/>
          <w:sz w:val="24"/>
          <w:szCs w:val="24"/>
          <w:lang w:val="en-GB"/>
        </w:rPr>
        <w:t xml:space="preserve"> acted as alleged </w:t>
      </w:r>
      <w:r w:rsidR="00C16AB2">
        <w:rPr>
          <w:rFonts w:ascii="Arial" w:hAnsi="Arial" w:cs="Arial"/>
          <w:bCs/>
          <w:sz w:val="24"/>
          <w:szCs w:val="24"/>
          <w:lang w:val="en-GB"/>
        </w:rPr>
        <w:t xml:space="preserve">without </w:t>
      </w:r>
      <w:r w:rsidR="00E922CB">
        <w:rPr>
          <w:rFonts w:ascii="Arial" w:hAnsi="Arial" w:cs="Arial"/>
          <w:bCs/>
          <w:sz w:val="24"/>
          <w:szCs w:val="24"/>
          <w:lang w:val="en-GB"/>
        </w:rPr>
        <w:t xml:space="preserve">a clear nexus </w:t>
      </w:r>
      <w:r w:rsidR="00A338DB">
        <w:rPr>
          <w:rFonts w:ascii="Arial" w:hAnsi="Arial" w:cs="Arial"/>
          <w:bCs/>
          <w:sz w:val="24"/>
          <w:szCs w:val="24"/>
          <w:lang w:val="en-GB"/>
        </w:rPr>
        <w:t xml:space="preserve">and some form of collusion </w:t>
      </w:r>
      <w:r w:rsidR="006A7324">
        <w:rPr>
          <w:rFonts w:ascii="Arial" w:hAnsi="Arial" w:cs="Arial"/>
          <w:bCs/>
          <w:sz w:val="24"/>
          <w:szCs w:val="24"/>
          <w:lang w:val="en-GB"/>
        </w:rPr>
        <w:t>between it and its franchisee</w:t>
      </w:r>
      <w:r w:rsidR="00041102">
        <w:rPr>
          <w:rFonts w:ascii="Arial" w:hAnsi="Arial" w:cs="Arial"/>
          <w:bCs/>
          <w:sz w:val="24"/>
          <w:szCs w:val="24"/>
          <w:lang w:val="en-GB"/>
        </w:rPr>
        <w:t xml:space="preserve"> at the behe</w:t>
      </w:r>
      <w:r w:rsidR="004A5CE2">
        <w:rPr>
          <w:rFonts w:ascii="Arial" w:hAnsi="Arial" w:cs="Arial"/>
          <w:bCs/>
          <w:sz w:val="24"/>
          <w:szCs w:val="24"/>
          <w:lang w:val="en-GB"/>
        </w:rPr>
        <w:t>st</w:t>
      </w:r>
      <w:r w:rsidR="00187FFE">
        <w:rPr>
          <w:rFonts w:ascii="Arial" w:hAnsi="Arial" w:cs="Arial"/>
          <w:bCs/>
          <w:sz w:val="24"/>
          <w:szCs w:val="24"/>
          <w:lang w:val="en-GB"/>
        </w:rPr>
        <w:t xml:space="preserve"> of the </w:t>
      </w:r>
      <w:r w:rsidR="0085416F">
        <w:rPr>
          <w:rFonts w:ascii="Arial" w:hAnsi="Arial" w:cs="Arial"/>
          <w:bCs/>
          <w:sz w:val="24"/>
          <w:szCs w:val="24"/>
          <w:lang w:val="en-GB"/>
        </w:rPr>
        <w:t>respondents</w:t>
      </w:r>
      <w:r w:rsidR="00187FFE">
        <w:rPr>
          <w:rFonts w:ascii="Arial" w:hAnsi="Arial" w:cs="Arial"/>
          <w:bCs/>
          <w:sz w:val="24"/>
          <w:szCs w:val="24"/>
          <w:lang w:val="en-GB"/>
        </w:rPr>
        <w:t xml:space="preserve"> </w:t>
      </w:r>
      <w:r w:rsidR="00772FFD">
        <w:rPr>
          <w:rFonts w:ascii="Arial" w:hAnsi="Arial" w:cs="Arial"/>
          <w:bCs/>
          <w:sz w:val="24"/>
          <w:szCs w:val="24"/>
          <w:lang w:val="en-GB"/>
        </w:rPr>
        <w:t>and/or Mr Du Toit</w:t>
      </w:r>
      <w:r w:rsidR="006A7324">
        <w:rPr>
          <w:rFonts w:ascii="Arial" w:hAnsi="Arial" w:cs="Arial"/>
          <w:bCs/>
          <w:sz w:val="24"/>
          <w:szCs w:val="24"/>
          <w:lang w:val="en-GB"/>
        </w:rPr>
        <w:t xml:space="preserve"> </w:t>
      </w:r>
      <w:r w:rsidR="002855E1">
        <w:rPr>
          <w:rFonts w:ascii="Arial" w:hAnsi="Arial" w:cs="Arial"/>
          <w:bCs/>
          <w:sz w:val="24"/>
          <w:szCs w:val="24"/>
          <w:lang w:val="en-GB"/>
        </w:rPr>
        <w:t xml:space="preserve">is </w:t>
      </w:r>
      <w:r w:rsidR="006A7324">
        <w:rPr>
          <w:rFonts w:ascii="Arial" w:hAnsi="Arial" w:cs="Arial"/>
          <w:bCs/>
          <w:sz w:val="24"/>
          <w:szCs w:val="24"/>
          <w:lang w:val="en-GB"/>
        </w:rPr>
        <w:t>difficult to understand.</w:t>
      </w:r>
      <w:r w:rsidR="00A338DB">
        <w:rPr>
          <w:rFonts w:ascii="Arial" w:hAnsi="Arial" w:cs="Arial"/>
          <w:bCs/>
          <w:sz w:val="24"/>
          <w:szCs w:val="24"/>
          <w:lang w:val="en-GB"/>
        </w:rPr>
        <w:t xml:space="preserve"> </w:t>
      </w:r>
    </w:p>
    <w:p w14:paraId="10B2E357" w14:textId="330A8616" w:rsidR="003F2E5C" w:rsidRDefault="003F2E5C" w:rsidP="003F2E5C">
      <w:pPr>
        <w:spacing w:line="480" w:lineRule="auto"/>
        <w:jc w:val="both"/>
        <w:rPr>
          <w:rFonts w:ascii="Arial" w:hAnsi="Arial" w:cs="Arial"/>
          <w:bCs/>
          <w:sz w:val="24"/>
          <w:szCs w:val="24"/>
          <w:lang w:val="en-GB"/>
        </w:rPr>
      </w:pPr>
      <w:r>
        <w:rPr>
          <w:rFonts w:ascii="Arial" w:hAnsi="Arial" w:cs="Arial"/>
          <w:bCs/>
          <w:sz w:val="24"/>
          <w:szCs w:val="24"/>
          <w:lang w:val="en-GB"/>
        </w:rPr>
        <w:t>[4</w:t>
      </w:r>
      <w:r w:rsidR="00C31FCA">
        <w:rPr>
          <w:rFonts w:ascii="Arial" w:hAnsi="Arial" w:cs="Arial"/>
          <w:bCs/>
          <w:sz w:val="24"/>
          <w:szCs w:val="24"/>
          <w:lang w:val="en-GB"/>
        </w:rPr>
        <w:t>1</w:t>
      </w:r>
      <w:r>
        <w:rPr>
          <w:rFonts w:ascii="Arial" w:hAnsi="Arial" w:cs="Arial"/>
          <w:bCs/>
          <w:sz w:val="24"/>
          <w:szCs w:val="24"/>
          <w:lang w:val="en-GB"/>
        </w:rPr>
        <w:t xml:space="preserve">] In explaining the correct approach to restraint provisions the court said in </w:t>
      </w:r>
      <w:r w:rsidRPr="00B216C1">
        <w:rPr>
          <w:rFonts w:ascii="Arial" w:hAnsi="Arial" w:cs="Arial"/>
          <w:bCs/>
          <w:i/>
          <w:iCs/>
          <w:sz w:val="24"/>
          <w:szCs w:val="24"/>
          <w:lang w:val="en-GB"/>
        </w:rPr>
        <w:t>Rawlins</w:t>
      </w:r>
      <w:r>
        <w:rPr>
          <w:rStyle w:val="FootnoteReference"/>
          <w:rFonts w:ascii="Arial" w:hAnsi="Arial" w:cs="Arial"/>
          <w:bCs/>
          <w:sz w:val="24"/>
          <w:szCs w:val="24"/>
          <w:lang w:val="en-GB"/>
        </w:rPr>
        <w:footnoteReference w:id="3"/>
      </w:r>
      <w:r>
        <w:rPr>
          <w:rFonts w:ascii="Arial" w:hAnsi="Arial" w:cs="Arial"/>
          <w:bCs/>
          <w:sz w:val="24"/>
          <w:szCs w:val="24"/>
          <w:lang w:val="en-GB"/>
        </w:rPr>
        <w:t>.</w:t>
      </w:r>
    </w:p>
    <w:p w14:paraId="39C834AE" w14:textId="79DAAC2A" w:rsidR="003F2E5C" w:rsidRPr="00450F0B" w:rsidRDefault="003F2E5C" w:rsidP="003F2E5C">
      <w:pPr>
        <w:spacing w:line="360" w:lineRule="auto"/>
        <w:ind w:left="720"/>
        <w:jc w:val="both"/>
        <w:rPr>
          <w:rFonts w:ascii="Arial" w:hAnsi="Arial" w:cs="Arial"/>
          <w:bCs/>
          <w:lang w:val="en-GB"/>
        </w:rPr>
      </w:pPr>
      <w:r w:rsidRPr="00450F0B">
        <w:rPr>
          <w:rFonts w:ascii="Arial" w:hAnsi="Arial" w:cs="Arial"/>
          <w:bCs/>
          <w:lang w:val="en-GB"/>
        </w:rPr>
        <w:t>… “[T]he ‘customer con</w:t>
      </w:r>
      <w:r w:rsidR="004F3AA4">
        <w:rPr>
          <w:rFonts w:ascii="Arial" w:hAnsi="Arial" w:cs="Arial"/>
          <w:bCs/>
          <w:lang w:val="en-GB"/>
        </w:rPr>
        <w:t>tac</w:t>
      </w:r>
      <w:r w:rsidRPr="00450F0B">
        <w:rPr>
          <w:rFonts w:ascii="Arial" w:hAnsi="Arial" w:cs="Arial"/>
          <w:bCs/>
          <w:lang w:val="en-GB"/>
        </w:rPr>
        <w:t>t’ doctrine depends on the notion that</w:t>
      </w:r>
    </w:p>
    <w:p w14:paraId="5099DA44" w14:textId="28D23301" w:rsidR="003F2E5C" w:rsidRDefault="003F2E5C" w:rsidP="003F2E5C">
      <w:pPr>
        <w:spacing w:line="360" w:lineRule="auto"/>
        <w:ind w:left="1440"/>
        <w:jc w:val="both"/>
        <w:rPr>
          <w:rFonts w:ascii="Arial" w:hAnsi="Arial" w:cs="Arial"/>
          <w:bCs/>
          <w:lang w:val="en-GB"/>
        </w:rPr>
      </w:pPr>
      <w:r w:rsidRPr="00450F0B">
        <w:rPr>
          <w:rFonts w:ascii="Arial" w:hAnsi="Arial" w:cs="Arial"/>
          <w:bCs/>
          <w:lang w:val="en-GB"/>
        </w:rPr>
        <w:t>‘the employee</w:t>
      </w:r>
      <w:r w:rsidR="00291770">
        <w:rPr>
          <w:rFonts w:ascii="Arial" w:hAnsi="Arial" w:cs="Arial"/>
          <w:bCs/>
          <w:lang w:val="en-GB"/>
        </w:rPr>
        <w:t>,</w:t>
      </w:r>
      <w:r w:rsidRPr="00450F0B">
        <w:rPr>
          <w:rFonts w:ascii="Arial" w:hAnsi="Arial" w:cs="Arial"/>
          <w:bCs/>
          <w:lang w:val="en-GB"/>
        </w:rPr>
        <w:t xml:space="preserve"> by contact with the custom</w:t>
      </w:r>
      <w:r>
        <w:rPr>
          <w:rFonts w:ascii="Arial" w:hAnsi="Arial" w:cs="Arial"/>
          <w:bCs/>
          <w:lang w:val="en-GB"/>
        </w:rPr>
        <w:t>er</w:t>
      </w:r>
      <w:r w:rsidR="00291770">
        <w:rPr>
          <w:rFonts w:ascii="Arial" w:hAnsi="Arial" w:cs="Arial"/>
          <w:bCs/>
          <w:lang w:val="en-GB"/>
        </w:rPr>
        <w:t>,</w:t>
      </w:r>
      <w:r w:rsidRPr="00450F0B">
        <w:rPr>
          <w:rFonts w:ascii="Arial" w:hAnsi="Arial" w:cs="Arial"/>
          <w:bCs/>
          <w:lang w:val="en-GB"/>
        </w:rPr>
        <w:t xml:space="preserve"> gets the customer so strongly attached to him that when the employee quits and joins a </w:t>
      </w:r>
      <w:r w:rsidR="00C732EF" w:rsidRPr="00450F0B">
        <w:rPr>
          <w:rFonts w:ascii="Arial" w:hAnsi="Arial" w:cs="Arial"/>
          <w:bCs/>
          <w:lang w:val="en-GB"/>
        </w:rPr>
        <w:t>rival,</w:t>
      </w:r>
      <w:r w:rsidRPr="00450F0B">
        <w:rPr>
          <w:rFonts w:ascii="Arial" w:hAnsi="Arial" w:cs="Arial"/>
          <w:bCs/>
          <w:lang w:val="en-GB"/>
        </w:rPr>
        <w:t xml:space="preserve"> he automatically carries the customer with him in his pocket</w:t>
      </w:r>
      <w:r w:rsidR="003B1304">
        <w:rPr>
          <w:rFonts w:ascii="Arial" w:hAnsi="Arial" w:cs="Arial"/>
          <w:bCs/>
          <w:lang w:val="en-GB"/>
        </w:rPr>
        <w:t>’.</w:t>
      </w:r>
    </w:p>
    <w:p w14:paraId="3957417D" w14:textId="3B7F3930" w:rsidR="003F2E5C" w:rsidRPr="007953CD" w:rsidRDefault="003F2E5C" w:rsidP="003F2E5C">
      <w:pPr>
        <w:spacing w:line="360" w:lineRule="auto"/>
        <w:ind w:left="720"/>
        <w:jc w:val="both"/>
        <w:rPr>
          <w:rFonts w:ascii="Arial" w:hAnsi="Arial" w:cs="Arial"/>
          <w:bCs/>
          <w:lang w:val="en-GB"/>
        </w:rPr>
      </w:pPr>
      <w:r w:rsidRPr="007953CD">
        <w:rPr>
          <w:rFonts w:ascii="Arial" w:hAnsi="Arial" w:cs="Arial"/>
          <w:bCs/>
          <w:lang w:val="en-GB"/>
        </w:rPr>
        <w:t xml:space="preserve">In </w:t>
      </w:r>
      <w:r w:rsidRPr="007953CD">
        <w:rPr>
          <w:rFonts w:ascii="Arial" w:hAnsi="Arial" w:cs="Arial"/>
          <w:bCs/>
          <w:i/>
          <w:iCs/>
          <w:lang w:val="en-GB"/>
        </w:rPr>
        <w:t>Morris (Herbet) Ltd v Saxel</w:t>
      </w:r>
      <w:r w:rsidR="00527CFA">
        <w:rPr>
          <w:rFonts w:ascii="Arial" w:hAnsi="Arial" w:cs="Arial"/>
          <w:bCs/>
          <w:i/>
          <w:iCs/>
          <w:lang w:val="en-GB"/>
        </w:rPr>
        <w:t>b</w:t>
      </w:r>
      <w:r w:rsidRPr="007953CD">
        <w:rPr>
          <w:rFonts w:ascii="Arial" w:hAnsi="Arial" w:cs="Arial"/>
          <w:bCs/>
          <w:i/>
          <w:iCs/>
          <w:lang w:val="en-GB"/>
        </w:rPr>
        <w:t>y</w:t>
      </w:r>
      <w:r w:rsidRPr="007953CD">
        <w:rPr>
          <w:rFonts w:ascii="Arial" w:hAnsi="Arial" w:cs="Arial"/>
          <w:bCs/>
          <w:lang w:val="en-GB"/>
        </w:rPr>
        <w:t xml:space="preserve"> [1916] 1 AC 688 (HL) at 709 it was said that the relationship must be such that the employee acquires</w:t>
      </w:r>
    </w:p>
    <w:p w14:paraId="637829A1" w14:textId="77777777" w:rsidR="003F2E5C" w:rsidRPr="00450F0B" w:rsidRDefault="003F2E5C" w:rsidP="003F2E5C">
      <w:pPr>
        <w:spacing w:line="360" w:lineRule="auto"/>
        <w:ind w:left="1440"/>
        <w:jc w:val="both"/>
        <w:rPr>
          <w:rFonts w:ascii="Arial" w:hAnsi="Arial" w:cs="Arial"/>
          <w:bCs/>
          <w:lang w:val="en-GB"/>
        </w:rPr>
      </w:pPr>
      <w:r w:rsidRPr="00450F0B">
        <w:rPr>
          <w:rFonts w:ascii="Arial" w:hAnsi="Arial" w:cs="Arial"/>
          <w:bCs/>
          <w:lang w:val="en-GB"/>
        </w:rPr>
        <w:t xml:space="preserve">‘such personal knowledge of and influence over the customers of his employer … as would enable him (the servant or apprentice), if </w:t>
      </w:r>
      <w:r>
        <w:rPr>
          <w:rFonts w:ascii="Arial" w:hAnsi="Arial" w:cs="Arial"/>
          <w:bCs/>
          <w:lang w:val="en-GB"/>
        </w:rPr>
        <w:t>competition</w:t>
      </w:r>
      <w:r w:rsidRPr="00450F0B">
        <w:rPr>
          <w:rFonts w:ascii="Arial" w:hAnsi="Arial" w:cs="Arial"/>
          <w:bCs/>
          <w:lang w:val="en-GB"/>
        </w:rPr>
        <w:t xml:space="preserve"> were allowed, to take advantage of his employer’s trade connection …’</w:t>
      </w:r>
    </w:p>
    <w:p w14:paraId="13E201CC" w14:textId="7B27470F" w:rsidR="003F2E5C" w:rsidRPr="007953CD" w:rsidRDefault="003F2E5C" w:rsidP="003F2E5C">
      <w:pPr>
        <w:spacing w:line="360" w:lineRule="auto"/>
        <w:ind w:left="720"/>
        <w:jc w:val="both"/>
        <w:rPr>
          <w:rFonts w:ascii="Arial" w:hAnsi="Arial" w:cs="Arial"/>
          <w:bCs/>
          <w:lang w:val="en-GB"/>
        </w:rPr>
      </w:pPr>
      <w:r w:rsidRPr="007953CD">
        <w:rPr>
          <w:rFonts w:ascii="Arial" w:hAnsi="Arial" w:cs="Arial"/>
          <w:bCs/>
          <w:lang w:val="en-GB"/>
        </w:rPr>
        <w:lastRenderedPageBreak/>
        <w:t xml:space="preserve">This statement has been applied in our Courts (for example, by Eksteen J in </w:t>
      </w:r>
      <w:r w:rsidRPr="00B216C1">
        <w:rPr>
          <w:rFonts w:ascii="Arial" w:hAnsi="Arial" w:cs="Arial"/>
          <w:bCs/>
          <w:i/>
          <w:iCs/>
          <w:lang w:val="en-GB"/>
        </w:rPr>
        <w:t>Recycling Industries (Pty) Ltd v Moham</w:t>
      </w:r>
      <w:r w:rsidR="000C3C9C">
        <w:rPr>
          <w:rFonts w:ascii="Arial" w:hAnsi="Arial" w:cs="Arial"/>
          <w:bCs/>
          <w:i/>
          <w:iCs/>
          <w:lang w:val="en-GB"/>
        </w:rPr>
        <w:t>m</w:t>
      </w:r>
      <w:r w:rsidRPr="00B216C1">
        <w:rPr>
          <w:rFonts w:ascii="Arial" w:hAnsi="Arial" w:cs="Arial"/>
          <w:bCs/>
          <w:i/>
          <w:iCs/>
          <w:lang w:val="en-GB"/>
        </w:rPr>
        <w:t>ed and Another</w:t>
      </w:r>
      <w:r w:rsidRPr="007953CD">
        <w:rPr>
          <w:rFonts w:ascii="Arial" w:hAnsi="Arial" w:cs="Arial"/>
          <w:bCs/>
          <w:lang w:val="en-GB"/>
        </w:rPr>
        <w:t xml:space="preserve"> 1981 (3) SA 250 (E) at 256 C-F.  Whether the criteria referred to are satisfied is essential</w:t>
      </w:r>
      <w:r>
        <w:rPr>
          <w:rFonts w:ascii="Arial" w:hAnsi="Arial" w:cs="Arial"/>
          <w:bCs/>
          <w:lang w:val="en-GB"/>
        </w:rPr>
        <w:t>ly</w:t>
      </w:r>
      <w:r w:rsidRPr="007953CD">
        <w:rPr>
          <w:rFonts w:ascii="Arial" w:hAnsi="Arial" w:cs="Arial"/>
          <w:bCs/>
          <w:lang w:val="en-GB"/>
        </w:rPr>
        <w:t xml:space="preserve"> a question of fact in each case</w:t>
      </w:r>
      <w:r w:rsidR="004675CC">
        <w:rPr>
          <w:rFonts w:ascii="Arial" w:hAnsi="Arial" w:cs="Arial"/>
          <w:bCs/>
          <w:lang w:val="en-GB"/>
        </w:rPr>
        <w:t>,</w:t>
      </w:r>
      <w:r w:rsidRPr="007953CD">
        <w:rPr>
          <w:rFonts w:ascii="Arial" w:hAnsi="Arial" w:cs="Arial"/>
          <w:bCs/>
          <w:lang w:val="en-GB"/>
        </w:rPr>
        <w:t xml:space="preserve"> and in many, one of degree.  Much will depend on the duties of the employee</w:t>
      </w:r>
      <w:r w:rsidR="00580B6C">
        <w:rPr>
          <w:rFonts w:ascii="Arial" w:hAnsi="Arial" w:cs="Arial"/>
          <w:bCs/>
          <w:lang w:val="en-GB"/>
        </w:rPr>
        <w:t>;</w:t>
      </w:r>
      <w:r w:rsidRPr="007953CD">
        <w:rPr>
          <w:rFonts w:ascii="Arial" w:hAnsi="Arial" w:cs="Arial"/>
          <w:bCs/>
          <w:lang w:val="en-GB"/>
        </w:rPr>
        <w:t xml:space="preserve"> his per</w:t>
      </w:r>
      <w:r>
        <w:rPr>
          <w:rFonts w:ascii="Arial" w:hAnsi="Arial" w:cs="Arial"/>
          <w:bCs/>
          <w:lang w:val="en-GB"/>
        </w:rPr>
        <w:t>sonality</w:t>
      </w:r>
      <w:r w:rsidR="00580B6C">
        <w:rPr>
          <w:rFonts w:ascii="Arial" w:hAnsi="Arial" w:cs="Arial"/>
          <w:bCs/>
          <w:lang w:val="en-GB"/>
        </w:rPr>
        <w:t>;</w:t>
      </w:r>
      <w:r w:rsidRPr="007953CD">
        <w:rPr>
          <w:rFonts w:ascii="Arial" w:hAnsi="Arial" w:cs="Arial"/>
          <w:bCs/>
          <w:lang w:val="en-GB"/>
        </w:rPr>
        <w:t xml:space="preserve"> the frequency and duration of contact between him and the customers</w:t>
      </w:r>
      <w:r w:rsidR="003F3727">
        <w:rPr>
          <w:rFonts w:ascii="Arial" w:hAnsi="Arial" w:cs="Arial"/>
          <w:bCs/>
          <w:lang w:val="en-GB"/>
        </w:rPr>
        <w:t>;</w:t>
      </w:r>
      <w:r w:rsidRPr="007953CD">
        <w:rPr>
          <w:rFonts w:ascii="Arial" w:hAnsi="Arial" w:cs="Arial"/>
          <w:bCs/>
          <w:lang w:val="en-GB"/>
        </w:rPr>
        <w:t xml:space="preserve"> where such contact takes plac</w:t>
      </w:r>
      <w:r w:rsidR="00F70473">
        <w:rPr>
          <w:rFonts w:ascii="Arial" w:hAnsi="Arial" w:cs="Arial"/>
          <w:bCs/>
          <w:lang w:val="en-GB"/>
        </w:rPr>
        <w:t>e;</w:t>
      </w:r>
      <w:r w:rsidRPr="007953CD">
        <w:rPr>
          <w:rFonts w:ascii="Arial" w:hAnsi="Arial" w:cs="Arial"/>
          <w:bCs/>
          <w:lang w:val="en-GB"/>
        </w:rPr>
        <w:t xml:space="preserve"> what knowledge he gains of their requirements and business; the general nature of their relationship (including whether an attachment is formed between them, the extent to which customers rely on the employee and how personal their association is</w:t>
      </w:r>
      <w:r w:rsidR="00BD176C">
        <w:rPr>
          <w:rFonts w:ascii="Arial" w:hAnsi="Arial" w:cs="Arial"/>
          <w:bCs/>
          <w:lang w:val="en-GB"/>
        </w:rPr>
        <w:t>)</w:t>
      </w:r>
      <w:r w:rsidRPr="007953CD">
        <w:rPr>
          <w:rFonts w:ascii="Arial" w:hAnsi="Arial" w:cs="Arial"/>
          <w:bCs/>
          <w:lang w:val="en-GB"/>
        </w:rPr>
        <w:t>; how competitive the rival businesses are; in the case of a salesman, the type of product being sold; and whether there is evidence that customers were lost after the employee left…’”</w:t>
      </w:r>
    </w:p>
    <w:p w14:paraId="56766DB3" w14:textId="77777777" w:rsidR="003F2E5C" w:rsidRDefault="003F2E5C" w:rsidP="000A1C49">
      <w:pPr>
        <w:spacing w:line="480" w:lineRule="auto"/>
        <w:jc w:val="both"/>
        <w:rPr>
          <w:rFonts w:ascii="Arial" w:hAnsi="Arial" w:cs="Arial"/>
          <w:bCs/>
          <w:sz w:val="24"/>
          <w:szCs w:val="24"/>
          <w:lang w:val="en-GB"/>
        </w:rPr>
      </w:pPr>
    </w:p>
    <w:p w14:paraId="278190AA" w14:textId="03B2B9E5" w:rsidR="00313A05" w:rsidRDefault="00313A05" w:rsidP="00313A05">
      <w:pPr>
        <w:spacing w:line="480" w:lineRule="auto"/>
        <w:jc w:val="both"/>
        <w:rPr>
          <w:rFonts w:ascii="Arial" w:hAnsi="Arial" w:cs="Arial"/>
          <w:bCs/>
          <w:sz w:val="24"/>
          <w:szCs w:val="24"/>
          <w:lang w:val="en-GB"/>
        </w:rPr>
      </w:pPr>
      <w:r>
        <w:rPr>
          <w:rFonts w:ascii="Arial" w:hAnsi="Arial" w:cs="Arial"/>
          <w:bCs/>
          <w:sz w:val="24"/>
          <w:szCs w:val="24"/>
          <w:lang w:val="en-GB"/>
        </w:rPr>
        <w:t>[4</w:t>
      </w:r>
      <w:r w:rsidR="00125D10">
        <w:rPr>
          <w:rFonts w:ascii="Arial" w:hAnsi="Arial" w:cs="Arial"/>
          <w:bCs/>
          <w:sz w:val="24"/>
          <w:szCs w:val="24"/>
          <w:lang w:val="en-GB"/>
        </w:rPr>
        <w:t>2</w:t>
      </w:r>
      <w:r>
        <w:rPr>
          <w:rFonts w:ascii="Arial" w:hAnsi="Arial" w:cs="Arial"/>
          <w:bCs/>
          <w:sz w:val="24"/>
          <w:szCs w:val="24"/>
          <w:lang w:val="en-GB"/>
        </w:rPr>
        <w:t xml:space="preserve">] </w:t>
      </w:r>
      <w:r w:rsidR="0040688E">
        <w:rPr>
          <w:rFonts w:ascii="Arial" w:hAnsi="Arial" w:cs="Arial"/>
          <w:bCs/>
          <w:sz w:val="24"/>
          <w:szCs w:val="24"/>
          <w:lang w:val="en-GB"/>
        </w:rPr>
        <w:t>T</w:t>
      </w:r>
      <w:r w:rsidR="00D007E6">
        <w:rPr>
          <w:rFonts w:ascii="Arial" w:hAnsi="Arial" w:cs="Arial"/>
          <w:bCs/>
          <w:sz w:val="24"/>
          <w:szCs w:val="24"/>
          <w:lang w:val="en-GB"/>
        </w:rPr>
        <w:t>here is another</w:t>
      </w:r>
      <w:r w:rsidR="00781F96">
        <w:rPr>
          <w:rFonts w:ascii="Arial" w:hAnsi="Arial" w:cs="Arial"/>
          <w:bCs/>
          <w:sz w:val="24"/>
          <w:szCs w:val="24"/>
          <w:lang w:val="en-GB"/>
        </w:rPr>
        <w:t xml:space="preserve"> matter of concern which is deserving of some comment</w:t>
      </w:r>
      <w:r w:rsidR="00F212F1">
        <w:rPr>
          <w:rFonts w:ascii="Arial" w:hAnsi="Arial" w:cs="Arial"/>
          <w:bCs/>
          <w:sz w:val="24"/>
          <w:szCs w:val="24"/>
          <w:lang w:val="en-GB"/>
        </w:rPr>
        <w:t>. This relates to</w:t>
      </w:r>
      <w:r w:rsidR="00C72F58">
        <w:rPr>
          <w:rFonts w:ascii="Arial" w:hAnsi="Arial" w:cs="Arial"/>
          <w:bCs/>
          <w:sz w:val="24"/>
          <w:szCs w:val="24"/>
          <w:lang w:val="en-GB"/>
        </w:rPr>
        <w:t xml:space="preserve"> the applicant’s </w:t>
      </w:r>
      <w:r w:rsidR="00F648C3">
        <w:rPr>
          <w:rFonts w:ascii="Arial" w:hAnsi="Arial" w:cs="Arial"/>
          <w:bCs/>
          <w:sz w:val="24"/>
          <w:szCs w:val="24"/>
          <w:lang w:val="en-GB"/>
        </w:rPr>
        <w:t xml:space="preserve">condonation </w:t>
      </w:r>
      <w:r w:rsidR="00A328DE">
        <w:rPr>
          <w:rFonts w:ascii="Arial" w:hAnsi="Arial" w:cs="Arial"/>
          <w:bCs/>
          <w:sz w:val="24"/>
          <w:szCs w:val="24"/>
          <w:lang w:val="en-GB"/>
        </w:rPr>
        <w:t>application</w:t>
      </w:r>
      <w:r w:rsidR="00F648C3">
        <w:rPr>
          <w:rFonts w:ascii="Arial" w:hAnsi="Arial" w:cs="Arial"/>
          <w:bCs/>
          <w:sz w:val="24"/>
          <w:szCs w:val="24"/>
          <w:lang w:val="en-GB"/>
        </w:rPr>
        <w:t xml:space="preserve"> </w:t>
      </w:r>
      <w:r w:rsidR="00214FD5">
        <w:rPr>
          <w:rFonts w:ascii="Arial" w:hAnsi="Arial" w:cs="Arial"/>
          <w:bCs/>
          <w:sz w:val="24"/>
          <w:szCs w:val="24"/>
          <w:lang w:val="en-GB"/>
        </w:rPr>
        <w:t>for its late filing of the supplementary affidavit.</w:t>
      </w:r>
      <w:r w:rsidR="00A927B0">
        <w:rPr>
          <w:rFonts w:ascii="Arial" w:hAnsi="Arial" w:cs="Arial"/>
          <w:bCs/>
          <w:sz w:val="24"/>
          <w:szCs w:val="24"/>
          <w:lang w:val="en-GB"/>
        </w:rPr>
        <w:t xml:space="preserve"> The supporting affidavit is supposedly </w:t>
      </w:r>
      <w:r w:rsidR="002E3850">
        <w:rPr>
          <w:rFonts w:ascii="Arial" w:hAnsi="Arial" w:cs="Arial"/>
          <w:bCs/>
          <w:sz w:val="24"/>
          <w:szCs w:val="24"/>
          <w:lang w:val="en-GB"/>
        </w:rPr>
        <w:t>deposed to by Mr Sibuyi. However,</w:t>
      </w:r>
      <w:r w:rsidR="00D52844">
        <w:rPr>
          <w:rFonts w:ascii="Arial" w:hAnsi="Arial" w:cs="Arial"/>
          <w:bCs/>
          <w:sz w:val="24"/>
          <w:szCs w:val="24"/>
          <w:lang w:val="en-GB"/>
        </w:rPr>
        <w:t xml:space="preserve"> there is a glaring overwriting that appears to have been done</w:t>
      </w:r>
      <w:r w:rsidR="00ED5A06">
        <w:rPr>
          <w:rFonts w:ascii="Arial" w:hAnsi="Arial" w:cs="Arial"/>
          <w:bCs/>
          <w:sz w:val="24"/>
          <w:szCs w:val="24"/>
          <w:lang w:val="en-GB"/>
        </w:rPr>
        <w:t xml:space="preserve"> to what would have been </w:t>
      </w:r>
      <w:r w:rsidR="00D4315C">
        <w:rPr>
          <w:rFonts w:ascii="Arial" w:hAnsi="Arial" w:cs="Arial"/>
          <w:bCs/>
          <w:sz w:val="24"/>
          <w:szCs w:val="24"/>
          <w:lang w:val="en-GB"/>
        </w:rPr>
        <w:t>Mr Sibuyi’s</w:t>
      </w:r>
      <w:r w:rsidR="00F212F1">
        <w:rPr>
          <w:rFonts w:ascii="Arial" w:hAnsi="Arial" w:cs="Arial"/>
          <w:bCs/>
          <w:sz w:val="24"/>
          <w:szCs w:val="24"/>
          <w:lang w:val="en-GB"/>
        </w:rPr>
        <w:t xml:space="preserve"> </w:t>
      </w:r>
      <w:r w:rsidR="00D4315C">
        <w:rPr>
          <w:rFonts w:ascii="Arial" w:hAnsi="Arial" w:cs="Arial"/>
          <w:bCs/>
          <w:sz w:val="24"/>
          <w:szCs w:val="24"/>
          <w:lang w:val="en-GB"/>
        </w:rPr>
        <w:t xml:space="preserve">ordinary signature </w:t>
      </w:r>
      <w:r w:rsidR="002221F6">
        <w:rPr>
          <w:rFonts w:ascii="Arial" w:hAnsi="Arial" w:cs="Arial"/>
          <w:bCs/>
          <w:sz w:val="24"/>
          <w:szCs w:val="24"/>
          <w:lang w:val="en-GB"/>
        </w:rPr>
        <w:t>which can be seen in other affidavits</w:t>
      </w:r>
      <w:r w:rsidR="003378C9">
        <w:rPr>
          <w:rFonts w:ascii="Arial" w:hAnsi="Arial" w:cs="Arial"/>
          <w:bCs/>
          <w:sz w:val="24"/>
          <w:szCs w:val="24"/>
          <w:lang w:val="en-GB"/>
        </w:rPr>
        <w:t>. That affidavit star</w:t>
      </w:r>
      <w:r w:rsidR="00BD69BF">
        <w:rPr>
          <w:rFonts w:ascii="Arial" w:hAnsi="Arial" w:cs="Arial"/>
          <w:bCs/>
          <w:sz w:val="24"/>
          <w:szCs w:val="24"/>
          <w:lang w:val="en-GB"/>
        </w:rPr>
        <w:t>t</w:t>
      </w:r>
      <w:r w:rsidR="003378C9">
        <w:rPr>
          <w:rFonts w:ascii="Arial" w:hAnsi="Arial" w:cs="Arial"/>
          <w:bCs/>
          <w:sz w:val="24"/>
          <w:szCs w:val="24"/>
          <w:lang w:val="en-GB"/>
        </w:rPr>
        <w:t xml:space="preserve">s at page 352 </w:t>
      </w:r>
      <w:r w:rsidR="00CE2B06">
        <w:rPr>
          <w:rFonts w:ascii="Arial" w:hAnsi="Arial" w:cs="Arial"/>
          <w:bCs/>
          <w:sz w:val="24"/>
          <w:szCs w:val="24"/>
          <w:lang w:val="en-GB"/>
        </w:rPr>
        <w:t>and ends at page 35</w:t>
      </w:r>
      <w:r w:rsidR="00417437">
        <w:rPr>
          <w:rFonts w:ascii="Arial" w:hAnsi="Arial" w:cs="Arial"/>
          <w:bCs/>
          <w:sz w:val="24"/>
          <w:szCs w:val="24"/>
          <w:lang w:val="en-GB"/>
        </w:rPr>
        <w:t>6</w:t>
      </w:r>
      <w:r w:rsidR="00CE2B06">
        <w:rPr>
          <w:rFonts w:ascii="Arial" w:hAnsi="Arial" w:cs="Arial"/>
          <w:bCs/>
          <w:sz w:val="24"/>
          <w:szCs w:val="24"/>
          <w:lang w:val="en-GB"/>
        </w:rPr>
        <w:t xml:space="preserve"> of </w:t>
      </w:r>
      <w:r w:rsidR="008F1F54">
        <w:rPr>
          <w:rFonts w:ascii="Arial" w:hAnsi="Arial" w:cs="Arial"/>
          <w:bCs/>
          <w:sz w:val="24"/>
          <w:szCs w:val="24"/>
          <w:lang w:val="en-GB"/>
        </w:rPr>
        <w:t xml:space="preserve">the </w:t>
      </w:r>
      <w:r w:rsidR="00804C0B">
        <w:rPr>
          <w:rFonts w:ascii="Arial" w:hAnsi="Arial" w:cs="Arial"/>
          <w:bCs/>
          <w:sz w:val="24"/>
          <w:szCs w:val="24"/>
          <w:lang w:val="en-GB"/>
        </w:rPr>
        <w:t>paginated court</w:t>
      </w:r>
      <w:r w:rsidR="00735BBC">
        <w:rPr>
          <w:rFonts w:ascii="Arial" w:hAnsi="Arial" w:cs="Arial"/>
          <w:bCs/>
          <w:sz w:val="24"/>
          <w:szCs w:val="24"/>
          <w:lang w:val="en-GB"/>
        </w:rPr>
        <w:t xml:space="preserve"> documents</w:t>
      </w:r>
      <w:r w:rsidR="008F1F54">
        <w:rPr>
          <w:rFonts w:ascii="Arial" w:hAnsi="Arial" w:cs="Arial"/>
          <w:bCs/>
          <w:sz w:val="24"/>
          <w:szCs w:val="24"/>
          <w:lang w:val="en-GB"/>
        </w:rPr>
        <w:t>. His signature</w:t>
      </w:r>
      <w:r w:rsidR="00804C0B">
        <w:rPr>
          <w:rFonts w:ascii="Arial" w:hAnsi="Arial" w:cs="Arial"/>
          <w:bCs/>
          <w:sz w:val="24"/>
          <w:szCs w:val="24"/>
          <w:lang w:val="en-GB"/>
        </w:rPr>
        <w:t xml:space="preserve"> with disconcerting overwriting is at page 355</w:t>
      </w:r>
      <w:r w:rsidR="00FF2153">
        <w:rPr>
          <w:rFonts w:ascii="Arial" w:hAnsi="Arial" w:cs="Arial"/>
          <w:bCs/>
          <w:sz w:val="24"/>
          <w:szCs w:val="24"/>
          <w:lang w:val="en-GB"/>
        </w:rPr>
        <w:t xml:space="preserve">. Mr Sibuyi’s </w:t>
      </w:r>
      <w:r w:rsidR="0099467E">
        <w:rPr>
          <w:rFonts w:ascii="Arial" w:hAnsi="Arial" w:cs="Arial"/>
          <w:bCs/>
          <w:sz w:val="24"/>
          <w:szCs w:val="24"/>
          <w:lang w:val="en-GB"/>
        </w:rPr>
        <w:t>initials and</w:t>
      </w:r>
      <w:r w:rsidR="001D5582">
        <w:rPr>
          <w:rFonts w:ascii="Arial" w:hAnsi="Arial" w:cs="Arial"/>
          <w:bCs/>
          <w:sz w:val="24"/>
          <w:szCs w:val="24"/>
          <w:lang w:val="en-GB"/>
        </w:rPr>
        <w:t xml:space="preserve"> the signature itself </w:t>
      </w:r>
      <w:r w:rsidR="00D9253A">
        <w:rPr>
          <w:rFonts w:ascii="Arial" w:hAnsi="Arial" w:cs="Arial"/>
          <w:bCs/>
          <w:sz w:val="24"/>
          <w:szCs w:val="24"/>
          <w:lang w:val="en-GB"/>
        </w:rPr>
        <w:t>were clearly written over by someone</w:t>
      </w:r>
      <w:r w:rsidR="0099467E">
        <w:rPr>
          <w:rFonts w:ascii="Arial" w:hAnsi="Arial" w:cs="Arial"/>
          <w:bCs/>
          <w:sz w:val="24"/>
          <w:szCs w:val="24"/>
          <w:lang w:val="en-GB"/>
        </w:rPr>
        <w:t>.</w:t>
      </w:r>
      <w:r w:rsidR="00DE6C99">
        <w:rPr>
          <w:rFonts w:ascii="Arial" w:hAnsi="Arial" w:cs="Arial"/>
          <w:bCs/>
          <w:sz w:val="24"/>
          <w:szCs w:val="24"/>
          <w:lang w:val="en-GB"/>
        </w:rPr>
        <w:t xml:space="preserve"> </w:t>
      </w:r>
      <w:r w:rsidR="0099467E">
        <w:rPr>
          <w:rFonts w:ascii="Arial" w:hAnsi="Arial" w:cs="Arial"/>
          <w:bCs/>
          <w:sz w:val="24"/>
          <w:szCs w:val="24"/>
          <w:lang w:val="en-GB"/>
        </w:rPr>
        <w:t xml:space="preserve">That overwriting </w:t>
      </w:r>
      <w:r w:rsidR="00AE5ED8">
        <w:rPr>
          <w:rFonts w:ascii="Arial" w:hAnsi="Arial" w:cs="Arial"/>
          <w:bCs/>
          <w:sz w:val="24"/>
          <w:szCs w:val="24"/>
          <w:lang w:val="en-GB"/>
        </w:rPr>
        <w:t>casts</w:t>
      </w:r>
      <w:r w:rsidR="00BB0149">
        <w:rPr>
          <w:rFonts w:ascii="Arial" w:hAnsi="Arial" w:cs="Arial"/>
          <w:bCs/>
          <w:sz w:val="24"/>
          <w:szCs w:val="24"/>
          <w:lang w:val="en-GB"/>
        </w:rPr>
        <w:t xml:space="preserve"> some doubt</w:t>
      </w:r>
      <w:r w:rsidR="00AE5ED8">
        <w:rPr>
          <w:rFonts w:ascii="Arial" w:hAnsi="Arial" w:cs="Arial"/>
          <w:bCs/>
          <w:sz w:val="24"/>
          <w:szCs w:val="24"/>
          <w:lang w:val="en-GB"/>
        </w:rPr>
        <w:t xml:space="preserve"> as to whether </w:t>
      </w:r>
      <w:r w:rsidR="00497FE4">
        <w:rPr>
          <w:rFonts w:ascii="Arial" w:hAnsi="Arial" w:cs="Arial"/>
          <w:bCs/>
          <w:sz w:val="24"/>
          <w:szCs w:val="24"/>
          <w:lang w:val="en-GB"/>
        </w:rPr>
        <w:t>that document was in fact initialled</w:t>
      </w:r>
      <w:r w:rsidR="0099467E">
        <w:rPr>
          <w:rFonts w:ascii="Arial" w:hAnsi="Arial" w:cs="Arial"/>
          <w:bCs/>
          <w:sz w:val="24"/>
          <w:szCs w:val="24"/>
          <w:lang w:val="en-GB"/>
        </w:rPr>
        <w:t xml:space="preserve"> </w:t>
      </w:r>
      <w:r w:rsidR="00CA546E">
        <w:rPr>
          <w:rFonts w:ascii="Arial" w:hAnsi="Arial" w:cs="Arial"/>
          <w:bCs/>
          <w:sz w:val="24"/>
          <w:szCs w:val="24"/>
          <w:lang w:val="en-GB"/>
        </w:rPr>
        <w:t xml:space="preserve">and signed by Mr Sibuyi. </w:t>
      </w:r>
      <w:r w:rsidR="00DD5E26">
        <w:rPr>
          <w:rFonts w:ascii="Arial" w:hAnsi="Arial" w:cs="Arial"/>
          <w:bCs/>
          <w:sz w:val="24"/>
          <w:szCs w:val="24"/>
          <w:lang w:val="en-GB"/>
        </w:rPr>
        <w:t xml:space="preserve">Whilst I am not in a position to make any </w:t>
      </w:r>
      <w:r w:rsidR="00EC505B">
        <w:rPr>
          <w:rFonts w:ascii="Arial" w:hAnsi="Arial" w:cs="Arial"/>
          <w:bCs/>
          <w:sz w:val="24"/>
          <w:szCs w:val="24"/>
          <w:lang w:val="en-GB"/>
        </w:rPr>
        <w:t>conclusion one</w:t>
      </w:r>
      <w:r w:rsidR="001E3471">
        <w:rPr>
          <w:rFonts w:ascii="Arial" w:hAnsi="Arial" w:cs="Arial"/>
          <w:bCs/>
          <w:sz w:val="24"/>
          <w:szCs w:val="24"/>
          <w:lang w:val="en-GB"/>
        </w:rPr>
        <w:t xml:space="preserve"> way or the </w:t>
      </w:r>
      <w:r w:rsidR="003913B6">
        <w:rPr>
          <w:rFonts w:ascii="Arial" w:hAnsi="Arial" w:cs="Arial"/>
          <w:bCs/>
          <w:sz w:val="24"/>
          <w:szCs w:val="24"/>
          <w:lang w:val="en-GB"/>
        </w:rPr>
        <w:t>other,</w:t>
      </w:r>
      <w:r w:rsidR="001E3471">
        <w:rPr>
          <w:rFonts w:ascii="Arial" w:hAnsi="Arial" w:cs="Arial"/>
          <w:bCs/>
          <w:sz w:val="24"/>
          <w:szCs w:val="24"/>
          <w:lang w:val="en-GB"/>
        </w:rPr>
        <w:t xml:space="preserve"> I do think that it would </w:t>
      </w:r>
      <w:r w:rsidR="00240208">
        <w:rPr>
          <w:rFonts w:ascii="Arial" w:hAnsi="Arial" w:cs="Arial"/>
          <w:bCs/>
          <w:sz w:val="24"/>
          <w:szCs w:val="24"/>
          <w:lang w:val="en-GB"/>
        </w:rPr>
        <w:t>be remiss of me</w:t>
      </w:r>
      <w:r w:rsidR="0044521C">
        <w:rPr>
          <w:rFonts w:ascii="Arial" w:hAnsi="Arial" w:cs="Arial"/>
          <w:bCs/>
          <w:sz w:val="24"/>
          <w:szCs w:val="24"/>
          <w:lang w:val="en-GB"/>
        </w:rPr>
        <w:t xml:space="preserve"> not to </w:t>
      </w:r>
      <w:r w:rsidR="00423BBC">
        <w:rPr>
          <w:rFonts w:ascii="Arial" w:hAnsi="Arial" w:cs="Arial"/>
          <w:bCs/>
          <w:sz w:val="24"/>
          <w:szCs w:val="24"/>
          <w:lang w:val="en-GB"/>
        </w:rPr>
        <w:t xml:space="preserve">express some unease </w:t>
      </w:r>
      <w:r w:rsidR="00661002">
        <w:rPr>
          <w:rFonts w:ascii="Arial" w:hAnsi="Arial" w:cs="Arial"/>
          <w:bCs/>
          <w:sz w:val="24"/>
          <w:szCs w:val="24"/>
          <w:lang w:val="en-GB"/>
        </w:rPr>
        <w:t>about</w:t>
      </w:r>
      <w:r w:rsidR="007D3692">
        <w:rPr>
          <w:rFonts w:ascii="Arial" w:hAnsi="Arial" w:cs="Arial"/>
          <w:bCs/>
          <w:sz w:val="24"/>
          <w:szCs w:val="24"/>
          <w:lang w:val="en-GB"/>
        </w:rPr>
        <w:t xml:space="preserve"> a document </w:t>
      </w:r>
      <w:r w:rsidR="00251016">
        <w:rPr>
          <w:rFonts w:ascii="Arial" w:hAnsi="Arial" w:cs="Arial"/>
          <w:bCs/>
          <w:sz w:val="24"/>
          <w:szCs w:val="24"/>
          <w:lang w:val="en-GB"/>
        </w:rPr>
        <w:t>supposedly</w:t>
      </w:r>
      <w:r w:rsidR="007D3692">
        <w:rPr>
          <w:rFonts w:ascii="Arial" w:hAnsi="Arial" w:cs="Arial"/>
          <w:bCs/>
          <w:sz w:val="24"/>
          <w:szCs w:val="24"/>
          <w:lang w:val="en-GB"/>
        </w:rPr>
        <w:t xml:space="preserve"> </w:t>
      </w:r>
      <w:r w:rsidR="00251016">
        <w:rPr>
          <w:rFonts w:ascii="Arial" w:hAnsi="Arial" w:cs="Arial"/>
          <w:bCs/>
          <w:sz w:val="24"/>
          <w:szCs w:val="24"/>
          <w:lang w:val="en-GB"/>
        </w:rPr>
        <w:t>signed under oath</w:t>
      </w:r>
      <w:r w:rsidR="008816AB">
        <w:rPr>
          <w:rFonts w:ascii="Arial" w:hAnsi="Arial" w:cs="Arial"/>
          <w:bCs/>
          <w:sz w:val="24"/>
          <w:szCs w:val="24"/>
          <w:lang w:val="en-GB"/>
        </w:rPr>
        <w:t xml:space="preserve"> and </w:t>
      </w:r>
      <w:r w:rsidR="00125D10">
        <w:rPr>
          <w:rFonts w:ascii="Arial" w:hAnsi="Arial" w:cs="Arial"/>
          <w:bCs/>
          <w:sz w:val="24"/>
          <w:szCs w:val="24"/>
          <w:lang w:val="en-GB"/>
        </w:rPr>
        <w:t>supposedly by</w:t>
      </w:r>
      <w:r w:rsidR="006252F3">
        <w:rPr>
          <w:rFonts w:ascii="Arial" w:hAnsi="Arial" w:cs="Arial"/>
          <w:bCs/>
          <w:sz w:val="24"/>
          <w:szCs w:val="24"/>
          <w:lang w:val="en-GB"/>
        </w:rPr>
        <w:t xml:space="preserve"> the person who takes the oath</w:t>
      </w:r>
      <w:r w:rsidR="008335DC">
        <w:rPr>
          <w:rFonts w:ascii="Arial" w:hAnsi="Arial" w:cs="Arial"/>
          <w:bCs/>
          <w:sz w:val="24"/>
          <w:szCs w:val="24"/>
          <w:lang w:val="en-GB"/>
        </w:rPr>
        <w:t xml:space="preserve"> being tempered with</w:t>
      </w:r>
      <w:r w:rsidR="00254F47">
        <w:rPr>
          <w:rFonts w:ascii="Arial" w:hAnsi="Arial" w:cs="Arial"/>
          <w:bCs/>
          <w:sz w:val="24"/>
          <w:szCs w:val="24"/>
          <w:lang w:val="en-GB"/>
        </w:rPr>
        <w:t xml:space="preserve"> presumably</w:t>
      </w:r>
      <w:r w:rsidR="000A0552">
        <w:rPr>
          <w:rFonts w:ascii="Arial" w:hAnsi="Arial" w:cs="Arial"/>
          <w:bCs/>
          <w:sz w:val="24"/>
          <w:szCs w:val="24"/>
          <w:lang w:val="en-GB"/>
        </w:rPr>
        <w:t xml:space="preserve"> before the document is</w:t>
      </w:r>
      <w:r w:rsidR="00254F47">
        <w:rPr>
          <w:rFonts w:ascii="Arial" w:hAnsi="Arial" w:cs="Arial"/>
          <w:bCs/>
          <w:sz w:val="24"/>
          <w:szCs w:val="24"/>
          <w:lang w:val="en-GB"/>
        </w:rPr>
        <w:t xml:space="preserve"> served </w:t>
      </w:r>
      <w:r w:rsidR="008F3E80">
        <w:rPr>
          <w:rFonts w:ascii="Arial" w:hAnsi="Arial" w:cs="Arial"/>
          <w:bCs/>
          <w:sz w:val="24"/>
          <w:szCs w:val="24"/>
          <w:lang w:val="en-GB"/>
        </w:rPr>
        <w:t>and filed.</w:t>
      </w:r>
      <w:r w:rsidR="00C863DF">
        <w:rPr>
          <w:rFonts w:ascii="Arial" w:hAnsi="Arial" w:cs="Arial"/>
          <w:bCs/>
          <w:sz w:val="24"/>
          <w:szCs w:val="24"/>
          <w:lang w:val="en-GB"/>
        </w:rPr>
        <w:t xml:space="preserve"> The integrity of </w:t>
      </w:r>
      <w:r w:rsidR="00EC505B">
        <w:rPr>
          <w:rFonts w:ascii="Arial" w:hAnsi="Arial" w:cs="Arial"/>
          <w:bCs/>
          <w:sz w:val="24"/>
          <w:szCs w:val="24"/>
          <w:lang w:val="en-GB"/>
        </w:rPr>
        <w:t>affidavits in the functioning of the courts</w:t>
      </w:r>
      <w:r w:rsidR="0004138D">
        <w:rPr>
          <w:rFonts w:ascii="Arial" w:hAnsi="Arial" w:cs="Arial"/>
          <w:bCs/>
          <w:sz w:val="24"/>
          <w:szCs w:val="24"/>
          <w:lang w:val="en-GB"/>
        </w:rPr>
        <w:t xml:space="preserve"> should never</w:t>
      </w:r>
      <w:r w:rsidR="00FC0666">
        <w:rPr>
          <w:rFonts w:ascii="Arial" w:hAnsi="Arial" w:cs="Arial"/>
          <w:bCs/>
          <w:sz w:val="24"/>
          <w:szCs w:val="24"/>
          <w:lang w:val="en-GB"/>
        </w:rPr>
        <w:t xml:space="preserve"> be </w:t>
      </w:r>
      <w:r w:rsidR="003A6891">
        <w:rPr>
          <w:rFonts w:ascii="Arial" w:hAnsi="Arial" w:cs="Arial"/>
          <w:bCs/>
          <w:sz w:val="24"/>
          <w:szCs w:val="24"/>
          <w:lang w:val="en-GB"/>
        </w:rPr>
        <w:lastRenderedPageBreak/>
        <w:t xml:space="preserve">compromised </w:t>
      </w:r>
      <w:r w:rsidR="004F74BC">
        <w:rPr>
          <w:rFonts w:ascii="Arial" w:hAnsi="Arial" w:cs="Arial"/>
          <w:bCs/>
          <w:sz w:val="24"/>
          <w:szCs w:val="24"/>
          <w:lang w:val="en-GB"/>
        </w:rPr>
        <w:t>which is what seems to have happened in that affidavit</w:t>
      </w:r>
      <w:r w:rsidR="001C0D94">
        <w:rPr>
          <w:rFonts w:ascii="Arial" w:hAnsi="Arial" w:cs="Arial"/>
          <w:bCs/>
          <w:sz w:val="24"/>
          <w:szCs w:val="24"/>
          <w:lang w:val="en-GB"/>
        </w:rPr>
        <w:t>,</w:t>
      </w:r>
      <w:r w:rsidR="000F5C23">
        <w:rPr>
          <w:rFonts w:ascii="Arial" w:hAnsi="Arial" w:cs="Arial"/>
          <w:bCs/>
          <w:sz w:val="24"/>
          <w:szCs w:val="24"/>
          <w:lang w:val="en-GB"/>
        </w:rPr>
        <w:t xml:space="preserve"> assuming that nothing worse than overwriting an authentic </w:t>
      </w:r>
      <w:r w:rsidR="002B7890">
        <w:rPr>
          <w:rFonts w:ascii="Arial" w:hAnsi="Arial" w:cs="Arial"/>
          <w:bCs/>
          <w:sz w:val="24"/>
          <w:szCs w:val="24"/>
          <w:lang w:val="en-GB"/>
        </w:rPr>
        <w:t xml:space="preserve">signature </w:t>
      </w:r>
      <w:r w:rsidR="005A0800">
        <w:rPr>
          <w:rFonts w:ascii="Arial" w:hAnsi="Arial" w:cs="Arial"/>
          <w:bCs/>
          <w:sz w:val="24"/>
          <w:szCs w:val="24"/>
          <w:lang w:val="en-GB"/>
        </w:rPr>
        <w:t>happened.</w:t>
      </w:r>
      <w:r w:rsidR="00CE74C5">
        <w:rPr>
          <w:rFonts w:ascii="Arial" w:hAnsi="Arial" w:cs="Arial"/>
          <w:bCs/>
          <w:sz w:val="24"/>
          <w:szCs w:val="24"/>
          <w:lang w:val="en-GB"/>
        </w:rPr>
        <w:t xml:space="preserve"> </w:t>
      </w:r>
      <w:r w:rsidR="0004138D">
        <w:rPr>
          <w:rFonts w:ascii="Arial" w:hAnsi="Arial" w:cs="Arial"/>
          <w:bCs/>
          <w:sz w:val="24"/>
          <w:szCs w:val="24"/>
          <w:lang w:val="en-GB"/>
        </w:rPr>
        <w:t xml:space="preserve"> </w:t>
      </w:r>
    </w:p>
    <w:p w14:paraId="1C4C3D23" w14:textId="427FF285" w:rsidR="0060767E" w:rsidRPr="0060767E" w:rsidRDefault="00313A05" w:rsidP="00313A05">
      <w:pPr>
        <w:spacing w:line="480" w:lineRule="auto"/>
        <w:jc w:val="both"/>
        <w:rPr>
          <w:rFonts w:ascii="Arial" w:hAnsi="Arial" w:cs="Arial"/>
          <w:bCs/>
          <w:sz w:val="24"/>
          <w:szCs w:val="24"/>
          <w:lang w:val="en-GB"/>
        </w:rPr>
      </w:pPr>
      <w:r>
        <w:rPr>
          <w:rFonts w:ascii="Arial" w:hAnsi="Arial" w:cs="Arial"/>
          <w:bCs/>
          <w:sz w:val="24"/>
          <w:szCs w:val="24"/>
          <w:lang w:val="en-GB"/>
        </w:rPr>
        <w:t>[4</w:t>
      </w:r>
      <w:r w:rsidR="00967EDD">
        <w:rPr>
          <w:rFonts w:ascii="Arial" w:hAnsi="Arial" w:cs="Arial"/>
          <w:bCs/>
          <w:sz w:val="24"/>
          <w:szCs w:val="24"/>
          <w:lang w:val="en-GB"/>
        </w:rPr>
        <w:t>3</w:t>
      </w:r>
      <w:r>
        <w:rPr>
          <w:rFonts w:ascii="Arial" w:hAnsi="Arial" w:cs="Arial"/>
          <w:bCs/>
          <w:sz w:val="24"/>
          <w:szCs w:val="24"/>
          <w:lang w:val="en-GB"/>
        </w:rPr>
        <w:t xml:space="preserve">] As regards Apex, </w:t>
      </w:r>
      <w:r w:rsidR="00AE6B22">
        <w:rPr>
          <w:rFonts w:ascii="Arial" w:hAnsi="Arial" w:cs="Arial"/>
          <w:bCs/>
          <w:sz w:val="24"/>
          <w:szCs w:val="24"/>
          <w:lang w:val="en-GB"/>
        </w:rPr>
        <w:t xml:space="preserve">the </w:t>
      </w:r>
      <w:r w:rsidR="00093A6F" w:rsidRPr="009E0358">
        <w:rPr>
          <w:rFonts w:ascii="Arial" w:hAnsi="Arial" w:cs="Arial"/>
          <w:bCs/>
          <w:sz w:val="24"/>
          <w:szCs w:val="24"/>
          <w:lang w:val="en-GB"/>
        </w:rPr>
        <w:t>irre</w:t>
      </w:r>
      <w:r w:rsidR="009E0358">
        <w:rPr>
          <w:rFonts w:ascii="Arial" w:hAnsi="Arial" w:cs="Arial"/>
          <w:bCs/>
          <w:sz w:val="24"/>
          <w:szCs w:val="24"/>
          <w:lang w:val="en-GB"/>
        </w:rPr>
        <w:t>f</w:t>
      </w:r>
      <w:r w:rsidR="00093A6F" w:rsidRPr="009E0358">
        <w:rPr>
          <w:rFonts w:ascii="Arial" w:hAnsi="Arial" w:cs="Arial"/>
          <w:bCs/>
          <w:sz w:val="24"/>
          <w:szCs w:val="24"/>
          <w:lang w:val="en-GB"/>
        </w:rPr>
        <w:t>utable</w:t>
      </w:r>
      <w:r w:rsidR="00AE6B22">
        <w:rPr>
          <w:rFonts w:ascii="Arial" w:hAnsi="Arial" w:cs="Arial"/>
          <w:bCs/>
          <w:sz w:val="24"/>
          <w:szCs w:val="24"/>
          <w:lang w:val="en-GB"/>
        </w:rPr>
        <w:t xml:space="preserve"> evidence is that </w:t>
      </w:r>
      <w:r>
        <w:rPr>
          <w:rFonts w:ascii="Arial" w:hAnsi="Arial" w:cs="Arial"/>
          <w:bCs/>
          <w:sz w:val="24"/>
          <w:szCs w:val="24"/>
          <w:lang w:val="en-GB"/>
        </w:rPr>
        <w:t xml:space="preserve">it was its franchisee that made the approach in </w:t>
      </w:r>
      <w:r w:rsidR="00A06B6C">
        <w:rPr>
          <w:rFonts w:ascii="Arial" w:hAnsi="Arial" w:cs="Arial"/>
          <w:bCs/>
          <w:sz w:val="24"/>
          <w:szCs w:val="24"/>
          <w:lang w:val="en-GB"/>
        </w:rPr>
        <w:t>Limpopo</w:t>
      </w:r>
      <w:r>
        <w:rPr>
          <w:rFonts w:ascii="Arial" w:hAnsi="Arial" w:cs="Arial"/>
          <w:bCs/>
          <w:sz w:val="24"/>
          <w:szCs w:val="24"/>
          <w:lang w:val="en-GB"/>
        </w:rPr>
        <w:t xml:space="preserve">, an independent entity, through an erstwhile employee of the first respondent.  </w:t>
      </w:r>
      <w:r w:rsidR="00A276B6">
        <w:rPr>
          <w:rFonts w:ascii="Arial" w:hAnsi="Arial" w:cs="Arial"/>
          <w:bCs/>
          <w:sz w:val="24"/>
          <w:szCs w:val="24"/>
          <w:lang w:val="en-GB"/>
        </w:rPr>
        <w:t>No case was sought to be made</w:t>
      </w:r>
      <w:r w:rsidR="0057400C">
        <w:rPr>
          <w:rFonts w:ascii="Arial" w:hAnsi="Arial" w:cs="Arial"/>
          <w:bCs/>
          <w:sz w:val="24"/>
          <w:szCs w:val="24"/>
          <w:lang w:val="en-GB"/>
        </w:rPr>
        <w:t xml:space="preserve"> that Apex used its franchisees to assi</w:t>
      </w:r>
      <w:r w:rsidR="0091055A">
        <w:rPr>
          <w:rFonts w:ascii="Arial" w:hAnsi="Arial" w:cs="Arial"/>
          <w:bCs/>
          <w:sz w:val="24"/>
          <w:szCs w:val="24"/>
          <w:lang w:val="en-GB"/>
        </w:rPr>
        <w:t xml:space="preserve">st the respondents </w:t>
      </w:r>
      <w:r w:rsidR="00951DC7">
        <w:rPr>
          <w:rFonts w:ascii="Arial" w:hAnsi="Arial" w:cs="Arial"/>
          <w:bCs/>
          <w:sz w:val="24"/>
          <w:szCs w:val="24"/>
          <w:lang w:val="en-GB"/>
        </w:rPr>
        <w:t>in breaching their restraint agreements</w:t>
      </w:r>
      <w:r w:rsidR="00E37E48">
        <w:rPr>
          <w:rFonts w:ascii="Arial" w:hAnsi="Arial" w:cs="Arial"/>
          <w:bCs/>
          <w:sz w:val="24"/>
          <w:szCs w:val="24"/>
          <w:lang w:val="en-GB"/>
        </w:rPr>
        <w:t>.</w:t>
      </w:r>
      <w:r w:rsidR="0091055A">
        <w:rPr>
          <w:rFonts w:ascii="Arial" w:hAnsi="Arial" w:cs="Arial"/>
          <w:bCs/>
          <w:sz w:val="24"/>
          <w:szCs w:val="24"/>
          <w:lang w:val="en-GB"/>
        </w:rPr>
        <w:t xml:space="preserve"> </w:t>
      </w:r>
      <w:r w:rsidR="00A276B6">
        <w:rPr>
          <w:rFonts w:ascii="Arial" w:hAnsi="Arial" w:cs="Arial"/>
          <w:bCs/>
          <w:sz w:val="24"/>
          <w:szCs w:val="24"/>
          <w:lang w:val="en-GB"/>
        </w:rPr>
        <w:t xml:space="preserve"> </w:t>
      </w:r>
      <w:r>
        <w:rPr>
          <w:rFonts w:ascii="Arial" w:hAnsi="Arial" w:cs="Arial"/>
          <w:bCs/>
          <w:sz w:val="24"/>
          <w:szCs w:val="24"/>
          <w:lang w:val="en-GB"/>
        </w:rPr>
        <w:t xml:space="preserve">That entity was not cited </w:t>
      </w:r>
      <w:r w:rsidR="00AE6B22">
        <w:rPr>
          <w:rFonts w:ascii="Arial" w:hAnsi="Arial" w:cs="Arial"/>
          <w:bCs/>
          <w:sz w:val="24"/>
          <w:szCs w:val="24"/>
          <w:lang w:val="en-GB"/>
        </w:rPr>
        <w:t>and there</w:t>
      </w:r>
      <w:r w:rsidR="002F18AF">
        <w:rPr>
          <w:rFonts w:ascii="Arial" w:hAnsi="Arial" w:cs="Arial"/>
          <w:bCs/>
          <w:sz w:val="24"/>
          <w:szCs w:val="24"/>
          <w:lang w:val="en-GB"/>
        </w:rPr>
        <w:t xml:space="preserve"> is</w:t>
      </w:r>
      <w:r>
        <w:rPr>
          <w:rFonts w:ascii="Arial" w:hAnsi="Arial" w:cs="Arial"/>
          <w:bCs/>
          <w:sz w:val="24"/>
          <w:szCs w:val="24"/>
          <w:lang w:val="en-GB"/>
        </w:rPr>
        <w:t xml:space="preserve"> no evidence at all about the alleged contact</w:t>
      </w:r>
      <w:r w:rsidR="00AE6B22">
        <w:rPr>
          <w:rFonts w:ascii="Arial" w:hAnsi="Arial" w:cs="Arial"/>
          <w:bCs/>
          <w:sz w:val="24"/>
          <w:szCs w:val="24"/>
          <w:lang w:val="en-GB"/>
        </w:rPr>
        <w:t>,</w:t>
      </w:r>
      <w:r>
        <w:rPr>
          <w:rFonts w:ascii="Arial" w:hAnsi="Arial" w:cs="Arial"/>
          <w:bCs/>
          <w:sz w:val="24"/>
          <w:szCs w:val="24"/>
          <w:lang w:val="en-GB"/>
        </w:rPr>
        <w:t xml:space="preserve"> at the very least, a confirmatory affidavit</w:t>
      </w:r>
      <w:r w:rsidR="00CE2E38">
        <w:rPr>
          <w:rFonts w:ascii="Arial" w:hAnsi="Arial" w:cs="Arial"/>
          <w:bCs/>
          <w:sz w:val="24"/>
          <w:szCs w:val="24"/>
          <w:lang w:val="en-GB"/>
        </w:rPr>
        <w:t xml:space="preserve"> by the person </w:t>
      </w:r>
      <w:r w:rsidR="00EE4785">
        <w:rPr>
          <w:rFonts w:ascii="Arial" w:hAnsi="Arial" w:cs="Arial"/>
          <w:bCs/>
          <w:sz w:val="24"/>
          <w:szCs w:val="24"/>
          <w:lang w:val="en-GB"/>
        </w:rPr>
        <w:t>to whom contact was made</w:t>
      </w:r>
      <w:r w:rsidR="003F5E79">
        <w:rPr>
          <w:rFonts w:ascii="Arial" w:hAnsi="Arial" w:cs="Arial"/>
          <w:bCs/>
          <w:sz w:val="24"/>
          <w:szCs w:val="24"/>
          <w:lang w:val="en-GB"/>
        </w:rPr>
        <w:t xml:space="preserve">, </w:t>
      </w:r>
      <w:r>
        <w:rPr>
          <w:rFonts w:ascii="Arial" w:hAnsi="Arial" w:cs="Arial"/>
          <w:bCs/>
          <w:sz w:val="24"/>
          <w:szCs w:val="24"/>
          <w:lang w:val="en-GB"/>
        </w:rPr>
        <w:t xml:space="preserve">assuming it was a matter that needed consideration and determination of this Court. </w:t>
      </w:r>
      <w:r w:rsidR="00765DD6">
        <w:rPr>
          <w:rFonts w:ascii="Arial" w:hAnsi="Arial" w:cs="Arial"/>
          <w:bCs/>
          <w:sz w:val="24"/>
          <w:szCs w:val="24"/>
          <w:lang w:val="en-GB"/>
        </w:rPr>
        <w:t xml:space="preserve">In all these </w:t>
      </w:r>
      <w:r w:rsidR="004A10AE">
        <w:rPr>
          <w:rFonts w:ascii="Arial" w:hAnsi="Arial" w:cs="Arial"/>
          <w:bCs/>
          <w:sz w:val="24"/>
          <w:szCs w:val="24"/>
          <w:lang w:val="en-GB"/>
        </w:rPr>
        <w:t>circumst</w:t>
      </w:r>
      <w:r w:rsidR="001C5360">
        <w:rPr>
          <w:rFonts w:ascii="Arial" w:hAnsi="Arial" w:cs="Arial"/>
          <w:bCs/>
          <w:sz w:val="24"/>
          <w:szCs w:val="24"/>
          <w:lang w:val="en-GB"/>
        </w:rPr>
        <w:t>ances it be</w:t>
      </w:r>
      <w:r w:rsidR="007B7F2E">
        <w:rPr>
          <w:rFonts w:ascii="Arial" w:hAnsi="Arial" w:cs="Arial"/>
          <w:bCs/>
          <w:sz w:val="24"/>
          <w:szCs w:val="24"/>
          <w:lang w:val="en-GB"/>
        </w:rPr>
        <w:t xml:space="preserve">comes difficult to </w:t>
      </w:r>
      <w:r w:rsidR="000348B7">
        <w:rPr>
          <w:rFonts w:ascii="Arial" w:hAnsi="Arial" w:cs="Arial"/>
          <w:bCs/>
          <w:sz w:val="24"/>
          <w:szCs w:val="24"/>
          <w:lang w:val="en-GB"/>
        </w:rPr>
        <w:t>resis</w:t>
      </w:r>
      <w:r w:rsidR="00DD6BBF">
        <w:rPr>
          <w:rFonts w:ascii="Arial" w:hAnsi="Arial" w:cs="Arial"/>
          <w:bCs/>
          <w:sz w:val="24"/>
          <w:szCs w:val="24"/>
          <w:lang w:val="en-GB"/>
        </w:rPr>
        <w:t>t the conclusion that</w:t>
      </w:r>
      <w:r>
        <w:rPr>
          <w:rFonts w:ascii="Arial" w:hAnsi="Arial" w:cs="Arial"/>
          <w:bCs/>
          <w:sz w:val="24"/>
          <w:szCs w:val="24"/>
          <w:lang w:val="en-GB"/>
        </w:rPr>
        <w:t xml:space="preserve"> </w:t>
      </w:r>
      <w:r w:rsidR="0092638D">
        <w:rPr>
          <w:rFonts w:ascii="Arial" w:hAnsi="Arial" w:cs="Arial"/>
          <w:bCs/>
          <w:sz w:val="24"/>
          <w:szCs w:val="24"/>
          <w:lang w:val="en-GB"/>
        </w:rPr>
        <w:t>t</w:t>
      </w:r>
      <w:r>
        <w:rPr>
          <w:rFonts w:ascii="Arial" w:hAnsi="Arial" w:cs="Arial"/>
          <w:bCs/>
          <w:sz w:val="24"/>
          <w:szCs w:val="24"/>
          <w:lang w:val="en-GB"/>
        </w:rPr>
        <w:t>he Landbank incident seems to have been used as a springboard for launching these proceedings on an urgent basis</w:t>
      </w:r>
      <w:r w:rsidR="000B4AC9">
        <w:rPr>
          <w:rFonts w:ascii="Arial" w:hAnsi="Arial" w:cs="Arial"/>
          <w:bCs/>
          <w:sz w:val="24"/>
          <w:szCs w:val="24"/>
          <w:lang w:val="en-GB"/>
        </w:rPr>
        <w:t xml:space="preserve"> in this </w:t>
      </w:r>
      <w:r w:rsidR="00173A90">
        <w:rPr>
          <w:rFonts w:ascii="Arial" w:hAnsi="Arial" w:cs="Arial"/>
          <w:bCs/>
          <w:sz w:val="24"/>
          <w:szCs w:val="24"/>
          <w:lang w:val="en-GB"/>
        </w:rPr>
        <w:t>C</w:t>
      </w:r>
      <w:r w:rsidR="000B4AC9">
        <w:rPr>
          <w:rFonts w:ascii="Arial" w:hAnsi="Arial" w:cs="Arial"/>
          <w:bCs/>
          <w:sz w:val="24"/>
          <w:szCs w:val="24"/>
          <w:lang w:val="en-GB"/>
        </w:rPr>
        <w:t>ourt</w:t>
      </w:r>
      <w:r w:rsidR="0020410E">
        <w:rPr>
          <w:rFonts w:ascii="Arial" w:hAnsi="Arial" w:cs="Arial"/>
          <w:bCs/>
          <w:sz w:val="24"/>
          <w:szCs w:val="24"/>
          <w:lang w:val="en-GB"/>
        </w:rPr>
        <w:t xml:space="preserve">, an issue I turn </w:t>
      </w:r>
      <w:r w:rsidR="00B13987">
        <w:rPr>
          <w:rFonts w:ascii="Arial" w:hAnsi="Arial" w:cs="Arial"/>
          <w:bCs/>
          <w:sz w:val="24"/>
          <w:szCs w:val="24"/>
          <w:lang w:val="en-GB"/>
        </w:rPr>
        <w:t>to now.</w:t>
      </w:r>
      <w:r>
        <w:rPr>
          <w:rFonts w:ascii="Arial" w:hAnsi="Arial" w:cs="Arial"/>
          <w:bCs/>
          <w:sz w:val="24"/>
          <w:szCs w:val="24"/>
          <w:lang w:val="en-GB"/>
        </w:rPr>
        <w:t xml:space="preserve"> </w:t>
      </w:r>
    </w:p>
    <w:p w14:paraId="1F3464A8" w14:textId="0E0977F9" w:rsidR="00AF7C7C" w:rsidRDefault="00AD6DAD" w:rsidP="000A1C49">
      <w:pPr>
        <w:spacing w:line="480" w:lineRule="auto"/>
        <w:jc w:val="both"/>
        <w:rPr>
          <w:rFonts w:ascii="Arial" w:hAnsi="Arial" w:cs="Arial"/>
          <w:bCs/>
          <w:i/>
          <w:iCs/>
          <w:sz w:val="24"/>
          <w:szCs w:val="24"/>
          <w:lang w:val="en-GB"/>
        </w:rPr>
      </w:pPr>
      <w:r>
        <w:rPr>
          <w:rFonts w:ascii="Arial" w:hAnsi="Arial" w:cs="Arial"/>
          <w:bCs/>
          <w:i/>
          <w:iCs/>
          <w:sz w:val="24"/>
          <w:szCs w:val="24"/>
          <w:lang w:val="en-GB"/>
        </w:rPr>
        <w:t>The urgency.</w:t>
      </w:r>
    </w:p>
    <w:p w14:paraId="0BC5E0AD" w14:textId="6955E0B7" w:rsidR="00AD6DAD" w:rsidRDefault="005B5903"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D26690">
        <w:rPr>
          <w:rFonts w:ascii="Arial" w:hAnsi="Arial" w:cs="Arial"/>
          <w:bCs/>
          <w:sz w:val="24"/>
          <w:szCs w:val="24"/>
          <w:lang w:val="en-GB"/>
        </w:rPr>
        <w:t>4</w:t>
      </w:r>
      <w:r w:rsidR="00A52A2E">
        <w:rPr>
          <w:rFonts w:ascii="Arial" w:hAnsi="Arial" w:cs="Arial"/>
          <w:bCs/>
          <w:sz w:val="24"/>
          <w:szCs w:val="24"/>
          <w:lang w:val="en-GB"/>
        </w:rPr>
        <w:t>4</w:t>
      </w:r>
      <w:r>
        <w:rPr>
          <w:rFonts w:ascii="Arial" w:hAnsi="Arial" w:cs="Arial"/>
          <w:bCs/>
          <w:sz w:val="24"/>
          <w:szCs w:val="24"/>
          <w:lang w:val="en-GB"/>
        </w:rPr>
        <w:t xml:space="preserve">] On urgency </w:t>
      </w:r>
      <w:r w:rsidR="00313A05">
        <w:rPr>
          <w:rFonts w:ascii="Arial" w:hAnsi="Arial" w:cs="Arial"/>
          <w:bCs/>
          <w:sz w:val="24"/>
          <w:szCs w:val="24"/>
          <w:lang w:val="en-GB"/>
        </w:rPr>
        <w:t xml:space="preserve">the </w:t>
      </w:r>
      <w:r>
        <w:rPr>
          <w:rFonts w:ascii="Arial" w:hAnsi="Arial" w:cs="Arial"/>
          <w:bCs/>
          <w:sz w:val="24"/>
          <w:szCs w:val="24"/>
          <w:lang w:val="en-GB"/>
        </w:rPr>
        <w:t>applicant deals with the letter it wrote on 5 April 2023 confronting the respondents regarding what it calls the attempted solicitation and/or enticement of its customer</w:t>
      </w:r>
      <w:r w:rsidR="00230040">
        <w:rPr>
          <w:rFonts w:ascii="Arial" w:hAnsi="Arial" w:cs="Arial"/>
          <w:bCs/>
          <w:sz w:val="24"/>
          <w:szCs w:val="24"/>
          <w:lang w:val="en-GB"/>
        </w:rPr>
        <w:t>,</w:t>
      </w:r>
      <w:r>
        <w:rPr>
          <w:rFonts w:ascii="Arial" w:hAnsi="Arial" w:cs="Arial"/>
          <w:bCs/>
          <w:sz w:val="24"/>
          <w:szCs w:val="24"/>
          <w:lang w:val="en-GB"/>
        </w:rPr>
        <w:t xml:space="preserve"> Eric</w:t>
      </w:r>
      <w:r w:rsidR="00313A05">
        <w:rPr>
          <w:rFonts w:ascii="Arial" w:hAnsi="Arial" w:cs="Arial"/>
          <w:bCs/>
          <w:sz w:val="24"/>
          <w:szCs w:val="24"/>
          <w:lang w:val="en-GB"/>
        </w:rPr>
        <w:t>s</w:t>
      </w:r>
      <w:r>
        <w:rPr>
          <w:rFonts w:ascii="Arial" w:hAnsi="Arial" w:cs="Arial"/>
          <w:bCs/>
          <w:sz w:val="24"/>
          <w:szCs w:val="24"/>
          <w:lang w:val="en-GB"/>
        </w:rPr>
        <w:t>son</w:t>
      </w:r>
      <w:r w:rsidR="00230040">
        <w:rPr>
          <w:rFonts w:ascii="Arial" w:hAnsi="Arial" w:cs="Arial"/>
          <w:bCs/>
          <w:sz w:val="24"/>
          <w:szCs w:val="24"/>
          <w:lang w:val="en-GB"/>
        </w:rPr>
        <w:t xml:space="preserve"> to</w:t>
      </w:r>
      <w:r>
        <w:rPr>
          <w:rFonts w:ascii="Arial" w:hAnsi="Arial" w:cs="Arial"/>
          <w:bCs/>
          <w:sz w:val="24"/>
          <w:szCs w:val="24"/>
          <w:lang w:val="en-GB"/>
        </w:rPr>
        <w:t xml:space="preserve"> which Mr </w:t>
      </w:r>
      <w:r w:rsidR="00313A05">
        <w:rPr>
          <w:rFonts w:ascii="Arial" w:hAnsi="Arial" w:cs="Arial"/>
          <w:bCs/>
          <w:sz w:val="24"/>
          <w:szCs w:val="24"/>
          <w:lang w:val="en-GB"/>
        </w:rPr>
        <w:t>D</w:t>
      </w:r>
      <w:r>
        <w:rPr>
          <w:rFonts w:ascii="Arial" w:hAnsi="Arial" w:cs="Arial"/>
          <w:bCs/>
          <w:sz w:val="24"/>
          <w:szCs w:val="24"/>
          <w:lang w:val="en-GB"/>
        </w:rPr>
        <w:t>u T</w:t>
      </w:r>
      <w:r w:rsidR="0069246A">
        <w:rPr>
          <w:rFonts w:ascii="Arial" w:hAnsi="Arial" w:cs="Arial"/>
          <w:bCs/>
          <w:sz w:val="24"/>
          <w:szCs w:val="24"/>
          <w:lang w:val="en-GB"/>
        </w:rPr>
        <w:t>oi</w:t>
      </w:r>
      <w:r>
        <w:rPr>
          <w:rFonts w:ascii="Arial" w:hAnsi="Arial" w:cs="Arial"/>
          <w:bCs/>
          <w:sz w:val="24"/>
          <w:szCs w:val="24"/>
          <w:lang w:val="en-GB"/>
        </w:rPr>
        <w:t xml:space="preserve">t </w:t>
      </w:r>
      <w:r w:rsidR="00230040">
        <w:rPr>
          <w:rFonts w:ascii="Arial" w:hAnsi="Arial" w:cs="Arial"/>
          <w:bCs/>
          <w:sz w:val="24"/>
          <w:szCs w:val="24"/>
          <w:lang w:val="en-GB"/>
        </w:rPr>
        <w:t>responded in writing</w:t>
      </w:r>
      <w:r>
        <w:rPr>
          <w:rFonts w:ascii="Arial" w:hAnsi="Arial" w:cs="Arial"/>
          <w:bCs/>
          <w:sz w:val="24"/>
          <w:szCs w:val="24"/>
          <w:lang w:val="en-GB"/>
        </w:rPr>
        <w:t xml:space="preserve"> on 7 April 2023</w:t>
      </w:r>
      <w:r w:rsidR="00313A05">
        <w:rPr>
          <w:rFonts w:ascii="Arial" w:hAnsi="Arial" w:cs="Arial"/>
          <w:bCs/>
          <w:sz w:val="24"/>
          <w:szCs w:val="24"/>
          <w:lang w:val="en-GB"/>
        </w:rPr>
        <w:t xml:space="preserve">. </w:t>
      </w:r>
      <w:r>
        <w:rPr>
          <w:rFonts w:ascii="Arial" w:hAnsi="Arial" w:cs="Arial"/>
          <w:bCs/>
          <w:sz w:val="24"/>
          <w:szCs w:val="24"/>
          <w:lang w:val="en-GB"/>
        </w:rPr>
        <w:t xml:space="preserve"> </w:t>
      </w:r>
      <w:r w:rsidR="00313A05">
        <w:rPr>
          <w:rFonts w:ascii="Arial" w:hAnsi="Arial" w:cs="Arial"/>
          <w:bCs/>
          <w:sz w:val="24"/>
          <w:szCs w:val="24"/>
          <w:lang w:val="en-GB"/>
        </w:rPr>
        <w:t>In his response he</w:t>
      </w:r>
      <w:r>
        <w:rPr>
          <w:rFonts w:ascii="Arial" w:hAnsi="Arial" w:cs="Arial"/>
          <w:bCs/>
          <w:sz w:val="24"/>
          <w:szCs w:val="24"/>
          <w:lang w:val="en-GB"/>
        </w:rPr>
        <w:t xml:space="preserve"> </w:t>
      </w:r>
      <w:r w:rsidR="00230040">
        <w:rPr>
          <w:rFonts w:ascii="Arial" w:hAnsi="Arial" w:cs="Arial"/>
          <w:bCs/>
          <w:sz w:val="24"/>
          <w:szCs w:val="24"/>
          <w:lang w:val="en-GB"/>
        </w:rPr>
        <w:t xml:space="preserve">denied it but </w:t>
      </w:r>
      <w:r>
        <w:rPr>
          <w:rFonts w:ascii="Arial" w:hAnsi="Arial" w:cs="Arial"/>
          <w:bCs/>
          <w:sz w:val="24"/>
          <w:szCs w:val="24"/>
          <w:lang w:val="en-GB"/>
        </w:rPr>
        <w:t>undertook to make sure that the respondents complied with their obligations about the restraint provisions.  There</w:t>
      </w:r>
      <w:r w:rsidR="00230040">
        <w:rPr>
          <w:rFonts w:ascii="Arial" w:hAnsi="Arial" w:cs="Arial"/>
          <w:bCs/>
          <w:sz w:val="24"/>
          <w:szCs w:val="24"/>
          <w:lang w:val="en-GB"/>
        </w:rPr>
        <w:t>after</w:t>
      </w:r>
      <w:r>
        <w:rPr>
          <w:rFonts w:ascii="Arial" w:hAnsi="Arial" w:cs="Arial"/>
          <w:bCs/>
          <w:sz w:val="24"/>
          <w:szCs w:val="24"/>
          <w:lang w:val="en-GB"/>
        </w:rPr>
        <w:t xml:space="preserve">, nothing </w:t>
      </w:r>
      <w:r w:rsidR="00313A05">
        <w:rPr>
          <w:rFonts w:ascii="Arial" w:hAnsi="Arial" w:cs="Arial"/>
          <w:bCs/>
          <w:sz w:val="24"/>
          <w:szCs w:val="24"/>
          <w:lang w:val="en-GB"/>
        </w:rPr>
        <w:t xml:space="preserve">seems to have </w:t>
      </w:r>
      <w:r w:rsidR="00055E2B">
        <w:rPr>
          <w:rFonts w:ascii="Arial" w:hAnsi="Arial" w:cs="Arial"/>
          <w:bCs/>
          <w:sz w:val="24"/>
          <w:szCs w:val="24"/>
          <w:lang w:val="en-GB"/>
        </w:rPr>
        <w:t>happened. The</w:t>
      </w:r>
      <w:r>
        <w:rPr>
          <w:rFonts w:ascii="Arial" w:hAnsi="Arial" w:cs="Arial"/>
          <w:bCs/>
          <w:sz w:val="24"/>
          <w:szCs w:val="24"/>
          <w:lang w:val="en-GB"/>
        </w:rPr>
        <w:t xml:space="preserve"> applicant</w:t>
      </w:r>
      <w:r w:rsidR="00E61FFA">
        <w:rPr>
          <w:rFonts w:ascii="Arial" w:hAnsi="Arial" w:cs="Arial"/>
          <w:bCs/>
          <w:sz w:val="24"/>
          <w:szCs w:val="24"/>
          <w:lang w:val="en-GB"/>
        </w:rPr>
        <w:t xml:space="preserve"> goes on </w:t>
      </w:r>
      <w:r w:rsidR="00DA226C">
        <w:rPr>
          <w:rFonts w:ascii="Arial" w:hAnsi="Arial" w:cs="Arial"/>
          <w:bCs/>
          <w:sz w:val="24"/>
          <w:szCs w:val="24"/>
          <w:lang w:val="en-GB"/>
        </w:rPr>
        <w:t>to talk</w:t>
      </w:r>
      <w:r>
        <w:rPr>
          <w:rFonts w:ascii="Arial" w:hAnsi="Arial" w:cs="Arial"/>
          <w:bCs/>
          <w:sz w:val="24"/>
          <w:szCs w:val="24"/>
          <w:lang w:val="en-GB"/>
        </w:rPr>
        <w:t xml:space="preserve"> about negotiations </w:t>
      </w:r>
      <w:r w:rsidR="00230040">
        <w:rPr>
          <w:rFonts w:ascii="Arial" w:hAnsi="Arial" w:cs="Arial"/>
          <w:bCs/>
          <w:sz w:val="24"/>
          <w:szCs w:val="24"/>
          <w:lang w:val="en-GB"/>
        </w:rPr>
        <w:t xml:space="preserve">between May and August 2023 </w:t>
      </w:r>
      <w:r>
        <w:rPr>
          <w:rFonts w:ascii="Arial" w:hAnsi="Arial" w:cs="Arial"/>
          <w:bCs/>
          <w:sz w:val="24"/>
          <w:szCs w:val="24"/>
          <w:lang w:val="en-GB"/>
        </w:rPr>
        <w:t xml:space="preserve">regarding the conclusion of an exit agreement consequent upon the termination of the sublicence </w:t>
      </w:r>
      <w:r w:rsidR="00CA617C">
        <w:rPr>
          <w:rFonts w:ascii="Arial" w:hAnsi="Arial" w:cs="Arial"/>
          <w:bCs/>
          <w:sz w:val="24"/>
          <w:szCs w:val="24"/>
          <w:lang w:val="en-GB"/>
        </w:rPr>
        <w:t xml:space="preserve">and agency agreements.  Then </w:t>
      </w:r>
      <w:r w:rsidR="00D50291">
        <w:rPr>
          <w:rFonts w:ascii="Arial" w:hAnsi="Arial" w:cs="Arial"/>
          <w:bCs/>
          <w:sz w:val="24"/>
          <w:szCs w:val="24"/>
          <w:lang w:val="en-GB"/>
        </w:rPr>
        <w:t>the</w:t>
      </w:r>
      <w:r w:rsidR="00CA617C">
        <w:rPr>
          <w:rFonts w:ascii="Arial" w:hAnsi="Arial" w:cs="Arial"/>
          <w:bCs/>
          <w:sz w:val="24"/>
          <w:szCs w:val="24"/>
          <w:lang w:val="en-GB"/>
        </w:rPr>
        <w:t xml:space="preserve"> applicant talks about an attempt at solicit</w:t>
      </w:r>
      <w:r w:rsidR="00230040">
        <w:rPr>
          <w:rFonts w:ascii="Arial" w:hAnsi="Arial" w:cs="Arial"/>
          <w:bCs/>
          <w:sz w:val="24"/>
          <w:szCs w:val="24"/>
          <w:lang w:val="en-GB"/>
        </w:rPr>
        <w:t>ing</w:t>
      </w:r>
      <w:r w:rsidR="00CA617C">
        <w:rPr>
          <w:rFonts w:ascii="Arial" w:hAnsi="Arial" w:cs="Arial"/>
          <w:bCs/>
          <w:sz w:val="24"/>
          <w:szCs w:val="24"/>
          <w:lang w:val="en-GB"/>
        </w:rPr>
        <w:t xml:space="preserve"> </w:t>
      </w:r>
      <w:r w:rsidR="00230040">
        <w:rPr>
          <w:rFonts w:ascii="Arial" w:hAnsi="Arial" w:cs="Arial"/>
          <w:bCs/>
          <w:sz w:val="24"/>
          <w:szCs w:val="24"/>
          <w:lang w:val="en-GB"/>
        </w:rPr>
        <w:t>L</w:t>
      </w:r>
      <w:r w:rsidR="00CA617C">
        <w:rPr>
          <w:rFonts w:ascii="Arial" w:hAnsi="Arial" w:cs="Arial"/>
          <w:bCs/>
          <w:sz w:val="24"/>
          <w:szCs w:val="24"/>
          <w:lang w:val="en-GB"/>
        </w:rPr>
        <w:t>andbank which is its client by Apex “</w:t>
      </w:r>
      <w:r w:rsidR="00CA617C" w:rsidRPr="00313A05">
        <w:rPr>
          <w:rFonts w:ascii="Arial" w:hAnsi="Arial" w:cs="Arial"/>
          <w:bCs/>
          <w:i/>
          <w:iCs/>
          <w:sz w:val="24"/>
          <w:szCs w:val="24"/>
          <w:lang w:val="en-GB"/>
        </w:rPr>
        <w:t>in breach of the Polokwane and Mpumalanga restraints provisions</w:t>
      </w:r>
      <w:r w:rsidR="00CA617C">
        <w:rPr>
          <w:rFonts w:ascii="Arial" w:hAnsi="Arial" w:cs="Arial"/>
          <w:bCs/>
          <w:sz w:val="24"/>
          <w:szCs w:val="24"/>
          <w:lang w:val="en-GB"/>
        </w:rPr>
        <w:t xml:space="preserve">.” </w:t>
      </w:r>
      <w:r w:rsidR="00313A05">
        <w:rPr>
          <w:rFonts w:ascii="Arial" w:hAnsi="Arial" w:cs="Arial"/>
          <w:bCs/>
          <w:sz w:val="24"/>
          <w:szCs w:val="24"/>
          <w:lang w:val="en-GB"/>
        </w:rPr>
        <w:t xml:space="preserve"> In this regard, Apex is alleged to have </w:t>
      </w:r>
      <w:r w:rsidR="00DA226C">
        <w:rPr>
          <w:rFonts w:ascii="Arial" w:hAnsi="Arial" w:cs="Arial"/>
          <w:bCs/>
          <w:sz w:val="24"/>
          <w:szCs w:val="24"/>
          <w:lang w:val="en-GB"/>
        </w:rPr>
        <w:t xml:space="preserve">done the </w:t>
      </w:r>
      <w:r w:rsidR="00313A05">
        <w:rPr>
          <w:rFonts w:ascii="Arial" w:hAnsi="Arial" w:cs="Arial"/>
          <w:bCs/>
          <w:sz w:val="24"/>
          <w:szCs w:val="24"/>
          <w:lang w:val="en-GB"/>
        </w:rPr>
        <w:lastRenderedPageBreak/>
        <w:t>approach</w:t>
      </w:r>
      <w:r w:rsidR="00A839DD">
        <w:rPr>
          <w:rFonts w:ascii="Arial" w:hAnsi="Arial" w:cs="Arial"/>
          <w:bCs/>
          <w:sz w:val="24"/>
          <w:szCs w:val="24"/>
          <w:lang w:val="en-GB"/>
        </w:rPr>
        <w:t xml:space="preserve"> to</w:t>
      </w:r>
      <w:r w:rsidR="00313A05">
        <w:rPr>
          <w:rFonts w:ascii="Arial" w:hAnsi="Arial" w:cs="Arial"/>
          <w:bCs/>
          <w:sz w:val="24"/>
          <w:szCs w:val="24"/>
          <w:lang w:val="en-GB"/>
        </w:rPr>
        <w:t xml:space="preserve"> Landbank </w:t>
      </w:r>
      <w:r w:rsidR="008637BE">
        <w:rPr>
          <w:rFonts w:ascii="Arial" w:hAnsi="Arial" w:cs="Arial"/>
          <w:bCs/>
          <w:sz w:val="24"/>
          <w:szCs w:val="24"/>
          <w:lang w:val="en-GB"/>
        </w:rPr>
        <w:t>“</w:t>
      </w:r>
      <w:r w:rsidR="00313A05" w:rsidRPr="008637BE">
        <w:rPr>
          <w:rFonts w:ascii="Arial" w:hAnsi="Arial" w:cs="Arial"/>
          <w:bCs/>
          <w:i/>
          <w:iCs/>
          <w:sz w:val="24"/>
          <w:szCs w:val="24"/>
          <w:lang w:val="en-GB"/>
        </w:rPr>
        <w:t xml:space="preserve">through the applicant’s </w:t>
      </w:r>
      <w:r w:rsidR="008546C6" w:rsidRPr="008637BE">
        <w:rPr>
          <w:rFonts w:ascii="Arial" w:hAnsi="Arial" w:cs="Arial"/>
          <w:bCs/>
          <w:i/>
          <w:iCs/>
          <w:sz w:val="24"/>
          <w:szCs w:val="24"/>
          <w:lang w:val="en-GB"/>
        </w:rPr>
        <w:t>Polokwane</w:t>
      </w:r>
      <w:r w:rsidR="00313A05" w:rsidRPr="008637BE">
        <w:rPr>
          <w:rFonts w:ascii="Arial" w:hAnsi="Arial" w:cs="Arial"/>
          <w:bCs/>
          <w:i/>
          <w:iCs/>
          <w:sz w:val="24"/>
          <w:szCs w:val="24"/>
          <w:lang w:val="en-GB"/>
        </w:rPr>
        <w:t xml:space="preserve"> and Mpumalanga agents</w:t>
      </w:r>
      <w:r w:rsidR="008637BE">
        <w:rPr>
          <w:rFonts w:ascii="Arial" w:hAnsi="Arial" w:cs="Arial"/>
          <w:bCs/>
          <w:sz w:val="24"/>
          <w:szCs w:val="24"/>
          <w:lang w:val="en-GB"/>
        </w:rPr>
        <w:t>”.  As I understand this allegation, Apex used applicant’s own agent</w:t>
      </w:r>
      <w:r w:rsidR="00AE0B95">
        <w:rPr>
          <w:rFonts w:ascii="Arial" w:hAnsi="Arial" w:cs="Arial"/>
          <w:bCs/>
          <w:sz w:val="24"/>
          <w:szCs w:val="24"/>
          <w:lang w:val="en-GB"/>
        </w:rPr>
        <w:t>s</w:t>
      </w:r>
      <w:r w:rsidR="008637BE">
        <w:rPr>
          <w:rFonts w:ascii="Arial" w:hAnsi="Arial" w:cs="Arial"/>
          <w:bCs/>
          <w:sz w:val="24"/>
          <w:szCs w:val="24"/>
          <w:lang w:val="en-GB"/>
        </w:rPr>
        <w:t xml:space="preserve"> to approach Landbank.  </w:t>
      </w:r>
      <w:r w:rsidR="00B672F3">
        <w:rPr>
          <w:rFonts w:ascii="Arial" w:hAnsi="Arial" w:cs="Arial"/>
          <w:bCs/>
          <w:sz w:val="24"/>
          <w:szCs w:val="24"/>
          <w:lang w:val="en-GB"/>
        </w:rPr>
        <w:t>Therefore,</w:t>
      </w:r>
      <w:r w:rsidR="008637BE">
        <w:rPr>
          <w:rFonts w:ascii="Arial" w:hAnsi="Arial" w:cs="Arial"/>
          <w:bCs/>
          <w:sz w:val="24"/>
          <w:szCs w:val="24"/>
          <w:lang w:val="en-GB"/>
        </w:rPr>
        <w:t xml:space="preserve"> it did not use the respondent</w:t>
      </w:r>
      <w:r w:rsidR="0088473A">
        <w:rPr>
          <w:rFonts w:ascii="Arial" w:hAnsi="Arial" w:cs="Arial"/>
          <w:bCs/>
          <w:sz w:val="24"/>
          <w:szCs w:val="24"/>
          <w:lang w:val="en-GB"/>
        </w:rPr>
        <w:t>s</w:t>
      </w:r>
      <w:r w:rsidR="008637BE">
        <w:rPr>
          <w:rFonts w:ascii="Arial" w:hAnsi="Arial" w:cs="Arial"/>
          <w:bCs/>
          <w:sz w:val="24"/>
          <w:szCs w:val="24"/>
          <w:lang w:val="en-GB"/>
        </w:rPr>
        <w:t xml:space="preserve"> but applicant’s</w:t>
      </w:r>
      <w:r w:rsidR="00632156">
        <w:rPr>
          <w:rFonts w:ascii="Arial" w:hAnsi="Arial" w:cs="Arial"/>
          <w:bCs/>
          <w:sz w:val="24"/>
          <w:szCs w:val="24"/>
          <w:lang w:val="en-GB"/>
        </w:rPr>
        <w:t xml:space="preserve"> unnamed</w:t>
      </w:r>
      <w:r w:rsidR="008637BE">
        <w:rPr>
          <w:rFonts w:ascii="Arial" w:hAnsi="Arial" w:cs="Arial"/>
          <w:bCs/>
          <w:sz w:val="24"/>
          <w:szCs w:val="24"/>
          <w:lang w:val="en-GB"/>
        </w:rPr>
        <w:t xml:space="preserve"> agents.  This is also not explained and is </w:t>
      </w:r>
      <w:r w:rsidR="001A6282">
        <w:rPr>
          <w:rFonts w:ascii="Arial" w:hAnsi="Arial" w:cs="Arial"/>
          <w:bCs/>
          <w:sz w:val="24"/>
          <w:szCs w:val="24"/>
          <w:lang w:val="en-GB"/>
        </w:rPr>
        <w:t>therefore</w:t>
      </w:r>
      <w:r w:rsidR="003179D2">
        <w:rPr>
          <w:rFonts w:ascii="Arial" w:hAnsi="Arial" w:cs="Arial"/>
          <w:bCs/>
          <w:sz w:val="24"/>
          <w:szCs w:val="24"/>
          <w:lang w:val="en-GB"/>
        </w:rPr>
        <w:t xml:space="preserve"> difficult to understand the case </w:t>
      </w:r>
      <w:r w:rsidR="007F222E">
        <w:rPr>
          <w:rFonts w:ascii="Arial" w:hAnsi="Arial" w:cs="Arial"/>
          <w:bCs/>
          <w:sz w:val="24"/>
          <w:szCs w:val="24"/>
          <w:lang w:val="en-GB"/>
        </w:rPr>
        <w:t>sought to me made</w:t>
      </w:r>
      <w:r w:rsidR="00DC0B39">
        <w:rPr>
          <w:rFonts w:ascii="Arial" w:hAnsi="Arial" w:cs="Arial"/>
          <w:bCs/>
          <w:sz w:val="24"/>
          <w:szCs w:val="24"/>
          <w:lang w:val="en-GB"/>
        </w:rPr>
        <w:t xml:space="preserve"> on these facts</w:t>
      </w:r>
      <w:r w:rsidR="007F222E">
        <w:rPr>
          <w:rFonts w:ascii="Arial" w:hAnsi="Arial" w:cs="Arial"/>
          <w:bCs/>
          <w:sz w:val="24"/>
          <w:szCs w:val="24"/>
          <w:lang w:val="en-GB"/>
        </w:rPr>
        <w:t>.</w:t>
      </w:r>
    </w:p>
    <w:p w14:paraId="09E60DF0" w14:textId="7DF5BDFF" w:rsidR="00CA617C" w:rsidRDefault="002672C1"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4</w:t>
      </w:r>
      <w:r w:rsidR="002E55FC">
        <w:rPr>
          <w:rFonts w:ascii="Arial" w:hAnsi="Arial" w:cs="Arial"/>
          <w:bCs/>
          <w:sz w:val="24"/>
          <w:szCs w:val="24"/>
          <w:lang w:val="en-GB"/>
        </w:rPr>
        <w:t>5</w:t>
      </w:r>
      <w:r>
        <w:rPr>
          <w:rFonts w:ascii="Arial" w:hAnsi="Arial" w:cs="Arial"/>
          <w:bCs/>
          <w:sz w:val="24"/>
          <w:szCs w:val="24"/>
          <w:lang w:val="en-GB"/>
        </w:rPr>
        <w:t xml:space="preserve">] </w:t>
      </w:r>
      <w:r w:rsidR="00384A7D">
        <w:rPr>
          <w:rFonts w:ascii="Arial" w:hAnsi="Arial" w:cs="Arial"/>
          <w:bCs/>
          <w:sz w:val="24"/>
          <w:szCs w:val="24"/>
          <w:lang w:val="en-GB"/>
        </w:rPr>
        <w:t>Over and above all of this</w:t>
      </w:r>
      <w:r w:rsidR="002E55FC">
        <w:rPr>
          <w:rFonts w:ascii="Arial" w:hAnsi="Arial" w:cs="Arial"/>
          <w:bCs/>
          <w:sz w:val="24"/>
          <w:szCs w:val="24"/>
          <w:lang w:val="en-GB"/>
        </w:rPr>
        <w:t>,</w:t>
      </w:r>
      <w:r w:rsidR="00384A7D">
        <w:rPr>
          <w:rFonts w:ascii="Arial" w:hAnsi="Arial" w:cs="Arial"/>
          <w:bCs/>
          <w:sz w:val="24"/>
          <w:szCs w:val="24"/>
          <w:lang w:val="en-GB"/>
        </w:rPr>
        <w:t xml:space="preserve"> t</w:t>
      </w:r>
      <w:r>
        <w:rPr>
          <w:rFonts w:ascii="Arial" w:hAnsi="Arial" w:cs="Arial"/>
          <w:bCs/>
          <w:sz w:val="24"/>
          <w:szCs w:val="24"/>
          <w:lang w:val="en-GB"/>
        </w:rPr>
        <w:t xml:space="preserve">here is no allegation that </w:t>
      </w:r>
      <w:r w:rsidR="00384A7D">
        <w:rPr>
          <w:rFonts w:ascii="Arial" w:hAnsi="Arial" w:cs="Arial"/>
          <w:bCs/>
          <w:sz w:val="24"/>
          <w:szCs w:val="24"/>
          <w:lang w:val="en-GB"/>
        </w:rPr>
        <w:t>the applicant</w:t>
      </w:r>
      <w:r>
        <w:rPr>
          <w:rFonts w:ascii="Arial" w:hAnsi="Arial" w:cs="Arial"/>
          <w:bCs/>
          <w:sz w:val="24"/>
          <w:szCs w:val="24"/>
          <w:lang w:val="en-GB"/>
        </w:rPr>
        <w:t xml:space="preserve"> had entered into a restraint of trade agreement with Apex relating to the areas of Polokwan</w:t>
      </w:r>
      <w:r w:rsidR="0059565F">
        <w:rPr>
          <w:rFonts w:ascii="Arial" w:hAnsi="Arial" w:cs="Arial"/>
          <w:bCs/>
          <w:sz w:val="24"/>
          <w:szCs w:val="24"/>
          <w:lang w:val="en-GB"/>
        </w:rPr>
        <w:t>e</w:t>
      </w:r>
      <w:r>
        <w:rPr>
          <w:rFonts w:ascii="Arial" w:hAnsi="Arial" w:cs="Arial"/>
          <w:bCs/>
          <w:sz w:val="24"/>
          <w:szCs w:val="24"/>
          <w:lang w:val="en-GB"/>
        </w:rPr>
        <w:t xml:space="preserve"> and Mpumalanga</w:t>
      </w:r>
      <w:r w:rsidR="00384A7D">
        <w:rPr>
          <w:rFonts w:ascii="Arial" w:hAnsi="Arial" w:cs="Arial"/>
          <w:bCs/>
          <w:sz w:val="24"/>
          <w:szCs w:val="24"/>
          <w:lang w:val="en-GB"/>
        </w:rPr>
        <w:t xml:space="preserve"> or the basis on which Apex was in any event not entitled to approach </w:t>
      </w:r>
      <w:r w:rsidR="00742D94">
        <w:rPr>
          <w:rFonts w:ascii="Arial" w:hAnsi="Arial" w:cs="Arial"/>
          <w:bCs/>
          <w:sz w:val="24"/>
          <w:szCs w:val="24"/>
          <w:lang w:val="en-GB"/>
        </w:rPr>
        <w:t xml:space="preserve">the </w:t>
      </w:r>
      <w:r w:rsidR="00384A7D">
        <w:rPr>
          <w:rFonts w:ascii="Arial" w:hAnsi="Arial" w:cs="Arial"/>
          <w:bCs/>
          <w:sz w:val="24"/>
          <w:szCs w:val="24"/>
          <w:lang w:val="en-GB"/>
        </w:rPr>
        <w:t>applicant’s customers in that area</w:t>
      </w:r>
      <w:r>
        <w:rPr>
          <w:rFonts w:ascii="Arial" w:hAnsi="Arial" w:cs="Arial"/>
          <w:bCs/>
          <w:sz w:val="24"/>
          <w:szCs w:val="24"/>
          <w:lang w:val="en-GB"/>
        </w:rPr>
        <w:t>.  There are further no allegations that the respondents did in fact enter into such an agreement which is in any event not referred to or annexed</w:t>
      </w:r>
      <w:r w:rsidR="00A80579">
        <w:rPr>
          <w:rFonts w:ascii="Arial" w:hAnsi="Arial" w:cs="Arial"/>
          <w:bCs/>
          <w:sz w:val="24"/>
          <w:szCs w:val="24"/>
          <w:lang w:val="en-GB"/>
        </w:rPr>
        <w:t xml:space="preserve"> concerning that area</w:t>
      </w:r>
      <w:r>
        <w:rPr>
          <w:rFonts w:ascii="Arial" w:hAnsi="Arial" w:cs="Arial"/>
          <w:bCs/>
          <w:sz w:val="24"/>
          <w:szCs w:val="24"/>
          <w:lang w:val="en-GB"/>
        </w:rPr>
        <w:t xml:space="preserve">.  The basis on which any of the respondents would have acted in breach of </w:t>
      </w:r>
      <w:r w:rsidR="00EA572D">
        <w:rPr>
          <w:rFonts w:ascii="Arial" w:hAnsi="Arial" w:cs="Arial"/>
          <w:bCs/>
          <w:sz w:val="24"/>
          <w:szCs w:val="24"/>
          <w:lang w:val="en-GB"/>
        </w:rPr>
        <w:t>their</w:t>
      </w:r>
      <w:r>
        <w:rPr>
          <w:rFonts w:ascii="Arial" w:hAnsi="Arial" w:cs="Arial"/>
          <w:bCs/>
          <w:sz w:val="24"/>
          <w:szCs w:val="24"/>
          <w:lang w:val="en-GB"/>
        </w:rPr>
        <w:t xml:space="preserve"> restraint provision</w:t>
      </w:r>
      <w:r w:rsidR="004916DE">
        <w:rPr>
          <w:rFonts w:ascii="Arial" w:hAnsi="Arial" w:cs="Arial"/>
          <w:bCs/>
          <w:sz w:val="24"/>
          <w:szCs w:val="24"/>
          <w:lang w:val="en-GB"/>
        </w:rPr>
        <w:t>s</w:t>
      </w:r>
      <w:r>
        <w:rPr>
          <w:rFonts w:ascii="Arial" w:hAnsi="Arial" w:cs="Arial"/>
          <w:bCs/>
          <w:sz w:val="24"/>
          <w:szCs w:val="24"/>
          <w:lang w:val="en-GB"/>
        </w:rPr>
        <w:t xml:space="preserve"> in Polokwan</w:t>
      </w:r>
      <w:r w:rsidR="0059565F">
        <w:rPr>
          <w:rFonts w:ascii="Arial" w:hAnsi="Arial" w:cs="Arial"/>
          <w:bCs/>
          <w:sz w:val="24"/>
          <w:szCs w:val="24"/>
          <w:lang w:val="en-GB"/>
        </w:rPr>
        <w:t>e</w:t>
      </w:r>
      <w:r>
        <w:rPr>
          <w:rFonts w:ascii="Arial" w:hAnsi="Arial" w:cs="Arial"/>
          <w:bCs/>
          <w:sz w:val="24"/>
          <w:szCs w:val="24"/>
          <w:lang w:val="en-GB"/>
        </w:rPr>
        <w:t xml:space="preserve"> and Mpumalanga is conspicuous by its </w:t>
      </w:r>
      <w:r w:rsidR="00007906">
        <w:rPr>
          <w:rFonts w:ascii="Arial" w:hAnsi="Arial" w:cs="Arial"/>
          <w:bCs/>
          <w:sz w:val="24"/>
          <w:szCs w:val="24"/>
          <w:lang w:val="en-GB"/>
        </w:rPr>
        <w:t xml:space="preserve">absence.  It is unclear why this Court should </w:t>
      </w:r>
      <w:r w:rsidR="004E6053">
        <w:rPr>
          <w:rFonts w:ascii="Arial" w:hAnsi="Arial" w:cs="Arial"/>
          <w:bCs/>
          <w:sz w:val="24"/>
          <w:szCs w:val="24"/>
          <w:lang w:val="en-GB"/>
        </w:rPr>
        <w:t xml:space="preserve">in any event </w:t>
      </w:r>
      <w:r w:rsidR="00007906">
        <w:rPr>
          <w:rFonts w:ascii="Arial" w:hAnsi="Arial" w:cs="Arial"/>
          <w:bCs/>
          <w:sz w:val="24"/>
          <w:szCs w:val="24"/>
          <w:lang w:val="en-GB"/>
        </w:rPr>
        <w:t xml:space="preserve">have jurisdiction to deal with a matter or issue or breach that was committed, allegedly, in </w:t>
      </w:r>
      <w:r w:rsidR="00E87644">
        <w:rPr>
          <w:rFonts w:ascii="Arial" w:hAnsi="Arial" w:cs="Arial"/>
          <w:bCs/>
          <w:sz w:val="24"/>
          <w:szCs w:val="24"/>
          <w:lang w:val="en-GB"/>
        </w:rPr>
        <w:t>an area</w:t>
      </w:r>
      <w:r w:rsidR="00AF37EA">
        <w:rPr>
          <w:rFonts w:ascii="Arial" w:hAnsi="Arial" w:cs="Arial"/>
          <w:bCs/>
          <w:sz w:val="24"/>
          <w:szCs w:val="24"/>
          <w:lang w:val="en-GB"/>
        </w:rPr>
        <w:t xml:space="preserve"> outside</w:t>
      </w:r>
      <w:r w:rsidR="00606AFD">
        <w:rPr>
          <w:rFonts w:ascii="Arial" w:hAnsi="Arial" w:cs="Arial"/>
          <w:bCs/>
          <w:sz w:val="24"/>
          <w:szCs w:val="24"/>
          <w:lang w:val="en-GB"/>
        </w:rPr>
        <w:t xml:space="preserve"> its</w:t>
      </w:r>
      <w:r w:rsidR="00007906">
        <w:rPr>
          <w:rFonts w:ascii="Arial" w:hAnsi="Arial" w:cs="Arial"/>
          <w:bCs/>
          <w:sz w:val="24"/>
          <w:szCs w:val="24"/>
          <w:lang w:val="en-GB"/>
        </w:rPr>
        <w:t xml:space="preserve"> jurisdiction.  </w:t>
      </w:r>
      <w:r w:rsidR="00F83D6C">
        <w:rPr>
          <w:rFonts w:ascii="Arial" w:hAnsi="Arial" w:cs="Arial"/>
          <w:bCs/>
          <w:sz w:val="24"/>
          <w:szCs w:val="24"/>
          <w:lang w:val="en-GB"/>
        </w:rPr>
        <w:t>[</w:t>
      </w:r>
      <w:r w:rsidR="00BB5658">
        <w:rPr>
          <w:rFonts w:ascii="Arial" w:hAnsi="Arial" w:cs="Arial"/>
          <w:bCs/>
          <w:sz w:val="24"/>
          <w:szCs w:val="24"/>
          <w:lang w:val="en-GB"/>
        </w:rPr>
        <w:t>4</w:t>
      </w:r>
      <w:r w:rsidR="00221075">
        <w:rPr>
          <w:rFonts w:ascii="Arial" w:hAnsi="Arial" w:cs="Arial"/>
          <w:bCs/>
          <w:sz w:val="24"/>
          <w:szCs w:val="24"/>
          <w:lang w:val="en-GB"/>
        </w:rPr>
        <w:t>6</w:t>
      </w:r>
      <w:r w:rsidR="00BB5658">
        <w:rPr>
          <w:rFonts w:ascii="Arial" w:hAnsi="Arial" w:cs="Arial"/>
          <w:bCs/>
          <w:sz w:val="24"/>
          <w:szCs w:val="24"/>
          <w:lang w:val="en-GB"/>
        </w:rPr>
        <w:t xml:space="preserve">] </w:t>
      </w:r>
      <w:r w:rsidR="00007906">
        <w:rPr>
          <w:rFonts w:ascii="Arial" w:hAnsi="Arial" w:cs="Arial"/>
          <w:bCs/>
          <w:sz w:val="24"/>
          <w:szCs w:val="24"/>
          <w:lang w:val="en-GB"/>
        </w:rPr>
        <w:t>Averments are then made about the applicant not launching this application earlier believing that the respondents would comply with their respective restraint provisions</w:t>
      </w:r>
      <w:r w:rsidR="0059565F">
        <w:rPr>
          <w:rFonts w:ascii="Arial" w:hAnsi="Arial" w:cs="Arial"/>
          <w:bCs/>
          <w:sz w:val="24"/>
          <w:szCs w:val="24"/>
          <w:lang w:val="en-GB"/>
        </w:rPr>
        <w:t xml:space="preserve"> presumably </w:t>
      </w:r>
      <w:r w:rsidR="008950E0">
        <w:rPr>
          <w:rFonts w:ascii="Arial" w:hAnsi="Arial" w:cs="Arial"/>
          <w:bCs/>
          <w:sz w:val="24"/>
          <w:szCs w:val="24"/>
          <w:lang w:val="en-GB"/>
        </w:rPr>
        <w:t>based</w:t>
      </w:r>
      <w:r w:rsidR="0059565F">
        <w:rPr>
          <w:rFonts w:ascii="Arial" w:hAnsi="Arial" w:cs="Arial"/>
          <w:bCs/>
          <w:sz w:val="24"/>
          <w:szCs w:val="24"/>
          <w:lang w:val="en-GB"/>
        </w:rPr>
        <w:t xml:space="preserve"> o</w:t>
      </w:r>
      <w:r w:rsidR="008950E0">
        <w:rPr>
          <w:rFonts w:ascii="Arial" w:hAnsi="Arial" w:cs="Arial"/>
          <w:bCs/>
          <w:sz w:val="24"/>
          <w:szCs w:val="24"/>
          <w:lang w:val="en-GB"/>
        </w:rPr>
        <w:t>n</w:t>
      </w:r>
      <w:r w:rsidR="0059565F">
        <w:rPr>
          <w:rFonts w:ascii="Arial" w:hAnsi="Arial" w:cs="Arial"/>
          <w:bCs/>
          <w:sz w:val="24"/>
          <w:szCs w:val="24"/>
          <w:lang w:val="en-GB"/>
        </w:rPr>
        <w:t xml:space="preserve"> Mr </w:t>
      </w:r>
      <w:r w:rsidR="00C707A2">
        <w:rPr>
          <w:rFonts w:ascii="Arial" w:hAnsi="Arial" w:cs="Arial"/>
          <w:bCs/>
          <w:sz w:val="24"/>
          <w:szCs w:val="24"/>
          <w:lang w:val="en-GB"/>
        </w:rPr>
        <w:t>D</w:t>
      </w:r>
      <w:r w:rsidR="0059565F">
        <w:rPr>
          <w:rFonts w:ascii="Arial" w:hAnsi="Arial" w:cs="Arial"/>
          <w:bCs/>
          <w:sz w:val="24"/>
          <w:szCs w:val="24"/>
          <w:lang w:val="en-GB"/>
        </w:rPr>
        <w:t xml:space="preserve">u </w:t>
      </w:r>
      <w:r w:rsidR="00C707A2">
        <w:rPr>
          <w:rFonts w:ascii="Arial" w:hAnsi="Arial" w:cs="Arial"/>
          <w:bCs/>
          <w:sz w:val="24"/>
          <w:szCs w:val="24"/>
          <w:lang w:val="en-GB"/>
        </w:rPr>
        <w:t>T</w:t>
      </w:r>
      <w:r w:rsidR="00635AE3">
        <w:rPr>
          <w:rFonts w:ascii="Arial" w:hAnsi="Arial" w:cs="Arial"/>
          <w:bCs/>
          <w:sz w:val="24"/>
          <w:szCs w:val="24"/>
          <w:lang w:val="en-GB"/>
        </w:rPr>
        <w:t>oi</w:t>
      </w:r>
      <w:r w:rsidR="00C707A2">
        <w:rPr>
          <w:rFonts w:ascii="Arial" w:hAnsi="Arial" w:cs="Arial"/>
          <w:bCs/>
          <w:sz w:val="24"/>
          <w:szCs w:val="24"/>
          <w:lang w:val="en-GB"/>
        </w:rPr>
        <w:t>t’s</w:t>
      </w:r>
      <w:r w:rsidR="00A61951">
        <w:rPr>
          <w:rFonts w:ascii="Arial" w:hAnsi="Arial" w:cs="Arial"/>
          <w:bCs/>
          <w:sz w:val="24"/>
          <w:szCs w:val="24"/>
          <w:lang w:val="en-GB"/>
        </w:rPr>
        <w:t xml:space="preserve"> undertaking</w:t>
      </w:r>
      <w:r w:rsidR="00CC3DDF">
        <w:rPr>
          <w:rFonts w:ascii="Arial" w:hAnsi="Arial" w:cs="Arial"/>
          <w:bCs/>
          <w:sz w:val="24"/>
          <w:szCs w:val="24"/>
          <w:lang w:val="en-GB"/>
        </w:rPr>
        <w:t xml:space="preserve"> in</w:t>
      </w:r>
      <w:r w:rsidR="00A61951">
        <w:rPr>
          <w:rFonts w:ascii="Arial" w:hAnsi="Arial" w:cs="Arial"/>
          <w:bCs/>
          <w:sz w:val="24"/>
          <w:szCs w:val="24"/>
          <w:lang w:val="en-GB"/>
        </w:rPr>
        <w:t xml:space="preserve"> his</w:t>
      </w:r>
      <w:r w:rsidR="0059565F">
        <w:rPr>
          <w:rFonts w:ascii="Arial" w:hAnsi="Arial" w:cs="Arial"/>
          <w:bCs/>
          <w:sz w:val="24"/>
          <w:szCs w:val="24"/>
          <w:lang w:val="en-GB"/>
        </w:rPr>
        <w:t xml:space="preserve"> letter dated 7 April 2023</w:t>
      </w:r>
      <w:r w:rsidR="00007906">
        <w:rPr>
          <w:rFonts w:ascii="Arial" w:hAnsi="Arial" w:cs="Arial"/>
          <w:bCs/>
          <w:sz w:val="24"/>
          <w:szCs w:val="24"/>
          <w:lang w:val="en-GB"/>
        </w:rPr>
        <w:t xml:space="preserve">.  </w:t>
      </w:r>
      <w:r w:rsidR="006B3A03">
        <w:rPr>
          <w:rFonts w:ascii="Arial" w:hAnsi="Arial" w:cs="Arial"/>
          <w:bCs/>
          <w:sz w:val="24"/>
          <w:szCs w:val="24"/>
          <w:lang w:val="en-GB"/>
        </w:rPr>
        <w:t>Again,</w:t>
      </w:r>
      <w:r w:rsidR="00007906">
        <w:rPr>
          <w:rFonts w:ascii="Arial" w:hAnsi="Arial" w:cs="Arial"/>
          <w:bCs/>
          <w:sz w:val="24"/>
          <w:szCs w:val="24"/>
          <w:lang w:val="en-GB"/>
        </w:rPr>
        <w:t xml:space="preserve"> it is unclear what these restraint provisions are as they relate to that area.</w:t>
      </w:r>
      <w:r w:rsidR="00A4240A">
        <w:rPr>
          <w:rFonts w:ascii="Arial" w:hAnsi="Arial" w:cs="Arial"/>
          <w:bCs/>
          <w:sz w:val="24"/>
          <w:szCs w:val="24"/>
          <w:lang w:val="en-GB"/>
        </w:rPr>
        <w:t xml:space="preserve"> </w:t>
      </w:r>
      <w:r w:rsidR="005B0621">
        <w:rPr>
          <w:rFonts w:ascii="Arial" w:hAnsi="Arial" w:cs="Arial"/>
          <w:bCs/>
          <w:sz w:val="24"/>
          <w:szCs w:val="24"/>
          <w:lang w:val="en-GB"/>
        </w:rPr>
        <w:t xml:space="preserve">As I said before, </w:t>
      </w:r>
      <w:r w:rsidR="0059565F">
        <w:rPr>
          <w:rFonts w:ascii="Arial" w:hAnsi="Arial" w:cs="Arial"/>
          <w:bCs/>
          <w:sz w:val="24"/>
          <w:szCs w:val="24"/>
          <w:lang w:val="en-GB"/>
        </w:rPr>
        <w:t xml:space="preserve">the </w:t>
      </w:r>
      <w:r w:rsidR="005B0621">
        <w:rPr>
          <w:rFonts w:ascii="Arial" w:hAnsi="Arial" w:cs="Arial"/>
          <w:bCs/>
          <w:sz w:val="24"/>
          <w:szCs w:val="24"/>
          <w:lang w:val="en-GB"/>
        </w:rPr>
        <w:t>applicant appears to have accepted M</w:t>
      </w:r>
      <w:r w:rsidR="006B3A03">
        <w:rPr>
          <w:rFonts w:ascii="Arial" w:hAnsi="Arial" w:cs="Arial"/>
          <w:bCs/>
          <w:sz w:val="24"/>
          <w:szCs w:val="24"/>
          <w:lang w:val="en-GB"/>
        </w:rPr>
        <w:t>r</w:t>
      </w:r>
      <w:r w:rsidR="005B0621">
        <w:rPr>
          <w:rFonts w:ascii="Arial" w:hAnsi="Arial" w:cs="Arial"/>
          <w:bCs/>
          <w:sz w:val="24"/>
          <w:szCs w:val="24"/>
          <w:lang w:val="en-GB"/>
        </w:rPr>
        <w:t xml:space="preserve"> </w:t>
      </w:r>
      <w:r w:rsidR="00626839">
        <w:rPr>
          <w:rFonts w:ascii="Arial" w:hAnsi="Arial" w:cs="Arial"/>
          <w:bCs/>
          <w:sz w:val="24"/>
          <w:szCs w:val="24"/>
          <w:lang w:val="en-GB"/>
        </w:rPr>
        <w:t>D</w:t>
      </w:r>
      <w:r w:rsidR="005B0621">
        <w:rPr>
          <w:rFonts w:ascii="Arial" w:hAnsi="Arial" w:cs="Arial"/>
          <w:bCs/>
          <w:sz w:val="24"/>
          <w:szCs w:val="24"/>
          <w:lang w:val="en-GB"/>
        </w:rPr>
        <w:t>u T</w:t>
      </w:r>
      <w:r w:rsidR="00B469F2">
        <w:rPr>
          <w:rFonts w:ascii="Arial" w:hAnsi="Arial" w:cs="Arial"/>
          <w:bCs/>
          <w:sz w:val="24"/>
          <w:szCs w:val="24"/>
          <w:lang w:val="en-GB"/>
        </w:rPr>
        <w:t>oi</w:t>
      </w:r>
      <w:r w:rsidR="005B0621">
        <w:rPr>
          <w:rFonts w:ascii="Arial" w:hAnsi="Arial" w:cs="Arial"/>
          <w:bCs/>
          <w:sz w:val="24"/>
          <w:szCs w:val="24"/>
          <w:lang w:val="en-GB"/>
        </w:rPr>
        <w:t xml:space="preserve">t’s undertaking </w:t>
      </w:r>
      <w:r w:rsidR="00B94C00">
        <w:rPr>
          <w:rFonts w:ascii="Arial" w:hAnsi="Arial" w:cs="Arial"/>
          <w:bCs/>
          <w:sz w:val="24"/>
          <w:szCs w:val="24"/>
          <w:lang w:val="en-GB"/>
        </w:rPr>
        <w:t xml:space="preserve">after </w:t>
      </w:r>
      <w:r w:rsidR="00B360B1">
        <w:rPr>
          <w:rFonts w:ascii="Arial" w:hAnsi="Arial" w:cs="Arial"/>
          <w:bCs/>
          <w:sz w:val="24"/>
          <w:szCs w:val="24"/>
          <w:lang w:val="en-GB"/>
        </w:rPr>
        <w:t xml:space="preserve">the </w:t>
      </w:r>
      <w:r w:rsidR="006A7436">
        <w:rPr>
          <w:rFonts w:ascii="Arial" w:hAnsi="Arial" w:cs="Arial"/>
          <w:bCs/>
          <w:sz w:val="24"/>
          <w:szCs w:val="24"/>
          <w:lang w:val="en-GB"/>
        </w:rPr>
        <w:t>Ericsson incident</w:t>
      </w:r>
      <w:r w:rsidR="005B0621">
        <w:rPr>
          <w:rFonts w:ascii="Arial" w:hAnsi="Arial" w:cs="Arial"/>
          <w:bCs/>
          <w:sz w:val="24"/>
          <w:szCs w:val="24"/>
          <w:lang w:val="en-GB"/>
        </w:rPr>
        <w:t xml:space="preserve"> as a result </w:t>
      </w:r>
      <w:r w:rsidR="00B9629A">
        <w:rPr>
          <w:rFonts w:ascii="Arial" w:hAnsi="Arial" w:cs="Arial"/>
          <w:bCs/>
          <w:sz w:val="24"/>
          <w:szCs w:val="24"/>
          <w:lang w:val="en-GB"/>
        </w:rPr>
        <w:t>of which it did not take any further action</w:t>
      </w:r>
      <w:r w:rsidR="0059565F">
        <w:rPr>
          <w:rFonts w:ascii="Arial" w:hAnsi="Arial" w:cs="Arial"/>
          <w:bCs/>
          <w:sz w:val="24"/>
          <w:szCs w:val="24"/>
          <w:lang w:val="en-GB"/>
        </w:rPr>
        <w:t xml:space="preserve"> since April 2023</w:t>
      </w:r>
      <w:r w:rsidR="00626839">
        <w:rPr>
          <w:rFonts w:ascii="Arial" w:hAnsi="Arial" w:cs="Arial"/>
          <w:bCs/>
          <w:sz w:val="24"/>
          <w:szCs w:val="24"/>
          <w:lang w:val="en-GB"/>
        </w:rPr>
        <w:t xml:space="preserve"> until the issue of Landbank arose</w:t>
      </w:r>
      <w:r w:rsidR="00FA5780">
        <w:rPr>
          <w:rFonts w:ascii="Arial" w:hAnsi="Arial" w:cs="Arial"/>
          <w:bCs/>
          <w:sz w:val="24"/>
          <w:szCs w:val="24"/>
          <w:lang w:val="en-GB"/>
        </w:rPr>
        <w:t xml:space="preserve"> outside the territory as defined.</w:t>
      </w:r>
    </w:p>
    <w:p w14:paraId="70854321" w14:textId="7A050DD8" w:rsidR="00EE4312" w:rsidRDefault="002C27C7"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4</w:t>
      </w:r>
      <w:r w:rsidR="009E4E58">
        <w:rPr>
          <w:rFonts w:ascii="Arial" w:hAnsi="Arial" w:cs="Arial"/>
          <w:bCs/>
          <w:sz w:val="24"/>
          <w:szCs w:val="24"/>
          <w:lang w:val="en-GB"/>
        </w:rPr>
        <w:t>7</w:t>
      </w:r>
      <w:r>
        <w:rPr>
          <w:rFonts w:ascii="Arial" w:hAnsi="Arial" w:cs="Arial"/>
          <w:bCs/>
          <w:sz w:val="24"/>
          <w:szCs w:val="24"/>
          <w:lang w:val="en-GB"/>
        </w:rPr>
        <w:t xml:space="preserve">] There was a long period of </w:t>
      </w:r>
      <w:r w:rsidR="006B3A03">
        <w:rPr>
          <w:rFonts w:ascii="Arial" w:hAnsi="Arial" w:cs="Arial"/>
          <w:bCs/>
          <w:sz w:val="24"/>
          <w:szCs w:val="24"/>
          <w:lang w:val="en-GB"/>
        </w:rPr>
        <w:t>inaction</w:t>
      </w:r>
      <w:r w:rsidR="0051478B">
        <w:rPr>
          <w:rFonts w:ascii="Arial" w:hAnsi="Arial" w:cs="Arial"/>
          <w:bCs/>
          <w:sz w:val="24"/>
          <w:szCs w:val="24"/>
          <w:lang w:val="en-GB"/>
        </w:rPr>
        <w:t xml:space="preserve"> of more than </w:t>
      </w:r>
      <w:r w:rsidR="00A86795">
        <w:rPr>
          <w:rFonts w:ascii="Arial" w:hAnsi="Arial" w:cs="Arial"/>
          <w:bCs/>
          <w:sz w:val="24"/>
          <w:szCs w:val="24"/>
          <w:lang w:val="en-GB"/>
        </w:rPr>
        <w:t>four months</w:t>
      </w:r>
      <w:r w:rsidR="006B3A03">
        <w:rPr>
          <w:rFonts w:ascii="Arial" w:hAnsi="Arial" w:cs="Arial"/>
          <w:bCs/>
          <w:sz w:val="24"/>
          <w:szCs w:val="24"/>
          <w:lang w:val="en-GB"/>
        </w:rPr>
        <w:t xml:space="preserve"> on the Erics</w:t>
      </w:r>
      <w:r w:rsidR="00626839">
        <w:rPr>
          <w:rFonts w:ascii="Arial" w:hAnsi="Arial" w:cs="Arial"/>
          <w:bCs/>
          <w:sz w:val="24"/>
          <w:szCs w:val="24"/>
          <w:lang w:val="en-GB"/>
        </w:rPr>
        <w:t>s</w:t>
      </w:r>
      <w:r w:rsidR="006B3A03">
        <w:rPr>
          <w:rFonts w:ascii="Arial" w:hAnsi="Arial" w:cs="Arial"/>
          <w:bCs/>
          <w:sz w:val="24"/>
          <w:szCs w:val="24"/>
          <w:lang w:val="en-GB"/>
        </w:rPr>
        <w:t>on incident.</w:t>
      </w:r>
      <w:r w:rsidR="00DB244B">
        <w:rPr>
          <w:rFonts w:ascii="Arial" w:hAnsi="Arial" w:cs="Arial"/>
          <w:bCs/>
          <w:sz w:val="24"/>
          <w:szCs w:val="24"/>
          <w:lang w:val="en-GB"/>
        </w:rPr>
        <w:t xml:space="preserve">  Thereafter, the Landbank incident in </w:t>
      </w:r>
      <w:r w:rsidR="008A1857">
        <w:rPr>
          <w:rFonts w:ascii="Arial" w:hAnsi="Arial" w:cs="Arial"/>
          <w:bCs/>
          <w:sz w:val="24"/>
          <w:szCs w:val="24"/>
          <w:lang w:val="en-GB"/>
        </w:rPr>
        <w:t>another</w:t>
      </w:r>
      <w:r w:rsidR="00DB244B">
        <w:rPr>
          <w:rFonts w:ascii="Arial" w:hAnsi="Arial" w:cs="Arial"/>
          <w:bCs/>
          <w:sz w:val="24"/>
          <w:szCs w:val="24"/>
          <w:lang w:val="en-GB"/>
        </w:rPr>
        <w:t xml:space="preserve"> jurisdiction happened.  It appears </w:t>
      </w:r>
      <w:r w:rsidR="00DB244B">
        <w:rPr>
          <w:rFonts w:ascii="Arial" w:hAnsi="Arial" w:cs="Arial"/>
          <w:bCs/>
          <w:sz w:val="24"/>
          <w:szCs w:val="24"/>
          <w:lang w:val="en-GB"/>
        </w:rPr>
        <w:lastRenderedPageBreak/>
        <w:t xml:space="preserve">to have </w:t>
      </w:r>
      <w:r w:rsidR="00DE46A5">
        <w:rPr>
          <w:rFonts w:ascii="Arial" w:hAnsi="Arial" w:cs="Arial"/>
          <w:bCs/>
          <w:sz w:val="24"/>
          <w:szCs w:val="24"/>
          <w:lang w:val="en-GB"/>
        </w:rPr>
        <w:t>been used</w:t>
      </w:r>
      <w:r w:rsidR="00DB244B">
        <w:rPr>
          <w:rFonts w:ascii="Arial" w:hAnsi="Arial" w:cs="Arial"/>
          <w:bCs/>
          <w:sz w:val="24"/>
          <w:szCs w:val="24"/>
          <w:lang w:val="en-GB"/>
        </w:rPr>
        <w:t xml:space="preserve"> to</w:t>
      </w:r>
      <w:r w:rsidR="00C53142">
        <w:rPr>
          <w:rFonts w:ascii="Arial" w:hAnsi="Arial" w:cs="Arial"/>
          <w:bCs/>
          <w:sz w:val="24"/>
          <w:szCs w:val="24"/>
          <w:lang w:val="en-GB"/>
        </w:rPr>
        <w:t xml:space="preserve"> create</w:t>
      </w:r>
      <w:r w:rsidR="00EC517D">
        <w:rPr>
          <w:rFonts w:ascii="Arial" w:hAnsi="Arial" w:cs="Arial"/>
          <w:bCs/>
          <w:sz w:val="24"/>
          <w:szCs w:val="24"/>
          <w:lang w:val="en-GB"/>
        </w:rPr>
        <w:t xml:space="preserve"> a</w:t>
      </w:r>
      <w:r w:rsidR="00C53142">
        <w:rPr>
          <w:rFonts w:ascii="Arial" w:hAnsi="Arial" w:cs="Arial"/>
          <w:bCs/>
          <w:sz w:val="24"/>
          <w:szCs w:val="24"/>
          <w:lang w:val="en-GB"/>
        </w:rPr>
        <w:t xml:space="preserve"> </w:t>
      </w:r>
      <w:r w:rsidR="00FC2DB8">
        <w:rPr>
          <w:rFonts w:ascii="Arial" w:hAnsi="Arial" w:cs="Arial"/>
          <w:bCs/>
          <w:sz w:val="24"/>
          <w:szCs w:val="24"/>
          <w:lang w:val="en-GB"/>
        </w:rPr>
        <w:t>veneer</w:t>
      </w:r>
      <w:r w:rsidR="00CE0282">
        <w:rPr>
          <w:rFonts w:ascii="Arial" w:hAnsi="Arial" w:cs="Arial"/>
          <w:bCs/>
          <w:sz w:val="24"/>
          <w:szCs w:val="24"/>
          <w:lang w:val="en-GB"/>
        </w:rPr>
        <w:t xml:space="preserve"> of urgency to </w:t>
      </w:r>
      <w:r w:rsidR="00DE46A5">
        <w:rPr>
          <w:rFonts w:ascii="Arial" w:hAnsi="Arial" w:cs="Arial"/>
          <w:bCs/>
          <w:sz w:val="24"/>
          <w:szCs w:val="24"/>
          <w:lang w:val="en-GB"/>
        </w:rPr>
        <w:t>launch these</w:t>
      </w:r>
      <w:r w:rsidR="00BA288B">
        <w:rPr>
          <w:rFonts w:ascii="Arial" w:hAnsi="Arial" w:cs="Arial"/>
          <w:bCs/>
          <w:sz w:val="24"/>
          <w:szCs w:val="24"/>
          <w:lang w:val="en-GB"/>
        </w:rPr>
        <w:t xml:space="preserve"> </w:t>
      </w:r>
      <w:r w:rsidR="00DB244B">
        <w:rPr>
          <w:rFonts w:ascii="Arial" w:hAnsi="Arial" w:cs="Arial"/>
          <w:bCs/>
          <w:sz w:val="24"/>
          <w:szCs w:val="24"/>
          <w:lang w:val="en-GB"/>
        </w:rPr>
        <w:t>proceedings in this Court seek</w:t>
      </w:r>
      <w:r w:rsidR="00BA288B">
        <w:rPr>
          <w:rFonts w:ascii="Arial" w:hAnsi="Arial" w:cs="Arial"/>
          <w:bCs/>
          <w:sz w:val="24"/>
          <w:szCs w:val="24"/>
          <w:lang w:val="en-GB"/>
        </w:rPr>
        <w:t>ing</w:t>
      </w:r>
      <w:r w:rsidR="00DB244B">
        <w:rPr>
          <w:rFonts w:ascii="Arial" w:hAnsi="Arial" w:cs="Arial"/>
          <w:bCs/>
          <w:sz w:val="24"/>
          <w:szCs w:val="24"/>
          <w:lang w:val="en-GB"/>
        </w:rPr>
        <w:t xml:space="preserve"> to rely on </w:t>
      </w:r>
      <w:r w:rsidR="008A1857">
        <w:rPr>
          <w:rFonts w:ascii="Arial" w:hAnsi="Arial" w:cs="Arial"/>
          <w:bCs/>
          <w:sz w:val="24"/>
          <w:szCs w:val="24"/>
          <w:lang w:val="en-GB"/>
        </w:rPr>
        <w:t xml:space="preserve">urgency rules with </w:t>
      </w:r>
      <w:r w:rsidR="00665EDA">
        <w:rPr>
          <w:rFonts w:ascii="Arial" w:hAnsi="Arial" w:cs="Arial"/>
          <w:bCs/>
          <w:sz w:val="24"/>
          <w:szCs w:val="24"/>
          <w:lang w:val="en-GB"/>
        </w:rPr>
        <w:t xml:space="preserve">no </w:t>
      </w:r>
      <w:r w:rsidR="00DB244B">
        <w:rPr>
          <w:rFonts w:ascii="Arial" w:hAnsi="Arial" w:cs="Arial"/>
          <w:bCs/>
          <w:sz w:val="24"/>
          <w:szCs w:val="24"/>
          <w:lang w:val="en-GB"/>
        </w:rPr>
        <w:t>justification</w:t>
      </w:r>
      <w:r w:rsidR="00626839">
        <w:rPr>
          <w:rFonts w:ascii="Arial" w:hAnsi="Arial" w:cs="Arial"/>
          <w:bCs/>
          <w:sz w:val="24"/>
          <w:szCs w:val="24"/>
          <w:lang w:val="en-GB"/>
        </w:rPr>
        <w:t xml:space="preserve"> or appropriate factual basis</w:t>
      </w:r>
      <w:r w:rsidR="00DB244B">
        <w:rPr>
          <w:rFonts w:ascii="Arial" w:hAnsi="Arial" w:cs="Arial"/>
          <w:bCs/>
          <w:sz w:val="24"/>
          <w:szCs w:val="24"/>
          <w:lang w:val="en-GB"/>
        </w:rPr>
        <w:t xml:space="preserve">.  Even </w:t>
      </w:r>
      <w:r w:rsidR="008A1857">
        <w:rPr>
          <w:rFonts w:ascii="Arial" w:hAnsi="Arial" w:cs="Arial"/>
          <w:bCs/>
          <w:sz w:val="24"/>
          <w:szCs w:val="24"/>
          <w:lang w:val="en-GB"/>
        </w:rPr>
        <w:t>w</w:t>
      </w:r>
      <w:r w:rsidR="00DB244B">
        <w:rPr>
          <w:rFonts w:ascii="Arial" w:hAnsi="Arial" w:cs="Arial"/>
          <w:bCs/>
          <w:sz w:val="24"/>
          <w:szCs w:val="24"/>
          <w:lang w:val="en-GB"/>
        </w:rPr>
        <w:t>orse, this urge</w:t>
      </w:r>
      <w:r w:rsidR="00EE4312">
        <w:rPr>
          <w:rFonts w:ascii="Arial" w:hAnsi="Arial" w:cs="Arial"/>
          <w:bCs/>
          <w:sz w:val="24"/>
          <w:szCs w:val="24"/>
          <w:lang w:val="en-GB"/>
        </w:rPr>
        <w:t>nt application was launched with no certificate of urgency being filed at all</w:t>
      </w:r>
      <w:r w:rsidR="00116D82">
        <w:rPr>
          <w:rFonts w:ascii="Arial" w:hAnsi="Arial" w:cs="Arial"/>
          <w:bCs/>
          <w:sz w:val="24"/>
          <w:szCs w:val="24"/>
          <w:lang w:val="en-GB"/>
        </w:rPr>
        <w:t>.</w:t>
      </w:r>
      <w:r w:rsidR="00DE46A5">
        <w:rPr>
          <w:rFonts w:ascii="Arial" w:hAnsi="Arial" w:cs="Arial"/>
          <w:bCs/>
          <w:sz w:val="24"/>
          <w:szCs w:val="24"/>
          <w:lang w:val="en-GB"/>
        </w:rPr>
        <w:t xml:space="preserve"> </w:t>
      </w:r>
      <w:r w:rsidR="0065560A">
        <w:rPr>
          <w:rFonts w:ascii="Arial" w:hAnsi="Arial" w:cs="Arial"/>
          <w:bCs/>
          <w:sz w:val="24"/>
          <w:szCs w:val="24"/>
          <w:lang w:val="en-GB"/>
        </w:rPr>
        <w:t xml:space="preserve">When it was subsequently </w:t>
      </w:r>
      <w:r w:rsidR="00061B89">
        <w:rPr>
          <w:rFonts w:ascii="Arial" w:hAnsi="Arial" w:cs="Arial"/>
          <w:bCs/>
          <w:sz w:val="24"/>
          <w:szCs w:val="24"/>
          <w:lang w:val="en-GB"/>
        </w:rPr>
        <w:t>filed it was in the form of an</w:t>
      </w:r>
      <w:r w:rsidR="00C87A56">
        <w:rPr>
          <w:rFonts w:ascii="Arial" w:hAnsi="Arial" w:cs="Arial"/>
          <w:bCs/>
          <w:sz w:val="24"/>
          <w:szCs w:val="24"/>
          <w:lang w:val="en-GB"/>
        </w:rPr>
        <w:t xml:space="preserve"> affidavit, not a certificate as we have come to understand </w:t>
      </w:r>
      <w:r w:rsidR="00984C03">
        <w:rPr>
          <w:rFonts w:ascii="Arial" w:hAnsi="Arial" w:cs="Arial"/>
          <w:bCs/>
          <w:sz w:val="24"/>
          <w:szCs w:val="24"/>
          <w:lang w:val="en-GB"/>
        </w:rPr>
        <w:t>it.</w:t>
      </w:r>
      <w:r w:rsidR="006270F6">
        <w:rPr>
          <w:rFonts w:ascii="Arial" w:hAnsi="Arial" w:cs="Arial"/>
          <w:bCs/>
          <w:sz w:val="24"/>
          <w:szCs w:val="24"/>
          <w:lang w:val="en-GB"/>
        </w:rPr>
        <w:t xml:space="preserve"> In that a</w:t>
      </w:r>
      <w:r w:rsidR="003552AD">
        <w:rPr>
          <w:rFonts w:ascii="Arial" w:hAnsi="Arial" w:cs="Arial"/>
          <w:bCs/>
          <w:sz w:val="24"/>
          <w:szCs w:val="24"/>
          <w:lang w:val="en-GB"/>
        </w:rPr>
        <w:t>ffidavit</w:t>
      </w:r>
      <w:r w:rsidR="006270F6">
        <w:rPr>
          <w:rFonts w:ascii="Arial" w:hAnsi="Arial" w:cs="Arial"/>
          <w:bCs/>
          <w:sz w:val="24"/>
          <w:szCs w:val="24"/>
          <w:lang w:val="en-GB"/>
        </w:rPr>
        <w:t xml:space="preserve"> a specific </w:t>
      </w:r>
      <w:r w:rsidR="005D35CE">
        <w:rPr>
          <w:rFonts w:ascii="Arial" w:hAnsi="Arial" w:cs="Arial"/>
          <w:bCs/>
          <w:sz w:val="24"/>
          <w:szCs w:val="24"/>
          <w:lang w:val="en-GB"/>
        </w:rPr>
        <w:t>allegation is made that the solicitation</w:t>
      </w:r>
      <w:r w:rsidR="000B669E">
        <w:rPr>
          <w:rFonts w:ascii="Arial" w:hAnsi="Arial" w:cs="Arial"/>
          <w:bCs/>
          <w:sz w:val="24"/>
          <w:szCs w:val="24"/>
          <w:lang w:val="en-GB"/>
        </w:rPr>
        <w:t xml:space="preserve"> of Landbank was </w:t>
      </w:r>
      <w:r w:rsidR="00EF3D69">
        <w:rPr>
          <w:rFonts w:ascii="Arial" w:hAnsi="Arial" w:cs="Arial"/>
          <w:bCs/>
          <w:sz w:val="24"/>
          <w:szCs w:val="24"/>
          <w:lang w:val="en-GB"/>
        </w:rPr>
        <w:t>“</w:t>
      </w:r>
      <w:r w:rsidR="00EF3D69" w:rsidRPr="00055955">
        <w:rPr>
          <w:rFonts w:ascii="Arial" w:hAnsi="Arial" w:cs="Arial"/>
          <w:bCs/>
          <w:i/>
          <w:iCs/>
          <w:sz w:val="24"/>
          <w:szCs w:val="24"/>
          <w:lang w:val="en-GB"/>
        </w:rPr>
        <w:t>in breach of the Polokwane and Mpumalanga</w:t>
      </w:r>
      <w:r w:rsidR="0060666C" w:rsidRPr="00055955">
        <w:rPr>
          <w:rFonts w:ascii="Arial" w:hAnsi="Arial" w:cs="Arial"/>
          <w:bCs/>
          <w:i/>
          <w:iCs/>
          <w:sz w:val="24"/>
          <w:szCs w:val="24"/>
          <w:lang w:val="en-GB"/>
        </w:rPr>
        <w:t xml:space="preserve"> agency</w:t>
      </w:r>
      <w:r w:rsidR="009C46F6" w:rsidRPr="00055955">
        <w:rPr>
          <w:rFonts w:ascii="Arial" w:hAnsi="Arial" w:cs="Arial"/>
          <w:bCs/>
          <w:i/>
          <w:iCs/>
          <w:sz w:val="24"/>
          <w:szCs w:val="24"/>
          <w:lang w:val="en-GB"/>
        </w:rPr>
        <w:t xml:space="preserve"> restraint provisions</w:t>
      </w:r>
      <w:r w:rsidR="009C46F6">
        <w:rPr>
          <w:rFonts w:ascii="Arial" w:hAnsi="Arial" w:cs="Arial"/>
          <w:bCs/>
          <w:sz w:val="24"/>
          <w:szCs w:val="24"/>
          <w:lang w:val="en-GB"/>
        </w:rPr>
        <w:t>’’. This is</w:t>
      </w:r>
      <w:r w:rsidR="00911D59">
        <w:rPr>
          <w:rFonts w:ascii="Arial" w:hAnsi="Arial" w:cs="Arial"/>
          <w:bCs/>
          <w:sz w:val="24"/>
          <w:szCs w:val="24"/>
          <w:lang w:val="en-GB"/>
        </w:rPr>
        <w:t xml:space="preserve"> patently incorrect </w:t>
      </w:r>
      <w:r w:rsidR="00F131B9">
        <w:rPr>
          <w:rFonts w:ascii="Arial" w:hAnsi="Arial" w:cs="Arial"/>
          <w:bCs/>
          <w:sz w:val="24"/>
          <w:szCs w:val="24"/>
          <w:lang w:val="en-GB"/>
        </w:rPr>
        <w:t xml:space="preserve">as </w:t>
      </w:r>
      <w:r w:rsidR="00144847">
        <w:rPr>
          <w:rFonts w:ascii="Arial" w:hAnsi="Arial" w:cs="Arial"/>
          <w:bCs/>
          <w:sz w:val="24"/>
          <w:szCs w:val="24"/>
          <w:lang w:val="en-GB"/>
        </w:rPr>
        <w:t>s</w:t>
      </w:r>
      <w:r w:rsidR="00F131B9">
        <w:rPr>
          <w:rFonts w:ascii="Arial" w:hAnsi="Arial" w:cs="Arial"/>
          <w:bCs/>
          <w:sz w:val="24"/>
          <w:szCs w:val="24"/>
          <w:lang w:val="en-GB"/>
        </w:rPr>
        <w:t>uch agency agreement with Apex</w:t>
      </w:r>
      <w:r w:rsidR="005A1C9B">
        <w:rPr>
          <w:rFonts w:ascii="Arial" w:hAnsi="Arial" w:cs="Arial"/>
          <w:bCs/>
          <w:sz w:val="24"/>
          <w:szCs w:val="24"/>
          <w:lang w:val="en-GB"/>
        </w:rPr>
        <w:t xml:space="preserve"> simply does not exist.</w:t>
      </w:r>
      <w:r w:rsidR="000B669E">
        <w:rPr>
          <w:rFonts w:ascii="Arial" w:hAnsi="Arial" w:cs="Arial"/>
          <w:bCs/>
          <w:sz w:val="24"/>
          <w:szCs w:val="24"/>
          <w:lang w:val="en-GB"/>
        </w:rPr>
        <w:t xml:space="preserve"> </w:t>
      </w:r>
      <w:r w:rsidR="00116D82">
        <w:rPr>
          <w:rFonts w:ascii="Arial" w:hAnsi="Arial" w:cs="Arial"/>
          <w:bCs/>
          <w:sz w:val="24"/>
          <w:szCs w:val="24"/>
          <w:lang w:val="en-GB"/>
        </w:rPr>
        <w:t xml:space="preserve"> </w:t>
      </w:r>
      <w:r w:rsidR="00EE4312">
        <w:rPr>
          <w:rFonts w:ascii="Arial" w:hAnsi="Arial" w:cs="Arial"/>
          <w:bCs/>
          <w:sz w:val="24"/>
          <w:szCs w:val="24"/>
          <w:lang w:val="en-GB"/>
        </w:rPr>
        <w:t xml:space="preserve"> </w:t>
      </w:r>
      <w:r w:rsidR="00116D82">
        <w:rPr>
          <w:rFonts w:ascii="Arial" w:hAnsi="Arial" w:cs="Arial"/>
          <w:bCs/>
          <w:sz w:val="24"/>
          <w:szCs w:val="24"/>
          <w:lang w:val="en-GB"/>
        </w:rPr>
        <w:t>T</w:t>
      </w:r>
      <w:r w:rsidR="00EE4312">
        <w:rPr>
          <w:rFonts w:ascii="Arial" w:hAnsi="Arial" w:cs="Arial"/>
          <w:bCs/>
          <w:sz w:val="24"/>
          <w:szCs w:val="24"/>
          <w:lang w:val="en-GB"/>
        </w:rPr>
        <w:t xml:space="preserve">he non-filling of </w:t>
      </w:r>
      <w:r w:rsidR="004E6AA1">
        <w:rPr>
          <w:rFonts w:ascii="Arial" w:hAnsi="Arial" w:cs="Arial"/>
          <w:bCs/>
          <w:sz w:val="24"/>
          <w:szCs w:val="24"/>
          <w:lang w:val="en-GB"/>
        </w:rPr>
        <w:t>a certificate of urgency</w:t>
      </w:r>
      <w:r w:rsidR="00EE4312">
        <w:rPr>
          <w:rFonts w:ascii="Arial" w:hAnsi="Arial" w:cs="Arial"/>
          <w:bCs/>
          <w:sz w:val="24"/>
          <w:szCs w:val="24"/>
          <w:lang w:val="en-GB"/>
        </w:rPr>
        <w:t xml:space="preserve"> was</w:t>
      </w:r>
      <w:r w:rsidR="00116D82">
        <w:rPr>
          <w:rFonts w:ascii="Arial" w:hAnsi="Arial" w:cs="Arial"/>
          <w:bCs/>
          <w:sz w:val="24"/>
          <w:szCs w:val="24"/>
          <w:lang w:val="en-GB"/>
        </w:rPr>
        <w:t xml:space="preserve"> a</w:t>
      </w:r>
      <w:r w:rsidR="00EE4312">
        <w:rPr>
          <w:rFonts w:ascii="Arial" w:hAnsi="Arial" w:cs="Arial"/>
          <w:bCs/>
          <w:sz w:val="24"/>
          <w:szCs w:val="24"/>
          <w:lang w:val="en-GB"/>
        </w:rPr>
        <w:t xml:space="preserve"> </w:t>
      </w:r>
      <w:r w:rsidR="00116D82">
        <w:rPr>
          <w:rFonts w:ascii="Arial" w:hAnsi="Arial" w:cs="Arial"/>
          <w:bCs/>
          <w:sz w:val="24"/>
          <w:szCs w:val="24"/>
          <w:lang w:val="en-GB"/>
        </w:rPr>
        <w:t>shocking</w:t>
      </w:r>
      <w:r w:rsidR="00EE4312">
        <w:rPr>
          <w:rFonts w:ascii="Arial" w:hAnsi="Arial" w:cs="Arial"/>
          <w:bCs/>
          <w:sz w:val="24"/>
          <w:szCs w:val="24"/>
          <w:lang w:val="en-GB"/>
        </w:rPr>
        <w:t xml:space="preserve"> </w:t>
      </w:r>
      <w:r w:rsidR="004E6AA1">
        <w:rPr>
          <w:rFonts w:ascii="Arial" w:hAnsi="Arial" w:cs="Arial"/>
          <w:bCs/>
          <w:sz w:val="24"/>
          <w:szCs w:val="24"/>
          <w:lang w:val="en-GB"/>
        </w:rPr>
        <w:t>fla</w:t>
      </w:r>
      <w:r w:rsidR="00EE4312">
        <w:rPr>
          <w:rFonts w:ascii="Arial" w:hAnsi="Arial" w:cs="Arial"/>
          <w:bCs/>
          <w:sz w:val="24"/>
          <w:szCs w:val="24"/>
          <w:lang w:val="en-GB"/>
        </w:rPr>
        <w:t xml:space="preserve">grant violation of this Court’s rules and practice directives.  </w:t>
      </w:r>
      <w:r w:rsidR="004E6AA1">
        <w:rPr>
          <w:rFonts w:ascii="Arial" w:hAnsi="Arial" w:cs="Arial"/>
          <w:bCs/>
          <w:sz w:val="24"/>
          <w:szCs w:val="24"/>
          <w:lang w:val="en-GB"/>
        </w:rPr>
        <w:t>Th</w:t>
      </w:r>
      <w:r w:rsidR="00682754">
        <w:rPr>
          <w:rFonts w:ascii="Arial" w:hAnsi="Arial" w:cs="Arial"/>
          <w:bCs/>
          <w:sz w:val="24"/>
          <w:szCs w:val="24"/>
          <w:lang w:val="en-GB"/>
        </w:rPr>
        <w:t>ose involved</w:t>
      </w:r>
      <w:r w:rsidR="00E466E6">
        <w:rPr>
          <w:rFonts w:ascii="Arial" w:hAnsi="Arial" w:cs="Arial"/>
          <w:bCs/>
          <w:sz w:val="24"/>
          <w:szCs w:val="24"/>
          <w:lang w:val="en-GB"/>
        </w:rPr>
        <w:t xml:space="preserve"> in the </w:t>
      </w:r>
      <w:r w:rsidR="00B23ECB">
        <w:rPr>
          <w:rFonts w:ascii="Arial" w:hAnsi="Arial" w:cs="Arial"/>
          <w:bCs/>
          <w:sz w:val="24"/>
          <w:szCs w:val="24"/>
          <w:lang w:val="en-GB"/>
        </w:rPr>
        <w:t xml:space="preserve">drawing of the applicant’s </w:t>
      </w:r>
      <w:r w:rsidR="00A30C0D">
        <w:rPr>
          <w:rFonts w:ascii="Arial" w:hAnsi="Arial" w:cs="Arial"/>
          <w:bCs/>
          <w:sz w:val="24"/>
          <w:szCs w:val="24"/>
          <w:lang w:val="en-GB"/>
        </w:rPr>
        <w:t>paper</w:t>
      </w:r>
      <w:r w:rsidR="00E57F56">
        <w:rPr>
          <w:rFonts w:ascii="Arial" w:hAnsi="Arial" w:cs="Arial"/>
          <w:bCs/>
          <w:sz w:val="24"/>
          <w:szCs w:val="24"/>
          <w:lang w:val="en-GB"/>
        </w:rPr>
        <w:t>s</w:t>
      </w:r>
      <w:r w:rsidR="00A30C0D">
        <w:rPr>
          <w:rFonts w:ascii="Arial" w:hAnsi="Arial" w:cs="Arial"/>
          <w:bCs/>
          <w:sz w:val="24"/>
          <w:szCs w:val="24"/>
          <w:lang w:val="en-GB"/>
        </w:rPr>
        <w:t xml:space="preserve"> </w:t>
      </w:r>
      <w:r w:rsidR="00EE4312">
        <w:rPr>
          <w:rFonts w:ascii="Arial" w:hAnsi="Arial" w:cs="Arial"/>
          <w:bCs/>
          <w:sz w:val="24"/>
          <w:szCs w:val="24"/>
          <w:lang w:val="en-GB"/>
        </w:rPr>
        <w:t xml:space="preserve">seem to have done </w:t>
      </w:r>
      <w:r w:rsidR="003B535B">
        <w:rPr>
          <w:rFonts w:ascii="Arial" w:hAnsi="Arial" w:cs="Arial"/>
          <w:bCs/>
          <w:sz w:val="24"/>
          <w:szCs w:val="24"/>
          <w:lang w:val="en-GB"/>
        </w:rPr>
        <w:t>very little</w:t>
      </w:r>
      <w:r w:rsidR="00EE4312">
        <w:rPr>
          <w:rFonts w:ascii="Arial" w:hAnsi="Arial" w:cs="Arial"/>
          <w:bCs/>
          <w:sz w:val="24"/>
          <w:szCs w:val="24"/>
          <w:lang w:val="en-GB"/>
        </w:rPr>
        <w:t xml:space="preserve"> to acquaint themselves with this Court’s procedural rules, </w:t>
      </w:r>
      <w:r w:rsidR="00195608">
        <w:rPr>
          <w:rFonts w:ascii="Arial" w:hAnsi="Arial" w:cs="Arial"/>
          <w:bCs/>
          <w:sz w:val="24"/>
          <w:szCs w:val="24"/>
          <w:lang w:val="en-GB"/>
        </w:rPr>
        <w:t>practices,</w:t>
      </w:r>
      <w:r w:rsidR="00EE4312">
        <w:rPr>
          <w:rFonts w:ascii="Arial" w:hAnsi="Arial" w:cs="Arial"/>
          <w:bCs/>
          <w:sz w:val="24"/>
          <w:szCs w:val="24"/>
          <w:lang w:val="en-GB"/>
        </w:rPr>
        <w:t xml:space="preserve"> and directives.</w:t>
      </w:r>
      <w:r w:rsidR="00E27462">
        <w:rPr>
          <w:rFonts w:ascii="Arial" w:hAnsi="Arial" w:cs="Arial"/>
          <w:bCs/>
          <w:sz w:val="24"/>
          <w:szCs w:val="24"/>
          <w:lang w:val="en-GB"/>
        </w:rPr>
        <w:t xml:space="preserve"> </w:t>
      </w:r>
    </w:p>
    <w:p w14:paraId="49D7278A" w14:textId="2DEC3AC1" w:rsidR="00EE4312" w:rsidRDefault="00EE4312" w:rsidP="000A1C49">
      <w:pPr>
        <w:spacing w:line="480" w:lineRule="auto"/>
        <w:jc w:val="both"/>
        <w:rPr>
          <w:rFonts w:ascii="Arial" w:hAnsi="Arial" w:cs="Arial"/>
          <w:bCs/>
          <w:sz w:val="24"/>
          <w:szCs w:val="24"/>
          <w:lang w:val="en-GB"/>
        </w:rPr>
      </w:pPr>
      <w:r>
        <w:rPr>
          <w:rFonts w:ascii="Arial" w:hAnsi="Arial" w:cs="Arial"/>
          <w:bCs/>
          <w:sz w:val="24"/>
          <w:szCs w:val="24"/>
          <w:lang w:val="en-GB"/>
        </w:rPr>
        <w:t>[</w:t>
      </w:r>
      <w:r w:rsidR="002468EE">
        <w:rPr>
          <w:rFonts w:ascii="Arial" w:hAnsi="Arial" w:cs="Arial"/>
          <w:bCs/>
          <w:sz w:val="24"/>
          <w:szCs w:val="24"/>
          <w:lang w:val="en-GB"/>
        </w:rPr>
        <w:t>4</w:t>
      </w:r>
      <w:r w:rsidR="00682548">
        <w:rPr>
          <w:rFonts w:ascii="Arial" w:hAnsi="Arial" w:cs="Arial"/>
          <w:bCs/>
          <w:sz w:val="24"/>
          <w:szCs w:val="24"/>
          <w:lang w:val="en-GB"/>
        </w:rPr>
        <w:t>8</w:t>
      </w:r>
      <w:r w:rsidR="001E54BE">
        <w:rPr>
          <w:rFonts w:ascii="Arial" w:hAnsi="Arial" w:cs="Arial"/>
          <w:bCs/>
          <w:sz w:val="24"/>
          <w:szCs w:val="24"/>
          <w:lang w:val="en-GB"/>
        </w:rPr>
        <w:t>] In</w:t>
      </w:r>
      <w:r w:rsidR="007B3DE6">
        <w:rPr>
          <w:rFonts w:ascii="Arial" w:hAnsi="Arial" w:cs="Arial"/>
          <w:bCs/>
          <w:sz w:val="24"/>
          <w:szCs w:val="24"/>
          <w:lang w:val="en-GB"/>
        </w:rPr>
        <w:t xml:space="preserve"> </w:t>
      </w:r>
      <w:r w:rsidR="00665B35">
        <w:rPr>
          <w:rFonts w:ascii="Arial" w:hAnsi="Arial" w:cs="Arial"/>
          <w:bCs/>
          <w:sz w:val="24"/>
          <w:szCs w:val="24"/>
          <w:lang w:val="en-GB"/>
        </w:rPr>
        <w:t xml:space="preserve">the circumstances </w:t>
      </w:r>
      <w:r>
        <w:rPr>
          <w:rFonts w:ascii="Arial" w:hAnsi="Arial" w:cs="Arial"/>
          <w:bCs/>
          <w:sz w:val="24"/>
          <w:szCs w:val="24"/>
          <w:lang w:val="en-GB"/>
        </w:rPr>
        <w:t>I consider it necessary to deal with the urgency procedures in this Court.  In doing so, I can do no better than refer</w:t>
      </w:r>
      <w:r w:rsidR="008E29AA">
        <w:rPr>
          <w:rFonts w:ascii="Arial" w:hAnsi="Arial" w:cs="Arial"/>
          <w:bCs/>
          <w:sz w:val="24"/>
          <w:szCs w:val="24"/>
          <w:lang w:val="en-GB"/>
        </w:rPr>
        <w:t xml:space="preserve"> co</w:t>
      </w:r>
      <w:r w:rsidR="00244037">
        <w:rPr>
          <w:rFonts w:ascii="Arial" w:hAnsi="Arial" w:cs="Arial"/>
          <w:bCs/>
          <w:sz w:val="24"/>
          <w:szCs w:val="24"/>
          <w:lang w:val="en-GB"/>
        </w:rPr>
        <w:t>piously</w:t>
      </w:r>
      <w:r>
        <w:rPr>
          <w:rFonts w:ascii="Arial" w:hAnsi="Arial" w:cs="Arial"/>
          <w:bCs/>
          <w:sz w:val="24"/>
          <w:szCs w:val="24"/>
          <w:lang w:val="en-GB"/>
        </w:rPr>
        <w:t xml:space="preserve"> to the judgment of Mbenenge JP in </w:t>
      </w:r>
      <w:r w:rsidRPr="00FF1140">
        <w:rPr>
          <w:rFonts w:ascii="Arial" w:hAnsi="Arial" w:cs="Arial"/>
          <w:bCs/>
          <w:i/>
          <w:iCs/>
          <w:sz w:val="24"/>
          <w:szCs w:val="24"/>
          <w:lang w:val="en-GB"/>
        </w:rPr>
        <w:t>Bobotyana</w:t>
      </w:r>
      <w:r w:rsidR="00BB66AA">
        <w:rPr>
          <w:rStyle w:val="FootnoteReference"/>
          <w:rFonts w:ascii="Arial" w:hAnsi="Arial" w:cs="Arial"/>
          <w:bCs/>
          <w:sz w:val="24"/>
          <w:szCs w:val="24"/>
          <w:lang w:val="en-GB"/>
        </w:rPr>
        <w:footnoteReference w:id="4"/>
      </w:r>
      <w:r w:rsidR="00BB66AA">
        <w:rPr>
          <w:rFonts w:ascii="Arial" w:hAnsi="Arial" w:cs="Arial"/>
          <w:bCs/>
          <w:sz w:val="24"/>
          <w:szCs w:val="24"/>
          <w:lang w:val="en-GB"/>
        </w:rPr>
        <w:t>:</w:t>
      </w:r>
      <w:r w:rsidR="00966309">
        <w:rPr>
          <w:rFonts w:ascii="Arial" w:hAnsi="Arial" w:cs="Arial"/>
          <w:bCs/>
          <w:sz w:val="24"/>
          <w:szCs w:val="24"/>
          <w:lang w:val="en-GB"/>
        </w:rPr>
        <w:t xml:space="preserve">  I consider the following paragraphs instructive.</w:t>
      </w:r>
    </w:p>
    <w:p w14:paraId="33607768" w14:textId="6D20410F" w:rsidR="00BB66AA" w:rsidRPr="007A25A5" w:rsidRDefault="00BB66AA" w:rsidP="007A25A5">
      <w:pPr>
        <w:spacing w:line="360" w:lineRule="auto"/>
        <w:ind w:left="1080" w:hanging="360"/>
        <w:jc w:val="both"/>
        <w:rPr>
          <w:rFonts w:ascii="Arial" w:hAnsi="Arial" w:cs="Arial"/>
          <w:bCs/>
          <w:lang w:val="en-GB"/>
        </w:rPr>
      </w:pPr>
      <w:r w:rsidRPr="007A25A5">
        <w:rPr>
          <w:rFonts w:ascii="Arial" w:hAnsi="Arial" w:cs="Arial"/>
          <w:bCs/>
          <w:lang w:val="en-GB"/>
        </w:rPr>
        <w:t>“[8] Ms Stretch submitted that a directive by a Judge permitting a litigant to set down an urgent application on a Thursday was, upon a proper interpretation of rule 12(d) of the Eastern Cape Practice Directions, not a requirement.  The relevant portion of the rule reads:</w:t>
      </w:r>
    </w:p>
    <w:p w14:paraId="49F369EB" w14:textId="7B659AD1" w:rsidR="00BB66AA" w:rsidRPr="007A25A5" w:rsidRDefault="00BB66AA" w:rsidP="007A25A5">
      <w:pPr>
        <w:spacing w:line="360" w:lineRule="auto"/>
        <w:ind w:left="1440"/>
        <w:jc w:val="both"/>
        <w:rPr>
          <w:rFonts w:ascii="Arial" w:hAnsi="Arial" w:cs="Arial"/>
          <w:bCs/>
          <w:lang w:val="en-GB"/>
        </w:rPr>
      </w:pPr>
      <w:r w:rsidRPr="007A25A5">
        <w:rPr>
          <w:rFonts w:ascii="Arial" w:hAnsi="Arial" w:cs="Arial"/>
          <w:bCs/>
          <w:lang w:val="en-GB"/>
        </w:rPr>
        <w:t xml:space="preserve">‘(d) In all urgent applications in which it is sought to enrol the </w:t>
      </w:r>
      <w:r w:rsidR="00B925B0">
        <w:rPr>
          <w:rFonts w:ascii="Arial" w:hAnsi="Arial" w:cs="Arial"/>
          <w:bCs/>
          <w:lang w:val="en-GB"/>
        </w:rPr>
        <w:t>matt</w:t>
      </w:r>
      <w:r w:rsidRPr="007A25A5">
        <w:rPr>
          <w:rFonts w:ascii="Arial" w:hAnsi="Arial" w:cs="Arial"/>
          <w:bCs/>
          <w:lang w:val="en-GB"/>
        </w:rPr>
        <w:t xml:space="preserve">er other than on a day normally reserved for the </w:t>
      </w:r>
      <w:r w:rsidR="00D274EC" w:rsidRPr="007A25A5">
        <w:rPr>
          <w:rFonts w:ascii="Arial" w:hAnsi="Arial" w:cs="Arial"/>
          <w:bCs/>
          <w:lang w:val="en-GB"/>
        </w:rPr>
        <w:t>hearing of motion court matters:</w:t>
      </w:r>
    </w:p>
    <w:p w14:paraId="46F92BB6" w14:textId="5E822012" w:rsidR="00D274EC" w:rsidRPr="007A25A5" w:rsidRDefault="00D274EC" w:rsidP="007A25A5">
      <w:pPr>
        <w:spacing w:line="360" w:lineRule="auto"/>
        <w:ind w:left="1710" w:hanging="270"/>
        <w:jc w:val="both"/>
        <w:rPr>
          <w:rFonts w:ascii="Arial" w:hAnsi="Arial" w:cs="Arial"/>
          <w:bCs/>
          <w:lang w:val="en-GB"/>
        </w:rPr>
      </w:pPr>
      <w:r w:rsidRPr="007A25A5">
        <w:rPr>
          <w:rFonts w:ascii="Arial" w:hAnsi="Arial" w:cs="Arial"/>
          <w:bCs/>
          <w:lang w:val="en-GB"/>
        </w:rPr>
        <w:t xml:space="preserve">(i)The practitioner who appears for the applicant must sign the certificate of urgency which is to be filed of </w:t>
      </w:r>
      <w:r w:rsidR="00B925B0">
        <w:rPr>
          <w:rFonts w:ascii="Arial" w:hAnsi="Arial" w:cs="Arial"/>
          <w:bCs/>
          <w:lang w:val="en-GB"/>
        </w:rPr>
        <w:t>r</w:t>
      </w:r>
      <w:r w:rsidRPr="007A25A5">
        <w:rPr>
          <w:rFonts w:ascii="Arial" w:hAnsi="Arial" w:cs="Arial"/>
          <w:bCs/>
          <w:lang w:val="en-GB"/>
        </w:rPr>
        <w:t>eco</w:t>
      </w:r>
      <w:r w:rsidR="00B925B0">
        <w:rPr>
          <w:rFonts w:ascii="Arial" w:hAnsi="Arial" w:cs="Arial"/>
          <w:bCs/>
          <w:lang w:val="en-GB"/>
        </w:rPr>
        <w:t>r</w:t>
      </w:r>
      <w:r w:rsidRPr="007A25A5">
        <w:rPr>
          <w:rFonts w:ascii="Arial" w:hAnsi="Arial" w:cs="Arial"/>
          <w:bCs/>
          <w:lang w:val="en-GB"/>
        </w:rPr>
        <w:t xml:space="preserve">d before the application papers are placed before the judge and in which the reasons for urgency are fully set out.  In this regard, sufficient particularity is to be set out in the certificate for the question of </w:t>
      </w:r>
      <w:r w:rsidRPr="007A25A5">
        <w:rPr>
          <w:rFonts w:ascii="Arial" w:hAnsi="Arial" w:cs="Arial"/>
          <w:bCs/>
          <w:lang w:val="en-GB"/>
        </w:rPr>
        <w:lastRenderedPageBreak/>
        <w:t>urgency to be determined solely therefrom and without perusing the application papers.</w:t>
      </w:r>
    </w:p>
    <w:p w14:paraId="028A7494" w14:textId="7304F2E3" w:rsidR="00D274EC" w:rsidRPr="007A25A5" w:rsidRDefault="00D274EC" w:rsidP="007A25A5">
      <w:pPr>
        <w:spacing w:line="360" w:lineRule="auto"/>
        <w:ind w:left="1800" w:hanging="360"/>
        <w:jc w:val="both"/>
        <w:rPr>
          <w:rFonts w:ascii="Arial" w:hAnsi="Arial" w:cs="Arial"/>
          <w:bCs/>
          <w:lang w:val="en-GB"/>
        </w:rPr>
      </w:pPr>
      <w:r w:rsidRPr="007A25A5">
        <w:rPr>
          <w:rFonts w:ascii="Arial" w:hAnsi="Arial" w:cs="Arial"/>
          <w:bCs/>
          <w:lang w:val="en-GB"/>
        </w:rPr>
        <w:t xml:space="preserve">(ii) The certificate of urgency will be placed before the judge who will </w:t>
      </w:r>
      <w:proofErr w:type="gramStart"/>
      <w:r w:rsidRPr="007A25A5">
        <w:rPr>
          <w:rFonts w:ascii="Arial" w:hAnsi="Arial" w:cs="Arial"/>
          <w:bCs/>
          <w:lang w:val="en-GB"/>
        </w:rPr>
        <w:t>make a determination</w:t>
      </w:r>
      <w:proofErr w:type="gramEnd"/>
      <w:r w:rsidRPr="007A25A5">
        <w:rPr>
          <w:rFonts w:ascii="Arial" w:hAnsi="Arial" w:cs="Arial"/>
          <w:bCs/>
          <w:lang w:val="en-GB"/>
        </w:rPr>
        <w:t xml:space="preserve"> solely from that certificate as to whether or not the matter is sufficiently urgent to be heard at any </w:t>
      </w:r>
      <w:r w:rsidR="0091124C" w:rsidRPr="007A25A5">
        <w:rPr>
          <w:rFonts w:ascii="Arial" w:hAnsi="Arial" w:cs="Arial"/>
          <w:bCs/>
          <w:lang w:val="en-GB"/>
        </w:rPr>
        <w:t xml:space="preserve">time other than the normal </w:t>
      </w:r>
      <w:r w:rsidR="00B925B0">
        <w:rPr>
          <w:rFonts w:ascii="Arial" w:hAnsi="Arial" w:cs="Arial"/>
          <w:bCs/>
          <w:lang w:val="en-GB"/>
        </w:rPr>
        <w:t>motion</w:t>
      </w:r>
      <w:r w:rsidR="0091124C" w:rsidRPr="007A25A5">
        <w:rPr>
          <w:rFonts w:ascii="Arial" w:hAnsi="Arial" w:cs="Arial"/>
          <w:bCs/>
          <w:lang w:val="en-GB"/>
        </w:rPr>
        <w:t xml:space="preserve"> court hours.’</w:t>
      </w:r>
    </w:p>
    <w:p w14:paraId="522BF5D3" w14:textId="21D6E526" w:rsidR="0091124C" w:rsidRPr="002468EE" w:rsidRDefault="0091124C" w:rsidP="002468EE">
      <w:pPr>
        <w:spacing w:line="360" w:lineRule="auto"/>
        <w:ind w:left="990" w:hanging="270"/>
        <w:jc w:val="both"/>
        <w:rPr>
          <w:rFonts w:ascii="Arial" w:hAnsi="Arial" w:cs="Arial"/>
          <w:bCs/>
          <w:lang w:val="en-GB"/>
        </w:rPr>
      </w:pPr>
      <w:r w:rsidRPr="002468EE">
        <w:rPr>
          <w:rFonts w:ascii="Arial" w:hAnsi="Arial" w:cs="Arial"/>
          <w:bCs/>
          <w:lang w:val="en-GB"/>
        </w:rPr>
        <w:t xml:space="preserve">[9] Reliance for the submission was further placed </w:t>
      </w:r>
      <w:r w:rsidR="00B2720C" w:rsidRPr="002468EE">
        <w:rPr>
          <w:rFonts w:ascii="Arial" w:hAnsi="Arial" w:cs="Arial"/>
          <w:bCs/>
          <w:lang w:val="en-GB"/>
        </w:rPr>
        <w:t xml:space="preserve">on </w:t>
      </w:r>
      <w:r w:rsidR="00B2720C" w:rsidRPr="002468EE">
        <w:rPr>
          <w:rFonts w:ascii="Arial" w:hAnsi="Arial" w:cs="Arial"/>
          <w:bCs/>
          <w:i/>
          <w:iCs/>
          <w:lang w:val="en-GB"/>
        </w:rPr>
        <w:t>Madl</w:t>
      </w:r>
      <w:r w:rsidR="007E7999">
        <w:rPr>
          <w:rFonts w:ascii="Arial" w:hAnsi="Arial" w:cs="Arial"/>
          <w:bCs/>
          <w:i/>
          <w:iCs/>
          <w:lang w:val="en-GB"/>
        </w:rPr>
        <w:t>o</w:t>
      </w:r>
      <w:r w:rsidR="00B2720C" w:rsidRPr="002468EE">
        <w:rPr>
          <w:rFonts w:ascii="Arial" w:hAnsi="Arial" w:cs="Arial"/>
          <w:bCs/>
          <w:i/>
          <w:iCs/>
          <w:lang w:val="en-GB"/>
        </w:rPr>
        <w:t>ng</w:t>
      </w:r>
      <w:r w:rsidR="00B925B0" w:rsidRPr="002468EE">
        <w:rPr>
          <w:rFonts w:ascii="Arial" w:hAnsi="Arial" w:cs="Arial"/>
          <w:bCs/>
          <w:i/>
          <w:iCs/>
          <w:lang w:val="en-GB"/>
        </w:rPr>
        <w:t>o</w:t>
      </w:r>
      <w:r w:rsidR="00B2720C" w:rsidRPr="002468EE">
        <w:rPr>
          <w:rFonts w:ascii="Arial" w:hAnsi="Arial" w:cs="Arial"/>
          <w:bCs/>
          <w:i/>
          <w:iCs/>
          <w:lang w:val="en-GB"/>
        </w:rPr>
        <w:t>lwana v Walter Sisulu University</w:t>
      </w:r>
      <w:r w:rsidR="00B2720C" w:rsidRPr="002468EE">
        <w:rPr>
          <w:rFonts w:ascii="Arial" w:hAnsi="Arial" w:cs="Arial"/>
          <w:bCs/>
          <w:lang w:val="en-GB"/>
        </w:rPr>
        <w:t>, where it was stated:</w:t>
      </w:r>
    </w:p>
    <w:p w14:paraId="403717C9" w14:textId="53F6836E" w:rsidR="00B2720C" w:rsidRPr="007A25A5" w:rsidRDefault="007A25A5" w:rsidP="007A25A5">
      <w:pPr>
        <w:spacing w:line="360" w:lineRule="auto"/>
        <w:ind w:left="1440" w:hanging="360"/>
        <w:jc w:val="both"/>
        <w:rPr>
          <w:rFonts w:ascii="Arial" w:hAnsi="Arial" w:cs="Arial"/>
          <w:bCs/>
          <w:lang w:val="en-GB"/>
        </w:rPr>
      </w:pPr>
      <w:r w:rsidRPr="007A25A5">
        <w:rPr>
          <w:rFonts w:ascii="Arial" w:hAnsi="Arial" w:cs="Arial"/>
          <w:bCs/>
          <w:lang w:val="en-GB"/>
        </w:rPr>
        <w:t>“</w:t>
      </w:r>
      <w:r w:rsidR="00B2720C" w:rsidRPr="007A25A5">
        <w:rPr>
          <w:rFonts w:ascii="Arial" w:hAnsi="Arial" w:cs="Arial"/>
          <w:bCs/>
          <w:lang w:val="en-GB"/>
        </w:rPr>
        <w:t>[3] The applicants approached the duty judge in chambers on 12 February 2016</w:t>
      </w:r>
      <w:r w:rsidR="007A2C46" w:rsidRPr="007A25A5">
        <w:rPr>
          <w:rFonts w:ascii="Arial" w:hAnsi="Arial" w:cs="Arial"/>
          <w:bCs/>
          <w:lang w:val="en-GB"/>
        </w:rPr>
        <w:t>, presenting a certificate of urgency in which were set out</w:t>
      </w:r>
      <w:r w:rsidR="00B925B0">
        <w:rPr>
          <w:rFonts w:ascii="Arial" w:hAnsi="Arial" w:cs="Arial"/>
          <w:bCs/>
          <w:lang w:val="en-GB"/>
        </w:rPr>
        <w:t xml:space="preserve"> </w:t>
      </w:r>
      <w:r w:rsidR="007A2C46" w:rsidRPr="007A25A5">
        <w:rPr>
          <w:rFonts w:ascii="Arial" w:hAnsi="Arial" w:cs="Arial"/>
          <w:bCs/>
          <w:lang w:val="en-GB"/>
        </w:rPr>
        <w:t>reasons why the ma</w:t>
      </w:r>
      <w:r w:rsidR="000C3753">
        <w:rPr>
          <w:rFonts w:ascii="Arial" w:hAnsi="Arial" w:cs="Arial"/>
          <w:bCs/>
          <w:lang w:val="en-GB"/>
        </w:rPr>
        <w:t>t</w:t>
      </w:r>
      <w:r w:rsidR="007A2C46" w:rsidRPr="007A25A5">
        <w:rPr>
          <w:rFonts w:ascii="Arial" w:hAnsi="Arial" w:cs="Arial"/>
          <w:bCs/>
          <w:lang w:val="en-GB"/>
        </w:rPr>
        <w:t>ter should be permitted to pro</w:t>
      </w:r>
      <w:r w:rsidR="00B925B0">
        <w:rPr>
          <w:rFonts w:ascii="Arial" w:hAnsi="Arial" w:cs="Arial"/>
          <w:bCs/>
          <w:lang w:val="en-GB"/>
        </w:rPr>
        <w:t>ce</w:t>
      </w:r>
      <w:r w:rsidR="007A2C46" w:rsidRPr="007A25A5">
        <w:rPr>
          <w:rFonts w:ascii="Arial" w:hAnsi="Arial" w:cs="Arial"/>
          <w:bCs/>
          <w:lang w:val="en-GB"/>
        </w:rPr>
        <w:t xml:space="preserve">ed as an urgent application and seeking a directive in terms of rule </w:t>
      </w:r>
      <w:r w:rsidR="00B925B0">
        <w:rPr>
          <w:rFonts w:ascii="Arial" w:hAnsi="Arial" w:cs="Arial"/>
          <w:bCs/>
          <w:lang w:val="en-GB"/>
        </w:rPr>
        <w:t>1</w:t>
      </w:r>
      <w:r w:rsidR="007A2C46" w:rsidRPr="007A25A5">
        <w:rPr>
          <w:rFonts w:ascii="Arial" w:hAnsi="Arial" w:cs="Arial"/>
          <w:bCs/>
          <w:lang w:val="en-GB"/>
        </w:rPr>
        <w:t xml:space="preserve">2 of the Joint Rules of Practice for the High Courts of the Eastern Cape Province regarding the hearing and further conduct of the matter.  A directive was issued to the </w:t>
      </w:r>
      <w:r w:rsidR="00953187" w:rsidRPr="007A25A5">
        <w:rPr>
          <w:rFonts w:ascii="Arial" w:hAnsi="Arial" w:cs="Arial"/>
          <w:bCs/>
          <w:lang w:val="en-GB"/>
        </w:rPr>
        <w:t xml:space="preserve">fact that the matter may be set down for hearing on 18 February 2016 </w:t>
      </w:r>
      <w:r w:rsidR="00683E16" w:rsidRPr="007A25A5">
        <w:rPr>
          <w:rFonts w:ascii="Arial" w:hAnsi="Arial" w:cs="Arial"/>
          <w:bCs/>
          <w:lang w:val="en-GB"/>
        </w:rPr>
        <w:t>at 09h30 and requiring service of the application papers on or before 15 February 2016.</w:t>
      </w:r>
    </w:p>
    <w:p w14:paraId="15391B95" w14:textId="69B60EE7" w:rsidR="00683E16" w:rsidRDefault="00683E16" w:rsidP="007A25A5">
      <w:pPr>
        <w:spacing w:line="360" w:lineRule="auto"/>
        <w:ind w:left="1440" w:hanging="360"/>
        <w:jc w:val="both"/>
        <w:rPr>
          <w:rFonts w:ascii="Arial" w:hAnsi="Arial" w:cs="Arial"/>
          <w:bCs/>
          <w:sz w:val="24"/>
          <w:szCs w:val="24"/>
          <w:lang w:val="en-GB"/>
        </w:rPr>
      </w:pPr>
      <w:r w:rsidRPr="007A25A5">
        <w:rPr>
          <w:rFonts w:ascii="Arial" w:hAnsi="Arial" w:cs="Arial"/>
          <w:bCs/>
          <w:lang w:val="en-GB"/>
        </w:rPr>
        <w:t xml:space="preserve">[4] The first observation which must be made is </w:t>
      </w:r>
      <w:r w:rsidR="00695EEB" w:rsidRPr="007A25A5">
        <w:rPr>
          <w:rFonts w:ascii="Arial" w:hAnsi="Arial" w:cs="Arial"/>
          <w:bCs/>
          <w:lang w:val="en-GB"/>
        </w:rPr>
        <w:t xml:space="preserve">that it was not necessary for the applicant to approach the duty judge </w:t>
      </w:r>
      <w:r w:rsidR="00C93807" w:rsidRPr="007A25A5">
        <w:rPr>
          <w:rFonts w:ascii="Arial" w:hAnsi="Arial" w:cs="Arial"/>
          <w:bCs/>
          <w:lang w:val="en-GB"/>
        </w:rPr>
        <w:t>for a directive regarding the hearing and further conduct of the matter.  Th reason is that the targeted date, 18 February 2016 [a Thursday], was a motion court date.  A car</w:t>
      </w:r>
      <w:r w:rsidR="00FD74F0">
        <w:rPr>
          <w:rFonts w:ascii="Arial" w:hAnsi="Arial" w:cs="Arial"/>
          <w:bCs/>
          <w:lang w:val="en-GB"/>
        </w:rPr>
        <w:t>e</w:t>
      </w:r>
      <w:r w:rsidR="00C93807" w:rsidRPr="007A25A5">
        <w:rPr>
          <w:rFonts w:ascii="Arial" w:hAnsi="Arial" w:cs="Arial"/>
          <w:bCs/>
          <w:lang w:val="en-GB"/>
        </w:rPr>
        <w:t xml:space="preserve">ful reading of rule 12(d) of the Joint Rules of Practice … reveals that the purpose of that rule is to provide a mechanism whereby an applicant can approach a judge in chambers for a directive in </w:t>
      </w:r>
      <w:r w:rsidR="00ED26B6" w:rsidRPr="007A25A5">
        <w:rPr>
          <w:rFonts w:ascii="Arial" w:hAnsi="Arial" w:cs="Arial"/>
          <w:bCs/>
          <w:lang w:val="en-GB"/>
        </w:rPr>
        <w:t xml:space="preserve">circumstances in which the applicant wishes to move the court for relief on a day which is not ordinarily a day on which a motion court sits.  Given that the applicants wished to move for relief on a motion court day, they were at liberty to do so </w:t>
      </w:r>
      <w:r w:rsidR="00430F7A" w:rsidRPr="007A25A5">
        <w:rPr>
          <w:rFonts w:ascii="Arial" w:hAnsi="Arial" w:cs="Arial"/>
          <w:bCs/>
          <w:lang w:val="en-GB"/>
        </w:rPr>
        <w:t xml:space="preserve">by an issue of a notice of motion accompanied by a certificate of urgency and supported by a founding affidavit in accordance with the provisions of rule 6 (12) of the Uniform Rules of Court.  It was not necessary for the </w:t>
      </w:r>
      <w:r w:rsidR="00A04626" w:rsidRPr="007A25A5">
        <w:rPr>
          <w:rFonts w:ascii="Arial" w:hAnsi="Arial" w:cs="Arial"/>
          <w:bCs/>
          <w:lang w:val="en-GB"/>
        </w:rPr>
        <w:t>applicants obtain a directive before issuing and serving their application.”</w:t>
      </w:r>
    </w:p>
    <w:p w14:paraId="37B3BF0B" w14:textId="11C53FA8" w:rsidR="00A04626" w:rsidRDefault="00A04626" w:rsidP="00A04626">
      <w:pPr>
        <w:spacing w:line="480" w:lineRule="auto"/>
        <w:jc w:val="both"/>
        <w:rPr>
          <w:rFonts w:ascii="Arial" w:hAnsi="Arial" w:cs="Arial"/>
          <w:bCs/>
          <w:sz w:val="24"/>
          <w:szCs w:val="24"/>
          <w:lang w:val="en-GB"/>
        </w:rPr>
      </w:pPr>
      <w:r>
        <w:rPr>
          <w:rFonts w:ascii="Arial" w:hAnsi="Arial" w:cs="Arial"/>
          <w:bCs/>
          <w:sz w:val="24"/>
          <w:szCs w:val="24"/>
          <w:lang w:val="en-GB"/>
        </w:rPr>
        <w:t>[</w:t>
      </w:r>
      <w:r w:rsidR="00302C13">
        <w:rPr>
          <w:rFonts w:ascii="Arial" w:hAnsi="Arial" w:cs="Arial"/>
          <w:bCs/>
          <w:sz w:val="24"/>
          <w:szCs w:val="24"/>
          <w:lang w:val="en-GB"/>
        </w:rPr>
        <w:t>4</w:t>
      </w:r>
      <w:r w:rsidR="005D6CA3">
        <w:rPr>
          <w:rFonts w:ascii="Arial" w:hAnsi="Arial" w:cs="Arial"/>
          <w:bCs/>
          <w:sz w:val="24"/>
          <w:szCs w:val="24"/>
          <w:lang w:val="en-GB"/>
        </w:rPr>
        <w:t>9</w:t>
      </w:r>
      <w:r>
        <w:rPr>
          <w:rFonts w:ascii="Arial" w:hAnsi="Arial" w:cs="Arial"/>
          <w:bCs/>
          <w:sz w:val="24"/>
          <w:szCs w:val="24"/>
          <w:lang w:val="en-GB"/>
        </w:rPr>
        <w:t xml:space="preserve">] </w:t>
      </w:r>
      <w:r w:rsidR="00A22076">
        <w:rPr>
          <w:rFonts w:ascii="Arial" w:hAnsi="Arial" w:cs="Arial"/>
          <w:bCs/>
          <w:sz w:val="24"/>
          <w:szCs w:val="24"/>
          <w:lang w:val="en-GB"/>
        </w:rPr>
        <w:t>W</w:t>
      </w:r>
      <w:r>
        <w:rPr>
          <w:rFonts w:ascii="Arial" w:hAnsi="Arial" w:cs="Arial"/>
          <w:bCs/>
          <w:sz w:val="24"/>
          <w:szCs w:val="24"/>
          <w:lang w:val="en-GB"/>
        </w:rPr>
        <w:t>ith no certificate of urgency</w:t>
      </w:r>
      <w:r w:rsidR="007C4574">
        <w:rPr>
          <w:rFonts w:ascii="Arial" w:hAnsi="Arial" w:cs="Arial"/>
          <w:bCs/>
          <w:sz w:val="24"/>
          <w:szCs w:val="24"/>
          <w:lang w:val="en-GB"/>
        </w:rPr>
        <w:t>,</w:t>
      </w:r>
      <w:r>
        <w:rPr>
          <w:rFonts w:ascii="Arial" w:hAnsi="Arial" w:cs="Arial"/>
          <w:bCs/>
          <w:sz w:val="24"/>
          <w:szCs w:val="24"/>
          <w:lang w:val="en-GB"/>
        </w:rPr>
        <w:t xml:space="preserve"> the applicant issued its papers on 08 September 2023 indicating that the matter was to be heard on 3 October 2023.  Inexplicably, it indicated in </w:t>
      </w:r>
      <w:r>
        <w:rPr>
          <w:rFonts w:ascii="Arial" w:hAnsi="Arial" w:cs="Arial"/>
          <w:bCs/>
          <w:sz w:val="24"/>
          <w:szCs w:val="24"/>
          <w:lang w:val="en-GB"/>
        </w:rPr>
        <w:lastRenderedPageBreak/>
        <w:t>the notice of motion that the respondents should file their notice to oppose by 17h00 on 8 September 2023, the same day papers were issued.  It then proceeded to give the respondents</w:t>
      </w:r>
      <w:r w:rsidR="002A5D78">
        <w:rPr>
          <w:rFonts w:ascii="Arial" w:hAnsi="Arial" w:cs="Arial"/>
          <w:bCs/>
          <w:sz w:val="24"/>
          <w:szCs w:val="24"/>
          <w:lang w:val="en-GB"/>
        </w:rPr>
        <w:t xml:space="preserve"> three</w:t>
      </w:r>
      <w:r>
        <w:rPr>
          <w:rFonts w:ascii="Arial" w:hAnsi="Arial" w:cs="Arial"/>
          <w:bCs/>
          <w:sz w:val="24"/>
          <w:szCs w:val="24"/>
          <w:lang w:val="en-GB"/>
        </w:rPr>
        <w:t xml:space="preserve"> days from Monday </w:t>
      </w:r>
      <w:r w:rsidR="006D159D">
        <w:rPr>
          <w:rFonts w:ascii="Arial" w:hAnsi="Arial" w:cs="Arial"/>
          <w:bCs/>
          <w:sz w:val="24"/>
          <w:szCs w:val="24"/>
          <w:lang w:val="en-GB"/>
        </w:rPr>
        <w:t xml:space="preserve">the 11 September 2023 unless they were expected to attend to </w:t>
      </w:r>
      <w:r w:rsidR="00C242C2">
        <w:rPr>
          <w:rFonts w:ascii="Arial" w:hAnsi="Arial" w:cs="Arial"/>
          <w:bCs/>
          <w:sz w:val="24"/>
          <w:szCs w:val="24"/>
          <w:lang w:val="en-GB"/>
        </w:rPr>
        <w:t>this matter</w:t>
      </w:r>
      <w:r w:rsidR="006D159D">
        <w:rPr>
          <w:rFonts w:ascii="Arial" w:hAnsi="Arial" w:cs="Arial"/>
          <w:bCs/>
          <w:sz w:val="24"/>
          <w:szCs w:val="24"/>
          <w:lang w:val="en-GB"/>
        </w:rPr>
        <w:t xml:space="preserve"> even over the weekend in which case it gave </w:t>
      </w:r>
      <w:r w:rsidR="0026464E">
        <w:rPr>
          <w:rFonts w:ascii="Arial" w:hAnsi="Arial" w:cs="Arial"/>
          <w:bCs/>
          <w:sz w:val="24"/>
          <w:szCs w:val="24"/>
          <w:lang w:val="en-GB"/>
        </w:rPr>
        <w:t xml:space="preserve">them </w:t>
      </w:r>
      <w:r w:rsidR="0052265F">
        <w:rPr>
          <w:rFonts w:ascii="Arial" w:hAnsi="Arial" w:cs="Arial"/>
          <w:bCs/>
          <w:sz w:val="24"/>
          <w:szCs w:val="24"/>
          <w:lang w:val="en-GB"/>
        </w:rPr>
        <w:t xml:space="preserve">five </w:t>
      </w:r>
      <w:r w:rsidR="0026464E">
        <w:rPr>
          <w:rFonts w:ascii="Arial" w:hAnsi="Arial" w:cs="Arial"/>
          <w:bCs/>
          <w:sz w:val="24"/>
          <w:szCs w:val="24"/>
          <w:lang w:val="en-GB"/>
        </w:rPr>
        <w:t>days to file the</w:t>
      </w:r>
      <w:r w:rsidR="007C7C6F">
        <w:rPr>
          <w:rFonts w:ascii="Arial" w:hAnsi="Arial" w:cs="Arial"/>
          <w:bCs/>
          <w:sz w:val="24"/>
          <w:szCs w:val="24"/>
          <w:lang w:val="en-GB"/>
        </w:rPr>
        <w:t>ir</w:t>
      </w:r>
      <w:r w:rsidR="0026464E">
        <w:rPr>
          <w:rFonts w:ascii="Arial" w:hAnsi="Arial" w:cs="Arial"/>
          <w:bCs/>
          <w:sz w:val="24"/>
          <w:szCs w:val="24"/>
          <w:lang w:val="en-GB"/>
        </w:rPr>
        <w:t xml:space="preserve"> answering affidavit by 17h00 on 13 September 2023.  This</w:t>
      </w:r>
      <w:r w:rsidR="00C02001">
        <w:rPr>
          <w:rFonts w:ascii="Arial" w:hAnsi="Arial" w:cs="Arial"/>
          <w:bCs/>
          <w:sz w:val="24"/>
          <w:szCs w:val="24"/>
          <w:lang w:val="en-GB"/>
        </w:rPr>
        <w:t>,</w:t>
      </w:r>
      <w:r w:rsidR="0026464E">
        <w:rPr>
          <w:rFonts w:ascii="Arial" w:hAnsi="Arial" w:cs="Arial"/>
          <w:bCs/>
          <w:sz w:val="24"/>
          <w:szCs w:val="24"/>
          <w:lang w:val="en-GB"/>
        </w:rPr>
        <w:t xml:space="preserve"> in circumstances </w:t>
      </w:r>
      <w:r w:rsidR="00C02001">
        <w:rPr>
          <w:rFonts w:ascii="Arial" w:hAnsi="Arial" w:cs="Arial"/>
          <w:bCs/>
          <w:sz w:val="24"/>
          <w:szCs w:val="24"/>
          <w:lang w:val="en-GB"/>
        </w:rPr>
        <w:t>in which</w:t>
      </w:r>
      <w:r w:rsidR="0026464E">
        <w:rPr>
          <w:rFonts w:ascii="Arial" w:hAnsi="Arial" w:cs="Arial"/>
          <w:bCs/>
          <w:sz w:val="24"/>
          <w:szCs w:val="24"/>
          <w:lang w:val="en-GB"/>
        </w:rPr>
        <w:t xml:space="preserve"> the matter was only </w:t>
      </w:r>
      <w:r w:rsidR="00C02001">
        <w:rPr>
          <w:rFonts w:ascii="Arial" w:hAnsi="Arial" w:cs="Arial"/>
          <w:bCs/>
          <w:sz w:val="24"/>
          <w:szCs w:val="24"/>
          <w:lang w:val="en-GB"/>
        </w:rPr>
        <w:t xml:space="preserve">going </w:t>
      </w:r>
      <w:r w:rsidR="0026464E">
        <w:rPr>
          <w:rFonts w:ascii="Arial" w:hAnsi="Arial" w:cs="Arial"/>
          <w:bCs/>
          <w:sz w:val="24"/>
          <w:szCs w:val="24"/>
          <w:lang w:val="en-GB"/>
        </w:rPr>
        <w:t xml:space="preserve">to be heard on 3 October 2023.  </w:t>
      </w:r>
      <w:r w:rsidR="009B1B0B">
        <w:rPr>
          <w:rFonts w:ascii="Arial" w:hAnsi="Arial" w:cs="Arial"/>
          <w:bCs/>
          <w:sz w:val="24"/>
          <w:szCs w:val="24"/>
          <w:lang w:val="en-GB"/>
        </w:rPr>
        <w:t>T</w:t>
      </w:r>
      <w:r w:rsidR="0026464E">
        <w:rPr>
          <w:rFonts w:ascii="Arial" w:hAnsi="Arial" w:cs="Arial"/>
          <w:bCs/>
          <w:sz w:val="24"/>
          <w:szCs w:val="24"/>
          <w:lang w:val="en-GB"/>
        </w:rPr>
        <w:t>he applicant gave itself, generously I must say, more than enough time to file a replying affidavit on any day after the 13 September 2023</w:t>
      </w:r>
      <w:r w:rsidR="00373F32">
        <w:rPr>
          <w:rFonts w:ascii="Arial" w:hAnsi="Arial" w:cs="Arial"/>
          <w:bCs/>
          <w:sz w:val="24"/>
          <w:szCs w:val="24"/>
          <w:lang w:val="en-GB"/>
        </w:rPr>
        <w:t>, that is, if it determined that it needed to file one.  I can only sur</w:t>
      </w:r>
      <w:r w:rsidR="0047162C">
        <w:rPr>
          <w:rFonts w:ascii="Arial" w:hAnsi="Arial" w:cs="Arial"/>
          <w:bCs/>
          <w:sz w:val="24"/>
          <w:szCs w:val="24"/>
          <w:lang w:val="en-GB"/>
        </w:rPr>
        <w:t>mise that the issues I raise above as they relate to urgency and even</w:t>
      </w:r>
      <w:r w:rsidR="0052265F">
        <w:rPr>
          <w:rFonts w:ascii="Arial" w:hAnsi="Arial" w:cs="Arial"/>
          <w:bCs/>
          <w:sz w:val="24"/>
          <w:szCs w:val="24"/>
          <w:lang w:val="en-GB"/>
        </w:rPr>
        <w:t xml:space="preserve"> the manner</w:t>
      </w:r>
      <w:r w:rsidR="0094496D">
        <w:rPr>
          <w:rFonts w:ascii="Arial" w:hAnsi="Arial" w:cs="Arial"/>
          <w:bCs/>
          <w:sz w:val="24"/>
          <w:szCs w:val="24"/>
          <w:lang w:val="en-GB"/>
        </w:rPr>
        <w:t xml:space="preserve"> in which</w:t>
      </w:r>
      <w:r w:rsidR="0047162C">
        <w:rPr>
          <w:rFonts w:ascii="Arial" w:hAnsi="Arial" w:cs="Arial"/>
          <w:bCs/>
          <w:sz w:val="24"/>
          <w:szCs w:val="24"/>
          <w:lang w:val="en-GB"/>
        </w:rPr>
        <w:t xml:space="preserve"> the evidence</w:t>
      </w:r>
      <w:r w:rsidR="00E24B1C">
        <w:rPr>
          <w:rFonts w:ascii="Arial" w:hAnsi="Arial" w:cs="Arial"/>
          <w:bCs/>
          <w:sz w:val="24"/>
          <w:szCs w:val="24"/>
          <w:lang w:val="en-GB"/>
        </w:rPr>
        <w:t xml:space="preserve"> in </w:t>
      </w:r>
      <w:r w:rsidR="00A96344">
        <w:rPr>
          <w:rFonts w:ascii="Arial" w:hAnsi="Arial" w:cs="Arial"/>
          <w:bCs/>
          <w:sz w:val="24"/>
          <w:szCs w:val="24"/>
          <w:lang w:val="en-GB"/>
        </w:rPr>
        <w:t>gen</w:t>
      </w:r>
      <w:r w:rsidR="00B847D0">
        <w:rPr>
          <w:rFonts w:ascii="Arial" w:hAnsi="Arial" w:cs="Arial"/>
          <w:bCs/>
          <w:sz w:val="24"/>
          <w:szCs w:val="24"/>
          <w:lang w:val="en-GB"/>
        </w:rPr>
        <w:t>eral</w:t>
      </w:r>
      <w:r w:rsidR="0047162C">
        <w:rPr>
          <w:rFonts w:ascii="Arial" w:hAnsi="Arial" w:cs="Arial"/>
          <w:bCs/>
          <w:sz w:val="24"/>
          <w:szCs w:val="24"/>
          <w:lang w:val="en-GB"/>
        </w:rPr>
        <w:t xml:space="preserve"> </w:t>
      </w:r>
      <w:r w:rsidR="0094496D">
        <w:rPr>
          <w:rFonts w:ascii="Arial" w:hAnsi="Arial" w:cs="Arial"/>
          <w:bCs/>
          <w:sz w:val="24"/>
          <w:szCs w:val="24"/>
          <w:lang w:val="en-GB"/>
        </w:rPr>
        <w:t xml:space="preserve">is presented </w:t>
      </w:r>
      <w:r w:rsidR="0047162C">
        <w:rPr>
          <w:rFonts w:ascii="Arial" w:hAnsi="Arial" w:cs="Arial"/>
          <w:bCs/>
          <w:sz w:val="24"/>
          <w:szCs w:val="24"/>
          <w:lang w:val="en-GB"/>
        </w:rPr>
        <w:t>have as their root causes,</w:t>
      </w:r>
      <w:r w:rsidR="00A96344">
        <w:rPr>
          <w:rFonts w:ascii="Arial" w:hAnsi="Arial" w:cs="Arial"/>
          <w:bCs/>
          <w:sz w:val="24"/>
          <w:szCs w:val="24"/>
          <w:lang w:val="en-GB"/>
        </w:rPr>
        <w:t xml:space="preserve"> </w:t>
      </w:r>
      <w:r w:rsidR="0047162C">
        <w:rPr>
          <w:rFonts w:ascii="Arial" w:hAnsi="Arial" w:cs="Arial"/>
          <w:bCs/>
          <w:sz w:val="24"/>
          <w:szCs w:val="24"/>
          <w:lang w:val="en-GB"/>
        </w:rPr>
        <w:t xml:space="preserve">the failure to diligently examine the facts to ensure that the case sought to be made is </w:t>
      </w:r>
      <w:r w:rsidR="009F5720">
        <w:rPr>
          <w:rFonts w:ascii="Arial" w:hAnsi="Arial" w:cs="Arial"/>
          <w:bCs/>
          <w:sz w:val="24"/>
          <w:szCs w:val="24"/>
          <w:lang w:val="en-GB"/>
        </w:rPr>
        <w:t xml:space="preserve">correctly </w:t>
      </w:r>
      <w:r w:rsidR="0047162C">
        <w:rPr>
          <w:rFonts w:ascii="Arial" w:hAnsi="Arial" w:cs="Arial"/>
          <w:bCs/>
          <w:sz w:val="24"/>
          <w:szCs w:val="24"/>
          <w:lang w:val="en-GB"/>
        </w:rPr>
        <w:t xml:space="preserve">grounded on </w:t>
      </w:r>
      <w:r w:rsidR="009F5720">
        <w:rPr>
          <w:rFonts w:ascii="Arial" w:hAnsi="Arial" w:cs="Arial"/>
          <w:bCs/>
          <w:sz w:val="24"/>
          <w:szCs w:val="24"/>
          <w:lang w:val="en-GB"/>
        </w:rPr>
        <w:t>the alleged</w:t>
      </w:r>
      <w:r w:rsidR="0047162C">
        <w:rPr>
          <w:rFonts w:ascii="Arial" w:hAnsi="Arial" w:cs="Arial"/>
          <w:bCs/>
          <w:sz w:val="24"/>
          <w:szCs w:val="24"/>
          <w:lang w:val="en-GB"/>
        </w:rPr>
        <w:t xml:space="preserve"> particular factual matrix.</w:t>
      </w:r>
    </w:p>
    <w:p w14:paraId="28E42FC6" w14:textId="6FED81B1" w:rsidR="0047162C" w:rsidRDefault="0047162C" w:rsidP="00A04626">
      <w:pPr>
        <w:spacing w:line="480" w:lineRule="auto"/>
        <w:jc w:val="both"/>
        <w:rPr>
          <w:rFonts w:ascii="Arial" w:hAnsi="Arial" w:cs="Arial"/>
          <w:bCs/>
          <w:sz w:val="24"/>
          <w:szCs w:val="24"/>
          <w:lang w:val="en-GB"/>
        </w:rPr>
      </w:pPr>
      <w:r>
        <w:rPr>
          <w:rFonts w:ascii="Arial" w:hAnsi="Arial" w:cs="Arial"/>
          <w:bCs/>
          <w:sz w:val="24"/>
          <w:szCs w:val="24"/>
          <w:lang w:val="en-GB"/>
        </w:rPr>
        <w:t>[</w:t>
      </w:r>
      <w:r w:rsidR="000C0474">
        <w:rPr>
          <w:rFonts w:ascii="Arial" w:hAnsi="Arial" w:cs="Arial"/>
          <w:bCs/>
          <w:sz w:val="24"/>
          <w:szCs w:val="24"/>
          <w:lang w:val="en-GB"/>
        </w:rPr>
        <w:t>50</w:t>
      </w:r>
      <w:r>
        <w:rPr>
          <w:rFonts w:ascii="Arial" w:hAnsi="Arial" w:cs="Arial"/>
          <w:bCs/>
          <w:sz w:val="24"/>
          <w:szCs w:val="24"/>
          <w:lang w:val="en-GB"/>
        </w:rPr>
        <w:t>] In this regard and especially relating to urgency</w:t>
      </w:r>
      <w:r w:rsidR="009F5720">
        <w:rPr>
          <w:rFonts w:ascii="Arial" w:hAnsi="Arial" w:cs="Arial"/>
          <w:bCs/>
          <w:sz w:val="24"/>
          <w:szCs w:val="24"/>
          <w:lang w:val="en-GB"/>
        </w:rPr>
        <w:t>,</w:t>
      </w:r>
      <w:r>
        <w:rPr>
          <w:rFonts w:ascii="Arial" w:hAnsi="Arial" w:cs="Arial"/>
          <w:bCs/>
          <w:sz w:val="24"/>
          <w:szCs w:val="24"/>
          <w:lang w:val="en-GB"/>
        </w:rPr>
        <w:t xml:space="preserve"> our </w:t>
      </w:r>
      <w:r w:rsidRPr="00C02001">
        <w:rPr>
          <w:rFonts w:ascii="Arial" w:hAnsi="Arial" w:cs="Arial"/>
          <w:bCs/>
          <w:i/>
          <w:iCs/>
          <w:sz w:val="24"/>
          <w:szCs w:val="24"/>
          <w:lang w:val="en-GB"/>
        </w:rPr>
        <w:t>locus cla</w:t>
      </w:r>
      <w:r w:rsidR="003A2FD3" w:rsidRPr="00C02001">
        <w:rPr>
          <w:rFonts w:ascii="Arial" w:hAnsi="Arial" w:cs="Arial"/>
          <w:bCs/>
          <w:i/>
          <w:iCs/>
          <w:sz w:val="24"/>
          <w:szCs w:val="24"/>
          <w:lang w:val="en-GB"/>
        </w:rPr>
        <w:t>ssicus</w:t>
      </w:r>
      <w:r w:rsidR="003A2FD3">
        <w:rPr>
          <w:rFonts w:ascii="Arial" w:hAnsi="Arial" w:cs="Arial"/>
          <w:bCs/>
          <w:sz w:val="24"/>
          <w:szCs w:val="24"/>
          <w:lang w:val="en-GB"/>
        </w:rPr>
        <w:t xml:space="preserve"> is </w:t>
      </w:r>
      <w:r w:rsidR="003A2FD3" w:rsidRPr="00F70482">
        <w:rPr>
          <w:rFonts w:ascii="Arial" w:hAnsi="Arial" w:cs="Arial"/>
          <w:bCs/>
          <w:i/>
          <w:iCs/>
          <w:sz w:val="24"/>
          <w:szCs w:val="24"/>
          <w:lang w:val="en-GB"/>
        </w:rPr>
        <w:t>Luna Me</w:t>
      </w:r>
      <w:r w:rsidR="009F5720">
        <w:rPr>
          <w:rFonts w:ascii="Arial" w:hAnsi="Arial" w:cs="Arial"/>
          <w:bCs/>
          <w:i/>
          <w:iCs/>
          <w:sz w:val="24"/>
          <w:szCs w:val="24"/>
          <w:lang w:val="en-GB"/>
        </w:rPr>
        <w:t>u</w:t>
      </w:r>
      <w:r w:rsidR="003A2FD3" w:rsidRPr="00F70482">
        <w:rPr>
          <w:rFonts w:ascii="Arial" w:hAnsi="Arial" w:cs="Arial"/>
          <w:bCs/>
          <w:i/>
          <w:iCs/>
          <w:sz w:val="24"/>
          <w:szCs w:val="24"/>
          <w:lang w:val="en-GB"/>
        </w:rPr>
        <w:t>bel</w:t>
      </w:r>
      <w:r w:rsidR="00F70482">
        <w:rPr>
          <w:rStyle w:val="FootnoteReference"/>
          <w:rFonts w:ascii="Arial" w:hAnsi="Arial" w:cs="Arial"/>
          <w:bCs/>
          <w:sz w:val="24"/>
          <w:szCs w:val="24"/>
          <w:lang w:val="en-GB"/>
        </w:rPr>
        <w:footnoteReference w:id="5"/>
      </w:r>
      <w:r w:rsidR="003A2FD3">
        <w:rPr>
          <w:rFonts w:ascii="Arial" w:hAnsi="Arial" w:cs="Arial"/>
          <w:bCs/>
          <w:sz w:val="24"/>
          <w:szCs w:val="24"/>
          <w:lang w:val="en-GB"/>
        </w:rPr>
        <w:t>.  In that case Kroon J had this to say:</w:t>
      </w:r>
    </w:p>
    <w:p w14:paraId="6243E30C" w14:textId="2810D746" w:rsidR="00A50AF7" w:rsidRPr="007A25A5" w:rsidRDefault="00A50AF7" w:rsidP="007A25A5">
      <w:pPr>
        <w:spacing w:line="360" w:lineRule="auto"/>
        <w:ind w:left="720"/>
        <w:jc w:val="both"/>
        <w:rPr>
          <w:rFonts w:ascii="Arial" w:hAnsi="Arial" w:cs="Arial"/>
          <w:bCs/>
          <w:lang w:val="en-GB"/>
        </w:rPr>
      </w:pPr>
      <w:r w:rsidRPr="007A25A5">
        <w:rPr>
          <w:rFonts w:ascii="Arial" w:hAnsi="Arial" w:cs="Arial"/>
          <w:bCs/>
          <w:lang w:val="en-GB"/>
        </w:rPr>
        <w:t xml:space="preserve">“Practitioners should carefully analyse </w:t>
      </w:r>
      <w:r w:rsidR="00F70482" w:rsidRPr="007A25A5">
        <w:rPr>
          <w:rFonts w:ascii="Arial" w:hAnsi="Arial" w:cs="Arial"/>
          <w:bCs/>
          <w:lang w:val="en-GB"/>
        </w:rPr>
        <w:t xml:space="preserve">the facts of each case to determine, for the purpose of setting the case down for hearing, whether a greater or lesser degree of relaxation </w:t>
      </w:r>
      <w:r w:rsidR="009F5720">
        <w:rPr>
          <w:rFonts w:ascii="Arial" w:hAnsi="Arial" w:cs="Arial"/>
          <w:bCs/>
          <w:lang w:val="en-GB"/>
        </w:rPr>
        <w:t xml:space="preserve">of the rules and the ordinarily practice of the court is required.  The degree of the relaxation </w:t>
      </w:r>
      <w:r w:rsidR="005A41B5" w:rsidRPr="007A25A5">
        <w:rPr>
          <w:rFonts w:ascii="Arial" w:hAnsi="Arial" w:cs="Arial"/>
          <w:bCs/>
          <w:lang w:val="en-GB"/>
        </w:rPr>
        <w:t xml:space="preserve">should not be greater than the exigency of the case demands.  It must be </w:t>
      </w:r>
      <w:r w:rsidR="009F5720">
        <w:rPr>
          <w:rFonts w:ascii="Arial" w:hAnsi="Arial" w:cs="Arial"/>
          <w:bCs/>
          <w:lang w:val="en-GB"/>
        </w:rPr>
        <w:t>commensurate</w:t>
      </w:r>
      <w:r w:rsidR="005A41B5" w:rsidRPr="007A25A5">
        <w:rPr>
          <w:rFonts w:ascii="Arial" w:hAnsi="Arial" w:cs="Arial"/>
          <w:bCs/>
          <w:lang w:val="en-GB"/>
        </w:rPr>
        <w:t xml:space="preserve"> therewith. … [A]</w:t>
      </w:r>
      <w:r w:rsidR="00C026DF" w:rsidRPr="007A25A5">
        <w:rPr>
          <w:rFonts w:ascii="Arial" w:hAnsi="Arial" w:cs="Arial"/>
          <w:bCs/>
          <w:lang w:val="en-GB"/>
        </w:rPr>
        <w:t>n applicant must make out a case in the founding affidavit to justify the particular extent of the departure from the norm, which is involved in the time and day for which the matter be set down.”</w:t>
      </w:r>
    </w:p>
    <w:p w14:paraId="345F1493" w14:textId="5CF5927E" w:rsidR="00DB4623" w:rsidRDefault="00C026DF" w:rsidP="00A04626">
      <w:pPr>
        <w:spacing w:line="480" w:lineRule="auto"/>
        <w:jc w:val="both"/>
        <w:rPr>
          <w:rFonts w:ascii="Arial" w:hAnsi="Arial" w:cs="Arial"/>
          <w:bCs/>
          <w:sz w:val="24"/>
          <w:szCs w:val="24"/>
          <w:lang w:val="en-GB"/>
        </w:rPr>
      </w:pPr>
      <w:r>
        <w:rPr>
          <w:rFonts w:ascii="Arial" w:hAnsi="Arial" w:cs="Arial"/>
          <w:bCs/>
          <w:sz w:val="24"/>
          <w:szCs w:val="24"/>
          <w:lang w:val="en-GB"/>
        </w:rPr>
        <w:t>[</w:t>
      </w:r>
      <w:r w:rsidR="00D26690">
        <w:rPr>
          <w:rFonts w:ascii="Arial" w:hAnsi="Arial" w:cs="Arial"/>
          <w:bCs/>
          <w:sz w:val="24"/>
          <w:szCs w:val="24"/>
          <w:lang w:val="en-GB"/>
        </w:rPr>
        <w:t>5</w:t>
      </w:r>
      <w:r w:rsidR="006B50E1">
        <w:rPr>
          <w:rFonts w:ascii="Arial" w:hAnsi="Arial" w:cs="Arial"/>
          <w:bCs/>
          <w:sz w:val="24"/>
          <w:szCs w:val="24"/>
          <w:lang w:val="en-GB"/>
        </w:rPr>
        <w:t>1</w:t>
      </w:r>
      <w:r>
        <w:rPr>
          <w:rFonts w:ascii="Arial" w:hAnsi="Arial" w:cs="Arial"/>
          <w:bCs/>
          <w:sz w:val="24"/>
          <w:szCs w:val="24"/>
          <w:lang w:val="en-GB"/>
        </w:rPr>
        <w:t xml:space="preserve">] </w:t>
      </w:r>
      <w:r w:rsidR="00666B06">
        <w:rPr>
          <w:rFonts w:ascii="Arial" w:hAnsi="Arial" w:cs="Arial"/>
          <w:bCs/>
          <w:sz w:val="24"/>
          <w:szCs w:val="24"/>
          <w:lang w:val="en-GB"/>
        </w:rPr>
        <w:t>The failure</w:t>
      </w:r>
      <w:r w:rsidR="00E63420">
        <w:rPr>
          <w:rFonts w:ascii="Arial" w:hAnsi="Arial" w:cs="Arial"/>
          <w:bCs/>
          <w:sz w:val="24"/>
          <w:szCs w:val="24"/>
          <w:lang w:val="en-GB"/>
        </w:rPr>
        <w:t xml:space="preserve"> to</w:t>
      </w:r>
      <w:r>
        <w:rPr>
          <w:rFonts w:ascii="Arial" w:hAnsi="Arial" w:cs="Arial"/>
          <w:bCs/>
          <w:sz w:val="24"/>
          <w:szCs w:val="24"/>
          <w:lang w:val="en-GB"/>
        </w:rPr>
        <w:t xml:space="preserve"> appreciate </w:t>
      </w:r>
      <w:r w:rsidR="003C2679">
        <w:rPr>
          <w:rFonts w:ascii="Arial" w:hAnsi="Arial" w:cs="Arial"/>
          <w:bCs/>
          <w:sz w:val="24"/>
          <w:szCs w:val="24"/>
          <w:lang w:val="en-GB"/>
        </w:rPr>
        <w:t xml:space="preserve">and apply </w:t>
      </w:r>
      <w:r>
        <w:rPr>
          <w:rFonts w:ascii="Arial" w:hAnsi="Arial" w:cs="Arial"/>
          <w:bCs/>
          <w:sz w:val="24"/>
          <w:szCs w:val="24"/>
          <w:lang w:val="en-GB"/>
        </w:rPr>
        <w:t xml:space="preserve">the </w:t>
      </w:r>
      <w:r w:rsidR="008F0E7E">
        <w:rPr>
          <w:rFonts w:ascii="Arial" w:hAnsi="Arial" w:cs="Arial"/>
          <w:bCs/>
          <w:sz w:val="24"/>
          <w:szCs w:val="24"/>
          <w:lang w:val="en-GB"/>
        </w:rPr>
        <w:t>urgency</w:t>
      </w:r>
      <w:r w:rsidR="000135F5">
        <w:rPr>
          <w:rFonts w:ascii="Arial" w:hAnsi="Arial" w:cs="Arial"/>
          <w:bCs/>
          <w:sz w:val="24"/>
          <w:szCs w:val="24"/>
          <w:lang w:val="en-GB"/>
        </w:rPr>
        <w:t xml:space="preserve"> rules and practi</w:t>
      </w:r>
      <w:r w:rsidR="00795346">
        <w:rPr>
          <w:rFonts w:ascii="Arial" w:hAnsi="Arial" w:cs="Arial"/>
          <w:bCs/>
          <w:sz w:val="24"/>
          <w:szCs w:val="24"/>
          <w:lang w:val="en-GB"/>
        </w:rPr>
        <w:t>c</w:t>
      </w:r>
      <w:r w:rsidR="000135F5">
        <w:rPr>
          <w:rFonts w:ascii="Arial" w:hAnsi="Arial" w:cs="Arial"/>
          <w:bCs/>
          <w:sz w:val="24"/>
          <w:szCs w:val="24"/>
          <w:lang w:val="en-GB"/>
        </w:rPr>
        <w:t>e directions</w:t>
      </w:r>
      <w:r>
        <w:rPr>
          <w:rFonts w:ascii="Arial" w:hAnsi="Arial" w:cs="Arial"/>
          <w:bCs/>
          <w:sz w:val="24"/>
          <w:szCs w:val="24"/>
          <w:lang w:val="en-GB"/>
        </w:rPr>
        <w:t xml:space="preserve"> and </w:t>
      </w:r>
      <w:r w:rsidR="00C02001">
        <w:rPr>
          <w:rFonts w:ascii="Arial" w:hAnsi="Arial" w:cs="Arial"/>
          <w:bCs/>
          <w:sz w:val="24"/>
          <w:szCs w:val="24"/>
          <w:lang w:val="en-GB"/>
        </w:rPr>
        <w:t>in the process,</w:t>
      </w:r>
      <w:r w:rsidR="00485839">
        <w:rPr>
          <w:rFonts w:ascii="Arial" w:hAnsi="Arial" w:cs="Arial"/>
          <w:bCs/>
          <w:sz w:val="24"/>
          <w:szCs w:val="24"/>
          <w:lang w:val="en-GB"/>
        </w:rPr>
        <w:t xml:space="preserve"> </w:t>
      </w:r>
      <w:r w:rsidR="007A7976">
        <w:rPr>
          <w:rFonts w:ascii="Arial" w:hAnsi="Arial" w:cs="Arial"/>
          <w:bCs/>
          <w:sz w:val="24"/>
          <w:szCs w:val="24"/>
          <w:lang w:val="en-GB"/>
        </w:rPr>
        <w:t>unnecessarily</w:t>
      </w:r>
      <w:r w:rsidR="00C02001">
        <w:rPr>
          <w:rFonts w:ascii="Arial" w:hAnsi="Arial" w:cs="Arial"/>
          <w:bCs/>
          <w:sz w:val="24"/>
          <w:szCs w:val="24"/>
          <w:lang w:val="en-GB"/>
        </w:rPr>
        <w:t xml:space="preserve"> </w:t>
      </w:r>
      <w:r>
        <w:rPr>
          <w:rFonts w:ascii="Arial" w:hAnsi="Arial" w:cs="Arial"/>
          <w:bCs/>
          <w:sz w:val="24"/>
          <w:szCs w:val="24"/>
          <w:lang w:val="en-GB"/>
        </w:rPr>
        <w:t xml:space="preserve">give the respondents insufficient </w:t>
      </w:r>
      <w:r w:rsidR="00D275C1">
        <w:rPr>
          <w:rFonts w:ascii="Arial" w:hAnsi="Arial" w:cs="Arial"/>
          <w:bCs/>
          <w:sz w:val="24"/>
          <w:szCs w:val="24"/>
          <w:lang w:val="en-GB"/>
        </w:rPr>
        <w:t>time for</w:t>
      </w:r>
      <w:r>
        <w:rPr>
          <w:rFonts w:ascii="Arial" w:hAnsi="Arial" w:cs="Arial"/>
          <w:bCs/>
          <w:sz w:val="24"/>
          <w:szCs w:val="24"/>
          <w:lang w:val="en-GB"/>
        </w:rPr>
        <w:t xml:space="preserve"> them to instruct their </w:t>
      </w:r>
      <w:r>
        <w:rPr>
          <w:rFonts w:ascii="Arial" w:hAnsi="Arial" w:cs="Arial"/>
          <w:bCs/>
          <w:sz w:val="24"/>
          <w:szCs w:val="24"/>
          <w:lang w:val="en-GB"/>
        </w:rPr>
        <w:lastRenderedPageBreak/>
        <w:t>legal representatives and consult for purposes of filing opposi</w:t>
      </w:r>
      <w:r w:rsidR="005C49A5">
        <w:rPr>
          <w:rFonts w:ascii="Arial" w:hAnsi="Arial" w:cs="Arial"/>
          <w:bCs/>
          <w:sz w:val="24"/>
          <w:szCs w:val="24"/>
          <w:lang w:val="en-GB"/>
        </w:rPr>
        <w:t>ng</w:t>
      </w:r>
      <w:r>
        <w:rPr>
          <w:rFonts w:ascii="Arial" w:hAnsi="Arial" w:cs="Arial"/>
          <w:bCs/>
          <w:sz w:val="24"/>
          <w:szCs w:val="24"/>
          <w:lang w:val="en-GB"/>
        </w:rPr>
        <w:t xml:space="preserve"> papers</w:t>
      </w:r>
      <w:r w:rsidR="00305159">
        <w:rPr>
          <w:rFonts w:ascii="Arial" w:hAnsi="Arial" w:cs="Arial"/>
          <w:bCs/>
          <w:sz w:val="24"/>
          <w:szCs w:val="24"/>
          <w:lang w:val="en-GB"/>
        </w:rPr>
        <w:t xml:space="preserve"> is</w:t>
      </w:r>
      <w:r w:rsidR="00C1672A">
        <w:rPr>
          <w:rFonts w:ascii="Arial" w:hAnsi="Arial" w:cs="Arial"/>
          <w:bCs/>
          <w:sz w:val="24"/>
          <w:szCs w:val="24"/>
          <w:lang w:val="en-GB"/>
        </w:rPr>
        <w:t>,</w:t>
      </w:r>
      <w:r w:rsidR="00305159">
        <w:rPr>
          <w:rFonts w:ascii="Arial" w:hAnsi="Arial" w:cs="Arial"/>
          <w:bCs/>
          <w:sz w:val="24"/>
          <w:szCs w:val="24"/>
          <w:lang w:val="en-GB"/>
        </w:rPr>
        <w:t xml:space="preserve"> in my </w:t>
      </w:r>
      <w:r w:rsidR="00754CE0">
        <w:rPr>
          <w:rFonts w:ascii="Arial" w:hAnsi="Arial" w:cs="Arial"/>
          <w:bCs/>
          <w:sz w:val="24"/>
          <w:szCs w:val="24"/>
          <w:lang w:val="en-GB"/>
        </w:rPr>
        <w:t>view, an</w:t>
      </w:r>
      <w:r w:rsidR="00ED484D">
        <w:rPr>
          <w:rFonts w:ascii="Arial" w:hAnsi="Arial" w:cs="Arial"/>
          <w:bCs/>
          <w:sz w:val="24"/>
          <w:szCs w:val="24"/>
          <w:lang w:val="en-GB"/>
        </w:rPr>
        <w:t xml:space="preserve"> abuse</w:t>
      </w:r>
      <w:r w:rsidR="00230E28">
        <w:rPr>
          <w:rFonts w:ascii="Arial" w:hAnsi="Arial" w:cs="Arial"/>
          <w:bCs/>
          <w:sz w:val="24"/>
          <w:szCs w:val="24"/>
          <w:lang w:val="en-GB"/>
        </w:rPr>
        <w:t xml:space="preserve"> of court process</w:t>
      </w:r>
      <w:r w:rsidR="00C02001">
        <w:rPr>
          <w:rFonts w:ascii="Arial" w:hAnsi="Arial" w:cs="Arial"/>
          <w:bCs/>
          <w:sz w:val="24"/>
          <w:szCs w:val="24"/>
          <w:lang w:val="en-GB"/>
        </w:rPr>
        <w:t>.  T</w:t>
      </w:r>
      <w:r w:rsidR="00875304">
        <w:rPr>
          <w:rFonts w:ascii="Arial" w:hAnsi="Arial" w:cs="Arial"/>
          <w:bCs/>
          <w:sz w:val="24"/>
          <w:szCs w:val="24"/>
          <w:lang w:val="en-GB"/>
        </w:rPr>
        <w:t>he assertion</w:t>
      </w:r>
      <w:r>
        <w:rPr>
          <w:rFonts w:ascii="Arial" w:hAnsi="Arial" w:cs="Arial"/>
          <w:bCs/>
          <w:sz w:val="24"/>
          <w:szCs w:val="24"/>
          <w:lang w:val="en-GB"/>
        </w:rPr>
        <w:t xml:space="preserve"> that in the end they were afforded more time as they were granted an extensi</w:t>
      </w:r>
      <w:r w:rsidR="003C2679">
        <w:rPr>
          <w:rFonts w:ascii="Arial" w:hAnsi="Arial" w:cs="Arial"/>
          <w:bCs/>
          <w:sz w:val="24"/>
          <w:szCs w:val="24"/>
          <w:lang w:val="en-GB"/>
        </w:rPr>
        <w:t>on</w:t>
      </w:r>
      <w:r>
        <w:rPr>
          <w:rFonts w:ascii="Arial" w:hAnsi="Arial" w:cs="Arial"/>
          <w:bCs/>
          <w:sz w:val="24"/>
          <w:szCs w:val="24"/>
          <w:lang w:val="en-GB"/>
        </w:rPr>
        <w:t xml:space="preserve"> as</w:t>
      </w:r>
      <w:r w:rsidR="009269C9">
        <w:rPr>
          <w:rFonts w:ascii="Arial" w:hAnsi="Arial" w:cs="Arial"/>
          <w:bCs/>
          <w:sz w:val="24"/>
          <w:szCs w:val="24"/>
          <w:lang w:val="en-GB"/>
        </w:rPr>
        <w:t xml:space="preserve"> the</w:t>
      </w:r>
      <w:r>
        <w:rPr>
          <w:rFonts w:ascii="Arial" w:hAnsi="Arial" w:cs="Arial"/>
          <w:bCs/>
          <w:sz w:val="24"/>
          <w:szCs w:val="24"/>
          <w:lang w:val="en-GB"/>
        </w:rPr>
        <w:t xml:space="preserve"> applicant</w:t>
      </w:r>
      <w:r w:rsidR="00795346">
        <w:rPr>
          <w:rFonts w:ascii="Arial" w:hAnsi="Arial" w:cs="Arial"/>
          <w:bCs/>
          <w:sz w:val="24"/>
          <w:szCs w:val="24"/>
          <w:lang w:val="en-GB"/>
        </w:rPr>
        <w:t xml:space="preserve"> </w:t>
      </w:r>
      <w:r>
        <w:rPr>
          <w:rFonts w:ascii="Arial" w:hAnsi="Arial" w:cs="Arial"/>
          <w:bCs/>
          <w:sz w:val="24"/>
          <w:szCs w:val="24"/>
          <w:lang w:val="en-GB"/>
        </w:rPr>
        <w:t>suggested</w:t>
      </w:r>
      <w:r w:rsidR="00C02001">
        <w:rPr>
          <w:rFonts w:ascii="Arial" w:hAnsi="Arial" w:cs="Arial"/>
          <w:bCs/>
          <w:sz w:val="24"/>
          <w:szCs w:val="24"/>
          <w:lang w:val="en-GB"/>
        </w:rPr>
        <w:t xml:space="preserve"> is cold solace</w:t>
      </w:r>
      <w:r w:rsidR="00DD2A6C">
        <w:rPr>
          <w:rFonts w:ascii="Arial" w:hAnsi="Arial" w:cs="Arial"/>
          <w:bCs/>
          <w:sz w:val="24"/>
          <w:szCs w:val="24"/>
          <w:lang w:val="en-GB"/>
        </w:rPr>
        <w:t xml:space="preserve"> and it certainly is not how the urgency rules were inte</w:t>
      </w:r>
      <w:r w:rsidR="00EF16CA">
        <w:rPr>
          <w:rFonts w:ascii="Arial" w:hAnsi="Arial" w:cs="Arial"/>
          <w:bCs/>
          <w:sz w:val="24"/>
          <w:szCs w:val="24"/>
          <w:lang w:val="en-GB"/>
        </w:rPr>
        <w:t>n</w:t>
      </w:r>
      <w:r w:rsidR="00DD2A6C">
        <w:rPr>
          <w:rFonts w:ascii="Arial" w:hAnsi="Arial" w:cs="Arial"/>
          <w:bCs/>
          <w:sz w:val="24"/>
          <w:szCs w:val="24"/>
          <w:lang w:val="en-GB"/>
        </w:rPr>
        <w:t>de</w:t>
      </w:r>
      <w:r w:rsidR="00EF16CA">
        <w:rPr>
          <w:rFonts w:ascii="Arial" w:hAnsi="Arial" w:cs="Arial"/>
          <w:bCs/>
          <w:sz w:val="24"/>
          <w:szCs w:val="24"/>
          <w:lang w:val="en-GB"/>
        </w:rPr>
        <w:t>d to be used</w:t>
      </w:r>
      <w:r>
        <w:rPr>
          <w:rFonts w:ascii="Arial" w:hAnsi="Arial" w:cs="Arial"/>
          <w:bCs/>
          <w:sz w:val="24"/>
          <w:szCs w:val="24"/>
          <w:lang w:val="en-GB"/>
        </w:rPr>
        <w:t>.  The issue of a possible</w:t>
      </w:r>
      <w:r w:rsidR="003B4C70">
        <w:rPr>
          <w:rFonts w:ascii="Arial" w:hAnsi="Arial" w:cs="Arial"/>
          <w:bCs/>
          <w:sz w:val="24"/>
          <w:szCs w:val="24"/>
          <w:lang w:val="en-GB"/>
        </w:rPr>
        <w:t xml:space="preserve"> </w:t>
      </w:r>
      <w:r w:rsidR="00D5741F">
        <w:rPr>
          <w:rFonts w:ascii="Arial" w:hAnsi="Arial" w:cs="Arial"/>
          <w:bCs/>
          <w:sz w:val="24"/>
          <w:szCs w:val="24"/>
          <w:lang w:val="en-GB"/>
        </w:rPr>
        <w:t>relaxation</w:t>
      </w:r>
      <w:r w:rsidR="00B019C9">
        <w:rPr>
          <w:rFonts w:ascii="Arial" w:hAnsi="Arial" w:cs="Arial"/>
          <w:bCs/>
          <w:sz w:val="24"/>
          <w:szCs w:val="24"/>
          <w:lang w:val="en-GB"/>
        </w:rPr>
        <w:t xml:space="preserve"> of</w:t>
      </w:r>
      <w:r w:rsidR="00F305BB">
        <w:rPr>
          <w:rFonts w:ascii="Arial" w:hAnsi="Arial" w:cs="Arial"/>
          <w:bCs/>
          <w:sz w:val="24"/>
          <w:szCs w:val="24"/>
          <w:lang w:val="en-GB"/>
        </w:rPr>
        <w:t xml:space="preserve"> the</w:t>
      </w:r>
      <w:r w:rsidR="00B019C9">
        <w:rPr>
          <w:rFonts w:ascii="Arial" w:hAnsi="Arial" w:cs="Arial"/>
          <w:bCs/>
          <w:sz w:val="24"/>
          <w:szCs w:val="24"/>
          <w:lang w:val="en-GB"/>
        </w:rPr>
        <w:t xml:space="preserve"> time</w:t>
      </w:r>
      <w:r w:rsidR="008B6420">
        <w:rPr>
          <w:rFonts w:ascii="Arial" w:hAnsi="Arial" w:cs="Arial"/>
          <w:bCs/>
          <w:sz w:val="24"/>
          <w:szCs w:val="24"/>
          <w:lang w:val="en-GB"/>
        </w:rPr>
        <w:t>table</w:t>
      </w:r>
      <w:r>
        <w:rPr>
          <w:rFonts w:ascii="Arial" w:hAnsi="Arial" w:cs="Arial"/>
          <w:bCs/>
          <w:sz w:val="24"/>
          <w:szCs w:val="24"/>
          <w:lang w:val="en-GB"/>
        </w:rPr>
        <w:t xml:space="preserve"> has no role to play in setting out the required time</w:t>
      </w:r>
      <w:r w:rsidR="003C2679">
        <w:rPr>
          <w:rFonts w:ascii="Arial" w:hAnsi="Arial" w:cs="Arial"/>
          <w:bCs/>
          <w:sz w:val="24"/>
          <w:szCs w:val="24"/>
          <w:lang w:val="en-GB"/>
        </w:rPr>
        <w:t xml:space="preserve">table </w:t>
      </w:r>
      <w:r>
        <w:rPr>
          <w:rFonts w:ascii="Arial" w:hAnsi="Arial" w:cs="Arial"/>
          <w:bCs/>
          <w:sz w:val="24"/>
          <w:szCs w:val="24"/>
          <w:lang w:val="en-GB"/>
        </w:rPr>
        <w:t xml:space="preserve">depending on the exigencies of </w:t>
      </w:r>
      <w:r w:rsidR="00E30F43">
        <w:rPr>
          <w:rFonts w:ascii="Arial" w:hAnsi="Arial" w:cs="Arial"/>
          <w:bCs/>
          <w:sz w:val="24"/>
          <w:szCs w:val="24"/>
          <w:lang w:val="en-GB"/>
        </w:rPr>
        <w:t xml:space="preserve">the matter. </w:t>
      </w:r>
    </w:p>
    <w:p w14:paraId="00DDC67B" w14:textId="67E67D0B" w:rsidR="00C026DF" w:rsidRDefault="00C92CB4" w:rsidP="00A04626">
      <w:pPr>
        <w:spacing w:line="480" w:lineRule="auto"/>
        <w:jc w:val="both"/>
        <w:rPr>
          <w:rFonts w:ascii="Arial" w:hAnsi="Arial" w:cs="Arial"/>
          <w:bCs/>
          <w:sz w:val="24"/>
          <w:szCs w:val="24"/>
          <w:lang w:val="en-GB"/>
        </w:rPr>
      </w:pPr>
      <w:r>
        <w:rPr>
          <w:rFonts w:ascii="Arial" w:hAnsi="Arial" w:cs="Arial"/>
          <w:bCs/>
          <w:sz w:val="24"/>
          <w:szCs w:val="24"/>
          <w:lang w:val="en-GB"/>
        </w:rPr>
        <w:t>[5</w:t>
      </w:r>
      <w:r w:rsidR="006B50E1">
        <w:rPr>
          <w:rFonts w:ascii="Arial" w:hAnsi="Arial" w:cs="Arial"/>
          <w:bCs/>
          <w:sz w:val="24"/>
          <w:szCs w:val="24"/>
          <w:lang w:val="en-GB"/>
        </w:rPr>
        <w:t>2</w:t>
      </w:r>
      <w:r>
        <w:rPr>
          <w:rFonts w:ascii="Arial" w:hAnsi="Arial" w:cs="Arial"/>
          <w:bCs/>
          <w:sz w:val="24"/>
          <w:szCs w:val="24"/>
          <w:lang w:val="en-GB"/>
        </w:rPr>
        <w:t>]</w:t>
      </w:r>
      <w:r w:rsidR="00E30F43">
        <w:rPr>
          <w:rFonts w:ascii="Arial" w:hAnsi="Arial" w:cs="Arial"/>
          <w:bCs/>
          <w:sz w:val="24"/>
          <w:szCs w:val="24"/>
          <w:lang w:val="en-GB"/>
        </w:rPr>
        <w:t xml:space="preserve"> </w:t>
      </w:r>
      <w:r w:rsidR="003B518A">
        <w:rPr>
          <w:rFonts w:ascii="Arial" w:hAnsi="Arial" w:cs="Arial"/>
          <w:bCs/>
          <w:sz w:val="24"/>
          <w:szCs w:val="24"/>
          <w:lang w:val="en-GB"/>
        </w:rPr>
        <w:t>While the fact that</w:t>
      </w:r>
      <w:r w:rsidR="00110775">
        <w:rPr>
          <w:rFonts w:ascii="Arial" w:hAnsi="Arial" w:cs="Arial"/>
          <w:bCs/>
          <w:sz w:val="24"/>
          <w:szCs w:val="24"/>
          <w:lang w:val="en-GB"/>
        </w:rPr>
        <w:t xml:space="preserve"> the</w:t>
      </w:r>
      <w:r w:rsidR="003B518A">
        <w:rPr>
          <w:rFonts w:ascii="Arial" w:hAnsi="Arial" w:cs="Arial"/>
          <w:bCs/>
          <w:sz w:val="24"/>
          <w:szCs w:val="24"/>
          <w:lang w:val="en-GB"/>
        </w:rPr>
        <w:t xml:space="preserve"> applicant’s legal representatives were from a different jurisdiction and therefore were clearly not ad</w:t>
      </w:r>
      <w:r w:rsidR="00BF6ADC">
        <w:rPr>
          <w:rFonts w:ascii="Arial" w:hAnsi="Arial" w:cs="Arial"/>
          <w:bCs/>
          <w:sz w:val="24"/>
          <w:szCs w:val="24"/>
          <w:lang w:val="en-GB"/>
        </w:rPr>
        <w:t>e</w:t>
      </w:r>
      <w:r w:rsidR="003B518A">
        <w:rPr>
          <w:rFonts w:ascii="Arial" w:hAnsi="Arial" w:cs="Arial"/>
          <w:bCs/>
          <w:sz w:val="24"/>
          <w:szCs w:val="24"/>
          <w:lang w:val="en-GB"/>
        </w:rPr>
        <w:t xml:space="preserve">pt </w:t>
      </w:r>
      <w:r w:rsidR="0025226F">
        <w:rPr>
          <w:rFonts w:ascii="Arial" w:hAnsi="Arial" w:cs="Arial"/>
          <w:bCs/>
          <w:sz w:val="24"/>
          <w:szCs w:val="24"/>
          <w:lang w:val="en-GB"/>
        </w:rPr>
        <w:t>about this C</w:t>
      </w:r>
      <w:r w:rsidR="00EB7054">
        <w:rPr>
          <w:rFonts w:ascii="Arial" w:hAnsi="Arial" w:cs="Arial"/>
          <w:bCs/>
          <w:sz w:val="24"/>
          <w:szCs w:val="24"/>
          <w:lang w:val="en-GB"/>
        </w:rPr>
        <w:t>ourt’s</w:t>
      </w:r>
      <w:r w:rsidR="00676FBF">
        <w:rPr>
          <w:rFonts w:ascii="Arial" w:hAnsi="Arial" w:cs="Arial"/>
          <w:bCs/>
          <w:sz w:val="24"/>
          <w:szCs w:val="24"/>
          <w:lang w:val="en-GB"/>
        </w:rPr>
        <w:t xml:space="preserve"> practice directions</w:t>
      </w:r>
      <w:r w:rsidR="00C02001">
        <w:rPr>
          <w:rFonts w:ascii="Arial" w:hAnsi="Arial" w:cs="Arial"/>
          <w:bCs/>
          <w:sz w:val="24"/>
          <w:szCs w:val="24"/>
          <w:lang w:val="en-GB"/>
        </w:rPr>
        <w:t xml:space="preserve"> played a role</w:t>
      </w:r>
      <w:r w:rsidR="00676FBF">
        <w:rPr>
          <w:rFonts w:ascii="Arial" w:hAnsi="Arial" w:cs="Arial"/>
          <w:bCs/>
          <w:sz w:val="24"/>
          <w:szCs w:val="24"/>
          <w:lang w:val="en-GB"/>
        </w:rPr>
        <w:t xml:space="preserve">, </w:t>
      </w:r>
      <w:r w:rsidR="003805EE">
        <w:rPr>
          <w:rFonts w:ascii="Arial" w:hAnsi="Arial" w:cs="Arial"/>
          <w:bCs/>
          <w:sz w:val="24"/>
          <w:szCs w:val="24"/>
          <w:lang w:val="en-GB"/>
        </w:rPr>
        <w:t xml:space="preserve">there is </w:t>
      </w:r>
      <w:r w:rsidR="000A4096">
        <w:rPr>
          <w:rFonts w:ascii="Arial" w:hAnsi="Arial" w:cs="Arial"/>
          <w:bCs/>
          <w:sz w:val="24"/>
          <w:szCs w:val="24"/>
          <w:lang w:val="en-GB"/>
        </w:rPr>
        <w:t>no</w:t>
      </w:r>
      <w:r w:rsidR="00EC6F4C">
        <w:rPr>
          <w:rFonts w:ascii="Arial" w:hAnsi="Arial" w:cs="Arial"/>
          <w:bCs/>
          <w:sz w:val="24"/>
          <w:szCs w:val="24"/>
          <w:lang w:val="en-GB"/>
        </w:rPr>
        <w:t xml:space="preserve"> excuse</w:t>
      </w:r>
      <w:r w:rsidR="00C02001">
        <w:rPr>
          <w:rFonts w:ascii="Arial" w:hAnsi="Arial" w:cs="Arial"/>
          <w:bCs/>
          <w:sz w:val="24"/>
          <w:szCs w:val="24"/>
          <w:lang w:val="en-GB"/>
        </w:rPr>
        <w:t xml:space="preserve"> for not </w:t>
      </w:r>
      <w:r w:rsidR="005C3532">
        <w:rPr>
          <w:rFonts w:ascii="Arial" w:hAnsi="Arial" w:cs="Arial"/>
          <w:bCs/>
          <w:sz w:val="24"/>
          <w:szCs w:val="24"/>
          <w:lang w:val="en-GB"/>
        </w:rPr>
        <w:t>familiarizing</w:t>
      </w:r>
      <w:r w:rsidR="00C02001">
        <w:rPr>
          <w:rFonts w:ascii="Arial" w:hAnsi="Arial" w:cs="Arial"/>
          <w:bCs/>
          <w:sz w:val="24"/>
          <w:szCs w:val="24"/>
          <w:lang w:val="en-GB"/>
        </w:rPr>
        <w:t xml:space="preserve"> themselves sufficiently with this Court’s rules and practice</w:t>
      </w:r>
      <w:r w:rsidR="00F46D12">
        <w:rPr>
          <w:rFonts w:ascii="Arial" w:hAnsi="Arial" w:cs="Arial"/>
          <w:bCs/>
          <w:sz w:val="24"/>
          <w:szCs w:val="24"/>
          <w:lang w:val="en-GB"/>
        </w:rPr>
        <w:t xml:space="preserve"> directions</w:t>
      </w:r>
      <w:r w:rsidR="00C02001">
        <w:rPr>
          <w:rFonts w:ascii="Arial" w:hAnsi="Arial" w:cs="Arial"/>
          <w:bCs/>
          <w:sz w:val="24"/>
          <w:szCs w:val="24"/>
          <w:lang w:val="en-GB"/>
        </w:rPr>
        <w:t xml:space="preserve">. </w:t>
      </w:r>
      <w:r w:rsidR="00676FBF">
        <w:rPr>
          <w:rFonts w:ascii="Arial" w:hAnsi="Arial" w:cs="Arial"/>
          <w:bCs/>
          <w:sz w:val="24"/>
          <w:szCs w:val="24"/>
          <w:lang w:val="en-GB"/>
        </w:rPr>
        <w:t xml:space="preserve"> </w:t>
      </w:r>
      <w:r w:rsidR="00BF6ADC">
        <w:rPr>
          <w:rFonts w:ascii="Arial" w:hAnsi="Arial" w:cs="Arial"/>
          <w:bCs/>
          <w:sz w:val="24"/>
          <w:szCs w:val="24"/>
          <w:lang w:val="en-GB"/>
        </w:rPr>
        <w:t xml:space="preserve">The </w:t>
      </w:r>
      <w:r w:rsidR="00EC6F4C">
        <w:rPr>
          <w:rFonts w:ascii="Arial" w:hAnsi="Arial" w:cs="Arial"/>
          <w:bCs/>
          <w:sz w:val="24"/>
          <w:szCs w:val="24"/>
          <w:lang w:val="en-GB"/>
        </w:rPr>
        <w:t>applicant</w:t>
      </w:r>
      <w:r w:rsidR="000D2D70">
        <w:rPr>
          <w:rFonts w:ascii="Arial" w:hAnsi="Arial" w:cs="Arial"/>
          <w:bCs/>
          <w:sz w:val="24"/>
          <w:szCs w:val="24"/>
          <w:lang w:val="en-GB"/>
        </w:rPr>
        <w:t>’</w:t>
      </w:r>
      <w:r w:rsidR="00EC6F4C">
        <w:rPr>
          <w:rFonts w:ascii="Arial" w:hAnsi="Arial" w:cs="Arial"/>
          <w:bCs/>
          <w:sz w:val="24"/>
          <w:szCs w:val="24"/>
          <w:lang w:val="en-GB"/>
        </w:rPr>
        <w:t>s</w:t>
      </w:r>
      <w:r w:rsidR="000D2D70">
        <w:rPr>
          <w:rFonts w:ascii="Arial" w:hAnsi="Arial" w:cs="Arial"/>
          <w:bCs/>
          <w:sz w:val="24"/>
          <w:szCs w:val="24"/>
          <w:lang w:val="en-GB"/>
        </w:rPr>
        <w:t xml:space="preserve"> </w:t>
      </w:r>
      <w:r w:rsidR="00A54EB4">
        <w:rPr>
          <w:rFonts w:ascii="Arial" w:hAnsi="Arial" w:cs="Arial"/>
          <w:bCs/>
          <w:sz w:val="24"/>
          <w:szCs w:val="24"/>
          <w:lang w:val="en-GB"/>
        </w:rPr>
        <w:t xml:space="preserve">attorneys </w:t>
      </w:r>
      <w:r w:rsidR="00BF6ADC">
        <w:rPr>
          <w:rFonts w:ascii="Arial" w:hAnsi="Arial" w:cs="Arial"/>
          <w:bCs/>
          <w:sz w:val="24"/>
          <w:szCs w:val="24"/>
          <w:lang w:val="en-GB"/>
        </w:rPr>
        <w:t xml:space="preserve">had a </w:t>
      </w:r>
      <w:r w:rsidR="00676FBF">
        <w:rPr>
          <w:rFonts w:ascii="Arial" w:hAnsi="Arial" w:cs="Arial"/>
          <w:bCs/>
          <w:sz w:val="24"/>
          <w:szCs w:val="24"/>
          <w:lang w:val="en-GB"/>
        </w:rPr>
        <w:t>responsibility to ensure that they were in possession of the practice directions and the Joint Rules of this Division</w:t>
      </w:r>
      <w:r w:rsidR="00BF6ADC">
        <w:rPr>
          <w:rFonts w:ascii="Arial" w:hAnsi="Arial" w:cs="Arial"/>
          <w:bCs/>
          <w:sz w:val="24"/>
          <w:szCs w:val="24"/>
          <w:lang w:val="en-GB"/>
        </w:rPr>
        <w:t xml:space="preserve"> which are to be read in conjunction w</w:t>
      </w:r>
      <w:r w:rsidR="005E2B0F">
        <w:rPr>
          <w:rFonts w:ascii="Arial" w:hAnsi="Arial" w:cs="Arial"/>
          <w:bCs/>
          <w:sz w:val="24"/>
          <w:szCs w:val="24"/>
          <w:lang w:val="en-GB"/>
        </w:rPr>
        <w:t>ith</w:t>
      </w:r>
      <w:r w:rsidR="00BF6ADC">
        <w:rPr>
          <w:rFonts w:ascii="Arial" w:hAnsi="Arial" w:cs="Arial"/>
          <w:bCs/>
          <w:sz w:val="24"/>
          <w:szCs w:val="24"/>
          <w:lang w:val="en-GB"/>
        </w:rPr>
        <w:t xml:space="preserve"> Rule 6(1</w:t>
      </w:r>
      <w:r w:rsidR="002F2E8C">
        <w:rPr>
          <w:rFonts w:ascii="Arial" w:hAnsi="Arial" w:cs="Arial"/>
          <w:bCs/>
          <w:sz w:val="24"/>
          <w:szCs w:val="24"/>
          <w:lang w:val="en-GB"/>
        </w:rPr>
        <w:t>2</w:t>
      </w:r>
      <w:r w:rsidR="00BF6ADC">
        <w:rPr>
          <w:rFonts w:ascii="Arial" w:hAnsi="Arial" w:cs="Arial"/>
          <w:bCs/>
          <w:sz w:val="24"/>
          <w:szCs w:val="24"/>
          <w:lang w:val="en-GB"/>
        </w:rPr>
        <w:t>) of the Uniform Rules of Court</w:t>
      </w:r>
      <w:r w:rsidR="00676FBF">
        <w:rPr>
          <w:rFonts w:ascii="Arial" w:hAnsi="Arial" w:cs="Arial"/>
          <w:bCs/>
          <w:sz w:val="24"/>
          <w:szCs w:val="24"/>
          <w:lang w:val="en-GB"/>
        </w:rPr>
        <w:t>.</w:t>
      </w:r>
      <w:r w:rsidR="00C02001">
        <w:rPr>
          <w:rFonts w:ascii="Arial" w:hAnsi="Arial" w:cs="Arial"/>
          <w:bCs/>
          <w:sz w:val="24"/>
          <w:szCs w:val="24"/>
          <w:lang w:val="en-GB"/>
        </w:rPr>
        <w:t xml:space="preserve"> </w:t>
      </w:r>
      <w:r w:rsidR="00BE3A8B">
        <w:rPr>
          <w:rFonts w:ascii="Arial" w:hAnsi="Arial" w:cs="Arial"/>
          <w:bCs/>
          <w:sz w:val="24"/>
          <w:szCs w:val="24"/>
          <w:lang w:val="en-GB"/>
        </w:rPr>
        <w:t>They cannot and could not have</w:t>
      </w:r>
      <w:r w:rsidR="00735F45">
        <w:rPr>
          <w:rFonts w:ascii="Arial" w:hAnsi="Arial" w:cs="Arial"/>
          <w:bCs/>
          <w:sz w:val="24"/>
          <w:szCs w:val="24"/>
          <w:lang w:val="en-GB"/>
        </w:rPr>
        <w:t xml:space="preserve"> s</w:t>
      </w:r>
      <w:r w:rsidR="004D4DFB">
        <w:rPr>
          <w:rFonts w:ascii="Arial" w:hAnsi="Arial" w:cs="Arial"/>
          <w:bCs/>
          <w:sz w:val="24"/>
          <w:szCs w:val="24"/>
          <w:lang w:val="en-GB"/>
        </w:rPr>
        <w:t>afely</w:t>
      </w:r>
      <w:r w:rsidR="00BE3A8B">
        <w:rPr>
          <w:rFonts w:ascii="Arial" w:hAnsi="Arial" w:cs="Arial"/>
          <w:bCs/>
          <w:sz w:val="24"/>
          <w:szCs w:val="24"/>
          <w:lang w:val="en-GB"/>
        </w:rPr>
        <w:t xml:space="preserve"> relied on corre</w:t>
      </w:r>
      <w:r w:rsidR="0082084D">
        <w:rPr>
          <w:rFonts w:ascii="Arial" w:hAnsi="Arial" w:cs="Arial"/>
          <w:bCs/>
          <w:sz w:val="24"/>
          <w:szCs w:val="24"/>
          <w:lang w:val="en-GB"/>
        </w:rPr>
        <w:t>spondent attorney</w:t>
      </w:r>
      <w:r w:rsidR="007C66B2">
        <w:rPr>
          <w:rFonts w:ascii="Arial" w:hAnsi="Arial" w:cs="Arial"/>
          <w:bCs/>
          <w:sz w:val="24"/>
          <w:szCs w:val="24"/>
          <w:lang w:val="en-GB"/>
        </w:rPr>
        <w:t>s</w:t>
      </w:r>
      <w:r w:rsidR="0082084D">
        <w:rPr>
          <w:rFonts w:ascii="Arial" w:hAnsi="Arial" w:cs="Arial"/>
          <w:bCs/>
          <w:sz w:val="24"/>
          <w:szCs w:val="24"/>
          <w:lang w:val="en-GB"/>
        </w:rPr>
        <w:t xml:space="preserve"> when in fact </w:t>
      </w:r>
      <w:r w:rsidR="00A9555E">
        <w:rPr>
          <w:rFonts w:ascii="Arial" w:hAnsi="Arial" w:cs="Arial"/>
          <w:bCs/>
          <w:sz w:val="24"/>
          <w:szCs w:val="24"/>
          <w:lang w:val="en-GB"/>
        </w:rPr>
        <w:t>the rules and practi</w:t>
      </w:r>
      <w:r w:rsidR="007010DA">
        <w:rPr>
          <w:rFonts w:ascii="Arial" w:hAnsi="Arial" w:cs="Arial"/>
          <w:bCs/>
          <w:sz w:val="24"/>
          <w:szCs w:val="24"/>
          <w:lang w:val="en-GB"/>
        </w:rPr>
        <w:t>c</w:t>
      </w:r>
      <w:r w:rsidR="00A9555E">
        <w:rPr>
          <w:rFonts w:ascii="Arial" w:hAnsi="Arial" w:cs="Arial"/>
          <w:bCs/>
          <w:sz w:val="24"/>
          <w:szCs w:val="24"/>
          <w:lang w:val="en-GB"/>
        </w:rPr>
        <w:t xml:space="preserve">e directions of this </w:t>
      </w:r>
      <w:r w:rsidR="00602209">
        <w:rPr>
          <w:rFonts w:ascii="Arial" w:hAnsi="Arial" w:cs="Arial"/>
          <w:bCs/>
          <w:sz w:val="24"/>
          <w:szCs w:val="24"/>
          <w:lang w:val="en-GB"/>
        </w:rPr>
        <w:t>C</w:t>
      </w:r>
      <w:r w:rsidR="00A9555E">
        <w:rPr>
          <w:rFonts w:ascii="Arial" w:hAnsi="Arial" w:cs="Arial"/>
          <w:bCs/>
          <w:sz w:val="24"/>
          <w:szCs w:val="24"/>
          <w:lang w:val="en-GB"/>
        </w:rPr>
        <w:t xml:space="preserve">ourt are </w:t>
      </w:r>
      <w:r w:rsidR="00085E04">
        <w:rPr>
          <w:rFonts w:ascii="Arial" w:hAnsi="Arial" w:cs="Arial"/>
          <w:bCs/>
          <w:sz w:val="24"/>
          <w:szCs w:val="24"/>
          <w:lang w:val="en-GB"/>
        </w:rPr>
        <w:t xml:space="preserve">published and </w:t>
      </w:r>
      <w:r w:rsidR="001D5798">
        <w:rPr>
          <w:rFonts w:ascii="Arial" w:hAnsi="Arial" w:cs="Arial"/>
          <w:bCs/>
          <w:sz w:val="24"/>
          <w:szCs w:val="24"/>
          <w:lang w:val="en-GB"/>
        </w:rPr>
        <w:t>easily</w:t>
      </w:r>
      <w:r w:rsidR="00085E04">
        <w:rPr>
          <w:rFonts w:ascii="Arial" w:hAnsi="Arial" w:cs="Arial"/>
          <w:bCs/>
          <w:sz w:val="24"/>
          <w:szCs w:val="24"/>
          <w:lang w:val="en-GB"/>
        </w:rPr>
        <w:t xml:space="preserve"> accessible.</w:t>
      </w:r>
    </w:p>
    <w:p w14:paraId="4FE9115F" w14:textId="63112889" w:rsidR="00F57392" w:rsidRDefault="00595105" w:rsidP="00A04626">
      <w:pPr>
        <w:spacing w:line="480" w:lineRule="auto"/>
        <w:jc w:val="both"/>
        <w:rPr>
          <w:rFonts w:ascii="Arial" w:hAnsi="Arial" w:cs="Arial"/>
          <w:bCs/>
          <w:sz w:val="24"/>
          <w:szCs w:val="24"/>
          <w:lang w:val="en-GB"/>
        </w:rPr>
      </w:pPr>
      <w:r>
        <w:rPr>
          <w:rFonts w:ascii="Arial" w:hAnsi="Arial" w:cs="Arial"/>
          <w:bCs/>
          <w:sz w:val="24"/>
          <w:szCs w:val="24"/>
          <w:lang w:val="en-GB"/>
        </w:rPr>
        <w:t>[</w:t>
      </w:r>
      <w:r w:rsidR="00D26690">
        <w:rPr>
          <w:rFonts w:ascii="Arial" w:hAnsi="Arial" w:cs="Arial"/>
          <w:bCs/>
          <w:sz w:val="24"/>
          <w:szCs w:val="24"/>
          <w:lang w:val="en-GB"/>
        </w:rPr>
        <w:t>5</w:t>
      </w:r>
      <w:r w:rsidR="006B50E1">
        <w:rPr>
          <w:rFonts w:ascii="Arial" w:hAnsi="Arial" w:cs="Arial"/>
          <w:bCs/>
          <w:sz w:val="24"/>
          <w:szCs w:val="24"/>
          <w:lang w:val="en-GB"/>
        </w:rPr>
        <w:t>3</w:t>
      </w:r>
      <w:r>
        <w:rPr>
          <w:rFonts w:ascii="Arial" w:hAnsi="Arial" w:cs="Arial"/>
          <w:bCs/>
          <w:sz w:val="24"/>
          <w:szCs w:val="24"/>
          <w:lang w:val="en-GB"/>
        </w:rPr>
        <w:t xml:space="preserve">] </w:t>
      </w:r>
      <w:r w:rsidR="00C31A4C">
        <w:rPr>
          <w:rFonts w:ascii="Arial" w:hAnsi="Arial" w:cs="Arial"/>
          <w:bCs/>
          <w:sz w:val="24"/>
          <w:szCs w:val="24"/>
          <w:lang w:val="en-GB"/>
        </w:rPr>
        <w:t>I</w:t>
      </w:r>
      <w:r w:rsidR="00E84685">
        <w:rPr>
          <w:rFonts w:ascii="Arial" w:hAnsi="Arial" w:cs="Arial"/>
          <w:bCs/>
          <w:sz w:val="24"/>
          <w:szCs w:val="24"/>
          <w:lang w:val="en-GB"/>
        </w:rPr>
        <w:t xml:space="preserve">n </w:t>
      </w:r>
      <w:r w:rsidR="00C31A4C">
        <w:rPr>
          <w:rFonts w:ascii="Arial" w:hAnsi="Arial" w:cs="Arial"/>
          <w:bCs/>
          <w:sz w:val="24"/>
          <w:szCs w:val="24"/>
          <w:lang w:val="en-GB"/>
        </w:rPr>
        <w:t>all the circumstances</w:t>
      </w:r>
      <w:r w:rsidR="002905E0">
        <w:rPr>
          <w:rFonts w:ascii="Arial" w:hAnsi="Arial" w:cs="Arial"/>
          <w:bCs/>
          <w:sz w:val="24"/>
          <w:szCs w:val="24"/>
          <w:lang w:val="en-GB"/>
        </w:rPr>
        <w:t>,</w:t>
      </w:r>
      <w:r>
        <w:rPr>
          <w:rFonts w:ascii="Arial" w:hAnsi="Arial" w:cs="Arial"/>
          <w:bCs/>
          <w:sz w:val="24"/>
          <w:szCs w:val="24"/>
          <w:lang w:val="en-GB"/>
        </w:rPr>
        <w:t xml:space="preserve"> the applicants hav</w:t>
      </w:r>
      <w:r w:rsidR="002905E0">
        <w:rPr>
          <w:rFonts w:ascii="Arial" w:hAnsi="Arial" w:cs="Arial"/>
          <w:bCs/>
          <w:sz w:val="24"/>
          <w:szCs w:val="24"/>
          <w:lang w:val="en-GB"/>
        </w:rPr>
        <w:t>e</w:t>
      </w:r>
      <w:r>
        <w:rPr>
          <w:rFonts w:ascii="Arial" w:hAnsi="Arial" w:cs="Arial"/>
          <w:bCs/>
          <w:sz w:val="24"/>
          <w:szCs w:val="24"/>
          <w:lang w:val="en-GB"/>
        </w:rPr>
        <w:t xml:space="preserve"> failed to make out a case for the relief sought as earlier indicated</w:t>
      </w:r>
      <w:r w:rsidR="002A2873">
        <w:rPr>
          <w:rFonts w:ascii="Arial" w:hAnsi="Arial" w:cs="Arial"/>
          <w:bCs/>
          <w:sz w:val="24"/>
          <w:szCs w:val="24"/>
          <w:lang w:val="en-GB"/>
        </w:rPr>
        <w:t>.</w:t>
      </w:r>
      <w:r>
        <w:rPr>
          <w:rFonts w:ascii="Arial" w:hAnsi="Arial" w:cs="Arial"/>
          <w:bCs/>
          <w:sz w:val="24"/>
          <w:szCs w:val="24"/>
          <w:lang w:val="en-GB"/>
        </w:rPr>
        <w:t xml:space="preserve"> </w:t>
      </w:r>
      <w:r w:rsidR="002A2873">
        <w:rPr>
          <w:rFonts w:ascii="Arial" w:hAnsi="Arial" w:cs="Arial"/>
          <w:bCs/>
          <w:sz w:val="24"/>
          <w:szCs w:val="24"/>
          <w:lang w:val="en-GB"/>
        </w:rPr>
        <w:t>It</w:t>
      </w:r>
      <w:r>
        <w:rPr>
          <w:rFonts w:ascii="Arial" w:hAnsi="Arial" w:cs="Arial"/>
          <w:bCs/>
          <w:sz w:val="24"/>
          <w:szCs w:val="24"/>
          <w:lang w:val="en-GB"/>
        </w:rPr>
        <w:t xml:space="preserve"> follows</w:t>
      </w:r>
      <w:r w:rsidR="002B2343">
        <w:rPr>
          <w:rFonts w:ascii="Arial" w:hAnsi="Arial" w:cs="Arial"/>
          <w:bCs/>
          <w:sz w:val="24"/>
          <w:szCs w:val="24"/>
          <w:lang w:val="en-GB"/>
        </w:rPr>
        <w:t xml:space="preserve"> therefore</w:t>
      </w:r>
      <w:r>
        <w:rPr>
          <w:rFonts w:ascii="Arial" w:hAnsi="Arial" w:cs="Arial"/>
          <w:bCs/>
          <w:sz w:val="24"/>
          <w:szCs w:val="24"/>
          <w:lang w:val="en-GB"/>
        </w:rPr>
        <w:t xml:space="preserve"> that this application must fail.</w:t>
      </w:r>
    </w:p>
    <w:p w14:paraId="4A7AB97C" w14:textId="51535834" w:rsidR="00327612" w:rsidRDefault="00327612" w:rsidP="007E18CD">
      <w:pPr>
        <w:spacing w:line="480" w:lineRule="auto"/>
        <w:jc w:val="both"/>
        <w:rPr>
          <w:rFonts w:ascii="Arial" w:hAnsi="Arial" w:cs="Arial"/>
          <w:bCs/>
          <w:sz w:val="24"/>
          <w:szCs w:val="24"/>
          <w:lang w:val="en-GB"/>
        </w:rPr>
      </w:pPr>
      <w:r>
        <w:rPr>
          <w:rFonts w:ascii="Arial" w:hAnsi="Arial" w:cs="Arial"/>
          <w:bCs/>
          <w:sz w:val="24"/>
          <w:szCs w:val="24"/>
          <w:lang w:val="en-GB"/>
        </w:rPr>
        <w:t>[</w:t>
      </w:r>
      <w:r w:rsidR="00E963CD">
        <w:rPr>
          <w:rFonts w:ascii="Arial" w:hAnsi="Arial" w:cs="Arial"/>
          <w:bCs/>
          <w:sz w:val="24"/>
          <w:szCs w:val="24"/>
          <w:lang w:val="en-GB"/>
        </w:rPr>
        <w:t>5</w:t>
      </w:r>
      <w:r w:rsidR="006B50E1">
        <w:rPr>
          <w:rFonts w:ascii="Arial" w:hAnsi="Arial" w:cs="Arial"/>
          <w:bCs/>
          <w:sz w:val="24"/>
          <w:szCs w:val="24"/>
          <w:lang w:val="en-GB"/>
        </w:rPr>
        <w:t>4</w:t>
      </w:r>
      <w:r>
        <w:rPr>
          <w:rFonts w:ascii="Arial" w:hAnsi="Arial" w:cs="Arial"/>
          <w:bCs/>
          <w:sz w:val="24"/>
          <w:szCs w:val="24"/>
          <w:lang w:val="en-GB"/>
        </w:rPr>
        <w:t>] In the result the following order shall issue:</w:t>
      </w:r>
    </w:p>
    <w:p w14:paraId="76297732" w14:textId="77777777" w:rsidR="0014683D" w:rsidRDefault="00327612" w:rsidP="0014683D">
      <w:pPr>
        <w:spacing w:line="480" w:lineRule="auto"/>
        <w:jc w:val="both"/>
        <w:rPr>
          <w:rFonts w:ascii="Arial" w:hAnsi="Arial" w:cs="Arial"/>
          <w:bCs/>
          <w:sz w:val="24"/>
          <w:szCs w:val="24"/>
          <w:lang w:val="en-GB"/>
        </w:rPr>
      </w:pPr>
      <w:r>
        <w:rPr>
          <w:rFonts w:ascii="Arial" w:hAnsi="Arial" w:cs="Arial"/>
          <w:bCs/>
          <w:sz w:val="24"/>
          <w:szCs w:val="24"/>
          <w:lang w:val="en-GB"/>
        </w:rPr>
        <w:t>1. The application is dismissed.</w:t>
      </w:r>
    </w:p>
    <w:p w14:paraId="4BDB07D1" w14:textId="241C8BBC" w:rsidR="00327612" w:rsidRDefault="00327612" w:rsidP="0014683D">
      <w:pPr>
        <w:spacing w:line="480" w:lineRule="auto"/>
        <w:jc w:val="both"/>
        <w:rPr>
          <w:rFonts w:ascii="Arial" w:hAnsi="Arial" w:cs="Arial"/>
          <w:bCs/>
          <w:sz w:val="24"/>
          <w:szCs w:val="24"/>
          <w:lang w:val="en-GB"/>
        </w:rPr>
      </w:pPr>
      <w:r>
        <w:rPr>
          <w:rFonts w:ascii="Arial" w:hAnsi="Arial" w:cs="Arial"/>
          <w:bCs/>
          <w:sz w:val="24"/>
          <w:szCs w:val="24"/>
          <w:lang w:val="en-GB"/>
        </w:rPr>
        <w:t>2. The applicant shall pay costs of th</w:t>
      </w:r>
      <w:r w:rsidR="005C3532">
        <w:rPr>
          <w:rFonts w:ascii="Arial" w:hAnsi="Arial" w:cs="Arial"/>
          <w:bCs/>
          <w:sz w:val="24"/>
          <w:szCs w:val="24"/>
          <w:lang w:val="en-GB"/>
        </w:rPr>
        <w:t>is</w:t>
      </w:r>
      <w:r>
        <w:rPr>
          <w:rFonts w:ascii="Arial" w:hAnsi="Arial" w:cs="Arial"/>
          <w:bCs/>
          <w:sz w:val="24"/>
          <w:szCs w:val="24"/>
          <w:lang w:val="en-GB"/>
        </w:rPr>
        <w:t xml:space="preserve"> application including costs occasioned by the employment of two counsel.</w:t>
      </w:r>
    </w:p>
    <w:p w14:paraId="7F78FAE7" w14:textId="77777777" w:rsidR="00A32CC7" w:rsidRDefault="00A32CC7" w:rsidP="00AB59D2">
      <w:pPr>
        <w:tabs>
          <w:tab w:val="left" w:pos="270"/>
        </w:tabs>
        <w:spacing w:line="480" w:lineRule="auto"/>
        <w:jc w:val="both"/>
        <w:rPr>
          <w:rFonts w:ascii="Arial" w:hAnsi="Arial" w:cs="Arial"/>
          <w:bCs/>
          <w:sz w:val="24"/>
          <w:szCs w:val="24"/>
          <w:lang w:val="en-GB"/>
        </w:rPr>
      </w:pPr>
    </w:p>
    <w:p w14:paraId="4398540F" w14:textId="77777777" w:rsidR="005C3532" w:rsidRDefault="005C3532" w:rsidP="009330C2">
      <w:pPr>
        <w:tabs>
          <w:tab w:val="left" w:pos="270"/>
        </w:tabs>
        <w:spacing w:line="480" w:lineRule="auto"/>
        <w:jc w:val="both"/>
        <w:rPr>
          <w:rFonts w:ascii="Arial" w:hAnsi="Arial" w:cs="Arial"/>
          <w:bCs/>
          <w:sz w:val="24"/>
          <w:szCs w:val="24"/>
          <w:lang w:val="en-GB"/>
        </w:rPr>
      </w:pPr>
    </w:p>
    <w:p w14:paraId="6F7A2C68" w14:textId="51A9ADC4" w:rsidR="00450F0B" w:rsidRDefault="00450F0B" w:rsidP="007E18CD">
      <w:pPr>
        <w:spacing w:line="480" w:lineRule="auto"/>
        <w:jc w:val="both"/>
        <w:rPr>
          <w:rFonts w:ascii="Arial" w:hAnsi="Arial" w:cs="Arial"/>
          <w:b/>
          <w:sz w:val="24"/>
          <w:szCs w:val="24"/>
          <w:lang w:val="en-GB"/>
        </w:rPr>
      </w:pPr>
      <w:r>
        <w:rPr>
          <w:rFonts w:ascii="Arial" w:hAnsi="Arial" w:cs="Arial"/>
          <w:b/>
          <w:sz w:val="24"/>
          <w:szCs w:val="24"/>
          <w:lang w:val="en-GB"/>
        </w:rPr>
        <w:t>_______________________</w:t>
      </w:r>
    </w:p>
    <w:p w14:paraId="335CE6B6" w14:textId="3CB09673" w:rsidR="00450F0B" w:rsidRDefault="00450F0B" w:rsidP="007E18CD">
      <w:pPr>
        <w:spacing w:line="480" w:lineRule="auto"/>
        <w:jc w:val="both"/>
        <w:rPr>
          <w:rFonts w:ascii="Arial" w:hAnsi="Arial" w:cs="Arial"/>
          <w:b/>
          <w:sz w:val="24"/>
          <w:szCs w:val="24"/>
        </w:rPr>
      </w:pPr>
      <w:r>
        <w:rPr>
          <w:rFonts w:ascii="Arial" w:hAnsi="Arial" w:cs="Arial"/>
          <w:b/>
          <w:sz w:val="24"/>
          <w:szCs w:val="24"/>
        </w:rPr>
        <w:t>M.S. JOLWANA</w:t>
      </w:r>
    </w:p>
    <w:p w14:paraId="168B4667" w14:textId="2748722F" w:rsidR="004C4D9D" w:rsidRDefault="00450F0B" w:rsidP="007E18CD">
      <w:pPr>
        <w:spacing w:line="480" w:lineRule="auto"/>
        <w:jc w:val="both"/>
        <w:rPr>
          <w:rFonts w:ascii="Arial" w:hAnsi="Arial" w:cs="Arial"/>
          <w:b/>
          <w:sz w:val="24"/>
          <w:szCs w:val="24"/>
        </w:rPr>
      </w:pPr>
      <w:r>
        <w:rPr>
          <w:rFonts w:ascii="Arial" w:hAnsi="Arial" w:cs="Arial"/>
          <w:b/>
          <w:sz w:val="24"/>
          <w:szCs w:val="24"/>
        </w:rPr>
        <w:t>JUDGE OF THE HIGH COURT</w:t>
      </w:r>
    </w:p>
    <w:p w14:paraId="4A11182D" w14:textId="77777777" w:rsidR="004C4D9D" w:rsidRDefault="004C4D9D" w:rsidP="007E18CD">
      <w:pPr>
        <w:spacing w:line="480" w:lineRule="auto"/>
        <w:jc w:val="both"/>
        <w:rPr>
          <w:rFonts w:ascii="Arial" w:hAnsi="Arial" w:cs="Arial"/>
          <w:b/>
          <w:sz w:val="24"/>
          <w:szCs w:val="24"/>
        </w:rPr>
      </w:pPr>
    </w:p>
    <w:p w14:paraId="7568D336" w14:textId="3BA8B06A" w:rsidR="000E2A55" w:rsidRDefault="000E2A55" w:rsidP="007E18CD">
      <w:pPr>
        <w:spacing w:line="480" w:lineRule="auto"/>
        <w:jc w:val="both"/>
        <w:rPr>
          <w:rFonts w:ascii="Arial" w:hAnsi="Arial" w:cs="Arial"/>
          <w:bCs/>
          <w:sz w:val="24"/>
          <w:szCs w:val="24"/>
        </w:rPr>
      </w:pPr>
      <w:r w:rsidRPr="00E17374">
        <w:rPr>
          <w:rFonts w:ascii="Arial" w:hAnsi="Arial" w:cs="Arial"/>
          <w:bCs/>
          <w:sz w:val="24"/>
          <w:szCs w:val="24"/>
        </w:rPr>
        <w:t>C</w:t>
      </w:r>
      <w:r w:rsidR="00E17374" w:rsidRPr="00E17374">
        <w:rPr>
          <w:rFonts w:ascii="Arial" w:hAnsi="Arial" w:cs="Arial"/>
          <w:bCs/>
          <w:sz w:val="24"/>
          <w:szCs w:val="24"/>
        </w:rPr>
        <w:t>ou</w:t>
      </w:r>
      <w:r w:rsidRPr="00E17374">
        <w:rPr>
          <w:rFonts w:ascii="Arial" w:hAnsi="Arial" w:cs="Arial"/>
          <w:bCs/>
          <w:sz w:val="24"/>
          <w:szCs w:val="24"/>
        </w:rPr>
        <w:t>nsel for the</w:t>
      </w:r>
      <w:r>
        <w:rPr>
          <w:rFonts w:ascii="Arial" w:hAnsi="Arial" w:cs="Arial"/>
          <w:b/>
          <w:sz w:val="24"/>
          <w:szCs w:val="24"/>
        </w:rPr>
        <w:t xml:space="preserve"> </w:t>
      </w:r>
      <w:r w:rsidR="006356EF">
        <w:rPr>
          <w:rFonts w:ascii="Arial" w:hAnsi="Arial" w:cs="Arial"/>
          <w:bCs/>
          <w:sz w:val="24"/>
          <w:szCs w:val="24"/>
        </w:rPr>
        <w:t>a</w:t>
      </w:r>
      <w:r w:rsidR="00E17374">
        <w:rPr>
          <w:rFonts w:ascii="Arial" w:hAnsi="Arial" w:cs="Arial"/>
          <w:bCs/>
          <w:sz w:val="24"/>
          <w:szCs w:val="24"/>
        </w:rPr>
        <w:t>pplicant</w:t>
      </w:r>
      <w:r w:rsidR="00CF33E4">
        <w:rPr>
          <w:rFonts w:ascii="Arial" w:hAnsi="Arial" w:cs="Arial"/>
          <w:bCs/>
          <w:sz w:val="24"/>
          <w:szCs w:val="24"/>
        </w:rPr>
        <w:tab/>
      </w:r>
      <w:r w:rsidR="00E17374">
        <w:rPr>
          <w:rFonts w:ascii="Arial" w:hAnsi="Arial" w:cs="Arial"/>
          <w:bCs/>
          <w:sz w:val="24"/>
          <w:szCs w:val="24"/>
        </w:rPr>
        <w:t>:</w:t>
      </w:r>
      <w:r w:rsidR="00CF33E4">
        <w:rPr>
          <w:rFonts w:ascii="Arial" w:hAnsi="Arial" w:cs="Arial"/>
          <w:bCs/>
          <w:sz w:val="24"/>
          <w:szCs w:val="24"/>
        </w:rPr>
        <w:t xml:space="preserve"> </w:t>
      </w:r>
      <w:r w:rsidR="00FD0C8E">
        <w:rPr>
          <w:rFonts w:ascii="Arial" w:hAnsi="Arial" w:cs="Arial"/>
          <w:bCs/>
          <w:sz w:val="24"/>
          <w:szCs w:val="24"/>
        </w:rPr>
        <w:t xml:space="preserve"> H.J. </w:t>
      </w:r>
      <w:r w:rsidR="008F3DB1">
        <w:rPr>
          <w:rFonts w:ascii="Arial" w:hAnsi="Arial" w:cs="Arial"/>
          <w:bCs/>
          <w:sz w:val="24"/>
          <w:szCs w:val="24"/>
        </w:rPr>
        <w:t>Fischer</w:t>
      </w:r>
    </w:p>
    <w:p w14:paraId="5877DACB" w14:textId="5184A321" w:rsidR="003078F6" w:rsidRDefault="003078F6" w:rsidP="007E18CD">
      <w:pPr>
        <w:spacing w:line="480" w:lineRule="auto"/>
        <w:jc w:val="both"/>
        <w:rPr>
          <w:rFonts w:ascii="Arial" w:hAnsi="Arial" w:cs="Arial"/>
          <w:bCs/>
          <w:sz w:val="24"/>
          <w:szCs w:val="24"/>
        </w:rPr>
      </w:pPr>
      <w:r>
        <w:rPr>
          <w:rFonts w:ascii="Arial" w:hAnsi="Arial" w:cs="Arial"/>
          <w:bCs/>
          <w:sz w:val="24"/>
          <w:szCs w:val="24"/>
        </w:rPr>
        <w:t xml:space="preserve">Instructed </w:t>
      </w:r>
      <w:r w:rsidR="001B117A">
        <w:rPr>
          <w:rFonts w:ascii="Arial" w:hAnsi="Arial" w:cs="Arial"/>
          <w:bCs/>
          <w:sz w:val="24"/>
          <w:szCs w:val="24"/>
        </w:rPr>
        <w:t>b</w:t>
      </w:r>
      <w:r>
        <w:rPr>
          <w:rFonts w:ascii="Arial" w:hAnsi="Arial" w:cs="Arial"/>
          <w:bCs/>
          <w:sz w:val="24"/>
          <w:szCs w:val="24"/>
        </w:rPr>
        <w:t>y</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DB5A71">
        <w:rPr>
          <w:rFonts w:ascii="Arial" w:hAnsi="Arial" w:cs="Arial"/>
          <w:bCs/>
          <w:sz w:val="24"/>
          <w:szCs w:val="24"/>
        </w:rPr>
        <w:t>DMS Attorneys</w:t>
      </w:r>
      <w:r w:rsidR="00116705">
        <w:rPr>
          <w:rFonts w:ascii="Arial" w:hAnsi="Arial" w:cs="Arial"/>
          <w:bCs/>
          <w:sz w:val="24"/>
          <w:szCs w:val="24"/>
        </w:rPr>
        <w:t xml:space="preserve"> </w:t>
      </w:r>
    </w:p>
    <w:p w14:paraId="6249E8A0" w14:textId="632F4910" w:rsidR="00116705" w:rsidRDefault="00116705" w:rsidP="007E18CD">
      <w:pPr>
        <w:spacing w:line="48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7D1148">
        <w:rPr>
          <w:rFonts w:ascii="Arial" w:hAnsi="Arial" w:cs="Arial"/>
          <w:bCs/>
          <w:sz w:val="24"/>
          <w:szCs w:val="24"/>
        </w:rPr>
        <w:t xml:space="preserve"> </w:t>
      </w:r>
      <w:r>
        <w:rPr>
          <w:rFonts w:ascii="Arial" w:hAnsi="Arial" w:cs="Arial"/>
          <w:bCs/>
          <w:sz w:val="24"/>
          <w:szCs w:val="24"/>
        </w:rPr>
        <w:t xml:space="preserve"> </w:t>
      </w:r>
      <w:r w:rsidR="003D444C">
        <w:rPr>
          <w:rFonts w:ascii="Arial" w:hAnsi="Arial" w:cs="Arial"/>
          <w:bCs/>
          <w:sz w:val="24"/>
          <w:szCs w:val="24"/>
        </w:rPr>
        <w:t>San</w:t>
      </w:r>
      <w:r w:rsidR="00295B51">
        <w:rPr>
          <w:rFonts w:ascii="Arial" w:hAnsi="Arial" w:cs="Arial"/>
          <w:bCs/>
          <w:sz w:val="24"/>
          <w:szCs w:val="24"/>
        </w:rPr>
        <w:t>dton</w:t>
      </w:r>
    </w:p>
    <w:p w14:paraId="4B0926DB" w14:textId="687313E9" w:rsidR="00F77585" w:rsidRDefault="00F77585" w:rsidP="007E18CD">
      <w:pPr>
        <w:spacing w:line="480" w:lineRule="auto"/>
        <w:jc w:val="both"/>
        <w:rPr>
          <w:rFonts w:ascii="Arial" w:hAnsi="Arial" w:cs="Arial"/>
          <w:bCs/>
          <w:sz w:val="24"/>
          <w:szCs w:val="24"/>
        </w:rPr>
      </w:pPr>
      <w:r>
        <w:rPr>
          <w:rFonts w:ascii="Arial" w:hAnsi="Arial" w:cs="Arial"/>
          <w:bCs/>
          <w:sz w:val="24"/>
          <w:szCs w:val="24"/>
        </w:rPr>
        <w:t>Counsel for the</w:t>
      </w:r>
      <w:r w:rsidR="00873726">
        <w:rPr>
          <w:rFonts w:ascii="Arial" w:hAnsi="Arial" w:cs="Arial"/>
          <w:bCs/>
          <w:sz w:val="24"/>
          <w:szCs w:val="24"/>
        </w:rPr>
        <w:t>1</w:t>
      </w:r>
      <w:r w:rsidR="008F1322">
        <w:rPr>
          <w:rFonts w:ascii="Arial" w:hAnsi="Arial" w:cs="Arial"/>
          <w:bCs/>
          <w:sz w:val="24"/>
          <w:szCs w:val="24"/>
        </w:rPr>
        <w:t>st,</w:t>
      </w:r>
      <w:r w:rsidR="00873726">
        <w:rPr>
          <w:rFonts w:ascii="Arial" w:hAnsi="Arial" w:cs="Arial"/>
          <w:bCs/>
          <w:sz w:val="24"/>
          <w:szCs w:val="24"/>
        </w:rPr>
        <w:t xml:space="preserve"> 2</w:t>
      </w:r>
      <w:r w:rsidR="00873726" w:rsidRPr="00873726">
        <w:rPr>
          <w:rFonts w:ascii="Arial" w:hAnsi="Arial" w:cs="Arial"/>
          <w:bCs/>
          <w:sz w:val="24"/>
          <w:szCs w:val="24"/>
          <w:vertAlign w:val="superscript"/>
        </w:rPr>
        <w:t>nd</w:t>
      </w:r>
      <w:r w:rsidR="00435404">
        <w:rPr>
          <w:rFonts w:ascii="Arial" w:hAnsi="Arial" w:cs="Arial"/>
          <w:bCs/>
          <w:sz w:val="24"/>
          <w:szCs w:val="24"/>
        </w:rPr>
        <w:t>, 3</w:t>
      </w:r>
      <w:r w:rsidR="00435404" w:rsidRPr="00435404">
        <w:rPr>
          <w:rFonts w:ascii="Arial" w:hAnsi="Arial" w:cs="Arial"/>
          <w:bCs/>
          <w:sz w:val="24"/>
          <w:szCs w:val="24"/>
          <w:vertAlign w:val="superscript"/>
        </w:rPr>
        <w:t>rd</w:t>
      </w:r>
      <w:r w:rsidR="00500C8C">
        <w:rPr>
          <w:rFonts w:ascii="Arial" w:hAnsi="Arial" w:cs="Arial"/>
          <w:bCs/>
          <w:sz w:val="24"/>
          <w:szCs w:val="24"/>
        </w:rPr>
        <w:tab/>
      </w:r>
      <w:r w:rsidR="00365E04">
        <w:rPr>
          <w:rFonts w:ascii="Arial" w:hAnsi="Arial" w:cs="Arial"/>
          <w:bCs/>
          <w:sz w:val="24"/>
          <w:szCs w:val="24"/>
        </w:rPr>
        <w:t>:</w:t>
      </w:r>
      <w:r w:rsidR="007837E0">
        <w:rPr>
          <w:rFonts w:ascii="Arial" w:hAnsi="Arial" w:cs="Arial"/>
          <w:bCs/>
          <w:sz w:val="24"/>
          <w:szCs w:val="24"/>
        </w:rPr>
        <w:t xml:space="preserve">   </w:t>
      </w:r>
      <w:r w:rsidR="0075279A">
        <w:rPr>
          <w:rFonts w:ascii="Arial" w:hAnsi="Arial" w:cs="Arial"/>
          <w:bCs/>
          <w:sz w:val="24"/>
          <w:szCs w:val="24"/>
        </w:rPr>
        <w:t>A. Beyleveld</w:t>
      </w:r>
      <w:r w:rsidR="00D20D14">
        <w:rPr>
          <w:rFonts w:ascii="Arial" w:hAnsi="Arial" w:cs="Arial"/>
          <w:bCs/>
          <w:sz w:val="24"/>
          <w:szCs w:val="24"/>
        </w:rPr>
        <w:t xml:space="preserve"> SC with K. Morris</w:t>
      </w:r>
    </w:p>
    <w:p w14:paraId="000B74F5" w14:textId="4EEA4042" w:rsidR="00365E04" w:rsidRPr="00365E04" w:rsidRDefault="0046492C" w:rsidP="007E18CD">
      <w:pPr>
        <w:spacing w:line="480" w:lineRule="auto"/>
        <w:jc w:val="both"/>
        <w:rPr>
          <w:rFonts w:ascii="Arial" w:hAnsi="Arial" w:cs="Arial"/>
          <w:bCs/>
          <w:sz w:val="24"/>
          <w:szCs w:val="24"/>
          <w:vertAlign w:val="superscript"/>
        </w:rPr>
      </w:pPr>
      <w:r>
        <w:rPr>
          <w:rFonts w:ascii="Arial" w:hAnsi="Arial" w:cs="Arial"/>
          <w:bCs/>
          <w:sz w:val="24"/>
          <w:szCs w:val="24"/>
        </w:rPr>
        <w:t xml:space="preserve"> and 4</w:t>
      </w:r>
      <w:r w:rsidRPr="0046492C">
        <w:rPr>
          <w:rFonts w:ascii="Arial" w:hAnsi="Arial" w:cs="Arial"/>
          <w:bCs/>
          <w:sz w:val="24"/>
          <w:szCs w:val="24"/>
          <w:vertAlign w:val="superscript"/>
        </w:rPr>
        <w:t>th</w:t>
      </w:r>
      <w:r>
        <w:rPr>
          <w:rFonts w:ascii="Arial" w:hAnsi="Arial" w:cs="Arial"/>
          <w:bCs/>
          <w:sz w:val="24"/>
          <w:szCs w:val="24"/>
        </w:rPr>
        <w:t xml:space="preserve"> </w:t>
      </w:r>
      <w:r w:rsidR="00365E04">
        <w:rPr>
          <w:rFonts w:ascii="Arial" w:hAnsi="Arial" w:cs="Arial"/>
          <w:bCs/>
          <w:sz w:val="24"/>
          <w:szCs w:val="24"/>
        </w:rPr>
        <w:t>respond</w:t>
      </w:r>
      <w:r w:rsidR="00500C8C">
        <w:rPr>
          <w:rFonts w:ascii="Arial" w:hAnsi="Arial" w:cs="Arial"/>
          <w:bCs/>
          <w:sz w:val="24"/>
          <w:szCs w:val="24"/>
        </w:rPr>
        <w:t>e</w:t>
      </w:r>
      <w:r w:rsidR="00365E04">
        <w:rPr>
          <w:rFonts w:ascii="Arial" w:hAnsi="Arial" w:cs="Arial"/>
          <w:bCs/>
          <w:sz w:val="24"/>
          <w:szCs w:val="24"/>
        </w:rPr>
        <w:t>nt</w:t>
      </w:r>
    </w:p>
    <w:p w14:paraId="132FBC22" w14:textId="7E8A4294" w:rsidR="001B117A" w:rsidRDefault="001B117A" w:rsidP="00A1193C">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7D1D97">
        <w:rPr>
          <w:rFonts w:ascii="Arial" w:hAnsi="Arial" w:cs="Arial"/>
          <w:bCs/>
          <w:sz w:val="24"/>
          <w:szCs w:val="24"/>
        </w:rPr>
        <w:t xml:space="preserve">Greyvensteins and </w:t>
      </w:r>
      <w:r w:rsidR="001679E2">
        <w:rPr>
          <w:rFonts w:ascii="Arial" w:hAnsi="Arial" w:cs="Arial"/>
          <w:bCs/>
          <w:sz w:val="24"/>
          <w:szCs w:val="24"/>
        </w:rPr>
        <w:t xml:space="preserve">Joubert Galpin </w:t>
      </w:r>
      <w:r w:rsidR="007D1148">
        <w:rPr>
          <w:rFonts w:ascii="Arial" w:hAnsi="Arial" w:cs="Arial"/>
          <w:bCs/>
          <w:sz w:val="24"/>
          <w:szCs w:val="24"/>
        </w:rPr>
        <w:t>Sear</w:t>
      </w:r>
      <w:r w:rsidR="00CD060F">
        <w:rPr>
          <w:rFonts w:ascii="Arial" w:hAnsi="Arial" w:cs="Arial"/>
          <w:bCs/>
          <w:sz w:val="24"/>
          <w:szCs w:val="24"/>
        </w:rPr>
        <w:t>le</w:t>
      </w:r>
      <w:r w:rsidR="007D1148">
        <w:rPr>
          <w:rFonts w:ascii="Arial" w:hAnsi="Arial" w:cs="Arial"/>
          <w:bCs/>
          <w:sz w:val="24"/>
          <w:szCs w:val="24"/>
        </w:rPr>
        <w:t xml:space="preserve"> respectively.</w:t>
      </w:r>
    </w:p>
    <w:p w14:paraId="2106136E" w14:textId="12CC08FD" w:rsidR="004C4D9D" w:rsidRDefault="004C4D9D" w:rsidP="007E18CD">
      <w:pPr>
        <w:spacing w:line="48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7D1148">
        <w:rPr>
          <w:rFonts w:ascii="Arial" w:hAnsi="Arial" w:cs="Arial"/>
          <w:bCs/>
          <w:sz w:val="24"/>
          <w:szCs w:val="24"/>
        </w:rPr>
        <w:tab/>
        <w:t xml:space="preserve">      </w:t>
      </w:r>
      <w:r>
        <w:rPr>
          <w:rFonts w:ascii="Arial" w:hAnsi="Arial" w:cs="Arial"/>
          <w:bCs/>
          <w:sz w:val="24"/>
          <w:szCs w:val="24"/>
        </w:rPr>
        <w:t>Gqeberha</w:t>
      </w:r>
    </w:p>
    <w:p w14:paraId="108E5FE4" w14:textId="198F8388" w:rsidR="004C4D9D" w:rsidRDefault="004C4D9D" w:rsidP="007E18CD">
      <w:pPr>
        <w:spacing w:line="480" w:lineRule="auto"/>
        <w:jc w:val="both"/>
        <w:rPr>
          <w:rFonts w:ascii="Arial" w:hAnsi="Arial" w:cs="Arial"/>
          <w:bCs/>
          <w:sz w:val="24"/>
          <w:szCs w:val="24"/>
        </w:rPr>
      </w:pPr>
      <w:r>
        <w:rPr>
          <w:rFonts w:ascii="Arial" w:hAnsi="Arial" w:cs="Arial"/>
          <w:bCs/>
          <w:sz w:val="24"/>
          <w:szCs w:val="24"/>
        </w:rPr>
        <w:t xml:space="preserve">Date </w:t>
      </w:r>
      <w:r w:rsidR="0011778C">
        <w:rPr>
          <w:rFonts w:ascii="Arial" w:hAnsi="Arial" w:cs="Arial"/>
          <w:bCs/>
          <w:sz w:val="24"/>
          <w:szCs w:val="24"/>
        </w:rPr>
        <w:t>h</w:t>
      </w:r>
      <w:r>
        <w:rPr>
          <w:rFonts w:ascii="Arial" w:hAnsi="Arial" w:cs="Arial"/>
          <w:bCs/>
          <w:sz w:val="24"/>
          <w:szCs w:val="24"/>
        </w:rPr>
        <w:t>ea</w:t>
      </w:r>
      <w:r w:rsidR="0008156C">
        <w:rPr>
          <w:rFonts w:ascii="Arial" w:hAnsi="Arial" w:cs="Arial"/>
          <w:bCs/>
          <w:sz w:val="24"/>
          <w:szCs w:val="24"/>
        </w:rPr>
        <w:t>rd</w:t>
      </w:r>
      <w:r w:rsidR="0008156C">
        <w:rPr>
          <w:rFonts w:ascii="Arial" w:hAnsi="Arial" w:cs="Arial"/>
          <w:bCs/>
          <w:sz w:val="24"/>
          <w:szCs w:val="24"/>
        </w:rPr>
        <w:tab/>
      </w:r>
      <w:r w:rsidR="0008156C">
        <w:rPr>
          <w:rFonts w:ascii="Arial" w:hAnsi="Arial" w:cs="Arial"/>
          <w:bCs/>
          <w:sz w:val="24"/>
          <w:szCs w:val="24"/>
        </w:rPr>
        <w:tab/>
      </w:r>
      <w:r w:rsidR="0008156C">
        <w:rPr>
          <w:rFonts w:ascii="Arial" w:hAnsi="Arial" w:cs="Arial"/>
          <w:bCs/>
          <w:sz w:val="24"/>
          <w:szCs w:val="24"/>
        </w:rPr>
        <w:tab/>
        <w:t>:</w:t>
      </w:r>
      <w:r w:rsidR="000F35FD">
        <w:rPr>
          <w:rFonts w:ascii="Arial" w:hAnsi="Arial" w:cs="Arial"/>
          <w:bCs/>
          <w:sz w:val="24"/>
          <w:szCs w:val="24"/>
        </w:rPr>
        <w:t xml:space="preserve">    </w:t>
      </w:r>
      <w:r w:rsidR="0008156C">
        <w:rPr>
          <w:rFonts w:ascii="Arial" w:hAnsi="Arial" w:cs="Arial"/>
          <w:bCs/>
          <w:sz w:val="24"/>
          <w:szCs w:val="24"/>
        </w:rPr>
        <w:t>26 October 2023</w:t>
      </w:r>
    </w:p>
    <w:p w14:paraId="0466E489" w14:textId="388187C9" w:rsidR="0011778C" w:rsidRPr="000E2A55" w:rsidRDefault="0011778C" w:rsidP="007E18CD">
      <w:pPr>
        <w:spacing w:line="480" w:lineRule="auto"/>
        <w:jc w:val="both"/>
        <w:rPr>
          <w:rFonts w:ascii="Arial" w:hAnsi="Arial" w:cs="Arial"/>
          <w:bCs/>
          <w:sz w:val="24"/>
          <w:szCs w:val="24"/>
        </w:rPr>
      </w:pPr>
      <w:r>
        <w:rPr>
          <w:rFonts w:ascii="Arial" w:hAnsi="Arial" w:cs="Arial"/>
          <w:bCs/>
          <w:sz w:val="24"/>
          <w:szCs w:val="24"/>
        </w:rPr>
        <w:t>Dat</w:t>
      </w:r>
      <w:r w:rsidR="00781E68">
        <w:rPr>
          <w:rFonts w:ascii="Arial" w:hAnsi="Arial" w:cs="Arial"/>
          <w:bCs/>
          <w:sz w:val="24"/>
          <w:szCs w:val="24"/>
        </w:rPr>
        <w:t>e</w:t>
      </w:r>
      <w:r>
        <w:rPr>
          <w:rFonts w:ascii="Arial" w:hAnsi="Arial" w:cs="Arial"/>
          <w:bCs/>
          <w:sz w:val="24"/>
          <w:szCs w:val="24"/>
        </w:rPr>
        <w:t xml:space="preserve"> delivered</w:t>
      </w:r>
      <w:r>
        <w:rPr>
          <w:rFonts w:ascii="Arial" w:hAnsi="Arial" w:cs="Arial"/>
          <w:bCs/>
          <w:sz w:val="24"/>
          <w:szCs w:val="24"/>
        </w:rPr>
        <w:tab/>
      </w:r>
      <w:r>
        <w:rPr>
          <w:rFonts w:ascii="Arial" w:hAnsi="Arial" w:cs="Arial"/>
          <w:bCs/>
          <w:sz w:val="24"/>
          <w:szCs w:val="24"/>
        </w:rPr>
        <w:tab/>
        <w:t>:</w:t>
      </w:r>
      <w:r w:rsidR="000F35FD">
        <w:rPr>
          <w:rFonts w:ascii="Arial" w:hAnsi="Arial" w:cs="Arial"/>
          <w:bCs/>
          <w:sz w:val="24"/>
          <w:szCs w:val="24"/>
        </w:rPr>
        <w:t xml:space="preserve">    </w:t>
      </w:r>
      <w:r>
        <w:rPr>
          <w:rFonts w:ascii="Arial" w:hAnsi="Arial" w:cs="Arial"/>
          <w:bCs/>
          <w:sz w:val="24"/>
          <w:szCs w:val="24"/>
        </w:rPr>
        <w:t>2</w:t>
      </w:r>
      <w:r w:rsidR="008E67E9">
        <w:rPr>
          <w:rFonts w:ascii="Arial" w:hAnsi="Arial" w:cs="Arial"/>
          <w:bCs/>
          <w:sz w:val="24"/>
          <w:szCs w:val="24"/>
        </w:rPr>
        <w:t>0</w:t>
      </w:r>
      <w:r>
        <w:rPr>
          <w:rFonts w:ascii="Arial" w:hAnsi="Arial" w:cs="Arial"/>
          <w:bCs/>
          <w:sz w:val="24"/>
          <w:szCs w:val="24"/>
        </w:rPr>
        <w:t xml:space="preserve"> December 2023</w:t>
      </w:r>
    </w:p>
    <w:sectPr w:rsidR="0011778C" w:rsidRPr="000E2A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FB0" w14:textId="77777777" w:rsidR="00E07D28" w:rsidRDefault="00E07D28" w:rsidP="006218BD">
      <w:pPr>
        <w:spacing w:after="0" w:line="240" w:lineRule="auto"/>
      </w:pPr>
      <w:r>
        <w:separator/>
      </w:r>
    </w:p>
  </w:endnote>
  <w:endnote w:type="continuationSeparator" w:id="0">
    <w:p w14:paraId="1A26EAB9" w14:textId="77777777" w:rsidR="00E07D28" w:rsidRDefault="00E07D28" w:rsidP="0062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60969"/>
      <w:docPartObj>
        <w:docPartGallery w:val="Page Numbers (Bottom of Page)"/>
        <w:docPartUnique/>
      </w:docPartObj>
    </w:sdtPr>
    <w:sdtEndPr>
      <w:rPr>
        <w:noProof/>
      </w:rPr>
    </w:sdtEndPr>
    <w:sdtContent>
      <w:p w14:paraId="33A822BB" w14:textId="17799B45" w:rsidR="006218BD" w:rsidRDefault="006218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49B89" w14:textId="77777777" w:rsidR="006218BD" w:rsidRDefault="0062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FDEF" w14:textId="77777777" w:rsidR="00E07D28" w:rsidRDefault="00E07D28" w:rsidP="006218BD">
      <w:pPr>
        <w:spacing w:after="0" w:line="240" w:lineRule="auto"/>
      </w:pPr>
      <w:r>
        <w:separator/>
      </w:r>
    </w:p>
  </w:footnote>
  <w:footnote w:type="continuationSeparator" w:id="0">
    <w:p w14:paraId="3BA74FEB" w14:textId="77777777" w:rsidR="00E07D28" w:rsidRDefault="00E07D28" w:rsidP="006218BD">
      <w:pPr>
        <w:spacing w:after="0" w:line="240" w:lineRule="auto"/>
      </w:pPr>
      <w:r>
        <w:continuationSeparator/>
      </w:r>
    </w:p>
  </w:footnote>
  <w:footnote w:id="1">
    <w:p w14:paraId="1BC6C04D" w14:textId="4C34D88D" w:rsidR="001275F9" w:rsidRDefault="001275F9">
      <w:pPr>
        <w:pStyle w:val="FootnoteText"/>
        <w:rPr>
          <w:lang w:val="en-GB"/>
        </w:rPr>
      </w:pPr>
      <w:r>
        <w:rPr>
          <w:rStyle w:val="FootnoteReference"/>
        </w:rPr>
        <w:footnoteRef/>
      </w:r>
      <w:r>
        <w:t xml:space="preserve"> </w:t>
      </w:r>
      <w:r>
        <w:rPr>
          <w:lang w:val="en-GB"/>
        </w:rPr>
        <w:t>Reddy v Siemens Telecommunications 2007 (2) SA 486 (SCA) at 497 c-f in which Malan AJA stated the</w:t>
      </w:r>
      <w:r w:rsidR="00B519E4">
        <w:rPr>
          <w:lang w:val="en-GB"/>
        </w:rPr>
        <w:t xml:space="preserve"> legal principles as follows</w:t>
      </w:r>
      <w:r>
        <w:rPr>
          <w:lang w:val="en-GB"/>
        </w:rPr>
        <w:t xml:space="preserve">.  A restraint would be </w:t>
      </w:r>
      <w:r w:rsidR="006A1A4F">
        <w:rPr>
          <w:lang w:val="en-GB"/>
        </w:rPr>
        <w:t xml:space="preserve">unenforceable if it prevents a party after termination of his or her employment from partaking in trade or commerce without a corresponding interest of the other party deserving </w:t>
      </w:r>
      <w:r w:rsidR="00F11064">
        <w:rPr>
          <w:lang w:val="en-GB"/>
        </w:rPr>
        <w:t>of protection.  Such a restraint is not in the public interest.  Moreover, a restraint which is reasonable as between the parties may for some other reason be contrary to the public interest.  In Basson v Chilwan and Others, Nienaber JA identified four questions that should be asked when considering the reasonableness of a restraint</w:t>
      </w:r>
      <w:r w:rsidR="00C84766">
        <w:rPr>
          <w:lang w:val="en-GB"/>
        </w:rPr>
        <w:t>:</w:t>
      </w:r>
      <w:r w:rsidR="00F11064">
        <w:rPr>
          <w:lang w:val="en-GB"/>
        </w:rPr>
        <w:t xml:space="preserve"> (a) Does the one party have an interest that deserves protection after termination of the agreement?</w:t>
      </w:r>
      <w:r w:rsidR="00D037BB">
        <w:rPr>
          <w:lang w:val="en-GB"/>
        </w:rPr>
        <w:t xml:space="preserve"> (b) If so, is that interest threatened by the other party? (c) In that case</w:t>
      </w:r>
      <w:r w:rsidR="00404B61">
        <w:rPr>
          <w:lang w:val="en-GB"/>
        </w:rPr>
        <w:t>,</w:t>
      </w:r>
      <w:r w:rsidR="00D037BB">
        <w:rPr>
          <w:lang w:val="en-GB"/>
        </w:rPr>
        <w:t xml:space="preserve"> does such interest weigh qualitatively ad quantitatively against the interest of the</w:t>
      </w:r>
      <w:r w:rsidR="00EC254D">
        <w:rPr>
          <w:lang w:val="en-GB"/>
        </w:rPr>
        <w:t xml:space="preserve"> other party not to be economically inactive and unproductive?  (d) Is there an aspect of public policy having nothing to do with the relationship between the parties that requires that the restraint be mentioned or rejected?  Where the interest of the party sought to be restrained </w:t>
      </w:r>
      <w:r w:rsidR="00B519E4">
        <w:rPr>
          <w:lang w:val="en-GB"/>
        </w:rPr>
        <w:t xml:space="preserve">weighs more than the interest to be protected, the restraint </w:t>
      </w:r>
      <w:r w:rsidR="00826C86">
        <w:rPr>
          <w:lang w:val="en-GB"/>
        </w:rPr>
        <w:t xml:space="preserve">is unreasonable and consequently </w:t>
      </w:r>
      <w:r w:rsidR="00CE4146">
        <w:rPr>
          <w:lang w:val="en-GB"/>
        </w:rPr>
        <w:t>unenforceable</w:t>
      </w:r>
      <w:r w:rsidR="00826C86">
        <w:rPr>
          <w:lang w:val="en-GB"/>
        </w:rPr>
        <w:t>.  The enquiry which is undertaken at the time of enforcement covers a wide field and includes the nature, extent and duration of the restraint and factors peculiar to the parties and their respective bargaining powers and interests.</w:t>
      </w:r>
    </w:p>
    <w:p w14:paraId="68B08DAD" w14:textId="77777777" w:rsidR="00B519E4" w:rsidRPr="001275F9" w:rsidRDefault="00B519E4">
      <w:pPr>
        <w:pStyle w:val="FootnoteText"/>
        <w:rPr>
          <w:lang w:val="en-GB"/>
        </w:rPr>
      </w:pPr>
    </w:p>
  </w:footnote>
  <w:footnote w:id="2">
    <w:p w14:paraId="4D07C0D4" w14:textId="583817E3" w:rsidR="009A3BA8" w:rsidRPr="009A3BA8" w:rsidRDefault="009A3BA8">
      <w:pPr>
        <w:pStyle w:val="FootnoteText"/>
        <w:rPr>
          <w:lang w:val="en-GB"/>
        </w:rPr>
      </w:pPr>
      <w:r>
        <w:rPr>
          <w:rStyle w:val="FootnoteReference"/>
        </w:rPr>
        <w:footnoteRef/>
      </w:r>
      <w:r>
        <w:t xml:space="preserve"> </w:t>
      </w:r>
      <w:r>
        <w:rPr>
          <w:lang w:val="en-GB"/>
        </w:rPr>
        <w:t>New Justfun Group (Pty) Ltd v Turner and Other (2018) 39 ILJ 2721 (LC) para 20</w:t>
      </w:r>
    </w:p>
  </w:footnote>
  <w:footnote w:id="3">
    <w:p w14:paraId="606BAFB2" w14:textId="2633A68C" w:rsidR="003F2E5C" w:rsidRPr="00C928D2" w:rsidRDefault="003F2E5C" w:rsidP="003F2E5C">
      <w:pPr>
        <w:pStyle w:val="FootnoteText"/>
        <w:rPr>
          <w:lang w:val="en-GB"/>
        </w:rPr>
      </w:pPr>
      <w:r>
        <w:rPr>
          <w:rStyle w:val="FootnoteReference"/>
        </w:rPr>
        <w:footnoteRef/>
      </w:r>
      <w:r>
        <w:t xml:space="preserve"> </w:t>
      </w:r>
      <w:r>
        <w:rPr>
          <w:lang w:val="en-GB"/>
        </w:rPr>
        <w:t xml:space="preserve">Rawlins and Another v </w:t>
      </w:r>
      <w:r w:rsidR="0026184B">
        <w:rPr>
          <w:lang w:val="en-GB"/>
        </w:rPr>
        <w:t>Caravan</w:t>
      </w:r>
      <w:r w:rsidR="00A454A9">
        <w:rPr>
          <w:lang w:val="en-GB"/>
        </w:rPr>
        <w:t>t</w:t>
      </w:r>
      <w:r w:rsidR="0026184B">
        <w:rPr>
          <w:lang w:val="en-GB"/>
        </w:rPr>
        <w:t>ruck</w:t>
      </w:r>
      <w:r>
        <w:rPr>
          <w:lang w:val="en-GB"/>
        </w:rPr>
        <w:t xml:space="preserve"> (Pty) Ltd 1993 (1) SA 537 at 541</w:t>
      </w:r>
      <w:r w:rsidR="00ED66C0">
        <w:rPr>
          <w:lang w:val="en-GB"/>
        </w:rPr>
        <w:t xml:space="preserve"> D-H</w:t>
      </w:r>
      <w:r>
        <w:rPr>
          <w:lang w:val="en-GB"/>
        </w:rPr>
        <w:t>.</w:t>
      </w:r>
    </w:p>
  </w:footnote>
  <w:footnote w:id="4">
    <w:p w14:paraId="2CDEAC82" w14:textId="53C0777D" w:rsidR="00BB66AA" w:rsidRPr="00BB66AA" w:rsidRDefault="00BB66AA">
      <w:pPr>
        <w:pStyle w:val="FootnoteText"/>
        <w:rPr>
          <w:lang w:val="en-GB"/>
        </w:rPr>
      </w:pPr>
      <w:r>
        <w:rPr>
          <w:rStyle w:val="FootnoteReference"/>
        </w:rPr>
        <w:footnoteRef/>
      </w:r>
      <w:r>
        <w:t xml:space="preserve"> </w:t>
      </w:r>
      <w:r>
        <w:rPr>
          <w:lang w:val="en-GB"/>
        </w:rPr>
        <w:t>Bobotyana and Others v Dyantyi and Others 2021 (1) SA 386 (ECG)</w:t>
      </w:r>
    </w:p>
  </w:footnote>
  <w:footnote w:id="5">
    <w:p w14:paraId="6F369F31" w14:textId="65091FA9" w:rsidR="00F70482" w:rsidRPr="00F70482" w:rsidRDefault="00F70482">
      <w:pPr>
        <w:pStyle w:val="FootnoteText"/>
        <w:rPr>
          <w:lang w:val="en-GB"/>
        </w:rPr>
      </w:pPr>
      <w:r>
        <w:rPr>
          <w:rStyle w:val="FootnoteReference"/>
        </w:rPr>
        <w:footnoteRef/>
      </w:r>
      <w:r>
        <w:t xml:space="preserve"> </w:t>
      </w:r>
      <w:r>
        <w:rPr>
          <w:lang w:val="en-GB"/>
        </w:rPr>
        <w:t>Luna Me</w:t>
      </w:r>
      <w:r w:rsidR="003C2679">
        <w:rPr>
          <w:lang w:val="en-GB"/>
        </w:rPr>
        <w:t>u</w:t>
      </w:r>
      <w:r>
        <w:rPr>
          <w:lang w:val="en-GB"/>
        </w:rPr>
        <w:t xml:space="preserve">belvervaardigers (Edms) vs Makin and Another t/a Makin’s Furniture Manufactures 1977 (4) SA 135(W) at </w:t>
      </w:r>
      <w:r w:rsidR="00835250">
        <w:rPr>
          <w:lang w:val="en-GB"/>
        </w:rPr>
        <w:t>pg.</w:t>
      </w:r>
      <w:r>
        <w:rPr>
          <w:lang w:val="en-GB"/>
        </w:rPr>
        <w:t xml:space="preserve"> 137 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ADA"/>
    <w:multiLevelType w:val="hybridMultilevel"/>
    <w:tmpl w:val="3402788E"/>
    <w:lvl w:ilvl="0" w:tplc="A5509A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447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49"/>
    <w:rsid w:val="00000923"/>
    <w:rsid w:val="000017C1"/>
    <w:rsid w:val="00005CEE"/>
    <w:rsid w:val="000072BA"/>
    <w:rsid w:val="00007906"/>
    <w:rsid w:val="000103A8"/>
    <w:rsid w:val="00011FEC"/>
    <w:rsid w:val="000135F5"/>
    <w:rsid w:val="00014306"/>
    <w:rsid w:val="000216F5"/>
    <w:rsid w:val="0002221A"/>
    <w:rsid w:val="000248EB"/>
    <w:rsid w:val="0002785C"/>
    <w:rsid w:val="00031073"/>
    <w:rsid w:val="000348B7"/>
    <w:rsid w:val="00035120"/>
    <w:rsid w:val="0003774F"/>
    <w:rsid w:val="000377FB"/>
    <w:rsid w:val="00041102"/>
    <w:rsid w:val="0004138D"/>
    <w:rsid w:val="000435B0"/>
    <w:rsid w:val="00045EAB"/>
    <w:rsid w:val="00046286"/>
    <w:rsid w:val="000467B3"/>
    <w:rsid w:val="00047022"/>
    <w:rsid w:val="000544C0"/>
    <w:rsid w:val="00054707"/>
    <w:rsid w:val="00055955"/>
    <w:rsid w:val="00055E2B"/>
    <w:rsid w:val="00061B89"/>
    <w:rsid w:val="00063E33"/>
    <w:rsid w:val="00067FD1"/>
    <w:rsid w:val="00070A25"/>
    <w:rsid w:val="00077E79"/>
    <w:rsid w:val="00080F94"/>
    <w:rsid w:val="0008156C"/>
    <w:rsid w:val="00084A8F"/>
    <w:rsid w:val="00085E04"/>
    <w:rsid w:val="00086F6E"/>
    <w:rsid w:val="000928B8"/>
    <w:rsid w:val="00093A6F"/>
    <w:rsid w:val="00094104"/>
    <w:rsid w:val="00094850"/>
    <w:rsid w:val="00095729"/>
    <w:rsid w:val="000A0552"/>
    <w:rsid w:val="000A1C49"/>
    <w:rsid w:val="000A4096"/>
    <w:rsid w:val="000A5A3D"/>
    <w:rsid w:val="000A6737"/>
    <w:rsid w:val="000B4AC9"/>
    <w:rsid w:val="000B6085"/>
    <w:rsid w:val="000B669E"/>
    <w:rsid w:val="000C0474"/>
    <w:rsid w:val="000C15CA"/>
    <w:rsid w:val="000C3753"/>
    <w:rsid w:val="000C3C9C"/>
    <w:rsid w:val="000C62F5"/>
    <w:rsid w:val="000C6C0E"/>
    <w:rsid w:val="000C70ED"/>
    <w:rsid w:val="000C7AC5"/>
    <w:rsid w:val="000D2D70"/>
    <w:rsid w:val="000D306D"/>
    <w:rsid w:val="000D44E4"/>
    <w:rsid w:val="000D4645"/>
    <w:rsid w:val="000E14EB"/>
    <w:rsid w:val="000E2A55"/>
    <w:rsid w:val="000E2B92"/>
    <w:rsid w:val="000E56CA"/>
    <w:rsid w:val="000F23AC"/>
    <w:rsid w:val="000F35FD"/>
    <w:rsid w:val="000F377E"/>
    <w:rsid w:val="000F560C"/>
    <w:rsid w:val="000F5C23"/>
    <w:rsid w:val="000F70CB"/>
    <w:rsid w:val="00110775"/>
    <w:rsid w:val="00116705"/>
    <w:rsid w:val="00116D82"/>
    <w:rsid w:val="0011778C"/>
    <w:rsid w:val="00122634"/>
    <w:rsid w:val="00125D10"/>
    <w:rsid w:val="001275F9"/>
    <w:rsid w:val="00127BAA"/>
    <w:rsid w:val="0013616A"/>
    <w:rsid w:val="001413F8"/>
    <w:rsid w:val="0014332D"/>
    <w:rsid w:val="00144130"/>
    <w:rsid w:val="00144847"/>
    <w:rsid w:val="001462AF"/>
    <w:rsid w:val="0014683D"/>
    <w:rsid w:val="001509CE"/>
    <w:rsid w:val="001522FB"/>
    <w:rsid w:val="0015234B"/>
    <w:rsid w:val="00153CED"/>
    <w:rsid w:val="00155A31"/>
    <w:rsid w:val="001620E9"/>
    <w:rsid w:val="00162D14"/>
    <w:rsid w:val="00166621"/>
    <w:rsid w:val="001679E2"/>
    <w:rsid w:val="00170712"/>
    <w:rsid w:val="00173A90"/>
    <w:rsid w:val="001801EB"/>
    <w:rsid w:val="00180582"/>
    <w:rsid w:val="00187FFE"/>
    <w:rsid w:val="001919B1"/>
    <w:rsid w:val="00195608"/>
    <w:rsid w:val="001A150A"/>
    <w:rsid w:val="001A449D"/>
    <w:rsid w:val="001A526F"/>
    <w:rsid w:val="001A6282"/>
    <w:rsid w:val="001A7182"/>
    <w:rsid w:val="001A7378"/>
    <w:rsid w:val="001A7806"/>
    <w:rsid w:val="001B026E"/>
    <w:rsid w:val="001B117A"/>
    <w:rsid w:val="001B12FB"/>
    <w:rsid w:val="001B279D"/>
    <w:rsid w:val="001B5779"/>
    <w:rsid w:val="001B5AB9"/>
    <w:rsid w:val="001C0D94"/>
    <w:rsid w:val="001C1069"/>
    <w:rsid w:val="001C1DE0"/>
    <w:rsid w:val="001C5344"/>
    <w:rsid w:val="001C5360"/>
    <w:rsid w:val="001D214D"/>
    <w:rsid w:val="001D29DF"/>
    <w:rsid w:val="001D3242"/>
    <w:rsid w:val="001D5582"/>
    <w:rsid w:val="001D5798"/>
    <w:rsid w:val="001D6FFD"/>
    <w:rsid w:val="001E3471"/>
    <w:rsid w:val="001E54BE"/>
    <w:rsid w:val="001F4F49"/>
    <w:rsid w:val="00203E05"/>
    <w:rsid w:val="0020410E"/>
    <w:rsid w:val="002065F5"/>
    <w:rsid w:val="0021145C"/>
    <w:rsid w:val="00214FD5"/>
    <w:rsid w:val="00220AF6"/>
    <w:rsid w:val="00221075"/>
    <w:rsid w:val="002221F6"/>
    <w:rsid w:val="00224125"/>
    <w:rsid w:val="00225777"/>
    <w:rsid w:val="00226DA9"/>
    <w:rsid w:val="00227E01"/>
    <w:rsid w:val="00230040"/>
    <w:rsid w:val="00230879"/>
    <w:rsid w:val="00230E28"/>
    <w:rsid w:val="00235891"/>
    <w:rsid w:val="002366D8"/>
    <w:rsid w:val="00237676"/>
    <w:rsid w:val="00240208"/>
    <w:rsid w:val="002419F6"/>
    <w:rsid w:val="0024266C"/>
    <w:rsid w:val="00244037"/>
    <w:rsid w:val="00244D98"/>
    <w:rsid w:val="002468EE"/>
    <w:rsid w:val="00250D83"/>
    <w:rsid w:val="00251016"/>
    <w:rsid w:val="002519FD"/>
    <w:rsid w:val="0025226F"/>
    <w:rsid w:val="00254F47"/>
    <w:rsid w:val="00255738"/>
    <w:rsid w:val="0026184B"/>
    <w:rsid w:val="0026204C"/>
    <w:rsid w:val="002629CC"/>
    <w:rsid w:val="0026464E"/>
    <w:rsid w:val="00264D5C"/>
    <w:rsid w:val="002672C1"/>
    <w:rsid w:val="002747A2"/>
    <w:rsid w:val="00275C4C"/>
    <w:rsid w:val="00282219"/>
    <w:rsid w:val="00282C12"/>
    <w:rsid w:val="002855E1"/>
    <w:rsid w:val="002905E0"/>
    <w:rsid w:val="00291387"/>
    <w:rsid w:val="00291770"/>
    <w:rsid w:val="00292B75"/>
    <w:rsid w:val="00293222"/>
    <w:rsid w:val="00295B51"/>
    <w:rsid w:val="002A189C"/>
    <w:rsid w:val="002A2873"/>
    <w:rsid w:val="002A41A0"/>
    <w:rsid w:val="002A4CA7"/>
    <w:rsid w:val="002A5D78"/>
    <w:rsid w:val="002B074F"/>
    <w:rsid w:val="002B2343"/>
    <w:rsid w:val="002B3631"/>
    <w:rsid w:val="002B3775"/>
    <w:rsid w:val="002B3963"/>
    <w:rsid w:val="002B7890"/>
    <w:rsid w:val="002C27C7"/>
    <w:rsid w:val="002D0501"/>
    <w:rsid w:val="002E1CCF"/>
    <w:rsid w:val="002E3463"/>
    <w:rsid w:val="002E3850"/>
    <w:rsid w:val="002E55FC"/>
    <w:rsid w:val="002E5A7A"/>
    <w:rsid w:val="002E66FB"/>
    <w:rsid w:val="002F0413"/>
    <w:rsid w:val="002F18AF"/>
    <w:rsid w:val="002F1E14"/>
    <w:rsid w:val="002F2E8C"/>
    <w:rsid w:val="00302C13"/>
    <w:rsid w:val="00305159"/>
    <w:rsid w:val="0030528F"/>
    <w:rsid w:val="003078F6"/>
    <w:rsid w:val="003132D3"/>
    <w:rsid w:val="00313A05"/>
    <w:rsid w:val="00314061"/>
    <w:rsid w:val="003149A6"/>
    <w:rsid w:val="00315331"/>
    <w:rsid w:val="003179D2"/>
    <w:rsid w:val="003209B3"/>
    <w:rsid w:val="0032137F"/>
    <w:rsid w:val="003231D8"/>
    <w:rsid w:val="00327612"/>
    <w:rsid w:val="00337838"/>
    <w:rsid w:val="003378C9"/>
    <w:rsid w:val="003400FC"/>
    <w:rsid w:val="00341D5F"/>
    <w:rsid w:val="00342B3C"/>
    <w:rsid w:val="00344B29"/>
    <w:rsid w:val="00345246"/>
    <w:rsid w:val="00346008"/>
    <w:rsid w:val="00346BE1"/>
    <w:rsid w:val="00353BA8"/>
    <w:rsid w:val="00353D05"/>
    <w:rsid w:val="003545F6"/>
    <w:rsid w:val="003552AD"/>
    <w:rsid w:val="003611E4"/>
    <w:rsid w:val="0036292F"/>
    <w:rsid w:val="0036476C"/>
    <w:rsid w:val="003649B4"/>
    <w:rsid w:val="00365E04"/>
    <w:rsid w:val="00372DB7"/>
    <w:rsid w:val="00373F32"/>
    <w:rsid w:val="003744B4"/>
    <w:rsid w:val="00375EDF"/>
    <w:rsid w:val="003776FB"/>
    <w:rsid w:val="00377A41"/>
    <w:rsid w:val="003805EE"/>
    <w:rsid w:val="00381070"/>
    <w:rsid w:val="00382938"/>
    <w:rsid w:val="00384A7D"/>
    <w:rsid w:val="003913B6"/>
    <w:rsid w:val="00394836"/>
    <w:rsid w:val="00395CAE"/>
    <w:rsid w:val="00395D02"/>
    <w:rsid w:val="00397AEB"/>
    <w:rsid w:val="003A2E16"/>
    <w:rsid w:val="003A2FD3"/>
    <w:rsid w:val="003A6891"/>
    <w:rsid w:val="003A6914"/>
    <w:rsid w:val="003B1304"/>
    <w:rsid w:val="003B1B06"/>
    <w:rsid w:val="003B31FD"/>
    <w:rsid w:val="003B4C70"/>
    <w:rsid w:val="003B518A"/>
    <w:rsid w:val="003B535B"/>
    <w:rsid w:val="003B63DA"/>
    <w:rsid w:val="003C179F"/>
    <w:rsid w:val="003C1D35"/>
    <w:rsid w:val="003C2679"/>
    <w:rsid w:val="003C284A"/>
    <w:rsid w:val="003C6E3E"/>
    <w:rsid w:val="003C76A1"/>
    <w:rsid w:val="003C7A10"/>
    <w:rsid w:val="003C7C9B"/>
    <w:rsid w:val="003D13E3"/>
    <w:rsid w:val="003D1415"/>
    <w:rsid w:val="003D444C"/>
    <w:rsid w:val="003D6D26"/>
    <w:rsid w:val="003E07B7"/>
    <w:rsid w:val="003E21BD"/>
    <w:rsid w:val="003E4B7B"/>
    <w:rsid w:val="003E78A1"/>
    <w:rsid w:val="003F10FF"/>
    <w:rsid w:val="003F2E5C"/>
    <w:rsid w:val="003F3727"/>
    <w:rsid w:val="003F40BD"/>
    <w:rsid w:val="003F5E79"/>
    <w:rsid w:val="003F6E43"/>
    <w:rsid w:val="00401123"/>
    <w:rsid w:val="004014D4"/>
    <w:rsid w:val="00401555"/>
    <w:rsid w:val="00404B61"/>
    <w:rsid w:val="00405701"/>
    <w:rsid w:val="00405D34"/>
    <w:rsid w:val="00406687"/>
    <w:rsid w:val="0040688E"/>
    <w:rsid w:val="004112B5"/>
    <w:rsid w:val="004136C2"/>
    <w:rsid w:val="00417437"/>
    <w:rsid w:val="00423BBC"/>
    <w:rsid w:val="00426988"/>
    <w:rsid w:val="00430F7A"/>
    <w:rsid w:val="00432D0A"/>
    <w:rsid w:val="004330B3"/>
    <w:rsid w:val="004334F4"/>
    <w:rsid w:val="00435404"/>
    <w:rsid w:val="004410A5"/>
    <w:rsid w:val="00441D36"/>
    <w:rsid w:val="0044358A"/>
    <w:rsid w:val="0044521C"/>
    <w:rsid w:val="00445DA7"/>
    <w:rsid w:val="00445F15"/>
    <w:rsid w:val="00450F0B"/>
    <w:rsid w:val="004520B8"/>
    <w:rsid w:val="00452DFD"/>
    <w:rsid w:val="00455694"/>
    <w:rsid w:val="004572DA"/>
    <w:rsid w:val="0046492C"/>
    <w:rsid w:val="004675CC"/>
    <w:rsid w:val="0047162C"/>
    <w:rsid w:val="004756E6"/>
    <w:rsid w:val="00476D75"/>
    <w:rsid w:val="00483E26"/>
    <w:rsid w:val="00485839"/>
    <w:rsid w:val="004916DE"/>
    <w:rsid w:val="00495F7B"/>
    <w:rsid w:val="004965F6"/>
    <w:rsid w:val="00497FE4"/>
    <w:rsid w:val="004A10AE"/>
    <w:rsid w:val="004A5563"/>
    <w:rsid w:val="004A5CE2"/>
    <w:rsid w:val="004B00C0"/>
    <w:rsid w:val="004B75EF"/>
    <w:rsid w:val="004C1B78"/>
    <w:rsid w:val="004C432C"/>
    <w:rsid w:val="004C4D9D"/>
    <w:rsid w:val="004C5A6D"/>
    <w:rsid w:val="004C601C"/>
    <w:rsid w:val="004C7F0E"/>
    <w:rsid w:val="004D080C"/>
    <w:rsid w:val="004D1654"/>
    <w:rsid w:val="004D4DFB"/>
    <w:rsid w:val="004D6497"/>
    <w:rsid w:val="004E0C4A"/>
    <w:rsid w:val="004E557A"/>
    <w:rsid w:val="004E6053"/>
    <w:rsid w:val="004E6AA1"/>
    <w:rsid w:val="004E7283"/>
    <w:rsid w:val="004F032E"/>
    <w:rsid w:val="004F065A"/>
    <w:rsid w:val="004F3AA4"/>
    <w:rsid w:val="004F4149"/>
    <w:rsid w:val="004F74BC"/>
    <w:rsid w:val="00500C8C"/>
    <w:rsid w:val="00502071"/>
    <w:rsid w:val="00506263"/>
    <w:rsid w:val="00512D60"/>
    <w:rsid w:val="0051478B"/>
    <w:rsid w:val="005158A4"/>
    <w:rsid w:val="005208AD"/>
    <w:rsid w:val="0052265F"/>
    <w:rsid w:val="00525C43"/>
    <w:rsid w:val="00526158"/>
    <w:rsid w:val="00527CFA"/>
    <w:rsid w:val="00531DAC"/>
    <w:rsid w:val="00532D44"/>
    <w:rsid w:val="005418A7"/>
    <w:rsid w:val="005504B0"/>
    <w:rsid w:val="00556AC5"/>
    <w:rsid w:val="00556C57"/>
    <w:rsid w:val="005576ED"/>
    <w:rsid w:val="00565DDE"/>
    <w:rsid w:val="0057400C"/>
    <w:rsid w:val="00576BB7"/>
    <w:rsid w:val="005776EB"/>
    <w:rsid w:val="00580B6C"/>
    <w:rsid w:val="00581CC3"/>
    <w:rsid w:val="00582F47"/>
    <w:rsid w:val="0058346E"/>
    <w:rsid w:val="00585A09"/>
    <w:rsid w:val="00587C6A"/>
    <w:rsid w:val="00595105"/>
    <w:rsid w:val="0059565F"/>
    <w:rsid w:val="005966E8"/>
    <w:rsid w:val="00597F09"/>
    <w:rsid w:val="005A0800"/>
    <w:rsid w:val="005A1C9B"/>
    <w:rsid w:val="005A369D"/>
    <w:rsid w:val="005A3770"/>
    <w:rsid w:val="005A3A7E"/>
    <w:rsid w:val="005A41B5"/>
    <w:rsid w:val="005A64B7"/>
    <w:rsid w:val="005B0621"/>
    <w:rsid w:val="005B2933"/>
    <w:rsid w:val="005B2B7F"/>
    <w:rsid w:val="005B5903"/>
    <w:rsid w:val="005B5A3F"/>
    <w:rsid w:val="005C0A33"/>
    <w:rsid w:val="005C343B"/>
    <w:rsid w:val="005C3532"/>
    <w:rsid w:val="005C49A5"/>
    <w:rsid w:val="005C5C7C"/>
    <w:rsid w:val="005D0878"/>
    <w:rsid w:val="005D35CE"/>
    <w:rsid w:val="005D3B4D"/>
    <w:rsid w:val="005D613E"/>
    <w:rsid w:val="005D6CA3"/>
    <w:rsid w:val="005E2B0F"/>
    <w:rsid w:val="005E6DD6"/>
    <w:rsid w:val="005E7D4B"/>
    <w:rsid w:val="005F143D"/>
    <w:rsid w:val="005F41BA"/>
    <w:rsid w:val="00601FAD"/>
    <w:rsid w:val="00602209"/>
    <w:rsid w:val="00603DA9"/>
    <w:rsid w:val="00605DA4"/>
    <w:rsid w:val="0060666C"/>
    <w:rsid w:val="00606AFD"/>
    <w:rsid w:val="0060767E"/>
    <w:rsid w:val="006125AB"/>
    <w:rsid w:val="00612698"/>
    <w:rsid w:val="00614936"/>
    <w:rsid w:val="006218BD"/>
    <w:rsid w:val="00621FFB"/>
    <w:rsid w:val="00622173"/>
    <w:rsid w:val="006252F3"/>
    <w:rsid w:val="00626839"/>
    <w:rsid w:val="006270F6"/>
    <w:rsid w:val="00632156"/>
    <w:rsid w:val="0063268C"/>
    <w:rsid w:val="006328CF"/>
    <w:rsid w:val="006356EF"/>
    <w:rsid w:val="00635AE3"/>
    <w:rsid w:val="006364C8"/>
    <w:rsid w:val="00643718"/>
    <w:rsid w:val="00645099"/>
    <w:rsid w:val="00651696"/>
    <w:rsid w:val="006531B7"/>
    <w:rsid w:val="00654F09"/>
    <w:rsid w:val="0065560A"/>
    <w:rsid w:val="006556CA"/>
    <w:rsid w:val="0065614C"/>
    <w:rsid w:val="00656232"/>
    <w:rsid w:val="00661002"/>
    <w:rsid w:val="00665B35"/>
    <w:rsid w:val="00665EDA"/>
    <w:rsid w:val="00666B06"/>
    <w:rsid w:val="006719FB"/>
    <w:rsid w:val="00671BAD"/>
    <w:rsid w:val="006730C8"/>
    <w:rsid w:val="00676FBF"/>
    <w:rsid w:val="00682548"/>
    <w:rsid w:val="00682754"/>
    <w:rsid w:val="00683E16"/>
    <w:rsid w:val="006849A5"/>
    <w:rsid w:val="0069246A"/>
    <w:rsid w:val="00693058"/>
    <w:rsid w:val="00695EEB"/>
    <w:rsid w:val="0069608B"/>
    <w:rsid w:val="00696D71"/>
    <w:rsid w:val="006A1A4F"/>
    <w:rsid w:val="006A2412"/>
    <w:rsid w:val="006A3661"/>
    <w:rsid w:val="006A3F7A"/>
    <w:rsid w:val="006A4236"/>
    <w:rsid w:val="006A4A0B"/>
    <w:rsid w:val="006A5C79"/>
    <w:rsid w:val="006A7324"/>
    <w:rsid w:val="006A7436"/>
    <w:rsid w:val="006B3A03"/>
    <w:rsid w:val="006B48C4"/>
    <w:rsid w:val="006B50E1"/>
    <w:rsid w:val="006C0A98"/>
    <w:rsid w:val="006C2AE4"/>
    <w:rsid w:val="006C53AF"/>
    <w:rsid w:val="006D159D"/>
    <w:rsid w:val="006D2103"/>
    <w:rsid w:val="006D3B98"/>
    <w:rsid w:val="006D5741"/>
    <w:rsid w:val="006E61C2"/>
    <w:rsid w:val="006F055B"/>
    <w:rsid w:val="006F3E62"/>
    <w:rsid w:val="006F5A10"/>
    <w:rsid w:val="006F64F5"/>
    <w:rsid w:val="007010DA"/>
    <w:rsid w:val="0070251A"/>
    <w:rsid w:val="00702E23"/>
    <w:rsid w:val="00714B5D"/>
    <w:rsid w:val="00715B6B"/>
    <w:rsid w:val="0071660A"/>
    <w:rsid w:val="00716AEB"/>
    <w:rsid w:val="00720AC3"/>
    <w:rsid w:val="007219E6"/>
    <w:rsid w:val="00726185"/>
    <w:rsid w:val="00726CAA"/>
    <w:rsid w:val="007322F2"/>
    <w:rsid w:val="00735BBC"/>
    <w:rsid w:val="00735F45"/>
    <w:rsid w:val="00740294"/>
    <w:rsid w:val="00742B80"/>
    <w:rsid w:val="00742D94"/>
    <w:rsid w:val="00745D6C"/>
    <w:rsid w:val="00752154"/>
    <w:rsid w:val="0075279A"/>
    <w:rsid w:val="00754076"/>
    <w:rsid w:val="00754CE0"/>
    <w:rsid w:val="00755545"/>
    <w:rsid w:val="007568A9"/>
    <w:rsid w:val="00756F5E"/>
    <w:rsid w:val="00765DD6"/>
    <w:rsid w:val="00771949"/>
    <w:rsid w:val="00772FFD"/>
    <w:rsid w:val="00774485"/>
    <w:rsid w:val="007754CD"/>
    <w:rsid w:val="00775890"/>
    <w:rsid w:val="00775AD8"/>
    <w:rsid w:val="007804D7"/>
    <w:rsid w:val="00781E68"/>
    <w:rsid w:val="00781F96"/>
    <w:rsid w:val="007829F7"/>
    <w:rsid w:val="007837E0"/>
    <w:rsid w:val="00790E7F"/>
    <w:rsid w:val="007917E9"/>
    <w:rsid w:val="00795346"/>
    <w:rsid w:val="007953CD"/>
    <w:rsid w:val="007A25A5"/>
    <w:rsid w:val="007A2C46"/>
    <w:rsid w:val="007A6314"/>
    <w:rsid w:val="007A7976"/>
    <w:rsid w:val="007B3DE6"/>
    <w:rsid w:val="007B767E"/>
    <w:rsid w:val="007B7F2E"/>
    <w:rsid w:val="007C4559"/>
    <w:rsid w:val="007C4574"/>
    <w:rsid w:val="007C5240"/>
    <w:rsid w:val="007C66B2"/>
    <w:rsid w:val="007C7C6F"/>
    <w:rsid w:val="007D077B"/>
    <w:rsid w:val="007D1148"/>
    <w:rsid w:val="007D1D97"/>
    <w:rsid w:val="007D222F"/>
    <w:rsid w:val="007D3692"/>
    <w:rsid w:val="007D4982"/>
    <w:rsid w:val="007D62C4"/>
    <w:rsid w:val="007D72A3"/>
    <w:rsid w:val="007E0D70"/>
    <w:rsid w:val="007E18CD"/>
    <w:rsid w:val="007E2CDF"/>
    <w:rsid w:val="007E3862"/>
    <w:rsid w:val="007E495F"/>
    <w:rsid w:val="007E5C44"/>
    <w:rsid w:val="007E5C51"/>
    <w:rsid w:val="007E7999"/>
    <w:rsid w:val="007F188A"/>
    <w:rsid w:val="007F222E"/>
    <w:rsid w:val="007F2E4B"/>
    <w:rsid w:val="007F604D"/>
    <w:rsid w:val="007F692D"/>
    <w:rsid w:val="00804C0B"/>
    <w:rsid w:val="0080553B"/>
    <w:rsid w:val="0081009E"/>
    <w:rsid w:val="0081050C"/>
    <w:rsid w:val="00810E57"/>
    <w:rsid w:val="00811D3E"/>
    <w:rsid w:val="0081304E"/>
    <w:rsid w:val="008142D7"/>
    <w:rsid w:val="00814772"/>
    <w:rsid w:val="00816AA2"/>
    <w:rsid w:val="00817BC8"/>
    <w:rsid w:val="00817F31"/>
    <w:rsid w:val="0082084D"/>
    <w:rsid w:val="008214FD"/>
    <w:rsid w:val="00826C86"/>
    <w:rsid w:val="00830795"/>
    <w:rsid w:val="008311A6"/>
    <w:rsid w:val="008315DE"/>
    <w:rsid w:val="00832AC9"/>
    <w:rsid w:val="008335DC"/>
    <w:rsid w:val="00835250"/>
    <w:rsid w:val="008362E5"/>
    <w:rsid w:val="00842F42"/>
    <w:rsid w:val="0085416F"/>
    <w:rsid w:val="0085450E"/>
    <w:rsid w:val="008546C6"/>
    <w:rsid w:val="008575E2"/>
    <w:rsid w:val="0086129B"/>
    <w:rsid w:val="008637BE"/>
    <w:rsid w:val="00865770"/>
    <w:rsid w:val="00873555"/>
    <w:rsid w:val="00873726"/>
    <w:rsid w:val="00875304"/>
    <w:rsid w:val="008765F7"/>
    <w:rsid w:val="008816AB"/>
    <w:rsid w:val="0088337B"/>
    <w:rsid w:val="0088473A"/>
    <w:rsid w:val="00884871"/>
    <w:rsid w:val="008859C6"/>
    <w:rsid w:val="00886C69"/>
    <w:rsid w:val="008919F2"/>
    <w:rsid w:val="00893368"/>
    <w:rsid w:val="008946B8"/>
    <w:rsid w:val="008950E0"/>
    <w:rsid w:val="008A1857"/>
    <w:rsid w:val="008A1F41"/>
    <w:rsid w:val="008A6648"/>
    <w:rsid w:val="008A6F4E"/>
    <w:rsid w:val="008A7307"/>
    <w:rsid w:val="008B071F"/>
    <w:rsid w:val="008B4611"/>
    <w:rsid w:val="008B6420"/>
    <w:rsid w:val="008B6AF5"/>
    <w:rsid w:val="008B7161"/>
    <w:rsid w:val="008C1F13"/>
    <w:rsid w:val="008C4492"/>
    <w:rsid w:val="008C6724"/>
    <w:rsid w:val="008D0DBB"/>
    <w:rsid w:val="008D3B21"/>
    <w:rsid w:val="008D65C8"/>
    <w:rsid w:val="008D7C9F"/>
    <w:rsid w:val="008E29AA"/>
    <w:rsid w:val="008E67E9"/>
    <w:rsid w:val="008F0E7E"/>
    <w:rsid w:val="008F1322"/>
    <w:rsid w:val="008F1F54"/>
    <w:rsid w:val="008F2F3B"/>
    <w:rsid w:val="008F3DB1"/>
    <w:rsid w:val="008F3E80"/>
    <w:rsid w:val="008F6CCB"/>
    <w:rsid w:val="008F7A3E"/>
    <w:rsid w:val="00900012"/>
    <w:rsid w:val="0090024A"/>
    <w:rsid w:val="00903FC4"/>
    <w:rsid w:val="009059FA"/>
    <w:rsid w:val="0091055A"/>
    <w:rsid w:val="0091124C"/>
    <w:rsid w:val="00911D59"/>
    <w:rsid w:val="00916F04"/>
    <w:rsid w:val="009230A1"/>
    <w:rsid w:val="0092638D"/>
    <w:rsid w:val="009269C9"/>
    <w:rsid w:val="00930364"/>
    <w:rsid w:val="009330C2"/>
    <w:rsid w:val="00935A28"/>
    <w:rsid w:val="00935EE1"/>
    <w:rsid w:val="0094135C"/>
    <w:rsid w:val="0094207C"/>
    <w:rsid w:val="0094260E"/>
    <w:rsid w:val="00943667"/>
    <w:rsid w:val="00943937"/>
    <w:rsid w:val="00943955"/>
    <w:rsid w:val="0094496D"/>
    <w:rsid w:val="009470B1"/>
    <w:rsid w:val="00951DC7"/>
    <w:rsid w:val="00953187"/>
    <w:rsid w:val="00956F0A"/>
    <w:rsid w:val="0096132B"/>
    <w:rsid w:val="009621CB"/>
    <w:rsid w:val="00962F60"/>
    <w:rsid w:val="00964AC7"/>
    <w:rsid w:val="00966309"/>
    <w:rsid w:val="00967EDD"/>
    <w:rsid w:val="00972884"/>
    <w:rsid w:val="0097419C"/>
    <w:rsid w:val="009772D6"/>
    <w:rsid w:val="00984B34"/>
    <w:rsid w:val="00984C03"/>
    <w:rsid w:val="0099467E"/>
    <w:rsid w:val="009A1DD5"/>
    <w:rsid w:val="009A3BA8"/>
    <w:rsid w:val="009A51B0"/>
    <w:rsid w:val="009A5B89"/>
    <w:rsid w:val="009A76A4"/>
    <w:rsid w:val="009B10A4"/>
    <w:rsid w:val="009B1A98"/>
    <w:rsid w:val="009B1B0B"/>
    <w:rsid w:val="009B22A7"/>
    <w:rsid w:val="009B46BC"/>
    <w:rsid w:val="009C1627"/>
    <w:rsid w:val="009C46F6"/>
    <w:rsid w:val="009D72E3"/>
    <w:rsid w:val="009E0358"/>
    <w:rsid w:val="009E3F00"/>
    <w:rsid w:val="009E48C7"/>
    <w:rsid w:val="009E4E58"/>
    <w:rsid w:val="009E5117"/>
    <w:rsid w:val="009F04EC"/>
    <w:rsid w:val="009F0DCC"/>
    <w:rsid w:val="009F1958"/>
    <w:rsid w:val="009F30E6"/>
    <w:rsid w:val="009F4570"/>
    <w:rsid w:val="009F5720"/>
    <w:rsid w:val="009F5BD5"/>
    <w:rsid w:val="00A014DE"/>
    <w:rsid w:val="00A04626"/>
    <w:rsid w:val="00A05820"/>
    <w:rsid w:val="00A06B6C"/>
    <w:rsid w:val="00A10497"/>
    <w:rsid w:val="00A108D5"/>
    <w:rsid w:val="00A1127F"/>
    <w:rsid w:val="00A1193C"/>
    <w:rsid w:val="00A13D46"/>
    <w:rsid w:val="00A1743E"/>
    <w:rsid w:val="00A20F16"/>
    <w:rsid w:val="00A22076"/>
    <w:rsid w:val="00A232D9"/>
    <w:rsid w:val="00A236C7"/>
    <w:rsid w:val="00A248C6"/>
    <w:rsid w:val="00A252E0"/>
    <w:rsid w:val="00A273FA"/>
    <w:rsid w:val="00A276B6"/>
    <w:rsid w:val="00A30C0D"/>
    <w:rsid w:val="00A31830"/>
    <w:rsid w:val="00A328DE"/>
    <w:rsid w:val="00A32A31"/>
    <w:rsid w:val="00A32C69"/>
    <w:rsid w:val="00A32CC7"/>
    <w:rsid w:val="00A338DB"/>
    <w:rsid w:val="00A353CA"/>
    <w:rsid w:val="00A3732A"/>
    <w:rsid w:val="00A373E9"/>
    <w:rsid w:val="00A4240A"/>
    <w:rsid w:val="00A42EB6"/>
    <w:rsid w:val="00A454A9"/>
    <w:rsid w:val="00A45FE5"/>
    <w:rsid w:val="00A47917"/>
    <w:rsid w:val="00A504F7"/>
    <w:rsid w:val="00A505A6"/>
    <w:rsid w:val="00A50AF7"/>
    <w:rsid w:val="00A50E28"/>
    <w:rsid w:val="00A52A2E"/>
    <w:rsid w:val="00A54EB4"/>
    <w:rsid w:val="00A61951"/>
    <w:rsid w:val="00A61A11"/>
    <w:rsid w:val="00A64214"/>
    <w:rsid w:val="00A710FC"/>
    <w:rsid w:val="00A7125A"/>
    <w:rsid w:val="00A73158"/>
    <w:rsid w:val="00A80579"/>
    <w:rsid w:val="00A80634"/>
    <w:rsid w:val="00A81CE5"/>
    <w:rsid w:val="00A8247A"/>
    <w:rsid w:val="00A839DD"/>
    <w:rsid w:val="00A86795"/>
    <w:rsid w:val="00A927B0"/>
    <w:rsid w:val="00A9555E"/>
    <w:rsid w:val="00A96344"/>
    <w:rsid w:val="00A9762E"/>
    <w:rsid w:val="00AA48F6"/>
    <w:rsid w:val="00AB0C0D"/>
    <w:rsid w:val="00AB13CB"/>
    <w:rsid w:val="00AB15BE"/>
    <w:rsid w:val="00AB40E3"/>
    <w:rsid w:val="00AB522B"/>
    <w:rsid w:val="00AB59D2"/>
    <w:rsid w:val="00AC362C"/>
    <w:rsid w:val="00AC3EC7"/>
    <w:rsid w:val="00AC47E1"/>
    <w:rsid w:val="00AC6AEA"/>
    <w:rsid w:val="00AD4450"/>
    <w:rsid w:val="00AD4C26"/>
    <w:rsid w:val="00AD6338"/>
    <w:rsid w:val="00AD6DAD"/>
    <w:rsid w:val="00AE0546"/>
    <w:rsid w:val="00AE0B95"/>
    <w:rsid w:val="00AE3566"/>
    <w:rsid w:val="00AE5ED8"/>
    <w:rsid w:val="00AE6095"/>
    <w:rsid w:val="00AE6B22"/>
    <w:rsid w:val="00AF0E92"/>
    <w:rsid w:val="00AF37EA"/>
    <w:rsid w:val="00AF7C7C"/>
    <w:rsid w:val="00B0181E"/>
    <w:rsid w:val="00B019C9"/>
    <w:rsid w:val="00B03B17"/>
    <w:rsid w:val="00B05587"/>
    <w:rsid w:val="00B05F81"/>
    <w:rsid w:val="00B13987"/>
    <w:rsid w:val="00B166CD"/>
    <w:rsid w:val="00B16E07"/>
    <w:rsid w:val="00B178C5"/>
    <w:rsid w:val="00B216C1"/>
    <w:rsid w:val="00B21BDB"/>
    <w:rsid w:val="00B230D9"/>
    <w:rsid w:val="00B23ECB"/>
    <w:rsid w:val="00B2681A"/>
    <w:rsid w:val="00B2720C"/>
    <w:rsid w:val="00B300F0"/>
    <w:rsid w:val="00B35641"/>
    <w:rsid w:val="00B358BE"/>
    <w:rsid w:val="00B360B1"/>
    <w:rsid w:val="00B36242"/>
    <w:rsid w:val="00B41F8E"/>
    <w:rsid w:val="00B42719"/>
    <w:rsid w:val="00B469F2"/>
    <w:rsid w:val="00B475D0"/>
    <w:rsid w:val="00B50A1D"/>
    <w:rsid w:val="00B519E4"/>
    <w:rsid w:val="00B51B05"/>
    <w:rsid w:val="00B616BA"/>
    <w:rsid w:val="00B65AD5"/>
    <w:rsid w:val="00B672F3"/>
    <w:rsid w:val="00B70F39"/>
    <w:rsid w:val="00B72C49"/>
    <w:rsid w:val="00B8413C"/>
    <w:rsid w:val="00B847D0"/>
    <w:rsid w:val="00B925A2"/>
    <w:rsid w:val="00B925B0"/>
    <w:rsid w:val="00B94C00"/>
    <w:rsid w:val="00B95650"/>
    <w:rsid w:val="00B9629A"/>
    <w:rsid w:val="00B973DC"/>
    <w:rsid w:val="00BA288B"/>
    <w:rsid w:val="00BA53E1"/>
    <w:rsid w:val="00BA6F3B"/>
    <w:rsid w:val="00BA741F"/>
    <w:rsid w:val="00BA7502"/>
    <w:rsid w:val="00BB0149"/>
    <w:rsid w:val="00BB55AF"/>
    <w:rsid w:val="00BB5658"/>
    <w:rsid w:val="00BB66AA"/>
    <w:rsid w:val="00BB6AA8"/>
    <w:rsid w:val="00BC20C0"/>
    <w:rsid w:val="00BC5290"/>
    <w:rsid w:val="00BD176C"/>
    <w:rsid w:val="00BD69BF"/>
    <w:rsid w:val="00BD718A"/>
    <w:rsid w:val="00BE0AFB"/>
    <w:rsid w:val="00BE3A8B"/>
    <w:rsid w:val="00BE4231"/>
    <w:rsid w:val="00BE5B13"/>
    <w:rsid w:val="00BE7DCA"/>
    <w:rsid w:val="00BE7FAE"/>
    <w:rsid w:val="00BF13D5"/>
    <w:rsid w:val="00BF4A96"/>
    <w:rsid w:val="00BF6ADC"/>
    <w:rsid w:val="00C02001"/>
    <w:rsid w:val="00C026DF"/>
    <w:rsid w:val="00C042D3"/>
    <w:rsid w:val="00C044C4"/>
    <w:rsid w:val="00C049AB"/>
    <w:rsid w:val="00C051EB"/>
    <w:rsid w:val="00C108DF"/>
    <w:rsid w:val="00C13468"/>
    <w:rsid w:val="00C152B0"/>
    <w:rsid w:val="00C1672A"/>
    <w:rsid w:val="00C16AB2"/>
    <w:rsid w:val="00C2389C"/>
    <w:rsid w:val="00C242C2"/>
    <w:rsid w:val="00C267B0"/>
    <w:rsid w:val="00C2759F"/>
    <w:rsid w:val="00C31A4C"/>
    <w:rsid w:val="00C31D2A"/>
    <w:rsid w:val="00C31FCA"/>
    <w:rsid w:val="00C34D6A"/>
    <w:rsid w:val="00C375D8"/>
    <w:rsid w:val="00C41880"/>
    <w:rsid w:val="00C42E1E"/>
    <w:rsid w:val="00C44C9C"/>
    <w:rsid w:val="00C45944"/>
    <w:rsid w:val="00C47A1B"/>
    <w:rsid w:val="00C50385"/>
    <w:rsid w:val="00C53142"/>
    <w:rsid w:val="00C55BE5"/>
    <w:rsid w:val="00C565F8"/>
    <w:rsid w:val="00C617C1"/>
    <w:rsid w:val="00C6580E"/>
    <w:rsid w:val="00C707A2"/>
    <w:rsid w:val="00C72F58"/>
    <w:rsid w:val="00C732EF"/>
    <w:rsid w:val="00C75BFF"/>
    <w:rsid w:val="00C7671C"/>
    <w:rsid w:val="00C7712A"/>
    <w:rsid w:val="00C83E8C"/>
    <w:rsid w:val="00C84766"/>
    <w:rsid w:val="00C863DF"/>
    <w:rsid w:val="00C87A56"/>
    <w:rsid w:val="00C90AAE"/>
    <w:rsid w:val="00C9141C"/>
    <w:rsid w:val="00C9209D"/>
    <w:rsid w:val="00C928D2"/>
    <w:rsid w:val="00C92CB4"/>
    <w:rsid w:val="00C93807"/>
    <w:rsid w:val="00C9433A"/>
    <w:rsid w:val="00C96CB4"/>
    <w:rsid w:val="00C97B97"/>
    <w:rsid w:val="00CA19D5"/>
    <w:rsid w:val="00CA43F8"/>
    <w:rsid w:val="00CA546E"/>
    <w:rsid w:val="00CA617C"/>
    <w:rsid w:val="00CB5FA0"/>
    <w:rsid w:val="00CB6635"/>
    <w:rsid w:val="00CB6ECE"/>
    <w:rsid w:val="00CC2A1E"/>
    <w:rsid w:val="00CC2E33"/>
    <w:rsid w:val="00CC3535"/>
    <w:rsid w:val="00CC3DDF"/>
    <w:rsid w:val="00CC4F20"/>
    <w:rsid w:val="00CD060F"/>
    <w:rsid w:val="00CD495F"/>
    <w:rsid w:val="00CD5901"/>
    <w:rsid w:val="00CD7787"/>
    <w:rsid w:val="00CE0282"/>
    <w:rsid w:val="00CE2B06"/>
    <w:rsid w:val="00CE2E38"/>
    <w:rsid w:val="00CE3344"/>
    <w:rsid w:val="00CE4146"/>
    <w:rsid w:val="00CE51DD"/>
    <w:rsid w:val="00CE74C5"/>
    <w:rsid w:val="00CF05B3"/>
    <w:rsid w:val="00CF33E4"/>
    <w:rsid w:val="00CF7040"/>
    <w:rsid w:val="00D007E6"/>
    <w:rsid w:val="00D037BB"/>
    <w:rsid w:val="00D1088A"/>
    <w:rsid w:val="00D13F06"/>
    <w:rsid w:val="00D17245"/>
    <w:rsid w:val="00D20D14"/>
    <w:rsid w:val="00D20FB3"/>
    <w:rsid w:val="00D210C5"/>
    <w:rsid w:val="00D26690"/>
    <w:rsid w:val="00D274EC"/>
    <w:rsid w:val="00D275C1"/>
    <w:rsid w:val="00D30B83"/>
    <w:rsid w:val="00D345DF"/>
    <w:rsid w:val="00D40C2B"/>
    <w:rsid w:val="00D42CD3"/>
    <w:rsid w:val="00D4315C"/>
    <w:rsid w:val="00D43C32"/>
    <w:rsid w:val="00D444F5"/>
    <w:rsid w:val="00D4515B"/>
    <w:rsid w:val="00D5025A"/>
    <w:rsid w:val="00D50291"/>
    <w:rsid w:val="00D50326"/>
    <w:rsid w:val="00D50745"/>
    <w:rsid w:val="00D52844"/>
    <w:rsid w:val="00D546BA"/>
    <w:rsid w:val="00D5741F"/>
    <w:rsid w:val="00D6190A"/>
    <w:rsid w:val="00D671BF"/>
    <w:rsid w:val="00D72B19"/>
    <w:rsid w:val="00D77441"/>
    <w:rsid w:val="00D77679"/>
    <w:rsid w:val="00D77D35"/>
    <w:rsid w:val="00D800A9"/>
    <w:rsid w:val="00D90428"/>
    <w:rsid w:val="00D9253A"/>
    <w:rsid w:val="00D96867"/>
    <w:rsid w:val="00DA02B8"/>
    <w:rsid w:val="00DA038F"/>
    <w:rsid w:val="00DA15B6"/>
    <w:rsid w:val="00DA1B37"/>
    <w:rsid w:val="00DA226C"/>
    <w:rsid w:val="00DA3D65"/>
    <w:rsid w:val="00DA4148"/>
    <w:rsid w:val="00DA4501"/>
    <w:rsid w:val="00DA5690"/>
    <w:rsid w:val="00DA7B9E"/>
    <w:rsid w:val="00DB0A62"/>
    <w:rsid w:val="00DB244B"/>
    <w:rsid w:val="00DB4623"/>
    <w:rsid w:val="00DB4DBD"/>
    <w:rsid w:val="00DB5A71"/>
    <w:rsid w:val="00DC0B39"/>
    <w:rsid w:val="00DC2FA2"/>
    <w:rsid w:val="00DC5413"/>
    <w:rsid w:val="00DC6131"/>
    <w:rsid w:val="00DC7365"/>
    <w:rsid w:val="00DD02DB"/>
    <w:rsid w:val="00DD0A55"/>
    <w:rsid w:val="00DD1C7E"/>
    <w:rsid w:val="00DD20B5"/>
    <w:rsid w:val="00DD23F7"/>
    <w:rsid w:val="00DD2A6C"/>
    <w:rsid w:val="00DD4D5D"/>
    <w:rsid w:val="00DD5784"/>
    <w:rsid w:val="00DD5E26"/>
    <w:rsid w:val="00DD6BBF"/>
    <w:rsid w:val="00DE46A5"/>
    <w:rsid w:val="00DE6C99"/>
    <w:rsid w:val="00DF0AB0"/>
    <w:rsid w:val="00DF1C3C"/>
    <w:rsid w:val="00DF37F6"/>
    <w:rsid w:val="00DF6FB1"/>
    <w:rsid w:val="00E0175F"/>
    <w:rsid w:val="00E042BE"/>
    <w:rsid w:val="00E05FC8"/>
    <w:rsid w:val="00E06854"/>
    <w:rsid w:val="00E07D28"/>
    <w:rsid w:val="00E12042"/>
    <w:rsid w:val="00E13A87"/>
    <w:rsid w:val="00E13C30"/>
    <w:rsid w:val="00E13CD6"/>
    <w:rsid w:val="00E146AD"/>
    <w:rsid w:val="00E17374"/>
    <w:rsid w:val="00E20BDA"/>
    <w:rsid w:val="00E222C0"/>
    <w:rsid w:val="00E23F6C"/>
    <w:rsid w:val="00E24B1C"/>
    <w:rsid w:val="00E256CA"/>
    <w:rsid w:val="00E27462"/>
    <w:rsid w:val="00E30F43"/>
    <w:rsid w:val="00E33291"/>
    <w:rsid w:val="00E334A1"/>
    <w:rsid w:val="00E37411"/>
    <w:rsid w:val="00E37E48"/>
    <w:rsid w:val="00E41954"/>
    <w:rsid w:val="00E44322"/>
    <w:rsid w:val="00E457D4"/>
    <w:rsid w:val="00E45F41"/>
    <w:rsid w:val="00E466E6"/>
    <w:rsid w:val="00E57F56"/>
    <w:rsid w:val="00E61FFA"/>
    <w:rsid w:val="00E63420"/>
    <w:rsid w:val="00E63AC0"/>
    <w:rsid w:val="00E73772"/>
    <w:rsid w:val="00E74B81"/>
    <w:rsid w:val="00E7650B"/>
    <w:rsid w:val="00E77ABA"/>
    <w:rsid w:val="00E80AC1"/>
    <w:rsid w:val="00E839CB"/>
    <w:rsid w:val="00E84685"/>
    <w:rsid w:val="00E84A07"/>
    <w:rsid w:val="00E87644"/>
    <w:rsid w:val="00E90ADE"/>
    <w:rsid w:val="00E91D37"/>
    <w:rsid w:val="00E92177"/>
    <w:rsid w:val="00E922CB"/>
    <w:rsid w:val="00E93FF5"/>
    <w:rsid w:val="00E963CD"/>
    <w:rsid w:val="00E97876"/>
    <w:rsid w:val="00EA572D"/>
    <w:rsid w:val="00EA6D80"/>
    <w:rsid w:val="00EB1825"/>
    <w:rsid w:val="00EB1AC0"/>
    <w:rsid w:val="00EB4070"/>
    <w:rsid w:val="00EB4EB6"/>
    <w:rsid w:val="00EB7054"/>
    <w:rsid w:val="00EC1929"/>
    <w:rsid w:val="00EC254D"/>
    <w:rsid w:val="00EC505B"/>
    <w:rsid w:val="00EC517D"/>
    <w:rsid w:val="00EC6F4C"/>
    <w:rsid w:val="00EC7FC7"/>
    <w:rsid w:val="00ED26B6"/>
    <w:rsid w:val="00ED26CA"/>
    <w:rsid w:val="00ED3CAA"/>
    <w:rsid w:val="00ED484D"/>
    <w:rsid w:val="00ED4ABA"/>
    <w:rsid w:val="00ED5A06"/>
    <w:rsid w:val="00ED5A2A"/>
    <w:rsid w:val="00ED66C0"/>
    <w:rsid w:val="00EE3277"/>
    <w:rsid w:val="00EE4312"/>
    <w:rsid w:val="00EE4785"/>
    <w:rsid w:val="00EE5128"/>
    <w:rsid w:val="00EE6009"/>
    <w:rsid w:val="00EE7422"/>
    <w:rsid w:val="00EF124E"/>
    <w:rsid w:val="00EF16CA"/>
    <w:rsid w:val="00EF3D69"/>
    <w:rsid w:val="00EF3F93"/>
    <w:rsid w:val="00EF5604"/>
    <w:rsid w:val="00F11064"/>
    <w:rsid w:val="00F131B9"/>
    <w:rsid w:val="00F139EC"/>
    <w:rsid w:val="00F143BA"/>
    <w:rsid w:val="00F17FA6"/>
    <w:rsid w:val="00F212F1"/>
    <w:rsid w:val="00F26662"/>
    <w:rsid w:val="00F27FD2"/>
    <w:rsid w:val="00F305BB"/>
    <w:rsid w:val="00F33484"/>
    <w:rsid w:val="00F33BF6"/>
    <w:rsid w:val="00F40DC8"/>
    <w:rsid w:val="00F40E68"/>
    <w:rsid w:val="00F425BD"/>
    <w:rsid w:val="00F46D12"/>
    <w:rsid w:val="00F46D3C"/>
    <w:rsid w:val="00F5527C"/>
    <w:rsid w:val="00F57392"/>
    <w:rsid w:val="00F57D01"/>
    <w:rsid w:val="00F61D2B"/>
    <w:rsid w:val="00F620DE"/>
    <w:rsid w:val="00F648C3"/>
    <w:rsid w:val="00F70473"/>
    <w:rsid w:val="00F70482"/>
    <w:rsid w:val="00F70517"/>
    <w:rsid w:val="00F711EA"/>
    <w:rsid w:val="00F71825"/>
    <w:rsid w:val="00F72096"/>
    <w:rsid w:val="00F7641E"/>
    <w:rsid w:val="00F77585"/>
    <w:rsid w:val="00F81DC9"/>
    <w:rsid w:val="00F83D6C"/>
    <w:rsid w:val="00F95B1F"/>
    <w:rsid w:val="00F96D1F"/>
    <w:rsid w:val="00F97ADB"/>
    <w:rsid w:val="00FA1756"/>
    <w:rsid w:val="00FA5780"/>
    <w:rsid w:val="00FA5B7F"/>
    <w:rsid w:val="00FB206B"/>
    <w:rsid w:val="00FB217B"/>
    <w:rsid w:val="00FC0666"/>
    <w:rsid w:val="00FC22A0"/>
    <w:rsid w:val="00FC2AA1"/>
    <w:rsid w:val="00FC2DB8"/>
    <w:rsid w:val="00FC33CA"/>
    <w:rsid w:val="00FC3B52"/>
    <w:rsid w:val="00FC4C49"/>
    <w:rsid w:val="00FD0C8E"/>
    <w:rsid w:val="00FD1264"/>
    <w:rsid w:val="00FD3D5C"/>
    <w:rsid w:val="00FD3DD8"/>
    <w:rsid w:val="00FD4559"/>
    <w:rsid w:val="00FD708E"/>
    <w:rsid w:val="00FD74F0"/>
    <w:rsid w:val="00FE1C8A"/>
    <w:rsid w:val="00FE3323"/>
    <w:rsid w:val="00FE3A7D"/>
    <w:rsid w:val="00FE62D6"/>
    <w:rsid w:val="00FE7545"/>
    <w:rsid w:val="00FF1140"/>
    <w:rsid w:val="00FF2153"/>
    <w:rsid w:val="00FF262E"/>
    <w:rsid w:val="00FF3A7F"/>
    <w:rsid w:val="00FF6F49"/>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008B"/>
  <w15:docId w15:val="{2158B621-CD88-438C-A4A3-F57C4A15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49"/>
    <w:pPr>
      <w:spacing w:line="254"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BD"/>
    <w:rPr>
      <w:kern w:val="0"/>
      <w:lang w:val="en-ZA"/>
      <w14:ligatures w14:val="none"/>
    </w:rPr>
  </w:style>
  <w:style w:type="paragraph" w:styleId="Footer">
    <w:name w:val="footer"/>
    <w:basedOn w:val="Normal"/>
    <w:link w:val="FooterChar"/>
    <w:uiPriority w:val="99"/>
    <w:unhideWhenUsed/>
    <w:rsid w:val="0062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BD"/>
    <w:rPr>
      <w:kern w:val="0"/>
      <w:lang w:val="en-ZA"/>
      <w14:ligatures w14:val="none"/>
    </w:rPr>
  </w:style>
  <w:style w:type="paragraph" w:styleId="FootnoteText">
    <w:name w:val="footnote text"/>
    <w:basedOn w:val="Normal"/>
    <w:link w:val="FootnoteTextChar"/>
    <w:uiPriority w:val="99"/>
    <w:semiHidden/>
    <w:unhideWhenUsed/>
    <w:rsid w:val="00127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5F9"/>
    <w:rPr>
      <w:kern w:val="0"/>
      <w:sz w:val="20"/>
      <w:szCs w:val="20"/>
      <w:lang w:val="en-ZA"/>
      <w14:ligatures w14:val="none"/>
    </w:rPr>
  </w:style>
  <w:style w:type="character" w:styleId="FootnoteReference">
    <w:name w:val="footnote reference"/>
    <w:basedOn w:val="DefaultParagraphFont"/>
    <w:uiPriority w:val="99"/>
    <w:semiHidden/>
    <w:unhideWhenUsed/>
    <w:rsid w:val="001275F9"/>
    <w:rPr>
      <w:vertAlign w:val="superscript"/>
    </w:rPr>
  </w:style>
  <w:style w:type="paragraph" w:styleId="ListParagraph">
    <w:name w:val="List Paragraph"/>
    <w:basedOn w:val="Normal"/>
    <w:uiPriority w:val="34"/>
    <w:qFormat/>
    <w:rsid w:val="00D2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53D013E7047A4AAF33BA6A872980E3" ma:contentTypeVersion="8" ma:contentTypeDescription="Create a new document." ma:contentTypeScope="" ma:versionID="7f1a4c1150116b2b0e3dbeabc2dea960">
  <xsd:schema xmlns:xsd="http://www.w3.org/2001/XMLSchema" xmlns:xs="http://www.w3.org/2001/XMLSchema" xmlns:p="http://schemas.microsoft.com/office/2006/metadata/properties" xmlns:ns3="c36ac1df-88f1-450b-b86e-98751f6ef399" xmlns:ns4="9887d9b7-b408-46bd-a921-5f9f320020da" targetNamespace="http://schemas.microsoft.com/office/2006/metadata/properties" ma:root="true" ma:fieldsID="8ca67b3248efddd575b26501b4e422d8" ns3:_="" ns4:_="">
    <xsd:import namespace="c36ac1df-88f1-450b-b86e-98751f6ef399"/>
    <xsd:import namespace="9887d9b7-b408-46bd-a921-5f9f320020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ac1df-88f1-450b-b86e-98751f6ef3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7d9b7-b408-46bd-a921-5f9f320020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8C27F-8F1C-4301-A542-3AA0C27E3506}">
  <ds:schemaRefs>
    <ds:schemaRef ds:uri="http://schemas.microsoft.com/sharepoint/v3/contenttype/forms"/>
  </ds:schemaRefs>
</ds:datastoreItem>
</file>

<file path=customXml/itemProps2.xml><?xml version="1.0" encoding="utf-8"?>
<ds:datastoreItem xmlns:ds="http://schemas.openxmlformats.org/officeDocument/2006/customXml" ds:itemID="{7F2DE206-2C60-413A-B161-72D9D36F191E}">
  <ds:schemaRef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9887d9b7-b408-46bd-a921-5f9f320020da"/>
    <ds:schemaRef ds:uri="c36ac1df-88f1-450b-b86e-98751f6ef399"/>
    <ds:schemaRef ds:uri="http://www.w3.org/XML/1998/namespace"/>
  </ds:schemaRefs>
</ds:datastoreItem>
</file>

<file path=customXml/itemProps3.xml><?xml version="1.0" encoding="utf-8"?>
<ds:datastoreItem xmlns:ds="http://schemas.openxmlformats.org/officeDocument/2006/customXml" ds:itemID="{C3270F50-0C5A-40B7-9D1A-0C134D5DDEB3}">
  <ds:schemaRefs>
    <ds:schemaRef ds:uri="http://schemas.openxmlformats.org/officeDocument/2006/bibliography"/>
  </ds:schemaRefs>
</ds:datastoreItem>
</file>

<file path=customXml/itemProps4.xml><?xml version="1.0" encoding="utf-8"?>
<ds:datastoreItem xmlns:ds="http://schemas.openxmlformats.org/officeDocument/2006/customXml" ds:itemID="{5270AF21-5AEC-4AE6-90D8-DA84F3D3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ac1df-88f1-450b-b86e-98751f6ef399"/>
    <ds:schemaRef ds:uri="9887d9b7-b408-46bd-a921-5f9f32002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6485</Words>
  <Characters>36967</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Nomakorinte Ntliziywana</cp:lastModifiedBy>
  <cp:revision>2</cp:revision>
  <cp:lastPrinted>2023-12-20T10:23:00Z</cp:lastPrinted>
  <dcterms:created xsi:type="dcterms:W3CDTF">2024-01-02T09:58:00Z</dcterms:created>
  <dcterms:modified xsi:type="dcterms:W3CDTF">2024-01-02T09:58:00Z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0x010100CA53D013E7047A4AAF33BA6A872980E3</vt:lpwstr>
  </property>
</Properties>
</file>