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261C2" w14:textId="77777777" w:rsidR="00B73E80" w:rsidRDefault="00B73E80" w:rsidP="00B73E80">
      <w:pPr>
        <w:spacing w:line="360" w:lineRule="auto"/>
        <w:contextualSpacing/>
        <w:jc w:val="center"/>
        <w:rPr>
          <w:rFonts w:ascii="Times New Roman" w:hAnsi="Times New Roman"/>
          <w:b/>
          <w:sz w:val="28"/>
          <w:szCs w:val="28"/>
        </w:rPr>
      </w:pPr>
      <w:r w:rsidRPr="009606E6">
        <w:rPr>
          <w:rFonts w:ascii="Times New Roman" w:hAnsi="Times New Roman"/>
          <w:noProof/>
          <w:sz w:val="28"/>
          <w:szCs w:val="28"/>
          <w:lang w:val="en-US" w:eastAsia="en-US"/>
        </w:rPr>
        <w:drawing>
          <wp:inline distT="0" distB="0" distL="0" distR="0" wp14:anchorId="3DAAF7EC" wp14:editId="62F5F438">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56AD38AD" w14:textId="77777777" w:rsidR="00B73E80" w:rsidRPr="000D03EE" w:rsidRDefault="00B73E80" w:rsidP="00B73E80">
      <w:pPr>
        <w:spacing w:line="360" w:lineRule="auto"/>
        <w:contextualSpacing/>
        <w:jc w:val="right"/>
        <w:rPr>
          <w:rFonts w:ascii="Times New Roman" w:hAnsi="Times New Roman"/>
          <w:b/>
          <w:sz w:val="28"/>
          <w:szCs w:val="28"/>
        </w:rPr>
      </w:pPr>
      <w:r w:rsidRPr="000D03EE">
        <w:rPr>
          <w:rFonts w:ascii="Times New Roman" w:hAnsi="Times New Roman"/>
          <w:b/>
          <w:sz w:val="28"/>
          <w:szCs w:val="28"/>
        </w:rPr>
        <w:t>NOT REPORTABLE</w:t>
      </w:r>
    </w:p>
    <w:p w14:paraId="4E641F96" w14:textId="77777777" w:rsidR="00B73E80" w:rsidRPr="009606E6" w:rsidRDefault="00B73E80" w:rsidP="00B73E80">
      <w:pPr>
        <w:spacing w:line="36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14:paraId="721C960E" w14:textId="77777777" w:rsidR="00B73E80" w:rsidRPr="009606E6" w:rsidRDefault="00B73E80" w:rsidP="00B73E80">
      <w:pPr>
        <w:spacing w:line="360" w:lineRule="auto"/>
        <w:contextualSpacing/>
        <w:jc w:val="both"/>
        <w:rPr>
          <w:rFonts w:ascii="Times New Roman" w:hAnsi="Times New Roman"/>
          <w:b/>
          <w:sz w:val="28"/>
          <w:szCs w:val="28"/>
        </w:rPr>
      </w:pPr>
      <w:r w:rsidRPr="009606E6">
        <w:rPr>
          <w:rFonts w:ascii="Times New Roman" w:hAnsi="Times New Roman"/>
          <w:b/>
          <w:sz w:val="28"/>
          <w:szCs w:val="28"/>
        </w:rPr>
        <w:t>(EASTERN CAPE LOCAL DIVISION, GQEBERHA)</w:t>
      </w:r>
    </w:p>
    <w:p w14:paraId="4DB58BC0" w14:textId="77777777" w:rsidR="00B73E80" w:rsidRPr="009606E6" w:rsidRDefault="00B73E80" w:rsidP="00B73E80">
      <w:pPr>
        <w:spacing w:line="360" w:lineRule="auto"/>
        <w:contextualSpacing/>
        <w:jc w:val="both"/>
        <w:rPr>
          <w:rFonts w:ascii="Times New Roman" w:hAnsi="Times New Roman"/>
          <w:b/>
          <w:sz w:val="28"/>
          <w:szCs w:val="28"/>
        </w:rPr>
      </w:pPr>
    </w:p>
    <w:p w14:paraId="48BF178C" w14:textId="77777777" w:rsidR="00B73E80" w:rsidRPr="009606E6" w:rsidRDefault="00B73E80" w:rsidP="00B73E80">
      <w:pPr>
        <w:widowControl w:val="0"/>
        <w:autoSpaceDE w:val="0"/>
        <w:autoSpaceDN w:val="0"/>
        <w:adjustRightInd w:val="0"/>
        <w:spacing w:line="360" w:lineRule="auto"/>
        <w:contextualSpacing/>
        <w:jc w:val="right"/>
        <w:rPr>
          <w:rFonts w:ascii="Times New Roman" w:hAnsi="Times New Roman"/>
          <w:color w:val="000000"/>
          <w:sz w:val="28"/>
          <w:szCs w:val="28"/>
        </w:rPr>
      </w:pPr>
      <w:r w:rsidRPr="009606E6">
        <w:rPr>
          <w:rFonts w:ascii="Times New Roman" w:hAnsi="Times New Roman"/>
          <w:color w:val="000000"/>
          <w:sz w:val="28"/>
          <w:szCs w:val="28"/>
        </w:rPr>
        <w:t>CASE NO. 2300/2022</w:t>
      </w:r>
    </w:p>
    <w:p w14:paraId="65F724AF" w14:textId="77777777" w:rsidR="00B73E80" w:rsidRPr="009606E6" w:rsidRDefault="00B73E80" w:rsidP="00B73E80">
      <w:pPr>
        <w:widowControl w:val="0"/>
        <w:autoSpaceDE w:val="0"/>
        <w:autoSpaceDN w:val="0"/>
        <w:adjustRightInd w:val="0"/>
        <w:spacing w:line="360" w:lineRule="auto"/>
        <w:contextualSpacing/>
        <w:jc w:val="both"/>
        <w:rPr>
          <w:rFonts w:ascii="Times New Roman" w:hAnsi="Times New Roman"/>
          <w:color w:val="000000"/>
          <w:sz w:val="28"/>
          <w:szCs w:val="28"/>
        </w:rPr>
      </w:pPr>
    </w:p>
    <w:p w14:paraId="55472AB6" w14:textId="77777777" w:rsidR="00B73E80" w:rsidRPr="009606E6" w:rsidRDefault="00B73E80" w:rsidP="00B73E80">
      <w:pPr>
        <w:widowControl w:val="0"/>
        <w:autoSpaceDE w:val="0"/>
        <w:autoSpaceDN w:val="0"/>
        <w:adjustRightInd w:val="0"/>
        <w:spacing w:line="360" w:lineRule="auto"/>
        <w:contextualSpacing/>
        <w:jc w:val="both"/>
        <w:rPr>
          <w:rFonts w:ascii="Times New Roman" w:hAnsi="Times New Roman"/>
          <w:color w:val="000000"/>
          <w:sz w:val="28"/>
          <w:szCs w:val="28"/>
        </w:rPr>
      </w:pPr>
      <w:r w:rsidRPr="009606E6">
        <w:rPr>
          <w:rFonts w:ascii="Times New Roman" w:hAnsi="Times New Roman"/>
          <w:color w:val="000000"/>
          <w:sz w:val="28"/>
          <w:szCs w:val="28"/>
        </w:rPr>
        <w:t>In the matter between:</w:t>
      </w:r>
    </w:p>
    <w:p w14:paraId="263E597E" w14:textId="77777777" w:rsidR="00B73E80" w:rsidRPr="009606E6" w:rsidRDefault="00B73E80" w:rsidP="00B73E80">
      <w:pPr>
        <w:spacing w:line="360" w:lineRule="auto"/>
        <w:contextualSpacing/>
        <w:rPr>
          <w:rFonts w:ascii="Times New Roman" w:hAnsi="Times New Roman"/>
          <w:b/>
          <w:bCs/>
          <w:sz w:val="28"/>
          <w:szCs w:val="28"/>
          <w:lang w:val="en-GB"/>
        </w:rPr>
      </w:pPr>
    </w:p>
    <w:p w14:paraId="40FBF44A" w14:textId="77777777" w:rsidR="00B73E80" w:rsidRPr="009606E6" w:rsidRDefault="00B73E80" w:rsidP="00B73E80">
      <w:pPr>
        <w:spacing w:line="360" w:lineRule="auto"/>
        <w:contextualSpacing/>
        <w:rPr>
          <w:rFonts w:ascii="Times New Roman" w:hAnsi="Times New Roman"/>
          <w:bCs/>
          <w:sz w:val="28"/>
          <w:szCs w:val="28"/>
          <w:lang w:val="en-GB"/>
        </w:rPr>
      </w:pPr>
      <w:r w:rsidRPr="009606E6">
        <w:rPr>
          <w:rFonts w:ascii="Times New Roman" w:hAnsi="Times New Roman"/>
          <w:b/>
          <w:bCs/>
          <w:sz w:val="28"/>
          <w:szCs w:val="28"/>
          <w:lang w:val="en-GB"/>
        </w:rPr>
        <w:t>LSM SECURITY (PTY) LTD</w:t>
      </w:r>
      <w:r w:rsidRPr="009606E6">
        <w:rPr>
          <w:rFonts w:ascii="Times New Roman" w:hAnsi="Times New Roman"/>
          <w:b/>
          <w:bCs/>
          <w:sz w:val="28"/>
          <w:szCs w:val="28"/>
          <w:lang w:val="en-GB"/>
        </w:rPr>
        <w:tab/>
        <w:t xml:space="preserve"> (2015/208312/08)</w:t>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Cs/>
          <w:sz w:val="28"/>
          <w:szCs w:val="28"/>
          <w:lang w:val="en-GB"/>
        </w:rPr>
        <w:t>First Applicant</w:t>
      </w:r>
    </w:p>
    <w:p w14:paraId="1CD79998" w14:textId="77777777" w:rsidR="00B73E80" w:rsidRPr="009606E6" w:rsidRDefault="00B73E80" w:rsidP="00B73E80">
      <w:pPr>
        <w:spacing w:line="360" w:lineRule="auto"/>
        <w:contextualSpacing/>
        <w:rPr>
          <w:rFonts w:ascii="Times New Roman" w:hAnsi="Times New Roman"/>
          <w:b/>
          <w:bCs/>
          <w:sz w:val="28"/>
          <w:szCs w:val="28"/>
          <w:lang w:val="en-GB"/>
        </w:rPr>
      </w:pPr>
      <w:r w:rsidRPr="009606E6">
        <w:rPr>
          <w:rFonts w:ascii="Times New Roman" w:hAnsi="Times New Roman"/>
          <w:b/>
          <w:bCs/>
          <w:sz w:val="28"/>
          <w:szCs w:val="28"/>
          <w:lang w:val="en-GB"/>
        </w:rPr>
        <w:t xml:space="preserve">MKWAZE SECURITY (PTY) LTD </w:t>
      </w:r>
    </w:p>
    <w:p w14:paraId="162C267A" w14:textId="77777777" w:rsidR="00B73E80" w:rsidRPr="009606E6" w:rsidRDefault="00B73E80" w:rsidP="00B73E80">
      <w:pPr>
        <w:spacing w:line="360" w:lineRule="auto"/>
        <w:contextualSpacing/>
        <w:rPr>
          <w:rFonts w:ascii="Times New Roman" w:hAnsi="Times New Roman"/>
          <w:bCs/>
          <w:sz w:val="28"/>
          <w:szCs w:val="28"/>
          <w:lang w:val="en-GB"/>
        </w:rPr>
      </w:pPr>
      <w:r w:rsidRPr="009606E6">
        <w:rPr>
          <w:rFonts w:ascii="Times New Roman" w:hAnsi="Times New Roman"/>
          <w:b/>
          <w:bCs/>
          <w:sz w:val="28"/>
          <w:szCs w:val="28"/>
          <w:lang w:val="en-GB"/>
        </w:rPr>
        <w:t>(2014/126620/07)</w:t>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Cs/>
          <w:sz w:val="28"/>
          <w:szCs w:val="28"/>
          <w:lang w:val="en-GB"/>
        </w:rPr>
        <w:t>Second Applicant</w:t>
      </w:r>
    </w:p>
    <w:p w14:paraId="36CCCA06" w14:textId="77777777" w:rsidR="00B73E80" w:rsidRPr="009606E6" w:rsidRDefault="00B73E80" w:rsidP="00B73E80">
      <w:pPr>
        <w:spacing w:line="360" w:lineRule="auto"/>
        <w:contextualSpacing/>
        <w:rPr>
          <w:rFonts w:ascii="Times New Roman" w:hAnsi="Times New Roman"/>
          <w:bCs/>
          <w:sz w:val="28"/>
          <w:szCs w:val="28"/>
          <w:lang w:val="en-GB"/>
        </w:rPr>
      </w:pPr>
      <w:r w:rsidRPr="009606E6">
        <w:rPr>
          <w:rFonts w:ascii="Times New Roman" w:hAnsi="Times New Roman"/>
          <w:b/>
          <w:bCs/>
          <w:sz w:val="28"/>
          <w:szCs w:val="28"/>
          <w:lang w:val="en-GB"/>
        </w:rPr>
        <w:t>NUBC SECURITY (PTY) LTD (2013/153977/07)</w:t>
      </w:r>
      <w:r w:rsidRPr="009606E6">
        <w:rPr>
          <w:rFonts w:ascii="Times New Roman" w:hAnsi="Times New Roman"/>
          <w:b/>
          <w:bCs/>
          <w:sz w:val="28"/>
          <w:szCs w:val="28"/>
          <w:lang w:val="en-GB"/>
        </w:rPr>
        <w:tab/>
      </w:r>
      <w:r w:rsidRPr="009606E6">
        <w:rPr>
          <w:rFonts w:ascii="Times New Roman" w:hAnsi="Times New Roman"/>
          <w:bCs/>
          <w:sz w:val="28"/>
          <w:szCs w:val="28"/>
          <w:lang w:val="en-GB"/>
        </w:rPr>
        <w:t>Third Applicant</w:t>
      </w:r>
    </w:p>
    <w:p w14:paraId="696F0864" w14:textId="77777777" w:rsidR="00B73E80" w:rsidRPr="009606E6" w:rsidRDefault="00B73E80" w:rsidP="00B73E80">
      <w:pPr>
        <w:spacing w:line="360" w:lineRule="auto"/>
        <w:contextualSpacing/>
        <w:rPr>
          <w:rFonts w:ascii="Times New Roman" w:hAnsi="Times New Roman"/>
          <w:b/>
          <w:bCs/>
          <w:sz w:val="28"/>
          <w:szCs w:val="28"/>
          <w:lang w:val="en-GB"/>
        </w:rPr>
      </w:pPr>
      <w:r w:rsidRPr="009606E6">
        <w:rPr>
          <w:rFonts w:ascii="Times New Roman" w:hAnsi="Times New Roman"/>
          <w:b/>
          <w:bCs/>
          <w:sz w:val="28"/>
          <w:szCs w:val="28"/>
          <w:lang w:val="en-GB"/>
        </w:rPr>
        <w:t xml:space="preserve">NGONYAMA SECURITY (PTY) LTD </w:t>
      </w:r>
    </w:p>
    <w:p w14:paraId="63A1D7B7" w14:textId="77777777" w:rsidR="00B73E80" w:rsidRPr="009606E6" w:rsidRDefault="00B73E80" w:rsidP="00B73E80">
      <w:pPr>
        <w:spacing w:line="360" w:lineRule="auto"/>
        <w:contextualSpacing/>
        <w:rPr>
          <w:rFonts w:ascii="Times New Roman" w:hAnsi="Times New Roman"/>
          <w:bCs/>
          <w:sz w:val="28"/>
          <w:szCs w:val="28"/>
          <w:lang w:val="en-GB"/>
        </w:rPr>
      </w:pPr>
      <w:r w:rsidRPr="009606E6">
        <w:rPr>
          <w:rFonts w:ascii="Times New Roman" w:hAnsi="Times New Roman"/>
          <w:b/>
          <w:bCs/>
          <w:sz w:val="28"/>
          <w:szCs w:val="28"/>
          <w:lang w:val="en-GB"/>
        </w:rPr>
        <w:t>(2013/087140/07)</w:t>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
          <w:bCs/>
          <w:sz w:val="28"/>
          <w:szCs w:val="28"/>
          <w:lang w:val="en-GB"/>
        </w:rPr>
        <w:tab/>
        <w:t xml:space="preserve"> </w:t>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Cs/>
          <w:sz w:val="28"/>
          <w:szCs w:val="28"/>
          <w:lang w:val="en-GB"/>
        </w:rPr>
        <w:t>Fourth Applicant</w:t>
      </w:r>
    </w:p>
    <w:p w14:paraId="52DD7D31" w14:textId="77777777" w:rsidR="00B73E80" w:rsidRPr="009606E6" w:rsidRDefault="00B73E80" w:rsidP="00B73E80">
      <w:pPr>
        <w:spacing w:line="360" w:lineRule="auto"/>
        <w:contextualSpacing/>
        <w:rPr>
          <w:rFonts w:ascii="Times New Roman" w:hAnsi="Times New Roman"/>
          <w:sz w:val="28"/>
          <w:szCs w:val="28"/>
          <w:lang w:val="en-GB"/>
        </w:rPr>
      </w:pPr>
      <w:r w:rsidRPr="009606E6">
        <w:rPr>
          <w:rFonts w:ascii="Times New Roman" w:hAnsi="Times New Roman"/>
          <w:sz w:val="28"/>
          <w:szCs w:val="28"/>
          <w:lang w:val="en-GB"/>
        </w:rPr>
        <w:t xml:space="preserve">and </w:t>
      </w:r>
    </w:p>
    <w:p w14:paraId="1618A85B" w14:textId="77777777" w:rsidR="00B73E80" w:rsidRPr="009606E6" w:rsidRDefault="00B73E80" w:rsidP="00B73E80">
      <w:pPr>
        <w:spacing w:line="360" w:lineRule="auto"/>
        <w:contextualSpacing/>
        <w:rPr>
          <w:rFonts w:ascii="Times New Roman" w:hAnsi="Times New Roman"/>
          <w:b/>
          <w:bCs/>
          <w:sz w:val="28"/>
          <w:szCs w:val="28"/>
          <w:lang w:val="en-GB"/>
        </w:rPr>
      </w:pPr>
      <w:r w:rsidRPr="009606E6">
        <w:rPr>
          <w:rFonts w:ascii="Times New Roman" w:hAnsi="Times New Roman"/>
          <w:b/>
          <w:bCs/>
          <w:sz w:val="28"/>
          <w:szCs w:val="28"/>
          <w:lang w:val="en-GB"/>
        </w:rPr>
        <w:t xml:space="preserve">MEC, DEPARTMENT OF SOCIAL </w:t>
      </w:r>
    </w:p>
    <w:p w14:paraId="4AFF5F95" w14:textId="77777777" w:rsidR="00B73E80" w:rsidRPr="009606E6" w:rsidRDefault="00B73E80" w:rsidP="00B73E80">
      <w:pPr>
        <w:spacing w:line="360" w:lineRule="auto"/>
        <w:contextualSpacing/>
        <w:rPr>
          <w:rFonts w:ascii="Times New Roman" w:hAnsi="Times New Roman"/>
          <w:bCs/>
          <w:sz w:val="28"/>
          <w:szCs w:val="28"/>
          <w:lang w:val="en-GB"/>
        </w:rPr>
      </w:pPr>
      <w:r w:rsidRPr="009606E6">
        <w:rPr>
          <w:rFonts w:ascii="Times New Roman" w:hAnsi="Times New Roman"/>
          <w:b/>
          <w:bCs/>
          <w:sz w:val="28"/>
          <w:szCs w:val="28"/>
          <w:lang w:val="en-GB"/>
        </w:rPr>
        <w:t>DEVELOPMENT, EC</w:t>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Cs/>
          <w:sz w:val="28"/>
          <w:szCs w:val="28"/>
          <w:lang w:val="en-GB"/>
        </w:rPr>
        <w:t>First Respondent</w:t>
      </w:r>
    </w:p>
    <w:p w14:paraId="4202BDA2" w14:textId="77777777" w:rsidR="00B73E80" w:rsidRPr="009606E6" w:rsidRDefault="00B73E80" w:rsidP="00B73E80">
      <w:pPr>
        <w:spacing w:line="360" w:lineRule="auto"/>
        <w:contextualSpacing/>
        <w:jc w:val="both"/>
        <w:rPr>
          <w:rFonts w:ascii="Times New Roman" w:hAnsi="Times New Roman"/>
          <w:bCs/>
          <w:sz w:val="28"/>
          <w:szCs w:val="28"/>
          <w:lang w:val="en-GB"/>
        </w:rPr>
      </w:pPr>
      <w:r w:rsidRPr="009606E6">
        <w:rPr>
          <w:rFonts w:ascii="Times New Roman" w:hAnsi="Times New Roman"/>
          <w:b/>
          <w:bCs/>
          <w:sz w:val="28"/>
          <w:szCs w:val="28"/>
          <w:lang w:val="en-GB"/>
        </w:rPr>
        <w:t xml:space="preserve">GOLDEN SECURITY SERVICES CC </w:t>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
          <w:bCs/>
          <w:sz w:val="28"/>
          <w:szCs w:val="28"/>
          <w:lang w:val="en-GB"/>
        </w:rPr>
        <w:tab/>
      </w:r>
      <w:r w:rsidRPr="009606E6">
        <w:rPr>
          <w:rFonts w:ascii="Times New Roman" w:hAnsi="Times New Roman"/>
          <w:bCs/>
          <w:sz w:val="28"/>
          <w:szCs w:val="28"/>
          <w:lang w:val="en-GB"/>
        </w:rPr>
        <w:t>Second Respondent</w:t>
      </w:r>
    </w:p>
    <w:p w14:paraId="541C7F1D" w14:textId="77777777" w:rsidR="00B73E80" w:rsidRPr="00922A2C" w:rsidRDefault="00B73E80" w:rsidP="00B73E80">
      <w:pPr>
        <w:pBdr>
          <w:bottom w:val="single" w:sz="12" w:space="1" w:color="auto"/>
        </w:pBdr>
        <w:spacing w:line="360" w:lineRule="auto"/>
        <w:contextualSpacing/>
        <w:jc w:val="both"/>
        <w:rPr>
          <w:rFonts w:ascii="Times New Roman" w:hAnsi="Times New Roman"/>
          <w:b/>
          <w:sz w:val="24"/>
          <w:szCs w:val="24"/>
        </w:rPr>
      </w:pP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p>
    <w:p w14:paraId="644562DC" w14:textId="77777777" w:rsidR="00B73E80" w:rsidRPr="009379AE" w:rsidRDefault="00B73E80" w:rsidP="00B73E80">
      <w:pPr>
        <w:spacing w:line="360" w:lineRule="auto"/>
        <w:contextualSpacing/>
        <w:jc w:val="both"/>
        <w:rPr>
          <w:rFonts w:ascii="Times New Roman" w:hAnsi="Times New Roman"/>
          <w:sz w:val="28"/>
          <w:szCs w:val="28"/>
        </w:rPr>
      </w:pPr>
      <w:r w:rsidRPr="009379AE">
        <w:rPr>
          <w:rFonts w:ascii="Times New Roman" w:hAnsi="Times New Roman"/>
        </w:rPr>
        <w:t xml:space="preserve"> </w:t>
      </w:r>
    </w:p>
    <w:p w14:paraId="54EE7E44" w14:textId="77777777" w:rsidR="00B73E80" w:rsidRDefault="00B73E80" w:rsidP="00B73E80">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REASONS</w:t>
      </w:r>
      <w:r w:rsidR="002D5FA5">
        <w:rPr>
          <w:rFonts w:ascii="Times New Roman" w:hAnsi="Times New Roman"/>
          <w:b/>
          <w:sz w:val="28"/>
          <w:szCs w:val="28"/>
        </w:rPr>
        <w:t xml:space="preserve"> FOR GRANT OF INTERIM RELIEF</w:t>
      </w:r>
    </w:p>
    <w:p w14:paraId="5C6EE991" w14:textId="77777777" w:rsidR="002D5FA5" w:rsidRDefault="00C73D2B" w:rsidP="00B73E80">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PENDING ANTI</w:t>
      </w:r>
      <w:r w:rsidR="002D5FA5">
        <w:rPr>
          <w:rFonts w:ascii="Times New Roman" w:hAnsi="Times New Roman"/>
          <w:b/>
          <w:sz w:val="28"/>
          <w:szCs w:val="28"/>
        </w:rPr>
        <w:t>C</w:t>
      </w:r>
      <w:r>
        <w:rPr>
          <w:rFonts w:ascii="Times New Roman" w:hAnsi="Times New Roman"/>
          <w:b/>
          <w:sz w:val="28"/>
          <w:szCs w:val="28"/>
        </w:rPr>
        <w:t>I</w:t>
      </w:r>
      <w:r w:rsidR="002D5FA5">
        <w:rPr>
          <w:rFonts w:ascii="Times New Roman" w:hAnsi="Times New Roman"/>
          <w:b/>
          <w:sz w:val="28"/>
          <w:szCs w:val="28"/>
        </w:rPr>
        <w:t>PATED REVIEW APPLICATION</w:t>
      </w:r>
    </w:p>
    <w:p w14:paraId="26034AFA" w14:textId="77777777" w:rsidR="00B73E80" w:rsidRDefault="00B73E80" w:rsidP="00B73E80">
      <w:pPr>
        <w:pStyle w:val="ListParagraph"/>
        <w:tabs>
          <w:tab w:val="left" w:pos="0"/>
        </w:tabs>
        <w:spacing w:line="360" w:lineRule="auto"/>
        <w:ind w:left="0"/>
        <w:rPr>
          <w:rFonts w:ascii="Times New Roman" w:hAnsi="Times New Roman"/>
          <w:b/>
          <w:sz w:val="28"/>
          <w:szCs w:val="28"/>
        </w:rPr>
      </w:pPr>
    </w:p>
    <w:p w14:paraId="6760107D" w14:textId="77777777" w:rsidR="00B73E80" w:rsidRDefault="00B73E80" w:rsidP="00B73E80">
      <w:pPr>
        <w:pStyle w:val="ListParagraph"/>
        <w:tabs>
          <w:tab w:val="left" w:pos="0"/>
        </w:tabs>
        <w:spacing w:line="360" w:lineRule="auto"/>
        <w:ind w:left="0"/>
        <w:rPr>
          <w:rFonts w:ascii="Times New Roman" w:hAnsi="Times New Roman"/>
          <w:b/>
          <w:sz w:val="28"/>
          <w:szCs w:val="28"/>
        </w:rPr>
      </w:pPr>
    </w:p>
    <w:p w14:paraId="6B658A09" w14:textId="77777777" w:rsidR="00B73E80" w:rsidRDefault="00B73E80" w:rsidP="00B73E80">
      <w:pPr>
        <w:pStyle w:val="ListParagraph"/>
        <w:tabs>
          <w:tab w:val="left" w:pos="0"/>
        </w:tabs>
        <w:spacing w:line="360" w:lineRule="auto"/>
        <w:ind w:left="0"/>
        <w:rPr>
          <w:rFonts w:ascii="Times New Roman" w:hAnsi="Times New Roman"/>
          <w:b/>
          <w:sz w:val="28"/>
          <w:szCs w:val="28"/>
        </w:rPr>
      </w:pPr>
      <w:r>
        <w:rPr>
          <w:rFonts w:ascii="Times New Roman" w:hAnsi="Times New Roman"/>
          <w:b/>
          <w:sz w:val="28"/>
          <w:szCs w:val="28"/>
        </w:rPr>
        <w:lastRenderedPageBreak/>
        <w:t>HARTLE J</w:t>
      </w:r>
    </w:p>
    <w:p w14:paraId="316D7A6D" w14:textId="77777777" w:rsidR="00B73E80" w:rsidRDefault="00B73E80" w:rsidP="00B73E80">
      <w:pPr>
        <w:spacing w:line="360" w:lineRule="auto"/>
        <w:ind w:left="720" w:hanging="360"/>
        <w:jc w:val="both"/>
      </w:pPr>
    </w:p>
    <w:p w14:paraId="4FFE6484" w14:textId="6A6A5955" w:rsidR="002D5FA5"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03DE4" w:rsidRPr="008F21AE">
        <w:rPr>
          <w:rFonts w:ascii="Times New Roman" w:hAnsi="Times New Roman" w:cs="Times New Roman"/>
          <w:sz w:val="28"/>
          <w:szCs w:val="28"/>
        </w:rPr>
        <w:t xml:space="preserve">On Monday, 22 August 2022, I granted an order confirming paragraph 3 of a rule </w:t>
      </w:r>
      <w:r w:rsidR="00703DE4" w:rsidRPr="008F21AE">
        <w:rPr>
          <w:rFonts w:ascii="Times New Roman" w:hAnsi="Times New Roman" w:cs="Times New Roman"/>
          <w:i/>
          <w:sz w:val="28"/>
          <w:szCs w:val="28"/>
        </w:rPr>
        <w:t>nisi</w:t>
      </w:r>
      <w:r w:rsidR="00703DE4" w:rsidRPr="008F21AE">
        <w:rPr>
          <w:rFonts w:ascii="Times New Roman" w:hAnsi="Times New Roman" w:cs="Times New Roman"/>
          <w:sz w:val="28"/>
          <w:szCs w:val="28"/>
        </w:rPr>
        <w:t xml:space="preserve"> which I had granted in an urgent application for an interdict in the preceding week of duty in Gqeberha</w:t>
      </w:r>
      <w:r w:rsidR="00D801A0" w:rsidRPr="008F21AE">
        <w:rPr>
          <w:rFonts w:ascii="Times New Roman" w:hAnsi="Times New Roman" w:cs="Times New Roman"/>
          <w:sz w:val="28"/>
          <w:szCs w:val="28"/>
        </w:rPr>
        <w:t xml:space="preserve"> staying the implementation of a tender award pending likely review proceedings.</w:t>
      </w:r>
      <w:r w:rsidR="002D5FA5" w:rsidRPr="008F21AE">
        <w:rPr>
          <w:rFonts w:ascii="Times New Roman" w:hAnsi="Times New Roman" w:cs="Times New Roman"/>
          <w:sz w:val="28"/>
          <w:szCs w:val="28"/>
        </w:rPr>
        <w:t xml:space="preserve">  I also</w:t>
      </w:r>
      <w:r w:rsidR="00D801A0" w:rsidRPr="008F21AE">
        <w:rPr>
          <w:rFonts w:ascii="Times New Roman" w:hAnsi="Times New Roman" w:cs="Times New Roman"/>
          <w:sz w:val="28"/>
          <w:szCs w:val="28"/>
        </w:rPr>
        <w:t xml:space="preserve"> further</w:t>
      </w:r>
      <w:r w:rsidR="002D5FA5" w:rsidRPr="008F21AE">
        <w:rPr>
          <w:rFonts w:ascii="Times New Roman" w:hAnsi="Times New Roman" w:cs="Times New Roman"/>
          <w:sz w:val="28"/>
          <w:szCs w:val="28"/>
        </w:rPr>
        <w:t xml:space="preserve"> amended paragraph 4</w:t>
      </w:r>
      <w:r w:rsidR="00D801A0" w:rsidRPr="008F21AE">
        <w:rPr>
          <w:rFonts w:ascii="Times New Roman" w:hAnsi="Times New Roman" w:cs="Times New Roman"/>
          <w:sz w:val="28"/>
          <w:szCs w:val="28"/>
        </w:rPr>
        <w:t xml:space="preserve"> of the interim order</w:t>
      </w:r>
      <w:r w:rsidR="002D5FA5" w:rsidRPr="008F21AE">
        <w:rPr>
          <w:rFonts w:ascii="Times New Roman" w:hAnsi="Times New Roman" w:cs="Times New Roman"/>
          <w:sz w:val="28"/>
          <w:szCs w:val="28"/>
        </w:rPr>
        <w:t xml:space="preserve"> that would require the applicants to initiate </w:t>
      </w:r>
      <w:r w:rsidR="00D801A0" w:rsidRPr="008F21AE">
        <w:rPr>
          <w:rFonts w:ascii="Times New Roman" w:hAnsi="Times New Roman" w:cs="Times New Roman"/>
          <w:sz w:val="28"/>
          <w:szCs w:val="28"/>
        </w:rPr>
        <w:t>the</w:t>
      </w:r>
      <w:r w:rsidR="002D5FA5" w:rsidRPr="008F21AE">
        <w:rPr>
          <w:rFonts w:ascii="Times New Roman" w:hAnsi="Times New Roman" w:cs="Times New Roman"/>
          <w:sz w:val="28"/>
          <w:szCs w:val="28"/>
        </w:rPr>
        <w:t xml:space="preserve"> anticipated application for review </w:t>
      </w:r>
      <w:r w:rsidR="00D801A0" w:rsidRPr="008F21AE">
        <w:rPr>
          <w:rFonts w:ascii="Times New Roman" w:hAnsi="Times New Roman" w:cs="Times New Roman"/>
          <w:sz w:val="28"/>
          <w:szCs w:val="28"/>
        </w:rPr>
        <w:t>within</w:t>
      </w:r>
      <w:r w:rsidR="002D5FA5" w:rsidRPr="008F21AE">
        <w:rPr>
          <w:rFonts w:ascii="Times New Roman" w:hAnsi="Times New Roman" w:cs="Times New Roman"/>
          <w:sz w:val="28"/>
          <w:szCs w:val="28"/>
        </w:rPr>
        <w:t xml:space="preserve"> a shorter time frame</w:t>
      </w:r>
      <w:r w:rsidR="00114A47" w:rsidRPr="008F21AE">
        <w:rPr>
          <w:rFonts w:ascii="Times New Roman" w:hAnsi="Times New Roman" w:cs="Times New Roman"/>
          <w:sz w:val="28"/>
          <w:szCs w:val="28"/>
        </w:rPr>
        <w:t xml:space="preserve"> with due regard to the interests of the respondents who would know the</w:t>
      </w:r>
      <w:r w:rsidR="005A7EA0" w:rsidRPr="008F21AE">
        <w:rPr>
          <w:rFonts w:ascii="Times New Roman" w:hAnsi="Times New Roman" w:cs="Times New Roman"/>
          <w:sz w:val="28"/>
          <w:szCs w:val="28"/>
        </w:rPr>
        <w:t>ir</w:t>
      </w:r>
      <w:r w:rsidR="00114A47" w:rsidRPr="008F21AE">
        <w:rPr>
          <w:rFonts w:ascii="Times New Roman" w:hAnsi="Times New Roman" w:cs="Times New Roman"/>
          <w:sz w:val="28"/>
          <w:szCs w:val="28"/>
        </w:rPr>
        <w:t xml:space="preserve"> fate in respect of the proposed review with certainty</w:t>
      </w:r>
      <w:r w:rsidR="005A7EA0" w:rsidRPr="008F21AE">
        <w:rPr>
          <w:rFonts w:ascii="Times New Roman" w:hAnsi="Times New Roman" w:cs="Times New Roman"/>
          <w:sz w:val="28"/>
          <w:szCs w:val="28"/>
        </w:rPr>
        <w:t xml:space="preserve"> in a shorter while</w:t>
      </w:r>
      <w:r w:rsidR="00114A47" w:rsidRPr="008F21AE">
        <w:rPr>
          <w:rFonts w:ascii="Times New Roman" w:hAnsi="Times New Roman" w:cs="Times New Roman"/>
          <w:sz w:val="28"/>
          <w:szCs w:val="28"/>
        </w:rPr>
        <w:t>.</w:t>
      </w:r>
      <w:r w:rsidR="00703DE4" w:rsidRPr="008F21AE">
        <w:rPr>
          <w:rFonts w:ascii="Times New Roman" w:hAnsi="Times New Roman" w:cs="Times New Roman"/>
          <w:sz w:val="28"/>
          <w:szCs w:val="28"/>
        </w:rPr>
        <w:t xml:space="preserve">  </w:t>
      </w:r>
    </w:p>
    <w:p w14:paraId="6D62E947" w14:textId="77777777" w:rsidR="002D5FA5" w:rsidRDefault="002D5FA5" w:rsidP="002D5FA5">
      <w:pPr>
        <w:pStyle w:val="ListParagraph"/>
        <w:spacing w:line="360" w:lineRule="auto"/>
        <w:ind w:left="0"/>
        <w:jc w:val="both"/>
        <w:rPr>
          <w:rFonts w:ascii="Times New Roman" w:hAnsi="Times New Roman" w:cs="Times New Roman"/>
          <w:sz w:val="28"/>
          <w:szCs w:val="28"/>
        </w:rPr>
      </w:pPr>
    </w:p>
    <w:p w14:paraId="069C3405" w14:textId="70C13D2B" w:rsidR="002D5FA5"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703DE4" w:rsidRPr="008F21AE">
        <w:rPr>
          <w:rFonts w:ascii="Times New Roman" w:hAnsi="Times New Roman" w:cs="Times New Roman"/>
          <w:sz w:val="28"/>
          <w:szCs w:val="28"/>
        </w:rPr>
        <w:t>Having invited the parties to request reasons for my order</w:t>
      </w:r>
      <w:r w:rsidR="002D5FA5" w:rsidRPr="008F21AE">
        <w:rPr>
          <w:rFonts w:ascii="Times New Roman" w:hAnsi="Times New Roman" w:cs="Times New Roman"/>
          <w:sz w:val="28"/>
          <w:szCs w:val="28"/>
        </w:rPr>
        <w:t>, b</w:t>
      </w:r>
      <w:r w:rsidR="00703DE4" w:rsidRPr="008F21AE">
        <w:rPr>
          <w:rFonts w:ascii="Times New Roman" w:hAnsi="Times New Roman" w:cs="Times New Roman"/>
          <w:sz w:val="28"/>
          <w:szCs w:val="28"/>
        </w:rPr>
        <w:t xml:space="preserve">oth respondents took up my invitation.  </w:t>
      </w:r>
    </w:p>
    <w:p w14:paraId="31845499" w14:textId="77777777" w:rsidR="002D5FA5" w:rsidRPr="002D5FA5" w:rsidRDefault="002D5FA5" w:rsidP="002D5FA5">
      <w:pPr>
        <w:pStyle w:val="ListParagraph"/>
        <w:rPr>
          <w:rFonts w:ascii="Times New Roman" w:hAnsi="Times New Roman" w:cs="Times New Roman"/>
          <w:sz w:val="28"/>
          <w:szCs w:val="28"/>
        </w:rPr>
      </w:pPr>
    </w:p>
    <w:p w14:paraId="3CAE2E93" w14:textId="1910B417" w:rsidR="002D5FA5"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703DE4" w:rsidRPr="008F21AE">
        <w:rPr>
          <w:rFonts w:ascii="Times New Roman" w:hAnsi="Times New Roman" w:cs="Times New Roman"/>
          <w:sz w:val="28"/>
          <w:szCs w:val="28"/>
        </w:rPr>
        <w:t>The rule was essentially granted in the absence of the</w:t>
      </w:r>
      <w:r w:rsidR="00D801A0" w:rsidRPr="008F21AE">
        <w:rPr>
          <w:rFonts w:ascii="Times New Roman" w:hAnsi="Times New Roman" w:cs="Times New Roman"/>
          <w:sz w:val="28"/>
          <w:szCs w:val="28"/>
        </w:rPr>
        <w:t xml:space="preserve"> first</w:t>
      </w:r>
      <w:r w:rsidR="00703DE4" w:rsidRPr="008F21AE">
        <w:rPr>
          <w:rFonts w:ascii="Times New Roman" w:hAnsi="Times New Roman" w:cs="Times New Roman"/>
          <w:sz w:val="28"/>
          <w:szCs w:val="28"/>
        </w:rPr>
        <w:t xml:space="preserve"> respondent who w</w:t>
      </w:r>
      <w:r w:rsidR="00D801A0" w:rsidRPr="008F21AE">
        <w:rPr>
          <w:rFonts w:ascii="Times New Roman" w:hAnsi="Times New Roman" w:cs="Times New Roman"/>
          <w:sz w:val="28"/>
          <w:szCs w:val="28"/>
        </w:rPr>
        <w:t>as</w:t>
      </w:r>
      <w:r w:rsidR="00703DE4" w:rsidRPr="008F21AE">
        <w:rPr>
          <w:rFonts w:ascii="Times New Roman" w:hAnsi="Times New Roman" w:cs="Times New Roman"/>
          <w:sz w:val="28"/>
          <w:szCs w:val="28"/>
        </w:rPr>
        <w:t xml:space="preserve"> served (by email only</w:t>
      </w:r>
      <w:r w:rsidR="00114A47" w:rsidRPr="008F21AE">
        <w:rPr>
          <w:rFonts w:ascii="Times New Roman" w:hAnsi="Times New Roman" w:cs="Times New Roman"/>
          <w:sz w:val="28"/>
          <w:szCs w:val="28"/>
        </w:rPr>
        <w:t xml:space="preserve"> and </w:t>
      </w:r>
      <w:r w:rsidR="00114A47" w:rsidRPr="008F21AE">
        <w:rPr>
          <w:rFonts w:ascii="Times New Roman" w:hAnsi="Times New Roman" w:cs="Times New Roman"/>
          <w:i/>
          <w:iCs/>
          <w:sz w:val="28"/>
          <w:szCs w:val="28"/>
        </w:rPr>
        <w:t xml:space="preserve">via </w:t>
      </w:r>
      <w:r w:rsidR="00114A47" w:rsidRPr="008F21AE">
        <w:rPr>
          <w:rFonts w:ascii="Times New Roman" w:hAnsi="Times New Roman" w:cs="Times New Roman"/>
          <w:sz w:val="28"/>
          <w:szCs w:val="28"/>
        </w:rPr>
        <w:t>a private address of one of its legal dire</w:t>
      </w:r>
      <w:r w:rsidR="004B6C55" w:rsidRPr="008F21AE">
        <w:rPr>
          <w:rFonts w:ascii="Times New Roman" w:hAnsi="Times New Roman" w:cs="Times New Roman"/>
          <w:sz w:val="28"/>
          <w:szCs w:val="28"/>
        </w:rPr>
        <w:t>c</w:t>
      </w:r>
      <w:r w:rsidR="00114A47" w:rsidRPr="008F21AE">
        <w:rPr>
          <w:rFonts w:ascii="Times New Roman" w:hAnsi="Times New Roman" w:cs="Times New Roman"/>
          <w:sz w:val="28"/>
          <w:szCs w:val="28"/>
        </w:rPr>
        <w:t>tors</w:t>
      </w:r>
      <w:r w:rsidR="00703DE4" w:rsidRPr="008F21AE">
        <w:rPr>
          <w:rFonts w:ascii="Times New Roman" w:hAnsi="Times New Roman" w:cs="Times New Roman"/>
          <w:sz w:val="28"/>
          <w:szCs w:val="28"/>
        </w:rPr>
        <w:t>) minutes before the matter was</w:t>
      </w:r>
      <w:r w:rsidR="002D5FA5" w:rsidRPr="008F21AE">
        <w:rPr>
          <w:rFonts w:ascii="Times New Roman" w:hAnsi="Times New Roman" w:cs="Times New Roman"/>
          <w:sz w:val="28"/>
          <w:szCs w:val="28"/>
        </w:rPr>
        <w:t xml:space="preserve"> due</w:t>
      </w:r>
      <w:r w:rsidR="00703DE4" w:rsidRPr="008F21AE">
        <w:rPr>
          <w:rFonts w:ascii="Times New Roman" w:hAnsi="Times New Roman" w:cs="Times New Roman"/>
          <w:sz w:val="28"/>
          <w:szCs w:val="28"/>
        </w:rPr>
        <w:t xml:space="preserve"> to be hea</w:t>
      </w:r>
      <w:r w:rsidR="008E65DF" w:rsidRPr="008F21AE">
        <w:rPr>
          <w:rFonts w:ascii="Times New Roman" w:hAnsi="Times New Roman" w:cs="Times New Roman"/>
          <w:sz w:val="28"/>
          <w:szCs w:val="28"/>
        </w:rPr>
        <w:t>rd for the first time at 16</w:t>
      </w:r>
      <w:r w:rsidR="002D5FA5" w:rsidRPr="008F21AE">
        <w:rPr>
          <w:rFonts w:ascii="Times New Roman" w:hAnsi="Times New Roman" w:cs="Times New Roman"/>
          <w:sz w:val="28"/>
          <w:szCs w:val="28"/>
        </w:rPr>
        <w:t xml:space="preserve">h30 </w:t>
      </w:r>
      <w:r w:rsidR="00703DE4" w:rsidRPr="008F21AE">
        <w:rPr>
          <w:rFonts w:ascii="Times New Roman" w:hAnsi="Times New Roman" w:cs="Times New Roman"/>
          <w:sz w:val="28"/>
          <w:szCs w:val="28"/>
        </w:rPr>
        <w:t>on Monday, 15 August 2022.</w:t>
      </w:r>
      <w:r w:rsidR="00D801A0">
        <w:rPr>
          <w:rStyle w:val="FootnoteReference"/>
          <w:rFonts w:ascii="Times New Roman" w:hAnsi="Times New Roman" w:cs="Times New Roman"/>
          <w:sz w:val="28"/>
          <w:szCs w:val="28"/>
        </w:rPr>
        <w:footnoteReference w:id="1"/>
      </w:r>
      <w:r w:rsidR="00703DE4" w:rsidRPr="008F21AE">
        <w:rPr>
          <w:rFonts w:ascii="Times New Roman" w:hAnsi="Times New Roman" w:cs="Times New Roman"/>
          <w:sz w:val="28"/>
          <w:szCs w:val="28"/>
        </w:rPr>
        <w:t xml:space="preserve">  </w:t>
      </w:r>
    </w:p>
    <w:p w14:paraId="013D91B3" w14:textId="77777777" w:rsidR="002D5FA5" w:rsidRPr="002D5FA5" w:rsidRDefault="002D5FA5" w:rsidP="002D5FA5">
      <w:pPr>
        <w:pStyle w:val="ListParagraph"/>
        <w:rPr>
          <w:rFonts w:ascii="Times New Roman" w:hAnsi="Times New Roman" w:cs="Times New Roman"/>
          <w:sz w:val="28"/>
          <w:szCs w:val="28"/>
        </w:rPr>
      </w:pPr>
    </w:p>
    <w:p w14:paraId="320B40C4" w14:textId="4F9C35C2" w:rsidR="00B73E80"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2D5FA5" w:rsidRPr="008F21AE">
        <w:rPr>
          <w:rFonts w:ascii="Times New Roman" w:hAnsi="Times New Roman" w:cs="Times New Roman"/>
          <w:sz w:val="28"/>
          <w:szCs w:val="28"/>
        </w:rPr>
        <w:t>My order and the</w:t>
      </w:r>
      <w:r w:rsidR="00703DE4" w:rsidRPr="008F21AE">
        <w:rPr>
          <w:rFonts w:ascii="Times New Roman" w:hAnsi="Times New Roman" w:cs="Times New Roman"/>
          <w:sz w:val="28"/>
          <w:szCs w:val="28"/>
        </w:rPr>
        <w:t xml:space="preserve"> rule </w:t>
      </w:r>
      <w:r w:rsidR="00703DE4" w:rsidRPr="008F21AE">
        <w:rPr>
          <w:rFonts w:ascii="Times New Roman" w:hAnsi="Times New Roman" w:cs="Times New Roman"/>
          <w:i/>
          <w:sz w:val="28"/>
          <w:szCs w:val="28"/>
        </w:rPr>
        <w:t>nisi</w:t>
      </w:r>
      <w:r w:rsidR="00703DE4" w:rsidRPr="008F21AE">
        <w:rPr>
          <w:rFonts w:ascii="Times New Roman" w:hAnsi="Times New Roman" w:cs="Times New Roman"/>
          <w:sz w:val="28"/>
          <w:szCs w:val="28"/>
        </w:rPr>
        <w:t xml:space="preserve"> provided as follows:</w:t>
      </w:r>
    </w:p>
    <w:p w14:paraId="74C076A5" w14:textId="77777777" w:rsidR="00703DE4" w:rsidRDefault="00703DE4" w:rsidP="00703DE4">
      <w:pPr>
        <w:pStyle w:val="ListParagraph"/>
        <w:spacing w:line="360" w:lineRule="auto"/>
        <w:ind w:left="0"/>
        <w:jc w:val="both"/>
        <w:rPr>
          <w:rFonts w:ascii="Times New Roman" w:hAnsi="Times New Roman" w:cs="Times New Roman"/>
          <w:sz w:val="28"/>
          <w:szCs w:val="28"/>
        </w:rPr>
      </w:pPr>
    </w:p>
    <w:p w14:paraId="16947C50" w14:textId="77777777" w:rsidR="009D352F" w:rsidRPr="0075376C" w:rsidRDefault="009D352F" w:rsidP="0075376C">
      <w:pPr>
        <w:pStyle w:val="ListParagraph"/>
        <w:spacing w:line="360" w:lineRule="auto"/>
        <w:ind w:left="1440" w:hanging="720"/>
        <w:jc w:val="both"/>
        <w:rPr>
          <w:rFonts w:ascii="Times New Roman" w:hAnsi="Times New Roman" w:cs="Times New Roman"/>
          <w:sz w:val="24"/>
          <w:szCs w:val="24"/>
        </w:rPr>
      </w:pPr>
      <w:r w:rsidRPr="0075376C">
        <w:rPr>
          <w:rFonts w:ascii="Times New Roman" w:hAnsi="Times New Roman" w:cs="Times New Roman"/>
          <w:sz w:val="24"/>
          <w:szCs w:val="24"/>
        </w:rPr>
        <w:t>“1.</w:t>
      </w:r>
      <w:r w:rsidRPr="0075376C">
        <w:rPr>
          <w:rFonts w:ascii="Times New Roman" w:hAnsi="Times New Roman" w:cs="Times New Roman"/>
          <w:sz w:val="24"/>
          <w:szCs w:val="24"/>
        </w:rPr>
        <w:tab/>
        <w:t>The applicants’ non-compliance with the Rules of this Honourable Court as regard the time limits, forms and service is condoned and the matter is heard as one of urgency in terms of Rule 6(12)(a) of the Uniform Rules of Court;</w:t>
      </w:r>
    </w:p>
    <w:p w14:paraId="5971B532" w14:textId="77777777" w:rsidR="009D352F" w:rsidRPr="0075376C" w:rsidRDefault="009D352F" w:rsidP="0075376C">
      <w:pPr>
        <w:pStyle w:val="ListParagraph"/>
        <w:spacing w:line="360" w:lineRule="auto"/>
        <w:ind w:left="1440" w:hanging="720"/>
        <w:jc w:val="both"/>
        <w:rPr>
          <w:rFonts w:ascii="Times New Roman" w:hAnsi="Times New Roman" w:cs="Times New Roman"/>
          <w:sz w:val="24"/>
          <w:szCs w:val="24"/>
        </w:rPr>
      </w:pPr>
      <w:r w:rsidRPr="0075376C">
        <w:rPr>
          <w:rFonts w:ascii="Times New Roman" w:hAnsi="Times New Roman" w:cs="Times New Roman"/>
          <w:sz w:val="24"/>
          <w:szCs w:val="24"/>
        </w:rPr>
        <w:t>2.</w:t>
      </w:r>
      <w:r w:rsidRPr="0075376C">
        <w:rPr>
          <w:rFonts w:ascii="Times New Roman" w:hAnsi="Times New Roman" w:cs="Times New Roman"/>
          <w:sz w:val="24"/>
          <w:szCs w:val="24"/>
        </w:rPr>
        <w:tab/>
      </w:r>
      <w:r w:rsidR="002D5FA5">
        <w:rPr>
          <w:rFonts w:ascii="Times New Roman" w:hAnsi="Times New Roman" w:cs="Times New Roman"/>
          <w:sz w:val="24"/>
          <w:szCs w:val="24"/>
        </w:rPr>
        <w:t>N</w:t>
      </w:r>
      <w:r w:rsidRPr="0075376C">
        <w:rPr>
          <w:rFonts w:ascii="Times New Roman" w:hAnsi="Times New Roman" w:cs="Times New Roman"/>
          <w:sz w:val="24"/>
          <w:szCs w:val="24"/>
        </w:rPr>
        <w:t>on-compliance with the provisions of section 35 of the General Law Amendment Act 62 of 1955, is condoned;</w:t>
      </w:r>
    </w:p>
    <w:p w14:paraId="7A41187A" w14:textId="77777777" w:rsidR="009D352F" w:rsidRPr="0075376C" w:rsidRDefault="009D352F" w:rsidP="0075376C">
      <w:pPr>
        <w:pStyle w:val="ListParagraph"/>
        <w:spacing w:line="360" w:lineRule="auto"/>
        <w:ind w:left="1440" w:hanging="720"/>
        <w:jc w:val="both"/>
        <w:rPr>
          <w:rFonts w:ascii="Times New Roman" w:hAnsi="Times New Roman" w:cs="Times New Roman"/>
          <w:sz w:val="24"/>
          <w:szCs w:val="24"/>
        </w:rPr>
      </w:pPr>
      <w:r w:rsidRPr="0075376C">
        <w:rPr>
          <w:rFonts w:ascii="Times New Roman" w:hAnsi="Times New Roman" w:cs="Times New Roman"/>
          <w:sz w:val="24"/>
          <w:szCs w:val="24"/>
        </w:rPr>
        <w:t>3.</w:t>
      </w:r>
      <w:r w:rsidRPr="0075376C">
        <w:rPr>
          <w:rFonts w:ascii="Times New Roman" w:hAnsi="Times New Roman" w:cs="Times New Roman"/>
          <w:sz w:val="24"/>
          <w:szCs w:val="24"/>
        </w:rPr>
        <w:tab/>
        <w:t xml:space="preserve">A </w:t>
      </w:r>
      <w:r w:rsidRPr="0075376C">
        <w:rPr>
          <w:rFonts w:ascii="Times New Roman" w:hAnsi="Times New Roman" w:cs="Times New Roman"/>
          <w:i/>
          <w:sz w:val="24"/>
          <w:szCs w:val="24"/>
        </w:rPr>
        <w:t>rule nisi</w:t>
      </w:r>
      <w:r w:rsidRPr="0075376C">
        <w:rPr>
          <w:rFonts w:ascii="Times New Roman" w:hAnsi="Times New Roman" w:cs="Times New Roman"/>
          <w:sz w:val="24"/>
          <w:szCs w:val="24"/>
        </w:rPr>
        <w:t xml:space="preserve"> be and is hereby issued, calling upon all interested parties, including the successful bidders, to show cause on 19 August 2022 at 09h30 why the </w:t>
      </w:r>
      <w:r w:rsidRPr="0075376C">
        <w:rPr>
          <w:rFonts w:ascii="Times New Roman" w:hAnsi="Times New Roman" w:cs="Times New Roman"/>
          <w:sz w:val="24"/>
          <w:szCs w:val="24"/>
        </w:rPr>
        <w:lastRenderedPageBreak/>
        <w:t>following order should not be made pending the finalisation of review proceedings, which is to be instituted in respect of the awarding of the contract under Bid Number: SCMU4-21/220019:</w:t>
      </w:r>
    </w:p>
    <w:p w14:paraId="2E54EDF1" w14:textId="77777777" w:rsidR="009D352F" w:rsidRPr="0075376C" w:rsidRDefault="009D352F" w:rsidP="0075376C">
      <w:pPr>
        <w:pStyle w:val="ListParagraph"/>
        <w:spacing w:line="360" w:lineRule="auto"/>
        <w:ind w:left="2160" w:hanging="720"/>
        <w:jc w:val="both"/>
        <w:rPr>
          <w:rFonts w:ascii="Times New Roman" w:hAnsi="Times New Roman" w:cs="Times New Roman"/>
          <w:sz w:val="24"/>
          <w:szCs w:val="24"/>
        </w:rPr>
      </w:pPr>
      <w:r w:rsidRPr="0075376C">
        <w:rPr>
          <w:rFonts w:ascii="Times New Roman" w:hAnsi="Times New Roman" w:cs="Times New Roman"/>
          <w:sz w:val="24"/>
          <w:szCs w:val="24"/>
        </w:rPr>
        <w:t>3.1</w:t>
      </w:r>
      <w:r w:rsidRPr="0075376C">
        <w:rPr>
          <w:rFonts w:ascii="Times New Roman" w:hAnsi="Times New Roman" w:cs="Times New Roman"/>
          <w:sz w:val="24"/>
          <w:szCs w:val="24"/>
        </w:rPr>
        <w:tab/>
        <w:t>That the respondent is and</w:t>
      </w:r>
      <w:r w:rsidR="002D5FA5">
        <w:rPr>
          <w:rFonts w:ascii="Times New Roman" w:hAnsi="Times New Roman" w:cs="Times New Roman"/>
          <w:sz w:val="24"/>
          <w:szCs w:val="24"/>
        </w:rPr>
        <w:t xml:space="preserve"> is</w:t>
      </w:r>
      <w:r w:rsidRPr="0075376C">
        <w:rPr>
          <w:rFonts w:ascii="Times New Roman" w:hAnsi="Times New Roman" w:cs="Times New Roman"/>
          <w:sz w:val="24"/>
          <w:szCs w:val="24"/>
        </w:rPr>
        <w:t xml:space="preserve"> hereby interdicted and restrained from in any way implementing the decision to award Bid Number SCMU4-21/220019;</w:t>
      </w:r>
    </w:p>
    <w:p w14:paraId="0B390681" w14:textId="77777777" w:rsidR="009D352F" w:rsidRPr="0075376C" w:rsidRDefault="009D352F" w:rsidP="0075376C">
      <w:pPr>
        <w:pStyle w:val="ListParagraph"/>
        <w:spacing w:line="360" w:lineRule="auto"/>
        <w:ind w:left="2160" w:hanging="720"/>
        <w:jc w:val="both"/>
        <w:rPr>
          <w:rFonts w:ascii="Times New Roman" w:hAnsi="Times New Roman" w:cs="Times New Roman"/>
          <w:sz w:val="24"/>
          <w:szCs w:val="24"/>
        </w:rPr>
      </w:pPr>
      <w:r w:rsidRPr="0075376C">
        <w:rPr>
          <w:rFonts w:ascii="Times New Roman" w:hAnsi="Times New Roman" w:cs="Times New Roman"/>
          <w:sz w:val="24"/>
          <w:szCs w:val="24"/>
        </w:rPr>
        <w:t>3.2</w:t>
      </w:r>
      <w:r w:rsidRPr="0075376C">
        <w:rPr>
          <w:rFonts w:ascii="Times New Roman" w:hAnsi="Times New Roman" w:cs="Times New Roman"/>
          <w:sz w:val="24"/>
          <w:szCs w:val="24"/>
        </w:rPr>
        <w:tab/>
        <w:t>The successful bidder is likewise interdicted from commencing any work under Bid Number SCMU4-21/220019;</w:t>
      </w:r>
    </w:p>
    <w:p w14:paraId="25BB2F13" w14:textId="77777777" w:rsidR="009D352F" w:rsidRPr="0075376C" w:rsidRDefault="009D352F" w:rsidP="0075376C">
      <w:pPr>
        <w:pStyle w:val="ListParagraph"/>
        <w:spacing w:line="360" w:lineRule="auto"/>
        <w:ind w:left="0" w:firstLine="720"/>
        <w:jc w:val="both"/>
        <w:rPr>
          <w:rFonts w:ascii="Times New Roman" w:hAnsi="Times New Roman" w:cs="Times New Roman"/>
          <w:sz w:val="24"/>
          <w:szCs w:val="24"/>
        </w:rPr>
      </w:pPr>
      <w:r w:rsidRPr="0075376C">
        <w:rPr>
          <w:rFonts w:ascii="Times New Roman" w:hAnsi="Times New Roman" w:cs="Times New Roman"/>
          <w:sz w:val="24"/>
          <w:szCs w:val="24"/>
        </w:rPr>
        <w:tab/>
        <w:t>3.3</w:t>
      </w:r>
      <w:r w:rsidRPr="0075376C">
        <w:rPr>
          <w:rFonts w:ascii="Times New Roman" w:hAnsi="Times New Roman" w:cs="Times New Roman"/>
          <w:sz w:val="24"/>
          <w:szCs w:val="24"/>
        </w:rPr>
        <w:tab/>
        <w:t>The costs of application to be costs in the review application.</w:t>
      </w:r>
    </w:p>
    <w:p w14:paraId="1909A5D3" w14:textId="77777777" w:rsidR="00873C82" w:rsidRPr="0075376C" w:rsidRDefault="002D5FA5" w:rsidP="0075376C">
      <w:pPr>
        <w:pStyle w:val="ListParagraph"/>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w:t>
      </w:r>
      <w:r w:rsidR="009D352F" w:rsidRPr="0075376C">
        <w:rPr>
          <w:rFonts w:ascii="Times New Roman" w:hAnsi="Times New Roman" w:cs="Times New Roman"/>
          <w:sz w:val="24"/>
          <w:szCs w:val="24"/>
        </w:rPr>
        <w:t xml:space="preserve">he orders in the first two paragraphs in the preceding paragraph shall operate as an interim interdict with immediate effect pending finalisation </w:t>
      </w:r>
      <w:r w:rsidR="00873C82" w:rsidRPr="0075376C">
        <w:rPr>
          <w:rFonts w:ascii="Times New Roman" w:hAnsi="Times New Roman" w:cs="Times New Roman"/>
          <w:sz w:val="24"/>
          <w:szCs w:val="24"/>
        </w:rPr>
        <w:t>of the judicial review application to be instituted by the applicants within twenty (2</w:t>
      </w:r>
      <w:r>
        <w:rPr>
          <w:rFonts w:ascii="Times New Roman" w:hAnsi="Times New Roman" w:cs="Times New Roman"/>
          <w:sz w:val="24"/>
          <w:szCs w:val="24"/>
        </w:rPr>
        <w:t>0</w:t>
      </w:r>
      <w:r w:rsidR="00873C82" w:rsidRPr="0075376C">
        <w:rPr>
          <w:rFonts w:ascii="Times New Roman" w:hAnsi="Times New Roman" w:cs="Times New Roman"/>
          <w:sz w:val="24"/>
          <w:szCs w:val="24"/>
        </w:rPr>
        <w:t>) days of this order against the decision of the respondent’s Department to award tender number: SCMU4-21/220019, failing which the interim interdict will fall away.</w:t>
      </w:r>
    </w:p>
    <w:p w14:paraId="222B52CA" w14:textId="77777777" w:rsidR="00873C82" w:rsidRPr="0075376C" w:rsidRDefault="00873C82" w:rsidP="0075376C">
      <w:pPr>
        <w:spacing w:line="360" w:lineRule="auto"/>
        <w:ind w:firstLine="720"/>
        <w:contextualSpacing/>
        <w:jc w:val="both"/>
        <w:rPr>
          <w:rFonts w:ascii="Times New Roman" w:hAnsi="Times New Roman" w:cs="Times New Roman"/>
          <w:sz w:val="24"/>
          <w:szCs w:val="24"/>
        </w:rPr>
      </w:pPr>
      <w:r w:rsidRPr="0075376C">
        <w:rPr>
          <w:rFonts w:ascii="Times New Roman" w:hAnsi="Times New Roman" w:cs="Times New Roman"/>
          <w:sz w:val="24"/>
          <w:szCs w:val="24"/>
        </w:rPr>
        <w:t>5.</w:t>
      </w:r>
      <w:r w:rsidRPr="0075376C">
        <w:rPr>
          <w:rFonts w:ascii="Times New Roman" w:hAnsi="Times New Roman" w:cs="Times New Roman"/>
          <w:sz w:val="24"/>
          <w:szCs w:val="24"/>
        </w:rPr>
        <w:tab/>
        <w:t>That service of this order take place by email to the following email addresses.</w:t>
      </w:r>
    </w:p>
    <w:p w14:paraId="7313DFA1" w14:textId="77777777" w:rsidR="0075376C" w:rsidRPr="0075376C" w:rsidRDefault="0075376C" w:rsidP="0075376C">
      <w:pPr>
        <w:spacing w:line="360" w:lineRule="auto"/>
        <w:ind w:firstLine="720"/>
        <w:contextualSpacing/>
        <w:jc w:val="both"/>
        <w:rPr>
          <w:rFonts w:ascii="Times New Roman" w:hAnsi="Times New Roman" w:cs="Times New Roman"/>
          <w:sz w:val="24"/>
          <w:szCs w:val="24"/>
        </w:rPr>
      </w:pPr>
      <w:r w:rsidRPr="0075376C">
        <w:rPr>
          <w:rFonts w:ascii="Times New Roman" w:hAnsi="Times New Roman" w:cs="Times New Roman"/>
          <w:sz w:val="24"/>
          <w:szCs w:val="24"/>
        </w:rPr>
        <w:tab/>
        <w:t>a)</w:t>
      </w:r>
      <w:r w:rsidRPr="0075376C">
        <w:rPr>
          <w:rFonts w:ascii="Times New Roman" w:hAnsi="Times New Roman" w:cs="Times New Roman"/>
          <w:sz w:val="24"/>
          <w:szCs w:val="24"/>
        </w:rPr>
        <w:tab/>
      </w:r>
      <w:r w:rsidR="002D5FA5">
        <w:rPr>
          <w:rFonts w:ascii="Times New Roman" w:hAnsi="Times New Roman" w:cs="Times New Roman"/>
          <w:sz w:val="24"/>
          <w:szCs w:val="24"/>
        </w:rPr>
        <w:t>…</w:t>
      </w:r>
      <w:r w:rsidRPr="0075376C">
        <w:rPr>
          <w:rFonts w:ascii="Times New Roman" w:hAnsi="Times New Roman" w:cs="Times New Roman"/>
          <w:sz w:val="24"/>
          <w:szCs w:val="24"/>
        </w:rPr>
        <w:t>;</w:t>
      </w:r>
    </w:p>
    <w:p w14:paraId="5C7711EE" w14:textId="77777777" w:rsidR="0075376C" w:rsidRPr="0075376C" w:rsidRDefault="0075376C" w:rsidP="0075376C">
      <w:pPr>
        <w:spacing w:line="360" w:lineRule="auto"/>
        <w:ind w:firstLine="720"/>
        <w:contextualSpacing/>
        <w:jc w:val="both"/>
        <w:rPr>
          <w:rFonts w:ascii="Times New Roman" w:hAnsi="Times New Roman" w:cs="Times New Roman"/>
          <w:sz w:val="24"/>
          <w:szCs w:val="24"/>
        </w:rPr>
      </w:pPr>
      <w:r w:rsidRPr="0075376C">
        <w:rPr>
          <w:rFonts w:ascii="Times New Roman" w:hAnsi="Times New Roman" w:cs="Times New Roman"/>
          <w:sz w:val="24"/>
          <w:szCs w:val="24"/>
        </w:rPr>
        <w:tab/>
        <w:t>b)</w:t>
      </w:r>
      <w:r w:rsidRPr="0075376C">
        <w:rPr>
          <w:rFonts w:ascii="Times New Roman" w:hAnsi="Times New Roman" w:cs="Times New Roman"/>
          <w:sz w:val="24"/>
          <w:szCs w:val="24"/>
        </w:rPr>
        <w:tab/>
      </w:r>
      <w:r w:rsidR="002D5FA5">
        <w:rPr>
          <w:rFonts w:ascii="Times New Roman" w:hAnsi="Times New Roman" w:cs="Times New Roman"/>
          <w:sz w:val="24"/>
          <w:szCs w:val="24"/>
        </w:rPr>
        <w:t>…</w:t>
      </w:r>
      <w:r w:rsidRPr="0075376C">
        <w:rPr>
          <w:rFonts w:ascii="Times New Roman" w:hAnsi="Times New Roman" w:cs="Times New Roman"/>
          <w:sz w:val="24"/>
          <w:szCs w:val="24"/>
        </w:rPr>
        <w:t>;</w:t>
      </w:r>
    </w:p>
    <w:p w14:paraId="5EF7CDC5" w14:textId="77777777" w:rsidR="0075376C" w:rsidRPr="0075376C" w:rsidRDefault="0075376C" w:rsidP="0075376C">
      <w:pPr>
        <w:spacing w:line="360" w:lineRule="auto"/>
        <w:ind w:firstLine="720"/>
        <w:contextualSpacing/>
        <w:jc w:val="both"/>
        <w:rPr>
          <w:rFonts w:ascii="Times New Roman" w:hAnsi="Times New Roman" w:cs="Times New Roman"/>
          <w:sz w:val="24"/>
          <w:szCs w:val="24"/>
        </w:rPr>
      </w:pPr>
      <w:r w:rsidRPr="0075376C">
        <w:rPr>
          <w:rFonts w:ascii="Times New Roman" w:hAnsi="Times New Roman" w:cs="Times New Roman"/>
          <w:sz w:val="24"/>
          <w:szCs w:val="24"/>
        </w:rPr>
        <w:tab/>
        <w:t>c)</w:t>
      </w:r>
      <w:r w:rsidRPr="0075376C">
        <w:rPr>
          <w:rFonts w:ascii="Times New Roman" w:hAnsi="Times New Roman" w:cs="Times New Roman"/>
          <w:sz w:val="24"/>
          <w:szCs w:val="24"/>
        </w:rPr>
        <w:tab/>
      </w:r>
      <w:r w:rsidR="002D5FA5">
        <w:rPr>
          <w:rFonts w:ascii="Times New Roman" w:hAnsi="Times New Roman" w:cs="Times New Roman"/>
          <w:sz w:val="24"/>
          <w:szCs w:val="24"/>
        </w:rPr>
        <w:t>…</w:t>
      </w:r>
      <w:r w:rsidRPr="0075376C">
        <w:rPr>
          <w:rFonts w:ascii="Times New Roman" w:hAnsi="Times New Roman" w:cs="Times New Roman"/>
          <w:sz w:val="24"/>
          <w:szCs w:val="24"/>
        </w:rPr>
        <w:t xml:space="preserve">; </w:t>
      </w:r>
    </w:p>
    <w:p w14:paraId="639DF780" w14:textId="77777777" w:rsidR="0075376C" w:rsidRPr="0075376C" w:rsidRDefault="0075376C" w:rsidP="0075376C">
      <w:pPr>
        <w:spacing w:line="360" w:lineRule="auto"/>
        <w:ind w:firstLine="720"/>
        <w:contextualSpacing/>
        <w:jc w:val="both"/>
        <w:rPr>
          <w:rFonts w:ascii="Times New Roman" w:hAnsi="Times New Roman" w:cs="Times New Roman"/>
          <w:sz w:val="24"/>
          <w:szCs w:val="24"/>
        </w:rPr>
      </w:pPr>
      <w:r w:rsidRPr="0075376C">
        <w:rPr>
          <w:rFonts w:ascii="Times New Roman" w:hAnsi="Times New Roman" w:cs="Times New Roman"/>
          <w:sz w:val="24"/>
          <w:szCs w:val="24"/>
        </w:rPr>
        <w:tab/>
        <w:t>d)</w:t>
      </w:r>
      <w:r w:rsidRPr="0075376C">
        <w:rPr>
          <w:rFonts w:ascii="Times New Roman" w:hAnsi="Times New Roman" w:cs="Times New Roman"/>
          <w:sz w:val="24"/>
          <w:szCs w:val="24"/>
        </w:rPr>
        <w:tab/>
      </w:r>
      <w:r w:rsidR="002D5FA5">
        <w:rPr>
          <w:rFonts w:ascii="Times New Roman" w:hAnsi="Times New Roman" w:cs="Times New Roman"/>
          <w:sz w:val="24"/>
          <w:szCs w:val="24"/>
        </w:rPr>
        <w:t>…</w:t>
      </w:r>
    </w:p>
    <w:p w14:paraId="3E2CC9C9" w14:textId="77777777" w:rsidR="0075376C" w:rsidRPr="0075376C" w:rsidRDefault="002D5FA5" w:rsidP="0075376C">
      <w:pPr>
        <w:pStyle w:val="ListParagraph"/>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w:t>
      </w:r>
      <w:r w:rsidR="0075376C" w:rsidRPr="0075376C">
        <w:rPr>
          <w:rFonts w:ascii="Times New Roman" w:hAnsi="Times New Roman" w:cs="Times New Roman"/>
          <w:sz w:val="24"/>
          <w:szCs w:val="24"/>
        </w:rPr>
        <w:t>he respondent</w:t>
      </w:r>
      <w:r>
        <w:rPr>
          <w:rFonts w:ascii="Times New Roman" w:hAnsi="Times New Roman" w:cs="Times New Roman"/>
          <w:sz w:val="24"/>
          <w:szCs w:val="24"/>
        </w:rPr>
        <w:t xml:space="preserve"> (is)</w:t>
      </w:r>
      <w:r w:rsidR="0075376C" w:rsidRPr="0075376C">
        <w:rPr>
          <w:rFonts w:ascii="Times New Roman" w:hAnsi="Times New Roman" w:cs="Times New Roman"/>
          <w:sz w:val="24"/>
          <w:szCs w:val="24"/>
        </w:rPr>
        <w:t xml:space="preserve"> to provide the applicant’s attorney with the name and contact details of the person or company that was awarded the contract under the said bid as well as a copy of such contract on or before Wednesday, 17 August 2022 at 12h00.</w:t>
      </w:r>
    </w:p>
    <w:p w14:paraId="5745E727" w14:textId="77777777" w:rsidR="0075376C" w:rsidRPr="0075376C" w:rsidRDefault="0075376C" w:rsidP="0075376C">
      <w:pPr>
        <w:pStyle w:val="ListParagraph"/>
        <w:spacing w:line="360" w:lineRule="auto"/>
        <w:ind w:left="0" w:firstLine="720"/>
        <w:jc w:val="both"/>
        <w:rPr>
          <w:rFonts w:ascii="Times New Roman" w:hAnsi="Times New Roman" w:cs="Times New Roman"/>
          <w:sz w:val="24"/>
          <w:szCs w:val="24"/>
        </w:rPr>
      </w:pPr>
      <w:r w:rsidRPr="0075376C">
        <w:rPr>
          <w:rFonts w:ascii="Times New Roman" w:hAnsi="Times New Roman" w:cs="Times New Roman"/>
          <w:sz w:val="24"/>
          <w:szCs w:val="24"/>
        </w:rPr>
        <w:t>7.</w:t>
      </w:r>
      <w:r w:rsidRPr="0075376C">
        <w:rPr>
          <w:rFonts w:ascii="Times New Roman" w:hAnsi="Times New Roman" w:cs="Times New Roman"/>
          <w:sz w:val="24"/>
          <w:szCs w:val="24"/>
        </w:rPr>
        <w:tab/>
        <w:t>Authorising the applicants to supplement their founding papers, if so advised;</w:t>
      </w:r>
    </w:p>
    <w:p w14:paraId="2FC1B9C8" w14:textId="77777777" w:rsidR="00BD2A61" w:rsidRPr="0075376C" w:rsidRDefault="0075376C" w:rsidP="0075376C">
      <w:pPr>
        <w:pStyle w:val="ListParagraph"/>
        <w:spacing w:line="360" w:lineRule="auto"/>
        <w:ind w:left="1440" w:hanging="720"/>
        <w:jc w:val="both"/>
        <w:rPr>
          <w:rFonts w:ascii="Times New Roman" w:hAnsi="Times New Roman" w:cs="Times New Roman"/>
          <w:sz w:val="24"/>
          <w:szCs w:val="24"/>
        </w:rPr>
      </w:pPr>
      <w:r w:rsidRPr="0075376C">
        <w:rPr>
          <w:rFonts w:ascii="Times New Roman" w:hAnsi="Times New Roman" w:cs="Times New Roman"/>
          <w:sz w:val="24"/>
          <w:szCs w:val="24"/>
        </w:rPr>
        <w:t>8.</w:t>
      </w:r>
      <w:r w:rsidRPr="0075376C">
        <w:rPr>
          <w:rFonts w:ascii="Times New Roman" w:hAnsi="Times New Roman" w:cs="Times New Roman"/>
          <w:sz w:val="24"/>
          <w:szCs w:val="24"/>
        </w:rPr>
        <w:tab/>
        <w:t>The respondent may anticipate the return day upon delivery of not less than twenty-four hours’ notice to the applicants’ legal representative and the court.</w:t>
      </w:r>
    </w:p>
    <w:p w14:paraId="3600F5BD" w14:textId="77777777" w:rsidR="0075376C" w:rsidRPr="0075376C" w:rsidRDefault="002D5FA5" w:rsidP="0075376C">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T</w:t>
      </w:r>
      <w:r w:rsidR="0075376C" w:rsidRPr="0075376C">
        <w:rPr>
          <w:rFonts w:ascii="Times New Roman" w:hAnsi="Times New Roman" w:cs="Times New Roman"/>
          <w:sz w:val="24"/>
          <w:szCs w:val="24"/>
        </w:rPr>
        <w:t>he costs stand over for determination in the review application.”</w:t>
      </w:r>
    </w:p>
    <w:p w14:paraId="5DE02375" w14:textId="4E493E01" w:rsidR="00BD2A61" w:rsidRDefault="00BD2A61" w:rsidP="00703DE4">
      <w:pPr>
        <w:pStyle w:val="ListParagraph"/>
        <w:spacing w:line="360" w:lineRule="auto"/>
        <w:ind w:left="0"/>
        <w:jc w:val="both"/>
        <w:rPr>
          <w:rFonts w:ascii="Times New Roman" w:hAnsi="Times New Roman" w:cs="Times New Roman"/>
          <w:sz w:val="28"/>
          <w:szCs w:val="28"/>
        </w:rPr>
      </w:pPr>
    </w:p>
    <w:p w14:paraId="7ABD2A80" w14:textId="3223DCCC" w:rsidR="002D5FA5" w:rsidRPr="008F21AE" w:rsidRDefault="008F21AE" w:rsidP="008F21AE">
      <w:pPr>
        <w:spacing w:line="360" w:lineRule="auto"/>
        <w:jc w:val="both"/>
        <w:rPr>
          <w:rFonts w:ascii="Times New Roman" w:hAnsi="Times New Roman" w:cs="Times New Roman"/>
          <w:sz w:val="28"/>
          <w:szCs w:val="28"/>
        </w:rPr>
      </w:pPr>
      <w:r w:rsidRPr="00D905BB">
        <w:rPr>
          <w:rFonts w:ascii="Times New Roman" w:hAnsi="Times New Roman" w:cs="Times New Roman"/>
          <w:sz w:val="28"/>
          <w:szCs w:val="28"/>
        </w:rPr>
        <w:t>[5]</w:t>
      </w:r>
      <w:r w:rsidRPr="00D905BB">
        <w:rPr>
          <w:rFonts w:ascii="Times New Roman" w:hAnsi="Times New Roman" w:cs="Times New Roman"/>
          <w:sz w:val="28"/>
          <w:szCs w:val="28"/>
        </w:rPr>
        <w:tab/>
      </w:r>
      <w:r w:rsidR="00703DE4" w:rsidRPr="008F21AE">
        <w:rPr>
          <w:rFonts w:ascii="Times New Roman" w:hAnsi="Times New Roman" w:cs="Times New Roman"/>
          <w:sz w:val="28"/>
          <w:szCs w:val="28"/>
        </w:rPr>
        <w:t>On the morning of the</w:t>
      </w:r>
      <w:r w:rsidR="00D801A0" w:rsidRPr="008F21AE">
        <w:rPr>
          <w:rFonts w:ascii="Times New Roman" w:hAnsi="Times New Roman" w:cs="Times New Roman"/>
          <w:sz w:val="28"/>
          <w:szCs w:val="28"/>
        </w:rPr>
        <w:t xml:space="preserve"> launch of the application on </w:t>
      </w:r>
      <w:r w:rsidR="00703DE4" w:rsidRPr="008F21AE">
        <w:rPr>
          <w:rFonts w:ascii="Times New Roman" w:hAnsi="Times New Roman" w:cs="Times New Roman"/>
          <w:sz w:val="28"/>
          <w:szCs w:val="28"/>
        </w:rPr>
        <w:t>15</w:t>
      </w:r>
      <w:r w:rsidR="00D801A0" w:rsidRPr="008F21AE">
        <w:rPr>
          <w:rFonts w:ascii="Times New Roman" w:hAnsi="Times New Roman" w:cs="Times New Roman"/>
          <w:sz w:val="28"/>
          <w:szCs w:val="28"/>
          <w:vertAlign w:val="superscript"/>
        </w:rPr>
        <w:t xml:space="preserve"> </w:t>
      </w:r>
      <w:r w:rsidR="00D801A0" w:rsidRPr="008F21AE">
        <w:rPr>
          <w:rFonts w:ascii="Times New Roman" w:hAnsi="Times New Roman" w:cs="Times New Roman"/>
          <w:sz w:val="28"/>
          <w:szCs w:val="28"/>
        </w:rPr>
        <w:t>August 2022,</w:t>
      </w:r>
      <w:r w:rsidR="00703DE4" w:rsidRPr="008F21AE">
        <w:rPr>
          <w:rFonts w:ascii="Times New Roman" w:hAnsi="Times New Roman" w:cs="Times New Roman"/>
          <w:sz w:val="28"/>
          <w:szCs w:val="28"/>
        </w:rPr>
        <w:t xml:space="preserve"> I received a certificate of urgency from the applicants’ counsel which</w:t>
      </w:r>
      <w:r w:rsidR="00D905BB" w:rsidRPr="008F21AE">
        <w:rPr>
          <w:rFonts w:ascii="Times New Roman" w:hAnsi="Times New Roman" w:cs="Times New Roman"/>
          <w:sz w:val="28"/>
          <w:szCs w:val="28"/>
        </w:rPr>
        <w:t xml:space="preserve"> </w:t>
      </w:r>
      <w:r w:rsidR="00703DE4" w:rsidRPr="008F21AE">
        <w:rPr>
          <w:rFonts w:ascii="Times New Roman" w:hAnsi="Times New Roman" w:cs="Times New Roman"/>
          <w:sz w:val="28"/>
          <w:szCs w:val="28"/>
        </w:rPr>
        <w:t xml:space="preserve">foreshadowed the relief </w:t>
      </w:r>
      <w:r w:rsidR="002D5FA5" w:rsidRPr="008F21AE">
        <w:rPr>
          <w:rFonts w:ascii="Times New Roman" w:hAnsi="Times New Roman" w:cs="Times New Roman"/>
          <w:sz w:val="28"/>
          <w:szCs w:val="28"/>
        </w:rPr>
        <w:t xml:space="preserve">that </w:t>
      </w:r>
      <w:r w:rsidR="00703DE4" w:rsidRPr="008F21AE">
        <w:rPr>
          <w:rFonts w:ascii="Times New Roman" w:hAnsi="Times New Roman" w:cs="Times New Roman"/>
          <w:sz w:val="28"/>
          <w:szCs w:val="28"/>
        </w:rPr>
        <w:t>the</w:t>
      </w:r>
      <w:r w:rsidR="00AE2F39" w:rsidRPr="008F21AE">
        <w:rPr>
          <w:rFonts w:ascii="Times New Roman" w:hAnsi="Times New Roman" w:cs="Times New Roman"/>
          <w:sz w:val="28"/>
          <w:szCs w:val="28"/>
        </w:rPr>
        <w:t>y</w:t>
      </w:r>
      <w:r w:rsidR="00703DE4" w:rsidRPr="008F21AE">
        <w:rPr>
          <w:rFonts w:ascii="Times New Roman" w:hAnsi="Times New Roman" w:cs="Times New Roman"/>
          <w:sz w:val="28"/>
          <w:szCs w:val="28"/>
        </w:rPr>
        <w:t xml:space="preserve"> required </w:t>
      </w:r>
      <w:r w:rsidR="00114A47" w:rsidRPr="008F21AE">
        <w:rPr>
          <w:rFonts w:ascii="Times New Roman" w:hAnsi="Times New Roman" w:cs="Times New Roman"/>
          <w:sz w:val="28"/>
          <w:szCs w:val="28"/>
        </w:rPr>
        <w:t>and in which t</w:t>
      </w:r>
      <w:r w:rsidR="00703DE4" w:rsidRPr="008F21AE">
        <w:rPr>
          <w:rFonts w:ascii="Times New Roman" w:hAnsi="Times New Roman" w:cs="Times New Roman"/>
          <w:sz w:val="28"/>
          <w:szCs w:val="28"/>
        </w:rPr>
        <w:t>he reasons</w:t>
      </w:r>
      <w:r w:rsidR="00C60B7D" w:rsidRPr="008F21AE">
        <w:rPr>
          <w:rFonts w:ascii="Times New Roman" w:hAnsi="Times New Roman" w:cs="Times New Roman"/>
          <w:sz w:val="28"/>
          <w:szCs w:val="28"/>
        </w:rPr>
        <w:t xml:space="preserve"> for the professed urgency were set out</w:t>
      </w:r>
      <w:r w:rsidR="00703DE4" w:rsidRPr="008F21AE">
        <w:rPr>
          <w:rFonts w:ascii="Times New Roman" w:hAnsi="Times New Roman" w:cs="Times New Roman"/>
          <w:sz w:val="28"/>
          <w:szCs w:val="28"/>
        </w:rPr>
        <w:t xml:space="preserve">.  </w:t>
      </w:r>
      <w:r w:rsidR="0097481A" w:rsidRPr="008F21AE">
        <w:rPr>
          <w:rFonts w:ascii="Times New Roman" w:hAnsi="Times New Roman" w:cs="Times New Roman"/>
          <w:sz w:val="28"/>
          <w:szCs w:val="28"/>
        </w:rPr>
        <w:t xml:space="preserve">In essence it was alleged that a very likely constitutionally invalid contract concluded under what was feared to be </w:t>
      </w:r>
      <w:r w:rsidR="00AF58AD" w:rsidRPr="008F21AE">
        <w:rPr>
          <w:rFonts w:ascii="Times New Roman" w:hAnsi="Times New Roman" w:cs="Times New Roman"/>
          <w:sz w:val="28"/>
          <w:szCs w:val="28"/>
        </w:rPr>
        <w:t>a flawed</w:t>
      </w:r>
      <w:r w:rsidR="0097481A" w:rsidRPr="008F21AE">
        <w:rPr>
          <w:rFonts w:ascii="Times New Roman" w:hAnsi="Times New Roman" w:cs="Times New Roman"/>
          <w:sz w:val="28"/>
          <w:szCs w:val="28"/>
        </w:rPr>
        <w:t xml:space="preserve"> </w:t>
      </w:r>
      <w:r w:rsidR="00144D06" w:rsidRPr="008F21AE">
        <w:rPr>
          <w:rFonts w:ascii="Times New Roman" w:hAnsi="Times New Roman" w:cs="Times New Roman"/>
          <w:sz w:val="28"/>
          <w:szCs w:val="28"/>
        </w:rPr>
        <w:lastRenderedPageBreak/>
        <w:t>tender process</w:t>
      </w:r>
      <w:r w:rsidR="0097481A" w:rsidRPr="008F21AE">
        <w:rPr>
          <w:rFonts w:ascii="Times New Roman" w:hAnsi="Times New Roman" w:cs="Times New Roman"/>
          <w:sz w:val="28"/>
          <w:szCs w:val="28"/>
        </w:rPr>
        <w:t xml:space="preserve"> was about to be implemented that same day and, since the first respondent was not inclined to suspend its execution pending the resolution of the applicants’ declared dispute concerning it, that an interdict was vitally necessary </w:t>
      </w:r>
      <w:r w:rsidR="003619EA" w:rsidRPr="008F21AE">
        <w:rPr>
          <w:rFonts w:ascii="Times New Roman" w:hAnsi="Times New Roman" w:cs="Times New Roman"/>
          <w:sz w:val="28"/>
          <w:szCs w:val="28"/>
        </w:rPr>
        <w:t>pending a review of the tender process and outcome.</w:t>
      </w:r>
    </w:p>
    <w:p w14:paraId="46145906" w14:textId="77777777" w:rsidR="002D5FA5" w:rsidRDefault="002D5FA5" w:rsidP="002D5FA5">
      <w:pPr>
        <w:pStyle w:val="ListParagraph"/>
        <w:spacing w:line="360" w:lineRule="auto"/>
        <w:ind w:left="0"/>
        <w:jc w:val="both"/>
        <w:rPr>
          <w:rFonts w:ascii="Times New Roman" w:hAnsi="Times New Roman" w:cs="Times New Roman"/>
          <w:sz w:val="28"/>
          <w:szCs w:val="28"/>
        </w:rPr>
      </w:pPr>
    </w:p>
    <w:p w14:paraId="75C376E1" w14:textId="3BA7C4B7" w:rsidR="00114A47"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703DE4" w:rsidRPr="008F21AE">
        <w:rPr>
          <w:rFonts w:ascii="Times New Roman" w:hAnsi="Times New Roman" w:cs="Times New Roman"/>
          <w:sz w:val="28"/>
          <w:szCs w:val="28"/>
        </w:rPr>
        <w:t>The</w:t>
      </w:r>
      <w:r w:rsidR="003619EA" w:rsidRPr="008F21AE">
        <w:rPr>
          <w:rFonts w:ascii="Times New Roman" w:hAnsi="Times New Roman" w:cs="Times New Roman"/>
          <w:sz w:val="28"/>
          <w:szCs w:val="28"/>
        </w:rPr>
        <w:t xml:space="preserve"> same reasons</w:t>
      </w:r>
      <w:r w:rsidR="00703DE4" w:rsidRPr="008F21AE">
        <w:rPr>
          <w:rFonts w:ascii="Times New Roman" w:hAnsi="Times New Roman" w:cs="Times New Roman"/>
          <w:sz w:val="28"/>
          <w:szCs w:val="28"/>
        </w:rPr>
        <w:t xml:space="preserve"> were restated in the </w:t>
      </w:r>
      <w:r w:rsidR="002D5FA5" w:rsidRPr="008F21AE">
        <w:rPr>
          <w:rFonts w:ascii="Times New Roman" w:hAnsi="Times New Roman" w:cs="Times New Roman"/>
          <w:sz w:val="28"/>
          <w:szCs w:val="28"/>
        </w:rPr>
        <w:t>founding affidavit(s)</w:t>
      </w:r>
      <w:r w:rsidR="00AE2F39" w:rsidRPr="008F21AE">
        <w:rPr>
          <w:rFonts w:ascii="Times New Roman" w:hAnsi="Times New Roman" w:cs="Times New Roman"/>
          <w:sz w:val="28"/>
          <w:szCs w:val="28"/>
        </w:rPr>
        <w:t xml:space="preserve"> together with other material averments</w:t>
      </w:r>
      <w:r w:rsidR="00703DE4" w:rsidRPr="008F21AE">
        <w:rPr>
          <w:rFonts w:ascii="Times New Roman" w:hAnsi="Times New Roman" w:cs="Times New Roman"/>
          <w:sz w:val="28"/>
          <w:szCs w:val="28"/>
        </w:rPr>
        <w:t>.  In essence the four applicants, all private companies providing security</w:t>
      </w:r>
      <w:r w:rsidR="00671118" w:rsidRPr="008F21AE">
        <w:rPr>
          <w:rFonts w:ascii="Times New Roman" w:hAnsi="Times New Roman" w:cs="Times New Roman"/>
          <w:sz w:val="28"/>
          <w:szCs w:val="28"/>
        </w:rPr>
        <w:t xml:space="preserve"> </w:t>
      </w:r>
      <w:r w:rsidR="00703DE4" w:rsidRPr="008F21AE">
        <w:rPr>
          <w:rFonts w:ascii="Times New Roman" w:hAnsi="Times New Roman" w:cs="Times New Roman"/>
          <w:sz w:val="28"/>
          <w:szCs w:val="28"/>
        </w:rPr>
        <w:t>in Gqeberha had in common</w:t>
      </w:r>
      <w:r w:rsidR="00114A47" w:rsidRPr="008F21AE">
        <w:rPr>
          <w:rFonts w:ascii="Times New Roman" w:hAnsi="Times New Roman" w:cs="Times New Roman"/>
          <w:sz w:val="28"/>
          <w:szCs w:val="28"/>
        </w:rPr>
        <w:t>,</w:t>
      </w:r>
      <w:r w:rsidR="00D801A0" w:rsidRPr="008F21AE">
        <w:rPr>
          <w:rFonts w:ascii="Times New Roman" w:hAnsi="Times New Roman" w:cs="Times New Roman"/>
          <w:sz w:val="28"/>
          <w:szCs w:val="28"/>
        </w:rPr>
        <w:t xml:space="preserve"> apart from the fact that they had previously provided services to the first respondent (“the Department”) on</w:t>
      </w:r>
      <w:r w:rsidR="00114A47" w:rsidRPr="008F21AE">
        <w:rPr>
          <w:rFonts w:ascii="Times New Roman" w:hAnsi="Times New Roman" w:cs="Times New Roman"/>
          <w:sz w:val="28"/>
          <w:szCs w:val="28"/>
        </w:rPr>
        <w:t xml:space="preserve"> various</w:t>
      </w:r>
      <w:r w:rsidR="00D801A0" w:rsidRPr="008F21AE">
        <w:rPr>
          <w:rFonts w:ascii="Times New Roman" w:hAnsi="Times New Roman" w:cs="Times New Roman"/>
          <w:sz w:val="28"/>
          <w:szCs w:val="28"/>
        </w:rPr>
        <w:t xml:space="preserve"> short term contracts</w:t>
      </w:r>
      <w:r w:rsidR="00AE2F39" w:rsidRPr="008F21AE">
        <w:rPr>
          <w:rFonts w:ascii="Times New Roman" w:hAnsi="Times New Roman" w:cs="Times New Roman"/>
          <w:sz w:val="28"/>
          <w:szCs w:val="28"/>
        </w:rPr>
        <w:t>,</w:t>
      </w:r>
      <w:r w:rsidR="00C60B7D">
        <w:rPr>
          <w:rStyle w:val="FootnoteReference"/>
          <w:rFonts w:ascii="Times New Roman" w:hAnsi="Times New Roman" w:cs="Times New Roman"/>
          <w:sz w:val="28"/>
          <w:szCs w:val="28"/>
        </w:rPr>
        <w:footnoteReference w:id="2"/>
      </w:r>
      <w:r w:rsidR="00703DE4" w:rsidRPr="008F21AE">
        <w:rPr>
          <w:rFonts w:ascii="Times New Roman" w:hAnsi="Times New Roman" w:cs="Times New Roman"/>
          <w:sz w:val="28"/>
          <w:szCs w:val="28"/>
        </w:rPr>
        <w:t xml:space="preserve"> that they had tendered </w:t>
      </w:r>
      <w:r w:rsidR="00D801A0" w:rsidRPr="008F21AE">
        <w:rPr>
          <w:rFonts w:ascii="Times New Roman" w:hAnsi="Times New Roman" w:cs="Times New Roman"/>
          <w:sz w:val="28"/>
          <w:szCs w:val="28"/>
        </w:rPr>
        <w:t xml:space="preserve">and competed </w:t>
      </w:r>
      <w:r w:rsidR="00703DE4" w:rsidRPr="008F21AE">
        <w:rPr>
          <w:rFonts w:ascii="Times New Roman" w:hAnsi="Times New Roman" w:cs="Times New Roman"/>
          <w:sz w:val="28"/>
          <w:szCs w:val="28"/>
        </w:rPr>
        <w:t xml:space="preserve">for the respondent’s tender bid (SCMU4-21/220019) issued on 15 November 2021 for the provision of security services at Kwa-Nobuhle One Stop Centre, Protea, CYCC, </w:t>
      </w:r>
      <w:r w:rsidR="00D801A0" w:rsidRPr="008F21AE">
        <w:rPr>
          <w:rFonts w:ascii="Times New Roman" w:hAnsi="Times New Roman" w:cs="Times New Roman"/>
          <w:sz w:val="28"/>
          <w:szCs w:val="28"/>
        </w:rPr>
        <w:t>Erica CCYC</w:t>
      </w:r>
      <w:r w:rsidR="00703DE4" w:rsidRPr="008F21AE">
        <w:rPr>
          <w:rFonts w:ascii="Times New Roman" w:hAnsi="Times New Roman" w:cs="Times New Roman"/>
          <w:sz w:val="28"/>
          <w:szCs w:val="28"/>
        </w:rPr>
        <w:t xml:space="preserve"> and the department’s </w:t>
      </w:r>
      <w:r w:rsidR="002D5FA5" w:rsidRPr="008F21AE">
        <w:rPr>
          <w:rFonts w:ascii="Times New Roman" w:hAnsi="Times New Roman" w:cs="Times New Roman"/>
          <w:sz w:val="28"/>
          <w:szCs w:val="28"/>
        </w:rPr>
        <w:t>Ibhayi district o</w:t>
      </w:r>
      <w:r w:rsidR="00703DE4" w:rsidRPr="008F21AE">
        <w:rPr>
          <w:rFonts w:ascii="Times New Roman" w:hAnsi="Times New Roman" w:cs="Times New Roman"/>
          <w:sz w:val="28"/>
          <w:szCs w:val="28"/>
        </w:rPr>
        <w:t xml:space="preserve">ffice for </w:t>
      </w:r>
      <w:r w:rsidR="00D801A0" w:rsidRPr="008F21AE">
        <w:rPr>
          <w:rFonts w:ascii="Times New Roman" w:hAnsi="Times New Roman" w:cs="Times New Roman"/>
          <w:sz w:val="28"/>
          <w:szCs w:val="28"/>
        </w:rPr>
        <w:t xml:space="preserve">a long term period of </w:t>
      </w:r>
      <w:r w:rsidR="00703DE4" w:rsidRPr="008F21AE">
        <w:rPr>
          <w:rFonts w:ascii="Times New Roman" w:hAnsi="Times New Roman" w:cs="Times New Roman"/>
          <w:sz w:val="28"/>
          <w:szCs w:val="28"/>
        </w:rPr>
        <w:t>thirty-six months.</w:t>
      </w:r>
      <w:r w:rsidR="009933B8">
        <w:rPr>
          <w:rStyle w:val="FootnoteReference"/>
          <w:rFonts w:ascii="Times New Roman" w:hAnsi="Times New Roman" w:cs="Times New Roman"/>
          <w:sz w:val="28"/>
          <w:szCs w:val="28"/>
        </w:rPr>
        <w:footnoteReference w:id="3"/>
      </w:r>
      <w:r w:rsidR="00703DE4" w:rsidRPr="008F21AE">
        <w:rPr>
          <w:rFonts w:ascii="Times New Roman" w:hAnsi="Times New Roman" w:cs="Times New Roman"/>
          <w:sz w:val="28"/>
          <w:szCs w:val="28"/>
        </w:rPr>
        <w:t xml:space="preserve">  The tender closed on </w:t>
      </w:r>
      <w:r w:rsidR="003619EA" w:rsidRPr="008F21AE">
        <w:rPr>
          <w:rFonts w:ascii="Times New Roman" w:hAnsi="Times New Roman" w:cs="Times New Roman"/>
          <w:sz w:val="28"/>
          <w:szCs w:val="28"/>
        </w:rPr>
        <w:t>14 December 2021 but</w:t>
      </w:r>
      <w:r w:rsidR="00703DE4" w:rsidRPr="008F21AE">
        <w:rPr>
          <w:rFonts w:ascii="Times New Roman" w:hAnsi="Times New Roman" w:cs="Times New Roman"/>
          <w:sz w:val="28"/>
          <w:szCs w:val="28"/>
        </w:rPr>
        <w:t xml:space="preserve"> </w:t>
      </w:r>
      <w:r w:rsidR="003619EA" w:rsidRPr="008F21AE">
        <w:rPr>
          <w:rFonts w:ascii="Times New Roman" w:hAnsi="Times New Roman" w:cs="Times New Roman"/>
          <w:sz w:val="28"/>
          <w:szCs w:val="28"/>
        </w:rPr>
        <w:t>was</w:t>
      </w:r>
      <w:r w:rsidR="00703DE4" w:rsidRPr="008F21AE">
        <w:rPr>
          <w:rFonts w:ascii="Times New Roman" w:hAnsi="Times New Roman" w:cs="Times New Roman"/>
          <w:sz w:val="28"/>
          <w:szCs w:val="28"/>
        </w:rPr>
        <w:t xml:space="preserve"> extended until 17 July 2022.</w:t>
      </w:r>
      <w:r w:rsidR="00D801A0">
        <w:rPr>
          <w:rStyle w:val="FootnoteReference"/>
          <w:rFonts w:ascii="Times New Roman" w:hAnsi="Times New Roman" w:cs="Times New Roman"/>
          <w:sz w:val="28"/>
          <w:szCs w:val="28"/>
        </w:rPr>
        <w:footnoteReference w:id="4"/>
      </w:r>
      <w:r w:rsidR="00703DE4" w:rsidRPr="008F21AE">
        <w:rPr>
          <w:rFonts w:ascii="Times New Roman" w:hAnsi="Times New Roman" w:cs="Times New Roman"/>
          <w:sz w:val="28"/>
          <w:szCs w:val="28"/>
        </w:rPr>
        <w:t xml:space="preserve">  </w:t>
      </w:r>
    </w:p>
    <w:p w14:paraId="66B49DA8" w14:textId="77777777" w:rsidR="00114A47" w:rsidRPr="00114A47" w:rsidRDefault="00114A47" w:rsidP="00D905BB">
      <w:pPr>
        <w:pStyle w:val="ListParagraph"/>
        <w:spacing w:line="360" w:lineRule="auto"/>
        <w:rPr>
          <w:rFonts w:ascii="Times New Roman" w:hAnsi="Times New Roman" w:cs="Times New Roman"/>
          <w:sz w:val="28"/>
          <w:szCs w:val="28"/>
        </w:rPr>
      </w:pPr>
    </w:p>
    <w:p w14:paraId="15A82402" w14:textId="3B9F2AC5" w:rsidR="00703DE4" w:rsidRPr="008F21AE" w:rsidRDefault="008F21AE" w:rsidP="008F21AE">
      <w:pPr>
        <w:spacing w:line="360" w:lineRule="auto"/>
        <w:jc w:val="both"/>
        <w:rPr>
          <w:rFonts w:ascii="Times New Roman" w:hAnsi="Times New Roman" w:cs="Times New Roman"/>
          <w:sz w:val="28"/>
          <w:szCs w:val="28"/>
        </w:rPr>
      </w:pPr>
      <w:r w:rsidRPr="00B13697">
        <w:rPr>
          <w:rFonts w:ascii="Times New Roman" w:hAnsi="Times New Roman" w:cs="Times New Roman"/>
          <w:sz w:val="28"/>
          <w:szCs w:val="28"/>
        </w:rPr>
        <w:t>[7]</w:t>
      </w:r>
      <w:r w:rsidRPr="00B13697">
        <w:rPr>
          <w:rFonts w:ascii="Times New Roman" w:hAnsi="Times New Roman" w:cs="Times New Roman"/>
          <w:sz w:val="28"/>
          <w:szCs w:val="28"/>
        </w:rPr>
        <w:tab/>
      </w:r>
      <w:r w:rsidR="00703DE4" w:rsidRPr="008F21AE">
        <w:rPr>
          <w:rFonts w:ascii="Times New Roman" w:hAnsi="Times New Roman" w:cs="Times New Roman"/>
          <w:sz w:val="28"/>
          <w:szCs w:val="28"/>
        </w:rPr>
        <w:t>The</w:t>
      </w:r>
      <w:r w:rsidR="00114A47" w:rsidRPr="008F21AE">
        <w:rPr>
          <w:rFonts w:ascii="Times New Roman" w:hAnsi="Times New Roman" w:cs="Times New Roman"/>
          <w:sz w:val="28"/>
          <w:szCs w:val="28"/>
        </w:rPr>
        <w:t xml:space="preserve"> applicants</w:t>
      </w:r>
      <w:r w:rsidR="009933B8" w:rsidRPr="008F21AE">
        <w:rPr>
          <w:rFonts w:ascii="Times New Roman" w:hAnsi="Times New Roman" w:cs="Times New Roman"/>
          <w:sz w:val="28"/>
          <w:szCs w:val="28"/>
        </w:rPr>
        <w:t xml:space="preserve">, despite </w:t>
      </w:r>
      <w:r w:rsidR="003619EA" w:rsidRPr="008F21AE">
        <w:rPr>
          <w:rFonts w:ascii="Times New Roman" w:hAnsi="Times New Roman" w:cs="Times New Roman"/>
          <w:sz w:val="28"/>
          <w:szCs w:val="28"/>
        </w:rPr>
        <w:t xml:space="preserve">tendering for </w:t>
      </w:r>
      <w:r w:rsidR="009933B8" w:rsidRPr="008F21AE">
        <w:rPr>
          <w:rFonts w:ascii="Times New Roman" w:hAnsi="Times New Roman" w:cs="Times New Roman"/>
          <w:sz w:val="28"/>
          <w:szCs w:val="28"/>
        </w:rPr>
        <w:t>security</w:t>
      </w:r>
      <w:r w:rsidR="003619EA" w:rsidRPr="008F21AE">
        <w:rPr>
          <w:rFonts w:ascii="Times New Roman" w:hAnsi="Times New Roman" w:cs="Times New Roman"/>
          <w:sz w:val="28"/>
          <w:szCs w:val="28"/>
        </w:rPr>
        <w:t xml:space="preserve"> services </w:t>
      </w:r>
      <w:r w:rsidR="009933B8" w:rsidRPr="008F21AE">
        <w:rPr>
          <w:rFonts w:ascii="Times New Roman" w:hAnsi="Times New Roman" w:cs="Times New Roman"/>
          <w:sz w:val="28"/>
          <w:szCs w:val="28"/>
        </w:rPr>
        <w:t xml:space="preserve">on a long-term basis, </w:t>
      </w:r>
      <w:r w:rsidR="003619EA" w:rsidRPr="008F21AE">
        <w:rPr>
          <w:rFonts w:ascii="Times New Roman" w:hAnsi="Times New Roman" w:cs="Times New Roman"/>
          <w:sz w:val="28"/>
          <w:szCs w:val="28"/>
        </w:rPr>
        <w:t>were uncertain why their bids</w:t>
      </w:r>
      <w:r w:rsidR="009933B8" w:rsidRPr="008F21AE">
        <w:rPr>
          <w:rFonts w:ascii="Times New Roman" w:hAnsi="Times New Roman" w:cs="Times New Roman"/>
          <w:sz w:val="28"/>
          <w:szCs w:val="28"/>
        </w:rPr>
        <w:t xml:space="preserve"> in respect of the new contract model</w:t>
      </w:r>
      <w:r w:rsidR="003619EA" w:rsidRPr="008F21AE">
        <w:rPr>
          <w:rFonts w:ascii="Times New Roman" w:hAnsi="Times New Roman" w:cs="Times New Roman"/>
          <w:sz w:val="28"/>
          <w:szCs w:val="28"/>
        </w:rPr>
        <w:t xml:space="preserve"> had come up </w:t>
      </w:r>
      <w:r w:rsidR="003619EA" w:rsidRPr="008F21AE">
        <w:rPr>
          <w:rFonts w:ascii="Times New Roman" w:hAnsi="Times New Roman" w:cs="Times New Roman"/>
          <w:sz w:val="28"/>
          <w:szCs w:val="28"/>
        </w:rPr>
        <w:lastRenderedPageBreak/>
        <w:t>short</w:t>
      </w:r>
      <w:r w:rsidR="00A912D8" w:rsidRPr="008F21AE">
        <w:rPr>
          <w:rFonts w:ascii="Times New Roman" w:hAnsi="Times New Roman" w:cs="Times New Roman"/>
          <w:sz w:val="28"/>
          <w:szCs w:val="28"/>
        </w:rPr>
        <w:t>, or alternatively why the successful bidder had been awarded the tender</w:t>
      </w:r>
      <w:r w:rsidR="00703DE4" w:rsidRPr="008F21AE">
        <w:rPr>
          <w:rFonts w:ascii="Times New Roman" w:hAnsi="Times New Roman" w:cs="Times New Roman"/>
          <w:sz w:val="28"/>
          <w:szCs w:val="28"/>
        </w:rPr>
        <w:t xml:space="preserve">.  </w:t>
      </w:r>
      <w:r w:rsidR="003619EA" w:rsidRPr="008F21AE">
        <w:rPr>
          <w:rFonts w:ascii="Times New Roman" w:hAnsi="Times New Roman" w:cs="Times New Roman"/>
          <w:sz w:val="28"/>
          <w:szCs w:val="28"/>
        </w:rPr>
        <w:t>Indeed,</w:t>
      </w:r>
      <w:r w:rsidR="00114A47" w:rsidRPr="008F21AE">
        <w:rPr>
          <w:rFonts w:ascii="Times New Roman" w:hAnsi="Times New Roman" w:cs="Times New Roman"/>
          <w:sz w:val="28"/>
          <w:szCs w:val="28"/>
        </w:rPr>
        <w:t xml:space="preserve"> t</w:t>
      </w:r>
      <w:r w:rsidR="00703DE4" w:rsidRPr="008F21AE">
        <w:rPr>
          <w:rFonts w:ascii="Times New Roman" w:hAnsi="Times New Roman" w:cs="Times New Roman"/>
          <w:sz w:val="28"/>
          <w:szCs w:val="28"/>
        </w:rPr>
        <w:t>hey</w:t>
      </w:r>
      <w:r w:rsidR="00C73D2B" w:rsidRPr="008F21AE">
        <w:rPr>
          <w:rFonts w:ascii="Times New Roman" w:hAnsi="Times New Roman" w:cs="Times New Roman"/>
          <w:sz w:val="28"/>
          <w:szCs w:val="28"/>
        </w:rPr>
        <w:t xml:space="preserve"> had</w:t>
      </w:r>
      <w:r w:rsidR="00703DE4" w:rsidRPr="008F21AE">
        <w:rPr>
          <w:rFonts w:ascii="Times New Roman" w:hAnsi="Times New Roman" w:cs="Times New Roman"/>
          <w:sz w:val="28"/>
          <w:szCs w:val="28"/>
        </w:rPr>
        <w:t xml:space="preserve"> heard a rumour that the tender had been awarded to a</w:t>
      </w:r>
      <w:r w:rsidR="002D5FA5" w:rsidRPr="008F21AE">
        <w:rPr>
          <w:rFonts w:ascii="Times New Roman" w:hAnsi="Times New Roman" w:cs="Times New Roman"/>
          <w:sz w:val="28"/>
          <w:szCs w:val="28"/>
        </w:rPr>
        <w:t>n</w:t>
      </w:r>
      <w:r w:rsidR="00AE2F39" w:rsidRPr="008F21AE">
        <w:rPr>
          <w:rFonts w:ascii="Times New Roman" w:hAnsi="Times New Roman" w:cs="Times New Roman"/>
          <w:sz w:val="28"/>
          <w:szCs w:val="28"/>
        </w:rPr>
        <w:t xml:space="preserve"> </w:t>
      </w:r>
      <w:r w:rsidR="002D5FA5" w:rsidRPr="008F21AE">
        <w:rPr>
          <w:rFonts w:ascii="Times New Roman" w:hAnsi="Times New Roman" w:cs="Times New Roman"/>
          <w:sz w:val="28"/>
          <w:szCs w:val="28"/>
        </w:rPr>
        <w:t>undisclosed</w:t>
      </w:r>
      <w:r w:rsidR="00703DE4" w:rsidRPr="008F21AE">
        <w:rPr>
          <w:rFonts w:ascii="Times New Roman" w:hAnsi="Times New Roman" w:cs="Times New Roman"/>
          <w:sz w:val="28"/>
          <w:szCs w:val="28"/>
        </w:rPr>
        <w:t xml:space="preserve"> bidder </w:t>
      </w:r>
      <w:r w:rsidR="003619EA" w:rsidRPr="008F21AE">
        <w:rPr>
          <w:rFonts w:ascii="Times New Roman" w:hAnsi="Times New Roman" w:cs="Times New Roman"/>
          <w:sz w:val="28"/>
          <w:szCs w:val="28"/>
        </w:rPr>
        <w:t xml:space="preserve">hailing </w:t>
      </w:r>
      <w:r w:rsidR="00703DE4" w:rsidRPr="008F21AE">
        <w:rPr>
          <w:rFonts w:ascii="Times New Roman" w:hAnsi="Times New Roman" w:cs="Times New Roman"/>
          <w:sz w:val="28"/>
          <w:szCs w:val="28"/>
        </w:rPr>
        <w:t xml:space="preserve">from East London </w:t>
      </w:r>
      <w:r w:rsidR="003619EA" w:rsidRPr="008F21AE">
        <w:rPr>
          <w:rFonts w:ascii="Times New Roman" w:hAnsi="Times New Roman" w:cs="Times New Roman"/>
          <w:sz w:val="28"/>
          <w:szCs w:val="28"/>
        </w:rPr>
        <w:t xml:space="preserve">who was not a member of the Gqeberha Security Forum (“the Forum”), an unregistered voluntary association representing the interests of security service providers </w:t>
      </w:r>
      <w:r w:rsidR="00B13697" w:rsidRPr="008F21AE">
        <w:rPr>
          <w:rFonts w:ascii="Times New Roman" w:hAnsi="Times New Roman" w:cs="Times New Roman"/>
          <w:sz w:val="28"/>
          <w:szCs w:val="28"/>
        </w:rPr>
        <w:t>within Gqeberha inclusive of them</w:t>
      </w:r>
      <w:r w:rsidR="00671118" w:rsidRPr="008F21AE">
        <w:rPr>
          <w:rFonts w:ascii="Times New Roman" w:hAnsi="Times New Roman" w:cs="Times New Roman"/>
          <w:sz w:val="28"/>
          <w:szCs w:val="28"/>
        </w:rPr>
        <w:t>selves</w:t>
      </w:r>
      <w:r w:rsidR="00B13697" w:rsidRPr="008F21AE">
        <w:rPr>
          <w:rFonts w:ascii="Times New Roman" w:hAnsi="Times New Roman" w:cs="Times New Roman"/>
          <w:sz w:val="28"/>
          <w:szCs w:val="28"/>
        </w:rPr>
        <w:t>.</w:t>
      </w:r>
    </w:p>
    <w:p w14:paraId="6E7A189F" w14:textId="77777777" w:rsidR="00703DE4" w:rsidRPr="00703DE4" w:rsidRDefault="00703DE4" w:rsidP="00703DE4">
      <w:pPr>
        <w:pStyle w:val="ListParagraph"/>
        <w:rPr>
          <w:rFonts w:ascii="Times New Roman" w:hAnsi="Times New Roman" w:cs="Times New Roman"/>
          <w:sz w:val="28"/>
          <w:szCs w:val="28"/>
        </w:rPr>
      </w:pPr>
    </w:p>
    <w:p w14:paraId="13DB9890" w14:textId="558056C5" w:rsidR="00C60B7D"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703DE4" w:rsidRPr="008F21AE">
        <w:rPr>
          <w:rFonts w:ascii="Times New Roman" w:hAnsi="Times New Roman" w:cs="Times New Roman"/>
          <w:sz w:val="28"/>
          <w:szCs w:val="28"/>
        </w:rPr>
        <w:t xml:space="preserve">Reasons </w:t>
      </w:r>
      <w:r w:rsidR="00B13697" w:rsidRPr="008F21AE">
        <w:rPr>
          <w:rFonts w:ascii="Times New Roman" w:hAnsi="Times New Roman" w:cs="Times New Roman"/>
          <w:sz w:val="28"/>
          <w:szCs w:val="28"/>
        </w:rPr>
        <w:t>were</w:t>
      </w:r>
      <w:r w:rsidR="00703DE4" w:rsidRPr="008F21AE">
        <w:rPr>
          <w:rFonts w:ascii="Times New Roman" w:hAnsi="Times New Roman" w:cs="Times New Roman"/>
          <w:sz w:val="28"/>
          <w:szCs w:val="28"/>
        </w:rPr>
        <w:t xml:space="preserve"> sought on their behalf</w:t>
      </w:r>
      <w:r w:rsidR="00B46D26" w:rsidRPr="008F21AE">
        <w:rPr>
          <w:rFonts w:ascii="Times New Roman" w:hAnsi="Times New Roman" w:cs="Times New Roman"/>
          <w:sz w:val="28"/>
          <w:szCs w:val="28"/>
        </w:rPr>
        <w:t xml:space="preserve"> initially</w:t>
      </w:r>
      <w:r w:rsidR="00703DE4" w:rsidRPr="008F21AE">
        <w:rPr>
          <w:rFonts w:ascii="Times New Roman" w:hAnsi="Times New Roman" w:cs="Times New Roman"/>
          <w:sz w:val="28"/>
          <w:szCs w:val="28"/>
        </w:rPr>
        <w:t xml:space="preserve"> by the</w:t>
      </w:r>
      <w:r w:rsidR="00B13697" w:rsidRPr="008F21AE">
        <w:rPr>
          <w:rFonts w:ascii="Times New Roman" w:hAnsi="Times New Roman" w:cs="Times New Roman"/>
          <w:sz w:val="28"/>
          <w:szCs w:val="28"/>
        </w:rPr>
        <w:t xml:space="preserve"> Forum</w:t>
      </w:r>
      <w:r w:rsidR="00721C33" w:rsidRPr="008F21AE">
        <w:rPr>
          <w:rFonts w:ascii="Times New Roman" w:hAnsi="Times New Roman" w:cs="Times New Roman"/>
          <w:sz w:val="28"/>
          <w:szCs w:val="28"/>
        </w:rPr>
        <w:t xml:space="preserve"> (this on 21 July 2022 a day after the rumour surfaced </w:t>
      </w:r>
      <w:r w:rsidR="009933B8" w:rsidRPr="008F21AE">
        <w:rPr>
          <w:rFonts w:ascii="Times New Roman" w:hAnsi="Times New Roman" w:cs="Times New Roman"/>
          <w:sz w:val="28"/>
          <w:szCs w:val="28"/>
        </w:rPr>
        <w:t xml:space="preserve">among their employees </w:t>
      </w:r>
      <w:r w:rsidR="00721C33" w:rsidRPr="008F21AE">
        <w:rPr>
          <w:rFonts w:ascii="Times New Roman" w:hAnsi="Times New Roman" w:cs="Times New Roman"/>
          <w:sz w:val="28"/>
          <w:szCs w:val="28"/>
        </w:rPr>
        <w:t>that the tender had been awarded)</w:t>
      </w:r>
      <w:r w:rsidR="00235A05" w:rsidRPr="008F21AE">
        <w:rPr>
          <w:rFonts w:ascii="Times New Roman" w:hAnsi="Times New Roman" w:cs="Times New Roman"/>
          <w:sz w:val="28"/>
          <w:szCs w:val="28"/>
        </w:rPr>
        <w:t>,</w:t>
      </w:r>
      <w:r w:rsidR="00D905BB" w:rsidRPr="008F21AE">
        <w:rPr>
          <w:rFonts w:ascii="Times New Roman" w:hAnsi="Times New Roman" w:cs="Times New Roman"/>
          <w:sz w:val="28"/>
          <w:szCs w:val="28"/>
        </w:rPr>
        <w:t xml:space="preserve"> and</w:t>
      </w:r>
      <w:r w:rsidR="00B46D26" w:rsidRPr="008F21AE">
        <w:rPr>
          <w:rFonts w:ascii="Times New Roman" w:hAnsi="Times New Roman" w:cs="Times New Roman"/>
          <w:sz w:val="28"/>
          <w:szCs w:val="28"/>
        </w:rPr>
        <w:t xml:space="preserve"> </w:t>
      </w:r>
      <w:r w:rsidR="00235A05" w:rsidRPr="008F21AE">
        <w:rPr>
          <w:rFonts w:ascii="Times New Roman" w:hAnsi="Times New Roman" w:cs="Times New Roman"/>
          <w:sz w:val="28"/>
          <w:szCs w:val="28"/>
        </w:rPr>
        <w:t xml:space="preserve">later </w:t>
      </w:r>
      <w:r w:rsidR="00721C33" w:rsidRPr="008F21AE">
        <w:rPr>
          <w:rFonts w:ascii="Times New Roman" w:hAnsi="Times New Roman" w:cs="Times New Roman"/>
          <w:sz w:val="28"/>
          <w:szCs w:val="28"/>
        </w:rPr>
        <w:t xml:space="preserve">(on 10 August 2022) </w:t>
      </w:r>
      <w:r w:rsidR="00B46D26" w:rsidRPr="008F21AE">
        <w:rPr>
          <w:rFonts w:ascii="Times New Roman" w:hAnsi="Times New Roman" w:cs="Times New Roman"/>
          <w:sz w:val="28"/>
          <w:szCs w:val="28"/>
        </w:rPr>
        <w:t xml:space="preserve">by </w:t>
      </w:r>
      <w:r w:rsidR="00C60B7D" w:rsidRPr="008F21AE">
        <w:rPr>
          <w:rFonts w:ascii="Times New Roman" w:hAnsi="Times New Roman" w:cs="Times New Roman"/>
          <w:sz w:val="28"/>
          <w:szCs w:val="28"/>
        </w:rPr>
        <w:t>an</w:t>
      </w:r>
      <w:r w:rsidR="00B46D26" w:rsidRPr="008F21AE">
        <w:rPr>
          <w:rFonts w:ascii="Times New Roman" w:hAnsi="Times New Roman" w:cs="Times New Roman"/>
          <w:sz w:val="28"/>
          <w:szCs w:val="28"/>
        </w:rPr>
        <w:t xml:space="preserve"> attorney</w:t>
      </w:r>
      <w:r w:rsidR="00C60B7D" w:rsidRPr="008F21AE">
        <w:rPr>
          <w:rFonts w:ascii="Times New Roman" w:hAnsi="Times New Roman" w:cs="Times New Roman"/>
          <w:sz w:val="28"/>
          <w:szCs w:val="28"/>
        </w:rPr>
        <w:t xml:space="preserve"> acting</w:t>
      </w:r>
      <w:r w:rsidR="00235A05" w:rsidRPr="008F21AE">
        <w:rPr>
          <w:rFonts w:ascii="Times New Roman" w:hAnsi="Times New Roman" w:cs="Times New Roman"/>
          <w:sz w:val="28"/>
          <w:szCs w:val="28"/>
        </w:rPr>
        <w:t xml:space="preserve"> on behalf of five named bidders including the four applicants</w:t>
      </w:r>
      <w:r w:rsidR="00721C33" w:rsidRPr="008F21AE">
        <w:rPr>
          <w:rFonts w:ascii="Times New Roman" w:hAnsi="Times New Roman" w:cs="Times New Roman"/>
          <w:sz w:val="28"/>
          <w:szCs w:val="28"/>
        </w:rPr>
        <w:t xml:space="preserve"> after the realisation that the first respondent was not going to answer the Forum’s request for </w:t>
      </w:r>
      <w:r w:rsidR="0011607E" w:rsidRPr="008F21AE">
        <w:rPr>
          <w:rFonts w:ascii="Times New Roman" w:hAnsi="Times New Roman" w:cs="Times New Roman"/>
          <w:sz w:val="28"/>
          <w:szCs w:val="28"/>
        </w:rPr>
        <w:t>information or</w:t>
      </w:r>
      <w:r w:rsidR="009F13C8" w:rsidRPr="008F21AE">
        <w:rPr>
          <w:rFonts w:ascii="Times New Roman" w:hAnsi="Times New Roman" w:cs="Times New Roman"/>
          <w:sz w:val="28"/>
          <w:szCs w:val="28"/>
        </w:rPr>
        <w:t xml:space="preserve"> documentation</w:t>
      </w:r>
      <w:r w:rsidR="00235A05" w:rsidRPr="008F21AE">
        <w:rPr>
          <w:rFonts w:ascii="Times New Roman" w:hAnsi="Times New Roman" w:cs="Times New Roman"/>
          <w:sz w:val="28"/>
          <w:szCs w:val="28"/>
        </w:rPr>
        <w:t xml:space="preserve">.  </w:t>
      </w:r>
    </w:p>
    <w:p w14:paraId="2D8E85C0" w14:textId="77777777" w:rsidR="00C60B7D" w:rsidRDefault="00C60B7D" w:rsidP="00C60B7D">
      <w:pPr>
        <w:pStyle w:val="ListParagraph"/>
        <w:spacing w:line="360" w:lineRule="auto"/>
        <w:ind w:left="0"/>
        <w:jc w:val="both"/>
        <w:rPr>
          <w:rFonts w:ascii="Times New Roman" w:hAnsi="Times New Roman" w:cs="Times New Roman"/>
          <w:sz w:val="28"/>
          <w:szCs w:val="28"/>
        </w:rPr>
      </w:pPr>
    </w:p>
    <w:p w14:paraId="59F3016B" w14:textId="045EF634" w:rsidR="00711637"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235A05" w:rsidRPr="008F21AE">
        <w:rPr>
          <w:rFonts w:ascii="Times New Roman" w:hAnsi="Times New Roman" w:cs="Times New Roman"/>
          <w:sz w:val="28"/>
          <w:szCs w:val="28"/>
        </w:rPr>
        <w:t xml:space="preserve">The first respondent cited </w:t>
      </w:r>
      <w:r w:rsidR="00721C33" w:rsidRPr="008F21AE">
        <w:rPr>
          <w:rFonts w:ascii="Times New Roman" w:hAnsi="Times New Roman" w:cs="Times New Roman"/>
          <w:sz w:val="28"/>
          <w:szCs w:val="28"/>
        </w:rPr>
        <w:t xml:space="preserve">a </w:t>
      </w:r>
      <w:r w:rsidR="00B13697" w:rsidRPr="008F21AE">
        <w:rPr>
          <w:rFonts w:ascii="Times New Roman" w:hAnsi="Times New Roman" w:cs="Times New Roman"/>
          <w:sz w:val="28"/>
          <w:szCs w:val="28"/>
        </w:rPr>
        <w:t xml:space="preserve">lack of authority and </w:t>
      </w:r>
      <w:r w:rsidR="00235A05" w:rsidRPr="008F21AE">
        <w:rPr>
          <w:rFonts w:ascii="Times New Roman" w:hAnsi="Times New Roman" w:cs="Times New Roman"/>
          <w:sz w:val="28"/>
          <w:szCs w:val="28"/>
        </w:rPr>
        <w:t>privacy reasons</w:t>
      </w:r>
      <w:r w:rsidR="00705B0B" w:rsidRPr="008F21AE">
        <w:rPr>
          <w:rFonts w:ascii="Times New Roman" w:hAnsi="Times New Roman" w:cs="Times New Roman"/>
          <w:sz w:val="28"/>
          <w:szCs w:val="28"/>
        </w:rPr>
        <w:t xml:space="preserve"> why it could not consider the F</w:t>
      </w:r>
      <w:r w:rsidR="00235A05" w:rsidRPr="008F21AE">
        <w:rPr>
          <w:rFonts w:ascii="Times New Roman" w:hAnsi="Times New Roman" w:cs="Times New Roman"/>
          <w:sz w:val="28"/>
          <w:szCs w:val="28"/>
        </w:rPr>
        <w:t xml:space="preserve">orum’s objections.  </w:t>
      </w:r>
      <w:r w:rsidR="00B13697" w:rsidRPr="008F21AE">
        <w:rPr>
          <w:rFonts w:ascii="Times New Roman" w:hAnsi="Times New Roman" w:cs="Times New Roman"/>
          <w:sz w:val="28"/>
          <w:szCs w:val="28"/>
        </w:rPr>
        <w:t>One of the</w:t>
      </w:r>
      <w:r w:rsidR="00062F10" w:rsidRPr="008F21AE">
        <w:rPr>
          <w:rFonts w:ascii="Times New Roman" w:hAnsi="Times New Roman" w:cs="Times New Roman"/>
          <w:sz w:val="28"/>
          <w:szCs w:val="28"/>
        </w:rPr>
        <w:t>se</w:t>
      </w:r>
      <w:r w:rsidR="00235A05" w:rsidRPr="008F21AE">
        <w:rPr>
          <w:rFonts w:ascii="Times New Roman" w:hAnsi="Times New Roman" w:cs="Times New Roman"/>
          <w:sz w:val="28"/>
          <w:szCs w:val="28"/>
        </w:rPr>
        <w:t xml:space="preserve"> objections (which the applicants </w:t>
      </w:r>
      <w:r w:rsidR="00B13697" w:rsidRPr="008F21AE">
        <w:rPr>
          <w:rFonts w:ascii="Times New Roman" w:hAnsi="Times New Roman" w:cs="Times New Roman"/>
          <w:sz w:val="28"/>
          <w:szCs w:val="28"/>
        </w:rPr>
        <w:t>in passing</w:t>
      </w:r>
      <w:r w:rsidR="00235A05" w:rsidRPr="008F21AE">
        <w:rPr>
          <w:rFonts w:ascii="Times New Roman" w:hAnsi="Times New Roman" w:cs="Times New Roman"/>
          <w:sz w:val="28"/>
          <w:szCs w:val="28"/>
        </w:rPr>
        <w:t xml:space="preserve"> aligned themselves with</w:t>
      </w:r>
      <w:r w:rsidR="00E451DF" w:rsidRPr="008F21AE">
        <w:rPr>
          <w:rFonts w:ascii="Times New Roman" w:hAnsi="Times New Roman" w:cs="Times New Roman"/>
          <w:sz w:val="28"/>
          <w:szCs w:val="28"/>
        </w:rPr>
        <w:t xml:space="preserve"> in the founding papers</w:t>
      </w:r>
      <w:r w:rsidR="00235A05" w:rsidRPr="008F21AE">
        <w:rPr>
          <w:rFonts w:ascii="Times New Roman" w:hAnsi="Times New Roman" w:cs="Times New Roman"/>
          <w:sz w:val="28"/>
          <w:szCs w:val="28"/>
        </w:rPr>
        <w:t>)</w:t>
      </w:r>
      <w:r w:rsidR="00B13697">
        <w:rPr>
          <w:rStyle w:val="FootnoteReference"/>
          <w:rFonts w:ascii="Times New Roman" w:hAnsi="Times New Roman" w:cs="Times New Roman"/>
          <w:sz w:val="28"/>
          <w:szCs w:val="28"/>
        </w:rPr>
        <w:footnoteReference w:id="5"/>
      </w:r>
      <w:r w:rsidR="00235A05" w:rsidRPr="008F21AE">
        <w:rPr>
          <w:rFonts w:ascii="Times New Roman" w:hAnsi="Times New Roman" w:cs="Times New Roman"/>
          <w:sz w:val="28"/>
          <w:szCs w:val="28"/>
        </w:rPr>
        <w:t xml:space="preserve"> </w:t>
      </w:r>
      <w:r w:rsidR="00235A05" w:rsidRPr="008F21AE">
        <w:rPr>
          <w:rFonts w:ascii="Times New Roman" w:hAnsi="Times New Roman" w:cs="Times New Roman"/>
          <w:iCs/>
          <w:sz w:val="28"/>
          <w:szCs w:val="28"/>
        </w:rPr>
        <w:t>included</w:t>
      </w:r>
      <w:r w:rsidR="00235A05" w:rsidRPr="008F21AE">
        <w:rPr>
          <w:rFonts w:ascii="Times New Roman" w:hAnsi="Times New Roman" w:cs="Times New Roman"/>
          <w:i/>
          <w:sz w:val="28"/>
          <w:szCs w:val="28"/>
        </w:rPr>
        <w:t xml:space="preserve"> </w:t>
      </w:r>
      <w:r w:rsidR="00235A05" w:rsidRPr="008F21AE">
        <w:rPr>
          <w:rFonts w:ascii="Times New Roman" w:hAnsi="Times New Roman" w:cs="Times New Roman"/>
          <w:sz w:val="28"/>
          <w:szCs w:val="28"/>
        </w:rPr>
        <w:t xml:space="preserve">the fact that the tender had according to </w:t>
      </w:r>
      <w:r w:rsidR="00721C33" w:rsidRPr="008F21AE">
        <w:rPr>
          <w:rFonts w:ascii="Times New Roman" w:hAnsi="Times New Roman" w:cs="Times New Roman"/>
          <w:sz w:val="28"/>
          <w:szCs w:val="28"/>
        </w:rPr>
        <w:t>information</w:t>
      </w:r>
      <w:r w:rsidR="00235A05" w:rsidRPr="008F21AE">
        <w:rPr>
          <w:rFonts w:ascii="Times New Roman" w:hAnsi="Times New Roman" w:cs="Times New Roman"/>
          <w:sz w:val="28"/>
          <w:szCs w:val="28"/>
        </w:rPr>
        <w:t xml:space="preserve"> been awarded to a security </w:t>
      </w:r>
      <w:r w:rsidR="00235A05" w:rsidRPr="008F21AE">
        <w:rPr>
          <w:rFonts w:ascii="Times New Roman" w:hAnsi="Times New Roman" w:cs="Times New Roman"/>
          <w:sz w:val="28"/>
          <w:szCs w:val="28"/>
        </w:rPr>
        <w:lastRenderedPageBreak/>
        <w:t>company not based in Gqeberha</w:t>
      </w:r>
      <w:r w:rsidR="00721C33" w:rsidRPr="008F21AE">
        <w:rPr>
          <w:rFonts w:ascii="Times New Roman" w:hAnsi="Times New Roman" w:cs="Times New Roman"/>
          <w:sz w:val="28"/>
          <w:szCs w:val="28"/>
        </w:rPr>
        <w:t xml:space="preserve">. A further complaint was that the bid had been awarded to the winning bidder as opposed to “any lower priced tenders”. </w:t>
      </w:r>
      <w:r w:rsidR="00235A05" w:rsidRPr="008F21AE">
        <w:rPr>
          <w:rFonts w:ascii="Times New Roman" w:hAnsi="Times New Roman" w:cs="Times New Roman"/>
          <w:sz w:val="28"/>
          <w:szCs w:val="28"/>
        </w:rPr>
        <w:t xml:space="preserve"> </w:t>
      </w:r>
      <w:r w:rsidR="00721C33" w:rsidRPr="008F21AE">
        <w:rPr>
          <w:rFonts w:ascii="Times New Roman" w:hAnsi="Times New Roman" w:cs="Times New Roman"/>
          <w:sz w:val="28"/>
          <w:szCs w:val="28"/>
        </w:rPr>
        <w:t>This raised a concern regarding</w:t>
      </w:r>
      <w:r w:rsidR="00235A05" w:rsidRPr="008F21AE">
        <w:rPr>
          <w:rFonts w:ascii="Times New Roman" w:hAnsi="Times New Roman" w:cs="Times New Roman"/>
          <w:sz w:val="28"/>
          <w:szCs w:val="28"/>
        </w:rPr>
        <w:t xml:space="preserve"> the competitiveness of the respective bids in the absence of a list of prices. </w:t>
      </w:r>
      <w:r w:rsidR="0062733F" w:rsidRPr="008F21AE">
        <w:rPr>
          <w:rFonts w:ascii="Times New Roman" w:hAnsi="Times New Roman" w:cs="Times New Roman"/>
          <w:sz w:val="28"/>
          <w:szCs w:val="28"/>
        </w:rPr>
        <w:t xml:space="preserve">The Forum expressed </w:t>
      </w:r>
      <w:r w:rsidR="00671118" w:rsidRPr="008F21AE">
        <w:rPr>
          <w:rFonts w:ascii="Times New Roman" w:hAnsi="Times New Roman" w:cs="Times New Roman"/>
          <w:sz w:val="28"/>
          <w:szCs w:val="28"/>
        </w:rPr>
        <w:t>a</w:t>
      </w:r>
      <w:r w:rsidR="0062733F" w:rsidRPr="008F21AE">
        <w:rPr>
          <w:rFonts w:ascii="Times New Roman" w:hAnsi="Times New Roman" w:cs="Times New Roman"/>
          <w:sz w:val="28"/>
          <w:szCs w:val="28"/>
        </w:rPr>
        <w:t>n interest not only in the reasons that would make everything clear, but also asked the Department to make available to it copies of the evaluation and adjudication reports, including any functionality score cards to provide a basis for it to assess whether there were any grounds to review its decision.</w:t>
      </w:r>
      <w:r w:rsidR="0062733F">
        <w:rPr>
          <w:rStyle w:val="FootnoteReference"/>
          <w:rFonts w:ascii="Times New Roman" w:hAnsi="Times New Roman" w:cs="Times New Roman"/>
          <w:sz w:val="28"/>
          <w:szCs w:val="28"/>
        </w:rPr>
        <w:footnoteReference w:id="6"/>
      </w:r>
    </w:p>
    <w:p w14:paraId="36987A4E" w14:textId="57B28E44" w:rsidR="00F82C02" w:rsidRDefault="00235A05" w:rsidP="0071163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14:paraId="100D6588" w14:textId="050AF8B8" w:rsidR="00F82C02"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F82C02" w:rsidRPr="008F21AE">
        <w:rPr>
          <w:rFonts w:ascii="Times New Roman" w:hAnsi="Times New Roman" w:cs="Times New Roman"/>
          <w:sz w:val="28"/>
          <w:szCs w:val="28"/>
        </w:rPr>
        <w:t>The applicants’ attorneys</w:t>
      </w:r>
      <w:r w:rsidR="00C60B7D" w:rsidRPr="008F21AE">
        <w:rPr>
          <w:rFonts w:ascii="Times New Roman" w:hAnsi="Times New Roman" w:cs="Times New Roman"/>
          <w:sz w:val="28"/>
          <w:szCs w:val="28"/>
        </w:rPr>
        <w:t xml:space="preserve">, when they joined the </w:t>
      </w:r>
      <w:r w:rsidR="00711637" w:rsidRPr="008F21AE">
        <w:rPr>
          <w:rFonts w:ascii="Times New Roman" w:hAnsi="Times New Roman" w:cs="Times New Roman"/>
          <w:sz w:val="28"/>
          <w:szCs w:val="28"/>
        </w:rPr>
        <w:t>fray</w:t>
      </w:r>
      <w:r w:rsidR="00F82C02" w:rsidRPr="008F21AE">
        <w:rPr>
          <w:rFonts w:ascii="Times New Roman" w:hAnsi="Times New Roman" w:cs="Times New Roman"/>
          <w:sz w:val="28"/>
          <w:szCs w:val="28"/>
        </w:rPr>
        <w:t xml:space="preserve"> </w:t>
      </w:r>
      <w:r w:rsidR="0062733F" w:rsidRPr="008F21AE">
        <w:rPr>
          <w:rFonts w:ascii="Times New Roman" w:hAnsi="Times New Roman" w:cs="Times New Roman"/>
          <w:sz w:val="28"/>
          <w:szCs w:val="28"/>
        </w:rPr>
        <w:t xml:space="preserve">in a letter written to the Department 20 days later, </w:t>
      </w:r>
      <w:r w:rsidR="00F82C02" w:rsidRPr="008F21AE">
        <w:rPr>
          <w:rFonts w:ascii="Times New Roman" w:hAnsi="Times New Roman" w:cs="Times New Roman"/>
          <w:sz w:val="28"/>
          <w:szCs w:val="28"/>
        </w:rPr>
        <w:t xml:space="preserve">pressed </w:t>
      </w:r>
      <w:r w:rsidR="002A63A3" w:rsidRPr="008F21AE">
        <w:rPr>
          <w:rFonts w:ascii="Times New Roman" w:hAnsi="Times New Roman" w:cs="Times New Roman"/>
          <w:sz w:val="28"/>
          <w:szCs w:val="28"/>
        </w:rPr>
        <w:t xml:space="preserve">in </w:t>
      </w:r>
      <w:r w:rsidR="00F82C02" w:rsidRPr="008F21AE">
        <w:rPr>
          <w:rFonts w:ascii="Times New Roman" w:hAnsi="Times New Roman" w:cs="Times New Roman"/>
          <w:sz w:val="28"/>
          <w:szCs w:val="28"/>
        </w:rPr>
        <w:t xml:space="preserve">on the fact that the applicants had not been provided with any reasons for the </w:t>
      </w:r>
      <w:r w:rsidR="00876BFD" w:rsidRPr="008F21AE">
        <w:rPr>
          <w:rFonts w:ascii="Times New Roman" w:hAnsi="Times New Roman" w:cs="Times New Roman"/>
          <w:sz w:val="28"/>
          <w:szCs w:val="28"/>
        </w:rPr>
        <w:t xml:space="preserve">assumed </w:t>
      </w:r>
      <w:r w:rsidR="00F82C02" w:rsidRPr="008F21AE">
        <w:rPr>
          <w:rFonts w:ascii="Times New Roman" w:hAnsi="Times New Roman" w:cs="Times New Roman"/>
          <w:sz w:val="28"/>
          <w:szCs w:val="28"/>
        </w:rPr>
        <w:t xml:space="preserve">rejection of </w:t>
      </w:r>
      <w:r w:rsidR="00E273FA" w:rsidRPr="008F21AE">
        <w:rPr>
          <w:rFonts w:ascii="Times New Roman" w:hAnsi="Times New Roman" w:cs="Times New Roman"/>
          <w:sz w:val="28"/>
          <w:szCs w:val="28"/>
        </w:rPr>
        <w:t xml:space="preserve">each of </w:t>
      </w:r>
      <w:r w:rsidR="00F82C02" w:rsidRPr="008F21AE">
        <w:rPr>
          <w:rFonts w:ascii="Times New Roman" w:hAnsi="Times New Roman" w:cs="Times New Roman"/>
          <w:sz w:val="28"/>
          <w:szCs w:val="28"/>
        </w:rPr>
        <w:t>the</w:t>
      </w:r>
      <w:r w:rsidR="002A63A3" w:rsidRPr="008F21AE">
        <w:rPr>
          <w:rFonts w:ascii="Times New Roman" w:hAnsi="Times New Roman" w:cs="Times New Roman"/>
          <w:sz w:val="28"/>
          <w:szCs w:val="28"/>
        </w:rPr>
        <w:t>ir</w:t>
      </w:r>
      <w:r w:rsidR="00F82C02" w:rsidRPr="008F21AE">
        <w:rPr>
          <w:rFonts w:ascii="Times New Roman" w:hAnsi="Times New Roman" w:cs="Times New Roman"/>
          <w:sz w:val="28"/>
          <w:szCs w:val="28"/>
        </w:rPr>
        <w:t xml:space="preserve"> </w:t>
      </w:r>
      <w:r w:rsidR="00876BFD" w:rsidRPr="008F21AE">
        <w:rPr>
          <w:rFonts w:ascii="Times New Roman" w:hAnsi="Times New Roman" w:cs="Times New Roman"/>
          <w:sz w:val="28"/>
          <w:szCs w:val="28"/>
        </w:rPr>
        <w:t xml:space="preserve">bids, this </w:t>
      </w:r>
      <w:r w:rsidR="00C97174" w:rsidRPr="008F21AE">
        <w:rPr>
          <w:rFonts w:ascii="Times New Roman" w:hAnsi="Times New Roman" w:cs="Times New Roman"/>
          <w:sz w:val="28"/>
          <w:szCs w:val="28"/>
        </w:rPr>
        <w:t xml:space="preserve">inference flowing from the fact </w:t>
      </w:r>
      <w:r w:rsidR="00876BFD" w:rsidRPr="008F21AE">
        <w:rPr>
          <w:rFonts w:ascii="Times New Roman" w:hAnsi="Times New Roman" w:cs="Times New Roman"/>
          <w:sz w:val="28"/>
          <w:szCs w:val="28"/>
        </w:rPr>
        <w:t>that a successful bidder had been selected</w:t>
      </w:r>
      <w:r w:rsidR="00C97174" w:rsidRPr="008F21AE">
        <w:rPr>
          <w:rFonts w:ascii="Times New Roman" w:hAnsi="Times New Roman" w:cs="Times New Roman"/>
          <w:sz w:val="28"/>
          <w:szCs w:val="28"/>
        </w:rPr>
        <w:t xml:space="preserve">. </w:t>
      </w:r>
      <w:r w:rsidR="00F82C02" w:rsidRPr="008F21AE">
        <w:rPr>
          <w:rFonts w:ascii="Times New Roman" w:hAnsi="Times New Roman" w:cs="Times New Roman"/>
          <w:sz w:val="28"/>
          <w:szCs w:val="28"/>
        </w:rPr>
        <w:t xml:space="preserve"> </w:t>
      </w:r>
      <w:r w:rsidR="00C97174" w:rsidRPr="008F21AE">
        <w:rPr>
          <w:rFonts w:ascii="Times New Roman" w:hAnsi="Times New Roman" w:cs="Times New Roman"/>
          <w:sz w:val="28"/>
          <w:szCs w:val="28"/>
        </w:rPr>
        <w:t>They intimated that they</w:t>
      </w:r>
      <w:r w:rsidR="00E273FA" w:rsidRPr="008F21AE">
        <w:rPr>
          <w:rFonts w:ascii="Times New Roman" w:hAnsi="Times New Roman" w:cs="Times New Roman"/>
          <w:sz w:val="28"/>
          <w:szCs w:val="28"/>
        </w:rPr>
        <w:t xml:space="preserve"> were not in the know </w:t>
      </w:r>
      <w:r w:rsidR="00C60B7D" w:rsidRPr="008F21AE">
        <w:rPr>
          <w:rFonts w:ascii="Times New Roman" w:hAnsi="Times New Roman" w:cs="Times New Roman"/>
          <w:sz w:val="28"/>
          <w:szCs w:val="28"/>
        </w:rPr>
        <w:t>why</w:t>
      </w:r>
      <w:r w:rsidR="002A63A3" w:rsidRPr="008F21AE">
        <w:rPr>
          <w:rFonts w:ascii="Times New Roman" w:hAnsi="Times New Roman" w:cs="Times New Roman"/>
          <w:sz w:val="28"/>
          <w:szCs w:val="28"/>
        </w:rPr>
        <w:t xml:space="preserve"> they had</w:t>
      </w:r>
      <w:r w:rsidR="00F82C02" w:rsidRPr="008F21AE">
        <w:rPr>
          <w:rFonts w:ascii="Times New Roman" w:hAnsi="Times New Roman" w:cs="Times New Roman"/>
          <w:sz w:val="28"/>
          <w:szCs w:val="28"/>
        </w:rPr>
        <w:t xml:space="preserve"> been trumped by the “successful bidder”</w:t>
      </w:r>
      <w:r w:rsidR="00C97174" w:rsidRPr="008F21AE">
        <w:rPr>
          <w:rFonts w:ascii="Times New Roman" w:hAnsi="Times New Roman" w:cs="Times New Roman"/>
          <w:sz w:val="28"/>
          <w:szCs w:val="28"/>
        </w:rPr>
        <w:t xml:space="preserve"> or, conversely, what the reason</w:t>
      </w:r>
      <w:r w:rsidR="007A7C56" w:rsidRPr="008F21AE">
        <w:rPr>
          <w:rFonts w:ascii="Times New Roman" w:hAnsi="Times New Roman" w:cs="Times New Roman"/>
          <w:sz w:val="28"/>
          <w:szCs w:val="28"/>
        </w:rPr>
        <w:t>s</w:t>
      </w:r>
      <w:r w:rsidR="00C97174" w:rsidRPr="008F21AE">
        <w:rPr>
          <w:rFonts w:ascii="Times New Roman" w:hAnsi="Times New Roman" w:cs="Times New Roman"/>
          <w:sz w:val="28"/>
          <w:szCs w:val="28"/>
        </w:rPr>
        <w:t xml:space="preserve"> </w:t>
      </w:r>
      <w:r w:rsidR="007A7C56" w:rsidRPr="008F21AE">
        <w:rPr>
          <w:rFonts w:ascii="Times New Roman" w:hAnsi="Times New Roman" w:cs="Times New Roman"/>
          <w:sz w:val="28"/>
          <w:szCs w:val="28"/>
        </w:rPr>
        <w:t>were</w:t>
      </w:r>
      <w:r w:rsidR="00C97174" w:rsidRPr="008F21AE">
        <w:rPr>
          <w:rFonts w:ascii="Times New Roman" w:hAnsi="Times New Roman" w:cs="Times New Roman"/>
          <w:sz w:val="28"/>
          <w:szCs w:val="28"/>
        </w:rPr>
        <w:t xml:space="preserve"> for the granting of the tender to the successful bidder.</w:t>
      </w:r>
      <w:r w:rsidR="00F82C02" w:rsidRPr="008F21AE">
        <w:rPr>
          <w:rFonts w:ascii="Times New Roman" w:hAnsi="Times New Roman" w:cs="Times New Roman"/>
          <w:sz w:val="28"/>
          <w:szCs w:val="28"/>
        </w:rPr>
        <w:t xml:space="preserve">  Self-evidently they wished to be apprised </w:t>
      </w:r>
      <w:r w:rsidR="002A63A3" w:rsidRPr="008F21AE">
        <w:rPr>
          <w:rFonts w:ascii="Times New Roman" w:hAnsi="Times New Roman" w:cs="Times New Roman"/>
          <w:sz w:val="28"/>
          <w:szCs w:val="28"/>
        </w:rPr>
        <w:t xml:space="preserve">of reasons </w:t>
      </w:r>
      <w:r w:rsidR="00F82C02" w:rsidRPr="008F21AE">
        <w:rPr>
          <w:rFonts w:ascii="Times New Roman" w:hAnsi="Times New Roman" w:cs="Times New Roman"/>
          <w:sz w:val="28"/>
          <w:szCs w:val="28"/>
        </w:rPr>
        <w:t xml:space="preserve">and regarded the absence of these as a matter of concern and a basis to conclude that the tender had not been awarded in a manner consistent with section 217 of the Constitution.  </w:t>
      </w:r>
      <w:r w:rsidR="007A7C56" w:rsidRPr="008F21AE">
        <w:rPr>
          <w:rFonts w:ascii="Times New Roman" w:hAnsi="Times New Roman" w:cs="Times New Roman"/>
          <w:sz w:val="28"/>
          <w:szCs w:val="28"/>
        </w:rPr>
        <w:t>Additionally,</w:t>
      </w:r>
      <w:r w:rsidR="00F82C02" w:rsidRPr="008F21AE">
        <w:rPr>
          <w:rFonts w:ascii="Times New Roman" w:hAnsi="Times New Roman" w:cs="Times New Roman"/>
          <w:sz w:val="28"/>
          <w:szCs w:val="28"/>
        </w:rPr>
        <w:t xml:space="preserve"> they sought an undertaking that pending the resolution of the iss</w:t>
      </w:r>
      <w:r w:rsidR="002A63A3" w:rsidRPr="008F21AE">
        <w:rPr>
          <w:rFonts w:ascii="Times New Roman" w:hAnsi="Times New Roman" w:cs="Times New Roman"/>
          <w:sz w:val="28"/>
          <w:szCs w:val="28"/>
        </w:rPr>
        <w:t>ue raised, viz their entitlement</w:t>
      </w:r>
      <w:r w:rsidR="00F82C02" w:rsidRPr="008F21AE">
        <w:rPr>
          <w:rFonts w:ascii="Times New Roman" w:hAnsi="Times New Roman" w:cs="Times New Roman"/>
          <w:sz w:val="28"/>
          <w:szCs w:val="28"/>
        </w:rPr>
        <w:t xml:space="preserve"> to be so apprised and the</w:t>
      </w:r>
      <w:r w:rsidR="00C60B7D" w:rsidRPr="008F21AE">
        <w:rPr>
          <w:rFonts w:ascii="Times New Roman" w:hAnsi="Times New Roman" w:cs="Times New Roman"/>
          <w:sz w:val="28"/>
          <w:szCs w:val="28"/>
        </w:rPr>
        <w:t>ir</w:t>
      </w:r>
      <w:r w:rsidR="00F82C02" w:rsidRPr="008F21AE">
        <w:rPr>
          <w:rFonts w:ascii="Times New Roman" w:hAnsi="Times New Roman" w:cs="Times New Roman"/>
          <w:sz w:val="28"/>
          <w:szCs w:val="28"/>
        </w:rPr>
        <w:t xml:space="preserve"> concerns allayed that something might be amiss</w:t>
      </w:r>
      <w:r w:rsidR="00C60B7D" w:rsidRPr="008F21AE">
        <w:rPr>
          <w:rFonts w:ascii="Times New Roman" w:hAnsi="Times New Roman" w:cs="Times New Roman"/>
          <w:sz w:val="28"/>
          <w:szCs w:val="28"/>
        </w:rPr>
        <w:t xml:space="preserve"> (“the dispute”)</w:t>
      </w:r>
      <w:r w:rsidR="002A63A3" w:rsidRPr="008F21AE">
        <w:rPr>
          <w:rFonts w:ascii="Times New Roman" w:hAnsi="Times New Roman" w:cs="Times New Roman"/>
          <w:sz w:val="28"/>
          <w:szCs w:val="28"/>
        </w:rPr>
        <w:t>,</w:t>
      </w:r>
      <w:r w:rsidR="00F82C02" w:rsidRPr="008F21AE">
        <w:rPr>
          <w:rFonts w:ascii="Times New Roman" w:hAnsi="Times New Roman" w:cs="Times New Roman"/>
          <w:sz w:val="28"/>
          <w:szCs w:val="28"/>
        </w:rPr>
        <w:t xml:space="preserve"> that the implementation of the tender to the successful bidder in the meantime be held over.</w:t>
      </w:r>
    </w:p>
    <w:p w14:paraId="6CFCCF19" w14:textId="77777777" w:rsidR="00F82C02" w:rsidRPr="00F82C02" w:rsidRDefault="00F82C02" w:rsidP="00F82C02">
      <w:pPr>
        <w:pStyle w:val="ListParagraph"/>
        <w:rPr>
          <w:rFonts w:ascii="Times New Roman" w:hAnsi="Times New Roman" w:cs="Times New Roman"/>
          <w:sz w:val="28"/>
          <w:szCs w:val="28"/>
        </w:rPr>
      </w:pPr>
    </w:p>
    <w:p w14:paraId="79F98C7A" w14:textId="43247F2C" w:rsidR="006C3024"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F82C02" w:rsidRPr="008F21AE">
        <w:rPr>
          <w:rFonts w:ascii="Times New Roman" w:hAnsi="Times New Roman" w:cs="Times New Roman"/>
          <w:sz w:val="28"/>
          <w:szCs w:val="28"/>
        </w:rPr>
        <w:t>The first respondent recognized the applicants</w:t>
      </w:r>
      <w:r w:rsidR="004B6C55" w:rsidRPr="008F21AE">
        <w:rPr>
          <w:rFonts w:ascii="Times New Roman" w:hAnsi="Times New Roman" w:cs="Times New Roman"/>
          <w:sz w:val="28"/>
          <w:szCs w:val="28"/>
        </w:rPr>
        <w:t>’</w:t>
      </w:r>
      <w:r w:rsidR="00F82C02" w:rsidRPr="008F21AE">
        <w:rPr>
          <w:rFonts w:ascii="Times New Roman" w:hAnsi="Times New Roman" w:cs="Times New Roman"/>
          <w:sz w:val="28"/>
          <w:szCs w:val="28"/>
        </w:rPr>
        <w:t xml:space="preserve"> entitlement to the information sought but requested time to collate the necessary information.  The applicants</w:t>
      </w:r>
      <w:r w:rsidR="004B6C55" w:rsidRPr="008F21AE">
        <w:rPr>
          <w:rFonts w:ascii="Times New Roman" w:hAnsi="Times New Roman" w:cs="Times New Roman"/>
          <w:sz w:val="28"/>
          <w:szCs w:val="28"/>
        </w:rPr>
        <w:t>’</w:t>
      </w:r>
      <w:r w:rsidR="002A63A3" w:rsidRPr="008F21AE">
        <w:rPr>
          <w:rFonts w:ascii="Times New Roman" w:hAnsi="Times New Roman" w:cs="Times New Roman"/>
          <w:sz w:val="28"/>
          <w:szCs w:val="28"/>
        </w:rPr>
        <w:t xml:space="preserve"> attorneys agreed but again in</w:t>
      </w:r>
      <w:r w:rsidR="00F82C02" w:rsidRPr="008F21AE">
        <w:rPr>
          <w:rFonts w:ascii="Times New Roman" w:hAnsi="Times New Roman" w:cs="Times New Roman"/>
          <w:sz w:val="28"/>
          <w:szCs w:val="28"/>
        </w:rPr>
        <w:t xml:space="preserve">sisted on the necessary undertaking being given that it would suspend the commencement of the tender pending resolution </w:t>
      </w:r>
      <w:r w:rsidR="00F82C02" w:rsidRPr="008F21AE">
        <w:rPr>
          <w:rFonts w:ascii="Times New Roman" w:hAnsi="Times New Roman" w:cs="Times New Roman"/>
          <w:sz w:val="28"/>
          <w:szCs w:val="28"/>
        </w:rPr>
        <w:lastRenderedPageBreak/>
        <w:t>of the “dispute”.</w:t>
      </w:r>
      <w:r w:rsidR="00E273FA" w:rsidRPr="008F21AE">
        <w:rPr>
          <w:rFonts w:ascii="Times New Roman" w:hAnsi="Times New Roman" w:cs="Times New Roman"/>
          <w:sz w:val="28"/>
          <w:szCs w:val="28"/>
        </w:rPr>
        <w:t xml:space="preserve"> (The first respondent </w:t>
      </w:r>
      <w:r w:rsidR="00E451DF" w:rsidRPr="008F21AE">
        <w:rPr>
          <w:rFonts w:ascii="Times New Roman" w:hAnsi="Times New Roman" w:cs="Times New Roman"/>
          <w:sz w:val="28"/>
          <w:szCs w:val="28"/>
        </w:rPr>
        <w:t xml:space="preserve">was however </w:t>
      </w:r>
      <w:r w:rsidR="00E273FA" w:rsidRPr="008F21AE">
        <w:rPr>
          <w:rFonts w:ascii="Times New Roman" w:hAnsi="Times New Roman" w:cs="Times New Roman"/>
          <w:sz w:val="28"/>
          <w:szCs w:val="28"/>
        </w:rPr>
        <w:t>resolute throughout that the implementation of the winning bid would not be suspended.)</w:t>
      </w:r>
    </w:p>
    <w:p w14:paraId="2E41A01A" w14:textId="77777777" w:rsidR="002A63A3" w:rsidRPr="002A63A3" w:rsidRDefault="002A63A3" w:rsidP="002A63A3">
      <w:pPr>
        <w:pStyle w:val="ListParagraph"/>
        <w:rPr>
          <w:rFonts w:ascii="Times New Roman" w:hAnsi="Times New Roman" w:cs="Times New Roman"/>
          <w:sz w:val="28"/>
          <w:szCs w:val="28"/>
        </w:rPr>
      </w:pPr>
    </w:p>
    <w:p w14:paraId="6F1F315A" w14:textId="1F8B1C5A" w:rsidR="006C3024" w:rsidRPr="008F21AE" w:rsidRDefault="008F21AE" w:rsidP="008F21AE">
      <w:pPr>
        <w:spacing w:line="360" w:lineRule="auto"/>
        <w:jc w:val="both"/>
        <w:rPr>
          <w:rFonts w:ascii="Times New Roman" w:hAnsi="Times New Roman" w:cs="Times New Roman"/>
          <w:sz w:val="28"/>
          <w:szCs w:val="28"/>
        </w:rPr>
      </w:pPr>
      <w:r w:rsidRPr="002A63A3">
        <w:rPr>
          <w:rFonts w:ascii="Times New Roman" w:hAnsi="Times New Roman" w:cs="Times New Roman"/>
          <w:sz w:val="28"/>
          <w:szCs w:val="28"/>
        </w:rPr>
        <w:t>[12]</w:t>
      </w:r>
      <w:r w:rsidRPr="002A63A3">
        <w:rPr>
          <w:rFonts w:ascii="Times New Roman" w:hAnsi="Times New Roman" w:cs="Times New Roman"/>
          <w:sz w:val="28"/>
          <w:szCs w:val="28"/>
        </w:rPr>
        <w:tab/>
      </w:r>
      <w:r w:rsidR="002A63A3" w:rsidRPr="008F21AE">
        <w:rPr>
          <w:rFonts w:ascii="Times New Roman" w:hAnsi="Times New Roman" w:cs="Times New Roman"/>
          <w:sz w:val="28"/>
          <w:szCs w:val="28"/>
        </w:rPr>
        <w:t>When the first respondent was ready to respond (late on Friday afternoon the 12</w:t>
      </w:r>
      <w:r w:rsidR="002A63A3" w:rsidRPr="008F21AE">
        <w:rPr>
          <w:rFonts w:ascii="Times New Roman" w:hAnsi="Times New Roman" w:cs="Times New Roman"/>
          <w:sz w:val="28"/>
          <w:szCs w:val="28"/>
          <w:vertAlign w:val="superscript"/>
        </w:rPr>
        <w:t>th</w:t>
      </w:r>
      <w:r w:rsidR="00F37FA7" w:rsidRPr="008F21AE">
        <w:rPr>
          <w:rFonts w:ascii="Times New Roman" w:hAnsi="Times New Roman" w:cs="Times New Roman"/>
          <w:sz w:val="28"/>
          <w:szCs w:val="28"/>
          <w:vertAlign w:val="superscript"/>
        </w:rPr>
        <w:t xml:space="preserve">  </w:t>
      </w:r>
      <w:r w:rsidR="00F37FA7" w:rsidRPr="008F21AE">
        <w:rPr>
          <w:rFonts w:ascii="Times New Roman" w:hAnsi="Times New Roman" w:cs="Times New Roman"/>
          <w:sz w:val="28"/>
          <w:szCs w:val="28"/>
        </w:rPr>
        <w:t>at the close of business</w:t>
      </w:r>
      <w:r w:rsidR="00C97174" w:rsidRPr="008F21AE">
        <w:rPr>
          <w:rFonts w:ascii="Times New Roman" w:hAnsi="Times New Roman" w:cs="Times New Roman"/>
          <w:sz w:val="28"/>
          <w:szCs w:val="28"/>
        </w:rPr>
        <w:t>)</w:t>
      </w:r>
      <w:r w:rsidR="002A63A3" w:rsidRPr="008F21AE">
        <w:rPr>
          <w:rFonts w:ascii="Times New Roman" w:hAnsi="Times New Roman" w:cs="Times New Roman"/>
          <w:sz w:val="28"/>
          <w:szCs w:val="28"/>
        </w:rPr>
        <w:t xml:space="preserve"> after having </w:t>
      </w:r>
      <w:r w:rsidR="007A7C56" w:rsidRPr="008F21AE">
        <w:rPr>
          <w:rFonts w:ascii="Times New Roman" w:hAnsi="Times New Roman" w:cs="Times New Roman"/>
          <w:sz w:val="28"/>
          <w:szCs w:val="28"/>
        </w:rPr>
        <w:t xml:space="preserve">purportedly </w:t>
      </w:r>
      <w:r w:rsidR="002A63A3" w:rsidRPr="008F21AE">
        <w:rPr>
          <w:rFonts w:ascii="Times New Roman" w:hAnsi="Times New Roman" w:cs="Times New Roman"/>
          <w:sz w:val="28"/>
          <w:szCs w:val="28"/>
        </w:rPr>
        <w:t xml:space="preserve">exhaustively looked at the </w:t>
      </w:r>
      <w:r w:rsidR="00C60B7D" w:rsidRPr="008F21AE">
        <w:rPr>
          <w:rFonts w:ascii="Times New Roman" w:hAnsi="Times New Roman" w:cs="Times New Roman"/>
          <w:sz w:val="28"/>
          <w:szCs w:val="28"/>
        </w:rPr>
        <w:t>records relative to the process,</w:t>
      </w:r>
      <w:r w:rsidR="002A63A3" w:rsidRPr="008F21AE">
        <w:rPr>
          <w:rFonts w:ascii="Times New Roman" w:hAnsi="Times New Roman" w:cs="Times New Roman"/>
          <w:sz w:val="28"/>
          <w:szCs w:val="28"/>
        </w:rPr>
        <w:t xml:space="preserve"> instead of </w:t>
      </w:r>
      <w:r w:rsidR="00E273FA" w:rsidRPr="008F21AE">
        <w:rPr>
          <w:rFonts w:ascii="Times New Roman" w:hAnsi="Times New Roman" w:cs="Times New Roman"/>
          <w:sz w:val="28"/>
          <w:szCs w:val="28"/>
        </w:rPr>
        <w:t>simply providing the</w:t>
      </w:r>
      <w:r w:rsidR="002A63A3" w:rsidRPr="008F21AE">
        <w:rPr>
          <w:rFonts w:ascii="Times New Roman" w:hAnsi="Times New Roman" w:cs="Times New Roman"/>
          <w:sz w:val="28"/>
          <w:szCs w:val="28"/>
        </w:rPr>
        <w:t xml:space="preserve"> s</w:t>
      </w:r>
      <w:r w:rsidR="006C3024" w:rsidRPr="008F21AE">
        <w:rPr>
          <w:rFonts w:ascii="Times New Roman" w:hAnsi="Times New Roman" w:cs="Times New Roman"/>
          <w:sz w:val="28"/>
          <w:szCs w:val="28"/>
        </w:rPr>
        <w:t>pecific reasons for the rejection of the applicants</w:t>
      </w:r>
      <w:r w:rsidR="002A63A3" w:rsidRPr="008F21AE">
        <w:rPr>
          <w:rFonts w:ascii="Times New Roman" w:hAnsi="Times New Roman" w:cs="Times New Roman"/>
          <w:sz w:val="28"/>
          <w:szCs w:val="28"/>
        </w:rPr>
        <w:t>’ bids,</w:t>
      </w:r>
      <w:r w:rsidR="006C3024" w:rsidRPr="008F21AE">
        <w:rPr>
          <w:rFonts w:ascii="Times New Roman" w:hAnsi="Times New Roman" w:cs="Times New Roman"/>
          <w:sz w:val="28"/>
          <w:szCs w:val="28"/>
        </w:rPr>
        <w:t xml:space="preserve"> vaguely asserted in their formal response (“reasons”) that the “winning bidder” (unnamed) had succeeded essentially because 40 of the 45 bi</w:t>
      </w:r>
      <w:r w:rsidR="00CE1E4A" w:rsidRPr="008F21AE">
        <w:rPr>
          <w:rFonts w:ascii="Times New Roman" w:hAnsi="Times New Roman" w:cs="Times New Roman"/>
          <w:sz w:val="28"/>
          <w:szCs w:val="28"/>
        </w:rPr>
        <w:t>d</w:t>
      </w:r>
      <w:r w:rsidR="006C3024" w:rsidRPr="008F21AE">
        <w:rPr>
          <w:rFonts w:ascii="Times New Roman" w:hAnsi="Times New Roman" w:cs="Times New Roman"/>
          <w:sz w:val="28"/>
          <w:szCs w:val="28"/>
        </w:rPr>
        <w:t>s received were “not acceptable” for various reasons mentioned</w:t>
      </w:r>
      <w:r w:rsidR="002A63A3" w:rsidRPr="008F21AE">
        <w:rPr>
          <w:rFonts w:ascii="Times New Roman" w:hAnsi="Times New Roman" w:cs="Times New Roman"/>
          <w:sz w:val="28"/>
          <w:szCs w:val="28"/>
        </w:rPr>
        <w:t>,</w:t>
      </w:r>
      <w:r w:rsidR="006C3024" w:rsidRPr="008F21AE">
        <w:rPr>
          <w:rFonts w:ascii="Times New Roman" w:hAnsi="Times New Roman" w:cs="Times New Roman"/>
          <w:sz w:val="28"/>
          <w:szCs w:val="28"/>
        </w:rPr>
        <w:t xml:space="preserve"> none of which were specifically attributed to</w:t>
      </w:r>
      <w:r w:rsidR="002A63A3" w:rsidRPr="008F21AE">
        <w:rPr>
          <w:rFonts w:ascii="Times New Roman" w:hAnsi="Times New Roman" w:cs="Times New Roman"/>
          <w:sz w:val="28"/>
          <w:szCs w:val="28"/>
        </w:rPr>
        <w:t xml:space="preserve"> material shortcomings</w:t>
      </w:r>
      <w:r w:rsidR="006C3024" w:rsidRPr="008F21AE">
        <w:rPr>
          <w:rFonts w:ascii="Times New Roman" w:hAnsi="Times New Roman" w:cs="Times New Roman"/>
          <w:sz w:val="28"/>
          <w:szCs w:val="28"/>
        </w:rPr>
        <w:t xml:space="preserve"> on the part of </w:t>
      </w:r>
      <w:r w:rsidR="00C60B7D" w:rsidRPr="008F21AE">
        <w:rPr>
          <w:rFonts w:ascii="Times New Roman" w:hAnsi="Times New Roman" w:cs="Times New Roman"/>
          <w:sz w:val="28"/>
          <w:szCs w:val="28"/>
        </w:rPr>
        <w:t>any</w:t>
      </w:r>
      <w:r w:rsidR="006C3024" w:rsidRPr="008F21AE">
        <w:rPr>
          <w:rFonts w:ascii="Times New Roman" w:hAnsi="Times New Roman" w:cs="Times New Roman"/>
          <w:sz w:val="28"/>
          <w:szCs w:val="28"/>
        </w:rPr>
        <w:t xml:space="preserve"> of the applicants.  </w:t>
      </w:r>
      <w:r w:rsidR="00C97174" w:rsidRPr="008F21AE">
        <w:rPr>
          <w:rFonts w:ascii="Times New Roman" w:hAnsi="Times New Roman" w:cs="Times New Roman"/>
          <w:sz w:val="28"/>
          <w:szCs w:val="28"/>
        </w:rPr>
        <w:t xml:space="preserve">The implication by the reply is that their bids were considered nonresponsive and or unacceptable due to noncompliance with the specifications and conditions of the tender, but the reasons in each case why their bids fell to be so disqualified were strangely left unstated. </w:t>
      </w:r>
      <w:r w:rsidR="00E273FA" w:rsidRPr="008F21AE">
        <w:rPr>
          <w:rFonts w:ascii="Times New Roman" w:hAnsi="Times New Roman" w:cs="Times New Roman"/>
          <w:sz w:val="28"/>
          <w:szCs w:val="28"/>
        </w:rPr>
        <w:t xml:space="preserve">Logically attention to detail would have removed any doubt </w:t>
      </w:r>
      <w:r w:rsidR="00522C71" w:rsidRPr="008F21AE">
        <w:rPr>
          <w:rFonts w:ascii="Times New Roman" w:hAnsi="Times New Roman" w:cs="Times New Roman"/>
          <w:sz w:val="28"/>
          <w:szCs w:val="28"/>
        </w:rPr>
        <w:t>that</w:t>
      </w:r>
      <w:r w:rsidR="00E273FA" w:rsidRPr="008F21AE">
        <w:rPr>
          <w:rFonts w:ascii="Times New Roman" w:hAnsi="Times New Roman" w:cs="Times New Roman"/>
          <w:sz w:val="28"/>
          <w:szCs w:val="28"/>
        </w:rPr>
        <w:t xml:space="preserve"> their bids had been </w:t>
      </w:r>
      <w:r w:rsidR="00AA447D" w:rsidRPr="008F21AE">
        <w:rPr>
          <w:rFonts w:ascii="Times New Roman" w:hAnsi="Times New Roman" w:cs="Times New Roman"/>
          <w:sz w:val="28"/>
          <w:szCs w:val="28"/>
        </w:rPr>
        <w:t>disqualified</w:t>
      </w:r>
      <w:r w:rsidR="00522C71" w:rsidRPr="008F21AE">
        <w:rPr>
          <w:rFonts w:ascii="Times New Roman" w:hAnsi="Times New Roman" w:cs="Times New Roman"/>
          <w:sz w:val="28"/>
          <w:szCs w:val="28"/>
        </w:rPr>
        <w:t xml:space="preserve"> for valid reasons in each instance</w:t>
      </w:r>
      <w:r w:rsidR="00AA447D" w:rsidRPr="008F21AE">
        <w:rPr>
          <w:rFonts w:ascii="Times New Roman" w:hAnsi="Times New Roman" w:cs="Times New Roman"/>
          <w:sz w:val="28"/>
          <w:szCs w:val="28"/>
        </w:rPr>
        <w:t xml:space="preserve"> </w:t>
      </w:r>
      <w:r w:rsidR="00522C71" w:rsidRPr="008F21AE">
        <w:rPr>
          <w:rFonts w:ascii="Times New Roman" w:hAnsi="Times New Roman" w:cs="Times New Roman"/>
          <w:sz w:val="28"/>
          <w:szCs w:val="28"/>
        </w:rPr>
        <w:t xml:space="preserve">if these had pointedly been provided </w:t>
      </w:r>
      <w:r w:rsidR="00AA447D" w:rsidRPr="008F21AE">
        <w:rPr>
          <w:rFonts w:ascii="Times New Roman" w:hAnsi="Times New Roman" w:cs="Times New Roman"/>
          <w:sz w:val="28"/>
          <w:szCs w:val="28"/>
        </w:rPr>
        <w:t xml:space="preserve">and, in the event that the information had revealed at what stage </w:t>
      </w:r>
      <w:r w:rsidR="00522C71" w:rsidRPr="008F21AE">
        <w:rPr>
          <w:rFonts w:ascii="Times New Roman" w:hAnsi="Times New Roman" w:cs="Times New Roman"/>
          <w:sz w:val="28"/>
          <w:szCs w:val="28"/>
        </w:rPr>
        <w:t>each of them</w:t>
      </w:r>
      <w:r w:rsidR="00AA447D" w:rsidRPr="008F21AE">
        <w:rPr>
          <w:rFonts w:ascii="Times New Roman" w:hAnsi="Times New Roman" w:cs="Times New Roman"/>
          <w:sz w:val="28"/>
          <w:szCs w:val="28"/>
        </w:rPr>
        <w:t xml:space="preserve"> </w:t>
      </w:r>
      <w:r w:rsidR="00AD34BB" w:rsidRPr="008F21AE">
        <w:rPr>
          <w:rFonts w:ascii="Times New Roman" w:hAnsi="Times New Roman" w:cs="Times New Roman"/>
          <w:sz w:val="28"/>
          <w:szCs w:val="28"/>
        </w:rPr>
        <w:t>had fallen</w:t>
      </w:r>
      <w:r w:rsidR="00AA447D" w:rsidRPr="008F21AE">
        <w:rPr>
          <w:rFonts w:ascii="Times New Roman" w:hAnsi="Times New Roman" w:cs="Times New Roman"/>
          <w:sz w:val="28"/>
          <w:szCs w:val="28"/>
        </w:rPr>
        <w:t xml:space="preserve"> out of the game, exactly why that </w:t>
      </w:r>
      <w:r w:rsidR="00AD34BB" w:rsidRPr="008F21AE">
        <w:rPr>
          <w:rFonts w:ascii="Times New Roman" w:hAnsi="Times New Roman" w:cs="Times New Roman"/>
          <w:sz w:val="28"/>
          <w:szCs w:val="28"/>
        </w:rPr>
        <w:t>had been</w:t>
      </w:r>
      <w:r w:rsidR="00AA447D" w:rsidRPr="008F21AE">
        <w:rPr>
          <w:rFonts w:ascii="Times New Roman" w:hAnsi="Times New Roman" w:cs="Times New Roman"/>
          <w:sz w:val="28"/>
          <w:szCs w:val="28"/>
        </w:rPr>
        <w:t xml:space="preserve"> the case.  </w:t>
      </w:r>
      <w:r w:rsidR="00F37FA7" w:rsidRPr="008F21AE">
        <w:rPr>
          <w:rFonts w:ascii="Times New Roman" w:hAnsi="Times New Roman" w:cs="Times New Roman"/>
          <w:sz w:val="28"/>
          <w:szCs w:val="28"/>
        </w:rPr>
        <w:t>(It goes without saying that transparency is vital in any tender process.)</w:t>
      </w:r>
    </w:p>
    <w:p w14:paraId="1AB54D59" w14:textId="77777777" w:rsidR="006C3024" w:rsidRPr="006C3024" w:rsidRDefault="006C3024" w:rsidP="006C3024">
      <w:pPr>
        <w:pStyle w:val="ListParagraph"/>
        <w:rPr>
          <w:rFonts w:ascii="Times New Roman" w:hAnsi="Times New Roman" w:cs="Times New Roman"/>
          <w:sz w:val="28"/>
          <w:szCs w:val="28"/>
        </w:rPr>
      </w:pPr>
    </w:p>
    <w:p w14:paraId="22A07698" w14:textId="55DFDB4B" w:rsidR="00C60B7D"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AA447D" w:rsidRPr="008F21AE">
        <w:rPr>
          <w:rFonts w:ascii="Times New Roman" w:hAnsi="Times New Roman" w:cs="Times New Roman"/>
          <w:sz w:val="28"/>
          <w:szCs w:val="28"/>
        </w:rPr>
        <w:t>As indicated above, e</w:t>
      </w:r>
      <w:r w:rsidR="006C3024" w:rsidRPr="008F21AE">
        <w:rPr>
          <w:rFonts w:ascii="Times New Roman" w:hAnsi="Times New Roman" w:cs="Times New Roman"/>
          <w:sz w:val="28"/>
          <w:szCs w:val="28"/>
        </w:rPr>
        <w:t>ven though the first respondent had not been asked by the applicants’ attorneys why the winner bidder was not based in Gqeberha, this information was volunteered</w:t>
      </w:r>
      <w:r w:rsidR="002A63A3" w:rsidRPr="008F21AE">
        <w:rPr>
          <w:rFonts w:ascii="Times New Roman" w:hAnsi="Times New Roman" w:cs="Times New Roman"/>
          <w:sz w:val="28"/>
          <w:szCs w:val="28"/>
        </w:rPr>
        <w:t>,</w:t>
      </w:r>
      <w:r w:rsidR="006C3024" w:rsidRPr="008F21AE">
        <w:rPr>
          <w:rFonts w:ascii="Times New Roman" w:hAnsi="Times New Roman" w:cs="Times New Roman"/>
          <w:sz w:val="28"/>
          <w:szCs w:val="28"/>
        </w:rPr>
        <w:t xml:space="preserve"> probably in response t</w:t>
      </w:r>
      <w:r w:rsidR="002A63A3" w:rsidRPr="008F21AE">
        <w:rPr>
          <w:rFonts w:ascii="Times New Roman" w:hAnsi="Times New Roman" w:cs="Times New Roman"/>
          <w:sz w:val="28"/>
          <w:szCs w:val="28"/>
        </w:rPr>
        <w:t>o the objection</w:t>
      </w:r>
      <w:r w:rsidR="00C97174" w:rsidRPr="008F21AE">
        <w:rPr>
          <w:rFonts w:ascii="Times New Roman" w:hAnsi="Times New Roman" w:cs="Times New Roman"/>
          <w:sz w:val="28"/>
          <w:szCs w:val="28"/>
        </w:rPr>
        <w:t>s</w:t>
      </w:r>
      <w:r w:rsidR="002A63A3" w:rsidRPr="008F21AE">
        <w:rPr>
          <w:rFonts w:ascii="Times New Roman" w:hAnsi="Times New Roman" w:cs="Times New Roman"/>
          <w:sz w:val="28"/>
          <w:szCs w:val="28"/>
        </w:rPr>
        <w:t xml:space="preserve"> raised by the F</w:t>
      </w:r>
      <w:r w:rsidR="006C3024" w:rsidRPr="008F21AE">
        <w:rPr>
          <w:rFonts w:ascii="Times New Roman" w:hAnsi="Times New Roman" w:cs="Times New Roman"/>
          <w:sz w:val="28"/>
          <w:szCs w:val="28"/>
        </w:rPr>
        <w:t xml:space="preserve">orum.  Also volunteered </w:t>
      </w:r>
      <w:r w:rsidR="00AA447D" w:rsidRPr="008F21AE">
        <w:rPr>
          <w:rFonts w:ascii="Times New Roman" w:hAnsi="Times New Roman" w:cs="Times New Roman"/>
          <w:sz w:val="28"/>
          <w:szCs w:val="28"/>
        </w:rPr>
        <w:t xml:space="preserve">to the applicants’ attorneys </w:t>
      </w:r>
      <w:r w:rsidR="006C3024" w:rsidRPr="008F21AE">
        <w:rPr>
          <w:rFonts w:ascii="Times New Roman" w:hAnsi="Times New Roman" w:cs="Times New Roman"/>
          <w:sz w:val="28"/>
          <w:szCs w:val="28"/>
        </w:rPr>
        <w:t>was the revelation that the winning bidder’s tender had not b</w:t>
      </w:r>
      <w:r w:rsidR="00CE1E4A" w:rsidRPr="008F21AE">
        <w:rPr>
          <w:rFonts w:ascii="Times New Roman" w:hAnsi="Times New Roman" w:cs="Times New Roman"/>
          <w:sz w:val="28"/>
          <w:szCs w:val="28"/>
        </w:rPr>
        <w:t>e</w:t>
      </w:r>
      <w:r w:rsidR="006C3024" w:rsidRPr="008F21AE">
        <w:rPr>
          <w:rFonts w:ascii="Times New Roman" w:hAnsi="Times New Roman" w:cs="Times New Roman"/>
          <w:sz w:val="28"/>
          <w:szCs w:val="28"/>
        </w:rPr>
        <w:t>en the lowest priced</w:t>
      </w:r>
      <w:r w:rsidR="00C60B7D" w:rsidRPr="008F21AE">
        <w:rPr>
          <w:rFonts w:ascii="Times New Roman" w:hAnsi="Times New Roman" w:cs="Times New Roman"/>
          <w:sz w:val="28"/>
          <w:szCs w:val="28"/>
        </w:rPr>
        <w:t xml:space="preserve">, a matter of concern </w:t>
      </w:r>
      <w:r w:rsidR="00AA447D" w:rsidRPr="008F21AE">
        <w:rPr>
          <w:rFonts w:ascii="Times New Roman" w:hAnsi="Times New Roman" w:cs="Times New Roman"/>
          <w:sz w:val="28"/>
          <w:szCs w:val="28"/>
        </w:rPr>
        <w:t xml:space="preserve">to them </w:t>
      </w:r>
      <w:r w:rsidR="00C60B7D" w:rsidRPr="008F21AE">
        <w:rPr>
          <w:rFonts w:ascii="Times New Roman" w:hAnsi="Times New Roman" w:cs="Times New Roman"/>
          <w:sz w:val="28"/>
          <w:szCs w:val="28"/>
        </w:rPr>
        <w:t>since</w:t>
      </w:r>
      <w:r w:rsidR="00AA447D" w:rsidRPr="008F21AE">
        <w:rPr>
          <w:rFonts w:ascii="Times New Roman" w:hAnsi="Times New Roman" w:cs="Times New Roman"/>
          <w:sz w:val="28"/>
          <w:szCs w:val="28"/>
        </w:rPr>
        <w:t xml:space="preserve"> </w:t>
      </w:r>
      <w:r w:rsidR="00C60B7D" w:rsidRPr="008F21AE">
        <w:rPr>
          <w:rFonts w:ascii="Times New Roman" w:hAnsi="Times New Roman" w:cs="Times New Roman"/>
          <w:sz w:val="28"/>
          <w:szCs w:val="28"/>
        </w:rPr>
        <w:t xml:space="preserve">price is </w:t>
      </w:r>
      <w:r w:rsidR="00AA447D" w:rsidRPr="008F21AE">
        <w:rPr>
          <w:rFonts w:ascii="Times New Roman" w:hAnsi="Times New Roman" w:cs="Times New Roman"/>
          <w:sz w:val="28"/>
          <w:szCs w:val="28"/>
        </w:rPr>
        <w:t>a</w:t>
      </w:r>
      <w:r w:rsidR="00C60B7D" w:rsidRPr="008F21AE">
        <w:rPr>
          <w:rFonts w:ascii="Times New Roman" w:hAnsi="Times New Roman" w:cs="Times New Roman"/>
          <w:sz w:val="28"/>
          <w:szCs w:val="28"/>
        </w:rPr>
        <w:t xml:space="preserve"> significant factor in the procurement of </w:t>
      </w:r>
      <w:r w:rsidR="00F37FA7" w:rsidRPr="008F21AE">
        <w:rPr>
          <w:rFonts w:ascii="Times New Roman" w:hAnsi="Times New Roman" w:cs="Times New Roman"/>
          <w:sz w:val="28"/>
          <w:szCs w:val="28"/>
        </w:rPr>
        <w:t xml:space="preserve">Government </w:t>
      </w:r>
      <w:r w:rsidR="00C60B7D" w:rsidRPr="008F21AE">
        <w:rPr>
          <w:rFonts w:ascii="Times New Roman" w:hAnsi="Times New Roman" w:cs="Times New Roman"/>
          <w:sz w:val="28"/>
          <w:szCs w:val="28"/>
        </w:rPr>
        <w:t xml:space="preserve">goods and services.  </w:t>
      </w:r>
      <w:r w:rsidR="00AA447D" w:rsidRPr="008F21AE">
        <w:rPr>
          <w:rFonts w:ascii="Times New Roman" w:hAnsi="Times New Roman" w:cs="Times New Roman"/>
          <w:sz w:val="28"/>
          <w:szCs w:val="28"/>
        </w:rPr>
        <w:t>I</w:t>
      </w:r>
      <w:r w:rsidR="00522C71" w:rsidRPr="008F21AE">
        <w:rPr>
          <w:rFonts w:ascii="Times New Roman" w:hAnsi="Times New Roman" w:cs="Times New Roman"/>
          <w:sz w:val="28"/>
          <w:szCs w:val="28"/>
        </w:rPr>
        <w:t>ndeed, i</w:t>
      </w:r>
      <w:r w:rsidR="00AA447D" w:rsidRPr="008F21AE">
        <w:rPr>
          <w:rFonts w:ascii="Times New Roman" w:hAnsi="Times New Roman" w:cs="Times New Roman"/>
          <w:sz w:val="28"/>
          <w:szCs w:val="28"/>
        </w:rPr>
        <w:t>t came to light in the answering papers that the value of the winning bid was in ex</w:t>
      </w:r>
      <w:r w:rsidR="00522C71" w:rsidRPr="008F21AE">
        <w:rPr>
          <w:rFonts w:ascii="Times New Roman" w:hAnsi="Times New Roman" w:cs="Times New Roman"/>
          <w:sz w:val="28"/>
          <w:szCs w:val="28"/>
        </w:rPr>
        <w:t>cess</w:t>
      </w:r>
      <w:r w:rsidR="00AA447D" w:rsidRPr="008F21AE">
        <w:rPr>
          <w:rFonts w:ascii="Times New Roman" w:hAnsi="Times New Roman" w:cs="Times New Roman"/>
          <w:sz w:val="28"/>
          <w:szCs w:val="28"/>
        </w:rPr>
        <w:t xml:space="preserve"> of four million </w:t>
      </w:r>
      <w:r w:rsidR="00266BBF" w:rsidRPr="008F21AE">
        <w:rPr>
          <w:rFonts w:ascii="Times New Roman" w:hAnsi="Times New Roman" w:cs="Times New Roman"/>
          <w:sz w:val="28"/>
          <w:szCs w:val="28"/>
        </w:rPr>
        <w:t xml:space="preserve">rands </w:t>
      </w:r>
      <w:r w:rsidR="00AA447D" w:rsidRPr="008F21AE">
        <w:rPr>
          <w:rFonts w:ascii="Times New Roman" w:hAnsi="Times New Roman" w:cs="Times New Roman"/>
          <w:sz w:val="28"/>
          <w:szCs w:val="28"/>
        </w:rPr>
        <w:t xml:space="preserve">higher than the </w:t>
      </w:r>
      <w:r w:rsidR="00F37FA7" w:rsidRPr="008F21AE">
        <w:rPr>
          <w:rFonts w:ascii="Times New Roman" w:hAnsi="Times New Roman" w:cs="Times New Roman"/>
          <w:sz w:val="28"/>
          <w:szCs w:val="28"/>
        </w:rPr>
        <w:t>second applicant’s bid</w:t>
      </w:r>
      <w:r w:rsidR="00AD34BB" w:rsidRPr="008F21AE">
        <w:rPr>
          <w:rFonts w:ascii="Times New Roman" w:hAnsi="Times New Roman" w:cs="Times New Roman"/>
          <w:sz w:val="28"/>
          <w:szCs w:val="28"/>
        </w:rPr>
        <w:t>,</w:t>
      </w:r>
      <w:r w:rsidR="00F37FA7" w:rsidRPr="008F21AE">
        <w:rPr>
          <w:rFonts w:ascii="Times New Roman" w:hAnsi="Times New Roman" w:cs="Times New Roman"/>
          <w:sz w:val="28"/>
          <w:szCs w:val="28"/>
        </w:rPr>
        <w:t xml:space="preserve"> and </w:t>
      </w:r>
      <w:r w:rsidR="007A7C56" w:rsidRPr="008F21AE">
        <w:rPr>
          <w:rFonts w:ascii="Times New Roman" w:hAnsi="Times New Roman" w:cs="Times New Roman"/>
          <w:sz w:val="28"/>
          <w:szCs w:val="28"/>
        </w:rPr>
        <w:t xml:space="preserve">substantially </w:t>
      </w:r>
      <w:r w:rsidR="00F37FA7" w:rsidRPr="008F21AE">
        <w:rPr>
          <w:rFonts w:ascii="Times New Roman" w:hAnsi="Times New Roman" w:cs="Times New Roman"/>
          <w:sz w:val="28"/>
          <w:szCs w:val="28"/>
        </w:rPr>
        <w:t>exceed</w:t>
      </w:r>
      <w:r w:rsidR="00C97174" w:rsidRPr="008F21AE">
        <w:rPr>
          <w:rFonts w:ascii="Times New Roman" w:hAnsi="Times New Roman" w:cs="Times New Roman"/>
          <w:sz w:val="28"/>
          <w:szCs w:val="28"/>
        </w:rPr>
        <w:t>ed</w:t>
      </w:r>
      <w:r w:rsidR="00F37FA7" w:rsidRPr="008F21AE">
        <w:rPr>
          <w:rFonts w:ascii="Times New Roman" w:hAnsi="Times New Roman" w:cs="Times New Roman"/>
          <w:sz w:val="28"/>
          <w:szCs w:val="28"/>
        </w:rPr>
        <w:t xml:space="preserve"> the three other applicants’ </w:t>
      </w:r>
      <w:r w:rsidR="00F37FA7" w:rsidRPr="008F21AE">
        <w:rPr>
          <w:rFonts w:ascii="Times New Roman" w:hAnsi="Times New Roman" w:cs="Times New Roman"/>
          <w:sz w:val="28"/>
          <w:szCs w:val="28"/>
        </w:rPr>
        <w:lastRenderedPageBreak/>
        <w:t>bids</w:t>
      </w:r>
      <w:r w:rsidR="007A7C56" w:rsidRPr="008F21AE">
        <w:rPr>
          <w:rFonts w:ascii="Times New Roman" w:hAnsi="Times New Roman" w:cs="Times New Roman"/>
          <w:sz w:val="28"/>
          <w:szCs w:val="28"/>
        </w:rPr>
        <w:t xml:space="preserve"> as well</w:t>
      </w:r>
      <w:r w:rsidR="00522C71" w:rsidRPr="008F21AE">
        <w:rPr>
          <w:rFonts w:ascii="Times New Roman" w:hAnsi="Times New Roman" w:cs="Times New Roman"/>
          <w:sz w:val="28"/>
          <w:szCs w:val="28"/>
        </w:rPr>
        <w:t xml:space="preserve">, which made it everyone’s business and in the public interest to know how </w:t>
      </w:r>
      <w:r w:rsidR="00F734C6" w:rsidRPr="008F21AE">
        <w:rPr>
          <w:rFonts w:ascii="Times New Roman" w:hAnsi="Times New Roman" w:cs="Times New Roman"/>
          <w:sz w:val="28"/>
          <w:szCs w:val="28"/>
        </w:rPr>
        <w:t>and why the second respondent had pipped its competitors</w:t>
      </w:r>
      <w:r w:rsidR="00AD34BB" w:rsidRPr="008F21AE">
        <w:rPr>
          <w:rFonts w:ascii="Times New Roman" w:hAnsi="Times New Roman" w:cs="Times New Roman"/>
          <w:sz w:val="28"/>
          <w:szCs w:val="28"/>
        </w:rPr>
        <w:t xml:space="preserve"> in these peculiar circumstances</w:t>
      </w:r>
      <w:r w:rsidR="00F734C6" w:rsidRPr="008F21AE">
        <w:rPr>
          <w:rFonts w:ascii="Times New Roman" w:hAnsi="Times New Roman" w:cs="Times New Roman"/>
          <w:sz w:val="28"/>
          <w:szCs w:val="28"/>
        </w:rPr>
        <w:t>.</w:t>
      </w:r>
      <w:r w:rsidR="00522C71" w:rsidRPr="008F21AE">
        <w:rPr>
          <w:rFonts w:ascii="Times New Roman" w:hAnsi="Times New Roman" w:cs="Times New Roman"/>
          <w:sz w:val="28"/>
          <w:szCs w:val="28"/>
        </w:rPr>
        <w:t>)</w:t>
      </w:r>
    </w:p>
    <w:p w14:paraId="00F25BB2" w14:textId="77777777" w:rsidR="00C60B7D" w:rsidRPr="00C60B7D" w:rsidRDefault="00C60B7D" w:rsidP="00C60B7D">
      <w:pPr>
        <w:pStyle w:val="ListParagraph"/>
        <w:rPr>
          <w:rFonts w:ascii="Times New Roman" w:hAnsi="Times New Roman" w:cs="Times New Roman"/>
          <w:sz w:val="28"/>
          <w:szCs w:val="28"/>
        </w:rPr>
      </w:pPr>
    </w:p>
    <w:p w14:paraId="44057E1C" w14:textId="20E5C021" w:rsidR="002A63A3"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C60B7D" w:rsidRPr="008F21AE">
        <w:rPr>
          <w:rFonts w:ascii="Times New Roman" w:hAnsi="Times New Roman" w:cs="Times New Roman"/>
          <w:sz w:val="28"/>
          <w:szCs w:val="28"/>
        </w:rPr>
        <w:t xml:space="preserve">This </w:t>
      </w:r>
      <w:r w:rsidR="00F734C6" w:rsidRPr="008F21AE">
        <w:rPr>
          <w:rFonts w:ascii="Times New Roman" w:hAnsi="Times New Roman" w:cs="Times New Roman"/>
          <w:sz w:val="28"/>
          <w:szCs w:val="28"/>
        </w:rPr>
        <w:t xml:space="preserve">absence on the part of the Department </w:t>
      </w:r>
      <w:r w:rsidR="00F37FA7" w:rsidRPr="008F21AE">
        <w:rPr>
          <w:rFonts w:ascii="Times New Roman" w:hAnsi="Times New Roman" w:cs="Times New Roman"/>
          <w:sz w:val="28"/>
          <w:szCs w:val="28"/>
        </w:rPr>
        <w:t>in playing</w:t>
      </w:r>
      <w:r w:rsidR="00F734C6" w:rsidRPr="008F21AE">
        <w:rPr>
          <w:rFonts w:ascii="Times New Roman" w:hAnsi="Times New Roman" w:cs="Times New Roman"/>
          <w:sz w:val="28"/>
          <w:szCs w:val="28"/>
        </w:rPr>
        <w:t xml:space="preserve"> open cards </w:t>
      </w:r>
      <w:r w:rsidR="00266BBF" w:rsidRPr="008F21AE">
        <w:rPr>
          <w:rFonts w:ascii="Times New Roman" w:hAnsi="Times New Roman" w:cs="Times New Roman"/>
          <w:sz w:val="28"/>
          <w:szCs w:val="28"/>
        </w:rPr>
        <w:t>provided</w:t>
      </w:r>
      <w:r w:rsidR="00C60B7D" w:rsidRPr="008F21AE">
        <w:rPr>
          <w:rFonts w:ascii="Times New Roman" w:hAnsi="Times New Roman" w:cs="Times New Roman"/>
          <w:sz w:val="28"/>
          <w:szCs w:val="28"/>
        </w:rPr>
        <w:t xml:space="preserve"> a </w:t>
      </w:r>
      <w:r w:rsidR="00266BBF" w:rsidRPr="008F21AE">
        <w:rPr>
          <w:rFonts w:ascii="Times New Roman" w:hAnsi="Times New Roman" w:cs="Times New Roman"/>
          <w:sz w:val="28"/>
          <w:szCs w:val="28"/>
        </w:rPr>
        <w:t xml:space="preserve">reasonable </w:t>
      </w:r>
      <w:r w:rsidR="00C60B7D" w:rsidRPr="008F21AE">
        <w:rPr>
          <w:rFonts w:ascii="Times New Roman" w:hAnsi="Times New Roman" w:cs="Times New Roman"/>
          <w:sz w:val="28"/>
          <w:szCs w:val="28"/>
        </w:rPr>
        <w:t xml:space="preserve">basis for the first applicant to contend that the process was </w:t>
      </w:r>
      <w:r w:rsidR="00F734C6" w:rsidRPr="008F21AE">
        <w:rPr>
          <w:rFonts w:ascii="Times New Roman" w:hAnsi="Times New Roman" w:cs="Times New Roman"/>
          <w:sz w:val="28"/>
          <w:szCs w:val="28"/>
        </w:rPr>
        <w:t xml:space="preserve">quite conceivably </w:t>
      </w:r>
      <w:r w:rsidR="00C60B7D" w:rsidRPr="008F21AE">
        <w:rPr>
          <w:rFonts w:ascii="Times New Roman" w:hAnsi="Times New Roman" w:cs="Times New Roman"/>
          <w:sz w:val="28"/>
          <w:szCs w:val="28"/>
        </w:rPr>
        <w:t>procedurally unfair and fell to be reviewed in terms of section 6 (2)(</w:t>
      </w:r>
      <w:r w:rsidR="00266BBF" w:rsidRPr="008F21AE">
        <w:rPr>
          <w:rFonts w:ascii="Times New Roman" w:hAnsi="Times New Roman" w:cs="Times New Roman"/>
          <w:sz w:val="28"/>
          <w:szCs w:val="28"/>
        </w:rPr>
        <w:t>c</w:t>
      </w:r>
      <w:r w:rsidR="00C60B7D" w:rsidRPr="008F21AE">
        <w:rPr>
          <w:rFonts w:ascii="Times New Roman" w:hAnsi="Times New Roman" w:cs="Times New Roman"/>
          <w:sz w:val="28"/>
          <w:szCs w:val="28"/>
        </w:rPr>
        <w:t xml:space="preserve">) of the Promotion of Justice Act, No.  </w:t>
      </w:r>
      <w:r w:rsidR="00A50F99" w:rsidRPr="008F21AE">
        <w:rPr>
          <w:rFonts w:ascii="Times New Roman" w:hAnsi="Times New Roman" w:cs="Times New Roman"/>
          <w:sz w:val="28"/>
          <w:szCs w:val="28"/>
        </w:rPr>
        <w:t xml:space="preserve">3 of 2000 (“PAJA”). </w:t>
      </w:r>
      <w:r w:rsidR="00A40EB3" w:rsidRPr="008F21AE">
        <w:rPr>
          <w:rFonts w:ascii="Times New Roman" w:hAnsi="Times New Roman" w:cs="Times New Roman"/>
          <w:sz w:val="28"/>
          <w:szCs w:val="28"/>
        </w:rPr>
        <w:t xml:space="preserve"> It pointed out further the real possibility that the first respondent had elevated irrelevant considerations</w:t>
      </w:r>
      <w:r w:rsidR="00F734C6" w:rsidRPr="008F21AE">
        <w:rPr>
          <w:rFonts w:ascii="Times New Roman" w:hAnsi="Times New Roman" w:cs="Times New Roman"/>
          <w:sz w:val="28"/>
          <w:szCs w:val="28"/>
        </w:rPr>
        <w:t xml:space="preserve"> and ignored relevant considerations</w:t>
      </w:r>
      <w:r w:rsidR="00AD34BB" w:rsidRPr="008F21AE">
        <w:rPr>
          <w:rFonts w:ascii="Times New Roman" w:hAnsi="Times New Roman" w:cs="Times New Roman"/>
          <w:sz w:val="28"/>
          <w:szCs w:val="28"/>
        </w:rPr>
        <w:t xml:space="preserve"> in getting to its decision to award the tender to the second respondent</w:t>
      </w:r>
      <w:r w:rsidR="00A40EB3" w:rsidRPr="008F21AE">
        <w:rPr>
          <w:rFonts w:ascii="Times New Roman" w:hAnsi="Times New Roman" w:cs="Times New Roman"/>
          <w:sz w:val="28"/>
          <w:szCs w:val="28"/>
        </w:rPr>
        <w:t xml:space="preserve">.  </w:t>
      </w:r>
      <w:r w:rsidR="00266BBF" w:rsidRPr="008F21AE">
        <w:rPr>
          <w:rFonts w:ascii="Times New Roman" w:hAnsi="Times New Roman" w:cs="Times New Roman"/>
          <w:sz w:val="28"/>
          <w:szCs w:val="28"/>
        </w:rPr>
        <w:t>Finally,</w:t>
      </w:r>
      <w:r w:rsidR="00A40EB3" w:rsidRPr="008F21AE">
        <w:rPr>
          <w:rFonts w:ascii="Times New Roman" w:hAnsi="Times New Roman" w:cs="Times New Roman"/>
          <w:sz w:val="28"/>
          <w:szCs w:val="28"/>
        </w:rPr>
        <w:t xml:space="preserve"> the first applicant asserted that if the first respondent had intended to apply objective criteria in terms of section 2 (1)(f) of the P</w:t>
      </w:r>
      <w:r w:rsidR="00210989" w:rsidRPr="008F21AE">
        <w:rPr>
          <w:rFonts w:ascii="Times New Roman" w:hAnsi="Times New Roman" w:cs="Times New Roman"/>
          <w:sz w:val="28"/>
          <w:szCs w:val="28"/>
        </w:rPr>
        <w:t xml:space="preserve">referential </w:t>
      </w:r>
      <w:r w:rsidR="00A40EB3" w:rsidRPr="008F21AE">
        <w:rPr>
          <w:rFonts w:ascii="Times New Roman" w:hAnsi="Times New Roman" w:cs="Times New Roman"/>
          <w:sz w:val="28"/>
          <w:szCs w:val="28"/>
        </w:rPr>
        <w:t xml:space="preserve">Procurement </w:t>
      </w:r>
      <w:r w:rsidR="00210989" w:rsidRPr="008F21AE">
        <w:rPr>
          <w:rFonts w:ascii="Times New Roman" w:hAnsi="Times New Roman" w:cs="Times New Roman"/>
          <w:sz w:val="28"/>
          <w:szCs w:val="28"/>
        </w:rPr>
        <w:t xml:space="preserve">Policy Framework </w:t>
      </w:r>
      <w:r w:rsidR="00A40EB3" w:rsidRPr="008F21AE">
        <w:rPr>
          <w:rFonts w:ascii="Times New Roman" w:hAnsi="Times New Roman" w:cs="Times New Roman"/>
          <w:sz w:val="28"/>
          <w:szCs w:val="28"/>
        </w:rPr>
        <w:t>Act,</w:t>
      </w:r>
      <w:r w:rsidR="00210989">
        <w:rPr>
          <w:rStyle w:val="FootnoteReference"/>
          <w:rFonts w:ascii="Times New Roman" w:hAnsi="Times New Roman" w:cs="Times New Roman"/>
          <w:sz w:val="28"/>
          <w:szCs w:val="28"/>
        </w:rPr>
        <w:footnoteReference w:id="7"/>
      </w:r>
      <w:r w:rsidR="00A40EB3" w:rsidRPr="008F21AE">
        <w:rPr>
          <w:rFonts w:ascii="Times New Roman" w:hAnsi="Times New Roman" w:cs="Times New Roman"/>
          <w:sz w:val="28"/>
          <w:szCs w:val="28"/>
        </w:rPr>
        <w:t xml:space="preserve"> </w:t>
      </w:r>
      <w:r w:rsidR="00210989" w:rsidRPr="008F21AE">
        <w:rPr>
          <w:rFonts w:ascii="Times New Roman" w:hAnsi="Times New Roman" w:cs="Times New Roman"/>
          <w:sz w:val="28"/>
          <w:szCs w:val="28"/>
        </w:rPr>
        <w:t>it</w:t>
      </w:r>
      <w:r w:rsidR="00A40EB3" w:rsidRPr="008F21AE">
        <w:rPr>
          <w:rFonts w:ascii="Times New Roman" w:hAnsi="Times New Roman" w:cs="Times New Roman"/>
          <w:sz w:val="28"/>
          <w:szCs w:val="28"/>
        </w:rPr>
        <w:t xml:space="preserve"> had been obliged to stipulate that criteria in the tender documents in clear terms which it had not done.</w:t>
      </w:r>
      <w:r w:rsidR="006C3024" w:rsidRPr="008F21AE">
        <w:rPr>
          <w:rFonts w:ascii="Times New Roman" w:hAnsi="Times New Roman" w:cs="Times New Roman"/>
          <w:sz w:val="28"/>
          <w:szCs w:val="28"/>
        </w:rPr>
        <w:t xml:space="preserve"> </w:t>
      </w:r>
    </w:p>
    <w:p w14:paraId="4A53F2A4" w14:textId="77777777" w:rsidR="002A63A3" w:rsidRPr="002A63A3" w:rsidRDefault="002A63A3" w:rsidP="002A63A3">
      <w:pPr>
        <w:pStyle w:val="ListParagraph"/>
        <w:rPr>
          <w:rFonts w:ascii="Times New Roman" w:hAnsi="Times New Roman" w:cs="Times New Roman"/>
          <w:sz w:val="28"/>
          <w:szCs w:val="28"/>
        </w:rPr>
      </w:pPr>
    </w:p>
    <w:p w14:paraId="580B2B6D" w14:textId="2EC00CE3" w:rsidR="000D6EB7"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210989" w:rsidRPr="008F21AE">
        <w:rPr>
          <w:rFonts w:ascii="Times New Roman" w:hAnsi="Times New Roman" w:cs="Times New Roman"/>
          <w:sz w:val="28"/>
          <w:szCs w:val="28"/>
        </w:rPr>
        <w:t xml:space="preserve">Rather </w:t>
      </w:r>
      <w:r w:rsidR="000D6EB7" w:rsidRPr="008F21AE">
        <w:rPr>
          <w:rFonts w:ascii="Times New Roman" w:hAnsi="Times New Roman" w:cs="Times New Roman"/>
          <w:sz w:val="28"/>
          <w:szCs w:val="28"/>
        </w:rPr>
        <w:t>curiously</w:t>
      </w:r>
      <w:r w:rsidR="00210989" w:rsidRPr="008F21AE">
        <w:rPr>
          <w:rFonts w:ascii="Times New Roman" w:hAnsi="Times New Roman" w:cs="Times New Roman"/>
          <w:sz w:val="28"/>
          <w:szCs w:val="28"/>
        </w:rPr>
        <w:t xml:space="preserve"> the first respondent imagined that the </w:t>
      </w:r>
      <w:r w:rsidR="000D6EB7" w:rsidRPr="008F21AE">
        <w:rPr>
          <w:rFonts w:ascii="Times New Roman" w:hAnsi="Times New Roman" w:cs="Times New Roman"/>
          <w:sz w:val="28"/>
          <w:szCs w:val="28"/>
        </w:rPr>
        <w:t>Department had</w:t>
      </w:r>
      <w:r w:rsidR="00210989" w:rsidRPr="008F21AE">
        <w:rPr>
          <w:rFonts w:ascii="Times New Roman" w:hAnsi="Times New Roman" w:cs="Times New Roman"/>
          <w:sz w:val="28"/>
          <w:szCs w:val="28"/>
        </w:rPr>
        <w:t xml:space="preserve"> given good and proper reasons to the applicants’ attorneys</w:t>
      </w:r>
      <w:r w:rsidR="00A43378" w:rsidRPr="008F21AE">
        <w:rPr>
          <w:rFonts w:ascii="Times New Roman" w:hAnsi="Times New Roman" w:cs="Times New Roman"/>
          <w:sz w:val="28"/>
          <w:szCs w:val="28"/>
        </w:rPr>
        <w:t xml:space="preserve"> in its formal reasons</w:t>
      </w:r>
      <w:r w:rsidR="00210989" w:rsidRPr="008F21AE">
        <w:rPr>
          <w:rFonts w:ascii="Times New Roman" w:hAnsi="Times New Roman" w:cs="Times New Roman"/>
          <w:sz w:val="28"/>
          <w:szCs w:val="28"/>
        </w:rPr>
        <w:t xml:space="preserve"> </w:t>
      </w:r>
      <w:r w:rsidR="000D6EB7" w:rsidRPr="008F21AE">
        <w:rPr>
          <w:rFonts w:ascii="Times New Roman" w:hAnsi="Times New Roman" w:cs="Times New Roman"/>
          <w:sz w:val="28"/>
          <w:szCs w:val="28"/>
        </w:rPr>
        <w:t>despite not</w:t>
      </w:r>
      <w:r w:rsidR="00210989" w:rsidRPr="008F21AE">
        <w:rPr>
          <w:rFonts w:ascii="Times New Roman" w:hAnsi="Times New Roman" w:cs="Times New Roman"/>
          <w:sz w:val="28"/>
          <w:szCs w:val="28"/>
        </w:rPr>
        <w:t xml:space="preserve"> saying clearly and unequivocally why each of the</w:t>
      </w:r>
      <w:r w:rsidR="000D6EB7" w:rsidRPr="008F21AE">
        <w:rPr>
          <w:rFonts w:ascii="Times New Roman" w:hAnsi="Times New Roman" w:cs="Times New Roman"/>
          <w:sz w:val="28"/>
          <w:szCs w:val="28"/>
        </w:rPr>
        <w:t xml:space="preserve"> applicants’</w:t>
      </w:r>
      <w:r w:rsidR="00210989" w:rsidRPr="008F21AE">
        <w:rPr>
          <w:rFonts w:ascii="Times New Roman" w:hAnsi="Times New Roman" w:cs="Times New Roman"/>
          <w:sz w:val="28"/>
          <w:szCs w:val="28"/>
        </w:rPr>
        <w:t xml:space="preserve"> bids had been disqualified if indeed that was the assumption </w:t>
      </w:r>
      <w:r w:rsidR="00A43378" w:rsidRPr="008F21AE">
        <w:rPr>
          <w:rFonts w:ascii="Times New Roman" w:hAnsi="Times New Roman" w:cs="Times New Roman"/>
          <w:sz w:val="28"/>
          <w:szCs w:val="28"/>
        </w:rPr>
        <w:t xml:space="preserve">they were </w:t>
      </w:r>
      <w:r w:rsidR="00210989" w:rsidRPr="008F21AE">
        <w:rPr>
          <w:rFonts w:ascii="Times New Roman" w:hAnsi="Times New Roman" w:cs="Times New Roman"/>
          <w:sz w:val="28"/>
          <w:szCs w:val="28"/>
        </w:rPr>
        <w:t xml:space="preserve">expected to draw from </w:t>
      </w:r>
      <w:r w:rsidR="00A43378" w:rsidRPr="008F21AE">
        <w:rPr>
          <w:rFonts w:ascii="Times New Roman" w:hAnsi="Times New Roman" w:cs="Times New Roman"/>
          <w:sz w:val="28"/>
          <w:szCs w:val="28"/>
        </w:rPr>
        <w:t>the Department’s</w:t>
      </w:r>
      <w:r w:rsidR="00210989" w:rsidRPr="008F21AE">
        <w:rPr>
          <w:rFonts w:ascii="Times New Roman" w:hAnsi="Times New Roman" w:cs="Times New Roman"/>
          <w:sz w:val="28"/>
          <w:szCs w:val="28"/>
        </w:rPr>
        <w:t xml:space="preserve"> terse reply, namely that each of their bids were </w:t>
      </w:r>
      <w:r w:rsidR="000D6EB7" w:rsidRPr="008F21AE">
        <w:rPr>
          <w:rFonts w:ascii="Times New Roman" w:hAnsi="Times New Roman" w:cs="Times New Roman"/>
          <w:sz w:val="28"/>
          <w:szCs w:val="28"/>
        </w:rPr>
        <w:t>nonresponsive</w:t>
      </w:r>
      <w:r w:rsidR="00210989" w:rsidRPr="008F21AE">
        <w:rPr>
          <w:rFonts w:ascii="Times New Roman" w:hAnsi="Times New Roman" w:cs="Times New Roman"/>
          <w:sz w:val="28"/>
          <w:szCs w:val="28"/>
        </w:rPr>
        <w:t xml:space="preserve"> or that they had each been disqualified for </w:t>
      </w:r>
      <w:r w:rsidR="00A43378" w:rsidRPr="008F21AE">
        <w:rPr>
          <w:rFonts w:ascii="Times New Roman" w:hAnsi="Times New Roman" w:cs="Times New Roman"/>
          <w:sz w:val="28"/>
          <w:szCs w:val="28"/>
        </w:rPr>
        <w:t xml:space="preserve">one or other of </w:t>
      </w:r>
      <w:r w:rsidR="00210989" w:rsidRPr="008F21AE">
        <w:rPr>
          <w:rFonts w:ascii="Times New Roman" w:hAnsi="Times New Roman" w:cs="Times New Roman"/>
          <w:sz w:val="28"/>
          <w:szCs w:val="28"/>
        </w:rPr>
        <w:t>the collective generic reasons advanced</w:t>
      </w:r>
      <w:r w:rsidR="00A43378" w:rsidRPr="008F21AE">
        <w:rPr>
          <w:rFonts w:ascii="Times New Roman" w:hAnsi="Times New Roman" w:cs="Times New Roman"/>
          <w:sz w:val="28"/>
          <w:szCs w:val="28"/>
        </w:rPr>
        <w:t xml:space="preserve"> relating, </w:t>
      </w:r>
      <w:r w:rsidR="00A43378" w:rsidRPr="008F21AE">
        <w:rPr>
          <w:rFonts w:ascii="Times New Roman" w:hAnsi="Times New Roman" w:cs="Times New Roman"/>
          <w:i/>
          <w:iCs/>
          <w:sz w:val="28"/>
          <w:szCs w:val="28"/>
        </w:rPr>
        <w:t>inter alia</w:t>
      </w:r>
      <w:r w:rsidR="00A43378" w:rsidRPr="008F21AE">
        <w:rPr>
          <w:rFonts w:ascii="Times New Roman" w:hAnsi="Times New Roman" w:cs="Times New Roman"/>
          <w:sz w:val="28"/>
          <w:szCs w:val="28"/>
        </w:rPr>
        <w:t xml:space="preserve">, to prior experience, good standing with the Department of Labour or deficient pricing schedules </w:t>
      </w:r>
      <w:r w:rsidR="00AD34BB" w:rsidRPr="008F21AE">
        <w:rPr>
          <w:rFonts w:ascii="Times New Roman" w:hAnsi="Times New Roman" w:cs="Times New Roman"/>
          <w:sz w:val="28"/>
          <w:szCs w:val="28"/>
        </w:rPr>
        <w:t xml:space="preserve">having been provided </w:t>
      </w:r>
      <w:r w:rsidR="00A43378" w:rsidRPr="008F21AE">
        <w:rPr>
          <w:rFonts w:ascii="Times New Roman" w:hAnsi="Times New Roman" w:cs="Times New Roman"/>
          <w:sz w:val="28"/>
          <w:szCs w:val="28"/>
        </w:rPr>
        <w:t>etc</w:t>
      </w:r>
      <w:r w:rsidR="00210989" w:rsidRPr="008F21AE">
        <w:rPr>
          <w:rFonts w:ascii="Times New Roman" w:hAnsi="Times New Roman" w:cs="Times New Roman"/>
          <w:sz w:val="28"/>
          <w:szCs w:val="28"/>
        </w:rPr>
        <w:t xml:space="preserve">.    </w:t>
      </w:r>
      <w:r w:rsidR="00A43378" w:rsidRPr="008F21AE">
        <w:rPr>
          <w:rFonts w:ascii="Times New Roman" w:hAnsi="Times New Roman" w:cs="Times New Roman"/>
          <w:sz w:val="28"/>
          <w:szCs w:val="28"/>
        </w:rPr>
        <w:t xml:space="preserve"> Even assuming there was good reason for them to be dropped from the competition t</w:t>
      </w:r>
      <w:r w:rsidR="00210989" w:rsidRPr="008F21AE">
        <w:rPr>
          <w:rFonts w:ascii="Times New Roman" w:hAnsi="Times New Roman" w:cs="Times New Roman"/>
          <w:sz w:val="28"/>
          <w:szCs w:val="28"/>
        </w:rPr>
        <w:t xml:space="preserve">he preferring of the </w:t>
      </w:r>
      <w:r w:rsidR="000D6EB7" w:rsidRPr="008F21AE">
        <w:rPr>
          <w:rFonts w:ascii="Times New Roman" w:hAnsi="Times New Roman" w:cs="Times New Roman"/>
          <w:sz w:val="28"/>
          <w:szCs w:val="28"/>
        </w:rPr>
        <w:t xml:space="preserve">second respondent as the winning bidder required some explanation in all the circumstances which on the face of it was also lacking in the formal reasons except for the feeble assertion that </w:t>
      </w:r>
      <w:r w:rsidR="00A43378" w:rsidRPr="008F21AE">
        <w:rPr>
          <w:rFonts w:ascii="Times New Roman" w:hAnsi="Times New Roman" w:cs="Times New Roman"/>
          <w:sz w:val="28"/>
          <w:szCs w:val="28"/>
        </w:rPr>
        <w:t xml:space="preserve">the </w:t>
      </w:r>
      <w:r w:rsidR="00A43378" w:rsidRPr="008F21AE">
        <w:rPr>
          <w:rFonts w:ascii="Times New Roman" w:hAnsi="Times New Roman" w:cs="Times New Roman"/>
          <w:sz w:val="28"/>
          <w:szCs w:val="28"/>
        </w:rPr>
        <w:lastRenderedPageBreak/>
        <w:t>Department</w:t>
      </w:r>
      <w:r w:rsidR="000D6EB7" w:rsidRPr="008F21AE">
        <w:rPr>
          <w:rFonts w:ascii="Times New Roman" w:hAnsi="Times New Roman" w:cs="Times New Roman"/>
          <w:sz w:val="28"/>
          <w:szCs w:val="28"/>
        </w:rPr>
        <w:t xml:space="preserve"> could do what it had done</w:t>
      </w:r>
      <w:r w:rsidR="00A43378" w:rsidRPr="008F21AE">
        <w:rPr>
          <w:rFonts w:ascii="Times New Roman" w:hAnsi="Times New Roman" w:cs="Times New Roman"/>
          <w:sz w:val="28"/>
          <w:szCs w:val="28"/>
        </w:rPr>
        <w:t xml:space="preserve"> </w:t>
      </w:r>
      <w:r w:rsidR="00AD34BB" w:rsidRPr="008F21AE">
        <w:rPr>
          <w:rFonts w:ascii="Times New Roman" w:hAnsi="Times New Roman" w:cs="Times New Roman"/>
          <w:sz w:val="28"/>
          <w:szCs w:val="28"/>
        </w:rPr>
        <w:t>despite the fact that the</w:t>
      </w:r>
      <w:r w:rsidR="00A43378" w:rsidRPr="008F21AE">
        <w:rPr>
          <w:rFonts w:ascii="Times New Roman" w:hAnsi="Times New Roman" w:cs="Times New Roman"/>
          <w:sz w:val="28"/>
          <w:szCs w:val="28"/>
        </w:rPr>
        <w:t xml:space="preserve"> winning bidder had not come in with the lowest price</w:t>
      </w:r>
      <w:r w:rsidR="000D6EB7" w:rsidRPr="008F21AE">
        <w:rPr>
          <w:rFonts w:ascii="Times New Roman" w:hAnsi="Times New Roman" w:cs="Times New Roman"/>
          <w:sz w:val="28"/>
          <w:szCs w:val="28"/>
        </w:rPr>
        <w:t xml:space="preserve">. </w:t>
      </w:r>
    </w:p>
    <w:p w14:paraId="3F8DCC7D" w14:textId="77777777" w:rsidR="000D6EB7" w:rsidRPr="000D6EB7" w:rsidRDefault="000D6EB7" w:rsidP="000D6EB7">
      <w:pPr>
        <w:pStyle w:val="ListParagraph"/>
        <w:rPr>
          <w:rFonts w:ascii="Times New Roman" w:hAnsi="Times New Roman" w:cs="Times New Roman"/>
          <w:sz w:val="28"/>
          <w:szCs w:val="28"/>
        </w:rPr>
      </w:pPr>
    </w:p>
    <w:p w14:paraId="6C7B8B51" w14:textId="5AF381C0" w:rsidR="00705B0B" w:rsidRPr="008F21AE" w:rsidRDefault="008F21AE" w:rsidP="008F21AE">
      <w:pPr>
        <w:spacing w:line="360" w:lineRule="auto"/>
        <w:jc w:val="both"/>
        <w:rPr>
          <w:rFonts w:ascii="Times New Roman" w:hAnsi="Times New Roman" w:cs="Times New Roman"/>
          <w:sz w:val="28"/>
          <w:szCs w:val="28"/>
        </w:rPr>
      </w:pPr>
      <w:r w:rsidRPr="003908F5">
        <w:rPr>
          <w:rFonts w:ascii="Times New Roman" w:hAnsi="Times New Roman" w:cs="Times New Roman"/>
          <w:sz w:val="28"/>
          <w:szCs w:val="28"/>
        </w:rPr>
        <w:t>[16]</w:t>
      </w:r>
      <w:r w:rsidRPr="003908F5">
        <w:rPr>
          <w:rFonts w:ascii="Times New Roman" w:hAnsi="Times New Roman" w:cs="Times New Roman"/>
          <w:sz w:val="28"/>
          <w:szCs w:val="28"/>
        </w:rPr>
        <w:tab/>
      </w:r>
      <w:r w:rsidR="000D6EB7" w:rsidRPr="008F21AE">
        <w:rPr>
          <w:rFonts w:ascii="Times New Roman" w:hAnsi="Times New Roman" w:cs="Times New Roman"/>
          <w:sz w:val="28"/>
          <w:szCs w:val="28"/>
        </w:rPr>
        <w:t xml:space="preserve">In </w:t>
      </w:r>
      <w:r w:rsidR="00DE2F06" w:rsidRPr="008F21AE">
        <w:rPr>
          <w:rFonts w:ascii="Times New Roman" w:hAnsi="Times New Roman" w:cs="Times New Roman"/>
          <w:sz w:val="28"/>
          <w:szCs w:val="28"/>
        </w:rPr>
        <w:t>justifying that</w:t>
      </w:r>
      <w:r w:rsidR="00595AE8" w:rsidRPr="008F21AE">
        <w:rPr>
          <w:rFonts w:ascii="Times New Roman" w:hAnsi="Times New Roman" w:cs="Times New Roman"/>
          <w:sz w:val="28"/>
          <w:szCs w:val="28"/>
        </w:rPr>
        <w:t xml:space="preserve"> </w:t>
      </w:r>
      <w:r w:rsidR="007A7C56" w:rsidRPr="008F21AE">
        <w:rPr>
          <w:rFonts w:ascii="Times New Roman" w:hAnsi="Times New Roman" w:cs="Times New Roman"/>
          <w:sz w:val="28"/>
          <w:szCs w:val="28"/>
        </w:rPr>
        <w:t>the Department was</w:t>
      </w:r>
      <w:r w:rsidR="00595AE8" w:rsidRPr="008F21AE">
        <w:rPr>
          <w:rFonts w:ascii="Times New Roman" w:hAnsi="Times New Roman" w:cs="Times New Roman"/>
          <w:sz w:val="28"/>
          <w:szCs w:val="28"/>
        </w:rPr>
        <w:t xml:space="preserve"> compelled to resist t</w:t>
      </w:r>
      <w:r w:rsidR="002A63A3" w:rsidRPr="008F21AE">
        <w:rPr>
          <w:rFonts w:ascii="Times New Roman" w:hAnsi="Times New Roman" w:cs="Times New Roman"/>
          <w:sz w:val="28"/>
          <w:szCs w:val="28"/>
        </w:rPr>
        <w:t>he</w:t>
      </w:r>
      <w:r w:rsidR="000D6EB7" w:rsidRPr="008F21AE">
        <w:rPr>
          <w:rFonts w:ascii="Times New Roman" w:hAnsi="Times New Roman" w:cs="Times New Roman"/>
          <w:sz w:val="28"/>
          <w:szCs w:val="28"/>
        </w:rPr>
        <w:t xml:space="preserve"> applicants’</w:t>
      </w:r>
      <w:r w:rsidR="002A63A3" w:rsidRPr="008F21AE">
        <w:rPr>
          <w:rFonts w:ascii="Times New Roman" w:hAnsi="Times New Roman" w:cs="Times New Roman"/>
          <w:sz w:val="28"/>
          <w:szCs w:val="28"/>
        </w:rPr>
        <w:t xml:space="preserve"> demand that </w:t>
      </w:r>
      <w:r w:rsidR="002F29C8" w:rsidRPr="008F21AE">
        <w:rPr>
          <w:rFonts w:ascii="Times New Roman" w:hAnsi="Times New Roman" w:cs="Times New Roman"/>
          <w:sz w:val="28"/>
          <w:szCs w:val="28"/>
        </w:rPr>
        <w:t xml:space="preserve">it </w:t>
      </w:r>
      <w:r w:rsidR="00595AE8" w:rsidRPr="008F21AE">
        <w:rPr>
          <w:rFonts w:ascii="Times New Roman" w:hAnsi="Times New Roman" w:cs="Times New Roman"/>
          <w:sz w:val="28"/>
          <w:szCs w:val="28"/>
        </w:rPr>
        <w:t>suspend the implementation of the tender</w:t>
      </w:r>
      <w:r w:rsidR="000D6EB7" w:rsidRPr="008F21AE">
        <w:rPr>
          <w:rFonts w:ascii="Times New Roman" w:hAnsi="Times New Roman" w:cs="Times New Roman"/>
          <w:sz w:val="28"/>
          <w:szCs w:val="28"/>
        </w:rPr>
        <w:t xml:space="preserve">, the first respondent </w:t>
      </w:r>
      <w:r w:rsidR="00595AE8" w:rsidRPr="008F21AE">
        <w:rPr>
          <w:rFonts w:ascii="Times New Roman" w:hAnsi="Times New Roman" w:cs="Times New Roman"/>
          <w:sz w:val="28"/>
          <w:szCs w:val="28"/>
        </w:rPr>
        <w:t>ironically expressed the hope that its “detailed responses”</w:t>
      </w:r>
      <w:r w:rsidR="00A40EB3" w:rsidRPr="008F21AE">
        <w:rPr>
          <w:rFonts w:ascii="Times New Roman" w:hAnsi="Times New Roman" w:cs="Times New Roman"/>
          <w:sz w:val="28"/>
          <w:szCs w:val="28"/>
        </w:rPr>
        <w:t xml:space="preserve"> (</w:t>
      </w:r>
      <w:r w:rsidR="00A40EB3" w:rsidRPr="008F21AE">
        <w:rPr>
          <w:rFonts w:ascii="Times New Roman" w:hAnsi="Times New Roman" w:cs="Times New Roman"/>
          <w:i/>
          <w:iCs/>
          <w:sz w:val="28"/>
          <w:szCs w:val="28"/>
        </w:rPr>
        <w:t>sic</w:t>
      </w:r>
      <w:r w:rsidR="00A40EB3" w:rsidRPr="008F21AE">
        <w:rPr>
          <w:rFonts w:ascii="Times New Roman" w:hAnsi="Times New Roman" w:cs="Times New Roman"/>
          <w:sz w:val="28"/>
          <w:szCs w:val="28"/>
        </w:rPr>
        <w:t>)</w:t>
      </w:r>
      <w:r w:rsidR="00595AE8" w:rsidRPr="008F21AE">
        <w:rPr>
          <w:rFonts w:ascii="Times New Roman" w:hAnsi="Times New Roman" w:cs="Times New Roman"/>
          <w:sz w:val="28"/>
          <w:szCs w:val="28"/>
        </w:rPr>
        <w:t xml:space="preserve"> would serve to convince them “that the Department’s processes were complian</w:t>
      </w:r>
      <w:r w:rsidR="002A63A3" w:rsidRPr="008F21AE">
        <w:rPr>
          <w:rFonts w:ascii="Times New Roman" w:hAnsi="Times New Roman" w:cs="Times New Roman"/>
          <w:sz w:val="28"/>
          <w:szCs w:val="28"/>
        </w:rPr>
        <w:t>t</w:t>
      </w:r>
      <w:r w:rsidR="00595AE8" w:rsidRPr="008F21AE">
        <w:rPr>
          <w:rFonts w:ascii="Times New Roman" w:hAnsi="Times New Roman" w:cs="Times New Roman"/>
          <w:sz w:val="28"/>
          <w:szCs w:val="28"/>
        </w:rPr>
        <w:t xml:space="preserve"> and in line with all prevailing legislation, prescripts and policies regulating public procurement</w:t>
      </w:r>
      <w:r w:rsidR="003908F5" w:rsidRPr="008F21AE">
        <w:rPr>
          <w:rFonts w:ascii="Times New Roman" w:hAnsi="Times New Roman" w:cs="Times New Roman"/>
          <w:sz w:val="28"/>
          <w:szCs w:val="28"/>
        </w:rPr>
        <w:t>.</w:t>
      </w:r>
      <w:r w:rsidR="00595AE8" w:rsidRPr="008F21AE">
        <w:rPr>
          <w:rFonts w:ascii="Times New Roman" w:hAnsi="Times New Roman" w:cs="Times New Roman"/>
          <w:sz w:val="28"/>
          <w:szCs w:val="28"/>
        </w:rPr>
        <w:t>”</w:t>
      </w:r>
      <w:r w:rsidR="003908F5" w:rsidRPr="008F21AE">
        <w:rPr>
          <w:rFonts w:ascii="Times New Roman" w:hAnsi="Times New Roman" w:cs="Times New Roman"/>
          <w:sz w:val="28"/>
          <w:szCs w:val="28"/>
        </w:rPr>
        <w:t xml:space="preserve">  In</w:t>
      </w:r>
      <w:r w:rsidR="00CE1E4A" w:rsidRPr="008F21AE">
        <w:rPr>
          <w:rFonts w:ascii="Times New Roman" w:hAnsi="Times New Roman" w:cs="Times New Roman"/>
          <w:sz w:val="28"/>
          <w:szCs w:val="28"/>
        </w:rPr>
        <w:t xml:space="preserve"> a</w:t>
      </w:r>
      <w:r w:rsidR="00A40EB3" w:rsidRPr="008F21AE">
        <w:rPr>
          <w:rFonts w:ascii="Times New Roman" w:hAnsi="Times New Roman" w:cs="Times New Roman"/>
          <w:sz w:val="28"/>
          <w:szCs w:val="28"/>
        </w:rPr>
        <w:t xml:space="preserve"> separate</w:t>
      </w:r>
      <w:r w:rsidR="00CE1E4A" w:rsidRPr="008F21AE">
        <w:rPr>
          <w:rFonts w:ascii="Times New Roman" w:hAnsi="Times New Roman" w:cs="Times New Roman"/>
          <w:sz w:val="28"/>
          <w:szCs w:val="28"/>
        </w:rPr>
        <w:t xml:space="preserve"> letter giving cover to its formal </w:t>
      </w:r>
      <w:r w:rsidR="003908F5" w:rsidRPr="008F21AE">
        <w:rPr>
          <w:rFonts w:ascii="Times New Roman" w:hAnsi="Times New Roman" w:cs="Times New Roman"/>
          <w:sz w:val="28"/>
          <w:szCs w:val="28"/>
        </w:rPr>
        <w:t>reasons,</w:t>
      </w:r>
      <w:r w:rsidR="00A40EB3" w:rsidRPr="008F21AE">
        <w:rPr>
          <w:rFonts w:ascii="Times New Roman" w:hAnsi="Times New Roman" w:cs="Times New Roman"/>
          <w:sz w:val="28"/>
          <w:szCs w:val="28"/>
        </w:rPr>
        <w:t xml:space="preserve"> </w:t>
      </w:r>
      <w:r w:rsidR="003908F5" w:rsidRPr="008F21AE">
        <w:rPr>
          <w:rFonts w:ascii="Times New Roman" w:hAnsi="Times New Roman" w:cs="Times New Roman"/>
          <w:sz w:val="28"/>
          <w:szCs w:val="28"/>
        </w:rPr>
        <w:t xml:space="preserve">it </w:t>
      </w:r>
      <w:r w:rsidR="00A40EB3" w:rsidRPr="008F21AE">
        <w:rPr>
          <w:rFonts w:ascii="Times New Roman" w:hAnsi="Times New Roman" w:cs="Times New Roman"/>
          <w:sz w:val="28"/>
          <w:szCs w:val="28"/>
        </w:rPr>
        <w:t>further</w:t>
      </w:r>
      <w:r w:rsidR="00CE1E4A" w:rsidRPr="008F21AE">
        <w:rPr>
          <w:rFonts w:ascii="Times New Roman" w:hAnsi="Times New Roman" w:cs="Times New Roman"/>
          <w:sz w:val="28"/>
          <w:szCs w:val="28"/>
        </w:rPr>
        <w:t xml:space="preserve"> expressed the hope that it had covered all the applicant’s “concerns” and would be surprised if litigation were to ensue “despite the reasons proffered by the Department”.  It rather mischievously suggested that it was “safe in</w:t>
      </w:r>
      <w:r w:rsidR="002A63A3" w:rsidRPr="008F21AE">
        <w:rPr>
          <w:rFonts w:ascii="Times New Roman" w:hAnsi="Times New Roman" w:cs="Times New Roman"/>
          <w:sz w:val="28"/>
          <w:szCs w:val="28"/>
        </w:rPr>
        <w:t xml:space="preserve"> the knowledge that (it had) tried</w:t>
      </w:r>
      <w:r w:rsidR="00CE1E4A" w:rsidRPr="008F21AE">
        <w:rPr>
          <w:rFonts w:ascii="Times New Roman" w:hAnsi="Times New Roman" w:cs="Times New Roman"/>
          <w:sz w:val="28"/>
          <w:szCs w:val="28"/>
        </w:rPr>
        <w:t xml:space="preserve"> (its)</w:t>
      </w:r>
      <w:r w:rsidR="00705B0B" w:rsidRPr="008F21AE">
        <w:rPr>
          <w:rFonts w:ascii="Times New Roman" w:hAnsi="Times New Roman" w:cs="Times New Roman"/>
          <w:sz w:val="28"/>
          <w:szCs w:val="28"/>
        </w:rPr>
        <w:t xml:space="preserve"> level best to stave off </w:t>
      </w:r>
      <w:r w:rsidR="00820A10" w:rsidRPr="008F21AE">
        <w:rPr>
          <w:rFonts w:ascii="Times New Roman" w:hAnsi="Times New Roman" w:cs="Times New Roman"/>
          <w:sz w:val="28"/>
          <w:szCs w:val="28"/>
        </w:rPr>
        <w:t>(the dispute)</w:t>
      </w:r>
      <w:r w:rsidR="00705B0B" w:rsidRPr="008F21AE">
        <w:rPr>
          <w:rFonts w:ascii="Times New Roman" w:hAnsi="Times New Roman" w:cs="Times New Roman"/>
          <w:sz w:val="28"/>
          <w:szCs w:val="28"/>
        </w:rPr>
        <w:t>”.</w:t>
      </w:r>
      <w:r w:rsidR="003908F5" w:rsidRPr="008F21AE">
        <w:rPr>
          <w:rFonts w:ascii="Times New Roman" w:hAnsi="Times New Roman" w:cs="Times New Roman"/>
          <w:sz w:val="28"/>
          <w:szCs w:val="28"/>
        </w:rPr>
        <w:t xml:space="preserve"> </w:t>
      </w:r>
      <w:r w:rsidR="00820A10" w:rsidRPr="008F21AE">
        <w:rPr>
          <w:rFonts w:ascii="Times New Roman" w:hAnsi="Times New Roman" w:cs="Times New Roman"/>
          <w:sz w:val="28"/>
          <w:szCs w:val="28"/>
        </w:rPr>
        <w:t>(</w:t>
      </w:r>
      <w:r w:rsidR="003908F5" w:rsidRPr="008F21AE">
        <w:rPr>
          <w:rFonts w:ascii="Times New Roman" w:hAnsi="Times New Roman" w:cs="Times New Roman"/>
          <w:sz w:val="28"/>
          <w:szCs w:val="28"/>
        </w:rPr>
        <w:t xml:space="preserve">This stance that it had said all it wanted to or </w:t>
      </w:r>
      <w:r w:rsidR="00EA7C5C" w:rsidRPr="008F21AE">
        <w:rPr>
          <w:rFonts w:ascii="Times New Roman" w:hAnsi="Times New Roman" w:cs="Times New Roman"/>
          <w:sz w:val="28"/>
          <w:szCs w:val="28"/>
        </w:rPr>
        <w:t>had to</w:t>
      </w:r>
      <w:r w:rsidR="003908F5" w:rsidRPr="008F21AE">
        <w:rPr>
          <w:rFonts w:ascii="Times New Roman" w:hAnsi="Times New Roman" w:cs="Times New Roman"/>
          <w:sz w:val="28"/>
          <w:szCs w:val="28"/>
        </w:rPr>
        <w:t xml:space="preserve"> be said was repeated in its answering affidavit. It, for example, denied that the applicants had not received the assurances that the</w:t>
      </w:r>
      <w:r w:rsidR="00B42523" w:rsidRPr="008F21AE">
        <w:rPr>
          <w:rFonts w:ascii="Times New Roman" w:hAnsi="Times New Roman" w:cs="Times New Roman"/>
          <w:sz w:val="28"/>
          <w:szCs w:val="28"/>
        </w:rPr>
        <w:t>y</w:t>
      </w:r>
      <w:r w:rsidR="003908F5" w:rsidRPr="008F21AE">
        <w:rPr>
          <w:rFonts w:ascii="Times New Roman" w:hAnsi="Times New Roman" w:cs="Times New Roman"/>
          <w:sz w:val="28"/>
          <w:szCs w:val="28"/>
        </w:rPr>
        <w:t xml:space="preserve"> were entitled to, lamenting that its formal reasons were “as comprehensive as one could want.”</w:t>
      </w:r>
      <w:r w:rsidR="00EA7C5C" w:rsidRPr="008F21AE">
        <w:rPr>
          <w:rFonts w:ascii="Times New Roman" w:hAnsi="Times New Roman" w:cs="Times New Roman"/>
          <w:sz w:val="28"/>
          <w:szCs w:val="28"/>
        </w:rPr>
        <w:t xml:space="preserve"> Mr Mullins who appeared on behalf of the first respondent also surprisingly sought to impress upon the court in arguing the department’s case that it had made a full and frank disclosure in giving an account for its administrative conduct.</w:t>
      </w:r>
      <w:r w:rsidR="00820A10" w:rsidRPr="008F21AE">
        <w:rPr>
          <w:rFonts w:ascii="Times New Roman" w:hAnsi="Times New Roman" w:cs="Times New Roman"/>
          <w:sz w:val="28"/>
          <w:szCs w:val="28"/>
        </w:rPr>
        <w:t>)</w:t>
      </w:r>
    </w:p>
    <w:p w14:paraId="1B74593E" w14:textId="77777777" w:rsidR="00A40EB3" w:rsidRPr="00595AE8" w:rsidRDefault="00A40EB3" w:rsidP="00A40EB3">
      <w:pPr>
        <w:pStyle w:val="ListParagraph"/>
        <w:rPr>
          <w:rFonts w:ascii="Times New Roman" w:hAnsi="Times New Roman" w:cs="Times New Roman"/>
          <w:sz w:val="28"/>
          <w:szCs w:val="28"/>
        </w:rPr>
      </w:pPr>
    </w:p>
    <w:p w14:paraId="59906E32" w14:textId="2A908F29" w:rsidR="00A40EB3"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A40EB3" w:rsidRPr="008F21AE">
        <w:rPr>
          <w:rFonts w:ascii="Times New Roman" w:hAnsi="Times New Roman" w:cs="Times New Roman"/>
          <w:sz w:val="28"/>
          <w:szCs w:val="28"/>
        </w:rPr>
        <w:t xml:space="preserve">Not </w:t>
      </w:r>
      <w:r w:rsidR="00EA7C5C" w:rsidRPr="008F21AE">
        <w:rPr>
          <w:rFonts w:ascii="Times New Roman" w:hAnsi="Times New Roman" w:cs="Times New Roman"/>
          <w:sz w:val="28"/>
          <w:szCs w:val="28"/>
        </w:rPr>
        <w:t>unexpectedly</w:t>
      </w:r>
      <w:r w:rsidR="00A40EB3" w:rsidRPr="008F21AE">
        <w:rPr>
          <w:rFonts w:ascii="Times New Roman" w:hAnsi="Times New Roman" w:cs="Times New Roman"/>
          <w:sz w:val="28"/>
          <w:szCs w:val="28"/>
        </w:rPr>
        <w:t xml:space="preserve">, </w:t>
      </w:r>
      <w:r w:rsidR="003908F5" w:rsidRPr="008F21AE">
        <w:rPr>
          <w:rFonts w:ascii="Times New Roman" w:hAnsi="Times New Roman" w:cs="Times New Roman"/>
          <w:sz w:val="28"/>
          <w:szCs w:val="28"/>
        </w:rPr>
        <w:t xml:space="preserve">however, </w:t>
      </w:r>
      <w:r w:rsidR="00A40EB3" w:rsidRPr="008F21AE">
        <w:rPr>
          <w:rFonts w:ascii="Times New Roman" w:hAnsi="Times New Roman" w:cs="Times New Roman"/>
          <w:sz w:val="28"/>
          <w:szCs w:val="28"/>
        </w:rPr>
        <w:t>since the applicants were self-evidently not made any wiser why any of their bids had been rejected (it was not even indicated if they were among the 40 or the 5</w:t>
      </w:r>
      <w:r w:rsidR="00820A10" w:rsidRPr="008F21AE">
        <w:rPr>
          <w:rFonts w:ascii="Times New Roman" w:hAnsi="Times New Roman" w:cs="Times New Roman"/>
          <w:sz w:val="28"/>
          <w:szCs w:val="28"/>
        </w:rPr>
        <w:t xml:space="preserve"> or the other categories of exclusion for each reason</w:t>
      </w:r>
      <w:r w:rsidR="00A40EB3" w:rsidRPr="008F21AE">
        <w:rPr>
          <w:rFonts w:ascii="Times New Roman" w:hAnsi="Times New Roman" w:cs="Times New Roman"/>
          <w:sz w:val="28"/>
          <w:szCs w:val="28"/>
        </w:rPr>
        <w:t xml:space="preserve">) or why they had not measured up to the winning bidder, they launched the </w:t>
      </w:r>
      <w:r w:rsidR="00EA7C5C" w:rsidRPr="008F21AE">
        <w:rPr>
          <w:rFonts w:ascii="Times New Roman" w:hAnsi="Times New Roman" w:cs="Times New Roman"/>
          <w:sz w:val="28"/>
          <w:szCs w:val="28"/>
        </w:rPr>
        <w:t>interdict proceedings</w:t>
      </w:r>
      <w:r w:rsidR="00A40EB3" w:rsidRPr="008F21AE">
        <w:rPr>
          <w:rFonts w:ascii="Times New Roman" w:hAnsi="Times New Roman" w:cs="Times New Roman"/>
          <w:sz w:val="28"/>
          <w:szCs w:val="28"/>
        </w:rPr>
        <w:t xml:space="preserve"> on the ensuing Monday</w:t>
      </w:r>
      <w:r w:rsidR="00B42523" w:rsidRPr="008F21AE">
        <w:rPr>
          <w:rFonts w:ascii="Times New Roman" w:hAnsi="Times New Roman" w:cs="Times New Roman"/>
          <w:sz w:val="28"/>
          <w:szCs w:val="28"/>
        </w:rPr>
        <w:t>, the urgency then envisaged having been occasioned by the late Friday afternoon reply with the expectation in the offing that the first respondent would implement its decision at the next working day.</w:t>
      </w:r>
    </w:p>
    <w:p w14:paraId="1C02333D" w14:textId="77777777" w:rsidR="00A40EB3" w:rsidRPr="00705B0B" w:rsidRDefault="00A40EB3" w:rsidP="00705B0B">
      <w:pPr>
        <w:pStyle w:val="ListParagraph"/>
        <w:rPr>
          <w:rFonts w:ascii="Times New Roman" w:hAnsi="Times New Roman" w:cs="Times New Roman"/>
          <w:sz w:val="28"/>
          <w:szCs w:val="28"/>
        </w:rPr>
      </w:pPr>
    </w:p>
    <w:p w14:paraId="2D3E4B50" w14:textId="4400AAAE" w:rsidR="00A40EB3"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[18]</w:t>
      </w:r>
      <w:r>
        <w:rPr>
          <w:rFonts w:ascii="Times New Roman" w:hAnsi="Times New Roman" w:cs="Times New Roman"/>
          <w:sz w:val="28"/>
          <w:szCs w:val="28"/>
        </w:rPr>
        <w:tab/>
      </w:r>
      <w:r w:rsidR="00703DE4" w:rsidRPr="008F21AE">
        <w:rPr>
          <w:rFonts w:ascii="Times New Roman" w:hAnsi="Times New Roman" w:cs="Times New Roman"/>
          <w:sz w:val="28"/>
          <w:szCs w:val="28"/>
        </w:rPr>
        <w:t xml:space="preserve">The object by the urgent relief was to bar the </w:t>
      </w:r>
      <w:r w:rsidR="006157A0" w:rsidRPr="008F21AE">
        <w:rPr>
          <w:rFonts w:ascii="Times New Roman" w:hAnsi="Times New Roman" w:cs="Times New Roman"/>
          <w:sz w:val="28"/>
          <w:szCs w:val="28"/>
        </w:rPr>
        <w:t>commencement</w:t>
      </w:r>
      <w:r w:rsidR="002D5FA5" w:rsidRPr="008F21AE">
        <w:rPr>
          <w:rFonts w:ascii="Times New Roman" w:hAnsi="Times New Roman" w:cs="Times New Roman"/>
          <w:sz w:val="28"/>
          <w:szCs w:val="28"/>
        </w:rPr>
        <w:t xml:space="preserve"> of the</w:t>
      </w:r>
      <w:r w:rsidR="00703DE4" w:rsidRPr="008F21AE">
        <w:rPr>
          <w:rFonts w:ascii="Times New Roman" w:hAnsi="Times New Roman" w:cs="Times New Roman"/>
          <w:sz w:val="28"/>
          <w:szCs w:val="28"/>
        </w:rPr>
        <w:t xml:space="preserve"> new </w:t>
      </w:r>
      <w:r w:rsidR="002D5FA5" w:rsidRPr="008F21AE">
        <w:rPr>
          <w:rFonts w:ascii="Times New Roman" w:hAnsi="Times New Roman" w:cs="Times New Roman"/>
          <w:sz w:val="28"/>
          <w:szCs w:val="28"/>
        </w:rPr>
        <w:t>contract</w:t>
      </w:r>
      <w:r w:rsidR="00703DE4" w:rsidRPr="008F21AE">
        <w:rPr>
          <w:rFonts w:ascii="Times New Roman" w:hAnsi="Times New Roman" w:cs="Times New Roman"/>
          <w:sz w:val="28"/>
          <w:szCs w:val="28"/>
        </w:rPr>
        <w:t xml:space="preserve"> </w:t>
      </w:r>
      <w:r w:rsidR="00820A10" w:rsidRPr="008F21AE">
        <w:rPr>
          <w:rFonts w:ascii="Times New Roman" w:hAnsi="Times New Roman" w:cs="Times New Roman"/>
          <w:sz w:val="28"/>
          <w:szCs w:val="28"/>
        </w:rPr>
        <w:t>(feared to have been unlawfully and unfairly awarded</w:t>
      </w:r>
      <w:r w:rsidR="00F510BF" w:rsidRPr="008F21AE">
        <w:rPr>
          <w:rFonts w:ascii="Times New Roman" w:hAnsi="Times New Roman" w:cs="Times New Roman"/>
          <w:sz w:val="28"/>
          <w:szCs w:val="28"/>
        </w:rPr>
        <w:t xml:space="preserve"> to the winning bidder at their expense</w:t>
      </w:r>
      <w:r w:rsidR="00820A10" w:rsidRPr="008F21AE">
        <w:rPr>
          <w:rFonts w:ascii="Times New Roman" w:hAnsi="Times New Roman" w:cs="Times New Roman"/>
          <w:sz w:val="28"/>
          <w:szCs w:val="28"/>
        </w:rPr>
        <w:t xml:space="preserve">) </w:t>
      </w:r>
      <w:r w:rsidR="00703DE4" w:rsidRPr="008F21AE">
        <w:rPr>
          <w:rFonts w:ascii="Times New Roman" w:hAnsi="Times New Roman" w:cs="Times New Roman"/>
          <w:sz w:val="28"/>
          <w:szCs w:val="28"/>
        </w:rPr>
        <w:t>pending the obtaining of the necessary particulars of</w:t>
      </w:r>
      <w:r w:rsidR="00C73D2B" w:rsidRPr="008F21AE">
        <w:rPr>
          <w:rFonts w:ascii="Times New Roman" w:hAnsi="Times New Roman" w:cs="Times New Roman"/>
          <w:sz w:val="28"/>
          <w:szCs w:val="28"/>
        </w:rPr>
        <w:t xml:space="preserve"> the</w:t>
      </w:r>
      <w:r w:rsidR="00703DE4" w:rsidRPr="008F21AE">
        <w:rPr>
          <w:rFonts w:ascii="Times New Roman" w:hAnsi="Times New Roman" w:cs="Times New Roman"/>
          <w:sz w:val="28"/>
          <w:szCs w:val="28"/>
        </w:rPr>
        <w:t xml:space="preserve"> successful tenderer </w:t>
      </w:r>
      <w:r w:rsidR="00F510BF" w:rsidRPr="008F21AE">
        <w:rPr>
          <w:rFonts w:ascii="Times New Roman" w:hAnsi="Times New Roman" w:cs="Times New Roman"/>
          <w:sz w:val="28"/>
          <w:szCs w:val="28"/>
        </w:rPr>
        <w:t>(</w:t>
      </w:r>
      <w:r w:rsidR="003908F5" w:rsidRPr="008F21AE">
        <w:rPr>
          <w:rFonts w:ascii="Times New Roman" w:hAnsi="Times New Roman" w:cs="Times New Roman"/>
          <w:sz w:val="28"/>
          <w:szCs w:val="28"/>
        </w:rPr>
        <w:t>who the Department notably referred to in the formal reasons only as “the winning bidder”</w:t>
      </w:r>
      <w:r w:rsidR="00F510BF" w:rsidRPr="008F21AE">
        <w:rPr>
          <w:rFonts w:ascii="Times New Roman" w:hAnsi="Times New Roman" w:cs="Times New Roman"/>
          <w:sz w:val="28"/>
          <w:szCs w:val="28"/>
        </w:rPr>
        <w:t>)</w:t>
      </w:r>
      <w:r w:rsidR="003908F5" w:rsidRPr="008F21AE">
        <w:rPr>
          <w:rFonts w:ascii="Times New Roman" w:hAnsi="Times New Roman" w:cs="Times New Roman"/>
          <w:sz w:val="28"/>
          <w:szCs w:val="28"/>
        </w:rPr>
        <w:t xml:space="preserve"> </w:t>
      </w:r>
      <w:r w:rsidR="001E4214" w:rsidRPr="008F21AE">
        <w:rPr>
          <w:rFonts w:ascii="Times New Roman" w:hAnsi="Times New Roman" w:cs="Times New Roman"/>
          <w:sz w:val="28"/>
          <w:szCs w:val="28"/>
        </w:rPr>
        <w:t xml:space="preserve">with </w:t>
      </w:r>
      <w:r w:rsidR="00703DE4" w:rsidRPr="008F21AE">
        <w:rPr>
          <w:rFonts w:ascii="Times New Roman" w:hAnsi="Times New Roman" w:cs="Times New Roman"/>
          <w:sz w:val="28"/>
          <w:szCs w:val="28"/>
        </w:rPr>
        <w:t>a</w:t>
      </w:r>
      <w:r w:rsidR="00C54EC0" w:rsidRPr="008F21AE">
        <w:rPr>
          <w:rFonts w:ascii="Times New Roman" w:hAnsi="Times New Roman" w:cs="Times New Roman"/>
          <w:sz w:val="28"/>
          <w:szCs w:val="28"/>
        </w:rPr>
        <w:t xml:space="preserve"> likely</w:t>
      </w:r>
      <w:r w:rsidR="00703DE4" w:rsidRPr="008F21AE">
        <w:rPr>
          <w:rFonts w:ascii="Times New Roman" w:hAnsi="Times New Roman" w:cs="Times New Roman"/>
          <w:sz w:val="28"/>
          <w:szCs w:val="28"/>
        </w:rPr>
        <w:t xml:space="preserve"> </w:t>
      </w:r>
      <w:r w:rsidR="00386E3C" w:rsidRPr="008F21AE">
        <w:rPr>
          <w:rFonts w:ascii="Times New Roman" w:hAnsi="Times New Roman" w:cs="Times New Roman"/>
          <w:sz w:val="28"/>
          <w:szCs w:val="28"/>
        </w:rPr>
        <w:t>review application</w:t>
      </w:r>
      <w:r w:rsidR="00C73D2B" w:rsidRPr="008F21AE">
        <w:rPr>
          <w:rFonts w:ascii="Times New Roman" w:hAnsi="Times New Roman" w:cs="Times New Roman"/>
          <w:sz w:val="28"/>
          <w:szCs w:val="28"/>
        </w:rPr>
        <w:t xml:space="preserve"> </w:t>
      </w:r>
      <w:r w:rsidR="00F510BF" w:rsidRPr="008F21AE">
        <w:rPr>
          <w:rFonts w:ascii="Times New Roman" w:hAnsi="Times New Roman" w:cs="Times New Roman"/>
          <w:sz w:val="28"/>
          <w:szCs w:val="28"/>
        </w:rPr>
        <w:t xml:space="preserve">expected to be launched in </w:t>
      </w:r>
      <w:r w:rsidR="002F29C8" w:rsidRPr="008F21AE">
        <w:rPr>
          <w:rFonts w:ascii="Times New Roman" w:hAnsi="Times New Roman" w:cs="Times New Roman"/>
          <w:sz w:val="28"/>
          <w:szCs w:val="28"/>
        </w:rPr>
        <w:t>the near future</w:t>
      </w:r>
      <w:r w:rsidR="004B6C55" w:rsidRPr="008F21AE">
        <w:rPr>
          <w:rFonts w:ascii="Times New Roman" w:hAnsi="Times New Roman" w:cs="Times New Roman"/>
          <w:sz w:val="28"/>
          <w:szCs w:val="28"/>
        </w:rPr>
        <w:t xml:space="preserve">.  </w:t>
      </w:r>
      <w:r w:rsidR="002A63A3" w:rsidRPr="008F21AE">
        <w:rPr>
          <w:rFonts w:ascii="Times New Roman" w:hAnsi="Times New Roman" w:cs="Times New Roman"/>
          <w:sz w:val="28"/>
          <w:szCs w:val="28"/>
        </w:rPr>
        <w:t>The applicants also required a copy of the contract entered into with the winning bidder (which was not provided even to this court in the answering papers).</w:t>
      </w:r>
      <w:r w:rsidR="00820A10">
        <w:rPr>
          <w:rStyle w:val="FootnoteReference"/>
          <w:rFonts w:ascii="Times New Roman" w:hAnsi="Times New Roman" w:cs="Times New Roman"/>
          <w:sz w:val="28"/>
          <w:szCs w:val="28"/>
        </w:rPr>
        <w:footnoteReference w:id="8"/>
      </w:r>
      <w:r w:rsidR="002A63A3" w:rsidRPr="008F21AE">
        <w:rPr>
          <w:rFonts w:ascii="Times New Roman" w:hAnsi="Times New Roman" w:cs="Times New Roman"/>
          <w:sz w:val="28"/>
          <w:szCs w:val="28"/>
        </w:rPr>
        <w:t xml:space="preserve">  </w:t>
      </w:r>
    </w:p>
    <w:p w14:paraId="49DC130E" w14:textId="77777777" w:rsidR="00A40EB3" w:rsidRPr="00A40EB3" w:rsidRDefault="00A40EB3" w:rsidP="00A40EB3">
      <w:pPr>
        <w:pStyle w:val="ListParagraph"/>
        <w:rPr>
          <w:rFonts w:ascii="Times New Roman" w:hAnsi="Times New Roman" w:cs="Times New Roman"/>
          <w:sz w:val="28"/>
          <w:szCs w:val="28"/>
        </w:rPr>
      </w:pPr>
    </w:p>
    <w:p w14:paraId="20925A54" w14:textId="02A8A0A0" w:rsidR="004B6C55" w:rsidRPr="008F21AE" w:rsidRDefault="008F21AE" w:rsidP="008F21AE">
      <w:pPr>
        <w:spacing w:line="360" w:lineRule="auto"/>
        <w:jc w:val="both"/>
        <w:rPr>
          <w:rFonts w:ascii="Times New Roman" w:hAnsi="Times New Roman" w:cs="Times New Roman"/>
          <w:sz w:val="28"/>
          <w:szCs w:val="28"/>
        </w:rPr>
      </w:pPr>
      <w:r w:rsidRPr="004F5FC2">
        <w:rPr>
          <w:rFonts w:ascii="Times New Roman" w:hAnsi="Times New Roman" w:cs="Times New Roman"/>
          <w:sz w:val="28"/>
          <w:szCs w:val="28"/>
        </w:rPr>
        <w:t>[19]</w:t>
      </w:r>
      <w:r w:rsidRPr="004F5FC2">
        <w:rPr>
          <w:rFonts w:ascii="Times New Roman" w:hAnsi="Times New Roman" w:cs="Times New Roman"/>
          <w:sz w:val="28"/>
          <w:szCs w:val="28"/>
        </w:rPr>
        <w:tab/>
      </w:r>
      <w:r w:rsidR="004B6C55" w:rsidRPr="008F21AE">
        <w:rPr>
          <w:rFonts w:ascii="Times New Roman" w:hAnsi="Times New Roman" w:cs="Times New Roman"/>
          <w:sz w:val="28"/>
          <w:szCs w:val="28"/>
        </w:rPr>
        <w:t>The basis for the applicants concerns throughout was the apparent secrecy surrounding the issue of the award firstly to a bidder whose identity was unknown to them</w:t>
      </w:r>
      <w:r w:rsidR="00B22C72" w:rsidRPr="008F21AE">
        <w:rPr>
          <w:rFonts w:ascii="Times New Roman" w:hAnsi="Times New Roman" w:cs="Times New Roman"/>
          <w:sz w:val="28"/>
          <w:szCs w:val="28"/>
        </w:rPr>
        <w:t xml:space="preserve"> or the Forum</w:t>
      </w:r>
      <w:r w:rsidR="004B6C55" w:rsidRPr="008F21AE">
        <w:rPr>
          <w:rFonts w:ascii="Times New Roman" w:hAnsi="Times New Roman" w:cs="Times New Roman"/>
          <w:sz w:val="28"/>
          <w:szCs w:val="28"/>
        </w:rPr>
        <w:t xml:space="preserve"> (they mistakenly believed that the information regarding the award had not been published by the Department </w:t>
      </w:r>
      <w:r w:rsidR="00F510BF" w:rsidRPr="008F21AE">
        <w:rPr>
          <w:rFonts w:ascii="Times New Roman" w:hAnsi="Times New Roman" w:cs="Times New Roman"/>
          <w:sz w:val="28"/>
          <w:szCs w:val="28"/>
        </w:rPr>
        <w:t xml:space="preserve">by the date of the application </w:t>
      </w:r>
      <w:r w:rsidR="004B6C55" w:rsidRPr="008F21AE">
        <w:rPr>
          <w:rFonts w:ascii="Times New Roman" w:hAnsi="Times New Roman" w:cs="Times New Roman"/>
          <w:sz w:val="28"/>
          <w:szCs w:val="28"/>
        </w:rPr>
        <w:t>whereas the official bulletin of 5 August 2022 bears this out)</w:t>
      </w:r>
      <w:r w:rsidR="004B6C55">
        <w:rPr>
          <w:rStyle w:val="FootnoteReference"/>
          <w:rFonts w:ascii="Times New Roman" w:hAnsi="Times New Roman" w:cs="Times New Roman"/>
          <w:sz w:val="28"/>
          <w:szCs w:val="28"/>
        </w:rPr>
        <w:footnoteReference w:id="9"/>
      </w:r>
      <w:r w:rsidR="004B6C55" w:rsidRPr="008F21AE">
        <w:rPr>
          <w:rFonts w:ascii="Times New Roman" w:hAnsi="Times New Roman" w:cs="Times New Roman"/>
          <w:sz w:val="28"/>
          <w:szCs w:val="28"/>
        </w:rPr>
        <w:t xml:space="preserve"> and</w:t>
      </w:r>
      <w:r w:rsidR="00A40EB3" w:rsidRPr="008F21AE">
        <w:rPr>
          <w:rFonts w:ascii="Times New Roman" w:hAnsi="Times New Roman" w:cs="Times New Roman"/>
          <w:sz w:val="28"/>
          <w:szCs w:val="28"/>
        </w:rPr>
        <w:t>,</w:t>
      </w:r>
      <w:r w:rsidR="004B6C55" w:rsidRPr="008F21AE">
        <w:rPr>
          <w:rFonts w:ascii="Times New Roman" w:hAnsi="Times New Roman" w:cs="Times New Roman"/>
          <w:sz w:val="28"/>
          <w:szCs w:val="28"/>
        </w:rPr>
        <w:t xml:space="preserve"> secondly</w:t>
      </w:r>
      <w:r w:rsidR="00A40EB3" w:rsidRPr="008F21AE">
        <w:rPr>
          <w:rFonts w:ascii="Times New Roman" w:hAnsi="Times New Roman" w:cs="Times New Roman"/>
          <w:sz w:val="28"/>
          <w:szCs w:val="28"/>
        </w:rPr>
        <w:t>,</w:t>
      </w:r>
      <w:r w:rsidR="004B6C55" w:rsidRPr="008F21AE">
        <w:rPr>
          <w:rFonts w:ascii="Times New Roman" w:hAnsi="Times New Roman" w:cs="Times New Roman"/>
          <w:sz w:val="28"/>
          <w:szCs w:val="28"/>
        </w:rPr>
        <w:t xml:space="preserve"> because they had not been brought up to speed regarding why their bids had been</w:t>
      </w:r>
      <w:r w:rsidR="002A63A3" w:rsidRPr="008F21AE">
        <w:rPr>
          <w:rFonts w:ascii="Times New Roman" w:hAnsi="Times New Roman" w:cs="Times New Roman"/>
          <w:sz w:val="28"/>
          <w:szCs w:val="28"/>
        </w:rPr>
        <w:t xml:space="preserve"> rejected</w:t>
      </w:r>
      <w:r w:rsidR="00F510BF" w:rsidRPr="008F21AE">
        <w:rPr>
          <w:rFonts w:ascii="Times New Roman" w:hAnsi="Times New Roman" w:cs="Times New Roman"/>
          <w:sz w:val="28"/>
          <w:szCs w:val="28"/>
        </w:rPr>
        <w:t xml:space="preserve">, this </w:t>
      </w:r>
      <w:r w:rsidR="004F5FC2" w:rsidRPr="008F21AE">
        <w:rPr>
          <w:rFonts w:ascii="Times New Roman" w:hAnsi="Times New Roman" w:cs="Times New Roman"/>
          <w:sz w:val="28"/>
          <w:szCs w:val="28"/>
        </w:rPr>
        <w:t>despite</w:t>
      </w:r>
      <w:r w:rsidR="002A63A3" w:rsidRPr="008F21AE">
        <w:rPr>
          <w:rFonts w:ascii="Times New Roman" w:hAnsi="Times New Roman" w:cs="Times New Roman"/>
          <w:sz w:val="28"/>
          <w:szCs w:val="28"/>
        </w:rPr>
        <w:t xml:space="preserve"> </w:t>
      </w:r>
      <w:r w:rsidR="004B6C55" w:rsidRPr="008F21AE">
        <w:rPr>
          <w:rFonts w:ascii="Times New Roman" w:hAnsi="Times New Roman" w:cs="Times New Roman"/>
          <w:sz w:val="28"/>
          <w:szCs w:val="28"/>
        </w:rPr>
        <w:t>the</w:t>
      </w:r>
      <w:r w:rsidR="002A63A3" w:rsidRPr="008F21AE">
        <w:rPr>
          <w:rFonts w:ascii="Times New Roman" w:hAnsi="Times New Roman" w:cs="Times New Roman"/>
          <w:sz w:val="28"/>
          <w:szCs w:val="28"/>
        </w:rPr>
        <w:t xml:space="preserve"> purported</w:t>
      </w:r>
      <w:r w:rsidR="004B6C55" w:rsidRPr="008F21AE">
        <w:rPr>
          <w:rFonts w:ascii="Times New Roman" w:hAnsi="Times New Roman" w:cs="Times New Roman"/>
          <w:sz w:val="28"/>
          <w:szCs w:val="28"/>
        </w:rPr>
        <w:t xml:space="preserve"> </w:t>
      </w:r>
      <w:r w:rsidR="00F510BF" w:rsidRPr="008F21AE">
        <w:rPr>
          <w:rFonts w:ascii="Times New Roman" w:hAnsi="Times New Roman" w:cs="Times New Roman"/>
          <w:sz w:val="28"/>
          <w:szCs w:val="28"/>
        </w:rPr>
        <w:t xml:space="preserve">comprehensive </w:t>
      </w:r>
      <w:r w:rsidR="004B6C55" w:rsidRPr="008F21AE">
        <w:rPr>
          <w:rFonts w:ascii="Times New Roman" w:hAnsi="Times New Roman" w:cs="Times New Roman"/>
          <w:sz w:val="28"/>
          <w:szCs w:val="28"/>
        </w:rPr>
        <w:t>reasons</w:t>
      </w:r>
      <w:r w:rsidR="004F5FC2" w:rsidRPr="008F21AE">
        <w:rPr>
          <w:rFonts w:ascii="Times New Roman" w:hAnsi="Times New Roman" w:cs="Times New Roman"/>
          <w:sz w:val="28"/>
          <w:szCs w:val="28"/>
        </w:rPr>
        <w:t xml:space="preserve"> </w:t>
      </w:r>
      <w:r w:rsidR="00F510BF" w:rsidRPr="008F21AE">
        <w:rPr>
          <w:rFonts w:ascii="Times New Roman" w:hAnsi="Times New Roman" w:cs="Times New Roman"/>
          <w:sz w:val="28"/>
          <w:szCs w:val="28"/>
        </w:rPr>
        <w:t xml:space="preserve">furnished </w:t>
      </w:r>
      <w:r w:rsidR="004F5FC2" w:rsidRPr="008F21AE">
        <w:rPr>
          <w:rFonts w:ascii="Times New Roman" w:hAnsi="Times New Roman" w:cs="Times New Roman"/>
          <w:sz w:val="28"/>
          <w:szCs w:val="28"/>
        </w:rPr>
        <w:t xml:space="preserve">that </w:t>
      </w:r>
      <w:r w:rsidR="00A40EB3" w:rsidRPr="008F21AE">
        <w:rPr>
          <w:rFonts w:ascii="Times New Roman" w:hAnsi="Times New Roman" w:cs="Times New Roman"/>
          <w:sz w:val="28"/>
          <w:szCs w:val="28"/>
        </w:rPr>
        <w:t xml:space="preserve">had </w:t>
      </w:r>
      <w:r w:rsidR="002A63A3" w:rsidRPr="008F21AE">
        <w:rPr>
          <w:rFonts w:ascii="Times New Roman" w:hAnsi="Times New Roman" w:cs="Times New Roman"/>
          <w:sz w:val="28"/>
          <w:szCs w:val="28"/>
        </w:rPr>
        <w:t xml:space="preserve">significantly </w:t>
      </w:r>
      <w:r w:rsidR="004B6C55" w:rsidRPr="008F21AE">
        <w:rPr>
          <w:rFonts w:ascii="Times New Roman" w:hAnsi="Times New Roman" w:cs="Times New Roman"/>
          <w:sz w:val="28"/>
          <w:szCs w:val="28"/>
        </w:rPr>
        <w:t xml:space="preserve">not lifted the veil in any manner. </w:t>
      </w:r>
      <w:r w:rsidR="00A40EB3" w:rsidRPr="008F21AE">
        <w:rPr>
          <w:rFonts w:ascii="Times New Roman" w:hAnsi="Times New Roman" w:cs="Times New Roman"/>
          <w:sz w:val="28"/>
          <w:szCs w:val="28"/>
        </w:rPr>
        <w:t xml:space="preserve"> </w:t>
      </w:r>
      <w:r w:rsidR="004B6C55" w:rsidRPr="008F21AE">
        <w:rPr>
          <w:rFonts w:ascii="Times New Roman" w:hAnsi="Times New Roman" w:cs="Times New Roman"/>
          <w:sz w:val="28"/>
          <w:szCs w:val="28"/>
        </w:rPr>
        <w:t>In</w:t>
      </w:r>
      <w:r w:rsidR="00B22C72" w:rsidRPr="008F21AE">
        <w:rPr>
          <w:rFonts w:ascii="Times New Roman" w:hAnsi="Times New Roman" w:cs="Times New Roman"/>
          <w:sz w:val="28"/>
          <w:szCs w:val="28"/>
        </w:rPr>
        <w:t>deed,</w:t>
      </w:r>
      <w:r w:rsidR="004B6C55" w:rsidRPr="008F21AE">
        <w:rPr>
          <w:rFonts w:ascii="Times New Roman" w:hAnsi="Times New Roman" w:cs="Times New Roman"/>
          <w:sz w:val="28"/>
          <w:szCs w:val="28"/>
        </w:rPr>
        <w:t xml:space="preserve"> the </w:t>
      </w:r>
      <w:r w:rsidR="00F510BF" w:rsidRPr="008F21AE">
        <w:rPr>
          <w:rFonts w:ascii="Times New Roman" w:hAnsi="Times New Roman" w:cs="Times New Roman"/>
          <w:sz w:val="28"/>
          <w:szCs w:val="28"/>
        </w:rPr>
        <w:t>Department’s attempt at clearing the air</w:t>
      </w:r>
      <w:r w:rsidR="004B6C55" w:rsidRPr="008F21AE">
        <w:rPr>
          <w:rFonts w:ascii="Times New Roman" w:hAnsi="Times New Roman" w:cs="Times New Roman"/>
          <w:sz w:val="28"/>
          <w:szCs w:val="28"/>
        </w:rPr>
        <w:t xml:space="preserve"> had </w:t>
      </w:r>
      <w:r w:rsidR="00B22C72" w:rsidRPr="008F21AE">
        <w:rPr>
          <w:rFonts w:ascii="Times New Roman" w:hAnsi="Times New Roman" w:cs="Times New Roman"/>
          <w:sz w:val="28"/>
          <w:szCs w:val="28"/>
        </w:rPr>
        <w:t xml:space="preserve">instead </w:t>
      </w:r>
      <w:r w:rsidR="004B6C55" w:rsidRPr="008F21AE">
        <w:rPr>
          <w:rFonts w:ascii="Times New Roman" w:hAnsi="Times New Roman" w:cs="Times New Roman"/>
          <w:sz w:val="28"/>
          <w:szCs w:val="28"/>
        </w:rPr>
        <w:t>revealed the further detail that</w:t>
      </w:r>
      <w:r w:rsidR="002A63A3" w:rsidRPr="008F21AE">
        <w:rPr>
          <w:rFonts w:ascii="Times New Roman" w:hAnsi="Times New Roman" w:cs="Times New Roman"/>
          <w:sz w:val="28"/>
          <w:szCs w:val="28"/>
        </w:rPr>
        <w:t xml:space="preserve"> the winning bidder’s bid had</w:t>
      </w:r>
      <w:r w:rsidR="004B6C55" w:rsidRPr="008F21AE">
        <w:rPr>
          <w:rFonts w:ascii="Times New Roman" w:hAnsi="Times New Roman" w:cs="Times New Roman"/>
          <w:sz w:val="28"/>
          <w:szCs w:val="28"/>
        </w:rPr>
        <w:t xml:space="preserve"> also not </w:t>
      </w:r>
      <w:r w:rsidR="002A63A3" w:rsidRPr="008F21AE">
        <w:rPr>
          <w:rFonts w:ascii="Times New Roman" w:hAnsi="Times New Roman" w:cs="Times New Roman"/>
          <w:sz w:val="28"/>
          <w:szCs w:val="28"/>
        </w:rPr>
        <w:t xml:space="preserve">been </w:t>
      </w:r>
      <w:r w:rsidR="004B6C55" w:rsidRPr="008F21AE">
        <w:rPr>
          <w:rFonts w:ascii="Times New Roman" w:hAnsi="Times New Roman" w:cs="Times New Roman"/>
          <w:sz w:val="28"/>
          <w:szCs w:val="28"/>
        </w:rPr>
        <w:t>the lowest</w:t>
      </w:r>
      <w:r w:rsidR="004F5FC2" w:rsidRPr="008F21AE">
        <w:rPr>
          <w:rFonts w:ascii="Times New Roman" w:hAnsi="Times New Roman" w:cs="Times New Roman"/>
          <w:sz w:val="28"/>
          <w:szCs w:val="28"/>
        </w:rPr>
        <w:t>,</w:t>
      </w:r>
      <w:r w:rsidR="00A40EB3" w:rsidRPr="008F21AE">
        <w:rPr>
          <w:rFonts w:ascii="Times New Roman" w:hAnsi="Times New Roman" w:cs="Times New Roman"/>
          <w:sz w:val="28"/>
          <w:szCs w:val="28"/>
        </w:rPr>
        <w:t xml:space="preserve"> which on its own </w:t>
      </w:r>
      <w:r w:rsidR="004F5FC2" w:rsidRPr="008F21AE">
        <w:rPr>
          <w:rFonts w:ascii="Times New Roman" w:hAnsi="Times New Roman" w:cs="Times New Roman"/>
          <w:sz w:val="28"/>
          <w:szCs w:val="28"/>
        </w:rPr>
        <w:t xml:space="preserve">provided </w:t>
      </w:r>
      <w:r w:rsidR="00F510BF" w:rsidRPr="008F21AE">
        <w:rPr>
          <w:rFonts w:ascii="Times New Roman" w:hAnsi="Times New Roman" w:cs="Times New Roman"/>
          <w:sz w:val="28"/>
          <w:szCs w:val="28"/>
        </w:rPr>
        <w:t>a real</w:t>
      </w:r>
      <w:r w:rsidR="004F5FC2" w:rsidRPr="008F21AE">
        <w:rPr>
          <w:rFonts w:ascii="Times New Roman" w:hAnsi="Times New Roman" w:cs="Times New Roman"/>
          <w:sz w:val="28"/>
          <w:szCs w:val="28"/>
        </w:rPr>
        <w:t xml:space="preserve"> basis for</w:t>
      </w:r>
      <w:r w:rsidR="00A40EB3" w:rsidRPr="008F21AE">
        <w:rPr>
          <w:rFonts w:ascii="Times New Roman" w:hAnsi="Times New Roman" w:cs="Times New Roman"/>
          <w:sz w:val="28"/>
          <w:szCs w:val="28"/>
        </w:rPr>
        <w:t xml:space="preserve"> concern.</w:t>
      </w:r>
    </w:p>
    <w:p w14:paraId="29A00668" w14:textId="7DA40DBD" w:rsidR="004B6C55" w:rsidRDefault="004B6C55" w:rsidP="004B6C55">
      <w:pPr>
        <w:pStyle w:val="ListParagraph"/>
        <w:rPr>
          <w:rFonts w:ascii="Times New Roman" w:hAnsi="Times New Roman" w:cs="Times New Roman"/>
          <w:sz w:val="28"/>
          <w:szCs w:val="28"/>
        </w:rPr>
      </w:pPr>
    </w:p>
    <w:p w14:paraId="19AFF456" w14:textId="0E3D57A5" w:rsidR="00843C20" w:rsidRDefault="00843C20" w:rsidP="004B6C55">
      <w:pPr>
        <w:pStyle w:val="ListParagraph"/>
        <w:rPr>
          <w:rFonts w:ascii="Times New Roman" w:hAnsi="Times New Roman" w:cs="Times New Roman"/>
          <w:sz w:val="28"/>
          <w:szCs w:val="28"/>
        </w:rPr>
      </w:pPr>
    </w:p>
    <w:p w14:paraId="62580498" w14:textId="65B52923" w:rsidR="00843C20" w:rsidRDefault="00843C20" w:rsidP="004B6C55">
      <w:pPr>
        <w:pStyle w:val="ListParagraph"/>
        <w:rPr>
          <w:rFonts w:ascii="Times New Roman" w:hAnsi="Times New Roman" w:cs="Times New Roman"/>
          <w:sz w:val="28"/>
          <w:szCs w:val="28"/>
        </w:rPr>
      </w:pPr>
    </w:p>
    <w:p w14:paraId="71F80F76" w14:textId="54760359" w:rsidR="00843C20" w:rsidRDefault="00843C20" w:rsidP="004B6C55">
      <w:pPr>
        <w:pStyle w:val="ListParagraph"/>
        <w:rPr>
          <w:rFonts w:ascii="Times New Roman" w:hAnsi="Times New Roman" w:cs="Times New Roman"/>
          <w:sz w:val="28"/>
          <w:szCs w:val="28"/>
        </w:rPr>
      </w:pPr>
    </w:p>
    <w:p w14:paraId="4E6B534F" w14:textId="0667DFB6" w:rsidR="00843C20" w:rsidRDefault="00843C20" w:rsidP="004B6C55">
      <w:pPr>
        <w:pStyle w:val="ListParagraph"/>
        <w:rPr>
          <w:rFonts w:ascii="Times New Roman" w:hAnsi="Times New Roman" w:cs="Times New Roman"/>
          <w:sz w:val="28"/>
          <w:szCs w:val="28"/>
        </w:rPr>
      </w:pPr>
    </w:p>
    <w:p w14:paraId="59FDECB5" w14:textId="7D6EC04E" w:rsidR="00843C20" w:rsidRDefault="00843C20" w:rsidP="004B6C55">
      <w:pPr>
        <w:pStyle w:val="ListParagraph"/>
        <w:rPr>
          <w:rFonts w:ascii="Times New Roman" w:hAnsi="Times New Roman" w:cs="Times New Roman"/>
          <w:sz w:val="28"/>
          <w:szCs w:val="28"/>
        </w:rPr>
      </w:pPr>
    </w:p>
    <w:p w14:paraId="1CD46766" w14:textId="1B8F7FA9" w:rsidR="00843C20" w:rsidRDefault="00843C20" w:rsidP="004B6C55">
      <w:pPr>
        <w:pStyle w:val="ListParagraph"/>
        <w:rPr>
          <w:rFonts w:ascii="Times New Roman" w:hAnsi="Times New Roman" w:cs="Times New Roman"/>
          <w:sz w:val="28"/>
          <w:szCs w:val="28"/>
        </w:rPr>
      </w:pPr>
    </w:p>
    <w:p w14:paraId="6B21346F" w14:textId="77777777" w:rsidR="00843C20" w:rsidRDefault="00843C20" w:rsidP="004B6C55">
      <w:pPr>
        <w:pStyle w:val="ListParagraph"/>
        <w:rPr>
          <w:rFonts w:ascii="Times New Roman" w:hAnsi="Times New Roman" w:cs="Times New Roman"/>
          <w:sz w:val="28"/>
          <w:szCs w:val="28"/>
        </w:rPr>
      </w:pPr>
    </w:p>
    <w:p w14:paraId="47EDFA25" w14:textId="1B930D4B" w:rsidR="00FD2CB3" w:rsidRPr="008F21AE" w:rsidRDefault="008F21AE" w:rsidP="008F21AE">
      <w:pPr>
        <w:spacing w:line="360" w:lineRule="auto"/>
        <w:jc w:val="both"/>
        <w:rPr>
          <w:rFonts w:ascii="Times New Roman" w:hAnsi="Times New Roman" w:cs="Times New Roman"/>
          <w:sz w:val="28"/>
          <w:szCs w:val="28"/>
        </w:rPr>
      </w:pPr>
      <w:r w:rsidRPr="009904D7">
        <w:rPr>
          <w:rFonts w:ascii="Times New Roman" w:hAnsi="Times New Roman" w:cs="Times New Roman"/>
          <w:sz w:val="28"/>
          <w:szCs w:val="28"/>
        </w:rPr>
        <w:lastRenderedPageBreak/>
        <w:t>[20]</w:t>
      </w:r>
      <w:r w:rsidRPr="009904D7">
        <w:rPr>
          <w:rFonts w:ascii="Times New Roman" w:hAnsi="Times New Roman" w:cs="Times New Roman"/>
          <w:sz w:val="28"/>
          <w:szCs w:val="28"/>
        </w:rPr>
        <w:tab/>
      </w:r>
      <w:r w:rsidR="004B6C55" w:rsidRPr="008F21AE">
        <w:rPr>
          <w:rFonts w:ascii="Times New Roman" w:hAnsi="Times New Roman" w:cs="Times New Roman"/>
          <w:sz w:val="28"/>
          <w:szCs w:val="28"/>
        </w:rPr>
        <w:t>Leaving aside the</w:t>
      </w:r>
      <w:r w:rsidR="004F5FC2" w:rsidRPr="008F21AE">
        <w:rPr>
          <w:rFonts w:ascii="Times New Roman" w:hAnsi="Times New Roman" w:cs="Times New Roman"/>
          <w:sz w:val="28"/>
          <w:szCs w:val="28"/>
        </w:rPr>
        <w:t xml:space="preserve"> applicants’ initial mistaken</w:t>
      </w:r>
      <w:r w:rsidR="004B6C55" w:rsidRPr="008F21AE">
        <w:rPr>
          <w:rFonts w:ascii="Times New Roman" w:hAnsi="Times New Roman" w:cs="Times New Roman"/>
          <w:sz w:val="28"/>
          <w:szCs w:val="28"/>
        </w:rPr>
        <w:t xml:space="preserve"> assertion that the validity period for the bid had been irregularly extended, as well as the general complaint that the tender was driven under the auspices of constitutionally invalid reg</w:t>
      </w:r>
      <w:r w:rsidR="00BB424F" w:rsidRPr="008F21AE">
        <w:rPr>
          <w:rFonts w:ascii="Times New Roman" w:hAnsi="Times New Roman" w:cs="Times New Roman"/>
          <w:sz w:val="28"/>
          <w:szCs w:val="28"/>
        </w:rPr>
        <w:t>ulations</w:t>
      </w:r>
      <w:r w:rsidR="004B6C55">
        <w:rPr>
          <w:rStyle w:val="FootnoteReference"/>
          <w:rFonts w:ascii="Times New Roman" w:hAnsi="Times New Roman" w:cs="Times New Roman"/>
          <w:sz w:val="28"/>
          <w:szCs w:val="28"/>
        </w:rPr>
        <w:footnoteReference w:id="10"/>
      </w:r>
      <w:r w:rsidR="00BB424F" w:rsidRPr="008F21AE">
        <w:rPr>
          <w:rFonts w:ascii="Times New Roman" w:hAnsi="Times New Roman" w:cs="Times New Roman"/>
          <w:sz w:val="28"/>
          <w:szCs w:val="28"/>
        </w:rPr>
        <w:t xml:space="preserve"> t</w:t>
      </w:r>
      <w:r w:rsidR="004B6C55" w:rsidRPr="008F21AE">
        <w:rPr>
          <w:rFonts w:ascii="Times New Roman" w:hAnsi="Times New Roman" w:cs="Times New Roman"/>
          <w:sz w:val="28"/>
          <w:szCs w:val="28"/>
        </w:rPr>
        <w:t xml:space="preserve">he applicants pleaded that their exclusion (if one had to read in that they were amongst the 40 whose bids were found to </w:t>
      </w:r>
      <w:r w:rsidR="0020255E" w:rsidRPr="008F21AE">
        <w:rPr>
          <w:rFonts w:ascii="Times New Roman" w:hAnsi="Times New Roman" w:cs="Times New Roman"/>
          <w:sz w:val="28"/>
          <w:szCs w:val="28"/>
        </w:rPr>
        <w:t>have been</w:t>
      </w:r>
      <w:r w:rsidR="004B6C55" w:rsidRPr="008F21AE">
        <w:rPr>
          <w:rFonts w:ascii="Times New Roman" w:hAnsi="Times New Roman" w:cs="Times New Roman"/>
          <w:sz w:val="28"/>
          <w:szCs w:val="28"/>
        </w:rPr>
        <w:t xml:space="preserve"> unacceptable or non-responsive) had, by the absence of good and sound reasons </w:t>
      </w:r>
      <w:r w:rsidR="00BB424F" w:rsidRPr="008F21AE">
        <w:rPr>
          <w:rFonts w:ascii="Times New Roman" w:hAnsi="Times New Roman" w:cs="Times New Roman"/>
          <w:sz w:val="28"/>
          <w:szCs w:val="28"/>
        </w:rPr>
        <w:t xml:space="preserve">which had been </w:t>
      </w:r>
      <w:r w:rsidR="004B6C55" w:rsidRPr="008F21AE">
        <w:rPr>
          <w:rFonts w:ascii="Times New Roman" w:hAnsi="Times New Roman" w:cs="Times New Roman"/>
          <w:sz w:val="28"/>
          <w:szCs w:val="28"/>
        </w:rPr>
        <w:t>requested, left the</w:t>
      </w:r>
      <w:r w:rsidR="00BB424F" w:rsidRPr="008F21AE">
        <w:rPr>
          <w:rFonts w:ascii="Times New Roman" w:hAnsi="Times New Roman" w:cs="Times New Roman"/>
          <w:sz w:val="28"/>
          <w:szCs w:val="28"/>
        </w:rPr>
        <w:t xml:space="preserve">m uncertain that the Department’s decisions </w:t>
      </w:r>
      <w:r w:rsidR="004B6C55" w:rsidRPr="008F21AE">
        <w:rPr>
          <w:rFonts w:ascii="Times New Roman" w:hAnsi="Times New Roman" w:cs="Times New Roman"/>
          <w:sz w:val="28"/>
          <w:szCs w:val="28"/>
        </w:rPr>
        <w:t>were informed and grounded on a sound and lawful consideration underpinned by the legal framework and permeated by considerations of fairness.</w:t>
      </w:r>
      <w:r w:rsidR="004F5FC2" w:rsidRPr="008F21AE">
        <w:rPr>
          <w:rFonts w:ascii="Times New Roman" w:hAnsi="Times New Roman" w:cs="Times New Roman"/>
          <w:sz w:val="28"/>
          <w:szCs w:val="28"/>
        </w:rPr>
        <w:t xml:space="preserve"> The obvious harm to them</w:t>
      </w:r>
      <w:r w:rsidR="004B5213" w:rsidRPr="008F21AE">
        <w:rPr>
          <w:rFonts w:ascii="Times New Roman" w:hAnsi="Times New Roman" w:cs="Times New Roman"/>
          <w:sz w:val="28"/>
          <w:szCs w:val="28"/>
        </w:rPr>
        <w:t xml:space="preserve"> thereby</w:t>
      </w:r>
      <w:r w:rsidR="004F5FC2" w:rsidRPr="008F21AE">
        <w:rPr>
          <w:rFonts w:ascii="Times New Roman" w:hAnsi="Times New Roman" w:cs="Times New Roman"/>
          <w:sz w:val="28"/>
          <w:szCs w:val="28"/>
        </w:rPr>
        <w:t xml:space="preserve">, </w:t>
      </w:r>
      <w:r w:rsidR="0020255E" w:rsidRPr="008F21AE">
        <w:rPr>
          <w:rFonts w:ascii="Times New Roman" w:hAnsi="Times New Roman" w:cs="Times New Roman"/>
          <w:sz w:val="28"/>
          <w:szCs w:val="28"/>
        </w:rPr>
        <w:t xml:space="preserve">indeed </w:t>
      </w:r>
      <w:r w:rsidR="004F5FC2" w:rsidRPr="008F21AE">
        <w:rPr>
          <w:rFonts w:ascii="Times New Roman" w:hAnsi="Times New Roman" w:cs="Times New Roman"/>
          <w:sz w:val="28"/>
          <w:szCs w:val="28"/>
        </w:rPr>
        <w:t xml:space="preserve">to any tenderer in such a situation bereft of </w:t>
      </w:r>
      <w:r w:rsidR="004B5213" w:rsidRPr="008F21AE">
        <w:rPr>
          <w:rFonts w:ascii="Times New Roman" w:hAnsi="Times New Roman" w:cs="Times New Roman"/>
          <w:sz w:val="28"/>
          <w:szCs w:val="28"/>
        </w:rPr>
        <w:t>meaningful helpful information that the Department should have offered without hesitation, is that their right to have participated in the tender process subject to the rules created within the legal framework, appeared to have been compromised. As for the reasons fobbed off on them</w:t>
      </w:r>
      <w:r w:rsidR="0020255E" w:rsidRPr="008F21AE">
        <w:rPr>
          <w:rFonts w:ascii="Times New Roman" w:hAnsi="Times New Roman" w:cs="Times New Roman"/>
          <w:sz w:val="28"/>
          <w:szCs w:val="28"/>
        </w:rPr>
        <w:t>,</w:t>
      </w:r>
      <w:r w:rsidR="004B5213" w:rsidRPr="008F21AE">
        <w:rPr>
          <w:rFonts w:ascii="Times New Roman" w:hAnsi="Times New Roman" w:cs="Times New Roman"/>
          <w:sz w:val="28"/>
          <w:szCs w:val="28"/>
        </w:rPr>
        <w:t xml:space="preserve"> th</w:t>
      </w:r>
      <w:r w:rsidR="00FD2CB3" w:rsidRPr="008F21AE">
        <w:rPr>
          <w:rFonts w:ascii="Times New Roman" w:hAnsi="Times New Roman" w:cs="Times New Roman"/>
          <w:sz w:val="28"/>
          <w:szCs w:val="28"/>
        </w:rPr>
        <w:t xml:space="preserve">e Department had </w:t>
      </w:r>
      <w:r w:rsidR="004B5213" w:rsidRPr="008F21AE">
        <w:rPr>
          <w:rFonts w:ascii="Times New Roman" w:hAnsi="Times New Roman" w:cs="Times New Roman"/>
          <w:sz w:val="28"/>
          <w:szCs w:val="28"/>
        </w:rPr>
        <w:t>said absolut</w:t>
      </w:r>
      <w:r w:rsidR="00FD2CB3" w:rsidRPr="008F21AE">
        <w:rPr>
          <w:rFonts w:ascii="Times New Roman" w:hAnsi="Times New Roman" w:cs="Times New Roman"/>
          <w:sz w:val="28"/>
          <w:szCs w:val="28"/>
        </w:rPr>
        <w:t>ely</w:t>
      </w:r>
      <w:r w:rsidR="004B5213" w:rsidRPr="008F21AE">
        <w:rPr>
          <w:rFonts w:ascii="Times New Roman" w:hAnsi="Times New Roman" w:cs="Times New Roman"/>
          <w:sz w:val="28"/>
          <w:szCs w:val="28"/>
        </w:rPr>
        <w:t xml:space="preserve"> nothing that could placate them </w:t>
      </w:r>
      <w:r w:rsidR="004B415D" w:rsidRPr="008F21AE">
        <w:rPr>
          <w:rFonts w:ascii="Times New Roman" w:hAnsi="Times New Roman" w:cs="Times New Roman"/>
          <w:sz w:val="28"/>
          <w:szCs w:val="28"/>
        </w:rPr>
        <w:t>to the contrary that the process had been beyond reproach</w:t>
      </w:r>
      <w:r w:rsidR="009904D7" w:rsidRPr="008F21AE">
        <w:rPr>
          <w:rFonts w:ascii="Times New Roman" w:hAnsi="Times New Roman" w:cs="Times New Roman"/>
          <w:sz w:val="28"/>
          <w:szCs w:val="28"/>
        </w:rPr>
        <w:t>.</w:t>
      </w:r>
    </w:p>
    <w:p w14:paraId="50A9E7E8" w14:textId="77777777" w:rsidR="00C54EC0" w:rsidRPr="00C54EC0" w:rsidRDefault="00C54EC0" w:rsidP="00C54EC0">
      <w:pPr>
        <w:pStyle w:val="ListParagraph"/>
        <w:rPr>
          <w:rFonts w:ascii="Times New Roman" w:hAnsi="Times New Roman" w:cs="Times New Roman"/>
          <w:sz w:val="28"/>
          <w:szCs w:val="28"/>
        </w:rPr>
      </w:pPr>
    </w:p>
    <w:p w14:paraId="6B4F05AC" w14:textId="0AFFAD6F" w:rsidR="007F0791" w:rsidRPr="008F21AE" w:rsidRDefault="008F21AE" w:rsidP="008F21AE">
      <w:pPr>
        <w:spacing w:line="360" w:lineRule="auto"/>
        <w:jc w:val="both"/>
        <w:rPr>
          <w:rFonts w:ascii="Times New Roman" w:hAnsi="Times New Roman" w:cs="Times New Roman"/>
          <w:sz w:val="28"/>
          <w:szCs w:val="28"/>
        </w:rPr>
      </w:pPr>
      <w:r w:rsidRPr="00843C20">
        <w:rPr>
          <w:rFonts w:ascii="Times New Roman" w:hAnsi="Times New Roman" w:cs="Times New Roman"/>
          <w:sz w:val="28"/>
          <w:szCs w:val="28"/>
        </w:rPr>
        <w:t>[21]</w:t>
      </w:r>
      <w:r w:rsidRPr="00843C20">
        <w:rPr>
          <w:rFonts w:ascii="Times New Roman" w:hAnsi="Times New Roman" w:cs="Times New Roman"/>
          <w:sz w:val="28"/>
          <w:szCs w:val="28"/>
        </w:rPr>
        <w:tab/>
      </w:r>
      <w:r w:rsidR="009904D7" w:rsidRPr="008F21AE">
        <w:rPr>
          <w:rFonts w:ascii="Times New Roman" w:hAnsi="Times New Roman" w:cs="Times New Roman"/>
          <w:sz w:val="28"/>
          <w:szCs w:val="28"/>
        </w:rPr>
        <w:t>T</w:t>
      </w:r>
      <w:r w:rsidR="0041635F" w:rsidRPr="008F21AE">
        <w:rPr>
          <w:rFonts w:ascii="Times New Roman" w:hAnsi="Times New Roman" w:cs="Times New Roman"/>
          <w:sz w:val="28"/>
          <w:szCs w:val="28"/>
        </w:rPr>
        <w:t xml:space="preserve">he Department added nothing more by its answering affidavit to the </w:t>
      </w:r>
      <w:r w:rsidR="00BB424F" w:rsidRPr="008F21AE">
        <w:rPr>
          <w:rFonts w:ascii="Times New Roman" w:hAnsi="Times New Roman" w:cs="Times New Roman"/>
          <w:sz w:val="28"/>
          <w:szCs w:val="28"/>
        </w:rPr>
        <w:t>formal</w:t>
      </w:r>
      <w:r w:rsidR="00696158" w:rsidRPr="008F21AE">
        <w:rPr>
          <w:rFonts w:ascii="Times New Roman" w:hAnsi="Times New Roman" w:cs="Times New Roman"/>
          <w:sz w:val="28"/>
          <w:szCs w:val="28"/>
        </w:rPr>
        <w:t xml:space="preserve"> supposedly</w:t>
      </w:r>
      <w:r w:rsidR="00BB424F" w:rsidRPr="008F21AE">
        <w:rPr>
          <w:rFonts w:ascii="Times New Roman" w:hAnsi="Times New Roman" w:cs="Times New Roman"/>
          <w:sz w:val="28"/>
          <w:szCs w:val="28"/>
        </w:rPr>
        <w:t xml:space="preserve"> exhaustive </w:t>
      </w:r>
      <w:r w:rsidR="0041635F" w:rsidRPr="008F21AE">
        <w:rPr>
          <w:rFonts w:ascii="Times New Roman" w:hAnsi="Times New Roman" w:cs="Times New Roman"/>
          <w:sz w:val="28"/>
          <w:szCs w:val="28"/>
        </w:rPr>
        <w:t xml:space="preserve">reasons it had given in its letter </w:t>
      </w:r>
      <w:r w:rsidR="00C54EC0" w:rsidRPr="008F21AE">
        <w:rPr>
          <w:rFonts w:ascii="Times New Roman" w:hAnsi="Times New Roman" w:cs="Times New Roman"/>
          <w:sz w:val="28"/>
          <w:szCs w:val="28"/>
        </w:rPr>
        <w:t xml:space="preserve">to the applicants’ attorneys that </w:t>
      </w:r>
      <w:r w:rsidR="0041635F" w:rsidRPr="008F21AE">
        <w:rPr>
          <w:rFonts w:ascii="Times New Roman" w:hAnsi="Times New Roman" w:cs="Times New Roman"/>
          <w:sz w:val="28"/>
          <w:szCs w:val="28"/>
        </w:rPr>
        <w:t>had gone before</w:t>
      </w:r>
      <w:r w:rsidR="0020255E" w:rsidRPr="008F21AE">
        <w:rPr>
          <w:rFonts w:ascii="Times New Roman" w:hAnsi="Times New Roman" w:cs="Times New Roman"/>
          <w:sz w:val="28"/>
          <w:szCs w:val="28"/>
        </w:rPr>
        <w:t xml:space="preserve">, </w:t>
      </w:r>
      <w:r w:rsidR="009904D7" w:rsidRPr="008F21AE">
        <w:rPr>
          <w:rFonts w:ascii="Times New Roman" w:hAnsi="Times New Roman" w:cs="Times New Roman"/>
          <w:sz w:val="28"/>
          <w:szCs w:val="28"/>
        </w:rPr>
        <w:t>rendering it appropriate for this court to have determined their adequacy</w:t>
      </w:r>
      <w:r w:rsidR="0020255E" w:rsidRPr="008F21AE">
        <w:rPr>
          <w:rFonts w:ascii="Times New Roman" w:hAnsi="Times New Roman" w:cs="Times New Roman"/>
          <w:sz w:val="28"/>
          <w:szCs w:val="28"/>
        </w:rPr>
        <w:t xml:space="preserve"> or </w:t>
      </w:r>
      <w:r w:rsidR="008C16C4" w:rsidRPr="008F21AE">
        <w:rPr>
          <w:rFonts w:ascii="Times New Roman" w:hAnsi="Times New Roman" w:cs="Times New Roman"/>
          <w:sz w:val="28"/>
          <w:szCs w:val="28"/>
        </w:rPr>
        <w:t>lack of</w:t>
      </w:r>
      <w:r w:rsidR="0020255E" w:rsidRPr="008F21AE">
        <w:rPr>
          <w:rFonts w:ascii="Times New Roman" w:hAnsi="Times New Roman" w:cs="Times New Roman"/>
          <w:sz w:val="28"/>
          <w:szCs w:val="28"/>
        </w:rPr>
        <w:t xml:space="preserve"> utility</w:t>
      </w:r>
      <w:r w:rsidR="00B650BA" w:rsidRPr="008F21AE">
        <w:rPr>
          <w:rFonts w:ascii="Times New Roman" w:hAnsi="Times New Roman" w:cs="Times New Roman"/>
          <w:sz w:val="28"/>
          <w:szCs w:val="28"/>
        </w:rPr>
        <w:t>, at least on a p</w:t>
      </w:r>
      <w:r w:rsidR="008C16C4" w:rsidRPr="008F21AE">
        <w:rPr>
          <w:rFonts w:ascii="Times New Roman" w:hAnsi="Times New Roman" w:cs="Times New Roman"/>
          <w:sz w:val="28"/>
          <w:szCs w:val="28"/>
        </w:rPr>
        <w:t>rovisional basis, right</w:t>
      </w:r>
      <w:r w:rsidR="009904D7" w:rsidRPr="008F21AE">
        <w:rPr>
          <w:rFonts w:ascii="Times New Roman" w:hAnsi="Times New Roman" w:cs="Times New Roman"/>
          <w:sz w:val="28"/>
          <w:szCs w:val="28"/>
        </w:rPr>
        <w:t xml:space="preserve"> </w:t>
      </w:r>
      <w:r w:rsidR="009904D7" w:rsidRPr="008F21AE">
        <w:rPr>
          <w:rFonts w:ascii="Times New Roman" w:hAnsi="Times New Roman" w:cs="Times New Roman"/>
          <w:sz w:val="28"/>
          <w:szCs w:val="28"/>
        </w:rPr>
        <w:lastRenderedPageBreak/>
        <w:t>then and there</w:t>
      </w:r>
      <w:r w:rsidR="0041635F" w:rsidRPr="008F21AE">
        <w:rPr>
          <w:rFonts w:ascii="Times New Roman" w:hAnsi="Times New Roman" w:cs="Times New Roman"/>
          <w:sz w:val="28"/>
          <w:szCs w:val="28"/>
        </w:rPr>
        <w:t>.</w:t>
      </w:r>
      <w:r w:rsidR="009904D7">
        <w:rPr>
          <w:rStyle w:val="FootnoteReference"/>
          <w:rFonts w:ascii="Times New Roman" w:hAnsi="Times New Roman" w:cs="Times New Roman"/>
          <w:sz w:val="28"/>
          <w:szCs w:val="28"/>
        </w:rPr>
        <w:footnoteReference w:id="11"/>
      </w:r>
      <w:r w:rsidR="0041635F" w:rsidRPr="008F21AE">
        <w:rPr>
          <w:rFonts w:ascii="Times New Roman" w:hAnsi="Times New Roman" w:cs="Times New Roman"/>
          <w:sz w:val="28"/>
          <w:szCs w:val="28"/>
        </w:rPr>
        <w:t xml:space="preserve">  It </w:t>
      </w:r>
      <w:r w:rsidR="00C54EC0" w:rsidRPr="008F21AE">
        <w:rPr>
          <w:rFonts w:ascii="Times New Roman" w:hAnsi="Times New Roman" w:cs="Times New Roman"/>
          <w:sz w:val="28"/>
          <w:szCs w:val="28"/>
        </w:rPr>
        <w:t>d</w:t>
      </w:r>
      <w:r w:rsidR="0041635F" w:rsidRPr="008F21AE">
        <w:rPr>
          <w:rFonts w:ascii="Times New Roman" w:hAnsi="Times New Roman" w:cs="Times New Roman"/>
          <w:sz w:val="28"/>
          <w:szCs w:val="28"/>
        </w:rPr>
        <w:t xml:space="preserve">id however declare for the first time the identity of the “winning bidder” </w:t>
      </w:r>
      <w:r w:rsidR="00C54EC0" w:rsidRPr="008F21AE">
        <w:rPr>
          <w:rFonts w:ascii="Times New Roman" w:hAnsi="Times New Roman" w:cs="Times New Roman"/>
          <w:sz w:val="28"/>
          <w:szCs w:val="28"/>
        </w:rPr>
        <w:t xml:space="preserve">which it claimed was a fact </w:t>
      </w:r>
      <w:r w:rsidR="0041635F" w:rsidRPr="008F21AE">
        <w:rPr>
          <w:rFonts w:ascii="Times New Roman" w:hAnsi="Times New Roman" w:cs="Times New Roman"/>
          <w:sz w:val="28"/>
          <w:szCs w:val="28"/>
        </w:rPr>
        <w:t>well known to the applicants.</w:t>
      </w:r>
      <w:r w:rsidR="00413644">
        <w:rPr>
          <w:rStyle w:val="FootnoteReference"/>
          <w:rFonts w:ascii="Times New Roman" w:hAnsi="Times New Roman" w:cs="Times New Roman"/>
          <w:sz w:val="28"/>
          <w:szCs w:val="28"/>
        </w:rPr>
        <w:footnoteReference w:id="12"/>
      </w:r>
    </w:p>
    <w:p w14:paraId="51998BD9" w14:textId="77777777" w:rsidR="00BD2A61" w:rsidRPr="00BD2A61" w:rsidRDefault="00BD2A61" w:rsidP="00BD2A61">
      <w:pPr>
        <w:pStyle w:val="ListParagraph"/>
        <w:rPr>
          <w:rFonts w:ascii="Times New Roman" w:hAnsi="Times New Roman" w:cs="Times New Roman"/>
          <w:sz w:val="28"/>
          <w:szCs w:val="28"/>
        </w:rPr>
      </w:pPr>
    </w:p>
    <w:p w14:paraId="0A96E11F" w14:textId="5FDE70A3" w:rsidR="009A0506" w:rsidRPr="008F21AE" w:rsidRDefault="008F21AE" w:rsidP="008F21AE">
      <w:pPr>
        <w:spacing w:line="360" w:lineRule="auto"/>
        <w:jc w:val="both"/>
        <w:rPr>
          <w:rFonts w:ascii="Times New Roman" w:hAnsi="Times New Roman" w:cs="Times New Roman"/>
          <w:sz w:val="28"/>
          <w:szCs w:val="28"/>
        </w:rPr>
      </w:pPr>
      <w:r w:rsidRPr="00C73D2B">
        <w:rPr>
          <w:rFonts w:ascii="Times New Roman" w:hAnsi="Times New Roman" w:cs="Times New Roman"/>
          <w:sz w:val="28"/>
          <w:szCs w:val="28"/>
        </w:rPr>
        <w:t>[22]</w:t>
      </w:r>
      <w:r w:rsidRPr="00C73D2B">
        <w:rPr>
          <w:rFonts w:ascii="Times New Roman" w:hAnsi="Times New Roman" w:cs="Times New Roman"/>
          <w:sz w:val="28"/>
          <w:szCs w:val="28"/>
        </w:rPr>
        <w:tab/>
      </w:r>
      <w:r w:rsidR="00BD2A61" w:rsidRPr="008F21AE">
        <w:rPr>
          <w:rFonts w:ascii="Times New Roman" w:hAnsi="Times New Roman" w:cs="Times New Roman"/>
          <w:sz w:val="28"/>
          <w:szCs w:val="28"/>
        </w:rPr>
        <w:t>The first respondent opposed the application and in summary did so on the grounds</w:t>
      </w:r>
      <w:r w:rsidR="00C73D2B" w:rsidRPr="008F21AE">
        <w:rPr>
          <w:rFonts w:ascii="Times New Roman" w:hAnsi="Times New Roman" w:cs="Times New Roman"/>
          <w:sz w:val="28"/>
          <w:szCs w:val="28"/>
        </w:rPr>
        <w:t xml:space="preserve"> that </w:t>
      </w:r>
      <w:r w:rsidR="009A0506" w:rsidRPr="008F21AE">
        <w:rPr>
          <w:rFonts w:ascii="Times New Roman" w:hAnsi="Times New Roman" w:cs="Times New Roman"/>
          <w:sz w:val="28"/>
          <w:szCs w:val="28"/>
        </w:rPr>
        <w:t>the applicants ha</w:t>
      </w:r>
      <w:r w:rsidR="00C73D2B" w:rsidRPr="008F21AE">
        <w:rPr>
          <w:rFonts w:ascii="Times New Roman" w:hAnsi="Times New Roman" w:cs="Times New Roman"/>
          <w:sz w:val="28"/>
          <w:szCs w:val="28"/>
        </w:rPr>
        <w:t>d</w:t>
      </w:r>
      <w:r w:rsidR="009A0506" w:rsidRPr="008F21AE">
        <w:rPr>
          <w:rFonts w:ascii="Times New Roman" w:hAnsi="Times New Roman" w:cs="Times New Roman"/>
          <w:sz w:val="28"/>
          <w:szCs w:val="28"/>
        </w:rPr>
        <w:t xml:space="preserve"> failed to comply with the provisions of the State Liability Act, 20 of 1957</w:t>
      </w:r>
      <w:r w:rsidR="00C73D2B" w:rsidRPr="008F21AE">
        <w:rPr>
          <w:rFonts w:ascii="Times New Roman" w:hAnsi="Times New Roman" w:cs="Times New Roman"/>
          <w:sz w:val="28"/>
          <w:szCs w:val="28"/>
        </w:rPr>
        <w:t xml:space="preserve"> (</w:t>
      </w:r>
      <w:r w:rsidR="009A0506" w:rsidRPr="008F21AE">
        <w:rPr>
          <w:rFonts w:ascii="Times New Roman" w:hAnsi="Times New Roman" w:cs="Times New Roman"/>
          <w:sz w:val="28"/>
          <w:szCs w:val="28"/>
        </w:rPr>
        <w:t xml:space="preserve">which failure </w:t>
      </w:r>
      <w:r w:rsidR="0041635F" w:rsidRPr="008F21AE">
        <w:rPr>
          <w:rFonts w:ascii="Times New Roman" w:hAnsi="Times New Roman" w:cs="Times New Roman"/>
          <w:sz w:val="28"/>
          <w:szCs w:val="28"/>
        </w:rPr>
        <w:t>it</w:t>
      </w:r>
      <w:r w:rsidR="00C73D2B" w:rsidRPr="008F21AE">
        <w:rPr>
          <w:rFonts w:ascii="Times New Roman" w:hAnsi="Times New Roman" w:cs="Times New Roman"/>
          <w:sz w:val="28"/>
          <w:szCs w:val="28"/>
        </w:rPr>
        <w:t xml:space="preserve"> contended was</w:t>
      </w:r>
      <w:r w:rsidR="009A0506" w:rsidRPr="008F21AE">
        <w:rPr>
          <w:rFonts w:ascii="Times New Roman" w:hAnsi="Times New Roman" w:cs="Times New Roman"/>
          <w:sz w:val="28"/>
          <w:szCs w:val="28"/>
        </w:rPr>
        <w:t xml:space="preserve"> fatal to the application</w:t>
      </w:r>
      <w:r w:rsidR="0041635F" w:rsidRPr="008F21AE">
        <w:rPr>
          <w:rFonts w:ascii="Times New Roman" w:hAnsi="Times New Roman" w:cs="Times New Roman"/>
          <w:sz w:val="28"/>
          <w:szCs w:val="28"/>
        </w:rPr>
        <w:t>)</w:t>
      </w:r>
      <w:r w:rsidR="009A0506" w:rsidRPr="008F21AE">
        <w:rPr>
          <w:rFonts w:ascii="Times New Roman" w:hAnsi="Times New Roman" w:cs="Times New Roman"/>
          <w:sz w:val="28"/>
          <w:szCs w:val="28"/>
        </w:rPr>
        <w:t>;</w:t>
      </w:r>
      <w:r w:rsidR="008C16C4">
        <w:rPr>
          <w:rStyle w:val="FootnoteReference"/>
          <w:rFonts w:ascii="Times New Roman" w:hAnsi="Times New Roman" w:cs="Times New Roman"/>
          <w:sz w:val="28"/>
          <w:szCs w:val="28"/>
        </w:rPr>
        <w:footnoteReference w:id="13"/>
      </w:r>
      <w:r w:rsidR="00C73D2B" w:rsidRPr="008F21AE">
        <w:rPr>
          <w:rFonts w:ascii="Times New Roman" w:hAnsi="Times New Roman" w:cs="Times New Roman"/>
          <w:sz w:val="28"/>
          <w:szCs w:val="28"/>
        </w:rPr>
        <w:t xml:space="preserve"> that the application wa</w:t>
      </w:r>
      <w:r w:rsidR="009A0506" w:rsidRPr="008F21AE">
        <w:rPr>
          <w:rFonts w:ascii="Times New Roman" w:hAnsi="Times New Roman" w:cs="Times New Roman"/>
          <w:sz w:val="28"/>
          <w:szCs w:val="28"/>
        </w:rPr>
        <w:t>s not</w:t>
      </w:r>
      <w:r w:rsidR="00C73D2B" w:rsidRPr="008F21AE">
        <w:rPr>
          <w:rFonts w:ascii="Times New Roman" w:hAnsi="Times New Roman" w:cs="Times New Roman"/>
          <w:sz w:val="28"/>
          <w:szCs w:val="28"/>
        </w:rPr>
        <w:t xml:space="preserve"> urgent alternatively urgency </w:t>
      </w:r>
      <w:r w:rsidR="0041635F" w:rsidRPr="008F21AE">
        <w:rPr>
          <w:rFonts w:ascii="Times New Roman" w:hAnsi="Times New Roman" w:cs="Times New Roman"/>
          <w:sz w:val="28"/>
          <w:szCs w:val="28"/>
        </w:rPr>
        <w:t xml:space="preserve">had been </w:t>
      </w:r>
      <w:r w:rsidR="009A0506" w:rsidRPr="008F21AE">
        <w:rPr>
          <w:rFonts w:ascii="Times New Roman" w:hAnsi="Times New Roman" w:cs="Times New Roman"/>
          <w:sz w:val="28"/>
          <w:szCs w:val="28"/>
        </w:rPr>
        <w:t>self-created;</w:t>
      </w:r>
      <w:r w:rsidR="008C16C4">
        <w:rPr>
          <w:rStyle w:val="FootnoteReference"/>
          <w:rFonts w:ascii="Times New Roman" w:hAnsi="Times New Roman" w:cs="Times New Roman"/>
          <w:sz w:val="28"/>
          <w:szCs w:val="28"/>
        </w:rPr>
        <w:footnoteReference w:id="14"/>
      </w:r>
      <w:r w:rsidR="00C73D2B" w:rsidRPr="008F21AE">
        <w:rPr>
          <w:rFonts w:ascii="Times New Roman" w:hAnsi="Times New Roman" w:cs="Times New Roman"/>
          <w:sz w:val="28"/>
          <w:szCs w:val="28"/>
        </w:rPr>
        <w:t xml:space="preserve"> that the</w:t>
      </w:r>
      <w:r w:rsidR="009A0506" w:rsidRPr="008F21AE">
        <w:rPr>
          <w:rFonts w:ascii="Times New Roman" w:hAnsi="Times New Roman" w:cs="Times New Roman"/>
          <w:sz w:val="28"/>
          <w:szCs w:val="28"/>
        </w:rPr>
        <w:t xml:space="preserve"> applicants ha</w:t>
      </w:r>
      <w:r w:rsidR="00C73D2B" w:rsidRPr="008F21AE">
        <w:rPr>
          <w:rFonts w:ascii="Times New Roman" w:hAnsi="Times New Roman" w:cs="Times New Roman"/>
          <w:sz w:val="28"/>
          <w:szCs w:val="28"/>
        </w:rPr>
        <w:t>d</w:t>
      </w:r>
      <w:r w:rsidR="009A0506" w:rsidRPr="008F21AE">
        <w:rPr>
          <w:rFonts w:ascii="Times New Roman" w:hAnsi="Times New Roman" w:cs="Times New Roman"/>
          <w:sz w:val="28"/>
          <w:szCs w:val="28"/>
        </w:rPr>
        <w:t xml:space="preserve"> not been honest with </w:t>
      </w:r>
      <w:r w:rsidR="00C73D2B" w:rsidRPr="008F21AE">
        <w:rPr>
          <w:rFonts w:ascii="Times New Roman" w:hAnsi="Times New Roman" w:cs="Times New Roman"/>
          <w:sz w:val="28"/>
          <w:szCs w:val="28"/>
        </w:rPr>
        <w:t>the court</w:t>
      </w:r>
      <w:r w:rsidR="0041635F" w:rsidRPr="008F21AE">
        <w:rPr>
          <w:rFonts w:ascii="Times New Roman" w:hAnsi="Times New Roman" w:cs="Times New Roman"/>
          <w:sz w:val="28"/>
          <w:szCs w:val="28"/>
        </w:rPr>
        <w:t xml:space="preserve"> regarding their knowledge</w:t>
      </w:r>
      <w:r w:rsidR="00C54EC0" w:rsidRPr="008F21AE">
        <w:rPr>
          <w:rFonts w:ascii="Times New Roman" w:hAnsi="Times New Roman" w:cs="Times New Roman"/>
          <w:sz w:val="28"/>
          <w:szCs w:val="28"/>
        </w:rPr>
        <w:t xml:space="preserve"> of the identity of the successful</w:t>
      </w:r>
      <w:r w:rsidR="0041635F" w:rsidRPr="008F21AE">
        <w:rPr>
          <w:rFonts w:ascii="Times New Roman" w:hAnsi="Times New Roman" w:cs="Times New Roman"/>
          <w:sz w:val="28"/>
          <w:szCs w:val="28"/>
        </w:rPr>
        <w:t xml:space="preserve"> bidder</w:t>
      </w:r>
      <w:r w:rsidR="00877D35" w:rsidRPr="008F21AE">
        <w:rPr>
          <w:rFonts w:ascii="Times New Roman" w:hAnsi="Times New Roman" w:cs="Times New Roman"/>
          <w:sz w:val="28"/>
          <w:szCs w:val="28"/>
        </w:rPr>
        <w:t>,</w:t>
      </w:r>
      <w:r w:rsidR="008C16C4">
        <w:rPr>
          <w:rStyle w:val="FootnoteReference"/>
          <w:rFonts w:ascii="Times New Roman" w:hAnsi="Times New Roman" w:cs="Times New Roman"/>
          <w:sz w:val="28"/>
          <w:szCs w:val="28"/>
        </w:rPr>
        <w:footnoteReference w:id="15"/>
      </w:r>
      <w:r w:rsidR="00877D35" w:rsidRPr="008F21AE">
        <w:rPr>
          <w:rFonts w:ascii="Times New Roman" w:hAnsi="Times New Roman" w:cs="Times New Roman"/>
          <w:sz w:val="28"/>
          <w:szCs w:val="28"/>
        </w:rPr>
        <w:t xml:space="preserve"> that it had misled</w:t>
      </w:r>
      <w:r w:rsidR="00BB424F" w:rsidRPr="008F21AE">
        <w:rPr>
          <w:rFonts w:ascii="Times New Roman" w:hAnsi="Times New Roman" w:cs="Times New Roman"/>
          <w:sz w:val="28"/>
          <w:szCs w:val="28"/>
        </w:rPr>
        <w:t xml:space="preserve"> it</w:t>
      </w:r>
      <w:r w:rsidR="0041635F" w:rsidRPr="008F21AE">
        <w:rPr>
          <w:rFonts w:ascii="Times New Roman" w:hAnsi="Times New Roman" w:cs="Times New Roman"/>
          <w:sz w:val="28"/>
          <w:szCs w:val="28"/>
        </w:rPr>
        <w:t xml:space="preserve"> </w:t>
      </w:r>
      <w:r w:rsidR="0041635F" w:rsidRPr="008F21AE">
        <w:rPr>
          <w:rFonts w:ascii="Times New Roman" w:hAnsi="Times New Roman" w:cs="Times New Roman"/>
          <w:sz w:val="28"/>
          <w:szCs w:val="28"/>
        </w:rPr>
        <w:lastRenderedPageBreak/>
        <w:t>regarding the validity extension period</w:t>
      </w:r>
      <w:r w:rsidR="009A0506" w:rsidRPr="008F21AE">
        <w:rPr>
          <w:rFonts w:ascii="Times New Roman" w:hAnsi="Times New Roman" w:cs="Times New Roman"/>
          <w:sz w:val="28"/>
          <w:szCs w:val="28"/>
        </w:rPr>
        <w:t>;</w:t>
      </w:r>
      <w:r w:rsidR="00B94DE1">
        <w:rPr>
          <w:rStyle w:val="FootnoteReference"/>
          <w:rFonts w:ascii="Times New Roman" w:hAnsi="Times New Roman" w:cs="Times New Roman"/>
          <w:sz w:val="28"/>
          <w:szCs w:val="28"/>
        </w:rPr>
        <w:footnoteReference w:id="16"/>
      </w:r>
      <w:r w:rsidR="00C73D2B" w:rsidRPr="008F21AE">
        <w:rPr>
          <w:rFonts w:ascii="Times New Roman" w:hAnsi="Times New Roman" w:cs="Times New Roman"/>
          <w:sz w:val="28"/>
          <w:szCs w:val="28"/>
        </w:rPr>
        <w:t xml:space="preserve"> that t</w:t>
      </w:r>
      <w:r w:rsidR="009A0506" w:rsidRPr="008F21AE">
        <w:rPr>
          <w:rFonts w:ascii="Times New Roman" w:hAnsi="Times New Roman" w:cs="Times New Roman"/>
          <w:sz w:val="28"/>
          <w:szCs w:val="28"/>
        </w:rPr>
        <w:t xml:space="preserve">he application </w:t>
      </w:r>
      <w:r w:rsidR="00C73D2B" w:rsidRPr="008F21AE">
        <w:rPr>
          <w:rFonts w:ascii="Times New Roman" w:hAnsi="Times New Roman" w:cs="Times New Roman"/>
          <w:sz w:val="28"/>
          <w:szCs w:val="28"/>
        </w:rPr>
        <w:t>was</w:t>
      </w:r>
      <w:r w:rsidR="009A0506" w:rsidRPr="008F21AE">
        <w:rPr>
          <w:rFonts w:ascii="Times New Roman" w:hAnsi="Times New Roman" w:cs="Times New Roman"/>
          <w:sz w:val="28"/>
          <w:szCs w:val="28"/>
        </w:rPr>
        <w:t xml:space="preserve"> an abuse of this </w:t>
      </w:r>
      <w:r w:rsidR="00C73D2B" w:rsidRPr="008F21AE">
        <w:rPr>
          <w:rFonts w:ascii="Times New Roman" w:hAnsi="Times New Roman" w:cs="Times New Roman"/>
          <w:sz w:val="28"/>
          <w:szCs w:val="28"/>
        </w:rPr>
        <w:t>court’s</w:t>
      </w:r>
      <w:r w:rsidR="009A0506" w:rsidRPr="008F21AE">
        <w:rPr>
          <w:rFonts w:ascii="Times New Roman" w:hAnsi="Times New Roman" w:cs="Times New Roman"/>
          <w:sz w:val="28"/>
          <w:szCs w:val="28"/>
        </w:rPr>
        <w:t xml:space="preserve"> processes;</w:t>
      </w:r>
      <w:r w:rsidR="00C73D2B" w:rsidRPr="008F21AE">
        <w:rPr>
          <w:rFonts w:ascii="Times New Roman" w:hAnsi="Times New Roman" w:cs="Times New Roman"/>
          <w:sz w:val="28"/>
          <w:szCs w:val="28"/>
        </w:rPr>
        <w:t xml:space="preserve"> that they had</w:t>
      </w:r>
      <w:r w:rsidR="009A0506" w:rsidRPr="008F21AE">
        <w:rPr>
          <w:rFonts w:ascii="Times New Roman" w:hAnsi="Times New Roman" w:cs="Times New Roman"/>
          <w:sz w:val="28"/>
          <w:szCs w:val="28"/>
        </w:rPr>
        <w:t xml:space="preserve"> not made out a case for the review of the tender award in due course;</w:t>
      </w:r>
      <w:r w:rsidR="00C73D2B" w:rsidRPr="008F21AE">
        <w:rPr>
          <w:rFonts w:ascii="Times New Roman" w:hAnsi="Times New Roman" w:cs="Times New Roman"/>
          <w:sz w:val="28"/>
          <w:szCs w:val="28"/>
        </w:rPr>
        <w:t xml:space="preserve"> and that they had </w:t>
      </w:r>
      <w:r w:rsidR="009A0506" w:rsidRPr="008F21AE">
        <w:rPr>
          <w:rFonts w:ascii="Times New Roman" w:hAnsi="Times New Roman" w:cs="Times New Roman"/>
          <w:sz w:val="28"/>
          <w:szCs w:val="28"/>
        </w:rPr>
        <w:t>not satisfied the requirements for an interim interdict.</w:t>
      </w:r>
    </w:p>
    <w:p w14:paraId="59471B35" w14:textId="77777777" w:rsidR="00BD2A61" w:rsidRPr="00BD2A61" w:rsidRDefault="00BD2A61" w:rsidP="00A10E98">
      <w:pPr>
        <w:pStyle w:val="ListParagraph"/>
        <w:rPr>
          <w:rFonts w:ascii="Times New Roman" w:hAnsi="Times New Roman" w:cs="Times New Roman"/>
          <w:sz w:val="28"/>
          <w:szCs w:val="28"/>
        </w:rPr>
      </w:pPr>
    </w:p>
    <w:p w14:paraId="17EB9BE5" w14:textId="0F1439DB" w:rsidR="00BD2A61"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BD2A61" w:rsidRPr="008F21AE">
        <w:rPr>
          <w:rFonts w:ascii="Times New Roman" w:hAnsi="Times New Roman" w:cs="Times New Roman"/>
          <w:sz w:val="28"/>
          <w:szCs w:val="28"/>
        </w:rPr>
        <w:t xml:space="preserve">The second respondent also opposed the application on the basis of a contrived and abused </w:t>
      </w:r>
      <w:r w:rsidR="00877D35" w:rsidRPr="008F21AE">
        <w:rPr>
          <w:rFonts w:ascii="Times New Roman" w:hAnsi="Times New Roman" w:cs="Times New Roman"/>
          <w:sz w:val="28"/>
          <w:szCs w:val="28"/>
        </w:rPr>
        <w:t>urgency and</w:t>
      </w:r>
      <w:r w:rsidR="00BD2A61" w:rsidRPr="008F21AE">
        <w:rPr>
          <w:rFonts w:ascii="Times New Roman" w:hAnsi="Times New Roman" w:cs="Times New Roman"/>
          <w:sz w:val="28"/>
          <w:szCs w:val="28"/>
        </w:rPr>
        <w:t xml:space="preserve"> </w:t>
      </w:r>
      <w:r w:rsidR="00877D35" w:rsidRPr="008F21AE">
        <w:rPr>
          <w:rFonts w:ascii="Times New Roman" w:hAnsi="Times New Roman" w:cs="Times New Roman"/>
          <w:sz w:val="28"/>
          <w:szCs w:val="28"/>
        </w:rPr>
        <w:t>supposed</w:t>
      </w:r>
      <w:r w:rsidR="00BD2A61" w:rsidRPr="008F21AE">
        <w:rPr>
          <w:rFonts w:ascii="Times New Roman" w:hAnsi="Times New Roman" w:cs="Times New Roman"/>
          <w:sz w:val="28"/>
          <w:szCs w:val="28"/>
        </w:rPr>
        <w:t xml:space="preserve"> non-disclosure</w:t>
      </w:r>
      <w:r w:rsidR="00877D35" w:rsidRPr="008F21AE">
        <w:rPr>
          <w:rFonts w:ascii="Times New Roman" w:hAnsi="Times New Roman" w:cs="Times New Roman"/>
          <w:sz w:val="28"/>
          <w:szCs w:val="28"/>
        </w:rPr>
        <w:t xml:space="preserve"> by the applicants as to its identity.</w:t>
      </w:r>
      <w:r w:rsidR="00877D35">
        <w:rPr>
          <w:rStyle w:val="FootnoteReference"/>
          <w:rFonts w:ascii="Times New Roman" w:hAnsi="Times New Roman" w:cs="Times New Roman"/>
          <w:sz w:val="28"/>
          <w:szCs w:val="28"/>
        </w:rPr>
        <w:footnoteReference w:id="17"/>
      </w:r>
      <w:r w:rsidR="00C73D2B" w:rsidRPr="008F21AE">
        <w:rPr>
          <w:rFonts w:ascii="Times New Roman" w:hAnsi="Times New Roman" w:cs="Times New Roman"/>
          <w:sz w:val="28"/>
          <w:szCs w:val="28"/>
        </w:rPr>
        <w:t xml:space="preserve">  I</w:t>
      </w:r>
      <w:r w:rsidR="00BD2A61" w:rsidRPr="008F21AE">
        <w:rPr>
          <w:rFonts w:ascii="Times New Roman" w:hAnsi="Times New Roman" w:cs="Times New Roman"/>
          <w:sz w:val="28"/>
          <w:szCs w:val="28"/>
        </w:rPr>
        <w:t>n respect of the substantive issues it contende</w:t>
      </w:r>
      <w:r w:rsidR="00C73D2B" w:rsidRPr="008F21AE">
        <w:rPr>
          <w:rFonts w:ascii="Times New Roman" w:hAnsi="Times New Roman" w:cs="Times New Roman"/>
          <w:sz w:val="28"/>
          <w:szCs w:val="28"/>
        </w:rPr>
        <w:t>d that the</w:t>
      </w:r>
      <w:r w:rsidR="00C54EC0" w:rsidRPr="008F21AE">
        <w:rPr>
          <w:rFonts w:ascii="Times New Roman" w:hAnsi="Times New Roman" w:cs="Times New Roman"/>
          <w:sz w:val="28"/>
          <w:szCs w:val="28"/>
        </w:rPr>
        <w:t xml:space="preserve"> applicants’</w:t>
      </w:r>
      <w:r w:rsidR="00C73D2B" w:rsidRPr="008F21AE">
        <w:rPr>
          <w:rFonts w:ascii="Times New Roman" w:hAnsi="Times New Roman" w:cs="Times New Roman"/>
          <w:sz w:val="28"/>
          <w:szCs w:val="28"/>
        </w:rPr>
        <w:t xml:space="preserve"> had not made out t</w:t>
      </w:r>
      <w:r w:rsidR="00BD2A61" w:rsidRPr="008F21AE">
        <w:rPr>
          <w:rFonts w:ascii="Times New Roman" w:hAnsi="Times New Roman" w:cs="Times New Roman"/>
          <w:sz w:val="28"/>
          <w:szCs w:val="28"/>
        </w:rPr>
        <w:t>he requirements for the grant of interim relief.</w:t>
      </w:r>
    </w:p>
    <w:p w14:paraId="56859157" w14:textId="77777777" w:rsidR="00877D35" w:rsidRPr="00877D35" w:rsidRDefault="00877D35" w:rsidP="00877D35">
      <w:pPr>
        <w:pStyle w:val="ListParagraph"/>
        <w:rPr>
          <w:rFonts w:ascii="Times New Roman" w:hAnsi="Times New Roman" w:cs="Times New Roman"/>
          <w:sz w:val="28"/>
          <w:szCs w:val="28"/>
        </w:rPr>
      </w:pPr>
    </w:p>
    <w:p w14:paraId="2217C0E1" w14:textId="4E81935C" w:rsidR="00B94DE1"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B94DE1" w:rsidRPr="008F21AE">
        <w:rPr>
          <w:rFonts w:ascii="Times New Roman" w:hAnsi="Times New Roman" w:cs="Times New Roman"/>
          <w:sz w:val="28"/>
          <w:szCs w:val="28"/>
        </w:rPr>
        <w:t>I looked in vain in the first respondents’ answering affidavit for any positive assertion that the processes the Department had adopted in getting to their decision to award the tender to the second respondent, or the decision itself, met the requirements envisaged by section 217 of the Constitution.  Ironically it put the applicants to the proof of establishing the converse.</w:t>
      </w:r>
    </w:p>
    <w:p w14:paraId="044F3B1A" w14:textId="77777777" w:rsidR="00B94DE1" w:rsidRPr="00B94DE1" w:rsidRDefault="00B94DE1" w:rsidP="00B94DE1">
      <w:pPr>
        <w:pStyle w:val="ListParagraph"/>
        <w:rPr>
          <w:rFonts w:ascii="Times New Roman" w:hAnsi="Times New Roman" w:cs="Times New Roman"/>
          <w:sz w:val="28"/>
          <w:szCs w:val="28"/>
        </w:rPr>
      </w:pPr>
    </w:p>
    <w:p w14:paraId="0C6A6C60" w14:textId="42AE523C" w:rsidR="009B160D"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B94DE1" w:rsidRPr="008F21AE">
        <w:rPr>
          <w:rFonts w:ascii="Times New Roman" w:hAnsi="Times New Roman" w:cs="Times New Roman"/>
          <w:sz w:val="28"/>
          <w:szCs w:val="28"/>
        </w:rPr>
        <w:t>Further, what the first</w:t>
      </w:r>
      <w:r w:rsidR="00877D35" w:rsidRPr="008F21AE">
        <w:rPr>
          <w:rFonts w:ascii="Times New Roman" w:hAnsi="Times New Roman" w:cs="Times New Roman"/>
          <w:sz w:val="28"/>
          <w:szCs w:val="28"/>
        </w:rPr>
        <w:t xml:space="preserve"> respondent </w:t>
      </w:r>
      <w:r w:rsidR="00B94DE1" w:rsidRPr="008F21AE">
        <w:rPr>
          <w:rFonts w:ascii="Times New Roman" w:hAnsi="Times New Roman" w:cs="Times New Roman"/>
          <w:sz w:val="28"/>
          <w:szCs w:val="28"/>
        </w:rPr>
        <w:t xml:space="preserve">never </w:t>
      </w:r>
      <w:r w:rsidR="00877D35" w:rsidRPr="008F21AE">
        <w:rPr>
          <w:rFonts w:ascii="Times New Roman" w:hAnsi="Times New Roman" w:cs="Times New Roman"/>
          <w:sz w:val="28"/>
          <w:szCs w:val="28"/>
        </w:rPr>
        <w:t xml:space="preserve">said and was notably absent </w:t>
      </w:r>
      <w:r w:rsidR="00FF4258" w:rsidRPr="008F21AE">
        <w:rPr>
          <w:rFonts w:ascii="Times New Roman" w:hAnsi="Times New Roman" w:cs="Times New Roman"/>
          <w:sz w:val="28"/>
          <w:szCs w:val="28"/>
        </w:rPr>
        <w:t xml:space="preserve">from the answering papers, </w:t>
      </w:r>
      <w:r w:rsidR="00877D35" w:rsidRPr="008F21AE">
        <w:rPr>
          <w:rFonts w:ascii="Times New Roman" w:hAnsi="Times New Roman" w:cs="Times New Roman"/>
          <w:sz w:val="28"/>
          <w:szCs w:val="28"/>
        </w:rPr>
        <w:t xml:space="preserve">is that the second respondent’s bid </w:t>
      </w:r>
      <w:r w:rsidR="00B94DE1" w:rsidRPr="008F21AE">
        <w:rPr>
          <w:rFonts w:ascii="Times New Roman" w:hAnsi="Times New Roman" w:cs="Times New Roman"/>
          <w:sz w:val="28"/>
          <w:szCs w:val="28"/>
        </w:rPr>
        <w:t>had been</w:t>
      </w:r>
      <w:r w:rsidR="00877D35" w:rsidRPr="008F21AE">
        <w:rPr>
          <w:rFonts w:ascii="Times New Roman" w:hAnsi="Times New Roman" w:cs="Times New Roman"/>
          <w:sz w:val="28"/>
          <w:szCs w:val="28"/>
        </w:rPr>
        <w:t xml:space="preserve"> compliant in all respects</w:t>
      </w:r>
      <w:r w:rsidR="0028122E" w:rsidRPr="008F21AE">
        <w:rPr>
          <w:rFonts w:ascii="Times New Roman" w:hAnsi="Times New Roman" w:cs="Times New Roman"/>
          <w:sz w:val="28"/>
          <w:szCs w:val="28"/>
        </w:rPr>
        <w:t xml:space="preserve">. </w:t>
      </w:r>
      <w:r w:rsidR="00FF4258" w:rsidRPr="008F21AE">
        <w:rPr>
          <w:rFonts w:ascii="Times New Roman" w:hAnsi="Times New Roman" w:cs="Times New Roman"/>
          <w:sz w:val="28"/>
          <w:szCs w:val="28"/>
        </w:rPr>
        <w:t>Indeed, the two respondents appeared to be at opposite ends in one important respect, namely whether it was a requirement or not of the tender that it had to be established in the Gqeberha area.  The Department defended its success on the basis that it was a preference not a requirement yet the latter boasted that it had met the requirement! The first respondent also never unequivocally asserted in respect of each of the applicants that their bids were nonresponsive or on what basis exactly, objectively assessed from the actual documentation filed with the Department. Of concern</w:t>
      </w:r>
      <w:r w:rsidR="00D54DBB" w:rsidRPr="008F21AE">
        <w:rPr>
          <w:rFonts w:ascii="Times New Roman" w:hAnsi="Times New Roman" w:cs="Times New Roman"/>
          <w:sz w:val="28"/>
          <w:szCs w:val="28"/>
        </w:rPr>
        <w:t xml:space="preserve"> was the fact that</w:t>
      </w:r>
      <w:r w:rsidR="00FF4258" w:rsidRPr="008F21AE">
        <w:rPr>
          <w:rFonts w:ascii="Times New Roman" w:hAnsi="Times New Roman" w:cs="Times New Roman"/>
          <w:sz w:val="28"/>
          <w:szCs w:val="28"/>
        </w:rPr>
        <w:t xml:space="preserve"> both respondents appeared to expect the applicants to prove in a vacuum that their bids </w:t>
      </w:r>
      <w:r w:rsidR="00FF4258" w:rsidRPr="008F21AE">
        <w:rPr>
          <w:rFonts w:ascii="Times New Roman" w:hAnsi="Times New Roman" w:cs="Times New Roman"/>
          <w:sz w:val="28"/>
          <w:szCs w:val="28"/>
        </w:rPr>
        <w:lastRenderedPageBreak/>
        <w:t xml:space="preserve">were </w:t>
      </w:r>
      <w:r w:rsidR="009E52F4" w:rsidRPr="008F21AE">
        <w:rPr>
          <w:rFonts w:ascii="Times New Roman" w:hAnsi="Times New Roman" w:cs="Times New Roman"/>
          <w:sz w:val="28"/>
          <w:szCs w:val="28"/>
        </w:rPr>
        <w:t>compliant and</w:t>
      </w:r>
      <w:r w:rsidR="00FF4258" w:rsidRPr="008F21AE">
        <w:rPr>
          <w:rFonts w:ascii="Times New Roman" w:hAnsi="Times New Roman" w:cs="Times New Roman"/>
          <w:sz w:val="28"/>
          <w:szCs w:val="28"/>
        </w:rPr>
        <w:t xml:space="preserve"> had a go at them for not doing so.  I wondered why the second respondent could have any opinion about this at all </w:t>
      </w:r>
      <w:r w:rsidR="009B160D" w:rsidRPr="008F21AE">
        <w:rPr>
          <w:rFonts w:ascii="Times New Roman" w:hAnsi="Times New Roman" w:cs="Times New Roman"/>
          <w:sz w:val="28"/>
          <w:szCs w:val="28"/>
        </w:rPr>
        <w:t>since it could not have been privy to  what documents had or had not been placed before the Department neither was it its call from a tender adjudication point of view to sit in judgment on the status of each of the applicant’s bids.</w:t>
      </w:r>
    </w:p>
    <w:p w14:paraId="3008A3ED" w14:textId="4BD3838C" w:rsidR="00877D35" w:rsidRDefault="009B160D" w:rsidP="009B160D">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14:paraId="3B0BB961" w14:textId="082C8542" w:rsidR="009B160D"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D54DBB" w:rsidRPr="008F21AE">
        <w:rPr>
          <w:rFonts w:ascii="Times New Roman" w:hAnsi="Times New Roman" w:cs="Times New Roman"/>
          <w:sz w:val="28"/>
          <w:szCs w:val="28"/>
        </w:rPr>
        <w:t>T</w:t>
      </w:r>
      <w:r w:rsidR="009B160D" w:rsidRPr="008F21AE">
        <w:rPr>
          <w:rFonts w:ascii="Times New Roman" w:hAnsi="Times New Roman" w:cs="Times New Roman"/>
          <w:sz w:val="28"/>
          <w:szCs w:val="28"/>
        </w:rPr>
        <w:t>he second respondent</w:t>
      </w:r>
      <w:r w:rsidR="00D54DBB" w:rsidRPr="008F21AE">
        <w:rPr>
          <w:rFonts w:ascii="Times New Roman" w:hAnsi="Times New Roman" w:cs="Times New Roman"/>
          <w:sz w:val="28"/>
          <w:szCs w:val="28"/>
        </w:rPr>
        <w:t>’s insistence</w:t>
      </w:r>
      <w:r w:rsidR="009B160D" w:rsidRPr="008F21AE">
        <w:rPr>
          <w:rFonts w:ascii="Times New Roman" w:hAnsi="Times New Roman" w:cs="Times New Roman"/>
          <w:sz w:val="28"/>
          <w:szCs w:val="28"/>
        </w:rPr>
        <w:t xml:space="preserve"> that the first applicant did not have the requisite experience </w:t>
      </w:r>
      <w:r w:rsidR="0018331D" w:rsidRPr="008F21AE">
        <w:rPr>
          <w:rFonts w:ascii="Times New Roman" w:hAnsi="Times New Roman" w:cs="Times New Roman"/>
          <w:sz w:val="28"/>
          <w:szCs w:val="28"/>
        </w:rPr>
        <w:t>(a further issue that it could not naturally have been privy to</w:t>
      </w:r>
      <w:r w:rsidR="00D54DBB" w:rsidRPr="008F21AE">
        <w:rPr>
          <w:rFonts w:ascii="Times New Roman" w:hAnsi="Times New Roman" w:cs="Times New Roman"/>
          <w:sz w:val="28"/>
          <w:szCs w:val="28"/>
        </w:rPr>
        <w:t xml:space="preserve"> because it was not its obligation to consider and award the tender</w:t>
      </w:r>
      <w:r w:rsidR="0018331D" w:rsidRPr="008F21AE">
        <w:rPr>
          <w:rFonts w:ascii="Times New Roman" w:hAnsi="Times New Roman" w:cs="Times New Roman"/>
          <w:sz w:val="28"/>
          <w:szCs w:val="28"/>
        </w:rPr>
        <w:t xml:space="preserve">) </w:t>
      </w:r>
      <w:r w:rsidR="009B160D" w:rsidRPr="008F21AE">
        <w:rPr>
          <w:rFonts w:ascii="Times New Roman" w:hAnsi="Times New Roman" w:cs="Times New Roman"/>
          <w:sz w:val="28"/>
          <w:szCs w:val="28"/>
        </w:rPr>
        <w:t xml:space="preserve">appeared to be </w:t>
      </w:r>
      <w:r w:rsidR="00D54DBB" w:rsidRPr="008F21AE">
        <w:rPr>
          <w:rFonts w:ascii="Times New Roman" w:hAnsi="Times New Roman" w:cs="Times New Roman"/>
          <w:sz w:val="28"/>
          <w:szCs w:val="28"/>
        </w:rPr>
        <w:t>contrived</w:t>
      </w:r>
      <w:r w:rsidR="009B160D" w:rsidRPr="008F21AE">
        <w:rPr>
          <w:rFonts w:ascii="Times New Roman" w:hAnsi="Times New Roman" w:cs="Times New Roman"/>
          <w:sz w:val="28"/>
          <w:szCs w:val="28"/>
        </w:rPr>
        <w:t xml:space="preserve"> because a perusal of the tender invitation requires five years of experience in the industry (as opposed </w:t>
      </w:r>
      <w:r w:rsidR="0018331D" w:rsidRPr="008F21AE">
        <w:rPr>
          <w:rFonts w:ascii="Times New Roman" w:hAnsi="Times New Roman" w:cs="Times New Roman"/>
          <w:sz w:val="28"/>
          <w:szCs w:val="28"/>
        </w:rPr>
        <w:t>to</w:t>
      </w:r>
      <w:r w:rsidR="009B160D" w:rsidRPr="008F21AE">
        <w:rPr>
          <w:rFonts w:ascii="Times New Roman" w:hAnsi="Times New Roman" w:cs="Times New Roman"/>
          <w:sz w:val="28"/>
          <w:szCs w:val="28"/>
        </w:rPr>
        <w:t xml:space="preserve"> with the </w:t>
      </w:r>
      <w:r w:rsidR="0018331D" w:rsidRPr="008F21AE">
        <w:rPr>
          <w:rFonts w:ascii="Times New Roman" w:hAnsi="Times New Roman" w:cs="Times New Roman"/>
          <w:sz w:val="28"/>
          <w:szCs w:val="28"/>
        </w:rPr>
        <w:t>D</w:t>
      </w:r>
      <w:r w:rsidR="009B160D" w:rsidRPr="008F21AE">
        <w:rPr>
          <w:rFonts w:ascii="Times New Roman" w:hAnsi="Times New Roman" w:cs="Times New Roman"/>
          <w:sz w:val="28"/>
          <w:szCs w:val="28"/>
        </w:rPr>
        <w:t xml:space="preserve">epartment itself).  Ironically </w:t>
      </w:r>
      <w:r w:rsidR="009E52F4" w:rsidRPr="008F21AE">
        <w:rPr>
          <w:rFonts w:ascii="Times New Roman" w:hAnsi="Times New Roman" w:cs="Times New Roman"/>
          <w:sz w:val="28"/>
          <w:szCs w:val="28"/>
        </w:rPr>
        <w:t>the second respondent</w:t>
      </w:r>
      <w:r w:rsidR="009B160D" w:rsidRPr="008F21AE">
        <w:rPr>
          <w:rFonts w:ascii="Times New Roman" w:hAnsi="Times New Roman" w:cs="Times New Roman"/>
          <w:sz w:val="28"/>
          <w:szCs w:val="28"/>
        </w:rPr>
        <w:t xml:space="preserve"> never asserted that </w:t>
      </w:r>
      <w:r w:rsidR="009E52F4" w:rsidRPr="008F21AE">
        <w:rPr>
          <w:rFonts w:ascii="Times New Roman" w:hAnsi="Times New Roman" w:cs="Times New Roman"/>
          <w:sz w:val="28"/>
          <w:szCs w:val="28"/>
        </w:rPr>
        <w:t>the entity</w:t>
      </w:r>
      <w:r w:rsidR="009B160D" w:rsidRPr="008F21AE">
        <w:rPr>
          <w:rFonts w:ascii="Times New Roman" w:hAnsi="Times New Roman" w:cs="Times New Roman"/>
          <w:sz w:val="28"/>
          <w:szCs w:val="28"/>
        </w:rPr>
        <w:t xml:space="preserve"> </w:t>
      </w:r>
      <w:r w:rsidR="0018331D" w:rsidRPr="008F21AE">
        <w:rPr>
          <w:rFonts w:ascii="Times New Roman" w:hAnsi="Times New Roman" w:cs="Times New Roman"/>
          <w:sz w:val="28"/>
          <w:szCs w:val="28"/>
        </w:rPr>
        <w:t xml:space="preserve">itself </w:t>
      </w:r>
      <w:r w:rsidR="009B160D" w:rsidRPr="008F21AE">
        <w:rPr>
          <w:rFonts w:ascii="Times New Roman" w:hAnsi="Times New Roman" w:cs="Times New Roman"/>
          <w:sz w:val="28"/>
          <w:szCs w:val="28"/>
        </w:rPr>
        <w:t xml:space="preserve">was compliant in this respect. </w:t>
      </w:r>
      <w:r w:rsidR="009E52F4" w:rsidRPr="008F21AE">
        <w:rPr>
          <w:rFonts w:ascii="Times New Roman" w:hAnsi="Times New Roman" w:cs="Times New Roman"/>
          <w:sz w:val="28"/>
          <w:szCs w:val="28"/>
        </w:rPr>
        <w:t>(</w:t>
      </w:r>
      <w:r w:rsidR="0018331D" w:rsidRPr="008F21AE">
        <w:rPr>
          <w:rFonts w:ascii="Times New Roman" w:hAnsi="Times New Roman" w:cs="Times New Roman"/>
          <w:sz w:val="28"/>
          <w:szCs w:val="28"/>
        </w:rPr>
        <w:t xml:space="preserve">Ms Crouse was well minded in my view to point out the irony that the respondents could not even be bothered to reflect the formal registration number of the second respondent so that the date of the entity’s own registration </w:t>
      </w:r>
      <w:r w:rsidR="00DE2F06" w:rsidRPr="008F21AE">
        <w:rPr>
          <w:rFonts w:ascii="Times New Roman" w:hAnsi="Times New Roman" w:cs="Times New Roman"/>
          <w:sz w:val="28"/>
          <w:szCs w:val="28"/>
        </w:rPr>
        <w:t>c</w:t>
      </w:r>
      <w:r w:rsidR="0018331D" w:rsidRPr="008F21AE">
        <w:rPr>
          <w:rFonts w:ascii="Times New Roman" w:hAnsi="Times New Roman" w:cs="Times New Roman"/>
          <w:sz w:val="28"/>
          <w:szCs w:val="28"/>
        </w:rPr>
        <w:t xml:space="preserve">ould be established at a glance.  </w:t>
      </w:r>
      <w:r w:rsidR="00D54DBB" w:rsidRPr="008F21AE">
        <w:rPr>
          <w:rFonts w:ascii="Times New Roman" w:hAnsi="Times New Roman" w:cs="Times New Roman"/>
          <w:sz w:val="28"/>
          <w:szCs w:val="28"/>
        </w:rPr>
        <w:t xml:space="preserve">Even in the </w:t>
      </w:r>
      <w:r w:rsidR="009E52F4" w:rsidRPr="008F21AE">
        <w:rPr>
          <w:rFonts w:ascii="Times New Roman" w:hAnsi="Times New Roman" w:cs="Times New Roman"/>
          <w:sz w:val="28"/>
          <w:szCs w:val="28"/>
        </w:rPr>
        <w:t xml:space="preserve">Tender </w:t>
      </w:r>
      <w:r w:rsidR="00D54DBB" w:rsidRPr="008F21AE">
        <w:rPr>
          <w:rFonts w:ascii="Times New Roman" w:hAnsi="Times New Roman" w:cs="Times New Roman"/>
          <w:sz w:val="28"/>
          <w:szCs w:val="28"/>
        </w:rPr>
        <w:t>Bulletin, intended by the Treasury to promote</w:t>
      </w:r>
      <w:r w:rsidR="009E52F4" w:rsidRPr="008F21AE">
        <w:rPr>
          <w:rFonts w:ascii="Times New Roman" w:hAnsi="Times New Roman" w:cs="Times New Roman"/>
          <w:sz w:val="28"/>
          <w:szCs w:val="28"/>
        </w:rPr>
        <w:t xml:space="preserve"> openness and transparency, a useful description of the close corporation eludes a reader.)</w:t>
      </w:r>
    </w:p>
    <w:p w14:paraId="4916A07B" w14:textId="77777777" w:rsidR="0018331D" w:rsidRPr="0018331D" w:rsidRDefault="0018331D" w:rsidP="0018331D">
      <w:pPr>
        <w:pStyle w:val="ListParagraph"/>
        <w:rPr>
          <w:rFonts w:ascii="Times New Roman" w:hAnsi="Times New Roman" w:cs="Times New Roman"/>
          <w:sz w:val="28"/>
          <w:szCs w:val="28"/>
        </w:rPr>
      </w:pPr>
    </w:p>
    <w:p w14:paraId="6C31AF15" w14:textId="4EBE445C" w:rsidR="0018331D"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9E52F4" w:rsidRPr="008F21AE">
        <w:rPr>
          <w:rFonts w:ascii="Times New Roman" w:hAnsi="Times New Roman" w:cs="Times New Roman"/>
          <w:sz w:val="28"/>
          <w:szCs w:val="28"/>
        </w:rPr>
        <w:t>The respondents’</w:t>
      </w:r>
      <w:r w:rsidR="0018331D" w:rsidRPr="008F21AE">
        <w:rPr>
          <w:rFonts w:ascii="Times New Roman" w:hAnsi="Times New Roman" w:cs="Times New Roman"/>
          <w:sz w:val="28"/>
          <w:szCs w:val="28"/>
        </w:rPr>
        <w:t xml:space="preserve"> </w:t>
      </w:r>
      <w:r w:rsidR="009E52F4" w:rsidRPr="008F21AE">
        <w:rPr>
          <w:rFonts w:ascii="Times New Roman" w:hAnsi="Times New Roman" w:cs="Times New Roman"/>
          <w:sz w:val="28"/>
          <w:szCs w:val="28"/>
        </w:rPr>
        <w:t>criticism of</w:t>
      </w:r>
      <w:r w:rsidR="0018331D" w:rsidRPr="008F21AE">
        <w:rPr>
          <w:rFonts w:ascii="Times New Roman" w:hAnsi="Times New Roman" w:cs="Times New Roman"/>
          <w:sz w:val="28"/>
          <w:szCs w:val="28"/>
        </w:rPr>
        <w:t xml:space="preserve"> the first applicant that the Department of Labour’s certificate of good standing does not reflect that the entity is covered thereby because of a slight difference in name (despite </w:t>
      </w:r>
      <w:r w:rsidR="009E52F4" w:rsidRPr="008F21AE">
        <w:rPr>
          <w:rFonts w:ascii="Times New Roman" w:hAnsi="Times New Roman" w:cs="Times New Roman"/>
          <w:sz w:val="28"/>
          <w:szCs w:val="28"/>
        </w:rPr>
        <w:t xml:space="preserve">the </w:t>
      </w:r>
      <w:r w:rsidR="0018331D" w:rsidRPr="008F21AE">
        <w:rPr>
          <w:rFonts w:ascii="Times New Roman" w:hAnsi="Times New Roman" w:cs="Times New Roman"/>
          <w:sz w:val="28"/>
          <w:szCs w:val="28"/>
        </w:rPr>
        <w:t>registration number</w:t>
      </w:r>
      <w:r w:rsidR="009E52F4" w:rsidRPr="008F21AE">
        <w:rPr>
          <w:rFonts w:ascii="Times New Roman" w:hAnsi="Times New Roman" w:cs="Times New Roman"/>
          <w:sz w:val="28"/>
          <w:szCs w:val="28"/>
        </w:rPr>
        <w:t xml:space="preserve"> of the first applicant matching the details of the company vouched for by the certificate</w:t>
      </w:r>
      <w:r w:rsidR="0018331D" w:rsidRPr="008F21AE">
        <w:rPr>
          <w:rFonts w:ascii="Times New Roman" w:hAnsi="Times New Roman" w:cs="Times New Roman"/>
          <w:sz w:val="28"/>
          <w:szCs w:val="28"/>
        </w:rPr>
        <w:t xml:space="preserve">) </w:t>
      </w:r>
      <w:r w:rsidR="00FD2EFB" w:rsidRPr="008F21AE">
        <w:rPr>
          <w:rFonts w:ascii="Times New Roman" w:hAnsi="Times New Roman" w:cs="Times New Roman"/>
          <w:sz w:val="28"/>
          <w:szCs w:val="28"/>
        </w:rPr>
        <w:t xml:space="preserve">also reflected the extent to which the second respondent was prepared to move the court away from the real issue in this matter which is that </w:t>
      </w:r>
      <w:r w:rsidR="00051290" w:rsidRPr="008F21AE">
        <w:rPr>
          <w:rFonts w:ascii="Times New Roman" w:hAnsi="Times New Roman" w:cs="Times New Roman"/>
          <w:sz w:val="28"/>
          <w:szCs w:val="28"/>
        </w:rPr>
        <w:t xml:space="preserve">the </w:t>
      </w:r>
      <w:r w:rsidR="00FD2EFB" w:rsidRPr="008F21AE">
        <w:rPr>
          <w:rFonts w:ascii="Times New Roman" w:hAnsi="Times New Roman" w:cs="Times New Roman"/>
          <w:sz w:val="28"/>
          <w:szCs w:val="28"/>
        </w:rPr>
        <w:t xml:space="preserve">first respondent had fallen </w:t>
      </w:r>
      <w:r w:rsidR="003C7BBC" w:rsidRPr="008F21AE">
        <w:rPr>
          <w:rFonts w:ascii="Times New Roman" w:hAnsi="Times New Roman" w:cs="Times New Roman"/>
          <w:sz w:val="28"/>
          <w:szCs w:val="28"/>
        </w:rPr>
        <w:t xml:space="preserve">woefully </w:t>
      </w:r>
      <w:r w:rsidR="00FD2EFB" w:rsidRPr="008F21AE">
        <w:rPr>
          <w:rFonts w:ascii="Times New Roman" w:hAnsi="Times New Roman" w:cs="Times New Roman"/>
          <w:sz w:val="28"/>
          <w:szCs w:val="28"/>
        </w:rPr>
        <w:t xml:space="preserve">short in </w:t>
      </w:r>
      <w:r w:rsidR="003C7BBC" w:rsidRPr="008F21AE">
        <w:rPr>
          <w:rFonts w:ascii="Times New Roman" w:hAnsi="Times New Roman" w:cs="Times New Roman"/>
          <w:sz w:val="28"/>
          <w:szCs w:val="28"/>
        </w:rPr>
        <w:t>explaining or justifying why the first applicant had fallen out of the competitive race</w:t>
      </w:r>
      <w:r w:rsidR="00051290" w:rsidRPr="008F21AE">
        <w:rPr>
          <w:rFonts w:ascii="Times New Roman" w:hAnsi="Times New Roman" w:cs="Times New Roman"/>
          <w:sz w:val="28"/>
          <w:szCs w:val="28"/>
        </w:rPr>
        <w:t xml:space="preserve">.  Evidently the certificate had served the first applicant well up to that point (it would be of concern if the Department had contracted with it without it being properly registered for labour </w:t>
      </w:r>
      <w:r w:rsidR="00051290" w:rsidRPr="008F21AE">
        <w:rPr>
          <w:rFonts w:ascii="Times New Roman" w:hAnsi="Times New Roman" w:cs="Times New Roman"/>
          <w:sz w:val="28"/>
          <w:szCs w:val="28"/>
        </w:rPr>
        <w:lastRenderedPageBreak/>
        <w:t xml:space="preserve">purposes) so the respondents’ </w:t>
      </w:r>
      <w:r w:rsidR="002544E1" w:rsidRPr="008F21AE">
        <w:rPr>
          <w:rFonts w:ascii="Times New Roman" w:hAnsi="Times New Roman" w:cs="Times New Roman"/>
          <w:sz w:val="28"/>
          <w:szCs w:val="28"/>
        </w:rPr>
        <w:t xml:space="preserve">common </w:t>
      </w:r>
      <w:r w:rsidR="00051290" w:rsidRPr="008F21AE">
        <w:rPr>
          <w:rFonts w:ascii="Times New Roman" w:hAnsi="Times New Roman" w:cs="Times New Roman"/>
          <w:sz w:val="28"/>
          <w:szCs w:val="28"/>
        </w:rPr>
        <w:t xml:space="preserve">attack of it in this manner </w:t>
      </w:r>
      <w:r w:rsidR="00DE2F06" w:rsidRPr="008F21AE">
        <w:rPr>
          <w:rFonts w:ascii="Times New Roman" w:hAnsi="Times New Roman" w:cs="Times New Roman"/>
          <w:sz w:val="28"/>
          <w:szCs w:val="28"/>
        </w:rPr>
        <w:t>stood out of place</w:t>
      </w:r>
      <w:r w:rsidR="002544E1" w:rsidRPr="008F21AE">
        <w:rPr>
          <w:rFonts w:ascii="Times New Roman" w:hAnsi="Times New Roman" w:cs="Times New Roman"/>
          <w:sz w:val="28"/>
          <w:szCs w:val="28"/>
        </w:rPr>
        <w:t>.</w:t>
      </w:r>
    </w:p>
    <w:p w14:paraId="16C079AC" w14:textId="77777777" w:rsidR="003C7BBC" w:rsidRPr="003C7BBC" w:rsidRDefault="003C7BBC" w:rsidP="003C7BBC">
      <w:pPr>
        <w:pStyle w:val="ListParagraph"/>
        <w:rPr>
          <w:rFonts w:ascii="Times New Roman" w:hAnsi="Times New Roman" w:cs="Times New Roman"/>
          <w:sz w:val="28"/>
          <w:szCs w:val="28"/>
        </w:rPr>
      </w:pPr>
    </w:p>
    <w:p w14:paraId="44C85949" w14:textId="507B348E" w:rsidR="00BD2A61"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2544E1" w:rsidRPr="008F21AE">
        <w:rPr>
          <w:rFonts w:ascii="Times New Roman" w:hAnsi="Times New Roman" w:cs="Times New Roman"/>
          <w:sz w:val="28"/>
          <w:szCs w:val="28"/>
        </w:rPr>
        <w:t>Concerning the trite established principles for the grant of an interim interdict, t</w:t>
      </w:r>
      <w:r w:rsidR="003C7BBC" w:rsidRPr="008F21AE">
        <w:rPr>
          <w:rFonts w:ascii="Times New Roman" w:hAnsi="Times New Roman" w:cs="Times New Roman"/>
          <w:sz w:val="28"/>
          <w:szCs w:val="28"/>
        </w:rPr>
        <w:t xml:space="preserve">he respondents appeared to miss the premise for the interdict, or </w:t>
      </w:r>
      <w:r w:rsidR="002544E1" w:rsidRPr="008F21AE">
        <w:rPr>
          <w:rFonts w:ascii="Times New Roman" w:hAnsi="Times New Roman" w:cs="Times New Roman"/>
          <w:sz w:val="28"/>
          <w:szCs w:val="28"/>
        </w:rPr>
        <w:t xml:space="preserve">at least </w:t>
      </w:r>
      <w:r w:rsidR="003C7BBC" w:rsidRPr="008F21AE">
        <w:rPr>
          <w:rFonts w:ascii="Times New Roman" w:hAnsi="Times New Roman" w:cs="Times New Roman"/>
          <w:sz w:val="28"/>
          <w:szCs w:val="28"/>
        </w:rPr>
        <w:t xml:space="preserve">the </w:t>
      </w:r>
      <w:r w:rsidR="003C7BBC" w:rsidRPr="008F21AE">
        <w:rPr>
          <w:rFonts w:ascii="Times New Roman" w:hAnsi="Times New Roman" w:cs="Times New Roman"/>
          <w:i/>
          <w:iCs/>
          <w:sz w:val="28"/>
          <w:szCs w:val="28"/>
        </w:rPr>
        <w:t>prima facie</w:t>
      </w:r>
      <w:r w:rsidR="003C7BBC" w:rsidRPr="008F21AE">
        <w:rPr>
          <w:rFonts w:ascii="Times New Roman" w:hAnsi="Times New Roman" w:cs="Times New Roman"/>
          <w:sz w:val="28"/>
          <w:szCs w:val="28"/>
        </w:rPr>
        <w:t xml:space="preserve"> right relied upon by the applicants</w:t>
      </w:r>
      <w:r w:rsidR="002544E1" w:rsidRPr="008F21AE">
        <w:rPr>
          <w:rFonts w:ascii="Times New Roman" w:hAnsi="Times New Roman" w:cs="Times New Roman"/>
          <w:sz w:val="28"/>
          <w:szCs w:val="28"/>
        </w:rPr>
        <w:t>, to assert their entitlement to the relief sought.</w:t>
      </w:r>
      <w:r w:rsidR="003C7BBC" w:rsidRPr="008F21AE">
        <w:rPr>
          <w:rFonts w:ascii="Times New Roman" w:hAnsi="Times New Roman" w:cs="Times New Roman"/>
          <w:sz w:val="28"/>
          <w:szCs w:val="28"/>
        </w:rPr>
        <w:t xml:space="preserve"> </w:t>
      </w:r>
    </w:p>
    <w:p w14:paraId="1EA8149A" w14:textId="77777777" w:rsidR="003C7BBC" w:rsidRPr="003C7BBC" w:rsidRDefault="003C7BBC" w:rsidP="003C7BBC">
      <w:pPr>
        <w:pStyle w:val="ListParagraph"/>
        <w:rPr>
          <w:rFonts w:ascii="Times New Roman" w:hAnsi="Times New Roman" w:cs="Times New Roman"/>
          <w:sz w:val="28"/>
          <w:szCs w:val="28"/>
        </w:rPr>
      </w:pPr>
    </w:p>
    <w:p w14:paraId="403DD1D8" w14:textId="210AFECC" w:rsidR="003C7BBC" w:rsidRPr="008F21AE" w:rsidRDefault="008F21AE" w:rsidP="008F21AE">
      <w:pPr>
        <w:spacing w:line="360" w:lineRule="auto"/>
        <w:jc w:val="both"/>
        <w:rPr>
          <w:rFonts w:ascii="Times New Roman" w:hAnsi="Times New Roman" w:cs="Times New Roman"/>
          <w:sz w:val="28"/>
          <w:szCs w:val="28"/>
        </w:rPr>
      </w:pPr>
      <w:r w:rsidRPr="00F90252">
        <w:rPr>
          <w:rFonts w:ascii="Times New Roman" w:hAnsi="Times New Roman" w:cs="Times New Roman"/>
          <w:sz w:val="28"/>
          <w:szCs w:val="28"/>
        </w:rPr>
        <w:t>[29]</w:t>
      </w:r>
      <w:r w:rsidRPr="00F90252">
        <w:rPr>
          <w:rFonts w:ascii="Times New Roman" w:hAnsi="Times New Roman" w:cs="Times New Roman"/>
          <w:sz w:val="28"/>
          <w:szCs w:val="28"/>
        </w:rPr>
        <w:tab/>
      </w:r>
      <w:r w:rsidR="003C7BBC" w:rsidRPr="008F21AE">
        <w:rPr>
          <w:rFonts w:ascii="Times New Roman" w:hAnsi="Times New Roman" w:cs="Times New Roman"/>
          <w:sz w:val="28"/>
          <w:szCs w:val="28"/>
        </w:rPr>
        <w:t xml:space="preserve">In </w:t>
      </w:r>
      <w:r w:rsidR="003C7BBC" w:rsidRPr="008F21AE">
        <w:rPr>
          <w:rFonts w:ascii="Times New Roman" w:eastAsia="Times New Roman" w:hAnsi="Times New Roman" w:cs="Times New Roman"/>
          <w:sz w:val="28"/>
          <w:szCs w:val="28"/>
        </w:rPr>
        <w:t>Down Touch Investments (Pty) Ltd and Another v South African National Road Agency SOC Limited and Another</w:t>
      </w:r>
      <w:r w:rsidR="003C7BBC" w:rsidRPr="003C7BBC">
        <w:rPr>
          <w:rStyle w:val="FootnoteReference"/>
          <w:rFonts w:ascii="Times New Roman" w:eastAsia="Times New Roman" w:hAnsi="Times New Roman" w:cs="Times New Roman"/>
          <w:sz w:val="28"/>
          <w:szCs w:val="28"/>
        </w:rPr>
        <w:footnoteReference w:id="18"/>
      </w:r>
      <w:r w:rsidR="003C7BBC" w:rsidRPr="008F21AE">
        <w:rPr>
          <w:rFonts w:ascii="Times New Roman" w:eastAsia="Times New Roman" w:hAnsi="Times New Roman" w:cs="Times New Roman"/>
          <w:sz w:val="28"/>
          <w:szCs w:val="28"/>
        </w:rPr>
        <w:t xml:space="preserve"> the court had reason in a similar matter </w:t>
      </w:r>
      <w:r w:rsidR="00F90252" w:rsidRPr="008F21AE">
        <w:rPr>
          <w:rFonts w:ascii="Times New Roman" w:eastAsia="Times New Roman" w:hAnsi="Times New Roman" w:cs="Times New Roman"/>
          <w:sz w:val="28"/>
          <w:szCs w:val="28"/>
        </w:rPr>
        <w:t xml:space="preserve">to </w:t>
      </w:r>
      <w:r w:rsidR="002544E1" w:rsidRPr="008F21AE">
        <w:rPr>
          <w:rFonts w:ascii="Times New Roman" w:eastAsia="Times New Roman" w:hAnsi="Times New Roman" w:cs="Times New Roman"/>
          <w:sz w:val="28"/>
          <w:szCs w:val="28"/>
        </w:rPr>
        <w:t>reflect upon</w:t>
      </w:r>
      <w:r w:rsidR="00F90252" w:rsidRPr="008F21AE">
        <w:rPr>
          <w:rFonts w:ascii="Times New Roman" w:eastAsia="Times New Roman" w:hAnsi="Times New Roman" w:cs="Times New Roman"/>
          <w:sz w:val="28"/>
          <w:szCs w:val="28"/>
        </w:rPr>
        <w:t xml:space="preserve"> the nature of the tenderers’ </w:t>
      </w:r>
      <w:r w:rsidR="00F90252" w:rsidRPr="008F21AE">
        <w:rPr>
          <w:rFonts w:ascii="Times New Roman" w:eastAsia="Times New Roman" w:hAnsi="Times New Roman" w:cs="Times New Roman"/>
          <w:i/>
          <w:iCs/>
          <w:sz w:val="28"/>
          <w:szCs w:val="28"/>
        </w:rPr>
        <w:t>prima facie</w:t>
      </w:r>
      <w:r w:rsidR="00F90252" w:rsidRPr="008F21AE">
        <w:rPr>
          <w:rFonts w:ascii="Times New Roman" w:eastAsia="Times New Roman" w:hAnsi="Times New Roman" w:cs="Times New Roman"/>
          <w:sz w:val="28"/>
          <w:szCs w:val="28"/>
        </w:rPr>
        <w:t xml:space="preserve"> right sought to be established in interdict proceedings pending </w:t>
      </w:r>
      <w:r w:rsidR="002544E1" w:rsidRPr="008F21AE">
        <w:rPr>
          <w:rFonts w:ascii="Times New Roman" w:eastAsia="Times New Roman" w:hAnsi="Times New Roman" w:cs="Times New Roman"/>
          <w:sz w:val="28"/>
          <w:szCs w:val="28"/>
        </w:rPr>
        <w:t>a</w:t>
      </w:r>
      <w:r w:rsidR="00F90252" w:rsidRPr="008F21AE">
        <w:rPr>
          <w:rFonts w:ascii="Times New Roman" w:eastAsia="Times New Roman" w:hAnsi="Times New Roman" w:cs="Times New Roman"/>
          <w:sz w:val="28"/>
          <w:szCs w:val="28"/>
        </w:rPr>
        <w:t xml:space="preserve"> review </w:t>
      </w:r>
      <w:r w:rsidR="002544E1" w:rsidRPr="008F21AE">
        <w:rPr>
          <w:rFonts w:ascii="Times New Roman" w:eastAsia="Times New Roman" w:hAnsi="Times New Roman" w:cs="Times New Roman"/>
          <w:sz w:val="28"/>
          <w:szCs w:val="28"/>
        </w:rPr>
        <w:t xml:space="preserve">of a tender process </w:t>
      </w:r>
      <w:r w:rsidR="00F90252" w:rsidRPr="008F21AE">
        <w:rPr>
          <w:rFonts w:ascii="Times New Roman" w:eastAsia="Times New Roman" w:hAnsi="Times New Roman" w:cs="Times New Roman"/>
          <w:sz w:val="28"/>
          <w:szCs w:val="28"/>
        </w:rPr>
        <w:t>as follows:</w:t>
      </w:r>
    </w:p>
    <w:p w14:paraId="51FEB5E6" w14:textId="77777777" w:rsidR="00F90252" w:rsidRPr="00F90252" w:rsidRDefault="00F90252" w:rsidP="00843C20">
      <w:pPr>
        <w:pStyle w:val="ListParagraph"/>
        <w:jc w:val="both"/>
        <w:rPr>
          <w:rFonts w:ascii="Times New Roman" w:hAnsi="Times New Roman" w:cs="Times New Roman"/>
          <w:sz w:val="28"/>
          <w:szCs w:val="28"/>
        </w:rPr>
      </w:pPr>
    </w:p>
    <w:p w14:paraId="7FB2915B" w14:textId="3250806B" w:rsidR="00F90252" w:rsidRPr="00E8172C" w:rsidRDefault="00F90252" w:rsidP="00843C20">
      <w:pPr>
        <w:shd w:val="clear" w:color="auto" w:fill="FFFFFF"/>
        <w:spacing w:before="144" w:line="360" w:lineRule="auto"/>
        <w:ind w:left="720"/>
        <w:jc w:val="both"/>
        <w:rPr>
          <w:rFonts w:ascii="Times New Roman" w:eastAsia="Times New Roman" w:hAnsi="Times New Roman" w:cs="Times New Roman"/>
          <w:color w:val="242121"/>
          <w:sz w:val="28"/>
          <w:szCs w:val="28"/>
        </w:rPr>
      </w:pPr>
      <w:r>
        <w:rPr>
          <w:rFonts w:ascii="Times New Roman" w:eastAsia="Times New Roman" w:hAnsi="Times New Roman" w:cs="Times New Roman"/>
          <w:color w:val="242121"/>
          <w:sz w:val="24"/>
          <w:szCs w:val="24"/>
        </w:rPr>
        <w:t>“</w:t>
      </w:r>
      <w:r w:rsidRPr="00DD608C">
        <w:rPr>
          <w:rFonts w:ascii="Times New Roman" w:eastAsia="Times New Roman" w:hAnsi="Times New Roman" w:cs="Times New Roman"/>
          <w:color w:val="242121"/>
          <w:sz w:val="24"/>
          <w:szCs w:val="24"/>
        </w:rPr>
        <w:t xml:space="preserve">There can be no argument that the applicant, like all construction companies is entitled to participate in the tender process subject to the rules created within the legal framework.  </w:t>
      </w:r>
      <w:r w:rsidRPr="00DE2F06">
        <w:rPr>
          <w:rFonts w:ascii="Times New Roman" w:eastAsia="Times New Roman" w:hAnsi="Times New Roman" w:cs="Times New Roman"/>
          <w:i/>
          <w:iCs/>
          <w:color w:val="242121"/>
          <w:sz w:val="24"/>
          <w:szCs w:val="24"/>
        </w:rPr>
        <w:t>It follows that the exclusion from participation must also be informed and grounded on a sound and lawful foundation undergirded by the legal framework and permeated by considerations of fairness.  If this is not done and an exclusion appears to be neither fairly nor lawfully grounded, it follows that the applicant would have a prima facie right and would have an apprehension of imminent irreparable harm.</w:t>
      </w:r>
      <w:r w:rsidRPr="00DD608C">
        <w:rPr>
          <w:rFonts w:ascii="Times New Roman" w:eastAsia="Times New Roman" w:hAnsi="Times New Roman" w:cs="Times New Roman"/>
          <w:color w:val="242121"/>
          <w:sz w:val="24"/>
          <w:szCs w:val="24"/>
        </w:rPr>
        <w:t xml:space="preserve">  Public good or interest suffers where a state organ such as the first respondent which is constitutionally obliged to encourage and assist in ensuring that the constitutional value system as applies in this country is observed and promoted.  This on its own may entitle a wronged tenderer to challenge the process and if a </w:t>
      </w:r>
      <w:r w:rsidRPr="00DD608C">
        <w:rPr>
          <w:rFonts w:ascii="Times New Roman" w:eastAsia="Times New Roman" w:hAnsi="Times New Roman" w:cs="Times New Roman"/>
          <w:i/>
          <w:iCs/>
          <w:color w:val="242121"/>
          <w:sz w:val="24"/>
          <w:szCs w:val="24"/>
        </w:rPr>
        <w:t>prima facie</w:t>
      </w:r>
      <w:r w:rsidRPr="00DD608C">
        <w:rPr>
          <w:rFonts w:ascii="Times New Roman" w:eastAsia="Times New Roman" w:hAnsi="Times New Roman" w:cs="Times New Roman"/>
          <w:color w:val="242121"/>
          <w:sz w:val="24"/>
          <w:szCs w:val="24"/>
        </w:rPr>
        <w:t> right is established, to be granted an interdict pending the review depending on the facts of each case.</w:t>
      </w:r>
      <w:r>
        <w:rPr>
          <w:rFonts w:ascii="Times New Roman" w:eastAsia="Times New Roman" w:hAnsi="Times New Roman" w:cs="Times New Roman"/>
          <w:color w:val="242121"/>
          <w:sz w:val="24"/>
          <w:szCs w:val="24"/>
        </w:rPr>
        <w:t>”</w:t>
      </w:r>
      <w:r>
        <w:rPr>
          <w:rStyle w:val="FootnoteReference"/>
          <w:rFonts w:ascii="Times New Roman" w:eastAsia="Times New Roman" w:hAnsi="Times New Roman" w:cs="Times New Roman"/>
          <w:color w:val="242121"/>
          <w:sz w:val="24"/>
          <w:szCs w:val="24"/>
        </w:rPr>
        <w:footnoteReference w:id="19"/>
      </w:r>
      <w:r w:rsidR="00DE2F06">
        <w:rPr>
          <w:rFonts w:ascii="Times New Roman" w:eastAsia="Times New Roman" w:hAnsi="Times New Roman" w:cs="Times New Roman"/>
          <w:color w:val="242121"/>
          <w:sz w:val="24"/>
          <w:szCs w:val="24"/>
        </w:rPr>
        <w:t xml:space="preserve"> </w:t>
      </w:r>
      <w:r w:rsidR="00DE2F06" w:rsidRPr="00E8172C">
        <w:rPr>
          <w:rFonts w:ascii="Times New Roman" w:eastAsia="Times New Roman" w:hAnsi="Times New Roman" w:cs="Times New Roman"/>
          <w:color w:val="242121"/>
          <w:sz w:val="28"/>
          <w:szCs w:val="28"/>
        </w:rPr>
        <w:t>(Emphasis added)</w:t>
      </w:r>
    </w:p>
    <w:p w14:paraId="4E5900D6" w14:textId="34340BE7" w:rsidR="00313A75" w:rsidRDefault="00313A75" w:rsidP="00313A75">
      <w:pPr>
        <w:pStyle w:val="ListParagraph"/>
        <w:rPr>
          <w:rFonts w:ascii="Times New Roman" w:hAnsi="Times New Roman" w:cs="Times New Roman"/>
          <w:sz w:val="28"/>
          <w:szCs w:val="28"/>
        </w:rPr>
      </w:pPr>
    </w:p>
    <w:p w14:paraId="3C57DC83" w14:textId="4B35CAB6" w:rsidR="00D02D60" w:rsidRPr="008F21AE" w:rsidRDefault="008F21AE" w:rsidP="008F21AE">
      <w:pPr>
        <w:spacing w:line="360" w:lineRule="auto"/>
        <w:jc w:val="both"/>
        <w:rPr>
          <w:rFonts w:ascii="Times New Roman" w:hAnsi="Times New Roman" w:cs="Times New Roman"/>
          <w:sz w:val="28"/>
          <w:szCs w:val="28"/>
        </w:rPr>
      </w:pPr>
      <w:r w:rsidRPr="006A5C50">
        <w:rPr>
          <w:rFonts w:ascii="Times New Roman" w:hAnsi="Times New Roman" w:cs="Times New Roman"/>
          <w:sz w:val="28"/>
          <w:szCs w:val="28"/>
        </w:rPr>
        <w:lastRenderedPageBreak/>
        <w:t>[30]</w:t>
      </w:r>
      <w:r w:rsidRPr="006A5C50">
        <w:rPr>
          <w:rFonts w:ascii="Times New Roman" w:hAnsi="Times New Roman" w:cs="Times New Roman"/>
          <w:sz w:val="28"/>
          <w:szCs w:val="28"/>
        </w:rPr>
        <w:tab/>
      </w:r>
      <w:r w:rsidR="002544E1" w:rsidRPr="008F21AE">
        <w:rPr>
          <w:rFonts w:ascii="Times New Roman" w:hAnsi="Times New Roman" w:cs="Times New Roman"/>
          <w:sz w:val="28"/>
          <w:szCs w:val="28"/>
        </w:rPr>
        <w:t xml:space="preserve">In this instance each </w:t>
      </w:r>
      <w:r w:rsidR="00313A75" w:rsidRPr="008F21AE">
        <w:rPr>
          <w:rFonts w:ascii="Times New Roman" w:hAnsi="Times New Roman" w:cs="Times New Roman"/>
          <w:sz w:val="28"/>
          <w:szCs w:val="28"/>
        </w:rPr>
        <w:t xml:space="preserve">of the applicants </w:t>
      </w:r>
      <w:r w:rsidR="003E30C6" w:rsidRPr="008F21AE">
        <w:rPr>
          <w:rFonts w:ascii="Times New Roman" w:hAnsi="Times New Roman" w:cs="Times New Roman"/>
          <w:sz w:val="28"/>
          <w:szCs w:val="28"/>
        </w:rPr>
        <w:t>(including the fourth applicant)</w:t>
      </w:r>
      <w:r w:rsidR="003E30C6">
        <w:rPr>
          <w:rStyle w:val="FootnoteReference"/>
          <w:rFonts w:ascii="Times New Roman" w:hAnsi="Times New Roman" w:cs="Times New Roman"/>
          <w:sz w:val="28"/>
          <w:szCs w:val="28"/>
        </w:rPr>
        <w:footnoteReference w:id="20"/>
      </w:r>
      <w:r w:rsidR="003E30C6" w:rsidRPr="008F21AE">
        <w:rPr>
          <w:rFonts w:ascii="Times New Roman" w:hAnsi="Times New Roman" w:cs="Times New Roman"/>
          <w:sz w:val="28"/>
          <w:szCs w:val="28"/>
        </w:rPr>
        <w:t xml:space="preserve"> </w:t>
      </w:r>
      <w:r w:rsidR="00313A75" w:rsidRPr="008F21AE">
        <w:rPr>
          <w:rFonts w:ascii="Times New Roman" w:hAnsi="Times New Roman" w:cs="Times New Roman"/>
          <w:sz w:val="28"/>
          <w:szCs w:val="28"/>
        </w:rPr>
        <w:t xml:space="preserve">were </w:t>
      </w:r>
      <w:r w:rsidR="003E30C6" w:rsidRPr="008F21AE">
        <w:rPr>
          <w:rFonts w:ascii="Times New Roman" w:hAnsi="Times New Roman" w:cs="Times New Roman"/>
          <w:sz w:val="28"/>
          <w:szCs w:val="28"/>
        </w:rPr>
        <w:t xml:space="preserve">alleged to be </w:t>
      </w:r>
      <w:r w:rsidR="00313A75" w:rsidRPr="008F21AE">
        <w:rPr>
          <w:rFonts w:ascii="Times New Roman" w:hAnsi="Times New Roman" w:cs="Times New Roman"/>
          <w:sz w:val="28"/>
          <w:szCs w:val="28"/>
        </w:rPr>
        <w:t>co-bidders with legitimate expectations of a fair process and outcome</w:t>
      </w:r>
      <w:r w:rsidR="00ED216B" w:rsidRPr="008F21AE">
        <w:rPr>
          <w:rFonts w:ascii="Times New Roman" w:hAnsi="Times New Roman" w:cs="Times New Roman"/>
          <w:sz w:val="28"/>
          <w:szCs w:val="28"/>
        </w:rPr>
        <w:t>.</w:t>
      </w:r>
      <w:r w:rsidR="00552424">
        <w:rPr>
          <w:rStyle w:val="FootnoteReference"/>
          <w:rFonts w:ascii="Times New Roman" w:hAnsi="Times New Roman" w:cs="Times New Roman"/>
          <w:sz w:val="28"/>
          <w:szCs w:val="28"/>
        </w:rPr>
        <w:footnoteReference w:id="21"/>
      </w:r>
      <w:r w:rsidR="00ED216B" w:rsidRPr="008F21AE">
        <w:rPr>
          <w:rFonts w:ascii="Times New Roman" w:hAnsi="Times New Roman" w:cs="Times New Roman"/>
          <w:sz w:val="28"/>
          <w:szCs w:val="28"/>
        </w:rPr>
        <w:t xml:space="preserve">  </w:t>
      </w:r>
      <w:r w:rsidR="003E30C6" w:rsidRPr="008F21AE">
        <w:rPr>
          <w:rFonts w:ascii="Times New Roman" w:hAnsi="Times New Roman" w:cs="Times New Roman"/>
          <w:sz w:val="28"/>
          <w:szCs w:val="28"/>
        </w:rPr>
        <w:t>Once this process had run its course and the decision taken, they were entitled to reasons.  This was never in doubt.  They were provided with “purported reasons”</w:t>
      </w:r>
      <w:r w:rsidR="00F67E7D" w:rsidRPr="008F21AE">
        <w:rPr>
          <w:rFonts w:ascii="Times New Roman" w:hAnsi="Times New Roman" w:cs="Times New Roman"/>
          <w:sz w:val="28"/>
          <w:szCs w:val="28"/>
        </w:rPr>
        <w:t xml:space="preserve"> following a rigorous claimed self-examination by the first respondent of the tender process involving a resource intense exercise that yielded up a comprehensive set of </w:t>
      </w:r>
      <w:r w:rsidR="00E8172C" w:rsidRPr="008F21AE">
        <w:rPr>
          <w:rFonts w:ascii="Times New Roman" w:hAnsi="Times New Roman" w:cs="Times New Roman"/>
          <w:sz w:val="28"/>
          <w:szCs w:val="28"/>
        </w:rPr>
        <w:t xml:space="preserve">purported </w:t>
      </w:r>
      <w:r w:rsidR="00F67E7D" w:rsidRPr="008F21AE">
        <w:rPr>
          <w:rFonts w:ascii="Times New Roman" w:hAnsi="Times New Roman" w:cs="Times New Roman"/>
          <w:sz w:val="28"/>
          <w:szCs w:val="28"/>
        </w:rPr>
        <w:t>reasons that were self-evidently of no utility at all to the interested parties in the end.  It begged further questions which the Department appeared to be resolute it would not offer up, alternatively it conveyed the impression that it did not matter in its view because the implementation of the contract arising from that process would be given effect to</w:t>
      </w:r>
      <w:r w:rsidR="00D02D60" w:rsidRPr="008F21AE">
        <w:rPr>
          <w:rFonts w:ascii="Times New Roman" w:hAnsi="Times New Roman" w:cs="Times New Roman"/>
          <w:sz w:val="28"/>
          <w:szCs w:val="28"/>
        </w:rPr>
        <w:t xml:space="preserve"> on the day of the launch of the interdict application</w:t>
      </w:r>
      <w:r w:rsidR="00F67E7D" w:rsidRPr="008F21AE">
        <w:rPr>
          <w:rFonts w:ascii="Times New Roman" w:hAnsi="Times New Roman" w:cs="Times New Roman"/>
          <w:sz w:val="28"/>
          <w:szCs w:val="28"/>
        </w:rPr>
        <w:t xml:space="preserve">.  Logically those reasons are inadequate and provide a reasonable basis to conclude that the award of the bid to the second respondent </w:t>
      </w:r>
      <w:r w:rsidR="00D02D60" w:rsidRPr="008F21AE">
        <w:rPr>
          <w:rFonts w:ascii="Times New Roman" w:hAnsi="Times New Roman" w:cs="Times New Roman"/>
          <w:sz w:val="28"/>
          <w:szCs w:val="28"/>
        </w:rPr>
        <w:t>might be set aside on review</w:t>
      </w:r>
      <w:r w:rsidR="00F67E7D" w:rsidRPr="008F21AE">
        <w:rPr>
          <w:rFonts w:ascii="Times New Roman" w:hAnsi="Times New Roman" w:cs="Times New Roman"/>
          <w:sz w:val="28"/>
          <w:szCs w:val="28"/>
        </w:rPr>
        <w:t xml:space="preserve">. </w:t>
      </w:r>
    </w:p>
    <w:p w14:paraId="13B8ED17" w14:textId="77777777" w:rsidR="00313A75" w:rsidRPr="00313A75" w:rsidRDefault="00313A75" w:rsidP="00313A75">
      <w:pPr>
        <w:pStyle w:val="ListParagraph"/>
        <w:rPr>
          <w:rFonts w:ascii="Times New Roman" w:hAnsi="Times New Roman" w:cs="Times New Roman"/>
          <w:sz w:val="28"/>
          <w:szCs w:val="28"/>
        </w:rPr>
      </w:pPr>
    </w:p>
    <w:p w14:paraId="024E84F7" w14:textId="0C7D5ADE" w:rsidR="006A5C50"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313A75" w:rsidRPr="008F21AE">
        <w:rPr>
          <w:rFonts w:ascii="Times New Roman" w:hAnsi="Times New Roman" w:cs="Times New Roman"/>
          <w:sz w:val="28"/>
          <w:szCs w:val="28"/>
        </w:rPr>
        <w:t>The harm (which the respondents appeared to concede as a matter of logic</w:t>
      </w:r>
      <w:r w:rsidR="007C1095" w:rsidRPr="008F21AE">
        <w:rPr>
          <w:rFonts w:ascii="Times New Roman" w:hAnsi="Times New Roman" w:cs="Times New Roman"/>
          <w:sz w:val="28"/>
          <w:szCs w:val="28"/>
        </w:rPr>
        <w:t>)</w:t>
      </w:r>
      <w:r w:rsidR="00313A75" w:rsidRPr="008F21AE">
        <w:rPr>
          <w:rFonts w:ascii="Times New Roman" w:hAnsi="Times New Roman" w:cs="Times New Roman"/>
          <w:sz w:val="28"/>
          <w:szCs w:val="28"/>
        </w:rPr>
        <w:t xml:space="preserve"> is that the implementation of </w:t>
      </w:r>
      <w:r w:rsidR="00D02D60" w:rsidRPr="008F21AE">
        <w:rPr>
          <w:rFonts w:ascii="Times New Roman" w:hAnsi="Times New Roman" w:cs="Times New Roman"/>
          <w:sz w:val="28"/>
          <w:szCs w:val="28"/>
        </w:rPr>
        <w:t xml:space="preserve">a </w:t>
      </w:r>
      <w:r w:rsidR="00CB77FE" w:rsidRPr="008F21AE">
        <w:rPr>
          <w:rFonts w:ascii="Times New Roman" w:hAnsi="Times New Roman" w:cs="Times New Roman"/>
          <w:sz w:val="28"/>
          <w:szCs w:val="28"/>
        </w:rPr>
        <w:t>constitutionally invalid award</w:t>
      </w:r>
      <w:r w:rsidR="00D02D60" w:rsidRPr="008F21AE">
        <w:rPr>
          <w:rFonts w:ascii="Times New Roman" w:hAnsi="Times New Roman" w:cs="Times New Roman"/>
          <w:sz w:val="28"/>
          <w:szCs w:val="28"/>
        </w:rPr>
        <w:t xml:space="preserve"> arising from the feared flawed process </w:t>
      </w:r>
      <w:r w:rsidR="00313A75" w:rsidRPr="008F21AE">
        <w:rPr>
          <w:rFonts w:ascii="Times New Roman" w:hAnsi="Times New Roman" w:cs="Times New Roman"/>
          <w:sz w:val="28"/>
          <w:szCs w:val="28"/>
        </w:rPr>
        <w:t>was imminent</w:t>
      </w:r>
      <w:r w:rsidR="00CB77FE" w:rsidRPr="008F21AE">
        <w:rPr>
          <w:rFonts w:ascii="Times New Roman" w:hAnsi="Times New Roman" w:cs="Times New Roman"/>
          <w:sz w:val="28"/>
          <w:szCs w:val="28"/>
        </w:rPr>
        <w:t xml:space="preserve"> </w:t>
      </w:r>
      <w:r w:rsidR="00CB77FE" w:rsidRPr="008F21AE">
        <w:rPr>
          <w:rFonts w:ascii="Times New Roman" w:eastAsia="Times New Roman" w:hAnsi="Times New Roman" w:cs="Times New Roman"/>
          <w:color w:val="242121"/>
          <w:sz w:val="28"/>
          <w:szCs w:val="28"/>
        </w:rPr>
        <w:t>and if allowed to stand pending the very likely review application would undermine the constitutional value of legality</w:t>
      </w:r>
      <w:r w:rsidR="00CB77FE" w:rsidRPr="008F21AE">
        <w:rPr>
          <w:rFonts w:ascii="Times New Roman" w:eastAsia="Times New Roman" w:hAnsi="Times New Roman" w:cs="Times New Roman"/>
          <w:color w:val="242121"/>
          <w:sz w:val="24"/>
          <w:szCs w:val="24"/>
        </w:rPr>
        <w:t>. </w:t>
      </w:r>
      <w:r w:rsidR="00D02D60" w:rsidRPr="008F21AE">
        <w:rPr>
          <w:rFonts w:ascii="Times New Roman" w:hAnsi="Times New Roman" w:cs="Times New Roman"/>
          <w:sz w:val="28"/>
          <w:szCs w:val="28"/>
        </w:rPr>
        <w:t xml:space="preserve"> </w:t>
      </w:r>
      <w:r w:rsidR="007C1095" w:rsidRPr="008F21AE">
        <w:rPr>
          <w:rFonts w:ascii="Times New Roman" w:hAnsi="Times New Roman" w:cs="Times New Roman"/>
          <w:sz w:val="28"/>
          <w:szCs w:val="28"/>
        </w:rPr>
        <w:t xml:space="preserve"> </w:t>
      </w:r>
      <w:r w:rsidR="006A5C50" w:rsidRPr="008F21AE">
        <w:rPr>
          <w:rFonts w:ascii="Times New Roman" w:hAnsi="Times New Roman" w:cs="Times New Roman"/>
          <w:sz w:val="28"/>
          <w:szCs w:val="28"/>
        </w:rPr>
        <w:t xml:space="preserve">In challenging the claimed constitutionally invalid conduct the review application </w:t>
      </w:r>
      <w:r w:rsidR="006A5C50" w:rsidRPr="008F21AE">
        <w:rPr>
          <w:rFonts w:ascii="Times New Roman" w:hAnsi="Times New Roman" w:cs="Times New Roman"/>
          <w:sz w:val="28"/>
          <w:szCs w:val="28"/>
        </w:rPr>
        <w:lastRenderedPageBreak/>
        <w:t>would allow the applicants to “delve deeper into the intricate issues entangled in (the matter)</w:t>
      </w:r>
      <w:r w:rsidR="00CA3131" w:rsidRPr="008F21AE">
        <w:rPr>
          <w:rFonts w:ascii="Times New Roman" w:hAnsi="Times New Roman" w:cs="Times New Roman"/>
          <w:sz w:val="28"/>
          <w:szCs w:val="28"/>
        </w:rPr>
        <w:t>.</w:t>
      </w:r>
      <w:r w:rsidR="006A5C50" w:rsidRPr="008F21AE">
        <w:rPr>
          <w:rFonts w:ascii="Times New Roman" w:hAnsi="Times New Roman" w:cs="Times New Roman"/>
          <w:sz w:val="28"/>
          <w:szCs w:val="28"/>
        </w:rPr>
        <w:t xml:space="preserve">” </w:t>
      </w:r>
      <w:r w:rsidR="00CA3131">
        <w:rPr>
          <w:rStyle w:val="FootnoteReference"/>
          <w:rFonts w:ascii="Times New Roman" w:hAnsi="Times New Roman" w:cs="Times New Roman"/>
          <w:sz w:val="28"/>
          <w:szCs w:val="28"/>
        </w:rPr>
        <w:footnoteReference w:id="22"/>
      </w:r>
      <w:r w:rsidR="00CA3131" w:rsidRPr="008F21AE">
        <w:rPr>
          <w:rFonts w:ascii="Times New Roman" w:hAnsi="Times New Roman" w:cs="Times New Roman"/>
          <w:sz w:val="28"/>
          <w:szCs w:val="28"/>
        </w:rPr>
        <w:t xml:space="preserve"> </w:t>
      </w:r>
      <w:r w:rsidR="006A5C50" w:rsidRPr="008F21AE">
        <w:rPr>
          <w:rFonts w:ascii="Times New Roman" w:hAnsi="Times New Roman" w:cs="Times New Roman"/>
          <w:sz w:val="28"/>
          <w:szCs w:val="28"/>
        </w:rPr>
        <w:t>Further</w:t>
      </w:r>
      <w:r w:rsidR="00CA3131" w:rsidRPr="008F21AE">
        <w:rPr>
          <w:rFonts w:ascii="Times New Roman" w:hAnsi="Times New Roman" w:cs="Times New Roman"/>
          <w:sz w:val="28"/>
          <w:szCs w:val="28"/>
        </w:rPr>
        <w:t>,</w:t>
      </w:r>
      <w:r w:rsidR="006A5C50" w:rsidRPr="008F21AE">
        <w:rPr>
          <w:rFonts w:ascii="Times New Roman" w:hAnsi="Times New Roman" w:cs="Times New Roman"/>
          <w:sz w:val="28"/>
          <w:szCs w:val="28"/>
        </w:rPr>
        <w:t xml:space="preserve"> the court reminds us in Down Touch </w:t>
      </w:r>
      <w:r w:rsidR="00CA3131" w:rsidRPr="008F21AE">
        <w:rPr>
          <w:rFonts w:ascii="Times New Roman" w:hAnsi="Times New Roman" w:cs="Times New Roman"/>
          <w:sz w:val="28"/>
          <w:szCs w:val="28"/>
        </w:rPr>
        <w:t xml:space="preserve">Investments </w:t>
      </w:r>
      <w:r w:rsidR="006A5C50" w:rsidRPr="008F21AE">
        <w:rPr>
          <w:rFonts w:ascii="Times New Roman" w:hAnsi="Times New Roman" w:cs="Times New Roman"/>
          <w:sz w:val="28"/>
          <w:szCs w:val="28"/>
        </w:rPr>
        <w:t>that:</w:t>
      </w:r>
    </w:p>
    <w:p w14:paraId="319FEA45" w14:textId="77777777" w:rsidR="00843C20" w:rsidRPr="00843C20" w:rsidRDefault="00843C20" w:rsidP="00843C20">
      <w:pPr>
        <w:pStyle w:val="ListParagraph"/>
        <w:rPr>
          <w:rFonts w:ascii="Times New Roman" w:hAnsi="Times New Roman" w:cs="Times New Roman"/>
          <w:sz w:val="28"/>
          <w:szCs w:val="28"/>
        </w:rPr>
      </w:pPr>
    </w:p>
    <w:p w14:paraId="4B54EA9A" w14:textId="7BDB13DF" w:rsidR="00313A75" w:rsidRPr="006A5C50" w:rsidRDefault="006A5C50" w:rsidP="006A5C50">
      <w:pPr>
        <w:spacing w:line="360" w:lineRule="auto"/>
        <w:ind w:left="720"/>
        <w:jc w:val="both"/>
        <w:rPr>
          <w:rFonts w:ascii="Times New Roman" w:hAnsi="Times New Roman" w:cs="Times New Roman"/>
          <w:sz w:val="28"/>
          <w:szCs w:val="28"/>
        </w:rPr>
      </w:pPr>
      <w:r>
        <w:rPr>
          <w:rFonts w:ascii="Times New Roman" w:eastAsia="Times New Roman" w:hAnsi="Times New Roman" w:cs="Times New Roman"/>
          <w:color w:val="242121"/>
          <w:sz w:val="24"/>
          <w:szCs w:val="24"/>
        </w:rPr>
        <w:t>“..</w:t>
      </w:r>
      <w:r w:rsidRPr="006A5C50">
        <w:rPr>
          <w:rFonts w:ascii="Times New Roman" w:eastAsia="Times New Roman" w:hAnsi="Times New Roman" w:cs="Times New Roman"/>
          <w:color w:val="242121"/>
          <w:sz w:val="24"/>
          <w:szCs w:val="24"/>
        </w:rPr>
        <w:t xml:space="preserve"> it might very well be well-nigh impossible to unscramble the consequence of an unlawful administrative action once it is allowed to reach a certain point.</w:t>
      </w:r>
      <w:r>
        <w:rPr>
          <w:rFonts w:ascii="Times New Roman" w:eastAsia="Times New Roman" w:hAnsi="Times New Roman" w:cs="Times New Roman"/>
          <w:color w:val="242121"/>
          <w:sz w:val="24"/>
          <w:szCs w:val="24"/>
        </w:rPr>
        <w:t>”</w:t>
      </w:r>
    </w:p>
    <w:p w14:paraId="64EB15E5" w14:textId="77777777" w:rsidR="00313A75" w:rsidRPr="00313A75" w:rsidRDefault="00313A75" w:rsidP="00313A75">
      <w:pPr>
        <w:pStyle w:val="ListParagraph"/>
        <w:rPr>
          <w:rFonts w:ascii="Times New Roman" w:hAnsi="Times New Roman" w:cs="Times New Roman"/>
          <w:sz w:val="28"/>
          <w:szCs w:val="28"/>
        </w:rPr>
      </w:pPr>
    </w:p>
    <w:p w14:paraId="5D782332" w14:textId="1988A315" w:rsidR="00313A75"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CA3131" w:rsidRPr="008F21AE">
        <w:rPr>
          <w:rFonts w:ascii="Times New Roman" w:hAnsi="Times New Roman" w:cs="Times New Roman"/>
          <w:sz w:val="28"/>
          <w:szCs w:val="28"/>
        </w:rPr>
        <w:t>It was self-evident that no other</w:t>
      </w:r>
      <w:r w:rsidR="00313A75" w:rsidRPr="008F21AE">
        <w:rPr>
          <w:rFonts w:ascii="Times New Roman" w:hAnsi="Times New Roman" w:cs="Times New Roman"/>
          <w:sz w:val="28"/>
          <w:szCs w:val="28"/>
        </w:rPr>
        <w:t xml:space="preserve"> satisfactory remedy </w:t>
      </w:r>
      <w:r w:rsidR="00CA3131" w:rsidRPr="008F21AE">
        <w:rPr>
          <w:rFonts w:ascii="Times New Roman" w:hAnsi="Times New Roman" w:cs="Times New Roman"/>
          <w:sz w:val="28"/>
          <w:szCs w:val="28"/>
        </w:rPr>
        <w:t xml:space="preserve">suggested itself. I might have granted the interdict but suggested that it be subject to </w:t>
      </w:r>
      <w:r w:rsidR="00E8172C" w:rsidRPr="008F21AE">
        <w:rPr>
          <w:rFonts w:ascii="Times New Roman" w:hAnsi="Times New Roman" w:cs="Times New Roman"/>
          <w:sz w:val="28"/>
          <w:szCs w:val="28"/>
        </w:rPr>
        <w:t>the applicants</w:t>
      </w:r>
      <w:r w:rsidR="00CA3131" w:rsidRPr="008F21AE">
        <w:rPr>
          <w:rFonts w:ascii="Times New Roman" w:hAnsi="Times New Roman" w:cs="Times New Roman"/>
          <w:sz w:val="28"/>
          <w:szCs w:val="28"/>
        </w:rPr>
        <w:t xml:space="preserve"> have another go at getting information from the first respondent under the guise of The Promotion of Access to </w:t>
      </w:r>
      <w:r w:rsidR="00975CD2" w:rsidRPr="008F21AE">
        <w:rPr>
          <w:rFonts w:ascii="Times New Roman" w:hAnsi="Times New Roman" w:cs="Times New Roman"/>
          <w:sz w:val="28"/>
          <w:szCs w:val="28"/>
        </w:rPr>
        <w:t>I</w:t>
      </w:r>
      <w:r w:rsidR="00CA3131" w:rsidRPr="008F21AE">
        <w:rPr>
          <w:rFonts w:ascii="Times New Roman" w:hAnsi="Times New Roman" w:cs="Times New Roman"/>
          <w:sz w:val="28"/>
          <w:szCs w:val="28"/>
        </w:rPr>
        <w:t>nformation Act, No</w:t>
      </w:r>
      <w:r w:rsidR="00843C20" w:rsidRPr="008F21AE">
        <w:rPr>
          <w:rFonts w:ascii="Times New Roman" w:hAnsi="Times New Roman" w:cs="Times New Roman"/>
          <w:sz w:val="28"/>
          <w:szCs w:val="28"/>
        </w:rPr>
        <w:t>.</w:t>
      </w:r>
      <w:r w:rsidR="00975CD2" w:rsidRPr="008F21AE">
        <w:rPr>
          <w:rFonts w:ascii="Times New Roman" w:hAnsi="Times New Roman" w:cs="Times New Roman"/>
          <w:sz w:val="28"/>
          <w:szCs w:val="28"/>
        </w:rPr>
        <w:t xml:space="preserve"> 2</w:t>
      </w:r>
      <w:r w:rsidR="00843C20" w:rsidRPr="008F21AE">
        <w:rPr>
          <w:rFonts w:ascii="Times New Roman" w:hAnsi="Times New Roman" w:cs="Times New Roman"/>
          <w:sz w:val="28"/>
          <w:szCs w:val="28"/>
        </w:rPr>
        <w:t xml:space="preserve"> </w:t>
      </w:r>
      <w:r w:rsidR="00975CD2" w:rsidRPr="008F21AE">
        <w:rPr>
          <w:rFonts w:ascii="Times New Roman" w:hAnsi="Times New Roman" w:cs="Times New Roman"/>
          <w:sz w:val="28"/>
          <w:szCs w:val="28"/>
        </w:rPr>
        <w:t>of 2000, or</w:t>
      </w:r>
      <w:r w:rsidR="00CA3131" w:rsidRPr="008F21AE">
        <w:rPr>
          <w:rFonts w:ascii="Times New Roman" w:hAnsi="Times New Roman" w:cs="Times New Roman"/>
          <w:sz w:val="28"/>
          <w:szCs w:val="28"/>
        </w:rPr>
        <w:t xml:space="preserve"> seeking </w:t>
      </w:r>
      <w:r w:rsidR="00975CD2" w:rsidRPr="008F21AE">
        <w:rPr>
          <w:rFonts w:ascii="Times New Roman" w:hAnsi="Times New Roman" w:cs="Times New Roman"/>
          <w:sz w:val="28"/>
          <w:szCs w:val="28"/>
        </w:rPr>
        <w:t>“</w:t>
      </w:r>
      <w:r w:rsidR="00CA3131" w:rsidRPr="008F21AE">
        <w:rPr>
          <w:rFonts w:ascii="Times New Roman" w:hAnsi="Times New Roman" w:cs="Times New Roman"/>
          <w:sz w:val="28"/>
          <w:szCs w:val="28"/>
        </w:rPr>
        <w:t>better</w:t>
      </w:r>
      <w:r w:rsidR="00975CD2" w:rsidRPr="008F21AE">
        <w:rPr>
          <w:rFonts w:ascii="Times New Roman" w:hAnsi="Times New Roman" w:cs="Times New Roman"/>
          <w:sz w:val="28"/>
          <w:szCs w:val="28"/>
        </w:rPr>
        <w:t>”</w:t>
      </w:r>
      <w:r w:rsidR="00CA3131" w:rsidRPr="008F21AE">
        <w:rPr>
          <w:rFonts w:ascii="Times New Roman" w:hAnsi="Times New Roman" w:cs="Times New Roman"/>
          <w:sz w:val="28"/>
          <w:szCs w:val="28"/>
        </w:rPr>
        <w:t xml:space="preserve"> reasons under </w:t>
      </w:r>
      <w:r w:rsidR="00975CD2" w:rsidRPr="008F21AE">
        <w:rPr>
          <w:rFonts w:ascii="Times New Roman" w:hAnsi="Times New Roman" w:cs="Times New Roman"/>
          <w:sz w:val="28"/>
          <w:szCs w:val="28"/>
        </w:rPr>
        <w:t xml:space="preserve">the provisions of section 5 of </w:t>
      </w:r>
      <w:r w:rsidR="00CA3131" w:rsidRPr="008F21AE">
        <w:rPr>
          <w:rFonts w:ascii="Times New Roman" w:hAnsi="Times New Roman" w:cs="Times New Roman"/>
          <w:sz w:val="28"/>
          <w:szCs w:val="28"/>
        </w:rPr>
        <w:t>PA</w:t>
      </w:r>
      <w:r w:rsidR="00975CD2" w:rsidRPr="008F21AE">
        <w:rPr>
          <w:rFonts w:ascii="Times New Roman" w:hAnsi="Times New Roman" w:cs="Times New Roman"/>
          <w:sz w:val="28"/>
          <w:szCs w:val="28"/>
        </w:rPr>
        <w:t>J</w:t>
      </w:r>
      <w:r w:rsidR="00CA3131" w:rsidRPr="008F21AE">
        <w:rPr>
          <w:rFonts w:ascii="Times New Roman" w:hAnsi="Times New Roman" w:cs="Times New Roman"/>
          <w:sz w:val="28"/>
          <w:szCs w:val="28"/>
        </w:rPr>
        <w:t xml:space="preserve">A, but to what </w:t>
      </w:r>
      <w:r w:rsidR="00975CD2" w:rsidRPr="008F21AE">
        <w:rPr>
          <w:rFonts w:ascii="Times New Roman" w:hAnsi="Times New Roman" w:cs="Times New Roman"/>
          <w:sz w:val="28"/>
          <w:szCs w:val="28"/>
        </w:rPr>
        <w:t>avail</w:t>
      </w:r>
      <w:r w:rsidR="00CA3131" w:rsidRPr="008F21AE">
        <w:rPr>
          <w:rFonts w:ascii="Times New Roman" w:hAnsi="Times New Roman" w:cs="Times New Roman"/>
          <w:sz w:val="28"/>
          <w:szCs w:val="28"/>
        </w:rPr>
        <w:t xml:space="preserve">.  The Department had made </w:t>
      </w:r>
      <w:r w:rsidR="00E8172C" w:rsidRPr="008F21AE">
        <w:rPr>
          <w:rFonts w:ascii="Times New Roman" w:hAnsi="Times New Roman" w:cs="Times New Roman"/>
          <w:sz w:val="28"/>
          <w:szCs w:val="28"/>
        </w:rPr>
        <w:t>it</w:t>
      </w:r>
      <w:r w:rsidR="00CA3131" w:rsidRPr="008F21AE">
        <w:rPr>
          <w:rFonts w:ascii="Times New Roman" w:hAnsi="Times New Roman" w:cs="Times New Roman"/>
          <w:sz w:val="28"/>
          <w:szCs w:val="28"/>
        </w:rPr>
        <w:t xml:space="preserve"> plain that the reasons provided were as comprehensive as </w:t>
      </w:r>
      <w:r w:rsidR="00E8172C" w:rsidRPr="008F21AE">
        <w:rPr>
          <w:rFonts w:ascii="Times New Roman" w:hAnsi="Times New Roman" w:cs="Times New Roman"/>
          <w:sz w:val="28"/>
          <w:szCs w:val="28"/>
        </w:rPr>
        <w:t>they</w:t>
      </w:r>
      <w:r w:rsidR="00CA3131" w:rsidRPr="008F21AE">
        <w:rPr>
          <w:rFonts w:ascii="Times New Roman" w:hAnsi="Times New Roman" w:cs="Times New Roman"/>
          <w:sz w:val="28"/>
          <w:szCs w:val="28"/>
        </w:rPr>
        <w:t xml:space="preserve"> </w:t>
      </w:r>
      <w:r w:rsidR="00E8172C" w:rsidRPr="008F21AE">
        <w:rPr>
          <w:rFonts w:ascii="Times New Roman" w:hAnsi="Times New Roman" w:cs="Times New Roman"/>
          <w:sz w:val="28"/>
          <w:szCs w:val="28"/>
        </w:rPr>
        <w:t>could be</w:t>
      </w:r>
      <w:r w:rsidR="00CA3131" w:rsidRPr="008F21AE">
        <w:rPr>
          <w:rFonts w:ascii="Times New Roman" w:hAnsi="Times New Roman" w:cs="Times New Roman"/>
          <w:sz w:val="28"/>
          <w:szCs w:val="28"/>
        </w:rPr>
        <w:t xml:space="preserve">.  </w:t>
      </w:r>
      <w:r w:rsidR="00E8172C" w:rsidRPr="008F21AE">
        <w:rPr>
          <w:rFonts w:ascii="Times New Roman" w:hAnsi="Times New Roman" w:cs="Times New Roman"/>
          <w:sz w:val="28"/>
          <w:szCs w:val="28"/>
        </w:rPr>
        <w:t>T</w:t>
      </w:r>
      <w:r w:rsidR="00CA3131" w:rsidRPr="008F21AE">
        <w:rPr>
          <w:rFonts w:ascii="Times New Roman" w:hAnsi="Times New Roman" w:cs="Times New Roman"/>
          <w:sz w:val="28"/>
          <w:szCs w:val="28"/>
        </w:rPr>
        <w:t xml:space="preserve">he point </w:t>
      </w:r>
      <w:r w:rsidR="00E8172C" w:rsidRPr="008F21AE">
        <w:rPr>
          <w:rFonts w:ascii="Times New Roman" w:hAnsi="Times New Roman" w:cs="Times New Roman"/>
          <w:sz w:val="28"/>
          <w:szCs w:val="28"/>
        </w:rPr>
        <w:t>was</w:t>
      </w:r>
      <w:r w:rsidR="00CA3131" w:rsidRPr="008F21AE">
        <w:rPr>
          <w:rFonts w:ascii="Times New Roman" w:hAnsi="Times New Roman" w:cs="Times New Roman"/>
          <w:sz w:val="28"/>
          <w:szCs w:val="28"/>
        </w:rPr>
        <w:t xml:space="preserve"> that the Department had strung the applicants along right up to the end </w:t>
      </w:r>
      <w:r w:rsidR="00E8172C" w:rsidRPr="008F21AE">
        <w:rPr>
          <w:rFonts w:ascii="Times New Roman" w:hAnsi="Times New Roman" w:cs="Times New Roman"/>
          <w:sz w:val="28"/>
          <w:szCs w:val="28"/>
        </w:rPr>
        <w:t xml:space="preserve">when they </w:t>
      </w:r>
      <w:r w:rsidR="00CA3131" w:rsidRPr="008F21AE">
        <w:rPr>
          <w:rFonts w:ascii="Times New Roman" w:hAnsi="Times New Roman" w:cs="Times New Roman"/>
          <w:sz w:val="28"/>
          <w:szCs w:val="28"/>
        </w:rPr>
        <w:t xml:space="preserve">in effect said nothing </w:t>
      </w:r>
      <w:r w:rsidR="00E8172C" w:rsidRPr="008F21AE">
        <w:rPr>
          <w:rFonts w:ascii="Times New Roman" w:hAnsi="Times New Roman" w:cs="Times New Roman"/>
          <w:sz w:val="28"/>
          <w:szCs w:val="28"/>
        </w:rPr>
        <w:t>at all</w:t>
      </w:r>
      <w:r w:rsidR="00CA3131" w:rsidRPr="008F21AE">
        <w:rPr>
          <w:rFonts w:ascii="Times New Roman" w:hAnsi="Times New Roman" w:cs="Times New Roman"/>
          <w:sz w:val="28"/>
          <w:szCs w:val="28"/>
        </w:rPr>
        <w:t xml:space="preserve">, but in saying nothing </w:t>
      </w:r>
      <w:r w:rsidR="00975CD2" w:rsidRPr="008F21AE">
        <w:rPr>
          <w:rFonts w:ascii="Times New Roman" w:hAnsi="Times New Roman" w:cs="Times New Roman"/>
          <w:sz w:val="28"/>
          <w:szCs w:val="28"/>
        </w:rPr>
        <w:t>had raised</w:t>
      </w:r>
      <w:r w:rsidR="00E8172C" w:rsidRPr="008F21AE">
        <w:rPr>
          <w:rFonts w:ascii="Times New Roman" w:hAnsi="Times New Roman" w:cs="Times New Roman"/>
          <w:sz w:val="28"/>
          <w:szCs w:val="28"/>
        </w:rPr>
        <w:t xml:space="preserve"> a reasonable suspicion (which naturally conduced to the likelihood of success in the proposed review application) that the applicants’ exclusion </w:t>
      </w:r>
      <w:r w:rsidR="00975CD2" w:rsidRPr="008F21AE">
        <w:rPr>
          <w:rFonts w:ascii="Times New Roman" w:hAnsi="Times New Roman" w:cs="Times New Roman"/>
          <w:sz w:val="28"/>
          <w:szCs w:val="28"/>
        </w:rPr>
        <w:t>from the tender process</w:t>
      </w:r>
      <w:r w:rsidR="00832FA7" w:rsidRPr="008F21AE">
        <w:rPr>
          <w:rFonts w:ascii="Times New Roman" w:hAnsi="Times New Roman" w:cs="Times New Roman"/>
          <w:sz w:val="28"/>
          <w:szCs w:val="28"/>
        </w:rPr>
        <w:t>,</w:t>
      </w:r>
      <w:r w:rsidR="00975CD2" w:rsidRPr="008F21AE">
        <w:rPr>
          <w:rFonts w:ascii="Times New Roman" w:hAnsi="Times New Roman" w:cs="Times New Roman"/>
          <w:sz w:val="28"/>
          <w:szCs w:val="28"/>
        </w:rPr>
        <w:t xml:space="preserve"> if not the selection of the second respondent as the successful bidder</w:t>
      </w:r>
      <w:r w:rsidR="00832FA7" w:rsidRPr="008F21AE">
        <w:rPr>
          <w:rFonts w:ascii="Times New Roman" w:hAnsi="Times New Roman" w:cs="Times New Roman"/>
          <w:sz w:val="28"/>
          <w:szCs w:val="28"/>
        </w:rPr>
        <w:t>, might have been substantively flawed and falling short of the constitutional standard.</w:t>
      </w:r>
    </w:p>
    <w:p w14:paraId="1B801AF7" w14:textId="77777777" w:rsidR="00313A75" w:rsidRPr="00313A75" w:rsidRDefault="00313A75" w:rsidP="00313A75">
      <w:pPr>
        <w:pStyle w:val="ListParagraph"/>
        <w:rPr>
          <w:rFonts w:ascii="Times New Roman" w:hAnsi="Times New Roman" w:cs="Times New Roman"/>
          <w:sz w:val="28"/>
          <w:szCs w:val="28"/>
        </w:rPr>
      </w:pPr>
    </w:p>
    <w:p w14:paraId="6399B9F7" w14:textId="65B3AB51" w:rsidR="00313A75"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313A75" w:rsidRPr="008F21AE">
        <w:rPr>
          <w:rFonts w:ascii="Times New Roman" w:hAnsi="Times New Roman" w:cs="Times New Roman"/>
          <w:sz w:val="28"/>
          <w:szCs w:val="28"/>
        </w:rPr>
        <w:t xml:space="preserve">As for balance of convenience, I was persuaded that these favoured the granting of the interdict pending </w:t>
      </w:r>
      <w:r w:rsidR="00A04C71" w:rsidRPr="008F21AE">
        <w:rPr>
          <w:rFonts w:ascii="Times New Roman" w:hAnsi="Times New Roman" w:cs="Times New Roman"/>
          <w:sz w:val="28"/>
          <w:szCs w:val="28"/>
        </w:rPr>
        <w:t>the review.</w:t>
      </w:r>
      <w:r w:rsidR="00CA3131" w:rsidRPr="008F21AE">
        <w:rPr>
          <w:rFonts w:ascii="Times New Roman" w:hAnsi="Times New Roman" w:cs="Times New Roman"/>
          <w:sz w:val="28"/>
          <w:szCs w:val="28"/>
        </w:rPr>
        <w:t xml:space="preserve"> The respondent did not really take the court into its confidence even to state when the </w:t>
      </w:r>
      <w:r w:rsidR="007E1BF5" w:rsidRPr="008F21AE">
        <w:rPr>
          <w:rFonts w:ascii="Times New Roman" w:hAnsi="Times New Roman" w:cs="Times New Roman"/>
          <w:sz w:val="28"/>
          <w:szCs w:val="28"/>
        </w:rPr>
        <w:t>award</w:t>
      </w:r>
      <w:r w:rsidR="00CA3131" w:rsidRPr="008F21AE">
        <w:rPr>
          <w:rFonts w:ascii="Times New Roman" w:hAnsi="Times New Roman" w:cs="Times New Roman"/>
          <w:sz w:val="28"/>
          <w:szCs w:val="28"/>
        </w:rPr>
        <w:t xml:space="preserve"> had been made.  It was </w:t>
      </w:r>
      <w:r w:rsidR="00832FA7" w:rsidRPr="008F21AE">
        <w:rPr>
          <w:rFonts w:ascii="Times New Roman" w:hAnsi="Times New Roman" w:cs="Times New Roman"/>
          <w:sz w:val="28"/>
          <w:szCs w:val="28"/>
        </w:rPr>
        <w:t>further notably</w:t>
      </w:r>
      <w:r w:rsidR="00CA3131" w:rsidRPr="008F21AE">
        <w:rPr>
          <w:rFonts w:ascii="Times New Roman" w:hAnsi="Times New Roman" w:cs="Times New Roman"/>
          <w:sz w:val="28"/>
          <w:szCs w:val="28"/>
        </w:rPr>
        <w:t xml:space="preserve"> mum on the status of the </w:t>
      </w:r>
      <w:r w:rsidR="007E1BF5" w:rsidRPr="008F21AE">
        <w:rPr>
          <w:rFonts w:ascii="Times New Roman" w:hAnsi="Times New Roman" w:cs="Times New Roman"/>
          <w:sz w:val="28"/>
          <w:szCs w:val="28"/>
        </w:rPr>
        <w:t xml:space="preserve">new </w:t>
      </w:r>
      <w:r w:rsidR="00CA3131" w:rsidRPr="008F21AE">
        <w:rPr>
          <w:rFonts w:ascii="Times New Roman" w:hAnsi="Times New Roman" w:cs="Times New Roman"/>
          <w:sz w:val="28"/>
          <w:szCs w:val="28"/>
        </w:rPr>
        <w:t xml:space="preserve">contract </w:t>
      </w:r>
      <w:r w:rsidR="00975CD2" w:rsidRPr="008F21AE">
        <w:rPr>
          <w:rFonts w:ascii="Times New Roman" w:hAnsi="Times New Roman" w:cs="Times New Roman"/>
          <w:sz w:val="28"/>
          <w:szCs w:val="28"/>
        </w:rPr>
        <w:t>supposedly in progression</w:t>
      </w:r>
      <w:r w:rsidR="007E1BF5" w:rsidRPr="008F21AE">
        <w:rPr>
          <w:rFonts w:ascii="Times New Roman" w:hAnsi="Times New Roman" w:cs="Times New Roman"/>
          <w:sz w:val="28"/>
          <w:szCs w:val="28"/>
        </w:rPr>
        <w:t xml:space="preserve">. I was concerned that even after the award, discussions were still being had with the second respondent regarding the Department’s “requirement” (presumably of the contract if not of the tender itself) that 50% of the successful tenderer’s proposed staff establishment be from the Gqeberha area. </w:t>
      </w:r>
      <w:r w:rsidR="009778A3" w:rsidRPr="008F21AE">
        <w:rPr>
          <w:rFonts w:ascii="Times New Roman" w:hAnsi="Times New Roman" w:cs="Times New Roman"/>
          <w:sz w:val="28"/>
          <w:szCs w:val="28"/>
        </w:rPr>
        <w:t xml:space="preserve">In any event it further </w:t>
      </w:r>
      <w:r w:rsidR="009778A3" w:rsidRPr="008F21AE">
        <w:rPr>
          <w:rFonts w:ascii="Times New Roman" w:hAnsi="Times New Roman" w:cs="Times New Roman"/>
          <w:sz w:val="28"/>
          <w:szCs w:val="28"/>
        </w:rPr>
        <w:lastRenderedPageBreak/>
        <w:t xml:space="preserve">boasted that it could issue short term contract to whoever it wanted and would not be dictated to in this </w:t>
      </w:r>
      <w:r w:rsidR="00975CD2" w:rsidRPr="008F21AE">
        <w:rPr>
          <w:rFonts w:ascii="Times New Roman" w:hAnsi="Times New Roman" w:cs="Times New Roman"/>
          <w:sz w:val="28"/>
          <w:szCs w:val="28"/>
        </w:rPr>
        <w:t>regard</w:t>
      </w:r>
      <w:r w:rsidR="009778A3" w:rsidRPr="008F21AE">
        <w:rPr>
          <w:rFonts w:ascii="Times New Roman" w:hAnsi="Times New Roman" w:cs="Times New Roman"/>
          <w:sz w:val="28"/>
          <w:szCs w:val="28"/>
        </w:rPr>
        <w:t>.</w:t>
      </w:r>
      <w:r w:rsidR="00975CD2">
        <w:rPr>
          <w:rStyle w:val="FootnoteReference"/>
          <w:rFonts w:ascii="Times New Roman" w:hAnsi="Times New Roman" w:cs="Times New Roman"/>
          <w:sz w:val="28"/>
          <w:szCs w:val="28"/>
        </w:rPr>
        <w:footnoteReference w:id="23"/>
      </w:r>
      <w:r w:rsidR="009778A3" w:rsidRPr="008F21AE">
        <w:rPr>
          <w:rFonts w:ascii="Times New Roman" w:hAnsi="Times New Roman" w:cs="Times New Roman"/>
          <w:sz w:val="28"/>
          <w:szCs w:val="28"/>
        </w:rPr>
        <w:t xml:space="preserve">  </w:t>
      </w:r>
    </w:p>
    <w:p w14:paraId="2A48CF6D" w14:textId="77777777" w:rsidR="007E1BF5" w:rsidRPr="007E1BF5" w:rsidRDefault="007E1BF5" w:rsidP="007E1BF5">
      <w:pPr>
        <w:pStyle w:val="ListParagraph"/>
        <w:rPr>
          <w:rFonts w:ascii="Times New Roman" w:hAnsi="Times New Roman" w:cs="Times New Roman"/>
          <w:sz w:val="28"/>
          <w:szCs w:val="28"/>
        </w:rPr>
      </w:pPr>
    </w:p>
    <w:p w14:paraId="361DA4D2" w14:textId="3256FB31" w:rsidR="007E1BF5"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7E1BF5" w:rsidRPr="008F21AE">
        <w:rPr>
          <w:rFonts w:ascii="Times New Roman" w:hAnsi="Times New Roman" w:cs="Times New Roman"/>
          <w:sz w:val="28"/>
          <w:szCs w:val="28"/>
        </w:rPr>
        <w:t xml:space="preserve">The second respondent said nothing </w:t>
      </w:r>
      <w:r w:rsidR="00832FA7" w:rsidRPr="008F21AE">
        <w:rPr>
          <w:rFonts w:ascii="Times New Roman" w:hAnsi="Times New Roman" w:cs="Times New Roman"/>
          <w:sz w:val="28"/>
          <w:szCs w:val="28"/>
        </w:rPr>
        <w:t>from which any real prejudice could be gleaned</w:t>
      </w:r>
      <w:r w:rsidR="007E1BF5" w:rsidRPr="008F21AE">
        <w:rPr>
          <w:rFonts w:ascii="Times New Roman" w:hAnsi="Times New Roman" w:cs="Times New Roman"/>
          <w:sz w:val="28"/>
          <w:szCs w:val="28"/>
        </w:rPr>
        <w:t xml:space="preserve">.  Evidently it was only negotiating employment contracts with the first applicant’s </w:t>
      </w:r>
      <w:r w:rsidR="00832FA7" w:rsidRPr="008F21AE">
        <w:rPr>
          <w:rFonts w:ascii="Times New Roman" w:hAnsi="Times New Roman" w:cs="Times New Roman"/>
          <w:sz w:val="28"/>
          <w:szCs w:val="28"/>
        </w:rPr>
        <w:t>staff</w:t>
      </w:r>
      <w:r w:rsidR="007E1BF5" w:rsidRPr="008F21AE">
        <w:rPr>
          <w:rFonts w:ascii="Times New Roman" w:hAnsi="Times New Roman" w:cs="Times New Roman"/>
          <w:sz w:val="28"/>
          <w:szCs w:val="28"/>
        </w:rPr>
        <w:t xml:space="preserve"> on 12 August 2022</w:t>
      </w:r>
      <w:r w:rsidR="009778A3" w:rsidRPr="008F21AE">
        <w:rPr>
          <w:rFonts w:ascii="Times New Roman" w:hAnsi="Times New Roman" w:cs="Times New Roman"/>
          <w:sz w:val="28"/>
          <w:szCs w:val="28"/>
        </w:rPr>
        <w:t xml:space="preserve"> by when it must have been abundantly plain to the respondents that there was a dispute in place about the award of the tender. </w:t>
      </w:r>
    </w:p>
    <w:p w14:paraId="73B139EE" w14:textId="77777777" w:rsidR="00F0465E" w:rsidRPr="0041635F" w:rsidRDefault="00F0465E" w:rsidP="00F0465E">
      <w:pPr>
        <w:pStyle w:val="ListParagraph"/>
        <w:rPr>
          <w:rFonts w:ascii="Times New Roman" w:hAnsi="Times New Roman" w:cs="Times New Roman"/>
          <w:sz w:val="28"/>
          <w:szCs w:val="28"/>
        </w:rPr>
      </w:pPr>
    </w:p>
    <w:p w14:paraId="7223465F" w14:textId="7BFBE35A" w:rsidR="009778A3"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9778A3" w:rsidRPr="008F21AE">
        <w:rPr>
          <w:rFonts w:ascii="Times New Roman" w:hAnsi="Times New Roman" w:cs="Times New Roman"/>
          <w:sz w:val="28"/>
          <w:szCs w:val="28"/>
        </w:rPr>
        <w:t xml:space="preserve">In the result I </w:t>
      </w:r>
      <w:r w:rsidR="00437115" w:rsidRPr="008F21AE">
        <w:rPr>
          <w:rFonts w:ascii="Times New Roman" w:hAnsi="Times New Roman" w:cs="Times New Roman"/>
          <w:sz w:val="28"/>
          <w:szCs w:val="28"/>
        </w:rPr>
        <w:t>was satisfied that all the elements for the grant of an interim interdict had been met.  Whilst the court has the power to grant a restraining order of the kind envisaged by my order, it is a trite principle that it does so only in the clearest of cases. This was one of those instances where I considered that it was “constitutionally appropriate” to intervene in all the circumstances.</w:t>
      </w:r>
      <w:r w:rsidR="00437115">
        <w:rPr>
          <w:rStyle w:val="FootnoteReference"/>
          <w:rFonts w:ascii="Times New Roman" w:hAnsi="Times New Roman" w:cs="Times New Roman"/>
          <w:sz w:val="28"/>
          <w:szCs w:val="28"/>
        </w:rPr>
        <w:footnoteReference w:id="24"/>
      </w:r>
    </w:p>
    <w:p w14:paraId="5EA5FF0F" w14:textId="77777777" w:rsidR="009778A3" w:rsidRDefault="009778A3" w:rsidP="009778A3">
      <w:pPr>
        <w:pStyle w:val="ListParagraph"/>
        <w:spacing w:line="360" w:lineRule="auto"/>
        <w:ind w:left="0"/>
        <w:jc w:val="both"/>
        <w:rPr>
          <w:rFonts w:ascii="Times New Roman" w:hAnsi="Times New Roman" w:cs="Times New Roman"/>
          <w:sz w:val="28"/>
          <w:szCs w:val="28"/>
        </w:rPr>
      </w:pPr>
    </w:p>
    <w:p w14:paraId="5FFD1304" w14:textId="3B22721B" w:rsidR="00F0465E" w:rsidRPr="008F21AE" w:rsidRDefault="008F21AE" w:rsidP="008F21AE">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bookmarkStart w:id="0" w:name="_GoBack"/>
      <w:bookmarkEnd w:id="0"/>
      <w:r>
        <w:rPr>
          <w:rFonts w:ascii="Times New Roman" w:hAnsi="Times New Roman" w:cs="Times New Roman"/>
          <w:sz w:val="28"/>
          <w:szCs w:val="28"/>
        </w:rPr>
        <w:t>]</w:t>
      </w:r>
      <w:r>
        <w:rPr>
          <w:rFonts w:ascii="Times New Roman" w:hAnsi="Times New Roman" w:cs="Times New Roman"/>
          <w:sz w:val="28"/>
          <w:szCs w:val="28"/>
        </w:rPr>
        <w:tab/>
      </w:r>
      <w:r w:rsidR="009778A3" w:rsidRPr="008F21AE">
        <w:rPr>
          <w:rFonts w:ascii="Times New Roman" w:hAnsi="Times New Roman" w:cs="Times New Roman"/>
          <w:sz w:val="28"/>
          <w:szCs w:val="28"/>
        </w:rPr>
        <w:t>Concerning the issue of costs,</w:t>
      </w:r>
      <w:r w:rsidR="00F0465E" w:rsidRPr="008F21AE">
        <w:rPr>
          <w:rFonts w:ascii="Times New Roman" w:hAnsi="Times New Roman" w:cs="Times New Roman"/>
          <w:sz w:val="28"/>
          <w:szCs w:val="28"/>
        </w:rPr>
        <w:t xml:space="preserve"> I considered that </w:t>
      </w:r>
      <w:r w:rsidR="009778A3" w:rsidRPr="008F21AE">
        <w:rPr>
          <w:rFonts w:ascii="Times New Roman" w:hAnsi="Times New Roman" w:cs="Times New Roman"/>
          <w:sz w:val="28"/>
          <w:szCs w:val="28"/>
        </w:rPr>
        <w:t>these</w:t>
      </w:r>
      <w:r w:rsidR="00F0465E" w:rsidRPr="008F21AE">
        <w:rPr>
          <w:rFonts w:ascii="Times New Roman" w:hAnsi="Times New Roman" w:cs="Times New Roman"/>
          <w:sz w:val="28"/>
          <w:szCs w:val="28"/>
        </w:rPr>
        <w:t xml:space="preserve"> would follow the result of the review</w:t>
      </w:r>
      <w:r w:rsidR="009778A3" w:rsidRPr="008F21AE">
        <w:rPr>
          <w:rFonts w:ascii="Times New Roman" w:hAnsi="Times New Roman" w:cs="Times New Roman"/>
          <w:sz w:val="28"/>
          <w:szCs w:val="28"/>
        </w:rPr>
        <w:t xml:space="preserve"> (the applicants did not ask for costs to be finally adjudicated at that juncture)</w:t>
      </w:r>
      <w:r w:rsidR="00F0465E" w:rsidRPr="008F21AE">
        <w:rPr>
          <w:rFonts w:ascii="Times New Roman" w:hAnsi="Times New Roman" w:cs="Times New Roman"/>
          <w:sz w:val="28"/>
          <w:szCs w:val="28"/>
        </w:rPr>
        <w:t>, hence I made no final determination in this respect.</w:t>
      </w:r>
      <w:r w:rsidR="009778A3" w:rsidRPr="008F21AE">
        <w:rPr>
          <w:rFonts w:ascii="Times New Roman" w:hAnsi="Times New Roman" w:cs="Times New Roman"/>
          <w:sz w:val="28"/>
          <w:szCs w:val="28"/>
        </w:rPr>
        <w:t xml:space="preserve">  I considered too that the applicants had made fair concessions, for example, that </w:t>
      </w:r>
      <w:r w:rsidR="00437115" w:rsidRPr="008F21AE">
        <w:rPr>
          <w:rFonts w:ascii="Times New Roman" w:hAnsi="Times New Roman" w:cs="Times New Roman"/>
          <w:sz w:val="28"/>
          <w:szCs w:val="28"/>
        </w:rPr>
        <w:t>they</w:t>
      </w:r>
      <w:r w:rsidR="009778A3" w:rsidRPr="008F21AE">
        <w:rPr>
          <w:rFonts w:ascii="Times New Roman" w:hAnsi="Times New Roman" w:cs="Times New Roman"/>
          <w:sz w:val="28"/>
          <w:szCs w:val="28"/>
        </w:rPr>
        <w:t xml:space="preserve"> had erred in including as a  ground of illegality that the tender validity period had been irregularly extende</w:t>
      </w:r>
      <w:r w:rsidR="00E60940" w:rsidRPr="008F21AE">
        <w:rPr>
          <w:rFonts w:ascii="Times New Roman" w:hAnsi="Times New Roman" w:cs="Times New Roman"/>
          <w:sz w:val="28"/>
          <w:szCs w:val="28"/>
        </w:rPr>
        <w:t>d. Although ultimately abandoned this ground had of necessity to be dealt with by the respondents in their answering affidavits.</w:t>
      </w:r>
      <w:r w:rsidR="00437115" w:rsidRPr="008F21AE">
        <w:rPr>
          <w:rFonts w:ascii="Times New Roman" w:hAnsi="Times New Roman" w:cs="Times New Roman"/>
          <w:sz w:val="28"/>
          <w:szCs w:val="28"/>
        </w:rPr>
        <w:t xml:space="preserve"> </w:t>
      </w:r>
      <w:r w:rsidR="009778A3" w:rsidRPr="008F21AE">
        <w:rPr>
          <w:rFonts w:ascii="Times New Roman" w:hAnsi="Times New Roman" w:cs="Times New Roman"/>
          <w:sz w:val="28"/>
          <w:szCs w:val="28"/>
        </w:rPr>
        <w:t xml:space="preserve">  </w:t>
      </w:r>
      <w:r w:rsidR="00437115" w:rsidRPr="008F21AE">
        <w:rPr>
          <w:rFonts w:ascii="Times New Roman" w:hAnsi="Times New Roman" w:cs="Times New Roman"/>
          <w:sz w:val="28"/>
          <w:szCs w:val="28"/>
        </w:rPr>
        <w:t>There</w:t>
      </w:r>
      <w:r w:rsidR="009778A3" w:rsidRPr="008F21AE">
        <w:rPr>
          <w:rFonts w:ascii="Times New Roman" w:hAnsi="Times New Roman" w:cs="Times New Roman"/>
          <w:sz w:val="28"/>
          <w:szCs w:val="28"/>
        </w:rPr>
        <w:t xml:space="preserve"> were </w:t>
      </w:r>
      <w:r w:rsidR="00437115" w:rsidRPr="008F21AE">
        <w:rPr>
          <w:rFonts w:ascii="Times New Roman" w:hAnsi="Times New Roman" w:cs="Times New Roman"/>
          <w:sz w:val="28"/>
          <w:szCs w:val="28"/>
        </w:rPr>
        <w:t xml:space="preserve">other </w:t>
      </w:r>
      <w:r w:rsidR="009778A3" w:rsidRPr="008F21AE">
        <w:rPr>
          <w:rFonts w:ascii="Times New Roman" w:hAnsi="Times New Roman" w:cs="Times New Roman"/>
          <w:sz w:val="28"/>
          <w:szCs w:val="28"/>
        </w:rPr>
        <w:t>obvious shortcoming in the</w:t>
      </w:r>
      <w:r w:rsidR="00E60940" w:rsidRPr="008F21AE">
        <w:rPr>
          <w:rFonts w:ascii="Times New Roman" w:hAnsi="Times New Roman" w:cs="Times New Roman"/>
          <w:sz w:val="28"/>
          <w:szCs w:val="28"/>
        </w:rPr>
        <w:t xml:space="preserve"> applicants’</w:t>
      </w:r>
      <w:r w:rsidR="009778A3" w:rsidRPr="008F21AE">
        <w:rPr>
          <w:rFonts w:ascii="Times New Roman" w:hAnsi="Times New Roman" w:cs="Times New Roman"/>
          <w:sz w:val="28"/>
          <w:szCs w:val="28"/>
        </w:rPr>
        <w:t xml:space="preserve"> papers (for example in the confirmatory affidavits of the second and third applicants</w:t>
      </w:r>
      <w:r w:rsidR="00E60940" w:rsidRPr="008F21AE">
        <w:rPr>
          <w:rFonts w:ascii="Times New Roman" w:hAnsi="Times New Roman" w:cs="Times New Roman"/>
          <w:sz w:val="28"/>
          <w:szCs w:val="28"/>
        </w:rPr>
        <w:t>)</w:t>
      </w:r>
      <w:r w:rsidR="009778A3" w:rsidRPr="008F21AE">
        <w:rPr>
          <w:rFonts w:ascii="Times New Roman" w:hAnsi="Times New Roman" w:cs="Times New Roman"/>
          <w:sz w:val="28"/>
          <w:szCs w:val="28"/>
        </w:rPr>
        <w:t xml:space="preserve"> which might </w:t>
      </w:r>
      <w:r w:rsidR="00E60940" w:rsidRPr="008F21AE">
        <w:rPr>
          <w:rFonts w:ascii="Times New Roman" w:hAnsi="Times New Roman" w:cs="Times New Roman"/>
          <w:sz w:val="28"/>
          <w:szCs w:val="28"/>
        </w:rPr>
        <w:t>impact what costs orders should issue even if (all) the applicants achieve success in the proposed review application.</w:t>
      </w:r>
      <w:r w:rsidR="009778A3" w:rsidRPr="008F21AE">
        <w:rPr>
          <w:rFonts w:ascii="Times New Roman" w:hAnsi="Times New Roman" w:cs="Times New Roman"/>
          <w:sz w:val="28"/>
          <w:szCs w:val="28"/>
        </w:rPr>
        <w:t xml:space="preserve"> </w:t>
      </w:r>
    </w:p>
    <w:p w14:paraId="2BAC7EDD" w14:textId="77777777" w:rsidR="00F0465E" w:rsidRDefault="00F0465E" w:rsidP="00F0465E">
      <w:pPr>
        <w:pStyle w:val="ListParagraph"/>
        <w:spacing w:line="360" w:lineRule="auto"/>
        <w:ind w:left="0"/>
        <w:jc w:val="both"/>
        <w:rPr>
          <w:rFonts w:ascii="Times New Roman" w:hAnsi="Times New Roman" w:cs="Times New Roman"/>
          <w:sz w:val="28"/>
          <w:szCs w:val="28"/>
        </w:rPr>
      </w:pPr>
    </w:p>
    <w:p w14:paraId="4F1982EF" w14:textId="77777777" w:rsidR="009A0506" w:rsidRDefault="009A0506" w:rsidP="009A0506">
      <w:pPr>
        <w:pStyle w:val="ListParagraph"/>
        <w:rPr>
          <w:rFonts w:ascii="Times New Roman" w:hAnsi="Times New Roman" w:cs="Times New Roman"/>
          <w:sz w:val="28"/>
          <w:szCs w:val="28"/>
        </w:rPr>
      </w:pPr>
    </w:p>
    <w:p w14:paraId="20C0F526" w14:textId="77777777" w:rsidR="00DD12AE" w:rsidRDefault="00DD12AE" w:rsidP="009A0506">
      <w:pPr>
        <w:pStyle w:val="ListParagraph"/>
        <w:rPr>
          <w:rFonts w:ascii="Times New Roman" w:hAnsi="Times New Roman" w:cs="Times New Roman"/>
          <w:sz w:val="28"/>
          <w:szCs w:val="28"/>
        </w:rPr>
      </w:pPr>
    </w:p>
    <w:p w14:paraId="258982FB" w14:textId="77777777" w:rsidR="00DD12AE" w:rsidRPr="009A0506" w:rsidRDefault="00DD12AE" w:rsidP="009A0506">
      <w:pPr>
        <w:pStyle w:val="ListParagraph"/>
        <w:rPr>
          <w:rFonts w:ascii="Times New Roman" w:hAnsi="Times New Roman" w:cs="Times New Roman"/>
          <w:sz w:val="28"/>
          <w:szCs w:val="28"/>
        </w:rPr>
      </w:pPr>
    </w:p>
    <w:p w14:paraId="2772984C" w14:textId="77777777" w:rsidR="009A0506" w:rsidRDefault="009A0506" w:rsidP="009A0506">
      <w:pPr>
        <w:spacing w:line="360" w:lineRule="auto"/>
        <w:contextualSpacing/>
        <w:jc w:val="both"/>
        <w:rPr>
          <w:rFonts w:ascii="Times New Roman" w:hAnsi="Times New Roman"/>
          <w:b/>
          <w:sz w:val="28"/>
          <w:szCs w:val="28"/>
        </w:rPr>
      </w:pPr>
    </w:p>
    <w:p w14:paraId="72496F87" w14:textId="77777777" w:rsidR="009A0506" w:rsidRPr="00A909D0" w:rsidRDefault="009A0506" w:rsidP="009A0506">
      <w:pPr>
        <w:spacing w:line="360" w:lineRule="auto"/>
        <w:contextualSpacing/>
        <w:jc w:val="both"/>
        <w:rPr>
          <w:rFonts w:ascii="Times New Roman" w:hAnsi="Times New Roman"/>
          <w:b/>
          <w:sz w:val="28"/>
          <w:szCs w:val="28"/>
        </w:rPr>
      </w:pPr>
      <w:r w:rsidRPr="00A909D0">
        <w:rPr>
          <w:rFonts w:ascii="Times New Roman" w:hAnsi="Times New Roman"/>
          <w:b/>
          <w:sz w:val="28"/>
          <w:szCs w:val="28"/>
        </w:rPr>
        <w:t>________________</w:t>
      </w:r>
    </w:p>
    <w:p w14:paraId="064878AB" w14:textId="77777777" w:rsidR="009A0506" w:rsidRPr="005940F7" w:rsidRDefault="009A0506" w:rsidP="009A0506">
      <w:pPr>
        <w:spacing w:line="360" w:lineRule="auto"/>
        <w:contextualSpacing/>
        <w:jc w:val="both"/>
        <w:rPr>
          <w:rFonts w:ascii="Times New Roman" w:hAnsi="Times New Roman"/>
          <w:b/>
          <w:sz w:val="26"/>
          <w:szCs w:val="28"/>
        </w:rPr>
      </w:pPr>
      <w:r>
        <w:rPr>
          <w:rFonts w:ascii="Times New Roman" w:hAnsi="Times New Roman"/>
          <w:b/>
          <w:sz w:val="28"/>
          <w:szCs w:val="28"/>
        </w:rPr>
        <w:t xml:space="preserve">B HARTLE </w:t>
      </w:r>
    </w:p>
    <w:p w14:paraId="2549FDE2" w14:textId="77777777" w:rsidR="009A0506" w:rsidRDefault="009A0506" w:rsidP="009A0506">
      <w:pPr>
        <w:spacing w:line="360" w:lineRule="auto"/>
        <w:contextualSpacing/>
        <w:jc w:val="both"/>
        <w:rPr>
          <w:rFonts w:ascii="Times New Roman" w:hAnsi="Times New Roman"/>
          <w:b/>
          <w:sz w:val="28"/>
          <w:szCs w:val="28"/>
        </w:rPr>
      </w:pPr>
      <w:r w:rsidRPr="00A909D0">
        <w:rPr>
          <w:rFonts w:ascii="Times New Roman" w:hAnsi="Times New Roman"/>
          <w:b/>
          <w:sz w:val="28"/>
          <w:szCs w:val="28"/>
        </w:rPr>
        <w:t>JUDGE OF THE HIGH COURT</w:t>
      </w:r>
    </w:p>
    <w:p w14:paraId="229D7EB3" w14:textId="77777777" w:rsidR="009A0506" w:rsidRDefault="009A0506" w:rsidP="009A0506">
      <w:pPr>
        <w:spacing w:line="360" w:lineRule="auto"/>
        <w:contextualSpacing/>
        <w:jc w:val="both"/>
        <w:rPr>
          <w:rFonts w:ascii="Times New Roman" w:hAnsi="Times New Roman"/>
          <w:b/>
          <w:sz w:val="28"/>
          <w:szCs w:val="28"/>
        </w:rPr>
      </w:pPr>
    </w:p>
    <w:p w14:paraId="0F126A54" w14:textId="77777777" w:rsidR="009A0506" w:rsidRDefault="009A0506" w:rsidP="009A0506">
      <w:pPr>
        <w:pStyle w:val="ListParagraph"/>
        <w:spacing w:line="360" w:lineRule="auto"/>
        <w:ind w:left="0"/>
        <w:rPr>
          <w:rFonts w:ascii="Times New Roman" w:hAnsi="Times New Roman"/>
          <w:sz w:val="28"/>
          <w:szCs w:val="28"/>
        </w:rPr>
      </w:pPr>
    </w:p>
    <w:p w14:paraId="5085CF10" w14:textId="77777777" w:rsidR="009A0506" w:rsidRDefault="009A0506" w:rsidP="009A0506">
      <w:pPr>
        <w:spacing w:line="360" w:lineRule="auto"/>
        <w:contextualSpacing/>
        <w:jc w:val="both"/>
        <w:rPr>
          <w:rFonts w:ascii="Times New Roman" w:hAnsi="Times New Roman"/>
          <w:sz w:val="28"/>
          <w:szCs w:val="28"/>
        </w:rPr>
      </w:pPr>
      <w:r w:rsidRPr="00A909D0">
        <w:rPr>
          <w:rFonts w:ascii="Times New Roman" w:hAnsi="Times New Roman"/>
          <w:sz w:val="28"/>
          <w:szCs w:val="28"/>
        </w:rPr>
        <w:t>DATE OF HEARING</w:t>
      </w:r>
      <w:r>
        <w:rPr>
          <w:rFonts w:ascii="Times New Roman" w:hAnsi="Times New Roman"/>
          <w:sz w:val="28"/>
          <w:szCs w:val="28"/>
        </w:rPr>
        <w:t>:</w:t>
      </w:r>
      <w:r w:rsidRPr="00A909D0">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19 August 2022</w:t>
      </w:r>
    </w:p>
    <w:p w14:paraId="38657BA5" w14:textId="77777777" w:rsidR="009A0506" w:rsidRDefault="009A0506" w:rsidP="009A0506">
      <w:pPr>
        <w:spacing w:line="360" w:lineRule="auto"/>
        <w:contextualSpacing/>
        <w:jc w:val="both"/>
        <w:rPr>
          <w:rFonts w:ascii="Times New Roman" w:hAnsi="Times New Roman"/>
          <w:sz w:val="28"/>
          <w:szCs w:val="28"/>
        </w:rPr>
      </w:pPr>
      <w:r>
        <w:rPr>
          <w:rFonts w:ascii="Times New Roman" w:hAnsi="Times New Roman"/>
          <w:sz w:val="28"/>
          <w:szCs w:val="28"/>
        </w:rPr>
        <w:t>DATE OF ORDER: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22 August 2022</w:t>
      </w:r>
    </w:p>
    <w:p w14:paraId="284532D3" w14:textId="77777777" w:rsidR="009A0506" w:rsidRDefault="009A0506" w:rsidP="009A0506">
      <w:pPr>
        <w:spacing w:line="360" w:lineRule="auto"/>
        <w:contextualSpacing/>
        <w:jc w:val="both"/>
        <w:rPr>
          <w:rFonts w:ascii="Times New Roman" w:hAnsi="Times New Roman"/>
          <w:sz w:val="28"/>
          <w:szCs w:val="28"/>
        </w:rPr>
      </w:pPr>
      <w:r>
        <w:rPr>
          <w:rFonts w:ascii="Times New Roman" w:hAnsi="Times New Roman"/>
          <w:sz w:val="28"/>
          <w:szCs w:val="28"/>
        </w:rPr>
        <w:t xml:space="preserve">DATE OF REQUEST </w:t>
      </w:r>
    </w:p>
    <w:p w14:paraId="01BB7FE1" w14:textId="77777777" w:rsidR="009A0506" w:rsidRDefault="009A0506" w:rsidP="009A0506">
      <w:pPr>
        <w:spacing w:line="360" w:lineRule="auto"/>
        <w:contextualSpacing/>
        <w:jc w:val="both"/>
        <w:rPr>
          <w:rFonts w:ascii="Times New Roman" w:hAnsi="Times New Roman"/>
          <w:sz w:val="28"/>
          <w:szCs w:val="28"/>
        </w:rPr>
      </w:pPr>
      <w:r>
        <w:rPr>
          <w:rFonts w:ascii="Times New Roman" w:hAnsi="Times New Roman"/>
          <w:sz w:val="28"/>
          <w:szCs w:val="28"/>
        </w:rPr>
        <w:t>FOR REASONS: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24 August 2022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11258932" w14:textId="2BB0B970" w:rsidR="009A0506" w:rsidRPr="004525D8" w:rsidRDefault="009A0506" w:rsidP="009A0506">
      <w:pPr>
        <w:pStyle w:val="ListParagraph"/>
        <w:spacing w:line="360" w:lineRule="auto"/>
        <w:ind w:left="0"/>
        <w:rPr>
          <w:rFonts w:ascii="Times New Roman" w:hAnsi="Times New Roman"/>
          <w:sz w:val="28"/>
          <w:szCs w:val="28"/>
        </w:rPr>
      </w:pPr>
      <w:r w:rsidRPr="00A909D0">
        <w:rPr>
          <w:rFonts w:ascii="Times New Roman" w:hAnsi="Times New Roman"/>
          <w:sz w:val="28"/>
          <w:szCs w:val="28"/>
        </w:rPr>
        <w:t xml:space="preserve">DATE OF </w:t>
      </w:r>
      <w:r>
        <w:rPr>
          <w:rFonts w:ascii="Times New Roman" w:hAnsi="Times New Roman"/>
          <w:sz w:val="28"/>
          <w:szCs w:val="28"/>
        </w:rPr>
        <w:t>REASONS:</w:t>
      </w:r>
      <w:r>
        <w:rPr>
          <w:rFonts w:ascii="Times New Roman" w:hAnsi="Times New Roman"/>
          <w:sz w:val="28"/>
          <w:szCs w:val="28"/>
        </w:rPr>
        <w:tab/>
      </w:r>
      <w:r>
        <w:rPr>
          <w:rFonts w:ascii="Times New Roman" w:hAnsi="Times New Roman"/>
          <w:sz w:val="28"/>
          <w:szCs w:val="28"/>
        </w:rPr>
        <w:tab/>
      </w:r>
      <w:r w:rsidR="00E60940">
        <w:rPr>
          <w:rFonts w:ascii="Times New Roman" w:hAnsi="Times New Roman"/>
          <w:sz w:val="28"/>
          <w:szCs w:val="28"/>
        </w:rPr>
        <w:tab/>
        <w:t xml:space="preserve"> 24 </w:t>
      </w:r>
      <w:r w:rsidR="007C1095">
        <w:rPr>
          <w:rFonts w:ascii="Times New Roman" w:hAnsi="Times New Roman"/>
          <w:sz w:val="28"/>
          <w:szCs w:val="28"/>
        </w:rPr>
        <w:t xml:space="preserve">January </w:t>
      </w:r>
      <w:r>
        <w:rPr>
          <w:rFonts w:ascii="Times New Roman" w:hAnsi="Times New Roman"/>
          <w:sz w:val="28"/>
          <w:szCs w:val="28"/>
        </w:rPr>
        <w:t>202</w:t>
      </w:r>
      <w:r w:rsidR="007C1095">
        <w:rPr>
          <w:rFonts w:ascii="Times New Roman" w:hAnsi="Times New Roman"/>
          <w:sz w:val="28"/>
          <w:szCs w:val="28"/>
        </w:rPr>
        <w:t>3</w:t>
      </w:r>
    </w:p>
    <w:p w14:paraId="680D0E51" w14:textId="77777777" w:rsidR="009A0506" w:rsidRDefault="009A0506" w:rsidP="009A0506">
      <w:pPr>
        <w:spacing w:line="360" w:lineRule="auto"/>
        <w:contextualSpacing/>
        <w:jc w:val="both"/>
        <w:rPr>
          <w:rFonts w:ascii="Times New Roman" w:hAnsi="Times New Roman"/>
          <w:sz w:val="24"/>
          <w:szCs w:val="24"/>
        </w:rPr>
      </w:pPr>
    </w:p>
    <w:p w14:paraId="57EB3163" w14:textId="77777777" w:rsidR="009A0506" w:rsidRPr="002625A7" w:rsidRDefault="009A0506" w:rsidP="009A0506">
      <w:pPr>
        <w:spacing w:line="360" w:lineRule="auto"/>
        <w:contextualSpacing/>
        <w:jc w:val="both"/>
        <w:outlineLvl w:val="0"/>
        <w:rPr>
          <w:rFonts w:ascii="Times New Roman" w:hAnsi="Times New Roman"/>
          <w:bCs/>
          <w:i/>
          <w:szCs w:val="24"/>
          <w:u w:val="single"/>
        </w:rPr>
      </w:pPr>
    </w:p>
    <w:p w14:paraId="74D27562" w14:textId="77777777" w:rsidR="009A0506" w:rsidRPr="002625A7" w:rsidRDefault="009A0506" w:rsidP="009A0506">
      <w:pPr>
        <w:spacing w:line="360" w:lineRule="auto"/>
        <w:contextualSpacing/>
        <w:jc w:val="both"/>
        <w:outlineLvl w:val="0"/>
        <w:rPr>
          <w:rFonts w:ascii="Times New Roman" w:hAnsi="Times New Roman"/>
          <w:bCs/>
          <w:i/>
          <w:szCs w:val="24"/>
          <w:u w:val="single"/>
        </w:rPr>
      </w:pPr>
      <w:r w:rsidRPr="002625A7">
        <w:rPr>
          <w:rFonts w:ascii="Times New Roman" w:hAnsi="Times New Roman"/>
          <w:bCs/>
          <w:i/>
          <w:szCs w:val="24"/>
          <w:u w:val="single"/>
        </w:rPr>
        <w:t xml:space="preserve">Appearances : </w:t>
      </w:r>
    </w:p>
    <w:p w14:paraId="48EE2950" w14:textId="77777777" w:rsidR="009A0506" w:rsidRPr="002625A7" w:rsidRDefault="009A0506" w:rsidP="009A0506">
      <w:pPr>
        <w:spacing w:line="360" w:lineRule="auto"/>
        <w:contextualSpacing/>
        <w:jc w:val="both"/>
        <w:outlineLvl w:val="0"/>
        <w:rPr>
          <w:rFonts w:ascii="Times New Roman" w:hAnsi="Times New Roman"/>
          <w:bCs/>
          <w:i/>
          <w:szCs w:val="24"/>
        </w:rPr>
      </w:pPr>
    </w:p>
    <w:p w14:paraId="73B3AD83" w14:textId="77777777" w:rsidR="009A0506" w:rsidRPr="002625A7" w:rsidRDefault="009A0506" w:rsidP="009A0506">
      <w:pPr>
        <w:spacing w:line="360" w:lineRule="auto"/>
        <w:contextualSpacing/>
        <w:jc w:val="both"/>
        <w:outlineLvl w:val="0"/>
        <w:rPr>
          <w:rFonts w:ascii="Times New Roman" w:hAnsi="Times New Roman"/>
          <w:bCs/>
          <w:i/>
          <w:szCs w:val="24"/>
        </w:rPr>
      </w:pPr>
      <w:r w:rsidRPr="002625A7">
        <w:rPr>
          <w:rFonts w:ascii="Times New Roman" w:hAnsi="Times New Roman"/>
          <w:bCs/>
          <w:i/>
          <w:szCs w:val="24"/>
        </w:rPr>
        <w:t xml:space="preserve">For the </w:t>
      </w:r>
      <w:r>
        <w:rPr>
          <w:rFonts w:ascii="Times New Roman" w:hAnsi="Times New Roman"/>
          <w:bCs/>
          <w:i/>
          <w:szCs w:val="24"/>
        </w:rPr>
        <w:t>Applicants</w:t>
      </w:r>
      <w:r w:rsidRPr="002625A7">
        <w:rPr>
          <w:rFonts w:ascii="Times New Roman" w:hAnsi="Times New Roman"/>
          <w:bCs/>
          <w:i/>
          <w:szCs w:val="24"/>
        </w:rPr>
        <w:t xml:space="preserve"> : M</w:t>
      </w:r>
      <w:r>
        <w:rPr>
          <w:rFonts w:ascii="Times New Roman" w:hAnsi="Times New Roman"/>
          <w:bCs/>
          <w:i/>
          <w:szCs w:val="24"/>
        </w:rPr>
        <w:t xml:space="preserve">s E Crouse SC &amp; Mr. A Mbenyane </w:t>
      </w:r>
      <w:r w:rsidRPr="002625A7">
        <w:rPr>
          <w:rFonts w:ascii="Times New Roman" w:hAnsi="Times New Roman"/>
          <w:bCs/>
          <w:i/>
          <w:szCs w:val="24"/>
        </w:rPr>
        <w:t xml:space="preserve">instructed by </w:t>
      </w:r>
      <w:r>
        <w:rPr>
          <w:rFonts w:ascii="Times New Roman" w:hAnsi="Times New Roman"/>
          <w:bCs/>
          <w:i/>
          <w:szCs w:val="24"/>
        </w:rPr>
        <w:t xml:space="preserve">SPJ Attorneys, Gqeberha (ref. SPJ/L0010/SJ). </w:t>
      </w:r>
    </w:p>
    <w:p w14:paraId="4F14776B" w14:textId="62FE674E" w:rsidR="009A0506" w:rsidRDefault="009A0506" w:rsidP="009A0506">
      <w:pPr>
        <w:spacing w:line="360" w:lineRule="auto"/>
        <w:contextualSpacing/>
        <w:jc w:val="both"/>
        <w:outlineLvl w:val="0"/>
        <w:rPr>
          <w:rFonts w:ascii="Times New Roman" w:hAnsi="Times New Roman"/>
          <w:bCs/>
          <w:i/>
          <w:szCs w:val="24"/>
        </w:rPr>
      </w:pPr>
      <w:r>
        <w:rPr>
          <w:rFonts w:ascii="Times New Roman" w:hAnsi="Times New Roman"/>
          <w:bCs/>
          <w:i/>
          <w:szCs w:val="24"/>
        </w:rPr>
        <w:t>For the First Respondent</w:t>
      </w:r>
      <w:r w:rsidR="00DD12AE">
        <w:rPr>
          <w:rFonts w:ascii="Times New Roman" w:hAnsi="Times New Roman"/>
          <w:bCs/>
          <w:i/>
          <w:szCs w:val="24"/>
        </w:rPr>
        <w:t xml:space="preserve"> </w:t>
      </w:r>
      <w:r w:rsidRPr="002625A7">
        <w:rPr>
          <w:rFonts w:ascii="Times New Roman" w:hAnsi="Times New Roman"/>
          <w:bCs/>
          <w:i/>
          <w:szCs w:val="24"/>
        </w:rPr>
        <w:t xml:space="preserve">: </w:t>
      </w:r>
      <w:r>
        <w:rPr>
          <w:rFonts w:ascii="Times New Roman" w:hAnsi="Times New Roman"/>
          <w:bCs/>
          <w:i/>
          <w:szCs w:val="24"/>
        </w:rPr>
        <w:t xml:space="preserve">Messrs </w:t>
      </w:r>
      <w:r w:rsidR="008E65DF">
        <w:rPr>
          <w:rFonts w:ascii="Times New Roman" w:hAnsi="Times New Roman"/>
          <w:bCs/>
          <w:i/>
          <w:szCs w:val="24"/>
        </w:rPr>
        <w:t>N</w:t>
      </w:r>
      <w:r w:rsidR="00E60940">
        <w:rPr>
          <w:rFonts w:ascii="Times New Roman" w:hAnsi="Times New Roman"/>
          <w:bCs/>
          <w:i/>
          <w:szCs w:val="24"/>
        </w:rPr>
        <w:t>J</w:t>
      </w:r>
      <w:r w:rsidR="008E65DF">
        <w:rPr>
          <w:rFonts w:ascii="Times New Roman" w:hAnsi="Times New Roman"/>
          <w:bCs/>
          <w:i/>
          <w:szCs w:val="24"/>
        </w:rPr>
        <w:t xml:space="preserve"> Mullins </w:t>
      </w:r>
      <w:r w:rsidR="00E60940">
        <w:rPr>
          <w:rFonts w:ascii="Times New Roman" w:hAnsi="Times New Roman"/>
          <w:bCs/>
          <w:i/>
          <w:szCs w:val="24"/>
        </w:rPr>
        <w:t xml:space="preserve">SC </w:t>
      </w:r>
      <w:r w:rsidR="008E65DF">
        <w:rPr>
          <w:rFonts w:ascii="Times New Roman" w:hAnsi="Times New Roman"/>
          <w:bCs/>
          <w:i/>
          <w:szCs w:val="24"/>
        </w:rPr>
        <w:t>&amp; N Dwayi instructed by State Attorney, Gqeberha (ref. 0979/2002/L</w:t>
      </w:r>
      <w:r w:rsidRPr="002625A7">
        <w:rPr>
          <w:rFonts w:ascii="Times New Roman" w:hAnsi="Times New Roman"/>
          <w:bCs/>
          <w:i/>
          <w:szCs w:val="24"/>
        </w:rPr>
        <w:t>)</w:t>
      </w:r>
      <w:r>
        <w:rPr>
          <w:rFonts w:ascii="Times New Roman" w:hAnsi="Times New Roman"/>
          <w:bCs/>
          <w:i/>
          <w:szCs w:val="24"/>
        </w:rPr>
        <w:t>.</w:t>
      </w:r>
    </w:p>
    <w:p w14:paraId="5F363563" w14:textId="7C0DCE51" w:rsidR="009A0506" w:rsidRPr="009A0506" w:rsidRDefault="009A0506" w:rsidP="00307D7D">
      <w:pPr>
        <w:spacing w:line="360" w:lineRule="auto"/>
        <w:contextualSpacing/>
        <w:jc w:val="both"/>
        <w:outlineLvl w:val="0"/>
        <w:rPr>
          <w:rFonts w:ascii="Times New Roman" w:hAnsi="Times New Roman" w:cs="Times New Roman"/>
          <w:sz w:val="28"/>
          <w:szCs w:val="28"/>
        </w:rPr>
      </w:pPr>
      <w:r>
        <w:rPr>
          <w:rFonts w:ascii="Times New Roman" w:hAnsi="Times New Roman"/>
          <w:bCs/>
          <w:i/>
          <w:szCs w:val="24"/>
        </w:rPr>
        <w:t xml:space="preserve">For the Second Respondent : </w:t>
      </w:r>
      <w:r w:rsidR="008E65DF">
        <w:rPr>
          <w:rFonts w:ascii="Times New Roman" w:hAnsi="Times New Roman"/>
          <w:bCs/>
          <w:i/>
          <w:szCs w:val="24"/>
        </w:rPr>
        <w:t xml:space="preserve"> Mr</w:t>
      </w:r>
      <w:r w:rsidR="00A51EE6">
        <w:rPr>
          <w:rFonts w:ascii="Times New Roman" w:hAnsi="Times New Roman"/>
          <w:bCs/>
          <w:i/>
          <w:szCs w:val="24"/>
        </w:rPr>
        <w:t>.</w:t>
      </w:r>
      <w:r w:rsidR="008E65DF">
        <w:rPr>
          <w:rFonts w:ascii="Times New Roman" w:hAnsi="Times New Roman"/>
          <w:bCs/>
          <w:i/>
          <w:szCs w:val="24"/>
        </w:rPr>
        <w:t xml:space="preserve"> O</w:t>
      </w:r>
      <w:r w:rsidR="00E60940">
        <w:rPr>
          <w:rFonts w:ascii="Times New Roman" w:hAnsi="Times New Roman"/>
          <w:bCs/>
          <w:i/>
          <w:szCs w:val="24"/>
        </w:rPr>
        <w:t>H</w:t>
      </w:r>
      <w:r w:rsidR="008E65DF">
        <w:rPr>
          <w:rFonts w:ascii="Times New Roman" w:hAnsi="Times New Roman"/>
          <w:bCs/>
          <w:i/>
          <w:szCs w:val="24"/>
        </w:rPr>
        <w:t xml:space="preserve"> Ronaasen </w:t>
      </w:r>
      <w:r w:rsidR="00E60940">
        <w:rPr>
          <w:rFonts w:ascii="Times New Roman" w:hAnsi="Times New Roman"/>
          <w:bCs/>
          <w:i/>
          <w:szCs w:val="24"/>
        </w:rPr>
        <w:t xml:space="preserve">SC </w:t>
      </w:r>
      <w:r w:rsidR="008E65DF">
        <w:rPr>
          <w:rFonts w:ascii="Times New Roman" w:hAnsi="Times New Roman"/>
          <w:bCs/>
          <w:i/>
          <w:szCs w:val="24"/>
        </w:rPr>
        <w:t>instructed by Friedman Scheck</w:t>
      </w:r>
      <w:r w:rsidR="00A51EE6">
        <w:rPr>
          <w:rFonts w:ascii="Times New Roman" w:hAnsi="Times New Roman"/>
          <w:bCs/>
          <w:i/>
          <w:szCs w:val="24"/>
        </w:rPr>
        <w:t>t</w:t>
      </w:r>
      <w:r w:rsidR="008E65DF">
        <w:rPr>
          <w:rFonts w:ascii="Times New Roman" w:hAnsi="Times New Roman"/>
          <w:bCs/>
          <w:i/>
          <w:szCs w:val="24"/>
        </w:rPr>
        <w:t>er, Gqeberha (ref. Mr. Friedman)</w:t>
      </w:r>
      <w:r w:rsidR="00307D7D">
        <w:rPr>
          <w:rFonts w:ascii="Times New Roman" w:hAnsi="Times New Roman"/>
          <w:bCs/>
          <w:i/>
          <w:szCs w:val="24"/>
        </w:rPr>
        <w:t>.</w:t>
      </w:r>
    </w:p>
    <w:sectPr w:rsidR="009A0506" w:rsidRPr="009A0506" w:rsidSect="00DD12AE">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78E90" w14:textId="77777777" w:rsidR="00D722FB" w:rsidRDefault="00D722FB" w:rsidP="00DD12AE">
      <w:r>
        <w:separator/>
      </w:r>
    </w:p>
  </w:endnote>
  <w:endnote w:type="continuationSeparator" w:id="0">
    <w:p w14:paraId="370F472B" w14:textId="77777777" w:rsidR="00D722FB" w:rsidRDefault="00D722FB" w:rsidP="00DD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9ACBA" w14:textId="77777777" w:rsidR="00D722FB" w:rsidRDefault="00D722FB" w:rsidP="00DD12AE">
      <w:r>
        <w:separator/>
      </w:r>
    </w:p>
  </w:footnote>
  <w:footnote w:type="continuationSeparator" w:id="0">
    <w:p w14:paraId="561261E6" w14:textId="77777777" w:rsidR="00D722FB" w:rsidRDefault="00D722FB" w:rsidP="00DD12AE">
      <w:r>
        <w:continuationSeparator/>
      </w:r>
    </w:p>
  </w:footnote>
  <w:footnote w:id="1">
    <w:p w14:paraId="5CAC2A6F" w14:textId="4D2084C7" w:rsidR="00D801A0" w:rsidRPr="00D801A0" w:rsidRDefault="00D801A0" w:rsidP="00843C20">
      <w:pPr>
        <w:pStyle w:val="FootnoteText"/>
        <w:spacing w:before="100" w:beforeAutospacing="1" w:after="100" w:afterAutospacing="1"/>
        <w:contextualSpacing/>
        <w:jc w:val="both"/>
        <w:rPr>
          <w:lang w:val="en-US"/>
        </w:rPr>
      </w:pPr>
      <w:r>
        <w:rPr>
          <w:rStyle w:val="FootnoteReference"/>
        </w:rPr>
        <w:footnoteRef/>
      </w:r>
      <w:r>
        <w:t xml:space="preserve"> </w:t>
      </w:r>
      <w:r>
        <w:rPr>
          <w:lang w:val="en-US"/>
        </w:rPr>
        <w:t xml:space="preserve">The second respondent applied successfully and without challenge </w:t>
      </w:r>
      <w:r w:rsidR="00114A47">
        <w:rPr>
          <w:lang w:val="en-US"/>
        </w:rPr>
        <w:t xml:space="preserve">after the fact </w:t>
      </w:r>
      <w:r>
        <w:rPr>
          <w:lang w:val="en-US"/>
        </w:rPr>
        <w:t>to join as the second respondent on the return day.</w:t>
      </w:r>
      <w:r w:rsidR="00114A47">
        <w:rPr>
          <w:lang w:val="en-US"/>
        </w:rPr>
        <w:t xml:space="preserve">  By the launch of the application their identity was alleged to have been unknown to the applicants.</w:t>
      </w:r>
    </w:p>
  </w:footnote>
  <w:footnote w:id="2">
    <w:p w14:paraId="62BF68DA" w14:textId="1B252B7D" w:rsidR="00C60B7D" w:rsidRPr="00C60B7D" w:rsidRDefault="00C60B7D" w:rsidP="00843C20">
      <w:pPr>
        <w:pStyle w:val="FootnoteText"/>
        <w:spacing w:before="100" w:beforeAutospacing="1" w:after="100" w:afterAutospacing="1"/>
        <w:contextualSpacing/>
        <w:jc w:val="both"/>
        <w:rPr>
          <w:lang w:val="en-US"/>
        </w:rPr>
      </w:pPr>
      <w:r>
        <w:rPr>
          <w:rStyle w:val="FootnoteReference"/>
        </w:rPr>
        <w:footnoteRef/>
      </w:r>
      <w:r>
        <w:t xml:space="preserve"> </w:t>
      </w:r>
      <w:r>
        <w:rPr>
          <w:lang w:val="en-US"/>
        </w:rPr>
        <w:t xml:space="preserve">As at the date of the launch of the application the first </w:t>
      </w:r>
      <w:r w:rsidR="00144D06">
        <w:rPr>
          <w:lang w:val="en-US"/>
        </w:rPr>
        <w:t>applican</w:t>
      </w:r>
      <w:r>
        <w:rPr>
          <w:lang w:val="en-US"/>
        </w:rPr>
        <w:t xml:space="preserve">t’s existing </w:t>
      </w:r>
      <w:r w:rsidR="00B13697">
        <w:rPr>
          <w:lang w:val="en-US"/>
        </w:rPr>
        <w:t>short-term</w:t>
      </w:r>
      <w:r>
        <w:rPr>
          <w:lang w:val="en-US"/>
        </w:rPr>
        <w:t xml:space="preserve"> contract was due to expire on that same </w:t>
      </w:r>
      <w:r w:rsidR="00B13697">
        <w:rPr>
          <w:lang w:val="en-US"/>
        </w:rPr>
        <w:t>day,</w:t>
      </w:r>
      <w:r w:rsidR="003619EA">
        <w:rPr>
          <w:lang w:val="en-US"/>
        </w:rPr>
        <w:t xml:space="preserve"> but it was not the objective by the temporary interdict proceedings to challenge that inevitability. </w:t>
      </w:r>
      <w:r w:rsidR="00144D06">
        <w:rPr>
          <w:lang w:val="en-US"/>
        </w:rPr>
        <w:t>The history of its short-term stints with the Department that were extended</w:t>
      </w:r>
      <w:r w:rsidR="00144D06" w:rsidRPr="00144D06">
        <w:rPr>
          <w:lang w:val="en-US"/>
        </w:rPr>
        <w:t xml:space="preserve"> </w:t>
      </w:r>
      <w:r w:rsidR="003041C9">
        <w:rPr>
          <w:lang w:val="en-US"/>
        </w:rPr>
        <w:t xml:space="preserve">for short intervals at a time </w:t>
      </w:r>
      <w:r w:rsidR="00144D06">
        <w:rPr>
          <w:lang w:val="en-US"/>
        </w:rPr>
        <w:t xml:space="preserve">before was merely incidental to the features of the matter and bore some relevance to </w:t>
      </w:r>
      <w:r w:rsidR="003041C9">
        <w:rPr>
          <w:lang w:val="en-US"/>
        </w:rPr>
        <w:t xml:space="preserve">the issue of </w:t>
      </w:r>
      <w:r w:rsidR="00144D06">
        <w:rPr>
          <w:lang w:val="en-US"/>
        </w:rPr>
        <w:t>urgency and the element of balance of convenience (as a consequence to staff that the work cycles would be changing from short to long term arrangements</w:t>
      </w:r>
      <w:r w:rsidR="003041C9">
        <w:rPr>
          <w:lang w:val="en-US"/>
        </w:rPr>
        <w:t xml:space="preserve"> and might not be renewed cyclically as before</w:t>
      </w:r>
      <w:r w:rsidR="00144D06">
        <w:rPr>
          <w:lang w:val="en-US"/>
        </w:rPr>
        <w:t>)</w:t>
      </w:r>
      <w:r w:rsidR="003041C9">
        <w:rPr>
          <w:lang w:val="en-US"/>
        </w:rPr>
        <w:t>,</w:t>
      </w:r>
      <w:r w:rsidR="00144D06">
        <w:rPr>
          <w:lang w:val="en-US"/>
        </w:rPr>
        <w:t xml:space="preserve"> but it was not the </w:t>
      </w:r>
      <w:r w:rsidR="00144D06" w:rsidRPr="00144D06">
        <w:rPr>
          <w:i/>
          <w:iCs/>
          <w:lang w:val="en-US"/>
        </w:rPr>
        <w:t>prima facie</w:t>
      </w:r>
      <w:r w:rsidR="00144D06">
        <w:rPr>
          <w:lang w:val="en-US"/>
        </w:rPr>
        <w:t xml:space="preserve"> right relied upon</w:t>
      </w:r>
      <w:r w:rsidR="009933B8">
        <w:rPr>
          <w:lang w:val="en-US"/>
        </w:rPr>
        <w:t xml:space="preserve"> by the applicants for the temporary interdict.</w:t>
      </w:r>
    </w:p>
  </w:footnote>
  <w:footnote w:id="3">
    <w:p w14:paraId="343CAF4B" w14:textId="38431FC3" w:rsidR="009933B8" w:rsidRPr="009933B8" w:rsidRDefault="009933B8" w:rsidP="00843C20">
      <w:pPr>
        <w:pStyle w:val="FootnoteText"/>
        <w:spacing w:before="100" w:beforeAutospacing="1" w:after="100" w:afterAutospacing="1"/>
        <w:contextualSpacing/>
        <w:rPr>
          <w:lang w:val="en-GB"/>
        </w:rPr>
      </w:pPr>
      <w:r>
        <w:rPr>
          <w:rStyle w:val="FootnoteReference"/>
        </w:rPr>
        <w:footnoteRef/>
      </w:r>
      <w:r>
        <w:t xml:space="preserve"> </w:t>
      </w:r>
      <w:r>
        <w:rPr>
          <w:lang w:val="en-GB"/>
        </w:rPr>
        <w:t xml:space="preserve">The trend up to the date of the impugned tender award had been to engage </w:t>
      </w:r>
      <w:r w:rsidR="003041C9">
        <w:rPr>
          <w:lang w:val="en-GB"/>
        </w:rPr>
        <w:t xml:space="preserve">the services of </w:t>
      </w:r>
      <w:r>
        <w:rPr>
          <w:lang w:val="en-GB"/>
        </w:rPr>
        <w:t>security providers for short periods at a time with those cycles being extended from time to time at the Department’s election.</w:t>
      </w:r>
    </w:p>
  </w:footnote>
  <w:footnote w:id="4">
    <w:p w14:paraId="3EBB78B7" w14:textId="6F9B35AD" w:rsidR="00D801A0" w:rsidRPr="00D801A0" w:rsidRDefault="00D801A0" w:rsidP="00843C20">
      <w:pPr>
        <w:pStyle w:val="FootnoteText"/>
        <w:spacing w:before="100" w:beforeAutospacing="1" w:after="100" w:afterAutospacing="1"/>
        <w:contextualSpacing/>
        <w:jc w:val="both"/>
        <w:rPr>
          <w:lang w:val="en-US"/>
        </w:rPr>
      </w:pPr>
      <w:r>
        <w:rPr>
          <w:rStyle w:val="FootnoteReference"/>
        </w:rPr>
        <w:footnoteRef/>
      </w:r>
      <w:r w:rsidR="00B46D26">
        <w:t xml:space="preserve"> </w:t>
      </w:r>
      <w:r>
        <w:rPr>
          <w:lang w:val="en-US"/>
        </w:rPr>
        <w:t>Initially they averred that the bid</w:t>
      </w:r>
      <w:r w:rsidR="00A829CA">
        <w:rPr>
          <w:lang w:val="en-US"/>
        </w:rPr>
        <w:t xml:space="preserve"> had been</w:t>
      </w:r>
      <w:r>
        <w:rPr>
          <w:lang w:val="en-US"/>
        </w:rPr>
        <w:t xml:space="preserve"> extended</w:t>
      </w:r>
      <w:r w:rsidR="00A829CA">
        <w:rPr>
          <w:lang w:val="en-US"/>
        </w:rPr>
        <w:t xml:space="preserve"> a</w:t>
      </w:r>
      <w:r>
        <w:rPr>
          <w:lang w:val="en-US"/>
        </w:rPr>
        <w:t>fter the tender validity period has expired, an averment which Ms. Crouse, who appeared for the applicants</w:t>
      </w:r>
      <w:r w:rsidR="002A63A3">
        <w:rPr>
          <w:lang w:val="en-US"/>
        </w:rPr>
        <w:t xml:space="preserve"> together with Mr. Mfenyane</w:t>
      </w:r>
      <w:r>
        <w:rPr>
          <w:lang w:val="en-US"/>
        </w:rPr>
        <w:t xml:space="preserve">, </w:t>
      </w:r>
      <w:r w:rsidR="00A829CA">
        <w:rPr>
          <w:lang w:val="en-US"/>
        </w:rPr>
        <w:t xml:space="preserve">assured the court </w:t>
      </w:r>
      <w:r>
        <w:rPr>
          <w:lang w:val="en-US"/>
        </w:rPr>
        <w:t>had been an error or mistaken assumption made in the haste of preparing the papers under the exigencies which had prevailed.</w:t>
      </w:r>
      <w:r w:rsidR="00A829CA">
        <w:rPr>
          <w:lang w:val="en-US"/>
        </w:rPr>
        <w:t xml:space="preserve">  From the moment of this </w:t>
      </w:r>
      <w:r w:rsidR="009933B8">
        <w:rPr>
          <w:lang w:val="en-US"/>
        </w:rPr>
        <w:t>realization,</w:t>
      </w:r>
      <w:r w:rsidR="00A829CA">
        <w:rPr>
          <w:lang w:val="en-US"/>
        </w:rPr>
        <w:t xml:space="preserve"> she confirmed that the alleged irregularity relied upon in this respect </w:t>
      </w:r>
      <w:r w:rsidR="002A63A3">
        <w:rPr>
          <w:lang w:val="en-US"/>
        </w:rPr>
        <w:t xml:space="preserve">had been promptly </w:t>
      </w:r>
      <w:r w:rsidR="00A829CA">
        <w:rPr>
          <w:lang w:val="en-US"/>
        </w:rPr>
        <w:t>abandoned.</w:t>
      </w:r>
      <w:r>
        <w:rPr>
          <w:lang w:val="en-US"/>
        </w:rPr>
        <w:t xml:space="preserve"> </w:t>
      </w:r>
      <w:r w:rsidR="00AE2F39">
        <w:rPr>
          <w:lang w:val="en-US"/>
        </w:rPr>
        <w:t xml:space="preserve"> It was an obvious mistake because the copy of the notice of extension of validity of the bid (SM 6) self-evidently reflects the initial validity period to</w:t>
      </w:r>
      <w:r w:rsidR="002A63A3">
        <w:rPr>
          <w:lang w:val="en-US"/>
        </w:rPr>
        <w:t xml:space="preserve"> have been for</w:t>
      </w:r>
      <w:r w:rsidR="00AE2F39">
        <w:rPr>
          <w:lang w:val="en-US"/>
        </w:rPr>
        <w:t xml:space="preserve"> four months (120 days).  </w:t>
      </w:r>
      <w:r w:rsidR="00C60B7D">
        <w:rPr>
          <w:lang w:val="en-US"/>
        </w:rPr>
        <w:t xml:space="preserve">It was most unfortunate that this </w:t>
      </w:r>
      <w:r w:rsidR="00B46D26">
        <w:rPr>
          <w:lang w:val="en-US"/>
        </w:rPr>
        <w:t xml:space="preserve">contradicted the assertion made in the founding affidavit that the </w:t>
      </w:r>
      <w:r w:rsidR="00A829CA">
        <w:rPr>
          <w:lang w:val="en-US"/>
        </w:rPr>
        <w:t xml:space="preserve">tender had </w:t>
      </w:r>
      <w:r w:rsidR="00B46D26">
        <w:rPr>
          <w:lang w:val="en-US"/>
        </w:rPr>
        <w:t xml:space="preserve">expired 90 days </w:t>
      </w:r>
      <w:r w:rsidR="00A829CA">
        <w:rPr>
          <w:lang w:val="en-US"/>
        </w:rPr>
        <w:t>from the closing date of the bid</w:t>
      </w:r>
      <w:r w:rsidR="00B46D26">
        <w:rPr>
          <w:lang w:val="en-US"/>
        </w:rPr>
        <w:t>.  Ms. Crouse attributed this</w:t>
      </w:r>
      <w:r w:rsidR="00A829CA">
        <w:rPr>
          <w:lang w:val="en-US"/>
        </w:rPr>
        <w:t xml:space="preserve"> mistake</w:t>
      </w:r>
      <w:r w:rsidR="00B46D26">
        <w:rPr>
          <w:lang w:val="en-US"/>
        </w:rPr>
        <w:t xml:space="preserve"> to negligence on the</w:t>
      </w:r>
      <w:r w:rsidR="002A63A3">
        <w:rPr>
          <w:lang w:val="en-US"/>
        </w:rPr>
        <w:t xml:space="preserve"> part of the</w:t>
      </w:r>
      <w:r w:rsidR="00B46D26">
        <w:rPr>
          <w:lang w:val="en-US"/>
        </w:rPr>
        <w:t xml:space="preserve"> applicants’ legal representative which she accepted without hesitation as a blunder.  I was inclined to accept her </w:t>
      </w:r>
      <w:r w:rsidR="00B46D26" w:rsidRPr="00B46D26">
        <w:rPr>
          <w:i/>
          <w:iCs/>
          <w:lang w:val="en-US"/>
        </w:rPr>
        <w:t xml:space="preserve">bona fides </w:t>
      </w:r>
      <w:r w:rsidR="00B46D26">
        <w:rPr>
          <w:lang w:val="en-US"/>
        </w:rPr>
        <w:t>in this respect</w:t>
      </w:r>
      <w:r w:rsidR="00B13697">
        <w:rPr>
          <w:lang w:val="en-US"/>
        </w:rPr>
        <w:t xml:space="preserve"> though the respondents sought to make capital of the obviously mistaken premise as an indication of the applicants’ supposed </w:t>
      </w:r>
      <w:r w:rsidR="00B13697" w:rsidRPr="00B13697">
        <w:rPr>
          <w:i/>
          <w:iCs/>
          <w:lang w:val="en-US"/>
        </w:rPr>
        <w:t>mala fides</w:t>
      </w:r>
      <w:r w:rsidR="00B13697">
        <w:rPr>
          <w:lang w:val="en-US"/>
        </w:rPr>
        <w:t>.</w:t>
      </w:r>
    </w:p>
  </w:footnote>
  <w:footnote w:id="5">
    <w:p w14:paraId="69193652" w14:textId="1559D359" w:rsidR="00B13697" w:rsidRPr="00B13697" w:rsidRDefault="00B13697" w:rsidP="00843C20">
      <w:pPr>
        <w:pStyle w:val="FootnoteText"/>
        <w:spacing w:before="100" w:beforeAutospacing="1" w:after="100" w:afterAutospacing="1"/>
        <w:contextualSpacing/>
        <w:jc w:val="both"/>
        <w:rPr>
          <w:lang w:val="en-GB"/>
        </w:rPr>
      </w:pPr>
      <w:r>
        <w:rPr>
          <w:rStyle w:val="FootnoteReference"/>
        </w:rPr>
        <w:footnoteRef/>
      </w:r>
      <w:r>
        <w:t xml:space="preserve"> </w:t>
      </w:r>
      <w:r>
        <w:rPr>
          <w:lang w:val="en-GB"/>
        </w:rPr>
        <w:t xml:space="preserve">This was not the primary reason for the applicants’ concerns with the </w:t>
      </w:r>
      <w:r w:rsidR="009933B8">
        <w:rPr>
          <w:lang w:val="en-GB"/>
        </w:rPr>
        <w:t xml:space="preserve">tender </w:t>
      </w:r>
      <w:r>
        <w:rPr>
          <w:lang w:val="en-GB"/>
        </w:rPr>
        <w:t>process</w:t>
      </w:r>
      <w:r w:rsidR="00721C33">
        <w:rPr>
          <w:lang w:val="en-GB"/>
        </w:rPr>
        <w:t xml:space="preserve"> but they alleged in </w:t>
      </w:r>
      <w:r w:rsidR="00671118">
        <w:rPr>
          <w:lang w:val="en-GB"/>
        </w:rPr>
        <w:t>summarising their concerns that</w:t>
      </w:r>
      <w:r w:rsidR="00721C33">
        <w:rPr>
          <w:lang w:val="en-GB"/>
        </w:rPr>
        <w:t xml:space="preserve"> the successful tenderer “is not even from Gqeberha by all accounts.”</w:t>
      </w:r>
      <w:r w:rsidR="00721C33" w:rsidRPr="00721C33">
        <w:t xml:space="preserve"> </w:t>
      </w:r>
      <w:r w:rsidR="00721C33">
        <w:t xml:space="preserve">It was not clear </w:t>
      </w:r>
      <w:r w:rsidR="00671118">
        <w:t xml:space="preserve">incidentally </w:t>
      </w:r>
      <w:r w:rsidR="00721C33">
        <w:t xml:space="preserve">whether </w:t>
      </w:r>
      <w:r w:rsidR="009933B8">
        <w:t>it</w:t>
      </w:r>
      <w:r w:rsidR="00721C33">
        <w:t xml:space="preserve"> was an actual condition of the tender</w:t>
      </w:r>
      <w:r w:rsidR="009933B8">
        <w:t xml:space="preserve"> that the bidder had to be a local entity</w:t>
      </w:r>
      <w:r w:rsidR="00721C33">
        <w:t>.  The second respondent was keen to impress upon the court though that it had a Gqeberha connection or footprint in the local area and the first respondent justified its appointment as the successful bidder on the basis of an application of “local preference”.  The first respondent clarified to the applicants’ legal representative</w:t>
      </w:r>
      <w:r w:rsidR="00E273FA">
        <w:t xml:space="preserve"> in its formal reasons</w:t>
      </w:r>
      <w:r w:rsidR="00721C33">
        <w:t xml:space="preserve">, </w:t>
      </w:r>
      <w:r w:rsidR="00671118">
        <w:t>probably in response to</w:t>
      </w:r>
      <w:r w:rsidR="00721C33">
        <w:t xml:space="preserve"> the </w:t>
      </w:r>
      <w:r w:rsidR="00711637">
        <w:t xml:space="preserve">Forum’s </w:t>
      </w:r>
      <w:r w:rsidR="00671118">
        <w:t>concern raised that</w:t>
      </w:r>
      <w:r w:rsidR="00721C33">
        <w:t xml:space="preserve"> the winning bidder “is” not based in Gqeberha, that such a preference was included in the bid </w:t>
      </w:r>
      <w:r w:rsidR="00C86ECD">
        <w:t>document but</w:t>
      </w:r>
      <w:r w:rsidR="00721C33">
        <w:t xml:space="preserve"> suggested that it was a preference rather than a qualification criterion for the award of the tender.  In order to “qualify” for local preference, so they rationalised, services providers were required “to provide documents to support local presence”.  Without putting up any documents, the first respondent </w:t>
      </w:r>
      <w:r w:rsidR="00876BFD">
        <w:t>claimed</w:t>
      </w:r>
      <w:r w:rsidR="00721C33">
        <w:t xml:space="preserve"> that the </w:t>
      </w:r>
      <w:r w:rsidR="00E451DF">
        <w:t xml:space="preserve">unnamed </w:t>
      </w:r>
      <w:r w:rsidR="00721C33">
        <w:t>“service provider”</w:t>
      </w:r>
      <w:r w:rsidR="00E451DF">
        <w:t xml:space="preserve"> </w:t>
      </w:r>
      <w:r w:rsidR="00721C33">
        <w:t xml:space="preserve">had complied with this “requirement” by “providing the required supporting documents which were found acceptable by all the committees”.  Elsewhere the </w:t>
      </w:r>
      <w:r w:rsidR="00876BFD">
        <w:t>first</w:t>
      </w:r>
      <w:r w:rsidR="00721C33">
        <w:t xml:space="preserve"> respondent alluded to a meeting held on 3 August 2022 arising from “(its) requirement that at least 50% of the successful tenderer’s staff had to be local and have previously been employed by existing service providers”.  I accepted therefore that in all probability it was a requirement of the tender that the successful bidder had to be based in Gqeberha and the first respondent certainly seemed constrained to want to justify that the winning bidder (self-evidently unknown to the Forum representing security providers in Gqeberha) had </w:t>
      </w:r>
      <w:r w:rsidR="00876BFD">
        <w:t>met its</w:t>
      </w:r>
      <w:r w:rsidR="00721C33">
        <w:t xml:space="preserve"> requirement</w:t>
      </w:r>
      <w:r w:rsidR="00711637">
        <w:t xml:space="preserve"> in this respect.  The applicants</w:t>
      </w:r>
      <w:r w:rsidR="00876BFD">
        <w:t>’ attorneys</w:t>
      </w:r>
      <w:r w:rsidR="00711637">
        <w:t xml:space="preserve"> however </w:t>
      </w:r>
      <w:r w:rsidR="00E451DF">
        <w:t>came with a different approach</w:t>
      </w:r>
      <w:r w:rsidR="00C86ECD">
        <w:t xml:space="preserve"> in their quest to get to the bottom of things</w:t>
      </w:r>
      <w:r w:rsidR="00711637">
        <w:t xml:space="preserve">.  </w:t>
      </w:r>
      <w:r w:rsidR="00671118">
        <w:t xml:space="preserve">They </w:t>
      </w:r>
      <w:r w:rsidR="00E451DF">
        <w:t>simply wanted</w:t>
      </w:r>
      <w:r w:rsidR="00671118">
        <w:t xml:space="preserve"> to know why their</w:t>
      </w:r>
      <w:r w:rsidR="00876BFD">
        <w:t xml:space="preserve"> client’s</w:t>
      </w:r>
      <w:r w:rsidR="00711637">
        <w:t xml:space="preserve"> bids</w:t>
      </w:r>
      <w:r w:rsidR="00671118">
        <w:t xml:space="preserve"> had </w:t>
      </w:r>
      <w:r w:rsidR="0062733F">
        <w:t>been disqualified</w:t>
      </w:r>
      <w:r w:rsidR="00711637">
        <w:t xml:space="preserve">, </w:t>
      </w:r>
      <w:r w:rsidR="0062733F">
        <w:t>or conversely</w:t>
      </w:r>
      <w:r w:rsidR="00876BFD">
        <w:t xml:space="preserve"> stated</w:t>
      </w:r>
      <w:r w:rsidR="0062733F">
        <w:t>,</w:t>
      </w:r>
      <w:r w:rsidR="00711637">
        <w:t xml:space="preserve"> on what basis the winn</w:t>
      </w:r>
      <w:r w:rsidR="00671118">
        <w:t>ing</w:t>
      </w:r>
      <w:r w:rsidR="00711637">
        <w:t xml:space="preserve"> bidder </w:t>
      </w:r>
      <w:r w:rsidR="00671118">
        <w:t>had made</w:t>
      </w:r>
      <w:r w:rsidR="00711637">
        <w:t xml:space="preserve"> it through successfully</w:t>
      </w:r>
      <w:r w:rsidR="00876BFD">
        <w:t xml:space="preserve"> to the exclusion of their clients.</w:t>
      </w:r>
    </w:p>
  </w:footnote>
  <w:footnote w:id="6">
    <w:p w14:paraId="68C6DBE4" w14:textId="7BA9FED2" w:rsidR="0062733F" w:rsidRPr="0062733F" w:rsidRDefault="0062733F" w:rsidP="00843C20">
      <w:pPr>
        <w:pStyle w:val="FootnoteText"/>
        <w:spacing w:before="100" w:beforeAutospacing="1" w:after="100" w:afterAutospacing="1"/>
        <w:contextualSpacing/>
        <w:rPr>
          <w:lang w:val="en-GB"/>
        </w:rPr>
      </w:pPr>
      <w:r>
        <w:rPr>
          <w:rStyle w:val="FootnoteReference"/>
        </w:rPr>
        <w:footnoteRef/>
      </w:r>
      <w:r>
        <w:t xml:space="preserve"> </w:t>
      </w:r>
      <w:r>
        <w:rPr>
          <w:lang w:val="en-GB"/>
        </w:rPr>
        <w:t>These were not provided by the first respondent even to the court.</w:t>
      </w:r>
    </w:p>
  </w:footnote>
  <w:footnote w:id="7">
    <w:p w14:paraId="2784052D" w14:textId="560CB02F" w:rsidR="00210989" w:rsidRPr="00210989" w:rsidRDefault="00210989" w:rsidP="00843C20">
      <w:pPr>
        <w:pStyle w:val="FootnoteText"/>
        <w:spacing w:before="100" w:beforeAutospacing="1" w:after="100" w:afterAutospacing="1"/>
        <w:contextualSpacing/>
        <w:rPr>
          <w:lang w:val="en-GB"/>
        </w:rPr>
      </w:pPr>
      <w:r>
        <w:rPr>
          <w:rStyle w:val="FootnoteReference"/>
        </w:rPr>
        <w:footnoteRef/>
      </w:r>
      <w:r>
        <w:t xml:space="preserve"> </w:t>
      </w:r>
      <w:r>
        <w:rPr>
          <w:lang w:val="en-GB"/>
        </w:rPr>
        <w:t xml:space="preserve">No </w:t>
      </w:r>
      <w:r w:rsidR="00F37FA7">
        <w:rPr>
          <w:lang w:val="en-GB"/>
        </w:rPr>
        <w:t xml:space="preserve">5 </w:t>
      </w:r>
      <w:r>
        <w:rPr>
          <w:lang w:val="en-GB"/>
        </w:rPr>
        <w:t>of 2000.</w:t>
      </w:r>
    </w:p>
  </w:footnote>
  <w:footnote w:id="8">
    <w:p w14:paraId="452584B8" w14:textId="3BD57BDF" w:rsidR="00820A10" w:rsidRPr="00820A10" w:rsidRDefault="00820A10" w:rsidP="00843C20">
      <w:pPr>
        <w:pStyle w:val="FootnoteText"/>
        <w:spacing w:before="100" w:beforeAutospacing="1" w:after="100" w:afterAutospacing="1"/>
        <w:contextualSpacing/>
        <w:rPr>
          <w:lang w:val="en-GB"/>
        </w:rPr>
      </w:pPr>
      <w:r>
        <w:rPr>
          <w:rStyle w:val="FootnoteReference"/>
        </w:rPr>
        <w:footnoteRef/>
      </w:r>
      <w:r>
        <w:t xml:space="preserve"> </w:t>
      </w:r>
      <w:r>
        <w:rPr>
          <w:lang w:val="en-GB"/>
        </w:rPr>
        <w:t xml:space="preserve">The first respondent was not even bothered to </w:t>
      </w:r>
      <w:r w:rsidR="00F510BF">
        <w:rPr>
          <w:lang w:val="en-GB"/>
        </w:rPr>
        <w:t>confirm</w:t>
      </w:r>
      <w:r>
        <w:rPr>
          <w:lang w:val="en-GB"/>
        </w:rPr>
        <w:t xml:space="preserve"> when the Department had awarded the tender.  This date (6 July 2022) was coincidentally revealed by the second respondent. </w:t>
      </w:r>
    </w:p>
  </w:footnote>
  <w:footnote w:id="9">
    <w:p w14:paraId="614FBC57" w14:textId="2EC9481D" w:rsidR="004B6C55" w:rsidRPr="00CE1E4A" w:rsidRDefault="004B6C55" w:rsidP="00843C20">
      <w:pPr>
        <w:pStyle w:val="FootnoteText"/>
        <w:spacing w:before="100" w:beforeAutospacing="1" w:after="100" w:afterAutospacing="1"/>
        <w:contextualSpacing/>
        <w:jc w:val="both"/>
        <w:rPr>
          <w:lang w:val="en-US"/>
        </w:rPr>
      </w:pPr>
      <w:r>
        <w:rPr>
          <w:rStyle w:val="FootnoteReference"/>
        </w:rPr>
        <w:footnoteRef/>
      </w:r>
      <w:r>
        <w:t xml:space="preserve"> </w:t>
      </w:r>
      <w:r>
        <w:rPr>
          <w:lang w:val="en-US"/>
        </w:rPr>
        <w:t>The winn</w:t>
      </w:r>
      <w:r w:rsidR="002A63A3">
        <w:rPr>
          <w:lang w:val="en-US"/>
        </w:rPr>
        <w:t>ing bidder is however referred</w:t>
      </w:r>
      <w:r w:rsidR="004B415D">
        <w:rPr>
          <w:lang w:val="en-US"/>
        </w:rPr>
        <w:t xml:space="preserve"> to</w:t>
      </w:r>
      <w:r w:rsidR="002A63A3">
        <w:rPr>
          <w:lang w:val="en-US"/>
        </w:rPr>
        <w:t xml:space="preserve"> </w:t>
      </w:r>
      <w:r>
        <w:rPr>
          <w:lang w:val="en-US"/>
        </w:rPr>
        <w:t xml:space="preserve">in the bulletin </w:t>
      </w:r>
      <w:r w:rsidR="00A40EB3">
        <w:rPr>
          <w:lang w:val="en-US"/>
        </w:rPr>
        <w:t>as</w:t>
      </w:r>
      <w:r>
        <w:rPr>
          <w:lang w:val="en-US"/>
        </w:rPr>
        <w:t xml:space="preserve"> “Golden Security”</w:t>
      </w:r>
      <w:r w:rsidR="002A63A3">
        <w:rPr>
          <w:lang w:val="en-US"/>
        </w:rPr>
        <w:t xml:space="preserve"> only</w:t>
      </w:r>
      <w:r w:rsidR="00A40EB3">
        <w:rPr>
          <w:lang w:val="en-US"/>
        </w:rPr>
        <w:t xml:space="preserve"> </w:t>
      </w:r>
      <w:r>
        <w:rPr>
          <w:lang w:val="en-US"/>
        </w:rPr>
        <w:t>without reference</w:t>
      </w:r>
      <w:r w:rsidR="00A40EB3">
        <w:rPr>
          <w:lang w:val="en-US"/>
        </w:rPr>
        <w:t xml:space="preserve"> even</w:t>
      </w:r>
      <w:r>
        <w:rPr>
          <w:lang w:val="en-US"/>
        </w:rPr>
        <w:t xml:space="preserve"> to the fact that it is a close corporation.</w:t>
      </w:r>
      <w:r w:rsidR="00B22C72">
        <w:rPr>
          <w:lang w:val="en-US"/>
        </w:rPr>
        <w:t xml:space="preserve"> </w:t>
      </w:r>
    </w:p>
  </w:footnote>
  <w:footnote w:id="10">
    <w:p w14:paraId="566425A7" w14:textId="0CD44D74" w:rsidR="004B6C55" w:rsidRPr="00300FE3" w:rsidRDefault="004B6C55" w:rsidP="00843C20">
      <w:pPr>
        <w:pStyle w:val="FootnoteText"/>
        <w:spacing w:before="100" w:beforeAutospacing="1" w:after="100" w:afterAutospacing="1"/>
        <w:contextualSpacing/>
        <w:jc w:val="both"/>
        <w:rPr>
          <w:lang w:val="en-US"/>
        </w:rPr>
      </w:pPr>
      <w:r>
        <w:rPr>
          <w:rStyle w:val="FootnoteReference"/>
        </w:rPr>
        <w:footnoteRef/>
      </w:r>
      <w:r>
        <w:t xml:space="preserve"> </w:t>
      </w:r>
      <w:r>
        <w:rPr>
          <w:lang w:val="en-US"/>
        </w:rPr>
        <w:t xml:space="preserve">This argument was made on the back of the declaration of their invalidity by the Constitutional Court in </w:t>
      </w:r>
      <w:r w:rsidR="00BB424F">
        <w:rPr>
          <w:lang w:val="en-US"/>
        </w:rPr>
        <w:t xml:space="preserve">Minister of Finance v </w:t>
      </w:r>
      <w:r w:rsidR="00DE2F06">
        <w:rPr>
          <w:lang w:val="en-US"/>
        </w:rPr>
        <w:t>Afribusiness</w:t>
      </w:r>
      <w:r>
        <w:rPr>
          <w:lang w:val="en-US"/>
        </w:rPr>
        <w:t xml:space="preserve"> NPC 2002 (4) SA 362 (CC)</w:t>
      </w:r>
      <w:r w:rsidR="004B415D">
        <w:rPr>
          <w:lang w:val="en-US"/>
        </w:rPr>
        <w:t>.  Ms. Crouse explained that it was necessary to</w:t>
      </w:r>
      <w:r w:rsidR="00DE2F06">
        <w:rPr>
          <w:lang w:val="en-US"/>
        </w:rPr>
        <w:t xml:space="preserve"> </w:t>
      </w:r>
      <w:r w:rsidR="004B415D">
        <w:rPr>
          <w:lang w:val="en-US"/>
        </w:rPr>
        <w:t xml:space="preserve">reserve the applicant’s rights in respect of this ground depending on its import once the fully informed reasons for the administrative decision were to hand. </w:t>
      </w:r>
      <w:r w:rsidR="002F29C8">
        <w:rPr>
          <w:lang w:val="en-US"/>
        </w:rPr>
        <w:t>She assured the court that the applicants were not by including it as a possible ground for the anticipated review merely throwing the net as wide as possible.  Rather the</w:t>
      </w:r>
      <w:r w:rsidR="00DE2F06">
        <w:rPr>
          <w:lang w:val="en-US"/>
        </w:rPr>
        <w:t xml:space="preserve"> applicants</w:t>
      </w:r>
      <w:r w:rsidR="002F29C8">
        <w:rPr>
          <w:lang w:val="en-US"/>
        </w:rPr>
        <w:t xml:space="preserve"> needed to be astute lest there was any impact by </w:t>
      </w:r>
      <w:r w:rsidR="00B650BA">
        <w:rPr>
          <w:lang w:val="en-US"/>
        </w:rPr>
        <w:t>the impugned regulations and their import ultimately.</w:t>
      </w:r>
    </w:p>
  </w:footnote>
  <w:footnote w:id="11">
    <w:p w14:paraId="1D331F85" w14:textId="1CD8BB98" w:rsidR="009904D7" w:rsidRPr="009904D7" w:rsidRDefault="009904D7" w:rsidP="00843C20">
      <w:pPr>
        <w:pStyle w:val="FootnoteText"/>
        <w:spacing w:before="100" w:beforeAutospacing="1" w:after="100" w:afterAutospacing="1"/>
        <w:contextualSpacing/>
        <w:jc w:val="both"/>
        <w:rPr>
          <w:lang w:val="en-GB"/>
        </w:rPr>
      </w:pPr>
      <w:r>
        <w:rPr>
          <w:rStyle w:val="FootnoteReference"/>
        </w:rPr>
        <w:footnoteRef/>
      </w:r>
      <w:r>
        <w:t xml:space="preserve"> </w:t>
      </w:r>
      <w:r>
        <w:rPr>
          <w:lang w:val="en-GB"/>
        </w:rPr>
        <w:t xml:space="preserve">The applicants had asserted that the presumption in section 5 (3) of PAJA operated in their favour in this respect.  It was argued on behalf of the respondents that the presumption could only be relied on in proceedings for judicial review but I can perceive of no reason why the effect of a lack of good and proper reasons would not be relevant in interdict proceedings as a precursor to </w:t>
      </w:r>
      <w:r w:rsidR="00B650BA">
        <w:rPr>
          <w:lang w:val="en-GB"/>
        </w:rPr>
        <w:t>an</w:t>
      </w:r>
      <w:r>
        <w:rPr>
          <w:lang w:val="en-GB"/>
        </w:rPr>
        <w:t xml:space="preserve"> actual PAJA challenge</w:t>
      </w:r>
      <w:r w:rsidR="00B650BA">
        <w:rPr>
          <w:lang w:val="en-GB"/>
        </w:rPr>
        <w:t xml:space="preserve"> arising therefrom</w:t>
      </w:r>
      <w:r>
        <w:rPr>
          <w:lang w:val="en-GB"/>
        </w:rPr>
        <w:t xml:space="preserve">. In any event, the </w:t>
      </w:r>
      <w:r w:rsidR="00953957">
        <w:rPr>
          <w:lang w:val="en-GB"/>
        </w:rPr>
        <w:t xml:space="preserve">reasons had been given finally, after a claimed exhaustive process, so it was not unreasonable to assess their adequacy </w:t>
      </w:r>
      <w:r w:rsidR="00B650BA">
        <w:rPr>
          <w:lang w:val="en-GB"/>
        </w:rPr>
        <w:t>against</w:t>
      </w:r>
      <w:r w:rsidR="00953957">
        <w:rPr>
          <w:lang w:val="en-GB"/>
        </w:rPr>
        <w:t xml:space="preserve"> that </w:t>
      </w:r>
      <w:r w:rsidR="00B650BA">
        <w:rPr>
          <w:lang w:val="en-GB"/>
        </w:rPr>
        <w:t>background</w:t>
      </w:r>
      <w:r w:rsidR="00953957">
        <w:rPr>
          <w:lang w:val="en-GB"/>
        </w:rPr>
        <w:t xml:space="preserve">.  Logically they were deficient as they did not say why each of the applicant’s bids had been discounted, or why </w:t>
      </w:r>
      <w:r w:rsidR="00B650BA">
        <w:rPr>
          <w:lang w:val="en-GB"/>
        </w:rPr>
        <w:t>their removal</w:t>
      </w:r>
      <w:r w:rsidR="00953957">
        <w:rPr>
          <w:lang w:val="en-GB"/>
        </w:rPr>
        <w:t xml:space="preserve"> from the competition</w:t>
      </w:r>
      <w:r w:rsidR="00B650BA">
        <w:rPr>
          <w:lang w:val="en-GB"/>
        </w:rPr>
        <w:t xml:space="preserve"> would have been especially warranted</w:t>
      </w:r>
      <w:r w:rsidR="00953957">
        <w:rPr>
          <w:lang w:val="en-GB"/>
        </w:rPr>
        <w:t>.  The deficiency</w:t>
      </w:r>
      <w:r w:rsidR="00B650BA">
        <w:rPr>
          <w:lang w:val="en-GB"/>
        </w:rPr>
        <w:t xml:space="preserve"> of the reasons provided by the Department</w:t>
      </w:r>
      <w:r w:rsidR="00953957">
        <w:rPr>
          <w:lang w:val="en-GB"/>
        </w:rPr>
        <w:t xml:space="preserve"> was </w:t>
      </w:r>
      <w:r w:rsidR="00B650BA">
        <w:rPr>
          <w:lang w:val="en-GB"/>
        </w:rPr>
        <w:t>demonstrated further</w:t>
      </w:r>
      <w:r w:rsidR="00953957">
        <w:rPr>
          <w:lang w:val="en-GB"/>
        </w:rPr>
        <w:t xml:space="preserve"> by the first respondent belatedly claiming in the answering affidavit that the 4</w:t>
      </w:r>
      <w:r w:rsidR="00953957" w:rsidRPr="00953957">
        <w:rPr>
          <w:vertAlign w:val="superscript"/>
          <w:lang w:val="en-GB"/>
        </w:rPr>
        <w:t>th</w:t>
      </w:r>
      <w:r w:rsidR="00953957">
        <w:rPr>
          <w:lang w:val="en-GB"/>
        </w:rPr>
        <w:t xml:space="preserve"> applicant had not filed a bid and thus lacked “locus standi” to have been in the consideration at all.  Logic dictates that if the Department had carefully studied each bid to sourc</w:t>
      </w:r>
      <w:r w:rsidR="00413644">
        <w:rPr>
          <w:lang w:val="en-GB"/>
        </w:rPr>
        <w:t xml:space="preserve">e a reason </w:t>
      </w:r>
      <w:r w:rsidR="00953957">
        <w:rPr>
          <w:lang w:val="en-GB"/>
        </w:rPr>
        <w:t xml:space="preserve">for </w:t>
      </w:r>
      <w:r w:rsidR="00413644">
        <w:rPr>
          <w:lang w:val="en-GB"/>
        </w:rPr>
        <w:t xml:space="preserve">an early disqualification, then the answer that </w:t>
      </w:r>
      <w:r w:rsidR="00EF1784">
        <w:rPr>
          <w:lang w:val="en-GB"/>
        </w:rPr>
        <w:t>the 4</w:t>
      </w:r>
      <w:r w:rsidR="00EF1784" w:rsidRPr="00EF1784">
        <w:rPr>
          <w:vertAlign w:val="superscript"/>
          <w:lang w:val="en-GB"/>
        </w:rPr>
        <w:t>th</w:t>
      </w:r>
      <w:r w:rsidR="00EF1784">
        <w:rPr>
          <w:lang w:val="en-GB"/>
        </w:rPr>
        <w:t xml:space="preserve"> applicant</w:t>
      </w:r>
      <w:r w:rsidR="00413644">
        <w:rPr>
          <w:lang w:val="en-GB"/>
        </w:rPr>
        <w:t xml:space="preserve"> had not filed a bid at all would surely have suggested itself in the formal reasons given</w:t>
      </w:r>
      <w:r w:rsidR="00EF1784">
        <w:rPr>
          <w:lang w:val="en-GB"/>
        </w:rPr>
        <w:t xml:space="preserve"> already</w:t>
      </w:r>
      <w:r w:rsidR="00413644">
        <w:rPr>
          <w:lang w:val="en-GB"/>
        </w:rPr>
        <w:t xml:space="preserve">. Instead, the unfortunate impression created is that </w:t>
      </w:r>
      <w:r w:rsidR="00B650BA">
        <w:rPr>
          <w:lang w:val="en-GB"/>
        </w:rPr>
        <w:t>the Department was paying mere lip service to its obligations to provide reasons for the sake of transparency</w:t>
      </w:r>
      <w:r w:rsidR="00413644">
        <w:rPr>
          <w:lang w:val="en-GB"/>
        </w:rPr>
        <w:t>.</w:t>
      </w:r>
      <w:r w:rsidR="00B650BA">
        <w:rPr>
          <w:lang w:val="en-GB"/>
        </w:rPr>
        <w:t xml:space="preserve"> </w:t>
      </w:r>
    </w:p>
  </w:footnote>
  <w:footnote w:id="12">
    <w:p w14:paraId="7003011D" w14:textId="04D22CBE" w:rsidR="00413644" w:rsidRPr="00413644" w:rsidRDefault="00413644" w:rsidP="00843C20">
      <w:pPr>
        <w:pStyle w:val="FootnoteText"/>
        <w:spacing w:before="100" w:beforeAutospacing="1" w:after="100" w:afterAutospacing="1"/>
        <w:contextualSpacing/>
        <w:jc w:val="both"/>
        <w:rPr>
          <w:lang w:val="en-GB"/>
        </w:rPr>
      </w:pPr>
      <w:r>
        <w:rPr>
          <w:rStyle w:val="FootnoteReference"/>
        </w:rPr>
        <w:footnoteRef/>
      </w:r>
      <w:r>
        <w:t xml:space="preserve"> This in my view never raised a genuine dispute of fact.  The allegation that the applicants were in the know and were somehow being coy about the identity of the second respondent was simply not justified on the papers. The first respondent said the Department informed the applicants that their bids had been rejected but did not put up proof. They ought to have known from the Bulletin (published on 5 August</w:t>
      </w:r>
      <w:r w:rsidR="008C16C4">
        <w:t xml:space="preserve"> 2022)</w:t>
      </w:r>
      <w:r>
        <w:t xml:space="preserve"> that</w:t>
      </w:r>
      <w:r w:rsidR="002C4A37">
        <w:t xml:space="preserve"> the bid had been awarded </w:t>
      </w:r>
      <w:r w:rsidR="008C16C4">
        <w:t>to an</w:t>
      </w:r>
      <w:r>
        <w:t xml:space="preserve"> entity </w:t>
      </w:r>
      <w:r w:rsidR="002C4A37">
        <w:t xml:space="preserve">referred to only as Golden Security) but </w:t>
      </w:r>
      <w:r>
        <w:t>evidently did</w:t>
      </w:r>
      <w:r w:rsidR="002C4A37">
        <w:t xml:space="preserve"> not.  If they were misleading the court that they knew by then they would surely have mentioned the fact of the value of the contract much earlier</w:t>
      </w:r>
      <w:r w:rsidR="00877D35">
        <w:t xml:space="preserve"> (also stated in the Bulletin)</w:t>
      </w:r>
      <w:r w:rsidR="002C4A37">
        <w:t xml:space="preserve"> as this </w:t>
      </w:r>
      <w:r w:rsidR="00EF1784">
        <w:t>ultimately proved to be of a greater</w:t>
      </w:r>
      <w:r w:rsidR="002C4A37">
        <w:t xml:space="preserve"> concern</w:t>
      </w:r>
      <w:r w:rsidR="008C16C4">
        <w:t xml:space="preserve"> in justifying a necessary review application down the line</w:t>
      </w:r>
      <w:r w:rsidR="002C4A37">
        <w:t xml:space="preserve">.  Rather ironically the basis for arguing this knowledge that they knew exactly who had bested </w:t>
      </w:r>
      <w:r w:rsidR="00EF1784">
        <w:t xml:space="preserve">them (supposedly before deposing to the founding papers) </w:t>
      </w:r>
      <w:r w:rsidR="002C4A37">
        <w:t>rested on hearsay allegations that the director of the first applicant had been party to an official meeting called by the Department on 3 August 2022 at which a discussion was held about the 2</w:t>
      </w:r>
      <w:r w:rsidR="002C4A37" w:rsidRPr="002C4A37">
        <w:rPr>
          <w:vertAlign w:val="superscript"/>
        </w:rPr>
        <w:t>nd</w:t>
      </w:r>
      <w:r w:rsidR="002C4A37">
        <w:t xml:space="preserve"> respondent poaching its employees. </w:t>
      </w:r>
      <w:r w:rsidR="00EF1784">
        <w:t xml:space="preserve">At the end of the day the worst that the second respondent could say is that it is inconceivable that the applicants did not know the identity of the successful bidder.  However, all indications point to the fact that the applicants were genuinely none the wise who the winning bidder was.  Why ask if they knew the answer to the question.  And if they knew, why did the Department merely refer to this entity as the “winning bidder”.  </w:t>
      </w:r>
      <w:r w:rsidR="00877D35">
        <w:t xml:space="preserve">Further, the Department failed to say when the applicants were supposedly informed.  If they were advised on 6 July 2022, why was the Forum </w:t>
      </w:r>
      <w:r w:rsidR="008C16C4">
        <w:t>having to contend with “rumours”</w:t>
      </w:r>
      <w:r w:rsidR="00877D35">
        <w:t xml:space="preserve"> on 20 July 2022.  </w:t>
      </w:r>
    </w:p>
  </w:footnote>
  <w:footnote w:id="13">
    <w:p w14:paraId="6858B693" w14:textId="091AB2E9" w:rsidR="008C16C4" w:rsidRPr="008C16C4" w:rsidRDefault="008C16C4" w:rsidP="00843C20">
      <w:pPr>
        <w:pStyle w:val="FootnoteText"/>
        <w:spacing w:before="100" w:beforeAutospacing="1" w:after="100" w:afterAutospacing="1"/>
        <w:contextualSpacing/>
        <w:rPr>
          <w:lang w:val="en-GB"/>
        </w:rPr>
      </w:pPr>
      <w:r>
        <w:rPr>
          <w:rStyle w:val="FootnoteReference"/>
        </w:rPr>
        <w:footnoteRef/>
      </w:r>
      <w:r>
        <w:t xml:space="preserve"> </w:t>
      </w:r>
      <w:r>
        <w:rPr>
          <w:lang w:val="en-GB"/>
        </w:rPr>
        <w:t xml:space="preserve">I was unpersuaded by this argument given that the applicants’ attorneys, and the Forum before them, had been quite specific in their engagement with the Department regarding what direction would be taken absent its cooperation. </w:t>
      </w:r>
    </w:p>
  </w:footnote>
  <w:footnote w:id="14">
    <w:p w14:paraId="37E96B26" w14:textId="04BBD5F8" w:rsidR="008C16C4" w:rsidRPr="008C16C4" w:rsidRDefault="008C16C4" w:rsidP="00843C20">
      <w:pPr>
        <w:pStyle w:val="FootnoteText"/>
        <w:spacing w:before="100" w:beforeAutospacing="1" w:after="100" w:afterAutospacing="1"/>
        <w:contextualSpacing/>
        <w:rPr>
          <w:lang w:val="en-GB"/>
        </w:rPr>
      </w:pPr>
      <w:r>
        <w:rPr>
          <w:rStyle w:val="FootnoteReference"/>
        </w:rPr>
        <w:footnoteRef/>
      </w:r>
      <w:r>
        <w:t xml:space="preserve"> </w:t>
      </w:r>
      <w:r>
        <w:rPr>
          <w:lang w:val="en-GB"/>
        </w:rPr>
        <w:t xml:space="preserve">In this respect too the applicants gave a fair account of all the steps undertaken by them, under the auspices of the Forum, and as a collective.  The crunch came when a reply was provided late on the Friday afternoon.  </w:t>
      </w:r>
    </w:p>
  </w:footnote>
  <w:footnote w:id="15">
    <w:p w14:paraId="30AF8563" w14:textId="27A6FA27" w:rsidR="008C16C4" w:rsidRPr="008C16C4" w:rsidRDefault="008C16C4" w:rsidP="00843C20">
      <w:pPr>
        <w:pStyle w:val="FootnoteText"/>
        <w:spacing w:before="100" w:beforeAutospacing="1" w:after="100" w:afterAutospacing="1"/>
        <w:contextualSpacing/>
        <w:rPr>
          <w:lang w:val="en-GB"/>
        </w:rPr>
      </w:pPr>
      <w:r>
        <w:rPr>
          <w:rStyle w:val="FootnoteReference"/>
        </w:rPr>
        <w:footnoteRef/>
      </w:r>
      <w:r>
        <w:t xml:space="preserve"> </w:t>
      </w:r>
      <w:r w:rsidR="00B94DE1">
        <w:rPr>
          <w:lang w:val="en-GB"/>
        </w:rPr>
        <w:t>See footnote 12 above.</w:t>
      </w:r>
    </w:p>
  </w:footnote>
  <w:footnote w:id="16">
    <w:p w14:paraId="23860E35" w14:textId="5AEF4AFD" w:rsidR="00B94DE1" w:rsidRPr="00B94DE1" w:rsidRDefault="00B94DE1" w:rsidP="00843C20">
      <w:pPr>
        <w:pStyle w:val="FootnoteText"/>
        <w:spacing w:before="100" w:beforeAutospacing="1" w:after="100" w:afterAutospacing="1"/>
        <w:contextualSpacing/>
        <w:rPr>
          <w:lang w:val="en-GB"/>
        </w:rPr>
      </w:pPr>
      <w:r>
        <w:rPr>
          <w:rStyle w:val="FootnoteReference"/>
        </w:rPr>
        <w:footnoteRef/>
      </w:r>
      <w:r>
        <w:t xml:space="preserve"> </w:t>
      </w:r>
      <w:r>
        <w:rPr>
          <w:lang w:val="en-GB"/>
        </w:rPr>
        <w:t xml:space="preserve">See </w:t>
      </w:r>
      <w:r w:rsidRPr="00DE2F06">
        <w:rPr>
          <w:lang w:val="en-GB"/>
        </w:rPr>
        <w:t>footnote</w:t>
      </w:r>
      <w:r w:rsidR="00DE2F06" w:rsidRPr="00DE2F06">
        <w:rPr>
          <w:lang w:val="en-GB"/>
        </w:rPr>
        <w:t xml:space="preserve"> 4</w:t>
      </w:r>
      <w:r w:rsidR="00DE2F06">
        <w:rPr>
          <w:lang w:val="en-GB"/>
        </w:rPr>
        <w:t xml:space="preserve"> </w:t>
      </w:r>
      <w:r>
        <w:rPr>
          <w:lang w:val="en-GB"/>
        </w:rPr>
        <w:t>above.</w:t>
      </w:r>
    </w:p>
  </w:footnote>
  <w:footnote w:id="17">
    <w:p w14:paraId="38154D47" w14:textId="428B7FDD" w:rsidR="00877D35" w:rsidRPr="00877D35" w:rsidRDefault="00877D35" w:rsidP="00843C20">
      <w:pPr>
        <w:pStyle w:val="FootnoteText"/>
        <w:spacing w:before="100" w:beforeAutospacing="1" w:after="100" w:afterAutospacing="1"/>
        <w:contextualSpacing/>
        <w:rPr>
          <w:lang w:val="en-GB"/>
        </w:rPr>
      </w:pPr>
      <w:r>
        <w:rPr>
          <w:rStyle w:val="FootnoteReference"/>
        </w:rPr>
        <w:footnoteRef/>
      </w:r>
      <w:r>
        <w:t xml:space="preserve"> See footnote 12 above.</w:t>
      </w:r>
    </w:p>
  </w:footnote>
  <w:footnote w:id="18">
    <w:p w14:paraId="24BAE18C" w14:textId="6FC29923" w:rsidR="003C7BBC" w:rsidRPr="00E8172C" w:rsidRDefault="003C7BBC" w:rsidP="00843C20">
      <w:pPr>
        <w:shd w:val="clear" w:color="auto" w:fill="FFFFFF"/>
        <w:spacing w:before="100" w:beforeAutospacing="1" w:after="100" w:afterAutospacing="1"/>
        <w:contextualSpacing/>
        <w:outlineLvl w:val="1"/>
        <w:rPr>
          <w:rFonts w:eastAsia="Times New Roman" w:cstheme="minorHAnsi"/>
          <w:color w:val="000000" w:themeColor="text1"/>
          <w:sz w:val="20"/>
          <w:szCs w:val="20"/>
        </w:rPr>
      </w:pPr>
      <w:r w:rsidRPr="002544E1">
        <w:rPr>
          <w:rStyle w:val="FootnoteReference"/>
          <w:color w:val="000000" w:themeColor="text1"/>
        </w:rPr>
        <w:footnoteRef/>
      </w:r>
      <w:r w:rsidRPr="002544E1">
        <w:rPr>
          <w:color w:val="000000" w:themeColor="text1"/>
        </w:rPr>
        <w:t xml:space="preserve"> </w:t>
      </w:r>
      <w:r w:rsidRPr="002544E1">
        <w:rPr>
          <w:rFonts w:eastAsia="Times New Roman" w:cstheme="minorHAnsi"/>
          <w:color w:val="000000" w:themeColor="text1"/>
          <w:sz w:val="20"/>
          <w:szCs w:val="20"/>
        </w:rPr>
        <w:t>(2064/2020) [2020] ZAECGHC 120 (29 October 2020)</w:t>
      </w:r>
      <w:r w:rsidR="00843C20">
        <w:rPr>
          <w:rFonts w:eastAsia="Times New Roman" w:cstheme="minorHAnsi"/>
          <w:color w:val="000000" w:themeColor="text1"/>
          <w:sz w:val="20"/>
          <w:szCs w:val="20"/>
        </w:rPr>
        <w:t>.</w:t>
      </w:r>
    </w:p>
  </w:footnote>
  <w:footnote w:id="19">
    <w:p w14:paraId="22086381" w14:textId="4718F92E" w:rsidR="00F90252" w:rsidRPr="00F90252" w:rsidRDefault="00F90252" w:rsidP="00843C20">
      <w:pPr>
        <w:pStyle w:val="FootnoteText"/>
        <w:spacing w:before="100" w:beforeAutospacing="1" w:after="100" w:afterAutospacing="1"/>
        <w:contextualSpacing/>
        <w:jc w:val="both"/>
        <w:rPr>
          <w:lang w:val="en-GB"/>
        </w:rPr>
      </w:pPr>
      <w:r>
        <w:rPr>
          <w:rStyle w:val="FootnoteReference"/>
        </w:rPr>
        <w:footnoteRef/>
      </w:r>
      <w:r>
        <w:t xml:space="preserve"> </w:t>
      </w:r>
      <w:r>
        <w:rPr>
          <w:lang w:val="en-GB"/>
        </w:rPr>
        <w:t>At par [41].</w:t>
      </w:r>
    </w:p>
  </w:footnote>
  <w:footnote w:id="20">
    <w:p w14:paraId="223F9F2A" w14:textId="7CE1178A" w:rsidR="003E30C6" w:rsidRPr="003E30C6" w:rsidRDefault="003E30C6" w:rsidP="00843C20">
      <w:pPr>
        <w:pStyle w:val="FootnoteText"/>
        <w:spacing w:before="100" w:beforeAutospacing="1" w:after="100" w:afterAutospacing="1"/>
        <w:contextualSpacing/>
        <w:jc w:val="both"/>
        <w:rPr>
          <w:lang w:val="en-GB"/>
        </w:rPr>
      </w:pPr>
      <w:r>
        <w:rPr>
          <w:rStyle w:val="FootnoteReference"/>
        </w:rPr>
        <w:footnoteRef/>
      </w:r>
      <w:r>
        <w:t xml:space="preserve"> </w:t>
      </w:r>
      <w:r>
        <w:rPr>
          <w:lang w:val="en-GB"/>
        </w:rPr>
        <w:t xml:space="preserve">The fourth applicant’s interest on this basis was not challenged until the first respondent delivered an answering affidavit. It was not suggested to its attorneys in the formal reasons that had gone before that there was a doubt that it had been in the race at all.  It is so that the fourth applicant did not refute the belated allegation, not that it had </w:t>
      </w:r>
      <w:r w:rsidRPr="003E30C6">
        <w:rPr>
          <w:i/>
          <w:iCs/>
          <w:lang w:val="en-GB"/>
        </w:rPr>
        <w:t>not</w:t>
      </w:r>
      <w:r>
        <w:rPr>
          <w:lang w:val="en-GB"/>
        </w:rPr>
        <w:t xml:space="preserve"> tendered</w:t>
      </w:r>
      <w:r w:rsidR="00E8172C">
        <w:rPr>
          <w:lang w:val="en-GB"/>
        </w:rPr>
        <w:t xml:space="preserve"> </w:t>
      </w:r>
      <w:r>
        <w:rPr>
          <w:lang w:val="en-GB"/>
        </w:rPr>
        <w:t xml:space="preserve">but rather that the Department had no record of such a tender. To my mind this still established a </w:t>
      </w:r>
      <w:r w:rsidRPr="00E8172C">
        <w:rPr>
          <w:i/>
          <w:iCs/>
          <w:lang w:val="en-GB"/>
        </w:rPr>
        <w:t>prima facie</w:t>
      </w:r>
      <w:r>
        <w:rPr>
          <w:lang w:val="en-GB"/>
        </w:rPr>
        <w:t xml:space="preserve"> right not to have been unlawfully excluded from the tender process even if open to some doubt.</w:t>
      </w:r>
    </w:p>
  </w:footnote>
  <w:footnote w:id="21">
    <w:p w14:paraId="34824C99" w14:textId="77777777" w:rsidR="00552424" w:rsidRDefault="00552424" w:rsidP="00843C20">
      <w:pPr>
        <w:pStyle w:val="FootnoteText"/>
        <w:spacing w:before="100" w:beforeAutospacing="1" w:after="100" w:afterAutospacing="1"/>
        <w:contextualSpacing/>
        <w:jc w:val="both"/>
        <w:rPr>
          <w:lang w:val="en-US"/>
        </w:rPr>
      </w:pPr>
      <w:r>
        <w:rPr>
          <w:rStyle w:val="FootnoteReference"/>
        </w:rPr>
        <w:footnoteRef/>
      </w:r>
      <w:r>
        <w:t xml:space="preserve"> See </w:t>
      </w:r>
      <w:r w:rsidRPr="00F24BF8">
        <w:rPr>
          <w:i/>
          <w:iCs/>
          <w:lang w:val="en-US"/>
        </w:rPr>
        <w:t>Majojobela v MEC for Rural Development and Agrarian Reform, Eastern</w:t>
      </w:r>
      <w:r>
        <w:rPr>
          <w:lang w:val="en-US"/>
        </w:rPr>
        <w:t xml:space="preserve"> Cape [505/2020] (2020) ZAECBHC 22 (3 November 2020) at para 26 in which I held that:</w:t>
      </w:r>
    </w:p>
    <w:p w14:paraId="51DAAF7F" w14:textId="44570E66" w:rsidR="00552424" w:rsidRPr="00843C20" w:rsidRDefault="00552424" w:rsidP="00843C20">
      <w:pPr>
        <w:tabs>
          <w:tab w:val="left" w:pos="720"/>
          <w:tab w:val="left" w:pos="6943"/>
        </w:tabs>
        <w:spacing w:before="100" w:beforeAutospacing="1" w:after="100" w:afterAutospacing="1"/>
        <w:ind w:left="720"/>
        <w:contextualSpacing/>
        <w:jc w:val="both"/>
        <w:rPr>
          <w:rFonts w:ascii="Calibri Light" w:hAnsi="Calibri Light"/>
          <w:sz w:val="18"/>
          <w:szCs w:val="28"/>
        </w:rPr>
      </w:pPr>
      <w:r>
        <w:rPr>
          <w:rFonts w:cstheme="minorHAnsi"/>
          <w:color w:val="000000"/>
          <w:sz w:val="18"/>
          <w:szCs w:val="18"/>
        </w:rPr>
        <w:t>“</w:t>
      </w:r>
      <w:r w:rsidRPr="002A0388">
        <w:rPr>
          <w:rFonts w:ascii="Calibri Light" w:hAnsi="Calibri Light"/>
          <w:sz w:val="18"/>
          <w:szCs w:val="28"/>
        </w:rPr>
        <w:t>On the issue of legal standing, the applicant does not have to make out a case that the bid would have been granted to it, or that it was poised for success in respect thereof, if the tender process had run its course but for the untimely cancellation thereof.  It establishes such standing instead in my view on the basis of its legitimate expectation to a fair outcome in the tender process which, after the bids were closed, left it and its co-bidders in a race to the conclusion entailing an evaluation of the competing compliant bids in due course and a proper adjudication thereof, even if the recommendation flowing from such process was going to be that the tender should be re-advertised</w:t>
      </w:r>
      <w:r w:rsidRPr="00A10E98">
        <w:rPr>
          <w:rFonts w:cstheme="minorHAnsi"/>
          <w:i/>
          <w:iCs/>
          <w:color w:val="242121"/>
          <w:sz w:val="18"/>
          <w:szCs w:val="18"/>
        </w:rPr>
        <w:t>.</w:t>
      </w:r>
    </w:p>
  </w:footnote>
  <w:footnote w:id="22">
    <w:p w14:paraId="73D6621C" w14:textId="56E48EDF" w:rsidR="00CA3131" w:rsidRPr="00CA3131" w:rsidRDefault="00CA3131" w:rsidP="00843C20">
      <w:pPr>
        <w:pStyle w:val="FootnoteText"/>
        <w:spacing w:before="100" w:beforeAutospacing="1" w:after="100" w:afterAutospacing="1"/>
        <w:contextualSpacing/>
        <w:rPr>
          <w:lang w:val="en-GB"/>
        </w:rPr>
      </w:pPr>
      <w:r>
        <w:rPr>
          <w:rStyle w:val="FootnoteReference"/>
        </w:rPr>
        <w:footnoteRef/>
      </w:r>
      <w:r>
        <w:t xml:space="preserve"> </w:t>
      </w:r>
      <w:r>
        <w:rPr>
          <w:lang w:val="en-GB"/>
        </w:rPr>
        <w:t xml:space="preserve">Down Touch Investments </w:t>
      </w:r>
      <w:r w:rsidRPr="00B623AC">
        <w:rPr>
          <w:i/>
          <w:iCs/>
          <w:lang w:val="en-GB"/>
        </w:rPr>
        <w:t>Supra</w:t>
      </w:r>
      <w:r>
        <w:rPr>
          <w:lang w:val="en-GB"/>
        </w:rPr>
        <w:t xml:space="preserve"> at [47].</w:t>
      </w:r>
    </w:p>
  </w:footnote>
  <w:footnote w:id="23">
    <w:p w14:paraId="26364A39" w14:textId="3C768E67" w:rsidR="00975CD2" w:rsidRPr="00975CD2" w:rsidRDefault="00975CD2" w:rsidP="00843C20">
      <w:pPr>
        <w:pStyle w:val="FootnoteText"/>
        <w:spacing w:before="100" w:beforeAutospacing="1" w:after="100" w:afterAutospacing="1"/>
        <w:contextualSpacing/>
        <w:jc w:val="both"/>
        <w:rPr>
          <w:lang w:val="en-GB"/>
        </w:rPr>
      </w:pPr>
      <w:r>
        <w:rPr>
          <w:rStyle w:val="FootnoteReference"/>
        </w:rPr>
        <w:footnoteRef/>
      </w:r>
      <w:r>
        <w:t xml:space="preserve"> </w:t>
      </w:r>
      <w:r>
        <w:rPr>
          <w:lang w:val="en-GB"/>
        </w:rPr>
        <w:t>Ironically the Provincial Treasury issued circular 10 of 2018 in September 2018 already</w:t>
      </w:r>
      <w:r w:rsidR="00832FA7">
        <w:rPr>
          <w:lang w:val="en-GB"/>
        </w:rPr>
        <w:t>. This</w:t>
      </w:r>
      <w:r>
        <w:rPr>
          <w:lang w:val="en-GB"/>
        </w:rPr>
        <w:t xml:space="preserve"> was handed up by Mr</w:t>
      </w:r>
      <w:r w:rsidR="00843C20">
        <w:rPr>
          <w:lang w:val="en-GB"/>
        </w:rPr>
        <w:t>.</w:t>
      </w:r>
      <w:r>
        <w:rPr>
          <w:lang w:val="en-GB"/>
        </w:rPr>
        <w:t xml:space="preserve"> Mullins during argument to </w:t>
      </w:r>
      <w:r w:rsidR="00832FA7">
        <w:rPr>
          <w:lang w:val="en-GB"/>
        </w:rPr>
        <w:t>demonstrate</w:t>
      </w:r>
      <w:r>
        <w:rPr>
          <w:lang w:val="en-GB"/>
        </w:rPr>
        <w:t xml:space="preserve"> the imperative o</w:t>
      </w:r>
      <w:r w:rsidR="00832FA7">
        <w:rPr>
          <w:lang w:val="en-GB"/>
        </w:rPr>
        <w:t>n</w:t>
      </w:r>
      <w:r>
        <w:rPr>
          <w:lang w:val="en-GB"/>
        </w:rPr>
        <w:t xml:space="preserve"> the Department to break the pattern of </w:t>
      </w:r>
      <w:r w:rsidR="00832FA7">
        <w:rPr>
          <w:lang w:val="en-GB"/>
        </w:rPr>
        <w:t>issuing</w:t>
      </w:r>
      <w:r>
        <w:rPr>
          <w:lang w:val="en-GB"/>
        </w:rPr>
        <w:t xml:space="preserve"> short-term contracts</w:t>
      </w:r>
      <w:r w:rsidR="00832FA7">
        <w:rPr>
          <w:lang w:val="en-GB"/>
        </w:rPr>
        <w:t>.  It had persisted with this practice right up to August 2022 so it appeared notwithstanding the Treasury’s condemnation of the practice and drawing of attention to the risks related thereto.</w:t>
      </w:r>
    </w:p>
  </w:footnote>
  <w:footnote w:id="24">
    <w:p w14:paraId="4A27A61E" w14:textId="540D9458" w:rsidR="00437115" w:rsidRPr="00437115" w:rsidRDefault="00437115" w:rsidP="00843C20">
      <w:pPr>
        <w:pStyle w:val="FootnoteText"/>
        <w:spacing w:before="100" w:beforeAutospacing="1" w:after="100" w:afterAutospacing="1"/>
        <w:contextualSpacing/>
        <w:rPr>
          <w:lang w:val="en-GB"/>
        </w:rPr>
      </w:pPr>
      <w:r>
        <w:rPr>
          <w:rStyle w:val="FootnoteReference"/>
        </w:rPr>
        <w:footnoteRef/>
      </w:r>
      <w:r>
        <w:t xml:space="preserve"> </w:t>
      </w:r>
      <w:r>
        <w:rPr>
          <w:lang w:val="en-GB"/>
        </w:rPr>
        <w:t xml:space="preserve">See the court’s sentiments expressed in Down Touch Investments, </w:t>
      </w:r>
      <w:r w:rsidRPr="00437115">
        <w:rPr>
          <w:i/>
          <w:iCs/>
          <w:lang w:val="en-GB"/>
        </w:rPr>
        <w:t>Supra</w:t>
      </w:r>
      <w:r>
        <w:rPr>
          <w:lang w:val="en-GB"/>
        </w:rPr>
        <w:t>, at [43]-[45].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850720"/>
      <w:docPartObj>
        <w:docPartGallery w:val="Page Numbers (Top of Page)"/>
        <w:docPartUnique/>
      </w:docPartObj>
    </w:sdtPr>
    <w:sdtEndPr>
      <w:rPr>
        <w:noProof/>
      </w:rPr>
    </w:sdtEndPr>
    <w:sdtContent>
      <w:p w14:paraId="437E26BA" w14:textId="44EB1C12" w:rsidR="00DD12AE" w:rsidRDefault="00DD12AE">
        <w:pPr>
          <w:pStyle w:val="Header"/>
          <w:jc w:val="center"/>
        </w:pPr>
        <w:r>
          <w:fldChar w:fldCharType="begin"/>
        </w:r>
        <w:r>
          <w:instrText xml:space="preserve"> PAGE   \* MERGEFORMAT </w:instrText>
        </w:r>
        <w:r>
          <w:fldChar w:fldCharType="separate"/>
        </w:r>
        <w:r w:rsidR="008F21AE">
          <w:rPr>
            <w:noProof/>
          </w:rPr>
          <w:t>18</w:t>
        </w:r>
        <w:r>
          <w:rPr>
            <w:noProof/>
          </w:rPr>
          <w:fldChar w:fldCharType="end"/>
        </w:r>
      </w:p>
    </w:sdtContent>
  </w:sdt>
  <w:p w14:paraId="59A078B9" w14:textId="77777777" w:rsidR="00DD12AE" w:rsidRDefault="00DD1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1BA6"/>
    <w:multiLevelType w:val="multilevel"/>
    <w:tmpl w:val="ED7EC0E4"/>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D081CE8"/>
    <w:multiLevelType w:val="hybridMultilevel"/>
    <w:tmpl w:val="30BC2B48"/>
    <w:lvl w:ilvl="0" w:tplc="5F0A80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474CB"/>
    <w:multiLevelType w:val="hybridMultilevel"/>
    <w:tmpl w:val="0ED2FB22"/>
    <w:lvl w:ilvl="0" w:tplc="A0B85C8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80"/>
    <w:rsid w:val="000126CA"/>
    <w:rsid w:val="00051290"/>
    <w:rsid w:val="00062F10"/>
    <w:rsid w:val="000D6EB7"/>
    <w:rsid w:val="00114A47"/>
    <w:rsid w:val="0011607E"/>
    <w:rsid w:val="00130343"/>
    <w:rsid w:val="00144D06"/>
    <w:rsid w:val="00151CE5"/>
    <w:rsid w:val="0018331D"/>
    <w:rsid w:val="001E4214"/>
    <w:rsid w:val="0020255E"/>
    <w:rsid w:val="00210989"/>
    <w:rsid w:val="00235A05"/>
    <w:rsid w:val="002544E1"/>
    <w:rsid w:val="00266BBF"/>
    <w:rsid w:val="0028122E"/>
    <w:rsid w:val="002A63A3"/>
    <w:rsid w:val="002A6E63"/>
    <w:rsid w:val="002C4A37"/>
    <w:rsid w:val="002D5FA5"/>
    <w:rsid w:val="002F29C8"/>
    <w:rsid w:val="00300FE3"/>
    <w:rsid w:val="003041C9"/>
    <w:rsid w:val="00307D7D"/>
    <w:rsid w:val="00313A75"/>
    <w:rsid w:val="003619EA"/>
    <w:rsid w:val="00364021"/>
    <w:rsid w:val="00386E3C"/>
    <w:rsid w:val="003908F5"/>
    <w:rsid w:val="003B2DAC"/>
    <w:rsid w:val="003C7BBC"/>
    <w:rsid w:val="003E30C6"/>
    <w:rsid w:val="004040C0"/>
    <w:rsid w:val="00413644"/>
    <w:rsid w:val="0041635F"/>
    <w:rsid w:val="00435842"/>
    <w:rsid w:val="00437115"/>
    <w:rsid w:val="00496699"/>
    <w:rsid w:val="004B415D"/>
    <w:rsid w:val="004B5213"/>
    <w:rsid w:val="004B6C55"/>
    <w:rsid w:val="004B7DCB"/>
    <w:rsid w:val="004F2A6A"/>
    <w:rsid w:val="004F5964"/>
    <w:rsid w:val="004F5FC2"/>
    <w:rsid w:val="00522C71"/>
    <w:rsid w:val="00547F23"/>
    <w:rsid w:val="00552424"/>
    <w:rsid w:val="00560AA7"/>
    <w:rsid w:val="005720CE"/>
    <w:rsid w:val="00595AE8"/>
    <w:rsid w:val="005A7EA0"/>
    <w:rsid w:val="006157A0"/>
    <w:rsid w:val="00615A71"/>
    <w:rsid w:val="0062733F"/>
    <w:rsid w:val="00627EDE"/>
    <w:rsid w:val="00671118"/>
    <w:rsid w:val="00696158"/>
    <w:rsid w:val="006A5C50"/>
    <w:rsid w:val="006C3024"/>
    <w:rsid w:val="00703DE4"/>
    <w:rsid w:val="00705B0B"/>
    <w:rsid w:val="00711637"/>
    <w:rsid w:val="00721C33"/>
    <w:rsid w:val="00745285"/>
    <w:rsid w:val="0075376C"/>
    <w:rsid w:val="007A7C56"/>
    <w:rsid w:val="007C1095"/>
    <w:rsid w:val="007C67D3"/>
    <w:rsid w:val="007E1BF5"/>
    <w:rsid w:val="007F0791"/>
    <w:rsid w:val="00820A10"/>
    <w:rsid w:val="00832FA7"/>
    <w:rsid w:val="00843C20"/>
    <w:rsid w:val="00873C82"/>
    <w:rsid w:val="00876BFD"/>
    <w:rsid w:val="00877D35"/>
    <w:rsid w:val="008C16C4"/>
    <w:rsid w:val="008E65DF"/>
    <w:rsid w:val="008F21AE"/>
    <w:rsid w:val="0094337E"/>
    <w:rsid w:val="00953957"/>
    <w:rsid w:val="0097481A"/>
    <w:rsid w:val="00975CD2"/>
    <w:rsid w:val="009778A3"/>
    <w:rsid w:val="009904D7"/>
    <w:rsid w:val="009933B8"/>
    <w:rsid w:val="009A0506"/>
    <w:rsid w:val="009B160D"/>
    <w:rsid w:val="009D06DD"/>
    <w:rsid w:val="009D352F"/>
    <w:rsid w:val="009E52F4"/>
    <w:rsid w:val="009F13C8"/>
    <w:rsid w:val="00A00592"/>
    <w:rsid w:val="00A04C71"/>
    <w:rsid w:val="00A10E98"/>
    <w:rsid w:val="00A40EB3"/>
    <w:rsid w:val="00A43378"/>
    <w:rsid w:val="00A50F99"/>
    <w:rsid w:val="00A51EE6"/>
    <w:rsid w:val="00A829CA"/>
    <w:rsid w:val="00A912D8"/>
    <w:rsid w:val="00A9624A"/>
    <w:rsid w:val="00AA447D"/>
    <w:rsid w:val="00AD34BB"/>
    <w:rsid w:val="00AE2F39"/>
    <w:rsid w:val="00AF58AD"/>
    <w:rsid w:val="00B13697"/>
    <w:rsid w:val="00B20828"/>
    <w:rsid w:val="00B22C72"/>
    <w:rsid w:val="00B42523"/>
    <w:rsid w:val="00B440D0"/>
    <w:rsid w:val="00B46D26"/>
    <w:rsid w:val="00B5765F"/>
    <w:rsid w:val="00B623AC"/>
    <w:rsid w:val="00B650BA"/>
    <w:rsid w:val="00B73E80"/>
    <w:rsid w:val="00B8623A"/>
    <w:rsid w:val="00B94DE1"/>
    <w:rsid w:val="00B94F2E"/>
    <w:rsid w:val="00BB1C2C"/>
    <w:rsid w:val="00BB424F"/>
    <w:rsid w:val="00BD2A61"/>
    <w:rsid w:val="00C10D66"/>
    <w:rsid w:val="00C1437A"/>
    <w:rsid w:val="00C54EC0"/>
    <w:rsid w:val="00C60B7D"/>
    <w:rsid w:val="00C66BE9"/>
    <w:rsid w:val="00C73D2B"/>
    <w:rsid w:val="00C86ECD"/>
    <w:rsid w:val="00C97174"/>
    <w:rsid w:val="00CA3131"/>
    <w:rsid w:val="00CB77FE"/>
    <w:rsid w:val="00CC3CF3"/>
    <w:rsid w:val="00CD389B"/>
    <w:rsid w:val="00CE1E4A"/>
    <w:rsid w:val="00D02D60"/>
    <w:rsid w:val="00D54DBB"/>
    <w:rsid w:val="00D722FB"/>
    <w:rsid w:val="00D801A0"/>
    <w:rsid w:val="00D905BB"/>
    <w:rsid w:val="00DD12AE"/>
    <w:rsid w:val="00DE2F06"/>
    <w:rsid w:val="00E1298D"/>
    <w:rsid w:val="00E273FA"/>
    <w:rsid w:val="00E451DF"/>
    <w:rsid w:val="00E60940"/>
    <w:rsid w:val="00E8172C"/>
    <w:rsid w:val="00E863D2"/>
    <w:rsid w:val="00EA7C5C"/>
    <w:rsid w:val="00EB3A6F"/>
    <w:rsid w:val="00ED216B"/>
    <w:rsid w:val="00EF1784"/>
    <w:rsid w:val="00F0465E"/>
    <w:rsid w:val="00F24BF8"/>
    <w:rsid w:val="00F37FA7"/>
    <w:rsid w:val="00F510BF"/>
    <w:rsid w:val="00F67E7D"/>
    <w:rsid w:val="00F734C6"/>
    <w:rsid w:val="00F82C02"/>
    <w:rsid w:val="00F90252"/>
    <w:rsid w:val="00FD2CB3"/>
    <w:rsid w:val="00FD2EFB"/>
    <w:rsid w:val="00FF42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15F8"/>
  <w15:chartTrackingRefBased/>
  <w15:docId w15:val="{FADB4C3B-7788-4DAB-9ABC-C11D6F6A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8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3E80"/>
    <w:pPr>
      <w:ind w:left="720"/>
      <w:contextualSpacing/>
    </w:pPr>
  </w:style>
  <w:style w:type="character" w:styleId="Hyperlink">
    <w:name w:val="Hyperlink"/>
    <w:basedOn w:val="DefaultParagraphFont"/>
    <w:uiPriority w:val="99"/>
    <w:unhideWhenUsed/>
    <w:rsid w:val="0075376C"/>
    <w:rPr>
      <w:color w:val="0563C1" w:themeColor="hyperlink"/>
      <w:u w:val="single"/>
    </w:rPr>
  </w:style>
  <w:style w:type="paragraph" w:styleId="Header">
    <w:name w:val="header"/>
    <w:basedOn w:val="Normal"/>
    <w:link w:val="HeaderChar"/>
    <w:uiPriority w:val="99"/>
    <w:unhideWhenUsed/>
    <w:rsid w:val="00DD12AE"/>
    <w:pPr>
      <w:tabs>
        <w:tab w:val="center" w:pos="4513"/>
        <w:tab w:val="right" w:pos="9026"/>
      </w:tabs>
    </w:pPr>
  </w:style>
  <w:style w:type="character" w:customStyle="1" w:styleId="HeaderChar">
    <w:name w:val="Header Char"/>
    <w:basedOn w:val="DefaultParagraphFont"/>
    <w:link w:val="Header"/>
    <w:uiPriority w:val="99"/>
    <w:rsid w:val="00DD12AE"/>
    <w:rPr>
      <w:rFonts w:eastAsiaTheme="minorEastAsia"/>
      <w:lang w:eastAsia="en-GB"/>
    </w:rPr>
  </w:style>
  <w:style w:type="paragraph" w:styleId="Footer">
    <w:name w:val="footer"/>
    <w:basedOn w:val="Normal"/>
    <w:link w:val="FooterChar"/>
    <w:uiPriority w:val="99"/>
    <w:unhideWhenUsed/>
    <w:rsid w:val="00DD12AE"/>
    <w:pPr>
      <w:tabs>
        <w:tab w:val="center" w:pos="4513"/>
        <w:tab w:val="right" w:pos="9026"/>
      </w:tabs>
    </w:pPr>
  </w:style>
  <w:style w:type="character" w:customStyle="1" w:styleId="FooterChar">
    <w:name w:val="Footer Char"/>
    <w:basedOn w:val="DefaultParagraphFont"/>
    <w:link w:val="Footer"/>
    <w:uiPriority w:val="99"/>
    <w:rsid w:val="00DD12AE"/>
    <w:rPr>
      <w:rFonts w:eastAsiaTheme="minorEastAsia"/>
      <w:lang w:eastAsia="en-GB"/>
    </w:rPr>
  </w:style>
  <w:style w:type="paragraph" w:styleId="BalloonText">
    <w:name w:val="Balloon Text"/>
    <w:basedOn w:val="Normal"/>
    <w:link w:val="BalloonTextChar"/>
    <w:uiPriority w:val="99"/>
    <w:semiHidden/>
    <w:unhideWhenUsed/>
    <w:rsid w:val="00DD1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2AE"/>
    <w:rPr>
      <w:rFonts w:ascii="Segoe UI" w:eastAsiaTheme="minorEastAsia" w:hAnsi="Segoe UI" w:cs="Segoe UI"/>
      <w:sz w:val="18"/>
      <w:szCs w:val="18"/>
      <w:lang w:eastAsia="en-GB"/>
    </w:rPr>
  </w:style>
  <w:style w:type="paragraph" w:styleId="FootnoteText">
    <w:name w:val="footnote text"/>
    <w:basedOn w:val="Normal"/>
    <w:link w:val="FootnoteTextChar"/>
    <w:uiPriority w:val="99"/>
    <w:semiHidden/>
    <w:unhideWhenUsed/>
    <w:rsid w:val="00D801A0"/>
    <w:rPr>
      <w:sz w:val="20"/>
      <w:szCs w:val="20"/>
    </w:rPr>
  </w:style>
  <w:style w:type="character" w:customStyle="1" w:styleId="FootnoteTextChar">
    <w:name w:val="Footnote Text Char"/>
    <w:basedOn w:val="DefaultParagraphFont"/>
    <w:link w:val="FootnoteText"/>
    <w:uiPriority w:val="99"/>
    <w:semiHidden/>
    <w:rsid w:val="00D801A0"/>
    <w:rPr>
      <w:rFonts w:eastAsiaTheme="minorEastAsia"/>
      <w:sz w:val="20"/>
      <w:szCs w:val="20"/>
      <w:lang w:eastAsia="en-GB"/>
    </w:rPr>
  </w:style>
  <w:style w:type="character" w:styleId="FootnoteReference">
    <w:name w:val="footnote reference"/>
    <w:basedOn w:val="DefaultParagraphFont"/>
    <w:uiPriority w:val="99"/>
    <w:semiHidden/>
    <w:unhideWhenUsed/>
    <w:rsid w:val="00D801A0"/>
    <w:rPr>
      <w:vertAlign w:val="superscript"/>
    </w:rPr>
  </w:style>
  <w:style w:type="paragraph" w:styleId="NormalWeb">
    <w:name w:val="Normal (Web)"/>
    <w:basedOn w:val="Normal"/>
    <w:uiPriority w:val="99"/>
    <w:unhideWhenUsed/>
    <w:rsid w:val="00A10E98"/>
    <w:pPr>
      <w:spacing w:before="100" w:beforeAutospacing="1" w:after="100" w:afterAutospacing="1"/>
    </w:pPr>
    <w:rPr>
      <w:rFonts w:ascii="Times New Roman" w:eastAsia="Times New Roman" w:hAnsi="Times New Roman" w:cs="Times New Roman"/>
      <w:sz w:val="24"/>
      <w:szCs w:val="24"/>
      <w:lang w:val="en-US" w:eastAsia="en-US"/>
    </w:rPr>
  </w:style>
  <w:style w:type="paragraph" w:styleId="EndnoteText">
    <w:name w:val="endnote text"/>
    <w:basedOn w:val="Normal"/>
    <w:link w:val="EndnoteTextChar"/>
    <w:uiPriority w:val="99"/>
    <w:semiHidden/>
    <w:unhideWhenUsed/>
    <w:rsid w:val="00CE1E4A"/>
    <w:rPr>
      <w:sz w:val="20"/>
      <w:szCs w:val="20"/>
    </w:rPr>
  </w:style>
  <w:style w:type="character" w:customStyle="1" w:styleId="EndnoteTextChar">
    <w:name w:val="Endnote Text Char"/>
    <w:basedOn w:val="DefaultParagraphFont"/>
    <w:link w:val="EndnoteText"/>
    <w:uiPriority w:val="99"/>
    <w:semiHidden/>
    <w:rsid w:val="00CE1E4A"/>
    <w:rPr>
      <w:rFonts w:eastAsiaTheme="minorEastAsia"/>
      <w:sz w:val="20"/>
      <w:szCs w:val="20"/>
      <w:lang w:eastAsia="en-GB"/>
    </w:rPr>
  </w:style>
  <w:style w:type="character" w:styleId="EndnoteReference">
    <w:name w:val="endnote reference"/>
    <w:basedOn w:val="DefaultParagraphFont"/>
    <w:uiPriority w:val="99"/>
    <w:semiHidden/>
    <w:unhideWhenUsed/>
    <w:rsid w:val="00CE1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6587-9F2B-4AE6-B492-07CA3B92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4377</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Mokone</cp:lastModifiedBy>
  <cp:revision>3</cp:revision>
  <cp:lastPrinted>2023-01-23T09:07:00Z</cp:lastPrinted>
  <dcterms:created xsi:type="dcterms:W3CDTF">2023-03-08T09:21:00Z</dcterms:created>
  <dcterms:modified xsi:type="dcterms:W3CDTF">2023-03-08T09:26:00Z</dcterms:modified>
</cp:coreProperties>
</file>