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C619B" w14:textId="77777777" w:rsidR="00BA4B29" w:rsidRPr="00D04FE6" w:rsidRDefault="00BA4B29" w:rsidP="00BA4B29">
      <w:pPr>
        <w:spacing w:line="240" w:lineRule="auto"/>
        <w:jc w:val="center"/>
        <w:rPr>
          <w:rFonts w:cs="Arial"/>
          <w:b/>
        </w:rPr>
      </w:pPr>
      <w:bookmarkStart w:id="0" w:name="_GoBack"/>
      <w:bookmarkEnd w:id="0"/>
      <w:r w:rsidRPr="00D04FE6">
        <w:rPr>
          <w:rFonts w:cs="Arial"/>
          <w:noProof/>
          <w:lang w:val="en-ZA" w:eastAsia="en-ZA"/>
        </w:rPr>
        <w:drawing>
          <wp:inline distT="0" distB="0" distL="0" distR="0" wp14:anchorId="66B1421A" wp14:editId="3941D263">
            <wp:extent cx="1609725" cy="1476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227" cy="1499764"/>
                    </a:xfrm>
                    <a:prstGeom prst="rect">
                      <a:avLst/>
                    </a:prstGeom>
                    <a:noFill/>
                  </pic:spPr>
                </pic:pic>
              </a:graphicData>
            </a:graphic>
          </wp:inline>
        </w:drawing>
      </w:r>
    </w:p>
    <w:p w14:paraId="1D094A68" w14:textId="77777777" w:rsidR="00BA4B29" w:rsidRPr="00D04FE6" w:rsidRDefault="00BA4B29" w:rsidP="00BA4B29">
      <w:pPr>
        <w:spacing w:line="240" w:lineRule="auto"/>
        <w:jc w:val="center"/>
        <w:rPr>
          <w:rFonts w:cs="Arial"/>
          <w:b/>
        </w:rPr>
      </w:pPr>
    </w:p>
    <w:p w14:paraId="08783C1F" w14:textId="77777777" w:rsidR="00BA4B29" w:rsidRPr="0034599E" w:rsidRDefault="00BA4B29" w:rsidP="00BA4B29">
      <w:pPr>
        <w:jc w:val="center"/>
        <w:rPr>
          <w:rFonts w:cs="Arial"/>
          <w:b/>
          <w:szCs w:val="24"/>
        </w:rPr>
      </w:pPr>
      <w:r w:rsidRPr="0034599E">
        <w:rPr>
          <w:rFonts w:cs="Arial"/>
          <w:b/>
          <w:szCs w:val="24"/>
        </w:rPr>
        <w:t>IN THE HIGH COURT OF SOUTH AFRICA</w:t>
      </w:r>
    </w:p>
    <w:p w14:paraId="07A7178E" w14:textId="77777777" w:rsidR="00BA4B29" w:rsidRPr="0034599E" w:rsidRDefault="00BA4B29" w:rsidP="00BA4B29">
      <w:pPr>
        <w:jc w:val="center"/>
        <w:rPr>
          <w:rFonts w:cs="Arial"/>
          <w:b/>
          <w:szCs w:val="24"/>
        </w:rPr>
      </w:pPr>
      <w:r w:rsidRPr="0034599E">
        <w:rPr>
          <w:rFonts w:cs="Arial"/>
          <w:b/>
          <w:szCs w:val="24"/>
        </w:rPr>
        <w:t>(EASTERN CAPE DIVISION, GQEBERHA)</w:t>
      </w:r>
    </w:p>
    <w:p w14:paraId="303F4F18" w14:textId="77777777" w:rsidR="00BA4B29" w:rsidRPr="0034599E" w:rsidRDefault="00BA4B29" w:rsidP="00BA4B29">
      <w:pPr>
        <w:ind w:left="5400" w:firstLine="360"/>
        <w:jc w:val="right"/>
        <w:rPr>
          <w:rFonts w:cs="Arial"/>
          <w:b/>
          <w:szCs w:val="24"/>
        </w:rPr>
      </w:pPr>
      <w:r>
        <w:rPr>
          <w:rFonts w:cs="Arial"/>
          <w:b/>
          <w:szCs w:val="24"/>
        </w:rPr>
        <w:t>3929</w:t>
      </w:r>
      <w:r w:rsidRPr="0034599E">
        <w:rPr>
          <w:rFonts w:cs="Arial"/>
          <w:b/>
          <w:szCs w:val="24"/>
        </w:rPr>
        <w:t>/20</w:t>
      </w:r>
      <w:r>
        <w:rPr>
          <w:rFonts w:cs="Arial"/>
          <w:b/>
          <w:szCs w:val="24"/>
        </w:rPr>
        <w:t>23</w:t>
      </w:r>
    </w:p>
    <w:p w14:paraId="07CA2184" w14:textId="77777777" w:rsidR="00BA4B29" w:rsidRPr="0034599E" w:rsidRDefault="00BA4B29" w:rsidP="00BA4B29">
      <w:pPr>
        <w:ind w:left="0" w:firstLine="0"/>
        <w:jc w:val="left"/>
        <w:rPr>
          <w:rFonts w:cs="Arial"/>
          <w:b/>
          <w:szCs w:val="24"/>
        </w:rPr>
      </w:pPr>
    </w:p>
    <w:p w14:paraId="7074779A" w14:textId="77777777" w:rsidR="00BA4B29" w:rsidRPr="0034599E" w:rsidRDefault="00BA4B29" w:rsidP="00BA4B29">
      <w:pPr>
        <w:spacing w:line="276" w:lineRule="auto"/>
        <w:ind w:left="0" w:firstLine="0"/>
        <w:jc w:val="left"/>
        <w:rPr>
          <w:rFonts w:cs="Arial"/>
          <w:szCs w:val="24"/>
        </w:rPr>
      </w:pPr>
      <w:r w:rsidRPr="0034599E">
        <w:rPr>
          <w:rFonts w:cs="Arial"/>
          <w:szCs w:val="24"/>
        </w:rPr>
        <w:t>In the matter between:</w:t>
      </w:r>
    </w:p>
    <w:p w14:paraId="3F1D470E" w14:textId="77777777" w:rsidR="00BA4B29" w:rsidRPr="0034599E" w:rsidRDefault="00BA4B29" w:rsidP="00BA4B29">
      <w:pPr>
        <w:rPr>
          <w:rFonts w:cs="Arial"/>
          <w:szCs w:val="24"/>
        </w:rPr>
      </w:pPr>
    </w:p>
    <w:p w14:paraId="613BC484" w14:textId="77777777" w:rsidR="00BA4B29" w:rsidRDefault="00BA4B29" w:rsidP="00BA4B29">
      <w:pPr>
        <w:rPr>
          <w:rFonts w:cs="Arial"/>
          <w:szCs w:val="24"/>
        </w:rPr>
      </w:pPr>
      <w:r>
        <w:rPr>
          <w:rFonts w:cs="Arial"/>
          <w:b/>
          <w:szCs w:val="24"/>
        </w:rPr>
        <w:t>HERON MAURITIUS LIMITED</w:t>
      </w:r>
      <w:r w:rsidRPr="0034599E">
        <w:rPr>
          <w:rFonts w:cs="Arial"/>
          <w:b/>
          <w:szCs w:val="24"/>
        </w:rPr>
        <w:tab/>
      </w:r>
      <w:r w:rsidRPr="0034599E">
        <w:rPr>
          <w:rFonts w:cs="Arial"/>
          <w:b/>
          <w:szCs w:val="24"/>
        </w:rPr>
        <w:tab/>
      </w:r>
      <w:r w:rsidRPr="0034599E">
        <w:rPr>
          <w:rFonts w:cs="Arial"/>
          <w:b/>
          <w:szCs w:val="24"/>
        </w:rPr>
        <w:tab/>
      </w:r>
      <w:r>
        <w:rPr>
          <w:rFonts w:cs="Arial"/>
          <w:b/>
          <w:szCs w:val="24"/>
        </w:rPr>
        <w:t xml:space="preserve">         </w:t>
      </w:r>
      <w:r>
        <w:rPr>
          <w:rFonts w:cs="Arial"/>
          <w:b/>
          <w:szCs w:val="24"/>
        </w:rPr>
        <w:tab/>
      </w:r>
      <w:r>
        <w:rPr>
          <w:rFonts w:cs="Arial"/>
          <w:b/>
          <w:szCs w:val="24"/>
        </w:rPr>
        <w:tab/>
      </w:r>
      <w:r>
        <w:rPr>
          <w:rFonts w:cs="Arial"/>
          <w:b/>
          <w:szCs w:val="24"/>
        </w:rPr>
        <w:tab/>
        <w:t xml:space="preserve">         </w:t>
      </w:r>
      <w:r w:rsidRPr="005144BF">
        <w:rPr>
          <w:rFonts w:cs="Arial"/>
          <w:szCs w:val="24"/>
        </w:rPr>
        <w:t>First Applicant</w:t>
      </w:r>
    </w:p>
    <w:p w14:paraId="4CEEF363" w14:textId="77777777" w:rsidR="00BA4B29" w:rsidRDefault="00BA4B29" w:rsidP="00BA4B29">
      <w:pPr>
        <w:rPr>
          <w:rFonts w:cs="Arial"/>
          <w:szCs w:val="24"/>
        </w:rPr>
      </w:pPr>
    </w:p>
    <w:p w14:paraId="05FC0B57" w14:textId="77777777" w:rsidR="00BA4B29" w:rsidRPr="005144BF" w:rsidRDefault="00BA4B29" w:rsidP="00BA4B29">
      <w:pPr>
        <w:rPr>
          <w:rFonts w:cs="Arial"/>
          <w:szCs w:val="24"/>
        </w:rPr>
      </w:pPr>
      <w:r>
        <w:rPr>
          <w:rFonts w:cs="Arial"/>
          <w:b/>
          <w:szCs w:val="24"/>
        </w:rPr>
        <w:t>HERON MARINE SOUTH AFRICA (PTY) LTD</w:t>
      </w:r>
      <w:r>
        <w:rPr>
          <w:rFonts w:cs="Arial"/>
          <w:b/>
          <w:szCs w:val="24"/>
        </w:rPr>
        <w:tab/>
      </w:r>
      <w:r>
        <w:rPr>
          <w:rFonts w:cs="Arial"/>
          <w:b/>
          <w:szCs w:val="24"/>
        </w:rPr>
        <w:tab/>
      </w:r>
      <w:r>
        <w:rPr>
          <w:rFonts w:cs="Arial"/>
          <w:b/>
          <w:szCs w:val="24"/>
        </w:rPr>
        <w:tab/>
      </w:r>
      <w:r>
        <w:rPr>
          <w:rFonts w:cs="Arial"/>
          <w:b/>
          <w:szCs w:val="24"/>
        </w:rPr>
        <w:tab/>
        <w:t xml:space="preserve">    </w:t>
      </w:r>
      <w:r>
        <w:rPr>
          <w:rFonts w:cs="Arial"/>
          <w:szCs w:val="24"/>
        </w:rPr>
        <w:t>Second Applicant</w:t>
      </w:r>
    </w:p>
    <w:p w14:paraId="314BAB13" w14:textId="77777777" w:rsidR="00BA4B29" w:rsidRPr="0034599E" w:rsidRDefault="00BA4B29" w:rsidP="00BA4B29">
      <w:pPr>
        <w:rPr>
          <w:rFonts w:cs="Arial"/>
          <w:szCs w:val="24"/>
        </w:rPr>
      </w:pPr>
    </w:p>
    <w:p w14:paraId="3EEEC0A8" w14:textId="77777777" w:rsidR="00BA4B29" w:rsidRPr="0034599E" w:rsidRDefault="00BA4B29" w:rsidP="00BA4B29">
      <w:pPr>
        <w:rPr>
          <w:rFonts w:cs="Arial"/>
          <w:szCs w:val="24"/>
        </w:rPr>
      </w:pPr>
      <w:r w:rsidRPr="0034599E">
        <w:rPr>
          <w:rFonts w:cs="Arial"/>
          <w:szCs w:val="24"/>
        </w:rPr>
        <w:t>and</w:t>
      </w:r>
    </w:p>
    <w:p w14:paraId="6861D52E" w14:textId="77777777" w:rsidR="00BA4B29" w:rsidRPr="0034599E" w:rsidRDefault="00BA4B29" w:rsidP="00BA4B29">
      <w:pPr>
        <w:tabs>
          <w:tab w:val="left" w:pos="5670"/>
        </w:tabs>
        <w:ind w:left="0" w:firstLine="0"/>
        <w:rPr>
          <w:rFonts w:cs="Arial"/>
          <w:b/>
          <w:szCs w:val="24"/>
        </w:rPr>
      </w:pPr>
    </w:p>
    <w:p w14:paraId="0C3C31FC" w14:textId="77777777" w:rsidR="00BA4B29" w:rsidRDefault="00BA4B29" w:rsidP="00BA4B29">
      <w:pPr>
        <w:tabs>
          <w:tab w:val="left" w:pos="5670"/>
        </w:tabs>
        <w:ind w:left="0" w:firstLine="0"/>
        <w:jc w:val="left"/>
        <w:rPr>
          <w:rFonts w:cs="Arial"/>
          <w:b/>
          <w:szCs w:val="24"/>
        </w:rPr>
      </w:pPr>
      <w:r>
        <w:rPr>
          <w:rFonts w:cs="Arial"/>
          <w:b/>
          <w:szCs w:val="24"/>
        </w:rPr>
        <w:t>COMMISSIONER FOR THE SOUTH AFRICAN</w:t>
      </w:r>
    </w:p>
    <w:p w14:paraId="7C565614" w14:textId="6E48A694" w:rsidR="00BA4B29" w:rsidRDefault="00BA4B29" w:rsidP="00BA4B29">
      <w:pPr>
        <w:tabs>
          <w:tab w:val="left" w:pos="5670"/>
        </w:tabs>
        <w:ind w:left="0" w:firstLine="0"/>
        <w:jc w:val="left"/>
        <w:rPr>
          <w:rFonts w:cs="Arial"/>
          <w:szCs w:val="24"/>
        </w:rPr>
      </w:pPr>
      <w:r>
        <w:rPr>
          <w:rFonts w:cs="Arial"/>
          <w:b/>
          <w:szCs w:val="24"/>
        </w:rPr>
        <w:t>REVENUE SERVICE</w:t>
      </w:r>
      <w:r w:rsidRPr="0034599E">
        <w:rPr>
          <w:rFonts w:cs="Arial"/>
          <w:b/>
          <w:szCs w:val="24"/>
        </w:rPr>
        <w:tab/>
        <w:t xml:space="preserve">              </w:t>
      </w:r>
      <w:r w:rsidRPr="0034599E">
        <w:rPr>
          <w:rFonts w:cs="Arial"/>
          <w:b/>
          <w:szCs w:val="24"/>
        </w:rPr>
        <w:tab/>
        <w:t xml:space="preserve">   </w:t>
      </w:r>
      <w:r>
        <w:rPr>
          <w:rFonts w:cs="Arial"/>
          <w:b/>
          <w:szCs w:val="24"/>
        </w:rPr>
        <w:t xml:space="preserve"> </w:t>
      </w:r>
      <w:proofErr w:type="gramStart"/>
      <w:r>
        <w:rPr>
          <w:rFonts w:cs="Arial"/>
          <w:b/>
          <w:szCs w:val="24"/>
        </w:rPr>
        <w:tab/>
        <w:t xml:space="preserve">  </w:t>
      </w:r>
      <w:r>
        <w:rPr>
          <w:rFonts w:cs="Arial"/>
          <w:szCs w:val="24"/>
        </w:rPr>
        <w:t>Respondent</w:t>
      </w:r>
      <w:proofErr w:type="gramEnd"/>
    </w:p>
    <w:p w14:paraId="742B7B5E" w14:textId="352F2F96" w:rsidR="005B293C" w:rsidRDefault="005B293C" w:rsidP="00BA4B29">
      <w:pPr>
        <w:tabs>
          <w:tab w:val="left" w:pos="5670"/>
        </w:tabs>
        <w:ind w:left="0" w:firstLine="0"/>
        <w:jc w:val="left"/>
        <w:rPr>
          <w:rFonts w:cs="Arial"/>
          <w:szCs w:val="24"/>
        </w:rPr>
      </w:pPr>
    </w:p>
    <w:p w14:paraId="6E414B4E" w14:textId="237082C8" w:rsidR="005B293C" w:rsidRDefault="005B293C" w:rsidP="005B293C">
      <w:pPr>
        <w:tabs>
          <w:tab w:val="left" w:pos="5670"/>
        </w:tabs>
        <w:ind w:left="0" w:firstLine="0"/>
        <w:jc w:val="right"/>
        <w:rPr>
          <w:rFonts w:cs="Arial"/>
          <w:szCs w:val="24"/>
        </w:rPr>
      </w:pPr>
      <w:r>
        <w:rPr>
          <w:noProof/>
          <w:lang w:val="en-ZA" w:eastAsia="en-ZA"/>
        </w:rPr>
        <w:drawing>
          <wp:inline distT="0" distB="0" distL="0" distR="0" wp14:anchorId="2E55F74B" wp14:editId="32FCBA69">
            <wp:extent cx="3943350" cy="1183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183005"/>
                    </a:xfrm>
                    <a:prstGeom prst="rect">
                      <a:avLst/>
                    </a:prstGeom>
                    <a:noFill/>
                  </pic:spPr>
                </pic:pic>
              </a:graphicData>
            </a:graphic>
          </wp:inline>
        </w:drawing>
      </w:r>
    </w:p>
    <w:p w14:paraId="4FE3C5B6" w14:textId="77777777" w:rsidR="005B293C" w:rsidRDefault="005B293C" w:rsidP="005B293C">
      <w:pPr>
        <w:tabs>
          <w:tab w:val="left" w:pos="5670"/>
        </w:tabs>
        <w:ind w:left="0" w:firstLine="0"/>
        <w:jc w:val="right"/>
        <w:rPr>
          <w:rFonts w:cs="Arial"/>
          <w:szCs w:val="24"/>
        </w:rPr>
      </w:pPr>
    </w:p>
    <w:p w14:paraId="17312CB0" w14:textId="77777777" w:rsidR="00BA4B29" w:rsidRPr="0034599E" w:rsidRDefault="00BA4B29" w:rsidP="00BA4B29">
      <w:pPr>
        <w:pBdr>
          <w:bottom w:val="single" w:sz="12" w:space="1" w:color="auto"/>
        </w:pBdr>
        <w:tabs>
          <w:tab w:val="left" w:pos="5670"/>
        </w:tabs>
        <w:ind w:left="0" w:firstLine="0"/>
        <w:rPr>
          <w:rFonts w:cs="Arial"/>
          <w:b/>
          <w:szCs w:val="24"/>
        </w:rPr>
      </w:pPr>
    </w:p>
    <w:p w14:paraId="548C134F" w14:textId="77777777" w:rsidR="00BA4B29" w:rsidRPr="0034599E" w:rsidRDefault="00BA4B29" w:rsidP="00BA4B29">
      <w:pPr>
        <w:tabs>
          <w:tab w:val="left" w:pos="5670"/>
        </w:tabs>
        <w:ind w:left="0" w:firstLine="0"/>
        <w:rPr>
          <w:rFonts w:cs="Arial"/>
          <w:b/>
          <w:szCs w:val="24"/>
        </w:rPr>
      </w:pPr>
    </w:p>
    <w:p w14:paraId="1CCDA075" w14:textId="77777777" w:rsidR="00BA4B29" w:rsidRPr="0034599E" w:rsidRDefault="00BA4B29" w:rsidP="00BA4B29">
      <w:pPr>
        <w:pBdr>
          <w:bottom w:val="single" w:sz="12" w:space="1" w:color="auto"/>
        </w:pBdr>
        <w:jc w:val="center"/>
        <w:rPr>
          <w:rFonts w:cs="Arial"/>
          <w:b/>
          <w:szCs w:val="24"/>
          <w:u w:val="single"/>
        </w:rPr>
      </w:pPr>
      <w:r>
        <w:rPr>
          <w:rFonts w:cs="Arial"/>
          <w:b/>
          <w:szCs w:val="24"/>
        </w:rPr>
        <w:t>JUDGMENT</w:t>
      </w:r>
    </w:p>
    <w:p w14:paraId="17916B6B" w14:textId="77777777" w:rsidR="00BA4B29" w:rsidRPr="0034599E" w:rsidRDefault="00BA4B29" w:rsidP="00BA4B29">
      <w:pPr>
        <w:spacing w:line="480" w:lineRule="auto"/>
        <w:jc w:val="left"/>
        <w:rPr>
          <w:rFonts w:cs="Arial"/>
          <w:b/>
          <w:szCs w:val="24"/>
          <w:u w:val="single"/>
        </w:rPr>
      </w:pPr>
    </w:p>
    <w:p w14:paraId="40D2A337" w14:textId="37D25C44" w:rsidR="00BA4B29" w:rsidRDefault="00BA4B29" w:rsidP="00BA4B29">
      <w:pPr>
        <w:ind w:left="0" w:firstLine="0"/>
        <w:contextualSpacing/>
        <w:rPr>
          <w:rFonts w:cs="Arial"/>
          <w:b/>
          <w:bCs/>
          <w:szCs w:val="24"/>
          <w:lang w:val="en-ZA"/>
        </w:rPr>
      </w:pPr>
      <w:r>
        <w:rPr>
          <w:rFonts w:cs="Arial"/>
          <w:b/>
          <w:bCs/>
          <w:szCs w:val="24"/>
          <w:lang w:val="en-ZA"/>
        </w:rPr>
        <w:lastRenderedPageBreak/>
        <w:t>POTGIETER J</w:t>
      </w:r>
    </w:p>
    <w:p w14:paraId="6BCC496C" w14:textId="77777777" w:rsidR="00BA4B29" w:rsidRDefault="00BA4B29" w:rsidP="00BA4B29">
      <w:pPr>
        <w:ind w:left="0" w:firstLine="0"/>
        <w:contextualSpacing/>
        <w:rPr>
          <w:rFonts w:cs="Arial"/>
          <w:b/>
          <w:bCs/>
          <w:szCs w:val="24"/>
          <w:lang w:val="en-ZA"/>
        </w:rPr>
      </w:pPr>
    </w:p>
    <w:p w14:paraId="1729A946" w14:textId="77777777" w:rsidR="00BA4B29" w:rsidRPr="00A02627" w:rsidRDefault="00BA4B29" w:rsidP="00BA4B29">
      <w:pPr>
        <w:ind w:left="0" w:firstLine="0"/>
        <w:contextualSpacing/>
        <w:rPr>
          <w:rFonts w:cs="Arial"/>
          <w:b/>
          <w:bCs/>
          <w:szCs w:val="24"/>
          <w:u w:val="single"/>
          <w:lang w:val="en-ZA"/>
        </w:rPr>
      </w:pPr>
      <w:r>
        <w:rPr>
          <w:rFonts w:cs="Arial"/>
          <w:b/>
          <w:bCs/>
          <w:szCs w:val="24"/>
          <w:u w:val="single"/>
          <w:lang w:val="en-ZA"/>
        </w:rPr>
        <w:t>INTRODUCTION</w:t>
      </w:r>
    </w:p>
    <w:p w14:paraId="344FB1C8" w14:textId="77777777" w:rsidR="00BA4B29" w:rsidRDefault="00BA4B29" w:rsidP="00BA4B29">
      <w:pPr>
        <w:ind w:left="0" w:firstLine="0"/>
        <w:contextualSpacing/>
        <w:rPr>
          <w:rFonts w:cs="Arial"/>
          <w:b/>
          <w:bCs/>
          <w:szCs w:val="24"/>
          <w:lang w:val="en-ZA"/>
        </w:rPr>
      </w:pPr>
    </w:p>
    <w:p w14:paraId="706406D7" w14:textId="31026702" w:rsidR="00BA4B29" w:rsidRDefault="00BA4B29" w:rsidP="00BA4B29">
      <w:pPr>
        <w:spacing w:after="160" w:line="480" w:lineRule="auto"/>
        <w:ind w:left="0" w:firstLine="0"/>
        <w:contextualSpacing/>
        <w:rPr>
          <w:rFonts w:cs="Arial"/>
          <w:bCs/>
          <w:szCs w:val="24"/>
          <w:lang w:val="en-ZA"/>
        </w:rPr>
      </w:pPr>
      <w:r>
        <w:rPr>
          <w:rFonts w:cs="Arial"/>
          <w:bCs/>
          <w:szCs w:val="24"/>
          <w:lang w:val="en-ZA"/>
        </w:rPr>
        <w:t xml:space="preserve">[1] </w:t>
      </w:r>
      <w:r w:rsidRPr="00D80AE1">
        <w:rPr>
          <w:rFonts w:cs="Arial"/>
          <w:bCs/>
          <w:szCs w:val="24"/>
          <w:lang w:val="en-ZA"/>
        </w:rPr>
        <w:t>Th</w:t>
      </w:r>
      <w:r>
        <w:rPr>
          <w:rFonts w:cs="Arial"/>
          <w:bCs/>
          <w:szCs w:val="24"/>
          <w:lang w:val="en-ZA"/>
        </w:rPr>
        <w:t>e applicants launched urgent proceedings on 14 November 2023 relating to three vessels (tankers) that were utilised as more fully set out below in bunkering operations</w:t>
      </w:r>
      <w:r w:rsidR="0090427B">
        <w:rPr>
          <w:rStyle w:val="FootnoteReference"/>
          <w:rFonts w:cs="Arial"/>
          <w:bCs/>
          <w:szCs w:val="24"/>
          <w:lang w:val="en-ZA"/>
        </w:rPr>
        <w:footnoteReference w:id="1"/>
      </w:r>
      <w:r>
        <w:rPr>
          <w:rFonts w:cs="Arial"/>
          <w:bCs/>
          <w:szCs w:val="24"/>
          <w:lang w:val="en-ZA"/>
        </w:rPr>
        <w:t xml:space="preserve"> in </w:t>
      </w:r>
      <w:proofErr w:type="spellStart"/>
      <w:r>
        <w:rPr>
          <w:rFonts w:cs="Arial"/>
          <w:bCs/>
          <w:szCs w:val="24"/>
          <w:lang w:val="en-ZA"/>
        </w:rPr>
        <w:t>Algoa</w:t>
      </w:r>
      <w:proofErr w:type="spellEnd"/>
      <w:r>
        <w:rPr>
          <w:rFonts w:cs="Arial"/>
          <w:bCs/>
          <w:szCs w:val="24"/>
          <w:lang w:val="en-ZA"/>
        </w:rPr>
        <w:t xml:space="preserve"> Bay, namely MT Avatar and MT </w:t>
      </w:r>
      <w:proofErr w:type="spellStart"/>
      <w:r>
        <w:rPr>
          <w:rFonts w:cs="Arial"/>
          <w:bCs/>
          <w:szCs w:val="24"/>
          <w:lang w:val="en-ZA"/>
        </w:rPr>
        <w:t>Vemadignity</w:t>
      </w:r>
      <w:proofErr w:type="spellEnd"/>
      <w:r>
        <w:rPr>
          <w:rFonts w:cs="Arial"/>
          <w:bCs/>
          <w:szCs w:val="24"/>
          <w:lang w:val="en-ZA"/>
        </w:rPr>
        <w:t xml:space="preserve"> that were both detained on 8 April 2023 and MT </w:t>
      </w:r>
      <w:proofErr w:type="spellStart"/>
      <w:r>
        <w:rPr>
          <w:rFonts w:cs="Arial"/>
          <w:bCs/>
          <w:szCs w:val="24"/>
          <w:lang w:val="en-ZA"/>
        </w:rPr>
        <w:t>Vemaharmony</w:t>
      </w:r>
      <w:proofErr w:type="spellEnd"/>
      <w:r>
        <w:rPr>
          <w:rFonts w:cs="Arial"/>
          <w:bCs/>
          <w:szCs w:val="24"/>
          <w:lang w:val="en-ZA"/>
        </w:rPr>
        <w:t xml:space="preserve"> that was detained on 21 June 2023 at the instance of the respondent (“the Commissioner or SARS”). The detentions were made in terms of section 88(1)(a)</w:t>
      </w:r>
      <w:r>
        <w:rPr>
          <w:rStyle w:val="FootnoteReference"/>
          <w:rFonts w:cs="Arial"/>
          <w:bCs/>
          <w:szCs w:val="24"/>
          <w:lang w:val="en-ZA"/>
        </w:rPr>
        <w:footnoteReference w:id="2"/>
      </w:r>
      <w:r>
        <w:rPr>
          <w:rFonts w:cs="Arial"/>
          <w:bCs/>
          <w:szCs w:val="24"/>
          <w:lang w:val="en-ZA"/>
        </w:rPr>
        <w:t xml:space="preserve"> of the Customs and Excise Act, 91 of 1964 (“the Act”)</w:t>
      </w:r>
      <w:r w:rsidR="00712B99">
        <w:rPr>
          <w:rFonts w:cs="Arial"/>
          <w:bCs/>
          <w:szCs w:val="24"/>
          <w:lang w:val="en-ZA"/>
        </w:rPr>
        <w:t xml:space="preserve"> for possible violations of the Act</w:t>
      </w:r>
      <w:r>
        <w:rPr>
          <w:rFonts w:cs="Arial"/>
          <w:bCs/>
          <w:szCs w:val="24"/>
          <w:lang w:val="en-ZA"/>
        </w:rPr>
        <w:t xml:space="preserve">. In all three instances, it was initially only the vessels themselves, excluding their cargo of bunker marine fuel (bunkers), that were detained. The vessels were allowed to </w:t>
      </w:r>
      <w:r>
        <w:rPr>
          <w:rFonts w:cs="Arial"/>
          <w:bCs/>
          <w:szCs w:val="24"/>
          <w:lang w:val="en-ZA"/>
        </w:rPr>
        <w:lastRenderedPageBreak/>
        <w:t xml:space="preserve">continue operating but were prohibited from leaving the Territorial Waters of the Republic of South Africa. </w:t>
      </w:r>
    </w:p>
    <w:p w14:paraId="4867675B" w14:textId="77777777" w:rsidR="00BA4B29" w:rsidRDefault="00BA4B29" w:rsidP="00BA4B29">
      <w:pPr>
        <w:spacing w:after="160" w:line="480" w:lineRule="auto"/>
        <w:ind w:left="0" w:firstLine="0"/>
        <w:contextualSpacing/>
        <w:rPr>
          <w:rFonts w:cs="Arial"/>
          <w:bCs/>
          <w:szCs w:val="24"/>
          <w:lang w:val="en-ZA"/>
        </w:rPr>
      </w:pPr>
    </w:p>
    <w:p w14:paraId="41F4F4A3" w14:textId="77777777" w:rsidR="00BA4B29" w:rsidRDefault="00BA4B29" w:rsidP="00BA4B29">
      <w:pPr>
        <w:spacing w:after="160" w:line="480" w:lineRule="auto"/>
        <w:ind w:left="0" w:firstLine="0"/>
        <w:contextualSpacing/>
        <w:rPr>
          <w:rFonts w:cs="Arial"/>
          <w:bCs/>
          <w:szCs w:val="24"/>
          <w:lang w:val="en-ZA"/>
        </w:rPr>
      </w:pPr>
      <w:r>
        <w:rPr>
          <w:rFonts w:cs="Arial"/>
          <w:bCs/>
          <w:szCs w:val="24"/>
          <w:lang w:val="en-ZA"/>
        </w:rPr>
        <w:t>[2] The application is being opposed by the respondent.</w:t>
      </w:r>
    </w:p>
    <w:p w14:paraId="6D59DE3D" w14:textId="77777777" w:rsidR="00BA4B29" w:rsidRDefault="00BA4B29" w:rsidP="00BA4B29">
      <w:pPr>
        <w:spacing w:after="160" w:line="480" w:lineRule="auto"/>
        <w:ind w:left="0" w:firstLine="0"/>
        <w:contextualSpacing/>
        <w:rPr>
          <w:rFonts w:cs="Arial"/>
          <w:bCs/>
          <w:szCs w:val="24"/>
          <w:lang w:val="en-ZA"/>
        </w:rPr>
      </w:pPr>
    </w:p>
    <w:p w14:paraId="2BAFBFE0" w14:textId="77777777" w:rsidR="00BA4B29" w:rsidRDefault="00BA4B29" w:rsidP="00BA4B29">
      <w:pPr>
        <w:spacing w:after="160" w:line="480" w:lineRule="auto"/>
        <w:ind w:left="0" w:firstLine="0"/>
        <w:contextualSpacing/>
        <w:rPr>
          <w:rFonts w:cs="Arial"/>
          <w:bCs/>
          <w:szCs w:val="24"/>
          <w:lang w:val="en-ZA"/>
        </w:rPr>
      </w:pPr>
      <w:r>
        <w:rPr>
          <w:rFonts w:cs="Arial"/>
          <w:bCs/>
          <w:szCs w:val="24"/>
          <w:lang w:val="en-ZA"/>
        </w:rPr>
        <w:t>[3] At the conclusion of the argument on behalf of the applicants, their counsel handed up a draft order in terms whereof the following relief is being sought:</w:t>
      </w:r>
    </w:p>
    <w:p w14:paraId="1060B5A4" w14:textId="77777777" w:rsidR="00BA4B29" w:rsidRDefault="00BA4B29" w:rsidP="00BA4B29">
      <w:pPr>
        <w:spacing w:after="160" w:line="480" w:lineRule="auto"/>
        <w:ind w:left="0" w:firstLine="0"/>
        <w:contextualSpacing/>
        <w:rPr>
          <w:rFonts w:cs="Arial"/>
          <w:bCs/>
          <w:szCs w:val="24"/>
          <w:lang w:val="en-ZA"/>
        </w:rPr>
      </w:pPr>
    </w:p>
    <w:p w14:paraId="69251012" w14:textId="45BC976D" w:rsidR="00BA4B29" w:rsidRPr="00580CBC" w:rsidRDefault="000A4E2F" w:rsidP="00BA4B29">
      <w:pPr>
        <w:spacing w:after="160" w:line="480" w:lineRule="auto"/>
        <w:ind w:left="720" w:firstLine="0"/>
        <w:contextualSpacing/>
        <w:rPr>
          <w:rFonts w:cs="Arial"/>
          <w:bCs/>
          <w:i/>
          <w:sz w:val="22"/>
          <w:lang w:val="en-ZA"/>
        </w:rPr>
      </w:pPr>
      <w:r w:rsidRPr="00580CBC">
        <w:rPr>
          <w:rFonts w:cs="Arial"/>
          <w:bCs/>
          <w:i/>
          <w:sz w:val="22"/>
          <w:lang w:val="en-ZA"/>
        </w:rPr>
        <w:t>“1. The time-</w:t>
      </w:r>
      <w:proofErr w:type="gramStart"/>
      <w:r w:rsidRPr="00580CBC">
        <w:rPr>
          <w:rFonts w:cs="Arial"/>
          <w:bCs/>
          <w:i/>
          <w:sz w:val="22"/>
          <w:lang w:val="en-ZA"/>
        </w:rPr>
        <w:t xml:space="preserve">period </w:t>
      </w:r>
      <w:r w:rsidR="00BA4B29" w:rsidRPr="00580CBC">
        <w:rPr>
          <w:rFonts w:cs="Arial"/>
          <w:bCs/>
          <w:i/>
          <w:sz w:val="22"/>
          <w:lang w:val="en-ZA"/>
        </w:rPr>
        <w:t xml:space="preserve"> </w:t>
      </w:r>
      <w:r w:rsidRPr="00580CBC">
        <w:rPr>
          <w:rFonts w:cs="Arial"/>
          <w:bCs/>
          <w:i/>
          <w:sz w:val="22"/>
          <w:lang w:val="en-ZA"/>
        </w:rPr>
        <w:t>f</w:t>
      </w:r>
      <w:r w:rsidR="00BA4B29" w:rsidRPr="00580CBC">
        <w:rPr>
          <w:rFonts w:cs="Arial"/>
          <w:bCs/>
          <w:i/>
          <w:sz w:val="22"/>
          <w:lang w:val="en-ZA"/>
        </w:rPr>
        <w:t>or</w:t>
      </w:r>
      <w:proofErr w:type="gramEnd"/>
      <w:r w:rsidR="00BA4B29" w:rsidRPr="00580CBC">
        <w:rPr>
          <w:rFonts w:cs="Arial"/>
          <w:bCs/>
          <w:i/>
          <w:sz w:val="22"/>
          <w:lang w:val="en-ZA"/>
        </w:rPr>
        <w:t xml:space="preserve"> notice to the respondent in s 96(1)(a) of the Customs and Excise Act, 91 of 1964 (as amended) (“the Act”) is reduced from one month to ten (10) calendar days in terms of s 96(1)(c) of the Act</w:t>
      </w:r>
      <w:r w:rsidRPr="00580CBC">
        <w:rPr>
          <w:rFonts w:cs="Arial"/>
          <w:bCs/>
          <w:i/>
          <w:sz w:val="22"/>
          <w:lang w:val="en-ZA"/>
        </w:rPr>
        <w:t>;</w:t>
      </w:r>
    </w:p>
    <w:p w14:paraId="6F0A11DA" w14:textId="301B0160" w:rsidR="000A4E2F" w:rsidRPr="00580CBC" w:rsidRDefault="000A4E2F" w:rsidP="00BA4B29">
      <w:pPr>
        <w:spacing w:after="160" w:line="480" w:lineRule="auto"/>
        <w:ind w:left="720" w:firstLine="0"/>
        <w:contextualSpacing/>
        <w:rPr>
          <w:rFonts w:cs="Arial"/>
          <w:bCs/>
          <w:i/>
          <w:sz w:val="22"/>
          <w:lang w:val="en-ZA"/>
        </w:rPr>
      </w:pPr>
    </w:p>
    <w:p w14:paraId="17107BBF" w14:textId="667AAC28" w:rsidR="000A4E2F" w:rsidRPr="00580CBC" w:rsidRDefault="000A4E2F" w:rsidP="00BA4B29">
      <w:pPr>
        <w:spacing w:after="160" w:line="480" w:lineRule="auto"/>
        <w:ind w:left="720" w:firstLine="0"/>
        <w:contextualSpacing/>
        <w:rPr>
          <w:rFonts w:cs="Arial"/>
          <w:bCs/>
          <w:i/>
          <w:sz w:val="22"/>
          <w:lang w:val="en-ZA"/>
        </w:rPr>
      </w:pPr>
      <w:r w:rsidRPr="00580CBC">
        <w:rPr>
          <w:rFonts w:cs="Arial"/>
          <w:bCs/>
          <w:i/>
          <w:sz w:val="22"/>
          <w:lang w:val="en-ZA"/>
        </w:rPr>
        <w:t>2. The respondent’s decision on 15 September 2023 in terms of s 88(1)(a) of the Act:</w:t>
      </w:r>
    </w:p>
    <w:p w14:paraId="0B2B6E60" w14:textId="146EACB2" w:rsidR="000A4E2F" w:rsidRPr="00580CBC" w:rsidRDefault="000A4E2F" w:rsidP="00BA4B29">
      <w:pPr>
        <w:spacing w:after="160" w:line="480" w:lineRule="auto"/>
        <w:ind w:left="720" w:firstLine="0"/>
        <w:contextualSpacing/>
        <w:rPr>
          <w:rFonts w:cs="Arial"/>
          <w:bCs/>
          <w:i/>
          <w:sz w:val="22"/>
          <w:lang w:val="en-ZA"/>
        </w:rPr>
      </w:pPr>
    </w:p>
    <w:p w14:paraId="74E3EF9E" w14:textId="34FC9D86" w:rsidR="000A4E2F" w:rsidRPr="00580CBC" w:rsidRDefault="000A4E2F" w:rsidP="000A4E2F">
      <w:pPr>
        <w:spacing w:after="160" w:line="480" w:lineRule="auto"/>
        <w:ind w:left="2160" w:hanging="720"/>
        <w:contextualSpacing/>
        <w:rPr>
          <w:rFonts w:cs="Arial"/>
          <w:bCs/>
          <w:i/>
          <w:sz w:val="22"/>
          <w:lang w:val="en-ZA"/>
        </w:rPr>
      </w:pPr>
      <w:r w:rsidRPr="00580CBC">
        <w:rPr>
          <w:rFonts w:cs="Arial"/>
          <w:bCs/>
          <w:i/>
          <w:sz w:val="22"/>
          <w:lang w:val="en-ZA"/>
        </w:rPr>
        <w:t>2.1</w:t>
      </w:r>
      <w:r w:rsidRPr="00580CBC">
        <w:rPr>
          <w:rFonts w:cs="Arial"/>
          <w:bCs/>
          <w:i/>
          <w:sz w:val="22"/>
          <w:lang w:val="en-ZA"/>
        </w:rPr>
        <w:tab/>
        <w:t>To amend the detention notices in respect of the vessel</w:t>
      </w:r>
      <w:r w:rsidR="00E078C3">
        <w:rPr>
          <w:rFonts w:cs="Arial"/>
          <w:bCs/>
          <w:i/>
          <w:sz w:val="22"/>
          <w:lang w:val="en-ZA"/>
        </w:rPr>
        <w:t>s</w:t>
      </w:r>
      <w:r w:rsidRPr="00580CBC">
        <w:rPr>
          <w:rFonts w:cs="Arial"/>
          <w:bCs/>
          <w:i/>
          <w:sz w:val="22"/>
          <w:lang w:val="en-ZA"/>
        </w:rPr>
        <w:t xml:space="preserve"> MT Avatar, MT </w:t>
      </w:r>
      <w:proofErr w:type="spellStart"/>
      <w:r w:rsidRPr="00580CBC">
        <w:rPr>
          <w:rFonts w:cs="Arial"/>
          <w:bCs/>
          <w:i/>
          <w:sz w:val="22"/>
          <w:lang w:val="en-ZA"/>
        </w:rPr>
        <w:t>Vemadignity</w:t>
      </w:r>
      <w:proofErr w:type="spellEnd"/>
      <w:r w:rsidRPr="00580CBC">
        <w:rPr>
          <w:rFonts w:cs="Arial"/>
          <w:bCs/>
          <w:i/>
          <w:sz w:val="22"/>
          <w:lang w:val="en-ZA"/>
        </w:rPr>
        <w:t xml:space="preserve">, and MT </w:t>
      </w:r>
      <w:proofErr w:type="spellStart"/>
      <w:r w:rsidRPr="00580CBC">
        <w:rPr>
          <w:rFonts w:cs="Arial"/>
          <w:bCs/>
          <w:i/>
          <w:sz w:val="22"/>
          <w:lang w:val="en-ZA"/>
        </w:rPr>
        <w:t>Vemaharmony</w:t>
      </w:r>
      <w:proofErr w:type="spellEnd"/>
      <w:r w:rsidRPr="00580CBC">
        <w:rPr>
          <w:rFonts w:cs="Arial"/>
          <w:bCs/>
          <w:i/>
          <w:sz w:val="22"/>
          <w:lang w:val="en-ZA"/>
        </w:rPr>
        <w:t xml:space="preserve"> and to issue new detention notices in respect of the MT Intrepid and MT Sea Emperor; and</w:t>
      </w:r>
    </w:p>
    <w:p w14:paraId="3852631A" w14:textId="77777777" w:rsidR="000A4E2F" w:rsidRPr="00580CBC" w:rsidRDefault="000A4E2F" w:rsidP="000A4E2F">
      <w:pPr>
        <w:spacing w:after="160" w:line="480" w:lineRule="auto"/>
        <w:ind w:left="720" w:firstLine="0"/>
        <w:contextualSpacing/>
        <w:rPr>
          <w:rFonts w:cs="Arial"/>
          <w:bCs/>
          <w:i/>
          <w:sz w:val="22"/>
          <w:lang w:val="en-ZA"/>
        </w:rPr>
      </w:pPr>
      <w:r w:rsidRPr="00580CBC">
        <w:rPr>
          <w:rFonts w:cs="Arial"/>
          <w:bCs/>
          <w:i/>
          <w:sz w:val="22"/>
          <w:lang w:val="en-ZA"/>
        </w:rPr>
        <w:tab/>
        <w:t>2.2</w:t>
      </w:r>
      <w:r w:rsidRPr="00580CBC">
        <w:rPr>
          <w:rFonts w:cs="Arial"/>
          <w:bCs/>
          <w:i/>
          <w:sz w:val="22"/>
          <w:lang w:val="en-ZA"/>
        </w:rPr>
        <w:tab/>
        <w:t>To detain the marine fuel onboard the aforesaid vessels; and</w:t>
      </w:r>
    </w:p>
    <w:p w14:paraId="23B8EEBC" w14:textId="06263996" w:rsidR="000A4E2F" w:rsidRPr="00580CBC" w:rsidRDefault="000A4E2F" w:rsidP="000A4E2F">
      <w:pPr>
        <w:spacing w:after="160" w:line="480" w:lineRule="auto"/>
        <w:ind w:left="2160" w:hanging="720"/>
        <w:contextualSpacing/>
        <w:rPr>
          <w:rFonts w:cs="Arial"/>
          <w:bCs/>
          <w:i/>
          <w:sz w:val="22"/>
          <w:lang w:val="en-ZA"/>
        </w:rPr>
      </w:pPr>
      <w:r w:rsidRPr="00580CBC">
        <w:rPr>
          <w:rFonts w:cs="Arial"/>
          <w:bCs/>
          <w:i/>
          <w:sz w:val="22"/>
          <w:lang w:val="en-ZA"/>
        </w:rPr>
        <w:t>2.3</w:t>
      </w:r>
      <w:r w:rsidRPr="00580CBC">
        <w:rPr>
          <w:rFonts w:cs="Arial"/>
          <w:bCs/>
          <w:i/>
          <w:sz w:val="22"/>
          <w:lang w:val="en-ZA"/>
        </w:rPr>
        <w:tab/>
        <w:t>To impose the terms under paragraph 4 of the detention notices resulting in the suspension of the applicants’ bunker fuel operations in South African waters</w:t>
      </w:r>
    </w:p>
    <w:p w14:paraId="7D3532CE" w14:textId="5E60EF8D" w:rsidR="000A4E2F" w:rsidRPr="00580CBC" w:rsidRDefault="000A4E2F" w:rsidP="00BA4B29">
      <w:pPr>
        <w:spacing w:after="160" w:line="480" w:lineRule="auto"/>
        <w:ind w:left="720" w:firstLine="0"/>
        <w:contextualSpacing/>
        <w:rPr>
          <w:rFonts w:cs="Arial"/>
          <w:bCs/>
          <w:i/>
          <w:sz w:val="22"/>
          <w:lang w:val="en-ZA"/>
        </w:rPr>
      </w:pPr>
    </w:p>
    <w:p w14:paraId="47D2ED3B" w14:textId="57CE4DB5" w:rsidR="000A4E2F" w:rsidRPr="00580CBC" w:rsidRDefault="000A4E2F" w:rsidP="00BA4B29">
      <w:pPr>
        <w:spacing w:after="160" w:line="480" w:lineRule="auto"/>
        <w:ind w:left="720" w:firstLine="0"/>
        <w:contextualSpacing/>
        <w:rPr>
          <w:rFonts w:cs="Arial"/>
          <w:bCs/>
          <w:i/>
          <w:sz w:val="22"/>
          <w:lang w:val="en-ZA"/>
        </w:rPr>
      </w:pPr>
      <w:r w:rsidRPr="00580CBC">
        <w:rPr>
          <w:rFonts w:cs="Arial"/>
          <w:bCs/>
          <w:i/>
          <w:sz w:val="22"/>
          <w:lang w:val="en-ZA"/>
        </w:rPr>
        <w:tab/>
      </w:r>
      <w:r w:rsidR="00E078C3">
        <w:rPr>
          <w:rFonts w:cs="Arial"/>
          <w:bCs/>
          <w:i/>
          <w:sz w:val="22"/>
          <w:lang w:val="en-ZA"/>
        </w:rPr>
        <w:t>i</w:t>
      </w:r>
      <w:r w:rsidRPr="00580CBC">
        <w:rPr>
          <w:rFonts w:cs="Arial"/>
          <w:bCs/>
          <w:i/>
          <w:sz w:val="22"/>
          <w:lang w:val="en-ZA"/>
        </w:rPr>
        <w:t>s reviewed and set aside;</w:t>
      </w:r>
    </w:p>
    <w:p w14:paraId="53B86459" w14:textId="69B552AD" w:rsidR="000A4E2F" w:rsidRPr="00580CBC" w:rsidRDefault="000A4E2F" w:rsidP="00BA4B29">
      <w:pPr>
        <w:spacing w:after="160" w:line="480" w:lineRule="auto"/>
        <w:ind w:left="720" w:firstLine="0"/>
        <w:contextualSpacing/>
        <w:rPr>
          <w:rFonts w:cs="Arial"/>
          <w:bCs/>
          <w:i/>
          <w:sz w:val="22"/>
          <w:lang w:val="en-ZA"/>
        </w:rPr>
      </w:pPr>
    </w:p>
    <w:p w14:paraId="6C31AFB4" w14:textId="5D486C2A" w:rsidR="000A4E2F" w:rsidRPr="00580CBC" w:rsidRDefault="000A4E2F" w:rsidP="00BA4B29">
      <w:pPr>
        <w:spacing w:after="160" w:line="480" w:lineRule="auto"/>
        <w:ind w:left="720" w:firstLine="0"/>
        <w:contextualSpacing/>
        <w:rPr>
          <w:rFonts w:cs="Arial"/>
          <w:bCs/>
          <w:i/>
          <w:sz w:val="22"/>
          <w:lang w:val="en-ZA"/>
        </w:rPr>
      </w:pPr>
      <w:r w:rsidRPr="00580CBC">
        <w:rPr>
          <w:rFonts w:cs="Arial"/>
          <w:bCs/>
          <w:i/>
          <w:sz w:val="22"/>
          <w:lang w:val="en-ZA"/>
        </w:rPr>
        <w:t>3. The respondent is directed to withdraw the detention notices of 15 September 2023;</w:t>
      </w:r>
    </w:p>
    <w:p w14:paraId="3E6A6A50" w14:textId="3D1B24CB" w:rsidR="000A4E2F" w:rsidRPr="00580CBC" w:rsidRDefault="000A4E2F" w:rsidP="00BA4B29">
      <w:pPr>
        <w:spacing w:after="160" w:line="480" w:lineRule="auto"/>
        <w:ind w:left="720" w:firstLine="0"/>
        <w:contextualSpacing/>
        <w:rPr>
          <w:rFonts w:cs="Arial"/>
          <w:bCs/>
          <w:i/>
          <w:sz w:val="22"/>
          <w:lang w:val="en-ZA"/>
        </w:rPr>
      </w:pPr>
      <w:r w:rsidRPr="00580CBC">
        <w:rPr>
          <w:rFonts w:cs="Arial"/>
          <w:bCs/>
          <w:i/>
          <w:sz w:val="22"/>
          <w:lang w:val="en-ZA"/>
        </w:rPr>
        <w:lastRenderedPageBreak/>
        <w:t xml:space="preserve">4. The respondent’s failure to take a decision in respect of the first applicant’s request in terms of s 93(1) of the Act to release the detained marine fuel onboard the MT Avatar, the MT </w:t>
      </w:r>
      <w:proofErr w:type="spellStart"/>
      <w:r w:rsidRPr="00580CBC">
        <w:rPr>
          <w:rFonts w:cs="Arial"/>
          <w:bCs/>
          <w:i/>
          <w:sz w:val="22"/>
          <w:lang w:val="en-ZA"/>
        </w:rPr>
        <w:t>Vemadignity</w:t>
      </w:r>
      <w:proofErr w:type="spellEnd"/>
      <w:r w:rsidRPr="00580CBC">
        <w:rPr>
          <w:rFonts w:cs="Arial"/>
          <w:bCs/>
          <w:i/>
          <w:sz w:val="22"/>
          <w:lang w:val="en-ZA"/>
        </w:rPr>
        <w:t xml:space="preserve">, and the MT </w:t>
      </w:r>
      <w:proofErr w:type="spellStart"/>
      <w:r w:rsidRPr="00580CBC">
        <w:rPr>
          <w:rFonts w:cs="Arial"/>
          <w:bCs/>
          <w:i/>
          <w:sz w:val="22"/>
          <w:lang w:val="en-ZA"/>
        </w:rPr>
        <w:t>Vemaharmony</w:t>
      </w:r>
      <w:proofErr w:type="spellEnd"/>
      <w:r w:rsidRPr="00580CBC">
        <w:rPr>
          <w:rFonts w:cs="Arial"/>
          <w:bCs/>
          <w:i/>
          <w:sz w:val="22"/>
          <w:lang w:val="en-ZA"/>
        </w:rPr>
        <w:t>, is reviewed and set aside;</w:t>
      </w:r>
    </w:p>
    <w:p w14:paraId="555F5191" w14:textId="54883F89" w:rsidR="000A4E2F" w:rsidRPr="00580CBC" w:rsidRDefault="000A4E2F" w:rsidP="00BA4B29">
      <w:pPr>
        <w:spacing w:after="160" w:line="480" w:lineRule="auto"/>
        <w:ind w:left="720" w:firstLine="0"/>
        <w:contextualSpacing/>
        <w:rPr>
          <w:rFonts w:cs="Arial"/>
          <w:bCs/>
          <w:i/>
          <w:sz w:val="22"/>
          <w:lang w:val="en-ZA"/>
        </w:rPr>
      </w:pPr>
    </w:p>
    <w:p w14:paraId="09FA45BC" w14:textId="67FE1993" w:rsidR="000A4E2F" w:rsidRPr="00580CBC" w:rsidRDefault="000A4E2F" w:rsidP="00BA4B29">
      <w:pPr>
        <w:spacing w:after="160" w:line="480" w:lineRule="auto"/>
        <w:ind w:left="720" w:firstLine="0"/>
        <w:contextualSpacing/>
        <w:rPr>
          <w:rFonts w:cs="Arial"/>
          <w:bCs/>
          <w:i/>
          <w:sz w:val="22"/>
          <w:lang w:val="en-ZA"/>
        </w:rPr>
      </w:pPr>
      <w:r w:rsidRPr="00580CBC">
        <w:rPr>
          <w:rFonts w:cs="Arial"/>
          <w:bCs/>
          <w:i/>
          <w:sz w:val="22"/>
          <w:lang w:val="en-ZA"/>
        </w:rPr>
        <w:t xml:space="preserve">5. The respondent’s failure to take a decision is substituted with a decision that the marine fuel onboard the MT Avatar, the MT </w:t>
      </w:r>
      <w:proofErr w:type="spellStart"/>
      <w:r w:rsidRPr="00580CBC">
        <w:rPr>
          <w:rFonts w:cs="Arial"/>
          <w:bCs/>
          <w:i/>
          <w:sz w:val="22"/>
          <w:lang w:val="en-ZA"/>
        </w:rPr>
        <w:t>Vemadignity</w:t>
      </w:r>
      <w:proofErr w:type="spellEnd"/>
      <w:r w:rsidRPr="00580CBC">
        <w:rPr>
          <w:rFonts w:cs="Arial"/>
          <w:bCs/>
          <w:i/>
          <w:sz w:val="22"/>
          <w:lang w:val="en-ZA"/>
        </w:rPr>
        <w:t xml:space="preserve"> and the MT </w:t>
      </w:r>
      <w:proofErr w:type="spellStart"/>
      <w:r w:rsidRPr="00580CBC">
        <w:rPr>
          <w:rFonts w:cs="Arial"/>
          <w:bCs/>
          <w:i/>
          <w:sz w:val="22"/>
          <w:lang w:val="en-ZA"/>
        </w:rPr>
        <w:t>Vemaharmony</w:t>
      </w:r>
      <w:proofErr w:type="spellEnd"/>
      <w:r w:rsidRPr="00580CBC">
        <w:rPr>
          <w:rFonts w:cs="Arial"/>
          <w:bCs/>
          <w:i/>
          <w:sz w:val="22"/>
          <w:lang w:val="en-ZA"/>
        </w:rPr>
        <w:t xml:space="preserve"> be released, against </w:t>
      </w:r>
      <w:r w:rsidR="00B25B61" w:rsidRPr="00580CBC">
        <w:rPr>
          <w:rFonts w:cs="Arial"/>
          <w:bCs/>
          <w:i/>
          <w:sz w:val="22"/>
          <w:lang w:val="en-ZA"/>
        </w:rPr>
        <w:t>the provision of a guarantee for security in a total amount of R99 756 735.61 (equivalent to the duties, levies and value-added tax on the fuel detained  as contemplated by the respondent in the notice of intent pertaining to such fuel of 26 October 2023) on substantially the same material terms set out in annexure “RA.7”</w:t>
      </w:r>
      <w:r w:rsidR="00E078C3">
        <w:rPr>
          <w:rFonts w:cs="Arial"/>
          <w:bCs/>
          <w:i/>
          <w:sz w:val="22"/>
          <w:lang w:val="en-ZA"/>
        </w:rPr>
        <w:t xml:space="preserve"> </w:t>
      </w:r>
      <w:r w:rsidR="00B25B61" w:rsidRPr="00580CBC">
        <w:rPr>
          <w:rFonts w:cs="Arial"/>
          <w:bCs/>
          <w:i/>
          <w:sz w:val="22"/>
          <w:lang w:val="en-ZA"/>
        </w:rPr>
        <w:t>to the replying affidavit, pending the adjudication and finalisation of the dispute between the applicants and the respondent regarding the subject matter of the aforesaid notices of intent;</w:t>
      </w:r>
    </w:p>
    <w:p w14:paraId="368B11B1" w14:textId="56CD4BF8" w:rsidR="00B25B61" w:rsidRPr="00580CBC" w:rsidRDefault="00B25B61" w:rsidP="00BA4B29">
      <w:pPr>
        <w:spacing w:after="160" w:line="480" w:lineRule="auto"/>
        <w:ind w:left="720" w:firstLine="0"/>
        <w:contextualSpacing/>
        <w:rPr>
          <w:rFonts w:cs="Arial"/>
          <w:bCs/>
          <w:i/>
          <w:sz w:val="22"/>
          <w:lang w:val="en-ZA"/>
        </w:rPr>
      </w:pPr>
    </w:p>
    <w:p w14:paraId="1CE85644" w14:textId="78AC224A" w:rsidR="00B25B61" w:rsidRPr="00580CBC" w:rsidRDefault="00B25B61" w:rsidP="00BA4B29">
      <w:pPr>
        <w:spacing w:after="160" w:line="480" w:lineRule="auto"/>
        <w:ind w:left="720" w:firstLine="0"/>
        <w:contextualSpacing/>
        <w:rPr>
          <w:rFonts w:cs="Arial"/>
          <w:bCs/>
          <w:sz w:val="22"/>
          <w:lang w:val="en-ZA"/>
        </w:rPr>
      </w:pPr>
      <w:r w:rsidRPr="00580CBC">
        <w:rPr>
          <w:rFonts w:cs="Arial"/>
          <w:bCs/>
          <w:i/>
          <w:sz w:val="22"/>
          <w:lang w:val="en-ZA"/>
        </w:rPr>
        <w:t>6. The respondent is ordered to pay the costs of this application on the scale applicable between attorney and client, including the costs of three counsel.”</w:t>
      </w:r>
    </w:p>
    <w:p w14:paraId="4DE664EB" w14:textId="77777777" w:rsidR="00BA4B29" w:rsidRDefault="00BA4B29" w:rsidP="00BA4B29">
      <w:pPr>
        <w:spacing w:after="160" w:line="480" w:lineRule="auto"/>
        <w:ind w:left="0" w:firstLine="0"/>
        <w:contextualSpacing/>
        <w:rPr>
          <w:rFonts w:cs="Arial"/>
          <w:b/>
          <w:szCs w:val="24"/>
          <w:u w:val="single"/>
          <w:lang w:val="en-ZA"/>
        </w:rPr>
      </w:pPr>
    </w:p>
    <w:p w14:paraId="1ABA782B" w14:textId="13AA78CB" w:rsidR="00BA4B29" w:rsidRDefault="00BA4B29" w:rsidP="00BA4B29">
      <w:pPr>
        <w:spacing w:after="160" w:line="480" w:lineRule="auto"/>
        <w:ind w:left="0" w:firstLine="0"/>
        <w:contextualSpacing/>
        <w:rPr>
          <w:rFonts w:cs="Arial"/>
          <w:b/>
          <w:szCs w:val="24"/>
          <w:u w:val="single"/>
          <w:lang w:val="en-ZA"/>
        </w:rPr>
      </w:pPr>
      <w:r>
        <w:rPr>
          <w:rFonts w:cs="Arial"/>
          <w:b/>
          <w:szCs w:val="24"/>
          <w:u w:val="single"/>
          <w:lang w:val="en-ZA"/>
        </w:rPr>
        <w:t>AMENDED DETENTION NOTICES</w:t>
      </w:r>
    </w:p>
    <w:p w14:paraId="0DE8B0A2" w14:textId="77777777" w:rsidR="00B25B61" w:rsidRDefault="00B25B61" w:rsidP="00BA4B29">
      <w:pPr>
        <w:spacing w:after="160" w:line="480" w:lineRule="auto"/>
        <w:ind w:left="0" w:firstLine="0"/>
        <w:contextualSpacing/>
        <w:rPr>
          <w:rFonts w:cs="Arial"/>
          <w:bCs/>
          <w:szCs w:val="24"/>
          <w:lang w:val="en-ZA"/>
        </w:rPr>
      </w:pPr>
    </w:p>
    <w:p w14:paraId="7A004AC0" w14:textId="050FE089" w:rsidR="00712B99" w:rsidRDefault="00BA4B29" w:rsidP="00BA4B29">
      <w:pPr>
        <w:spacing w:after="160" w:line="480" w:lineRule="auto"/>
        <w:ind w:left="0" w:firstLine="0"/>
        <w:contextualSpacing/>
        <w:rPr>
          <w:rFonts w:cs="Arial"/>
          <w:bCs/>
          <w:szCs w:val="24"/>
          <w:lang w:val="en-ZA"/>
        </w:rPr>
      </w:pPr>
      <w:r>
        <w:rPr>
          <w:rFonts w:cs="Arial"/>
          <w:bCs/>
          <w:szCs w:val="24"/>
          <w:lang w:val="en-ZA"/>
        </w:rPr>
        <w:t xml:space="preserve">[4] On 15 September 2023 SARS issued amended detention notices in respect of the abovesaid three vessels now also detaining, </w:t>
      </w:r>
      <w:r>
        <w:rPr>
          <w:rFonts w:cs="Arial"/>
          <w:bCs/>
          <w:i/>
          <w:iCs/>
          <w:szCs w:val="24"/>
          <w:lang w:val="en-ZA"/>
        </w:rPr>
        <w:t>inter alia</w:t>
      </w:r>
      <w:r>
        <w:rPr>
          <w:rFonts w:cs="Arial"/>
          <w:bCs/>
          <w:szCs w:val="24"/>
          <w:lang w:val="en-ZA"/>
        </w:rPr>
        <w:t>, their bunkers and also issued new detention notices in respect of two further vessels, namely MT Intrepid and MT Sea Emperor</w:t>
      </w:r>
      <w:r>
        <w:rPr>
          <w:rFonts w:cs="Arial"/>
          <w:bCs/>
          <w:i/>
          <w:szCs w:val="24"/>
          <w:lang w:val="en-ZA"/>
        </w:rPr>
        <w:t>.</w:t>
      </w:r>
      <w:r>
        <w:rPr>
          <w:rFonts w:cs="Arial"/>
          <w:bCs/>
          <w:szCs w:val="24"/>
          <w:lang w:val="en-ZA"/>
        </w:rPr>
        <w:t xml:space="preserve"> The latter two vessels do not feature in these proceedings since MT Intrepid departed South African </w:t>
      </w:r>
      <w:r w:rsidR="00E078C3">
        <w:rPr>
          <w:rFonts w:cs="Arial"/>
          <w:bCs/>
          <w:szCs w:val="24"/>
          <w:lang w:val="en-ZA"/>
        </w:rPr>
        <w:t>w</w:t>
      </w:r>
      <w:r>
        <w:rPr>
          <w:rFonts w:cs="Arial"/>
          <w:bCs/>
          <w:szCs w:val="24"/>
          <w:lang w:val="en-ZA"/>
        </w:rPr>
        <w:t xml:space="preserve">aters prior to 15 September 2023 and MT Sea Emperor is in dry dock for repairs with no cargo on board. Importantly, the amended notices still allowed </w:t>
      </w:r>
      <w:r>
        <w:rPr>
          <w:rFonts w:cs="Arial"/>
          <w:bCs/>
          <w:szCs w:val="24"/>
          <w:lang w:val="en-ZA"/>
        </w:rPr>
        <w:lastRenderedPageBreak/>
        <w:t>the individual vessels to operate but ‘</w:t>
      </w:r>
      <w:r w:rsidRPr="00BE5463">
        <w:rPr>
          <w:rFonts w:cs="Arial"/>
          <w:b/>
          <w:i/>
          <w:iCs/>
          <w:szCs w:val="24"/>
          <w:lang w:val="en-ZA"/>
        </w:rPr>
        <w:t>only</w:t>
      </w:r>
      <w:r>
        <w:rPr>
          <w:rFonts w:cs="Arial"/>
          <w:b/>
          <w:i/>
          <w:iCs/>
          <w:szCs w:val="24"/>
          <w:lang w:val="en-ZA"/>
        </w:rPr>
        <w:t xml:space="preserve"> </w:t>
      </w:r>
      <w:r>
        <w:rPr>
          <w:rFonts w:cs="Arial"/>
          <w:bCs/>
          <w:i/>
          <w:iCs/>
          <w:szCs w:val="24"/>
          <w:lang w:val="en-ZA"/>
        </w:rPr>
        <w:t>if it conducts carriage of goods within the prescripts and in full compliance with the Act’</w:t>
      </w:r>
      <w:r>
        <w:rPr>
          <w:rFonts w:cs="Arial"/>
          <w:bCs/>
          <w:szCs w:val="24"/>
          <w:lang w:val="en-ZA"/>
        </w:rPr>
        <w:t xml:space="preserve">. </w:t>
      </w:r>
    </w:p>
    <w:p w14:paraId="00365C18" w14:textId="77777777" w:rsidR="00712B99" w:rsidRDefault="00712B99" w:rsidP="00BA4B29">
      <w:pPr>
        <w:spacing w:after="160" w:line="480" w:lineRule="auto"/>
        <w:ind w:left="0" w:firstLine="0"/>
        <w:contextualSpacing/>
        <w:rPr>
          <w:rFonts w:cs="Arial"/>
          <w:bCs/>
          <w:szCs w:val="24"/>
          <w:lang w:val="en-ZA"/>
        </w:rPr>
      </w:pPr>
    </w:p>
    <w:p w14:paraId="7EA0D991" w14:textId="150548FE" w:rsidR="00BA4B29" w:rsidRDefault="00712B99" w:rsidP="00BA4B29">
      <w:pPr>
        <w:spacing w:after="160" w:line="480" w:lineRule="auto"/>
        <w:ind w:left="0" w:firstLine="0"/>
        <w:contextualSpacing/>
        <w:rPr>
          <w:rFonts w:cs="Arial"/>
          <w:bCs/>
          <w:szCs w:val="24"/>
          <w:lang w:val="en-ZA"/>
        </w:rPr>
      </w:pPr>
      <w:r>
        <w:rPr>
          <w:rFonts w:cs="Arial"/>
          <w:bCs/>
          <w:szCs w:val="24"/>
          <w:lang w:val="en-ZA"/>
        </w:rPr>
        <w:t xml:space="preserve">[5] </w:t>
      </w:r>
      <w:r w:rsidR="00BA4B29">
        <w:rPr>
          <w:rFonts w:cs="Arial"/>
          <w:bCs/>
          <w:szCs w:val="24"/>
          <w:lang w:val="en-ZA"/>
        </w:rPr>
        <w:t xml:space="preserve">It is not in issue that the bunkering operations were terminated subsequent to receipt of the amended notices. The cause of the termination of the operations is in dispute between the parties. The applicants contended that this resulted from the terms of the amended notice which, contrary to the original notices that allowed the bunkering operations to continue without conditions, now required </w:t>
      </w:r>
      <w:r w:rsidR="00E078C3">
        <w:rPr>
          <w:rFonts w:cs="Arial"/>
          <w:bCs/>
          <w:szCs w:val="24"/>
          <w:lang w:val="en-ZA"/>
        </w:rPr>
        <w:t xml:space="preserve">full </w:t>
      </w:r>
      <w:r w:rsidR="00BA4B29">
        <w:rPr>
          <w:rFonts w:cs="Arial"/>
          <w:bCs/>
          <w:szCs w:val="24"/>
          <w:lang w:val="en-ZA"/>
        </w:rPr>
        <w:t xml:space="preserve">compliance with the relevant legal prescripts as a pre-condition for the operations to continue. According to the applicants this is impossible to comply with until all the uncertainty surrounding the regulatory requirements applicable to their somewhat novel bunkering operations as well as the other outstanding issues between the parties such as the applicability of local tax levying laws, have been resolved. The applicants </w:t>
      </w:r>
      <w:r>
        <w:rPr>
          <w:rFonts w:cs="Arial"/>
          <w:bCs/>
          <w:szCs w:val="24"/>
          <w:lang w:val="en-ZA"/>
        </w:rPr>
        <w:t>submitted</w:t>
      </w:r>
      <w:r w:rsidR="00BA4B29">
        <w:rPr>
          <w:rFonts w:cs="Arial"/>
          <w:bCs/>
          <w:szCs w:val="24"/>
          <w:lang w:val="en-ZA"/>
        </w:rPr>
        <w:t xml:space="preserve"> that it was the terms of the amended notices that led to the operations being shut down. The respondent </w:t>
      </w:r>
      <w:r>
        <w:rPr>
          <w:rFonts w:cs="Arial"/>
          <w:bCs/>
          <w:szCs w:val="24"/>
          <w:lang w:val="en-ZA"/>
        </w:rPr>
        <w:t>pointed out</w:t>
      </w:r>
      <w:r w:rsidR="00BA4B29">
        <w:rPr>
          <w:rFonts w:cs="Arial"/>
          <w:bCs/>
          <w:szCs w:val="24"/>
          <w:lang w:val="en-ZA"/>
        </w:rPr>
        <w:t xml:space="preserve"> on the other hand that the amended notice</w:t>
      </w:r>
      <w:r>
        <w:rPr>
          <w:rFonts w:cs="Arial"/>
          <w:bCs/>
          <w:szCs w:val="24"/>
          <w:lang w:val="en-ZA"/>
        </w:rPr>
        <w:t>s</w:t>
      </w:r>
      <w:r w:rsidR="00BA4B29">
        <w:rPr>
          <w:rFonts w:cs="Arial"/>
          <w:bCs/>
          <w:szCs w:val="24"/>
          <w:lang w:val="en-ZA"/>
        </w:rPr>
        <w:t xml:space="preserve"> simply required that the applicants should conduct their operations lawfully. It was contended that SARS cannot be party to allowing unlawful business to be conducted under its jurisdiction</w:t>
      </w:r>
      <w:r>
        <w:rPr>
          <w:rFonts w:cs="Arial"/>
          <w:bCs/>
          <w:szCs w:val="24"/>
          <w:lang w:val="en-ZA"/>
        </w:rPr>
        <w:t xml:space="preserve"> and that the operations were </w:t>
      </w:r>
      <w:r w:rsidR="0090427B">
        <w:rPr>
          <w:rFonts w:cs="Arial"/>
          <w:bCs/>
          <w:szCs w:val="24"/>
          <w:lang w:val="en-ZA"/>
        </w:rPr>
        <w:t xml:space="preserve">terminated </w:t>
      </w:r>
      <w:r>
        <w:rPr>
          <w:rFonts w:cs="Arial"/>
          <w:bCs/>
          <w:szCs w:val="24"/>
          <w:lang w:val="en-ZA"/>
        </w:rPr>
        <w:t>because the applicants were unable to conduct their business lawfully</w:t>
      </w:r>
      <w:r w:rsidR="00BA4B29">
        <w:rPr>
          <w:rFonts w:cs="Arial"/>
          <w:bCs/>
          <w:szCs w:val="24"/>
          <w:lang w:val="en-ZA"/>
        </w:rPr>
        <w:t xml:space="preserve">. There is no need to decide this issue in the present proceedings. It is, however, worth noting, </w:t>
      </w:r>
      <w:proofErr w:type="spellStart"/>
      <w:r w:rsidR="00BA4B29">
        <w:rPr>
          <w:rFonts w:cs="Arial"/>
          <w:bCs/>
          <w:i/>
          <w:iCs/>
          <w:szCs w:val="24"/>
          <w:lang w:val="en-ZA"/>
        </w:rPr>
        <w:t>en</w:t>
      </w:r>
      <w:proofErr w:type="spellEnd"/>
      <w:r w:rsidR="00BA4B29">
        <w:rPr>
          <w:rFonts w:cs="Arial"/>
          <w:bCs/>
          <w:i/>
          <w:iCs/>
          <w:szCs w:val="24"/>
          <w:lang w:val="en-ZA"/>
        </w:rPr>
        <w:t xml:space="preserve"> passant,</w:t>
      </w:r>
      <w:r w:rsidR="00BA4B29">
        <w:rPr>
          <w:rFonts w:cs="Arial"/>
          <w:bCs/>
          <w:szCs w:val="24"/>
          <w:lang w:val="en-ZA"/>
        </w:rPr>
        <w:t xml:space="preserve"> that there does appear to be some uncertainty concerning</w:t>
      </w:r>
      <w:r w:rsidR="00E078C3">
        <w:rPr>
          <w:rFonts w:cs="Arial"/>
          <w:bCs/>
          <w:szCs w:val="24"/>
          <w:lang w:val="en-ZA"/>
        </w:rPr>
        <w:t xml:space="preserve"> the </w:t>
      </w:r>
      <w:r w:rsidR="00BA4B29">
        <w:rPr>
          <w:rFonts w:cs="Arial"/>
          <w:bCs/>
          <w:szCs w:val="24"/>
          <w:lang w:val="en-ZA"/>
        </w:rPr>
        <w:t xml:space="preserve">regulation of the specific bunkering operations conducted by the applicants. This is apparent from the pre-litigation exchange of correspondence between the parties. There is a </w:t>
      </w:r>
      <w:r w:rsidR="00BA4B29">
        <w:rPr>
          <w:rFonts w:cs="Arial"/>
          <w:bCs/>
          <w:i/>
          <w:iCs/>
          <w:szCs w:val="24"/>
          <w:lang w:val="en-ZA"/>
        </w:rPr>
        <w:t>lacuna</w:t>
      </w:r>
      <w:r w:rsidR="00BA4B29">
        <w:rPr>
          <w:rFonts w:cs="Arial"/>
          <w:bCs/>
          <w:szCs w:val="24"/>
          <w:lang w:val="en-ZA"/>
        </w:rPr>
        <w:t xml:space="preserve"> in the </w:t>
      </w:r>
      <w:r w:rsidR="00BA4B29">
        <w:rPr>
          <w:rFonts w:cs="Arial"/>
          <w:bCs/>
          <w:szCs w:val="24"/>
          <w:lang w:val="en-ZA"/>
        </w:rPr>
        <w:lastRenderedPageBreak/>
        <w:t xml:space="preserve">Act and it appears also in the Rules, </w:t>
      </w:r>
      <w:r w:rsidR="00E078C3">
        <w:rPr>
          <w:rFonts w:cs="Arial"/>
          <w:bCs/>
          <w:szCs w:val="24"/>
          <w:lang w:val="en-ZA"/>
        </w:rPr>
        <w:t>in that neither covers</w:t>
      </w:r>
      <w:r w:rsidR="00BA4B29">
        <w:rPr>
          <w:rFonts w:cs="Arial"/>
          <w:bCs/>
          <w:szCs w:val="24"/>
          <w:lang w:val="en-ZA"/>
        </w:rPr>
        <w:t xml:space="preserve"> the type of operations</w:t>
      </w:r>
      <w:r w:rsidR="00E078C3">
        <w:rPr>
          <w:rFonts w:cs="Arial"/>
          <w:bCs/>
          <w:szCs w:val="24"/>
          <w:lang w:val="en-ZA"/>
        </w:rPr>
        <w:t xml:space="preserve"> that were</w:t>
      </w:r>
      <w:r w:rsidR="00BA4B29">
        <w:rPr>
          <w:rFonts w:cs="Arial"/>
          <w:bCs/>
          <w:szCs w:val="24"/>
          <w:lang w:val="en-ZA"/>
        </w:rPr>
        <w:t xml:space="preserve"> conducted by the applicants. </w:t>
      </w:r>
    </w:p>
    <w:p w14:paraId="7BC7889B" w14:textId="77777777" w:rsidR="00BA4B29" w:rsidRDefault="00BA4B29" w:rsidP="00BA4B29">
      <w:pPr>
        <w:spacing w:after="160" w:line="480" w:lineRule="auto"/>
        <w:ind w:left="0" w:firstLine="0"/>
        <w:contextualSpacing/>
        <w:rPr>
          <w:rFonts w:cs="Arial"/>
          <w:bCs/>
          <w:szCs w:val="24"/>
          <w:lang w:val="en-ZA"/>
        </w:rPr>
      </w:pPr>
    </w:p>
    <w:p w14:paraId="30D0A91B" w14:textId="71E89E09" w:rsidR="00BA4B29" w:rsidRPr="00E078C3" w:rsidRDefault="00BA4B29" w:rsidP="00BA4B29">
      <w:pPr>
        <w:spacing w:after="160" w:line="480" w:lineRule="auto"/>
        <w:ind w:left="0" w:firstLine="0"/>
        <w:contextualSpacing/>
        <w:rPr>
          <w:rFonts w:cs="Arial"/>
          <w:bCs/>
          <w:szCs w:val="24"/>
          <w:lang w:val="en-ZA"/>
        </w:rPr>
      </w:pPr>
      <w:r>
        <w:rPr>
          <w:rFonts w:cs="Arial"/>
          <w:bCs/>
          <w:szCs w:val="24"/>
          <w:lang w:val="en-ZA"/>
        </w:rPr>
        <w:t>[</w:t>
      </w:r>
      <w:r w:rsidR="0090427B">
        <w:rPr>
          <w:rFonts w:cs="Arial"/>
          <w:bCs/>
          <w:szCs w:val="24"/>
          <w:lang w:val="en-ZA"/>
        </w:rPr>
        <w:t>6</w:t>
      </w:r>
      <w:r>
        <w:rPr>
          <w:rFonts w:cs="Arial"/>
          <w:bCs/>
          <w:szCs w:val="24"/>
          <w:lang w:val="en-ZA"/>
        </w:rPr>
        <w:t xml:space="preserve">] In fact, there is replacement legislation </w:t>
      </w:r>
      <w:r w:rsidR="0090427B">
        <w:rPr>
          <w:rFonts w:cs="Arial"/>
          <w:bCs/>
          <w:szCs w:val="24"/>
          <w:lang w:val="en-ZA"/>
        </w:rPr>
        <w:t xml:space="preserve">to address the shortcomings of the Act </w:t>
      </w:r>
      <w:r>
        <w:rPr>
          <w:rFonts w:cs="Arial"/>
          <w:bCs/>
          <w:szCs w:val="24"/>
          <w:lang w:val="en-ZA"/>
        </w:rPr>
        <w:t xml:space="preserve">on the statute book notably the Customs Control Act, 31 of 2014, which has been assented to on 21 July 2014 but its date of commencement must still be proclaimed. This Act deals with a novel customs procedure relating to </w:t>
      </w:r>
      <w:r>
        <w:rPr>
          <w:rFonts w:cs="Arial"/>
          <w:bCs/>
          <w:i/>
          <w:iCs/>
          <w:szCs w:val="24"/>
          <w:lang w:val="en-ZA"/>
        </w:rPr>
        <w:t>“transhipment”</w:t>
      </w:r>
      <w:r>
        <w:rPr>
          <w:rFonts w:cs="Arial"/>
          <w:bCs/>
          <w:szCs w:val="24"/>
          <w:lang w:val="en-ZA"/>
        </w:rPr>
        <w:t xml:space="preserve"> in Chapter 11. The latter entails </w:t>
      </w:r>
      <w:r>
        <w:rPr>
          <w:rFonts w:cs="Arial"/>
          <w:bCs/>
          <w:i/>
          <w:iCs/>
          <w:szCs w:val="24"/>
          <w:lang w:val="en-ZA"/>
        </w:rPr>
        <w:t xml:space="preserve">“the transfer of imported goods at a seaport … from one foreign-going vessel … to another’ </w:t>
      </w:r>
      <w:r w:rsidRPr="0000511A">
        <w:rPr>
          <w:rFonts w:cs="Arial"/>
          <w:b/>
          <w:szCs w:val="24"/>
          <w:lang w:val="en-ZA"/>
        </w:rPr>
        <w:t>[s 241(2)]</w:t>
      </w:r>
      <w:r>
        <w:rPr>
          <w:rFonts w:cs="Arial"/>
          <w:bCs/>
          <w:szCs w:val="24"/>
          <w:lang w:val="en-ZA"/>
        </w:rPr>
        <w:t xml:space="preserve">. The customs procedure allows imported goods </w:t>
      </w:r>
      <w:r>
        <w:rPr>
          <w:rFonts w:cs="Arial"/>
          <w:bCs/>
          <w:i/>
          <w:iCs/>
          <w:szCs w:val="24"/>
          <w:lang w:val="en-ZA"/>
        </w:rPr>
        <w:t xml:space="preserve">‘to be transferred at a customs seaport …  from the foreign-going vessel … on which those goods were imported to another foreign-going vessel … at that seaport … on which those goods are to be exported from the Republic … without complying with any export clearing formalities’ </w:t>
      </w:r>
      <w:r>
        <w:rPr>
          <w:rFonts w:cs="Arial"/>
          <w:b/>
          <w:szCs w:val="24"/>
          <w:lang w:val="en-ZA"/>
        </w:rPr>
        <w:t>[s 242(1)(a) &amp; (b)]</w:t>
      </w:r>
      <w:r>
        <w:rPr>
          <w:rFonts w:cs="Arial"/>
          <w:bCs/>
          <w:i/>
          <w:iCs/>
          <w:szCs w:val="24"/>
          <w:lang w:val="en-ZA"/>
        </w:rPr>
        <w:t xml:space="preserve">. </w:t>
      </w:r>
      <w:r>
        <w:rPr>
          <w:rFonts w:cs="Arial"/>
          <w:bCs/>
          <w:szCs w:val="24"/>
          <w:lang w:val="en-ZA"/>
        </w:rPr>
        <w:t>This procedure, if operative, would arguably have applied to the Applicants’ operations. Needless to say, there are no comparable provisions in the current Act.</w:t>
      </w:r>
      <w:r w:rsidR="00E078C3">
        <w:rPr>
          <w:rFonts w:cs="Arial"/>
          <w:bCs/>
          <w:i/>
          <w:iCs/>
          <w:szCs w:val="24"/>
          <w:lang w:val="en-ZA"/>
        </w:rPr>
        <w:t xml:space="preserve"> </w:t>
      </w:r>
      <w:r w:rsidR="00E078C3">
        <w:rPr>
          <w:rFonts w:cs="Arial"/>
          <w:bCs/>
          <w:iCs/>
          <w:szCs w:val="24"/>
          <w:lang w:val="en-ZA"/>
        </w:rPr>
        <w:t xml:space="preserve">Thus the </w:t>
      </w:r>
      <w:r w:rsidR="00E078C3" w:rsidRPr="00E078C3">
        <w:rPr>
          <w:rFonts w:cs="Arial"/>
          <w:bCs/>
          <w:i/>
          <w:iCs/>
          <w:szCs w:val="24"/>
          <w:lang w:val="en-ZA"/>
        </w:rPr>
        <w:t>lacuna</w:t>
      </w:r>
      <w:r w:rsidR="00E078C3">
        <w:rPr>
          <w:rFonts w:cs="Arial"/>
          <w:bCs/>
          <w:iCs/>
          <w:szCs w:val="24"/>
          <w:lang w:val="en-ZA"/>
        </w:rPr>
        <w:t>.</w:t>
      </w:r>
    </w:p>
    <w:p w14:paraId="4FF441F5" w14:textId="77777777" w:rsidR="00BA4B29" w:rsidRDefault="00BA4B29" w:rsidP="00BA4B29">
      <w:pPr>
        <w:spacing w:after="160" w:line="480" w:lineRule="auto"/>
        <w:ind w:left="0" w:firstLine="0"/>
        <w:contextualSpacing/>
        <w:rPr>
          <w:rFonts w:cs="Arial"/>
          <w:bCs/>
          <w:szCs w:val="24"/>
          <w:lang w:val="en-ZA"/>
        </w:rPr>
      </w:pPr>
    </w:p>
    <w:p w14:paraId="689322FA" w14:textId="1F085D15" w:rsidR="00BA4B29" w:rsidRPr="00316F74" w:rsidRDefault="00BA4B29" w:rsidP="00BA4B29">
      <w:pPr>
        <w:spacing w:after="160" w:line="480" w:lineRule="auto"/>
        <w:ind w:left="0" w:firstLine="0"/>
        <w:contextualSpacing/>
        <w:rPr>
          <w:rFonts w:cs="Arial"/>
          <w:b/>
          <w:szCs w:val="24"/>
          <w:lang w:val="en-ZA"/>
        </w:rPr>
      </w:pPr>
      <w:r>
        <w:rPr>
          <w:rFonts w:cs="Arial"/>
          <w:bCs/>
          <w:szCs w:val="24"/>
          <w:lang w:val="en-ZA"/>
        </w:rPr>
        <w:t>[</w:t>
      </w:r>
      <w:r w:rsidR="0090427B">
        <w:rPr>
          <w:rFonts w:cs="Arial"/>
          <w:bCs/>
          <w:szCs w:val="24"/>
          <w:lang w:val="en-ZA"/>
        </w:rPr>
        <w:t>7</w:t>
      </w:r>
      <w:r>
        <w:rPr>
          <w:rFonts w:cs="Arial"/>
          <w:bCs/>
          <w:szCs w:val="24"/>
          <w:lang w:val="en-ZA"/>
        </w:rPr>
        <w:t xml:space="preserve">] The Commissioner himself has on 11 December 2023 prepared draft amendments to the Rules promulgated under the Act, which were released for external comment and have yet to be approved. The amendments deal extensively with bunkering and the processes applicable to bunker fuel operators. </w:t>
      </w:r>
      <w:r w:rsidR="0090427B">
        <w:rPr>
          <w:rFonts w:cs="Arial"/>
          <w:bCs/>
          <w:szCs w:val="24"/>
          <w:lang w:val="en-ZA"/>
        </w:rPr>
        <w:t xml:space="preserve">Bunkering is defined as </w:t>
      </w:r>
      <w:r w:rsidR="00E078C3">
        <w:rPr>
          <w:rFonts w:cs="Arial"/>
          <w:bCs/>
          <w:szCs w:val="24"/>
          <w:lang w:val="en-ZA"/>
        </w:rPr>
        <w:t>‘</w:t>
      </w:r>
      <w:r w:rsidR="00E078C3" w:rsidRPr="00E078C3">
        <w:rPr>
          <w:rFonts w:cs="Arial"/>
          <w:bCs/>
          <w:i/>
          <w:szCs w:val="24"/>
          <w:lang w:val="en-ZA"/>
        </w:rPr>
        <w:t>supplying distillate fuel to a foreign-going or coasting vessel for use as ship stores</w:t>
      </w:r>
      <w:r w:rsidR="00E078C3">
        <w:rPr>
          <w:rFonts w:cs="Arial"/>
          <w:bCs/>
          <w:szCs w:val="24"/>
          <w:lang w:val="en-ZA"/>
        </w:rPr>
        <w:t>’.</w:t>
      </w:r>
      <w:r>
        <w:rPr>
          <w:rFonts w:cs="Arial"/>
          <w:bCs/>
          <w:szCs w:val="24"/>
          <w:lang w:val="en-ZA"/>
        </w:rPr>
        <w:t xml:space="preserve"> </w:t>
      </w:r>
      <w:r w:rsidR="00E078C3">
        <w:rPr>
          <w:rFonts w:cs="Arial"/>
          <w:bCs/>
          <w:szCs w:val="24"/>
          <w:lang w:val="en-ZA"/>
        </w:rPr>
        <w:t>The amendments also deal with the licensing and other requirements in respect of ‘</w:t>
      </w:r>
      <w:r w:rsidR="00E078C3" w:rsidRPr="00E078C3">
        <w:rPr>
          <w:rFonts w:cs="Arial"/>
          <w:bCs/>
          <w:i/>
          <w:szCs w:val="24"/>
          <w:lang w:val="en-ZA"/>
        </w:rPr>
        <w:t>s</w:t>
      </w:r>
      <w:r w:rsidR="00531634">
        <w:rPr>
          <w:rFonts w:cs="Arial"/>
          <w:bCs/>
          <w:i/>
          <w:szCs w:val="24"/>
          <w:lang w:val="en-ZA"/>
        </w:rPr>
        <w:t>ea</w:t>
      </w:r>
      <w:r w:rsidR="00E078C3" w:rsidRPr="00E078C3">
        <w:rPr>
          <w:rFonts w:cs="Arial"/>
          <w:bCs/>
          <w:i/>
          <w:szCs w:val="24"/>
          <w:lang w:val="en-ZA"/>
        </w:rPr>
        <w:t>-based fuel levy goods special storage warehouses’</w:t>
      </w:r>
      <w:r w:rsidR="00E078C3">
        <w:rPr>
          <w:rFonts w:cs="Arial"/>
          <w:bCs/>
          <w:szCs w:val="24"/>
          <w:lang w:val="en-ZA"/>
        </w:rPr>
        <w:t xml:space="preserve"> which is defined as a storage warehouse consisting of a </w:t>
      </w:r>
      <w:r w:rsidR="00E078C3">
        <w:rPr>
          <w:rFonts w:cs="Arial"/>
          <w:bCs/>
          <w:szCs w:val="24"/>
          <w:lang w:val="en-ZA"/>
        </w:rPr>
        <w:lastRenderedPageBreak/>
        <w:t xml:space="preserve">storage vessel on sea.  The latter is defined as </w:t>
      </w:r>
      <w:r w:rsidR="00E078C3" w:rsidRPr="00355E4B">
        <w:rPr>
          <w:rFonts w:cs="Arial"/>
          <w:bCs/>
          <w:i/>
          <w:szCs w:val="24"/>
          <w:lang w:val="en-ZA"/>
        </w:rPr>
        <w:t>‘a vessel located at a designated place in relation to a harbour precinct and which is used as a warehouse for the receipt, storage and transfer of bulk distillate fuel for purposes of bunkering.</w:t>
      </w:r>
      <w:r w:rsidR="00355E4B">
        <w:rPr>
          <w:rFonts w:cs="Arial"/>
          <w:bCs/>
          <w:szCs w:val="24"/>
          <w:lang w:val="en-ZA"/>
        </w:rPr>
        <w:t>’</w:t>
      </w:r>
      <w:r w:rsidR="00E078C3">
        <w:rPr>
          <w:rFonts w:cs="Arial"/>
          <w:bCs/>
          <w:szCs w:val="24"/>
          <w:lang w:val="en-ZA"/>
        </w:rPr>
        <w:t xml:space="preserve">  The purpose of these amendments </w:t>
      </w:r>
      <w:r>
        <w:rPr>
          <w:rFonts w:cs="Arial"/>
          <w:bCs/>
          <w:szCs w:val="24"/>
          <w:lang w:val="en-ZA"/>
        </w:rPr>
        <w:t>appears to be aimed at coming to terms with novel operations like those of the applicants which utilise</w:t>
      </w:r>
      <w:r w:rsidR="005B293C">
        <w:rPr>
          <w:rFonts w:cs="Arial"/>
          <w:bCs/>
          <w:szCs w:val="24"/>
          <w:lang w:val="en-ZA"/>
        </w:rPr>
        <w:t>d</w:t>
      </w:r>
      <w:r>
        <w:rPr>
          <w:rFonts w:cs="Arial"/>
          <w:bCs/>
          <w:szCs w:val="24"/>
          <w:lang w:val="en-ZA"/>
        </w:rPr>
        <w:t xml:space="preserve"> tankers as floating storage facilities for fuel stocks that are sold to foreign-going vessels and supplied through STS transfers or transhipment within ports. </w:t>
      </w:r>
      <w:r w:rsidR="0090427B">
        <w:rPr>
          <w:rFonts w:cs="Arial"/>
          <w:bCs/>
          <w:szCs w:val="24"/>
          <w:lang w:val="en-ZA"/>
        </w:rPr>
        <w:t>However, none of these new provisions is operative and nothing further needs to be said there</w:t>
      </w:r>
      <w:r w:rsidR="00D934B4">
        <w:rPr>
          <w:rFonts w:cs="Arial"/>
          <w:bCs/>
          <w:szCs w:val="24"/>
          <w:lang w:val="en-ZA"/>
        </w:rPr>
        <w:t>anent</w:t>
      </w:r>
      <w:r w:rsidR="00531634">
        <w:rPr>
          <w:rFonts w:cs="Arial"/>
          <w:bCs/>
          <w:szCs w:val="24"/>
          <w:lang w:val="en-ZA"/>
        </w:rPr>
        <w:t>.</w:t>
      </w:r>
      <w:r w:rsidR="0090427B">
        <w:rPr>
          <w:rFonts w:cs="Arial"/>
          <w:bCs/>
          <w:szCs w:val="24"/>
          <w:lang w:val="en-ZA"/>
        </w:rPr>
        <w:t xml:space="preserve"> </w:t>
      </w:r>
      <w:r>
        <w:rPr>
          <w:rFonts w:cs="Arial"/>
          <w:bCs/>
          <w:szCs w:val="24"/>
          <w:lang w:val="en-ZA"/>
        </w:rPr>
        <w:t>I now revert to the matters in issue in the application.</w:t>
      </w:r>
    </w:p>
    <w:p w14:paraId="6FB1BBE4" w14:textId="77777777" w:rsidR="00BA4B29" w:rsidRDefault="00BA4B29" w:rsidP="00BA4B29">
      <w:pPr>
        <w:spacing w:after="160" w:line="480" w:lineRule="auto"/>
        <w:ind w:left="0" w:firstLine="0"/>
        <w:contextualSpacing/>
        <w:rPr>
          <w:rFonts w:cs="Arial"/>
          <w:b/>
          <w:szCs w:val="24"/>
          <w:u w:val="single"/>
          <w:lang w:val="en-ZA"/>
        </w:rPr>
      </w:pPr>
    </w:p>
    <w:p w14:paraId="10820953" w14:textId="77777777" w:rsidR="00BA4B29" w:rsidRDefault="00BA4B29" w:rsidP="00BA4B29">
      <w:pPr>
        <w:spacing w:after="160" w:line="480" w:lineRule="auto"/>
        <w:ind w:left="0" w:firstLine="0"/>
        <w:contextualSpacing/>
        <w:rPr>
          <w:rFonts w:cs="Arial"/>
          <w:bCs/>
          <w:szCs w:val="24"/>
          <w:lang w:val="en-ZA"/>
        </w:rPr>
      </w:pPr>
      <w:r>
        <w:rPr>
          <w:rFonts w:cs="Arial"/>
          <w:b/>
          <w:szCs w:val="24"/>
          <w:u w:val="single"/>
          <w:lang w:val="en-ZA"/>
        </w:rPr>
        <w:t>THE MATTERS IN ISSUE</w:t>
      </w:r>
    </w:p>
    <w:p w14:paraId="67AC736A" w14:textId="77777777" w:rsidR="00BA4B29" w:rsidRPr="00151ADD" w:rsidRDefault="00BA4B29" w:rsidP="00BA4B29">
      <w:pPr>
        <w:spacing w:after="160" w:line="480" w:lineRule="auto"/>
        <w:ind w:left="0" w:firstLine="0"/>
        <w:contextualSpacing/>
        <w:rPr>
          <w:rFonts w:cs="Arial"/>
          <w:bCs/>
          <w:szCs w:val="24"/>
          <w:lang w:val="en-ZA"/>
        </w:rPr>
      </w:pPr>
    </w:p>
    <w:p w14:paraId="5DD4A789" w14:textId="00F30800" w:rsidR="00BA4B29" w:rsidRDefault="00BA4B29" w:rsidP="00BA4B29">
      <w:pPr>
        <w:spacing w:after="160" w:line="480" w:lineRule="auto"/>
        <w:ind w:left="0" w:firstLine="0"/>
        <w:contextualSpacing/>
        <w:rPr>
          <w:rFonts w:cs="Arial"/>
          <w:bCs/>
          <w:szCs w:val="24"/>
          <w:lang w:val="en-ZA"/>
        </w:rPr>
      </w:pPr>
      <w:r>
        <w:rPr>
          <w:rFonts w:cs="Arial"/>
          <w:bCs/>
          <w:szCs w:val="24"/>
          <w:lang w:val="en-ZA"/>
        </w:rPr>
        <w:t>[</w:t>
      </w:r>
      <w:r w:rsidR="0090427B">
        <w:rPr>
          <w:rFonts w:cs="Arial"/>
          <w:bCs/>
          <w:szCs w:val="24"/>
          <w:lang w:val="en-ZA"/>
        </w:rPr>
        <w:t>8</w:t>
      </w:r>
      <w:r>
        <w:rPr>
          <w:rFonts w:cs="Arial"/>
          <w:bCs/>
          <w:szCs w:val="24"/>
          <w:lang w:val="en-ZA"/>
        </w:rPr>
        <w:t xml:space="preserve">] The application is aimed at reviewing and setting aside only the amended detention notices in respect of the three affected vessels and their cargoes of bunker fuel, thus in effect accepting the validity of the original detention notices which stand to be revived upon the amended notices being set aside. This part of the proceedings is referred to as the first review in the applicants’ heads of argument. The second review relates to the </w:t>
      </w:r>
      <w:r w:rsidR="00355E4B">
        <w:rPr>
          <w:rFonts w:cs="Arial"/>
          <w:bCs/>
          <w:szCs w:val="24"/>
          <w:lang w:val="en-ZA"/>
        </w:rPr>
        <w:t>first applicant’s</w:t>
      </w:r>
      <w:r>
        <w:rPr>
          <w:rFonts w:cs="Arial"/>
          <w:bCs/>
          <w:szCs w:val="24"/>
          <w:lang w:val="en-ZA"/>
        </w:rPr>
        <w:t xml:space="preserve"> request in terms of section 93(1)</w:t>
      </w:r>
      <w:r w:rsidR="0090427B">
        <w:rPr>
          <w:rStyle w:val="FootnoteReference"/>
          <w:rFonts w:cs="Arial"/>
          <w:bCs/>
          <w:szCs w:val="24"/>
          <w:lang w:val="en-ZA"/>
        </w:rPr>
        <w:footnoteReference w:id="3"/>
      </w:r>
      <w:r>
        <w:rPr>
          <w:rFonts w:cs="Arial"/>
          <w:bCs/>
          <w:szCs w:val="24"/>
          <w:lang w:val="en-ZA"/>
        </w:rPr>
        <w:t xml:space="preserve"> of the Act made on 10 October 2023 for </w:t>
      </w:r>
      <w:r>
        <w:rPr>
          <w:rFonts w:cs="Arial"/>
          <w:bCs/>
          <w:szCs w:val="24"/>
          <w:lang w:val="en-ZA"/>
        </w:rPr>
        <w:lastRenderedPageBreak/>
        <w:t xml:space="preserve">the release of the marine fuel and all the vessels referred to in the amended detention notice of 15 September 2023 (which request peculiarly includes MT Intrepid which has since left South African </w:t>
      </w:r>
      <w:r w:rsidR="00355E4B">
        <w:rPr>
          <w:rFonts w:cs="Arial"/>
          <w:bCs/>
          <w:szCs w:val="24"/>
          <w:lang w:val="en-ZA"/>
        </w:rPr>
        <w:t>w</w:t>
      </w:r>
      <w:r>
        <w:rPr>
          <w:rFonts w:cs="Arial"/>
          <w:bCs/>
          <w:szCs w:val="24"/>
          <w:lang w:val="en-ZA"/>
        </w:rPr>
        <w:t>aters). Despite the respondent’s undertaking of 11 October 2023 to provide a response as soon as possible, this has as yet not been forthcoming. The applicants submitted that, even though no period has been prescribed for a response, the failure in this instance amount</w:t>
      </w:r>
      <w:r w:rsidR="0090427B">
        <w:rPr>
          <w:rFonts w:cs="Arial"/>
          <w:bCs/>
          <w:szCs w:val="24"/>
          <w:lang w:val="en-ZA"/>
        </w:rPr>
        <w:t>ed</w:t>
      </w:r>
      <w:r>
        <w:rPr>
          <w:rFonts w:cs="Arial"/>
          <w:bCs/>
          <w:szCs w:val="24"/>
          <w:lang w:val="en-ZA"/>
        </w:rPr>
        <w:t xml:space="preserve"> to an unreasonable delay as envisaged in section 6(3) of the Promotion of Administrative Justice Act, 3 of 2000, which entitle</w:t>
      </w:r>
      <w:r w:rsidR="0090427B">
        <w:rPr>
          <w:rFonts w:cs="Arial"/>
          <w:bCs/>
          <w:szCs w:val="24"/>
          <w:lang w:val="en-ZA"/>
        </w:rPr>
        <w:t>d</w:t>
      </w:r>
      <w:r>
        <w:rPr>
          <w:rFonts w:cs="Arial"/>
          <w:bCs/>
          <w:szCs w:val="24"/>
          <w:lang w:val="en-ZA"/>
        </w:rPr>
        <w:t xml:space="preserve"> them to obtain appropriate relief in these proceedings.</w:t>
      </w:r>
    </w:p>
    <w:p w14:paraId="422C208A" w14:textId="77777777" w:rsidR="00BA4B29" w:rsidRDefault="00BA4B29" w:rsidP="00BA4B29">
      <w:pPr>
        <w:spacing w:after="160" w:line="480" w:lineRule="auto"/>
        <w:ind w:left="0" w:firstLine="0"/>
        <w:contextualSpacing/>
        <w:rPr>
          <w:rFonts w:cs="Arial"/>
          <w:bCs/>
          <w:szCs w:val="24"/>
          <w:lang w:val="en-ZA"/>
        </w:rPr>
      </w:pPr>
    </w:p>
    <w:p w14:paraId="31E92BF2" w14:textId="77777777" w:rsidR="00BA4B29" w:rsidRDefault="00BA4B29" w:rsidP="00BA4B29">
      <w:pPr>
        <w:spacing w:after="160" w:line="480" w:lineRule="auto"/>
        <w:ind w:left="0" w:firstLine="0"/>
        <w:contextualSpacing/>
        <w:rPr>
          <w:rFonts w:cs="Arial"/>
          <w:szCs w:val="24"/>
          <w:lang w:val="en-ZA"/>
        </w:rPr>
      </w:pPr>
      <w:r>
        <w:rPr>
          <w:rFonts w:cs="Arial"/>
          <w:b/>
          <w:szCs w:val="24"/>
          <w:u w:val="single"/>
          <w:lang w:val="en-ZA"/>
        </w:rPr>
        <w:t>BACKGROUND</w:t>
      </w:r>
    </w:p>
    <w:p w14:paraId="5947A646" w14:textId="77777777" w:rsidR="00BA4B29" w:rsidRDefault="00BA4B29" w:rsidP="00BA4B29">
      <w:pPr>
        <w:spacing w:after="160" w:line="480" w:lineRule="auto"/>
        <w:ind w:left="0" w:firstLine="0"/>
        <w:contextualSpacing/>
        <w:rPr>
          <w:rFonts w:cs="Arial"/>
          <w:szCs w:val="24"/>
          <w:lang w:val="en-ZA"/>
        </w:rPr>
      </w:pPr>
    </w:p>
    <w:p w14:paraId="2CC2B096" w14:textId="7B21E433" w:rsidR="00BA4B29" w:rsidRDefault="00BA4B29" w:rsidP="00BA4B29">
      <w:pPr>
        <w:spacing w:after="160" w:line="480" w:lineRule="auto"/>
        <w:ind w:left="0" w:firstLine="0"/>
        <w:contextualSpacing/>
        <w:rPr>
          <w:rFonts w:cs="Arial"/>
          <w:bCs/>
          <w:szCs w:val="24"/>
          <w:lang w:val="en-ZA"/>
        </w:rPr>
      </w:pPr>
      <w:r>
        <w:rPr>
          <w:rFonts w:cs="Arial"/>
          <w:bCs/>
          <w:szCs w:val="24"/>
          <w:lang w:val="en-ZA"/>
        </w:rPr>
        <w:t>[</w:t>
      </w:r>
      <w:r w:rsidR="0090427B">
        <w:rPr>
          <w:rFonts w:cs="Arial"/>
          <w:bCs/>
          <w:szCs w:val="24"/>
          <w:lang w:val="en-ZA"/>
        </w:rPr>
        <w:t>9</w:t>
      </w:r>
      <w:r>
        <w:rPr>
          <w:rFonts w:cs="Arial"/>
          <w:bCs/>
          <w:szCs w:val="24"/>
          <w:lang w:val="en-ZA"/>
        </w:rPr>
        <w:t xml:space="preserve">] The first applicant (Heron Mauritius) is a company incorporated in Mauritius, while the second applicant (Heron Marine) is a local company having its registered address in </w:t>
      </w:r>
      <w:proofErr w:type="spellStart"/>
      <w:r>
        <w:rPr>
          <w:rFonts w:cs="Arial"/>
          <w:bCs/>
          <w:szCs w:val="24"/>
          <w:lang w:val="en-ZA"/>
        </w:rPr>
        <w:t>Gqeberha</w:t>
      </w:r>
      <w:proofErr w:type="spellEnd"/>
      <w:r>
        <w:rPr>
          <w:rFonts w:cs="Arial"/>
          <w:bCs/>
          <w:szCs w:val="24"/>
          <w:lang w:val="en-ZA"/>
        </w:rPr>
        <w:t xml:space="preserve">, Eastern Cape Province. The applicants have been conducting bunker marine fuel operations in the Port of </w:t>
      </w:r>
      <w:proofErr w:type="spellStart"/>
      <w:r>
        <w:rPr>
          <w:rFonts w:cs="Arial"/>
          <w:bCs/>
          <w:szCs w:val="24"/>
          <w:lang w:val="en-ZA"/>
        </w:rPr>
        <w:t>Ngqura</w:t>
      </w:r>
      <w:proofErr w:type="spellEnd"/>
      <w:r>
        <w:rPr>
          <w:rFonts w:cs="Arial"/>
          <w:bCs/>
          <w:szCs w:val="24"/>
          <w:lang w:val="en-ZA"/>
        </w:rPr>
        <w:t xml:space="preserve"> in </w:t>
      </w:r>
      <w:proofErr w:type="spellStart"/>
      <w:r>
        <w:rPr>
          <w:rFonts w:cs="Arial"/>
          <w:bCs/>
          <w:szCs w:val="24"/>
          <w:lang w:val="en-ZA"/>
        </w:rPr>
        <w:t>Algoa</w:t>
      </w:r>
      <w:proofErr w:type="spellEnd"/>
      <w:r>
        <w:rPr>
          <w:rFonts w:cs="Arial"/>
          <w:bCs/>
          <w:szCs w:val="24"/>
          <w:lang w:val="en-ZA"/>
        </w:rPr>
        <w:t xml:space="preserve"> Bay, </w:t>
      </w:r>
      <w:proofErr w:type="spellStart"/>
      <w:r>
        <w:rPr>
          <w:rFonts w:cs="Arial"/>
          <w:bCs/>
          <w:szCs w:val="24"/>
          <w:lang w:val="en-ZA"/>
        </w:rPr>
        <w:t>Gqeberha</w:t>
      </w:r>
      <w:proofErr w:type="spellEnd"/>
      <w:r>
        <w:rPr>
          <w:rFonts w:cs="Arial"/>
          <w:bCs/>
          <w:szCs w:val="24"/>
          <w:lang w:val="en-ZA"/>
        </w:rPr>
        <w:t xml:space="preserve"> since October 2020. </w:t>
      </w:r>
    </w:p>
    <w:p w14:paraId="5E3C7176" w14:textId="77777777" w:rsidR="001E6707" w:rsidRDefault="001E6707" w:rsidP="00BA4B29">
      <w:pPr>
        <w:spacing w:after="160" w:line="480" w:lineRule="auto"/>
        <w:ind w:left="0" w:firstLine="0"/>
        <w:contextualSpacing/>
        <w:rPr>
          <w:rFonts w:cs="Arial"/>
          <w:bCs/>
          <w:szCs w:val="24"/>
          <w:lang w:val="en-ZA"/>
        </w:rPr>
      </w:pPr>
    </w:p>
    <w:p w14:paraId="61AFB68A" w14:textId="279E4A4F" w:rsidR="00BA4B29" w:rsidRDefault="00BA4B29" w:rsidP="00BA4B29">
      <w:pPr>
        <w:spacing w:after="160" w:line="480" w:lineRule="auto"/>
        <w:ind w:left="0" w:firstLine="0"/>
        <w:contextualSpacing/>
        <w:rPr>
          <w:rFonts w:cs="Arial"/>
          <w:bCs/>
          <w:szCs w:val="24"/>
          <w:lang w:val="en-ZA"/>
        </w:rPr>
      </w:pPr>
      <w:r>
        <w:rPr>
          <w:rFonts w:cs="Arial"/>
          <w:bCs/>
          <w:szCs w:val="24"/>
          <w:lang w:val="en-ZA"/>
        </w:rPr>
        <w:t>[</w:t>
      </w:r>
      <w:r w:rsidR="0090427B">
        <w:rPr>
          <w:rFonts w:cs="Arial"/>
          <w:bCs/>
          <w:szCs w:val="24"/>
          <w:lang w:val="en-ZA"/>
        </w:rPr>
        <w:t>10</w:t>
      </w:r>
      <w:r>
        <w:rPr>
          <w:rFonts w:cs="Arial"/>
          <w:bCs/>
          <w:szCs w:val="24"/>
          <w:lang w:val="en-ZA"/>
        </w:rPr>
        <w:t>] Heron Mauritius supplie</w:t>
      </w:r>
      <w:r w:rsidR="00355E4B">
        <w:rPr>
          <w:rFonts w:cs="Arial"/>
          <w:bCs/>
          <w:szCs w:val="24"/>
          <w:lang w:val="en-ZA"/>
        </w:rPr>
        <w:t>d</w:t>
      </w:r>
      <w:r>
        <w:rPr>
          <w:rFonts w:cs="Arial"/>
          <w:bCs/>
          <w:szCs w:val="24"/>
          <w:lang w:val="en-ZA"/>
        </w:rPr>
        <w:t xml:space="preserve"> marine fuel, chemicals and lubricants to foreign-going vessels at the Port of Ngqura in conjunction with</w:t>
      </w:r>
      <w:r w:rsidR="00335EC2">
        <w:rPr>
          <w:rFonts w:cs="Arial"/>
          <w:bCs/>
          <w:szCs w:val="24"/>
          <w:lang w:val="en-ZA"/>
        </w:rPr>
        <w:t xml:space="preserve"> its service provider, </w:t>
      </w:r>
      <w:r>
        <w:rPr>
          <w:rFonts w:cs="Arial"/>
          <w:bCs/>
          <w:szCs w:val="24"/>
          <w:lang w:val="en-ZA"/>
        </w:rPr>
        <w:t xml:space="preserve">Heron Marine. Heron Mauritius is the owner of the marine fuel which it </w:t>
      </w:r>
      <w:r w:rsidR="00355E4B">
        <w:rPr>
          <w:rFonts w:cs="Arial"/>
          <w:bCs/>
          <w:szCs w:val="24"/>
          <w:lang w:val="en-ZA"/>
        </w:rPr>
        <w:t>bought</w:t>
      </w:r>
      <w:r>
        <w:rPr>
          <w:rFonts w:cs="Arial"/>
          <w:bCs/>
          <w:szCs w:val="24"/>
          <w:lang w:val="en-ZA"/>
        </w:rPr>
        <w:t xml:space="preserve"> from non-South African sources and store</w:t>
      </w:r>
      <w:r w:rsidR="00355E4B">
        <w:rPr>
          <w:rFonts w:cs="Arial"/>
          <w:bCs/>
          <w:szCs w:val="24"/>
          <w:lang w:val="en-ZA"/>
        </w:rPr>
        <w:t>d</w:t>
      </w:r>
      <w:r>
        <w:rPr>
          <w:rFonts w:cs="Arial"/>
          <w:bCs/>
          <w:szCs w:val="24"/>
          <w:lang w:val="en-ZA"/>
        </w:rPr>
        <w:t xml:space="preserve"> aboard foreign vessels or tankers</w:t>
      </w:r>
      <w:r w:rsidR="00335EC2">
        <w:rPr>
          <w:rFonts w:cs="Arial"/>
          <w:bCs/>
          <w:szCs w:val="24"/>
          <w:lang w:val="en-ZA"/>
        </w:rPr>
        <w:t xml:space="preserve"> which are</w:t>
      </w:r>
      <w:r>
        <w:rPr>
          <w:rFonts w:cs="Arial"/>
          <w:bCs/>
          <w:szCs w:val="24"/>
          <w:lang w:val="en-ZA"/>
        </w:rPr>
        <w:t xml:space="preserve"> chartered by Heron Marine</w:t>
      </w:r>
      <w:r w:rsidR="00335EC2">
        <w:rPr>
          <w:rFonts w:cs="Arial"/>
          <w:bCs/>
          <w:szCs w:val="24"/>
          <w:lang w:val="en-ZA"/>
        </w:rPr>
        <w:t>,</w:t>
      </w:r>
      <w:r>
        <w:rPr>
          <w:rFonts w:cs="Arial"/>
          <w:bCs/>
          <w:szCs w:val="24"/>
          <w:lang w:val="en-ZA"/>
        </w:rPr>
        <w:t xml:space="preserve"> together with foreign Masters and</w:t>
      </w:r>
      <w:r w:rsidR="00335EC2">
        <w:rPr>
          <w:rFonts w:cs="Arial"/>
          <w:bCs/>
          <w:szCs w:val="24"/>
          <w:lang w:val="en-ZA"/>
        </w:rPr>
        <w:t xml:space="preserve"> crews, by means of</w:t>
      </w:r>
      <w:r>
        <w:rPr>
          <w:rFonts w:cs="Arial"/>
          <w:bCs/>
          <w:szCs w:val="24"/>
          <w:lang w:val="en-ZA"/>
        </w:rPr>
        <w:t xml:space="preserve"> time charters. The vessels </w:t>
      </w:r>
      <w:r w:rsidR="00355E4B">
        <w:rPr>
          <w:rFonts w:cs="Arial"/>
          <w:bCs/>
          <w:szCs w:val="24"/>
          <w:lang w:val="en-ZA"/>
        </w:rPr>
        <w:t xml:space="preserve">were </w:t>
      </w:r>
      <w:r>
        <w:rPr>
          <w:rFonts w:cs="Arial"/>
          <w:bCs/>
          <w:szCs w:val="24"/>
          <w:lang w:val="en-ZA"/>
        </w:rPr>
        <w:t xml:space="preserve">relocated to </w:t>
      </w:r>
      <w:proofErr w:type="spellStart"/>
      <w:r>
        <w:rPr>
          <w:rFonts w:cs="Arial"/>
          <w:bCs/>
          <w:szCs w:val="24"/>
          <w:lang w:val="en-ZA"/>
        </w:rPr>
        <w:t>Algoa</w:t>
      </w:r>
      <w:proofErr w:type="spellEnd"/>
      <w:r>
        <w:rPr>
          <w:rFonts w:cs="Arial"/>
          <w:bCs/>
          <w:szCs w:val="24"/>
          <w:lang w:val="en-ZA"/>
        </w:rPr>
        <w:t xml:space="preserve"> Bay to conduct the bunkering operations.</w:t>
      </w:r>
    </w:p>
    <w:p w14:paraId="1DF64A2F" w14:textId="77777777" w:rsidR="00335EC2" w:rsidRDefault="00335EC2" w:rsidP="00BA4B29">
      <w:pPr>
        <w:spacing w:after="160" w:line="480" w:lineRule="auto"/>
        <w:ind w:left="0" w:firstLine="0"/>
        <w:contextualSpacing/>
        <w:rPr>
          <w:rFonts w:cs="Arial"/>
          <w:bCs/>
          <w:szCs w:val="24"/>
          <w:lang w:val="en-ZA"/>
        </w:rPr>
      </w:pPr>
    </w:p>
    <w:p w14:paraId="2CFAAC91" w14:textId="6EB167FD" w:rsidR="00BA4B29" w:rsidRDefault="00BA4B29" w:rsidP="00BA4B29">
      <w:pPr>
        <w:spacing w:after="160" w:line="480" w:lineRule="auto"/>
        <w:ind w:left="0" w:firstLine="0"/>
        <w:contextualSpacing/>
        <w:rPr>
          <w:rFonts w:cs="Arial"/>
          <w:bCs/>
          <w:szCs w:val="24"/>
          <w:lang w:val="en-ZA"/>
        </w:rPr>
      </w:pPr>
      <w:r>
        <w:rPr>
          <w:rFonts w:cs="Arial"/>
          <w:bCs/>
          <w:szCs w:val="24"/>
          <w:lang w:val="en-ZA"/>
        </w:rPr>
        <w:lastRenderedPageBreak/>
        <w:t>[</w:t>
      </w:r>
      <w:r w:rsidR="00335EC2">
        <w:rPr>
          <w:rFonts w:cs="Arial"/>
          <w:bCs/>
          <w:szCs w:val="24"/>
          <w:lang w:val="en-ZA"/>
        </w:rPr>
        <w:t>11</w:t>
      </w:r>
      <w:r>
        <w:rPr>
          <w:rFonts w:cs="Arial"/>
          <w:bCs/>
          <w:szCs w:val="24"/>
          <w:lang w:val="en-ZA"/>
        </w:rPr>
        <w:t>] Pursuant to a services agreement concluded by the applicants, Heron Marine provided comprehensive and independent bunker operations and services to Heron Mauritius</w:t>
      </w:r>
      <w:r w:rsidR="00355E4B">
        <w:rPr>
          <w:rFonts w:cs="Arial"/>
          <w:bCs/>
          <w:szCs w:val="24"/>
          <w:lang w:val="en-ZA"/>
        </w:rPr>
        <w:t xml:space="preserve"> at a fee</w:t>
      </w:r>
      <w:r>
        <w:rPr>
          <w:rFonts w:cs="Arial"/>
          <w:bCs/>
          <w:szCs w:val="24"/>
          <w:lang w:val="en-ZA"/>
        </w:rPr>
        <w:t>. Furthermore, in terms of a marine fuel supply agreement, Heron Mauritius supplied the marine fuel used by the vessels chartered by Heron Marine (self-bunkering).</w:t>
      </w:r>
    </w:p>
    <w:p w14:paraId="26EF40F5" w14:textId="77777777" w:rsidR="00355E4B" w:rsidRDefault="00355E4B" w:rsidP="00BA4B29">
      <w:pPr>
        <w:spacing w:after="160" w:line="480" w:lineRule="auto"/>
        <w:ind w:left="0" w:firstLine="0"/>
        <w:contextualSpacing/>
        <w:rPr>
          <w:rFonts w:cs="Arial"/>
          <w:bCs/>
          <w:szCs w:val="24"/>
          <w:lang w:val="en-ZA"/>
        </w:rPr>
      </w:pPr>
    </w:p>
    <w:p w14:paraId="4D2518C1" w14:textId="39565C7B" w:rsidR="00BA4B29" w:rsidRDefault="00BA4B29" w:rsidP="00BA4B29">
      <w:pPr>
        <w:spacing w:after="160" w:line="480" w:lineRule="auto"/>
        <w:ind w:left="0" w:firstLine="0"/>
        <w:contextualSpacing/>
        <w:rPr>
          <w:rFonts w:cs="Arial"/>
          <w:bCs/>
          <w:szCs w:val="24"/>
          <w:lang w:val="en-ZA"/>
        </w:rPr>
      </w:pPr>
      <w:r>
        <w:rPr>
          <w:rFonts w:cs="Arial"/>
          <w:bCs/>
          <w:szCs w:val="24"/>
          <w:lang w:val="en-ZA"/>
        </w:rPr>
        <w:t>[1</w:t>
      </w:r>
      <w:r w:rsidR="00666AC5">
        <w:rPr>
          <w:rFonts w:cs="Arial"/>
          <w:bCs/>
          <w:szCs w:val="24"/>
          <w:lang w:val="en-ZA"/>
        </w:rPr>
        <w:t>2</w:t>
      </w:r>
      <w:r>
        <w:rPr>
          <w:rFonts w:cs="Arial"/>
          <w:bCs/>
          <w:szCs w:val="24"/>
          <w:lang w:val="en-ZA"/>
        </w:rPr>
        <w:t xml:space="preserve">] Heron Marine conducted the bunker operations and services in accordance with bunkering licences granted by the National Ports Authority as approved by the South African Maritime Safety Authority allowing it to perform such operations, </w:t>
      </w:r>
      <w:r>
        <w:rPr>
          <w:rFonts w:cs="Arial"/>
          <w:bCs/>
          <w:i/>
          <w:iCs/>
          <w:szCs w:val="24"/>
          <w:lang w:val="en-ZA"/>
        </w:rPr>
        <w:t>inter alia,</w:t>
      </w:r>
      <w:r>
        <w:rPr>
          <w:rFonts w:cs="Arial"/>
          <w:bCs/>
          <w:szCs w:val="24"/>
          <w:lang w:val="en-ZA"/>
        </w:rPr>
        <w:t xml:space="preserve"> in the Ports of Ngqura and Port Elizabeth</w:t>
      </w:r>
      <w:r w:rsidR="00355E4B">
        <w:rPr>
          <w:rFonts w:cs="Arial"/>
          <w:bCs/>
          <w:szCs w:val="24"/>
          <w:lang w:val="en-ZA"/>
        </w:rPr>
        <w:t xml:space="preserve"> (</w:t>
      </w:r>
      <w:proofErr w:type="spellStart"/>
      <w:r w:rsidR="00355E4B">
        <w:rPr>
          <w:rFonts w:cs="Arial"/>
          <w:bCs/>
          <w:szCs w:val="24"/>
          <w:lang w:val="en-ZA"/>
        </w:rPr>
        <w:t>Gqeberha</w:t>
      </w:r>
      <w:proofErr w:type="spellEnd"/>
      <w:r w:rsidR="00355E4B">
        <w:rPr>
          <w:rFonts w:cs="Arial"/>
          <w:bCs/>
          <w:szCs w:val="24"/>
          <w:lang w:val="en-ZA"/>
        </w:rPr>
        <w:t>)</w:t>
      </w:r>
      <w:r>
        <w:rPr>
          <w:rFonts w:cs="Arial"/>
          <w:bCs/>
          <w:szCs w:val="24"/>
          <w:lang w:val="en-ZA"/>
        </w:rPr>
        <w:t>.</w:t>
      </w:r>
    </w:p>
    <w:p w14:paraId="2333934F" w14:textId="77777777" w:rsidR="00BA4B29" w:rsidRDefault="00BA4B29" w:rsidP="00BA4B29">
      <w:pPr>
        <w:spacing w:after="160" w:line="480" w:lineRule="auto"/>
        <w:ind w:left="0" w:firstLine="0"/>
        <w:contextualSpacing/>
        <w:rPr>
          <w:rFonts w:cs="Arial"/>
          <w:bCs/>
          <w:szCs w:val="24"/>
          <w:lang w:val="en-ZA"/>
        </w:rPr>
      </w:pPr>
    </w:p>
    <w:p w14:paraId="0CA70675" w14:textId="0927A208" w:rsidR="00BA4B29" w:rsidRDefault="00BA4B29" w:rsidP="00BA4B29">
      <w:pPr>
        <w:spacing w:after="160" w:line="480" w:lineRule="auto"/>
        <w:ind w:left="0" w:firstLine="0"/>
        <w:contextualSpacing/>
        <w:rPr>
          <w:rFonts w:cs="Arial"/>
          <w:bCs/>
          <w:szCs w:val="24"/>
          <w:lang w:val="en-ZA"/>
        </w:rPr>
      </w:pPr>
      <w:r>
        <w:rPr>
          <w:rFonts w:cs="Arial"/>
          <w:bCs/>
          <w:szCs w:val="24"/>
          <w:lang w:val="en-ZA"/>
        </w:rPr>
        <w:t>[1</w:t>
      </w:r>
      <w:r w:rsidR="00666AC5">
        <w:rPr>
          <w:rFonts w:cs="Arial"/>
          <w:bCs/>
          <w:szCs w:val="24"/>
          <w:lang w:val="en-ZA"/>
        </w:rPr>
        <w:t>3</w:t>
      </w:r>
      <w:r>
        <w:rPr>
          <w:rFonts w:cs="Arial"/>
          <w:bCs/>
          <w:szCs w:val="24"/>
          <w:lang w:val="en-ZA"/>
        </w:rPr>
        <w:t>] Heron Marine provided high-level instructions to the chartered vessels from time to time to perform the bunker operation services. Apart from being responsible for supplying marine fuel through self-bunkering, Heron Marine was also liable for all local costs, agency fees, superintendent fees and inspection costs.</w:t>
      </w:r>
    </w:p>
    <w:p w14:paraId="7EAF784A" w14:textId="77777777" w:rsidR="00BA4B29" w:rsidRDefault="00BA4B29" w:rsidP="00BA4B29">
      <w:pPr>
        <w:spacing w:after="160" w:line="480" w:lineRule="auto"/>
        <w:ind w:left="0" w:firstLine="0"/>
        <w:contextualSpacing/>
        <w:rPr>
          <w:rFonts w:cs="Arial"/>
          <w:bCs/>
          <w:szCs w:val="24"/>
          <w:lang w:val="en-ZA"/>
        </w:rPr>
      </w:pPr>
    </w:p>
    <w:p w14:paraId="2CA69B28" w14:textId="44B275BC" w:rsidR="00BA4B29" w:rsidRDefault="00BA4B29" w:rsidP="00BA4B29">
      <w:pPr>
        <w:spacing w:after="160" w:line="480" w:lineRule="auto"/>
        <w:ind w:left="0" w:firstLine="0"/>
        <w:contextualSpacing/>
        <w:rPr>
          <w:rFonts w:cs="Arial"/>
          <w:bCs/>
          <w:szCs w:val="24"/>
          <w:lang w:val="en-ZA"/>
        </w:rPr>
      </w:pPr>
      <w:r>
        <w:rPr>
          <w:rFonts w:cs="Arial"/>
          <w:bCs/>
          <w:szCs w:val="24"/>
          <w:lang w:val="en-ZA"/>
        </w:rPr>
        <w:t>[1</w:t>
      </w:r>
      <w:r w:rsidR="00666AC5">
        <w:rPr>
          <w:rFonts w:cs="Arial"/>
          <w:bCs/>
          <w:szCs w:val="24"/>
          <w:lang w:val="en-ZA"/>
        </w:rPr>
        <w:t>4</w:t>
      </w:r>
      <w:r>
        <w:rPr>
          <w:rFonts w:cs="Arial"/>
          <w:bCs/>
          <w:szCs w:val="24"/>
          <w:lang w:val="en-ZA"/>
        </w:rPr>
        <w:t xml:space="preserve">] It is common cause that the applicants </w:t>
      </w:r>
      <w:r w:rsidR="00666AC5">
        <w:rPr>
          <w:rFonts w:cs="Arial"/>
          <w:bCs/>
          <w:szCs w:val="24"/>
          <w:lang w:val="en-ZA"/>
        </w:rPr>
        <w:t>neglected</w:t>
      </w:r>
      <w:r>
        <w:rPr>
          <w:rFonts w:cs="Arial"/>
          <w:bCs/>
          <w:szCs w:val="24"/>
          <w:lang w:val="en-ZA"/>
        </w:rPr>
        <w:t xml:space="preserve"> to register the bunkering operations with the relevant local regulatory and tax authorities. They made an </w:t>
      </w:r>
      <w:r>
        <w:rPr>
          <w:rFonts w:cs="Arial"/>
          <w:bCs/>
          <w:i/>
          <w:iCs/>
          <w:szCs w:val="24"/>
          <w:lang w:val="en-ZA"/>
        </w:rPr>
        <w:t>ex post facto</w:t>
      </w:r>
      <w:r>
        <w:rPr>
          <w:rFonts w:cs="Arial"/>
          <w:bCs/>
          <w:szCs w:val="24"/>
          <w:lang w:val="en-ZA"/>
        </w:rPr>
        <w:t xml:space="preserve"> approach to SARS in 2022 (some two years after having commenced the operations) in an attempt to regularise the operations. </w:t>
      </w:r>
      <w:r w:rsidR="00666AC5">
        <w:rPr>
          <w:rFonts w:cs="Arial"/>
          <w:bCs/>
          <w:szCs w:val="24"/>
          <w:lang w:val="en-ZA"/>
        </w:rPr>
        <w:t xml:space="preserve">SARS was unaware of the operations up to that stage. </w:t>
      </w:r>
      <w:r>
        <w:rPr>
          <w:rFonts w:cs="Arial"/>
          <w:bCs/>
          <w:szCs w:val="24"/>
          <w:lang w:val="en-ZA"/>
        </w:rPr>
        <w:t xml:space="preserve">The potential consequences of their </w:t>
      </w:r>
      <w:r w:rsidR="00666AC5">
        <w:rPr>
          <w:rFonts w:cs="Arial"/>
          <w:bCs/>
          <w:szCs w:val="24"/>
          <w:lang w:val="en-ZA"/>
        </w:rPr>
        <w:t>neglect as well as the resultant</w:t>
      </w:r>
      <w:r>
        <w:rPr>
          <w:rFonts w:cs="Arial"/>
          <w:bCs/>
          <w:szCs w:val="24"/>
          <w:lang w:val="en-ZA"/>
        </w:rPr>
        <w:t xml:space="preserve"> outstanding obligations of the applicants are the subject of ongoing interaction between them and SARS</w:t>
      </w:r>
      <w:r w:rsidR="00666AC5">
        <w:rPr>
          <w:rFonts w:cs="Arial"/>
          <w:bCs/>
          <w:szCs w:val="24"/>
          <w:lang w:val="en-ZA"/>
        </w:rPr>
        <w:t>.  This does</w:t>
      </w:r>
      <w:r w:rsidR="00F16B82">
        <w:rPr>
          <w:rFonts w:cs="Arial"/>
          <w:bCs/>
          <w:szCs w:val="24"/>
          <w:lang w:val="en-ZA"/>
        </w:rPr>
        <w:t xml:space="preserve"> </w:t>
      </w:r>
      <w:r>
        <w:rPr>
          <w:rFonts w:cs="Arial"/>
          <w:bCs/>
          <w:szCs w:val="24"/>
          <w:lang w:val="en-ZA"/>
        </w:rPr>
        <w:t xml:space="preserve">not require further attention in these proceedings which relate, as </w:t>
      </w:r>
      <w:r>
        <w:rPr>
          <w:rFonts w:cs="Arial"/>
          <w:bCs/>
          <w:szCs w:val="24"/>
          <w:lang w:val="en-ZA"/>
        </w:rPr>
        <w:lastRenderedPageBreak/>
        <w:t>indicated, to a review of certain decisions and/or conduct of SARS</w:t>
      </w:r>
      <w:r w:rsidR="00355E4B">
        <w:rPr>
          <w:rFonts w:cs="Arial"/>
          <w:bCs/>
          <w:szCs w:val="24"/>
          <w:lang w:val="en-ZA"/>
        </w:rPr>
        <w:t xml:space="preserve"> relating to the detention of the vessels and fuel</w:t>
      </w:r>
      <w:r>
        <w:rPr>
          <w:rFonts w:cs="Arial"/>
          <w:bCs/>
          <w:szCs w:val="24"/>
          <w:lang w:val="en-ZA"/>
        </w:rPr>
        <w:t>.</w:t>
      </w:r>
    </w:p>
    <w:p w14:paraId="37EC1743" w14:textId="77777777" w:rsidR="00666AC5" w:rsidRPr="00806252" w:rsidRDefault="00666AC5" w:rsidP="00BA4B29">
      <w:pPr>
        <w:spacing w:after="160" w:line="480" w:lineRule="auto"/>
        <w:ind w:left="0" w:firstLine="0"/>
        <w:contextualSpacing/>
        <w:rPr>
          <w:rFonts w:cs="Arial"/>
          <w:bCs/>
          <w:szCs w:val="24"/>
          <w:lang w:val="en-ZA"/>
        </w:rPr>
      </w:pPr>
    </w:p>
    <w:p w14:paraId="0E9B1325" w14:textId="16BA5796" w:rsidR="00BA4B29" w:rsidRDefault="00BA4B29" w:rsidP="00BA4B29">
      <w:pPr>
        <w:spacing w:after="160" w:line="480" w:lineRule="auto"/>
        <w:ind w:left="0" w:firstLine="0"/>
        <w:contextualSpacing/>
        <w:rPr>
          <w:rFonts w:cs="Arial"/>
          <w:bCs/>
          <w:szCs w:val="24"/>
          <w:lang w:val="en-ZA"/>
        </w:rPr>
      </w:pPr>
      <w:r>
        <w:rPr>
          <w:rFonts w:cs="Arial"/>
          <w:bCs/>
          <w:szCs w:val="24"/>
          <w:lang w:val="en-ZA"/>
        </w:rPr>
        <w:t>[1</w:t>
      </w:r>
      <w:r w:rsidR="00666AC5">
        <w:rPr>
          <w:rFonts w:cs="Arial"/>
          <w:bCs/>
          <w:szCs w:val="24"/>
          <w:lang w:val="en-ZA"/>
        </w:rPr>
        <w:t>5</w:t>
      </w:r>
      <w:r>
        <w:rPr>
          <w:rFonts w:cs="Arial"/>
          <w:bCs/>
          <w:szCs w:val="24"/>
          <w:lang w:val="en-ZA"/>
        </w:rPr>
        <w:t>] On all accounts the bunkering operations were extensive in scope. Applicants’ counsel indicated from the bar that it counted among the biggest of such operations world-wide. The estimated loss presently being suffered while the operations are interrupted</w:t>
      </w:r>
      <w:r w:rsidR="00355E4B">
        <w:rPr>
          <w:rFonts w:cs="Arial"/>
          <w:bCs/>
          <w:szCs w:val="24"/>
          <w:lang w:val="en-ZA"/>
        </w:rPr>
        <w:t xml:space="preserve"> is stated to </w:t>
      </w:r>
      <w:r>
        <w:rPr>
          <w:rFonts w:cs="Arial"/>
          <w:bCs/>
          <w:szCs w:val="24"/>
          <w:lang w:val="en-ZA"/>
        </w:rPr>
        <w:t xml:space="preserve">amount to approximately R300 million per month. SARS has estimated </w:t>
      </w:r>
      <w:r w:rsidR="00355E4B">
        <w:rPr>
          <w:rFonts w:cs="Arial"/>
          <w:bCs/>
          <w:szCs w:val="24"/>
          <w:lang w:val="en-ZA"/>
        </w:rPr>
        <w:t xml:space="preserve">that </w:t>
      </w:r>
      <w:r>
        <w:rPr>
          <w:rFonts w:cs="Arial"/>
          <w:bCs/>
          <w:szCs w:val="24"/>
          <w:lang w:val="en-ZA"/>
        </w:rPr>
        <w:t>the loss of revenue suffered by the fiscus amounts to approximately R7 billion.</w:t>
      </w:r>
      <w:r w:rsidR="00F16B82">
        <w:rPr>
          <w:rFonts w:cs="Arial"/>
          <w:bCs/>
          <w:szCs w:val="24"/>
          <w:lang w:val="en-ZA"/>
        </w:rPr>
        <w:t xml:space="preserve">  Suffice it is to say that this unwholesome situation would in all likelihood have been averted, if the applicants had approached SARS for clarity and guidance prior to and not two years after the commencement of the bunkering </w:t>
      </w:r>
      <w:r w:rsidR="001E6707">
        <w:rPr>
          <w:rFonts w:cs="Arial"/>
          <w:bCs/>
          <w:szCs w:val="24"/>
          <w:lang w:val="en-ZA"/>
        </w:rPr>
        <w:t>operations</w:t>
      </w:r>
      <w:r w:rsidR="00F16B82">
        <w:rPr>
          <w:rFonts w:cs="Arial"/>
          <w:bCs/>
          <w:szCs w:val="24"/>
          <w:lang w:val="en-ZA"/>
        </w:rPr>
        <w:t>.</w:t>
      </w:r>
    </w:p>
    <w:p w14:paraId="6E3A1C19" w14:textId="77777777" w:rsidR="00BA4B29" w:rsidRDefault="00BA4B29" w:rsidP="00BA4B29">
      <w:pPr>
        <w:spacing w:after="160" w:line="480" w:lineRule="auto"/>
        <w:ind w:left="0" w:firstLine="0"/>
        <w:contextualSpacing/>
        <w:rPr>
          <w:rFonts w:cs="Arial"/>
          <w:bCs/>
          <w:szCs w:val="24"/>
          <w:lang w:val="en-ZA"/>
        </w:rPr>
      </w:pPr>
    </w:p>
    <w:p w14:paraId="4654EAFC" w14:textId="6842469E" w:rsidR="00BA4B29" w:rsidRDefault="00BA4B29" w:rsidP="00BA4B29">
      <w:pPr>
        <w:spacing w:after="160" w:line="480" w:lineRule="auto"/>
        <w:ind w:left="0" w:firstLine="0"/>
        <w:contextualSpacing/>
        <w:rPr>
          <w:rFonts w:cs="Arial"/>
          <w:bCs/>
          <w:szCs w:val="24"/>
          <w:lang w:val="en-ZA"/>
        </w:rPr>
      </w:pPr>
      <w:r>
        <w:rPr>
          <w:rFonts w:cs="Arial"/>
          <w:bCs/>
          <w:szCs w:val="24"/>
          <w:lang w:val="en-ZA"/>
        </w:rPr>
        <w:t>[1</w:t>
      </w:r>
      <w:r w:rsidR="005F44B7">
        <w:rPr>
          <w:rFonts w:cs="Arial"/>
          <w:bCs/>
          <w:szCs w:val="24"/>
          <w:lang w:val="en-ZA"/>
        </w:rPr>
        <w:t>6</w:t>
      </w:r>
      <w:r>
        <w:rPr>
          <w:rFonts w:cs="Arial"/>
          <w:bCs/>
          <w:szCs w:val="24"/>
          <w:lang w:val="en-ZA"/>
        </w:rPr>
        <w:t xml:space="preserve">] This matter has, however, been fundamentally affected by events that occurred shortly before it was heard on 8 February 2024. On 6 February 2024, the respondent filed a second supplementary affidavit deposed to by an official Mr </w:t>
      </w:r>
      <w:proofErr w:type="spellStart"/>
      <w:r>
        <w:rPr>
          <w:rFonts w:cs="Arial"/>
          <w:bCs/>
          <w:szCs w:val="24"/>
          <w:lang w:val="en-ZA"/>
        </w:rPr>
        <w:t>Parbhookumar</w:t>
      </w:r>
      <w:proofErr w:type="spellEnd"/>
      <w:r>
        <w:rPr>
          <w:rFonts w:cs="Arial"/>
          <w:bCs/>
          <w:szCs w:val="24"/>
          <w:lang w:val="en-ZA"/>
        </w:rPr>
        <w:t xml:space="preserve"> </w:t>
      </w:r>
      <w:proofErr w:type="spellStart"/>
      <w:r>
        <w:rPr>
          <w:rFonts w:cs="Arial"/>
          <w:bCs/>
          <w:szCs w:val="24"/>
          <w:lang w:val="en-ZA"/>
        </w:rPr>
        <w:t>Moodley</w:t>
      </w:r>
      <w:proofErr w:type="spellEnd"/>
      <w:r>
        <w:rPr>
          <w:rFonts w:cs="Arial"/>
          <w:bCs/>
          <w:szCs w:val="24"/>
          <w:lang w:val="en-ZA"/>
        </w:rPr>
        <w:t xml:space="preserve"> who also deposed to the answering affidavit. The latest affidavit indicated that SARS had come to the conclusion that the relevant goods had been irregularly dealt with and took the decision to seize the three vessels as well as their cargoes of marine fuel in terms of section 88(1)(c) of the Act. Seizure notices to this effect were accordingly issued on 5 February 2024. Copies of such notices are annexed to the affidavit. The deponent contended that the detention of the vessels and fuel ha</w:t>
      </w:r>
      <w:r w:rsidR="00355E4B">
        <w:rPr>
          <w:rFonts w:cs="Arial"/>
          <w:bCs/>
          <w:szCs w:val="24"/>
          <w:lang w:val="en-ZA"/>
        </w:rPr>
        <w:t>s</w:t>
      </w:r>
      <w:r>
        <w:rPr>
          <w:rFonts w:cs="Arial"/>
          <w:bCs/>
          <w:szCs w:val="24"/>
          <w:lang w:val="en-ZA"/>
        </w:rPr>
        <w:t xml:space="preserve"> now been superseded by the seizure. He averred that the detention notices were thus no longer operative, that the decisions to detain the vessels and fuel no longer have any practical effect, and the </w:t>
      </w:r>
      <w:r>
        <w:rPr>
          <w:rFonts w:cs="Arial"/>
          <w:bCs/>
          <w:szCs w:val="24"/>
          <w:lang w:val="en-ZA"/>
        </w:rPr>
        <w:lastRenderedPageBreak/>
        <w:t>amendment of the detention notices was similarly academic. This raises the issue of mootness to which I now turn.</w:t>
      </w:r>
    </w:p>
    <w:p w14:paraId="42C7A1C9" w14:textId="77777777" w:rsidR="00BA4B29" w:rsidRDefault="00BA4B29" w:rsidP="00BA4B29">
      <w:pPr>
        <w:spacing w:after="160" w:line="480" w:lineRule="auto"/>
        <w:ind w:left="0" w:firstLine="0"/>
        <w:contextualSpacing/>
        <w:rPr>
          <w:rFonts w:cs="Arial"/>
          <w:bCs/>
          <w:szCs w:val="24"/>
          <w:lang w:val="en-ZA"/>
        </w:rPr>
      </w:pPr>
    </w:p>
    <w:p w14:paraId="7F96667F" w14:textId="77777777" w:rsidR="00BA4B29" w:rsidRDefault="00BA4B29" w:rsidP="00BA4B29">
      <w:pPr>
        <w:spacing w:after="160" w:line="480" w:lineRule="auto"/>
        <w:ind w:left="0" w:firstLine="0"/>
        <w:contextualSpacing/>
        <w:rPr>
          <w:rFonts w:cs="Arial"/>
          <w:bCs/>
          <w:szCs w:val="24"/>
          <w:lang w:val="en-ZA"/>
        </w:rPr>
      </w:pPr>
      <w:r>
        <w:rPr>
          <w:rFonts w:cs="Arial"/>
          <w:b/>
          <w:szCs w:val="24"/>
          <w:u w:val="single"/>
          <w:lang w:val="en-ZA"/>
        </w:rPr>
        <w:t>MOOTNESS</w:t>
      </w:r>
    </w:p>
    <w:p w14:paraId="47E7051B" w14:textId="77777777" w:rsidR="00BA4B29" w:rsidRDefault="00BA4B29" w:rsidP="00BA4B29">
      <w:pPr>
        <w:spacing w:after="160" w:line="480" w:lineRule="auto"/>
        <w:ind w:left="0" w:firstLine="0"/>
        <w:contextualSpacing/>
        <w:rPr>
          <w:rFonts w:cs="Arial"/>
          <w:bCs/>
          <w:szCs w:val="24"/>
          <w:lang w:val="en-ZA"/>
        </w:rPr>
      </w:pPr>
    </w:p>
    <w:p w14:paraId="04BBB71A" w14:textId="68DDFB29" w:rsidR="00BA4B29" w:rsidRDefault="00BA4B29" w:rsidP="00BA4B29">
      <w:pPr>
        <w:spacing w:after="160" w:line="480" w:lineRule="auto"/>
        <w:ind w:left="0" w:firstLine="0"/>
        <w:contextualSpacing/>
        <w:rPr>
          <w:rFonts w:cs="Arial"/>
          <w:bCs/>
          <w:szCs w:val="24"/>
          <w:lang w:val="en-ZA"/>
        </w:rPr>
      </w:pPr>
      <w:r>
        <w:rPr>
          <w:rFonts w:cs="Arial"/>
          <w:bCs/>
          <w:szCs w:val="24"/>
          <w:lang w:val="en-ZA"/>
        </w:rPr>
        <w:t>[1</w:t>
      </w:r>
      <w:r w:rsidR="005F44B7">
        <w:rPr>
          <w:rFonts w:cs="Arial"/>
          <w:bCs/>
          <w:szCs w:val="24"/>
          <w:lang w:val="en-ZA"/>
        </w:rPr>
        <w:t>7</w:t>
      </w:r>
      <w:r>
        <w:rPr>
          <w:rFonts w:cs="Arial"/>
          <w:bCs/>
          <w:szCs w:val="24"/>
          <w:lang w:val="en-ZA"/>
        </w:rPr>
        <w:t>] It is trite that the issue of mootness arises when a matter no longer presents an existing or live controversy. The principle that courts will ordinarily decline to adjudicate academic issues or matters where the judgment or order sought will have no practical effect or result, is one of long standing.</w:t>
      </w:r>
      <w:r>
        <w:rPr>
          <w:rStyle w:val="FootnoteReference"/>
          <w:rFonts w:cs="Arial"/>
          <w:bCs/>
          <w:szCs w:val="24"/>
          <w:lang w:val="en-ZA"/>
        </w:rPr>
        <w:footnoteReference w:id="4"/>
      </w:r>
      <w:r>
        <w:rPr>
          <w:rFonts w:cs="Arial"/>
          <w:bCs/>
          <w:szCs w:val="24"/>
          <w:lang w:val="en-ZA"/>
        </w:rPr>
        <w:t xml:space="preserve"> The Constitutional Court held that:</w:t>
      </w:r>
    </w:p>
    <w:p w14:paraId="306C0F34" w14:textId="77777777" w:rsidR="00BA4B29" w:rsidRDefault="00BA4B29" w:rsidP="00BA4B29">
      <w:pPr>
        <w:spacing w:after="160" w:line="480" w:lineRule="auto"/>
        <w:ind w:left="0" w:firstLine="0"/>
        <w:contextualSpacing/>
        <w:rPr>
          <w:rFonts w:cs="Arial"/>
          <w:bCs/>
          <w:szCs w:val="24"/>
          <w:lang w:val="en-ZA"/>
        </w:rPr>
      </w:pPr>
    </w:p>
    <w:p w14:paraId="3C8FFE8E" w14:textId="77777777" w:rsidR="00BA4B29" w:rsidRDefault="00BA4B29" w:rsidP="00BA4B29">
      <w:pPr>
        <w:spacing w:after="160" w:line="480" w:lineRule="auto"/>
        <w:ind w:left="720" w:firstLine="0"/>
        <w:contextualSpacing/>
        <w:rPr>
          <w:rFonts w:cs="Arial"/>
          <w:bCs/>
          <w:sz w:val="22"/>
          <w:lang w:val="en-ZA"/>
        </w:rPr>
      </w:pPr>
      <w:r>
        <w:rPr>
          <w:rFonts w:cs="Arial"/>
          <w:bCs/>
          <w:szCs w:val="24"/>
          <w:lang w:val="en-ZA"/>
        </w:rPr>
        <w:t>‘</w:t>
      </w:r>
      <w:r>
        <w:rPr>
          <w:rFonts w:cs="Arial"/>
          <w:bCs/>
          <w:sz w:val="22"/>
          <w:lang w:val="en-ZA"/>
        </w:rPr>
        <w:t>A case is moot and therefore not justiciable if it no longer presents an existing or live controversy which should exist if the Court is to avoid giving advisory opinions on abstract propositions of law.’</w:t>
      </w:r>
      <w:r>
        <w:rPr>
          <w:rStyle w:val="FootnoteReference"/>
          <w:rFonts w:cs="Arial"/>
          <w:bCs/>
          <w:sz w:val="22"/>
          <w:lang w:val="en-ZA"/>
        </w:rPr>
        <w:footnoteReference w:id="5"/>
      </w:r>
    </w:p>
    <w:p w14:paraId="7B255E0E" w14:textId="77777777" w:rsidR="00BA4B29" w:rsidRDefault="00BA4B29" w:rsidP="00BA4B29">
      <w:pPr>
        <w:spacing w:after="160" w:line="480" w:lineRule="auto"/>
        <w:ind w:left="720" w:firstLine="0"/>
        <w:contextualSpacing/>
        <w:rPr>
          <w:rFonts w:cs="Arial"/>
          <w:bCs/>
          <w:sz w:val="22"/>
          <w:lang w:val="en-ZA"/>
        </w:rPr>
      </w:pPr>
    </w:p>
    <w:p w14:paraId="6396426F" w14:textId="21482DCC" w:rsidR="00BA4B29" w:rsidRDefault="00BA4B29" w:rsidP="00BA4B29">
      <w:pPr>
        <w:spacing w:after="160" w:line="480" w:lineRule="auto"/>
        <w:ind w:left="0" w:firstLine="0"/>
        <w:contextualSpacing/>
        <w:rPr>
          <w:rFonts w:cs="Arial"/>
          <w:bCs/>
          <w:iCs/>
          <w:szCs w:val="24"/>
          <w:lang w:val="en-ZA"/>
        </w:rPr>
      </w:pPr>
      <w:r w:rsidRPr="00367643">
        <w:rPr>
          <w:rFonts w:cs="Arial"/>
          <w:bCs/>
          <w:szCs w:val="24"/>
          <w:lang w:val="en-ZA"/>
        </w:rPr>
        <w:t>[1</w:t>
      </w:r>
      <w:r w:rsidR="005F44B7">
        <w:rPr>
          <w:rFonts w:cs="Arial"/>
          <w:bCs/>
          <w:szCs w:val="24"/>
          <w:lang w:val="en-ZA"/>
        </w:rPr>
        <w:t>8</w:t>
      </w:r>
      <w:r w:rsidRPr="00367643">
        <w:rPr>
          <w:rFonts w:cs="Arial"/>
          <w:bCs/>
          <w:szCs w:val="24"/>
          <w:lang w:val="en-ZA"/>
        </w:rPr>
        <w:t xml:space="preserve">] There are two stages to mootness analysis: </w:t>
      </w:r>
      <w:r>
        <w:rPr>
          <w:rFonts w:cs="Arial"/>
          <w:bCs/>
          <w:iCs/>
          <w:szCs w:val="24"/>
          <w:lang w:val="en-ZA"/>
        </w:rPr>
        <w:t>first,</w:t>
      </w:r>
      <w:r w:rsidRPr="00367643">
        <w:rPr>
          <w:rFonts w:cs="Arial"/>
          <w:bCs/>
          <w:szCs w:val="24"/>
          <w:lang w:val="en-ZA"/>
        </w:rPr>
        <w:t xml:space="preserve"> i</w:t>
      </w:r>
      <w:r>
        <w:rPr>
          <w:rFonts w:cs="Arial"/>
          <w:bCs/>
          <w:szCs w:val="24"/>
          <w:lang w:val="en-ZA"/>
        </w:rPr>
        <w:t>s</w:t>
      </w:r>
      <w:r w:rsidRPr="00367643">
        <w:rPr>
          <w:rFonts w:cs="Arial"/>
          <w:bCs/>
          <w:szCs w:val="24"/>
          <w:lang w:val="en-ZA"/>
        </w:rPr>
        <w:t xml:space="preserve"> the case in fact ‘moot’? and </w:t>
      </w:r>
      <w:r>
        <w:rPr>
          <w:rFonts w:cs="Arial"/>
          <w:bCs/>
          <w:iCs/>
          <w:szCs w:val="24"/>
          <w:lang w:val="en-ZA"/>
        </w:rPr>
        <w:t>second</w:t>
      </w:r>
      <w:r w:rsidRPr="00367643">
        <w:rPr>
          <w:rFonts w:cs="Arial"/>
          <w:bCs/>
          <w:szCs w:val="24"/>
          <w:lang w:val="en-ZA"/>
        </w:rPr>
        <w:t xml:space="preserve"> if </w:t>
      </w:r>
      <w:r>
        <w:rPr>
          <w:rFonts w:cs="Arial"/>
          <w:bCs/>
          <w:szCs w:val="24"/>
          <w:lang w:val="en-ZA"/>
        </w:rPr>
        <w:t>so</w:t>
      </w:r>
      <w:r w:rsidRPr="00367643">
        <w:rPr>
          <w:rFonts w:cs="Arial"/>
          <w:bCs/>
          <w:szCs w:val="24"/>
          <w:lang w:val="en-ZA"/>
        </w:rPr>
        <w:t xml:space="preserve">, </w:t>
      </w:r>
      <w:r>
        <w:rPr>
          <w:rFonts w:cs="Arial"/>
          <w:bCs/>
          <w:szCs w:val="24"/>
          <w:lang w:val="en-ZA"/>
        </w:rPr>
        <w:t xml:space="preserve">is </w:t>
      </w:r>
      <w:r w:rsidRPr="00367643">
        <w:rPr>
          <w:rFonts w:cs="Arial"/>
          <w:bCs/>
          <w:szCs w:val="24"/>
          <w:lang w:val="en-ZA"/>
        </w:rPr>
        <w:t>it nonetheless in the ‘interests of justice’</w:t>
      </w:r>
      <w:r>
        <w:rPr>
          <w:rFonts w:cs="Arial"/>
          <w:bCs/>
          <w:szCs w:val="24"/>
          <w:lang w:val="en-ZA"/>
        </w:rPr>
        <w:t xml:space="preserve"> </w:t>
      </w:r>
      <w:r w:rsidRPr="00367643">
        <w:rPr>
          <w:rFonts w:cs="Arial"/>
          <w:bCs/>
          <w:szCs w:val="24"/>
          <w:lang w:val="en-ZA"/>
        </w:rPr>
        <w:t>to hear it?</w:t>
      </w:r>
      <w:r>
        <w:rPr>
          <w:rFonts w:cs="Arial"/>
          <w:bCs/>
          <w:szCs w:val="24"/>
          <w:lang w:val="en-ZA"/>
        </w:rPr>
        <w:t xml:space="preserve"> It is well settled that in the context of appeals, mootness does not constitute an absolute bar to the justiciability of an issue. Appellate courts have a discretion conferred by section 16(2)(a)(</w:t>
      </w:r>
      <w:proofErr w:type="spellStart"/>
      <w:r>
        <w:rPr>
          <w:rFonts w:cs="Arial"/>
          <w:bCs/>
          <w:szCs w:val="24"/>
          <w:lang w:val="en-ZA"/>
        </w:rPr>
        <w:t>i</w:t>
      </w:r>
      <w:proofErr w:type="spellEnd"/>
      <w:r>
        <w:rPr>
          <w:rFonts w:cs="Arial"/>
          <w:bCs/>
          <w:szCs w:val="24"/>
          <w:lang w:val="en-ZA"/>
        </w:rPr>
        <w:t xml:space="preserve">) of the Superior Courts Act, 10 of 2013, where there are sound reasons for this, to entertain a matter despite it being moot. This, however, does not apply to a High Court or a court of </w:t>
      </w:r>
      <w:r>
        <w:rPr>
          <w:rFonts w:cs="Arial"/>
          <w:bCs/>
          <w:szCs w:val="24"/>
          <w:lang w:val="en-ZA"/>
        </w:rPr>
        <w:lastRenderedPageBreak/>
        <w:t xml:space="preserve">first instance. The Supreme Court of Appeal </w:t>
      </w:r>
      <w:r w:rsidR="005F44B7">
        <w:rPr>
          <w:rFonts w:cs="Arial"/>
          <w:bCs/>
          <w:szCs w:val="24"/>
          <w:lang w:val="en-ZA"/>
        </w:rPr>
        <w:t xml:space="preserve">(SCA) </w:t>
      </w:r>
      <w:r>
        <w:rPr>
          <w:rFonts w:cs="Arial"/>
          <w:bCs/>
          <w:szCs w:val="24"/>
          <w:lang w:val="en-ZA"/>
        </w:rPr>
        <w:t xml:space="preserve">indicated in </w:t>
      </w:r>
      <w:proofErr w:type="spellStart"/>
      <w:r>
        <w:rPr>
          <w:rFonts w:cs="Arial"/>
          <w:bCs/>
          <w:i/>
          <w:iCs/>
          <w:szCs w:val="24"/>
          <w:lang w:val="en-ZA"/>
        </w:rPr>
        <w:t>Solidariteit</w:t>
      </w:r>
      <w:proofErr w:type="spellEnd"/>
      <w:r>
        <w:rPr>
          <w:rFonts w:cs="Arial"/>
          <w:bCs/>
          <w:i/>
          <w:iCs/>
          <w:szCs w:val="24"/>
          <w:lang w:val="en-ZA"/>
        </w:rPr>
        <w:t xml:space="preserve"> </w:t>
      </w:r>
      <w:proofErr w:type="spellStart"/>
      <w:r>
        <w:rPr>
          <w:rFonts w:cs="Arial"/>
          <w:bCs/>
          <w:i/>
          <w:iCs/>
          <w:szCs w:val="24"/>
          <w:lang w:val="en-ZA"/>
        </w:rPr>
        <w:t>Helpende</w:t>
      </w:r>
      <w:proofErr w:type="spellEnd"/>
      <w:r>
        <w:rPr>
          <w:rFonts w:cs="Arial"/>
          <w:bCs/>
          <w:i/>
          <w:iCs/>
          <w:szCs w:val="24"/>
          <w:lang w:val="en-ZA"/>
        </w:rPr>
        <w:t xml:space="preserve"> Hand NPC v Minister of Cooperative Governance and Traditional Affairs</w:t>
      </w:r>
      <w:r>
        <w:rPr>
          <w:rStyle w:val="FootnoteReference"/>
          <w:rFonts w:cs="Arial"/>
          <w:bCs/>
          <w:i/>
          <w:iCs/>
          <w:szCs w:val="24"/>
          <w:lang w:val="en-ZA"/>
        </w:rPr>
        <w:footnoteReference w:id="6"/>
      </w:r>
      <w:r>
        <w:rPr>
          <w:rFonts w:cs="Arial"/>
          <w:bCs/>
          <w:iCs/>
          <w:szCs w:val="24"/>
          <w:lang w:val="en-ZA"/>
        </w:rPr>
        <w:t xml:space="preserve"> that:</w:t>
      </w:r>
    </w:p>
    <w:p w14:paraId="167F8633" w14:textId="77777777" w:rsidR="00BA4B29" w:rsidRDefault="00BA4B29" w:rsidP="00BA4B29">
      <w:pPr>
        <w:spacing w:after="160" w:line="480" w:lineRule="auto"/>
        <w:ind w:left="0" w:firstLine="0"/>
        <w:contextualSpacing/>
        <w:rPr>
          <w:rFonts w:cs="Arial"/>
          <w:bCs/>
          <w:iCs/>
          <w:szCs w:val="24"/>
          <w:lang w:val="en-ZA"/>
        </w:rPr>
      </w:pPr>
    </w:p>
    <w:p w14:paraId="354C1F41" w14:textId="77777777" w:rsidR="00BA4B29" w:rsidRDefault="00BA4B29" w:rsidP="00BA4B29">
      <w:pPr>
        <w:spacing w:after="160" w:line="480" w:lineRule="auto"/>
        <w:ind w:left="720" w:firstLine="0"/>
        <w:contextualSpacing/>
        <w:rPr>
          <w:rFonts w:cs="Arial"/>
          <w:bCs/>
          <w:sz w:val="22"/>
          <w:lang w:val="en-ZA"/>
        </w:rPr>
      </w:pPr>
      <w:r>
        <w:rPr>
          <w:rFonts w:cs="Arial"/>
          <w:bCs/>
          <w:sz w:val="22"/>
          <w:lang w:val="en-ZA"/>
        </w:rPr>
        <w:t>‘It must be borne in mind that s 16(2)(a)(</w:t>
      </w:r>
      <w:proofErr w:type="spellStart"/>
      <w:r>
        <w:rPr>
          <w:rFonts w:cs="Arial"/>
          <w:bCs/>
          <w:sz w:val="22"/>
          <w:lang w:val="en-ZA"/>
        </w:rPr>
        <w:t>i</w:t>
      </w:r>
      <w:proofErr w:type="spellEnd"/>
      <w:r>
        <w:rPr>
          <w:rFonts w:cs="Arial"/>
          <w:bCs/>
          <w:sz w:val="22"/>
          <w:lang w:val="en-ZA"/>
        </w:rPr>
        <w:t>) of the Superior Courts Act confers a discretion on a Court of Appeal to hear an appeal notwithstanding mootness. Therefore, when a court of first instance has determined that the subject matter of litigation has ceased to exist before judgement, it has no jurisdiction to entertain the merits of the matter. Only an appeal court has a discretion to hear an appeal notwithstanding mootness.’</w:t>
      </w:r>
    </w:p>
    <w:p w14:paraId="4457DA74" w14:textId="77777777" w:rsidR="00BA4B29" w:rsidRDefault="00BA4B29" w:rsidP="00BA4B29">
      <w:pPr>
        <w:spacing w:after="160" w:line="480" w:lineRule="auto"/>
        <w:ind w:left="0" w:firstLine="0"/>
        <w:contextualSpacing/>
        <w:rPr>
          <w:rFonts w:cs="Arial"/>
          <w:bCs/>
          <w:szCs w:val="24"/>
          <w:lang w:val="en-ZA"/>
        </w:rPr>
      </w:pPr>
    </w:p>
    <w:p w14:paraId="796465CF" w14:textId="5C56BF6E" w:rsidR="00BA4B29" w:rsidRDefault="00BA4B29" w:rsidP="00BA4B29">
      <w:pPr>
        <w:spacing w:after="160" w:line="480" w:lineRule="auto"/>
        <w:ind w:left="0" w:firstLine="0"/>
        <w:contextualSpacing/>
        <w:rPr>
          <w:rFonts w:cs="Arial"/>
          <w:bCs/>
          <w:szCs w:val="24"/>
          <w:lang w:val="en-ZA"/>
        </w:rPr>
      </w:pPr>
      <w:r>
        <w:rPr>
          <w:rFonts w:cs="Arial"/>
          <w:bCs/>
          <w:szCs w:val="24"/>
          <w:lang w:val="en-ZA"/>
        </w:rPr>
        <w:t>[1</w:t>
      </w:r>
      <w:r w:rsidR="005F44B7">
        <w:rPr>
          <w:rFonts w:cs="Arial"/>
          <w:bCs/>
          <w:szCs w:val="24"/>
          <w:lang w:val="en-ZA"/>
        </w:rPr>
        <w:t>9</w:t>
      </w:r>
      <w:r>
        <w:rPr>
          <w:rFonts w:cs="Arial"/>
          <w:bCs/>
          <w:szCs w:val="24"/>
          <w:lang w:val="en-ZA"/>
        </w:rPr>
        <w:t>] The same court said in</w:t>
      </w:r>
      <w:r>
        <w:rPr>
          <w:rFonts w:cs="Arial"/>
          <w:bCs/>
          <w:i/>
          <w:szCs w:val="24"/>
          <w:lang w:val="en-ZA"/>
        </w:rPr>
        <w:t xml:space="preserve"> Minister of Justice and Correctional Services v Estate Late </w:t>
      </w:r>
      <w:proofErr w:type="spellStart"/>
      <w:r>
        <w:rPr>
          <w:rFonts w:cs="Arial"/>
          <w:bCs/>
          <w:i/>
          <w:szCs w:val="24"/>
          <w:lang w:val="en-ZA"/>
        </w:rPr>
        <w:t>Stransham</w:t>
      </w:r>
      <w:proofErr w:type="spellEnd"/>
      <w:r>
        <w:rPr>
          <w:rFonts w:cs="Arial"/>
          <w:bCs/>
          <w:i/>
          <w:szCs w:val="24"/>
          <w:lang w:val="en-ZA"/>
        </w:rPr>
        <w:t>-Ford</w:t>
      </w:r>
      <w:r>
        <w:rPr>
          <w:rStyle w:val="FootnoteReference"/>
          <w:rFonts w:cs="Arial"/>
          <w:bCs/>
          <w:i/>
          <w:szCs w:val="24"/>
          <w:lang w:val="en-ZA"/>
        </w:rPr>
        <w:footnoteReference w:id="7"/>
      </w:r>
      <w:r>
        <w:rPr>
          <w:rFonts w:cs="Arial"/>
          <w:bCs/>
          <w:szCs w:val="24"/>
          <w:lang w:val="en-ZA"/>
        </w:rPr>
        <w:t xml:space="preserve"> that:</w:t>
      </w:r>
    </w:p>
    <w:p w14:paraId="1BA2B5F4" w14:textId="77777777" w:rsidR="00BA4B29" w:rsidRDefault="00BA4B29" w:rsidP="00BA4B29">
      <w:pPr>
        <w:spacing w:after="160" w:line="480" w:lineRule="auto"/>
        <w:ind w:left="0" w:firstLine="0"/>
        <w:contextualSpacing/>
        <w:rPr>
          <w:rFonts w:cs="Arial"/>
          <w:bCs/>
          <w:szCs w:val="24"/>
          <w:lang w:val="en-ZA"/>
        </w:rPr>
      </w:pPr>
    </w:p>
    <w:p w14:paraId="4C2B1FF1" w14:textId="682730EC" w:rsidR="00BA4B29" w:rsidRDefault="00BA4B29" w:rsidP="00BA4B29">
      <w:pPr>
        <w:spacing w:after="160" w:line="480" w:lineRule="auto"/>
        <w:ind w:left="720" w:firstLine="0"/>
        <w:contextualSpacing/>
        <w:rPr>
          <w:rFonts w:cs="Arial"/>
          <w:bCs/>
          <w:szCs w:val="24"/>
          <w:lang w:val="en-ZA"/>
        </w:rPr>
      </w:pPr>
      <w:r>
        <w:rPr>
          <w:rFonts w:cs="Arial"/>
          <w:bCs/>
          <w:sz w:val="22"/>
          <w:lang w:val="en-ZA"/>
        </w:rPr>
        <w:t>“The appeal court’s jurisdiction was exercised because ‘a discrete legal issue of public importance arose that would affect matters in the future and on which the adjudication of this court was required’. The High Court is not vested with similar powers. Its function is to determine cases that present live issues for determination.”</w:t>
      </w:r>
      <w:r w:rsidRPr="00367643">
        <w:rPr>
          <w:rFonts w:cs="Arial"/>
          <w:bCs/>
          <w:szCs w:val="24"/>
          <w:lang w:val="en-ZA"/>
        </w:rPr>
        <w:t xml:space="preserve"> </w:t>
      </w:r>
    </w:p>
    <w:p w14:paraId="428CC9BE" w14:textId="77777777" w:rsidR="00580CBC" w:rsidRDefault="00580CBC" w:rsidP="00BA4B29">
      <w:pPr>
        <w:spacing w:after="160" w:line="480" w:lineRule="auto"/>
        <w:ind w:left="720" w:firstLine="0"/>
        <w:contextualSpacing/>
        <w:rPr>
          <w:rFonts w:cs="Arial"/>
          <w:bCs/>
          <w:szCs w:val="24"/>
          <w:lang w:val="en-ZA"/>
        </w:rPr>
      </w:pPr>
    </w:p>
    <w:p w14:paraId="043CCC4A" w14:textId="21D8E244" w:rsidR="00BA4B29" w:rsidRDefault="00BA4B29" w:rsidP="00BA4B29">
      <w:pPr>
        <w:spacing w:after="160" w:line="480" w:lineRule="auto"/>
        <w:ind w:left="0" w:firstLine="0"/>
        <w:contextualSpacing/>
        <w:rPr>
          <w:rFonts w:cs="Arial"/>
          <w:bCs/>
          <w:szCs w:val="24"/>
          <w:lang w:val="en-ZA"/>
        </w:rPr>
      </w:pPr>
      <w:r>
        <w:rPr>
          <w:rFonts w:cs="Arial"/>
          <w:bCs/>
          <w:szCs w:val="24"/>
          <w:lang w:val="en-ZA"/>
        </w:rPr>
        <w:t>[</w:t>
      </w:r>
      <w:r w:rsidR="005F44B7">
        <w:rPr>
          <w:rFonts w:cs="Arial"/>
          <w:bCs/>
          <w:szCs w:val="24"/>
          <w:lang w:val="en-ZA"/>
        </w:rPr>
        <w:t>20</w:t>
      </w:r>
      <w:r>
        <w:rPr>
          <w:rFonts w:cs="Arial"/>
          <w:bCs/>
          <w:szCs w:val="24"/>
          <w:lang w:val="en-ZA"/>
        </w:rPr>
        <w:t xml:space="preserve">] It follows that the High Court is not vested with a discretion to hear a matter despite it being moot. Accordingly, the first issue for determination in this regard is whether the present application is moot. If so, </w:t>
      </w:r>
      <w:proofErr w:type="spellStart"/>
      <w:r>
        <w:rPr>
          <w:rFonts w:cs="Arial"/>
          <w:bCs/>
          <w:i/>
          <w:iCs/>
          <w:szCs w:val="24"/>
          <w:lang w:val="en-ZA"/>
        </w:rPr>
        <w:t>cadit</w:t>
      </w:r>
      <w:proofErr w:type="spellEnd"/>
      <w:r>
        <w:rPr>
          <w:rFonts w:cs="Arial"/>
          <w:bCs/>
          <w:i/>
          <w:iCs/>
          <w:szCs w:val="24"/>
          <w:lang w:val="en-ZA"/>
        </w:rPr>
        <w:t xml:space="preserve"> </w:t>
      </w:r>
      <w:proofErr w:type="spellStart"/>
      <w:r>
        <w:rPr>
          <w:rFonts w:cs="Arial"/>
          <w:bCs/>
          <w:i/>
          <w:iCs/>
          <w:szCs w:val="24"/>
          <w:lang w:val="en-ZA"/>
        </w:rPr>
        <w:t>quaestio</w:t>
      </w:r>
      <w:proofErr w:type="spellEnd"/>
      <w:r>
        <w:rPr>
          <w:rFonts w:cs="Arial"/>
          <w:bCs/>
          <w:i/>
          <w:iCs/>
          <w:szCs w:val="24"/>
          <w:lang w:val="en-ZA"/>
        </w:rPr>
        <w:t xml:space="preserve">. </w:t>
      </w:r>
      <w:r>
        <w:rPr>
          <w:rFonts w:cs="Arial"/>
          <w:bCs/>
          <w:szCs w:val="24"/>
          <w:lang w:val="en-ZA"/>
        </w:rPr>
        <w:t>Plainly, this court has no residual discretion to hear the matter regardless.</w:t>
      </w:r>
    </w:p>
    <w:p w14:paraId="2B75EDC7" w14:textId="77777777" w:rsidR="00BA4B29" w:rsidRPr="00F24A65" w:rsidRDefault="00BA4B29" w:rsidP="00BA4B29">
      <w:pPr>
        <w:spacing w:after="160" w:line="480" w:lineRule="auto"/>
        <w:ind w:left="0" w:firstLine="0"/>
        <w:contextualSpacing/>
        <w:rPr>
          <w:rFonts w:cs="Arial"/>
          <w:bCs/>
          <w:szCs w:val="24"/>
          <w:lang w:val="en-ZA"/>
        </w:rPr>
      </w:pPr>
    </w:p>
    <w:p w14:paraId="662FBC4A" w14:textId="6092B7DD" w:rsidR="00BA4B29" w:rsidRDefault="00BA4B29" w:rsidP="00BA4B29">
      <w:pPr>
        <w:spacing w:after="160" w:line="480" w:lineRule="auto"/>
        <w:ind w:left="0" w:firstLine="0"/>
        <w:contextualSpacing/>
        <w:rPr>
          <w:rFonts w:cs="Arial"/>
          <w:bCs/>
          <w:szCs w:val="24"/>
          <w:lang w:val="en-ZA"/>
        </w:rPr>
      </w:pPr>
      <w:r>
        <w:rPr>
          <w:rFonts w:cs="Arial"/>
          <w:bCs/>
          <w:szCs w:val="24"/>
          <w:lang w:val="en-ZA"/>
        </w:rPr>
        <w:lastRenderedPageBreak/>
        <w:t>[2</w:t>
      </w:r>
      <w:r w:rsidR="005F44B7">
        <w:rPr>
          <w:rFonts w:cs="Arial"/>
          <w:bCs/>
          <w:szCs w:val="24"/>
          <w:lang w:val="en-ZA"/>
        </w:rPr>
        <w:t>1</w:t>
      </w:r>
      <w:r>
        <w:rPr>
          <w:rFonts w:cs="Arial"/>
          <w:bCs/>
          <w:szCs w:val="24"/>
          <w:lang w:val="en-ZA"/>
        </w:rPr>
        <w:t>] In my view, the seizure notices rendered the present proceedings relating principally to the amended detention notices, academic and therefore moot. I agree with the submission of the respondent that the seizure notices superseded the amended detention notices which have effectively fallen away. Any relief relating to the amended detention notices will have no practical effect. The seizure notices are not being challenged in these proceedings.</w:t>
      </w:r>
    </w:p>
    <w:p w14:paraId="77A47A50" w14:textId="77777777" w:rsidR="005F44B7" w:rsidRDefault="005F44B7" w:rsidP="00BA4B29">
      <w:pPr>
        <w:spacing w:after="160" w:line="480" w:lineRule="auto"/>
        <w:ind w:left="0" w:firstLine="0"/>
        <w:contextualSpacing/>
        <w:rPr>
          <w:rFonts w:cs="Arial"/>
          <w:bCs/>
          <w:szCs w:val="24"/>
          <w:lang w:val="en-ZA"/>
        </w:rPr>
      </w:pPr>
    </w:p>
    <w:p w14:paraId="50574A48" w14:textId="127E706E" w:rsidR="00BA4B29" w:rsidRDefault="00BA4B29" w:rsidP="00BA4B29">
      <w:pPr>
        <w:spacing w:after="160" w:line="480" w:lineRule="auto"/>
        <w:ind w:left="0" w:firstLine="0"/>
        <w:contextualSpacing/>
        <w:rPr>
          <w:rFonts w:cs="Arial"/>
          <w:bCs/>
          <w:szCs w:val="24"/>
          <w:lang w:val="en-ZA"/>
        </w:rPr>
      </w:pPr>
      <w:r>
        <w:rPr>
          <w:rFonts w:cs="Arial"/>
          <w:bCs/>
          <w:szCs w:val="24"/>
          <w:lang w:val="en-ZA"/>
        </w:rPr>
        <w:t>[2</w:t>
      </w:r>
      <w:r w:rsidR="005F44B7">
        <w:rPr>
          <w:rFonts w:cs="Arial"/>
          <w:bCs/>
          <w:szCs w:val="24"/>
          <w:lang w:val="en-ZA"/>
        </w:rPr>
        <w:t>2</w:t>
      </w:r>
      <w:r>
        <w:rPr>
          <w:rFonts w:cs="Arial"/>
          <w:bCs/>
          <w:szCs w:val="24"/>
          <w:lang w:val="en-ZA"/>
        </w:rPr>
        <w:t>] I am fortified in this view by the decision of the SCA in</w:t>
      </w:r>
      <w:r>
        <w:rPr>
          <w:rFonts w:cs="Arial"/>
          <w:bCs/>
          <w:i/>
          <w:szCs w:val="24"/>
          <w:lang w:val="en-ZA"/>
        </w:rPr>
        <w:t xml:space="preserve"> Commissioner for the South African Revenue Service &amp; Others v Dragon Freight (Pty) Ltd &amp; Others</w:t>
      </w:r>
      <w:r>
        <w:rPr>
          <w:rStyle w:val="FootnoteReference"/>
          <w:rFonts w:cs="Arial"/>
          <w:bCs/>
          <w:i/>
          <w:szCs w:val="24"/>
          <w:lang w:val="en-ZA"/>
        </w:rPr>
        <w:footnoteReference w:id="8"/>
      </w:r>
      <w:r>
        <w:rPr>
          <w:rFonts w:cs="Arial"/>
          <w:bCs/>
          <w:szCs w:val="24"/>
          <w:lang w:val="en-ZA"/>
        </w:rPr>
        <w:t xml:space="preserve"> which dealt with a similar situation where goods were initially detained in terms of section 88(1)(a) of the Act and subsequently seized in terms of section 88(1)(c) of the Act. The decision </w:t>
      </w:r>
      <w:r w:rsidR="005F44B7">
        <w:rPr>
          <w:rFonts w:cs="Arial"/>
          <w:bCs/>
          <w:szCs w:val="24"/>
          <w:lang w:val="en-ZA"/>
        </w:rPr>
        <w:t xml:space="preserve">to seize </w:t>
      </w:r>
      <w:r>
        <w:rPr>
          <w:rFonts w:cs="Arial"/>
          <w:bCs/>
          <w:szCs w:val="24"/>
          <w:lang w:val="en-ZA"/>
        </w:rPr>
        <w:t>(the impugned decision) was reviewed and set aside by the High Court which ordered the immediate release of the goods. SARS successfully took the matter on appeal to the SCA. The judgement of the SCA dealt as follows with the effect of the seizure on the detention of the goods:</w:t>
      </w:r>
    </w:p>
    <w:p w14:paraId="3FC99F79" w14:textId="77777777" w:rsidR="00BA4B29" w:rsidRDefault="00BA4B29" w:rsidP="00BA4B29">
      <w:pPr>
        <w:spacing w:after="160" w:line="480" w:lineRule="auto"/>
        <w:ind w:left="0" w:firstLine="0"/>
        <w:contextualSpacing/>
        <w:rPr>
          <w:rFonts w:cs="Arial"/>
          <w:bCs/>
          <w:szCs w:val="24"/>
          <w:lang w:val="en-ZA"/>
        </w:rPr>
      </w:pPr>
    </w:p>
    <w:p w14:paraId="34F7AD57" w14:textId="77777777" w:rsidR="00BA4B29" w:rsidRDefault="00BA4B29" w:rsidP="00BA4B29">
      <w:pPr>
        <w:spacing w:after="160" w:line="480" w:lineRule="auto"/>
        <w:ind w:left="720" w:firstLine="0"/>
        <w:contextualSpacing/>
        <w:rPr>
          <w:rFonts w:cs="Arial"/>
          <w:bCs/>
          <w:sz w:val="22"/>
          <w:lang w:val="en-ZA"/>
        </w:rPr>
      </w:pPr>
      <w:r>
        <w:rPr>
          <w:rFonts w:cs="Arial"/>
          <w:bCs/>
          <w:sz w:val="22"/>
          <w:lang w:val="en-ZA"/>
        </w:rPr>
        <w:t xml:space="preserve">‘[41] The high court reviewed and set aside SARS’ decision not to release the 19 containers and ordered SARS to immediately release those containers and the goods held in them. This order should not have been granted because </w:t>
      </w:r>
      <w:r w:rsidRPr="005F44B7">
        <w:rPr>
          <w:rFonts w:cs="Arial"/>
          <w:bCs/>
          <w:sz w:val="22"/>
          <w:u w:val="single"/>
          <w:lang w:val="en-ZA"/>
        </w:rPr>
        <w:t>the decision to detain the goods had been overtaken by the impugned decision</w:t>
      </w:r>
      <w:r>
        <w:rPr>
          <w:rFonts w:cs="Arial"/>
          <w:bCs/>
          <w:sz w:val="22"/>
          <w:lang w:val="en-ZA"/>
        </w:rPr>
        <w:t>.</w:t>
      </w:r>
    </w:p>
    <w:p w14:paraId="1CC1A7EB" w14:textId="77777777" w:rsidR="00BA4B29" w:rsidRDefault="00BA4B29" w:rsidP="00BA4B29">
      <w:pPr>
        <w:spacing w:after="160" w:line="480" w:lineRule="auto"/>
        <w:ind w:left="720" w:firstLine="0"/>
        <w:contextualSpacing/>
        <w:rPr>
          <w:rFonts w:cs="Arial"/>
          <w:bCs/>
          <w:sz w:val="22"/>
          <w:lang w:val="en-ZA"/>
        </w:rPr>
      </w:pPr>
      <w:r>
        <w:rPr>
          <w:rFonts w:cs="Arial"/>
          <w:bCs/>
          <w:sz w:val="22"/>
          <w:lang w:val="en-ZA"/>
        </w:rPr>
        <w:t>…</w:t>
      </w:r>
    </w:p>
    <w:p w14:paraId="4C539685" w14:textId="77777777" w:rsidR="00BA4B29" w:rsidRDefault="00BA4B29" w:rsidP="00BA4B29">
      <w:pPr>
        <w:spacing w:after="160" w:line="480" w:lineRule="auto"/>
        <w:ind w:left="720" w:firstLine="0"/>
        <w:contextualSpacing/>
        <w:rPr>
          <w:rFonts w:cs="Arial"/>
          <w:bCs/>
          <w:sz w:val="22"/>
          <w:lang w:val="en-ZA"/>
        </w:rPr>
      </w:pPr>
      <w:r>
        <w:rPr>
          <w:rFonts w:cs="Arial"/>
          <w:bCs/>
          <w:sz w:val="22"/>
          <w:lang w:val="en-ZA"/>
        </w:rPr>
        <w:t xml:space="preserve">[44] The power to detain and the power to seize are discrete administrative acts, which require two separate decisions. Detention is a temporary assertion of control over the </w:t>
      </w:r>
      <w:r>
        <w:rPr>
          <w:rFonts w:cs="Arial"/>
          <w:bCs/>
          <w:sz w:val="22"/>
          <w:lang w:val="en-ZA"/>
        </w:rPr>
        <w:lastRenderedPageBreak/>
        <w:t xml:space="preserve">goods, which does not necessarily result in any seizure with a view to ultimate forfeiture. The stated purpose of the power to detain in s 88(1)(a) of the Act, is to establish whether the goods are liable to forfeiture. The provision thus enables SARS to examine or secure the goods, pending an investigation to establish whether they are liable to forfeiture, as happened in this case. It is only once it has subsequently been established that the goods in question are liable to forfeiture, that SARS may then seize the goods. Put differently, seizure flows from detention if liability for forfeiture is established. </w:t>
      </w:r>
      <w:r w:rsidRPr="005F44B7">
        <w:rPr>
          <w:rFonts w:cs="Arial"/>
          <w:bCs/>
          <w:sz w:val="22"/>
          <w:u w:val="single"/>
          <w:lang w:val="en-ZA"/>
        </w:rPr>
        <w:t>The decision to detain the goods is then overtaken by a new decision to seize</w:t>
      </w:r>
      <w:r>
        <w:rPr>
          <w:rFonts w:cs="Arial"/>
          <w:bCs/>
          <w:sz w:val="22"/>
          <w:lang w:val="en-ZA"/>
        </w:rPr>
        <w:t>.</w:t>
      </w:r>
    </w:p>
    <w:p w14:paraId="3DC25657" w14:textId="77777777" w:rsidR="00BA4B29" w:rsidRDefault="00BA4B29" w:rsidP="00BA4B29">
      <w:pPr>
        <w:spacing w:after="160" w:line="480" w:lineRule="auto"/>
        <w:ind w:left="720" w:firstLine="0"/>
        <w:contextualSpacing/>
        <w:rPr>
          <w:rFonts w:cs="Arial"/>
          <w:bCs/>
          <w:sz w:val="22"/>
          <w:lang w:val="en-ZA"/>
        </w:rPr>
      </w:pPr>
      <w:r>
        <w:rPr>
          <w:rFonts w:cs="Arial"/>
          <w:bCs/>
          <w:sz w:val="22"/>
          <w:lang w:val="en-ZA"/>
        </w:rPr>
        <w:t>…</w:t>
      </w:r>
    </w:p>
    <w:p w14:paraId="63772244" w14:textId="77777777" w:rsidR="00BA4B29" w:rsidRDefault="00BA4B29" w:rsidP="00BA4B29">
      <w:pPr>
        <w:spacing w:after="160" w:line="480" w:lineRule="auto"/>
        <w:ind w:left="720" w:firstLine="0"/>
        <w:contextualSpacing/>
        <w:rPr>
          <w:rFonts w:cs="Arial"/>
          <w:bCs/>
          <w:sz w:val="22"/>
          <w:lang w:val="en-ZA"/>
        </w:rPr>
      </w:pPr>
      <w:r>
        <w:rPr>
          <w:rFonts w:cs="Arial"/>
          <w:bCs/>
          <w:sz w:val="22"/>
          <w:lang w:val="en-ZA"/>
        </w:rPr>
        <w:t xml:space="preserve">[46] The high court conflated the decision to detain the goods with the subsequent impugned decision. In so doing the court failed to appreciate that once the impugned decision had been taken, </w:t>
      </w:r>
      <w:r w:rsidRPr="007E6F73">
        <w:rPr>
          <w:rFonts w:cs="Arial"/>
          <w:bCs/>
          <w:sz w:val="22"/>
          <w:u w:val="single"/>
          <w:lang w:val="en-ZA"/>
        </w:rPr>
        <w:t>the separate issue of detention was rendered moot</w:t>
      </w:r>
      <w:r>
        <w:rPr>
          <w:rFonts w:cs="Arial"/>
          <w:bCs/>
          <w:sz w:val="22"/>
          <w:lang w:val="en-ZA"/>
        </w:rPr>
        <w:t>. The fate of the goods then had to be decided with reference to s 88(1)(c) of the Act and not s 88(1)(a).’</w:t>
      </w:r>
    </w:p>
    <w:p w14:paraId="6C6A82A9" w14:textId="762D496B" w:rsidR="00BA4B29" w:rsidRDefault="00BA4B29" w:rsidP="00BA4B29">
      <w:pPr>
        <w:spacing w:after="160" w:line="480" w:lineRule="auto"/>
        <w:ind w:left="720" w:firstLine="0"/>
        <w:contextualSpacing/>
        <w:rPr>
          <w:rFonts w:cs="Arial"/>
          <w:bCs/>
          <w:sz w:val="22"/>
          <w:lang w:val="en-ZA"/>
        </w:rPr>
      </w:pPr>
      <w:r>
        <w:rPr>
          <w:rFonts w:cs="Arial"/>
          <w:bCs/>
          <w:sz w:val="22"/>
          <w:lang w:val="en-ZA"/>
        </w:rPr>
        <w:t xml:space="preserve">                                                                                                       (own emphasis)</w:t>
      </w:r>
    </w:p>
    <w:p w14:paraId="4266938B" w14:textId="77777777" w:rsidR="00580CBC" w:rsidRDefault="00580CBC" w:rsidP="00BA4B29">
      <w:pPr>
        <w:spacing w:after="160" w:line="480" w:lineRule="auto"/>
        <w:ind w:left="720" w:firstLine="0"/>
        <w:contextualSpacing/>
        <w:rPr>
          <w:rFonts w:cs="Arial"/>
          <w:bCs/>
          <w:sz w:val="22"/>
          <w:lang w:val="en-ZA"/>
        </w:rPr>
      </w:pPr>
    </w:p>
    <w:p w14:paraId="4D23862E" w14:textId="4B25A71C" w:rsidR="00BA4B29" w:rsidRDefault="00BA4B29" w:rsidP="00BA4B29">
      <w:pPr>
        <w:spacing w:after="160" w:line="480" w:lineRule="auto"/>
        <w:ind w:left="0" w:firstLine="0"/>
        <w:contextualSpacing/>
        <w:rPr>
          <w:rFonts w:cs="Arial"/>
          <w:bCs/>
          <w:iCs/>
          <w:szCs w:val="24"/>
          <w:lang w:val="en-ZA"/>
        </w:rPr>
      </w:pPr>
      <w:r>
        <w:rPr>
          <w:rFonts w:cs="Arial"/>
          <w:bCs/>
          <w:szCs w:val="24"/>
          <w:lang w:val="en-ZA"/>
        </w:rPr>
        <w:t>[2</w:t>
      </w:r>
      <w:r w:rsidR="005F44B7">
        <w:rPr>
          <w:rFonts w:cs="Arial"/>
          <w:bCs/>
          <w:szCs w:val="24"/>
          <w:lang w:val="en-ZA"/>
        </w:rPr>
        <w:t>3</w:t>
      </w:r>
      <w:r>
        <w:rPr>
          <w:rFonts w:cs="Arial"/>
          <w:bCs/>
          <w:szCs w:val="24"/>
          <w:lang w:val="en-ZA"/>
        </w:rPr>
        <w:t>] With regard to the issue of mootness</w:t>
      </w:r>
      <w:r w:rsidR="005F44B7">
        <w:rPr>
          <w:rFonts w:cs="Arial"/>
          <w:bCs/>
          <w:szCs w:val="24"/>
          <w:lang w:val="en-ZA"/>
        </w:rPr>
        <w:t xml:space="preserve"> referred to in paragraph [46] of the judgment</w:t>
      </w:r>
      <w:r>
        <w:rPr>
          <w:rFonts w:cs="Arial"/>
          <w:bCs/>
          <w:szCs w:val="24"/>
          <w:lang w:val="en-ZA"/>
        </w:rPr>
        <w:t>, the SCA referred with approval to the decision of the full bench of the Free State Provincial Division in</w:t>
      </w:r>
      <w:r>
        <w:rPr>
          <w:rFonts w:cs="Arial"/>
          <w:bCs/>
          <w:i/>
          <w:szCs w:val="24"/>
          <w:lang w:val="en-ZA"/>
        </w:rPr>
        <w:t xml:space="preserve"> The Commissioner: South African Revenue Service &amp; Another v Joaquim Alberto Olivera Ferreira Alves</w:t>
      </w:r>
      <w:r>
        <w:rPr>
          <w:rStyle w:val="FootnoteReference"/>
          <w:rFonts w:cs="Arial"/>
          <w:bCs/>
          <w:i/>
          <w:szCs w:val="24"/>
          <w:lang w:val="en-ZA"/>
        </w:rPr>
        <w:footnoteReference w:id="9"/>
      </w:r>
      <w:r>
        <w:rPr>
          <w:rFonts w:cs="Arial"/>
          <w:bCs/>
          <w:iCs/>
          <w:szCs w:val="24"/>
          <w:lang w:val="en-ZA"/>
        </w:rPr>
        <w:t xml:space="preserve"> which also concerned relief relating to the detention of a vehicle which was subsequently seized and forfeited to the State in terms of Section 88 of the Act. That court held as follows:</w:t>
      </w:r>
    </w:p>
    <w:p w14:paraId="66DF650E" w14:textId="77777777" w:rsidR="00BA4B29" w:rsidRDefault="00BA4B29" w:rsidP="00BA4B29">
      <w:pPr>
        <w:spacing w:after="160" w:line="480" w:lineRule="auto"/>
        <w:ind w:left="0" w:firstLine="0"/>
        <w:contextualSpacing/>
        <w:rPr>
          <w:rFonts w:cs="Arial"/>
          <w:bCs/>
          <w:iCs/>
          <w:szCs w:val="24"/>
          <w:lang w:val="en-ZA"/>
        </w:rPr>
      </w:pPr>
    </w:p>
    <w:p w14:paraId="2334BBD4" w14:textId="77777777" w:rsidR="00BA4B29" w:rsidRDefault="00BA4B29" w:rsidP="00BA4B29">
      <w:pPr>
        <w:spacing w:after="160" w:line="480" w:lineRule="auto"/>
        <w:ind w:left="720" w:firstLine="0"/>
        <w:contextualSpacing/>
        <w:rPr>
          <w:rFonts w:cs="Arial"/>
          <w:bCs/>
          <w:iCs/>
          <w:sz w:val="22"/>
          <w:lang w:val="en-ZA"/>
        </w:rPr>
      </w:pPr>
      <w:r>
        <w:rPr>
          <w:rFonts w:cs="Arial"/>
          <w:bCs/>
          <w:iCs/>
          <w:sz w:val="22"/>
          <w:lang w:val="en-ZA"/>
        </w:rPr>
        <w:lastRenderedPageBreak/>
        <w:t>‘I am satisfied that the decision on the merits of the appeal will have no practical effect and the matter became moot when the Appellants seized the vehicle as being subject to forfeiture.’</w:t>
      </w:r>
    </w:p>
    <w:p w14:paraId="39168384" w14:textId="77777777" w:rsidR="00BA4B29" w:rsidRDefault="00BA4B29" w:rsidP="00BA4B29">
      <w:pPr>
        <w:spacing w:after="160" w:line="480" w:lineRule="auto"/>
        <w:ind w:left="720" w:firstLine="0"/>
        <w:contextualSpacing/>
        <w:rPr>
          <w:rFonts w:cs="Arial"/>
          <w:bCs/>
          <w:iCs/>
          <w:sz w:val="22"/>
          <w:lang w:val="en-ZA"/>
        </w:rPr>
      </w:pPr>
    </w:p>
    <w:p w14:paraId="2FC02E14" w14:textId="18B6EE7A" w:rsidR="00BA4B29" w:rsidRDefault="00BA4B29" w:rsidP="00BA4B29">
      <w:pPr>
        <w:spacing w:after="160" w:line="480" w:lineRule="auto"/>
        <w:ind w:left="0" w:firstLine="0"/>
        <w:contextualSpacing/>
        <w:rPr>
          <w:rFonts w:cs="Arial"/>
          <w:bCs/>
          <w:iCs/>
          <w:szCs w:val="24"/>
          <w:lang w:val="en-ZA"/>
        </w:rPr>
      </w:pPr>
      <w:r>
        <w:rPr>
          <w:rFonts w:cs="Arial"/>
          <w:bCs/>
          <w:iCs/>
          <w:szCs w:val="24"/>
          <w:lang w:val="en-ZA"/>
        </w:rPr>
        <w:t>[2</w:t>
      </w:r>
      <w:r w:rsidR="005F44B7">
        <w:rPr>
          <w:rFonts w:cs="Arial"/>
          <w:bCs/>
          <w:iCs/>
          <w:szCs w:val="24"/>
          <w:lang w:val="en-ZA"/>
        </w:rPr>
        <w:t>4</w:t>
      </w:r>
      <w:r>
        <w:rPr>
          <w:rFonts w:cs="Arial"/>
          <w:bCs/>
          <w:iCs/>
          <w:szCs w:val="24"/>
          <w:lang w:val="en-ZA"/>
        </w:rPr>
        <w:t>] In the comparable matter of</w:t>
      </w:r>
      <w:r>
        <w:rPr>
          <w:rFonts w:cs="Arial"/>
          <w:bCs/>
          <w:i/>
          <w:iCs/>
          <w:szCs w:val="24"/>
          <w:lang w:val="en-ZA"/>
        </w:rPr>
        <w:t xml:space="preserve"> Clear Enterprises (Pty) Ltd v The Commissioner for the South African Revenue Services</w:t>
      </w:r>
      <w:r>
        <w:rPr>
          <w:rStyle w:val="FootnoteReference"/>
          <w:rFonts w:cs="Arial"/>
          <w:bCs/>
          <w:i/>
          <w:iCs/>
          <w:szCs w:val="24"/>
          <w:lang w:val="en-ZA"/>
        </w:rPr>
        <w:footnoteReference w:id="10"/>
      </w:r>
      <w:r>
        <w:rPr>
          <w:rFonts w:cs="Arial"/>
          <w:bCs/>
          <w:iCs/>
          <w:szCs w:val="24"/>
          <w:lang w:val="en-ZA"/>
        </w:rPr>
        <w:t xml:space="preserve"> certain vehicles of the appellant were at first detained and later seized by SARS in terms of Section 88 of the Act. The same vehicles were subsequently seized by another State entity, namely the International Trade Administration Commission of South Africa (ITAC). The appellant brought two applications in the High Court</w:t>
      </w:r>
      <w:r w:rsidR="001E4282">
        <w:rPr>
          <w:rFonts w:cs="Arial"/>
          <w:bCs/>
          <w:iCs/>
          <w:szCs w:val="24"/>
          <w:lang w:val="en-ZA"/>
        </w:rPr>
        <w:t xml:space="preserve">, the first </w:t>
      </w:r>
      <w:r>
        <w:rPr>
          <w:rFonts w:cs="Arial"/>
          <w:bCs/>
          <w:iCs/>
          <w:szCs w:val="24"/>
          <w:lang w:val="en-ZA"/>
        </w:rPr>
        <w:t xml:space="preserve">relating to the detention and </w:t>
      </w:r>
      <w:r w:rsidR="001E4282">
        <w:rPr>
          <w:rFonts w:cs="Arial"/>
          <w:bCs/>
          <w:iCs/>
          <w:szCs w:val="24"/>
          <w:lang w:val="en-ZA"/>
        </w:rPr>
        <w:t xml:space="preserve">the second to the </w:t>
      </w:r>
      <w:r>
        <w:rPr>
          <w:rFonts w:cs="Arial"/>
          <w:bCs/>
          <w:iCs/>
          <w:szCs w:val="24"/>
          <w:lang w:val="en-ZA"/>
        </w:rPr>
        <w:t>seizure of the vehicles by SARS. The primary relief sought related to the return of the vehicles. The SCA said the following in this regard:</w:t>
      </w:r>
    </w:p>
    <w:p w14:paraId="7AB487E9" w14:textId="77777777" w:rsidR="00BA4B29" w:rsidRDefault="00BA4B29" w:rsidP="00BA4B29">
      <w:pPr>
        <w:spacing w:after="160" w:line="480" w:lineRule="auto"/>
        <w:ind w:left="0" w:firstLine="0"/>
        <w:contextualSpacing/>
        <w:rPr>
          <w:rFonts w:cs="Arial"/>
          <w:bCs/>
          <w:iCs/>
          <w:szCs w:val="24"/>
          <w:lang w:val="en-ZA"/>
        </w:rPr>
      </w:pPr>
    </w:p>
    <w:p w14:paraId="7ACEDCE4" w14:textId="77777777" w:rsidR="00BA4B29" w:rsidRDefault="00BA4B29" w:rsidP="00BA4B29">
      <w:pPr>
        <w:spacing w:after="160" w:line="480" w:lineRule="auto"/>
        <w:ind w:left="720" w:firstLine="0"/>
        <w:contextualSpacing/>
        <w:rPr>
          <w:rFonts w:cs="Arial"/>
          <w:bCs/>
          <w:sz w:val="22"/>
          <w:lang w:val="en-ZA"/>
        </w:rPr>
      </w:pPr>
      <w:r>
        <w:rPr>
          <w:rFonts w:cs="Arial"/>
          <w:bCs/>
          <w:sz w:val="22"/>
          <w:lang w:val="en-ZA"/>
        </w:rPr>
        <w:t>‘And yet in all of that time neither the parties nor the court below appeared to appreciate that the controversy which occupied them may not have been an existing or live one. For, plainly, after seizure of the vehicles by ITAC the primary relief initially sought by Clear Enterprises, namely, the return of vehicles, had become academic.’</w:t>
      </w:r>
      <w:r>
        <w:rPr>
          <w:rStyle w:val="FootnoteReference"/>
          <w:rFonts w:cs="Arial"/>
          <w:bCs/>
          <w:sz w:val="22"/>
          <w:lang w:val="en-ZA"/>
        </w:rPr>
        <w:footnoteReference w:id="11"/>
      </w:r>
    </w:p>
    <w:p w14:paraId="6CFD22B8" w14:textId="77777777" w:rsidR="00BA4B29" w:rsidRDefault="00BA4B29" w:rsidP="00BA4B29">
      <w:pPr>
        <w:spacing w:after="160" w:line="480" w:lineRule="auto"/>
        <w:ind w:left="0" w:firstLine="0"/>
        <w:contextualSpacing/>
        <w:rPr>
          <w:rFonts w:cs="Arial"/>
          <w:bCs/>
          <w:szCs w:val="24"/>
          <w:lang w:val="en-ZA"/>
        </w:rPr>
      </w:pPr>
    </w:p>
    <w:p w14:paraId="4629CB7A" w14:textId="77777777" w:rsidR="00BA4B29" w:rsidRDefault="00BA4B29" w:rsidP="00BA4B29">
      <w:pPr>
        <w:spacing w:after="160" w:line="480" w:lineRule="auto"/>
        <w:ind w:left="0" w:firstLine="0"/>
        <w:contextualSpacing/>
        <w:rPr>
          <w:rFonts w:cs="Arial"/>
          <w:bCs/>
          <w:szCs w:val="24"/>
          <w:lang w:val="en-ZA"/>
        </w:rPr>
      </w:pPr>
      <w:r>
        <w:rPr>
          <w:rFonts w:cs="Arial"/>
          <w:b/>
          <w:szCs w:val="24"/>
          <w:u w:val="single"/>
          <w:lang w:val="en-ZA"/>
        </w:rPr>
        <w:t>CONCLUSION</w:t>
      </w:r>
    </w:p>
    <w:p w14:paraId="4C6FF10B" w14:textId="77777777" w:rsidR="00BA4B29" w:rsidRPr="003D528C" w:rsidRDefault="00BA4B29" w:rsidP="00BA4B29">
      <w:pPr>
        <w:spacing w:after="160" w:line="480" w:lineRule="auto"/>
        <w:ind w:left="0" w:firstLine="0"/>
        <w:contextualSpacing/>
        <w:rPr>
          <w:rFonts w:cs="Arial"/>
          <w:bCs/>
          <w:szCs w:val="24"/>
          <w:lang w:val="en-ZA"/>
        </w:rPr>
      </w:pPr>
    </w:p>
    <w:p w14:paraId="7D7F1825" w14:textId="7441F13B" w:rsidR="00BA4B29" w:rsidRDefault="00BA4B29" w:rsidP="00BA4B29">
      <w:pPr>
        <w:spacing w:after="160" w:line="480" w:lineRule="auto"/>
        <w:ind w:left="0" w:firstLine="0"/>
        <w:contextualSpacing/>
        <w:rPr>
          <w:rFonts w:cs="Arial"/>
          <w:bCs/>
          <w:szCs w:val="24"/>
          <w:lang w:val="en-ZA"/>
        </w:rPr>
      </w:pPr>
      <w:r>
        <w:rPr>
          <w:rFonts w:cs="Arial"/>
          <w:bCs/>
          <w:szCs w:val="24"/>
          <w:lang w:val="en-ZA"/>
        </w:rPr>
        <w:t>[2</w:t>
      </w:r>
      <w:r w:rsidR="00996243">
        <w:rPr>
          <w:rFonts w:cs="Arial"/>
          <w:bCs/>
          <w:szCs w:val="24"/>
          <w:lang w:val="en-ZA"/>
        </w:rPr>
        <w:t>5</w:t>
      </w:r>
      <w:r>
        <w:rPr>
          <w:rFonts w:cs="Arial"/>
          <w:bCs/>
          <w:szCs w:val="24"/>
          <w:lang w:val="en-ZA"/>
        </w:rPr>
        <w:t xml:space="preserve">] For the above reasons, this application is moot and falls to be dismissed on this ground. I decline the request of the applicants to nonetheless deal with the merits of the </w:t>
      </w:r>
      <w:r>
        <w:rPr>
          <w:rFonts w:cs="Arial"/>
          <w:bCs/>
          <w:szCs w:val="24"/>
          <w:lang w:val="en-ZA"/>
        </w:rPr>
        <w:lastRenderedPageBreak/>
        <w:t>matter</w:t>
      </w:r>
      <w:r w:rsidR="00996243">
        <w:rPr>
          <w:rFonts w:cs="Arial"/>
          <w:bCs/>
          <w:szCs w:val="24"/>
          <w:lang w:val="en-ZA"/>
        </w:rPr>
        <w:t xml:space="preserve"> even if it is found to be moot</w:t>
      </w:r>
      <w:r>
        <w:rPr>
          <w:rFonts w:cs="Arial"/>
          <w:bCs/>
          <w:szCs w:val="24"/>
          <w:lang w:val="en-ZA"/>
        </w:rPr>
        <w:t>. It is in any event not competent as a court of first instance to accede to the request in circumstances where the matter is moot.</w:t>
      </w:r>
    </w:p>
    <w:p w14:paraId="0FCE4BE4" w14:textId="77777777" w:rsidR="00BA4B29" w:rsidRDefault="00BA4B29" w:rsidP="00BA4B29">
      <w:pPr>
        <w:spacing w:after="160" w:line="480" w:lineRule="auto"/>
        <w:ind w:left="0" w:firstLine="0"/>
        <w:contextualSpacing/>
        <w:rPr>
          <w:rFonts w:cs="Arial"/>
          <w:bCs/>
          <w:szCs w:val="24"/>
          <w:lang w:val="en-ZA"/>
        </w:rPr>
      </w:pPr>
    </w:p>
    <w:p w14:paraId="78421476" w14:textId="2799B962" w:rsidR="00BA4B29" w:rsidRDefault="00BA4B29" w:rsidP="00BA4B29">
      <w:pPr>
        <w:spacing w:after="160" w:line="480" w:lineRule="auto"/>
        <w:ind w:left="0" w:firstLine="0"/>
        <w:contextualSpacing/>
        <w:rPr>
          <w:rFonts w:cs="Arial"/>
          <w:bCs/>
          <w:szCs w:val="24"/>
          <w:lang w:val="en-ZA"/>
        </w:rPr>
      </w:pPr>
      <w:r>
        <w:rPr>
          <w:rFonts w:cs="Arial"/>
          <w:bCs/>
          <w:szCs w:val="24"/>
          <w:lang w:val="en-ZA"/>
        </w:rPr>
        <w:t>[2</w:t>
      </w:r>
      <w:r w:rsidR="00996243">
        <w:rPr>
          <w:rFonts w:cs="Arial"/>
          <w:bCs/>
          <w:szCs w:val="24"/>
          <w:lang w:val="en-ZA"/>
        </w:rPr>
        <w:t>6</w:t>
      </w:r>
      <w:r>
        <w:rPr>
          <w:rFonts w:cs="Arial"/>
          <w:bCs/>
          <w:szCs w:val="24"/>
          <w:lang w:val="en-ZA"/>
        </w:rPr>
        <w:t>] Insofar is the issue of costs is concerned, I take into account that the respondent has delayed the seizure decision literally until the eve of the hearing. At that stage, most of the costs with regard to the hearing had already been incurred. There is no explanation why it was not possible to take the seizure decision earlier at least at a stage which would have left the applicants sufficient time to consider the further conduct of the matter</w:t>
      </w:r>
      <w:r w:rsidR="00996243">
        <w:rPr>
          <w:rFonts w:cs="Arial"/>
          <w:bCs/>
          <w:szCs w:val="24"/>
          <w:lang w:val="en-ZA"/>
        </w:rPr>
        <w:t xml:space="preserve"> and limit the costs being incurred</w:t>
      </w:r>
      <w:r>
        <w:rPr>
          <w:rFonts w:cs="Arial"/>
          <w:bCs/>
          <w:szCs w:val="24"/>
          <w:lang w:val="en-ZA"/>
        </w:rPr>
        <w:t>. In my view, the applicants cannot be criticised for the decision to proceed with the hearing in the circumstances and they should not be mulcted in costs for having done so. In any event, the matter has been disposed of on a preliminary point and it cannot be said that the applicants were unsuccessful on the substantive issues.</w:t>
      </w:r>
      <w:r w:rsidR="00996243">
        <w:rPr>
          <w:rFonts w:cs="Arial"/>
          <w:bCs/>
          <w:szCs w:val="24"/>
          <w:lang w:val="en-ZA"/>
        </w:rPr>
        <w:t xml:space="preserve">  I am similarly not persuaded by the applicants’ submission that the respondent should be ordered to pay punitive costs due to its </w:t>
      </w:r>
      <w:r w:rsidR="001E4282">
        <w:rPr>
          <w:rFonts w:cs="Arial"/>
          <w:bCs/>
          <w:szCs w:val="24"/>
          <w:lang w:val="en-ZA"/>
        </w:rPr>
        <w:t xml:space="preserve">averred </w:t>
      </w:r>
      <w:r w:rsidR="00996243">
        <w:rPr>
          <w:rFonts w:cs="Arial"/>
          <w:bCs/>
          <w:szCs w:val="24"/>
          <w:lang w:val="en-ZA"/>
        </w:rPr>
        <w:t xml:space="preserve">stratagem to sabotage the application by holding </w:t>
      </w:r>
      <w:r w:rsidR="00580CBC">
        <w:rPr>
          <w:rFonts w:cs="Arial"/>
          <w:bCs/>
          <w:szCs w:val="24"/>
          <w:lang w:val="en-ZA"/>
        </w:rPr>
        <w:t>back</w:t>
      </w:r>
      <w:r w:rsidR="00996243">
        <w:rPr>
          <w:rFonts w:cs="Arial"/>
          <w:bCs/>
          <w:szCs w:val="24"/>
          <w:lang w:val="en-ZA"/>
        </w:rPr>
        <w:t xml:space="preserve"> until the eleventh</w:t>
      </w:r>
      <w:r w:rsidR="00580CBC">
        <w:rPr>
          <w:rFonts w:cs="Arial"/>
          <w:bCs/>
          <w:szCs w:val="24"/>
          <w:lang w:val="en-ZA"/>
        </w:rPr>
        <w:t xml:space="preserve"> hour on issuing</w:t>
      </w:r>
      <w:r w:rsidR="00996243">
        <w:rPr>
          <w:rFonts w:cs="Arial"/>
          <w:bCs/>
          <w:szCs w:val="24"/>
          <w:lang w:val="en-ZA"/>
        </w:rPr>
        <w:t xml:space="preserve"> the seizure notices.  In my view, neither party should be burdened with the costs of the application. </w:t>
      </w:r>
    </w:p>
    <w:p w14:paraId="1A17DA45" w14:textId="5503E650" w:rsidR="00BA4B29" w:rsidRDefault="00BA4B29" w:rsidP="00BA4B29">
      <w:pPr>
        <w:spacing w:after="160" w:line="480" w:lineRule="auto"/>
        <w:ind w:left="0" w:firstLine="0"/>
        <w:contextualSpacing/>
        <w:rPr>
          <w:rFonts w:cs="Arial"/>
          <w:bCs/>
          <w:szCs w:val="24"/>
          <w:lang w:val="en-ZA"/>
        </w:rPr>
      </w:pPr>
    </w:p>
    <w:p w14:paraId="201D5605" w14:textId="77777777" w:rsidR="00BA4B29" w:rsidRDefault="00BA4B29" w:rsidP="00BA4B29">
      <w:pPr>
        <w:spacing w:after="160" w:line="480" w:lineRule="auto"/>
        <w:ind w:left="0" w:firstLine="0"/>
        <w:contextualSpacing/>
        <w:rPr>
          <w:rFonts w:cs="Arial"/>
          <w:b/>
          <w:szCs w:val="24"/>
          <w:u w:val="single"/>
          <w:lang w:val="en-ZA"/>
        </w:rPr>
      </w:pPr>
      <w:r>
        <w:rPr>
          <w:rFonts w:cs="Arial"/>
          <w:b/>
          <w:szCs w:val="24"/>
          <w:u w:val="single"/>
          <w:lang w:val="en-ZA"/>
        </w:rPr>
        <w:t>ORDER</w:t>
      </w:r>
    </w:p>
    <w:p w14:paraId="2079C633" w14:textId="77777777" w:rsidR="00BA4B29" w:rsidRDefault="00BA4B29" w:rsidP="00BA4B29">
      <w:pPr>
        <w:spacing w:after="160" w:line="480" w:lineRule="auto"/>
        <w:ind w:left="0" w:firstLine="0"/>
        <w:contextualSpacing/>
        <w:rPr>
          <w:rFonts w:cs="Arial"/>
          <w:b/>
          <w:szCs w:val="24"/>
          <w:u w:val="single"/>
          <w:lang w:val="en-ZA"/>
        </w:rPr>
      </w:pPr>
    </w:p>
    <w:p w14:paraId="7AB557D5" w14:textId="10C2F94A" w:rsidR="00BA4B29" w:rsidRDefault="00BA4B29" w:rsidP="00BA4B29">
      <w:pPr>
        <w:spacing w:after="160" w:line="480" w:lineRule="auto"/>
        <w:ind w:left="0" w:firstLine="0"/>
        <w:contextualSpacing/>
        <w:rPr>
          <w:rFonts w:cs="Arial"/>
          <w:bCs/>
          <w:szCs w:val="24"/>
          <w:lang w:val="en-ZA"/>
        </w:rPr>
      </w:pPr>
      <w:r>
        <w:rPr>
          <w:rFonts w:cs="Arial"/>
          <w:bCs/>
          <w:szCs w:val="24"/>
          <w:lang w:val="en-ZA"/>
        </w:rPr>
        <w:t>[2</w:t>
      </w:r>
      <w:r w:rsidR="00996243">
        <w:rPr>
          <w:rFonts w:cs="Arial"/>
          <w:bCs/>
          <w:szCs w:val="24"/>
          <w:lang w:val="en-ZA"/>
        </w:rPr>
        <w:t>7</w:t>
      </w:r>
      <w:r>
        <w:rPr>
          <w:rFonts w:cs="Arial"/>
          <w:bCs/>
          <w:szCs w:val="24"/>
          <w:lang w:val="en-ZA"/>
        </w:rPr>
        <w:t>] In the result the following order is made:</w:t>
      </w:r>
    </w:p>
    <w:p w14:paraId="19F78742" w14:textId="77777777" w:rsidR="00BA4B29" w:rsidRDefault="00BA4B29" w:rsidP="00BA4B29">
      <w:pPr>
        <w:spacing w:after="160" w:line="480" w:lineRule="auto"/>
        <w:ind w:left="0" w:firstLine="0"/>
        <w:contextualSpacing/>
        <w:rPr>
          <w:rFonts w:cs="Arial"/>
          <w:bCs/>
          <w:szCs w:val="24"/>
          <w:lang w:val="en-ZA"/>
        </w:rPr>
      </w:pPr>
    </w:p>
    <w:p w14:paraId="480CB2A3" w14:textId="0B2F967E" w:rsidR="00BA4B29" w:rsidRPr="00326471" w:rsidRDefault="00326471" w:rsidP="00326471">
      <w:pPr>
        <w:spacing w:after="160" w:line="480" w:lineRule="auto"/>
        <w:ind w:left="1080"/>
        <w:rPr>
          <w:rFonts w:cs="Arial"/>
          <w:bCs/>
          <w:szCs w:val="24"/>
          <w:lang w:val="en-ZA"/>
        </w:rPr>
      </w:pPr>
      <w:r w:rsidRPr="0089595F">
        <w:rPr>
          <w:rFonts w:cs="Arial"/>
          <w:bCs/>
          <w:szCs w:val="24"/>
          <w:lang w:val="en-ZA"/>
        </w:rPr>
        <w:t>(a)</w:t>
      </w:r>
      <w:r w:rsidRPr="0089595F">
        <w:rPr>
          <w:rFonts w:cs="Arial"/>
          <w:bCs/>
          <w:szCs w:val="24"/>
          <w:lang w:val="en-ZA"/>
        </w:rPr>
        <w:tab/>
      </w:r>
      <w:r w:rsidR="00BA4B29" w:rsidRPr="00326471">
        <w:rPr>
          <w:rFonts w:cs="Arial"/>
          <w:bCs/>
          <w:szCs w:val="24"/>
          <w:lang w:val="en-ZA"/>
        </w:rPr>
        <w:t>the application is dismissed;</w:t>
      </w:r>
    </w:p>
    <w:p w14:paraId="2A2DF1E1" w14:textId="77777777" w:rsidR="00BA4B29" w:rsidRPr="000F564F" w:rsidRDefault="00BA4B29" w:rsidP="00BA4B29">
      <w:pPr>
        <w:spacing w:after="160" w:line="480" w:lineRule="auto"/>
        <w:ind w:left="720" w:firstLine="0"/>
        <w:contextualSpacing/>
        <w:rPr>
          <w:rFonts w:cs="Arial"/>
          <w:bCs/>
          <w:szCs w:val="24"/>
          <w:lang w:val="en-ZA"/>
        </w:rPr>
      </w:pPr>
      <w:r>
        <w:rPr>
          <w:rFonts w:cs="Arial"/>
          <w:bCs/>
          <w:szCs w:val="24"/>
          <w:lang w:val="en-ZA"/>
        </w:rPr>
        <w:t>(b) each party is ordered to pay its own costs.</w:t>
      </w:r>
    </w:p>
    <w:p w14:paraId="3FA51656" w14:textId="7FBAA966" w:rsidR="00BA4B29" w:rsidRDefault="00BA4B29" w:rsidP="00BA4B29">
      <w:pPr>
        <w:spacing w:line="480" w:lineRule="auto"/>
        <w:rPr>
          <w:rFonts w:cs="Arial"/>
          <w:b/>
          <w:szCs w:val="24"/>
        </w:rPr>
      </w:pPr>
    </w:p>
    <w:p w14:paraId="3701ACD6" w14:textId="77777777" w:rsidR="00996243" w:rsidRDefault="00996243" w:rsidP="00BA4B29">
      <w:pPr>
        <w:spacing w:line="480" w:lineRule="auto"/>
        <w:rPr>
          <w:rFonts w:cs="Arial"/>
          <w:b/>
          <w:szCs w:val="24"/>
        </w:rPr>
      </w:pPr>
    </w:p>
    <w:p w14:paraId="3B56B3AA" w14:textId="77777777" w:rsidR="00BA4B29" w:rsidRPr="0034599E" w:rsidRDefault="00BA4B29" w:rsidP="00BA4B29">
      <w:pPr>
        <w:spacing w:line="480" w:lineRule="auto"/>
        <w:ind w:left="0" w:firstLine="0"/>
        <w:rPr>
          <w:rFonts w:cs="Arial"/>
          <w:b/>
          <w:szCs w:val="24"/>
        </w:rPr>
      </w:pPr>
      <w:r w:rsidRPr="0034599E">
        <w:rPr>
          <w:rFonts w:cs="Arial"/>
          <w:b/>
          <w:szCs w:val="24"/>
        </w:rPr>
        <w:t>______________________</w:t>
      </w:r>
    </w:p>
    <w:p w14:paraId="0837531C" w14:textId="77777777" w:rsidR="00BA4B29" w:rsidRPr="0034599E" w:rsidRDefault="00BA4B29" w:rsidP="00BA4B29">
      <w:pPr>
        <w:spacing w:line="480" w:lineRule="auto"/>
        <w:rPr>
          <w:rFonts w:cs="Arial"/>
          <w:b/>
          <w:szCs w:val="24"/>
        </w:rPr>
      </w:pPr>
      <w:r>
        <w:rPr>
          <w:rFonts w:cs="Arial"/>
          <w:b/>
          <w:szCs w:val="24"/>
        </w:rPr>
        <w:t>D.O. POTGIETER</w:t>
      </w:r>
    </w:p>
    <w:p w14:paraId="4D7BFE30" w14:textId="77777777" w:rsidR="00BA4B29" w:rsidRDefault="00BA4B29" w:rsidP="00BA4B29">
      <w:pPr>
        <w:spacing w:line="480" w:lineRule="auto"/>
        <w:rPr>
          <w:rFonts w:cs="Arial"/>
          <w:b/>
          <w:szCs w:val="24"/>
        </w:rPr>
      </w:pPr>
      <w:r w:rsidRPr="0034599E">
        <w:rPr>
          <w:rFonts w:cs="Arial"/>
          <w:b/>
          <w:szCs w:val="24"/>
        </w:rPr>
        <w:t>JUDGE OF THE HIGH COURT</w:t>
      </w:r>
    </w:p>
    <w:p w14:paraId="28D346F0" w14:textId="77777777" w:rsidR="00BA4B29" w:rsidRDefault="00BA4B29" w:rsidP="00BA4B29">
      <w:pPr>
        <w:ind w:left="0" w:firstLine="0"/>
        <w:rPr>
          <w:rFonts w:cs="Arial"/>
          <w:b/>
          <w:bCs/>
          <w:szCs w:val="24"/>
          <w:lang w:val="en-ZA"/>
        </w:rPr>
      </w:pPr>
    </w:p>
    <w:p w14:paraId="7BC4B3B5" w14:textId="77777777" w:rsidR="00BA4B29" w:rsidRDefault="00BA4B29" w:rsidP="00BA4B29">
      <w:pPr>
        <w:ind w:left="0" w:firstLine="0"/>
        <w:rPr>
          <w:rFonts w:cs="Arial"/>
          <w:b/>
          <w:bCs/>
          <w:szCs w:val="24"/>
          <w:lang w:val="en-ZA"/>
        </w:rPr>
      </w:pPr>
    </w:p>
    <w:p w14:paraId="442F0E01" w14:textId="77777777" w:rsidR="00BA4B29" w:rsidRPr="00214518" w:rsidRDefault="00BA4B29" w:rsidP="00BA4B29">
      <w:pPr>
        <w:ind w:left="0" w:firstLine="0"/>
        <w:rPr>
          <w:rFonts w:cs="Arial"/>
          <w:b/>
          <w:bCs/>
          <w:szCs w:val="24"/>
          <w:lang w:val="en-ZA"/>
        </w:rPr>
      </w:pPr>
      <w:r w:rsidRPr="00214518">
        <w:rPr>
          <w:rFonts w:cs="Arial"/>
          <w:b/>
          <w:bCs/>
          <w:szCs w:val="24"/>
          <w:lang w:val="en-ZA"/>
        </w:rPr>
        <w:t>APPEARANCES</w:t>
      </w:r>
    </w:p>
    <w:p w14:paraId="5C3921E4" w14:textId="77777777" w:rsidR="00BA4B29" w:rsidRPr="00214518" w:rsidRDefault="00BA4B29" w:rsidP="00BA4B29">
      <w:pPr>
        <w:ind w:left="0" w:firstLine="0"/>
        <w:rPr>
          <w:rFonts w:cs="Arial"/>
          <w:b/>
          <w:bCs/>
          <w:szCs w:val="24"/>
          <w:lang w:val="en-ZA"/>
        </w:rPr>
      </w:pPr>
    </w:p>
    <w:p w14:paraId="16D60664" w14:textId="12661B73" w:rsidR="00BA4B29" w:rsidRPr="00214518" w:rsidRDefault="00BA4B29" w:rsidP="00BA4B29">
      <w:pPr>
        <w:ind w:left="3600" w:hanging="3600"/>
        <w:rPr>
          <w:rFonts w:cs="Arial"/>
          <w:bCs/>
          <w:szCs w:val="24"/>
          <w:lang w:val="en-ZA"/>
        </w:rPr>
      </w:pPr>
      <w:r w:rsidRPr="00214518">
        <w:rPr>
          <w:rFonts w:cs="Arial"/>
          <w:bCs/>
          <w:szCs w:val="24"/>
          <w:lang w:val="en-ZA"/>
        </w:rPr>
        <w:t xml:space="preserve">For the </w:t>
      </w:r>
      <w:r>
        <w:rPr>
          <w:rFonts w:cs="Arial"/>
          <w:bCs/>
          <w:szCs w:val="24"/>
          <w:lang w:val="en-ZA"/>
        </w:rPr>
        <w:t>Applicants</w:t>
      </w:r>
      <w:r w:rsidRPr="00214518">
        <w:rPr>
          <w:rFonts w:cs="Arial"/>
          <w:bCs/>
          <w:szCs w:val="24"/>
          <w:lang w:val="en-ZA"/>
        </w:rPr>
        <w:t>:</w:t>
      </w:r>
      <w:r w:rsidRPr="00214518">
        <w:rPr>
          <w:rFonts w:cs="Arial"/>
          <w:bCs/>
          <w:szCs w:val="24"/>
          <w:lang w:val="en-ZA"/>
        </w:rPr>
        <w:tab/>
      </w:r>
      <w:proofErr w:type="spellStart"/>
      <w:r>
        <w:rPr>
          <w:rFonts w:cs="Arial"/>
          <w:bCs/>
          <w:szCs w:val="24"/>
          <w:lang w:val="en-ZA"/>
        </w:rPr>
        <w:t>Adv</w:t>
      </w:r>
      <w:proofErr w:type="spellEnd"/>
      <w:r>
        <w:rPr>
          <w:rFonts w:cs="Arial"/>
          <w:bCs/>
          <w:szCs w:val="24"/>
          <w:lang w:val="en-ZA"/>
        </w:rPr>
        <w:t xml:space="preserve"> C</w:t>
      </w:r>
      <w:r w:rsidR="00215775">
        <w:rPr>
          <w:rFonts w:cs="Arial"/>
          <w:bCs/>
          <w:szCs w:val="24"/>
          <w:lang w:val="en-ZA"/>
        </w:rPr>
        <w:t>E</w:t>
      </w:r>
      <w:r>
        <w:rPr>
          <w:rFonts w:cs="Arial"/>
          <w:bCs/>
          <w:szCs w:val="24"/>
          <w:lang w:val="en-ZA"/>
        </w:rPr>
        <w:t xml:space="preserve"> </w:t>
      </w:r>
      <w:proofErr w:type="spellStart"/>
      <w:r>
        <w:rPr>
          <w:rFonts w:cs="Arial"/>
          <w:bCs/>
          <w:szCs w:val="24"/>
          <w:lang w:val="en-ZA"/>
        </w:rPr>
        <w:t>Puckrin</w:t>
      </w:r>
      <w:proofErr w:type="spellEnd"/>
      <w:r>
        <w:rPr>
          <w:rFonts w:cs="Arial"/>
          <w:bCs/>
          <w:szCs w:val="24"/>
          <w:lang w:val="en-ZA"/>
        </w:rPr>
        <w:t xml:space="preserve"> SC, </w:t>
      </w:r>
      <w:proofErr w:type="spellStart"/>
      <w:r>
        <w:rPr>
          <w:rFonts w:cs="Arial"/>
          <w:bCs/>
          <w:szCs w:val="24"/>
          <w:lang w:val="en-ZA"/>
        </w:rPr>
        <w:t>Adv</w:t>
      </w:r>
      <w:proofErr w:type="spellEnd"/>
      <w:r>
        <w:rPr>
          <w:rFonts w:cs="Arial"/>
          <w:bCs/>
          <w:szCs w:val="24"/>
          <w:lang w:val="en-ZA"/>
        </w:rPr>
        <w:t xml:space="preserve"> </w:t>
      </w:r>
      <w:r w:rsidR="00215775">
        <w:rPr>
          <w:rFonts w:cs="Arial"/>
          <w:bCs/>
          <w:szCs w:val="24"/>
          <w:lang w:val="en-ZA"/>
        </w:rPr>
        <w:t>P</w:t>
      </w:r>
      <w:r>
        <w:rPr>
          <w:rFonts w:cs="Arial"/>
          <w:bCs/>
          <w:szCs w:val="24"/>
          <w:lang w:val="en-ZA"/>
        </w:rPr>
        <w:t xml:space="preserve">A Swanepoel SC, </w:t>
      </w:r>
      <w:proofErr w:type="spellStart"/>
      <w:r>
        <w:rPr>
          <w:rFonts w:cs="Arial"/>
          <w:bCs/>
          <w:szCs w:val="24"/>
          <w:lang w:val="en-ZA"/>
        </w:rPr>
        <w:t>Adv</w:t>
      </w:r>
      <w:proofErr w:type="spellEnd"/>
      <w:r>
        <w:rPr>
          <w:rFonts w:cs="Arial"/>
          <w:bCs/>
          <w:szCs w:val="24"/>
          <w:lang w:val="en-ZA"/>
        </w:rPr>
        <w:t xml:space="preserve"> </w:t>
      </w:r>
      <w:r w:rsidR="00215775">
        <w:rPr>
          <w:rFonts w:cs="Arial"/>
          <w:bCs/>
          <w:szCs w:val="24"/>
          <w:lang w:val="en-ZA"/>
        </w:rPr>
        <w:t>CA</w:t>
      </w:r>
      <w:r>
        <w:rPr>
          <w:rFonts w:cs="Arial"/>
          <w:bCs/>
          <w:szCs w:val="24"/>
          <w:lang w:val="en-ZA"/>
        </w:rPr>
        <w:t xml:space="preserve"> </w:t>
      </w:r>
      <w:proofErr w:type="spellStart"/>
      <w:r>
        <w:rPr>
          <w:rFonts w:cs="Arial"/>
          <w:bCs/>
          <w:szCs w:val="24"/>
          <w:lang w:val="en-ZA"/>
        </w:rPr>
        <w:t>Boonzaaier</w:t>
      </w:r>
      <w:proofErr w:type="spellEnd"/>
      <w:r>
        <w:rPr>
          <w:rFonts w:cs="Arial"/>
          <w:bCs/>
          <w:szCs w:val="24"/>
          <w:lang w:val="en-ZA"/>
        </w:rPr>
        <w:t xml:space="preserve"> and </w:t>
      </w:r>
      <w:proofErr w:type="spellStart"/>
      <w:r>
        <w:rPr>
          <w:rFonts w:cs="Arial"/>
          <w:bCs/>
          <w:szCs w:val="24"/>
          <w:lang w:val="en-ZA"/>
        </w:rPr>
        <w:t>Adv</w:t>
      </w:r>
      <w:proofErr w:type="spellEnd"/>
      <w:r>
        <w:rPr>
          <w:rFonts w:cs="Arial"/>
          <w:bCs/>
          <w:szCs w:val="24"/>
          <w:lang w:val="en-ZA"/>
        </w:rPr>
        <w:t xml:space="preserve"> M</w:t>
      </w:r>
      <w:r w:rsidR="00215775">
        <w:rPr>
          <w:rFonts w:cs="Arial"/>
          <w:bCs/>
          <w:szCs w:val="24"/>
          <w:lang w:val="en-ZA"/>
        </w:rPr>
        <w:t>N</w:t>
      </w:r>
      <w:r>
        <w:rPr>
          <w:rFonts w:cs="Arial"/>
          <w:bCs/>
          <w:szCs w:val="24"/>
          <w:lang w:val="en-ZA"/>
        </w:rPr>
        <w:t xml:space="preserve"> Davids</w:t>
      </w:r>
      <w:r w:rsidRPr="00214518">
        <w:rPr>
          <w:rFonts w:cs="Arial"/>
          <w:bCs/>
          <w:szCs w:val="24"/>
          <w:lang w:val="en-ZA"/>
        </w:rPr>
        <w:t xml:space="preserve">, instructed </w:t>
      </w:r>
      <w:r>
        <w:rPr>
          <w:rFonts w:cs="Arial"/>
          <w:bCs/>
          <w:szCs w:val="24"/>
          <w:lang w:val="en-ZA"/>
        </w:rPr>
        <w:t xml:space="preserve">by Cliffe Dekker Hofmeyer Inc., c/o Joubert Galpin Searle, 173 Cape Road, Mill Park, </w:t>
      </w:r>
      <w:proofErr w:type="spellStart"/>
      <w:r>
        <w:rPr>
          <w:rFonts w:cs="Arial"/>
          <w:bCs/>
          <w:szCs w:val="24"/>
          <w:lang w:val="en-ZA"/>
        </w:rPr>
        <w:t>Gqeberha</w:t>
      </w:r>
      <w:proofErr w:type="spellEnd"/>
    </w:p>
    <w:p w14:paraId="2BBFE6A6" w14:textId="77777777" w:rsidR="00BA4B29" w:rsidRPr="00214518" w:rsidRDefault="00BA4B29" w:rsidP="00BA4B29">
      <w:pPr>
        <w:ind w:left="3600" w:hanging="3600"/>
        <w:rPr>
          <w:rFonts w:cs="Arial"/>
          <w:bCs/>
          <w:szCs w:val="24"/>
          <w:lang w:val="en-ZA"/>
        </w:rPr>
      </w:pPr>
    </w:p>
    <w:p w14:paraId="7C002A3E" w14:textId="77777777" w:rsidR="00BA4B29" w:rsidRDefault="00BA4B29" w:rsidP="00BA4B29">
      <w:pPr>
        <w:ind w:left="3600" w:hanging="3600"/>
        <w:rPr>
          <w:rFonts w:cs="Arial"/>
          <w:bCs/>
          <w:szCs w:val="24"/>
          <w:lang w:val="en-ZA"/>
        </w:rPr>
      </w:pPr>
      <w:r w:rsidRPr="00214518">
        <w:rPr>
          <w:rFonts w:cs="Arial"/>
          <w:bCs/>
          <w:szCs w:val="24"/>
          <w:lang w:val="en-ZA"/>
        </w:rPr>
        <w:t xml:space="preserve">For the </w:t>
      </w:r>
      <w:r>
        <w:rPr>
          <w:rFonts w:cs="Arial"/>
          <w:bCs/>
          <w:szCs w:val="24"/>
          <w:lang w:val="en-ZA"/>
        </w:rPr>
        <w:t>Respondent</w:t>
      </w:r>
      <w:r w:rsidRPr="00214518">
        <w:rPr>
          <w:rFonts w:cs="Arial"/>
          <w:bCs/>
          <w:szCs w:val="24"/>
          <w:lang w:val="en-ZA"/>
        </w:rPr>
        <w:t>:</w:t>
      </w:r>
      <w:r w:rsidRPr="00214518">
        <w:rPr>
          <w:rFonts w:cs="Arial"/>
          <w:bCs/>
          <w:szCs w:val="24"/>
          <w:lang w:val="en-ZA"/>
        </w:rPr>
        <w:tab/>
        <w:t xml:space="preserve">Adv </w:t>
      </w:r>
      <w:r>
        <w:rPr>
          <w:rFonts w:cs="Arial"/>
          <w:bCs/>
          <w:szCs w:val="24"/>
          <w:lang w:val="en-ZA"/>
        </w:rPr>
        <w:t>J Peter SC</w:t>
      </w:r>
      <w:r w:rsidRPr="00214518">
        <w:rPr>
          <w:rFonts w:cs="Arial"/>
          <w:bCs/>
          <w:szCs w:val="24"/>
          <w:lang w:val="en-ZA"/>
        </w:rPr>
        <w:t xml:space="preserve">, instructed by </w:t>
      </w:r>
      <w:r>
        <w:rPr>
          <w:rFonts w:cs="Arial"/>
          <w:bCs/>
          <w:szCs w:val="24"/>
          <w:lang w:val="en-ZA"/>
        </w:rPr>
        <w:t xml:space="preserve">MacRobert Incorporated, c/o Goldberg and De Villiers Inc, 13 Bird Street, Central, </w:t>
      </w:r>
      <w:proofErr w:type="spellStart"/>
      <w:r w:rsidRPr="00214518">
        <w:rPr>
          <w:rFonts w:cs="Arial"/>
          <w:bCs/>
          <w:szCs w:val="24"/>
          <w:lang w:val="en-ZA"/>
        </w:rPr>
        <w:t>Gqeberha</w:t>
      </w:r>
      <w:proofErr w:type="spellEnd"/>
    </w:p>
    <w:p w14:paraId="2D6198B7" w14:textId="77777777" w:rsidR="00BA4B29" w:rsidRPr="00214518" w:rsidRDefault="00BA4B29" w:rsidP="00BA4B29">
      <w:pPr>
        <w:ind w:left="3600" w:hanging="3600"/>
        <w:rPr>
          <w:rFonts w:cs="Arial"/>
          <w:bCs/>
          <w:szCs w:val="24"/>
          <w:lang w:val="en-ZA"/>
        </w:rPr>
      </w:pPr>
    </w:p>
    <w:p w14:paraId="142C78A1" w14:textId="77777777" w:rsidR="00BA4B29" w:rsidRPr="00214518" w:rsidRDefault="00BA4B29" w:rsidP="00BA4B29">
      <w:pPr>
        <w:ind w:left="3600" w:hanging="3600"/>
        <w:rPr>
          <w:rFonts w:cs="Arial"/>
          <w:bCs/>
          <w:szCs w:val="24"/>
          <w:lang w:val="en-ZA"/>
        </w:rPr>
      </w:pPr>
      <w:r w:rsidRPr="00214518">
        <w:rPr>
          <w:rFonts w:cs="Arial"/>
          <w:bCs/>
          <w:szCs w:val="24"/>
          <w:lang w:val="en-ZA"/>
        </w:rPr>
        <w:t>Date of hearing:</w:t>
      </w:r>
      <w:r w:rsidRPr="00214518">
        <w:rPr>
          <w:rFonts w:cs="Arial"/>
          <w:bCs/>
          <w:szCs w:val="24"/>
          <w:lang w:val="en-ZA"/>
        </w:rPr>
        <w:tab/>
      </w:r>
      <w:r>
        <w:rPr>
          <w:rFonts w:cs="Arial"/>
          <w:bCs/>
          <w:szCs w:val="24"/>
          <w:lang w:val="en-ZA"/>
        </w:rPr>
        <w:t>08 February 2024</w:t>
      </w:r>
    </w:p>
    <w:p w14:paraId="091C6B4B" w14:textId="77777777" w:rsidR="00BA4B29" w:rsidRPr="00214518" w:rsidRDefault="00BA4B29" w:rsidP="00BA4B29">
      <w:pPr>
        <w:ind w:left="3600" w:hanging="3600"/>
        <w:rPr>
          <w:rFonts w:cs="Arial"/>
          <w:bCs/>
          <w:szCs w:val="24"/>
          <w:lang w:val="en-ZA"/>
        </w:rPr>
      </w:pPr>
    </w:p>
    <w:p w14:paraId="3C0A3946" w14:textId="10DDD0CE" w:rsidR="005628CB" w:rsidRPr="00BA4B29" w:rsidRDefault="00BA4B29" w:rsidP="00996243">
      <w:pPr>
        <w:ind w:left="3600" w:hanging="3600"/>
      </w:pPr>
      <w:r w:rsidRPr="00214518">
        <w:rPr>
          <w:rFonts w:cs="Arial"/>
          <w:bCs/>
          <w:szCs w:val="24"/>
          <w:lang w:val="en-ZA"/>
        </w:rPr>
        <w:t>Date of delivery of judgment:</w:t>
      </w:r>
      <w:r w:rsidRPr="00214518">
        <w:rPr>
          <w:rFonts w:cs="Arial"/>
          <w:bCs/>
          <w:szCs w:val="24"/>
          <w:lang w:val="en-ZA"/>
        </w:rPr>
        <w:tab/>
      </w:r>
      <w:r w:rsidR="005B293C">
        <w:rPr>
          <w:rFonts w:cs="Arial"/>
          <w:bCs/>
          <w:szCs w:val="24"/>
          <w:lang w:val="en-ZA"/>
        </w:rPr>
        <w:t>27 February 2024</w:t>
      </w:r>
    </w:p>
    <w:sectPr w:rsidR="005628CB" w:rsidRPr="00BA4B29" w:rsidSect="00DF7DD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06338" w14:textId="77777777" w:rsidR="00F2796F" w:rsidRDefault="00F2796F" w:rsidP="00665272">
      <w:pPr>
        <w:spacing w:line="240" w:lineRule="auto"/>
      </w:pPr>
      <w:r>
        <w:separator/>
      </w:r>
    </w:p>
  </w:endnote>
  <w:endnote w:type="continuationSeparator" w:id="0">
    <w:p w14:paraId="6C3625F7" w14:textId="77777777" w:rsidR="00F2796F" w:rsidRDefault="00F2796F" w:rsidP="0066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3408A" w14:textId="77777777" w:rsidR="00F2796F" w:rsidRDefault="00F2796F" w:rsidP="00665272">
      <w:pPr>
        <w:spacing w:line="240" w:lineRule="auto"/>
      </w:pPr>
      <w:r>
        <w:separator/>
      </w:r>
    </w:p>
  </w:footnote>
  <w:footnote w:type="continuationSeparator" w:id="0">
    <w:p w14:paraId="37E73B8B" w14:textId="77777777" w:rsidR="00F2796F" w:rsidRDefault="00F2796F" w:rsidP="00665272">
      <w:pPr>
        <w:spacing w:line="240" w:lineRule="auto"/>
      </w:pPr>
      <w:r>
        <w:continuationSeparator/>
      </w:r>
    </w:p>
  </w:footnote>
  <w:footnote w:id="1">
    <w:p w14:paraId="0D146758" w14:textId="77777777" w:rsidR="0090427B" w:rsidRDefault="0090427B" w:rsidP="0090427B">
      <w:pPr>
        <w:pStyle w:val="FootnoteText"/>
        <w:rPr>
          <w:lang w:val="en-US"/>
        </w:rPr>
      </w:pPr>
      <w:r>
        <w:rPr>
          <w:rStyle w:val="FootnoteReference"/>
        </w:rPr>
        <w:footnoteRef/>
      </w:r>
      <w:r>
        <w:t xml:space="preserve"> </w:t>
      </w:r>
      <w:r>
        <w:rPr>
          <w:lang w:val="en-US"/>
        </w:rPr>
        <w:t>The following three concepts are relevant to the operations in question:</w:t>
      </w:r>
    </w:p>
    <w:p w14:paraId="62CD6333" w14:textId="553B7BF7" w:rsidR="0090427B" w:rsidRDefault="0090427B" w:rsidP="0090427B">
      <w:pPr>
        <w:pStyle w:val="FootnoteText"/>
        <w:ind w:left="720"/>
        <w:rPr>
          <w:lang w:val="en-US"/>
        </w:rPr>
      </w:pPr>
      <w:r>
        <w:rPr>
          <w:i/>
          <w:iCs/>
          <w:lang w:val="en-US"/>
        </w:rPr>
        <w:t xml:space="preserve">‘bunkering’ </w:t>
      </w:r>
      <w:r>
        <w:rPr>
          <w:lang w:val="en-US"/>
        </w:rPr>
        <w:t xml:space="preserve">refers to the actual sale or supply of marine fuel also referred to as bunkers. The applicants sold marine fuel to foreign -going vessels passing through </w:t>
      </w:r>
      <w:proofErr w:type="spellStart"/>
      <w:r>
        <w:rPr>
          <w:lang w:val="en-US"/>
        </w:rPr>
        <w:t>Algoa</w:t>
      </w:r>
      <w:proofErr w:type="spellEnd"/>
      <w:r>
        <w:rPr>
          <w:lang w:val="en-US"/>
        </w:rPr>
        <w:t xml:space="preserve"> Bay on their onward journeys to foreign destinations. These vessels were basically re-fueling in </w:t>
      </w:r>
      <w:proofErr w:type="spellStart"/>
      <w:r>
        <w:rPr>
          <w:lang w:val="en-US"/>
        </w:rPr>
        <w:t>Algoa</w:t>
      </w:r>
      <w:proofErr w:type="spellEnd"/>
      <w:r>
        <w:rPr>
          <w:lang w:val="en-US"/>
        </w:rPr>
        <w:t xml:space="preserve"> Bay. The fuel was stored on board chartered tankers or bunker vessels based in </w:t>
      </w:r>
      <w:proofErr w:type="spellStart"/>
      <w:r>
        <w:rPr>
          <w:lang w:val="en-US"/>
        </w:rPr>
        <w:t>Algoa</w:t>
      </w:r>
      <w:proofErr w:type="spellEnd"/>
      <w:r>
        <w:rPr>
          <w:lang w:val="en-US"/>
        </w:rPr>
        <w:t xml:space="preserve"> Bay and was supplied by the bunker vessels, in designated areas within the Port through ship-to-ship (STS) transfers, to the foreign</w:t>
      </w:r>
      <w:r w:rsidR="00E078C3">
        <w:rPr>
          <w:lang w:val="en-US"/>
        </w:rPr>
        <w:t>-going</w:t>
      </w:r>
      <w:r>
        <w:rPr>
          <w:lang w:val="en-US"/>
        </w:rPr>
        <w:t xml:space="preserve"> vessels for consumption in International Waters;</w:t>
      </w:r>
    </w:p>
    <w:p w14:paraId="7C637942" w14:textId="77777777" w:rsidR="0090427B" w:rsidRDefault="0090427B" w:rsidP="0090427B">
      <w:pPr>
        <w:pStyle w:val="FootnoteText"/>
        <w:ind w:left="720"/>
        <w:rPr>
          <w:lang w:val="en-US"/>
        </w:rPr>
      </w:pPr>
      <w:r>
        <w:rPr>
          <w:i/>
          <w:iCs/>
          <w:lang w:val="en-US"/>
        </w:rPr>
        <w:t xml:space="preserve">‘self-bunkering’ </w:t>
      </w:r>
      <w:r>
        <w:rPr>
          <w:lang w:val="en-US"/>
        </w:rPr>
        <w:t>is the term used for the situation where the bunker vessel utilizes some of its cargo of marine fuel for self-propulsion by transferring the required volume of bunkers from its cargo compartments to the bunker compartment in its stern.</w:t>
      </w:r>
    </w:p>
    <w:p w14:paraId="0F2FE219" w14:textId="11392E2A" w:rsidR="0090427B" w:rsidRPr="00ED740E" w:rsidRDefault="0090427B" w:rsidP="0090427B">
      <w:pPr>
        <w:pStyle w:val="FootnoteText"/>
        <w:ind w:left="720"/>
        <w:rPr>
          <w:lang w:val="en-US"/>
        </w:rPr>
      </w:pPr>
      <w:r>
        <w:rPr>
          <w:i/>
          <w:iCs/>
          <w:lang w:val="en-US"/>
        </w:rPr>
        <w:t>‘resupply’</w:t>
      </w:r>
      <w:r>
        <w:rPr>
          <w:lang w:val="en-US"/>
        </w:rPr>
        <w:t xml:space="preserve"> occurs when the cargo of marine fuel onboard the chartered bunker vessels is resupplied </w:t>
      </w:r>
      <w:proofErr w:type="gramStart"/>
      <w:r>
        <w:rPr>
          <w:lang w:val="en-US"/>
        </w:rPr>
        <w:t>or  replenished</w:t>
      </w:r>
      <w:proofErr w:type="gramEnd"/>
      <w:r>
        <w:rPr>
          <w:lang w:val="en-US"/>
        </w:rPr>
        <w:t xml:space="preserve"> in South African Waters by foreign-going supply vessels through a STS transfer either in a Port berthed alongside a pier or in an anchorage zone.  </w:t>
      </w:r>
    </w:p>
    <w:p w14:paraId="44367997" w14:textId="464F87B6" w:rsidR="0090427B" w:rsidRPr="0090427B" w:rsidRDefault="0090427B">
      <w:pPr>
        <w:pStyle w:val="FootnoteText"/>
        <w:rPr>
          <w:lang w:val="en-US"/>
        </w:rPr>
      </w:pPr>
    </w:p>
  </w:footnote>
  <w:footnote w:id="2">
    <w:p w14:paraId="2D30EBDE" w14:textId="77777777" w:rsidR="00BA4B29" w:rsidRDefault="00BA4B29" w:rsidP="00BA4B29">
      <w:pPr>
        <w:pStyle w:val="FootnoteText"/>
        <w:rPr>
          <w:lang w:val="en-US"/>
        </w:rPr>
      </w:pPr>
      <w:r>
        <w:rPr>
          <w:rStyle w:val="FootnoteReference"/>
        </w:rPr>
        <w:footnoteRef/>
      </w:r>
      <w:r>
        <w:t xml:space="preserve"> </w:t>
      </w:r>
      <w:r>
        <w:rPr>
          <w:lang w:val="en-US"/>
        </w:rPr>
        <w:t>The section provides as follows in relevant part:</w:t>
      </w:r>
    </w:p>
    <w:p w14:paraId="48D57D90" w14:textId="77777777" w:rsidR="00BA4B29" w:rsidRDefault="00BA4B29" w:rsidP="00BA4B29">
      <w:pPr>
        <w:pStyle w:val="FootnoteText"/>
        <w:ind w:left="720"/>
        <w:rPr>
          <w:i/>
          <w:iCs/>
          <w:lang w:val="en-US"/>
        </w:rPr>
      </w:pPr>
    </w:p>
    <w:p w14:paraId="413ED5F4" w14:textId="77777777" w:rsidR="00BA4B29" w:rsidRDefault="00BA4B29" w:rsidP="00BA4B29">
      <w:pPr>
        <w:pStyle w:val="FootnoteText"/>
        <w:ind w:left="720"/>
        <w:rPr>
          <w:i/>
          <w:iCs/>
          <w:lang w:val="en-US"/>
        </w:rPr>
      </w:pPr>
      <w:r>
        <w:rPr>
          <w:i/>
          <w:iCs/>
          <w:lang w:val="en-US"/>
        </w:rPr>
        <w:t>“</w:t>
      </w:r>
      <w:r>
        <w:rPr>
          <w:b/>
          <w:bCs/>
          <w:i/>
          <w:iCs/>
          <w:lang w:val="en-US"/>
        </w:rPr>
        <w:t xml:space="preserve">88.  Seizure </w:t>
      </w:r>
      <w:r>
        <w:rPr>
          <w:i/>
          <w:iCs/>
          <w:lang w:val="en-US"/>
        </w:rPr>
        <w:t>–</w:t>
      </w:r>
    </w:p>
    <w:p w14:paraId="22A2C6E9" w14:textId="77777777" w:rsidR="00BA4B29" w:rsidRDefault="00BA4B29" w:rsidP="00BA4B29">
      <w:pPr>
        <w:pStyle w:val="FootnoteText"/>
        <w:ind w:left="720"/>
        <w:rPr>
          <w:i/>
          <w:iCs/>
          <w:lang w:val="en-US"/>
        </w:rPr>
      </w:pPr>
    </w:p>
    <w:p w14:paraId="59B5A73E" w14:textId="3BAD1F50" w:rsidR="00BA4B29" w:rsidRDefault="00326471" w:rsidP="00326471">
      <w:pPr>
        <w:pStyle w:val="FootnoteText"/>
        <w:ind w:left="720"/>
        <w:rPr>
          <w:i/>
          <w:iCs/>
          <w:lang w:val="en-US"/>
        </w:rPr>
      </w:pPr>
      <w:r>
        <w:rPr>
          <w:i/>
          <w:iCs/>
          <w:lang w:val="en-US"/>
        </w:rPr>
        <w:t>(1)</w:t>
      </w:r>
      <w:r>
        <w:rPr>
          <w:i/>
          <w:iCs/>
          <w:lang w:val="en-US"/>
        </w:rPr>
        <w:tab/>
      </w:r>
      <w:r w:rsidR="00BA4B29">
        <w:rPr>
          <w:i/>
          <w:iCs/>
          <w:lang w:val="en-US"/>
        </w:rPr>
        <w:t>(a) An officer, magistrate or member of the police force may detain any ship … or goods at any place for the purpose of establishing whether that ship, … or goods are liable to forfeiture under this Act.</w:t>
      </w:r>
    </w:p>
    <w:p w14:paraId="28DDE41F" w14:textId="77777777" w:rsidR="00BA4B29" w:rsidRDefault="00BA4B29" w:rsidP="00BA4B29">
      <w:pPr>
        <w:pStyle w:val="FootnoteText"/>
        <w:ind w:left="720" w:firstLine="0"/>
        <w:rPr>
          <w:i/>
          <w:iCs/>
          <w:lang w:val="en-US"/>
        </w:rPr>
      </w:pPr>
      <w:r>
        <w:rPr>
          <w:i/>
          <w:iCs/>
          <w:lang w:val="en-US"/>
        </w:rPr>
        <w:t>…</w:t>
      </w:r>
    </w:p>
    <w:p w14:paraId="638530A2" w14:textId="77777777" w:rsidR="00BA4B29" w:rsidRPr="00260F29" w:rsidRDefault="00BA4B29" w:rsidP="00BA4B29">
      <w:pPr>
        <w:pStyle w:val="FootnoteText"/>
        <w:ind w:left="720" w:firstLine="0"/>
        <w:rPr>
          <w:i/>
          <w:iCs/>
          <w:lang w:val="en-US"/>
        </w:rPr>
      </w:pPr>
      <w:r>
        <w:rPr>
          <w:i/>
          <w:iCs/>
          <w:lang w:val="en-US"/>
        </w:rPr>
        <w:t>(c) If such ship … or goods are liable to forfeiture under this Act the Commissioner may seize that ship … or goods.”</w:t>
      </w:r>
    </w:p>
  </w:footnote>
  <w:footnote w:id="3">
    <w:p w14:paraId="68B0AC8E" w14:textId="77777777" w:rsidR="0090427B" w:rsidRDefault="0090427B" w:rsidP="0090427B">
      <w:pPr>
        <w:pStyle w:val="FootnoteText"/>
        <w:rPr>
          <w:lang w:val="en-US"/>
        </w:rPr>
      </w:pPr>
      <w:r>
        <w:rPr>
          <w:rStyle w:val="FootnoteReference"/>
        </w:rPr>
        <w:footnoteRef/>
      </w:r>
      <w:r>
        <w:t xml:space="preserve"> </w:t>
      </w:r>
      <w:r>
        <w:rPr>
          <w:lang w:val="en-US"/>
        </w:rPr>
        <w:t>The section provides as follows:</w:t>
      </w:r>
    </w:p>
    <w:p w14:paraId="5CD8B03B" w14:textId="77777777" w:rsidR="0090427B" w:rsidRDefault="0090427B" w:rsidP="0090427B">
      <w:pPr>
        <w:pStyle w:val="FootnoteText"/>
        <w:ind w:left="720"/>
        <w:rPr>
          <w:i/>
          <w:iCs/>
          <w:lang w:val="en-US"/>
        </w:rPr>
      </w:pPr>
      <w:r>
        <w:rPr>
          <w:i/>
          <w:iCs/>
          <w:lang w:val="en-US"/>
        </w:rPr>
        <w:t>“</w:t>
      </w:r>
      <w:r>
        <w:rPr>
          <w:b/>
          <w:bCs/>
          <w:i/>
          <w:iCs/>
          <w:lang w:val="en-US"/>
        </w:rPr>
        <w:t xml:space="preserve">93.  Remission or mitigation of penalties and forfeiture. </w:t>
      </w:r>
      <w:r>
        <w:rPr>
          <w:i/>
          <w:iCs/>
          <w:lang w:val="en-US"/>
        </w:rPr>
        <w:t>–</w:t>
      </w:r>
    </w:p>
    <w:p w14:paraId="7FEDAFCE" w14:textId="77777777" w:rsidR="0090427B" w:rsidRDefault="0090427B" w:rsidP="0090427B">
      <w:pPr>
        <w:pStyle w:val="FootnoteText"/>
        <w:ind w:left="720"/>
        <w:rPr>
          <w:i/>
          <w:iCs/>
          <w:lang w:val="en-US"/>
        </w:rPr>
      </w:pPr>
      <w:r>
        <w:rPr>
          <w:i/>
          <w:iCs/>
          <w:lang w:val="en-US"/>
        </w:rPr>
        <w:t>(1) The Commissioner may, on good cause shown by the owner thereof, direct that any ship, vehicle container or other transport equipment, plant, material or other goods detained or seized or forfeited under this Act be delivered to such owner, subject to –</w:t>
      </w:r>
    </w:p>
    <w:p w14:paraId="5C7E7303" w14:textId="77777777" w:rsidR="0090427B" w:rsidRDefault="0090427B" w:rsidP="0090427B">
      <w:pPr>
        <w:pStyle w:val="FootnoteText"/>
        <w:ind w:left="1080"/>
        <w:rPr>
          <w:i/>
          <w:iCs/>
          <w:lang w:val="en-US"/>
        </w:rPr>
      </w:pPr>
      <w:r>
        <w:rPr>
          <w:i/>
          <w:iCs/>
          <w:lang w:val="en-US"/>
        </w:rPr>
        <w:t>(a) payment of any duty that may be payable in respect thereof;</w:t>
      </w:r>
    </w:p>
    <w:p w14:paraId="7A0F199F" w14:textId="77777777" w:rsidR="0090427B" w:rsidRDefault="0090427B" w:rsidP="0090427B">
      <w:pPr>
        <w:pStyle w:val="FootnoteText"/>
        <w:ind w:left="1080"/>
        <w:rPr>
          <w:i/>
          <w:iCs/>
          <w:lang w:val="en-US"/>
        </w:rPr>
      </w:pPr>
      <w:r>
        <w:rPr>
          <w:i/>
          <w:iCs/>
          <w:lang w:val="en-US"/>
        </w:rPr>
        <w:t>(b) payment of any charges that may have been incurred in connection with the detention or seizure or forfeiture thereof; and</w:t>
      </w:r>
    </w:p>
    <w:p w14:paraId="3056D94E" w14:textId="77777777" w:rsidR="0090427B" w:rsidRPr="00822E81" w:rsidRDefault="0090427B" w:rsidP="0090427B">
      <w:pPr>
        <w:pStyle w:val="FootnoteText"/>
        <w:ind w:left="1080"/>
        <w:rPr>
          <w:i/>
          <w:iCs/>
          <w:lang w:val="en-US"/>
        </w:rPr>
      </w:pPr>
      <w:r>
        <w:rPr>
          <w:i/>
          <w:iCs/>
          <w:lang w:val="en-US"/>
        </w:rPr>
        <w:t>(c) such conditions as the Commissioner may determine, including conditions providing for the payment of an amount not exceeding the value for duty purposes of such ship vehicle container or other transport equipment, plant, material or goods plus any unpaid duty thereon.”</w:t>
      </w:r>
    </w:p>
    <w:p w14:paraId="1A3169AD" w14:textId="1A4823C1" w:rsidR="0090427B" w:rsidRPr="0090427B" w:rsidRDefault="0090427B">
      <w:pPr>
        <w:pStyle w:val="FootnoteText"/>
        <w:rPr>
          <w:lang w:val="en-US"/>
        </w:rPr>
      </w:pPr>
    </w:p>
  </w:footnote>
  <w:footnote w:id="4">
    <w:p w14:paraId="3D579646" w14:textId="77777777" w:rsidR="00BA4B29" w:rsidRDefault="00BA4B29" w:rsidP="00BA4B29">
      <w:pPr>
        <w:pStyle w:val="FootnoteText"/>
        <w:rPr>
          <w:lang w:val="en-US"/>
        </w:rPr>
      </w:pPr>
      <w:r>
        <w:rPr>
          <w:rStyle w:val="FootnoteReference"/>
        </w:rPr>
        <w:footnoteRef/>
      </w:r>
      <w:r>
        <w:t xml:space="preserve"> </w:t>
      </w:r>
      <w:r>
        <w:rPr>
          <w:lang w:val="en-US"/>
        </w:rPr>
        <w:t xml:space="preserve">In </w:t>
      </w:r>
      <w:r>
        <w:rPr>
          <w:i/>
          <w:iCs/>
          <w:lang w:val="en-US"/>
        </w:rPr>
        <w:t xml:space="preserve">Geldenhuys &amp; Neethling v Beuthin </w:t>
      </w:r>
      <w:r>
        <w:rPr>
          <w:lang w:val="en-US"/>
        </w:rPr>
        <w:t>1918 AD 426 at 441 Innes CJ said:</w:t>
      </w:r>
    </w:p>
    <w:p w14:paraId="642CDBEF" w14:textId="77777777" w:rsidR="00BA4B29" w:rsidRPr="00FF0948" w:rsidRDefault="00BA4B29" w:rsidP="00BA4B29">
      <w:pPr>
        <w:pStyle w:val="FootnoteText"/>
        <w:ind w:left="720"/>
        <w:rPr>
          <w:lang w:val="en-US"/>
        </w:rPr>
      </w:pPr>
      <w:r>
        <w:rPr>
          <w:lang w:val="en-US"/>
        </w:rPr>
        <w:t>‘</w:t>
      </w:r>
      <w:r>
        <w:rPr>
          <w:i/>
          <w:iCs/>
          <w:lang w:val="en-US"/>
        </w:rPr>
        <w:t>After all, Courts of Law exist for the settlement of concrete controversies and actual infringements of rights, not to pronounce upon abstract questions, or to advise upon differing contentions, however important.’</w:t>
      </w:r>
    </w:p>
  </w:footnote>
  <w:footnote w:id="5">
    <w:p w14:paraId="27FE5E3B" w14:textId="77777777" w:rsidR="00BA4B29" w:rsidRPr="00367643" w:rsidRDefault="00BA4B29" w:rsidP="00BA4B29">
      <w:pPr>
        <w:pStyle w:val="FootnoteText"/>
        <w:rPr>
          <w:lang w:val="en-US"/>
        </w:rPr>
      </w:pPr>
      <w:r>
        <w:rPr>
          <w:rStyle w:val="FootnoteReference"/>
        </w:rPr>
        <w:footnoteRef/>
      </w:r>
      <w:r>
        <w:t xml:space="preserve"> </w:t>
      </w:r>
      <w:r>
        <w:rPr>
          <w:i/>
          <w:iCs/>
          <w:lang w:val="en-US"/>
        </w:rPr>
        <w:t xml:space="preserve">National Coalition for Gay and Lesbian Equality &amp; Others v Minister of Home Affairs &amp; Others </w:t>
      </w:r>
      <w:r>
        <w:rPr>
          <w:lang w:val="en-US"/>
        </w:rPr>
        <w:t>2000(2) SA 1 (CC) para 21.</w:t>
      </w:r>
    </w:p>
  </w:footnote>
  <w:footnote w:id="6">
    <w:p w14:paraId="6471C151" w14:textId="266EC360" w:rsidR="00BA4B29" w:rsidRPr="00D044EB" w:rsidRDefault="00BA4B29" w:rsidP="00BA4B29">
      <w:pPr>
        <w:pStyle w:val="FootnoteText"/>
        <w:rPr>
          <w:lang w:val="en-US"/>
        </w:rPr>
      </w:pPr>
      <w:r>
        <w:rPr>
          <w:rStyle w:val="FootnoteReference"/>
        </w:rPr>
        <w:footnoteRef/>
      </w:r>
      <w:r>
        <w:t xml:space="preserve"> </w:t>
      </w:r>
      <w:r w:rsidR="00355E4B">
        <w:rPr>
          <w:lang w:val="en-US"/>
        </w:rPr>
        <w:t>(104/2022) [2023] ZASCA 35 (31 March 2023) para18.</w:t>
      </w:r>
    </w:p>
  </w:footnote>
  <w:footnote w:id="7">
    <w:p w14:paraId="7B122FFE" w14:textId="0273184C" w:rsidR="00BA4B29" w:rsidRPr="00C94762" w:rsidRDefault="00BA4B29" w:rsidP="00BA4B29">
      <w:pPr>
        <w:pStyle w:val="FootnoteText"/>
        <w:rPr>
          <w:lang w:val="en-US"/>
        </w:rPr>
      </w:pPr>
      <w:r>
        <w:rPr>
          <w:rStyle w:val="FootnoteReference"/>
        </w:rPr>
        <w:footnoteRef/>
      </w:r>
      <w:r>
        <w:t xml:space="preserve"> </w:t>
      </w:r>
      <w:r>
        <w:rPr>
          <w:lang w:val="en-US"/>
        </w:rPr>
        <w:t>2017(3) SA 152 (SCA) para 25.</w:t>
      </w:r>
    </w:p>
  </w:footnote>
  <w:footnote w:id="8">
    <w:p w14:paraId="03C80EE0" w14:textId="77777777" w:rsidR="00BA4B29" w:rsidRPr="00373B86" w:rsidRDefault="00BA4B29" w:rsidP="00BA4B29">
      <w:pPr>
        <w:pStyle w:val="FootnoteText"/>
        <w:rPr>
          <w:lang w:val="en-US"/>
        </w:rPr>
      </w:pPr>
      <w:r>
        <w:rPr>
          <w:rStyle w:val="FootnoteReference"/>
        </w:rPr>
        <w:footnoteRef/>
      </w:r>
      <w:r>
        <w:t xml:space="preserve"> </w:t>
      </w:r>
      <w:r>
        <w:rPr>
          <w:lang w:val="en-US"/>
        </w:rPr>
        <w:t>[2022] ZASCA 84 (17 June 2022)</w:t>
      </w:r>
    </w:p>
  </w:footnote>
  <w:footnote w:id="9">
    <w:p w14:paraId="2CEF548F" w14:textId="3F88E5AE" w:rsidR="00BA4B29" w:rsidRPr="0070007B" w:rsidRDefault="00BA4B29" w:rsidP="00BA4B29">
      <w:pPr>
        <w:pStyle w:val="FootnoteText"/>
        <w:rPr>
          <w:lang w:val="en-US"/>
        </w:rPr>
      </w:pPr>
      <w:r>
        <w:rPr>
          <w:rStyle w:val="FootnoteReference"/>
        </w:rPr>
        <w:footnoteRef/>
      </w:r>
      <w:r>
        <w:t xml:space="preserve"> </w:t>
      </w:r>
      <w:r>
        <w:rPr>
          <w:lang w:val="en-US"/>
        </w:rPr>
        <w:t>[2020] ZAFSHC 123 (dated27 July 2020) para 11.</w:t>
      </w:r>
    </w:p>
  </w:footnote>
  <w:footnote w:id="10">
    <w:p w14:paraId="748BB9BA" w14:textId="1EAC0B4A" w:rsidR="00BA4B29" w:rsidRPr="00456751" w:rsidRDefault="00BA4B29" w:rsidP="00BA4B29">
      <w:pPr>
        <w:pStyle w:val="FootnoteText"/>
        <w:rPr>
          <w:lang w:val="en-US"/>
        </w:rPr>
      </w:pPr>
      <w:r>
        <w:rPr>
          <w:rStyle w:val="FootnoteReference"/>
        </w:rPr>
        <w:footnoteRef/>
      </w:r>
      <w:r>
        <w:t xml:space="preserve"> </w:t>
      </w:r>
      <w:r w:rsidR="001E4282">
        <w:rPr>
          <w:lang w:val="en-US"/>
        </w:rPr>
        <w:t>(757/10) [2011] ZASCA 164 (29 September 2011).</w:t>
      </w:r>
    </w:p>
  </w:footnote>
  <w:footnote w:id="11">
    <w:p w14:paraId="2F611539" w14:textId="282D78D6" w:rsidR="00BA4B29" w:rsidRPr="00135647" w:rsidRDefault="00BA4B29" w:rsidP="00BA4B29">
      <w:pPr>
        <w:pStyle w:val="FootnoteText"/>
        <w:rPr>
          <w:lang w:val="en-US"/>
        </w:rPr>
      </w:pPr>
      <w:r>
        <w:rPr>
          <w:rStyle w:val="FootnoteReference"/>
        </w:rPr>
        <w:footnoteRef/>
      </w:r>
      <w:r>
        <w:t xml:space="preserve"> </w:t>
      </w:r>
      <w:r>
        <w:rPr>
          <w:lang w:val="en-US"/>
        </w:rPr>
        <w:t>At para 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47964"/>
      <w:docPartObj>
        <w:docPartGallery w:val="Page Numbers (Top of Page)"/>
        <w:docPartUnique/>
      </w:docPartObj>
    </w:sdtPr>
    <w:sdtEndPr>
      <w:rPr>
        <w:noProof/>
      </w:rPr>
    </w:sdtEndPr>
    <w:sdtContent>
      <w:p w14:paraId="712662AE" w14:textId="37E6CC2E" w:rsidR="007B644E" w:rsidRDefault="007B644E">
        <w:pPr>
          <w:pStyle w:val="Header"/>
          <w:jc w:val="right"/>
        </w:pPr>
        <w:r>
          <w:fldChar w:fldCharType="begin"/>
        </w:r>
        <w:r>
          <w:instrText xml:space="preserve"> PAGE   \* MERGEFORMAT </w:instrText>
        </w:r>
        <w:r>
          <w:fldChar w:fldCharType="separate"/>
        </w:r>
        <w:r w:rsidR="00326471">
          <w:rPr>
            <w:noProof/>
          </w:rPr>
          <w:t>17</w:t>
        </w:r>
        <w:r>
          <w:rPr>
            <w:noProof/>
          </w:rPr>
          <w:fldChar w:fldCharType="end"/>
        </w:r>
      </w:p>
    </w:sdtContent>
  </w:sdt>
  <w:p w14:paraId="68A4A3F8" w14:textId="77777777" w:rsidR="007B644E" w:rsidRDefault="007B64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466"/>
    <w:multiLevelType w:val="hybridMultilevel"/>
    <w:tmpl w:val="FD96F3DA"/>
    <w:lvl w:ilvl="0" w:tplc="A386B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03A9A"/>
    <w:multiLevelType w:val="multilevel"/>
    <w:tmpl w:val="EEA867F0"/>
    <w:lvl w:ilvl="0">
      <w:start w:val="14"/>
      <w:numFmt w:val="decimal"/>
      <w:lvlText w:val="%1"/>
      <w:lvlJc w:val="left"/>
      <w:pPr>
        <w:ind w:left="795" w:hanging="795"/>
      </w:pPr>
      <w:rPr>
        <w:rFonts w:hint="default"/>
      </w:rPr>
    </w:lvl>
    <w:lvl w:ilvl="1">
      <w:start w:val="42"/>
      <w:numFmt w:val="decimal"/>
      <w:lvlText w:val="%1.%2"/>
      <w:lvlJc w:val="left"/>
      <w:pPr>
        <w:ind w:left="1504" w:hanging="795"/>
      </w:pPr>
      <w:rPr>
        <w:rFonts w:hint="default"/>
      </w:rPr>
    </w:lvl>
    <w:lvl w:ilvl="2">
      <w:start w:val="3"/>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A65F23"/>
    <w:multiLevelType w:val="multilevel"/>
    <w:tmpl w:val="0A7A2838"/>
    <w:lvl w:ilvl="0">
      <w:start w:val="14"/>
      <w:numFmt w:val="decimal"/>
      <w:lvlText w:val="%1"/>
      <w:lvlJc w:val="left"/>
      <w:pPr>
        <w:ind w:left="795" w:hanging="795"/>
      </w:pPr>
      <w:rPr>
        <w:rFonts w:hint="default"/>
      </w:rPr>
    </w:lvl>
    <w:lvl w:ilvl="1">
      <w:start w:val="21"/>
      <w:numFmt w:val="decimal"/>
      <w:lvlText w:val="%1.%2"/>
      <w:lvlJc w:val="left"/>
      <w:pPr>
        <w:ind w:left="1504" w:hanging="795"/>
      </w:pPr>
      <w:rPr>
        <w:rFonts w:hint="default"/>
      </w:rPr>
    </w:lvl>
    <w:lvl w:ilvl="2">
      <w:start w:val="2"/>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F245AB"/>
    <w:multiLevelType w:val="multilevel"/>
    <w:tmpl w:val="76F4F832"/>
    <w:lvl w:ilvl="0">
      <w:start w:val="1"/>
      <w:numFmt w:val="decimal"/>
      <w:lvlText w:val="%1."/>
      <w:lvlJc w:val="left"/>
      <w:pPr>
        <w:ind w:left="1080" w:hanging="360"/>
      </w:pPr>
      <w:rPr>
        <w:rFonts w:hint="default"/>
      </w:rPr>
    </w:lvl>
    <w:lvl w:ilvl="1">
      <w:start w:val="2"/>
      <w:numFmt w:val="decimal"/>
      <w:isLgl/>
      <w:lvlText w:val="%1.%2"/>
      <w:lvlJc w:val="left"/>
      <w:pPr>
        <w:ind w:left="1830" w:hanging="39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4" w15:restartNumberingAfterBreak="0">
    <w:nsid w:val="12F3337C"/>
    <w:multiLevelType w:val="multilevel"/>
    <w:tmpl w:val="92624E88"/>
    <w:lvl w:ilvl="0">
      <w:start w:val="9"/>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FF7175"/>
    <w:multiLevelType w:val="multilevel"/>
    <w:tmpl w:val="F0FEFE46"/>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72E6BC0"/>
    <w:multiLevelType w:val="hybridMultilevel"/>
    <w:tmpl w:val="7E701F20"/>
    <w:lvl w:ilvl="0" w:tplc="C58ACEA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FE41FA5"/>
    <w:multiLevelType w:val="multilevel"/>
    <w:tmpl w:val="62A85CD0"/>
    <w:lvl w:ilvl="0">
      <w:start w:val="14"/>
      <w:numFmt w:val="decimal"/>
      <w:lvlText w:val="%1"/>
      <w:lvlJc w:val="left"/>
      <w:pPr>
        <w:ind w:left="795" w:hanging="795"/>
      </w:pPr>
      <w:rPr>
        <w:rFonts w:hint="default"/>
      </w:rPr>
    </w:lvl>
    <w:lvl w:ilvl="1">
      <w:start w:val="35"/>
      <w:numFmt w:val="decimal"/>
      <w:lvlText w:val="%1.%2"/>
      <w:lvlJc w:val="left"/>
      <w:pPr>
        <w:ind w:left="1755" w:hanging="795"/>
      </w:pPr>
      <w:rPr>
        <w:rFonts w:hint="default"/>
      </w:rPr>
    </w:lvl>
    <w:lvl w:ilvl="2">
      <w:start w:val="1"/>
      <w:numFmt w:val="decimal"/>
      <w:lvlText w:val="%1.%2.%3"/>
      <w:lvlJc w:val="left"/>
      <w:pPr>
        <w:ind w:left="2715" w:hanging="795"/>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8" w15:restartNumberingAfterBreak="0">
    <w:nsid w:val="22B35C60"/>
    <w:multiLevelType w:val="multilevel"/>
    <w:tmpl w:val="47B4593C"/>
    <w:lvl w:ilvl="0">
      <w:start w:val="14"/>
      <w:numFmt w:val="decimal"/>
      <w:lvlText w:val="%1"/>
      <w:lvlJc w:val="left"/>
      <w:pPr>
        <w:ind w:left="670" w:hanging="670"/>
      </w:pPr>
      <w:rPr>
        <w:rFonts w:hint="default"/>
      </w:rPr>
    </w:lvl>
    <w:lvl w:ilvl="1">
      <w:start w:val="5"/>
      <w:numFmt w:val="decimal"/>
      <w:lvlText w:val="%1.%2"/>
      <w:lvlJc w:val="left"/>
      <w:pPr>
        <w:ind w:left="1037" w:hanging="670"/>
      </w:pPr>
      <w:rPr>
        <w:rFonts w:hint="default"/>
      </w:rPr>
    </w:lvl>
    <w:lvl w:ilvl="2">
      <w:start w:val="3"/>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4736" w:hanging="1800"/>
      </w:pPr>
      <w:rPr>
        <w:rFonts w:hint="default"/>
      </w:rPr>
    </w:lvl>
  </w:abstractNum>
  <w:abstractNum w:abstractNumId="9" w15:restartNumberingAfterBreak="0">
    <w:nsid w:val="23005EB9"/>
    <w:multiLevelType w:val="hybridMultilevel"/>
    <w:tmpl w:val="6DE8E450"/>
    <w:lvl w:ilvl="0" w:tplc="EFDA41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ED6C01"/>
    <w:multiLevelType w:val="hybridMultilevel"/>
    <w:tmpl w:val="DF487D00"/>
    <w:lvl w:ilvl="0" w:tplc="A0962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A54987"/>
    <w:multiLevelType w:val="multilevel"/>
    <w:tmpl w:val="0910036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35179A8"/>
    <w:multiLevelType w:val="multilevel"/>
    <w:tmpl w:val="015C6448"/>
    <w:lvl w:ilvl="0">
      <w:start w:val="10"/>
      <w:numFmt w:val="decimal"/>
      <w:lvlText w:val="%1"/>
      <w:lvlJc w:val="left"/>
      <w:pPr>
        <w:ind w:left="470" w:hanging="470"/>
      </w:pPr>
      <w:rPr>
        <w:rFonts w:eastAsiaTheme="minorHAnsi" w:hint="default"/>
      </w:rPr>
    </w:lvl>
    <w:lvl w:ilvl="1">
      <w:start w:val="7"/>
      <w:numFmt w:val="decimal"/>
      <w:lvlText w:val="%1.%2"/>
      <w:lvlJc w:val="left"/>
      <w:pPr>
        <w:ind w:left="895" w:hanging="470"/>
      </w:pPr>
      <w:rPr>
        <w:rFonts w:eastAsiaTheme="minorHAnsi" w:hint="default"/>
      </w:rPr>
    </w:lvl>
    <w:lvl w:ilvl="2">
      <w:start w:val="1"/>
      <w:numFmt w:val="decimal"/>
      <w:lvlText w:val="%1.%2.%3"/>
      <w:lvlJc w:val="left"/>
      <w:pPr>
        <w:ind w:left="1570" w:hanging="720"/>
      </w:pPr>
      <w:rPr>
        <w:rFonts w:eastAsiaTheme="minorHAnsi" w:hint="default"/>
      </w:rPr>
    </w:lvl>
    <w:lvl w:ilvl="3">
      <w:start w:val="1"/>
      <w:numFmt w:val="decimal"/>
      <w:lvlText w:val="%1.%2.%3.%4"/>
      <w:lvlJc w:val="left"/>
      <w:pPr>
        <w:ind w:left="2355" w:hanging="108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565" w:hanging="144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775" w:hanging="180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13" w15:restartNumberingAfterBreak="0">
    <w:nsid w:val="39DB579E"/>
    <w:multiLevelType w:val="hybridMultilevel"/>
    <w:tmpl w:val="20F229D4"/>
    <w:lvl w:ilvl="0" w:tplc="408CB8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9F2B33"/>
    <w:multiLevelType w:val="multilevel"/>
    <w:tmpl w:val="E54E88EA"/>
    <w:lvl w:ilvl="0">
      <w:start w:val="14"/>
      <w:numFmt w:val="decimal"/>
      <w:lvlText w:val="%1"/>
      <w:lvlJc w:val="left"/>
      <w:pPr>
        <w:ind w:left="795" w:hanging="795"/>
      </w:pPr>
      <w:rPr>
        <w:rFonts w:hint="default"/>
      </w:rPr>
    </w:lvl>
    <w:lvl w:ilvl="1">
      <w:start w:val="32"/>
      <w:numFmt w:val="decimal"/>
      <w:lvlText w:val="%1.%2"/>
      <w:lvlJc w:val="left"/>
      <w:pPr>
        <w:ind w:left="1920" w:hanging="795"/>
      </w:pPr>
      <w:rPr>
        <w:rFonts w:hint="default"/>
      </w:rPr>
    </w:lvl>
    <w:lvl w:ilvl="2">
      <w:start w:val="2"/>
      <w:numFmt w:val="decimal"/>
      <w:lvlText w:val="%1.%2.%3"/>
      <w:lvlJc w:val="left"/>
      <w:pPr>
        <w:ind w:left="3045" w:hanging="795"/>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15" w15:restartNumberingAfterBreak="0">
    <w:nsid w:val="41C43EF3"/>
    <w:multiLevelType w:val="multilevel"/>
    <w:tmpl w:val="7BCC9F58"/>
    <w:lvl w:ilvl="0">
      <w:start w:val="10"/>
      <w:numFmt w:val="decimal"/>
      <w:lvlText w:val="%1"/>
      <w:lvlJc w:val="left"/>
      <w:pPr>
        <w:ind w:left="470" w:hanging="470"/>
      </w:pPr>
      <w:rPr>
        <w:rFonts w:hint="default"/>
      </w:rPr>
    </w:lvl>
    <w:lvl w:ilvl="1">
      <w:start w:val="1"/>
      <w:numFmt w:val="decimal"/>
      <w:lvlText w:val="%1.%2"/>
      <w:lvlJc w:val="left"/>
      <w:pPr>
        <w:ind w:left="830" w:hanging="4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5395244"/>
    <w:multiLevelType w:val="multilevel"/>
    <w:tmpl w:val="A570659E"/>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C36CB0"/>
    <w:multiLevelType w:val="hybridMultilevel"/>
    <w:tmpl w:val="7EB0C8E8"/>
    <w:lvl w:ilvl="0" w:tplc="76725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2267A8"/>
    <w:multiLevelType w:val="multilevel"/>
    <w:tmpl w:val="B484A404"/>
    <w:lvl w:ilvl="0">
      <w:start w:val="1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0A47242"/>
    <w:multiLevelType w:val="hybridMultilevel"/>
    <w:tmpl w:val="2CBA447A"/>
    <w:lvl w:ilvl="0" w:tplc="EEA84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40818"/>
    <w:multiLevelType w:val="multilevel"/>
    <w:tmpl w:val="85C43134"/>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61A7183"/>
    <w:multiLevelType w:val="hybridMultilevel"/>
    <w:tmpl w:val="05F03CB0"/>
    <w:lvl w:ilvl="0" w:tplc="1AC08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BB0E2E"/>
    <w:multiLevelType w:val="multilevel"/>
    <w:tmpl w:val="74FA2FAA"/>
    <w:lvl w:ilvl="0">
      <w:start w:val="10"/>
      <w:numFmt w:val="decimal"/>
      <w:lvlText w:val="%1"/>
      <w:lvlJc w:val="left"/>
      <w:pPr>
        <w:ind w:left="470" w:hanging="470"/>
      </w:pPr>
      <w:rPr>
        <w:rFonts w:hint="default"/>
      </w:rPr>
    </w:lvl>
    <w:lvl w:ilvl="1">
      <w:start w:val="5"/>
      <w:numFmt w:val="decimal"/>
      <w:lvlText w:val="%1.%2"/>
      <w:lvlJc w:val="left"/>
      <w:pPr>
        <w:ind w:left="830" w:hanging="4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0D7F5B"/>
    <w:multiLevelType w:val="multilevel"/>
    <w:tmpl w:val="3B686C76"/>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FF32668"/>
    <w:multiLevelType w:val="multilevel"/>
    <w:tmpl w:val="399220A0"/>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02C49B8"/>
    <w:multiLevelType w:val="hybridMultilevel"/>
    <w:tmpl w:val="AE7C46E4"/>
    <w:lvl w:ilvl="0" w:tplc="5934A3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C0B1B"/>
    <w:multiLevelType w:val="multilevel"/>
    <w:tmpl w:val="711CD1BA"/>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5A54218"/>
    <w:multiLevelType w:val="hybridMultilevel"/>
    <w:tmpl w:val="F880099E"/>
    <w:lvl w:ilvl="0" w:tplc="3DD48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46960"/>
    <w:multiLevelType w:val="hybridMultilevel"/>
    <w:tmpl w:val="0952D6EA"/>
    <w:lvl w:ilvl="0" w:tplc="725CA0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84E106D"/>
    <w:multiLevelType w:val="multilevel"/>
    <w:tmpl w:val="967695AC"/>
    <w:lvl w:ilvl="0">
      <w:start w:val="14"/>
      <w:numFmt w:val="decimal"/>
      <w:lvlText w:val="%1"/>
      <w:lvlJc w:val="left"/>
      <w:pPr>
        <w:ind w:left="795" w:hanging="795"/>
      </w:pPr>
      <w:rPr>
        <w:rFonts w:hint="default"/>
      </w:rPr>
    </w:lvl>
    <w:lvl w:ilvl="1">
      <w:start w:val="22"/>
      <w:numFmt w:val="decimal"/>
      <w:lvlText w:val="%1.%2"/>
      <w:lvlJc w:val="left"/>
      <w:pPr>
        <w:ind w:left="1515" w:hanging="795"/>
      </w:pPr>
      <w:rPr>
        <w:rFonts w:hint="default"/>
      </w:rPr>
    </w:lvl>
    <w:lvl w:ilvl="2">
      <w:start w:val="1"/>
      <w:numFmt w:val="decimal"/>
      <w:lvlText w:val="%1.%2.%3"/>
      <w:lvlJc w:val="left"/>
      <w:pPr>
        <w:ind w:left="2235" w:hanging="79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23"/>
  </w:num>
  <w:num w:numId="3">
    <w:abstractNumId w:val="11"/>
  </w:num>
  <w:num w:numId="4">
    <w:abstractNumId w:val="4"/>
  </w:num>
  <w:num w:numId="5">
    <w:abstractNumId w:val="13"/>
  </w:num>
  <w:num w:numId="6">
    <w:abstractNumId w:val="16"/>
  </w:num>
  <w:num w:numId="7">
    <w:abstractNumId w:val="26"/>
  </w:num>
  <w:num w:numId="8">
    <w:abstractNumId w:val="24"/>
  </w:num>
  <w:num w:numId="9">
    <w:abstractNumId w:val="20"/>
  </w:num>
  <w:num w:numId="10">
    <w:abstractNumId w:val="18"/>
  </w:num>
  <w:num w:numId="11">
    <w:abstractNumId w:val="2"/>
  </w:num>
  <w:num w:numId="12">
    <w:abstractNumId w:val="29"/>
  </w:num>
  <w:num w:numId="13">
    <w:abstractNumId w:val="14"/>
  </w:num>
  <w:num w:numId="14">
    <w:abstractNumId w:val="7"/>
  </w:num>
  <w:num w:numId="15">
    <w:abstractNumId w:val="1"/>
  </w:num>
  <w:num w:numId="16">
    <w:abstractNumId w:val="15"/>
  </w:num>
  <w:num w:numId="17">
    <w:abstractNumId w:val="22"/>
  </w:num>
  <w:num w:numId="18">
    <w:abstractNumId w:val="3"/>
  </w:num>
  <w:num w:numId="19">
    <w:abstractNumId w:val="5"/>
  </w:num>
  <w:num w:numId="20">
    <w:abstractNumId w:val="6"/>
  </w:num>
  <w:num w:numId="21">
    <w:abstractNumId w:val="12"/>
  </w:num>
  <w:num w:numId="22">
    <w:abstractNumId w:val="8"/>
  </w:num>
  <w:num w:numId="23">
    <w:abstractNumId w:val="19"/>
  </w:num>
  <w:num w:numId="24">
    <w:abstractNumId w:val="25"/>
  </w:num>
  <w:num w:numId="25">
    <w:abstractNumId w:val="21"/>
  </w:num>
  <w:num w:numId="26">
    <w:abstractNumId w:val="9"/>
  </w:num>
  <w:num w:numId="27">
    <w:abstractNumId w:val="17"/>
  </w:num>
  <w:num w:numId="28">
    <w:abstractNumId w:val="28"/>
  </w:num>
  <w:num w:numId="29">
    <w:abstractNumId w:val="10"/>
  </w:num>
  <w:num w:numId="3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0F2059-BF72-456C-849D-B1362DA4BBF1}"/>
    <w:docVar w:name="dgnword-eventsink" w:val="440476360"/>
  </w:docVars>
  <w:rsids>
    <w:rsidRoot w:val="0008561F"/>
    <w:rsid w:val="000101A2"/>
    <w:rsid w:val="00010A78"/>
    <w:rsid w:val="0001710C"/>
    <w:rsid w:val="000206BC"/>
    <w:rsid w:val="000241BA"/>
    <w:rsid w:val="000275E2"/>
    <w:rsid w:val="000306AE"/>
    <w:rsid w:val="000317AE"/>
    <w:rsid w:val="000345BA"/>
    <w:rsid w:val="00037B06"/>
    <w:rsid w:val="00040887"/>
    <w:rsid w:val="0004351F"/>
    <w:rsid w:val="00044B22"/>
    <w:rsid w:val="000450E0"/>
    <w:rsid w:val="00053409"/>
    <w:rsid w:val="000542E5"/>
    <w:rsid w:val="0006014A"/>
    <w:rsid w:val="00062FA9"/>
    <w:rsid w:val="00065A6D"/>
    <w:rsid w:val="00067AC6"/>
    <w:rsid w:val="00071510"/>
    <w:rsid w:val="000824EB"/>
    <w:rsid w:val="00084A1A"/>
    <w:rsid w:val="0008561F"/>
    <w:rsid w:val="00085D74"/>
    <w:rsid w:val="000951D0"/>
    <w:rsid w:val="00096B89"/>
    <w:rsid w:val="000A0799"/>
    <w:rsid w:val="000A39A3"/>
    <w:rsid w:val="000A4E2F"/>
    <w:rsid w:val="000A7481"/>
    <w:rsid w:val="000B02B0"/>
    <w:rsid w:val="000B604B"/>
    <w:rsid w:val="000C16D2"/>
    <w:rsid w:val="000C270F"/>
    <w:rsid w:val="000C3CAA"/>
    <w:rsid w:val="000C4C62"/>
    <w:rsid w:val="000C5C07"/>
    <w:rsid w:val="000D025A"/>
    <w:rsid w:val="000D3E67"/>
    <w:rsid w:val="000D681E"/>
    <w:rsid w:val="000D7851"/>
    <w:rsid w:val="000E2904"/>
    <w:rsid w:val="000E2ECC"/>
    <w:rsid w:val="000F1E32"/>
    <w:rsid w:val="000F5A69"/>
    <w:rsid w:val="00101724"/>
    <w:rsid w:val="0010689E"/>
    <w:rsid w:val="001079BC"/>
    <w:rsid w:val="00113662"/>
    <w:rsid w:val="00117F75"/>
    <w:rsid w:val="001336A0"/>
    <w:rsid w:val="00134B18"/>
    <w:rsid w:val="001359AD"/>
    <w:rsid w:val="00142F6F"/>
    <w:rsid w:val="001470C6"/>
    <w:rsid w:val="0015507D"/>
    <w:rsid w:val="00156DCD"/>
    <w:rsid w:val="00164165"/>
    <w:rsid w:val="00172ABC"/>
    <w:rsid w:val="001741C6"/>
    <w:rsid w:val="00174D41"/>
    <w:rsid w:val="001757C0"/>
    <w:rsid w:val="0017630B"/>
    <w:rsid w:val="00176802"/>
    <w:rsid w:val="001875D6"/>
    <w:rsid w:val="00187F8D"/>
    <w:rsid w:val="00191F1E"/>
    <w:rsid w:val="001943D6"/>
    <w:rsid w:val="00195A26"/>
    <w:rsid w:val="0019605A"/>
    <w:rsid w:val="00197E13"/>
    <w:rsid w:val="001A61A9"/>
    <w:rsid w:val="001B3392"/>
    <w:rsid w:val="001B7377"/>
    <w:rsid w:val="001C1D38"/>
    <w:rsid w:val="001C3DC3"/>
    <w:rsid w:val="001C3FEF"/>
    <w:rsid w:val="001C4759"/>
    <w:rsid w:val="001D4881"/>
    <w:rsid w:val="001D53E9"/>
    <w:rsid w:val="001E4282"/>
    <w:rsid w:val="001E5C1F"/>
    <w:rsid w:val="001E6707"/>
    <w:rsid w:val="001E768C"/>
    <w:rsid w:val="001F3966"/>
    <w:rsid w:val="001F3C76"/>
    <w:rsid w:val="001F4921"/>
    <w:rsid w:val="001F7383"/>
    <w:rsid w:val="00202ABF"/>
    <w:rsid w:val="00203255"/>
    <w:rsid w:val="00214A30"/>
    <w:rsid w:val="00215775"/>
    <w:rsid w:val="00217A3D"/>
    <w:rsid w:val="00220D31"/>
    <w:rsid w:val="002225EC"/>
    <w:rsid w:val="0022290F"/>
    <w:rsid w:val="0022489D"/>
    <w:rsid w:val="002251C1"/>
    <w:rsid w:val="0022535D"/>
    <w:rsid w:val="002256BC"/>
    <w:rsid w:val="00227A38"/>
    <w:rsid w:val="00231A43"/>
    <w:rsid w:val="00232753"/>
    <w:rsid w:val="00236766"/>
    <w:rsid w:val="002377F8"/>
    <w:rsid w:val="0024065D"/>
    <w:rsid w:val="00242DFF"/>
    <w:rsid w:val="00245A93"/>
    <w:rsid w:val="00250CED"/>
    <w:rsid w:val="00256096"/>
    <w:rsid w:val="00272FA0"/>
    <w:rsid w:val="00274411"/>
    <w:rsid w:val="00274DB2"/>
    <w:rsid w:val="00275AFA"/>
    <w:rsid w:val="00280EF5"/>
    <w:rsid w:val="002858E5"/>
    <w:rsid w:val="00287A0E"/>
    <w:rsid w:val="002A04A4"/>
    <w:rsid w:val="002A1C58"/>
    <w:rsid w:val="002A3220"/>
    <w:rsid w:val="002A5AD4"/>
    <w:rsid w:val="002A7217"/>
    <w:rsid w:val="002B5BE3"/>
    <w:rsid w:val="002B736F"/>
    <w:rsid w:val="002B7492"/>
    <w:rsid w:val="002C3122"/>
    <w:rsid w:val="002C49BB"/>
    <w:rsid w:val="002D4671"/>
    <w:rsid w:val="002D6387"/>
    <w:rsid w:val="002D73F5"/>
    <w:rsid w:val="002D7D45"/>
    <w:rsid w:val="002E3D13"/>
    <w:rsid w:val="002E7ACD"/>
    <w:rsid w:val="002F14AE"/>
    <w:rsid w:val="002F48C3"/>
    <w:rsid w:val="0030270B"/>
    <w:rsid w:val="003030EE"/>
    <w:rsid w:val="00311FC0"/>
    <w:rsid w:val="00313D62"/>
    <w:rsid w:val="00321F0A"/>
    <w:rsid w:val="00325B09"/>
    <w:rsid w:val="00326471"/>
    <w:rsid w:val="00326ACC"/>
    <w:rsid w:val="0033249B"/>
    <w:rsid w:val="003326AF"/>
    <w:rsid w:val="00333A9A"/>
    <w:rsid w:val="0033526F"/>
    <w:rsid w:val="00335EC2"/>
    <w:rsid w:val="00336E00"/>
    <w:rsid w:val="00337C08"/>
    <w:rsid w:val="00340422"/>
    <w:rsid w:val="00342B9D"/>
    <w:rsid w:val="00344CA4"/>
    <w:rsid w:val="0034599E"/>
    <w:rsid w:val="00351C24"/>
    <w:rsid w:val="00355713"/>
    <w:rsid w:val="00355E4B"/>
    <w:rsid w:val="00362AEC"/>
    <w:rsid w:val="00366D9C"/>
    <w:rsid w:val="00367E59"/>
    <w:rsid w:val="003705F1"/>
    <w:rsid w:val="003735D9"/>
    <w:rsid w:val="00374710"/>
    <w:rsid w:val="0037505A"/>
    <w:rsid w:val="00375290"/>
    <w:rsid w:val="00375E33"/>
    <w:rsid w:val="00376F7C"/>
    <w:rsid w:val="00377BD5"/>
    <w:rsid w:val="00382333"/>
    <w:rsid w:val="00383012"/>
    <w:rsid w:val="003844D8"/>
    <w:rsid w:val="00385DCE"/>
    <w:rsid w:val="003903EF"/>
    <w:rsid w:val="003915E9"/>
    <w:rsid w:val="0039436F"/>
    <w:rsid w:val="003A1F11"/>
    <w:rsid w:val="003A3B37"/>
    <w:rsid w:val="003A3C34"/>
    <w:rsid w:val="003B3E15"/>
    <w:rsid w:val="003C5B44"/>
    <w:rsid w:val="003C6190"/>
    <w:rsid w:val="003C722B"/>
    <w:rsid w:val="003D51E3"/>
    <w:rsid w:val="003D53C3"/>
    <w:rsid w:val="003D5679"/>
    <w:rsid w:val="003E1608"/>
    <w:rsid w:val="003E2DBC"/>
    <w:rsid w:val="003E5B1B"/>
    <w:rsid w:val="003E658F"/>
    <w:rsid w:val="003F3B67"/>
    <w:rsid w:val="003F4A18"/>
    <w:rsid w:val="004007D1"/>
    <w:rsid w:val="00401757"/>
    <w:rsid w:val="004023A7"/>
    <w:rsid w:val="004030F5"/>
    <w:rsid w:val="004114B4"/>
    <w:rsid w:val="00411863"/>
    <w:rsid w:val="00415A74"/>
    <w:rsid w:val="004245B7"/>
    <w:rsid w:val="00430343"/>
    <w:rsid w:val="004306B5"/>
    <w:rsid w:val="004337BF"/>
    <w:rsid w:val="00433D96"/>
    <w:rsid w:val="004346D1"/>
    <w:rsid w:val="0043608D"/>
    <w:rsid w:val="004400C0"/>
    <w:rsid w:val="00442F7A"/>
    <w:rsid w:val="00443342"/>
    <w:rsid w:val="004443D4"/>
    <w:rsid w:val="0044562C"/>
    <w:rsid w:val="004537D0"/>
    <w:rsid w:val="004568B4"/>
    <w:rsid w:val="00457538"/>
    <w:rsid w:val="00462180"/>
    <w:rsid w:val="004647D4"/>
    <w:rsid w:val="004663F2"/>
    <w:rsid w:val="00470ADF"/>
    <w:rsid w:val="004724D8"/>
    <w:rsid w:val="00483D58"/>
    <w:rsid w:val="00485F96"/>
    <w:rsid w:val="00496AF3"/>
    <w:rsid w:val="00496B3D"/>
    <w:rsid w:val="004A1B2B"/>
    <w:rsid w:val="004A39A6"/>
    <w:rsid w:val="004A3C17"/>
    <w:rsid w:val="004A618D"/>
    <w:rsid w:val="004A7BCC"/>
    <w:rsid w:val="004A7E4B"/>
    <w:rsid w:val="004B2A93"/>
    <w:rsid w:val="004B7236"/>
    <w:rsid w:val="004C1BBB"/>
    <w:rsid w:val="004C2E11"/>
    <w:rsid w:val="004C4E8B"/>
    <w:rsid w:val="004D109A"/>
    <w:rsid w:val="004D4D92"/>
    <w:rsid w:val="004E1B79"/>
    <w:rsid w:val="004E2EB1"/>
    <w:rsid w:val="004E3275"/>
    <w:rsid w:val="004E328F"/>
    <w:rsid w:val="004E57DF"/>
    <w:rsid w:val="004E5F87"/>
    <w:rsid w:val="004F219A"/>
    <w:rsid w:val="004F224F"/>
    <w:rsid w:val="004F7374"/>
    <w:rsid w:val="005060DA"/>
    <w:rsid w:val="005074FC"/>
    <w:rsid w:val="00507F8B"/>
    <w:rsid w:val="00510A6F"/>
    <w:rsid w:val="00510AB2"/>
    <w:rsid w:val="00512BD9"/>
    <w:rsid w:val="005144BF"/>
    <w:rsid w:val="005173C8"/>
    <w:rsid w:val="005201DA"/>
    <w:rsid w:val="005262F9"/>
    <w:rsid w:val="00530DB0"/>
    <w:rsid w:val="00531634"/>
    <w:rsid w:val="005439B3"/>
    <w:rsid w:val="00546AB6"/>
    <w:rsid w:val="005548FC"/>
    <w:rsid w:val="00560785"/>
    <w:rsid w:val="005621B4"/>
    <w:rsid w:val="005628CB"/>
    <w:rsid w:val="00565690"/>
    <w:rsid w:val="005744EC"/>
    <w:rsid w:val="00580CBC"/>
    <w:rsid w:val="005830EF"/>
    <w:rsid w:val="00583BA9"/>
    <w:rsid w:val="0058592D"/>
    <w:rsid w:val="0058714C"/>
    <w:rsid w:val="005873AE"/>
    <w:rsid w:val="00592140"/>
    <w:rsid w:val="00595395"/>
    <w:rsid w:val="005A1A9D"/>
    <w:rsid w:val="005A4627"/>
    <w:rsid w:val="005A6BF3"/>
    <w:rsid w:val="005B232E"/>
    <w:rsid w:val="005B293C"/>
    <w:rsid w:val="005B2F68"/>
    <w:rsid w:val="005B5EDA"/>
    <w:rsid w:val="005C20A4"/>
    <w:rsid w:val="005C4B0C"/>
    <w:rsid w:val="005C5E86"/>
    <w:rsid w:val="005D0E02"/>
    <w:rsid w:val="005D0E03"/>
    <w:rsid w:val="005E02EB"/>
    <w:rsid w:val="005E0D3D"/>
    <w:rsid w:val="005E41C2"/>
    <w:rsid w:val="005E58DA"/>
    <w:rsid w:val="005F3B7D"/>
    <w:rsid w:val="005F44B7"/>
    <w:rsid w:val="005F4510"/>
    <w:rsid w:val="00601F12"/>
    <w:rsid w:val="00606049"/>
    <w:rsid w:val="00610C12"/>
    <w:rsid w:val="00613ADB"/>
    <w:rsid w:val="006155C0"/>
    <w:rsid w:val="006260DE"/>
    <w:rsid w:val="00634443"/>
    <w:rsid w:val="006344A9"/>
    <w:rsid w:val="00636E53"/>
    <w:rsid w:val="00640E2D"/>
    <w:rsid w:val="00640F11"/>
    <w:rsid w:val="00640FA2"/>
    <w:rsid w:val="0064232D"/>
    <w:rsid w:val="00643407"/>
    <w:rsid w:val="00647037"/>
    <w:rsid w:val="00653CCD"/>
    <w:rsid w:val="00664ACE"/>
    <w:rsid w:val="00665272"/>
    <w:rsid w:val="00666699"/>
    <w:rsid w:val="00666AC5"/>
    <w:rsid w:val="00666BBD"/>
    <w:rsid w:val="00667722"/>
    <w:rsid w:val="006679A8"/>
    <w:rsid w:val="0067176C"/>
    <w:rsid w:val="00673491"/>
    <w:rsid w:val="006748BA"/>
    <w:rsid w:val="00675E54"/>
    <w:rsid w:val="00682AE4"/>
    <w:rsid w:val="006830FD"/>
    <w:rsid w:val="0068335D"/>
    <w:rsid w:val="00684071"/>
    <w:rsid w:val="00686210"/>
    <w:rsid w:val="006966E0"/>
    <w:rsid w:val="006975AE"/>
    <w:rsid w:val="00697F6F"/>
    <w:rsid w:val="006A1733"/>
    <w:rsid w:val="006A3090"/>
    <w:rsid w:val="006A41CA"/>
    <w:rsid w:val="006A627F"/>
    <w:rsid w:val="006B4AE3"/>
    <w:rsid w:val="006B56FC"/>
    <w:rsid w:val="006C3112"/>
    <w:rsid w:val="006C42DE"/>
    <w:rsid w:val="006C4C5F"/>
    <w:rsid w:val="006C4D30"/>
    <w:rsid w:val="006C7BA4"/>
    <w:rsid w:val="006D21AD"/>
    <w:rsid w:val="006D4DFA"/>
    <w:rsid w:val="006D5453"/>
    <w:rsid w:val="006E0BFA"/>
    <w:rsid w:val="006E325F"/>
    <w:rsid w:val="006E6C8C"/>
    <w:rsid w:val="006F07E1"/>
    <w:rsid w:val="006F2029"/>
    <w:rsid w:val="006F30BC"/>
    <w:rsid w:val="006F62E2"/>
    <w:rsid w:val="006F681A"/>
    <w:rsid w:val="006F71F2"/>
    <w:rsid w:val="00700D7B"/>
    <w:rsid w:val="007053CA"/>
    <w:rsid w:val="0070711C"/>
    <w:rsid w:val="007079BA"/>
    <w:rsid w:val="00712B99"/>
    <w:rsid w:val="0071412A"/>
    <w:rsid w:val="00714D3C"/>
    <w:rsid w:val="007152B5"/>
    <w:rsid w:val="00715783"/>
    <w:rsid w:val="00717CEC"/>
    <w:rsid w:val="007218B8"/>
    <w:rsid w:val="00723C49"/>
    <w:rsid w:val="00724B01"/>
    <w:rsid w:val="00727BEB"/>
    <w:rsid w:val="00731AC9"/>
    <w:rsid w:val="00731D29"/>
    <w:rsid w:val="007326B6"/>
    <w:rsid w:val="00735C38"/>
    <w:rsid w:val="007374B9"/>
    <w:rsid w:val="00737D5D"/>
    <w:rsid w:val="00740476"/>
    <w:rsid w:val="00747007"/>
    <w:rsid w:val="007509D8"/>
    <w:rsid w:val="0075233B"/>
    <w:rsid w:val="007545B9"/>
    <w:rsid w:val="00755AAE"/>
    <w:rsid w:val="00756314"/>
    <w:rsid w:val="007605D3"/>
    <w:rsid w:val="007614E9"/>
    <w:rsid w:val="00763703"/>
    <w:rsid w:val="00770D9D"/>
    <w:rsid w:val="00772A85"/>
    <w:rsid w:val="00773D06"/>
    <w:rsid w:val="007745FC"/>
    <w:rsid w:val="00780B9F"/>
    <w:rsid w:val="00783A6F"/>
    <w:rsid w:val="007913F2"/>
    <w:rsid w:val="0079211B"/>
    <w:rsid w:val="007A0021"/>
    <w:rsid w:val="007A2AB1"/>
    <w:rsid w:val="007A54DC"/>
    <w:rsid w:val="007A7D6D"/>
    <w:rsid w:val="007B644E"/>
    <w:rsid w:val="007B714D"/>
    <w:rsid w:val="007B767C"/>
    <w:rsid w:val="007C2BD5"/>
    <w:rsid w:val="007C5AFE"/>
    <w:rsid w:val="007C6DD9"/>
    <w:rsid w:val="007D0F8A"/>
    <w:rsid w:val="007D5D3F"/>
    <w:rsid w:val="007D7AB1"/>
    <w:rsid w:val="007D7C46"/>
    <w:rsid w:val="007E0946"/>
    <w:rsid w:val="007E3B3F"/>
    <w:rsid w:val="007E77EC"/>
    <w:rsid w:val="007F066A"/>
    <w:rsid w:val="007F610D"/>
    <w:rsid w:val="008012A9"/>
    <w:rsid w:val="00802433"/>
    <w:rsid w:val="0080300B"/>
    <w:rsid w:val="00803A14"/>
    <w:rsid w:val="0081188E"/>
    <w:rsid w:val="00811ECA"/>
    <w:rsid w:val="0081671B"/>
    <w:rsid w:val="00821080"/>
    <w:rsid w:val="008213E2"/>
    <w:rsid w:val="00822754"/>
    <w:rsid w:val="00824AB8"/>
    <w:rsid w:val="00825E49"/>
    <w:rsid w:val="008317EE"/>
    <w:rsid w:val="0083659E"/>
    <w:rsid w:val="008415B4"/>
    <w:rsid w:val="00842DA0"/>
    <w:rsid w:val="008529AD"/>
    <w:rsid w:val="00853CCE"/>
    <w:rsid w:val="00867800"/>
    <w:rsid w:val="00871F72"/>
    <w:rsid w:val="0087228E"/>
    <w:rsid w:val="008727B6"/>
    <w:rsid w:val="008741BF"/>
    <w:rsid w:val="00875C55"/>
    <w:rsid w:val="00881B9E"/>
    <w:rsid w:val="008830EA"/>
    <w:rsid w:val="00892387"/>
    <w:rsid w:val="00897FEC"/>
    <w:rsid w:val="008A1B5D"/>
    <w:rsid w:val="008B072B"/>
    <w:rsid w:val="008B3E54"/>
    <w:rsid w:val="008C0340"/>
    <w:rsid w:val="008C3276"/>
    <w:rsid w:val="008E0EFA"/>
    <w:rsid w:val="008E5574"/>
    <w:rsid w:val="008F05EE"/>
    <w:rsid w:val="008F23E7"/>
    <w:rsid w:val="008F62D4"/>
    <w:rsid w:val="00901B74"/>
    <w:rsid w:val="00902944"/>
    <w:rsid w:val="009031BB"/>
    <w:rsid w:val="00903D7F"/>
    <w:rsid w:val="0090427B"/>
    <w:rsid w:val="00905944"/>
    <w:rsid w:val="00910E92"/>
    <w:rsid w:val="00912CFA"/>
    <w:rsid w:val="009154F3"/>
    <w:rsid w:val="009162DA"/>
    <w:rsid w:val="00920D0F"/>
    <w:rsid w:val="0092276B"/>
    <w:rsid w:val="00930915"/>
    <w:rsid w:val="00932905"/>
    <w:rsid w:val="00941044"/>
    <w:rsid w:val="009421B1"/>
    <w:rsid w:val="0094316E"/>
    <w:rsid w:val="00943E88"/>
    <w:rsid w:val="00944CC9"/>
    <w:rsid w:val="00946194"/>
    <w:rsid w:val="009510DD"/>
    <w:rsid w:val="009519D1"/>
    <w:rsid w:val="00951D35"/>
    <w:rsid w:val="009524DB"/>
    <w:rsid w:val="00953C07"/>
    <w:rsid w:val="009638EE"/>
    <w:rsid w:val="00967503"/>
    <w:rsid w:val="00967801"/>
    <w:rsid w:val="0097110E"/>
    <w:rsid w:val="009758F8"/>
    <w:rsid w:val="00986320"/>
    <w:rsid w:val="0099480D"/>
    <w:rsid w:val="00994D70"/>
    <w:rsid w:val="00996243"/>
    <w:rsid w:val="00997649"/>
    <w:rsid w:val="009A1CD6"/>
    <w:rsid w:val="009A2F8C"/>
    <w:rsid w:val="009A7118"/>
    <w:rsid w:val="009B067E"/>
    <w:rsid w:val="009B069E"/>
    <w:rsid w:val="009C071C"/>
    <w:rsid w:val="009C5BAB"/>
    <w:rsid w:val="009C7FE4"/>
    <w:rsid w:val="009D0F2D"/>
    <w:rsid w:val="009D1B27"/>
    <w:rsid w:val="009D1B51"/>
    <w:rsid w:val="009D1D46"/>
    <w:rsid w:val="009D6D68"/>
    <w:rsid w:val="009F70AB"/>
    <w:rsid w:val="009F782A"/>
    <w:rsid w:val="00A0331E"/>
    <w:rsid w:val="00A05877"/>
    <w:rsid w:val="00A060EC"/>
    <w:rsid w:val="00A076FD"/>
    <w:rsid w:val="00A102C3"/>
    <w:rsid w:val="00A142CC"/>
    <w:rsid w:val="00A218D2"/>
    <w:rsid w:val="00A26639"/>
    <w:rsid w:val="00A26E3D"/>
    <w:rsid w:val="00A27103"/>
    <w:rsid w:val="00A27357"/>
    <w:rsid w:val="00A3075E"/>
    <w:rsid w:val="00A31C16"/>
    <w:rsid w:val="00A326B9"/>
    <w:rsid w:val="00A332DA"/>
    <w:rsid w:val="00A3468D"/>
    <w:rsid w:val="00A40CD5"/>
    <w:rsid w:val="00A42F86"/>
    <w:rsid w:val="00A4483A"/>
    <w:rsid w:val="00A55496"/>
    <w:rsid w:val="00A6262D"/>
    <w:rsid w:val="00A63D9E"/>
    <w:rsid w:val="00A661A3"/>
    <w:rsid w:val="00A675D1"/>
    <w:rsid w:val="00A70798"/>
    <w:rsid w:val="00A7343D"/>
    <w:rsid w:val="00A73734"/>
    <w:rsid w:val="00A73EC9"/>
    <w:rsid w:val="00A742E1"/>
    <w:rsid w:val="00A7640E"/>
    <w:rsid w:val="00A76F4D"/>
    <w:rsid w:val="00A80E2F"/>
    <w:rsid w:val="00A86C38"/>
    <w:rsid w:val="00A96418"/>
    <w:rsid w:val="00A97CE9"/>
    <w:rsid w:val="00AA16A7"/>
    <w:rsid w:val="00AA3FF6"/>
    <w:rsid w:val="00AA4C10"/>
    <w:rsid w:val="00AB0528"/>
    <w:rsid w:val="00AB317A"/>
    <w:rsid w:val="00AC022E"/>
    <w:rsid w:val="00AC16FE"/>
    <w:rsid w:val="00AD0E19"/>
    <w:rsid w:val="00AD66A6"/>
    <w:rsid w:val="00AD7ECA"/>
    <w:rsid w:val="00AE0F13"/>
    <w:rsid w:val="00AE1FA0"/>
    <w:rsid w:val="00AF0DE6"/>
    <w:rsid w:val="00AF2C24"/>
    <w:rsid w:val="00AF2C96"/>
    <w:rsid w:val="00AF347C"/>
    <w:rsid w:val="00B17412"/>
    <w:rsid w:val="00B2312E"/>
    <w:rsid w:val="00B25B61"/>
    <w:rsid w:val="00B33588"/>
    <w:rsid w:val="00B33F44"/>
    <w:rsid w:val="00B40A46"/>
    <w:rsid w:val="00B41FF3"/>
    <w:rsid w:val="00B46588"/>
    <w:rsid w:val="00B46E6F"/>
    <w:rsid w:val="00B5047A"/>
    <w:rsid w:val="00B62A5B"/>
    <w:rsid w:val="00B6450D"/>
    <w:rsid w:val="00B651D0"/>
    <w:rsid w:val="00B707C9"/>
    <w:rsid w:val="00B737B2"/>
    <w:rsid w:val="00B753C9"/>
    <w:rsid w:val="00B857FA"/>
    <w:rsid w:val="00B86E4F"/>
    <w:rsid w:val="00B90A5F"/>
    <w:rsid w:val="00B93E85"/>
    <w:rsid w:val="00BA3A9B"/>
    <w:rsid w:val="00BA4B29"/>
    <w:rsid w:val="00BA4FF6"/>
    <w:rsid w:val="00BA5968"/>
    <w:rsid w:val="00BB0894"/>
    <w:rsid w:val="00BB1367"/>
    <w:rsid w:val="00BB3E19"/>
    <w:rsid w:val="00BC0FDF"/>
    <w:rsid w:val="00BC2A2C"/>
    <w:rsid w:val="00BC4730"/>
    <w:rsid w:val="00BC591C"/>
    <w:rsid w:val="00BC7ECB"/>
    <w:rsid w:val="00BE0BAC"/>
    <w:rsid w:val="00BE1AFD"/>
    <w:rsid w:val="00BE2330"/>
    <w:rsid w:val="00BE3824"/>
    <w:rsid w:val="00BE6459"/>
    <w:rsid w:val="00BF53B3"/>
    <w:rsid w:val="00BF78B2"/>
    <w:rsid w:val="00C03134"/>
    <w:rsid w:val="00C03ADE"/>
    <w:rsid w:val="00C03FC5"/>
    <w:rsid w:val="00C051D5"/>
    <w:rsid w:val="00C05B6B"/>
    <w:rsid w:val="00C05ED0"/>
    <w:rsid w:val="00C148FE"/>
    <w:rsid w:val="00C1524A"/>
    <w:rsid w:val="00C24E43"/>
    <w:rsid w:val="00C30A65"/>
    <w:rsid w:val="00C30AAB"/>
    <w:rsid w:val="00C31CA8"/>
    <w:rsid w:val="00C31FF4"/>
    <w:rsid w:val="00C3781B"/>
    <w:rsid w:val="00C443CD"/>
    <w:rsid w:val="00C444D9"/>
    <w:rsid w:val="00C44C2F"/>
    <w:rsid w:val="00C46246"/>
    <w:rsid w:val="00C46655"/>
    <w:rsid w:val="00C47FFA"/>
    <w:rsid w:val="00C55D29"/>
    <w:rsid w:val="00C644CB"/>
    <w:rsid w:val="00C70840"/>
    <w:rsid w:val="00C7608B"/>
    <w:rsid w:val="00C77989"/>
    <w:rsid w:val="00C819A6"/>
    <w:rsid w:val="00C8608B"/>
    <w:rsid w:val="00C91EC2"/>
    <w:rsid w:val="00C94004"/>
    <w:rsid w:val="00C95700"/>
    <w:rsid w:val="00CA23A4"/>
    <w:rsid w:val="00CA3A6B"/>
    <w:rsid w:val="00CA43CC"/>
    <w:rsid w:val="00CA758E"/>
    <w:rsid w:val="00CB035D"/>
    <w:rsid w:val="00CB13CE"/>
    <w:rsid w:val="00CB17A1"/>
    <w:rsid w:val="00CB217D"/>
    <w:rsid w:val="00CB2D1D"/>
    <w:rsid w:val="00CB32AB"/>
    <w:rsid w:val="00CB6B3B"/>
    <w:rsid w:val="00CC0640"/>
    <w:rsid w:val="00CC1AA9"/>
    <w:rsid w:val="00CC4354"/>
    <w:rsid w:val="00CC4543"/>
    <w:rsid w:val="00CD0F4B"/>
    <w:rsid w:val="00CD3DA9"/>
    <w:rsid w:val="00CD7453"/>
    <w:rsid w:val="00CE0033"/>
    <w:rsid w:val="00CE0D22"/>
    <w:rsid w:val="00CE28C8"/>
    <w:rsid w:val="00CE4DF9"/>
    <w:rsid w:val="00CE5269"/>
    <w:rsid w:val="00CE52F6"/>
    <w:rsid w:val="00CE57B2"/>
    <w:rsid w:val="00CF0839"/>
    <w:rsid w:val="00CF2722"/>
    <w:rsid w:val="00CF2850"/>
    <w:rsid w:val="00CF2DD4"/>
    <w:rsid w:val="00CF71ED"/>
    <w:rsid w:val="00D0055D"/>
    <w:rsid w:val="00D00BE5"/>
    <w:rsid w:val="00D03342"/>
    <w:rsid w:val="00D04FE6"/>
    <w:rsid w:val="00D0639F"/>
    <w:rsid w:val="00D10763"/>
    <w:rsid w:val="00D11991"/>
    <w:rsid w:val="00D15B5C"/>
    <w:rsid w:val="00D17A32"/>
    <w:rsid w:val="00D35634"/>
    <w:rsid w:val="00D35D9D"/>
    <w:rsid w:val="00D37311"/>
    <w:rsid w:val="00D41FF0"/>
    <w:rsid w:val="00D453CA"/>
    <w:rsid w:val="00D65E04"/>
    <w:rsid w:val="00D675C9"/>
    <w:rsid w:val="00D67E9A"/>
    <w:rsid w:val="00D70187"/>
    <w:rsid w:val="00D70AD5"/>
    <w:rsid w:val="00D71095"/>
    <w:rsid w:val="00D718DE"/>
    <w:rsid w:val="00D768D4"/>
    <w:rsid w:val="00D773F9"/>
    <w:rsid w:val="00D80AE1"/>
    <w:rsid w:val="00D8438C"/>
    <w:rsid w:val="00D87401"/>
    <w:rsid w:val="00D934B4"/>
    <w:rsid w:val="00DA005F"/>
    <w:rsid w:val="00DA24D3"/>
    <w:rsid w:val="00DA2ADC"/>
    <w:rsid w:val="00DA408D"/>
    <w:rsid w:val="00DA7C9A"/>
    <w:rsid w:val="00DB1427"/>
    <w:rsid w:val="00DC17FE"/>
    <w:rsid w:val="00DC5170"/>
    <w:rsid w:val="00DC6C31"/>
    <w:rsid w:val="00DD2272"/>
    <w:rsid w:val="00DE05D4"/>
    <w:rsid w:val="00DE6D93"/>
    <w:rsid w:val="00DE7A38"/>
    <w:rsid w:val="00DE7EE4"/>
    <w:rsid w:val="00DF0C1C"/>
    <w:rsid w:val="00DF36B0"/>
    <w:rsid w:val="00DF40D6"/>
    <w:rsid w:val="00DF5352"/>
    <w:rsid w:val="00DF7C7C"/>
    <w:rsid w:val="00DF7DD8"/>
    <w:rsid w:val="00E015B5"/>
    <w:rsid w:val="00E0384C"/>
    <w:rsid w:val="00E052C3"/>
    <w:rsid w:val="00E078C3"/>
    <w:rsid w:val="00E104D2"/>
    <w:rsid w:val="00E11D57"/>
    <w:rsid w:val="00E136C0"/>
    <w:rsid w:val="00E1622A"/>
    <w:rsid w:val="00E20BE5"/>
    <w:rsid w:val="00E22F2E"/>
    <w:rsid w:val="00E2373A"/>
    <w:rsid w:val="00E31430"/>
    <w:rsid w:val="00E32184"/>
    <w:rsid w:val="00E34CD8"/>
    <w:rsid w:val="00E45082"/>
    <w:rsid w:val="00E46F81"/>
    <w:rsid w:val="00E51A81"/>
    <w:rsid w:val="00E55742"/>
    <w:rsid w:val="00E6646D"/>
    <w:rsid w:val="00E679C6"/>
    <w:rsid w:val="00E70F18"/>
    <w:rsid w:val="00E73726"/>
    <w:rsid w:val="00E74FB5"/>
    <w:rsid w:val="00E9078F"/>
    <w:rsid w:val="00E9528B"/>
    <w:rsid w:val="00EA0D3B"/>
    <w:rsid w:val="00EA4CDB"/>
    <w:rsid w:val="00EA6706"/>
    <w:rsid w:val="00EB0BC0"/>
    <w:rsid w:val="00EB17B6"/>
    <w:rsid w:val="00EB3949"/>
    <w:rsid w:val="00EB4C32"/>
    <w:rsid w:val="00EC2824"/>
    <w:rsid w:val="00EC4952"/>
    <w:rsid w:val="00ED1259"/>
    <w:rsid w:val="00ED1B5A"/>
    <w:rsid w:val="00ED5DFE"/>
    <w:rsid w:val="00ED67B5"/>
    <w:rsid w:val="00EE56EF"/>
    <w:rsid w:val="00EE6120"/>
    <w:rsid w:val="00EE7279"/>
    <w:rsid w:val="00EF0216"/>
    <w:rsid w:val="00EF1F68"/>
    <w:rsid w:val="00EF37B7"/>
    <w:rsid w:val="00EF708D"/>
    <w:rsid w:val="00EF7420"/>
    <w:rsid w:val="00F0049D"/>
    <w:rsid w:val="00F0183A"/>
    <w:rsid w:val="00F04C20"/>
    <w:rsid w:val="00F05DDA"/>
    <w:rsid w:val="00F1439B"/>
    <w:rsid w:val="00F15205"/>
    <w:rsid w:val="00F16B82"/>
    <w:rsid w:val="00F17E23"/>
    <w:rsid w:val="00F20D49"/>
    <w:rsid w:val="00F21872"/>
    <w:rsid w:val="00F2443D"/>
    <w:rsid w:val="00F26EF9"/>
    <w:rsid w:val="00F2796F"/>
    <w:rsid w:val="00F40187"/>
    <w:rsid w:val="00F402C6"/>
    <w:rsid w:val="00F41B5A"/>
    <w:rsid w:val="00F54FC9"/>
    <w:rsid w:val="00F562CB"/>
    <w:rsid w:val="00F57DBF"/>
    <w:rsid w:val="00F57F69"/>
    <w:rsid w:val="00F62534"/>
    <w:rsid w:val="00F62BBF"/>
    <w:rsid w:val="00F633D0"/>
    <w:rsid w:val="00F66F2C"/>
    <w:rsid w:val="00F709C1"/>
    <w:rsid w:val="00F71F96"/>
    <w:rsid w:val="00F83391"/>
    <w:rsid w:val="00F83618"/>
    <w:rsid w:val="00F86A46"/>
    <w:rsid w:val="00F9298A"/>
    <w:rsid w:val="00F9358C"/>
    <w:rsid w:val="00F940F5"/>
    <w:rsid w:val="00F947CB"/>
    <w:rsid w:val="00FA1FC8"/>
    <w:rsid w:val="00FA4EA1"/>
    <w:rsid w:val="00FB1BA9"/>
    <w:rsid w:val="00FB269B"/>
    <w:rsid w:val="00FB3FBA"/>
    <w:rsid w:val="00FB5763"/>
    <w:rsid w:val="00FB63E1"/>
    <w:rsid w:val="00FB700F"/>
    <w:rsid w:val="00FC04FE"/>
    <w:rsid w:val="00FC490F"/>
    <w:rsid w:val="00FC73D4"/>
    <w:rsid w:val="00FD02B1"/>
    <w:rsid w:val="00FD05FD"/>
    <w:rsid w:val="00FD0C14"/>
    <w:rsid w:val="00FD4047"/>
    <w:rsid w:val="00FD4807"/>
    <w:rsid w:val="00FD7446"/>
    <w:rsid w:val="00FE1B64"/>
    <w:rsid w:val="00FE3A2C"/>
    <w:rsid w:val="00FE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D7F2"/>
  <w15:chartTrackingRefBased/>
  <w15:docId w15:val="{8895AF92-D698-4F36-85B6-6CD9628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1F"/>
    <w:pPr>
      <w:spacing w:after="0" w:line="360" w:lineRule="auto"/>
      <w:ind w:left="360" w:hanging="360"/>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11"/>
    <w:pPr>
      <w:ind w:left="720"/>
      <w:contextualSpacing/>
    </w:pPr>
  </w:style>
  <w:style w:type="paragraph" w:styleId="Header">
    <w:name w:val="header"/>
    <w:basedOn w:val="Normal"/>
    <w:link w:val="HeaderChar"/>
    <w:uiPriority w:val="99"/>
    <w:unhideWhenUsed/>
    <w:rsid w:val="00665272"/>
    <w:pPr>
      <w:tabs>
        <w:tab w:val="center" w:pos="4680"/>
        <w:tab w:val="right" w:pos="9360"/>
      </w:tabs>
      <w:spacing w:line="240" w:lineRule="auto"/>
    </w:pPr>
  </w:style>
  <w:style w:type="character" w:customStyle="1" w:styleId="HeaderChar">
    <w:name w:val="Header Char"/>
    <w:basedOn w:val="DefaultParagraphFont"/>
    <w:link w:val="Header"/>
    <w:uiPriority w:val="99"/>
    <w:rsid w:val="00665272"/>
    <w:rPr>
      <w:rFonts w:ascii="Arial" w:hAnsi="Arial"/>
      <w:sz w:val="24"/>
    </w:rPr>
  </w:style>
  <w:style w:type="paragraph" w:styleId="Footer">
    <w:name w:val="footer"/>
    <w:basedOn w:val="Normal"/>
    <w:link w:val="FooterChar"/>
    <w:uiPriority w:val="99"/>
    <w:unhideWhenUsed/>
    <w:rsid w:val="00665272"/>
    <w:pPr>
      <w:tabs>
        <w:tab w:val="center" w:pos="4680"/>
        <w:tab w:val="right" w:pos="9360"/>
      </w:tabs>
      <w:spacing w:line="240" w:lineRule="auto"/>
    </w:pPr>
  </w:style>
  <w:style w:type="character" w:customStyle="1" w:styleId="FooterChar">
    <w:name w:val="Footer Char"/>
    <w:basedOn w:val="DefaultParagraphFont"/>
    <w:link w:val="Footer"/>
    <w:uiPriority w:val="99"/>
    <w:rsid w:val="00665272"/>
    <w:rPr>
      <w:rFonts w:ascii="Arial" w:hAnsi="Arial"/>
      <w:sz w:val="24"/>
    </w:rPr>
  </w:style>
  <w:style w:type="paragraph" w:styleId="BalloonText">
    <w:name w:val="Balloon Text"/>
    <w:basedOn w:val="Normal"/>
    <w:link w:val="BalloonTextChar"/>
    <w:uiPriority w:val="99"/>
    <w:semiHidden/>
    <w:unhideWhenUsed/>
    <w:rsid w:val="00665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72"/>
    <w:rPr>
      <w:rFonts w:ascii="Segoe UI" w:hAnsi="Segoe UI" w:cs="Segoe UI"/>
      <w:sz w:val="18"/>
      <w:szCs w:val="18"/>
    </w:rPr>
  </w:style>
  <w:style w:type="paragraph" w:styleId="NoSpacing">
    <w:name w:val="No Spacing"/>
    <w:uiPriority w:val="1"/>
    <w:qFormat/>
    <w:rsid w:val="00F0049D"/>
    <w:pPr>
      <w:spacing w:after="0" w:line="240" w:lineRule="auto"/>
    </w:pPr>
    <w:rPr>
      <w:rFonts w:ascii="Calibri" w:eastAsia="Times New Roman" w:hAnsi="Calibri" w:cs="Times New Roman"/>
      <w:lang w:val="en-ZA"/>
    </w:rPr>
  </w:style>
  <w:style w:type="character" w:styleId="Hyperlink">
    <w:name w:val="Hyperlink"/>
    <w:basedOn w:val="DefaultParagraphFont"/>
    <w:uiPriority w:val="99"/>
    <w:unhideWhenUsed/>
    <w:rsid w:val="0087228E"/>
    <w:rPr>
      <w:color w:val="0563C1" w:themeColor="hyperlink"/>
      <w:u w:val="single"/>
    </w:rPr>
  </w:style>
  <w:style w:type="paragraph" w:styleId="FootnoteText">
    <w:name w:val="footnote text"/>
    <w:basedOn w:val="Normal"/>
    <w:link w:val="FootnoteTextChar"/>
    <w:uiPriority w:val="99"/>
    <w:unhideWhenUsed/>
    <w:rsid w:val="00735C38"/>
    <w:pPr>
      <w:spacing w:line="240" w:lineRule="auto"/>
    </w:pPr>
    <w:rPr>
      <w:sz w:val="20"/>
      <w:szCs w:val="20"/>
    </w:rPr>
  </w:style>
  <w:style w:type="character" w:customStyle="1" w:styleId="FootnoteTextChar">
    <w:name w:val="Footnote Text Char"/>
    <w:basedOn w:val="DefaultParagraphFont"/>
    <w:link w:val="FootnoteText"/>
    <w:uiPriority w:val="99"/>
    <w:rsid w:val="00735C38"/>
    <w:rPr>
      <w:rFonts w:ascii="Arial" w:hAnsi="Arial"/>
      <w:sz w:val="20"/>
      <w:szCs w:val="20"/>
    </w:rPr>
  </w:style>
  <w:style w:type="character" w:styleId="FootnoteReference">
    <w:name w:val="footnote reference"/>
    <w:basedOn w:val="DefaultParagraphFont"/>
    <w:uiPriority w:val="99"/>
    <w:semiHidden/>
    <w:unhideWhenUsed/>
    <w:rsid w:val="00735C38"/>
    <w:rPr>
      <w:vertAlign w:val="superscript"/>
    </w:rPr>
  </w:style>
  <w:style w:type="character" w:customStyle="1" w:styleId="footnoteanchor">
    <w:name w:val="footnoteanchor"/>
    <w:basedOn w:val="DefaultParagraphFont"/>
    <w:rsid w:val="00653CCD"/>
  </w:style>
  <w:style w:type="character" w:styleId="CommentReference">
    <w:name w:val="annotation reference"/>
    <w:basedOn w:val="DefaultParagraphFont"/>
    <w:uiPriority w:val="99"/>
    <w:semiHidden/>
    <w:unhideWhenUsed/>
    <w:rsid w:val="000C5C07"/>
    <w:rPr>
      <w:sz w:val="16"/>
      <w:szCs w:val="16"/>
    </w:rPr>
  </w:style>
  <w:style w:type="paragraph" w:styleId="CommentText">
    <w:name w:val="annotation text"/>
    <w:basedOn w:val="Normal"/>
    <w:link w:val="CommentTextChar"/>
    <w:uiPriority w:val="99"/>
    <w:unhideWhenUsed/>
    <w:rsid w:val="000C5C07"/>
    <w:pPr>
      <w:spacing w:line="240" w:lineRule="auto"/>
    </w:pPr>
    <w:rPr>
      <w:sz w:val="20"/>
      <w:szCs w:val="20"/>
    </w:rPr>
  </w:style>
  <w:style w:type="character" w:customStyle="1" w:styleId="CommentTextChar">
    <w:name w:val="Comment Text Char"/>
    <w:basedOn w:val="DefaultParagraphFont"/>
    <w:link w:val="CommentText"/>
    <w:uiPriority w:val="99"/>
    <w:rsid w:val="000C5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5C07"/>
    <w:rPr>
      <w:b/>
      <w:bCs/>
    </w:rPr>
  </w:style>
  <w:style w:type="character" w:customStyle="1" w:styleId="CommentSubjectChar">
    <w:name w:val="Comment Subject Char"/>
    <w:basedOn w:val="CommentTextChar"/>
    <w:link w:val="CommentSubject"/>
    <w:uiPriority w:val="99"/>
    <w:semiHidden/>
    <w:rsid w:val="000C5C07"/>
    <w:rPr>
      <w:rFonts w:ascii="Arial" w:hAnsi="Arial"/>
      <w:b/>
      <w:bCs/>
      <w:sz w:val="20"/>
      <w:szCs w:val="20"/>
      <w:lang w:val="en-GB"/>
    </w:rPr>
  </w:style>
  <w:style w:type="paragraph" w:customStyle="1" w:styleId="western">
    <w:name w:val="western"/>
    <w:basedOn w:val="Normal"/>
    <w:rsid w:val="00CB32AB"/>
    <w:pPr>
      <w:spacing w:before="100" w:beforeAutospacing="1" w:after="100" w:afterAutospacing="1" w:line="240" w:lineRule="auto"/>
      <w:ind w:left="0" w:firstLine="0"/>
      <w:jc w:val="left"/>
    </w:pPr>
    <w:rPr>
      <w:rFonts w:ascii="Times New Roman" w:eastAsia="Times New Roman" w:hAnsi="Times New Roman" w:cs="Times New Roman"/>
      <w:szCs w:val="24"/>
      <w:lang w:val="en-ZA" w:eastAsia="en-ZA"/>
    </w:rPr>
  </w:style>
  <w:style w:type="paragraph" w:customStyle="1" w:styleId="Level1">
    <w:name w:val="Level 1"/>
    <w:uiPriority w:val="99"/>
    <w:rsid w:val="00912CF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9001">
      <w:bodyDiv w:val="1"/>
      <w:marLeft w:val="0"/>
      <w:marRight w:val="0"/>
      <w:marTop w:val="0"/>
      <w:marBottom w:val="0"/>
      <w:divBdr>
        <w:top w:val="none" w:sz="0" w:space="0" w:color="auto"/>
        <w:left w:val="none" w:sz="0" w:space="0" w:color="auto"/>
        <w:bottom w:val="none" w:sz="0" w:space="0" w:color="auto"/>
        <w:right w:val="none" w:sz="0" w:space="0" w:color="auto"/>
      </w:divBdr>
      <w:divsChild>
        <w:div w:id="316112734">
          <w:marLeft w:val="0"/>
          <w:marRight w:val="0"/>
          <w:marTop w:val="60"/>
          <w:marBottom w:val="0"/>
          <w:divBdr>
            <w:top w:val="none" w:sz="0" w:space="0" w:color="auto"/>
            <w:left w:val="none" w:sz="0" w:space="0" w:color="auto"/>
            <w:bottom w:val="none" w:sz="0" w:space="0" w:color="auto"/>
            <w:right w:val="none" w:sz="0" w:space="0" w:color="auto"/>
          </w:divBdr>
        </w:div>
        <w:div w:id="1939408540">
          <w:marLeft w:val="851"/>
          <w:marRight w:val="0"/>
          <w:marTop w:val="60"/>
          <w:marBottom w:val="0"/>
          <w:divBdr>
            <w:top w:val="none" w:sz="0" w:space="0" w:color="auto"/>
            <w:left w:val="none" w:sz="0" w:space="0" w:color="auto"/>
            <w:bottom w:val="none" w:sz="0" w:space="0" w:color="auto"/>
            <w:right w:val="none" w:sz="0" w:space="0" w:color="auto"/>
          </w:divBdr>
        </w:div>
        <w:div w:id="516383874">
          <w:marLeft w:val="0"/>
          <w:marRight w:val="0"/>
          <w:marTop w:val="20"/>
          <w:marBottom w:val="20"/>
          <w:divBdr>
            <w:top w:val="none" w:sz="0" w:space="0" w:color="auto"/>
            <w:left w:val="none" w:sz="0" w:space="0" w:color="auto"/>
            <w:bottom w:val="none" w:sz="0" w:space="0" w:color="auto"/>
            <w:right w:val="none" w:sz="0" w:space="0" w:color="auto"/>
          </w:divBdr>
        </w:div>
        <w:div w:id="8457042">
          <w:marLeft w:val="851"/>
          <w:marRight w:val="0"/>
          <w:marTop w:val="60"/>
          <w:marBottom w:val="0"/>
          <w:divBdr>
            <w:top w:val="none" w:sz="0" w:space="0" w:color="auto"/>
            <w:left w:val="none" w:sz="0" w:space="0" w:color="auto"/>
            <w:bottom w:val="none" w:sz="0" w:space="0" w:color="auto"/>
            <w:right w:val="none" w:sz="0" w:space="0" w:color="auto"/>
          </w:divBdr>
        </w:div>
        <w:div w:id="149252656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EEE3-D942-4274-9015-056A60C8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Tsana</dc:creator>
  <cp:keywords/>
  <dc:description/>
  <cp:lastModifiedBy>Mary Bruce</cp:lastModifiedBy>
  <cp:revision>3</cp:revision>
  <cp:lastPrinted>2024-02-22T12:11:00Z</cp:lastPrinted>
  <dcterms:created xsi:type="dcterms:W3CDTF">2024-03-04T06:59:00Z</dcterms:created>
  <dcterms:modified xsi:type="dcterms:W3CDTF">2024-03-04T22:08:00Z</dcterms:modified>
</cp:coreProperties>
</file>