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0E7BB" w14:textId="77777777" w:rsidR="00DB2A5E" w:rsidRDefault="00DB2A5E">
      <w:pPr>
        <w:spacing w:after="0" w:line="360" w:lineRule="auto"/>
        <w:jc w:val="center"/>
        <w:rPr>
          <w:rFonts w:ascii="Arial" w:hAnsi="Arial" w:cs="Arial"/>
          <w:b/>
          <w:sz w:val="24"/>
          <w:szCs w:val="24"/>
        </w:rPr>
      </w:pPr>
      <w:r w:rsidRPr="006F3F2A">
        <w:rPr>
          <w:rFonts w:ascii="Arial" w:hAnsi="Arial" w:cs="Arial"/>
          <w:noProof/>
          <w:sz w:val="24"/>
          <w:szCs w:val="24"/>
          <w:lang w:eastAsia="en-ZA"/>
        </w:rPr>
        <w:drawing>
          <wp:inline distT="0" distB="0" distL="0" distR="0" wp14:anchorId="7788A1E6" wp14:editId="4FB7E193">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3846C42E" w14:textId="77777777" w:rsidR="0095744A" w:rsidRDefault="0095744A">
      <w:pPr>
        <w:spacing w:after="0" w:line="360" w:lineRule="auto"/>
        <w:jc w:val="center"/>
        <w:rPr>
          <w:rFonts w:ascii="Arial" w:hAnsi="Arial" w:cs="Arial"/>
          <w:b/>
          <w:sz w:val="24"/>
          <w:szCs w:val="24"/>
        </w:rPr>
      </w:pPr>
      <w:r>
        <w:rPr>
          <w:rFonts w:ascii="Arial" w:hAnsi="Arial" w:cs="Arial"/>
          <w:b/>
          <w:sz w:val="24"/>
          <w:szCs w:val="24"/>
        </w:rPr>
        <w:t>IN THE HIGH COURT OF SOUTH AFRICA</w:t>
      </w:r>
    </w:p>
    <w:p w14:paraId="0DE0EAFC" w14:textId="77777777" w:rsidR="0095744A" w:rsidRDefault="0095744A">
      <w:pPr>
        <w:spacing w:after="0" w:line="360" w:lineRule="auto"/>
        <w:jc w:val="center"/>
        <w:rPr>
          <w:rFonts w:ascii="Arial" w:hAnsi="Arial" w:cs="Arial"/>
          <w:b/>
          <w:sz w:val="24"/>
          <w:szCs w:val="24"/>
        </w:rPr>
      </w:pPr>
      <w:r>
        <w:rPr>
          <w:rFonts w:ascii="Arial" w:hAnsi="Arial" w:cs="Arial"/>
          <w:b/>
          <w:sz w:val="24"/>
          <w:szCs w:val="24"/>
        </w:rPr>
        <w:t>(EASTERN CAPE DIVISION, MTHATHA)</w:t>
      </w:r>
    </w:p>
    <w:p w14:paraId="08A389F6" w14:textId="77777777" w:rsidR="0095744A" w:rsidRDefault="0095744A">
      <w:pPr>
        <w:spacing w:after="0" w:line="360" w:lineRule="auto"/>
        <w:jc w:val="center"/>
        <w:rPr>
          <w:rFonts w:ascii="Arial" w:hAnsi="Arial" w:cs="Arial"/>
          <w:b/>
          <w:sz w:val="24"/>
          <w:szCs w:val="24"/>
        </w:rPr>
      </w:pPr>
    </w:p>
    <w:p w14:paraId="04F04FA1" w14:textId="77777777" w:rsidR="00AA033B" w:rsidRPr="0013121A" w:rsidRDefault="0095744A" w:rsidP="00DE08B0">
      <w:pPr>
        <w:spacing w:after="0" w:line="360" w:lineRule="auto"/>
        <w:jc w:val="right"/>
        <w:rPr>
          <w:rFonts w:ascii="Arial" w:hAnsi="Arial" w:cs="Arial"/>
          <w:sz w:val="24"/>
          <w:szCs w:val="24"/>
        </w:rPr>
      </w:pPr>
      <w:r w:rsidRPr="0013121A">
        <w:rPr>
          <w:rFonts w:ascii="Arial" w:hAnsi="Arial" w:cs="Arial"/>
          <w:sz w:val="24"/>
          <w:szCs w:val="24"/>
        </w:rPr>
        <w:t>Reportable</w:t>
      </w:r>
    </w:p>
    <w:p w14:paraId="77CA7FE1" w14:textId="77777777" w:rsidR="005C2D0F" w:rsidRDefault="00D31321" w:rsidP="00DE08B0">
      <w:pPr>
        <w:spacing w:after="0" w:line="360" w:lineRule="auto"/>
        <w:jc w:val="right"/>
        <w:rPr>
          <w:rFonts w:ascii="Arial" w:hAnsi="Arial" w:cs="Arial"/>
          <w:sz w:val="24"/>
          <w:szCs w:val="24"/>
        </w:rPr>
      </w:pPr>
      <w:r w:rsidRPr="0013121A">
        <w:rPr>
          <w:rFonts w:ascii="Arial" w:hAnsi="Arial" w:cs="Arial"/>
          <w:sz w:val="24"/>
          <w:szCs w:val="24"/>
        </w:rPr>
        <w:t>C</w:t>
      </w:r>
      <w:r w:rsidR="0095744A" w:rsidRPr="0013121A">
        <w:rPr>
          <w:rFonts w:ascii="Arial" w:hAnsi="Arial" w:cs="Arial"/>
          <w:sz w:val="24"/>
          <w:szCs w:val="24"/>
        </w:rPr>
        <w:t>ase</w:t>
      </w:r>
      <w:r w:rsidRPr="0013121A">
        <w:rPr>
          <w:rFonts w:ascii="Arial" w:hAnsi="Arial" w:cs="Arial"/>
          <w:sz w:val="24"/>
          <w:szCs w:val="24"/>
        </w:rPr>
        <w:t xml:space="preserve"> </w:t>
      </w:r>
      <w:r w:rsidR="0095744A" w:rsidRPr="0013121A">
        <w:rPr>
          <w:rFonts w:ascii="Arial" w:hAnsi="Arial" w:cs="Arial"/>
          <w:sz w:val="24"/>
          <w:szCs w:val="24"/>
        </w:rPr>
        <w:t>no</w:t>
      </w:r>
      <w:r w:rsidRPr="0013121A">
        <w:rPr>
          <w:rFonts w:ascii="Arial" w:hAnsi="Arial" w:cs="Arial"/>
          <w:sz w:val="24"/>
          <w:szCs w:val="24"/>
        </w:rPr>
        <w:t>:</w:t>
      </w:r>
      <w:r w:rsidR="005C2D0F">
        <w:rPr>
          <w:rFonts w:ascii="Arial" w:hAnsi="Arial" w:cs="Arial"/>
          <w:sz w:val="24"/>
          <w:szCs w:val="24"/>
        </w:rPr>
        <w:t xml:space="preserve"> 1808/2023</w:t>
      </w:r>
    </w:p>
    <w:p w14:paraId="1BEE786B" w14:textId="77777777" w:rsidR="00D31321" w:rsidRDefault="00D31321" w:rsidP="00DE08B0">
      <w:pPr>
        <w:spacing w:after="0" w:line="360" w:lineRule="auto"/>
        <w:jc w:val="both"/>
        <w:rPr>
          <w:rFonts w:ascii="Arial" w:hAnsi="Arial" w:cs="Arial"/>
          <w:sz w:val="24"/>
          <w:szCs w:val="24"/>
        </w:rPr>
      </w:pPr>
      <w:r>
        <w:rPr>
          <w:rFonts w:ascii="Arial" w:hAnsi="Arial" w:cs="Arial"/>
          <w:sz w:val="24"/>
          <w:szCs w:val="24"/>
        </w:rPr>
        <w:t>In the matter between:</w:t>
      </w:r>
    </w:p>
    <w:p w14:paraId="268E5CBE" w14:textId="77777777" w:rsidR="00D31321" w:rsidRDefault="00D31321" w:rsidP="00DE08B0">
      <w:pPr>
        <w:spacing w:after="0" w:line="360" w:lineRule="auto"/>
        <w:jc w:val="both"/>
        <w:rPr>
          <w:rFonts w:ascii="Arial" w:hAnsi="Arial" w:cs="Arial"/>
          <w:sz w:val="24"/>
          <w:szCs w:val="24"/>
        </w:rPr>
      </w:pPr>
    </w:p>
    <w:p w14:paraId="1BC90BA8" w14:textId="77F67786" w:rsidR="00D31321" w:rsidRDefault="005C2D0F" w:rsidP="00DE08B0">
      <w:pPr>
        <w:spacing w:after="0" w:line="360" w:lineRule="auto"/>
        <w:jc w:val="both"/>
        <w:rPr>
          <w:rFonts w:ascii="Arial" w:hAnsi="Arial" w:cs="Arial"/>
          <w:b/>
          <w:sz w:val="24"/>
          <w:szCs w:val="24"/>
        </w:rPr>
      </w:pPr>
      <w:r>
        <w:rPr>
          <w:rFonts w:ascii="Arial" w:hAnsi="Arial" w:cs="Arial"/>
          <w:b/>
          <w:sz w:val="24"/>
          <w:szCs w:val="24"/>
        </w:rPr>
        <w:t>ZIFIKILE KUNENE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APPLICANT</w:t>
      </w:r>
    </w:p>
    <w:p w14:paraId="455458E0" w14:textId="77777777" w:rsidR="005C2D0F" w:rsidRDefault="005C2D0F" w:rsidP="00DE08B0">
      <w:pPr>
        <w:spacing w:after="0" w:line="360" w:lineRule="auto"/>
        <w:jc w:val="both"/>
        <w:rPr>
          <w:rFonts w:ascii="Arial" w:hAnsi="Arial" w:cs="Arial"/>
          <w:b/>
          <w:sz w:val="24"/>
          <w:szCs w:val="24"/>
        </w:rPr>
      </w:pPr>
    </w:p>
    <w:p w14:paraId="0AD0FE4E" w14:textId="4FE25354" w:rsidR="00D31321" w:rsidRDefault="00D31321" w:rsidP="00DE08B0">
      <w:pPr>
        <w:spacing w:after="0" w:line="360" w:lineRule="auto"/>
        <w:jc w:val="both"/>
        <w:rPr>
          <w:rFonts w:ascii="Arial" w:hAnsi="Arial" w:cs="Arial"/>
          <w:sz w:val="24"/>
          <w:szCs w:val="24"/>
        </w:rPr>
      </w:pPr>
      <w:r>
        <w:rPr>
          <w:rFonts w:ascii="Arial" w:hAnsi="Arial" w:cs="Arial"/>
          <w:sz w:val="24"/>
          <w:szCs w:val="24"/>
        </w:rPr>
        <w:t>and</w:t>
      </w:r>
    </w:p>
    <w:p w14:paraId="38A3A212" w14:textId="542919BE" w:rsidR="005C2D0F" w:rsidRDefault="005C2D0F" w:rsidP="00DE08B0">
      <w:pPr>
        <w:spacing w:after="0" w:line="360" w:lineRule="auto"/>
        <w:jc w:val="both"/>
        <w:rPr>
          <w:rFonts w:ascii="Arial" w:hAnsi="Arial" w:cs="Arial"/>
          <w:sz w:val="24"/>
          <w:szCs w:val="24"/>
        </w:rPr>
      </w:pPr>
    </w:p>
    <w:p w14:paraId="47CD7C18" w14:textId="4D561404" w:rsidR="005C2D0F" w:rsidRDefault="005C2D0F" w:rsidP="00DE08B0">
      <w:pPr>
        <w:spacing w:after="0" w:line="360" w:lineRule="auto"/>
        <w:jc w:val="both"/>
        <w:rPr>
          <w:rFonts w:ascii="Arial" w:hAnsi="Arial" w:cs="Arial"/>
          <w:b/>
          <w:bCs/>
          <w:sz w:val="24"/>
          <w:szCs w:val="24"/>
        </w:rPr>
      </w:pPr>
      <w:r>
        <w:rPr>
          <w:rFonts w:ascii="Arial" w:hAnsi="Arial" w:cs="Arial"/>
          <w:b/>
          <w:bCs/>
          <w:sz w:val="24"/>
          <w:szCs w:val="24"/>
        </w:rPr>
        <w:t>MONALISA BANGAZA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FIRST RESPONDENT</w:t>
      </w:r>
    </w:p>
    <w:p w14:paraId="7A4AC6E0" w14:textId="21BC6F05" w:rsidR="005C2D0F" w:rsidRDefault="005C2D0F" w:rsidP="00DE08B0">
      <w:pPr>
        <w:spacing w:after="0" w:line="360" w:lineRule="auto"/>
        <w:jc w:val="both"/>
        <w:rPr>
          <w:rFonts w:ascii="Arial" w:hAnsi="Arial" w:cs="Arial"/>
          <w:b/>
          <w:bCs/>
          <w:sz w:val="24"/>
          <w:szCs w:val="24"/>
        </w:rPr>
      </w:pPr>
    </w:p>
    <w:p w14:paraId="54FBDF2B" w14:textId="7C4EDF3C" w:rsidR="005C2D0F" w:rsidRDefault="005C2D0F" w:rsidP="00DE08B0">
      <w:pPr>
        <w:spacing w:after="0" w:line="360" w:lineRule="auto"/>
        <w:jc w:val="both"/>
        <w:rPr>
          <w:rFonts w:ascii="Arial" w:hAnsi="Arial" w:cs="Arial"/>
          <w:b/>
          <w:bCs/>
          <w:sz w:val="24"/>
          <w:szCs w:val="24"/>
        </w:rPr>
      </w:pPr>
      <w:r>
        <w:rPr>
          <w:rFonts w:ascii="Arial" w:hAnsi="Arial" w:cs="Arial"/>
          <w:b/>
          <w:bCs/>
          <w:sz w:val="24"/>
          <w:szCs w:val="24"/>
        </w:rPr>
        <w:t>AVBOB FUNERAL SERVICES – MTHATHA</w:t>
      </w:r>
      <w:r>
        <w:rPr>
          <w:rFonts w:ascii="Arial" w:hAnsi="Arial" w:cs="Arial"/>
          <w:b/>
          <w:bCs/>
          <w:sz w:val="24"/>
          <w:szCs w:val="24"/>
        </w:rPr>
        <w:tab/>
      </w:r>
      <w:r>
        <w:rPr>
          <w:rFonts w:ascii="Arial" w:hAnsi="Arial" w:cs="Arial"/>
          <w:b/>
          <w:bCs/>
          <w:sz w:val="24"/>
          <w:szCs w:val="24"/>
        </w:rPr>
        <w:tab/>
        <w:t xml:space="preserve">       SECOND RESPONDENT</w:t>
      </w:r>
    </w:p>
    <w:p w14:paraId="78D6FEC0" w14:textId="6AF7F2A0" w:rsidR="005C2D0F" w:rsidRDefault="005C2D0F" w:rsidP="00DE08B0">
      <w:pPr>
        <w:spacing w:after="0" w:line="360" w:lineRule="auto"/>
        <w:jc w:val="both"/>
        <w:rPr>
          <w:rFonts w:ascii="Arial" w:hAnsi="Arial" w:cs="Arial"/>
          <w:b/>
          <w:bCs/>
          <w:sz w:val="24"/>
          <w:szCs w:val="24"/>
        </w:rPr>
      </w:pPr>
    </w:p>
    <w:p w14:paraId="4523CD19" w14:textId="2382B167" w:rsidR="005C2D0F" w:rsidRDefault="005C2D0F" w:rsidP="00DE08B0">
      <w:pPr>
        <w:spacing w:after="0" w:line="360" w:lineRule="auto"/>
        <w:jc w:val="both"/>
        <w:rPr>
          <w:rFonts w:ascii="Arial" w:hAnsi="Arial" w:cs="Arial"/>
          <w:b/>
          <w:bCs/>
          <w:sz w:val="24"/>
          <w:szCs w:val="24"/>
        </w:rPr>
      </w:pPr>
      <w:r>
        <w:rPr>
          <w:rFonts w:ascii="Arial" w:hAnsi="Arial" w:cs="Arial"/>
          <w:b/>
          <w:bCs/>
          <w:sz w:val="24"/>
          <w:szCs w:val="24"/>
        </w:rPr>
        <w:t>ANY MEMBER OF THE SOUTH AFRICAN</w:t>
      </w:r>
    </w:p>
    <w:p w14:paraId="67DC737D" w14:textId="3F6C3FE3" w:rsidR="005C2D0F" w:rsidRPr="005C2D0F" w:rsidRDefault="005C2D0F" w:rsidP="00DE08B0">
      <w:pPr>
        <w:spacing w:after="0" w:line="360" w:lineRule="auto"/>
        <w:jc w:val="both"/>
        <w:rPr>
          <w:rFonts w:ascii="Arial" w:hAnsi="Arial" w:cs="Arial"/>
          <w:b/>
          <w:bCs/>
          <w:sz w:val="24"/>
          <w:szCs w:val="24"/>
        </w:rPr>
      </w:pPr>
      <w:r>
        <w:rPr>
          <w:rFonts w:ascii="Arial" w:hAnsi="Arial" w:cs="Arial"/>
          <w:b/>
          <w:bCs/>
          <w:sz w:val="24"/>
          <w:szCs w:val="24"/>
        </w:rPr>
        <w:t>POLICE SERVICES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THIRD RESPONDENT</w:t>
      </w:r>
    </w:p>
    <w:p w14:paraId="0EB8BAC0" w14:textId="77777777" w:rsidR="00D31321" w:rsidRDefault="00D31321" w:rsidP="00DE08B0">
      <w:pPr>
        <w:spacing w:after="0" w:line="360" w:lineRule="auto"/>
        <w:jc w:val="both"/>
        <w:rPr>
          <w:rFonts w:ascii="Arial" w:hAnsi="Arial" w:cs="Arial"/>
          <w:sz w:val="24"/>
          <w:szCs w:val="24"/>
        </w:rPr>
      </w:pPr>
    </w:p>
    <w:p w14:paraId="1DF95130" w14:textId="0C67016C" w:rsidR="005C2D0F" w:rsidRPr="0013121A" w:rsidRDefault="005C2D0F" w:rsidP="005C2D0F">
      <w:pPr>
        <w:spacing w:after="0" w:line="360" w:lineRule="auto"/>
        <w:rPr>
          <w:rFonts w:ascii="Arial" w:hAnsi="Arial" w:cs="Arial"/>
          <w:sz w:val="24"/>
          <w:szCs w:val="24"/>
        </w:rPr>
      </w:pPr>
      <w:r w:rsidRPr="0013121A">
        <w:rPr>
          <w:rFonts w:ascii="Arial" w:hAnsi="Arial" w:cs="Arial"/>
          <w:sz w:val="24"/>
          <w:szCs w:val="24"/>
        </w:rPr>
        <w:t xml:space="preserve">Date heard: </w:t>
      </w:r>
      <w:r>
        <w:rPr>
          <w:rFonts w:ascii="Arial" w:hAnsi="Arial" w:cs="Arial"/>
          <w:sz w:val="24"/>
          <w:szCs w:val="24"/>
        </w:rPr>
        <w:t>8 March 2024</w:t>
      </w:r>
    </w:p>
    <w:p w14:paraId="00AC6ACB" w14:textId="24CF7433" w:rsidR="005C2D0F" w:rsidRPr="0013121A" w:rsidRDefault="005C2D0F" w:rsidP="005C2D0F">
      <w:pPr>
        <w:spacing w:after="0" w:line="360" w:lineRule="auto"/>
        <w:rPr>
          <w:rFonts w:ascii="Arial" w:hAnsi="Arial" w:cs="Arial"/>
          <w:sz w:val="24"/>
          <w:szCs w:val="24"/>
        </w:rPr>
      </w:pPr>
      <w:r w:rsidRPr="0013121A">
        <w:rPr>
          <w:rFonts w:ascii="Arial" w:hAnsi="Arial" w:cs="Arial"/>
          <w:sz w:val="24"/>
          <w:szCs w:val="24"/>
        </w:rPr>
        <w:t xml:space="preserve">Date delivered: </w:t>
      </w:r>
      <w:r>
        <w:rPr>
          <w:rFonts w:ascii="Arial" w:hAnsi="Arial" w:cs="Arial"/>
          <w:sz w:val="24"/>
          <w:szCs w:val="24"/>
        </w:rPr>
        <w:t>9 April 2024</w:t>
      </w:r>
      <w:r w:rsidRPr="0013121A">
        <w:rPr>
          <w:rFonts w:ascii="Arial" w:hAnsi="Arial" w:cs="Arial"/>
          <w:sz w:val="24"/>
          <w:szCs w:val="24"/>
        </w:rPr>
        <w:t xml:space="preserve">        </w:t>
      </w:r>
    </w:p>
    <w:p w14:paraId="5689EC7A" w14:textId="77777777" w:rsidR="00D31321" w:rsidRDefault="00D31321" w:rsidP="00DE08B0">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14:paraId="0441DA7E" w14:textId="77777777" w:rsidR="00675FE1" w:rsidRDefault="00675FE1" w:rsidP="00DE08B0">
      <w:pPr>
        <w:spacing w:after="0" w:line="360" w:lineRule="auto"/>
        <w:jc w:val="center"/>
        <w:rPr>
          <w:rFonts w:ascii="Arial" w:hAnsi="Arial" w:cs="Arial"/>
          <w:b/>
          <w:sz w:val="24"/>
          <w:szCs w:val="24"/>
        </w:rPr>
      </w:pPr>
    </w:p>
    <w:p w14:paraId="6D67C2E7" w14:textId="77777777" w:rsidR="00D31321" w:rsidRDefault="00D31321" w:rsidP="00DE08B0">
      <w:pPr>
        <w:spacing w:after="0" w:line="360" w:lineRule="auto"/>
        <w:jc w:val="center"/>
        <w:rPr>
          <w:rFonts w:ascii="Arial" w:hAnsi="Arial" w:cs="Arial"/>
          <w:b/>
          <w:sz w:val="24"/>
          <w:szCs w:val="24"/>
        </w:rPr>
      </w:pPr>
      <w:r>
        <w:rPr>
          <w:rFonts w:ascii="Arial" w:hAnsi="Arial" w:cs="Arial"/>
          <w:b/>
          <w:sz w:val="24"/>
          <w:szCs w:val="24"/>
        </w:rPr>
        <w:t>JUDGMENT</w:t>
      </w:r>
    </w:p>
    <w:p w14:paraId="40ACFB6C" w14:textId="77777777" w:rsidR="00D31321" w:rsidRDefault="00D31321" w:rsidP="00DE08B0">
      <w:pPr>
        <w:spacing w:after="0" w:line="360" w:lineRule="auto"/>
        <w:jc w:val="both"/>
        <w:rPr>
          <w:rFonts w:ascii="Arial" w:hAnsi="Arial" w:cs="Arial"/>
          <w:sz w:val="24"/>
          <w:szCs w:val="24"/>
        </w:rPr>
      </w:pPr>
      <w:r w:rsidRPr="00D31321">
        <w:rPr>
          <w:rFonts w:ascii="Arial" w:hAnsi="Arial" w:cs="Arial"/>
          <w:sz w:val="24"/>
          <w:szCs w:val="24"/>
        </w:rPr>
        <w:t>__________________________________________________________________</w:t>
      </w:r>
      <w:r>
        <w:rPr>
          <w:rFonts w:ascii="Arial" w:hAnsi="Arial" w:cs="Arial"/>
          <w:sz w:val="24"/>
          <w:szCs w:val="24"/>
        </w:rPr>
        <w:t>_</w:t>
      </w:r>
    </w:p>
    <w:p w14:paraId="47364077" w14:textId="77777777" w:rsidR="0039306E" w:rsidRDefault="002070EC" w:rsidP="0039306E">
      <w:pPr>
        <w:spacing w:after="0" w:line="360" w:lineRule="auto"/>
        <w:jc w:val="both"/>
        <w:rPr>
          <w:rFonts w:ascii="Arial" w:hAnsi="Arial" w:cs="Arial"/>
          <w:b/>
          <w:sz w:val="24"/>
          <w:szCs w:val="24"/>
        </w:rPr>
      </w:pPr>
      <w:r>
        <w:rPr>
          <w:rFonts w:ascii="Arial" w:hAnsi="Arial" w:cs="Arial"/>
          <w:b/>
          <w:sz w:val="24"/>
          <w:szCs w:val="24"/>
        </w:rPr>
        <w:t>N</w:t>
      </w:r>
      <w:r w:rsidR="00352894">
        <w:rPr>
          <w:rFonts w:ascii="Arial" w:hAnsi="Arial" w:cs="Arial"/>
          <w:b/>
          <w:sz w:val="24"/>
          <w:szCs w:val="24"/>
        </w:rPr>
        <w:t>otyesi</w:t>
      </w:r>
      <w:r>
        <w:rPr>
          <w:rFonts w:ascii="Arial" w:hAnsi="Arial" w:cs="Arial"/>
          <w:b/>
          <w:sz w:val="24"/>
          <w:szCs w:val="24"/>
        </w:rPr>
        <w:t xml:space="preserve"> AJ</w:t>
      </w:r>
    </w:p>
    <w:p w14:paraId="0753F418" w14:textId="77777777" w:rsidR="00AA6BA8" w:rsidRPr="0039306E" w:rsidRDefault="00AA6BA8" w:rsidP="0039306E">
      <w:pPr>
        <w:spacing w:after="0" w:line="360" w:lineRule="auto"/>
        <w:jc w:val="both"/>
        <w:rPr>
          <w:rFonts w:ascii="Arial" w:hAnsi="Arial" w:cs="Arial"/>
          <w:b/>
          <w:sz w:val="24"/>
          <w:szCs w:val="24"/>
        </w:rPr>
      </w:pPr>
    </w:p>
    <w:p w14:paraId="3AC7EE8C" w14:textId="77777777" w:rsidR="0039306E" w:rsidRDefault="00AA6BA8" w:rsidP="0039306E">
      <w:pPr>
        <w:spacing w:after="0" w:line="360" w:lineRule="auto"/>
        <w:jc w:val="both"/>
        <w:rPr>
          <w:rFonts w:ascii="Arial" w:hAnsi="Arial" w:cs="Arial"/>
          <w:b/>
          <w:sz w:val="24"/>
          <w:szCs w:val="24"/>
        </w:rPr>
      </w:pPr>
      <w:r>
        <w:rPr>
          <w:rFonts w:ascii="Arial" w:hAnsi="Arial" w:cs="Arial"/>
          <w:b/>
          <w:sz w:val="24"/>
          <w:szCs w:val="24"/>
        </w:rPr>
        <w:t>Introduction</w:t>
      </w:r>
    </w:p>
    <w:p w14:paraId="1FB313F0" w14:textId="7D77E01C" w:rsidR="005C2D0F" w:rsidRDefault="00586AA4" w:rsidP="00586AA4">
      <w:pPr>
        <w:spacing w:after="240"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5C2D0F">
        <w:rPr>
          <w:rFonts w:ascii="Arial" w:hAnsi="Arial" w:cs="Arial"/>
          <w:sz w:val="24"/>
          <w:szCs w:val="24"/>
        </w:rPr>
        <w:t xml:space="preserve">On 4 July 2023, this Court dismissed an application launched by </w:t>
      </w:r>
      <w:r w:rsidR="00332C6F">
        <w:rPr>
          <w:rFonts w:ascii="Arial" w:hAnsi="Arial" w:cs="Arial"/>
          <w:sz w:val="24"/>
          <w:szCs w:val="24"/>
        </w:rPr>
        <w:t>the applicant against the first respondent</w:t>
      </w:r>
      <w:r w:rsidR="005C2D0F">
        <w:rPr>
          <w:rFonts w:ascii="Arial" w:hAnsi="Arial" w:cs="Arial"/>
          <w:sz w:val="24"/>
          <w:szCs w:val="24"/>
        </w:rPr>
        <w:t xml:space="preserve">, in terms wherein she was challenging the validity of a customary marriage </w:t>
      </w:r>
      <w:proofErr w:type="gramStart"/>
      <w:r w:rsidR="005C2D0F">
        <w:rPr>
          <w:rFonts w:ascii="Arial" w:hAnsi="Arial" w:cs="Arial"/>
          <w:sz w:val="24"/>
          <w:szCs w:val="24"/>
        </w:rPr>
        <w:t>entered into</w:t>
      </w:r>
      <w:proofErr w:type="gramEnd"/>
      <w:r w:rsidR="005C2D0F">
        <w:rPr>
          <w:rFonts w:ascii="Arial" w:hAnsi="Arial" w:cs="Arial"/>
          <w:sz w:val="24"/>
          <w:szCs w:val="24"/>
        </w:rPr>
        <w:t xml:space="preserve"> between her late father and the first respondent. </w:t>
      </w:r>
      <w:r w:rsidR="00332C6F">
        <w:rPr>
          <w:rFonts w:ascii="Arial" w:hAnsi="Arial" w:cs="Arial"/>
          <w:sz w:val="24"/>
          <w:szCs w:val="24"/>
        </w:rPr>
        <w:t xml:space="preserve">In that application, the applicant was contending that the marriage between her father </w:t>
      </w:r>
      <w:r w:rsidR="00887BC5">
        <w:rPr>
          <w:rFonts w:ascii="Arial" w:hAnsi="Arial" w:cs="Arial"/>
          <w:sz w:val="24"/>
          <w:szCs w:val="24"/>
        </w:rPr>
        <w:t>and the first respondent was not compliant with the provisions of section 3(1)(b) of the Customary Marriages Act, 120 of 19</w:t>
      </w:r>
      <w:r w:rsidR="00AF31A1">
        <w:rPr>
          <w:rFonts w:ascii="Arial" w:hAnsi="Arial" w:cs="Arial"/>
          <w:sz w:val="24"/>
          <w:szCs w:val="24"/>
        </w:rPr>
        <w:t xml:space="preserve">88 (“the Act”). </w:t>
      </w:r>
      <w:r w:rsidR="00E53EE6">
        <w:rPr>
          <w:rFonts w:ascii="Arial" w:hAnsi="Arial" w:cs="Arial"/>
          <w:sz w:val="24"/>
          <w:szCs w:val="24"/>
        </w:rPr>
        <w:t xml:space="preserve">Upon analysis of the evidence and the documents filed, this Court became satisfied that the provisions of section 3(1)(b) were complied </w:t>
      </w:r>
      <w:proofErr w:type="gramStart"/>
      <w:r w:rsidR="00E53EE6">
        <w:rPr>
          <w:rFonts w:ascii="Arial" w:hAnsi="Arial" w:cs="Arial"/>
          <w:sz w:val="24"/>
          <w:szCs w:val="24"/>
        </w:rPr>
        <w:t>with</w:t>
      </w:r>
      <w:proofErr w:type="gramEnd"/>
      <w:r w:rsidR="00E53EE6">
        <w:rPr>
          <w:rFonts w:ascii="Arial" w:hAnsi="Arial" w:cs="Arial"/>
          <w:sz w:val="24"/>
          <w:szCs w:val="24"/>
        </w:rPr>
        <w:t xml:space="preserve"> and that the customary marriage was valid. </w:t>
      </w:r>
    </w:p>
    <w:p w14:paraId="1B84A552" w14:textId="19195FAB" w:rsidR="00E05E03" w:rsidRDefault="00586AA4" w:rsidP="00586AA4">
      <w:pPr>
        <w:spacing w:after="24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05E03">
        <w:rPr>
          <w:rFonts w:ascii="Arial" w:hAnsi="Arial" w:cs="Arial"/>
          <w:sz w:val="24"/>
          <w:szCs w:val="24"/>
        </w:rPr>
        <w:t xml:space="preserve">Unhappy with the findings of the Court, the applicant has launched an application for leave to appeal the dismissal of the main application. </w:t>
      </w:r>
      <w:r w:rsidR="00F06B61">
        <w:rPr>
          <w:rFonts w:ascii="Arial" w:hAnsi="Arial" w:cs="Arial"/>
          <w:sz w:val="24"/>
          <w:szCs w:val="24"/>
        </w:rPr>
        <w:t xml:space="preserve">The application is founded on numerous grounds. </w:t>
      </w:r>
      <w:r w:rsidR="00426221">
        <w:rPr>
          <w:rFonts w:ascii="Arial" w:hAnsi="Arial" w:cs="Arial"/>
          <w:sz w:val="24"/>
          <w:szCs w:val="24"/>
        </w:rPr>
        <w:t xml:space="preserve">Although the application for leave to appeal was initially set down for hearing on 9 February 2024, it turned out that the notice of application for leave to appeal was defective and that the applicant needed to file condonation for the late launch of the application for leave to appeal. </w:t>
      </w:r>
      <w:r w:rsidR="00C62DC0">
        <w:rPr>
          <w:rFonts w:ascii="Arial" w:hAnsi="Arial" w:cs="Arial"/>
          <w:sz w:val="24"/>
          <w:szCs w:val="24"/>
        </w:rPr>
        <w:t xml:space="preserve">This Court heard the leave to appeal on 8 March 2024 after granting the condonation application. </w:t>
      </w:r>
      <w:r w:rsidR="00E565E5">
        <w:rPr>
          <w:rFonts w:ascii="Arial" w:hAnsi="Arial" w:cs="Arial"/>
          <w:sz w:val="24"/>
          <w:szCs w:val="24"/>
        </w:rPr>
        <w:t xml:space="preserve">I have considered all the grounds set out by the applicant in the application for leave to appeal. </w:t>
      </w:r>
    </w:p>
    <w:p w14:paraId="589D37BC" w14:textId="4BAD00AC" w:rsidR="00E565E5" w:rsidRPr="00E565E5" w:rsidRDefault="00E565E5" w:rsidP="00E565E5">
      <w:pPr>
        <w:spacing w:after="240" w:line="360" w:lineRule="auto"/>
        <w:jc w:val="both"/>
        <w:rPr>
          <w:rFonts w:ascii="Arial" w:hAnsi="Arial" w:cs="Arial"/>
          <w:b/>
          <w:bCs/>
          <w:sz w:val="24"/>
          <w:szCs w:val="24"/>
        </w:rPr>
      </w:pPr>
      <w:r>
        <w:rPr>
          <w:rFonts w:ascii="Arial" w:hAnsi="Arial" w:cs="Arial"/>
          <w:b/>
          <w:bCs/>
          <w:sz w:val="24"/>
          <w:szCs w:val="24"/>
        </w:rPr>
        <w:t>Legal framework</w:t>
      </w:r>
    </w:p>
    <w:p w14:paraId="1823EA9A" w14:textId="63A0563D" w:rsidR="00E565E5" w:rsidRDefault="00586AA4" w:rsidP="00586AA4">
      <w:pPr>
        <w:spacing w:after="24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265F2">
        <w:rPr>
          <w:rFonts w:ascii="Arial" w:hAnsi="Arial" w:cs="Arial"/>
          <w:sz w:val="24"/>
          <w:szCs w:val="24"/>
        </w:rPr>
        <w:t>Section 17(1) of the Superior Courts Act 10 of 2013</w:t>
      </w:r>
      <w:r w:rsidR="009143B6">
        <w:rPr>
          <w:rStyle w:val="FootnoteReference"/>
          <w:rFonts w:ascii="Arial" w:hAnsi="Arial" w:cs="Arial"/>
          <w:sz w:val="24"/>
          <w:szCs w:val="24"/>
        </w:rPr>
        <w:footnoteReference w:id="1"/>
      </w:r>
      <w:r w:rsidR="00C265F2">
        <w:rPr>
          <w:rFonts w:ascii="Arial" w:hAnsi="Arial" w:cs="Arial"/>
          <w:sz w:val="24"/>
          <w:szCs w:val="24"/>
        </w:rPr>
        <w:t xml:space="preserve"> provides as follows:</w:t>
      </w:r>
    </w:p>
    <w:p w14:paraId="7AF6E542" w14:textId="120D8EE7" w:rsidR="00C265F2" w:rsidRDefault="00C265F2" w:rsidP="00C265F2">
      <w:pPr>
        <w:spacing w:after="240" w:line="360" w:lineRule="auto"/>
        <w:ind w:left="720"/>
        <w:jc w:val="both"/>
        <w:rPr>
          <w:rFonts w:ascii="Arial" w:hAnsi="Arial" w:cs="Arial"/>
        </w:rPr>
      </w:pPr>
      <w:r w:rsidRPr="00C265F2">
        <w:rPr>
          <w:rFonts w:ascii="Arial" w:hAnsi="Arial" w:cs="Arial"/>
        </w:rPr>
        <w:t xml:space="preserve">‘(1) Leave to appeal </w:t>
      </w:r>
      <w:r>
        <w:rPr>
          <w:rFonts w:ascii="Arial" w:hAnsi="Arial" w:cs="Arial"/>
        </w:rPr>
        <w:t>may only be given where the judge or judges concerned are of the opinion that</w:t>
      </w:r>
      <w:r w:rsidR="009143B6">
        <w:rPr>
          <w:rFonts w:ascii="Arial" w:hAnsi="Arial" w:cs="Arial"/>
        </w:rPr>
        <w:t>:</w:t>
      </w:r>
    </w:p>
    <w:p w14:paraId="2D2FF422" w14:textId="6880D321" w:rsidR="009143B6" w:rsidRDefault="009143B6" w:rsidP="00C265F2">
      <w:pPr>
        <w:spacing w:after="240" w:line="360" w:lineRule="auto"/>
        <w:ind w:left="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the appeal would have a reasonable prospect of success; or</w:t>
      </w:r>
    </w:p>
    <w:p w14:paraId="31309838" w14:textId="04700A89" w:rsidR="009143B6" w:rsidRDefault="009143B6" w:rsidP="009143B6">
      <w:pPr>
        <w:spacing w:after="240" w:line="360" w:lineRule="auto"/>
        <w:ind w:left="1440" w:hanging="720"/>
        <w:jc w:val="both"/>
        <w:rPr>
          <w:rFonts w:ascii="Arial" w:hAnsi="Arial" w:cs="Arial"/>
        </w:rPr>
      </w:pPr>
      <w:r>
        <w:rPr>
          <w:rFonts w:ascii="Arial" w:hAnsi="Arial" w:cs="Arial"/>
        </w:rPr>
        <w:t>(ii)</w:t>
      </w:r>
      <w:r>
        <w:rPr>
          <w:rFonts w:ascii="Arial" w:hAnsi="Arial" w:cs="Arial"/>
        </w:rPr>
        <w:tab/>
        <w:t>there is some other compelling reason why the appeal should be heard, including conflicting judgments on the matter under consideration.</w:t>
      </w:r>
    </w:p>
    <w:p w14:paraId="5950CC4F" w14:textId="77C569A0" w:rsidR="009143B6" w:rsidRDefault="009143B6" w:rsidP="009143B6">
      <w:pPr>
        <w:spacing w:after="240" w:line="360" w:lineRule="auto"/>
        <w:ind w:left="1440" w:hanging="720"/>
        <w:jc w:val="both"/>
        <w:rPr>
          <w:rFonts w:ascii="Arial" w:hAnsi="Arial" w:cs="Arial"/>
        </w:rPr>
      </w:pPr>
      <w:r>
        <w:rPr>
          <w:rFonts w:ascii="Arial" w:hAnsi="Arial" w:cs="Arial"/>
        </w:rPr>
        <w:t>(b)</w:t>
      </w:r>
      <w:r>
        <w:rPr>
          <w:rFonts w:ascii="Arial" w:hAnsi="Arial" w:cs="Arial"/>
        </w:rPr>
        <w:tab/>
        <w:t>the decision sought on appeal does not fall within the ambit of section 16(2)(a);</w:t>
      </w:r>
    </w:p>
    <w:p w14:paraId="6B721117" w14:textId="1679A9DA" w:rsidR="009143B6" w:rsidRDefault="009143B6" w:rsidP="00C647C9">
      <w:pPr>
        <w:spacing w:after="240" w:line="360" w:lineRule="auto"/>
        <w:ind w:left="1440"/>
        <w:jc w:val="both"/>
        <w:rPr>
          <w:rFonts w:ascii="Arial" w:hAnsi="Arial" w:cs="Arial"/>
        </w:rPr>
      </w:pPr>
      <w:r>
        <w:rPr>
          <w:rFonts w:ascii="Arial" w:hAnsi="Arial" w:cs="Arial"/>
        </w:rPr>
        <w:t>and</w:t>
      </w:r>
    </w:p>
    <w:p w14:paraId="1224251F" w14:textId="048F1672" w:rsidR="009143B6" w:rsidRPr="00C265F2" w:rsidRDefault="009143B6" w:rsidP="009143B6">
      <w:pPr>
        <w:spacing w:after="240" w:line="360" w:lineRule="auto"/>
        <w:ind w:left="1440" w:hanging="720"/>
        <w:jc w:val="both"/>
        <w:rPr>
          <w:rFonts w:ascii="Arial" w:hAnsi="Arial" w:cs="Arial"/>
        </w:rPr>
      </w:pPr>
      <w:r>
        <w:rPr>
          <w:rFonts w:ascii="Arial" w:hAnsi="Arial" w:cs="Arial"/>
        </w:rPr>
        <w:lastRenderedPageBreak/>
        <w:t>(c)</w:t>
      </w:r>
      <w:r>
        <w:rPr>
          <w:rFonts w:ascii="Arial" w:hAnsi="Arial" w:cs="Arial"/>
        </w:rPr>
        <w:tab/>
        <w:t>where the decision sought to be appealed does not dispose of all the issues in the case, the appeal would lead to a just and prompt resolution of the real issues between the parties.’</w:t>
      </w:r>
    </w:p>
    <w:p w14:paraId="7B495192" w14:textId="0A07ADB9" w:rsidR="005C2D0F" w:rsidRDefault="00586AA4" w:rsidP="00586AA4">
      <w:pPr>
        <w:spacing w:after="24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143B6">
        <w:rPr>
          <w:rFonts w:ascii="Arial" w:hAnsi="Arial" w:cs="Arial"/>
          <w:sz w:val="24"/>
          <w:szCs w:val="24"/>
        </w:rPr>
        <w:t xml:space="preserve">Previously, the test applied in an application for leave was whether there were reasonable prospects that another court </w:t>
      </w:r>
      <w:r w:rsidR="009143B6">
        <w:rPr>
          <w:rFonts w:ascii="Arial" w:hAnsi="Arial" w:cs="Arial"/>
          <w:sz w:val="24"/>
          <w:szCs w:val="24"/>
          <w:u w:val="single"/>
        </w:rPr>
        <w:t>may</w:t>
      </w:r>
      <w:r w:rsidR="009143B6">
        <w:rPr>
          <w:rFonts w:ascii="Arial" w:hAnsi="Arial" w:cs="Arial"/>
          <w:sz w:val="24"/>
          <w:szCs w:val="24"/>
        </w:rPr>
        <w:t xml:space="preserve"> come to a different conclusion.</w:t>
      </w:r>
      <w:r w:rsidR="009143B6">
        <w:rPr>
          <w:rStyle w:val="FootnoteReference"/>
          <w:rFonts w:ascii="Arial" w:hAnsi="Arial" w:cs="Arial"/>
          <w:sz w:val="24"/>
          <w:szCs w:val="24"/>
        </w:rPr>
        <w:footnoteReference w:id="2"/>
      </w:r>
      <w:r w:rsidR="009143B6">
        <w:rPr>
          <w:rFonts w:ascii="Arial" w:hAnsi="Arial" w:cs="Arial"/>
          <w:sz w:val="24"/>
          <w:szCs w:val="24"/>
        </w:rPr>
        <w:t xml:space="preserve"> It is now only granted if a court </w:t>
      </w:r>
      <w:r w:rsidR="009143B6">
        <w:rPr>
          <w:rFonts w:ascii="Arial" w:hAnsi="Arial" w:cs="Arial"/>
          <w:sz w:val="24"/>
          <w:szCs w:val="24"/>
          <w:u w:val="single"/>
        </w:rPr>
        <w:t>would</w:t>
      </w:r>
      <w:r w:rsidR="009143B6">
        <w:rPr>
          <w:rFonts w:ascii="Arial" w:hAnsi="Arial" w:cs="Arial"/>
          <w:sz w:val="24"/>
          <w:szCs w:val="24"/>
        </w:rPr>
        <w:t xml:space="preserve"> come to a different conclusion. This is gleaned from section 17(1) itself. In </w:t>
      </w:r>
      <w:r w:rsidR="009143B6">
        <w:rPr>
          <w:rFonts w:ascii="Arial" w:hAnsi="Arial" w:cs="Arial"/>
          <w:i/>
          <w:iCs/>
          <w:sz w:val="24"/>
          <w:szCs w:val="24"/>
        </w:rPr>
        <w:t xml:space="preserve">The Mont </w:t>
      </w:r>
      <w:proofErr w:type="spellStart"/>
      <w:r w:rsidR="009143B6">
        <w:rPr>
          <w:rFonts w:ascii="Arial" w:hAnsi="Arial" w:cs="Arial"/>
          <w:i/>
          <w:iCs/>
          <w:sz w:val="24"/>
          <w:szCs w:val="24"/>
        </w:rPr>
        <w:t>Chevaux</w:t>
      </w:r>
      <w:proofErr w:type="spellEnd"/>
      <w:r w:rsidR="009143B6">
        <w:rPr>
          <w:rFonts w:ascii="Arial" w:hAnsi="Arial" w:cs="Arial"/>
          <w:i/>
          <w:iCs/>
          <w:sz w:val="24"/>
          <w:szCs w:val="24"/>
        </w:rPr>
        <w:t xml:space="preserve"> Trust v Tina Goosen and 18 Others</w:t>
      </w:r>
      <w:r w:rsidR="009143B6">
        <w:rPr>
          <w:rStyle w:val="FootnoteReference"/>
          <w:rFonts w:ascii="Arial" w:hAnsi="Arial" w:cs="Arial"/>
          <w:i/>
          <w:iCs/>
          <w:sz w:val="24"/>
          <w:szCs w:val="24"/>
        </w:rPr>
        <w:footnoteReference w:id="3"/>
      </w:r>
      <w:r w:rsidR="009143B6">
        <w:rPr>
          <w:rFonts w:ascii="Arial" w:hAnsi="Arial" w:cs="Arial"/>
          <w:i/>
          <w:iCs/>
          <w:sz w:val="24"/>
          <w:szCs w:val="24"/>
        </w:rPr>
        <w:t xml:space="preserve"> </w:t>
      </w:r>
      <w:r w:rsidR="009143B6">
        <w:rPr>
          <w:rFonts w:ascii="Arial" w:hAnsi="Arial" w:cs="Arial"/>
          <w:sz w:val="24"/>
          <w:szCs w:val="24"/>
        </w:rPr>
        <w:t>Bertelsmann J held as follows:</w:t>
      </w:r>
    </w:p>
    <w:p w14:paraId="3F35AA05" w14:textId="2713C381" w:rsidR="009143B6" w:rsidRPr="009143B6" w:rsidRDefault="009143B6" w:rsidP="009143B6">
      <w:pPr>
        <w:spacing w:after="240" w:line="360" w:lineRule="auto"/>
        <w:jc w:val="both"/>
        <w:rPr>
          <w:rFonts w:ascii="Arial" w:hAnsi="Arial" w:cs="Arial"/>
        </w:rPr>
      </w:pPr>
      <w:r>
        <w:rPr>
          <w:rFonts w:ascii="Arial" w:hAnsi="Arial" w:cs="Arial"/>
        </w:rPr>
        <w:t>‘</w:t>
      </w:r>
      <w:proofErr w:type="gramStart"/>
      <w:r>
        <w:rPr>
          <w:rFonts w:ascii="Arial" w:hAnsi="Arial" w:cs="Arial"/>
        </w:rPr>
        <w:t>It is clear that the</w:t>
      </w:r>
      <w:proofErr w:type="gramEnd"/>
      <w:r>
        <w:rPr>
          <w:rFonts w:ascii="Arial" w:hAnsi="Arial" w:cs="Arial"/>
        </w:rPr>
        <w:t xml:space="preserve"> threshold for granting leave to appeal a judgment of a High Court has been raised in the new Act, the former test whether leave to appeal should be granted was a reasonable prospect that another court might come to a different conclusion, see </w:t>
      </w:r>
      <w:r>
        <w:rPr>
          <w:rFonts w:ascii="Arial" w:hAnsi="Arial" w:cs="Arial"/>
          <w:i/>
          <w:iCs/>
        </w:rPr>
        <w:t xml:space="preserve">Van Heerden v </w:t>
      </w:r>
      <w:proofErr w:type="spellStart"/>
      <w:r>
        <w:rPr>
          <w:rFonts w:ascii="Arial" w:hAnsi="Arial" w:cs="Arial"/>
          <w:i/>
          <w:iCs/>
        </w:rPr>
        <w:t>Crownwright</w:t>
      </w:r>
      <w:proofErr w:type="spellEnd"/>
      <w:r>
        <w:rPr>
          <w:rFonts w:ascii="Arial" w:hAnsi="Arial" w:cs="Arial"/>
          <w:i/>
          <w:iCs/>
        </w:rPr>
        <w:t xml:space="preserve"> &amp; Others</w:t>
      </w:r>
      <w:r>
        <w:rPr>
          <w:rFonts w:ascii="Arial" w:hAnsi="Arial" w:cs="Arial"/>
        </w:rPr>
        <w:t>.</w:t>
      </w:r>
      <w:r w:rsidR="006929F0">
        <w:rPr>
          <w:rFonts w:ascii="Arial" w:hAnsi="Arial" w:cs="Arial"/>
        </w:rPr>
        <w:t xml:space="preserve"> 1985 (2) SA 342 (T) at 342H</w:t>
      </w:r>
      <w:r>
        <w:rPr>
          <w:rFonts w:ascii="Arial" w:hAnsi="Arial" w:cs="Arial"/>
        </w:rPr>
        <w:t xml:space="preserve"> The use of the word “would” in the new statute indicates a measure of certainty that another court will differ from the court whose judgment is sought to be appealed against.’</w:t>
      </w:r>
    </w:p>
    <w:p w14:paraId="02377ED2" w14:textId="3EC79764" w:rsidR="005C2D0F" w:rsidRDefault="00586AA4" w:rsidP="00586AA4">
      <w:pPr>
        <w:spacing w:after="24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FD6306">
        <w:rPr>
          <w:rFonts w:ascii="Arial" w:hAnsi="Arial" w:cs="Arial"/>
          <w:sz w:val="24"/>
          <w:szCs w:val="24"/>
        </w:rPr>
        <w:t xml:space="preserve">In </w:t>
      </w:r>
      <w:r w:rsidR="00FD6306" w:rsidRPr="00FD6306">
        <w:rPr>
          <w:rFonts w:ascii="Arial" w:hAnsi="Arial" w:cs="Arial"/>
          <w:i/>
          <w:iCs/>
          <w:sz w:val="24"/>
          <w:szCs w:val="24"/>
        </w:rPr>
        <w:t>Smith</w:t>
      </w:r>
      <w:r w:rsidR="006929F0" w:rsidRPr="00FD6306">
        <w:rPr>
          <w:rFonts w:ascii="Arial" w:hAnsi="Arial" w:cs="Arial"/>
          <w:i/>
          <w:iCs/>
          <w:sz w:val="24"/>
          <w:szCs w:val="24"/>
        </w:rPr>
        <w:t xml:space="preserve"> v The State</w:t>
      </w:r>
      <w:r w:rsidR="00C76128">
        <w:rPr>
          <w:rFonts w:ascii="Arial" w:hAnsi="Arial" w:cs="Arial"/>
          <w:sz w:val="24"/>
          <w:szCs w:val="24"/>
        </w:rPr>
        <w:t xml:space="preserve"> Plasket AJA (as he then was) held that the test is now more stringent. He held as follows:</w:t>
      </w:r>
    </w:p>
    <w:p w14:paraId="6430CFE8" w14:textId="0BED3226" w:rsidR="00C76128" w:rsidRPr="00C76128" w:rsidRDefault="00C76128" w:rsidP="00C76128">
      <w:pPr>
        <w:spacing w:after="240" w:line="360" w:lineRule="auto"/>
        <w:jc w:val="both"/>
        <w:rPr>
          <w:rFonts w:ascii="Arial" w:hAnsi="Arial" w:cs="Arial"/>
        </w:rPr>
      </w:pPr>
      <w:r>
        <w:rPr>
          <w:rFonts w:ascii="Arial" w:hAnsi="Arial" w:cs="Arial"/>
          <w:sz w:val="24"/>
          <w:szCs w:val="24"/>
        </w:rPr>
        <w:t>‘</w:t>
      </w:r>
      <w:proofErr w:type="gramStart"/>
      <w:r>
        <w:rPr>
          <w:rFonts w:ascii="Arial" w:hAnsi="Arial" w:cs="Arial"/>
        </w:rPr>
        <w:t>what</w:t>
      </w:r>
      <w:proofErr w:type="gramEnd"/>
      <w:r>
        <w:rPr>
          <w:rFonts w:ascii="Arial" w:hAnsi="Arial" w:cs="Arial"/>
        </w:rPr>
        <w:t xml:space="preserve"> the test of reasonable prospects of success postulates is a dispassionate decision, based on the facts and the law, that a court of appeal could reasonably arrive at a conclusion different to that of the trial court. In order to succeed,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of appeal.’</w:t>
      </w:r>
    </w:p>
    <w:p w14:paraId="068AFBB5" w14:textId="5E996BC0" w:rsidR="00C76128" w:rsidRDefault="00586AA4" w:rsidP="00586AA4">
      <w:pPr>
        <w:spacing w:after="24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D7A7D">
        <w:rPr>
          <w:rFonts w:ascii="Arial" w:hAnsi="Arial" w:cs="Arial"/>
          <w:sz w:val="24"/>
          <w:szCs w:val="24"/>
        </w:rPr>
        <w:t>It follows that an applicant now faces a higher and more stringent threshold, in terms of the Superior Courts Act compared to the provisions of the repealed Superior Court Act 59 of 1959.</w:t>
      </w:r>
    </w:p>
    <w:p w14:paraId="654EB8EC" w14:textId="385CE3BC" w:rsidR="00C647C9" w:rsidRDefault="00586AA4" w:rsidP="00586AA4">
      <w:pPr>
        <w:spacing w:after="24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BB0C76">
        <w:rPr>
          <w:rFonts w:ascii="Arial" w:hAnsi="Arial" w:cs="Arial"/>
          <w:sz w:val="24"/>
          <w:szCs w:val="24"/>
        </w:rPr>
        <w:t xml:space="preserve">Mr </w:t>
      </w:r>
      <w:r w:rsidR="00BB0C76">
        <w:rPr>
          <w:rFonts w:ascii="Arial" w:hAnsi="Arial" w:cs="Arial"/>
          <w:i/>
          <w:iCs/>
          <w:sz w:val="24"/>
          <w:szCs w:val="24"/>
        </w:rPr>
        <w:t>Mapoma</w:t>
      </w:r>
      <w:r w:rsidR="00BB0C76">
        <w:rPr>
          <w:rFonts w:ascii="Arial" w:hAnsi="Arial" w:cs="Arial"/>
          <w:sz w:val="24"/>
          <w:szCs w:val="24"/>
        </w:rPr>
        <w:t xml:space="preserve">, counsel for the applicant, had submitted that there are prospects of success, alternatively, that there are conflicting judgments regarding the </w:t>
      </w:r>
      <w:r w:rsidR="00BB0C76">
        <w:rPr>
          <w:rFonts w:ascii="Arial" w:hAnsi="Arial" w:cs="Arial"/>
          <w:sz w:val="24"/>
          <w:szCs w:val="24"/>
        </w:rPr>
        <w:lastRenderedPageBreak/>
        <w:t xml:space="preserve">requirements for a valid customary marriage under section 3(1)(b). He contended that the appeal should be granted </w:t>
      </w:r>
      <w:proofErr w:type="gramStart"/>
      <w:r w:rsidR="00BB0C76">
        <w:rPr>
          <w:rFonts w:ascii="Arial" w:hAnsi="Arial" w:cs="Arial"/>
          <w:sz w:val="24"/>
          <w:szCs w:val="24"/>
        </w:rPr>
        <w:t>in order to</w:t>
      </w:r>
      <w:proofErr w:type="gramEnd"/>
      <w:r w:rsidR="00BB0C76">
        <w:rPr>
          <w:rFonts w:ascii="Arial" w:hAnsi="Arial" w:cs="Arial"/>
          <w:sz w:val="24"/>
          <w:szCs w:val="24"/>
        </w:rPr>
        <w:t xml:space="preserve"> settle the law</w:t>
      </w:r>
      <w:r w:rsidR="005B2660">
        <w:rPr>
          <w:rFonts w:ascii="Arial" w:hAnsi="Arial" w:cs="Arial"/>
          <w:sz w:val="24"/>
          <w:szCs w:val="24"/>
        </w:rPr>
        <w:t xml:space="preserve"> regarding the form of handover and celebration of a customary marriage. I disagree. In </w:t>
      </w:r>
      <w:proofErr w:type="spellStart"/>
      <w:r w:rsidR="005B2660">
        <w:rPr>
          <w:rFonts w:ascii="Arial" w:hAnsi="Arial" w:cs="Arial"/>
          <w:i/>
          <w:iCs/>
          <w:sz w:val="24"/>
          <w:szCs w:val="24"/>
        </w:rPr>
        <w:t>Mbungela</w:t>
      </w:r>
      <w:proofErr w:type="spellEnd"/>
      <w:r w:rsidR="005B2660">
        <w:rPr>
          <w:rFonts w:ascii="Arial" w:hAnsi="Arial" w:cs="Arial"/>
          <w:i/>
          <w:iCs/>
          <w:sz w:val="24"/>
          <w:szCs w:val="24"/>
        </w:rPr>
        <w:t xml:space="preserve"> &amp; Another v </w:t>
      </w:r>
      <w:proofErr w:type="spellStart"/>
      <w:r w:rsidR="005B2660">
        <w:rPr>
          <w:rFonts w:ascii="Arial" w:hAnsi="Arial" w:cs="Arial"/>
          <w:i/>
          <w:iCs/>
          <w:sz w:val="24"/>
          <w:szCs w:val="24"/>
        </w:rPr>
        <w:t>Mkabi</w:t>
      </w:r>
      <w:proofErr w:type="spellEnd"/>
      <w:r w:rsidR="005B2660">
        <w:rPr>
          <w:rFonts w:ascii="Arial" w:hAnsi="Arial" w:cs="Arial"/>
          <w:i/>
          <w:iCs/>
          <w:sz w:val="24"/>
          <w:szCs w:val="24"/>
        </w:rPr>
        <w:t xml:space="preserve"> &amp; Others</w:t>
      </w:r>
      <w:r w:rsidR="005B2660">
        <w:rPr>
          <w:rStyle w:val="FootnoteReference"/>
          <w:rFonts w:ascii="Arial" w:hAnsi="Arial" w:cs="Arial"/>
          <w:i/>
          <w:iCs/>
          <w:sz w:val="24"/>
          <w:szCs w:val="24"/>
        </w:rPr>
        <w:footnoteReference w:id="4"/>
      </w:r>
      <w:r w:rsidR="005B2660">
        <w:rPr>
          <w:rFonts w:ascii="Arial" w:hAnsi="Arial" w:cs="Arial"/>
          <w:sz w:val="24"/>
          <w:szCs w:val="24"/>
        </w:rPr>
        <w:t>, Deputy Chief Justice Maya held –</w:t>
      </w:r>
    </w:p>
    <w:p w14:paraId="33E8A1D7" w14:textId="04AABA20" w:rsidR="005B2660" w:rsidRPr="005B2660" w:rsidRDefault="005B2660" w:rsidP="005B2660">
      <w:pPr>
        <w:spacing w:after="240" w:line="360" w:lineRule="auto"/>
        <w:jc w:val="both"/>
        <w:rPr>
          <w:rFonts w:ascii="Arial" w:hAnsi="Arial" w:cs="Arial"/>
        </w:rPr>
      </w:pPr>
      <w:r>
        <w:rPr>
          <w:rFonts w:ascii="Arial" w:hAnsi="Arial" w:cs="Arial"/>
        </w:rPr>
        <w:t>‘[C]</w:t>
      </w:r>
      <w:proofErr w:type="spellStart"/>
      <w:r>
        <w:rPr>
          <w:rFonts w:ascii="Arial" w:hAnsi="Arial" w:cs="Arial"/>
        </w:rPr>
        <w:t>ustomary</w:t>
      </w:r>
      <w:proofErr w:type="spellEnd"/>
      <w:r>
        <w:rPr>
          <w:rFonts w:ascii="Arial" w:hAnsi="Arial" w:cs="Arial"/>
        </w:rPr>
        <w:t xml:space="preserve"> law is defined in s 1 of the Act as “customs and usages traditionally observed among the indigenous African peoples of South Africa and which form part of the culture of those peoples”. But s 3(1)(b) does not stipulate the requirements of customary law which must be met to validate a customary marriage. The reason for this is not far to seek. It is established that customary law is a dynamic, flexible system, which continuously evolves within the context of its values and norms, consistently with the Constitution, so as to meet the changing needs of the people who live by its norms. The system, therefore, requires its content to be determined with reference to both the history and the present practice of the community concerned. As this Court has pointed out, although the various African cultures generally observe the same customs and rituals, it is not unusual to find variations and even ambiguities in their local practice because of the pluralistic nature of African society. </w:t>
      </w:r>
      <w:proofErr w:type="gramStart"/>
      <w:r>
        <w:rPr>
          <w:rFonts w:ascii="Arial" w:hAnsi="Arial" w:cs="Arial"/>
        </w:rPr>
        <w:t>Thus</w:t>
      </w:r>
      <w:proofErr w:type="gramEnd"/>
      <w:r>
        <w:rPr>
          <w:rFonts w:ascii="Arial" w:hAnsi="Arial" w:cs="Arial"/>
        </w:rPr>
        <w:t xml:space="preserve"> the legislature left it open for the various communities to give content to s 3(1)(b) in accordance with their lived experiences.’</w:t>
      </w:r>
    </w:p>
    <w:p w14:paraId="40F05536" w14:textId="6BEE8478" w:rsidR="005C2D0F" w:rsidRDefault="00586AA4" w:rsidP="00586AA4">
      <w:pPr>
        <w:spacing w:after="24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C155DB">
        <w:rPr>
          <w:rFonts w:ascii="Arial" w:hAnsi="Arial" w:cs="Arial"/>
          <w:sz w:val="24"/>
          <w:szCs w:val="24"/>
        </w:rPr>
        <w:t>On the basis of the above, it is inconceivable that the Court</w:t>
      </w:r>
      <w:r w:rsidR="006F22FD">
        <w:rPr>
          <w:rFonts w:ascii="Arial" w:hAnsi="Arial" w:cs="Arial"/>
          <w:sz w:val="24"/>
          <w:szCs w:val="24"/>
        </w:rPr>
        <w:t>s would define with precision the form of handing over of a bride and the celebration of a customary marriage. In the judgment, this Court had found that both the deceased and the first respondent were above the age of 18 years</w:t>
      </w:r>
      <w:r w:rsidR="00BE06EB">
        <w:rPr>
          <w:rFonts w:ascii="Arial" w:hAnsi="Arial" w:cs="Arial"/>
          <w:sz w:val="24"/>
          <w:szCs w:val="24"/>
        </w:rPr>
        <w:t xml:space="preserve"> and that they agreed to marry in terms of customary law. In other words, the deceased and the first respondent consented to their customary marriage. This Court also found that the deceased had asked for his family members to be his emissaries and that if they refused, he would ask Dr </w:t>
      </w:r>
      <w:proofErr w:type="spellStart"/>
      <w:r w:rsidR="00BE06EB">
        <w:rPr>
          <w:rFonts w:ascii="Arial" w:hAnsi="Arial" w:cs="Arial"/>
          <w:sz w:val="24"/>
          <w:szCs w:val="24"/>
        </w:rPr>
        <w:t>Nuku</w:t>
      </w:r>
      <w:proofErr w:type="spellEnd"/>
      <w:r w:rsidR="00BE06EB">
        <w:rPr>
          <w:rFonts w:ascii="Arial" w:hAnsi="Arial" w:cs="Arial"/>
          <w:sz w:val="24"/>
          <w:szCs w:val="24"/>
        </w:rPr>
        <w:t xml:space="preserve"> and Mr </w:t>
      </w:r>
      <w:proofErr w:type="spellStart"/>
      <w:r w:rsidR="00BE06EB">
        <w:rPr>
          <w:rFonts w:ascii="Arial" w:hAnsi="Arial" w:cs="Arial"/>
          <w:sz w:val="24"/>
          <w:szCs w:val="24"/>
        </w:rPr>
        <w:t>Bovungana</w:t>
      </w:r>
      <w:proofErr w:type="spellEnd"/>
      <w:r w:rsidR="00BE06EB">
        <w:rPr>
          <w:rFonts w:ascii="Arial" w:hAnsi="Arial" w:cs="Arial"/>
          <w:sz w:val="24"/>
          <w:szCs w:val="24"/>
        </w:rPr>
        <w:t xml:space="preserve"> to meet with </w:t>
      </w:r>
      <w:proofErr w:type="spellStart"/>
      <w:r w:rsidR="00BE06EB">
        <w:rPr>
          <w:rFonts w:ascii="Arial" w:hAnsi="Arial" w:cs="Arial"/>
          <w:sz w:val="24"/>
          <w:szCs w:val="24"/>
        </w:rPr>
        <w:t>Amajwara</w:t>
      </w:r>
      <w:proofErr w:type="spellEnd"/>
      <w:r w:rsidR="00BE06EB">
        <w:rPr>
          <w:rFonts w:ascii="Arial" w:hAnsi="Arial" w:cs="Arial"/>
          <w:sz w:val="24"/>
          <w:szCs w:val="24"/>
        </w:rPr>
        <w:t xml:space="preserve"> family as his emissaries. </w:t>
      </w:r>
    </w:p>
    <w:p w14:paraId="0AE49783" w14:textId="12233680" w:rsidR="006E51FF" w:rsidRDefault="00586AA4" w:rsidP="00586AA4">
      <w:pPr>
        <w:spacing w:after="24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6E51FF" w:rsidRPr="00376D62">
        <w:rPr>
          <w:rFonts w:ascii="Arial" w:hAnsi="Arial" w:cs="Arial"/>
          <w:sz w:val="24"/>
          <w:szCs w:val="24"/>
        </w:rPr>
        <w:t xml:space="preserve">It is common cause that, indeed, when the members of the deceased’s family refused to be emissaries, Dr </w:t>
      </w:r>
      <w:proofErr w:type="spellStart"/>
      <w:r w:rsidR="006E51FF" w:rsidRPr="00376D62">
        <w:rPr>
          <w:rFonts w:ascii="Arial" w:hAnsi="Arial" w:cs="Arial"/>
          <w:sz w:val="24"/>
          <w:szCs w:val="24"/>
        </w:rPr>
        <w:t>Nuku</w:t>
      </w:r>
      <w:proofErr w:type="spellEnd"/>
      <w:r w:rsidR="006E51FF" w:rsidRPr="00376D62">
        <w:rPr>
          <w:rFonts w:ascii="Arial" w:hAnsi="Arial" w:cs="Arial"/>
          <w:sz w:val="24"/>
          <w:szCs w:val="24"/>
        </w:rPr>
        <w:t xml:space="preserve"> and Mr </w:t>
      </w:r>
      <w:proofErr w:type="spellStart"/>
      <w:r w:rsidR="006E51FF" w:rsidRPr="00376D62">
        <w:rPr>
          <w:rFonts w:ascii="Arial" w:hAnsi="Arial" w:cs="Arial"/>
          <w:sz w:val="24"/>
          <w:szCs w:val="24"/>
        </w:rPr>
        <w:t>Bovungana</w:t>
      </w:r>
      <w:proofErr w:type="spellEnd"/>
      <w:r w:rsidR="006E51FF" w:rsidRPr="00376D62">
        <w:rPr>
          <w:rFonts w:ascii="Arial" w:hAnsi="Arial" w:cs="Arial"/>
          <w:sz w:val="24"/>
          <w:szCs w:val="24"/>
        </w:rPr>
        <w:t xml:space="preserve"> were appointed by the deceased as his emissaries. </w:t>
      </w:r>
      <w:r w:rsidR="0097647B" w:rsidRPr="00376D62">
        <w:rPr>
          <w:rFonts w:ascii="Arial" w:hAnsi="Arial" w:cs="Arial"/>
          <w:sz w:val="24"/>
          <w:szCs w:val="24"/>
        </w:rPr>
        <w:t xml:space="preserve">The lobola </w:t>
      </w:r>
      <w:r w:rsidR="00376D62" w:rsidRPr="00376D62">
        <w:rPr>
          <w:rFonts w:ascii="Arial" w:hAnsi="Arial" w:cs="Arial"/>
          <w:sz w:val="24"/>
          <w:szCs w:val="24"/>
        </w:rPr>
        <w:t xml:space="preserve">was </w:t>
      </w:r>
      <w:r w:rsidR="0097647B" w:rsidRPr="00376D62">
        <w:rPr>
          <w:rFonts w:ascii="Arial" w:hAnsi="Arial" w:cs="Arial"/>
          <w:sz w:val="24"/>
          <w:szCs w:val="24"/>
        </w:rPr>
        <w:t>negotiat</w:t>
      </w:r>
      <w:r w:rsidR="00376D62" w:rsidRPr="00376D62">
        <w:rPr>
          <w:rFonts w:ascii="Arial" w:hAnsi="Arial" w:cs="Arial"/>
          <w:sz w:val="24"/>
          <w:szCs w:val="24"/>
        </w:rPr>
        <w:t>ed betw</w:t>
      </w:r>
      <w:r w:rsidR="0097647B" w:rsidRPr="00376D62">
        <w:rPr>
          <w:rFonts w:ascii="Arial" w:hAnsi="Arial" w:cs="Arial"/>
          <w:sz w:val="24"/>
          <w:szCs w:val="24"/>
        </w:rPr>
        <w:t>een the two families</w:t>
      </w:r>
      <w:r w:rsidR="00376D62" w:rsidRPr="00376D62">
        <w:rPr>
          <w:rFonts w:ascii="Arial" w:hAnsi="Arial" w:cs="Arial"/>
          <w:sz w:val="24"/>
          <w:szCs w:val="24"/>
        </w:rPr>
        <w:t xml:space="preserve"> and it was agreed</w:t>
      </w:r>
      <w:r w:rsidR="006B4ED5">
        <w:rPr>
          <w:rFonts w:ascii="Arial" w:hAnsi="Arial" w:cs="Arial"/>
          <w:sz w:val="24"/>
          <w:szCs w:val="24"/>
        </w:rPr>
        <w:t xml:space="preserve"> to. A whopping amount of R35 000 in total was paid as lobola by the deceased, represented by the emissaries, Dr </w:t>
      </w:r>
      <w:proofErr w:type="spellStart"/>
      <w:r w:rsidR="006B4ED5">
        <w:rPr>
          <w:rFonts w:ascii="Arial" w:hAnsi="Arial" w:cs="Arial"/>
          <w:sz w:val="24"/>
          <w:szCs w:val="24"/>
        </w:rPr>
        <w:t>Nuku</w:t>
      </w:r>
      <w:proofErr w:type="spellEnd"/>
      <w:r w:rsidR="006B4ED5">
        <w:rPr>
          <w:rFonts w:ascii="Arial" w:hAnsi="Arial" w:cs="Arial"/>
          <w:sz w:val="24"/>
          <w:szCs w:val="24"/>
        </w:rPr>
        <w:t xml:space="preserve"> and Mr </w:t>
      </w:r>
      <w:proofErr w:type="spellStart"/>
      <w:r w:rsidR="006B4ED5">
        <w:rPr>
          <w:rFonts w:ascii="Arial" w:hAnsi="Arial" w:cs="Arial"/>
          <w:sz w:val="24"/>
          <w:szCs w:val="24"/>
        </w:rPr>
        <w:t>Bovungana</w:t>
      </w:r>
      <w:proofErr w:type="spellEnd"/>
      <w:r w:rsidR="006B4ED5">
        <w:rPr>
          <w:rFonts w:ascii="Arial" w:hAnsi="Arial" w:cs="Arial"/>
          <w:sz w:val="24"/>
          <w:szCs w:val="24"/>
        </w:rPr>
        <w:t xml:space="preserve">. </w:t>
      </w:r>
      <w:r w:rsidR="008857CF">
        <w:rPr>
          <w:rFonts w:ascii="Arial" w:hAnsi="Arial" w:cs="Arial"/>
          <w:sz w:val="24"/>
          <w:szCs w:val="24"/>
        </w:rPr>
        <w:t xml:space="preserve">The first respondent was then permitted to go ahead with the marriage to the deceased. </w:t>
      </w:r>
      <w:r w:rsidR="003334C2">
        <w:rPr>
          <w:rFonts w:ascii="Arial" w:hAnsi="Arial" w:cs="Arial"/>
          <w:sz w:val="24"/>
          <w:szCs w:val="24"/>
        </w:rPr>
        <w:t xml:space="preserve">In </w:t>
      </w:r>
      <w:r w:rsidR="003334C2">
        <w:rPr>
          <w:rFonts w:ascii="Arial" w:hAnsi="Arial" w:cs="Arial"/>
          <w:sz w:val="24"/>
          <w:szCs w:val="24"/>
        </w:rPr>
        <w:lastRenderedPageBreak/>
        <w:t xml:space="preserve">other words, the undisputed evidence is that the two families agreed about the customary marriage of the deceased and the first respondent. </w:t>
      </w:r>
      <w:r w:rsidR="00560F23">
        <w:rPr>
          <w:rFonts w:ascii="Arial" w:hAnsi="Arial" w:cs="Arial"/>
          <w:sz w:val="24"/>
          <w:szCs w:val="24"/>
        </w:rPr>
        <w:t xml:space="preserve">There are minutes which evidence the lobola negotiations and the agreements that were reached by the two families. </w:t>
      </w:r>
    </w:p>
    <w:p w14:paraId="57091BB6" w14:textId="64BBC28B" w:rsidR="00560F23" w:rsidRDefault="00586AA4" w:rsidP="00586AA4">
      <w:pPr>
        <w:spacing w:after="24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F774D2">
        <w:rPr>
          <w:rFonts w:ascii="Arial" w:hAnsi="Arial" w:cs="Arial"/>
          <w:sz w:val="24"/>
          <w:szCs w:val="24"/>
        </w:rPr>
        <w:t xml:space="preserve">The contention that Dr </w:t>
      </w:r>
      <w:proofErr w:type="spellStart"/>
      <w:r w:rsidR="00F774D2">
        <w:rPr>
          <w:rFonts w:ascii="Arial" w:hAnsi="Arial" w:cs="Arial"/>
          <w:sz w:val="24"/>
          <w:szCs w:val="24"/>
        </w:rPr>
        <w:t>Nuku</w:t>
      </w:r>
      <w:proofErr w:type="spellEnd"/>
      <w:r w:rsidR="00F774D2">
        <w:rPr>
          <w:rFonts w:ascii="Arial" w:hAnsi="Arial" w:cs="Arial"/>
          <w:sz w:val="24"/>
          <w:szCs w:val="24"/>
        </w:rPr>
        <w:t xml:space="preserve"> and Mr </w:t>
      </w:r>
      <w:proofErr w:type="spellStart"/>
      <w:r w:rsidR="00F774D2">
        <w:rPr>
          <w:rFonts w:ascii="Arial" w:hAnsi="Arial" w:cs="Arial"/>
          <w:sz w:val="24"/>
          <w:szCs w:val="24"/>
        </w:rPr>
        <w:t>Bovungana</w:t>
      </w:r>
      <w:proofErr w:type="spellEnd"/>
      <w:r w:rsidR="00F774D2">
        <w:rPr>
          <w:rFonts w:ascii="Arial" w:hAnsi="Arial" w:cs="Arial"/>
          <w:sz w:val="24"/>
          <w:szCs w:val="24"/>
        </w:rPr>
        <w:t xml:space="preserve"> are not the family members of the deceased’s family, has been rejected by this Court. </w:t>
      </w:r>
      <w:r w:rsidR="006737C4">
        <w:rPr>
          <w:rFonts w:ascii="Arial" w:hAnsi="Arial" w:cs="Arial"/>
          <w:sz w:val="24"/>
          <w:szCs w:val="24"/>
        </w:rPr>
        <w:t xml:space="preserve">The deceased had made it known that if none of his direct family are available to be his emissaries, then he would send Dr </w:t>
      </w:r>
      <w:proofErr w:type="spellStart"/>
      <w:r w:rsidR="006737C4">
        <w:rPr>
          <w:rFonts w:ascii="Arial" w:hAnsi="Arial" w:cs="Arial"/>
          <w:sz w:val="24"/>
          <w:szCs w:val="24"/>
        </w:rPr>
        <w:t>Nuku</w:t>
      </w:r>
      <w:proofErr w:type="spellEnd"/>
      <w:r w:rsidR="006737C4">
        <w:rPr>
          <w:rFonts w:ascii="Arial" w:hAnsi="Arial" w:cs="Arial"/>
          <w:sz w:val="24"/>
          <w:szCs w:val="24"/>
        </w:rPr>
        <w:t xml:space="preserve"> and Mr </w:t>
      </w:r>
      <w:proofErr w:type="spellStart"/>
      <w:r w:rsidR="006737C4">
        <w:rPr>
          <w:rFonts w:ascii="Arial" w:hAnsi="Arial" w:cs="Arial"/>
          <w:sz w:val="24"/>
          <w:szCs w:val="24"/>
        </w:rPr>
        <w:t>Bovungana</w:t>
      </w:r>
      <w:proofErr w:type="spellEnd"/>
      <w:r w:rsidR="006737C4">
        <w:rPr>
          <w:rFonts w:ascii="Arial" w:hAnsi="Arial" w:cs="Arial"/>
          <w:sz w:val="24"/>
          <w:szCs w:val="24"/>
        </w:rPr>
        <w:t xml:space="preserve"> as the emissaries. </w:t>
      </w:r>
      <w:r w:rsidR="001D65DC">
        <w:rPr>
          <w:rFonts w:ascii="Arial" w:hAnsi="Arial" w:cs="Arial"/>
          <w:sz w:val="24"/>
          <w:szCs w:val="24"/>
        </w:rPr>
        <w:t xml:space="preserve">That evidence is undisputed. </w:t>
      </w:r>
      <w:r w:rsidR="00206960">
        <w:rPr>
          <w:rFonts w:ascii="Arial" w:hAnsi="Arial" w:cs="Arial"/>
          <w:sz w:val="24"/>
          <w:szCs w:val="24"/>
        </w:rPr>
        <w:t xml:space="preserve">More significantly, the objective evidence submitted by the first respondent in her papers, shows that the family had accepted her as the customary wife of the deceased. There is a memorial service programme which states that the deceased has left behind his wife, </w:t>
      </w:r>
      <w:proofErr w:type="spellStart"/>
      <w:r w:rsidR="00206960">
        <w:rPr>
          <w:rFonts w:ascii="Arial" w:hAnsi="Arial" w:cs="Arial"/>
          <w:sz w:val="24"/>
          <w:szCs w:val="24"/>
        </w:rPr>
        <w:t>Qhayiyalethu</w:t>
      </w:r>
      <w:proofErr w:type="spellEnd"/>
      <w:r w:rsidR="00206960">
        <w:rPr>
          <w:rFonts w:ascii="Arial" w:hAnsi="Arial" w:cs="Arial"/>
          <w:sz w:val="24"/>
          <w:szCs w:val="24"/>
        </w:rPr>
        <w:t xml:space="preserve">, and children. Regarding the performance of </w:t>
      </w:r>
      <w:proofErr w:type="spellStart"/>
      <w:r w:rsidR="00206960">
        <w:rPr>
          <w:rFonts w:ascii="Arial" w:hAnsi="Arial" w:cs="Arial"/>
          <w:i/>
          <w:iCs/>
          <w:sz w:val="24"/>
          <w:szCs w:val="24"/>
        </w:rPr>
        <w:t>utsiki</w:t>
      </w:r>
      <w:proofErr w:type="spellEnd"/>
      <w:r w:rsidR="00206960">
        <w:rPr>
          <w:rFonts w:ascii="Arial" w:hAnsi="Arial" w:cs="Arial"/>
          <w:sz w:val="24"/>
          <w:szCs w:val="24"/>
        </w:rPr>
        <w:t xml:space="preserve">, all witnesses of the applicant have testified that on 26 November 2022, there was a ceremony at the homestead of the deceased. </w:t>
      </w:r>
      <w:r w:rsidR="00DB1012">
        <w:rPr>
          <w:rFonts w:ascii="Arial" w:hAnsi="Arial" w:cs="Arial"/>
          <w:sz w:val="24"/>
          <w:szCs w:val="24"/>
        </w:rPr>
        <w:t xml:space="preserve">During that ceremony, the deceased informed all his family members that he was performing </w:t>
      </w:r>
      <w:proofErr w:type="spellStart"/>
      <w:r w:rsidR="00DB1012">
        <w:rPr>
          <w:rFonts w:ascii="Arial" w:hAnsi="Arial" w:cs="Arial"/>
          <w:i/>
          <w:iCs/>
          <w:sz w:val="24"/>
          <w:szCs w:val="24"/>
        </w:rPr>
        <w:t>utsiki</w:t>
      </w:r>
      <w:proofErr w:type="spellEnd"/>
      <w:r w:rsidR="00DB1012">
        <w:rPr>
          <w:rFonts w:ascii="Arial" w:hAnsi="Arial" w:cs="Arial"/>
          <w:sz w:val="24"/>
          <w:szCs w:val="24"/>
        </w:rPr>
        <w:t xml:space="preserve"> ritual for his wife, the first respondent. </w:t>
      </w:r>
    </w:p>
    <w:p w14:paraId="6FA5CE61" w14:textId="544E8E73" w:rsidR="006F4AC7" w:rsidRDefault="00586AA4" w:rsidP="00586AA4">
      <w:pPr>
        <w:spacing w:after="24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60E64">
        <w:rPr>
          <w:rFonts w:ascii="Arial" w:hAnsi="Arial" w:cs="Arial"/>
          <w:sz w:val="24"/>
          <w:szCs w:val="24"/>
        </w:rPr>
        <w:t xml:space="preserve">In my view, the performance of </w:t>
      </w:r>
      <w:proofErr w:type="spellStart"/>
      <w:r w:rsidR="00D60E64">
        <w:rPr>
          <w:rFonts w:ascii="Arial" w:hAnsi="Arial" w:cs="Arial"/>
          <w:i/>
          <w:iCs/>
          <w:sz w:val="24"/>
          <w:szCs w:val="24"/>
        </w:rPr>
        <w:t>utsiki</w:t>
      </w:r>
      <w:proofErr w:type="spellEnd"/>
      <w:r w:rsidR="00D60E64">
        <w:rPr>
          <w:rFonts w:ascii="Arial" w:hAnsi="Arial" w:cs="Arial"/>
          <w:i/>
          <w:iCs/>
          <w:sz w:val="24"/>
          <w:szCs w:val="24"/>
        </w:rPr>
        <w:t xml:space="preserve"> </w:t>
      </w:r>
      <w:r w:rsidR="00D60E64">
        <w:rPr>
          <w:rFonts w:ascii="Arial" w:hAnsi="Arial" w:cs="Arial"/>
          <w:sz w:val="24"/>
          <w:szCs w:val="24"/>
        </w:rPr>
        <w:t xml:space="preserve">ritual was not even a requirement for the validity of the customary marriage. </w:t>
      </w:r>
      <w:r w:rsidR="006F4AC7">
        <w:rPr>
          <w:rFonts w:ascii="Arial" w:hAnsi="Arial" w:cs="Arial"/>
          <w:sz w:val="24"/>
          <w:szCs w:val="24"/>
        </w:rPr>
        <w:t xml:space="preserve">In this case, the performance of the celebration on 26 November 2022, with utterances of the deceased that he was celebrating the customary marriage of the deceased, was a further indication of compliance with  </w:t>
      </w:r>
      <w:r w:rsidR="00A07469">
        <w:rPr>
          <w:rFonts w:ascii="Arial" w:hAnsi="Arial" w:cs="Arial"/>
          <w:sz w:val="24"/>
          <w:szCs w:val="24"/>
        </w:rPr>
        <w:t>S</w:t>
      </w:r>
      <w:r w:rsidR="006F4AC7">
        <w:rPr>
          <w:rFonts w:ascii="Arial" w:hAnsi="Arial" w:cs="Arial"/>
          <w:sz w:val="24"/>
          <w:szCs w:val="24"/>
        </w:rPr>
        <w:t xml:space="preserve">3(1)(b) of the Act. </w:t>
      </w:r>
    </w:p>
    <w:p w14:paraId="0EC9325D" w14:textId="56E618B4" w:rsidR="00D60E64" w:rsidRDefault="00586AA4" w:rsidP="00586AA4">
      <w:pPr>
        <w:spacing w:after="24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F4AC7">
        <w:rPr>
          <w:rFonts w:ascii="Arial" w:hAnsi="Arial" w:cs="Arial"/>
          <w:sz w:val="24"/>
          <w:szCs w:val="24"/>
        </w:rPr>
        <w:t xml:space="preserve">The criticism in the notice of appeal that this Court has concluded that all witnesses agreed that on 26 November 2022, there was an </w:t>
      </w:r>
      <w:proofErr w:type="spellStart"/>
      <w:r w:rsidR="006F4AC7">
        <w:rPr>
          <w:rFonts w:ascii="Arial" w:hAnsi="Arial" w:cs="Arial"/>
          <w:i/>
          <w:iCs/>
          <w:sz w:val="24"/>
          <w:szCs w:val="24"/>
        </w:rPr>
        <w:t>utsiki</w:t>
      </w:r>
      <w:proofErr w:type="spellEnd"/>
      <w:r w:rsidR="006F4AC7">
        <w:rPr>
          <w:rFonts w:ascii="Arial" w:hAnsi="Arial" w:cs="Arial"/>
          <w:sz w:val="24"/>
          <w:szCs w:val="24"/>
        </w:rPr>
        <w:t xml:space="preserve"> ceremony at the deceased’s family, where the first respondent was introduced as the wife of the deceased and given the name of </w:t>
      </w:r>
      <w:proofErr w:type="spellStart"/>
      <w:r w:rsidR="006F4AC7">
        <w:rPr>
          <w:rFonts w:ascii="Arial" w:hAnsi="Arial" w:cs="Arial"/>
          <w:sz w:val="24"/>
          <w:szCs w:val="24"/>
        </w:rPr>
        <w:t>Qhayiyalethu</w:t>
      </w:r>
      <w:proofErr w:type="spellEnd"/>
      <w:r w:rsidR="006F4AC7">
        <w:rPr>
          <w:rFonts w:ascii="Arial" w:hAnsi="Arial" w:cs="Arial"/>
          <w:sz w:val="24"/>
          <w:szCs w:val="24"/>
        </w:rPr>
        <w:t xml:space="preserve"> is unfounded. In all confirmatory affidavits attached to the applicant’s founding affidavit, it is acknowledged that on 26 November 2022, there was a ceremony at the deceased’s home. The first respondent was introduced as a wife by the deceased is common cause. What I understand to be the dispute by the applicant’s witnesses, is whether the deceased was of sound mind when he </w:t>
      </w:r>
      <w:r w:rsidR="008D3597">
        <w:rPr>
          <w:rFonts w:ascii="Arial" w:hAnsi="Arial" w:cs="Arial"/>
          <w:sz w:val="24"/>
          <w:szCs w:val="24"/>
        </w:rPr>
        <w:t>performed the ritual and paid the lobola for the first respondent. There was no evidence filed to suggest that the deceased was of unsound mind. In my view, such medical evidence would have been at odds with the common cause evidence that the deceased informed his relatives that he wants to pay lobola for the first respondent</w:t>
      </w:r>
      <w:r w:rsidR="00352871">
        <w:rPr>
          <w:rFonts w:ascii="Arial" w:hAnsi="Arial" w:cs="Arial"/>
          <w:sz w:val="24"/>
          <w:szCs w:val="24"/>
        </w:rPr>
        <w:t xml:space="preserve"> </w:t>
      </w:r>
      <w:r w:rsidR="00352871">
        <w:rPr>
          <w:rFonts w:ascii="Arial" w:hAnsi="Arial" w:cs="Arial"/>
          <w:sz w:val="24"/>
          <w:szCs w:val="24"/>
        </w:rPr>
        <w:lastRenderedPageBreak/>
        <w:t xml:space="preserve">and that if they do not avail themselves, he would appoint Dr </w:t>
      </w:r>
      <w:proofErr w:type="spellStart"/>
      <w:r w:rsidR="00352871">
        <w:rPr>
          <w:rFonts w:ascii="Arial" w:hAnsi="Arial" w:cs="Arial"/>
          <w:sz w:val="24"/>
          <w:szCs w:val="24"/>
        </w:rPr>
        <w:t>Nuku</w:t>
      </w:r>
      <w:proofErr w:type="spellEnd"/>
      <w:r w:rsidR="00352871">
        <w:rPr>
          <w:rFonts w:ascii="Arial" w:hAnsi="Arial" w:cs="Arial"/>
          <w:sz w:val="24"/>
          <w:szCs w:val="24"/>
        </w:rPr>
        <w:t xml:space="preserve"> and Mr </w:t>
      </w:r>
      <w:proofErr w:type="spellStart"/>
      <w:r w:rsidR="00352871">
        <w:rPr>
          <w:rFonts w:ascii="Arial" w:hAnsi="Arial" w:cs="Arial"/>
          <w:sz w:val="24"/>
          <w:szCs w:val="24"/>
        </w:rPr>
        <w:t>Bovungana</w:t>
      </w:r>
      <w:proofErr w:type="spellEnd"/>
      <w:r w:rsidR="00352871">
        <w:rPr>
          <w:rFonts w:ascii="Arial" w:hAnsi="Arial" w:cs="Arial"/>
          <w:sz w:val="24"/>
          <w:szCs w:val="24"/>
        </w:rPr>
        <w:t xml:space="preserve"> to be his emissaries. </w:t>
      </w:r>
      <w:r w:rsidR="00673183">
        <w:rPr>
          <w:rFonts w:ascii="Arial" w:hAnsi="Arial" w:cs="Arial"/>
          <w:sz w:val="24"/>
          <w:szCs w:val="24"/>
        </w:rPr>
        <w:t xml:space="preserve">In addition to that, the fact that the date of 26 November 2022 was set by the deceased, and that he announced to his family members that he is performing </w:t>
      </w:r>
      <w:proofErr w:type="spellStart"/>
      <w:r w:rsidR="00673183">
        <w:rPr>
          <w:rFonts w:ascii="Arial" w:hAnsi="Arial" w:cs="Arial"/>
          <w:i/>
          <w:iCs/>
          <w:sz w:val="24"/>
          <w:szCs w:val="24"/>
        </w:rPr>
        <w:t>utsiki</w:t>
      </w:r>
      <w:proofErr w:type="spellEnd"/>
      <w:r w:rsidR="00673183">
        <w:rPr>
          <w:rFonts w:ascii="Arial" w:hAnsi="Arial" w:cs="Arial"/>
          <w:sz w:val="24"/>
          <w:szCs w:val="24"/>
        </w:rPr>
        <w:t xml:space="preserve"> for his new wife, the first respondent, should put beyond doubt that the deceased knew what he was doing. </w:t>
      </w:r>
      <w:r w:rsidR="004E776C">
        <w:rPr>
          <w:rFonts w:ascii="Arial" w:hAnsi="Arial" w:cs="Arial"/>
          <w:sz w:val="24"/>
          <w:szCs w:val="24"/>
        </w:rPr>
        <w:t xml:space="preserve">It should be borne in mind that the deceased and the first respondent had a relationship long before the lobola negotiations and performance of the </w:t>
      </w:r>
      <w:proofErr w:type="spellStart"/>
      <w:r w:rsidR="004E776C">
        <w:rPr>
          <w:rFonts w:ascii="Arial" w:hAnsi="Arial" w:cs="Arial"/>
          <w:i/>
          <w:iCs/>
          <w:sz w:val="24"/>
          <w:szCs w:val="24"/>
        </w:rPr>
        <w:t>utsiki</w:t>
      </w:r>
      <w:proofErr w:type="spellEnd"/>
      <w:r w:rsidR="004E776C">
        <w:rPr>
          <w:rFonts w:ascii="Arial" w:hAnsi="Arial" w:cs="Arial"/>
          <w:sz w:val="24"/>
          <w:szCs w:val="24"/>
        </w:rPr>
        <w:t xml:space="preserve"> ritual. </w:t>
      </w:r>
    </w:p>
    <w:p w14:paraId="366DCCBD" w14:textId="1A520066" w:rsidR="003F47EB" w:rsidRDefault="00586AA4" w:rsidP="00586AA4">
      <w:pPr>
        <w:spacing w:after="24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3F47EB">
        <w:rPr>
          <w:rFonts w:ascii="Arial" w:hAnsi="Arial" w:cs="Arial"/>
          <w:sz w:val="24"/>
          <w:szCs w:val="24"/>
        </w:rPr>
        <w:t xml:space="preserve">For all the above reasons and given the overwhelming evidence before court, the proposed leave to appeal has no reasonable prospects of success. I also found no compelling reasons why the appeal should be heard. The Supreme Court of Appeal has confirmed, in various court decisions, that Customary Law is a living law of the people. </w:t>
      </w:r>
      <w:r w:rsidR="00255D11">
        <w:rPr>
          <w:rFonts w:ascii="Arial" w:hAnsi="Arial" w:cs="Arial"/>
          <w:sz w:val="24"/>
          <w:szCs w:val="24"/>
        </w:rPr>
        <w:t xml:space="preserve">In </w:t>
      </w:r>
      <w:proofErr w:type="spellStart"/>
      <w:r w:rsidR="00255D11">
        <w:rPr>
          <w:rFonts w:ascii="Arial" w:hAnsi="Arial" w:cs="Arial"/>
          <w:i/>
          <w:iCs/>
          <w:sz w:val="24"/>
          <w:szCs w:val="24"/>
        </w:rPr>
        <w:t>Mbungela</w:t>
      </w:r>
      <w:proofErr w:type="spellEnd"/>
      <w:r w:rsidR="00255D11">
        <w:rPr>
          <w:rFonts w:ascii="Arial" w:hAnsi="Arial" w:cs="Arial"/>
          <w:i/>
          <w:iCs/>
          <w:sz w:val="24"/>
          <w:szCs w:val="24"/>
        </w:rPr>
        <w:t xml:space="preserve"> and Another v </w:t>
      </w:r>
      <w:proofErr w:type="spellStart"/>
      <w:r w:rsidR="00255D11">
        <w:rPr>
          <w:rFonts w:ascii="Arial" w:hAnsi="Arial" w:cs="Arial"/>
          <w:i/>
          <w:iCs/>
          <w:sz w:val="24"/>
          <w:szCs w:val="24"/>
        </w:rPr>
        <w:t>Mkabi</w:t>
      </w:r>
      <w:proofErr w:type="spellEnd"/>
      <w:r w:rsidR="00255D11">
        <w:rPr>
          <w:rFonts w:ascii="Arial" w:hAnsi="Arial" w:cs="Arial"/>
          <w:i/>
          <w:iCs/>
          <w:sz w:val="24"/>
          <w:szCs w:val="24"/>
        </w:rPr>
        <w:t xml:space="preserve"> and Others</w:t>
      </w:r>
      <w:r w:rsidR="00255D11">
        <w:rPr>
          <w:rStyle w:val="FootnoteReference"/>
          <w:rFonts w:ascii="Arial" w:hAnsi="Arial" w:cs="Arial"/>
          <w:i/>
          <w:iCs/>
          <w:sz w:val="24"/>
          <w:szCs w:val="24"/>
        </w:rPr>
        <w:footnoteReference w:id="5"/>
      </w:r>
      <w:r w:rsidR="00255D11">
        <w:rPr>
          <w:rFonts w:ascii="Arial" w:hAnsi="Arial" w:cs="Arial"/>
          <w:sz w:val="24"/>
          <w:szCs w:val="24"/>
        </w:rPr>
        <w:t xml:space="preserve"> it was held –</w:t>
      </w:r>
    </w:p>
    <w:p w14:paraId="2FD256E8" w14:textId="06E28880" w:rsidR="00255D11" w:rsidRPr="00255D11" w:rsidRDefault="00255D11" w:rsidP="00255D11">
      <w:pPr>
        <w:spacing w:after="240" w:line="360" w:lineRule="auto"/>
        <w:jc w:val="both"/>
        <w:rPr>
          <w:rFonts w:ascii="Arial" w:hAnsi="Arial" w:cs="Arial"/>
        </w:rPr>
      </w:pPr>
      <w:r>
        <w:rPr>
          <w:rFonts w:ascii="Arial" w:hAnsi="Arial" w:cs="Arial"/>
        </w:rPr>
        <w:t>‘The importance of the observance of traditional customs and usages that constitute and define the provenance of African culture cannot be understated. Neither can the value of the custom of bridal transfer be denied. But it must be also recognised that an inflexible rule that there is no valid customary marriage if just this one ritual has not been observed, even if the other requirements of s 3(1) of the Act, especially spousal consent, have been met, in circumstances such as the present, could yield untenable results.’</w:t>
      </w:r>
    </w:p>
    <w:p w14:paraId="06A0CFCD" w14:textId="0AB9F0A7" w:rsidR="00376D62" w:rsidRDefault="00586AA4" w:rsidP="00586AA4">
      <w:pPr>
        <w:spacing w:after="24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8521B1">
        <w:rPr>
          <w:rFonts w:ascii="Arial" w:hAnsi="Arial" w:cs="Arial"/>
          <w:sz w:val="24"/>
          <w:szCs w:val="24"/>
        </w:rPr>
        <w:t xml:space="preserve">In </w:t>
      </w:r>
      <w:proofErr w:type="spellStart"/>
      <w:r w:rsidR="008521B1">
        <w:rPr>
          <w:rFonts w:ascii="Arial" w:hAnsi="Arial" w:cs="Arial"/>
          <w:i/>
          <w:iCs/>
          <w:sz w:val="24"/>
          <w:szCs w:val="24"/>
        </w:rPr>
        <w:t>Tsambo</w:t>
      </w:r>
      <w:proofErr w:type="spellEnd"/>
      <w:r w:rsidR="008521B1">
        <w:rPr>
          <w:rFonts w:ascii="Arial" w:hAnsi="Arial" w:cs="Arial"/>
          <w:i/>
          <w:iCs/>
          <w:sz w:val="24"/>
          <w:szCs w:val="24"/>
        </w:rPr>
        <w:t xml:space="preserve"> v </w:t>
      </w:r>
      <w:proofErr w:type="spellStart"/>
      <w:r w:rsidR="008521B1">
        <w:rPr>
          <w:rFonts w:ascii="Arial" w:hAnsi="Arial" w:cs="Arial"/>
          <w:i/>
          <w:iCs/>
          <w:sz w:val="24"/>
          <w:szCs w:val="24"/>
        </w:rPr>
        <w:t>Sengadi</w:t>
      </w:r>
      <w:proofErr w:type="spellEnd"/>
      <w:r w:rsidR="008521B1">
        <w:rPr>
          <w:rStyle w:val="FootnoteReference"/>
          <w:rFonts w:ascii="Arial" w:hAnsi="Arial" w:cs="Arial"/>
          <w:i/>
          <w:iCs/>
          <w:sz w:val="24"/>
          <w:szCs w:val="24"/>
        </w:rPr>
        <w:footnoteReference w:id="6"/>
      </w:r>
      <w:r w:rsidR="008521B1">
        <w:rPr>
          <w:rFonts w:ascii="Arial" w:hAnsi="Arial" w:cs="Arial"/>
          <w:i/>
          <w:iCs/>
          <w:sz w:val="24"/>
          <w:szCs w:val="24"/>
        </w:rPr>
        <w:t xml:space="preserve">, </w:t>
      </w:r>
      <w:r w:rsidR="008521B1">
        <w:rPr>
          <w:rFonts w:ascii="Arial" w:hAnsi="Arial" w:cs="Arial"/>
          <w:sz w:val="24"/>
          <w:szCs w:val="24"/>
        </w:rPr>
        <w:t>it was held –</w:t>
      </w:r>
    </w:p>
    <w:p w14:paraId="5EEF48CD" w14:textId="58519937" w:rsidR="008521B1" w:rsidRPr="008521B1" w:rsidRDefault="008521B1" w:rsidP="008521B1">
      <w:pPr>
        <w:spacing w:after="240" w:line="360" w:lineRule="auto"/>
        <w:jc w:val="both"/>
        <w:rPr>
          <w:rFonts w:ascii="Arial" w:hAnsi="Arial" w:cs="Arial"/>
        </w:rPr>
      </w:pPr>
      <w:r>
        <w:rPr>
          <w:rFonts w:ascii="Arial" w:hAnsi="Arial" w:cs="Arial"/>
          <w:sz w:val="24"/>
          <w:szCs w:val="24"/>
        </w:rPr>
        <w:t>‘</w:t>
      </w:r>
      <w:r>
        <w:rPr>
          <w:rFonts w:ascii="Arial" w:hAnsi="Arial" w:cs="Arial"/>
        </w:rPr>
        <w:t>It is evident from the foregoing passage that strict compliance with rituals has, in the past, been waived. The authorities cited by the respondent, mentioned earlier in the judgment, also attest to that. Clearly, customs have never been static. They develop and change along with the society in which they are practised. Given the obligation imposed on the courts to give effect to the principle of living customary law, i</w:t>
      </w:r>
      <w:r w:rsidR="00435924">
        <w:rPr>
          <w:rFonts w:ascii="Arial" w:hAnsi="Arial" w:cs="Arial"/>
        </w:rPr>
        <w:t>t</w:t>
      </w:r>
      <w:r>
        <w:rPr>
          <w:rFonts w:ascii="Arial" w:hAnsi="Arial" w:cs="Arial"/>
        </w:rPr>
        <w:t xml:space="preserve"> follows ineluctably that the failure to strictly comply with all rituals and ceremonies that were historically observed cannot invalidate a marriage that has otherwise been negotiated, concluded or celebrated in accordance with customary law.’</w:t>
      </w:r>
    </w:p>
    <w:p w14:paraId="66328A4F" w14:textId="09D67FC3" w:rsidR="005C2D0F" w:rsidRDefault="00586AA4" w:rsidP="00586AA4">
      <w:pPr>
        <w:spacing w:after="24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435924">
        <w:rPr>
          <w:rFonts w:ascii="Arial" w:hAnsi="Arial" w:cs="Arial"/>
          <w:sz w:val="24"/>
          <w:szCs w:val="24"/>
        </w:rPr>
        <w:t xml:space="preserve">The application for leave to appeal must fail. </w:t>
      </w:r>
    </w:p>
    <w:p w14:paraId="3569D17B" w14:textId="7D7EFB0D" w:rsidR="00435924" w:rsidRPr="00435924" w:rsidRDefault="00435924" w:rsidP="00435924">
      <w:pPr>
        <w:spacing w:after="240" w:line="360" w:lineRule="auto"/>
        <w:jc w:val="both"/>
        <w:rPr>
          <w:rFonts w:ascii="Arial" w:hAnsi="Arial" w:cs="Arial"/>
          <w:b/>
          <w:bCs/>
          <w:sz w:val="24"/>
          <w:szCs w:val="24"/>
        </w:rPr>
      </w:pPr>
      <w:r>
        <w:rPr>
          <w:rFonts w:ascii="Arial" w:hAnsi="Arial" w:cs="Arial"/>
          <w:b/>
          <w:bCs/>
          <w:sz w:val="24"/>
          <w:szCs w:val="24"/>
        </w:rPr>
        <w:lastRenderedPageBreak/>
        <w:t>Costs</w:t>
      </w:r>
    </w:p>
    <w:p w14:paraId="23AF6871" w14:textId="4303F4E3" w:rsidR="005C2D0F" w:rsidRDefault="00586AA4" w:rsidP="00586AA4">
      <w:pPr>
        <w:spacing w:after="24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7028EB">
        <w:rPr>
          <w:rFonts w:ascii="Arial" w:hAnsi="Arial" w:cs="Arial"/>
          <w:sz w:val="24"/>
          <w:szCs w:val="24"/>
        </w:rPr>
        <w:t xml:space="preserve">In the main application, the court exercised its discretion and decided that each party should pay its own costs. This had involved a consideration that the applicant is the daughter of the deceased who had relied on </w:t>
      </w:r>
      <w:proofErr w:type="gramStart"/>
      <w:r w:rsidR="007028EB">
        <w:rPr>
          <w:rFonts w:ascii="Arial" w:hAnsi="Arial" w:cs="Arial"/>
          <w:sz w:val="24"/>
          <w:szCs w:val="24"/>
        </w:rPr>
        <w:t>advices</w:t>
      </w:r>
      <w:proofErr w:type="gramEnd"/>
      <w:r w:rsidR="007028EB">
        <w:rPr>
          <w:rFonts w:ascii="Arial" w:hAnsi="Arial" w:cs="Arial"/>
          <w:sz w:val="24"/>
          <w:szCs w:val="24"/>
        </w:rPr>
        <w:t xml:space="preserve"> of other family members as she was not present when the marriage was concluded. </w:t>
      </w:r>
      <w:r w:rsidR="003015A1">
        <w:rPr>
          <w:rFonts w:ascii="Arial" w:hAnsi="Arial" w:cs="Arial"/>
          <w:sz w:val="24"/>
          <w:szCs w:val="24"/>
        </w:rPr>
        <w:t xml:space="preserve">During the hearing of the leave to appeal, Mr </w:t>
      </w:r>
      <w:proofErr w:type="spellStart"/>
      <w:r w:rsidR="003015A1">
        <w:rPr>
          <w:rFonts w:ascii="Arial" w:hAnsi="Arial" w:cs="Arial"/>
          <w:i/>
          <w:iCs/>
          <w:sz w:val="24"/>
          <w:szCs w:val="24"/>
        </w:rPr>
        <w:t>Sintwa</w:t>
      </w:r>
      <w:proofErr w:type="spellEnd"/>
      <w:r w:rsidR="003015A1">
        <w:rPr>
          <w:rFonts w:ascii="Arial" w:hAnsi="Arial" w:cs="Arial"/>
          <w:sz w:val="24"/>
          <w:szCs w:val="24"/>
        </w:rPr>
        <w:t xml:space="preserve">, counsel for the first respondent, persuaded me that costs should follow the results. Mr </w:t>
      </w:r>
      <w:r w:rsidR="003015A1">
        <w:rPr>
          <w:rFonts w:ascii="Arial" w:hAnsi="Arial" w:cs="Arial"/>
          <w:i/>
          <w:iCs/>
          <w:sz w:val="24"/>
          <w:szCs w:val="24"/>
        </w:rPr>
        <w:t>Mapoma</w:t>
      </w:r>
      <w:r w:rsidR="003015A1">
        <w:rPr>
          <w:rFonts w:ascii="Arial" w:hAnsi="Arial" w:cs="Arial"/>
          <w:sz w:val="24"/>
          <w:szCs w:val="24"/>
        </w:rPr>
        <w:t xml:space="preserve">, counsel for the applicant, did not contend otherwise. I agree that this is a case where the general rule on costs should be followed. There was an application for condonation which I had granted. In a condonation application, the applicant is seeking indulgence of the court and is liable for costs. </w:t>
      </w:r>
      <w:r w:rsidR="001D244A">
        <w:rPr>
          <w:rFonts w:ascii="Arial" w:hAnsi="Arial" w:cs="Arial"/>
          <w:sz w:val="24"/>
          <w:szCs w:val="24"/>
        </w:rPr>
        <w:t xml:space="preserve">For all the reasons, the costs shall be awarded in favour of the first respondent. </w:t>
      </w:r>
    </w:p>
    <w:p w14:paraId="7E67C82C" w14:textId="20D95CE9" w:rsidR="001D244A" w:rsidRPr="001D244A" w:rsidRDefault="001D244A" w:rsidP="001D244A">
      <w:pPr>
        <w:spacing w:after="240" w:line="360" w:lineRule="auto"/>
        <w:jc w:val="both"/>
        <w:rPr>
          <w:rFonts w:ascii="Arial" w:hAnsi="Arial" w:cs="Arial"/>
          <w:b/>
          <w:bCs/>
          <w:sz w:val="24"/>
          <w:szCs w:val="24"/>
        </w:rPr>
      </w:pPr>
      <w:r>
        <w:rPr>
          <w:rFonts w:ascii="Arial" w:hAnsi="Arial" w:cs="Arial"/>
          <w:b/>
          <w:bCs/>
          <w:sz w:val="24"/>
          <w:szCs w:val="24"/>
        </w:rPr>
        <w:t>Conclusion</w:t>
      </w:r>
    </w:p>
    <w:p w14:paraId="2B4CA40A" w14:textId="08ABD480" w:rsidR="001D244A" w:rsidRDefault="00586AA4" w:rsidP="00586AA4">
      <w:pPr>
        <w:spacing w:after="24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1832AE">
        <w:rPr>
          <w:rFonts w:ascii="Arial" w:hAnsi="Arial" w:cs="Arial"/>
          <w:sz w:val="24"/>
          <w:szCs w:val="24"/>
        </w:rPr>
        <w:t xml:space="preserve">For all the reasons stated above, the leave to appeal has no prospects of success and there are no compelling reasons for the grant of the leave to appeal. In the circumstances, the leave to appeal must fail and the applicant should bear the costs of the application for leave to appeal and condonation application. </w:t>
      </w:r>
    </w:p>
    <w:p w14:paraId="1E31C395" w14:textId="3B80F008" w:rsidR="001D244A" w:rsidRPr="001D244A" w:rsidRDefault="001D244A" w:rsidP="001D244A">
      <w:pPr>
        <w:spacing w:after="240" w:line="360" w:lineRule="auto"/>
        <w:jc w:val="both"/>
        <w:rPr>
          <w:rFonts w:ascii="Arial" w:hAnsi="Arial" w:cs="Arial"/>
          <w:b/>
          <w:bCs/>
          <w:sz w:val="24"/>
          <w:szCs w:val="24"/>
        </w:rPr>
      </w:pPr>
      <w:r>
        <w:rPr>
          <w:rFonts w:ascii="Arial" w:hAnsi="Arial" w:cs="Arial"/>
          <w:b/>
          <w:bCs/>
          <w:sz w:val="24"/>
          <w:szCs w:val="24"/>
        </w:rPr>
        <w:t>Order</w:t>
      </w:r>
    </w:p>
    <w:p w14:paraId="7903FC9B" w14:textId="3BA6CA4E" w:rsidR="005C2D0F" w:rsidRDefault="00586AA4" w:rsidP="00586AA4">
      <w:pPr>
        <w:spacing w:after="24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1D244A">
        <w:rPr>
          <w:rFonts w:ascii="Arial" w:hAnsi="Arial" w:cs="Arial"/>
          <w:sz w:val="24"/>
          <w:szCs w:val="24"/>
        </w:rPr>
        <w:t>In the result, the following order is made –</w:t>
      </w:r>
    </w:p>
    <w:p w14:paraId="1DE66B5F" w14:textId="07756F35" w:rsidR="001D244A" w:rsidRDefault="001D244A" w:rsidP="001D244A">
      <w:pPr>
        <w:spacing w:after="24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Condonation application is granted.</w:t>
      </w:r>
    </w:p>
    <w:p w14:paraId="3F37EEE3" w14:textId="10FF963C" w:rsidR="001D244A" w:rsidRDefault="001D244A" w:rsidP="001D244A">
      <w:pPr>
        <w:spacing w:after="24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applicant shall pay costs for condonation.</w:t>
      </w:r>
    </w:p>
    <w:p w14:paraId="38332E86" w14:textId="15E79E1E" w:rsidR="001D244A" w:rsidRDefault="001D244A" w:rsidP="001D244A">
      <w:pPr>
        <w:spacing w:after="24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application for leave to appeal is dismissed with costs.</w:t>
      </w:r>
    </w:p>
    <w:p w14:paraId="580C4B5A" w14:textId="2338972E" w:rsidR="001811A6" w:rsidRDefault="001811A6" w:rsidP="001811A6">
      <w:pPr>
        <w:spacing w:after="120" w:line="360" w:lineRule="auto"/>
        <w:jc w:val="both"/>
        <w:rPr>
          <w:rFonts w:ascii="Arial" w:hAnsi="Arial" w:cs="Arial"/>
          <w:sz w:val="24"/>
          <w:szCs w:val="24"/>
        </w:rPr>
      </w:pPr>
    </w:p>
    <w:p w14:paraId="6AB399BA" w14:textId="77777777" w:rsidR="00AA4CCA" w:rsidRDefault="00AA4CCA" w:rsidP="00DE08B0">
      <w:pPr>
        <w:spacing w:after="0" w:line="360" w:lineRule="auto"/>
        <w:jc w:val="both"/>
        <w:rPr>
          <w:rFonts w:ascii="Arial" w:hAnsi="Arial" w:cs="Arial"/>
          <w:sz w:val="24"/>
          <w:szCs w:val="24"/>
        </w:rPr>
      </w:pPr>
    </w:p>
    <w:p w14:paraId="071D7334" w14:textId="77777777" w:rsidR="00EA5735" w:rsidRPr="0039306E" w:rsidRDefault="00EA5735" w:rsidP="00DE08B0">
      <w:pPr>
        <w:spacing w:after="0" w:line="360" w:lineRule="auto"/>
        <w:jc w:val="both"/>
        <w:rPr>
          <w:rFonts w:ascii="Arial" w:hAnsi="Arial" w:cs="Arial"/>
          <w:sz w:val="24"/>
          <w:szCs w:val="24"/>
        </w:rPr>
      </w:pPr>
      <w:r w:rsidRPr="0039306E">
        <w:rPr>
          <w:rFonts w:ascii="Arial" w:hAnsi="Arial" w:cs="Arial"/>
          <w:sz w:val="24"/>
          <w:szCs w:val="24"/>
        </w:rPr>
        <w:t>_______________________</w:t>
      </w:r>
    </w:p>
    <w:p w14:paraId="0FD94452" w14:textId="77777777" w:rsidR="00EA5735" w:rsidRDefault="00EA5735">
      <w:pPr>
        <w:spacing w:after="0" w:line="360" w:lineRule="auto"/>
        <w:rPr>
          <w:rFonts w:ascii="Arial" w:hAnsi="Arial" w:cs="Arial"/>
          <w:b/>
          <w:bCs/>
        </w:rPr>
      </w:pPr>
      <w:r>
        <w:rPr>
          <w:rFonts w:ascii="Arial" w:hAnsi="Arial" w:cs="Arial"/>
          <w:b/>
          <w:bCs/>
        </w:rPr>
        <w:t>M NOTYESI</w:t>
      </w:r>
    </w:p>
    <w:p w14:paraId="1D1EBAA2" w14:textId="77777777" w:rsidR="006963EC" w:rsidRDefault="00EA5735">
      <w:pPr>
        <w:spacing w:after="0" w:line="360" w:lineRule="auto"/>
        <w:rPr>
          <w:rFonts w:ascii="Arial" w:hAnsi="Arial" w:cs="Arial"/>
          <w:b/>
          <w:bCs/>
        </w:rPr>
      </w:pPr>
      <w:r w:rsidRPr="003D21B0">
        <w:rPr>
          <w:rFonts w:ascii="Arial" w:hAnsi="Arial" w:cs="Arial"/>
          <w:b/>
          <w:bCs/>
        </w:rPr>
        <w:t>ACTING JUDGE OF THE HIGH COURT</w:t>
      </w:r>
      <w:r w:rsidR="006A073B">
        <w:rPr>
          <w:rFonts w:ascii="Arial" w:hAnsi="Arial" w:cs="Arial"/>
          <w:b/>
          <w:bCs/>
        </w:rPr>
        <w:t>, EASTERN CAPE DIVISION</w:t>
      </w:r>
    </w:p>
    <w:p w14:paraId="4992FB46" w14:textId="15E2A414" w:rsidR="00CD078E" w:rsidRDefault="006963EC" w:rsidP="001832AE">
      <w:pPr>
        <w:rPr>
          <w:rFonts w:ascii="Arial" w:hAnsi="Arial" w:cs="Arial"/>
          <w:sz w:val="24"/>
          <w:szCs w:val="24"/>
        </w:rPr>
      </w:pPr>
      <w:r>
        <w:rPr>
          <w:rFonts w:ascii="Arial" w:hAnsi="Arial" w:cs="Arial"/>
          <w:b/>
          <w:bCs/>
        </w:rPr>
        <w:br w:type="page"/>
      </w:r>
      <w:r w:rsidR="00CD078E">
        <w:rPr>
          <w:rFonts w:ascii="Arial" w:hAnsi="Arial" w:cs="Arial"/>
          <w:sz w:val="24"/>
          <w:szCs w:val="24"/>
        </w:rPr>
        <w:lastRenderedPageBreak/>
        <w:t>Counsel for</w:t>
      </w:r>
      <w:r w:rsidR="00A6299B">
        <w:rPr>
          <w:rFonts w:ascii="Arial" w:hAnsi="Arial" w:cs="Arial"/>
          <w:sz w:val="24"/>
          <w:szCs w:val="24"/>
        </w:rPr>
        <w:t xml:space="preserve"> </w:t>
      </w:r>
      <w:r w:rsidR="00346239">
        <w:rPr>
          <w:rFonts w:ascii="Arial" w:hAnsi="Arial" w:cs="Arial"/>
          <w:sz w:val="24"/>
          <w:szCs w:val="24"/>
        </w:rPr>
        <w:t>t</w:t>
      </w:r>
      <w:r w:rsidR="00A6299B">
        <w:rPr>
          <w:rFonts w:ascii="Arial" w:hAnsi="Arial" w:cs="Arial"/>
          <w:sz w:val="24"/>
          <w:szCs w:val="24"/>
        </w:rPr>
        <w:t xml:space="preserve">he </w:t>
      </w:r>
      <w:r w:rsidR="001832AE">
        <w:rPr>
          <w:rFonts w:ascii="Arial" w:hAnsi="Arial" w:cs="Arial"/>
          <w:sz w:val="24"/>
          <w:szCs w:val="24"/>
        </w:rPr>
        <w:t>Applicant</w:t>
      </w:r>
      <w:r w:rsidR="00CD078E">
        <w:rPr>
          <w:rFonts w:ascii="Arial" w:hAnsi="Arial" w:cs="Arial"/>
          <w:sz w:val="24"/>
          <w:szCs w:val="24"/>
        </w:rPr>
        <w:tab/>
      </w:r>
      <w:r w:rsidR="00CD078E">
        <w:rPr>
          <w:rFonts w:ascii="Arial" w:hAnsi="Arial" w:cs="Arial"/>
          <w:sz w:val="24"/>
          <w:szCs w:val="24"/>
        </w:rPr>
        <w:tab/>
        <w:t>:</w:t>
      </w:r>
      <w:r w:rsidR="00CD078E">
        <w:rPr>
          <w:rFonts w:ascii="Arial" w:hAnsi="Arial" w:cs="Arial"/>
          <w:sz w:val="24"/>
          <w:szCs w:val="24"/>
        </w:rPr>
        <w:tab/>
      </w:r>
      <w:r w:rsidR="00A6299B" w:rsidRPr="00346239">
        <w:rPr>
          <w:rFonts w:ascii="Arial" w:hAnsi="Arial" w:cs="Arial"/>
          <w:i/>
          <w:sz w:val="24"/>
          <w:szCs w:val="24"/>
        </w:rPr>
        <w:t xml:space="preserve">Adv </w:t>
      </w:r>
      <w:r w:rsidR="001832AE">
        <w:rPr>
          <w:rFonts w:ascii="Arial" w:hAnsi="Arial" w:cs="Arial"/>
          <w:i/>
          <w:sz w:val="24"/>
          <w:szCs w:val="24"/>
        </w:rPr>
        <w:t>Mapoma SC</w:t>
      </w:r>
    </w:p>
    <w:p w14:paraId="26BE8C57" w14:textId="6276ECED" w:rsidR="00CD078E" w:rsidRDefault="001832AE">
      <w:pPr>
        <w:spacing w:after="0" w:line="360" w:lineRule="auto"/>
        <w:jc w:val="both"/>
        <w:rPr>
          <w:rFonts w:ascii="Arial" w:hAnsi="Arial" w:cs="Arial"/>
          <w:sz w:val="24"/>
          <w:szCs w:val="24"/>
        </w:rPr>
      </w:pPr>
      <w:r>
        <w:rPr>
          <w:rFonts w:ascii="Arial" w:hAnsi="Arial" w:cs="Arial"/>
          <w:sz w:val="24"/>
          <w:szCs w:val="24"/>
        </w:rPr>
        <w:t>Instructed by</w:t>
      </w:r>
      <w:r w:rsidR="00DA2829">
        <w:rPr>
          <w:rFonts w:ascii="Arial" w:hAnsi="Arial" w:cs="Arial"/>
          <w:sz w:val="24"/>
          <w:szCs w:val="24"/>
        </w:rPr>
        <w:tab/>
      </w:r>
      <w:r w:rsidR="00DA2829">
        <w:rPr>
          <w:rFonts w:ascii="Arial" w:hAnsi="Arial" w:cs="Arial"/>
          <w:sz w:val="24"/>
          <w:szCs w:val="24"/>
        </w:rPr>
        <w:tab/>
      </w:r>
      <w:r w:rsidR="00CD078E">
        <w:rPr>
          <w:rFonts w:ascii="Arial" w:hAnsi="Arial" w:cs="Arial"/>
          <w:sz w:val="24"/>
          <w:szCs w:val="24"/>
        </w:rPr>
        <w:tab/>
      </w:r>
      <w:r w:rsidR="00CD078E">
        <w:rPr>
          <w:rFonts w:ascii="Arial" w:hAnsi="Arial" w:cs="Arial"/>
          <w:sz w:val="24"/>
          <w:szCs w:val="24"/>
        </w:rPr>
        <w:tab/>
        <w:t>:</w:t>
      </w:r>
      <w:r w:rsidR="00346239">
        <w:rPr>
          <w:rFonts w:ascii="Arial" w:hAnsi="Arial" w:cs="Arial"/>
          <w:sz w:val="24"/>
          <w:szCs w:val="24"/>
        </w:rPr>
        <w:tab/>
      </w:r>
      <w:proofErr w:type="spellStart"/>
      <w:r w:rsidRPr="001832AE">
        <w:rPr>
          <w:rFonts w:ascii="Arial" w:hAnsi="Arial" w:cs="Arial"/>
          <w:i/>
          <w:iCs/>
          <w:sz w:val="24"/>
          <w:szCs w:val="24"/>
        </w:rPr>
        <w:t>Mdledle</w:t>
      </w:r>
      <w:proofErr w:type="spellEnd"/>
      <w:r w:rsidRPr="001832AE">
        <w:rPr>
          <w:rFonts w:ascii="Arial" w:hAnsi="Arial" w:cs="Arial"/>
          <w:i/>
          <w:iCs/>
          <w:sz w:val="24"/>
          <w:szCs w:val="24"/>
        </w:rPr>
        <w:t xml:space="preserve"> </w:t>
      </w:r>
      <w:proofErr w:type="spellStart"/>
      <w:r w:rsidRPr="001832AE">
        <w:rPr>
          <w:rFonts w:ascii="Arial" w:hAnsi="Arial" w:cs="Arial"/>
          <w:i/>
          <w:iCs/>
          <w:sz w:val="24"/>
          <w:szCs w:val="24"/>
        </w:rPr>
        <w:t>Malefane</w:t>
      </w:r>
      <w:proofErr w:type="spellEnd"/>
      <w:r w:rsidRPr="001832AE">
        <w:rPr>
          <w:rFonts w:ascii="Arial" w:hAnsi="Arial" w:cs="Arial"/>
          <w:i/>
          <w:iCs/>
          <w:sz w:val="24"/>
          <w:szCs w:val="24"/>
        </w:rPr>
        <w:t xml:space="preserve"> &amp; Associates</w:t>
      </w:r>
    </w:p>
    <w:p w14:paraId="771AAC43" w14:textId="77777777" w:rsidR="00346239" w:rsidRDefault="003462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Mthatha</w:t>
      </w:r>
    </w:p>
    <w:p w14:paraId="554F6B31" w14:textId="77777777" w:rsidR="00CD078E" w:rsidRDefault="003462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2D02385" w14:textId="6DDD65B9" w:rsidR="00CD078E" w:rsidRDefault="00CD078E">
      <w:pPr>
        <w:spacing w:after="0" w:line="360" w:lineRule="auto"/>
        <w:jc w:val="both"/>
        <w:rPr>
          <w:rFonts w:ascii="Arial" w:hAnsi="Arial" w:cs="Arial"/>
          <w:sz w:val="24"/>
          <w:szCs w:val="24"/>
        </w:rPr>
      </w:pPr>
      <w:r>
        <w:rPr>
          <w:rFonts w:ascii="Arial" w:hAnsi="Arial" w:cs="Arial"/>
          <w:sz w:val="24"/>
          <w:szCs w:val="24"/>
        </w:rPr>
        <w:t>Counsel for</w:t>
      </w:r>
      <w:r w:rsidR="00A6299B">
        <w:rPr>
          <w:rFonts w:ascii="Arial" w:hAnsi="Arial" w:cs="Arial"/>
          <w:sz w:val="24"/>
          <w:szCs w:val="24"/>
        </w:rPr>
        <w:t xml:space="preserve"> the </w:t>
      </w:r>
      <w:r w:rsidR="001832AE">
        <w:rPr>
          <w:rFonts w:ascii="Arial" w:hAnsi="Arial" w:cs="Arial"/>
          <w:sz w:val="24"/>
          <w:szCs w:val="24"/>
        </w:rPr>
        <w:t>First Respondent</w:t>
      </w:r>
      <w:r w:rsidR="001832AE">
        <w:rPr>
          <w:rFonts w:ascii="Arial" w:hAnsi="Arial" w:cs="Arial"/>
          <w:sz w:val="24"/>
          <w:szCs w:val="24"/>
        </w:rPr>
        <w:tab/>
      </w:r>
      <w:r>
        <w:rPr>
          <w:rFonts w:ascii="Arial" w:hAnsi="Arial" w:cs="Arial"/>
          <w:sz w:val="24"/>
          <w:szCs w:val="24"/>
        </w:rPr>
        <w:t>:</w:t>
      </w:r>
      <w:r w:rsidR="00A6299B">
        <w:rPr>
          <w:rFonts w:ascii="Arial" w:hAnsi="Arial" w:cs="Arial"/>
          <w:sz w:val="24"/>
          <w:szCs w:val="24"/>
        </w:rPr>
        <w:tab/>
      </w:r>
      <w:r w:rsidR="00A6299B" w:rsidRPr="00346239">
        <w:rPr>
          <w:rFonts w:ascii="Arial" w:hAnsi="Arial" w:cs="Arial"/>
          <w:i/>
          <w:sz w:val="24"/>
          <w:szCs w:val="24"/>
        </w:rPr>
        <w:t xml:space="preserve">Adv </w:t>
      </w:r>
      <w:proofErr w:type="spellStart"/>
      <w:r w:rsidR="001832AE">
        <w:rPr>
          <w:rFonts w:ascii="Arial" w:hAnsi="Arial" w:cs="Arial"/>
          <w:i/>
          <w:sz w:val="24"/>
          <w:szCs w:val="24"/>
        </w:rPr>
        <w:t>Sintwa</w:t>
      </w:r>
      <w:proofErr w:type="spellEnd"/>
    </w:p>
    <w:p w14:paraId="65EF94A8" w14:textId="18F92488" w:rsidR="00CD078E" w:rsidRDefault="001832AE">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CD078E">
        <w:rPr>
          <w:rFonts w:ascii="Arial" w:hAnsi="Arial" w:cs="Arial"/>
          <w:sz w:val="24"/>
          <w:szCs w:val="24"/>
        </w:rPr>
        <w:tab/>
      </w:r>
      <w:r w:rsidR="00CD078E">
        <w:rPr>
          <w:rFonts w:ascii="Arial" w:hAnsi="Arial" w:cs="Arial"/>
          <w:sz w:val="24"/>
          <w:szCs w:val="24"/>
        </w:rPr>
        <w:tab/>
        <w:t>:</w:t>
      </w:r>
      <w:r w:rsidR="00CD078E">
        <w:rPr>
          <w:rFonts w:ascii="Arial" w:hAnsi="Arial" w:cs="Arial"/>
          <w:sz w:val="24"/>
          <w:szCs w:val="24"/>
        </w:rPr>
        <w:tab/>
      </w:r>
      <w:r>
        <w:rPr>
          <w:rFonts w:ascii="Arial" w:hAnsi="Arial" w:cs="Arial"/>
          <w:i/>
          <w:sz w:val="24"/>
          <w:szCs w:val="24"/>
        </w:rPr>
        <w:t xml:space="preserve">T </w:t>
      </w:r>
      <w:proofErr w:type="spellStart"/>
      <w:r>
        <w:rPr>
          <w:rFonts w:ascii="Arial" w:hAnsi="Arial" w:cs="Arial"/>
          <w:i/>
          <w:sz w:val="24"/>
          <w:szCs w:val="24"/>
        </w:rPr>
        <w:t>Qina</w:t>
      </w:r>
      <w:proofErr w:type="spellEnd"/>
      <w:r>
        <w:rPr>
          <w:rFonts w:ascii="Arial" w:hAnsi="Arial" w:cs="Arial"/>
          <w:i/>
          <w:sz w:val="24"/>
          <w:szCs w:val="24"/>
        </w:rPr>
        <w:t xml:space="preserve"> &amp; Sons Attorneys</w:t>
      </w:r>
    </w:p>
    <w:p w14:paraId="3326EE16" w14:textId="77777777" w:rsidR="00346239" w:rsidRPr="002070EC" w:rsidRDefault="0034623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Mthatha</w:t>
      </w:r>
    </w:p>
    <w:sectPr w:rsidR="00346239" w:rsidRPr="002070EC" w:rsidSect="002A1783">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BB34FA" w14:textId="77777777" w:rsidR="002A1783" w:rsidRDefault="002A1783" w:rsidP="00D31321">
      <w:pPr>
        <w:spacing w:after="0" w:line="240" w:lineRule="auto"/>
      </w:pPr>
      <w:r>
        <w:separator/>
      </w:r>
    </w:p>
  </w:endnote>
  <w:endnote w:type="continuationSeparator" w:id="0">
    <w:p w14:paraId="36E93AD7" w14:textId="77777777" w:rsidR="002A1783" w:rsidRDefault="002A1783"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8F3DF" w14:textId="77777777" w:rsidR="002A1783" w:rsidRDefault="002A1783" w:rsidP="00D31321">
      <w:pPr>
        <w:spacing w:after="0" w:line="240" w:lineRule="auto"/>
      </w:pPr>
      <w:r>
        <w:separator/>
      </w:r>
    </w:p>
  </w:footnote>
  <w:footnote w:type="continuationSeparator" w:id="0">
    <w:p w14:paraId="0EAEDBAF" w14:textId="77777777" w:rsidR="002A1783" w:rsidRDefault="002A1783" w:rsidP="00D31321">
      <w:pPr>
        <w:spacing w:after="0" w:line="240" w:lineRule="auto"/>
      </w:pPr>
      <w:r>
        <w:continuationSeparator/>
      </w:r>
    </w:p>
  </w:footnote>
  <w:footnote w:id="1">
    <w:p w14:paraId="283DF971" w14:textId="72C43769" w:rsidR="009143B6" w:rsidRPr="009143B6" w:rsidRDefault="009143B6">
      <w:pPr>
        <w:pStyle w:val="FootnoteText"/>
        <w:rPr>
          <w:rFonts w:ascii="Arial" w:hAnsi="Arial" w:cs="Arial"/>
          <w:lang w:val="en-GB"/>
        </w:rPr>
      </w:pPr>
      <w:r>
        <w:rPr>
          <w:rStyle w:val="FootnoteReference"/>
        </w:rPr>
        <w:footnoteRef/>
      </w:r>
      <w:r>
        <w:t xml:space="preserve"> </w:t>
      </w:r>
      <w:r>
        <w:rPr>
          <w:rFonts w:ascii="Arial" w:hAnsi="Arial" w:cs="Arial"/>
          <w:lang w:val="en-GB"/>
        </w:rPr>
        <w:t>Superior Courts Act 10 of 2013</w:t>
      </w:r>
    </w:p>
  </w:footnote>
  <w:footnote w:id="2">
    <w:p w14:paraId="3433338E" w14:textId="72F814D7" w:rsidR="009143B6" w:rsidRPr="009143B6" w:rsidRDefault="009143B6">
      <w:pPr>
        <w:pStyle w:val="FootnoteText"/>
        <w:rPr>
          <w:rFonts w:ascii="Arial" w:hAnsi="Arial" w:cs="Arial"/>
          <w:lang w:val="en-GB"/>
        </w:rPr>
      </w:pPr>
      <w:r>
        <w:rPr>
          <w:rStyle w:val="FootnoteReference"/>
        </w:rPr>
        <w:footnoteRef/>
      </w:r>
      <w:r>
        <w:t xml:space="preserve"> </w:t>
      </w:r>
      <w:r>
        <w:rPr>
          <w:rFonts w:ascii="Arial" w:hAnsi="Arial" w:cs="Arial"/>
          <w:i/>
          <w:iCs/>
        </w:rPr>
        <w:t>Commissioner of Inland Revenue v Tuck</w:t>
      </w:r>
      <w:r>
        <w:rPr>
          <w:rFonts w:ascii="Arial" w:hAnsi="Arial" w:cs="Arial"/>
        </w:rPr>
        <w:t xml:space="preserve"> 1989 (4) 888 (T) at 890B</w:t>
      </w:r>
    </w:p>
  </w:footnote>
  <w:footnote w:id="3">
    <w:p w14:paraId="044E4EDC" w14:textId="16DF090E" w:rsidR="009143B6" w:rsidRPr="009143B6" w:rsidRDefault="009143B6">
      <w:pPr>
        <w:pStyle w:val="FootnoteText"/>
        <w:rPr>
          <w:rFonts w:ascii="Arial" w:hAnsi="Arial" w:cs="Arial"/>
          <w:lang w:val="en-GB"/>
        </w:rPr>
      </w:pPr>
      <w:r>
        <w:rPr>
          <w:rStyle w:val="FootnoteReference"/>
        </w:rPr>
        <w:footnoteRef/>
      </w:r>
      <w:r>
        <w:t xml:space="preserve"> </w:t>
      </w:r>
      <w:r>
        <w:rPr>
          <w:rFonts w:ascii="Arial" w:hAnsi="Arial" w:cs="Arial"/>
          <w:i/>
          <w:iCs/>
          <w:lang w:val="en-GB"/>
        </w:rPr>
        <w:t xml:space="preserve">The Mont </w:t>
      </w:r>
      <w:proofErr w:type="spellStart"/>
      <w:r>
        <w:rPr>
          <w:rFonts w:ascii="Arial" w:hAnsi="Arial" w:cs="Arial"/>
          <w:i/>
          <w:iCs/>
          <w:lang w:val="en-GB"/>
        </w:rPr>
        <w:t>Chevaux</w:t>
      </w:r>
      <w:proofErr w:type="spellEnd"/>
      <w:r>
        <w:rPr>
          <w:rFonts w:ascii="Arial" w:hAnsi="Arial" w:cs="Arial"/>
          <w:i/>
          <w:iCs/>
          <w:lang w:val="en-GB"/>
        </w:rPr>
        <w:t xml:space="preserve"> Trust v Tina Goosen and 18 Others </w:t>
      </w:r>
      <w:r>
        <w:rPr>
          <w:rFonts w:ascii="Arial" w:hAnsi="Arial" w:cs="Arial"/>
          <w:lang w:val="en-GB"/>
        </w:rPr>
        <w:t>[2014] JDR 2325 (LCC) at para 6</w:t>
      </w:r>
    </w:p>
  </w:footnote>
  <w:footnote w:id="4">
    <w:p w14:paraId="780FC233" w14:textId="337F09C2" w:rsidR="005B2660" w:rsidRPr="005B2660" w:rsidRDefault="005B2660">
      <w:pPr>
        <w:pStyle w:val="FootnoteText"/>
        <w:rPr>
          <w:rFonts w:ascii="Arial" w:hAnsi="Arial" w:cs="Arial"/>
          <w:lang w:val="en-GB"/>
        </w:rPr>
      </w:pPr>
      <w:r>
        <w:rPr>
          <w:rStyle w:val="FootnoteReference"/>
        </w:rPr>
        <w:footnoteRef/>
      </w:r>
      <w:r>
        <w:t xml:space="preserve"> </w:t>
      </w:r>
      <w:proofErr w:type="spellStart"/>
      <w:r>
        <w:rPr>
          <w:rFonts w:ascii="Arial" w:hAnsi="Arial" w:cs="Arial"/>
          <w:i/>
          <w:iCs/>
          <w:lang w:val="en-GB"/>
        </w:rPr>
        <w:t>Mbungela</w:t>
      </w:r>
      <w:proofErr w:type="spellEnd"/>
      <w:r>
        <w:rPr>
          <w:rFonts w:ascii="Arial" w:hAnsi="Arial" w:cs="Arial"/>
          <w:i/>
          <w:iCs/>
          <w:lang w:val="en-GB"/>
        </w:rPr>
        <w:t xml:space="preserve"> &amp; Another v </w:t>
      </w:r>
      <w:proofErr w:type="spellStart"/>
      <w:r>
        <w:rPr>
          <w:rFonts w:ascii="Arial" w:hAnsi="Arial" w:cs="Arial"/>
          <w:i/>
          <w:iCs/>
          <w:lang w:val="en-GB"/>
        </w:rPr>
        <w:t>Mkabi</w:t>
      </w:r>
      <w:proofErr w:type="spellEnd"/>
      <w:r>
        <w:rPr>
          <w:rFonts w:ascii="Arial" w:hAnsi="Arial" w:cs="Arial"/>
          <w:i/>
          <w:iCs/>
          <w:lang w:val="en-GB"/>
        </w:rPr>
        <w:t xml:space="preserve"> &amp; Others</w:t>
      </w:r>
      <w:r>
        <w:rPr>
          <w:rFonts w:ascii="Arial" w:hAnsi="Arial" w:cs="Arial"/>
          <w:lang w:val="en-GB"/>
        </w:rPr>
        <w:t xml:space="preserve"> [2019] ZASCA 134; 2020 (1) SA 41 (SCA); [2020] 1 All SA 42 (SCA) at para 17</w:t>
      </w:r>
    </w:p>
  </w:footnote>
  <w:footnote w:id="5">
    <w:p w14:paraId="5892431B" w14:textId="21CFF68A" w:rsidR="00255D11" w:rsidRPr="00255D11" w:rsidRDefault="00255D11">
      <w:pPr>
        <w:pStyle w:val="FootnoteText"/>
        <w:rPr>
          <w:rFonts w:ascii="Arial" w:hAnsi="Arial" w:cs="Arial"/>
          <w:lang w:val="en-GB"/>
        </w:rPr>
      </w:pPr>
      <w:r>
        <w:rPr>
          <w:rStyle w:val="FootnoteReference"/>
        </w:rPr>
        <w:footnoteRef/>
      </w:r>
      <w:r>
        <w:t xml:space="preserve"> </w:t>
      </w:r>
      <w:proofErr w:type="spellStart"/>
      <w:r>
        <w:rPr>
          <w:rFonts w:ascii="Arial" w:hAnsi="Arial" w:cs="Arial"/>
          <w:i/>
          <w:iCs/>
          <w:lang w:val="en-GB"/>
        </w:rPr>
        <w:t>Mbungela</w:t>
      </w:r>
      <w:proofErr w:type="spellEnd"/>
      <w:r>
        <w:rPr>
          <w:rFonts w:ascii="Arial" w:hAnsi="Arial" w:cs="Arial"/>
          <w:i/>
          <w:iCs/>
          <w:lang w:val="en-GB"/>
        </w:rPr>
        <w:t xml:space="preserve"> &amp; Another v </w:t>
      </w:r>
      <w:proofErr w:type="spellStart"/>
      <w:r>
        <w:rPr>
          <w:rFonts w:ascii="Arial" w:hAnsi="Arial" w:cs="Arial"/>
          <w:i/>
          <w:iCs/>
          <w:lang w:val="en-GB"/>
        </w:rPr>
        <w:t>Mkabi</w:t>
      </w:r>
      <w:proofErr w:type="spellEnd"/>
      <w:r>
        <w:rPr>
          <w:rFonts w:ascii="Arial" w:hAnsi="Arial" w:cs="Arial"/>
          <w:i/>
          <w:iCs/>
          <w:lang w:val="en-GB"/>
        </w:rPr>
        <w:t xml:space="preserve"> &amp; Others</w:t>
      </w:r>
      <w:r>
        <w:rPr>
          <w:rFonts w:ascii="Arial" w:hAnsi="Arial" w:cs="Arial"/>
          <w:lang w:val="en-GB"/>
        </w:rPr>
        <w:t xml:space="preserve"> supra</w:t>
      </w:r>
    </w:p>
  </w:footnote>
  <w:footnote w:id="6">
    <w:p w14:paraId="127C5C0B" w14:textId="54FFE673" w:rsidR="008521B1" w:rsidRPr="008521B1" w:rsidRDefault="008521B1">
      <w:pPr>
        <w:pStyle w:val="FootnoteText"/>
        <w:rPr>
          <w:rFonts w:ascii="Arial" w:hAnsi="Arial" w:cs="Arial"/>
          <w:lang w:val="en-GB"/>
        </w:rPr>
      </w:pPr>
      <w:r>
        <w:rPr>
          <w:rStyle w:val="FootnoteReference"/>
        </w:rPr>
        <w:footnoteRef/>
      </w:r>
      <w:r>
        <w:t xml:space="preserve"> </w:t>
      </w:r>
      <w:proofErr w:type="spellStart"/>
      <w:r>
        <w:rPr>
          <w:rFonts w:ascii="Arial" w:hAnsi="Arial" w:cs="Arial"/>
          <w:i/>
          <w:iCs/>
          <w:lang w:val="en-GB"/>
        </w:rPr>
        <w:t>Tsambo</w:t>
      </w:r>
      <w:proofErr w:type="spellEnd"/>
      <w:r>
        <w:rPr>
          <w:rFonts w:ascii="Arial" w:hAnsi="Arial" w:cs="Arial"/>
          <w:i/>
          <w:iCs/>
          <w:lang w:val="en-GB"/>
        </w:rPr>
        <w:t xml:space="preserve"> v </w:t>
      </w:r>
      <w:proofErr w:type="spellStart"/>
      <w:r>
        <w:rPr>
          <w:rFonts w:ascii="Arial" w:hAnsi="Arial" w:cs="Arial"/>
          <w:i/>
          <w:iCs/>
          <w:lang w:val="en-GB"/>
        </w:rPr>
        <w:t>Sengadi</w:t>
      </w:r>
      <w:proofErr w:type="spellEnd"/>
      <w:r>
        <w:rPr>
          <w:rFonts w:ascii="Arial" w:hAnsi="Arial" w:cs="Arial"/>
          <w:lang w:val="en-GB"/>
        </w:rPr>
        <w:t xml:space="preserve"> [2020] ZASCA 46 para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4231804"/>
      <w:docPartObj>
        <w:docPartGallery w:val="Page Numbers (Top of Page)"/>
        <w:docPartUnique/>
      </w:docPartObj>
    </w:sdtPr>
    <w:sdtEndPr>
      <w:rPr>
        <w:noProof/>
      </w:rPr>
    </w:sdtEndPr>
    <w:sdtContent>
      <w:p w14:paraId="5A623FB5" w14:textId="77777777" w:rsidR="00273A01" w:rsidRDefault="00273A01">
        <w:pPr>
          <w:pStyle w:val="Header"/>
          <w:jc w:val="right"/>
        </w:pPr>
        <w:r>
          <w:fldChar w:fldCharType="begin"/>
        </w:r>
        <w:r>
          <w:instrText xml:space="preserve"> PAGE   \* MERGEFORMAT </w:instrText>
        </w:r>
        <w:r>
          <w:fldChar w:fldCharType="separate"/>
        </w:r>
        <w:r w:rsidR="0013121A">
          <w:rPr>
            <w:noProof/>
          </w:rPr>
          <w:t>3</w:t>
        </w:r>
        <w:r>
          <w:rPr>
            <w:noProof/>
          </w:rPr>
          <w:fldChar w:fldCharType="end"/>
        </w:r>
      </w:p>
    </w:sdtContent>
  </w:sdt>
  <w:p w14:paraId="0632E896" w14:textId="77777777" w:rsidR="00273A01" w:rsidRDefault="00273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B654A5"/>
    <w:multiLevelType w:val="hybridMultilevel"/>
    <w:tmpl w:val="0B38CF7A"/>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 w15:restartNumberingAfterBreak="0">
    <w:nsid w:val="39C569F3"/>
    <w:multiLevelType w:val="hybridMultilevel"/>
    <w:tmpl w:val="B3E27E2A"/>
    <w:lvl w:ilvl="0" w:tplc="2F08AC52">
      <w:start w:val="1"/>
      <w:numFmt w:val="decimal"/>
      <w:lvlText w:val="[%1]"/>
      <w:lvlJc w:val="left"/>
      <w:pPr>
        <w:ind w:left="6480" w:hanging="360"/>
      </w:pPr>
      <w:rPr>
        <w:rFonts w:hint="default"/>
      </w:rPr>
    </w:lvl>
    <w:lvl w:ilvl="1" w:tplc="1C090019" w:tentative="1">
      <w:start w:val="1"/>
      <w:numFmt w:val="lowerLetter"/>
      <w:lvlText w:val="%2."/>
      <w:lvlJc w:val="left"/>
      <w:pPr>
        <w:ind w:left="7200" w:hanging="360"/>
      </w:pPr>
    </w:lvl>
    <w:lvl w:ilvl="2" w:tplc="1C09001B" w:tentative="1">
      <w:start w:val="1"/>
      <w:numFmt w:val="lowerRoman"/>
      <w:lvlText w:val="%3."/>
      <w:lvlJc w:val="right"/>
      <w:pPr>
        <w:ind w:left="7920" w:hanging="180"/>
      </w:pPr>
    </w:lvl>
    <w:lvl w:ilvl="3" w:tplc="1C09000F" w:tentative="1">
      <w:start w:val="1"/>
      <w:numFmt w:val="decimal"/>
      <w:lvlText w:val="%4."/>
      <w:lvlJc w:val="left"/>
      <w:pPr>
        <w:ind w:left="8640" w:hanging="360"/>
      </w:pPr>
    </w:lvl>
    <w:lvl w:ilvl="4" w:tplc="1C090019" w:tentative="1">
      <w:start w:val="1"/>
      <w:numFmt w:val="lowerLetter"/>
      <w:lvlText w:val="%5."/>
      <w:lvlJc w:val="left"/>
      <w:pPr>
        <w:ind w:left="9360" w:hanging="360"/>
      </w:pPr>
    </w:lvl>
    <w:lvl w:ilvl="5" w:tplc="1C09001B" w:tentative="1">
      <w:start w:val="1"/>
      <w:numFmt w:val="lowerRoman"/>
      <w:lvlText w:val="%6."/>
      <w:lvlJc w:val="right"/>
      <w:pPr>
        <w:ind w:left="10080" w:hanging="180"/>
      </w:pPr>
    </w:lvl>
    <w:lvl w:ilvl="6" w:tplc="1C09000F" w:tentative="1">
      <w:start w:val="1"/>
      <w:numFmt w:val="decimal"/>
      <w:lvlText w:val="%7."/>
      <w:lvlJc w:val="left"/>
      <w:pPr>
        <w:ind w:left="10800" w:hanging="360"/>
      </w:pPr>
    </w:lvl>
    <w:lvl w:ilvl="7" w:tplc="1C090019" w:tentative="1">
      <w:start w:val="1"/>
      <w:numFmt w:val="lowerLetter"/>
      <w:lvlText w:val="%8."/>
      <w:lvlJc w:val="left"/>
      <w:pPr>
        <w:ind w:left="11520" w:hanging="360"/>
      </w:pPr>
    </w:lvl>
    <w:lvl w:ilvl="8" w:tplc="1C09001B" w:tentative="1">
      <w:start w:val="1"/>
      <w:numFmt w:val="lowerRoman"/>
      <w:lvlText w:val="%9."/>
      <w:lvlJc w:val="right"/>
      <w:pPr>
        <w:ind w:left="12240" w:hanging="180"/>
      </w:pPr>
    </w:lvl>
  </w:abstractNum>
  <w:abstractNum w:abstractNumId="2" w15:restartNumberingAfterBreak="0">
    <w:nsid w:val="3D6A5EC0"/>
    <w:multiLevelType w:val="hybridMultilevel"/>
    <w:tmpl w:val="81E48E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0496D45"/>
    <w:multiLevelType w:val="hybridMultilevel"/>
    <w:tmpl w:val="63B6D980"/>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4" w15:restartNumberingAfterBreak="0">
    <w:nsid w:val="49422EC6"/>
    <w:multiLevelType w:val="hybridMultilevel"/>
    <w:tmpl w:val="507AAC98"/>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BDC69E2"/>
    <w:multiLevelType w:val="hybridMultilevel"/>
    <w:tmpl w:val="21E017AA"/>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ED90F0D"/>
    <w:multiLevelType w:val="hybridMultilevel"/>
    <w:tmpl w:val="DDFA60A4"/>
    <w:lvl w:ilvl="0" w:tplc="D65C0B28">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93367840">
    <w:abstractNumId w:val="5"/>
  </w:num>
  <w:num w:numId="2" w16cid:durableId="83841798">
    <w:abstractNumId w:val="7"/>
  </w:num>
  <w:num w:numId="3" w16cid:durableId="1807812414">
    <w:abstractNumId w:val="3"/>
  </w:num>
  <w:num w:numId="4" w16cid:durableId="618494972">
    <w:abstractNumId w:val="0"/>
  </w:num>
  <w:num w:numId="5" w16cid:durableId="1243291736">
    <w:abstractNumId w:val="1"/>
  </w:num>
  <w:num w:numId="6" w16cid:durableId="724988098">
    <w:abstractNumId w:val="4"/>
  </w:num>
  <w:num w:numId="7" w16cid:durableId="1364791150">
    <w:abstractNumId w:val="2"/>
  </w:num>
  <w:num w:numId="8" w16cid:durableId="1886024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47"/>
    <w:rsid w:val="000006A2"/>
    <w:rsid w:val="000012A7"/>
    <w:rsid w:val="00001E17"/>
    <w:rsid w:val="00005AA9"/>
    <w:rsid w:val="0000613D"/>
    <w:rsid w:val="00011625"/>
    <w:rsid w:val="00012C7D"/>
    <w:rsid w:val="0001338F"/>
    <w:rsid w:val="000141A9"/>
    <w:rsid w:val="000144D1"/>
    <w:rsid w:val="00014FB2"/>
    <w:rsid w:val="00015429"/>
    <w:rsid w:val="00016156"/>
    <w:rsid w:val="00023385"/>
    <w:rsid w:val="00025B02"/>
    <w:rsid w:val="00026328"/>
    <w:rsid w:val="00026730"/>
    <w:rsid w:val="000328BA"/>
    <w:rsid w:val="0003705E"/>
    <w:rsid w:val="00037594"/>
    <w:rsid w:val="0004305B"/>
    <w:rsid w:val="0004422A"/>
    <w:rsid w:val="000448DB"/>
    <w:rsid w:val="00050C3E"/>
    <w:rsid w:val="0005503E"/>
    <w:rsid w:val="000572BC"/>
    <w:rsid w:val="00062C61"/>
    <w:rsid w:val="0006430E"/>
    <w:rsid w:val="00064542"/>
    <w:rsid w:val="0006526A"/>
    <w:rsid w:val="000668D5"/>
    <w:rsid w:val="000748E3"/>
    <w:rsid w:val="00080DD9"/>
    <w:rsid w:val="00083FF6"/>
    <w:rsid w:val="0008450E"/>
    <w:rsid w:val="00086B28"/>
    <w:rsid w:val="000901F7"/>
    <w:rsid w:val="00091006"/>
    <w:rsid w:val="00097462"/>
    <w:rsid w:val="00097DF5"/>
    <w:rsid w:val="000A0975"/>
    <w:rsid w:val="000A0ED8"/>
    <w:rsid w:val="000A0F89"/>
    <w:rsid w:val="000A4249"/>
    <w:rsid w:val="000B1601"/>
    <w:rsid w:val="000B754E"/>
    <w:rsid w:val="000B7C95"/>
    <w:rsid w:val="000C3F0E"/>
    <w:rsid w:val="000C5C97"/>
    <w:rsid w:val="000D1D52"/>
    <w:rsid w:val="000D20DC"/>
    <w:rsid w:val="000D2894"/>
    <w:rsid w:val="000D2C3C"/>
    <w:rsid w:val="000D64AE"/>
    <w:rsid w:val="000E0971"/>
    <w:rsid w:val="000E3B1A"/>
    <w:rsid w:val="000E50B3"/>
    <w:rsid w:val="000E5326"/>
    <w:rsid w:val="000F0581"/>
    <w:rsid w:val="000F16C2"/>
    <w:rsid w:val="000F1CD2"/>
    <w:rsid w:val="000F20B3"/>
    <w:rsid w:val="000F352B"/>
    <w:rsid w:val="000F3666"/>
    <w:rsid w:val="000F4635"/>
    <w:rsid w:val="000F6F73"/>
    <w:rsid w:val="000F7ACB"/>
    <w:rsid w:val="0010015A"/>
    <w:rsid w:val="00105592"/>
    <w:rsid w:val="0011065A"/>
    <w:rsid w:val="001127B3"/>
    <w:rsid w:val="00114979"/>
    <w:rsid w:val="00114B4E"/>
    <w:rsid w:val="0011614C"/>
    <w:rsid w:val="00117348"/>
    <w:rsid w:val="001176B2"/>
    <w:rsid w:val="001201DA"/>
    <w:rsid w:val="0012041B"/>
    <w:rsid w:val="00120CBC"/>
    <w:rsid w:val="00121C8A"/>
    <w:rsid w:val="00121E0A"/>
    <w:rsid w:val="00123E40"/>
    <w:rsid w:val="00125965"/>
    <w:rsid w:val="00126994"/>
    <w:rsid w:val="00126B49"/>
    <w:rsid w:val="001273C2"/>
    <w:rsid w:val="0013121A"/>
    <w:rsid w:val="00132643"/>
    <w:rsid w:val="00137EC7"/>
    <w:rsid w:val="00141BEF"/>
    <w:rsid w:val="00142CF4"/>
    <w:rsid w:val="00143EE9"/>
    <w:rsid w:val="00146F9D"/>
    <w:rsid w:val="00151517"/>
    <w:rsid w:val="00152138"/>
    <w:rsid w:val="00153362"/>
    <w:rsid w:val="00155BCB"/>
    <w:rsid w:val="00157876"/>
    <w:rsid w:val="00160567"/>
    <w:rsid w:val="00160C2B"/>
    <w:rsid w:val="00161261"/>
    <w:rsid w:val="00161D7B"/>
    <w:rsid w:val="00165091"/>
    <w:rsid w:val="00171A39"/>
    <w:rsid w:val="00174A61"/>
    <w:rsid w:val="0017763A"/>
    <w:rsid w:val="001802E2"/>
    <w:rsid w:val="001811A6"/>
    <w:rsid w:val="00181332"/>
    <w:rsid w:val="001828BC"/>
    <w:rsid w:val="001832AE"/>
    <w:rsid w:val="00184E8B"/>
    <w:rsid w:val="001864F3"/>
    <w:rsid w:val="00194D9D"/>
    <w:rsid w:val="001A00E8"/>
    <w:rsid w:val="001A17A3"/>
    <w:rsid w:val="001A4B01"/>
    <w:rsid w:val="001A522A"/>
    <w:rsid w:val="001A57EB"/>
    <w:rsid w:val="001A5C62"/>
    <w:rsid w:val="001A6118"/>
    <w:rsid w:val="001A6C3E"/>
    <w:rsid w:val="001B14F6"/>
    <w:rsid w:val="001B4268"/>
    <w:rsid w:val="001B52A6"/>
    <w:rsid w:val="001B7820"/>
    <w:rsid w:val="001C075A"/>
    <w:rsid w:val="001C0FF6"/>
    <w:rsid w:val="001C1FA2"/>
    <w:rsid w:val="001C25DE"/>
    <w:rsid w:val="001C310F"/>
    <w:rsid w:val="001C53AB"/>
    <w:rsid w:val="001C70CD"/>
    <w:rsid w:val="001D244A"/>
    <w:rsid w:val="001D2AC4"/>
    <w:rsid w:val="001D65DC"/>
    <w:rsid w:val="001D668F"/>
    <w:rsid w:val="001D7D21"/>
    <w:rsid w:val="001E1ED6"/>
    <w:rsid w:val="001E289F"/>
    <w:rsid w:val="001E2A26"/>
    <w:rsid w:val="001E32FE"/>
    <w:rsid w:val="001F0B53"/>
    <w:rsid w:val="001F0FD9"/>
    <w:rsid w:val="001F2A95"/>
    <w:rsid w:val="001F5CC1"/>
    <w:rsid w:val="002000F0"/>
    <w:rsid w:val="0020144B"/>
    <w:rsid w:val="0020485B"/>
    <w:rsid w:val="0020632D"/>
    <w:rsid w:val="00206960"/>
    <w:rsid w:val="00206AD2"/>
    <w:rsid w:val="002070EC"/>
    <w:rsid w:val="00212D87"/>
    <w:rsid w:val="00214C06"/>
    <w:rsid w:val="002170AD"/>
    <w:rsid w:val="00217291"/>
    <w:rsid w:val="00217BE5"/>
    <w:rsid w:val="0022131E"/>
    <w:rsid w:val="0022148A"/>
    <w:rsid w:val="0022546F"/>
    <w:rsid w:val="00225F4B"/>
    <w:rsid w:val="00230F0F"/>
    <w:rsid w:val="00234358"/>
    <w:rsid w:val="0024391B"/>
    <w:rsid w:val="00243FFF"/>
    <w:rsid w:val="00250387"/>
    <w:rsid w:val="00251B0D"/>
    <w:rsid w:val="00253532"/>
    <w:rsid w:val="00255D11"/>
    <w:rsid w:val="0026210A"/>
    <w:rsid w:val="0026757F"/>
    <w:rsid w:val="002704E0"/>
    <w:rsid w:val="002712CE"/>
    <w:rsid w:val="002731D9"/>
    <w:rsid w:val="00273A01"/>
    <w:rsid w:val="00274878"/>
    <w:rsid w:val="0027668C"/>
    <w:rsid w:val="00276A6C"/>
    <w:rsid w:val="0028119A"/>
    <w:rsid w:val="0028469E"/>
    <w:rsid w:val="0029564D"/>
    <w:rsid w:val="002A0C34"/>
    <w:rsid w:val="002A16FB"/>
    <w:rsid w:val="002A1783"/>
    <w:rsid w:val="002A1FAF"/>
    <w:rsid w:val="002A4074"/>
    <w:rsid w:val="002A413D"/>
    <w:rsid w:val="002A62C0"/>
    <w:rsid w:val="002B253F"/>
    <w:rsid w:val="002C0E17"/>
    <w:rsid w:val="002C3600"/>
    <w:rsid w:val="002C3F60"/>
    <w:rsid w:val="002C5A91"/>
    <w:rsid w:val="002C7695"/>
    <w:rsid w:val="002D12DF"/>
    <w:rsid w:val="002D2A29"/>
    <w:rsid w:val="002D4F50"/>
    <w:rsid w:val="002D6FD7"/>
    <w:rsid w:val="002E1299"/>
    <w:rsid w:val="002E19EB"/>
    <w:rsid w:val="002E27E5"/>
    <w:rsid w:val="002E3339"/>
    <w:rsid w:val="002E3D3A"/>
    <w:rsid w:val="002E4E94"/>
    <w:rsid w:val="002E52AE"/>
    <w:rsid w:val="002E5D04"/>
    <w:rsid w:val="002F392E"/>
    <w:rsid w:val="002F3EB9"/>
    <w:rsid w:val="002F3F4F"/>
    <w:rsid w:val="002F5B71"/>
    <w:rsid w:val="002F5F7B"/>
    <w:rsid w:val="002F622B"/>
    <w:rsid w:val="003015A1"/>
    <w:rsid w:val="00301631"/>
    <w:rsid w:val="0030223D"/>
    <w:rsid w:val="00302C55"/>
    <w:rsid w:val="0030387A"/>
    <w:rsid w:val="00303CEC"/>
    <w:rsid w:val="0030505B"/>
    <w:rsid w:val="00305833"/>
    <w:rsid w:val="0030788E"/>
    <w:rsid w:val="003079ED"/>
    <w:rsid w:val="00310751"/>
    <w:rsid w:val="00317D1C"/>
    <w:rsid w:val="0032057F"/>
    <w:rsid w:val="0032621F"/>
    <w:rsid w:val="003315A3"/>
    <w:rsid w:val="003325BC"/>
    <w:rsid w:val="00332C6F"/>
    <w:rsid w:val="003334C2"/>
    <w:rsid w:val="00340315"/>
    <w:rsid w:val="003452C8"/>
    <w:rsid w:val="00346239"/>
    <w:rsid w:val="0034639C"/>
    <w:rsid w:val="00351067"/>
    <w:rsid w:val="00351484"/>
    <w:rsid w:val="00352871"/>
    <w:rsid w:val="00352894"/>
    <w:rsid w:val="0035433B"/>
    <w:rsid w:val="003557AA"/>
    <w:rsid w:val="00357AFF"/>
    <w:rsid w:val="0036070B"/>
    <w:rsid w:val="00360B82"/>
    <w:rsid w:val="00363A12"/>
    <w:rsid w:val="00370FAC"/>
    <w:rsid w:val="0037382E"/>
    <w:rsid w:val="00375C6F"/>
    <w:rsid w:val="00376863"/>
    <w:rsid w:val="00376D62"/>
    <w:rsid w:val="003855FF"/>
    <w:rsid w:val="0039306E"/>
    <w:rsid w:val="003945BC"/>
    <w:rsid w:val="003967DE"/>
    <w:rsid w:val="00396AC0"/>
    <w:rsid w:val="003A3E30"/>
    <w:rsid w:val="003A4E16"/>
    <w:rsid w:val="003A5980"/>
    <w:rsid w:val="003B37AF"/>
    <w:rsid w:val="003B3B68"/>
    <w:rsid w:val="003B4FFE"/>
    <w:rsid w:val="003C0CEB"/>
    <w:rsid w:val="003C2328"/>
    <w:rsid w:val="003C7678"/>
    <w:rsid w:val="003D3DEB"/>
    <w:rsid w:val="003E0B74"/>
    <w:rsid w:val="003E33E0"/>
    <w:rsid w:val="003E3B62"/>
    <w:rsid w:val="003F394A"/>
    <w:rsid w:val="003F47EB"/>
    <w:rsid w:val="003F497D"/>
    <w:rsid w:val="003F4BDC"/>
    <w:rsid w:val="003F6A12"/>
    <w:rsid w:val="0040083E"/>
    <w:rsid w:val="00401590"/>
    <w:rsid w:val="004024E6"/>
    <w:rsid w:val="00402768"/>
    <w:rsid w:val="00405AB4"/>
    <w:rsid w:val="0042275D"/>
    <w:rsid w:val="00423629"/>
    <w:rsid w:val="00424C45"/>
    <w:rsid w:val="00426221"/>
    <w:rsid w:val="00426FFC"/>
    <w:rsid w:val="004309F5"/>
    <w:rsid w:val="0043403B"/>
    <w:rsid w:val="004356F3"/>
    <w:rsid w:val="00435924"/>
    <w:rsid w:val="00440C3F"/>
    <w:rsid w:val="00441420"/>
    <w:rsid w:val="0044294B"/>
    <w:rsid w:val="00444303"/>
    <w:rsid w:val="0044658B"/>
    <w:rsid w:val="0045033B"/>
    <w:rsid w:val="00450F6B"/>
    <w:rsid w:val="0045504F"/>
    <w:rsid w:val="0045536D"/>
    <w:rsid w:val="00457008"/>
    <w:rsid w:val="00460C89"/>
    <w:rsid w:val="004620E1"/>
    <w:rsid w:val="004641AC"/>
    <w:rsid w:val="004647D7"/>
    <w:rsid w:val="00466060"/>
    <w:rsid w:val="004673AB"/>
    <w:rsid w:val="00471682"/>
    <w:rsid w:val="00474A30"/>
    <w:rsid w:val="00474EEA"/>
    <w:rsid w:val="004758DE"/>
    <w:rsid w:val="00475DE3"/>
    <w:rsid w:val="00476228"/>
    <w:rsid w:val="004821D6"/>
    <w:rsid w:val="00482F7B"/>
    <w:rsid w:val="00484076"/>
    <w:rsid w:val="0048427C"/>
    <w:rsid w:val="00487D93"/>
    <w:rsid w:val="00492DB8"/>
    <w:rsid w:val="004934DE"/>
    <w:rsid w:val="00493895"/>
    <w:rsid w:val="00495413"/>
    <w:rsid w:val="00496DE2"/>
    <w:rsid w:val="004A1172"/>
    <w:rsid w:val="004A3848"/>
    <w:rsid w:val="004B13C4"/>
    <w:rsid w:val="004B3C5C"/>
    <w:rsid w:val="004B4222"/>
    <w:rsid w:val="004B5B50"/>
    <w:rsid w:val="004C0595"/>
    <w:rsid w:val="004C06B7"/>
    <w:rsid w:val="004C2678"/>
    <w:rsid w:val="004C3696"/>
    <w:rsid w:val="004D0B4D"/>
    <w:rsid w:val="004D271B"/>
    <w:rsid w:val="004D27DB"/>
    <w:rsid w:val="004D3F4E"/>
    <w:rsid w:val="004D3F9D"/>
    <w:rsid w:val="004D6D70"/>
    <w:rsid w:val="004D74D4"/>
    <w:rsid w:val="004D75C0"/>
    <w:rsid w:val="004E5E25"/>
    <w:rsid w:val="004E6047"/>
    <w:rsid w:val="004E69E9"/>
    <w:rsid w:val="004E6A33"/>
    <w:rsid w:val="004E776C"/>
    <w:rsid w:val="004F088D"/>
    <w:rsid w:val="004F0AC1"/>
    <w:rsid w:val="004F2205"/>
    <w:rsid w:val="004F3506"/>
    <w:rsid w:val="004F4043"/>
    <w:rsid w:val="004F4593"/>
    <w:rsid w:val="004F45FA"/>
    <w:rsid w:val="004F57CD"/>
    <w:rsid w:val="00500E15"/>
    <w:rsid w:val="00502F80"/>
    <w:rsid w:val="00505C67"/>
    <w:rsid w:val="005103D5"/>
    <w:rsid w:val="005115B1"/>
    <w:rsid w:val="00513432"/>
    <w:rsid w:val="00515E22"/>
    <w:rsid w:val="00517E8C"/>
    <w:rsid w:val="00520BC0"/>
    <w:rsid w:val="00524A63"/>
    <w:rsid w:val="0052517C"/>
    <w:rsid w:val="00525B35"/>
    <w:rsid w:val="00530BC6"/>
    <w:rsid w:val="00531497"/>
    <w:rsid w:val="005317E2"/>
    <w:rsid w:val="005361E4"/>
    <w:rsid w:val="00543B96"/>
    <w:rsid w:val="005455C2"/>
    <w:rsid w:val="005459C4"/>
    <w:rsid w:val="005531DF"/>
    <w:rsid w:val="00555C45"/>
    <w:rsid w:val="00557F94"/>
    <w:rsid w:val="00560298"/>
    <w:rsid w:val="00560D89"/>
    <w:rsid w:val="00560F23"/>
    <w:rsid w:val="005629AD"/>
    <w:rsid w:val="005633F5"/>
    <w:rsid w:val="00565453"/>
    <w:rsid w:val="00573452"/>
    <w:rsid w:val="00575F08"/>
    <w:rsid w:val="00576871"/>
    <w:rsid w:val="005813BC"/>
    <w:rsid w:val="005827CA"/>
    <w:rsid w:val="00586AA4"/>
    <w:rsid w:val="00587004"/>
    <w:rsid w:val="00587EA7"/>
    <w:rsid w:val="00591265"/>
    <w:rsid w:val="00594E10"/>
    <w:rsid w:val="005A16F4"/>
    <w:rsid w:val="005A7AEA"/>
    <w:rsid w:val="005B1235"/>
    <w:rsid w:val="005B2660"/>
    <w:rsid w:val="005B29DC"/>
    <w:rsid w:val="005B5165"/>
    <w:rsid w:val="005C01F9"/>
    <w:rsid w:val="005C0D5A"/>
    <w:rsid w:val="005C0EBA"/>
    <w:rsid w:val="005C0FDA"/>
    <w:rsid w:val="005C2D0F"/>
    <w:rsid w:val="005C60D4"/>
    <w:rsid w:val="005C713F"/>
    <w:rsid w:val="005C739F"/>
    <w:rsid w:val="005C79E5"/>
    <w:rsid w:val="005D234F"/>
    <w:rsid w:val="005D35E4"/>
    <w:rsid w:val="005D388A"/>
    <w:rsid w:val="005D3F05"/>
    <w:rsid w:val="005D73B7"/>
    <w:rsid w:val="005D7C86"/>
    <w:rsid w:val="005E1020"/>
    <w:rsid w:val="005E140E"/>
    <w:rsid w:val="005E16AD"/>
    <w:rsid w:val="005E1B24"/>
    <w:rsid w:val="005E2D91"/>
    <w:rsid w:val="005E4A7D"/>
    <w:rsid w:val="005E4B4F"/>
    <w:rsid w:val="005E4E9F"/>
    <w:rsid w:val="005E6B57"/>
    <w:rsid w:val="005F15D5"/>
    <w:rsid w:val="005F7075"/>
    <w:rsid w:val="006055CC"/>
    <w:rsid w:val="00605687"/>
    <w:rsid w:val="0060698B"/>
    <w:rsid w:val="00610550"/>
    <w:rsid w:val="006115C8"/>
    <w:rsid w:val="0061336C"/>
    <w:rsid w:val="00615AB4"/>
    <w:rsid w:val="00616AF6"/>
    <w:rsid w:val="006175BA"/>
    <w:rsid w:val="00620487"/>
    <w:rsid w:val="006262B0"/>
    <w:rsid w:val="0062643F"/>
    <w:rsid w:val="00626C1B"/>
    <w:rsid w:val="0063133D"/>
    <w:rsid w:val="00633F42"/>
    <w:rsid w:val="00636DEA"/>
    <w:rsid w:val="00641612"/>
    <w:rsid w:val="00645EC3"/>
    <w:rsid w:val="00646181"/>
    <w:rsid w:val="006472E2"/>
    <w:rsid w:val="00652038"/>
    <w:rsid w:val="006532A7"/>
    <w:rsid w:val="006567BC"/>
    <w:rsid w:val="006572A8"/>
    <w:rsid w:val="00657653"/>
    <w:rsid w:val="00657AEA"/>
    <w:rsid w:val="00660CB9"/>
    <w:rsid w:val="00662D7C"/>
    <w:rsid w:val="00666D83"/>
    <w:rsid w:val="00667EA7"/>
    <w:rsid w:val="00673183"/>
    <w:rsid w:val="006737C4"/>
    <w:rsid w:val="0067511A"/>
    <w:rsid w:val="00675FE1"/>
    <w:rsid w:val="00676E39"/>
    <w:rsid w:val="00676FAF"/>
    <w:rsid w:val="00687E52"/>
    <w:rsid w:val="0069002A"/>
    <w:rsid w:val="00692434"/>
    <w:rsid w:val="006929F0"/>
    <w:rsid w:val="00692BD3"/>
    <w:rsid w:val="00693019"/>
    <w:rsid w:val="006931C5"/>
    <w:rsid w:val="0069574C"/>
    <w:rsid w:val="00695F7A"/>
    <w:rsid w:val="006963EC"/>
    <w:rsid w:val="00696C2C"/>
    <w:rsid w:val="006971C8"/>
    <w:rsid w:val="00697E46"/>
    <w:rsid w:val="006A073B"/>
    <w:rsid w:val="006A253B"/>
    <w:rsid w:val="006A370E"/>
    <w:rsid w:val="006A5963"/>
    <w:rsid w:val="006A7681"/>
    <w:rsid w:val="006B413E"/>
    <w:rsid w:val="006B4ED5"/>
    <w:rsid w:val="006C2D7D"/>
    <w:rsid w:val="006D0C64"/>
    <w:rsid w:val="006D1942"/>
    <w:rsid w:val="006E2131"/>
    <w:rsid w:val="006E4AA2"/>
    <w:rsid w:val="006E51FF"/>
    <w:rsid w:val="006E53AA"/>
    <w:rsid w:val="006F0061"/>
    <w:rsid w:val="006F10CF"/>
    <w:rsid w:val="006F169F"/>
    <w:rsid w:val="006F22FD"/>
    <w:rsid w:val="006F3865"/>
    <w:rsid w:val="006F4AC7"/>
    <w:rsid w:val="006F4CDB"/>
    <w:rsid w:val="006F5105"/>
    <w:rsid w:val="006F5ED4"/>
    <w:rsid w:val="00700C8A"/>
    <w:rsid w:val="007028EB"/>
    <w:rsid w:val="00703C14"/>
    <w:rsid w:val="00703F6A"/>
    <w:rsid w:val="00705239"/>
    <w:rsid w:val="007058A6"/>
    <w:rsid w:val="007070E9"/>
    <w:rsid w:val="00711ADC"/>
    <w:rsid w:val="007136B6"/>
    <w:rsid w:val="00713B53"/>
    <w:rsid w:val="007143D9"/>
    <w:rsid w:val="007167FA"/>
    <w:rsid w:val="00716AF7"/>
    <w:rsid w:val="007209ED"/>
    <w:rsid w:val="00720BBB"/>
    <w:rsid w:val="00721978"/>
    <w:rsid w:val="0072292B"/>
    <w:rsid w:val="00723FAC"/>
    <w:rsid w:val="00724E65"/>
    <w:rsid w:val="0072519E"/>
    <w:rsid w:val="00727B4D"/>
    <w:rsid w:val="007302D2"/>
    <w:rsid w:val="007307F9"/>
    <w:rsid w:val="00732E44"/>
    <w:rsid w:val="00735601"/>
    <w:rsid w:val="00735EFD"/>
    <w:rsid w:val="00740358"/>
    <w:rsid w:val="007449A3"/>
    <w:rsid w:val="007515FB"/>
    <w:rsid w:val="007530DD"/>
    <w:rsid w:val="007537FA"/>
    <w:rsid w:val="007567A9"/>
    <w:rsid w:val="0076011D"/>
    <w:rsid w:val="00760875"/>
    <w:rsid w:val="007621D2"/>
    <w:rsid w:val="00762EEB"/>
    <w:rsid w:val="00762F13"/>
    <w:rsid w:val="00765382"/>
    <w:rsid w:val="007655CB"/>
    <w:rsid w:val="00766AA4"/>
    <w:rsid w:val="007676BE"/>
    <w:rsid w:val="007706C2"/>
    <w:rsid w:val="00773D2E"/>
    <w:rsid w:val="00774BA5"/>
    <w:rsid w:val="00777B33"/>
    <w:rsid w:val="00781453"/>
    <w:rsid w:val="00784D89"/>
    <w:rsid w:val="007869B9"/>
    <w:rsid w:val="00786C49"/>
    <w:rsid w:val="00792D44"/>
    <w:rsid w:val="007932F1"/>
    <w:rsid w:val="00794B94"/>
    <w:rsid w:val="00797F2D"/>
    <w:rsid w:val="007A0C84"/>
    <w:rsid w:val="007A63C4"/>
    <w:rsid w:val="007A68EE"/>
    <w:rsid w:val="007C1C81"/>
    <w:rsid w:val="007C31A6"/>
    <w:rsid w:val="007C3F76"/>
    <w:rsid w:val="007C6486"/>
    <w:rsid w:val="007C700B"/>
    <w:rsid w:val="007C7E8F"/>
    <w:rsid w:val="007D1BAF"/>
    <w:rsid w:val="007D3349"/>
    <w:rsid w:val="007D4CF3"/>
    <w:rsid w:val="007E005C"/>
    <w:rsid w:val="007E3F4D"/>
    <w:rsid w:val="007E61AF"/>
    <w:rsid w:val="007E75EC"/>
    <w:rsid w:val="007F105D"/>
    <w:rsid w:val="007F409C"/>
    <w:rsid w:val="007F5710"/>
    <w:rsid w:val="007F788A"/>
    <w:rsid w:val="00800735"/>
    <w:rsid w:val="00801484"/>
    <w:rsid w:val="00801FC3"/>
    <w:rsid w:val="00803283"/>
    <w:rsid w:val="008040BC"/>
    <w:rsid w:val="00804B6A"/>
    <w:rsid w:val="00810ADE"/>
    <w:rsid w:val="00811784"/>
    <w:rsid w:val="00817942"/>
    <w:rsid w:val="008207C5"/>
    <w:rsid w:val="00827A62"/>
    <w:rsid w:val="008313A8"/>
    <w:rsid w:val="008337D2"/>
    <w:rsid w:val="008406E1"/>
    <w:rsid w:val="00843238"/>
    <w:rsid w:val="008438C6"/>
    <w:rsid w:val="00844290"/>
    <w:rsid w:val="0084512B"/>
    <w:rsid w:val="008505AD"/>
    <w:rsid w:val="00851930"/>
    <w:rsid w:val="008521B1"/>
    <w:rsid w:val="00854032"/>
    <w:rsid w:val="00861B10"/>
    <w:rsid w:val="00861E97"/>
    <w:rsid w:val="0086247E"/>
    <w:rsid w:val="00863F50"/>
    <w:rsid w:val="008673B8"/>
    <w:rsid w:val="008674B6"/>
    <w:rsid w:val="00867A61"/>
    <w:rsid w:val="00872066"/>
    <w:rsid w:val="00873773"/>
    <w:rsid w:val="008759FF"/>
    <w:rsid w:val="008857CF"/>
    <w:rsid w:val="008874A9"/>
    <w:rsid w:val="008878E7"/>
    <w:rsid w:val="00887BC5"/>
    <w:rsid w:val="00890391"/>
    <w:rsid w:val="0089216C"/>
    <w:rsid w:val="0089609F"/>
    <w:rsid w:val="00896B8C"/>
    <w:rsid w:val="008A29C2"/>
    <w:rsid w:val="008A4CDA"/>
    <w:rsid w:val="008A5320"/>
    <w:rsid w:val="008B6E83"/>
    <w:rsid w:val="008B7CBE"/>
    <w:rsid w:val="008C2A49"/>
    <w:rsid w:val="008D09DC"/>
    <w:rsid w:val="008D0F42"/>
    <w:rsid w:val="008D2CEA"/>
    <w:rsid w:val="008D3597"/>
    <w:rsid w:val="008D3607"/>
    <w:rsid w:val="008D4926"/>
    <w:rsid w:val="008E26A2"/>
    <w:rsid w:val="008E3352"/>
    <w:rsid w:val="008E6957"/>
    <w:rsid w:val="008F12EF"/>
    <w:rsid w:val="008F2A14"/>
    <w:rsid w:val="008F7B68"/>
    <w:rsid w:val="00900DF9"/>
    <w:rsid w:val="00902286"/>
    <w:rsid w:val="00902C86"/>
    <w:rsid w:val="009065CD"/>
    <w:rsid w:val="0090695E"/>
    <w:rsid w:val="00910A1D"/>
    <w:rsid w:val="00910CFB"/>
    <w:rsid w:val="00913BB5"/>
    <w:rsid w:val="00913C2D"/>
    <w:rsid w:val="00913EA6"/>
    <w:rsid w:val="009143B6"/>
    <w:rsid w:val="009160BA"/>
    <w:rsid w:val="0092099B"/>
    <w:rsid w:val="00920B06"/>
    <w:rsid w:val="0092579A"/>
    <w:rsid w:val="009279A2"/>
    <w:rsid w:val="0093051F"/>
    <w:rsid w:val="00931BDF"/>
    <w:rsid w:val="00931D62"/>
    <w:rsid w:val="00935D92"/>
    <w:rsid w:val="00936C09"/>
    <w:rsid w:val="00937901"/>
    <w:rsid w:val="0094098A"/>
    <w:rsid w:val="00942797"/>
    <w:rsid w:val="00942FD7"/>
    <w:rsid w:val="0094473C"/>
    <w:rsid w:val="00945C7A"/>
    <w:rsid w:val="00946703"/>
    <w:rsid w:val="00950688"/>
    <w:rsid w:val="00951F9E"/>
    <w:rsid w:val="0095368B"/>
    <w:rsid w:val="009544C0"/>
    <w:rsid w:val="0095744A"/>
    <w:rsid w:val="009657B9"/>
    <w:rsid w:val="009676AB"/>
    <w:rsid w:val="00967CD8"/>
    <w:rsid w:val="00973B0C"/>
    <w:rsid w:val="00973F91"/>
    <w:rsid w:val="0097647B"/>
    <w:rsid w:val="00976DBE"/>
    <w:rsid w:val="00980C8A"/>
    <w:rsid w:val="00981D72"/>
    <w:rsid w:val="00986FF8"/>
    <w:rsid w:val="00987FC9"/>
    <w:rsid w:val="00991C9F"/>
    <w:rsid w:val="00992CB9"/>
    <w:rsid w:val="00997698"/>
    <w:rsid w:val="009A0C2D"/>
    <w:rsid w:val="009A2FAB"/>
    <w:rsid w:val="009A5FD7"/>
    <w:rsid w:val="009B034F"/>
    <w:rsid w:val="009B0D47"/>
    <w:rsid w:val="009B2536"/>
    <w:rsid w:val="009B4618"/>
    <w:rsid w:val="009B4785"/>
    <w:rsid w:val="009B7517"/>
    <w:rsid w:val="009C22A6"/>
    <w:rsid w:val="009C48C7"/>
    <w:rsid w:val="009C7494"/>
    <w:rsid w:val="009C7AC3"/>
    <w:rsid w:val="009D080F"/>
    <w:rsid w:val="009D0B7C"/>
    <w:rsid w:val="009D2EDF"/>
    <w:rsid w:val="009D5062"/>
    <w:rsid w:val="009D515B"/>
    <w:rsid w:val="009D566B"/>
    <w:rsid w:val="009D7B0B"/>
    <w:rsid w:val="009E0538"/>
    <w:rsid w:val="009E09F1"/>
    <w:rsid w:val="009F1D13"/>
    <w:rsid w:val="009F32E4"/>
    <w:rsid w:val="009F606F"/>
    <w:rsid w:val="009F79D5"/>
    <w:rsid w:val="00A02A5F"/>
    <w:rsid w:val="00A04530"/>
    <w:rsid w:val="00A06954"/>
    <w:rsid w:val="00A07469"/>
    <w:rsid w:val="00A07670"/>
    <w:rsid w:val="00A11C91"/>
    <w:rsid w:val="00A11CB6"/>
    <w:rsid w:val="00A12113"/>
    <w:rsid w:val="00A12921"/>
    <w:rsid w:val="00A137DC"/>
    <w:rsid w:val="00A171F2"/>
    <w:rsid w:val="00A226D4"/>
    <w:rsid w:val="00A228D8"/>
    <w:rsid w:val="00A23CA2"/>
    <w:rsid w:val="00A24C2B"/>
    <w:rsid w:val="00A32033"/>
    <w:rsid w:val="00A33C86"/>
    <w:rsid w:val="00A34993"/>
    <w:rsid w:val="00A355C4"/>
    <w:rsid w:val="00A37979"/>
    <w:rsid w:val="00A40201"/>
    <w:rsid w:val="00A41AB4"/>
    <w:rsid w:val="00A4271B"/>
    <w:rsid w:val="00A460A5"/>
    <w:rsid w:val="00A46C68"/>
    <w:rsid w:val="00A479AA"/>
    <w:rsid w:val="00A50D13"/>
    <w:rsid w:val="00A55933"/>
    <w:rsid w:val="00A562F8"/>
    <w:rsid w:val="00A6299B"/>
    <w:rsid w:val="00A64FE4"/>
    <w:rsid w:val="00A65B20"/>
    <w:rsid w:val="00A71004"/>
    <w:rsid w:val="00A710E6"/>
    <w:rsid w:val="00A71B86"/>
    <w:rsid w:val="00A7238F"/>
    <w:rsid w:val="00A72F54"/>
    <w:rsid w:val="00A733FF"/>
    <w:rsid w:val="00A8268A"/>
    <w:rsid w:val="00A82F17"/>
    <w:rsid w:val="00A84365"/>
    <w:rsid w:val="00A850DA"/>
    <w:rsid w:val="00A874A1"/>
    <w:rsid w:val="00A950B1"/>
    <w:rsid w:val="00AA033B"/>
    <w:rsid w:val="00AA2DD0"/>
    <w:rsid w:val="00AA3D3C"/>
    <w:rsid w:val="00AA4CCA"/>
    <w:rsid w:val="00AA6BA8"/>
    <w:rsid w:val="00AA7080"/>
    <w:rsid w:val="00AB1714"/>
    <w:rsid w:val="00AB5699"/>
    <w:rsid w:val="00AC0C15"/>
    <w:rsid w:val="00AC0CBB"/>
    <w:rsid w:val="00AC185C"/>
    <w:rsid w:val="00AC213F"/>
    <w:rsid w:val="00AD00EF"/>
    <w:rsid w:val="00AD11C2"/>
    <w:rsid w:val="00AD1541"/>
    <w:rsid w:val="00AD2764"/>
    <w:rsid w:val="00AD2F61"/>
    <w:rsid w:val="00AD606E"/>
    <w:rsid w:val="00AD66E2"/>
    <w:rsid w:val="00AE212D"/>
    <w:rsid w:val="00AE3BF7"/>
    <w:rsid w:val="00AE417E"/>
    <w:rsid w:val="00AE56AE"/>
    <w:rsid w:val="00AE7974"/>
    <w:rsid w:val="00AF1752"/>
    <w:rsid w:val="00AF31A1"/>
    <w:rsid w:val="00AF51CD"/>
    <w:rsid w:val="00AF5333"/>
    <w:rsid w:val="00AF70F9"/>
    <w:rsid w:val="00B0007F"/>
    <w:rsid w:val="00B00BBC"/>
    <w:rsid w:val="00B01CD7"/>
    <w:rsid w:val="00B06AA2"/>
    <w:rsid w:val="00B06C99"/>
    <w:rsid w:val="00B155C1"/>
    <w:rsid w:val="00B2037F"/>
    <w:rsid w:val="00B23100"/>
    <w:rsid w:val="00B239E2"/>
    <w:rsid w:val="00B249DB"/>
    <w:rsid w:val="00B25088"/>
    <w:rsid w:val="00B27389"/>
    <w:rsid w:val="00B309B7"/>
    <w:rsid w:val="00B316A4"/>
    <w:rsid w:val="00B32A77"/>
    <w:rsid w:val="00B37955"/>
    <w:rsid w:val="00B37D4C"/>
    <w:rsid w:val="00B404B4"/>
    <w:rsid w:val="00B4154E"/>
    <w:rsid w:val="00B423F5"/>
    <w:rsid w:val="00B4281C"/>
    <w:rsid w:val="00B43934"/>
    <w:rsid w:val="00B4415B"/>
    <w:rsid w:val="00B45239"/>
    <w:rsid w:val="00B45F2C"/>
    <w:rsid w:val="00B5104F"/>
    <w:rsid w:val="00B545D9"/>
    <w:rsid w:val="00B56C29"/>
    <w:rsid w:val="00B578D3"/>
    <w:rsid w:val="00B579C3"/>
    <w:rsid w:val="00B63B0A"/>
    <w:rsid w:val="00B64661"/>
    <w:rsid w:val="00B708B6"/>
    <w:rsid w:val="00B72808"/>
    <w:rsid w:val="00B75432"/>
    <w:rsid w:val="00B76689"/>
    <w:rsid w:val="00B82433"/>
    <w:rsid w:val="00B8291D"/>
    <w:rsid w:val="00B8325B"/>
    <w:rsid w:val="00B8397C"/>
    <w:rsid w:val="00B83B33"/>
    <w:rsid w:val="00B8461F"/>
    <w:rsid w:val="00B8683B"/>
    <w:rsid w:val="00B92A13"/>
    <w:rsid w:val="00B951ED"/>
    <w:rsid w:val="00B95885"/>
    <w:rsid w:val="00B95E18"/>
    <w:rsid w:val="00BA347B"/>
    <w:rsid w:val="00BB0403"/>
    <w:rsid w:val="00BB077F"/>
    <w:rsid w:val="00BB0C76"/>
    <w:rsid w:val="00BB17EB"/>
    <w:rsid w:val="00BB2F86"/>
    <w:rsid w:val="00BB4C43"/>
    <w:rsid w:val="00BB5F92"/>
    <w:rsid w:val="00BB6743"/>
    <w:rsid w:val="00BC2626"/>
    <w:rsid w:val="00BC43CB"/>
    <w:rsid w:val="00BC468B"/>
    <w:rsid w:val="00BC6F26"/>
    <w:rsid w:val="00BC7505"/>
    <w:rsid w:val="00BD49AB"/>
    <w:rsid w:val="00BD7638"/>
    <w:rsid w:val="00BE06EB"/>
    <w:rsid w:val="00BE174E"/>
    <w:rsid w:val="00BE2A7E"/>
    <w:rsid w:val="00BE67C6"/>
    <w:rsid w:val="00BF0474"/>
    <w:rsid w:val="00BF70DE"/>
    <w:rsid w:val="00C00677"/>
    <w:rsid w:val="00C0196A"/>
    <w:rsid w:val="00C02828"/>
    <w:rsid w:val="00C02E22"/>
    <w:rsid w:val="00C04E43"/>
    <w:rsid w:val="00C05191"/>
    <w:rsid w:val="00C10A4B"/>
    <w:rsid w:val="00C12988"/>
    <w:rsid w:val="00C12CDC"/>
    <w:rsid w:val="00C14D36"/>
    <w:rsid w:val="00C155DB"/>
    <w:rsid w:val="00C1604E"/>
    <w:rsid w:val="00C218EB"/>
    <w:rsid w:val="00C2253A"/>
    <w:rsid w:val="00C243A4"/>
    <w:rsid w:val="00C24D14"/>
    <w:rsid w:val="00C25446"/>
    <w:rsid w:val="00C265F2"/>
    <w:rsid w:val="00C31452"/>
    <w:rsid w:val="00C31EE6"/>
    <w:rsid w:val="00C33D33"/>
    <w:rsid w:val="00C350A8"/>
    <w:rsid w:val="00C36171"/>
    <w:rsid w:val="00C40542"/>
    <w:rsid w:val="00C43AEA"/>
    <w:rsid w:val="00C4597C"/>
    <w:rsid w:val="00C4757B"/>
    <w:rsid w:val="00C60E81"/>
    <w:rsid w:val="00C62B8F"/>
    <w:rsid w:val="00C62DBB"/>
    <w:rsid w:val="00C62DC0"/>
    <w:rsid w:val="00C62ED9"/>
    <w:rsid w:val="00C6361A"/>
    <w:rsid w:val="00C6470B"/>
    <w:rsid w:val="00C647C9"/>
    <w:rsid w:val="00C65F63"/>
    <w:rsid w:val="00C677D5"/>
    <w:rsid w:val="00C7109B"/>
    <w:rsid w:val="00C73D05"/>
    <w:rsid w:val="00C75BE9"/>
    <w:rsid w:val="00C75D34"/>
    <w:rsid w:val="00C75FE5"/>
    <w:rsid w:val="00C76128"/>
    <w:rsid w:val="00C77B55"/>
    <w:rsid w:val="00C80B2F"/>
    <w:rsid w:val="00C80E89"/>
    <w:rsid w:val="00C81EA6"/>
    <w:rsid w:val="00C846AE"/>
    <w:rsid w:val="00C84E3D"/>
    <w:rsid w:val="00C86DCE"/>
    <w:rsid w:val="00C907BC"/>
    <w:rsid w:val="00C930CE"/>
    <w:rsid w:val="00C9591B"/>
    <w:rsid w:val="00C95DF9"/>
    <w:rsid w:val="00CA02E5"/>
    <w:rsid w:val="00CA13EB"/>
    <w:rsid w:val="00CA38A2"/>
    <w:rsid w:val="00CA445A"/>
    <w:rsid w:val="00CB3603"/>
    <w:rsid w:val="00CB3B6E"/>
    <w:rsid w:val="00CB6116"/>
    <w:rsid w:val="00CB794D"/>
    <w:rsid w:val="00CC04FE"/>
    <w:rsid w:val="00CC07D9"/>
    <w:rsid w:val="00CC0C7E"/>
    <w:rsid w:val="00CC6B4A"/>
    <w:rsid w:val="00CD078E"/>
    <w:rsid w:val="00CD0FC1"/>
    <w:rsid w:val="00CD50FD"/>
    <w:rsid w:val="00CD5E58"/>
    <w:rsid w:val="00CD6BE6"/>
    <w:rsid w:val="00CD7A06"/>
    <w:rsid w:val="00CE48E0"/>
    <w:rsid w:val="00CE73FB"/>
    <w:rsid w:val="00CE7CC9"/>
    <w:rsid w:val="00CF357D"/>
    <w:rsid w:val="00CF47C7"/>
    <w:rsid w:val="00CF490E"/>
    <w:rsid w:val="00CF55D5"/>
    <w:rsid w:val="00D00CCA"/>
    <w:rsid w:val="00D018ED"/>
    <w:rsid w:val="00D0523B"/>
    <w:rsid w:val="00D05B28"/>
    <w:rsid w:val="00D06D66"/>
    <w:rsid w:val="00D1155C"/>
    <w:rsid w:val="00D125D2"/>
    <w:rsid w:val="00D138E4"/>
    <w:rsid w:val="00D16199"/>
    <w:rsid w:val="00D16C11"/>
    <w:rsid w:val="00D16E2B"/>
    <w:rsid w:val="00D2240D"/>
    <w:rsid w:val="00D22C8B"/>
    <w:rsid w:val="00D23611"/>
    <w:rsid w:val="00D243CD"/>
    <w:rsid w:val="00D24883"/>
    <w:rsid w:val="00D27037"/>
    <w:rsid w:val="00D273A5"/>
    <w:rsid w:val="00D27C93"/>
    <w:rsid w:val="00D30795"/>
    <w:rsid w:val="00D31321"/>
    <w:rsid w:val="00D3249F"/>
    <w:rsid w:val="00D337CB"/>
    <w:rsid w:val="00D4181A"/>
    <w:rsid w:val="00D42624"/>
    <w:rsid w:val="00D42997"/>
    <w:rsid w:val="00D44AED"/>
    <w:rsid w:val="00D45119"/>
    <w:rsid w:val="00D451F2"/>
    <w:rsid w:val="00D45EF3"/>
    <w:rsid w:val="00D46BFF"/>
    <w:rsid w:val="00D5060D"/>
    <w:rsid w:val="00D510E4"/>
    <w:rsid w:val="00D51BFC"/>
    <w:rsid w:val="00D52D2E"/>
    <w:rsid w:val="00D5314A"/>
    <w:rsid w:val="00D573EA"/>
    <w:rsid w:val="00D608DD"/>
    <w:rsid w:val="00D60E64"/>
    <w:rsid w:val="00D63CF9"/>
    <w:rsid w:val="00D70632"/>
    <w:rsid w:val="00D72104"/>
    <w:rsid w:val="00D770E7"/>
    <w:rsid w:val="00D92119"/>
    <w:rsid w:val="00D93FC9"/>
    <w:rsid w:val="00DA0EAC"/>
    <w:rsid w:val="00DA159B"/>
    <w:rsid w:val="00DA17CB"/>
    <w:rsid w:val="00DA2829"/>
    <w:rsid w:val="00DA28B2"/>
    <w:rsid w:val="00DA2B09"/>
    <w:rsid w:val="00DA4335"/>
    <w:rsid w:val="00DA5387"/>
    <w:rsid w:val="00DA5E6F"/>
    <w:rsid w:val="00DA7B8F"/>
    <w:rsid w:val="00DB1012"/>
    <w:rsid w:val="00DB2A5E"/>
    <w:rsid w:val="00DB3100"/>
    <w:rsid w:val="00DB47EC"/>
    <w:rsid w:val="00DB4D4B"/>
    <w:rsid w:val="00DB637A"/>
    <w:rsid w:val="00DC004C"/>
    <w:rsid w:val="00DC1410"/>
    <w:rsid w:val="00DC1856"/>
    <w:rsid w:val="00DC3BE2"/>
    <w:rsid w:val="00DC62A8"/>
    <w:rsid w:val="00DC711E"/>
    <w:rsid w:val="00DC72C3"/>
    <w:rsid w:val="00DD0B3E"/>
    <w:rsid w:val="00DD2A15"/>
    <w:rsid w:val="00DD7429"/>
    <w:rsid w:val="00DE08B0"/>
    <w:rsid w:val="00DE3BCD"/>
    <w:rsid w:val="00DF03F7"/>
    <w:rsid w:val="00DF3D08"/>
    <w:rsid w:val="00DF3D4D"/>
    <w:rsid w:val="00DF5188"/>
    <w:rsid w:val="00DF73D5"/>
    <w:rsid w:val="00E01438"/>
    <w:rsid w:val="00E015DC"/>
    <w:rsid w:val="00E02481"/>
    <w:rsid w:val="00E034D5"/>
    <w:rsid w:val="00E05E03"/>
    <w:rsid w:val="00E06EAC"/>
    <w:rsid w:val="00E1373A"/>
    <w:rsid w:val="00E1539E"/>
    <w:rsid w:val="00E2251F"/>
    <w:rsid w:val="00E250E5"/>
    <w:rsid w:val="00E3082A"/>
    <w:rsid w:val="00E3218B"/>
    <w:rsid w:val="00E330BC"/>
    <w:rsid w:val="00E33F71"/>
    <w:rsid w:val="00E34469"/>
    <w:rsid w:val="00E349E5"/>
    <w:rsid w:val="00E36E23"/>
    <w:rsid w:val="00E3760B"/>
    <w:rsid w:val="00E37AED"/>
    <w:rsid w:val="00E43D3A"/>
    <w:rsid w:val="00E458F3"/>
    <w:rsid w:val="00E53EE6"/>
    <w:rsid w:val="00E565E5"/>
    <w:rsid w:val="00E60D48"/>
    <w:rsid w:val="00E6416E"/>
    <w:rsid w:val="00E6540F"/>
    <w:rsid w:val="00E715A1"/>
    <w:rsid w:val="00E71863"/>
    <w:rsid w:val="00E752BA"/>
    <w:rsid w:val="00E75FFB"/>
    <w:rsid w:val="00E8019B"/>
    <w:rsid w:val="00E8023F"/>
    <w:rsid w:val="00E8098B"/>
    <w:rsid w:val="00E81055"/>
    <w:rsid w:val="00E845FC"/>
    <w:rsid w:val="00E84AD7"/>
    <w:rsid w:val="00E86F16"/>
    <w:rsid w:val="00E913CF"/>
    <w:rsid w:val="00E91608"/>
    <w:rsid w:val="00E92143"/>
    <w:rsid w:val="00E9260F"/>
    <w:rsid w:val="00E92C09"/>
    <w:rsid w:val="00E93C25"/>
    <w:rsid w:val="00E9703D"/>
    <w:rsid w:val="00E97693"/>
    <w:rsid w:val="00EA18F0"/>
    <w:rsid w:val="00EA4EEC"/>
    <w:rsid w:val="00EA5735"/>
    <w:rsid w:val="00EA5A46"/>
    <w:rsid w:val="00EA5F44"/>
    <w:rsid w:val="00EB0449"/>
    <w:rsid w:val="00EB19A1"/>
    <w:rsid w:val="00EC0B4A"/>
    <w:rsid w:val="00EC0EDF"/>
    <w:rsid w:val="00ED2C70"/>
    <w:rsid w:val="00ED48C7"/>
    <w:rsid w:val="00ED720B"/>
    <w:rsid w:val="00ED7A7D"/>
    <w:rsid w:val="00EE0B1A"/>
    <w:rsid w:val="00EE0E30"/>
    <w:rsid w:val="00EE20D4"/>
    <w:rsid w:val="00EE7F1D"/>
    <w:rsid w:val="00EE7FDC"/>
    <w:rsid w:val="00EF0C0F"/>
    <w:rsid w:val="00EF2915"/>
    <w:rsid w:val="00EF3031"/>
    <w:rsid w:val="00F002B8"/>
    <w:rsid w:val="00F0045F"/>
    <w:rsid w:val="00F00E7F"/>
    <w:rsid w:val="00F01E6A"/>
    <w:rsid w:val="00F03B3B"/>
    <w:rsid w:val="00F06728"/>
    <w:rsid w:val="00F06B61"/>
    <w:rsid w:val="00F07D9F"/>
    <w:rsid w:val="00F07E2E"/>
    <w:rsid w:val="00F11A21"/>
    <w:rsid w:val="00F1316C"/>
    <w:rsid w:val="00F1363B"/>
    <w:rsid w:val="00F13A2C"/>
    <w:rsid w:val="00F14A1E"/>
    <w:rsid w:val="00F173F1"/>
    <w:rsid w:val="00F254CC"/>
    <w:rsid w:val="00F274FF"/>
    <w:rsid w:val="00F31AA7"/>
    <w:rsid w:val="00F31EC8"/>
    <w:rsid w:val="00F339D6"/>
    <w:rsid w:val="00F365CB"/>
    <w:rsid w:val="00F37D14"/>
    <w:rsid w:val="00F401DB"/>
    <w:rsid w:val="00F4533B"/>
    <w:rsid w:val="00F470AE"/>
    <w:rsid w:val="00F50D5A"/>
    <w:rsid w:val="00F51093"/>
    <w:rsid w:val="00F5182A"/>
    <w:rsid w:val="00F51A0C"/>
    <w:rsid w:val="00F52524"/>
    <w:rsid w:val="00F53180"/>
    <w:rsid w:val="00F53919"/>
    <w:rsid w:val="00F55E0D"/>
    <w:rsid w:val="00F55EDC"/>
    <w:rsid w:val="00F5653A"/>
    <w:rsid w:val="00F56E6B"/>
    <w:rsid w:val="00F61083"/>
    <w:rsid w:val="00F64329"/>
    <w:rsid w:val="00F71A82"/>
    <w:rsid w:val="00F73C47"/>
    <w:rsid w:val="00F74421"/>
    <w:rsid w:val="00F74E45"/>
    <w:rsid w:val="00F76583"/>
    <w:rsid w:val="00F774D2"/>
    <w:rsid w:val="00F81559"/>
    <w:rsid w:val="00F94B57"/>
    <w:rsid w:val="00F94F89"/>
    <w:rsid w:val="00F976F5"/>
    <w:rsid w:val="00FA0CDC"/>
    <w:rsid w:val="00FA3208"/>
    <w:rsid w:val="00FB18B2"/>
    <w:rsid w:val="00FB1DB0"/>
    <w:rsid w:val="00FB44E3"/>
    <w:rsid w:val="00FB4693"/>
    <w:rsid w:val="00FB790D"/>
    <w:rsid w:val="00FC0131"/>
    <w:rsid w:val="00FC0CC0"/>
    <w:rsid w:val="00FC56C1"/>
    <w:rsid w:val="00FD16ED"/>
    <w:rsid w:val="00FD2FE3"/>
    <w:rsid w:val="00FD3439"/>
    <w:rsid w:val="00FD4FBE"/>
    <w:rsid w:val="00FD6306"/>
    <w:rsid w:val="00FD6FB9"/>
    <w:rsid w:val="00FE1446"/>
    <w:rsid w:val="00FE179E"/>
    <w:rsid w:val="00FE2C4B"/>
    <w:rsid w:val="00FE3B47"/>
    <w:rsid w:val="00FE3C24"/>
    <w:rsid w:val="00FE4F5F"/>
    <w:rsid w:val="00FE5DB8"/>
    <w:rsid w:val="00FE6B66"/>
    <w:rsid w:val="00FF725A"/>
    <w:rsid w:val="00FF7E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29D4"/>
  <w15:chartTrackingRefBased/>
  <w15:docId w15:val="{1EBE0EC1-4076-4BB0-ACA4-B525527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3D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semiHidden/>
    <w:unhideWhenUsed/>
    <w:rsid w:val="00E92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C09"/>
    <w:rPr>
      <w:sz w:val="20"/>
      <w:szCs w:val="20"/>
    </w:rPr>
  </w:style>
  <w:style w:type="character" w:styleId="FootnoteReference">
    <w:name w:val="footnote reference"/>
    <w:basedOn w:val="DefaultParagraphFont"/>
    <w:uiPriority w:val="99"/>
    <w:semiHidden/>
    <w:unhideWhenUsed/>
    <w:rsid w:val="00E92C09"/>
    <w:rPr>
      <w:vertAlign w:val="superscript"/>
    </w:rPr>
  </w:style>
  <w:style w:type="character" w:styleId="Hyperlink">
    <w:name w:val="Hyperlink"/>
    <w:basedOn w:val="DefaultParagraphFont"/>
    <w:uiPriority w:val="99"/>
    <w:semiHidden/>
    <w:unhideWhenUsed/>
    <w:rsid w:val="00DF3D08"/>
    <w:rPr>
      <w:color w:val="0000FF"/>
      <w:u w:val="single"/>
    </w:rPr>
  </w:style>
  <w:style w:type="character" w:customStyle="1" w:styleId="apple-converted-space">
    <w:name w:val="apple-converted-space"/>
    <w:basedOn w:val="DefaultParagraphFont"/>
    <w:rsid w:val="00DF3D08"/>
  </w:style>
  <w:style w:type="character" w:styleId="FollowedHyperlink">
    <w:name w:val="FollowedHyperlink"/>
    <w:basedOn w:val="DefaultParagraphFont"/>
    <w:uiPriority w:val="99"/>
    <w:semiHidden/>
    <w:unhideWhenUsed/>
    <w:rsid w:val="00DF3D08"/>
    <w:rPr>
      <w:color w:val="954F72" w:themeColor="followedHyperlink"/>
      <w:u w:val="single"/>
    </w:rPr>
  </w:style>
  <w:style w:type="character" w:customStyle="1" w:styleId="Heading2Char">
    <w:name w:val="Heading 2 Char"/>
    <w:basedOn w:val="DefaultParagraphFont"/>
    <w:link w:val="Heading2"/>
    <w:uiPriority w:val="9"/>
    <w:rsid w:val="00DF3D08"/>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DE0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B0"/>
    <w:rPr>
      <w:rFonts w:ascii="Segoe UI" w:hAnsi="Segoe UI" w:cs="Segoe UI"/>
      <w:sz w:val="18"/>
      <w:szCs w:val="18"/>
    </w:rPr>
  </w:style>
  <w:style w:type="paragraph" w:styleId="Revision">
    <w:name w:val="Revision"/>
    <w:hidden/>
    <w:uiPriority w:val="99"/>
    <w:semiHidden/>
    <w:rsid w:val="006929F0"/>
    <w:pPr>
      <w:spacing w:after="0" w:line="240" w:lineRule="auto"/>
    </w:pPr>
  </w:style>
  <w:style w:type="character" w:styleId="CommentReference">
    <w:name w:val="annotation reference"/>
    <w:basedOn w:val="DefaultParagraphFont"/>
    <w:uiPriority w:val="99"/>
    <w:semiHidden/>
    <w:unhideWhenUsed/>
    <w:rsid w:val="006929F0"/>
    <w:rPr>
      <w:sz w:val="16"/>
      <w:szCs w:val="16"/>
    </w:rPr>
  </w:style>
  <w:style w:type="paragraph" w:styleId="CommentText">
    <w:name w:val="annotation text"/>
    <w:basedOn w:val="Normal"/>
    <w:link w:val="CommentTextChar"/>
    <w:uiPriority w:val="99"/>
    <w:unhideWhenUsed/>
    <w:rsid w:val="006929F0"/>
    <w:pPr>
      <w:spacing w:line="240" w:lineRule="auto"/>
    </w:pPr>
    <w:rPr>
      <w:sz w:val="20"/>
      <w:szCs w:val="20"/>
    </w:rPr>
  </w:style>
  <w:style w:type="character" w:customStyle="1" w:styleId="CommentTextChar">
    <w:name w:val="Comment Text Char"/>
    <w:basedOn w:val="DefaultParagraphFont"/>
    <w:link w:val="CommentText"/>
    <w:uiPriority w:val="99"/>
    <w:rsid w:val="006929F0"/>
    <w:rPr>
      <w:sz w:val="20"/>
      <w:szCs w:val="20"/>
    </w:rPr>
  </w:style>
  <w:style w:type="paragraph" w:styleId="CommentSubject">
    <w:name w:val="annotation subject"/>
    <w:basedOn w:val="CommentText"/>
    <w:next w:val="CommentText"/>
    <w:link w:val="CommentSubjectChar"/>
    <w:uiPriority w:val="99"/>
    <w:semiHidden/>
    <w:unhideWhenUsed/>
    <w:rsid w:val="006929F0"/>
    <w:rPr>
      <w:b/>
      <w:bCs/>
    </w:rPr>
  </w:style>
  <w:style w:type="character" w:customStyle="1" w:styleId="CommentSubjectChar">
    <w:name w:val="Comment Subject Char"/>
    <w:basedOn w:val="CommentTextChar"/>
    <w:link w:val="CommentSubject"/>
    <w:uiPriority w:val="99"/>
    <w:semiHidden/>
    <w:rsid w:val="006929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386689">
      <w:bodyDiv w:val="1"/>
      <w:marLeft w:val="0"/>
      <w:marRight w:val="0"/>
      <w:marTop w:val="0"/>
      <w:marBottom w:val="0"/>
      <w:divBdr>
        <w:top w:val="none" w:sz="0" w:space="0" w:color="auto"/>
        <w:left w:val="none" w:sz="0" w:space="0" w:color="auto"/>
        <w:bottom w:val="none" w:sz="0" w:space="0" w:color="auto"/>
        <w:right w:val="none" w:sz="0" w:space="0" w:color="auto"/>
      </w:divBdr>
    </w:div>
    <w:div w:id="777062646">
      <w:bodyDiv w:val="1"/>
      <w:marLeft w:val="0"/>
      <w:marRight w:val="0"/>
      <w:marTop w:val="0"/>
      <w:marBottom w:val="0"/>
      <w:divBdr>
        <w:top w:val="none" w:sz="0" w:space="0" w:color="auto"/>
        <w:left w:val="none" w:sz="0" w:space="0" w:color="auto"/>
        <w:bottom w:val="none" w:sz="0" w:space="0" w:color="auto"/>
        <w:right w:val="none" w:sz="0" w:space="0" w:color="auto"/>
      </w:divBdr>
    </w:div>
    <w:div w:id="948321445">
      <w:bodyDiv w:val="1"/>
      <w:marLeft w:val="0"/>
      <w:marRight w:val="0"/>
      <w:marTop w:val="0"/>
      <w:marBottom w:val="0"/>
      <w:divBdr>
        <w:top w:val="none" w:sz="0" w:space="0" w:color="auto"/>
        <w:left w:val="none" w:sz="0" w:space="0" w:color="auto"/>
        <w:bottom w:val="none" w:sz="0" w:space="0" w:color="auto"/>
        <w:right w:val="none" w:sz="0" w:space="0" w:color="auto"/>
      </w:divBdr>
    </w:div>
    <w:div w:id="1176387308">
      <w:bodyDiv w:val="1"/>
      <w:marLeft w:val="0"/>
      <w:marRight w:val="0"/>
      <w:marTop w:val="0"/>
      <w:marBottom w:val="0"/>
      <w:divBdr>
        <w:top w:val="none" w:sz="0" w:space="0" w:color="auto"/>
        <w:left w:val="none" w:sz="0" w:space="0" w:color="auto"/>
        <w:bottom w:val="none" w:sz="0" w:space="0" w:color="auto"/>
        <w:right w:val="none" w:sz="0" w:space="0" w:color="auto"/>
      </w:divBdr>
    </w:div>
    <w:div w:id="1317102571">
      <w:bodyDiv w:val="1"/>
      <w:marLeft w:val="0"/>
      <w:marRight w:val="0"/>
      <w:marTop w:val="0"/>
      <w:marBottom w:val="0"/>
      <w:divBdr>
        <w:top w:val="none" w:sz="0" w:space="0" w:color="auto"/>
        <w:left w:val="none" w:sz="0" w:space="0" w:color="auto"/>
        <w:bottom w:val="none" w:sz="0" w:space="0" w:color="auto"/>
        <w:right w:val="none" w:sz="0" w:space="0" w:color="auto"/>
      </w:divBdr>
    </w:div>
    <w:div w:id="13461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EB0E-BD33-41B8-ABB4-26DC653A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FUNDISIWE CYNTHIA NTSEBESHA</cp:lastModifiedBy>
  <cp:revision>3</cp:revision>
  <cp:lastPrinted>2024-04-07T08:08:00Z</cp:lastPrinted>
  <dcterms:created xsi:type="dcterms:W3CDTF">2024-04-16T08:44:00Z</dcterms:created>
  <dcterms:modified xsi:type="dcterms:W3CDTF">2024-04-17T17:20:00Z</dcterms:modified>
</cp:coreProperties>
</file>