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4B6D" w14:textId="77777777" w:rsidR="00951922" w:rsidRPr="00816166" w:rsidRDefault="00951922" w:rsidP="00951922">
      <w:pPr>
        <w:pStyle w:val="Subtitle"/>
        <w:jc w:val="center"/>
        <w:rPr>
          <w:rFonts w:cs="Arial"/>
          <w:b/>
          <w:szCs w:val="24"/>
        </w:rPr>
      </w:pPr>
      <w:bookmarkStart w:id="0" w:name="_GoBack"/>
      <w:bookmarkEnd w:id="0"/>
      <w:r w:rsidRPr="00816166">
        <w:rPr>
          <w:i/>
          <w:noProof/>
        </w:rPr>
        <w:drawing>
          <wp:anchor distT="0" distB="0" distL="114300" distR="114300" simplePos="0" relativeHeight="251659264" behindDoc="0" locked="0" layoutInCell="1" allowOverlap="1" wp14:anchorId="416253F2" wp14:editId="743B5562">
            <wp:simplePos x="0" y="0"/>
            <wp:positionH relativeFrom="margin">
              <wp:posOffset>2633316</wp:posOffset>
            </wp:positionH>
            <wp:positionV relativeFrom="paragraph">
              <wp:posOffset>238125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5AB16418" w14:textId="77777777" w:rsidR="00951922" w:rsidRDefault="00951922" w:rsidP="00951922">
      <w:pPr>
        <w:pStyle w:val="Header"/>
        <w:widowControl w:val="0"/>
        <w:tabs>
          <w:tab w:val="left" w:pos="720"/>
        </w:tabs>
        <w:spacing w:line="360" w:lineRule="auto"/>
        <w:jc w:val="center"/>
        <w:rPr>
          <w:rFonts w:cs="Arial"/>
          <w:b/>
          <w:szCs w:val="24"/>
        </w:rPr>
      </w:pPr>
    </w:p>
    <w:p w14:paraId="6259E234" w14:textId="77777777" w:rsidR="00951922" w:rsidRDefault="00951922" w:rsidP="00951922">
      <w:pPr>
        <w:pStyle w:val="Header"/>
        <w:widowControl w:val="0"/>
        <w:tabs>
          <w:tab w:val="left" w:pos="720"/>
        </w:tabs>
        <w:spacing w:line="360" w:lineRule="auto"/>
        <w:jc w:val="center"/>
        <w:rPr>
          <w:rFonts w:cs="Arial"/>
          <w:b/>
          <w:szCs w:val="24"/>
        </w:rPr>
      </w:pPr>
    </w:p>
    <w:p w14:paraId="2D47DDE7" w14:textId="77777777" w:rsidR="00951922" w:rsidRDefault="00951922" w:rsidP="00951922">
      <w:pPr>
        <w:pStyle w:val="Header"/>
        <w:widowControl w:val="0"/>
        <w:tabs>
          <w:tab w:val="left" w:pos="720"/>
        </w:tabs>
        <w:spacing w:line="360" w:lineRule="auto"/>
        <w:jc w:val="center"/>
        <w:rPr>
          <w:rFonts w:cs="Arial"/>
          <w:b/>
          <w:szCs w:val="24"/>
        </w:rPr>
      </w:pPr>
    </w:p>
    <w:p w14:paraId="3918A7CE" w14:textId="77777777" w:rsidR="00951922" w:rsidRPr="00816166" w:rsidRDefault="00951922" w:rsidP="00951922">
      <w:pPr>
        <w:pStyle w:val="Header"/>
        <w:widowControl w:val="0"/>
        <w:tabs>
          <w:tab w:val="left" w:pos="720"/>
        </w:tabs>
        <w:spacing w:line="360" w:lineRule="auto"/>
        <w:jc w:val="center"/>
        <w:rPr>
          <w:rFonts w:cs="Arial"/>
          <w:b/>
          <w:szCs w:val="24"/>
        </w:rPr>
      </w:pPr>
    </w:p>
    <w:p w14:paraId="01EA6F38" w14:textId="77777777" w:rsidR="00951922" w:rsidRPr="00816166" w:rsidRDefault="00951922" w:rsidP="00951922">
      <w:pPr>
        <w:pStyle w:val="Header"/>
        <w:widowControl w:val="0"/>
        <w:tabs>
          <w:tab w:val="left" w:pos="720"/>
        </w:tabs>
        <w:spacing w:line="360" w:lineRule="auto"/>
        <w:jc w:val="center"/>
        <w:rPr>
          <w:rFonts w:cs="Arial"/>
          <w:b/>
          <w:szCs w:val="24"/>
        </w:rPr>
      </w:pPr>
      <w:r w:rsidRPr="00816166">
        <w:rPr>
          <w:rFonts w:cs="Arial"/>
          <w:b/>
          <w:szCs w:val="24"/>
        </w:rPr>
        <w:t>IN THE HIGH COURT OF SOUTH AFRICA</w:t>
      </w:r>
    </w:p>
    <w:p w14:paraId="19B9619B" w14:textId="77777777" w:rsidR="00951922" w:rsidRDefault="00951922" w:rsidP="00951922">
      <w:pPr>
        <w:widowControl w:val="0"/>
        <w:tabs>
          <w:tab w:val="right" w:pos="9213"/>
        </w:tabs>
        <w:spacing w:line="360" w:lineRule="auto"/>
        <w:jc w:val="center"/>
        <w:rPr>
          <w:b/>
        </w:rPr>
      </w:pPr>
      <w:r w:rsidRPr="00816166">
        <w:rPr>
          <w:b/>
        </w:rPr>
        <w:t>EASTERN CAPE DIV</w:t>
      </w:r>
      <w:r>
        <w:rPr>
          <w:b/>
        </w:rPr>
        <w:t>ISION, GQEBERHA</w:t>
      </w:r>
    </w:p>
    <w:p w14:paraId="77E23BDE" w14:textId="77777777" w:rsidR="00951922" w:rsidRDefault="00951922" w:rsidP="00951922">
      <w:pPr>
        <w:widowControl w:val="0"/>
        <w:pBdr>
          <w:top w:val="nil"/>
          <w:left w:val="nil"/>
          <w:bottom w:val="nil"/>
          <w:right w:val="nil"/>
          <w:between w:val="nil"/>
        </w:pBdr>
        <w:tabs>
          <w:tab w:val="right" w:pos="9781"/>
        </w:tabs>
        <w:spacing w:line="360" w:lineRule="auto"/>
        <w:jc w:val="both"/>
        <w:rPr>
          <w:color w:val="000000"/>
        </w:rPr>
      </w:pPr>
    </w:p>
    <w:p w14:paraId="3D1FAC35" w14:textId="5A3268C6" w:rsidR="00951922" w:rsidRDefault="00951922" w:rsidP="00951922">
      <w:pPr>
        <w:widowControl w:val="0"/>
        <w:pBdr>
          <w:top w:val="nil"/>
          <w:left w:val="nil"/>
          <w:bottom w:val="nil"/>
          <w:right w:val="nil"/>
          <w:between w:val="nil"/>
        </w:pBdr>
        <w:tabs>
          <w:tab w:val="right" w:pos="9781"/>
        </w:tabs>
        <w:spacing w:line="360" w:lineRule="auto"/>
        <w:jc w:val="both"/>
        <w:rPr>
          <w:color w:val="000000"/>
        </w:rPr>
      </w:pPr>
      <w:r>
        <w:rPr>
          <w:color w:val="000000"/>
        </w:rPr>
        <w:tab/>
        <w:t>CASE NO: CA&amp;R</w:t>
      </w:r>
      <w:r w:rsidR="00DE5DB4">
        <w:rPr>
          <w:color w:val="000000"/>
        </w:rPr>
        <w:t>106/2024</w:t>
      </w:r>
    </w:p>
    <w:p w14:paraId="27C95F8D" w14:textId="4E688EB4" w:rsidR="001A0371" w:rsidRDefault="001A0371" w:rsidP="001A0371">
      <w:pPr>
        <w:widowControl w:val="0"/>
        <w:pBdr>
          <w:top w:val="nil"/>
          <w:left w:val="nil"/>
          <w:bottom w:val="nil"/>
          <w:right w:val="nil"/>
          <w:between w:val="nil"/>
        </w:pBdr>
        <w:tabs>
          <w:tab w:val="right" w:pos="9781"/>
        </w:tabs>
        <w:spacing w:line="360" w:lineRule="auto"/>
        <w:jc w:val="right"/>
        <w:rPr>
          <w:color w:val="000000"/>
        </w:rPr>
      </w:pPr>
      <w:r>
        <w:rPr>
          <w:color w:val="000000"/>
        </w:rPr>
        <w:t>Date of delivery: 25 June 2024</w:t>
      </w:r>
    </w:p>
    <w:p w14:paraId="031E5123" w14:textId="77777777" w:rsidR="00951922" w:rsidRDefault="00951922" w:rsidP="00951922">
      <w:pPr>
        <w:widowControl w:val="0"/>
        <w:tabs>
          <w:tab w:val="right" w:pos="8640"/>
          <w:tab w:val="right" w:pos="9781"/>
        </w:tabs>
        <w:spacing w:line="360" w:lineRule="auto"/>
        <w:jc w:val="both"/>
        <w:rPr>
          <w:b/>
        </w:rPr>
      </w:pPr>
      <w:r>
        <w:t>In the matter between:</w:t>
      </w:r>
      <w:r>
        <w:rPr>
          <w:b/>
        </w:rPr>
        <w:tab/>
      </w:r>
    </w:p>
    <w:p w14:paraId="3D1B6410" w14:textId="77777777" w:rsidR="00951922" w:rsidRDefault="00951922" w:rsidP="00951922">
      <w:pPr>
        <w:widowControl w:val="0"/>
        <w:tabs>
          <w:tab w:val="right" w:pos="9781"/>
          <w:tab w:val="right" w:pos="10206"/>
        </w:tabs>
        <w:spacing w:before="240" w:after="240"/>
        <w:jc w:val="both"/>
        <w:rPr>
          <w:b/>
        </w:rPr>
      </w:pPr>
      <w:r>
        <w:rPr>
          <w:b/>
        </w:rPr>
        <w:t>THE STATE</w:t>
      </w:r>
      <w:r>
        <w:rPr>
          <w:b/>
        </w:rPr>
        <w:tab/>
      </w:r>
    </w:p>
    <w:p w14:paraId="5EDA8411" w14:textId="77777777" w:rsidR="00951922" w:rsidRDefault="00951922" w:rsidP="00951922">
      <w:pPr>
        <w:widowControl w:val="0"/>
        <w:tabs>
          <w:tab w:val="right" w:pos="8640"/>
          <w:tab w:val="right" w:pos="9781"/>
        </w:tabs>
        <w:spacing w:after="240" w:line="360" w:lineRule="auto"/>
        <w:jc w:val="both"/>
      </w:pPr>
      <w:r>
        <w:t>and</w:t>
      </w:r>
    </w:p>
    <w:p w14:paraId="0009713F" w14:textId="77777777" w:rsidR="00951922" w:rsidRDefault="00951922" w:rsidP="00951922">
      <w:pPr>
        <w:widowControl w:val="0"/>
        <w:pBdr>
          <w:bottom w:val="single" w:sz="6" w:space="1" w:color="000000"/>
        </w:pBdr>
        <w:tabs>
          <w:tab w:val="right" w:pos="9781"/>
          <w:tab w:val="right" w:pos="10206"/>
        </w:tabs>
        <w:spacing w:line="360" w:lineRule="auto"/>
        <w:jc w:val="both"/>
        <w:rPr>
          <w:b/>
        </w:rPr>
      </w:pPr>
      <w:r>
        <w:rPr>
          <w:b/>
        </w:rPr>
        <w:t>ATHULE MABHULU</w:t>
      </w:r>
      <w:r>
        <w:rPr>
          <w:b/>
        </w:rPr>
        <w:tab/>
        <w:t xml:space="preserve"> </w:t>
      </w:r>
    </w:p>
    <w:p w14:paraId="054A350A" w14:textId="77777777" w:rsidR="00951922" w:rsidRDefault="00951922" w:rsidP="00951922">
      <w:pPr>
        <w:widowControl w:val="0"/>
        <w:tabs>
          <w:tab w:val="right" w:pos="8640"/>
          <w:tab w:val="right" w:pos="9781"/>
        </w:tabs>
        <w:spacing w:line="360" w:lineRule="auto"/>
        <w:jc w:val="both"/>
      </w:pPr>
    </w:p>
    <w:p w14:paraId="0AE16820" w14:textId="77777777" w:rsidR="00951922" w:rsidRDefault="00951922" w:rsidP="00951922">
      <w:pPr>
        <w:widowControl w:val="0"/>
        <w:pBdr>
          <w:bottom w:val="single" w:sz="6" w:space="1" w:color="000000"/>
        </w:pBdr>
        <w:tabs>
          <w:tab w:val="right" w:pos="8640"/>
          <w:tab w:val="right" w:pos="9781"/>
        </w:tabs>
        <w:spacing w:line="276" w:lineRule="auto"/>
        <w:jc w:val="center"/>
        <w:rPr>
          <w:b/>
        </w:rPr>
      </w:pPr>
      <w:r>
        <w:rPr>
          <w:b/>
        </w:rPr>
        <w:t xml:space="preserve">REVIEW JUDGMENT </w:t>
      </w:r>
    </w:p>
    <w:p w14:paraId="04644A32" w14:textId="77777777" w:rsidR="00951922" w:rsidRDefault="00951922" w:rsidP="00951922">
      <w:pPr>
        <w:widowControl w:val="0"/>
        <w:pBdr>
          <w:bottom w:val="single" w:sz="6" w:space="1" w:color="000000"/>
        </w:pBdr>
        <w:tabs>
          <w:tab w:val="right" w:pos="8640"/>
          <w:tab w:val="right" w:pos="9781"/>
        </w:tabs>
        <w:spacing w:line="276" w:lineRule="auto"/>
        <w:jc w:val="center"/>
        <w:rPr>
          <w:b/>
        </w:rPr>
      </w:pPr>
    </w:p>
    <w:p w14:paraId="167F14C9" w14:textId="77777777" w:rsidR="00951922" w:rsidRDefault="00951922" w:rsidP="00951922">
      <w:pPr>
        <w:widowControl w:val="0"/>
        <w:tabs>
          <w:tab w:val="right" w:pos="8640"/>
          <w:tab w:val="right" w:pos="9781"/>
        </w:tabs>
        <w:spacing w:line="360" w:lineRule="auto"/>
        <w:jc w:val="both"/>
      </w:pPr>
    </w:p>
    <w:p w14:paraId="244D2248" w14:textId="77777777" w:rsidR="00951922" w:rsidRDefault="00951922" w:rsidP="00951922">
      <w:pPr>
        <w:widowControl w:val="0"/>
        <w:tabs>
          <w:tab w:val="right" w:pos="8640"/>
          <w:tab w:val="right" w:pos="9781"/>
        </w:tabs>
        <w:spacing w:line="360" w:lineRule="auto"/>
        <w:jc w:val="both"/>
        <w:rPr>
          <w:b/>
        </w:rPr>
      </w:pPr>
      <w:r>
        <w:rPr>
          <w:b/>
        </w:rPr>
        <w:t>Bloem J</w:t>
      </w:r>
    </w:p>
    <w:p w14:paraId="0EAF6523" w14:textId="5FBB7879" w:rsidR="001A0371" w:rsidRDefault="00F93B9A" w:rsidP="00F93B9A">
      <w:pPr>
        <w:widowControl w:val="0"/>
        <w:tabs>
          <w:tab w:val="left" w:pos="567"/>
        </w:tabs>
        <w:spacing w:before="240" w:after="240" w:line="360" w:lineRule="auto"/>
        <w:jc w:val="both"/>
      </w:pPr>
      <w:r>
        <w:t>[1]</w:t>
      </w:r>
      <w:r>
        <w:tab/>
      </w:r>
      <w:r w:rsidR="00951922">
        <w:t>The accused was charged</w:t>
      </w:r>
      <w:r w:rsidR="00946DBF">
        <w:t xml:space="preserve"> in the magistrate’s court, East London with assault with intent to do grievous bodily harm.  The state alleged that on 28 August 2023 and at East London, he “</w:t>
      </w:r>
      <w:r w:rsidR="00946DBF" w:rsidRPr="001A0371">
        <w:rPr>
          <w:i/>
        </w:rPr>
        <w:t>did unlawfully and intentionally assault [LM] by hitting her with fists with the intent to causing her bodily harm</w:t>
      </w:r>
      <w:r w:rsidR="00946DBF">
        <w:t>”.  The accused pleaded guilty to the charge.  H</w:t>
      </w:r>
      <w:r w:rsidR="00A94AD9">
        <w:t>is</w:t>
      </w:r>
      <w:r w:rsidR="00946DBF">
        <w:t xml:space="preserve"> legal representative handed a written statement by the accused into court.  In that statement the accused set out the facts which he admitted and on which he pleaded guilty.  The magistrate was satisfied that the accused was guilty of the offence to which he pleaded guilty and convicted him of assault with intent to do grievous bodily harm.  He was sentenced to pay a fine of R3 000 alternatively undergo imprisonment for 3</w:t>
      </w:r>
      <w:r w:rsidR="001A0371">
        <w:t> </w:t>
      </w:r>
      <w:r w:rsidR="00946DBF">
        <w:t>(three) months.  The sentence was wholly suspended for 5 (five) years on condition that he not be convicted of assault with intent to do grievous bodily harm committed during the period of suspension.</w:t>
      </w:r>
    </w:p>
    <w:p w14:paraId="58C848C7" w14:textId="2A176CF3" w:rsidR="00946DBF" w:rsidRDefault="00F93B9A" w:rsidP="00F93B9A">
      <w:pPr>
        <w:widowControl w:val="0"/>
        <w:tabs>
          <w:tab w:val="left" w:pos="567"/>
        </w:tabs>
        <w:spacing w:before="240" w:after="240" w:line="360" w:lineRule="auto"/>
        <w:jc w:val="both"/>
      </w:pPr>
      <w:r>
        <w:t>[2]</w:t>
      </w:r>
      <w:r>
        <w:tab/>
      </w:r>
      <w:r w:rsidR="00946DBF">
        <w:t xml:space="preserve">After the imposition of the above sentence, a senior magistrate, while performing </w:t>
      </w:r>
      <w:r w:rsidR="00A94AD9">
        <w:t>j</w:t>
      </w:r>
      <w:r w:rsidR="00946DBF">
        <w:t xml:space="preserve">udicial </w:t>
      </w:r>
      <w:r w:rsidR="00A94AD9">
        <w:t>q</w:t>
      </w:r>
      <w:r w:rsidR="00946DBF">
        <w:t xml:space="preserve">uality </w:t>
      </w:r>
      <w:r w:rsidR="00A94AD9">
        <w:t>a</w:t>
      </w:r>
      <w:r w:rsidR="00946DBF">
        <w:t xml:space="preserve">ssurance inspection at the East London Magistrate’s Court, noted that </w:t>
      </w:r>
      <w:r w:rsidR="00946DBF">
        <w:lastRenderedPageBreak/>
        <w:t xml:space="preserve">the accused might not have </w:t>
      </w:r>
      <w:r w:rsidR="00A94AD9">
        <w:t>admitted</w:t>
      </w:r>
      <w:r w:rsidR="00946DBF">
        <w:t xml:space="preserve"> all the elements of the offence of assault with intent to do grievous bodily harm.  The magistrate perused the record and realised that the senior magistrate was correct.  The magistrate sent the matter on special review to this court.  </w:t>
      </w:r>
    </w:p>
    <w:p w14:paraId="17D7F0FB" w14:textId="5BDF8C55" w:rsidR="00946DBF" w:rsidRDefault="00F93B9A" w:rsidP="00F93B9A">
      <w:pPr>
        <w:widowControl w:val="0"/>
        <w:tabs>
          <w:tab w:val="left" w:pos="567"/>
        </w:tabs>
        <w:spacing w:before="240" w:after="240" w:line="360" w:lineRule="auto"/>
        <w:jc w:val="both"/>
      </w:pPr>
      <w:r>
        <w:t>[3]</w:t>
      </w:r>
      <w:r>
        <w:tab/>
      </w:r>
      <w:r w:rsidR="00946DBF">
        <w:t xml:space="preserve">Assault with the intent to do grievous bodily harm includes all the essential elements for </w:t>
      </w:r>
      <w:r w:rsidR="00A94AD9">
        <w:t>the offence of common</w:t>
      </w:r>
      <w:r w:rsidR="00946DBF">
        <w:t xml:space="preserve"> assault.  However, there is an additional element, namely that there must be an intent on the part of the accused to do grievous bodily harm.  Assault consists in unlawfully and intentionally applying force to the person of another or threatening that person with immediate personal violence in circumstances</w:t>
      </w:r>
      <w:r w:rsidR="00706DDE">
        <w:t xml:space="preserve"> which lead that person to believe that the person who made the threat intents and has the power to carry out the threat.  To secure a conviction of assault with intent to do grievous bodily harm, the state must prove, in addition, that the person who applies force or threatens to do so had the intent to do grievous bodily harm.  The offence </w:t>
      </w:r>
      <w:r w:rsidR="00A94AD9">
        <w:t xml:space="preserve">of </w:t>
      </w:r>
      <w:r w:rsidR="00D173CD">
        <w:t xml:space="preserve">assault with the intent to do grievous bodily harm cannot be committed if </w:t>
      </w:r>
      <w:r w:rsidR="00A94AD9">
        <w:t xml:space="preserve">it is not </w:t>
      </w:r>
      <w:r w:rsidR="00D173CD">
        <w:t>prove</w:t>
      </w:r>
      <w:r w:rsidR="00A94AD9">
        <w:t>d or admitted</w:t>
      </w:r>
      <w:r w:rsidR="00D173CD">
        <w:t xml:space="preserve"> that the accused had the intent to do grievous bodily harm.  The accused might, depending on the facts, be convicted of common assault under those circumstances.</w:t>
      </w:r>
      <w:r w:rsidR="00D173CD">
        <w:rPr>
          <w:rStyle w:val="FootnoteReference"/>
        </w:rPr>
        <w:footnoteReference w:id="1"/>
      </w:r>
      <w:r w:rsidR="000B0AEE">
        <w:t xml:space="preserve"> Whether an accused </w:t>
      </w:r>
      <w:r w:rsidR="00A94AD9">
        <w:t xml:space="preserve">had </w:t>
      </w:r>
      <w:r w:rsidR="000B0AEE">
        <w:t xml:space="preserve">the intention to commit </w:t>
      </w:r>
      <w:r w:rsidR="00DB19D3">
        <w:t>grievous bodily harm</w:t>
      </w:r>
      <w:r w:rsidR="008E70A6">
        <w:t xml:space="preserve"> depends on the facts</w:t>
      </w:r>
      <w:r w:rsidR="006537B9">
        <w:t xml:space="preserve"> of each case.  Factors to be taken into account when determining whether the accused </w:t>
      </w:r>
      <w:r w:rsidR="000B11A3">
        <w:t>intended to do grievous bodily harm</w:t>
      </w:r>
      <w:r w:rsidR="00CF6FAB">
        <w:t xml:space="preserve"> include the weapon or instrument that the accused used;  the degree of force </w:t>
      </w:r>
      <w:r w:rsidR="00A94AD9">
        <w:t>that t</w:t>
      </w:r>
      <w:r w:rsidR="00CF6FAB">
        <w:t>he accused</w:t>
      </w:r>
      <w:r w:rsidR="00A94AD9">
        <w:t xml:space="preserve"> used</w:t>
      </w:r>
      <w:r w:rsidR="00CF6FAB">
        <w:t xml:space="preserve">;  </w:t>
      </w:r>
      <w:r w:rsidR="004F631E">
        <w:t>the part of the body at which the attack was directed;  and the injuries actually sustained by the victim</w:t>
      </w:r>
      <w:r w:rsidR="00FD191C">
        <w:t>.</w:t>
      </w:r>
      <w:r w:rsidR="00FD191C">
        <w:rPr>
          <w:rStyle w:val="FootnoteReference"/>
        </w:rPr>
        <w:footnoteReference w:id="2"/>
      </w:r>
    </w:p>
    <w:p w14:paraId="68A6B3DC" w14:textId="0DB7B676" w:rsidR="00FA7E5B" w:rsidRDefault="00F93B9A" w:rsidP="00F93B9A">
      <w:pPr>
        <w:widowControl w:val="0"/>
        <w:tabs>
          <w:tab w:val="left" w:pos="567"/>
        </w:tabs>
        <w:spacing w:before="240" w:after="240" w:line="360" w:lineRule="auto"/>
        <w:jc w:val="both"/>
      </w:pPr>
      <w:r>
        <w:t>[4]</w:t>
      </w:r>
      <w:r>
        <w:tab/>
      </w:r>
      <w:r w:rsidR="00FA7E5B">
        <w:t>In the present case the accused admitted to having assaulted the complainant “</w:t>
      </w:r>
      <w:r w:rsidR="00FA7E5B" w:rsidRPr="00A94AD9">
        <w:rPr>
          <w:i/>
        </w:rPr>
        <w:t>by hitting her with a fist on her forehead, causing her bodily harm</w:t>
      </w:r>
      <w:r w:rsidR="00FA7E5B">
        <w:t>”.  The accused alleged that the complainant had accused him during the previous evening of having stolen a phone.  He went to confront her at her home early the following morning.  They exchanged words during which the complainant swore at him.  He lost his temper</w:t>
      </w:r>
      <w:r w:rsidR="00A94AD9">
        <w:t xml:space="preserve"> and “</w:t>
      </w:r>
      <w:r w:rsidR="00A94AD9" w:rsidRPr="00A94AD9">
        <w:rPr>
          <w:i/>
        </w:rPr>
        <w:t>assaulted her with a fist</w:t>
      </w:r>
      <w:r w:rsidR="00FA7E5B" w:rsidRPr="00A94AD9">
        <w:rPr>
          <w:i/>
        </w:rPr>
        <w:t xml:space="preserve"> on her forehead</w:t>
      </w:r>
      <w:r w:rsidR="00FA7E5B">
        <w:t xml:space="preserve">”.  </w:t>
      </w:r>
    </w:p>
    <w:p w14:paraId="63AAFD97" w14:textId="77777777" w:rsidR="001A0371" w:rsidRDefault="001A0371" w:rsidP="001A0371">
      <w:pPr>
        <w:widowControl w:val="0"/>
        <w:spacing w:before="240" w:after="240" w:line="360" w:lineRule="auto"/>
        <w:jc w:val="both"/>
      </w:pPr>
    </w:p>
    <w:p w14:paraId="0F0538FD" w14:textId="51E9B453" w:rsidR="00FA7E5B" w:rsidRDefault="00F93B9A" w:rsidP="00F93B9A">
      <w:pPr>
        <w:widowControl w:val="0"/>
        <w:tabs>
          <w:tab w:val="left" w:pos="567"/>
        </w:tabs>
        <w:spacing w:before="240" w:after="240" w:line="360" w:lineRule="auto"/>
        <w:jc w:val="both"/>
      </w:pPr>
      <w:r>
        <w:lastRenderedPageBreak/>
        <w:t>[5]</w:t>
      </w:r>
      <w:r>
        <w:tab/>
      </w:r>
      <w:r w:rsidR="00FA7E5B">
        <w:t>The above facts do not show that the accused threaten</w:t>
      </w:r>
      <w:r w:rsidR="00A94AD9">
        <w:t>ed</w:t>
      </w:r>
      <w:r w:rsidR="00FA7E5B">
        <w:t xml:space="preserve"> to apply force to the complainant.  The accused’s intention to do grievous bodily harm must accordingly be determine</w:t>
      </w:r>
      <w:r w:rsidR="00A94AD9">
        <w:t>d</w:t>
      </w:r>
      <w:r w:rsidR="00FA7E5B">
        <w:t xml:space="preserve"> on the basis of his conduct.  He used a fist on the complainant’s forehead.  There are no facts to indicate the degree of force that the accused used when he</w:t>
      </w:r>
      <w:r w:rsidR="00A94AD9">
        <w:t xml:space="preserve"> hit the</w:t>
      </w:r>
      <w:r w:rsidR="00FA7E5B">
        <w:t xml:space="preserve"> complainant</w:t>
      </w:r>
      <w:r w:rsidR="00A94AD9">
        <w:t xml:space="preserve"> on her</w:t>
      </w:r>
      <w:r w:rsidR="00FA7E5B">
        <w:t xml:space="preserve"> forehead. </w:t>
      </w:r>
      <w:r w:rsidR="00A94AD9">
        <w:t xml:space="preserve"> The bodily harm that the complainant sustained was not described.</w:t>
      </w:r>
      <w:r w:rsidR="00FA7E5B">
        <w:t xml:space="preserve"> </w:t>
      </w:r>
      <w:r w:rsidR="00A94AD9">
        <w:t xml:space="preserve"> On the contrary, t</w:t>
      </w:r>
      <w:r w:rsidR="00FA7E5B">
        <w:t>he facts do</w:t>
      </w:r>
      <w:r w:rsidR="00A94AD9">
        <w:t xml:space="preserve"> not show that the complainant</w:t>
      </w:r>
      <w:r w:rsidR="00FA7E5B">
        <w:t xml:space="preserve"> sustain</w:t>
      </w:r>
      <w:r w:rsidR="00A94AD9">
        <w:t>ed an injury.  Regard</w:t>
      </w:r>
      <w:r w:rsidR="00FA7E5B">
        <w:t xml:space="preserve"> being had to the above factors, it cannot be said that the accused committed assault with intent to do grievous bodily harm.  That conviction must accordingly be set aside and replaced with a conviction on the competent verdict of common assault. </w:t>
      </w:r>
    </w:p>
    <w:p w14:paraId="1C626D76" w14:textId="635513E9" w:rsidR="00A91FF9" w:rsidRDefault="00F93B9A" w:rsidP="00F93B9A">
      <w:pPr>
        <w:widowControl w:val="0"/>
        <w:tabs>
          <w:tab w:val="left" w:pos="567"/>
        </w:tabs>
        <w:spacing w:before="240" w:after="240" w:line="360" w:lineRule="auto"/>
        <w:jc w:val="both"/>
      </w:pPr>
      <w:r>
        <w:t>[6]</w:t>
      </w:r>
      <w:r>
        <w:tab/>
      </w:r>
      <w:r w:rsidR="00A94AD9">
        <w:t xml:space="preserve">The sentence imposed by the magistrate was in respect of a conviction of assault with intent to do grievous bodily harm.  The accused should, on the facts admitted by him, have been convicted of common assault.  The sentence is disproportionate to a conviction of common assault in the light of the facts admitted by the accused.  Since all the facts relevant to the imposition of an appropriate sentence are on record, it will serve no purpose to remit the matter to the magistrate to impose a sentence after the conviction of common assault.  </w:t>
      </w:r>
    </w:p>
    <w:p w14:paraId="1E20B45B" w14:textId="7219D032" w:rsidR="00A94AD9" w:rsidRDefault="00F93B9A" w:rsidP="00F93B9A">
      <w:pPr>
        <w:widowControl w:val="0"/>
        <w:tabs>
          <w:tab w:val="left" w:pos="567"/>
        </w:tabs>
        <w:spacing w:before="240" w:after="240" w:line="360" w:lineRule="auto"/>
        <w:jc w:val="both"/>
      </w:pPr>
      <w:r>
        <w:t>[7]</w:t>
      </w:r>
      <w:r>
        <w:tab/>
      </w:r>
      <w:r w:rsidR="00A94AD9">
        <w:t xml:space="preserve">The accused was born during October 1999, left school during grade 12, has been permanently employed by the same employer as a driver since he left school, has no children and has no previous convictions.  It is of concern that he committed a violent crime against a woman.  He apologised to her immediately after assaulting her and pleaded guilty.  </w:t>
      </w:r>
      <w:r w:rsidR="008D5EAD">
        <w:t>The accused will in all probability not make himself guilty of the same offence.  The sentence must nevertheless be such that he should be reminded of the consequences which might follow if he were to be repeat such offence.</w:t>
      </w:r>
      <w:r w:rsidR="008D5EAD">
        <w:rPr>
          <w:rStyle w:val="FootnoteReference"/>
        </w:rPr>
        <w:footnoteReference w:id="3"/>
      </w:r>
      <w:r w:rsidR="008D5EAD">
        <w:t xml:space="preserve">  </w:t>
      </w:r>
    </w:p>
    <w:p w14:paraId="3EA06EB3" w14:textId="30797396" w:rsidR="008D5EAD" w:rsidRDefault="00F93B9A" w:rsidP="00F93B9A">
      <w:pPr>
        <w:widowControl w:val="0"/>
        <w:tabs>
          <w:tab w:val="left" w:pos="567"/>
        </w:tabs>
        <w:spacing w:before="240" w:after="240" w:line="360" w:lineRule="auto"/>
        <w:jc w:val="both"/>
      </w:pPr>
      <w:r>
        <w:t>[8]</w:t>
      </w:r>
      <w:r>
        <w:tab/>
      </w:r>
      <w:r w:rsidR="008D5EAD">
        <w:t>In the circumstances, an appropriate sentence that would do justice to the personal circumstances of the accused; the nature of the offence and the circumstances under which it was committed; and the interests of society would be a fine of R1 000 or, in default, three months’ imprisonment.</w:t>
      </w:r>
    </w:p>
    <w:p w14:paraId="46115818" w14:textId="1A61AEBE" w:rsidR="008D5EAD" w:rsidRDefault="00F93B9A" w:rsidP="00F93B9A">
      <w:pPr>
        <w:widowControl w:val="0"/>
        <w:tabs>
          <w:tab w:val="left" w:pos="567"/>
        </w:tabs>
        <w:spacing w:before="240" w:after="240" w:line="360" w:lineRule="auto"/>
        <w:jc w:val="both"/>
      </w:pPr>
      <w:r>
        <w:t>[9]</w:t>
      </w:r>
      <w:r>
        <w:tab/>
      </w:r>
      <w:r w:rsidR="008D5EAD">
        <w:t>In the result, it is ordered that:</w:t>
      </w:r>
    </w:p>
    <w:p w14:paraId="3228058D" w14:textId="6F2C87C6" w:rsidR="008D5EAD" w:rsidRDefault="00F93B9A" w:rsidP="00F93B9A">
      <w:pPr>
        <w:widowControl w:val="0"/>
        <w:spacing w:before="240" w:after="240" w:line="360" w:lineRule="auto"/>
        <w:ind w:left="1134" w:hanging="567"/>
        <w:jc w:val="both"/>
      </w:pPr>
      <w:r>
        <w:t>1.</w:t>
      </w:r>
      <w:r>
        <w:tab/>
      </w:r>
      <w:r w:rsidR="008D5EAD">
        <w:t>The conviction and sentence are set aside and replaced with the following:</w:t>
      </w:r>
    </w:p>
    <w:p w14:paraId="56F90E6C" w14:textId="6985B3D9" w:rsidR="008D5EAD" w:rsidRDefault="008D5EAD" w:rsidP="008D5EAD">
      <w:pPr>
        <w:pStyle w:val="ListParagraph"/>
        <w:widowControl w:val="0"/>
        <w:spacing w:before="240" w:after="240" w:line="360" w:lineRule="auto"/>
        <w:ind w:left="1701" w:hanging="567"/>
        <w:jc w:val="both"/>
      </w:pPr>
      <w:r>
        <w:t xml:space="preserve">“1.  </w:t>
      </w:r>
      <w:r>
        <w:tab/>
        <w:t>The accused is found guilty of common assault.</w:t>
      </w:r>
    </w:p>
    <w:p w14:paraId="79CE3BDF" w14:textId="12E08D49" w:rsidR="008D5EAD" w:rsidRDefault="00F93B9A" w:rsidP="00F93B9A">
      <w:pPr>
        <w:widowControl w:val="0"/>
        <w:spacing w:before="240" w:after="240" w:line="360" w:lineRule="auto"/>
        <w:ind w:left="1701" w:hanging="567"/>
        <w:jc w:val="both"/>
      </w:pPr>
      <w:r>
        <w:lastRenderedPageBreak/>
        <w:t>2.</w:t>
      </w:r>
      <w:r>
        <w:tab/>
      </w:r>
      <w:r w:rsidR="008D5EAD">
        <w:t xml:space="preserve">The accused is sentenced to a fine of R1 000 or, in default of payment, three months’ imprisonment.  </w:t>
      </w:r>
    </w:p>
    <w:p w14:paraId="7C9A9D66" w14:textId="6217C947" w:rsidR="008D5EAD" w:rsidRDefault="00F93B9A" w:rsidP="00F93B9A">
      <w:pPr>
        <w:widowControl w:val="0"/>
        <w:spacing w:line="360" w:lineRule="auto"/>
        <w:ind w:left="1701" w:hanging="567"/>
        <w:jc w:val="both"/>
      </w:pPr>
      <w:r>
        <w:t>3.</w:t>
      </w:r>
      <w:r>
        <w:tab/>
      </w:r>
      <w:r w:rsidR="008D5EAD">
        <w:t>The sentence is wholly suspended for three years on condition that the accused is not convicted of common assault committed during the period of suspension.”</w:t>
      </w:r>
    </w:p>
    <w:p w14:paraId="4B8913D0" w14:textId="331C5F23" w:rsidR="00B5508A" w:rsidRDefault="00B5508A" w:rsidP="00B5508A">
      <w:pPr>
        <w:widowControl w:val="0"/>
        <w:spacing w:line="360" w:lineRule="auto"/>
        <w:ind w:left="1134" w:hanging="567"/>
        <w:jc w:val="both"/>
      </w:pPr>
      <w:r>
        <w:t>2.</w:t>
      </w:r>
      <w:r>
        <w:tab/>
        <w:t>The sentence is antedated to 8 April 2024.</w:t>
      </w:r>
    </w:p>
    <w:p w14:paraId="7D9C5F59" w14:textId="0C474FC9" w:rsidR="00FA7E5B" w:rsidRDefault="00FA7E5B" w:rsidP="00A91FF9">
      <w:pPr>
        <w:widowControl w:val="0"/>
        <w:spacing w:before="240" w:after="240" w:line="360" w:lineRule="auto"/>
        <w:jc w:val="both"/>
      </w:pPr>
    </w:p>
    <w:p w14:paraId="4B39B210" w14:textId="77777777" w:rsidR="00A91FF9" w:rsidRDefault="00A91FF9" w:rsidP="00A91FF9">
      <w:pPr>
        <w:widowControl w:val="0"/>
        <w:tabs>
          <w:tab w:val="left" w:pos="4536"/>
          <w:tab w:val="right" w:pos="8640"/>
          <w:tab w:val="right" w:pos="9781"/>
        </w:tabs>
        <w:spacing w:line="360" w:lineRule="auto"/>
        <w:ind w:left="851" w:hanging="851"/>
        <w:jc w:val="both"/>
      </w:pPr>
      <w:r>
        <w:t xml:space="preserve">_________________________ </w:t>
      </w:r>
    </w:p>
    <w:p w14:paraId="7F70E587" w14:textId="77777777" w:rsidR="00A91FF9" w:rsidRDefault="00A91FF9" w:rsidP="00A91FF9">
      <w:pPr>
        <w:widowControl w:val="0"/>
        <w:tabs>
          <w:tab w:val="left" w:pos="4536"/>
          <w:tab w:val="right" w:pos="8640"/>
          <w:tab w:val="right" w:pos="9781"/>
        </w:tabs>
        <w:spacing w:line="276" w:lineRule="auto"/>
        <w:ind w:left="851" w:hanging="851"/>
        <w:jc w:val="both"/>
      </w:pPr>
      <w:r>
        <w:t>GH BLOEM</w:t>
      </w:r>
    </w:p>
    <w:p w14:paraId="29226474" w14:textId="77777777" w:rsidR="00A91FF9" w:rsidRDefault="00A91FF9" w:rsidP="00A91FF9">
      <w:pPr>
        <w:widowControl w:val="0"/>
        <w:tabs>
          <w:tab w:val="left" w:pos="4536"/>
          <w:tab w:val="right" w:pos="8640"/>
          <w:tab w:val="right" w:pos="9781"/>
        </w:tabs>
        <w:spacing w:line="276" w:lineRule="auto"/>
        <w:ind w:left="851" w:hanging="851"/>
        <w:jc w:val="both"/>
      </w:pPr>
      <w:r>
        <w:t>Judge of the High Court</w:t>
      </w:r>
    </w:p>
    <w:p w14:paraId="27748C16" w14:textId="77777777" w:rsidR="00A91FF9" w:rsidRDefault="00A91FF9" w:rsidP="00A91FF9">
      <w:pPr>
        <w:widowControl w:val="0"/>
        <w:tabs>
          <w:tab w:val="left" w:pos="4536"/>
          <w:tab w:val="right" w:pos="8640"/>
          <w:tab w:val="right" w:pos="9781"/>
        </w:tabs>
        <w:ind w:left="851" w:hanging="851"/>
        <w:jc w:val="both"/>
      </w:pPr>
    </w:p>
    <w:p w14:paraId="3D2EE895" w14:textId="699E1AF7" w:rsidR="00A91FF9" w:rsidRDefault="00A91FF9" w:rsidP="00A91FF9">
      <w:pPr>
        <w:widowControl w:val="0"/>
        <w:tabs>
          <w:tab w:val="left" w:pos="4536"/>
          <w:tab w:val="right" w:pos="8640"/>
          <w:tab w:val="right" w:pos="9781"/>
        </w:tabs>
        <w:ind w:left="851" w:hanging="851"/>
        <w:jc w:val="both"/>
      </w:pPr>
    </w:p>
    <w:p w14:paraId="717D704F" w14:textId="0267A203" w:rsidR="00DF077A" w:rsidRDefault="00DF077A" w:rsidP="00A91FF9">
      <w:pPr>
        <w:widowControl w:val="0"/>
        <w:tabs>
          <w:tab w:val="left" w:pos="4536"/>
          <w:tab w:val="right" w:pos="8640"/>
          <w:tab w:val="right" w:pos="9781"/>
        </w:tabs>
        <w:ind w:left="851" w:hanging="851"/>
        <w:jc w:val="both"/>
      </w:pPr>
    </w:p>
    <w:p w14:paraId="5CBEF0FB" w14:textId="33E616BA" w:rsidR="00DF077A" w:rsidRDefault="00DF077A" w:rsidP="00A91FF9">
      <w:pPr>
        <w:widowControl w:val="0"/>
        <w:tabs>
          <w:tab w:val="left" w:pos="4536"/>
          <w:tab w:val="right" w:pos="8640"/>
          <w:tab w:val="right" w:pos="9781"/>
        </w:tabs>
        <w:ind w:left="851" w:hanging="851"/>
        <w:jc w:val="both"/>
      </w:pPr>
      <w:r>
        <w:t>Hartle J.</w:t>
      </w:r>
    </w:p>
    <w:p w14:paraId="1D029CD0" w14:textId="77777777" w:rsidR="00DF077A" w:rsidRDefault="00DF077A" w:rsidP="00A91FF9">
      <w:pPr>
        <w:widowControl w:val="0"/>
        <w:tabs>
          <w:tab w:val="left" w:pos="4536"/>
          <w:tab w:val="right" w:pos="8640"/>
          <w:tab w:val="right" w:pos="9781"/>
        </w:tabs>
        <w:ind w:left="851" w:hanging="851"/>
        <w:jc w:val="both"/>
      </w:pPr>
    </w:p>
    <w:p w14:paraId="4B9D65A2" w14:textId="4801AF92" w:rsidR="00A91FF9" w:rsidRDefault="00A91FF9" w:rsidP="00A91FF9">
      <w:pPr>
        <w:widowControl w:val="0"/>
        <w:tabs>
          <w:tab w:val="left" w:pos="4536"/>
          <w:tab w:val="right" w:pos="8640"/>
          <w:tab w:val="right" w:pos="9781"/>
        </w:tabs>
        <w:ind w:left="851" w:hanging="851"/>
        <w:jc w:val="both"/>
      </w:pPr>
      <w:r>
        <w:t>I agree.</w:t>
      </w:r>
    </w:p>
    <w:p w14:paraId="7050D8F5" w14:textId="06DC3EFF" w:rsidR="00A91FF9" w:rsidRDefault="00A91FF9" w:rsidP="00A91FF9">
      <w:pPr>
        <w:widowControl w:val="0"/>
        <w:tabs>
          <w:tab w:val="left" w:pos="4536"/>
          <w:tab w:val="right" w:pos="8640"/>
          <w:tab w:val="right" w:pos="9781"/>
        </w:tabs>
        <w:ind w:left="851" w:hanging="851"/>
        <w:jc w:val="both"/>
      </w:pPr>
    </w:p>
    <w:p w14:paraId="4A697642" w14:textId="703B4797" w:rsidR="00376087" w:rsidRDefault="00376087" w:rsidP="00A91FF9">
      <w:pPr>
        <w:widowControl w:val="0"/>
        <w:tabs>
          <w:tab w:val="left" w:pos="4536"/>
          <w:tab w:val="right" w:pos="8640"/>
          <w:tab w:val="right" w:pos="9781"/>
        </w:tabs>
        <w:ind w:left="851" w:hanging="851"/>
        <w:jc w:val="both"/>
      </w:pPr>
    </w:p>
    <w:p w14:paraId="2D365821" w14:textId="77777777" w:rsidR="00376087" w:rsidRDefault="00376087" w:rsidP="00A91FF9">
      <w:pPr>
        <w:widowControl w:val="0"/>
        <w:tabs>
          <w:tab w:val="left" w:pos="4536"/>
          <w:tab w:val="right" w:pos="8640"/>
          <w:tab w:val="right" w:pos="9781"/>
        </w:tabs>
        <w:ind w:left="851" w:hanging="851"/>
        <w:jc w:val="both"/>
      </w:pPr>
    </w:p>
    <w:p w14:paraId="2F8455EB" w14:textId="77777777" w:rsidR="00A91FF9" w:rsidRDefault="00A91FF9" w:rsidP="00A91FF9">
      <w:pPr>
        <w:widowControl w:val="0"/>
        <w:tabs>
          <w:tab w:val="left" w:pos="4536"/>
          <w:tab w:val="right" w:pos="8640"/>
          <w:tab w:val="right" w:pos="9781"/>
        </w:tabs>
        <w:spacing w:line="360" w:lineRule="auto"/>
        <w:ind w:left="851" w:hanging="851"/>
        <w:jc w:val="both"/>
      </w:pPr>
      <w:r>
        <w:t xml:space="preserve">_________________________ </w:t>
      </w:r>
    </w:p>
    <w:p w14:paraId="655E4F26" w14:textId="46E7DAB7" w:rsidR="00DF077A" w:rsidRDefault="00DF077A" w:rsidP="00A91FF9">
      <w:pPr>
        <w:widowControl w:val="0"/>
        <w:tabs>
          <w:tab w:val="left" w:pos="4536"/>
          <w:tab w:val="right" w:pos="8640"/>
          <w:tab w:val="right" w:pos="9781"/>
        </w:tabs>
        <w:spacing w:line="276" w:lineRule="auto"/>
        <w:ind w:left="851" w:hanging="851"/>
        <w:jc w:val="both"/>
      </w:pPr>
      <w:r>
        <w:t>B HARTLE</w:t>
      </w:r>
    </w:p>
    <w:p w14:paraId="07ED137F" w14:textId="0EB8DF61" w:rsidR="00A91FF9" w:rsidRDefault="00A91FF9" w:rsidP="00A91FF9">
      <w:pPr>
        <w:widowControl w:val="0"/>
        <w:tabs>
          <w:tab w:val="left" w:pos="4536"/>
          <w:tab w:val="right" w:pos="8640"/>
          <w:tab w:val="right" w:pos="9781"/>
        </w:tabs>
        <w:spacing w:line="276" w:lineRule="auto"/>
        <w:ind w:left="851" w:hanging="851"/>
        <w:jc w:val="both"/>
      </w:pPr>
      <w:r>
        <w:t>Judge of the High Court</w:t>
      </w:r>
    </w:p>
    <w:p w14:paraId="68A0186D" w14:textId="77777777" w:rsidR="00A91FF9" w:rsidRDefault="00A91FF9" w:rsidP="00A91FF9">
      <w:pPr>
        <w:widowControl w:val="0"/>
        <w:tabs>
          <w:tab w:val="left" w:pos="4536"/>
          <w:tab w:val="right" w:pos="8640"/>
          <w:tab w:val="right" w:pos="9781"/>
        </w:tabs>
        <w:ind w:left="851" w:hanging="851"/>
        <w:jc w:val="both"/>
      </w:pPr>
    </w:p>
    <w:p w14:paraId="60D5FD50" w14:textId="77777777" w:rsidR="00A91FF9" w:rsidRDefault="00A91FF9" w:rsidP="00A91FF9">
      <w:pPr>
        <w:widowControl w:val="0"/>
        <w:tabs>
          <w:tab w:val="left" w:pos="4536"/>
          <w:tab w:val="right" w:pos="8640"/>
          <w:tab w:val="right" w:pos="9781"/>
        </w:tabs>
        <w:ind w:left="851" w:hanging="851"/>
        <w:jc w:val="both"/>
      </w:pPr>
    </w:p>
    <w:p w14:paraId="0C63DF9A" w14:textId="77777777" w:rsidR="00A91FF9" w:rsidRDefault="00A91FF9" w:rsidP="00A91FF9">
      <w:pPr>
        <w:widowControl w:val="0"/>
        <w:tabs>
          <w:tab w:val="right" w:pos="8640"/>
          <w:tab w:val="right" w:pos="9781"/>
        </w:tabs>
        <w:spacing w:before="240"/>
        <w:ind w:left="3969" w:hanging="3969"/>
        <w:jc w:val="both"/>
      </w:pPr>
    </w:p>
    <w:p w14:paraId="6E85BBE2" w14:textId="77777777" w:rsidR="00A91FF9" w:rsidRDefault="00A91FF9" w:rsidP="00A91FF9">
      <w:pPr>
        <w:widowControl w:val="0"/>
        <w:tabs>
          <w:tab w:val="right" w:pos="8640"/>
          <w:tab w:val="right" w:pos="9781"/>
        </w:tabs>
        <w:spacing w:before="240"/>
        <w:ind w:left="3969" w:hanging="3969"/>
        <w:jc w:val="both"/>
      </w:pPr>
    </w:p>
    <w:p w14:paraId="1B85BBFF" w14:textId="77777777" w:rsidR="00A91FF9" w:rsidRDefault="00A91FF9" w:rsidP="00A91FF9">
      <w:pPr>
        <w:widowControl w:val="0"/>
        <w:tabs>
          <w:tab w:val="right" w:pos="8640"/>
          <w:tab w:val="right" w:pos="9781"/>
        </w:tabs>
        <w:spacing w:before="240"/>
        <w:ind w:left="3969" w:hanging="3969"/>
        <w:jc w:val="both"/>
      </w:pPr>
    </w:p>
    <w:sectPr w:rsidR="00A91FF9" w:rsidSect="001A0371">
      <w:headerReference w:type="default" r:id="rId12"/>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041E" w14:textId="77777777" w:rsidR="009C4E79" w:rsidRDefault="009C4E79" w:rsidP="00D173CD">
      <w:r>
        <w:separator/>
      </w:r>
    </w:p>
  </w:endnote>
  <w:endnote w:type="continuationSeparator" w:id="0">
    <w:p w14:paraId="4077E203" w14:textId="77777777" w:rsidR="009C4E79" w:rsidRDefault="009C4E79" w:rsidP="00D1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3AD5" w14:textId="77777777" w:rsidR="009C4E79" w:rsidRDefault="009C4E79" w:rsidP="00D173CD">
      <w:r>
        <w:separator/>
      </w:r>
    </w:p>
  </w:footnote>
  <w:footnote w:type="continuationSeparator" w:id="0">
    <w:p w14:paraId="10A8CB54" w14:textId="77777777" w:rsidR="009C4E79" w:rsidRDefault="009C4E79" w:rsidP="00D173CD">
      <w:r>
        <w:continuationSeparator/>
      </w:r>
    </w:p>
  </w:footnote>
  <w:footnote w:id="1">
    <w:p w14:paraId="017EAFF9" w14:textId="166876C7" w:rsidR="00D173CD" w:rsidRPr="00D173CD" w:rsidRDefault="00D173CD" w:rsidP="00A94AD9">
      <w:pPr>
        <w:pStyle w:val="FootnoteText"/>
        <w:jc w:val="both"/>
        <w:rPr>
          <w:lang w:val="en-GB"/>
        </w:rPr>
      </w:pPr>
      <w:r>
        <w:rPr>
          <w:rStyle w:val="FootnoteReference"/>
        </w:rPr>
        <w:footnoteRef/>
      </w:r>
      <w:r>
        <w:t xml:space="preserve"> </w:t>
      </w:r>
      <w:r>
        <w:rPr>
          <w:lang w:val="en-GB"/>
        </w:rPr>
        <w:t>Section 266(</w:t>
      </w:r>
      <w:r w:rsidRPr="00A94AD9">
        <w:rPr>
          <w:i/>
          <w:lang w:val="en-GB"/>
        </w:rPr>
        <w:t>a</w:t>
      </w:r>
      <w:r>
        <w:rPr>
          <w:lang w:val="en-GB"/>
        </w:rPr>
        <w:t xml:space="preserve">) </w:t>
      </w:r>
      <w:r w:rsidR="00A94AD9">
        <w:rPr>
          <w:lang w:val="en-GB"/>
        </w:rPr>
        <w:t xml:space="preserve">of the Criminal Procedure Act 51 of 1977 </w:t>
      </w:r>
      <w:r>
        <w:rPr>
          <w:lang w:val="en-GB"/>
        </w:rPr>
        <w:t xml:space="preserve">provides that if the evidence on the charge of assault </w:t>
      </w:r>
      <w:r w:rsidR="00A94AD9">
        <w:rPr>
          <w:lang w:val="en-GB"/>
        </w:rPr>
        <w:t xml:space="preserve">with </w:t>
      </w:r>
      <w:r>
        <w:rPr>
          <w:lang w:val="en-GB"/>
        </w:rPr>
        <w:t xml:space="preserve">intent to do grievous bodily harm does not prove the offence of assault with intent to do grievous bodily harm, but the offence of common assault, the accused may be found guilty of common assault. </w:t>
      </w:r>
    </w:p>
  </w:footnote>
  <w:footnote w:id="2">
    <w:p w14:paraId="3FCA5A36" w14:textId="5A55F747" w:rsidR="00FD191C" w:rsidRPr="00FD191C" w:rsidRDefault="00FD191C" w:rsidP="00A94AD9">
      <w:pPr>
        <w:pStyle w:val="FootnoteText"/>
        <w:jc w:val="both"/>
        <w:rPr>
          <w:lang w:val="en-GB"/>
        </w:rPr>
      </w:pPr>
      <w:r>
        <w:rPr>
          <w:rStyle w:val="FootnoteReference"/>
        </w:rPr>
        <w:footnoteRef/>
      </w:r>
      <w:r>
        <w:t xml:space="preserve"> </w:t>
      </w:r>
      <w:r>
        <w:rPr>
          <w:i/>
          <w:lang w:val="en-GB"/>
        </w:rPr>
        <w:t>S v Zwezwe</w:t>
      </w:r>
      <w:r>
        <w:rPr>
          <w:lang w:val="en-GB"/>
        </w:rPr>
        <w:t xml:space="preserve"> 2006 </w:t>
      </w:r>
      <w:r w:rsidR="00A94AD9">
        <w:rPr>
          <w:lang w:val="en-GB"/>
        </w:rPr>
        <w:t>(</w:t>
      </w:r>
      <w:r>
        <w:rPr>
          <w:lang w:val="en-GB"/>
        </w:rPr>
        <w:t>2) SACR 599 (N) at 603b-c.</w:t>
      </w:r>
    </w:p>
  </w:footnote>
  <w:footnote w:id="3">
    <w:p w14:paraId="38AC878F" w14:textId="2459AFA9" w:rsidR="008D5EAD" w:rsidRPr="008D5EAD" w:rsidRDefault="008D5EAD">
      <w:pPr>
        <w:pStyle w:val="FootnoteText"/>
        <w:rPr>
          <w:lang w:val="en-GB"/>
        </w:rPr>
      </w:pPr>
      <w:r>
        <w:rPr>
          <w:rStyle w:val="FootnoteReference"/>
        </w:rPr>
        <w:footnoteRef/>
      </w:r>
      <w:r>
        <w:t xml:space="preserve"> </w:t>
      </w:r>
      <w:r>
        <w:rPr>
          <w:i/>
          <w:lang w:val="en-GB"/>
        </w:rPr>
        <w:t xml:space="preserve">S v R </w:t>
      </w:r>
      <w:r>
        <w:rPr>
          <w:lang w:val="en-GB"/>
        </w:rPr>
        <w:t>1998 (1) SACR 166 (W) at 171e-f.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18610"/>
      <w:docPartObj>
        <w:docPartGallery w:val="Page Numbers (Top of Page)"/>
        <w:docPartUnique/>
      </w:docPartObj>
    </w:sdtPr>
    <w:sdtEndPr>
      <w:rPr>
        <w:noProof/>
      </w:rPr>
    </w:sdtEndPr>
    <w:sdtContent>
      <w:p w14:paraId="6EA5C62D" w14:textId="29F61995" w:rsidR="00A91FF9" w:rsidRDefault="00A91FF9">
        <w:pPr>
          <w:pStyle w:val="Header"/>
          <w:jc w:val="right"/>
        </w:pPr>
        <w:r>
          <w:fldChar w:fldCharType="begin"/>
        </w:r>
        <w:r>
          <w:instrText xml:space="preserve"> PAGE   \* MERGEFORMAT </w:instrText>
        </w:r>
        <w:r>
          <w:fldChar w:fldCharType="separate"/>
        </w:r>
        <w:r w:rsidR="00F93B9A">
          <w:rPr>
            <w:noProof/>
          </w:rPr>
          <w:t>2</w:t>
        </w:r>
        <w:r>
          <w:rPr>
            <w:noProof/>
          </w:rPr>
          <w:fldChar w:fldCharType="end"/>
        </w:r>
      </w:p>
    </w:sdtContent>
  </w:sdt>
  <w:p w14:paraId="62221E1A" w14:textId="77777777" w:rsidR="00A91FF9" w:rsidRDefault="00A91F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0E91"/>
    <w:multiLevelType w:val="multilevel"/>
    <w:tmpl w:val="261C5950"/>
    <w:lvl w:ilvl="0">
      <w:start w:val="1"/>
      <w:numFmt w:val="decimal"/>
      <w:lvlText w:val="[%1]"/>
      <w:lvlJc w:val="left"/>
      <w:pPr>
        <w:tabs>
          <w:tab w:val="num" w:pos="1276"/>
        </w:tabs>
        <w:ind w:left="1276" w:hanging="1134"/>
      </w:pPr>
      <w:rPr>
        <w:rFonts w:hint="default"/>
        <w:i w:val="0"/>
        <w:iCs w:val="0"/>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B320F67"/>
    <w:multiLevelType w:val="hybridMultilevel"/>
    <w:tmpl w:val="39AA971E"/>
    <w:lvl w:ilvl="0" w:tplc="A6A205E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786F11D8"/>
    <w:multiLevelType w:val="hybridMultilevel"/>
    <w:tmpl w:val="5AF4A068"/>
    <w:lvl w:ilvl="0" w:tplc="B236558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22"/>
    <w:rsid w:val="000B0AEE"/>
    <w:rsid w:val="000B11A3"/>
    <w:rsid w:val="001A0371"/>
    <w:rsid w:val="001D4609"/>
    <w:rsid w:val="00376087"/>
    <w:rsid w:val="00426347"/>
    <w:rsid w:val="004F631E"/>
    <w:rsid w:val="00551CCB"/>
    <w:rsid w:val="00606663"/>
    <w:rsid w:val="006537B9"/>
    <w:rsid w:val="006C242B"/>
    <w:rsid w:val="00706DDE"/>
    <w:rsid w:val="007C14EB"/>
    <w:rsid w:val="00856031"/>
    <w:rsid w:val="008D5EAD"/>
    <w:rsid w:val="008E70A6"/>
    <w:rsid w:val="00946DBF"/>
    <w:rsid w:val="00951922"/>
    <w:rsid w:val="009C4E79"/>
    <w:rsid w:val="00A91FF9"/>
    <w:rsid w:val="00A94AD9"/>
    <w:rsid w:val="00B5508A"/>
    <w:rsid w:val="00CF6FAB"/>
    <w:rsid w:val="00D173CD"/>
    <w:rsid w:val="00DB19D3"/>
    <w:rsid w:val="00DE5DB4"/>
    <w:rsid w:val="00DF077A"/>
    <w:rsid w:val="00EC62C3"/>
    <w:rsid w:val="00F93B9A"/>
    <w:rsid w:val="00FA570A"/>
    <w:rsid w:val="00FA7E5B"/>
    <w:rsid w:val="00FD1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924"/>
  <w15:chartTrackingRefBased/>
  <w15:docId w15:val="{E827D4D1-7E90-428D-9A24-69E07E90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1922"/>
    <w:pPr>
      <w:spacing w:after="0" w:line="240" w:lineRule="auto"/>
    </w:pPr>
    <w:rPr>
      <w:rFonts w:ascii="Arial" w:eastAsia="Arial" w:hAnsi="Arial" w:cs="Arial"/>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519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1922"/>
    <w:rPr>
      <w:rFonts w:ascii="Arial" w:eastAsiaTheme="majorEastAsia" w:hAnsi="Arial" w:cstheme="majorBidi"/>
      <w:color w:val="595959" w:themeColor="text1" w:themeTint="A6"/>
      <w:spacing w:val="15"/>
      <w:sz w:val="28"/>
      <w:szCs w:val="28"/>
      <w:lang w:eastAsia="en-ZA"/>
    </w:rPr>
  </w:style>
  <w:style w:type="paragraph" w:styleId="Header">
    <w:name w:val="header"/>
    <w:basedOn w:val="Normal"/>
    <w:link w:val="HeaderChar"/>
    <w:uiPriority w:val="99"/>
    <w:unhideWhenUsed/>
    <w:rsid w:val="00951922"/>
    <w:pPr>
      <w:tabs>
        <w:tab w:val="center" w:pos="4320"/>
        <w:tab w:val="right" w:pos="8640"/>
      </w:tabs>
    </w:pPr>
    <w:rPr>
      <w:rFonts w:eastAsia="Times New Roman" w:cs="Times New Roman"/>
      <w:szCs w:val="20"/>
      <w:lang w:eastAsia="en-US"/>
    </w:rPr>
  </w:style>
  <w:style w:type="character" w:customStyle="1" w:styleId="HeaderChar">
    <w:name w:val="Header Char"/>
    <w:basedOn w:val="DefaultParagraphFont"/>
    <w:link w:val="Header"/>
    <w:uiPriority w:val="99"/>
    <w:rsid w:val="00951922"/>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D173CD"/>
    <w:rPr>
      <w:sz w:val="20"/>
      <w:szCs w:val="20"/>
    </w:rPr>
  </w:style>
  <w:style w:type="character" w:customStyle="1" w:styleId="FootnoteTextChar">
    <w:name w:val="Footnote Text Char"/>
    <w:basedOn w:val="DefaultParagraphFont"/>
    <w:link w:val="FootnoteText"/>
    <w:uiPriority w:val="99"/>
    <w:semiHidden/>
    <w:rsid w:val="00D173CD"/>
    <w:rPr>
      <w:rFonts w:ascii="Arial" w:eastAsia="Arial" w:hAnsi="Arial" w:cs="Arial"/>
      <w:sz w:val="20"/>
      <w:szCs w:val="20"/>
      <w:lang w:eastAsia="en-ZA"/>
    </w:rPr>
  </w:style>
  <w:style w:type="character" w:styleId="FootnoteReference">
    <w:name w:val="footnote reference"/>
    <w:basedOn w:val="DefaultParagraphFont"/>
    <w:uiPriority w:val="99"/>
    <w:semiHidden/>
    <w:unhideWhenUsed/>
    <w:rsid w:val="00D173CD"/>
    <w:rPr>
      <w:vertAlign w:val="superscript"/>
    </w:rPr>
  </w:style>
  <w:style w:type="paragraph" w:styleId="Footer">
    <w:name w:val="footer"/>
    <w:basedOn w:val="Normal"/>
    <w:link w:val="FooterChar"/>
    <w:uiPriority w:val="99"/>
    <w:unhideWhenUsed/>
    <w:rsid w:val="00A91FF9"/>
    <w:pPr>
      <w:tabs>
        <w:tab w:val="center" w:pos="4513"/>
        <w:tab w:val="right" w:pos="9026"/>
      </w:tabs>
    </w:pPr>
  </w:style>
  <w:style w:type="character" w:customStyle="1" w:styleId="FooterChar">
    <w:name w:val="Footer Char"/>
    <w:basedOn w:val="DefaultParagraphFont"/>
    <w:link w:val="Footer"/>
    <w:uiPriority w:val="99"/>
    <w:rsid w:val="00A91FF9"/>
    <w:rPr>
      <w:rFonts w:ascii="Arial" w:eastAsia="Arial" w:hAnsi="Arial" w:cs="Arial"/>
      <w:sz w:val="24"/>
      <w:szCs w:val="24"/>
      <w:lang w:eastAsia="en-ZA"/>
    </w:rPr>
  </w:style>
  <w:style w:type="paragraph" w:styleId="BalloonText">
    <w:name w:val="Balloon Text"/>
    <w:basedOn w:val="Normal"/>
    <w:link w:val="BalloonTextChar"/>
    <w:uiPriority w:val="99"/>
    <w:semiHidden/>
    <w:unhideWhenUsed/>
    <w:rsid w:val="00A91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9"/>
    <w:rPr>
      <w:rFonts w:ascii="Segoe UI" w:eastAsia="Arial" w:hAnsi="Segoe UI" w:cs="Segoe UI"/>
      <w:sz w:val="18"/>
      <w:szCs w:val="18"/>
      <w:lang w:eastAsia="en-ZA"/>
    </w:rPr>
  </w:style>
  <w:style w:type="paragraph" w:styleId="ListParagraph">
    <w:name w:val="List Paragraph"/>
    <w:basedOn w:val="Normal"/>
    <w:uiPriority w:val="34"/>
    <w:qFormat/>
    <w:rsid w:val="008D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5" ma:contentTypeDescription="Create a new document." ma:contentTypeScope="" ma:versionID="4a7e8e0406d57e46a48fa6da81269099">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a4c19cb58cf9e9bef4dc025e1d52144c" ns3:_="" ns4:_="">
    <xsd:import namespace="7803ae50-825d-4e06-9055-d98ed2079135"/>
    <xsd:import namespace="3acb1509-cbd2-408a-830c-c119568ad54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036C-F27A-4AA3-9A8D-5429F3D00A77}">
  <ds:schemaRefs>
    <ds:schemaRef ds:uri="http://schemas.microsoft.com/office/2006/metadata/properties"/>
    <ds:schemaRef ds:uri="http://schemas.microsoft.com/office/infopath/2007/PartnerControls"/>
    <ds:schemaRef ds:uri="7803ae50-825d-4e06-9055-d98ed2079135"/>
  </ds:schemaRefs>
</ds:datastoreItem>
</file>

<file path=customXml/itemProps2.xml><?xml version="1.0" encoding="utf-8"?>
<ds:datastoreItem xmlns:ds="http://schemas.openxmlformats.org/officeDocument/2006/customXml" ds:itemID="{7B935B47-36F1-4033-A16F-59BEE11E2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D31E4-C4C9-438D-8606-92FD5431853F}">
  <ds:schemaRefs>
    <ds:schemaRef ds:uri="http://schemas.microsoft.com/sharepoint/v3/contenttype/forms"/>
  </ds:schemaRefs>
</ds:datastoreItem>
</file>

<file path=customXml/itemProps4.xml><?xml version="1.0" encoding="utf-8"?>
<ds:datastoreItem xmlns:ds="http://schemas.openxmlformats.org/officeDocument/2006/customXml" ds:itemID="{3302FF2C-96FF-44EC-8641-09222EB1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Mary Bruce</cp:lastModifiedBy>
  <cp:revision>3</cp:revision>
  <cp:lastPrinted>2024-06-20T08:55:00Z</cp:lastPrinted>
  <dcterms:created xsi:type="dcterms:W3CDTF">2024-06-26T13:31:00Z</dcterms:created>
  <dcterms:modified xsi:type="dcterms:W3CDTF">2024-06-26T21:18:00Z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