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727B0" w14:textId="77777777" w:rsidR="00674AC8" w:rsidRDefault="00674AC8" w:rsidP="00674AC8">
      <w:pPr>
        <w:spacing w:line="480" w:lineRule="auto"/>
        <w:jc w:val="center"/>
        <w:rPr>
          <w:rFonts w:ascii="Arial" w:hAnsi="Arial" w:cs="Arial"/>
          <w:b/>
          <w:sz w:val="24"/>
          <w:szCs w:val="24"/>
        </w:rPr>
      </w:pPr>
      <w:bookmarkStart w:id="0" w:name="_GoBack"/>
      <w:bookmarkEnd w:id="0"/>
      <w:r>
        <w:rPr>
          <w:rFonts w:ascii="Arial" w:hAnsi="Arial" w:cs="Arial"/>
          <w:b/>
          <w:noProof/>
          <w:sz w:val="24"/>
          <w:szCs w:val="24"/>
          <w:lang w:eastAsia="en-ZA"/>
        </w:rPr>
        <w:drawing>
          <wp:inline distT="0" distB="0" distL="0" distR="0" wp14:anchorId="429D7062" wp14:editId="2CED3EFD">
            <wp:extent cx="1987550" cy="1652270"/>
            <wp:effectExtent l="0" t="0" r="0" b="5080"/>
            <wp:docPr id="4" name="Picture 4" descr="A logo of a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of a cou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Pr>
          <w:noProof/>
          <w:lang w:eastAsia="en-ZA"/>
        </w:rPr>
        <mc:AlternateContent>
          <mc:Choice Requires="wps">
            <w:drawing>
              <wp:inline distT="0" distB="0" distL="0" distR="0" wp14:anchorId="24962C28" wp14:editId="3028AF82">
                <wp:extent cx="301625" cy="301625"/>
                <wp:effectExtent l="0" t="0" r="0" b="0"/>
                <wp:docPr id="74438999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DEF539" id="Rectangle 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Pr>
          <w:noProof/>
          <w:lang w:eastAsia="en-ZA"/>
        </w:rPr>
        <mc:AlternateContent>
          <mc:Choice Requires="wps">
            <w:drawing>
              <wp:inline distT="0" distB="0" distL="0" distR="0" wp14:anchorId="23E1D1D0" wp14:editId="293AEC42">
                <wp:extent cx="301625" cy="301625"/>
                <wp:effectExtent l="0" t="0" r="0" b="0"/>
                <wp:docPr id="260873388"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1BB040" id="Rectangl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4E9FB505" w14:textId="77777777" w:rsidR="006E71CD" w:rsidRPr="002322FF" w:rsidRDefault="006E71CD" w:rsidP="006E71CD">
      <w:pPr>
        <w:ind w:right="-613"/>
        <w:rPr>
          <w:rFonts w:ascii="Arial" w:hAnsi="Arial" w:cs="Arial"/>
          <w:b/>
          <w:sz w:val="24"/>
          <w:szCs w:val="24"/>
        </w:rPr>
      </w:pPr>
      <w:r>
        <w:rPr>
          <w:rFonts w:ascii="Arial" w:hAnsi="Arial" w:cs="Arial"/>
          <w:b/>
          <w:sz w:val="24"/>
          <w:szCs w:val="24"/>
        </w:rPr>
        <w:t xml:space="preserve">                                 </w:t>
      </w:r>
      <w:r w:rsidRPr="002322FF">
        <w:rPr>
          <w:rFonts w:ascii="Arial" w:hAnsi="Arial" w:cs="Arial"/>
          <w:b/>
          <w:sz w:val="24"/>
          <w:szCs w:val="24"/>
        </w:rPr>
        <w:t>IN THE HIGH COURT OF SOUTH AFRICA</w:t>
      </w:r>
      <w:r>
        <w:rPr>
          <w:rFonts w:ascii="Arial" w:hAnsi="Arial" w:cs="Arial"/>
          <w:b/>
          <w:sz w:val="24"/>
          <w:szCs w:val="24"/>
        </w:rPr>
        <w:t xml:space="preserve">            </w:t>
      </w:r>
      <w:r w:rsidRPr="001C7088">
        <w:rPr>
          <w:rFonts w:ascii="Times New Roman" w:hAnsi="Times New Roman" w:cs="Times New Roman"/>
          <w:b/>
          <w:sz w:val="28"/>
          <w:szCs w:val="28"/>
          <w:bdr w:val="single" w:sz="4" w:space="0" w:color="auto"/>
          <w:lang w:val="en-GB"/>
        </w:rPr>
        <w:t>REPORTABLE</w:t>
      </w:r>
    </w:p>
    <w:p w14:paraId="0C0F50F2" w14:textId="77777777" w:rsidR="00674AC8" w:rsidRPr="002322FF" w:rsidRDefault="00674AC8" w:rsidP="00674AC8">
      <w:pPr>
        <w:spacing w:after="0" w:line="360" w:lineRule="auto"/>
        <w:jc w:val="center"/>
        <w:rPr>
          <w:rFonts w:ascii="Arial" w:hAnsi="Arial" w:cs="Arial"/>
          <w:b/>
          <w:sz w:val="24"/>
          <w:szCs w:val="24"/>
        </w:rPr>
      </w:pPr>
      <w:r w:rsidRPr="002322FF">
        <w:rPr>
          <w:rFonts w:ascii="Arial" w:hAnsi="Arial" w:cs="Arial"/>
          <w:b/>
          <w:sz w:val="24"/>
          <w:szCs w:val="24"/>
        </w:rPr>
        <w:t xml:space="preserve">(EASTERN CAPE DIVISION, </w:t>
      </w:r>
      <w:r>
        <w:rPr>
          <w:rFonts w:ascii="Arial" w:hAnsi="Arial" w:cs="Arial"/>
          <w:b/>
          <w:sz w:val="24"/>
          <w:szCs w:val="24"/>
        </w:rPr>
        <w:t>GQEBERHA</w:t>
      </w:r>
      <w:r w:rsidRPr="002322FF">
        <w:rPr>
          <w:rFonts w:ascii="Arial" w:hAnsi="Arial" w:cs="Arial"/>
          <w:b/>
          <w:sz w:val="24"/>
          <w:szCs w:val="24"/>
        </w:rPr>
        <w:t>)</w:t>
      </w:r>
    </w:p>
    <w:p w14:paraId="42A1037E" w14:textId="77777777" w:rsidR="00674AC8" w:rsidRDefault="00674AC8" w:rsidP="00674AC8">
      <w:pPr>
        <w:pStyle w:val="GW11"/>
        <w:tabs>
          <w:tab w:val="clear" w:pos="6048"/>
          <w:tab w:val="left" w:pos="4820"/>
          <w:tab w:val="left" w:pos="9071"/>
        </w:tabs>
        <w:spacing w:line="240" w:lineRule="auto"/>
        <w:ind w:right="-45"/>
        <w:jc w:val="righ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t xml:space="preserve">     </w:t>
      </w:r>
    </w:p>
    <w:p w14:paraId="360FDFBA" w14:textId="1A77F4F7" w:rsidR="00674AC8" w:rsidRPr="005E0A83" w:rsidRDefault="00674AC8" w:rsidP="00674AC8">
      <w:pPr>
        <w:pStyle w:val="GW11"/>
        <w:tabs>
          <w:tab w:val="clear" w:pos="6048"/>
          <w:tab w:val="left" w:pos="4820"/>
          <w:tab w:val="left" w:pos="9071"/>
        </w:tabs>
        <w:spacing w:line="240" w:lineRule="auto"/>
        <w:ind w:right="-45"/>
        <w:jc w:val="right"/>
        <w:rPr>
          <w:rFonts w:ascii="Arial" w:hAnsi="Arial" w:cs="Arial"/>
          <w:szCs w:val="24"/>
        </w:rPr>
      </w:pPr>
      <w:r w:rsidRPr="005E0A83">
        <w:rPr>
          <w:rFonts w:ascii="Arial" w:hAnsi="Arial" w:cs="Arial"/>
          <w:szCs w:val="24"/>
        </w:rPr>
        <w:t xml:space="preserve">Case No. </w:t>
      </w:r>
      <w:r>
        <w:rPr>
          <w:rFonts w:ascii="Arial" w:hAnsi="Arial" w:cs="Arial"/>
          <w:szCs w:val="24"/>
        </w:rPr>
        <w:t>33</w:t>
      </w:r>
      <w:r w:rsidR="00794A04">
        <w:rPr>
          <w:rFonts w:ascii="Arial" w:hAnsi="Arial" w:cs="Arial"/>
          <w:szCs w:val="24"/>
        </w:rPr>
        <w:t>57/2022</w:t>
      </w:r>
    </w:p>
    <w:p w14:paraId="1A06AC14" w14:textId="77777777" w:rsidR="00674AC8" w:rsidRPr="005E0A83" w:rsidRDefault="00674AC8" w:rsidP="00674AC8">
      <w:pPr>
        <w:pStyle w:val="GW11"/>
        <w:tabs>
          <w:tab w:val="clear" w:pos="4464"/>
          <w:tab w:val="clear" w:pos="6048"/>
          <w:tab w:val="left" w:pos="4820"/>
          <w:tab w:val="left" w:pos="5103"/>
          <w:tab w:val="left" w:pos="9071"/>
        </w:tabs>
        <w:ind w:left="720" w:right="-45"/>
        <w:jc w:val="lef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r>
    </w:p>
    <w:p w14:paraId="0D043603" w14:textId="77777777" w:rsidR="00674AC8" w:rsidRPr="005E0A83" w:rsidRDefault="00674AC8" w:rsidP="00674AC8">
      <w:pPr>
        <w:pStyle w:val="GW11"/>
        <w:tabs>
          <w:tab w:val="clear" w:pos="4464"/>
          <w:tab w:val="clear" w:pos="6048"/>
          <w:tab w:val="left" w:pos="4820"/>
          <w:tab w:val="left" w:pos="5103"/>
          <w:tab w:val="left" w:pos="9071"/>
        </w:tabs>
        <w:ind w:right="-45"/>
        <w:jc w:val="left"/>
        <w:rPr>
          <w:rFonts w:ascii="Arial" w:hAnsi="Arial" w:cs="Arial"/>
          <w:szCs w:val="24"/>
        </w:rPr>
      </w:pPr>
      <w:r w:rsidRPr="005E0A83">
        <w:rPr>
          <w:rFonts w:ascii="Arial" w:hAnsi="Arial" w:cs="Arial"/>
          <w:szCs w:val="24"/>
        </w:rPr>
        <w:t>In the matter between:-</w:t>
      </w:r>
    </w:p>
    <w:p w14:paraId="7598D426" w14:textId="77777777" w:rsidR="00674AC8" w:rsidRPr="005E0A83" w:rsidRDefault="00674AC8" w:rsidP="00674AC8">
      <w:pPr>
        <w:pStyle w:val="GW11"/>
        <w:rPr>
          <w:rFonts w:ascii="Arial" w:hAnsi="Arial" w:cs="Arial"/>
          <w:szCs w:val="24"/>
        </w:rPr>
      </w:pPr>
    </w:p>
    <w:p w14:paraId="030FA574" w14:textId="212D5EDE" w:rsidR="00674AC8" w:rsidRDefault="00794A04" w:rsidP="00674AC8">
      <w:pPr>
        <w:pStyle w:val="GW12"/>
        <w:tabs>
          <w:tab w:val="clear" w:pos="6048"/>
          <w:tab w:val="clear" w:pos="8640"/>
          <w:tab w:val="left" w:pos="4820"/>
          <w:tab w:val="right" w:pos="8931"/>
        </w:tabs>
        <w:ind w:right="-46"/>
        <w:jc w:val="left"/>
        <w:rPr>
          <w:rFonts w:ascii="Arial" w:hAnsi="Arial" w:cs="Arial"/>
          <w:b/>
          <w:szCs w:val="24"/>
        </w:rPr>
      </w:pPr>
      <w:r>
        <w:rPr>
          <w:rFonts w:ascii="Arial" w:hAnsi="Arial" w:cs="Arial"/>
          <w:b/>
          <w:szCs w:val="24"/>
        </w:rPr>
        <w:t>HOMELY PROPERTY AND B</w:t>
      </w:r>
      <w:r w:rsidR="00492CB8">
        <w:rPr>
          <w:rFonts w:ascii="Arial" w:hAnsi="Arial" w:cs="Arial"/>
          <w:b/>
          <w:szCs w:val="24"/>
        </w:rPr>
        <w:t>N</w:t>
      </w:r>
      <w:r>
        <w:rPr>
          <w:rFonts w:ascii="Arial" w:hAnsi="Arial" w:cs="Arial"/>
          <w:b/>
          <w:szCs w:val="24"/>
        </w:rPr>
        <w:t>B (PTY) LTD</w:t>
      </w:r>
      <w:r w:rsidR="00674AC8">
        <w:rPr>
          <w:rFonts w:ascii="Arial" w:hAnsi="Arial" w:cs="Arial"/>
          <w:b/>
          <w:szCs w:val="24"/>
        </w:rPr>
        <w:t xml:space="preserve">                                </w:t>
      </w:r>
      <w:r>
        <w:rPr>
          <w:rFonts w:ascii="Arial" w:hAnsi="Arial" w:cs="Arial"/>
          <w:b/>
          <w:szCs w:val="24"/>
        </w:rPr>
        <w:t xml:space="preserve"> </w:t>
      </w:r>
      <w:r w:rsidR="00674AC8">
        <w:rPr>
          <w:rFonts w:ascii="Arial" w:hAnsi="Arial" w:cs="Arial"/>
          <w:b/>
          <w:szCs w:val="24"/>
        </w:rPr>
        <w:t xml:space="preserve"> </w:t>
      </w:r>
      <w:r w:rsidR="00674AC8">
        <w:rPr>
          <w:rFonts w:ascii="Arial" w:hAnsi="Arial" w:cs="Arial"/>
          <w:bCs/>
          <w:szCs w:val="24"/>
        </w:rPr>
        <w:t>Applicant</w:t>
      </w:r>
      <w:r>
        <w:rPr>
          <w:rFonts w:ascii="Arial" w:hAnsi="Arial" w:cs="Arial"/>
          <w:bCs/>
          <w:szCs w:val="24"/>
        </w:rPr>
        <w:t>/Defendant</w:t>
      </w:r>
    </w:p>
    <w:p w14:paraId="0A4AF922" w14:textId="77777777" w:rsidR="00674AC8" w:rsidRDefault="00674AC8" w:rsidP="00674AC8">
      <w:pPr>
        <w:pStyle w:val="GW12"/>
        <w:tabs>
          <w:tab w:val="clear" w:pos="6048"/>
          <w:tab w:val="clear" w:pos="8640"/>
          <w:tab w:val="left" w:pos="4820"/>
          <w:tab w:val="right" w:pos="8931"/>
        </w:tabs>
        <w:ind w:right="-46"/>
        <w:jc w:val="left"/>
        <w:rPr>
          <w:rFonts w:ascii="Arial" w:hAnsi="Arial" w:cs="Arial"/>
          <w:b/>
          <w:szCs w:val="24"/>
        </w:rPr>
      </w:pPr>
    </w:p>
    <w:p w14:paraId="79444459" w14:textId="77777777" w:rsidR="00674AC8" w:rsidRPr="000E7F54" w:rsidRDefault="00674AC8" w:rsidP="00674AC8">
      <w:pPr>
        <w:pStyle w:val="GW12"/>
        <w:tabs>
          <w:tab w:val="clear" w:pos="6048"/>
          <w:tab w:val="clear" w:pos="8640"/>
          <w:tab w:val="left" w:pos="4820"/>
          <w:tab w:val="right" w:pos="8931"/>
        </w:tabs>
        <w:ind w:right="-46"/>
        <w:jc w:val="left"/>
        <w:rPr>
          <w:rFonts w:ascii="Arial" w:hAnsi="Arial" w:cs="Arial"/>
          <w:bCs/>
          <w:szCs w:val="24"/>
        </w:rPr>
      </w:pPr>
      <w:r w:rsidRPr="000E7F54">
        <w:rPr>
          <w:rFonts w:ascii="Arial" w:hAnsi="Arial" w:cs="Arial"/>
          <w:bCs/>
          <w:szCs w:val="24"/>
        </w:rPr>
        <w:t>and</w:t>
      </w:r>
    </w:p>
    <w:p w14:paraId="4AFF079A" w14:textId="77777777" w:rsidR="00674AC8" w:rsidRDefault="00674AC8" w:rsidP="00674AC8">
      <w:pPr>
        <w:pStyle w:val="GW12"/>
        <w:tabs>
          <w:tab w:val="clear" w:pos="6048"/>
          <w:tab w:val="clear" w:pos="8640"/>
          <w:tab w:val="left" w:pos="4820"/>
          <w:tab w:val="right" w:pos="8931"/>
        </w:tabs>
        <w:ind w:right="-46"/>
        <w:jc w:val="left"/>
        <w:rPr>
          <w:rFonts w:ascii="Arial" w:hAnsi="Arial" w:cs="Arial"/>
          <w:b/>
          <w:szCs w:val="24"/>
        </w:rPr>
      </w:pPr>
    </w:p>
    <w:p w14:paraId="34D384A0" w14:textId="6CBC5FD5" w:rsidR="00674AC8" w:rsidRDefault="00794A04" w:rsidP="00674AC8">
      <w:pPr>
        <w:pStyle w:val="GW12"/>
        <w:tabs>
          <w:tab w:val="clear" w:pos="6048"/>
          <w:tab w:val="clear" w:pos="8640"/>
          <w:tab w:val="left" w:pos="4820"/>
          <w:tab w:val="right" w:pos="8931"/>
        </w:tabs>
        <w:ind w:right="-46"/>
        <w:jc w:val="left"/>
        <w:rPr>
          <w:rFonts w:ascii="Arial" w:hAnsi="Arial" w:cs="Arial"/>
          <w:b/>
          <w:szCs w:val="24"/>
        </w:rPr>
      </w:pPr>
      <w:r>
        <w:rPr>
          <w:rFonts w:ascii="Arial" w:hAnsi="Arial" w:cs="Arial"/>
          <w:b/>
          <w:szCs w:val="24"/>
        </w:rPr>
        <w:t>TIMBER SHAVINGS CC</w:t>
      </w:r>
      <w:r w:rsidR="00674AC8">
        <w:rPr>
          <w:rFonts w:ascii="Arial" w:hAnsi="Arial" w:cs="Arial"/>
          <w:b/>
          <w:szCs w:val="24"/>
        </w:rPr>
        <w:tab/>
      </w:r>
      <w:r w:rsidR="00674AC8">
        <w:rPr>
          <w:rFonts w:ascii="Arial" w:hAnsi="Arial" w:cs="Arial"/>
          <w:b/>
          <w:szCs w:val="24"/>
        </w:rPr>
        <w:tab/>
        <w:t xml:space="preserve">  </w:t>
      </w:r>
      <w:r w:rsidR="00674AC8">
        <w:rPr>
          <w:rFonts w:ascii="Arial" w:hAnsi="Arial" w:cs="Arial"/>
          <w:b/>
          <w:szCs w:val="24"/>
        </w:rPr>
        <w:tab/>
        <w:t xml:space="preserve">    </w:t>
      </w:r>
      <w:r>
        <w:rPr>
          <w:rFonts w:ascii="Arial" w:hAnsi="Arial" w:cs="Arial"/>
          <w:bCs/>
          <w:szCs w:val="24"/>
        </w:rPr>
        <w:t>Respondent/Plaintiff</w:t>
      </w:r>
    </w:p>
    <w:p w14:paraId="5ABBD6BE" w14:textId="77777777" w:rsidR="00674AC8" w:rsidRPr="005E0A83" w:rsidRDefault="00674AC8" w:rsidP="00674AC8">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732A26E3" w14:textId="77777777" w:rsidR="00674AC8" w:rsidRPr="005E0A83" w:rsidRDefault="00674AC8" w:rsidP="00674AC8">
      <w:pPr>
        <w:pStyle w:val="GW13"/>
        <w:tabs>
          <w:tab w:val="clear" w:pos="8640"/>
        </w:tabs>
        <w:spacing w:line="240" w:lineRule="auto"/>
        <w:ind w:right="-45"/>
        <w:jc w:val="center"/>
        <w:rPr>
          <w:rFonts w:ascii="Arial" w:hAnsi="Arial" w:cs="Arial"/>
          <w:b/>
          <w:szCs w:val="24"/>
        </w:rPr>
      </w:pPr>
    </w:p>
    <w:p w14:paraId="3322D9F0" w14:textId="77777777" w:rsidR="00674AC8" w:rsidRPr="005E0A83" w:rsidRDefault="00674AC8" w:rsidP="00674AC8">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JUDGMENT</w:t>
      </w:r>
    </w:p>
    <w:p w14:paraId="5B0F8F3F" w14:textId="77777777" w:rsidR="00674AC8" w:rsidRPr="005E0A83" w:rsidRDefault="00674AC8" w:rsidP="00674AC8">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___________________________________________________________________</w:t>
      </w:r>
    </w:p>
    <w:p w14:paraId="7EF75387" w14:textId="77777777" w:rsidR="00674AC8" w:rsidRPr="005E0A83" w:rsidRDefault="00674AC8" w:rsidP="00674AC8">
      <w:pPr>
        <w:pStyle w:val="GW13"/>
        <w:tabs>
          <w:tab w:val="clear" w:pos="8640"/>
          <w:tab w:val="right" w:pos="9072"/>
        </w:tabs>
        <w:spacing w:line="480" w:lineRule="auto"/>
        <w:ind w:right="-46"/>
        <w:rPr>
          <w:rFonts w:ascii="Arial" w:hAnsi="Arial" w:cs="Arial"/>
          <w:b/>
          <w:szCs w:val="24"/>
        </w:rPr>
      </w:pPr>
    </w:p>
    <w:p w14:paraId="714C549B" w14:textId="77777777" w:rsidR="00674AC8" w:rsidRDefault="00674AC8" w:rsidP="00674AC8">
      <w:pPr>
        <w:pStyle w:val="GW13"/>
        <w:tabs>
          <w:tab w:val="clear" w:pos="8640"/>
          <w:tab w:val="right" w:pos="9072"/>
        </w:tabs>
        <w:spacing w:line="480" w:lineRule="auto"/>
        <w:ind w:right="-46"/>
        <w:rPr>
          <w:rFonts w:ascii="Arial" w:hAnsi="Arial" w:cs="Arial"/>
          <w:b/>
          <w:szCs w:val="24"/>
        </w:rPr>
      </w:pPr>
      <w:r w:rsidRPr="005E0A83">
        <w:rPr>
          <w:rFonts w:ascii="Arial" w:hAnsi="Arial" w:cs="Arial"/>
          <w:b/>
          <w:szCs w:val="24"/>
        </w:rPr>
        <w:t>BANDS J:</w:t>
      </w:r>
    </w:p>
    <w:p w14:paraId="5218F4F3" w14:textId="77777777" w:rsidR="005C7468" w:rsidRDefault="005C7468" w:rsidP="00674AC8">
      <w:pPr>
        <w:pStyle w:val="GW13"/>
        <w:tabs>
          <w:tab w:val="clear" w:pos="8640"/>
          <w:tab w:val="right" w:pos="9072"/>
        </w:tabs>
        <w:spacing w:line="480" w:lineRule="auto"/>
        <w:ind w:right="-46"/>
        <w:rPr>
          <w:rFonts w:ascii="Arial" w:hAnsi="Arial" w:cs="Arial"/>
          <w:b/>
          <w:szCs w:val="24"/>
        </w:rPr>
      </w:pPr>
    </w:p>
    <w:p w14:paraId="157BD060" w14:textId="7C451F1F" w:rsidR="00A265E4"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005C7468" w:rsidRPr="0031127F">
        <w:rPr>
          <w:rFonts w:ascii="Arial" w:hAnsi="Arial" w:cs="Arial"/>
          <w:sz w:val="24"/>
          <w:szCs w:val="24"/>
        </w:rPr>
        <w:t>Pursuant to pending trial proceedings instituted under case number 3357/2022, the defendant, as applicant in this application, seeks an order directing the plaintiff, as respondent, to furnish security for the defendant’s costs in the trial action</w:t>
      </w:r>
      <w:r w:rsidR="00D651DA" w:rsidRPr="0031127F">
        <w:rPr>
          <w:rFonts w:ascii="Arial" w:hAnsi="Arial" w:cs="Arial"/>
          <w:sz w:val="24"/>
          <w:szCs w:val="24"/>
        </w:rPr>
        <w:t xml:space="preserve"> in accordance with the provisions of section 8 of the Close Corporations Act 69 of 1984 (“</w:t>
      </w:r>
      <w:r w:rsidR="00D651DA" w:rsidRPr="0031127F">
        <w:rPr>
          <w:rFonts w:ascii="Arial" w:hAnsi="Arial" w:cs="Arial"/>
          <w:i/>
          <w:iCs/>
          <w:sz w:val="24"/>
          <w:szCs w:val="24"/>
        </w:rPr>
        <w:t>the Act</w:t>
      </w:r>
      <w:r w:rsidR="00D651DA" w:rsidRPr="0031127F">
        <w:rPr>
          <w:rFonts w:ascii="Arial" w:hAnsi="Arial" w:cs="Arial"/>
          <w:sz w:val="24"/>
          <w:szCs w:val="24"/>
        </w:rPr>
        <w:t>”)</w:t>
      </w:r>
      <w:r w:rsidR="005C7468" w:rsidRPr="0031127F">
        <w:rPr>
          <w:rFonts w:ascii="Arial" w:hAnsi="Arial" w:cs="Arial"/>
          <w:sz w:val="24"/>
          <w:szCs w:val="24"/>
        </w:rPr>
        <w:t xml:space="preserve">.  </w:t>
      </w:r>
    </w:p>
    <w:p w14:paraId="735FB54F" w14:textId="77777777" w:rsidR="00A265E4" w:rsidRDefault="00A265E4" w:rsidP="00A265E4">
      <w:pPr>
        <w:pStyle w:val="ListParagraph"/>
        <w:spacing w:after="0" w:line="480" w:lineRule="auto"/>
        <w:ind w:left="0"/>
        <w:jc w:val="both"/>
        <w:rPr>
          <w:rFonts w:ascii="Arial" w:hAnsi="Arial" w:cs="Arial"/>
          <w:sz w:val="24"/>
          <w:szCs w:val="24"/>
        </w:rPr>
      </w:pPr>
    </w:p>
    <w:p w14:paraId="48C36CF0" w14:textId="77777777" w:rsidR="00BC0A9E" w:rsidRPr="00A131C1" w:rsidRDefault="00BC0A9E" w:rsidP="005D5CB5">
      <w:pPr>
        <w:pStyle w:val="ListParagraph"/>
        <w:spacing w:after="0" w:line="360" w:lineRule="auto"/>
        <w:ind w:left="0"/>
        <w:jc w:val="both"/>
        <w:rPr>
          <w:rFonts w:ascii="Arial" w:hAnsi="Arial" w:cs="Arial"/>
          <w:b/>
          <w:bCs/>
          <w:i/>
          <w:iCs/>
          <w:sz w:val="24"/>
          <w:szCs w:val="24"/>
        </w:rPr>
      </w:pPr>
      <w:r w:rsidRPr="00A131C1">
        <w:rPr>
          <w:rFonts w:ascii="Arial" w:hAnsi="Arial" w:cs="Arial"/>
          <w:b/>
          <w:bCs/>
          <w:i/>
          <w:iCs/>
          <w:sz w:val="24"/>
          <w:szCs w:val="24"/>
        </w:rPr>
        <w:t>Applicable legal principles</w:t>
      </w:r>
    </w:p>
    <w:p w14:paraId="0C370EAE" w14:textId="77777777" w:rsidR="00BC0A9E" w:rsidRDefault="00BC0A9E" w:rsidP="005D5CB5">
      <w:pPr>
        <w:pStyle w:val="ListParagraph"/>
        <w:spacing w:after="0" w:line="360" w:lineRule="auto"/>
        <w:ind w:left="0"/>
        <w:jc w:val="both"/>
        <w:rPr>
          <w:rFonts w:ascii="Arial" w:hAnsi="Arial" w:cs="Arial"/>
          <w:sz w:val="24"/>
          <w:szCs w:val="24"/>
        </w:rPr>
      </w:pPr>
    </w:p>
    <w:p w14:paraId="373AD45F" w14:textId="0DB9E303" w:rsidR="00BC0A9E" w:rsidRPr="0031127F" w:rsidRDefault="0031127F" w:rsidP="0031127F">
      <w:pPr>
        <w:spacing w:after="0" w:line="360" w:lineRule="auto"/>
        <w:jc w:val="both"/>
        <w:rPr>
          <w:rFonts w:ascii="Arial"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00BC0A9E" w:rsidRPr="0031127F">
        <w:rPr>
          <w:rFonts w:ascii="Arial" w:hAnsi="Arial" w:cs="Arial"/>
          <w:sz w:val="24"/>
          <w:szCs w:val="24"/>
        </w:rPr>
        <w:t xml:space="preserve">Section 8 of the Act reads as follows: </w:t>
      </w:r>
    </w:p>
    <w:p w14:paraId="66F20BF6" w14:textId="77777777" w:rsidR="00BC0A9E" w:rsidRDefault="00BC0A9E" w:rsidP="007D695B">
      <w:pPr>
        <w:pStyle w:val="ListParagraph"/>
        <w:spacing w:after="0" w:line="360" w:lineRule="auto"/>
        <w:rPr>
          <w:rFonts w:ascii="Arial" w:hAnsi="Arial" w:cs="Arial"/>
          <w:sz w:val="24"/>
          <w:szCs w:val="24"/>
        </w:rPr>
      </w:pPr>
    </w:p>
    <w:p w14:paraId="6EC1D932" w14:textId="77777777" w:rsidR="00BC0A9E" w:rsidRPr="0010520A" w:rsidRDefault="00BC0A9E" w:rsidP="00BC0A9E">
      <w:pPr>
        <w:pStyle w:val="ListParagraph"/>
        <w:spacing w:after="0" w:line="360" w:lineRule="auto"/>
        <w:jc w:val="both"/>
        <w:rPr>
          <w:rFonts w:ascii="Arial" w:hAnsi="Arial" w:cs="Arial"/>
        </w:rPr>
      </w:pPr>
      <w:r w:rsidRPr="0010520A">
        <w:rPr>
          <w:rFonts w:ascii="Arial" w:hAnsi="Arial" w:cs="Arial"/>
        </w:rPr>
        <w:t>"</w:t>
      </w:r>
      <w:r w:rsidRPr="0010520A">
        <w:rPr>
          <w:rFonts w:ascii="Arial" w:hAnsi="Arial" w:cs="Arial"/>
          <w:i/>
          <w:iCs/>
        </w:rPr>
        <w:t>When a corporation in any legal proceedings is a plaintiff or applicant or brings a     counterclaim or counterapplication, the court concerned may at any time during the proceedings if it appears that there is reason to believe that the corporation or, if it is being wound up, the liquidator thereof, will be unable to pay the costs of the defendant or respondent, or the defendant or respondent in reconvention, if he is successful in his defence, require security to be given for those costs, and may stay all proceedings till the security is given.</w:t>
      </w:r>
      <w:r w:rsidRPr="0010520A">
        <w:rPr>
          <w:rFonts w:ascii="Arial" w:hAnsi="Arial" w:cs="Arial"/>
        </w:rPr>
        <w:t>”</w:t>
      </w:r>
    </w:p>
    <w:p w14:paraId="1DB64488" w14:textId="77777777" w:rsidR="00BC0A9E" w:rsidRDefault="00BC0A9E" w:rsidP="007D695B">
      <w:pPr>
        <w:pStyle w:val="ListParagraph"/>
        <w:spacing w:after="0" w:line="480" w:lineRule="auto"/>
        <w:ind w:left="0"/>
        <w:jc w:val="both"/>
        <w:rPr>
          <w:rFonts w:ascii="Arial" w:hAnsi="Arial" w:cs="Arial"/>
          <w:sz w:val="24"/>
          <w:szCs w:val="24"/>
        </w:rPr>
      </w:pPr>
    </w:p>
    <w:p w14:paraId="746FE880" w14:textId="46353321" w:rsidR="00BC0A9E"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BC0A9E" w:rsidRPr="0031127F">
        <w:rPr>
          <w:rFonts w:ascii="Arial" w:hAnsi="Arial" w:cs="Arial"/>
          <w:sz w:val="24"/>
          <w:szCs w:val="24"/>
        </w:rPr>
        <w:t>The provisions of section 8 of the Act have been interpreted in accordance with the principles which developed in relation to the, now repealed, corresponding provision in the Companies Act, 61 of 1973</w:t>
      </w:r>
      <w:r w:rsidR="00101E5E" w:rsidRPr="0031127F">
        <w:rPr>
          <w:rFonts w:ascii="Arial" w:hAnsi="Arial" w:cs="Arial"/>
          <w:sz w:val="24"/>
          <w:szCs w:val="24"/>
        </w:rPr>
        <w:t>;</w:t>
      </w:r>
      <w:r w:rsidR="00BC0A9E" w:rsidRPr="0031127F">
        <w:rPr>
          <w:rFonts w:ascii="Arial" w:hAnsi="Arial" w:cs="Arial"/>
          <w:sz w:val="24"/>
          <w:szCs w:val="24"/>
        </w:rPr>
        <w:t xml:space="preserve"> section 13.  Notwithstanding the omission of a counterpart from the new Companies Act, 71 of 2008, the jurisprudence, insofar as it relates to section 8 of the Act, remains </w:t>
      </w:r>
      <w:r w:rsidR="00A101F2" w:rsidRPr="0031127F">
        <w:rPr>
          <w:rFonts w:ascii="Arial" w:hAnsi="Arial" w:cs="Arial"/>
          <w:sz w:val="24"/>
          <w:szCs w:val="24"/>
        </w:rPr>
        <w:t>applicable</w:t>
      </w:r>
      <w:r w:rsidR="00BC0A9E" w:rsidRPr="0031127F">
        <w:rPr>
          <w:rFonts w:ascii="Arial" w:hAnsi="Arial" w:cs="Arial"/>
          <w:sz w:val="24"/>
          <w:szCs w:val="24"/>
        </w:rPr>
        <w:t>.</w:t>
      </w:r>
    </w:p>
    <w:p w14:paraId="04376134" w14:textId="77777777" w:rsidR="00BC0A9E" w:rsidRDefault="00BC0A9E" w:rsidP="00BC0A9E">
      <w:pPr>
        <w:pStyle w:val="ListParagraph"/>
        <w:spacing w:after="0" w:line="480" w:lineRule="auto"/>
        <w:ind w:left="0"/>
        <w:jc w:val="both"/>
        <w:rPr>
          <w:rFonts w:ascii="Arial" w:hAnsi="Arial" w:cs="Arial"/>
          <w:sz w:val="24"/>
          <w:szCs w:val="24"/>
        </w:rPr>
      </w:pPr>
    </w:p>
    <w:p w14:paraId="5B98AE2D" w14:textId="23FD7A7E" w:rsidR="005D5CB5"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[4]</w:t>
      </w:r>
      <w:r>
        <w:rPr>
          <w:rFonts w:ascii="Arial" w:eastAsia="Times New Roman" w:hAnsi="Arial" w:cs="Arial"/>
          <w:sz w:val="24"/>
          <w:szCs w:val="24"/>
        </w:rPr>
        <w:tab/>
      </w:r>
      <w:r w:rsidR="00BC0A9E" w:rsidRPr="0031127F">
        <w:rPr>
          <w:rFonts w:ascii="Arial" w:hAnsi="Arial" w:cs="Arial"/>
          <w:sz w:val="24"/>
          <w:szCs w:val="24"/>
        </w:rPr>
        <w:t xml:space="preserve">Ultimately, section 8 </w:t>
      </w:r>
      <w:r w:rsidR="002F141E" w:rsidRPr="0031127F">
        <w:rPr>
          <w:rFonts w:ascii="Arial" w:hAnsi="Arial" w:cs="Arial"/>
          <w:sz w:val="24"/>
          <w:szCs w:val="24"/>
        </w:rPr>
        <w:t xml:space="preserve">of the Act </w:t>
      </w:r>
      <w:r w:rsidR="00BC0A9E" w:rsidRPr="0031127F">
        <w:rPr>
          <w:rFonts w:ascii="Arial" w:hAnsi="Arial" w:cs="Arial"/>
          <w:sz w:val="24"/>
          <w:szCs w:val="24"/>
        </w:rPr>
        <w:t>creates a statutory exception to the ordinary common-law rule that a plaintiff who resides in South Africa, may institute legal proceedings in our courts without furnishing security,</w:t>
      </w:r>
      <w:r w:rsidR="00BC0A9E">
        <w:rPr>
          <w:rStyle w:val="FootnoteReference"/>
          <w:rFonts w:ascii="Arial" w:hAnsi="Arial" w:cs="Arial"/>
          <w:sz w:val="24"/>
          <w:szCs w:val="24"/>
        </w:rPr>
        <w:footnoteReference w:id="1"/>
      </w:r>
      <w:r w:rsidR="00BC0A9E" w:rsidRPr="0031127F">
        <w:rPr>
          <w:rFonts w:ascii="Arial" w:hAnsi="Arial" w:cs="Arial"/>
          <w:sz w:val="24"/>
          <w:szCs w:val="24"/>
        </w:rPr>
        <w:t xml:space="preserve"> as laid down in </w:t>
      </w:r>
      <w:r w:rsidR="00BC0A9E" w:rsidRPr="0031127F">
        <w:rPr>
          <w:rFonts w:ascii="Arial" w:hAnsi="Arial" w:cs="Arial"/>
          <w:i/>
          <w:iCs/>
          <w:sz w:val="24"/>
          <w:szCs w:val="24"/>
        </w:rPr>
        <w:t>Witham v Venables</w:t>
      </w:r>
      <w:r w:rsidR="00BC0A9E" w:rsidRPr="0031127F">
        <w:rPr>
          <w:rFonts w:ascii="Arial" w:hAnsi="Arial" w:cs="Arial"/>
          <w:sz w:val="24"/>
          <w:szCs w:val="24"/>
        </w:rPr>
        <w:t>.</w:t>
      </w:r>
      <w:r w:rsidR="00BC0A9E">
        <w:rPr>
          <w:rStyle w:val="FootnoteReference"/>
          <w:rFonts w:ascii="Arial" w:hAnsi="Arial" w:cs="Arial"/>
          <w:sz w:val="24"/>
          <w:szCs w:val="24"/>
        </w:rPr>
        <w:footnoteReference w:id="2"/>
      </w:r>
      <w:r w:rsidR="00BC0A9E" w:rsidRPr="0031127F">
        <w:rPr>
          <w:rFonts w:ascii="Arial" w:hAnsi="Arial" w:cs="Arial"/>
          <w:sz w:val="24"/>
          <w:szCs w:val="24"/>
        </w:rPr>
        <w:t xml:space="preserve">  </w:t>
      </w:r>
    </w:p>
    <w:p w14:paraId="53CD42EC" w14:textId="493C7847" w:rsidR="00BC0A9E" w:rsidRDefault="00BC0A9E" w:rsidP="00D174F8">
      <w:pPr>
        <w:pStyle w:val="ListParagraph"/>
        <w:spacing w:after="0" w:line="360" w:lineRule="auto"/>
        <w:jc w:val="both"/>
        <w:rPr>
          <w:rFonts w:ascii="Arial" w:hAnsi="Arial" w:cs="Arial"/>
          <w:sz w:val="24"/>
          <w:szCs w:val="24"/>
        </w:rPr>
      </w:pPr>
    </w:p>
    <w:p w14:paraId="3794077F" w14:textId="7E6052DC" w:rsidR="00BC0A9E"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lastRenderedPageBreak/>
        <w:t>[5]</w:t>
      </w:r>
      <w:r>
        <w:rPr>
          <w:rFonts w:ascii="Arial" w:eastAsia="Times New Roman" w:hAnsi="Arial" w:cs="Arial"/>
          <w:sz w:val="24"/>
          <w:szCs w:val="24"/>
        </w:rPr>
        <w:tab/>
      </w:r>
      <w:r w:rsidR="00BC0A9E" w:rsidRPr="0031127F">
        <w:rPr>
          <w:rFonts w:ascii="Arial" w:hAnsi="Arial" w:cs="Arial"/>
          <w:sz w:val="24"/>
          <w:szCs w:val="24"/>
        </w:rPr>
        <w:t xml:space="preserve">The Constitutional Court, in </w:t>
      </w:r>
      <w:r w:rsidR="00BC0A9E" w:rsidRPr="0031127F">
        <w:rPr>
          <w:rFonts w:ascii="Arial" w:hAnsi="Arial" w:cs="Arial"/>
          <w:i/>
          <w:iCs/>
          <w:sz w:val="24"/>
          <w:szCs w:val="24"/>
        </w:rPr>
        <w:t>Giddey NO v JC Barnard and Partners</w:t>
      </w:r>
      <w:r w:rsidR="00BC0A9E" w:rsidRPr="0031127F">
        <w:rPr>
          <w:rFonts w:ascii="Arial" w:hAnsi="Arial" w:cs="Arial"/>
          <w:sz w:val="24"/>
          <w:szCs w:val="24"/>
        </w:rPr>
        <w:t>,</w:t>
      </w:r>
      <w:r w:rsidR="00BC0A9E">
        <w:rPr>
          <w:rStyle w:val="FootnoteReference"/>
          <w:rFonts w:ascii="Arial" w:hAnsi="Arial" w:cs="Arial"/>
          <w:sz w:val="24"/>
          <w:szCs w:val="24"/>
        </w:rPr>
        <w:footnoteReference w:id="3"/>
      </w:r>
      <w:r w:rsidR="00BC0A9E" w:rsidRPr="0031127F">
        <w:rPr>
          <w:rFonts w:ascii="Arial" w:hAnsi="Arial" w:cs="Arial"/>
          <w:sz w:val="24"/>
          <w:szCs w:val="24"/>
        </w:rPr>
        <w:t xml:space="preserve"> in considering the purpose of section 13 of Act 61 of 1973, with the view to clarify the proper application of the statutory provision, stated as follows:</w:t>
      </w:r>
    </w:p>
    <w:p w14:paraId="578B993D" w14:textId="77777777" w:rsidR="00BC0A9E" w:rsidRPr="008773EA" w:rsidRDefault="00BC0A9E" w:rsidP="00BC0A9E">
      <w:pPr>
        <w:pStyle w:val="ListParagraph"/>
        <w:spacing w:after="0" w:line="360" w:lineRule="auto"/>
        <w:jc w:val="both"/>
        <w:rPr>
          <w:rFonts w:ascii="Arial" w:hAnsi="Arial" w:cs="Arial"/>
        </w:rPr>
      </w:pPr>
      <w:r w:rsidRPr="008773EA">
        <w:rPr>
          <w:rFonts w:ascii="Arial" w:hAnsi="Arial" w:cs="Arial"/>
        </w:rPr>
        <w:t>“</w:t>
      </w:r>
      <w:r w:rsidRPr="008773EA">
        <w:rPr>
          <w:rFonts w:ascii="Arial" w:hAnsi="Arial" w:cs="Arial"/>
          <w:i/>
          <w:iCs/>
        </w:rPr>
        <w:t>A salutary effect of the ordinary rule of costs – that unsuccessful litigants must pay the costs of their opponents – is to deter would-be plaintiffs from instituting proceedings vexatiously or in circumstances where their prospects of success are poor. Where a limited liability company will be unable to pay its debts, that salutary effect may well be attenuated. Thus the main purpose of section 13 is to ensure that companies, who are unlikely to be able to pay costs and therefore not effectively at risk of an adverse costs order if unsuccessful, do not institute litigation vexatiously or in circumstances where they have no prospects of success thus causing their opponents unnecessary and irrecoverable legal expense.</w:t>
      </w:r>
      <w:r>
        <w:rPr>
          <w:rFonts w:ascii="Arial" w:hAnsi="Arial" w:cs="Arial"/>
        </w:rPr>
        <w:t>”</w:t>
      </w:r>
      <w:r w:rsidRPr="008773EA">
        <w:rPr>
          <w:rFonts w:ascii="Arial" w:hAnsi="Arial" w:cs="Arial"/>
        </w:rPr>
        <w:t xml:space="preserve"> </w:t>
      </w:r>
    </w:p>
    <w:p w14:paraId="2182ABA7" w14:textId="77777777" w:rsidR="00BC0A9E" w:rsidRDefault="00BC0A9E" w:rsidP="00BC0A9E">
      <w:pPr>
        <w:pStyle w:val="ListParagraph"/>
        <w:spacing w:after="0" w:line="480" w:lineRule="auto"/>
        <w:ind w:left="0"/>
        <w:jc w:val="both"/>
        <w:rPr>
          <w:rFonts w:ascii="Arial" w:hAnsi="Arial" w:cs="Arial"/>
          <w:sz w:val="24"/>
          <w:szCs w:val="24"/>
        </w:rPr>
      </w:pPr>
    </w:p>
    <w:p w14:paraId="2CFFEE20" w14:textId="426FAACB" w:rsidR="00BC0A9E"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[6]</w:t>
      </w:r>
      <w:r>
        <w:rPr>
          <w:rFonts w:ascii="Arial" w:eastAsia="Times New Roman" w:hAnsi="Arial" w:cs="Arial"/>
          <w:sz w:val="24"/>
          <w:szCs w:val="24"/>
        </w:rPr>
        <w:tab/>
      </w:r>
      <w:r w:rsidR="00BC0A9E" w:rsidRPr="0031127F">
        <w:rPr>
          <w:rFonts w:ascii="Arial" w:hAnsi="Arial" w:cs="Arial"/>
          <w:sz w:val="24"/>
          <w:szCs w:val="24"/>
        </w:rPr>
        <w:t>The court, when approaching an application of this nature, adopts a two-stage enquiry.  In the initial stage, the applicant bears the onus of establishing that there is reason to believe that the corporation, if unsuccessful, would be unable to satisfy an adverse costs order.</w:t>
      </w:r>
      <w:r w:rsidR="00BC0A9E">
        <w:rPr>
          <w:rStyle w:val="FootnoteReference"/>
          <w:rFonts w:ascii="Arial" w:hAnsi="Arial" w:cs="Arial"/>
          <w:sz w:val="24"/>
          <w:szCs w:val="24"/>
        </w:rPr>
        <w:footnoteReference w:id="4"/>
      </w:r>
      <w:r w:rsidR="00BC0A9E" w:rsidRPr="0031127F">
        <w:rPr>
          <w:rFonts w:ascii="Arial" w:hAnsi="Arial" w:cs="Arial"/>
          <w:sz w:val="24"/>
          <w:szCs w:val="24"/>
        </w:rPr>
        <w:t xml:space="preserve">  Whilst the onus that an applicant bears is not to establish that the respondent will, as a fact, be unable to pay its/his/her costs,</w:t>
      </w:r>
      <w:r w:rsidR="00BC0A9E">
        <w:rPr>
          <w:rStyle w:val="FootnoteReference"/>
          <w:rFonts w:ascii="Arial" w:hAnsi="Arial" w:cs="Arial"/>
          <w:sz w:val="24"/>
          <w:szCs w:val="24"/>
        </w:rPr>
        <w:footnoteReference w:id="5"/>
      </w:r>
      <w:r w:rsidR="00BC0A9E" w:rsidRPr="0031127F">
        <w:rPr>
          <w:rFonts w:ascii="Arial" w:hAnsi="Arial" w:cs="Arial"/>
          <w:sz w:val="24"/>
          <w:szCs w:val="24"/>
        </w:rPr>
        <w:t xml:space="preserve"> such reason to believe must be constituted by facts giving rise to such belief as highlighted by the court in </w:t>
      </w:r>
      <w:r w:rsidR="00BC0A9E" w:rsidRPr="0031127F">
        <w:rPr>
          <w:rFonts w:ascii="Arial" w:hAnsi="Arial" w:cs="Arial"/>
          <w:i/>
          <w:iCs/>
          <w:sz w:val="24"/>
          <w:szCs w:val="24"/>
        </w:rPr>
        <w:t>Vumba Intertrade CC v Geometric Intertrade CC</w:t>
      </w:r>
      <w:r w:rsidR="00BC0A9E" w:rsidRPr="0031127F">
        <w:rPr>
          <w:rFonts w:ascii="Arial" w:hAnsi="Arial" w:cs="Arial"/>
          <w:sz w:val="24"/>
          <w:szCs w:val="24"/>
        </w:rPr>
        <w:t>,</w:t>
      </w:r>
      <w:r w:rsidR="00BC0A9E">
        <w:rPr>
          <w:rStyle w:val="FootnoteReference"/>
          <w:rFonts w:ascii="Arial" w:hAnsi="Arial" w:cs="Arial"/>
          <w:sz w:val="24"/>
          <w:szCs w:val="24"/>
        </w:rPr>
        <w:footnoteReference w:id="6"/>
      </w:r>
      <w:r w:rsidR="00BC0A9E" w:rsidRPr="0031127F">
        <w:rPr>
          <w:rFonts w:ascii="Arial" w:hAnsi="Arial" w:cs="Arial"/>
          <w:sz w:val="24"/>
          <w:szCs w:val="24"/>
        </w:rPr>
        <w:t xml:space="preserve"> with reference to </w:t>
      </w:r>
      <w:r w:rsidR="00BC0A9E" w:rsidRPr="0031127F">
        <w:rPr>
          <w:rFonts w:ascii="Arial" w:hAnsi="Arial" w:cs="Arial"/>
          <w:i/>
          <w:iCs/>
          <w:sz w:val="24"/>
          <w:szCs w:val="24"/>
        </w:rPr>
        <w:t>London Estates (Pty) Ltd v Nair.</w:t>
      </w:r>
      <w:r w:rsidR="00BC0A9E" w:rsidRPr="00247B43">
        <w:rPr>
          <w:rStyle w:val="FootnoteReference"/>
          <w:rFonts w:ascii="Arial" w:hAnsi="Arial" w:cs="Arial"/>
          <w:sz w:val="24"/>
          <w:szCs w:val="24"/>
        </w:rPr>
        <w:footnoteReference w:id="7"/>
      </w:r>
      <w:r w:rsidR="00BC0A9E" w:rsidRPr="0031127F">
        <w:rPr>
          <w:rFonts w:ascii="Arial" w:hAnsi="Arial" w:cs="Arial"/>
          <w:sz w:val="24"/>
          <w:szCs w:val="24"/>
        </w:rPr>
        <w:t xml:space="preserve">  A blind belief</w:t>
      </w:r>
      <w:r w:rsidR="00BC0A9E">
        <w:rPr>
          <w:rStyle w:val="FootnoteReference"/>
          <w:rFonts w:ascii="Arial" w:hAnsi="Arial" w:cs="Arial"/>
          <w:sz w:val="24"/>
          <w:szCs w:val="24"/>
        </w:rPr>
        <w:footnoteReference w:id="8"/>
      </w:r>
      <w:r w:rsidR="00BC0A9E" w:rsidRPr="0031127F">
        <w:rPr>
          <w:rFonts w:ascii="Arial" w:hAnsi="Arial" w:cs="Arial"/>
          <w:sz w:val="24"/>
          <w:szCs w:val="24"/>
        </w:rPr>
        <w:t xml:space="preserve"> or a belief which has its foundation in “</w:t>
      </w:r>
      <w:r w:rsidR="00BC0A9E" w:rsidRPr="0031127F">
        <w:rPr>
          <w:rFonts w:ascii="Arial" w:hAnsi="Arial" w:cs="Arial"/>
          <w:i/>
          <w:iCs/>
          <w:sz w:val="24"/>
          <w:szCs w:val="24"/>
        </w:rPr>
        <w:t xml:space="preserve">hearsay evidence as a reasonable man ought or could not give credence to, does not </w:t>
      </w:r>
      <w:r w:rsidR="00BC0A9E" w:rsidRPr="0031127F">
        <w:rPr>
          <w:rFonts w:ascii="Arial" w:hAnsi="Arial" w:cs="Arial"/>
          <w:i/>
          <w:iCs/>
          <w:sz w:val="24"/>
          <w:szCs w:val="24"/>
        </w:rPr>
        <w:lastRenderedPageBreak/>
        <w:t>suffice.</w:t>
      </w:r>
      <w:r w:rsidR="00BC0A9E" w:rsidRPr="0031127F">
        <w:rPr>
          <w:rFonts w:ascii="Arial" w:hAnsi="Arial" w:cs="Arial"/>
          <w:sz w:val="24"/>
          <w:szCs w:val="24"/>
        </w:rPr>
        <w:t>”  During this stage, there exists no onus on the corporation to adduce facts for the purposes of satisfying the court of the converse, namely, that it will be able to meet such an order against it.  Where an applicant is unable to discharge the onus on it/him/her, the enquiry comes to an end and the application must fail.  However, if the court is satisfied that the applicant has successfully discharged the onus, the court, during the second stage of the enquiry must decide, in the exercise of its discretion, whether or not to order the corporation to furnish security.</w:t>
      </w:r>
      <w:r w:rsidR="00BC0A9E">
        <w:rPr>
          <w:rStyle w:val="FootnoteReference"/>
          <w:rFonts w:ascii="Arial" w:hAnsi="Arial" w:cs="Arial"/>
          <w:sz w:val="24"/>
          <w:szCs w:val="24"/>
        </w:rPr>
        <w:footnoteReference w:id="9"/>
      </w:r>
      <w:r w:rsidR="00BC0A9E" w:rsidRPr="0031127F">
        <w:rPr>
          <w:rFonts w:ascii="Arial" w:hAnsi="Arial" w:cs="Arial"/>
          <w:sz w:val="24"/>
          <w:szCs w:val="24"/>
        </w:rPr>
        <w:t xml:space="preserve">  </w:t>
      </w:r>
    </w:p>
    <w:p w14:paraId="104151F9" w14:textId="77777777" w:rsidR="007825B4" w:rsidRDefault="007825B4" w:rsidP="007825B4">
      <w:pPr>
        <w:pStyle w:val="ListParagraph"/>
        <w:spacing w:after="0" w:line="480" w:lineRule="auto"/>
        <w:ind w:left="0"/>
        <w:jc w:val="both"/>
        <w:rPr>
          <w:rFonts w:ascii="Arial" w:hAnsi="Arial" w:cs="Arial"/>
          <w:sz w:val="24"/>
          <w:szCs w:val="24"/>
        </w:rPr>
      </w:pPr>
    </w:p>
    <w:p w14:paraId="715F0DE6" w14:textId="17A88441" w:rsidR="00BC0A9E"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BC0A9E" w:rsidRPr="0031127F">
        <w:rPr>
          <w:rFonts w:ascii="Arial" w:hAnsi="Arial" w:cs="Arial"/>
          <w:sz w:val="24"/>
          <w:szCs w:val="24"/>
        </w:rPr>
        <w:t>Simply put, once the requirements of section 8</w:t>
      </w:r>
      <w:r w:rsidR="007F23FD" w:rsidRPr="0031127F">
        <w:rPr>
          <w:rFonts w:ascii="Arial" w:hAnsi="Arial" w:cs="Arial"/>
          <w:sz w:val="24"/>
          <w:szCs w:val="24"/>
        </w:rPr>
        <w:t xml:space="preserve"> of the Act</w:t>
      </w:r>
      <w:r w:rsidR="00BC0A9E" w:rsidRPr="0031127F">
        <w:rPr>
          <w:rFonts w:ascii="Arial" w:hAnsi="Arial" w:cs="Arial"/>
          <w:sz w:val="24"/>
          <w:szCs w:val="24"/>
        </w:rPr>
        <w:t xml:space="preserve"> have been met, the granting of the relief is discretionary.  </w:t>
      </w:r>
    </w:p>
    <w:p w14:paraId="66A52D4F" w14:textId="77777777" w:rsidR="00BC0A9E" w:rsidRDefault="00BC0A9E" w:rsidP="00BC0A9E">
      <w:pPr>
        <w:pStyle w:val="ListParagraph"/>
        <w:spacing w:after="0" w:line="480" w:lineRule="auto"/>
        <w:ind w:left="0"/>
        <w:jc w:val="both"/>
        <w:rPr>
          <w:rFonts w:ascii="Arial" w:hAnsi="Arial" w:cs="Arial"/>
          <w:sz w:val="24"/>
          <w:szCs w:val="24"/>
        </w:rPr>
      </w:pPr>
    </w:p>
    <w:p w14:paraId="69C81A2C" w14:textId="44290CA3" w:rsidR="00BC0A9E"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[8]</w:t>
      </w:r>
      <w:r>
        <w:rPr>
          <w:rFonts w:ascii="Arial" w:eastAsia="Times New Roman" w:hAnsi="Arial" w:cs="Arial"/>
          <w:sz w:val="24"/>
          <w:szCs w:val="24"/>
        </w:rPr>
        <w:tab/>
      </w:r>
      <w:r w:rsidR="00BC0A9E" w:rsidRPr="0031127F">
        <w:rPr>
          <w:rFonts w:ascii="Arial" w:hAnsi="Arial" w:cs="Arial"/>
          <w:sz w:val="24"/>
          <w:szCs w:val="24"/>
        </w:rPr>
        <w:t>The discretion with which the court is vested, in applications for security for costs, is a strict or true discretion, and accordingly there is no numerous clausus of factors to which the court may have regard, in arriving at a decision it considers to be just in the circumstances of each case.</w:t>
      </w:r>
      <w:r w:rsidR="00BC0A9E">
        <w:rPr>
          <w:rStyle w:val="FootnoteReference"/>
          <w:rFonts w:ascii="Arial" w:hAnsi="Arial" w:cs="Arial"/>
          <w:sz w:val="24"/>
          <w:szCs w:val="24"/>
        </w:rPr>
        <w:footnoteReference w:id="10"/>
      </w:r>
      <w:r w:rsidR="00BC0A9E" w:rsidRPr="0031127F">
        <w:rPr>
          <w:rFonts w:ascii="Arial" w:hAnsi="Arial" w:cs="Arial"/>
          <w:sz w:val="24"/>
          <w:szCs w:val="24"/>
        </w:rPr>
        <w:t xml:space="preserve">  Such discretion should be unfettered and accordingly, an application for security of costs should not be approached with any predisposition towards the grant or refusal of the relief.  Hefer JA, in coming to this conclusion in </w:t>
      </w:r>
      <w:r w:rsidR="00BC0A9E" w:rsidRPr="0031127F">
        <w:rPr>
          <w:rFonts w:ascii="Arial" w:hAnsi="Arial" w:cs="Arial"/>
          <w:i/>
          <w:iCs/>
          <w:sz w:val="24"/>
          <w:szCs w:val="24"/>
        </w:rPr>
        <w:t>Shepstone &amp; Wylie and Others v Geyser N.O.</w:t>
      </w:r>
      <w:r w:rsidR="00BC0A9E" w:rsidRPr="0031127F">
        <w:rPr>
          <w:rFonts w:ascii="Arial" w:hAnsi="Arial" w:cs="Arial"/>
          <w:sz w:val="24"/>
          <w:szCs w:val="24"/>
        </w:rPr>
        <w:t>,</w:t>
      </w:r>
      <w:r w:rsidR="00BC0A9E">
        <w:rPr>
          <w:rStyle w:val="FootnoteReference"/>
          <w:rFonts w:ascii="Arial" w:hAnsi="Arial" w:cs="Arial"/>
          <w:sz w:val="24"/>
          <w:szCs w:val="24"/>
        </w:rPr>
        <w:footnoteReference w:id="11"/>
      </w:r>
      <w:r w:rsidR="00BC0A9E" w:rsidRPr="0031127F">
        <w:rPr>
          <w:rFonts w:ascii="Arial" w:hAnsi="Arial" w:cs="Arial"/>
          <w:sz w:val="24"/>
          <w:szCs w:val="24"/>
        </w:rPr>
        <w:t xml:space="preserve"> which concerned an application in terms of section 13 of the Companies Act 61 of 1973, endorsed the </w:t>
      </w:r>
      <w:r w:rsidR="00BC0A9E" w:rsidRPr="0031127F">
        <w:rPr>
          <w:rFonts w:ascii="Arial" w:hAnsi="Arial" w:cs="Arial"/>
          <w:sz w:val="24"/>
          <w:szCs w:val="24"/>
        </w:rPr>
        <w:lastRenderedPageBreak/>
        <w:t xml:space="preserve">approach articulated in </w:t>
      </w:r>
      <w:r w:rsidR="00BC0A9E" w:rsidRPr="0031127F">
        <w:rPr>
          <w:rFonts w:ascii="Arial" w:hAnsi="Arial" w:cs="Arial"/>
          <w:i/>
          <w:iCs/>
          <w:sz w:val="24"/>
          <w:szCs w:val="24"/>
        </w:rPr>
        <w:t>Keary Developments Ltd v Tarmac Construction Ltd and Another</w:t>
      </w:r>
      <w:r w:rsidR="00BC0A9E" w:rsidRPr="0031127F">
        <w:rPr>
          <w:rFonts w:ascii="Arial" w:hAnsi="Arial" w:cs="Arial"/>
          <w:sz w:val="24"/>
          <w:szCs w:val="24"/>
        </w:rPr>
        <w:t xml:space="preserve"> as follows:</w:t>
      </w:r>
      <w:r w:rsidR="00BC0A9E">
        <w:rPr>
          <w:rStyle w:val="FootnoteReference"/>
          <w:rFonts w:ascii="Arial" w:hAnsi="Arial" w:cs="Arial"/>
          <w:sz w:val="24"/>
          <w:szCs w:val="24"/>
        </w:rPr>
        <w:footnoteReference w:id="12"/>
      </w:r>
    </w:p>
    <w:p w14:paraId="3CA0E818" w14:textId="77777777" w:rsidR="00BC0A9E" w:rsidRPr="002E78B7" w:rsidRDefault="00BC0A9E" w:rsidP="00BC0A9E">
      <w:pPr>
        <w:pStyle w:val="ListParagraph"/>
        <w:rPr>
          <w:rFonts w:ascii="Arial" w:hAnsi="Arial" w:cs="Arial"/>
          <w:sz w:val="24"/>
          <w:szCs w:val="24"/>
        </w:rPr>
      </w:pPr>
    </w:p>
    <w:p w14:paraId="03F4BFF5" w14:textId="77777777" w:rsidR="00BC0A9E" w:rsidRPr="008D7007" w:rsidRDefault="00BC0A9E" w:rsidP="00BC0A9E">
      <w:pPr>
        <w:pStyle w:val="ListParagraph"/>
        <w:spacing w:after="0" w:line="360" w:lineRule="auto"/>
        <w:jc w:val="both"/>
        <w:rPr>
          <w:rFonts w:ascii="Arial" w:hAnsi="Arial" w:cs="Arial"/>
          <w:sz w:val="24"/>
          <w:szCs w:val="24"/>
        </w:rPr>
      </w:pPr>
      <w:r>
        <w:rPr>
          <w:rFonts w:ascii="Arial" w:hAnsi="Arial" w:cs="Arial"/>
          <w:sz w:val="24"/>
          <w:szCs w:val="24"/>
        </w:rPr>
        <w:t>“</w:t>
      </w:r>
      <w:r w:rsidRPr="002E78B7">
        <w:rPr>
          <w:rFonts w:ascii="Arial" w:hAnsi="Arial" w:cs="Arial"/>
          <w:i/>
          <w:iCs/>
        </w:rPr>
        <w:t>The court must carry out a balancing exercise.  On the one hand it must weigh the injustice to the plaintiff if prevented from pursuing a proper claim by an order for security.  Against that, it must weigh the injustice to the defendant if no security is ordered and at the trial the plaintiff’s claim fails and the defendant finds himself unable to recover from the plaintiff the costs which have been incurred by him in defence of the claim.</w:t>
      </w:r>
      <w:r>
        <w:rPr>
          <w:rFonts w:ascii="Arial" w:hAnsi="Arial" w:cs="Arial"/>
          <w:sz w:val="24"/>
          <w:szCs w:val="24"/>
        </w:rPr>
        <w:t>”</w:t>
      </w:r>
    </w:p>
    <w:p w14:paraId="5F74C84F" w14:textId="77777777" w:rsidR="00BC0A9E" w:rsidRPr="0079654B" w:rsidRDefault="00BC0A9E" w:rsidP="00BC0A9E">
      <w:pPr>
        <w:pStyle w:val="ListParagraph"/>
        <w:spacing w:after="0" w:line="480" w:lineRule="auto"/>
        <w:rPr>
          <w:rFonts w:ascii="Arial" w:hAnsi="Arial" w:cs="Arial"/>
          <w:sz w:val="24"/>
          <w:szCs w:val="24"/>
        </w:rPr>
      </w:pPr>
    </w:p>
    <w:p w14:paraId="1E356248" w14:textId="2F041D5B" w:rsidR="00BC0A9E"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[9]</w:t>
      </w:r>
      <w:r>
        <w:rPr>
          <w:rFonts w:ascii="Arial" w:eastAsia="Times New Roman" w:hAnsi="Arial" w:cs="Arial"/>
          <w:sz w:val="24"/>
          <w:szCs w:val="24"/>
        </w:rPr>
        <w:tab/>
      </w:r>
      <w:r w:rsidR="00BC0A9E" w:rsidRPr="0031127F">
        <w:rPr>
          <w:rFonts w:ascii="Arial" w:hAnsi="Arial" w:cs="Arial"/>
          <w:sz w:val="24"/>
          <w:szCs w:val="24"/>
        </w:rPr>
        <w:t xml:space="preserve">The aforesaid dictum was later cited with approval by the Constitutional Court in </w:t>
      </w:r>
      <w:r w:rsidR="00BC0A9E" w:rsidRPr="0031127F">
        <w:rPr>
          <w:rFonts w:ascii="Arial" w:hAnsi="Arial" w:cs="Arial"/>
          <w:i/>
          <w:iCs/>
          <w:sz w:val="24"/>
          <w:szCs w:val="24"/>
        </w:rPr>
        <w:t>Giddey N.O. v J.C. Barnard and Partners</w:t>
      </w:r>
      <w:r w:rsidR="00BC0A9E" w:rsidRPr="0031127F">
        <w:rPr>
          <w:rFonts w:ascii="Arial" w:hAnsi="Arial" w:cs="Arial"/>
          <w:sz w:val="24"/>
          <w:szCs w:val="24"/>
        </w:rPr>
        <w:t>,</w:t>
      </w:r>
      <w:r w:rsidR="00BC0A9E">
        <w:rPr>
          <w:rStyle w:val="FootnoteReference"/>
          <w:rFonts w:ascii="Arial" w:hAnsi="Arial" w:cs="Arial"/>
          <w:sz w:val="24"/>
          <w:szCs w:val="24"/>
        </w:rPr>
        <w:footnoteReference w:id="13"/>
      </w:r>
      <w:r w:rsidR="00BC0A9E" w:rsidRPr="0031127F">
        <w:rPr>
          <w:rFonts w:ascii="Arial" w:hAnsi="Arial" w:cs="Arial"/>
          <w:sz w:val="24"/>
          <w:szCs w:val="24"/>
        </w:rPr>
        <w:t xml:space="preserve"> </w:t>
      </w:r>
      <w:r w:rsidR="002B1EBD" w:rsidRPr="0031127F">
        <w:rPr>
          <w:rFonts w:ascii="Arial" w:hAnsi="Arial" w:cs="Arial"/>
          <w:sz w:val="24"/>
          <w:szCs w:val="24"/>
        </w:rPr>
        <w:t>which</w:t>
      </w:r>
      <w:r w:rsidR="00BC0A9E" w:rsidRPr="0031127F">
        <w:rPr>
          <w:rFonts w:ascii="Arial" w:hAnsi="Arial" w:cs="Arial"/>
          <w:sz w:val="24"/>
          <w:szCs w:val="24"/>
        </w:rPr>
        <w:t xml:space="preserve"> further acknowledged the need for the court to bear in mind a claimant’s right in terms of section 34 of the Constitution.  O’Regan J, writing for the Constitutional Court stated, at paragraph [30], that:</w:t>
      </w:r>
    </w:p>
    <w:p w14:paraId="010826FF" w14:textId="77777777" w:rsidR="00BC0A9E" w:rsidRDefault="00BC0A9E" w:rsidP="00BC0A9E">
      <w:pPr>
        <w:pStyle w:val="ListParagraph"/>
        <w:spacing w:after="0" w:line="480" w:lineRule="auto"/>
        <w:ind w:left="0"/>
        <w:jc w:val="both"/>
        <w:rPr>
          <w:rFonts w:ascii="Arial" w:hAnsi="Arial" w:cs="Arial"/>
          <w:sz w:val="24"/>
          <w:szCs w:val="24"/>
        </w:rPr>
      </w:pPr>
    </w:p>
    <w:p w14:paraId="30CCB903" w14:textId="77777777" w:rsidR="00BC0A9E" w:rsidRDefault="00BC0A9E" w:rsidP="00BC0A9E">
      <w:pPr>
        <w:pStyle w:val="ListParagraph"/>
        <w:spacing w:after="0" w:line="360" w:lineRule="auto"/>
        <w:jc w:val="both"/>
        <w:rPr>
          <w:rFonts w:ascii="Arial" w:hAnsi="Arial" w:cs="Arial"/>
          <w:sz w:val="24"/>
          <w:szCs w:val="24"/>
        </w:rPr>
      </w:pPr>
      <w:r>
        <w:rPr>
          <w:rFonts w:ascii="Arial" w:hAnsi="Arial" w:cs="Arial"/>
          <w:sz w:val="24"/>
          <w:szCs w:val="24"/>
        </w:rPr>
        <w:t>“</w:t>
      </w:r>
      <w:r w:rsidRPr="00974F9D">
        <w:rPr>
          <w:rFonts w:ascii="Arial" w:hAnsi="Arial" w:cs="Arial"/>
          <w:i/>
          <w:iCs/>
        </w:rPr>
        <w:t>In my view, there can be no doubt that in exercising its discretion in terms of section 13, a court must bear in mind the provisions of section 34 and weigh them in the light of other factors laid before it. The balancing exercise proposed by the Supreme Court of Appeal in Shepstone &amp; Wylie’s case (adopted from the English case Keary Developments Ltd v Tarmac Construction Ltd and Another</w:t>
      </w:r>
      <w:bookmarkStart w:id="1" w:name="fnB30"/>
      <w:r w:rsidRPr="00974F9D">
        <w:rPr>
          <w:rFonts w:ascii="Arial" w:hAnsi="Arial" w:cs="Arial"/>
          <w:i/>
          <w:iCs/>
        </w:rPr>
        <w:fldChar w:fldCharType="begin"/>
      </w:r>
      <w:r w:rsidRPr="00974F9D">
        <w:rPr>
          <w:rFonts w:ascii="Arial" w:hAnsi="Arial" w:cs="Arial"/>
          <w:i/>
          <w:iCs/>
        </w:rPr>
        <w:instrText>HYPERLINK "https://www.saflii.org/za/cases/ZACC/2006/13.html" \l "fn30"</w:instrText>
      </w:r>
      <w:r w:rsidRPr="00974F9D">
        <w:rPr>
          <w:rFonts w:ascii="Arial" w:hAnsi="Arial" w:cs="Arial"/>
          <w:i/>
          <w:iCs/>
        </w:rPr>
        <w:fldChar w:fldCharType="separate"/>
      </w:r>
      <w:r w:rsidRPr="00974F9D">
        <w:rPr>
          <w:rFonts w:ascii="Arial" w:hAnsi="Arial" w:cs="Arial"/>
          <w:i/>
          <w:iCs/>
        </w:rPr>
        <w:t>[30]</w:t>
      </w:r>
      <w:r w:rsidRPr="00974F9D">
        <w:rPr>
          <w:rFonts w:ascii="Arial" w:hAnsi="Arial" w:cs="Arial"/>
          <w:i/>
          <w:iCs/>
        </w:rPr>
        <w:fldChar w:fldCharType="end"/>
      </w:r>
      <w:bookmarkEnd w:id="1"/>
      <w:r w:rsidRPr="00974F9D">
        <w:rPr>
          <w:rFonts w:ascii="Arial" w:hAnsi="Arial" w:cs="Arial"/>
          <w:i/>
          <w:iCs/>
        </w:rPr>
        <w:t>) acknowledges this (albeit without express reference to the Constitution). On one side of the scale must be weighed the potential injustice to the plaintiff or applicant if it is prevented from pursuing a legitimate claim. This incorporates a recognition of the importance of the right of access to courts. On the other side of the scale must be placed the potential injustice to the defendant if it succeeds in its defence but cannot recover its costs. Relevant considerations in performing this balancing exercise will include the likelihood that the effect of an order to furnish security will be to terminate the plaintiff’s action; the attempts the plaintiff has made to find financial assistance from its shareholders or creditors; the question whether it is the conduct of the defendant that has caused the financial difficulties of the plaintiff; as well as the nature of the plaintiff’s action.</w:t>
      </w:r>
      <w:r>
        <w:rPr>
          <w:rFonts w:ascii="Arial" w:hAnsi="Arial" w:cs="Arial"/>
          <w:sz w:val="24"/>
          <w:szCs w:val="24"/>
        </w:rPr>
        <w:t>”</w:t>
      </w:r>
    </w:p>
    <w:p w14:paraId="40294B63" w14:textId="77777777" w:rsidR="00A13626" w:rsidRDefault="00A13626" w:rsidP="00A13626">
      <w:pPr>
        <w:pStyle w:val="ListParagraph"/>
        <w:spacing w:after="0" w:line="480" w:lineRule="auto"/>
        <w:ind w:left="0"/>
        <w:jc w:val="both"/>
        <w:rPr>
          <w:rFonts w:ascii="Arial" w:hAnsi="Arial" w:cs="Arial"/>
          <w:sz w:val="24"/>
          <w:szCs w:val="24"/>
        </w:rPr>
      </w:pPr>
    </w:p>
    <w:p w14:paraId="646E86D5" w14:textId="22661E9D" w:rsidR="00BC0A9E"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[10]</w:t>
      </w:r>
      <w:r>
        <w:rPr>
          <w:rFonts w:ascii="Arial" w:eastAsia="Times New Roman" w:hAnsi="Arial" w:cs="Arial"/>
          <w:sz w:val="24"/>
          <w:szCs w:val="24"/>
        </w:rPr>
        <w:tab/>
      </w:r>
      <w:r w:rsidR="00BC0A9E" w:rsidRPr="0031127F">
        <w:rPr>
          <w:rFonts w:ascii="Arial" w:hAnsi="Arial" w:cs="Arial"/>
          <w:sz w:val="24"/>
          <w:szCs w:val="24"/>
        </w:rPr>
        <w:t xml:space="preserve">More recently, the Supreme Court of Appeal in </w:t>
      </w:r>
      <w:r w:rsidR="00BC0A9E" w:rsidRPr="0031127F">
        <w:rPr>
          <w:rFonts w:ascii="Arial" w:hAnsi="Arial" w:cs="Arial"/>
          <w:i/>
          <w:iCs/>
          <w:sz w:val="24"/>
          <w:szCs w:val="24"/>
        </w:rPr>
        <w:t>Fusion Properties 233 CC v Stellenbosch Municipality</w:t>
      </w:r>
      <w:r w:rsidR="00BC0A9E" w:rsidRPr="0031127F">
        <w:rPr>
          <w:rFonts w:ascii="Arial" w:hAnsi="Arial" w:cs="Arial"/>
          <w:sz w:val="24"/>
          <w:szCs w:val="24"/>
        </w:rPr>
        <w:t>,</w:t>
      </w:r>
      <w:r w:rsidR="00BC0A9E">
        <w:rPr>
          <w:rStyle w:val="FootnoteReference"/>
          <w:rFonts w:ascii="Arial" w:hAnsi="Arial" w:cs="Arial"/>
          <w:sz w:val="24"/>
          <w:szCs w:val="24"/>
        </w:rPr>
        <w:footnoteReference w:id="14"/>
      </w:r>
      <w:r w:rsidR="00BC0A9E" w:rsidRPr="0031127F">
        <w:rPr>
          <w:rFonts w:ascii="Arial" w:hAnsi="Arial" w:cs="Arial"/>
          <w:sz w:val="24"/>
          <w:szCs w:val="24"/>
        </w:rPr>
        <w:t xml:space="preserve"> following a consideration of the dicta in </w:t>
      </w:r>
      <w:r w:rsidR="00BC0A9E" w:rsidRPr="0031127F">
        <w:rPr>
          <w:rFonts w:ascii="Arial" w:hAnsi="Arial" w:cs="Arial"/>
          <w:i/>
          <w:iCs/>
          <w:sz w:val="24"/>
          <w:szCs w:val="24"/>
        </w:rPr>
        <w:t xml:space="preserve">Shepstone &amp; Wylie and Others v Geyser N.O. </w:t>
      </w:r>
      <w:r w:rsidR="00BC0A9E" w:rsidRPr="0031127F">
        <w:rPr>
          <w:rFonts w:ascii="Arial" w:hAnsi="Arial" w:cs="Arial"/>
          <w:sz w:val="24"/>
          <w:szCs w:val="24"/>
        </w:rPr>
        <w:t xml:space="preserve">and </w:t>
      </w:r>
      <w:r w:rsidR="00BC0A9E" w:rsidRPr="0031127F">
        <w:rPr>
          <w:rFonts w:ascii="Arial" w:hAnsi="Arial" w:cs="Arial"/>
          <w:i/>
          <w:iCs/>
          <w:sz w:val="24"/>
          <w:szCs w:val="24"/>
        </w:rPr>
        <w:t>Giddey N.O. v J.C. Barnard and Partners</w:t>
      </w:r>
      <w:r w:rsidR="00BC0A9E" w:rsidRPr="0031127F">
        <w:rPr>
          <w:rFonts w:ascii="Arial" w:hAnsi="Arial" w:cs="Arial"/>
          <w:sz w:val="24"/>
          <w:szCs w:val="24"/>
        </w:rPr>
        <w:t>, distilled the following three principles:</w:t>
      </w:r>
    </w:p>
    <w:p w14:paraId="7F377AC8" w14:textId="77777777" w:rsidR="00BC0A9E" w:rsidRDefault="00BC0A9E" w:rsidP="00BC0A9E">
      <w:pPr>
        <w:spacing w:after="0" w:line="480" w:lineRule="auto"/>
        <w:jc w:val="both"/>
        <w:rPr>
          <w:rFonts w:ascii="Arial" w:hAnsi="Arial" w:cs="Arial"/>
          <w:sz w:val="24"/>
          <w:szCs w:val="24"/>
        </w:rPr>
      </w:pPr>
    </w:p>
    <w:p w14:paraId="0E6E4FF5" w14:textId="77777777" w:rsidR="00BC0A9E" w:rsidRPr="008333EF" w:rsidRDefault="00BC0A9E" w:rsidP="00BC0A9E">
      <w:pPr>
        <w:pStyle w:val="ListParagraph"/>
        <w:spacing w:after="0" w:line="360" w:lineRule="auto"/>
        <w:jc w:val="both"/>
        <w:rPr>
          <w:rFonts w:ascii="Arial" w:hAnsi="Arial" w:cs="Arial"/>
        </w:rPr>
      </w:pPr>
      <w:r w:rsidRPr="008333EF">
        <w:rPr>
          <w:rFonts w:ascii="Arial" w:hAnsi="Arial" w:cs="Arial"/>
        </w:rPr>
        <w:t>“</w:t>
      </w:r>
      <w:r w:rsidRPr="008333EF">
        <w:rPr>
          <w:rFonts w:ascii="Arial" w:hAnsi="Arial" w:cs="Arial"/>
          <w:i/>
          <w:iCs/>
        </w:rPr>
        <w:t>First, a court seized with an application to compel a plaintiff or applicant to furnish security for costs retains an unfettered discretion. Second, the court needs to 'balance the potential injustice to a plaintiff if it is prevented from pursuing a legitimate claim as a result of an order requiring it to pay security for costs, on the one hand, against the potential injustice to a defendant who successfully defends the claim, and yet may well have to pay all its costs in the litigation'.  Third, the salutary purpose of s 13 is 'to deter would-be plaintiffs from instituting proceedings vexatiously or in circumstances where their prospects are poor'</w:t>
      </w:r>
      <w:r w:rsidRPr="008333EF">
        <w:rPr>
          <w:rFonts w:ascii="Arial" w:hAnsi="Arial" w:cs="Arial"/>
        </w:rPr>
        <w:t xml:space="preserve">.” </w:t>
      </w:r>
    </w:p>
    <w:p w14:paraId="38FE22E0" w14:textId="77777777" w:rsidR="00BC0A9E" w:rsidRDefault="00BC0A9E" w:rsidP="00BC0A9E">
      <w:pPr>
        <w:pStyle w:val="ListParagraph"/>
        <w:spacing w:after="0" w:line="480" w:lineRule="auto"/>
        <w:ind w:left="0"/>
        <w:jc w:val="both"/>
        <w:rPr>
          <w:rFonts w:ascii="Arial" w:hAnsi="Arial" w:cs="Arial"/>
          <w:sz w:val="24"/>
          <w:szCs w:val="24"/>
        </w:rPr>
      </w:pPr>
    </w:p>
    <w:p w14:paraId="088CC00C" w14:textId="67D3B2B3" w:rsidR="00BC0A9E"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[11]</w:t>
      </w:r>
      <w:r>
        <w:rPr>
          <w:rFonts w:ascii="Arial" w:eastAsia="Times New Roman" w:hAnsi="Arial" w:cs="Arial"/>
          <w:sz w:val="24"/>
          <w:szCs w:val="24"/>
        </w:rPr>
        <w:tab/>
      </w:r>
      <w:r w:rsidR="00BC0A9E" w:rsidRPr="0031127F">
        <w:rPr>
          <w:rFonts w:ascii="Arial" w:hAnsi="Arial" w:cs="Arial"/>
          <w:sz w:val="24"/>
          <w:szCs w:val="24"/>
        </w:rPr>
        <w:t>In</w:t>
      </w:r>
      <w:r w:rsidR="00D650AF" w:rsidRPr="0031127F">
        <w:rPr>
          <w:rFonts w:ascii="Arial" w:hAnsi="Arial" w:cs="Arial"/>
          <w:sz w:val="24"/>
          <w:szCs w:val="24"/>
        </w:rPr>
        <w:t xml:space="preserve">sofar as the merits of </w:t>
      </w:r>
      <w:r w:rsidR="003A49AF" w:rsidRPr="0031127F">
        <w:rPr>
          <w:rFonts w:ascii="Arial" w:hAnsi="Arial" w:cs="Arial"/>
          <w:sz w:val="24"/>
          <w:szCs w:val="24"/>
        </w:rPr>
        <w:t>the</w:t>
      </w:r>
      <w:r w:rsidR="00D650AF" w:rsidRPr="0031127F">
        <w:rPr>
          <w:rFonts w:ascii="Arial" w:hAnsi="Arial" w:cs="Arial"/>
          <w:sz w:val="24"/>
          <w:szCs w:val="24"/>
        </w:rPr>
        <w:t xml:space="preserve"> </w:t>
      </w:r>
      <w:r w:rsidR="00BC0A9E" w:rsidRPr="0031127F">
        <w:rPr>
          <w:rFonts w:ascii="Arial" w:hAnsi="Arial" w:cs="Arial"/>
          <w:sz w:val="24"/>
          <w:szCs w:val="24"/>
        </w:rPr>
        <w:t>plaintiff’s case</w:t>
      </w:r>
      <w:r w:rsidR="00D650AF" w:rsidRPr="0031127F">
        <w:rPr>
          <w:rFonts w:ascii="Arial" w:hAnsi="Arial" w:cs="Arial"/>
          <w:sz w:val="24"/>
          <w:szCs w:val="24"/>
        </w:rPr>
        <w:t xml:space="preserve"> is concerned</w:t>
      </w:r>
      <w:r w:rsidR="00BC0A9E" w:rsidRPr="0031127F">
        <w:rPr>
          <w:rFonts w:ascii="Arial" w:hAnsi="Arial" w:cs="Arial"/>
          <w:sz w:val="24"/>
          <w:szCs w:val="24"/>
        </w:rPr>
        <w:t>, it is sufficient for the court, in an application for security for costs, to have a fair sense of the strength and weaknesses of the parties’ respective cases.  It is neither required nor expected to “</w:t>
      </w:r>
      <w:r w:rsidR="00BC0A9E" w:rsidRPr="0031127F">
        <w:rPr>
          <w:rFonts w:ascii="Arial" w:hAnsi="Arial" w:cs="Arial"/>
          <w:i/>
          <w:iCs/>
          <w:sz w:val="24"/>
          <w:szCs w:val="24"/>
        </w:rPr>
        <w:t>undertake an in-depth analysis as a trial court would at the end of a trial</w:t>
      </w:r>
      <w:r w:rsidR="00BC0A9E" w:rsidRPr="0031127F">
        <w:rPr>
          <w:rFonts w:ascii="Arial" w:hAnsi="Arial" w:cs="Arial"/>
          <w:sz w:val="24"/>
          <w:szCs w:val="24"/>
        </w:rPr>
        <w:t>”,</w:t>
      </w:r>
      <w:r w:rsidR="00BC0A9E">
        <w:rPr>
          <w:rStyle w:val="FootnoteReference"/>
          <w:rFonts w:ascii="Arial" w:hAnsi="Arial" w:cs="Arial"/>
          <w:sz w:val="24"/>
          <w:szCs w:val="24"/>
        </w:rPr>
        <w:footnoteReference w:id="15"/>
      </w:r>
      <w:r w:rsidR="00BC0A9E" w:rsidRPr="0031127F">
        <w:rPr>
          <w:rFonts w:ascii="Arial" w:hAnsi="Arial" w:cs="Arial"/>
          <w:sz w:val="24"/>
          <w:szCs w:val="24"/>
        </w:rPr>
        <w:t xml:space="preserve"> or to attempt to resolve the dispute between the parties.</w:t>
      </w:r>
      <w:r w:rsidR="00BC0A9E">
        <w:rPr>
          <w:rStyle w:val="FootnoteReference"/>
          <w:rFonts w:ascii="Arial" w:hAnsi="Arial" w:cs="Arial"/>
          <w:sz w:val="24"/>
          <w:szCs w:val="24"/>
        </w:rPr>
        <w:footnoteReference w:id="16"/>
      </w:r>
      <w:r w:rsidR="00BC0A9E" w:rsidRPr="0031127F">
        <w:rPr>
          <w:rFonts w:ascii="Arial" w:hAnsi="Arial" w:cs="Arial"/>
          <w:sz w:val="24"/>
          <w:szCs w:val="24"/>
        </w:rPr>
        <w:t xml:space="preserve"> </w:t>
      </w:r>
    </w:p>
    <w:p w14:paraId="643B6882" w14:textId="77777777" w:rsidR="000904DF" w:rsidRDefault="000904DF" w:rsidP="000904DF">
      <w:pPr>
        <w:pStyle w:val="ListParagraph"/>
        <w:spacing w:after="0" w:line="480" w:lineRule="auto"/>
        <w:ind w:left="0"/>
        <w:jc w:val="both"/>
        <w:rPr>
          <w:rFonts w:ascii="Arial" w:hAnsi="Arial" w:cs="Arial"/>
          <w:sz w:val="24"/>
          <w:szCs w:val="24"/>
        </w:rPr>
      </w:pPr>
    </w:p>
    <w:p w14:paraId="647EC8B1" w14:textId="6BA1D288" w:rsidR="008157BF"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[12]</w:t>
      </w:r>
      <w:r>
        <w:rPr>
          <w:rFonts w:ascii="Arial" w:eastAsia="Times New Roman" w:hAnsi="Arial" w:cs="Arial"/>
          <w:sz w:val="24"/>
          <w:szCs w:val="24"/>
        </w:rPr>
        <w:tab/>
      </w:r>
      <w:r w:rsidR="00C25F80" w:rsidRPr="0031127F">
        <w:rPr>
          <w:rFonts w:ascii="Arial" w:hAnsi="Arial" w:cs="Arial"/>
          <w:sz w:val="24"/>
          <w:szCs w:val="24"/>
        </w:rPr>
        <w:t xml:space="preserve">I </w:t>
      </w:r>
      <w:r w:rsidR="003A49AF" w:rsidRPr="0031127F">
        <w:rPr>
          <w:rFonts w:ascii="Arial" w:hAnsi="Arial" w:cs="Arial"/>
          <w:sz w:val="24"/>
          <w:szCs w:val="24"/>
        </w:rPr>
        <w:t>accordingly proceed to adjudicate this matter on the basis set out above.</w:t>
      </w:r>
    </w:p>
    <w:p w14:paraId="3F26A637" w14:textId="77777777" w:rsidR="00BC0A9E" w:rsidRDefault="00BC0A9E" w:rsidP="00A3002A">
      <w:pPr>
        <w:pStyle w:val="ListParagraph"/>
        <w:spacing w:after="0" w:line="480" w:lineRule="auto"/>
        <w:ind w:left="0"/>
        <w:jc w:val="both"/>
        <w:rPr>
          <w:rFonts w:ascii="Arial" w:hAnsi="Arial" w:cs="Arial"/>
          <w:b/>
          <w:bCs/>
          <w:i/>
          <w:iCs/>
          <w:sz w:val="24"/>
          <w:szCs w:val="24"/>
        </w:rPr>
      </w:pPr>
    </w:p>
    <w:p w14:paraId="2DDDCA06" w14:textId="17EB7650" w:rsidR="00FB74F3" w:rsidRDefault="00FB74F3" w:rsidP="00A3002A">
      <w:pPr>
        <w:pStyle w:val="ListParagraph"/>
        <w:spacing w:after="0" w:line="480" w:lineRule="auto"/>
        <w:ind w:left="0"/>
        <w:jc w:val="both"/>
        <w:rPr>
          <w:rFonts w:ascii="Arial" w:eastAsiaTheme="minorHAnsi" w:hAnsi="Arial" w:cs="Arial"/>
          <w:i/>
          <w:iCs/>
        </w:rPr>
      </w:pPr>
      <w:r w:rsidRPr="00FB74F3">
        <w:rPr>
          <w:rFonts w:ascii="Arial" w:hAnsi="Arial" w:cs="Arial"/>
          <w:b/>
          <w:bCs/>
          <w:i/>
          <w:iCs/>
          <w:sz w:val="24"/>
          <w:szCs w:val="24"/>
        </w:rPr>
        <w:lastRenderedPageBreak/>
        <w:t>Factual background</w:t>
      </w:r>
    </w:p>
    <w:p w14:paraId="154FF8AA" w14:textId="77777777" w:rsidR="00C25F80" w:rsidRPr="00C25F80" w:rsidRDefault="00C25F80" w:rsidP="00C25F80">
      <w:pPr>
        <w:jc w:val="center"/>
      </w:pPr>
    </w:p>
    <w:p w14:paraId="6B03ADE3" w14:textId="6C471C7A" w:rsidR="000904DF"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[13]</w:t>
      </w:r>
      <w:r>
        <w:rPr>
          <w:rFonts w:ascii="Arial" w:eastAsia="Times New Roman" w:hAnsi="Arial" w:cs="Arial"/>
          <w:sz w:val="24"/>
          <w:szCs w:val="24"/>
        </w:rPr>
        <w:tab/>
      </w:r>
      <w:r w:rsidR="000877BA" w:rsidRPr="0031127F">
        <w:rPr>
          <w:rFonts w:ascii="Arial" w:hAnsi="Arial" w:cs="Arial"/>
          <w:sz w:val="24"/>
          <w:szCs w:val="24"/>
        </w:rPr>
        <w:t xml:space="preserve">During May 2021, the parties entered into a written service agreement in terms of which the </w:t>
      </w:r>
      <w:r w:rsidR="00603049" w:rsidRPr="0031127F">
        <w:rPr>
          <w:rFonts w:ascii="Arial" w:hAnsi="Arial" w:cs="Arial"/>
          <w:sz w:val="24"/>
          <w:szCs w:val="24"/>
        </w:rPr>
        <w:t>defendant, property developer, engaged the services of the plaintiff</w:t>
      </w:r>
      <w:r w:rsidR="00886A94" w:rsidRPr="0031127F">
        <w:rPr>
          <w:rFonts w:ascii="Arial" w:hAnsi="Arial" w:cs="Arial"/>
          <w:sz w:val="24"/>
          <w:szCs w:val="24"/>
        </w:rPr>
        <w:t>,</w:t>
      </w:r>
      <w:r w:rsidR="00603049" w:rsidRPr="0031127F">
        <w:rPr>
          <w:rFonts w:ascii="Arial" w:hAnsi="Arial" w:cs="Arial"/>
          <w:sz w:val="24"/>
          <w:szCs w:val="24"/>
        </w:rPr>
        <w:t xml:space="preserve"> on site</w:t>
      </w:r>
      <w:r w:rsidR="00886A94" w:rsidRPr="0031127F">
        <w:rPr>
          <w:rFonts w:ascii="Arial" w:hAnsi="Arial" w:cs="Arial"/>
          <w:sz w:val="24"/>
          <w:szCs w:val="24"/>
        </w:rPr>
        <w:t>,</w:t>
      </w:r>
      <w:r w:rsidR="00603049" w:rsidRPr="0031127F">
        <w:rPr>
          <w:rFonts w:ascii="Arial" w:hAnsi="Arial" w:cs="Arial"/>
          <w:sz w:val="24"/>
          <w:szCs w:val="24"/>
        </w:rPr>
        <w:t xml:space="preserve"> at the </w:t>
      </w:r>
      <w:r w:rsidR="000877BA" w:rsidRPr="0031127F">
        <w:rPr>
          <w:rFonts w:ascii="Arial" w:hAnsi="Arial" w:cs="Arial"/>
          <w:sz w:val="24"/>
          <w:szCs w:val="24"/>
        </w:rPr>
        <w:t>Wedgewood Golf Estate</w:t>
      </w:r>
      <w:r w:rsidR="00603049" w:rsidRPr="0031127F">
        <w:rPr>
          <w:rFonts w:ascii="Arial" w:hAnsi="Arial" w:cs="Arial"/>
          <w:sz w:val="24"/>
          <w:szCs w:val="24"/>
        </w:rPr>
        <w:t xml:space="preserve"> development.  The contracted services included</w:t>
      </w:r>
      <w:r w:rsidR="00603049" w:rsidRPr="0031127F">
        <w:rPr>
          <w:rFonts w:ascii="Arial" w:hAnsi="Arial" w:cs="Arial"/>
          <w:i/>
          <w:iCs/>
          <w:sz w:val="24"/>
          <w:szCs w:val="24"/>
        </w:rPr>
        <w:t xml:space="preserve"> inter alia</w:t>
      </w:r>
      <w:r w:rsidR="00603049" w:rsidRPr="0031127F">
        <w:rPr>
          <w:rFonts w:ascii="Arial" w:hAnsi="Arial" w:cs="Arial"/>
          <w:sz w:val="24"/>
          <w:szCs w:val="24"/>
        </w:rPr>
        <w:t xml:space="preserve"> the removal of grass and rubble from 361 designated plots; the digging of foundations, inclusive of trenches;</w:t>
      </w:r>
      <w:r w:rsidR="008D14E8">
        <w:rPr>
          <w:rStyle w:val="FootnoteReference"/>
          <w:rFonts w:ascii="Arial" w:hAnsi="Arial" w:cs="Arial"/>
          <w:sz w:val="24"/>
          <w:szCs w:val="24"/>
        </w:rPr>
        <w:footnoteReference w:id="17"/>
      </w:r>
      <w:r w:rsidR="00603049" w:rsidRPr="0031127F">
        <w:rPr>
          <w:rFonts w:ascii="Arial" w:hAnsi="Arial" w:cs="Arial"/>
          <w:sz w:val="24"/>
          <w:szCs w:val="24"/>
        </w:rPr>
        <w:t xml:space="preserve"> and the performance of rock breaking services.</w:t>
      </w:r>
      <w:r w:rsidR="008D14E8">
        <w:rPr>
          <w:rStyle w:val="FootnoteReference"/>
          <w:rFonts w:ascii="Arial" w:hAnsi="Arial" w:cs="Arial"/>
          <w:sz w:val="24"/>
          <w:szCs w:val="24"/>
        </w:rPr>
        <w:footnoteReference w:id="18"/>
      </w:r>
      <w:r w:rsidR="00603049" w:rsidRPr="0031127F">
        <w:rPr>
          <w:rFonts w:ascii="Arial" w:hAnsi="Arial" w:cs="Arial"/>
          <w:sz w:val="24"/>
          <w:szCs w:val="24"/>
        </w:rPr>
        <w:t xml:space="preserve">  </w:t>
      </w:r>
      <w:r w:rsidR="00366599" w:rsidRPr="0031127F">
        <w:rPr>
          <w:rFonts w:ascii="Arial" w:hAnsi="Arial" w:cs="Arial"/>
          <w:sz w:val="24"/>
          <w:szCs w:val="24"/>
        </w:rPr>
        <w:t xml:space="preserve">The fees payable and the manner in which payment </w:t>
      </w:r>
      <w:r w:rsidR="00D865D3" w:rsidRPr="0031127F">
        <w:rPr>
          <w:rFonts w:ascii="Arial" w:hAnsi="Arial" w:cs="Arial"/>
          <w:sz w:val="24"/>
          <w:szCs w:val="24"/>
        </w:rPr>
        <w:t>was</w:t>
      </w:r>
      <w:r w:rsidR="00366599" w:rsidRPr="0031127F">
        <w:rPr>
          <w:rFonts w:ascii="Arial" w:hAnsi="Arial" w:cs="Arial"/>
          <w:sz w:val="24"/>
          <w:szCs w:val="24"/>
        </w:rPr>
        <w:t xml:space="preserve"> to be effected for services rendered, is recorded in clause 3.1 of the agreement, read together with </w:t>
      </w:r>
      <w:r w:rsidR="00C2100B" w:rsidRPr="0031127F">
        <w:rPr>
          <w:rFonts w:ascii="Arial" w:hAnsi="Arial" w:cs="Arial"/>
          <w:sz w:val="24"/>
          <w:szCs w:val="24"/>
        </w:rPr>
        <w:t xml:space="preserve">clauses </w:t>
      </w:r>
      <w:r w:rsidR="00D865D3" w:rsidRPr="0031127F">
        <w:rPr>
          <w:rFonts w:ascii="Arial" w:hAnsi="Arial" w:cs="Arial"/>
          <w:sz w:val="24"/>
          <w:szCs w:val="24"/>
        </w:rPr>
        <w:t>1 to 4</w:t>
      </w:r>
      <w:r w:rsidR="00886A94" w:rsidRPr="0031127F">
        <w:rPr>
          <w:rFonts w:ascii="Arial" w:hAnsi="Arial" w:cs="Arial"/>
          <w:sz w:val="24"/>
          <w:szCs w:val="24"/>
        </w:rPr>
        <w:t xml:space="preserve"> of the addendum thereto</w:t>
      </w:r>
      <w:r w:rsidR="00D865D3" w:rsidRPr="0031127F">
        <w:rPr>
          <w:rFonts w:ascii="Arial" w:hAnsi="Arial" w:cs="Arial"/>
          <w:sz w:val="24"/>
          <w:szCs w:val="24"/>
        </w:rPr>
        <w:t>, under the heading “RATES”</w:t>
      </w:r>
      <w:r w:rsidR="00C2100B" w:rsidRPr="0031127F">
        <w:rPr>
          <w:rFonts w:ascii="Arial" w:hAnsi="Arial" w:cs="Arial"/>
          <w:sz w:val="24"/>
          <w:szCs w:val="24"/>
        </w:rPr>
        <w:t>.</w:t>
      </w:r>
      <w:r w:rsidR="00D865D3" w:rsidRPr="0031127F">
        <w:rPr>
          <w:rFonts w:ascii="Arial" w:hAnsi="Arial" w:cs="Arial"/>
          <w:sz w:val="24"/>
          <w:szCs w:val="24"/>
        </w:rPr>
        <w:t xml:space="preserve">  </w:t>
      </w:r>
    </w:p>
    <w:p w14:paraId="41278C37" w14:textId="77777777" w:rsidR="000904DF" w:rsidRDefault="000904DF" w:rsidP="000904DF">
      <w:pPr>
        <w:pStyle w:val="ListParagraph"/>
        <w:spacing w:after="0" w:line="480" w:lineRule="auto"/>
        <w:ind w:left="0"/>
        <w:jc w:val="both"/>
        <w:rPr>
          <w:rFonts w:ascii="Arial" w:hAnsi="Arial" w:cs="Arial"/>
          <w:sz w:val="24"/>
          <w:szCs w:val="24"/>
        </w:rPr>
      </w:pPr>
    </w:p>
    <w:p w14:paraId="1124D3E0" w14:textId="41BF0273" w:rsidR="00D865D3"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[14]</w:t>
      </w:r>
      <w:r>
        <w:rPr>
          <w:rFonts w:ascii="Arial" w:eastAsia="Times New Roman" w:hAnsi="Arial" w:cs="Arial"/>
          <w:sz w:val="24"/>
          <w:szCs w:val="24"/>
        </w:rPr>
        <w:tab/>
      </w:r>
      <w:r w:rsidR="00C2100B" w:rsidRPr="0031127F">
        <w:rPr>
          <w:rFonts w:ascii="Arial" w:hAnsi="Arial" w:cs="Arial"/>
          <w:sz w:val="24"/>
          <w:szCs w:val="24"/>
        </w:rPr>
        <w:t xml:space="preserve">To properly contextualise the dispute between the parties, the </w:t>
      </w:r>
      <w:r w:rsidR="00D865D3" w:rsidRPr="0031127F">
        <w:rPr>
          <w:rFonts w:ascii="Arial" w:hAnsi="Arial" w:cs="Arial"/>
          <w:sz w:val="24"/>
          <w:szCs w:val="24"/>
        </w:rPr>
        <w:t xml:space="preserve">respective </w:t>
      </w:r>
      <w:r w:rsidR="00C2100B" w:rsidRPr="0031127F">
        <w:rPr>
          <w:rFonts w:ascii="Arial" w:hAnsi="Arial" w:cs="Arial"/>
          <w:sz w:val="24"/>
          <w:szCs w:val="24"/>
        </w:rPr>
        <w:t>clauses bear repetition.</w:t>
      </w:r>
    </w:p>
    <w:p w14:paraId="6DAAA602" w14:textId="77777777" w:rsidR="00D865D3" w:rsidRDefault="00D865D3" w:rsidP="00D865D3">
      <w:pPr>
        <w:pStyle w:val="ListParagraph"/>
        <w:spacing w:after="0" w:line="480" w:lineRule="auto"/>
        <w:ind w:left="0"/>
        <w:jc w:val="both"/>
        <w:rPr>
          <w:rFonts w:ascii="Arial" w:hAnsi="Arial" w:cs="Arial"/>
          <w:sz w:val="24"/>
          <w:szCs w:val="24"/>
        </w:rPr>
      </w:pPr>
    </w:p>
    <w:p w14:paraId="58E31946" w14:textId="08E8E4F4" w:rsidR="00D865D3" w:rsidRDefault="00D865D3" w:rsidP="00D865D3">
      <w:pPr>
        <w:pStyle w:val="ListParagraph"/>
        <w:spacing w:after="0" w:line="360" w:lineRule="auto"/>
        <w:jc w:val="both"/>
        <w:rPr>
          <w:rFonts w:ascii="Arial" w:hAnsi="Arial" w:cs="Arial"/>
          <w:b/>
          <w:bCs/>
          <w:i/>
          <w:iCs/>
        </w:rPr>
      </w:pPr>
      <w:r>
        <w:rPr>
          <w:rFonts w:ascii="Arial" w:hAnsi="Arial" w:cs="Arial"/>
          <w:sz w:val="24"/>
          <w:szCs w:val="24"/>
        </w:rPr>
        <w:t>“</w:t>
      </w:r>
      <w:r w:rsidRPr="00D865D3">
        <w:rPr>
          <w:rFonts w:ascii="Arial" w:hAnsi="Arial" w:cs="Arial"/>
          <w:b/>
          <w:bCs/>
          <w:i/>
          <w:iCs/>
        </w:rPr>
        <w:t>3.</w:t>
      </w:r>
      <w:r w:rsidRPr="00D865D3">
        <w:rPr>
          <w:rFonts w:ascii="Arial" w:hAnsi="Arial" w:cs="Arial"/>
          <w:b/>
          <w:bCs/>
          <w:i/>
          <w:iCs/>
        </w:rPr>
        <w:tab/>
        <w:t>FEES</w:t>
      </w:r>
    </w:p>
    <w:p w14:paraId="69C470FA" w14:textId="77777777" w:rsidR="00D865D3" w:rsidRPr="00D865D3" w:rsidRDefault="00D865D3" w:rsidP="00D865D3">
      <w:pPr>
        <w:pStyle w:val="ListParagraph"/>
        <w:spacing w:after="0" w:line="360" w:lineRule="auto"/>
        <w:jc w:val="both"/>
        <w:rPr>
          <w:rFonts w:ascii="Arial" w:hAnsi="Arial" w:cs="Arial"/>
          <w:i/>
          <w:iCs/>
        </w:rPr>
      </w:pPr>
    </w:p>
    <w:p w14:paraId="576366E3" w14:textId="73C70E38" w:rsidR="00D865D3" w:rsidRDefault="00D865D3" w:rsidP="00D865D3">
      <w:pPr>
        <w:pStyle w:val="ListParagraph"/>
        <w:spacing w:after="0" w:line="360" w:lineRule="auto"/>
        <w:ind w:left="1440" w:hanging="720"/>
        <w:jc w:val="both"/>
        <w:rPr>
          <w:rFonts w:ascii="Arial" w:hAnsi="Arial" w:cs="Arial"/>
          <w:sz w:val="24"/>
          <w:szCs w:val="24"/>
        </w:rPr>
      </w:pPr>
      <w:r w:rsidRPr="00D865D3">
        <w:rPr>
          <w:rFonts w:ascii="Arial" w:hAnsi="Arial" w:cs="Arial"/>
          <w:i/>
          <w:iCs/>
        </w:rPr>
        <w:t>3.1</w:t>
      </w:r>
      <w:r w:rsidRPr="00D865D3">
        <w:rPr>
          <w:rFonts w:ascii="Arial" w:hAnsi="Arial" w:cs="Arial"/>
          <w:i/>
          <w:iCs/>
        </w:rPr>
        <w:tab/>
        <w:t xml:space="preserve">The Service Provider shall be paid for its services as determined by agreement between the parties and at such intervals as applicable, as set out in </w:t>
      </w:r>
      <w:r w:rsidRPr="00D865D3">
        <w:rPr>
          <w:rFonts w:ascii="Arial" w:hAnsi="Arial" w:cs="Arial"/>
          <w:b/>
          <w:bCs/>
          <w:i/>
          <w:iCs/>
        </w:rPr>
        <w:t xml:space="preserve">Addendum ‘A’ </w:t>
      </w:r>
      <w:r w:rsidRPr="00D865D3">
        <w:rPr>
          <w:rFonts w:ascii="Arial" w:hAnsi="Arial" w:cs="Arial"/>
          <w:i/>
          <w:iCs/>
        </w:rPr>
        <w:t>attached hereto and as read as if specifically incorporated herein.  The parties specifically record that any delivery of service in accordance with this agreement is subject to the parties entering into a separate deed of sale in terms of which the Company undertakes to transfer a (sic) erf no 317 to be nominated by the Service Provider, situated on the Wedgewood Estate on such terms as will be set out in the Deed of Sale and to construct a dwelling on the plot on suc</w:t>
      </w:r>
      <w:r>
        <w:rPr>
          <w:rFonts w:ascii="Arial" w:hAnsi="Arial" w:cs="Arial"/>
          <w:i/>
          <w:iCs/>
        </w:rPr>
        <w:t>h</w:t>
      </w:r>
      <w:r w:rsidRPr="00D865D3">
        <w:rPr>
          <w:rFonts w:ascii="Arial" w:hAnsi="Arial" w:cs="Arial"/>
          <w:i/>
          <w:iCs/>
        </w:rPr>
        <w:t xml:space="preserve"> plan as to be determined by the Service Provider.</w:t>
      </w:r>
      <w:r>
        <w:rPr>
          <w:rFonts w:ascii="Arial" w:hAnsi="Arial" w:cs="Arial"/>
          <w:sz w:val="24"/>
          <w:szCs w:val="24"/>
        </w:rPr>
        <w:t>”</w:t>
      </w:r>
    </w:p>
    <w:p w14:paraId="1A88F368" w14:textId="77777777" w:rsidR="00D865D3" w:rsidRDefault="00D865D3" w:rsidP="00D865D3">
      <w:pPr>
        <w:pStyle w:val="ListParagraph"/>
        <w:spacing w:after="0" w:line="480" w:lineRule="auto"/>
        <w:ind w:left="0"/>
        <w:jc w:val="both"/>
        <w:rPr>
          <w:rFonts w:ascii="Arial" w:hAnsi="Arial" w:cs="Arial"/>
          <w:sz w:val="24"/>
          <w:szCs w:val="24"/>
        </w:rPr>
      </w:pPr>
    </w:p>
    <w:p w14:paraId="73992B65" w14:textId="02F27A9C" w:rsidR="00D865D3" w:rsidRPr="0031127F" w:rsidRDefault="0031127F" w:rsidP="0031127F">
      <w:pPr>
        <w:spacing w:after="0" w:line="480" w:lineRule="auto"/>
        <w:jc w:val="both"/>
        <w:rPr>
          <w:rFonts w:ascii="Arial" w:hAnsi="Arial" w:cs="Arial"/>
          <w:sz w:val="24"/>
          <w:szCs w:val="24"/>
        </w:rPr>
      </w:pPr>
      <w:r w:rsidRPr="0019726D">
        <w:rPr>
          <w:rFonts w:ascii="Arial" w:eastAsia="Times New Roman" w:hAnsi="Arial" w:cs="Arial"/>
          <w:sz w:val="24"/>
          <w:szCs w:val="24"/>
        </w:rPr>
        <w:lastRenderedPageBreak/>
        <w:t>[15]</w:t>
      </w:r>
      <w:r w:rsidRPr="0019726D">
        <w:rPr>
          <w:rFonts w:ascii="Arial" w:eastAsia="Times New Roman" w:hAnsi="Arial" w:cs="Arial"/>
          <w:sz w:val="24"/>
          <w:szCs w:val="24"/>
        </w:rPr>
        <w:tab/>
      </w:r>
      <w:r w:rsidR="0019726D" w:rsidRPr="0031127F">
        <w:rPr>
          <w:rFonts w:ascii="Arial" w:hAnsi="Arial" w:cs="Arial"/>
          <w:sz w:val="24"/>
          <w:szCs w:val="24"/>
        </w:rPr>
        <w:t xml:space="preserve">What is apparent is that the agreement specifically incorporates the terms of the addendum, and accordingly, the two documents </w:t>
      </w:r>
      <w:r w:rsidR="00860F61" w:rsidRPr="0031127F">
        <w:rPr>
          <w:rFonts w:ascii="Arial" w:hAnsi="Arial" w:cs="Arial"/>
          <w:sz w:val="24"/>
          <w:szCs w:val="24"/>
        </w:rPr>
        <w:t xml:space="preserve">are inextricably bound and </w:t>
      </w:r>
      <w:r w:rsidR="0019726D" w:rsidRPr="0031127F">
        <w:rPr>
          <w:rFonts w:ascii="Arial" w:hAnsi="Arial" w:cs="Arial"/>
          <w:sz w:val="24"/>
          <w:szCs w:val="24"/>
        </w:rPr>
        <w:t xml:space="preserve">must be read together.  Further apparent, is that the delivery of services in accordance with the agreement was made subject to the parties concluding a separate deed of sale in respect of the transfer of erf 317.  </w:t>
      </w:r>
      <w:r w:rsidR="00D865D3" w:rsidRPr="0031127F">
        <w:rPr>
          <w:rFonts w:ascii="Arial" w:hAnsi="Arial" w:cs="Arial"/>
          <w:sz w:val="24"/>
          <w:szCs w:val="24"/>
        </w:rPr>
        <w:t>Notwithstanding the</w:t>
      </w:r>
      <w:r w:rsidR="00A57E66" w:rsidRPr="0031127F">
        <w:rPr>
          <w:rFonts w:ascii="Arial" w:hAnsi="Arial" w:cs="Arial"/>
          <w:sz w:val="24"/>
          <w:szCs w:val="24"/>
        </w:rPr>
        <w:t xml:space="preserve"> express</w:t>
      </w:r>
      <w:r w:rsidR="00D865D3" w:rsidRPr="0031127F">
        <w:rPr>
          <w:rFonts w:ascii="Arial" w:hAnsi="Arial" w:cs="Arial"/>
          <w:sz w:val="24"/>
          <w:szCs w:val="24"/>
        </w:rPr>
        <w:t xml:space="preserve"> reference to </w:t>
      </w:r>
      <w:r w:rsidR="00A57E66" w:rsidRPr="0031127F">
        <w:rPr>
          <w:rFonts w:ascii="Arial" w:hAnsi="Arial" w:cs="Arial"/>
          <w:sz w:val="24"/>
          <w:szCs w:val="24"/>
        </w:rPr>
        <w:t xml:space="preserve">the transfer of </w:t>
      </w:r>
      <w:r w:rsidR="00D865D3" w:rsidRPr="0031127F">
        <w:rPr>
          <w:rFonts w:ascii="Arial" w:hAnsi="Arial" w:cs="Arial"/>
          <w:sz w:val="24"/>
          <w:szCs w:val="24"/>
        </w:rPr>
        <w:t xml:space="preserve">erf 317 in clause 3.1 of the agreement, clause 1 of the addendum </w:t>
      </w:r>
      <w:r w:rsidR="000D46F6" w:rsidRPr="0031127F">
        <w:rPr>
          <w:rFonts w:ascii="Arial" w:hAnsi="Arial" w:cs="Arial"/>
          <w:sz w:val="24"/>
          <w:szCs w:val="24"/>
        </w:rPr>
        <w:t xml:space="preserve">conversely refers to the transfer of </w:t>
      </w:r>
      <w:r w:rsidR="0019726D" w:rsidRPr="0031127F">
        <w:rPr>
          <w:rFonts w:ascii="Arial" w:hAnsi="Arial" w:cs="Arial"/>
          <w:sz w:val="24"/>
          <w:szCs w:val="24"/>
        </w:rPr>
        <w:t>a plot, the identity of which is to be nominated by the plaintiff,</w:t>
      </w:r>
      <w:r w:rsidR="000D46F6" w:rsidRPr="0031127F">
        <w:rPr>
          <w:rFonts w:ascii="Arial" w:hAnsi="Arial" w:cs="Arial"/>
          <w:sz w:val="24"/>
          <w:szCs w:val="24"/>
        </w:rPr>
        <w:t xml:space="preserve"> to the </w:t>
      </w:r>
      <w:r w:rsidR="0019726D" w:rsidRPr="0031127F">
        <w:rPr>
          <w:rFonts w:ascii="Arial" w:hAnsi="Arial" w:cs="Arial"/>
          <w:sz w:val="24"/>
          <w:szCs w:val="24"/>
        </w:rPr>
        <w:t xml:space="preserve">latter’s </w:t>
      </w:r>
      <w:r w:rsidR="000D46F6" w:rsidRPr="0031127F">
        <w:rPr>
          <w:rFonts w:ascii="Arial" w:hAnsi="Arial" w:cs="Arial"/>
          <w:sz w:val="24"/>
          <w:szCs w:val="24"/>
        </w:rPr>
        <w:t>nominated entity</w:t>
      </w:r>
      <w:r w:rsidR="0019726D" w:rsidRPr="0031127F">
        <w:rPr>
          <w:rFonts w:ascii="Arial" w:hAnsi="Arial" w:cs="Arial"/>
          <w:sz w:val="24"/>
          <w:szCs w:val="24"/>
        </w:rPr>
        <w:t>.  Neither the plot nor the entity is defined.</w:t>
      </w:r>
      <w:r w:rsidR="000D46F6" w:rsidRPr="0031127F">
        <w:rPr>
          <w:rFonts w:ascii="Arial" w:hAnsi="Arial" w:cs="Arial"/>
          <w:sz w:val="24"/>
          <w:szCs w:val="24"/>
        </w:rPr>
        <w:t xml:space="preserve">  The relevant clause read</w:t>
      </w:r>
      <w:r w:rsidR="00414039" w:rsidRPr="0031127F">
        <w:rPr>
          <w:rFonts w:ascii="Arial" w:hAnsi="Arial" w:cs="Arial"/>
          <w:sz w:val="24"/>
          <w:szCs w:val="24"/>
        </w:rPr>
        <w:t>s</w:t>
      </w:r>
      <w:r w:rsidR="00D865D3" w:rsidRPr="0031127F">
        <w:rPr>
          <w:rFonts w:ascii="Arial" w:hAnsi="Arial" w:cs="Arial"/>
          <w:sz w:val="24"/>
          <w:szCs w:val="24"/>
        </w:rPr>
        <w:t xml:space="preserve"> as follows:</w:t>
      </w:r>
    </w:p>
    <w:p w14:paraId="2DA580E4" w14:textId="77777777" w:rsidR="0019726D" w:rsidRDefault="0019726D" w:rsidP="00414039">
      <w:pPr>
        <w:pStyle w:val="ListParagraph"/>
        <w:spacing w:after="0" w:line="360" w:lineRule="auto"/>
        <w:jc w:val="both"/>
        <w:rPr>
          <w:rFonts w:ascii="Arial" w:hAnsi="Arial" w:cs="Arial"/>
          <w:sz w:val="24"/>
          <w:szCs w:val="24"/>
        </w:rPr>
      </w:pPr>
    </w:p>
    <w:p w14:paraId="521479D1" w14:textId="156A64B0" w:rsidR="00D865D3" w:rsidRPr="00C923EE" w:rsidRDefault="00D865D3" w:rsidP="00414039">
      <w:pPr>
        <w:pStyle w:val="ListParagraph"/>
        <w:spacing w:after="0" w:line="360" w:lineRule="auto"/>
        <w:jc w:val="both"/>
        <w:rPr>
          <w:rFonts w:ascii="Arial" w:hAnsi="Arial" w:cs="Arial"/>
          <w:i/>
          <w:iCs/>
        </w:rPr>
      </w:pPr>
      <w:r>
        <w:rPr>
          <w:rFonts w:ascii="Arial" w:hAnsi="Arial" w:cs="Arial"/>
          <w:sz w:val="24"/>
          <w:szCs w:val="24"/>
        </w:rPr>
        <w:t>“</w:t>
      </w:r>
      <w:r w:rsidRPr="00C923EE">
        <w:rPr>
          <w:rFonts w:ascii="Arial" w:hAnsi="Arial" w:cs="Arial"/>
          <w:b/>
          <w:bCs/>
          <w:i/>
          <w:iCs/>
        </w:rPr>
        <w:t>RATES</w:t>
      </w:r>
    </w:p>
    <w:p w14:paraId="5125C85E" w14:textId="77777777" w:rsidR="00D865D3" w:rsidRPr="00C923EE" w:rsidRDefault="00D865D3" w:rsidP="00C923EE">
      <w:pPr>
        <w:pStyle w:val="ListParagraph"/>
        <w:spacing w:after="0" w:line="360" w:lineRule="auto"/>
        <w:jc w:val="both"/>
        <w:rPr>
          <w:rFonts w:ascii="Arial" w:hAnsi="Arial" w:cs="Arial"/>
          <w:i/>
          <w:iCs/>
        </w:rPr>
      </w:pPr>
    </w:p>
    <w:p w14:paraId="4B3361EA" w14:textId="2EC4D7A4" w:rsidR="00C923EE" w:rsidRPr="0031127F" w:rsidRDefault="0031127F" w:rsidP="0031127F">
      <w:pPr>
        <w:spacing w:after="0" w:line="360" w:lineRule="auto"/>
        <w:ind w:left="1418" w:hanging="709"/>
        <w:jc w:val="both"/>
        <w:rPr>
          <w:rFonts w:ascii="Arial" w:hAnsi="Arial" w:cs="Arial"/>
          <w:sz w:val="24"/>
          <w:szCs w:val="24"/>
        </w:rPr>
      </w:pPr>
      <w:r w:rsidRPr="00C923EE">
        <w:rPr>
          <w:rFonts w:ascii="Arial" w:eastAsia="Times New Roman" w:hAnsi="Arial" w:cs="Arial"/>
          <w:i/>
          <w:iCs/>
          <w:sz w:val="24"/>
          <w:szCs w:val="24"/>
        </w:rPr>
        <w:t>1.</w:t>
      </w:r>
      <w:r w:rsidRPr="00C923EE">
        <w:rPr>
          <w:rFonts w:ascii="Arial" w:eastAsia="Times New Roman" w:hAnsi="Arial" w:cs="Arial"/>
          <w:i/>
          <w:iCs/>
          <w:sz w:val="24"/>
          <w:szCs w:val="24"/>
        </w:rPr>
        <w:tab/>
      </w:r>
      <w:r w:rsidR="00D865D3" w:rsidRPr="0031127F">
        <w:rPr>
          <w:rFonts w:ascii="Arial" w:hAnsi="Arial" w:cs="Arial"/>
          <w:i/>
          <w:iCs/>
        </w:rPr>
        <w:t xml:space="preserve">The Company, or its nominated agent, undertakes to transfer a plot in the Wedgewood Estate to the nominated entity of the Service Provider in lieu of part payment </w:t>
      </w:r>
      <w:r w:rsidR="00C923EE" w:rsidRPr="0031127F">
        <w:rPr>
          <w:rFonts w:ascii="Arial" w:hAnsi="Arial" w:cs="Arial"/>
          <w:i/>
          <w:iCs/>
        </w:rPr>
        <w:t>for the rendering of services as set out herein which plot is to be nominated by the Service Provider.  In the event that the Company does not transfer the plot to the nominated entity of the Service Provider in terms of the agreement between the parties or in the event that the Company fails to build a dwelling as set out below the parties agree that the Company will pay the Service Provider an amount of R2,600.00 per plot that has been so cleared upon presentation of invoice.</w:t>
      </w:r>
    </w:p>
    <w:p w14:paraId="61654B44" w14:textId="3C16A8D4" w:rsidR="00C923EE" w:rsidRDefault="00C923EE" w:rsidP="00162F25">
      <w:pPr>
        <w:spacing w:after="0" w:line="480" w:lineRule="auto"/>
        <w:ind w:left="709"/>
        <w:jc w:val="both"/>
        <w:rPr>
          <w:rFonts w:ascii="Arial" w:hAnsi="Arial" w:cs="Arial"/>
          <w:sz w:val="24"/>
          <w:szCs w:val="24"/>
        </w:rPr>
      </w:pPr>
    </w:p>
    <w:p w14:paraId="76C2BE8B" w14:textId="5C6272DF" w:rsidR="00414039"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[16]</w:t>
      </w:r>
      <w:r>
        <w:rPr>
          <w:rFonts w:ascii="Arial" w:eastAsia="Times New Roman" w:hAnsi="Arial" w:cs="Arial"/>
          <w:sz w:val="24"/>
          <w:szCs w:val="24"/>
        </w:rPr>
        <w:tab/>
      </w:r>
      <w:r w:rsidR="00414039" w:rsidRPr="0031127F">
        <w:rPr>
          <w:rFonts w:ascii="Arial" w:hAnsi="Arial" w:cs="Arial"/>
          <w:sz w:val="24"/>
          <w:szCs w:val="24"/>
        </w:rPr>
        <w:t>The remaining rel</w:t>
      </w:r>
      <w:r w:rsidR="008B5E53" w:rsidRPr="0031127F">
        <w:rPr>
          <w:rFonts w:ascii="Arial" w:hAnsi="Arial" w:cs="Arial"/>
          <w:sz w:val="24"/>
          <w:szCs w:val="24"/>
        </w:rPr>
        <w:t>ated</w:t>
      </w:r>
      <w:r w:rsidR="00414039" w:rsidRPr="0031127F">
        <w:rPr>
          <w:rFonts w:ascii="Arial" w:hAnsi="Arial" w:cs="Arial"/>
          <w:sz w:val="24"/>
          <w:szCs w:val="24"/>
        </w:rPr>
        <w:t xml:space="preserve"> clauses in the addendum </w:t>
      </w:r>
      <w:r w:rsidR="00886A94" w:rsidRPr="0031127F">
        <w:rPr>
          <w:rFonts w:ascii="Arial" w:hAnsi="Arial" w:cs="Arial"/>
          <w:sz w:val="24"/>
          <w:szCs w:val="24"/>
        </w:rPr>
        <w:t>specify that</w:t>
      </w:r>
      <w:r w:rsidR="00414039" w:rsidRPr="0031127F">
        <w:rPr>
          <w:rFonts w:ascii="Arial" w:hAnsi="Arial" w:cs="Arial"/>
          <w:sz w:val="24"/>
          <w:szCs w:val="24"/>
        </w:rPr>
        <w:t>:</w:t>
      </w:r>
    </w:p>
    <w:p w14:paraId="5E32350E" w14:textId="77777777" w:rsidR="00F04982" w:rsidRDefault="00F04982" w:rsidP="00162F25">
      <w:pPr>
        <w:pStyle w:val="ListParagraph"/>
        <w:spacing w:after="0" w:line="480" w:lineRule="auto"/>
        <w:ind w:left="0"/>
        <w:jc w:val="both"/>
        <w:rPr>
          <w:rFonts w:ascii="Arial" w:hAnsi="Arial" w:cs="Arial"/>
          <w:sz w:val="24"/>
          <w:szCs w:val="24"/>
        </w:rPr>
      </w:pPr>
    </w:p>
    <w:p w14:paraId="08E9BC4D" w14:textId="30E133BA" w:rsidR="00C923EE" w:rsidRPr="00F04982" w:rsidRDefault="00F04982" w:rsidP="00F04982">
      <w:pPr>
        <w:pStyle w:val="ListParagraph"/>
        <w:spacing w:after="0" w:line="480" w:lineRule="auto"/>
        <w:ind w:left="1418" w:hanging="709"/>
        <w:jc w:val="both"/>
        <w:rPr>
          <w:rFonts w:ascii="Arial" w:hAnsi="Arial" w:cs="Arial"/>
          <w:sz w:val="24"/>
          <w:szCs w:val="24"/>
        </w:rPr>
      </w:pPr>
      <w:r>
        <w:rPr>
          <w:rFonts w:ascii="Arial" w:hAnsi="Arial" w:cs="Arial"/>
          <w:sz w:val="24"/>
          <w:szCs w:val="24"/>
        </w:rPr>
        <w:t>“</w:t>
      </w:r>
      <w:r w:rsidRPr="00F04982">
        <w:rPr>
          <w:rFonts w:ascii="Arial" w:hAnsi="Arial" w:cs="Arial"/>
          <w:i/>
          <w:iCs/>
        </w:rPr>
        <w:t>2</w:t>
      </w:r>
      <w:r>
        <w:rPr>
          <w:rFonts w:ascii="Arial" w:hAnsi="Arial" w:cs="Arial"/>
          <w:sz w:val="24"/>
          <w:szCs w:val="24"/>
        </w:rPr>
        <w:t>.</w:t>
      </w:r>
      <w:r>
        <w:rPr>
          <w:rFonts w:ascii="Arial" w:hAnsi="Arial" w:cs="Arial"/>
          <w:sz w:val="24"/>
          <w:szCs w:val="24"/>
        </w:rPr>
        <w:tab/>
      </w:r>
      <w:r w:rsidR="00C923EE" w:rsidRPr="00F04982">
        <w:rPr>
          <w:rFonts w:ascii="Arial" w:hAnsi="Arial" w:cs="Arial"/>
          <w:i/>
          <w:iCs/>
        </w:rPr>
        <w:t>The Company will pay to the Service Provider, in addition to the transfer of the plot and the building of the house, an amount of R24,000.00 per month as and for running costs which amount equates to a 60%/40% split of the running costs and also includes the use of a TLB and 5 ton tip truck.</w:t>
      </w:r>
    </w:p>
    <w:p w14:paraId="09E98628" w14:textId="77777777" w:rsidR="00C923EE" w:rsidRPr="00F11111" w:rsidRDefault="00C923EE" w:rsidP="00F11111">
      <w:pPr>
        <w:pStyle w:val="ListParagraph"/>
        <w:spacing w:after="0" w:line="360" w:lineRule="auto"/>
        <w:rPr>
          <w:rFonts w:ascii="Arial" w:hAnsi="Arial" w:cs="Arial"/>
          <w:i/>
          <w:iCs/>
        </w:rPr>
      </w:pPr>
    </w:p>
    <w:p w14:paraId="4523E977" w14:textId="3ACE4286" w:rsidR="00D865D3" w:rsidRPr="0031127F" w:rsidRDefault="0031127F" w:rsidP="0031127F">
      <w:pPr>
        <w:spacing w:after="0" w:line="360" w:lineRule="auto"/>
        <w:ind w:left="1418" w:hanging="698"/>
        <w:jc w:val="both"/>
        <w:rPr>
          <w:rFonts w:ascii="Arial" w:hAnsi="Arial" w:cs="Arial"/>
          <w:i/>
          <w:iCs/>
        </w:rPr>
      </w:pPr>
      <w:r w:rsidRPr="00F04982">
        <w:rPr>
          <w:rFonts w:ascii="Arial" w:eastAsia="Times New Roman" w:hAnsi="Arial" w:cs="Arial"/>
          <w:i/>
          <w:iCs/>
        </w:rPr>
        <w:lastRenderedPageBreak/>
        <w:t>3.</w:t>
      </w:r>
      <w:r w:rsidRPr="00F04982">
        <w:rPr>
          <w:rFonts w:ascii="Arial" w:eastAsia="Times New Roman" w:hAnsi="Arial" w:cs="Arial"/>
          <w:i/>
          <w:iCs/>
        </w:rPr>
        <w:tab/>
      </w:r>
      <w:r w:rsidR="00C923EE" w:rsidRPr="0031127F">
        <w:rPr>
          <w:rFonts w:ascii="Arial" w:hAnsi="Arial" w:cs="Arial"/>
          <w:i/>
          <w:iCs/>
        </w:rPr>
        <w:t>The Company, or its nominated agent, undertakes to build a dwelling on the plot set out in paragraph 1 above in accordance with an agreed plan which dwelling shall be built in accordance with the specifications of the Service Provider which value of the dwelling shall not be less than R938,600.00.</w:t>
      </w:r>
    </w:p>
    <w:p w14:paraId="1CAD48B1" w14:textId="77777777" w:rsidR="00C923EE" w:rsidRPr="00F11111" w:rsidRDefault="00C923EE" w:rsidP="00F11111">
      <w:pPr>
        <w:pStyle w:val="ListParagraph"/>
        <w:spacing w:after="0" w:line="360" w:lineRule="auto"/>
        <w:rPr>
          <w:rFonts w:ascii="Arial" w:hAnsi="Arial" w:cs="Arial"/>
          <w:i/>
          <w:iCs/>
        </w:rPr>
      </w:pPr>
    </w:p>
    <w:p w14:paraId="7E72FEFE" w14:textId="2F66C427" w:rsidR="00C923EE" w:rsidRPr="0031127F" w:rsidRDefault="0031127F" w:rsidP="0031127F">
      <w:pPr>
        <w:spacing w:after="0" w:line="360" w:lineRule="auto"/>
        <w:ind w:left="2127" w:hanging="709"/>
        <w:jc w:val="both"/>
        <w:rPr>
          <w:rFonts w:ascii="Arial" w:hAnsi="Arial" w:cs="Arial"/>
          <w:i/>
          <w:iCs/>
        </w:rPr>
      </w:pPr>
      <w:r w:rsidRPr="00F11111">
        <w:rPr>
          <w:rFonts w:ascii="Arial" w:eastAsia="Times New Roman" w:hAnsi="Arial" w:cs="Arial"/>
          <w:i/>
          <w:iCs/>
        </w:rPr>
        <w:t>3.1</w:t>
      </w:r>
      <w:r w:rsidRPr="00F11111">
        <w:rPr>
          <w:rFonts w:ascii="Arial" w:eastAsia="Times New Roman" w:hAnsi="Arial" w:cs="Arial"/>
          <w:i/>
          <w:iCs/>
        </w:rPr>
        <w:tab/>
      </w:r>
      <w:r w:rsidR="00F11111" w:rsidRPr="0031127F">
        <w:rPr>
          <w:rFonts w:ascii="Arial" w:hAnsi="Arial" w:cs="Arial"/>
          <w:i/>
          <w:iCs/>
        </w:rPr>
        <w:t>…</w:t>
      </w:r>
    </w:p>
    <w:p w14:paraId="32BDBFFD" w14:textId="3B5AF0B2" w:rsidR="00F11111" w:rsidRPr="0031127F" w:rsidRDefault="0031127F" w:rsidP="0031127F">
      <w:pPr>
        <w:spacing w:after="0" w:line="360" w:lineRule="auto"/>
        <w:ind w:left="1418" w:hanging="698"/>
        <w:jc w:val="both"/>
        <w:rPr>
          <w:rFonts w:ascii="Arial" w:hAnsi="Arial" w:cs="Arial"/>
          <w:i/>
          <w:iCs/>
        </w:rPr>
      </w:pPr>
      <w:r w:rsidRPr="00F11111">
        <w:rPr>
          <w:rFonts w:ascii="Arial" w:eastAsia="Times New Roman" w:hAnsi="Arial" w:cs="Arial"/>
          <w:i/>
          <w:iCs/>
        </w:rPr>
        <w:t>4.</w:t>
      </w:r>
      <w:r w:rsidRPr="00F11111">
        <w:rPr>
          <w:rFonts w:ascii="Arial" w:eastAsia="Times New Roman" w:hAnsi="Arial" w:cs="Arial"/>
          <w:i/>
          <w:iCs/>
        </w:rPr>
        <w:tab/>
      </w:r>
      <w:r w:rsidR="00F11111" w:rsidRPr="0031127F">
        <w:rPr>
          <w:rFonts w:ascii="Arial" w:hAnsi="Arial" w:cs="Arial"/>
          <w:i/>
          <w:iCs/>
        </w:rPr>
        <w:t>The parties agree that:</w:t>
      </w:r>
    </w:p>
    <w:p w14:paraId="2E6431BD" w14:textId="77777777" w:rsidR="00A958B5" w:rsidRDefault="00A958B5" w:rsidP="00A958B5">
      <w:pPr>
        <w:pStyle w:val="ListParagraph"/>
        <w:spacing w:after="0" w:line="360" w:lineRule="auto"/>
        <w:ind w:left="2127"/>
        <w:jc w:val="both"/>
        <w:rPr>
          <w:rFonts w:ascii="Arial" w:hAnsi="Arial" w:cs="Arial"/>
          <w:i/>
          <w:iCs/>
        </w:rPr>
      </w:pPr>
    </w:p>
    <w:p w14:paraId="6C1E8334" w14:textId="0CA9525F" w:rsidR="00F11111" w:rsidRPr="0031127F" w:rsidRDefault="0031127F" w:rsidP="0031127F">
      <w:pPr>
        <w:spacing w:after="0" w:line="360" w:lineRule="auto"/>
        <w:ind w:left="2127" w:hanging="687"/>
        <w:jc w:val="both"/>
        <w:rPr>
          <w:rFonts w:ascii="Arial" w:hAnsi="Arial" w:cs="Arial"/>
          <w:i/>
          <w:iCs/>
        </w:rPr>
      </w:pPr>
      <w:r w:rsidRPr="00F11111">
        <w:rPr>
          <w:rFonts w:ascii="Arial" w:eastAsia="Times New Roman" w:hAnsi="Arial" w:cs="Arial"/>
          <w:i/>
          <w:iCs/>
        </w:rPr>
        <w:t>a.</w:t>
      </w:r>
      <w:r w:rsidRPr="00F11111">
        <w:rPr>
          <w:rFonts w:ascii="Arial" w:eastAsia="Times New Roman" w:hAnsi="Arial" w:cs="Arial"/>
          <w:i/>
          <w:iCs/>
        </w:rPr>
        <w:tab/>
      </w:r>
      <w:r w:rsidR="00F11111" w:rsidRPr="0031127F">
        <w:rPr>
          <w:rFonts w:ascii="Arial" w:hAnsi="Arial" w:cs="Arial"/>
          <w:i/>
          <w:iCs/>
        </w:rPr>
        <w:t>The transfer of the plot shall be effected after the clearing of 100 erven or by no later than September 2021, whichever is the soonest;</w:t>
      </w:r>
    </w:p>
    <w:p w14:paraId="6398F105" w14:textId="77777777" w:rsidR="008B5E53" w:rsidRPr="008B5E53" w:rsidRDefault="008B5E53" w:rsidP="008B5E53">
      <w:pPr>
        <w:pStyle w:val="ListParagraph"/>
        <w:spacing w:after="0" w:line="360" w:lineRule="auto"/>
        <w:ind w:left="2127"/>
        <w:jc w:val="both"/>
        <w:rPr>
          <w:rFonts w:ascii="Arial" w:hAnsi="Arial" w:cs="Arial"/>
          <w:sz w:val="24"/>
          <w:szCs w:val="24"/>
        </w:rPr>
      </w:pPr>
    </w:p>
    <w:p w14:paraId="73FAADCF" w14:textId="5EF5BC2F" w:rsidR="00F11111" w:rsidRPr="0031127F" w:rsidRDefault="0031127F" w:rsidP="0031127F">
      <w:pPr>
        <w:spacing w:after="0" w:line="360" w:lineRule="auto"/>
        <w:ind w:left="2127" w:hanging="687"/>
        <w:jc w:val="both"/>
        <w:rPr>
          <w:rFonts w:ascii="Arial" w:hAnsi="Arial" w:cs="Arial"/>
          <w:sz w:val="24"/>
          <w:szCs w:val="24"/>
        </w:rPr>
      </w:pPr>
      <w:r>
        <w:rPr>
          <w:rFonts w:ascii="Arial" w:eastAsia="Times New Roman" w:hAnsi="Arial" w:cs="Arial"/>
          <w:i/>
          <w:iCs/>
          <w:sz w:val="24"/>
          <w:szCs w:val="24"/>
        </w:rPr>
        <w:t>b.</w:t>
      </w:r>
      <w:r>
        <w:rPr>
          <w:rFonts w:ascii="Arial" w:eastAsia="Times New Roman" w:hAnsi="Arial" w:cs="Arial"/>
          <w:i/>
          <w:iCs/>
          <w:sz w:val="24"/>
          <w:szCs w:val="24"/>
        </w:rPr>
        <w:tab/>
      </w:r>
      <w:r w:rsidR="00F11111" w:rsidRPr="0031127F">
        <w:rPr>
          <w:rFonts w:ascii="Arial" w:hAnsi="Arial" w:cs="Arial"/>
          <w:i/>
          <w:iCs/>
        </w:rPr>
        <w:t>The construction of the home as (sic) specified to commence after clearing rubble from 150 erven and having the foundations dug thereon or no later than the next financial year June 2022, whichever is the soonest.</w:t>
      </w:r>
      <w:r w:rsidR="00F11111" w:rsidRPr="0031127F">
        <w:rPr>
          <w:rFonts w:ascii="Arial" w:hAnsi="Arial" w:cs="Arial"/>
          <w:sz w:val="24"/>
          <w:szCs w:val="24"/>
        </w:rPr>
        <w:t>”</w:t>
      </w:r>
    </w:p>
    <w:p w14:paraId="330A7924" w14:textId="77777777" w:rsidR="00F11111" w:rsidRDefault="00F11111" w:rsidP="00AC4EE3">
      <w:pPr>
        <w:pStyle w:val="ListParagraph"/>
        <w:spacing w:after="0" w:line="480" w:lineRule="auto"/>
        <w:ind w:left="2127"/>
        <w:jc w:val="both"/>
        <w:rPr>
          <w:rFonts w:ascii="Arial" w:hAnsi="Arial" w:cs="Arial"/>
          <w:sz w:val="24"/>
          <w:szCs w:val="24"/>
        </w:rPr>
      </w:pPr>
    </w:p>
    <w:p w14:paraId="0197F202" w14:textId="42F36C91" w:rsidR="0038700C"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[17]</w:t>
      </w:r>
      <w:r>
        <w:rPr>
          <w:rFonts w:ascii="Arial" w:eastAsia="Times New Roman" w:hAnsi="Arial" w:cs="Arial"/>
          <w:sz w:val="24"/>
          <w:szCs w:val="24"/>
        </w:rPr>
        <w:tab/>
      </w:r>
      <w:r w:rsidR="008B5E53" w:rsidRPr="0031127F">
        <w:rPr>
          <w:rFonts w:ascii="Arial" w:hAnsi="Arial" w:cs="Arial"/>
          <w:sz w:val="24"/>
          <w:szCs w:val="24"/>
        </w:rPr>
        <w:t>It is</w:t>
      </w:r>
      <w:r w:rsidR="00A1033D" w:rsidRPr="0031127F">
        <w:rPr>
          <w:rFonts w:ascii="Arial" w:hAnsi="Arial" w:cs="Arial"/>
          <w:sz w:val="24"/>
          <w:szCs w:val="24"/>
        </w:rPr>
        <w:t xml:space="preserve"> common cause that the intended deed of sale has not been concluded between the parties.</w:t>
      </w:r>
      <w:r w:rsidR="008B5E53" w:rsidRPr="0031127F">
        <w:rPr>
          <w:rFonts w:ascii="Arial" w:hAnsi="Arial" w:cs="Arial"/>
          <w:sz w:val="24"/>
          <w:szCs w:val="24"/>
        </w:rPr>
        <w:t xml:space="preserve"> </w:t>
      </w:r>
      <w:r w:rsidR="00A1033D" w:rsidRPr="0031127F">
        <w:rPr>
          <w:rFonts w:ascii="Arial" w:hAnsi="Arial" w:cs="Arial"/>
          <w:sz w:val="24"/>
          <w:szCs w:val="24"/>
        </w:rPr>
        <w:t xml:space="preserve"> It is further </w:t>
      </w:r>
      <w:r w:rsidR="008B5E53" w:rsidRPr="0031127F">
        <w:rPr>
          <w:rFonts w:ascii="Arial" w:hAnsi="Arial" w:cs="Arial"/>
          <w:sz w:val="24"/>
          <w:szCs w:val="24"/>
        </w:rPr>
        <w:t>undisputed that</w:t>
      </w:r>
      <w:r w:rsidR="00FB5674" w:rsidRPr="0031127F">
        <w:rPr>
          <w:rFonts w:ascii="Arial" w:hAnsi="Arial" w:cs="Arial"/>
          <w:sz w:val="24"/>
          <w:szCs w:val="24"/>
        </w:rPr>
        <w:t xml:space="preserve">: </w:t>
      </w:r>
      <w:r w:rsidR="00292125" w:rsidRPr="0031127F">
        <w:rPr>
          <w:rFonts w:ascii="Arial" w:hAnsi="Arial" w:cs="Arial"/>
          <w:sz w:val="24"/>
          <w:szCs w:val="24"/>
        </w:rPr>
        <w:t>(i)</w:t>
      </w:r>
      <w:r w:rsidR="00783F50" w:rsidRPr="0031127F">
        <w:rPr>
          <w:rFonts w:ascii="Arial" w:hAnsi="Arial" w:cs="Arial"/>
          <w:sz w:val="24"/>
          <w:szCs w:val="24"/>
        </w:rPr>
        <w:t xml:space="preserve"> the plaintiff</w:t>
      </w:r>
      <w:r w:rsidR="00292125" w:rsidRPr="0031127F">
        <w:rPr>
          <w:rFonts w:ascii="Arial" w:hAnsi="Arial" w:cs="Arial"/>
          <w:sz w:val="24"/>
          <w:szCs w:val="24"/>
        </w:rPr>
        <w:t xml:space="preserve"> </w:t>
      </w:r>
      <w:r w:rsidR="008B5E53" w:rsidRPr="0031127F">
        <w:rPr>
          <w:rFonts w:ascii="Arial" w:hAnsi="Arial" w:cs="Arial"/>
          <w:sz w:val="24"/>
          <w:szCs w:val="24"/>
        </w:rPr>
        <w:t>ha</w:t>
      </w:r>
      <w:r w:rsidR="00FB5674" w:rsidRPr="0031127F">
        <w:rPr>
          <w:rFonts w:ascii="Arial" w:hAnsi="Arial" w:cs="Arial"/>
          <w:sz w:val="24"/>
          <w:szCs w:val="24"/>
        </w:rPr>
        <w:t>s</w:t>
      </w:r>
      <w:r w:rsidR="008B5E53" w:rsidRPr="0031127F">
        <w:rPr>
          <w:rFonts w:ascii="Arial" w:hAnsi="Arial" w:cs="Arial"/>
          <w:sz w:val="24"/>
          <w:szCs w:val="24"/>
        </w:rPr>
        <w:t xml:space="preserve"> cleared 100 plots, of which 37 ha</w:t>
      </w:r>
      <w:r w:rsidR="00E76162" w:rsidRPr="0031127F">
        <w:rPr>
          <w:rFonts w:ascii="Arial" w:hAnsi="Arial" w:cs="Arial"/>
          <w:sz w:val="24"/>
          <w:szCs w:val="24"/>
        </w:rPr>
        <w:t>ve</w:t>
      </w:r>
      <w:r w:rsidR="008B5E53" w:rsidRPr="0031127F">
        <w:rPr>
          <w:rFonts w:ascii="Arial" w:hAnsi="Arial" w:cs="Arial"/>
          <w:sz w:val="24"/>
          <w:szCs w:val="24"/>
        </w:rPr>
        <w:t xml:space="preserve"> been trenched</w:t>
      </w:r>
      <w:r w:rsidR="00292125" w:rsidRPr="0031127F">
        <w:rPr>
          <w:rFonts w:ascii="Arial" w:hAnsi="Arial" w:cs="Arial"/>
          <w:sz w:val="24"/>
          <w:szCs w:val="24"/>
        </w:rPr>
        <w:t xml:space="preserve">; (ii) </w:t>
      </w:r>
      <w:r w:rsidR="00783F50" w:rsidRPr="0031127F">
        <w:rPr>
          <w:rFonts w:ascii="Arial" w:hAnsi="Arial" w:cs="Arial"/>
          <w:sz w:val="24"/>
          <w:szCs w:val="24"/>
        </w:rPr>
        <w:t xml:space="preserve">the plaintiff </w:t>
      </w:r>
      <w:r w:rsidR="00292125" w:rsidRPr="0031127F">
        <w:rPr>
          <w:rFonts w:ascii="Arial" w:hAnsi="Arial" w:cs="Arial"/>
          <w:sz w:val="24"/>
          <w:szCs w:val="24"/>
        </w:rPr>
        <w:t>ha</w:t>
      </w:r>
      <w:r w:rsidR="00FB5674" w:rsidRPr="0031127F">
        <w:rPr>
          <w:rFonts w:ascii="Arial" w:hAnsi="Arial" w:cs="Arial"/>
          <w:sz w:val="24"/>
          <w:szCs w:val="24"/>
        </w:rPr>
        <w:t>s</w:t>
      </w:r>
      <w:r w:rsidR="00292125" w:rsidRPr="0031127F">
        <w:rPr>
          <w:rFonts w:ascii="Arial" w:hAnsi="Arial" w:cs="Arial"/>
          <w:sz w:val="24"/>
          <w:szCs w:val="24"/>
        </w:rPr>
        <w:t xml:space="preserve"> not been remunerated for the services rendered to the defendant (either by way of the transfer of a plot or by way of a payment sounding in money); and (iii) that the defendant </w:t>
      </w:r>
      <w:r w:rsidR="00D10AF5" w:rsidRPr="0031127F">
        <w:rPr>
          <w:rFonts w:ascii="Arial" w:hAnsi="Arial" w:cs="Arial"/>
          <w:sz w:val="24"/>
          <w:szCs w:val="24"/>
        </w:rPr>
        <w:t>remains liable for the payment for such services in terms of the agreement</w:t>
      </w:r>
      <w:r w:rsidR="00292125" w:rsidRPr="0031127F">
        <w:rPr>
          <w:rFonts w:ascii="Arial" w:hAnsi="Arial" w:cs="Arial"/>
          <w:sz w:val="24"/>
          <w:szCs w:val="24"/>
        </w:rPr>
        <w:t xml:space="preserve">.  </w:t>
      </w:r>
    </w:p>
    <w:p w14:paraId="56605A1C" w14:textId="77777777" w:rsidR="0038700C" w:rsidRDefault="0038700C" w:rsidP="0038700C">
      <w:pPr>
        <w:pStyle w:val="ListParagraph"/>
        <w:spacing w:after="0" w:line="480" w:lineRule="auto"/>
        <w:ind w:left="0"/>
        <w:jc w:val="both"/>
        <w:rPr>
          <w:rFonts w:ascii="Arial" w:hAnsi="Arial" w:cs="Arial"/>
          <w:sz w:val="24"/>
          <w:szCs w:val="24"/>
        </w:rPr>
      </w:pPr>
    </w:p>
    <w:p w14:paraId="01D013A6" w14:textId="4F3263D5" w:rsidR="00BC0A9E"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[18]</w:t>
      </w:r>
      <w:r>
        <w:rPr>
          <w:rFonts w:ascii="Arial" w:eastAsia="Times New Roman" w:hAnsi="Arial" w:cs="Arial"/>
          <w:sz w:val="24"/>
          <w:szCs w:val="24"/>
        </w:rPr>
        <w:tab/>
      </w:r>
      <w:r w:rsidR="00292125" w:rsidRPr="0031127F">
        <w:rPr>
          <w:rFonts w:ascii="Arial" w:hAnsi="Arial" w:cs="Arial"/>
          <w:sz w:val="24"/>
          <w:szCs w:val="24"/>
        </w:rPr>
        <w:t xml:space="preserve">The parties’ disagreement lies in the </w:t>
      </w:r>
      <w:r w:rsidR="00B764E0" w:rsidRPr="0031127F">
        <w:rPr>
          <w:rFonts w:ascii="Arial" w:hAnsi="Arial" w:cs="Arial"/>
          <w:sz w:val="24"/>
          <w:szCs w:val="24"/>
        </w:rPr>
        <w:t>manner in which</w:t>
      </w:r>
      <w:r w:rsidR="00292125" w:rsidRPr="0031127F">
        <w:rPr>
          <w:rFonts w:ascii="Arial" w:hAnsi="Arial" w:cs="Arial"/>
          <w:sz w:val="24"/>
          <w:szCs w:val="24"/>
        </w:rPr>
        <w:t xml:space="preserve"> the defendant’s admitted liability is to be discharged</w:t>
      </w:r>
      <w:r w:rsidR="00863326" w:rsidRPr="0031127F">
        <w:rPr>
          <w:rFonts w:ascii="Arial" w:hAnsi="Arial" w:cs="Arial"/>
          <w:sz w:val="24"/>
          <w:szCs w:val="24"/>
        </w:rPr>
        <w:t>.  On the one hand, the plaintiff contends that same falls to be discharged by way of a monetary payment, whilst on the other hand, the defendant is of the view that its liability is limited to the transfer of erf 317</w:t>
      </w:r>
      <w:r w:rsidR="00A13026" w:rsidRPr="0031127F">
        <w:rPr>
          <w:rFonts w:ascii="Arial" w:hAnsi="Arial" w:cs="Arial"/>
          <w:sz w:val="24"/>
          <w:szCs w:val="24"/>
        </w:rPr>
        <w:t xml:space="preserve"> to the plaintiff </w:t>
      </w:r>
      <w:r w:rsidR="00A13026" w:rsidRPr="0031127F">
        <w:rPr>
          <w:rFonts w:ascii="Arial" w:hAnsi="Arial" w:cs="Arial"/>
          <w:i/>
          <w:iCs/>
          <w:sz w:val="24"/>
          <w:szCs w:val="24"/>
        </w:rPr>
        <w:t>in</w:t>
      </w:r>
      <w:r w:rsidR="00A13026" w:rsidRPr="0031127F">
        <w:rPr>
          <w:rFonts w:ascii="Arial" w:hAnsi="Arial" w:cs="Arial"/>
          <w:sz w:val="24"/>
          <w:szCs w:val="24"/>
        </w:rPr>
        <w:t xml:space="preserve"> </w:t>
      </w:r>
      <w:r w:rsidR="00A13026" w:rsidRPr="0031127F">
        <w:rPr>
          <w:rFonts w:ascii="Arial" w:hAnsi="Arial" w:cs="Arial"/>
          <w:i/>
          <w:iCs/>
          <w:sz w:val="24"/>
          <w:szCs w:val="24"/>
        </w:rPr>
        <w:t xml:space="preserve">lieu </w:t>
      </w:r>
      <w:r w:rsidR="00A13026" w:rsidRPr="0031127F">
        <w:rPr>
          <w:rFonts w:ascii="Arial" w:hAnsi="Arial" w:cs="Arial"/>
          <w:sz w:val="24"/>
          <w:szCs w:val="24"/>
        </w:rPr>
        <w:t xml:space="preserve">of </w:t>
      </w:r>
      <w:r w:rsidR="00881E54" w:rsidRPr="0031127F">
        <w:rPr>
          <w:rFonts w:ascii="Arial" w:hAnsi="Arial" w:cs="Arial"/>
          <w:sz w:val="24"/>
          <w:szCs w:val="24"/>
        </w:rPr>
        <w:t xml:space="preserve">a </w:t>
      </w:r>
      <w:r w:rsidR="00A13026" w:rsidRPr="0031127F">
        <w:rPr>
          <w:rFonts w:ascii="Arial" w:hAnsi="Arial" w:cs="Arial"/>
          <w:sz w:val="24"/>
          <w:szCs w:val="24"/>
        </w:rPr>
        <w:t>payment</w:t>
      </w:r>
      <w:r w:rsidR="00881E54" w:rsidRPr="0031127F">
        <w:rPr>
          <w:rFonts w:ascii="Arial" w:hAnsi="Arial" w:cs="Arial"/>
          <w:sz w:val="24"/>
          <w:szCs w:val="24"/>
        </w:rPr>
        <w:t xml:space="preserve"> sounding in money</w:t>
      </w:r>
      <w:r w:rsidR="00292125" w:rsidRPr="0031127F">
        <w:rPr>
          <w:rFonts w:ascii="Arial" w:hAnsi="Arial" w:cs="Arial"/>
          <w:sz w:val="24"/>
          <w:szCs w:val="24"/>
        </w:rPr>
        <w:t xml:space="preserve">.  </w:t>
      </w:r>
    </w:p>
    <w:p w14:paraId="6B7D4D6A" w14:textId="77777777" w:rsidR="00F04982" w:rsidRDefault="00F04982" w:rsidP="00AC4EE3">
      <w:pPr>
        <w:pStyle w:val="ListParagraph"/>
        <w:spacing w:after="0" w:line="480" w:lineRule="auto"/>
        <w:ind w:left="0"/>
        <w:jc w:val="both"/>
        <w:rPr>
          <w:rFonts w:ascii="Arial" w:hAnsi="Arial" w:cs="Arial"/>
          <w:sz w:val="24"/>
          <w:szCs w:val="24"/>
        </w:rPr>
      </w:pPr>
    </w:p>
    <w:p w14:paraId="17E2BF0B" w14:textId="5CBD9901" w:rsidR="00352FA8"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lastRenderedPageBreak/>
        <w:t>[19]</w:t>
      </w:r>
      <w:r>
        <w:rPr>
          <w:rFonts w:ascii="Arial" w:eastAsia="Times New Roman" w:hAnsi="Arial" w:cs="Arial"/>
          <w:sz w:val="24"/>
          <w:szCs w:val="24"/>
        </w:rPr>
        <w:tab/>
      </w:r>
      <w:r w:rsidR="00C25FE7" w:rsidRPr="0031127F">
        <w:rPr>
          <w:rFonts w:ascii="Arial" w:hAnsi="Arial" w:cs="Arial"/>
          <w:sz w:val="24"/>
          <w:szCs w:val="24"/>
        </w:rPr>
        <w:t>Following the breakdown of settlement negotiations, during which the defendant tendered transfer of erf 317 to the plaintiff</w:t>
      </w:r>
      <w:r w:rsidR="00E20830" w:rsidRPr="0031127F">
        <w:rPr>
          <w:rFonts w:ascii="Arial" w:hAnsi="Arial" w:cs="Arial"/>
          <w:sz w:val="24"/>
          <w:szCs w:val="24"/>
        </w:rPr>
        <w:t>; alternatively, erf 342,</w:t>
      </w:r>
      <w:r w:rsidR="00C25FE7" w:rsidRPr="0031127F">
        <w:rPr>
          <w:rFonts w:ascii="Arial" w:hAnsi="Arial" w:cs="Arial"/>
          <w:sz w:val="24"/>
          <w:szCs w:val="24"/>
        </w:rPr>
        <w:t xml:space="preserve"> t</w:t>
      </w:r>
      <w:r w:rsidR="00FB5674" w:rsidRPr="0031127F">
        <w:rPr>
          <w:rFonts w:ascii="Arial" w:hAnsi="Arial" w:cs="Arial"/>
          <w:sz w:val="24"/>
          <w:szCs w:val="24"/>
        </w:rPr>
        <w:t>he plaintiff</w:t>
      </w:r>
      <w:r w:rsidR="00C25FE7" w:rsidRPr="0031127F">
        <w:rPr>
          <w:rFonts w:ascii="Arial" w:hAnsi="Arial" w:cs="Arial"/>
          <w:sz w:val="24"/>
          <w:szCs w:val="24"/>
        </w:rPr>
        <w:t xml:space="preserve"> issued summons during November 2022.  </w:t>
      </w:r>
      <w:r w:rsidR="001C6DB3" w:rsidRPr="0031127F">
        <w:rPr>
          <w:rFonts w:ascii="Arial" w:hAnsi="Arial" w:cs="Arial"/>
          <w:sz w:val="24"/>
          <w:szCs w:val="24"/>
        </w:rPr>
        <w:t>T</w:t>
      </w:r>
      <w:r w:rsidR="00C25FE7" w:rsidRPr="0031127F">
        <w:rPr>
          <w:rFonts w:ascii="Arial" w:hAnsi="Arial" w:cs="Arial"/>
          <w:sz w:val="24"/>
          <w:szCs w:val="24"/>
        </w:rPr>
        <w:t xml:space="preserve">he plaintiff claims </w:t>
      </w:r>
      <w:r w:rsidR="002F6208" w:rsidRPr="0031127F">
        <w:rPr>
          <w:rFonts w:ascii="Arial" w:hAnsi="Arial" w:cs="Arial"/>
          <w:sz w:val="24"/>
          <w:szCs w:val="24"/>
        </w:rPr>
        <w:t>rectification of the agreement to include payment</w:t>
      </w:r>
      <w:r w:rsidR="00886A94" w:rsidRPr="0031127F">
        <w:rPr>
          <w:rFonts w:ascii="Arial" w:hAnsi="Arial" w:cs="Arial"/>
          <w:sz w:val="24"/>
          <w:szCs w:val="24"/>
        </w:rPr>
        <w:t xml:space="preserve"> of 15% VAT on all amounts invoiced by the plaintiff, and payment of the amount of R270,020.00, being R2,200.00 per plot cleared and R400.00 per plot trenched</w:t>
      </w:r>
      <w:r w:rsidR="00292125" w:rsidRPr="0031127F">
        <w:rPr>
          <w:rFonts w:ascii="Arial" w:hAnsi="Arial" w:cs="Arial"/>
          <w:sz w:val="24"/>
          <w:szCs w:val="24"/>
        </w:rPr>
        <w:t xml:space="preserve"> on the basis that</w:t>
      </w:r>
      <w:r w:rsidR="006F4284" w:rsidRPr="0031127F">
        <w:rPr>
          <w:rFonts w:ascii="Arial" w:hAnsi="Arial" w:cs="Arial"/>
          <w:sz w:val="24"/>
          <w:szCs w:val="24"/>
        </w:rPr>
        <w:t xml:space="preserve">: (i) the envisaged deed of sale was not forthcoming </w:t>
      </w:r>
      <w:r w:rsidR="006F4284" w:rsidRPr="0031127F">
        <w:rPr>
          <w:rFonts w:ascii="Arial" w:hAnsi="Arial" w:cs="Arial"/>
          <w:i/>
          <w:iCs/>
          <w:sz w:val="24"/>
          <w:szCs w:val="24"/>
        </w:rPr>
        <w:t>at the time of execution of the agreement</w:t>
      </w:r>
      <w:r w:rsidR="006F4284" w:rsidRPr="0031127F">
        <w:rPr>
          <w:rFonts w:ascii="Arial" w:hAnsi="Arial" w:cs="Arial"/>
          <w:sz w:val="24"/>
          <w:szCs w:val="24"/>
        </w:rPr>
        <w:t xml:space="preserve">; (ii) the terms of transfer have not been agreed upon; and (ii) </w:t>
      </w:r>
      <w:r w:rsidR="00292125" w:rsidRPr="0031127F">
        <w:rPr>
          <w:rFonts w:ascii="Arial" w:hAnsi="Arial" w:cs="Arial"/>
          <w:sz w:val="24"/>
          <w:szCs w:val="24"/>
        </w:rPr>
        <w:t xml:space="preserve">absent an agreement which complies with the Alienation of Land Act, 68 of 1981, the plaintiff is unable to claim transfer of a plot </w:t>
      </w:r>
      <w:r w:rsidR="00292125" w:rsidRPr="0031127F">
        <w:rPr>
          <w:rFonts w:ascii="Arial" w:hAnsi="Arial" w:cs="Arial"/>
          <w:i/>
          <w:iCs/>
          <w:sz w:val="24"/>
          <w:szCs w:val="24"/>
        </w:rPr>
        <w:t>in lieu</w:t>
      </w:r>
      <w:r w:rsidR="00292125" w:rsidRPr="0031127F">
        <w:rPr>
          <w:rFonts w:ascii="Arial" w:hAnsi="Arial" w:cs="Arial"/>
          <w:sz w:val="24"/>
          <w:szCs w:val="24"/>
        </w:rPr>
        <w:t xml:space="preserve"> of the works completed</w:t>
      </w:r>
      <w:r w:rsidR="006F4284" w:rsidRPr="0031127F">
        <w:rPr>
          <w:rFonts w:ascii="Arial" w:hAnsi="Arial" w:cs="Arial"/>
          <w:sz w:val="24"/>
          <w:szCs w:val="24"/>
        </w:rPr>
        <w:t>, hence its claim sounding in money</w:t>
      </w:r>
      <w:r w:rsidR="00292125" w:rsidRPr="0031127F">
        <w:rPr>
          <w:rFonts w:ascii="Arial" w:hAnsi="Arial" w:cs="Arial"/>
          <w:sz w:val="24"/>
          <w:szCs w:val="24"/>
        </w:rPr>
        <w:t>.</w:t>
      </w:r>
      <w:r w:rsidR="00CA5786" w:rsidRPr="0031127F">
        <w:rPr>
          <w:rFonts w:ascii="Arial" w:hAnsi="Arial" w:cs="Arial"/>
          <w:sz w:val="24"/>
          <w:szCs w:val="24"/>
        </w:rPr>
        <w:t xml:space="preserve">  </w:t>
      </w:r>
    </w:p>
    <w:p w14:paraId="26048CA3" w14:textId="77777777" w:rsidR="003C660B" w:rsidRDefault="003C660B" w:rsidP="003C660B">
      <w:pPr>
        <w:pStyle w:val="ListParagraph"/>
        <w:spacing w:after="0" w:line="480" w:lineRule="auto"/>
        <w:ind w:left="0"/>
        <w:jc w:val="both"/>
        <w:rPr>
          <w:rFonts w:ascii="Arial" w:hAnsi="Arial" w:cs="Arial"/>
          <w:sz w:val="24"/>
          <w:szCs w:val="24"/>
        </w:rPr>
      </w:pPr>
    </w:p>
    <w:p w14:paraId="7FD10B63" w14:textId="4AC3003E" w:rsidR="002B2182"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[20]</w:t>
      </w:r>
      <w:r>
        <w:rPr>
          <w:rFonts w:ascii="Arial" w:eastAsia="Times New Roman" w:hAnsi="Arial" w:cs="Arial"/>
          <w:sz w:val="24"/>
          <w:szCs w:val="24"/>
        </w:rPr>
        <w:tab/>
      </w:r>
      <w:r w:rsidR="00CA5786" w:rsidRPr="0031127F">
        <w:rPr>
          <w:rFonts w:ascii="Arial" w:hAnsi="Arial" w:cs="Arial"/>
          <w:sz w:val="24"/>
          <w:szCs w:val="24"/>
        </w:rPr>
        <w:t>Whilst the defendant accepts that the agreement</w:t>
      </w:r>
      <w:r w:rsidR="00352FA8" w:rsidRPr="0031127F">
        <w:rPr>
          <w:rFonts w:ascii="Arial" w:hAnsi="Arial" w:cs="Arial"/>
          <w:sz w:val="24"/>
          <w:szCs w:val="24"/>
        </w:rPr>
        <w:t>,</w:t>
      </w:r>
      <w:r w:rsidR="00CA5786" w:rsidRPr="0031127F">
        <w:rPr>
          <w:rFonts w:ascii="Arial" w:hAnsi="Arial" w:cs="Arial"/>
          <w:sz w:val="24"/>
          <w:szCs w:val="24"/>
        </w:rPr>
        <w:t xml:space="preserve"> read together with the addendum thereto</w:t>
      </w:r>
      <w:r w:rsidR="00352FA8" w:rsidRPr="0031127F">
        <w:rPr>
          <w:rFonts w:ascii="Arial" w:hAnsi="Arial" w:cs="Arial"/>
          <w:sz w:val="24"/>
          <w:szCs w:val="24"/>
        </w:rPr>
        <w:t>,</w:t>
      </w:r>
      <w:r w:rsidR="00CA5786" w:rsidRPr="0031127F">
        <w:rPr>
          <w:rFonts w:ascii="Arial" w:hAnsi="Arial" w:cs="Arial"/>
          <w:sz w:val="24"/>
          <w:szCs w:val="24"/>
        </w:rPr>
        <w:t xml:space="preserve"> falls foul of the provisions of Act 68 of 1981, it contends that the agreement was never intended to be a deed</w:t>
      </w:r>
      <w:r w:rsidR="00EA7AB1" w:rsidRPr="0031127F">
        <w:rPr>
          <w:rFonts w:ascii="Arial" w:hAnsi="Arial" w:cs="Arial"/>
          <w:sz w:val="24"/>
          <w:szCs w:val="24"/>
        </w:rPr>
        <w:t>,</w:t>
      </w:r>
      <w:r w:rsidR="00CA5786" w:rsidRPr="0031127F">
        <w:rPr>
          <w:rFonts w:ascii="Arial" w:hAnsi="Arial" w:cs="Arial"/>
          <w:sz w:val="24"/>
          <w:szCs w:val="24"/>
        </w:rPr>
        <w:t xml:space="preserve"> </w:t>
      </w:r>
      <w:r w:rsidR="00DD1349" w:rsidRPr="0031127F">
        <w:rPr>
          <w:rFonts w:ascii="Arial" w:hAnsi="Arial" w:cs="Arial"/>
          <w:sz w:val="24"/>
          <w:szCs w:val="24"/>
        </w:rPr>
        <w:t xml:space="preserve">as </w:t>
      </w:r>
      <w:r w:rsidR="00CA5786" w:rsidRPr="0031127F">
        <w:rPr>
          <w:rFonts w:ascii="Arial" w:hAnsi="Arial" w:cs="Arial"/>
          <w:sz w:val="24"/>
          <w:szCs w:val="24"/>
        </w:rPr>
        <w:t>envisaged</w:t>
      </w:r>
      <w:r w:rsidR="00FE7248" w:rsidRPr="0031127F">
        <w:rPr>
          <w:rFonts w:ascii="Arial" w:hAnsi="Arial" w:cs="Arial"/>
          <w:sz w:val="24"/>
          <w:szCs w:val="24"/>
        </w:rPr>
        <w:t xml:space="preserve"> </w:t>
      </w:r>
      <w:r w:rsidR="00E858B4" w:rsidRPr="0031127F">
        <w:rPr>
          <w:rFonts w:ascii="Arial" w:hAnsi="Arial" w:cs="Arial"/>
          <w:sz w:val="24"/>
          <w:szCs w:val="24"/>
        </w:rPr>
        <w:t xml:space="preserve">in section 1 </w:t>
      </w:r>
      <w:r w:rsidR="00E36733" w:rsidRPr="0031127F">
        <w:rPr>
          <w:rFonts w:ascii="Arial" w:hAnsi="Arial" w:cs="Arial"/>
          <w:sz w:val="24"/>
          <w:szCs w:val="24"/>
        </w:rPr>
        <w:t>of Act 68 of 1981</w:t>
      </w:r>
      <w:r w:rsidR="00E858B4" w:rsidRPr="0031127F">
        <w:rPr>
          <w:rFonts w:ascii="Arial" w:hAnsi="Arial" w:cs="Arial"/>
          <w:sz w:val="24"/>
          <w:szCs w:val="24"/>
        </w:rPr>
        <w:t>.</w:t>
      </w:r>
      <w:r w:rsidR="00352FA8" w:rsidRPr="0031127F">
        <w:rPr>
          <w:rFonts w:ascii="Arial" w:hAnsi="Arial" w:cs="Arial"/>
          <w:sz w:val="24"/>
          <w:szCs w:val="24"/>
        </w:rPr>
        <w:t xml:space="preserve"> </w:t>
      </w:r>
      <w:r w:rsidR="00FE7248" w:rsidRPr="0031127F">
        <w:rPr>
          <w:rFonts w:ascii="Arial" w:hAnsi="Arial" w:cs="Arial"/>
          <w:sz w:val="24"/>
          <w:szCs w:val="24"/>
        </w:rPr>
        <w:t xml:space="preserve"> </w:t>
      </w:r>
      <w:r w:rsidR="00352FA8" w:rsidRPr="0031127F">
        <w:rPr>
          <w:rFonts w:ascii="Arial" w:hAnsi="Arial" w:cs="Arial"/>
          <w:sz w:val="24"/>
          <w:szCs w:val="24"/>
        </w:rPr>
        <w:t xml:space="preserve">It further </w:t>
      </w:r>
      <w:r w:rsidR="00AC7112" w:rsidRPr="0031127F">
        <w:rPr>
          <w:rFonts w:ascii="Arial" w:hAnsi="Arial" w:cs="Arial"/>
          <w:sz w:val="24"/>
          <w:szCs w:val="24"/>
        </w:rPr>
        <w:t>argues</w:t>
      </w:r>
      <w:r w:rsidR="00352FA8" w:rsidRPr="0031127F">
        <w:rPr>
          <w:rFonts w:ascii="Arial" w:hAnsi="Arial" w:cs="Arial"/>
          <w:sz w:val="24"/>
          <w:szCs w:val="24"/>
        </w:rPr>
        <w:t xml:space="preserve"> that</w:t>
      </w:r>
      <w:r w:rsidR="00CA5786" w:rsidRPr="0031127F">
        <w:rPr>
          <w:rFonts w:ascii="Arial" w:hAnsi="Arial" w:cs="Arial"/>
          <w:sz w:val="24"/>
          <w:szCs w:val="24"/>
        </w:rPr>
        <w:t xml:space="preserve"> on a proper construction of the agreement, </w:t>
      </w:r>
      <w:r w:rsidR="00352FA8" w:rsidRPr="0031127F">
        <w:rPr>
          <w:rFonts w:ascii="Arial" w:hAnsi="Arial" w:cs="Arial"/>
          <w:sz w:val="24"/>
          <w:szCs w:val="24"/>
        </w:rPr>
        <w:t xml:space="preserve">the parties would conclude a </w:t>
      </w:r>
      <w:r w:rsidR="00C70305" w:rsidRPr="0031127F">
        <w:rPr>
          <w:rFonts w:ascii="Arial" w:hAnsi="Arial" w:cs="Arial"/>
          <w:sz w:val="24"/>
          <w:szCs w:val="24"/>
        </w:rPr>
        <w:t>deed of sale</w:t>
      </w:r>
      <w:r w:rsidR="00352FA8" w:rsidRPr="0031127F">
        <w:rPr>
          <w:rFonts w:ascii="Arial" w:hAnsi="Arial" w:cs="Arial"/>
          <w:sz w:val="24"/>
          <w:szCs w:val="24"/>
        </w:rPr>
        <w:t xml:space="preserve"> in compliance with Act 68 of 198</w:t>
      </w:r>
      <w:r w:rsidR="00EA7AB1" w:rsidRPr="0031127F">
        <w:rPr>
          <w:rFonts w:ascii="Arial" w:hAnsi="Arial" w:cs="Arial"/>
          <w:sz w:val="24"/>
          <w:szCs w:val="24"/>
        </w:rPr>
        <w:t>1</w:t>
      </w:r>
      <w:r w:rsidR="00352FA8" w:rsidRPr="0031127F">
        <w:rPr>
          <w:rFonts w:ascii="Arial" w:hAnsi="Arial" w:cs="Arial"/>
          <w:sz w:val="24"/>
          <w:szCs w:val="24"/>
        </w:rPr>
        <w:t xml:space="preserve"> </w:t>
      </w:r>
      <w:r w:rsidR="00CA5786" w:rsidRPr="0031127F">
        <w:rPr>
          <w:rFonts w:ascii="Arial" w:hAnsi="Arial" w:cs="Arial"/>
          <w:i/>
          <w:iCs/>
          <w:sz w:val="24"/>
          <w:szCs w:val="24"/>
        </w:rPr>
        <w:t>as soon as the plaintiff became eligible to receive transfer of erf 317</w:t>
      </w:r>
      <w:r w:rsidR="00352FA8" w:rsidRPr="0031127F">
        <w:rPr>
          <w:rFonts w:ascii="Arial" w:hAnsi="Arial" w:cs="Arial"/>
          <w:sz w:val="24"/>
          <w:szCs w:val="24"/>
        </w:rPr>
        <w:t>.</w:t>
      </w:r>
      <w:r w:rsidR="00CA5786" w:rsidRPr="0031127F">
        <w:rPr>
          <w:rFonts w:ascii="Arial" w:hAnsi="Arial" w:cs="Arial"/>
          <w:sz w:val="24"/>
          <w:szCs w:val="24"/>
        </w:rPr>
        <w:t xml:space="preserve">  </w:t>
      </w:r>
    </w:p>
    <w:p w14:paraId="7851E5AD" w14:textId="77777777" w:rsidR="002B2182" w:rsidRDefault="002B2182" w:rsidP="002B2182">
      <w:pPr>
        <w:pStyle w:val="ListParagraph"/>
        <w:spacing w:after="0" w:line="480" w:lineRule="auto"/>
        <w:ind w:left="0"/>
        <w:jc w:val="both"/>
        <w:rPr>
          <w:rFonts w:ascii="Arial" w:hAnsi="Arial" w:cs="Arial"/>
          <w:sz w:val="24"/>
          <w:szCs w:val="24"/>
        </w:rPr>
      </w:pPr>
    </w:p>
    <w:p w14:paraId="31A8C8B9" w14:textId="3CF72997" w:rsidR="00181581"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[21]</w:t>
      </w:r>
      <w:r>
        <w:rPr>
          <w:rFonts w:ascii="Arial" w:eastAsia="Times New Roman" w:hAnsi="Arial" w:cs="Arial"/>
          <w:sz w:val="24"/>
          <w:szCs w:val="24"/>
        </w:rPr>
        <w:tab/>
      </w:r>
      <w:r w:rsidR="004B3D22" w:rsidRPr="0031127F">
        <w:rPr>
          <w:rFonts w:ascii="Arial" w:hAnsi="Arial" w:cs="Arial"/>
          <w:sz w:val="24"/>
          <w:szCs w:val="24"/>
        </w:rPr>
        <w:t xml:space="preserve">Immediately apparent </w:t>
      </w:r>
      <w:r w:rsidR="008220BF" w:rsidRPr="0031127F">
        <w:rPr>
          <w:rFonts w:ascii="Arial" w:hAnsi="Arial" w:cs="Arial"/>
          <w:sz w:val="24"/>
          <w:szCs w:val="24"/>
        </w:rPr>
        <w:t>is that t</w:t>
      </w:r>
      <w:r w:rsidR="00B61309" w:rsidRPr="0031127F">
        <w:rPr>
          <w:rFonts w:ascii="Arial" w:hAnsi="Arial" w:cs="Arial"/>
          <w:sz w:val="24"/>
          <w:szCs w:val="24"/>
        </w:rPr>
        <w:t xml:space="preserve">he </w:t>
      </w:r>
      <w:r w:rsidR="008220BF" w:rsidRPr="0031127F">
        <w:rPr>
          <w:rFonts w:ascii="Arial" w:hAnsi="Arial" w:cs="Arial"/>
          <w:sz w:val="24"/>
          <w:szCs w:val="24"/>
        </w:rPr>
        <w:t xml:space="preserve">defendant’s </w:t>
      </w:r>
      <w:r w:rsidR="00B61309" w:rsidRPr="0031127F">
        <w:rPr>
          <w:rFonts w:ascii="Arial" w:hAnsi="Arial" w:cs="Arial"/>
          <w:sz w:val="24"/>
          <w:szCs w:val="24"/>
        </w:rPr>
        <w:t xml:space="preserve">contention regarding the timing for the conclusion of the </w:t>
      </w:r>
      <w:r w:rsidR="00450B0C" w:rsidRPr="0031127F">
        <w:rPr>
          <w:rFonts w:ascii="Arial" w:hAnsi="Arial" w:cs="Arial"/>
          <w:sz w:val="24"/>
          <w:szCs w:val="24"/>
        </w:rPr>
        <w:t>deed of sale</w:t>
      </w:r>
      <w:r w:rsidR="00EC1B92" w:rsidRPr="0031127F">
        <w:rPr>
          <w:rFonts w:ascii="Arial" w:hAnsi="Arial" w:cs="Arial"/>
          <w:sz w:val="24"/>
          <w:szCs w:val="24"/>
        </w:rPr>
        <w:t xml:space="preserve">, </w:t>
      </w:r>
      <w:r w:rsidR="0062662C" w:rsidRPr="0031127F">
        <w:rPr>
          <w:rFonts w:ascii="Arial" w:hAnsi="Arial" w:cs="Arial"/>
          <w:sz w:val="24"/>
          <w:szCs w:val="24"/>
        </w:rPr>
        <w:t xml:space="preserve">in addition to </w:t>
      </w:r>
      <w:r w:rsidR="00EC1B92" w:rsidRPr="0031127F">
        <w:rPr>
          <w:rFonts w:ascii="Arial" w:hAnsi="Arial" w:cs="Arial"/>
          <w:sz w:val="24"/>
          <w:szCs w:val="24"/>
        </w:rPr>
        <w:t>being at variance with the stance adopted by the plaintiff,</w:t>
      </w:r>
      <w:r w:rsidR="00B61309" w:rsidRPr="0031127F">
        <w:rPr>
          <w:rFonts w:ascii="Arial" w:hAnsi="Arial" w:cs="Arial"/>
          <w:sz w:val="24"/>
          <w:szCs w:val="24"/>
        </w:rPr>
        <w:t xml:space="preserve"> </w:t>
      </w:r>
      <w:r w:rsidR="008220BF" w:rsidRPr="0031127F">
        <w:rPr>
          <w:rFonts w:ascii="Arial" w:hAnsi="Arial" w:cs="Arial"/>
          <w:sz w:val="24"/>
          <w:szCs w:val="24"/>
        </w:rPr>
        <w:t xml:space="preserve">contradicts the </w:t>
      </w:r>
      <w:r w:rsidR="00255AD6" w:rsidRPr="0031127F">
        <w:rPr>
          <w:rFonts w:ascii="Arial" w:hAnsi="Arial" w:cs="Arial"/>
          <w:sz w:val="24"/>
          <w:szCs w:val="24"/>
        </w:rPr>
        <w:t xml:space="preserve">clear </w:t>
      </w:r>
      <w:r w:rsidR="00B61309" w:rsidRPr="0031127F">
        <w:rPr>
          <w:rFonts w:ascii="Arial" w:hAnsi="Arial" w:cs="Arial"/>
          <w:sz w:val="24"/>
          <w:szCs w:val="24"/>
        </w:rPr>
        <w:t xml:space="preserve">wording of clause 3.1 </w:t>
      </w:r>
      <w:r w:rsidR="001C608A" w:rsidRPr="0031127F">
        <w:rPr>
          <w:rFonts w:ascii="Arial" w:hAnsi="Arial" w:cs="Arial"/>
          <w:sz w:val="24"/>
          <w:szCs w:val="24"/>
        </w:rPr>
        <w:t>of the agreement</w:t>
      </w:r>
      <w:r w:rsidR="00B61309" w:rsidRPr="0031127F">
        <w:rPr>
          <w:rFonts w:ascii="Arial" w:hAnsi="Arial" w:cs="Arial"/>
          <w:sz w:val="24"/>
          <w:szCs w:val="24"/>
        </w:rPr>
        <w:t xml:space="preserve">.  </w:t>
      </w:r>
      <w:r w:rsidR="008220BF" w:rsidRPr="0031127F">
        <w:rPr>
          <w:rFonts w:ascii="Arial" w:hAnsi="Arial" w:cs="Arial"/>
          <w:sz w:val="24"/>
          <w:szCs w:val="24"/>
        </w:rPr>
        <w:t xml:space="preserve">This is one of </w:t>
      </w:r>
      <w:r w:rsidR="00C5660C" w:rsidRPr="0031127F">
        <w:rPr>
          <w:rFonts w:ascii="Arial" w:hAnsi="Arial" w:cs="Arial"/>
          <w:sz w:val="24"/>
          <w:szCs w:val="24"/>
        </w:rPr>
        <w:t xml:space="preserve">the </w:t>
      </w:r>
      <w:r w:rsidR="00BA48BA" w:rsidRPr="0031127F">
        <w:rPr>
          <w:rFonts w:ascii="Arial" w:hAnsi="Arial" w:cs="Arial"/>
          <w:sz w:val="24"/>
          <w:szCs w:val="24"/>
        </w:rPr>
        <w:t>various</w:t>
      </w:r>
      <w:r w:rsidR="008220BF" w:rsidRPr="0031127F">
        <w:rPr>
          <w:rFonts w:ascii="Arial" w:hAnsi="Arial" w:cs="Arial"/>
          <w:sz w:val="24"/>
          <w:szCs w:val="24"/>
        </w:rPr>
        <w:t xml:space="preserve"> issues on which the parties disagree.  </w:t>
      </w:r>
    </w:p>
    <w:p w14:paraId="1981A9AF" w14:textId="77777777" w:rsidR="00F04982" w:rsidRPr="00F04982" w:rsidRDefault="00F04982" w:rsidP="00DF2419">
      <w:pPr>
        <w:pStyle w:val="ListParagraph"/>
        <w:spacing w:after="0" w:line="480" w:lineRule="auto"/>
        <w:rPr>
          <w:rFonts w:ascii="Arial" w:hAnsi="Arial" w:cs="Arial"/>
          <w:sz w:val="24"/>
          <w:szCs w:val="24"/>
        </w:rPr>
      </w:pPr>
    </w:p>
    <w:p w14:paraId="384B2689" w14:textId="758346C4" w:rsidR="00530FF6"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lastRenderedPageBreak/>
        <w:t>[22]</w:t>
      </w:r>
      <w:r>
        <w:rPr>
          <w:rFonts w:ascii="Arial" w:eastAsia="Times New Roman" w:hAnsi="Arial" w:cs="Arial"/>
          <w:sz w:val="24"/>
          <w:szCs w:val="24"/>
        </w:rPr>
        <w:tab/>
      </w:r>
      <w:r w:rsidR="00181581" w:rsidRPr="0031127F">
        <w:rPr>
          <w:rFonts w:ascii="Arial" w:hAnsi="Arial" w:cs="Arial"/>
          <w:sz w:val="24"/>
          <w:szCs w:val="24"/>
        </w:rPr>
        <w:t>T</w:t>
      </w:r>
      <w:r w:rsidR="008045FD" w:rsidRPr="0031127F">
        <w:rPr>
          <w:rFonts w:ascii="Arial" w:hAnsi="Arial" w:cs="Arial"/>
          <w:sz w:val="24"/>
          <w:szCs w:val="24"/>
        </w:rPr>
        <w:t xml:space="preserve">he </w:t>
      </w:r>
      <w:r w:rsidR="00352FA8" w:rsidRPr="0031127F">
        <w:rPr>
          <w:rFonts w:ascii="Arial" w:hAnsi="Arial" w:cs="Arial"/>
          <w:sz w:val="24"/>
          <w:szCs w:val="24"/>
        </w:rPr>
        <w:t>defendant</w:t>
      </w:r>
      <w:r w:rsidR="008045FD" w:rsidRPr="0031127F">
        <w:rPr>
          <w:rFonts w:ascii="Arial" w:hAnsi="Arial" w:cs="Arial"/>
          <w:sz w:val="24"/>
          <w:szCs w:val="24"/>
        </w:rPr>
        <w:t xml:space="preserve"> holds the view that given its tender to pass transfer of </w:t>
      </w:r>
      <w:r w:rsidR="00806265" w:rsidRPr="0031127F">
        <w:rPr>
          <w:rFonts w:ascii="Arial" w:hAnsi="Arial" w:cs="Arial"/>
          <w:sz w:val="24"/>
          <w:szCs w:val="24"/>
        </w:rPr>
        <w:t>erf 317; alternatively, erf 342</w:t>
      </w:r>
      <w:r w:rsidR="008045FD" w:rsidRPr="0031127F">
        <w:rPr>
          <w:rFonts w:ascii="Arial" w:hAnsi="Arial" w:cs="Arial"/>
          <w:sz w:val="24"/>
          <w:szCs w:val="24"/>
        </w:rPr>
        <w:t>,</w:t>
      </w:r>
      <w:r w:rsidR="00806265" w:rsidRPr="0031127F">
        <w:rPr>
          <w:rFonts w:ascii="Arial" w:hAnsi="Arial" w:cs="Arial"/>
          <w:sz w:val="24"/>
          <w:szCs w:val="24"/>
        </w:rPr>
        <w:t xml:space="preserve"> to the plaintiff,</w:t>
      </w:r>
      <w:r w:rsidR="008045FD" w:rsidRPr="0031127F">
        <w:rPr>
          <w:rFonts w:ascii="Arial" w:hAnsi="Arial" w:cs="Arial"/>
          <w:sz w:val="24"/>
          <w:szCs w:val="24"/>
        </w:rPr>
        <w:t xml:space="preserve"> there no longer exists a </w:t>
      </w:r>
      <w:r w:rsidR="008045FD" w:rsidRPr="0031127F">
        <w:rPr>
          <w:rFonts w:ascii="Arial" w:hAnsi="Arial" w:cs="Arial"/>
          <w:i/>
          <w:iCs/>
          <w:sz w:val="24"/>
          <w:szCs w:val="24"/>
        </w:rPr>
        <w:t xml:space="preserve">lis </w:t>
      </w:r>
      <w:r w:rsidR="008045FD" w:rsidRPr="0031127F">
        <w:rPr>
          <w:rFonts w:ascii="Arial" w:hAnsi="Arial" w:cs="Arial"/>
          <w:sz w:val="24"/>
          <w:szCs w:val="24"/>
        </w:rPr>
        <w:t>between the parties and accordingly concludes that the plaintiff’s claim is vexatious in nature.</w:t>
      </w:r>
      <w:r w:rsidR="00806265" w:rsidRPr="0031127F">
        <w:rPr>
          <w:rFonts w:ascii="Arial" w:hAnsi="Arial" w:cs="Arial"/>
          <w:sz w:val="24"/>
          <w:szCs w:val="24"/>
        </w:rPr>
        <w:t xml:space="preserve">  </w:t>
      </w:r>
    </w:p>
    <w:p w14:paraId="1153561E" w14:textId="77777777" w:rsidR="0068590C" w:rsidRPr="0068590C" w:rsidRDefault="0068590C" w:rsidP="00DF2419">
      <w:pPr>
        <w:pStyle w:val="ListParagraph"/>
        <w:spacing w:after="0" w:line="480" w:lineRule="auto"/>
        <w:rPr>
          <w:rFonts w:ascii="Arial" w:hAnsi="Arial" w:cs="Arial"/>
          <w:sz w:val="24"/>
          <w:szCs w:val="24"/>
        </w:rPr>
      </w:pPr>
    </w:p>
    <w:p w14:paraId="2820865A" w14:textId="605A1126" w:rsidR="00EB5881"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[23]</w:t>
      </w:r>
      <w:r>
        <w:rPr>
          <w:rFonts w:ascii="Arial" w:eastAsia="Times New Roman" w:hAnsi="Arial" w:cs="Arial"/>
          <w:sz w:val="24"/>
          <w:szCs w:val="24"/>
        </w:rPr>
        <w:tab/>
      </w:r>
      <w:r w:rsidR="00181581" w:rsidRPr="0031127F">
        <w:rPr>
          <w:rFonts w:ascii="Arial" w:hAnsi="Arial" w:cs="Arial"/>
          <w:sz w:val="24"/>
          <w:szCs w:val="24"/>
        </w:rPr>
        <w:t xml:space="preserve">The </w:t>
      </w:r>
      <w:r w:rsidR="004C6ED5" w:rsidRPr="0031127F">
        <w:rPr>
          <w:rFonts w:ascii="Arial" w:hAnsi="Arial" w:cs="Arial"/>
          <w:sz w:val="24"/>
          <w:szCs w:val="24"/>
        </w:rPr>
        <w:t>applicant relies on the affidavit of Lambros Georghio Lambrou</w:t>
      </w:r>
      <w:r w:rsidR="006824F2" w:rsidRPr="0031127F">
        <w:rPr>
          <w:rFonts w:ascii="Arial" w:hAnsi="Arial" w:cs="Arial"/>
          <w:sz w:val="24"/>
          <w:szCs w:val="24"/>
        </w:rPr>
        <w:t xml:space="preserve"> (“</w:t>
      </w:r>
      <w:r w:rsidR="006824F2" w:rsidRPr="0031127F">
        <w:rPr>
          <w:rFonts w:ascii="Arial" w:hAnsi="Arial" w:cs="Arial"/>
          <w:i/>
          <w:iCs/>
          <w:sz w:val="24"/>
          <w:szCs w:val="24"/>
        </w:rPr>
        <w:t>Lambrou</w:t>
      </w:r>
      <w:r w:rsidR="006824F2" w:rsidRPr="0031127F">
        <w:rPr>
          <w:rFonts w:ascii="Arial" w:hAnsi="Arial" w:cs="Arial"/>
          <w:sz w:val="24"/>
          <w:szCs w:val="24"/>
        </w:rPr>
        <w:t>”)</w:t>
      </w:r>
      <w:r w:rsidR="004C6ED5" w:rsidRPr="0031127F">
        <w:rPr>
          <w:rFonts w:ascii="Arial" w:hAnsi="Arial" w:cs="Arial"/>
          <w:sz w:val="24"/>
          <w:szCs w:val="24"/>
        </w:rPr>
        <w:t xml:space="preserve">, a co-director of the defendant, to support its </w:t>
      </w:r>
      <w:r w:rsidR="000C33E3" w:rsidRPr="0031127F">
        <w:rPr>
          <w:rFonts w:ascii="Arial" w:hAnsi="Arial" w:cs="Arial"/>
          <w:sz w:val="24"/>
          <w:szCs w:val="24"/>
        </w:rPr>
        <w:t>contention</w:t>
      </w:r>
      <w:r w:rsidR="004C6ED5" w:rsidRPr="0031127F">
        <w:rPr>
          <w:rFonts w:ascii="Arial" w:hAnsi="Arial" w:cs="Arial"/>
          <w:sz w:val="24"/>
          <w:szCs w:val="24"/>
        </w:rPr>
        <w:t xml:space="preserve"> </w:t>
      </w:r>
      <w:r w:rsidR="00620ECA" w:rsidRPr="0031127F">
        <w:rPr>
          <w:rFonts w:ascii="Arial" w:hAnsi="Arial" w:cs="Arial"/>
          <w:sz w:val="24"/>
          <w:szCs w:val="24"/>
        </w:rPr>
        <w:t xml:space="preserve">in respect of </w:t>
      </w:r>
      <w:r w:rsidR="004C6ED5" w:rsidRPr="0031127F">
        <w:rPr>
          <w:rFonts w:ascii="Arial" w:hAnsi="Arial" w:cs="Arial"/>
          <w:sz w:val="24"/>
          <w:szCs w:val="24"/>
        </w:rPr>
        <w:t>the plaintiff’s impecuniosity</w:t>
      </w:r>
      <w:r w:rsidR="00060B71" w:rsidRPr="0031127F">
        <w:rPr>
          <w:rFonts w:ascii="Arial" w:hAnsi="Arial" w:cs="Arial"/>
          <w:sz w:val="24"/>
          <w:szCs w:val="24"/>
        </w:rPr>
        <w:t>,</w:t>
      </w:r>
      <w:r w:rsidR="004C6ED5" w:rsidRPr="0031127F">
        <w:rPr>
          <w:rFonts w:ascii="Arial" w:hAnsi="Arial" w:cs="Arial"/>
          <w:sz w:val="24"/>
          <w:szCs w:val="24"/>
        </w:rPr>
        <w:t xml:space="preserve"> and the effect</w:t>
      </w:r>
      <w:r w:rsidR="007622D3" w:rsidRPr="0031127F">
        <w:rPr>
          <w:rFonts w:ascii="Arial" w:hAnsi="Arial" w:cs="Arial"/>
          <w:sz w:val="24"/>
          <w:szCs w:val="24"/>
        </w:rPr>
        <w:t xml:space="preserve"> that this will have</w:t>
      </w:r>
      <w:r w:rsidR="004C6ED5" w:rsidRPr="0031127F">
        <w:rPr>
          <w:rFonts w:ascii="Arial" w:hAnsi="Arial" w:cs="Arial"/>
          <w:sz w:val="24"/>
          <w:szCs w:val="24"/>
        </w:rPr>
        <w:t xml:space="preserve"> on the plaintiff’s ability to pay the defendant’s legal costs</w:t>
      </w:r>
      <w:r w:rsidR="0027107E" w:rsidRPr="0031127F">
        <w:rPr>
          <w:rFonts w:ascii="Arial" w:hAnsi="Arial" w:cs="Arial"/>
          <w:sz w:val="24"/>
          <w:szCs w:val="24"/>
        </w:rPr>
        <w:t xml:space="preserve">, should </w:t>
      </w:r>
      <w:r w:rsidR="000407C7" w:rsidRPr="0031127F">
        <w:rPr>
          <w:rFonts w:ascii="Arial" w:hAnsi="Arial" w:cs="Arial"/>
          <w:sz w:val="24"/>
          <w:szCs w:val="24"/>
        </w:rPr>
        <w:t>it</w:t>
      </w:r>
      <w:r w:rsidR="0027107E" w:rsidRPr="0031127F">
        <w:rPr>
          <w:rFonts w:ascii="Arial" w:hAnsi="Arial" w:cs="Arial"/>
          <w:sz w:val="24"/>
          <w:szCs w:val="24"/>
        </w:rPr>
        <w:t xml:space="preserve"> be ordered to do so</w:t>
      </w:r>
      <w:r w:rsidR="004C6ED5" w:rsidRPr="0031127F">
        <w:rPr>
          <w:rFonts w:ascii="Arial" w:hAnsi="Arial" w:cs="Arial"/>
          <w:sz w:val="24"/>
          <w:szCs w:val="24"/>
        </w:rPr>
        <w:t xml:space="preserve">. </w:t>
      </w:r>
      <w:r w:rsidR="006824F2" w:rsidRPr="0031127F">
        <w:rPr>
          <w:rFonts w:ascii="Arial" w:hAnsi="Arial" w:cs="Arial"/>
          <w:sz w:val="24"/>
          <w:szCs w:val="24"/>
        </w:rPr>
        <w:t xml:space="preserve"> </w:t>
      </w:r>
    </w:p>
    <w:p w14:paraId="02CEF208" w14:textId="77777777" w:rsidR="00EB5881" w:rsidRPr="00EB5881" w:rsidRDefault="00EB5881" w:rsidP="00EB5881">
      <w:pPr>
        <w:pStyle w:val="ListParagraph"/>
        <w:spacing w:after="0" w:line="480" w:lineRule="auto"/>
        <w:rPr>
          <w:rFonts w:ascii="Arial" w:hAnsi="Arial" w:cs="Arial"/>
          <w:sz w:val="24"/>
          <w:szCs w:val="24"/>
        </w:rPr>
      </w:pPr>
    </w:p>
    <w:p w14:paraId="5BE9C2B1" w14:textId="17290466" w:rsidR="00F04982"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[24]</w:t>
      </w:r>
      <w:r>
        <w:rPr>
          <w:rFonts w:ascii="Arial" w:eastAsia="Times New Roman" w:hAnsi="Arial" w:cs="Arial"/>
          <w:sz w:val="24"/>
          <w:szCs w:val="24"/>
        </w:rPr>
        <w:tab/>
      </w:r>
      <w:r w:rsidR="006824F2" w:rsidRPr="0031127F">
        <w:rPr>
          <w:rFonts w:ascii="Arial" w:hAnsi="Arial" w:cs="Arial"/>
          <w:sz w:val="24"/>
          <w:szCs w:val="24"/>
        </w:rPr>
        <w:t xml:space="preserve">Lambrou records that at the time of the conclusion of the agreement, the plaintiff was earning approximately R60,000.00 to R70,000.00 per month for services rendered to the defendant by the plaintiff in terms of various, unrelated agreements. </w:t>
      </w:r>
      <w:r w:rsidR="008220BF" w:rsidRPr="0031127F">
        <w:rPr>
          <w:rFonts w:ascii="Arial" w:hAnsi="Arial" w:cs="Arial"/>
          <w:sz w:val="24"/>
          <w:szCs w:val="24"/>
        </w:rPr>
        <w:t xml:space="preserve"> </w:t>
      </w:r>
      <w:r w:rsidR="006824F2" w:rsidRPr="0031127F">
        <w:rPr>
          <w:rFonts w:ascii="Arial" w:hAnsi="Arial" w:cs="Arial"/>
          <w:sz w:val="24"/>
          <w:szCs w:val="24"/>
        </w:rPr>
        <w:t>When approaching the plaintiff in respect of the Wedgewood Estate development, the plaintiff’s managing member, Eugene Ras (“</w:t>
      </w:r>
      <w:r w:rsidR="006824F2" w:rsidRPr="0031127F">
        <w:rPr>
          <w:rFonts w:ascii="Arial" w:hAnsi="Arial" w:cs="Arial"/>
          <w:i/>
          <w:iCs/>
          <w:sz w:val="24"/>
          <w:szCs w:val="24"/>
        </w:rPr>
        <w:t>Ras</w:t>
      </w:r>
      <w:r w:rsidR="006824F2" w:rsidRPr="0031127F">
        <w:rPr>
          <w:rFonts w:ascii="Arial" w:hAnsi="Arial" w:cs="Arial"/>
          <w:sz w:val="24"/>
          <w:szCs w:val="24"/>
        </w:rPr>
        <w:t>”), indicated</w:t>
      </w:r>
      <w:r w:rsidR="007622D3" w:rsidRPr="0031127F">
        <w:rPr>
          <w:rFonts w:ascii="Arial" w:hAnsi="Arial" w:cs="Arial"/>
          <w:sz w:val="24"/>
          <w:szCs w:val="24"/>
        </w:rPr>
        <w:t xml:space="preserve"> </w:t>
      </w:r>
      <w:r w:rsidR="006824F2" w:rsidRPr="0031127F">
        <w:rPr>
          <w:rFonts w:ascii="Arial" w:hAnsi="Arial" w:cs="Arial"/>
          <w:sz w:val="24"/>
          <w:szCs w:val="24"/>
        </w:rPr>
        <w:t>on behalf of the plaintiff that</w:t>
      </w:r>
      <w:r w:rsidR="00E42ECD" w:rsidRPr="0031127F">
        <w:rPr>
          <w:rFonts w:ascii="Arial" w:hAnsi="Arial" w:cs="Arial"/>
          <w:sz w:val="24"/>
          <w:szCs w:val="24"/>
        </w:rPr>
        <w:t xml:space="preserve"> </w:t>
      </w:r>
      <w:r w:rsidR="006824F2" w:rsidRPr="0031127F">
        <w:rPr>
          <w:rFonts w:ascii="Arial" w:hAnsi="Arial" w:cs="Arial"/>
          <w:sz w:val="24"/>
          <w:szCs w:val="24"/>
        </w:rPr>
        <w:t xml:space="preserve">in </w:t>
      </w:r>
      <w:r w:rsidR="006824F2" w:rsidRPr="0031127F">
        <w:rPr>
          <w:rFonts w:ascii="Arial" w:hAnsi="Arial" w:cs="Arial"/>
          <w:i/>
          <w:iCs/>
          <w:sz w:val="24"/>
          <w:szCs w:val="24"/>
        </w:rPr>
        <w:t>lieu</w:t>
      </w:r>
      <w:r w:rsidR="006824F2" w:rsidRPr="0031127F">
        <w:rPr>
          <w:rFonts w:ascii="Arial" w:hAnsi="Arial" w:cs="Arial"/>
          <w:sz w:val="24"/>
          <w:szCs w:val="24"/>
        </w:rPr>
        <w:t xml:space="preserve"> of payment for services rendered, he would prefer the defendant to transfer a plot to the plaintiff, on which the defendant would construct a dwelling.</w:t>
      </w:r>
      <w:r w:rsidR="006F4284" w:rsidRPr="0031127F">
        <w:rPr>
          <w:rFonts w:ascii="Arial" w:hAnsi="Arial" w:cs="Arial"/>
          <w:sz w:val="24"/>
          <w:szCs w:val="24"/>
        </w:rPr>
        <w:t xml:space="preserve"> </w:t>
      </w:r>
    </w:p>
    <w:p w14:paraId="421ADA57" w14:textId="77777777" w:rsidR="00F04982" w:rsidRDefault="006F4284" w:rsidP="00F04982">
      <w:pPr>
        <w:pStyle w:val="ListParagraph"/>
        <w:spacing w:after="0" w:line="480" w:lineRule="auto"/>
        <w:ind w:left="0"/>
        <w:jc w:val="both"/>
        <w:rPr>
          <w:rFonts w:ascii="Arial" w:hAnsi="Arial" w:cs="Arial"/>
          <w:sz w:val="24"/>
          <w:szCs w:val="24"/>
        </w:rPr>
      </w:pPr>
      <w:r w:rsidRPr="00F04982">
        <w:rPr>
          <w:rFonts w:ascii="Arial" w:hAnsi="Arial" w:cs="Arial"/>
          <w:sz w:val="24"/>
          <w:szCs w:val="24"/>
        </w:rPr>
        <w:t xml:space="preserve"> </w:t>
      </w:r>
    </w:p>
    <w:p w14:paraId="7894DEF7" w14:textId="23DB77BC" w:rsidR="006F4284" w:rsidRPr="0031127F" w:rsidRDefault="0031127F" w:rsidP="0031127F">
      <w:pPr>
        <w:spacing w:after="0" w:line="480" w:lineRule="auto"/>
        <w:jc w:val="both"/>
        <w:rPr>
          <w:rFonts w:ascii="Arial" w:hAnsi="Arial" w:cs="Arial"/>
          <w:sz w:val="24"/>
          <w:szCs w:val="24"/>
        </w:rPr>
      </w:pPr>
      <w:r w:rsidRPr="00F04982">
        <w:rPr>
          <w:rFonts w:ascii="Arial" w:eastAsia="Times New Roman" w:hAnsi="Arial" w:cs="Arial"/>
          <w:sz w:val="24"/>
          <w:szCs w:val="24"/>
        </w:rPr>
        <w:t>[25]</w:t>
      </w:r>
      <w:r w:rsidRPr="00F04982">
        <w:rPr>
          <w:rFonts w:ascii="Arial" w:eastAsia="Times New Roman" w:hAnsi="Arial" w:cs="Arial"/>
          <w:sz w:val="24"/>
          <w:szCs w:val="24"/>
        </w:rPr>
        <w:tab/>
      </w:r>
      <w:r w:rsidR="006F4284" w:rsidRPr="0031127F">
        <w:rPr>
          <w:rFonts w:ascii="Arial" w:hAnsi="Arial" w:cs="Arial"/>
          <w:sz w:val="24"/>
          <w:szCs w:val="24"/>
        </w:rPr>
        <w:t>Lambrou sets out as follows under the heading “</w:t>
      </w:r>
      <w:r w:rsidR="006F4284" w:rsidRPr="0031127F">
        <w:rPr>
          <w:rFonts w:ascii="Arial" w:hAnsi="Arial" w:cs="Arial"/>
          <w:i/>
          <w:iCs/>
          <w:sz w:val="24"/>
          <w:szCs w:val="24"/>
        </w:rPr>
        <w:t>Plaintiff’s Financial Situation</w:t>
      </w:r>
      <w:r w:rsidR="006F4284" w:rsidRPr="0031127F">
        <w:rPr>
          <w:rFonts w:ascii="Arial" w:hAnsi="Arial" w:cs="Arial"/>
          <w:sz w:val="24"/>
          <w:szCs w:val="24"/>
        </w:rPr>
        <w:t xml:space="preserve">”: </w:t>
      </w:r>
    </w:p>
    <w:p w14:paraId="4EF579F1" w14:textId="77777777" w:rsidR="006F4284" w:rsidRDefault="006F4284" w:rsidP="006F4284">
      <w:pPr>
        <w:pStyle w:val="ListParagraph"/>
        <w:spacing w:after="0" w:line="480" w:lineRule="auto"/>
        <w:ind w:left="0"/>
        <w:jc w:val="both"/>
        <w:rPr>
          <w:rFonts w:ascii="Arial" w:hAnsi="Arial" w:cs="Arial"/>
          <w:sz w:val="24"/>
          <w:szCs w:val="24"/>
        </w:rPr>
      </w:pPr>
    </w:p>
    <w:p w14:paraId="42585637" w14:textId="028122D2" w:rsidR="006F4284" w:rsidRPr="006F4284" w:rsidRDefault="006F4284" w:rsidP="006F4284">
      <w:pPr>
        <w:pStyle w:val="ListParagraph"/>
        <w:spacing w:after="0" w:line="360" w:lineRule="auto"/>
        <w:ind w:left="1440" w:hanging="720"/>
        <w:jc w:val="both"/>
        <w:rPr>
          <w:rFonts w:ascii="Arial" w:hAnsi="Arial" w:cs="Arial"/>
          <w:i/>
          <w:iCs/>
        </w:rPr>
      </w:pPr>
      <w:r>
        <w:rPr>
          <w:rFonts w:ascii="Arial" w:hAnsi="Arial" w:cs="Arial"/>
          <w:sz w:val="24"/>
          <w:szCs w:val="24"/>
        </w:rPr>
        <w:t>“</w:t>
      </w:r>
      <w:r w:rsidRPr="006F4284">
        <w:rPr>
          <w:rFonts w:ascii="Arial" w:hAnsi="Arial" w:cs="Arial"/>
          <w:i/>
          <w:iCs/>
        </w:rPr>
        <w:t>10.</w:t>
      </w:r>
      <w:r w:rsidRPr="006F4284">
        <w:rPr>
          <w:rFonts w:ascii="Arial" w:hAnsi="Arial" w:cs="Arial"/>
          <w:i/>
          <w:iCs/>
        </w:rPr>
        <w:tab/>
        <w:t>I had regular contact with Ras and it became apparent that he was experiencing financial difficulties.  Such financial difficulties clearly was (sic) also experienced by plaintiff.</w:t>
      </w:r>
    </w:p>
    <w:p w14:paraId="6C2E4DDA" w14:textId="77777777" w:rsidR="006F4284" w:rsidRPr="006F4284" w:rsidRDefault="006F4284" w:rsidP="006F4284">
      <w:pPr>
        <w:pStyle w:val="ListParagraph"/>
        <w:spacing w:after="0" w:line="360" w:lineRule="auto"/>
        <w:jc w:val="both"/>
        <w:rPr>
          <w:rFonts w:ascii="Arial" w:hAnsi="Arial" w:cs="Arial"/>
          <w:i/>
          <w:iCs/>
        </w:rPr>
      </w:pPr>
    </w:p>
    <w:p w14:paraId="7E182A6D" w14:textId="77777777" w:rsidR="006F4284" w:rsidRPr="006F4284" w:rsidRDefault="006F4284" w:rsidP="006F4284">
      <w:pPr>
        <w:pStyle w:val="ListParagraph"/>
        <w:spacing w:after="0" w:line="360" w:lineRule="auto"/>
        <w:ind w:left="1440" w:hanging="720"/>
        <w:jc w:val="both"/>
        <w:rPr>
          <w:rFonts w:ascii="Arial" w:hAnsi="Arial" w:cs="Arial"/>
          <w:i/>
          <w:iCs/>
        </w:rPr>
      </w:pPr>
      <w:r w:rsidRPr="006F4284">
        <w:rPr>
          <w:rFonts w:ascii="Arial" w:hAnsi="Arial" w:cs="Arial"/>
          <w:i/>
          <w:iCs/>
        </w:rPr>
        <w:t>11.</w:t>
      </w:r>
      <w:r w:rsidRPr="006F4284">
        <w:rPr>
          <w:rFonts w:ascii="Arial" w:hAnsi="Arial" w:cs="Arial"/>
          <w:i/>
          <w:iCs/>
        </w:rPr>
        <w:tab/>
        <w:t xml:space="preserve">Defendant was ready to transfer the plot to plaintiff and gave BLC Attorneys the instruction to do so.  However, Ras approached me and asked me not to proceed with the transfer at that stage.  He was concerned about the transfer fees to be paid, as well as the fact that he would have to start paying the monthly levy to the Home Owners Association, at that stage just more that </w:t>
      </w:r>
      <w:r w:rsidRPr="006F4284">
        <w:rPr>
          <w:rFonts w:ascii="Arial" w:hAnsi="Arial" w:cs="Arial"/>
          <w:i/>
          <w:iCs/>
        </w:rPr>
        <w:lastRenderedPageBreak/>
        <w:t>R2,000.00 per month.  I therefore instructed BLC Attorneys not to continue with the transfer of the plot.</w:t>
      </w:r>
    </w:p>
    <w:p w14:paraId="7A44A9A2" w14:textId="77777777" w:rsidR="006F4284" w:rsidRPr="006F4284" w:rsidRDefault="006F4284" w:rsidP="006F4284">
      <w:pPr>
        <w:pStyle w:val="ListParagraph"/>
        <w:spacing w:after="0" w:line="360" w:lineRule="auto"/>
        <w:jc w:val="both"/>
        <w:rPr>
          <w:rFonts w:ascii="Arial" w:hAnsi="Arial" w:cs="Arial"/>
          <w:i/>
          <w:iCs/>
        </w:rPr>
      </w:pPr>
    </w:p>
    <w:p w14:paraId="60F98737" w14:textId="77777777" w:rsidR="006F4284" w:rsidRPr="006F4284" w:rsidRDefault="006F4284" w:rsidP="006F4284">
      <w:pPr>
        <w:pStyle w:val="ListParagraph"/>
        <w:spacing w:after="0" w:line="360" w:lineRule="auto"/>
        <w:ind w:left="1440" w:hanging="720"/>
        <w:jc w:val="both"/>
        <w:rPr>
          <w:rFonts w:ascii="Arial" w:hAnsi="Arial" w:cs="Arial"/>
          <w:i/>
          <w:iCs/>
        </w:rPr>
      </w:pPr>
      <w:r w:rsidRPr="006F4284">
        <w:rPr>
          <w:rFonts w:ascii="Arial" w:hAnsi="Arial" w:cs="Arial"/>
          <w:i/>
          <w:iCs/>
        </w:rPr>
        <w:t>12.</w:t>
      </w:r>
      <w:r w:rsidRPr="006F4284">
        <w:rPr>
          <w:rFonts w:ascii="Arial" w:hAnsi="Arial" w:cs="Arial"/>
          <w:i/>
          <w:iCs/>
        </w:rPr>
        <w:tab/>
        <w:t>Defendant is still willing and able to transfer the plot to plaintiff, however, plaintiff refuses to accept transfer.</w:t>
      </w:r>
    </w:p>
    <w:p w14:paraId="5BD9C4F9" w14:textId="77777777" w:rsidR="00F04982" w:rsidRDefault="00F04982" w:rsidP="00AC4EE3">
      <w:pPr>
        <w:pStyle w:val="ListParagraph"/>
        <w:spacing w:after="0" w:line="480" w:lineRule="auto"/>
        <w:ind w:left="0"/>
        <w:jc w:val="both"/>
        <w:rPr>
          <w:rFonts w:ascii="Arial" w:hAnsi="Arial" w:cs="Arial"/>
          <w:sz w:val="24"/>
          <w:szCs w:val="24"/>
        </w:rPr>
      </w:pPr>
    </w:p>
    <w:p w14:paraId="6ACF3756" w14:textId="4FEE6260" w:rsidR="00064894"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[26]</w:t>
      </w:r>
      <w:r>
        <w:rPr>
          <w:rFonts w:ascii="Arial" w:eastAsia="Times New Roman" w:hAnsi="Arial" w:cs="Arial"/>
          <w:sz w:val="24"/>
          <w:szCs w:val="24"/>
        </w:rPr>
        <w:tab/>
      </w:r>
      <w:r w:rsidR="00064894" w:rsidRPr="0031127F">
        <w:rPr>
          <w:rFonts w:ascii="Arial" w:hAnsi="Arial" w:cs="Arial"/>
          <w:sz w:val="24"/>
          <w:szCs w:val="24"/>
        </w:rPr>
        <w:t xml:space="preserve">Apart from the apparent confusion </w:t>
      </w:r>
      <w:r w:rsidR="00F04982" w:rsidRPr="0031127F">
        <w:rPr>
          <w:rFonts w:ascii="Arial" w:hAnsi="Arial" w:cs="Arial"/>
          <w:sz w:val="24"/>
          <w:szCs w:val="24"/>
        </w:rPr>
        <w:t xml:space="preserve">in the defendant’s version </w:t>
      </w:r>
      <w:r w:rsidR="00064894" w:rsidRPr="0031127F">
        <w:rPr>
          <w:rFonts w:ascii="Arial" w:hAnsi="Arial" w:cs="Arial"/>
          <w:sz w:val="24"/>
          <w:szCs w:val="24"/>
        </w:rPr>
        <w:t>as to whether a</w:t>
      </w:r>
      <w:r w:rsidR="000B15D7" w:rsidRPr="0031127F">
        <w:rPr>
          <w:rFonts w:ascii="Arial" w:hAnsi="Arial" w:cs="Arial"/>
          <w:sz w:val="24"/>
          <w:szCs w:val="24"/>
        </w:rPr>
        <w:t xml:space="preserve"> plot </w:t>
      </w:r>
      <w:r w:rsidR="00064894" w:rsidRPr="0031127F">
        <w:rPr>
          <w:rFonts w:ascii="Arial" w:hAnsi="Arial" w:cs="Arial"/>
          <w:sz w:val="24"/>
          <w:szCs w:val="24"/>
        </w:rPr>
        <w:t xml:space="preserve">was to be </w:t>
      </w:r>
      <w:r w:rsidR="00F04982" w:rsidRPr="0031127F">
        <w:rPr>
          <w:rFonts w:ascii="Arial" w:hAnsi="Arial" w:cs="Arial"/>
          <w:sz w:val="24"/>
          <w:szCs w:val="24"/>
        </w:rPr>
        <w:t xml:space="preserve">transferred </w:t>
      </w:r>
      <w:r w:rsidR="00064894" w:rsidRPr="0031127F">
        <w:rPr>
          <w:rFonts w:ascii="Arial" w:hAnsi="Arial" w:cs="Arial"/>
          <w:sz w:val="24"/>
          <w:szCs w:val="24"/>
        </w:rPr>
        <w:t xml:space="preserve">to the plaintiff or to Ras personally, which confusion is exacerbated </w:t>
      </w:r>
      <w:r w:rsidR="00F04982" w:rsidRPr="0031127F">
        <w:rPr>
          <w:rFonts w:ascii="Arial" w:hAnsi="Arial" w:cs="Arial"/>
          <w:sz w:val="24"/>
          <w:szCs w:val="24"/>
        </w:rPr>
        <w:t>if regard is had to paragraphs 35.1 and 35.2 of the</w:t>
      </w:r>
      <w:r w:rsidR="00064894" w:rsidRPr="0031127F">
        <w:rPr>
          <w:rFonts w:ascii="Arial" w:hAnsi="Arial" w:cs="Arial"/>
          <w:sz w:val="24"/>
          <w:szCs w:val="24"/>
        </w:rPr>
        <w:t xml:space="preserve"> replying affidavit</w:t>
      </w:r>
      <w:r w:rsidR="00F04982" w:rsidRPr="0031127F">
        <w:rPr>
          <w:rFonts w:ascii="Arial" w:hAnsi="Arial" w:cs="Arial"/>
          <w:sz w:val="24"/>
          <w:szCs w:val="24"/>
        </w:rPr>
        <w:t>;</w:t>
      </w:r>
      <w:r w:rsidR="00064894" w:rsidRPr="0031127F">
        <w:rPr>
          <w:rFonts w:ascii="Arial" w:hAnsi="Arial" w:cs="Arial"/>
          <w:sz w:val="24"/>
          <w:szCs w:val="24"/>
        </w:rPr>
        <w:t xml:space="preserve"> the plaintiff, in its answering affidavit, </w:t>
      </w:r>
      <w:r w:rsidR="00E42ECD" w:rsidRPr="0031127F">
        <w:rPr>
          <w:rFonts w:ascii="Arial" w:hAnsi="Arial" w:cs="Arial"/>
          <w:sz w:val="24"/>
          <w:szCs w:val="24"/>
        </w:rPr>
        <w:t xml:space="preserve">denied </w:t>
      </w:r>
      <w:r w:rsidR="00064894" w:rsidRPr="0031127F">
        <w:rPr>
          <w:rFonts w:ascii="Arial" w:hAnsi="Arial" w:cs="Arial"/>
          <w:sz w:val="24"/>
          <w:szCs w:val="24"/>
        </w:rPr>
        <w:t>that: (i) an agreement was reached in respect of the transfer of a property; (ii) it was discussed, agreed or intended that the plaintiff would take transfer of a property and be responsible for the payment of transfer fees and conveyancing costs, particularly since the agreement did not envisage the transfer of a plot to the plaintiff but rather to an entity to be nominated by it; and (iii) that conveyancing documents were prepared by BLC Attorneys, given the absence of a deed of sale.  No</w:t>
      </w:r>
      <w:r w:rsidR="006F7E33" w:rsidRPr="0031127F">
        <w:rPr>
          <w:rFonts w:ascii="Arial" w:hAnsi="Arial" w:cs="Arial"/>
          <w:sz w:val="24"/>
          <w:szCs w:val="24"/>
        </w:rPr>
        <w:t xml:space="preserve"> evidence of</w:t>
      </w:r>
      <w:r w:rsidR="00064894" w:rsidRPr="0031127F">
        <w:rPr>
          <w:rFonts w:ascii="Arial" w:hAnsi="Arial" w:cs="Arial"/>
          <w:sz w:val="24"/>
          <w:szCs w:val="24"/>
        </w:rPr>
        <w:t xml:space="preserve"> such document</w:t>
      </w:r>
      <w:r w:rsidR="00F04982" w:rsidRPr="0031127F">
        <w:rPr>
          <w:rFonts w:ascii="Arial" w:hAnsi="Arial" w:cs="Arial"/>
          <w:sz w:val="24"/>
          <w:szCs w:val="24"/>
        </w:rPr>
        <w:t>ation</w:t>
      </w:r>
      <w:r w:rsidR="00064894" w:rsidRPr="0031127F">
        <w:rPr>
          <w:rFonts w:ascii="Arial" w:hAnsi="Arial" w:cs="Arial"/>
          <w:sz w:val="24"/>
          <w:szCs w:val="24"/>
        </w:rPr>
        <w:t xml:space="preserve"> w</w:t>
      </w:r>
      <w:r w:rsidR="00F04982" w:rsidRPr="0031127F">
        <w:rPr>
          <w:rFonts w:ascii="Arial" w:hAnsi="Arial" w:cs="Arial"/>
          <w:sz w:val="24"/>
          <w:szCs w:val="24"/>
        </w:rPr>
        <w:t>as</w:t>
      </w:r>
      <w:r w:rsidR="00064894" w:rsidRPr="0031127F">
        <w:rPr>
          <w:rFonts w:ascii="Arial" w:hAnsi="Arial" w:cs="Arial"/>
          <w:sz w:val="24"/>
          <w:szCs w:val="24"/>
        </w:rPr>
        <w:t xml:space="preserve"> produced by the defendant in its replying affidavit, despite being called upon, expressly, by the plaintiff to </w:t>
      </w:r>
      <w:r w:rsidR="00617F5F" w:rsidRPr="0031127F">
        <w:rPr>
          <w:rFonts w:ascii="Arial" w:hAnsi="Arial" w:cs="Arial"/>
          <w:sz w:val="24"/>
          <w:szCs w:val="24"/>
        </w:rPr>
        <w:t>do so</w:t>
      </w:r>
      <w:r w:rsidR="00064894" w:rsidRPr="0031127F">
        <w:rPr>
          <w:rFonts w:ascii="Arial" w:hAnsi="Arial" w:cs="Arial"/>
          <w:sz w:val="24"/>
          <w:szCs w:val="24"/>
        </w:rPr>
        <w:t xml:space="preserve">.    </w:t>
      </w:r>
    </w:p>
    <w:p w14:paraId="5DDF6C4F" w14:textId="77777777" w:rsidR="00F04982" w:rsidRDefault="00F04982" w:rsidP="00AC4EE3">
      <w:pPr>
        <w:pStyle w:val="ListParagraph"/>
        <w:spacing w:after="0" w:line="480" w:lineRule="auto"/>
        <w:ind w:left="0"/>
        <w:jc w:val="both"/>
        <w:rPr>
          <w:rFonts w:ascii="Arial" w:hAnsi="Arial" w:cs="Arial"/>
          <w:sz w:val="24"/>
          <w:szCs w:val="24"/>
        </w:rPr>
      </w:pPr>
    </w:p>
    <w:p w14:paraId="657605D7" w14:textId="2FEE2CE4" w:rsidR="00F04982" w:rsidRPr="0031127F" w:rsidRDefault="0031127F" w:rsidP="0031127F">
      <w:pPr>
        <w:spacing w:after="0" w:line="480" w:lineRule="auto"/>
        <w:jc w:val="both"/>
        <w:rPr>
          <w:rFonts w:ascii="Arial" w:hAnsi="Arial" w:cs="Arial"/>
          <w:sz w:val="24"/>
          <w:szCs w:val="24"/>
        </w:rPr>
      </w:pPr>
      <w:r w:rsidRPr="00F04982">
        <w:rPr>
          <w:rFonts w:ascii="Arial" w:eastAsia="Times New Roman" w:hAnsi="Arial" w:cs="Arial"/>
          <w:sz w:val="24"/>
          <w:szCs w:val="24"/>
        </w:rPr>
        <w:t>[27]</w:t>
      </w:r>
      <w:r w:rsidRPr="00F04982">
        <w:rPr>
          <w:rFonts w:ascii="Arial" w:eastAsia="Times New Roman" w:hAnsi="Arial" w:cs="Arial"/>
          <w:sz w:val="24"/>
          <w:szCs w:val="24"/>
        </w:rPr>
        <w:tab/>
      </w:r>
      <w:r w:rsidR="00F04982" w:rsidRPr="0031127F">
        <w:rPr>
          <w:rFonts w:ascii="Arial" w:hAnsi="Arial" w:cs="Arial"/>
          <w:sz w:val="24"/>
          <w:szCs w:val="24"/>
        </w:rPr>
        <w:t>Lambrou goes on further to state that:</w:t>
      </w:r>
    </w:p>
    <w:p w14:paraId="472EEFD4" w14:textId="77777777" w:rsidR="00064894" w:rsidRPr="00064894" w:rsidRDefault="00064894" w:rsidP="00AC4EE3">
      <w:pPr>
        <w:spacing w:after="0" w:line="480" w:lineRule="auto"/>
        <w:jc w:val="both"/>
        <w:rPr>
          <w:rFonts w:ascii="Arial" w:hAnsi="Arial" w:cs="Arial"/>
          <w:i/>
          <w:iCs/>
        </w:rPr>
      </w:pPr>
    </w:p>
    <w:p w14:paraId="3AA0536F" w14:textId="64C5DA74" w:rsidR="006F4284" w:rsidRPr="006F4284" w:rsidRDefault="006F4284" w:rsidP="006F4284">
      <w:pPr>
        <w:pStyle w:val="ListParagraph"/>
        <w:spacing w:after="0" w:line="360" w:lineRule="auto"/>
        <w:ind w:left="1440" w:hanging="720"/>
        <w:jc w:val="both"/>
        <w:rPr>
          <w:rFonts w:ascii="Arial" w:hAnsi="Arial" w:cs="Arial"/>
          <w:i/>
          <w:iCs/>
        </w:rPr>
      </w:pPr>
      <w:r w:rsidRPr="006F4284">
        <w:rPr>
          <w:rFonts w:ascii="Arial" w:hAnsi="Arial" w:cs="Arial"/>
          <w:i/>
          <w:iCs/>
        </w:rPr>
        <w:t>13.</w:t>
      </w:r>
      <w:r w:rsidRPr="006F4284">
        <w:rPr>
          <w:rFonts w:ascii="Arial" w:hAnsi="Arial" w:cs="Arial"/>
          <w:i/>
          <w:iCs/>
        </w:rPr>
        <w:tab/>
        <w:t>Sometime thereafter Ras approached me and asked whether or not defendant would be interested in purchasing plaintiff’s TLB and tipper-truck.  We were not interested and I informed Ras thereof.  Shortly thereafter, plaintiff abandoned the site at Wedgewood Estate.  At that stage he had only cleared 100 of the 361 designated plots and only trenched 37 of the 100 plots.</w:t>
      </w:r>
    </w:p>
    <w:p w14:paraId="01234E2D" w14:textId="77777777" w:rsidR="00F04982" w:rsidRDefault="00F04982" w:rsidP="00F04982">
      <w:pPr>
        <w:pStyle w:val="ListParagraph"/>
        <w:spacing w:after="0" w:line="480" w:lineRule="auto"/>
        <w:ind w:left="0"/>
        <w:jc w:val="both"/>
        <w:rPr>
          <w:rFonts w:ascii="Arial" w:hAnsi="Arial" w:cs="Arial"/>
          <w:sz w:val="24"/>
          <w:szCs w:val="24"/>
        </w:rPr>
      </w:pPr>
    </w:p>
    <w:p w14:paraId="2E96AE91" w14:textId="77777777" w:rsidR="00C472DE" w:rsidRPr="006F4284" w:rsidRDefault="00C472DE" w:rsidP="00C472DE">
      <w:pPr>
        <w:pStyle w:val="ListParagraph"/>
        <w:spacing w:after="0" w:line="360" w:lineRule="auto"/>
        <w:ind w:left="1440" w:hanging="720"/>
        <w:jc w:val="both"/>
        <w:rPr>
          <w:rFonts w:ascii="Arial" w:hAnsi="Arial" w:cs="Arial"/>
          <w:i/>
          <w:iCs/>
        </w:rPr>
      </w:pPr>
      <w:r w:rsidRPr="006F4284">
        <w:rPr>
          <w:rFonts w:ascii="Arial" w:hAnsi="Arial" w:cs="Arial"/>
          <w:i/>
          <w:iCs/>
        </w:rPr>
        <w:t>14.</w:t>
      </w:r>
      <w:r w:rsidRPr="006F4284">
        <w:rPr>
          <w:rFonts w:ascii="Arial" w:hAnsi="Arial" w:cs="Arial"/>
          <w:i/>
          <w:iCs/>
        </w:rPr>
        <w:tab/>
        <w:t xml:space="preserve">Prior to that the Homeowners Association of Wedgewood asked whether or not I would be interested in clearing a fire-break of 50m around the perimeter of the estate.  I approached Ras to enquire whether or not plaintiff would be </w:t>
      </w:r>
      <w:r w:rsidRPr="006F4284">
        <w:rPr>
          <w:rFonts w:ascii="Arial" w:hAnsi="Arial" w:cs="Arial"/>
          <w:i/>
          <w:iCs/>
        </w:rPr>
        <w:lastRenderedPageBreak/>
        <w:t>interested in doing the clearing work.  Ras indicated that he is interested as he would be able to sell the timber so cleared and that he would do so in lieu of remuneration.  I thereafter managed to convince the Home Owners Association to clear a fire-break of 100m.</w:t>
      </w:r>
    </w:p>
    <w:p w14:paraId="65B3CDA9" w14:textId="77777777" w:rsidR="00C472DE" w:rsidRPr="006F4284" w:rsidRDefault="00C472DE" w:rsidP="00C472DE">
      <w:pPr>
        <w:pStyle w:val="ListParagraph"/>
        <w:spacing w:after="0" w:line="360" w:lineRule="auto"/>
        <w:jc w:val="both"/>
        <w:rPr>
          <w:rFonts w:ascii="Arial" w:hAnsi="Arial" w:cs="Arial"/>
          <w:i/>
          <w:iCs/>
        </w:rPr>
      </w:pPr>
    </w:p>
    <w:p w14:paraId="3DE5B632" w14:textId="77777777" w:rsidR="00C472DE" w:rsidRPr="006F4284" w:rsidRDefault="00C472DE" w:rsidP="00C472DE">
      <w:pPr>
        <w:pStyle w:val="ListParagraph"/>
        <w:spacing w:after="0" w:line="360" w:lineRule="auto"/>
        <w:ind w:left="1440" w:hanging="720"/>
        <w:jc w:val="both"/>
        <w:rPr>
          <w:rFonts w:ascii="Arial" w:hAnsi="Arial" w:cs="Arial"/>
          <w:sz w:val="24"/>
          <w:szCs w:val="24"/>
        </w:rPr>
      </w:pPr>
      <w:r w:rsidRPr="006F4284">
        <w:rPr>
          <w:rFonts w:ascii="Arial" w:hAnsi="Arial" w:cs="Arial"/>
          <w:i/>
          <w:iCs/>
        </w:rPr>
        <w:t>15.</w:t>
      </w:r>
      <w:r w:rsidRPr="006F4284">
        <w:rPr>
          <w:rFonts w:ascii="Arial" w:hAnsi="Arial" w:cs="Arial"/>
          <w:i/>
          <w:iCs/>
        </w:rPr>
        <w:tab/>
        <w:t>Plaintiff started clearing the fire-break by cutting down the vegetation, however failed to remove the vegetation.  When plaintiff abandoned the site the firebreak was not cleared as agreed.  It would cost defendant approximately R400,000.00 just to remove the vegetation already cut to clear the rest of the fire-break.</w:t>
      </w:r>
      <w:r>
        <w:rPr>
          <w:rFonts w:ascii="Arial" w:hAnsi="Arial" w:cs="Arial"/>
          <w:sz w:val="24"/>
          <w:szCs w:val="24"/>
        </w:rPr>
        <w:t xml:space="preserve">”  </w:t>
      </w:r>
    </w:p>
    <w:p w14:paraId="33411AA7" w14:textId="17FC7C34" w:rsidR="001169B9" w:rsidRPr="0031127F" w:rsidRDefault="0031127F" w:rsidP="0031127F">
      <w:pPr>
        <w:spacing w:after="0" w:line="480" w:lineRule="auto"/>
        <w:jc w:val="both"/>
        <w:rPr>
          <w:rFonts w:ascii="Arial" w:hAnsi="Arial" w:cs="Arial"/>
          <w:sz w:val="24"/>
          <w:szCs w:val="24"/>
        </w:rPr>
      </w:pPr>
      <w:r w:rsidRPr="00780B1D">
        <w:rPr>
          <w:rFonts w:ascii="Arial" w:eastAsia="Times New Roman" w:hAnsi="Arial" w:cs="Arial"/>
          <w:sz w:val="24"/>
          <w:szCs w:val="24"/>
        </w:rPr>
        <w:t>[28]</w:t>
      </w:r>
      <w:r w:rsidRPr="00780B1D">
        <w:rPr>
          <w:rFonts w:ascii="Arial" w:eastAsia="Times New Roman" w:hAnsi="Arial" w:cs="Arial"/>
          <w:sz w:val="24"/>
          <w:szCs w:val="24"/>
        </w:rPr>
        <w:tab/>
      </w:r>
      <w:r w:rsidR="00F04982" w:rsidRPr="0031127F">
        <w:rPr>
          <w:rFonts w:ascii="Arial" w:hAnsi="Arial" w:cs="Arial"/>
          <w:sz w:val="24"/>
          <w:szCs w:val="24"/>
        </w:rPr>
        <w:t>The plaintiff’s managing member, in respect of the TLB and tipper-truck, pointed out that there is nothing unusual about a company seeking to sell a piece of earthmoving equipment</w:t>
      </w:r>
      <w:r w:rsidR="00BD262F" w:rsidRPr="0031127F">
        <w:rPr>
          <w:rFonts w:ascii="Arial" w:hAnsi="Arial" w:cs="Arial"/>
          <w:sz w:val="24"/>
          <w:szCs w:val="24"/>
        </w:rPr>
        <w:t xml:space="preserve">.  I agree.  Whilst this aspect was conceded by the defendant </w:t>
      </w:r>
      <w:r w:rsidR="00F04982" w:rsidRPr="0031127F">
        <w:rPr>
          <w:rFonts w:ascii="Arial" w:hAnsi="Arial" w:cs="Arial"/>
          <w:sz w:val="24"/>
          <w:szCs w:val="24"/>
        </w:rPr>
        <w:t xml:space="preserve">in </w:t>
      </w:r>
      <w:r w:rsidR="0054060E" w:rsidRPr="0031127F">
        <w:rPr>
          <w:rFonts w:ascii="Arial" w:hAnsi="Arial" w:cs="Arial"/>
          <w:sz w:val="24"/>
          <w:szCs w:val="24"/>
        </w:rPr>
        <w:t xml:space="preserve">its </w:t>
      </w:r>
      <w:r w:rsidR="00F04982" w:rsidRPr="0031127F">
        <w:rPr>
          <w:rFonts w:ascii="Arial" w:hAnsi="Arial" w:cs="Arial"/>
          <w:sz w:val="24"/>
          <w:szCs w:val="24"/>
        </w:rPr>
        <w:t>reply</w:t>
      </w:r>
      <w:r w:rsidR="0054060E" w:rsidRPr="0031127F">
        <w:rPr>
          <w:rFonts w:ascii="Arial" w:hAnsi="Arial" w:cs="Arial"/>
          <w:sz w:val="24"/>
          <w:szCs w:val="24"/>
        </w:rPr>
        <w:t>ing affidavit</w:t>
      </w:r>
      <w:r w:rsidR="00F04982" w:rsidRPr="0031127F">
        <w:rPr>
          <w:rFonts w:ascii="Arial" w:hAnsi="Arial" w:cs="Arial"/>
          <w:sz w:val="24"/>
          <w:szCs w:val="24"/>
        </w:rPr>
        <w:t xml:space="preserve">, </w:t>
      </w:r>
      <w:r w:rsidR="00BD262F" w:rsidRPr="0031127F">
        <w:rPr>
          <w:rFonts w:ascii="Arial" w:hAnsi="Arial" w:cs="Arial"/>
          <w:sz w:val="24"/>
          <w:szCs w:val="24"/>
        </w:rPr>
        <w:t xml:space="preserve">Lambrou asserted that </w:t>
      </w:r>
      <w:r w:rsidR="00F04982" w:rsidRPr="0031127F">
        <w:rPr>
          <w:rFonts w:ascii="Arial" w:hAnsi="Arial" w:cs="Arial"/>
          <w:sz w:val="24"/>
          <w:szCs w:val="24"/>
        </w:rPr>
        <w:t xml:space="preserve">it was strange that Ras sought to sell the equipment to the defendant.  No reasons were advanced why </w:t>
      </w:r>
      <w:r w:rsidR="001169B9" w:rsidRPr="0031127F">
        <w:rPr>
          <w:rFonts w:ascii="Arial" w:hAnsi="Arial" w:cs="Arial"/>
          <w:sz w:val="24"/>
          <w:szCs w:val="24"/>
        </w:rPr>
        <w:t>the</w:t>
      </w:r>
      <w:r w:rsidR="00F04982" w:rsidRPr="0031127F">
        <w:rPr>
          <w:rFonts w:ascii="Arial" w:hAnsi="Arial" w:cs="Arial"/>
          <w:sz w:val="24"/>
          <w:szCs w:val="24"/>
        </w:rPr>
        <w:t xml:space="preserve"> offer was strange</w:t>
      </w:r>
      <w:r w:rsidR="00530A15" w:rsidRPr="0031127F">
        <w:rPr>
          <w:rFonts w:ascii="Arial" w:hAnsi="Arial" w:cs="Arial"/>
          <w:sz w:val="24"/>
          <w:szCs w:val="24"/>
        </w:rPr>
        <w:t>,</w:t>
      </w:r>
      <w:r w:rsidR="00F04982" w:rsidRPr="0031127F">
        <w:rPr>
          <w:rFonts w:ascii="Arial" w:hAnsi="Arial" w:cs="Arial"/>
          <w:sz w:val="24"/>
          <w:szCs w:val="24"/>
        </w:rPr>
        <w:t xml:space="preserve"> nor is it apparent to me on what basis it could possibly be</w:t>
      </w:r>
      <w:r w:rsidR="001169B9" w:rsidRPr="0031127F">
        <w:rPr>
          <w:rFonts w:ascii="Arial" w:hAnsi="Arial" w:cs="Arial"/>
          <w:sz w:val="24"/>
          <w:szCs w:val="24"/>
        </w:rPr>
        <w:t xml:space="preserve"> so</w:t>
      </w:r>
      <w:r w:rsidR="00F04982" w:rsidRPr="0031127F">
        <w:rPr>
          <w:rFonts w:ascii="Arial" w:hAnsi="Arial" w:cs="Arial"/>
          <w:sz w:val="24"/>
          <w:szCs w:val="24"/>
        </w:rPr>
        <w:t>, given the industry in which the parties are actively involved and</w:t>
      </w:r>
      <w:r w:rsidR="00530A15" w:rsidRPr="0031127F">
        <w:rPr>
          <w:rFonts w:ascii="Arial" w:hAnsi="Arial" w:cs="Arial"/>
          <w:sz w:val="24"/>
          <w:szCs w:val="24"/>
        </w:rPr>
        <w:t>,</w:t>
      </w:r>
      <w:r w:rsidR="00F04982" w:rsidRPr="0031127F">
        <w:rPr>
          <w:rFonts w:ascii="Arial" w:hAnsi="Arial" w:cs="Arial"/>
          <w:sz w:val="24"/>
          <w:szCs w:val="24"/>
        </w:rPr>
        <w:t xml:space="preserve"> more particularly, in light of the fact that the defendant, in terms of clause 2 of the addendum, was liable for the payment of fees for the use of the plaintiff’s </w:t>
      </w:r>
      <w:r w:rsidR="001169B9" w:rsidRPr="0031127F">
        <w:rPr>
          <w:rFonts w:ascii="Arial" w:hAnsi="Arial" w:cs="Arial"/>
          <w:sz w:val="24"/>
          <w:szCs w:val="24"/>
        </w:rPr>
        <w:t>TLB and tipper-truck</w:t>
      </w:r>
      <w:r w:rsidR="00F04982" w:rsidRPr="0031127F">
        <w:rPr>
          <w:rFonts w:ascii="Arial" w:hAnsi="Arial" w:cs="Arial"/>
          <w:sz w:val="24"/>
          <w:szCs w:val="24"/>
        </w:rPr>
        <w:t>.</w:t>
      </w:r>
      <w:r w:rsidR="001169B9" w:rsidRPr="0031127F">
        <w:rPr>
          <w:rFonts w:ascii="Arial" w:hAnsi="Arial" w:cs="Arial"/>
          <w:sz w:val="24"/>
          <w:szCs w:val="24"/>
        </w:rPr>
        <w:t xml:space="preserve">  </w:t>
      </w:r>
    </w:p>
    <w:p w14:paraId="4A8381A2" w14:textId="77777777" w:rsidR="001169B9" w:rsidRDefault="001169B9" w:rsidP="00AC4EE3">
      <w:pPr>
        <w:pStyle w:val="ListParagraph"/>
        <w:spacing w:after="0" w:line="480" w:lineRule="auto"/>
        <w:ind w:left="0"/>
        <w:jc w:val="both"/>
        <w:rPr>
          <w:rFonts w:ascii="Arial" w:hAnsi="Arial" w:cs="Arial"/>
          <w:sz w:val="24"/>
          <w:szCs w:val="24"/>
        </w:rPr>
      </w:pPr>
    </w:p>
    <w:p w14:paraId="05026188" w14:textId="331F95E2" w:rsidR="001169B9"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[29]</w:t>
      </w:r>
      <w:r>
        <w:rPr>
          <w:rFonts w:ascii="Arial" w:eastAsia="Times New Roman" w:hAnsi="Arial" w:cs="Arial"/>
          <w:sz w:val="24"/>
          <w:szCs w:val="24"/>
        </w:rPr>
        <w:tab/>
      </w:r>
      <w:r w:rsidR="00855EEF" w:rsidRPr="0031127F">
        <w:rPr>
          <w:rFonts w:ascii="Arial" w:hAnsi="Arial" w:cs="Arial"/>
          <w:sz w:val="24"/>
          <w:szCs w:val="24"/>
        </w:rPr>
        <w:t xml:space="preserve">I am </w:t>
      </w:r>
      <w:r w:rsidR="00530A15" w:rsidRPr="0031127F">
        <w:rPr>
          <w:rFonts w:ascii="Arial" w:hAnsi="Arial" w:cs="Arial"/>
          <w:sz w:val="24"/>
          <w:szCs w:val="24"/>
        </w:rPr>
        <w:t xml:space="preserve">further </w:t>
      </w:r>
      <w:r w:rsidR="00855EEF" w:rsidRPr="0031127F">
        <w:rPr>
          <w:rFonts w:ascii="Arial" w:hAnsi="Arial" w:cs="Arial"/>
          <w:sz w:val="24"/>
          <w:szCs w:val="24"/>
        </w:rPr>
        <w:t>unable to agree with the defendant that</w:t>
      </w:r>
      <w:r w:rsidR="008741B2" w:rsidRPr="0031127F">
        <w:rPr>
          <w:rFonts w:ascii="Arial" w:hAnsi="Arial" w:cs="Arial"/>
          <w:sz w:val="24"/>
          <w:szCs w:val="24"/>
        </w:rPr>
        <w:t xml:space="preserve"> the plaintiff’s decision to abandon the site</w:t>
      </w:r>
      <w:r w:rsidR="00855EEF" w:rsidRPr="0031127F">
        <w:rPr>
          <w:rFonts w:ascii="Arial" w:hAnsi="Arial" w:cs="Arial"/>
          <w:sz w:val="24"/>
          <w:szCs w:val="24"/>
        </w:rPr>
        <w:t xml:space="preserve"> is indicative of financial distress.  There exists insufficient evidence, on the facts of this matter, to justify such an inference.  T</w:t>
      </w:r>
      <w:r w:rsidR="001169B9" w:rsidRPr="0031127F">
        <w:rPr>
          <w:rFonts w:ascii="Arial" w:hAnsi="Arial" w:cs="Arial"/>
          <w:sz w:val="24"/>
          <w:szCs w:val="24"/>
        </w:rPr>
        <w:t xml:space="preserve">he plaintiff explains that </w:t>
      </w:r>
      <w:r w:rsidR="00855EEF" w:rsidRPr="0031127F">
        <w:rPr>
          <w:rFonts w:ascii="Arial" w:hAnsi="Arial" w:cs="Arial"/>
          <w:sz w:val="24"/>
          <w:szCs w:val="24"/>
        </w:rPr>
        <w:t xml:space="preserve">it </w:t>
      </w:r>
      <w:r w:rsidR="008741B2" w:rsidRPr="0031127F">
        <w:rPr>
          <w:rFonts w:ascii="Arial" w:hAnsi="Arial" w:cs="Arial"/>
          <w:sz w:val="24"/>
          <w:szCs w:val="24"/>
        </w:rPr>
        <w:t>vacated</w:t>
      </w:r>
      <w:r w:rsidR="00855EEF" w:rsidRPr="0031127F">
        <w:rPr>
          <w:rFonts w:ascii="Arial" w:hAnsi="Arial" w:cs="Arial"/>
          <w:sz w:val="24"/>
          <w:szCs w:val="24"/>
        </w:rPr>
        <w:t xml:space="preserve"> the site</w:t>
      </w:r>
      <w:r w:rsidR="001169B9" w:rsidRPr="0031127F">
        <w:rPr>
          <w:rFonts w:ascii="Arial" w:hAnsi="Arial" w:cs="Arial"/>
          <w:sz w:val="24"/>
          <w:szCs w:val="24"/>
        </w:rPr>
        <w:t xml:space="preserve"> due to non-payment by the defendant</w:t>
      </w:r>
      <w:r w:rsidR="008741B2" w:rsidRPr="0031127F">
        <w:rPr>
          <w:rFonts w:ascii="Arial" w:hAnsi="Arial" w:cs="Arial"/>
          <w:sz w:val="24"/>
          <w:szCs w:val="24"/>
        </w:rPr>
        <w:t xml:space="preserve"> for the services rendered</w:t>
      </w:r>
      <w:r w:rsidR="001169B9" w:rsidRPr="0031127F">
        <w:rPr>
          <w:rFonts w:ascii="Arial" w:hAnsi="Arial" w:cs="Arial"/>
          <w:sz w:val="24"/>
          <w:szCs w:val="24"/>
        </w:rPr>
        <w:t>.  Given th</w:t>
      </w:r>
      <w:r w:rsidR="008741B2" w:rsidRPr="0031127F">
        <w:rPr>
          <w:rFonts w:ascii="Arial" w:hAnsi="Arial" w:cs="Arial"/>
          <w:sz w:val="24"/>
          <w:szCs w:val="24"/>
        </w:rPr>
        <w:t>e stage of completion of the project (that</w:t>
      </w:r>
      <w:r w:rsidR="001169B9" w:rsidRPr="0031127F">
        <w:rPr>
          <w:rFonts w:ascii="Arial" w:hAnsi="Arial" w:cs="Arial"/>
          <w:sz w:val="24"/>
          <w:szCs w:val="24"/>
        </w:rPr>
        <w:t xml:space="preserve"> t</w:t>
      </w:r>
      <w:r w:rsidR="008741B2" w:rsidRPr="0031127F">
        <w:rPr>
          <w:rFonts w:ascii="Arial" w:hAnsi="Arial" w:cs="Arial"/>
          <w:sz w:val="24"/>
          <w:szCs w:val="24"/>
        </w:rPr>
        <w:t>he</w:t>
      </w:r>
      <w:r w:rsidR="001169B9" w:rsidRPr="0031127F">
        <w:rPr>
          <w:rFonts w:ascii="Arial" w:hAnsi="Arial" w:cs="Arial"/>
          <w:sz w:val="24"/>
          <w:szCs w:val="24"/>
        </w:rPr>
        <w:t xml:space="preserve"> plaintiff had cleared 100 plots</w:t>
      </w:r>
      <w:r w:rsidR="008741B2" w:rsidRPr="0031127F">
        <w:rPr>
          <w:rFonts w:ascii="Arial" w:hAnsi="Arial" w:cs="Arial"/>
          <w:sz w:val="24"/>
          <w:szCs w:val="24"/>
        </w:rPr>
        <w:t>)</w:t>
      </w:r>
      <w:r w:rsidR="001169B9" w:rsidRPr="0031127F">
        <w:rPr>
          <w:rFonts w:ascii="Arial" w:hAnsi="Arial" w:cs="Arial"/>
          <w:sz w:val="24"/>
          <w:szCs w:val="24"/>
        </w:rPr>
        <w:t>; the defendant’s admitted liability towards the plaintiff; and the</w:t>
      </w:r>
      <w:r w:rsidR="008741B2" w:rsidRPr="0031127F">
        <w:rPr>
          <w:rFonts w:ascii="Arial" w:hAnsi="Arial" w:cs="Arial"/>
          <w:sz w:val="24"/>
          <w:szCs w:val="24"/>
        </w:rPr>
        <w:t xml:space="preserve"> parties’</w:t>
      </w:r>
      <w:r w:rsidR="001169B9" w:rsidRPr="0031127F">
        <w:rPr>
          <w:rFonts w:ascii="Arial" w:hAnsi="Arial" w:cs="Arial"/>
          <w:sz w:val="24"/>
          <w:szCs w:val="24"/>
        </w:rPr>
        <w:t xml:space="preserve"> di</w:t>
      </w:r>
      <w:r w:rsidR="008741B2" w:rsidRPr="0031127F">
        <w:rPr>
          <w:rFonts w:ascii="Arial" w:hAnsi="Arial" w:cs="Arial"/>
          <w:sz w:val="24"/>
          <w:szCs w:val="24"/>
        </w:rPr>
        <w:t>ametrically opposed view</w:t>
      </w:r>
      <w:r w:rsidR="00665AEF" w:rsidRPr="0031127F">
        <w:rPr>
          <w:rFonts w:ascii="Arial" w:hAnsi="Arial" w:cs="Arial"/>
          <w:sz w:val="24"/>
          <w:szCs w:val="24"/>
        </w:rPr>
        <w:t>s</w:t>
      </w:r>
      <w:r w:rsidR="008741B2" w:rsidRPr="0031127F">
        <w:rPr>
          <w:rFonts w:ascii="Arial" w:hAnsi="Arial" w:cs="Arial"/>
          <w:sz w:val="24"/>
          <w:szCs w:val="24"/>
        </w:rPr>
        <w:t xml:space="preserve"> on</w:t>
      </w:r>
      <w:r w:rsidR="001169B9" w:rsidRPr="0031127F">
        <w:rPr>
          <w:rFonts w:ascii="Arial" w:hAnsi="Arial" w:cs="Arial"/>
          <w:sz w:val="24"/>
          <w:szCs w:val="24"/>
        </w:rPr>
        <w:t xml:space="preserve"> how payment was/is to be effected, I have no reason to question the version of the plaintiff.</w:t>
      </w:r>
    </w:p>
    <w:p w14:paraId="102A85D6" w14:textId="77777777" w:rsidR="00855EEF" w:rsidRPr="00855EEF" w:rsidRDefault="00855EEF" w:rsidP="00AC4EE3">
      <w:pPr>
        <w:pStyle w:val="ListParagraph"/>
        <w:spacing w:after="0" w:line="480" w:lineRule="auto"/>
        <w:rPr>
          <w:rFonts w:ascii="Arial" w:hAnsi="Arial" w:cs="Arial"/>
          <w:sz w:val="24"/>
          <w:szCs w:val="24"/>
        </w:rPr>
      </w:pPr>
    </w:p>
    <w:p w14:paraId="0E61D203" w14:textId="401E158F" w:rsidR="008220BF"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[30]</w:t>
      </w:r>
      <w:r>
        <w:rPr>
          <w:rFonts w:ascii="Arial" w:eastAsia="Times New Roman" w:hAnsi="Arial" w:cs="Arial"/>
          <w:sz w:val="24"/>
          <w:szCs w:val="24"/>
        </w:rPr>
        <w:tab/>
      </w:r>
      <w:r w:rsidR="008220BF" w:rsidRPr="0031127F">
        <w:rPr>
          <w:rFonts w:ascii="Arial" w:hAnsi="Arial" w:cs="Arial"/>
          <w:sz w:val="24"/>
          <w:szCs w:val="24"/>
        </w:rPr>
        <w:t xml:space="preserve">Quite clearly, the plaintiff, at the time of the conclusion of the agreement on 1 June 2021, had no cash flow </w:t>
      </w:r>
      <w:r w:rsidR="00A467E9" w:rsidRPr="0031127F">
        <w:rPr>
          <w:rFonts w:ascii="Arial" w:hAnsi="Arial" w:cs="Arial"/>
          <w:sz w:val="24"/>
          <w:szCs w:val="24"/>
        </w:rPr>
        <w:t>problems</w:t>
      </w:r>
      <w:r w:rsidR="008220BF" w:rsidRPr="0031127F">
        <w:rPr>
          <w:rFonts w:ascii="Arial" w:hAnsi="Arial" w:cs="Arial"/>
          <w:sz w:val="24"/>
          <w:szCs w:val="24"/>
        </w:rPr>
        <w:t xml:space="preserve">, having agreed to acquire property in </w:t>
      </w:r>
      <w:r w:rsidR="008220BF" w:rsidRPr="0031127F">
        <w:rPr>
          <w:rFonts w:ascii="Arial" w:hAnsi="Arial" w:cs="Arial"/>
          <w:i/>
          <w:iCs/>
          <w:sz w:val="24"/>
          <w:szCs w:val="24"/>
        </w:rPr>
        <w:t>lieu</w:t>
      </w:r>
      <w:r w:rsidR="008220BF" w:rsidRPr="0031127F">
        <w:rPr>
          <w:rFonts w:ascii="Arial" w:hAnsi="Arial" w:cs="Arial"/>
          <w:sz w:val="24"/>
          <w:szCs w:val="24"/>
        </w:rPr>
        <w:t xml:space="preserve"> of payment for services rendered.  The plaintiff pertinently dealt with this in its answering affidavit.  The defendant, in response, conceded that: (i) the plaintiff was financially stable at the time that the agreement was concluded; and (ii) in addition to the Wedgewood Estate contract (as well as the unrelated contracts to which I have referred in paragraph [2</w:t>
      </w:r>
      <w:r w:rsidR="00651A71" w:rsidRPr="0031127F">
        <w:rPr>
          <w:rFonts w:ascii="Arial" w:hAnsi="Arial" w:cs="Arial"/>
          <w:sz w:val="24"/>
          <w:szCs w:val="24"/>
        </w:rPr>
        <w:t>4</w:t>
      </w:r>
      <w:r w:rsidR="008220BF" w:rsidRPr="0031127F">
        <w:rPr>
          <w:rFonts w:ascii="Arial" w:hAnsi="Arial" w:cs="Arial"/>
          <w:sz w:val="24"/>
          <w:szCs w:val="24"/>
        </w:rPr>
        <w:t>]), the plaintiff was, at that stage, engaged with the performance of services under various other contracts, unrelated to the defendant.  The defendant, at no stage contends that it was</w:t>
      </w:r>
      <w:r w:rsidR="00F01C72" w:rsidRPr="0031127F">
        <w:rPr>
          <w:rFonts w:ascii="Arial" w:hAnsi="Arial" w:cs="Arial"/>
          <w:sz w:val="24"/>
          <w:szCs w:val="24"/>
        </w:rPr>
        <w:t xml:space="preserve"> or is</w:t>
      </w:r>
      <w:r w:rsidR="008220BF" w:rsidRPr="0031127F">
        <w:rPr>
          <w:rFonts w:ascii="Arial" w:hAnsi="Arial" w:cs="Arial"/>
          <w:sz w:val="24"/>
          <w:szCs w:val="24"/>
        </w:rPr>
        <w:t xml:space="preserve"> the plaintiff’s only source of revenue.  </w:t>
      </w:r>
    </w:p>
    <w:p w14:paraId="30F979B6" w14:textId="77777777" w:rsidR="00A467E9" w:rsidRDefault="00A467E9" w:rsidP="00AC4EE3">
      <w:pPr>
        <w:pStyle w:val="ListParagraph"/>
        <w:spacing w:after="0" w:line="480" w:lineRule="auto"/>
        <w:ind w:left="0"/>
        <w:jc w:val="both"/>
        <w:rPr>
          <w:rFonts w:ascii="Arial" w:hAnsi="Arial" w:cs="Arial"/>
          <w:sz w:val="24"/>
          <w:szCs w:val="24"/>
        </w:rPr>
      </w:pPr>
    </w:p>
    <w:p w14:paraId="56A50BE6" w14:textId="01EAC0FC" w:rsidR="00A467E9"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[31]</w:t>
      </w:r>
      <w:r>
        <w:rPr>
          <w:rFonts w:ascii="Arial" w:eastAsia="Times New Roman" w:hAnsi="Arial" w:cs="Arial"/>
          <w:sz w:val="24"/>
          <w:szCs w:val="24"/>
        </w:rPr>
        <w:tab/>
      </w:r>
      <w:r w:rsidR="008220BF" w:rsidRPr="0031127F">
        <w:rPr>
          <w:rFonts w:ascii="Arial" w:hAnsi="Arial" w:cs="Arial"/>
          <w:sz w:val="24"/>
          <w:szCs w:val="24"/>
        </w:rPr>
        <w:t xml:space="preserve">More telling perhaps is that at some stage between the conclusion of the agreement on 1 June 2021 and the date on which the plaintiff vacated the site during April 2022, the plaintiff agreed to the performance of additional lucrative services on site in relation to the clearing of </w:t>
      </w:r>
      <w:r w:rsidR="00882A63" w:rsidRPr="0031127F">
        <w:rPr>
          <w:rFonts w:ascii="Arial" w:hAnsi="Arial" w:cs="Arial"/>
          <w:sz w:val="24"/>
          <w:szCs w:val="24"/>
        </w:rPr>
        <w:t>a</w:t>
      </w:r>
      <w:r w:rsidR="008220BF" w:rsidRPr="0031127F">
        <w:rPr>
          <w:rFonts w:ascii="Arial" w:hAnsi="Arial" w:cs="Arial"/>
          <w:sz w:val="24"/>
          <w:szCs w:val="24"/>
        </w:rPr>
        <w:t xml:space="preserve"> fire-break</w:t>
      </w:r>
      <w:r w:rsidR="00687B12" w:rsidRPr="0031127F">
        <w:rPr>
          <w:rFonts w:ascii="Arial" w:hAnsi="Arial" w:cs="Arial"/>
          <w:sz w:val="24"/>
          <w:szCs w:val="24"/>
        </w:rPr>
        <w:t>.  Once again, the plaintiff</w:t>
      </w:r>
      <w:r w:rsidR="008220BF" w:rsidRPr="0031127F">
        <w:rPr>
          <w:rFonts w:ascii="Arial" w:hAnsi="Arial" w:cs="Arial"/>
          <w:sz w:val="24"/>
          <w:szCs w:val="24"/>
        </w:rPr>
        <w:t xml:space="preserve"> did not seek payment in cash</w:t>
      </w:r>
      <w:r w:rsidR="00064894" w:rsidRPr="0031127F">
        <w:rPr>
          <w:rFonts w:ascii="Arial" w:hAnsi="Arial" w:cs="Arial"/>
          <w:sz w:val="24"/>
          <w:szCs w:val="24"/>
        </w:rPr>
        <w:t xml:space="preserve">, instead offering to sell the timber so cleared in </w:t>
      </w:r>
      <w:r w:rsidR="00064894" w:rsidRPr="0031127F">
        <w:rPr>
          <w:rFonts w:ascii="Arial" w:hAnsi="Arial" w:cs="Arial"/>
          <w:i/>
          <w:iCs/>
          <w:sz w:val="24"/>
          <w:szCs w:val="24"/>
        </w:rPr>
        <w:t>lieu</w:t>
      </w:r>
      <w:r w:rsidR="00064894" w:rsidRPr="0031127F">
        <w:rPr>
          <w:rFonts w:ascii="Arial" w:hAnsi="Arial" w:cs="Arial"/>
          <w:sz w:val="24"/>
          <w:szCs w:val="24"/>
        </w:rPr>
        <w:t xml:space="preserve"> </w:t>
      </w:r>
      <w:r w:rsidR="00FC6C02" w:rsidRPr="0031127F">
        <w:rPr>
          <w:rFonts w:ascii="Arial" w:hAnsi="Arial" w:cs="Arial"/>
          <w:sz w:val="24"/>
          <w:szCs w:val="24"/>
        </w:rPr>
        <w:t>thereof</w:t>
      </w:r>
      <w:r w:rsidR="008220BF" w:rsidRPr="0031127F">
        <w:rPr>
          <w:rFonts w:ascii="Arial" w:hAnsi="Arial" w:cs="Arial"/>
          <w:sz w:val="24"/>
          <w:szCs w:val="24"/>
        </w:rPr>
        <w:t xml:space="preserve">.  I say that </w:t>
      </w:r>
      <w:r w:rsidR="00064894" w:rsidRPr="0031127F">
        <w:rPr>
          <w:rFonts w:ascii="Arial" w:hAnsi="Arial" w:cs="Arial"/>
          <w:sz w:val="24"/>
          <w:szCs w:val="24"/>
        </w:rPr>
        <w:t>the</w:t>
      </w:r>
      <w:r w:rsidR="008220BF" w:rsidRPr="0031127F">
        <w:rPr>
          <w:rFonts w:ascii="Arial" w:hAnsi="Arial" w:cs="Arial"/>
          <w:sz w:val="24"/>
          <w:szCs w:val="24"/>
        </w:rPr>
        <w:t xml:space="preserve"> services were lucrative</w:t>
      </w:r>
      <w:r w:rsidR="00064894" w:rsidRPr="0031127F">
        <w:rPr>
          <w:rFonts w:ascii="Arial" w:hAnsi="Arial" w:cs="Arial"/>
          <w:sz w:val="24"/>
          <w:szCs w:val="24"/>
        </w:rPr>
        <w:t>,</w:t>
      </w:r>
      <w:r w:rsidR="008220BF" w:rsidRPr="0031127F">
        <w:rPr>
          <w:rFonts w:ascii="Arial" w:hAnsi="Arial" w:cs="Arial"/>
          <w:sz w:val="24"/>
          <w:szCs w:val="24"/>
        </w:rPr>
        <w:t xml:space="preserve"> given the defendant’s contention that</w:t>
      </w:r>
      <w:r w:rsidR="00064894" w:rsidRPr="0031127F">
        <w:rPr>
          <w:rFonts w:ascii="Arial" w:hAnsi="Arial" w:cs="Arial"/>
          <w:sz w:val="24"/>
          <w:szCs w:val="24"/>
        </w:rPr>
        <w:t xml:space="preserve"> it would cost approximately R400,000.00</w:t>
      </w:r>
      <w:r w:rsidR="008220BF" w:rsidRPr="0031127F">
        <w:rPr>
          <w:rFonts w:ascii="Arial" w:hAnsi="Arial" w:cs="Arial"/>
          <w:sz w:val="24"/>
          <w:szCs w:val="24"/>
        </w:rPr>
        <w:t xml:space="preserve"> to remove the vegetation already cut and to clear the remainder of the fire-break.  The inescapable conclusion is that the plaintiff, at that </w:t>
      </w:r>
      <w:r w:rsidR="00060B71" w:rsidRPr="0031127F">
        <w:rPr>
          <w:rFonts w:ascii="Arial" w:hAnsi="Arial" w:cs="Arial"/>
          <w:sz w:val="24"/>
          <w:szCs w:val="24"/>
        </w:rPr>
        <w:t xml:space="preserve">later </w:t>
      </w:r>
      <w:r w:rsidR="008220BF" w:rsidRPr="0031127F">
        <w:rPr>
          <w:rFonts w:ascii="Arial" w:hAnsi="Arial" w:cs="Arial"/>
          <w:sz w:val="24"/>
          <w:szCs w:val="24"/>
        </w:rPr>
        <w:t>stage, was not experiencing financial difficulties.  The defendant is decidedly vague on the timeline, and more particularly, the date on which the fire-break clearing services agreement was entered into</w:t>
      </w:r>
      <w:r w:rsidR="00064894" w:rsidRPr="0031127F">
        <w:rPr>
          <w:rFonts w:ascii="Arial" w:hAnsi="Arial" w:cs="Arial"/>
          <w:sz w:val="24"/>
          <w:szCs w:val="24"/>
        </w:rPr>
        <w:t xml:space="preserve">, and fails to </w:t>
      </w:r>
      <w:r w:rsidR="008220BF" w:rsidRPr="0031127F">
        <w:rPr>
          <w:rFonts w:ascii="Arial" w:hAnsi="Arial" w:cs="Arial"/>
          <w:sz w:val="24"/>
          <w:szCs w:val="24"/>
        </w:rPr>
        <w:t xml:space="preserve">state, </w:t>
      </w:r>
      <w:r w:rsidR="005422D4" w:rsidRPr="0031127F">
        <w:rPr>
          <w:rFonts w:ascii="Arial" w:hAnsi="Arial" w:cs="Arial"/>
          <w:sz w:val="24"/>
          <w:szCs w:val="24"/>
        </w:rPr>
        <w:t xml:space="preserve">apart from </w:t>
      </w:r>
      <w:r w:rsidR="008220BF" w:rsidRPr="0031127F">
        <w:rPr>
          <w:rFonts w:ascii="Arial" w:hAnsi="Arial" w:cs="Arial"/>
          <w:sz w:val="24"/>
          <w:szCs w:val="24"/>
        </w:rPr>
        <w:t>what i</w:t>
      </w:r>
      <w:r w:rsidR="00064894" w:rsidRPr="0031127F">
        <w:rPr>
          <w:rFonts w:ascii="Arial" w:hAnsi="Arial" w:cs="Arial"/>
          <w:sz w:val="24"/>
          <w:szCs w:val="24"/>
        </w:rPr>
        <w:t>s set out above</w:t>
      </w:r>
      <w:r w:rsidR="00372D8E" w:rsidRPr="0031127F">
        <w:rPr>
          <w:rFonts w:ascii="Arial" w:hAnsi="Arial" w:cs="Arial"/>
          <w:sz w:val="24"/>
          <w:szCs w:val="24"/>
        </w:rPr>
        <w:t xml:space="preserve"> and which amounts to no more than</w:t>
      </w:r>
      <w:r w:rsidR="007B70E4" w:rsidRPr="0031127F">
        <w:rPr>
          <w:rFonts w:ascii="Arial" w:hAnsi="Arial" w:cs="Arial"/>
          <w:sz w:val="24"/>
          <w:szCs w:val="24"/>
        </w:rPr>
        <w:t xml:space="preserve"> an</w:t>
      </w:r>
      <w:r w:rsidR="00372D8E" w:rsidRPr="0031127F">
        <w:rPr>
          <w:rFonts w:ascii="Arial" w:hAnsi="Arial" w:cs="Arial"/>
          <w:sz w:val="24"/>
          <w:szCs w:val="24"/>
        </w:rPr>
        <w:t xml:space="preserve"> opinion</w:t>
      </w:r>
      <w:r w:rsidR="00064894" w:rsidRPr="0031127F">
        <w:rPr>
          <w:rFonts w:ascii="Arial" w:hAnsi="Arial" w:cs="Arial"/>
          <w:sz w:val="24"/>
          <w:szCs w:val="24"/>
        </w:rPr>
        <w:t>,</w:t>
      </w:r>
      <w:r w:rsidR="008220BF" w:rsidRPr="0031127F">
        <w:rPr>
          <w:rFonts w:ascii="Arial" w:hAnsi="Arial" w:cs="Arial"/>
          <w:sz w:val="24"/>
          <w:szCs w:val="24"/>
        </w:rPr>
        <w:t xml:space="preserve"> what</w:t>
      </w:r>
      <w:r w:rsidR="00D53470" w:rsidRPr="0031127F">
        <w:rPr>
          <w:rFonts w:ascii="Arial" w:hAnsi="Arial" w:cs="Arial"/>
          <w:sz w:val="24"/>
          <w:szCs w:val="24"/>
        </w:rPr>
        <w:t xml:space="preserve"> it contends </w:t>
      </w:r>
      <w:r w:rsidR="00064894" w:rsidRPr="0031127F">
        <w:rPr>
          <w:rFonts w:ascii="Arial" w:hAnsi="Arial" w:cs="Arial"/>
          <w:sz w:val="24"/>
          <w:szCs w:val="24"/>
        </w:rPr>
        <w:t xml:space="preserve">occurred </w:t>
      </w:r>
      <w:r w:rsidR="008220BF" w:rsidRPr="0031127F">
        <w:rPr>
          <w:rFonts w:ascii="Arial" w:hAnsi="Arial" w:cs="Arial"/>
          <w:sz w:val="24"/>
          <w:szCs w:val="24"/>
        </w:rPr>
        <w:t xml:space="preserve">in </w:t>
      </w:r>
      <w:r w:rsidR="008220BF" w:rsidRPr="0031127F">
        <w:rPr>
          <w:rFonts w:ascii="Arial" w:hAnsi="Arial" w:cs="Arial"/>
          <w:sz w:val="24"/>
          <w:szCs w:val="24"/>
        </w:rPr>
        <w:lastRenderedPageBreak/>
        <w:t>the intervening period to result in a change in the plaintiff’s financial position</w:t>
      </w:r>
      <w:r w:rsidR="00D53470" w:rsidRPr="0031127F">
        <w:rPr>
          <w:rFonts w:ascii="Arial" w:hAnsi="Arial" w:cs="Arial"/>
          <w:sz w:val="24"/>
          <w:szCs w:val="24"/>
        </w:rPr>
        <w:t>, rendering it impecunious</w:t>
      </w:r>
      <w:r w:rsidR="008220BF" w:rsidRPr="0031127F">
        <w:rPr>
          <w:rFonts w:ascii="Arial" w:hAnsi="Arial" w:cs="Arial"/>
          <w:sz w:val="24"/>
          <w:szCs w:val="24"/>
        </w:rPr>
        <w:t xml:space="preserve">. </w:t>
      </w:r>
      <w:r w:rsidR="00855EEF" w:rsidRPr="0031127F">
        <w:rPr>
          <w:rFonts w:ascii="Arial" w:hAnsi="Arial" w:cs="Arial"/>
          <w:sz w:val="24"/>
          <w:szCs w:val="24"/>
        </w:rPr>
        <w:t xml:space="preserve"> </w:t>
      </w:r>
    </w:p>
    <w:p w14:paraId="14C65D96" w14:textId="77777777" w:rsidR="00A467E9" w:rsidRPr="00A467E9" w:rsidRDefault="00A467E9" w:rsidP="00AC4EE3">
      <w:pPr>
        <w:pStyle w:val="ListParagraph"/>
        <w:spacing w:after="0" w:line="480" w:lineRule="auto"/>
        <w:rPr>
          <w:rFonts w:ascii="Arial" w:hAnsi="Arial" w:cs="Arial"/>
          <w:sz w:val="24"/>
          <w:szCs w:val="24"/>
        </w:rPr>
      </w:pPr>
    </w:p>
    <w:p w14:paraId="48AC254A" w14:textId="7232693B" w:rsidR="00064894"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[32]</w:t>
      </w:r>
      <w:r>
        <w:rPr>
          <w:rFonts w:ascii="Arial" w:eastAsia="Times New Roman" w:hAnsi="Arial" w:cs="Arial"/>
          <w:sz w:val="24"/>
          <w:szCs w:val="24"/>
        </w:rPr>
        <w:tab/>
      </w:r>
      <w:r w:rsidR="008220BF" w:rsidRPr="0031127F">
        <w:rPr>
          <w:rFonts w:ascii="Arial" w:hAnsi="Arial" w:cs="Arial"/>
          <w:sz w:val="24"/>
          <w:szCs w:val="24"/>
        </w:rPr>
        <w:t xml:space="preserve"> </w:t>
      </w:r>
      <w:r w:rsidR="00064894" w:rsidRPr="0031127F">
        <w:rPr>
          <w:rFonts w:ascii="Arial" w:hAnsi="Arial" w:cs="Arial"/>
          <w:sz w:val="24"/>
          <w:szCs w:val="24"/>
        </w:rPr>
        <w:t>Faced with the plaintiff’s denial of financial difficulties, the defendant, having been emphatic regarding the plaintiff’s financial position in its founding affidavit was seemingly less resolute in reply, stating that</w:t>
      </w:r>
      <w:r w:rsidR="00855EEF" w:rsidRPr="0031127F">
        <w:rPr>
          <w:rFonts w:ascii="Arial" w:hAnsi="Arial" w:cs="Arial"/>
          <w:sz w:val="24"/>
          <w:szCs w:val="24"/>
        </w:rPr>
        <w:t xml:space="preserve"> whilst the plaintiff may have been financially stable at the time of entering into the agreement,</w:t>
      </w:r>
      <w:r w:rsidR="00064894" w:rsidRPr="0031127F">
        <w:rPr>
          <w:rFonts w:ascii="Arial" w:hAnsi="Arial" w:cs="Arial"/>
          <w:sz w:val="24"/>
          <w:szCs w:val="24"/>
        </w:rPr>
        <w:t xml:space="preserve"> “</w:t>
      </w:r>
      <w:r w:rsidR="00064894" w:rsidRPr="0031127F">
        <w:rPr>
          <w:rFonts w:ascii="Arial" w:hAnsi="Arial" w:cs="Arial"/>
          <w:i/>
          <w:iCs/>
          <w:sz w:val="24"/>
          <w:szCs w:val="24"/>
        </w:rPr>
        <w:t>it later seemed that plaintiff started encountering financial difficulties</w:t>
      </w:r>
      <w:r w:rsidR="00064894" w:rsidRPr="0031127F">
        <w:rPr>
          <w:rFonts w:ascii="Arial" w:hAnsi="Arial" w:cs="Arial"/>
          <w:sz w:val="24"/>
          <w:szCs w:val="24"/>
        </w:rPr>
        <w:t xml:space="preserve">”.  </w:t>
      </w:r>
      <w:r w:rsidR="00855EEF" w:rsidRPr="0031127F">
        <w:rPr>
          <w:rFonts w:ascii="Arial" w:hAnsi="Arial" w:cs="Arial"/>
          <w:sz w:val="24"/>
          <w:szCs w:val="24"/>
        </w:rPr>
        <w:t>According to Lambrou, this impression was created by the conduct o</w:t>
      </w:r>
      <w:r w:rsidR="00064894" w:rsidRPr="0031127F">
        <w:rPr>
          <w:rFonts w:ascii="Arial" w:hAnsi="Arial" w:cs="Arial"/>
          <w:sz w:val="24"/>
          <w:szCs w:val="24"/>
        </w:rPr>
        <w:t xml:space="preserve">f Ras and the </w:t>
      </w:r>
      <w:r w:rsidR="00DC0BE9" w:rsidRPr="0031127F">
        <w:rPr>
          <w:rFonts w:ascii="Arial" w:hAnsi="Arial" w:cs="Arial"/>
          <w:sz w:val="24"/>
          <w:szCs w:val="24"/>
        </w:rPr>
        <w:t>p</w:t>
      </w:r>
      <w:r w:rsidR="00064894" w:rsidRPr="0031127F">
        <w:rPr>
          <w:rFonts w:ascii="Arial" w:hAnsi="Arial" w:cs="Arial"/>
          <w:sz w:val="24"/>
          <w:szCs w:val="24"/>
        </w:rPr>
        <w:t>laintiff</w:t>
      </w:r>
      <w:r w:rsidR="00855EEF" w:rsidRPr="0031127F">
        <w:rPr>
          <w:rFonts w:ascii="Arial" w:hAnsi="Arial" w:cs="Arial"/>
          <w:sz w:val="24"/>
          <w:szCs w:val="24"/>
        </w:rPr>
        <w:t xml:space="preserve">.  He however qualified this </w:t>
      </w:r>
      <w:r w:rsidR="00064894" w:rsidRPr="0031127F">
        <w:rPr>
          <w:rFonts w:ascii="Arial" w:hAnsi="Arial" w:cs="Arial"/>
          <w:sz w:val="24"/>
          <w:szCs w:val="24"/>
        </w:rPr>
        <w:t xml:space="preserve">by stating that </w:t>
      </w:r>
      <w:r w:rsidR="00DC0BE9" w:rsidRPr="0031127F">
        <w:rPr>
          <w:rFonts w:ascii="Arial" w:hAnsi="Arial" w:cs="Arial"/>
          <w:sz w:val="24"/>
          <w:szCs w:val="24"/>
        </w:rPr>
        <w:t xml:space="preserve">as the defendant did not have access to the plaintiff’s </w:t>
      </w:r>
      <w:r w:rsidR="00064894" w:rsidRPr="0031127F">
        <w:rPr>
          <w:rFonts w:ascii="Arial" w:hAnsi="Arial" w:cs="Arial"/>
          <w:sz w:val="24"/>
          <w:szCs w:val="24"/>
        </w:rPr>
        <w:t>financial information</w:t>
      </w:r>
      <w:r w:rsidR="00DC0BE9" w:rsidRPr="0031127F">
        <w:rPr>
          <w:rFonts w:ascii="Arial" w:hAnsi="Arial" w:cs="Arial"/>
          <w:sz w:val="24"/>
          <w:szCs w:val="24"/>
        </w:rPr>
        <w:t xml:space="preserve">, </w:t>
      </w:r>
      <w:r w:rsidR="00855EEF" w:rsidRPr="0031127F">
        <w:rPr>
          <w:rFonts w:ascii="Arial" w:hAnsi="Arial" w:cs="Arial"/>
          <w:sz w:val="24"/>
          <w:szCs w:val="24"/>
        </w:rPr>
        <w:t xml:space="preserve">he (on behalf of the defendant) was unable to </w:t>
      </w:r>
      <w:r w:rsidR="00DC0BE9" w:rsidRPr="0031127F">
        <w:rPr>
          <w:rFonts w:ascii="Arial" w:hAnsi="Arial" w:cs="Arial"/>
          <w:sz w:val="24"/>
          <w:szCs w:val="24"/>
        </w:rPr>
        <w:t>provide</w:t>
      </w:r>
      <w:r w:rsidR="007E1531" w:rsidRPr="0031127F">
        <w:rPr>
          <w:rFonts w:ascii="Arial" w:hAnsi="Arial" w:cs="Arial"/>
          <w:sz w:val="24"/>
          <w:szCs w:val="24"/>
        </w:rPr>
        <w:t xml:space="preserve"> </w:t>
      </w:r>
      <w:r w:rsidR="00DC0BE9" w:rsidRPr="0031127F">
        <w:rPr>
          <w:rFonts w:ascii="Arial" w:hAnsi="Arial" w:cs="Arial"/>
          <w:sz w:val="24"/>
          <w:szCs w:val="24"/>
        </w:rPr>
        <w:t>further details</w:t>
      </w:r>
      <w:r w:rsidR="00855EEF" w:rsidRPr="0031127F">
        <w:rPr>
          <w:rFonts w:ascii="Arial" w:hAnsi="Arial" w:cs="Arial"/>
          <w:sz w:val="24"/>
          <w:szCs w:val="24"/>
        </w:rPr>
        <w:t xml:space="preserve"> regarding the plaintiff’s financial position</w:t>
      </w:r>
      <w:r w:rsidR="00064894" w:rsidRPr="0031127F">
        <w:rPr>
          <w:rFonts w:ascii="Arial" w:hAnsi="Arial" w:cs="Arial"/>
          <w:sz w:val="24"/>
          <w:szCs w:val="24"/>
        </w:rPr>
        <w:t>.</w:t>
      </w:r>
      <w:r w:rsidR="00855EEF" w:rsidRPr="0031127F">
        <w:rPr>
          <w:rFonts w:ascii="Arial" w:hAnsi="Arial" w:cs="Arial"/>
          <w:sz w:val="24"/>
          <w:szCs w:val="24"/>
        </w:rPr>
        <w:t xml:space="preserve">  </w:t>
      </w:r>
      <w:r w:rsidR="00D956D7" w:rsidRPr="0031127F">
        <w:rPr>
          <w:rFonts w:ascii="Arial" w:hAnsi="Arial" w:cs="Arial"/>
          <w:sz w:val="24"/>
          <w:szCs w:val="24"/>
        </w:rPr>
        <w:t>He went on to assert</w:t>
      </w:r>
      <w:r w:rsidR="00855EEF" w:rsidRPr="0031127F">
        <w:rPr>
          <w:rFonts w:ascii="Arial" w:hAnsi="Arial" w:cs="Arial"/>
          <w:sz w:val="24"/>
          <w:szCs w:val="24"/>
        </w:rPr>
        <w:t xml:space="preserve"> that </w:t>
      </w:r>
      <w:r w:rsidR="00064894" w:rsidRPr="0031127F">
        <w:rPr>
          <w:rFonts w:ascii="Arial" w:hAnsi="Arial" w:cs="Arial"/>
          <w:sz w:val="24"/>
          <w:szCs w:val="24"/>
        </w:rPr>
        <w:t>nothing prevented the plaintiff from producing its financial records and/or bank statements to demonstrate its financial viability.</w:t>
      </w:r>
      <w:r w:rsidR="00E21A20" w:rsidRPr="0031127F">
        <w:rPr>
          <w:rFonts w:ascii="Arial" w:hAnsi="Arial" w:cs="Arial"/>
          <w:sz w:val="24"/>
          <w:szCs w:val="24"/>
        </w:rPr>
        <w:t xml:space="preserve">  I pause to mention that the defendant had at no stage requested such documentation from the plaintiff.</w:t>
      </w:r>
      <w:r w:rsidR="00855EEF" w:rsidRPr="0031127F">
        <w:rPr>
          <w:rFonts w:ascii="Arial" w:hAnsi="Arial" w:cs="Arial"/>
          <w:sz w:val="24"/>
          <w:szCs w:val="24"/>
        </w:rPr>
        <w:t xml:space="preserve">  </w:t>
      </w:r>
    </w:p>
    <w:p w14:paraId="1F7CB7A0" w14:textId="77777777" w:rsidR="00855EEF" w:rsidRPr="00855EEF" w:rsidRDefault="00855EEF" w:rsidP="00AC4EE3">
      <w:pPr>
        <w:pStyle w:val="ListParagraph"/>
        <w:spacing w:after="0" w:line="480" w:lineRule="auto"/>
        <w:rPr>
          <w:rFonts w:ascii="Arial" w:hAnsi="Arial" w:cs="Arial"/>
          <w:sz w:val="24"/>
          <w:szCs w:val="24"/>
        </w:rPr>
      </w:pPr>
    </w:p>
    <w:p w14:paraId="255444DA" w14:textId="7AC90A31" w:rsidR="00D96A0A"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[33]</w:t>
      </w:r>
      <w:r>
        <w:rPr>
          <w:rFonts w:ascii="Arial" w:eastAsia="Times New Roman" w:hAnsi="Arial" w:cs="Arial"/>
          <w:sz w:val="24"/>
          <w:szCs w:val="24"/>
        </w:rPr>
        <w:tab/>
      </w:r>
      <w:r w:rsidR="00665AEF" w:rsidRPr="0031127F">
        <w:rPr>
          <w:rFonts w:ascii="Arial" w:hAnsi="Arial" w:cs="Arial"/>
          <w:sz w:val="24"/>
          <w:szCs w:val="24"/>
        </w:rPr>
        <w:t xml:space="preserve">Relying on </w:t>
      </w:r>
      <w:r w:rsidR="00665AEF" w:rsidRPr="0031127F">
        <w:rPr>
          <w:rFonts w:ascii="Arial" w:hAnsi="Arial" w:cs="Arial"/>
          <w:i/>
          <w:iCs/>
          <w:sz w:val="24"/>
          <w:szCs w:val="24"/>
        </w:rPr>
        <w:t>Henry v RE Designs CC</w:t>
      </w:r>
      <w:r w:rsidR="00665AEF" w:rsidRPr="00665AEF">
        <w:rPr>
          <w:rStyle w:val="FootnoteReference"/>
          <w:rFonts w:ascii="Arial" w:hAnsi="Arial" w:cs="Arial"/>
          <w:sz w:val="24"/>
          <w:szCs w:val="24"/>
        </w:rPr>
        <w:footnoteReference w:id="19"/>
      </w:r>
      <w:r w:rsidR="00665AEF" w:rsidRPr="0031127F">
        <w:rPr>
          <w:rFonts w:ascii="Arial" w:hAnsi="Arial" w:cs="Arial"/>
          <w:i/>
          <w:iCs/>
          <w:sz w:val="24"/>
          <w:szCs w:val="24"/>
        </w:rPr>
        <w:t xml:space="preserve"> </w:t>
      </w:r>
      <w:r w:rsidR="00665AEF" w:rsidRPr="0031127F">
        <w:rPr>
          <w:rFonts w:ascii="Arial" w:hAnsi="Arial" w:cs="Arial"/>
          <w:sz w:val="24"/>
          <w:szCs w:val="24"/>
        </w:rPr>
        <w:t xml:space="preserve">it was argued on behalf of the defendant that the normal method to be adopted by a close corporation, in endeavouring to resist an application of this nature is to furnish its balance sheet; alternatively, a basic set of accounts, to show that it will be able to meet an adverse cost order.  Insofar as the defendant sought to rely on the plaintiff’s alleged failure to justify an order for security for costs, I disagree.  </w:t>
      </w:r>
    </w:p>
    <w:p w14:paraId="2CE23331" w14:textId="77777777" w:rsidR="00D96A0A" w:rsidRPr="00D96A0A" w:rsidRDefault="00D96A0A" w:rsidP="00D96A0A">
      <w:pPr>
        <w:pStyle w:val="ListParagraph"/>
        <w:spacing w:after="0" w:line="480" w:lineRule="auto"/>
        <w:rPr>
          <w:rFonts w:ascii="Arial" w:hAnsi="Arial" w:cs="Arial"/>
          <w:sz w:val="24"/>
          <w:szCs w:val="24"/>
        </w:rPr>
      </w:pPr>
    </w:p>
    <w:p w14:paraId="049DFD22" w14:textId="2B09631A" w:rsidR="00486348"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lastRenderedPageBreak/>
        <w:t>[34]</w:t>
      </w:r>
      <w:r>
        <w:rPr>
          <w:rFonts w:ascii="Arial" w:eastAsia="Times New Roman" w:hAnsi="Arial" w:cs="Arial"/>
          <w:sz w:val="24"/>
          <w:szCs w:val="24"/>
        </w:rPr>
        <w:tab/>
      </w:r>
      <w:r w:rsidR="00665AEF" w:rsidRPr="0031127F">
        <w:rPr>
          <w:rFonts w:ascii="Arial" w:hAnsi="Arial" w:cs="Arial"/>
          <w:sz w:val="24"/>
          <w:szCs w:val="24"/>
        </w:rPr>
        <w:t xml:space="preserve">As stated, </w:t>
      </w:r>
      <w:r w:rsidR="00855EEF" w:rsidRPr="0031127F">
        <w:rPr>
          <w:rFonts w:ascii="Arial" w:hAnsi="Arial" w:cs="Arial"/>
          <w:sz w:val="24"/>
          <w:szCs w:val="24"/>
        </w:rPr>
        <w:t>in the assessment of the initial stage of the enquiry</w:t>
      </w:r>
      <w:r w:rsidR="00665AEF" w:rsidRPr="0031127F">
        <w:rPr>
          <w:rFonts w:ascii="Arial" w:hAnsi="Arial" w:cs="Arial"/>
          <w:sz w:val="24"/>
          <w:szCs w:val="24"/>
        </w:rPr>
        <w:t xml:space="preserve">, </w:t>
      </w:r>
      <w:r w:rsidR="00855EEF" w:rsidRPr="0031127F">
        <w:rPr>
          <w:rFonts w:ascii="Arial" w:hAnsi="Arial" w:cs="Arial"/>
          <w:sz w:val="24"/>
          <w:szCs w:val="24"/>
        </w:rPr>
        <w:t>it is the defendant that bears the onus of establishing that there is reason to believe that the plaintiff, if unsuccessful, would be unable to satisfy an adverse costs order</w:t>
      </w:r>
      <w:r w:rsidR="00BB1F6F" w:rsidRPr="0031127F">
        <w:rPr>
          <w:rFonts w:ascii="Arial" w:hAnsi="Arial" w:cs="Arial"/>
          <w:sz w:val="24"/>
          <w:szCs w:val="24"/>
        </w:rPr>
        <w:t>.  T</w:t>
      </w:r>
      <w:r w:rsidR="00855EEF" w:rsidRPr="0031127F">
        <w:rPr>
          <w:rFonts w:ascii="Arial" w:hAnsi="Arial" w:cs="Arial"/>
          <w:sz w:val="24"/>
          <w:szCs w:val="24"/>
        </w:rPr>
        <w:t>here exists no onus on the plaintiff to adduce facts for the purposes of satisfying the court of the converse</w:t>
      </w:r>
      <w:r w:rsidR="00BB1F6F" w:rsidRPr="0031127F">
        <w:rPr>
          <w:rFonts w:ascii="Arial" w:hAnsi="Arial" w:cs="Arial"/>
          <w:sz w:val="24"/>
          <w:szCs w:val="24"/>
        </w:rPr>
        <w:t xml:space="preserve">.  The plaintiff’s alleged failure does not assist the defendant in the present matter.  An examination and consideration of the context in which the dicta </w:t>
      </w:r>
      <w:r w:rsidR="00DB37D5" w:rsidRPr="0031127F">
        <w:rPr>
          <w:rFonts w:ascii="Arial" w:hAnsi="Arial" w:cs="Arial"/>
          <w:sz w:val="24"/>
          <w:szCs w:val="24"/>
        </w:rPr>
        <w:t xml:space="preserve">was made </w:t>
      </w:r>
      <w:r w:rsidR="00BB1F6F" w:rsidRPr="0031127F">
        <w:rPr>
          <w:rFonts w:ascii="Arial" w:hAnsi="Arial" w:cs="Arial"/>
          <w:sz w:val="24"/>
          <w:szCs w:val="24"/>
        </w:rPr>
        <w:t xml:space="preserve">in </w:t>
      </w:r>
      <w:r w:rsidR="00BB1F6F" w:rsidRPr="0031127F">
        <w:rPr>
          <w:rFonts w:ascii="Arial" w:hAnsi="Arial" w:cs="Arial"/>
          <w:i/>
          <w:iCs/>
          <w:sz w:val="24"/>
          <w:szCs w:val="24"/>
        </w:rPr>
        <w:t>Henry</w:t>
      </w:r>
      <w:r w:rsidR="00BB1F6F" w:rsidRPr="0031127F">
        <w:rPr>
          <w:rFonts w:ascii="Arial" w:hAnsi="Arial" w:cs="Arial"/>
          <w:sz w:val="24"/>
          <w:szCs w:val="24"/>
        </w:rPr>
        <w:t xml:space="preserve">, as well as in cases </w:t>
      </w:r>
      <w:r w:rsidR="00ED326F" w:rsidRPr="0031127F">
        <w:rPr>
          <w:rFonts w:ascii="Arial" w:hAnsi="Arial" w:cs="Arial"/>
          <w:sz w:val="24"/>
          <w:szCs w:val="24"/>
        </w:rPr>
        <w:t>such as</w:t>
      </w:r>
      <w:r w:rsidR="00BB1F6F" w:rsidRPr="0031127F">
        <w:rPr>
          <w:rFonts w:ascii="Arial" w:hAnsi="Arial" w:cs="Arial"/>
          <w:sz w:val="24"/>
          <w:szCs w:val="24"/>
        </w:rPr>
        <w:t xml:space="preserve"> </w:t>
      </w:r>
      <w:r w:rsidR="00BB1F6F" w:rsidRPr="0031127F">
        <w:rPr>
          <w:rFonts w:ascii="Arial" w:hAnsi="Arial" w:cs="Arial"/>
          <w:i/>
          <w:iCs/>
          <w:sz w:val="24"/>
          <w:szCs w:val="24"/>
        </w:rPr>
        <w:t>Equitable Trust and Insurance Co of SA Ltd v Registrar of Banks</w:t>
      </w:r>
      <w:r w:rsidR="00BB1F6F">
        <w:rPr>
          <w:rStyle w:val="FootnoteReference"/>
          <w:rFonts w:ascii="Arial" w:hAnsi="Arial" w:cs="Arial"/>
          <w:sz w:val="24"/>
          <w:szCs w:val="24"/>
        </w:rPr>
        <w:footnoteReference w:id="20"/>
      </w:r>
      <w:r w:rsidR="00BB1F6F" w:rsidRPr="0031127F">
        <w:rPr>
          <w:rFonts w:ascii="Arial" w:hAnsi="Arial" w:cs="Arial"/>
          <w:sz w:val="24"/>
          <w:szCs w:val="24"/>
        </w:rPr>
        <w:t xml:space="preserve"> and </w:t>
      </w:r>
      <w:r w:rsidR="00BB1F6F" w:rsidRPr="0031127F">
        <w:rPr>
          <w:rFonts w:ascii="Arial" w:hAnsi="Arial" w:cs="Arial"/>
          <w:i/>
          <w:iCs/>
          <w:sz w:val="24"/>
          <w:szCs w:val="24"/>
        </w:rPr>
        <w:t>Petz Products (Pty) v Commercial Electrical Contractors (Pty) Ltd</w:t>
      </w:r>
      <w:r w:rsidR="00BB1F6F" w:rsidRPr="0031127F">
        <w:rPr>
          <w:rFonts w:ascii="Arial" w:hAnsi="Arial" w:cs="Arial"/>
          <w:sz w:val="24"/>
          <w:szCs w:val="24"/>
        </w:rPr>
        <w:t>,</w:t>
      </w:r>
      <w:r w:rsidR="00BB1F6F">
        <w:rPr>
          <w:rStyle w:val="FootnoteReference"/>
          <w:rFonts w:ascii="Arial" w:hAnsi="Arial" w:cs="Arial"/>
          <w:sz w:val="24"/>
          <w:szCs w:val="24"/>
        </w:rPr>
        <w:footnoteReference w:id="21"/>
      </w:r>
      <w:r w:rsidR="00BB1F6F" w:rsidRPr="0031127F">
        <w:rPr>
          <w:rFonts w:ascii="Arial" w:hAnsi="Arial" w:cs="Arial"/>
          <w:sz w:val="24"/>
          <w:szCs w:val="24"/>
        </w:rPr>
        <w:t xml:space="preserve"> </w:t>
      </w:r>
      <w:r w:rsidR="00ED326F" w:rsidRPr="0031127F">
        <w:rPr>
          <w:rFonts w:ascii="Arial" w:hAnsi="Arial" w:cs="Arial"/>
          <w:sz w:val="24"/>
          <w:szCs w:val="24"/>
        </w:rPr>
        <w:t xml:space="preserve">is required.  Whilst the aforesaid cases </w:t>
      </w:r>
      <w:r w:rsidR="00BB1F6F" w:rsidRPr="0031127F">
        <w:rPr>
          <w:rFonts w:ascii="Arial" w:hAnsi="Arial" w:cs="Arial"/>
          <w:sz w:val="24"/>
          <w:szCs w:val="24"/>
        </w:rPr>
        <w:t>are often cited as authority</w:t>
      </w:r>
      <w:r w:rsidR="00486348" w:rsidRPr="0031127F">
        <w:rPr>
          <w:rFonts w:ascii="Arial" w:hAnsi="Arial" w:cs="Arial"/>
          <w:sz w:val="24"/>
          <w:szCs w:val="24"/>
        </w:rPr>
        <w:t xml:space="preserve"> (incorrectly so)</w:t>
      </w:r>
      <w:r w:rsidR="00BB1F6F" w:rsidRPr="0031127F">
        <w:rPr>
          <w:rFonts w:ascii="Arial" w:hAnsi="Arial" w:cs="Arial"/>
          <w:sz w:val="24"/>
          <w:szCs w:val="24"/>
        </w:rPr>
        <w:t xml:space="preserve"> for the proposition that a defendant is permitted, on demand, to require a plaintiff close corporation to disclose its financial statements, failing which, it will be ordered to furnish security for the defendant’s costs</w:t>
      </w:r>
      <w:r w:rsidR="00ED326F" w:rsidRPr="0031127F">
        <w:rPr>
          <w:rFonts w:ascii="Arial" w:hAnsi="Arial" w:cs="Arial"/>
          <w:sz w:val="24"/>
          <w:szCs w:val="24"/>
        </w:rPr>
        <w:t>, n</w:t>
      </w:r>
      <w:r w:rsidR="00BB1F6F" w:rsidRPr="0031127F">
        <w:rPr>
          <w:rFonts w:ascii="Arial" w:hAnsi="Arial" w:cs="Arial"/>
          <w:sz w:val="24"/>
          <w:szCs w:val="24"/>
        </w:rPr>
        <w:t>o such general rule exists.</w:t>
      </w:r>
      <w:r w:rsidR="00ED326F">
        <w:rPr>
          <w:rStyle w:val="FootnoteReference"/>
          <w:rFonts w:ascii="Arial" w:hAnsi="Arial" w:cs="Arial"/>
          <w:sz w:val="24"/>
          <w:szCs w:val="24"/>
        </w:rPr>
        <w:footnoteReference w:id="22"/>
      </w:r>
      <w:r w:rsidR="00C651DE" w:rsidRPr="0031127F">
        <w:rPr>
          <w:rFonts w:ascii="Arial" w:hAnsi="Arial" w:cs="Arial"/>
          <w:sz w:val="24"/>
          <w:szCs w:val="24"/>
        </w:rPr>
        <w:t xml:space="preserve">  </w:t>
      </w:r>
    </w:p>
    <w:p w14:paraId="59C76747" w14:textId="77777777" w:rsidR="00486348" w:rsidRDefault="00486348" w:rsidP="00AC4EE3">
      <w:pPr>
        <w:pStyle w:val="ListParagraph"/>
        <w:spacing w:after="0" w:line="480" w:lineRule="auto"/>
        <w:ind w:left="0"/>
        <w:jc w:val="both"/>
        <w:rPr>
          <w:rFonts w:ascii="Arial" w:hAnsi="Arial" w:cs="Arial"/>
          <w:sz w:val="24"/>
          <w:szCs w:val="24"/>
        </w:rPr>
      </w:pPr>
    </w:p>
    <w:p w14:paraId="56F60A43" w14:textId="227F1997" w:rsidR="00855EEF"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[35]</w:t>
      </w:r>
      <w:r>
        <w:rPr>
          <w:rFonts w:ascii="Arial" w:eastAsia="Times New Roman" w:hAnsi="Arial" w:cs="Arial"/>
          <w:sz w:val="24"/>
          <w:szCs w:val="24"/>
        </w:rPr>
        <w:tab/>
      </w:r>
      <w:r w:rsidR="00486348" w:rsidRPr="0031127F">
        <w:rPr>
          <w:rFonts w:ascii="Arial" w:hAnsi="Arial" w:cs="Arial"/>
          <w:sz w:val="24"/>
          <w:szCs w:val="24"/>
        </w:rPr>
        <w:t xml:space="preserve">As succinctly set out by the court in </w:t>
      </w:r>
      <w:r w:rsidR="00486348" w:rsidRPr="0031127F">
        <w:rPr>
          <w:rFonts w:ascii="Arial" w:hAnsi="Arial" w:cs="Arial"/>
          <w:i/>
          <w:iCs/>
          <w:sz w:val="24"/>
          <w:szCs w:val="24"/>
        </w:rPr>
        <w:t>Vumba Intertrade CC</w:t>
      </w:r>
      <w:r w:rsidR="00486348" w:rsidRPr="0031127F">
        <w:rPr>
          <w:rFonts w:ascii="Arial" w:hAnsi="Arial" w:cs="Arial"/>
          <w:sz w:val="24"/>
          <w:szCs w:val="24"/>
        </w:rPr>
        <w:t xml:space="preserve"> at paragraph [10] of the court’s judgment:</w:t>
      </w:r>
      <w:r w:rsidR="00BB1F6F" w:rsidRPr="0031127F">
        <w:rPr>
          <w:rFonts w:ascii="Arial" w:hAnsi="Arial" w:cs="Arial"/>
          <w:sz w:val="24"/>
          <w:szCs w:val="24"/>
        </w:rPr>
        <w:t xml:space="preserve"> </w:t>
      </w:r>
      <w:r w:rsidR="00855EEF" w:rsidRPr="0031127F">
        <w:rPr>
          <w:rFonts w:ascii="Arial" w:hAnsi="Arial" w:cs="Arial"/>
          <w:sz w:val="24"/>
          <w:szCs w:val="24"/>
        </w:rPr>
        <w:t xml:space="preserve"> </w:t>
      </w:r>
    </w:p>
    <w:p w14:paraId="697FDEB5" w14:textId="77777777" w:rsidR="00486348" w:rsidRPr="00486348" w:rsidRDefault="00486348" w:rsidP="00AC4EE3">
      <w:pPr>
        <w:pStyle w:val="ListParagraph"/>
        <w:spacing w:after="0" w:line="480" w:lineRule="auto"/>
        <w:rPr>
          <w:rFonts w:ascii="Arial" w:hAnsi="Arial" w:cs="Arial"/>
          <w:sz w:val="24"/>
          <w:szCs w:val="24"/>
        </w:rPr>
      </w:pPr>
    </w:p>
    <w:p w14:paraId="011DA642" w14:textId="3832C237" w:rsidR="00486348" w:rsidRPr="00486348" w:rsidRDefault="00486348" w:rsidP="00486348">
      <w:pPr>
        <w:pStyle w:val="ListParagraph"/>
        <w:spacing w:after="0" w:line="360" w:lineRule="auto"/>
        <w:jc w:val="both"/>
        <w:rPr>
          <w:rFonts w:ascii="Arial" w:hAnsi="Arial" w:cs="Arial"/>
          <w:i/>
          <w:iCs/>
        </w:rPr>
      </w:pPr>
      <w:r>
        <w:rPr>
          <w:rFonts w:ascii="Arial" w:hAnsi="Arial" w:cs="Arial"/>
          <w:sz w:val="24"/>
          <w:szCs w:val="24"/>
        </w:rPr>
        <w:t>“</w:t>
      </w:r>
      <w:r w:rsidRPr="00486348">
        <w:rPr>
          <w:rFonts w:ascii="Arial" w:hAnsi="Arial" w:cs="Arial"/>
          <w:i/>
          <w:iCs/>
        </w:rPr>
        <w:t>In Milne Sadowa Minerals (Pty) Ltd, supra, the respondent company did not dispute the allegations that it had no banking account and a share capital of only £300.  It endeavoured to make out the case that it did in fact possess sufficient assets to pay the costs of any action but it disclosed no liabilities and the Court found that the value it placed on some of its assets, about which it refused to provide particularity, could not be accepted at face value.</w:t>
      </w:r>
    </w:p>
    <w:p w14:paraId="6AE9703C" w14:textId="77777777" w:rsidR="00486348" w:rsidRPr="00486348" w:rsidRDefault="00486348" w:rsidP="00486348">
      <w:pPr>
        <w:pStyle w:val="ListParagraph"/>
        <w:spacing w:after="0" w:line="360" w:lineRule="auto"/>
        <w:jc w:val="both"/>
        <w:rPr>
          <w:rFonts w:ascii="Arial" w:hAnsi="Arial" w:cs="Arial"/>
          <w:i/>
          <w:iCs/>
        </w:rPr>
      </w:pPr>
    </w:p>
    <w:p w14:paraId="3C6FDFE9" w14:textId="77777777" w:rsidR="00486348" w:rsidRPr="00486348" w:rsidRDefault="00486348" w:rsidP="00486348">
      <w:pPr>
        <w:pStyle w:val="ListParagraph"/>
        <w:spacing w:after="0" w:line="360" w:lineRule="auto"/>
        <w:jc w:val="both"/>
        <w:rPr>
          <w:rFonts w:ascii="Arial" w:hAnsi="Arial" w:cs="Arial"/>
          <w:i/>
          <w:iCs/>
        </w:rPr>
      </w:pPr>
      <w:r w:rsidRPr="00486348">
        <w:rPr>
          <w:rFonts w:ascii="Arial" w:hAnsi="Arial" w:cs="Arial"/>
          <w:i/>
          <w:iCs/>
        </w:rPr>
        <w:t xml:space="preserve">In Equitable Trust and Insurance Co v Registrar of Banks, supra, an adverse inference was drawn as a result of the respondent’s determined withholding of its financial </w:t>
      </w:r>
      <w:r w:rsidRPr="00486348">
        <w:rPr>
          <w:rFonts w:ascii="Arial" w:hAnsi="Arial" w:cs="Arial"/>
          <w:i/>
          <w:iCs/>
        </w:rPr>
        <w:lastRenderedPageBreak/>
        <w:t>information despite legitimate criticism of the information it had provided, and “more particularly in view of its insolvent condition in June, 1955” (at 691F).</w:t>
      </w:r>
    </w:p>
    <w:p w14:paraId="7E3E9AE6" w14:textId="77777777" w:rsidR="00486348" w:rsidRPr="00486348" w:rsidRDefault="00486348" w:rsidP="00486348">
      <w:pPr>
        <w:pStyle w:val="ListParagraph"/>
        <w:spacing w:after="0" w:line="360" w:lineRule="auto"/>
        <w:jc w:val="both"/>
        <w:rPr>
          <w:rFonts w:ascii="Arial" w:hAnsi="Arial" w:cs="Arial"/>
          <w:i/>
          <w:iCs/>
        </w:rPr>
      </w:pPr>
    </w:p>
    <w:p w14:paraId="18546804" w14:textId="1EC7F95B" w:rsidR="00486348" w:rsidRPr="00486348" w:rsidRDefault="00486348" w:rsidP="00486348">
      <w:pPr>
        <w:pStyle w:val="ListParagraph"/>
        <w:spacing w:after="0" w:line="360" w:lineRule="auto"/>
        <w:jc w:val="both"/>
        <w:rPr>
          <w:rFonts w:ascii="Arial" w:hAnsi="Arial" w:cs="Arial"/>
          <w:i/>
          <w:iCs/>
        </w:rPr>
      </w:pPr>
      <w:r w:rsidRPr="00486348">
        <w:rPr>
          <w:rFonts w:ascii="Arial" w:hAnsi="Arial" w:cs="Arial"/>
          <w:i/>
          <w:iCs/>
        </w:rPr>
        <w:t xml:space="preserve">In Petz Products v Commerical Electrical Contractors, supra, the application was one for the furnishing of additional security, the respondent not previously having contested liability to furnish security on the grounds of </w:t>
      </w:r>
      <w:r>
        <w:rPr>
          <w:rFonts w:ascii="Arial" w:hAnsi="Arial" w:cs="Arial"/>
          <w:i/>
          <w:iCs/>
        </w:rPr>
        <w:t>it</w:t>
      </w:r>
      <w:r w:rsidRPr="00486348">
        <w:rPr>
          <w:rFonts w:ascii="Arial" w:hAnsi="Arial" w:cs="Arial"/>
          <w:i/>
          <w:iCs/>
        </w:rPr>
        <w:t>s provisional liquidation and the subsequent restriction of its business activities.</w:t>
      </w:r>
    </w:p>
    <w:p w14:paraId="6FAA8E78" w14:textId="77777777" w:rsidR="00486348" w:rsidRPr="00486348" w:rsidRDefault="00486348" w:rsidP="00486348">
      <w:pPr>
        <w:pStyle w:val="ListParagraph"/>
        <w:spacing w:after="0" w:line="360" w:lineRule="auto"/>
        <w:jc w:val="both"/>
        <w:rPr>
          <w:rFonts w:ascii="Arial" w:hAnsi="Arial" w:cs="Arial"/>
          <w:i/>
          <w:iCs/>
        </w:rPr>
      </w:pPr>
    </w:p>
    <w:p w14:paraId="0B476F53" w14:textId="15328346" w:rsidR="00486348" w:rsidRDefault="00486348" w:rsidP="00486348">
      <w:pPr>
        <w:pStyle w:val="ListParagraph"/>
        <w:spacing w:after="0" w:line="360" w:lineRule="auto"/>
        <w:jc w:val="both"/>
        <w:rPr>
          <w:rFonts w:ascii="Arial" w:hAnsi="Arial" w:cs="Arial"/>
          <w:sz w:val="24"/>
          <w:szCs w:val="24"/>
        </w:rPr>
      </w:pPr>
      <w:r w:rsidRPr="00486348">
        <w:rPr>
          <w:rFonts w:ascii="Arial" w:hAnsi="Arial" w:cs="Arial"/>
          <w:i/>
          <w:iCs/>
        </w:rPr>
        <w:t>In Henry v RE Designs CC, supra, the court took into account various factors including the fact that the respondent had been in existence for less than a year and its financial affairs could not have been very complex or extensive, that there was a number of indications that the respondent was being less than candid with the court as regards the state of its finances, and the respondent’s own admission that only a few months previously, it had been unable to pay the applicant’s costs.</w:t>
      </w:r>
      <w:r>
        <w:rPr>
          <w:rFonts w:ascii="Arial" w:hAnsi="Arial" w:cs="Arial"/>
          <w:sz w:val="24"/>
          <w:szCs w:val="24"/>
        </w:rPr>
        <w:t xml:space="preserve">” </w:t>
      </w:r>
    </w:p>
    <w:p w14:paraId="62DF4019" w14:textId="77777777" w:rsidR="0037269D" w:rsidRDefault="0037269D" w:rsidP="0037269D">
      <w:pPr>
        <w:pStyle w:val="ListParagraph"/>
        <w:spacing w:after="0" w:line="480" w:lineRule="auto"/>
        <w:ind w:left="0"/>
        <w:jc w:val="both"/>
        <w:rPr>
          <w:rFonts w:ascii="Arial" w:hAnsi="Arial" w:cs="Arial"/>
          <w:sz w:val="24"/>
          <w:szCs w:val="24"/>
        </w:rPr>
      </w:pPr>
    </w:p>
    <w:p w14:paraId="79A915D8" w14:textId="18F7C6F7" w:rsidR="00486348"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[36]</w:t>
      </w:r>
      <w:r>
        <w:rPr>
          <w:rFonts w:ascii="Arial" w:eastAsia="Times New Roman" w:hAnsi="Arial" w:cs="Arial"/>
          <w:sz w:val="24"/>
          <w:szCs w:val="24"/>
        </w:rPr>
        <w:tab/>
      </w:r>
      <w:r w:rsidR="00486348" w:rsidRPr="0031127F">
        <w:rPr>
          <w:rFonts w:ascii="Arial" w:hAnsi="Arial" w:cs="Arial"/>
          <w:sz w:val="24"/>
          <w:szCs w:val="24"/>
        </w:rPr>
        <w:t>In the present matter, there exists</w:t>
      </w:r>
      <w:r w:rsidR="005D1532" w:rsidRPr="0031127F">
        <w:rPr>
          <w:rFonts w:ascii="Arial" w:hAnsi="Arial" w:cs="Arial"/>
          <w:sz w:val="24"/>
          <w:szCs w:val="24"/>
        </w:rPr>
        <w:t>:</w:t>
      </w:r>
      <w:r w:rsidR="00486348" w:rsidRPr="0031127F">
        <w:rPr>
          <w:rFonts w:ascii="Arial" w:hAnsi="Arial" w:cs="Arial"/>
          <w:sz w:val="24"/>
          <w:szCs w:val="24"/>
        </w:rPr>
        <w:t xml:space="preserve"> </w:t>
      </w:r>
      <w:r w:rsidR="00974CB3" w:rsidRPr="0031127F">
        <w:rPr>
          <w:rFonts w:ascii="Arial" w:hAnsi="Arial" w:cs="Arial"/>
          <w:sz w:val="24"/>
          <w:szCs w:val="24"/>
        </w:rPr>
        <w:t xml:space="preserve">(i) </w:t>
      </w:r>
      <w:r w:rsidR="00486348" w:rsidRPr="0031127F">
        <w:rPr>
          <w:rFonts w:ascii="Arial" w:hAnsi="Arial" w:cs="Arial"/>
          <w:sz w:val="24"/>
          <w:szCs w:val="24"/>
        </w:rPr>
        <w:t>no history of financial distress;</w:t>
      </w:r>
      <w:r w:rsidR="00974CB3" w:rsidRPr="0031127F">
        <w:rPr>
          <w:rFonts w:ascii="Arial" w:hAnsi="Arial" w:cs="Arial"/>
          <w:sz w:val="24"/>
          <w:szCs w:val="24"/>
        </w:rPr>
        <w:t xml:space="preserve"> (ii)</w:t>
      </w:r>
      <w:r w:rsidR="00486348" w:rsidRPr="0031127F">
        <w:rPr>
          <w:rFonts w:ascii="Arial" w:hAnsi="Arial" w:cs="Arial"/>
          <w:sz w:val="24"/>
          <w:szCs w:val="24"/>
        </w:rPr>
        <w:t xml:space="preserve"> no previous liability to furnish security for costs for any reason; </w:t>
      </w:r>
      <w:r w:rsidR="00974CB3" w:rsidRPr="0031127F">
        <w:rPr>
          <w:rFonts w:ascii="Arial" w:hAnsi="Arial" w:cs="Arial"/>
          <w:sz w:val="24"/>
          <w:szCs w:val="24"/>
        </w:rPr>
        <w:t xml:space="preserve">(iii) </w:t>
      </w:r>
      <w:r w:rsidR="00486348" w:rsidRPr="0031127F">
        <w:rPr>
          <w:rFonts w:ascii="Arial" w:hAnsi="Arial" w:cs="Arial"/>
          <w:sz w:val="24"/>
          <w:szCs w:val="24"/>
        </w:rPr>
        <w:t>no indication that the plaintiff is being less than candid with this court</w:t>
      </w:r>
      <w:r w:rsidR="00974CB3" w:rsidRPr="0031127F">
        <w:rPr>
          <w:rFonts w:ascii="Arial" w:hAnsi="Arial" w:cs="Arial"/>
          <w:sz w:val="24"/>
          <w:szCs w:val="24"/>
        </w:rPr>
        <w:t xml:space="preserve">; and (iv) no request </w:t>
      </w:r>
      <w:r w:rsidR="00486348" w:rsidRPr="0031127F">
        <w:rPr>
          <w:rFonts w:ascii="Arial" w:hAnsi="Arial" w:cs="Arial"/>
          <w:sz w:val="24"/>
          <w:szCs w:val="24"/>
        </w:rPr>
        <w:t>calling upon the plaintiff to provide financial documents</w:t>
      </w:r>
      <w:r w:rsidR="00F17FFE" w:rsidRPr="0031127F">
        <w:rPr>
          <w:rFonts w:ascii="Arial" w:hAnsi="Arial" w:cs="Arial"/>
          <w:sz w:val="24"/>
          <w:szCs w:val="24"/>
        </w:rPr>
        <w:t xml:space="preserve">, </w:t>
      </w:r>
      <w:r w:rsidR="00486348" w:rsidRPr="0031127F">
        <w:rPr>
          <w:rFonts w:ascii="Arial" w:hAnsi="Arial" w:cs="Arial"/>
          <w:sz w:val="24"/>
          <w:szCs w:val="24"/>
        </w:rPr>
        <w:t xml:space="preserve">this aspect </w:t>
      </w:r>
      <w:r w:rsidR="005D1532" w:rsidRPr="0031127F">
        <w:rPr>
          <w:rFonts w:ascii="Arial" w:hAnsi="Arial" w:cs="Arial"/>
          <w:sz w:val="24"/>
          <w:szCs w:val="24"/>
        </w:rPr>
        <w:t xml:space="preserve">having </w:t>
      </w:r>
      <w:r w:rsidR="00486348" w:rsidRPr="0031127F">
        <w:rPr>
          <w:rFonts w:ascii="Arial" w:hAnsi="Arial" w:cs="Arial"/>
          <w:sz w:val="24"/>
          <w:szCs w:val="24"/>
        </w:rPr>
        <w:t>being raised in the defendant’s replying affidavit for the first time.</w:t>
      </w:r>
      <w:r w:rsidR="00507C97" w:rsidRPr="0031127F">
        <w:rPr>
          <w:rFonts w:ascii="Arial" w:hAnsi="Arial" w:cs="Arial"/>
          <w:sz w:val="24"/>
          <w:szCs w:val="24"/>
        </w:rPr>
        <w:t xml:space="preserve">  </w:t>
      </w:r>
      <w:r w:rsidR="003A1996" w:rsidRPr="0031127F">
        <w:rPr>
          <w:rFonts w:ascii="Arial" w:hAnsi="Arial" w:cs="Arial"/>
          <w:sz w:val="24"/>
          <w:szCs w:val="24"/>
        </w:rPr>
        <w:t>Whilst in an appropriate case, the failure by a respondent to produce its balance sheet</w:t>
      </w:r>
      <w:r w:rsidR="00013050" w:rsidRPr="0031127F">
        <w:rPr>
          <w:rFonts w:ascii="Arial" w:hAnsi="Arial" w:cs="Arial"/>
          <w:sz w:val="24"/>
          <w:szCs w:val="24"/>
        </w:rPr>
        <w:t>; alternatively, a basic set of books</w:t>
      </w:r>
      <w:r w:rsidR="00CE6A15" w:rsidRPr="0031127F">
        <w:rPr>
          <w:rFonts w:ascii="Arial" w:hAnsi="Arial" w:cs="Arial"/>
          <w:sz w:val="24"/>
          <w:szCs w:val="24"/>
        </w:rPr>
        <w:t>,</w:t>
      </w:r>
      <w:r w:rsidR="003A1996" w:rsidRPr="0031127F">
        <w:rPr>
          <w:rFonts w:ascii="Arial" w:hAnsi="Arial" w:cs="Arial"/>
          <w:sz w:val="24"/>
          <w:szCs w:val="24"/>
        </w:rPr>
        <w:t xml:space="preserve"> may lead to a negative inference; </w:t>
      </w:r>
      <w:r w:rsidR="00507C97" w:rsidRPr="0031127F">
        <w:rPr>
          <w:rFonts w:ascii="Arial" w:hAnsi="Arial" w:cs="Arial"/>
          <w:sz w:val="24"/>
          <w:szCs w:val="24"/>
        </w:rPr>
        <w:t>on the facts of th</w:t>
      </w:r>
      <w:r w:rsidR="003A1996" w:rsidRPr="0031127F">
        <w:rPr>
          <w:rFonts w:ascii="Arial" w:hAnsi="Arial" w:cs="Arial"/>
          <w:sz w:val="24"/>
          <w:szCs w:val="24"/>
        </w:rPr>
        <w:t>is</w:t>
      </w:r>
      <w:r w:rsidR="00507C97" w:rsidRPr="0031127F">
        <w:rPr>
          <w:rFonts w:ascii="Arial" w:hAnsi="Arial" w:cs="Arial"/>
          <w:sz w:val="24"/>
          <w:szCs w:val="24"/>
        </w:rPr>
        <w:t xml:space="preserve"> matter, there exists no </w:t>
      </w:r>
      <w:r w:rsidR="005D1532" w:rsidRPr="0031127F">
        <w:rPr>
          <w:rFonts w:ascii="Arial" w:hAnsi="Arial" w:cs="Arial"/>
          <w:sz w:val="24"/>
          <w:szCs w:val="24"/>
        </w:rPr>
        <w:t>basis</w:t>
      </w:r>
      <w:r w:rsidR="00507C97" w:rsidRPr="0031127F">
        <w:rPr>
          <w:rFonts w:ascii="Arial" w:hAnsi="Arial" w:cs="Arial"/>
          <w:sz w:val="24"/>
          <w:szCs w:val="24"/>
        </w:rPr>
        <w:t xml:space="preserve"> upon which </w:t>
      </w:r>
      <w:r w:rsidR="003A1996" w:rsidRPr="0031127F">
        <w:rPr>
          <w:rFonts w:ascii="Arial" w:hAnsi="Arial" w:cs="Arial"/>
          <w:sz w:val="24"/>
          <w:szCs w:val="24"/>
        </w:rPr>
        <w:t xml:space="preserve">such an inference can be </w:t>
      </w:r>
      <w:r w:rsidR="00507C97" w:rsidRPr="0031127F">
        <w:rPr>
          <w:rFonts w:ascii="Arial" w:hAnsi="Arial" w:cs="Arial"/>
          <w:sz w:val="24"/>
          <w:szCs w:val="24"/>
        </w:rPr>
        <w:t>drawn.</w:t>
      </w:r>
    </w:p>
    <w:p w14:paraId="1DB03168" w14:textId="77777777" w:rsidR="00507C97" w:rsidRDefault="00486348" w:rsidP="00AC4EE3">
      <w:pPr>
        <w:pStyle w:val="ListParagraph"/>
        <w:spacing w:after="0" w:line="480" w:lineRule="auto"/>
        <w:ind w:left="0"/>
        <w:jc w:val="both"/>
        <w:rPr>
          <w:rFonts w:ascii="Arial" w:hAnsi="Arial" w:cs="Arial"/>
          <w:sz w:val="24"/>
          <w:szCs w:val="24"/>
        </w:rPr>
      </w:pPr>
      <w:r>
        <w:rPr>
          <w:rFonts w:ascii="Arial" w:hAnsi="Arial" w:cs="Arial"/>
          <w:sz w:val="24"/>
          <w:szCs w:val="24"/>
        </w:rPr>
        <w:t xml:space="preserve"> </w:t>
      </w:r>
    </w:p>
    <w:p w14:paraId="3D9A3602" w14:textId="6194650D" w:rsidR="00507C97"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[37]</w:t>
      </w:r>
      <w:r>
        <w:rPr>
          <w:rFonts w:ascii="Arial" w:eastAsia="Times New Roman" w:hAnsi="Arial" w:cs="Arial"/>
          <w:sz w:val="24"/>
          <w:szCs w:val="24"/>
        </w:rPr>
        <w:tab/>
      </w:r>
      <w:r w:rsidR="00507C97" w:rsidRPr="0031127F">
        <w:rPr>
          <w:rFonts w:ascii="Arial" w:hAnsi="Arial" w:cs="Arial"/>
          <w:sz w:val="24"/>
          <w:szCs w:val="24"/>
        </w:rPr>
        <w:t xml:space="preserve">Moreover, and on its own decisive of the present matter, </w:t>
      </w:r>
      <w:r w:rsidR="006F21DD" w:rsidRPr="0031127F">
        <w:rPr>
          <w:rFonts w:ascii="Arial" w:hAnsi="Arial" w:cs="Arial"/>
          <w:sz w:val="24"/>
          <w:szCs w:val="24"/>
        </w:rPr>
        <w:t>not only does the defendant admit being liable to the plaintiff to the value of at least R26</w:t>
      </w:r>
      <w:r w:rsidR="00076282" w:rsidRPr="0031127F">
        <w:rPr>
          <w:rFonts w:ascii="Arial" w:hAnsi="Arial" w:cs="Arial"/>
          <w:sz w:val="24"/>
          <w:szCs w:val="24"/>
        </w:rPr>
        <w:t>0</w:t>
      </w:r>
      <w:r w:rsidR="006F21DD" w:rsidRPr="0031127F">
        <w:rPr>
          <w:rFonts w:ascii="Arial" w:hAnsi="Arial" w:cs="Arial"/>
          <w:sz w:val="24"/>
          <w:szCs w:val="24"/>
        </w:rPr>
        <w:t>,000.00,</w:t>
      </w:r>
      <w:r w:rsidR="00507C97" w:rsidRPr="0031127F">
        <w:rPr>
          <w:rFonts w:ascii="Arial" w:hAnsi="Arial" w:cs="Arial"/>
          <w:sz w:val="24"/>
          <w:szCs w:val="24"/>
        </w:rPr>
        <w:t xml:space="preserve"> the defendant does not take issue with the valuation placed on the TLB and tipper truck owned by the plaintiff, valued in excess of R1,000,000.00.  </w:t>
      </w:r>
      <w:r w:rsidR="00D94F8B" w:rsidRPr="0031127F">
        <w:rPr>
          <w:rFonts w:ascii="Arial" w:hAnsi="Arial" w:cs="Arial"/>
          <w:sz w:val="24"/>
          <w:szCs w:val="24"/>
        </w:rPr>
        <w:t xml:space="preserve">In light thereof, </w:t>
      </w:r>
      <w:r w:rsidR="00507C97" w:rsidRPr="0031127F">
        <w:rPr>
          <w:rFonts w:ascii="Arial" w:hAnsi="Arial" w:cs="Arial"/>
          <w:sz w:val="24"/>
          <w:szCs w:val="24"/>
        </w:rPr>
        <w:t xml:space="preserve">it hardly behoves the defendant to contend that the plaintiff, if unsuccessful, will be unable to </w:t>
      </w:r>
      <w:r w:rsidR="00507C97" w:rsidRPr="0031127F">
        <w:rPr>
          <w:rFonts w:ascii="Arial" w:hAnsi="Arial" w:cs="Arial"/>
          <w:sz w:val="24"/>
          <w:szCs w:val="24"/>
        </w:rPr>
        <w:lastRenderedPageBreak/>
        <w:t>satisfy an adverse cost order where the plaintiff is possessed of sufficient exigible assets.</w:t>
      </w:r>
      <w:r w:rsidR="006F21DD" w:rsidRPr="0031127F">
        <w:rPr>
          <w:rFonts w:ascii="Arial" w:hAnsi="Arial" w:cs="Arial"/>
          <w:sz w:val="24"/>
          <w:szCs w:val="24"/>
        </w:rPr>
        <w:t xml:space="preserve">  </w:t>
      </w:r>
    </w:p>
    <w:p w14:paraId="71477487" w14:textId="77777777" w:rsidR="00507C97" w:rsidRPr="00507C97" w:rsidRDefault="00507C97" w:rsidP="00AC4EE3">
      <w:pPr>
        <w:pStyle w:val="ListParagraph"/>
        <w:spacing w:after="0" w:line="480" w:lineRule="auto"/>
        <w:rPr>
          <w:rFonts w:ascii="Arial" w:hAnsi="Arial" w:cs="Arial"/>
          <w:sz w:val="24"/>
          <w:szCs w:val="24"/>
        </w:rPr>
      </w:pPr>
    </w:p>
    <w:p w14:paraId="2665E625" w14:textId="0368AE9E" w:rsidR="00AC4EE3"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[38]</w:t>
      </w:r>
      <w:r>
        <w:rPr>
          <w:rFonts w:ascii="Arial" w:eastAsia="Times New Roman" w:hAnsi="Arial" w:cs="Arial"/>
          <w:sz w:val="24"/>
          <w:szCs w:val="24"/>
        </w:rPr>
        <w:tab/>
      </w:r>
      <w:r w:rsidR="00AC4EE3" w:rsidRPr="0031127F">
        <w:rPr>
          <w:rFonts w:ascii="Arial" w:hAnsi="Arial" w:cs="Arial"/>
          <w:sz w:val="24"/>
          <w:szCs w:val="24"/>
        </w:rPr>
        <w:t>For the above reasons, the defendant has failed to discharge the onus upon it during the first stage of the two-staged enquiry and the application must fail.  The question relating to whether the proceedings are vexatious in nature is not a stand-alone enquiry but is to be properly considered as one of many factors in the exercise of the court’s discretion during the second stage of the enquiry,</w:t>
      </w:r>
      <w:r w:rsidR="00523D66">
        <w:rPr>
          <w:rStyle w:val="FootnoteReference"/>
          <w:rFonts w:ascii="Arial" w:hAnsi="Arial" w:cs="Arial"/>
          <w:sz w:val="24"/>
          <w:szCs w:val="24"/>
        </w:rPr>
        <w:footnoteReference w:id="23"/>
      </w:r>
      <w:r w:rsidR="00AC4EE3" w:rsidRPr="0031127F">
        <w:rPr>
          <w:rFonts w:ascii="Arial" w:hAnsi="Arial" w:cs="Arial"/>
          <w:sz w:val="24"/>
          <w:szCs w:val="24"/>
        </w:rPr>
        <w:t xml:space="preserve"> to which stage, this court does not arrive.</w:t>
      </w:r>
    </w:p>
    <w:p w14:paraId="128A7785" w14:textId="77777777" w:rsidR="00076282" w:rsidRDefault="00076282" w:rsidP="00076282">
      <w:pPr>
        <w:pStyle w:val="ListParagraph"/>
        <w:spacing w:after="0" w:line="480" w:lineRule="auto"/>
        <w:ind w:left="0"/>
        <w:jc w:val="both"/>
        <w:rPr>
          <w:rFonts w:ascii="Arial" w:hAnsi="Arial" w:cs="Arial"/>
          <w:sz w:val="24"/>
          <w:szCs w:val="24"/>
        </w:rPr>
      </w:pPr>
    </w:p>
    <w:p w14:paraId="3B3BF60E" w14:textId="6586AC29" w:rsidR="0068590C" w:rsidRPr="0031127F" w:rsidRDefault="0031127F" w:rsidP="0031127F">
      <w:pPr>
        <w:spacing w:after="0" w:line="480" w:lineRule="auto"/>
        <w:jc w:val="both"/>
        <w:rPr>
          <w:rFonts w:ascii="Arial" w:hAnsi="Arial" w:cs="Arial"/>
          <w:sz w:val="24"/>
          <w:szCs w:val="24"/>
        </w:rPr>
      </w:pPr>
      <w:r w:rsidRPr="008C03D1">
        <w:rPr>
          <w:rFonts w:ascii="Arial" w:eastAsia="Times New Roman" w:hAnsi="Arial" w:cs="Arial"/>
          <w:sz w:val="24"/>
          <w:szCs w:val="24"/>
        </w:rPr>
        <w:t>[39]</w:t>
      </w:r>
      <w:r w:rsidRPr="008C03D1">
        <w:rPr>
          <w:rFonts w:ascii="Arial" w:eastAsia="Times New Roman" w:hAnsi="Arial" w:cs="Arial"/>
          <w:sz w:val="24"/>
          <w:szCs w:val="24"/>
        </w:rPr>
        <w:tab/>
      </w:r>
      <w:r w:rsidR="00AC4EE3" w:rsidRPr="0031127F">
        <w:rPr>
          <w:rFonts w:ascii="Arial" w:hAnsi="Arial" w:cs="Arial"/>
          <w:sz w:val="24"/>
          <w:szCs w:val="24"/>
        </w:rPr>
        <w:t>I might</w:t>
      </w:r>
      <w:r w:rsidR="006F21DD" w:rsidRPr="0031127F">
        <w:rPr>
          <w:rFonts w:ascii="Arial" w:hAnsi="Arial" w:cs="Arial"/>
          <w:sz w:val="24"/>
          <w:szCs w:val="24"/>
        </w:rPr>
        <w:t xml:space="preserve"> however add that even if the defendant had discharged the onus upon it, which it did not, </w:t>
      </w:r>
      <w:r w:rsidR="00AC4EE3" w:rsidRPr="0031127F">
        <w:rPr>
          <w:rFonts w:ascii="Arial" w:hAnsi="Arial" w:cs="Arial"/>
          <w:sz w:val="24"/>
          <w:szCs w:val="24"/>
        </w:rPr>
        <w:t xml:space="preserve">I am </w:t>
      </w:r>
      <w:r w:rsidR="003B56A5" w:rsidRPr="0031127F">
        <w:rPr>
          <w:rFonts w:ascii="Arial" w:hAnsi="Arial" w:cs="Arial"/>
          <w:sz w:val="24"/>
          <w:szCs w:val="24"/>
        </w:rPr>
        <w:t xml:space="preserve">in any event of </w:t>
      </w:r>
      <w:r w:rsidR="00AC4EE3" w:rsidRPr="0031127F">
        <w:rPr>
          <w:rFonts w:ascii="Arial" w:hAnsi="Arial" w:cs="Arial"/>
          <w:sz w:val="24"/>
          <w:szCs w:val="24"/>
        </w:rPr>
        <w:t>the view</w:t>
      </w:r>
      <w:r w:rsidR="003B56A5" w:rsidRPr="0031127F">
        <w:rPr>
          <w:rFonts w:ascii="Arial" w:hAnsi="Arial" w:cs="Arial"/>
          <w:sz w:val="24"/>
          <w:szCs w:val="24"/>
        </w:rPr>
        <w:t xml:space="preserve"> </w:t>
      </w:r>
      <w:r w:rsidR="00AC4EE3" w:rsidRPr="0031127F">
        <w:rPr>
          <w:rFonts w:ascii="Arial" w:hAnsi="Arial" w:cs="Arial"/>
          <w:sz w:val="24"/>
          <w:szCs w:val="24"/>
        </w:rPr>
        <w:t>that the</w:t>
      </w:r>
      <w:r w:rsidR="000C167A" w:rsidRPr="0031127F">
        <w:rPr>
          <w:rFonts w:ascii="Arial" w:hAnsi="Arial" w:cs="Arial"/>
          <w:sz w:val="24"/>
          <w:szCs w:val="24"/>
        </w:rPr>
        <w:t xml:space="preserve"> litigation </w:t>
      </w:r>
      <w:r w:rsidR="00076282" w:rsidRPr="0031127F">
        <w:rPr>
          <w:rFonts w:ascii="Arial" w:hAnsi="Arial" w:cs="Arial"/>
          <w:sz w:val="24"/>
          <w:szCs w:val="24"/>
        </w:rPr>
        <w:t xml:space="preserve">can hardly be said to have </w:t>
      </w:r>
      <w:r w:rsidR="000C167A" w:rsidRPr="0031127F">
        <w:rPr>
          <w:rFonts w:ascii="Arial" w:hAnsi="Arial" w:cs="Arial"/>
          <w:sz w:val="24"/>
          <w:szCs w:val="24"/>
        </w:rPr>
        <w:t xml:space="preserve">been embarked upon frivolously </w:t>
      </w:r>
      <w:r w:rsidR="00AC4EE3" w:rsidRPr="0031127F">
        <w:rPr>
          <w:rFonts w:ascii="Arial" w:hAnsi="Arial" w:cs="Arial"/>
          <w:sz w:val="24"/>
          <w:szCs w:val="24"/>
        </w:rPr>
        <w:t xml:space="preserve">or vexatiously </w:t>
      </w:r>
      <w:r w:rsidR="000C167A" w:rsidRPr="0031127F">
        <w:rPr>
          <w:rFonts w:ascii="Arial" w:hAnsi="Arial" w:cs="Arial"/>
          <w:sz w:val="24"/>
          <w:szCs w:val="24"/>
        </w:rPr>
        <w:t xml:space="preserve">by the plaintiff.  </w:t>
      </w:r>
      <w:r w:rsidR="00AC4EE3" w:rsidRPr="0031127F">
        <w:rPr>
          <w:rFonts w:ascii="Arial" w:hAnsi="Arial" w:cs="Arial"/>
          <w:sz w:val="24"/>
          <w:szCs w:val="24"/>
        </w:rPr>
        <w:t xml:space="preserve">Various complex legal issues </w:t>
      </w:r>
      <w:r w:rsidR="006F21DD" w:rsidRPr="0031127F">
        <w:rPr>
          <w:rFonts w:ascii="Arial" w:hAnsi="Arial" w:cs="Arial"/>
          <w:sz w:val="24"/>
          <w:szCs w:val="24"/>
        </w:rPr>
        <w:t>fall</w:t>
      </w:r>
      <w:r w:rsidR="00AC4EE3" w:rsidRPr="0031127F">
        <w:rPr>
          <w:rFonts w:ascii="Arial" w:hAnsi="Arial" w:cs="Arial"/>
          <w:sz w:val="24"/>
          <w:szCs w:val="24"/>
        </w:rPr>
        <w:t xml:space="preserve"> to be determined by the trial court, for example</w:t>
      </w:r>
      <w:r w:rsidR="008C03D1" w:rsidRPr="0031127F">
        <w:rPr>
          <w:rFonts w:ascii="Arial" w:hAnsi="Arial" w:cs="Arial"/>
          <w:sz w:val="24"/>
          <w:szCs w:val="24"/>
        </w:rPr>
        <w:t xml:space="preserve">: (i) whether or not </w:t>
      </w:r>
      <w:r w:rsidR="00192623" w:rsidRPr="0031127F">
        <w:rPr>
          <w:rFonts w:ascii="Arial" w:hAnsi="Arial" w:cs="Arial"/>
          <w:sz w:val="24"/>
          <w:szCs w:val="24"/>
        </w:rPr>
        <w:t xml:space="preserve">an agreement, prior to the launch of the litigation, was reached between the parties, compromising the plaintiff’s claim; (ii) the nature and effect of clause 3.1 of the agreement, properly interpreted; (iii) </w:t>
      </w:r>
      <w:r w:rsidR="00AC4EE3" w:rsidRPr="0031127F">
        <w:rPr>
          <w:rFonts w:ascii="Arial" w:hAnsi="Arial" w:cs="Arial"/>
          <w:sz w:val="24"/>
          <w:szCs w:val="24"/>
        </w:rPr>
        <w:t xml:space="preserve">the nature of the </w:t>
      </w:r>
      <w:r w:rsidR="00192623" w:rsidRPr="0031127F">
        <w:rPr>
          <w:rFonts w:ascii="Arial" w:hAnsi="Arial" w:cs="Arial"/>
          <w:sz w:val="24"/>
          <w:szCs w:val="24"/>
        </w:rPr>
        <w:t>service agreement entered into between the parties and</w:t>
      </w:r>
      <w:r w:rsidR="00AC4EE3" w:rsidRPr="0031127F">
        <w:rPr>
          <w:rFonts w:ascii="Arial" w:hAnsi="Arial" w:cs="Arial"/>
          <w:sz w:val="24"/>
          <w:szCs w:val="24"/>
        </w:rPr>
        <w:t xml:space="preserve"> the </w:t>
      </w:r>
      <w:r w:rsidR="00192623" w:rsidRPr="0031127F">
        <w:rPr>
          <w:rFonts w:ascii="Arial" w:hAnsi="Arial" w:cs="Arial"/>
          <w:sz w:val="24"/>
          <w:szCs w:val="24"/>
        </w:rPr>
        <w:t>effect</w:t>
      </w:r>
      <w:r w:rsidR="00AC4EE3" w:rsidRPr="0031127F">
        <w:rPr>
          <w:rFonts w:ascii="Arial" w:hAnsi="Arial" w:cs="Arial"/>
          <w:sz w:val="24"/>
          <w:szCs w:val="24"/>
        </w:rPr>
        <w:t xml:space="preserve">, if any, </w:t>
      </w:r>
      <w:r w:rsidR="00192623" w:rsidRPr="0031127F">
        <w:rPr>
          <w:rFonts w:ascii="Arial" w:hAnsi="Arial" w:cs="Arial"/>
          <w:sz w:val="24"/>
          <w:szCs w:val="24"/>
        </w:rPr>
        <w:t xml:space="preserve">of </w:t>
      </w:r>
      <w:r w:rsidR="00AC4EE3" w:rsidRPr="0031127F">
        <w:rPr>
          <w:rFonts w:ascii="Arial" w:hAnsi="Arial" w:cs="Arial"/>
          <w:sz w:val="24"/>
          <w:szCs w:val="24"/>
        </w:rPr>
        <w:t xml:space="preserve">its lack of compliance with the Alienation of Land Act; </w:t>
      </w:r>
      <w:r w:rsidR="00192623" w:rsidRPr="0031127F">
        <w:rPr>
          <w:rFonts w:ascii="Arial" w:hAnsi="Arial" w:cs="Arial"/>
          <w:sz w:val="24"/>
          <w:szCs w:val="24"/>
        </w:rPr>
        <w:t xml:space="preserve">(iv) </w:t>
      </w:r>
      <w:r w:rsidR="00AC4EE3" w:rsidRPr="0031127F">
        <w:rPr>
          <w:rFonts w:ascii="Arial" w:hAnsi="Arial" w:cs="Arial"/>
          <w:sz w:val="24"/>
          <w:szCs w:val="24"/>
        </w:rPr>
        <w:t>the effect, if any, of the contradictory clauses in the agreement and the addendum thereto</w:t>
      </w:r>
      <w:r w:rsidR="00192623" w:rsidRPr="0031127F">
        <w:rPr>
          <w:rFonts w:ascii="Arial" w:hAnsi="Arial" w:cs="Arial"/>
          <w:sz w:val="24"/>
          <w:szCs w:val="24"/>
        </w:rPr>
        <w:t>; and (v)</w:t>
      </w:r>
      <w:r w:rsidR="00AC4EE3" w:rsidRPr="0031127F">
        <w:rPr>
          <w:rFonts w:ascii="Arial" w:hAnsi="Arial" w:cs="Arial"/>
          <w:sz w:val="24"/>
          <w:szCs w:val="24"/>
        </w:rPr>
        <w:t xml:space="preserve"> ultimately</w:t>
      </w:r>
      <w:r w:rsidR="00192623" w:rsidRPr="0031127F">
        <w:rPr>
          <w:rFonts w:ascii="Arial" w:hAnsi="Arial" w:cs="Arial"/>
          <w:sz w:val="24"/>
          <w:szCs w:val="24"/>
        </w:rPr>
        <w:t>,</w:t>
      </w:r>
      <w:r w:rsidR="00AC4EE3" w:rsidRPr="0031127F">
        <w:rPr>
          <w:rFonts w:ascii="Arial" w:hAnsi="Arial" w:cs="Arial"/>
          <w:sz w:val="24"/>
          <w:szCs w:val="24"/>
        </w:rPr>
        <w:t xml:space="preserve"> whether</w:t>
      </w:r>
      <w:r w:rsidR="00340922" w:rsidRPr="0031127F">
        <w:rPr>
          <w:rFonts w:ascii="Arial" w:hAnsi="Arial" w:cs="Arial"/>
          <w:sz w:val="24"/>
          <w:szCs w:val="24"/>
        </w:rPr>
        <w:t xml:space="preserve"> the</w:t>
      </w:r>
      <w:r w:rsidR="00AC4EE3" w:rsidRPr="0031127F">
        <w:rPr>
          <w:rFonts w:ascii="Arial" w:hAnsi="Arial" w:cs="Arial"/>
          <w:sz w:val="24"/>
          <w:szCs w:val="24"/>
        </w:rPr>
        <w:t xml:space="preserve"> plaintiff is entitled to be compensated for the</w:t>
      </w:r>
      <w:r w:rsidR="00192623" w:rsidRPr="0031127F">
        <w:rPr>
          <w:rFonts w:ascii="Arial" w:hAnsi="Arial" w:cs="Arial"/>
          <w:sz w:val="24"/>
          <w:szCs w:val="24"/>
        </w:rPr>
        <w:t xml:space="preserve"> defendant’s</w:t>
      </w:r>
      <w:r w:rsidR="00AC4EE3" w:rsidRPr="0031127F">
        <w:rPr>
          <w:rFonts w:ascii="Arial" w:hAnsi="Arial" w:cs="Arial"/>
          <w:sz w:val="24"/>
          <w:szCs w:val="24"/>
        </w:rPr>
        <w:t xml:space="preserve"> admitted liability in cash or whether it is obliged to </w:t>
      </w:r>
      <w:r w:rsidR="00AC4EE3" w:rsidRPr="0031127F">
        <w:rPr>
          <w:rFonts w:ascii="Arial" w:hAnsi="Arial" w:cs="Arial"/>
          <w:sz w:val="24"/>
          <w:szCs w:val="24"/>
        </w:rPr>
        <w:lastRenderedPageBreak/>
        <w:t>accept transfer o</w:t>
      </w:r>
      <w:r w:rsidR="00C16BEB" w:rsidRPr="0031127F">
        <w:rPr>
          <w:rFonts w:ascii="Arial" w:hAnsi="Arial" w:cs="Arial"/>
          <w:sz w:val="24"/>
          <w:szCs w:val="24"/>
        </w:rPr>
        <w:t>f</w:t>
      </w:r>
      <w:r w:rsidR="00AC4EE3" w:rsidRPr="0031127F">
        <w:rPr>
          <w:rFonts w:ascii="Arial" w:hAnsi="Arial" w:cs="Arial"/>
          <w:sz w:val="24"/>
          <w:szCs w:val="24"/>
        </w:rPr>
        <w:t xml:space="preserve"> a property (and in which case, </w:t>
      </w:r>
      <w:r w:rsidR="006F21DD" w:rsidRPr="0031127F">
        <w:rPr>
          <w:rFonts w:ascii="Arial" w:hAnsi="Arial" w:cs="Arial"/>
          <w:sz w:val="24"/>
          <w:szCs w:val="24"/>
        </w:rPr>
        <w:t>the identity of such property and on what terms</w:t>
      </w:r>
      <w:r w:rsidR="00AC4EE3" w:rsidRPr="0031127F">
        <w:rPr>
          <w:rFonts w:ascii="Arial" w:hAnsi="Arial" w:cs="Arial"/>
          <w:sz w:val="24"/>
          <w:szCs w:val="24"/>
        </w:rPr>
        <w:t>).</w:t>
      </w:r>
      <w:r w:rsidR="008C03D1" w:rsidRPr="0031127F">
        <w:rPr>
          <w:rFonts w:ascii="Arial" w:hAnsi="Arial" w:cs="Arial"/>
          <w:sz w:val="24"/>
          <w:szCs w:val="24"/>
        </w:rPr>
        <w:t xml:space="preserve">  </w:t>
      </w:r>
    </w:p>
    <w:p w14:paraId="5E92A7CB" w14:textId="77777777" w:rsidR="0068590C" w:rsidRPr="00AC4EE3" w:rsidRDefault="0068590C" w:rsidP="00AC4EE3">
      <w:pPr>
        <w:spacing w:after="0" w:line="480" w:lineRule="auto"/>
        <w:rPr>
          <w:rFonts w:ascii="Arial" w:hAnsi="Arial" w:cs="Arial"/>
          <w:sz w:val="24"/>
          <w:szCs w:val="24"/>
        </w:rPr>
      </w:pPr>
    </w:p>
    <w:p w14:paraId="2D3D3C20" w14:textId="712BC532" w:rsidR="00AC4EE3"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[40]</w:t>
      </w:r>
      <w:r>
        <w:rPr>
          <w:rFonts w:ascii="Arial" w:eastAsia="Times New Roman" w:hAnsi="Arial" w:cs="Arial"/>
          <w:sz w:val="24"/>
          <w:szCs w:val="24"/>
        </w:rPr>
        <w:tab/>
      </w:r>
      <w:r w:rsidR="00AC4EE3" w:rsidRPr="0031127F">
        <w:rPr>
          <w:rFonts w:ascii="Arial" w:hAnsi="Arial" w:cs="Arial"/>
          <w:sz w:val="24"/>
          <w:szCs w:val="24"/>
        </w:rPr>
        <w:t>There exists no reason why the costs should not follow the event.</w:t>
      </w:r>
    </w:p>
    <w:p w14:paraId="056E87B3" w14:textId="77777777" w:rsidR="00AC4EE3" w:rsidRPr="00AC4EE3" w:rsidRDefault="00AC4EE3" w:rsidP="00AC4EE3">
      <w:pPr>
        <w:pStyle w:val="ListParagraph"/>
        <w:spacing w:after="0" w:line="480" w:lineRule="auto"/>
        <w:rPr>
          <w:rFonts w:ascii="Arial" w:hAnsi="Arial" w:cs="Arial"/>
          <w:sz w:val="24"/>
          <w:szCs w:val="24"/>
        </w:rPr>
      </w:pPr>
    </w:p>
    <w:p w14:paraId="495CBA93" w14:textId="2B8342FC" w:rsidR="00AC4EE3" w:rsidRPr="0031127F" w:rsidRDefault="0031127F" w:rsidP="0031127F">
      <w:pPr>
        <w:spacing w:after="0" w:line="480" w:lineRule="auto"/>
        <w:jc w:val="both"/>
        <w:rPr>
          <w:rFonts w:ascii="Arial" w:hAnsi="Arial" w:cs="Arial"/>
          <w:sz w:val="24"/>
          <w:szCs w:val="24"/>
        </w:rPr>
      </w:pPr>
      <w:r>
        <w:rPr>
          <w:rFonts w:ascii="Arial" w:eastAsia="Times New Roman" w:hAnsi="Arial" w:cs="Arial"/>
          <w:sz w:val="24"/>
          <w:szCs w:val="24"/>
        </w:rPr>
        <w:t>[41]</w:t>
      </w:r>
      <w:r>
        <w:rPr>
          <w:rFonts w:ascii="Arial" w:eastAsia="Times New Roman" w:hAnsi="Arial" w:cs="Arial"/>
          <w:sz w:val="24"/>
          <w:szCs w:val="24"/>
        </w:rPr>
        <w:tab/>
      </w:r>
      <w:r w:rsidR="00AC4EE3" w:rsidRPr="0031127F">
        <w:rPr>
          <w:rFonts w:ascii="Arial" w:hAnsi="Arial" w:cs="Arial"/>
          <w:sz w:val="24"/>
          <w:szCs w:val="24"/>
        </w:rPr>
        <w:t>In the result, the following order is issued:</w:t>
      </w:r>
    </w:p>
    <w:p w14:paraId="46C04FD7" w14:textId="77777777" w:rsidR="00AC4EE3" w:rsidRPr="00AC4EE3" w:rsidRDefault="00AC4EE3" w:rsidP="00AC4EE3">
      <w:pPr>
        <w:pStyle w:val="ListParagraph"/>
        <w:spacing w:after="0" w:line="480" w:lineRule="auto"/>
        <w:rPr>
          <w:rFonts w:ascii="Arial" w:hAnsi="Arial" w:cs="Arial"/>
          <w:sz w:val="24"/>
          <w:szCs w:val="24"/>
        </w:rPr>
      </w:pPr>
    </w:p>
    <w:p w14:paraId="7B5B7B9E" w14:textId="45EE0429" w:rsidR="00674AC8" w:rsidRPr="00983493" w:rsidRDefault="0031127F" w:rsidP="0031127F">
      <w:pPr>
        <w:pStyle w:val="NormalWeb"/>
        <w:shd w:val="clear" w:color="auto" w:fill="FFFFFF"/>
        <w:spacing w:before="0" w:beforeAutospacing="0" w:after="0" w:afterAutospacing="0" w:line="480" w:lineRule="auto"/>
        <w:ind w:left="1309" w:hanging="600"/>
        <w:jc w:val="both"/>
        <w:rPr>
          <w:rFonts w:ascii="Arial" w:hAnsi="Arial" w:cs="Arial"/>
          <w:lang w:val="en-US"/>
        </w:rPr>
      </w:pPr>
      <w:r w:rsidRPr="00983493">
        <w:rPr>
          <w:rFonts w:ascii="Arial" w:hAnsi="Arial" w:cs="Arial"/>
          <w:lang w:val="en-US"/>
        </w:rPr>
        <w:t>1.</w:t>
      </w:r>
      <w:r w:rsidRPr="00983493">
        <w:rPr>
          <w:rFonts w:ascii="Arial" w:hAnsi="Arial" w:cs="Arial"/>
          <w:lang w:val="en-US"/>
        </w:rPr>
        <w:tab/>
      </w:r>
      <w:r w:rsidR="00AC4EE3">
        <w:rPr>
          <w:rFonts w:ascii="Arial" w:hAnsi="Arial" w:cs="Arial"/>
          <w:lang w:val="en-US"/>
        </w:rPr>
        <w:t>The application is dismissed with costs.</w:t>
      </w:r>
      <w:r w:rsidR="00674AC8" w:rsidRPr="00983493">
        <w:rPr>
          <w:rFonts w:ascii="Arial" w:hAnsi="Arial" w:cs="Arial"/>
          <w:lang w:val="en-US"/>
        </w:rPr>
        <w:t xml:space="preserve">  </w:t>
      </w:r>
    </w:p>
    <w:p w14:paraId="7FA2655D" w14:textId="77777777" w:rsidR="00674AC8" w:rsidRDefault="00674AC8" w:rsidP="00674AC8">
      <w:pPr>
        <w:spacing w:after="0" w:line="360" w:lineRule="auto"/>
        <w:jc w:val="both"/>
        <w:rPr>
          <w:rStyle w:val="Hyperlink"/>
          <w:rFonts w:ascii="Arial" w:hAnsi="Arial" w:cs="Arial"/>
          <w:i/>
          <w:iCs/>
          <w:color w:val="auto"/>
        </w:rPr>
      </w:pPr>
    </w:p>
    <w:p w14:paraId="1417A27D" w14:textId="2581B42C" w:rsidR="00674AC8" w:rsidRPr="00983493" w:rsidRDefault="00674AC8" w:rsidP="00674AC8">
      <w:pPr>
        <w:spacing w:after="0" w:line="360" w:lineRule="auto"/>
        <w:jc w:val="both"/>
        <w:rPr>
          <w:rStyle w:val="Hyperlink"/>
          <w:rFonts w:ascii="Arial" w:hAnsi="Arial" w:cs="Arial"/>
          <w:i/>
          <w:iCs/>
          <w:color w:val="auto"/>
        </w:rPr>
      </w:pPr>
    </w:p>
    <w:p w14:paraId="69C15911" w14:textId="77777777" w:rsidR="00674AC8" w:rsidRPr="00524A6F" w:rsidRDefault="00674AC8" w:rsidP="00674AC8">
      <w:pPr>
        <w:spacing w:after="0" w:line="360" w:lineRule="auto"/>
        <w:jc w:val="both"/>
        <w:rPr>
          <w:rStyle w:val="Hyperlink"/>
          <w:rFonts w:ascii="Arial" w:hAnsi="Arial" w:cs="Arial"/>
          <w:i/>
          <w:iCs/>
          <w:color w:val="auto"/>
          <w:sz w:val="24"/>
          <w:szCs w:val="24"/>
        </w:rPr>
      </w:pPr>
      <w:r w:rsidRPr="00524A6F">
        <w:rPr>
          <w:rStyle w:val="Hyperlink"/>
          <w:rFonts w:ascii="Arial" w:hAnsi="Arial" w:cs="Arial"/>
          <w:i/>
          <w:iCs/>
          <w:color w:val="auto"/>
          <w:sz w:val="24"/>
          <w:szCs w:val="24"/>
        </w:rPr>
        <w:t>________________________________</w:t>
      </w:r>
    </w:p>
    <w:p w14:paraId="3982E234" w14:textId="77777777" w:rsidR="00674AC8" w:rsidRPr="00524A6F" w:rsidRDefault="00674AC8" w:rsidP="00674AC8">
      <w:pPr>
        <w:spacing w:after="0" w:line="360" w:lineRule="auto"/>
        <w:jc w:val="both"/>
        <w:rPr>
          <w:rFonts w:ascii="Arial" w:hAnsi="Arial" w:cs="Arial"/>
          <w:b/>
          <w:bCs/>
          <w:sz w:val="24"/>
          <w:szCs w:val="24"/>
        </w:rPr>
      </w:pPr>
      <w:r w:rsidRPr="00524A6F">
        <w:rPr>
          <w:rFonts w:ascii="Arial" w:hAnsi="Arial" w:cs="Arial"/>
          <w:b/>
          <w:bCs/>
          <w:sz w:val="24"/>
          <w:szCs w:val="24"/>
        </w:rPr>
        <w:t xml:space="preserve">I BANDS </w:t>
      </w:r>
    </w:p>
    <w:p w14:paraId="6D2CB67C" w14:textId="77777777" w:rsidR="00674AC8" w:rsidRPr="00951523" w:rsidRDefault="00674AC8" w:rsidP="00674AC8">
      <w:pPr>
        <w:spacing w:after="0" w:line="480" w:lineRule="auto"/>
        <w:jc w:val="both"/>
        <w:rPr>
          <w:rFonts w:ascii="Arial" w:hAnsi="Arial" w:cs="Arial"/>
          <w:b/>
          <w:bCs/>
          <w:sz w:val="24"/>
          <w:szCs w:val="24"/>
        </w:rPr>
      </w:pPr>
      <w:r w:rsidRPr="00951523">
        <w:rPr>
          <w:rFonts w:ascii="Arial" w:hAnsi="Arial" w:cs="Arial"/>
          <w:b/>
          <w:bCs/>
          <w:sz w:val="24"/>
          <w:szCs w:val="24"/>
        </w:rPr>
        <w:t xml:space="preserve">JUDGE OF THE HIGH COURT </w:t>
      </w:r>
    </w:p>
    <w:p w14:paraId="6761ABD4" w14:textId="77777777" w:rsidR="00674AC8" w:rsidRDefault="00674AC8" w:rsidP="00674AC8">
      <w:pPr>
        <w:pBdr>
          <w:bottom w:val="single" w:sz="4" w:space="1" w:color="auto"/>
        </w:pBdr>
        <w:spacing w:after="0" w:line="360" w:lineRule="auto"/>
        <w:jc w:val="both"/>
        <w:rPr>
          <w:rFonts w:ascii="Arial" w:hAnsi="Arial" w:cs="Arial"/>
          <w:sz w:val="24"/>
          <w:szCs w:val="24"/>
        </w:rPr>
      </w:pPr>
    </w:p>
    <w:p w14:paraId="2909DCBA" w14:textId="77777777" w:rsidR="00674AC8" w:rsidRDefault="00674AC8" w:rsidP="00674AC8">
      <w:pPr>
        <w:spacing w:after="0" w:line="360" w:lineRule="auto"/>
        <w:jc w:val="both"/>
        <w:rPr>
          <w:rFonts w:ascii="Arial" w:hAnsi="Arial" w:cs="Arial"/>
          <w:sz w:val="24"/>
          <w:szCs w:val="24"/>
        </w:rPr>
      </w:pPr>
    </w:p>
    <w:p w14:paraId="7A6596F2" w14:textId="6E798812" w:rsidR="00674AC8" w:rsidRDefault="00674AC8" w:rsidP="00674AC8">
      <w:pPr>
        <w:spacing w:after="0" w:line="360" w:lineRule="auto"/>
        <w:jc w:val="both"/>
        <w:rPr>
          <w:rFonts w:ascii="Arial" w:hAnsi="Arial" w:cs="Arial"/>
          <w:sz w:val="24"/>
          <w:szCs w:val="24"/>
        </w:rPr>
      </w:pPr>
      <w:r>
        <w:rPr>
          <w:rFonts w:ascii="Arial" w:hAnsi="Arial" w:cs="Arial"/>
          <w:sz w:val="24"/>
          <w:szCs w:val="24"/>
        </w:rPr>
        <w:t>Date heard:</w:t>
      </w:r>
      <w:r>
        <w:rPr>
          <w:rFonts w:ascii="Arial" w:hAnsi="Arial" w:cs="Arial"/>
          <w:sz w:val="24"/>
          <w:szCs w:val="24"/>
        </w:rPr>
        <w:tab/>
      </w:r>
      <w:r>
        <w:rPr>
          <w:rFonts w:ascii="Arial" w:hAnsi="Arial" w:cs="Arial"/>
          <w:sz w:val="24"/>
          <w:szCs w:val="24"/>
        </w:rPr>
        <w:tab/>
      </w:r>
      <w:r>
        <w:rPr>
          <w:rFonts w:ascii="Arial" w:hAnsi="Arial" w:cs="Arial"/>
          <w:sz w:val="24"/>
          <w:szCs w:val="24"/>
        </w:rPr>
        <w:tab/>
      </w:r>
      <w:r w:rsidR="004C7A99">
        <w:rPr>
          <w:rFonts w:ascii="Arial" w:hAnsi="Arial" w:cs="Arial"/>
          <w:sz w:val="24"/>
          <w:szCs w:val="24"/>
        </w:rPr>
        <w:tab/>
      </w:r>
      <w:r w:rsidR="004C7A99">
        <w:rPr>
          <w:rFonts w:ascii="Arial" w:hAnsi="Arial" w:cs="Arial"/>
          <w:sz w:val="24"/>
          <w:szCs w:val="24"/>
        </w:rPr>
        <w:tab/>
      </w:r>
      <w:r w:rsidR="00AC4EE3">
        <w:rPr>
          <w:rFonts w:ascii="Arial" w:hAnsi="Arial" w:cs="Arial"/>
          <w:sz w:val="24"/>
          <w:szCs w:val="24"/>
        </w:rPr>
        <w:t>10 August</w:t>
      </w:r>
      <w:r>
        <w:rPr>
          <w:rFonts w:ascii="Arial" w:hAnsi="Arial" w:cs="Arial"/>
          <w:sz w:val="24"/>
          <w:szCs w:val="24"/>
        </w:rPr>
        <w:t xml:space="preserve"> 2023</w:t>
      </w:r>
    </w:p>
    <w:p w14:paraId="265CB7C7" w14:textId="2BCBC3FC" w:rsidR="00674AC8" w:rsidRDefault="00674AC8" w:rsidP="00674AC8">
      <w:pPr>
        <w:spacing w:after="0" w:line="360" w:lineRule="auto"/>
        <w:jc w:val="both"/>
        <w:rPr>
          <w:rFonts w:ascii="Arial" w:hAnsi="Arial" w:cs="Arial"/>
          <w:sz w:val="24"/>
          <w:szCs w:val="24"/>
        </w:rPr>
      </w:pPr>
      <w:r>
        <w:rPr>
          <w:rFonts w:ascii="Arial" w:hAnsi="Arial" w:cs="Arial"/>
          <w:sz w:val="24"/>
          <w:szCs w:val="24"/>
        </w:rPr>
        <w:t>Date of judgment:</w:t>
      </w:r>
      <w:r>
        <w:rPr>
          <w:rFonts w:ascii="Arial" w:hAnsi="Arial" w:cs="Arial"/>
          <w:sz w:val="24"/>
          <w:szCs w:val="24"/>
        </w:rPr>
        <w:tab/>
      </w:r>
      <w:r>
        <w:rPr>
          <w:rFonts w:ascii="Arial" w:hAnsi="Arial" w:cs="Arial"/>
          <w:sz w:val="24"/>
          <w:szCs w:val="24"/>
        </w:rPr>
        <w:tab/>
      </w:r>
      <w:r w:rsidR="004C7A99">
        <w:rPr>
          <w:rFonts w:ascii="Arial" w:hAnsi="Arial" w:cs="Arial"/>
          <w:sz w:val="24"/>
          <w:szCs w:val="24"/>
        </w:rPr>
        <w:tab/>
      </w:r>
      <w:r w:rsidR="004C7A99">
        <w:rPr>
          <w:rFonts w:ascii="Arial" w:hAnsi="Arial" w:cs="Arial"/>
          <w:sz w:val="24"/>
          <w:szCs w:val="24"/>
        </w:rPr>
        <w:tab/>
      </w:r>
      <w:r w:rsidR="007A65A8">
        <w:rPr>
          <w:rFonts w:ascii="Arial" w:hAnsi="Arial" w:cs="Arial"/>
          <w:sz w:val="24"/>
          <w:szCs w:val="24"/>
        </w:rPr>
        <w:t>7</w:t>
      </w:r>
      <w:r w:rsidR="00AC4EE3">
        <w:rPr>
          <w:rFonts w:ascii="Arial" w:hAnsi="Arial" w:cs="Arial"/>
          <w:sz w:val="24"/>
          <w:szCs w:val="24"/>
        </w:rPr>
        <w:t xml:space="preserve"> February 2024</w:t>
      </w:r>
    </w:p>
    <w:p w14:paraId="4E031C7E" w14:textId="77777777" w:rsidR="00674AC8" w:rsidRDefault="00674AC8" w:rsidP="00674AC8">
      <w:pPr>
        <w:spacing w:after="0" w:line="360" w:lineRule="auto"/>
        <w:jc w:val="both"/>
        <w:rPr>
          <w:rFonts w:ascii="Arial" w:hAnsi="Arial" w:cs="Arial"/>
          <w:sz w:val="24"/>
          <w:szCs w:val="24"/>
        </w:rPr>
      </w:pPr>
    </w:p>
    <w:p w14:paraId="4E2955C7" w14:textId="72AE7E4C" w:rsidR="004C7A99" w:rsidRDefault="004C7A99" w:rsidP="004C7A99">
      <w:pPr>
        <w:spacing w:after="0" w:line="360" w:lineRule="auto"/>
        <w:jc w:val="both"/>
        <w:rPr>
          <w:rFonts w:ascii="Arial" w:hAnsi="Arial" w:cs="Arial"/>
          <w:sz w:val="24"/>
          <w:szCs w:val="24"/>
        </w:rPr>
      </w:pPr>
      <w:r>
        <w:rPr>
          <w:rFonts w:ascii="Arial" w:hAnsi="Arial" w:cs="Arial"/>
          <w:sz w:val="24"/>
          <w:szCs w:val="24"/>
        </w:rPr>
        <w:t>For the defendant/applicant:</w:t>
      </w:r>
      <w:r>
        <w:rPr>
          <w:rFonts w:ascii="Arial" w:hAnsi="Arial" w:cs="Arial"/>
          <w:sz w:val="24"/>
          <w:szCs w:val="24"/>
        </w:rPr>
        <w:tab/>
      </w:r>
      <w:r>
        <w:rPr>
          <w:rFonts w:ascii="Arial" w:hAnsi="Arial" w:cs="Arial"/>
          <w:sz w:val="24"/>
          <w:szCs w:val="24"/>
        </w:rPr>
        <w:tab/>
        <w:t>Mr du Toit</w:t>
      </w:r>
    </w:p>
    <w:p w14:paraId="22CC83B1" w14:textId="4190C509" w:rsidR="004C7A99" w:rsidRDefault="004C7A99" w:rsidP="004C7A99">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Britz Attorneys</w:t>
      </w:r>
    </w:p>
    <w:p w14:paraId="1AE4F352" w14:textId="643FFCD0" w:rsidR="004C7A99" w:rsidRDefault="004C7A99" w:rsidP="004C7A9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 Lizelle Pretorius</w:t>
      </w:r>
      <w:r>
        <w:rPr>
          <w:rFonts w:ascii="Arial" w:hAnsi="Arial" w:cs="Arial"/>
          <w:sz w:val="24"/>
          <w:szCs w:val="24"/>
        </w:rPr>
        <w:tab/>
      </w:r>
      <w:r>
        <w:rPr>
          <w:rFonts w:ascii="Arial" w:hAnsi="Arial" w:cs="Arial"/>
          <w:sz w:val="24"/>
          <w:szCs w:val="24"/>
        </w:rPr>
        <w:tab/>
        <w:t xml:space="preserve"> </w:t>
      </w:r>
    </w:p>
    <w:p w14:paraId="5C575858" w14:textId="7D376A86" w:rsidR="004C7A99" w:rsidRDefault="004C7A99" w:rsidP="004C7A9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 Bird Street</w:t>
      </w:r>
      <w:r>
        <w:rPr>
          <w:rFonts w:ascii="Arial" w:hAnsi="Arial" w:cs="Arial"/>
          <w:sz w:val="24"/>
          <w:szCs w:val="24"/>
        </w:rPr>
        <w:tab/>
      </w:r>
    </w:p>
    <w:p w14:paraId="1DE513B8" w14:textId="2BC1B260" w:rsidR="004C7A99" w:rsidRDefault="004C7A99" w:rsidP="004C7A9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Central</w:t>
      </w:r>
    </w:p>
    <w:p w14:paraId="783234F6" w14:textId="24F014A2" w:rsidR="004C7A99" w:rsidRDefault="004C7A99" w:rsidP="004C7A9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Gqeberha</w:t>
      </w:r>
    </w:p>
    <w:p w14:paraId="6967CCD1" w14:textId="77777777" w:rsidR="004C7A99" w:rsidRDefault="004C7A99" w:rsidP="00674AC8">
      <w:pPr>
        <w:spacing w:after="0" w:line="360" w:lineRule="auto"/>
        <w:jc w:val="both"/>
        <w:rPr>
          <w:rFonts w:ascii="Arial" w:hAnsi="Arial" w:cs="Arial"/>
          <w:sz w:val="24"/>
          <w:szCs w:val="24"/>
        </w:rPr>
      </w:pPr>
    </w:p>
    <w:p w14:paraId="68C9B49C" w14:textId="3E172A5E" w:rsidR="00523D66" w:rsidRDefault="00523D66" w:rsidP="00523D66">
      <w:pPr>
        <w:spacing w:after="0" w:line="360" w:lineRule="auto"/>
        <w:jc w:val="both"/>
        <w:rPr>
          <w:rFonts w:ascii="Arial" w:hAnsi="Arial" w:cs="Arial"/>
          <w:sz w:val="24"/>
          <w:szCs w:val="24"/>
        </w:rPr>
      </w:pPr>
      <w:r>
        <w:rPr>
          <w:rFonts w:ascii="Arial" w:hAnsi="Arial" w:cs="Arial"/>
          <w:sz w:val="24"/>
          <w:szCs w:val="24"/>
        </w:rPr>
        <w:t>For the plaintiff</w:t>
      </w:r>
      <w:r w:rsidR="004C7A99">
        <w:rPr>
          <w:rFonts w:ascii="Arial" w:hAnsi="Arial" w:cs="Arial"/>
          <w:sz w:val="24"/>
          <w:szCs w:val="24"/>
        </w:rPr>
        <w:t>/respondent</w:t>
      </w:r>
      <w:r>
        <w:rPr>
          <w:rFonts w:ascii="Arial" w:hAnsi="Arial" w:cs="Arial"/>
          <w:sz w:val="24"/>
          <w:szCs w:val="24"/>
        </w:rPr>
        <w:t>:</w:t>
      </w:r>
      <w:r>
        <w:rPr>
          <w:rFonts w:ascii="Arial" w:hAnsi="Arial" w:cs="Arial"/>
          <w:sz w:val="24"/>
          <w:szCs w:val="24"/>
        </w:rPr>
        <w:tab/>
      </w:r>
      <w:r>
        <w:rPr>
          <w:rFonts w:ascii="Arial" w:hAnsi="Arial" w:cs="Arial"/>
          <w:sz w:val="24"/>
          <w:szCs w:val="24"/>
        </w:rPr>
        <w:tab/>
        <w:t xml:space="preserve">Mr Ferreira </w:t>
      </w:r>
      <w:r>
        <w:rPr>
          <w:rFonts w:ascii="Arial" w:hAnsi="Arial" w:cs="Arial"/>
          <w:sz w:val="24"/>
          <w:szCs w:val="24"/>
        </w:rPr>
        <w:tab/>
      </w:r>
      <w:r>
        <w:rPr>
          <w:rFonts w:ascii="Arial" w:hAnsi="Arial" w:cs="Arial"/>
          <w:sz w:val="24"/>
          <w:szCs w:val="24"/>
        </w:rPr>
        <w:tab/>
      </w:r>
    </w:p>
    <w:p w14:paraId="1D22A269" w14:textId="2290B521" w:rsidR="00523D66" w:rsidRDefault="00523D66" w:rsidP="00523D66">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4C7A99">
        <w:rPr>
          <w:rFonts w:ascii="Arial" w:hAnsi="Arial" w:cs="Arial"/>
          <w:sz w:val="24"/>
          <w:szCs w:val="24"/>
        </w:rPr>
        <w:tab/>
      </w:r>
      <w:r w:rsidR="004C7A99">
        <w:rPr>
          <w:rFonts w:ascii="Arial" w:hAnsi="Arial" w:cs="Arial"/>
          <w:sz w:val="24"/>
          <w:szCs w:val="24"/>
        </w:rPr>
        <w:tab/>
      </w:r>
      <w:r>
        <w:rPr>
          <w:rFonts w:ascii="Arial" w:hAnsi="Arial" w:cs="Arial"/>
          <w:sz w:val="24"/>
          <w:szCs w:val="24"/>
        </w:rPr>
        <w:t>Friedman Scheckter</w:t>
      </w:r>
    </w:p>
    <w:p w14:paraId="0BB7FE61" w14:textId="159D79E0" w:rsidR="00523D66" w:rsidRDefault="00523D66" w:rsidP="00523D6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C7A99">
        <w:rPr>
          <w:rFonts w:ascii="Arial" w:hAnsi="Arial" w:cs="Arial"/>
          <w:sz w:val="24"/>
          <w:szCs w:val="24"/>
        </w:rPr>
        <w:tab/>
      </w:r>
      <w:r w:rsidR="004C7A99">
        <w:rPr>
          <w:rFonts w:ascii="Arial" w:hAnsi="Arial" w:cs="Arial"/>
          <w:sz w:val="24"/>
          <w:szCs w:val="24"/>
        </w:rPr>
        <w:tab/>
      </w:r>
      <w:r>
        <w:rPr>
          <w:rFonts w:ascii="Arial" w:hAnsi="Arial" w:cs="Arial"/>
          <w:sz w:val="24"/>
          <w:szCs w:val="24"/>
        </w:rPr>
        <w:t xml:space="preserve">75 Second Avenue </w:t>
      </w:r>
    </w:p>
    <w:p w14:paraId="1E4EF992" w14:textId="5E23AE4D" w:rsidR="00523D66" w:rsidRDefault="00523D66" w:rsidP="00523D6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C7A99">
        <w:rPr>
          <w:rFonts w:ascii="Arial" w:hAnsi="Arial" w:cs="Arial"/>
          <w:sz w:val="24"/>
          <w:szCs w:val="24"/>
        </w:rPr>
        <w:tab/>
      </w:r>
      <w:r w:rsidR="004C7A99">
        <w:rPr>
          <w:rFonts w:ascii="Arial" w:hAnsi="Arial" w:cs="Arial"/>
          <w:sz w:val="24"/>
          <w:szCs w:val="24"/>
        </w:rPr>
        <w:tab/>
      </w:r>
      <w:r>
        <w:rPr>
          <w:rFonts w:ascii="Arial" w:hAnsi="Arial" w:cs="Arial"/>
          <w:sz w:val="24"/>
          <w:szCs w:val="24"/>
        </w:rPr>
        <w:t>Newton Park</w:t>
      </w:r>
    </w:p>
    <w:p w14:paraId="09EA2BD7" w14:textId="27C5D49F" w:rsidR="00523D66" w:rsidRPr="002E6B29" w:rsidRDefault="00523D66" w:rsidP="00523D6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C7A99">
        <w:rPr>
          <w:rFonts w:ascii="Arial" w:hAnsi="Arial" w:cs="Arial"/>
          <w:sz w:val="24"/>
          <w:szCs w:val="24"/>
        </w:rPr>
        <w:tab/>
      </w:r>
      <w:r w:rsidR="004C7A99">
        <w:rPr>
          <w:rFonts w:ascii="Arial" w:hAnsi="Arial" w:cs="Arial"/>
          <w:sz w:val="24"/>
          <w:szCs w:val="24"/>
        </w:rPr>
        <w:tab/>
      </w:r>
      <w:r>
        <w:rPr>
          <w:rFonts w:ascii="Arial" w:hAnsi="Arial" w:cs="Arial"/>
          <w:sz w:val="24"/>
          <w:szCs w:val="24"/>
        </w:rPr>
        <w:t>Gqeberha</w:t>
      </w:r>
      <w:r>
        <w:rPr>
          <w:rFonts w:ascii="Arial" w:hAnsi="Arial" w:cs="Arial"/>
          <w:sz w:val="24"/>
          <w:szCs w:val="24"/>
        </w:rPr>
        <w:tab/>
      </w:r>
    </w:p>
    <w:p w14:paraId="77A07F6A" w14:textId="77777777" w:rsidR="00523D66" w:rsidRDefault="00523D66" w:rsidP="00523D66">
      <w:pPr>
        <w:spacing w:after="0" w:line="360" w:lineRule="auto"/>
        <w:jc w:val="both"/>
        <w:rPr>
          <w:rFonts w:ascii="Arial" w:hAnsi="Arial" w:cs="Arial"/>
          <w:sz w:val="24"/>
          <w:szCs w:val="24"/>
        </w:rPr>
      </w:pPr>
    </w:p>
    <w:p w14:paraId="2B515F8B" w14:textId="77777777" w:rsidR="00523D66" w:rsidRDefault="00523D66" w:rsidP="00674AC8">
      <w:pPr>
        <w:spacing w:after="0" w:line="360" w:lineRule="auto"/>
        <w:jc w:val="both"/>
        <w:rPr>
          <w:rFonts w:ascii="Arial" w:hAnsi="Arial" w:cs="Arial"/>
          <w:sz w:val="24"/>
          <w:szCs w:val="24"/>
        </w:rPr>
      </w:pPr>
    </w:p>
    <w:p w14:paraId="1993F631" w14:textId="77777777" w:rsidR="00674AC8" w:rsidRDefault="00674AC8" w:rsidP="00674AC8">
      <w:pPr>
        <w:spacing w:after="0" w:line="360" w:lineRule="auto"/>
        <w:jc w:val="both"/>
        <w:rPr>
          <w:rFonts w:ascii="Arial" w:hAnsi="Arial" w:cs="Arial"/>
          <w:sz w:val="24"/>
          <w:szCs w:val="24"/>
        </w:rPr>
      </w:pPr>
    </w:p>
    <w:sectPr w:rsidR="00674AC8" w:rsidSect="00543023">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93690" w14:textId="77777777" w:rsidR="00502704" w:rsidRDefault="00502704" w:rsidP="00674AC8">
      <w:pPr>
        <w:spacing w:after="0" w:line="240" w:lineRule="auto"/>
      </w:pPr>
      <w:r>
        <w:separator/>
      </w:r>
    </w:p>
  </w:endnote>
  <w:endnote w:type="continuationSeparator" w:id="0">
    <w:p w14:paraId="7EA320CD" w14:textId="77777777" w:rsidR="00502704" w:rsidRDefault="00502704" w:rsidP="00674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E2F81" w14:textId="77777777" w:rsidR="00502704" w:rsidRDefault="00502704" w:rsidP="00674AC8">
      <w:pPr>
        <w:spacing w:after="0" w:line="240" w:lineRule="auto"/>
      </w:pPr>
      <w:r>
        <w:separator/>
      </w:r>
    </w:p>
  </w:footnote>
  <w:footnote w:type="continuationSeparator" w:id="0">
    <w:p w14:paraId="3E814E46" w14:textId="77777777" w:rsidR="00502704" w:rsidRDefault="00502704" w:rsidP="00674AC8">
      <w:pPr>
        <w:spacing w:after="0" w:line="240" w:lineRule="auto"/>
      </w:pPr>
      <w:r>
        <w:continuationSeparator/>
      </w:r>
    </w:p>
  </w:footnote>
  <w:footnote w:id="1">
    <w:p w14:paraId="1AB04994" w14:textId="77777777" w:rsidR="00BC0A9E" w:rsidRPr="00D174F8" w:rsidRDefault="00BC0A9E" w:rsidP="005D5CB5">
      <w:pPr>
        <w:pStyle w:val="FootnoteText"/>
        <w:spacing w:line="360" w:lineRule="auto"/>
        <w:rPr>
          <w:rFonts w:ascii="Arial" w:hAnsi="Arial" w:cs="Arial"/>
          <w:sz w:val="22"/>
          <w:szCs w:val="22"/>
          <w:lang w:val="en-US"/>
        </w:rPr>
      </w:pPr>
      <w:r w:rsidRPr="00D174F8">
        <w:rPr>
          <w:rStyle w:val="FootnoteReference"/>
          <w:rFonts w:ascii="Arial" w:hAnsi="Arial" w:cs="Arial"/>
          <w:sz w:val="22"/>
          <w:szCs w:val="22"/>
        </w:rPr>
        <w:footnoteRef/>
      </w:r>
      <w:r w:rsidRPr="00D174F8">
        <w:rPr>
          <w:rFonts w:ascii="Arial" w:hAnsi="Arial" w:cs="Arial"/>
          <w:sz w:val="22"/>
          <w:szCs w:val="22"/>
        </w:rPr>
        <w:t xml:space="preserve"> </w:t>
      </w:r>
      <w:r w:rsidRPr="00D174F8">
        <w:rPr>
          <w:rFonts w:ascii="Arial" w:hAnsi="Arial" w:cs="Arial"/>
          <w:i/>
          <w:iCs/>
          <w:sz w:val="22"/>
          <w:szCs w:val="22"/>
        </w:rPr>
        <w:t xml:space="preserve">Giddey NO v JC Barnard and Partners </w:t>
      </w:r>
      <w:r w:rsidRPr="00D174F8">
        <w:rPr>
          <w:rFonts w:ascii="Arial" w:hAnsi="Arial" w:cs="Arial"/>
          <w:sz w:val="22"/>
          <w:szCs w:val="22"/>
          <w:lang w:val="en-US"/>
        </w:rPr>
        <w:t>2007 (5) SA 525 (CC) at para [7].</w:t>
      </w:r>
    </w:p>
  </w:footnote>
  <w:footnote w:id="2">
    <w:p w14:paraId="78037599" w14:textId="77777777" w:rsidR="00BC0A9E" w:rsidRPr="00D174F8" w:rsidRDefault="00BC0A9E" w:rsidP="005D5CB5">
      <w:pPr>
        <w:pStyle w:val="FootnoteText"/>
        <w:spacing w:line="360" w:lineRule="auto"/>
        <w:rPr>
          <w:rFonts w:ascii="Arial" w:hAnsi="Arial" w:cs="Arial"/>
          <w:sz w:val="22"/>
          <w:szCs w:val="22"/>
          <w:lang w:val="en-US"/>
        </w:rPr>
      </w:pPr>
      <w:r w:rsidRPr="00D174F8">
        <w:rPr>
          <w:rStyle w:val="FootnoteReference"/>
          <w:rFonts w:ascii="Arial" w:hAnsi="Arial" w:cs="Arial"/>
          <w:sz w:val="22"/>
          <w:szCs w:val="22"/>
        </w:rPr>
        <w:footnoteRef/>
      </w:r>
      <w:r w:rsidRPr="00D174F8">
        <w:rPr>
          <w:rFonts w:ascii="Arial" w:hAnsi="Arial" w:cs="Arial"/>
          <w:sz w:val="22"/>
          <w:szCs w:val="22"/>
        </w:rPr>
        <w:t xml:space="preserve"> </w:t>
      </w:r>
      <w:hyperlink r:id="rId1" w:tooltip="View LawCiteRecord" w:history="1">
        <w:r w:rsidRPr="00D174F8">
          <w:rPr>
            <w:rStyle w:val="Hyperlink"/>
            <w:rFonts w:ascii="Arial" w:hAnsi="Arial" w:cs="Arial"/>
            <w:color w:val="auto"/>
            <w:sz w:val="22"/>
            <w:szCs w:val="22"/>
            <w:u w:val="none"/>
            <w:shd w:val="clear" w:color="auto" w:fill="FFFFFF"/>
            <w:lang w:val="en-GB"/>
          </w:rPr>
          <w:t>(1828) 1 </w:t>
        </w:r>
      </w:hyperlink>
      <w:hyperlink r:id="rId2" w:tooltip="View LawCiteRecord" w:history="1">
        <w:r w:rsidRPr="00D174F8">
          <w:rPr>
            <w:rStyle w:val="Hyperlink"/>
            <w:rFonts w:ascii="Arial" w:hAnsi="Arial" w:cs="Arial"/>
            <w:i/>
            <w:iCs/>
            <w:color w:val="auto"/>
            <w:sz w:val="22"/>
            <w:szCs w:val="22"/>
            <w:u w:val="none"/>
            <w:shd w:val="clear" w:color="auto" w:fill="FFFFFF"/>
            <w:lang w:val="en-GB"/>
          </w:rPr>
          <w:t>Menz</w:t>
        </w:r>
        <w:r w:rsidRPr="00D174F8">
          <w:rPr>
            <w:rStyle w:val="Hyperlink"/>
            <w:rFonts w:ascii="Arial" w:hAnsi="Arial" w:cs="Arial"/>
            <w:color w:val="auto"/>
            <w:sz w:val="22"/>
            <w:szCs w:val="22"/>
            <w:u w:val="none"/>
            <w:shd w:val="clear" w:color="auto" w:fill="FFFFFF"/>
            <w:lang w:val="en-GB"/>
          </w:rPr>
          <w:t> 291</w:t>
        </w:r>
      </w:hyperlink>
      <w:r w:rsidRPr="00D174F8">
        <w:rPr>
          <w:rFonts w:ascii="Arial" w:hAnsi="Arial" w:cs="Arial"/>
          <w:sz w:val="22"/>
          <w:szCs w:val="22"/>
        </w:rPr>
        <w:t>.</w:t>
      </w:r>
    </w:p>
  </w:footnote>
  <w:footnote w:id="3">
    <w:p w14:paraId="37C36FAF" w14:textId="77777777" w:rsidR="00BC0A9E" w:rsidRPr="002A263D" w:rsidRDefault="00BC0A9E" w:rsidP="005D5CB5">
      <w:pPr>
        <w:pStyle w:val="FootnoteText"/>
        <w:spacing w:line="360" w:lineRule="auto"/>
        <w:rPr>
          <w:rFonts w:ascii="Arial" w:hAnsi="Arial" w:cs="Arial"/>
          <w:sz w:val="22"/>
          <w:szCs w:val="22"/>
          <w:lang w:val="en-US"/>
        </w:rPr>
      </w:pPr>
      <w:r w:rsidRPr="002A263D">
        <w:rPr>
          <w:rStyle w:val="FootnoteReference"/>
          <w:rFonts w:ascii="Arial" w:hAnsi="Arial" w:cs="Arial"/>
          <w:sz w:val="22"/>
          <w:szCs w:val="22"/>
        </w:rPr>
        <w:footnoteRef/>
      </w:r>
      <w:r w:rsidRPr="002A263D">
        <w:rPr>
          <w:rFonts w:ascii="Arial" w:hAnsi="Arial" w:cs="Arial"/>
          <w:sz w:val="22"/>
          <w:szCs w:val="22"/>
        </w:rPr>
        <w:t xml:space="preserve"> </w:t>
      </w:r>
      <w:r w:rsidRPr="002A263D">
        <w:rPr>
          <w:rFonts w:ascii="Arial" w:hAnsi="Arial" w:cs="Arial"/>
          <w:sz w:val="22"/>
          <w:szCs w:val="22"/>
          <w:lang w:val="en-US"/>
        </w:rPr>
        <w:t>2007 (5) SA 525 (CC) at para [7].</w:t>
      </w:r>
    </w:p>
  </w:footnote>
  <w:footnote w:id="4">
    <w:p w14:paraId="5FA06536" w14:textId="77777777" w:rsidR="00BC0A9E" w:rsidRPr="002A263D" w:rsidRDefault="00BC0A9E" w:rsidP="002A263D">
      <w:pPr>
        <w:pStyle w:val="FootnoteText"/>
        <w:spacing w:line="360" w:lineRule="auto"/>
        <w:rPr>
          <w:rFonts w:ascii="Arial" w:hAnsi="Arial" w:cs="Arial"/>
          <w:sz w:val="22"/>
          <w:szCs w:val="22"/>
          <w:lang w:val="en-US"/>
        </w:rPr>
      </w:pPr>
      <w:r w:rsidRPr="002A263D">
        <w:rPr>
          <w:rStyle w:val="FootnoteReference"/>
          <w:rFonts w:ascii="Arial" w:hAnsi="Arial" w:cs="Arial"/>
          <w:sz w:val="22"/>
          <w:szCs w:val="22"/>
        </w:rPr>
        <w:footnoteRef/>
      </w:r>
      <w:r w:rsidRPr="002A263D">
        <w:rPr>
          <w:rFonts w:ascii="Arial" w:hAnsi="Arial" w:cs="Arial"/>
          <w:sz w:val="22"/>
          <w:szCs w:val="22"/>
        </w:rPr>
        <w:t xml:space="preserve"> </w:t>
      </w:r>
      <w:r w:rsidRPr="002A263D">
        <w:rPr>
          <w:rFonts w:ascii="Arial" w:hAnsi="Arial" w:cs="Arial"/>
          <w:i/>
          <w:iCs/>
          <w:sz w:val="22"/>
          <w:szCs w:val="22"/>
          <w:lang w:val="en-US"/>
        </w:rPr>
        <w:t xml:space="preserve">Boost Sports Africa (Pty) Ltd v The South Africa Breweries (Pty) Ltd </w:t>
      </w:r>
      <w:r w:rsidRPr="002A263D">
        <w:rPr>
          <w:rFonts w:ascii="Arial" w:hAnsi="Arial" w:cs="Arial"/>
          <w:sz w:val="22"/>
          <w:szCs w:val="22"/>
          <w:lang w:val="en-US"/>
        </w:rPr>
        <w:t>(20156/2014) [2015] ZASCA 93 at para [10].</w:t>
      </w:r>
    </w:p>
  </w:footnote>
  <w:footnote w:id="5">
    <w:p w14:paraId="2757C440" w14:textId="23E786CB" w:rsidR="00BC0A9E" w:rsidRPr="002A263D" w:rsidRDefault="00BC0A9E" w:rsidP="002A263D">
      <w:pPr>
        <w:pStyle w:val="FootnoteText"/>
        <w:spacing w:line="360" w:lineRule="auto"/>
        <w:rPr>
          <w:rFonts w:ascii="Arial" w:hAnsi="Arial" w:cs="Arial"/>
          <w:sz w:val="22"/>
          <w:szCs w:val="22"/>
          <w:lang w:val="en-US"/>
        </w:rPr>
      </w:pPr>
      <w:r w:rsidRPr="002A263D">
        <w:rPr>
          <w:rStyle w:val="FootnoteReference"/>
          <w:rFonts w:ascii="Arial" w:hAnsi="Arial" w:cs="Arial"/>
          <w:sz w:val="22"/>
          <w:szCs w:val="22"/>
        </w:rPr>
        <w:footnoteRef/>
      </w:r>
      <w:r w:rsidRPr="002A263D">
        <w:rPr>
          <w:rFonts w:ascii="Arial" w:hAnsi="Arial" w:cs="Arial"/>
          <w:sz w:val="22"/>
          <w:szCs w:val="22"/>
        </w:rPr>
        <w:t xml:space="preserve"> </w:t>
      </w:r>
      <w:r w:rsidRPr="002A263D">
        <w:rPr>
          <w:rFonts w:ascii="Arial" w:hAnsi="Arial" w:cs="Arial"/>
          <w:i/>
          <w:iCs/>
          <w:sz w:val="22"/>
          <w:szCs w:val="22"/>
          <w:lang w:val="en-US"/>
        </w:rPr>
        <w:t>Henry v RE Designs CC</w:t>
      </w:r>
      <w:r w:rsidRPr="002A263D">
        <w:rPr>
          <w:rFonts w:ascii="Arial" w:hAnsi="Arial" w:cs="Arial"/>
          <w:sz w:val="22"/>
          <w:szCs w:val="22"/>
          <w:lang w:val="en-US"/>
        </w:rPr>
        <w:t xml:space="preserve"> 1998 (2) SA 502.</w:t>
      </w:r>
    </w:p>
  </w:footnote>
  <w:footnote w:id="6">
    <w:p w14:paraId="6D1099D9" w14:textId="05EBE232" w:rsidR="00BC0A9E" w:rsidRPr="002A263D" w:rsidRDefault="00BC0A9E" w:rsidP="002A263D">
      <w:pPr>
        <w:pStyle w:val="FootnoteText"/>
        <w:spacing w:line="360" w:lineRule="auto"/>
        <w:rPr>
          <w:rFonts w:ascii="Arial" w:hAnsi="Arial" w:cs="Arial"/>
          <w:sz w:val="22"/>
          <w:szCs w:val="22"/>
          <w:lang w:val="en-US"/>
        </w:rPr>
      </w:pPr>
      <w:r w:rsidRPr="002A263D">
        <w:rPr>
          <w:rStyle w:val="FootnoteReference"/>
          <w:rFonts w:ascii="Arial" w:hAnsi="Arial" w:cs="Arial"/>
          <w:sz w:val="22"/>
          <w:szCs w:val="22"/>
        </w:rPr>
        <w:footnoteRef/>
      </w:r>
      <w:r w:rsidRPr="002A263D">
        <w:rPr>
          <w:rFonts w:ascii="Arial" w:hAnsi="Arial" w:cs="Arial"/>
          <w:sz w:val="22"/>
          <w:szCs w:val="22"/>
        </w:rPr>
        <w:t xml:space="preserve"> </w:t>
      </w:r>
      <w:r w:rsidRPr="002A263D">
        <w:rPr>
          <w:rFonts w:ascii="Arial" w:hAnsi="Arial" w:cs="Arial"/>
          <w:sz w:val="22"/>
          <w:szCs w:val="22"/>
          <w:lang w:val="en-US"/>
        </w:rPr>
        <w:t>2001 (2) SA 1068 (W)</w:t>
      </w:r>
      <w:r w:rsidR="009F19F8">
        <w:rPr>
          <w:rFonts w:ascii="Arial" w:hAnsi="Arial" w:cs="Arial"/>
          <w:sz w:val="22"/>
          <w:szCs w:val="22"/>
          <w:lang w:val="en-US"/>
        </w:rPr>
        <w:t>.</w:t>
      </w:r>
    </w:p>
  </w:footnote>
  <w:footnote w:id="7">
    <w:p w14:paraId="30EB086D" w14:textId="77777777" w:rsidR="00BC0A9E" w:rsidRPr="002A263D" w:rsidRDefault="00BC0A9E" w:rsidP="002A263D">
      <w:pPr>
        <w:pStyle w:val="FootnoteText"/>
        <w:spacing w:line="360" w:lineRule="auto"/>
        <w:rPr>
          <w:rFonts w:ascii="Arial" w:hAnsi="Arial" w:cs="Arial"/>
          <w:sz w:val="22"/>
          <w:szCs w:val="22"/>
          <w:lang w:val="en-US"/>
        </w:rPr>
      </w:pPr>
      <w:r w:rsidRPr="002A263D">
        <w:rPr>
          <w:rStyle w:val="FootnoteReference"/>
          <w:rFonts w:ascii="Arial" w:hAnsi="Arial" w:cs="Arial"/>
          <w:sz w:val="22"/>
          <w:szCs w:val="22"/>
        </w:rPr>
        <w:footnoteRef/>
      </w:r>
      <w:r w:rsidRPr="002A263D">
        <w:rPr>
          <w:rFonts w:ascii="Arial" w:hAnsi="Arial" w:cs="Arial"/>
          <w:sz w:val="22"/>
          <w:szCs w:val="22"/>
        </w:rPr>
        <w:t xml:space="preserve"> 1957 (3) SA 591 (D) at para [8].</w:t>
      </w:r>
    </w:p>
  </w:footnote>
  <w:footnote w:id="8">
    <w:p w14:paraId="43AF1B55" w14:textId="77777777" w:rsidR="00BC0A9E" w:rsidRPr="002A263D" w:rsidRDefault="00BC0A9E" w:rsidP="002A263D">
      <w:pPr>
        <w:pStyle w:val="FootnoteText"/>
        <w:spacing w:line="360" w:lineRule="auto"/>
        <w:rPr>
          <w:rFonts w:ascii="Arial" w:hAnsi="Arial" w:cs="Arial"/>
          <w:sz w:val="22"/>
          <w:szCs w:val="22"/>
          <w:lang w:val="en-US"/>
        </w:rPr>
      </w:pPr>
      <w:r w:rsidRPr="002A263D">
        <w:rPr>
          <w:rStyle w:val="FootnoteReference"/>
          <w:rFonts w:ascii="Arial" w:hAnsi="Arial" w:cs="Arial"/>
          <w:sz w:val="22"/>
          <w:szCs w:val="22"/>
        </w:rPr>
        <w:footnoteRef/>
      </w:r>
      <w:r w:rsidRPr="002A263D">
        <w:rPr>
          <w:rFonts w:ascii="Arial" w:hAnsi="Arial" w:cs="Arial"/>
          <w:sz w:val="22"/>
          <w:szCs w:val="22"/>
        </w:rPr>
        <w:t xml:space="preserve"> </w:t>
      </w:r>
      <w:r w:rsidRPr="002A263D">
        <w:rPr>
          <w:rFonts w:ascii="Arial" w:hAnsi="Arial" w:cs="Arial"/>
          <w:sz w:val="22"/>
          <w:szCs w:val="22"/>
          <w:lang w:val="en-US"/>
        </w:rPr>
        <w:t>Including a belief which stems therefrom.</w:t>
      </w:r>
    </w:p>
  </w:footnote>
  <w:footnote w:id="9">
    <w:p w14:paraId="2FB86EA3" w14:textId="77777777" w:rsidR="00BC0A9E" w:rsidRPr="007825B4" w:rsidRDefault="00BC0A9E" w:rsidP="00BC0A9E">
      <w:pPr>
        <w:pStyle w:val="FootnoteText"/>
        <w:spacing w:line="360" w:lineRule="auto"/>
        <w:rPr>
          <w:rFonts w:ascii="Arial" w:hAnsi="Arial" w:cs="Arial"/>
          <w:sz w:val="22"/>
          <w:szCs w:val="22"/>
          <w:lang w:val="en-US"/>
        </w:rPr>
      </w:pPr>
      <w:r w:rsidRPr="007825B4">
        <w:rPr>
          <w:rStyle w:val="FootnoteReference"/>
          <w:rFonts w:ascii="Arial" w:hAnsi="Arial" w:cs="Arial"/>
          <w:sz w:val="22"/>
          <w:szCs w:val="22"/>
        </w:rPr>
        <w:footnoteRef/>
      </w:r>
      <w:r w:rsidRPr="007825B4">
        <w:rPr>
          <w:rFonts w:ascii="Arial" w:hAnsi="Arial" w:cs="Arial"/>
          <w:sz w:val="22"/>
          <w:szCs w:val="22"/>
        </w:rPr>
        <w:t xml:space="preserve"> </w:t>
      </w:r>
      <w:r w:rsidRPr="007825B4">
        <w:rPr>
          <w:rFonts w:ascii="Arial" w:hAnsi="Arial" w:cs="Arial"/>
          <w:i/>
          <w:iCs/>
          <w:sz w:val="22"/>
          <w:szCs w:val="22"/>
          <w:lang w:val="en-US"/>
        </w:rPr>
        <w:t>Boost Sports Africa (Pty) Ltd v The South Africa Breweries (Pty) Ltd</w:t>
      </w:r>
      <w:r w:rsidRPr="007825B4">
        <w:rPr>
          <w:rFonts w:ascii="Arial" w:hAnsi="Arial" w:cs="Arial"/>
          <w:sz w:val="22"/>
          <w:szCs w:val="22"/>
          <w:lang w:val="en-US"/>
        </w:rPr>
        <w:t xml:space="preserve"> (20156/2014) [2015] ZASCA 93 at para [10].</w:t>
      </w:r>
    </w:p>
  </w:footnote>
  <w:footnote w:id="10">
    <w:p w14:paraId="51792620" w14:textId="77777777" w:rsidR="00BC0A9E" w:rsidRPr="007825B4" w:rsidRDefault="00BC0A9E" w:rsidP="00BC0A9E">
      <w:pPr>
        <w:pStyle w:val="FootnoteText"/>
        <w:spacing w:line="360" w:lineRule="auto"/>
        <w:rPr>
          <w:rFonts w:ascii="Arial" w:hAnsi="Arial" w:cs="Arial"/>
          <w:sz w:val="22"/>
          <w:szCs w:val="22"/>
          <w:lang w:val="en-US"/>
        </w:rPr>
      </w:pPr>
      <w:r w:rsidRPr="007825B4">
        <w:rPr>
          <w:rStyle w:val="FootnoteReference"/>
          <w:rFonts w:ascii="Arial" w:hAnsi="Arial" w:cs="Arial"/>
          <w:sz w:val="22"/>
          <w:szCs w:val="22"/>
        </w:rPr>
        <w:footnoteRef/>
      </w:r>
      <w:r w:rsidRPr="007825B4">
        <w:rPr>
          <w:rFonts w:ascii="Arial" w:hAnsi="Arial" w:cs="Arial"/>
          <w:sz w:val="22"/>
          <w:szCs w:val="22"/>
        </w:rPr>
        <w:t xml:space="preserve"> </w:t>
      </w:r>
      <w:r w:rsidRPr="007825B4">
        <w:rPr>
          <w:rFonts w:ascii="Arial" w:hAnsi="Arial" w:cs="Arial"/>
          <w:i/>
          <w:iCs/>
          <w:sz w:val="22"/>
          <w:szCs w:val="22"/>
          <w:lang w:val="en-US"/>
        </w:rPr>
        <w:t>Magida v Minister of Police</w:t>
      </w:r>
      <w:r w:rsidRPr="007825B4">
        <w:rPr>
          <w:rFonts w:ascii="Arial" w:hAnsi="Arial" w:cs="Arial"/>
          <w:sz w:val="22"/>
          <w:szCs w:val="22"/>
          <w:lang w:val="en-US"/>
        </w:rPr>
        <w:t xml:space="preserve"> 1987 (1) SA 1 (A).</w:t>
      </w:r>
    </w:p>
    <w:p w14:paraId="2FB87B55" w14:textId="77777777" w:rsidR="00BC0A9E" w:rsidRPr="007825B4" w:rsidRDefault="00BC0A9E" w:rsidP="00BC0A9E">
      <w:pPr>
        <w:pStyle w:val="FootnoteText"/>
        <w:spacing w:line="360" w:lineRule="auto"/>
        <w:rPr>
          <w:rFonts w:ascii="Arial" w:hAnsi="Arial" w:cs="Arial"/>
          <w:sz w:val="22"/>
          <w:szCs w:val="22"/>
          <w:lang w:val="en-US"/>
        </w:rPr>
      </w:pPr>
      <w:r w:rsidRPr="007825B4">
        <w:rPr>
          <w:rFonts w:ascii="Arial" w:hAnsi="Arial" w:cs="Arial"/>
          <w:i/>
          <w:iCs/>
          <w:sz w:val="22"/>
          <w:szCs w:val="22"/>
        </w:rPr>
        <w:t xml:space="preserve">Giddey NO v JC Barnard and Partners </w:t>
      </w:r>
      <w:r w:rsidRPr="007825B4">
        <w:rPr>
          <w:rFonts w:ascii="Arial" w:hAnsi="Arial" w:cs="Arial"/>
          <w:sz w:val="22"/>
          <w:szCs w:val="22"/>
          <w:lang w:val="en-US"/>
        </w:rPr>
        <w:t>2007 (5) SA 525 (CC).</w:t>
      </w:r>
    </w:p>
    <w:p w14:paraId="53604052" w14:textId="77777777" w:rsidR="00BC0A9E" w:rsidRPr="007825B4" w:rsidRDefault="00BC0A9E" w:rsidP="00BC0A9E">
      <w:pPr>
        <w:shd w:val="clear" w:color="auto" w:fill="FFFFFF"/>
        <w:spacing w:after="0" w:line="360" w:lineRule="auto"/>
        <w:outlineLvl w:val="1"/>
        <w:rPr>
          <w:rFonts w:ascii="Arial" w:eastAsia="Times New Roman" w:hAnsi="Arial" w:cs="Arial"/>
          <w:color w:val="64473A"/>
          <w:lang w:eastAsia="en-ZA"/>
        </w:rPr>
      </w:pPr>
      <w:r w:rsidRPr="007825B4">
        <w:rPr>
          <w:rFonts w:ascii="Arial" w:hAnsi="Arial" w:cs="Arial"/>
          <w:i/>
          <w:iCs/>
          <w:lang w:val="en-US"/>
        </w:rPr>
        <w:t>McHugh N.O and Others v Wright</w:t>
      </w:r>
      <w:r w:rsidRPr="007825B4">
        <w:rPr>
          <w:rFonts w:ascii="Arial" w:hAnsi="Arial" w:cs="Arial"/>
          <w:lang w:val="en-US"/>
        </w:rPr>
        <w:t xml:space="preserve"> (5641/2020) [2021] ZAWCHC 205 (19 October 2021).</w:t>
      </w:r>
    </w:p>
  </w:footnote>
  <w:footnote w:id="11">
    <w:p w14:paraId="2E907ED4" w14:textId="77777777" w:rsidR="00BC0A9E" w:rsidRPr="007825B4" w:rsidRDefault="00BC0A9E" w:rsidP="00BC0A9E">
      <w:pPr>
        <w:pStyle w:val="FootnoteText"/>
        <w:spacing w:line="360" w:lineRule="auto"/>
        <w:rPr>
          <w:rFonts w:ascii="Arial" w:hAnsi="Arial" w:cs="Arial"/>
          <w:sz w:val="22"/>
          <w:szCs w:val="22"/>
          <w:lang w:val="en-US"/>
        </w:rPr>
      </w:pPr>
      <w:r w:rsidRPr="007825B4">
        <w:rPr>
          <w:rStyle w:val="FootnoteReference"/>
          <w:rFonts w:ascii="Arial" w:hAnsi="Arial" w:cs="Arial"/>
          <w:sz w:val="22"/>
          <w:szCs w:val="22"/>
        </w:rPr>
        <w:footnoteRef/>
      </w:r>
      <w:r w:rsidRPr="007825B4">
        <w:rPr>
          <w:rFonts w:ascii="Arial" w:hAnsi="Arial" w:cs="Arial"/>
          <w:sz w:val="22"/>
          <w:szCs w:val="22"/>
        </w:rPr>
        <w:t xml:space="preserve"> 1998 (3) SA 1036 (SCA) a</w:t>
      </w:r>
      <w:r w:rsidRPr="007825B4">
        <w:rPr>
          <w:rFonts w:ascii="Arial" w:hAnsi="Arial" w:cs="Arial"/>
          <w:sz w:val="22"/>
          <w:szCs w:val="22"/>
          <w:lang w:val="en-US"/>
        </w:rPr>
        <w:t>t 1045G-1046C.</w:t>
      </w:r>
    </w:p>
  </w:footnote>
  <w:footnote w:id="12">
    <w:p w14:paraId="785E5A36" w14:textId="77777777" w:rsidR="00BC0A9E" w:rsidRPr="00D44E99" w:rsidRDefault="00BC0A9E" w:rsidP="00BC0A9E">
      <w:pPr>
        <w:pStyle w:val="FootnoteText"/>
        <w:spacing w:line="360" w:lineRule="auto"/>
        <w:rPr>
          <w:rFonts w:ascii="Arial" w:hAnsi="Arial" w:cs="Arial"/>
          <w:sz w:val="22"/>
          <w:szCs w:val="22"/>
          <w:lang w:val="en-US"/>
        </w:rPr>
      </w:pPr>
      <w:r w:rsidRPr="00D44E99">
        <w:rPr>
          <w:rStyle w:val="FootnoteReference"/>
          <w:rFonts w:ascii="Arial" w:hAnsi="Arial" w:cs="Arial"/>
          <w:sz w:val="22"/>
          <w:szCs w:val="22"/>
        </w:rPr>
        <w:footnoteRef/>
      </w:r>
      <w:r w:rsidRPr="00D44E99">
        <w:rPr>
          <w:rFonts w:ascii="Arial" w:hAnsi="Arial" w:cs="Arial"/>
          <w:sz w:val="22"/>
          <w:szCs w:val="22"/>
        </w:rPr>
        <w:t xml:space="preserve"> </w:t>
      </w:r>
      <w:r w:rsidRPr="00D44E99">
        <w:rPr>
          <w:rFonts w:ascii="Arial" w:hAnsi="Arial" w:cs="Arial"/>
          <w:sz w:val="22"/>
          <w:szCs w:val="22"/>
          <w:lang w:val="en-US"/>
        </w:rPr>
        <w:t>[1995] 3 All ER 534 (CA) at 540a-b.</w:t>
      </w:r>
    </w:p>
  </w:footnote>
  <w:footnote w:id="13">
    <w:p w14:paraId="56B7C998" w14:textId="77777777" w:rsidR="00BC0A9E" w:rsidRPr="00D44E99" w:rsidRDefault="00BC0A9E" w:rsidP="00BC0A9E">
      <w:pPr>
        <w:pStyle w:val="FootnoteText"/>
        <w:spacing w:line="360" w:lineRule="auto"/>
        <w:rPr>
          <w:rFonts w:ascii="Arial" w:hAnsi="Arial" w:cs="Arial"/>
          <w:sz w:val="22"/>
          <w:szCs w:val="22"/>
          <w:lang w:val="en-US"/>
        </w:rPr>
      </w:pPr>
      <w:r w:rsidRPr="00D44E99">
        <w:rPr>
          <w:rStyle w:val="FootnoteReference"/>
          <w:rFonts w:ascii="Arial" w:hAnsi="Arial" w:cs="Arial"/>
          <w:sz w:val="22"/>
          <w:szCs w:val="22"/>
        </w:rPr>
        <w:footnoteRef/>
      </w:r>
      <w:r w:rsidRPr="00D44E99">
        <w:rPr>
          <w:rFonts w:ascii="Arial" w:hAnsi="Arial" w:cs="Arial"/>
          <w:sz w:val="22"/>
          <w:szCs w:val="22"/>
        </w:rPr>
        <w:t xml:space="preserve"> </w:t>
      </w:r>
      <w:r w:rsidRPr="00D44E99">
        <w:rPr>
          <w:rFonts w:ascii="Arial" w:hAnsi="Arial" w:cs="Arial"/>
          <w:sz w:val="22"/>
          <w:szCs w:val="22"/>
          <w:lang w:val="en-US"/>
        </w:rPr>
        <w:t>2007 (5) SA 525 (CC) at paras 20-22.</w:t>
      </w:r>
    </w:p>
  </w:footnote>
  <w:footnote w:id="14">
    <w:p w14:paraId="63BDAF59" w14:textId="45513E3A" w:rsidR="00BC0A9E" w:rsidRPr="008157BF" w:rsidRDefault="00BC0A9E" w:rsidP="008157BF">
      <w:pPr>
        <w:pStyle w:val="FootnoteText"/>
        <w:spacing w:line="360" w:lineRule="auto"/>
        <w:rPr>
          <w:rFonts w:ascii="Arial" w:hAnsi="Arial" w:cs="Arial"/>
          <w:sz w:val="22"/>
          <w:szCs w:val="22"/>
          <w:lang w:val="en-US"/>
        </w:rPr>
      </w:pPr>
      <w:r w:rsidRPr="008157BF">
        <w:rPr>
          <w:rStyle w:val="FootnoteReference"/>
          <w:rFonts w:ascii="Arial" w:hAnsi="Arial" w:cs="Arial"/>
          <w:sz w:val="22"/>
          <w:szCs w:val="22"/>
        </w:rPr>
        <w:footnoteRef/>
      </w:r>
      <w:r w:rsidRPr="008157BF">
        <w:rPr>
          <w:rFonts w:ascii="Arial" w:hAnsi="Arial" w:cs="Arial"/>
          <w:sz w:val="22"/>
          <w:szCs w:val="22"/>
        </w:rPr>
        <w:t xml:space="preserve"> (932/2019) [2021] ZASCA 10 (29 January 2021)</w:t>
      </w:r>
      <w:r w:rsidR="009F19F8">
        <w:rPr>
          <w:rFonts w:ascii="Arial" w:hAnsi="Arial" w:cs="Arial"/>
          <w:sz w:val="22"/>
          <w:szCs w:val="22"/>
        </w:rPr>
        <w:t>.</w:t>
      </w:r>
    </w:p>
  </w:footnote>
  <w:footnote w:id="15">
    <w:p w14:paraId="7EFCCF15" w14:textId="77777777" w:rsidR="00BC0A9E" w:rsidRPr="008157BF" w:rsidRDefault="00BC0A9E" w:rsidP="008157BF">
      <w:pPr>
        <w:pStyle w:val="FootnoteText"/>
        <w:spacing w:line="360" w:lineRule="auto"/>
        <w:rPr>
          <w:rFonts w:ascii="Arial" w:hAnsi="Arial" w:cs="Arial"/>
          <w:sz w:val="22"/>
          <w:szCs w:val="22"/>
          <w:lang w:val="en-US"/>
        </w:rPr>
      </w:pPr>
      <w:r w:rsidRPr="008157BF">
        <w:rPr>
          <w:rStyle w:val="FootnoteReference"/>
          <w:rFonts w:ascii="Arial" w:hAnsi="Arial" w:cs="Arial"/>
          <w:sz w:val="22"/>
          <w:szCs w:val="22"/>
        </w:rPr>
        <w:footnoteRef/>
      </w:r>
      <w:r w:rsidRPr="008157BF">
        <w:rPr>
          <w:rFonts w:ascii="Arial" w:hAnsi="Arial" w:cs="Arial"/>
          <w:sz w:val="22"/>
          <w:szCs w:val="22"/>
        </w:rPr>
        <w:t xml:space="preserve"> </w:t>
      </w:r>
      <w:r w:rsidRPr="008157BF">
        <w:rPr>
          <w:rFonts w:ascii="Arial" w:hAnsi="Arial" w:cs="Arial"/>
          <w:i/>
          <w:iCs/>
          <w:sz w:val="22"/>
          <w:szCs w:val="22"/>
        </w:rPr>
        <w:t xml:space="preserve">Fusion Properties 233 CC v Stellenbosch Municipality </w:t>
      </w:r>
      <w:r w:rsidRPr="008157BF">
        <w:rPr>
          <w:rFonts w:ascii="Arial" w:hAnsi="Arial" w:cs="Arial"/>
          <w:sz w:val="22"/>
          <w:szCs w:val="22"/>
        </w:rPr>
        <w:t>(932/2019) [2021] ZASCA 10 (29 January 2021) at para [36].</w:t>
      </w:r>
    </w:p>
  </w:footnote>
  <w:footnote w:id="16">
    <w:p w14:paraId="43A14C18" w14:textId="618B9311" w:rsidR="00BC0A9E" w:rsidRPr="008157BF" w:rsidRDefault="00BC0A9E" w:rsidP="008157BF">
      <w:pPr>
        <w:pStyle w:val="FootnoteText"/>
        <w:spacing w:line="360" w:lineRule="auto"/>
        <w:rPr>
          <w:rFonts w:ascii="Arial" w:hAnsi="Arial" w:cs="Arial"/>
          <w:sz w:val="22"/>
          <w:szCs w:val="22"/>
          <w:lang w:val="en-US"/>
        </w:rPr>
      </w:pPr>
      <w:r w:rsidRPr="008157BF">
        <w:rPr>
          <w:rStyle w:val="FootnoteReference"/>
          <w:rFonts w:ascii="Arial" w:hAnsi="Arial" w:cs="Arial"/>
          <w:sz w:val="22"/>
          <w:szCs w:val="22"/>
        </w:rPr>
        <w:footnoteRef/>
      </w:r>
      <w:r w:rsidRPr="008157BF">
        <w:rPr>
          <w:rFonts w:ascii="Arial" w:hAnsi="Arial" w:cs="Arial"/>
          <w:sz w:val="22"/>
          <w:szCs w:val="22"/>
        </w:rPr>
        <w:t xml:space="preserve"> </w:t>
      </w:r>
      <w:r w:rsidRPr="00C25F80">
        <w:rPr>
          <w:rFonts w:ascii="Arial" w:hAnsi="Arial" w:cs="Arial"/>
          <w:i/>
          <w:iCs/>
          <w:sz w:val="22"/>
          <w:szCs w:val="22"/>
        </w:rPr>
        <w:t>Zietsman v Electronic Media Network Ltd and Others</w:t>
      </w:r>
      <w:r w:rsidRPr="008157BF">
        <w:rPr>
          <w:rFonts w:ascii="Arial" w:hAnsi="Arial" w:cs="Arial"/>
          <w:sz w:val="22"/>
          <w:szCs w:val="22"/>
        </w:rPr>
        <w:t> </w:t>
      </w:r>
      <w:hyperlink r:id="rId3" w:tooltip="View Case" w:history="1">
        <w:r w:rsidRPr="008157BF">
          <w:rPr>
            <w:rFonts w:ascii="Arial" w:hAnsi="Arial" w:cs="Arial"/>
            <w:sz w:val="22"/>
            <w:szCs w:val="22"/>
          </w:rPr>
          <w:t>[2008] ZASCA 4</w:t>
        </w:r>
      </w:hyperlink>
      <w:r w:rsidRPr="008157BF">
        <w:rPr>
          <w:rFonts w:ascii="Arial" w:hAnsi="Arial" w:cs="Arial"/>
          <w:sz w:val="22"/>
          <w:szCs w:val="22"/>
        </w:rPr>
        <w:t>; </w:t>
      </w:r>
      <w:hyperlink r:id="rId4" w:tooltip="View LawCiteRecord" w:history="1">
        <w:r w:rsidRPr="008157BF">
          <w:rPr>
            <w:rFonts w:ascii="Arial" w:hAnsi="Arial" w:cs="Arial"/>
            <w:sz w:val="22"/>
            <w:szCs w:val="22"/>
          </w:rPr>
          <w:t>2008 (4) SA 1</w:t>
        </w:r>
      </w:hyperlink>
      <w:r w:rsidRPr="008157BF">
        <w:rPr>
          <w:rFonts w:ascii="Arial" w:hAnsi="Arial" w:cs="Arial"/>
          <w:sz w:val="22"/>
          <w:szCs w:val="22"/>
        </w:rPr>
        <w:t> (SCA)</w:t>
      </w:r>
      <w:r w:rsidR="008157BF">
        <w:rPr>
          <w:rFonts w:ascii="Arial" w:hAnsi="Arial" w:cs="Arial"/>
          <w:sz w:val="22"/>
          <w:szCs w:val="22"/>
        </w:rPr>
        <w:t>.</w:t>
      </w:r>
    </w:p>
  </w:footnote>
  <w:footnote w:id="17">
    <w:p w14:paraId="1AB56B47" w14:textId="32F43ACA" w:rsidR="008D14E8" w:rsidRPr="00FA20C5" w:rsidRDefault="008D14E8" w:rsidP="00FA20C5">
      <w:pPr>
        <w:pStyle w:val="FootnoteText"/>
        <w:spacing w:line="360" w:lineRule="auto"/>
        <w:rPr>
          <w:rFonts w:ascii="Arial" w:hAnsi="Arial" w:cs="Arial"/>
          <w:sz w:val="22"/>
          <w:szCs w:val="22"/>
          <w:lang w:val="en-US"/>
        </w:rPr>
      </w:pPr>
      <w:r w:rsidRPr="00FA20C5">
        <w:rPr>
          <w:rStyle w:val="FootnoteReference"/>
          <w:rFonts w:ascii="Arial" w:hAnsi="Arial" w:cs="Arial"/>
          <w:sz w:val="22"/>
          <w:szCs w:val="22"/>
        </w:rPr>
        <w:footnoteRef/>
      </w:r>
      <w:r w:rsidRPr="00FA20C5">
        <w:rPr>
          <w:rFonts w:ascii="Arial" w:hAnsi="Arial" w:cs="Arial"/>
          <w:sz w:val="22"/>
          <w:szCs w:val="22"/>
        </w:rPr>
        <w:t xml:space="preserve"> </w:t>
      </w:r>
      <w:r w:rsidRPr="00FA20C5">
        <w:rPr>
          <w:rFonts w:ascii="Arial" w:hAnsi="Arial" w:cs="Arial"/>
          <w:sz w:val="22"/>
          <w:szCs w:val="22"/>
          <w:lang w:val="en-US"/>
        </w:rPr>
        <w:t>As and where required.</w:t>
      </w:r>
    </w:p>
  </w:footnote>
  <w:footnote w:id="18">
    <w:p w14:paraId="10E370A6" w14:textId="77777777" w:rsidR="008D14E8" w:rsidRPr="00FA20C5" w:rsidRDefault="008D14E8" w:rsidP="00FA20C5">
      <w:pPr>
        <w:pStyle w:val="FootnoteText"/>
        <w:spacing w:line="360" w:lineRule="auto"/>
        <w:rPr>
          <w:rFonts w:ascii="Arial" w:hAnsi="Arial" w:cs="Arial"/>
          <w:sz w:val="22"/>
          <w:szCs w:val="22"/>
          <w:lang w:val="en-US"/>
        </w:rPr>
      </w:pPr>
      <w:r w:rsidRPr="00FA20C5">
        <w:rPr>
          <w:rStyle w:val="FootnoteReference"/>
          <w:rFonts w:ascii="Arial" w:hAnsi="Arial" w:cs="Arial"/>
          <w:sz w:val="22"/>
          <w:szCs w:val="22"/>
        </w:rPr>
        <w:footnoteRef/>
      </w:r>
      <w:r w:rsidRPr="00FA20C5">
        <w:rPr>
          <w:rFonts w:ascii="Arial" w:hAnsi="Arial" w:cs="Arial"/>
          <w:sz w:val="22"/>
          <w:szCs w:val="22"/>
        </w:rPr>
        <w:t xml:space="preserve"> </w:t>
      </w:r>
      <w:r w:rsidRPr="00FA20C5">
        <w:rPr>
          <w:rFonts w:ascii="Arial" w:hAnsi="Arial" w:cs="Arial"/>
          <w:sz w:val="22"/>
          <w:szCs w:val="22"/>
          <w:lang w:val="en-US"/>
        </w:rPr>
        <w:t>As and where required.</w:t>
      </w:r>
    </w:p>
  </w:footnote>
  <w:footnote w:id="19">
    <w:p w14:paraId="46837EC2" w14:textId="5392B7DC" w:rsidR="00665AEF" w:rsidRPr="00AC5605" w:rsidRDefault="00665AEF" w:rsidP="00AC5605">
      <w:pPr>
        <w:pStyle w:val="FootnoteText"/>
        <w:spacing w:line="360" w:lineRule="auto"/>
        <w:rPr>
          <w:rFonts w:ascii="Arial" w:hAnsi="Arial" w:cs="Arial"/>
          <w:sz w:val="22"/>
          <w:szCs w:val="22"/>
          <w:lang w:val="en-US"/>
        </w:rPr>
      </w:pPr>
      <w:r w:rsidRPr="00AC5605">
        <w:rPr>
          <w:rStyle w:val="FootnoteReference"/>
          <w:rFonts w:ascii="Arial" w:hAnsi="Arial" w:cs="Arial"/>
          <w:sz w:val="22"/>
          <w:szCs w:val="22"/>
        </w:rPr>
        <w:footnoteRef/>
      </w:r>
      <w:r w:rsidRPr="00AC5605">
        <w:rPr>
          <w:rFonts w:ascii="Arial" w:hAnsi="Arial" w:cs="Arial"/>
          <w:sz w:val="22"/>
          <w:szCs w:val="22"/>
        </w:rPr>
        <w:t xml:space="preserve"> </w:t>
      </w:r>
      <w:r w:rsidRPr="00AC5605">
        <w:rPr>
          <w:rFonts w:ascii="Arial" w:hAnsi="Arial" w:cs="Arial"/>
          <w:sz w:val="22"/>
          <w:szCs w:val="22"/>
          <w:lang w:val="en-US"/>
        </w:rPr>
        <w:t>1998 (2) SA 502 (C).</w:t>
      </w:r>
    </w:p>
  </w:footnote>
  <w:footnote w:id="20">
    <w:p w14:paraId="52F1BF85" w14:textId="565461E6" w:rsidR="00BB1F6F" w:rsidRPr="00AC5605" w:rsidRDefault="00BB1F6F" w:rsidP="00AC5605">
      <w:pPr>
        <w:pStyle w:val="FootnoteText"/>
        <w:spacing w:line="360" w:lineRule="auto"/>
        <w:rPr>
          <w:rFonts w:ascii="Arial" w:hAnsi="Arial" w:cs="Arial"/>
          <w:sz w:val="22"/>
          <w:szCs w:val="22"/>
          <w:lang w:val="en-US"/>
        </w:rPr>
      </w:pPr>
      <w:r w:rsidRPr="00AC5605">
        <w:rPr>
          <w:rStyle w:val="FootnoteReference"/>
          <w:rFonts w:ascii="Arial" w:hAnsi="Arial" w:cs="Arial"/>
          <w:sz w:val="22"/>
          <w:szCs w:val="22"/>
        </w:rPr>
        <w:footnoteRef/>
      </w:r>
      <w:r w:rsidRPr="00AC5605">
        <w:rPr>
          <w:rFonts w:ascii="Arial" w:hAnsi="Arial" w:cs="Arial"/>
          <w:sz w:val="22"/>
          <w:szCs w:val="22"/>
        </w:rPr>
        <w:t xml:space="preserve"> </w:t>
      </w:r>
      <w:r w:rsidRPr="00AC5605">
        <w:rPr>
          <w:rFonts w:ascii="Arial" w:hAnsi="Arial" w:cs="Arial"/>
          <w:sz w:val="22"/>
          <w:szCs w:val="22"/>
          <w:lang w:val="en-US"/>
        </w:rPr>
        <w:t>1957 (1) SA 689 (T)</w:t>
      </w:r>
    </w:p>
  </w:footnote>
  <w:footnote w:id="21">
    <w:p w14:paraId="7D23DCAA" w14:textId="678E3191" w:rsidR="00BB1F6F" w:rsidRPr="00AC5605" w:rsidRDefault="00BB1F6F" w:rsidP="00AC5605">
      <w:pPr>
        <w:pStyle w:val="FootnoteText"/>
        <w:spacing w:line="360" w:lineRule="auto"/>
        <w:rPr>
          <w:rFonts w:ascii="Arial" w:hAnsi="Arial" w:cs="Arial"/>
          <w:sz w:val="22"/>
          <w:szCs w:val="22"/>
          <w:lang w:val="en-US"/>
        </w:rPr>
      </w:pPr>
      <w:r w:rsidRPr="00AC5605">
        <w:rPr>
          <w:rStyle w:val="FootnoteReference"/>
          <w:rFonts w:ascii="Arial" w:hAnsi="Arial" w:cs="Arial"/>
          <w:sz w:val="22"/>
          <w:szCs w:val="22"/>
        </w:rPr>
        <w:footnoteRef/>
      </w:r>
      <w:r w:rsidRPr="00AC5605">
        <w:rPr>
          <w:rFonts w:ascii="Arial" w:hAnsi="Arial" w:cs="Arial"/>
          <w:sz w:val="22"/>
          <w:szCs w:val="22"/>
        </w:rPr>
        <w:t xml:space="preserve"> </w:t>
      </w:r>
      <w:r w:rsidRPr="00AC5605">
        <w:rPr>
          <w:rFonts w:ascii="Arial" w:hAnsi="Arial" w:cs="Arial"/>
          <w:sz w:val="22"/>
          <w:szCs w:val="22"/>
          <w:lang w:val="en-US"/>
        </w:rPr>
        <w:t>[1990] 3 All SA 452 (C).</w:t>
      </w:r>
    </w:p>
  </w:footnote>
  <w:footnote w:id="22">
    <w:p w14:paraId="336AF71A" w14:textId="4B88981F" w:rsidR="00ED326F" w:rsidRPr="00AC5605" w:rsidRDefault="00ED326F" w:rsidP="00AC5605">
      <w:pPr>
        <w:pStyle w:val="FootnoteText"/>
        <w:spacing w:line="360" w:lineRule="auto"/>
        <w:rPr>
          <w:rFonts w:ascii="Arial" w:hAnsi="Arial" w:cs="Arial"/>
          <w:sz w:val="22"/>
          <w:szCs w:val="22"/>
          <w:lang w:val="en-US"/>
        </w:rPr>
      </w:pPr>
      <w:r w:rsidRPr="00AC5605">
        <w:rPr>
          <w:rStyle w:val="FootnoteReference"/>
          <w:rFonts w:ascii="Arial" w:hAnsi="Arial" w:cs="Arial"/>
          <w:sz w:val="22"/>
          <w:szCs w:val="22"/>
        </w:rPr>
        <w:footnoteRef/>
      </w:r>
      <w:r w:rsidRPr="00AC5605">
        <w:rPr>
          <w:rFonts w:ascii="Arial" w:hAnsi="Arial" w:cs="Arial"/>
          <w:sz w:val="22"/>
          <w:szCs w:val="22"/>
        </w:rPr>
        <w:t xml:space="preserve"> </w:t>
      </w:r>
      <w:r w:rsidRPr="00AC5605">
        <w:rPr>
          <w:rFonts w:ascii="Arial" w:hAnsi="Arial" w:cs="Arial"/>
          <w:i/>
          <w:iCs/>
          <w:sz w:val="22"/>
          <w:szCs w:val="22"/>
        </w:rPr>
        <w:t>Vumba Intertrade CC v Geometric Intertrade CC (supra).</w:t>
      </w:r>
    </w:p>
  </w:footnote>
  <w:footnote w:id="23">
    <w:p w14:paraId="09F07542" w14:textId="1088B1C6" w:rsidR="00523D66" w:rsidRPr="00523D66" w:rsidRDefault="00523D66" w:rsidP="00523D66">
      <w:pPr>
        <w:pStyle w:val="FootnoteText"/>
        <w:spacing w:line="360" w:lineRule="auto"/>
        <w:jc w:val="both"/>
        <w:rPr>
          <w:rFonts w:ascii="Arial" w:hAnsi="Arial" w:cs="Arial"/>
          <w:sz w:val="22"/>
          <w:szCs w:val="22"/>
          <w:lang w:val="en-US"/>
        </w:rPr>
      </w:pPr>
      <w:r w:rsidRPr="00523D66">
        <w:rPr>
          <w:rStyle w:val="FootnoteReference"/>
          <w:rFonts w:ascii="Arial" w:hAnsi="Arial" w:cs="Arial"/>
          <w:sz w:val="22"/>
          <w:szCs w:val="22"/>
        </w:rPr>
        <w:footnoteRef/>
      </w:r>
      <w:r w:rsidRPr="00523D66">
        <w:rPr>
          <w:rFonts w:ascii="Arial" w:hAnsi="Arial" w:cs="Arial"/>
          <w:sz w:val="22"/>
          <w:szCs w:val="22"/>
        </w:rPr>
        <w:t xml:space="preserve"> Whilst the application, on the papers before court, correctly references section 8 of the Close Corporations Act 69 of 1984; an incongruence between the legal principals applicable to applications for security for costs against close corporations, on the one hand, and those relevant to proceedings against natural persons and companies, on the other, arose on the heads of argument filed on behalf of both parties.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696BD5DE" w14:textId="4928EB31" w:rsidR="008439C6" w:rsidRDefault="0067676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127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127F">
          <w:rPr>
            <w:b/>
            <w:bCs/>
            <w:noProof/>
          </w:rPr>
          <w:t>20</w:t>
        </w:r>
        <w:r>
          <w:rPr>
            <w:b/>
            <w:bCs/>
            <w:sz w:val="24"/>
            <w:szCs w:val="24"/>
          </w:rPr>
          <w:fldChar w:fldCharType="end"/>
        </w:r>
      </w:p>
    </w:sdtContent>
  </w:sdt>
  <w:p w14:paraId="68F897B0" w14:textId="77777777" w:rsidR="008439C6" w:rsidRDefault="008439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74B6B"/>
    <w:multiLevelType w:val="multilevel"/>
    <w:tmpl w:val="1138F25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285445F6"/>
    <w:multiLevelType w:val="hybridMultilevel"/>
    <w:tmpl w:val="2D6AA518"/>
    <w:lvl w:ilvl="0" w:tplc="FB882CF4">
      <w:start w:val="1"/>
      <w:numFmt w:val="decimal"/>
      <w:lvlText w:val="%1."/>
      <w:lvlJc w:val="left"/>
      <w:pPr>
        <w:ind w:left="1309" w:hanging="600"/>
      </w:pPr>
      <w:rPr>
        <w:rFonts w:ascii="Arial" w:hAnsi="Arial" w:cs="Arial" w:hint="default"/>
        <w:sz w:val="24"/>
        <w:szCs w:val="24"/>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66D1F48"/>
    <w:multiLevelType w:val="hybridMultilevel"/>
    <w:tmpl w:val="482C4C04"/>
    <w:lvl w:ilvl="0" w:tplc="A6AA47E4">
      <w:start w:val="1"/>
      <w:numFmt w:val="decimal"/>
      <w:lvlText w:val="%1."/>
      <w:lvlJc w:val="left"/>
      <w:pPr>
        <w:ind w:left="1080" w:hanging="360"/>
      </w:pPr>
      <w:rPr>
        <w:rFonts w:hint="default"/>
        <w:i/>
        <w:iCs/>
      </w:rPr>
    </w:lvl>
    <w:lvl w:ilvl="1" w:tplc="C34CB704">
      <w:start w:val="1"/>
      <w:numFmt w:val="lowerLetter"/>
      <w:lvlText w:val="%2."/>
      <w:lvlJc w:val="left"/>
      <w:pPr>
        <w:ind w:left="1800" w:hanging="360"/>
      </w:pPr>
      <w:rPr>
        <w:b w:val="0"/>
        <w:bCs w:val="0"/>
        <w:i/>
        <w:iCs/>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452300D4"/>
    <w:multiLevelType w:val="hybridMultilevel"/>
    <w:tmpl w:val="6A4C6986"/>
    <w:lvl w:ilvl="0" w:tplc="F094FCD0">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601845E6"/>
    <w:multiLevelType w:val="multilevel"/>
    <w:tmpl w:val="734C9DF0"/>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6" w15:restartNumberingAfterBreak="0">
    <w:nsid w:val="7CAD4AFD"/>
    <w:multiLevelType w:val="multilevel"/>
    <w:tmpl w:val="087CDFEE"/>
    <w:lvl w:ilvl="0">
      <w:start w:val="7"/>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C8"/>
    <w:rsid w:val="0000084D"/>
    <w:rsid w:val="00013050"/>
    <w:rsid w:val="000407C7"/>
    <w:rsid w:val="00050BE2"/>
    <w:rsid w:val="00060B71"/>
    <w:rsid w:val="00064894"/>
    <w:rsid w:val="00067A9B"/>
    <w:rsid w:val="00076282"/>
    <w:rsid w:val="00076B67"/>
    <w:rsid w:val="00077557"/>
    <w:rsid w:val="00077578"/>
    <w:rsid w:val="00080923"/>
    <w:rsid w:val="000877BA"/>
    <w:rsid w:val="000904DF"/>
    <w:rsid w:val="0009138F"/>
    <w:rsid w:val="000A4B9A"/>
    <w:rsid w:val="000B15D7"/>
    <w:rsid w:val="000B65FB"/>
    <w:rsid w:val="000C167A"/>
    <w:rsid w:val="000C33E3"/>
    <w:rsid w:val="000C4DF9"/>
    <w:rsid w:val="000D46F6"/>
    <w:rsid w:val="000D5446"/>
    <w:rsid w:val="000E7D5F"/>
    <w:rsid w:val="00101E5E"/>
    <w:rsid w:val="0010520A"/>
    <w:rsid w:val="001169B9"/>
    <w:rsid w:val="00120F71"/>
    <w:rsid w:val="001323F3"/>
    <w:rsid w:val="0014213A"/>
    <w:rsid w:val="00145F0A"/>
    <w:rsid w:val="00154734"/>
    <w:rsid w:val="00162F25"/>
    <w:rsid w:val="001714C6"/>
    <w:rsid w:val="00181581"/>
    <w:rsid w:val="00192623"/>
    <w:rsid w:val="0019726D"/>
    <w:rsid w:val="001C608A"/>
    <w:rsid w:val="001C6DB3"/>
    <w:rsid w:val="001D1B49"/>
    <w:rsid w:val="002378F7"/>
    <w:rsid w:val="00247B43"/>
    <w:rsid w:val="00255AD6"/>
    <w:rsid w:val="00257660"/>
    <w:rsid w:val="00261201"/>
    <w:rsid w:val="0027107E"/>
    <w:rsid w:val="00280365"/>
    <w:rsid w:val="00292125"/>
    <w:rsid w:val="002A263D"/>
    <w:rsid w:val="002B1EBD"/>
    <w:rsid w:val="002B2182"/>
    <w:rsid w:val="002D2665"/>
    <w:rsid w:val="002E0EFC"/>
    <w:rsid w:val="002E78B7"/>
    <w:rsid w:val="002F141E"/>
    <w:rsid w:val="002F6208"/>
    <w:rsid w:val="00305A47"/>
    <w:rsid w:val="0031127F"/>
    <w:rsid w:val="0031307E"/>
    <w:rsid w:val="003270D2"/>
    <w:rsid w:val="00333163"/>
    <w:rsid w:val="00340922"/>
    <w:rsid w:val="00352FA8"/>
    <w:rsid w:val="00366599"/>
    <w:rsid w:val="0037269D"/>
    <w:rsid w:val="00372D8E"/>
    <w:rsid w:val="00376323"/>
    <w:rsid w:val="0038238D"/>
    <w:rsid w:val="0038700C"/>
    <w:rsid w:val="003A1996"/>
    <w:rsid w:val="003A49AF"/>
    <w:rsid w:val="003B3713"/>
    <w:rsid w:val="003B56A5"/>
    <w:rsid w:val="003C5E09"/>
    <w:rsid w:val="003C660B"/>
    <w:rsid w:val="003D621A"/>
    <w:rsid w:val="003F0A06"/>
    <w:rsid w:val="003F519D"/>
    <w:rsid w:val="004009D4"/>
    <w:rsid w:val="00414039"/>
    <w:rsid w:val="004277AB"/>
    <w:rsid w:val="00431500"/>
    <w:rsid w:val="0044708F"/>
    <w:rsid w:val="00450B0C"/>
    <w:rsid w:val="0045422D"/>
    <w:rsid w:val="00486348"/>
    <w:rsid w:val="00492CB8"/>
    <w:rsid w:val="004B07C5"/>
    <w:rsid w:val="004B377F"/>
    <w:rsid w:val="004B3D22"/>
    <w:rsid w:val="004C6ED5"/>
    <w:rsid w:val="004C7A99"/>
    <w:rsid w:val="004E2E95"/>
    <w:rsid w:val="004F002C"/>
    <w:rsid w:val="004F07D4"/>
    <w:rsid w:val="00502704"/>
    <w:rsid w:val="00507C97"/>
    <w:rsid w:val="00513045"/>
    <w:rsid w:val="005148A3"/>
    <w:rsid w:val="00523D66"/>
    <w:rsid w:val="00525774"/>
    <w:rsid w:val="00530A15"/>
    <w:rsid w:val="00530FF6"/>
    <w:rsid w:val="0054060E"/>
    <w:rsid w:val="005422D4"/>
    <w:rsid w:val="00543023"/>
    <w:rsid w:val="005460B1"/>
    <w:rsid w:val="005B4AB3"/>
    <w:rsid w:val="005C7468"/>
    <w:rsid w:val="005D1532"/>
    <w:rsid w:val="005D5CB5"/>
    <w:rsid w:val="005E27F1"/>
    <w:rsid w:val="005F7136"/>
    <w:rsid w:val="00602B85"/>
    <w:rsid w:val="00603049"/>
    <w:rsid w:val="00612EAC"/>
    <w:rsid w:val="00617F5F"/>
    <w:rsid w:val="00620ECA"/>
    <w:rsid w:val="0062662C"/>
    <w:rsid w:val="00651A71"/>
    <w:rsid w:val="00665AEF"/>
    <w:rsid w:val="00674AC8"/>
    <w:rsid w:val="0067676F"/>
    <w:rsid w:val="006824F2"/>
    <w:rsid w:val="0068590C"/>
    <w:rsid w:val="00687B12"/>
    <w:rsid w:val="0069751F"/>
    <w:rsid w:val="006E4FB8"/>
    <w:rsid w:val="006E71CD"/>
    <w:rsid w:val="006F21DD"/>
    <w:rsid w:val="006F4284"/>
    <w:rsid w:val="006F7E33"/>
    <w:rsid w:val="00722DE9"/>
    <w:rsid w:val="00751000"/>
    <w:rsid w:val="007622D3"/>
    <w:rsid w:val="00765F02"/>
    <w:rsid w:val="00767A29"/>
    <w:rsid w:val="00780B1D"/>
    <w:rsid w:val="007825B4"/>
    <w:rsid w:val="00783F50"/>
    <w:rsid w:val="007927BB"/>
    <w:rsid w:val="00794A04"/>
    <w:rsid w:val="0079654B"/>
    <w:rsid w:val="007A65A8"/>
    <w:rsid w:val="007B70E4"/>
    <w:rsid w:val="007D1DE5"/>
    <w:rsid w:val="007D695B"/>
    <w:rsid w:val="007E1531"/>
    <w:rsid w:val="007F23FD"/>
    <w:rsid w:val="00802D08"/>
    <w:rsid w:val="008045FD"/>
    <w:rsid w:val="00806265"/>
    <w:rsid w:val="008157BF"/>
    <w:rsid w:val="00815CB3"/>
    <w:rsid w:val="008220BF"/>
    <w:rsid w:val="008333EF"/>
    <w:rsid w:val="00841462"/>
    <w:rsid w:val="008439C6"/>
    <w:rsid w:val="00855EEF"/>
    <w:rsid w:val="00860F61"/>
    <w:rsid w:val="00863326"/>
    <w:rsid w:val="008741B2"/>
    <w:rsid w:val="008766F4"/>
    <w:rsid w:val="008773EA"/>
    <w:rsid w:val="00881E54"/>
    <w:rsid w:val="00882A63"/>
    <w:rsid w:val="00886A94"/>
    <w:rsid w:val="008B5E53"/>
    <w:rsid w:val="008C03D1"/>
    <w:rsid w:val="008C3A73"/>
    <w:rsid w:val="008D14E8"/>
    <w:rsid w:val="008D52A9"/>
    <w:rsid w:val="008D7007"/>
    <w:rsid w:val="008E0B71"/>
    <w:rsid w:val="00906DF9"/>
    <w:rsid w:val="0092272B"/>
    <w:rsid w:val="00923714"/>
    <w:rsid w:val="00950015"/>
    <w:rsid w:val="009701CF"/>
    <w:rsid w:val="0097248F"/>
    <w:rsid w:val="00974CB3"/>
    <w:rsid w:val="00974F9D"/>
    <w:rsid w:val="00992319"/>
    <w:rsid w:val="009B413D"/>
    <w:rsid w:val="009E4215"/>
    <w:rsid w:val="009F19F8"/>
    <w:rsid w:val="00A101F2"/>
    <w:rsid w:val="00A1033D"/>
    <w:rsid w:val="00A13026"/>
    <w:rsid w:val="00A131C1"/>
    <w:rsid w:val="00A13626"/>
    <w:rsid w:val="00A265E4"/>
    <w:rsid w:val="00A3002A"/>
    <w:rsid w:val="00A467E9"/>
    <w:rsid w:val="00A52CC6"/>
    <w:rsid w:val="00A57E66"/>
    <w:rsid w:val="00A708DF"/>
    <w:rsid w:val="00A958B5"/>
    <w:rsid w:val="00AB3323"/>
    <w:rsid w:val="00AC4EE3"/>
    <w:rsid w:val="00AC5605"/>
    <w:rsid w:val="00AC7112"/>
    <w:rsid w:val="00AD6358"/>
    <w:rsid w:val="00AE69DE"/>
    <w:rsid w:val="00B12276"/>
    <w:rsid w:val="00B33FD7"/>
    <w:rsid w:val="00B510B3"/>
    <w:rsid w:val="00B61309"/>
    <w:rsid w:val="00B67FA6"/>
    <w:rsid w:val="00B764E0"/>
    <w:rsid w:val="00B91EFE"/>
    <w:rsid w:val="00BA48BA"/>
    <w:rsid w:val="00BB1F6F"/>
    <w:rsid w:val="00BC0A9E"/>
    <w:rsid w:val="00BC378A"/>
    <w:rsid w:val="00BD25B2"/>
    <w:rsid w:val="00BD262F"/>
    <w:rsid w:val="00BF3DBF"/>
    <w:rsid w:val="00C145A7"/>
    <w:rsid w:val="00C15302"/>
    <w:rsid w:val="00C16BEB"/>
    <w:rsid w:val="00C2100B"/>
    <w:rsid w:val="00C24592"/>
    <w:rsid w:val="00C25F80"/>
    <w:rsid w:val="00C25FE7"/>
    <w:rsid w:val="00C30102"/>
    <w:rsid w:val="00C472DE"/>
    <w:rsid w:val="00C5660C"/>
    <w:rsid w:val="00C65063"/>
    <w:rsid w:val="00C651DE"/>
    <w:rsid w:val="00C70305"/>
    <w:rsid w:val="00C85E4F"/>
    <w:rsid w:val="00C923EE"/>
    <w:rsid w:val="00CA5786"/>
    <w:rsid w:val="00CB667F"/>
    <w:rsid w:val="00CB7EE2"/>
    <w:rsid w:val="00CC01C1"/>
    <w:rsid w:val="00CC15C8"/>
    <w:rsid w:val="00CE5F54"/>
    <w:rsid w:val="00CE6A15"/>
    <w:rsid w:val="00D10AF5"/>
    <w:rsid w:val="00D174F8"/>
    <w:rsid w:val="00D352C3"/>
    <w:rsid w:val="00D37575"/>
    <w:rsid w:val="00D44E99"/>
    <w:rsid w:val="00D53470"/>
    <w:rsid w:val="00D650AF"/>
    <w:rsid w:val="00D651DA"/>
    <w:rsid w:val="00D865D3"/>
    <w:rsid w:val="00D94F8B"/>
    <w:rsid w:val="00D956D7"/>
    <w:rsid w:val="00D96A0A"/>
    <w:rsid w:val="00DB0AAA"/>
    <w:rsid w:val="00DB37D5"/>
    <w:rsid w:val="00DC0BE9"/>
    <w:rsid w:val="00DC3B46"/>
    <w:rsid w:val="00DD1349"/>
    <w:rsid w:val="00DD4CA2"/>
    <w:rsid w:val="00DE770E"/>
    <w:rsid w:val="00DE7712"/>
    <w:rsid w:val="00DF2419"/>
    <w:rsid w:val="00E04449"/>
    <w:rsid w:val="00E20830"/>
    <w:rsid w:val="00E21A20"/>
    <w:rsid w:val="00E34515"/>
    <w:rsid w:val="00E36733"/>
    <w:rsid w:val="00E3777B"/>
    <w:rsid w:val="00E42ECD"/>
    <w:rsid w:val="00E542EB"/>
    <w:rsid w:val="00E76162"/>
    <w:rsid w:val="00E858B4"/>
    <w:rsid w:val="00EA7AB1"/>
    <w:rsid w:val="00EB5881"/>
    <w:rsid w:val="00EC1B92"/>
    <w:rsid w:val="00ED326F"/>
    <w:rsid w:val="00F01C72"/>
    <w:rsid w:val="00F022D4"/>
    <w:rsid w:val="00F04982"/>
    <w:rsid w:val="00F07D49"/>
    <w:rsid w:val="00F11111"/>
    <w:rsid w:val="00F1589D"/>
    <w:rsid w:val="00F17FFE"/>
    <w:rsid w:val="00F3164D"/>
    <w:rsid w:val="00F51165"/>
    <w:rsid w:val="00F67A47"/>
    <w:rsid w:val="00F71A03"/>
    <w:rsid w:val="00F725B1"/>
    <w:rsid w:val="00F73B53"/>
    <w:rsid w:val="00F73E97"/>
    <w:rsid w:val="00FA20C5"/>
    <w:rsid w:val="00FB5674"/>
    <w:rsid w:val="00FB74F3"/>
    <w:rsid w:val="00FC6C02"/>
    <w:rsid w:val="00FD696D"/>
    <w:rsid w:val="00FE72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B046"/>
  <w15:chartTrackingRefBased/>
  <w15:docId w15:val="{5E5A858D-F41C-45F5-8AFB-2E6DCCDB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AC8"/>
  </w:style>
  <w:style w:type="paragraph" w:styleId="Heading2">
    <w:name w:val="heading 2"/>
    <w:basedOn w:val="Normal"/>
    <w:link w:val="Heading2Char"/>
    <w:uiPriority w:val="9"/>
    <w:qFormat/>
    <w:rsid w:val="0099231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4AC8"/>
    <w:pPr>
      <w:spacing w:after="200" w:line="276" w:lineRule="auto"/>
      <w:ind w:left="720"/>
      <w:contextualSpacing/>
    </w:pPr>
    <w:rPr>
      <w:rFonts w:eastAsia="Times New Roman" w:cs="Times New Roman"/>
    </w:rPr>
  </w:style>
  <w:style w:type="paragraph" w:customStyle="1" w:styleId="GW11">
    <w:name w:val="GW1.1"/>
    <w:basedOn w:val="Normal"/>
    <w:rsid w:val="00674AC8"/>
    <w:pPr>
      <w:tabs>
        <w:tab w:val="left" w:pos="0"/>
        <w:tab w:val="left" w:pos="1152"/>
        <w:tab w:val="left" w:pos="2592"/>
        <w:tab w:val="left" w:pos="4464"/>
        <w:tab w:val="left" w:pos="6048"/>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2">
    <w:name w:val="GW1.2"/>
    <w:basedOn w:val="Normal"/>
    <w:rsid w:val="00674AC8"/>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3">
    <w:name w:val="GW1.3"/>
    <w:basedOn w:val="Normal"/>
    <w:rsid w:val="00674AC8"/>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character" w:customStyle="1" w:styleId="ListParagraphChar">
    <w:name w:val="List Paragraph Char"/>
    <w:link w:val="ListParagraph"/>
    <w:uiPriority w:val="34"/>
    <w:rsid w:val="00674AC8"/>
    <w:rPr>
      <w:rFonts w:eastAsia="Times New Roman" w:cs="Times New Roman"/>
    </w:rPr>
  </w:style>
  <w:style w:type="paragraph" w:styleId="NormalWeb">
    <w:name w:val="Normal (Web)"/>
    <w:basedOn w:val="Normal"/>
    <w:uiPriority w:val="99"/>
    <w:unhideWhenUsed/>
    <w:rsid w:val="00674AC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674AC8"/>
    <w:rPr>
      <w:color w:val="0000FF"/>
      <w:u w:val="single"/>
    </w:rPr>
  </w:style>
  <w:style w:type="paragraph" w:styleId="FootnoteText">
    <w:name w:val="footnote text"/>
    <w:basedOn w:val="Normal"/>
    <w:link w:val="FootnoteTextChar"/>
    <w:uiPriority w:val="99"/>
    <w:unhideWhenUsed/>
    <w:rsid w:val="00674AC8"/>
    <w:pPr>
      <w:spacing w:after="0" w:line="240" w:lineRule="auto"/>
    </w:pPr>
    <w:rPr>
      <w:sz w:val="20"/>
      <w:szCs w:val="20"/>
    </w:rPr>
  </w:style>
  <w:style w:type="character" w:customStyle="1" w:styleId="FootnoteTextChar">
    <w:name w:val="Footnote Text Char"/>
    <w:basedOn w:val="DefaultParagraphFont"/>
    <w:link w:val="FootnoteText"/>
    <w:uiPriority w:val="99"/>
    <w:rsid w:val="00674AC8"/>
    <w:rPr>
      <w:sz w:val="20"/>
      <w:szCs w:val="20"/>
    </w:rPr>
  </w:style>
  <w:style w:type="character" w:styleId="FootnoteReference">
    <w:name w:val="footnote reference"/>
    <w:basedOn w:val="DefaultParagraphFont"/>
    <w:uiPriority w:val="99"/>
    <w:unhideWhenUsed/>
    <w:rsid w:val="00674AC8"/>
    <w:rPr>
      <w:vertAlign w:val="superscript"/>
    </w:rPr>
  </w:style>
  <w:style w:type="paragraph" w:styleId="Header">
    <w:name w:val="header"/>
    <w:basedOn w:val="Normal"/>
    <w:link w:val="HeaderChar"/>
    <w:uiPriority w:val="99"/>
    <w:unhideWhenUsed/>
    <w:rsid w:val="00674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AC8"/>
  </w:style>
  <w:style w:type="paragraph" w:customStyle="1" w:styleId="western">
    <w:name w:val="western"/>
    <w:basedOn w:val="Normal"/>
    <w:rsid w:val="00674AC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992319"/>
    <w:rPr>
      <w:rFonts w:ascii="Times New Roman" w:eastAsia="Times New Roman" w:hAnsi="Times New Roman" w:cs="Times New Roman"/>
      <w:b/>
      <w:bCs/>
      <w:sz w:val="36"/>
      <w:szCs w:val="36"/>
      <w:lang w:eastAsia="en-ZA"/>
    </w:rPr>
  </w:style>
  <w:style w:type="paragraph" w:styleId="BalloonText">
    <w:name w:val="Balloon Text"/>
    <w:basedOn w:val="Normal"/>
    <w:link w:val="BalloonTextChar"/>
    <w:uiPriority w:val="99"/>
    <w:semiHidden/>
    <w:unhideWhenUsed/>
    <w:rsid w:val="00492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5827">
      <w:bodyDiv w:val="1"/>
      <w:marLeft w:val="0"/>
      <w:marRight w:val="0"/>
      <w:marTop w:val="0"/>
      <w:marBottom w:val="0"/>
      <w:divBdr>
        <w:top w:val="none" w:sz="0" w:space="0" w:color="auto"/>
        <w:left w:val="none" w:sz="0" w:space="0" w:color="auto"/>
        <w:bottom w:val="none" w:sz="0" w:space="0" w:color="auto"/>
        <w:right w:val="none" w:sz="0" w:space="0" w:color="auto"/>
      </w:divBdr>
    </w:div>
    <w:div w:id="1227569257">
      <w:bodyDiv w:val="1"/>
      <w:marLeft w:val="0"/>
      <w:marRight w:val="0"/>
      <w:marTop w:val="0"/>
      <w:marBottom w:val="0"/>
      <w:divBdr>
        <w:top w:val="none" w:sz="0" w:space="0" w:color="auto"/>
        <w:left w:val="none" w:sz="0" w:space="0" w:color="auto"/>
        <w:bottom w:val="none" w:sz="0" w:space="0" w:color="auto"/>
        <w:right w:val="none" w:sz="0" w:space="0" w:color="auto"/>
      </w:divBdr>
      <w:divsChild>
        <w:div w:id="200556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6095808">
      <w:bodyDiv w:val="1"/>
      <w:marLeft w:val="0"/>
      <w:marRight w:val="0"/>
      <w:marTop w:val="0"/>
      <w:marBottom w:val="0"/>
      <w:divBdr>
        <w:top w:val="none" w:sz="0" w:space="0" w:color="auto"/>
        <w:left w:val="none" w:sz="0" w:space="0" w:color="auto"/>
        <w:bottom w:val="none" w:sz="0" w:space="0" w:color="auto"/>
        <w:right w:val="none" w:sz="0" w:space="0" w:color="auto"/>
      </w:divBdr>
    </w:div>
    <w:div w:id="1653362040">
      <w:bodyDiv w:val="1"/>
      <w:marLeft w:val="0"/>
      <w:marRight w:val="0"/>
      <w:marTop w:val="0"/>
      <w:marBottom w:val="0"/>
      <w:divBdr>
        <w:top w:val="none" w:sz="0" w:space="0" w:color="auto"/>
        <w:left w:val="none" w:sz="0" w:space="0" w:color="auto"/>
        <w:bottom w:val="none" w:sz="0" w:space="0" w:color="auto"/>
        <w:right w:val="none" w:sz="0" w:space="0" w:color="auto"/>
      </w:divBdr>
      <w:divsChild>
        <w:div w:id="620722737">
          <w:marLeft w:val="0"/>
          <w:marRight w:val="0"/>
          <w:marTop w:val="0"/>
          <w:marBottom w:val="0"/>
          <w:divBdr>
            <w:top w:val="none" w:sz="0" w:space="0" w:color="auto"/>
            <w:left w:val="none" w:sz="0" w:space="0" w:color="auto"/>
            <w:bottom w:val="none" w:sz="0" w:space="0" w:color="auto"/>
            <w:right w:val="none" w:sz="0" w:space="0" w:color="auto"/>
          </w:divBdr>
          <w:divsChild>
            <w:div w:id="710765553">
              <w:marLeft w:val="0"/>
              <w:marRight w:val="0"/>
              <w:marTop w:val="0"/>
              <w:marBottom w:val="0"/>
              <w:divBdr>
                <w:top w:val="none" w:sz="0" w:space="0" w:color="auto"/>
                <w:left w:val="none" w:sz="0" w:space="0" w:color="auto"/>
                <w:bottom w:val="none" w:sz="0" w:space="0" w:color="auto"/>
                <w:right w:val="none" w:sz="0" w:space="0" w:color="auto"/>
              </w:divBdr>
            </w:div>
          </w:divsChild>
        </w:div>
        <w:div w:id="1156844090">
          <w:marLeft w:val="0"/>
          <w:marRight w:val="0"/>
          <w:marTop w:val="0"/>
          <w:marBottom w:val="0"/>
          <w:divBdr>
            <w:top w:val="none" w:sz="0" w:space="0" w:color="auto"/>
            <w:left w:val="none" w:sz="0" w:space="0" w:color="auto"/>
            <w:bottom w:val="none" w:sz="0" w:space="0" w:color="auto"/>
            <w:right w:val="none" w:sz="0" w:space="0" w:color="auto"/>
          </w:divBdr>
        </w:div>
      </w:divsChild>
    </w:div>
    <w:div w:id="1693993107">
      <w:bodyDiv w:val="1"/>
      <w:marLeft w:val="0"/>
      <w:marRight w:val="0"/>
      <w:marTop w:val="0"/>
      <w:marBottom w:val="0"/>
      <w:divBdr>
        <w:top w:val="none" w:sz="0" w:space="0" w:color="auto"/>
        <w:left w:val="none" w:sz="0" w:space="0" w:color="auto"/>
        <w:bottom w:val="none" w:sz="0" w:space="0" w:color="auto"/>
        <w:right w:val="none" w:sz="0" w:space="0" w:color="auto"/>
      </w:divBdr>
    </w:div>
    <w:div w:id="1701200105">
      <w:bodyDiv w:val="1"/>
      <w:marLeft w:val="0"/>
      <w:marRight w:val="0"/>
      <w:marTop w:val="0"/>
      <w:marBottom w:val="0"/>
      <w:divBdr>
        <w:top w:val="none" w:sz="0" w:space="0" w:color="auto"/>
        <w:left w:val="none" w:sz="0" w:space="0" w:color="auto"/>
        <w:bottom w:val="none" w:sz="0" w:space="0" w:color="auto"/>
        <w:right w:val="none" w:sz="0" w:space="0" w:color="auto"/>
      </w:divBdr>
      <w:divsChild>
        <w:div w:id="1051811689">
          <w:marLeft w:val="0"/>
          <w:marRight w:val="0"/>
          <w:marTop w:val="0"/>
          <w:marBottom w:val="0"/>
          <w:divBdr>
            <w:top w:val="none" w:sz="0" w:space="0" w:color="auto"/>
            <w:left w:val="none" w:sz="0" w:space="0" w:color="auto"/>
            <w:bottom w:val="none" w:sz="0" w:space="0" w:color="auto"/>
            <w:right w:val="none" w:sz="0" w:space="0" w:color="auto"/>
          </w:divBdr>
          <w:divsChild>
            <w:div w:id="1956710632">
              <w:marLeft w:val="0"/>
              <w:marRight w:val="0"/>
              <w:marTop w:val="0"/>
              <w:marBottom w:val="0"/>
              <w:divBdr>
                <w:top w:val="none" w:sz="0" w:space="0" w:color="auto"/>
                <w:left w:val="none" w:sz="0" w:space="0" w:color="auto"/>
                <w:bottom w:val="none" w:sz="0" w:space="0" w:color="auto"/>
                <w:right w:val="none" w:sz="0" w:space="0" w:color="auto"/>
              </w:divBdr>
            </w:div>
          </w:divsChild>
        </w:div>
        <w:div w:id="1669169087">
          <w:marLeft w:val="0"/>
          <w:marRight w:val="0"/>
          <w:marTop w:val="0"/>
          <w:marBottom w:val="0"/>
          <w:divBdr>
            <w:top w:val="none" w:sz="0" w:space="0" w:color="auto"/>
            <w:left w:val="none" w:sz="0" w:space="0" w:color="auto"/>
            <w:bottom w:val="none" w:sz="0" w:space="0" w:color="auto"/>
            <w:right w:val="none" w:sz="0" w:space="0" w:color="auto"/>
          </w:divBdr>
        </w:div>
      </w:divsChild>
    </w:div>
    <w:div w:id="2135715030">
      <w:bodyDiv w:val="1"/>
      <w:marLeft w:val="0"/>
      <w:marRight w:val="0"/>
      <w:marTop w:val="0"/>
      <w:marBottom w:val="0"/>
      <w:divBdr>
        <w:top w:val="none" w:sz="0" w:space="0" w:color="auto"/>
        <w:left w:val="none" w:sz="0" w:space="0" w:color="auto"/>
        <w:bottom w:val="none" w:sz="0" w:space="0" w:color="auto"/>
        <w:right w:val="none" w:sz="0" w:space="0" w:color="auto"/>
      </w:divBdr>
      <w:divsChild>
        <w:div w:id="1554996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za/cases/ZASCA/2008/4.html" TargetMode="External"/><Relationship Id="rId2" Type="http://schemas.openxmlformats.org/officeDocument/2006/relationships/hyperlink" Target="https://www.saflii.org/cgi-bin/LawCite?cit=%281828%29%201%20Menz%20291" TargetMode="External"/><Relationship Id="rId1" Type="http://schemas.openxmlformats.org/officeDocument/2006/relationships/hyperlink" Target="https://www.saflii.org/cgi-bin/LawCite?cit=%281828%29%201%20Menz%20291" TargetMode="External"/><Relationship Id="rId4" Type="http://schemas.openxmlformats.org/officeDocument/2006/relationships/hyperlink" Target="https://www.saflii.org/cgi-bin/LawCite?cit=2008%20%284%29%20SA%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4AE1B-AF29-4140-8BA0-418D34A5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4534</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drew</dc:creator>
  <cp:keywords/>
  <dc:description/>
  <cp:lastModifiedBy>Mary Bruce</cp:lastModifiedBy>
  <cp:revision>3</cp:revision>
  <cp:lastPrinted>2024-02-07T08:36:00Z</cp:lastPrinted>
  <dcterms:created xsi:type="dcterms:W3CDTF">2024-02-07T08:55:00Z</dcterms:created>
  <dcterms:modified xsi:type="dcterms:W3CDTF">2024-02-07T18:15:00Z</dcterms:modified>
</cp:coreProperties>
</file>