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F1" w:rsidRDefault="00142B22">
      <w:pPr>
        <w:pStyle w:val="BodyText"/>
        <w:ind w:left="3332"/>
        <w:rPr>
          <w:rFonts w:ascii="Times New Roman"/>
          <w:sz w:val="20"/>
        </w:rPr>
      </w:pPr>
      <w:r>
        <w:rPr>
          <w:rFonts w:ascii="Times New Roman"/>
          <w:noProof/>
          <w:sz w:val="20"/>
          <w:lang w:val="en-US" w:eastAsia="en-US" w:bidi="ar-SA"/>
        </w:rPr>
        <w:drawing>
          <wp:inline distT="0" distB="0" distL="0" distR="0">
            <wp:extent cx="1664150" cy="1625346"/>
            <wp:effectExtent l="0" t="0" r="0" b="0"/>
            <wp:docPr id="1" name="image1.jpeg"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4150" cy="1625346"/>
                    </a:xfrm>
                    <a:prstGeom prst="rect">
                      <a:avLst/>
                    </a:prstGeom>
                  </pic:spPr>
                </pic:pic>
              </a:graphicData>
            </a:graphic>
          </wp:inline>
        </w:drawing>
      </w:r>
    </w:p>
    <w:p w:rsidR="000E46F1" w:rsidRDefault="00142B22">
      <w:pPr>
        <w:spacing w:before="77" w:line="405" w:lineRule="auto"/>
        <w:ind w:left="2514" w:right="2474" w:hanging="25"/>
        <w:rPr>
          <w:b/>
        </w:rPr>
      </w:pPr>
      <w:r>
        <w:rPr>
          <w:b/>
          <w:u w:val="thick"/>
        </w:rPr>
        <w:t>IN THE HIGH COURT OF SOUTH AFRICA,</w:t>
      </w:r>
      <w:r>
        <w:rPr>
          <w:b/>
        </w:rPr>
        <w:t xml:space="preserve"> </w:t>
      </w:r>
      <w:r>
        <w:rPr>
          <w:b/>
          <w:u w:val="thick"/>
        </w:rPr>
        <w:t>FREE STATE DIVISION, BLOEMFONTEIN</w:t>
      </w:r>
    </w:p>
    <w:p w:rsidR="000E46F1" w:rsidRDefault="000E46F1">
      <w:pPr>
        <w:pStyle w:val="BodyText"/>
        <w:rPr>
          <w:b/>
          <w:sz w:val="20"/>
        </w:rPr>
      </w:pPr>
    </w:p>
    <w:p w:rsidR="000E46F1" w:rsidRDefault="00142B22">
      <w:pPr>
        <w:pStyle w:val="BodyText"/>
        <w:spacing w:before="10"/>
        <w:rPr>
          <w:b/>
          <w:sz w:val="13"/>
        </w:rPr>
      </w:pPr>
      <w:r>
        <w:pict>
          <v:group id="_x0000_s1034" style="position:absolute;margin-left:334.05pt;margin-top:9.95pt;width:153.9pt;height:33.05pt;z-index:-251655168;mso-wrap-distance-left:0;mso-wrap-distance-right:0;mso-position-horizontal-relative:page" coordorigin="6681,199" coordsize="3078,661">
            <v:rect id="_x0000_s1049" style="position:absolute;left:6680;top:199;width:10;height:10" fillcolor="black" stroked="f"/>
            <v:rect id="_x0000_s1048" style="position:absolute;left:6680;top:199;width:10;height:10" fillcolor="black" stroked="f"/>
            <v:line id="_x0000_s1047" style="position:absolute" from="6690,204" to="9748,204" strokeweight=".48pt"/>
            <v:rect id="_x0000_s1046" style="position:absolute;left:9748;top:199;width:10;height:10" fillcolor="black" stroked="f"/>
            <v:rect id="_x0000_s1045" style="position:absolute;left:9748;top:199;width:10;height:10" fillcolor="black" stroked="f"/>
            <v:line id="_x0000_s1044" style="position:absolute" from="6685,209" to="6685,850" strokeweight=".48pt"/>
            <v:rect id="_x0000_s1043" style="position:absolute;left:6680;top:850;width:10;height:10" fillcolor="black" stroked="f"/>
            <v:rect id="_x0000_s1042" style="position:absolute;left:6680;top:850;width:10;height:10" fillcolor="black" stroked="f"/>
            <v:line id="_x0000_s1041" style="position:absolute" from="6690,855" to="9748,855" strokeweight=".48pt"/>
            <v:line id="_x0000_s1040" style="position:absolute" from="9753,209" to="9753,850" strokeweight=".48pt"/>
            <v:rect id="_x0000_s1039" style="position:absolute;left:9748;top:850;width:10;height:10" fillcolor="black" stroked="f"/>
            <v:rect id="_x0000_s1038" style="position:absolute;left:9748;top:850;width:10;height:10" fillcolor="black" stroked="f"/>
            <v:shapetype id="_x0000_t202" coordsize="21600,21600" o:spt="202" path="m,l,21600r21600,l21600,xe">
              <v:stroke joinstyle="miter"/>
              <v:path gradientshapeok="t" o:connecttype="rect"/>
            </v:shapetype>
            <v:shape id="_x0000_s1037" type="#_x0000_t202" style="position:absolute;left:6793;top:409;width:2490;height:375" filled="f" stroked="f">
              <v:textbox inset="0,0,0,0">
                <w:txbxContent>
                  <w:p w:rsidR="000E46F1" w:rsidRDefault="00142B22">
                    <w:pPr>
                      <w:tabs>
                        <w:tab w:val="left" w:pos="2223"/>
                      </w:tabs>
                      <w:spacing w:line="254" w:lineRule="auto"/>
                      <w:ind w:right="18"/>
                      <w:rPr>
                        <w:b/>
                        <w:sz w:val="16"/>
                      </w:rPr>
                    </w:pPr>
                    <w:r>
                      <w:rPr>
                        <w:b/>
                        <w:sz w:val="16"/>
                      </w:rPr>
                      <w:t xml:space="preserve">Of Interest to other Judges: </w:t>
                    </w:r>
                    <w:r>
                      <w:rPr>
                        <w:b/>
                        <w:spacing w:val="-4"/>
                        <w:sz w:val="16"/>
                      </w:rPr>
                      <w:t xml:space="preserve">NO </w:t>
                    </w:r>
                    <w:r>
                      <w:rPr>
                        <w:b/>
                        <w:sz w:val="16"/>
                      </w:rPr>
                      <w:t>Circulate</w:t>
                    </w:r>
                    <w:r>
                      <w:rPr>
                        <w:b/>
                        <w:spacing w:val="-2"/>
                        <w:sz w:val="16"/>
                      </w:rPr>
                      <w:t xml:space="preserve"> </w:t>
                    </w:r>
                    <w:r>
                      <w:rPr>
                        <w:b/>
                        <w:sz w:val="16"/>
                      </w:rPr>
                      <w:t>to</w:t>
                    </w:r>
                    <w:r>
                      <w:rPr>
                        <w:b/>
                        <w:spacing w:val="-5"/>
                        <w:sz w:val="16"/>
                      </w:rPr>
                      <w:t xml:space="preserve"> </w:t>
                    </w:r>
                    <w:r>
                      <w:rPr>
                        <w:b/>
                        <w:sz w:val="16"/>
                      </w:rPr>
                      <w:t>Magistrates:</w:t>
                    </w:r>
                    <w:r>
                      <w:rPr>
                        <w:b/>
                        <w:sz w:val="16"/>
                      </w:rPr>
                      <w:tab/>
                      <w:t>NO</w:t>
                    </w:r>
                  </w:p>
                </w:txbxContent>
              </v:textbox>
            </v:shape>
            <v:shape id="_x0000_s1036" type="#_x0000_t202" style="position:absolute;left:9016;top:214;width:339;height:180" filled="f" stroked="f">
              <v:textbox inset="0,0,0,0">
                <w:txbxContent>
                  <w:p w:rsidR="000E46F1" w:rsidRDefault="00142B22">
                    <w:pPr>
                      <w:spacing w:line="179" w:lineRule="exact"/>
                      <w:rPr>
                        <w:b/>
                        <w:sz w:val="16"/>
                      </w:rPr>
                    </w:pPr>
                    <w:r>
                      <w:rPr>
                        <w:b/>
                        <w:sz w:val="16"/>
                      </w:rPr>
                      <w:t>YES</w:t>
                    </w:r>
                  </w:p>
                </w:txbxContent>
              </v:textbox>
            </v:shape>
            <v:shape id="_x0000_s1035" type="#_x0000_t202" style="position:absolute;left:6793;top:214;width:909;height:180" filled="f" stroked="f">
              <v:textbox inset="0,0,0,0">
                <w:txbxContent>
                  <w:p w:rsidR="000E46F1" w:rsidRDefault="00142B22">
                    <w:pPr>
                      <w:spacing w:line="179" w:lineRule="exact"/>
                      <w:rPr>
                        <w:b/>
                        <w:sz w:val="16"/>
                      </w:rPr>
                    </w:pPr>
                    <w:r>
                      <w:rPr>
                        <w:b/>
                        <w:sz w:val="16"/>
                      </w:rPr>
                      <w:t>Reportable:</w:t>
                    </w:r>
                  </w:p>
                </w:txbxContent>
              </v:textbox>
            </v:shape>
            <w10:wrap type="topAndBottom" anchorx="page"/>
          </v:group>
        </w:pict>
      </w:r>
    </w:p>
    <w:p w:rsidR="000E46F1" w:rsidRDefault="000E46F1">
      <w:pPr>
        <w:pStyle w:val="BodyText"/>
        <w:rPr>
          <w:b/>
          <w:sz w:val="20"/>
        </w:rPr>
      </w:pPr>
    </w:p>
    <w:p w:rsidR="000E46F1" w:rsidRDefault="000E46F1">
      <w:pPr>
        <w:pStyle w:val="BodyText"/>
        <w:rPr>
          <w:b/>
          <w:sz w:val="20"/>
        </w:rPr>
      </w:pPr>
    </w:p>
    <w:p w:rsidR="000E46F1" w:rsidRDefault="000E46F1">
      <w:pPr>
        <w:pStyle w:val="BodyText"/>
        <w:rPr>
          <w:b/>
          <w:sz w:val="20"/>
        </w:rPr>
      </w:pPr>
    </w:p>
    <w:p w:rsidR="000E46F1" w:rsidRDefault="000E46F1">
      <w:pPr>
        <w:pStyle w:val="BodyText"/>
        <w:spacing w:before="7"/>
        <w:rPr>
          <w:b/>
          <w:sz w:val="16"/>
        </w:rPr>
      </w:pPr>
    </w:p>
    <w:p w:rsidR="000E46F1" w:rsidRDefault="00142B22">
      <w:pPr>
        <w:pStyle w:val="BodyText"/>
        <w:tabs>
          <w:tab w:val="left" w:pos="7843"/>
        </w:tabs>
        <w:spacing w:before="92"/>
        <w:ind w:left="5683"/>
      </w:pPr>
      <w:r>
        <w:t>Case number:</w:t>
      </w:r>
      <w:r>
        <w:tab/>
        <w:t>2769/2017</w:t>
      </w:r>
    </w:p>
    <w:p w:rsidR="000E46F1" w:rsidRDefault="000E46F1">
      <w:pPr>
        <w:pStyle w:val="BodyText"/>
        <w:rPr>
          <w:sz w:val="20"/>
        </w:rPr>
      </w:pPr>
    </w:p>
    <w:p w:rsidR="000E46F1" w:rsidRDefault="000E46F1">
      <w:pPr>
        <w:pStyle w:val="BodyText"/>
        <w:spacing w:before="10"/>
        <w:rPr>
          <w:sz w:val="27"/>
        </w:rPr>
      </w:pPr>
    </w:p>
    <w:p w:rsidR="000E46F1" w:rsidRDefault="00142B22">
      <w:pPr>
        <w:pStyle w:val="BodyText"/>
        <w:spacing w:before="92"/>
        <w:ind w:left="140"/>
      </w:pPr>
      <w:r>
        <w:t>In the matter between:</w:t>
      </w:r>
    </w:p>
    <w:p w:rsidR="000E46F1" w:rsidRDefault="000E46F1">
      <w:pPr>
        <w:pStyle w:val="BodyText"/>
        <w:spacing w:before="4"/>
      </w:pPr>
    </w:p>
    <w:p w:rsidR="000E46F1" w:rsidRDefault="00142B22">
      <w:pPr>
        <w:tabs>
          <w:tab w:val="left" w:pos="6621"/>
        </w:tabs>
        <w:spacing w:before="1"/>
        <w:ind w:left="140"/>
        <w:rPr>
          <w:sz w:val="28"/>
        </w:rPr>
      </w:pPr>
      <w:r>
        <w:rPr>
          <w:b/>
          <w:sz w:val="28"/>
        </w:rPr>
        <w:t>HANNES</w:t>
      </w:r>
      <w:r>
        <w:rPr>
          <w:b/>
          <w:spacing w:val="-4"/>
          <w:sz w:val="28"/>
        </w:rPr>
        <w:t xml:space="preserve"> </w:t>
      </w:r>
      <w:r>
        <w:rPr>
          <w:b/>
          <w:sz w:val="28"/>
        </w:rPr>
        <w:t>MARTHINUS</w:t>
      </w:r>
      <w:r>
        <w:rPr>
          <w:b/>
          <w:spacing w:val="-1"/>
          <w:sz w:val="28"/>
        </w:rPr>
        <w:t xml:space="preserve"> </w:t>
      </w:r>
      <w:r>
        <w:rPr>
          <w:b/>
          <w:sz w:val="28"/>
        </w:rPr>
        <w:t>JONKER</w:t>
      </w:r>
      <w:r>
        <w:rPr>
          <w:b/>
          <w:sz w:val="28"/>
        </w:rPr>
        <w:tab/>
      </w:r>
      <w:r>
        <w:rPr>
          <w:sz w:val="28"/>
        </w:rPr>
        <w:t>First</w:t>
      </w:r>
      <w:r>
        <w:rPr>
          <w:spacing w:val="-1"/>
          <w:sz w:val="28"/>
        </w:rPr>
        <w:t xml:space="preserve"> </w:t>
      </w:r>
      <w:r>
        <w:rPr>
          <w:sz w:val="28"/>
        </w:rPr>
        <w:t>Applicant</w:t>
      </w:r>
    </w:p>
    <w:p w:rsidR="000E46F1" w:rsidRDefault="000E46F1">
      <w:pPr>
        <w:pStyle w:val="BodyText"/>
        <w:rPr>
          <w:sz w:val="30"/>
        </w:rPr>
      </w:pPr>
    </w:p>
    <w:p w:rsidR="000E46F1" w:rsidRDefault="000E46F1">
      <w:pPr>
        <w:pStyle w:val="BodyText"/>
        <w:rPr>
          <w:sz w:val="29"/>
        </w:rPr>
      </w:pPr>
    </w:p>
    <w:p w:rsidR="000E46F1" w:rsidRDefault="00142B22">
      <w:pPr>
        <w:tabs>
          <w:tab w:val="left" w:pos="6621"/>
        </w:tabs>
        <w:ind w:left="140"/>
        <w:rPr>
          <w:sz w:val="28"/>
        </w:rPr>
      </w:pPr>
      <w:r>
        <w:rPr>
          <w:b/>
          <w:sz w:val="28"/>
        </w:rPr>
        <w:t>HENDRIK PHILLIUS</w:t>
      </w:r>
      <w:r>
        <w:rPr>
          <w:b/>
          <w:spacing w:val="-6"/>
          <w:sz w:val="28"/>
        </w:rPr>
        <w:t xml:space="preserve"> </w:t>
      </w:r>
      <w:r>
        <w:rPr>
          <w:b/>
          <w:sz w:val="28"/>
        </w:rPr>
        <w:t>FOURIE</w:t>
      </w:r>
      <w:r>
        <w:rPr>
          <w:b/>
          <w:spacing w:val="-4"/>
          <w:sz w:val="28"/>
        </w:rPr>
        <w:t xml:space="preserve"> </w:t>
      </w:r>
      <w:r>
        <w:rPr>
          <w:b/>
          <w:sz w:val="28"/>
        </w:rPr>
        <w:t>LEWIS</w:t>
      </w:r>
      <w:r>
        <w:rPr>
          <w:b/>
          <w:sz w:val="28"/>
        </w:rPr>
        <w:tab/>
      </w:r>
      <w:r>
        <w:rPr>
          <w:sz w:val="28"/>
        </w:rPr>
        <w:t>Second</w:t>
      </w:r>
      <w:r>
        <w:rPr>
          <w:spacing w:val="-2"/>
          <w:sz w:val="28"/>
        </w:rPr>
        <w:t xml:space="preserve"> </w:t>
      </w:r>
      <w:r>
        <w:rPr>
          <w:sz w:val="28"/>
        </w:rPr>
        <w:t>Applicant</w:t>
      </w:r>
    </w:p>
    <w:p w:rsidR="000E46F1" w:rsidRDefault="000E46F1">
      <w:pPr>
        <w:pStyle w:val="BodyText"/>
        <w:rPr>
          <w:sz w:val="30"/>
        </w:rPr>
      </w:pPr>
    </w:p>
    <w:p w:rsidR="000E46F1" w:rsidRDefault="000E46F1">
      <w:pPr>
        <w:pStyle w:val="BodyText"/>
        <w:rPr>
          <w:sz w:val="29"/>
        </w:rPr>
      </w:pPr>
    </w:p>
    <w:p w:rsidR="000E46F1" w:rsidRDefault="00142B22">
      <w:pPr>
        <w:tabs>
          <w:tab w:val="left" w:pos="6621"/>
        </w:tabs>
        <w:ind w:left="140"/>
        <w:rPr>
          <w:sz w:val="28"/>
        </w:rPr>
      </w:pPr>
      <w:r>
        <w:rPr>
          <w:b/>
          <w:sz w:val="28"/>
        </w:rPr>
        <w:t>JOSEPH</w:t>
      </w:r>
      <w:r>
        <w:rPr>
          <w:b/>
          <w:spacing w:val="-4"/>
          <w:sz w:val="28"/>
        </w:rPr>
        <w:t xml:space="preserve"> </w:t>
      </w:r>
      <w:r>
        <w:rPr>
          <w:b/>
          <w:sz w:val="28"/>
        </w:rPr>
        <w:t>IVAN</w:t>
      </w:r>
      <w:r>
        <w:rPr>
          <w:b/>
          <w:spacing w:val="-3"/>
          <w:sz w:val="28"/>
        </w:rPr>
        <w:t xml:space="preserve"> </w:t>
      </w:r>
      <w:r>
        <w:rPr>
          <w:b/>
          <w:sz w:val="28"/>
        </w:rPr>
        <w:t>MARKS</w:t>
      </w:r>
      <w:r>
        <w:rPr>
          <w:b/>
          <w:sz w:val="28"/>
        </w:rPr>
        <w:tab/>
      </w:r>
      <w:r>
        <w:rPr>
          <w:sz w:val="28"/>
        </w:rPr>
        <w:t>Third</w:t>
      </w:r>
      <w:r>
        <w:rPr>
          <w:spacing w:val="1"/>
          <w:sz w:val="28"/>
        </w:rPr>
        <w:t xml:space="preserve"> </w:t>
      </w:r>
      <w:r>
        <w:rPr>
          <w:sz w:val="28"/>
        </w:rPr>
        <w:t>Applicant</w:t>
      </w:r>
    </w:p>
    <w:p w:rsidR="000E46F1" w:rsidRDefault="000E46F1">
      <w:pPr>
        <w:pStyle w:val="BodyText"/>
        <w:rPr>
          <w:sz w:val="30"/>
        </w:rPr>
      </w:pPr>
    </w:p>
    <w:p w:rsidR="000E46F1" w:rsidRDefault="000E46F1">
      <w:pPr>
        <w:pStyle w:val="BodyText"/>
        <w:spacing w:before="1"/>
        <w:rPr>
          <w:sz w:val="29"/>
        </w:rPr>
      </w:pPr>
    </w:p>
    <w:p w:rsidR="000E46F1" w:rsidRDefault="00142B22">
      <w:pPr>
        <w:tabs>
          <w:tab w:val="left" w:pos="6621"/>
        </w:tabs>
        <w:ind w:left="140"/>
        <w:rPr>
          <w:sz w:val="28"/>
        </w:rPr>
      </w:pPr>
      <w:r>
        <w:rPr>
          <w:b/>
          <w:sz w:val="28"/>
        </w:rPr>
        <w:t>SUSARA</w:t>
      </w:r>
      <w:r>
        <w:rPr>
          <w:b/>
          <w:spacing w:val="-7"/>
          <w:sz w:val="28"/>
        </w:rPr>
        <w:t xml:space="preserve"> </w:t>
      </w:r>
      <w:r>
        <w:rPr>
          <w:b/>
          <w:sz w:val="28"/>
        </w:rPr>
        <w:t>DEBORAH</w:t>
      </w:r>
      <w:r>
        <w:rPr>
          <w:b/>
          <w:spacing w:val="-3"/>
          <w:sz w:val="28"/>
        </w:rPr>
        <w:t xml:space="preserve"> </w:t>
      </w:r>
      <w:r>
        <w:rPr>
          <w:b/>
          <w:sz w:val="28"/>
        </w:rPr>
        <w:t>OBERHOLZER</w:t>
      </w:r>
      <w:r>
        <w:rPr>
          <w:b/>
          <w:sz w:val="28"/>
        </w:rPr>
        <w:tab/>
      </w:r>
      <w:r>
        <w:rPr>
          <w:sz w:val="28"/>
        </w:rPr>
        <w:t>Fourth</w:t>
      </w:r>
      <w:r>
        <w:rPr>
          <w:spacing w:val="-1"/>
          <w:sz w:val="28"/>
        </w:rPr>
        <w:t xml:space="preserve"> </w:t>
      </w:r>
      <w:r>
        <w:rPr>
          <w:sz w:val="28"/>
        </w:rPr>
        <w:t>Applicant</w:t>
      </w:r>
    </w:p>
    <w:p w:rsidR="000E46F1" w:rsidRDefault="000E46F1">
      <w:pPr>
        <w:pStyle w:val="BodyText"/>
        <w:rPr>
          <w:sz w:val="30"/>
        </w:rPr>
      </w:pPr>
    </w:p>
    <w:p w:rsidR="000E46F1" w:rsidRDefault="000E46F1">
      <w:pPr>
        <w:pStyle w:val="BodyText"/>
        <w:spacing w:before="3"/>
        <w:rPr>
          <w:sz w:val="29"/>
        </w:rPr>
      </w:pPr>
    </w:p>
    <w:p w:rsidR="000E46F1" w:rsidRDefault="00142B22">
      <w:pPr>
        <w:tabs>
          <w:tab w:val="left" w:pos="6621"/>
        </w:tabs>
        <w:ind w:left="140"/>
        <w:rPr>
          <w:sz w:val="28"/>
        </w:rPr>
      </w:pPr>
      <w:r>
        <w:rPr>
          <w:b/>
          <w:sz w:val="28"/>
        </w:rPr>
        <w:t>JABULANI</w:t>
      </w:r>
      <w:r>
        <w:rPr>
          <w:b/>
          <w:spacing w:val="-2"/>
          <w:sz w:val="28"/>
        </w:rPr>
        <w:t xml:space="preserve"> </w:t>
      </w:r>
      <w:r>
        <w:rPr>
          <w:b/>
          <w:sz w:val="28"/>
        </w:rPr>
        <w:t>PERTROLS</w:t>
      </w:r>
      <w:r>
        <w:rPr>
          <w:b/>
          <w:spacing w:val="-5"/>
          <w:sz w:val="28"/>
        </w:rPr>
        <w:t xml:space="preserve"> </w:t>
      </w:r>
      <w:r>
        <w:rPr>
          <w:b/>
          <w:sz w:val="28"/>
        </w:rPr>
        <w:t>MTSWENI</w:t>
      </w:r>
      <w:r>
        <w:rPr>
          <w:b/>
          <w:sz w:val="28"/>
        </w:rPr>
        <w:tab/>
      </w:r>
      <w:r>
        <w:rPr>
          <w:sz w:val="28"/>
        </w:rPr>
        <w:t>Fifth</w:t>
      </w:r>
      <w:r>
        <w:rPr>
          <w:spacing w:val="-1"/>
          <w:sz w:val="28"/>
        </w:rPr>
        <w:t xml:space="preserve"> </w:t>
      </w:r>
      <w:r>
        <w:rPr>
          <w:sz w:val="28"/>
        </w:rPr>
        <w:t>Applicant</w:t>
      </w:r>
    </w:p>
    <w:p w:rsidR="000E46F1" w:rsidRDefault="000E46F1">
      <w:pPr>
        <w:pStyle w:val="BodyText"/>
        <w:rPr>
          <w:sz w:val="30"/>
        </w:rPr>
      </w:pPr>
    </w:p>
    <w:p w:rsidR="000E46F1" w:rsidRDefault="000E46F1">
      <w:pPr>
        <w:pStyle w:val="BodyText"/>
        <w:rPr>
          <w:sz w:val="29"/>
        </w:rPr>
      </w:pPr>
    </w:p>
    <w:p w:rsidR="000E46F1" w:rsidRDefault="00142B22">
      <w:pPr>
        <w:tabs>
          <w:tab w:val="left" w:pos="6621"/>
        </w:tabs>
        <w:ind w:left="140"/>
        <w:rPr>
          <w:sz w:val="28"/>
        </w:rPr>
      </w:pPr>
      <w:r>
        <w:rPr>
          <w:b/>
          <w:sz w:val="28"/>
        </w:rPr>
        <w:t>GILBERT</w:t>
      </w:r>
      <w:r>
        <w:rPr>
          <w:b/>
          <w:spacing w:val="-5"/>
          <w:sz w:val="28"/>
        </w:rPr>
        <w:t xml:space="preserve"> </w:t>
      </w:r>
      <w:r>
        <w:rPr>
          <w:b/>
          <w:sz w:val="28"/>
        </w:rPr>
        <w:t>LOFTUS</w:t>
      </w:r>
      <w:r>
        <w:rPr>
          <w:b/>
          <w:spacing w:val="-3"/>
          <w:sz w:val="28"/>
        </w:rPr>
        <w:t xml:space="preserve"> </w:t>
      </w:r>
      <w:r>
        <w:rPr>
          <w:b/>
          <w:sz w:val="28"/>
        </w:rPr>
        <w:t>RATHOKOLO</w:t>
      </w:r>
      <w:r>
        <w:rPr>
          <w:b/>
          <w:sz w:val="28"/>
        </w:rPr>
        <w:tab/>
      </w:r>
      <w:r>
        <w:rPr>
          <w:sz w:val="28"/>
        </w:rPr>
        <w:t>Sixth</w:t>
      </w:r>
      <w:r>
        <w:rPr>
          <w:spacing w:val="1"/>
          <w:sz w:val="28"/>
        </w:rPr>
        <w:t xml:space="preserve"> </w:t>
      </w:r>
      <w:r>
        <w:rPr>
          <w:sz w:val="28"/>
        </w:rPr>
        <w:t>Applicant</w:t>
      </w:r>
    </w:p>
    <w:p w:rsidR="000E46F1" w:rsidRDefault="000E46F1">
      <w:pPr>
        <w:pStyle w:val="BodyText"/>
        <w:rPr>
          <w:sz w:val="30"/>
        </w:rPr>
      </w:pPr>
    </w:p>
    <w:p w:rsidR="000E46F1" w:rsidRDefault="000E46F1">
      <w:pPr>
        <w:pStyle w:val="BodyText"/>
        <w:spacing w:before="1"/>
        <w:rPr>
          <w:sz w:val="29"/>
        </w:rPr>
      </w:pPr>
    </w:p>
    <w:p w:rsidR="000E46F1" w:rsidRDefault="00142B22">
      <w:pPr>
        <w:tabs>
          <w:tab w:val="left" w:pos="6621"/>
        </w:tabs>
        <w:ind w:left="140"/>
        <w:rPr>
          <w:sz w:val="28"/>
        </w:rPr>
      </w:pPr>
      <w:r>
        <w:rPr>
          <w:b/>
          <w:sz w:val="28"/>
        </w:rPr>
        <w:t>SAMANTHA</w:t>
      </w:r>
      <w:r>
        <w:rPr>
          <w:b/>
          <w:spacing w:val="-4"/>
          <w:sz w:val="28"/>
        </w:rPr>
        <w:t xml:space="preserve"> </w:t>
      </w:r>
      <w:r>
        <w:rPr>
          <w:b/>
          <w:sz w:val="28"/>
        </w:rPr>
        <w:t>ANNE</w:t>
      </w:r>
      <w:r>
        <w:rPr>
          <w:b/>
          <w:spacing w:val="-2"/>
          <w:sz w:val="28"/>
        </w:rPr>
        <w:t xml:space="preserve"> </w:t>
      </w:r>
      <w:r>
        <w:rPr>
          <w:b/>
          <w:sz w:val="28"/>
        </w:rPr>
        <w:t>TURNER</w:t>
      </w:r>
      <w:r>
        <w:rPr>
          <w:b/>
          <w:sz w:val="28"/>
        </w:rPr>
        <w:tab/>
      </w:r>
      <w:r>
        <w:rPr>
          <w:sz w:val="28"/>
        </w:rPr>
        <w:t>Seven</w:t>
      </w:r>
      <w:r>
        <w:rPr>
          <w:sz w:val="28"/>
        </w:rPr>
        <w:t>th</w:t>
      </w:r>
      <w:r>
        <w:rPr>
          <w:spacing w:val="2"/>
          <w:sz w:val="28"/>
        </w:rPr>
        <w:t xml:space="preserve"> </w:t>
      </w:r>
      <w:r>
        <w:rPr>
          <w:sz w:val="28"/>
        </w:rPr>
        <w:t>Applicant</w:t>
      </w:r>
    </w:p>
    <w:p w:rsidR="000E46F1" w:rsidRDefault="000E46F1">
      <w:pPr>
        <w:pStyle w:val="BodyText"/>
        <w:rPr>
          <w:sz w:val="30"/>
        </w:rPr>
      </w:pPr>
    </w:p>
    <w:p w:rsidR="000E46F1" w:rsidRDefault="000E46F1">
      <w:pPr>
        <w:pStyle w:val="BodyText"/>
        <w:spacing w:before="3"/>
        <w:rPr>
          <w:sz w:val="29"/>
        </w:rPr>
      </w:pPr>
    </w:p>
    <w:p w:rsidR="000E46F1" w:rsidRDefault="00142B22">
      <w:pPr>
        <w:pStyle w:val="BodyText"/>
        <w:ind w:left="140"/>
      </w:pPr>
      <w:r>
        <w:t>and</w:t>
      </w:r>
    </w:p>
    <w:p w:rsidR="000E46F1" w:rsidRDefault="000E46F1">
      <w:pPr>
        <w:sectPr w:rsidR="000E46F1">
          <w:type w:val="continuous"/>
          <w:pgSz w:w="11910" w:h="16840"/>
          <w:pgMar w:top="700" w:right="1300" w:bottom="280" w:left="1300" w:header="720" w:footer="720" w:gutter="0"/>
          <w:cols w:space="720"/>
        </w:sectPr>
      </w:pPr>
    </w:p>
    <w:p w:rsidR="000E46F1" w:rsidRDefault="000E46F1">
      <w:pPr>
        <w:pStyle w:val="BodyText"/>
        <w:rPr>
          <w:sz w:val="20"/>
        </w:rPr>
      </w:pPr>
    </w:p>
    <w:p w:rsidR="000E46F1" w:rsidRDefault="00142B22">
      <w:pPr>
        <w:tabs>
          <w:tab w:val="left" w:pos="6621"/>
        </w:tabs>
        <w:spacing w:before="239"/>
        <w:ind w:left="140"/>
        <w:rPr>
          <w:sz w:val="28"/>
        </w:rPr>
      </w:pPr>
      <w:r>
        <w:rPr>
          <w:b/>
          <w:sz w:val="28"/>
        </w:rPr>
        <w:t>LAMBONS</w:t>
      </w:r>
      <w:r>
        <w:rPr>
          <w:b/>
          <w:spacing w:val="-1"/>
          <w:sz w:val="28"/>
        </w:rPr>
        <w:t xml:space="preserve"> </w:t>
      </w:r>
      <w:r>
        <w:rPr>
          <w:b/>
          <w:sz w:val="28"/>
        </w:rPr>
        <w:t>(PTY)</w:t>
      </w:r>
      <w:r>
        <w:rPr>
          <w:b/>
          <w:spacing w:val="-5"/>
          <w:sz w:val="28"/>
        </w:rPr>
        <w:t xml:space="preserve"> </w:t>
      </w:r>
      <w:r>
        <w:rPr>
          <w:b/>
          <w:sz w:val="28"/>
        </w:rPr>
        <w:t>LTD</w:t>
      </w:r>
      <w:r>
        <w:rPr>
          <w:b/>
          <w:sz w:val="28"/>
        </w:rPr>
        <w:tab/>
      </w:r>
      <w:r>
        <w:rPr>
          <w:sz w:val="28"/>
        </w:rPr>
        <w:t>First</w:t>
      </w:r>
      <w:r>
        <w:rPr>
          <w:spacing w:val="-1"/>
          <w:sz w:val="28"/>
        </w:rPr>
        <w:t xml:space="preserve"> </w:t>
      </w:r>
      <w:r>
        <w:rPr>
          <w:sz w:val="28"/>
        </w:rPr>
        <w:t>Respondent</w:t>
      </w:r>
    </w:p>
    <w:p w:rsidR="000E46F1" w:rsidRDefault="000E46F1">
      <w:pPr>
        <w:pStyle w:val="BodyText"/>
        <w:rPr>
          <w:sz w:val="30"/>
        </w:rPr>
      </w:pPr>
    </w:p>
    <w:p w:rsidR="000E46F1" w:rsidRDefault="00142B22">
      <w:pPr>
        <w:tabs>
          <w:tab w:val="left" w:pos="6621"/>
        </w:tabs>
        <w:spacing w:before="174" w:line="254" w:lineRule="auto"/>
        <w:ind w:left="140" w:right="145"/>
        <w:rPr>
          <w:sz w:val="28"/>
        </w:rPr>
      </w:pPr>
      <w:r>
        <w:rPr>
          <w:b/>
          <w:sz w:val="28"/>
        </w:rPr>
        <w:t>OSHENE</w:t>
      </w:r>
      <w:r>
        <w:rPr>
          <w:b/>
          <w:spacing w:val="-4"/>
          <w:sz w:val="28"/>
        </w:rPr>
        <w:t xml:space="preserve"> </w:t>
      </w:r>
      <w:r>
        <w:rPr>
          <w:b/>
          <w:sz w:val="28"/>
        </w:rPr>
        <w:t>MOROBANE</w:t>
      </w:r>
      <w:r>
        <w:rPr>
          <w:b/>
          <w:spacing w:val="-1"/>
          <w:sz w:val="28"/>
        </w:rPr>
        <w:t xml:space="preserve"> </w:t>
      </w:r>
      <w:r>
        <w:rPr>
          <w:b/>
          <w:sz w:val="28"/>
        </w:rPr>
        <w:t>N.O.</w:t>
      </w:r>
      <w:r>
        <w:rPr>
          <w:b/>
          <w:sz w:val="28"/>
        </w:rPr>
        <w:tab/>
      </w:r>
      <w:r>
        <w:rPr>
          <w:sz w:val="28"/>
        </w:rPr>
        <w:t xml:space="preserve">Second </w:t>
      </w:r>
      <w:r>
        <w:rPr>
          <w:spacing w:val="-3"/>
          <w:sz w:val="28"/>
        </w:rPr>
        <w:t xml:space="preserve">Respondent </w:t>
      </w:r>
      <w:r>
        <w:rPr>
          <w:sz w:val="28"/>
        </w:rPr>
        <w:t>(In her capacity as Taxing Master of the High</w:t>
      </w:r>
      <w:r>
        <w:rPr>
          <w:spacing w:val="-12"/>
          <w:sz w:val="28"/>
        </w:rPr>
        <w:t xml:space="preserve"> </w:t>
      </w:r>
      <w:r>
        <w:rPr>
          <w:sz w:val="28"/>
        </w:rPr>
        <w:t>Court)</w:t>
      </w:r>
    </w:p>
    <w:p w:rsidR="000E46F1" w:rsidRDefault="000E46F1">
      <w:pPr>
        <w:pStyle w:val="BodyText"/>
        <w:rPr>
          <w:sz w:val="20"/>
        </w:rPr>
      </w:pPr>
    </w:p>
    <w:p w:rsidR="000E46F1" w:rsidRDefault="000E46F1">
      <w:pPr>
        <w:pStyle w:val="BodyText"/>
        <w:rPr>
          <w:sz w:val="20"/>
        </w:rPr>
      </w:pPr>
    </w:p>
    <w:p w:rsidR="000E46F1" w:rsidRDefault="00142B22">
      <w:pPr>
        <w:pStyle w:val="BodyText"/>
        <w:spacing w:before="9"/>
        <w:rPr>
          <w:sz w:val="15"/>
        </w:rPr>
      </w:pPr>
      <w:r>
        <w:pict>
          <v:shape id="_x0000_s1033" style="position:absolute;margin-left:70.6pt;margin-top:11.8pt;width:454.3pt;height:.1pt;z-index:-251654144;mso-wrap-distance-left:0;mso-wrap-distance-right:0;mso-position-horizontal-relative:page" coordorigin="1412,236" coordsize="9086,0" path="m1412,236r9085,e" filled="f" strokeweight="1.44pt">
            <v:path arrowok="t"/>
            <w10:wrap type="topAndBottom" anchorx="page"/>
          </v:shape>
        </w:pict>
      </w:r>
    </w:p>
    <w:p w:rsidR="000E46F1" w:rsidRDefault="000E46F1">
      <w:pPr>
        <w:pStyle w:val="BodyText"/>
        <w:spacing w:before="6"/>
        <w:rPr>
          <w:sz w:val="17"/>
        </w:rPr>
      </w:pPr>
    </w:p>
    <w:p w:rsidR="000E46F1" w:rsidRDefault="00142B22">
      <w:pPr>
        <w:tabs>
          <w:tab w:val="left" w:pos="3020"/>
        </w:tabs>
        <w:spacing w:before="92"/>
        <w:ind w:left="140"/>
        <w:rPr>
          <w:sz w:val="28"/>
        </w:rPr>
      </w:pPr>
      <w:r>
        <w:rPr>
          <w:b/>
          <w:sz w:val="28"/>
          <w:u w:val="thick"/>
        </w:rPr>
        <w:t>HEARD</w:t>
      </w:r>
      <w:r>
        <w:rPr>
          <w:b/>
          <w:spacing w:val="-3"/>
          <w:sz w:val="28"/>
          <w:u w:val="thick"/>
        </w:rPr>
        <w:t xml:space="preserve"> </w:t>
      </w:r>
      <w:r>
        <w:rPr>
          <w:b/>
          <w:sz w:val="28"/>
          <w:u w:val="thick"/>
        </w:rPr>
        <w:t>ON:</w:t>
      </w:r>
      <w:r>
        <w:rPr>
          <w:b/>
          <w:sz w:val="28"/>
        </w:rPr>
        <w:tab/>
      </w:r>
      <w:r>
        <w:rPr>
          <w:sz w:val="28"/>
        </w:rPr>
        <w:t>13 SEPTEMBER</w:t>
      </w:r>
      <w:r>
        <w:rPr>
          <w:spacing w:val="-2"/>
          <w:sz w:val="28"/>
        </w:rPr>
        <w:t xml:space="preserve"> </w:t>
      </w:r>
      <w:r>
        <w:rPr>
          <w:sz w:val="28"/>
        </w:rPr>
        <w:t>2018</w:t>
      </w:r>
    </w:p>
    <w:p w:rsidR="000E46F1" w:rsidRDefault="00142B22">
      <w:pPr>
        <w:pStyle w:val="BodyText"/>
        <w:spacing w:before="2"/>
        <w:rPr>
          <w:sz w:val="26"/>
        </w:rPr>
      </w:pPr>
      <w:r>
        <w:pict>
          <v:shape id="_x0000_s1032" style="position:absolute;margin-left:70.6pt;margin-top:17.45pt;width:454.3pt;height:.1pt;z-index:-251653120;mso-wrap-distance-left:0;mso-wrap-distance-right:0;mso-position-horizontal-relative:page" coordorigin="1412,349" coordsize="9086,0" path="m1412,349r9085,e" filled="f" strokeweight=".72pt">
            <v:path arrowok="t"/>
            <w10:wrap type="topAndBottom" anchorx="page"/>
          </v:shape>
        </w:pict>
      </w:r>
    </w:p>
    <w:p w:rsidR="000E46F1" w:rsidRDefault="000E46F1">
      <w:pPr>
        <w:pStyle w:val="BodyText"/>
        <w:spacing w:before="9"/>
        <w:rPr>
          <w:sz w:val="17"/>
        </w:rPr>
      </w:pPr>
    </w:p>
    <w:p w:rsidR="000E46F1" w:rsidRDefault="00142B22">
      <w:pPr>
        <w:tabs>
          <w:tab w:val="left" w:pos="3020"/>
        </w:tabs>
        <w:spacing w:before="91"/>
        <w:ind w:left="140"/>
        <w:rPr>
          <w:sz w:val="28"/>
        </w:rPr>
      </w:pPr>
      <w:r>
        <w:rPr>
          <w:b/>
          <w:sz w:val="28"/>
          <w:u w:val="thick"/>
        </w:rPr>
        <w:t>JUDGMENT</w:t>
      </w:r>
      <w:r>
        <w:rPr>
          <w:b/>
          <w:spacing w:val="-2"/>
          <w:sz w:val="28"/>
          <w:u w:val="thick"/>
        </w:rPr>
        <w:t xml:space="preserve"> </w:t>
      </w:r>
      <w:r>
        <w:rPr>
          <w:b/>
          <w:sz w:val="28"/>
          <w:u w:val="thick"/>
        </w:rPr>
        <w:t>BY:</w:t>
      </w:r>
      <w:r>
        <w:rPr>
          <w:b/>
          <w:sz w:val="28"/>
        </w:rPr>
        <w:tab/>
      </w:r>
      <w:r>
        <w:rPr>
          <w:sz w:val="28"/>
        </w:rPr>
        <w:t>DANISO,</w:t>
      </w:r>
      <w:r>
        <w:rPr>
          <w:spacing w:val="-1"/>
          <w:sz w:val="28"/>
        </w:rPr>
        <w:t xml:space="preserve"> </w:t>
      </w:r>
      <w:r>
        <w:rPr>
          <w:sz w:val="28"/>
        </w:rPr>
        <w:t>AJ</w:t>
      </w:r>
    </w:p>
    <w:p w:rsidR="000E46F1" w:rsidRDefault="000E46F1">
      <w:pPr>
        <w:pStyle w:val="BodyText"/>
        <w:rPr>
          <w:sz w:val="20"/>
        </w:rPr>
      </w:pPr>
    </w:p>
    <w:p w:rsidR="000E46F1" w:rsidRDefault="00142B22">
      <w:pPr>
        <w:pStyle w:val="BodyText"/>
        <w:spacing w:before="6"/>
        <w:rPr>
          <w:sz w:val="21"/>
        </w:rPr>
      </w:pPr>
      <w:r>
        <w:pict>
          <v:shape id="_x0000_s1031" style="position:absolute;margin-left:70.6pt;margin-top:14.75pt;width:454.3pt;height:.1pt;z-index:-251652096;mso-wrap-distance-left:0;mso-wrap-distance-right:0;mso-position-horizontal-relative:page" coordorigin="1412,295" coordsize="9086,0" path="m1412,295r9085,e" filled="f" strokeweight=".72pt">
            <v:path arrowok="t"/>
            <w10:wrap type="topAndBottom" anchorx="page"/>
          </v:shape>
        </w:pict>
      </w:r>
    </w:p>
    <w:p w:rsidR="000E46F1" w:rsidRDefault="000E46F1">
      <w:pPr>
        <w:pStyle w:val="BodyText"/>
        <w:spacing w:before="6"/>
        <w:rPr>
          <w:sz w:val="17"/>
        </w:rPr>
      </w:pPr>
    </w:p>
    <w:p w:rsidR="000E46F1" w:rsidRDefault="00142B22">
      <w:pPr>
        <w:tabs>
          <w:tab w:val="left" w:pos="3080"/>
        </w:tabs>
        <w:spacing w:before="91"/>
        <w:ind w:left="140"/>
        <w:rPr>
          <w:sz w:val="28"/>
        </w:rPr>
      </w:pPr>
      <w:r>
        <w:rPr>
          <w:b/>
          <w:sz w:val="28"/>
          <w:u w:val="thick"/>
        </w:rPr>
        <w:t>DELIVERED</w:t>
      </w:r>
      <w:r>
        <w:rPr>
          <w:b/>
          <w:spacing w:val="-2"/>
          <w:sz w:val="28"/>
          <w:u w:val="thick"/>
        </w:rPr>
        <w:t xml:space="preserve"> </w:t>
      </w:r>
      <w:r>
        <w:rPr>
          <w:b/>
          <w:sz w:val="28"/>
          <w:u w:val="thick"/>
        </w:rPr>
        <w:t>ON:</w:t>
      </w:r>
      <w:r>
        <w:rPr>
          <w:b/>
          <w:sz w:val="28"/>
        </w:rPr>
        <w:tab/>
      </w:r>
      <w:r>
        <w:rPr>
          <w:sz w:val="28"/>
        </w:rPr>
        <w:t>08 NOVEMBER</w:t>
      </w:r>
      <w:r>
        <w:rPr>
          <w:spacing w:val="-1"/>
          <w:sz w:val="28"/>
        </w:rPr>
        <w:t xml:space="preserve"> </w:t>
      </w:r>
      <w:r>
        <w:rPr>
          <w:sz w:val="28"/>
        </w:rPr>
        <w:t>2018</w:t>
      </w:r>
    </w:p>
    <w:p w:rsidR="000E46F1" w:rsidRDefault="000E46F1">
      <w:pPr>
        <w:pStyle w:val="BodyText"/>
        <w:rPr>
          <w:sz w:val="20"/>
        </w:rPr>
      </w:pPr>
    </w:p>
    <w:p w:rsidR="000E46F1" w:rsidRDefault="00142B22">
      <w:pPr>
        <w:pStyle w:val="BodyText"/>
        <w:spacing w:before="5"/>
        <w:rPr>
          <w:sz w:val="20"/>
        </w:rPr>
      </w:pPr>
      <w:r>
        <w:pict>
          <v:shape id="_x0000_s1030" style="position:absolute;margin-left:70.6pt;margin-top:14.5pt;width:454.3pt;height:.1pt;z-index:-251651072;mso-wrap-distance-left:0;mso-wrap-distance-right:0;mso-position-horizontal-relative:page" coordorigin="1412,290" coordsize="9086,0" path="m1412,290r9085,e" filled="f" strokeweight="1.44pt">
            <v:path arrowok="t"/>
            <w10:wrap type="topAndBottom" anchorx="page"/>
          </v:shape>
        </w:pict>
      </w: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Pr="00D44B24" w:rsidRDefault="00D44B24" w:rsidP="00D44B24">
      <w:pPr>
        <w:tabs>
          <w:tab w:val="left" w:pos="993"/>
        </w:tabs>
        <w:spacing w:before="247" w:line="360" w:lineRule="auto"/>
        <w:ind w:left="992" w:right="132" w:hanging="852"/>
        <w:jc w:val="both"/>
        <w:rPr>
          <w:sz w:val="28"/>
        </w:rPr>
      </w:pPr>
      <w:r>
        <w:rPr>
          <w:sz w:val="28"/>
          <w:szCs w:val="28"/>
        </w:rPr>
        <w:t>[1]</w:t>
      </w:r>
      <w:r>
        <w:rPr>
          <w:sz w:val="28"/>
          <w:szCs w:val="28"/>
        </w:rPr>
        <w:tab/>
      </w:r>
      <w:r w:rsidR="00142B22" w:rsidRPr="00D44B24">
        <w:rPr>
          <w:sz w:val="28"/>
        </w:rPr>
        <w:t>The applicants were plaintiffs in an action instituted against the first respondent for unpaid salaries. On 22 February 2018 the parties concluded a settlement agreement (</w:t>
      </w:r>
      <w:r w:rsidR="00142B22" w:rsidRPr="00D44B24">
        <w:rPr>
          <w:i/>
          <w:sz w:val="28"/>
        </w:rPr>
        <w:t>Annexure “FA3”</w:t>
      </w:r>
      <w:r w:rsidR="00142B22" w:rsidRPr="00D44B24">
        <w:rPr>
          <w:sz w:val="28"/>
        </w:rPr>
        <w:t>) in terms of which the first respondent agreed to pay the amounts due to the applicants and the taxed costs. The agreement was made an order of court on 22 February 2018. That ought to have resolved the issues between the parties but that was not to</w:t>
      </w:r>
      <w:r w:rsidR="00142B22" w:rsidRPr="00D44B24">
        <w:rPr>
          <w:spacing w:val="-15"/>
          <w:sz w:val="28"/>
        </w:rPr>
        <w:t xml:space="preserve"> </w:t>
      </w:r>
      <w:r w:rsidR="00142B22" w:rsidRPr="00D44B24">
        <w:rPr>
          <w:sz w:val="28"/>
        </w:rPr>
        <w:t>be.</w:t>
      </w:r>
    </w:p>
    <w:p w:rsidR="000E46F1" w:rsidRDefault="000E46F1">
      <w:pPr>
        <w:pStyle w:val="BodyText"/>
        <w:rPr>
          <w:sz w:val="30"/>
        </w:rPr>
      </w:pPr>
    </w:p>
    <w:p w:rsidR="000E46F1" w:rsidRDefault="000E46F1">
      <w:pPr>
        <w:pStyle w:val="BodyText"/>
        <w:rPr>
          <w:sz w:val="30"/>
        </w:rPr>
      </w:pPr>
    </w:p>
    <w:p w:rsidR="000E46F1" w:rsidRDefault="000E46F1">
      <w:pPr>
        <w:pStyle w:val="BodyText"/>
        <w:rPr>
          <w:sz w:val="24"/>
        </w:rPr>
      </w:pPr>
    </w:p>
    <w:p w:rsidR="000E46F1" w:rsidRPr="00D44B24" w:rsidRDefault="00D44B24" w:rsidP="00D44B24">
      <w:pPr>
        <w:tabs>
          <w:tab w:val="left" w:pos="993"/>
        </w:tabs>
        <w:spacing w:line="360" w:lineRule="auto"/>
        <w:ind w:left="992" w:right="132" w:hanging="852"/>
        <w:jc w:val="both"/>
        <w:rPr>
          <w:sz w:val="28"/>
        </w:rPr>
      </w:pPr>
      <w:r>
        <w:rPr>
          <w:sz w:val="28"/>
          <w:szCs w:val="28"/>
        </w:rPr>
        <w:t>[2</w:t>
      </w:r>
      <w:bookmarkStart w:id="0" w:name="_GoBack"/>
      <w:bookmarkEnd w:id="0"/>
      <w:r>
        <w:rPr>
          <w:sz w:val="28"/>
          <w:szCs w:val="28"/>
        </w:rPr>
        <w:t>]</w:t>
      </w:r>
      <w:r>
        <w:rPr>
          <w:sz w:val="28"/>
          <w:szCs w:val="28"/>
        </w:rPr>
        <w:tab/>
      </w:r>
      <w:r w:rsidR="00142B22" w:rsidRPr="00D44B24">
        <w:rPr>
          <w:sz w:val="28"/>
        </w:rPr>
        <w:t xml:space="preserve">The taxation of the said costs was set down on 08 May 2018 before the second respondent (the “Taxing Master”). Ms van Deventer an admitted attorney with a right of appearance in the high court enrolled in the Gauteng Division appeared for the applicants </w:t>
      </w:r>
      <w:r w:rsidR="00142B22" w:rsidRPr="00D44B24">
        <w:rPr>
          <w:sz w:val="28"/>
        </w:rPr>
        <w:t>whilst Ms Van Wyck appeared for the first respondent. The</w:t>
      </w:r>
      <w:r w:rsidR="00142B22" w:rsidRPr="00D44B24">
        <w:rPr>
          <w:spacing w:val="22"/>
          <w:sz w:val="28"/>
        </w:rPr>
        <w:t xml:space="preserve"> </w:t>
      </w:r>
      <w:r w:rsidR="00142B22" w:rsidRPr="00D44B24">
        <w:rPr>
          <w:sz w:val="28"/>
        </w:rPr>
        <w:t>taxation</w:t>
      </w:r>
      <w:r w:rsidR="00142B22" w:rsidRPr="00D44B24">
        <w:rPr>
          <w:spacing w:val="23"/>
          <w:sz w:val="28"/>
        </w:rPr>
        <w:t xml:space="preserve"> </w:t>
      </w:r>
      <w:r w:rsidR="00142B22" w:rsidRPr="00D44B24">
        <w:rPr>
          <w:sz w:val="28"/>
        </w:rPr>
        <w:t>did</w:t>
      </w:r>
      <w:r w:rsidR="00142B22" w:rsidRPr="00D44B24">
        <w:rPr>
          <w:spacing w:val="21"/>
          <w:sz w:val="28"/>
        </w:rPr>
        <w:t xml:space="preserve"> </w:t>
      </w:r>
      <w:r w:rsidR="00142B22" w:rsidRPr="00D44B24">
        <w:rPr>
          <w:sz w:val="28"/>
        </w:rPr>
        <w:t>not</w:t>
      </w:r>
      <w:r w:rsidR="00142B22" w:rsidRPr="00D44B24">
        <w:rPr>
          <w:spacing w:val="24"/>
          <w:sz w:val="28"/>
        </w:rPr>
        <w:t xml:space="preserve"> </w:t>
      </w:r>
      <w:r w:rsidR="00142B22" w:rsidRPr="00D44B24">
        <w:rPr>
          <w:sz w:val="28"/>
        </w:rPr>
        <w:t>proceed.</w:t>
      </w:r>
      <w:r w:rsidR="00142B22" w:rsidRPr="00D44B24">
        <w:rPr>
          <w:spacing w:val="25"/>
          <w:sz w:val="28"/>
        </w:rPr>
        <w:t xml:space="preserve"> </w:t>
      </w:r>
      <w:r w:rsidR="00142B22" w:rsidRPr="00D44B24">
        <w:rPr>
          <w:sz w:val="28"/>
        </w:rPr>
        <w:t>Van</w:t>
      </w:r>
      <w:r w:rsidR="00142B22" w:rsidRPr="00D44B24">
        <w:rPr>
          <w:spacing w:val="22"/>
          <w:sz w:val="28"/>
        </w:rPr>
        <w:t xml:space="preserve"> </w:t>
      </w:r>
      <w:r w:rsidR="00142B22" w:rsidRPr="00D44B24">
        <w:rPr>
          <w:sz w:val="28"/>
        </w:rPr>
        <w:t>Deventer</w:t>
      </w:r>
      <w:r w:rsidR="00142B22" w:rsidRPr="00D44B24">
        <w:rPr>
          <w:spacing w:val="25"/>
          <w:sz w:val="28"/>
        </w:rPr>
        <w:t xml:space="preserve"> </w:t>
      </w:r>
      <w:r w:rsidR="00142B22" w:rsidRPr="00D44B24">
        <w:rPr>
          <w:sz w:val="28"/>
        </w:rPr>
        <w:t>was</w:t>
      </w:r>
      <w:r w:rsidR="00142B22" w:rsidRPr="00D44B24">
        <w:rPr>
          <w:spacing w:val="25"/>
          <w:sz w:val="28"/>
        </w:rPr>
        <w:t xml:space="preserve"> </w:t>
      </w:r>
      <w:r w:rsidR="00142B22" w:rsidRPr="00D44B24">
        <w:rPr>
          <w:sz w:val="28"/>
        </w:rPr>
        <w:t>prevented</w:t>
      </w:r>
      <w:r w:rsidR="00142B22" w:rsidRPr="00D44B24">
        <w:rPr>
          <w:spacing w:val="24"/>
          <w:sz w:val="28"/>
        </w:rPr>
        <w:t xml:space="preserve"> </w:t>
      </w:r>
      <w:r w:rsidR="00142B22" w:rsidRPr="00D44B24">
        <w:rPr>
          <w:sz w:val="28"/>
        </w:rPr>
        <w:t>from</w:t>
      </w:r>
    </w:p>
    <w:p w:rsidR="000E46F1" w:rsidRDefault="000E46F1">
      <w:pPr>
        <w:spacing w:line="360" w:lineRule="auto"/>
        <w:jc w:val="both"/>
        <w:rPr>
          <w:sz w:val="28"/>
        </w:rPr>
        <w:sectPr w:rsidR="000E46F1">
          <w:headerReference w:type="default" r:id="rId8"/>
          <w:pgSz w:w="11910" w:h="16840"/>
          <w:pgMar w:top="960" w:right="1300" w:bottom="280" w:left="1300" w:header="751" w:footer="0" w:gutter="0"/>
          <w:pgNumType w:start="2"/>
          <w:cols w:space="720"/>
        </w:sectPr>
      </w:pPr>
    </w:p>
    <w:p w:rsidR="000E46F1" w:rsidRDefault="000E46F1">
      <w:pPr>
        <w:pStyle w:val="BodyText"/>
        <w:rPr>
          <w:sz w:val="20"/>
        </w:rPr>
      </w:pPr>
    </w:p>
    <w:p w:rsidR="000E46F1" w:rsidRDefault="00142B22">
      <w:pPr>
        <w:pStyle w:val="BodyText"/>
        <w:spacing w:before="237" w:line="360" w:lineRule="auto"/>
        <w:ind w:left="992" w:right="134"/>
        <w:jc w:val="both"/>
      </w:pPr>
      <w:r>
        <w:t xml:space="preserve">representing the applicants on the basis that only the attorneys whose names are on the roll of attorneys for this division are allowed to represent a party in the taxation. The taxation was consequently postponed. It is in that regard that the applicants </w:t>
      </w:r>
      <w:r>
        <w:t>have launched these proceedings seeking to review the taxing master’s ruling. The application is opposed by the first respondent.</w:t>
      </w:r>
    </w:p>
    <w:p w:rsidR="000E46F1" w:rsidRDefault="000E46F1">
      <w:pPr>
        <w:pStyle w:val="BodyText"/>
        <w:rPr>
          <w:sz w:val="30"/>
        </w:rPr>
      </w:pPr>
    </w:p>
    <w:p w:rsidR="000E46F1" w:rsidRDefault="000E46F1">
      <w:pPr>
        <w:pStyle w:val="BodyText"/>
        <w:rPr>
          <w:sz w:val="30"/>
        </w:rPr>
      </w:pPr>
    </w:p>
    <w:p w:rsidR="000E46F1" w:rsidRDefault="000E46F1">
      <w:pPr>
        <w:pStyle w:val="BodyText"/>
        <w:rPr>
          <w:sz w:val="24"/>
        </w:rPr>
      </w:pPr>
    </w:p>
    <w:p w:rsidR="000E46F1" w:rsidRPr="00D44B24" w:rsidRDefault="00D44B24" w:rsidP="00D44B24">
      <w:pPr>
        <w:tabs>
          <w:tab w:val="left" w:pos="993"/>
        </w:tabs>
        <w:spacing w:line="360" w:lineRule="auto"/>
        <w:ind w:left="992" w:hanging="852"/>
        <w:jc w:val="both"/>
        <w:rPr>
          <w:sz w:val="28"/>
        </w:rPr>
      </w:pPr>
      <w:r>
        <w:rPr>
          <w:sz w:val="28"/>
          <w:szCs w:val="28"/>
        </w:rPr>
        <w:t>[3]</w:t>
      </w:r>
      <w:r>
        <w:rPr>
          <w:sz w:val="28"/>
          <w:szCs w:val="28"/>
        </w:rPr>
        <w:tab/>
      </w:r>
      <w:r w:rsidR="00142B22" w:rsidRPr="00D44B24">
        <w:rPr>
          <w:sz w:val="28"/>
        </w:rPr>
        <w:t xml:space="preserve">In its answering affidavit the first respondent raised three points </w:t>
      </w:r>
      <w:r w:rsidR="00142B22" w:rsidRPr="00D44B24">
        <w:rPr>
          <w:i/>
          <w:sz w:val="28"/>
        </w:rPr>
        <w:t xml:space="preserve">in limine </w:t>
      </w:r>
      <w:r w:rsidR="00142B22" w:rsidRPr="00D44B24">
        <w:rPr>
          <w:sz w:val="28"/>
        </w:rPr>
        <w:t>that: the application is irregular for want o</w:t>
      </w:r>
      <w:r w:rsidR="00142B22" w:rsidRPr="00D44B24">
        <w:rPr>
          <w:sz w:val="28"/>
        </w:rPr>
        <w:t>f compliance with PAJA, Rule 48 or 53 and also the non-joinder of the Department of Justice in the</w:t>
      </w:r>
      <w:r w:rsidR="00142B22" w:rsidRPr="00D44B24">
        <w:rPr>
          <w:spacing w:val="-8"/>
          <w:sz w:val="28"/>
        </w:rPr>
        <w:t xml:space="preserve"> </w:t>
      </w:r>
      <w:r w:rsidR="00142B22" w:rsidRPr="00D44B24">
        <w:rPr>
          <w:sz w:val="28"/>
        </w:rPr>
        <w:t>proceedings.</w:t>
      </w:r>
    </w:p>
    <w:p w:rsidR="000E46F1" w:rsidRDefault="000E46F1">
      <w:pPr>
        <w:pStyle w:val="BodyText"/>
        <w:rPr>
          <w:sz w:val="42"/>
        </w:rPr>
      </w:pPr>
    </w:p>
    <w:p w:rsidR="000E46F1" w:rsidRDefault="00142B22">
      <w:pPr>
        <w:pStyle w:val="Heading1"/>
      </w:pPr>
      <w:r>
        <w:t>Non-compliance with PAJA, Uniform Rules of Court, 48 and/or 53</w:t>
      </w:r>
    </w:p>
    <w:p w:rsidR="000E46F1" w:rsidRDefault="000E46F1">
      <w:pPr>
        <w:pStyle w:val="BodyText"/>
        <w:rPr>
          <w:b/>
          <w:i/>
          <w:sz w:val="30"/>
        </w:rPr>
      </w:pPr>
    </w:p>
    <w:p w:rsidR="000E46F1" w:rsidRDefault="000E46F1">
      <w:pPr>
        <w:pStyle w:val="BodyText"/>
        <w:spacing w:before="2"/>
        <w:rPr>
          <w:b/>
          <w:i/>
          <w:sz w:val="26"/>
        </w:rPr>
      </w:pPr>
    </w:p>
    <w:p w:rsidR="000E46F1" w:rsidRPr="00D44B24" w:rsidRDefault="00D44B24" w:rsidP="00D44B24">
      <w:pPr>
        <w:tabs>
          <w:tab w:val="left" w:pos="993"/>
        </w:tabs>
        <w:spacing w:line="360" w:lineRule="auto"/>
        <w:ind w:left="992" w:right="131" w:hanging="852"/>
        <w:jc w:val="both"/>
        <w:rPr>
          <w:sz w:val="28"/>
        </w:rPr>
      </w:pPr>
      <w:r>
        <w:rPr>
          <w:sz w:val="28"/>
          <w:szCs w:val="28"/>
        </w:rPr>
        <w:t>[4]</w:t>
      </w:r>
      <w:r>
        <w:rPr>
          <w:sz w:val="28"/>
          <w:szCs w:val="28"/>
        </w:rPr>
        <w:tab/>
      </w:r>
      <w:r w:rsidR="00142B22" w:rsidRPr="00D44B24">
        <w:rPr>
          <w:sz w:val="28"/>
        </w:rPr>
        <w:t>The first respondent contends that the application is irregular as it is neith</w:t>
      </w:r>
      <w:r w:rsidR="00142B22" w:rsidRPr="00D44B24">
        <w:rPr>
          <w:sz w:val="28"/>
        </w:rPr>
        <w:t>er premised on the Promotion of Administrative Justice Act, Rule 48 or 53. I disagree. The Promotion of Administrative Justice Act (‘PAJA’)</w:t>
      </w:r>
      <w:r w:rsidR="00142B22" w:rsidRPr="00D44B24">
        <w:rPr>
          <w:position w:val="10"/>
          <w:sz w:val="18"/>
        </w:rPr>
        <w:t xml:space="preserve">1 </w:t>
      </w:r>
      <w:r w:rsidR="00142B22" w:rsidRPr="00D44B24">
        <w:rPr>
          <w:sz w:val="28"/>
        </w:rPr>
        <w:t>is a pathway for a judicial review of administrative actions. A taxing master performs a quasi-judicial function an</w:t>
      </w:r>
      <w:r w:rsidR="00142B22" w:rsidRPr="00D44B24">
        <w:rPr>
          <w:sz w:val="28"/>
        </w:rPr>
        <w:t>d not an administrative function. PAJA is therefore not applicable in these</w:t>
      </w:r>
      <w:r w:rsidR="00142B22" w:rsidRPr="00D44B24">
        <w:rPr>
          <w:spacing w:val="-6"/>
          <w:sz w:val="28"/>
        </w:rPr>
        <w:t xml:space="preserve"> </w:t>
      </w:r>
      <w:r w:rsidR="00142B22" w:rsidRPr="00D44B24">
        <w:rPr>
          <w:sz w:val="28"/>
        </w:rPr>
        <w:t>circumstances.</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5"/>
        <w:rPr>
          <w:sz w:val="23"/>
        </w:rPr>
      </w:pPr>
    </w:p>
    <w:p w:rsidR="000E46F1" w:rsidRPr="00D44B24" w:rsidRDefault="00D44B24" w:rsidP="00D44B24">
      <w:pPr>
        <w:tabs>
          <w:tab w:val="left" w:pos="993"/>
        </w:tabs>
        <w:spacing w:line="360" w:lineRule="auto"/>
        <w:ind w:left="992" w:right="136" w:hanging="852"/>
        <w:jc w:val="both"/>
        <w:rPr>
          <w:sz w:val="28"/>
        </w:rPr>
      </w:pPr>
      <w:r>
        <w:rPr>
          <w:sz w:val="28"/>
          <w:szCs w:val="28"/>
        </w:rPr>
        <w:t>[5]</w:t>
      </w:r>
      <w:r>
        <w:rPr>
          <w:sz w:val="28"/>
          <w:szCs w:val="28"/>
        </w:rPr>
        <w:tab/>
      </w:r>
      <w:r w:rsidR="00142B22">
        <w:pict>
          <v:shape id="_x0000_s1029" style="position:absolute;left:0;text-align:left;margin-left:1in;margin-top:76.65pt;width:144.05pt;height:.1pt;z-index:-251650048;mso-wrap-distance-left:0;mso-wrap-distance-right:0;mso-position-horizontal-relative:page;mso-position-vertical-relative:text" coordorigin="1440,1533" coordsize="2881,0" path="m1440,1533r2881,e" filled="f" strokeweight=".72pt">
            <v:path arrowok="t"/>
            <w10:wrap type="topAndBottom" anchorx="page"/>
          </v:shape>
        </w:pict>
      </w:r>
      <w:r w:rsidR="00142B22" w:rsidRPr="00D44B24">
        <w:rPr>
          <w:sz w:val="28"/>
        </w:rPr>
        <w:t>It is trite that Rule 48 is applicable in a situation where a review is directed at challenging a ruling or rulings made by the taxing master</w:t>
      </w:r>
      <w:r w:rsidR="00142B22" w:rsidRPr="00D44B24">
        <w:rPr>
          <w:spacing w:val="9"/>
          <w:sz w:val="28"/>
        </w:rPr>
        <w:t xml:space="preserve"> </w:t>
      </w:r>
      <w:r w:rsidR="00142B22" w:rsidRPr="00D44B24">
        <w:rPr>
          <w:sz w:val="28"/>
        </w:rPr>
        <w:t>on</w:t>
      </w:r>
      <w:r w:rsidR="00142B22" w:rsidRPr="00D44B24">
        <w:rPr>
          <w:spacing w:val="10"/>
          <w:sz w:val="28"/>
        </w:rPr>
        <w:t xml:space="preserve"> </w:t>
      </w:r>
      <w:r w:rsidR="00142B22" w:rsidRPr="00D44B24">
        <w:rPr>
          <w:sz w:val="28"/>
        </w:rPr>
        <w:t>items</w:t>
      </w:r>
      <w:r w:rsidR="00142B22" w:rsidRPr="00D44B24">
        <w:rPr>
          <w:spacing w:val="13"/>
          <w:sz w:val="28"/>
        </w:rPr>
        <w:t xml:space="preserve"> </w:t>
      </w:r>
      <w:r w:rsidR="00142B22" w:rsidRPr="00D44B24">
        <w:rPr>
          <w:sz w:val="28"/>
        </w:rPr>
        <w:t>in</w:t>
      </w:r>
      <w:r w:rsidR="00142B22" w:rsidRPr="00D44B24">
        <w:rPr>
          <w:spacing w:val="8"/>
          <w:sz w:val="28"/>
        </w:rPr>
        <w:t xml:space="preserve"> </w:t>
      </w:r>
      <w:r w:rsidR="00142B22" w:rsidRPr="00D44B24">
        <w:rPr>
          <w:sz w:val="28"/>
        </w:rPr>
        <w:t>the</w:t>
      </w:r>
      <w:r w:rsidR="00142B22" w:rsidRPr="00D44B24">
        <w:rPr>
          <w:spacing w:val="11"/>
          <w:sz w:val="28"/>
        </w:rPr>
        <w:t xml:space="preserve"> </w:t>
      </w:r>
      <w:r w:rsidR="00142B22" w:rsidRPr="00D44B24">
        <w:rPr>
          <w:sz w:val="28"/>
        </w:rPr>
        <w:t>bill</w:t>
      </w:r>
      <w:r w:rsidR="00142B22" w:rsidRPr="00D44B24">
        <w:rPr>
          <w:spacing w:val="10"/>
          <w:sz w:val="28"/>
        </w:rPr>
        <w:t xml:space="preserve"> </w:t>
      </w:r>
      <w:r w:rsidR="00142B22" w:rsidRPr="00D44B24">
        <w:rPr>
          <w:sz w:val="28"/>
        </w:rPr>
        <w:t>to</w:t>
      </w:r>
      <w:r w:rsidR="00142B22" w:rsidRPr="00D44B24">
        <w:rPr>
          <w:spacing w:val="11"/>
          <w:sz w:val="28"/>
        </w:rPr>
        <w:t xml:space="preserve"> </w:t>
      </w:r>
      <w:r w:rsidR="00142B22" w:rsidRPr="00D44B24">
        <w:rPr>
          <w:sz w:val="28"/>
        </w:rPr>
        <w:t>be</w:t>
      </w:r>
      <w:r w:rsidR="00142B22" w:rsidRPr="00D44B24">
        <w:rPr>
          <w:spacing w:val="10"/>
          <w:sz w:val="28"/>
        </w:rPr>
        <w:t xml:space="preserve"> </w:t>
      </w:r>
      <w:r w:rsidR="00142B22" w:rsidRPr="00D44B24">
        <w:rPr>
          <w:sz w:val="28"/>
        </w:rPr>
        <w:t>taxed</w:t>
      </w:r>
      <w:r w:rsidR="00142B22" w:rsidRPr="00D44B24">
        <w:rPr>
          <w:spacing w:val="16"/>
          <w:sz w:val="28"/>
        </w:rPr>
        <w:t xml:space="preserve"> </w:t>
      </w:r>
      <w:r w:rsidR="00142B22" w:rsidRPr="00D44B24">
        <w:rPr>
          <w:sz w:val="28"/>
        </w:rPr>
        <w:t>and</w:t>
      </w:r>
      <w:r w:rsidR="00142B22" w:rsidRPr="00D44B24">
        <w:rPr>
          <w:spacing w:val="12"/>
          <w:sz w:val="28"/>
        </w:rPr>
        <w:t xml:space="preserve"> </w:t>
      </w:r>
      <w:r w:rsidR="00142B22" w:rsidRPr="00D44B24">
        <w:rPr>
          <w:sz w:val="28"/>
        </w:rPr>
        <w:t>after</w:t>
      </w:r>
      <w:r w:rsidR="00142B22" w:rsidRPr="00D44B24">
        <w:rPr>
          <w:spacing w:val="10"/>
          <w:sz w:val="28"/>
        </w:rPr>
        <w:t xml:space="preserve"> </w:t>
      </w:r>
      <w:r w:rsidR="00142B22" w:rsidRPr="00D44B24">
        <w:rPr>
          <w:sz w:val="28"/>
        </w:rPr>
        <w:t>which</w:t>
      </w:r>
      <w:r w:rsidR="00142B22" w:rsidRPr="00D44B24">
        <w:rPr>
          <w:spacing w:val="9"/>
          <w:sz w:val="28"/>
        </w:rPr>
        <w:t xml:space="preserve"> </w:t>
      </w:r>
      <w:r w:rsidR="00142B22" w:rsidRPr="00D44B24">
        <w:rPr>
          <w:sz w:val="28"/>
        </w:rPr>
        <w:t>the</w:t>
      </w:r>
      <w:r w:rsidR="00142B22" w:rsidRPr="00D44B24">
        <w:rPr>
          <w:spacing w:val="10"/>
          <w:sz w:val="28"/>
        </w:rPr>
        <w:t xml:space="preserve"> </w:t>
      </w:r>
      <w:r w:rsidR="00142B22" w:rsidRPr="00D44B24">
        <w:rPr>
          <w:sz w:val="28"/>
        </w:rPr>
        <w:t>master</w:t>
      </w:r>
    </w:p>
    <w:p w:rsidR="000E46F1" w:rsidRDefault="00142B22">
      <w:pPr>
        <w:spacing w:before="69"/>
        <w:ind w:left="140"/>
        <w:rPr>
          <w:rFonts w:ascii="Calibri"/>
          <w:sz w:val="20"/>
        </w:rPr>
      </w:pPr>
      <w:r>
        <w:rPr>
          <w:rFonts w:ascii="Calibri"/>
          <w:position w:val="7"/>
          <w:sz w:val="13"/>
        </w:rPr>
        <w:t>1</w:t>
      </w:r>
      <w:r>
        <w:rPr>
          <w:rFonts w:ascii="Calibri"/>
          <w:position w:val="7"/>
          <w:sz w:val="13"/>
        </w:rPr>
        <w:t xml:space="preserve"> </w:t>
      </w:r>
      <w:r>
        <w:rPr>
          <w:rFonts w:ascii="Calibri"/>
          <w:sz w:val="20"/>
        </w:rPr>
        <w:t>Act 3 of 2000.</w:t>
      </w:r>
    </w:p>
    <w:p w:rsidR="000E46F1" w:rsidRDefault="000E46F1">
      <w:pPr>
        <w:rPr>
          <w:rFonts w:ascii="Calibri"/>
          <w:sz w:val="20"/>
        </w:rPr>
        <w:sectPr w:rsidR="000E46F1">
          <w:pgSz w:w="11910" w:h="16840"/>
          <w:pgMar w:top="960" w:right="1300" w:bottom="280" w:left="1300" w:header="751" w:footer="0" w:gutter="0"/>
          <w:cols w:space="720"/>
        </w:sectPr>
      </w:pPr>
    </w:p>
    <w:p w:rsidR="000E46F1" w:rsidRDefault="000E46F1">
      <w:pPr>
        <w:pStyle w:val="BodyText"/>
        <w:rPr>
          <w:rFonts w:ascii="Calibri"/>
          <w:sz w:val="20"/>
        </w:rPr>
      </w:pPr>
    </w:p>
    <w:p w:rsidR="000E46F1" w:rsidRDefault="00142B22">
      <w:pPr>
        <w:pStyle w:val="BodyText"/>
        <w:spacing w:before="223" w:line="360" w:lineRule="auto"/>
        <w:ind w:left="992" w:right="133"/>
        <w:jc w:val="both"/>
      </w:pPr>
      <w:r>
        <w:t>made an allocator. The situation presenting itself on the facts of this case is clearly not one envisaged by the Rule. The master did not conduct any taxation, the review is instead directed at her ruling against the appearance of the applicant’s represent</w:t>
      </w:r>
      <w:r>
        <w:t>ative at the taxation. Rule 53 does not make its use peremptory for matters which fall within its ambit. It merely facilitates access to the record of the proceedings in which the decision was made and the reasons for that decision. It is there for the ben</w:t>
      </w:r>
      <w:r>
        <w:t>efit of the applicants who are at liberty to enjoy if, and to the extent needed in their particular circumstances. This objection cannot be</w:t>
      </w:r>
      <w:r>
        <w:rPr>
          <w:spacing w:val="-18"/>
        </w:rPr>
        <w:t xml:space="preserve"> </w:t>
      </w:r>
      <w:r>
        <w:t>upheld.</w:t>
      </w:r>
    </w:p>
    <w:p w:rsidR="000E46F1" w:rsidRDefault="000E46F1">
      <w:pPr>
        <w:pStyle w:val="BodyText"/>
        <w:spacing w:before="1"/>
        <w:rPr>
          <w:sz w:val="42"/>
        </w:rPr>
      </w:pPr>
    </w:p>
    <w:p w:rsidR="000E46F1" w:rsidRDefault="00142B22">
      <w:pPr>
        <w:pStyle w:val="Heading1"/>
        <w:spacing w:before="1"/>
      </w:pPr>
      <w:r>
        <w:t>Non-joinder of the Department of Justice</w:t>
      </w:r>
    </w:p>
    <w:p w:rsidR="000E46F1" w:rsidRDefault="000E46F1">
      <w:pPr>
        <w:pStyle w:val="BodyText"/>
        <w:rPr>
          <w:b/>
          <w:i/>
          <w:sz w:val="30"/>
        </w:rPr>
      </w:pPr>
    </w:p>
    <w:p w:rsidR="000E46F1" w:rsidRDefault="000E46F1">
      <w:pPr>
        <w:pStyle w:val="BodyText"/>
        <w:rPr>
          <w:b/>
          <w:i/>
          <w:sz w:val="30"/>
        </w:rPr>
      </w:pPr>
    </w:p>
    <w:p w:rsidR="000E46F1" w:rsidRDefault="000E46F1">
      <w:pPr>
        <w:pStyle w:val="BodyText"/>
        <w:spacing w:before="10"/>
        <w:rPr>
          <w:b/>
          <w:i/>
          <w:sz w:val="37"/>
        </w:rPr>
      </w:pPr>
    </w:p>
    <w:p w:rsidR="000E46F1" w:rsidRPr="00D44B24" w:rsidRDefault="00D44B24" w:rsidP="00D44B24">
      <w:pPr>
        <w:tabs>
          <w:tab w:val="left" w:pos="993"/>
        </w:tabs>
        <w:spacing w:line="360" w:lineRule="auto"/>
        <w:ind w:left="992" w:right="131" w:hanging="852"/>
        <w:jc w:val="both"/>
        <w:rPr>
          <w:sz w:val="28"/>
        </w:rPr>
      </w:pPr>
      <w:r>
        <w:rPr>
          <w:sz w:val="28"/>
          <w:szCs w:val="28"/>
        </w:rPr>
        <w:t>[6]</w:t>
      </w:r>
      <w:r>
        <w:rPr>
          <w:sz w:val="28"/>
          <w:szCs w:val="28"/>
        </w:rPr>
        <w:tab/>
      </w:r>
      <w:r w:rsidR="00142B22" w:rsidRPr="00D44B24">
        <w:rPr>
          <w:sz w:val="28"/>
        </w:rPr>
        <w:t>According to the first respondent, the applicants are seeking r</w:t>
      </w:r>
      <w:r w:rsidR="00142B22" w:rsidRPr="00D44B24">
        <w:rPr>
          <w:sz w:val="28"/>
        </w:rPr>
        <w:t xml:space="preserve">elief against a decision of the functionary of the Department of Justice in her capacity as such therefore the Department of Justice must also be cited in these proceedings. There is no merit to this objection, the taxing master has the necessary </w:t>
      </w:r>
      <w:r w:rsidR="00142B22" w:rsidRPr="00D44B24">
        <w:rPr>
          <w:i/>
          <w:sz w:val="28"/>
        </w:rPr>
        <w:t>locus sta</w:t>
      </w:r>
      <w:r w:rsidR="00142B22" w:rsidRPr="00D44B24">
        <w:rPr>
          <w:i/>
          <w:sz w:val="28"/>
        </w:rPr>
        <w:t xml:space="preserve">ndi </w:t>
      </w:r>
      <w:r w:rsidR="00142B22" w:rsidRPr="00D44B24">
        <w:rPr>
          <w:sz w:val="28"/>
        </w:rPr>
        <w:t>to be cited in her official capacity as the taxing</w:t>
      </w:r>
      <w:r w:rsidR="00142B22" w:rsidRPr="00D44B24">
        <w:rPr>
          <w:spacing w:val="-12"/>
          <w:sz w:val="28"/>
        </w:rPr>
        <w:t xml:space="preserve"> </w:t>
      </w:r>
      <w:r w:rsidR="00142B22" w:rsidRPr="00D44B24">
        <w:rPr>
          <w:sz w:val="28"/>
        </w:rPr>
        <w:t>master.</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1"/>
        <w:rPr>
          <w:sz w:val="24"/>
        </w:rPr>
      </w:pPr>
    </w:p>
    <w:p w:rsidR="000E46F1" w:rsidRPr="00D44B24" w:rsidRDefault="00D44B24" w:rsidP="00D44B24">
      <w:pPr>
        <w:tabs>
          <w:tab w:val="left" w:pos="993"/>
        </w:tabs>
        <w:spacing w:line="360" w:lineRule="auto"/>
        <w:ind w:left="992" w:right="137" w:hanging="852"/>
        <w:jc w:val="both"/>
        <w:rPr>
          <w:sz w:val="28"/>
        </w:rPr>
      </w:pPr>
      <w:r>
        <w:rPr>
          <w:sz w:val="28"/>
          <w:szCs w:val="28"/>
        </w:rPr>
        <w:t>[7]</w:t>
      </w:r>
      <w:r>
        <w:rPr>
          <w:sz w:val="28"/>
          <w:szCs w:val="28"/>
        </w:rPr>
        <w:tab/>
      </w:r>
      <w:r w:rsidR="00142B22" w:rsidRPr="00D44B24">
        <w:rPr>
          <w:sz w:val="28"/>
        </w:rPr>
        <w:t>I therefore hold that the first respondent’s objections are unfounded and they are accordingly</w:t>
      </w:r>
      <w:r w:rsidR="00142B22" w:rsidRPr="00D44B24">
        <w:rPr>
          <w:spacing w:val="-13"/>
          <w:sz w:val="28"/>
        </w:rPr>
        <w:t xml:space="preserve"> </w:t>
      </w:r>
      <w:r w:rsidR="00142B22" w:rsidRPr="00D44B24">
        <w:rPr>
          <w:sz w:val="28"/>
        </w:rPr>
        <w:t>dismissed.</w:t>
      </w:r>
    </w:p>
    <w:p w:rsidR="000E46F1" w:rsidRDefault="000E46F1">
      <w:pPr>
        <w:pStyle w:val="BodyText"/>
        <w:rPr>
          <w:sz w:val="30"/>
        </w:rPr>
      </w:pPr>
    </w:p>
    <w:p w:rsidR="000E46F1" w:rsidRDefault="000E46F1">
      <w:pPr>
        <w:pStyle w:val="BodyText"/>
        <w:rPr>
          <w:sz w:val="30"/>
        </w:rPr>
      </w:pPr>
    </w:p>
    <w:p w:rsidR="000E46F1" w:rsidRDefault="000E46F1">
      <w:pPr>
        <w:pStyle w:val="BodyText"/>
        <w:rPr>
          <w:sz w:val="24"/>
        </w:rPr>
      </w:pPr>
    </w:p>
    <w:p w:rsidR="000E46F1" w:rsidRPr="00D44B24" w:rsidRDefault="00D44B24" w:rsidP="00D44B24">
      <w:pPr>
        <w:tabs>
          <w:tab w:val="left" w:pos="993"/>
        </w:tabs>
        <w:spacing w:line="360" w:lineRule="auto"/>
        <w:ind w:left="992" w:right="137" w:hanging="852"/>
        <w:jc w:val="both"/>
        <w:rPr>
          <w:sz w:val="28"/>
        </w:rPr>
      </w:pPr>
      <w:r>
        <w:rPr>
          <w:sz w:val="28"/>
          <w:szCs w:val="28"/>
        </w:rPr>
        <w:t>[8]</w:t>
      </w:r>
      <w:r>
        <w:rPr>
          <w:sz w:val="28"/>
          <w:szCs w:val="28"/>
        </w:rPr>
        <w:tab/>
      </w:r>
      <w:r w:rsidR="00142B22" w:rsidRPr="00D44B24">
        <w:rPr>
          <w:sz w:val="28"/>
        </w:rPr>
        <w:t>I now turn to the issue under review. The issue that arise in this review is the regularity of the taxing master’s decision</w:t>
      </w:r>
      <w:r w:rsidR="00142B22" w:rsidRPr="00D44B24">
        <w:rPr>
          <w:spacing w:val="46"/>
          <w:sz w:val="28"/>
        </w:rPr>
        <w:t xml:space="preserve"> </w:t>
      </w:r>
      <w:r w:rsidR="00142B22" w:rsidRPr="00D44B24">
        <w:rPr>
          <w:sz w:val="28"/>
        </w:rPr>
        <w:t>in</w:t>
      </w:r>
    </w:p>
    <w:p w:rsidR="000E46F1" w:rsidRDefault="000E46F1">
      <w:pPr>
        <w:spacing w:line="360" w:lineRule="auto"/>
        <w:jc w:val="both"/>
        <w:rPr>
          <w:sz w:val="28"/>
        </w:rPr>
        <w:sectPr w:rsidR="000E46F1">
          <w:pgSz w:w="11910" w:h="16840"/>
          <w:pgMar w:top="960" w:right="1300" w:bottom="280" w:left="1300" w:header="751" w:footer="0" w:gutter="0"/>
          <w:cols w:space="720"/>
        </w:sectPr>
      </w:pPr>
    </w:p>
    <w:p w:rsidR="000E46F1" w:rsidRDefault="000E46F1">
      <w:pPr>
        <w:pStyle w:val="BodyText"/>
        <w:rPr>
          <w:sz w:val="20"/>
        </w:rPr>
      </w:pPr>
    </w:p>
    <w:p w:rsidR="000E46F1" w:rsidRDefault="00142B22">
      <w:pPr>
        <w:pStyle w:val="BodyText"/>
        <w:spacing w:before="237" w:line="360" w:lineRule="auto"/>
        <w:ind w:left="992"/>
      </w:pPr>
      <w:r>
        <w:t>preventing the applicants’ attorney from appearing at the taxation set down before the said taxing master.</w:t>
      </w:r>
    </w:p>
    <w:p w:rsidR="000E46F1" w:rsidRDefault="000E46F1">
      <w:pPr>
        <w:pStyle w:val="BodyText"/>
        <w:rPr>
          <w:sz w:val="30"/>
        </w:rPr>
      </w:pPr>
    </w:p>
    <w:p w:rsidR="000E46F1" w:rsidRDefault="000E46F1">
      <w:pPr>
        <w:pStyle w:val="BodyText"/>
        <w:rPr>
          <w:sz w:val="30"/>
        </w:rPr>
      </w:pPr>
    </w:p>
    <w:p w:rsidR="000E46F1" w:rsidRDefault="000E46F1">
      <w:pPr>
        <w:pStyle w:val="BodyText"/>
        <w:rPr>
          <w:sz w:val="24"/>
        </w:rPr>
      </w:pPr>
    </w:p>
    <w:p w:rsidR="000E46F1" w:rsidRPr="00D44B24" w:rsidRDefault="00D44B24" w:rsidP="00D44B24">
      <w:pPr>
        <w:tabs>
          <w:tab w:val="left" w:pos="993"/>
        </w:tabs>
        <w:spacing w:line="360" w:lineRule="auto"/>
        <w:ind w:left="992" w:right="134" w:hanging="852"/>
        <w:jc w:val="both"/>
        <w:rPr>
          <w:sz w:val="28"/>
        </w:rPr>
      </w:pPr>
      <w:r>
        <w:rPr>
          <w:sz w:val="28"/>
          <w:szCs w:val="28"/>
        </w:rPr>
        <w:t>[9]</w:t>
      </w:r>
      <w:r>
        <w:rPr>
          <w:sz w:val="28"/>
          <w:szCs w:val="28"/>
        </w:rPr>
        <w:tab/>
      </w:r>
      <w:r w:rsidR="00142B22" w:rsidRPr="00D44B24">
        <w:rPr>
          <w:sz w:val="28"/>
        </w:rPr>
        <w:t xml:space="preserve">It was the applicants’ case that the taxing master’s ruling </w:t>
      </w:r>
      <w:r w:rsidR="00142B22" w:rsidRPr="00D44B24">
        <w:rPr>
          <w:spacing w:val="-2"/>
          <w:sz w:val="28"/>
        </w:rPr>
        <w:t xml:space="preserve">was </w:t>
      </w:r>
      <w:r w:rsidR="00142B22" w:rsidRPr="00D44B24">
        <w:rPr>
          <w:sz w:val="28"/>
        </w:rPr>
        <w:t>based on a misinterpretation or wrong understanding of the provisions of this court’s Practice Directives. The ruling was accordingly wrong. The applicants also launched an attack on the objec</w:t>
      </w:r>
      <w:r w:rsidR="00142B22" w:rsidRPr="00D44B24">
        <w:rPr>
          <w:sz w:val="28"/>
        </w:rPr>
        <w:t>tivity of the taxing master. It was averred that her behaviour was quite opportunistic in that despite having been adamant that van Deventer was not permitted to appear at the taxation, the taxing master nevertheless suggested that she would allow van Deve</w:t>
      </w:r>
      <w:r w:rsidR="00142B22" w:rsidRPr="00D44B24">
        <w:rPr>
          <w:sz w:val="28"/>
        </w:rPr>
        <w:t>nter to appear, provided she agreed to waive the right to review the rulings that the taxing master would make at the said taxation.</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1"/>
        <w:rPr>
          <w:sz w:val="24"/>
        </w:rPr>
      </w:pPr>
    </w:p>
    <w:p w:rsidR="000E46F1" w:rsidRPr="00D44B24" w:rsidRDefault="00D44B24" w:rsidP="00D44B24">
      <w:pPr>
        <w:tabs>
          <w:tab w:val="left" w:pos="993"/>
        </w:tabs>
        <w:spacing w:line="360" w:lineRule="auto"/>
        <w:ind w:left="992" w:hanging="852"/>
        <w:jc w:val="both"/>
        <w:rPr>
          <w:sz w:val="28"/>
        </w:rPr>
      </w:pPr>
      <w:r>
        <w:rPr>
          <w:sz w:val="28"/>
          <w:szCs w:val="28"/>
        </w:rPr>
        <w:t>[10]</w:t>
      </w:r>
      <w:r>
        <w:rPr>
          <w:sz w:val="28"/>
          <w:szCs w:val="28"/>
        </w:rPr>
        <w:tab/>
      </w:r>
      <w:r w:rsidR="00142B22" w:rsidRPr="00D44B24">
        <w:rPr>
          <w:sz w:val="28"/>
        </w:rPr>
        <w:t>On the other side, the first’s respondent’s case is one of curious contradiction. Although it was submitted by counsel f</w:t>
      </w:r>
      <w:r w:rsidR="00142B22" w:rsidRPr="00D44B24">
        <w:rPr>
          <w:sz w:val="28"/>
        </w:rPr>
        <w:t>or the first respondent that the granting of the order is not opposed except for the order relating to costs, the first respondent’s answering affidavit says otherwise. The application is opposed on the preliminary points and also on the</w:t>
      </w:r>
      <w:r w:rsidR="00142B22" w:rsidRPr="00D44B24">
        <w:rPr>
          <w:spacing w:val="-2"/>
          <w:sz w:val="28"/>
        </w:rPr>
        <w:t xml:space="preserve"> </w:t>
      </w:r>
      <w:r w:rsidR="00142B22" w:rsidRPr="00D44B24">
        <w:rPr>
          <w:sz w:val="28"/>
        </w:rPr>
        <w:t>merits.</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1"/>
        <w:rPr>
          <w:sz w:val="24"/>
        </w:rPr>
      </w:pPr>
    </w:p>
    <w:p w:rsidR="000E46F1" w:rsidRPr="00D44B24" w:rsidRDefault="00D44B24" w:rsidP="00D44B24">
      <w:pPr>
        <w:tabs>
          <w:tab w:val="left" w:pos="993"/>
        </w:tabs>
        <w:spacing w:line="360" w:lineRule="auto"/>
        <w:ind w:left="992" w:right="137" w:hanging="852"/>
        <w:jc w:val="both"/>
        <w:rPr>
          <w:sz w:val="28"/>
        </w:rPr>
      </w:pPr>
      <w:r>
        <w:rPr>
          <w:sz w:val="28"/>
          <w:szCs w:val="28"/>
        </w:rPr>
        <w:t>[11]</w:t>
      </w:r>
      <w:r>
        <w:rPr>
          <w:sz w:val="28"/>
          <w:szCs w:val="28"/>
        </w:rPr>
        <w:tab/>
      </w:r>
      <w:r w:rsidR="00142B22" w:rsidRPr="00D44B24">
        <w:rPr>
          <w:sz w:val="28"/>
        </w:rPr>
        <w:t>Ultimat</w:t>
      </w:r>
      <w:r w:rsidR="00142B22" w:rsidRPr="00D44B24">
        <w:rPr>
          <w:sz w:val="28"/>
        </w:rPr>
        <w:t>ely it has to be decided whether the taxing master erred or exercised her discretion wrongly in barring the plaintiff’s legal representative from representing the applicants at the</w:t>
      </w:r>
      <w:r w:rsidR="00142B22" w:rsidRPr="00D44B24">
        <w:rPr>
          <w:spacing w:val="-16"/>
          <w:sz w:val="28"/>
        </w:rPr>
        <w:t xml:space="preserve"> </w:t>
      </w:r>
      <w:r w:rsidR="00142B22" w:rsidRPr="00D44B24">
        <w:rPr>
          <w:sz w:val="28"/>
        </w:rPr>
        <w:t>taxation.</w:t>
      </w:r>
    </w:p>
    <w:p w:rsidR="000E46F1" w:rsidRDefault="000E46F1">
      <w:pPr>
        <w:spacing w:line="360" w:lineRule="auto"/>
        <w:jc w:val="both"/>
        <w:rPr>
          <w:sz w:val="28"/>
        </w:rPr>
        <w:sectPr w:rsidR="000E46F1">
          <w:pgSz w:w="11910" w:h="16840"/>
          <w:pgMar w:top="960" w:right="1300" w:bottom="280" w:left="1300" w:header="751" w:footer="0" w:gutter="0"/>
          <w:cols w:space="720"/>
        </w:sect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spacing w:before="7"/>
        <w:rPr>
          <w:sz w:val="19"/>
        </w:rPr>
      </w:pPr>
    </w:p>
    <w:p w:rsidR="000E46F1" w:rsidRPr="00D44B24" w:rsidRDefault="00D44B24" w:rsidP="00D44B24">
      <w:pPr>
        <w:tabs>
          <w:tab w:val="left" w:pos="993"/>
        </w:tabs>
        <w:spacing w:before="92" w:line="360" w:lineRule="auto"/>
        <w:ind w:left="992" w:hanging="852"/>
        <w:jc w:val="both"/>
        <w:rPr>
          <w:sz w:val="28"/>
        </w:rPr>
      </w:pPr>
      <w:r>
        <w:rPr>
          <w:sz w:val="28"/>
          <w:szCs w:val="28"/>
        </w:rPr>
        <w:t>[12]</w:t>
      </w:r>
      <w:r>
        <w:rPr>
          <w:sz w:val="28"/>
          <w:szCs w:val="28"/>
        </w:rPr>
        <w:tab/>
      </w:r>
      <w:r w:rsidR="00142B22" w:rsidRPr="00D44B24">
        <w:rPr>
          <w:sz w:val="28"/>
        </w:rPr>
        <w:t xml:space="preserve">It is settled law that the court will not interfere with the exercise of the taxing master’s discretion unless it appears that such has not been exercised judicially or it was exercised improperly or wrongly, for example, by disregarding factors which she </w:t>
      </w:r>
      <w:r w:rsidR="00142B22" w:rsidRPr="00D44B24">
        <w:rPr>
          <w:sz w:val="28"/>
        </w:rPr>
        <w:t xml:space="preserve">should have considered, or considering matters which were improper for her to have considered, or she had failed to bring her mind to bear on the question in issue, or she had acted on a wrong principle. The court will however interfere where it is of the </w:t>
      </w:r>
      <w:r w:rsidR="00142B22" w:rsidRPr="00D44B24">
        <w:rPr>
          <w:sz w:val="28"/>
        </w:rPr>
        <w:t xml:space="preserve">opinion that the taxing master was clearly wrong. See </w:t>
      </w:r>
      <w:r w:rsidR="00142B22" w:rsidRPr="00D44B24">
        <w:rPr>
          <w:i/>
          <w:sz w:val="28"/>
        </w:rPr>
        <w:t xml:space="preserve">Wellworths Bazaars Ltd v Chandler’s LTD </w:t>
      </w:r>
      <w:r w:rsidR="00142B22" w:rsidRPr="00D44B24">
        <w:rPr>
          <w:i/>
          <w:sz w:val="28"/>
          <w:u w:val="thick"/>
        </w:rPr>
        <w:t>1947 (4) SA 453</w:t>
      </w:r>
      <w:r w:rsidR="00142B22" w:rsidRPr="00D44B24">
        <w:rPr>
          <w:i/>
          <w:sz w:val="28"/>
        </w:rPr>
        <w:t xml:space="preserve"> </w:t>
      </w:r>
      <w:r w:rsidR="00142B22" w:rsidRPr="00D44B24">
        <w:rPr>
          <w:sz w:val="28"/>
        </w:rPr>
        <w:t>(T) 457 to</w:t>
      </w:r>
      <w:r w:rsidR="00142B22" w:rsidRPr="00D44B24">
        <w:rPr>
          <w:spacing w:val="-15"/>
          <w:sz w:val="28"/>
        </w:rPr>
        <w:t xml:space="preserve"> </w:t>
      </w:r>
      <w:r w:rsidR="00142B22" w:rsidRPr="00D44B24">
        <w:rPr>
          <w:sz w:val="28"/>
        </w:rPr>
        <w:t>458.</w:t>
      </w: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spacing w:before="3"/>
        <w:rPr>
          <w:sz w:val="24"/>
        </w:rPr>
      </w:pPr>
    </w:p>
    <w:p w:rsidR="000E46F1" w:rsidRPr="00D44B24" w:rsidRDefault="00D44B24" w:rsidP="00D44B24">
      <w:pPr>
        <w:tabs>
          <w:tab w:val="left" w:pos="993"/>
        </w:tabs>
        <w:spacing w:before="92" w:line="360" w:lineRule="auto"/>
        <w:ind w:left="992" w:right="131" w:hanging="852"/>
        <w:jc w:val="both"/>
        <w:rPr>
          <w:sz w:val="28"/>
        </w:rPr>
      </w:pPr>
      <w:r>
        <w:rPr>
          <w:sz w:val="28"/>
          <w:szCs w:val="28"/>
        </w:rPr>
        <w:t>[13]</w:t>
      </w:r>
      <w:r>
        <w:rPr>
          <w:sz w:val="28"/>
          <w:szCs w:val="28"/>
        </w:rPr>
        <w:tab/>
      </w:r>
      <w:r w:rsidR="00142B22" w:rsidRPr="00D44B24">
        <w:rPr>
          <w:sz w:val="28"/>
        </w:rPr>
        <w:t xml:space="preserve">The issue of a right of appearance before a taxing master was dealt with In </w:t>
      </w:r>
      <w:r w:rsidR="00142B22" w:rsidRPr="00D44B24">
        <w:rPr>
          <w:i/>
          <w:sz w:val="28"/>
        </w:rPr>
        <w:t>Bills of Costs (Pty) Ltd and Another v The Registr</w:t>
      </w:r>
      <w:r w:rsidR="00142B22" w:rsidRPr="00D44B24">
        <w:rPr>
          <w:i/>
          <w:sz w:val="28"/>
        </w:rPr>
        <w:t xml:space="preserve">ar, Cape, NO and Another </w:t>
      </w:r>
      <w:hyperlink r:id="rId9">
        <w:r w:rsidR="00142B22" w:rsidRPr="00D44B24">
          <w:rPr>
            <w:i/>
            <w:sz w:val="28"/>
            <w:u w:val="thick"/>
          </w:rPr>
          <w:t>1979 (3) SA 925</w:t>
        </w:r>
        <w:r w:rsidR="00142B22" w:rsidRPr="00D44B24">
          <w:rPr>
            <w:i/>
            <w:sz w:val="28"/>
          </w:rPr>
          <w:t xml:space="preserve"> </w:t>
        </w:r>
        <w:r w:rsidR="00142B22" w:rsidRPr="00D44B24">
          <w:rPr>
            <w:sz w:val="28"/>
          </w:rPr>
          <w:t>(A)</w:t>
        </w:r>
      </w:hyperlink>
      <w:r w:rsidR="00142B22" w:rsidRPr="00D44B24">
        <w:rPr>
          <w:sz w:val="28"/>
        </w:rPr>
        <w:t xml:space="preserve"> where it was held that a taxation is an integral part of the judicial process. The rights and obligations of the parties to a suit are not finally determi</w:t>
      </w:r>
      <w:r w:rsidR="00142B22" w:rsidRPr="00D44B24">
        <w:rPr>
          <w:sz w:val="28"/>
        </w:rPr>
        <w:t xml:space="preserve">ned until the costs ordered by the court </w:t>
      </w:r>
      <w:r w:rsidR="00142B22" w:rsidRPr="00D44B24">
        <w:rPr>
          <w:spacing w:val="-3"/>
          <w:sz w:val="28"/>
        </w:rPr>
        <w:t xml:space="preserve">have </w:t>
      </w:r>
      <w:r w:rsidR="00142B22" w:rsidRPr="00D44B24">
        <w:rPr>
          <w:sz w:val="28"/>
        </w:rPr>
        <w:t>been taxed, accordingly the only persons who can appear before a taxing master in a Supreme  Court  (now  the   high   court)   are   persons   who   are permitted to practise in such court. At that time, the p</w:t>
      </w:r>
      <w:r w:rsidR="00142B22" w:rsidRPr="00D44B24">
        <w:rPr>
          <w:sz w:val="28"/>
        </w:rPr>
        <w:t>ersons who were permitted to practice in the high court were</w:t>
      </w:r>
      <w:r w:rsidR="00142B22" w:rsidRPr="00D44B24">
        <w:rPr>
          <w:spacing w:val="-15"/>
          <w:sz w:val="28"/>
        </w:rPr>
        <w:t xml:space="preserve"> </w:t>
      </w:r>
      <w:r w:rsidR="00142B22" w:rsidRPr="00D44B24">
        <w:rPr>
          <w:sz w:val="28"/>
        </w:rPr>
        <w:t>advocates.</w:t>
      </w:r>
    </w:p>
    <w:p w:rsidR="000E46F1" w:rsidRDefault="000E46F1">
      <w:pPr>
        <w:spacing w:line="360" w:lineRule="auto"/>
        <w:jc w:val="both"/>
        <w:rPr>
          <w:sz w:val="28"/>
        </w:rPr>
        <w:sectPr w:rsidR="000E46F1">
          <w:pgSz w:w="11910" w:h="16840"/>
          <w:pgMar w:top="960" w:right="1300" w:bottom="280" w:left="1300" w:header="751" w:footer="0" w:gutter="0"/>
          <w:cols w:space="720"/>
        </w:sectPr>
      </w:pPr>
    </w:p>
    <w:p w:rsidR="000E46F1" w:rsidRDefault="000E46F1">
      <w:pPr>
        <w:pStyle w:val="BodyText"/>
        <w:rPr>
          <w:sz w:val="20"/>
        </w:rPr>
      </w:pPr>
    </w:p>
    <w:p w:rsidR="000E46F1" w:rsidRPr="00D44B24" w:rsidRDefault="00D44B24" w:rsidP="00D44B24">
      <w:pPr>
        <w:tabs>
          <w:tab w:val="left" w:pos="993"/>
        </w:tabs>
        <w:spacing w:before="231" w:line="360" w:lineRule="auto"/>
        <w:ind w:left="992" w:right="134" w:hanging="852"/>
        <w:jc w:val="both"/>
        <w:rPr>
          <w:sz w:val="28"/>
        </w:rPr>
      </w:pPr>
      <w:r>
        <w:rPr>
          <w:sz w:val="28"/>
          <w:szCs w:val="28"/>
        </w:rPr>
        <w:t>[14]</w:t>
      </w:r>
      <w:r>
        <w:rPr>
          <w:sz w:val="28"/>
          <w:szCs w:val="28"/>
        </w:rPr>
        <w:tab/>
      </w:r>
      <w:r w:rsidR="00142B22" w:rsidRPr="00D44B24">
        <w:rPr>
          <w:sz w:val="28"/>
        </w:rPr>
        <w:t>The Right of Appearance in Courts  Act</w:t>
      </w:r>
      <w:r w:rsidR="00142B22" w:rsidRPr="00D44B24">
        <w:rPr>
          <w:position w:val="10"/>
          <w:sz w:val="18"/>
        </w:rPr>
        <w:t xml:space="preserve">2  </w:t>
      </w:r>
      <w:r w:rsidR="00142B22" w:rsidRPr="00D44B24">
        <w:rPr>
          <w:sz w:val="28"/>
        </w:rPr>
        <w:t xml:space="preserve">(‘The  Act’)  was  enacted in 1995 to “level the field” between advocates and attorneys by extending the right of attorneys </w:t>
      </w:r>
      <w:r w:rsidR="00142B22" w:rsidRPr="00D44B24">
        <w:rPr>
          <w:sz w:val="28"/>
        </w:rPr>
        <w:t>to appear in the high court.</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10"/>
        <w:rPr>
          <w:sz w:val="23"/>
        </w:rPr>
      </w:pPr>
    </w:p>
    <w:p w:rsidR="000E46F1" w:rsidRPr="00D44B24" w:rsidRDefault="00D44B24" w:rsidP="00D44B24">
      <w:pPr>
        <w:tabs>
          <w:tab w:val="left" w:pos="993"/>
        </w:tabs>
        <w:spacing w:line="357" w:lineRule="auto"/>
        <w:ind w:left="992" w:right="135" w:hanging="852"/>
        <w:jc w:val="both"/>
        <w:rPr>
          <w:sz w:val="18"/>
        </w:rPr>
      </w:pPr>
      <w:r>
        <w:rPr>
          <w:sz w:val="28"/>
          <w:szCs w:val="28"/>
        </w:rPr>
        <w:t>[15]</w:t>
      </w:r>
      <w:r>
        <w:rPr>
          <w:sz w:val="28"/>
          <w:szCs w:val="28"/>
        </w:rPr>
        <w:tab/>
      </w:r>
      <w:r w:rsidR="00142B22" w:rsidRPr="00D44B24">
        <w:rPr>
          <w:sz w:val="28"/>
        </w:rPr>
        <w:t>Attorneys who have been granted the right of appearance in the high court are entitled to appear in the high court and to discharge the functions of an advocate in any proceedings in the high court throughout the</w:t>
      </w:r>
      <w:r w:rsidR="00142B22" w:rsidRPr="00D44B24">
        <w:rPr>
          <w:spacing w:val="-4"/>
          <w:sz w:val="28"/>
        </w:rPr>
        <w:t xml:space="preserve"> </w:t>
      </w:r>
      <w:r w:rsidR="00142B22" w:rsidRPr="00D44B24">
        <w:rPr>
          <w:sz w:val="28"/>
        </w:rPr>
        <w:t>Republic.</w:t>
      </w:r>
      <w:r w:rsidR="00142B22" w:rsidRPr="00D44B24">
        <w:rPr>
          <w:position w:val="10"/>
          <w:sz w:val="18"/>
        </w:rPr>
        <w:t>3</w:t>
      </w:r>
    </w:p>
    <w:p w:rsidR="000E46F1" w:rsidRDefault="000E46F1">
      <w:pPr>
        <w:pStyle w:val="BodyText"/>
        <w:rPr>
          <w:sz w:val="32"/>
        </w:rPr>
      </w:pPr>
    </w:p>
    <w:p w:rsidR="000E46F1" w:rsidRDefault="000E46F1">
      <w:pPr>
        <w:pStyle w:val="BodyText"/>
        <w:rPr>
          <w:sz w:val="32"/>
        </w:rPr>
      </w:pPr>
    </w:p>
    <w:p w:rsidR="000E46F1" w:rsidRPr="00D44B24" w:rsidRDefault="00D44B24" w:rsidP="00D44B24">
      <w:pPr>
        <w:tabs>
          <w:tab w:val="left" w:pos="993"/>
        </w:tabs>
        <w:spacing w:before="189" w:line="360" w:lineRule="auto"/>
        <w:ind w:left="992" w:right="134" w:hanging="852"/>
        <w:jc w:val="both"/>
        <w:rPr>
          <w:sz w:val="28"/>
        </w:rPr>
      </w:pPr>
      <w:r>
        <w:rPr>
          <w:sz w:val="28"/>
          <w:szCs w:val="28"/>
        </w:rPr>
        <w:t>[16]</w:t>
      </w:r>
      <w:r>
        <w:rPr>
          <w:sz w:val="28"/>
          <w:szCs w:val="28"/>
        </w:rPr>
        <w:tab/>
      </w:r>
      <w:r w:rsidR="00142B22" w:rsidRPr="00D44B24">
        <w:rPr>
          <w:sz w:val="28"/>
        </w:rPr>
        <w:t>It was not in dispute that van Deventer is indeed an attorney with a right of appearance in the high court as envisaged in sections 3(4) and 4(4) of the Act. In opposing the application the first respondent relied on the Practice Directives by AJP Rampai</w:t>
      </w:r>
      <w:r w:rsidR="00142B22" w:rsidRPr="00D44B24">
        <w:rPr>
          <w:sz w:val="28"/>
        </w:rPr>
        <w:t xml:space="preserve"> (as he then was) and S v Sewnandan </w:t>
      </w:r>
      <w:r w:rsidR="00142B22" w:rsidRPr="00D44B24">
        <w:rPr>
          <w:i/>
          <w:sz w:val="28"/>
          <w:u w:val="thick"/>
        </w:rPr>
        <w:t>1999 (2) SA 1087</w:t>
      </w:r>
      <w:r w:rsidR="00142B22" w:rsidRPr="00D44B24">
        <w:rPr>
          <w:i/>
          <w:spacing w:val="-9"/>
          <w:sz w:val="28"/>
        </w:rPr>
        <w:t xml:space="preserve"> </w:t>
      </w:r>
      <w:r w:rsidR="00142B22" w:rsidRPr="00D44B24">
        <w:rPr>
          <w:sz w:val="28"/>
        </w:rPr>
        <w:t>(O).</w:t>
      </w: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4"/>
        </w:rPr>
      </w:pPr>
    </w:p>
    <w:p w:rsidR="000E46F1" w:rsidRPr="00D44B24" w:rsidRDefault="00D44B24" w:rsidP="00D44B24">
      <w:pPr>
        <w:tabs>
          <w:tab w:val="left" w:pos="993"/>
        </w:tabs>
        <w:spacing w:before="92" w:line="360" w:lineRule="auto"/>
        <w:ind w:left="992" w:hanging="852"/>
        <w:jc w:val="both"/>
        <w:rPr>
          <w:sz w:val="28"/>
        </w:rPr>
      </w:pPr>
      <w:r>
        <w:rPr>
          <w:sz w:val="28"/>
          <w:szCs w:val="28"/>
        </w:rPr>
        <w:t>[17]</w:t>
      </w:r>
      <w:r>
        <w:rPr>
          <w:sz w:val="28"/>
          <w:szCs w:val="28"/>
        </w:rPr>
        <w:tab/>
      </w:r>
      <w:r w:rsidR="00142B22" w:rsidRPr="00D44B24">
        <w:rPr>
          <w:sz w:val="28"/>
        </w:rPr>
        <w:t xml:space="preserve">The practice directives of this court merely mimic the dictum in </w:t>
      </w:r>
      <w:r w:rsidR="00142B22" w:rsidRPr="00D44B24">
        <w:rPr>
          <w:i/>
          <w:sz w:val="28"/>
        </w:rPr>
        <w:t xml:space="preserve">Bills of Costs (Pty) Ltd and Another </w:t>
      </w:r>
      <w:r w:rsidR="00142B22" w:rsidRPr="00D44B24">
        <w:rPr>
          <w:sz w:val="28"/>
        </w:rPr>
        <w:t>supra</w:t>
      </w:r>
      <w:r w:rsidR="00142B22" w:rsidRPr="00D44B24">
        <w:rPr>
          <w:i/>
          <w:sz w:val="28"/>
        </w:rPr>
        <w:t xml:space="preserve">. </w:t>
      </w:r>
      <w:r w:rsidR="00142B22" w:rsidRPr="00D44B24">
        <w:rPr>
          <w:sz w:val="28"/>
        </w:rPr>
        <w:t xml:space="preserve">They do not provide that only attorneys whose names appear on this division’s roll of attorneys may appear at the taxation. See hereunder a copy thereof, </w:t>
      </w:r>
      <w:r w:rsidR="00142B22" w:rsidRPr="00D44B24">
        <w:rPr>
          <w:i/>
          <w:sz w:val="28"/>
        </w:rPr>
        <w:t xml:space="preserve">Annexure “RA3”, </w:t>
      </w:r>
      <w:r w:rsidR="00142B22" w:rsidRPr="00D44B24">
        <w:rPr>
          <w:sz w:val="28"/>
        </w:rPr>
        <w:t>at paragraph 1. The taxing master has clearly misconstrued the practice of this</w:t>
      </w:r>
      <w:r w:rsidR="00142B22" w:rsidRPr="00D44B24">
        <w:rPr>
          <w:spacing w:val="-7"/>
          <w:sz w:val="28"/>
        </w:rPr>
        <w:t xml:space="preserve"> </w:t>
      </w:r>
      <w:r w:rsidR="00142B22" w:rsidRPr="00D44B24">
        <w:rPr>
          <w:sz w:val="28"/>
        </w:rPr>
        <w:t>court.</w:t>
      </w: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142B22">
      <w:pPr>
        <w:pStyle w:val="BodyText"/>
        <w:spacing w:before="8"/>
        <w:rPr>
          <w:sz w:val="17"/>
        </w:rPr>
      </w:pPr>
      <w:r>
        <w:pict>
          <v:shape id="_x0000_s1028" style="position:absolute;margin-left:1in;margin-top:12.5pt;width:144.05pt;height:.1pt;z-index:-251649024;mso-wrap-distance-left:0;mso-wrap-distance-right:0;mso-position-horizontal-relative:page" coordorigin="1440,250" coordsize="2881,0" path="m1440,250r2881,e" filled="f" strokeweight=".72pt">
            <v:path arrowok="t"/>
            <w10:wrap type="topAndBottom" anchorx="page"/>
          </v:shape>
        </w:pict>
      </w:r>
    </w:p>
    <w:p w:rsidR="000E46F1" w:rsidRDefault="00142B22">
      <w:pPr>
        <w:spacing w:before="70" w:line="321" w:lineRule="exact"/>
        <w:ind w:left="140"/>
        <w:rPr>
          <w:sz w:val="28"/>
        </w:rPr>
      </w:pPr>
      <w:r>
        <w:rPr>
          <w:rFonts w:ascii="Calibri"/>
          <w:position w:val="7"/>
          <w:sz w:val="13"/>
        </w:rPr>
        <w:t xml:space="preserve">2 </w:t>
      </w:r>
      <w:r>
        <w:rPr>
          <w:rFonts w:ascii="Calibri"/>
          <w:sz w:val="20"/>
        </w:rPr>
        <w:t>Act No. 62 of 1995 (as amended)</w:t>
      </w:r>
      <w:r>
        <w:rPr>
          <w:sz w:val="28"/>
        </w:rPr>
        <w:t>.</w:t>
      </w:r>
    </w:p>
    <w:p w:rsidR="000E46F1" w:rsidRDefault="00142B22">
      <w:pPr>
        <w:spacing w:line="247" w:lineRule="exact"/>
        <w:ind w:left="140"/>
        <w:rPr>
          <w:rFonts w:ascii="Calibri"/>
          <w:sz w:val="20"/>
        </w:rPr>
      </w:pPr>
      <w:r>
        <w:rPr>
          <w:rFonts w:ascii="Calibri"/>
          <w:position w:val="7"/>
          <w:sz w:val="13"/>
        </w:rPr>
        <w:t xml:space="preserve">3 </w:t>
      </w:r>
      <w:r>
        <w:rPr>
          <w:rFonts w:ascii="Calibri"/>
          <w:sz w:val="20"/>
        </w:rPr>
        <w:t>Section 3(4) and section 4(4) inserted pursuant to the 2005 amendment.</w:t>
      </w:r>
    </w:p>
    <w:p w:rsidR="000E46F1" w:rsidRDefault="000E46F1">
      <w:pPr>
        <w:spacing w:line="247" w:lineRule="exact"/>
        <w:rPr>
          <w:rFonts w:ascii="Calibri"/>
          <w:sz w:val="20"/>
        </w:rPr>
        <w:sectPr w:rsidR="000E46F1">
          <w:pgSz w:w="11910" w:h="16840"/>
          <w:pgMar w:top="960" w:right="1300" w:bottom="280" w:left="1300" w:header="751" w:footer="0" w:gutter="0"/>
          <w:cols w:space="720"/>
        </w:sectPr>
      </w:pPr>
    </w:p>
    <w:p w:rsidR="000E46F1" w:rsidRDefault="000E46F1">
      <w:pPr>
        <w:pStyle w:val="BodyText"/>
        <w:rPr>
          <w:rFonts w:ascii="Calibri"/>
          <w:sz w:val="20"/>
        </w:rPr>
      </w:pPr>
    </w:p>
    <w:p w:rsidR="000E46F1" w:rsidRDefault="000E46F1">
      <w:pPr>
        <w:pStyle w:val="BodyText"/>
        <w:rPr>
          <w:rFonts w:ascii="Calibri"/>
          <w:sz w:val="20"/>
        </w:rPr>
      </w:pPr>
    </w:p>
    <w:p w:rsidR="000E46F1" w:rsidRDefault="000E46F1">
      <w:pPr>
        <w:pStyle w:val="BodyText"/>
        <w:rPr>
          <w:rFonts w:ascii="Calibri"/>
          <w:sz w:val="20"/>
        </w:rPr>
      </w:pPr>
    </w:p>
    <w:p w:rsidR="000E46F1" w:rsidRDefault="000E46F1">
      <w:pPr>
        <w:pStyle w:val="BodyText"/>
        <w:rPr>
          <w:rFonts w:ascii="Calibri"/>
          <w:sz w:val="20"/>
        </w:rPr>
      </w:pPr>
    </w:p>
    <w:p w:rsidR="000E46F1" w:rsidRDefault="000E46F1">
      <w:pPr>
        <w:pStyle w:val="BodyText"/>
        <w:spacing w:before="11"/>
        <w:rPr>
          <w:rFonts w:ascii="Calibri"/>
        </w:rPr>
      </w:pPr>
    </w:p>
    <w:p w:rsidR="000E46F1" w:rsidRDefault="00142B22">
      <w:pPr>
        <w:pStyle w:val="BodyText"/>
        <w:ind w:left="140"/>
        <w:rPr>
          <w:rFonts w:ascii="Calibri"/>
          <w:sz w:val="20"/>
        </w:rPr>
      </w:pPr>
      <w:r>
        <w:rPr>
          <w:rFonts w:ascii="Calibri"/>
          <w:noProof/>
          <w:sz w:val="20"/>
          <w:lang w:val="en-US" w:eastAsia="en-US" w:bidi="ar-SA"/>
        </w:rPr>
        <w:drawing>
          <wp:inline distT="0" distB="0" distL="0" distR="0">
            <wp:extent cx="5588622" cy="77251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588622" cy="7725156"/>
                    </a:xfrm>
                    <a:prstGeom prst="rect">
                      <a:avLst/>
                    </a:prstGeom>
                  </pic:spPr>
                </pic:pic>
              </a:graphicData>
            </a:graphic>
          </wp:inline>
        </w:drawing>
      </w:r>
    </w:p>
    <w:p w:rsidR="000E46F1" w:rsidRDefault="000E46F1">
      <w:pPr>
        <w:rPr>
          <w:rFonts w:ascii="Calibri"/>
          <w:sz w:val="20"/>
        </w:rPr>
        <w:sectPr w:rsidR="000E46F1">
          <w:pgSz w:w="11910" w:h="16840"/>
          <w:pgMar w:top="960" w:right="1300" w:bottom="280" w:left="1300" w:header="751" w:footer="0" w:gutter="0"/>
          <w:cols w:space="720"/>
        </w:sectPr>
      </w:pPr>
    </w:p>
    <w:p w:rsidR="000E46F1" w:rsidRDefault="000E46F1">
      <w:pPr>
        <w:pStyle w:val="BodyText"/>
        <w:rPr>
          <w:rFonts w:ascii="Calibri"/>
          <w:sz w:val="20"/>
        </w:rPr>
      </w:pPr>
    </w:p>
    <w:p w:rsidR="000E46F1" w:rsidRDefault="000E46F1">
      <w:pPr>
        <w:pStyle w:val="BodyText"/>
        <w:rPr>
          <w:rFonts w:ascii="Calibri"/>
          <w:sz w:val="20"/>
        </w:rPr>
      </w:pPr>
    </w:p>
    <w:p w:rsidR="000E46F1" w:rsidRDefault="000E46F1">
      <w:pPr>
        <w:pStyle w:val="BodyText"/>
        <w:rPr>
          <w:rFonts w:ascii="Calibri"/>
          <w:sz w:val="20"/>
        </w:rPr>
      </w:pPr>
    </w:p>
    <w:p w:rsidR="000E46F1" w:rsidRPr="00D44B24" w:rsidRDefault="00D44B24" w:rsidP="00D44B24">
      <w:pPr>
        <w:tabs>
          <w:tab w:val="left" w:pos="993"/>
        </w:tabs>
        <w:spacing w:before="217" w:line="360" w:lineRule="auto"/>
        <w:ind w:left="992" w:right="135" w:hanging="852"/>
        <w:jc w:val="both"/>
        <w:rPr>
          <w:sz w:val="28"/>
        </w:rPr>
      </w:pPr>
      <w:r>
        <w:rPr>
          <w:sz w:val="28"/>
          <w:szCs w:val="28"/>
        </w:rPr>
        <w:t>[18]</w:t>
      </w:r>
      <w:r>
        <w:rPr>
          <w:sz w:val="28"/>
          <w:szCs w:val="28"/>
        </w:rPr>
        <w:tab/>
      </w:r>
      <w:r w:rsidR="00142B22" w:rsidRPr="00D44B24">
        <w:rPr>
          <w:sz w:val="28"/>
        </w:rPr>
        <w:t>In the Sewnandan’s matter the court found that only the attorneys’ right to appear in the high court had been extended by the Act, the attorney’s area jurisdiction was not extended. The case was decided before the Act was amended by the introduction of sec</w:t>
      </w:r>
      <w:r w:rsidR="00142B22" w:rsidRPr="00D44B24">
        <w:rPr>
          <w:sz w:val="28"/>
        </w:rPr>
        <w:t>tion 4(4) in</w:t>
      </w:r>
      <w:r w:rsidR="00142B22" w:rsidRPr="00D44B24">
        <w:rPr>
          <w:spacing w:val="-4"/>
          <w:sz w:val="28"/>
        </w:rPr>
        <w:t xml:space="preserve"> </w:t>
      </w:r>
      <w:r w:rsidR="00142B22" w:rsidRPr="00D44B24">
        <w:rPr>
          <w:sz w:val="28"/>
        </w:rPr>
        <w:t>2005.</w:t>
      </w:r>
    </w:p>
    <w:p w:rsidR="000E46F1" w:rsidRDefault="000E46F1">
      <w:pPr>
        <w:pStyle w:val="BodyText"/>
        <w:spacing w:before="2"/>
        <w:rPr>
          <w:sz w:val="42"/>
        </w:rPr>
      </w:pPr>
    </w:p>
    <w:p w:rsidR="000E46F1" w:rsidRPr="00D44B24" w:rsidRDefault="00D44B24" w:rsidP="00D44B24">
      <w:pPr>
        <w:tabs>
          <w:tab w:val="left" w:pos="993"/>
        </w:tabs>
        <w:spacing w:line="360" w:lineRule="auto"/>
        <w:ind w:left="992" w:hanging="852"/>
        <w:jc w:val="both"/>
        <w:rPr>
          <w:sz w:val="28"/>
        </w:rPr>
      </w:pPr>
      <w:r>
        <w:rPr>
          <w:sz w:val="28"/>
          <w:szCs w:val="28"/>
        </w:rPr>
        <w:t>[19]</w:t>
      </w:r>
      <w:r>
        <w:rPr>
          <w:sz w:val="28"/>
          <w:szCs w:val="28"/>
        </w:rPr>
        <w:tab/>
      </w:r>
      <w:r w:rsidR="00142B22" w:rsidRPr="00D44B24">
        <w:rPr>
          <w:sz w:val="28"/>
        </w:rPr>
        <w:t>I’m of the view that section 4(4) of the Act specifically grants the attorney who has been issued with a certificate of right appearance in terms of section 4(2), a right to appear in all the divisions of the high court to discharge all</w:t>
      </w:r>
      <w:r w:rsidR="00142B22" w:rsidRPr="00D44B24">
        <w:rPr>
          <w:sz w:val="28"/>
        </w:rPr>
        <w:t xml:space="preserve"> other functions of an advocate in </w:t>
      </w:r>
      <w:r w:rsidR="00142B22" w:rsidRPr="00D44B24">
        <w:rPr>
          <w:b/>
          <w:i/>
          <w:sz w:val="28"/>
        </w:rPr>
        <w:t xml:space="preserve">any proceedings </w:t>
      </w:r>
      <w:r w:rsidR="00142B22" w:rsidRPr="00D44B24">
        <w:rPr>
          <w:sz w:val="28"/>
        </w:rPr>
        <w:t>(my emphasis) in those divisions. In my view, “any proceedings” include appearing before a taxing master for</w:t>
      </w:r>
      <w:r w:rsidR="00142B22" w:rsidRPr="00D44B24">
        <w:rPr>
          <w:spacing w:val="-6"/>
          <w:sz w:val="28"/>
        </w:rPr>
        <w:t xml:space="preserve"> </w:t>
      </w:r>
      <w:r w:rsidR="00142B22" w:rsidRPr="00D44B24">
        <w:rPr>
          <w:sz w:val="28"/>
        </w:rPr>
        <w:t>taxation.</w:t>
      </w:r>
    </w:p>
    <w:p w:rsidR="000E46F1" w:rsidRDefault="000E46F1">
      <w:pPr>
        <w:pStyle w:val="BodyText"/>
        <w:spacing w:before="10"/>
        <w:rPr>
          <w:sz w:val="41"/>
        </w:rPr>
      </w:pPr>
    </w:p>
    <w:p w:rsidR="000E46F1" w:rsidRPr="00D44B24" w:rsidRDefault="00D44B24" w:rsidP="00D44B24">
      <w:pPr>
        <w:tabs>
          <w:tab w:val="left" w:pos="993"/>
        </w:tabs>
        <w:spacing w:line="357" w:lineRule="auto"/>
        <w:ind w:left="992" w:right="130" w:hanging="852"/>
        <w:jc w:val="both"/>
        <w:rPr>
          <w:sz w:val="28"/>
        </w:rPr>
      </w:pPr>
      <w:r>
        <w:rPr>
          <w:sz w:val="28"/>
          <w:szCs w:val="28"/>
        </w:rPr>
        <w:t>[20]</w:t>
      </w:r>
      <w:r>
        <w:rPr>
          <w:sz w:val="28"/>
          <w:szCs w:val="28"/>
        </w:rPr>
        <w:tab/>
      </w:r>
      <w:r w:rsidR="00142B22" w:rsidRPr="00D44B24">
        <w:rPr>
          <w:sz w:val="28"/>
        </w:rPr>
        <w:t>The Act has not replaced the Attorneys Act (53 of 1979) in that the right to practice</w:t>
      </w:r>
      <w:r w:rsidR="00142B22" w:rsidRPr="00D44B24">
        <w:rPr>
          <w:position w:val="10"/>
          <w:sz w:val="18"/>
        </w:rPr>
        <w:t xml:space="preserve">4 </w:t>
      </w:r>
      <w:r w:rsidR="00142B22" w:rsidRPr="00D44B24">
        <w:rPr>
          <w:sz w:val="28"/>
        </w:rPr>
        <w:t>as an attorney outside the area in which the attorney is enrolled is still regulated by sections 20 and 21 of the said</w:t>
      </w:r>
      <w:r w:rsidR="00142B22" w:rsidRPr="00D44B24">
        <w:rPr>
          <w:spacing w:val="-3"/>
          <w:sz w:val="28"/>
        </w:rPr>
        <w:t xml:space="preserve"> </w:t>
      </w:r>
      <w:r w:rsidR="00142B22" w:rsidRPr="00D44B24">
        <w:rPr>
          <w:sz w:val="28"/>
        </w:rPr>
        <w:t>Act.</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8"/>
        <w:rPr>
          <w:sz w:val="24"/>
        </w:rPr>
      </w:pPr>
    </w:p>
    <w:p w:rsidR="000E46F1" w:rsidRPr="00D44B24" w:rsidRDefault="00D44B24" w:rsidP="00D44B24">
      <w:pPr>
        <w:tabs>
          <w:tab w:val="left" w:pos="993"/>
        </w:tabs>
        <w:spacing w:before="1" w:line="360" w:lineRule="auto"/>
        <w:ind w:left="992" w:right="131" w:hanging="852"/>
        <w:jc w:val="both"/>
        <w:rPr>
          <w:sz w:val="28"/>
        </w:rPr>
      </w:pPr>
      <w:r>
        <w:rPr>
          <w:sz w:val="28"/>
          <w:szCs w:val="28"/>
        </w:rPr>
        <w:t>[21]</w:t>
      </w:r>
      <w:r>
        <w:rPr>
          <w:sz w:val="28"/>
          <w:szCs w:val="28"/>
        </w:rPr>
        <w:tab/>
      </w:r>
      <w:r w:rsidR="00142B22" w:rsidRPr="00D44B24">
        <w:rPr>
          <w:sz w:val="28"/>
        </w:rPr>
        <w:t>The taxing master has misconceived the facts and the circumstances as to the practice of this court. Her ruling was clearly</w:t>
      </w:r>
      <w:r w:rsidR="00142B22" w:rsidRPr="00D44B24">
        <w:rPr>
          <w:spacing w:val="-3"/>
          <w:sz w:val="28"/>
        </w:rPr>
        <w:t xml:space="preserve"> </w:t>
      </w:r>
      <w:r w:rsidR="00142B22" w:rsidRPr="00D44B24">
        <w:rPr>
          <w:sz w:val="28"/>
        </w:rPr>
        <w:t>wro</w:t>
      </w:r>
      <w:r w:rsidR="00142B22" w:rsidRPr="00D44B24">
        <w:rPr>
          <w:sz w:val="28"/>
        </w:rPr>
        <w:t>ng.</w:t>
      </w: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0E46F1">
      <w:pPr>
        <w:pStyle w:val="BodyText"/>
        <w:rPr>
          <w:sz w:val="20"/>
        </w:rPr>
      </w:pPr>
    </w:p>
    <w:p w:rsidR="000E46F1" w:rsidRDefault="00142B22">
      <w:pPr>
        <w:pStyle w:val="BodyText"/>
        <w:spacing w:before="10"/>
        <w:rPr>
          <w:sz w:val="29"/>
        </w:rPr>
      </w:pPr>
      <w:r>
        <w:pict>
          <v:shape id="_x0000_s1027" style="position:absolute;margin-left:1in;margin-top:19.55pt;width:144.05pt;height:.1pt;z-index:-251648000;mso-wrap-distance-left:0;mso-wrap-distance-right:0;mso-position-horizontal-relative:page" coordorigin="1440,391" coordsize="2881,0" path="m1440,391r2881,e" filled="f" strokeweight=".72pt">
            <v:path arrowok="t"/>
            <w10:wrap type="topAndBottom" anchorx="page"/>
          </v:shape>
        </w:pict>
      </w:r>
    </w:p>
    <w:p w:rsidR="000E46F1" w:rsidRDefault="00142B22">
      <w:pPr>
        <w:spacing w:before="69"/>
        <w:ind w:left="140"/>
        <w:rPr>
          <w:rFonts w:ascii="Calibri"/>
          <w:sz w:val="20"/>
        </w:rPr>
      </w:pPr>
      <w:r>
        <w:rPr>
          <w:rFonts w:ascii="Calibri"/>
          <w:position w:val="7"/>
          <w:sz w:val="13"/>
        </w:rPr>
        <w:t xml:space="preserve">4 </w:t>
      </w:r>
      <w:r>
        <w:rPr>
          <w:rFonts w:ascii="Calibri"/>
          <w:sz w:val="20"/>
        </w:rPr>
        <w:t>An attorney must be enrolled within a particular division in other to establish a firm and to sign pleadings and notices in that division.</w:t>
      </w:r>
    </w:p>
    <w:p w:rsidR="000E46F1" w:rsidRDefault="000E46F1">
      <w:pPr>
        <w:rPr>
          <w:rFonts w:ascii="Calibri"/>
          <w:sz w:val="20"/>
        </w:rPr>
        <w:sectPr w:rsidR="000E46F1">
          <w:pgSz w:w="11910" w:h="16840"/>
          <w:pgMar w:top="960" w:right="1300" w:bottom="280" w:left="1300" w:header="751" w:footer="0" w:gutter="0"/>
          <w:cols w:space="720"/>
        </w:sectPr>
      </w:pPr>
    </w:p>
    <w:p w:rsidR="000E46F1" w:rsidRDefault="000E46F1">
      <w:pPr>
        <w:pStyle w:val="BodyText"/>
        <w:rPr>
          <w:rFonts w:ascii="Calibri"/>
          <w:sz w:val="20"/>
        </w:rPr>
      </w:pPr>
    </w:p>
    <w:p w:rsidR="000E46F1" w:rsidRPr="00D44B24" w:rsidRDefault="00D44B24" w:rsidP="00D44B24">
      <w:pPr>
        <w:tabs>
          <w:tab w:val="left" w:pos="993"/>
        </w:tabs>
        <w:spacing w:before="223" w:line="360" w:lineRule="auto"/>
        <w:ind w:left="992" w:hanging="852"/>
        <w:jc w:val="both"/>
        <w:rPr>
          <w:sz w:val="28"/>
        </w:rPr>
      </w:pPr>
      <w:r>
        <w:rPr>
          <w:sz w:val="28"/>
          <w:szCs w:val="28"/>
        </w:rPr>
        <w:t>[22]</w:t>
      </w:r>
      <w:r>
        <w:rPr>
          <w:sz w:val="28"/>
          <w:szCs w:val="28"/>
        </w:rPr>
        <w:tab/>
      </w:r>
      <w:r w:rsidR="00142B22" w:rsidRPr="00D44B24">
        <w:rPr>
          <w:sz w:val="28"/>
        </w:rPr>
        <w:t>It was common cause that the taxation which is subject to this application is the second taxation involving the same parties. The first taxation was set down on 15 February 2018. The applicants were not satisfied with the taxing master’s rulings and launch</w:t>
      </w:r>
      <w:r w:rsidR="00142B22" w:rsidRPr="00D44B24">
        <w:rPr>
          <w:sz w:val="28"/>
        </w:rPr>
        <w:t>ed a review application. The taxing master’s actions in bargaining with van Deventer that she could represent the applicants in the taxation provided she agrees to waive the right to review the rulings made at the taxation are quiet disturbing and cast dou</w:t>
      </w:r>
      <w:r w:rsidR="00142B22" w:rsidRPr="00D44B24">
        <w:rPr>
          <w:sz w:val="28"/>
        </w:rPr>
        <w:t>bt to her impartiality. A taxing master performs a function of a judicial nature, her independence and impartiality must be beyond reproach.</w:t>
      </w:r>
    </w:p>
    <w:p w:rsidR="000E46F1" w:rsidRDefault="000E46F1">
      <w:pPr>
        <w:pStyle w:val="BodyText"/>
        <w:rPr>
          <w:sz w:val="30"/>
        </w:rPr>
      </w:pPr>
    </w:p>
    <w:p w:rsidR="000E46F1" w:rsidRDefault="000E46F1">
      <w:pPr>
        <w:pStyle w:val="BodyText"/>
        <w:spacing w:before="1"/>
        <w:rPr>
          <w:sz w:val="37"/>
        </w:rPr>
      </w:pPr>
    </w:p>
    <w:p w:rsidR="000E46F1" w:rsidRPr="00D44B24" w:rsidRDefault="00D44B24" w:rsidP="00D44B24">
      <w:pPr>
        <w:tabs>
          <w:tab w:val="left" w:pos="993"/>
        </w:tabs>
        <w:spacing w:before="1" w:line="360" w:lineRule="auto"/>
        <w:ind w:left="992" w:right="136" w:hanging="852"/>
        <w:jc w:val="both"/>
        <w:rPr>
          <w:sz w:val="28"/>
        </w:rPr>
      </w:pPr>
      <w:r>
        <w:rPr>
          <w:sz w:val="28"/>
          <w:szCs w:val="28"/>
        </w:rPr>
        <w:t>[23]</w:t>
      </w:r>
      <w:r>
        <w:rPr>
          <w:sz w:val="28"/>
          <w:szCs w:val="28"/>
        </w:rPr>
        <w:tab/>
      </w:r>
      <w:r w:rsidR="00142B22" w:rsidRPr="00D44B24">
        <w:rPr>
          <w:sz w:val="28"/>
        </w:rPr>
        <w:t xml:space="preserve">Taking into consideration all the facts of this matter, I have come to a conclusion that the taxing master erred </w:t>
      </w:r>
      <w:r w:rsidR="00142B22" w:rsidRPr="00D44B24">
        <w:rPr>
          <w:sz w:val="28"/>
        </w:rPr>
        <w:t>in her decision to prevent the applicants’ attorney from appearing at the</w:t>
      </w:r>
      <w:r w:rsidR="00142B22" w:rsidRPr="00D44B24">
        <w:rPr>
          <w:spacing w:val="-16"/>
          <w:sz w:val="28"/>
        </w:rPr>
        <w:t xml:space="preserve"> </w:t>
      </w:r>
      <w:r w:rsidR="00142B22" w:rsidRPr="00D44B24">
        <w:rPr>
          <w:sz w:val="28"/>
        </w:rPr>
        <w:t>taxation.</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10"/>
        <w:rPr>
          <w:sz w:val="26"/>
        </w:rPr>
      </w:pPr>
    </w:p>
    <w:p w:rsidR="000E46F1" w:rsidRPr="00D44B24" w:rsidRDefault="00D44B24" w:rsidP="00D44B24">
      <w:pPr>
        <w:tabs>
          <w:tab w:val="left" w:pos="993"/>
        </w:tabs>
        <w:spacing w:line="360" w:lineRule="auto"/>
        <w:ind w:left="992" w:right="132" w:hanging="852"/>
        <w:jc w:val="both"/>
        <w:rPr>
          <w:sz w:val="28"/>
        </w:rPr>
      </w:pPr>
      <w:r>
        <w:rPr>
          <w:sz w:val="28"/>
          <w:szCs w:val="28"/>
        </w:rPr>
        <w:t>[24]</w:t>
      </w:r>
      <w:r>
        <w:rPr>
          <w:sz w:val="28"/>
          <w:szCs w:val="28"/>
        </w:rPr>
        <w:tab/>
      </w:r>
      <w:r w:rsidR="00142B22" w:rsidRPr="00D44B24">
        <w:rPr>
          <w:sz w:val="28"/>
        </w:rPr>
        <w:t>There is no reason why the ordinary rule of costs following the result should not apply. The first respondent’s legal representative was the substantive cause of the irr</w:t>
      </w:r>
      <w:r w:rsidR="00142B22" w:rsidRPr="00D44B24">
        <w:rPr>
          <w:sz w:val="28"/>
        </w:rPr>
        <w:t>egularity, by incorrectly objecting to the applicants’ appearance at the taxation thus occasioning the wasted costs of 08 May 2018, by effectively postponing the</w:t>
      </w:r>
      <w:r w:rsidR="00142B22" w:rsidRPr="00D44B24">
        <w:rPr>
          <w:spacing w:val="-6"/>
          <w:sz w:val="28"/>
        </w:rPr>
        <w:t xml:space="preserve"> </w:t>
      </w:r>
      <w:r w:rsidR="00142B22" w:rsidRPr="00D44B24">
        <w:rPr>
          <w:sz w:val="28"/>
        </w:rPr>
        <w:t>taxation.</w:t>
      </w:r>
    </w:p>
    <w:p w:rsidR="000E46F1" w:rsidRDefault="000E46F1">
      <w:pPr>
        <w:pStyle w:val="BodyText"/>
        <w:rPr>
          <w:sz w:val="30"/>
        </w:rPr>
      </w:pPr>
    </w:p>
    <w:p w:rsidR="000E46F1" w:rsidRDefault="000E46F1">
      <w:pPr>
        <w:pStyle w:val="BodyText"/>
        <w:rPr>
          <w:sz w:val="30"/>
        </w:rPr>
      </w:pPr>
    </w:p>
    <w:p w:rsidR="000E46F1" w:rsidRDefault="000E46F1">
      <w:pPr>
        <w:pStyle w:val="BodyText"/>
        <w:spacing w:before="7"/>
        <w:rPr>
          <w:sz w:val="37"/>
        </w:rPr>
      </w:pPr>
    </w:p>
    <w:p w:rsidR="000E46F1" w:rsidRPr="00D44B24" w:rsidRDefault="00D44B24" w:rsidP="00D44B24">
      <w:pPr>
        <w:tabs>
          <w:tab w:val="left" w:pos="992"/>
          <w:tab w:val="left" w:pos="993"/>
        </w:tabs>
        <w:spacing w:before="1"/>
        <w:ind w:left="992" w:hanging="853"/>
        <w:rPr>
          <w:sz w:val="28"/>
        </w:rPr>
      </w:pPr>
      <w:r>
        <w:rPr>
          <w:sz w:val="28"/>
          <w:szCs w:val="28"/>
        </w:rPr>
        <w:t>[25]</w:t>
      </w:r>
      <w:r>
        <w:rPr>
          <w:sz w:val="28"/>
          <w:szCs w:val="28"/>
        </w:rPr>
        <w:tab/>
      </w:r>
      <w:r w:rsidR="00142B22" w:rsidRPr="00D44B24">
        <w:rPr>
          <w:sz w:val="28"/>
        </w:rPr>
        <w:t>For the above reasons, I hereby make the following</w:t>
      </w:r>
      <w:r w:rsidR="00142B22" w:rsidRPr="00D44B24">
        <w:rPr>
          <w:spacing w:val="-10"/>
          <w:sz w:val="28"/>
        </w:rPr>
        <w:t xml:space="preserve"> </w:t>
      </w:r>
      <w:r w:rsidR="00142B22" w:rsidRPr="00D44B24">
        <w:rPr>
          <w:sz w:val="28"/>
        </w:rPr>
        <w:t>orders:</w:t>
      </w:r>
    </w:p>
    <w:p w:rsidR="000E46F1" w:rsidRDefault="000E46F1">
      <w:pPr>
        <w:rPr>
          <w:sz w:val="28"/>
        </w:rPr>
        <w:sectPr w:rsidR="000E46F1">
          <w:pgSz w:w="11910" w:h="16840"/>
          <w:pgMar w:top="960" w:right="1300" w:bottom="280" w:left="1300" w:header="751" w:footer="0" w:gutter="0"/>
          <w:cols w:space="720"/>
        </w:sectPr>
      </w:pPr>
    </w:p>
    <w:p w:rsidR="000E46F1" w:rsidRDefault="000E46F1">
      <w:pPr>
        <w:pStyle w:val="BodyText"/>
        <w:rPr>
          <w:sz w:val="20"/>
        </w:rPr>
      </w:pPr>
    </w:p>
    <w:p w:rsidR="000E46F1" w:rsidRPr="00D44B24" w:rsidRDefault="00D44B24" w:rsidP="00D44B24">
      <w:pPr>
        <w:tabs>
          <w:tab w:val="left" w:pos="1701"/>
        </w:tabs>
        <w:spacing w:before="237" w:line="360" w:lineRule="auto"/>
        <w:ind w:left="1700" w:right="134" w:hanging="720"/>
        <w:jc w:val="both"/>
        <w:rPr>
          <w:sz w:val="28"/>
        </w:rPr>
      </w:pPr>
      <w:r>
        <w:rPr>
          <w:spacing w:val="-1"/>
          <w:sz w:val="28"/>
          <w:szCs w:val="28"/>
        </w:rPr>
        <w:t>1.</w:t>
      </w:r>
      <w:r>
        <w:rPr>
          <w:spacing w:val="-1"/>
          <w:sz w:val="28"/>
          <w:szCs w:val="28"/>
        </w:rPr>
        <w:tab/>
      </w:r>
      <w:r w:rsidR="00142B22" w:rsidRPr="00D44B24">
        <w:rPr>
          <w:sz w:val="28"/>
        </w:rPr>
        <w:t>The ruling of the taxing master in terms of which she prevented the applicants’ attorney from appearing at the taxation is set</w:t>
      </w:r>
      <w:r w:rsidR="00142B22" w:rsidRPr="00D44B24">
        <w:rPr>
          <w:spacing w:val="-1"/>
          <w:sz w:val="28"/>
        </w:rPr>
        <w:t xml:space="preserve"> </w:t>
      </w:r>
      <w:r w:rsidR="00142B22" w:rsidRPr="00D44B24">
        <w:rPr>
          <w:sz w:val="28"/>
        </w:rPr>
        <w:t>aside.</w:t>
      </w:r>
    </w:p>
    <w:p w:rsidR="000E46F1" w:rsidRPr="00D44B24" w:rsidRDefault="00D44B24" w:rsidP="00D44B24">
      <w:pPr>
        <w:tabs>
          <w:tab w:val="left" w:pos="1701"/>
        </w:tabs>
        <w:spacing w:before="241" w:line="360" w:lineRule="auto"/>
        <w:ind w:left="1700" w:hanging="720"/>
        <w:jc w:val="both"/>
        <w:rPr>
          <w:sz w:val="28"/>
        </w:rPr>
      </w:pPr>
      <w:r>
        <w:rPr>
          <w:spacing w:val="-1"/>
          <w:sz w:val="28"/>
          <w:szCs w:val="28"/>
        </w:rPr>
        <w:t>2.</w:t>
      </w:r>
      <w:r>
        <w:rPr>
          <w:spacing w:val="-1"/>
          <w:sz w:val="28"/>
          <w:szCs w:val="28"/>
        </w:rPr>
        <w:tab/>
      </w:r>
      <w:r w:rsidR="00142B22" w:rsidRPr="00D44B24">
        <w:rPr>
          <w:sz w:val="28"/>
        </w:rPr>
        <w:t>It is declared that an attorney, who has been issued with a certificate of right appearance in terms of section 4(2) of th</w:t>
      </w:r>
      <w:r w:rsidR="00142B22" w:rsidRPr="00D44B24">
        <w:rPr>
          <w:sz w:val="28"/>
        </w:rPr>
        <w:t>e Act, is permitted to appear before the taxing master during taxation.</w:t>
      </w:r>
    </w:p>
    <w:p w:rsidR="000E46F1" w:rsidRPr="00D44B24" w:rsidRDefault="00D44B24" w:rsidP="00D44B24">
      <w:pPr>
        <w:tabs>
          <w:tab w:val="left" w:pos="1701"/>
        </w:tabs>
        <w:spacing w:before="241" w:line="360" w:lineRule="auto"/>
        <w:ind w:left="1700" w:right="135" w:hanging="720"/>
        <w:jc w:val="both"/>
        <w:rPr>
          <w:sz w:val="28"/>
        </w:rPr>
      </w:pPr>
      <w:r>
        <w:rPr>
          <w:spacing w:val="-1"/>
          <w:sz w:val="28"/>
          <w:szCs w:val="28"/>
        </w:rPr>
        <w:t>3.</w:t>
      </w:r>
      <w:r>
        <w:rPr>
          <w:spacing w:val="-1"/>
          <w:sz w:val="28"/>
          <w:szCs w:val="28"/>
        </w:rPr>
        <w:tab/>
      </w:r>
      <w:r w:rsidR="00142B22" w:rsidRPr="00D44B24">
        <w:rPr>
          <w:sz w:val="28"/>
        </w:rPr>
        <w:t>The matter is remitted back to the taxing master to proceed with the taxation of the bill of costs, and the ordinary rules pertaining to taxation shall</w:t>
      </w:r>
      <w:r w:rsidR="00142B22" w:rsidRPr="00D44B24">
        <w:rPr>
          <w:spacing w:val="-3"/>
          <w:sz w:val="28"/>
        </w:rPr>
        <w:t xml:space="preserve"> </w:t>
      </w:r>
      <w:r w:rsidR="00142B22" w:rsidRPr="00D44B24">
        <w:rPr>
          <w:sz w:val="28"/>
        </w:rPr>
        <w:t>apply.</w:t>
      </w:r>
    </w:p>
    <w:p w:rsidR="000E46F1" w:rsidRPr="00D44B24" w:rsidRDefault="00D44B24" w:rsidP="00D44B24">
      <w:pPr>
        <w:tabs>
          <w:tab w:val="left" w:pos="1701"/>
        </w:tabs>
        <w:spacing w:before="238" w:line="360" w:lineRule="auto"/>
        <w:ind w:left="1700" w:hanging="720"/>
        <w:jc w:val="both"/>
        <w:rPr>
          <w:sz w:val="28"/>
        </w:rPr>
      </w:pPr>
      <w:r>
        <w:rPr>
          <w:spacing w:val="-1"/>
          <w:sz w:val="28"/>
          <w:szCs w:val="28"/>
        </w:rPr>
        <w:t>4.</w:t>
      </w:r>
      <w:r>
        <w:rPr>
          <w:spacing w:val="-1"/>
          <w:sz w:val="28"/>
          <w:szCs w:val="28"/>
        </w:rPr>
        <w:tab/>
      </w:r>
      <w:r w:rsidR="00142B22" w:rsidRPr="00D44B24">
        <w:rPr>
          <w:sz w:val="28"/>
        </w:rPr>
        <w:t>The first respondent is ordered to pay the costs of the review, together with the wasted costs of 08 May 2018 occasioned by the non-taxation of the bill of</w:t>
      </w:r>
      <w:r w:rsidR="00142B22" w:rsidRPr="00D44B24">
        <w:rPr>
          <w:spacing w:val="-14"/>
          <w:sz w:val="28"/>
        </w:rPr>
        <w:t xml:space="preserve"> </w:t>
      </w:r>
      <w:r w:rsidR="00142B22" w:rsidRPr="00D44B24">
        <w:rPr>
          <w:sz w:val="28"/>
        </w:rPr>
        <w:t>costs.</w:t>
      </w:r>
    </w:p>
    <w:p w:rsidR="000E46F1" w:rsidRPr="00D44B24" w:rsidRDefault="00D44B24" w:rsidP="00D44B24">
      <w:pPr>
        <w:tabs>
          <w:tab w:val="left" w:pos="1701"/>
        </w:tabs>
        <w:spacing w:before="241" w:line="360" w:lineRule="auto"/>
        <w:ind w:left="1700" w:right="136" w:hanging="720"/>
        <w:jc w:val="both"/>
        <w:rPr>
          <w:sz w:val="28"/>
        </w:rPr>
      </w:pPr>
      <w:r>
        <w:rPr>
          <w:spacing w:val="-1"/>
          <w:sz w:val="28"/>
          <w:szCs w:val="28"/>
        </w:rPr>
        <w:t>5.</w:t>
      </w:r>
      <w:r>
        <w:rPr>
          <w:spacing w:val="-1"/>
          <w:sz w:val="28"/>
          <w:szCs w:val="28"/>
        </w:rPr>
        <w:tab/>
      </w:r>
      <w:r w:rsidR="00142B22" w:rsidRPr="00D44B24">
        <w:rPr>
          <w:sz w:val="28"/>
        </w:rPr>
        <w:t xml:space="preserve">The Registrar is directed to forward a copy of this judgment to the Judge President pursuant </w:t>
      </w:r>
      <w:r w:rsidR="00142B22" w:rsidRPr="00D44B24">
        <w:rPr>
          <w:sz w:val="28"/>
        </w:rPr>
        <w:t>to the remarks made in paragraph [22]</w:t>
      </w:r>
      <w:r w:rsidR="00142B22" w:rsidRPr="00D44B24">
        <w:rPr>
          <w:spacing w:val="-3"/>
          <w:sz w:val="28"/>
        </w:rPr>
        <w:t xml:space="preserve"> </w:t>
      </w:r>
      <w:r w:rsidR="00142B22" w:rsidRPr="00D44B24">
        <w:rPr>
          <w:sz w:val="28"/>
        </w:rPr>
        <w:t>above.</w:t>
      </w:r>
    </w:p>
    <w:p w:rsidR="000E46F1" w:rsidRDefault="000E46F1">
      <w:pPr>
        <w:pStyle w:val="BodyText"/>
        <w:rPr>
          <w:sz w:val="20"/>
        </w:rPr>
      </w:pPr>
    </w:p>
    <w:p w:rsidR="000E46F1" w:rsidRDefault="00142B22">
      <w:pPr>
        <w:pStyle w:val="BodyText"/>
        <w:rPr>
          <w:sz w:val="23"/>
        </w:rPr>
      </w:pPr>
      <w:r>
        <w:pict>
          <v:shape id="_x0000_s1026" style="position:absolute;margin-left:422.1pt;margin-top:15.85pt;width:101.4pt;height:.1pt;z-index:-251646976;mso-wrap-distance-left:0;mso-wrap-distance-right:0;mso-position-horizontal-relative:page" coordorigin="8442,317" coordsize="2028,0" path="m8442,317r2028,e" filled="f" strokeweight=".44081mm">
            <v:path arrowok="t"/>
            <w10:wrap type="topAndBottom" anchorx="page"/>
          </v:shape>
        </w:pict>
      </w:r>
    </w:p>
    <w:p w:rsidR="000E46F1" w:rsidRDefault="000E46F1">
      <w:pPr>
        <w:pStyle w:val="BodyText"/>
        <w:spacing w:before="8"/>
        <w:rPr>
          <w:sz w:val="17"/>
        </w:rPr>
      </w:pPr>
    </w:p>
    <w:p w:rsidR="000E46F1" w:rsidRDefault="00142B22">
      <w:pPr>
        <w:spacing w:before="92"/>
        <w:ind w:right="136"/>
        <w:jc w:val="right"/>
        <w:rPr>
          <w:b/>
          <w:sz w:val="28"/>
        </w:rPr>
      </w:pPr>
      <w:r>
        <w:rPr>
          <w:b/>
          <w:sz w:val="28"/>
        </w:rPr>
        <w:t>NS DANISO, AJ</w:t>
      </w:r>
    </w:p>
    <w:p w:rsidR="000E46F1" w:rsidRDefault="000E46F1">
      <w:pPr>
        <w:pStyle w:val="BodyText"/>
        <w:spacing w:before="1"/>
        <w:rPr>
          <w:b/>
          <w:sz w:val="20"/>
        </w:rPr>
      </w:pPr>
    </w:p>
    <w:p w:rsidR="000E46F1" w:rsidRDefault="00142B22">
      <w:pPr>
        <w:spacing w:before="93"/>
        <w:ind w:left="140"/>
        <w:rPr>
          <w:sz w:val="27"/>
        </w:rPr>
      </w:pPr>
      <w:r>
        <w:rPr>
          <w:sz w:val="27"/>
        </w:rPr>
        <w:t>APPEARANCES:</w:t>
      </w:r>
    </w:p>
    <w:p w:rsidR="000E46F1" w:rsidRDefault="000E46F1">
      <w:pPr>
        <w:pStyle w:val="BodyText"/>
        <w:spacing w:before="3"/>
        <w:rPr>
          <w:sz w:val="27"/>
        </w:rPr>
      </w:pPr>
    </w:p>
    <w:p w:rsidR="000E46F1" w:rsidRDefault="00142B22">
      <w:pPr>
        <w:tabs>
          <w:tab w:val="left" w:pos="5901"/>
        </w:tabs>
        <w:ind w:left="140"/>
        <w:rPr>
          <w:sz w:val="27"/>
        </w:rPr>
      </w:pPr>
      <w:r>
        <w:rPr>
          <w:sz w:val="27"/>
        </w:rPr>
        <w:t>Counsel on behalf</w:t>
      </w:r>
      <w:r>
        <w:rPr>
          <w:spacing w:val="-2"/>
          <w:sz w:val="27"/>
        </w:rPr>
        <w:t xml:space="preserve"> </w:t>
      </w:r>
      <w:r>
        <w:rPr>
          <w:sz w:val="27"/>
        </w:rPr>
        <w:t>of</w:t>
      </w:r>
      <w:r>
        <w:rPr>
          <w:spacing w:val="-1"/>
          <w:sz w:val="27"/>
        </w:rPr>
        <w:t xml:space="preserve"> </w:t>
      </w:r>
      <w:r>
        <w:rPr>
          <w:sz w:val="27"/>
        </w:rPr>
        <w:t>Applicants:</w:t>
      </w:r>
      <w:r>
        <w:rPr>
          <w:sz w:val="27"/>
        </w:rPr>
        <w:tab/>
        <w:t>Advocate</w:t>
      </w:r>
      <w:r>
        <w:rPr>
          <w:spacing w:val="-1"/>
          <w:sz w:val="27"/>
        </w:rPr>
        <w:t xml:space="preserve"> </w:t>
      </w:r>
      <w:r>
        <w:rPr>
          <w:sz w:val="27"/>
        </w:rPr>
        <w:t>Ebersohn</w:t>
      </w:r>
    </w:p>
    <w:p w:rsidR="000E46F1" w:rsidRDefault="000E46F1">
      <w:pPr>
        <w:pStyle w:val="BodyText"/>
        <w:spacing w:before="5"/>
        <w:rPr>
          <w:sz w:val="27"/>
        </w:rPr>
      </w:pPr>
    </w:p>
    <w:p w:rsidR="000E46F1" w:rsidRDefault="00142B22">
      <w:pPr>
        <w:tabs>
          <w:tab w:val="left" w:pos="5901"/>
        </w:tabs>
        <w:spacing w:line="482" w:lineRule="auto"/>
        <w:ind w:left="5901" w:right="208" w:hanging="5761"/>
        <w:rPr>
          <w:b/>
          <w:sz w:val="27"/>
        </w:rPr>
      </w:pPr>
      <w:r>
        <w:rPr>
          <w:sz w:val="27"/>
        </w:rPr>
        <w:t>Instructed</w:t>
      </w:r>
      <w:r>
        <w:rPr>
          <w:spacing w:val="-3"/>
          <w:sz w:val="27"/>
        </w:rPr>
        <w:t xml:space="preserve"> </w:t>
      </w:r>
      <w:r>
        <w:rPr>
          <w:sz w:val="27"/>
        </w:rPr>
        <w:t>by:</w:t>
      </w:r>
      <w:r>
        <w:rPr>
          <w:sz w:val="27"/>
        </w:rPr>
        <w:tab/>
        <w:t xml:space="preserve">Gerrie Ebersohn Attorneys c/o Webber Attorneys </w:t>
      </w:r>
      <w:r>
        <w:rPr>
          <w:b/>
          <w:sz w:val="27"/>
        </w:rPr>
        <w:t>BLOEMFONTEIN</w:t>
      </w:r>
    </w:p>
    <w:p w:rsidR="000E46F1" w:rsidRDefault="000E46F1">
      <w:pPr>
        <w:spacing w:line="482" w:lineRule="auto"/>
        <w:rPr>
          <w:sz w:val="27"/>
        </w:rPr>
        <w:sectPr w:rsidR="000E46F1">
          <w:pgSz w:w="11910" w:h="16840"/>
          <w:pgMar w:top="960" w:right="1300" w:bottom="280" w:left="1300" w:header="751" w:footer="0" w:gutter="0"/>
          <w:cols w:space="720"/>
        </w:sectPr>
      </w:pPr>
    </w:p>
    <w:p w:rsidR="000E46F1" w:rsidRDefault="000E46F1">
      <w:pPr>
        <w:pStyle w:val="BodyText"/>
        <w:rPr>
          <w:b/>
          <w:sz w:val="20"/>
        </w:rPr>
      </w:pPr>
    </w:p>
    <w:p w:rsidR="000E46F1" w:rsidRDefault="00142B22">
      <w:pPr>
        <w:tabs>
          <w:tab w:val="left" w:pos="5901"/>
        </w:tabs>
        <w:spacing w:before="239" w:line="484" w:lineRule="auto"/>
        <w:ind w:left="140" w:right="595"/>
        <w:rPr>
          <w:sz w:val="27"/>
        </w:rPr>
      </w:pPr>
      <w:r>
        <w:rPr>
          <w:sz w:val="27"/>
        </w:rPr>
        <w:t>Counsel on behalf of</w:t>
      </w:r>
      <w:r>
        <w:rPr>
          <w:spacing w:val="-4"/>
          <w:sz w:val="27"/>
        </w:rPr>
        <w:t xml:space="preserve"> </w:t>
      </w:r>
      <w:r>
        <w:rPr>
          <w:sz w:val="27"/>
        </w:rPr>
        <w:t>First</w:t>
      </w:r>
      <w:r>
        <w:rPr>
          <w:spacing w:val="-2"/>
          <w:sz w:val="27"/>
        </w:rPr>
        <w:t xml:space="preserve"> </w:t>
      </w:r>
      <w:r>
        <w:rPr>
          <w:sz w:val="27"/>
        </w:rPr>
        <w:t>Respondent:</w:t>
      </w:r>
      <w:r>
        <w:rPr>
          <w:sz w:val="27"/>
        </w:rPr>
        <w:tab/>
        <w:t>Advocate Le Roux Instructed</w:t>
      </w:r>
      <w:r>
        <w:rPr>
          <w:spacing w:val="-3"/>
          <w:sz w:val="27"/>
        </w:rPr>
        <w:t xml:space="preserve"> </w:t>
      </w:r>
      <w:r>
        <w:rPr>
          <w:sz w:val="27"/>
        </w:rPr>
        <w:t>by:</w:t>
      </w:r>
      <w:r>
        <w:rPr>
          <w:sz w:val="27"/>
        </w:rPr>
        <w:tab/>
        <w:t xml:space="preserve">Gous Vertue &amp; Ass </w:t>
      </w:r>
      <w:r>
        <w:rPr>
          <w:spacing w:val="-4"/>
          <w:sz w:val="27"/>
        </w:rPr>
        <w:t>Inc.</w:t>
      </w:r>
    </w:p>
    <w:p w:rsidR="000E46F1" w:rsidRDefault="00142B22">
      <w:pPr>
        <w:spacing w:line="307" w:lineRule="exact"/>
        <w:ind w:left="5901"/>
        <w:rPr>
          <w:b/>
          <w:sz w:val="27"/>
        </w:rPr>
      </w:pPr>
      <w:r>
        <w:rPr>
          <w:b/>
          <w:sz w:val="27"/>
        </w:rPr>
        <w:t>BLOEMFONTEIN</w:t>
      </w:r>
    </w:p>
    <w:sectPr w:rsidR="000E46F1">
      <w:pgSz w:w="11910" w:h="16840"/>
      <w:pgMar w:top="960" w:right="1300" w:bottom="280" w:left="130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22" w:rsidRDefault="00142B22">
      <w:r>
        <w:separator/>
      </w:r>
    </w:p>
  </w:endnote>
  <w:endnote w:type="continuationSeparator" w:id="0">
    <w:p w:rsidR="00142B22" w:rsidRDefault="001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22" w:rsidRDefault="00142B22">
      <w:r>
        <w:separator/>
      </w:r>
    </w:p>
  </w:footnote>
  <w:footnote w:type="continuationSeparator" w:id="0">
    <w:p w:rsidR="00142B22" w:rsidRDefault="0014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F1" w:rsidRDefault="00142B2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9.25pt;margin-top:36.55pt;width:17.3pt;height:13.05pt;z-index:-251658752;mso-position-horizontal-relative:page;mso-position-vertical-relative:page" filled="f" stroked="f">
          <v:textbox inset="0,0,0,0">
            <w:txbxContent>
              <w:p w:rsidR="000E46F1" w:rsidRDefault="00142B22">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7A1"/>
    <w:multiLevelType w:val="hybridMultilevel"/>
    <w:tmpl w:val="565A4E76"/>
    <w:lvl w:ilvl="0" w:tplc="62EA2E50">
      <w:start w:val="1"/>
      <w:numFmt w:val="decimal"/>
      <w:lvlText w:val="[%1]"/>
      <w:lvlJc w:val="left"/>
      <w:pPr>
        <w:ind w:left="992" w:hanging="852"/>
        <w:jc w:val="left"/>
      </w:pPr>
      <w:rPr>
        <w:rFonts w:ascii="Arial" w:eastAsia="Arial" w:hAnsi="Arial" w:cs="Arial" w:hint="default"/>
        <w:w w:val="100"/>
        <w:sz w:val="28"/>
        <w:szCs w:val="28"/>
        <w:lang w:val="en-ZA" w:eastAsia="en-ZA" w:bidi="en-ZA"/>
      </w:rPr>
    </w:lvl>
    <w:lvl w:ilvl="1" w:tplc="21B47D70">
      <w:start w:val="1"/>
      <w:numFmt w:val="decimal"/>
      <w:lvlText w:val="%2."/>
      <w:lvlJc w:val="left"/>
      <w:pPr>
        <w:ind w:left="1700" w:hanging="720"/>
        <w:jc w:val="left"/>
      </w:pPr>
      <w:rPr>
        <w:rFonts w:ascii="Arial" w:eastAsia="Arial" w:hAnsi="Arial" w:cs="Arial" w:hint="default"/>
        <w:spacing w:val="-1"/>
        <w:w w:val="100"/>
        <w:sz w:val="28"/>
        <w:szCs w:val="28"/>
        <w:lang w:val="en-ZA" w:eastAsia="en-ZA" w:bidi="en-ZA"/>
      </w:rPr>
    </w:lvl>
    <w:lvl w:ilvl="2" w:tplc="D2545DDC">
      <w:numFmt w:val="bullet"/>
      <w:lvlText w:val="•"/>
      <w:lvlJc w:val="left"/>
      <w:pPr>
        <w:ind w:left="2545" w:hanging="720"/>
      </w:pPr>
      <w:rPr>
        <w:rFonts w:hint="default"/>
        <w:lang w:val="en-ZA" w:eastAsia="en-ZA" w:bidi="en-ZA"/>
      </w:rPr>
    </w:lvl>
    <w:lvl w:ilvl="3" w:tplc="42BEFA4C">
      <w:numFmt w:val="bullet"/>
      <w:lvlText w:val="•"/>
      <w:lvlJc w:val="left"/>
      <w:pPr>
        <w:ind w:left="3390" w:hanging="720"/>
      </w:pPr>
      <w:rPr>
        <w:rFonts w:hint="default"/>
        <w:lang w:val="en-ZA" w:eastAsia="en-ZA" w:bidi="en-ZA"/>
      </w:rPr>
    </w:lvl>
    <w:lvl w:ilvl="4" w:tplc="E3C8F7DE">
      <w:numFmt w:val="bullet"/>
      <w:lvlText w:val="•"/>
      <w:lvlJc w:val="left"/>
      <w:pPr>
        <w:ind w:left="4235" w:hanging="720"/>
      </w:pPr>
      <w:rPr>
        <w:rFonts w:hint="default"/>
        <w:lang w:val="en-ZA" w:eastAsia="en-ZA" w:bidi="en-ZA"/>
      </w:rPr>
    </w:lvl>
    <w:lvl w:ilvl="5" w:tplc="C144E4C2">
      <w:numFmt w:val="bullet"/>
      <w:lvlText w:val="•"/>
      <w:lvlJc w:val="left"/>
      <w:pPr>
        <w:ind w:left="5080" w:hanging="720"/>
      </w:pPr>
      <w:rPr>
        <w:rFonts w:hint="default"/>
        <w:lang w:val="en-ZA" w:eastAsia="en-ZA" w:bidi="en-ZA"/>
      </w:rPr>
    </w:lvl>
    <w:lvl w:ilvl="6" w:tplc="718EDF04">
      <w:numFmt w:val="bullet"/>
      <w:lvlText w:val="•"/>
      <w:lvlJc w:val="left"/>
      <w:pPr>
        <w:ind w:left="5925" w:hanging="720"/>
      </w:pPr>
      <w:rPr>
        <w:rFonts w:hint="default"/>
        <w:lang w:val="en-ZA" w:eastAsia="en-ZA" w:bidi="en-ZA"/>
      </w:rPr>
    </w:lvl>
    <w:lvl w:ilvl="7" w:tplc="543AA8B8">
      <w:numFmt w:val="bullet"/>
      <w:lvlText w:val="•"/>
      <w:lvlJc w:val="left"/>
      <w:pPr>
        <w:ind w:left="6770" w:hanging="720"/>
      </w:pPr>
      <w:rPr>
        <w:rFonts w:hint="default"/>
        <w:lang w:val="en-ZA" w:eastAsia="en-ZA" w:bidi="en-ZA"/>
      </w:rPr>
    </w:lvl>
    <w:lvl w:ilvl="8" w:tplc="336AECD4">
      <w:numFmt w:val="bullet"/>
      <w:lvlText w:val="•"/>
      <w:lvlJc w:val="left"/>
      <w:pPr>
        <w:ind w:left="7616" w:hanging="720"/>
      </w:pPr>
      <w:rPr>
        <w:rFonts w:hint="default"/>
        <w:lang w:val="en-ZA" w:eastAsia="en-ZA" w:bidi="en-Z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E46F1"/>
    <w:rsid w:val="000E46F1"/>
    <w:rsid w:val="00142B22"/>
    <w:rsid w:val="00D4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299845-4AA5-4405-B326-12AF1F28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40"/>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92" w:right="133"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ojcdnoc-jutas/nxt/foliolinks.asp?f=xhitlist&amp;xhitlist_x=Advanced&amp;xhitlist_vpc=first&amp;xhitlist_xsl=querylink.xsl&amp;xhitlist_sel=title%3Bpath%3Bcontent-type%3Bhome-title&amp;xhitlist_d=%7bsalr%7d&amp;xhitlist_q=%5bfield%20folio-destination-name%3A%27793925%27%5d&amp;xhitlist_md=target-id%3D0-0-0-240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Mokone</cp:lastModifiedBy>
  <cp:revision>2</cp:revision>
  <dcterms:created xsi:type="dcterms:W3CDTF">2022-08-22T11:12:00Z</dcterms:created>
  <dcterms:modified xsi:type="dcterms:W3CDTF">2022-08-22T11:13:00Z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for Office 365</vt:lpwstr>
  </property>
  <property fmtid="{D5CDD505-2E9C-101B-9397-08002B2CF9AE}" pid="4" name="LastSaved">
    <vt:filetime>2022-08-22T00:00:00Z</vt:filetime>
  </property>
</Properties>
</file>