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CD" w:rsidRPr="00F85635" w:rsidRDefault="008A61CD" w:rsidP="008A61CD">
      <w:pPr>
        <w:jc w:val="center"/>
        <w:rPr>
          <w:rFonts w:ascii="Arial" w:hAnsi="Arial" w:cs="Arial"/>
          <w:b/>
          <w:u w:val="single"/>
          <w:lang w:val="en-ZA"/>
        </w:rPr>
      </w:pPr>
      <w:bookmarkStart w:id="0" w:name="_GoBack"/>
      <w:bookmarkEnd w:id="0"/>
      <w:r w:rsidRPr="00F85635">
        <w:rPr>
          <w:noProof/>
          <w:lang w:val="en-ZA" w:eastAsia="en-ZA"/>
        </w:rPr>
        <w:drawing>
          <wp:anchor distT="0" distB="0" distL="114300" distR="114300" simplePos="0" relativeHeight="251659264" behindDoc="1" locked="0" layoutInCell="1" allowOverlap="1" wp14:anchorId="178FEBA9" wp14:editId="0750722A">
            <wp:simplePos x="0" y="0"/>
            <wp:positionH relativeFrom="column">
              <wp:posOffset>2181225</wp:posOffset>
            </wp:positionH>
            <wp:positionV relativeFrom="paragraph">
              <wp:posOffset>-314325</wp:posOffset>
            </wp:positionV>
            <wp:extent cx="1190625" cy="1162862"/>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6616" cy="1168713"/>
                    </a:xfrm>
                    <a:prstGeom prst="rect">
                      <a:avLst/>
                    </a:prstGeom>
                    <a:noFill/>
                  </pic:spPr>
                </pic:pic>
              </a:graphicData>
            </a:graphic>
            <wp14:sizeRelH relativeFrom="page">
              <wp14:pctWidth>0</wp14:pctWidth>
            </wp14:sizeRelH>
            <wp14:sizeRelV relativeFrom="page">
              <wp14:pctHeight>0</wp14:pctHeight>
            </wp14:sizeRelV>
          </wp:anchor>
        </w:drawing>
      </w:r>
    </w:p>
    <w:p w:rsidR="008A61CD" w:rsidRPr="00F85635" w:rsidRDefault="008A61CD" w:rsidP="008A61CD">
      <w:pPr>
        <w:jc w:val="center"/>
        <w:rPr>
          <w:rFonts w:ascii="Arial" w:hAnsi="Arial" w:cs="Arial"/>
          <w:b/>
          <w:u w:val="single"/>
          <w:lang w:val="en-ZA"/>
        </w:rPr>
      </w:pPr>
    </w:p>
    <w:p w:rsidR="008A61CD" w:rsidRPr="00F85635" w:rsidRDefault="008A61CD" w:rsidP="008A61CD">
      <w:pPr>
        <w:jc w:val="center"/>
        <w:rPr>
          <w:rFonts w:ascii="Arial" w:hAnsi="Arial" w:cs="Arial"/>
          <w:b/>
          <w:u w:val="single"/>
          <w:lang w:val="en-ZA"/>
        </w:rPr>
      </w:pPr>
    </w:p>
    <w:p w:rsidR="008A61CD" w:rsidRPr="00F85635" w:rsidRDefault="008A61CD" w:rsidP="008A61CD">
      <w:pPr>
        <w:jc w:val="center"/>
        <w:rPr>
          <w:rFonts w:ascii="Arial" w:hAnsi="Arial" w:cs="Arial"/>
          <w:b/>
          <w:u w:val="single"/>
          <w:lang w:val="en-ZA"/>
        </w:rPr>
      </w:pPr>
    </w:p>
    <w:p w:rsidR="008A61CD" w:rsidRPr="00F85635" w:rsidRDefault="008A61CD" w:rsidP="008A61CD">
      <w:pPr>
        <w:jc w:val="center"/>
        <w:rPr>
          <w:rFonts w:ascii="Arial" w:hAnsi="Arial" w:cs="Arial"/>
          <w:b/>
          <w:u w:val="single"/>
          <w:lang w:val="en-ZA"/>
        </w:rPr>
      </w:pPr>
    </w:p>
    <w:p w:rsidR="008A61CD" w:rsidRPr="00F85635" w:rsidRDefault="008A61CD" w:rsidP="008A61CD">
      <w:pPr>
        <w:rPr>
          <w:rFonts w:ascii="Arial" w:hAnsi="Arial" w:cs="Arial"/>
          <w:b/>
          <w:u w:val="single"/>
          <w:lang w:val="en-ZA"/>
        </w:rPr>
      </w:pPr>
    </w:p>
    <w:p w:rsidR="008A61CD" w:rsidRPr="00F85635" w:rsidRDefault="008A61CD" w:rsidP="008A61CD">
      <w:pPr>
        <w:spacing w:line="276" w:lineRule="auto"/>
        <w:jc w:val="center"/>
        <w:rPr>
          <w:rFonts w:ascii="Arial" w:hAnsi="Arial" w:cs="Arial"/>
          <w:b/>
          <w:u w:val="single"/>
          <w:lang w:val="en-ZA"/>
        </w:rPr>
      </w:pPr>
      <w:r w:rsidRPr="00F85635">
        <w:rPr>
          <w:rFonts w:ascii="Arial" w:hAnsi="Arial" w:cs="Arial"/>
          <w:b/>
          <w:u w:val="single"/>
          <w:lang w:val="en-ZA"/>
        </w:rPr>
        <w:t>IN THE HIGH COURT OF SOUTH AFRICA,</w:t>
      </w:r>
    </w:p>
    <w:p w:rsidR="008A61CD" w:rsidRPr="00F85635" w:rsidRDefault="008A61CD" w:rsidP="008A61CD">
      <w:pPr>
        <w:spacing w:line="276" w:lineRule="auto"/>
        <w:jc w:val="center"/>
        <w:rPr>
          <w:rFonts w:ascii="Arial" w:hAnsi="Arial" w:cs="Arial"/>
          <w:b/>
          <w:u w:val="single"/>
          <w:lang w:val="en-ZA"/>
        </w:rPr>
      </w:pPr>
      <w:r w:rsidRPr="00F85635">
        <w:rPr>
          <w:rFonts w:ascii="Arial" w:hAnsi="Arial" w:cs="Arial"/>
          <w:b/>
          <w:u w:val="single"/>
          <w:lang w:val="en-ZA"/>
        </w:rPr>
        <w:t>FREE STATE DIVISION, BLOEMFONTEIN</w:t>
      </w:r>
    </w:p>
    <w:p w:rsidR="008A61CD" w:rsidRPr="00F85635" w:rsidRDefault="008A61CD" w:rsidP="008A61CD">
      <w:pPr>
        <w:rPr>
          <w:rFonts w:ascii="Arial" w:hAnsi="Arial" w:cs="Arial"/>
          <w:b/>
          <w:u w:val="single"/>
          <w:lang w:val="en-ZA"/>
        </w:rPr>
      </w:pPr>
    </w:p>
    <w:tbl>
      <w:tblPr>
        <w:tblStyle w:val="TableGrid"/>
        <w:tblW w:w="0" w:type="auto"/>
        <w:tblInd w:w="5353" w:type="dxa"/>
        <w:tblLook w:val="04A0" w:firstRow="1" w:lastRow="0" w:firstColumn="1" w:lastColumn="0" w:noHBand="0" w:noVBand="1"/>
      </w:tblPr>
      <w:tblGrid>
        <w:gridCol w:w="3663"/>
      </w:tblGrid>
      <w:tr w:rsidR="008A61CD" w:rsidRPr="00F85635" w:rsidTr="001525C7">
        <w:trPr>
          <w:trHeight w:val="682"/>
        </w:trPr>
        <w:tc>
          <w:tcPr>
            <w:tcW w:w="3705" w:type="dxa"/>
            <w:shd w:val="clear" w:color="auto" w:fill="FFFFFF" w:themeFill="background1"/>
          </w:tcPr>
          <w:p w:rsidR="008A61CD" w:rsidRPr="00F85635" w:rsidRDefault="008A61CD" w:rsidP="001525C7">
            <w:pPr>
              <w:ind w:right="-230"/>
              <w:rPr>
                <w:rFonts w:ascii="Arial" w:hAnsi="Arial" w:cs="Arial"/>
                <w:b/>
                <w:sz w:val="16"/>
                <w:szCs w:val="16"/>
                <w:lang w:val="en-ZA"/>
              </w:rPr>
            </w:pPr>
            <w:r w:rsidRPr="00F85635">
              <w:rPr>
                <w:rFonts w:ascii="Arial" w:hAnsi="Arial" w:cs="Arial"/>
                <w:b/>
                <w:sz w:val="16"/>
                <w:szCs w:val="16"/>
                <w:lang w:val="en-ZA"/>
              </w:rPr>
              <w:t>Reportable:                              YES/NO</w:t>
            </w:r>
          </w:p>
          <w:p w:rsidR="008A61CD" w:rsidRPr="00F85635" w:rsidRDefault="008A61CD" w:rsidP="001525C7">
            <w:pPr>
              <w:rPr>
                <w:rFonts w:ascii="Arial" w:hAnsi="Arial" w:cs="Arial"/>
                <w:b/>
                <w:sz w:val="16"/>
                <w:szCs w:val="16"/>
                <w:lang w:val="en-ZA"/>
              </w:rPr>
            </w:pPr>
            <w:r w:rsidRPr="00F85635">
              <w:rPr>
                <w:rFonts w:ascii="Arial" w:hAnsi="Arial" w:cs="Arial"/>
                <w:b/>
                <w:sz w:val="16"/>
                <w:szCs w:val="16"/>
                <w:lang w:val="en-ZA"/>
              </w:rPr>
              <w:t>Of Interest to other Judges:   YES/NO</w:t>
            </w:r>
          </w:p>
          <w:p w:rsidR="008A61CD" w:rsidRPr="00F85635" w:rsidRDefault="008A61CD" w:rsidP="001525C7">
            <w:pPr>
              <w:rPr>
                <w:rFonts w:ascii="Arial" w:hAnsi="Arial" w:cs="Arial"/>
                <w:b/>
                <w:sz w:val="16"/>
                <w:szCs w:val="16"/>
                <w:u w:val="single"/>
                <w:lang w:val="en-ZA"/>
              </w:rPr>
            </w:pPr>
            <w:r w:rsidRPr="00F85635">
              <w:rPr>
                <w:rFonts w:ascii="Arial" w:hAnsi="Arial" w:cs="Arial"/>
                <w:b/>
                <w:sz w:val="16"/>
                <w:szCs w:val="16"/>
                <w:lang w:val="en-ZA"/>
              </w:rPr>
              <w:t>Circulate to Magistrates:       YES/NO</w:t>
            </w:r>
          </w:p>
        </w:tc>
      </w:tr>
    </w:tbl>
    <w:p w:rsidR="008A61CD" w:rsidRPr="00F85635" w:rsidRDefault="008A61CD" w:rsidP="008A61CD">
      <w:pPr>
        <w:jc w:val="both"/>
        <w:rPr>
          <w:rFonts w:ascii="Arial" w:hAnsi="Arial" w:cs="Arial"/>
          <w:b/>
          <w:sz w:val="28"/>
          <w:szCs w:val="28"/>
          <w:lang w:val="en-ZA"/>
        </w:rPr>
      </w:pPr>
    </w:p>
    <w:p w:rsidR="008A61CD" w:rsidRPr="00467903" w:rsidRDefault="008A61CD" w:rsidP="008A61CD">
      <w:pPr>
        <w:jc w:val="right"/>
        <w:rPr>
          <w:rFonts w:ascii="Arial" w:hAnsi="Arial" w:cs="Arial"/>
          <w:lang w:val="en-ZA"/>
        </w:rPr>
      </w:pPr>
      <w:r w:rsidRPr="00467903">
        <w:rPr>
          <w:rFonts w:ascii="Arial" w:hAnsi="Arial" w:cs="Arial"/>
          <w:lang w:val="en-ZA"/>
        </w:rPr>
        <w:t>Appeal number:   A145/2020</w:t>
      </w:r>
    </w:p>
    <w:p w:rsidR="008A61CD" w:rsidRPr="00467903" w:rsidRDefault="008A61CD" w:rsidP="008A61CD">
      <w:pPr>
        <w:jc w:val="both"/>
        <w:rPr>
          <w:rFonts w:ascii="Arial" w:hAnsi="Arial" w:cs="Arial"/>
          <w:lang w:val="en-ZA"/>
        </w:rPr>
      </w:pPr>
    </w:p>
    <w:p w:rsidR="008A61CD" w:rsidRPr="00467903" w:rsidRDefault="008A61CD" w:rsidP="008A61CD">
      <w:pPr>
        <w:jc w:val="both"/>
        <w:rPr>
          <w:rFonts w:ascii="Arial" w:hAnsi="Arial" w:cs="Arial"/>
          <w:lang w:val="en-ZA"/>
        </w:rPr>
      </w:pPr>
    </w:p>
    <w:p w:rsidR="008A61CD" w:rsidRPr="00467903" w:rsidRDefault="008A61CD" w:rsidP="008A61CD">
      <w:pPr>
        <w:jc w:val="both"/>
        <w:rPr>
          <w:rFonts w:ascii="Arial" w:hAnsi="Arial" w:cs="Arial"/>
          <w:lang w:val="en-ZA"/>
        </w:rPr>
      </w:pPr>
      <w:r w:rsidRPr="00467903">
        <w:rPr>
          <w:rFonts w:ascii="Arial" w:hAnsi="Arial" w:cs="Arial"/>
          <w:lang w:val="en-ZA"/>
        </w:rPr>
        <w:t xml:space="preserve">In the matter between: </w:t>
      </w:r>
    </w:p>
    <w:p w:rsidR="008A61CD" w:rsidRPr="00467903" w:rsidRDefault="008A61CD" w:rsidP="008A61CD">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u w:val="single"/>
          <w:lang w:val="en-ZA"/>
        </w:rPr>
      </w:pPr>
    </w:p>
    <w:p w:rsidR="008A61CD" w:rsidRPr="00467903" w:rsidRDefault="008A61CD" w:rsidP="008A61CD">
      <w:pPr>
        <w:tabs>
          <w:tab w:val="left" w:pos="720"/>
          <w:tab w:val="left" w:pos="1440"/>
          <w:tab w:val="left" w:pos="2160"/>
          <w:tab w:val="left" w:pos="2880"/>
          <w:tab w:val="left" w:pos="3600"/>
          <w:tab w:val="left" w:pos="4320"/>
          <w:tab w:val="left" w:pos="5040"/>
          <w:tab w:val="left" w:pos="5760"/>
          <w:tab w:val="left" w:pos="6480"/>
          <w:tab w:val="right" w:pos="9026"/>
        </w:tabs>
        <w:spacing w:line="360" w:lineRule="auto"/>
        <w:jc w:val="both"/>
        <w:rPr>
          <w:rFonts w:ascii="Arial" w:hAnsi="Arial" w:cs="Arial"/>
          <w:lang w:val="en-ZA"/>
        </w:rPr>
      </w:pPr>
      <w:r w:rsidRPr="00467903">
        <w:rPr>
          <w:rFonts w:ascii="Arial" w:hAnsi="Arial" w:cs="Arial"/>
          <w:b/>
          <w:lang w:val="en-ZA"/>
        </w:rPr>
        <w:t>KATHRINE MARY YVONNE DE LANGE (born LEDIMO)</w:t>
      </w:r>
      <w:r w:rsidRPr="00467903">
        <w:rPr>
          <w:rFonts w:ascii="Arial" w:hAnsi="Arial" w:cs="Arial"/>
          <w:lang w:val="en-ZA"/>
        </w:rPr>
        <w:tab/>
      </w:r>
      <w:r w:rsidRPr="00467903">
        <w:rPr>
          <w:rFonts w:ascii="Arial" w:hAnsi="Arial" w:cs="Arial"/>
          <w:vertAlign w:val="superscript"/>
          <w:lang w:val="en-ZA"/>
        </w:rPr>
        <w:t xml:space="preserve"> </w:t>
      </w:r>
      <w:r w:rsidR="008D3FD5">
        <w:rPr>
          <w:rFonts w:ascii="Arial" w:hAnsi="Arial" w:cs="Arial"/>
          <w:vertAlign w:val="superscript"/>
          <w:lang w:val="en-ZA"/>
        </w:rPr>
        <w:t xml:space="preserve">    </w:t>
      </w:r>
      <w:r w:rsidR="008D3FD5">
        <w:rPr>
          <w:rFonts w:ascii="Arial" w:hAnsi="Arial" w:cs="Arial"/>
          <w:vertAlign w:val="superscript"/>
          <w:lang w:val="en-ZA"/>
        </w:rPr>
        <w:tab/>
      </w:r>
      <w:r w:rsidRPr="00467903">
        <w:rPr>
          <w:rFonts w:ascii="Arial" w:hAnsi="Arial" w:cs="Arial"/>
          <w:lang w:val="en-ZA"/>
        </w:rPr>
        <w:t>Appellant</w:t>
      </w:r>
    </w:p>
    <w:p w:rsidR="008A61CD" w:rsidRPr="00467903" w:rsidRDefault="008A61CD" w:rsidP="008A61CD">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lang w:val="en-ZA"/>
        </w:rPr>
      </w:pPr>
    </w:p>
    <w:p w:rsidR="008A61CD" w:rsidRPr="00467903" w:rsidRDefault="008A61CD" w:rsidP="008A61CD">
      <w:pPr>
        <w:jc w:val="both"/>
        <w:rPr>
          <w:rFonts w:ascii="Arial" w:hAnsi="Arial" w:cs="Arial"/>
          <w:lang w:val="en-ZA"/>
        </w:rPr>
      </w:pPr>
      <w:r w:rsidRPr="00467903">
        <w:rPr>
          <w:rFonts w:ascii="Arial" w:hAnsi="Arial" w:cs="Arial"/>
          <w:lang w:val="en-ZA"/>
        </w:rPr>
        <w:t xml:space="preserve">and </w:t>
      </w:r>
    </w:p>
    <w:p w:rsidR="008A61CD" w:rsidRPr="00467903" w:rsidRDefault="008A61CD" w:rsidP="008A61CD">
      <w:pPr>
        <w:jc w:val="both"/>
        <w:rPr>
          <w:rFonts w:ascii="Arial" w:hAnsi="Arial" w:cs="Arial"/>
          <w:lang w:val="en-ZA"/>
        </w:rPr>
      </w:pPr>
    </w:p>
    <w:p w:rsidR="008A61CD" w:rsidRPr="00467903" w:rsidRDefault="008A61CD" w:rsidP="008A61C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rFonts w:ascii="Arial" w:hAnsi="Arial" w:cs="Arial"/>
          <w:b/>
          <w:u w:val="single"/>
          <w:lang w:val="en-ZA"/>
        </w:rPr>
      </w:pPr>
    </w:p>
    <w:p w:rsidR="008A61CD" w:rsidRPr="00467903" w:rsidRDefault="008A61CD" w:rsidP="008A61C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rFonts w:ascii="Arial" w:hAnsi="Arial" w:cs="Arial"/>
          <w:lang w:val="en-ZA"/>
        </w:rPr>
      </w:pPr>
      <w:r w:rsidRPr="00467903">
        <w:rPr>
          <w:rFonts w:ascii="Arial" w:hAnsi="Arial" w:cs="Arial"/>
          <w:b/>
          <w:lang w:val="en-ZA"/>
        </w:rPr>
        <w:t>STANLEY JOSEPH LUCAS LEDIMO</w:t>
      </w:r>
      <w:r w:rsidRPr="00467903">
        <w:rPr>
          <w:rFonts w:ascii="Arial" w:hAnsi="Arial" w:cs="Arial"/>
          <w:lang w:val="en-ZA"/>
        </w:rPr>
        <w:tab/>
      </w:r>
      <w:r w:rsidRPr="00467903">
        <w:rPr>
          <w:rFonts w:ascii="Arial" w:hAnsi="Arial" w:cs="Arial"/>
          <w:lang w:val="en-ZA"/>
        </w:rPr>
        <w:tab/>
      </w:r>
      <w:r w:rsidRPr="00467903">
        <w:rPr>
          <w:rFonts w:ascii="Arial" w:hAnsi="Arial" w:cs="Arial"/>
          <w:lang w:val="en-ZA"/>
        </w:rPr>
        <w:tab/>
      </w:r>
      <w:r w:rsidRPr="00467903">
        <w:rPr>
          <w:rFonts w:ascii="Arial" w:hAnsi="Arial" w:cs="Arial"/>
          <w:lang w:val="en-ZA"/>
        </w:rPr>
        <w:tab/>
        <w:t xml:space="preserve">   </w:t>
      </w:r>
      <w:r w:rsidR="008D3FD5">
        <w:rPr>
          <w:rFonts w:ascii="Arial" w:hAnsi="Arial" w:cs="Arial"/>
          <w:lang w:val="en-ZA"/>
        </w:rPr>
        <w:tab/>
        <w:t xml:space="preserve">       </w:t>
      </w:r>
      <w:r w:rsidRPr="00467903">
        <w:rPr>
          <w:rFonts w:ascii="Arial" w:hAnsi="Arial" w:cs="Arial"/>
          <w:lang w:val="en-ZA"/>
        </w:rPr>
        <w:t>Respondent</w:t>
      </w:r>
    </w:p>
    <w:p w:rsidR="008A61CD" w:rsidRPr="00467903" w:rsidRDefault="008A61CD" w:rsidP="008A61CD">
      <w:pPr>
        <w:pBdr>
          <w:bottom w:val="single" w:sz="12" w:space="1" w:color="auto"/>
        </w:pBdr>
        <w:jc w:val="both"/>
        <w:rPr>
          <w:rFonts w:ascii="Arial" w:hAnsi="Arial" w:cs="Arial"/>
          <w:b/>
          <w:lang w:val="en-ZA"/>
        </w:rPr>
      </w:pPr>
      <w:r w:rsidRPr="00467903">
        <w:rPr>
          <w:rFonts w:ascii="Arial" w:hAnsi="Arial" w:cs="Arial"/>
          <w:b/>
          <w:lang w:val="en-ZA"/>
        </w:rPr>
        <w:tab/>
      </w:r>
      <w:r w:rsidRPr="00467903">
        <w:rPr>
          <w:rFonts w:ascii="Arial" w:hAnsi="Arial" w:cs="Arial"/>
          <w:b/>
          <w:lang w:val="en-ZA"/>
        </w:rPr>
        <w:tab/>
      </w:r>
    </w:p>
    <w:p w:rsidR="008A61CD" w:rsidRPr="00467903" w:rsidRDefault="008A61CD" w:rsidP="008A61CD">
      <w:pPr>
        <w:pBdr>
          <w:bottom w:val="single" w:sz="6" w:space="1" w:color="auto"/>
        </w:pBdr>
        <w:contextualSpacing/>
        <w:jc w:val="both"/>
        <w:rPr>
          <w:rFonts w:ascii="Arial" w:hAnsi="Arial" w:cs="Arial"/>
          <w:b/>
          <w:u w:val="single"/>
          <w:lang w:val="en-ZA"/>
        </w:rPr>
      </w:pPr>
    </w:p>
    <w:p w:rsidR="008A61CD" w:rsidRPr="00467903" w:rsidRDefault="008A61CD" w:rsidP="008A61CD">
      <w:pPr>
        <w:pBdr>
          <w:bottom w:val="single" w:sz="6" w:space="1" w:color="auto"/>
        </w:pBdr>
        <w:contextualSpacing/>
        <w:jc w:val="both"/>
        <w:rPr>
          <w:rFonts w:ascii="Arial" w:hAnsi="Arial" w:cs="Arial"/>
          <w:lang w:val="en-ZA"/>
        </w:rPr>
      </w:pPr>
      <w:r w:rsidRPr="00467903">
        <w:rPr>
          <w:rFonts w:ascii="Arial" w:hAnsi="Arial" w:cs="Arial"/>
          <w:b/>
          <w:u w:val="single"/>
          <w:lang w:val="en-ZA"/>
        </w:rPr>
        <w:t>CORAM:</w:t>
      </w:r>
      <w:r w:rsidRPr="00467903">
        <w:rPr>
          <w:rFonts w:ascii="Arial" w:hAnsi="Arial" w:cs="Arial"/>
          <w:b/>
          <w:lang w:val="en-ZA"/>
        </w:rPr>
        <w:tab/>
      </w:r>
      <w:r w:rsidRPr="00467903">
        <w:rPr>
          <w:rFonts w:ascii="Arial" w:hAnsi="Arial" w:cs="Arial"/>
          <w:b/>
          <w:lang w:val="en-ZA"/>
        </w:rPr>
        <w:tab/>
      </w:r>
      <w:r w:rsidRPr="00467903">
        <w:rPr>
          <w:rFonts w:ascii="Arial" w:hAnsi="Arial" w:cs="Arial"/>
          <w:b/>
          <w:lang w:val="en-ZA"/>
        </w:rPr>
        <w:tab/>
      </w:r>
      <w:r w:rsidRPr="00467903">
        <w:rPr>
          <w:rFonts w:ascii="Arial" w:hAnsi="Arial" w:cs="Arial"/>
          <w:lang w:val="en-ZA"/>
        </w:rPr>
        <w:t xml:space="preserve">MATHEBULA, J </w:t>
      </w:r>
      <w:r w:rsidRPr="00467903">
        <w:rPr>
          <w:rFonts w:ascii="Arial" w:hAnsi="Arial" w:cs="Arial"/>
          <w:i/>
          <w:lang w:val="en-ZA"/>
        </w:rPr>
        <w:t xml:space="preserve">et </w:t>
      </w:r>
      <w:r w:rsidRPr="00467903">
        <w:rPr>
          <w:rFonts w:ascii="Arial" w:hAnsi="Arial" w:cs="Arial"/>
          <w:lang w:val="en-ZA"/>
        </w:rPr>
        <w:t>DANISO, J</w:t>
      </w:r>
    </w:p>
    <w:p w:rsidR="008A61CD" w:rsidRPr="00467903" w:rsidRDefault="008A61CD" w:rsidP="008A61CD">
      <w:pPr>
        <w:pBdr>
          <w:bottom w:val="single" w:sz="6" w:space="1" w:color="auto"/>
        </w:pBdr>
        <w:contextualSpacing/>
        <w:jc w:val="both"/>
        <w:rPr>
          <w:rFonts w:ascii="Arial" w:hAnsi="Arial" w:cs="Arial"/>
          <w:b/>
          <w:lang w:val="en-ZA"/>
        </w:rPr>
      </w:pPr>
    </w:p>
    <w:p w:rsidR="008A61CD" w:rsidRPr="00467903" w:rsidRDefault="008A61CD" w:rsidP="008A61CD">
      <w:pPr>
        <w:contextualSpacing/>
        <w:jc w:val="both"/>
        <w:rPr>
          <w:rFonts w:ascii="Arial" w:hAnsi="Arial" w:cs="Arial"/>
          <w:b/>
          <w:u w:val="single"/>
          <w:lang w:val="en-ZA"/>
        </w:rPr>
      </w:pPr>
    </w:p>
    <w:p w:rsidR="008A61CD" w:rsidRPr="00467903" w:rsidRDefault="008A61CD" w:rsidP="008A61CD">
      <w:pPr>
        <w:contextualSpacing/>
        <w:jc w:val="both"/>
        <w:rPr>
          <w:rFonts w:ascii="Arial" w:hAnsi="Arial" w:cs="Arial"/>
          <w:u w:val="single"/>
          <w:lang w:val="en-ZA"/>
        </w:rPr>
      </w:pPr>
      <w:r w:rsidRPr="00467903">
        <w:rPr>
          <w:rFonts w:ascii="Arial" w:hAnsi="Arial" w:cs="Arial"/>
          <w:b/>
          <w:u w:val="single"/>
          <w:lang w:val="en-ZA"/>
        </w:rPr>
        <w:t>HEARD ON:</w:t>
      </w:r>
      <w:r w:rsidRPr="00467903">
        <w:rPr>
          <w:rFonts w:ascii="Arial" w:hAnsi="Arial" w:cs="Arial"/>
          <w:lang w:val="en-ZA"/>
        </w:rPr>
        <w:tab/>
      </w:r>
      <w:r w:rsidRPr="00467903">
        <w:rPr>
          <w:rFonts w:ascii="Arial" w:hAnsi="Arial" w:cs="Arial"/>
          <w:lang w:val="en-ZA"/>
        </w:rPr>
        <w:tab/>
      </w:r>
      <w:r w:rsidR="00467903">
        <w:rPr>
          <w:rFonts w:ascii="Arial" w:hAnsi="Arial" w:cs="Arial"/>
          <w:lang w:val="en-ZA"/>
        </w:rPr>
        <w:tab/>
      </w:r>
      <w:r w:rsidRPr="00467903">
        <w:rPr>
          <w:rFonts w:ascii="Arial" w:hAnsi="Arial" w:cs="Arial"/>
          <w:lang w:val="en-ZA"/>
        </w:rPr>
        <w:t xml:space="preserve">25 APRIL 2022 </w:t>
      </w:r>
      <w:r w:rsidRPr="00467903">
        <w:rPr>
          <w:rFonts w:ascii="Arial" w:hAnsi="Arial" w:cs="Arial"/>
          <w:b/>
          <w:lang w:val="en-ZA"/>
        </w:rPr>
        <w:tab/>
      </w:r>
    </w:p>
    <w:p w:rsidR="008A61CD" w:rsidRPr="00467903" w:rsidRDefault="008A61CD" w:rsidP="008A61CD">
      <w:pPr>
        <w:pBdr>
          <w:bottom w:val="single" w:sz="6" w:space="1" w:color="auto"/>
        </w:pBdr>
        <w:contextualSpacing/>
        <w:jc w:val="both"/>
        <w:rPr>
          <w:rFonts w:ascii="Arial" w:hAnsi="Arial" w:cs="Arial"/>
          <w:b/>
          <w:lang w:val="en-ZA"/>
        </w:rPr>
      </w:pPr>
    </w:p>
    <w:p w:rsidR="008A61CD" w:rsidRPr="00467903" w:rsidRDefault="008A61CD" w:rsidP="008A61CD">
      <w:pPr>
        <w:contextualSpacing/>
        <w:jc w:val="both"/>
        <w:rPr>
          <w:rFonts w:ascii="Arial" w:hAnsi="Arial" w:cs="Arial"/>
          <w:b/>
          <w:lang w:val="en-ZA"/>
        </w:rPr>
      </w:pPr>
    </w:p>
    <w:p w:rsidR="008A61CD" w:rsidRPr="00467903" w:rsidRDefault="008A61CD" w:rsidP="008A61CD">
      <w:pPr>
        <w:contextualSpacing/>
        <w:jc w:val="both"/>
        <w:rPr>
          <w:rFonts w:ascii="Arial" w:hAnsi="Arial" w:cs="Arial"/>
          <w:u w:val="single"/>
          <w:lang w:val="en-ZA"/>
        </w:rPr>
      </w:pPr>
      <w:r w:rsidRPr="00467903">
        <w:rPr>
          <w:rFonts w:ascii="Arial" w:hAnsi="Arial" w:cs="Arial"/>
          <w:b/>
          <w:u w:val="single"/>
          <w:lang w:val="en-ZA"/>
        </w:rPr>
        <w:t>JUDGMENT BY:</w:t>
      </w:r>
      <w:r w:rsidRPr="00467903">
        <w:rPr>
          <w:rFonts w:ascii="Arial" w:hAnsi="Arial" w:cs="Arial"/>
          <w:b/>
          <w:lang w:val="en-ZA"/>
        </w:rPr>
        <w:tab/>
      </w:r>
      <w:r w:rsidRPr="00467903">
        <w:rPr>
          <w:rFonts w:ascii="Arial" w:hAnsi="Arial" w:cs="Arial"/>
          <w:b/>
          <w:lang w:val="en-ZA"/>
        </w:rPr>
        <w:tab/>
      </w:r>
      <w:r w:rsidRPr="00467903">
        <w:rPr>
          <w:rFonts w:ascii="Arial" w:hAnsi="Arial" w:cs="Arial"/>
          <w:lang w:val="en-ZA"/>
        </w:rPr>
        <w:t>MATHEBULA, J</w:t>
      </w:r>
      <w:r w:rsidRPr="00467903">
        <w:rPr>
          <w:rFonts w:ascii="Arial" w:hAnsi="Arial" w:cs="Arial"/>
          <w:b/>
          <w:lang w:val="en-ZA"/>
        </w:rPr>
        <w:tab/>
      </w:r>
    </w:p>
    <w:p w:rsidR="008A61CD" w:rsidRPr="00467903" w:rsidRDefault="008A61CD" w:rsidP="008A61CD">
      <w:pPr>
        <w:pBdr>
          <w:bottom w:val="single" w:sz="6" w:space="1" w:color="auto"/>
        </w:pBdr>
        <w:contextualSpacing/>
        <w:jc w:val="both"/>
        <w:rPr>
          <w:rFonts w:ascii="Arial" w:hAnsi="Arial" w:cs="Arial"/>
          <w:b/>
          <w:lang w:val="en-ZA"/>
        </w:rPr>
      </w:pPr>
    </w:p>
    <w:p w:rsidR="008A61CD" w:rsidRPr="00467903" w:rsidRDefault="008A61CD" w:rsidP="008A61CD">
      <w:pPr>
        <w:contextualSpacing/>
        <w:jc w:val="both"/>
        <w:rPr>
          <w:rFonts w:ascii="Arial" w:hAnsi="Arial" w:cs="Arial"/>
          <w:b/>
          <w:lang w:val="en-ZA"/>
        </w:rPr>
      </w:pPr>
    </w:p>
    <w:p w:rsidR="008A61CD" w:rsidRPr="00467903" w:rsidRDefault="008A61CD" w:rsidP="008A61CD">
      <w:pPr>
        <w:tabs>
          <w:tab w:val="left" w:pos="2940"/>
        </w:tabs>
        <w:ind w:left="2880" w:hanging="2880"/>
        <w:contextualSpacing/>
        <w:jc w:val="both"/>
        <w:rPr>
          <w:rFonts w:ascii="Arial" w:hAnsi="Arial" w:cs="Arial"/>
          <w:u w:val="single"/>
          <w:lang w:val="en-ZA"/>
        </w:rPr>
      </w:pPr>
      <w:r w:rsidRPr="00467903">
        <w:rPr>
          <w:rFonts w:ascii="Arial" w:hAnsi="Arial" w:cs="Arial"/>
          <w:b/>
          <w:u w:val="single"/>
          <w:lang w:val="en-ZA"/>
        </w:rPr>
        <w:t>DELIVERED ON:</w:t>
      </w:r>
      <w:r w:rsidRPr="00467903">
        <w:rPr>
          <w:rFonts w:ascii="Arial" w:hAnsi="Arial" w:cs="Arial"/>
          <w:lang w:val="en-ZA"/>
        </w:rPr>
        <w:tab/>
      </w:r>
      <w:r w:rsidRPr="00467903">
        <w:rPr>
          <w:rFonts w:ascii="Arial" w:hAnsi="Arial" w:cs="Arial"/>
        </w:rPr>
        <w:t>The judgment was handed down electronically by circulation to the parties’ legal representatives by email a</w:t>
      </w:r>
      <w:r w:rsidR="00EE5E8B">
        <w:rPr>
          <w:rFonts w:ascii="Arial" w:hAnsi="Arial" w:cs="Arial"/>
        </w:rPr>
        <w:t>nd release to SAFLII on 01 AUGUST</w:t>
      </w:r>
      <w:r w:rsidRPr="00467903">
        <w:rPr>
          <w:rFonts w:ascii="Arial" w:hAnsi="Arial" w:cs="Arial"/>
        </w:rPr>
        <w:t xml:space="preserve"> 2022. The date and tim</w:t>
      </w:r>
      <w:r w:rsidR="00EE5E8B">
        <w:rPr>
          <w:rFonts w:ascii="Arial" w:hAnsi="Arial" w:cs="Arial"/>
        </w:rPr>
        <w:t>e for hand-down is deemed to be 01 AUGUST 2022 at 15H00</w:t>
      </w:r>
      <w:r w:rsidRPr="00467903">
        <w:rPr>
          <w:rFonts w:ascii="Arial" w:hAnsi="Arial" w:cs="Arial"/>
        </w:rPr>
        <w:t>.</w:t>
      </w:r>
    </w:p>
    <w:p w:rsidR="008A61CD" w:rsidRPr="00467903" w:rsidRDefault="008A61CD" w:rsidP="008A61CD">
      <w:pPr>
        <w:pBdr>
          <w:bottom w:val="single" w:sz="12" w:space="1" w:color="auto"/>
        </w:pBdr>
        <w:tabs>
          <w:tab w:val="left" w:pos="2940"/>
        </w:tabs>
        <w:contextualSpacing/>
        <w:jc w:val="both"/>
        <w:rPr>
          <w:rFonts w:ascii="Arial" w:hAnsi="Arial" w:cs="Arial"/>
          <w:b/>
          <w:lang w:val="en-ZA"/>
        </w:rPr>
      </w:pPr>
    </w:p>
    <w:p w:rsidR="008A61CD" w:rsidRPr="00467903" w:rsidRDefault="008A61CD" w:rsidP="008A61CD">
      <w:pPr>
        <w:jc w:val="both"/>
        <w:rPr>
          <w:rFonts w:ascii="Arial" w:hAnsi="Arial" w:cs="Arial"/>
          <w:b/>
          <w:u w:val="single"/>
          <w:lang w:val="en-ZA"/>
        </w:rPr>
      </w:pPr>
    </w:p>
    <w:p w:rsidR="008A61CD" w:rsidRPr="00467903" w:rsidRDefault="008A61CD" w:rsidP="008A61CD">
      <w:pPr>
        <w:jc w:val="both"/>
        <w:rPr>
          <w:rFonts w:ascii="Arial" w:hAnsi="Arial" w:cs="Arial"/>
          <w:b/>
          <w:u w:val="single"/>
          <w:lang w:val="en-ZA"/>
        </w:rPr>
      </w:pPr>
      <w:r w:rsidRPr="00467903">
        <w:rPr>
          <w:rFonts w:ascii="Arial" w:eastAsiaTheme="minorHAnsi" w:hAnsi="Arial" w:cs="Arial"/>
          <w:b/>
          <w:u w:val="single"/>
          <w:lang w:val="en-ZA" w:eastAsia="en-US"/>
        </w:rPr>
        <w:t>Introduction</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[1]</w:t>
      </w:r>
      <w:r w:rsidRPr="00467903">
        <w:rPr>
          <w:rFonts w:ascii="Arial" w:hAnsi="Arial" w:cs="Arial"/>
          <w:lang w:val="en-ZA"/>
        </w:rPr>
        <w:tab/>
        <w:t xml:space="preserve">This appeal is from the decision of the learned acting magistrate S. Ernest of Bloemfontein in favour of the respondent. The respondent, as plaintiff in the court </w:t>
      </w:r>
      <w:r w:rsidRPr="00467903">
        <w:rPr>
          <w:rFonts w:ascii="Arial" w:hAnsi="Arial" w:cs="Arial"/>
          <w:i/>
          <w:iCs/>
          <w:lang w:val="en-ZA"/>
        </w:rPr>
        <w:t>a quo</w:t>
      </w:r>
      <w:r w:rsidRPr="00467903">
        <w:rPr>
          <w:rFonts w:ascii="Arial" w:hAnsi="Arial" w:cs="Arial"/>
          <w:lang w:val="en-ZA"/>
        </w:rPr>
        <w:t>, claimed from the appellant, as the defendant in that court</w:t>
      </w:r>
      <w:r w:rsidR="00EE5E8B">
        <w:rPr>
          <w:rFonts w:ascii="Arial" w:hAnsi="Arial" w:cs="Arial"/>
          <w:lang w:val="en-ZA"/>
        </w:rPr>
        <w:t>,</w:t>
      </w:r>
      <w:r w:rsidRPr="00467903">
        <w:rPr>
          <w:rFonts w:ascii="Arial" w:hAnsi="Arial" w:cs="Arial"/>
          <w:lang w:val="en-ZA"/>
        </w:rPr>
        <w:t xml:space="preserve"> in an action for the following: -</w:t>
      </w:r>
    </w:p>
    <w:p w:rsidR="008A61CD" w:rsidRPr="00467903" w:rsidRDefault="008A61CD" w:rsidP="008A61CD">
      <w:pPr>
        <w:spacing w:line="360" w:lineRule="auto"/>
        <w:ind w:left="1701" w:right="1088" w:hanging="590"/>
        <w:jc w:val="both"/>
        <w:rPr>
          <w:rFonts w:ascii="Arial" w:hAnsi="Arial" w:cs="Arial"/>
          <w:sz w:val="20"/>
          <w:szCs w:val="20"/>
          <w:lang w:val="en-ZA"/>
        </w:rPr>
      </w:pPr>
      <w:r w:rsidRPr="00467903">
        <w:rPr>
          <w:rFonts w:ascii="Arial" w:hAnsi="Arial" w:cs="Arial"/>
          <w:sz w:val="20"/>
          <w:szCs w:val="20"/>
          <w:lang w:val="en-ZA"/>
        </w:rPr>
        <w:lastRenderedPageBreak/>
        <w:t xml:space="preserve">“1. </w:t>
      </w:r>
      <w:r w:rsidRPr="00467903">
        <w:rPr>
          <w:rFonts w:ascii="Arial" w:hAnsi="Arial" w:cs="Arial"/>
          <w:sz w:val="20"/>
          <w:szCs w:val="20"/>
          <w:lang w:val="en-ZA"/>
        </w:rPr>
        <w:tab/>
        <w:t>That the defendant be ordered to take all the necessary steps and/or sign all the necessary documentation, within fourteen (14) days to effect the transfer of the property known as Portion 6 of Erf 2, Ashbury, district Bloemfontein also known as 65 Papers Street, Heidedal, Bloemfontein onto the name of the plaintiff.</w:t>
      </w:r>
    </w:p>
    <w:p w:rsidR="008A61CD" w:rsidRPr="00467903" w:rsidRDefault="008A61CD" w:rsidP="008A61CD">
      <w:pPr>
        <w:spacing w:line="360" w:lineRule="auto"/>
        <w:ind w:left="1701" w:right="1088" w:hanging="590"/>
        <w:jc w:val="both"/>
        <w:rPr>
          <w:rFonts w:ascii="Arial" w:hAnsi="Arial" w:cs="Arial"/>
          <w:sz w:val="20"/>
          <w:szCs w:val="20"/>
          <w:lang w:val="en-ZA"/>
        </w:rPr>
      </w:pPr>
      <w:r w:rsidRPr="00467903">
        <w:rPr>
          <w:rFonts w:ascii="Arial" w:hAnsi="Arial" w:cs="Arial"/>
          <w:sz w:val="20"/>
          <w:szCs w:val="20"/>
          <w:lang w:val="en-ZA"/>
        </w:rPr>
        <w:t>2.</w:t>
      </w:r>
      <w:r w:rsidRPr="00467903">
        <w:rPr>
          <w:rFonts w:ascii="Arial" w:hAnsi="Arial" w:cs="Arial"/>
          <w:sz w:val="20"/>
          <w:szCs w:val="20"/>
          <w:lang w:val="en-ZA"/>
        </w:rPr>
        <w:tab/>
        <w:t>In the alternative, payment of the sum of R160,000.00.</w:t>
      </w:r>
    </w:p>
    <w:p w:rsidR="008A61CD" w:rsidRPr="00467903" w:rsidRDefault="008A61CD" w:rsidP="008A61CD">
      <w:pPr>
        <w:spacing w:line="360" w:lineRule="auto"/>
        <w:ind w:left="1701" w:right="1088" w:hanging="590"/>
        <w:jc w:val="both"/>
        <w:rPr>
          <w:rFonts w:ascii="Arial" w:hAnsi="Arial" w:cs="Arial"/>
          <w:sz w:val="20"/>
          <w:szCs w:val="20"/>
          <w:lang w:val="en-ZA"/>
        </w:rPr>
      </w:pPr>
      <w:r w:rsidRPr="00467903">
        <w:rPr>
          <w:rFonts w:ascii="Arial" w:hAnsi="Arial" w:cs="Arial"/>
          <w:sz w:val="20"/>
          <w:szCs w:val="20"/>
          <w:lang w:val="en-ZA"/>
        </w:rPr>
        <w:t>3.</w:t>
      </w:r>
      <w:r w:rsidRPr="00467903">
        <w:rPr>
          <w:rFonts w:ascii="Arial" w:hAnsi="Arial" w:cs="Arial"/>
          <w:sz w:val="20"/>
          <w:szCs w:val="20"/>
          <w:lang w:val="en-ZA"/>
        </w:rPr>
        <w:tab/>
        <w:t xml:space="preserve">Interest at the rate of 10.25% a </w:t>
      </w:r>
      <w:r w:rsidRPr="00467903">
        <w:rPr>
          <w:rFonts w:ascii="Arial" w:hAnsi="Arial" w:cs="Arial"/>
          <w:i/>
          <w:iCs/>
          <w:sz w:val="20"/>
          <w:szCs w:val="20"/>
          <w:lang w:val="en-ZA"/>
        </w:rPr>
        <w:t>tempora morae</w:t>
      </w:r>
      <w:r w:rsidRPr="00467903">
        <w:rPr>
          <w:rFonts w:ascii="Arial" w:hAnsi="Arial" w:cs="Arial"/>
          <w:sz w:val="20"/>
          <w:szCs w:val="20"/>
          <w:lang w:val="en-ZA"/>
        </w:rPr>
        <w:t>.</w:t>
      </w:r>
    </w:p>
    <w:p w:rsidR="008A61CD" w:rsidRPr="00467903" w:rsidRDefault="008A61CD" w:rsidP="008A61CD">
      <w:pPr>
        <w:spacing w:line="360" w:lineRule="auto"/>
        <w:ind w:left="1701" w:right="1088" w:hanging="590"/>
        <w:jc w:val="both"/>
        <w:rPr>
          <w:rFonts w:ascii="Arial" w:hAnsi="Arial" w:cs="Arial"/>
          <w:lang w:val="en-ZA"/>
        </w:rPr>
      </w:pPr>
      <w:r w:rsidRPr="00467903">
        <w:rPr>
          <w:rFonts w:ascii="Arial" w:hAnsi="Arial" w:cs="Arial"/>
          <w:sz w:val="20"/>
          <w:szCs w:val="20"/>
          <w:lang w:val="en-ZA"/>
        </w:rPr>
        <w:t>4.</w:t>
      </w:r>
      <w:r w:rsidRPr="00467903">
        <w:rPr>
          <w:rFonts w:ascii="Arial" w:hAnsi="Arial" w:cs="Arial"/>
          <w:sz w:val="20"/>
          <w:szCs w:val="20"/>
          <w:lang w:val="en-ZA"/>
        </w:rPr>
        <w:tab/>
        <w:t>Costs of suit.”</w:t>
      </w:r>
    </w:p>
    <w:p w:rsidR="008A61CD" w:rsidRPr="00467903" w:rsidRDefault="008A61CD" w:rsidP="008A61CD">
      <w:pPr>
        <w:spacing w:line="360" w:lineRule="auto"/>
        <w:ind w:left="851" w:hanging="851"/>
        <w:jc w:val="both"/>
        <w:rPr>
          <w:rFonts w:ascii="Arial" w:hAnsi="Arial" w:cs="Arial"/>
          <w:lang w:val="en-ZA"/>
        </w:rPr>
      </w:pPr>
    </w:p>
    <w:p w:rsidR="008A61CD" w:rsidRDefault="008A61CD" w:rsidP="008A61CD">
      <w:pPr>
        <w:spacing w:line="360" w:lineRule="auto"/>
        <w:ind w:left="851" w:hanging="851"/>
        <w:jc w:val="both"/>
        <w:rPr>
          <w:rFonts w:ascii="Arial" w:hAnsi="Arial" w:cs="Arial"/>
          <w:lang w:val="en-ZA"/>
        </w:rPr>
      </w:pPr>
      <w:r w:rsidRPr="00467903">
        <w:rPr>
          <w:rFonts w:ascii="Arial" w:hAnsi="Arial" w:cs="Arial"/>
          <w:lang w:val="en-ZA"/>
        </w:rPr>
        <w:t>[2]</w:t>
      </w:r>
      <w:r w:rsidRPr="00467903">
        <w:rPr>
          <w:rFonts w:ascii="Arial" w:hAnsi="Arial" w:cs="Arial"/>
          <w:lang w:val="en-ZA"/>
        </w:rPr>
        <w:tab/>
        <w:t xml:space="preserve">Before us Mr M.S. Mazibuko appeared on behalf of the appellant. The respondent who was legally represented at all times in the court </w:t>
      </w:r>
      <w:r w:rsidRPr="00467903">
        <w:rPr>
          <w:rFonts w:ascii="Arial" w:hAnsi="Arial" w:cs="Arial"/>
          <w:i/>
          <w:iCs/>
          <w:lang w:val="en-ZA"/>
        </w:rPr>
        <w:t>a quo</w:t>
      </w:r>
      <w:r w:rsidRPr="00467903">
        <w:rPr>
          <w:rFonts w:ascii="Arial" w:hAnsi="Arial" w:cs="Arial"/>
          <w:lang w:val="en-ZA"/>
        </w:rPr>
        <w:t>, appeared in person before us. The matter was postponed a number of times in order to accommodate him to sort out his financial issues with his erstwhile attorneys. Ultimately, he could not raise the necessary funds to secure legal representation nor could he qualify for assistance from the Legal Aid Board. I am setting out these facts because they play a role on the consideration of costs.</w:t>
      </w:r>
    </w:p>
    <w:p w:rsidR="00467903" w:rsidRPr="00467903" w:rsidRDefault="00467903"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eastAsiaTheme="minorHAnsi" w:hAnsi="Arial" w:cs="Arial"/>
          <w:b/>
          <w:u w:val="single"/>
          <w:lang w:val="en-ZA" w:eastAsia="en-US"/>
        </w:rPr>
      </w:pPr>
      <w:r w:rsidRPr="00467903">
        <w:rPr>
          <w:rFonts w:ascii="Arial" w:eastAsiaTheme="minorHAnsi" w:hAnsi="Arial" w:cs="Arial"/>
          <w:b/>
          <w:u w:val="single"/>
          <w:lang w:val="en-ZA" w:eastAsia="en-US"/>
        </w:rPr>
        <w:t>Condonation for late filing of the notice of appeal</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[3]</w:t>
      </w:r>
      <w:r w:rsidRPr="00467903">
        <w:rPr>
          <w:rFonts w:ascii="Arial" w:hAnsi="Arial" w:cs="Arial"/>
          <w:lang w:val="en-ZA"/>
        </w:rPr>
        <w:tab/>
        <w:t>It is common cause that this appeal is late. The notice of appeal was filed way out of the prescribed period. To be exact, approximately a period of one (1) year elapsed before it was served and filed. The first hurdle that the appellant must jump before the appeal is properly placed before us is to be granted condonation for late filing of the notice of appeal. Her application for the appropriate order is supported by two (2) affidavits, one deposed to by her and the other by her attorney of record.</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[4]</w:t>
      </w:r>
      <w:r w:rsidRPr="00467903">
        <w:rPr>
          <w:rFonts w:ascii="Arial" w:hAnsi="Arial" w:cs="Arial"/>
          <w:lang w:val="en-ZA"/>
        </w:rPr>
        <w:tab/>
        <w:t xml:space="preserve">The appellant averred that after the court </w:t>
      </w:r>
      <w:r w:rsidRPr="00467903">
        <w:rPr>
          <w:rFonts w:ascii="Arial" w:hAnsi="Arial" w:cs="Arial"/>
          <w:i/>
          <w:iCs/>
          <w:lang w:val="en-ZA"/>
        </w:rPr>
        <w:t xml:space="preserve">a quo </w:t>
      </w:r>
      <w:r w:rsidRPr="00467903">
        <w:rPr>
          <w:rFonts w:ascii="Arial" w:hAnsi="Arial" w:cs="Arial"/>
          <w:lang w:val="en-ZA"/>
        </w:rPr>
        <w:t xml:space="preserve">ruled against her on 25 September 2019, she immediately instructed her attorneys to prosecute this appeal. A notice in terms of rule 51 of the Rules Regulating the Conduct of Proceedings in the Magistrates’ Court dated 30 September 2019 was served and filed the next day. Regrettably, her instructions to an erstwhile employee of her attorneys of record named Ms Vinger, were not carried out. It was only a year later that she learned from attorney Thabo Mhlokonya that nothing has </w:t>
      </w:r>
      <w:r w:rsidRPr="00467903">
        <w:rPr>
          <w:rFonts w:ascii="Arial" w:hAnsi="Arial" w:cs="Arial"/>
          <w:lang w:val="en-ZA"/>
        </w:rPr>
        <w:lastRenderedPageBreak/>
        <w:t xml:space="preserve">been done on the matter beyond the filing of the aforesaid notice. Understandably, she cannot say much about the internal workings of her law firm of choice as to why a matter can remain unattended and undetected for an entire year. </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[5]</w:t>
      </w:r>
      <w:r w:rsidRPr="00467903">
        <w:rPr>
          <w:rFonts w:ascii="Arial" w:hAnsi="Arial" w:cs="Arial"/>
          <w:lang w:val="en-ZA"/>
        </w:rPr>
        <w:tab/>
        <w:t>The paucity of the information in the confirmatory affidavit deposed to by Mr Mhlokonya is startling. It is unclear at what level Ms Vinge</w:t>
      </w:r>
      <w:r w:rsidR="00EE5E8B">
        <w:rPr>
          <w:rFonts w:ascii="Arial" w:hAnsi="Arial" w:cs="Arial"/>
          <w:lang w:val="en-ZA"/>
        </w:rPr>
        <w:t xml:space="preserve">r was an employee of his firm, </w:t>
      </w:r>
      <w:r w:rsidRPr="00467903">
        <w:rPr>
          <w:rFonts w:ascii="Arial" w:hAnsi="Arial" w:cs="Arial"/>
          <w:lang w:val="en-ZA"/>
        </w:rPr>
        <w:t xml:space="preserve">when did she leave his employ and/or what control measures were in place to ensure that all her work is </w:t>
      </w:r>
      <w:r w:rsidR="00EE5E8B">
        <w:rPr>
          <w:rFonts w:ascii="Arial" w:hAnsi="Arial" w:cs="Arial"/>
          <w:lang w:val="en-ZA"/>
        </w:rPr>
        <w:t>accounted for and a proper hand</w:t>
      </w:r>
      <w:r w:rsidRPr="00467903">
        <w:rPr>
          <w:rFonts w:ascii="Arial" w:hAnsi="Arial" w:cs="Arial"/>
          <w:lang w:val="en-ZA"/>
        </w:rPr>
        <w:t>over is done. The period from 2 October 2019 to 19 September 2020 remains unaccounted. The only credible explanation commences from the events that took place from 30 September 2020. The unavoidable conclusion is that the delay was due to negligence on the part of the attorneys of record.</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[6]</w:t>
      </w:r>
      <w:r w:rsidRPr="00467903">
        <w:rPr>
          <w:rFonts w:ascii="Arial" w:hAnsi="Arial" w:cs="Arial"/>
          <w:lang w:val="en-ZA"/>
        </w:rPr>
        <w:tab/>
        <w:t>The application is not opposed by the respondent. I gained the impression that he is supportive of it. Primarily because his wish is that the matter should not be detained by peripheral issues any longer. His response was unequivocal that the matter should be placed before us and be heard on the merits. It will also be prejudicial to th</w:t>
      </w:r>
      <w:r w:rsidR="00EE5E8B">
        <w:rPr>
          <w:rFonts w:ascii="Arial" w:hAnsi="Arial" w:cs="Arial"/>
          <w:lang w:val="en-ZA"/>
        </w:rPr>
        <w:t>e appellant</w:t>
      </w:r>
      <w:r w:rsidRPr="00467903">
        <w:rPr>
          <w:rFonts w:ascii="Arial" w:hAnsi="Arial" w:cs="Arial"/>
          <w:lang w:val="en-ZA"/>
        </w:rPr>
        <w:t xml:space="preserve"> that she finds herself on the short end of the stick through no fault of her own. It is on these bases that despite holding a view that the application</w:t>
      </w:r>
      <w:r w:rsidR="00EE5E8B">
        <w:rPr>
          <w:rFonts w:ascii="Arial" w:hAnsi="Arial" w:cs="Arial"/>
          <w:lang w:val="en-ZA"/>
        </w:rPr>
        <w:t xml:space="preserve"> lacks merit</w:t>
      </w:r>
      <w:r w:rsidRPr="00467903">
        <w:rPr>
          <w:rFonts w:ascii="Arial" w:hAnsi="Arial" w:cs="Arial"/>
          <w:lang w:val="en-ZA"/>
        </w:rPr>
        <w:t>, I am inclined to grant to it. I will deal with the issue of costs in the succeeding paragraphs.</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eastAsiaTheme="minorHAnsi" w:hAnsi="Arial" w:cs="Arial"/>
          <w:b/>
          <w:u w:val="single"/>
          <w:lang w:val="en-ZA" w:eastAsia="en-US"/>
        </w:rPr>
      </w:pPr>
      <w:r w:rsidRPr="00467903">
        <w:rPr>
          <w:rFonts w:ascii="Arial" w:eastAsiaTheme="minorHAnsi" w:hAnsi="Arial" w:cs="Arial"/>
          <w:b/>
          <w:u w:val="single"/>
          <w:lang w:val="en-ZA" w:eastAsia="en-US"/>
        </w:rPr>
        <w:t>Facts</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eastAsia="Calibri" w:hAnsi="Arial" w:cs="Arial"/>
          <w:lang w:val="en-ZA"/>
        </w:rPr>
      </w:pPr>
      <w:r w:rsidRPr="00467903">
        <w:rPr>
          <w:rFonts w:ascii="Arial" w:hAnsi="Arial" w:cs="Arial"/>
          <w:lang w:val="en-ZA"/>
        </w:rPr>
        <w:t>[7]</w:t>
      </w:r>
      <w:r w:rsidRPr="00467903">
        <w:rPr>
          <w:rFonts w:ascii="Arial" w:hAnsi="Arial" w:cs="Arial"/>
          <w:lang w:val="en-ZA"/>
        </w:rPr>
        <w:tab/>
      </w:r>
      <w:r w:rsidRPr="00467903">
        <w:rPr>
          <w:rFonts w:ascii="Arial" w:eastAsia="Calibri" w:hAnsi="Arial" w:cs="Arial"/>
          <w:lang w:val="en-ZA"/>
        </w:rPr>
        <w:t>The material facts are either common cause or have not been placed in dispute. The dispute has caused a schism in a once close-knit family. The parties are siblings and both of them are in their sixties. They are locked in a bitter battle over the ownership of a piece of land described as portion 6 of Erf 2, Ashbury District Bloemfontein, in extent 451 square metres alias 65 Papers Street, Heidedal, Bloemfontein.</w:t>
      </w:r>
    </w:p>
    <w:p w:rsidR="008A61CD" w:rsidRPr="00467903" w:rsidRDefault="008A61CD" w:rsidP="008A61CD">
      <w:pPr>
        <w:spacing w:line="360" w:lineRule="auto"/>
        <w:ind w:left="851" w:hanging="851"/>
        <w:jc w:val="both"/>
        <w:rPr>
          <w:rFonts w:ascii="Arial" w:eastAsia="Calibri"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eastAsia="Calibri" w:hAnsi="Arial" w:cs="Arial"/>
          <w:lang w:val="en-ZA"/>
        </w:rPr>
        <w:t>[8]</w:t>
      </w:r>
      <w:r w:rsidRPr="00467903">
        <w:rPr>
          <w:rFonts w:ascii="Arial" w:eastAsia="Calibri" w:hAnsi="Arial" w:cs="Arial"/>
          <w:lang w:val="en-ZA"/>
        </w:rPr>
        <w:tab/>
        <w:t xml:space="preserve">The respondent, plaintiff in the court </w:t>
      </w:r>
      <w:r w:rsidRPr="00467903">
        <w:rPr>
          <w:rFonts w:ascii="Arial" w:eastAsia="Calibri" w:hAnsi="Arial" w:cs="Arial"/>
          <w:i/>
          <w:iCs/>
          <w:lang w:val="en-ZA"/>
        </w:rPr>
        <w:t>a quo</w:t>
      </w:r>
      <w:r w:rsidRPr="00467903">
        <w:rPr>
          <w:rFonts w:ascii="Arial" w:eastAsia="Calibri" w:hAnsi="Arial" w:cs="Arial"/>
          <w:lang w:val="en-ZA"/>
        </w:rPr>
        <w:t xml:space="preserve">, alleges that they entered into a written agreement over the aforementioned erf. The salient terms of the </w:t>
      </w:r>
      <w:r w:rsidRPr="00467903">
        <w:rPr>
          <w:rFonts w:ascii="Arial" w:eastAsia="Calibri" w:hAnsi="Arial" w:cs="Arial"/>
          <w:lang w:val="en-ZA"/>
        </w:rPr>
        <w:lastRenderedPageBreak/>
        <w:t>agreement are that he will purchase it from the owner identified as the Mangaung Metropolitan Municipality for five thousand rands (R5,000.00) in the name of the appellant. The appellant will accept transfer and re-transfer it to him at the appropriate time. The appellant shall be responsible for all the municipal levies. According to him, he performed as per stipulations of the agreement. The sticking point is that the respondent has reneged from effecting transfer to him.</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[9]</w:t>
      </w:r>
      <w:r w:rsidRPr="00467903">
        <w:rPr>
          <w:rFonts w:ascii="Arial" w:hAnsi="Arial" w:cs="Arial"/>
          <w:lang w:val="en-ZA"/>
        </w:rPr>
        <w:tab/>
        <w:t>The appellant’s response to the action instituted against her was to file a plea denying each and every allegation made by the respondent. It was further pleaded that the purported agreement does not comply with the formalities in respect of deeds of alienation.</w:t>
      </w:r>
      <w:r w:rsidRPr="00467903">
        <w:rPr>
          <w:rStyle w:val="FootnoteReference"/>
          <w:rFonts w:ascii="Arial" w:hAnsi="Arial" w:cs="Arial"/>
          <w:lang w:val="en-ZA"/>
        </w:rPr>
        <w:footnoteReference w:id="1"/>
      </w:r>
      <w:r w:rsidRPr="00467903">
        <w:rPr>
          <w:rFonts w:ascii="Arial" w:hAnsi="Arial" w:cs="Arial"/>
          <w:lang w:val="en-ZA"/>
        </w:rPr>
        <w:t xml:space="preserve"> The appellant concentrated her attack on the legality and enforceability of the agreement contending that the respondent has not satisfied the requisite element of legality of a contract. The substance of her contention is that the respondent seeks to benefit from an unlawful conduct.</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[10]</w:t>
      </w:r>
      <w:r w:rsidRPr="00467903">
        <w:rPr>
          <w:rFonts w:ascii="Arial" w:hAnsi="Arial" w:cs="Arial"/>
          <w:lang w:val="en-ZA"/>
        </w:rPr>
        <w:tab/>
        <w:t xml:space="preserve">It appears that the issue of illegality of the agreement was not pleaded and was only argued by counsel in the heads of argument submitted at the end of the trial. The learned acting magistrate in the court </w:t>
      </w:r>
      <w:r w:rsidRPr="00467903">
        <w:rPr>
          <w:rFonts w:ascii="Arial" w:hAnsi="Arial" w:cs="Arial"/>
          <w:i/>
          <w:lang w:val="en-ZA"/>
        </w:rPr>
        <w:t xml:space="preserve">a quo </w:t>
      </w:r>
      <w:r w:rsidRPr="00467903">
        <w:rPr>
          <w:rFonts w:ascii="Arial" w:hAnsi="Arial" w:cs="Arial"/>
          <w:lang w:val="en-ZA"/>
        </w:rPr>
        <w:t>rejected this argument.</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eastAsiaTheme="minorHAnsi" w:hAnsi="Arial" w:cs="Arial"/>
          <w:b/>
          <w:u w:val="single"/>
          <w:lang w:val="en-ZA" w:eastAsia="en-US"/>
        </w:rPr>
      </w:pPr>
      <w:r w:rsidRPr="00467903">
        <w:rPr>
          <w:rFonts w:ascii="Arial" w:eastAsiaTheme="minorHAnsi" w:hAnsi="Arial" w:cs="Arial"/>
          <w:b/>
          <w:u w:val="single"/>
          <w:lang w:val="en-ZA" w:eastAsia="en-US"/>
        </w:rPr>
        <w:t>Grounds of appeal</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[11]</w:t>
      </w:r>
      <w:r w:rsidRPr="00467903">
        <w:rPr>
          <w:rFonts w:ascii="Arial" w:hAnsi="Arial" w:cs="Arial"/>
          <w:lang w:val="en-ZA"/>
        </w:rPr>
        <w:tab/>
        <w:t xml:space="preserve">The appeal is premised on two (2) key grounds. It is contended that the learned acting magistrate erred in finding that there was an agreement in place between the parties. The crucial contention is that even if there was an agreement, it was </w:t>
      </w:r>
      <w:r w:rsidRPr="00467903">
        <w:rPr>
          <w:rFonts w:ascii="Arial" w:hAnsi="Arial" w:cs="Arial"/>
          <w:i/>
          <w:lang w:val="en-ZA"/>
        </w:rPr>
        <w:t xml:space="preserve">contra bonos mores </w:t>
      </w:r>
      <w:r w:rsidRPr="00467903">
        <w:rPr>
          <w:rFonts w:ascii="Arial" w:hAnsi="Arial" w:cs="Arial"/>
          <w:lang w:val="en-ZA"/>
        </w:rPr>
        <w:t xml:space="preserve">and therefore wanting in legality. There is another point that is raised for the first time as a point of law in the appeal. </w:t>
      </w:r>
      <w:r w:rsidRPr="00467903">
        <w:rPr>
          <w:rFonts w:ascii="Arial" w:hAnsi="Arial" w:cs="Arial"/>
          <w:lang w:val="en-ZA"/>
        </w:rPr>
        <w:lastRenderedPageBreak/>
        <w:t xml:space="preserve">It is contended that </w:t>
      </w:r>
      <w:r w:rsidR="00EE5E8B">
        <w:rPr>
          <w:rFonts w:ascii="Arial" w:hAnsi="Arial" w:cs="Arial"/>
          <w:lang w:val="en-ZA"/>
        </w:rPr>
        <w:t xml:space="preserve">the claim against the appellant was instituted after it has </w:t>
      </w:r>
      <w:r w:rsidRPr="00467903">
        <w:rPr>
          <w:rFonts w:ascii="Arial" w:hAnsi="Arial" w:cs="Arial"/>
          <w:lang w:val="en-ZA"/>
        </w:rPr>
        <w:t>already prescribed.</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eastAsiaTheme="minorHAnsi" w:hAnsi="Arial" w:cs="Arial"/>
          <w:b/>
          <w:u w:val="single"/>
          <w:lang w:val="en-ZA" w:eastAsia="en-US"/>
        </w:rPr>
      </w:pPr>
      <w:r w:rsidRPr="00467903">
        <w:rPr>
          <w:rFonts w:ascii="Arial" w:eastAsiaTheme="minorHAnsi" w:hAnsi="Arial" w:cs="Arial"/>
          <w:b/>
          <w:u w:val="single"/>
          <w:lang w:val="en-ZA" w:eastAsia="en-US"/>
        </w:rPr>
        <w:t>Point of law raised for the first time in the appeal</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[12]</w:t>
      </w:r>
      <w:r w:rsidRPr="00467903">
        <w:rPr>
          <w:rFonts w:ascii="Arial" w:hAnsi="Arial" w:cs="Arial"/>
          <w:lang w:val="en-ZA"/>
        </w:rPr>
        <w:tab/>
        <w:t xml:space="preserve">I consider it appropriate to deal first with the point that the appellant seeks to raise for the first time before us. It should be remembered that the court </w:t>
      </w:r>
      <w:r w:rsidRPr="00467903">
        <w:rPr>
          <w:rFonts w:ascii="Arial" w:hAnsi="Arial" w:cs="Arial"/>
          <w:i/>
          <w:lang w:val="en-ZA"/>
        </w:rPr>
        <w:t xml:space="preserve">a quo </w:t>
      </w:r>
      <w:r w:rsidRPr="00467903">
        <w:rPr>
          <w:rFonts w:ascii="Arial" w:hAnsi="Arial" w:cs="Arial"/>
          <w:lang w:val="en-ZA"/>
        </w:rPr>
        <w:t xml:space="preserve">rejected all the arguments raised in defence by the appellant. The contention is that the claim has prescribed. On that basis alone, the argument is that the appeal should succeed. There are no weighty reasons advanced why this issue was not placed before the court </w:t>
      </w:r>
      <w:r w:rsidRPr="00467903">
        <w:rPr>
          <w:rFonts w:ascii="Arial" w:hAnsi="Arial" w:cs="Arial"/>
          <w:i/>
          <w:lang w:val="en-ZA"/>
        </w:rPr>
        <w:t xml:space="preserve">a quo </w:t>
      </w:r>
      <w:r w:rsidRPr="00467903">
        <w:rPr>
          <w:rFonts w:ascii="Arial" w:hAnsi="Arial" w:cs="Arial"/>
          <w:lang w:val="en-ZA"/>
        </w:rPr>
        <w:t>for consideration. It can be accepted that this point was an afterthought and only canvassed as such by counsel.</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[13]</w:t>
      </w:r>
      <w:r w:rsidRPr="00467903">
        <w:rPr>
          <w:rFonts w:ascii="Arial" w:hAnsi="Arial" w:cs="Arial"/>
          <w:lang w:val="en-ZA"/>
        </w:rPr>
        <w:tab/>
        <w:t xml:space="preserve">The issue of a point being raised for the first time on appeal does arise from time to time in our courts. Such a new point may well be raised by a party on appeal. The appellant relied on </w:t>
      </w:r>
      <w:r w:rsidR="00EE5E8B">
        <w:rPr>
          <w:rFonts w:ascii="Arial" w:hAnsi="Arial" w:cs="Arial"/>
          <w:b/>
          <w:lang w:val="en-ZA"/>
        </w:rPr>
        <w:t>Greathead v Saccawu</w:t>
      </w:r>
      <w:r w:rsidRPr="00467903">
        <w:rPr>
          <w:rFonts w:ascii="Arial" w:hAnsi="Arial" w:cs="Arial"/>
          <w:lang w:val="en-ZA"/>
        </w:rPr>
        <w:t xml:space="preserve"> as authority that this court must consider the point of law and that it will not be unfair to the respondent.</w:t>
      </w:r>
      <w:r w:rsidRPr="00467903">
        <w:rPr>
          <w:rStyle w:val="FootnoteReference"/>
          <w:rFonts w:ascii="Arial" w:hAnsi="Arial" w:cs="Arial"/>
          <w:lang w:val="en-ZA"/>
        </w:rPr>
        <w:footnoteReference w:id="2"/>
      </w:r>
      <w:r w:rsidRPr="00467903">
        <w:rPr>
          <w:rFonts w:ascii="Arial" w:hAnsi="Arial" w:cs="Arial"/>
          <w:lang w:val="en-ZA"/>
        </w:rPr>
        <w:t xml:space="preserve"> In that</w:t>
      </w:r>
      <w:r w:rsidR="00EE5E8B">
        <w:rPr>
          <w:rFonts w:ascii="Arial" w:hAnsi="Arial" w:cs="Arial"/>
          <w:lang w:val="en-ZA"/>
        </w:rPr>
        <w:t xml:space="preserve"> matter</w:t>
      </w:r>
      <w:r w:rsidRPr="00467903">
        <w:rPr>
          <w:rFonts w:ascii="Arial" w:hAnsi="Arial" w:cs="Arial"/>
          <w:lang w:val="en-ZA"/>
        </w:rPr>
        <w:t xml:space="preserve"> the appellant was afforded a fair hearing in the court </w:t>
      </w:r>
      <w:r w:rsidRPr="00467903">
        <w:rPr>
          <w:rFonts w:ascii="Arial" w:hAnsi="Arial" w:cs="Arial"/>
          <w:i/>
          <w:lang w:val="en-ZA"/>
        </w:rPr>
        <w:t xml:space="preserve">a quo </w:t>
      </w:r>
      <w:r w:rsidRPr="00467903">
        <w:rPr>
          <w:rFonts w:ascii="Arial" w:hAnsi="Arial" w:cs="Arial"/>
          <w:lang w:val="en-ZA"/>
        </w:rPr>
        <w:t>and was afforded a full opportunity to deal with all her issues.</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[14]</w:t>
      </w:r>
      <w:r w:rsidRPr="00467903">
        <w:rPr>
          <w:rFonts w:ascii="Arial" w:hAnsi="Arial" w:cs="Arial"/>
          <w:lang w:val="en-ZA"/>
        </w:rPr>
        <w:tab/>
        <w:t>The proviso is that such a point does not result in unfairness to the other party, raise new factual issues and does not cause prejudice.</w:t>
      </w:r>
      <w:r w:rsidRPr="00467903">
        <w:rPr>
          <w:rStyle w:val="FootnoteReference"/>
          <w:rFonts w:ascii="Arial" w:hAnsi="Arial" w:cs="Arial"/>
          <w:lang w:val="en-ZA"/>
        </w:rPr>
        <w:footnoteReference w:id="3"/>
      </w:r>
      <w:r w:rsidRPr="00467903">
        <w:rPr>
          <w:rFonts w:ascii="Arial" w:hAnsi="Arial" w:cs="Arial"/>
          <w:lang w:val="en-ZA"/>
        </w:rPr>
        <w:t xml:space="preserve"> Once these requirements are met, the court may exercise its discretion to consider the point.</w:t>
      </w:r>
      <w:r w:rsidRPr="00467903">
        <w:rPr>
          <w:rStyle w:val="FootnoteReference"/>
          <w:rFonts w:ascii="Arial" w:hAnsi="Arial" w:cs="Arial"/>
          <w:lang w:val="en-ZA"/>
        </w:rPr>
        <w:footnoteReference w:id="4"/>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[15]</w:t>
      </w:r>
      <w:r w:rsidRPr="00467903">
        <w:rPr>
          <w:rFonts w:ascii="Arial" w:hAnsi="Arial" w:cs="Arial"/>
          <w:lang w:val="en-ZA"/>
        </w:rPr>
        <w:tab/>
        <w:t>This brings us to the approach of the appellant for the right to canvass this point. Plainly there are no reasons, as already stated, why this issue is of general public importance. Not only that, we were not pointed to any part of the record of appeal where this point appears or emerges.</w:t>
      </w:r>
      <w:r w:rsidRPr="00467903">
        <w:rPr>
          <w:rStyle w:val="FootnoteReference"/>
          <w:rFonts w:ascii="Arial" w:hAnsi="Arial" w:cs="Arial"/>
          <w:lang w:val="en-ZA"/>
        </w:rPr>
        <w:footnoteReference w:id="5"/>
      </w:r>
      <w:r w:rsidRPr="00467903">
        <w:rPr>
          <w:rFonts w:ascii="Arial" w:hAnsi="Arial" w:cs="Arial"/>
          <w:lang w:val="en-ZA"/>
        </w:rPr>
        <w:t xml:space="preserve"> In the absence of </w:t>
      </w:r>
      <w:r w:rsidRPr="00467903">
        <w:rPr>
          <w:rFonts w:ascii="Arial" w:hAnsi="Arial" w:cs="Arial"/>
          <w:lang w:val="en-ZA"/>
        </w:rPr>
        <w:lastRenderedPageBreak/>
        <w:t xml:space="preserve">such, then it defeats the entire purpose of an appeal which is to correct the mistakes of the court </w:t>
      </w:r>
      <w:r w:rsidRPr="00467903">
        <w:rPr>
          <w:rFonts w:ascii="Arial" w:hAnsi="Arial" w:cs="Arial"/>
          <w:i/>
          <w:lang w:val="en-ZA"/>
        </w:rPr>
        <w:t>a quo</w:t>
      </w:r>
      <w:r w:rsidRPr="00467903">
        <w:rPr>
          <w:rFonts w:ascii="Arial" w:hAnsi="Arial" w:cs="Arial"/>
          <w:lang w:val="en-ZA"/>
        </w:rPr>
        <w:t>.</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[16]</w:t>
      </w:r>
      <w:r w:rsidRPr="00467903">
        <w:rPr>
          <w:rFonts w:ascii="Arial" w:hAnsi="Arial" w:cs="Arial"/>
          <w:lang w:val="en-ZA"/>
        </w:rPr>
        <w:tab/>
        <w:t xml:space="preserve">The reliance of the appellant on the insistence of raising this point is ill founded. This is so because the requirements were clearly explained in the authorities discussed in the preceding paragraphs. In order to establish the issue raised by the appellant, unavoidably new factual issues will be raised. This issue cannot be adjudicated in isolation. Undoubtedly the respondent will suffer prejudice in that he will not have an opportunity to deal with them. The court </w:t>
      </w:r>
      <w:r w:rsidRPr="00467903">
        <w:rPr>
          <w:rFonts w:ascii="Arial" w:hAnsi="Arial" w:cs="Arial"/>
          <w:i/>
          <w:lang w:val="en-ZA"/>
        </w:rPr>
        <w:t xml:space="preserve">a quo </w:t>
      </w:r>
      <w:r w:rsidRPr="00467903">
        <w:rPr>
          <w:rFonts w:ascii="Arial" w:hAnsi="Arial" w:cs="Arial"/>
          <w:lang w:val="en-ZA"/>
        </w:rPr>
        <w:t>could not have adjudicated on this issue simply because it did not arise in the contentions before it. Any argument that the appellant has met requirements set out</w:t>
      </w:r>
      <w:r w:rsidR="00EE5E8B">
        <w:rPr>
          <w:rFonts w:ascii="Arial" w:hAnsi="Arial" w:cs="Arial"/>
          <w:lang w:val="en-ZA"/>
        </w:rPr>
        <w:t xml:space="preserve"> in the authorities is devoid of</w:t>
      </w:r>
      <w:r w:rsidRPr="00467903">
        <w:rPr>
          <w:rFonts w:ascii="Arial" w:hAnsi="Arial" w:cs="Arial"/>
          <w:lang w:val="en-ZA"/>
        </w:rPr>
        <w:t xml:space="preserve"> any merit.</w:t>
      </w:r>
    </w:p>
    <w:p w:rsidR="008A61CD" w:rsidRPr="00467903" w:rsidRDefault="008A61CD" w:rsidP="008A61CD">
      <w:pPr>
        <w:spacing w:line="360" w:lineRule="auto"/>
        <w:jc w:val="both"/>
        <w:rPr>
          <w:rFonts w:ascii="Arial" w:hAnsi="Arial" w:cs="Arial"/>
          <w:lang w:val="en-ZA"/>
        </w:rPr>
      </w:pPr>
    </w:p>
    <w:p w:rsidR="008A61CD" w:rsidRPr="00467903" w:rsidRDefault="008A61CD" w:rsidP="008A61CD">
      <w:pPr>
        <w:spacing w:line="360" w:lineRule="auto"/>
        <w:jc w:val="both"/>
        <w:rPr>
          <w:rFonts w:ascii="Arial" w:hAnsi="Arial" w:cs="Arial"/>
          <w:lang w:val="en-ZA"/>
        </w:rPr>
      </w:pPr>
      <w:r w:rsidRPr="00467903">
        <w:rPr>
          <w:rFonts w:ascii="Arial" w:eastAsiaTheme="minorHAnsi" w:hAnsi="Arial" w:cs="Arial"/>
          <w:b/>
          <w:u w:val="single"/>
          <w:lang w:val="en-ZA" w:eastAsia="en-US"/>
        </w:rPr>
        <w:t>Other grounds of appeal</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[17]</w:t>
      </w:r>
      <w:r w:rsidRPr="00467903">
        <w:rPr>
          <w:rFonts w:ascii="Arial" w:hAnsi="Arial" w:cs="Arial"/>
          <w:lang w:val="en-ZA"/>
        </w:rPr>
        <w:tab/>
        <w:t>The aforegoing point detracts from the main focus of the appeal in the sense that it introduces a contradiction to the case. When the appellant placed her reliance on prescription, it meant that she acknowledges the existence of the written agreement. This was not her case in the pleadings and no evidence was led on this aspect. It means that the appellant is uneasily sitting on two chairs</w:t>
      </w:r>
      <w:r w:rsidR="00EE5E8B">
        <w:rPr>
          <w:rFonts w:ascii="Arial" w:hAnsi="Arial" w:cs="Arial"/>
          <w:lang w:val="en-ZA"/>
        </w:rPr>
        <w:t xml:space="preserve"> unable to decide on the real </w:t>
      </w:r>
      <w:r w:rsidRPr="00467903">
        <w:rPr>
          <w:rFonts w:ascii="Arial" w:hAnsi="Arial" w:cs="Arial"/>
          <w:lang w:val="en-ZA"/>
        </w:rPr>
        <w:t>grounds</w:t>
      </w:r>
      <w:r w:rsidR="00EE5E8B">
        <w:rPr>
          <w:rFonts w:ascii="Arial" w:hAnsi="Arial" w:cs="Arial"/>
          <w:lang w:val="en-ZA"/>
        </w:rPr>
        <w:t xml:space="preserve"> of appeal</w:t>
      </w:r>
      <w:r w:rsidRPr="00467903">
        <w:rPr>
          <w:rFonts w:ascii="Arial" w:hAnsi="Arial" w:cs="Arial"/>
          <w:lang w:val="en-ZA"/>
        </w:rPr>
        <w:t xml:space="preserve"> to be pursued</w:t>
      </w:r>
      <w:r w:rsidR="00EE5E8B">
        <w:rPr>
          <w:rFonts w:ascii="Arial" w:hAnsi="Arial" w:cs="Arial"/>
          <w:lang w:val="en-ZA"/>
        </w:rPr>
        <w:t>.</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[18]</w:t>
      </w:r>
      <w:r w:rsidRPr="00467903">
        <w:rPr>
          <w:rFonts w:ascii="Arial" w:hAnsi="Arial" w:cs="Arial"/>
          <w:lang w:val="en-ZA"/>
        </w:rPr>
        <w:tab/>
        <w:t xml:space="preserve">I now turn to what apparently is the real issue in this appeal. That is the contention that there was no agreement concluded between the parties. On the contrary, the formidable oral and documentary evidence tendered on behalf of the respondent indicate that there was such an agreement. The version of the respondent relating to the circumstances leading to the conclusion of the agreement was corroborated in material respects by other witnesses. In addition, there was documentary proof which showed that there was an agreement between them. The court </w:t>
      </w:r>
      <w:r w:rsidRPr="00467903">
        <w:rPr>
          <w:rFonts w:ascii="Arial" w:hAnsi="Arial" w:cs="Arial"/>
          <w:i/>
          <w:lang w:val="en-ZA"/>
        </w:rPr>
        <w:t xml:space="preserve">a quo </w:t>
      </w:r>
      <w:r w:rsidRPr="00467903">
        <w:rPr>
          <w:rFonts w:ascii="Arial" w:hAnsi="Arial" w:cs="Arial"/>
          <w:lang w:val="en-ZA"/>
        </w:rPr>
        <w:t>did not commit any misdirection or error in accepting their evidence.</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[19]</w:t>
      </w:r>
      <w:r w:rsidRPr="00467903">
        <w:rPr>
          <w:rFonts w:ascii="Arial" w:hAnsi="Arial" w:cs="Arial"/>
          <w:lang w:val="en-ZA"/>
        </w:rPr>
        <w:tab/>
        <w:t xml:space="preserve">Definitely an agreement crafted by two lay persons will not have the elegance of the one drafted for them by a well-trained legal mind. The agreement upon </w:t>
      </w:r>
      <w:r w:rsidRPr="00467903">
        <w:rPr>
          <w:rFonts w:ascii="Arial" w:hAnsi="Arial" w:cs="Arial"/>
          <w:lang w:val="en-ZA"/>
        </w:rPr>
        <w:lastRenderedPageBreak/>
        <w:t xml:space="preserve">which the respondent place reliance was reduced to writing and signed by both parties in the presence of a witness. Therefore, there can be no talk of non-compliance with section 2 of Act 68 of 1981. Then there is a slight issue about the interpretation of the agreement. In this regard I am reminded of the principles of interpretation outlined in </w:t>
      </w:r>
      <w:r w:rsidRPr="00467903">
        <w:rPr>
          <w:rFonts w:ascii="Arial" w:hAnsi="Arial" w:cs="Arial"/>
          <w:b/>
          <w:lang w:val="en-ZA"/>
        </w:rPr>
        <w:t>Natal Joint Municipal Pension Fund v Endumeni Municipality</w:t>
      </w:r>
      <w:r w:rsidRPr="00467903">
        <w:rPr>
          <w:rFonts w:ascii="Arial" w:hAnsi="Arial" w:cs="Arial"/>
          <w:lang w:val="en-ZA"/>
        </w:rPr>
        <w:t>.</w:t>
      </w:r>
      <w:r w:rsidRPr="00467903">
        <w:rPr>
          <w:rStyle w:val="FootnoteReference"/>
          <w:rFonts w:ascii="Arial" w:hAnsi="Arial" w:cs="Arial"/>
          <w:lang w:val="en-ZA"/>
        </w:rPr>
        <w:footnoteReference w:id="6"/>
      </w:r>
      <w:r w:rsidRPr="00467903">
        <w:rPr>
          <w:rFonts w:ascii="Arial" w:hAnsi="Arial" w:cs="Arial"/>
          <w:lang w:val="en-ZA"/>
        </w:rPr>
        <w:t xml:space="preserve"> The surrounding circumstances clearly confirm the evidence of the respondent. At all times he carried the burden of paying the local authority for all rates and taxes. The court </w:t>
      </w:r>
      <w:r w:rsidRPr="00467903">
        <w:rPr>
          <w:rFonts w:ascii="Arial" w:hAnsi="Arial" w:cs="Arial"/>
          <w:i/>
          <w:lang w:val="en-ZA"/>
        </w:rPr>
        <w:t>a quo</w:t>
      </w:r>
      <w:r w:rsidRPr="00467903">
        <w:rPr>
          <w:rFonts w:ascii="Arial" w:hAnsi="Arial" w:cs="Arial"/>
          <w:lang w:val="en-ZA"/>
        </w:rPr>
        <w:t xml:space="preserve"> was correct in rejecting a version of the appellant which was nothing but a bare denial.</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[20]</w:t>
      </w:r>
      <w:r w:rsidRPr="00467903">
        <w:rPr>
          <w:rFonts w:ascii="Arial" w:hAnsi="Arial" w:cs="Arial"/>
          <w:lang w:val="en-ZA"/>
        </w:rPr>
        <w:tab/>
        <w:t xml:space="preserve">The second ground raised both in the court </w:t>
      </w:r>
      <w:r w:rsidRPr="00467903">
        <w:rPr>
          <w:rFonts w:ascii="Arial" w:hAnsi="Arial" w:cs="Arial"/>
          <w:i/>
          <w:lang w:val="en-ZA"/>
        </w:rPr>
        <w:t xml:space="preserve">a quo </w:t>
      </w:r>
      <w:r w:rsidRPr="00467903">
        <w:rPr>
          <w:rFonts w:ascii="Arial" w:hAnsi="Arial" w:cs="Arial"/>
          <w:lang w:val="en-ZA"/>
        </w:rPr>
        <w:t>and before us, is based on the contention that the agreement between the parties was against public policy. Therefore, the court cannot sanction or encourage illegal activity. It is settled law that the courts should not shy away from declaring contracts that are against public policy void.</w:t>
      </w:r>
      <w:r w:rsidRPr="00467903">
        <w:rPr>
          <w:rStyle w:val="FootnoteReference"/>
          <w:rFonts w:ascii="Arial" w:hAnsi="Arial" w:cs="Arial"/>
          <w:lang w:val="en-ZA"/>
        </w:rPr>
        <w:footnoteReference w:id="7"/>
      </w:r>
      <w:r w:rsidRPr="00467903">
        <w:rPr>
          <w:rFonts w:ascii="Arial" w:hAnsi="Arial" w:cs="Arial"/>
          <w:lang w:val="en-ZA"/>
        </w:rPr>
        <w:t xml:space="preserve"> This special defence which in my opinion should have been pleaded, did not find its w</w:t>
      </w:r>
      <w:r w:rsidR="00EE5E8B">
        <w:rPr>
          <w:rFonts w:ascii="Arial" w:hAnsi="Arial" w:cs="Arial"/>
          <w:lang w:val="en-ZA"/>
        </w:rPr>
        <w:t>ay to be placed before court</w:t>
      </w:r>
      <w:r w:rsidRPr="00467903">
        <w:rPr>
          <w:rFonts w:ascii="Arial" w:hAnsi="Arial" w:cs="Arial"/>
          <w:lang w:val="en-ZA"/>
        </w:rPr>
        <w:t>. Whether this omission was deliberate due to, oversight, it defeated the whole purpose of the pleadings. It did not bring to the attention of the court and respondent the issues upon which reliance is placed.</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[21]</w:t>
      </w:r>
      <w:r w:rsidRPr="00467903">
        <w:rPr>
          <w:rFonts w:ascii="Arial" w:hAnsi="Arial" w:cs="Arial"/>
          <w:lang w:val="en-ZA"/>
        </w:rPr>
        <w:tab/>
        <w:t>This contention is premised on the existence of a policy of Mangaung Local Municipality which prohibits acquisition</w:t>
      </w:r>
      <w:r w:rsidR="00EE5E8B">
        <w:rPr>
          <w:rFonts w:ascii="Arial" w:hAnsi="Arial" w:cs="Arial"/>
          <w:lang w:val="en-ZA"/>
        </w:rPr>
        <w:t xml:space="preserve"> and ownership</w:t>
      </w:r>
      <w:r w:rsidRPr="00467903">
        <w:rPr>
          <w:rFonts w:ascii="Arial" w:hAnsi="Arial" w:cs="Arial"/>
          <w:lang w:val="en-ZA"/>
        </w:rPr>
        <w:t xml:space="preserve"> of multiple properties by the residents. I hasten to add that the local authority is not a party to these proceedings. Such allegation of illegality emanates from appellant and she bears the onus of proving all its requirements and that it was contravened.</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[22]</w:t>
      </w:r>
      <w:r w:rsidRPr="00467903">
        <w:rPr>
          <w:rFonts w:ascii="Arial" w:hAnsi="Arial" w:cs="Arial"/>
          <w:lang w:val="en-ZA"/>
        </w:rPr>
        <w:tab/>
        <w:t>Reliance on this ground is fallacious as it will be demonstrated hereunder. Apart from pleading illegality, the appellant was duty bound to adduce evidence of all necessary and relevant facts to support it.</w:t>
      </w:r>
      <w:r w:rsidRPr="00467903">
        <w:rPr>
          <w:rStyle w:val="FootnoteReference"/>
          <w:rFonts w:ascii="Arial" w:hAnsi="Arial" w:cs="Arial"/>
          <w:lang w:val="en-ZA"/>
        </w:rPr>
        <w:footnoteReference w:id="8"/>
      </w:r>
      <w:r w:rsidRPr="00467903">
        <w:rPr>
          <w:rFonts w:ascii="Arial" w:hAnsi="Arial" w:cs="Arial"/>
          <w:lang w:val="en-ZA"/>
        </w:rPr>
        <w:t xml:space="preserve"> None of the parties, in the court </w:t>
      </w:r>
      <w:r w:rsidRPr="00467903">
        <w:rPr>
          <w:rFonts w:ascii="Arial" w:hAnsi="Arial" w:cs="Arial"/>
          <w:i/>
          <w:lang w:val="en-ZA"/>
        </w:rPr>
        <w:t>a quo</w:t>
      </w:r>
      <w:r w:rsidRPr="00467903">
        <w:rPr>
          <w:rFonts w:ascii="Arial" w:hAnsi="Arial" w:cs="Arial"/>
          <w:lang w:val="en-ZA"/>
        </w:rPr>
        <w:t xml:space="preserve">, led evidence concerning the existence and details of the policy which prohibited the conclusion of the agreement. As matters stand, </w:t>
      </w:r>
      <w:r w:rsidRPr="00467903">
        <w:rPr>
          <w:rFonts w:ascii="Arial" w:hAnsi="Arial" w:cs="Arial"/>
          <w:lang w:val="en-ZA"/>
        </w:rPr>
        <w:lastRenderedPageBreak/>
        <w:t>apart from the mere mentioning of the policy, there is no evidence to the effect that any specific clause or section of it was not complied with thus making the agreement unlawful.</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[23]</w:t>
      </w:r>
      <w:r w:rsidRPr="00467903">
        <w:rPr>
          <w:rFonts w:ascii="Arial" w:hAnsi="Arial" w:cs="Arial"/>
          <w:lang w:val="en-ZA"/>
        </w:rPr>
        <w:tab/>
        <w:t>The appellant simply made broad generalisation on this aspect not supported by any evidence. It was als</w:t>
      </w:r>
      <w:r w:rsidR="00EE5E8B">
        <w:rPr>
          <w:rFonts w:ascii="Arial" w:hAnsi="Arial" w:cs="Arial"/>
          <w:lang w:val="en-ZA"/>
        </w:rPr>
        <w:t xml:space="preserve">o contended that the court must </w:t>
      </w:r>
      <w:r w:rsidRPr="00467903">
        <w:rPr>
          <w:rFonts w:ascii="Arial" w:hAnsi="Arial" w:cs="Arial"/>
          <w:i/>
          <w:lang w:val="en-ZA"/>
        </w:rPr>
        <w:t xml:space="preserve">mero motu </w:t>
      </w:r>
      <w:r w:rsidRPr="00467903">
        <w:rPr>
          <w:rFonts w:ascii="Arial" w:hAnsi="Arial" w:cs="Arial"/>
          <w:lang w:val="en-ZA"/>
        </w:rPr>
        <w:t xml:space="preserve">take the point of illegality. In </w:t>
      </w:r>
      <w:r w:rsidRPr="00467903">
        <w:rPr>
          <w:rFonts w:ascii="Arial" w:hAnsi="Arial" w:cs="Arial"/>
          <w:b/>
          <w:lang w:val="en-ZA"/>
        </w:rPr>
        <w:t xml:space="preserve">Yannakou v Apollo Club </w:t>
      </w:r>
      <w:r w:rsidRPr="00467903">
        <w:rPr>
          <w:rFonts w:ascii="Arial" w:hAnsi="Arial" w:cs="Arial"/>
          <w:lang w:val="en-ZA"/>
        </w:rPr>
        <w:t xml:space="preserve">the court explained that a court can only do so “if the illegality appears </w:t>
      </w:r>
      <w:r w:rsidRPr="00467903">
        <w:rPr>
          <w:rFonts w:ascii="Arial" w:hAnsi="Arial" w:cs="Arial"/>
          <w:i/>
          <w:lang w:val="en-ZA"/>
        </w:rPr>
        <w:t xml:space="preserve">ex facie </w:t>
      </w:r>
      <w:r w:rsidRPr="00467903">
        <w:rPr>
          <w:rFonts w:ascii="Arial" w:hAnsi="Arial" w:cs="Arial"/>
          <w:lang w:val="en-ZA"/>
        </w:rPr>
        <w:t>the transaction or from the evidence before it and, in the latter event, it is also satisfied that all the necessary and relevant factors are before it.”</w:t>
      </w:r>
      <w:r w:rsidRPr="00467903">
        <w:rPr>
          <w:rStyle w:val="FootnoteReference"/>
          <w:rFonts w:ascii="Arial" w:hAnsi="Arial" w:cs="Arial"/>
          <w:lang w:val="en-ZA"/>
        </w:rPr>
        <w:footnoteReference w:id="9"/>
      </w:r>
      <w:r w:rsidRPr="00467903">
        <w:rPr>
          <w:rFonts w:ascii="Arial" w:hAnsi="Arial" w:cs="Arial"/>
          <w:lang w:val="en-ZA"/>
        </w:rPr>
        <w:t xml:space="preserve"> In this matter the case for the appellant does not satisfy the requirements of this enquiry.</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lang w:val="en-ZA"/>
        </w:rPr>
      </w:pPr>
      <w:r w:rsidRPr="00467903">
        <w:rPr>
          <w:rFonts w:ascii="Arial" w:hAnsi="Arial" w:cs="Arial"/>
          <w:lang w:val="en-ZA"/>
        </w:rPr>
        <w:t>[24]</w:t>
      </w:r>
      <w:r w:rsidRPr="00467903">
        <w:rPr>
          <w:rFonts w:ascii="Arial" w:hAnsi="Arial" w:cs="Arial"/>
          <w:lang w:val="en-ZA"/>
        </w:rPr>
        <w:tab/>
        <w:t xml:space="preserve">I come now to the issue of costs. In the application for condonation, the appellant was seeking an indulgence from the court. It goes without saying that she must bear the costs. The costs occasioned by the postponement on 14 March 2022 were ordered to stand over for later adjudication. The main reason for the postponement was that the respondent had not accumulated enough funds to make copies of the file. It will be inconsiderate to order the respondent, who appeared in person, to pay the wasted costs purely because he is impecunious. The appropriate order should be that each party pays his or her own costs. </w:t>
      </w:r>
    </w:p>
    <w:p w:rsidR="008A61CD" w:rsidRPr="00467903" w:rsidRDefault="008A61CD" w:rsidP="008A61CD">
      <w:pPr>
        <w:spacing w:line="360" w:lineRule="auto"/>
        <w:ind w:left="851" w:hanging="851"/>
        <w:jc w:val="both"/>
        <w:rPr>
          <w:rFonts w:ascii="Arial" w:hAnsi="Arial" w:cs="Arial"/>
          <w:lang w:val="en-ZA"/>
        </w:rPr>
      </w:pPr>
    </w:p>
    <w:p w:rsidR="008A61CD" w:rsidRPr="00467903" w:rsidRDefault="008A61CD" w:rsidP="008A61CD">
      <w:pPr>
        <w:spacing w:line="360" w:lineRule="auto"/>
        <w:ind w:left="851" w:hanging="851"/>
        <w:jc w:val="both"/>
        <w:rPr>
          <w:rFonts w:ascii="Arial" w:hAnsi="Arial" w:cs="Arial"/>
        </w:rPr>
      </w:pPr>
      <w:r w:rsidRPr="00467903">
        <w:rPr>
          <w:rFonts w:ascii="Arial" w:hAnsi="Arial" w:cs="Arial"/>
        </w:rPr>
        <w:t>[25]</w:t>
      </w:r>
      <w:r w:rsidRPr="00467903">
        <w:rPr>
          <w:rFonts w:ascii="Arial" w:hAnsi="Arial" w:cs="Arial"/>
        </w:rPr>
        <w:tab/>
        <w:t>As far as the costs of the appeal are concerned, there is no reason why we should depart from the general rule. The costs follows the event.</w:t>
      </w:r>
    </w:p>
    <w:p w:rsidR="008A61CD" w:rsidRPr="00467903" w:rsidRDefault="008A61CD" w:rsidP="008A61CD">
      <w:pPr>
        <w:spacing w:line="360" w:lineRule="auto"/>
        <w:ind w:left="851" w:hanging="851"/>
        <w:jc w:val="both"/>
        <w:rPr>
          <w:rFonts w:ascii="Arial" w:hAnsi="Arial" w:cs="Arial"/>
        </w:rPr>
      </w:pPr>
    </w:p>
    <w:p w:rsidR="008A61CD" w:rsidRPr="00467903" w:rsidRDefault="008A61CD" w:rsidP="008A61CD">
      <w:pPr>
        <w:spacing w:line="360" w:lineRule="auto"/>
        <w:ind w:left="851" w:hanging="851"/>
        <w:jc w:val="both"/>
        <w:rPr>
          <w:rFonts w:ascii="Arial" w:eastAsiaTheme="minorHAnsi" w:hAnsi="Arial" w:cs="Arial"/>
          <w:b/>
          <w:u w:val="single"/>
          <w:lang w:val="en-ZA" w:eastAsia="en-US"/>
        </w:rPr>
      </w:pPr>
      <w:r w:rsidRPr="00467903">
        <w:rPr>
          <w:rFonts w:ascii="Arial" w:eastAsiaTheme="minorHAnsi" w:hAnsi="Arial" w:cs="Arial"/>
          <w:b/>
          <w:u w:val="single"/>
          <w:lang w:val="en-ZA" w:eastAsia="en-US"/>
        </w:rPr>
        <w:t>Order</w:t>
      </w:r>
    </w:p>
    <w:p w:rsidR="008A61CD" w:rsidRPr="00467903" w:rsidRDefault="008A61CD" w:rsidP="008A61CD">
      <w:pPr>
        <w:spacing w:line="360" w:lineRule="auto"/>
        <w:jc w:val="both"/>
        <w:rPr>
          <w:rFonts w:ascii="Arial" w:hAnsi="Arial" w:cs="Arial"/>
          <w:lang w:val="en-ZA"/>
        </w:rPr>
      </w:pPr>
    </w:p>
    <w:p w:rsidR="008A61CD" w:rsidRPr="00467903" w:rsidRDefault="008A61CD" w:rsidP="008A61CD">
      <w:pPr>
        <w:spacing w:line="360" w:lineRule="auto"/>
        <w:ind w:left="851" w:hanging="851"/>
        <w:contextualSpacing/>
        <w:jc w:val="both"/>
        <w:rPr>
          <w:rFonts w:ascii="Arial" w:eastAsia="Calibri" w:hAnsi="Arial" w:cs="Arial"/>
          <w:lang w:val="en-ZA" w:eastAsia="en-US"/>
        </w:rPr>
      </w:pPr>
      <w:r w:rsidRPr="00467903">
        <w:rPr>
          <w:rFonts w:ascii="Arial" w:hAnsi="Arial" w:cs="Arial"/>
          <w:lang w:val="en-ZA"/>
        </w:rPr>
        <w:t>[26]</w:t>
      </w:r>
      <w:r w:rsidRPr="00467903">
        <w:rPr>
          <w:rFonts w:ascii="Arial" w:hAnsi="Arial" w:cs="Arial"/>
          <w:lang w:val="en-ZA"/>
        </w:rPr>
        <w:tab/>
        <w:t>I make the following order: -</w:t>
      </w:r>
    </w:p>
    <w:p w:rsidR="008A61CD" w:rsidRPr="00467903" w:rsidRDefault="008A61CD" w:rsidP="008A61CD">
      <w:pPr>
        <w:spacing w:line="360" w:lineRule="auto"/>
        <w:jc w:val="both"/>
        <w:rPr>
          <w:rFonts w:ascii="Arial" w:hAnsi="Arial" w:cs="Arial"/>
          <w:lang w:val="en-ZA"/>
        </w:rPr>
      </w:pPr>
    </w:p>
    <w:p w:rsidR="008A61CD" w:rsidRPr="00467903" w:rsidRDefault="008A61CD" w:rsidP="008A61CD">
      <w:pPr>
        <w:spacing w:line="360" w:lineRule="auto"/>
        <w:ind w:left="2160" w:hanging="1305"/>
        <w:jc w:val="both"/>
        <w:rPr>
          <w:rFonts w:ascii="Arial" w:hAnsi="Arial" w:cs="Arial"/>
          <w:lang w:val="en-ZA"/>
        </w:rPr>
      </w:pPr>
      <w:r w:rsidRPr="00467903">
        <w:rPr>
          <w:rFonts w:ascii="Arial" w:hAnsi="Arial" w:cs="Arial"/>
          <w:lang w:val="en-ZA"/>
        </w:rPr>
        <w:t>26.1.</w:t>
      </w:r>
      <w:r w:rsidRPr="00467903">
        <w:rPr>
          <w:rFonts w:ascii="Arial" w:hAnsi="Arial" w:cs="Arial"/>
          <w:lang w:val="en-ZA"/>
        </w:rPr>
        <w:tab/>
        <w:t>Condonation for late filing of the notice of appeal and reinstatement of the appeal is granted.</w:t>
      </w:r>
    </w:p>
    <w:p w:rsidR="008A61CD" w:rsidRPr="00467903" w:rsidRDefault="008A61CD" w:rsidP="008A61CD">
      <w:pPr>
        <w:spacing w:line="360" w:lineRule="auto"/>
        <w:ind w:left="2160" w:hanging="1305"/>
        <w:jc w:val="both"/>
        <w:rPr>
          <w:rFonts w:ascii="Arial" w:hAnsi="Arial" w:cs="Arial"/>
          <w:lang w:val="en-ZA"/>
        </w:rPr>
      </w:pPr>
    </w:p>
    <w:p w:rsidR="008A61CD" w:rsidRPr="00467903" w:rsidRDefault="008A61CD" w:rsidP="008A61CD">
      <w:pPr>
        <w:spacing w:line="360" w:lineRule="auto"/>
        <w:ind w:left="2160" w:hanging="1305"/>
        <w:jc w:val="both"/>
        <w:rPr>
          <w:rFonts w:ascii="Arial" w:hAnsi="Arial" w:cs="Arial"/>
          <w:lang w:val="en-ZA"/>
        </w:rPr>
      </w:pPr>
      <w:r w:rsidRPr="00467903">
        <w:rPr>
          <w:rFonts w:ascii="Arial" w:hAnsi="Arial" w:cs="Arial"/>
          <w:lang w:val="en-ZA"/>
        </w:rPr>
        <w:lastRenderedPageBreak/>
        <w:t>26.2.</w:t>
      </w:r>
      <w:r w:rsidRPr="00467903">
        <w:rPr>
          <w:rFonts w:ascii="Arial" w:hAnsi="Arial" w:cs="Arial"/>
          <w:lang w:val="en-ZA"/>
        </w:rPr>
        <w:tab/>
        <w:t>The appellant is to pay the costs of the application for late filing of the notice of appeal.</w:t>
      </w:r>
    </w:p>
    <w:p w:rsidR="008A61CD" w:rsidRPr="00467903" w:rsidRDefault="008A61CD" w:rsidP="008A61CD">
      <w:pPr>
        <w:spacing w:line="360" w:lineRule="auto"/>
        <w:ind w:left="2160" w:hanging="1305"/>
        <w:jc w:val="both"/>
        <w:rPr>
          <w:rFonts w:ascii="Arial" w:hAnsi="Arial" w:cs="Arial"/>
          <w:lang w:val="en-ZA"/>
        </w:rPr>
      </w:pPr>
    </w:p>
    <w:p w:rsidR="008A61CD" w:rsidRPr="00467903" w:rsidRDefault="008A61CD" w:rsidP="008A61CD">
      <w:pPr>
        <w:spacing w:line="360" w:lineRule="auto"/>
        <w:ind w:left="2160" w:hanging="1305"/>
        <w:jc w:val="both"/>
        <w:rPr>
          <w:rFonts w:ascii="Arial" w:hAnsi="Arial" w:cs="Arial"/>
          <w:lang w:val="en-ZA"/>
        </w:rPr>
      </w:pPr>
      <w:r w:rsidRPr="00467903">
        <w:rPr>
          <w:rFonts w:ascii="Arial" w:hAnsi="Arial" w:cs="Arial"/>
          <w:lang w:val="en-ZA"/>
        </w:rPr>
        <w:t>26.3.</w:t>
      </w:r>
      <w:r w:rsidRPr="00467903">
        <w:rPr>
          <w:rFonts w:ascii="Arial" w:hAnsi="Arial" w:cs="Arial"/>
          <w:lang w:val="en-ZA"/>
        </w:rPr>
        <w:tab/>
        <w:t>Each party to pay his or her own costs occasioned by the postponement on 14 March 2022.</w:t>
      </w:r>
    </w:p>
    <w:p w:rsidR="008A61CD" w:rsidRPr="00467903" w:rsidRDefault="008A61CD" w:rsidP="008A61CD">
      <w:pPr>
        <w:spacing w:line="360" w:lineRule="auto"/>
        <w:ind w:left="2160" w:hanging="1305"/>
        <w:jc w:val="both"/>
        <w:rPr>
          <w:rFonts w:ascii="Arial" w:hAnsi="Arial" w:cs="Arial"/>
          <w:lang w:val="en-ZA"/>
        </w:rPr>
      </w:pPr>
    </w:p>
    <w:p w:rsidR="008A61CD" w:rsidRPr="00467903" w:rsidRDefault="008A61CD" w:rsidP="008A61CD">
      <w:pPr>
        <w:spacing w:line="360" w:lineRule="auto"/>
        <w:ind w:left="2160" w:hanging="1305"/>
        <w:jc w:val="both"/>
        <w:rPr>
          <w:rFonts w:ascii="Arial" w:hAnsi="Arial" w:cs="Arial"/>
          <w:lang w:val="en-ZA"/>
        </w:rPr>
      </w:pPr>
      <w:r w:rsidRPr="00467903">
        <w:rPr>
          <w:rFonts w:ascii="Arial" w:hAnsi="Arial" w:cs="Arial"/>
          <w:lang w:val="en-ZA"/>
        </w:rPr>
        <w:t>26.4.</w:t>
      </w:r>
      <w:r w:rsidRPr="00467903">
        <w:rPr>
          <w:rFonts w:ascii="Arial" w:hAnsi="Arial" w:cs="Arial"/>
          <w:lang w:val="en-ZA"/>
        </w:rPr>
        <w:tab/>
        <w:t>The appeal is dismissed.</w:t>
      </w:r>
    </w:p>
    <w:p w:rsidR="008A61CD" w:rsidRPr="00467903" w:rsidRDefault="008A61CD" w:rsidP="008A61CD">
      <w:pPr>
        <w:spacing w:line="360" w:lineRule="auto"/>
        <w:ind w:left="2160" w:hanging="1305"/>
        <w:jc w:val="both"/>
        <w:rPr>
          <w:rFonts w:ascii="Arial" w:hAnsi="Arial" w:cs="Arial"/>
          <w:lang w:val="en-ZA"/>
        </w:rPr>
      </w:pPr>
    </w:p>
    <w:p w:rsidR="008A61CD" w:rsidRPr="00467903" w:rsidRDefault="008A61CD" w:rsidP="008A61CD">
      <w:pPr>
        <w:spacing w:line="360" w:lineRule="auto"/>
        <w:ind w:left="2160" w:hanging="1305"/>
        <w:jc w:val="both"/>
        <w:rPr>
          <w:rFonts w:ascii="Arial" w:hAnsi="Arial" w:cs="Arial"/>
          <w:lang w:val="en-ZA"/>
        </w:rPr>
      </w:pPr>
      <w:r w:rsidRPr="00467903">
        <w:rPr>
          <w:rFonts w:ascii="Arial" w:hAnsi="Arial" w:cs="Arial"/>
          <w:lang w:val="en-ZA"/>
        </w:rPr>
        <w:t>26.5.</w:t>
      </w:r>
      <w:r w:rsidRPr="00467903">
        <w:rPr>
          <w:rFonts w:ascii="Arial" w:hAnsi="Arial" w:cs="Arial"/>
          <w:lang w:val="en-ZA"/>
        </w:rPr>
        <w:tab/>
        <w:t>The appellant is to pay the costs of the appeal.</w:t>
      </w:r>
    </w:p>
    <w:p w:rsidR="008A61CD" w:rsidRPr="00467903" w:rsidRDefault="008A61CD" w:rsidP="008A61CD">
      <w:pPr>
        <w:spacing w:line="360" w:lineRule="auto"/>
        <w:jc w:val="both"/>
        <w:rPr>
          <w:rFonts w:ascii="Arial" w:hAnsi="Arial" w:cs="Arial"/>
          <w:lang w:val="en-ZA"/>
        </w:rPr>
      </w:pPr>
    </w:p>
    <w:p w:rsidR="008A61CD" w:rsidRPr="00467903" w:rsidRDefault="008A61CD" w:rsidP="008A61CD">
      <w:pPr>
        <w:spacing w:line="360" w:lineRule="auto"/>
        <w:jc w:val="both"/>
        <w:rPr>
          <w:rFonts w:ascii="Arial" w:hAnsi="Arial" w:cs="Arial"/>
          <w:lang w:val="en-ZA"/>
        </w:rPr>
      </w:pPr>
    </w:p>
    <w:p w:rsidR="008A61CD" w:rsidRPr="00467903" w:rsidRDefault="008A61CD" w:rsidP="008A61CD">
      <w:pPr>
        <w:spacing w:line="360" w:lineRule="auto"/>
        <w:jc w:val="both"/>
        <w:rPr>
          <w:rFonts w:ascii="Arial" w:hAnsi="Arial" w:cs="Arial"/>
          <w:lang w:val="en-ZA"/>
        </w:rPr>
      </w:pPr>
    </w:p>
    <w:p w:rsidR="008A61CD" w:rsidRPr="00467903" w:rsidRDefault="008A61CD" w:rsidP="008A61CD">
      <w:pPr>
        <w:spacing w:line="360" w:lineRule="auto"/>
        <w:jc w:val="both"/>
        <w:rPr>
          <w:rFonts w:ascii="Arial" w:hAnsi="Arial" w:cs="Arial"/>
          <w:lang w:val="en-ZA"/>
        </w:rPr>
      </w:pPr>
    </w:p>
    <w:p w:rsidR="008A61CD" w:rsidRPr="00467903" w:rsidRDefault="008A61CD" w:rsidP="008A61CD">
      <w:pPr>
        <w:spacing w:line="360" w:lineRule="auto"/>
        <w:jc w:val="both"/>
        <w:rPr>
          <w:rFonts w:ascii="Arial" w:hAnsi="Arial" w:cs="Arial"/>
          <w:lang w:val="en-ZA"/>
        </w:rPr>
      </w:pPr>
    </w:p>
    <w:p w:rsidR="008A61CD" w:rsidRPr="00467903" w:rsidRDefault="008A61CD" w:rsidP="008A61CD">
      <w:pPr>
        <w:spacing w:line="360" w:lineRule="auto"/>
        <w:jc w:val="both"/>
        <w:rPr>
          <w:rFonts w:ascii="Arial" w:hAnsi="Arial" w:cs="Arial"/>
          <w:lang w:val="en-ZA"/>
        </w:rPr>
      </w:pPr>
    </w:p>
    <w:p w:rsidR="008A61CD" w:rsidRPr="00467903" w:rsidRDefault="008A61CD" w:rsidP="008A61CD">
      <w:pPr>
        <w:jc w:val="right"/>
        <w:rPr>
          <w:rFonts w:ascii="Arial" w:hAnsi="Arial" w:cs="Arial"/>
          <w:b/>
          <w:color w:val="000000" w:themeColor="text1"/>
          <w:lang w:val="en-ZA"/>
        </w:rPr>
      </w:pPr>
      <w:r w:rsidRPr="00467903">
        <w:rPr>
          <w:rFonts w:ascii="Arial" w:hAnsi="Arial" w:cs="Arial"/>
          <w:b/>
          <w:color w:val="000000" w:themeColor="text1"/>
          <w:lang w:val="en-ZA"/>
        </w:rPr>
        <w:t>__________________</w:t>
      </w:r>
    </w:p>
    <w:p w:rsidR="008A61CD" w:rsidRPr="00467903" w:rsidRDefault="008A61CD" w:rsidP="008A61CD">
      <w:pPr>
        <w:jc w:val="right"/>
        <w:rPr>
          <w:rFonts w:ascii="Arial" w:hAnsi="Arial" w:cs="Arial"/>
          <w:b/>
          <w:color w:val="000000" w:themeColor="text1"/>
          <w:lang w:val="en-ZA"/>
        </w:rPr>
      </w:pPr>
      <w:r w:rsidRPr="00467903">
        <w:rPr>
          <w:rFonts w:ascii="Arial" w:hAnsi="Arial" w:cs="Arial"/>
          <w:b/>
          <w:color w:val="000000" w:themeColor="text1"/>
          <w:lang w:val="en-ZA"/>
        </w:rPr>
        <w:t>M.A. MATHEBULA, J</w:t>
      </w:r>
    </w:p>
    <w:p w:rsidR="008A61CD" w:rsidRPr="00467903" w:rsidRDefault="008A61CD" w:rsidP="008A61CD">
      <w:pPr>
        <w:rPr>
          <w:rFonts w:ascii="Arial" w:hAnsi="Arial" w:cs="Arial"/>
          <w:b/>
          <w:color w:val="000000" w:themeColor="text1"/>
          <w:lang w:val="en-ZA"/>
        </w:rPr>
      </w:pPr>
    </w:p>
    <w:p w:rsidR="008A61CD" w:rsidRPr="00467903" w:rsidRDefault="008A61CD" w:rsidP="008A61CD">
      <w:pPr>
        <w:rPr>
          <w:rFonts w:ascii="Arial" w:hAnsi="Arial" w:cs="Arial"/>
          <w:color w:val="000000" w:themeColor="text1"/>
          <w:lang w:val="en-ZA"/>
        </w:rPr>
      </w:pPr>
    </w:p>
    <w:p w:rsidR="008A61CD" w:rsidRPr="00467903" w:rsidRDefault="008A61CD" w:rsidP="008A61CD">
      <w:pPr>
        <w:rPr>
          <w:rFonts w:ascii="Arial" w:hAnsi="Arial" w:cs="Arial"/>
          <w:color w:val="000000" w:themeColor="text1"/>
          <w:lang w:val="en-ZA"/>
        </w:rPr>
      </w:pPr>
      <w:r w:rsidRPr="00467903">
        <w:rPr>
          <w:rFonts w:ascii="Arial" w:hAnsi="Arial" w:cs="Arial"/>
          <w:color w:val="000000" w:themeColor="text1"/>
          <w:lang w:val="en-ZA"/>
        </w:rPr>
        <w:t>I concur,</w:t>
      </w:r>
    </w:p>
    <w:p w:rsidR="008A61CD" w:rsidRPr="00467903" w:rsidRDefault="008A61CD" w:rsidP="008A61CD">
      <w:pPr>
        <w:rPr>
          <w:rFonts w:ascii="Arial" w:hAnsi="Arial" w:cs="Arial"/>
          <w:color w:val="000000" w:themeColor="text1"/>
          <w:lang w:val="en-ZA"/>
        </w:rPr>
      </w:pPr>
    </w:p>
    <w:p w:rsidR="008A61CD" w:rsidRPr="00467903" w:rsidRDefault="008A61CD" w:rsidP="008A61CD">
      <w:pPr>
        <w:rPr>
          <w:rFonts w:ascii="Arial" w:hAnsi="Arial" w:cs="Arial"/>
          <w:color w:val="000000" w:themeColor="text1"/>
          <w:lang w:val="en-ZA"/>
        </w:rPr>
      </w:pPr>
    </w:p>
    <w:p w:rsidR="008A61CD" w:rsidRPr="00467903" w:rsidRDefault="008A61CD" w:rsidP="008A61CD">
      <w:pPr>
        <w:rPr>
          <w:rFonts w:ascii="Arial" w:hAnsi="Arial" w:cs="Arial"/>
          <w:color w:val="000000" w:themeColor="text1"/>
          <w:lang w:val="en-ZA"/>
        </w:rPr>
      </w:pPr>
    </w:p>
    <w:p w:rsidR="008A61CD" w:rsidRPr="00467903" w:rsidRDefault="00104D48" w:rsidP="008A61CD">
      <w:pPr>
        <w:jc w:val="right"/>
        <w:rPr>
          <w:rFonts w:ascii="Arial" w:hAnsi="Arial" w:cs="Arial"/>
          <w:b/>
          <w:color w:val="000000" w:themeColor="text1"/>
          <w:lang w:val="en-ZA"/>
        </w:rPr>
      </w:pPr>
      <w:r>
        <w:rPr>
          <w:rFonts w:ascii="Arial" w:hAnsi="Arial" w:cs="Arial"/>
          <w:b/>
          <w:color w:val="000000" w:themeColor="text1"/>
          <w:lang w:val="en-ZA"/>
        </w:rPr>
        <w:t>_______________</w:t>
      </w:r>
    </w:p>
    <w:p w:rsidR="008A61CD" w:rsidRPr="00467903" w:rsidRDefault="008A61CD" w:rsidP="008A61CD">
      <w:pPr>
        <w:pStyle w:val="ListParagraph"/>
        <w:ind w:left="6480"/>
        <w:rPr>
          <w:rFonts w:ascii="Arial" w:hAnsi="Arial" w:cs="Arial"/>
          <w:lang w:val="en-ZA"/>
        </w:rPr>
      </w:pPr>
      <w:r w:rsidRPr="00467903">
        <w:rPr>
          <w:rFonts w:ascii="Arial" w:hAnsi="Arial" w:cs="Arial"/>
          <w:b/>
          <w:color w:val="000000" w:themeColor="text1"/>
          <w:lang w:val="en-ZA"/>
        </w:rPr>
        <w:t xml:space="preserve">     </w:t>
      </w:r>
      <w:r w:rsidR="00104D48">
        <w:rPr>
          <w:rFonts w:ascii="Arial" w:hAnsi="Arial" w:cs="Arial"/>
          <w:b/>
          <w:color w:val="000000" w:themeColor="text1"/>
          <w:lang w:val="en-ZA"/>
        </w:rPr>
        <w:t xml:space="preserve">    </w:t>
      </w:r>
      <w:r w:rsidRPr="00467903">
        <w:rPr>
          <w:rFonts w:ascii="Arial" w:hAnsi="Arial" w:cs="Arial"/>
          <w:b/>
          <w:color w:val="000000" w:themeColor="text1"/>
          <w:lang w:val="en-ZA"/>
        </w:rPr>
        <w:t>N.</w:t>
      </w:r>
      <w:r w:rsidR="00104D48">
        <w:rPr>
          <w:rFonts w:ascii="Arial" w:hAnsi="Arial" w:cs="Arial"/>
          <w:b/>
          <w:color w:val="000000" w:themeColor="text1"/>
          <w:lang w:val="en-ZA"/>
        </w:rPr>
        <w:t xml:space="preserve">S. </w:t>
      </w:r>
      <w:r w:rsidRPr="00467903">
        <w:rPr>
          <w:rFonts w:ascii="Arial" w:hAnsi="Arial" w:cs="Arial"/>
          <w:b/>
          <w:color w:val="000000" w:themeColor="text1"/>
          <w:lang w:val="en-ZA"/>
        </w:rPr>
        <w:t>DANISO, J</w:t>
      </w:r>
      <w:r w:rsidRPr="00467903">
        <w:rPr>
          <w:rFonts w:ascii="Arial" w:hAnsi="Arial" w:cs="Arial"/>
          <w:lang w:val="en-ZA"/>
        </w:rPr>
        <w:t xml:space="preserve">    </w:t>
      </w:r>
    </w:p>
    <w:p w:rsidR="008A61CD" w:rsidRPr="00467903" w:rsidRDefault="008A61CD" w:rsidP="008A61CD">
      <w:pPr>
        <w:jc w:val="right"/>
        <w:rPr>
          <w:rFonts w:ascii="Arial" w:hAnsi="Arial" w:cs="Arial"/>
          <w:lang w:val="en-ZA"/>
        </w:rPr>
      </w:pPr>
    </w:p>
    <w:p w:rsidR="008A61CD" w:rsidRPr="00467903" w:rsidRDefault="008A61CD" w:rsidP="008A61CD">
      <w:pPr>
        <w:jc w:val="right"/>
        <w:rPr>
          <w:rFonts w:ascii="Arial" w:hAnsi="Arial" w:cs="Arial"/>
          <w:lang w:val="en-ZA"/>
        </w:rPr>
      </w:pPr>
    </w:p>
    <w:p w:rsidR="008A61CD" w:rsidRPr="00467903" w:rsidRDefault="008A61CD" w:rsidP="008A61CD">
      <w:pPr>
        <w:rPr>
          <w:rFonts w:ascii="Arial" w:hAnsi="Arial" w:cs="Arial"/>
          <w:lang w:val="en-ZA"/>
        </w:rPr>
      </w:pPr>
    </w:p>
    <w:p w:rsidR="008A61CD" w:rsidRPr="00467903" w:rsidRDefault="008A61CD" w:rsidP="008A61CD">
      <w:pPr>
        <w:jc w:val="right"/>
        <w:rPr>
          <w:rFonts w:ascii="Arial" w:hAnsi="Arial" w:cs="Arial"/>
          <w:lang w:val="en-ZA"/>
        </w:rPr>
      </w:pPr>
    </w:p>
    <w:p w:rsidR="008A61CD" w:rsidRPr="00467903" w:rsidRDefault="008A61CD" w:rsidP="008A61CD">
      <w:pPr>
        <w:tabs>
          <w:tab w:val="left" w:pos="1701"/>
        </w:tabs>
        <w:ind w:left="851" w:hanging="851"/>
        <w:rPr>
          <w:rFonts w:ascii="Arial" w:hAnsi="Arial" w:cs="Arial"/>
          <w:color w:val="000000" w:themeColor="text1"/>
          <w:lang w:val="en-ZA"/>
        </w:rPr>
      </w:pPr>
      <w:r w:rsidRPr="00467903">
        <w:rPr>
          <w:rFonts w:ascii="Arial" w:hAnsi="Arial" w:cs="Arial"/>
          <w:color w:val="000000" w:themeColor="text1"/>
          <w:lang w:val="en-ZA"/>
        </w:rPr>
        <w:t>On behalf of appellant:</w:t>
      </w:r>
      <w:r w:rsidRPr="00467903">
        <w:rPr>
          <w:rFonts w:ascii="Arial" w:hAnsi="Arial" w:cs="Arial"/>
          <w:color w:val="000000" w:themeColor="text1"/>
          <w:lang w:val="en-ZA"/>
        </w:rPr>
        <w:tab/>
      </w:r>
      <w:r w:rsidRPr="00467903">
        <w:rPr>
          <w:rFonts w:ascii="Arial" w:hAnsi="Arial" w:cs="Arial"/>
          <w:color w:val="000000" w:themeColor="text1"/>
          <w:lang w:val="en-ZA"/>
        </w:rPr>
        <w:tab/>
        <w:t>Adv. M.S. Mazibuko</w:t>
      </w:r>
    </w:p>
    <w:p w:rsidR="008A61CD" w:rsidRPr="00467903" w:rsidRDefault="008A61CD" w:rsidP="008A61CD">
      <w:pPr>
        <w:tabs>
          <w:tab w:val="left" w:pos="1701"/>
        </w:tabs>
        <w:ind w:left="851" w:hanging="851"/>
        <w:rPr>
          <w:rFonts w:ascii="Arial" w:hAnsi="Arial" w:cs="Arial"/>
          <w:color w:val="000000" w:themeColor="text1"/>
          <w:lang w:val="en-ZA"/>
        </w:rPr>
      </w:pPr>
      <w:r w:rsidRPr="00467903">
        <w:rPr>
          <w:rFonts w:ascii="Arial" w:hAnsi="Arial" w:cs="Arial"/>
          <w:color w:val="000000" w:themeColor="text1"/>
          <w:lang w:val="en-ZA"/>
        </w:rPr>
        <w:t>Instructed by:</w:t>
      </w:r>
      <w:r w:rsidRPr="00467903">
        <w:rPr>
          <w:rFonts w:ascii="Arial" w:hAnsi="Arial" w:cs="Arial"/>
          <w:color w:val="000000" w:themeColor="text1"/>
          <w:lang w:val="en-ZA"/>
        </w:rPr>
        <w:tab/>
      </w:r>
      <w:r w:rsidRPr="00467903">
        <w:rPr>
          <w:rFonts w:ascii="Arial" w:hAnsi="Arial" w:cs="Arial"/>
          <w:color w:val="000000" w:themeColor="text1"/>
          <w:lang w:val="en-ZA"/>
        </w:rPr>
        <w:tab/>
      </w:r>
      <w:r w:rsidRPr="00467903">
        <w:rPr>
          <w:rFonts w:ascii="Arial" w:hAnsi="Arial" w:cs="Arial"/>
          <w:color w:val="000000" w:themeColor="text1"/>
          <w:lang w:val="en-ZA"/>
        </w:rPr>
        <w:tab/>
      </w:r>
      <w:r w:rsidRPr="00467903">
        <w:rPr>
          <w:rFonts w:ascii="Arial" w:hAnsi="Arial" w:cs="Arial"/>
          <w:color w:val="000000" w:themeColor="text1"/>
          <w:lang w:val="en-ZA"/>
        </w:rPr>
        <w:tab/>
        <w:t>Mhlokonya Attorneys</w:t>
      </w:r>
    </w:p>
    <w:p w:rsidR="008A61CD" w:rsidRPr="00467903" w:rsidRDefault="008A61CD" w:rsidP="008A61CD">
      <w:pPr>
        <w:tabs>
          <w:tab w:val="left" w:pos="1701"/>
        </w:tabs>
        <w:ind w:left="851" w:hanging="851"/>
        <w:rPr>
          <w:rFonts w:ascii="Arial" w:hAnsi="Arial" w:cs="Arial"/>
          <w:color w:val="000000" w:themeColor="text1"/>
          <w:lang w:val="en-ZA"/>
        </w:rPr>
      </w:pPr>
      <w:r w:rsidRPr="00467903">
        <w:rPr>
          <w:rFonts w:ascii="Arial" w:hAnsi="Arial" w:cs="Arial"/>
          <w:color w:val="000000" w:themeColor="text1"/>
          <w:lang w:val="en-ZA"/>
        </w:rPr>
        <w:tab/>
      </w:r>
      <w:r w:rsidRPr="00467903">
        <w:rPr>
          <w:rFonts w:ascii="Arial" w:hAnsi="Arial" w:cs="Arial"/>
          <w:color w:val="000000" w:themeColor="text1"/>
          <w:lang w:val="en-ZA"/>
        </w:rPr>
        <w:tab/>
      </w:r>
      <w:r w:rsidRPr="00467903">
        <w:rPr>
          <w:rFonts w:ascii="Arial" w:hAnsi="Arial" w:cs="Arial"/>
          <w:color w:val="000000" w:themeColor="text1"/>
          <w:lang w:val="en-ZA"/>
        </w:rPr>
        <w:tab/>
      </w:r>
      <w:r w:rsidRPr="00467903">
        <w:rPr>
          <w:rFonts w:ascii="Arial" w:hAnsi="Arial" w:cs="Arial"/>
          <w:color w:val="000000" w:themeColor="text1"/>
          <w:lang w:val="en-ZA"/>
        </w:rPr>
        <w:tab/>
      </w:r>
      <w:r w:rsidRPr="00467903">
        <w:rPr>
          <w:rFonts w:ascii="Arial" w:hAnsi="Arial" w:cs="Arial"/>
          <w:color w:val="000000" w:themeColor="text1"/>
          <w:lang w:val="en-ZA"/>
        </w:rPr>
        <w:tab/>
        <w:t>Bloemfontein</w:t>
      </w:r>
    </w:p>
    <w:p w:rsidR="008A61CD" w:rsidRPr="00467903" w:rsidRDefault="008A61CD" w:rsidP="008A61CD">
      <w:pPr>
        <w:tabs>
          <w:tab w:val="left" w:pos="1701"/>
        </w:tabs>
        <w:ind w:left="851" w:hanging="851"/>
        <w:rPr>
          <w:rFonts w:ascii="Arial" w:hAnsi="Arial" w:cs="Arial"/>
          <w:color w:val="000000" w:themeColor="text1"/>
          <w:lang w:val="en-ZA"/>
        </w:rPr>
      </w:pPr>
    </w:p>
    <w:p w:rsidR="008A61CD" w:rsidRPr="00467903" w:rsidRDefault="008A61CD" w:rsidP="008A61CD">
      <w:pPr>
        <w:tabs>
          <w:tab w:val="left" w:pos="1701"/>
        </w:tabs>
        <w:ind w:left="851" w:hanging="851"/>
        <w:rPr>
          <w:rFonts w:ascii="Arial" w:hAnsi="Arial" w:cs="Arial"/>
          <w:color w:val="000000" w:themeColor="text1"/>
          <w:lang w:val="en-ZA"/>
        </w:rPr>
      </w:pPr>
    </w:p>
    <w:p w:rsidR="008A61CD" w:rsidRPr="00467903" w:rsidRDefault="008A61CD" w:rsidP="008A61CD">
      <w:pPr>
        <w:tabs>
          <w:tab w:val="left" w:pos="1701"/>
        </w:tabs>
        <w:ind w:left="851" w:hanging="851"/>
        <w:rPr>
          <w:rFonts w:ascii="Arial" w:hAnsi="Arial" w:cs="Arial"/>
          <w:lang w:val="en-ZA"/>
        </w:rPr>
      </w:pPr>
      <w:r w:rsidRPr="00467903">
        <w:rPr>
          <w:rFonts w:ascii="Arial" w:hAnsi="Arial" w:cs="Arial"/>
          <w:color w:val="000000" w:themeColor="text1"/>
          <w:lang w:val="en-ZA"/>
        </w:rPr>
        <w:t>On behalf of respondent:</w:t>
      </w:r>
      <w:r w:rsidRPr="00467903">
        <w:rPr>
          <w:rFonts w:ascii="Arial" w:hAnsi="Arial" w:cs="Arial"/>
          <w:color w:val="000000" w:themeColor="text1"/>
          <w:lang w:val="en-ZA"/>
        </w:rPr>
        <w:tab/>
      </w:r>
      <w:r w:rsidR="00467903">
        <w:rPr>
          <w:rFonts w:ascii="Arial" w:hAnsi="Arial" w:cs="Arial"/>
          <w:color w:val="000000" w:themeColor="text1"/>
          <w:lang w:val="en-ZA"/>
        </w:rPr>
        <w:tab/>
      </w:r>
      <w:r w:rsidRPr="00467903">
        <w:rPr>
          <w:rFonts w:ascii="Arial" w:hAnsi="Arial" w:cs="Arial"/>
          <w:color w:val="000000" w:themeColor="text1"/>
          <w:lang w:val="en-ZA"/>
        </w:rPr>
        <w:t>In person</w:t>
      </w:r>
    </w:p>
    <w:p w:rsidR="008A61CD" w:rsidRDefault="008A61CD" w:rsidP="008A61CD">
      <w:pPr>
        <w:rPr>
          <w:rFonts w:ascii="Arial" w:hAnsi="Arial" w:cs="Arial"/>
          <w:sz w:val="12"/>
          <w:szCs w:val="12"/>
          <w:lang w:val="en-ZA"/>
        </w:rPr>
      </w:pPr>
    </w:p>
    <w:p w:rsidR="008A61CD" w:rsidRDefault="008A61CD" w:rsidP="008A61CD">
      <w:pPr>
        <w:rPr>
          <w:rFonts w:ascii="Arial" w:hAnsi="Arial" w:cs="Arial"/>
          <w:sz w:val="12"/>
          <w:szCs w:val="12"/>
          <w:lang w:val="en-ZA"/>
        </w:rPr>
      </w:pPr>
    </w:p>
    <w:p w:rsidR="008A61CD" w:rsidRDefault="008A61CD" w:rsidP="008A61CD">
      <w:pPr>
        <w:rPr>
          <w:rFonts w:ascii="Arial" w:hAnsi="Arial" w:cs="Arial"/>
          <w:sz w:val="12"/>
          <w:szCs w:val="12"/>
          <w:lang w:val="en-ZA"/>
        </w:rPr>
      </w:pPr>
    </w:p>
    <w:p w:rsidR="008A61CD" w:rsidRDefault="008A61CD" w:rsidP="008A61CD">
      <w:pPr>
        <w:rPr>
          <w:rFonts w:ascii="Arial" w:hAnsi="Arial" w:cs="Arial"/>
          <w:sz w:val="12"/>
          <w:szCs w:val="12"/>
          <w:lang w:val="en-ZA"/>
        </w:rPr>
      </w:pPr>
    </w:p>
    <w:p w:rsidR="008A61CD" w:rsidRPr="00F85635" w:rsidRDefault="008A61CD" w:rsidP="008A61CD">
      <w:pPr>
        <w:rPr>
          <w:rFonts w:ascii="Arial" w:hAnsi="Arial" w:cs="Arial"/>
          <w:sz w:val="12"/>
          <w:szCs w:val="12"/>
          <w:lang w:val="en-ZA"/>
        </w:rPr>
      </w:pPr>
      <w:r w:rsidRPr="00F85635">
        <w:rPr>
          <w:rFonts w:ascii="Arial" w:hAnsi="Arial" w:cs="Arial"/>
          <w:sz w:val="12"/>
          <w:szCs w:val="12"/>
          <w:lang w:val="en-ZA"/>
        </w:rPr>
        <w:t>/</w:t>
      </w:r>
      <w:r>
        <w:rPr>
          <w:rFonts w:ascii="Arial" w:hAnsi="Arial" w:cs="Arial"/>
          <w:sz w:val="12"/>
          <w:szCs w:val="12"/>
          <w:lang w:val="en-ZA"/>
        </w:rPr>
        <w:t>TK</w:t>
      </w:r>
      <w:r w:rsidRPr="00F85635">
        <w:rPr>
          <w:rFonts w:ascii="Arial" w:hAnsi="Arial" w:cs="Arial"/>
          <w:sz w:val="12"/>
          <w:szCs w:val="12"/>
          <w:lang w:val="en-ZA"/>
        </w:rPr>
        <w:t>wapa</w:t>
      </w:r>
    </w:p>
    <w:p w:rsidR="00B60EF8" w:rsidRPr="008A61CD" w:rsidRDefault="00B60EF8" w:rsidP="008A61CD"/>
    <w:sectPr w:rsidR="00B60EF8" w:rsidRPr="008A61CD" w:rsidSect="00DF35B6">
      <w:headerReference w:type="default" r:id="rId10"/>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E0" w:rsidRDefault="005645E0" w:rsidP="002F3751">
      <w:r>
        <w:separator/>
      </w:r>
    </w:p>
  </w:endnote>
  <w:endnote w:type="continuationSeparator" w:id="0">
    <w:p w:rsidR="005645E0" w:rsidRDefault="005645E0" w:rsidP="002F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E0" w:rsidRDefault="005645E0" w:rsidP="002F3751">
      <w:r>
        <w:separator/>
      </w:r>
    </w:p>
  </w:footnote>
  <w:footnote w:type="continuationSeparator" w:id="0">
    <w:p w:rsidR="005645E0" w:rsidRDefault="005645E0" w:rsidP="002F3751">
      <w:r>
        <w:continuationSeparator/>
      </w:r>
    </w:p>
  </w:footnote>
  <w:footnote w:id="1">
    <w:p w:rsidR="008A61CD" w:rsidRDefault="008A61CD" w:rsidP="008A61CD">
      <w:pPr>
        <w:pStyle w:val="FootnoteText"/>
        <w:rPr>
          <w:rFonts w:ascii="Arial" w:hAnsi="Arial" w:cs="Arial"/>
          <w:lang w:val="en-US"/>
        </w:rPr>
      </w:pPr>
      <w:r>
        <w:rPr>
          <w:rStyle w:val="FootnoteReference"/>
        </w:rPr>
        <w:footnoteRef/>
      </w:r>
      <w:r>
        <w:t xml:space="preserve"> </w:t>
      </w:r>
      <w:r>
        <w:rPr>
          <w:rFonts w:ascii="Arial" w:hAnsi="Arial" w:cs="Arial"/>
          <w:lang w:val="en-US"/>
        </w:rPr>
        <w:t>Section 2(1) of Act 68 of 1981 reads as follows: -</w:t>
      </w:r>
    </w:p>
    <w:p w:rsidR="008A61CD" w:rsidRDefault="008A61CD" w:rsidP="008A61CD">
      <w:pPr>
        <w:pStyle w:val="FootnoteText"/>
        <w:rPr>
          <w:rFonts w:ascii="Arial" w:hAnsi="Arial" w:cs="Arial"/>
          <w:lang w:val="en-US"/>
        </w:rPr>
      </w:pPr>
    </w:p>
    <w:p w:rsidR="008A61CD" w:rsidRPr="004A7C38" w:rsidRDefault="008A61CD" w:rsidP="008A61CD">
      <w:pPr>
        <w:pStyle w:val="FootnoteText"/>
        <w:ind w:left="993" w:right="1655"/>
        <w:jc w:val="both"/>
        <w:rPr>
          <w:rFonts w:ascii="Arial" w:hAnsi="Arial" w:cs="Arial"/>
          <w:lang w:val="en-US"/>
        </w:rPr>
      </w:pPr>
      <w:r>
        <w:rPr>
          <w:rFonts w:ascii="Arial" w:hAnsi="Arial" w:cs="Arial"/>
          <w:color w:val="000000"/>
        </w:rPr>
        <w:t>“</w:t>
      </w:r>
      <w:r w:rsidRPr="006A0754">
        <w:rPr>
          <w:rFonts w:ascii="Arial" w:hAnsi="Arial" w:cs="Arial"/>
          <w:color w:val="000000"/>
        </w:rPr>
        <w:t>No alienation of land after the commencement of this section shall, subject to the provisions of section 28, be of any force or effect unless it is contained in a deed of alienation signed by the parties thereto or by their agents acting on their written authority.</w:t>
      </w:r>
      <w:r>
        <w:rPr>
          <w:rFonts w:ascii="Arial" w:hAnsi="Arial" w:cs="Arial"/>
          <w:color w:val="000000"/>
        </w:rPr>
        <w:t>”</w:t>
      </w:r>
    </w:p>
  </w:footnote>
  <w:footnote w:id="2">
    <w:p w:rsidR="008A61CD" w:rsidRPr="0077285A" w:rsidRDefault="008A61CD" w:rsidP="008A61CD">
      <w:pPr>
        <w:pStyle w:val="FootnoteText"/>
        <w:rPr>
          <w:rFonts w:ascii="Arial" w:hAnsi="Arial" w:cs="Arial"/>
          <w:lang w:val="en-ZA"/>
        </w:rPr>
      </w:pPr>
      <w:r>
        <w:rPr>
          <w:rStyle w:val="FootnoteReference"/>
        </w:rPr>
        <w:footnoteRef/>
      </w:r>
      <w:r>
        <w:t xml:space="preserve"> </w:t>
      </w:r>
      <w:r>
        <w:rPr>
          <w:rFonts w:ascii="Arial" w:hAnsi="Arial" w:cs="Arial"/>
          <w:lang w:val="en-ZA"/>
        </w:rPr>
        <w:t>2001 (3) SA 464 (SCA) at para 15.</w:t>
      </w:r>
    </w:p>
  </w:footnote>
  <w:footnote w:id="3">
    <w:p w:rsidR="008A61CD" w:rsidRPr="00DF78A7" w:rsidRDefault="008A61CD" w:rsidP="008A61CD">
      <w:pPr>
        <w:pStyle w:val="FootnoteText"/>
        <w:rPr>
          <w:rFonts w:ascii="Arial" w:hAnsi="Arial" w:cs="Arial"/>
          <w:lang w:val="en-US"/>
        </w:rPr>
      </w:pPr>
      <w:r>
        <w:rPr>
          <w:rStyle w:val="FootnoteReference"/>
        </w:rPr>
        <w:footnoteRef/>
      </w:r>
      <w:r>
        <w:t xml:space="preserve"> </w:t>
      </w:r>
      <w:r>
        <w:rPr>
          <w:rFonts w:ascii="Arial" w:hAnsi="Arial" w:cs="Arial"/>
          <w:lang w:val="en-US"/>
        </w:rPr>
        <w:t>Alexkor Ltd v The Richtersveld Community 2004 (5) SA 460 (CC) at para 44.</w:t>
      </w:r>
    </w:p>
  </w:footnote>
  <w:footnote w:id="4">
    <w:p w:rsidR="008A61CD" w:rsidRPr="00DF78A7" w:rsidRDefault="008A61CD" w:rsidP="008A61CD">
      <w:pPr>
        <w:pStyle w:val="FootnoteText"/>
        <w:rPr>
          <w:rFonts w:ascii="Arial" w:hAnsi="Arial" w:cs="Arial"/>
          <w:lang w:val="en-US"/>
        </w:rPr>
      </w:pPr>
      <w:r>
        <w:rPr>
          <w:rStyle w:val="FootnoteReference"/>
        </w:rPr>
        <w:footnoteRef/>
      </w:r>
      <w:r>
        <w:t xml:space="preserve"> </w:t>
      </w:r>
      <w:r>
        <w:rPr>
          <w:rFonts w:ascii="Arial" w:hAnsi="Arial" w:cs="Arial"/>
          <w:lang w:val="en-US"/>
        </w:rPr>
        <w:t>Barkhuizen v Napier 2007 (5) SA 323 (CC) at para 39.</w:t>
      </w:r>
    </w:p>
  </w:footnote>
  <w:footnote w:id="5">
    <w:p w:rsidR="008A61CD" w:rsidRPr="001A5DC8" w:rsidRDefault="008A61CD" w:rsidP="008A61CD">
      <w:pPr>
        <w:pStyle w:val="FootnoteText"/>
        <w:rPr>
          <w:rFonts w:ascii="Arial" w:hAnsi="Arial" w:cs="Arial"/>
          <w:lang w:val="en-US"/>
        </w:rPr>
      </w:pPr>
      <w:r>
        <w:rPr>
          <w:rStyle w:val="FootnoteReference"/>
        </w:rPr>
        <w:footnoteRef/>
      </w:r>
      <w:r>
        <w:t xml:space="preserve"> </w:t>
      </w:r>
      <w:r>
        <w:rPr>
          <w:rFonts w:ascii="Arial" w:hAnsi="Arial" w:cs="Arial"/>
          <w:lang w:val="en-US"/>
        </w:rPr>
        <w:t>Tiekiedraai Eiendomme (Pty) Ltd v Shell South Africa Marketing (Pty) Ltd &amp; Others 2019 (7) BCLR 850 (CC) at para 31.</w:t>
      </w:r>
    </w:p>
  </w:footnote>
  <w:footnote w:id="6">
    <w:p w:rsidR="008A61CD" w:rsidRPr="00FF320C" w:rsidRDefault="008A61CD" w:rsidP="008A61CD">
      <w:pPr>
        <w:pStyle w:val="FootnoteText"/>
        <w:rPr>
          <w:rFonts w:ascii="Arial" w:hAnsi="Arial" w:cs="Arial"/>
          <w:lang w:val="en-ZA"/>
        </w:rPr>
      </w:pPr>
      <w:r>
        <w:rPr>
          <w:rStyle w:val="FootnoteReference"/>
        </w:rPr>
        <w:footnoteRef/>
      </w:r>
      <w:r>
        <w:t xml:space="preserve"> </w:t>
      </w:r>
      <w:r>
        <w:rPr>
          <w:rFonts w:ascii="Arial" w:hAnsi="Arial" w:cs="Arial"/>
          <w:lang w:val="en-ZA"/>
        </w:rPr>
        <w:t>2012 (4) SA 593 (SCA).</w:t>
      </w:r>
    </w:p>
  </w:footnote>
  <w:footnote w:id="7">
    <w:p w:rsidR="008A61CD" w:rsidRPr="00A14B5D" w:rsidRDefault="008A61CD" w:rsidP="008A61CD">
      <w:pPr>
        <w:pStyle w:val="FootnoteText"/>
        <w:rPr>
          <w:rFonts w:ascii="Arial" w:hAnsi="Arial" w:cs="Arial"/>
          <w:lang w:val="en-US"/>
        </w:rPr>
      </w:pPr>
      <w:r>
        <w:rPr>
          <w:rStyle w:val="FootnoteReference"/>
        </w:rPr>
        <w:footnoteRef/>
      </w:r>
      <w:r>
        <w:t xml:space="preserve"> </w:t>
      </w:r>
      <w:r>
        <w:rPr>
          <w:rFonts w:ascii="Arial" w:hAnsi="Arial" w:cs="Arial"/>
          <w:lang w:val="en-US"/>
        </w:rPr>
        <w:t>Sasfin (Pty) Ltd v Beukes 1989 (1) SA 1 (A).</w:t>
      </w:r>
    </w:p>
  </w:footnote>
  <w:footnote w:id="8">
    <w:p w:rsidR="008A61CD" w:rsidRPr="00CA67E1" w:rsidRDefault="008A61CD" w:rsidP="008A61CD">
      <w:pPr>
        <w:pStyle w:val="FootnoteText"/>
        <w:rPr>
          <w:rFonts w:ascii="Arial" w:hAnsi="Arial" w:cs="Arial"/>
          <w:lang w:val="en-ZA"/>
        </w:rPr>
      </w:pPr>
      <w:r>
        <w:rPr>
          <w:rStyle w:val="FootnoteReference"/>
        </w:rPr>
        <w:footnoteRef/>
      </w:r>
      <w:r>
        <w:t xml:space="preserve"> </w:t>
      </w:r>
      <w:r>
        <w:rPr>
          <w:rFonts w:ascii="Arial" w:hAnsi="Arial" w:cs="Arial"/>
          <w:lang w:val="en-ZA"/>
        </w:rPr>
        <w:t>Pratt v First Rand Bank [2008] ZASCA 92 (12 September 2008).</w:t>
      </w:r>
    </w:p>
  </w:footnote>
  <w:footnote w:id="9">
    <w:p w:rsidR="008A61CD" w:rsidRPr="008102B4" w:rsidRDefault="008A61CD" w:rsidP="008A61CD">
      <w:pPr>
        <w:pStyle w:val="FootnoteText"/>
        <w:rPr>
          <w:rFonts w:ascii="Arial" w:hAnsi="Arial" w:cs="Arial"/>
          <w:lang w:val="en-US"/>
        </w:rPr>
      </w:pPr>
      <w:r>
        <w:rPr>
          <w:rStyle w:val="FootnoteReference"/>
        </w:rPr>
        <w:footnoteRef/>
      </w:r>
      <w:r>
        <w:t xml:space="preserve"> </w:t>
      </w:r>
      <w:r>
        <w:rPr>
          <w:rFonts w:ascii="Arial" w:hAnsi="Arial" w:cs="Arial"/>
          <w:lang w:val="en-US"/>
        </w:rPr>
        <w:t>Yannakou v Apollo Club 1974 (1) SA 614 (A) at 623H.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61" w:rsidRDefault="005645E0">
    <w:pPr>
      <w:pStyle w:val="Header"/>
      <w:jc w:val="right"/>
    </w:pPr>
    <w:sdt>
      <w:sdtPr>
        <w:id w:val="835499699"/>
        <w:docPartObj>
          <w:docPartGallery w:val="Page Numbers (Top of Page)"/>
          <w:docPartUnique/>
        </w:docPartObj>
      </w:sdtPr>
      <w:sdtEndPr>
        <w:rPr>
          <w:noProof/>
        </w:rPr>
      </w:sdtEndPr>
      <w:sdtContent>
        <w:r w:rsidR="000D4C61">
          <w:fldChar w:fldCharType="begin"/>
        </w:r>
        <w:r w:rsidR="000D4C61">
          <w:instrText xml:space="preserve"> PAGE   \* MERGEFORMAT </w:instrText>
        </w:r>
        <w:r w:rsidR="000D4C61">
          <w:fldChar w:fldCharType="separate"/>
        </w:r>
        <w:r w:rsidR="005658F9">
          <w:rPr>
            <w:noProof/>
          </w:rPr>
          <w:t>2</w:t>
        </w:r>
        <w:r w:rsidR="000D4C61">
          <w:rPr>
            <w:noProof/>
          </w:rPr>
          <w:fldChar w:fldCharType="end"/>
        </w:r>
      </w:sdtContent>
    </w:sdt>
  </w:p>
  <w:p w:rsidR="000D4C61" w:rsidRDefault="000D4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7731"/>
    <w:multiLevelType w:val="hybridMultilevel"/>
    <w:tmpl w:val="5B1A8A9C"/>
    <w:lvl w:ilvl="0" w:tplc="6EB80E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1066757"/>
    <w:multiLevelType w:val="multilevel"/>
    <w:tmpl w:val="98905D80"/>
    <w:lvl w:ilvl="0">
      <w:start w:val="21"/>
      <w:numFmt w:val="decimal"/>
      <w:lvlText w:val="%1"/>
      <w:lvlJc w:val="left"/>
      <w:pPr>
        <w:ind w:left="570" w:hanging="57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 w15:restartNumberingAfterBreak="0">
    <w:nsid w:val="3704658B"/>
    <w:multiLevelType w:val="hybridMultilevel"/>
    <w:tmpl w:val="7ED084CE"/>
    <w:lvl w:ilvl="0" w:tplc="DA86DE9A">
      <w:start w:val="1"/>
      <w:numFmt w:val="upperLetter"/>
      <w:lvlText w:val="%1."/>
      <w:lvlJc w:val="left"/>
      <w:pPr>
        <w:ind w:left="720" w:hanging="360"/>
      </w:pPr>
      <w:rPr>
        <w:rFonts w:hint="default"/>
        <w:b/>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98A324E"/>
    <w:multiLevelType w:val="hybridMultilevel"/>
    <w:tmpl w:val="A1F0E656"/>
    <w:lvl w:ilvl="0" w:tplc="1E8079A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423D4E14"/>
    <w:multiLevelType w:val="hybridMultilevel"/>
    <w:tmpl w:val="F04666E6"/>
    <w:lvl w:ilvl="0" w:tplc="8CFABA20">
      <w:start w:val="13"/>
      <w:numFmt w:val="upperLetter"/>
      <w:lvlText w:val="%1."/>
      <w:lvlJc w:val="left"/>
      <w:pPr>
        <w:ind w:left="720" w:hanging="360"/>
      </w:pPr>
      <w:rPr>
        <w:rFonts w:hint="default"/>
        <w:b/>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85C44DB"/>
    <w:multiLevelType w:val="hybridMultilevel"/>
    <w:tmpl w:val="DE8430D8"/>
    <w:lvl w:ilvl="0" w:tplc="6F547144">
      <w:start w:val="84"/>
      <w:numFmt w:val="bullet"/>
      <w:lvlText w:val="-"/>
      <w:lvlJc w:val="left"/>
      <w:pPr>
        <w:ind w:left="2061" w:hanging="360"/>
      </w:pPr>
      <w:rPr>
        <w:rFonts w:ascii="Arial" w:eastAsia="Times New Roman" w:hAnsi="Arial" w:cs="Arial"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6" w15:restartNumberingAfterBreak="0">
    <w:nsid w:val="49352F3D"/>
    <w:multiLevelType w:val="multilevel"/>
    <w:tmpl w:val="F9A4A000"/>
    <w:lvl w:ilvl="0">
      <w:start w:val="18"/>
      <w:numFmt w:val="decimal"/>
      <w:lvlText w:val="%1"/>
      <w:lvlJc w:val="left"/>
      <w:pPr>
        <w:ind w:left="570" w:hanging="57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7" w15:restartNumberingAfterBreak="0">
    <w:nsid w:val="4E93144F"/>
    <w:multiLevelType w:val="hybridMultilevel"/>
    <w:tmpl w:val="97F8948E"/>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532D29E2"/>
    <w:multiLevelType w:val="hybridMultilevel"/>
    <w:tmpl w:val="E0C8E934"/>
    <w:lvl w:ilvl="0" w:tplc="DA36088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F5D37FB"/>
    <w:multiLevelType w:val="hybridMultilevel"/>
    <w:tmpl w:val="883830FA"/>
    <w:lvl w:ilvl="0" w:tplc="FB22EBC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0" w15:restartNumberingAfterBreak="0">
    <w:nsid w:val="791F6800"/>
    <w:multiLevelType w:val="hybridMultilevel"/>
    <w:tmpl w:val="C5142294"/>
    <w:lvl w:ilvl="0" w:tplc="A7527FD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5"/>
  </w:num>
  <w:num w:numId="2">
    <w:abstractNumId w:val="0"/>
  </w:num>
  <w:num w:numId="3">
    <w:abstractNumId w:val="8"/>
  </w:num>
  <w:num w:numId="4">
    <w:abstractNumId w:val="10"/>
  </w:num>
  <w:num w:numId="5">
    <w:abstractNumId w:val="3"/>
  </w:num>
  <w:num w:numId="6">
    <w:abstractNumId w:val="9"/>
  </w:num>
  <w:num w:numId="7">
    <w:abstractNumId w:val="6"/>
  </w:num>
  <w:num w:numId="8">
    <w:abstractNumId w:val="1"/>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02838B-39B4-4F72-8B2F-C960E8896539}"/>
    <w:docVar w:name="dgnword-eventsink" w:val="430769728"/>
  </w:docVars>
  <w:rsids>
    <w:rsidRoot w:val="00A92A3B"/>
    <w:rsid w:val="000123EF"/>
    <w:rsid w:val="0001451D"/>
    <w:rsid w:val="00015795"/>
    <w:rsid w:val="00017EDB"/>
    <w:rsid w:val="00020B5E"/>
    <w:rsid w:val="00026B74"/>
    <w:rsid w:val="00027449"/>
    <w:rsid w:val="00033BD6"/>
    <w:rsid w:val="0003616D"/>
    <w:rsid w:val="00042693"/>
    <w:rsid w:val="00044DFE"/>
    <w:rsid w:val="00047954"/>
    <w:rsid w:val="000505BA"/>
    <w:rsid w:val="0005215C"/>
    <w:rsid w:val="00060C20"/>
    <w:rsid w:val="00061862"/>
    <w:rsid w:val="00067738"/>
    <w:rsid w:val="00090643"/>
    <w:rsid w:val="0009226C"/>
    <w:rsid w:val="000973E2"/>
    <w:rsid w:val="000A2D8F"/>
    <w:rsid w:val="000A7FCA"/>
    <w:rsid w:val="000B5A8F"/>
    <w:rsid w:val="000C0346"/>
    <w:rsid w:val="000C1EF4"/>
    <w:rsid w:val="000C2B32"/>
    <w:rsid w:val="000C2C58"/>
    <w:rsid w:val="000D2447"/>
    <w:rsid w:val="000D4C61"/>
    <w:rsid w:val="000D7995"/>
    <w:rsid w:val="000E03DD"/>
    <w:rsid w:val="000E409B"/>
    <w:rsid w:val="000F25F5"/>
    <w:rsid w:val="000F463E"/>
    <w:rsid w:val="000F4783"/>
    <w:rsid w:val="000F5783"/>
    <w:rsid w:val="00104D48"/>
    <w:rsid w:val="00104E1D"/>
    <w:rsid w:val="001141BB"/>
    <w:rsid w:val="00114DE2"/>
    <w:rsid w:val="00116FEB"/>
    <w:rsid w:val="00121FDC"/>
    <w:rsid w:val="001264BC"/>
    <w:rsid w:val="00132DEC"/>
    <w:rsid w:val="0013460E"/>
    <w:rsid w:val="001354CC"/>
    <w:rsid w:val="00135996"/>
    <w:rsid w:val="00137B89"/>
    <w:rsid w:val="00144670"/>
    <w:rsid w:val="001513AD"/>
    <w:rsid w:val="00154BF6"/>
    <w:rsid w:val="00162D71"/>
    <w:rsid w:val="00167361"/>
    <w:rsid w:val="001719E8"/>
    <w:rsid w:val="001730D9"/>
    <w:rsid w:val="001751DD"/>
    <w:rsid w:val="00183B58"/>
    <w:rsid w:val="001855A7"/>
    <w:rsid w:val="001A453C"/>
    <w:rsid w:val="001A5DC8"/>
    <w:rsid w:val="001A6C4F"/>
    <w:rsid w:val="001A76FC"/>
    <w:rsid w:val="001B1F64"/>
    <w:rsid w:val="001B3703"/>
    <w:rsid w:val="001B48CF"/>
    <w:rsid w:val="001B695C"/>
    <w:rsid w:val="001C155A"/>
    <w:rsid w:val="001C39CD"/>
    <w:rsid w:val="001D080B"/>
    <w:rsid w:val="001E2CCC"/>
    <w:rsid w:val="001E2DCB"/>
    <w:rsid w:val="001E71ED"/>
    <w:rsid w:val="001F0EB2"/>
    <w:rsid w:val="001F51BB"/>
    <w:rsid w:val="001F6051"/>
    <w:rsid w:val="00200B7E"/>
    <w:rsid w:val="00204274"/>
    <w:rsid w:val="00205E84"/>
    <w:rsid w:val="00212831"/>
    <w:rsid w:val="0022322A"/>
    <w:rsid w:val="0022764B"/>
    <w:rsid w:val="00234401"/>
    <w:rsid w:val="002374E7"/>
    <w:rsid w:val="00240104"/>
    <w:rsid w:val="00240527"/>
    <w:rsid w:val="00244077"/>
    <w:rsid w:val="00244E75"/>
    <w:rsid w:val="002475A1"/>
    <w:rsid w:val="00250CF0"/>
    <w:rsid w:val="00251340"/>
    <w:rsid w:val="00256298"/>
    <w:rsid w:val="00262F6E"/>
    <w:rsid w:val="00263A24"/>
    <w:rsid w:val="00264A1F"/>
    <w:rsid w:val="00265BEF"/>
    <w:rsid w:val="002671EB"/>
    <w:rsid w:val="002717D1"/>
    <w:rsid w:val="00281E07"/>
    <w:rsid w:val="0028264B"/>
    <w:rsid w:val="00283307"/>
    <w:rsid w:val="00284482"/>
    <w:rsid w:val="00286FDD"/>
    <w:rsid w:val="002A313F"/>
    <w:rsid w:val="002A55C8"/>
    <w:rsid w:val="002A684F"/>
    <w:rsid w:val="002B0E70"/>
    <w:rsid w:val="002B2166"/>
    <w:rsid w:val="002B5E49"/>
    <w:rsid w:val="002C5D3A"/>
    <w:rsid w:val="002C686C"/>
    <w:rsid w:val="002D22FA"/>
    <w:rsid w:val="002D52D6"/>
    <w:rsid w:val="002E4606"/>
    <w:rsid w:val="002E605F"/>
    <w:rsid w:val="002F28B6"/>
    <w:rsid w:val="002F3751"/>
    <w:rsid w:val="002F55EE"/>
    <w:rsid w:val="002F7721"/>
    <w:rsid w:val="0031253F"/>
    <w:rsid w:val="00316659"/>
    <w:rsid w:val="00325C4A"/>
    <w:rsid w:val="00340C80"/>
    <w:rsid w:val="00341388"/>
    <w:rsid w:val="003445EC"/>
    <w:rsid w:val="003514C1"/>
    <w:rsid w:val="00363669"/>
    <w:rsid w:val="003641B6"/>
    <w:rsid w:val="00371531"/>
    <w:rsid w:val="003715EF"/>
    <w:rsid w:val="00374E2E"/>
    <w:rsid w:val="00377DE4"/>
    <w:rsid w:val="003825D7"/>
    <w:rsid w:val="003837AF"/>
    <w:rsid w:val="00392218"/>
    <w:rsid w:val="003A1105"/>
    <w:rsid w:val="003A4B85"/>
    <w:rsid w:val="003A500C"/>
    <w:rsid w:val="003A6272"/>
    <w:rsid w:val="003A76CE"/>
    <w:rsid w:val="003A7C58"/>
    <w:rsid w:val="003B104C"/>
    <w:rsid w:val="003B2F0B"/>
    <w:rsid w:val="003B6A4D"/>
    <w:rsid w:val="003C27F2"/>
    <w:rsid w:val="003D4B8A"/>
    <w:rsid w:val="003D5F47"/>
    <w:rsid w:val="003E3DEB"/>
    <w:rsid w:val="003E671B"/>
    <w:rsid w:val="003E76C2"/>
    <w:rsid w:val="003F517B"/>
    <w:rsid w:val="003F7383"/>
    <w:rsid w:val="00406B5C"/>
    <w:rsid w:val="00421BB3"/>
    <w:rsid w:val="00424C22"/>
    <w:rsid w:val="004266EC"/>
    <w:rsid w:val="00430EC9"/>
    <w:rsid w:val="004321A7"/>
    <w:rsid w:val="004437B8"/>
    <w:rsid w:val="004455DF"/>
    <w:rsid w:val="004525B9"/>
    <w:rsid w:val="0045293D"/>
    <w:rsid w:val="00455C64"/>
    <w:rsid w:val="00463B95"/>
    <w:rsid w:val="0046685D"/>
    <w:rsid w:val="00467903"/>
    <w:rsid w:val="00470051"/>
    <w:rsid w:val="004716E5"/>
    <w:rsid w:val="00474660"/>
    <w:rsid w:val="00476868"/>
    <w:rsid w:val="00476C1B"/>
    <w:rsid w:val="004843DB"/>
    <w:rsid w:val="00484A4A"/>
    <w:rsid w:val="00490A39"/>
    <w:rsid w:val="00493C72"/>
    <w:rsid w:val="00497A18"/>
    <w:rsid w:val="004A24EC"/>
    <w:rsid w:val="004A791F"/>
    <w:rsid w:val="004A7C38"/>
    <w:rsid w:val="004B04BA"/>
    <w:rsid w:val="004B2791"/>
    <w:rsid w:val="004B45E9"/>
    <w:rsid w:val="004B5E3B"/>
    <w:rsid w:val="004D077B"/>
    <w:rsid w:val="004E2A18"/>
    <w:rsid w:val="004E43A2"/>
    <w:rsid w:val="004E4548"/>
    <w:rsid w:val="004E6822"/>
    <w:rsid w:val="004F0B03"/>
    <w:rsid w:val="004F6952"/>
    <w:rsid w:val="00503008"/>
    <w:rsid w:val="00503A16"/>
    <w:rsid w:val="005149C6"/>
    <w:rsid w:val="00524F9F"/>
    <w:rsid w:val="005272A4"/>
    <w:rsid w:val="00534800"/>
    <w:rsid w:val="00537B21"/>
    <w:rsid w:val="00541A61"/>
    <w:rsid w:val="005454BB"/>
    <w:rsid w:val="00545F0C"/>
    <w:rsid w:val="00547195"/>
    <w:rsid w:val="005518E8"/>
    <w:rsid w:val="005526B3"/>
    <w:rsid w:val="00556E20"/>
    <w:rsid w:val="0055743D"/>
    <w:rsid w:val="005645E0"/>
    <w:rsid w:val="005658F9"/>
    <w:rsid w:val="005809A4"/>
    <w:rsid w:val="00580CF0"/>
    <w:rsid w:val="0058706A"/>
    <w:rsid w:val="00587866"/>
    <w:rsid w:val="00591132"/>
    <w:rsid w:val="00591620"/>
    <w:rsid w:val="00597445"/>
    <w:rsid w:val="005A0CD2"/>
    <w:rsid w:val="005C5C56"/>
    <w:rsid w:val="005D3C48"/>
    <w:rsid w:val="005D6AF7"/>
    <w:rsid w:val="005D75AE"/>
    <w:rsid w:val="005E615E"/>
    <w:rsid w:val="005F1BD9"/>
    <w:rsid w:val="005F2A8D"/>
    <w:rsid w:val="00605002"/>
    <w:rsid w:val="0060574B"/>
    <w:rsid w:val="00607930"/>
    <w:rsid w:val="006156A6"/>
    <w:rsid w:val="006170FB"/>
    <w:rsid w:val="00624DF5"/>
    <w:rsid w:val="006363A7"/>
    <w:rsid w:val="00640A64"/>
    <w:rsid w:val="00641CAB"/>
    <w:rsid w:val="00644AE5"/>
    <w:rsid w:val="0064730D"/>
    <w:rsid w:val="00651202"/>
    <w:rsid w:val="006551AE"/>
    <w:rsid w:val="006609DF"/>
    <w:rsid w:val="00671ADC"/>
    <w:rsid w:val="006747E7"/>
    <w:rsid w:val="00676B3C"/>
    <w:rsid w:val="0068590E"/>
    <w:rsid w:val="00687102"/>
    <w:rsid w:val="0069052A"/>
    <w:rsid w:val="00693F5A"/>
    <w:rsid w:val="0069597C"/>
    <w:rsid w:val="006A0754"/>
    <w:rsid w:val="006A0941"/>
    <w:rsid w:val="006A2CF6"/>
    <w:rsid w:val="006A3489"/>
    <w:rsid w:val="006B2D7C"/>
    <w:rsid w:val="006B75D7"/>
    <w:rsid w:val="006C7C0D"/>
    <w:rsid w:val="006D141E"/>
    <w:rsid w:val="006D5A24"/>
    <w:rsid w:val="006E347F"/>
    <w:rsid w:val="006F16C6"/>
    <w:rsid w:val="006F4DF9"/>
    <w:rsid w:val="006F5083"/>
    <w:rsid w:val="0070336C"/>
    <w:rsid w:val="0070519C"/>
    <w:rsid w:val="00713831"/>
    <w:rsid w:val="007265B9"/>
    <w:rsid w:val="00726C78"/>
    <w:rsid w:val="007327A7"/>
    <w:rsid w:val="00732916"/>
    <w:rsid w:val="00741C30"/>
    <w:rsid w:val="007442CE"/>
    <w:rsid w:val="00745A85"/>
    <w:rsid w:val="00745E3A"/>
    <w:rsid w:val="0074761F"/>
    <w:rsid w:val="00753679"/>
    <w:rsid w:val="00756CC2"/>
    <w:rsid w:val="007656B8"/>
    <w:rsid w:val="0077285A"/>
    <w:rsid w:val="00776411"/>
    <w:rsid w:val="007822B0"/>
    <w:rsid w:val="00782798"/>
    <w:rsid w:val="00786378"/>
    <w:rsid w:val="007909F9"/>
    <w:rsid w:val="00793F54"/>
    <w:rsid w:val="007963AE"/>
    <w:rsid w:val="007969A2"/>
    <w:rsid w:val="007A20DF"/>
    <w:rsid w:val="007A284D"/>
    <w:rsid w:val="007A422C"/>
    <w:rsid w:val="007A5647"/>
    <w:rsid w:val="007A6020"/>
    <w:rsid w:val="007B0286"/>
    <w:rsid w:val="007B4B86"/>
    <w:rsid w:val="007C1638"/>
    <w:rsid w:val="007C55BF"/>
    <w:rsid w:val="007D438F"/>
    <w:rsid w:val="007D66C8"/>
    <w:rsid w:val="007E5166"/>
    <w:rsid w:val="007E7386"/>
    <w:rsid w:val="007E7BD4"/>
    <w:rsid w:val="007F5203"/>
    <w:rsid w:val="00804AD5"/>
    <w:rsid w:val="008102B4"/>
    <w:rsid w:val="00813A57"/>
    <w:rsid w:val="00823763"/>
    <w:rsid w:val="008400D9"/>
    <w:rsid w:val="00847C44"/>
    <w:rsid w:val="008504AF"/>
    <w:rsid w:val="008610F8"/>
    <w:rsid w:val="00883FF8"/>
    <w:rsid w:val="00884809"/>
    <w:rsid w:val="00892FB3"/>
    <w:rsid w:val="008A61CD"/>
    <w:rsid w:val="008A66E8"/>
    <w:rsid w:val="008B2B5E"/>
    <w:rsid w:val="008C516A"/>
    <w:rsid w:val="008C539F"/>
    <w:rsid w:val="008C545B"/>
    <w:rsid w:val="008D013D"/>
    <w:rsid w:val="008D3DA7"/>
    <w:rsid w:val="008D3FD5"/>
    <w:rsid w:val="008E0AFF"/>
    <w:rsid w:val="008E2A31"/>
    <w:rsid w:val="008F4341"/>
    <w:rsid w:val="008F5060"/>
    <w:rsid w:val="00900851"/>
    <w:rsid w:val="0090094B"/>
    <w:rsid w:val="00901906"/>
    <w:rsid w:val="00904531"/>
    <w:rsid w:val="00906915"/>
    <w:rsid w:val="00910506"/>
    <w:rsid w:val="00926426"/>
    <w:rsid w:val="00930AAA"/>
    <w:rsid w:val="00931AE7"/>
    <w:rsid w:val="00934422"/>
    <w:rsid w:val="00936FDE"/>
    <w:rsid w:val="009415BE"/>
    <w:rsid w:val="00950516"/>
    <w:rsid w:val="009540FA"/>
    <w:rsid w:val="0096293F"/>
    <w:rsid w:val="00972A25"/>
    <w:rsid w:val="0097683D"/>
    <w:rsid w:val="00980873"/>
    <w:rsid w:val="00981D12"/>
    <w:rsid w:val="009842E6"/>
    <w:rsid w:val="009861E0"/>
    <w:rsid w:val="0099332E"/>
    <w:rsid w:val="00997019"/>
    <w:rsid w:val="00997235"/>
    <w:rsid w:val="009A3BCE"/>
    <w:rsid w:val="009B01AF"/>
    <w:rsid w:val="009C715C"/>
    <w:rsid w:val="009D00DD"/>
    <w:rsid w:val="009E636C"/>
    <w:rsid w:val="009E6D2E"/>
    <w:rsid w:val="009E75E7"/>
    <w:rsid w:val="009F0C96"/>
    <w:rsid w:val="009F683B"/>
    <w:rsid w:val="00A045D3"/>
    <w:rsid w:val="00A07517"/>
    <w:rsid w:val="00A07D1A"/>
    <w:rsid w:val="00A13D6E"/>
    <w:rsid w:val="00A14B5D"/>
    <w:rsid w:val="00A2776E"/>
    <w:rsid w:val="00A27D29"/>
    <w:rsid w:val="00A43978"/>
    <w:rsid w:val="00A44276"/>
    <w:rsid w:val="00A476FE"/>
    <w:rsid w:val="00A52625"/>
    <w:rsid w:val="00A527FA"/>
    <w:rsid w:val="00A54410"/>
    <w:rsid w:val="00A56CC9"/>
    <w:rsid w:val="00A56D11"/>
    <w:rsid w:val="00A61B27"/>
    <w:rsid w:val="00A62DEF"/>
    <w:rsid w:val="00A7085E"/>
    <w:rsid w:val="00A71BBF"/>
    <w:rsid w:val="00A82F8C"/>
    <w:rsid w:val="00A83FB3"/>
    <w:rsid w:val="00A85E87"/>
    <w:rsid w:val="00A92A3B"/>
    <w:rsid w:val="00A9471B"/>
    <w:rsid w:val="00A960B0"/>
    <w:rsid w:val="00A96AF4"/>
    <w:rsid w:val="00AA6B00"/>
    <w:rsid w:val="00AC006A"/>
    <w:rsid w:val="00AC7D62"/>
    <w:rsid w:val="00AE26D6"/>
    <w:rsid w:val="00AE5214"/>
    <w:rsid w:val="00AE627D"/>
    <w:rsid w:val="00AF2384"/>
    <w:rsid w:val="00AF4EFB"/>
    <w:rsid w:val="00AF6304"/>
    <w:rsid w:val="00B03C2C"/>
    <w:rsid w:val="00B03D28"/>
    <w:rsid w:val="00B04470"/>
    <w:rsid w:val="00B06364"/>
    <w:rsid w:val="00B06486"/>
    <w:rsid w:val="00B06A24"/>
    <w:rsid w:val="00B071AB"/>
    <w:rsid w:val="00B0798C"/>
    <w:rsid w:val="00B07E15"/>
    <w:rsid w:val="00B14CB4"/>
    <w:rsid w:val="00B2099B"/>
    <w:rsid w:val="00B27365"/>
    <w:rsid w:val="00B30D5B"/>
    <w:rsid w:val="00B31CE1"/>
    <w:rsid w:val="00B3692B"/>
    <w:rsid w:val="00B37167"/>
    <w:rsid w:val="00B5323A"/>
    <w:rsid w:val="00B60EF8"/>
    <w:rsid w:val="00B61EF4"/>
    <w:rsid w:val="00B639DD"/>
    <w:rsid w:val="00B65CCA"/>
    <w:rsid w:val="00B778C4"/>
    <w:rsid w:val="00B82E62"/>
    <w:rsid w:val="00B91FC5"/>
    <w:rsid w:val="00BA06DD"/>
    <w:rsid w:val="00BA1BE8"/>
    <w:rsid w:val="00BB1A8D"/>
    <w:rsid w:val="00BB3936"/>
    <w:rsid w:val="00BC5C88"/>
    <w:rsid w:val="00BD2AC4"/>
    <w:rsid w:val="00BD62F5"/>
    <w:rsid w:val="00BD79FD"/>
    <w:rsid w:val="00BE30ED"/>
    <w:rsid w:val="00BE6B61"/>
    <w:rsid w:val="00C012D9"/>
    <w:rsid w:val="00C0438C"/>
    <w:rsid w:val="00C0468C"/>
    <w:rsid w:val="00C05478"/>
    <w:rsid w:val="00C316CD"/>
    <w:rsid w:val="00C37E8E"/>
    <w:rsid w:val="00C45B90"/>
    <w:rsid w:val="00C54539"/>
    <w:rsid w:val="00C8239D"/>
    <w:rsid w:val="00C90D72"/>
    <w:rsid w:val="00C91D12"/>
    <w:rsid w:val="00CA05B8"/>
    <w:rsid w:val="00CA32DD"/>
    <w:rsid w:val="00CA4F7F"/>
    <w:rsid w:val="00CA67E1"/>
    <w:rsid w:val="00CB1FD5"/>
    <w:rsid w:val="00CB5082"/>
    <w:rsid w:val="00CB6865"/>
    <w:rsid w:val="00CC2020"/>
    <w:rsid w:val="00CC2226"/>
    <w:rsid w:val="00CC2E7D"/>
    <w:rsid w:val="00CD22B3"/>
    <w:rsid w:val="00CE0D80"/>
    <w:rsid w:val="00CE0DE9"/>
    <w:rsid w:val="00CE2296"/>
    <w:rsid w:val="00CE2DC3"/>
    <w:rsid w:val="00CE2EDA"/>
    <w:rsid w:val="00CF38CF"/>
    <w:rsid w:val="00CF3C41"/>
    <w:rsid w:val="00CF3E5B"/>
    <w:rsid w:val="00D03AF8"/>
    <w:rsid w:val="00D13D33"/>
    <w:rsid w:val="00D326BC"/>
    <w:rsid w:val="00D344F3"/>
    <w:rsid w:val="00D44E63"/>
    <w:rsid w:val="00D6571F"/>
    <w:rsid w:val="00D663B2"/>
    <w:rsid w:val="00D74AC2"/>
    <w:rsid w:val="00D760F3"/>
    <w:rsid w:val="00D85FCA"/>
    <w:rsid w:val="00D8630C"/>
    <w:rsid w:val="00D87EBA"/>
    <w:rsid w:val="00D9065D"/>
    <w:rsid w:val="00D91B52"/>
    <w:rsid w:val="00DA4D21"/>
    <w:rsid w:val="00DA51FB"/>
    <w:rsid w:val="00DB2A06"/>
    <w:rsid w:val="00DB5598"/>
    <w:rsid w:val="00DB67CE"/>
    <w:rsid w:val="00DC223C"/>
    <w:rsid w:val="00DC2D0C"/>
    <w:rsid w:val="00DC5EC0"/>
    <w:rsid w:val="00DD41A4"/>
    <w:rsid w:val="00DE0367"/>
    <w:rsid w:val="00DE0EEE"/>
    <w:rsid w:val="00DE68D6"/>
    <w:rsid w:val="00DF35B6"/>
    <w:rsid w:val="00DF5734"/>
    <w:rsid w:val="00DF6652"/>
    <w:rsid w:val="00DF78A7"/>
    <w:rsid w:val="00DF79BD"/>
    <w:rsid w:val="00E01422"/>
    <w:rsid w:val="00E02A1D"/>
    <w:rsid w:val="00E215FA"/>
    <w:rsid w:val="00E25507"/>
    <w:rsid w:val="00E423C8"/>
    <w:rsid w:val="00E5239F"/>
    <w:rsid w:val="00E53AE8"/>
    <w:rsid w:val="00E57C0F"/>
    <w:rsid w:val="00E61341"/>
    <w:rsid w:val="00E61E7A"/>
    <w:rsid w:val="00E62B34"/>
    <w:rsid w:val="00E62D35"/>
    <w:rsid w:val="00E6681B"/>
    <w:rsid w:val="00E71249"/>
    <w:rsid w:val="00E7587D"/>
    <w:rsid w:val="00E808A8"/>
    <w:rsid w:val="00E81396"/>
    <w:rsid w:val="00E81E03"/>
    <w:rsid w:val="00E90053"/>
    <w:rsid w:val="00EA4AA4"/>
    <w:rsid w:val="00EA5586"/>
    <w:rsid w:val="00EC1904"/>
    <w:rsid w:val="00EC4D0A"/>
    <w:rsid w:val="00EC5074"/>
    <w:rsid w:val="00ED44A9"/>
    <w:rsid w:val="00ED6F47"/>
    <w:rsid w:val="00ED7D30"/>
    <w:rsid w:val="00EE03B0"/>
    <w:rsid w:val="00EE1606"/>
    <w:rsid w:val="00EE2674"/>
    <w:rsid w:val="00EE35CD"/>
    <w:rsid w:val="00EE5E8B"/>
    <w:rsid w:val="00EE6005"/>
    <w:rsid w:val="00EF0340"/>
    <w:rsid w:val="00EF12C8"/>
    <w:rsid w:val="00EF380F"/>
    <w:rsid w:val="00EF48AE"/>
    <w:rsid w:val="00F0110D"/>
    <w:rsid w:val="00F042AF"/>
    <w:rsid w:val="00F07937"/>
    <w:rsid w:val="00F07EBA"/>
    <w:rsid w:val="00F100DA"/>
    <w:rsid w:val="00F12629"/>
    <w:rsid w:val="00F22240"/>
    <w:rsid w:val="00F23FFB"/>
    <w:rsid w:val="00F35DB8"/>
    <w:rsid w:val="00F4266F"/>
    <w:rsid w:val="00F47827"/>
    <w:rsid w:val="00F54CDF"/>
    <w:rsid w:val="00F56E5A"/>
    <w:rsid w:val="00F7052F"/>
    <w:rsid w:val="00F80138"/>
    <w:rsid w:val="00F809E6"/>
    <w:rsid w:val="00F85635"/>
    <w:rsid w:val="00F85F33"/>
    <w:rsid w:val="00F86CF1"/>
    <w:rsid w:val="00F877EF"/>
    <w:rsid w:val="00F91583"/>
    <w:rsid w:val="00F9366D"/>
    <w:rsid w:val="00FA38E2"/>
    <w:rsid w:val="00FA612B"/>
    <w:rsid w:val="00FB074E"/>
    <w:rsid w:val="00FC056D"/>
    <w:rsid w:val="00FC06A2"/>
    <w:rsid w:val="00FC6E85"/>
    <w:rsid w:val="00FD0261"/>
    <w:rsid w:val="00FD1D28"/>
    <w:rsid w:val="00FD2D19"/>
    <w:rsid w:val="00FD56FE"/>
    <w:rsid w:val="00FD68A2"/>
    <w:rsid w:val="00FE3D0D"/>
    <w:rsid w:val="00FE3D82"/>
    <w:rsid w:val="00FF2725"/>
    <w:rsid w:val="00FF320C"/>
    <w:rsid w:val="00FF5A4B"/>
    <w:rsid w:val="00FF7A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52F2CF-0166-4B2E-BD29-A2749FCF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3B"/>
    <w:pPr>
      <w:spacing w:after="0" w:line="240" w:lineRule="auto"/>
    </w:pPr>
    <w:rPr>
      <w:rFonts w:ascii="Times New Roman" w:eastAsia="Times New Roman" w:hAnsi="Times New Roman" w:cs="Times New Roman"/>
      <w:sz w:val="24"/>
      <w:szCs w:val="24"/>
      <w:lang w:val="af-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47F"/>
    <w:pPr>
      <w:ind w:left="720"/>
      <w:contextualSpacing/>
    </w:pPr>
  </w:style>
  <w:style w:type="paragraph" w:styleId="Header">
    <w:name w:val="header"/>
    <w:basedOn w:val="Normal"/>
    <w:link w:val="HeaderChar"/>
    <w:uiPriority w:val="99"/>
    <w:unhideWhenUsed/>
    <w:rsid w:val="002F3751"/>
    <w:pPr>
      <w:tabs>
        <w:tab w:val="center" w:pos="4513"/>
        <w:tab w:val="right" w:pos="9026"/>
      </w:tabs>
    </w:pPr>
  </w:style>
  <w:style w:type="character" w:customStyle="1" w:styleId="HeaderChar">
    <w:name w:val="Header Char"/>
    <w:basedOn w:val="DefaultParagraphFont"/>
    <w:link w:val="Header"/>
    <w:uiPriority w:val="99"/>
    <w:rsid w:val="002F3751"/>
    <w:rPr>
      <w:rFonts w:ascii="Times New Roman" w:eastAsia="Times New Roman" w:hAnsi="Times New Roman" w:cs="Times New Roman"/>
      <w:sz w:val="24"/>
      <w:szCs w:val="24"/>
      <w:lang w:val="af-ZA" w:eastAsia="en-GB"/>
    </w:rPr>
  </w:style>
  <w:style w:type="paragraph" w:styleId="Footer">
    <w:name w:val="footer"/>
    <w:basedOn w:val="Normal"/>
    <w:link w:val="FooterChar"/>
    <w:uiPriority w:val="99"/>
    <w:unhideWhenUsed/>
    <w:rsid w:val="002F3751"/>
    <w:pPr>
      <w:tabs>
        <w:tab w:val="center" w:pos="4513"/>
        <w:tab w:val="right" w:pos="9026"/>
      </w:tabs>
    </w:pPr>
  </w:style>
  <w:style w:type="character" w:customStyle="1" w:styleId="FooterChar">
    <w:name w:val="Footer Char"/>
    <w:basedOn w:val="DefaultParagraphFont"/>
    <w:link w:val="Footer"/>
    <w:uiPriority w:val="99"/>
    <w:rsid w:val="002F3751"/>
    <w:rPr>
      <w:rFonts w:ascii="Times New Roman" w:eastAsia="Times New Roman" w:hAnsi="Times New Roman" w:cs="Times New Roman"/>
      <w:sz w:val="24"/>
      <w:szCs w:val="24"/>
      <w:lang w:val="af-ZA" w:eastAsia="en-GB"/>
    </w:rPr>
  </w:style>
  <w:style w:type="paragraph" w:styleId="BalloonText">
    <w:name w:val="Balloon Text"/>
    <w:basedOn w:val="Normal"/>
    <w:link w:val="BalloonTextChar"/>
    <w:uiPriority w:val="99"/>
    <w:semiHidden/>
    <w:unhideWhenUsed/>
    <w:rsid w:val="00A52625"/>
    <w:rPr>
      <w:rFonts w:ascii="Tahoma" w:hAnsi="Tahoma" w:cs="Tahoma"/>
      <w:sz w:val="16"/>
      <w:szCs w:val="16"/>
    </w:rPr>
  </w:style>
  <w:style w:type="character" w:customStyle="1" w:styleId="BalloonTextChar">
    <w:name w:val="Balloon Text Char"/>
    <w:basedOn w:val="DefaultParagraphFont"/>
    <w:link w:val="BalloonText"/>
    <w:uiPriority w:val="99"/>
    <w:semiHidden/>
    <w:rsid w:val="00A52625"/>
    <w:rPr>
      <w:rFonts w:ascii="Tahoma" w:eastAsia="Times New Roman" w:hAnsi="Tahoma" w:cs="Tahoma"/>
      <w:sz w:val="16"/>
      <w:szCs w:val="16"/>
      <w:lang w:val="af-ZA" w:eastAsia="en-GB"/>
    </w:rPr>
  </w:style>
  <w:style w:type="paragraph" w:styleId="FootnoteText">
    <w:name w:val="footnote text"/>
    <w:basedOn w:val="Normal"/>
    <w:link w:val="FootnoteTextChar"/>
    <w:uiPriority w:val="99"/>
    <w:semiHidden/>
    <w:unhideWhenUsed/>
    <w:rsid w:val="00651202"/>
    <w:rPr>
      <w:sz w:val="20"/>
      <w:szCs w:val="20"/>
    </w:rPr>
  </w:style>
  <w:style w:type="character" w:customStyle="1" w:styleId="FootnoteTextChar">
    <w:name w:val="Footnote Text Char"/>
    <w:basedOn w:val="DefaultParagraphFont"/>
    <w:link w:val="FootnoteText"/>
    <w:uiPriority w:val="99"/>
    <w:semiHidden/>
    <w:rsid w:val="00651202"/>
    <w:rPr>
      <w:rFonts w:ascii="Times New Roman" w:eastAsia="Times New Roman" w:hAnsi="Times New Roman" w:cs="Times New Roman"/>
      <w:sz w:val="20"/>
      <w:szCs w:val="20"/>
      <w:lang w:val="af-ZA" w:eastAsia="en-GB"/>
    </w:rPr>
  </w:style>
  <w:style w:type="character" w:styleId="FootnoteReference">
    <w:name w:val="footnote reference"/>
    <w:basedOn w:val="DefaultParagraphFont"/>
    <w:uiPriority w:val="99"/>
    <w:semiHidden/>
    <w:unhideWhenUsed/>
    <w:rsid w:val="00651202"/>
    <w:rPr>
      <w:vertAlign w:val="superscript"/>
    </w:rPr>
  </w:style>
  <w:style w:type="character" w:styleId="Hyperlink">
    <w:name w:val="Hyperlink"/>
    <w:basedOn w:val="DefaultParagraphFont"/>
    <w:uiPriority w:val="99"/>
    <w:semiHidden/>
    <w:unhideWhenUsed/>
    <w:rsid w:val="00EF0340"/>
    <w:rPr>
      <w:color w:val="0000FF"/>
      <w:u w:val="single"/>
    </w:rPr>
  </w:style>
  <w:style w:type="character" w:customStyle="1" w:styleId="mc">
    <w:name w:val="mc"/>
    <w:basedOn w:val="DefaultParagraphFont"/>
    <w:rsid w:val="00EF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1996">
      <w:bodyDiv w:val="1"/>
      <w:marLeft w:val="0"/>
      <w:marRight w:val="0"/>
      <w:marTop w:val="0"/>
      <w:marBottom w:val="0"/>
      <w:divBdr>
        <w:top w:val="none" w:sz="0" w:space="0" w:color="auto"/>
        <w:left w:val="none" w:sz="0" w:space="0" w:color="auto"/>
        <w:bottom w:val="none" w:sz="0" w:space="0" w:color="auto"/>
        <w:right w:val="none" w:sz="0" w:space="0" w:color="auto"/>
      </w:divBdr>
    </w:div>
    <w:div w:id="902906669">
      <w:bodyDiv w:val="1"/>
      <w:marLeft w:val="0"/>
      <w:marRight w:val="0"/>
      <w:marTop w:val="0"/>
      <w:marBottom w:val="0"/>
      <w:divBdr>
        <w:top w:val="none" w:sz="0" w:space="0" w:color="auto"/>
        <w:left w:val="none" w:sz="0" w:space="0" w:color="auto"/>
        <w:bottom w:val="none" w:sz="0" w:space="0" w:color="auto"/>
        <w:right w:val="none" w:sz="0" w:space="0" w:color="auto"/>
      </w:divBdr>
    </w:div>
    <w:div w:id="1301958604">
      <w:bodyDiv w:val="1"/>
      <w:marLeft w:val="0"/>
      <w:marRight w:val="0"/>
      <w:marTop w:val="0"/>
      <w:marBottom w:val="0"/>
      <w:divBdr>
        <w:top w:val="none" w:sz="0" w:space="0" w:color="auto"/>
        <w:left w:val="none" w:sz="0" w:space="0" w:color="auto"/>
        <w:bottom w:val="none" w:sz="0" w:space="0" w:color="auto"/>
        <w:right w:val="none" w:sz="0" w:space="0" w:color="auto"/>
      </w:divBdr>
    </w:div>
    <w:div w:id="21272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1718-A32C-446C-83DD-1A46B83C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Beket Elsa</dc:creator>
  <cp:lastModifiedBy>HOME</cp:lastModifiedBy>
  <cp:revision>2</cp:revision>
  <cp:lastPrinted>2022-08-01T12:19:00Z</cp:lastPrinted>
  <dcterms:created xsi:type="dcterms:W3CDTF">2022-08-16T14:53:00Z</dcterms:created>
  <dcterms:modified xsi:type="dcterms:W3CDTF">2022-08-16T14:53:00Z</dcterms:modified>
</cp:coreProperties>
</file>