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0614" w14:textId="77777777" w:rsidR="00801F9A" w:rsidRPr="00B70CB4" w:rsidRDefault="00801F9A" w:rsidP="00801F9A">
      <w:pPr>
        <w:spacing w:line="360" w:lineRule="auto"/>
        <w:rPr>
          <w:rFonts w:ascii="Arial" w:hAnsi="Arial" w:cs="Arial"/>
          <w:b/>
          <w:sz w:val="28"/>
          <w:szCs w:val="28"/>
          <w:u w:val="single"/>
        </w:rPr>
      </w:pPr>
    </w:p>
    <w:p w14:paraId="7E002C1E" w14:textId="77777777" w:rsidR="00801F9A" w:rsidRPr="00B70CB4" w:rsidRDefault="00801F9A" w:rsidP="00801F9A">
      <w:pPr>
        <w:spacing w:line="360" w:lineRule="auto"/>
        <w:jc w:val="center"/>
        <w:rPr>
          <w:rFonts w:ascii="Arial" w:hAnsi="Arial" w:cs="Arial"/>
          <w:b/>
          <w:sz w:val="28"/>
          <w:szCs w:val="28"/>
          <w:u w:val="single"/>
        </w:rPr>
      </w:pPr>
      <w:r w:rsidRPr="00B70CB4">
        <w:rPr>
          <w:rFonts w:ascii="Arial" w:hAnsi="Arial" w:cs="Arial"/>
          <w:noProof/>
          <w:sz w:val="28"/>
          <w:szCs w:val="28"/>
          <w:lang w:eastAsia="en-ZA"/>
        </w:rPr>
        <w:drawing>
          <wp:anchor distT="0" distB="0" distL="114300" distR="114300" simplePos="0" relativeHeight="251659264" behindDoc="0" locked="0" layoutInCell="1" allowOverlap="1" wp14:anchorId="4C9B0788" wp14:editId="727CCBB6">
            <wp:simplePos x="0" y="0"/>
            <wp:positionH relativeFrom="margin">
              <wp:posOffset>2452370</wp:posOffset>
            </wp:positionH>
            <wp:positionV relativeFrom="paragraph">
              <wp:posOffset>-993775</wp:posOffset>
            </wp:positionV>
            <wp:extent cx="1436370" cy="1436370"/>
            <wp:effectExtent l="0" t="0" r="0" b="0"/>
            <wp:wrapNone/>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436370" cy="1436370"/>
                    </a:xfrm>
                    <a:prstGeom prst="rect">
                      <a:avLst/>
                    </a:prstGeom>
                    <a:noFill/>
                    <a:ln>
                      <a:noFill/>
                    </a:ln>
                  </pic:spPr>
                </pic:pic>
              </a:graphicData>
            </a:graphic>
          </wp:anchor>
        </w:drawing>
      </w:r>
    </w:p>
    <w:p w14:paraId="67A968AB" w14:textId="77777777" w:rsidR="00801F9A" w:rsidRPr="00B70CB4" w:rsidRDefault="00801F9A" w:rsidP="00801F9A">
      <w:pPr>
        <w:spacing w:line="360" w:lineRule="auto"/>
        <w:rPr>
          <w:rFonts w:ascii="Arial" w:hAnsi="Arial" w:cs="Arial"/>
          <w:b/>
          <w:sz w:val="28"/>
          <w:szCs w:val="28"/>
          <w:u w:val="single"/>
        </w:rPr>
      </w:pPr>
    </w:p>
    <w:p w14:paraId="69214601" w14:textId="77777777" w:rsidR="00801F9A" w:rsidRPr="00801F9A" w:rsidRDefault="00801F9A" w:rsidP="00801F9A">
      <w:pPr>
        <w:spacing w:line="360" w:lineRule="auto"/>
        <w:rPr>
          <w:rFonts w:ascii="Arial" w:hAnsi="Arial" w:cs="Arial"/>
          <w:b/>
          <w:sz w:val="24"/>
          <w:szCs w:val="24"/>
          <w:u w:val="single"/>
        </w:rPr>
      </w:pPr>
      <w:r w:rsidRPr="00F91942">
        <w:rPr>
          <w:rFonts w:ascii="Arial" w:hAnsi="Arial" w:cs="Arial"/>
          <w:b/>
          <w:sz w:val="28"/>
          <w:szCs w:val="28"/>
        </w:rPr>
        <w:t xml:space="preserve">                      </w:t>
      </w:r>
      <w:r>
        <w:rPr>
          <w:rFonts w:ascii="Arial" w:hAnsi="Arial" w:cs="Arial"/>
          <w:b/>
          <w:sz w:val="28"/>
          <w:szCs w:val="28"/>
        </w:rPr>
        <w:t xml:space="preserve">     </w:t>
      </w:r>
      <w:r w:rsidRPr="00801F9A">
        <w:rPr>
          <w:rFonts w:ascii="Arial" w:hAnsi="Arial" w:cs="Arial"/>
          <w:b/>
          <w:sz w:val="24"/>
          <w:szCs w:val="24"/>
          <w:u w:val="single"/>
        </w:rPr>
        <w:t>IN THE HIGH COURT OF SOUTH AFRICA</w:t>
      </w:r>
    </w:p>
    <w:p w14:paraId="3C87850E" w14:textId="77777777" w:rsidR="00801F9A" w:rsidRPr="00801F9A" w:rsidRDefault="00801F9A" w:rsidP="00801F9A">
      <w:pPr>
        <w:spacing w:line="360" w:lineRule="auto"/>
        <w:rPr>
          <w:rFonts w:ascii="Arial" w:hAnsi="Arial" w:cs="Arial"/>
          <w:b/>
          <w:sz w:val="24"/>
          <w:szCs w:val="24"/>
          <w:u w:val="single"/>
        </w:rPr>
      </w:pPr>
      <w:r w:rsidRPr="00801F9A">
        <w:rPr>
          <w:rFonts w:ascii="Arial" w:hAnsi="Arial" w:cs="Arial"/>
          <w:b/>
          <w:sz w:val="24"/>
          <w:szCs w:val="24"/>
        </w:rPr>
        <w:t xml:space="preserve">                           </w:t>
      </w:r>
      <w:r w:rsidRPr="00801F9A">
        <w:rPr>
          <w:rFonts w:ascii="Arial" w:hAnsi="Arial" w:cs="Arial"/>
          <w:b/>
          <w:sz w:val="24"/>
          <w:szCs w:val="24"/>
          <w:u w:val="single"/>
        </w:rPr>
        <w:t>FREE STATE DIVISION, BLOEMFONTEIN</w:t>
      </w:r>
    </w:p>
    <w:tbl>
      <w:tblPr>
        <w:tblpPr w:leftFromText="180" w:rightFromText="180" w:vertAnchor="text" w:horzAnchor="margin" w:tblpXSpec="right" w:tblpY="5"/>
        <w:tblW w:w="3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EE77AB" w14:paraId="08297C77" w14:textId="77777777" w:rsidTr="00EE77AB">
        <w:trPr>
          <w:trHeight w:val="750"/>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15B1C7A2" w14:textId="77777777" w:rsidR="00EE77AB" w:rsidRDefault="00EE77AB" w:rsidP="00EE77AB">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14:paraId="60444660" w14:textId="77777777" w:rsidR="00EE77AB" w:rsidRDefault="00EE77AB" w:rsidP="00EE77AB">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14:paraId="364CB761" w14:textId="77777777" w:rsidR="00EE77AB" w:rsidRDefault="00EE77AB" w:rsidP="00EE77AB">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3823CA4C" w14:textId="77777777" w:rsidR="00EE77AB" w:rsidRDefault="00EE77AB" w:rsidP="00EE77AB">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14:paraId="50149914" w14:textId="77777777" w:rsidR="00EE77AB" w:rsidRDefault="00EE77AB" w:rsidP="00EE77AB">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14:paraId="41417B71" w14:textId="77777777" w:rsidR="00EE77AB" w:rsidRDefault="00EE77AB" w:rsidP="00EE77AB">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14:paraId="59949BFA" w14:textId="77777777" w:rsidR="00EE77AB" w:rsidRDefault="00801F9A" w:rsidP="00801F9A">
      <w:pPr>
        <w:spacing w:line="360" w:lineRule="auto"/>
        <w:rPr>
          <w:rFonts w:ascii="Arial" w:hAnsi="Arial" w:cs="Arial"/>
          <w:sz w:val="24"/>
          <w:szCs w:val="24"/>
        </w:rPr>
      </w:pPr>
      <w:r w:rsidRPr="00801F9A">
        <w:rPr>
          <w:rFonts w:ascii="Arial" w:hAnsi="Arial" w:cs="Arial"/>
          <w:sz w:val="24"/>
          <w:szCs w:val="24"/>
        </w:rPr>
        <w:t xml:space="preserve">                                                                                 </w:t>
      </w:r>
    </w:p>
    <w:p w14:paraId="53C201B1" w14:textId="77777777" w:rsidR="00EE77AB" w:rsidRDefault="00EE77AB" w:rsidP="00801F9A">
      <w:pPr>
        <w:spacing w:line="360" w:lineRule="auto"/>
        <w:rPr>
          <w:rFonts w:ascii="Arial" w:hAnsi="Arial" w:cs="Arial"/>
          <w:sz w:val="24"/>
          <w:szCs w:val="24"/>
        </w:rPr>
      </w:pPr>
    </w:p>
    <w:p w14:paraId="09CA3E39" w14:textId="77777777" w:rsidR="00EE77AB" w:rsidRDefault="00EE77AB" w:rsidP="00EE77AB">
      <w:pPr>
        <w:spacing w:line="360" w:lineRule="auto"/>
        <w:ind w:left="6480"/>
        <w:rPr>
          <w:rFonts w:ascii="Arial" w:hAnsi="Arial" w:cs="Arial"/>
          <w:sz w:val="24"/>
          <w:szCs w:val="24"/>
        </w:rPr>
      </w:pPr>
    </w:p>
    <w:p w14:paraId="36084B1E" w14:textId="3A988F9D" w:rsidR="00801F9A" w:rsidRPr="00EE77AB" w:rsidRDefault="00801F9A" w:rsidP="00EE77AB">
      <w:pPr>
        <w:spacing w:line="360" w:lineRule="auto"/>
        <w:ind w:left="6480"/>
        <w:rPr>
          <w:rFonts w:ascii="Arial" w:hAnsi="Arial" w:cs="Arial"/>
          <w:b/>
          <w:bCs/>
          <w:sz w:val="24"/>
          <w:szCs w:val="24"/>
        </w:rPr>
      </w:pPr>
      <w:r w:rsidRPr="00EE77AB">
        <w:rPr>
          <w:rFonts w:ascii="Arial" w:hAnsi="Arial" w:cs="Arial"/>
          <w:b/>
          <w:bCs/>
          <w:sz w:val="24"/>
          <w:szCs w:val="24"/>
        </w:rPr>
        <w:t>Case No: 4884/2021</w:t>
      </w:r>
    </w:p>
    <w:p w14:paraId="7736A05A" w14:textId="77777777" w:rsidR="00801F9A" w:rsidRPr="00801F9A" w:rsidRDefault="00801F9A" w:rsidP="00801F9A">
      <w:pPr>
        <w:spacing w:line="360" w:lineRule="auto"/>
        <w:rPr>
          <w:rFonts w:ascii="Arial" w:hAnsi="Arial" w:cs="Arial"/>
          <w:sz w:val="24"/>
          <w:szCs w:val="24"/>
        </w:rPr>
      </w:pPr>
      <w:r w:rsidRPr="00801F9A">
        <w:rPr>
          <w:rFonts w:ascii="Arial" w:hAnsi="Arial" w:cs="Arial"/>
          <w:sz w:val="24"/>
          <w:szCs w:val="24"/>
        </w:rPr>
        <w:t xml:space="preserve">                                                        </w:t>
      </w:r>
    </w:p>
    <w:p w14:paraId="05B29077" w14:textId="77777777" w:rsidR="00801F9A" w:rsidRPr="00801F9A" w:rsidRDefault="00801F9A" w:rsidP="00801F9A">
      <w:pPr>
        <w:spacing w:line="360" w:lineRule="auto"/>
        <w:rPr>
          <w:rFonts w:ascii="Arial" w:hAnsi="Arial" w:cs="Arial"/>
          <w:sz w:val="24"/>
          <w:szCs w:val="24"/>
        </w:rPr>
      </w:pPr>
      <w:r w:rsidRPr="00801F9A">
        <w:rPr>
          <w:rFonts w:ascii="Arial" w:hAnsi="Arial" w:cs="Arial"/>
          <w:sz w:val="24"/>
          <w:szCs w:val="24"/>
        </w:rPr>
        <w:t>In the matter between:</w:t>
      </w:r>
    </w:p>
    <w:p w14:paraId="2E5CCAC5" w14:textId="77777777" w:rsidR="00801F9A" w:rsidRPr="00801F9A" w:rsidRDefault="00801F9A" w:rsidP="00801F9A">
      <w:pPr>
        <w:spacing w:line="360" w:lineRule="auto"/>
        <w:rPr>
          <w:rFonts w:ascii="Arial" w:hAnsi="Arial" w:cs="Arial"/>
          <w:b/>
          <w:sz w:val="24"/>
          <w:szCs w:val="24"/>
        </w:rPr>
      </w:pPr>
      <w:r w:rsidRPr="00801F9A">
        <w:rPr>
          <w:rFonts w:ascii="Arial" w:hAnsi="Arial" w:cs="Arial"/>
          <w:b/>
          <w:sz w:val="24"/>
          <w:szCs w:val="24"/>
        </w:rPr>
        <w:t>JUDITH MOLEFE</w:t>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Pr>
          <w:rFonts w:ascii="Arial" w:hAnsi="Arial" w:cs="Arial"/>
          <w:b/>
          <w:sz w:val="24"/>
          <w:szCs w:val="24"/>
        </w:rPr>
        <w:tab/>
      </w:r>
      <w:r w:rsidRPr="00801F9A">
        <w:rPr>
          <w:rFonts w:ascii="Arial" w:hAnsi="Arial" w:cs="Arial"/>
          <w:b/>
          <w:sz w:val="24"/>
          <w:szCs w:val="24"/>
        </w:rPr>
        <w:t>1</w:t>
      </w:r>
      <w:r w:rsidRPr="00801F9A">
        <w:rPr>
          <w:rFonts w:ascii="Arial" w:hAnsi="Arial" w:cs="Arial"/>
          <w:b/>
          <w:sz w:val="24"/>
          <w:szCs w:val="24"/>
          <w:vertAlign w:val="superscript"/>
        </w:rPr>
        <w:t>st</w:t>
      </w:r>
      <w:r w:rsidRPr="00801F9A">
        <w:rPr>
          <w:rFonts w:ascii="Arial" w:hAnsi="Arial" w:cs="Arial"/>
          <w:b/>
          <w:sz w:val="24"/>
          <w:szCs w:val="24"/>
        </w:rPr>
        <w:t xml:space="preserve"> Applicant</w:t>
      </w:r>
    </w:p>
    <w:p w14:paraId="38DBC17B" w14:textId="77777777" w:rsidR="00801F9A" w:rsidRPr="00801F9A" w:rsidRDefault="00801F9A" w:rsidP="00801F9A">
      <w:pPr>
        <w:spacing w:line="360" w:lineRule="auto"/>
        <w:rPr>
          <w:rFonts w:ascii="Arial" w:hAnsi="Arial" w:cs="Arial"/>
          <w:b/>
          <w:sz w:val="24"/>
          <w:szCs w:val="24"/>
        </w:rPr>
      </w:pPr>
      <w:r w:rsidRPr="00801F9A">
        <w:rPr>
          <w:rFonts w:ascii="Arial" w:hAnsi="Arial" w:cs="Arial"/>
          <w:b/>
          <w:sz w:val="24"/>
          <w:szCs w:val="24"/>
        </w:rPr>
        <w:t>GLORIA MOLEFE</w:t>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Pr>
          <w:rFonts w:ascii="Arial" w:hAnsi="Arial" w:cs="Arial"/>
          <w:b/>
          <w:sz w:val="24"/>
          <w:szCs w:val="24"/>
        </w:rPr>
        <w:tab/>
      </w:r>
      <w:r w:rsidRPr="00801F9A">
        <w:rPr>
          <w:rFonts w:ascii="Arial" w:hAnsi="Arial" w:cs="Arial"/>
          <w:b/>
          <w:sz w:val="24"/>
          <w:szCs w:val="24"/>
        </w:rPr>
        <w:t>2</w:t>
      </w:r>
      <w:r w:rsidRPr="00801F9A">
        <w:rPr>
          <w:rFonts w:ascii="Arial" w:hAnsi="Arial" w:cs="Arial"/>
          <w:b/>
          <w:sz w:val="24"/>
          <w:szCs w:val="24"/>
          <w:vertAlign w:val="superscript"/>
        </w:rPr>
        <w:t>nd</w:t>
      </w:r>
      <w:r w:rsidRPr="00801F9A">
        <w:rPr>
          <w:rFonts w:ascii="Arial" w:hAnsi="Arial" w:cs="Arial"/>
          <w:b/>
          <w:sz w:val="24"/>
          <w:szCs w:val="24"/>
        </w:rPr>
        <w:t xml:space="preserve"> Applicant</w:t>
      </w:r>
    </w:p>
    <w:p w14:paraId="619A6452" w14:textId="77777777" w:rsidR="00801F9A" w:rsidRPr="00801F9A" w:rsidRDefault="00801F9A" w:rsidP="00801F9A">
      <w:pPr>
        <w:spacing w:line="360" w:lineRule="auto"/>
        <w:rPr>
          <w:rFonts w:ascii="Arial" w:hAnsi="Arial" w:cs="Arial"/>
          <w:b/>
          <w:sz w:val="24"/>
          <w:szCs w:val="24"/>
        </w:rPr>
      </w:pPr>
      <w:r w:rsidRPr="00801F9A">
        <w:rPr>
          <w:rFonts w:ascii="Arial" w:hAnsi="Arial" w:cs="Arial"/>
          <w:b/>
          <w:sz w:val="24"/>
          <w:szCs w:val="24"/>
        </w:rPr>
        <w:t>MMANNINI NOTSI</w:t>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Pr>
          <w:rFonts w:ascii="Arial" w:hAnsi="Arial" w:cs="Arial"/>
          <w:b/>
          <w:sz w:val="24"/>
          <w:szCs w:val="24"/>
        </w:rPr>
        <w:tab/>
      </w:r>
      <w:r w:rsidRPr="00801F9A">
        <w:rPr>
          <w:rFonts w:ascii="Arial" w:hAnsi="Arial" w:cs="Arial"/>
          <w:b/>
          <w:sz w:val="24"/>
          <w:szCs w:val="24"/>
        </w:rPr>
        <w:t>3</w:t>
      </w:r>
      <w:r w:rsidRPr="00801F9A">
        <w:rPr>
          <w:rFonts w:ascii="Arial" w:hAnsi="Arial" w:cs="Arial"/>
          <w:b/>
          <w:sz w:val="24"/>
          <w:szCs w:val="24"/>
          <w:vertAlign w:val="superscript"/>
        </w:rPr>
        <w:t>rd</w:t>
      </w:r>
      <w:r w:rsidRPr="00801F9A">
        <w:rPr>
          <w:rFonts w:ascii="Arial" w:hAnsi="Arial" w:cs="Arial"/>
          <w:b/>
          <w:sz w:val="24"/>
          <w:szCs w:val="24"/>
        </w:rPr>
        <w:t xml:space="preserve"> Applicant</w:t>
      </w:r>
    </w:p>
    <w:p w14:paraId="7B07996B" w14:textId="77777777" w:rsidR="00801F9A" w:rsidRPr="00801F9A" w:rsidRDefault="00801F9A" w:rsidP="00801F9A">
      <w:pPr>
        <w:spacing w:line="360" w:lineRule="auto"/>
        <w:rPr>
          <w:rFonts w:ascii="Arial" w:hAnsi="Arial" w:cs="Arial"/>
          <w:b/>
          <w:sz w:val="24"/>
          <w:szCs w:val="24"/>
        </w:rPr>
      </w:pPr>
      <w:r w:rsidRPr="00801F9A">
        <w:rPr>
          <w:rFonts w:ascii="Arial" w:hAnsi="Arial" w:cs="Arial"/>
          <w:b/>
          <w:sz w:val="24"/>
          <w:szCs w:val="24"/>
        </w:rPr>
        <w:t>LEHLOHONOLO MOLIKO</w:t>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t>4</w:t>
      </w:r>
      <w:r w:rsidRPr="00801F9A">
        <w:rPr>
          <w:rFonts w:ascii="Arial" w:hAnsi="Arial" w:cs="Arial"/>
          <w:b/>
          <w:sz w:val="24"/>
          <w:szCs w:val="24"/>
          <w:vertAlign w:val="superscript"/>
        </w:rPr>
        <w:t>th</w:t>
      </w:r>
      <w:r w:rsidRPr="00801F9A">
        <w:rPr>
          <w:rFonts w:ascii="Arial" w:hAnsi="Arial" w:cs="Arial"/>
          <w:b/>
          <w:sz w:val="24"/>
          <w:szCs w:val="24"/>
        </w:rPr>
        <w:t xml:space="preserve"> Applicant</w:t>
      </w:r>
    </w:p>
    <w:p w14:paraId="6D9592D5" w14:textId="77777777" w:rsidR="00801F9A" w:rsidRPr="00801F9A" w:rsidRDefault="00801F9A" w:rsidP="00801F9A">
      <w:pPr>
        <w:spacing w:line="360" w:lineRule="auto"/>
        <w:rPr>
          <w:rFonts w:ascii="Arial" w:hAnsi="Arial" w:cs="Arial"/>
          <w:sz w:val="24"/>
          <w:szCs w:val="24"/>
        </w:rPr>
      </w:pPr>
      <w:r w:rsidRPr="00801F9A">
        <w:rPr>
          <w:rFonts w:ascii="Arial" w:hAnsi="Arial" w:cs="Arial"/>
          <w:sz w:val="24"/>
          <w:szCs w:val="24"/>
        </w:rPr>
        <w:t xml:space="preserve">and </w:t>
      </w:r>
    </w:p>
    <w:p w14:paraId="1E2EE40D" w14:textId="77777777" w:rsidR="00801F9A" w:rsidRPr="00801F9A" w:rsidRDefault="00801F9A" w:rsidP="00801F9A">
      <w:pPr>
        <w:spacing w:line="360" w:lineRule="auto"/>
        <w:rPr>
          <w:rFonts w:ascii="Arial" w:hAnsi="Arial" w:cs="Arial"/>
          <w:b/>
          <w:sz w:val="24"/>
          <w:szCs w:val="24"/>
        </w:rPr>
      </w:pPr>
      <w:r w:rsidRPr="00801F9A">
        <w:rPr>
          <w:rFonts w:ascii="Arial" w:hAnsi="Arial" w:cs="Arial"/>
          <w:b/>
          <w:sz w:val="24"/>
          <w:szCs w:val="24"/>
        </w:rPr>
        <w:t xml:space="preserve">THE EXECUTOR: ESTATE LATE EDGAR </w:t>
      </w:r>
    </w:p>
    <w:p w14:paraId="07EF8524" w14:textId="77777777" w:rsidR="00801F9A" w:rsidRPr="00801F9A" w:rsidRDefault="00801F9A" w:rsidP="00801F9A">
      <w:pPr>
        <w:spacing w:line="360" w:lineRule="auto"/>
        <w:rPr>
          <w:rFonts w:ascii="Arial" w:hAnsi="Arial" w:cs="Arial"/>
          <w:b/>
          <w:sz w:val="24"/>
          <w:szCs w:val="24"/>
        </w:rPr>
      </w:pPr>
      <w:r w:rsidRPr="00801F9A">
        <w:rPr>
          <w:rFonts w:ascii="Arial" w:hAnsi="Arial" w:cs="Arial"/>
          <w:b/>
          <w:sz w:val="24"/>
          <w:szCs w:val="24"/>
        </w:rPr>
        <w:t>MOLEFE</w:t>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t>1</w:t>
      </w:r>
      <w:r w:rsidRPr="00801F9A">
        <w:rPr>
          <w:rFonts w:ascii="Arial" w:hAnsi="Arial" w:cs="Arial"/>
          <w:b/>
          <w:sz w:val="24"/>
          <w:szCs w:val="24"/>
          <w:vertAlign w:val="superscript"/>
        </w:rPr>
        <w:t>st</w:t>
      </w:r>
      <w:r w:rsidRPr="00801F9A">
        <w:rPr>
          <w:rFonts w:ascii="Arial" w:hAnsi="Arial" w:cs="Arial"/>
          <w:b/>
          <w:sz w:val="24"/>
          <w:szCs w:val="24"/>
        </w:rPr>
        <w:t xml:space="preserve"> Respondent</w:t>
      </w:r>
    </w:p>
    <w:p w14:paraId="0AD37552" w14:textId="77777777" w:rsidR="00801F9A" w:rsidRPr="00801F9A" w:rsidRDefault="00801F9A" w:rsidP="00801F9A">
      <w:pPr>
        <w:spacing w:line="360" w:lineRule="auto"/>
        <w:rPr>
          <w:rFonts w:ascii="Arial" w:hAnsi="Arial" w:cs="Arial"/>
          <w:b/>
          <w:sz w:val="24"/>
          <w:szCs w:val="24"/>
        </w:rPr>
      </w:pPr>
      <w:r w:rsidRPr="00801F9A">
        <w:rPr>
          <w:rFonts w:ascii="Arial" w:hAnsi="Arial" w:cs="Arial"/>
          <w:b/>
          <w:sz w:val="24"/>
          <w:szCs w:val="24"/>
        </w:rPr>
        <w:t>THANDIWE MOLEFE</w:t>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t>2</w:t>
      </w:r>
      <w:r w:rsidRPr="00801F9A">
        <w:rPr>
          <w:rFonts w:ascii="Arial" w:hAnsi="Arial" w:cs="Arial"/>
          <w:b/>
          <w:sz w:val="24"/>
          <w:szCs w:val="24"/>
          <w:vertAlign w:val="superscript"/>
        </w:rPr>
        <w:t>nd</w:t>
      </w:r>
      <w:r w:rsidRPr="00801F9A">
        <w:rPr>
          <w:rFonts w:ascii="Arial" w:hAnsi="Arial" w:cs="Arial"/>
          <w:b/>
          <w:sz w:val="24"/>
          <w:szCs w:val="24"/>
        </w:rPr>
        <w:t xml:space="preserve"> Respondent</w:t>
      </w:r>
    </w:p>
    <w:p w14:paraId="6D4889F4" w14:textId="77777777" w:rsidR="00801F9A" w:rsidRPr="00801F9A" w:rsidRDefault="00801F9A" w:rsidP="00801F9A">
      <w:pPr>
        <w:spacing w:line="360" w:lineRule="auto"/>
        <w:rPr>
          <w:rFonts w:ascii="Arial" w:hAnsi="Arial" w:cs="Arial"/>
          <w:b/>
          <w:sz w:val="24"/>
          <w:szCs w:val="24"/>
        </w:rPr>
      </w:pPr>
      <w:r w:rsidRPr="00801F9A">
        <w:rPr>
          <w:rFonts w:ascii="Arial" w:hAnsi="Arial" w:cs="Arial"/>
          <w:b/>
          <w:sz w:val="24"/>
          <w:szCs w:val="24"/>
        </w:rPr>
        <w:t>REGISTRAR OF DEEDS: BLOEMFONTEIN</w:t>
      </w:r>
      <w:r w:rsidRPr="00801F9A">
        <w:rPr>
          <w:rFonts w:ascii="Arial" w:hAnsi="Arial" w:cs="Arial"/>
          <w:b/>
          <w:sz w:val="24"/>
          <w:szCs w:val="24"/>
        </w:rPr>
        <w:tab/>
      </w:r>
      <w:r w:rsidRPr="00801F9A">
        <w:rPr>
          <w:rFonts w:ascii="Arial" w:hAnsi="Arial" w:cs="Arial"/>
          <w:b/>
          <w:sz w:val="24"/>
          <w:szCs w:val="24"/>
        </w:rPr>
        <w:tab/>
      </w:r>
      <w:r>
        <w:rPr>
          <w:rFonts w:ascii="Arial" w:hAnsi="Arial" w:cs="Arial"/>
          <w:b/>
          <w:sz w:val="24"/>
          <w:szCs w:val="24"/>
        </w:rPr>
        <w:tab/>
      </w:r>
      <w:r w:rsidRPr="00801F9A">
        <w:rPr>
          <w:rFonts w:ascii="Arial" w:hAnsi="Arial" w:cs="Arial"/>
          <w:b/>
          <w:sz w:val="24"/>
          <w:szCs w:val="24"/>
        </w:rPr>
        <w:t>3</w:t>
      </w:r>
      <w:r w:rsidRPr="00801F9A">
        <w:rPr>
          <w:rFonts w:ascii="Arial" w:hAnsi="Arial" w:cs="Arial"/>
          <w:b/>
          <w:sz w:val="24"/>
          <w:szCs w:val="24"/>
          <w:vertAlign w:val="superscript"/>
        </w:rPr>
        <w:t>rd</w:t>
      </w:r>
      <w:r w:rsidRPr="00801F9A">
        <w:rPr>
          <w:rFonts w:ascii="Arial" w:hAnsi="Arial" w:cs="Arial"/>
          <w:b/>
          <w:sz w:val="24"/>
          <w:szCs w:val="24"/>
        </w:rPr>
        <w:t xml:space="preserve"> Respondent</w:t>
      </w:r>
    </w:p>
    <w:p w14:paraId="12E13434" w14:textId="77777777" w:rsidR="00801F9A" w:rsidRPr="00801F9A" w:rsidRDefault="00801F9A" w:rsidP="00801F9A">
      <w:pPr>
        <w:spacing w:line="360" w:lineRule="auto"/>
        <w:rPr>
          <w:rFonts w:ascii="Arial" w:hAnsi="Arial" w:cs="Arial"/>
          <w:b/>
          <w:sz w:val="24"/>
          <w:szCs w:val="24"/>
        </w:rPr>
      </w:pPr>
      <w:r w:rsidRPr="00801F9A">
        <w:rPr>
          <w:rFonts w:ascii="Arial" w:hAnsi="Arial" w:cs="Arial"/>
          <w:b/>
          <w:sz w:val="24"/>
          <w:szCs w:val="24"/>
        </w:rPr>
        <w:t>_________________________________________________________</w:t>
      </w:r>
      <w:r>
        <w:rPr>
          <w:rFonts w:ascii="Arial" w:hAnsi="Arial" w:cs="Arial"/>
          <w:b/>
          <w:sz w:val="24"/>
          <w:szCs w:val="24"/>
        </w:rPr>
        <w:t>__________</w:t>
      </w:r>
      <w:r w:rsidRPr="00801F9A">
        <w:rPr>
          <w:rFonts w:ascii="Arial" w:hAnsi="Arial" w:cs="Arial"/>
          <w:b/>
          <w:sz w:val="24"/>
          <w:szCs w:val="24"/>
        </w:rPr>
        <w:t xml:space="preserve">            </w:t>
      </w:r>
    </w:p>
    <w:p w14:paraId="649C6B5B" w14:textId="77777777" w:rsidR="00801F9A" w:rsidRDefault="00801F9A" w:rsidP="00801F9A">
      <w:pPr>
        <w:spacing w:line="360" w:lineRule="auto"/>
        <w:rPr>
          <w:rFonts w:ascii="Arial" w:hAnsi="Arial" w:cs="Arial"/>
          <w:b/>
          <w:sz w:val="24"/>
          <w:szCs w:val="24"/>
        </w:rPr>
      </w:pPr>
      <w:r w:rsidRPr="00801F9A">
        <w:rPr>
          <w:rFonts w:ascii="Arial" w:hAnsi="Arial" w:cs="Arial"/>
          <w:b/>
          <w:sz w:val="24"/>
          <w:szCs w:val="24"/>
          <w:u w:val="single"/>
        </w:rPr>
        <w:t>BEFORE</w:t>
      </w:r>
      <w:r w:rsidRPr="00801F9A">
        <w:rPr>
          <w:rFonts w:ascii="Arial" w:hAnsi="Arial" w:cs="Arial"/>
          <w:b/>
          <w:sz w:val="24"/>
          <w:szCs w:val="24"/>
        </w:rPr>
        <w:t xml:space="preserve">: </w:t>
      </w:r>
      <w:r w:rsidRPr="00801F9A">
        <w:rPr>
          <w:rFonts w:ascii="Arial" w:hAnsi="Arial" w:cs="Arial"/>
          <w:b/>
          <w:sz w:val="24"/>
          <w:szCs w:val="24"/>
        </w:rPr>
        <w:tab/>
      </w:r>
      <w:r w:rsidRPr="00801F9A">
        <w:rPr>
          <w:rFonts w:ascii="Arial" w:hAnsi="Arial" w:cs="Arial"/>
          <w:b/>
          <w:sz w:val="24"/>
          <w:szCs w:val="24"/>
        </w:rPr>
        <w:tab/>
      </w:r>
      <w:r w:rsidRPr="00801F9A">
        <w:rPr>
          <w:rFonts w:ascii="Arial" w:hAnsi="Arial" w:cs="Arial"/>
          <w:b/>
          <w:sz w:val="24"/>
          <w:szCs w:val="24"/>
        </w:rPr>
        <w:tab/>
        <w:t xml:space="preserve"> </w:t>
      </w:r>
      <w:r w:rsidRPr="00801F9A">
        <w:rPr>
          <w:rFonts w:ascii="Arial" w:hAnsi="Arial" w:cs="Arial"/>
          <w:sz w:val="24"/>
          <w:szCs w:val="24"/>
        </w:rPr>
        <w:t xml:space="preserve">CHESIWE J </w:t>
      </w:r>
      <w:r w:rsidRPr="00801F9A">
        <w:rPr>
          <w:rFonts w:ascii="Arial" w:hAnsi="Arial" w:cs="Arial"/>
          <w:b/>
          <w:sz w:val="24"/>
          <w:szCs w:val="24"/>
        </w:rPr>
        <w:t>_________________________________________________________</w:t>
      </w:r>
      <w:r>
        <w:rPr>
          <w:rFonts w:ascii="Arial" w:hAnsi="Arial" w:cs="Arial"/>
          <w:b/>
          <w:sz w:val="24"/>
          <w:szCs w:val="24"/>
        </w:rPr>
        <w:t>__________</w:t>
      </w:r>
    </w:p>
    <w:p w14:paraId="5FCF724D" w14:textId="77777777" w:rsidR="00801F9A" w:rsidRPr="00801F9A" w:rsidRDefault="00801F9A" w:rsidP="00801F9A">
      <w:pPr>
        <w:spacing w:line="360" w:lineRule="auto"/>
        <w:rPr>
          <w:rFonts w:ascii="Arial" w:hAnsi="Arial" w:cs="Arial"/>
          <w:sz w:val="24"/>
          <w:szCs w:val="24"/>
        </w:rPr>
      </w:pPr>
      <w:r w:rsidRPr="00801F9A">
        <w:rPr>
          <w:rFonts w:ascii="Arial" w:hAnsi="Arial" w:cs="Arial"/>
          <w:b/>
          <w:sz w:val="24"/>
          <w:szCs w:val="24"/>
          <w:u w:val="single"/>
        </w:rPr>
        <w:t>HEARD ON</w:t>
      </w:r>
      <w:r w:rsidRPr="00801F9A">
        <w:rPr>
          <w:rFonts w:ascii="Arial" w:hAnsi="Arial" w:cs="Arial"/>
          <w:b/>
          <w:sz w:val="24"/>
          <w:szCs w:val="24"/>
        </w:rPr>
        <w:t xml:space="preserve">: </w:t>
      </w:r>
      <w:r w:rsidRPr="00801F9A">
        <w:rPr>
          <w:rFonts w:ascii="Arial" w:hAnsi="Arial" w:cs="Arial"/>
          <w:b/>
          <w:sz w:val="24"/>
          <w:szCs w:val="24"/>
        </w:rPr>
        <w:tab/>
      </w:r>
      <w:r w:rsidRPr="00801F9A">
        <w:rPr>
          <w:rFonts w:ascii="Arial" w:hAnsi="Arial" w:cs="Arial"/>
          <w:b/>
          <w:sz w:val="24"/>
          <w:szCs w:val="24"/>
        </w:rPr>
        <w:tab/>
        <w:t xml:space="preserve"> </w:t>
      </w:r>
      <w:r>
        <w:rPr>
          <w:rFonts w:ascii="Arial" w:hAnsi="Arial" w:cs="Arial"/>
          <w:b/>
          <w:sz w:val="24"/>
          <w:szCs w:val="24"/>
        </w:rPr>
        <w:tab/>
      </w:r>
      <w:r>
        <w:rPr>
          <w:rFonts w:ascii="Arial" w:hAnsi="Arial" w:cs="Arial"/>
          <w:sz w:val="24"/>
          <w:szCs w:val="24"/>
        </w:rPr>
        <w:t>12 MAY 2022</w:t>
      </w:r>
      <w:r w:rsidRPr="00801F9A">
        <w:rPr>
          <w:rFonts w:ascii="Arial" w:hAnsi="Arial" w:cs="Arial"/>
          <w:b/>
          <w:sz w:val="24"/>
          <w:szCs w:val="24"/>
        </w:rPr>
        <w:t xml:space="preserve"> _________________________________________________________</w:t>
      </w:r>
      <w:r>
        <w:rPr>
          <w:rFonts w:ascii="Arial" w:hAnsi="Arial" w:cs="Arial"/>
          <w:b/>
          <w:sz w:val="24"/>
          <w:szCs w:val="24"/>
        </w:rPr>
        <w:t>__________</w:t>
      </w:r>
    </w:p>
    <w:p w14:paraId="3460D18F" w14:textId="104B39D9" w:rsidR="00801F9A" w:rsidRPr="00801F9A" w:rsidRDefault="00801F9A" w:rsidP="00801F9A">
      <w:pPr>
        <w:pBdr>
          <w:bottom w:val="single" w:sz="12" w:space="1" w:color="auto"/>
        </w:pBdr>
        <w:spacing w:line="360" w:lineRule="auto"/>
        <w:rPr>
          <w:rFonts w:ascii="Arial" w:hAnsi="Arial" w:cs="Arial"/>
          <w:sz w:val="24"/>
          <w:szCs w:val="24"/>
        </w:rPr>
      </w:pPr>
      <w:r w:rsidRPr="00801F9A">
        <w:rPr>
          <w:rFonts w:ascii="Arial" w:hAnsi="Arial" w:cs="Arial"/>
          <w:b/>
          <w:sz w:val="24"/>
          <w:szCs w:val="24"/>
          <w:u w:val="single"/>
        </w:rPr>
        <w:lastRenderedPageBreak/>
        <w:t>DELIVERED ON</w:t>
      </w:r>
      <w:r w:rsidRPr="00801F9A">
        <w:rPr>
          <w:rFonts w:ascii="Arial" w:hAnsi="Arial" w:cs="Arial"/>
          <w:sz w:val="24"/>
          <w:szCs w:val="24"/>
        </w:rPr>
        <w:t xml:space="preserve">:          </w:t>
      </w:r>
      <w:r w:rsidR="00AA2069">
        <w:rPr>
          <w:rFonts w:ascii="Arial" w:hAnsi="Arial" w:cs="Arial"/>
          <w:sz w:val="24"/>
          <w:szCs w:val="24"/>
        </w:rPr>
        <w:tab/>
        <w:t xml:space="preserve"> 2</w:t>
      </w:r>
      <w:r w:rsidR="008D26DC">
        <w:rPr>
          <w:rFonts w:ascii="Arial" w:hAnsi="Arial" w:cs="Arial"/>
          <w:sz w:val="24"/>
          <w:szCs w:val="24"/>
        </w:rPr>
        <w:t>5</w:t>
      </w:r>
      <w:r>
        <w:rPr>
          <w:rFonts w:ascii="Arial" w:hAnsi="Arial" w:cs="Arial"/>
          <w:sz w:val="24"/>
          <w:szCs w:val="24"/>
        </w:rPr>
        <w:t xml:space="preserve"> AUGUST</w:t>
      </w:r>
      <w:r w:rsidRPr="00801F9A">
        <w:rPr>
          <w:rFonts w:ascii="Arial" w:hAnsi="Arial" w:cs="Arial"/>
          <w:sz w:val="24"/>
          <w:szCs w:val="24"/>
        </w:rPr>
        <w:t xml:space="preserve"> 2022</w:t>
      </w:r>
      <w:r w:rsidRPr="00801F9A">
        <w:rPr>
          <w:rFonts w:ascii="Arial" w:hAnsi="Arial" w:cs="Arial"/>
          <w:sz w:val="24"/>
          <w:szCs w:val="24"/>
        </w:rPr>
        <w:tab/>
      </w:r>
    </w:p>
    <w:p w14:paraId="01542FC6" w14:textId="77777777" w:rsidR="00801F9A" w:rsidRDefault="00801F9A" w:rsidP="008C05FA">
      <w:pPr>
        <w:spacing w:after="240" w:line="360" w:lineRule="auto"/>
        <w:jc w:val="both"/>
        <w:rPr>
          <w:rFonts w:ascii="Arial" w:hAnsi="Arial" w:cs="Arial"/>
          <w:sz w:val="24"/>
          <w:szCs w:val="24"/>
        </w:rPr>
      </w:pPr>
    </w:p>
    <w:p w14:paraId="15B963B9" w14:textId="61E8F2C3" w:rsidR="004D4671" w:rsidRPr="00B236E3" w:rsidRDefault="00B236E3" w:rsidP="00B236E3">
      <w:pPr>
        <w:spacing w:after="240" w:line="360" w:lineRule="auto"/>
        <w:ind w:left="567" w:hanging="567"/>
        <w:jc w:val="both"/>
        <w:rPr>
          <w:rFonts w:ascii="Arial" w:hAnsi="Arial" w:cs="Arial"/>
          <w:sz w:val="24"/>
          <w:szCs w:val="24"/>
        </w:rPr>
      </w:pPr>
      <w:r w:rsidRPr="00DC7502">
        <w:rPr>
          <w:rFonts w:ascii="Arial" w:hAnsi="Arial" w:cs="Arial"/>
          <w:sz w:val="24"/>
          <w:szCs w:val="24"/>
        </w:rPr>
        <w:t>[1]</w:t>
      </w:r>
      <w:r w:rsidRPr="00DC7502">
        <w:rPr>
          <w:rFonts w:ascii="Arial" w:hAnsi="Arial" w:cs="Arial"/>
          <w:sz w:val="24"/>
          <w:szCs w:val="24"/>
        </w:rPr>
        <w:tab/>
      </w:r>
      <w:r w:rsidR="00D45311" w:rsidRPr="00B236E3">
        <w:rPr>
          <w:rFonts w:ascii="Arial" w:hAnsi="Arial" w:cs="Arial"/>
          <w:sz w:val="24"/>
          <w:szCs w:val="24"/>
        </w:rPr>
        <w:t>The Applicants lodged an application seeking the following relief:</w:t>
      </w:r>
    </w:p>
    <w:p w14:paraId="04336ACE" w14:textId="40C11354" w:rsidR="00D45311" w:rsidRPr="00DC7502" w:rsidRDefault="00D45311" w:rsidP="00337A22">
      <w:pPr>
        <w:pStyle w:val="ListParagraph"/>
        <w:spacing w:after="240" w:line="360" w:lineRule="auto"/>
        <w:ind w:left="1134" w:hanging="283"/>
        <w:contextualSpacing w:val="0"/>
        <w:jc w:val="both"/>
        <w:rPr>
          <w:rFonts w:ascii="Arial" w:hAnsi="Arial" w:cs="Arial"/>
        </w:rPr>
      </w:pPr>
      <w:r w:rsidRPr="00DC7502">
        <w:rPr>
          <w:rFonts w:ascii="Arial" w:hAnsi="Arial" w:cs="Arial"/>
        </w:rPr>
        <w:t>“</w:t>
      </w:r>
      <w:r w:rsidR="00337A22" w:rsidRPr="00DC7502">
        <w:rPr>
          <w:rFonts w:ascii="Arial" w:hAnsi="Arial" w:cs="Arial"/>
        </w:rPr>
        <w:t xml:space="preserve">1. </w:t>
      </w:r>
      <w:r w:rsidRPr="00DC7502">
        <w:rPr>
          <w:rFonts w:ascii="Arial" w:hAnsi="Arial" w:cs="Arial"/>
        </w:rPr>
        <w:t xml:space="preserve">That the title deed to ERF 7804 </w:t>
      </w:r>
      <w:proofErr w:type="spellStart"/>
      <w:r w:rsidRPr="00DC7502">
        <w:rPr>
          <w:rFonts w:ascii="Arial" w:hAnsi="Arial" w:cs="Arial"/>
        </w:rPr>
        <w:t>Maokeng</w:t>
      </w:r>
      <w:proofErr w:type="spellEnd"/>
      <w:r w:rsidRPr="00DC7502">
        <w:rPr>
          <w:rFonts w:ascii="Arial" w:hAnsi="Arial" w:cs="Arial"/>
        </w:rPr>
        <w:t xml:space="preserve"> Kroonstad Free State held under Deed of Transfer T9180/1992 be cancelled.</w:t>
      </w:r>
    </w:p>
    <w:p w14:paraId="43952176" w14:textId="4063E63A" w:rsidR="00D45311" w:rsidRPr="00DC7502" w:rsidRDefault="00337A22" w:rsidP="00337A22">
      <w:pPr>
        <w:pStyle w:val="ListParagraph"/>
        <w:spacing w:after="240" w:line="360" w:lineRule="auto"/>
        <w:ind w:left="1276" w:hanging="283"/>
        <w:contextualSpacing w:val="0"/>
        <w:jc w:val="both"/>
        <w:rPr>
          <w:rFonts w:ascii="Arial" w:hAnsi="Arial" w:cs="Arial"/>
        </w:rPr>
      </w:pPr>
      <w:r w:rsidRPr="00DC7502">
        <w:rPr>
          <w:rFonts w:ascii="Arial" w:hAnsi="Arial" w:cs="Arial"/>
        </w:rPr>
        <w:t xml:space="preserve">2. </w:t>
      </w:r>
      <w:r w:rsidR="00D45311" w:rsidRPr="00DC7502">
        <w:rPr>
          <w:rFonts w:ascii="Arial" w:hAnsi="Arial" w:cs="Arial"/>
        </w:rPr>
        <w:t xml:space="preserve">That ERF 7804 </w:t>
      </w:r>
      <w:proofErr w:type="spellStart"/>
      <w:r w:rsidR="00D45311" w:rsidRPr="00DC7502">
        <w:rPr>
          <w:rFonts w:ascii="Arial" w:hAnsi="Arial" w:cs="Arial"/>
        </w:rPr>
        <w:t>Maokeng</w:t>
      </w:r>
      <w:proofErr w:type="spellEnd"/>
      <w:r w:rsidR="00D45311" w:rsidRPr="00DC7502">
        <w:rPr>
          <w:rFonts w:ascii="Arial" w:hAnsi="Arial" w:cs="Arial"/>
        </w:rPr>
        <w:t xml:space="preserve"> Kroonstad Free State be proportionally registered in the name of the Applicants and Second Respondent as </w:t>
      </w:r>
      <w:proofErr w:type="gramStart"/>
      <w:r w:rsidR="00D45311" w:rsidRPr="00DC7502">
        <w:rPr>
          <w:rFonts w:ascii="Arial" w:hAnsi="Arial" w:cs="Arial"/>
        </w:rPr>
        <w:t>follows;</w:t>
      </w:r>
      <w:proofErr w:type="gramEnd"/>
    </w:p>
    <w:p w14:paraId="4B318C0A" w14:textId="77777777" w:rsidR="00D45311" w:rsidRPr="00DC7502" w:rsidRDefault="00D45311" w:rsidP="00337A22">
      <w:pPr>
        <w:pStyle w:val="ListParagraph"/>
        <w:spacing w:after="240" w:line="360" w:lineRule="auto"/>
        <w:ind w:left="1276"/>
        <w:contextualSpacing w:val="0"/>
        <w:jc w:val="both"/>
        <w:rPr>
          <w:rFonts w:ascii="Arial" w:hAnsi="Arial" w:cs="Arial"/>
        </w:rPr>
      </w:pPr>
      <w:r w:rsidRPr="00DC7502">
        <w:rPr>
          <w:rFonts w:ascii="Arial" w:hAnsi="Arial" w:cs="Arial"/>
        </w:rPr>
        <w:t>Judith Molefe – 33,3%</w:t>
      </w:r>
    </w:p>
    <w:p w14:paraId="46D62776" w14:textId="77777777" w:rsidR="00D45311" w:rsidRPr="00DC7502" w:rsidRDefault="00D45311" w:rsidP="00337A22">
      <w:pPr>
        <w:pStyle w:val="ListParagraph"/>
        <w:spacing w:after="240" w:line="360" w:lineRule="auto"/>
        <w:ind w:left="1276"/>
        <w:contextualSpacing w:val="0"/>
        <w:jc w:val="both"/>
        <w:rPr>
          <w:rFonts w:ascii="Arial" w:hAnsi="Arial" w:cs="Arial"/>
        </w:rPr>
      </w:pPr>
      <w:r w:rsidRPr="00DC7502">
        <w:rPr>
          <w:rFonts w:ascii="Arial" w:hAnsi="Arial" w:cs="Arial"/>
        </w:rPr>
        <w:t>Gloria Molefe – 11,1%</w:t>
      </w:r>
    </w:p>
    <w:p w14:paraId="20B4ACD1" w14:textId="77777777" w:rsidR="00D45311" w:rsidRPr="00DC7502" w:rsidRDefault="00493DBA" w:rsidP="00337A22">
      <w:pPr>
        <w:pStyle w:val="ListParagraph"/>
        <w:spacing w:after="240" w:line="360" w:lineRule="auto"/>
        <w:ind w:left="1276"/>
        <w:contextualSpacing w:val="0"/>
        <w:jc w:val="both"/>
        <w:rPr>
          <w:rFonts w:ascii="Arial" w:hAnsi="Arial" w:cs="Arial"/>
        </w:rPr>
      </w:pPr>
      <w:r w:rsidRPr="00DC7502">
        <w:rPr>
          <w:rFonts w:ascii="Arial" w:hAnsi="Arial" w:cs="Arial"/>
        </w:rPr>
        <w:t xml:space="preserve">Manini </w:t>
      </w:r>
      <w:proofErr w:type="spellStart"/>
      <w:r w:rsidRPr="00DC7502">
        <w:rPr>
          <w:rFonts w:ascii="Arial" w:hAnsi="Arial" w:cs="Arial"/>
        </w:rPr>
        <w:t>Notsi</w:t>
      </w:r>
      <w:proofErr w:type="spellEnd"/>
      <w:r w:rsidR="00D45311" w:rsidRPr="00DC7502">
        <w:rPr>
          <w:rFonts w:ascii="Arial" w:hAnsi="Arial" w:cs="Arial"/>
        </w:rPr>
        <w:t xml:space="preserve"> – 11,1 %</w:t>
      </w:r>
    </w:p>
    <w:p w14:paraId="4E568453" w14:textId="77777777" w:rsidR="00D45311" w:rsidRPr="00DC7502" w:rsidRDefault="00493DBA" w:rsidP="00337A22">
      <w:pPr>
        <w:pStyle w:val="ListParagraph"/>
        <w:spacing w:after="240" w:line="360" w:lineRule="auto"/>
        <w:ind w:left="1276"/>
        <w:contextualSpacing w:val="0"/>
        <w:jc w:val="both"/>
        <w:rPr>
          <w:rFonts w:ascii="Arial" w:hAnsi="Arial" w:cs="Arial"/>
        </w:rPr>
      </w:pPr>
      <w:proofErr w:type="spellStart"/>
      <w:r w:rsidRPr="00DC7502">
        <w:rPr>
          <w:rFonts w:ascii="Arial" w:hAnsi="Arial" w:cs="Arial"/>
        </w:rPr>
        <w:t>Lehlohono</w:t>
      </w:r>
      <w:proofErr w:type="spellEnd"/>
      <w:r w:rsidRPr="00DC7502">
        <w:rPr>
          <w:rFonts w:ascii="Arial" w:hAnsi="Arial" w:cs="Arial"/>
        </w:rPr>
        <w:t xml:space="preserve"> </w:t>
      </w:r>
      <w:proofErr w:type="spellStart"/>
      <w:r w:rsidRPr="00DC7502">
        <w:rPr>
          <w:rFonts w:ascii="Arial" w:hAnsi="Arial" w:cs="Arial"/>
        </w:rPr>
        <w:t>Moliko</w:t>
      </w:r>
      <w:proofErr w:type="spellEnd"/>
      <w:r w:rsidR="00D45311" w:rsidRPr="00DC7502">
        <w:rPr>
          <w:rFonts w:ascii="Arial" w:hAnsi="Arial" w:cs="Arial"/>
        </w:rPr>
        <w:t xml:space="preserve"> – 11,1%</w:t>
      </w:r>
    </w:p>
    <w:p w14:paraId="681F390B" w14:textId="77777777" w:rsidR="00D45311" w:rsidRPr="00DC7502" w:rsidRDefault="00D45311" w:rsidP="00337A22">
      <w:pPr>
        <w:pStyle w:val="ListParagraph"/>
        <w:spacing w:after="240" w:line="360" w:lineRule="auto"/>
        <w:ind w:left="1276"/>
        <w:contextualSpacing w:val="0"/>
        <w:jc w:val="both"/>
        <w:rPr>
          <w:rFonts w:ascii="Arial" w:hAnsi="Arial" w:cs="Arial"/>
        </w:rPr>
      </w:pPr>
      <w:r w:rsidRPr="00DC7502">
        <w:rPr>
          <w:rFonts w:ascii="Arial" w:hAnsi="Arial" w:cs="Arial"/>
        </w:rPr>
        <w:t>Thandiwe Molefe 33,3%</w:t>
      </w:r>
    </w:p>
    <w:p w14:paraId="10DC537C" w14:textId="482A6CAC" w:rsidR="00D45311" w:rsidRPr="00DC7502" w:rsidRDefault="00337A22" w:rsidP="00337A22">
      <w:pPr>
        <w:pStyle w:val="ListParagraph"/>
        <w:spacing w:after="240" w:line="360" w:lineRule="auto"/>
        <w:ind w:left="1276" w:hanging="283"/>
        <w:contextualSpacing w:val="0"/>
        <w:jc w:val="both"/>
        <w:rPr>
          <w:rFonts w:ascii="Arial" w:hAnsi="Arial" w:cs="Arial"/>
        </w:rPr>
      </w:pPr>
      <w:r w:rsidRPr="00DC7502">
        <w:rPr>
          <w:rFonts w:ascii="Arial" w:hAnsi="Arial" w:cs="Arial"/>
        </w:rPr>
        <w:t xml:space="preserve">3. </w:t>
      </w:r>
      <w:r w:rsidR="00D45311" w:rsidRPr="00DC7502">
        <w:rPr>
          <w:rFonts w:ascii="Arial" w:hAnsi="Arial" w:cs="Arial"/>
        </w:rPr>
        <w:t>That the costs of this application be made payable by any of the Respondents opposing it.”</w:t>
      </w:r>
    </w:p>
    <w:p w14:paraId="6F7B7284" w14:textId="1B139736" w:rsidR="00D45311"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[2]</w:t>
      </w:r>
      <w:r w:rsidRPr="00EE77AB">
        <w:rPr>
          <w:rFonts w:ascii="Arial" w:hAnsi="Arial" w:cs="Arial"/>
          <w:sz w:val="24"/>
          <w:szCs w:val="24"/>
        </w:rPr>
        <w:tab/>
      </w:r>
      <w:r w:rsidR="00D45311" w:rsidRPr="00B236E3">
        <w:rPr>
          <w:rFonts w:ascii="Arial" w:hAnsi="Arial" w:cs="Arial"/>
          <w:sz w:val="24"/>
          <w:szCs w:val="24"/>
        </w:rPr>
        <w:t xml:space="preserve">The application is opposed by </w:t>
      </w:r>
      <w:r w:rsidR="00F92758" w:rsidRPr="00B236E3">
        <w:rPr>
          <w:rFonts w:ascii="Arial" w:hAnsi="Arial" w:cs="Arial"/>
          <w:sz w:val="24"/>
          <w:szCs w:val="24"/>
        </w:rPr>
        <w:t>the First and Second Respondent</w:t>
      </w:r>
      <w:r w:rsidR="00D45311" w:rsidRPr="00B236E3">
        <w:rPr>
          <w:rFonts w:ascii="Arial" w:hAnsi="Arial" w:cs="Arial"/>
          <w:sz w:val="24"/>
          <w:szCs w:val="24"/>
        </w:rPr>
        <w:t>.</w:t>
      </w:r>
    </w:p>
    <w:p w14:paraId="6DE5342D" w14:textId="26A177CB" w:rsidR="00D45311"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[3]</w:t>
      </w:r>
      <w:r w:rsidRPr="00EE77AB">
        <w:rPr>
          <w:rFonts w:ascii="Arial" w:hAnsi="Arial" w:cs="Arial"/>
          <w:sz w:val="24"/>
          <w:szCs w:val="24"/>
        </w:rPr>
        <w:tab/>
      </w:r>
      <w:r w:rsidR="00C81EA1" w:rsidRPr="00B236E3">
        <w:rPr>
          <w:rFonts w:ascii="Arial" w:hAnsi="Arial" w:cs="Arial"/>
          <w:sz w:val="24"/>
          <w:szCs w:val="24"/>
        </w:rPr>
        <w:t>The Appl</w:t>
      </w:r>
      <w:r w:rsidR="00F92758" w:rsidRPr="00B236E3">
        <w:rPr>
          <w:rFonts w:ascii="Arial" w:hAnsi="Arial" w:cs="Arial"/>
          <w:sz w:val="24"/>
          <w:szCs w:val="24"/>
        </w:rPr>
        <w:t>icants and the First Respondent as</w:t>
      </w:r>
      <w:r w:rsidR="00337A22" w:rsidRPr="00B236E3">
        <w:rPr>
          <w:rFonts w:ascii="Arial" w:hAnsi="Arial" w:cs="Arial"/>
          <w:sz w:val="24"/>
          <w:szCs w:val="24"/>
        </w:rPr>
        <w:t xml:space="preserve"> well </w:t>
      </w:r>
      <w:r w:rsidR="00EE77AB" w:rsidRPr="00B236E3">
        <w:rPr>
          <w:rFonts w:ascii="Arial" w:hAnsi="Arial" w:cs="Arial"/>
          <w:sz w:val="24"/>
          <w:szCs w:val="24"/>
        </w:rPr>
        <w:t xml:space="preserve">as </w:t>
      </w:r>
      <w:r w:rsidR="00F92758" w:rsidRPr="00B236E3">
        <w:rPr>
          <w:rFonts w:ascii="Arial" w:hAnsi="Arial" w:cs="Arial"/>
          <w:sz w:val="24"/>
          <w:szCs w:val="24"/>
        </w:rPr>
        <w:t>the</w:t>
      </w:r>
      <w:r w:rsidR="00C81EA1" w:rsidRPr="00B236E3">
        <w:rPr>
          <w:rFonts w:ascii="Arial" w:hAnsi="Arial" w:cs="Arial"/>
          <w:sz w:val="24"/>
          <w:szCs w:val="24"/>
        </w:rPr>
        <w:t xml:space="preserve"> Second Respondent are in dispute over a property of the deceased, Edgar Molefe. The Fir</w:t>
      </w:r>
      <w:r w:rsidR="00F92758" w:rsidRPr="00B236E3">
        <w:rPr>
          <w:rFonts w:ascii="Arial" w:hAnsi="Arial" w:cs="Arial"/>
          <w:sz w:val="24"/>
          <w:szCs w:val="24"/>
        </w:rPr>
        <w:t>st Applicant</w:t>
      </w:r>
      <w:r w:rsidR="00C81EA1" w:rsidRPr="00B236E3">
        <w:rPr>
          <w:rFonts w:ascii="Arial" w:hAnsi="Arial" w:cs="Arial"/>
          <w:sz w:val="24"/>
          <w:szCs w:val="24"/>
        </w:rPr>
        <w:t xml:space="preserve"> Judith Molefe, </w:t>
      </w:r>
      <w:r w:rsidR="008D26DC" w:rsidRPr="00B236E3">
        <w:rPr>
          <w:rFonts w:ascii="Arial" w:hAnsi="Arial" w:cs="Arial"/>
          <w:sz w:val="24"/>
          <w:szCs w:val="24"/>
        </w:rPr>
        <w:t xml:space="preserve">Second Applicant, </w:t>
      </w:r>
      <w:proofErr w:type="spellStart"/>
      <w:r w:rsidR="00C81EA1" w:rsidRPr="00B236E3">
        <w:rPr>
          <w:rFonts w:ascii="Arial" w:hAnsi="Arial" w:cs="Arial"/>
          <w:sz w:val="24"/>
          <w:szCs w:val="24"/>
        </w:rPr>
        <w:t>Sefora</w:t>
      </w:r>
      <w:proofErr w:type="spellEnd"/>
      <w:r w:rsidR="00C81EA1" w:rsidRPr="00B236E3">
        <w:rPr>
          <w:rFonts w:ascii="Arial" w:hAnsi="Arial" w:cs="Arial"/>
          <w:sz w:val="24"/>
          <w:szCs w:val="24"/>
        </w:rPr>
        <w:t xml:space="preserve"> Mole</w:t>
      </w:r>
      <w:r w:rsidR="008D26DC" w:rsidRPr="00B236E3">
        <w:rPr>
          <w:rFonts w:ascii="Arial" w:hAnsi="Arial" w:cs="Arial"/>
          <w:sz w:val="24"/>
          <w:szCs w:val="24"/>
        </w:rPr>
        <w:t>fe</w:t>
      </w:r>
      <w:r w:rsidR="00C81EA1" w:rsidRPr="00B236E3">
        <w:rPr>
          <w:rFonts w:ascii="Arial" w:hAnsi="Arial" w:cs="Arial"/>
          <w:sz w:val="24"/>
          <w:szCs w:val="24"/>
        </w:rPr>
        <w:t xml:space="preserve"> and Edgar Molefe are the children of the deceased, </w:t>
      </w:r>
      <w:proofErr w:type="spellStart"/>
      <w:r w:rsidR="00C81EA1" w:rsidRPr="00B236E3">
        <w:rPr>
          <w:rFonts w:ascii="Arial" w:hAnsi="Arial" w:cs="Arial"/>
          <w:sz w:val="24"/>
          <w:szCs w:val="24"/>
        </w:rPr>
        <w:t>Dikeledi</w:t>
      </w:r>
      <w:proofErr w:type="spellEnd"/>
      <w:r w:rsidR="00C81EA1" w:rsidRPr="00B236E3">
        <w:rPr>
          <w:rFonts w:ascii="Arial" w:hAnsi="Arial" w:cs="Arial"/>
          <w:sz w:val="24"/>
          <w:szCs w:val="24"/>
        </w:rPr>
        <w:t xml:space="preserve"> Alina Molefe</w:t>
      </w:r>
      <w:r w:rsidR="00EA170B" w:rsidRPr="00B236E3">
        <w:rPr>
          <w:rFonts w:ascii="Arial" w:hAnsi="Arial" w:cs="Arial"/>
          <w:sz w:val="24"/>
          <w:szCs w:val="24"/>
        </w:rPr>
        <w:t xml:space="preserve"> (</w:t>
      </w:r>
      <w:proofErr w:type="spellStart"/>
      <w:r w:rsidR="0075514F" w:rsidRPr="00B236E3">
        <w:rPr>
          <w:rFonts w:ascii="Arial" w:hAnsi="Arial" w:cs="Arial"/>
          <w:sz w:val="24"/>
          <w:szCs w:val="24"/>
        </w:rPr>
        <w:t>Likeli</w:t>
      </w:r>
      <w:proofErr w:type="spellEnd"/>
      <w:r w:rsidR="0075514F" w:rsidRPr="00B236E3">
        <w:rPr>
          <w:rFonts w:ascii="Arial" w:hAnsi="Arial" w:cs="Arial"/>
          <w:sz w:val="24"/>
          <w:szCs w:val="24"/>
        </w:rPr>
        <w:t xml:space="preserve"> Alina Molefe as per the transferring documents annexed </w:t>
      </w:r>
      <w:r w:rsidR="0075514F" w:rsidRPr="00B236E3">
        <w:rPr>
          <w:rFonts w:ascii="Arial" w:hAnsi="Arial" w:cs="Arial"/>
          <w:b/>
          <w:sz w:val="24"/>
          <w:szCs w:val="24"/>
        </w:rPr>
        <w:t>JM1</w:t>
      </w:r>
      <w:r w:rsidR="0075514F" w:rsidRPr="00B236E3">
        <w:rPr>
          <w:rFonts w:ascii="Arial" w:hAnsi="Arial" w:cs="Arial"/>
          <w:sz w:val="24"/>
          <w:szCs w:val="24"/>
        </w:rPr>
        <w:t>)</w:t>
      </w:r>
      <w:r w:rsidR="00C81EA1" w:rsidRPr="00B236E3">
        <w:rPr>
          <w:rFonts w:ascii="Arial" w:hAnsi="Arial" w:cs="Arial"/>
          <w:sz w:val="24"/>
          <w:szCs w:val="24"/>
        </w:rPr>
        <w:t>.</w:t>
      </w:r>
      <w:r w:rsidR="008D26DC" w:rsidRPr="00B236E3">
        <w:rPr>
          <w:rFonts w:ascii="Arial" w:hAnsi="Arial" w:cs="Arial"/>
          <w:sz w:val="24"/>
          <w:szCs w:val="24"/>
        </w:rPr>
        <w:t xml:space="preserve"> Fourth and Fifth Applicants are the grand children of </w:t>
      </w:r>
      <w:proofErr w:type="spellStart"/>
      <w:r w:rsidR="008D26DC" w:rsidRPr="00B236E3">
        <w:rPr>
          <w:rFonts w:ascii="Arial" w:hAnsi="Arial" w:cs="Arial"/>
          <w:sz w:val="24"/>
          <w:szCs w:val="24"/>
        </w:rPr>
        <w:t>Dikeledi</w:t>
      </w:r>
      <w:proofErr w:type="spellEnd"/>
      <w:r w:rsidR="008D26DC" w:rsidRPr="00B236E3">
        <w:rPr>
          <w:rFonts w:ascii="Arial" w:hAnsi="Arial" w:cs="Arial"/>
          <w:sz w:val="24"/>
          <w:szCs w:val="24"/>
        </w:rPr>
        <w:t xml:space="preserve"> Alina Molefe. The Second Respondent is the spouse to Edgar Molefe.</w:t>
      </w:r>
    </w:p>
    <w:p w14:paraId="0D0F96DD" w14:textId="256CD8F2" w:rsidR="00C81EA1"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[4]</w:t>
      </w:r>
      <w:r w:rsidRPr="00EE77AB">
        <w:rPr>
          <w:rFonts w:ascii="Arial" w:hAnsi="Arial" w:cs="Arial"/>
          <w:sz w:val="24"/>
          <w:szCs w:val="24"/>
        </w:rPr>
        <w:tab/>
      </w:r>
      <w:r w:rsidR="00C81EA1" w:rsidRPr="00B236E3">
        <w:rPr>
          <w:rFonts w:ascii="Arial" w:hAnsi="Arial" w:cs="Arial"/>
          <w:sz w:val="24"/>
          <w:szCs w:val="24"/>
        </w:rPr>
        <w:t xml:space="preserve">Upon the death of </w:t>
      </w:r>
      <w:proofErr w:type="spellStart"/>
      <w:r w:rsidR="00C81EA1" w:rsidRPr="00B236E3">
        <w:rPr>
          <w:rFonts w:ascii="Arial" w:hAnsi="Arial" w:cs="Arial"/>
          <w:sz w:val="24"/>
          <w:szCs w:val="24"/>
        </w:rPr>
        <w:t>Dikeledi</w:t>
      </w:r>
      <w:proofErr w:type="spellEnd"/>
      <w:r w:rsidR="00C81EA1" w:rsidRPr="00B236E3">
        <w:rPr>
          <w:rFonts w:ascii="Arial" w:hAnsi="Arial" w:cs="Arial"/>
          <w:sz w:val="24"/>
          <w:szCs w:val="24"/>
        </w:rPr>
        <w:t xml:space="preserve"> </w:t>
      </w:r>
      <w:r w:rsidR="008D26DC" w:rsidRPr="00B236E3">
        <w:rPr>
          <w:rFonts w:ascii="Arial" w:hAnsi="Arial" w:cs="Arial"/>
          <w:sz w:val="24"/>
          <w:szCs w:val="24"/>
        </w:rPr>
        <w:t xml:space="preserve">Alina </w:t>
      </w:r>
      <w:r w:rsidR="00C81EA1" w:rsidRPr="00B236E3">
        <w:rPr>
          <w:rFonts w:ascii="Arial" w:hAnsi="Arial" w:cs="Arial"/>
          <w:sz w:val="24"/>
          <w:szCs w:val="24"/>
        </w:rPr>
        <w:t xml:space="preserve">Molefe, the property was registered in the name of Edgar Molefe who is also deceased. Edgar Molefe prior to his death was married to Thandiwe Molefe, </w:t>
      </w:r>
      <w:proofErr w:type="gramStart"/>
      <w:r w:rsidR="00C81EA1" w:rsidRPr="00B236E3">
        <w:rPr>
          <w:rFonts w:ascii="Arial" w:hAnsi="Arial" w:cs="Arial"/>
          <w:sz w:val="24"/>
          <w:szCs w:val="24"/>
        </w:rPr>
        <w:t>subsequent to</w:t>
      </w:r>
      <w:proofErr w:type="gramEnd"/>
      <w:r w:rsidR="00C81EA1" w:rsidRPr="00B236E3">
        <w:rPr>
          <w:rFonts w:ascii="Arial" w:hAnsi="Arial" w:cs="Arial"/>
          <w:sz w:val="24"/>
          <w:szCs w:val="24"/>
        </w:rPr>
        <w:t xml:space="preserve"> Edgar’s divorce with Aletta</w:t>
      </w:r>
      <w:r w:rsidR="00B24E8A" w:rsidRPr="00B236E3">
        <w:rPr>
          <w:rFonts w:ascii="Arial" w:hAnsi="Arial" w:cs="Arial"/>
          <w:sz w:val="24"/>
          <w:szCs w:val="24"/>
        </w:rPr>
        <w:t xml:space="preserve"> Molefe</w:t>
      </w:r>
      <w:r w:rsidR="00C81EA1" w:rsidRPr="00B236E3">
        <w:rPr>
          <w:rFonts w:ascii="Arial" w:hAnsi="Arial" w:cs="Arial"/>
          <w:sz w:val="24"/>
          <w:szCs w:val="24"/>
        </w:rPr>
        <w:t>. The property was registered in equal share in the names of Edgar and Thandiwe</w:t>
      </w:r>
      <w:r w:rsidR="00B24E8A" w:rsidRPr="00B236E3">
        <w:rPr>
          <w:rFonts w:ascii="Arial" w:hAnsi="Arial" w:cs="Arial"/>
          <w:sz w:val="24"/>
          <w:szCs w:val="24"/>
        </w:rPr>
        <w:t xml:space="preserve"> Molefe</w:t>
      </w:r>
      <w:r w:rsidR="00C81EA1" w:rsidRPr="00B236E3">
        <w:rPr>
          <w:rFonts w:ascii="Arial" w:hAnsi="Arial" w:cs="Arial"/>
          <w:sz w:val="24"/>
          <w:szCs w:val="24"/>
        </w:rPr>
        <w:t>.</w:t>
      </w:r>
    </w:p>
    <w:p w14:paraId="2A1B6125" w14:textId="3101D54D" w:rsidR="00C81EA1"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lastRenderedPageBreak/>
        <w:t>[5]</w:t>
      </w:r>
      <w:r w:rsidRPr="00EE77AB">
        <w:rPr>
          <w:rFonts w:ascii="Arial" w:hAnsi="Arial" w:cs="Arial"/>
          <w:sz w:val="24"/>
          <w:szCs w:val="24"/>
        </w:rPr>
        <w:tab/>
      </w:r>
      <w:r w:rsidR="00C81EA1" w:rsidRPr="00B236E3">
        <w:rPr>
          <w:rFonts w:ascii="Arial" w:hAnsi="Arial" w:cs="Arial"/>
          <w:sz w:val="24"/>
          <w:szCs w:val="24"/>
        </w:rPr>
        <w:t xml:space="preserve">The Applicants therefore wish to inherit as stated above, from the property that originally belonged to their </w:t>
      </w:r>
      <w:r w:rsidR="00337A22" w:rsidRPr="00B236E3">
        <w:rPr>
          <w:rFonts w:ascii="Arial" w:hAnsi="Arial" w:cs="Arial"/>
          <w:sz w:val="24"/>
          <w:szCs w:val="24"/>
        </w:rPr>
        <w:t xml:space="preserve">deceased </w:t>
      </w:r>
      <w:r w:rsidR="00C81EA1" w:rsidRPr="00B236E3">
        <w:rPr>
          <w:rFonts w:ascii="Arial" w:hAnsi="Arial" w:cs="Arial"/>
          <w:sz w:val="24"/>
          <w:szCs w:val="24"/>
        </w:rPr>
        <w:t xml:space="preserve">mother, </w:t>
      </w:r>
      <w:proofErr w:type="spellStart"/>
      <w:r w:rsidR="00C81EA1" w:rsidRPr="00B236E3">
        <w:rPr>
          <w:rFonts w:ascii="Arial" w:hAnsi="Arial" w:cs="Arial"/>
          <w:sz w:val="24"/>
          <w:szCs w:val="24"/>
        </w:rPr>
        <w:t>Dikeledi</w:t>
      </w:r>
      <w:proofErr w:type="spellEnd"/>
      <w:r w:rsidR="00C81EA1" w:rsidRPr="00B236E3">
        <w:rPr>
          <w:rFonts w:ascii="Arial" w:hAnsi="Arial" w:cs="Arial"/>
          <w:sz w:val="24"/>
          <w:szCs w:val="24"/>
        </w:rPr>
        <w:t xml:space="preserve"> Alina Molefe</w:t>
      </w:r>
      <w:r w:rsidR="00CD0221" w:rsidRPr="00B236E3">
        <w:rPr>
          <w:rFonts w:ascii="Arial" w:hAnsi="Arial" w:cs="Arial"/>
          <w:sz w:val="24"/>
          <w:szCs w:val="24"/>
        </w:rPr>
        <w:t>.</w:t>
      </w:r>
    </w:p>
    <w:p w14:paraId="776A9F81" w14:textId="1FA49473" w:rsidR="00CD0221"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[6]</w:t>
      </w:r>
      <w:r w:rsidRPr="00EE77AB">
        <w:rPr>
          <w:rFonts w:ascii="Arial" w:hAnsi="Arial" w:cs="Arial"/>
          <w:sz w:val="24"/>
          <w:szCs w:val="24"/>
        </w:rPr>
        <w:tab/>
      </w:r>
      <w:r w:rsidR="00B24E8A" w:rsidRPr="00B236E3">
        <w:rPr>
          <w:rFonts w:ascii="Arial" w:hAnsi="Arial" w:cs="Arial"/>
          <w:sz w:val="24"/>
          <w:szCs w:val="24"/>
        </w:rPr>
        <w:t>The First and Second Respondent</w:t>
      </w:r>
      <w:r w:rsidR="00CD0221" w:rsidRPr="00B236E3">
        <w:rPr>
          <w:rFonts w:ascii="Arial" w:hAnsi="Arial" w:cs="Arial"/>
          <w:sz w:val="24"/>
          <w:szCs w:val="24"/>
        </w:rPr>
        <w:t xml:space="preserve"> filed a condonation application for the late filing of the supplementary affidavit. The said application was granted.</w:t>
      </w:r>
    </w:p>
    <w:p w14:paraId="50761A9D" w14:textId="358B3A5F" w:rsidR="00CD0221"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[7]</w:t>
      </w:r>
      <w:r w:rsidRPr="00EE77AB">
        <w:rPr>
          <w:rFonts w:ascii="Arial" w:hAnsi="Arial" w:cs="Arial"/>
          <w:sz w:val="24"/>
          <w:szCs w:val="24"/>
        </w:rPr>
        <w:tab/>
      </w:r>
      <w:r w:rsidR="00CD0221" w:rsidRPr="00B236E3">
        <w:rPr>
          <w:rFonts w:ascii="Arial" w:hAnsi="Arial" w:cs="Arial"/>
          <w:sz w:val="24"/>
          <w:szCs w:val="24"/>
        </w:rPr>
        <w:t xml:space="preserve">Counsel on behalf of the Second Respondent raised three </w:t>
      </w:r>
      <w:r w:rsidR="00CD0221" w:rsidRPr="00B236E3">
        <w:rPr>
          <w:rFonts w:ascii="Arial" w:hAnsi="Arial" w:cs="Arial"/>
          <w:i/>
          <w:sz w:val="24"/>
          <w:szCs w:val="24"/>
        </w:rPr>
        <w:t>points in</w:t>
      </w:r>
      <w:r w:rsidR="00CD0221" w:rsidRPr="00B236E3">
        <w:rPr>
          <w:rFonts w:ascii="Arial" w:hAnsi="Arial" w:cs="Arial"/>
          <w:sz w:val="24"/>
          <w:szCs w:val="24"/>
        </w:rPr>
        <w:t xml:space="preserve"> </w:t>
      </w:r>
      <w:proofErr w:type="spellStart"/>
      <w:r w:rsidR="00CD0221" w:rsidRPr="00B236E3">
        <w:rPr>
          <w:rFonts w:ascii="Arial" w:hAnsi="Arial" w:cs="Arial"/>
          <w:i/>
          <w:sz w:val="24"/>
          <w:szCs w:val="24"/>
        </w:rPr>
        <w:t>limine</w:t>
      </w:r>
      <w:proofErr w:type="spellEnd"/>
      <w:r w:rsidR="00CD0221" w:rsidRPr="00B236E3">
        <w:rPr>
          <w:rFonts w:ascii="Arial" w:hAnsi="Arial" w:cs="Arial"/>
          <w:sz w:val="24"/>
          <w:szCs w:val="24"/>
        </w:rPr>
        <w:t xml:space="preserve">, </w:t>
      </w:r>
      <w:r w:rsidR="00735E32" w:rsidRPr="00B236E3">
        <w:rPr>
          <w:rFonts w:ascii="Arial" w:hAnsi="Arial" w:cs="Arial"/>
          <w:sz w:val="24"/>
          <w:szCs w:val="24"/>
        </w:rPr>
        <w:t>that is, w</w:t>
      </w:r>
      <w:r w:rsidR="00CD0221" w:rsidRPr="00B236E3">
        <w:rPr>
          <w:rFonts w:ascii="Arial" w:hAnsi="Arial" w:cs="Arial"/>
          <w:sz w:val="24"/>
          <w:szCs w:val="24"/>
        </w:rPr>
        <w:t>hether the Applicants’ claim has prescribed</w:t>
      </w:r>
      <w:r w:rsidR="00735E32" w:rsidRPr="00B236E3">
        <w:rPr>
          <w:rFonts w:ascii="Arial" w:hAnsi="Arial" w:cs="Arial"/>
          <w:sz w:val="24"/>
          <w:szCs w:val="24"/>
        </w:rPr>
        <w:t xml:space="preserve">; whether the Applicants can rely on the </w:t>
      </w:r>
      <w:r w:rsidR="00735E32" w:rsidRPr="00B236E3">
        <w:rPr>
          <w:rFonts w:ascii="Arial" w:hAnsi="Arial" w:cs="Arial"/>
          <w:b/>
          <w:sz w:val="24"/>
          <w:szCs w:val="24"/>
        </w:rPr>
        <w:t>Inte</w:t>
      </w:r>
      <w:r w:rsidR="00F31B13" w:rsidRPr="00B236E3">
        <w:rPr>
          <w:rFonts w:ascii="Arial" w:hAnsi="Arial" w:cs="Arial"/>
          <w:b/>
          <w:sz w:val="24"/>
          <w:szCs w:val="24"/>
        </w:rPr>
        <w:t>state Succession Act,</w:t>
      </w:r>
      <w:r w:rsidR="00F31B13" w:rsidRPr="00EE77AB">
        <w:rPr>
          <w:rStyle w:val="FootnoteReference"/>
          <w:rFonts w:ascii="Arial" w:hAnsi="Arial" w:cs="Arial"/>
          <w:sz w:val="24"/>
          <w:szCs w:val="24"/>
        </w:rPr>
        <w:footnoteReference w:id="1"/>
      </w:r>
      <w:r w:rsidR="00735E32" w:rsidRPr="00B236E3">
        <w:rPr>
          <w:rFonts w:ascii="Arial" w:hAnsi="Arial" w:cs="Arial"/>
          <w:sz w:val="24"/>
          <w:szCs w:val="24"/>
        </w:rPr>
        <w:t>; and whether there is a dispute of fact which cannot be resolved on the papers.</w:t>
      </w:r>
    </w:p>
    <w:p w14:paraId="5DE7D186" w14:textId="4FCB471E" w:rsidR="00735E32"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[8]</w:t>
      </w:r>
      <w:r w:rsidRPr="00EE77AB">
        <w:rPr>
          <w:rFonts w:ascii="Arial" w:hAnsi="Arial" w:cs="Arial"/>
          <w:sz w:val="24"/>
          <w:szCs w:val="24"/>
        </w:rPr>
        <w:tab/>
      </w:r>
      <w:r w:rsidR="00735E32" w:rsidRPr="00B236E3">
        <w:rPr>
          <w:rFonts w:ascii="Arial" w:hAnsi="Arial" w:cs="Arial"/>
          <w:sz w:val="24"/>
          <w:szCs w:val="24"/>
        </w:rPr>
        <w:t xml:space="preserve">The First and Second Respondent contends that the </w:t>
      </w:r>
      <w:r w:rsidR="00735E32" w:rsidRPr="00B236E3">
        <w:rPr>
          <w:rFonts w:ascii="Arial" w:hAnsi="Arial" w:cs="Arial"/>
          <w:b/>
          <w:bCs/>
          <w:sz w:val="24"/>
          <w:szCs w:val="24"/>
        </w:rPr>
        <w:t>Intestate Succession Act</w:t>
      </w:r>
      <w:r w:rsidR="00735E32" w:rsidRPr="00B236E3">
        <w:rPr>
          <w:rFonts w:ascii="Arial" w:hAnsi="Arial" w:cs="Arial"/>
          <w:sz w:val="24"/>
          <w:szCs w:val="24"/>
        </w:rPr>
        <w:t xml:space="preserve"> was not applicable to black people at the time the Applicants’ cause of action arose, further that there is a dispute of facts and that the matter be referred for oral evidence.</w:t>
      </w:r>
      <w:r w:rsidR="00876588" w:rsidRPr="00B236E3">
        <w:rPr>
          <w:rFonts w:ascii="Arial" w:hAnsi="Arial" w:cs="Arial"/>
          <w:sz w:val="24"/>
          <w:szCs w:val="24"/>
        </w:rPr>
        <w:t xml:space="preserve"> The </w:t>
      </w:r>
      <w:proofErr w:type="gramStart"/>
      <w:r w:rsidR="00876588" w:rsidRPr="00B236E3">
        <w:rPr>
          <w:rFonts w:ascii="Arial" w:hAnsi="Arial" w:cs="Arial"/>
          <w:sz w:val="24"/>
          <w:szCs w:val="24"/>
        </w:rPr>
        <w:t>Applicant</w:t>
      </w:r>
      <w:r w:rsidR="00F97DEE" w:rsidRPr="00B236E3">
        <w:rPr>
          <w:rFonts w:ascii="Arial" w:hAnsi="Arial" w:cs="Arial"/>
          <w:sz w:val="24"/>
          <w:szCs w:val="24"/>
        </w:rPr>
        <w:t>s’</w:t>
      </w:r>
      <w:proofErr w:type="gramEnd"/>
      <w:r w:rsidR="00876588" w:rsidRPr="00B236E3">
        <w:rPr>
          <w:rFonts w:ascii="Arial" w:hAnsi="Arial" w:cs="Arial"/>
          <w:sz w:val="24"/>
          <w:szCs w:val="24"/>
        </w:rPr>
        <w:t xml:space="preserve"> on the other hand contends that the deceased, Edgar Molefe paid Gloria Molefe and </w:t>
      </w:r>
      <w:proofErr w:type="spellStart"/>
      <w:r w:rsidR="00876588" w:rsidRPr="00B236E3">
        <w:rPr>
          <w:rFonts w:ascii="Arial" w:hAnsi="Arial" w:cs="Arial"/>
          <w:sz w:val="24"/>
          <w:szCs w:val="24"/>
        </w:rPr>
        <w:t>Sefora</w:t>
      </w:r>
      <w:proofErr w:type="spellEnd"/>
      <w:r w:rsidR="00876588" w:rsidRPr="00B236E3">
        <w:rPr>
          <w:rFonts w:ascii="Arial" w:hAnsi="Arial" w:cs="Arial"/>
          <w:sz w:val="24"/>
          <w:szCs w:val="24"/>
        </w:rPr>
        <w:t xml:space="preserve"> Molefe money that was in proportionate to their inheritance, and that evidence is disputed by the Appl</w:t>
      </w:r>
      <w:r w:rsidR="00F97DEE" w:rsidRPr="00B236E3">
        <w:rPr>
          <w:rFonts w:ascii="Arial" w:hAnsi="Arial" w:cs="Arial"/>
          <w:sz w:val="24"/>
          <w:szCs w:val="24"/>
        </w:rPr>
        <w:t>i</w:t>
      </w:r>
      <w:r w:rsidR="00876588" w:rsidRPr="00B236E3">
        <w:rPr>
          <w:rFonts w:ascii="Arial" w:hAnsi="Arial" w:cs="Arial"/>
          <w:sz w:val="24"/>
          <w:szCs w:val="24"/>
        </w:rPr>
        <w:t>cants.</w:t>
      </w:r>
    </w:p>
    <w:p w14:paraId="215DEF60" w14:textId="624C21C7" w:rsidR="009631E2"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[9]</w:t>
      </w:r>
      <w:r w:rsidRPr="00EE77AB">
        <w:rPr>
          <w:rFonts w:ascii="Arial" w:hAnsi="Arial" w:cs="Arial"/>
          <w:sz w:val="24"/>
          <w:szCs w:val="24"/>
        </w:rPr>
        <w:tab/>
      </w:r>
      <w:r w:rsidR="00876588" w:rsidRPr="00B236E3">
        <w:rPr>
          <w:rFonts w:ascii="Arial" w:hAnsi="Arial" w:cs="Arial"/>
          <w:bCs/>
          <w:sz w:val="24"/>
          <w:szCs w:val="24"/>
        </w:rPr>
        <w:t xml:space="preserve">The first </w:t>
      </w:r>
      <w:r w:rsidR="00876588" w:rsidRPr="00B236E3">
        <w:rPr>
          <w:rFonts w:ascii="Arial" w:hAnsi="Arial" w:cs="Arial"/>
          <w:bCs/>
          <w:i/>
          <w:iCs/>
          <w:sz w:val="24"/>
          <w:szCs w:val="24"/>
        </w:rPr>
        <w:t xml:space="preserve">point in </w:t>
      </w:r>
      <w:proofErr w:type="spellStart"/>
      <w:r w:rsidR="00876588" w:rsidRPr="00B236E3">
        <w:rPr>
          <w:rFonts w:ascii="Arial" w:hAnsi="Arial" w:cs="Arial"/>
          <w:bCs/>
          <w:i/>
          <w:iCs/>
          <w:sz w:val="24"/>
          <w:szCs w:val="24"/>
        </w:rPr>
        <w:t>limine</w:t>
      </w:r>
      <w:proofErr w:type="spellEnd"/>
      <w:r w:rsidR="00876588" w:rsidRPr="00B236E3">
        <w:rPr>
          <w:rFonts w:ascii="Arial" w:hAnsi="Arial" w:cs="Arial"/>
          <w:bCs/>
          <w:sz w:val="24"/>
          <w:szCs w:val="24"/>
        </w:rPr>
        <w:t xml:space="preserve"> of</w:t>
      </w:r>
      <w:r w:rsidR="008B7130" w:rsidRPr="00B236E3">
        <w:rPr>
          <w:rFonts w:ascii="Arial" w:hAnsi="Arial" w:cs="Arial"/>
          <w:bCs/>
          <w:sz w:val="24"/>
          <w:szCs w:val="24"/>
        </w:rPr>
        <w:t xml:space="preserve"> the</w:t>
      </w:r>
      <w:r w:rsidR="00876588" w:rsidRPr="00B236E3">
        <w:rPr>
          <w:rFonts w:ascii="Arial" w:hAnsi="Arial" w:cs="Arial"/>
          <w:bCs/>
          <w:sz w:val="24"/>
          <w:szCs w:val="24"/>
        </w:rPr>
        <w:t xml:space="preserve"> </w:t>
      </w:r>
      <w:r w:rsidR="00735E32" w:rsidRPr="00B236E3">
        <w:rPr>
          <w:rFonts w:ascii="Arial" w:hAnsi="Arial" w:cs="Arial"/>
          <w:b/>
          <w:sz w:val="24"/>
          <w:szCs w:val="24"/>
        </w:rPr>
        <w:t>Prescripti</w:t>
      </w:r>
      <w:r w:rsidR="00A519CC" w:rsidRPr="00B236E3">
        <w:rPr>
          <w:rFonts w:ascii="Arial" w:hAnsi="Arial" w:cs="Arial"/>
          <w:b/>
          <w:sz w:val="24"/>
          <w:szCs w:val="24"/>
        </w:rPr>
        <w:t>on Act</w:t>
      </w:r>
      <w:r w:rsidR="00876588" w:rsidRPr="00B236E3">
        <w:rPr>
          <w:rFonts w:ascii="Arial" w:hAnsi="Arial" w:cs="Arial"/>
          <w:b/>
          <w:sz w:val="24"/>
          <w:szCs w:val="24"/>
        </w:rPr>
        <w:t>,</w:t>
      </w:r>
      <w:r w:rsidR="00A519CC" w:rsidRPr="00EE77AB">
        <w:rPr>
          <w:rStyle w:val="FootnoteReference"/>
          <w:rFonts w:ascii="Arial" w:hAnsi="Arial" w:cs="Arial"/>
          <w:sz w:val="24"/>
          <w:szCs w:val="24"/>
        </w:rPr>
        <w:footnoteReference w:id="2"/>
      </w:r>
      <w:r w:rsidR="00876588" w:rsidRPr="00B236E3">
        <w:rPr>
          <w:rFonts w:ascii="Arial" w:hAnsi="Arial" w:cs="Arial"/>
          <w:bCs/>
          <w:sz w:val="24"/>
          <w:szCs w:val="24"/>
        </w:rPr>
        <w:t xml:space="preserve"> Section</w:t>
      </w:r>
      <w:r w:rsidR="008B7130" w:rsidRPr="00B236E3">
        <w:rPr>
          <w:rFonts w:ascii="Arial" w:hAnsi="Arial" w:cs="Arial"/>
          <w:sz w:val="24"/>
          <w:szCs w:val="24"/>
        </w:rPr>
        <w:t xml:space="preserve"> </w:t>
      </w:r>
      <w:r w:rsidR="009631E2" w:rsidRPr="00B236E3">
        <w:rPr>
          <w:rFonts w:ascii="Arial" w:hAnsi="Arial" w:cs="Arial"/>
          <w:sz w:val="24"/>
          <w:szCs w:val="24"/>
        </w:rPr>
        <w:t>12</w:t>
      </w:r>
      <w:r w:rsidR="008B7130" w:rsidRPr="00B236E3">
        <w:rPr>
          <w:rFonts w:ascii="Arial" w:hAnsi="Arial" w:cs="Arial"/>
          <w:sz w:val="24"/>
          <w:szCs w:val="24"/>
        </w:rPr>
        <w:t>,</w:t>
      </w:r>
      <w:r w:rsidR="009631E2" w:rsidRPr="00B236E3">
        <w:rPr>
          <w:rFonts w:ascii="Arial" w:hAnsi="Arial" w:cs="Arial"/>
          <w:sz w:val="24"/>
          <w:szCs w:val="24"/>
        </w:rPr>
        <w:t xml:space="preserve"> reads as follows:</w:t>
      </w:r>
    </w:p>
    <w:p w14:paraId="0B5CB15A" w14:textId="77777777" w:rsidR="00927ABE" w:rsidRDefault="009631E2" w:rsidP="003B52DF">
      <w:pPr>
        <w:pStyle w:val="ListParagraph"/>
        <w:spacing w:after="240" w:line="360" w:lineRule="auto"/>
        <w:ind w:left="1134"/>
        <w:contextualSpacing w:val="0"/>
        <w:jc w:val="both"/>
        <w:rPr>
          <w:rFonts w:ascii="Arial" w:hAnsi="Arial" w:cs="Arial"/>
        </w:rPr>
      </w:pPr>
      <w:r w:rsidRPr="008B7130">
        <w:rPr>
          <w:rFonts w:ascii="Arial" w:hAnsi="Arial" w:cs="Arial"/>
        </w:rPr>
        <w:t>“When Prescription begins to run</w:t>
      </w:r>
    </w:p>
    <w:p w14:paraId="2BB50CB8" w14:textId="5276CA88" w:rsidR="009631E2" w:rsidRPr="008B7130" w:rsidRDefault="00927ABE" w:rsidP="00927ABE">
      <w:pPr>
        <w:pStyle w:val="ListParagraph"/>
        <w:spacing w:after="240" w:line="360" w:lineRule="auto"/>
        <w:ind w:left="1560" w:hanging="426"/>
        <w:contextualSpacing w:val="0"/>
        <w:jc w:val="both"/>
        <w:rPr>
          <w:rFonts w:ascii="Arial" w:hAnsi="Arial" w:cs="Arial"/>
        </w:rPr>
      </w:pPr>
      <w:r>
        <w:rPr>
          <w:rFonts w:ascii="Arial" w:hAnsi="Arial" w:cs="Arial"/>
        </w:rPr>
        <w:t xml:space="preserve">(1) </w:t>
      </w:r>
      <w:r>
        <w:rPr>
          <w:rFonts w:ascii="Arial" w:hAnsi="Arial" w:cs="Arial"/>
        </w:rPr>
        <w:tab/>
        <w:t>S</w:t>
      </w:r>
      <w:r w:rsidR="009631E2" w:rsidRPr="008B7130">
        <w:rPr>
          <w:rFonts w:ascii="Arial" w:hAnsi="Arial" w:cs="Arial"/>
        </w:rPr>
        <w:t xml:space="preserve">ubject to the provisions of </w:t>
      </w:r>
      <w:r>
        <w:rPr>
          <w:rFonts w:ascii="Arial" w:hAnsi="Arial" w:cs="Arial"/>
        </w:rPr>
        <w:t>sub</w:t>
      </w:r>
      <w:r w:rsidR="009631E2" w:rsidRPr="008B7130">
        <w:rPr>
          <w:rFonts w:ascii="Arial" w:hAnsi="Arial" w:cs="Arial"/>
        </w:rPr>
        <w:t>sections (2), (3) and (4), prescription shall commence to</w:t>
      </w:r>
      <w:r w:rsidR="00911343" w:rsidRPr="008B7130">
        <w:rPr>
          <w:rFonts w:ascii="Arial" w:hAnsi="Arial" w:cs="Arial"/>
        </w:rPr>
        <w:t xml:space="preserve"> run as soon as the debt is </w:t>
      </w:r>
      <w:proofErr w:type="gramStart"/>
      <w:r w:rsidR="00911343" w:rsidRPr="008B7130">
        <w:rPr>
          <w:rFonts w:ascii="Arial" w:hAnsi="Arial" w:cs="Arial"/>
        </w:rPr>
        <w:t>due;</w:t>
      </w:r>
      <w:proofErr w:type="gramEnd"/>
    </w:p>
    <w:p w14:paraId="5BB5B653" w14:textId="6CC0B35D" w:rsidR="009631E2" w:rsidRPr="008B7130" w:rsidRDefault="00927ABE" w:rsidP="00927ABE">
      <w:pPr>
        <w:pStyle w:val="ListParagraph"/>
        <w:spacing w:after="240" w:line="360" w:lineRule="auto"/>
        <w:ind w:left="1560" w:hanging="426"/>
        <w:contextualSpacing w:val="0"/>
        <w:jc w:val="both"/>
        <w:rPr>
          <w:rFonts w:ascii="Arial" w:hAnsi="Arial" w:cs="Arial"/>
        </w:rPr>
      </w:pPr>
      <w:r>
        <w:rPr>
          <w:rFonts w:ascii="Arial" w:hAnsi="Arial" w:cs="Arial"/>
        </w:rPr>
        <w:t xml:space="preserve">(2) </w:t>
      </w:r>
      <w:r>
        <w:rPr>
          <w:rFonts w:ascii="Arial" w:hAnsi="Arial" w:cs="Arial"/>
        </w:rPr>
        <w:tab/>
      </w:r>
      <w:r w:rsidR="009631E2" w:rsidRPr="008B7130">
        <w:rPr>
          <w:rFonts w:ascii="Arial" w:hAnsi="Arial" w:cs="Arial"/>
        </w:rPr>
        <w:t xml:space="preserve">If the debtor wilfully prevents the creditor from </w:t>
      </w:r>
      <w:r w:rsidR="00911343" w:rsidRPr="008B7130">
        <w:rPr>
          <w:rFonts w:ascii="Arial" w:hAnsi="Arial" w:cs="Arial"/>
        </w:rPr>
        <w:t xml:space="preserve">coming to know of the existence of the debt, prescription shall not commence to run until the creditor becomes aware of the existence of the </w:t>
      </w:r>
      <w:proofErr w:type="gramStart"/>
      <w:r w:rsidR="00911343" w:rsidRPr="008B7130">
        <w:rPr>
          <w:rFonts w:ascii="Arial" w:hAnsi="Arial" w:cs="Arial"/>
        </w:rPr>
        <w:t>debt;</w:t>
      </w:r>
      <w:proofErr w:type="gramEnd"/>
    </w:p>
    <w:p w14:paraId="652072EE" w14:textId="338210E0" w:rsidR="00911343" w:rsidRPr="008B7130" w:rsidRDefault="00927ABE" w:rsidP="00927ABE">
      <w:pPr>
        <w:pStyle w:val="ListParagraph"/>
        <w:spacing w:after="240" w:line="360" w:lineRule="auto"/>
        <w:ind w:left="1560" w:hanging="426"/>
        <w:contextualSpacing w:val="0"/>
        <w:jc w:val="both"/>
        <w:rPr>
          <w:rFonts w:ascii="Arial" w:hAnsi="Arial" w:cs="Arial"/>
        </w:rPr>
      </w:pPr>
      <w:r>
        <w:rPr>
          <w:rFonts w:ascii="Arial" w:hAnsi="Arial" w:cs="Arial"/>
        </w:rPr>
        <w:t xml:space="preserve">(3) </w:t>
      </w:r>
      <w:r>
        <w:rPr>
          <w:rFonts w:ascii="Arial" w:hAnsi="Arial" w:cs="Arial"/>
        </w:rPr>
        <w:tab/>
      </w:r>
      <w:r w:rsidR="00911343" w:rsidRPr="008B7130">
        <w:rPr>
          <w:rFonts w:ascii="Arial" w:hAnsi="Arial" w:cs="Arial"/>
        </w:rPr>
        <w:t>Any debt shall not be deemed to be due until the creditor has knowledge of the identity of the debtor and of the f</w:t>
      </w:r>
      <w:r>
        <w:rPr>
          <w:rFonts w:ascii="Arial" w:hAnsi="Arial" w:cs="Arial"/>
        </w:rPr>
        <w:t>acts from which the debt arises: P</w:t>
      </w:r>
      <w:r w:rsidR="00911343" w:rsidRPr="008B7130">
        <w:rPr>
          <w:rFonts w:ascii="Arial" w:hAnsi="Arial" w:cs="Arial"/>
        </w:rPr>
        <w:t>rovided that a creditor shall be deemed to have such knowledge if he could have acquired it by exercising reasonable care.”</w:t>
      </w:r>
    </w:p>
    <w:p w14:paraId="28E5FA11" w14:textId="2CCA2547" w:rsidR="00911343"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lastRenderedPageBreak/>
        <w:t>[10]</w:t>
      </w:r>
      <w:proofErr w:type="gramStart"/>
      <w:r w:rsidRPr="00EE77AB">
        <w:rPr>
          <w:rFonts w:ascii="Arial" w:hAnsi="Arial" w:cs="Arial"/>
          <w:sz w:val="24"/>
          <w:szCs w:val="24"/>
        </w:rPr>
        <w:tab/>
      </w:r>
      <w:r w:rsidR="00307466" w:rsidRPr="00B236E3">
        <w:rPr>
          <w:rFonts w:ascii="Arial" w:hAnsi="Arial" w:cs="Arial"/>
          <w:sz w:val="24"/>
          <w:szCs w:val="24"/>
        </w:rPr>
        <w:t xml:space="preserve">  </w:t>
      </w:r>
      <w:r w:rsidR="00911343" w:rsidRPr="00B236E3">
        <w:rPr>
          <w:rFonts w:ascii="Arial" w:hAnsi="Arial" w:cs="Arial"/>
          <w:sz w:val="24"/>
          <w:szCs w:val="24"/>
        </w:rPr>
        <w:t>Section</w:t>
      </w:r>
      <w:proofErr w:type="gramEnd"/>
      <w:r w:rsidR="00911343" w:rsidRPr="00B236E3">
        <w:rPr>
          <w:rFonts w:ascii="Arial" w:hAnsi="Arial" w:cs="Arial"/>
          <w:sz w:val="24"/>
          <w:szCs w:val="24"/>
        </w:rPr>
        <w:t xml:space="preserve"> 18 of the </w:t>
      </w:r>
      <w:r w:rsidR="00911343" w:rsidRPr="00B236E3">
        <w:rPr>
          <w:rFonts w:ascii="Arial" w:hAnsi="Arial" w:cs="Arial"/>
          <w:b/>
          <w:sz w:val="24"/>
          <w:szCs w:val="24"/>
        </w:rPr>
        <w:t>Prescription Act</w:t>
      </w:r>
      <w:r w:rsidR="00911343" w:rsidRPr="00B236E3">
        <w:rPr>
          <w:rFonts w:ascii="Arial" w:hAnsi="Arial" w:cs="Arial"/>
          <w:sz w:val="24"/>
          <w:szCs w:val="24"/>
        </w:rPr>
        <w:t xml:space="preserve"> provides as follows:</w:t>
      </w:r>
    </w:p>
    <w:p w14:paraId="19B71D58" w14:textId="77777777" w:rsidR="004E5C50" w:rsidRPr="00B95644" w:rsidRDefault="004E5C50" w:rsidP="003B52DF">
      <w:pPr>
        <w:pStyle w:val="ListParagraph"/>
        <w:spacing w:after="240" w:line="360" w:lineRule="auto"/>
        <w:ind w:left="1134"/>
        <w:contextualSpacing w:val="0"/>
        <w:jc w:val="both"/>
        <w:rPr>
          <w:rFonts w:ascii="Arial" w:hAnsi="Arial" w:cs="Arial"/>
        </w:rPr>
      </w:pPr>
      <w:r w:rsidRPr="00B95644">
        <w:rPr>
          <w:rFonts w:ascii="Arial" w:hAnsi="Arial" w:cs="Arial"/>
        </w:rPr>
        <w:t>“The provisions of this Act shall not affect the provisions of any law prohibiting the acquisition of land or any right in land by prescription.”</w:t>
      </w:r>
    </w:p>
    <w:p w14:paraId="20ED712B" w14:textId="64C49A7A" w:rsidR="004E5C50"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[11]</w:t>
      </w:r>
      <w:r w:rsidRPr="00EE77AB">
        <w:rPr>
          <w:rFonts w:ascii="Arial" w:hAnsi="Arial" w:cs="Arial"/>
          <w:sz w:val="24"/>
          <w:szCs w:val="24"/>
        </w:rPr>
        <w:tab/>
      </w:r>
      <w:r w:rsidR="004E5C50" w:rsidRPr="00B236E3">
        <w:rPr>
          <w:rFonts w:ascii="Arial" w:hAnsi="Arial" w:cs="Arial"/>
          <w:sz w:val="24"/>
          <w:szCs w:val="24"/>
        </w:rPr>
        <w:t xml:space="preserve">Section 20 of the </w:t>
      </w:r>
      <w:r w:rsidR="004E5C50" w:rsidRPr="00B236E3">
        <w:rPr>
          <w:rFonts w:ascii="Arial" w:hAnsi="Arial" w:cs="Arial"/>
          <w:b/>
          <w:bCs/>
          <w:sz w:val="24"/>
          <w:szCs w:val="24"/>
        </w:rPr>
        <w:t>Prescription Act</w:t>
      </w:r>
      <w:r w:rsidR="004E5C50" w:rsidRPr="00B236E3">
        <w:rPr>
          <w:rFonts w:ascii="Arial" w:hAnsi="Arial" w:cs="Arial"/>
          <w:sz w:val="24"/>
          <w:szCs w:val="24"/>
        </w:rPr>
        <w:t xml:space="preserve"> is not applica</w:t>
      </w:r>
      <w:r w:rsidR="00010692" w:rsidRPr="00B236E3">
        <w:rPr>
          <w:rFonts w:ascii="Arial" w:hAnsi="Arial" w:cs="Arial"/>
          <w:sz w:val="24"/>
          <w:szCs w:val="24"/>
        </w:rPr>
        <w:t>ble where the Bantu</w:t>
      </w:r>
      <w:r w:rsidR="00307466" w:rsidRPr="00B236E3">
        <w:rPr>
          <w:rFonts w:ascii="Arial" w:hAnsi="Arial" w:cs="Arial"/>
          <w:sz w:val="24"/>
          <w:szCs w:val="24"/>
        </w:rPr>
        <w:t xml:space="preserve"> </w:t>
      </w:r>
      <w:r w:rsidR="00010692" w:rsidRPr="00B236E3">
        <w:rPr>
          <w:rFonts w:ascii="Arial" w:hAnsi="Arial" w:cs="Arial"/>
          <w:sz w:val="24"/>
          <w:szCs w:val="24"/>
        </w:rPr>
        <w:t xml:space="preserve">Law </w:t>
      </w:r>
      <w:proofErr w:type="gramStart"/>
      <w:r w:rsidR="00010692" w:rsidRPr="00B236E3">
        <w:rPr>
          <w:rFonts w:ascii="Arial" w:hAnsi="Arial" w:cs="Arial"/>
          <w:sz w:val="24"/>
          <w:szCs w:val="24"/>
        </w:rPr>
        <w:t>applies</w:t>
      </w:r>
      <w:proofErr w:type="gramEnd"/>
      <w:r w:rsidR="00010692" w:rsidRPr="00B236E3">
        <w:rPr>
          <w:rFonts w:ascii="Arial" w:hAnsi="Arial" w:cs="Arial"/>
          <w:sz w:val="24"/>
          <w:szCs w:val="24"/>
        </w:rPr>
        <w:t xml:space="preserve"> and it</w:t>
      </w:r>
      <w:r w:rsidR="004E5C50" w:rsidRPr="00B236E3">
        <w:rPr>
          <w:rFonts w:ascii="Arial" w:hAnsi="Arial" w:cs="Arial"/>
          <w:sz w:val="24"/>
          <w:szCs w:val="24"/>
        </w:rPr>
        <w:t xml:space="preserve"> </w:t>
      </w:r>
      <w:r w:rsidR="00F72ACD" w:rsidRPr="00B236E3">
        <w:rPr>
          <w:rFonts w:ascii="Arial" w:hAnsi="Arial" w:cs="Arial"/>
          <w:sz w:val="24"/>
          <w:szCs w:val="24"/>
        </w:rPr>
        <w:t xml:space="preserve">is </w:t>
      </w:r>
      <w:r w:rsidR="004E5C50" w:rsidRPr="00B236E3">
        <w:rPr>
          <w:rFonts w:ascii="Arial" w:hAnsi="Arial" w:cs="Arial"/>
          <w:sz w:val="24"/>
          <w:szCs w:val="24"/>
        </w:rPr>
        <w:t>stated as follows:</w:t>
      </w:r>
    </w:p>
    <w:p w14:paraId="501B3AF0" w14:textId="63A0A266" w:rsidR="004E5C50" w:rsidRPr="00F72ACD" w:rsidRDefault="004E5C50" w:rsidP="00777077">
      <w:pPr>
        <w:pStyle w:val="ListParagraph"/>
        <w:spacing w:after="240" w:line="360" w:lineRule="auto"/>
        <w:ind w:left="1134"/>
        <w:contextualSpacing w:val="0"/>
        <w:jc w:val="both"/>
        <w:rPr>
          <w:rFonts w:ascii="Arial" w:hAnsi="Arial" w:cs="Arial"/>
        </w:rPr>
      </w:pPr>
      <w:r w:rsidRPr="00F72ACD">
        <w:rPr>
          <w:rFonts w:ascii="Arial" w:hAnsi="Arial" w:cs="Arial"/>
        </w:rPr>
        <w:t>“In so far as any right or obligation of any person against the o</w:t>
      </w:r>
      <w:r w:rsidR="00607E6E">
        <w:rPr>
          <w:rFonts w:ascii="Arial" w:hAnsi="Arial" w:cs="Arial"/>
        </w:rPr>
        <w:t>ther person is governed by Black</w:t>
      </w:r>
      <w:r w:rsidRPr="00F72ACD">
        <w:rPr>
          <w:rFonts w:ascii="Arial" w:hAnsi="Arial" w:cs="Arial"/>
        </w:rPr>
        <w:t xml:space="preserve"> law, the provisions of the Act shall not apply.”</w:t>
      </w:r>
    </w:p>
    <w:p w14:paraId="3FB0EB7E" w14:textId="2BF4D572" w:rsidR="004E5C50"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[12]</w:t>
      </w:r>
      <w:r w:rsidRPr="00EE77AB">
        <w:rPr>
          <w:rFonts w:ascii="Arial" w:hAnsi="Arial" w:cs="Arial"/>
          <w:sz w:val="24"/>
          <w:szCs w:val="24"/>
        </w:rPr>
        <w:tab/>
      </w:r>
      <w:r w:rsidR="00010692" w:rsidRPr="00B236E3">
        <w:rPr>
          <w:rFonts w:ascii="Arial" w:hAnsi="Arial" w:cs="Arial"/>
          <w:sz w:val="24"/>
          <w:szCs w:val="24"/>
        </w:rPr>
        <w:t>The First and Second Respondent</w:t>
      </w:r>
      <w:r w:rsidR="00C308D4" w:rsidRPr="00B236E3">
        <w:rPr>
          <w:rFonts w:ascii="Arial" w:hAnsi="Arial" w:cs="Arial"/>
          <w:sz w:val="24"/>
          <w:szCs w:val="24"/>
        </w:rPr>
        <w:t>’s</w:t>
      </w:r>
      <w:r w:rsidR="003C76DB" w:rsidRPr="00B236E3">
        <w:rPr>
          <w:rFonts w:ascii="Arial" w:hAnsi="Arial" w:cs="Arial"/>
          <w:sz w:val="24"/>
          <w:szCs w:val="24"/>
        </w:rPr>
        <w:t xml:space="preserve"> contention</w:t>
      </w:r>
      <w:r w:rsidR="004E5C50" w:rsidRPr="00B236E3">
        <w:rPr>
          <w:rFonts w:ascii="Arial" w:hAnsi="Arial" w:cs="Arial"/>
          <w:sz w:val="24"/>
          <w:szCs w:val="24"/>
        </w:rPr>
        <w:t xml:space="preserve"> that the Applicants’ cause of action arose 20 years ago and thus the debt has prescribed whi</w:t>
      </w:r>
      <w:r w:rsidR="003C76DB" w:rsidRPr="00B236E3">
        <w:rPr>
          <w:rFonts w:ascii="Arial" w:hAnsi="Arial" w:cs="Arial"/>
          <w:sz w:val="24"/>
          <w:szCs w:val="24"/>
        </w:rPr>
        <w:t>ch claim the Applicants dispute, i</w:t>
      </w:r>
      <w:r w:rsidR="004E5C50" w:rsidRPr="00B236E3">
        <w:rPr>
          <w:rFonts w:ascii="Arial" w:hAnsi="Arial" w:cs="Arial"/>
          <w:sz w:val="24"/>
          <w:szCs w:val="24"/>
        </w:rPr>
        <w:t xml:space="preserve">n terms of section 20 of the </w:t>
      </w:r>
      <w:r w:rsidR="004E5C50" w:rsidRPr="00B236E3">
        <w:rPr>
          <w:rFonts w:ascii="Arial" w:hAnsi="Arial" w:cs="Arial"/>
          <w:b/>
          <w:sz w:val="24"/>
          <w:szCs w:val="24"/>
        </w:rPr>
        <w:t>Prescription Act</w:t>
      </w:r>
      <w:r w:rsidR="004E5C50" w:rsidRPr="00B236E3">
        <w:rPr>
          <w:rFonts w:ascii="Arial" w:hAnsi="Arial" w:cs="Arial"/>
          <w:sz w:val="24"/>
          <w:szCs w:val="24"/>
        </w:rPr>
        <w:t xml:space="preserve">, </w:t>
      </w:r>
      <w:r w:rsidR="00C308D4" w:rsidRPr="00B236E3">
        <w:rPr>
          <w:rFonts w:ascii="Arial" w:hAnsi="Arial" w:cs="Arial"/>
          <w:sz w:val="24"/>
          <w:szCs w:val="24"/>
        </w:rPr>
        <w:t xml:space="preserve">with reference to Section 20 of Prescription Act, </w:t>
      </w:r>
      <w:r w:rsidR="004E5C50" w:rsidRPr="00B236E3">
        <w:rPr>
          <w:rFonts w:ascii="Arial" w:hAnsi="Arial" w:cs="Arial"/>
          <w:sz w:val="24"/>
          <w:szCs w:val="24"/>
        </w:rPr>
        <w:t xml:space="preserve">it appears that </w:t>
      </w:r>
      <w:r w:rsidR="00307466" w:rsidRPr="00B236E3">
        <w:rPr>
          <w:rFonts w:ascii="Arial" w:hAnsi="Arial" w:cs="Arial"/>
          <w:sz w:val="24"/>
          <w:szCs w:val="24"/>
        </w:rPr>
        <w:t xml:space="preserve">it </w:t>
      </w:r>
      <w:r w:rsidR="004E5C50" w:rsidRPr="00B236E3">
        <w:rPr>
          <w:rFonts w:ascii="Arial" w:hAnsi="Arial" w:cs="Arial"/>
          <w:sz w:val="24"/>
          <w:szCs w:val="24"/>
        </w:rPr>
        <w:t xml:space="preserve">is not applicable in this instance. </w:t>
      </w:r>
    </w:p>
    <w:p w14:paraId="0147269B" w14:textId="07102EFB" w:rsidR="00BE6049"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[13]</w:t>
      </w:r>
      <w:r w:rsidRPr="00EE77AB">
        <w:rPr>
          <w:rFonts w:ascii="Arial" w:hAnsi="Arial" w:cs="Arial"/>
          <w:sz w:val="24"/>
          <w:szCs w:val="24"/>
        </w:rPr>
        <w:tab/>
      </w:r>
      <w:r w:rsidR="00307466" w:rsidRPr="00B236E3">
        <w:rPr>
          <w:rFonts w:ascii="Arial" w:hAnsi="Arial" w:cs="Arial"/>
          <w:sz w:val="24"/>
          <w:szCs w:val="24"/>
        </w:rPr>
        <w:t xml:space="preserve"> </w:t>
      </w:r>
      <w:r w:rsidR="00BE6049" w:rsidRPr="00B236E3">
        <w:rPr>
          <w:rFonts w:ascii="Arial" w:hAnsi="Arial" w:cs="Arial"/>
          <w:sz w:val="24"/>
          <w:szCs w:val="24"/>
        </w:rPr>
        <w:t xml:space="preserve">In my view and based </w:t>
      </w:r>
      <w:r w:rsidR="00AC2194" w:rsidRPr="00B236E3">
        <w:rPr>
          <w:rFonts w:ascii="Arial" w:hAnsi="Arial" w:cs="Arial"/>
          <w:sz w:val="24"/>
          <w:szCs w:val="24"/>
        </w:rPr>
        <w:t>on what is</w:t>
      </w:r>
      <w:r w:rsidR="0035105B" w:rsidRPr="00B236E3">
        <w:rPr>
          <w:rFonts w:ascii="Arial" w:hAnsi="Arial" w:cs="Arial"/>
          <w:sz w:val="24"/>
          <w:szCs w:val="24"/>
        </w:rPr>
        <w:t xml:space="preserve"> before me, it cannot be said that the Applicants</w:t>
      </w:r>
      <w:r w:rsidR="005B1746" w:rsidRPr="00B236E3">
        <w:rPr>
          <w:rFonts w:ascii="Arial" w:hAnsi="Arial" w:cs="Arial"/>
          <w:sz w:val="24"/>
          <w:szCs w:val="24"/>
        </w:rPr>
        <w:t>’</w:t>
      </w:r>
      <w:r w:rsidR="0035105B" w:rsidRPr="00B236E3">
        <w:rPr>
          <w:rFonts w:ascii="Arial" w:hAnsi="Arial" w:cs="Arial"/>
          <w:sz w:val="24"/>
          <w:szCs w:val="24"/>
        </w:rPr>
        <w:t xml:space="preserve"> claim has </w:t>
      </w:r>
      <w:proofErr w:type="gramStart"/>
      <w:r w:rsidR="0035105B" w:rsidRPr="00B236E3">
        <w:rPr>
          <w:rFonts w:ascii="Arial" w:hAnsi="Arial" w:cs="Arial"/>
          <w:sz w:val="24"/>
          <w:szCs w:val="24"/>
        </w:rPr>
        <w:t>prescribed</w:t>
      </w:r>
      <w:proofErr w:type="gramEnd"/>
      <w:r w:rsidR="0035105B" w:rsidRPr="00B236E3">
        <w:rPr>
          <w:rFonts w:ascii="Arial" w:hAnsi="Arial" w:cs="Arial"/>
          <w:sz w:val="24"/>
          <w:szCs w:val="24"/>
        </w:rPr>
        <w:t xml:space="preserve"> and that the application be dismissed, whereas section 18 of the </w:t>
      </w:r>
      <w:r w:rsidR="0035105B" w:rsidRPr="00B236E3">
        <w:rPr>
          <w:rFonts w:ascii="Arial" w:hAnsi="Arial" w:cs="Arial"/>
          <w:b/>
          <w:bCs/>
          <w:sz w:val="24"/>
          <w:szCs w:val="24"/>
        </w:rPr>
        <w:t>Prescription Act</w:t>
      </w:r>
      <w:r w:rsidR="0035105B" w:rsidRPr="00B236E3">
        <w:rPr>
          <w:rFonts w:ascii="Arial" w:hAnsi="Arial" w:cs="Arial"/>
          <w:sz w:val="24"/>
          <w:szCs w:val="24"/>
        </w:rPr>
        <w:t>, provides that laws prohibiting acquisition of land or any right in land by prescription are not affected by this provision of the Act.</w:t>
      </w:r>
    </w:p>
    <w:p w14:paraId="21A0B604" w14:textId="4EB923EA" w:rsidR="0035105B"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[14]</w:t>
      </w:r>
      <w:r w:rsidRPr="00EE77AB">
        <w:rPr>
          <w:rFonts w:ascii="Arial" w:hAnsi="Arial" w:cs="Arial"/>
          <w:sz w:val="24"/>
          <w:szCs w:val="24"/>
        </w:rPr>
        <w:tab/>
      </w:r>
      <w:r w:rsidR="00F65BA4" w:rsidRPr="00B236E3">
        <w:rPr>
          <w:rFonts w:ascii="Arial" w:hAnsi="Arial" w:cs="Arial"/>
          <w:sz w:val="24"/>
          <w:szCs w:val="24"/>
        </w:rPr>
        <w:t xml:space="preserve">The Applicants in their papers do not explain whether they were aware of the debt or when prescription commenced its run. The Second Respondent is neither clear except that the deceased had a buyout agreement with the Applicants, but that evidence was not substantiated with </w:t>
      </w:r>
      <w:r w:rsidR="00950977" w:rsidRPr="00B236E3">
        <w:rPr>
          <w:rFonts w:ascii="Arial" w:hAnsi="Arial" w:cs="Arial"/>
          <w:sz w:val="24"/>
          <w:szCs w:val="24"/>
        </w:rPr>
        <w:t>any proof.</w:t>
      </w:r>
    </w:p>
    <w:p w14:paraId="2D7389A7" w14:textId="0C56BB78" w:rsidR="00950977"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[15]</w:t>
      </w:r>
      <w:r w:rsidRPr="00EE77AB">
        <w:rPr>
          <w:rFonts w:ascii="Arial" w:hAnsi="Arial" w:cs="Arial"/>
          <w:sz w:val="24"/>
          <w:szCs w:val="24"/>
        </w:rPr>
        <w:tab/>
      </w:r>
      <w:r w:rsidR="00307466" w:rsidRPr="00B236E3">
        <w:rPr>
          <w:rFonts w:ascii="Arial" w:hAnsi="Arial" w:cs="Arial"/>
          <w:sz w:val="24"/>
          <w:szCs w:val="24"/>
        </w:rPr>
        <w:t>I</w:t>
      </w:r>
      <w:r w:rsidR="00950977" w:rsidRPr="00B236E3">
        <w:rPr>
          <w:rFonts w:ascii="Arial" w:hAnsi="Arial" w:cs="Arial"/>
          <w:sz w:val="24"/>
          <w:szCs w:val="24"/>
        </w:rPr>
        <w:t>n the opposing affidavit of the Second Respondent page 123, the following is noted:</w:t>
      </w:r>
    </w:p>
    <w:p w14:paraId="4474949C" w14:textId="24643130" w:rsidR="00950977" w:rsidRPr="005B1746" w:rsidRDefault="00700754" w:rsidP="00777077">
      <w:pPr>
        <w:pStyle w:val="ListParagraph"/>
        <w:spacing w:after="240" w:line="360" w:lineRule="auto"/>
        <w:ind w:left="1134"/>
        <w:contextualSpacing w:val="0"/>
        <w:jc w:val="both"/>
        <w:rPr>
          <w:rFonts w:ascii="Arial" w:hAnsi="Arial" w:cs="Arial"/>
        </w:rPr>
      </w:pPr>
      <w:r w:rsidRPr="005B1746">
        <w:rPr>
          <w:rFonts w:ascii="Arial" w:hAnsi="Arial" w:cs="Arial"/>
        </w:rPr>
        <w:t>“</w:t>
      </w:r>
      <w:r w:rsidR="00950977" w:rsidRPr="005B1746">
        <w:rPr>
          <w:rFonts w:ascii="Arial" w:hAnsi="Arial" w:cs="Arial"/>
        </w:rPr>
        <w:t>7.2.1</w:t>
      </w:r>
      <w:r w:rsidRPr="005B1746">
        <w:rPr>
          <w:rFonts w:ascii="Arial" w:hAnsi="Arial" w:cs="Arial"/>
        </w:rPr>
        <w:t xml:space="preserve"> I put it on record that after the death of </w:t>
      </w:r>
      <w:proofErr w:type="spellStart"/>
      <w:r w:rsidRPr="005B1746">
        <w:rPr>
          <w:rFonts w:ascii="Arial" w:hAnsi="Arial" w:cs="Arial"/>
        </w:rPr>
        <w:t>Dikeledi</w:t>
      </w:r>
      <w:proofErr w:type="spellEnd"/>
      <w:r w:rsidRPr="005B1746">
        <w:rPr>
          <w:rFonts w:ascii="Arial" w:hAnsi="Arial" w:cs="Arial"/>
        </w:rPr>
        <w:t xml:space="preserve"> Alina Molefe, the original owner</w:t>
      </w:r>
      <w:r w:rsidR="003078D2" w:rsidRPr="005B1746">
        <w:rPr>
          <w:rFonts w:ascii="Arial" w:hAnsi="Arial" w:cs="Arial"/>
        </w:rPr>
        <w:t xml:space="preserve">. </w:t>
      </w:r>
      <w:r w:rsidR="00AA5D1E" w:rsidRPr="005B1746">
        <w:rPr>
          <w:rFonts w:ascii="Arial" w:hAnsi="Arial" w:cs="Arial"/>
        </w:rPr>
        <w:t>(sic)</w:t>
      </w:r>
      <w:r w:rsidRPr="005B1746">
        <w:rPr>
          <w:rFonts w:ascii="Arial" w:hAnsi="Arial" w:cs="Arial"/>
        </w:rPr>
        <w:t xml:space="preserve"> My late husband Edgar Molefe paid his sister</w:t>
      </w:r>
      <w:r w:rsidR="00DB49D2">
        <w:rPr>
          <w:rFonts w:ascii="Arial" w:hAnsi="Arial" w:cs="Arial"/>
        </w:rPr>
        <w:t>s</w:t>
      </w:r>
      <w:r w:rsidR="003078D2" w:rsidRPr="005B1746">
        <w:rPr>
          <w:rFonts w:ascii="Arial" w:hAnsi="Arial" w:cs="Arial"/>
        </w:rPr>
        <w:t xml:space="preserve"> </w:t>
      </w:r>
      <w:r w:rsidRPr="005B1746">
        <w:rPr>
          <w:rFonts w:ascii="Arial" w:hAnsi="Arial" w:cs="Arial"/>
        </w:rPr>
        <w:t xml:space="preserve">Gloria Molefe and </w:t>
      </w:r>
      <w:proofErr w:type="spellStart"/>
      <w:r w:rsidRPr="005B1746">
        <w:rPr>
          <w:rFonts w:ascii="Arial" w:hAnsi="Arial" w:cs="Arial"/>
        </w:rPr>
        <w:t>Sefora</w:t>
      </w:r>
      <w:proofErr w:type="spellEnd"/>
      <w:r w:rsidRPr="005B1746">
        <w:rPr>
          <w:rFonts w:ascii="Arial" w:hAnsi="Arial" w:cs="Arial"/>
        </w:rPr>
        <w:t xml:space="preserve"> </w:t>
      </w:r>
      <w:proofErr w:type="spellStart"/>
      <w:r w:rsidRPr="005B1746">
        <w:rPr>
          <w:rFonts w:ascii="Arial" w:hAnsi="Arial" w:cs="Arial"/>
        </w:rPr>
        <w:t>Moliko</w:t>
      </w:r>
      <w:proofErr w:type="spellEnd"/>
      <w:r w:rsidRPr="005B1746">
        <w:rPr>
          <w:rFonts w:ascii="Arial" w:hAnsi="Arial" w:cs="Arial"/>
        </w:rPr>
        <w:t xml:space="preserve"> equal amounts of money proportionate to their inheritance </w:t>
      </w:r>
      <w:proofErr w:type="gramStart"/>
      <w:r w:rsidRPr="005B1746">
        <w:rPr>
          <w:rFonts w:ascii="Arial" w:hAnsi="Arial" w:cs="Arial"/>
        </w:rPr>
        <w:t>so as to</w:t>
      </w:r>
      <w:proofErr w:type="gramEnd"/>
      <w:r w:rsidRPr="005B1746">
        <w:rPr>
          <w:rFonts w:ascii="Arial" w:hAnsi="Arial" w:cs="Arial"/>
        </w:rPr>
        <w:t xml:space="preserve"> allow him to be the sole owner of the said property and to register it in his names and those of his ex-wife, Aletta Molefe before they got divorced.”</w:t>
      </w:r>
    </w:p>
    <w:p w14:paraId="47760B10" w14:textId="50768008" w:rsidR="00700754" w:rsidRPr="00B236E3" w:rsidRDefault="00B236E3" w:rsidP="00B236E3">
      <w:pPr>
        <w:spacing w:after="240" w:line="360" w:lineRule="auto"/>
        <w:ind w:left="567" w:hanging="567"/>
        <w:jc w:val="both"/>
        <w:rPr>
          <w:rFonts w:ascii="Arial" w:hAnsi="Arial" w:cs="Arial"/>
          <w:sz w:val="24"/>
          <w:szCs w:val="24"/>
        </w:rPr>
      </w:pPr>
      <w:r w:rsidRPr="00EE77AB">
        <w:rPr>
          <w:rFonts w:ascii="Arial" w:hAnsi="Arial" w:cs="Arial"/>
          <w:sz w:val="24"/>
          <w:szCs w:val="24"/>
        </w:rPr>
        <w:t>[16]</w:t>
      </w:r>
      <w:r w:rsidRPr="00EE77AB">
        <w:rPr>
          <w:rFonts w:ascii="Arial" w:hAnsi="Arial" w:cs="Arial"/>
          <w:sz w:val="24"/>
          <w:szCs w:val="24"/>
        </w:rPr>
        <w:tab/>
      </w:r>
      <w:r w:rsidR="00700754" w:rsidRPr="00B236E3">
        <w:rPr>
          <w:rFonts w:ascii="Arial" w:hAnsi="Arial" w:cs="Arial"/>
          <w:sz w:val="24"/>
          <w:szCs w:val="24"/>
        </w:rPr>
        <w:t>It is therefore unclear on the papers of the parties as to when prescription commenced, nor is it clear</w:t>
      </w:r>
      <w:r w:rsidR="00CB1664" w:rsidRPr="00B236E3">
        <w:rPr>
          <w:rFonts w:ascii="Arial" w:hAnsi="Arial" w:cs="Arial"/>
          <w:sz w:val="24"/>
          <w:szCs w:val="24"/>
        </w:rPr>
        <w:t xml:space="preserve"> if either of the parties had knowledge of who the </w:t>
      </w:r>
      <w:r w:rsidR="00CB1664" w:rsidRPr="00B236E3">
        <w:rPr>
          <w:rFonts w:ascii="Arial" w:hAnsi="Arial" w:cs="Arial"/>
          <w:color w:val="000000" w:themeColor="text1"/>
          <w:sz w:val="24"/>
          <w:szCs w:val="24"/>
        </w:rPr>
        <w:lastRenderedPageBreak/>
        <w:t>creditor</w:t>
      </w:r>
      <w:r w:rsidR="00D3442F" w:rsidRPr="00B236E3">
        <w:rPr>
          <w:rFonts w:ascii="Arial" w:hAnsi="Arial" w:cs="Arial"/>
          <w:color w:val="000000" w:themeColor="text1"/>
          <w:sz w:val="24"/>
          <w:szCs w:val="24"/>
        </w:rPr>
        <w:t xml:space="preserve"> is</w:t>
      </w:r>
      <w:r w:rsidR="00CB1664" w:rsidRPr="00B236E3">
        <w:rPr>
          <w:rFonts w:ascii="Arial" w:hAnsi="Arial" w:cs="Arial"/>
          <w:color w:val="000000" w:themeColor="text1"/>
          <w:sz w:val="24"/>
          <w:szCs w:val="24"/>
        </w:rPr>
        <w:t>.</w:t>
      </w:r>
      <w:r w:rsidR="00CB1664" w:rsidRPr="00B236E3">
        <w:rPr>
          <w:rFonts w:ascii="Arial" w:hAnsi="Arial" w:cs="Arial"/>
          <w:sz w:val="24"/>
          <w:szCs w:val="24"/>
        </w:rPr>
        <w:t xml:space="preserve"> The Second Respondent ma</w:t>
      </w:r>
      <w:r w:rsidR="00D3442F" w:rsidRPr="00B236E3">
        <w:rPr>
          <w:rFonts w:ascii="Arial" w:hAnsi="Arial" w:cs="Arial"/>
          <w:sz w:val="24"/>
          <w:szCs w:val="24"/>
        </w:rPr>
        <w:t>k</w:t>
      </w:r>
      <w:r w:rsidR="00CB1664" w:rsidRPr="00B236E3">
        <w:rPr>
          <w:rFonts w:ascii="Arial" w:hAnsi="Arial" w:cs="Arial"/>
          <w:sz w:val="24"/>
          <w:szCs w:val="24"/>
        </w:rPr>
        <w:t>e</w:t>
      </w:r>
      <w:r w:rsidR="00D3442F" w:rsidRPr="00B236E3">
        <w:rPr>
          <w:rFonts w:ascii="Arial" w:hAnsi="Arial" w:cs="Arial"/>
          <w:sz w:val="24"/>
          <w:szCs w:val="24"/>
        </w:rPr>
        <w:t>s</w:t>
      </w:r>
      <w:r w:rsidR="00CB1664" w:rsidRPr="00B236E3">
        <w:rPr>
          <w:rFonts w:ascii="Arial" w:hAnsi="Arial" w:cs="Arial"/>
          <w:sz w:val="24"/>
          <w:szCs w:val="24"/>
        </w:rPr>
        <w:t xml:space="preserve"> mention of </w:t>
      </w:r>
      <w:r w:rsidR="00397647" w:rsidRPr="00B236E3">
        <w:rPr>
          <w:rFonts w:ascii="Arial" w:hAnsi="Arial" w:cs="Arial"/>
          <w:sz w:val="24"/>
          <w:szCs w:val="24"/>
        </w:rPr>
        <w:t xml:space="preserve">a </w:t>
      </w:r>
      <w:r w:rsidR="00CB1664" w:rsidRPr="00B236E3">
        <w:rPr>
          <w:rFonts w:ascii="Arial" w:hAnsi="Arial" w:cs="Arial"/>
          <w:sz w:val="24"/>
          <w:szCs w:val="24"/>
        </w:rPr>
        <w:t>payment made by the late Edgar Molefe</w:t>
      </w:r>
      <w:r w:rsidR="00397647" w:rsidRPr="00B236E3">
        <w:rPr>
          <w:rFonts w:ascii="Arial" w:hAnsi="Arial" w:cs="Arial"/>
          <w:sz w:val="24"/>
          <w:szCs w:val="24"/>
        </w:rPr>
        <w:t xml:space="preserve"> to his sisters which is an equal amount of money proportionate to their </w:t>
      </w:r>
      <w:proofErr w:type="gramStart"/>
      <w:r w:rsidR="00397647" w:rsidRPr="00B236E3">
        <w:rPr>
          <w:rFonts w:ascii="Arial" w:hAnsi="Arial" w:cs="Arial"/>
          <w:sz w:val="24"/>
          <w:szCs w:val="24"/>
        </w:rPr>
        <w:t>inheritance</w:t>
      </w:r>
      <w:r w:rsidR="00CB1664" w:rsidRPr="00B236E3">
        <w:rPr>
          <w:rFonts w:ascii="Arial" w:hAnsi="Arial" w:cs="Arial"/>
          <w:sz w:val="24"/>
          <w:szCs w:val="24"/>
        </w:rPr>
        <w:t>, but</w:t>
      </w:r>
      <w:proofErr w:type="gramEnd"/>
      <w:r w:rsidR="00CB1664" w:rsidRPr="00B236E3">
        <w:rPr>
          <w:rFonts w:ascii="Arial" w:hAnsi="Arial" w:cs="Arial"/>
          <w:sz w:val="24"/>
          <w:szCs w:val="24"/>
        </w:rPr>
        <w:t xml:space="preserve"> attached no proof of such payment.</w:t>
      </w:r>
    </w:p>
    <w:p w14:paraId="33EB765B" w14:textId="2EE85BD2" w:rsidR="00246032"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B1664" w:rsidRPr="00B236E3">
        <w:rPr>
          <w:rFonts w:ascii="Arial" w:hAnsi="Arial" w:cs="Arial"/>
          <w:sz w:val="24"/>
          <w:szCs w:val="24"/>
        </w:rPr>
        <w:t>The Deed of Tr</w:t>
      </w:r>
      <w:r w:rsidR="00AE3E6D" w:rsidRPr="00B236E3">
        <w:rPr>
          <w:rFonts w:ascii="Arial" w:hAnsi="Arial" w:cs="Arial"/>
          <w:sz w:val="24"/>
          <w:szCs w:val="24"/>
        </w:rPr>
        <w:t>ansfer documents reflect that the</w:t>
      </w:r>
      <w:r w:rsidR="00CB1664" w:rsidRPr="00B236E3">
        <w:rPr>
          <w:rFonts w:ascii="Arial" w:hAnsi="Arial" w:cs="Arial"/>
          <w:sz w:val="24"/>
          <w:szCs w:val="24"/>
        </w:rPr>
        <w:t xml:space="preserve"> property was transferred</w:t>
      </w:r>
      <w:r w:rsidR="00AE3E6D" w:rsidRPr="00B236E3">
        <w:rPr>
          <w:rFonts w:ascii="Arial" w:hAnsi="Arial" w:cs="Arial"/>
          <w:sz w:val="24"/>
          <w:szCs w:val="24"/>
        </w:rPr>
        <w:t xml:space="preserve"> to </w:t>
      </w:r>
      <w:proofErr w:type="spellStart"/>
      <w:r w:rsidR="00CD5514" w:rsidRPr="00B236E3">
        <w:rPr>
          <w:rFonts w:ascii="Arial" w:hAnsi="Arial" w:cs="Arial"/>
          <w:sz w:val="24"/>
          <w:szCs w:val="24"/>
        </w:rPr>
        <w:t>L</w:t>
      </w:r>
      <w:r w:rsidR="00A87CA9" w:rsidRPr="00B236E3">
        <w:rPr>
          <w:rFonts w:ascii="Arial" w:hAnsi="Arial" w:cs="Arial"/>
          <w:sz w:val="24"/>
          <w:szCs w:val="24"/>
        </w:rPr>
        <w:t>ikeledi</w:t>
      </w:r>
      <w:proofErr w:type="spellEnd"/>
      <w:r w:rsidR="00A87CA9" w:rsidRPr="00B236E3">
        <w:rPr>
          <w:rFonts w:ascii="Arial" w:hAnsi="Arial" w:cs="Arial"/>
          <w:sz w:val="24"/>
          <w:szCs w:val="24"/>
        </w:rPr>
        <w:t xml:space="preserve"> </w:t>
      </w:r>
      <w:r w:rsidR="00AE3E6D" w:rsidRPr="00B236E3">
        <w:rPr>
          <w:rFonts w:ascii="Arial" w:hAnsi="Arial" w:cs="Arial"/>
          <w:sz w:val="24"/>
          <w:szCs w:val="24"/>
        </w:rPr>
        <w:t xml:space="preserve">Alina Molefe on 25 March 1992. Then the transfer was </w:t>
      </w:r>
      <w:proofErr w:type="gramStart"/>
      <w:r w:rsidR="00AE3E6D" w:rsidRPr="00B236E3">
        <w:rPr>
          <w:rFonts w:ascii="Arial" w:hAnsi="Arial" w:cs="Arial"/>
          <w:sz w:val="24"/>
          <w:szCs w:val="24"/>
        </w:rPr>
        <w:t>effected</w:t>
      </w:r>
      <w:proofErr w:type="gramEnd"/>
      <w:r w:rsidR="00AE3E6D" w:rsidRPr="00B236E3">
        <w:rPr>
          <w:rFonts w:ascii="Arial" w:hAnsi="Arial" w:cs="Arial"/>
          <w:sz w:val="24"/>
          <w:szCs w:val="24"/>
        </w:rPr>
        <w:t xml:space="preserve"> to Edgar and Aletta </w:t>
      </w:r>
      <w:proofErr w:type="spellStart"/>
      <w:r w:rsidR="00CD5514" w:rsidRPr="00B236E3">
        <w:rPr>
          <w:rFonts w:ascii="Arial" w:hAnsi="Arial" w:cs="Arial"/>
          <w:sz w:val="24"/>
          <w:szCs w:val="24"/>
        </w:rPr>
        <w:t>Alphonsina</w:t>
      </w:r>
      <w:proofErr w:type="spellEnd"/>
      <w:r w:rsidR="00CD5514" w:rsidRPr="00B236E3">
        <w:rPr>
          <w:rFonts w:ascii="Arial" w:hAnsi="Arial" w:cs="Arial"/>
          <w:sz w:val="24"/>
          <w:szCs w:val="24"/>
        </w:rPr>
        <w:t xml:space="preserve"> </w:t>
      </w:r>
      <w:r w:rsidR="00AE3E6D" w:rsidRPr="00B236E3">
        <w:rPr>
          <w:rFonts w:ascii="Arial" w:hAnsi="Arial" w:cs="Arial"/>
          <w:sz w:val="24"/>
          <w:szCs w:val="24"/>
        </w:rPr>
        <w:t xml:space="preserve">Molefe </w:t>
      </w:r>
      <w:r w:rsidR="00CD5514" w:rsidRPr="00B236E3">
        <w:rPr>
          <w:rFonts w:ascii="Arial" w:hAnsi="Arial" w:cs="Arial"/>
          <w:sz w:val="24"/>
          <w:szCs w:val="24"/>
        </w:rPr>
        <w:t xml:space="preserve">on </w:t>
      </w:r>
      <w:r w:rsidR="00AE3E6D" w:rsidRPr="00B236E3">
        <w:rPr>
          <w:rFonts w:ascii="Arial" w:hAnsi="Arial" w:cs="Arial"/>
          <w:sz w:val="24"/>
          <w:szCs w:val="24"/>
        </w:rPr>
        <w:t>29 June 2018</w:t>
      </w:r>
      <w:r w:rsidR="00C308D4" w:rsidRPr="00B236E3">
        <w:rPr>
          <w:rFonts w:ascii="Arial" w:hAnsi="Arial" w:cs="Arial"/>
          <w:sz w:val="24"/>
          <w:szCs w:val="24"/>
        </w:rPr>
        <w:t xml:space="preserve">.  The said </w:t>
      </w:r>
      <w:r w:rsidR="00CD5514" w:rsidRPr="00B236E3">
        <w:rPr>
          <w:rFonts w:ascii="Arial" w:hAnsi="Arial" w:cs="Arial"/>
          <w:sz w:val="24"/>
          <w:szCs w:val="24"/>
        </w:rPr>
        <w:t>property was transferred to Edgar Molefe and Thandiwe Faith Molefe</w:t>
      </w:r>
      <w:r w:rsidR="00AE3E6D" w:rsidRPr="00B236E3">
        <w:rPr>
          <w:rFonts w:ascii="Arial" w:hAnsi="Arial" w:cs="Arial"/>
          <w:sz w:val="24"/>
          <w:szCs w:val="24"/>
        </w:rPr>
        <w:t xml:space="preserve">. In </w:t>
      </w:r>
      <w:r w:rsidR="00AE3E6D" w:rsidRPr="00B236E3">
        <w:rPr>
          <w:rFonts w:ascii="Arial" w:hAnsi="Arial" w:cs="Arial"/>
          <w:b/>
          <w:sz w:val="24"/>
          <w:szCs w:val="24"/>
        </w:rPr>
        <w:t>Eskom v Bojanala Platinu</w:t>
      </w:r>
      <w:r w:rsidR="0045753F" w:rsidRPr="00B236E3">
        <w:rPr>
          <w:rFonts w:ascii="Arial" w:hAnsi="Arial" w:cs="Arial"/>
          <w:b/>
          <w:sz w:val="24"/>
          <w:szCs w:val="24"/>
        </w:rPr>
        <w:t>m District Municipality</w:t>
      </w:r>
      <w:r w:rsidR="0045753F" w:rsidRPr="00EE77AB">
        <w:rPr>
          <w:rStyle w:val="FootnoteReference"/>
          <w:rFonts w:ascii="Arial" w:hAnsi="Arial" w:cs="Arial"/>
          <w:sz w:val="24"/>
          <w:szCs w:val="24"/>
        </w:rPr>
        <w:footnoteReference w:id="3"/>
      </w:r>
      <w:r w:rsidR="00AF142C" w:rsidRPr="00B236E3">
        <w:rPr>
          <w:rFonts w:ascii="Arial" w:hAnsi="Arial" w:cs="Arial"/>
          <w:b/>
          <w:sz w:val="24"/>
          <w:szCs w:val="24"/>
        </w:rPr>
        <w:t xml:space="preserve"> </w:t>
      </w:r>
      <w:r w:rsidR="004E50BE" w:rsidRPr="00B236E3">
        <w:rPr>
          <w:rFonts w:ascii="Arial" w:hAnsi="Arial" w:cs="Arial"/>
          <w:sz w:val="24"/>
          <w:szCs w:val="24"/>
        </w:rPr>
        <w:t xml:space="preserve">, </w:t>
      </w:r>
      <w:proofErr w:type="spellStart"/>
      <w:r w:rsidR="004E50BE" w:rsidRPr="00B236E3">
        <w:rPr>
          <w:rFonts w:ascii="Arial" w:hAnsi="Arial" w:cs="Arial"/>
          <w:sz w:val="24"/>
          <w:szCs w:val="24"/>
        </w:rPr>
        <w:t>Moseneke</w:t>
      </w:r>
      <w:proofErr w:type="spellEnd"/>
      <w:r w:rsidR="004E50BE" w:rsidRPr="00B236E3">
        <w:rPr>
          <w:rFonts w:ascii="Arial" w:hAnsi="Arial" w:cs="Arial"/>
          <w:sz w:val="24"/>
          <w:szCs w:val="24"/>
        </w:rPr>
        <w:t xml:space="preserve"> J (as he then was) said the following:</w:t>
      </w:r>
    </w:p>
    <w:p w14:paraId="73A4FDFD" w14:textId="3DD17F37" w:rsidR="00246032" w:rsidRDefault="004E50BE" w:rsidP="00777077">
      <w:pPr>
        <w:pStyle w:val="ListParagraph"/>
        <w:spacing w:after="240" w:line="360" w:lineRule="auto"/>
        <w:ind w:left="1134"/>
        <w:contextualSpacing w:val="0"/>
        <w:jc w:val="both"/>
        <w:rPr>
          <w:rFonts w:ascii="Arial" w:hAnsi="Arial" w:cs="Arial"/>
          <w:sz w:val="24"/>
          <w:szCs w:val="24"/>
        </w:rPr>
      </w:pPr>
      <w:r w:rsidRPr="00246032">
        <w:rPr>
          <w:rFonts w:ascii="Arial" w:hAnsi="Arial" w:cs="Arial"/>
        </w:rPr>
        <w:t>“The essence of this submission is that a claim or debt does not become due when the facts from which it arose are known to the claimant, but only when such claimant has acquired certainty in regard to the law and attendant rights and obligation</w:t>
      </w:r>
      <w:r w:rsidR="00ED7A4D">
        <w:rPr>
          <w:rFonts w:ascii="Arial" w:hAnsi="Arial" w:cs="Arial"/>
        </w:rPr>
        <w:t>s</w:t>
      </w:r>
      <w:r w:rsidRPr="00246032">
        <w:rPr>
          <w:rFonts w:ascii="Arial" w:hAnsi="Arial" w:cs="Arial"/>
        </w:rPr>
        <w:t xml:space="preserve"> that might be applicable to such</w:t>
      </w:r>
      <w:r w:rsidR="00ED7A4D">
        <w:rPr>
          <w:rFonts w:ascii="Arial" w:hAnsi="Arial" w:cs="Arial"/>
        </w:rPr>
        <w:t xml:space="preserve"> a</w:t>
      </w:r>
      <w:r w:rsidRPr="00246032">
        <w:rPr>
          <w:rFonts w:ascii="Arial" w:hAnsi="Arial" w:cs="Arial"/>
        </w:rPr>
        <w:t xml:space="preserve"> debt.</w:t>
      </w:r>
      <w:r w:rsidR="00B82F4A" w:rsidRPr="00246032">
        <w:rPr>
          <w:rFonts w:ascii="Arial" w:hAnsi="Arial" w:cs="Arial"/>
        </w:rPr>
        <w:t>”</w:t>
      </w:r>
      <w:r w:rsidR="00253771" w:rsidRPr="00246032">
        <w:rPr>
          <w:rFonts w:ascii="Arial" w:hAnsi="Arial" w:cs="Arial"/>
        </w:rPr>
        <w:t xml:space="preserve"> </w:t>
      </w:r>
    </w:p>
    <w:p w14:paraId="27DE4CE9" w14:textId="1AEBDC93" w:rsidR="00B03347" w:rsidRPr="00B236E3" w:rsidRDefault="00B236E3" w:rsidP="00B236E3">
      <w:pPr>
        <w:spacing w:after="240" w:line="360" w:lineRule="auto"/>
        <w:ind w:left="567" w:hanging="567"/>
        <w:jc w:val="both"/>
        <w:rPr>
          <w:rFonts w:ascii="Arial" w:hAnsi="Arial" w:cs="Arial"/>
          <w:sz w:val="24"/>
          <w:szCs w:val="24"/>
        </w:rPr>
      </w:pPr>
      <w:r w:rsidRPr="00B03347">
        <w:rPr>
          <w:rFonts w:ascii="Arial" w:hAnsi="Arial" w:cs="Arial"/>
          <w:sz w:val="24"/>
          <w:szCs w:val="24"/>
        </w:rPr>
        <w:t>[18]</w:t>
      </w:r>
      <w:r w:rsidRPr="00B03347">
        <w:rPr>
          <w:rFonts w:ascii="Arial" w:hAnsi="Arial" w:cs="Arial"/>
          <w:sz w:val="24"/>
          <w:szCs w:val="24"/>
        </w:rPr>
        <w:tab/>
      </w:r>
      <w:r w:rsidR="00706794" w:rsidRPr="00B236E3">
        <w:rPr>
          <w:rFonts w:ascii="Arial" w:hAnsi="Arial" w:cs="Arial"/>
          <w:color w:val="000000" w:themeColor="text1"/>
          <w:sz w:val="24"/>
          <w:szCs w:val="24"/>
        </w:rPr>
        <w:t xml:space="preserve">In my view </w:t>
      </w:r>
      <w:r w:rsidR="00253771" w:rsidRPr="00B236E3">
        <w:rPr>
          <w:rFonts w:ascii="Arial" w:hAnsi="Arial" w:cs="Arial"/>
          <w:color w:val="000000" w:themeColor="text1"/>
          <w:sz w:val="24"/>
          <w:szCs w:val="24"/>
        </w:rPr>
        <w:t>prescription</w:t>
      </w:r>
      <w:r w:rsidR="00155224" w:rsidRPr="00B236E3">
        <w:rPr>
          <w:rFonts w:ascii="Arial" w:hAnsi="Arial" w:cs="Arial"/>
          <w:color w:val="000000" w:themeColor="text1"/>
          <w:sz w:val="24"/>
          <w:szCs w:val="24"/>
        </w:rPr>
        <w:t xml:space="preserve"> is therefore</w:t>
      </w:r>
      <w:r w:rsidR="00E0057D" w:rsidRPr="00B236E3">
        <w:rPr>
          <w:rFonts w:ascii="Arial" w:hAnsi="Arial" w:cs="Arial"/>
          <w:color w:val="000000" w:themeColor="text1"/>
          <w:sz w:val="24"/>
          <w:szCs w:val="24"/>
        </w:rPr>
        <w:t xml:space="preserve"> misplaced</w:t>
      </w:r>
      <w:r w:rsidR="00253771" w:rsidRPr="00B236E3">
        <w:rPr>
          <w:rFonts w:ascii="Arial" w:hAnsi="Arial" w:cs="Arial"/>
          <w:color w:val="000000" w:themeColor="text1"/>
          <w:sz w:val="24"/>
          <w:szCs w:val="24"/>
        </w:rPr>
        <w:t xml:space="preserve"> </w:t>
      </w:r>
      <w:r w:rsidR="00155224" w:rsidRPr="00B236E3">
        <w:rPr>
          <w:rFonts w:ascii="Arial" w:hAnsi="Arial" w:cs="Arial"/>
          <w:color w:val="000000" w:themeColor="text1"/>
          <w:sz w:val="24"/>
          <w:szCs w:val="24"/>
        </w:rPr>
        <w:t xml:space="preserve">as </w:t>
      </w:r>
      <w:r w:rsidR="00253771" w:rsidRPr="00B236E3">
        <w:rPr>
          <w:rFonts w:ascii="Arial" w:hAnsi="Arial" w:cs="Arial"/>
          <w:color w:val="000000" w:themeColor="text1"/>
          <w:sz w:val="24"/>
          <w:szCs w:val="24"/>
        </w:rPr>
        <w:t>at the time the cause of action arose</w:t>
      </w:r>
      <w:r w:rsidR="00E0057D" w:rsidRPr="00B236E3">
        <w:rPr>
          <w:rFonts w:ascii="Arial" w:hAnsi="Arial" w:cs="Arial"/>
          <w:color w:val="000000" w:themeColor="text1"/>
          <w:sz w:val="24"/>
          <w:szCs w:val="24"/>
        </w:rPr>
        <w:t>,</w:t>
      </w:r>
      <w:r w:rsidR="00253771" w:rsidRPr="00B236E3">
        <w:rPr>
          <w:rFonts w:ascii="Arial" w:hAnsi="Arial" w:cs="Arial"/>
          <w:color w:val="000000" w:themeColor="text1"/>
          <w:sz w:val="24"/>
          <w:szCs w:val="24"/>
        </w:rPr>
        <w:t xml:space="preserve"> the property was still administered under the </w:t>
      </w:r>
      <w:r w:rsidR="00253771" w:rsidRPr="00B236E3">
        <w:rPr>
          <w:rFonts w:ascii="Arial" w:hAnsi="Arial" w:cs="Arial"/>
          <w:b/>
          <w:color w:val="000000" w:themeColor="text1"/>
          <w:sz w:val="24"/>
          <w:szCs w:val="24"/>
        </w:rPr>
        <w:t>Bla</w:t>
      </w:r>
      <w:r w:rsidR="00A519CC" w:rsidRPr="00B236E3">
        <w:rPr>
          <w:rFonts w:ascii="Arial" w:hAnsi="Arial" w:cs="Arial"/>
          <w:b/>
          <w:color w:val="000000" w:themeColor="text1"/>
          <w:sz w:val="24"/>
          <w:szCs w:val="24"/>
        </w:rPr>
        <w:t>ck Administration</w:t>
      </w:r>
      <w:r w:rsidR="00C308D4" w:rsidRPr="00B236E3">
        <w:rPr>
          <w:rFonts w:ascii="Arial" w:hAnsi="Arial" w:cs="Arial"/>
          <w:b/>
          <w:color w:val="000000" w:themeColor="text1"/>
          <w:sz w:val="24"/>
          <w:szCs w:val="24"/>
        </w:rPr>
        <w:t>.</w:t>
      </w:r>
      <w:r w:rsidR="00A519CC" w:rsidRPr="00EE77AB">
        <w:rPr>
          <w:rStyle w:val="FootnoteReference"/>
          <w:rFonts w:ascii="Arial" w:hAnsi="Arial" w:cs="Arial"/>
          <w:color w:val="000000" w:themeColor="text1"/>
          <w:sz w:val="24"/>
          <w:szCs w:val="24"/>
        </w:rPr>
        <w:footnoteReference w:id="4"/>
      </w:r>
    </w:p>
    <w:p w14:paraId="7E52773C" w14:textId="42EFDDBE" w:rsidR="00B03347"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D02E8" w:rsidRPr="00B236E3">
        <w:rPr>
          <w:rFonts w:ascii="Arial" w:hAnsi="Arial" w:cs="Arial"/>
          <w:sz w:val="24"/>
          <w:szCs w:val="24"/>
        </w:rPr>
        <w:t>Section 3</w:t>
      </w:r>
      <w:r w:rsidR="003E2115" w:rsidRPr="00B236E3">
        <w:rPr>
          <w:rFonts w:ascii="Arial" w:hAnsi="Arial" w:cs="Arial"/>
          <w:sz w:val="24"/>
          <w:szCs w:val="24"/>
        </w:rPr>
        <w:t xml:space="preserve"> and 5 of </w:t>
      </w:r>
      <w:r w:rsidR="003E2115" w:rsidRPr="00B236E3">
        <w:rPr>
          <w:rFonts w:ascii="Arial" w:hAnsi="Arial" w:cs="Arial"/>
          <w:b/>
          <w:bCs/>
          <w:sz w:val="24"/>
          <w:szCs w:val="24"/>
        </w:rPr>
        <w:t>Black Administration Act</w:t>
      </w:r>
      <w:r w:rsidR="00253771" w:rsidRPr="00B236E3">
        <w:rPr>
          <w:rFonts w:ascii="Arial" w:hAnsi="Arial" w:cs="Arial"/>
          <w:sz w:val="24"/>
          <w:szCs w:val="24"/>
        </w:rPr>
        <w:t>, pre-constitution was as follows:</w:t>
      </w:r>
    </w:p>
    <w:p w14:paraId="5A20C0E9" w14:textId="417759B3" w:rsidR="00B03347" w:rsidRPr="00B03347" w:rsidRDefault="00253771" w:rsidP="00B03347">
      <w:pPr>
        <w:pStyle w:val="ListParagraph"/>
        <w:spacing w:after="240" w:line="360" w:lineRule="auto"/>
        <w:ind w:left="1134"/>
        <w:contextualSpacing w:val="0"/>
        <w:jc w:val="both"/>
        <w:rPr>
          <w:rFonts w:ascii="Arial" w:hAnsi="Arial" w:cs="Arial"/>
          <w:sz w:val="24"/>
          <w:szCs w:val="24"/>
        </w:rPr>
      </w:pPr>
      <w:r w:rsidRPr="00B03347">
        <w:rPr>
          <w:rFonts w:ascii="Arial" w:hAnsi="Arial" w:cs="Arial"/>
        </w:rPr>
        <w:t>“3. All other property of whatsoever kind belongs to a Native shall be capable of being devised by a will. Any such property not so devised, shall devolve and be administered accord</w:t>
      </w:r>
      <w:r w:rsidR="00ED73D5">
        <w:rPr>
          <w:rFonts w:ascii="Arial" w:hAnsi="Arial" w:cs="Arial"/>
        </w:rPr>
        <w:t>ing to Native Law and customs</w:t>
      </w:r>
      <w:proofErr w:type="gramStart"/>
      <w:r w:rsidR="00ED73D5">
        <w:rPr>
          <w:rFonts w:ascii="Arial" w:hAnsi="Arial" w:cs="Arial"/>
        </w:rPr>
        <w:t>… .</w:t>
      </w:r>
      <w:proofErr w:type="gramEnd"/>
      <w:r w:rsidRPr="00B03347">
        <w:rPr>
          <w:rFonts w:ascii="Arial" w:hAnsi="Arial" w:cs="Arial"/>
        </w:rPr>
        <w:t>”</w:t>
      </w:r>
    </w:p>
    <w:p w14:paraId="103C8AF5" w14:textId="77777777" w:rsidR="00B03347" w:rsidRPr="00B03347" w:rsidRDefault="00CE1BE2" w:rsidP="00B03347">
      <w:pPr>
        <w:pStyle w:val="ListParagraph"/>
        <w:spacing w:after="240" w:line="360" w:lineRule="auto"/>
        <w:ind w:left="1134"/>
        <w:contextualSpacing w:val="0"/>
        <w:jc w:val="both"/>
        <w:rPr>
          <w:rFonts w:ascii="Arial" w:hAnsi="Arial" w:cs="Arial"/>
          <w:sz w:val="24"/>
          <w:szCs w:val="24"/>
        </w:rPr>
      </w:pPr>
      <w:r w:rsidRPr="00B03347">
        <w:rPr>
          <w:rFonts w:ascii="Arial" w:hAnsi="Arial" w:cs="Arial"/>
          <w:color w:val="000000" w:themeColor="text1"/>
        </w:rPr>
        <w:t xml:space="preserve">5. Any claim or dispute </w:t>
      </w:r>
      <w:proofErr w:type="gramStart"/>
      <w:r w:rsidRPr="00B03347">
        <w:rPr>
          <w:rFonts w:ascii="Arial" w:hAnsi="Arial" w:cs="Arial"/>
          <w:color w:val="000000" w:themeColor="text1"/>
        </w:rPr>
        <w:t>in regard to</w:t>
      </w:r>
      <w:proofErr w:type="gramEnd"/>
      <w:r w:rsidRPr="00B03347">
        <w:rPr>
          <w:rFonts w:ascii="Arial" w:hAnsi="Arial" w:cs="Arial"/>
          <w:color w:val="000000" w:themeColor="text1"/>
        </w:rPr>
        <w:t xml:space="preserve"> the administration or distribution of any state of a deceased nature, shall unless all the parties are concerned are native, be decided in an ordinary court of competent jurisdiction.”</w:t>
      </w:r>
    </w:p>
    <w:p w14:paraId="562FEF86" w14:textId="184162E3" w:rsidR="00B03347"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55224" w:rsidRPr="00B236E3">
        <w:rPr>
          <w:rFonts w:ascii="Arial" w:hAnsi="Arial" w:cs="Arial"/>
          <w:sz w:val="24"/>
          <w:szCs w:val="24"/>
        </w:rPr>
        <w:t xml:space="preserve">Prior </w:t>
      </w:r>
      <w:r w:rsidR="00CE1BE2" w:rsidRPr="00B236E3">
        <w:rPr>
          <w:rFonts w:ascii="Arial" w:hAnsi="Arial" w:cs="Arial"/>
          <w:sz w:val="24"/>
          <w:szCs w:val="24"/>
        </w:rPr>
        <w:t xml:space="preserve">the era of our </w:t>
      </w:r>
      <w:r w:rsidR="00B03347" w:rsidRPr="00B236E3">
        <w:rPr>
          <w:rFonts w:ascii="Arial" w:hAnsi="Arial" w:cs="Arial"/>
          <w:sz w:val="24"/>
          <w:szCs w:val="24"/>
        </w:rPr>
        <w:t>C</w:t>
      </w:r>
      <w:r w:rsidR="00CE1BE2" w:rsidRPr="00B236E3">
        <w:rPr>
          <w:rFonts w:ascii="Arial" w:hAnsi="Arial" w:cs="Arial"/>
          <w:sz w:val="24"/>
          <w:szCs w:val="24"/>
        </w:rPr>
        <w:t xml:space="preserve">onstitution, the </w:t>
      </w:r>
      <w:r w:rsidR="00CE1BE2" w:rsidRPr="00B236E3">
        <w:rPr>
          <w:rFonts w:ascii="Arial" w:hAnsi="Arial" w:cs="Arial"/>
          <w:b/>
          <w:bCs/>
          <w:sz w:val="24"/>
          <w:szCs w:val="24"/>
        </w:rPr>
        <w:t>Black Administration Act</w:t>
      </w:r>
      <w:r w:rsidR="00CE1BE2" w:rsidRPr="00B236E3">
        <w:rPr>
          <w:rFonts w:ascii="Arial" w:hAnsi="Arial" w:cs="Arial"/>
          <w:sz w:val="24"/>
          <w:szCs w:val="24"/>
        </w:rPr>
        <w:t xml:space="preserve"> was indeed </w:t>
      </w:r>
      <w:proofErr w:type="gramStart"/>
      <w:r w:rsidR="00CE1BE2" w:rsidRPr="00B236E3">
        <w:rPr>
          <w:rFonts w:ascii="Arial" w:hAnsi="Arial" w:cs="Arial"/>
          <w:sz w:val="24"/>
          <w:szCs w:val="24"/>
        </w:rPr>
        <w:t>unconstitutional</w:t>
      </w:r>
      <w:proofErr w:type="gramEnd"/>
      <w:r w:rsidR="00CE1BE2" w:rsidRPr="00B236E3">
        <w:rPr>
          <w:rFonts w:ascii="Arial" w:hAnsi="Arial" w:cs="Arial"/>
          <w:sz w:val="24"/>
          <w:szCs w:val="24"/>
        </w:rPr>
        <w:t xml:space="preserve"> and parties cannot rely on it based on its male primogeniture. In this regard, the Second Respondent relied on the fact that the deceased, Edgar Molefe was the only male child of the late </w:t>
      </w:r>
      <w:proofErr w:type="spellStart"/>
      <w:r w:rsidR="00CE1BE2" w:rsidRPr="00B236E3">
        <w:rPr>
          <w:rFonts w:ascii="Arial" w:hAnsi="Arial" w:cs="Arial"/>
          <w:sz w:val="24"/>
          <w:szCs w:val="24"/>
        </w:rPr>
        <w:t>Dikeledi</w:t>
      </w:r>
      <w:proofErr w:type="spellEnd"/>
      <w:r w:rsidR="00CE1BE2" w:rsidRPr="00B236E3">
        <w:rPr>
          <w:rFonts w:ascii="Arial" w:hAnsi="Arial" w:cs="Arial"/>
          <w:sz w:val="24"/>
          <w:szCs w:val="24"/>
        </w:rPr>
        <w:t xml:space="preserve"> Molefe, hence the property was registered in his name. Section 9</w:t>
      </w:r>
      <w:r w:rsidR="002D2C00" w:rsidRPr="00B236E3">
        <w:rPr>
          <w:rFonts w:ascii="Arial" w:hAnsi="Arial" w:cs="Arial"/>
          <w:sz w:val="24"/>
          <w:szCs w:val="24"/>
        </w:rPr>
        <w:t>(1)</w:t>
      </w:r>
      <w:r w:rsidR="00CE1BE2" w:rsidRPr="00B236E3">
        <w:rPr>
          <w:rFonts w:ascii="Arial" w:hAnsi="Arial" w:cs="Arial"/>
          <w:sz w:val="24"/>
          <w:szCs w:val="24"/>
        </w:rPr>
        <w:t xml:space="preserve"> of the </w:t>
      </w:r>
      <w:r w:rsidR="00CE1BE2" w:rsidRPr="00B236E3">
        <w:rPr>
          <w:rFonts w:ascii="Arial" w:hAnsi="Arial" w:cs="Arial"/>
          <w:b/>
          <w:sz w:val="24"/>
          <w:szCs w:val="24"/>
        </w:rPr>
        <w:t>Constitution of the Re</w:t>
      </w:r>
      <w:r w:rsidR="00801F9A" w:rsidRPr="00B236E3">
        <w:rPr>
          <w:rFonts w:ascii="Arial" w:hAnsi="Arial" w:cs="Arial"/>
          <w:b/>
          <w:sz w:val="24"/>
          <w:szCs w:val="24"/>
        </w:rPr>
        <w:t xml:space="preserve">public of </w:t>
      </w:r>
      <w:r w:rsidR="00801F9A" w:rsidRPr="00B236E3">
        <w:rPr>
          <w:rFonts w:ascii="Arial" w:hAnsi="Arial" w:cs="Arial"/>
          <w:b/>
          <w:sz w:val="24"/>
          <w:szCs w:val="24"/>
        </w:rPr>
        <w:lastRenderedPageBreak/>
        <w:t>South Africa</w:t>
      </w:r>
      <w:r w:rsidR="00155224" w:rsidRPr="00B236E3">
        <w:rPr>
          <w:rFonts w:ascii="Arial" w:hAnsi="Arial" w:cs="Arial"/>
          <w:b/>
          <w:sz w:val="24"/>
          <w:szCs w:val="24"/>
        </w:rPr>
        <w:t>,</w:t>
      </w:r>
      <w:r w:rsidR="00801F9A" w:rsidRPr="00EE77AB">
        <w:rPr>
          <w:rStyle w:val="FootnoteReference"/>
          <w:rFonts w:ascii="Arial" w:hAnsi="Arial" w:cs="Arial"/>
          <w:sz w:val="24"/>
          <w:szCs w:val="24"/>
        </w:rPr>
        <w:footnoteReference w:id="5"/>
      </w:r>
      <w:r w:rsidR="00801F9A" w:rsidRPr="00B236E3">
        <w:rPr>
          <w:rFonts w:ascii="Arial" w:hAnsi="Arial" w:cs="Arial"/>
          <w:sz w:val="24"/>
          <w:szCs w:val="24"/>
        </w:rPr>
        <w:t xml:space="preserve"> </w:t>
      </w:r>
      <w:r w:rsidR="00CE1BE2" w:rsidRPr="00B236E3">
        <w:rPr>
          <w:rFonts w:ascii="Arial" w:hAnsi="Arial" w:cs="Arial"/>
          <w:sz w:val="24"/>
          <w:szCs w:val="24"/>
        </w:rPr>
        <w:t xml:space="preserve">is very clear that </w:t>
      </w:r>
      <w:r w:rsidR="00685672" w:rsidRPr="00B236E3">
        <w:rPr>
          <w:rFonts w:ascii="Arial" w:hAnsi="Arial" w:cs="Arial"/>
          <w:sz w:val="24"/>
          <w:szCs w:val="24"/>
        </w:rPr>
        <w:t>“</w:t>
      </w:r>
      <w:r w:rsidR="00CE1BE2" w:rsidRPr="00B236E3">
        <w:rPr>
          <w:rFonts w:ascii="Arial" w:hAnsi="Arial" w:cs="Arial"/>
          <w:sz w:val="24"/>
          <w:szCs w:val="24"/>
        </w:rPr>
        <w:t>everyone is equal before the law and has the right to equal protection and benefit of the law.</w:t>
      </w:r>
      <w:r w:rsidR="00685672" w:rsidRPr="00B236E3">
        <w:rPr>
          <w:rFonts w:ascii="Arial" w:hAnsi="Arial" w:cs="Arial"/>
          <w:sz w:val="24"/>
          <w:szCs w:val="24"/>
        </w:rPr>
        <w:t>”</w:t>
      </w:r>
    </w:p>
    <w:p w14:paraId="20A74517" w14:textId="71B24016" w:rsidR="00AB79EC"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E1BE2" w:rsidRPr="00B236E3">
        <w:rPr>
          <w:rFonts w:ascii="Arial" w:hAnsi="Arial" w:cs="Arial"/>
          <w:sz w:val="24"/>
          <w:szCs w:val="24"/>
        </w:rPr>
        <w:t>Thus the principle of male primogeniture in the context of inheritance is clearl</w:t>
      </w:r>
      <w:r w:rsidR="00D04492" w:rsidRPr="00B236E3">
        <w:rPr>
          <w:rFonts w:ascii="Arial" w:hAnsi="Arial" w:cs="Arial"/>
          <w:sz w:val="24"/>
          <w:szCs w:val="24"/>
        </w:rPr>
        <w:t>y in conflict with section 39 (2</w:t>
      </w:r>
      <w:r w:rsidR="00CE1BE2" w:rsidRPr="00B236E3">
        <w:rPr>
          <w:rFonts w:ascii="Arial" w:hAnsi="Arial" w:cs="Arial"/>
          <w:sz w:val="24"/>
          <w:szCs w:val="24"/>
        </w:rPr>
        <w:t>) of the Constitution which provides that “when interpreting any legislation, and when developing the common law or customary law, every court, tribunal or forum must promote the spirit</w:t>
      </w:r>
      <w:r w:rsidR="00D04492" w:rsidRPr="00B236E3">
        <w:rPr>
          <w:rFonts w:ascii="Arial" w:hAnsi="Arial" w:cs="Arial"/>
          <w:sz w:val="24"/>
          <w:szCs w:val="24"/>
        </w:rPr>
        <w:t>,</w:t>
      </w:r>
      <w:r w:rsidR="00CE1BE2" w:rsidRPr="00B236E3">
        <w:rPr>
          <w:rFonts w:ascii="Arial" w:hAnsi="Arial" w:cs="Arial"/>
          <w:sz w:val="24"/>
          <w:szCs w:val="24"/>
        </w:rPr>
        <w:t xml:space="preserve"> purport and objects of the Bill of Rights.”</w:t>
      </w:r>
    </w:p>
    <w:p w14:paraId="6250734E" w14:textId="294B8B27" w:rsidR="00AD0834"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B79EC" w:rsidRPr="00B236E3">
        <w:rPr>
          <w:rFonts w:ascii="Arial" w:hAnsi="Arial" w:cs="Arial"/>
          <w:sz w:val="24"/>
          <w:szCs w:val="24"/>
        </w:rPr>
        <w:t>T</w:t>
      </w:r>
      <w:r w:rsidR="00CE1BE2" w:rsidRPr="00B236E3">
        <w:rPr>
          <w:rFonts w:ascii="Arial" w:hAnsi="Arial" w:cs="Arial"/>
          <w:sz w:val="24"/>
          <w:szCs w:val="24"/>
        </w:rPr>
        <w:t xml:space="preserve">he </w:t>
      </w:r>
      <w:r w:rsidR="00CE1BE2" w:rsidRPr="00B236E3">
        <w:rPr>
          <w:rFonts w:ascii="Arial" w:hAnsi="Arial" w:cs="Arial"/>
          <w:b/>
          <w:bCs/>
          <w:sz w:val="24"/>
          <w:szCs w:val="24"/>
        </w:rPr>
        <w:t>Black Administration Act</w:t>
      </w:r>
      <w:r w:rsidR="00CE1BE2" w:rsidRPr="00B236E3">
        <w:rPr>
          <w:rFonts w:ascii="Arial" w:hAnsi="Arial" w:cs="Arial"/>
          <w:sz w:val="24"/>
          <w:szCs w:val="24"/>
        </w:rPr>
        <w:t xml:space="preserve"> did not provide these constitutional principles and it is for this reason that </w:t>
      </w:r>
      <w:r w:rsidR="005F5F6F" w:rsidRPr="00B236E3">
        <w:rPr>
          <w:rFonts w:ascii="Arial" w:hAnsi="Arial" w:cs="Arial"/>
          <w:sz w:val="24"/>
          <w:szCs w:val="24"/>
        </w:rPr>
        <w:t>t</w:t>
      </w:r>
      <w:r w:rsidR="00CE1BE2" w:rsidRPr="00B236E3">
        <w:rPr>
          <w:rFonts w:ascii="Arial" w:hAnsi="Arial" w:cs="Arial"/>
          <w:sz w:val="24"/>
          <w:szCs w:val="24"/>
        </w:rPr>
        <w:t>he male person was regarded as the one who had a claim in the distribution of the estate of the deceased. Even if Edgar Molefe is the only male</w:t>
      </w:r>
      <w:r w:rsidR="009E4D6D" w:rsidRPr="00B236E3">
        <w:rPr>
          <w:rFonts w:ascii="Arial" w:hAnsi="Arial" w:cs="Arial"/>
          <w:sz w:val="24"/>
          <w:szCs w:val="24"/>
        </w:rPr>
        <w:t xml:space="preserve"> child</w:t>
      </w:r>
      <w:r w:rsidR="00CE1BE2" w:rsidRPr="00B236E3">
        <w:rPr>
          <w:rFonts w:ascii="Arial" w:hAnsi="Arial" w:cs="Arial"/>
          <w:sz w:val="24"/>
          <w:szCs w:val="24"/>
        </w:rPr>
        <w:t xml:space="preserve">, Judith Molefe and Gloria Molefe </w:t>
      </w:r>
      <w:proofErr w:type="gramStart"/>
      <w:r w:rsidR="00CE1BE2" w:rsidRPr="00B236E3">
        <w:rPr>
          <w:rFonts w:ascii="Arial" w:hAnsi="Arial" w:cs="Arial"/>
          <w:sz w:val="24"/>
          <w:szCs w:val="24"/>
        </w:rPr>
        <w:t>have to</w:t>
      </w:r>
      <w:proofErr w:type="gramEnd"/>
      <w:r w:rsidR="00CE1BE2" w:rsidRPr="00B236E3">
        <w:rPr>
          <w:rFonts w:ascii="Arial" w:hAnsi="Arial" w:cs="Arial"/>
          <w:sz w:val="24"/>
          <w:szCs w:val="24"/>
        </w:rPr>
        <w:t xml:space="preserve"> be con</w:t>
      </w:r>
      <w:r w:rsidR="00F35AA1" w:rsidRPr="00B236E3">
        <w:rPr>
          <w:rFonts w:ascii="Arial" w:hAnsi="Arial" w:cs="Arial"/>
          <w:sz w:val="24"/>
          <w:szCs w:val="24"/>
        </w:rPr>
        <w:t xml:space="preserve">sidered as the heirs </w:t>
      </w:r>
      <w:r w:rsidR="00A6475B" w:rsidRPr="00B236E3">
        <w:rPr>
          <w:rFonts w:ascii="Arial" w:hAnsi="Arial" w:cs="Arial"/>
          <w:sz w:val="24"/>
          <w:szCs w:val="24"/>
        </w:rPr>
        <w:t xml:space="preserve">to the immovable property of their deceased mother, </w:t>
      </w:r>
      <w:proofErr w:type="spellStart"/>
      <w:r w:rsidR="00A6475B" w:rsidRPr="00B236E3">
        <w:rPr>
          <w:rFonts w:ascii="Arial" w:hAnsi="Arial" w:cs="Arial"/>
          <w:sz w:val="24"/>
          <w:szCs w:val="24"/>
        </w:rPr>
        <w:t>Dikeledi</w:t>
      </w:r>
      <w:proofErr w:type="spellEnd"/>
      <w:r w:rsidR="00A6475B" w:rsidRPr="00B236E3">
        <w:rPr>
          <w:rFonts w:ascii="Arial" w:hAnsi="Arial" w:cs="Arial"/>
          <w:sz w:val="24"/>
          <w:szCs w:val="24"/>
        </w:rPr>
        <w:t xml:space="preserve"> Molefe.  It is thus fair to all parties that such a disputed be ventilated in oral evidence as it is a factual dispute and cannot be resolved on the papers. </w:t>
      </w:r>
    </w:p>
    <w:p w14:paraId="7348A118" w14:textId="478F4943" w:rsidR="00AD0834"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14444" w:rsidRPr="00B236E3">
        <w:rPr>
          <w:rFonts w:ascii="Arial" w:hAnsi="Arial" w:cs="Arial"/>
          <w:sz w:val="24"/>
          <w:szCs w:val="24"/>
        </w:rPr>
        <w:t xml:space="preserve">In </w:t>
      </w:r>
      <w:proofErr w:type="spellStart"/>
      <w:r w:rsidR="00514444" w:rsidRPr="00B236E3">
        <w:rPr>
          <w:rFonts w:ascii="Arial" w:hAnsi="Arial" w:cs="Arial"/>
          <w:b/>
          <w:sz w:val="24"/>
          <w:szCs w:val="24"/>
        </w:rPr>
        <w:t>Bhe</w:t>
      </w:r>
      <w:proofErr w:type="spellEnd"/>
      <w:r w:rsidR="00514444" w:rsidRPr="00B236E3">
        <w:rPr>
          <w:rFonts w:ascii="Arial" w:hAnsi="Arial" w:cs="Arial"/>
          <w:b/>
          <w:sz w:val="24"/>
          <w:szCs w:val="24"/>
        </w:rPr>
        <w:t xml:space="preserve"> and Others v</w:t>
      </w:r>
      <w:r w:rsidR="00952AA5" w:rsidRPr="00B236E3">
        <w:rPr>
          <w:rFonts w:ascii="Arial" w:hAnsi="Arial" w:cs="Arial"/>
          <w:b/>
          <w:sz w:val="24"/>
          <w:szCs w:val="24"/>
        </w:rPr>
        <w:t xml:space="preserve"> Magistrate Khayelitsha and Others</w:t>
      </w:r>
      <w:r w:rsidR="007A07B2" w:rsidRPr="00B236E3">
        <w:rPr>
          <w:rFonts w:ascii="Arial" w:hAnsi="Arial" w:cs="Arial"/>
          <w:b/>
          <w:sz w:val="24"/>
          <w:szCs w:val="24"/>
        </w:rPr>
        <w:t xml:space="preserve"> </w:t>
      </w:r>
      <w:r w:rsidR="00205C51" w:rsidRPr="00EE77AB">
        <w:rPr>
          <w:rStyle w:val="FootnoteReference"/>
          <w:rFonts w:ascii="Arial" w:hAnsi="Arial" w:cs="Arial"/>
          <w:sz w:val="24"/>
          <w:szCs w:val="24"/>
        </w:rPr>
        <w:footnoteReference w:id="6"/>
      </w:r>
      <w:r w:rsidR="007D6B65" w:rsidRPr="00B236E3">
        <w:rPr>
          <w:rFonts w:ascii="Arial" w:hAnsi="Arial" w:cs="Arial"/>
          <w:b/>
          <w:sz w:val="24"/>
          <w:szCs w:val="24"/>
        </w:rPr>
        <w:t xml:space="preserve"> </w:t>
      </w:r>
      <w:r w:rsidR="00514444" w:rsidRPr="00B236E3">
        <w:rPr>
          <w:rFonts w:ascii="Arial" w:hAnsi="Arial" w:cs="Arial"/>
          <w:sz w:val="24"/>
          <w:szCs w:val="24"/>
        </w:rPr>
        <w:t xml:space="preserve">, the </w:t>
      </w:r>
      <w:r w:rsidR="00AD0834" w:rsidRPr="00B236E3">
        <w:rPr>
          <w:rFonts w:ascii="Arial" w:hAnsi="Arial" w:cs="Arial"/>
          <w:sz w:val="24"/>
          <w:szCs w:val="24"/>
        </w:rPr>
        <w:t>C</w:t>
      </w:r>
      <w:r w:rsidR="00514444" w:rsidRPr="00B236E3">
        <w:rPr>
          <w:rFonts w:ascii="Arial" w:hAnsi="Arial" w:cs="Arial"/>
          <w:sz w:val="24"/>
          <w:szCs w:val="24"/>
        </w:rPr>
        <w:t>ourt held that:</w:t>
      </w:r>
    </w:p>
    <w:p w14:paraId="7EF821E9" w14:textId="28BEFB1E" w:rsidR="00AD0834" w:rsidRPr="00AD0834" w:rsidRDefault="00514444" w:rsidP="00AD0834">
      <w:pPr>
        <w:pStyle w:val="ListParagraph"/>
        <w:spacing w:after="240" w:line="360" w:lineRule="auto"/>
        <w:ind w:left="1134"/>
        <w:contextualSpacing w:val="0"/>
        <w:jc w:val="both"/>
        <w:rPr>
          <w:rFonts w:ascii="Arial" w:hAnsi="Arial" w:cs="Arial"/>
          <w:sz w:val="24"/>
          <w:szCs w:val="24"/>
        </w:rPr>
      </w:pPr>
      <w:r w:rsidRPr="00AD0834">
        <w:rPr>
          <w:rFonts w:ascii="Arial" w:hAnsi="Arial" w:cs="Arial"/>
        </w:rPr>
        <w:t>“The rule of male primogeniture may have been consistent with structure and function of the traditional family</w:t>
      </w:r>
      <w:proofErr w:type="gramStart"/>
      <w:r w:rsidRPr="00AD0834">
        <w:rPr>
          <w:rFonts w:ascii="Arial" w:hAnsi="Arial" w:cs="Arial"/>
        </w:rPr>
        <w:t>…</w:t>
      </w:r>
      <w:r w:rsidR="00150C44" w:rsidRPr="00AD0834">
        <w:rPr>
          <w:rFonts w:ascii="Arial" w:hAnsi="Arial" w:cs="Arial"/>
        </w:rPr>
        <w:t xml:space="preserve"> .However</w:t>
      </w:r>
      <w:proofErr w:type="gramEnd"/>
      <w:r w:rsidRPr="00AD0834">
        <w:rPr>
          <w:rFonts w:ascii="Arial" w:hAnsi="Arial" w:cs="Arial"/>
        </w:rPr>
        <w:t xml:space="preserve"> the circumstances in which the rule applies today are </w:t>
      </w:r>
      <w:r w:rsidR="003146B4">
        <w:rPr>
          <w:rFonts w:ascii="Arial" w:hAnsi="Arial" w:cs="Arial"/>
        </w:rPr>
        <w:t xml:space="preserve">very </w:t>
      </w:r>
      <w:r w:rsidRPr="00AD0834">
        <w:rPr>
          <w:rFonts w:ascii="Arial" w:hAnsi="Arial" w:cs="Arial"/>
        </w:rPr>
        <w:t>different.”</w:t>
      </w:r>
    </w:p>
    <w:p w14:paraId="3B7DDAF3" w14:textId="22D90128" w:rsidR="00AF142C" w:rsidRPr="00B236E3" w:rsidRDefault="00B236E3" w:rsidP="00B236E3">
      <w:pPr>
        <w:spacing w:after="240" w:line="360" w:lineRule="auto"/>
        <w:ind w:left="567" w:hanging="567"/>
        <w:jc w:val="both"/>
        <w:rPr>
          <w:rFonts w:ascii="Arial" w:hAnsi="Arial" w:cs="Arial"/>
          <w:sz w:val="24"/>
          <w:szCs w:val="24"/>
        </w:rPr>
      </w:pPr>
      <w:r w:rsidRPr="00476B42">
        <w:rPr>
          <w:rFonts w:ascii="Arial" w:hAnsi="Arial" w:cs="Arial"/>
          <w:sz w:val="24"/>
          <w:szCs w:val="24"/>
        </w:rPr>
        <w:t>[24]</w:t>
      </w:r>
      <w:r w:rsidRPr="00476B42">
        <w:rPr>
          <w:rFonts w:ascii="Arial" w:hAnsi="Arial" w:cs="Arial"/>
          <w:sz w:val="24"/>
          <w:szCs w:val="24"/>
        </w:rPr>
        <w:tab/>
      </w:r>
      <w:r w:rsidR="009A3AA1" w:rsidRPr="00B236E3">
        <w:rPr>
          <w:rFonts w:ascii="Arial" w:hAnsi="Arial" w:cs="Arial"/>
          <w:sz w:val="24"/>
          <w:szCs w:val="24"/>
        </w:rPr>
        <w:t>Furthermore, i</w:t>
      </w:r>
      <w:r w:rsidR="00514444" w:rsidRPr="00B236E3">
        <w:rPr>
          <w:rFonts w:ascii="Arial" w:hAnsi="Arial" w:cs="Arial"/>
          <w:sz w:val="24"/>
          <w:szCs w:val="24"/>
        </w:rPr>
        <w:t xml:space="preserve">t appears in the papers that Edgar Molefe, even if he was the only male child, he was not the only heir to </w:t>
      </w:r>
      <w:proofErr w:type="spellStart"/>
      <w:r w:rsidR="00514444" w:rsidRPr="00B236E3">
        <w:rPr>
          <w:rFonts w:ascii="Arial" w:hAnsi="Arial" w:cs="Arial"/>
          <w:sz w:val="24"/>
          <w:szCs w:val="24"/>
        </w:rPr>
        <w:t>Dikeledi</w:t>
      </w:r>
      <w:proofErr w:type="spellEnd"/>
      <w:r w:rsidR="00514444" w:rsidRPr="00B236E3">
        <w:rPr>
          <w:rFonts w:ascii="Arial" w:hAnsi="Arial" w:cs="Arial"/>
          <w:sz w:val="24"/>
          <w:szCs w:val="24"/>
        </w:rPr>
        <w:t xml:space="preserve"> Molefe. The parties </w:t>
      </w:r>
      <w:r w:rsidR="00514444" w:rsidRPr="00B236E3">
        <w:rPr>
          <w:rFonts w:ascii="Arial" w:hAnsi="Arial" w:cs="Arial"/>
          <w:color w:val="000000" w:themeColor="text1"/>
          <w:sz w:val="24"/>
          <w:szCs w:val="24"/>
        </w:rPr>
        <w:t xml:space="preserve">are in dispute as to who are </w:t>
      </w:r>
      <w:r w:rsidR="00B81D6E" w:rsidRPr="00B236E3">
        <w:rPr>
          <w:rFonts w:ascii="Arial" w:hAnsi="Arial" w:cs="Arial"/>
          <w:color w:val="000000" w:themeColor="text1"/>
          <w:sz w:val="24"/>
          <w:szCs w:val="24"/>
        </w:rPr>
        <w:t xml:space="preserve">the biological </w:t>
      </w:r>
      <w:r w:rsidR="00514444" w:rsidRPr="00B236E3">
        <w:rPr>
          <w:rFonts w:ascii="Arial" w:hAnsi="Arial" w:cs="Arial"/>
          <w:color w:val="000000" w:themeColor="text1"/>
          <w:sz w:val="24"/>
          <w:szCs w:val="24"/>
        </w:rPr>
        <w:t>children of the deceased</w:t>
      </w:r>
      <w:r w:rsidR="00D87379" w:rsidRPr="00B236E3">
        <w:rPr>
          <w:rFonts w:ascii="Arial" w:hAnsi="Arial" w:cs="Arial"/>
          <w:color w:val="000000" w:themeColor="text1"/>
          <w:sz w:val="24"/>
          <w:szCs w:val="24"/>
        </w:rPr>
        <w:t>,</w:t>
      </w:r>
      <w:r w:rsidR="00514444" w:rsidRPr="00B236E3">
        <w:rPr>
          <w:rFonts w:ascii="Arial" w:hAnsi="Arial" w:cs="Arial"/>
          <w:color w:val="000000" w:themeColor="text1"/>
          <w:sz w:val="24"/>
          <w:szCs w:val="24"/>
        </w:rPr>
        <w:t xml:space="preserve"> that</w:t>
      </w:r>
      <w:r w:rsidR="00D87379" w:rsidRPr="00B236E3">
        <w:rPr>
          <w:rFonts w:ascii="Arial" w:hAnsi="Arial" w:cs="Arial"/>
          <w:color w:val="000000" w:themeColor="text1"/>
          <w:sz w:val="24"/>
          <w:szCs w:val="24"/>
        </w:rPr>
        <w:t xml:space="preserve"> is</w:t>
      </w:r>
      <w:r w:rsidR="00514444" w:rsidRPr="00B236E3">
        <w:rPr>
          <w:rFonts w:ascii="Arial" w:hAnsi="Arial" w:cs="Arial"/>
          <w:color w:val="000000" w:themeColor="text1"/>
          <w:sz w:val="24"/>
          <w:szCs w:val="24"/>
        </w:rPr>
        <w:t xml:space="preserve"> </w:t>
      </w:r>
      <w:proofErr w:type="spellStart"/>
      <w:r w:rsidR="00514444" w:rsidRPr="00B236E3">
        <w:rPr>
          <w:rFonts w:ascii="Arial" w:hAnsi="Arial" w:cs="Arial"/>
          <w:color w:val="000000" w:themeColor="text1"/>
          <w:sz w:val="24"/>
          <w:szCs w:val="24"/>
        </w:rPr>
        <w:t>Dikeledi</w:t>
      </w:r>
      <w:proofErr w:type="spellEnd"/>
      <w:r w:rsidR="00514444" w:rsidRPr="00B236E3">
        <w:rPr>
          <w:rFonts w:ascii="Arial" w:hAnsi="Arial" w:cs="Arial"/>
          <w:color w:val="000000" w:themeColor="text1"/>
          <w:sz w:val="24"/>
          <w:szCs w:val="24"/>
        </w:rPr>
        <w:t xml:space="preserve"> Molefe</w:t>
      </w:r>
      <w:r w:rsidR="00D87379" w:rsidRPr="00B236E3">
        <w:rPr>
          <w:rFonts w:ascii="Arial" w:hAnsi="Arial" w:cs="Arial"/>
          <w:color w:val="000000" w:themeColor="text1"/>
          <w:sz w:val="24"/>
          <w:szCs w:val="24"/>
        </w:rPr>
        <w:t>.</w:t>
      </w:r>
      <w:r w:rsidR="00B81D6E" w:rsidRPr="00B236E3">
        <w:rPr>
          <w:rFonts w:ascii="Arial" w:hAnsi="Arial" w:cs="Arial"/>
          <w:color w:val="000000" w:themeColor="text1"/>
          <w:sz w:val="24"/>
          <w:szCs w:val="24"/>
        </w:rPr>
        <w:t xml:space="preserve"> As the grand children that is, Fourth and Fifth Applicants have also laid a claim to their share of the inheritance.</w:t>
      </w:r>
      <w:r w:rsidR="00D87379" w:rsidRPr="00B236E3">
        <w:rPr>
          <w:rFonts w:ascii="Arial" w:hAnsi="Arial" w:cs="Arial"/>
          <w:color w:val="000000" w:themeColor="text1"/>
          <w:sz w:val="24"/>
          <w:szCs w:val="24"/>
        </w:rPr>
        <w:t xml:space="preserve"> This </w:t>
      </w:r>
      <w:r w:rsidR="00D87379" w:rsidRPr="00B236E3">
        <w:rPr>
          <w:rFonts w:ascii="Arial" w:hAnsi="Arial" w:cs="Arial"/>
          <w:sz w:val="24"/>
          <w:szCs w:val="24"/>
        </w:rPr>
        <w:t xml:space="preserve">therefore creates a dispute of </w:t>
      </w:r>
      <w:proofErr w:type="gramStart"/>
      <w:r w:rsidR="00D87379" w:rsidRPr="00B236E3">
        <w:rPr>
          <w:rFonts w:ascii="Arial" w:hAnsi="Arial" w:cs="Arial"/>
          <w:sz w:val="24"/>
          <w:szCs w:val="24"/>
        </w:rPr>
        <w:t>fact</w:t>
      </w:r>
      <w:proofErr w:type="gramEnd"/>
      <w:r w:rsidR="00D87379" w:rsidRPr="00B236E3">
        <w:rPr>
          <w:rFonts w:ascii="Arial" w:hAnsi="Arial" w:cs="Arial"/>
          <w:sz w:val="24"/>
          <w:szCs w:val="24"/>
        </w:rPr>
        <w:t xml:space="preserve"> and such an issue cannot be dealt with in motion proceedings. The dispute als</w:t>
      </w:r>
      <w:r w:rsidR="00B46532" w:rsidRPr="00B236E3">
        <w:rPr>
          <w:rFonts w:ascii="Arial" w:hAnsi="Arial" w:cs="Arial"/>
          <w:sz w:val="24"/>
          <w:szCs w:val="24"/>
        </w:rPr>
        <w:t>o includes the agreement to buy-out the A</w:t>
      </w:r>
      <w:r w:rsidR="00D87379" w:rsidRPr="00B236E3">
        <w:rPr>
          <w:rFonts w:ascii="Arial" w:hAnsi="Arial" w:cs="Arial"/>
          <w:sz w:val="24"/>
          <w:szCs w:val="24"/>
        </w:rPr>
        <w:t>pplicants, an allegation that is denied by the Applicants.</w:t>
      </w:r>
    </w:p>
    <w:p w14:paraId="79176F09" w14:textId="77777777" w:rsidR="004463F6" w:rsidRPr="004463F6" w:rsidRDefault="003A438E" w:rsidP="004463F6">
      <w:pPr>
        <w:spacing w:after="240" w:line="360" w:lineRule="auto"/>
        <w:jc w:val="both"/>
        <w:rPr>
          <w:rFonts w:ascii="Arial" w:hAnsi="Arial" w:cs="Arial"/>
          <w:sz w:val="24"/>
          <w:szCs w:val="24"/>
        </w:rPr>
      </w:pPr>
      <w:r w:rsidRPr="004463F6">
        <w:rPr>
          <w:rFonts w:ascii="Arial" w:hAnsi="Arial" w:cs="Arial"/>
          <w:b/>
          <w:sz w:val="24"/>
          <w:szCs w:val="24"/>
        </w:rPr>
        <w:lastRenderedPageBreak/>
        <w:t xml:space="preserve">INTESTATE SUCCESSION ACT </w:t>
      </w:r>
    </w:p>
    <w:p w14:paraId="50442BB4" w14:textId="4B4143B6" w:rsidR="00214E7D"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87379" w:rsidRPr="00B236E3">
        <w:rPr>
          <w:rFonts w:ascii="Arial" w:hAnsi="Arial" w:cs="Arial"/>
          <w:sz w:val="24"/>
          <w:szCs w:val="24"/>
        </w:rPr>
        <w:t>Section 23 of th</w:t>
      </w:r>
      <w:r w:rsidR="00AD5ADB" w:rsidRPr="00B236E3">
        <w:rPr>
          <w:rFonts w:ascii="Arial" w:hAnsi="Arial" w:cs="Arial"/>
          <w:sz w:val="24"/>
          <w:szCs w:val="24"/>
        </w:rPr>
        <w:t xml:space="preserve">e </w:t>
      </w:r>
      <w:r w:rsidR="00AD5ADB" w:rsidRPr="00B236E3">
        <w:rPr>
          <w:rFonts w:ascii="Arial" w:hAnsi="Arial" w:cs="Arial"/>
          <w:b/>
          <w:bCs/>
          <w:sz w:val="24"/>
          <w:szCs w:val="24"/>
        </w:rPr>
        <w:t>Black Administration Act</w:t>
      </w:r>
      <w:r w:rsidR="00D87379" w:rsidRPr="00B236E3">
        <w:rPr>
          <w:rFonts w:ascii="Arial" w:hAnsi="Arial" w:cs="Arial"/>
          <w:sz w:val="24"/>
          <w:szCs w:val="24"/>
        </w:rPr>
        <w:t xml:space="preserve"> states as follows:</w:t>
      </w:r>
    </w:p>
    <w:p w14:paraId="008E28B9" w14:textId="77777777" w:rsidR="00214E7D" w:rsidRPr="00214E7D" w:rsidRDefault="00D87379" w:rsidP="00214E7D">
      <w:pPr>
        <w:pStyle w:val="ListParagraph"/>
        <w:spacing w:after="240" w:line="360" w:lineRule="auto"/>
        <w:ind w:left="1134"/>
        <w:contextualSpacing w:val="0"/>
        <w:jc w:val="both"/>
        <w:rPr>
          <w:rFonts w:ascii="Arial" w:hAnsi="Arial" w:cs="Arial"/>
          <w:sz w:val="24"/>
          <w:szCs w:val="24"/>
        </w:rPr>
      </w:pPr>
      <w:r w:rsidRPr="00214E7D">
        <w:rPr>
          <w:rFonts w:ascii="Arial" w:hAnsi="Arial" w:cs="Arial"/>
        </w:rPr>
        <w:t>“(1) All movable property belonging to a Native and allocated to him or accruing under Native Law or custom to any woman with whom he lived in a customary union, or to any house, shall upon his death devolve and be administered under Native Law and custom.”</w:t>
      </w:r>
    </w:p>
    <w:p w14:paraId="5ECD99E3" w14:textId="4012BDC5" w:rsidR="002B5580"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[26]</w:t>
      </w:r>
      <w:r>
        <w:rPr>
          <w:rFonts w:ascii="Arial" w:hAnsi="Arial" w:cs="Arial"/>
          <w:sz w:val="24"/>
          <w:szCs w:val="24"/>
        </w:rPr>
        <w:tab/>
      </w:r>
      <w:r w:rsidR="00D87379" w:rsidRPr="00B236E3">
        <w:rPr>
          <w:rFonts w:ascii="Arial" w:hAnsi="Arial" w:cs="Arial"/>
          <w:sz w:val="24"/>
          <w:szCs w:val="24"/>
        </w:rPr>
        <w:t xml:space="preserve">In </w:t>
      </w:r>
      <w:proofErr w:type="spellStart"/>
      <w:r w:rsidR="00D87379" w:rsidRPr="00B236E3">
        <w:rPr>
          <w:rFonts w:ascii="Arial" w:hAnsi="Arial" w:cs="Arial"/>
          <w:b/>
          <w:sz w:val="24"/>
          <w:szCs w:val="24"/>
        </w:rPr>
        <w:t>Bhe</w:t>
      </w:r>
      <w:proofErr w:type="spellEnd"/>
      <w:r w:rsidR="00D87379" w:rsidRPr="00B236E3">
        <w:rPr>
          <w:rFonts w:ascii="Arial" w:hAnsi="Arial" w:cs="Arial"/>
          <w:b/>
          <w:sz w:val="24"/>
          <w:szCs w:val="24"/>
        </w:rPr>
        <w:t xml:space="preserve"> </w:t>
      </w:r>
      <w:r w:rsidR="00D87379" w:rsidRPr="00B236E3">
        <w:rPr>
          <w:rFonts w:ascii="Arial" w:hAnsi="Arial" w:cs="Arial"/>
          <w:b/>
          <w:i/>
          <w:sz w:val="24"/>
          <w:szCs w:val="24"/>
        </w:rPr>
        <w:t>Supra</w:t>
      </w:r>
      <w:r w:rsidR="00D87379" w:rsidRPr="00B236E3">
        <w:rPr>
          <w:rFonts w:ascii="Arial" w:hAnsi="Arial" w:cs="Arial"/>
          <w:sz w:val="24"/>
          <w:szCs w:val="24"/>
        </w:rPr>
        <w:t xml:space="preserve">, this section was declared unconstitutional. It was repealed with retrospective effect to 27 April 1994. As </w:t>
      </w:r>
      <w:proofErr w:type="spellStart"/>
      <w:r w:rsidR="00D87379" w:rsidRPr="00B236E3">
        <w:rPr>
          <w:rFonts w:ascii="Arial" w:hAnsi="Arial" w:cs="Arial"/>
          <w:sz w:val="24"/>
          <w:szCs w:val="24"/>
        </w:rPr>
        <w:t>Dikeledi</w:t>
      </w:r>
      <w:proofErr w:type="spellEnd"/>
      <w:r w:rsidR="00D87379" w:rsidRPr="00B236E3">
        <w:rPr>
          <w:rFonts w:ascii="Arial" w:hAnsi="Arial" w:cs="Arial"/>
          <w:sz w:val="24"/>
          <w:szCs w:val="24"/>
        </w:rPr>
        <w:t xml:space="preserve"> Molefe died in October 1991</w:t>
      </w:r>
      <w:r w:rsidR="00B81D6E" w:rsidRPr="00B236E3">
        <w:rPr>
          <w:rFonts w:ascii="Arial" w:hAnsi="Arial" w:cs="Arial"/>
          <w:sz w:val="24"/>
          <w:szCs w:val="24"/>
        </w:rPr>
        <w:t>. Her</w:t>
      </w:r>
      <w:r w:rsidR="00D87379" w:rsidRPr="00B236E3">
        <w:rPr>
          <w:rFonts w:ascii="Arial" w:hAnsi="Arial" w:cs="Arial"/>
          <w:sz w:val="24"/>
          <w:szCs w:val="24"/>
        </w:rPr>
        <w:t xml:space="preserve"> estate would have been wound up in terms of the </w:t>
      </w:r>
      <w:r w:rsidR="00D87379" w:rsidRPr="00B236E3">
        <w:rPr>
          <w:rFonts w:ascii="Arial" w:hAnsi="Arial" w:cs="Arial"/>
          <w:b/>
          <w:bCs/>
          <w:sz w:val="24"/>
          <w:szCs w:val="24"/>
        </w:rPr>
        <w:t>B</w:t>
      </w:r>
      <w:r w:rsidR="00631659" w:rsidRPr="00B236E3">
        <w:rPr>
          <w:rFonts w:ascii="Arial" w:hAnsi="Arial" w:cs="Arial"/>
          <w:b/>
          <w:bCs/>
          <w:sz w:val="24"/>
          <w:szCs w:val="24"/>
        </w:rPr>
        <w:t xml:space="preserve">lack </w:t>
      </w:r>
      <w:r w:rsidR="00D87379" w:rsidRPr="00B236E3">
        <w:rPr>
          <w:rFonts w:ascii="Arial" w:hAnsi="Arial" w:cs="Arial"/>
          <w:b/>
          <w:bCs/>
          <w:sz w:val="24"/>
          <w:szCs w:val="24"/>
        </w:rPr>
        <w:t>A</w:t>
      </w:r>
      <w:r w:rsidR="00631659" w:rsidRPr="00B236E3">
        <w:rPr>
          <w:rFonts w:ascii="Arial" w:hAnsi="Arial" w:cs="Arial"/>
          <w:b/>
          <w:bCs/>
          <w:sz w:val="24"/>
          <w:szCs w:val="24"/>
        </w:rPr>
        <w:t xml:space="preserve">dministration </w:t>
      </w:r>
      <w:r w:rsidR="00D87379" w:rsidRPr="00B236E3">
        <w:rPr>
          <w:rFonts w:ascii="Arial" w:hAnsi="Arial" w:cs="Arial"/>
          <w:b/>
          <w:bCs/>
          <w:sz w:val="24"/>
          <w:szCs w:val="24"/>
        </w:rPr>
        <w:t>A</w:t>
      </w:r>
      <w:r w:rsidR="00631659" w:rsidRPr="00B236E3">
        <w:rPr>
          <w:rFonts w:ascii="Arial" w:hAnsi="Arial" w:cs="Arial"/>
          <w:b/>
          <w:bCs/>
          <w:sz w:val="24"/>
          <w:szCs w:val="24"/>
        </w:rPr>
        <w:t>ct</w:t>
      </w:r>
      <w:r w:rsidR="00D87379" w:rsidRPr="00B236E3">
        <w:rPr>
          <w:rFonts w:ascii="Arial" w:hAnsi="Arial" w:cs="Arial"/>
          <w:sz w:val="24"/>
          <w:szCs w:val="24"/>
        </w:rPr>
        <w:t xml:space="preserve"> and the regulations retrospective effect dates to 27 April 1994.</w:t>
      </w:r>
    </w:p>
    <w:p w14:paraId="2896B165" w14:textId="25E15336" w:rsidR="00ED57E8"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[27]</w:t>
      </w:r>
      <w:r>
        <w:rPr>
          <w:rFonts w:ascii="Arial" w:hAnsi="Arial" w:cs="Arial"/>
          <w:sz w:val="24"/>
          <w:szCs w:val="24"/>
        </w:rPr>
        <w:tab/>
      </w:r>
      <w:r w:rsidR="00D87379" w:rsidRPr="00B236E3">
        <w:rPr>
          <w:rFonts w:ascii="Arial" w:hAnsi="Arial" w:cs="Arial"/>
          <w:sz w:val="24"/>
          <w:szCs w:val="24"/>
        </w:rPr>
        <w:t xml:space="preserve">In this instance, there is clear evidence that </w:t>
      </w:r>
      <w:r w:rsidR="0026483C" w:rsidRPr="00B236E3">
        <w:rPr>
          <w:rFonts w:ascii="Arial" w:hAnsi="Arial" w:cs="Arial"/>
          <w:sz w:val="24"/>
          <w:szCs w:val="24"/>
        </w:rPr>
        <w:t xml:space="preserve">the deceased, </w:t>
      </w:r>
      <w:r w:rsidR="00D87379" w:rsidRPr="00B236E3">
        <w:rPr>
          <w:rFonts w:ascii="Arial" w:hAnsi="Arial" w:cs="Arial"/>
          <w:sz w:val="24"/>
          <w:szCs w:val="24"/>
        </w:rPr>
        <w:t xml:space="preserve">Edgar Molefe was appointed as an heir </w:t>
      </w:r>
      <w:proofErr w:type="gramStart"/>
      <w:r w:rsidR="00D87379" w:rsidRPr="00B236E3">
        <w:rPr>
          <w:rFonts w:ascii="Arial" w:hAnsi="Arial" w:cs="Arial"/>
          <w:sz w:val="24"/>
          <w:szCs w:val="24"/>
        </w:rPr>
        <w:t>on the basis of</w:t>
      </w:r>
      <w:proofErr w:type="gramEnd"/>
      <w:r w:rsidR="00D87379" w:rsidRPr="00B236E3">
        <w:rPr>
          <w:rFonts w:ascii="Arial" w:hAnsi="Arial" w:cs="Arial"/>
          <w:sz w:val="24"/>
          <w:szCs w:val="24"/>
        </w:rPr>
        <w:t xml:space="preserve"> being the eldest male, at the exclusion of the other children, his sisters. </w:t>
      </w:r>
      <w:r w:rsidR="00D87379" w:rsidRPr="00B236E3">
        <w:rPr>
          <w:rFonts w:ascii="Arial" w:hAnsi="Arial" w:cs="Arial"/>
          <w:color w:val="000000" w:themeColor="text1"/>
          <w:sz w:val="24"/>
          <w:szCs w:val="24"/>
        </w:rPr>
        <w:t>There is a clear dispute between the children and</w:t>
      </w:r>
      <w:r w:rsidR="00485320" w:rsidRPr="00B236E3">
        <w:rPr>
          <w:rFonts w:ascii="Arial" w:hAnsi="Arial" w:cs="Arial"/>
          <w:color w:val="000000" w:themeColor="text1"/>
          <w:sz w:val="24"/>
          <w:szCs w:val="24"/>
        </w:rPr>
        <w:t>/</w:t>
      </w:r>
      <w:r w:rsidR="00241929" w:rsidRPr="00B236E3">
        <w:rPr>
          <w:rFonts w:ascii="Arial" w:hAnsi="Arial" w:cs="Arial"/>
          <w:color w:val="000000" w:themeColor="text1"/>
          <w:sz w:val="24"/>
          <w:szCs w:val="24"/>
        </w:rPr>
        <w:t>or heirs of the deceased, being</w:t>
      </w:r>
      <w:r w:rsidR="00D87379" w:rsidRPr="00B236E3">
        <w:rPr>
          <w:rFonts w:ascii="Arial" w:hAnsi="Arial" w:cs="Arial"/>
          <w:color w:val="000000" w:themeColor="text1"/>
          <w:sz w:val="24"/>
          <w:szCs w:val="24"/>
        </w:rPr>
        <w:t xml:space="preserve"> </w:t>
      </w:r>
      <w:proofErr w:type="spellStart"/>
      <w:r w:rsidR="00C931F0" w:rsidRPr="00B236E3">
        <w:rPr>
          <w:rFonts w:ascii="Arial" w:hAnsi="Arial" w:cs="Arial"/>
          <w:color w:val="000000" w:themeColor="text1"/>
          <w:sz w:val="24"/>
          <w:szCs w:val="24"/>
        </w:rPr>
        <w:t>D</w:t>
      </w:r>
      <w:r w:rsidR="00D87379" w:rsidRPr="00B236E3">
        <w:rPr>
          <w:rFonts w:ascii="Arial" w:hAnsi="Arial" w:cs="Arial"/>
          <w:color w:val="000000" w:themeColor="text1"/>
          <w:sz w:val="24"/>
          <w:szCs w:val="24"/>
        </w:rPr>
        <w:t>ikeledi</w:t>
      </w:r>
      <w:proofErr w:type="spellEnd"/>
      <w:r w:rsidR="00D87379" w:rsidRPr="00B236E3">
        <w:rPr>
          <w:rFonts w:ascii="Arial" w:hAnsi="Arial" w:cs="Arial"/>
          <w:color w:val="000000" w:themeColor="text1"/>
          <w:sz w:val="24"/>
          <w:szCs w:val="24"/>
        </w:rPr>
        <w:t xml:space="preserve"> Molefe</w:t>
      </w:r>
      <w:r w:rsidR="00485320" w:rsidRPr="00B236E3">
        <w:rPr>
          <w:rFonts w:ascii="Arial" w:hAnsi="Arial" w:cs="Arial"/>
          <w:color w:val="000000" w:themeColor="text1"/>
          <w:sz w:val="24"/>
          <w:szCs w:val="24"/>
        </w:rPr>
        <w:t xml:space="preserve">, including the grand child of namely Gloria </w:t>
      </w:r>
      <w:proofErr w:type="spellStart"/>
      <w:r w:rsidR="00485320" w:rsidRPr="00B236E3">
        <w:rPr>
          <w:rFonts w:ascii="Arial" w:hAnsi="Arial" w:cs="Arial"/>
          <w:color w:val="000000" w:themeColor="text1"/>
          <w:sz w:val="24"/>
          <w:szCs w:val="24"/>
        </w:rPr>
        <w:t>Sefora</w:t>
      </w:r>
      <w:proofErr w:type="spellEnd"/>
      <w:r w:rsidR="00485320" w:rsidRPr="00B236E3">
        <w:rPr>
          <w:rFonts w:ascii="Arial" w:hAnsi="Arial" w:cs="Arial"/>
          <w:color w:val="000000" w:themeColor="text1"/>
          <w:sz w:val="24"/>
          <w:szCs w:val="24"/>
        </w:rPr>
        <w:t xml:space="preserve"> (her mother was </w:t>
      </w:r>
      <w:r w:rsidR="00071A40" w:rsidRPr="00B236E3">
        <w:rPr>
          <w:rFonts w:ascii="Arial" w:hAnsi="Arial" w:cs="Arial"/>
          <w:color w:val="000000" w:themeColor="text1"/>
          <w:sz w:val="24"/>
          <w:szCs w:val="24"/>
        </w:rPr>
        <w:t>the daughter</w:t>
      </w:r>
      <w:r w:rsidR="00485320" w:rsidRPr="00B236E3">
        <w:rPr>
          <w:rFonts w:ascii="Arial" w:hAnsi="Arial" w:cs="Arial"/>
          <w:color w:val="000000" w:themeColor="text1"/>
          <w:sz w:val="24"/>
          <w:szCs w:val="24"/>
        </w:rPr>
        <w:t xml:space="preserve"> of the</w:t>
      </w:r>
      <w:r w:rsidR="00071A40" w:rsidRPr="00B236E3">
        <w:rPr>
          <w:rFonts w:ascii="Arial" w:hAnsi="Arial" w:cs="Arial"/>
          <w:color w:val="000000" w:themeColor="text1"/>
          <w:sz w:val="24"/>
          <w:szCs w:val="24"/>
        </w:rPr>
        <w:t xml:space="preserve"> late</w:t>
      </w:r>
      <w:r w:rsidR="00485320" w:rsidRPr="00B236E3">
        <w:rPr>
          <w:rFonts w:ascii="Arial" w:hAnsi="Arial" w:cs="Arial"/>
          <w:color w:val="000000" w:themeColor="text1"/>
          <w:sz w:val="24"/>
          <w:szCs w:val="24"/>
        </w:rPr>
        <w:t xml:space="preserve"> </w:t>
      </w:r>
      <w:proofErr w:type="spellStart"/>
      <w:r w:rsidR="00C931F0" w:rsidRPr="00B236E3">
        <w:rPr>
          <w:rFonts w:ascii="Arial" w:hAnsi="Arial" w:cs="Arial"/>
          <w:color w:val="000000" w:themeColor="text1"/>
          <w:sz w:val="24"/>
          <w:szCs w:val="24"/>
        </w:rPr>
        <w:t>D</w:t>
      </w:r>
      <w:r w:rsidR="00485320" w:rsidRPr="00B236E3">
        <w:rPr>
          <w:rFonts w:ascii="Arial" w:hAnsi="Arial" w:cs="Arial"/>
          <w:color w:val="000000" w:themeColor="text1"/>
          <w:sz w:val="24"/>
          <w:szCs w:val="24"/>
        </w:rPr>
        <w:t>ikeledi</w:t>
      </w:r>
      <w:proofErr w:type="spellEnd"/>
      <w:r w:rsidR="00485320" w:rsidRPr="00B236E3">
        <w:rPr>
          <w:rFonts w:ascii="Arial" w:hAnsi="Arial" w:cs="Arial"/>
          <w:color w:val="000000" w:themeColor="text1"/>
          <w:sz w:val="24"/>
          <w:szCs w:val="24"/>
        </w:rPr>
        <w:t xml:space="preserve"> Molefe)</w:t>
      </w:r>
      <w:r w:rsidR="00D87379" w:rsidRPr="00B236E3">
        <w:rPr>
          <w:rFonts w:ascii="Arial" w:hAnsi="Arial" w:cs="Arial"/>
          <w:color w:val="000000" w:themeColor="text1"/>
          <w:sz w:val="24"/>
          <w:szCs w:val="24"/>
        </w:rPr>
        <w:t>.</w:t>
      </w:r>
      <w:r w:rsidR="007539D0" w:rsidRPr="00B236E3">
        <w:rPr>
          <w:rFonts w:ascii="Arial" w:hAnsi="Arial" w:cs="Arial"/>
          <w:color w:val="000000" w:themeColor="text1"/>
          <w:sz w:val="24"/>
          <w:szCs w:val="24"/>
        </w:rPr>
        <w:t xml:space="preserve"> In my view, even if </w:t>
      </w:r>
      <w:r w:rsidR="00A070F8" w:rsidRPr="00B236E3">
        <w:rPr>
          <w:rFonts w:ascii="Arial" w:hAnsi="Arial" w:cs="Arial"/>
          <w:color w:val="000000" w:themeColor="text1"/>
          <w:sz w:val="24"/>
          <w:szCs w:val="24"/>
        </w:rPr>
        <w:t xml:space="preserve">the </w:t>
      </w:r>
      <w:r w:rsidR="00A070F8" w:rsidRPr="00B236E3">
        <w:rPr>
          <w:rFonts w:ascii="Arial" w:hAnsi="Arial" w:cs="Arial"/>
          <w:b/>
          <w:bCs/>
          <w:color w:val="000000" w:themeColor="text1"/>
          <w:sz w:val="24"/>
          <w:szCs w:val="24"/>
        </w:rPr>
        <w:t>B</w:t>
      </w:r>
      <w:r w:rsidR="00AD5ADB" w:rsidRPr="00B236E3">
        <w:rPr>
          <w:rFonts w:ascii="Arial" w:hAnsi="Arial" w:cs="Arial"/>
          <w:b/>
          <w:bCs/>
          <w:color w:val="000000" w:themeColor="text1"/>
          <w:sz w:val="24"/>
          <w:szCs w:val="24"/>
        </w:rPr>
        <w:t xml:space="preserve">lack </w:t>
      </w:r>
      <w:r w:rsidR="007539D0" w:rsidRPr="00B236E3">
        <w:rPr>
          <w:rFonts w:ascii="Arial" w:hAnsi="Arial" w:cs="Arial"/>
          <w:b/>
          <w:bCs/>
          <w:sz w:val="24"/>
          <w:szCs w:val="24"/>
        </w:rPr>
        <w:t>A</w:t>
      </w:r>
      <w:r w:rsidR="00AD5ADB" w:rsidRPr="00B236E3">
        <w:rPr>
          <w:rFonts w:ascii="Arial" w:hAnsi="Arial" w:cs="Arial"/>
          <w:b/>
          <w:bCs/>
          <w:sz w:val="24"/>
          <w:szCs w:val="24"/>
        </w:rPr>
        <w:t xml:space="preserve">dministration </w:t>
      </w:r>
      <w:r w:rsidR="007539D0" w:rsidRPr="00B236E3">
        <w:rPr>
          <w:rFonts w:ascii="Arial" w:hAnsi="Arial" w:cs="Arial"/>
          <w:b/>
          <w:bCs/>
          <w:sz w:val="24"/>
          <w:szCs w:val="24"/>
        </w:rPr>
        <w:t>A</w:t>
      </w:r>
      <w:r w:rsidR="00AD5ADB" w:rsidRPr="00B236E3">
        <w:rPr>
          <w:rFonts w:ascii="Arial" w:hAnsi="Arial" w:cs="Arial"/>
          <w:b/>
          <w:bCs/>
          <w:sz w:val="24"/>
          <w:szCs w:val="24"/>
        </w:rPr>
        <w:t>ct</w:t>
      </w:r>
      <w:r w:rsidR="007539D0" w:rsidRPr="00B236E3">
        <w:rPr>
          <w:rFonts w:ascii="Arial" w:hAnsi="Arial" w:cs="Arial"/>
          <w:sz w:val="24"/>
          <w:szCs w:val="24"/>
        </w:rPr>
        <w:t xml:space="preserve"> has retrospective effect till 27 April 1994, this subsequently results in a dispute of fact and cannot be dealt with on the papers during motion court proceedings. The issue can best be resolved at trial.</w:t>
      </w:r>
    </w:p>
    <w:p w14:paraId="2326D824" w14:textId="3E7607B9" w:rsidR="005E6CF5" w:rsidRPr="00B236E3" w:rsidRDefault="00B236E3" w:rsidP="00B236E3">
      <w:pPr>
        <w:spacing w:after="240" w:line="360" w:lineRule="auto"/>
        <w:ind w:left="567" w:hanging="567"/>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539D0" w:rsidRPr="00B236E3">
        <w:rPr>
          <w:rFonts w:ascii="Arial" w:hAnsi="Arial" w:cs="Arial"/>
          <w:sz w:val="24"/>
          <w:szCs w:val="24"/>
        </w:rPr>
        <w:t>In my view, there are several dispute</w:t>
      </w:r>
      <w:r w:rsidR="00ED57E8" w:rsidRPr="00B236E3">
        <w:rPr>
          <w:rFonts w:ascii="Arial" w:hAnsi="Arial" w:cs="Arial"/>
          <w:sz w:val="24"/>
          <w:szCs w:val="24"/>
        </w:rPr>
        <w:t>s</w:t>
      </w:r>
      <w:r w:rsidR="007539D0" w:rsidRPr="00B236E3">
        <w:rPr>
          <w:rFonts w:ascii="Arial" w:hAnsi="Arial" w:cs="Arial"/>
          <w:sz w:val="24"/>
          <w:szCs w:val="24"/>
        </w:rPr>
        <w:t xml:space="preserve"> of facts which cannot be resolved on the papers, that is whether there was a buy</w:t>
      </w:r>
      <w:r w:rsidR="00ED57E8" w:rsidRPr="00B236E3">
        <w:rPr>
          <w:rFonts w:ascii="Arial" w:hAnsi="Arial" w:cs="Arial"/>
          <w:sz w:val="24"/>
          <w:szCs w:val="24"/>
        </w:rPr>
        <w:t>-</w:t>
      </w:r>
      <w:r w:rsidR="007539D0" w:rsidRPr="00B236E3">
        <w:rPr>
          <w:rFonts w:ascii="Arial" w:hAnsi="Arial" w:cs="Arial"/>
          <w:sz w:val="24"/>
          <w:szCs w:val="24"/>
        </w:rPr>
        <w:t>out agreement between the children of the deceased</w:t>
      </w:r>
      <w:r w:rsidR="0026483C" w:rsidRPr="00B236E3">
        <w:rPr>
          <w:rFonts w:ascii="Arial" w:hAnsi="Arial" w:cs="Arial"/>
          <w:sz w:val="24"/>
          <w:szCs w:val="24"/>
        </w:rPr>
        <w:t>,</w:t>
      </w:r>
      <w:r w:rsidR="007539D0" w:rsidRPr="00B236E3">
        <w:rPr>
          <w:rFonts w:ascii="Arial" w:hAnsi="Arial" w:cs="Arial"/>
          <w:sz w:val="24"/>
          <w:szCs w:val="24"/>
        </w:rPr>
        <w:t xml:space="preserve"> </w:t>
      </w:r>
      <w:proofErr w:type="spellStart"/>
      <w:r w:rsidR="00C931F0" w:rsidRPr="00B236E3">
        <w:rPr>
          <w:rFonts w:ascii="Arial" w:hAnsi="Arial" w:cs="Arial"/>
          <w:sz w:val="24"/>
          <w:szCs w:val="24"/>
        </w:rPr>
        <w:t>D</w:t>
      </w:r>
      <w:r w:rsidR="007539D0" w:rsidRPr="00B236E3">
        <w:rPr>
          <w:rFonts w:ascii="Arial" w:hAnsi="Arial" w:cs="Arial"/>
          <w:sz w:val="24"/>
          <w:szCs w:val="24"/>
        </w:rPr>
        <w:t>ikeledi</w:t>
      </w:r>
      <w:proofErr w:type="spellEnd"/>
      <w:r w:rsidR="007539D0" w:rsidRPr="00B236E3">
        <w:rPr>
          <w:rFonts w:ascii="Arial" w:hAnsi="Arial" w:cs="Arial"/>
          <w:sz w:val="24"/>
          <w:szCs w:val="24"/>
        </w:rPr>
        <w:t xml:space="preserve"> Molefe,</w:t>
      </w:r>
      <w:r w:rsidR="0026483C" w:rsidRPr="00B236E3">
        <w:rPr>
          <w:rFonts w:ascii="Arial" w:hAnsi="Arial" w:cs="Arial"/>
          <w:sz w:val="24"/>
          <w:szCs w:val="24"/>
        </w:rPr>
        <w:t xml:space="preserve"> and who are the children/heirs of the deceased, </w:t>
      </w:r>
      <w:proofErr w:type="spellStart"/>
      <w:r w:rsidR="00C931F0" w:rsidRPr="00B236E3">
        <w:rPr>
          <w:rFonts w:ascii="Arial" w:hAnsi="Arial" w:cs="Arial"/>
          <w:sz w:val="24"/>
          <w:szCs w:val="24"/>
        </w:rPr>
        <w:t>D</w:t>
      </w:r>
      <w:r w:rsidR="0026483C" w:rsidRPr="00B236E3">
        <w:rPr>
          <w:rFonts w:ascii="Arial" w:hAnsi="Arial" w:cs="Arial"/>
          <w:sz w:val="24"/>
          <w:szCs w:val="24"/>
        </w:rPr>
        <w:t>ikeledi</w:t>
      </w:r>
      <w:proofErr w:type="spellEnd"/>
      <w:r w:rsidR="0026483C" w:rsidRPr="00B236E3">
        <w:rPr>
          <w:rFonts w:ascii="Arial" w:hAnsi="Arial" w:cs="Arial"/>
          <w:sz w:val="24"/>
          <w:szCs w:val="24"/>
        </w:rPr>
        <w:t xml:space="preserve"> Molefe and/or Edgar Molefe; </w:t>
      </w:r>
      <w:r w:rsidR="007539D0" w:rsidRPr="00B236E3">
        <w:rPr>
          <w:rFonts w:ascii="Arial" w:hAnsi="Arial" w:cs="Arial"/>
          <w:sz w:val="24"/>
          <w:szCs w:val="24"/>
        </w:rPr>
        <w:t xml:space="preserve">whether </w:t>
      </w:r>
      <w:r w:rsidR="00241929" w:rsidRPr="00B236E3">
        <w:rPr>
          <w:rFonts w:ascii="Arial" w:hAnsi="Arial" w:cs="Arial"/>
          <w:sz w:val="24"/>
          <w:szCs w:val="24"/>
        </w:rPr>
        <w:t xml:space="preserve">the </w:t>
      </w:r>
      <w:r w:rsidR="007539D0" w:rsidRPr="00B236E3">
        <w:rPr>
          <w:rFonts w:ascii="Arial" w:hAnsi="Arial" w:cs="Arial"/>
          <w:b/>
          <w:bCs/>
          <w:sz w:val="24"/>
          <w:szCs w:val="24"/>
        </w:rPr>
        <w:t>B</w:t>
      </w:r>
      <w:r w:rsidR="00241929" w:rsidRPr="00B236E3">
        <w:rPr>
          <w:rFonts w:ascii="Arial" w:hAnsi="Arial" w:cs="Arial"/>
          <w:b/>
          <w:bCs/>
          <w:sz w:val="24"/>
          <w:szCs w:val="24"/>
        </w:rPr>
        <w:t xml:space="preserve">lack </w:t>
      </w:r>
      <w:r w:rsidR="007539D0" w:rsidRPr="00B236E3">
        <w:rPr>
          <w:rFonts w:ascii="Arial" w:hAnsi="Arial" w:cs="Arial"/>
          <w:b/>
          <w:bCs/>
          <w:sz w:val="24"/>
          <w:szCs w:val="24"/>
        </w:rPr>
        <w:t>A</w:t>
      </w:r>
      <w:r w:rsidR="00241929" w:rsidRPr="00B236E3">
        <w:rPr>
          <w:rFonts w:ascii="Arial" w:hAnsi="Arial" w:cs="Arial"/>
          <w:b/>
          <w:bCs/>
          <w:sz w:val="24"/>
          <w:szCs w:val="24"/>
        </w:rPr>
        <w:t xml:space="preserve">dministration </w:t>
      </w:r>
      <w:r w:rsidR="007539D0" w:rsidRPr="00B236E3">
        <w:rPr>
          <w:rFonts w:ascii="Arial" w:hAnsi="Arial" w:cs="Arial"/>
          <w:b/>
          <w:bCs/>
          <w:sz w:val="24"/>
          <w:szCs w:val="24"/>
        </w:rPr>
        <w:t>A</w:t>
      </w:r>
      <w:r w:rsidR="00241929" w:rsidRPr="00B236E3">
        <w:rPr>
          <w:rFonts w:ascii="Arial" w:hAnsi="Arial" w:cs="Arial"/>
          <w:b/>
          <w:bCs/>
          <w:sz w:val="24"/>
          <w:szCs w:val="24"/>
        </w:rPr>
        <w:t>ct</w:t>
      </w:r>
      <w:r w:rsidR="007539D0" w:rsidRPr="00B236E3">
        <w:rPr>
          <w:rFonts w:ascii="Arial" w:hAnsi="Arial" w:cs="Arial"/>
          <w:sz w:val="24"/>
          <w:szCs w:val="24"/>
        </w:rPr>
        <w:t xml:space="preserve"> was applicable when the estate was devolved and whether male primogeniture was applicable to the effect that </w:t>
      </w:r>
      <w:proofErr w:type="spellStart"/>
      <w:r w:rsidR="00C931F0" w:rsidRPr="00B236E3">
        <w:rPr>
          <w:rFonts w:ascii="Arial" w:hAnsi="Arial" w:cs="Arial"/>
          <w:sz w:val="24"/>
          <w:szCs w:val="24"/>
        </w:rPr>
        <w:t>D</w:t>
      </w:r>
      <w:r w:rsidR="007539D0" w:rsidRPr="00B236E3">
        <w:rPr>
          <w:rFonts w:ascii="Arial" w:hAnsi="Arial" w:cs="Arial"/>
          <w:sz w:val="24"/>
          <w:szCs w:val="24"/>
        </w:rPr>
        <w:t>ikeledi</w:t>
      </w:r>
      <w:proofErr w:type="spellEnd"/>
      <w:r w:rsidR="007539D0" w:rsidRPr="00B236E3">
        <w:rPr>
          <w:rFonts w:ascii="Arial" w:hAnsi="Arial" w:cs="Arial"/>
          <w:sz w:val="24"/>
          <w:szCs w:val="24"/>
        </w:rPr>
        <w:t xml:space="preserve"> Molefe passed on before 27 April 1994.</w:t>
      </w:r>
    </w:p>
    <w:p w14:paraId="330671AF" w14:textId="75DA70C4" w:rsidR="007539D0" w:rsidRPr="00B236E3" w:rsidRDefault="00B236E3" w:rsidP="00B236E3">
      <w:pPr>
        <w:spacing w:after="240" w:line="360" w:lineRule="auto"/>
        <w:ind w:left="567" w:hanging="567"/>
        <w:jc w:val="both"/>
        <w:rPr>
          <w:rFonts w:ascii="Arial" w:hAnsi="Arial" w:cs="Arial"/>
          <w:sz w:val="24"/>
          <w:szCs w:val="24"/>
        </w:rPr>
      </w:pPr>
      <w:r w:rsidRPr="005E6CF5">
        <w:rPr>
          <w:rFonts w:ascii="Arial" w:hAnsi="Arial" w:cs="Arial"/>
          <w:sz w:val="24"/>
          <w:szCs w:val="24"/>
        </w:rPr>
        <w:t>[29]</w:t>
      </w:r>
      <w:r w:rsidRPr="005E6CF5">
        <w:rPr>
          <w:rFonts w:ascii="Arial" w:hAnsi="Arial" w:cs="Arial"/>
          <w:sz w:val="24"/>
          <w:szCs w:val="24"/>
        </w:rPr>
        <w:tab/>
      </w:r>
      <w:r w:rsidR="007539D0" w:rsidRPr="00B236E3">
        <w:rPr>
          <w:rFonts w:ascii="Arial" w:hAnsi="Arial" w:cs="Arial"/>
          <w:sz w:val="24"/>
          <w:szCs w:val="24"/>
        </w:rPr>
        <w:t>Accordingly, the following order is made:</w:t>
      </w:r>
    </w:p>
    <w:p w14:paraId="19440C69" w14:textId="305BCBB3" w:rsidR="008C05FA" w:rsidRPr="00B236E3" w:rsidRDefault="00B236E3" w:rsidP="00B236E3">
      <w:pPr>
        <w:spacing w:after="240" w:line="360" w:lineRule="auto"/>
        <w:ind w:left="927" w:hanging="360"/>
        <w:jc w:val="both"/>
        <w:rPr>
          <w:rFonts w:ascii="Arial" w:hAnsi="Arial" w:cs="Arial"/>
          <w:sz w:val="24"/>
          <w:szCs w:val="24"/>
        </w:rPr>
      </w:pPr>
      <w:r w:rsidRPr="00EE77AB">
        <w:rPr>
          <w:rFonts w:ascii="Arial" w:hAnsi="Arial" w:cs="Arial"/>
          <w:sz w:val="24"/>
          <w:szCs w:val="24"/>
        </w:rPr>
        <w:t>1.</w:t>
      </w:r>
      <w:r w:rsidRPr="00EE77AB">
        <w:rPr>
          <w:rFonts w:ascii="Arial" w:hAnsi="Arial" w:cs="Arial"/>
          <w:sz w:val="24"/>
          <w:szCs w:val="24"/>
        </w:rPr>
        <w:tab/>
      </w:r>
      <w:r w:rsidR="007539D0" w:rsidRPr="00B236E3">
        <w:rPr>
          <w:rFonts w:ascii="Arial" w:hAnsi="Arial" w:cs="Arial"/>
          <w:sz w:val="24"/>
          <w:szCs w:val="24"/>
        </w:rPr>
        <w:t xml:space="preserve">The </w:t>
      </w:r>
      <w:r w:rsidR="007539D0" w:rsidRPr="00B236E3">
        <w:rPr>
          <w:rFonts w:ascii="Arial" w:hAnsi="Arial" w:cs="Arial"/>
          <w:i/>
          <w:sz w:val="24"/>
          <w:szCs w:val="24"/>
        </w:rPr>
        <w:t xml:space="preserve">points in </w:t>
      </w:r>
      <w:proofErr w:type="spellStart"/>
      <w:r w:rsidR="007539D0" w:rsidRPr="00B236E3">
        <w:rPr>
          <w:rFonts w:ascii="Arial" w:hAnsi="Arial" w:cs="Arial"/>
          <w:i/>
          <w:sz w:val="24"/>
          <w:szCs w:val="24"/>
        </w:rPr>
        <w:t>limine</w:t>
      </w:r>
      <w:proofErr w:type="spellEnd"/>
      <w:r w:rsidR="008C05FA" w:rsidRPr="00B236E3">
        <w:rPr>
          <w:rFonts w:ascii="Arial" w:hAnsi="Arial" w:cs="Arial"/>
          <w:sz w:val="24"/>
          <w:szCs w:val="24"/>
        </w:rPr>
        <w:t xml:space="preserve"> of the First and Second Respondent</w:t>
      </w:r>
      <w:r w:rsidR="007539D0" w:rsidRPr="00B236E3">
        <w:rPr>
          <w:rFonts w:ascii="Arial" w:hAnsi="Arial" w:cs="Arial"/>
          <w:sz w:val="24"/>
          <w:szCs w:val="24"/>
        </w:rPr>
        <w:t xml:space="preserve"> are dismissed with no order as to costs.</w:t>
      </w:r>
    </w:p>
    <w:p w14:paraId="629CD6B5" w14:textId="16215411" w:rsidR="00D87379" w:rsidRPr="00B236E3" w:rsidRDefault="00B236E3" w:rsidP="00B236E3">
      <w:pPr>
        <w:spacing w:after="240" w:line="360" w:lineRule="auto"/>
        <w:ind w:left="927" w:hanging="360"/>
        <w:jc w:val="both"/>
        <w:rPr>
          <w:rFonts w:ascii="Arial" w:hAnsi="Arial" w:cs="Arial"/>
          <w:sz w:val="24"/>
          <w:szCs w:val="24"/>
        </w:rPr>
      </w:pPr>
      <w:r w:rsidRPr="00EE77AB">
        <w:rPr>
          <w:rFonts w:ascii="Arial" w:hAnsi="Arial" w:cs="Arial"/>
          <w:sz w:val="24"/>
          <w:szCs w:val="24"/>
        </w:rPr>
        <w:t>2.</w:t>
      </w:r>
      <w:r w:rsidRPr="00EE77AB">
        <w:rPr>
          <w:rFonts w:ascii="Arial" w:hAnsi="Arial" w:cs="Arial"/>
          <w:sz w:val="24"/>
          <w:szCs w:val="24"/>
        </w:rPr>
        <w:tab/>
      </w:r>
      <w:r w:rsidR="007539D0" w:rsidRPr="00B236E3">
        <w:rPr>
          <w:rFonts w:ascii="Arial" w:hAnsi="Arial" w:cs="Arial"/>
          <w:sz w:val="24"/>
          <w:szCs w:val="24"/>
        </w:rPr>
        <w:t>The matter is referred for oral evidence</w:t>
      </w:r>
      <w:r w:rsidR="00437D73" w:rsidRPr="00B236E3">
        <w:rPr>
          <w:rFonts w:ascii="Arial" w:hAnsi="Arial" w:cs="Arial"/>
          <w:sz w:val="24"/>
          <w:szCs w:val="24"/>
        </w:rPr>
        <w:t xml:space="preserve"> to deal with disputes of facts</w:t>
      </w:r>
      <w:r w:rsidR="007539D0" w:rsidRPr="00B236E3">
        <w:rPr>
          <w:rFonts w:ascii="Arial" w:hAnsi="Arial" w:cs="Arial"/>
          <w:sz w:val="24"/>
          <w:szCs w:val="24"/>
        </w:rPr>
        <w:t xml:space="preserve">.  </w:t>
      </w:r>
    </w:p>
    <w:p w14:paraId="35E5D14B" w14:textId="3CD47A07" w:rsidR="00D45311" w:rsidRPr="00B236E3" w:rsidRDefault="00B236E3" w:rsidP="00B236E3">
      <w:pPr>
        <w:ind w:left="927" w:hanging="36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437D73" w:rsidRPr="00B236E3">
        <w:rPr>
          <w:rFonts w:ascii="Arial" w:hAnsi="Arial" w:cs="Arial"/>
          <w:sz w:val="24"/>
          <w:szCs w:val="24"/>
        </w:rPr>
        <w:t xml:space="preserve"> Cost</w:t>
      </w:r>
      <w:r w:rsidR="00CD4318" w:rsidRPr="00B236E3">
        <w:rPr>
          <w:rFonts w:ascii="Arial" w:hAnsi="Arial" w:cs="Arial"/>
          <w:sz w:val="24"/>
          <w:szCs w:val="24"/>
        </w:rPr>
        <w:t>s</w:t>
      </w:r>
      <w:r w:rsidR="00437D73" w:rsidRPr="00B236E3">
        <w:rPr>
          <w:rFonts w:ascii="Arial" w:hAnsi="Arial" w:cs="Arial"/>
          <w:sz w:val="24"/>
          <w:szCs w:val="24"/>
        </w:rPr>
        <w:t xml:space="preserve"> to be cost</w:t>
      </w:r>
      <w:r w:rsidR="00CD4318" w:rsidRPr="00B236E3">
        <w:rPr>
          <w:rFonts w:ascii="Arial" w:hAnsi="Arial" w:cs="Arial"/>
          <w:sz w:val="24"/>
          <w:szCs w:val="24"/>
        </w:rPr>
        <w:t>s</w:t>
      </w:r>
      <w:r w:rsidR="00437D73" w:rsidRPr="00B236E3">
        <w:rPr>
          <w:rFonts w:ascii="Arial" w:hAnsi="Arial" w:cs="Arial"/>
          <w:sz w:val="24"/>
          <w:szCs w:val="24"/>
        </w:rPr>
        <w:t xml:space="preserve"> in the trial.</w:t>
      </w:r>
    </w:p>
    <w:p w14:paraId="7F1B6C31" w14:textId="609DEE3A" w:rsidR="00A975FA" w:rsidRDefault="00A975FA" w:rsidP="00A975FA">
      <w:pPr>
        <w:jc w:val="both"/>
        <w:rPr>
          <w:rFonts w:ascii="Arial" w:hAnsi="Arial" w:cs="Arial"/>
          <w:sz w:val="24"/>
          <w:szCs w:val="24"/>
        </w:rPr>
      </w:pPr>
    </w:p>
    <w:p w14:paraId="25C91DAF" w14:textId="2F848AA8" w:rsidR="00A975FA" w:rsidRDefault="00A975FA" w:rsidP="00A975FA">
      <w:pPr>
        <w:jc w:val="both"/>
        <w:rPr>
          <w:rFonts w:ascii="Arial" w:hAnsi="Arial" w:cs="Arial"/>
          <w:sz w:val="24"/>
          <w:szCs w:val="24"/>
        </w:rPr>
      </w:pPr>
    </w:p>
    <w:p w14:paraId="0AC81ED5" w14:textId="3A539604" w:rsidR="00A975FA" w:rsidRDefault="00A975FA" w:rsidP="00A975FA">
      <w:pPr>
        <w:jc w:val="both"/>
        <w:rPr>
          <w:rFonts w:ascii="Arial" w:hAnsi="Arial" w:cs="Arial"/>
          <w:sz w:val="24"/>
          <w:szCs w:val="24"/>
        </w:rPr>
      </w:pPr>
    </w:p>
    <w:p w14:paraId="33AED99E" w14:textId="5854E5ED" w:rsidR="00A975FA" w:rsidRDefault="00A975FA" w:rsidP="00A975FA">
      <w:pPr>
        <w:ind w:left="6480"/>
        <w:jc w:val="both"/>
        <w:rPr>
          <w:rFonts w:ascii="Arial" w:hAnsi="Arial" w:cs="Arial"/>
          <w:sz w:val="24"/>
          <w:szCs w:val="24"/>
        </w:rPr>
      </w:pPr>
      <w:r>
        <w:rPr>
          <w:rFonts w:ascii="Arial" w:hAnsi="Arial" w:cs="Arial"/>
          <w:sz w:val="24"/>
          <w:szCs w:val="24"/>
        </w:rPr>
        <w:t>__________________</w:t>
      </w:r>
    </w:p>
    <w:p w14:paraId="6AAE6FC1" w14:textId="262E7D09" w:rsidR="00A975FA" w:rsidRDefault="00A975FA" w:rsidP="00A975FA">
      <w:pPr>
        <w:ind w:left="6480"/>
        <w:jc w:val="both"/>
        <w:rPr>
          <w:rFonts w:ascii="Arial" w:hAnsi="Arial" w:cs="Arial"/>
          <w:sz w:val="24"/>
          <w:szCs w:val="24"/>
        </w:rPr>
      </w:pPr>
      <w:proofErr w:type="spellStart"/>
      <w:r>
        <w:rPr>
          <w:rFonts w:ascii="Arial" w:hAnsi="Arial" w:cs="Arial"/>
          <w:sz w:val="24"/>
          <w:szCs w:val="24"/>
        </w:rPr>
        <w:t>Chesiwe</w:t>
      </w:r>
      <w:proofErr w:type="spellEnd"/>
      <w:r>
        <w:rPr>
          <w:rFonts w:ascii="Arial" w:hAnsi="Arial" w:cs="Arial"/>
          <w:sz w:val="24"/>
          <w:szCs w:val="24"/>
        </w:rPr>
        <w:t>, J</w:t>
      </w:r>
    </w:p>
    <w:p w14:paraId="607F8DCC" w14:textId="3BADFE18" w:rsidR="003145F0" w:rsidRDefault="003145F0" w:rsidP="00A975FA">
      <w:pPr>
        <w:ind w:left="6480"/>
        <w:jc w:val="both"/>
        <w:rPr>
          <w:rFonts w:ascii="Arial" w:hAnsi="Arial" w:cs="Arial"/>
          <w:sz w:val="24"/>
          <w:szCs w:val="24"/>
        </w:rPr>
      </w:pPr>
    </w:p>
    <w:p w14:paraId="1CF9A4A1" w14:textId="48AB3B49" w:rsidR="00AF4B04" w:rsidRDefault="00AF4B04" w:rsidP="00A975FA">
      <w:pPr>
        <w:ind w:left="6480"/>
        <w:jc w:val="both"/>
        <w:rPr>
          <w:rFonts w:ascii="Arial" w:hAnsi="Arial" w:cs="Arial"/>
          <w:sz w:val="24"/>
          <w:szCs w:val="24"/>
        </w:rPr>
      </w:pPr>
    </w:p>
    <w:p w14:paraId="6C0E2919" w14:textId="77777777" w:rsidR="00AF4B04" w:rsidRDefault="00AF4B04" w:rsidP="00A975FA">
      <w:pPr>
        <w:ind w:left="6480"/>
        <w:jc w:val="both"/>
        <w:rPr>
          <w:rFonts w:ascii="Arial" w:hAnsi="Arial" w:cs="Arial"/>
          <w:sz w:val="24"/>
          <w:szCs w:val="24"/>
        </w:rPr>
      </w:pPr>
    </w:p>
    <w:p w14:paraId="5BE6996A" w14:textId="77777777" w:rsidR="003145F0" w:rsidRDefault="003145F0" w:rsidP="00A975FA">
      <w:pPr>
        <w:ind w:left="6480"/>
        <w:jc w:val="both"/>
        <w:rPr>
          <w:rFonts w:ascii="Arial" w:hAnsi="Arial" w:cs="Arial"/>
          <w:sz w:val="24"/>
          <w:szCs w:val="24"/>
        </w:rPr>
      </w:pPr>
    </w:p>
    <w:p w14:paraId="18EBBA61" w14:textId="26B42DEA" w:rsidR="00A975FA" w:rsidRDefault="00A975FA" w:rsidP="00422C67">
      <w:pPr>
        <w:rPr>
          <w:rFonts w:ascii="Arial" w:hAnsi="Arial" w:cs="Arial"/>
          <w:sz w:val="24"/>
          <w:szCs w:val="24"/>
        </w:rPr>
      </w:pPr>
      <w:r>
        <w:rPr>
          <w:rFonts w:ascii="Arial" w:hAnsi="Arial" w:cs="Arial"/>
          <w:sz w:val="24"/>
          <w:szCs w:val="24"/>
        </w:rPr>
        <w:t xml:space="preserve">On behalf of the Applicants: </w:t>
      </w:r>
      <w:r>
        <w:rPr>
          <w:rFonts w:ascii="Arial" w:hAnsi="Arial" w:cs="Arial"/>
          <w:sz w:val="24"/>
          <w:szCs w:val="24"/>
        </w:rPr>
        <w:tab/>
      </w:r>
      <w:r w:rsidR="00422C67">
        <w:rPr>
          <w:rFonts w:ascii="Arial" w:hAnsi="Arial" w:cs="Arial"/>
          <w:sz w:val="24"/>
          <w:szCs w:val="24"/>
        </w:rPr>
        <w:t xml:space="preserve">Adv T E </w:t>
      </w:r>
      <w:proofErr w:type="spellStart"/>
      <w:r w:rsidR="00422C67">
        <w:rPr>
          <w:rFonts w:ascii="Arial" w:hAnsi="Arial" w:cs="Arial"/>
          <w:sz w:val="24"/>
          <w:szCs w:val="24"/>
        </w:rPr>
        <w:t>Tsoeu</w:t>
      </w:r>
      <w:proofErr w:type="spellEnd"/>
    </w:p>
    <w:p w14:paraId="2E3C1D93" w14:textId="2F0E9D34" w:rsidR="00A975FA" w:rsidRDefault="00A975FA" w:rsidP="00A975FA">
      <w:pPr>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Motlogeloa</w:t>
      </w:r>
      <w:proofErr w:type="spellEnd"/>
      <w:r>
        <w:rPr>
          <w:rFonts w:ascii="Arial" w:hAnsi="Arial" w:cs="Arial"/>
          <w:sz w:val="24"/>
          <w:szCs w:val="24"/>
        </w:rPr>
        <w:t xml:space="preserve"> Attorneys Inc.</w:t>
      </w:r>
    </w:p>
    <w:p w14:paraId="675B1734" w14:textId="1810176D" w:rsidR="00A975FA" w:rsidRDefault="00A975FA" w:rsidP="00A975F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p>
    <w:p w14:paraId="3C5F71A3" w14:textId="3497472B" w:rsidR="00A975FA" w:rsidRDefault="00A975FA" w:rsidP="00A975FA">
      <w:pPr>
        <w:jc w:val="both"/>
        <w:rPr>
          <w:rFonts w:ascii="Arial" w:hAnsi="Arial" w:cs="Arial"/>
          <w:sz w:val="24"/>
          <w:szCs w:val="24"/>
        </w:rPr>
      </w:pPr>
    </w:p>
    <w:p w14:paraId="19B69B2E" w14:textId="77777777" w:rsidR="00C40C37" w:rsidRDefault="00A975FA" w:rsidP="00A975FA">
      <w:pPr>
        <w:jc w:val="both"/>
        <w:rPr>
          <w:rFonts w:ascii="Arial" w:hAnsi="Arial" w:cs="Arial"/>
          <w:sz w:val="24"/>
          <w:szCs w:val="24"/>
        </w:rPr>
      </w:pPr>
      <w:r>
        <w:rPr>
          <w:rFonts w:ascii="Arial" w:hAnsi="Arial" w:cs="Arial"/>
          <w:sz w:val="24"/>
          <w:szCs w:val="24"/>
        </w:rPr>
        <w:t xml:space="preserve">On behalf of the </w:t>
      </w:r>
      <w:r w:rsidR="00C40C37">
        <w:rPr>
          <w:rFonts w:ascii="Arial" w:hAnsi="Arial" w:cs="Arial"/>
          <w:sz w:val="24"/>
          <w:szCs w:val="24"/>
        </w:rPr>
        <w:t xml:space="preserve">First and Second </w:t>
      </w:r>
    </w:p>
    <w:p w14:paraId="2A920501" w14:textId="51777861" w:rsidR="00A975FA" w:rsidRDefault="00A975FA" w:rsidP="00422C67">
      <w:pPr>
        <w:rPr>
          <w:rFonts w:ascii="Arial" w:hAnsi="Arial" w:cs="Arial"/>
          <w:sz w:val="24"/>
          <w:szCs w:val="24"/>
        </w:rPr>
      </w:pPr>
      <w:r>
        <w:rPr>
          <w:rFonts w:ascii="Arial" w:hAnsi="Arial" w:cs="Arial"/>
          <w:sz w:val="24"/>
          <w:szCs w:val="24"/>
        </w:rPr>
        <w:t>Respondents:</w:t>
      </w:r>
      <w:r>
        <w:rPr>
          <w:rFonts w:ascii="Arial" w:hAnsi="Arial" w:cs="Arial"/>
          <w:sz w:val="24"/>
          <w:szCs w:val="24"/>
        </w:rPr>
        <w:tab/>
      </w:r>
      <w:r w:rsidR="00C40C37">
        <w:rPr>
          <w:rFonts w:ascii="Arial" w:hAnsi="Arial" w:cs="Arial"/>
          <w:sz w:val="24"/>
          <w:szCs w:val="24"/>
        </w:rPr>
        <w:tab/>
      </w:r>
      <w:r w:rsidR="00C40C37">
        <w:rPr>
          <w:rFonts w:ascii="Arial" w:hAnsi="Arial" w:cs="Arial"/>
          <w:sz w:val="24"/>
          <w:szCs w:val="24"/>
        </w:rPr>
        <w:tab/>
      </w:r>
      <w:r w:rsidR="00422C67">
        <w:rPr>
          <w:rFonts w:ascii="Arial" w:hAnsi="Arial" w:cs="Arial"/>
          <w:sz w:val="24"/>
          <w:szCs w:val="24"/>
        </w:rPr>
        <w:t xml:space="preserve">Adv K P </w:t>
      </w:r>
      <w:proofErr w:type="spellStart"/>
      <w:r w:rsidR="00422C67">
        <w:rPr>
          <w:rFonts w:ascii="Arial" w:hAnsi="Arial" w:cs="Arial"/>
          <w:sz w:val="24"/>
          <w:szCs w:val="24"/>
        </w:rPr>
        <w:t>Mohono</w:t>
      </w:r>
      <w:proofErr w:type="spellEnd"/>
    </w:p>
    <w:p w14:paraId="160DB480" w14:textId="14D9AF21" w:rsidR="00A975FA" w:rsidRDefault="00A975FA" w:rsidP="00A975FA">
      <w:pPr>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Ngwane Attorneys</w:t>
      </w:r>
    </w:p>
    <w:p w14:paraId="7E203C22" w14:textId="5479B568" w:rsidR="00422C67" w:rsidRDefault="00A975FA" w:rsidP="00A975F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p>
    <w:p w14:paraId="37F278AA" w14:textId="77777777" w:rsidR="00422C67" w:rsidRPr="00422C67" w:rsidRDefault="00422C67" w:rsidP="00422C67">
      <w:pPr>
        <w:rPr>
          <w:rFonts w:ascii="Arial" w:hAnsi="Arial" w:cs="Arial"/>
          <w:sz w:val="24"/>
          <w:szCs w:val="24"/>
        </w:rPr>
      </w:pPr>
    </w:p>
    <w:p w14:paraId="5C3129CD" w14:textId="0552F3B9" w:rsidR="00422C67" w:rsidRDefault="00422C67" w:rsidP="00422C67">
      <w:pPr>
        <w:rPr>
          <w:rFonts w:ascii="Arial" w:hAnsi="Arial" w:cs="Arial"/>
          <w:sz w:val="24"/>
          <w:szCs w:val="24"/>
        </w:rPr>
      </w:pPr>
    </w:p>
    <w:sectPr w:rsidR="00422C67" w:rsidSect="00801F9A">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EF59" w14:textId="77777777" w:rsidR="005D661D" w:rsidRDefault="005D661D" w:rsidP="0045753F">
      <w:pPr>
        <w:spacing w:after="0" w:line="240" w:lineRule="auto"/>
      </w:pPr>
      <w:r>
        <w:separator/>
      </w:r>
    </w:p>
  </w:endnote>
  <w:endnote w:type="continuationSeparator" w:id="0">
    <w:p w14:paraId="7E2E3C25" w14:textId="77777777" w:rsidR="005D661D" w:rsidRDefault="005D661D" w:rsidP="0045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FA59" w14:textId="77777777" w:rsidR="005D661D" w:rsidRDefault="005D661D" w:rsidP="0045753F">
      <w:pPr>
        <w:spacing w:after="0" w:line="240" w:lineRule="auto"/>
      </w:pPr>
      <w:r>
        <w:separator/>
      </w:r>
    </w:p>
  </w:footnote>
  <w:footnote w:type="continuationSeparator" w:id="0">
    <w:p w14:paraId="2CAC7267" w14:textId="77777777" w:rsidR="005D661D" w:rsidRDefault="005D661D" w:rsidP="0045753F">
      <w:pPr>
        <w:spacing w:after="0" w:line="240" w:lineRule="auto"/>
      </w:pPr>
      <w:r>
        <w:continuationSeparator/>
      </w:r>
    </w:p>
  </w:footnote>
  <w:footnote w:id="1">
    <w:p w14:paraId="429283E0" w14:textId="77777777" w:rsidR="00F31B13" w:rsidRPr="00B95644" w:rsidRDefault="00F31B13">
      <w:pPr>
        <w:pStyle w:val="FootnoteText"/>
        <w:rPr>
          <w:rFonts w:ascii="Times New Roman" w:hAnsi="Times New Roman" w:cs="Times New Roman"/>
        </w:rPr>
      </w:pPr>
      <w:r w:rsidRPr="00B95644">
        <w:rPr>
          <w:rStyle w:val="FootnoteReference"/>
          <w:rFonts w:ascii="Times New Roman" w:hAnsi="Times New Roman" w:cs="Times New Roman"/>
        </w:rPr>
        <w:footnoteRef/>
      </w:r>
      <w:r w:rsidRPr="00B95644">
        <w:rPr>
          <w:rFonts w:ascii="Times New Roman" w:hAnsi="Times New Roman" w:cs="Times New Roman"/>
        </w:rPr>
        <w:t xml:space="preserve"> Act 81 of 1987</w:t>
      </w:r>
    </w:p>
  </w:footnote>
  <w:footnote w:id="2">
    <w:p w14:paraId="09D9F33B" w14:textId="77777777" w:rsidR="00A519CC" w:rsidRDefault="00A519CC">
      <w:pPr>
        <w:pStyle w:val="FootnoteText"/>
      </w:pPr>
      <w:r w:rsidRPr="00B95644">
        <w:rPr>
          <w:rStyle w:val="FootnoteReference"/>
          <w:rFonts w:ascii="Times New Roman" w:hAnsi="Times New Roman" w:cs="Times New Roman"/>
        </w:rPr>
        <w:footnoteRef/>
      </w:r>
      <w:r w:rsidRPr="00B95644">
        <w:rPr>
          <w:rFonts w:ascii="Times New Roman" w:hAnsi="Times New Roman" w:cs="Times New Roman"/>
        </w:rPr>
        <w:t xml:space="preserve"> Act 68 of 1969</w:t>
      </w:r>
    </w:p>
  </w:footnote>
  <w:footnote w:id="3">
    <w:p w14:paraId="0954E385" w14:textId="4DD6F670" w:rsidR="0045753F" w:rsidRPr="00AB79EC" w:rsidRDefault="0045753F">
      <w:pPr>
        <w:pStyle w:val="FootnoteText"/>
        <w:rPr>
          <w:rFonts w:ascii="Times New Roman" w:hAnsi="Times New Roman" w:cs="Times New Roman"/>
          <w:lang w:val="en-GB"/>
        </w:rPr>
      </w:pPr>
      <w:r w:rsidRPr="00AB79EC">
        <w:rPr>
          <w:rStyle w:val="FootnoteReference"/>
          <w:rFonts w:ascii="Times New Roman" w:hAnsi="Times New Roman" w:cs="Times New Roman"/>
        </w:rPr>
        <w:footnoteRef/>
      </w:r>
      <w:r w:rsidRPr="00AB79EC">
        <w:rPr>
          <w:rFonts w:ascii="Times New Roman" w:hAnsi="Times New Roman" w:cs="Times New Roman"/>
        </w:rPr>
        <w:t xml:space="preserve"> 2003 JDR 0498 (T) at para</w:t>
      </w:r>
      <w:r w:rsidR="003145F0">
        <w:rPr>
          <w:rFonts w:ascii="Times New Roman" w:hAnsi="Times New Roman" w:cs="Times New Roman"/>
        </w:rPr>
        <w:t>graph</w:t>
      </w:r>
      <w:r w:rsidRPr="00AB79EC">
        <w:rPr>
          <w:rFonts w:ascii="Times New Roman" w:hAnsi="Times New Roman" w:cs="Times New Roman"/>
        </w:rPr>
        <w:t xml:space="preserve"> 16</w:t>
      </w:r>
    </w:p>
  </w:footnote>
  <w:footnote w:id="4">
    <w:p w14:paraId="18A92AED" w14:textId="77777777" w:rsidR="00A519CC" w:rsidRPr="00AB79EC" w:rsidRDefault="00A519CC">
      <w:pPr>
        <w:pStyle w:val="FootnoteText"/>
        <w:rPr>
          <w:rFonts w:ascii="Times New Roman" w:hAnsi="Times New Roman" w:cs="Times New Roman"/>
        </w:rPr>
      </w:pPr>
      <w:r w:rsidRPr="00AB79EC">
        <w:rPr>
          <w:rStyle w:val="FootnoteReference"/>
          <w:rFonts w:ascii="Times New Roman" w:hAnsi="Times New Roman" w:cs="Times New Roman"/>
        </w:rPr>
        <w:footnoteRef/>
      </w:r>
      <w:r w:rsidRPr="00AB79EC">
        <w:rPr>
          <w:rFonts w:ascii="Times New Roman" w:hAnsi="Times New Roman" w:cs="Times New Roman"/>
        </w:rPr>
        <w:t xml:space="preserve"> Act 38 of 1927</w:t>
      </w:r>
    </w:p>
  </w:footnote>
  <w:footnote w:id="5">
    <w:p w14:paraId="2CE0961F" w14:textId="77777777" w:rsidR="00801F9A" w:rsidRDefault="00801F9A">
      <w:pPr>
        <w:pStyle w:val="FootnoteText"/>
      </w:pPr>
      <w:r w:rsidRPr="00AB79EC">
        <w:rPr>
          <w:rStyle w:val="FootnoteReference"/>
          <w:rFonts w:ascii="Times New Roman" w:hAnsi="Times New Roman" w:cs="Times New Roman"/>
        </w:rPr>
        <w:footnoteRef/>
      </w:r>
      <w:r w:rsidRPr="00AB79EC">
        <w:rPr>
          <w:rFonts w:ascii="Times New Roman" w:hAnsi="Times New Roman" w:cs="Times New Roman"/>
        </w:rPr>
        <w:t>Act 108 of 1996</w:t>
      </w:r>
      <w:r w:rsidRPr="00801F9A">
        <w:t xml:space="preserve"> </w:t>
      </w:r>
      <w:r>
        <w:t xml:space="preserve"> </w:t>
      </w:r>
    </w:p>
  </w:footnote>
  <w:footnote w:id="6">
    <w:p w14:paraId="3EEBFCCD" w14:textId="0A97B175" w:rsidR="00205C51" w:rsidRPr="00214E7D" w:rsidRDefault="00205C51" w:rsidP="000343A2">
      <w:pPr>
        <w:pStyle w:val="FootnoteText"/>
        <w:ind w:left="142" w:hanging="142"/>
        <w:rPr>
          <w:rFonts w:ascii="Times New Roman" w:hAnsi="Times New Roman" w:cs="Times New Roman"/>
        </w:rPr>
      </w:pPr>
      <w:r w:rsidRPr="00214E7D">
        <w:rPr>
          <w:rStyle w:val="FootnoteReference"/>
          <w:rFonts w:ascii="Times New Roman" w:hAnsi="Times New Roman" w:cs="Times New Roman"/>
        </w:rPr>
        <w:footnoteRef/>
      </w:r>
      <w:r w:rsidR="000035A5">
        <w:rPr>
          <w:rFonts w:ascii="Times New Roman" w:hAnsi="Times New Roman" w:cs="Times New Roman"/>
        </w:rPr>
        <w:t xml:space="preserve"> </w:t>
      </w:r>
      <w:r w:rsidR="001F7BBB" w:rsidRPr="001F7BBB">
        <w:rPr>
          <w:rFonts w:ascii="Times New Roman" w:hAnsi="Times New Roman" w:cs="Times New Roman"/>
        </w:rPr>
        <w:t>(CCT 49/03) [2004] ZACC 17; 2005 (1) SA 580 (CC); 2005 (1) BCLR 1 (CC) (15 October 2004)</w:t>
      </w:r>
      <w:r w:rsidR="001F7BBB">
        <w:rPr>
          <w:rFonts w:ascii="Times New Roman" w:hAnsi="Times New Roman" w:cs="Times New Roman"/>
        </w:rPr>
        <w:t xml:space="preserve"> </w:t>
      </w:r>
      <w:r w:rsidR="00AD5ADB" w:rsidRPr="00214E7D">
        <w:rPr>
          <w:rFonts w:ascii="Times New Roman" w:hAnsi="Times New Roman" w:cs="Times New Roman"/>
        </w:rPr>
        <w:t>at paragraph 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50393"/>
      <w:docPartObj>
        <w:docPartGallery w:val="Page Numbers (Top of Page)"/>
        <w:docPartUnique/>
      </w:docPartObj>
    </w:sdtPr>
    <w:sdtEndPr>
      <w:rPr>
        <w:noProof/>
      </w:rPr>
    </w:sdtEndPr>
    <w:sdtContent>
      <w:p w14:paraId="01D7AB4A" w14:textId="6ED5194C" w:rsidR="00801F9A" w:rsidRDefault="00801F9A">
        <w:pPr>
          <w:pStyle w:val="Header"/>
          <w:jc w:val="right"/>
        </w:pPr>
        <w:r>
          <w:fldChar w:fldCharType="begin"/>
        </w:r>
        <w:r>
          <w:instrText xml:space="preserve"> PAGE   \* MERGEFORMAT </w:instrText>
        </w:r>
        <w:r>
          <w:fldChar w:fldCharType="separate"/>
        </w:r>
        <w:r w:rsidR="00A62870">
          <w:rPr>
            <w:noProof/>
          </w:rPr>
          <w:t>8</w:t>
        </w:r>
        <w:r>
          <w:rPr>
            <w:noProof/>
          </w:rPr>
          <w:fldChar w:fldCharType="end"/>
        </w:r>
      </w:p>
    </w:sdtContent>
  </w:sdt>
  <w:p w14:paraId="49D2DDF8" w14:textId="77777777" w:rsidR="00801F9A" w:rsidRDefault="0080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32D"/>
    <w:multiLevelType w:val="hybridMultilevel"/>
    <w:tmpl w:val="33DCF8AA"/>
    <w:lvl w:ilvl="0" w:tplc="5A5CF56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64C51633"/>
    <w:multiLevelType w:val="hybridMultilevel"/>
    <w:tmpl w:val="FFEC8954"/>
    <w:lvl w:ilvl="0" w:tplc="F2D0C00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70012229">
    <w:abstractNumId w:val="1"/>
  </w:num>
  <w:num w:numId="2" w16cid:durableId="78107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11"/>
    <w:rsid w:val="000035A5"/>
    <w:rsid w:val="00010692"/>
    <w:rsid w:val="000343A2"/>
    <w:rsid w:val="00071A40"/>
    <w:rsid w:val="000B5B8A"/>
    <w:rsid w:val="000F391B"/>
    <w:rsid w:val="00106C54"/>
    <w:rsid w:val="00126FED"/>
    <w:rsid w:val="00150C44"/>
    <w:rsid w:val="00155224"/>
    <w:rsid w:val="00162330"/>
    <w:rsid w:val="001F7BBB"/>
    <w:rsid w:val="00205C51"/>
    <w:rsid w:val="00214E7D"/>
    <w:rsid w:val="00241929"/>
    <w:rsid w:val="00246032"/>
    <w:rsid w:val="00253771"/>
    <w:rsid w:val="0026483C"/>
    <w:rsid w:val="00291CD1"/>
    <w:rsid w:val="002B5580"/>
    <w:rsid w:val="002D2C00"/>
    <w:rsid w:val="00307466"/>
    <w:rsid w:val="003078D2"/>
    <w:rsid w:val="003104E4"/>
    <w:rsid w:val="003145F0"/>
    <w:rsid w:val="003146B4"/>
    <w:rsid w:val="003271BF"/>
    <w:rsid w:val="003306D7"/>
    <w:rsid w:val="00337A22"/>
    <w:rsid w:val="0035105B"/>
    <w:rsid w:val="00397647"/>
    <w:rsid w:val="003A438E"/>
    <w:rsid w:val="003B52DF"/>
    <w:rsid w:val="003C76DB"/>
    <w:rsid w:val="003E2115"/>
    <w:rsid w:val="00422C67"/>
    <w:rsid w:val="00437D73"/>
    <w:rsid w:val="004463F6"/>
    <w:rsid w:val="00455233"/>
    <w:rsid w:val="0045753F"/>
    <w:rsid w:val="00475051"/>
    <w:rsid w:val="00476B42"/>
    <w:rsid w:val="00485320"/>
    <w:rsid w:val="00493DBA"/>
    <w:rsid w:val="004A7E9A"/>
    <w:rsid w:val="004D4671"/>
    <w:rsid w:val="004E50BE"/>
    <w:rsid w:val="004E5C50"/>
    <w:rsid w:val="00514444"/>
    <w:rsid w:val="00526782"/>
    <w:rsid w:val="005B019A"/>
    <w:rsid w:val="005B1746"/>
    <w:rsid w:val="005D661D"/>
    <w:rsid w:val="005E6CF5"/>
    <w:rsid w:val="005F5F6F"/>
    <w:rsid w:val="00607E6E"/>
    <w:rsid w:val="00631659"/>
    <w:rsid w:val="00672F99"/>
    <w:rsid w:val="00685672"/>
    <w:rsid w:val="006C3038"/>
    <w:rsid w:val="006C4BEF"/>
    <w:rsid w:val="00700754"/>
    <w:rsid w:val="00706794"/>
    <w:rsid w:val="00735E32"/>
    <w:rsid w:val="00752256"/>
    <w:rsid w:val="007539D0"/>
    <w:rsid w:val="0075514F"/>
    <w:rsid w:val="007659B0"/>
    <w:rsid w:val="00777077"/>
    <w:rsid w:val="007A07B2"/>
    <w:rsid w:val="007C396A"/>
    <w:rsid w:val="007D6B65"/>
    <w:rsid w:val="007E76A7"/>
    <w:rsid w:val="00800CA9"/>
    <w:rsid w:val="00801F9A"/>
    <w:rsid w:val="008228C8"/>
    <w:rsid w:val="00867D93"/>
    <w:rsid w:val="00876588"/>
    <w:rsid w:val="00886D4E"/>
    <w:rsid w:val="008A2FAC"/>
    <w:rsid w:val="008B7130"/>
    <w:rsid w:val="008C05FA"/>
    <w:rsid w:val="008D26DC"/>
    <w:rsid w:val="00911343"/>
    <w:rsid w:val="00927ABE"/>
    <w:rsid w:val="00950977"/>
    <w:rsid w:val="00952AA5"/>
    <w:rsid w:val="00956270"/>
    <w:rsid w:val="009631E2"/>
    <w:rsid w:val="00974335"/>
    <w:rsid w:val="009A3AA1"/>
    <w:rsid w:val="009B1858"/>
    <w:rsid w:val="009E4D6D"/>
    <w:rsid w:val="00A070F8"/>
    <w:rsid w:val="00A17ED3"/>
    <w:rsid w:val="00A519CC"/>
    <w:rsid w:val="00A62870"/>
    <w:rsid w:val="00A6475B"/>
    <w:rsid w:val="00A87CA9"/>
    <w:rsid w:val="00A975FA"/>
    <w:rsid w:val="00AA2069"/>
    <w:rsid w:val="00AA5D1E"/>
    <w:rsid w:val="00AB79EC"/>
    <w:rsid w:val="00AC2194"/>
    <w:rsid w:val="00AD0834"/>
    <w:rsid w:val="00AD5ADB"/>
    <w:rsid w:val="00AE3E6D"/>
    <w:rsid w:val="00AF142C"/>
    <w:rsid w:val="00AF4B04"/>
    <w:rsid w:val="00B03347"/>
    <w:rsid w:val="00B10153"/>
    <w:rsid w:val="00B236E3"/>
    <w:rsid w:val="00B24E8A"/>
    <w:rsid w:val="00B46532"/>
    <w:rsid w:val="00B81D6E"/>
    <w:rsid w:val="00B82F4A"/>
    <w:rsid w:val="00B95644"/>
    <w:rsid w:val="00BE6049"/>
    <w:rsid w:val="00C308D4"/>
    <w:rsid w:val="00C40C37"/>
    <w:rsid w:val="00C81EA1"/>
    <w:rsid w:val="00C931F0"/>
    <w:rsid w:val="00CB1664"/>
    <w:rsid w:val="00CD0221"/>
    <w:rsid w:val="00CD4318"/>
    <w:rsid w:val="00CD5514"/>
    <w:rsid w:val="00CE1BE2"/>
    <w:rsid w:val="00CF4F8D"/>
    <w:rsid w:val="00D04492"/>
    <w:rsid w:val="00D3442F"/>
    <w:rsid w:val="00D45311"/>
    <w:rsid w:val="00D87379"/>
    <w:rsid w:val="00DB49D2"/>
    <w:rsid w:val="00DB545E"/>
    <w:rsid w:val="00DC7502"/>
    <w:rsid w:val="00DF41A4"/>
    <w:rsid w:val="00E0057D"/>
    <w:rsid w:val="00E572FC"/>
    <w:rsid w:val="00EA170B"/>
    <w:rsid w:val="00ED57E8"/>
    <w:rsid w:val="00ED73D5"/>
    <w:rsid w:val="00ED7A4D"/>
    <w:rsid w:val="00EE77AB"/>
    <w:rsid w:val="00F13764"/>
    <w:rsid w:val="00F15E8C"/>
    <w:rsid w:val="00F3150B"/>
    <w:rsid w:val="00F31B13"/>
    <w:rsid w:val="00F35AA1"/>
    <w:rsid w:val="00F65BA4"/>
    <w:rsid w:val="00F72ACD"/>
    <w:rsid w:val="00F92758"/>
    <w:rsid w:val="00F97DEE"/>
    <w:rsid w:val="00FB2B47"/>
    <w:rsid w:val="00FD02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3C5F"/>
  <w15:chartTrackingRefBased/>
  <w15:docId w15:val="{E59B2C07-A75B-46AC-AD95-370AA8F0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11"/>
    <w:pPr>
      <w:ind w:left="720"/>
      <w:contextualSpacing/>
    </w:pPr>
  </w:style>
  <w:style w:type="paragraph" w:styleId="FootnoteText">
    <w:name w:val="footnote text"/>
    <w:basedOn w:val="Normal"/>
    <w:link w:val="FootnoteTextChar"/>
    <w:uiPriority w:val="99"/>
    <w:semiHidden/>
    <w:unhideWhenUsed/>
    <w:rsid w:val="00457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53F"/>
    <w:rPr>
      <w:sz w:val="20"/>
      <w:szCs w:val="20"/>
    </w:rPr>
  </w:style>
  <w:style w:type="character" w:styleId="FootnoteReference">
    <w:name w:val="footnote reference"/>
    <w:basedOn w:val="DefaultParagraphFont"/>
    <w:uiPriority w:val="99"/>
    <w:semiHidden/>
    <w:unhideWhenUsed/>
    <w:rsid w:val="0045753F"/>
    <w:rPr>
      <w:vertAlign w:val="superscript"/>
    </w:rPr>
  </w:style>
  <w:style w:type="paragraph" w:styleId="BalloonText">
    <w:name w:val="Balloon Text"/>
    <w:basedOn w:val="Normal"/>
    <w:link w:val="BalloonTextChar"/>
    <w:uiPriority w:val="99"/>
    <w:semiHidden/>
    <w:unhideWhenUsed/>
    <w:rsid w:val="006C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38"/>
    <w:rPr>
      <w:rFonts w:ascii="Segoe UI" w:hAnsi="Segoe UI" w:cs="Segoe UI"/>
      <w:sz w:val="18"/>
      <w:szCs w:val="18"/>
    </w:rPr>
  </w:style>
  <w:style w:type="paragraph" w:styleId="Header">
    <w:name w:val="header"/>
    <w:basedOn w:val="Normal"/>
    <w:link w:val="HeaderChar"/>
    <w:uiPriority w:val="99"/>
    <w:unhideWhenUsed/>
    <w:rsid w:val="00801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9A"/>
  </w:style>
  <w:style w:type="paragraph" w:styleId="Footer">
    <w:name w:val="footer"/>
    <w:basedOn w:val="Normal"/>
    <w:link w:val="FooterChar"/>
    <w:uiPriority w:val="99"/>
    <w:unhideWhenUsed/>
    <w:rsid w:val="00801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9A"/>
  </w:style>
  <w:style w:type="paragraph" w:customStyle="1" w:styleId="BodyAA">
    <w:name w:val="Body A A"/>
    <w:uiPriority w:val="99"/>
    <w:rsid w:val="00EE77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BDF3-936C-4547-B26D-2B9DEE2F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Reaobaka Kalaote</dc:creator>
  <cp:keywords/>
  <dc:description/>
  <cp:lastModifiedBy>Mariana Anguelov</cp:lastModifiedBy>
  <cp:revision>16</cp:revision>
  <cp:lastPrinted>2022-08-26T07:39:00Z</cp:lastPrinted>
  <dcterms:created xsi:type="dcterms:W3CDTF">2022-08-22T08:42:00Z</dcterms:created>
  <dcterms:modified xsi:type="dcterms:W3CDTF">2022-09-02T17:16:00Z</dcterms:modified>
</cp:coreProperties>
</file>