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Pr="006E6FB9" w:rsidRDefault="00FD20A1" w:rsidP="00FD20A1">
      <w:pPr>
        <w:jc w:val="center"/>
        <w:rPr>
          <w:szCs w:val="24"/>
        </w:rPr>
      </w:pPr>
      <w:r w:rsidRPr="006E6FB9">
        <w:rPr>
          <w:noProof/>
          <w:lang w:eastAsia="en-ZA"/>
        </w:rPr>
        <w:drawing>
          <wp:anchor distT="0" distB="0" distL="114300" distR="114300" simplePos="0" relativeHeight="251660288" behindDoc="1" locked="0" layoutInCell="1" allowOverlap="1" wp14:anchorId="77D4C031" wp14:editId="37DE075F">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6E6FB9" w:rsidRDefault="00FD20A1" w:rsidP="00FD20A1">
      <w:pPr>
        <w:pStyle w:val="Heading1"/>
        <w:rPr>
          <w:szCs w:val="24"/>
        </w:rPr>
      </w:pPr>
    </w:p>
    <w:p w:rsidR="00FD20A1" w:rsidRPr="006E6FB9" w:rsidRDefault="00FD20A1" w:rsidP="00FD20A1">
      <w:pPr>
        <w:pStyle w:val="Heading1"/>
        <w:rPr>
          <w:szCs w:val="24"/>
        </w:rPr>
      </w:pPr>
    </w:p>
    <w:p w:rsidR="00FD20A1" w:rsidRPr="006E6FB9" w:rsidRDefault="00FD20A1" w:rsidP="00FD20A1">
      <w:pPr>
        <w:pStyle w:val="Heading1"/>
        <w:rPr>
          <w:szCs w:val="24"/>
        </w:rPr>
      </w:pPr>
    </w:p>
    <w:p w:rsidR="00FA7222" w:rsidRPr="006E6FB9" w:rsidRDefault="00FA7222" w:rsidP="008E5CD1">
      <w:pPr>
        <w:spacing w:line="360" w:lineRule="auto"/>
        <w:jc w:val="center"/>
        <w:rPr>
          <w:rFonts w:ascii="Arial" w:hAnsi="Arial" w:cs="Arial"/>
          <w:b/>
          <w:sz w:val="24"/>
          <w:szCs w:val="24"/>
          <w:u w:val="single"/>
        </w:rPr>
      </w:pPr>
    </w:p>
    <w:p w:rsidR="00383DB0" w:rsidRPr="006E6FB9" w:rsidRDefault="00383DB0" w:rsidP="00A0334D">
      <w:pPr>
        <w:jc w:val="center"/>
        <w:rPr>
          <w:rFonts w:ascii="Arial" w:hAnsi="Arial" w:cs="Arial"/>
          <w:b/>
          <w:sz w:val="24"/>
          <w:szCs w:val="24"/>
          <w:u w:val="single"/>
        </w:rPr>
      </w:pPr>
    </w:p>
    <w:p w:rsidR="00A0334D" w:rsidRPr="006E6FB9" w:rsidRDefault="00A0334D" w:rsidP="00A0334D">
      <w:pPr>
        <w:jc w:val="center"/>
        <w:rPr>
          <w:rFonts w:ascii="Arial" w:hAnsi="Arial" w:cs="Arial"/>
          <w:b/>
          <w:sz w:val="24"/>
          <w:szCs w:val="24"/>
          <w:u w:val="single"/>
        </w:rPr>
      </w:pPr>
      <w:r w:rsidRPr="006E6FB9">
        <w:rPr>
          <w:rFonts w:ascii="Arial" w:hAnsi="Arial" w:cs="Arial"/>
          <w:b/>
          <w:sz w:val="24"/>
          <w:szCs w:val="24"/>
          <w:u w:val="single"/>
        </w:rPr>
        <w:t>IN THE HIGH COURT OF SOUTH AFRICA,</w:t>
      </w:r>
    </w:p>
    <w:p w:rsidR="00A0334D" w:rsidRPr="006E6FB9" w:rsidRDefault="00A0334D" w:rsidP="00A0334D">
      <w:pPr>
        <w:jc w:val="center"/>
        <w:rPr>
          <w:rFonts w:ascii="Arial" w:hAnsi="Arial" w:cs="Arial"/>
          <w:b/>
          <w:sz w:val="24"/>
          <w:szCs w:val="24"/>
          <w:u w:val="single"/>
        </w:rPr>
      </w:pPr>
      <w:r w:rsidRPr="006E6FB9">
        <w:rPr>
          <w:rFonts w:ascii="Arial" w:hAnsi="Arial" w:cs="Arial"/>
          <w:b/>
          <w:sz w:val="24"/>
          <w:szCs w:val="24"/>
          <w:u w:val="single"/>
        </w:rPr>
        <w:t>FREE STATE DIVISION, BLOEMFONTEIN</w:t>
      </w:r>
    </w:p>
    <w:p w:rsidR="00672EBF" w:rsidRPr="006E6FB9" w:rsidRDefault="00672EBF" w:rsidP="00A0334D">
      <w:pPr>
        <w:jc w:val="center"/>
        <w:rPr>
          <w:rFonts w:ascii="Arial" w:hAnsi="Arial" w:cs="Arial"/>
          <w:b/>
          <w:sz w:val="24"/>
          <w:szCs w:val="24"/>
          <w:u w:val="single"/>
        </w:rPr>
      </w:pPr>
    </w:p>
    <w:tbl>
      <w:tblPr>
        <w:tblStyle w:val="TableGrid"/>
        <w:tblW w:w="0" w:type="auto"/>
        <w:tblInd w:w="5353" w:type="dxa"/>
        <w:tblLook w:val="04A0" w:firstRow="1" w:lastRow="0" w:firstColumn="1" w:lastColumn="0" w:noHBand="0" w:noVBand="1"/>
      </w:tblPr>
      <w:tblGrid>
        <w:gridCol w:w="3066"/>
      </w:tblGrid>
      <w:tr w:rsidR="006E6FB9" w:rsidRPr="006E6FB9" w:rsidTr="00571222">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6E6FB9" w:rsidRDefault="00A0334D" w:rsidP="00571222">
            <w:pPr>
              <w:spacing w:after="0"/>
              <w:rPr>
                <w:rFonts w:ascii="Arial" w:eastAsia="Times New Roman" w:hAnsi="Arial" w:cs="Arial"/>
                <w:b/>
                <w:sz w:val="16"/>
                <w:szCs w:val="16"/>
                <w:lang w:eastAsia="en-GB"/>
              </w:rPr>
            </w:pPr>
            <w:r w:rsidRPr="006E6FB9">
              <w:rPr>
                <w:rFonts w:ascii="Arial" w:hAnsi="Arial" w:cs="Arial"/>
                <w:b/>
                <w:sz w:val="16"/>
                <w:szCs w:val="16"/>
              </w:rPr>
              <w:t>Reportable:                              YES</w:t>
            </w:r>
            <w:r w:rsidR="002E3574" w:rsidRPr="006E6FB9">
              <w:rPr>
                <w:rFonts w:ascii="Arial" w:hAnsi="Arial" w:cs="Arial"/>
                <w:b/>
                <w:sz w:val="16"/>
                <w:szCs w:val="16"/>
              </w:rPr>
              <w:t>/NO</w:t>
            </w:r>
          </w:p>
          <w:p w:rsidR="00A0334D" w:rsidRPr="006E6FB9" w:rsidRDefault="00A0334D" w:rsidP="00B615B8">
            <w:pPr>
              <w:spacing w:after="0"/>
              <w:rPr>
                <w:rFonts w:ascii="Arial" w:eastAsia="Times New Roman" w:hAnsi="Arial" w:cs="Arial"/>
                <w:b/>
                <w:sz w:val="16"/>
                <w:szCs w:val="16"/>
                <w:u w:val="single"/>
                <w:lang w:eastAsia="en-GB"/>
              </w:rPr>
            </w:pPr>
            <w:r w:rsidRPr="006E6FB9">
              <w:rPr>
                <w:rFonts w:ascii="Arial" w:hAnsi="Arial" w:cs="Arial"/>
                <w:b/>
                <w:sz w:val="16"/>
                <w:szCs w:val="16"/>
              </w:rPr>
              <w:t xml:space="preserve">Of Interest to other Judges:  </w:t>
            </w:r>
            <w:r w:rsidR="00F175C5" w:rsidRPr="006E6FB9">
              <w:rPr>
                <w:rFonts w:ascii="Arial" w:hAnsi="Arial" w:cs="Arial"/>
                <w:b/>
                <w:sz w:val="16"/>
                <w:szCs w:val="16"/>
              </w:rPr>
              <w:t xml:space="preserve"> </w:t>
            </w:r>
            <w:r w:rsidR="00B615B8" w:rsidRPr="006E6FB9">
              <w:rPr>
                <w:rFonts w:ascii="Arial" w:hAnsi="Arial" w:cs="Arial"/>
                <w:b/>
                <w:sz w:val="16"/>
                <w:szCs w:val="16"/>
              </w:rPr>
              <w:t>YES</w:t>
            </w:r>
            <w:r w:rsidR="002E3574" w:rsidRPr="006E6FB9">
              <w:rPr>
                <w:rFonts w:ascii="Arial" w:hAnsi="Arial" w:cs="Arial"/>
                <w:b/>
                <w:sz w:val="16"/>
                <w:szCs w:val="16"/>
              </w:rPr>
              <w:t>/NO</w:t>
            </w:r>
            <w:r w:rsidR="00B615B8" w:rsidRPr="006E6FB9">
              <w:rPr>
                <w:rFonts w:ascii="Arial" w:hAnsi="Arial" w:cs="Arial"/>
                <w:b/>
                <w:sz w:val="16"/>
                <w:szCs w:val="16"/>
              </w:rPr>
              <w:t xml:space="preserve"> </w:t>
            </w:r>
            <w:r w:rsidRPr="006E6FB9">
              <w:rPr>
                <w:rFonts w:ascii="Arial" w:hAnsi="Arial" w:cs="Arial"/>
                <w:b/>
                <w:sz w:val="16"/>
                <w:szCs w:val="16"/>
              </w:rPr>
              <w:t xml:space="preserve">Circulate to Magistrates:        </w:t>
            </w:r>
            <w:r w:rsidR="002E3574" w:rsidRPr="006E6FB9">
              <w:rPr>
                <w:rFonts w:ascii="Arial" w:hAnsi="Arial" w:cs="Arial"/>
                <w:b/>
                <w:sz w:val="16"/>
                <w:szCs w:val="16"/>
              </w:rPr>
              <w:t>YES/</w:t>
            </w:r>
            <w:r w:rsidRPr="006E6FB9">
              <w:rPr>
                <w:rFonts w:ascii="Arial" w:hAnsi="Arial" w:cs="Arial"/>
                <w:b/>
                <w:sz w:val="16"/>
                <w:szCs w:val="16"/>
              </w:rPr>
              <w:t>NO</w:t>
            </w:r>
          </w:p>
        </w:tc>
      </w:tr>
    </w:tbl>
    <w:p w:rsidR="00E67C7D" w:rsidRPr="006E6FB9" w:rsidRDefault="00A0334D" w:rsidP="00E67C7D">
      <w:pPr>
        <w:tabs>
          <w:tab w:val="left" w:pos="5387"/>
        </w:tabs>
        <w:jc w:val="both"/>
        <w:rPr>
          <w:rFonts w:ascii="Arial" w:hAnsi="Arial" w:cs="Arial"/>
          <w:sz w:val="24"/>
          <w:szCs w:val="24"/>
        </w:rPr>
      </w:pPr>
      <w:r w:rsidRPr="006E6FB9">
        <w:rPr>
          <w:rFonts w:ascii="Arial" w:hAnsi="Arial" w:cs="Arial"/>
          <w:b/>
          <w:sz w:val="28"/>
          <w:szCs w:val="28"/>
        </w:rPr>
        <w:tab/>
      </w:r>
    </w:p>
    <w:p w:rsidR="00A0334D" w:rsidRPr="006E6FB9" w:rsidRDefault="00A0334D" w:rsidP="00E67C7D">
      <w:pPr>
        <w:tabs>
          <w:tab w:val="left" w:pos="5387"/>
        </w:tabs>
        <w:jc w:val="right"/>
        <w:rPr>
          <w:rFonts w:ascii="Arial" w:hAnsi="Arial" w:cs="Arial"/>
          <w:sz w:val="24"/>
          <w:szCs w:val="24"/>
        </w:rPr>
      </w:pPr>
      <w:r w:rsidRPr="006E6FB9">
        <w:rPr>
          <w:rFonts w:ascii="Arial" w:hAnsi="Arial" w:cs="Arial"/>
          <w:sz w:val="24"/>
          <w:szCs w:val="24"/>
        </w:rPr>
        <w:t>Case number:</w:t>
      </w:r>
      <w:r w:rsidR="00A53ECB" w:rsidRPr="006E6FB9">
        <w:rPr>
          <w:rFonts w:ascii="Arial" w:hAnsi="Arial" w:cs="Arial"/>
          <w:sz w:val="24"/>
          <w:szCs w:val="24"/>
        </w:rPr>
        <w:t>724/2022</w:t>
      </w:r>
    </w:p>
    <w:p w:rsidR="00A0334D" w:rsidRPr="006E6FB9" w:rsidRDefault="00A0334D" w:rsidP="00932CFC">
      <w:pPr>
        <w:spacing w:after="0" w:line="360" w:lineRule="auto"/>
        <w:rPr>
          <w:rFonts w:ascii="Arial" w:hAnsi="Arial" w:cs="Arial"/>
          <w:sz w:val="24"/>
          <w:szCs w:val="24"/>
        </w:rPr>
      </w:pPr>
      <w:r w:rsidRPr="006E6FB9">
        <w:rPr>
          <w:rFonts w:ascii="Arial" w:hAnsi="Arial" w:cs="Arial"/>
          <w:sz w:val="24"/>
          <w:szCs w:val="24"/>
        </w:rPr>
        <w:t xml:space="preserve">In the matter between: </w:t>
      </w:r>
    </w:p>
    <w:p w:rsidR="00A0334D" w:rsidRPr="006E6FB9" w:rsidRDefault="00A0334D" w:rsidP="00932CFC">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u w:val="single"/>
        </w:rPr>
      </w:pPr>
    </w:p>
    <w:p w:rsidR="0086474F" w:rsidRPr="006E6FB9" w:rsidRDefault="00661819" w:rsidP="00672EBF">
      <w:pPr>
        <w:spacing w:after="0" w:line="240" w:lineRule="auto"/>
        <w:ind w:right="5340"/>
        <w:rPr>
          <w:rFonts w:ascii="Arial" w:hAnsi="Arial" w:cs="Arial"/>
          <w:b/>
          <w:sz w:val="24"/>
          <w:szCs w:val="24"/>
        </w:rPr>
      </w:pPr>
      <w:r w:rsidRPr="006E6FB9">
        <w:rPr>
          <w:rFonts w:ascii="Arial" w:hAnsi="Arial" w:cs="Arial"/>
          <w:sz w:val="24"/>
          <w:szCs w:val="24"/>
        </w:rPr>
        <w:t xml:space="preserve"> </w:t>
      </w:r>
      <w:bookmarkStart w:id="0" w:name="_GoBack"/>
      <w:bookmarkEnd w:id="0"/>
    </w:p>
    <w:p w:rsidR="00672EBF" w:rsidRPr="006E6FB9" w:rsidRDefault="00672EBF" w:rsidP="00672EBF">
      <w:pPr>
        <w:spacing w:after="0" w:line="240" w:lineRule="auto"/>
        <w:rPr>
          <w:rFonts w:ascii="Arial" w:hAnsi="Arial" w:cs="Arial"/>
          <w:sz w:val="24"/>
          <w:szCs w:val="24"/>
        </w:rPr>
      </w:pPr>
      <w:r w:rsidRPr="006E6FB9">
        <w:rPr>
          <w:rFonts w:ascii="Arial" w:hAnsi="Arial" w:cs="Arial"/>
          <w:b/>
          <w:sz w:val="24"/>
          <w:szCs w:val="24"/>
          <w:u w:val="single"/>
        </w:rPr>
        <w:t>CENTLEC (SOC) LIMITED</w:t>
      </w:r>
      <w:r w:rsidRPr="006E6FB9">
        <w:rPr>
          <w:rFonts w:ascii="Arial" w:hAnsi="Arial" w:cs="Arial"/>
          <w:sz w:val="24"/>
          <w:szCs w:val="24"/>
        </w:rPr>
        <w:tab/>
      </w:r>
      <w:r w:rsidRPr="006E6FB9">
        <w:rPr>
          <w:rFonts w:ascii="Arial" w:hAnsi="Arial" w:cs="Arial"/>
          <w:sz w:val="24"/>
          <w:szCs w:val="24"/>
        </w:rPr>
        <w:tab/>
      </w:r>
      <w:r w:rsidRPr="006E6FB9">
        <w:rPr>
          <w:rFonts w:ascii="Arial" w:hAnsi="Arial" w:cs="Arial"/>
          <w:sz w:val="24"/>
          <w:szCs w:val="24"/>
        </w:rPr>
        <w:tab/>
      </w:r>
      <w:r w:rsidRPr="006E6FB9">
        <w:rPr>
          <w:rFonts w:ascii="Arial" w:hAnsi="Arial" w:cs="Arial"/>
          <w:sz w:val="24"/>
          <w:szCs w:val="24"/>
        </w:rPr>
        <w:tab/>
        <w:t>Applicant</w:t>
      </w:r>
    </w:p>
    <w:p w:rsidR="00672EBF" w:rsidRPr="006E6FB9" w:rsidRDefault="00672EBF" w:rsidP="00932CFC">
      <w:pPr>
        <w:spacing w:after="0" w:line="240" w:lineRule="auto"/>
        <w:rPr>
          <w:rFonts w:ascii="Arial" w:hAnsi="Arial" w:cs="Arial"/>
          <w:sz w:val="24"/>
          <w:szCs w:val="24"/>
        </w:rPr>
      </w:pPr>
    </w:p>
    <w:p w:rsidR="002E3574" w:rsidRPr="006E6FB9" w:rsidRDefault="00932CFC" w:rsidP="00932CFC">
      <w:pPr>
        <w:spacing w:after="0" w:line="240" w:lineRule="auto"/>
        <w:rPr>
          <w:rFonts w:ascii="Arial" w:hAnsi="Arial" w:cs="Arial"/>
          <w:sz w:val="24"/>
          <w:szCs w:val="24"/>
        </w:rPr>
      </w:pPr>
      <w:r w:rsidRPr="006E6FB9">
        <w:rPr>
          <w:rFonts w:ascii="Arial" w:hAnsi="Arial" w:cs="Arial"/>
          <w:sz w:val="24"/>
          <w:szCs w:val="24"/>
        </w:rPr>
        <w:t>A</w:t>
      </w:r>
      <w:r w:rsidR="002E3574" w:rsidRPr="006E6FB9">
        <w:rPr>
          <w:rFonts w:ascii="Arial" w:hAnsi="Arial" w:cs="Arial"/>
          <w:sz w:val="24"/>
          <w:szCs w:val="24"/>
        </w:rPr>
        <w:t>nd</w:t>
      </w:r>
    </w:p>
    <w:p w:rsidR="00932CFC" w:rsidRPr="006E6FB9" w:rsidRDefault="00932CFC" w:rsidP="00932CFC">
      <w:pPr>
        <w:spacing w:after="0" w:line="240" w:lineRule="auto"/>
        <w:rPr>
          <w:rFonts w:ascii="Arial" w:hAnsi="Arial" w:cs="Arial"/>
          <w:sz w:val="24"/>
          <w:szCs w:val="24"/>
        </w:rPr>
      </w:pPr>
    </w:p>
    <w:p w:rsidR="00A06610" w:rsidRPr="006E6FB9" w:rsidRDefault="00A53ECB" w:rsidP="00672EBF">
      <w:pPr>
        <w:tabs>
          <w:tab w:val="left" w:pos="5387"/>
        </w:tabs>
        <w:spacing w:after="0" w:line="240" w:lineRule="auto"/>
        <w:ind w:right="1513"/>
        <w:rPr>
          <w:rFonts w:ascii="Arial" w:hAnsi="Arial" w:cs="Arial"/>
          <w:b/>
          <w:sz w:val="24"/>
          <w:szCs w:val="24"/>
        </w:rPr>
      </w:pPr>
      <w:r w:rsidRPr="006E6FB9">
        <w:rPr>
          <w:rFonts w:ascii="Arial" w:hAnsi="Arial" w:cs="Arial"/>
          <w:b/>
          <w:sz w:val="24"/>
          <w:szCs w:val="24"/>
          <w:u w:val="single"/>
        </w:rPr>
        <w:t>HLONELWA NKOMO</w:t>
      </w:r>
      <w:r w:rsidR="00661819" w:rsidRPr="006E6FB9">
        <w:rPr>
          <w:rFonts w:ascii="Arial" w:hAnsi="Arial" w:cs="Arial"/>
          <w:b/>
          <w:sz w:val="24"/>
          <w:szCs w:val="24"/>
        </w:rPr>
        <w:t xml:space="preserve"> </w:t>
      </w:r>
      <w:r w:rsidR="00661819" w:rsidRPr="006E6FB9">
        <w:rPr>
          <w:rFonts w:ascii="Arial" w:hAnsi="Arial" w:cs="Arial"/>
          <w:b/>
          <w:sz w:val="24"/>
          <w:szCs w:val="24"/>
        </w:rPr>
        <w:tab/>
      </w:r>
      <w:r w:rsidR="00661819" w:rsidRPr="006E6FB9">
        <w:rPr>
          <w:rFonts w:ascii="Arial" w:hAnsi="Arial" w:cs="Arial"/>
          <w:b/>
          <w:sz w:val="24"/>
          <w:szCs w:val="24"/>
        </w:rPr>
        <w:tab/>
      </w:r>
      <w:r w:rsidR="000D44DF" w:rsidRPr="006E6FB9">
        <w:rPr>
          <w:rFonts w:ascii="Arial" w:hAnsi="Arial" w:cs="Arial"/>
          <w:b/>
          <w:sz w:val="24"/>
          <w:szCs w:val="24"/>
        </w:rPr>
        <w:t xml:space="preserve">            </w:t>
      </w:r>
      <w:r w:rsidR="000D44DF" w:rsidRPr="006E6FB9">
        <w:rPr>
          <w:rFonts w:ascii="Arial" w:hAnsi="Arial" w:cs="Arial"/>
          <w:b/>
          <w:sz w:val="24"/>
          <w:szCs w:val="24"/>
        </w:rPr>
        <w:tab/>
      </w:r>
      <w:r w:rsidR="000D44DF" w:rsidRPr="006E6FB9">
        <w:rPr>
          <w:rFonts w:ascii="Arial" w:hAnsi="Arial" w:cs="Arial"/>
          <w:b/>
          <w:sz w:val="24"/>
          <w:szCs w:val="24"/>
        </w:rPr>
        <w:tab/>
      </w:r>
      <w:r w:rsidR="00672EBF" w:rsidRPr="006E6FB9">
        <w:rPr>
          <w:rFonts w:ascii="Arial" w:hAnsi="Arial" w:cs="Arial"/>
          <w:b/>
          <w:sz w:val="24"/>
          <w:szCs w:val="24"/>
        </w:rPr>
        <w:t xml:space="preserve"> </w:t>
      </w:r>
      <w:r w:rsidR="00661819" w:rsidRPr="006E6FB9">
        <w:rPr>
          <w:rFonts w:ascii="Arial" w:hAnsi="Arial" w:cs="Arial"/>
          <w:sz w:val="24"/>
          <w:szCs w:val="24"/>
        </w:rPr>
        <w:t>Respondent</w:t>
      </w:r>
      <w:r w:rsidR="0086559A" w:rsidRPr="006E6FB9">
        <w:rPr>
          <w:rFonts w:ascii="Arial" w:hAnsi="Arial" w:cs="Arial"/>
          <w:b/>
          <w:sz w:val="24"/>
          <w:szCs w:val="24"/>
        </w:rPr>
        <w:t xml:space="preserve">                           </w:t>
      </w:r>
    </w:p>
    <w:p w:rsidR="00C75E98" w:rsidRPr="006E6FB9" w:rsidRDefault="00C75E98" w:rsidP="00932CFC">
      <w:pPr>
        <w:spacing w:after="0" w:line="240" w:lineRule="auto"/>
        <w:rPr>
          <w:rFonts w:ascii="Arial" w:hAnsi="Arial" w:cs="Arial"/>
          <w:b/>
          <w:sz w:val="24"/>
          <w:szCs w:val="24"/>
        </w:rPr>
      </w:pPr>
    </w:p>
    <w:p w:rsidR="00A0334D" w:rsidRPr="006E6FB9" w:rsidRDefault="004F7657" w:rsidP="004F7657">
      <w:pPr>
        <w:pBdr>
          <w:bottom w:val="single" w:sz="12" w:space="1" w:color="auto"/>
        </w:pBdr>
        <w:spacing w:after="0" w:line="240" w:lineRule="auto"/>
        <w:rPr>
          <w:rFonts w:ascii="Arial" w:hAnsi="Arial" w:cs="Arial"/>
          <w:b/>
          <w:sz w:val="24"/>
          <w:szCs w:val="24"/>
        </w:rPr>
      </w:pPr>
      <w:r w:rsidRPr="006E6FB9">
        <w:rPr>
          <w:rFonts w:ascii="Arial" w:hAnsi="Arial" w:cs="Arial"/>
          <w:sz w:val="24"/>
          <w:szCs w:val="24"/>
        </w:rPr>
        <w:tab/>
      </w:r>
      <w:r w:rsidR="00A0334D" w:rsidRPr="006E6FB9">
        <w:rPr>
          <w:rFonts w:ascii="Arial" w:hAnsi="Arial" w:cs="Arial"/>
          <w:b/>
          <w:sz w:val="24"/>
          <w:szCs w:val="24"/>
        </w:rPr>
        <w:tab/>
      </w:r>
      <w:r w:rsidR="00A0334D" w:rsidRPr="006E6FB9">
        <w:rPr>
          <w:rFonts w:ascii="Arial" w:hAnsi="Arial" w:cs="Arial"/>
          <w:b/>
          <w:sz w:val="24"/>
          <w:szCs w:val="24"/>
        </w:rPr>
        <w:tab/>
      </w:r>
    </w:p>
    <w:p w:rsidR="00A0334D" w:rsidRPr="006E6FB9" w:rsidRDefault="00A0334D" w:rsidP="00A0334D">
      <w:pPr>
        <w:spacing w:after="0" w:line="240" w:lineRule="auto"/>
        <w:contextualSpacing/>
        <w:jc w:val="both"/>
        <w:rPr>
          <w:rFonts w:ascii="Arial" w:hAnsi="Arial" w:cs="Arial"/>
          <w:b/>
          <w:sz w:val="24"/>
          <w:szCs w:val="24"/>
          <w:u w:val="single"/>
        </w:rPr>
      </w:pPr>
    </w:p>
    <w:p w:rsidR="00881CF3" w:rsidRPr="006E6FB9" w:rsidRDefault="00A0334D" w:rsidP="00661819">
      <w:pPr>
        <w:tabs>
          <w:tab w:val="left" w:pos="5103"/>
          <w:tab w:val="left" w:pos="5812"/>
        </w:tabs>
        <w:spacing w:after="0" w:line="240" w:lineRule="auto"/>
        <w:ind w:left="1440" w:hanging="1440"/>
        <w:contextualSpacing/>
        <w:jc w:val="both"/>
        <w:rPr>
          <w:rFonts w:ascii="Arial" w:hAnsi="Arial" w:cs="Arial"/>
          <w:sz w:val="24"/>
          <w:szCs w:val="24"/>
        </w:rPr>
      </w:pPr>
      <w:r w:rsidRPr="006E6FB9">
        <w:rPr>
          <w:rFonts w:ascii="Arial" w:hAnsi="Arial" w:cs="Arial"/>
          <w:b/>
          <w:sz w:val="24"/>
          <w:szCs w:val="24"/>
          <w:u w:val="single"/>
        </w:rPr>
        <w:t>HEARD ON:</w:t>
      </w:r>
      <w:r w:rsidRPr="006E6FB9">
        <w:rPr>
          <w:rFonts w:ascii="Arial" w:hAnsi="Arial" w:cs="Arial"/>
          <w:b/>
          <w:sz w:val="24"/>
          <w:szCs w:val="24"/>
        </w:rPr>
        <w:tab/>
      </w:r>
      <w:r w:rsidR="00932CFC" w:rsidRPr="006E6FB9">
        <w:rPr>
          <w:rFonts w:ascii="Arial" w:hAnsi="Arial" w:cs="Arial"/>
          <w:b/>
          <w:sz w:val="24"/>
          <w:szCs w:val="24"/>
        </w:rPr>
        <w:t xml:space="preserve">                               </w:t>
      </w:r>
      <w:r w:rsidR="00A53ECB" w:rsidRPr="006E6FB9">
        <w:rPr>
          <w:rFonts w:ascii="Arial" w:hAnsi="Arial" w:cs="Arial"/>
          <w:sz w:val="24"/>
          <w:szCs w:val="24"/>
        </w:rPr>
        <w:t>02 JUNE 2022</w:t>
      </w:r>
    </w:p>
    <w:p w:rsidR="00A0334D" w:rsidRPr="006E6FB9"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6E6FB9" w:rsidRDefault="00A0334D" w:rsidP="00A0334D">
      <w:pPr>
        <w:spacing w:after="0" w:line="240" w:lineRule="auto"/>
        <w:contextualSpacing/>
        <w:jc w:val="both"/>
        <w:rPr>
          <w:rFonts w:ascii="Arial" w:hAnsi="Arial" w:cs="Arial"/>
          <w:b/>
          <w:sz w:val="24"/>
          <w:szCs w:val="24"/>
        </w:rPr>
      </w:pPr>
    </w:p>
    <w:p w:rsidR="0014277B" w:rsidRPr="006E6FB9" w:rsidRDefault="00932CFC" w:rsidP="00EF09AE">
      <w:pPr>
        <w:tabs>
          <w:tab w:val="left" w:pos="3544"/>
        </w:tabs>
        <w:rPr>
          <w:rFonts w:ascii="Arial" w:hAnsi="Arial" w:cs="Arial"/>
          <w:sz w:val="24"/>
          <w:szCs w:val="24"/>
        </w:rPr>
      </w:pPr>
      <w:r w:rsidRPr="006E6FB9">
        <w:rPr>
          <w:rFonts w:ascii="Arial" w:hAnsi="Arial" w:cs="Arial"/>
          <w:b/>
          <w:sz w:val="24"/>
          <w:szCs w:val="24"/>
          <w:u w:val="single"/>
        </w:rPr>
        <w:t>JUDGMENT</w:t>
      </w:r>
      <w:r w:rsidRPr="006E6FB9">
        <w:rPr>
          <w:rFonts w:ascii="Arial" w:hAnsi="Arial" w:cs="Arial"/>
          <w:sz w:val="24"/>
          <w:szCs w:val="24"/>
        </w:rPr>
        <w:t xml:space="preserve">                                 </w:t>
      </w:r>
      <w:r w:rsidR="0014277B" w:rsidRPr="006E6FB9">
        <w:rPr>
          <w:rFonts w:ascii="Arial" w:hAnsi="Arial" w:cs="Arial"/>
          <w:sz w:val="24"/>
          <w:szCs w:val="24"/>
        </w:rPr>
        <w:t>DANISO, J</w:t>
      </w:r>
    </w:p>
    <w:p w:rsidR="00A0334D" w:rsidRPr="006E6FB9"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6E6FB9" w:rsidRDefault="00A0334D" w:rsidP="00A0334D">
      <w:pPr>
        <w:spacing w:after="0" w:line="240" w:lineRule="auto"/>
        <w:contextualSpacing/>
        <w:jc w:val="both"/>
        <w:rPr>
          <w:rFonts w:ascii="Arial" w:hAnsi="Arial" w:cs="Arial"/>
          <w:b/>
          <w:sz w:val="24"/>
          <w:szCs w:val="24"/>
        </w:rPr>
      </w:pPr>
    </w:p>
    <w:p w:rsidR="000D44DF" w:rsidRPr="006E6FB9" w:rsidRDefault="000D44DF" w:rsidP="000D44DF">
      <w:pPr>
        <w:spacing w:after="0" w:line="360" w:lineRule="auto"/>
        <w:ind w:left="3600" w:hanging="3600"/>
        <w:jc w:val="both"/>
        <w:rPr>
          <w:rFonts w:ascii="Arial" w:hAnsi="Arial" w:cs="Arial"/>
          <w:sz w:val="24"/>
          <w:szCs w:val="24"/>
          <w:shd w:val="clear" w:color="auto" w:fill="FFFFFF"/>
        </w:rPr>
      </w:pPr>
      <w:r w:rsidRPr="006E6FB9">
        <w:rPr>
          <w:rFonts w:ascii="Arial" w:hAnsi="Arial" w:cs="Arial"/>
          <w:b/>
          <w:sz w:val="24"/>
          <w:szCs w:val="24"/>
          <w:u w:val="single"/>
        </w:rPr>
        <w:t>DELIVERED ON:</w:t>
      </w:r>
      <w:r w:rsidRPr="006E6FB9">
        <w:rPr>
          <w:rFonts w:ascii="Arial" w:hAnsi="Arial" w:cs="Arial"/>
          <w:sz w:val="24"/>
          <w:szCs w:val="24"/>
        </w:rPr>
        <w:t xml:space="preserve">   </w:t>
      </w:r>
      <w:r w:rsidR="00C05704" w:rsidRPr="006E6FB9">
        <w:rPr>
          <w:rFonts w:ascii="Arial" w:hAnsi="Arial" w:cs="Arial"/>
          <w:sz w:val="24"/>
          <w:szCs w:val="24"/>
          <w:shd w:val="clear" w:color="auto" w:fill="FFFFFF"/>
        </w:rPr>
        <w:t>This judgment wa</w:t>
      </w:r>
      <w:r w:rsidR="003662D5" w:rsidRPr="006E6FB9">
        <w:rPr>
          <w:rFonts w:ascii="Arial" w:hAnsi="Arial" w:cs="Arial"/>
          <w:sz w:val="24"/>
          <w:szCs w:val="24"/>
          <w:shd w:val="clear" w:color="auto" w:fill="FFFFFF"/>
        </w:rPr>
        <w:t>s handed down</w:t>
      </w:r>
      <w:r w:rsidRPr="006E6FB9">
        <w:rPr>
          <w:rFonts w:ascii="Arial" w:hAnsi="Arial" w:cs="Arial"/>
          <w:sz w:val="24"/>
          <w:szCs w:val="24"/>
          <w:shd w:val="clear" w:color="auto" w:fill="FFFFFF"/>
        </w:rPr>
        <w:t xml:space="preserve"> </w:t>
      </w:r>
      <w:r w:rsidR="003662D5" w:rsidRPr="006E6FB9">
        <w:rPr>
          <w:rFonts w:ascii="Arial" w:hAnsi="Arial" w:cs="Arial"/>
          <w:sz w:val="24"/>
          <w:szCs w:val="24"/>
          <w:shd w:val="clear" w:color="auto" w:fill="FFFFFF"/>
        </w:rPr>
        <w:t>e</w:t>
      </w:r>
      <w:r w:rsidR="007A7EF8" w:rsidRPr="006E6FB9">
        <w:rPr>
          <w:rFonts w:ascii="Arial" w:hAnsi="Arial" w:cs="Arial"/>
          <w:sz w:val="24"/>
          <w:szCs w:val="24"/>
          <w:shd w:val="clear" w:color="auto" w:fill="FFFFFF"/>
        </w:rPr>
        <w:t>lectronically</w:t>
      </w:r>
      <w:r w:rsidR="003662D5" w:rsidRPr="006E6FB9">
        <w:rPr>
          <w:rFonts w:ascii="Arial" w:hAnsi="Arial" w:cs="Arial"/>
          <w:sz w:val="24"/>
          <w:szCs w:val="24"/>
          <w:shd w:val="clear" w:color="auto" w:fill="FFFFFF"/>
        </w:rPr>
        <w:t xml:space="preserve"> </w:t>
      </w:r>
      <w:r w:rsidR="007A7EF8" w:rsidRPr="006E6FB9">
        <w:rPr>
          <w:rFonts w:ascii="Arial" w:hAnsi="Arial" w:cs="Arial"/>
          <w:sz w:val="24"/>
          <w:szCs w:val="24"/>
          <w:shd w:val="clear" w:color="auto" w:fill="FFFFFF"/>
        </w:rPr>
        <w:t xml:space="preserve">by </w:t>
      </w:r>
      <w:r w:rsidR="00C05704" w:rsidRPr="006E6FB9">
        <w:rPr>
          <w:rFonts w:ascii="Arial" w:hAnsi="Arial" w:cs="Arial"/>
          <w:sz w:val="24"/>
          <w:szCs w:val="24"/>
          <w:shd w:val="clear" w:color="auto" w:fill="FFFFFF"/>
        </w:rPr>
        <w:t xml:space="preserve">circulation to </w:t>
      </w:r>
    </w:p>
    <w:p w:rsidR="000D44DF" w:rsidRPr="006E6FB9" w:rsidRDefault="00C05704" w:rsidP="000D44DF">
      <w:pPr>
        <w:pBdr>
          <w:bottom w:val="single" w:sz="12" w:space="1" w:color="auto"/>
        </w:pBdr>
        <w:spacing w:after="0" w:line="360" w:lineRule="auto"/>
        <w:jc w:val="both"/>
        <w:rPr>
          <w:rFonts w:ascii="Arial" w:hAnsi="Arial" w:cs="Arial"/>
          <w:sz w:val="24"/>
          <w:szCs w:val="24"/>
          <w:shd w:val="clear" w:color="auto" w:fill="FFFFFF"/>
        </w:rPr>
      </w:pPr>
      <w:r w:rsidRPr="006E6FB9">
        <w:rPr>
          <w:rFonts w:ascii="Arial" w:hAnsi="Arial" w:cs="Arial"/>
          <w:sz w:val="24"/>
          <w:szCs w:val="24"/>
          <w:shd w:val="clear" w:color="auto" w:fill="FFFFFF"/>
        </w:rPr>
        <w:t xml:space="preserve">the parties' representatives by email and by release to SAFLII. The date and time for hand-down is deemed to be </w:t>
      </w:r>
      <w:r w:rsidR="00BB139F" w:rsidRPr="006E6FB9">
        <w:rPr>
          <w:rFonts w:ascii="Arial" w:hAnsi="Arial" w:cs="Arial"/>
          <w:sz w:val="24"/>
          <w:szCs w:val="24"/>
          <w:shd w:val="clear" w:color="auto" w:fill="FFFFFF"/>
        </w:rPr>
        <w:t>14H00</w:t>
      </w:r>
      <w:r w:rsidRPr="006E6FB9">
        <w:rPr>
          <w:rFonts w:ascii="Arial" w:hAnsi="Arial" w:cs="Arial"/>
          <w:sz w:val="24"/>
          <w:szCs w:val="24"/>
          <w:shd w:val="clear" w:color="auto" w:fill="FFFFFF"/>
        </w:rPr>
        <w:t xml:space="preserve"> on </w:t>
      </w:r>
      <w:r w:rsidR="00BB139F" w:rsidRPr="006E6FB9">
        <w:rPr>
          <w:rFonts w:ascii="Arial" w:hAnsi="Arial" w:cs="Arial"/>
          <w:sz w:val="24"/>
          <w:szCs w:val="24"/>
          <w:shd w:val="clear" w:color="auto" w:fill="FFFFFF"/>
        </w:rPr>
        <w:t xml:space="preserve">29 August </w:t>
      </w:r>
      <w:r w:rsidR="000D44DF" w:rsidRPr="006E6FB9">
        <w:rPr>
          <w:rFonts w:ascii="Arial" w:hAnsi="Arial" w:cs="Arial"/>
          <w:sz w:val="24"/>
          <w:szCs w:val="24"/>
          <w:shd w:val="clear" w:color="auto" w:fill="FFFFFF"/>
        </w:rPr>
        <w:t>2022.</w:t>
      </w:r>
    </w:p>
    <w:p w:rsidR="00E67C7D" w:rsidRPr="006E6FB9" w:rsidRDefault="00E67C7D" w:rsidP="00932CFC">
      <w:pPr>
        <w:spacing w:after="0" w:line="360" w:lineRule="auto"/>
        <w:ind w:left="851" w:hanging="851"/>
        <w:jc w:val="both"/>
        <w:rPr>
          <w:rFonts w:ascii="Arial" w:hAnsi="Arial" w:cs="Arial"/>
          <w:sz w:val="28"/>
          <w:szCs w:val="28"/>
        </w:rPr>
      </w:pPr>
    </w:p>
    <w:p w:rsidR="00C53385" w:rsidRPr="006E6FB9" w:rsidRDefault="00504267" w:rsidP="00B63874">
      <w:pPr>
        <w:spacing w:after="0" w:line="360" w:lineRule="auto"/>
        <w:ind w:left="709" w:hanging="851"/>
        <w:jc w:val="both"/>
        <w:rPr>
          <w:rFonts w:ascii="Arial" w:hAnsi="Arial" w:cs="Arial"/>
          <w:sz w:val="24"/>
          <w:szCs w:val="24"/>
        </w:rPr>
      </w:pPr>
      <w:r w:rsidRPr="006E6FB9">
        <w:rPr>
          <w:rFonts w:ascii="Arial" w:hAnsi="Arial" w:cs="Arial"/>
          <w:sz w:val="24"/>
          <w:szCs w:val="24"/>
        </w:rPr>
        <w:t>[1]</w:t>
      </w:r>
      <w:r w:rsidR="002830AD" w:rsidRPr="006E6FB9">
        <w:rPr>
          <w:rFonts w:ascii="Arial" w:hAnsi="Arial" w:cs="Arial"/>
          <w:sz w:val="24"/>
          <w:szCs w:val="24"/>
        </w:rPr>
        <w:tab/>
      </w:r>
      <w:r w:rsidR="00A704C1" w:rsidRPr="006E6FB9">
        <w:rPr>
          <w:rFonts w:ascii="Arial" w:hAnsi="Arial" w:cs="Arial"/>
          <w:sz w:val="24"/>
          <w:szCs w:val="24"/>
        </w:rPr>
        <w:t>In this opposed application, Part B, the applicant (Centlec) seeks a</w:t>
      </w:r>
      <w:r w:rsidR="00C53385" w:rsidRPr="006E6FB9">
        <w:rPr>
          <w:rFonts w:ascii="Arial" w:hAnsi="Arial" w:cs="Arial"/>
          <w:sz w:val="24"/>
          <w:szCs w:val="24"/>
        </w:rPr>
        <w:t xml:space="preserve"> declaratory order that the parties’ employment relationship </w:t>
      </w:r>
      <w:r w:rsidR="005218A7" w:rsidRPr="006E6FB9">
        <w:rPr>
          <w:rFonts w:ascii="Arial" w:hAnsi="Arial" w:cs="Arial"/>
          <w:sz w:val="24"/>
          <w:szCs w:val="24"/>
        </w:rPr>
        <w:t xml:space="preserve">has been terminated on mutual basis pursuant to the </w:t>
      </w:r>
      <w:r w:rsidR="00C53385" w:rsidRPr="006E6FB9">
        <w:rPr>
          <w:rFonts w:ascii="Arial" w:hAnsi="Arial" w:cs="Arial"/>
          <w:sz w:val="24"/>
          <w:szCs w:val="24"/>
        </w:rPr>
        <w:t xml:space="preserve">settlement agreement concluded by the parties </w:t>
      </w:r>
      <w:r w:rsidR="005218A7" w:rsidRPr="006E6FB9">
        <w:rPr>
          <w:rFonts w:ascii="Arial" w:hAnsi="Arial" w:cs="Arial"/>
          <w:sz w:val="24"/>
          <w:szCs w:val="24"/>
        </w:rPr>
        <w:t>on 18 October 2021.</w:t>
      </w:r>
      <w:r w:rsidR="00C53385" w:rsidRPr="006E6FB9">
        <w:rPr>
          <w:rFonts w:ascii="Arial" w:hAnsi="Arial" w:cs="Arial"/>
          <w:sz w:val="24"/>
          <w:szCs w:val="24"/>
        </w:rPr>
        <w:t xml:space="preserve"> </w:t>
      </w:r>
    </w:p>
    <w:p w:rsidR="00812D91" w:rsidRPr="006E6FB9" w:rsidRDefault="005218A7" w:rsidP="00B63874">
      <w:pPr>
        <w:spacing w:after="0" w:line="360" w:lineRule="auto"/>
        <w:ind w:left="709" w:hanging="851"/>
        <w:jc w:val="both"/>
        <w:rPr>
          <w:rFonts w:ascii="Arial" w:hAnsi="Arial" w:cs="Arial"/>
          <w:sz w:val="24"/>
          <w:szCs w:val="24"/>
          <w:shd w:val="clear" w:color="auto" w:fill="FFFFFF"/>
        </w:rPr>
      </w:pPr>
      <w:r w:rsidRPr="006E6FB9">
        <w:rPr>
          <w:rFonts w:ascii="Arial" w:hAnsi="Arial" w:cs="Arial"/>
          <w:sz w:val="24"/>
          <w:szCs w:val="24"/>
        </w:rPr>
        <w:lastRenderedPageBreak/>
        <w:t>[2]</w:t>
      </w:r>
      <w:r w:rsidRPr="006E6FB9">
        <w:rPr>
          <w:rFonts w:ascii="Arial" w:hAnsi="Arial" w:cs="Arial"/>
          <w:sz w:val="24"/>
          <w:szCs w:val="24"/>
        </w:rPr>
        <w:tab/>
        <w:t xml:space="preserve">The pertinent facts of this matter are generally of common cause: On 1 </w:t>
      </w:r>
      <w:r w:rsidR="00F0615B" w:rsidRPr="006E6FB9">
        <w:rPr>
          <w:rFonts w:ascii="Arial" w:hAnsi="Arial" w:cs="Arial"/>
          <w:sz w:val="24"/>
          <w:szCs w:val="24"/>
        </w:rPr>
        <w:t>Ju</w:t>
      </w:r>
      <w:r w:rsidR="0088387E" w:rsidRPr="006E6FB9">
        <w:rPr>
          <w:rFonts w:ascii="Arial" w:hAnsi="Arial" w:cs="Arial"/>
          <w:sz w:val="24"/>
          <w:szCs w:val="24"/>
        </w:rPr>
        <w:t xml:space="preserve">ly </w:t>
      </w:r>
      <w:r w:rsidR="00F0615B" w:rsidRPr="006E6FB9">
        <w:rPr>
          <w:rFonts w:ascii="Arial" w:hAnsi="Arial" w:cs="Arial"/>
          <w:sz w:val="24"/>
          <w:szCs w:val="24"/>
        </w:rPr>
        <w:t>2021 the applicant</w:t>
      </w:r>
      <w:r w:rsidR="00BB139F" w:rsidRPr="006E6FB9">
        <w:rPr>
          <w:rFonts w:ascii="Arial" w:hAnsi="Arial" w:cs="Arial"/>
          <w:sz w:val="24"/>
          <w:szCs w:val="24"/>
        </w:rPr>
        <w:t xml:space="preserve"> (</w:t>
      </w:r>
      <w:r w:rsidR="00F0615B" w:rsidRPr="006E6FB9">
        <w:rPr>
          <w:rFonts w:ascii="Arial" w:hAnsi="Arial" w:cs="Arial"/>
          <w:sz w:val="24"/>
          <w:szCs w:val="24"/>
        </w:rPr>
        <w:t>Centlec</w:t>
      </w:r>
      <w:r w:rsidR="00BB139F" w:rsidRPr="006E6FB9">
        <w:rPr>
          <w:rFonts w:ascii="Arial" w:hAnsi="Arial" w:cs="Arial"/>
          <w:sz w:val="24"/>
          <w:szCs w:val="24"/>
        </w:rPr>
        <w:t xml:space="preserve">) </w:t>
      </w:r>
      <w:r w:rsidR="00F0615B" w:rsidRPr="006E6FB9">
        <w:rPr>
          <w:rFonts w:ascii="Arial" w:hAnsi="Arial" w:cs="Arial"/>
          <w:sz w:val="24"/>
          <w:szCs w:val="24"/>
        </w:rPr>
        <w:t xml:space="preserve">appointed the respondent as its </w:t>
      </w:r>
      <w:r w:rsidR="00F0615B" w:rsidRPr="006E6FB9">
        <w:rPr>
          <w:rFonts w:ascii="Arial" w:hAnsi="Arial" w:cs="Arial"/>
          <w:sz w:val="24"/>
          <w:szCs w:val="24"/>
          <w:shd w:val="clear" w:color="auto" w:fill="FFFFFF"/>
        </w:rPr>
        <w:t>Chief Executive Officer (CFO</w:t>
      </w:r>
      <w:r w:rsidR="00BB139F" w:rsidRPr="006E6FB9">
        <w:rPr>
          <w:rFonts w:ascii="Arial" w:hAnsi="Arial" w:cs="Arial"/>
          <w:sz w:val="24"/>
          <w:szCs w:val="24"/>
          <w:shd w:val="clear" w:color="auto" w:fill="FFFFFF"/>
        </w:rPr>
        <w:t xml:space="preserve">) </w:t>
      </w:r>
      <w:r w:rsidR="009630DA" w:rsidRPr="006E6FB9">
        <w:rPr>
          <w:rFonts w:ascii="Arial" w:hAnsi="Arial" w:cs="Arial"/>
          <w:sz w:val="24"/>
          <w:szCs w:val="24"/>
          <w:shd w:val="clear" w:color="auto" w:fill="FFFFFF"/>
        </w:rPr>
        <w:t>for a period of 5 years</w:t>
      </w:r>
      <w:r w:rsidR="0088387E" w:rsidRPr="006E6FB9">
        <w:rPr>
          <w:rFonts w:ascii="Arial" w:hAnsi="Arial" w:cs="Arial"/>
          <w:sz w:val="24"/>
          <w:szCs w:val="24"/>
          <w:shd w:val="clear" w:color="auto" w:fill="FFFFFF"/>
        </w:rPr>
        <w:t xml:space="preserve">. </w:t>
      </w:r>
      <w:r w:rsidR="00BB139F" w:rsidRPr="006E6FB9">
        <w:rPr>
          <w:rFonts w:ascii="Arial" w:hAnsi="Arial" w:cs="Arial"/>
          <w:sz w:val="24"/>
          <w:szCs w:val="24"/>
          <w:shd w:val="clear" w:color="auto" w:fill="FFFFFF"/>
        </w:rPr>
        <w:t>B</w:t>
      </w:r>
      <w:r w:rsidR="00F0615B" w:rsidRPr="006E6FB9">
        <w:rPr>
          <w:rFonts w:ascii="Arial" w:hAnsi="Arial" w:cs="Arial"/>
          <w:sz w:val="24"/>
          <w:szCs w:val="24"/>
          <w:shd w:val="clear" w:color="auto" w:fill="FFFFFF"/>
        </w:rPr>
        <w:t xml:space="preserve">arely a month after the respondent assumed her duties, </w:t>
      </w:r>
      <w:r w:rsidR="0088387E" w:rsidRPr="006E6FB9">
        <w:rPr>
          <w:rFonts w:ascii="Arial" w:hAnsi="Arial" w:cs="Arial"/>
          <w:sz w:val="24"/>
          <w:szCs w:val="24"/>
          <w:shd w:val="clear" w:color="auto" w:fill="FFFFFF"/>
        </w:rPr>
        <w:t xml:space="preserve">Centlec </w:t>
      </w:r>
      <w:r w:rsidR="00BB139F" w:rsidRPr="006E6FB9">
        <w:rPr>
          <w:rFonts w:ascii="Arial" w:hAnsi="Arial" w:cs="Arial"/>
          <w:sz w:val="24"/>
          <w:szCs w:val="24"/>
          <w:shd w:val="clear" w:color="auto" w:fill="FFFFFF"/>
        </w:rPr>
        <w:t xml:space="preserve">discovered that the respondent </w:t>
      </w:r>
      <w:r w:rsidR="0027016F" w:rsidRPr="006E6FB9">
        <w:rPr>
          <w:rFonts w:ascii="Arial" w:hAnsi="Arial" w:cs="Arial"/>
          <w:sz w:val="24"/>
          <w:szCs w:val="24"/>
          <w:shd w:val="clear" w:color="auto" w:fill="FFFFFF"/>
        </w:rPr>
        <w:t xml:space="preserve">had a pending criminal case, </w:t>
      </w:r>
      <w:r w:rsidR="0027016F" w:rsidRPr="006E6FB9">
        <w:rPr>
          <w:rFonts w:ascii="Arial" w:hAnsi="Arial" w:cs="Arial"/>
          <w:sz w:val="24"/>
          <w:szCs w:val="24"/>
        </w:rPr>
        <w:t xml:space="preserve">an outstanding warrant of arrest for failing to appear at a criminal court </w:t>
      </w:r>
      <w:r w:rsidR="00E5432E" w:rsidRPr="006E6FB9">
        <w:rPr>
          <w:rFonts w:ascii="Arial" w:hAnsi="Arial" w:cs="Arial"/>
          <w:sz w:val="24"/>
          <w:szCs w:val="24"/>
          <w:shd w:val="clear" w:color="auto" w:fill="FFFFFF"/>
        </w:rPr>
        <w:t xml:space="preserve">and a civil </w:t>
      </w:r>
      <w:r w:rsidR="0027016F" w:rsidRPr="006E6FB9">
        <w:rPr>
          <w:rFonts w:ascii="Arial" w:hAnsi="Arial" w:cs="Arial"/>
          <w:sz w:val="24"/>
          <w:szCs w:val="24"/>
          <w:shd w:val="clear" w:color="auto" w:fill="FFFFFF"/>
        </w:rPr>
        <w:t>judgment for an unpaid debt which rendered her ineligible to be appointed as a</w:t>
      </w:r>
      <w:r w:rsidR="0088387E" w:rsidRPr="006E6FB9">
        <w:rPr>
          <w:rFonts w:ascii="Arial" w:hAnsi="Arial" w:cs="Arial"/>
          <w:sz w:val="24"/>
          <w:szCs w:val="24"/>
          <w:shd w:val="clear" w:color="auto" w:fill="FFFFFF"/>
        </w:rPr>
        <w:t xml:space="preserve"> </w:t>
      </w:r>
      <w:r w:rsidR="0027016F" w:rsidRPr="006E6FB9">
        <w:rPr>
          <w:rFonts w:ascii="Arial" w:hAnsi="Arial" w:cs="Arial"/>
          <w:sz w:val="24"/>
          <w:szCs w:val="24"/>
          <w:shd w:val="clear" w:color="auto" w:fill="FFFFFF"/>
        </w:rPr>
        <w:t>CFO.</w:t>
      </w:r>
      <w:r w:rsidR="00812D91" w:rsidRPr="006E6FB9">
        <w:rPr>
          <w:rFonts w:ascii="Arial" w:hAnsi="Arial" w:cs="Arial"/>
          <w:sz w:val="24"/>
          <w:szCs w:val="24"/>
          <w:shd w:val="clear" w:color="auto" w:fill="FFFFFF"/>
        </w:rPr>
        <w:t xml:space="preserve"> </w:t>
      </w:r>
      <w:r w:rsidR="00F0615B" w:rsidRPr="006E6FB9">
        <w:rPr>
          <w:rFonts w:ascii="Arial" w:hAnsi="Arial" w:cs="Arial"/>
          <w:sz w:val="24"/>
          <w:szCs w:val="24"/>
          <w:shd w:val="clear" w:color="auto" w:fill="FFFFFF"/>
        </w:rPr>
        <w:t xml:space="preserve">Centlec’s </w:t>
      </w:r>
      <w:r w:rsidR="00F0615B" w:rsidRPr="006E6FB9">
        <w:rPr>
          <w:rFonts w:ascii="Arial" w:hAnsi="Arial" w:cs="Arial"/>
          <w:sz w:val="24"/>
          <w:szCs w:val="24"/>
        </w:rPr>
        <w:t xml:space="preserve">investigations </w:t>
      </w:r>
      <w:r w:rsidR="0088387E" w:rsidRPr="006E6FB9">
        <w:rPr>
          <w:rFonts w:ascii="Arial" w:hAnsi="Arial" w:cs="Arial"/>
          <w:sz w:val="24"/>
          <w:szCs w:val="24"/>
        </w:rPr>
        <w:t xml:space="preserve">further </w:t>
      </w:r>
      <w:r w:rsidR="00F0615B" w:rsidRPr="006E6FB9">
        <w:rPr>
          <w:rFonts w:ascii="Arial" w:hAnsi="Arial" w:cs="Arial"/>
          <w:sz w:val="24"/>
          <w:szCs w:val="24"/>
        </w:rPr>
        <w:t xml:space="preserve">revealed that the respondent had also </w:t>
      </w:r>
      <w:r w:rsidR="0088387E" w:rsidRPr="006E6FB9">
        <w:rPr>
          <w:rFonts w:ascii="Arial" w:hAnsi="Arial" w:cs="Arial"/>
          <w:sz w:val="24"/>
          <w:szCs w:val="24"/>
        </w:rPr>
        <w:t xml:space="preserve">falsified a letter and transmitted it to the Sheriff </w:t>
      </w:r>
      <w:r w:rsidR="00812D91" w:rsidRPr="006E6FB9">
        <w:rPr>
          <w:rFonts w:ascii="Arial" w:hAnsi="Arial" w:cs="Arial"/>
          <w:sz w:val="24"/>
          <w:szCs w:val="24"/>
        </w:rPr>
        <w:t>as if it emanated from her creditor’s attorneys</w:t>
      </w:r>
      <w:r w:rsidR="0088387E" w:rsidRPr="006E6FB9">
        <w:rPr>
          <w:rFonts w:ascii="Arial" w:hAnsi="Arial" w:cs="Arial"/>
          <w:sz w:val="24"/>
          <w:szCs w:val="24"/>
        </w:rPr>
        <w:t xml:space="preserve"> in which she instructed the Sheriff to release her goods </w:t>
      </w:r>
      <w:r w:rsidRPr="006E6FB9">
        <w:rPr>
          <w:rFonts w:ascii="Arial" w:hAnsi="Arial" w:cs="Arial"/>
          <w:sz w:val="24"/>
          <w:szCs w:val="24"/>
        </w:rPr>
        <w:t xml:space="preserve">which were </w:t>
      </w:r>
      <w:r w:rsidR="0088387E" w:rsidRPr="006E6FB9">
        <w:rPr>
          <w:rFonts w:ascii="Arial" w:hAnsi="Arial" w:cs="Arial"/>
          <w:sz w:val="24"/>
          <w:szCs w:val="24"/>
        </w:rPr>
        <w:t xml:space="preserve">attached </w:t>
      </w:r>
      <w:r w:rsidRPr="006E6FB9">
        <w:rPr>
          <w:rFonts w:ascii="Arial" w:hAnsi="Arial" w:cs="Arial"/>
          <w:sz w:val="24"/>
          <w:szCs w:val="24"/>
        </w:rPr>
        <w:t xml:space="preserve">by the Sheriff </w:t>
      </w:r>
      <w:r w:rsidR="0088387E" w:rsidRPr="006E6FB9">
        <w:rPr>
          <w:rFonts w:ascii="Arial" w:hAnsi="Arial" w:cs="Arial"/>
          <w:sz w:val="24"/>
          <w:szCs w:val="24"/>
        </w:rPr>
        <w:t xml:space="preserve">for the satisfaction of a judgment </w:t>
      </w:r>
      <w:r w:rsidR="00812D91" w:rsidRPr="006E6FB9">
        <w:rPr>
          <w:rFonts w:ascii="Arial" w:hAnsi="Arial" w:cs="Arial"/>
          <w:sz w:val="24"/>
          <w:szCs w:val="24"/>
        </w:rPr>
        <w:t>debt</w:t>
      </w:r>
      <w:r w:rsidRPr="006E6FB9">
        <w:rPr>
          <w:rFonts w:ascii="Arial" w:hAnsi="Arial" w:cs="Arial"/>
          <w:sz w:val="24"/>
          <w:szCs w:val="24"/>
        </w:rPr>
        <w:t xml:space="preserve"> </w:t>
      </w:r>
      <w:r w:rsidR="0088387E" w:rsidRPr="006E6FB9">
        <w:rPr>
          <w:rFonts w:ascii="Arial" w:hAnsi="Arial" w:cs="Arial"/>
          <w:sz w:val="24"/>
          <w:szCs w:val="24"/>
        </w:rPr>
        <w:t>a</w:t>
      </w:r>
      <w:r w:rsidR="00812D91" w:rsidRPr="006E6FB9">
        <w:rPr>
          <w:rFonts w:ascii="Arial" w:hAnsi="Arial" w:cs="Arial"/>
          <w:sz w:val="24"/>
          <w:szCs w:val="24"/>
        </w:rPr>
        <w:t>s a result, o</w:t>
      </w:r>
      <w:r w:rsidR="00B63874" w:rsidRPr="006E6FB9">
        <w:rPr>
          <w:rFonts w:ascii="Arial" w:hAnsi="Arial" w:cs="Arial"/>
          <w:sz w:val="24"/>
          <w:szCs w:val="24"/>
        </w:rPr>
        <w:t xml:space="preserve">n 16 August 2021 </w:t>
      </w:r>
      <w:r w:rsidR="00F0615B" w:rsidRPr="006E6FB9">
        <w:rPr>
          <w:rFonts w:ascii="Arial" w:hAnsi="Arial" w:cs="Arial"/>
          <w:sz w:val="24"/>
          <w:szCs w:val="24"/>
        </w:rPr>
        <w:t xml:space="preserve">Centlec </w:t>
      </w:r>
      <w:r w:rsidR="00F0615B" w:rsidRPr="006E6FB9">
        <w:rPr>
          <w:rFonts w:ascii="Arial" w:hAnsi="Arial" w:cs="Arial"/>
          <w:sz w:val="24"/>
          <w:szCs w:val="24"/>
          <w:shd w:val="clear" w:color="auto" w:fill="FFFFFF"/>
        </w:rPr>
        <w:t>instituted disciplinary proceedings against the respondent for misconduct</w:t>
      </w:r>
      <w:r w:rsidR="00A704C1" w:rsidRPr="006E6FB9">
        <w:rPr>
          <w:rFonts w:ascii="Arial" w:hAnsi="Arial" w:cs="Arial"/>
          <w:sz w:val="24"/>
          <w:szCs w:val="24"/>
          <w:shd w:val="clear" w:color="auto" w:fill="FFFFFF"/>
        </w:rPr>
        <w:t xml:space="preserve">. </w:t>
      </w:r>
      <w:r w:rsidR="00B63874" w:rsidRPr="006E6FB9">
        <w:rPr>
          <w:rFonts w:ascii="Arial" w:hAnsi="Arial" w:cs="Arial"/>
          <w:sz w:val="24"/>
          <w:szCs w:val="24"/>
          <w:shd w:val="clear" w:color="auto" w:fill="FFFFFF"/>
        </w:rPr>
        <w:t xml:space="preserve"> </w:t>
      </w:r>
    </w:p>
    <w:p w:rsidR="00A704C1" w:rsidRPr="006E6FB9" w:rsidRDefault="00A704C1" w:rsidP="00B63874">
      <w:pPr>
        <w:spacing w:after="0" w:line="360" w:lineRule="auto"/>
        <w:ind w:left="709" w:hanging="851"/>
        <w:jc w:val="both"/>
        <w:rPr>
          <w:rFonts w:ascii="Arial" w:hAnsi="Arial" w:cs="Arial"/>
          <w:sz w:val="24"/>
          <w:szCs w:val="24"/>
        </w:rPr>
      </w:pPr>
    </w:p>
    <w:p w:rsidR="005F23E6" w:rsidRPr="006E6FB9" w:rsidRDefault="007F6900" w:rsidP="00B63874">
      <w:pPr>
        <w:spacing w:after="0" w:line="360" w:lineRule="auto"/>
        <w:ind w:left="709" w:hanging="851"/>
        <w:jc w:val="both"/>
        <w:rPr>
          <w:rFonts w:ascii="Arial" w:hAnsi="Arial" w:cs="Arial"/>
          <w:sz w:val="24"/>
          <w:szCs w:val="24"/>
        </w:rPr>
      </w:pPr>
      <w:r w:rsidRPr="006E6FB9">
        <w:rPr>
          <w:rFonts w:ascii="Arial" w:hAnsi="Arial" w:cs="Arial"/>
          <w:sz w:val="24"/>
          <w:szCs w:val="24"/>
        </w:rPr>
        <w:t>[3</w:t>
      </w:r>
      <w:r w:rsidR="00812D91" w:rsidRPr="006E6FB9">
        <w:rPr>
          <w:rFonts w:ascii="Arial" w:hAnsi="Arial" w:cs="Arial"/>
          <w:sz w:val="24"/>
          <w:szCs w:val="24"/>
        </w:rPr>
        <w:t>]</w:t>
      </w:r>
      <w:r w:rsidR="00812D91" w:rsidRPr="006E6FB9">
        <w:rPr>
          <w:rFonts w:ascii="Arial" w:hAnsi="Arial" w:cs="Arial"/>
          <w:sz w:val="24"/>
          <w:szCs w:val="24"/>
        </w:rPr>
        <w:tab/>
      </w:r>
      <w:r w:rsidR="005218A7" w:rsidRPr="006E6FB9">
        <w:rPr>
          <w:rFonts w:ascii="Arial" w:hAnsi="Arial" w:cs="Arial"/>
          <w:sz w:val="24"/>
          <w:szCs w:val="24"/>
        </w:rPr>
        <w:t xml:space="preserve">Shortly thereafter, </w:t>
      </w:r>
      <w:r w:rsidR="008230F5" w:rsidRPr="006E6FB9">
        <w:rPr>
          <w:rFonts w:ascii="Arial" w:hAnsi="Arial" w:cs="Arial"/>
          <w:sz w:val="24"/>
          <w:szCs w:val="24"/>
        </w:rPr>
        <w:t>the parties concluded a settlement agreement</w:t>
      </w:r>
      <w:r w:rsidR="00624E85" w:rsidRPr="006E6FB9">
        <w:rPr>
          <w:rFonts w:ascii="Arial" w:hAnsi="Arial" w:cs="Arial"/>
          <w:sz w:val="24"/>
          <w:szCs w:val="24"/>
        </w:rPr>
        <w:t xml:space="preserve"> in terms of which Centlec essentially abandoned the disciplinary proceedings against the respondent and the respondent undertook to resign from her employment. </w:t>
      </w:r>
      <w:r w:rsidR="00F0615B" w:rsidRPr="006E6FB9">
        <w:rPr>
          <w:rStyle w:val="FootnoteReference"/>
          <w:rFonts w:ascii="Arial" w:hAnsi="Arial" w:cs="Arial"/>
          <w:sz w:val="24"/>
          <w:szCs w:val="24"/>
        </w:rPr>
        <w:footnoteReference w:id="1"/>
      </w:r>
      <w:r w:rsidR="00F0615B" w:rsidRPr="006E6FB9">
        <w:rPr>
          <w:rFonts w:ascii="Arial" w:hAnsi="Arial" w:cs="Arial"/>
          <w:sz w:val="24"/>
          <w:szCs w:val="24"/>
        </w:rPr>
        <w:t xml:space="preserve"> </w:t>
      </w:r>
    </w:p>
    <w:p w:rsidR="00624E85" w:rsidRPr="006E6FB9" w:rsidRDefault="00624E85" w:rsidP="00B63874">
      <w:pPr>
        <w:spacing w:after="0" w:line="360" w:lineRule="auto"/>
        <w:ind w:left="709" w:hanging="851"/>
        <w:jc w:val="both"/>
        <w:rPr>
          <w:rFonts w:ascii="Arial" w:hAnsi="Arial" w:cs="Arial"/>
          <w:sz w:val="24"/>
          <w:szCs w:val="24"/>
        </w:rPr>
      </w:pPr>
    </w:p>
    <w:p w:rsidR="00F0615B" w:rsidRPr="006E6FB9" w:rsidRDefault="00F0615B" w:rsidP="00B63874">
      <w:pPr>
        <w:spacing w:after="0" w:line="360" w:lineRule="auto"/>
        <w:ind w:left="709" w:hanging="851"/>
        <w:jc w:val="both"/>
        <w:rPr>
          <w:rFonts w:ascii="Arial" w:hAnsi="Arial" w:cs="Arial"/>
          <w:sz w:val="24"/>
          <w:szCs w:val="24"/>
        </w:rPr>
      </w:pPr>
      <w:r w:rsidRPr="006E6FB9">
        <w:rPr>
          <w:rFonts w:ascii="Arial" w:hAnsi="Arial" w:cs="Arial"/>
          <w:sz w:val="24"/>
          <w:szCs w:val="24"/>
        </w:rPr>
        <w:t>[</w:t>
      </w:r>
      <w:r w:rsidR="007F6900" w:rsidRPr="006E6FB9">
        <w:rPr>
          <w:rFonts w:ascii="Arial" w:hAnsi="Arial" w:cs="Arial"/>
          <w:sz w:val="24"/>
          <w:szCs w:val="24"/>
        </w:rPr>
        <w:t>4</w:t>
      </w:r>
      <w:r w:rsidRPr="006E6FB9">
        <w:rPr>
          <w:rFonts w:ascii="Arial" w:hAnsi="Arial" w:cs="Arial"/>
          <w:sz w:val="24"/>
          <w:szCs w:val="24"/>
        </w:rPr>
        <w:t>]</w:t>
      </w:r>
      <w:r w:rsidRPr="006E6FB9">
        <w:rPr>
          <w:rFonts w:ascii="Arial" w:hAnsi="Arial" w:cs="Arial"/>
          <w:sz w:val="24"/>
          <w:szCs w:val="24"/>
        </w:rPr>
        <w:tab/>
      </w:r>
      <w:r w:rsidRPr="006E6FB9">
        <w:rPr>
          <w:rFonts w:ascii="Arial" w:hAnsi="Arial" w:cs="Arial"/>
          <w:sz w:val="24"/>
          <w:szCs w:val="24"/>
        </w:rPr>
        <w:tab/>
        <w:t>The material terms of the settlement agreement are the following:</w:t>
      </w:r>
    </w:p>
    <w:p w:rsidR="00F0615B" w:rsidRPr="006E6FB9" w:rsidRDefault="00F0615B" w:rsidP="00F0615B">
      <w:pPr>
        <w:spacing w:after="0" w:line="360" w:lineRule="auto"/>
        <w:ind w:left="1429" w:firstLine="11"/>
        <w:jc w:val="both"/>
        <w:rPr>
          <w:rFonts w:ascii="Arial" w:hAnsi="Arial" w:cs="Arial"/>
          <w:sz w:val="24"/>
          <w:szCs w:val="24"/>
        </w:rPr>
      </w:pPr>
    </w:p>
    <w:p w:rsidR="00F0615B" w:rsidRPr="006E6FB9" w:rsidRDefault="00F0615B" w:rsidP="00F0615B">
      <w:pPr>
        <w:spacing w:after="0" w:line="360" w:lineRule="auto"/>
        <w:ind w:left="1429" w:firstLine="11"/>
        <w:jc w:val="both"/>
        <w:rPr>
          <w:rFonts w:ascii="Arial" w:hAnsi="Arial" w:cs="Arial"/>
          <w:i/>
          <w:sz w:val="20"/>
          <w:szCs w:val="20"/>
        </w:rPr>
      </w:pPr>
      <w:r w:rsidRPr="006E6FB9">
        <w:rPr>
          <w:rFonts w:ascii="Arial" w:hAnsi="Arial" w:cs="Arial"/>
          <w:i/>
          <w:sz w:val="20"/>
          <w:szCs w:val="20"/>
        </w:rPr>
        <w:t>“1…</w:t>
      </w:r>
    </w:p>
    <w:p w:rsidR="00F0615B" w:rsidRPr="006E6FB9" w:rsidRDefault="00F0615B" w:rsidP="00F0615B">
      <w:pPr>
        <w:spacing w:after="0" w:line="360" w:lineRule="auto"/>
        <w:ind w:left="709" w:hanging="851"/>
        <w:jc w:val="both"/>
        <w:rPr>
          <w:rFonts w:ascii="Arial" w:hAnsi="Arial" w:cs="Arial"/>
          <w:i/>
          <w:sz w:val="20"/>
          <w:szCs w:val="20"/>
        </w:rPr>
      </w:pPr>
    </w:p>
    <w:p w:rsidR="00F0615B" w:rsidRPr="006E6FB9" w:rsidRDefault="00F0615B" w:rsidP="00F0615B">
      <w:pPr>
        <w:spacing w:after="0" w:line="360" w:lineRule="auto"/>
        <w:ind w:left="2159" w:hanging="730"/>
        <w:jc w:val="both"/>
        <w:rPr>
          <w:rFonts w:ascii="Arial" w:hAnsi="Arial" w:cs="Arial"/>
          <w:i/>
          <w:sz w:val="20"/>
          <w:szCs w:val="20"/>
        </w:rPr>
      </w:pPr>
      <w:r w:rsidRPr="006E6FB9">
        <w:rPr>
          <w:rFonts w:ascii="Arial" w:hAnsi="Arial" w:cs="Arial"/>
          <w:i/>
          <w:sz w:val="20"/>
          <w:szCs w:val="20"/>
        </w:rPr>
        <w:t>2.</w:t>
      </w:r>
      <w:r w:rsidRPr="006E6FB9">
        <w:rPr>
          <w:rFonts w:ascii="Arial" w:hAnsi="Arial" w:cs="Arial"/>
          <w:i/>
          <w:sz w:val="20"/>
          <w:szCs w:val="20"/>
        </w:rPr>
        <w:tab/>
        <w:t>The parties agree that, the Employer will pay Ms Nkomo a without admission of liability three (3) months equivalent pay for settlement purposes and in order to reach finality and certainty, in this matter.</w:t>
      </w:r>
    </w:p>
    <w:p w:rsidR="00F0615B" w:rsidRPr="006E6FB9" w:rsidRDefault="00F0615B" w:rsidP="00F0615B">
      <w:pPr>
        <w:spacing w:after="0" w:line="360" w:lineRule="auto"/>
        <w:ind w:left="709" w:hanging="851"/>
        <w:jc w:val="both"/>
        <w:rPr>
          <w:rFonts w:ascii="Arial" w:hAnsi="Arial" w:cs="Arial"/>
          <w:i/>
          <w:sz w:val="20"/>
          <w:szCs w:val="20"/>
        </w:rPr>
      </w:pPr>
    </w:p>
    <w:p w:rsidR="00F0615B" w:rsidRPr="006E6FB9" w:rsidRDefault="00F0615B" w:rsidP="00F0615B">
      <w:pPr>
        <w:spacing w:after="0" w:line="360" w:lineRule="auto"/>
        <w:ind w:left="2159" w:hanging="730"/>
        <w:jc w:val="both"/>
        <w:rPr>
          <w:rFonts w:ascii="Arial" w:hAnsi="Arial" w:cs="Arial"/>
          <w:i/>
          <w:sz w:val="20"/>
          <w:szCs w:val="20"/>
        </w:rPr>
      </w:pPr>
      <w:r w:rsidRPr="006E6FB9">
        <w:rPr>
          <w:rFonts w:ascii="Arial" w:hAnsi="Arial" w:cs="Arial"/>
          <w:i/>
          <w:sz w:val="20"/>
          <w:szCs w:val="20"/>
        </w:rPr>
        <w:t>3.</w:t>
      </w:r>
      <w:r w:rsidRPr="006E6FB9">
        <w:rPr>
          <w:rFonts w:ascii="Arial" w:hAnsi="Arial" w:cs="Arial"/>
          <w:i/>
          <w:sz w:val="20"/>
          <w:szCs w:val="20"/>
        </w:rPr>
        <w:tab/>
        <w:t>Ms Nkomo has agreed to formally resign at the end of November 2021. However, the parties agree that during this aforesaid period of November 2021, Ms Nkomo will not attend to the offices of the Employer.</w:t>
      </w:r>
    </w:p>
    <w:p w:rsidR="00F0615B" w:rsidRPr="006E6FB9" w:rsidRDefault="00F0615B" w:rsidP="00F0615B">
      <w:pPr>
        <w:spacing w:after="0" w:line="360" w:lineRule="auto"/>
        <w:ind w:left="709" w:hanging="851"/>
        <w:jc w:val="both"/>
        <w:rPr>
          <w:rFonts w:ascii="Arial" w:hAnsi="Arial" w:cs="Arial"/>
          <w:i/>
          <w:sz w:val="20"/>
          <w:szCs w:val="20"/>
        </w:rPr>
      </w:pPr>
    </w:p>
    <w:p w:rsidR="00F0615B" w:rsidRPr="006E6FB9" w:rsidRDefault="00F0615B" w:rsidP="00F0615B">
      <w:pPr>
        <w:spacing w:after="0" w:line="360" w:lineRule="auto"/>
        <w:ind w:left="2159" w:hanging="730"/>
        <w:jc w:val="both"/>
        <w:rPr>
          <w:rFonts w:ascii="Arial" w:hAnsi="Arial" w:cs="Arial"/>
          <w:i/>
          <w:sz w:val="20"/>
          <w:szCs w:val="20"/>
        </w:rPr>
      </w:pPr>
      <w:r w:rsidRPr="006E6FB9">
        <w:rPr>
          <w:rFonts w:ascii="Arial" w:hAnsi="Arial" w:cs="Arial"/>
          <w:i/>
          <w:sz w:val="20"/>
          <w:szCs w:val="20"/>
        </w:rPr>
        <w:t>4.</w:t>
      </w:r>
      <w:r w:rsidRPr="006E6FB9">
        <w:rPr>
          <w:rFonts w:ascii="Arial" w:hAnsi="Arial" w:cs="Arial"/>
          <w:i/>
          <w:sz w:val="20"/>
          <w:szCs w:val="20"/>
        </w:rPr>
        <w:tab/>
        <w:t>Thereafter, subsequent to the lapsing of the November period, the Employer/Employee relationship will be considered amicably terminated and the Employer would then pay Ms Nkomo a salary equivalent to two (2) months.</w:t>
      </w:r>
    </w:p>
    <w:p w:rsidR="00F0615B" w:rsidRPr="006E6FB9" w:rsidRDefault="00F0615B" w:rsidP="00F0615B">
      <w:pPr>
        <w:spacing w:after="0" w:line="360" w:lineRule="auto"/>
        <w:ind w:left="709" w:hanging="851"/>
        <w:jc w:val="both"/>
        <w:rPr>
          <w:rFonts w:ascii="Arial" w:hAnsi="Arial" w:cs="Arial"/>
          <w:i/>
          <w:sz w:val="20"/>
          <w:szCs w:val="20"/>
        </w:rPr>
      </w:pPr>
    </w:p>
    <w:p w:rsidR="00F0615B" w:rsidRPr="006E6FB9" w:rsidRDefault="00F0615B" w:rsidP="00F0615B">
      <w:pPr>
        <w:spacing w:after="0" w:line="360" w:lineRule="auto"/>
        <w:ind w:left="2159" w:hanging="730"/>
        <w:jc w:val="both"/>
        <w:rPr>
          <w:rFonts w:ascii="Arial" w:hAnsi="Arial" w:cs="Arial"/>
          <w:i/>
          <w:sz w:val="20"/>
          <w:szCs w:val="20"/>
        </w:rPr>
      </w:pPr>
      <w:r w:rsidRPr="006E6FB9">
        <w:rPr>
          <w:rFonts w:ascii="Arial" w:hAnsi="Arial" w:cs="Arial"/>
          <w:i/>
          <w:sz w:val="20"/>
          <w:szCs w:val="20"/>
        </w:rPr>
        <w:t>5.</w:t>
      </w:r>
      <w:r w:rsidRPr="006E6FB9">
        <w:rPr>
          <w:rFonts w:ascii="Arial" w:hAnsi="Arial" w:cs="Arial"/>
          <w:i/>
          <w:sz w:val="20"/>
          <w:szCs w:val="20"/>
        </w:rPr>
        <w:tab/>
        <w:t>Ms Nkomo has agreed to return to the Employer by no later than Thursday, 28 October 2021 all property, including the laptop, belonging to the Employer.</w:t>
      </w:r>
    </w:p>
    <w:p w:rsidR="00F0615B" w:rsidRPr="006E6FB9" w:rsidRDefault="00F0615B" w:rsidP="00F0615B">
      <w:pPr>
        <w:spacing w:after="0" w:line="360" w:lineRule="auto"/>
        <w:ind w:left="709" w:hanging="851"/>
        <w:jc w:val="both"/>
        <w:rPr>
          <w:rFonts w:ascii="Arial" w:hAnsi="Arial" w:cs="Arial"/>
          <w:i/>
          <w:sz w:val="20"/>
          <w:szCs w:val="20"/>
        </w:rPr>
      </w:pPr>
    </w:p>
    <w:p w:rsidR="00F0615B" w:rsidRPr="006E6FB9" w:rsidRDefault="00F0615B" w:rsidP="00F0615B">
      <w:pPr>
        <w:spacing w:after="0" w:line="360" w:lineRule="auto"/>
        <w:ind w:left="2159" w:hanging="730"/>
        <w:jc w:val="both"/>
        <w:rPr>
          <w:rFonts w:ascii="Arial" w:hAnsi="Arial" w:cs="Arial"/>
          <w:i/>
          <w:sz w:val="20"/>
          <w:szCs w:val="20"/>
        </w:rPr>
      </w:pPr>
      <w:r w:rsidRPr="006E6FB9">
        <w:rPr>
          <w:rFonts w:ascii="Arial" w:hAnsi="Arial" w:cs="Arial"/>
          <w:i/>
          <w:sz w:val="20"/>
          <w:szCs w:val="20"/>
        </w:rPr>
        <w:t>6.</w:t>
      </w:r>
      <w:r w:rsidRPr="006E6FB9">
        <w:rPr>
          <w:rFonts w:ascii="Arial" w:hAnsi="Arial" w:cs="Arial"/>
          <w:i/>
          <w:sz w:val="20"/>
          <w:szCs w:val="20"/>
        </w:rPr>
        <w:tab/>
        <w:t>The Employer will allow Ms Nkomo to collect her furniture that she brought into the office being the micro wave, kettle, cups any further items not belonging to Centlec on the 28</w:t>
      </w:r>
      <w:r w:rsidRPr="006E6FB9">
        <w:rPr>
          <w:rFonts w:ascii="Arial" w:hAnsi="Arial" w:cs="Arial"/>
          <w:i/>
          <w:sz w:val="20"/>
          <w:szCs w:val="20"/>
          <w:vertAlign w:val="superscript"/>
        </w:rPr>
        <w:t>th</w:t>
      </w:r>
      <w:r w:rsidRPr="006E6FB9">
        <w:rPr>
          <w:rFonts w:ascii="Arial" w:hAnsi="Arial" w:cs="Arial"/>
          <w:i/>
          <w:sz w:val="20"/>
          <w:szCs w:val="20"/>
        </w:rPr>
        <w:t xml:space="preserve"> of October 2021.</w:t>
      </w:r>
    </w:p>
    <w:p w:rsidR="00F0615B" w:rsidRPr="006E6FB9" w:rsidRDefault="00F0615B" w:rsidP="00F0615B">
      <w:pPr>
        <w:spacing w:after="0" w:line="360" w:lineRule="auto"/>
        <w:ind w:left="709" w:hanging="851"/>
        <w:jc w:val="both"/>
        <w:rPr>
          <w:rFonts w:ascii="Arial" w:hAnsi="Arial" w:cs="Arial"/>
          <w:i/>
          <w:sz w:val="20"/>
          <w:szCs w:val="20"/>
        </w:rPr>
      </w:pPr>
    </w:p>
    <w:p w:rsidR="00F0615B" w:rsidRPr="006E6FB9" w:rsidRDefault="00F0615B" w:rsidP="00F0615B">
      <w:pPr>
        <w:spacing w:after="0" w:line="360" w:lineRule="auto"/>
        <w:ind w:left="2159" w:hanging="730"/>
        <w:jc w:val="both"/>
        <w:rPr>
          <w:rFonts w:ascii="Arial" w:hAnsi="Arial" w:cs="Arial"/>
          <w:i/>
          <w:sz w:val="20"/>
          <w:szCs w:val="20"/>
        </w:rPr>
      </w:pPr>
      <w:r w:rsidRPr="006E6FB9">
        <w:rPr>
          <w:rFonts w:ascii="Arial" w:hAnsi="Arial" w:cs="Arial"/>
          <w:i/>
          <w:sz w:val="20"/>
          <w:szCs w:val="20"/>
        </w:rPr>
        <w:t>7.</w:t>
      </w:r>
      <w:r w:rsidRPr="006E6FB9">
        <w:rPr>
          <w:rFonts w:ascii="Arial" w:hAnsi="Arial" w:cs="Arial"/>
          <w:i/>
          <w:sz w:val="20"/>
          <w:szCs w:val="20"/>
        </w:rPr>
        <w:tab/>
        <w:t>The employer has agreed to withdraw criminal charges against Ms Nkomo within 24 hours of compliance with paragraph 5. And same shall be sent by the 29</w:t>
      </w:r>
      <w:r w:rsidRPr="006E6FB9">
        <w:rPr>
          <w:rFonts w:ascii="Arial" w:hAnsi="Arial" w:cs="Arial"/>
          <w:i/>
          <w:sz w:val="20"/>
          <w:szCs w:val="20"/>
          <w:vertAlign w:val="superscript"/>
        </w:rPr>
        <w:t>th</w:t>
      </w:r>
      <w:r w:rsidRPr="006E6FB9">
        <w:rPr>
          <w:rFonts w:ascii="Arial" w:hAnsi="Arial" w:cs="Arial"/>
          <w:i/>
          <w:sz w:val="20"/>
          <w:szCs w:val="20"/>
        </w:rPr>
        <w:t xml:space="preserve"> October 2021 via email</w:t>
      </w:r>
      <w:r w:rsidR="008230F5" w:rsidRPr="006E6FB9">
        <w:rPr>
          <w:rFonts w:ascii="Arial" w:hAnsi="Arial" w:cs="Arial"/>
          <w:i/>
          <w:sz w:val="20"/>
          <w:szCs w:val="20"/>
        </w:rPr>
        <w:t xml:space="preserve"> to emmanuel@blairattorneys</w:t>
      </w:r>
      <w:r w:rsidRPr="006E6FB9">
        <w:rPr>
          <w:rFonts w:ascii="Arial" w:hAnsi="Arial" w:cs="Arial"/>
          <w:i/>
          <w:sz w:val="20"/>
          <w:szCs w:val="20"/>
        </w:rPr>
        <w:t>.</w:t>
      </w:r>
      <w:r w:rsidR="008230F5" w:rsidRPr="006E6FB9">
        <w:rPr>
          <w:rFonts w:ascii="Arial" w:hAnsi="Arial" w:cs="Arial"/>
          <w:i/>
          <w:sz w:val="20"/>
          <w:szCs w:val="20"/>
        </w:rPr>
        <w:t>co.za.</w:t>
      </w:r>
    </w:p>
    <w:p w:rsidR="00F0615B" w:rsidRPr="006E6FB9" w:rsidRDefault="00F0615B" w:rsidP="00F0615B">
      <w:pPr>
        <w:spacing w:after="0" w:line="360" w:lineRule="auto"/>
        <w:ind w:left="709" w:hanging="851"/>
        <w:jc w:val="both"/>
        <w:rPr>
          <w:rFonts w:ascii="Arial" w:hAnsi="Arial" w:cs="Arial"/>
          <w:i/>
          <w:sz w:val="20"/>
          <w:szCs w:val="20"/>
        </w:rPr>
      </w:pPr>
    </w:p>
    <w:p w:rsidR="00F0615B" w:rsidRPr="006E6FB9" w:rsidRDefault="00F0615B" w:rsidP="00F0615B">
      <w:pPr>
        <w:spacing w:after="0" w:line="360" w:lineRule="auto"/>
        <w:ind w:left="2159" w:hanging="730"/>
        <w:jc w:val="both"/>
        <w:rPr>
          <w:rFonts w:ascii="Arial" w:hAnsi="Arial" w:cs="Arial"/>
          <w:i/>
          <w:sz w:val="20"/>
          <w:szCs w:val="20"/>
        </w:rPr>
      </w:pPr>
      <w:r w:rsidRPr="006E6FB9">
        <w:rPr>
          <w:rFonts w:ascii="Arial" w:hAnsi="Arial" w:cs="Arial"/>
          <w:i/>
          <w:sz w:val="20"/>
          <w:szCs w:val="20"/>
        </w:rPr>
        <w:t>8.</w:t>
      </w:r>
      <w:r w:rsidRPr="006E6FB9">
        <w:rPr>
          <w:rFonts w:ascii="Arial" w:hAnsi="Arial" w:cs="Arial"/>
          <w:i/>
          <w:sz w:val="20"/>
          <w:szCs w:val="20"/>
        </w:rPr>
        <w:tab/>
        <w:t>The employer has agreed to furnish Ms Nkomo with a letter of good standing by the 28</w:t>
      </w:r>
      <w:r w:rsidRPr="006E6FB9">
        <w:rPr>
          <w:rFonts w:ascii="Arial" w:hAnsi="Arial" w:cs="Arial"/>
          <w:i/>
          <w:sz w:val="20"/>
          <w:szCs w:val="20"/>
          <w:vertAlign w:val="superscript"/>
        </w:rPr>
        <w:t>th</w:t>
      </w:r>
      <w:r w:rsidRPr="006E6FB9">
        <w:rPr>
          <w:rFonts w:ascii="Arial" w:hAnsi="Arial" w:cs="Arial"/>
          <w:i/>
          <w:sz w:val="20"/>
          <w:szCs w:val="20"/>
        </w:rPr>
        <w:t xml:space="preserve"> of October 2021.</w:t>
      </w:r>
    </w:p>
    <w:p w:rsidR="00F0615B" w:rsidRPr="006E6FB9" w:rsidRDefault="00F0615B" w:rsidP="00F0615B">
      <w:pPr>
        <w:spacing w:after="0" w:line="360" w:lineRule="auto"/>
        <w:ind w:left="709" w:hanging="851"/>
        <w:jc w:val="both"/>
        <w:rPr>
          <w:rFonts w:ascii="Arial" w:hAnsi="Arial" w:cs="Arial"/>
          <w:i/>
          <w:sz w:val="20"/>
          <w:szCs w:val="20"/>
        </w:rPr>
      </w:pPr>
    </w:p>
    <w:p w:rsidR="00F0615B" w:rsidRPr="006E6FB9" w:rsidRDefault="00F0615B" w:rsidP="00F0615B">
      <w:pPr>
        <w:spacing w:after="0" w:line="360" w:lineRule="auto"/>
        <w:ind w:left="2159" w:hanging="730"/>
        <w:jc w:val="both"/>
        <w:rPr>
          <w:rFonts w:ascii="Arial" w:hAnsi="Arial" w:cs="Arial"/>
          <w:i/>
          <w:sz w:val="20"/>
          <w:szCs w:val="20"/>
        </w:rPr>
      </w:pPr>
      <w:r w:rsidRPr="006E6FB9">
        <w:rPr>
          <w:rFonts w:ascii="Arial" w:hAnsi="Arial" w:cs="Arial"/>
          <w:i/>
          <w:sz w:val="20"/>
          <w:szCs w:val="20"/>
        </w:rPr>
        <w:t>9.</w:t>
      </w:r>
      <w:r w:rsidRPr="006E6FB9">
        <w:rPr>
          <w:rFonts w:ascii="Arial" w:hAnsi="Arial" w:cs="Arial"/>
          <w:i/>
          <w:sz w:val="20"/>
          <w:szCs w:val="20"/>
        </w:rPr>
        <w:tab/>
        <w:t>Subject to paragraph 3, above the parties agree that they will issue a joint statement stating that all charges have been dropped and the employee is returning to work by the 28</w:t>
      </w:r>
      <w:r w:rsidRPr="006E6FB9">
        <w:rPr>
          <w:rFonts w:ascii="Arial" w:hAnsi="Arial" w:cs="Arial"/>
          <w:i/>
          <w:sz w:val="20"/>
          <w:szCs w:val="20"/>
          <w:vertAlign w:val="superscript"/>
        </w:rPr>
        <w:t>th</w:t>
      </w:r>
      <w:r w:rsidRPr="006E6FB9">
        <w:rPr>
          <w:rFonts w:ascii="Arial" w:hAnsi="Arial" w:cs="Arial"/>
          <w:i/>
          <w:sz w:val="20"/>
          <w:szCs w:val="20"/>
        </w:rPr>
        <w:t xml:space="preserve"> of October 2021. Thereafter the period mentioned in paragraph 3 the employee will issue a statement stating her resignation on an amicable basis on which both parties will agree on prior.</w:t>
      </w:r>
    </w:p>
    <w:p w:rsidR="00F0615B" w:rsidRPr="006E6FB9" w:rsidRDefault="00F0615B" w:rsidP="00F0615B">
      <w:pPr>
        <w:spacing w:after="0" w:line="360" w:lineRule="auto"/>
        <w:ind w:left="709" w:hanging="851"/>
        <w:jc w:val="both"/>
        <w:rPr>
          <w:rFonts w:ascii="Arial" w:hAnsi="Arial" w:cs="Arial"/>
          <w:i/>
          <w:sz w:val="20"/>
          <w:szCs w:val="20"/>
        </w:rPr>
      </w:pPr>
    </w:p>
    <w:p w:rsidR="00F0615B" w:rsidRPr="006E6FB9" w:rsidRDefault="00F0615B" w:rsidP="00F0615B">
      <w:pPr>
        <w:spacing w:after="0" w:line="360" w:lineRule="auto"/>
        <w:ind w:left="1418" w:firstLine="11"/>
        <w:jc w:val="both"/>
        <w:rPr>
          <w:rFonts w:ascii="Arial" w:hAnsi="Arial" w:cs="Arial"/>
          <w:sz w:val="20"/>
          <w:szCs w:val="20"/>
        </w:rPr>
      </w:pPr>
      <w:r w:rsidRPr="006E6FB9">
        <w:rPr>
          <w:rFonts w:ascii="Arial" w:hAnsi="Arial" w:cs="Arial"/>
          <w:i/>
          <w:sz w:val="20"/>
          <w:szCs w:val="20"/>
        </w:rPr>
        <w:t>10</w:t>
      </w:r>
      <w:r w:rsidRPr="006E6FB9">
        <w:rPr>
          <w:rFonts w:ascii="Arial" w:hAnsi="Arial" w:cs="Arial"/>
          <w:sz w:val="20"/>
          <w:szCs w:val="20"/>
        </w:rPr>
        <w:t>.</w:t>
      </w:r>
      <w:r w:rsidRPr="006E6FB9">
        <w:rPr>
          <w:rFonts w:ascii="Arial" w:hAnsi="Arial" w:cs="Arial"/>
          <w:sz w:val="20"/>
          <w:szCs w:val="20"/>
        </w:rPr>
        <w:tab/>
        <w:t>…”</w:t>
      </w:r>
    </w:p>
    <w:p w:rsidR="00B63874" w:rsidRPr="006E6FB9" w:rsidRDefault="00B63874" w:rsidP="00DA79AD">
      <w:pPr>
        <w:spacing w:after="0" w:line="360" w:lineRule="auto"/>
        <w:ind w:left="709" w:hanging="851"/>
        <w:jc w:val="both"/>
        <w:rPr>
          <w:rFonts w:ascii="Arial" w:hAnsi="Arial" w:cs="Arial"/>
          <w:sz w:val="24"/>
          <w:szCs w:val="24"/>
        </w:rPr>
      </w:pPr>
    </w:p>
    <w:p w:rsidR="00C51CF0" w:rsidRPr="006E6FB9" w:rsidRDefault="007F6900" w:rsidP="00C51CF0">
      <w:pPr>
        <w:spacing w:after="0" w:line="360" w:lineRule="auto"/>
        <w:ind w:left="709" w:hanging="709"/>
        <w:jc w:val="both"/>
        <w:rPr>
          <w:rFonts w:ascii="Arial" w:hAnsi="Arial" w:cs="Arial"/>
          <w:sz w:val="24"/>
          <w:szCs w:val="24"/>
        </w:rPr>
      </w:pPr>
      <w:r w:rsidRPr="006E6FB9">
        <w:rPr>
          <w:rFonts w:ascii="Arial" w:hAnsi="Arial" w:cs="Arial"/>
          <w:sz w:val="24"/>
          <w:szCs w:val="24"/>
        </w:rPr>
        <w:t>[5</w:t>
      </w:r>
      <w:r w:rsidR="00B63874" w:rsidRPr="006E6FB9">
        <w:rPr>
          <w:rFonts w:ascii="Arial" w:hAnsi="Arial" w:cs="Arial"/>
          <w:sz w:val="24"/>
          <w:szCs w:val="24"/>
        </w:rPr>
        <w:t>]</w:t>
      </w:r>
      <w:r w:rsidR="00B63874" w:rsidRPr="006E6FB9">
        <w:rPr>
          <w:rFonts w:ascii="Arial" w:hAnsi="Arial" w:cs="Arial"/>
          <w:sz w:val="24"/>
          <w:szCs w:val="24"/>
        </w:rPr>
        <w:tab/>
      </w:r>
      <w:r w:rsidR="00A02657" w:rsidRPr="006E6FB9">
        <w:rPr>
          <w:rFonts w:ascii="Arial" w:hAnsi="Arial" w:cs="Arial"/>
          <w:sz w:val="24"/>
          <w:szCs w:val="24"/>
        </w:rPr>
        <w:t>On 25 February 2022, a</w:t>
      </w:r>
      <w:r w:rsidR="00C51CF0" w:rsidRPr="006E6FB9">
        <w:rPr>
          <w:rFonts w:ascii="Arial" w:hAnsi="Arial" w:cs="Arial"/>
          <w:sz w:val="24"/>
          <w:szCs w:val="24"/>
        </w:rPr>
        <w:t xml:space="preserve">pproximately </w:t>
      </w:r>
      <w:r w:rsidR="00A02657" w:rsidRPr="006E6FB9">
        <w:rPr>
          <w:rFonts w:ascii="Arial" w:hAnsi="Arial" w:cs="Arial"/>
          <w:sz w:val="24"/>
          <w:szCs w:val="24"/>
        </w:rPr>
        <w:t xml:space="preserve">four </w:t>
      </w:r>
      <w:r w:rsidR="00C51CF0" w:rsidRPr="006E6FB9">
        <w:rPr>
          <w:rFonts w:ascii="Arial" w:hAnsi="Arial" w:cs="Arial"/>
          <w:sz w:val="24"/>
          <w:szCs w:val="24"/>
        </w:rPr>
        <w:t>months after the settlement was concluded</w:t>
      </w:r>
      <w:r w:rsidR="00A02657" w:rsidRPr="006E6FB9">
        <w:rPr>
          <w:rFonts w:ascii="Arial" w:hAnsi="Arial" w:cs="Arial"/>
          <w:sz w:val="24"/>
          <w:szCs w:val="24"/>
        </w:rPr>
        <w:t xml:space="preserve"> </w:t>
      </w:r>
      <w:r w:rsidR="00653F8C" w:rsidRPr="006E6FB9">
        <w:rPr>
          <w:rFonts w:ascii="Arial" w:hAnsi="Arial" w:cs="Arial"/>
          <w:sz w:val="24"/>
          <w:szCs w:val="24"/>
        </w:rPr>
        <w:t>Centlec launched a</w:t>
      </w:r>
      <w:r w:rsidR="00895C12" w:rsidRPr="006E6FB9">
        <w:rPr>
          <w:rFonts w:ascii="Arial" w:hAnsi="Arial" w:cs="Arial"/>
          <w:sz w:val="24"/>
          <w:szCs w:val="24"/>
        </w:rPr>
        <w:t xml:space="preserve">n </w:t>
      </w:r>
      <w:r w:rsidR="00653F8C" w:rsidRPr="006E6FB9">
        <w:rPr>
          <w:rFonts w:ascii="Arial" w:hAnsi="Arial" w:cs="Arial"/>
          <w:sz w:val="24"/>
          <w:szCs w:val="24"/>
        </w:rPr>
        <w:t xml:space="preserve">urgent application </w:t>
      </w:r>
      <w:r w:rsidR="00895C12" w:rsidRPr="006E6FB9">
        <w:rPr>
          <w:rFonts w:ascii="Arial" w:hAnsi="Arial" w:cs="Arial"/>
          <w:sz w:val="24"/>
          <w:szCs w:val="24"/>
        </w:rPr>
        <w:t>in</w:t>
      </w:r>
      <w:r w:rsidR="00A02657" w:rsidRPr="006E6FB9">
        <w:rPr>
          <w:rFonts w:ascii="Arial" w:hAnsi="Arial" w:cs="Arial"/>
          <w:sz w:val="24"/>
          <w:szCs w:val="24"/>
        </w:rPr>
        <w:t xml:space="preserve"> this court </w:t>
      </w:r>
      <w:r w:rsidR="00C51CF0" w:rsidRPr="006E6FB9">
        <w:rPr>
          <w:rFonts w:ascii="Arial" w:hAnsi="Arial" w:cs="Arial"/>
          <w:sz w:val="24"/>
          <w:szCs w:val="24"/>
        </w:rPr>
        <w:t xml:space="preserve">seeking an interdict </w:t>
      </w:r>
      <w:r w:rsidR="00A02657" w:rsidRPr="006E6FB9">
        <w:rPr>
          <w:rFonts w:ascii="Arial" w:hAnsi="Arial" w:cs="Arial"/>
          <w:sz w:val="24"/>
          <w:szCs w:val="24"/>
        </w:rPr>
        <w:t>(</w:t>
      </w:r>
      <w:r w:rsidR="00C51CF0" w:rsidRPr="006E6FB9">
        <w:rPr>
          <w:rFonts w:ascii="Arial" w:hAnsi="Arial" w:cs="Arial"/>
          <w:sz w:val="24"/>
          <w:szCs w:val="24"/>
        </w:rPr>
        <w:t>Part A</w:t>
      </w:r>
      <w:r w:rsidR="00A02657" w:rsidRPr="006E6FB9">
        <w:rPr>
          <w:rFonts w:ascii="Arial" w:hAnsi="Arial" w:cs="Arial"/>
          <w:sz w:val="24"/>
          <w:szCs w:val="24"/>
        </w:rPr>
        <w:t xml:space="preserve">) </w:t>
      </w:r>
      <w:r w:rsidR="00C51CF0" w:rsidRPr="006E6FB9">
        <w:rPr>
          <w:rFonts w:ascii="Arial" w:hAnsi="Arial" w:cs="Arial"/>
          <w:sz w:val="24"/>
          <w:szCs w:val="24"/>
        </w:rPr>
        <w:t>to prohibit the respondent from accessing and entering Centles’s premises</w:t>
      </w:r>
      <w:r w:rsidR="00895C12" w:rsidRPr="006E6FB9">
        <w:rPr>
          <w:rFonts w:ascii="Arial" w:hAnsi="Arial" w:cs="Arial"/>
          <w:sz w:val="24"/>
          <w:szCs w:val="24"/>
        </w:rPr>
        <w:t xml:space="preserve"> and from </w:t>
      </w:r>
      <w:r w:rsidR="00C51CF0" w:rsidRPr="006E6FB9">
        <w:rPr>
          <w:rFonts w:ascii="Arial" w:hAnsi="Arial" w:cs="Arial"/>
          <w:sz w:val="24"/>
          <w:szCs w:val="24"/>
        </w:rPr>
        <w:t xml:space="preserve">resuming her functions as an employee or passing herself as a Centlec’s employee pending the </w:t>
      </w:r>
      <w:r w:rsidR="00895C12" w:rsidRPr="006E6FB9">
        <w:rPr>
          <w:rFonts w:ascii="Arial" w:hAnsi="Arial" w:cs="Arial"/>
          <w:sz w:val="24"/>
          <w:szCs w:val="24"/>
        </w:rPr>
        <w:t xml:space="preserve">hearing </w:t>
      </w:r>
      <w:r w:rsidR="00C51CF0" w:rsidRPr="006E6FB9">
        <w:rPr>
          <w:rFonts w:ascii="Arial" w:hAnsi="Arial" w:cs="Arial"/>
          <w:sz w:val="24"/>
          <w:szCs w:val="24"/>
        </w:rPr>
        <w:t xml:space="preserve">of </w:t>
      </w:r>
      <w:r w:rsidR="00895C12" w:rsidRPr="006E6FB9">
        <w:rPr>
          <w:rFonts w:ascii="Arial" w:hAnsi="Arial" w:cs="Arial"/>
          <w:sz w:val="24"/>
          <w:szCs w:val="24"/>
        </w:rPr>
        <w:t xml:space="preserve">this </w:t>
      </w:r>
      <w:r w:rsidR="00C51CF0" w:rsidRPr="006E6FB9">
        <w:rPr>
          <w:rFonts w:ascii="Arial" w:hAnsi="Arial" w:cs="Arial"/>
          <w:sz w:val="24"/>
          <w:szCs w:val="24"/>
        </w:rPr>
        <w:t xml:space="preserve">declaratory relief </w:t>
      </w:r>
      <w:r w:rsidR="00895C12" w:rsidRPr="006E6FB9">
        <w:rPr>
          <w:rFonts w:ascii="Arial" w:hAnsi="Arial" w:cs="Arial"/>
          <w:sz w:val="24"/>
          <w:szCs w:val="24"/>
        </w:rPr>
        <w:t>(</w:t>
      </w:r>
      <w:r w:rsidR="00C51CF0" w:rsidRPr="006E6FB9">
        <w:rPr>
          <w:rFonts w:ascii="Arial" w:hAnsi="Arial" w:cs="Arial"/>
          <w:sz w:val="24"/>
          <w:szCs w:val="24"/>
        </w:rPr>
        <w:t>Part B</w:t>
      </w:r>
      <w:r w:rsidR="00895C12" w:rsidRPr="006E6FB9">
        <w:rPr>
          <w:rFonts w:ascii="Arial" w:hAnsi="Arial" w:cs="Arial"/>
          <w:sz w:val="24"/>
          <w:szCs w:val="24"/>
        </w:rPr>
        <w:t xml:space="preserve">) in due course. </w:t>
      </w:r>
      <w:r w:rsidR="00C51CF0" w:rsidRPr="006E6FB9">
        <w:rPr>
          <w:rFonts w:ascii="Arial" w:hAnsi="Arial" w:cs="Arial"/>
          <w:sz w:val="24"/>
          <w:szCs w:val="24"/>
        </w:rPr>
        <w:t xml:space="preserve"> </w:t>
      </w:r>
    </w:p>
    <w:p w:rsidR="00C51CF0" w:rsidRPr="006E6FB9" w:rsidRDefault="00C51CF0" w:rsidP="00DA79AD">
      <w:pPr>
        <w:spacing w:after="0" w:line="360" w:lineRule="auto"/>
        <w:ind w:left="709" w:hanging="851"/>
        <w:jc w:val="both"/>
        <w:rPr>
          <w:rFonts w:ascii="Arial" w:hAnsi="Arial" w:cs="Arial"/>
          <w:sz w:val="24"/>
          <w:szCs w:val="24"/>
        </w:rPr>
      </w:pPr>
    </w:p>
    <w:p w:rsidR="00895C12" w:rsidRPr="006E6FB9" w:rsidRDefault="007F6900" w:rsidP="00DA79AD">
      <w:pPr>
        <w:spacing w:after="0" w:line="360" w:lineRule="auto"/>
        <w:ind w:left="709" w:hanging="851"/>
        <w:jc w:val="both"/>
        <w:rPr>
          <w:rFonts w:ascii="Arial" w:hAnsi="Arial" w:cs="Arial"/>
          <w:sz w:val="24"/>
          <w:szCs w:val="24"/>
        </w:rPr>
      </w:pPr>
      <w:r w:rsidRPr="006E6FB9">
        <w:rPr>
          <w:rFonts w:ascii="Arial" w:hAnsi="Arial" w:cs="Arial"/>
          <w:sz w:val="24"/>
          <w:szCs w:val="24"/>
        </w:rPr>
        <w:t>[6</w:t>
      </w:r>
      <w:r w:rsidR="00C51CF0" w:rsidRPr="006E6FB9">
        <w:rPr>
          <w:rFonts w:ascii="Arial" w:hAnsi="Arial" w:cs="Arial"/>
          <w:sz w:val="24"/>
          <w:szCs w:val="24"/>
        </w:rPr>
        <w:t>]</w:t>
      </w:r>
      <w:r w:rsidR="00C51CF0" w:rsidRPr="006E6FB9">
        <w:rPr>
          <w:rFonts w:ascii="Arial" w:hAnsi="Arial" w:cs="Arial"/>
          <w:sz w:val="24"/>
          <w:szCs w:val="24"/>
        </w:rPr>
        <w:tab/>
        <w:t xml:space="preserve">The urgent application served </w:t>
      </w:r>
      <w:r w:rsidR="00B5172C" w:rsidRPr="006E6FB9">
        <w:rPr>
          <w:rFonts w:ascii="Arial" w:hAnsi="Arial" w:cs="Arial"/>
          <w:sz w:val="24"/>
          <w:szCs w:val="24"/>
        </w:rPr>
        <w:t>before me and it was premised on the grounds that despite having agreed to resign from her employment by the end of November 2021 as provided for in the settlement agreement, clause 3 the</w:t>
      </w:r>
      <w:r w:rsidR="00895C12" w:rsidRPr="006E6FB9">
        <w:rPr>
          <w:rFonts w:ascii="Arial" w:hAnsi="Arial" w:cs="Arial"/>
          <w:sz w:val="24"/>
          <w:szCs w:val="24"/>
        </w:rPr>
        <w:t xml:space="preserve">rein, the respondent </w:t>
      </w:r>
      <w:r w:rsidR="00B5172C" w:rsidRPr="006E6FB9">
        <w:rPr>
          <w:rFonts w:ascii="Arial" w:hAnsi="Arial" w:cs="Arial"/>
          <w:sz w:val="24"/>
          <w:szCs w:val="24"/>
        </w:rPr>
        <w:t>has failed to do so</w:t>
      </w:r>
      <w:r w:rsidR="00895C12" w:rsidRPr="006E6FB9">
        <w:rPr>
          <w:rFonts w:ascii="Arial" w:hAnsi="Arial" w:cs="Arial"/>
          <w:sz w:val="24"/>
          <w:szCs w:val="24"/>
        </w:rPr>
        <w:t xml:space="preserve"> instead on 15 February 2022 she presented herself at Centlec’s premises and insisted on performing the duties of an CFO.</w:t>
      </w:r>
    </w:p>
    <w:p w:rsidR="00895C12" w:rsidRPr="006E6FB9" w:rsidRDefault="00895C12" w:rsidP="00DA79AD">
      <w:pPr>
        <w:spacing w:after="0" w:line="360" w:lineRule="auto"/>
        <w:ind w:left="709" w:hanging="851"/>
        <w:jc w:val="both"/>
        <w:rPr>
          <w:rFonts w:ascii="Arial" w:hAnsi="Arial" w:cs="Arial"/>
          <w:sz w:val="24"/>
          <w:szCs w:val="24"/>
        </w:rPr>
      </w:pPr>
    </w:p>
    <w:p w:rsidR="00B5172C" w:rsidRPr="006E6FB9" w:rsidRDefault="007F6900" w:rsidP="00DA79AD">
      <w:pPr>
        <w:spacing w:after="0" w:line="360" w:lineRule="auto"/>
        <w:ind w:left="709" w:hanging="851"/>
        <w:jc w:val="both"/>
        <w:rPr>
          <w:rFonts w:ascii="Arial" w:hAnsi="Arial" w:cs="Arial"/>
          <w:sz w:val="24"/>
          <w:szCs w:val="24"/>
        </w:rPr>
      </w:pPr>
      <w:r w:rsidRPr="006E6FB9">
        <w:rPr>
          <w:rFonts w:ascii="Arial" w:hAnsi="Arial" w:cs="Arial"/>
          <w:sz w:val="24"/>
          <w:szCs w:val="24"/>
        </w:rPr>
        <w:t>[7</w:t>
      </w:r>
      <w:r w:rsidR="00895C12" w:rsidRPr="006E6FB9">
        <w:rPr>
          <w:rFonts w:ascii="Arial" w:hAnsi="Arial" w:cs="Arial"/>
          <w:sz w:val="24"/>
          <w:szCs w:val="24"/>
        </w:rPr>
        <w:t>]</w:t>
      </w:r>
      <w:r w:rsidR="00895C12" w:rsidRPr="006E6FB9">
        <w:rPr>
          <w:rFonts w:ascii="Arial" w:hAnsi="Arial" w:cs="Arial"/>
          <w:sz w:val="24"/>
          <w:szCs w:val="24"/>
        </w:rPr>
        <w:tab/>
        <w:t xml:space="preserve">Centlec stated that the respondent’s appearance at its premises was preceded by a series </w:t>
      </w:r>
      <w:r w:rsidR="00C63769" w:rsidRPr="006E6FB9">
        <w:rPr>
          <w:rFonts w:ascii="Arial" w:hAnsi="Arial" w:cs="Arial"/>
          <w:sz w:val="24"/>
          <w:szCs w:val="24"/>
        </w:rPr>
        <w:t xml:space="preserve">of </w:t>
      </w:r>
      <w:r w:rsidR="009A4BF9" w:rsidRPr="006E6FB9">
        <w:rPr>
          <w:rFonts w:ascii="Arial" w:hAnsi="Arial" w:cs="Arial"/>
          <w:sz w:val="24"/>
          <w:szCs w:val="24"/>
        </w:rPr>
        <w:t xml:space="preserve">correspondences from </w:t>
      </w:r>
      <w:r w:rsidR="00D448C7" w:rsidRPr="006E6FB9">
        <w:rPr>
          <w:rFonts w:ascii="Arial" w:hAnsi="Arial" w:cs="Arial"/>
          <w:sz w:val="24"/>
          <w:szCs w:val="24"/>
        </w:rPr>
        <w:t xml:space="preserve">her </w:t>
      </w:r>
      <w:r w:rsidR="009A4BF9" w:rsidRPr="006E6FB9">
        <w:rPr>
          <w:rFonts w:ascii="Arial" w:hAnsi="Arial" w:cs="Arial"/>
          <w:sz w:val="24"/>
          <w:szCs w:val="24"/>
        </w:rPr>
        <w:t xml:space="preserve">attorneys </w:t>
      </w:r>
      <w:r w:rsidR="00D448C7" w:rsidRPr="006E6FB9">
        <w:rPr>
          <w:rFonts w:ascii="Arial" w:hAnsi="Arial" w:cs="Arial"/>
          <w:sz w:val="24"/>
          <w:szCs w:val="24"/>
        </w:rPr>
        <w:t xml:space="preserve">alleging </w:t>
      </w:r>
      <w:r w:rsidR="009A4BF9" w:rsidRPr="006E6FB9">
        <w:rPr>
          <w:rFonts w:ascii="Arial" w:hAnsi="Arial" w:cs="Arial"/>
          <w:sz w:val="24"/>
          <w:szCs w:val="24"/>
        </w:rPr>
        <w:t xml:space="preserve">that </w:t>
      </w:r>
      <w:r w:rsidR="00D33A1C" w:rsidRPr="006E6FB9">
        <w:rPr>
          <w:rFonts w:ascii="Arial" w:hAnsi="Arial" w:cs="Arial"/>
          <w:sz w:val="24"/>
          <w:szCs w:val="24"/>
        </w:rPr>
        <w:t>Centlec</w:t>
      </w:r>
      <w:r w:rsidR="00D448C7" w:rsidRPr="006E6FB9">
        <w:rPr>
          <w:rFonts w:ascii="Arial" w:hAnsi="Arial" w:cs="Arial"/>
          <w:sz w:val="24"/>
          <w:szCs w:val="24"/>
        </w:rPr>
        <w:t xml:space="preserve"> had breached the terms of </w:t>
      </w:r>
      <w:r w:rsidR="009A4BF9" w:rsidRPr="006E6FB9">
        <w:rPr>
          <w:rFonts w:ascii="Arial" w:hAnsi="Arial" w:cs="Arial"/>
          <w:sz w:val="24"/>
          <w:szCs w:val="24"/>
        </w:rPr>
        <w:t xml:space="preserve">the settlement agreement </w:t>
      </w:r>
      <w:r w:rsidR="00D448C7" w:rsidRPr="006E6FB9">
        <w:rPr>
          <w:rFonts w:ascii="Arial" w:hAnsi="Arial" w:cs="Arial"/>
          <w:sz w:val="24"/>
          <w:szCs w:val="24"/>
        </w:rPr>
        <w:t xml:space="preserve">by failing to pay the respondent, to withdraw the criminal case/s and provide her with a letter of good </w:t>
      </w:r>
      <w:r w:rsidR="00D448C7" w:rsidRPr="006E6FB9">
        <w:rPr>
          <w:rFonts w:ascii="Arial" w:hAnsi="Arial" w:cs="Arial"/>
          <w:sz w:val="24"/>
          <w:szCs w:val="24"/>
        </w:rPr>
        <w:lastRenderedPageBreak/>
        <w:t xml:space="preserve">standing as agreed therefore the settlement was </w:t>
      </w:r>
      <w:r w:rsidR="009A4BF9" w:rsidRPr="006E6FB9">
        <w:rPr>
          <w:rFonts w:ascii="Arial" w:hAnsi="Arial" w:cs="Arial"/>
          <w:sz w:val="24"/>
          <w:szCs w:val="24"/>
        </w:rPr>
        <w:t>null and void</w:t>
      </w:r>
      <w:r w:rsidR="00D448C7" w:rsidRPr="006E6FB9">
        <w:rPr>
          <w:rFonts w:ascii="Arial" w:hAnsi="Arial" w:cs="Arial"/>
          <w:sz w:val="24"/>
          <w:szCs w:val="24"/>
        </w:rPr>
        <w:t xml:space="preserve">, the respondent was thus entitled to resume her duties as a CFO as she had not resigned and this is despite the fact that </w:t>
      </w:r>
      <w:r w:rsidR="00B5172C" w:rsidRPr="006E6FB9">
        <w:rPr>
          <w:rFonts w:ascii="Arial" w:hAnsi="Arial" w:cs="Arial"/>
          <w:sz w:val="24"/>
          <w:szCs w:val="24"/>
        </w:rPr>
        <w:t>Centlec ha</w:t>
      </w:r>
      <w:r w:rsidR="00D448C7" w:rsidRPr="006E6FB9">
        <w:rPr>
          <w:rFonts w:ascii="Arial" w:hAnsi="Arial" w:cs="Arial"/>
          <w:sz w:val="24"/>
          <w:szCs w:val="24"/>
        </w:rPr>
        <w:t>d</w:t>
      </w:r>
      <w:r w:rsidR="00B5172C" w:rsidRPr="006E6FB9">
        <w:rPr>
          <w:rFonts w:ascii="Arial" w:hAnsi="Arial" w:cs="Arial"/>
          <w:sz w:val="24"/>
          <w:szCs w:val="24"/>
        </w:rPr>
        <w:t xml:space="preserve"> </w:t>
      </w:r>
      <w:r w:rsidR="00D448C7" w:rsidRPr="006E6FB9">
        <w:rPr>
          <w:rFonts w:ascii="Arial" w:hAnsi="Arial" w:cs="Arial"/>
          <w:sz w:val="24"/>
          <w:szCs w:val="24"/>
        </w:rPr>
        <w:t xml:space="preserve">duly </w:t>
      </w:r>
      <w:r w:rsidR="00B5172C" w:rsidRPr="006E6FB9">
        <w:rPr>
          <w:rFonts w:ascii="Arial" w:hAnsi="Arial" w:cs="Arial"/>
          <w:sz w:val="24"/>
          <w:szCs w:val="24"/>
        </w:rPr>
        <w:t>performed its obligations in terms of the settlement agreement</w:t>
      </w:r>
      <w:r w:rsidR="00D448C7" w:rsidRPr="006E6FB9">
        <w:rPr>
          <w:rFonts w:ascii="Arial" w:hAnsi="Arial" w:cs="Arial"/>
          <w:sz w:val="24"/>
          <w:szCs w:val="24"/>
        </w:rPr>
        <w:t>. It had allowed her t</w:t>
      </w:r>
      <w:r w:rsidR="00B5172C" w:rsidRPr="006E6FB9">
        <w:rPr>
          <w:rFonts w:ascii="Arial" w:hAnsi="Arial" w:cs="Arial"/>
          <w:sz w:val="24"/>
          <w:szCs w:val="24"/>
        </w:rPr>
        <w:t xml:space="preserve">o collect her personal belongings from its premises, </w:t>
      </w:r>
      <w:r w:rsidR="00D448C7" w:rsidRPr="006E6FB9">
        <w:rPr>
          <w:rFonts w:ascii="Arial" w:hAnsi="Arial" w:cs="Arial"/>
          <w:sz w:val="24"/>
          <w:szCs w:val="24"/>
        </w:rPr>
        <w:t xml:space="preserve">paid her the amounts due, </w:t>
      </w:r>
      <w:r w:rsidR="00B5172C" w:rsidRPr="006E6FB9">
        <w:rPr>
          <w:rFonts w:ascii="Arial" w:hAnsi="Arial" w:cs="Arial"/>
          <w:sz w:val="24"/>
          <w:szCs w:val="24"/>
        </w:rPr>
        <w:t>withdr</w:t>
      </w:r>
      <w:r w:rsidR="00D448C7" w:rsidRPr="006E6FB9">
        <w:rPr>
          <w:rFonts w:ascii="Arial" w:hAnsi="Arial" w:cs="Arial"/>
          <w:sz w:val="24"/>
          <w:szCs w:val="24"/>
        </w:rPr>
        <w:t xml:space="preserve">ew </w:t>
      </w:r>
      <w:r w:rsidR="00B5172C" w:rsidRPr="006E6FB9">
        <w:rPr>
          <w:rFonts w:ascii="Arial" w:hAnsi="Arial" w:cs="Arial"/>
          <w:sz w:val="24"/>
          <w:szCs w:val="24"/>
        </w:rPr>
        <w:t>the criminal c</w:t>
      </w:r>
      <w:r w:rsidR="00D448C7" w:rsidRPr="006E6FB9">
        <w:rPr>
          <w:rFonts w:ascii="Arial" w:hAnsi="Arial" w:cs="Arial"/>
          <w:sz w:val="24"/>
          <w:szCs w:val="24"/>
        </w:rPr>
        <w:t xml:space="preserve">ase </w:t>
      </w:r>
      <w:r w:rsidR="00B5172C" w:rsidRPr="006E6FB9">
        <w:rPr>
          <w:rFonts w:ascii="Arial" w:hAnsi="Arial" w:cs="Arial"/>
          <w:sz w:val="24"/>
          <w:szCs w:val="24"/>
        </w:rPr>
        <w:t>it has lodged against her and also furnish</w:t>
      </w:r>
      <w:r w:rsidR="00D448C7" w:rsidRPr="006E6FB9">
        <w:rPr>
          <w:rFonts w:ascii="Arial" w:hAnsi="Arial" w:cs="Arial"/>
          <w:sz w:val="24"/>
          <w:szCs w:val="24"/>
        </w:rPr>
        <w:t xml:space="preserve">ed </w:t>
      </w:r>
      <w:r w:rsidR="00B5172C" w:rsidRPr="006E6FB9">
        <w:rPr>
          <w:rFonts w:ascii="Arial" w:hAnsi="Arial" w:cs="Arial"/>
          <w:sz w:val="24"/>
          <w:szCs w:val="24"/>
        </w:rPr>
        <w:t>her with a letter of good standing</w:t>
      </w:r>
      <w:r w:rsidR="00D448C7" w:rsidRPr="006E6FB9">
        <w:rPr>
          <w:rFonts w:ascii="Arial" w:hAnsi="Arial" w:cs="Arial"/>
          <w:sz w:val="24"/>
          <w:szCs w:val="24"/>
        </w:rPr>
        <w:t xml:space="preserve">. See clause </w:t>
      </w:r>
      <w:r w:rsidR="00B5172C" w:rsidRPr="006E6FB9">
        <w:rPr>
          <w:rFonts w:ascii="Arial" w:hAnsi="Arial" w:cs="Arial"/>
          <w:sz w:val="24"/>
          <w:szCs w:val="24"/>
        </w:rPr>
        <w:t xml:space="preserve">6 to 8 of the settlement agreement. </w:t>
      </w:r>
    </w:p>
    <w:p w:rsidR="00B5172C" w:rsidRPr="006E6FB9" w:rsidRDefault="00B5172C" w:rsidP="00DA79AD">
      <w:pPr>
        <w:spacing w:after="0" w:line="360" w:lineRule="auto"/>
        <w:ind w:left="709" w:hanging="851"/>
        <w:jc w:val="both"/>
        <w:rPr>
          <w:rFonts w:ascii="Arial" w:hAnsi="Arial" w:cs="Arial"/>
          <w:sz w:val="24"/>
          <w:szCs w:val="24"/>
        </w:rPr>
      </w:pPr>
    </w:p>
    <w:p w:rsidR="00C63769" w:rsidRPr="006E6FB9" w:rsidRDefault="00B5172C" w:rsidP="00DA79AD">
      <w:pPr>
        <w:spacing w:after="0" w:line="360" w:lineRule="auto"/>
        <w:ind w:left="709" w:hanging="851"/>
        <w:jc w:val="both"/>
        <w:rPr>
          <w:rFonts w:ascii="Arial" w:hAnsi="Arial" w:cs="Arial"/>
          <w:sz w:val="24"/>
          <w:szCs w:val="24"/>
        </w:rPr>
      </w:pPr>
      <w:r w:rsidRPr="006E6FB9">
        <w:rPr>
          <w:rFonts w:ascii="Arial" w:hAnsi="Arial" w:cs="Arial"/>
          <w:sz w:val="24"/>
          <w:szCs w:val="24"/>
        </w:rPr>
        <w:t>[8]</w:t>
      </w:r>
      <w:r w:rsidRPr="006E6FB9">
        <w:rPr>
          <w:rFonts w:ascii="Arial" w:hAnsi="Arial" w:cs="Arial"/>
          <w:sz w:val="24"/>
          <w:szCs w:val="24"/>
        </w:rPr>
        <w:tab/>
        <w:t xml:space="preserve">The respondent appeared in person </w:t>
      </w:r>
      <w:r w:rsidR="00C63769" w:rsidRPr="006E6FB9">
        <w:rPr>
          <w:rFonts w:ascii="Arial" w:hAnsi="Arial" w:cs="Arial"/>
          <w:sz w:val="24"/>
          <w:szCs w:val="24"/>
        </w:rPr>
        <w:t xml:space="preserve">and </w:t>
      </w:r>
      <w:r w:rsidR="00D448C7" w:rsidRPr="006E6FB9">
        <w:rPr>
          <w:rFonts w:ascii="Arial" w:hAnsi="Arial" w:cs="Arial"/>
          <w:sz w:val="24"/>
          <w:szCs w:val="24"/>
        </w:rPr>
        <w:t xml:space="preserve">sought </w:t>
      </w:r>
      <w:r w:rsidR="00C63769" w:rsidRPr="006E6FB9">
        <w:rPr>
          <w:rFonts w:ascii="Arial" w:hAnsi="Arial" w:cs="Arial"/>
          <w:sz w:val="24"/>
          <w:szCs w:val="24"/>
        </w:rPr>
        <w:t xml:space="preserve">a postponement </w:t>
      </w:r>
      <w:r w:rsidR="00D448C7" w:rsidRPr="006E6FB9">
        <w:rPr>
          <w:rFonts w:ascii="Arial" w:hAnsi="Arial" w:cs="Arial"/>
          <w:sz w:val="24"/>
          <w:szCs w:val="24"/>
        </w:rPr>
        <w:t xml:space="preserve">for the purpose of </w:t>
      </w:r>
      <w:r w:rsidR="00C63769" w:rsidRPr="006E6FB9">
        <w:rPr>
          <w:rFonts w:ascii="Arial" w:hAnsi="Arial" w:cs="Arial"/>
          <w:sz w:val="24"/>
          <w:szCs w:val="24"/>
        </w:rPr>
        <w:t>appoint</w:t>
      </w:r>
      <w:r w:rsidR="00D448C7" w:rsidRPr="006E6FB9">
        <w:rPr>
          <w:rFonts w:ascii="Arial" w:hAnsi="Arial" w:cs="Arial"/>
          <w:sz w:val="24"/>
          <w:szCs w:val="24"/>
        </w:rPr>
        <w:t xml:space="preserve">ing </w:t>
      </w:r>
      <w:r w:rsidR="00C63769" w:rsidRPr="006E6FB9">
        <w:rPr>
          <w:rFonts w:ascii="Arial" w:hAnsi="Arial" w:cs="Arial"/>
          <w:sz w:val="24"/>
          <w:szCs w:val="24"/>
        </w:rPr>
        <w:t>a legal representative to assist her</w:t>
      </w:r>
      <w:r w:rsidR="005D0CE2" w:rsidRPr="006E6FB9">
        <w:rPr>
          <w:rFonts w:ascii="Arial" w:hAnsi="Arial" w:cs="Arial"/>
          <w:sz w:val="24"/>
          <w:szCs w:val="24"/>
        </w:rPr>
        <w:t xml:space="preserve">. She explained that </w:t>
      </w:r>
      <w:r w:rsidR="00C63769" w:rsidRPr="006E6FB9">
        <w:rPr>
          <w:rFonts w:ascii="Arial" w:hAnsi="Arial" w:cs="Arial"/>
          <w:sz w:val="24"/>
          <w:szCs w:val="24"/>
        </w:rPr>
        <w:t xml:space="preserve">she could not </w:t>
      </w:r>
      <w:r w:rsidR="005D0CE2" w:rsidRPr="006E6FB9">
        <w:rPr>
          <w:rFonts w:ascii="Arial" w:hAnsi="Arial" w:cs="Arial"/>
          <w:sz w:val="24"/>
          <w:szCs w:val="24"/>
        </w:rPr>
        <w:t>instruct an attorney p</w:t>
      </w:r>
      <w:r w:rsidR="00C63769" w:rsidRPr="006E6FB9">
        <w:rPr>
          <w:rFonts w:ascii="Arial" w:hAnsi="Arial" w:cs="Arial"/>
          <w:sz w:val="24"/>
          <w:szCs w:val="24"/>
        </w:rPr>
        <w:t>rior to the hearing due to lack of funds</w:t>
      </w:r>
      <w:r w:rsidR="005D0CE2" w:rsidRPr="006E6FB9">
        <w:rPr>
          <w:rFonts w:ascii="Arial" w:hAnsi="Arial" w:cs="Arial"/>
          <w:sz w:val="24"/>
          <w:szCs w:val="24"/>
        </w:rPr>
        <w:t xml:space="preserve"> she </w:t>
      </w:r>
      <w:r w:rsidR="00C63769" w:rsidRPr="006E6FB9">
        <w:rPr>
          <w:rFonts w:ascii="Arial" w:hAnsi="Arial" w:cs="Arial"/>
          <w:sz w:val="24"/>
          <w:szCs w:val="24"/>
        </w:rPr>
        <w:t>only received the application on Saturday, 19 February 2022</w:t>
      </w:r>
      <w:r w:rsidR="005D0CE2" w:rsidRPr="006E6FB9">
        <w:rPr>
          <w:rFonts w:ascii="Arial" w:hAnsi="Arial" w:cs="Arial"/>
          <w:sz w:val="24"/>
          <w:szCs w:val="24"/>
        </w:rPr>
        <w:t xml:space="preserve"> and the copies were illegible in any event</w:t>
      </w:r>
      <w:r w:rsidR="00C63769" w:rsidRPr="006E6FB9">
        <w:rPr>
          <w:rFonts w:ascii="Arial" w:hAnsi="Arial" w:cs="Arial"/>
          <w:sz w:val="24"/>
          <w:szCs w:val="24"/>
        </w:rPr>
        <w:t>.</w:t>
      </w:r>
    </w:p>
    <w:p w:rsidR="00C63769" w:rsidRPr="006E6FB9" w:rsidRDefault="00C63769" w:rsidP="00DA79AD">
      <w:pPr>
        <w:spacing w:after="0" w:line="360" w:lineRule="auto"/>
        <w:ind w:left="709" w:hanging="851"/>
        <w:jc w:val="both"/>
        <w:rPr>
          <w:rFonts w:ascii="Arial" w:hAnsi="Arial" w:cs="Arial"/>
          <w:sz w:val="24"/>
          <w:szCs w:val="24"/>
        </w:rPr>
      </w:pPr>
    </w:p>
    <w:p w:rsidR="005D0CE2" w:rsidRPr="006E6FB9" w:rsidRDefault="00C63769" w:rsidP="00DA79AD">
      <w:pPr>
        <w:spacing w:after="0" w:line="360" w:lineRule="auto"/>
        <w:ind w:left="709" w:hanging="851"/>
        <w:jc w:val="both"/>
        <w:rPr>
          <w:rFonts w:ascii="Arial" w:hAnsi="Arial" w:cs="Arial"/>
          <w:sz w:val="24"/>
          <w:szCs w:val="24"/>
        </w:rPr>
      </w:pPr>
      <w:r w:rsidRPr="006E6FB9">
        <w:rPr>
          <w:rFonts w:ascii="Arial" w:hAnsi="Arial" w:cs="Arial"/>
          <w:sz w:val="24"/>
          <w:szCs w:val="24"/>
        </w:rPr>
        <w:t>[9]</w:t>
      </w:r>
      <w:r w:rsidRPr="006E6FB9">
        <w:rPr>
          <w:rFonts w:ascii="Arial" w:hAnsi="Arial" w:cs="Arial"/>
          <w:sz w:val="24"/>
          <w:szCs w:val="24"/>
        </w:rPr>
        <w:tab/>
      </w:r>
      <w:r w:rsidR="005D0CE2" w:rsidRPr="006E6FB9">
        <w:rPr>
          <w:rFonts w:ascii="Arial" w:hAnsi="Arial" w:cs="Arial"/>
          <w:sz w:val="24"/>
          <w:szCs w:val="24"/>
        </w:rPr>
        <w:t xml:space="preserve">The application for a postponement was </w:t>
      </w:r>
      <w:r w:rsidRPr="006E6FB9">
        <w:rPr>
          <w:rFonts w:ascii="Arial" w:hAnsi="Arial" w:cs="Arial"/>
          <w:sz w:val="24"/>
          <w:szCs w:val="24"/>
        </w:rPr>
        <w:t>opposed</w:t>
      </w:r>
      <w:r w:rsidR="005D0CE2" w:rsidRPr="006E6FB9">
        <w:rPr>
          <w:rFonts w:ascii="Arial" w:hAnsi="Arial" w:cs="Arial"/>
          <w:sz w:val="24"/>
          <w:szCs w:val="24"/>
        </w:rPr>
        <w:t>. It was Centlec’s contention that there was no merit to the respondent’s reasons for requesting a postponement, at all material times hereto she was legally represented and it was as a result of the instructions that she gave to her attorneys that she reneged on the terms of the settlement of the settlement agreement and insisted on returning to her position as the CFO.</w:t>
      </w:r>
      <w:r w:rsidR="005D0CE2" w:rsidRPr="006E6FB9">
        <w:rPr>
          <w:rStyle w:val="FootnoteReference"/>
          <w:rFonts w:ascii="Arial" w:hAnsi="Arial" w:cs="Arial"/>
          <w:sz w:val="24"/>
          <w:szCs w:val="24"/>
        </w:rPr>
        <w:footnoteReference w:id="2"/>
      </w:r>
      <w:r w:rsidR="005D0CE2" w:rsidRPr="006E6FB9">
        <w:rPr>
          <w:rFonts w:ascii="Arial" w:hAnsi="Arial" w:cs="Arial"/>
          <w:sz w:val="24"/>
          <w:szCs w:val="24"/>
        </w:rPr>
        <w:t xml:space="preserve"> It was also not correct that she only received the application on 19 February 2022 as the application was served by the Sheriff at her residence on 18 February 2022</w:t>
      </w:r>
      <w:r w:rsidR="004C76D0" w:rsidRPr="006E6FB9">
        <w:rPr>
          <w:rStyle w:val="FootnoteReference"/>
          <w:rFonts w:ascii="Arial" w:hAnsi="Arial" w:cs="Arial"/>
          <w:sz w:val="24"/>
          <w:szCs w:val="24"/>
        </w:rPr>
        <w:footnoteReference w:id="3"/>
      </w:r>
      <w:r w:rsidR="00F5633A" w:rsidRPr="006E6FB9">
        <w:rPr>
          <w:rFonts w:ascii="Arial" w:hAnsi="Arial" w:cs="Arial"/>
          <w:sz w:val="24"/>
          <w:szCs w:val="24"/>
        </w:rPr>
        <w:t xml:space="preserve"> </w:t>
      </w:r>
      <w:r w:rsidR="005D0CE2" w:rsidRPr="006E6FB9">
        <w:rPr>
          <w:rFonts w:ascii="Arial" w:hAnsi="Arial" w:cs="Arial"/>
          <w:sz w:val="24"/>
          <w:szCs w:val="24"/>
        </w:rPr>
        <w:t xml:space="preserve">another copy was served on her attorneys and they acknowledged receipt in that regard.  </w:t>
      </w:r>
    </w:p>
    <w:p w:rsidR="005D0CE2" w:rsidRPr="006E6FB9" w:rsidRDefault="005D0CE2" w:rsidP="00DA79AD">
      <w:pPr>
        <w:spacing w:after="0" w:line="360" w:lineRule="auto"/>
        <w:ind w:left="709" w:hanging="851"/>
        <w:jc w:val="both"/>
        <w:rPr>
          <w:rFonts w:ascii="Arial" w:hAnsi="Arial" w:cs="Arial"/>
          <w:sz w:val="24"/>
          <w:szCs w:val="24"/>
        </w:rPr>
      </w:pPr>
    </w:p>
    <w:p w:rsidR="00DB0C34" w:rsidRPr="006E6FB9" w:rsidRDefault="005D0CE2" w:rsidP="00DA79AD">
      <w:pPr>
        <w:spacing w:after="0" w:line="360" w:lineRule="auto"/>
        <w:ind w:left="709" w:hanging="851"/>
        <w:jc w:val="both"/>
        <w:rPr>
          <w:rFonts w:ascii="Arial" w:hAnsi="Arial" w:cs="Arial"/>
          <w:sz w:val="24"/>
          <w:szCs w:val="24"/>
        </w:rPr>
      </w:pPr>
      <w:r w:rsidRPr="006E6FB9">
        <w:rPr>
          <w:rFonts w:ascii="Arial" w:hAnsi="Arial" w:cs="Arial"/>
          <w:sz w:val="24"/>
          <w:szCs w:val="24"/>
        </w:rPr>
        <w:t>[10]</w:t>
      </w:r>
      <w:r w:rsidRPr="006E6FB9">
        <w:rPr>
          <w:rFonts w:ascii="Arial" w:hAnsi="Arial" w:cs="Arial"/>
          <w:sz w:val="24"/>
          <w:szCs w:val="24"/>
        </w:rPr>
        <w:tab/>
        <w:t>It was also argued by counsel for Centlec, Mr Sibeko that t</w:t>
      </w:r>
      <w:r w:rsidR="00F5633A" w:rsidRPr="006E6FB9">
        <w:rPr>
          <w:rFonts w:ascii="Arial" w:hAnsi="Arial" w:cs="Arial"/>
          <w:sz w:val="24"/>
          <w:szCs w:val="24"/>
        </w:rPr>
        <w:t xml:space="preserve">he papers were in fact served in terms of </w:t>
      </w:r>
      <w:r w:rsidRPr="006E6FB9">
        <w:rPr>
          <w:rFonts w:ascii="Arial" w:hAnsi="Arial" w:cs="Arial"/>
          <w:sz w:val="24"/>
          <w:szCs w:val="24"/>
        </w:rPr>
        <w:t xml:space="preserve">the court </w:t>
      </w:r>
      <w:r w:rsidR="00F5633A" w:rsidRPr="006E6FB9">
        <w:rPr>
          <w:rFonts w:ascii="Arial" w:hAnsi="Arial" w:cs="Arial"/>
          <w:sz w:val="24"/>
          <w:szCs w:val="24"/>
        </w:rPr>
        <w:t xml:space="preserve">rules despite the urgency of the matter, </w:t>
      </w:r>
      <w:r w:rsidRPr="006E6FB9">
        <w:rPr>
          <w:rFonts w:ascii="Arial" w:hAnsi="Arial" w:cs="Arial"/>
          <w:sz w:val="24"/>
          <w:szCs w:val="24"/>
        </w:rPr>
        <w:t xml:space="preserve">the respondent </w:t>
      </w:r>
      <w:r w:rsidR="00F5633A" w:rsidRPr="006E6FB9">
        <w:rPr>
          <w:rFonts w:ascii="Arial" w:hAnsi="Arial" w:cs="Arial"/>
          <w:sz w:val="24"/>
          <w:szCs w:val="24"/>
        </w:rPr>
        <w:t xml:space="preserve">was provided with at least five days </w:t>
      </w:r>
      <w:r w:rsidR="00DB0C34" w:rsidRPr="006E6FB9">
        <w:rPr>
          <w:rFonts w:ascii="Arial" w:hAnsi="Arial" w:cs="Arial"/>
          <w:sz w:val="24"/>
          <w:szCs w:val="24"/>
        </w:rPr>
        <w:t xml:space="preserve">to oppose the application. Centlec would be prejudiced if the order is not granted as the CFO’s responsibilities involve the overall management of finances and other resources of Centlec’s business, the respondent’s </w:t>
      </w:r>
      <w:r w:rsidR="00512FCF" w:rsidRPr="006E6FB9">
        <w:rPr>
          <w:rFonts w:ascii="Arial" w:hAnsi="Arial" w:cs="Arial"/>
          <w:sz w:val="24"/>
          <w:szCs w:val="24"/>
        </w:rPr>
        <w:t xml:space="preserve">dishonest </w:t>
      </w:r>
      <w:r w:rsidR="00DB0C34" w:rsidRPr="006E6FB9">
        <w:rPr>
          <w:rFonts w:ascii="Arial" w:hAnsi="Arial" w:cs="Arial"/>
          <w:sz w:val="24"/>
          <w:szCs w:val="24"/>
        </w:rPr>
        <w:t xml:space="preserve">conduct </w:t>
      </w:r>
      <w:r w:rsidR="00512FCF" w:rsidRPr="006E6FB9">
        <w:rPr>
          <w:rFonts w:ascii="Arial" w:hAnsi="Arial" w:cs="Arial"/>
          <w:sz w:val="24"/>
          <w:szCs w:val="24"/>
        </w:rPr>
        <w:t xml:space="preserve">places Centlec at </w:t>
      </w:r>
      <w:r w:rsidR="00512FCF" w:rsidRPr="006E6FB9">
        <w:rPr>
          <w:rFonts w:ascii="Arial" w:hAnsi="Arial" w:cs="Arial"/>
          <w:sz w:val="24"/>
          <w:szCs w:val="24"/>
        </w:rPr>
        <w:lastRenderedPageBreak/>
        <w:t>risk of not being able to comply with its obligations in terms of transparency and accountability. There is a</w:t>
      </w:r>
      <w:r w:rsidRPr="006E6FB9">
        <w:rPr>
          <w:rFonts w:ascii="Arial" w:hAnsi="Arial" w:cs="Arial"/>
          <w:sz w:val="24"/>
          <w:szCs w:val="24"/>
        </w:rPr>
        <w:t>lso a</w:t>
      </w:r>
      <w:r w:rsidR="00512FCF" w:rsidRPr="006E6FB9">
        <w:rPr>
          <w:rFonts w:ascii="Arial" w:hAnsi="Arial" w:cs="Arial"/>
          <w:sz w:val="24"/>
          <w:szCs w:val="24"/>
        </w:rPr>
        <w:t xml:space="preserve"> real risk that in passing herself off as </w:t>
      </w:r>
      <w:r w:rsidRPr="006E6FB9">
        <w:rPr>
          <w:rFonts w:ascii="Arial" w:hAnsi="Arial" w:cs="Arial"/>
          <w:sz w:val="24"/>
          <w:szCs w:val="24"/>
        </w:rPr>
        <w:t xml:space="preserve">the current CFO, Centlec’s </w:t>
      </w:r>
      <w:r w:rsidR="00512FCF" w:rsidRPr="006E6FB9">
        <w:rPr>
          <w:rFonts w:ascii="Arial" w:hAnsi="Arial" w:cs="Arial"/>
          <w:sz w:val="24"/>
          <w:szCs w:val="24"/>
        </w:rPr>
        <w:t>staff members of about 703 in total and third parties will interact with the respondent on the mistaken belief that she is an employee of the Centlec to the prejudice of Centlec’s assets, finances and effective management.</w:t>
      </w:r>
    </w:p>
    <w:p w:rsidR="00DB0C34" w:rsidRPr="006E6FB9" w:rsidRDefault="00DB0C34" w:rsidP="00DA79AD">
      <w:pPr>
        <w:spacing w:after="0" w:line="360" w:lineRule="auto"/>
        <w:ind w:left="709" w:hanging="851"/>
        <w:jc w:val="both"/>
        <w:rPr>
          <w:rFonts w:ascii="Arial" w:hAnsi="Arial" w:cs="Arial"/>
          <w:sz w:val="24"/>
          <w:szCs w:val="24"/>
        </w:rPr>
      </w:pPr>
    </w:p>
    <w:p w:rsidR="00AF73E1" w:rsidRPr="006E6FB9" w:rsidRDefault="007F6900" w:rsidP="00F547F8">
      <w:pPr>
        <w:spacing w:after="0" w:line="360" w:lineRule="auto"/>
        <w:ind w:left="709" w:hanging="851"/>
        <w:jc w:val="both"/>
        <w:rPr>
          <w:rFonts w:ascii="Arial" w:hAnsi="Arial" w:cs="Arial"/>
          <w:sz w:val="24"/>
          <w:szCs w:val="24"/>
        </w:rPr>
      </w:pPr>
      <w:r w:rsidRPr="006E6FB9">
        <w:rPr>
          <w:rFonts w:ascii="Arial" w:hAnsi="Arial" w:cs="Arial"/>
          <w:sz w:val="24"/>
          <w:szCs w:val="24"/>
        </w:rPr>
        <w:t>[11</w:t>
      </w:r>
      <w:r w:rsidR="00303FC3" w:rsidRPr="006E6FB9">
        <w:rPr>
          <w:rFonts w:ascii="Arial" w:hAnsi="Arial" w:cs="Arial"/>
          <w:sz w:val="24"/>
          <w:szCs w:val="24"/>
        </w:rPr>
        <w:t>]</w:t>
      </w:r>
      <w:r w:rsidR="00303FC3" w:rsidRPr="006E6FB9">
        <w:rPr>
          <w:rFonts w:ascii="Arial" w:hAnsi="Arial" w:cs="Arial"/>
          <w:sz w:val="24"/>
          <w:szCs w:val="24"/>
        </w:rPr>
        <w:tab/>
        <w:t xml:space="preserve">Having considered the papers filed herewith and the submissions made by the respective parties, I was </w:t>
      </w:r>
      <w:r w:rsidR="0095408C" w:rsidRPr="006E6FB9">
        <w:rPr>
          <w:rFonts w:ascii="Arial" w:hAnsi="Arial" w:cs="Arial"/>
          <w:sz w:val="24"/>
          <w:szCs w:val="24"/>
        </w:rPr>
        <w:t xml:space="preserve">not persuaded that the respondent had made out a case entitling her to a postponement but that the matter was </w:t>
      </w:r>
      <w:r w:rsidR="00AF73E1" w:rsidRPr="006E6FB9">
        <w:rPr>
          <w:rFonts w:ascii="Arial" w:hAnsi="Arial" w:cs="Arial"/>
          <w:sz w:val="24"/>
          <w:szCs w:val="24"/>
        </w:rPr>
        <w:t xml:space="preserve">indeed </w:t>
      </w:r>
      <w:r w:rsidR="0095408C" w:rsidRPr="006E6FB9">
        <w:rPr>
          <w:rFonts w:ascii="Arial" w:hAnsi="Arial" w:cs="Arial"/>
          <w:sz w:val="24"/>
          <w:szCs w:val="24"/>
        </w:rPr>
        <w:t>urgent and Centlec c</w:t>
      </w:r>
      <w:r w:rsidR="00AF73E1" w:rsidRPr="006E6FB9">
        <w:rPr>
          <w:rFonts w:ascii="Arial" w:hAnsi="Arial" w:cs="Arial"/>
          <w:sz w:val="24"/>
          <w:szCs w:val="24"/>
        </w:rPr>
        <w:t>ould n</w:t>
      </w:r>
      <w:r w:rsidR="0095408C" w:rsidRPr="006E6FB9">
        <w:rPr>
          <w:rFonts w:ascii="Arial" w:hAnsi="Arial" w:cs="Arial"/>
          <w:sz w:val="24"/>
          <w:szCs w:val="24"/>
        </w:rPr>
        <w:t xml:space="preserve">ot be afforded substantial redress if it had to follow the normal course laid down by the rules of court. I accordingly granted </w:t>
      </w:r>
      <w:r w:rsidR="00303FC3" w:rsidRPr="006E6FB9">
        <w:rPr>
          <w:rFonts w:ascii="Arial" w:hAnsi="Arial" w:cs="Arial"/>
          <w:sz w:val="24"/>
          <w:szCs w:val="24"/>
        </w:rPr>
        <w:t xml:space="preserve">a </w:t>
      </w:r>
      <w:r w:rsidR="00303FC3" w:rsidRPr="006E6FB9">
        <w:rPr>
          <w:rFonts w:ascii="Arial" w:hAnsi="Arial" w:cs="Arial"/>
          <w:i/>
          <w:sz w:val="24"/>
          <w:szCs w:val="24"/>
        </w:rPr>
        <w:t>rule nisi</w:t>
      </w:r>
      <w:r w:rsidR="00303FC3" w:rsidRPr="006E6FB9">
        <w:rPr>
          <w:rFonts w:ascii="Arial" w:hAnsi="Arial" w:cs="Arial"/>
          <w:sz w:val="24"/>
          <w:szCs w:val="24"/>
        </w:rPr>
        <w:t xml:space="preserve"> </w:t>
      </w:r>
      <w:r w:rsidR="0095408C" w:rsidRPr="006E6FB9">
        <w:rPr>
          <w:rFonts w:ascii="Arial" w:hAnsi="Arial" w:cs="Arial"/>
          <w:sz w:val="24"/>
          <w:szCs w:val="24"/>
        </w:rPr>
        <w:t xml:space="preserve">returnable on 25 March 2022. </w:t>
      </w:r>
    </w:p>
    <w:p w:rsidR="00AF73E1" w:rsidRPr="006E6FB9" w:rsidRDefault="00AF73E1" w:rsidP="00F547F8">
      <w:pPr>
        <w:spacing w:after="0" w:line="360" w:lineRule="auto"/>
        <w:ind w:left="709" w:hanging="851"/>
        <w:jc w:val="both"/>
        <w:rPr>
          <w:rFonts w:ascii="Arial" w:hAnsi="Arial" w:cs="Arial"/>
          <w:sz w:val="24"/>
          <w:szCs w:val="24"/>
        </w:rPr>
      </w:pPr>
    </w:p>
    <w:p w:rsidR="00AF73E1" w:rsidRPr="006E6FB9" w:rsidRDefault="007F6900" w:rsidP="00F547F8">
      <w:pPr>
        <w:spacing w:after="0" w:line="360" w:lineRule="auto"/>
        <w:ind w:left="709" w:hanging="851"/>
        <w:jc w:val="both"/>
        <w:rPr>
          <w:rFonts w:ascii="Arial" w:hAnsi="Arial" w:cs="Arial"/>
          <w:sz w:val="24"/>
          <w:szCs w:val="24"/>
        </w:rPr>
      </w:pPr>
      <w:r w:rsidRPr="006E6FB9">
        <w:rPr>
          <w:rFonts w:ascii="Arial" w:hAnsi="Arial" w:cs="Arial"/>
          <w:sz w:val="24"/>
          <w:szCs w:val="24"/>
        </w:rPr>
        <w:t>[12</w:t>
      </w:r>
      <w:r w:rsidR="00AF73E1" w:rsidRPr="006E6FB9">
        <w:rPr>
          <w:rFonts w:ascii="Arial" w:hAnsi="Arial" w:cs="Arial"/>
          <w:sz w:val="24"/>
          <w:szCs w:val="24"/>
        </w:rPr>
        <w:t>]</w:t>
      </w:r>
      <w:r w:rsidR="00AF73E1" w:rsidRPr="006E6FB9">
        <w:rPr>
          <w:rFonts w:ascii="Arial" w:hAnsi="Arial" w:cs="Arial"/>
          <w:sz w:val="24"/>
          <w:szCs w:val="24"/>
        </w:rPr>
        <w:tab/>
      </w:r>
      <w:r w:rsidR="0095408C" w:rsidRPr="006E6FB9">
        <w:rPr>
          <w:rFonts w:ascii="Arial" w:hAnsi="Arial" w:cs="Arial"/>
          <w:sz w:val="24"/>
          <w:szCs w:val="24"/>
        </w:rPr>
        <w:t xml:space="preserve">On the return date the </w:t>
      </w:r>
      <w:r w:rsidR="0095408C" w:rsidRPr="006E6FB9">
        <w:rPr>
          <w:rFonts w:ascii="Arial" w:hAnsi="Arial" w:cs="Arial"/>
          <w:i/>
          <w:sz w:val="24"/>
          <w:szCs w:val="24"/>
        </w:rPr>
        <w:t>rule nisi</w:t>
      </w:r>
      <w:r w:rsidR="00AF73E1" w:rsidRPr="006E6FB9">
        <w:rPr>
          <w:rFonts w:ascii="Arial" w:hAnsi="Arial" w:cs="Arial"/>
          <w:sz w:val="24"/>
          <w:szCs w:val="24"/>
        </w:rPr>
        <w:t xml:space="preserve"> was confirmed by </w:t>
      </w:r>
      <w:r w:rsidR="00A44A5C" w:rsidRPr="006E6FB9">
        <w:rPr>
          <w:rFonts w:ascii="Arial" w:hAnsi="Arial" w:cs="Arial"/>
          <w:sz w:val="24"/>
          <w:szCs w:val="24"/>
        </w:rPr>
        <w:t>Reinders ADJP</w:t>
      </w:r>
      <w:r w:rsidR="00AF73E1" w:rsidRPr="006E6FB9">
        <w:rPr>
          <w:rFonts w:ascii="Arial" w:hAnsi="Arial" w:cs="Arial"/>
          <w:sz w:val="24"/>
          <w:szCs w:val="24"/>
        </w:rPr>
        <w:t xml:space="preserve"> on the following terms:</w:t>
      </w:r>
    </w:p>
    <w:p w:rsidR="00AF73E1" w:rsidRPr="006E6FB9" w:rsidRDefault="00AF73E1" w:rsidP="00F547F8">
      <w:pPr>
        <w:spacing w:after="0" w:line="360" w:lineRule="auto"/>
        <w:ind w:left="709" w:hanging="851"/>
        <w:jc w:val="both"/>
        <w:rPr>
          <w:rFonts w:ascii="Arial" w:hAnsi="Arial" w:cs="Arial"/>
          <w:sz w:val="24"/>
          <w:szCs w:val="24"/>
        </w:rPr>
      </w:pPr>
    </w:p>
    <w:p w:rsidR="00AF73E1" w:rsidRPr="006E6FB9" w:rsidRDefault="00AF73E1" w:rsidP="00AF73E1">
      <w:pPr>
        <w:spacing w:after="0" w:line="360" w:lineRule="auto"/>
        <w:ind w:left="2160" w:hanging="720"/>
        <w:jc w:val="both"/>
        <w:rPr>
          <w:rFonts w:ascii="Arial" w:hAnsi="Arial" w:cs="Arial"/>
          <w:i/>
          <w:sz w:val="20"/>
          <w:szCs w:val="20"/>
        </w:rPr>
      </w:pPr>
      <w:r w:rsidRPr="006E6FB9">
        <w:rPr>
          <w:rFonts w:ascii="Arial" w:hAnsi="Arial" w:cs="Arial"/>
          <w:i/>
          <w:sz w:val="20"/>
          <w:szCs w:val="20"/>
        </w:rPr>
        <w:t>“1.</w:t>
      </w:r>
      <w:r w:rsidRPr="006E6FB9">
        <w:rPr>
          <w:rFonts w:ascii="Arial" w:hAnsi="Arial" w:cs="Arial"/>
          <w:i/>
          <w:sz w:val="20"/>
          <w:szCs w:val="20"/>
        </w:rPr>
        <w:tab/>
        <w:t>The respondent’s application for a postponement is hereby dismissed.</w:t>
      </w:r>
    </w:p>
    <w:p w:rsidR="00AF73E1" w:rsidRPr="006E6FB9" w:rsidRDefault="00AF73E1" w:rsidP="00AF73E1">
      <w:pPr>
        <w:spacing w:after="0" w:line="360" w:lineRule="auto"/>
        <w:ind w:left="2160" w:hanging="720"/>
        <w:jc w:val="both"/>
        <w:rPr>
          <w:rFonts w:ascii="Arial" w:hAnsi="Arial" w:cs="Arial"/>
          <w:i/>
          <w:sz w:val="20"/>
          <w:szCs w:val="20"/>
        </w:rPr>
      </w:pPr>
    </w:p>
    <w:p w:rsidR="00AF73E1" w:rsidRPr="006E6FB9" w:rsidRDefault="00AF73E1" w:rsidP="00AF73E1">
      <w:pPr>
        <w:spacing w:after="0" w:line="360" w:lineRule="auto"/>
        <w:ind w:left="2160" w:hanging="720"/>
        <w:jc w:val="both"/>
        <w:rPr>
          <w:rFonts w:ascii="Arial" w:hAnsi="Arial" w:cs="Arial"/>
          <w:i/>
          <w:sz w:val="20"/>
          <w:szCs w:val="20"/>
        </w:rPr>
      </w:pPr>
      <w:r w:rsidRPr="006E6FB9">
        <w:rPr>
          <w:rFonts w:ascii="Arial" w:hAnsi="Arial" w:cs="Arial"/>
          <w:i/>
          <w:sz w:val="20"/>
          <w:szCs w:val="20"/>
        </w:rPr>
        <w:t>2.</w:t>
      </w:r>
      <w:r w:rsidRPr="006E6FB9">
        <w:rPr>
          <w:rFonts w:ascii="Arial" w:hAnsi="Arial" w:cs="Arial"/>
          <w:i/>
          <w:sz w:val="20"/>
          <w:szCs w:val="20"/>
        </w:rPr>
        <w:tab/>
        <w:t>The rule nisi granted on 5 (sic) February 2022 is hereby confirmed.</w:t>
      </w:r>
    </w:p>
    <w:p w:rsidR="00AF73E1" w:rsidRPr="006E6FB9" w:rsidRDefault="00AF73E1" w:rsidP="00AF73E1">
      <w:pPr>
        <w:spacing w:after="0" w:line="360" w:lineRule="auto"/>
        <w:ind w:left="720" w:firstLine="720"/>
        <w:jc w:val="both"/>
        <w:rPr>
          <w:rFonts w:ascii="Arial" w:hAnsi="Arial" w:cs="Arial"/>
          <w:i/>
          <w:sz w:val="20"/>
          <w:szCs w:val="20"/>
        </w:rPr>
      </w:pPr>
    </w:p>
    <w:p w:rsidR="00AF73E1" w:rsidRPr="006E6FB9" w:rsidRDefault="00AF73E1" w:rsidP="00AF73E1">
      <w:pPr>
        <w:spacing w:after="0" w:line="360" w:lineRule="auto"/>
        <w:ind w:left="2160" w:hanging="720"/>
        <w:jc w:val="both"/>
        <w:rPr>
          <w:rFonts w:ascii="Arial" w:hAnsi="Arial" w:cs="Arial"/>
          <w:i/>
          <w:sz w:val="20"/>
          <w:szCs w:val="20"/>
        </w:rPr>
      </w:pPr>
      <w:r w:rsidRPr="006E6FB9">
        <w:rPr>
          <w:rFonts w:ascii="Arial" w:hAnsi="Arial" w:cs="Arial"/>
          <w:i/>
          <w:sz w:val="20"/>
          <w:szCs w:val="20"/>
        </w:rPr>
        <w:t>3.</w:t>
      </w:r>
      <w:r w:rsidRPr="006E6FB9">
        <w:rPr>
          <w:rFonts w:ascii="Arial" w:hAnsi="Arial" w:cs="Arial"/>
          <w:i/>
          <w:sz w:val="20"/>
          <w:szCs w:val="20"/>
        </w:rPr>
        <w:tab/>
        <w:t>The respondent is hereby directed to deliver her notice of intention to oppose Part B of the application no later than 1 April 2022 and to file her answering papers by no later than 28 April 2022.</w:t>
      </w:r>
    </w:p>
    <w:p w:rsidR="00AF73E1" w:rsidRPr="006E6FB9" w:rsidRDefault="00AF73E1" w:rsidP="00AF73E1">
      <w:pPr>
        <w:spacing w:after="0" w:line="360" w:lineRule="auto"/>
        <w:ind w:left="720" w:firstLine="720"/>
        <w:jc w:val="both"/>
        <w:rPr>
          <w:rFonts w:ascii="Arial" w:hAnsi="Arial" w:cs="Arial"/>
          <w:i/>
          <w:sz w:val="20"/>
          <w:szCs w:val="20"/>
        </w:rPr>
      </w:pPr>
    </w:p>
    <w:p w:rsidR="00AF73E1" w:rsidRPr="006E6FB9" w:rsidRDefault="00AF73E1" w:rsidP="00AF73E1">
      <w:pPr>
        <w:spacing w:after="0" w:line="360" w:lineRule="auto"/>
        <w:ind w:left="2160" w:hanging="720"/>
        <w:jc w:val="both"/>
        <w:rPr>
          <w:rFonts w:ascii="Arial" w:hAnsi="Arial" w:cs="Arial"/>
          <w:i/>
          <w:sz w:val="20"/>
          <w:szCs w:val="20"/>
        </w:rPr>
      </w:pPr>
      <w:r w:rsidRPr="006E6FB9">
        <w:rPr>
          <w:rFonts w:ascii="Arial" w:hAnsi="Arial" w:cs="Arial"/>
          <w:i/>
          <w:sz w:val="20"/>
          <w:szCs w:val="20"/>
        </w:rPr>
        <w:t>4.</w:t>
      </w:r>
      <w:r w:rsidRPr="006E6FB9">
        <w:rPr>
          <w:rFonts w:ascii="Arial" w:hAnsi="Arial" w:cs="Arial"/>
          <w:i/>
          <w:sz w:val="20"/>
          <w:szCs w:val="20"/>
        </w:rPr>
        <w:tab/>
        <w:t>The applicant to file its replying affidavit (if any) by no later than 12 May 2022.</w:t>
      </w:r>
    </w:p>
    <w:p w:rsidR="00AF73E1" w:rsidRPr="006E6FB9" w:rsidRDefault="00AF73E1" w:rsidP="00AF73E1">
      <w:pPr>
        <w:spacing w:after="0" w:line="360" w:lineRule="auto"/>
        <w:ind w:left="720" w:firstLine="720"/>
        <w:jc w:val="both"/>
        <w:rPr>
          <w:rFonts w:ascii="Arial" w:hAnsi="Arial" w:cs="Arial"/>
          <w:i/>
          <w:sz w:val="20"/>
          <w:szCs w:val="20"/>
        </w:rPr>
      </w:pPr>
    </w:p>
    <w:p w:rsidR="0095408C" w:rsidRPr="006E6FB9" w:rsidRDefault="00AF73E1" w:rsidP="00AF73E1">
      <w:pPr>
        <w:spacing w:after="0" w:line="360" w:lineRule="auto"/>
        <w:ind w:left="2160" w:hanging="720"/>
        <w:jc w:val="both"/>
        <w:rPr>
          <w:rFonts w:ascii="Arial" w:hAnsi="Arial" w:cs="Arial"/>
          <w:i/>
          <w:sz w:val="20"/>
          <w:szCs w:val="20"/>
        </w:rPr>
      </w:pPr>
      <w:r w:rsidRPr="006E6FB9">
        <w:rPr>
          <w:rFonts w:ascii="Arial" w:hAnsi="Arial" w:cs="Arial"/>
          <w:i/>
          <w:sz w:val="20"/>
          <w:szCs w:val="20"/>
        </w:rPr>
        <w:t>5.</w:t>
      </w:r>
      <w:r w:rsidRPr="006E6FB9">
        <w:rPr>
          <w:rFonts w:ascii="Arial" w:hAnsi="Arial" w:cs="Arial"/>
          <w:i/>
          <w:sz w:val="20"/>
          <w:szCs w:val="20"/>
        </w:rPr>
        <w:tab/>
        <w:t>The parties shall deliver their respective heads of argument in terms of the directives of this division.</w:t>
      </w:r>
    </w:p>
    <w:p w:rsidR="00AF73E1" w:rsidRPr="006E6FB9" w:rsidRDefault="00AF73E1" w:rsidP="00AF73E1">
      <w:pPr>
        <w:spacing w:after="0" w:line="360" w:lineRule="auto"/>
        <w:ind w:left="720" w:firstLine="720"/>
        <w:jc w:val="both"/>
        <w:rPr>
          <w:rFonts w:ascii="Arial" w:hAnsi="Arial" w:cs="Arial"/>
          <w:i/>
          <w:sz w:val="20"/>
          <w:szCs w:val="20"/>
        </w:rPr>
      </w:pPr>
    </w:p>
    <w:p w:rsidR="00AF73E1" w:rsidRPr="006E6FB9" w:rsidRDefault="00AF73E1" w:rsidP="00AF73E1">
      <w:pPr>
        <w:spacing w:after="0" w:line="360" w:lineRule="auto"/>
        <w:ind w:left="720" w:firstLine="720"/>
        <w:jc w:val="both"/>
        <w:rPr>
          <w:rFonts w:ascii="Arial" w:hAnsi="Arial" w:cs="Arial"/>
          <w:i/>
          <w:sz w:val="20"/>
          <w:szCs w:val="20"/>
        </w:rPr>
      </w:pPr>
      <w:r w:rsidRPr="006E6FB9">
        <w:rPr>
          <w:rFonts w:ascii="Arial" w:hAnsi="Arial" w:cs="Arial"/>
          <w:i/>
          <w:sz w:val="20"/>
          <w:szCs w:val="20"/>
        </w:rPr>
        <w:t>6.</w:t>
      </w:r>
      <w:r w:rsidRPr="006E6FB9">
        <w:rPr>
          <w:rFonts w:ascii="Arial" w:hAnsi="Arial" w:cs="Arial"/>
          <w:i/>
          <w:sz w:val="20"/>
          <w:szCs w:val="20"/>
        </w:rPr>
        <w:tab/>
        <w:t>The matter shall be set down for hearing on 2 June 2022.”</w:t>
      </w:r>
    </w:p>
    <w:p w:rsidR="0095408C" w:rsidRPr="006E6FB9" w:rsidRDefault="0095408C" w:rsidP="00DA79AD">
      <w:pPr>
        <w:spacing w:after="0" w:line="360" w:lineRule="auto"/>
        <w:ind w:left="709" w:hanging="851"/>
        <w:jc w:val="both"/>
        <w:rPr>
          <w:rFonts w:ascii="Arial" w:hAnsi="Arial" w:cs="Arial"/>
          <w:sz w:val="24"/>
          <w:szCs w:val="24"/>
        </w:rPr>
      </w:pPr>
    </w:p>
    <w:p w:rsidR="00672EBF" w:rsidRPr="006E6FB9" w:rsidRDefault="007F6900" w:rsidP="00AF73E1">
      <w:pPr>
        <w:spacing w:after="0" w:line="360" w:lineRule="auto"/>
        <w:ind w:left="709" w:hanging="851"/>
        <w:jc w:val="both"/>
        <w:rPr>
          <w:rFonts w:ascii="Arial" w:hAnsi="Arial" w:cs="Arial"/>
          <w:sz w:val="24"/>
          <w:szCs w:val="24"/>
        </w:rPr>
      </w:pPr>
      <w:r w:rsidRPr="006E6FB9">
        <w:rPr>
          <w:rFonts w:ascii="Arial" w:hAnsi="Arial" w:cs="Arial"/>
          <w:sz w:val="24"/>
          <w:szCs w:val="24"/>
        </w:rPr>
        <w:t>[13</w:t>
      </w:r>
      <w:r w:rsidR="00F547F8" w:rsidRPr="006E6FB9">
        <w:rPr>
          <w:rFonts w:ascii="Arial" w:hAnsi="Arial" w:cs="Arial"/>
          <w:sz w:val="24"/>
          <w:szCs w:val="24"/>
        </w:rPr>
        <w:t>]</w:t>
      </w:r>
      <w:r w:rsidR="00F547F8" w:rsidRPr="006E6FB9">
        <w:rPr>
          <w:rFonts w:ascii="Arial" w:hAnsi="Arial" w:cs="Arial"/>
          <w:sz w:val="24"/>
          <w:szCs w:val="24"/>
        </w:rPr>
        <w:tab/>
      </w:r>
      <w:r w:rsidR="00440808" w:rsidRPr="006E6FB9">
        <w:rPr>
          <w:rFonts w:ascii="Arial" w:hAnsi="Arial" w:cs="Arial"/>
          <w:sz w:val="24"/>
          <w:szCs w:val="24"/>
        </w:rPr>
        <w:t xml:space="preserve">The respondent’s answering </w:t>
      </w:r>
      <w:r w:rsidR="002C202F" w:rsidRPr="006E6FB9">
        <w:rPr>
          <w:rFonts w:ascii="Arial" w:hAnsi="Arial" w:cs="Arial"/>
          <w:sz w:val="24"/>
          <w:szCs w:val="24"/>
        </w:rPr>
        <w:t>affidavit</w:t>
      </w:r>
      <w:r w:rsidR="000B0B36" w:rsidRPr="006E6FB9">
        <w:rPr>
          <w:rFonts w:ascii="Arial" w:hAnsi="Arial" w:cs="Arial"/>
          <w:sz w:val="24"/>
          <w:szCs w:val="24"/>
        </w:rPr>
        <w:t xml:space="preserve">, in addition to the merits </w:t>
      </w:r>
      <w:r w:rsidR="002C202F" w:rsidRPr="006E6FB9">
        <w:rPr>
          <w:rFonts w:ascii="Arial" w:hAnsi="Arial" w:cs="Arial"/>
          <w:sz w:val="24"/>
          <w:szCs w:val="24"/>
        </w:rPr>
        <w:t xml:space="preserve">raises points </w:t>
      </w:r>
      <w:r w:rsidR="002C202F" w:rsidRPr="006E6FB9">
        <w:rPr>
          <w:rFonts w:ascii="Arial" w:hAnsi="Arial" w:cs="Arial"/>
          <w:i/>
          <w:sz w:val="24"/>
          <w:szCs w:val="24"/>
        </w:rPr>
        <w:t xml:space="preserve">in limine </w:t>
      </w:r>
      <w:r w:rsidR="00440808" w:rsidRPr="006E6FB9">
        <w:rPr>
          <w:rFonts w:ascii="Arial" w:hAnsi="Arial" w:cs="Arial"/>
          <w:sz w:val="24"/>
          <w:szCs w:val="24"/>
        </w:rPr>
        <w:t xml:space="preserve">disputing </w:t>
      </w:r>
      <w:r w:rsidR="00F43A8B" w:rsidRPr="006E6FB9">
        <w:rPr>
          <w:rFonts w:ascii="Arial" w:hAnsi="Arial" w:cs="Arial"/>
          <w:sz w:val="24"/>
          <w:szCs w:val="24"/>
        </w:rPr>
        <w:t xml:space="preserve">the authority of the deponent of Centlec’s founding affidavit </w:t>
      </w:r>
      <w:r w:rsidR="00440808" w:rsidRPr="006E6FB9">
        <w:rPr>
          <w:rFonts w:ascii="Arial" w:hAnsi="Arial" w:cs="Arial"/>
          <w:sz w:val="24"/>
          <w:szCs w:val="24"/>
        </w:rPr>
        <w:t xml:space="preserve">to act on behalf of Centlec. The objection is premised on the </w:t>
      </w:r>
      <w:r w:rsidR="00F43A8B" w:rsidRPr="006E6FB9">
        <w:rPr>
          <w:rFonts w:ascii="Arial" w:hAnsi="Arial" w:cs="Arial"/>
          <w:sz w:val="24"/>
          <w:szCs w:val="24"/>
        </w:rPr>
        <w:t>grounds that Centlec is a company but no resolution has been attached to its</w:t>
      </w:r>
      <w:r w:rsidR="000123BA" w:rsidRPr="006E6FB9">
        <w:rPr>
          <w:rFonts w:ascii="Arial" w:hAnsi="Arial" w:cs="Arial"/>
          <w:sz w:val="24"/>
          <w:szCs w:val="24"/>
        </w:rPr>
        <w:t xml:space="preserve"> founding </w:t>
      </w:r>
      <w:r w:rsidR="00F43A8B" w:rsidRPr="006E6FB9">
        <w:rPr>
          <w:rFonts w:ascii="Arial" w:hAnsi="Arial" w:cs="Arial"/>
          <w:sz w:val="24"/>
          <w:szCs w:val="24"/>
        </w:rPr>
        <w:t xml:space="preserve">affidavit as </w:t>
      </w:r>
      <w:r w:rsidR="00F43A8B" w:rsidRPr="006E6FB9">
        <w:rPr>
          <w:rFonts w:ascii="Arial" w:hAnsi="Arial" w:cs="Arial"/>
          <w:sz w:val="24"/>
          <w:szCs w:val="24"/>
        </w:rPr>
        <w:lastRenderedPageBreak/>
        <w:t xml:space="preserve">proof </w:t>
      </w:r>
      <w:r w:rsidR="000123BA" w:rsidRPr="006E6FB9">
        <w:rPr>
          <w:rFonts w:ascii="Arial" w:hAnsi="Arial" w:cs="Arial"/>
          <w:sz w:val="24"/>
          <w:szCs w:val="24"/>
        </w:rPr>
        <w:t xml:space="preserve">that </w:t>
      </w:r>
      <w:r w:rsidR="00440808" w:rsidRPr="006E6FB9">
        <w:rPr>
          <w:rFonts w:ascii="Arial" w:hAnsi="Arial" w:cs="Arial"/>
          <w:sz w:val="24"/>
          <w:szCs w:val="24"/>
        </w:rPr>
        <w:t xml:space="preserve">its deponent has the necessary authority to act on its behalf. </w:t>
      </w:r>
      <w:r w:rsidR="00F43A8B" w:rsidRPr="006E6FB9">
        <w:rPr>
          <w:rFonts w:ascii="Arial" w:hAnsi="Arial" w:cs="Arial"/>
          <w:sz w:val="24"/>
          <w:szCs w:val="24"/>
        </w:rPr>
        <w:t xml:space="preserve">The respondent also disputes </w:t>
      </w:r>
      <w:r w:rsidR="000123BA" w:rsidRPr="006E6FB9">
        <w:rPr>
          <w:rFonts w:ascii="Arial" w:hAnsi="Arial" w:cs="Arial"/>
          <w:sz w:val="24"/>
          <w:szCs w:val="24"/>
        </w:rPr>
        <w:t xml:space="preserve">the </w:t>
      </w:r>
      <w:r w:rsidR="00F43A8B" w:rsidRPr="006E6FB9">
        <w:rPr>
          <w:rFonts w:ascii="Arial" w:hAnsi="Arial" w:cs="Arial"/>
          <w:sz w:val="24"/>
          <w:szCs w:val="24"/>
        </w:rPr>
        <w:t>jurisdiction of this court to entertain this matter</w:t>
      </w:r>
      <w:r w:rsidR="00440808" w:rsidRPr="006E6FB9">
        <w:rPr>
          <w:rFonts w:ascii="Arial" w:hAnsi="Arial" w:cs="Arial"/>
          <w:sz w:val="24"/>
          <w:szCs w:val="24"/>
        </w:rPr>
        <w:t xml:space="preserve">. It is her contention that </w:t>
      </w:r>
      <w:r w:rsidR="00F43A8B" w:rsidRPr="006E6FB9">
        <w:rPr>
          <w:rFonts w:ascii="Arial" w:hAnsi="Arial" w:cs="Arial"/>
          <w:sz w:val="24"/>
          <w:szCs w:val="24"/>
        </w:rPr>
        <w:t xml:space="preserve">this matter involves a labour dispute which can only be adjudicated by a labour court. </w:t>
      </w:r>
    </w:p>
    <w:p w:rsidR="00672EBF" w:rsidRPr="006E6FB9" w:rsidRDefault="00672EBF" w:rsidP="00672EBF">
      <w:pPr>
        <w:spacing w:after="0" w:line="360" w:lineRule="auto"/>
        <w:ind w:left="709" w:hanging="851"/>
        <w:jc w:val="both"/>
        <w:rPr>
          <w:rFonts w:ascii="Arial" w:hAnsi="Arial" w:cs="Arial"/>
          <w:sz w:val="24"/>
          <w:szCs w:val="24"/>
        </w:rPr>
      </w:pPr>
    </w:p>
    <w:p w:rsidR="00BB3A6F" w:rsidRPr="006E6FB9" w:rsidRDefault="00F91B88" w:rsidP="00672EBF">
      <w:pPr>
        <w:spacing w:after="0" w:line="360" w:lineRule="auto"/>
        <w:ind w:left="709" w:hanging="851"/>
        <w:jc w:val="both"/>
        <w:rPr>
          <w:rFonts w:ascii="Arial" w:hAnsi="Arial" w:cs="Arial"/>
          <w:sz w:val="24"/>
          <w:szCs w:val="24"/>
        </w:rPr>
      </w:pPr>
      <w:r w:rsidRPr="006E6FB9">
        <w:rPr>
          <w:rFonts w:ascii="Arial" w:hAnsi="Arial" w:cs="Arial"/>
          <w:sz w:val="24"/>
          <w:szCs w:val="24"/>
        </w:rPr>
        <w:t>[</w:t>
      </w:r>
      <w:r w:rsidR="00F43A8B" w:rsidRPr="006E6FB9">
        <w:rPr>
          <w:rFonts w:ascii="Arial" w:hAnsi="Arial" w:cs="Arial"/>
          <w:sz w:val="24"/>
          <w:szCs w:val="24"/>
        </w:rPr>
        <w:t>1</w:t>
      </w:r>
      <w:r w:rsidR="007F6900" w:rsidRPr="006E6FB9">
        <w:rPr>
          <w:rFonts w:ascii="Arial" w:hAnsi="Arial" w:cs="Arial"/>
          <w:sz w:val="24"/>
          <w:szCs w:val="24"/>
        </w:rPr>
        <w:t>4</w:t>
      </w:r>
      <w:r w:rsidRPr="006E6FB9">
        <w:rPr>
          <w:rFonts w:ascii="Arial" w:hAnsi="Arial" w:cs="Arial"/>
          <w:sz w:val="24"/>
          <w:szCs w:val="24"/>
        </w:rPr>
        <w:t>]</w:t>
      </w:r>
      <w:r w:rsidRPr="006E6FB9">
        <w:rPr>
          <w:rFonts w:ascii="Arial" w:hAnsi="Arial" w:cs="Arial"/>
          <w:sz w:val="24"/>
          <w:szCs w:val="24"/>
        </w:rPr>
        <w:tab/>
      </w:r>
      <w:r w:rsidR="00C117DA" w:rsidRPr="006E6FB9">
        <w:rPr>
          <w:rFonts w:ascii="Arial" w:hAnsi="Arial" w:cs="Arial"/>
          <w:sz w:val="24"/>
          <w:szCs w:val="24"/>
          <w:lang w:val="en-GB"/>
        </w:rPr>
        <w:t xml:space="preserve">Before turning to the issues to be considered in this application, there is a condonation application that needs to be addressed. </w:t>
      </w:r>
      <w:r w:rsidRPr="006E6FB9">
        <w:rPr>
          <w:rFonts w:ascii="Arial" w:hAnsi="Arial" w:cs="Arial"/>
          <w:sz w:val="24"/>
          <w:szCs w:val="24"/>
        </w:rPr>
        <w:t xml:space="preserve">The respondent’s answering affidavit </w:t>
      </w:r>
      <w:r w:rsidR="00BB3A6F" w:rsidRPr="006E6FB9">
        <w:rPr>
          <w:rFonts w:ascii="Arial" w:hAnsi="Arial" w:cs="Arial"/>
          <w:sz w:val="24"/>
          <w:szCs w:val="24"/>
        </w:rPr>
        <w:t xml:space="preserve">and </w:t>
      </w:r>
      <w:r w:rsidR="005B2ACD" w:rsidRPr="006E6FB9">
        <w:rPr>
          <w:rFonts w:ascii="Arial" w:hAnsi="Arial" w:cs="Arial"/>
          <w:sz w:val="24"/>
          <w:szCs w:val="24"/>
        </w:rPr>
        <w:t xml:space="preserve">the </w:t>
      </w:r>
      <w:r w:rsidR="00BB3A6F" w:rsidRPr="006E6FB9">
        <w:rPr>
          <w:rFonts w:ascii="Arial" w:hAnsi="Arial" w:cs="Arial"/>
          <w:sz w:val="24"/>
          <w:szCs w:val="24"/>
        </w:rPr>
        <w:t>head of arguments were d</w:t>
      </w:r>
      <w:r w:rsidRPr="006E6FB9">
        <w:rPr>
          <w:rFonts w:ascii="Arial" w:hAnsi="Arial" w:cs="Arial"/>
          <w:sz w:val="24"/>
          <w:szCs w:val="24"/>
        </w:rPr>
        <w:t>elivered out of</w:t>
      </w:r>
      <w:r w:rsidR="00F43A8B" w:rsidRPr="006E6FB9">
        <w:rPr>
          <w:rFonts w:ascii="Arial" w:hAnsi="Arial" w:cs="Arial"/>
          <w:sz w:val="24"/>
          <w:szCs w:val="24"/>
        </w:rPr>
        <w:t xml:space="preserve"> the </w:t>
      </w:r>
      <w:r w:rsidRPr="006E6FB9">
        <w:rPr>
          <w:rFonts w:ascii="Arial" w:hAnsi="Arial" w:cs="Arial"/>
          <w:sz w:val="24"/>
          <w:szCs w:val="24"/>
        </w:rPr>
        <w:t>time</w:t>
      </w:r>
      <w:r w:rsidR="00F43A8B" w:rsidRPr="006E6FB9">
        <w:rPr>
          <w:rFonts w:ascii="Arial" w:hAnsi="Arial" w:cs="Arial"/>
          <w:sz w:val="24"/>
          <w:szCs w:val="24"/>
        </w:rPr>
        <w:t xml:space="preserve"> period prescribed in the order by Reinders ADJP</w:t>
      </w:r>
      <w:r w:rsidR="005B2ACD" w:rsidRPr="006E6FB9">
        <w:rPr>
          <w:rFonts w:ascii="Arial" w:hAnsi="Arial" w:cs="Arial"/>
          <w:sz w:val="24"/>
          <w:szCs w:val="24"/>
        </w:rPr>
        <w:t xml:space="preserve">. </w:t>
      </w:r>
      <w:r w:rsidR="005E6716" w:rsidRPr="006E6FB9">
        <w:rPr>
          <w:rFonts w:ascii="Arial" w:hAnsi="Arial" w:cs="Arial"/>
          <w:sz w:val="24"/>
          <w:szCs w:val="24"/>
        </w:rPr>
        <w:t>The answering affidavit was filed approximately 23 days out of time and the heads of argument were filed three days late</w:t>
      </w:r>
      <w:r w:rsidR="00BB3A6F" w:rsidRPr="006E6FB9">
        <w:rPr>
          <w:rFonts w:ascii="Arial" w:hAnsi="Arial" w:cs="Arial"/>
          <w:sz w:val="24"/>
          <w:szCs w:val="24"/>
        </w:rPr>
        <w:t>.</w:t>
      </w:r>
    </w:p>
    <w:p w:rsidR="00BB3A6F" w:rsidRPr="006E6FB9" w:rsidRDefault="00BB3A6F" w:rsidP="00E70D8C">
      <w:pPr>
        <w:spacing w:after="0" w:line="360" w:lineRule="auto"/>
        <w:ind w:left="709" w:hanging="709"/>
        <w:jc w:val="both"/>
        <w:rPr>
          <w:rFonts w:ascii="Arial" w:hAnsi="Arial" w:cs="Arial"/>
          <w:b/>
          <w:i/>
          <w:sz w:val="24"/>
          <w:szCs w:val="24"/>
        </w:rPr>
      </w:pPr>
    </w:p>
    <w:p w:rsidR="00A67659" w:rsidRPr="006E6FB9" w:rsidRDefault="00BB3A6F" w:rsidP="00672EBF">
      <w:pPr>
        <w:spacing w:line="360" w:lineRule="auto"/>
        <w:ind w:left="709" w:hanging="709"/>
        <w:jc w:val="both"/>
        <w:rPr>
          <w:rFonts w:ascii="Arial" w:hAnsi="Arial" w:cs="Arial"/>
          <w:sz w:val="24"/>
          <w:szCs w:val="24"/>
          <w:shd w:val="clear" w:color="auto" w:fill="FFFFFF"/>
        </w:rPr>
      </w:pPr>
      <w:r w:rsidRPr="006E6FB9">
        <w:rPr>
          <w:rFonts w:ascii="Arial" w:hAnsi="Arial" w:cs="Arial"/>
          <w:sz w:val="24"/>
          <w:szCs w:val="24"/>
        </w:rPr>
        <w:t>[</w:t>
      </w:r>
      <w:r w:rsidR="007F6900" w:rsidRPr="006E6FB9">
        <w:rPr>
          <w:rFonts w:ascii="Arial" w:hAnsi="Arial" w:cs="Arial"/>
          <w:sz w:val="24"/>
          <w:szCs w:val="24"/>
        </w:rPr>
        <w:t>15</w:t>
      </w:r>
      <w:r w:rsidRPr="006E6FB9">
        <w:rPr>
          <w:rFonts w:ascii="Arial" w:hAnsi="Arial" w:cs="Arial"/>
          <w:sz w:val="24"/>
          <w:szCs w:val="24"/>
        </w:rPr>
        <w:t>]</w:t>
      </w:r>
      <w:r w:rsidRPr="006E6FB9">
        <w:rPr>
          <w:rFonts w:ascii="Arial" w:hAnsi="Arial" w:cs="Arial"/>
          <w:sz w:val="24"/>
          <w:szCs w:val="24"/>
        </w:rPr>
        <w:tab/>
      </w:r>
      <w:r w:rsidRPr="006E6FB9">
        <w:rPr>
          <w:rFonts w:ascii="Arial" w:hAnsi="Arial" w:cs="Arial"/>
          <w:sz w:val="24"/>
          <w:szCs w:val="24"/>
          <w:shd w:val="clear" w:color="auto" w:fill="FFFFFF"/>
        </w:rPr>
        <w:t xml:space="preserve">It is the respondent’s case that </w:t>
      </w:r>
      <w:r w:rsidR="00F43A8B" w:rsidRPr="006E6FB9">
        <w:rPr>
          <w:rFonts w:ascii="Arial" w:hAnsi="Arial" w:cs="Arial"/>
          <w:sz w:val="24"/>
          <w:szCs w:val="24"/>
          <w:shd w:val="clear" w:color="auto" w:fill="FFFFFF"/>
        </w:rPr>
        <w:t xml:space="preserve">at </w:t>
      </w:r>
      <w:r w:rsidR="00A67659" w:rsidRPr="006E6FB9">
        <w:rPr>
          <w:rFonts w:ascii="Arial" w:hAnsi="Arial" w:cs="Arial"/>
          <w:sz w:val="24"/>
          <w:szCs w:val="24"/>
          <w:shd w:val="clear" w:color="auto" w:fill="FFFFFF"/>
        </w:rPr>
        <w:t>all material times hereto she was represented by attorneys as a result she was under the impression that they had filed the answering affidavit</w:t>
      </w:r>
      <w:r w:rsidR="007D4F6D" w:rsidRPr="006E6FB9">
        <w:rPr>
          <w:rFonts w:ascii="Arial" w:hAnsi="Arial" w:cs="Arial"/>
          <w:sz w:val="24"/>
          <w:szCs w:val="24"/>
          <w:shd w:val="clear" w:color="auto" w:fill="FFFFFF"/>
        </w:rPr>
        <w:t xml:space="preserve">, the heads of argument and the </w:t>
      </w:r>
      <w:r w:rsidR="007D4F6D" w:rsidRPr="006E6FB9">
        <w:rPr>
          <w:rFonts w:ascii="Arial" w:hAnsi="Arial" w:cs="Arial"/>
          <w:sz w:val="24"/>
          <w:szCs w:val="24"/>
        </w:rPr>
        <w:t>rule 7(1) notice</w:t>
      </w:r>
      <w:r w:rsidR="00A67659" w:rsidRPr="006E6FB9">
        <w:rPr>
          <w:rFonts w:ascii="Arial" w:hAnsi="Arial" w:cs="Arial"/>
          <w:sz w:val="24"/>
          <w:szCs w:val="24"/>
          <w:shd w:val="clear" w:color="auto" w:fill="FFFFFF"/>
        </w:rPr>
        <w:t xml:space="preserve"> </w:t>
      </w:r>
      <w:r w:rsidR="00557DFD" w:rsidRPr="006E6FB9">
        <w:rPr>
          <w:rFonts w:ascii="Arial" w:hAnsi="Arial" w:cs="Arial"/>
          <w:sz w:val="24"/>
          <w:szCs w:val="24"/>
          <w:shd w:val="clear" w:color="auto" w:fill="FFFFFF"/>
        </w:rPr>
        <w:t>on her behalf</w:t>
      </w:r>
      <w:r w:rsidR="00A67659" w:rsidRPr="006E6FB9">
        <w:rPr>
          <w:rFonts w:ascii="Arial" w:hAnsi="Arial" w:cs="Arial"/>
          <w:sz w:val="24"/>
          <w:szCs w:val="24"/>
          <w:shd w:val="clear" w:color="auto" w:fill="FFFFFF"/>
        </w:rPr>
        <w:t xml:space="preserve">. </w:t>
      </w:r>
      <w:r w:rsidR="00377329" w:rsidRPr="006E6FB9">
        <w:rPr>
          <w:rFonts w:ascii="Arial" w:hAnsi="Arial" w:cs="Arial"/>
          <w:sz w:val="24"/>
          <w:szCs w:val="24"/>
          <w:shd w:val="clear" w:color="auto" w:fill="FFFFFF"/>
        </w:rPr>
        <w:t xml:space="preserve">She states that her </w:t>
      </w:r>
      <w:r w:rsidR="00A67659" w:rsidRPr="006E6FB9">
        <w:rPr>
          <w:rFonts w:ascii="Arial" w:hAnsi="Arial" w:cs="Arial"/>
          <w:sz w:val="24"/>
          <w:szCs w:val="24"/>
          <w:shd w:val="clear" w:color="auto" w:fill="FFFFFF"/>
        </w:rPr>
        <w:t xml:space="preserve">attorneys </w:t>
      </w:r>
      <w:r w:rsidR="00ED5F9D" w:rsidRPr="006E6FB9">
        <w:rPr>
          <w:rFonts w:ascii="Arial" w:hAnsi="Arial" w:cs="Arial"/>
          <w:sz w:val="24"/>
          <w:szCs w:val="24"/>
          <w:shd w:val="clear" w:color="auto" w:fill="FFFFFF"/>
        </w:rPr>
        <w:t xml:space="preserve">informed her </w:t>
      </w:r>
      <w:r w:rsidR="00ED5F9D" w:rsidRPr="006E6FB9">
        <w:rPr>
          <w:rFonts w:ascii="Arial" w:hAnsi="Arial" w:cs="Arial"/>
          <w:sz w:val="24"/>
          <w:szCs w:val="24"/>
        </w:rPr>
        <w:t xml:space="preserve">on 21 March 2022 that if she cannot pay their fees they will not assist her they ultimately </w:t>
      </w:r>
      <w:r w:rsidR="00A67659" w:rsidRPr="006E6FB9">
        <w:rPr>
          <w:rFonts w:ascii="Arial" w:hAnsi="Arial" w:cs="Arial"/>
          <w:sz w:val="24"/>
          <w:szCs w:val="24"/>
          <w:shd w:val="clear" w:color="auto" w:fill="FFFFFF"/>
        </w:rPr>
        <w:t xml:space="preserve">withdrew as her attorneys of record </w:t>
      </w:r>
      <w:r w:rsidR="00840961" w:rsidRPr="006E6FB9">
        <w:rPr>
          <w:rFonts w:ascii="Arial" w:hAnsi="Arial" w:cs="Arial"/>
          <w:sz w:val="24"/>
          <w:szCs w:val="24"/>
        </w:rPr>
        <w:t>on Monday 30 May 2022</w:t>
      </w:r>
      <w:r w:rsidR="00ED5F9D" w:rsidRPr="006E6FB9">
        <w:rPr>
          <w:rFonts w:ascii="Arial" w:hAnsi="Arial" w:cs="Arial"/>
          <w:sz w:val="24"/>
          <w:szCs w:val="24"/>
        </w:rPr>
        <w:t xml:space="preserve"> </w:t>
      </w:r>
      <w:r w:rsidR="00557DFD" w:rsidRPr="006E6FB9">
        <w:rPr>
          <w:rFonts w:ascii="Arial" w:hAnsi="Arial" w:cs="Arial"/>
          <w:sz w:val="24"/>
          <w:szCs w:val="24"/>
        </w:rPr>
        <w:t xml:space="preserve">and it was only then that she realized that the </w:t>
      </w:r>
      <w:r w:rsidR="007D4F6D" w:rsidRPr="006E6FB9">
        <w:rPr>
          <w:rFonts w:ascii="Arial" w:hAnsi="Arial" w:cs="Arial"/>
          <w:sz w:val="24"/>
          <w:szCs w:val="24"/>
        </w:rPr>
        <w:t xml:space="preserve">said papers were </w:t>
      </w:r>
      <w:r w:rsidR="00557DFD" w:rsidRPr="006E6FB9">
        <w:rPr>
          <w:rFonts w:ascii="Arial" w:hAnsi="Arial" w:cs="Arial"/>
          <w:sz w:val="24"/>
          <w:szCs w:val="24"/>
        </w:rPr>
        <w:t xml:space="preserve">not filed.  </w:t>
      </w:r>
      <w:r w:rsidR="00377329" w:rsidRPr="006E6FB9">
        <w:rPr>
          <w:rFonts w:ascii="Arial" w:hAnsi="Arial" w:cs="Arial"/>
          <w:sz w:val="24"/>
          <w:szCs w:val="24"/>
        </w:rPr>
        <w:t xml:space="preserve">It is her submission that Centlec </w:t>
      </w:r>
      <w:r w:rsidR="00840961" w:rsidRPr="006E6FB9">
        <w:rPr>
          <w:rFonts w:ascii="Arial" w:hAnsi="Arial" w:cs="Arial"/>
          <w:sz w:val="24"/>
          <w:szCs w:val="24"/>
          <w:shd w:val="clear" w:color="auto" w:fill="FFFFFF"/>
        </w:rPr>
        <w:t xml:space="preserve">is not prejudiced by the late </w:t>
      </w:r>
      <w:r w:rsidR="007D4F6D" w:rsidRPr="006E6FB9">
        <w:rPr>
          <w:rFonts w:ascii="Arial" w:hAnsi="Arial" w:cs="Arial"/>
          <w:sz w:val="24"/>
          <w:szCs w:val="24"/>
          <w:shd w:val="clear" w:color="auto" w:fill="FFFFFF"/>
        </w:rPr>
        <w:t xml:space="preserve">filing </w:t>
      </w:r>
      <w:r w:rsidR="00840961" w:rsidRPr="006E6FB9">
        <w:rPr>
          <w:rFonts w:ascii="Arial" w:hAnsi="Arial" w:cs="Arial"/>
          <w:sz w:val="24"/>
          <w:szCs w:val="24"/>
          <w:shd w:val="clear" w:color="auto" w:fill="FFFFFF"/>
        </w:rPr>
        <w:t xml:space="preserve">and she has good </w:t>
      </w:r>
      <w:r w:rsidR="00557DFD" w:rsidRPr="006E6FB9">
        <w:rPr>
          <w:rFonts w:ascii="Arial" w:hAnsi="Arial" w:cs="Arial"/>
          <w:sz w:val="24"/>
          <w:szCs w:val="24"/>
          <w:shd w:val="clear" w:color="auto" w:fill="FFFFFF"/>
        </w:rPr>
        <w:t>merits</w:t>
      </w:r>
      <w:r w:rsidR="003031A5" w:rsidRPr="006E6FB9">
        <w:rPr>
          <w:rFonts w:ascii="Arial" w:hAnsi="Arial" w:cs="Arial"/>
          <w:sz w:val="24"/>
          <w:szCs w:val="24"/>
          <w:shd w:val="clear" w:color="auto" w:fill="FFFFFF"/>
        </w:rPr>
        <w:t xml:space="preserve"> in the main application</w:t>
      </w:r>
      <w:r w:rsidR="00840961" w:rsidRPr="006E6FB9">
        <w:rPr>
          <w:rFonts w:ascii="Arial" w:hAnsi="Arial" w:cs="Arial"/>
          <w:sz w:val="24"/>
          <w:szCs w:val="24"/>
          <w:shd w:val="clear" w:color="auto" w:fill="FFFFFF"/>
        </w:rPr>
        <w:t>.</w:t>
      </w:r>
    </w:p>
    <w:p w:rsidR="00A67659" w:rsidRPr="006E6FB9" w:rsidRDefault="00A67659" w:rsidP="00E70D8C">
      <w:pPr>
        <w:spacing w:after="0" w:line="360" w:lineRule="auto"/>
        <w:ind w:left="709" w:hanging="709"/>
        <w:jc w:val="both"/>
        <w:rPr>
          <w:rFonts w:ascii="Arial" w:hAnsi="Arial" w:cs="Arial"/>
          <w:sz w:val="24"/>
          <w:szCs w:val="24"/>
          <w:shd w:val="clear" w:color="auto" w:fill="FFFFFF"/>
        </w:rPr>
      </w:pPr>
    </w:p>
    <w:p w:rsidR="00440808" w:rsidRPr="006E6FB9" w:rsidRDefault="00A67659" w:rsidP="00672EBF">
      <w:pPr>
        <w:spacing w:line="360" w:lineRule="auto"/>
        <w:ind w:left="709" w:hanging="709"/>
        <w:jc w:val="both"/>
        <w:rPr>
          <w:rFonts w:ascii="Arial" w:hAnsi="Arial" w:cs="Arial"/>
          <w:sz w:val="24"/>
          <w:szCs w:val="24"/>
        </w:rPr>
      </w:pPr>
      <w:r w:rsidRPr="006E6FB9">
        <w:rPr>
          <w:rFonts w:ascii="Arial" w:hAnsi="Arial" w:cs="Arial"/>
          <w:sz w:val="24"/>
          <w:szCs w:val="24"/>
          <w:shd w:val="clear" w:color="auto" w:fill="FFFFFF"/>
        </w:rPr>
        <w:t>[</w:t>
      </w:r>
      <w:r w:rsidR="00377329" w:rsidRPr="006E6FB9">
        <w:rPr>
          <w:rFonts w:ascii="Arial" w:hAnsi="Arial" w:cs="Arial"/>
          <w:sz w:val="24"/>
          <w:szCs w:val="24"/>
          <w:shd w:val="clear" w:color="auto" w:fill="FFFFFF"/>
        </w:rPr>
        <w:t>1</w:t>
      </w:r>
      <w:r w:rsidR="007F6900" w:rsidRPr="006E6FB9">
        <w:rPr>
          <w:rFonts w:ascii="Arial" w:hAnsi="Arial" w:cs="Arial"/>
          <w:sz w:val="24"/>
          <w:szCs w:val="24"/>
          <w:shd w:val="clear" w:color="auto" w:fill="FFFFFF"/>
        </w:rPr>
        <w:t>6</w:t>
      </w:r>
      <w:r w:rsidRPr="006E6FB9">
        <w:rPr>
          <w:rFonts w:ascii="Arial" w:hAnsi="Arial" w:cs="Arial"/>
          <w:sz w:val="24"/>
          <w:szCs w:val="24"/>
          <w:shd w:val="clear" w:color="auto" w:fill="FFFFFF"/>
        </w:rPr>
        <w:t>]</w:t>
      </w:r>
      <w:r w:rsidRPr="006E6FB9">
        <w:rPr>
          <w:rFonts w:ascii="Arial" w:hAnsi="Arial" w:cs="Arial"/>
          <w:sz w:val="24"/>
          <w:szCs w:val="24"/>
          <w:shd w:val="clear" w:color="auto" w:fill="FFFFFF"/>
        </w:rPr>
        <w:tab/>
        <w:t xml:space="preserve">The applicant opposed the application for condonation on the grounds that </w:t>
      </w:r>
      <w:r w:rsidR="00377329" w:rsidRPr="006E6FB9">
        <w:rPr>
          <w:rFonts w:ascii="Arial" w:hAnsi="Arial" w:cs="Arial"/>
          <w:sz w:val="24"/>
          <w:szCs w:val="24"/>
          <w:shd w:val="clear" w:color="auto" w:fill="FFFFFF"/>
        </w:rPr>
        <w:t xml:space="preserve">the respondent’s explanation for the delay </w:t>
      </w:r>
      <w:r w:rsidR="007D4F6D" w:rsidRPr="006E6FB9">
        <w:rPr>
          <w:rFonts w:ascii="Arial" w:hAnsi="Arial" w:cs="Arial"/>
          <w:sz w:val="24"/>
          <w:szCs w:val="24"/>
        </w:rPr>
        <w:t xml:space="preserve">in </w:t>
      </w:r>
      <w:r w:rsidR="00377329" w:rsidRPr="006E6FB9">
        <w:rPr>
          <w:rFonts w:ascii="Arial" w:hAnsi="Arial" w:cs="Arial"/>
          <w:sz w:val="24"/>
          <w:szCs w:val="24"/>
        </w:rPr>
        <w:t xml:space="preserve">filing her papers </w:t>
      </w:r>
      <w:r w:rsidR="007D4F6D" w:rsidRPr="006E6FB9">
        <w:rPr>
          <w:rFonts w:ascii="Arial" w:hAnsi="Arial" w:cs="Arial"/>
          <w:sz w:val="24"/>
          <w:szCs w:val="24"/>
        </w:rPr>
        <w:t xml:space="preserve">is not </w:t>
      </w:r>
      <w:r w:rsidR="00440808" w:rsidRPr="006E6FB9">
        <w:rPr>
          <w:rFonts w:ascii="Arial" w:hAnsi="Arial" w:cs="Arial"/>
          <w:sz w:val="24"/>
          <w:szCs w:val="24"/>
        </w:rPr>
        <w:t xml:space="preserve">reasonable and also not </w:t>
      </w:r>
      <w:r w:rsidR="007D4F6D" w:rsidRPr="006E6FB9">
        <w:rPr>
          <w:rFonts w:ascii="Arial" w:hAnsi="Arial" w:cs="Arial"/>
          <w:sz w:val="24"/>
          <w:szCs w:val="24"/>
        </w:rPr>
        <w:t>bona fide</w:t>
      </w:r>
      <w:r w:rsidR="00377329" w:rsidRPr="006E6FB9">
        <w:rPr>
          <w:rFonts w:ascii="Arial" w:hAnsi="Arial" w:cs="Arial"/>
          <w:sz w:val="24"/>
          <w:szCs w:val="24"/>
        </w:rPr>
        <w:t xml:space="preserve">. </w:t>
      </w:r>
    </w:p>
    <w:p w:rsidR="00440808" w:rsidRPr="006E6FB9" w:rsidRDefault="00E70D8C" w:rsidP="00E70D8C">
      <w:pPr>
        <w:tabs>
          <w:tab w:val="left" w:pos="945"/>
        </w:tabs>
        <w:spacing w:after="0" w:line="360" w:lineRule="auto"/>
        <w:ind w:left="709" w:hanging="709"/>
        <w:jc w:val="both"/>
        <w:rPr>
          <w:rFonts w:ascii="Arial" w:hAnsi="Arial" w:cs="Arial"/>
          <w:sz w:val="24"/>
          <w:szCs w:val="24"/>
        </w:rPr>
      </w:pPr>
      <w:r w:rsidRPr="006E6FB9">
        <w:rPr>
          <w:rFonts w:ascii="Arial" w:hAnsi="Arial" w:cs="Arial"/>
          <w:sz w:val="24"/>
          <w:szCs w:val="24"/>
        </w:rPr>
        <w:tab/>
      </w:r>
    </w:p>
    <w:p w:rsidR="007D4F6D" w:rsidRPr="006E6FB9" w:rsidRDefault="00440808" w:rsidP="00672EBF">
      <w:pPr>
        <w:spacing w:line="360" w:lineRule="auto"/>
        <w:ind w:left="709" w:hanging="709"/>
        <w:jc w:val="both"/>
        <w:rPr>
          <w:rFonts w:ascii="Arial" w:hAnsi="Arial" w:cs="Arial"/>
          <w:sz w:val="24"/>
          <w:szCs w:val="24"/>
        </w:rPr>
      </w:pPr>
      <w:r w:rsidRPr="006E6FB9">
        <w:rPr>
          <w:rFonts w:ascii="Arial" w:hAnsi="Arial" w:cs="Arial"/>
          <w:sz w:val="24"/>
          <w:szCs w:val="24"/>
        </w:rPr>
        <w:t>[1</w:t>
      </w:r>
      <w:r w:rsidR="007F6900" w:rsidRPr="006E6FB9">
        <w:rPr>
          <w:rFonts w:ascii="Arial" w:hAnsi="Arial" w:cs="Arial"/>
          <w:sz w:val="24"/>
          <w:szCs w:val="24"/>
        </w:rPr>
        <w:t>7</w:t>
      </w:r>
      <w:r w:rsidRPr="006E6FB9">
        <w:rPr>
          <w:rFonts w:ascii="Arial" w:hAnsi="Arial" w:cs="Arial"/>
          <w:sz w:val="24"/>
          <w:szCs w:val="24"/>
        </w:rPr>
        <w:t>]</w:t>
      </w:r>
      <w:r w:rsidRPr="006E6FB9">
        <w:rPr>
          <w:rFonts w:ascii="Arial" w:hAnsi="Arial" w:cs="Arial"/>
          <w:sz w:val="24"/>
          <w:szCs w:val="24"/>
        </w:rPr>
        <w:tab/>
        <w:t>According to Mr Sibeko, t</w:t>
      </w:r>
      <w:r w:rsidR="007D4F6D" w:rsidRPr="006E6FB9">
        <w:rPr>
          <w:rFonts w:ascii="Arial" w:hAnsi="Arial" w:cs="Arial"/>
          <w:sz w:val="24"/>
          <w:szCs w:val="24"/>
        </w:rPr>
        <w:t>he respondent is not a clueless litigant</w:t>
      </w:r>
      <w:r w:rsidRPr="006E6FB9">
        <w:rPr>
          <w:rFonts w:ascii="Arial" w:hAnsi="Arial" w:cs="Arial"/>
          <w:sz w:val="24"/>
          <w:szCs w:val="24"/>
        </w:rPr>
        <w:t xml:space="preserve"> </w:t>
      </w:r>
      <w:r w:rsidR="00707B68" w:rsidRPr="006E6FB9">
        <w:rPr>
          <w:rFonts w:ascii="Arial" w:hAnsi="Arial" w:cs="Arial"/>
          <w:sz w:val="24"/>
          <w:szCs w:val="24"/>
        </w:rPr>
        <w:t>so far she has appeared in this court on at least three different occasions</w:t>
      </w:r>
      <w:r w:rsidRPr="006E6FB9">
        <w:rPr>
          <w:rFonts w:ascii="Arial" w:hAnsi="Arial" w:cs="Arial"/>
          <w:sz w:val="24"/>
          <w:szCs w:val="24"/>
        </w:rPr>
        <w:t xml:space="preserve"> </w:t>
      </w:r>
      <w:r w:rsidR="00707B68" w:rsidRPr="006E6FB9">
        <w:rPr>
          <w:rFonts w:ascii="Arial" w:hAnsi="Arial" w:cs="Arial"/>
          <w:sz w:val="24"/>
          <w:szCs w:val="24"/>
        </w:rPr>
        <w:t>in person having d</w:t>
      </w:r>
      <w:r w:rsidR="007D4F6D" w:rsidRPr="006E6FB9">
        <w:rPr>
          <w:rFonts w:ascii="Arial" w:hAnsi="Arial" w:cs="Arial"/>
          <w:sz w:val="24"/>
          <w:szCs w:val="24"/>
        </w:rPr>
        <w:t xml:space="preserve">rafted and filed comprehensive papers </w:t>
      </w:r>
      <w:r w:rsidR="00377329" w:rsidRPr="006E6FB9">
        <w:rPr>
          <w:rFonts w:ascii="Arial" w:hAnsi="Arial" w:cs="Arial"/>
          <w:sz w:val="24"/>
          <w:szCs w:val="24"/>
        </w:rPr>
        <w:t xml:space="preserve">which </w:t>
      </w:r>
      <w:r w:rsidR="007D4F6D" w:rsidRPr="006E6FB9">
        <w:rPr>
          <w:rFonts w:ascii="Arial" w:hAnsi="Arial" w:cs="Arial"/>
          <w:sz w:val="24"/>
          <w:szCs w:val="24"/>
        </w:rPr>
        <w:t xml:space="preserve">contain extensive legal arguments supported by legal authorities including the papers </w:t>
      </w:r>
      <w:r w:rsidRPr="006E6FB9">
        <w:rPr>
          <w:rFonts w:ascii="Arial" w:hAnsi="Arial" w:cs="Arial"/>
          <w:sz w:val="24"/>
          <w:szCs w:val="24"/>
        </w:rPr>
        <w:t xml:space="preserve">that </w:t>
      </w:r>
      <w:r w:rsidR="007D4F6D" w:rsidRPr="006E6FB9">
        <w:rPr>
          <w:rFonts w:ascii="Arial" w:hAnsi="Arial" w:cs="Arial"/>
          <w:sz w:val="24"/>
          <w:szCs w:val="24"/>
        </w:rPr>
        <w:t>she filed in the labour court</w:t>
      </w:r>
      <w:r w:rsidR="00377329" w:rsidRPr="006E6FB9">
        <w:rPr>
          <w:rFonts w:ascii="Arial" w:hAnsi="Arial" w:cs="Arial"/>
          <w:sz w:val="24"/>
          <w:szCs w:val="24"/>
        </w:rPr>
        <w:t xml:space="preserve"> therefore</w:t>
      </w:r>
      <w:r w:rsidRPr="006E6FB9">
        <w:rPr>
          <w:rFonts w:ascii="Arial" w:hAnsi="Arial" w:cs="Arial"/>
          <w:sz w:val="24"/>
          <w:szCs w:val="24"/>
        </w:rPr>
        <w:t xml:space="preserve">, </w:t>
      </w:r>
      <w:r w:rsidR="007D4F6D" w:rsidRPr="006E6FB9">
        <w:rPr>
          <w:rFonts w:ascii="Arial" w:hAnsi="Arial" w:cs="Arial"/>
          <w:sz w:val="24"/>
          <w:szCs w:val="24"/>
        </w:rPr>
        <w:t xml:space="preserve">she could have very well drafted the answering affidavit herself.  </w:t>
      </w:r>
    </w:p>
    <w:p w:rsidR="00080761" w:rsidRPr="006E6FB9" w:rsidRDefault="007F6900" w:rsidP="00672EBF">
      <w:pPr>
        <w:spacing w:line="360" w:lineRule="auto"/>
        <w:ind w:left="709" w:hanging="709"/>
        <w:jc w:val="both"/>
        <w:rPr>
          <w:rFonts w:ascii="Arial" w:hAnsi="Arial" w:cs="Arial"/>
          <w:sz w:val="24"/>
          <w:szCs w:val="24"/>
        </w:rPr>
      </w:pPr>
      <w:r w:rsidRPr="006E6FB9">
        <w:rPr>
          <w:rFonts w:ascii="Arial" w:hAnsi="Arial" w:cs="Arial"/>
          <w:sz w:val="24"/>
          <w:szCs w:val="24"/>
          <w:shd w:val="clear" w:color="auto" w:fill="FFFFFF"/>
        </w:rPr>
        <w:lastRenderedPageBreak/>
        <w:t>[18</w:t>
      </w:r>
      <w:r w:rsidR="00080761" w:rsidRPr="006E6FB9">
        <w:rPr>
          <w:rFonts w:ascii="Arial" w:hAnsi="Arial" w:cs="Arial"/>
          <w:sz w:val="24"/>
          <w:szCs w:val="24"/>
          <w:shd w:val="clear" w:color="auto" w:fill="FFFFFF"/>
        </w:rPr>
        <w:t>]</w:t>
      </w:r>
      <w:r w:rsidR="00080761" w:rsidRPr="006E6FB9">
        <w:rPr>
          <w:rFonts w:ascii="Arial" w:hAnsi="Arial" w:cs="Arial"/>
          <w:sz w:val="24"/>
          <w:szCs w:val="24"/>
          <w:shd w:val="clear" w:color="auto" w:fill="FFFFFF"/>
        </w:rPr>
        <w:tab/>
      </w:r>
      <w:r w:rsidR="00707B68" w:rsidRPr="006E6FB9">
        <w:rPr>
          <w:rFonts w:ascii="Arial" w:hAnsi="Arial" w:cs="Arial"/>
          <w:sz w:val="24"/>
          <w:szCs w:val="24"/>
          <w:shd w:val="clear" w:color="auto" w:fill="FFFFFF"/>
        </w:rPr>
        <w:t>It is trite that c</w:t>
      </w:r>
      <w:r w:rsidR="00F24132" w:rsidRPr="006E6FB9">
        <w:rPr>
          <w:rFonts w:ascii="Arial" w:hAnsi="Arial" w:cs="Arial"/>
          <w:sz w:val="24"/>
          <w:szCs w:val="24"/>
        </w:rPr>
        <w:t xml:space="preserve">ondonation cannot be had for the mere asking. </w:t>
      </w:r>
      <w:r w:rsidR="00080761" w:rsidRPr="006E6FB9">
        <w:rPr>
          <w:rFonts w:ascii="Arial" w:hAnsi="Arial" w:cs="Arial"/>
          <w:sz w:val="24"/>
          <w:szCs w:val="24"/>
        </w:rPr>
        <w:t xml:space="preserve">It is an indulgence granted by the court upon a consideration of </w:t>
      </w:r>
      <w:r w:rsidR="001574EA" w:rsidRPr="006E6FB9">
        <w:rPr>
          <w:rFonts w:ascii="Arial" w:hAnsi="Arial" w:cs="Arial"/>
          <w:sz w:val="24"/>
          <w:szCs w:val="24"/>
        </w:rPr>
        <w:t xml:space="preserve">whether good cause has been </w:t>
      </w:r>
      <w:r w:rsidR="00440808" w:rsidRPr="006E6FB9">
        <w:rPr>
          <w:rFonts w:ascii="Arial" w:hAnsi="Arial" w:cs="Arial"/>
          <w:sz w:val="24"/>
          <w:szCs w:val="24"/>
        </w:rPr>
        <w:t xml:space="preserve">shown </w:t>
      </w:r>
      <w:r w:rsidR="004A5633" w:rsidRPr="006E6FB9">
        <w:rPr>
          <w:rFonts w:ascii="Arial" w:hAnsi="Arial" w:cs="Arial"/>
          <w:sz w:val="24"/>
          <w:szCs w:val="24"/>
        </w:rPr>
        <w:t xml:space="preserve">for the failure to comply with the </w:t>
      </w:r>
      <w:r w:rsidR="00440808" w:rsidRPr="006E6FB9">
        <w:rPr>
          <w:rFonts w:ascii="Arial" w:hAnsi="Arial" w:cs="Arial"/>
          <w:sz w:val="24"/>
          <w:szCs w:val="24"/>
        </w:rPr>
        <w:t xml:space="preserve">court </w:t>
      </w:r>
      <w:r w:rsidR="004A5633" w:rsidRPr="006E6FB9">
        <w:rPr>
          <w:rFonts w:ascii="Arial" w:hAnsi="Arial" w:cs="Arial"/>
          <w:sz w:val="24"/>
          <w:szCs w:val="24"/>
        </w:rPr>
        <w:t>rules.</w:t>
      </w:r>
      <w:r w:rsidR="00B426E7" w:rsidRPr="006E6FB9">
        <w:rPr>
          <w:rFonts w:ascii="Arial" w:hAnsi="Arial" w:cs="Arial"/>
          <w:sz w:val="24"/>
          <w:szCs w:val="24"/>
        </w:rPr>
        <w:t xml:space="preserve"> In the exercise of its discretion whether to condone the non-compliance </w:t>
      </w:r>
      <w:r w:rsidR="00440808" w:rsidRPr="006E6FB9">
        <w:rPr>
          <w:rFonts w:ascii="Arial" w:hAnsi="Arial" w:cs="Arial"/>
          <w:sz w:val="24"/>
          <w:szCs w:val="24"/>
        </w:rPr>
        <w:t xml:space="preserve">or not, </w:t>
      </w:r>
      <w:r w:rsidR="00B426E7" w:rsidRPr="006E6FB9">
        <w:rPr>
          <w:rFonts w:ascii="Arial" w:hAnsi="Arial" w:cs="Arial"/>
          <w:sz w:val="24"/>
          <w:szCs w:val="24"/>
        </w:rPr>
        <w:t xml:space="preserve">the court takes into account all the relevant factors which have a bearing on fairness and equity to both sides including the degree of lateness, the explanation provided for the delay, the prospects of success on the merits of the application and the respondent’s interest in the finality of the matter. </w:t>
      </w:r>
      <w:r w:rsidR="003D7843" w:rsidRPr="006E6FB9">
        <w:rPr>
          <w:rFonts w:ascii="Arial" w:hAnsi="Arial" w:cs="Arial"/>
          <w:sz w:val="24"/>
          <w:szCs w:val="24"/>
        </w:rPr>
        <w:t xml:space="preserve">For that reason, the </w:t>
      </w:r>
      <w:r w:rsidR="004A5633" w:rsidRPr="006E6FB9">
        <w:rPr>
          <w:rFonts w:ascii="Arial" w:hAnsi="Arial" w:cs="Arial"/>
          <w:sz w:val="24"/>
          <w:szCs w:val="24"/>
        </w:rPr>
        <w:t>onus is on the respondent to provide a full, detailed and accurate account of the cause of the delay</w:t>
      </w:r>
      <w:r w:rsidR="00440808" w:rsidRPr="006E6FB9">
        <w:rPr>
          <w:rFonts w:ascii="Arial" w:hAnsi="Arial" w:cs="Arial"/>
          <w:sz w:val="24"/>
          <w:szCs w:val="24"/>
        </w:rPr>
        <w:t xml:space="preserve"> and this is to </w:t>
      </w:r>
      <w:r w:rsidR="004A5633" w:rsidRPr="006E6FB9">
        <w:rPr>
          <w:rFonts w:ascii="Arial" w:hAnsi="Arial" w:cs="Arial"/>
          <w:sz w:val="24"/>
          <w:szCs w:val="24"/>
        </w:rPr>
        <w:t>enable the court to understand how it came about</w:t>
      </w:r>
      <w:r w:rsidR="00080761" w:rsidRPr="006E6FB9">
        <w:rPr>
          <w:rFonts w:ascii="Arial" w:hAnsi="Arial" w:cs="Arial"/>
          <w:sz w:val="24"/>
          <w:szCs w:val="24"/>
        </w:rPr>
        <w:t>.</w:t>
      </w:r>
      <w:r w:rsidR="00080761" w:rsidRPr="006E6FB9">
        <w:rPr>
          <w:rStyle w:val="FootnoteReference"/>
          <w:rFonts w:ascii="Arial" w:hAnsi="Arial" w:cs="Arial"/>
          <w:sz w:val="24"/>
          <w:szCs w:val="24"/>
        </w:rPr>
        <w:footnoteReference w:id="4"/>
      </w:r>
      <w:r w:rsidR="00080761" w:rsidRPr="006E6FB9">
        <w:rPr>
          <w:rFonts w:ascii="Arial" w:hAnsi="Arial" w:cs="Arial"/>
          <w:sz w:val="24"/>
          <w:szCs w:val="24"/>
        </w:rPr>
        <w:t xml:space="preserve"> </w:t>
      </w:r>
    </w:p>
    <w:p w:rsidR="00440808" w:rsidRPr="006E6FB9" w:rsidRDefault="00440808" w:rsidP="00E70D8C">
      <w:pPr>
        <w:spacing w:after="0" w:line="360" w:lineRule="auto"/>
        <w:ind w:left="851" w:hanging="851"/>
        <w:jc w:val="both"/>
        <w:rPr>
          <w:rFonts w:ascii="Arial" w:hAnsi="Arial" w:cs="Arial"/>
          <w:sz w:val="24"/>
          <w:szCs w:val="24"/>
        </w:rPr>
      </w:pPr>
    </w:p>
    <w:p w:rsidR="006E6FB9" w:rsidRPr="006E6FB9" w:rsidRDefault="007F6900" w:rsidP="00421625">
      <w:pPr>
        <w:spacing w:after="360" w:line="360" w:lineRule="auto"/>
        <w:ind w:left="851" w:hanging="851"/>
        <w:jc w:val="both"/>
        <w:rPr>
          <w:rFonts w:ascii="Arial" w:hAnsi="Arial" w:cs="Arial"/>
          <w:sz w:val="24"/>
          <w:szCs w:val="24"/>
        </w:rPr>
      </w:pPr>
      <w:r w:rsidRPr="006E6FB9">
        <w:rPr>
          <w:rFonts w:ascii="Arial" w:hAnsi="Arial" w:cs="Arial"/>
          <w:sz w:val="24"/>
          <w:szCs w:val="24"/>
        </w:rPr>
        <w:t>[19</w:t>
      </w:r>
      <w:r w:rsidR="00080761" w:rsidRPr="006E6FB9">
        <w:rPr>
          <w:rFonts w:ascii="Arial" w:hAnsi="Arial" w:cs="Arial"/>
          <w:sz w:val="24"/>
          <w:szCs w:val="24"/>
        </w:rPr>
        <w:t>]</w:t>
      </w:r>
      <w:r w:rsidR="00080761" w:rsidRPr="006E6FB9">
        <w:rPr>
          <w:rFonts w:ascii="Arial" w:hAnsi="Arial" w:cs="Arial"/>
          <w:sz w:val="24"/>
          <w:szCs w:val="24"/>
        </w:rPr>
        <w:tab/>
      </w:r>
      <w:r w:rsidR="00707B68" w:rsidRPr="006E6FB9">
        <w:rPr>
          <w:rFonts w:ascii="Arial" w:hAnsi="Arial" w:cs="Arial"/>
          <w:sz w:val="24"/>
          <w:szCs w:val="24"/>
        </w:rPr>
        <w:t xml:space="preserve">The </w:t>
      </w:r>
      <w:r w:rsidR="00014459" w:rsidRPr="006E6FB9">
        <w:rPr>
          <w:rFonts w:ascii="Arial" w:hAnsi="Arial" w:cs="Arial"/>
          <w:sz w:val="24"/>
          <w:szCs w:val="24"/>
        </w:rPr>
        <w:t xml:space="preserve">respondent’s explanation for the delay does not constitute a sufficient cause to warrant the court’s indulgence. </w:t>
      </w:r>
      <w:r w:rsidR="00707B68" w:rsidRPr="006E6FB9">
        <w:rPr>
          <w:rFonts w:ascii="Arial" w:hAnsi="Arial" w:cs="Arial"/>
          <w:sz w:val="24"/>
          <w:szCs w:val="24"/>
        </w:rPr>
        <w:t xml:space="preserve">Particularly in relation to the answering affidavit, the </w:t>
      </w:r>
      <w:r w:rsidR="003C5BC0" w:rsidRPr="006E6FB9">
        <w:rPr>
          <w:rFonts w:ascii="Arial" w:hAnsi="Arial" w:cs="Arial"/>
          <w:sz w:val="24"/>
          <w:szCs w:val="24"/>
        </w:rPr>
        <w:t>delay</w:t>
      </w:r>
      <w:r w:rsidR="00707B68" w:rsidRPr="006E6FB9">
        <w:rPr>
          <w:rFonts w:ascii="Arial" w:hAnsi="Arial" w:cs="Arial"/>
          <w:sz w:val="24"/>
          <w:szCs w:val="24"/>
        </w:rPr>
        <w:t xml:space="preserve"> of over 20 days is extreme</w:t>
      </w:r>
      <w:r w:rsidR="003C5BC0" w:rsidRPr="006E6FB9">
        <w:rPr>
          <w:rFonts w:ascii="Arial" w:hAnsi="Arial" w:cs="Arial"/>
          <w:sz w:val="24"/>
          <w:szCs w:val="24"/>
        </w:rPr>
        <w:t xml:space="preserve">. </w:t>
      </w:r>
      <w:r w:rsidR="00707B68" w:rsidRPr="006E6FB9">
        <w:rPr>
          <w:rFonts w:ascii="Arial" w:hAnsi="Arial" w:cs="Arial"/>
          <w:sz w:val="24"/>
          <w:szCs w:val="24"/>
        </w:rPr>
        <w:t xml:space="preserve">On her own submission, </w:t>
      </w:r>
      <w:r w:rsidR="00752E93" w:rsidRPr="006E6FB9">
        <w:rPr>
          <w:rFonts w:ascii="Arial" w:hAnsi="Arial" w:cs="Arial"/>
          <w:sz w:val="24"/>
          <w:szCs w:val="24"/>
        </w:rPr>
        <w:t xml:space="preserve">she was first informed by her erstwhile attorneys on 21 March 2022, approximately a month before the answering affidavit was due that they will no longer be representing her due to non-payment. </w:t>
      </w:r>
      <w:r w:rsidR="00ED5F9D" w:rsidRPr="006E6FB9">
        <w:rPr>
          <w:rFonts w:ascii="Arial" w:hAnsi="Arial" w:cs="Arial"/>
          <w:sz w:val="24"/>
          <w:szCs w:val="24"/>
        </w:rPr>
        <w:t xml:space="preserve">On </w:t>
      </w:r>
      <w:r w:rsidR="00752E93" w:rsidRPr="006E6FB9">
        <w:rPr>
          <w:rFonts w:ascii="Arial" w:hAnsi="Arial" w:cs="Arial"/>
          <w:sz w:val="24"/>
          <w:szCs w:val="24"/>
        </w:rPr>
        <w:t>25 March 2022 when the order was made regarding the filing of the answering affidavit she was represented by an attorney who thereafter filed a notice in terms of rule 35(12) on her behalf</w:t>
      </w:r>
      <w:r w:rsidR="00ED5F9D" w:rsidRPr="006E6FB9">
        <w:rPr>
          <w:rFonts w:ascii="Arial" w:hAnsi="Arial" w:cs="Arial"/>
          <w:sz w:val="24"/>
          <w:szCs w:val="24"/>
        </w:rPr>
        <w:t xml:space="preserve">. </w:t>
      </w:r>
    </w:p>
    <w:p w:rsidR="00421625" w:rsidRPr="006E6FB9" w:rsidRDefault="006E6FB9" w:rsidP="00421625">
      <w:pPr>
        <w:spacing w:after="360" w:line="360" w:lineRule="auto"/>
        <w:ind w:left="851" w:hanging="851"/>
        <w:jc w:val="both"/>
        <w:rPr>
          <w:rFonts w:ascii="Arial" w:hAnsi="Arial" w:cs="Arial"/>
          <w:sz w:val="24"/>
          <w:szCs w:val="24"/>
          <w:lang w:val="en-GB"/>
        </w:rPr>
      </w:pPr>
      <w:r w:rsidRPr="006E6FB9">
        <w:rPr>
          <w:rFonts w:ascii="Arial" w:hAnsi="Arial" w:cs="Arial"/>
          <w:sz w:val="24"/>
          <w:szCs w:val="24"/>
        </w:rPr>
        <w:t>[20]</w:t>
      </w:r>
      <w:r w:rsidRPr="006E6FB9">
        <w:rPr>
          <w:rFonts w:ascii="Arial" w:hAnsi="Arial" w:cs="Arial"/>
          <w:sz w:val="24"/>
          <w:szCs w:val="24"/>
        </w:rPr>
        <w:tab/>
      </w:r>
      <w:r w:rsidR="00ED5F9D" w:rsidRPr="006E6FB9">
        <w:rPr>
          <w:rFonts w:ascii="Arial" w:hAnsi="Arial" w:cs="Arial"/>
          <w:sz w:val="24"/>
          <w:szCs w:val="24"/>
        </w:rPr>
        <w:t xml:space="preserve">There </w:t>
      </w:r>
      <w:r w:rsidR="00752E93" w:rsidRPr="006E6FB9">
        <w:rPr>
          <w:rFonts w:ascii="Arial" w:hAnsi="Arial" w:cs="Arial"/>
          <w:sz w:val="24"/>
          <w:szCs w:val="24"/>
        </w:rPr>
        <w:t xml:space="preserve">is no explanation why she did not instruct </w:t>
      </w:r>
      <w:r w:rsidR="00ED5F9D" w:rsidRPr="006E6FB9">
        <w:rPr>
          <w:rFonts w:ascii="Arial" w:hAnsi="Arial" w:cs="Arial"/>
          <w:sz w:val="24"/>
          <w:szCs w:val="24"/>
        </w:rPr>
        <w:t xml:space="preserve">her </w:t>
      </w:r>
      <w:r w:rsidR="00752E93" w:rsidRPr="006E6FB9">
        <w:rPr>
          <w:rFonts w:ascii="Arial" w:hAnsi="Arial" w:cs="Arial"/>
          <w:sz w:val="24"/>
          <w:szCs w:val="24"/>
        </w:rPr>
        <w:t>attorney</w:t>
      </w:r>
      <w:r w:rsidR="00ED5F9D" w:rsidRPr="006E6FB9">
        <w:rPr>
          <w:rFonts w:ascii="Arial" w:hAnsi="Arial" w:cs="Arial"/>
          <w:sz w:val="24"/>
          <w:szCs w:val="24"/>
        </w:rPr>
        <w:t>s</w:t>
      </w:r>
      <w:r w:rsidR="00752E93" w:rsidRPr="006E6FB9">
        <w:rPr>
          <w:rFonts w:ascii="Arial" w:hAnsi="Arial" w:cs="Arial"/>
          <w:sz w:val="24"/>
          <w:szCs w:val="24"/>
        </w:rPr>
        <w:t xml:space="preserve"> to also file the answering affidavit at th</w:t>
      </w:r>
      <w:r w:rsidR="003D7843" w:rsidRPr="006E6FB9">
        <w:rPr>
          <w:rFonts w:ascii="Arial" w:hAnsi="Arial" w:cs="Arial"/>
          <w:sz w:val="24"/>
          <w:szCs w:val="24"/>
        </w:rPr>
        <w:t>at time</w:t>
      </w:r>
      <w:r w:rsidR="00ED5F9D" w:rsidRPr="006E6FB9">
        <w:rPr>
          <w:rFonts w:ascii="Arial" w:hAnsi="Arial" w:cs="Arial"/>
          <w:sz w:val="24"/>
          <w:szCs w:val="24"/>
        </w:rPr>
        <w:t xml:space="preserve">, </w:t>
      </w:r>
      <w:r w:rsidR="003D7843" w:rsidRPr="006E6FB9">
        <w:rPr>
          <w:rFonts w:ascii="Arial" w:hAnsi="Arial" w:cs="Arial"/>
          <w:sz w:val="24"/>
          <w:szCs w:val="24"/>
        </w:rPr>
        <w:t xml:space="preserve">except to </w:t>
      </w:r>
      <w:r w:rsidR="00752E93" w:rsidRPr="006E6FB9">
        <w:rPr>
          <w:rFonts w:ascii="Arial" w:hAnsi="Arial" w:cs="Arial"/>
          <w:sz w:val="24"/>
          <w:szCs w:val="24"/>
        </w:rPr>
        <w:t xml:space="preserve">state that when the attorneys formally withdrew as attorney of record </w:t>
      </w:r>
      <w:r w:rsidR="002A479B" w:rsidRPr="006E6FB9">
        <w:rPr>
          <w:rFonts w:ascii="Arial" w:hAnsi="Arial" w:cs="Arial"/>
          <w:sz w:val="24"/>
          <w:szCs w:val="24"/>
        </w:rPr>
        <w:t xml:space="preserve">on 30 May 2022 </w:t>
      </w:r>
      <w:r w:rsidR="00752E93" w:rsidRPr="006E6FB9">
        <w:rPr>
          <w:rFonts w:ascii="Arial" w:hAnsi="Arial" w:cs="Arial"/>
          <w:sz w:val="24"/>
          <w:szCs w:val="24"/>
        </w:rPr>
        <w:t>she was under the impression that the required documents were filed</w:t>
      </w:r>
      <w:r w:rsidR="003D7843" w:rsidRPr="006E6FB9">
        <w:rPr>
          <w:rFonts w:ascii="Arial" w:hAnsi="Arial" w:cs="Arial"/>
          <w:sz w:val="24"/>
          <w:szCs w:val="24"/>
        </w:rPr>
        <w:t>. Th</w:t>
      </w:r>
      <w:r w:rsidR="00421625" w:rsidRPr="006E6FB9">
        <w:rPr>
          <w:rFonts w:ascii="Arial" w:hAnsi="Arial" w:cs="Arial"/>
          <w:sz w:val="24"/>
          <w:szCs w:val="24"/>
        </w:rPr>
        <w:t xml:space="preserve">ere is no explanation as to </w:t>
      </w:r>
      <w:r w:rsidR="002A479B" w:rsidRPr="006E6FB9">
        <w:rPr>
          <w:rFonts w:ascii="Arial" w:hAnsi="Arial" w:cs="Arial"/>
          <w:sz w:val="24"/>
          <w:szCs w:val="24"/>
        </w:rPr>
        <w:t>what she did from the day of the order to ensure that the answering affidavit and the heads of argument were filed. The respondent is the litigant not her legal representatives</w:t>
      </w:r>
      <w:r w:rsidR="00ED5F9D" w:rsidRPr="006E6FB9">
        <w:rPr>
          <w:rFonts w:ascii="Arial" w:hAnsi="Arial" w:cs="Arial"/>
          <w:sz w:val="24"/>
          <w:szCs w:val="24"/>
        </w:rPr>
        <w:t xml:space="preserve">, </w:t>
      </w:r>
      <w:r w:rsidR="002A479B" w:rsidRPr="006E6FB9">
        <w:rPr>
          <w:rFonts w:ascii="Arial" w:hAnsi="Arial" w:cs="Arial"/>
          <w:sz w:val="24"/>
          <w:szCs w:val="24"/>
        </w:rPr>
        <w:t xml:space="preserve">she waited for the whole two months </w:t>
      </w:r>
      <w:r w:rsidRPr="006E6FB9">
        <w:rPr>
          <w:rFonts w:ascii="Arial" w:hAnsi="Arial" w:cs="Arial"/>
          <w:sz w:val="24"/>
          <w:szCs w:val="24"/>
        </w:rPr>
        <w:t xml:space="preserve">and two days </w:t>
      </w:r>
      <w:r w:rsidR="002A479B" w:rsidRPr="006E6FB9">
        <w:rPr>
          <w:rFonts w:ascii="Arial" w:hAnsi="Arial" w:cs="Arial"/>
          <w:sz w:val="24"/>
          <w:szCs w:val="24"/>
        </w:rPr>
        <w:t xml:space="preserve">before the </w:t>
      </w:r>
      <w:r w:rsidRPr="006E6FB9">
        <w:rPr>
          <w:rFonts w:ascii="Arial" w:hAnsi="Arial" w:cs="Arial"/>
          <w:sz w:val="24"/>
          <w:szCs w:val="24"/>
        </w:rPr>
        <w:t xml:space="preserve">day of the </w:t>
      </w:r>
      <w:r w:rsidR="002A479B" w:rsidRPr="006E6FB9">
        <w:rPr>
          <w:rFonts w:ascii="Arial" w:hAnsi="Arial" w:cs="Arial"/>
          <w:sz w:val="24"/>
          <w:szCs w:val="24"/>
        </w:rPr>
        <w:t xml:space="preserve">hearing and filed an answering affidavit running in length </w:t>
      </w:r>
      <w:r w:rsidR="002A479B" w:rsidRPr="006E6FB9">
        <w:rPr>
          <w:rFonts w:ascii="Arial" w:hAnsi="Arial" w:cs="Arial"/>
          <w:sz w:val="24"/>
          <w:szCs w:val="24"/>
        </w:rPr>
        <w:lastRenderedPageBreak/>
        <w:t xml:space="preserve">to 736 </w:t>
      </w:r>
      <w:r w:rsidR="003D7843" w:rsidRPr="006E6FB9">
        <w:rPr>
          <w:rFonts w:ascii="Arial" w:hAnsi="Arial" w:cs="Arial"/>
          <w:sz w:val="24"/>
          <w:szCs w:val="24"/>
        </w:rPr>
        <w:t xml:space="preserve">pages </w:t>
      </w:r>
      <w:r w:rsidR="002A479B" w:rsidRPr="006E6FB9">
        <w:rPr>
          <w:rFonts w:ascii="Arial" w:hAnsi="Arial" w:cs="Arial"/>
          <w:sz w:val="24"/>
          <w:szCs w:val="24"/>
        </w:rPr>
        <w:t>including legal authorities.</w:t>
      </w:r>
      <w:r w:rsidR="00421625" w:rsidRPr="006E6FB9">
        <w:rPr>
          <w:rFonts w:ascii="Arial" w:hAnsi="Arial" w:cs="Arial"/>
          <w:sz w:val="24"/>
          <w:szCs w:val="24"/>
        </w:rPr>
        <w:t xml:space="preserve"> </w:t>
      </w:r>
      <w:r w:rsidR="00ED5F9D" w:rsidRPr="006E6FB9">
        <w:rPr>
          <w:rFonts w:ascii="Arial" w:hAnsi="Arial" w:cs="Arial"/>
          <w:sz w:val="24"/>
          <w:szCs w:val="24"/>
        </w:rPr>
        <w:t>The respondent has neglected her obligations as a litigant in this regard.</w:t>
      </w:r>
    </w:p>
    <w:p w:rsidR="00421625" w:rsidRPr="006E6FB9" w:rsidRDefault="007F6900" w:rsidP="006E6FB9">
      <w:pPr>
        <w:tabs>
          <w:tab w:val="left" w:pos="709"/>
        </w:tabs>
        <w:spacing w:after="0" w:line="360" w:lineRule="auto"/>
        <w:ind w:left="851" w:hanging="851"/>
        <w:jc w:val="both"/>
        <w:rPr>
          <w:rFonts w:ascii="Arial" w:hAnsi="Arial" w:cs="Arial"/>
          <w:sz w:val="24"/>
          <w:szCs w:val="24"/>
        </w:rPr>
      </w:pPr>
      <w:r w:rsidRPr="006E6FB9">
        <w:rPr>
          <w:rFonts w:ascii="Arial" w:hAnsi="Arial" w:cs="Arial"/>
          <w:sz w:val="24"/>
          <w:szCs w:val="24"/>
        </w:rPr>
        <w:t>[2</w:t>
      </w:r>
      <w:r w:rsidR="006E6FB9" w:rsidRPr="006E6FB9">
        <w:rPr>
          <w:rFonts w:ascii="Arial" w:hAnsi="Arial" w:cs="Arial"/>
          <w:sz w:val="24"/>
          <w:szCs w:val="24"/>
        </w:rPr>
        <w:t>2</w:t>
      </w:r>
      <w:r w:rsidR="00421625" w:rsidRPr="006E6FB9">
        <w:rPr>
          <w:rFonts w:ascii="Arial" w:hAnsi="Arial" w:cs="Arial"/>
          <w:sz w:val="24"/>
          <w:szCs w:val="24"/>
        </w:rPr>
        <w:t>]</w:t>
      </w:r>
      <w:r w:rsidR="00421625" w:rsidRPr="006E6FB9">
        <w:rPr>
          <w:rFonts w:ascii="Arial" w:hAnsi="Arial" w:cs="Arial"/>
          <w:sz w:val="24"/>
          <w:szCs w:val="24"/>
        </w:rPr>
        <w:tab/>
      </w:r>
      <w:r w:rsidR="00ED5F9D" w:rsidRPr="006E6FB9">
        <w:rPr>
          <w:rFonts w:ascii="Arial" w:hAnsi="Arial" w:cs="Arial"/>
          <w:sz w:val="24"/>
          <w:szCs w:val="24"/>
        </w:rPr>
        <w:t xml:space="preserve">The respondent’s lack of funds </w:t>
      </w:r>
      <w:r w:rsidR="00421625" w:rsidRPr="006E6FB9">
        <w:rPr>
          <w:rFonts w:ascii="Arial" w:hAnsi="Arial" w:cs="Arial"/>
          <w:sz w:val="24"/>
          <w:szCs w:val="24"/>
        </w:rPr>
        <w:t xml:space="preserve">to procure legal representation is also </w:t>
      </w:r>
      <w:r w:rsidR="00421625" w:rsidRPr="006E6FB9">
        <w:rPr>
          <w:rFonts w:ascii="Arial" w:hAnsi="Arial" w:cs="Arial"/>
          <w:sz w:val="24"/>
          <w:szCs w:val="24"/>
          <w:lang w:val="en-GB"/>
        </w:rPr>
        <w:t>not a sufficient explanation of delay</w:t>
      </w:r>
      <w:r w:rsidR="00ED5F9D" w:rsidRPr="006E6FB9">
        <w:rPr>
          <w:rFonts w:ascii="Arial" w:hAnsi="Arial" w:cs="Arial"/>
          <w:sz w:val="24"/>
          <w:szCs w:val="24"/>
          <w:lang w:val="en-GB"/>
        </w:rPr>
        <w:t xml:space="preserve"> under these circumstances</w:t>
      </w:r>
      <w:r w:rsidR="00421625" w:rsidRPr="006E6FB9">
        <w:rPr>
          <w:rFonts w:ascii="Arial" w:hAnsi="Arial" w:cs="Arial"/>
          <w:sz w:val="24"/>
          <w:szCs w:val="24"/>
          <w:lang w:val="en-GB"/>
        </w:rPr>
        <w:t xml:space="preserve">. </w:t>
      </w:r>
      <w:r w:rsidR="00ED5F9D" w:rsidRPr="006E6FB9">
        <w:rPr>
          <w:rFonts w:ascii="Arial" w:hAnsi="Arial" w:cs="Arial"/>
          <w:sz w:val="24"/>
          <w:szCs w:val="24"/>
        </w:rPr>
        <w:t xml:space="preserve">She </w:t>
      </w:r>
      <w:r w:rsidR="00014459" w:rsidRPr="006E6FB9">
        <w:rPr>
          <w:rFonts w:ascii="Arial" w:hAnsi="Arial" w:cs="Arial"/>
          <w:sz w:val="24"/>
          <w:szCs w:val="24"/>
        </w:rPr>
        <w:t>does not explain why if she deemed it necessary to be legally represented she did not consult the Legal Aid offices</w:t>
      </w:r>
      <w:r w:rsidR="003D7843" w:rsidRPr="006E6FB9">
        <w:rPr>
          <w:rFonts w:ascii="Arial" w:hAnsi="Arial" w:cs="Arial"/>
          <w:sz w:val="24"/>
          <w:szCs w:val="24"/>
        </w:rPr>
        <w:t xml:space="preserve">. She </w:t>
      </w:r>
      <w:r w:rsidR="00421625" w:rsidRPr="006E6FB9">
        <w:rPr>
          <w:rFonts w:ascii="Arial" w:hAnsi="Arial" w:cs="Arial"/>
          <w:sz w:val="24"/>
          <w:szCs w:val="24"/>
        </w:rPr>
        <w:t xml:space="preserve">instead </w:t>
      </w:r>
      <w:r w:rsidR="00014459" w:rsidRPr="006E6FB9">
        <w:rPr>
          <w:rFonts w:ascii="Arial" w:hAnsi="Arial" w:cs="Arial"/>
          <w:sz w:val="24"/>
          <w:szCs w:val="24"/>
        </w:rPr>
        <w:t xml:space="preserve">elected to conduct self-representation throughout all the </w:t>
      </w:r>
      <w:r w:rsidR="003D7843" w:rsidRPr="006E6FB9">
        <w:rPr>
          <w:rFonts w:ascii="Arial" w:hAnsi="Arial" w:cs="Arial"/>
          <w:sz w:val="24"/>
          <w:szCs w:val="24"/>
        </w:rPr>
        <w:t xml:space="preserve">court </w:t>
      </w:r>
      <w:r w:rsidR="00014459" w:rsidRPr="006E6FB9">
        <w:rPr>
          <w:rFonts w:ascii="Arial" w:hAnsi="Arial" w:cs="Arial"/>
          <w:sz w:val="24"/>
          <w:szCs w:val="24"/>
        </w:rPr>
        <w:t xml:space="preserve">appearances </w:t>
      </w:r>
      <w:r w:rsidR="00421625" w:rsidRPr="006E6FB9">
        <w:rPr>
          <w:rFonts w:ascii="Arial" w:hAnsi="Arial" w:cs="Arial"/>
          <w:sz w:val="24"/>
          <w:szCs w:val="24"/>
        </w:rPr>
        <w:t xml:space="preserve">where </w:t>
      </w:r>
      <w:r w:rsidR="00ED5F9D" w:rsidRPr="006E6FB9">
        <w:rPr>
          <w:rFonts w:ascii="Arial" w:hAnsi="Arial" w:cs="Arial"/>
          <w:sz w:val="24"/>
          <w:szCs w:val="24"/>
        </w:rPr>
        <w:t xml:space="preserve">I must say, that </w:t>
      </w:r>
      <w:r w:rsidR="00421625" w:rsidRPr="006E6FB9">
        <w:rPr>
          <w:rFonts w:ascii="Arial" w:hAnsi="Arial" w:cs="Arial"/>
          <w:sz w:val="24"/>
          <w:szCs w:val="24"/>
        </w:rPr>
        <w:t xml:space="preserve">she eloquently presented arguments after having filed voluminous opposing papers supported by extensive legal authorities. </w:t>
      </w:r>
    </w:p>
    <w:p w:rsidR="00E70D8C" w:rsidRPr="006E6FB9" w:rsidRDefault="00E70D8C" w:rsidP="00E70D8C">
      <w:pPr>
        <w:spacing w:after="0" w:line="360" w:lineRule="auto"/>
        <w:ind w:left="851" w:hanging="851"/>
        <w:jc w:val="both"/>
        <w:rPr>
          <w:rFonts w:ascii="Arial" w:hAnsi="Arial" w:cs="Arial"/>
          <w:sz w:val="24"/>
          <w:szCs w:val="24"/>
        </w:rPr>
      </w:pPr>
    </w:p>
    <w:p w:rsidR="00370B5C" w:rsidRPr="006E6FB9" w:rsidRDefault="007F6900" w:rsidP="007D1141">
      <w:pPr>
        <w:spacing w:after="0" w:line="360" w:lineRule="auto"/>
        <w:ind w:left="851" w:hanging="851"/>
        <w:jc w:val="both"/>
        <w:rPr>
          <w:rFonts w:ascii="Arial" w:hAnsi="Arial" w:cs="Arial"/>
          <w:sz w:val="24"/>
          <w:szCs w:val="24"/>
        </w:rPr>
      </w:pPr>
      <w:r w:rsidRPr="006E6FB9">
        <w:rPr>
          <w:rFonts w:ascii="Arial" w:hAnsi="Arial" w:cs="Arial"/>
          <w:sz w:val="24"/>
          <w:szCs w:val="24"/>
        </w:rPr>
        <w:t>[2</w:t>
      </w:r>
      <w:r w:rsidR="006E6FB9" w:rsidRPr="006E6FB9">
        <w:rPr>
          <w:rFonts w:ascii="Arial" w:hAnsi="Arial" w:cs="Arial"/>
          <w:sz w:val="24"/>
          <w:szCs w:val="24"/>
        </w:rPr>
        <w:t>3</w:t>
      </w:r>
      <w:r w:rsidR="00421625" w:rsidRPr="006E6FB9">
        <w:rPr>
          <w:rFonts w:ascii="Arial" w:hAnsi="Arial" w:cs="Arial"/>
          <w:sz w:val="24"/>
          <w:szCs w:val="24"/>
        </w:rPr>
        <w:t>]</w:t>
      </w:r>
      <w:r w:rsidR="00421625" w:rsidRPr="006E6FB9">
        <w:rPr>
          <w:rFonts w:ascii="Arial" w:hAnsi="Arial" w:cs="Arial"/>
          <w:sz w:val="24"/>
          <w:szCs w:val="24"/>
        </w:rPr>
        <w:tab/>
      </w:r>
      <w:r w:rsidR="003D7843" w:rsidRPr="006E6FB9">
        <w:rPr>
          <w:rFonts w:ascii="Arial" w:hAnsi="Arial" w:cs="Arial"/>
          <w:sz w:val="24"/>
          <w:szCs w:val="24"/>
          <w:lang w:val="en-GB"/>
        </w:rPr>
        <w:t>No basis whatsoever has been set out for absence of prejudice</w:t>
      </w:r>
      <w:r w:rsidR="00ED5F9D" w:rsidRPr="006E6FB9">
        <w:rPr>
          <w:rFonts w:ascii="Arial" w:hAnsi="Arial" w:cs="Arial"/>
          <w:sz w:val="24"/>
          <w:szCs w:val="24"/>
          <w:lang w:val="en-GB"/>
        </w:rPr>
        <w:t xml:space="preserve"> to Centlec, e</w:t>
      </w:r>
      <w:r w:rsidR="00370B5C" w:rsidRPr="006E6FB9">
        <w:rPr>
          <w:rFonts w:ascii="Arial" w:hAnsi="Arial" w:cs="Arial"/>
          <w:sz w:val="24"/>
          <w:szCs w:val="24"/>
          <w:lang w:val="en-GB"/>
        </w:rPr>
        <w:t xml:space="preserve">xcept to </w:t>
      </w:r>
      <w:r w:rsidR="00F00D42" w:rsidRPr="006E6FB9">
        <w:rPr>
          <w:rFonts w:ascii="Arial" w:hAnsi="Arial" w:cs="Arial"/>
          <w:sz w:val="24"/>
          <w:szCs w:val="24"/>
        </w:rPr>
        <w:t>fleeting</w:t>
      </w:r>
      <w:r w:rsidR="00421625" w:rsidRPr="006E6FB9">
        <w:rPr>
          <w:rFonts w:ascii="Arial" w:hAnsi="Arial" w:cs="Arial"/>
          <w:sz w:val="24"/>
          <w:szCs w:val="24"/>
        </w:rPr>
        <w:t xml:space="preserve">ly </w:t>
      </w:r>
      <w:r w:rsidR="00ED5F9D" w:rsidRPr="006E6FB9">
        <w:rPr>
          <w:rFonts w:ascii="Arial" w:hAnsi="Arial" w:cs="Arial"/>
          <w:sz w:val="24"/>
          <w:szCs w:val="24"/>
        </w:rPr>
        <w:t xml:space="preserve">assert </w:t>
      </w:r>
      <w:r w:rsidR="00F00D42" w:rsidRPr="006E6FB9">
        <w:rPr>
          <w:rFonts w:ascii="Arial" w:hAnsi="Arial" w:cs="Arial"/>
          <w:sz w:val="24"/>
          <w:szCs w:val="24"/>
        </w:rPr>
        <w:t xml:space="preserve">that the </w:t>
      </w:r>
      <w:r w:rsidR="00D33A1C" w:rsidRPr="006E6FB9">
        <w:rPr>
          <w:rFonts w:ascii="Arial" w:hAnsi="Arial" w:cs="Arial"/>
          <w:sz w:val="24"/>
          <w:szCs w:val="24"/>
        </w:rPr>
        <w:t>Centlec</w:t>
      </w:r>
      <w:r w:rsidR="00ED5F9D" w:rsidRPr="006E6FB9">
        <w:rPr>
          <w:rFonts w:ascii="Arial" w:hAnsi="Arial" w:cs="Arial"/>
          <w:sz w:val="24"/>
          <w:szCs w:val="24"/>
        </w:rPr>
        <w:t xml:space="preserve"> </w:t>
      </w:r>
      <w:r w:rsidR="00F00D42" w:rsidRPr="006E6FB9">
        <w:rPr>
          <w:rFonts w:ascii="Arial" w:hAnsi="Arial" w:cs="Arial"/>
          <w:sz w:val="24"/>
          <w:szCs w:val="24"/>
        </w:rPr>
        <w:t>is not prejudiced by the late answering affidavit</w:t>
      </w:r>
      <w:r w:rsidR="00ED5F9D" w:rsidRPr="006E6FB9">
        <w:rPr>
          <w:rFonts w:ascii="Arial" w:hAnsi="Arial" w:cs="Arial"/>
          <w:sz w:val="24"/>
          <w:szCs w:val="24"/>
        </w:rPr>
        <w:t xml:space="preserve"> and the heads of argument</w:t>
      </w:r>
      <w:r w:rsidR="00421625" w:rsidRPr="006E6FB9">
        <w:rPr>
          <w:rFonts w:ascii="Arial" w:hAnsi="Arial" w:cs="Arial"/>
          <w:sz w:val="24"/>
          <w:szCs w:val="24"/>
        </w:rPr>
        <w:t xml:space="preserve">, the respondent </w:t>
      </w:r>
      <w:r w:rsidR="00F00D42" w:rsidRPr="006E6FB9">
        <w:rPr>
          <w:rFonts w:ascii="Arial" w:hAnsi="Arial" w:cs="Arial"/>
          <w:sz w:val="24"/>
          <w:szCs w:val="24"/>
        </w:rPr>
        <w:t xml:space="preserve">does not explain why she is of the view that </w:t>
      </w:r>
      <w:r w:rsidR="00421625" w:rsidRPr="006E6FB9">
        <w:rPr>
          <w:rFonts w:ascii="Arial" w:hAnsi="Arial" w:cs="Arial"/>
          <w:sz w:val="24"/>
          <w:szCs w:val="24"/>
        </w:rPr>
        <w:t xml:space="preserve">Centlec </w:t>
      </w:r>
      <w:r w:rsidR="00F00D42" w:rsidRPr="006E6FB9">
        <w:rPr>
          <w:rFonts w:ascii="Arial" w:hAnsi="Arial" w:cs="Arial"/>
          <w:sz w:val="24"/>
          <w:szCs w:val="24"/>
        </w:rPr>
        <w:t xml:space="preserve">is not prejudiced </w:t>
      </w:r>
      <w:r w:rsidR="00421625" w:rsidRPr="006E6FB9">
        <w:rPr>
          <w:rFonts w:ascii="Arial" w:hAnsi="Arial" w:cs="Arial"/>
          <w:sz w:val="24"/>
          <w:szCs w:val="24"/>
        </w:rPr>
        <w:t xml:space="preserve">by being deprived of its right to reply to her belated </w:t>
      </w:r>
      <w:r w:rsidR="00ED5F9D" w:rsidRPr="006E6FB9">
        <w:rPr>
          <w:rFonts w:ascii="Arial" w:hAnsi="Arial" w:cs="Arial"/>
          <w:sz w:val="24"/>
          <w:szCs w:val="24"/>
        </w:rPr>
        <w:t>opposing papers</w:t>
      </w:r>
      <w:r w:rsidR="00421625" w:rsidRPr="006E6FB9">
        <w:rPr>
          <w:rFonts w:ascii="Arial" w:hAnsi="Arial" w:cs="Arial"/>
          <w:sz w:val="24"/>
          <w:szCs w:val="24"/>
        </w:rPr>
        <w:t xml:space="preserve">.  </w:t>
      </w:r>
    </w:p>
    <w:p w:rsidR="007D1141" w:rsidRPr="006E6FB9" w:rsidRDefault="007D1141" w:rsidP="007D1141">
      <w:pPr>
        <w:spacing w:after="0" w:line="360" w:lineRule="auto"/>
        <w:ind w:left="851" w:hanging="851"/>
        <w:jc w:val="both"/>
        <w:rPr>
          <w:rFonts w:ascii="Arial" w:hAnsi="Arial" w:cs="Arial"/>
          <w:sz w:val="24"/>
          <w:szCs w:val="24"/>
        </w:rPr>
      </w:pPr>
    </w:p>
    <w:p w:rsidR="0048025B" w:rsidRPr="006E6FB9" w:rsidRDefault="007F6900" w:rsidP="00421625">
      <w:pPr>
        <w:spacing w:after="360" w:line="360" w:lineRule="auto"/>
        <w:ind w:left="851" w:hanging="851"/>
        <w:jc w:val="both"/>
        <w:rPr>
          <w:rFonts w:ascii="Arial" w:hAnsi="Arial" w:cs="Arial"/>
          <w:sz w:val="24"/>
          <w:szCs w:val="24"/>
        </w:rPr>
      </w:pPr>
      <w:r w:rsidRPr="006E6FB9">
        <w:rPr>
          <w:rFonts w:ascii="Arial" w:hAnsi="Arial" w:cs="Arial"/>
          <w:sz w:val="24"/>
          <w:szCs w:val="24"/>
        </w:rPr>
        <w:t>[2</w:t>
      </w:r>
      <w:r w:rsidR="006E6FB9" w:rsidRPr="006E6FB9">
        <w:rPr>
          <w:rFonts w:ascii="Arial" w:hAnsi="Arial" w:cs="Arial"/>
          <w:sz w:val="24"/>
          <w:szCs w:val="24"/>
        </w:rPr>
        <w:t>4</w:t>
      </w:r>
      <w:r w:rsidR="00370B5C" w:rsidRPr="006E6FB9">
        <w:rPr>
          <w:rFonts w:ascii="Arial" w:hAnsi="Arial" w:cs="Arial"/>
          <w:sz w:val="24"/>
          <w:szCs w:val="24"/>
        </w:rPr>
        <w:t>]</w:t>
      </w:r>
      <w:r w:rsidR="00370B5C" w:rsidRPr="006E6FB9">
        <w:rPr>
          <w:rFonts w:ascii="Arial" w:hAnsi="Arial" w:cs="Arial"/>
          <w:sz w:val="24"/>
          <w:szCs w:val="24"/>
        </w:rPr>
        <w:tab/>
      </w:r>
      <w:r w:rsidR="0048025B" w:rsidRPr="006E6FB9">
        <w:rPr>
          <w:rFonts w:ascii="Arial" w:hAnsi="Arial" w:cs="Arial"/>
          <w:sz w:val="24"/>
          <w:szCs w:val="24"/>
        </w:rPr>
        <w:t xml:space="preserve">The respondent’s prospects of success </w:t>
      </w:r>
      <w:r w:rsidR="00421625" w:rsidRPr="006E6FB9">
        <w:rPr>
          <w:rFonts w:ascii="Arial" w:hAnsi="Arial" w:cs="Arial"/>
          <w:sz w:val="24"/>
          <w:szCs w:val="24"/>
        </w:rPr>
        <w:t xml:space="preserve">in the main application </w:t>
      </w:r>
      <w:r w:rsidR="0048025B" w:rsidRPr="006E6FB9">
        <w:rPr>
          <w:rFonts w:ascii="Arial" w:hAnsi="Arial" w:cs="Arial"/>
          <w:sz w:val="24"/>
          <w:szCs w:val="24"/>
        </w:rPr>
        <w:t xml:space="preserve">are </w:t>
      </w:r>
      <w:r w:rsidR="00370B5C" w:rsidRPr="006E6FB9">
        <w:rPr>
          <w:rFonts w:ascii="Arial" w:hAnsi="Arial" w:cs="Arial"/>
          <w:sz w:val="24"/>
          <w:szCs w:val="24"/>
        </w:rPr>
        <w:t xml:space="preserve">also </w:t>
      </w:r>
      <w:r w:rsidR="00ED5F9D" w:rsidRPr="006E6FB9">
        <w:rPr>
          <w:rFonts w:ascii="Arial" w:hAnsi="Arial" w:cs="Arial"/>
          <w:sz w:val="24"/>
          <w:szCs w:val="24"/>
        </w:rPr>
        <w:t xml:space="preserve">slim, </w:t>
      </w:r>
      <w:r w:rsidR="0048025B" w:rsidRPr="006E6FB9">
        <w:rPr>
          <w:rFonts w:ascii="Arial" w:hAnsi="Arial" w:cs="Arial"/>
          <w:sz w:val="24"/>
          <w:szCs w:val="24"/>
        </w:rPr>
        <w:t xml:space="preserve">considering </w:t>
      </w:r>
      <w:r w:rsidR="00ED5F9D" w:rsidRPr="006E6FB9">
        <w:rPr>
          <w:rFonts w:ascii="Arial" w:hAnsi="Arial" w:cs="Arial"/>
          <w:sz w:val="24"/>
          <w:szCs w:val="24"/>
        </w:rPr>
        <w:t xml:space="preserve">the fact </w:t>
      </w:r>
      <w:r w:rsidR="0048025B" w:rsidRPr="006E6FB9">
        <w:rPr>
          <w:rFonts w:ascii="Arial" w:hAnsi="Arial" w:cs="Arial"/>
          <w:sz w:val="24"/>
          <w:szCs w:val="24"/>
        </w:rPr>
        <w:t>that the settlement agreement which is a subject of this application and the circumstances under which it was concluded are not in dispute.</w:t>
      </w:r>
    </w:p>
    <w:p w:rsidR="008E6F22" w:rsidRPr="006E6FB9" w:rsidRDefault="00421625" w:rsidP="00672EBF">
      <w:pPr>
        <w:spacing w:line="360" w:lineRule="auto"/>
        <w:ind w:left="709" w:hanging="709"/>
        <w:jc w:val="both"/>
        <w:rPr>
          <w:rFonts w:ascii="Arial" w:hAnsi="Arial" w:cs="Arial"/>
          <w:sz w:val="24"/>
          <w:szCs w:val="24"/>
        </w:rPr>
      </w:pPr>
      <w:r w:rsidRPr="006E6FB9">
        <w:rPr>
          <w:rFonts w:ascii="Arial" w:hAnsi="Arial" w:cs="Arial"/>
          <w:sz w:val="24"/>
          <w:szCs w:val="24"/>
        </w:rPr>
        <w:t>[</w:t>
      </w:r>
      <w:r w:rsidR="007F6900" w:rsidRPr="006E6FB9">
        <w:rPr>
          <w:rFonts w:ascii="Arial" w:hAnsi="Arial" w:cs="Arial"/>
          <w:sz w:val="24"/>
          <w:szCs w:val="24"/>
        </w:rPr>
        <w:t>2</w:t>
      </w:r>
      <w:r w:rsidR="006E6FB9" w:rsidRPr="006E6FB9">
        <w:rPr>
          <w:rFonts w:ascii="Arial" w:hAnsi="Arial" w:cs="Arial"/>
          <w:sz w:val="24"/>
          <w:szCs w:val="24"/>
        </w:rPr>
        <w:t>5</w:t>
      </w:r>
      <w:r w:rsidRPr="006E6FB9">
        <w:rPr>
          <w:rFonts w:ascii="Arial" w:hAnsi="Arial" w:cs="Arial"/>
          <w:sz w:val="24"/>
          <w:szCs w:val="24"/>
        </w:rPr>
        <w:t>]</w:t>
      </w:r>
      <w:r w:rsidRPr="006E6FB9">
        <w:rPr>
          <w:rFonts w:ascii="Arial" w:hAnsi="Arial" w:cs="Arial"/>
          <w:sz w:val="24"/>
          <w:szCs w:val="24"/>
        </w:rPr>
        <w:tab/>
      </w:r>
      <w:r w:rsidR="0047263B" w:rsidRPr="006E6FB9">
        <w:rPr>
          <w:rFonts w:ascii="Arial" w:hAnsi="Arial" w:cs="Arial"/>
          <w:sz w:val="24"/>
          <w:szCs w:val="24"/>
        </w:rPr>
        <w:t>Th</w:t>
      </w:r>
      <w:r w:rsidR="0048025B" w:rsidRPr="006E6FB9">
        <w:rPr>
          <w:rFonts w:ascii="Arial" w:hAnsi="Arial" w:cs="Arial"/>
          <w:sz w:val="24"/>
          <w:szCs w:val="24"/>
        </w:rPr>
        <w:t xml:space="preserve">e </w:t>
      </w:r>
      <w:r w:rsidR="0047263B" w:rsidRPr="006E6FB9">
        <w:rPr>
          <w:rFonts w:ascii="Arial" w:hAnsi="Arial" w:cs="Arial"/>
          <w:sz w:val="24"/>
          <w:szCs w:val="24"/>
        </w:rPr>
        <w:t>matter does appear to be important to the parties</w:t>
      </w:r>
      <w:r w:rsidR="00F00D42" w:rsidRPr="006E6FB9">
        <w:rPr>
          <w:rFonts w:ascii="Arial" w:hAnsi="Arial" w:cs="Arial"/>
          <w:sz w:val="24"/>
          <w:szCs w:val="24"/>
        </w:rPr>
        <w:t xml:space="preserve">. </w:t>
      </w:r>
      <w:r w:rsidR="00F24132" w:rsidRPr="006E6FB9">
        <w:rPr>
          <w:rFonts w:ascii="Arial" w:hAnsi="Arial" w:cs="Arial"/>
          <w:sz w:val="24"/>
          <w:szCs w:val="24"/>
          <w:shd w:val="clear" w:color="auto" w:fill="FFFFFF"/>
        </w:rPr>
        <w:t xml:space="preserve">I’m </w:t>
      </w:r>
      <w:r w:rsidR="00C6793E" w:rsidRPr="006E6FB9">
        <w:rPr>
          <w:rFonts w:ascii="Arial" w:hAnsi="Arial" w:cs="Arial"/>
          <w:sz w:val="24"/>
          <w:szCs w:val="24"/>
          <w:shd w:val="clear" w:color="auto" w:fill="FFFFFF"/>
        </w:rPr>
        <w:t>also</w:t>
      </w:r>
      <w:r w:rsidR="00F00D42" w:rsidRPr="006E6FB9">
        <w:rPr>
          <w:rFonts w:ascii="Arial" w:hAnsi="Arial" w:cs="Arial"/>
          <w:sz w:val="24"/>
          <w:szCs w:val="24"/>
          <w:shd w:val="clear" w:color="auto" w:fill="FFFFFF"/>
        </w:rPr>
        <w:t xml:space="preserve"> </w:t>
      </w:r>
      <w:r w:rsidR="0047263B" w:rsidRPr="006E6FB9">
        <w:rPr>
          <w:rFonts w:ascii="Arial" w:hAnsi="Arial" w:cs="Arial"/>
          <w:sz w:val="24"/>
          <w:szCs w:val="24"/>
          <w:shd w:val="clear" w:color="auto" w:fill="FFFFFF"/>
        </w:rPr>
        <w:t>of the view that it would be i</w:t>
      </w:r>
      <w:r w:rsidR="008E6F22" w:rsidRPr="006E6FB9">
        <w:rPr>
          <w:rFonts w:ascii="Arial" w:hAnsi="Arial" w:cs="Arial"/>
          <w:sz w:val="24"/>
          <w:szCs w:val="24"/>
        </w:rPr>
        <w:t>n the interest</w:t>
      </w:r>
      <w:r w:rsidR="0048025B" w:rsidRPr="006E6FB9">
        <w:rPr>
          <w:rFonts w:ascii="Arial" w:hAnsi="Arial" w:cs="Arial"/>
          <w:sz w:val="24"/>
          <w:szCs w:val="24"/>
        </w:rPr>
        <w:t>s</w:t>
      </w:r>
      <w:r w:rsidR="008E6F22" w:rsidRPr="006E6FB9">
        <w:rPr>
          <w:rFonts w:ascii="Arial" w:hAnsi="Arial" w:cs="Arial"/>
          <w:sz w:val="24"/>
          <w:szCs w:val="24"/>
        </w:rPr>
        <w:t xml:space="preserve"> of justice and also of </w:t>
      </w:r>
      <w:r w:rsidR="00C6793E" w:rsidRPr="006E6FB9">
        <w:rPr>
          <w:rFonts w:ascii="Arial" w:hAnsi="Arial" w:cs="Arial"/>
          <w:sz w:val="24"/>
          <w:szCs w:val="24"/>
        </w:rPr>
        <w:t>Centle</w:t>
      </w:r>
      <w:r w:rsidR="000123BA" w:rsidRPr="006E6FB9">
        <w:rPr>
          <w:rFonts w:ascii="Arial" w:hAnsi="Arial" w:cs="Arial"/>
          <w:sz w:val="24"/>
          <w:szCs w:val="24"/>
        </w:rPr>
        <w:t>c</w:t>
      </w:r>
      <w:r w:rsidR="0047263B" w:rsidRPr="006E6FB9">
        <w:rPr>
          <w:rFonts w:ascii="Arial" w:hAnsi="Arial" w:cs="Arial"/>
          <w:sz w:val="24"/>
          <w:szCs w:val="24"/>
        </w:rPr>
        <w:t xml:space="preserve"> that the </w:t>
      </w:r>
      <w:r w:rsidR="007D4F6D" w:rsidRPr="006E6FB9">
        <w:rPr>
          <w:rFonts w:ascii="Arial" w:hAnsi="Arial" w:cs="Arial"/>
          <w:sz w:val="24"/>
          <w:szCs w:val="24"/>
        </w:rPr>
        <w:t xml:space="preserve">late </w:t>
      </w:r>
      <w:r w:rsidR="00C6793E" w:rsidRPr="006E6FB9">
        <w:rPr>
          <w:rFonts w:ascii="Arial" w:hAnsi="Arial" w:cs="Arial"/>
          <w:sz w:val="24"/>
          <w:szCs w:val="24"/>
        </w:rPr>
        <w:t xml:space="preserve">filing of the </w:t>
      </w:r>
      <w:r w:rsidR="00ED5F9D" w:rsidRPr="006E6FB9">
        <w:rPr>
          <w:rFonts w:ascii="Arial" w:hAnsi="Arial" w:cs="Arial"/>
          <w:sz w:val="24"/>
          <w:szCs w:val="24"/>
        </w:rPr>
        <w:t>opposing papers</w:t>
      </w:r>
      <w:r w:rsidR="00C6793E" w:rsidRPr="006E6FB9">
        <w:rPr>
          <w:rFonts w:ascii="Arial" w:hAnsi="Arial" w:cs="Arial"/>
          <w:sz w:val="24"/>
          <w:szCs w:val="24"/>
        </w:rPr>
        <w:t xml:space="preserve"> is </w:t>
      </w:r>
      <w:r w:rsidR="007D4F6D" w:rsidRPr="006E6FB9">
        <w:rPr>
          <w:rFonts w:ascii="Arial" w:hAnsi="Arial" w:cs="Arial"/>
          <w:sz w:val="24"/>
          <w:szCs w:val="24"/>
        </w:rPr>
        <w:t>condoned</w:t>
      </w:r>
      <w:r w:rsidR="0048025B" w:rsidRPr="006E6FB9">
        <w:rPr>
          <w:rFonts w:ascii="Arial" w:hAnsi="Arial" w:cs="Arial"/>
          <w:sz w:val="24"/>
          <w:szCs w:val="24"/>
        </w:rPr>
        <w:t xml:space="preserve"> for </w:t>
      </w:r>
      <w:r w:rsidR="007D4F6D" w:rsidRPr="006E6FB9">
        <w:rPr>
          <w:rFonts w:ascii="Arial" w:hAnsi="Arial" w:cs="Arial"/>
          <w:sz w:val="24"/>
          <w:szCs w:val="24"/>
        </w:rPr>
        <w:t xml:space="preserve">the </w:t>
      </w:r>
      <w:r w:rsidR="0047263B" w:rsidRPr="006E6FB9">
        <w:rPr>
          <w:rFonts w:ascii="Arial" w:hAnsi="Arial" w:cs="Arial"/>
          <w:sz w:val="24"/>
          <w:szCs w:val="24"/>
        </w:rPr>
        <w:t xml:space="preserve">matter </w:t>
      </w:r>
      <w:r w:rsidR="0048025B" w:rsidRPr="006E6FB9">
        <w:rPr>
          <w:rFonts w:ascii="Arial" w:hAnsi="Arial" w:cs="Arial"/>
          <w:sz w:val="24"/>
          <w:szCs w:val="24"/>
        </w:rPr>
        <w:t xml:space="preserve">to be </w:t>
      </w:r>
      <w:r w:rsidR="0047263B" w:rsidRPr="006E6FB9">
        <w:rPr>
          <w:rFonts w:ascii="Arial" w:hAnsi="Arial" w:cs="Arial"/>
          <w:sz w:val="24"/>
          <w:szCs w:val="24"/>
        </w:rPr>
        <w:t xml:space="preserve">heard and </w:t>
      </w:r>
      <w:r w:rsidR="0048025B" w:rsidRPr="006E6FB9">
        <w:rPr>
          <w:rFonts w:ascii="Arial" w:hAnsi="Arial" w:cs="Arial"/>
          <w:sz w:val="24"/>
          <w:szCs w:val="24"/>
          <w:shd w:val="clear" w:color="auto" w:fill="FFFFFF"/>
        </w:rPr>
        <w:t xml:space="preserve">advanced </w:t>
      </w:r>
      <w:r w:rsidR="0047263B" w:rsidRPr="006E6FB9">
        <w:rPr>
          <w:rFonts w:ascii="Arial" w:hAnsi="Arial" w:cs="Arial"/>
          <w:sz w:val="24"/>
          <w:szCs w:val="24"/>
        </w:rPr>
        <w:t>to finality.</w:t>
      </w:r>
    </w:p>
    <w:p w:rsidR="00C6793E" w:rsidRPr="006E6FB9" w:rsidRDefault="00C6793E" w:rsidP="00994749">
      <w:pPr>
        <w:pStyle w:val="FootnoteText"/>
        <w:spacing w:line="360" w:lineRule="auto"/>
        <w:rPr>
          <w:rFonts w:ascii="Arial" w:hAnsi="Arial" w:cs="Arial"/>
          <w:sz w:val="24"/>
          <w:szCs w:val="24"/>
        </w:rPr>
      </w:pPr>
    </w:p>
    <w:p w:rsidR="00116270" w:rsidRPr="006E6FB9" w:rsidRDefault="007F6900" w:rsidP="00C6793E">
      <w:pPr>
        <w:pStyle w:val="FootnoteText"/>
        <w:spacing w:line="360" w:lineRule="auto"/>
        <w:ind w:left="709" w:hanging="709"/>
        <w:jc w:val="both"/>
        <w:rPr>
          <w:rFonts w:ascii="Arial" w:hAnsi="Arial" w:cs="Arial"/>
          <w:sz w:val="24"/>
          <w:szCs w:val="24"/>
        </w:rPr>
      </w:pPr>
      <w:r w:rsidRPr="006E6FB9">
        <w:rPr>
          <w:rFonts w:ascii="Arial" w:hAnsi="Arial" w:cs="Arial"/>
          <w:sz w:val="24"/>
          <w:szCs w:val="24"/>
        </w:rPr>
        <w:t>[2</w:t>
      </w:r>
      <w:r w:rsidR="006E6FB9" w:rsidRPr="006E6FB9">
        <w:rPr>
          <w:rFonts w:ascii="Arial" w:hAnsi="Arial" w:cs="Arial"/>
          <w:sz w:val="24"/>
          <w:szCs w:val="24"/>
        </w:rPr>
        <w:t>6</w:t>
      </w:r>
      <w:r w:rsidR="00C6793E" w:rsidRPr="006E6FB9">
        <w:rPr>
          <w:rFonts w:ascii="Arial" w:hAnsi="Arial" w:cs="Arial"/>
          <w:sz w:val="24"/>
          <w:szCs w:val="24"/>
        </w:rPr>
        <w:t>]</w:t>
      </w:r>
      <w:r w:rsidR="00C6793E" w:rsidRPr="006E6FB9">
        <w:rPr>
          <w:rFonts w:ascii="Arial" w:hAnsi="Arial" w:cs="Arial"/>
          <w:sz w:val="24"/>
          <w:szCs w:val="24"/>
        </w:rPr>
        <w:tab/>
        <w:t xml:space="preserve">Regarding the respondents’ </w:t>
      </w:r>
      <w:r w:rsidR="00C6793E" w:rsidRPr="006E6FB9">
        <w:rPr>
          <w:rFonts w:ascii="Arial" w:hAnsi="Arial" w:cs="Arial"/>
          <w:i/>
          <w:sz w:val="24"/>
          <w:szCs w:val="24"/>
        </w:rPr>
        <w:t>in limine</w:t>
      </w:r>
      <w:r w:rsidR="00C6793E" w:rsidRPr="006E6FB9">
        <w:rPr>
          <w:rFonts w:ascii="Arial" w:hAnsi="Arial" w:cs="Arial"/>
          <w:sz w:val="24"/>
          <w:szCs w:val="24"/>
        </w:rPr>
        <w:t xml:space="preserve"> objections, there is no merit to the respondent’s </w:t>
      </w:r>
      <w:r w:rsidR="002A485A" w:rsidRPr="006E6FB9">
        <w:rPr>
          <w:rFonts w:ascii="Arial" w:hAnsi="Arial" w:cs="Arial"/>
          <w:sz w:val="24"/>
          <w:szCs w:val="24"/>
        </w:rPr>
        <w:t xml:space="preserve">objection to the authority </w:t>
      </w:r>
      <w:r w:rsidR="00C6793E" w:rsidRPr="006E6FB9">
        <w:rPr>
          <w:rFonts w:ascii="Arial" w:hAnsi="Arial" w:cs="Arial"/>
          <w:sz w:val="24"/>
          <w:szCs w:val="24"/>
        </w:rPr>
        <w:t xml:space="preserve">of Centlec’s representative to </w:t>
      </w:r>
      <w:r w:rsidR="000B0B36" w:rsidRPr="006E6FB9">
        <w:rPr>
          <w:rFonts w:ascii="Arial" w:hAnsi="Arial" w:cs="Arial"/>
          <w:sz w:val="24"/>
          <w:szCs w:val="24"/>
        </w:rPr>
        <w:t xml:space="preserve">depose to the founding affidavit or to </w:t>
      </w:r>
      <w:r w:rsidR="00C6793E" w:rsidRPr="006E6FB9">
        <w:rPr>
          <w:rFonts w:ascii="Arial" w:hAnsi="Arial" w:cs="Arial"/>
          <w:sz w:val="24"/>
          <w:szCs w:val="24"/>
        </w:rPr>
        <w:t xml:space="preserve">act on behalf of Centlec. It is now settled law that a </w:t>
      </w:r>
      <w:r w:rsidR="00116270" w:rsidRPr="006E6FB9">
        <w:rPr>
          <w:rFonts w:ascii="Arial" w:hAnsi="Arial" w:cs="Arial"/>
          <w:sz w:val="24"/>
          <w:szCs w:val="24"/>
        </w:rPr>
        <w:t xml:space="preserve">remedy </w:t>
      </w:r>
      <w:r w:rsidR="00B42437" w:rsidRPr="006E6FB9">
        <w:rPr>
          <w:rFonts w:ascii="Arial" w:hAnsi="Arial" w:cs="Arial"/>
          <w:sz w:val="24"/>
          <w:szCs w:val="24"/>
        </w:rPr>
        <w:t xml:space="preserve">for </w:t>
      </w:r>
      <w:r w:rsidR="00C6793E" w:rsidRPr="006E6FB9">
        <w:rPr>
          <w:rFonts w:ascii="Arial" w:hAnsi="Arial" w:cs="Arial"/>
          <w:sz w:val="24"/>
          <w:szCs w:val="24"/>
        </w:rPr>
        <w:t>a respondent who wishe</w:t>
      </w:r>
      <w:r w:rsidR="000B0B36" w:rsidRPr="006E6FB9">
        <w:rPr>
          <w:rFonts w:ascii="Arial" w:hAnsi="Arial" w:cs="Arial"/>
          <w:sz w:val="24"/>
          <w:szCs w:val="24"/>
        </w:rPr>
        <w:t xml:space="preserve">s </w:t>
      </w:r>
      <w:r w:rsidR="00C6793E" w:rsidRPr="006E6FB9">
        <w:rPr>
          <w:rFonts w:ascii="Arial" w:hAnsi="Arial" w:cs="Arial"/>
          <w:sz w:val="24"/>
          <w:szCs w:val="24"/>
        </w:rPr>
        <w:t xml:space="preserve">to challenge the authority of a person </w:t>
      </w:r>
      <w:r w:rsidR="00C6793E" w:rsidRPr="006E6FB9">
        <w:rPr>
          <w:rFonts w:ascii="Arial" w:hAnsi="Arial" w:cs="Arial"/>
          <w:sz w:val="24"/>
          <w:szCs w:val="24"/>
        </w:rPr>
        <w:lastRenderedPageBreak/>
        <w:t xml:space="preserve">allegedly acting on behalf of </w:t>
      </w:r>
      <w:r w:rsidR="000B0B36" w:rsidRPr="006E6FB9">
        <w:rPr>
          <w:rFonts w:ascii="Arial" w:hAnsi="Arial" w:cs="Arial"/>
          <w:sz w:val="24"/>
          <w:szCs w:val="24"/>
        </w:rPr>
        <w:t>an</w:t>
      </w:r>
      <w:r w:rsidR="00C6793E" w:rsidRPr="006E6FB9">
        <w:rPr>
          <w:rFonts w:ascii="Arial" w:hAnsi="Arial" w:cs="Arial"/>
          <w:sz w:val="24"/>
          <w:szCs w:val="24"/>
        </w:rPr>
        <w:t xml:space="preserve"> applicant </w:t>
      </w:r>
      <w:r w:rsidR="000B0B36" w:rsidRPr="006E6FB9">
        <w:rPr>
          <w:rFonts w:ascii="Arial" w:hAnsi="Arial" w:cs="Arial"/>
          <w:sz w:val="24"/>
          <w:szCs w:val="24"/>
        </w:rPr>
        <w:t xml:space="preserve">(legal entity) </w:t>
      </w:r>
      <w:r w:rsidR="00C6793E" w:rsidRPr="006E6FB9">
        <w:rPr>
          <w:rFonts w:ascii="Arial" w:hAnsi="Arial" w:cs="Arial"/>
          <w:sz w:val="24"/>
          <w:szCs w:val="24"/>
        </w:rPr>
        <w:t xml:space="preserve">is now provided </w:t>
      </w:r>
      <w:r w:rsidR="00116270" w:rsidRPr="006E6FB9">
        <w:rPr>
          <w:rFonts w:ascii="Arial" w:hAnsi="Arial" w:cs="Arial"/>
          <w:sz w:val="24"/>
          <w:szCs w:val="24"/>
        </w:rPr>
        <w:t>for in Rule 7(1</w:t>
      </w:r>
      <w:r w:rsidR="00B42437" w:rsidRPr="006E6FB9">
        <w:rPr>
          <w:rFonts w:ascii="Arial" w:hAnsi="Arial" w:cs="Arial"/>
          <w:sz w:val="24"/>
          <w:szCs w:val="24"/>
        </w:rPr>
        <w:t>) of the Uniform Rules</w:t>
      </w:r>
      <w:r w:rsidR="00FA2B2F" w:rsidRPr="006E6FB9">
        <w:rPr>
          <w:rFonts w:ascii="Arial" w:hAnsi="Arial" w:cs="Arial"/>
          <w:sz w:val="24"/>
          <w:szCs w:val="24"/>
        </w:rPr>
        <w:t xml:space="preserve"> of court.</w:t>
      </w:r>
      <w:r w:rsidR="00B42437" w:rsidRPr="006E6FB9">
        <w:rPr>
          <w:rStyle w:val="FootnoteReference"/>
          <w:rFonts w:ascii="Arial" w:hAnsi="Arial" w:cs="Arial"/>
          <w:sz w:val="24"/>
          <w:szCs w:val="24"/>
        </w:rPr>
        <w:footnoteReference w:id="5"/>
      </w:r>
      <w:r w:rsidR="00B42437" w:rsidRPr="006E6FB9">
        <w:rPr>
          <w:rFonts w:ascii="Arial" w:hAnsi="Arial" w:cs="Arial"/>
          <w:sz w:val="24"/>
          <w:szCs w:val="24"/>
        </w:rPr>
        <w:t xml:space="preserve"> </w:t>
      </w:r>
    </w:p>
    <w:p w:rsidR="00370B5C" w:rsidRPr="006E6FB9" w:rsidRDefault="00370B5C" w:rsidP="00C6793E">
      <w:pPr>
        <w:pStyle w:val="FootnoteText"/>
        <w:spacing w:line="360" w:lineRule="auto"/>
        <w:ind w:left="709" w:hanging="709"/>
        <w:jc w:val="both"/>
        <w:rPr>
          <w:rFonts w:ascii="Arial" w:hAnsi="Arial" w:cs="Arial"/>
          <w:sz w:val="24"/>
          <w:szCs w:val="24"/>
          <w:lang w:val="en-US"/>
        </w:rPr>
      </w:pPr>
    </w:p>
    <w:p w:rsidR="00FA2B2F" w:rsidRPr="006E6FB9" w:rsidRDefault="007F6900" w:rsidP="00720551">
      <w:pPr>
        <w:spacing w:after="0" w:line="360" w:lineRule="auto"/>
        <w:ind w:left="709" w:hanging="709"/>
        <w:jc w:val="both"/>
        <w:rPr>
          <w:rFonts w:ascii="Arial" w:hAnsi="Arial" w:cs="Arial"/>
          <w:sz w:val="24"/>
          <w:szCs w:val="24"/>
        </w:rPr>
      </w:pPr>
      <w:r w:rsidRPr="006E6FB9">
        <w:rPr>
          <w:rFonts w:ascii="Arial" w:hAnsi="Arial" w:cs="Arial"/>
          <w:sz w:val="24"/>
          <w:szCs w:val="24"/>
        </w:rPr>
        <w:t>[2</w:t>
      </w:r>
      <w:r w:rsidR="006E6FB9" w:rsidRPr="006E6FB9">
        <w:rPr>
          <w:rFonts w:ascii="Arial" w:hAnsi="Arial" w:cs="Arial"/>
          <w:sz w:val="24"/>
          <w:szCs w:val="24"/>
        </w:rPr>
        <w:t>7</w:t>
      </w:r>
      <w:r w:rsidR="00FA2B2F" w:rsidRPr="006E6FB9">
        <w:rPr>
          <w:rFonts w:ascii="Arial" w:hAnsi="Arial" w:cs="Arial"/>
          <w:sz w:val="24"/>
          <w:szCs w:val="24"/>
        </w:rPr>
        <w:t>]</w:t>
      </w:r>
      <w:r w:rsidR="00FA2B2F" w:rsidRPr="006E6FB9">
        <w:rPr>
          <w:rFonts w:ascii="Arial" w:hAnsi="Arial" w:cs="Arial"/>
          <w:sz w:val="24"/>
          <w:szCs w:val="24"/>
        </w:rPr>
        <w:tab/>
        <w:t>Rule 7 states thus:</w:t>
      </w:r>
    </w:p>
    <w:p w:rsidR="00FA2B2F" w:rsidRPr="006E6FB9" w:rsidRDefault="00FA2B2F" w:rsidP="00720551">
      <w:pPr>
        <w:spacing w:after="0" w:line="360" w:lineRule="auto"/>
        <w:ind w:left="709"/>
        <w:jc w:val="both"/>
        <w:rPr>
          <w:rFonts w:ascii="Arial" w:hAnsi="Arial" w:cs="Arial"/>
          <w:i/>
          <w:sz w:val="20"/>
          <w:szCs w:val="20"/>
        </w:rPr>
      </w:pPr>
      <w:r w:rsidRPr="006E6FB9">
        <w:rPr>
          <w:rFonts w:ascii="Arial" w:hAnsi="Arial" w:cs="Arial"/>
          <w:i/>
          <w:sz w:val="20"/>
          <w:szCs w:val="20"/>
        </w:rPr>
        <w:t>“</w:t>
      </w:r>
      <w:r w:rsidRPr="006E6FB9">
        <w:rPr>
          <w:rFonts w:ascii="Arial" w:hAnsi="Arial" w:cs="Arial"/>
          <w:b/>
          <w:i/>
          <w:sz w:val="20"/>
          <w:szCs w:val="20"/>
        </w:rPr>
        <w:t>Power of attorney</w:t>
      </w:r>
      <w:r w:rsidRPr="006E6FB9">
        <w:rPr>
          <w:rFonts w:ascii="Arial" w:hAnsi="Arial" w:cs="Arial"/>
          <w:i/>
          <w:sz w:val="20"/>
          <w:szCs w:val="20"/>
        </w:rPr>
        <w:t>:</w:t>
      </w:r>
    </w:p>
    <w:p w:rsidR="00720551" w:rsidRPr="006E6FB9" w:rsidRDefault="00720551" w:rsidP="00720551">
      <w:pPr>
        <w:spacing w:after="0" w:line="360" w:lineRule="auto"/>
        <w:ind w:left="709"/>
        <w:jc w:val="both"/>
        <w:rPr>
          <w:rFonts w:ascii="Arial" w:hAnsi="Arial" w:cs="Arial"/>
          <w:i/>
          <w:sz w:val="20"/>
          <w:szCs w:val="20"/>
        </w:rPr>
      </w:pPr>
    </w:p>
    <w:p w:rsidR="00FA2B2F" w:rsidRPr="006E6FB9" w:rsidRDefault="00FA2B2F" w:rsidP="00720551">
      <w:pPr>
        <w:pStyle w:val="ListParagraph"/>
        <w:numPr>
          <w:ilvl w:val="0"/>
          <w:numId w:val="29"/>
        </w:numPr>
        <w:spacing w:after="0" w:line="360" w:lineRule="auto"/>
        <w:ind w:left="1066" w:hanging="357"/>
        <w:jc w:val="both"/>
        <w:rPr>
          <w:rFonts w:ascii="Arial" w:hAnsi="Arial" w:cs="Arial"/>
          <w:i/>
          <w:sz w:val="20"/>
          <w:szCs w:val="20"/>
        </w:rPr>
      </w:pPr>
      <w:r w:rsidRPr="006E6FB9">
        <w:rPr>
          <w:rFonts w:ascii="Arial" w:hAnsi="Arial" w:cs="Arial"/>
          <w:i/>
          <w:sz w:val="20"/>
          <w:szCs w:val="20"/>
        </w:rPr>
        <w:t>Subject to the provisions of subrules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satisfied the court that he is authorised so to act, and to enable him to do so the court may postpone the hearing of the action or application.”</w:t>
      </w:r>
    </w:p>
    <w:p w:rsidR="00720551" w:rsidRPr="006E6FB9" w:rsidRDefault="00720551" w:rsidP="00720551">
      <w:pPr>
        <w:pStyle w:val="ListParagraph"/>
        <w:spacing w:after="0" w:line="360" w:lineRule="auto"/>
        <w:ind w:left="1066"/>
        <w:jc w:val="both"/>
        <w:rPr>
          <w:rFonts w:ascii="Arial" w:hAnsi="Arial" w:cs="Arial"/>
          <w:i/>
          <w:sz w:val="20"/>
          <w:szCs w:val="20"/>
        </w:rPr>
      </w:pPr>
    </w:p>
    <w:p w:rsidR="002A485A" w:rsidRPr="006E6FB9" w:rsidRDefault="007F6900" w:rsidP="002E170E">
      <w:pPr>
        <w:spacing w:after="0" w:line="360" w:lineRule="auto"/>
        <w:ind w:left="709" w:hanging="709"/>
        <w:jc w:val="both"/>
        <w:rPr>
          <w:rFonts w:ascii="Arial" w:hAnsi="Arial" w:cs="Arial"/>
          <w:sz w:val="24"/>
          <w:szCs w:val="24"/>
        </w:rPr>
      </w:pPr>
      <w:r w:rsidRPr="006E6FB9">
        <w:rPr>
          <w:rFonts w:ascii="Arial" w:hAnsi="Arial" w:cs="Arial"/>
          <w:sz w:val="24"/>
          <w:szCs w:val="24"/>
        </w:rPr>
        <w:t>[2</w:t>
      </w:r>
      <w:r w:rsidR="006E6FB9" w:rsidRPr="006E6FB9">
        <w:rPr>
          <w:rFonts w:ascii="Arial" w:hAnsi="Arial" w:cs="Arial"/>
          <w:sz w:val="24"/>
          <w:szCs w:val="24"/>
        </w:rPr>
        <w:t>8</w:t>
      </w:r>
      <w:r w:rsidR="00FA2B2F" w:rsidRPr="006E6FB9">
        <w:rPr>
          <w:rFonts w:ascii="Arial" w:hAnsi="Arial" w:cs="Arial"/>
          <w:sz w:val="24"/>
          <w:szCs w:val="24"/>
        </w:rPr>
        <w:t>]</w:t>
      </w:r>
      <w:r w:rsidR="00FA2B2F" w:rsidRPr="006E6FB9">
        <w:rPr>
          <w:rFonts w:ascii="Arial" w:hAnsi="Arial" w:cs="Arial"/>
          <w:sz w:val="24"/>
          <w:szCs w:val="24"/>
        </w:rPr>
        <w:tab/>
        <w:t xml:space="preserve">It is common cause that the respondent’s notice in that regard was only filed </w:t>
      </w:r>
      <w:r w:rsidR="00694FF6" w:rsidRPr="006E6FB9">
        <w:rPr>
          <w:rFonts w:ascii="Arial" w:hAnsi="Arial" w:cs="Arial"/>
          <w:sz w:val="24"/>
          <w:szCs w:val="24"/>
        </w:rPr>
        <w:t xml:space="preserve">on </w:t>
      </w:r>
      <w:r w:rsidR="00FA2B2F" w:rsidRPr="006E6FB9">
        <w:rPr>
          <w:rFonts w:ascii="Arial" w:hAnsi="Arial" w:cs="Arial"/>
          <w:sz w:val="24"/>
          <w:szCs w:val="24"/>
        </w:rPr>
        <w:t>31 May 2022</w:t>
      </w:r>
      <w:r w:rsidR="00EE0B7F" w:rsidRPr="006E6FB9">
        <w:rPr>
          <w:rFonts w:ascii="Arial" w:hAnsi="Arial" w:cs="Arial"/>
          <w:sz w:val="24"/>
          <w:szCs w:val="24"/>
        </w:rPr>
        <w:t xml:space="preserve"> well out of the time prescribed by the rule</w:t>
      </w:r>
      <w:r w:rsidR="000B0B36" w:rsidRPr="006E6FB9">
        <w:rPr>
          <w:rFonts w:ascii="Arial" w:hAnsi="Arial" w:cs="Arial"/>
          <w:sz w:val="24"/>
          <w:szCs w:val="24"/>
        </w:rPr>
        <w:t xml:space="preserve">. </w:t>
      </w:r>
      <w:r w:rsidR="00EE0B7F" w:rsidRPr="006E6FB9">
        <w:rPr>
          <w:rFonts w:ascii="Arial" w:hAnsi="Arial" w:cs="Arial"/>
          <w:sz w:val="24"/>
          <w:szCs w:val="24"/>
        </w:rPr>
        <w:t xml:space="preserve"> No condonation was sought for the late filing, consequently there is </w:t>
      </w:r>
      <w:r w:rsidR="002A485A" w:rsidRPr="006E6FB9">
        <w:rPr>
          <w:rFonts w:ascii="Arial" w:hAnsi="Arial" w:cs="Arial"/>
          <w:sz w:val="24"/>
          <w:szCs w:val="24"/>
        </w:rPr>
        <w:t xml:space="preserve">no proper objection to authority before this Court.  </w:t>
      </w:r>
    </w:p>
    <w:p w:rsidR="002E170E" w:rsidRPr="006E6FB9" w:rsidRDefault="002E170E" w:rsidP="002E170E">
      <w:pPr>
        <w:spacing w:after="0" w:line="360" w:lineRule="auto"/>
        <w:ind w:left="709" w:hanging="709"/>
        <w:jc w:val="both"/>
        <w:rPr>
          <w:rFonts w:ascii="Arial" w:hAnsi="Arial" w:cs="Arial"/>
          <w:sz w:val="24"/>
          <w:szCs w:val="24"/>
        </w:rPr>
      </w:pPr>
    </w:p>
    <w:p w:rsidR="000B0B36" w:rsidRPr="006E6FB9" w:rsidRDefault="007F6900" w:rsidP="00DE286A">
      <w:pPr>
        <w:pStyle w:val="FootnoteText"/>
        <w:spacing w:line="360" w:lineRule="auto"/>
        <w:ind w:left="709" w:hanging="709"/>
        <w:jc w:val="both"/>
        <w:rPr>
          <w:rFonts w:ascii="Arial" w:hAnsi="Arial" w:cs="Arial"/>
          <w:sz w:val="24"/>
          <w:szCs w:val="24"/>
        </w:rPr>
      </w:pPr>
      <w:r w:rsidRPr="006E6FB9">
        <w:rPr>
          <w:rFonts w:ascii="Arial" w:hAnsi="Arial" w:cs="Arial"/>
          <w:sz w:val="24"/>
          <w:szCs w:val="24"/>
        </w:rPr>
        <w:t>[2</w:t>
      </w:r>
      <w:r w:rsidR="006E6FB9" w:rsidRPr="006E6FB9">
        <w:rPr>
          <w:rFonts w:ascii="Arial" w:hAnsi="Arial" w:cs="Arial"/>
          <w:sz w:val="24"/>
          <w:szCs w:val="24"/>
        </w:rPr>
        <w:t>9</w:t>
      </w:r>
      <w:r w:rsidR="00EE0B7F" w:rsidRPr="006E6FB9">
        <w:rPr>
          <w:rFonts w:ascii="Arial" w:hAnsi="Arial" w:cs="Arial"/>
          <w:sz w:val="24"/>
          <w:szCs w:val="24"/>
        </w:rPr>
        <w:t>]</w:t>
      </w:r>
      <w:r w:rsidR="00EE0B7F" w:rsidRPr="006E6FB9">
        <w:rPr>
          <w:rFonts w:ascii="Arial" w:hAnsi="Arial" w:cs="Arial"/>
          <w:sz w:val="24"/>
          <w:szCs w:val="24"/>
        </w:rPr>
        <w:tab/>
      </w:r>
      <w:r w:rsidR="002A485A" w:rsidRPr="006E6FB9">
        <w:rPr>
          <w:rFonts w:ascii="Arial" w:hAnsi="Arial" w:cs="Arial"/>
          <w:sz w:val="24"/>
          <w:szCs w:val="24"/>
        </w:rPr>
        <w:t xml:space="preserve">Similarly, the objection </w:t>
      </w:r>
      <w:r w:rsidR="00694FF6" w:rsidRPr="006E6FB9">
        <w:rPr>
          <w:rFonts w:ascii="Arial" w:hAnsi="Arial" w:cs="Arial"/>
          <w:sz w:val="24"/>
          <w:szCs w:val="24"/>
        </w:rPr>
        <w:t xml:space="preserve">against </w:t>
      </w:r>
      <w:r w:rsidR="002A485A" w:rsidRPr="006E6FB9">
        <w:rPr>
          <w:rFonts w:ascii="Arial" w:hAnsi="Arial" w:cs="Arial"/>
          <w:sz w:val="24"/>
          <w:szCs w:val="24"/>
        </w:rPr>
        <w:t xml:space="preserve">this court’s </w:t>
      </w:r>
      <w:r w:rsidR="000B09C9" w:rsidRPr="006E6FB9">
        <w:rPr>
          <w:rFonts w:ascii="Arial" w:hAnsi="Arial" w:cs="Arial"/>
          <w:sz w:val="24"/>
          <w:szCs w:val="24"/>
        </w:rPr>
        <w:t>jurisdiction</w:t>
      </w:r>
      <w:r w:rsidR="002A485A" w:rsidRPr="006E6FB9">
        <w:rPr>
          <w:rFonts w:ascii="Arial" w:hAnsi="Arial" w:cs="Arial"/>
          <w:sz w:val="24"/>
          <w:szCs w:val="24"/>
        </w:rPr>
        <w:t xml:space="preserve"> to entertain th</w:t>
      </w:r>
      <w:r w:rsidR="00EE0B7F" w:rsidRPr="006E6FB9">
        <w:rPr>
          <w:rFonts w:ascii="Arial" w:hAnsi="Arial" w:cs="Arial"/>
          <w:sz w:val="24"/>
          <w:szCs w:val="24"/>
        </w:rPr>
        <w:t xml:space="preserve">is </w:t>
      </w:r>
      <w:r w:rsidR="00694FF6" w:rsidRPr="006E6FB9">
        <w:rPr>
          <w:rFonts w:ascii="Arial" w:hAnsi="Arial" w:cs="Arial"/>
          <w:sz w:val="24"/>
          <w:szCs w:val="24"/>
        </w:rPr>
        <w:t>matter i</w:t>
      </w:r>
      <w:r w:rsidR="000123BA" w:rsidRPr="006E6FB9">
        <w:rPr>
          <w:rFonts w:ascii="Arial" w:hAnsi="Arial" w:cs="Arial"/>
          <w:sz w:val="24"/>
          <w:szCs w:val="24"/>
        </w:rPr>
        <w:t xml:space="preserve">s unsustainable. The </w:t>
      </w:r>
      <w:r w:rsidR="00056063" w:rsidRPr="006E6FB9">
        <w:rPr>
          <w:rFonts w:ascii="Arial" w:hAnsi="Arial" w:cs="Arial"/>
          <w:sz w:val="24"/>
          <w:szCs w:val="24"/>
        </w:rPr>
        <w:t>relief sought by Centlec is essentially a declarator</w:t>
      </w:r>
      <w:r w:rsidR="00182927" w:rsidRPr="006E6FB9">
        <w:rPr>
          <w:rFonts w:ascii="Arial" w:hAnsi="Arial" w:cs="Arial"/>
          <w:sz w:val="24"/>
          <w:szCs w:val="24"/>
        </w:rPr>
        <w:t xml:space="preserve">y order </w:t>
      </w:r>
      <w:r w:rsidR="00056063" w:rsidRPr="006E6FB9">
        <w:rPr>
          <w:rFonts w:ascii="Arial" w:hAnsi="Arial" w:cs="Arial"/>
          <w:sz w:val="24"/>
          <w:szCs w:val="24"/>
        </w:rPr>
        <w:t xml:space="preserve">that </w:t>
      </w:r>
      <w:r w:rsidR="00182927" w:rsidRPr="006E6FB9">
        <w:rPr>
          <w:rFonts w:ascii="Arial" w:hAnsi="Arial" w:cs="Arial"/>
          <w:sz w:val="24"/>
          <w:szCs w:val="24"/>
        </w:rPr>
        <w:t xml:space="preserve">Centlec has performed its obligations in terms of the settlement agreement therefore the respondent is bound by the terms of the settlement </w:t>
      </w:r>
      <w:r w:rsidR="00ED4F94" w:rsidRPr="006E6FB9">
        <w:rPr>
          <w:rFonts w:ascii="Arial" w:hAnsi="Arial" w:cs="Arial"/>
          <w:sz w:val="24"/>
          <w:szCs w:val="24"/>
        </w:rPr>
        <w:t xml:space="preserve">as a result, her </w:t>
      </w:r>
      <w:r w:rsidR="00182927" w:rsidRPr="006E6FB9">
        <w:rPr>
          <w:rFonts w:ascii="Arial" w:hAnsi="Arial" w:cs="Arial"/>
          <w:sz w:val="24"/>
          <w:szCs w:val="24"/>
        </w:rPr>
        <w:t xml:space="preserve">employment with Centlec has been terminated. </w:t>
      </w:r>
    </w:p>
    <w:p w:rsidR="000B0B36" w:rsidRPr="006E6FB9" w:rsidRDefault="000B0B36" w:rsidP="00DE286A">
      <w:pPr>
        <w:pStyle w:val="FootnoteText"/>
        <w:spacing w:line="360" w:lineRule="auto"/>
        <w:ind w:left="709" w:hanging="709"/>
        <w:jc w:val="both"/>
        <w:rPr>
          <w:rFonts w:ascii="Arial" w:hAnsi="Arial" w:cs="Arial"/>
          <w:sz w:val="24"/>
          <w:szCs w:val="24"/>
        </w:rPr>
      </w:pPr>
    </w:p>
    <w:p w:rsidR="002C1CEF" w:rsidRPr="006E6FB9" w:rsidRDefault="007F6900" w:rsidP="00DE286A">
      <w:pPr>
        <w:pStyle w:val="FootnoteText"/>
        <w:spacing w:line="360" w:lineRule="auto"/>
        <w:ind w:left="709" w:hanging="709"/>
        <w:jc w:val="both"/>
        <w:rPr>
          <w:rFonts w:ascii="Arial" w:hAnsi="Arial" w:cs="Arial"/>
          <w:sz w:val="24"/>
          <w:szCs w:val="24"/>
        </w:rPr>
      </w:pPr>
      <w:r w:rsidRPr="006E6FB9">
        <w:rPr>
          <w:rFonts w:ascii="Arial" w:hAnsi="Arial" w:cs="Arial"/>
          <w:sz w:val="24"/>
          <w:szCs w:val="24"/>
        </w:rPr>
        <w:t>[</w:t>
      </w:r>
      <w:r w:rsidR="006E6FB9" w:rsidRPr="006E6FB9">
        <w:rPr>
          <w:rFonts w:ascii="Arial" w:hAnsi="Arial" w:cs="Arial"/>
          <w:sz w:val="24"/>
          <w:szCs w:val="24"/>
        </w:rPr>
        <w:t>30</w:t>
      </w:r>
      <w:r w:rsidR="000B0B36" w:rsidRPr="006E6FB9">
        <w:rPr>
          <w:rFonts w:ascii="Arial" w:hAnsi="Arial" w:cs="Arial"/>
          <w:sz w:val="24"/>
          <w:szCs w:val="24"/>
        </w:rPr>
        <w:t>]</w:t>
      </w:r>
      <w:r w:rsidR="000B0B36" w:rsidRPr="006E6FB9">
        <w:rPr>
          <w:rFonts w:ascii="Arial" w:hAnsi="Arial" w:cs="Arial"/>
          <w:sz w:val="24"/>
          <w:szCs w:val="24"/>
        </w:rPr>
        <w:tab/>
      </w:r>
      <w:r w:rsidR="00182927" w:rsidRPr="006E6FB9">
        <w:rPr>
          <w:rFonts w:ascii="Arial" w:hAnsi="Arial" w:cs="Arial"/>
          <w:sz w:val="24"/>
          <w:szCs w:val="24"/>
        </w:rPr>
        <w:t>In my view, what is a</w:t>
      </w:r>
      <w:r w:rsidR="002A345E" w:rsidRPr="006E6FB9">
        <w:rPr>
          <w:rFonts w:ascii="Arial" w:hAnsi="Arial" w:cs="Arial"/>
          <w:sz w:val="24"/>
          <w:szCs w:val="24"/>
        </w:rPr>
        <w:t>t</w:t>
      </w:r>
      <w:r w:rsidR="00182927" w:rsidRPr="006E6FB9">
        <w:rPr>
          <w:rFonts w:ascii="Arial" w:hAnsi="Arial" w:cs="Arial"/>
          <w:sz w:val="24"/>
          <w:szCs w:val="24"/>
        </w:rPr>
        <w:t xml:space="preserve"> issue here is Centlec’s contractual right to enforce the agreement which was meant to put the disputes between the parties to bed and for the parties to par</w:t>
      </w:r>
      <w:r w:rsidR="002A345E" w:rsidRPr="006E6FB9">
        <w:rPr>
          <w:rFonts w:ascii="Arial" w:hAnsi="Arial" w:cs="Arial"/>
          <w:sz w:val="24"/>
          <w:szCs w:val="24"/>
        </w:rPr>
        <w:t>t</w:t>
      </w:r>
      <w:r w:rsidR="00182927" w:rsidRPr="006E6FB9">
        <w:rPr>
          <w:rFonts w:ascii="Arial" w:hAnsi="Arial" w:cs="Arial"/>
          <w:sz w:val="24"/>
          <w:szCs w:val="24"/>
        </w:rPr>
        <w:t xml:space="preserve"> ways.</w:t>
      </w:r>
      <w:r w:rsidR="002A345E" w:rsidRPr="006E6FB9">
        <w:rPr>
          <w:rFonts w:ascii="Arial" w:hAnsi="Arial" w:cs="Arial"/>
          <w:sz w:val="24"/>
          <w:szCs w:val="24"/>
        </w:rPr>
        <w:t xml:space="preserve"> </w:t>
      </w:r>
      <w:r w:rsidR="0056064A" w:rsidRPr="006E6FB9">
        <w:rPr>
          <w:rFonts w:ascii="Arial" w:hAnsi="Arial" w:cs="Arial"/>
          <w:sz w:val="24"/>
          <w:szCs w:val="24"/>
        </w:rPr>
        <w:t xml:space="preserve">In any case, </w:t>
      </w:r>
      <w:r w:rsidR="006269A9" w:rsidRPr="006E6FB9">
        <w:rPr>
          <w:rFonts w:ascii="Arial" w:hAnsi="Arial" w:cs="Arial"/>
          <w:sz w:val="24"/>
          <w:szCs w:val="24"/>
        </w:rPr>
        <w:t xml:space="preserve">the </w:t>
      </w:r>
      <w:r w:rsidR="00ED4F94" w:rsidRPr="006E6FB9">
        <w:rPr>
          <w:rFonts w:ascii="Arial" w:hAnsi="Arial" w:cs="Arial"/>
          <w:sz w:val="24"/>
          <w:szCs w:val="24"/>
        </w:rPr>
        <w:t>H</w:t>
      </w:r>
      <w:r w:rsidR="000123BA" w:rsidRPr="006E6FB9">
        <w:rPr>
          <w:rFonts w:ascii="Arial" w:hAnsi="Arial" w:cs="Arial"/>
          <w:sz w:val="24"/>
          <w:szCs w:val="24"/>
        </w:rPr>
        <w:t xml:space="preserve">igh </w:t>
      </w:r>
      <w:r w:rsidR="00ED4F94" w:rsidRPr="006E6FB9">
        <w:rPr>
          <w:rFonts w:ascii="Arial" w:hAnsi="Arial" w:cs="Arial"/>
          <w:sz w:val="24"/>
          <w:szCs w:val="24"/>
        </w:rPr>
        <w:t>C</w:t>
      </w:r>
      <w:r w:rsidR="000123BA" w:rsidRPr="006E6FB9">
        <w:rPr>
          <w:rFonts w:ascii="Arial" w:hAnsi="Arial" w:cs="Arial"/>
          <w:sz w:val="24"/>
          <w:szCs w:val="24"/>
        </w:rPr>
        <w:t xml:space="preserve">ourt enjoys concurrent jurisdiction with the </w:t>
      </w:r>
      <w:r w:rsidR="00ED4F94" w:rsidRPr="006E6FB9">
        <w:rPr>
          <w:rFonts w:ascii="Arial" w:hAnsi="Arial" w:cs="Arial"/>
          <w:sz w:val="24"/>
          <w:szCs w:val="24"/>
        </w:rPr>
        <w:t>L</w:t>
      </w:r>
      <w:r w:rsidR="000123BA" w:rsidRPr="006E6FB9">
        <w:rPr>
          <w:rFonts w:ascii="Arial" w:hAnsi="Arial" w:cs="Arial"/>
          <w:sz w:val="24"/>
          <w:szCs w:val="24"/>
        </w:rPr>
        <w:t xml:space="preserve">abour </w:t>
      </w:r>
      <w:r w:rsidR="00ED4F94" w:rsidRPr="006E6FB9">
        <w:rPr>
          <w:rFonts w:ascii="Arial" w:hAnsi="Arial" w:cs="Arial"/>
          <w:sz w:val="24"/>
          <w:szCs w:val="24"/>
        </w:rPr>
        <w:t>C</w:t>
      </w:r>
      <w:r w:rsidR="000123BA" w:rsidRPr="006E6FB9">
        <w:rPr>
          <w:rFonts w:ascii="Arial" w:hAnsi="Arial" w:cs="Arial"/>
          <w:sz w:val="24"/>
          <w:szCs w:val="24"/>
        </w:rPr>
        <w:t xml:space="preserve">ourt </w:t>
      </w:r>
      <w:r w:rsidR="00056063" w:rsidRPr="006E6FB9">
        <w:rPr>
          <w:rFonts w:ascii="Arial" w:hAnsi="Arial" w:cs="Arial"/>
          <w:sz w:val="24"/>
          <w:szCs w:val="24"/>
        </w:rPr>
        <w:t xml:space="preserve">in respect of claims arising from </w:t>
      </w:r>
      <w:r w:rsidR="000123BA" w:rsidRPr="006E6FB9">
        <w:rPr>
          <w:rFonts w:ascii="Arial" w:hAnsi="Arial" w:cs="Arial"/>
          <w:sz w:val="24"/>
          <w:szCs w:val="24"/>
        </w:rPr>
        <w:t xml:space="preserve">labour disputes. The </w:t>
      </w:r>
      <w:r w:rsidR="00EE0B7F" w:rsidRPr="006E6FB9">
        <w:rPr>
          <w:rFonts w:ascii="Arial" w:hAnsi="Arial" w:cs="Arial"/>
          <w:bCs/>
          <w:i/>
          <w:sz w:val="24"/>
          <w:szCs w:val="24"/>
          <w:shd w:val="clear" w:color="auto" w:fill="FFFFFF"/>
        </w:rPr>
        <w:t>locus classicus</w:t>
      </w:r>
      <w:r w:rsidR="00EE0B7F" w:rsidRPr="006E6FB9">
        <w:rPr>
          <w:rFonts w:ascii="Arial" w:hAnsi="Arial" w:cs="Arial"/>
          <w:b/>
          <w:bCs/>
          <w:sz w:val="28"/>
          <w:szCs w:val="28"/>
          <w:shd w:val="clear" w:color="auto" w:fill="FFFFFF"/>
        </w:rPr>
        <w:t xml:space="preserve"> </w:t>
      </w:r>
      <w:r w:rsidR="00EE0B7F" w:rsidRPr="006E6FB9">
        <w:rPr>
          <w:rFonts w:ascii="Arial" w:hAnsi="Arial" w:cs="Arial"/>
          <w:bCs/>
          <w:sz w:val="24"/>
          <w:szCs w:val="24"/>
          <w:shd w:val="clear" w:color="auto" w:fill="FFFFFF"/>
        </w:rPr>
        <w:t>on th</w:t>
      </w:r>
      <w:r w:rsidR="006269A9" w:rsidRPr="006E6FB9">
        <w:rPr>
          <w:rFonts w:ascii="Arial" w:hAnsi="Arial" w:cs="Arial"/>
          <w:bCs/>
          <w:sz w:val="24"/>
          <w:szCs w:val="24"/>
          <w:shd w:val="clear" w:color="auto" w:fill="FFFFFF"/>
        </w:rPr>
        <w:t>is i</w:t>
      </w:r>
      <w:r w:rsidR="00EE0B7F" w:rsidRPr="006E6FB9">
        <w:rPr>
          <w:rFonts w:ascii="Arial" w:hAnsi="Arial" w:cs="Arial"/>
          <w:bCs/>
          <w:sz w:val="24"/>
          <w:szCs w:val="24"/>
          <w:shd w:val="clear" w:color="auto" w:fill="FFFFFF"/>
        </w:rPr>
        <w:t xml:space="preserve">ssue </w:t>
      </w:r>
      <w:r w:rsidR="00EE0B7F" w:rsidRPr="006E6FB9">
        <w:rPr>
          <w:rFonts w:ascii="Arial" w:hAnsi="Arial" w:cs="Arial"/>
          <w:sz w:val="24"/>
          <w:szCs w:val="24"/>
          <w:shd w:val="clear" w:color="auto" w:fill="FFFFFF"/>
        </w:rPr>
        <w:t xml:space="preserve">is </w:t>
      </w:r>
      <w:r w:rsidR="002C1CEF" w:rsidRPr="006E6FB9">
        <w:rPr>
          <w:rFonts w:ascii="Arial" w:hAnsi="Arial" w:cs="Arial"/>
          <w:i/>
          <w:iCs/>
          <w:sz w:val="24"/>
          <w:szCs w:val="24"/>
          <w:shd w:val="clear" w:color="auto" w:fill="FFFFFF"/>
        </w:rPr>
        <w:t>Baloyi v Public Protector and Others</w:t>
      </w:r>
      <w:r w:rsidR="00694FF6" w:rsidRPr="006E6FB9">
        <w:rPr>
          <w:rFonts w:ascii="Arial" w:hAnsi="Arial" w:cs="Arial"/>
          <w:i/>
          <w:iCs/>
          <w:sz w:val="24"/>
          <w:szCs w:val="24"/>
          <w:shd w:val="clear" w:color="auto" w:fill="FFFFFF"/>
        </w:rPr>
        <w:t>.</w:t>
      </w:r>
      <w:r w:rsidR="00D3746F" w:rsidRPr="006E6FB9">
        <w:rPr>
          <w:rStyle w:val="FootnoteReference"/>
          <w:rFonts w:ascii="Arial" w:hAnsi="Arial" w:cs="Arial"/>
          <w:i/>
          <w:iCs/>
          <w:sz w:val="24"/>
          <w:szCs w:val="24"/>
          <w:shd w:val="clear" w:color="auto" w:fill="FFFFFF"/>
        </w:rPr>
        <w:footnoteReference w:id="6"/>
      </w:r>
      <w:r w:rsidR="00D3746F" w:rsidRPr="006E6FB9">
        <w:rPr>
          <w:rFonts w:ascii="Arial" w:hAnsi="Arial" w:cs="Arial"/>
          <w:i/>
          <w:iCs/>
          <w:sz w:val="24"/>
          <w:szCs w:val="24"/>
          <w:shd w:val="clear" w:color="auto" w:fill="FFFFFF"/>
        </w:rPr>
        <w:t xml:space="preserve"> </w:t>
      </w:r>
      <w:r w:rsidR="00694FF6" w:rsidRPr="006E6FB9">
        <w:rPr>
          <w:rFonts w:ascii="Arial" w:hAnsi="Arial" w:cs="Arial"/>
          <w:iCs/>
          <w:sz w:val="24"/>
          <w:szCs w:val="24"/>
          <w:shd w:val="clear" w:color="auto" w:fill="FFFFFF"/>
        </w:rPr>
        <w:t>Here</w:t>
      </w:r>
      <w:r w:rsidR="00DE286A" w:rsidRPr="006E6FB9">
        <w:rPr>
          <w:rFonts w:ascii="Arial" w:hAnsi="Arial" w:cs="Arial"/>
          <w:iCs/>
          <w:sz w:val="24"/>
          <w:szCs w:val="24"/>
          <w:shd w:val="clear" w:color="auto" w:fill="FFFFFF"/>
        </w:rPr>
        <w:t xml:space="preserve">, the Court quoting with approval </w:t>
      </w:r>
      <w:r w:rsidR="00DE286A" w:rsidRPr="006E6FB9">
        <w:rPr>
          <w:rFonts w:ascii="Arial" w:hAnsi="Arial" w:cs="Arial"/>
          <w:i/>
          <w:iCs/>
          <w:sz w:val="24"/>
          <w:szCs w:val="24"/>
          <w:shd w:val="clear" w:color="auto" w:fill="FFFFFF"/>
        </w:rPr>
        <w:t>Gcaba v Minister for Safety and Security</w:t>
      </w:r>
      <w:r w:rsidR="00DE286A" w:rsidRPr="006E6FB9">
        <w:rPr>
          <w:rStyle w:val="FootnoteReference"/>
          <w:rFonts w:ascii="Arial" w:hAnsi="Arial" w:cs="Arial"/>
          <w:iCs/>
          <w:sz w:val="24"/>
          <w:szCs w:val="24"/>
          <w:shd w:val="clear" w:color="auto" w:fill="FFFFFF"/>
        </w:rPr>
        <w:footnoteReference w:id="7"/>
      </w:r>
      <w:r w:rsidR="00DE286A" w:rsidRPr="006E6FB9">
        <w:rPr>
          <w:rFonts w:ascii="Arial" w:hAnsi="Arial" w:cs="Arial"/>
          <w:i/>
          <w:iCs/>
          <w:sz w:val="24"/>
          <w:szCs w:val="24"/>
          <w:shd w:val="clear" w:color="auto" w:fill="FFFFFF"/>
        </w:rPr>
        <w:t xml:space="preserve"> </w:t>
      </w:r>
      <w:r w:rsidR="00DE286A" w:rsidRPr="006E6FB9">
        <w:rPr>
          <w:rFonts w:ascii="Arial" w:hAnsi="Arial" w:cs="Arial"/>
          <w:iCs/>
          <w:sz w:val="24"/>
          <w:szCs w:val="24"/>
          <w:shd w:val="clear" w:color="auto" w:fill="FFFFFF"/>
        </w:rPr>
        <w:t xml:space="preserve">said the following: </w:t>
      </w:r>
      <w:r w:rsidR="00694FF6" w:rsidRPr="006E6FB9">
        <w:rPr>
          <w:rFonts w:ascii="Arial" w:hAnsi="Arial" w:cs="Arial"/>
          <w:iCs/>
          <w:sz w:val="24"/>
          <w:szCs w:val="24"/>
          <w:shd w:val="clear" w:color="auto" w:fill="FFFFFF"/>
        </w:rPr>
        <w:t xml:space="preserve"> </w:t>
      </w:r>
      <w:r w:rsidR="002C1CEF" w:rsidRPr="006E6FB9">
        <w:rPr>
          <w:rFonts w:ascii="Arial" w:hAnsi="Arial" w:cs="Arial"/>
          <w:i/>
          <w:iCs/>
          <w:sz w:val="24"/>
          <w:szCs w:val="24"/>
          <w:shd w:val="clear" w:color="auto" w:fill="FFFFFF"/>
        </w:rPr>
        <w:t> </w:t>
      </w:r>
      <w:r w:rsidR="00A6473F" w:rsidRPr="006E6FB9">
        <w:rPr>
          <w:rFonts w:cs="Arial"/>
        </w:rPr>
        <w:t xml:space="preserve"> </w:t>
      </w:r>
    </w:p>
    <w:p w:rsidR="00D3746F" w:rsidRPr="006E6FB9" w:rsidRDefault="00A6473F" w:rsidP="002A10C7">
      <w:pPr>
        <w:shd w:val="clear" w:color="auto" w:fill="FFFFFF"/>
        <w:spacing w:before="144" w:after="0" w:line="360" w:lineRule="atLeast"/>
        <w:ind w:left="1440"/>
        <w:jc w:val="both"/>
        <w:rPr>
          <w:rFonts w:ascii="Arial" w:eastAsia="Times New Roman" w:hAnsi="Arial" w:cs="Arial"/>
          <w:i/>
          <w:sz w:val="20"/>
          <w:szCs w:val="20"/>
          <w:lang w:eastAsia="en-ZA"/>
        </w:rPr>
      </w:pPr>
      <w:r w:rsidRPr="006E6FB9">
        <w:rPr>
          <w:rFonts w:ascii="Arial" w:eastAsia="Times New Roman" w:hAnsi="Arial" w:cs="Arial"/>
          <w:i/>
          <w:sz w:val="20"/>
          <w:szCs w:val="20"/>
          <w:lang w:eastAsia="en-ZA"/>
        </w:rPr>
        <w:lastRenderedPageBreak/>
        <w:t>“In sum, the mere fact that a dispute is located in the realm of labour and employment does not exclude the j</w:t>
      </w:r>
      <w:r w:rsidR="00D3746F" w:rsidRPr="006E6FB9">
        <w:rPr>
          <w:rFonts w:ascii="Arial" w:eastAsia="Times New Roman" w:hAnsi="Arial" w:cs="Arial"/>
          <w:i/>
          <w:sz w:val="20"/>
          <w:szCs w:val="20"/>
          <w:lang w:eastAsia="en-ZA"/>
        </w:rPr>
        <w:t>urisdiction of the High Court.”</w:t>
      </w:r>
    </w:p>
    <w:p w:rsidR="00A6473F" w:rsidRPr="006E6FB9" w:rsidRDefault="00D3746F" w:rsidP="002A10C7">
      <w:pPr>
        <w:shd w:val="clear" w:color="auto" w:fill="FFFFFF"/>
        <w:spacing w:before="144" w:after="0" w:line="360" w:lineRule="atLeast"/>
        <w:ind w:left="1440"/>
        <w:jc w:val="both"/>
        <w:rPr>
          <w:rFonts w:ascii="Arial" w:eastAsia="Times New Roman" w:hAnsi="Arial" w:cs="Arial"/>
          <w:i/>
          <w:sz w:val="20"/>
          <w:szCs w:val="20"/>
          <w:lang w:eastAsia="en-ZA"/>
        </w:rPr>
      </w:pPr>
      <w:r w:rsidRPr="006E6FB9">
        <w:rPr>
          <w:rFonts w:ascii="Arial" w:eastAsia="Times New Roman" w:hAnsi="Arial" w:cs="Arial"/>
          <w:i/>
          <w:sz w:val="20"/>
          <w:szCs w:val="20"/>
          <w:lang w:eastAsia="en-ZA"/>
        </w:rPr>
        <w:t xml:space="preserve"> </w:t>
      </w:r>
      <w:r w:rsidR="00A6473F" w:rsidRPr="006E6FB9">
        <w:rPr>
          <w:rFonts w:ascii="Arial" w:eastAsia="Times New Roman" w:hAnsi="Arial" w:cs="Arial"/>
          <w:i/>
          <w:sz w:val="20"/>
          <w:szCs w:val="20"/>
          <w:lang w:eastAsia="en-ZA"/>
        </w:rPr>
        <w:t>“[T]he LRA does not intend to destroy causes of action or remedies and section 157 should not be interpreted to do so.  Where a remedy lies in the High Court, section 157(2) cannot be read to mean that it no longer lies there and should not be read to mean as much.  . . .  If only the Labour Court could deal with disputes arising out of all employment relations, remedies would be wiped out, because the Labour Court (being a creature of statute with only selected remedies and powers) does not have the power to deal with the common-law or other statutory remedies.”</w:t>
      </w:r>
      <w:r w:rsidR="002C1CEF" w:rsidRPr="006E6FB9">
        <w:rPr>
          <w:rFonts w:ascii="Arial" w:eastAsia="Times New Roman" w:hAnsi="Arial" w:cs="Arial"/>
          <w:i/>
          <w:sz w:val="20"/>
          <w:szCs w:val="20"/>
          <w:lang w:eastAsia="en-ZA"/>
        </w:rPr>
        <w:t xml:space="preserve"> </w:t>
      </w:r>
    </w:p>
    <w:p w:rsidR="00A6473F" w:rsidRPr="006E6FB9" w:rsidRDefault="00A6473F" w:rsidP="00A6473F">
      <w:pPr>
        <w:spacing w:after="0" w:line="360" w:lineRule="auto"/>
        <w:jc w:val="both"/>
        <w:rPr>
          <w:rFonts w:ascii="Arial" w:hAnsi="Arial" w:cs="Arial"/>
          <w:i/>
          <w:sz w:val="20"/>
          <w:szCs w:val="20"/>
        </w:rPr>
      </w:pPr>
    </w:p>
    <w:p w:rsidR="006E6FB9" w:rsidRPr="006E6FB9" w:rsidRDefault="006E6FB9" w:rsidP="00BF26EB">
      <w:pPr>
        <w:spacing w:after="0" w:line="360" w:lineRule="auto"/>
        <w:ind w:left="720" w:hanging="720"/>
        <w:jc w:val="both"/>
        <w:rPr>
          <w:rFonts w:ascii="Arial" w:hAnsi="Arial" w:cs="Arial"/>
          <w:sz w:val="24"/>
          <w:szCs w:val="24"/>
        </w:rPr>
      </w:pPr>
    </w:p>
    <w:p w:rsidR="00C41BAE" w:rsidRPr="006E6FB9" w:rsidRDefault="007F6900" w:rsidP="006E6FB9">
      <w:pPr>
        <w:tabs>
          <w:tab w:val="left" w:pos="142"/>
        </w:tabs>
        <w:spacing w:after="0" w:line="360" w:lineRule="auto"/>
        <w:ind w:left="720" w:hanging="720"/>
        <w:jc w:val="both"/>
        <w:rPr>
          <w:rFonts w:ascii="Arial" w:hAnsi="Arial" w:cs="Arial"/>
          <w:sz w:val="24"/>
          <w:szCs w:val="24"/>
        </w:rPr>
      </w:pPr>
      <w:r w:rsidRPr="006E6FB9">
        <w:rPr>
          <w:rFonts w:ascii="Arial" w:hAnsi="Arial" w:cs="Arial"/>
          <w:sz w:val="24"/>
          <w:szCs w:val="24"/>
        </w:rPr>
        <w:t>[</w:t>
      </w:r>
      <w:r w:rsidR="006E6FB9" w:rsidRPr="006E6FB9">
        <w:rPr>
          <w:rFonts w:ascii="Arial" w:hAnsi="Arial" w:cs="Arial"/>
          <w:sz w:val="24"/>
          <w:szCs w:val="24"/>
        </w:rPr>
        <w:t>31</w:t>
      </w:r>
      <w:r w:rsidR="00D3746F" w:rsidRPr="006E6FB9">
        <w:rPr>
          <w:rFonts w:ascii="Arial" w:hAnsi="Arial" w:cs="Arial"/>
          <w:sz w:val="24"/>
          <w:szCs w:val="24"/>
        </w:rPr>
        <w:t>]</w:t>
      </w:r>
      <w:r w:rsidR="00D3746F" w:rsidRPr="006E6FB9">
        <w:rPr>
          <w:rFonts w:ascii="Arial" w:hAnsi="Arial" w:cs="Arial"/>
          <w:sz w:val="24"/>
          <w:szCs w:val="24"/>
        </w:rPr>
        <w:tab/>
      </w:r>
      <w:r w:rsidR="000B09C9" w:rsidRPr="006E6FB9">
        <w:rPr>
          <w:rFonts w:ascii="Arial" w:hAnsi="Arial" w:cs="Arial"/>
          <w:sz w:val="24"/>
          <w:szCs w:val="24"/>
        </w:rPr>
        <w:t>In now turn to the merits of the application</w:t>
      </w:r>
      <w:r w:rsidR="00D3746F" w:rsidRPr="006E6FB9">
        <w:rPr>
          <w:rFonts w:ascii="Arial" w:hAnsi="Arial" w:cs="Arial"/>
          <w:sz w:val="24"/>
          <w:szCs w:val="24"/>
        </w:rPr>
        <w:t xml:space="preserve">. </w:t>
      </w:r>
      <w:r w:rsidR="00BF26EB" w:rsidRPr="006E6FB9">
        <w:rPr>
          <w:rFonts w:ascii="Arial" w:hAnsi="Arial" w:cs="Arial"/>
          <w:sz w:val="24"/>
          <w:szCs w:val="24"/>
        </w:rPr>
        <w:t xml:space="preserve">A settlement agreement imposes reciprocal obligations. The </w:t>
      </w:r>
      <w:r w:rsidR="009D3E26" w:rsidRPr="006E6FB9">
        <w:rPr>
          <w:rFonts w:ascii="Arial" w:hAnsi="Arial" w:cs="Arial"/>
          <w:sz w:val="24"/>
          <w:szCs w:val="24"/>
        </w:rPr>
        <w:t>issue that arise in this</w:t>
      </w:r>
      <w:r w:rsidR="00BF26EB" w:rsidRPr="006E6FB9">
        <w:rPr>
          <w:rFonts w:ascii="Arial" w:hAnsi="Arial" w:cs="Arial"/>
          <w:sz w:val="24"/>
          <w:szCs w:val="24"/>
        </w:rPr>
        <w:t xml:space="preserve"> </w:t>
      </w:r>
      <w:r w:rsidR="00D3746F" w:rsidRPr="006E6FB9">
        <w:rPr>
          <w:rFonts w:ascii="Arial" w:hAnsi="Arial" w:cs="Arial"/>
          <w:sz w:val="24"/>
          <w:szCs w:val="24"/>
        </w:rPr>
        <w:t>a</w:t>
      </w:r>
      <w:r w:rsidR="009D3E26" w:rsidRPr="006E6FB9">
        <w:rPr>
          <w:rFonts w:ascii="Arial" w:hAnsi="Arial" w:cs="Arial"/>
          <w:sz w:val="24"/>
          <w:szCs w:val="24"/>
        </w:rPr>
        <w:t>pplication</w:t>
      </w:r>
      <w:r w:rsidR="003D5AAA" w:rsidRPr="006E6FB9">
        <w:rPr>
          <w:rFonts w:ascii="Arial" w:hAnsi="Arial" w:cs="Arial"/>
          <w:sz w:val="24"/>
          <w:szCs w:val="24"/>
        </w:rPr>
        <w:t xml:space="preserve"> is </w:t>
      </w:r>
      <w:r w:rsidR="00DE286A" w:rsidRPr="006E6FB9">
        <w:rPr>
          <w:rFonts w:ascii="Arial" w:hAnsi="Arial" w:cs="Arial"/>
          <w:sz w:val="24"/>
          <w:szCs w:val="24"/>
        </w:rPr>
        <w:t>whether Centlec has</w:t>
      </w:r>
      <w:r w:rsidR="005E59BF" w:rsidRPr="006E6FB9">
        <w:rPr>
          <w:rFonts w:ascii="Arial" w:hAnsi="Arial" w:cs="Arial"/>
          <w:sz w:val="24"/>
          <w:szCs w:val="24"/>
        </w:rPr>
        <w:t xml:space="preserve"> fulfilled its obligations in terms of the settlement agreement </w:t>
      </w:r>
      <w:r w:rsidR="004939B8" w:rsidRPr="006E6FB9">
        <w:rPr>
          <w:rFonts w:ascii="Arial" w:hAnsi="Arial" w:cs="Arial"/>
          <w:sz w:val="24"/>
          <w:szCs w:val="24"/>
        </w:rPr>
        <w:t>w</w:t>
      </w:r>
      <w:r w:rsidR="005E59BF" w:rsidRPr="006E6FB9">
        <w:rPr>
          <w:rFonts w:ascii="Arial" w:hAnsi="Arial" w:cs="Arial"/>
          <w:sz w:val="24"/>
          <w:szCs w:val="24"/>
        </w:rPr>
        <w:t xml:space="preserve">hich </w:t>
      </w:r>
      <w:r w:rsidR="00BF26EB" w:rsidRPr="006E6FB9">
        <w:rPr>
          <w:rFonts w:ascii="Arial" w:hAnsi="Arial" w:cs="Arial"/>
          <w:sz w:val="24"/>
          <w:szCs w:val="24"/>
        </w:rPr>
        <w:t>would entitle it to call upon the respondent’s co-operation</w:t>
      </w:r>
      <w:r w:rsidR="0013332E" w:rsidRPr="006E6FB9">
        <w:rPr>
          <w:rFonts w:ascii="Arial" w:hAnsi="Arial" w:cs="Arial"/>
          <w:sz w:val="24"/>
          <w:szCs w:val="24"/>
        </w:rPr>
        <w:t xml:space="preserve"> </w:t>
      </w:r>
      <w:r w:rsidR="00BF26EB" w:rsidRPr="006E6FB9">
        <w:rPr>
          <w:rFonts w:ascii="Arial" w:hAnsi="Arial" w:cs="Arial"/>
          <w:sz w:val="24"/>
          <w:szCs w:val="24"/>
        </w:rPr>
        <w:t>namely, to vacate her employment</w:t>
      </w:r>
      <w:r w:rsidR="0019401C" w:rsidRPr="006E6FB9">
        <w:rPr>
          <w:rFonts w:ascii="Arial" w:hAnsi="Arial" w:cs="Arial"/>
          <w:sz w:val="24"/>
          <w:szCs w:val="24"/>
        </w:rPr>
        <w:t>.</w:t>
      </w:r>
      <w:r w:rsidR="0013332E" w:rsidRPr="006E6FB9">
        <w:rPr>
          <w:rFonts w:ascii="Arial" w:hAnsi="Arial" w:cs="Arial"/>
          <w:sz w:val="24"/>
          <w:szCs w:val="24"/>
        </w:rPr>
        <w:t xml:space="preserve"> </w:t>
      </w:r>
    </w:p>
    <w:p w:rsidR="0019401C" w:rsidRPr="006E6FB9" w:rsidRDefault="0019401C" w:rsidP="002A10C7">
      <w:pPr>
        <w:spacing w:after="0" w:line="360" w:lineRule="auto"/>
        <w:ind w:left="720" w:hanging="720"/>
        <w:jc w:val="both"/>
        <w:rPr>
          <w:rFonts w:ascii="Arial" w:hAnsi="Arial" w:cs="Arial"/>
          <w:sz w:val="24"/>
          <w:szCs w:val="24"/>
        </w:rPr>
      </w:pPr>
    </w:p>
    <w:p w:rsidR="008563BA"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[3</w:t>
      </w:r>
      <w:r w:rsidR="006E6FB9" w:rsidRPr="006E6FB9">
        <w:rPr>
          <w:rFonts w:ascii="Arial" w:hAnsi="Arial" w:cs="Arial"/>
          <w:sz w:val="24"/>
          <w:szCs w:val="24"/>
        </w:rPr>
        <w:t>2</w:t>
      </w:r>
      <w:r w:rsidR="00C41BAE" w:rsidRPr="006E6FB9">
        <w:rPr>
          <w:rFonts w:ascii="Arial" w:hAnsi="Arial" w:cs="Arial"/>
          <w:sz w:val="24"/>
          <w:szCs w:val="24"/>
        </w:rPr>
        <w:t>]</w:t>
      </w:r>
      <w:r w:rsidR="00C41BAE" w:rsidRPr="006E6FB9">
        <w:rPr>
          <w:rFonts w:ascii="Arial" w:hAnsi="Arial" w:cs="Arial"/>
          <w:sz w:val="24"/>
          <w:szCs w:val="24"/>
        </w:rPr>
        <w:tab/>
        <w:t xml:space="preserve">In </w:t>
      </w:r>
      <w:r w:rsidR="008563BA" w:rsidRPr="006E6FB9">
        <w:rPr>
          <w:rFonts w:ascii="Arial" w:hAnsi="Arial" w:cs="Arial"/>
          <w:sz w:val="24"/>
          <w:szCs w:val="24"/>
        </w:rPr>
        <w:t>her answering affidavit</w:t>
      </w:r>
      <w:r w:rsidR="0019401C" w:rsidRPr="006E6FB9">
        <w:rPr>
          <w:rFonts w:ascii="Arial" w:hAnsi="Arial" w:cs="Arial"/>
          <w:sz w:val="24"/>
          <w:szCs w:val="24"/>
        </w:rPr>
        <w:t xml:space="preserve">, the respondent </w:t>
      </w:r>
      <w:r w:rsidR="008563BA" w:rsidRPr="006E6FB9">
        <w:rPr>
          <w:rFonts w:ascii="Arial" w:hAnsi="Arial" w:cs="Arial"/>
          <w:sz w:val="24"/>
          <w:szCs w:val="24"/>
        </w:rPr>
        <w:t>c</w:t>
      </w:r>
      <w:r w:rsidR="00753D2B" w:rsidRPr="006E6FB9">
        <w:rPr>
          <w:rFonts w:ascii="Arial" w:hAnsi="Arial" w:cs="Arial"/>
          <w:sz w:val="24"/>
          <w:szCs w:val="24"/>
        </w:rPr>
        <w:t>ontends that Centlec has breached the terms of the settlement agreement</w:t>
      </w:r>
      <w:r w:rsidR="00A758C5" w:rsidRPr="006E6FB9">
        <w:rPr>
          <w:rFonts w:ascii="Arial" w:hAnsi="Arial" w:cs="Arial"/>
          <w:sz w:val="24"/>
          <w:szCs w:val="24"/>
        </w:rPr>
        <w:t xml:space="preserve"> </w:t>
      </w:r>
      <w:r w:rsidR="00753D2B" w:rsidRPr="006E6FB9">
        <w:rPr>
          <w:rFonts w:ascii="Arial" w:hAnsi="Arial" w:cs="Arial"/>
          <w:sz w:val="24"/>
          <w:szCs w:val="24"/>
        </w:rPr>
        <w:t xml:space="preserve">by failing to pay </w:t>
      </w:r>
      <w:r w:rsidR="009D10BC" w:rsidRPr="006E6FB9">
        <w:rPr>
          <w:rFonts w:ascii="Arial" w:hAnsi="Arial" w:cs="Arial"/>
          <w:sz w:val="24"/>
          <w:szCs w:val="24"/>
        </w:rPr>
        <w:t xml:space="preserve">her </w:t>
      </w:r>
      <w:r w:rsidR="00753D2B" w:rsidRPr="006E6FB9">
        <w:rPr>
          <w:rFonts w:ascii="Arial" w:hAnsi="Arial" w:cs="Arial"/>
          <w:sz w:val="24"/>
          <w:szCs w:val="24"/>
        </w:rPr>
        <w:t xml:space="preserve">as agreed, </w:t>
      </w:r>
      <w:r w:rsidR="009D10BC" w:rsidRPr="006E6FB9">
        <w:rPr>
          <w:rFonts w:ascii="Arial" w:hAnsi="Arial" w:cs="Arial"/>
          <w:sz w:val="24"/>
          <w:szCs w:val="24"/>
        </w:rPr>
        <w:t xml:space="preserve">to withdraw the criminal charges Centlec laid against her and to issue a statement </w:t>
      </w:r>
      <w:r w:rsidR="008563BA" w:rsidRPr="006E6FB9">
        <w:rPr>
          <w:rFonts w:ascii="Arial" w:hAnsi="Arial" w:cs="Arial"/>
          <w:sz w:val="24"/>
          <w:szCs w:val="24"/>
        </w:rPr>
        <w:t>“which clears” her of all charges</w:t>
      </w:r>
      <w:r w:rsidR="006338C9" w:rsidRPr="006E6FB9">
        <w:rPr>
          <w:rFonts w:ascii="Arial" w:hAnsi="Arial" w:cs="Arial"/>
          <w:sz w:val="24"/>
          <w:szCs w:val="24"/>
        </w:rPr>
        <w:t xml:space="preserve"> therefore she is not obliged to comply with the terms of the settlement agreement</w:t>
      </w:r>
      <w:r w:rsidR="00AF5CA4" w:rsidRPr="006E6FB9">
        <w:rPr>
          <w:rFonts w:ascii="Arial" w:hAnsi="Arial" w:cs="Arial"/>
          <w:sz w:val="24"/>
          <w:szCs w:val="24"/>
        </w:rPr>
        <w:t xml:space="preserve"> by resigning.</w:t>
      </w:r>
    </w:p>
    <w:p w:rsidR="00AF5CA4" w:rsidRPr="006E6FB9" w:rsidRDefault="00AF5CA4" w:rsidP="00BF26EB">
      <w:pPr>
        <w:spacing w:after="0" w:line="360" w:lineRule="auto"/>
        <w:ind w:left="720" w:hanging="720"/>
        <w:jc w:val="both"/>
        <w:rPr>
          <w:rFonts w:ascii="Arial" w:hAnsi="Arial" w:cs="Arial"/>
          <w:sz w:val="24"/>
          <w:szCs w:val="24"/>
        </w:rPr>
      </w:pPr>
    </w:p>
    <w:p w:rsidR="00AC3AF7"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[3</w:t>
      </w:r>
      <w:r w:rsidR="006E6FB9" w:rsidRPr="006E6FB9">
        <w:rPr>
          <w:rFonts w:ascii="Arial" w:hAnsi="Arial" w:cs="Arial"/>
          <w:sz w:val="24"/>
          <w:szCs w:val="24"/>
        </w:rPr>
        <w:t>3</w:t>
      </w:r>
      <w:r w:rsidR="008563BA" w:rsidRPr="006E6FB9">
        <w:rPr>
          <w:rFonts w:ascii="Arial" w:hAnsi="Arial" w:cs="Arial"/>
          <w:sz w:val="24"/>
          <w:szCs w:val="24"/>
        </w:rPr>
        <w:t>]</w:t>
      </w:r>
      <w:r w:rsidR="008563BA" w:rsidRPr="006E6FB9">
        <w:rPr>
          <w:rFonts w:ascii="Arial" w:hAnsi="Arial" w:cs="Arial"/>
          <w:sz w:val="24"/>
          <w:szCs w:val="24"/>
        </w:rPr>
        <w:tab/>
        <w:t xml:space="preserve">The disputed facts can easily be resolved on the </w:t>
      </w:r>
      <w:r w:rsidR="006338C9" w:rsidRPr="006E6FB9">
        <w:rPr>
          <w:rFonts w:ascii="Arial" w:hAnsi="Arial" w:cs="Arial"/>
          <w:sz w:val="24"/>
          <w:szCs w:val="24"/>
        </w:rPr>
        <w:t>papers as the respondent’s averments are not genuine and they are also not bona fide</w:t>
      </w:r>
      <w:r w:rsidR="0019401C" w:rsidRPr="006E6FB9">
        <w:rPr>
          <w:rFonts w:ascii="Arial" w:hAnsi="Arial" w:cs="Arial"/>
          <w:sz w:val="24"/>
          <w:szCs w:val="24"/>
        </w:rPr>
        <w:t xml:space="preserve"> for the reason that, the </w:t>
      </w:r>
      <w:r w:rsidR="007C2E9A" w:rsidRPr="006E6FB9">
        <w:rPr>
          <w:rFonts w:ascii="Arial" w:hAnsi="Arial" w:cs="Arial"/>
          <w:sz w:val="24"/>
          <w:szCs w:val="24"/>
        </w:rPr>
        <w:t>respondent has provided varying and inconsistent reasons why she is not obligated to fulfil her obligations</w:t>
      </w:r>
      <w:r w:rsidR="00E51C12" w:rsidRPr="006E6FB9">
        <w:rPr>
          <w:rFonts w:ascii="Arial" w:hAnsi="Arial" w:cs="Arial"/>
          <w:sz w:val="24"/>
          <w:szCs w:val="24"/>
        </w:rPr>
        <w:t xml:space="preserve">. </w:t>
      </w:r>
    </w:p>
    <w:p w:rsidR="00AC3AF7" w:rsidRPr="006E6FB9" w:rsidRDefault="00AC3AF7" w:rsidP="00BF26EB">
      <w:pPr>
        <w:spacing w:after="0" w:line="360" w:lineRule="auto"/>
        <w:ind w:left="720" w:hanging="720"/>
        <w:jc w:val="both"/>
        <w:rPr>
          <w:rFonts w:ascii="Arial" w:hAnsi="Arial" w:cs="Arial"/>
          <w:sz w:val="24"/>
          <w:szCs w:val="24"/>
        </w:rPr>
      </w:pPr>
    </w:p>
    <w:p w:rsidR="003869E5"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[3</w:t>
      </w:r>
      <w:r w:rsidR="006E6FB9" w:rsidRPr="006E6FB9">
        <w:rPr>
          <w:rFonts w:ascii="Arial" w:hAnsi="Arial" w:cs="Arial"/>
          <w:sz w:val="24"/>
          <w:szCs w:val="24"/>
        </w:rPr>
        <w:t>4</w:t>
      </w:r>
      <w:r w:rsidR="00AC3AF7" w:rsidRPr="006E6FB9">
        <w:rPr>
          <w:rFonts w:ascii="Arial" w:hAnsi="Arial" w:cs="Arial"/>
          <w:sz w:val="24"/>
          <w:szCs w:val="24"/>
        </w:rPr>
        <w:t>]</w:t>
      </w:r>
      <w:r w:rsidR="00AC3AF7" w:rsidRPr="006E6FB9">
        <w:rPr>
          <w:rFonts w:ascii="Arial" w:hAnsi="Arial" w:cs="Arial"/>
          <w:sz w:val="24"/>
          <w:szCs w:val="24"/>
        </w:rPr>
        <w:tab/>
      </w:r>
      <w:r w:rsidR="00BB3D8C" w:rsidRPr="006E6FB9">
        <w:rPr>
          <w:rFonts w:ascii="Arial" w:hAnsi="Arial" w:cs="Arial"/>
          <w:sz w:val="24"/>
          <w:szCs w:val="24"/>
        </w:rPr>
        <w:t xml:space="preserve">In </w:t>
      </w:r>
      <w:r w:rsidR="00AC3AF7" w:rsidRPr="006E6FB9">
        <w:rPr>
          <w:rFonts w:ascii="Arial" w:hAnsi="Arial" w:cs="Arial"/>
          <w:sz w:val="24"/>
          <w:szCs w:val="24"/>
        </w:rPr>
        <w:t>a</w:t>
      </w:r>
      <w:r w:rsidR="00BB3D8C" w:rsidRPr="006E6FB9">
        <w:rPr>
          <w:rFonts w:ascii="Arial" w:hAnsi="Arial" w:cs="Arial"/>
          <w:sz w:val="24"/>
          <w:szCs w:val="24"/>
        </w:rPr>
        <w:t xml:space="preserve"> series of correspondences transmitted to Centlec by her attorneys from about 24 January 2022 to 15 February 2022</w:t>
      </w:r>
      <w:r w:rsidR="00BB3D8C" w:rsidRPr="006E6FB9">
        <w:rPr>
          <w:rStyle w:val="FootnoteReference"/>
          <w:rFonts w:ascii="Arial" w:hAnsi="Arial" w:cs="Arial"/>
          <w:sz w:val="24"/>
          <w:szCs w:val="24"/>
        </w:rPr>
        <w:footnoteReference w:id="8"/>
      </w:r>
      <w:r w:rsidR="00BB3D8C" w:rsidRPr="006E6FB9">
        <w:rPr>
          <w:rFonts w:ascii="Arial" w:hAnsi="Arial" w:cs="Arial"/>
          <w:sz w:val="24"/>
          <w:szCs w:val="24"/>
        </w:rPr>
        <w:t xml:space="preserve"> she maintain</w:t>
      </w:r>
      <w:r w:rsidR="003869E5" w:rsidRPr="006E6FB9">
        <w:rPr>
          <w:rFonts w:ascii="Arial" w:hAnsi="Arial" w:cs="Arial"/>
          <w:sz w:val="24"/>
          <w:szCs w:val="24"/>
        </w:rPr>
        <w:t>s</w:t>
      </w:r>
      <w:r w:rsidR="00BB3D8C" w:rsidRPr="006E6FB9">
        <w:rPr>
          <w:rFonts w:ascii="Arial" w:hAnsi="Arial" w:cs="Arial"/>
          <w:sz w:val="24"/>
          <w:szCs w:val="24"/>
        </w:rPr>
        <w:t xml:space="preserve"> that </w:t>
      </w:r>
      <w:r w:rsidR="00AC3AF7" w:rsidRPr="006E6FB9">
        <w:rPr>
          <w:rFonts w:ascii="Arial" w:hAnsi="Arial" w:cs="Arial"/>
          <w:sz w:val="24"/>
          <w:szCs w:val="24"/>
        </w:rPr>
        <w:t xml:space="preserve">because </w:t>
      </w:r>
      <w:r w:rsidR="00BB3D8C" w:rsidRPr="006E6FB9">
        <w:rPr>
          <w:rFonts w:ascii="Arial" w:hAnsi="Arial" w:cs="Arial"/>
          <w:sz w:val="24"/>
          <w:szCs w:val="24"/>
        </w:rPr>
        <w:t>she had not received any payment from Centlec</w:t>
      </w:r>
      <w:r w:rsidR="00F62A01" w:rsidRPr="006E6FB9">
        <w:rPr>
          <w:rFonts w:ascii="Arial" w:hAnsi="Arial" w:cs="Arial"/>
          <w:sz w:val="24"/>
          <w:szCs w:val="24"/>
        </w:rPr>
        <w:t xml:space="preserve">, she was </w:t>
      </w:r>
      <w:r w:rsidR="00AC3AF7" w:rsidRPr="006E6FB9">
        <w:rPr>
          <w:rFonts w:ascii="Arial" w:hAnsi="Arial" w:cs="Arial"/>
          <w:sz w:val="24"/>
          <w:szCs w:val="24"/>
        </w:rPr>
        <w:t>not provided with the letter of good standing</w:t>
      </w:r>
      <w:r w:rsidR="003869E5" w:rsidRPr="006E6FB9">
        <w:rPr>
          <w:rFonts w:ascii="Arial" w:hAnsi="Arial" w:cs="Arial"/>
          <w:sz w:val="24"/>
          <w:szCs w:val="24"/>
        </w:rPr>
        <w:t xml:space="preserve">, </w:t>
      </w:r>
      <w:r w:rsidR="00F62A01" w:rsidRPr="006E6FB9">
        <w:rPr>
          <w:rFonts w:ascii="Arial" w:hAnsi="Arial" w:cs="Arial"/>
          <w:sz w:val="24"/>
          <w:szCs w:val="24"/>
        </w:rPr>
        <w:t xml:space="preserve">Centlec </w:t>
      </w:r>
      <w:r w:rsidR="00AC3AF7" w:rsidRPr="006E6FB9">
        <w:rPr>
          <w:rFonts w:ascii="Arial" w:hAnsi="Arial" w:cs="Arial"/>
          <w:sz w:val="24"/>
          <w:szCs w:val="24"/>
        </w:rPr>
        <w:t xml:space="preserve">failed to </w:t>
      </w:r>
      <w:r w:rsidR="00F62A01" w:rsidRPr="006E6FB9">
        <w:rPr>
          <w:rFonts w:ascii="Arial" w:hAnsi="Arial" w:cs="Arial"/>
          <w:sz w:val="24"/>
          <w:szCs w:val="24"/>
        </w:rPr>
        <w:t xml:space="preserve">provide her with a draft of the statement </w:t>
      </w:r>
      <w:r w:rsidR="00F62A01" w:rsidRPr="006E6FB9">
        <w:rPr>
          <w:rFonts w:ascii="Arial" w:hAnsi="Arial" w:cs="Arial"/>
          <w:sz w:val="24"/>
          <w:szCs w:val="24"/>
        </w:rPr>
        <w:lastRenderedPageBreak/>
        <w:t xml:space="preserve">clearing her of wrong doing and to </w:t>
      </w:r>
      <w:r w:rsidR="003869E5" w:rsidRPr="006E6FB9">
        <w:rPr>
          <w:rFonts w:ascii="Arial" w:hAnsi="Arial" w:cs="Arial"/>
          <w:sz w:val="24"/>
          <w:szCs w:val="24"/>
        </w:rPr>
        <w:t xml:space="preserve">also </w:t>
      </w:r>
      <w:r w:rsidR="00AC3AF7" w:rsidRPr="006E6FB9">
        <w:rPr>
          <w:rFonts w:ascii="Arial" w:hAnsi="Arial" w:cs="Arial"/>
          <w:sz w:val="24"/>
          <w:szCs w:val="24"/>
        </w:rPr>
        <w:t xml:space="preserve">release </w:t>
      </w:r>
      <w:r w:rsidR="00F62A01" w:rsidRPr="006E6FB9">
        <w:rPr>
          <w:rFonts w:ascii="Arial" w:hAnsi="Arial" w:cs="Arial"/>
          <w:sz w:val="24"/>
          <w:szCs w:val="24"/>
        </w:rPr>
        <w:t xml:space="preserve">that </w:t>
      </w:r>
      <w:r w:rsidR="00AC3AF7" w:rsidRPr="006E6FB9">
        <w:rPr>
          <w:rFonts w:ascii="Arial" w:hAnsi="Arial" w:cs="Arial"/>
          <w:sz w:val="24"/>
          <w:szCs w:val="24"/>
        </w:rPr>
        <w:t xml:space="preserve">statement </w:t>
      </w:r>
      <w:r w:rsidR="00F62A01" w:rsidRPr="006E6FB9">
        <w:rPr>
          <w:rFonts w:ascii="Arial" w:hAnsi="Arial" w:cs="Arial"/>
          <w:sz w:val="24"/>
          <w:szCs w:val="24"/>
        </w:rPr>
        <w:t xml:space="preserve">she was </w:t>
      </w:r>
      <w:r w:rsidR="00AF5CA4" w:rsidRPr="006E6FB9">
        <w:rPr>
          <w:rFonts w:ascii="Arial" w:hAnsi="Arial" w:cs="Arial"/>
          <w:sz w:val="24"/>
          <w:szCs w:val="24"/>
        </w:rPr>
        <w:t xml:space="preserve">thus </w:t>
      </w:r>
      <w:r w:rsidR="00F62A01" w:rsidRPr="006E6FB9">
        <w:rPr>
          <w:rFonts w:ascii="Arial" w:hAnsi="Arial" w:cs="Arial"/>
          <w:sz w:val="24"/>
          <w:szCs w:val="24"/>
        </w:rPr>
        <w:t>entitled to retain her employment</w:t>
      </w:r>
      <w:r w:rsidR="00AF5CA4" w:rsidRPr="006E6FB9">
        <w:rPr>
          <w:rFonts w:ascii="Arial" w:hAnsi="Arial" w:cs="Arial"/>
          <w:sz w:val="24"/>
          <w:szCs w:val="24"/>
        </w:rPr>
        <w:t xml:space="preserve"> as the settlement agreement is null and void</w:t>
      </w:r>
      <w:r w:rsidR="00F62A01" w:rsidRPr="006E6FB9">
        <w:rPr>
          <w:rFonts w:ascii="Arial" w:hAnsi="Arial" w:cs="Arial"/>
          <w:sz w:val="24"/>
          <w:szCs w:val="24"/>
        </w:rPr>
        <w:t xml:space="preserve">. </w:t>
      </w:r>
    </w:p>
    <w:p w:rsidR="00AF5CA4" w:rsidRPr="006E6FB9" w:rsidRDefault="00AF5CA4" w:rsidP="00BF26EB">
      <w:pPr>
        <w:spacing w:after="0" w:line="360" w:lineRule="auto"/>
        <w:ind w:left="720" w:hanging="720"/>
        <w:jc w:val="both"/>
        <w:rPr>
          <w:rFonts w:ascii="Arial" w:hAnsi="Arial" w:cs="Arial"/>
          <w:sz w:val="24"/>
          <w:szCs w:val="24"/>
        </w:rPr>
      </w:pPr>
    </w:p>
    <w:p w:rsidR="00371B1A"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[3</w:t>
      </w:r>
      <w:r w:rsidR="006E6FB9" w:rsidRPr="006E6FB9">
        <w:rPr>
          <w:rFonts w:ascii="Arial" w:hAnsi="Arial" w:cs="Arial"/>
          <w:sz w:val="24"/>
          <w:szCs w:val="24"/>
        </w:rPr>
        <w:t>5</w:t>
      </w:r>
      <w:r w:rsidR="008C48DF" w:rsidRPr="006E6FB9">
        <w:rPr>
          <w:rFonts w:ascii="Arial" w:hAnsi="Arial" w:cs="Arial"/>
          <w:sz w:val="24"/>
          <w:szCs w:val="24"/>
        </w:rPr>
        <w:t>]</w:t>
      </w:r>
      <w:r w:rsidR="008C48DF" w:rsidRPr="006E6FB9">
        <w:rPr>
          <w:rFonts w:ascii="Arial" w:hAnsi="Arial" w:cs="Arial"/>
          <w:sz w:val="24"/>
          <w:szCs w:val="24"/>
        </w:rPr>
        <w:tab/>
      </w:r>
      <w:r w:rsidR="00371B1A" w:rsidRPr="006E6FB9">
        <w:rPr>
          <w:rFonts w:ascii="Arial" w:hAnsi="Arial" w:cs="Arial"/>
          <w:sz w:val="24"/>
          <w:szCs w:val="24"/>
        </w:rPr>
        <w:t>The relevant clauses for the</w:t>
      </w:r>
      <w:r w:rsidR="0019401C" w:rsidRPr="006E6FB9">
        <w:rPr>
          <w:rFonts w:ascii="Arial" w:hAnsi="Arial" w:cs="Arial"/>
          <w:sz w:val="24"/>
          <w:szCs w:val="24"/>
        </w:rPr>
        <w:t xml:space="preserve"> C</w:t>
      </w:r>
      <w:r w:rsidR="00371B1A" w:rsidRPr="006E6FB9">
        <w:rPr>
          <w:rFonts w:ascii="Arial" w:hAnsi="Arial" w:cs="Arial"/>
          <w:sz w:val="24"/>
          <w:szCs w:val="24"/>
        </w:rPr>
        <w:t>entlec</w:t>
      </w:r>
      <w:r w:rsidR="0019401C" w:rsidRPr="006E6FB9">
        <w:rPr>
          <w:rFonts w:ascii="Arial" w:hAnsi="Arial" w:cs="Arial"/>
          <w:sz w:val="24"/>
          <w:szCs w:val="24"/>
        </w:rPr>
        <w:t xml:space="preserve">’s obligations </w:t>
      </w:r>
      <w:r w:rsidR="00371B1A" w:rsidRPr="006E6FB9">
        <w:rPr>
          <w:rFonts w:ascii="Arial" w:hAnsi="Arial" w:cs="Arial"/>
          <w:sz w:val="24"/>
          <w:szCs w:val="24"/>
        </w:rPr>
        <w:t>are clause 2, 4, 6, 7 and 8</w:t>
      </w:r>
      <w:r w:rsidR="0019401C" w:rsidRPr="006E6FB9">
        <w:rPr>
          <w:rFonts w:ascii="Arial" w:hAnsi="Arial" w:cs="Arial"/>
          <w:sz w:val="24"/>
          <w:szCs w:val="24"/>
        </w:rPr>
        <w:t xml:space="preserve"> of the settlement agreement</w:t>
      </w:r>
      <w:r w:rsidR="00371B1A" w:rsidRPr="006E6FB9">
        <w:rPr>
          <w:rFonts w:ascii="Arial" w:hAnsi="Arial" w:cs="Arial"/>
          <w:sz w:val="24"/>
          <w:szCs w:val="24"/>
        </w:rPr>
        <w:t xml:space="preserve">. </w:t>
      </w:r>
    </w:p>
    <w:p w:rsidR="00371B1A" w:rsidRPr="006E6FB9" w:rsidRDefault="00371B1A" w:rsidP="00BF26EB">
      <w:pPr>
        <w:spacing w:after="0" w:line="360" w:lineRule="auto"/>
        <w:ind w:left="720" w:hanging="720"/>
        <w:jc w:val="both"/>
        <w:rPr>
          <w:rFonts w:ascii="Arial" w:hAnsi="Arial" w:cs="Arial"/>
          <w:sz w:val="24"/>
          <w:szCs w:val="24"/>
        </w:rPr>
      </w:pPr>
    </w:p>
    <w:p w:rsidR="00AF5CA4"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[3</w:t>
      </w:r>
      <w:r w:rsidR="006E6FB9" w:rsidRPr="006E6FB9">
        <w:rPr>
          <w:rFonts w:ascii="Arial" w:hAnsi="Arial" w:cs="Arial"/>
          <w:sz w:val="24"/>
          <w:szCs w:val="24"/>
        </w:rPr>
        <w:t>6</w:t>
      </w:r>
      <w:r w:rsidR="00371B1A" w:rsidRPr="006E6FB9">
        <w:rPr>
          <w:rFonts w:ascii="Arial" w:hAnsi="Arial" w:cs="Arial"/>
          <w:sz w:val="24"/>
          <w:szCs w:val="24"/>
        </w:rPr>
        <w:t>]</w:t>
      </w:r>
      <w:r w:rsidR="00371B1A" w:rsidRPr="006E6FB9">
        <w:rPr>
          <w:rFonts w:ascii="Arial" w:hAnsi="Arial" w:cs="Arial"/>
          <w:sz w:val="24"/>
          <w:szCs w:val="24"/>
        </w:rPr>
        <w:tab/>
      </w:r>
      <w:r w:rsidR="0050244E" w:rsidRPr="006E6FB9">
        <w:rPr>
          <w:rFonts w:ascii="Arial" w:hAnsi="Arial" w:cs="Arial"/>
          <w:sz w:val="24"/>
          <w:szCs w:val="24"/>
        </w:rPr>
        <w:t>In terms of clause 2</w:t>
      </w:r>
      <w:r w:rsidR="0019401C" w:rsidRPr="006E6FB9">
        <w:rPr>
          <w:rFonts w:ascii="Arial" w:hAnsi="Arial" w:cs="Arial"/>
          <w:sz w:val="24"/>
          <w:szCs w:val="24"/>
        </w:rPr>
        <w:t xml:space="preserve">, </w:t>
      </w:r>
      <w:r w:rsidR="0050244E" w:rsidRPr="006E6FB9">
        <w:rPr>
          <w:rFonts w:ascii="Arial" w:hAnsi="Arial" w:cs="Arial"/>
          <w:sz w:val="24"/>
          <w:szCs w:val="24"/>
        </w:rPr>
        <w:t>Centlec undertook to pay the respondent “three (3) months equivalent pay</w:t>
      </w:r>
      <w:r w:rsidR="00AF5CA4" w:rsidRPr="006E6FB9">
        <w:rPr>
          <w:rFonts w:ascii="Arial" w:hAnsi="Arial" w:cs="Arial"/>
          <w:sz w:val="24"/>
          <w:szCs w:val="24"/>
        </w:rPr>
        <w:t>”</w:t>
      </w:r>
      <w:r w:rsidR="0050244E" w:rsidRPr="006E6FB9">
        <w:rPr>
          <w:rFonts w:ascii="Arial" w:hAnsi="Arial" w:cs="Arial"/>
          <w:sz w:val="24"/>
          <w:szCs w:val="24"/>
        </w:rPr>
        <w:t xml:space="preserve">. </w:t>
      </w:r>
      <w:r w:rsidR="008C48DF" w:rsidRPr="006E6FB9">
        <w:rPr>
          <w:rFonts w:ascii="Arial" w:hAnsi="Arial" w:cs="Arial"/>
          <w:sz w:val="24"/>
          <w:szCs w:val="24"/>
        </w:rPr>
        <w:t>The allegations regarding Centlec’s failure to pay the respondent as agreed are countered by the respondent’s own version</w:t>
      </w:r>
      <w:r w:rsidR="0050244E" w:rsidRPr="006E6FB9">
        <w:rPr>
          <w:rFonts w:ascii="Arial" w:hAnsi="Arial" w:cs="Arial"/>
          <w:sz w:val="24"/>
          <w:szCs w:val="24"/>
        </w:rPr>
        <w:t xml:space="preserve"> of the events regarding the payment issue. </w:t>
      </w:r>
    </w:p>
    <w:p w:rsidR="00AF5CA4" w:rsidRPr="006E6FB9" w:rsidRDefault="00AF5CA4" w:rsidP="00BF26EB">
      <w:pPr>
        <w:spacing w:after="0" w:line="360" w:lineRule="auto"/>
        <w:ind w:left="720" w:hanging="720"/>
        <w:jc w:val="both"/>
        <w:rPr>
          <w:rFonts w:ascii="Arial" w:hAnsi="Arial" w:cs="Arial"/>
          <w:sz w:val="24"/>
          <w:szCs w:val="24"/>
        </w:rPr>
      </w:pPr>
    </w:p>
    <w:p w:rsidR="003869E5"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[3</w:t>
      </w:r>
      <w:r w:rsidR="006E6FB9" w:rsidRPr="006E6FB9">
        <w:rPr>
          <w:rFonts w:ascii="Arial" w:hAnsi="Arial" w:cs="Arial"/>
          <w:sz w:val="24"/>
          <w:szCs w:val="24"/>
        </w:rPr>
        <w:t>7</w:t>
      </w:r>
      <w:r w:rsidR="00AF5CA4" w:rsidRPr="006E6FB9">
        <w:rPr>
          <w:rFonts w:ascii="Arial" w:hAnsi="Arial" w:cs="Arial"/>
          <w:sz w:val="24"/>
          <w:szCs w:val="24"/>
        </w:rPr>
        <w:t>]</w:t>
      </w:r>
      <w:r w:rsidR="00AF5CA4" w:rsidRPr="006E6FB9">
        <w:rPr>
          <w:rFonts w:ascii="Arial" w:hAnsi="Arial" w:cs="Arial"/>
          <w:sz w:val="24"/>
          <w:szCs w:val="24"/>
        </w:rPr>
        <w:tab/>
      </w:r>
      <w:r w:rsidR="004D08A6" w:rsidRPr="006E6FB9">
        <w:rPr>
          <w:rFonts w:ascii="Arial" w:hAnsi="Arial" w:cs="Arial"/>
          <w:sz w:val="24"/>
          <w:szCs w:val="24"/>
        </w:rPr>
        <w:t xml:space="preserve">On </w:t>
      </w:r>
      <w:r w:rsidR="00F62A01" w:rsidRPr="006E6FB9">
        <w:rPr>
          <w:rFonts w:ascii="Arial" w:hAnsi="Arial" w:cs="Arial"/>
          <w:sz w:val="24"/>
          <w:szCs w:val="24"/>
        </w:rPr>
        <w:t xml:space="preserve">26 November 2021 approximately </w:t>
      </w:r>
      <w:r w:rsidR="003869E5" w:rsidRPr="006E6FB9">
        <w:rPr>
          <w:rFonts w:ascii="Arial" w:hAnsi="Arial" w:cs="Arial"/>
          <w:sz w:val="24"/>
          <w:szCs w:val="24"/>
        </w:rPr>
        <w:t xml:space="preserve">two </w:t>
      </w:r>
      <w:r w:rsidR="00F62A01" w:rsidRPr="006E6FB9">
        <w:rPr>
          <w:rFonts w:ascii="Arial" w:hAnsi="Arial" w:cs="Arial"/>
          <w:sz w:val="24"/>
          <w:szCs w:val="24"/>
        </w:rPr>
        <w:t>month</w:t>
      </w:r>
      <w:r w:rsidR="004D08A6" w:rsidRPr="006E6FB9">
        <w:rPr>
          <w:rFonts w:ascii="Arial" w:hAnsi="Arial" w:cs="Arial"/>
          <w:sz w:val="24"/>
          <w:szCs w:val="24"/>
        </w:rPr>
        <w:t>s</w:t>
      </w:r>
      <w:r w:rsidR="00F62A01" w:rsidRPr="006E6FB9">
        <w:rPr>
          <w:rFonts w:ascii="Arial" w:hAnsi="Arial" w:cs="Arial"/>
          <w:sz w:val="24"/>
          <w:szCs w:val="24"/>
        </w:rPr>
        <w:t xml:space="preserve"> </w:t>
      </w:r>
      <w:r w:rsidR="004D08A6" w:rsidRPr="006E6FB9">
        <w:rPr>
          <w:rFonts w:ascii="Arial" w:hAnsi="Arial" w:cs="Arial"/>
          <w:sz w:val="24"/>
          <w:szCs w:val="24"/>
        </w:rPr>
        <w:t xml:space="preserve">before her attorneys </w:t>
      </w:r>
      <w:r w:rsidR="0050244E" w:rsidRPr="006E6FB9">
        <w:rPr>
          <w:rFonts w:ascii="Arial" w:hAnsi="Arial" w:cs="Arial"/>
          <w:sz w:val="24"/>
          <w:szCs w:val="24"/>
        </w:rPr>
        <w:t xml:space="preserve">wrote to Centlec complaining about non-payment, the respondent </w:t>
      </w:r>
      <w:r w:rsidR="004D08A6" w:rsidRPr="006E6FB9">
        <w:rPr>
          <w:rFonts w:ascii="Arial" w:hAnsi="Arial" w:cs="Arial"/>
          <w:sz w:val="24"/>
          <w:szCs w:val="24"/>
        </w:rPr>
        <w:t xml:space="preserve">sent </w:t>
      </w:r>
      <w:r w:rsidR="00F62A01" w:rsidRPr="006E6FB9">
        <w:rPr>
          <w:rFonts w:ascii="Arial" w:hAnsi="Arial" w:cs="Arial"/>
          <w:sz w:val="24"/>
          <w:szCs w:val="24"/>
        </w:rPr>
        <w:t xml:space="preserve">an </w:t>
      </w:r>
      <w:r w:rsidR="00BB3D8C" w:rsidRPr="006E6FB9">
        <w:rPr>
          <w:rFonts w:ascii="Arial" w:hAnsi="Arial" w:cs="Arial"/>
          <w:sz w:val="24"/>
          <w:szCs w:val="24"/>
        </w:rPr>
        <w:t xml:space="preserve">email </w:t>
      </w:r>
      <w:r w:rsidR="00390853" w:rsidRPr="006E6FB9">
        <w:rPr>
          <w:rFonts w:ascii="Arial" w:hAnsi="Arial" w:cs="Arial"/>
          <w:sz w:val="24"/>
          <w:szCs w:val="24"/>
        </w:rPr>
        <w:t>to Centlec</w:t>
      </w:r>
      <w:r w:rsidR="00AC3AF7" w:rsidRPr="006E6FB9">
        <w:rPr>
          <w:rStyle w:val="FootnoteReference"/>
          <w:rFonts w:ascii="Arial" w:hAnsi="Arial" w:cs="Arial"/>
          <w:sz w:val="24"/>
          <w:szCs w:val="24"/>
        </w:rPr>
        <w:footnoteReference w:id="9"/>
      </w:r>
      <w:r w:rsidR="00F62A01" w:rsidRPr="006E6FB9">
        <w:rPr>
          <w:rFonts w:ascii="Arial" w:hAnsi="Arial" w:cs="Arial"/>
          <w:sz w:val="24"/>
          <w:szCs w:val="24"/>
        </w:rPr>
        <w:t xml:space="preserve"> </w:t>
      </w:r>
      <w:r w:rsidR="004D08A6" w:rsidRPr="006E6FB9">
        <w:rPr>
          <w:rFonts w:ascii="Arial" w:hAnsi="Arial" w:cs="Arial"/>
          <w:sz w:val="24"/>
          <w:szCs w:val="24"/>
        </w:rPr>
        <w:t xml:space="preserve">stating </w:t>
      </w:r>
      <w:r w:rsidR="00F62A01" w:rsidRPr="006E6FB9">
        <w:rPr>
          <w:rFonts w:ascii="Arial" w:hAnsi="Arial" w:cs="Arial"/>
          <w:sz w:val="24"/>
          <w:szCs w:val="24"/>
        </w:rPr>
        <w:t xml:space="preserve">that she </w:t>
      </w:r>
      <w:r w:rsidR="004D08A6" w:rsidRPr="006E6FB9">
        <w:rPr>
          <w:rFonts w:ascii="Arial" w:hAnsi="Arial" w:cs="Arial"/>
          <w:sz w:val="24"/>
          <w:szCs w:val="24"/>
        </w:rPr>
        <w:t xml:space="preserve">had been </w:t>
      </w:r>
      <w:r w:rsidR="00AC3AF7" w:rsidRPr="006E6FB9">
        <w:rPr>
          <w:rFonts w:ascii="Arial" w:hAnsi="Arial" w:cs="Arial"/>
          <w:sz w:val="24"/>
          <w:szCs w:val="24"/>
        </w:rPr>
        <w:t>paid for the months October 2021 and November 2021</w:t>
      </w:r>
      <w:r w:rsidR="00F62A01" w:rsidRPr="006E6FB9">
        <w:rPr>
          <w:rFonts w:ascii="Arial" w:hAnsi="Arial" w:cs="Arial"/>
          <w:sz w:val="24"/>
          <w:szCs w:val="24"/>
        </w:rPr>
        <w:t xml:space="preserve">. Her </w:t>
      </w:r>
      <w:r w:rsidR="00AC3AF7" w:rsidRPr="006E6FB9">
        <w:rPr>
          <w:rFonts w:ascii="Arial" w:hAnsi="Arial" w:cs="Arial"/>
          <w:sz w:val="24"/>
          <w:szCs w:val="24"/>
        </w:rPr>
        <w:t xml:space="preserve">gripe </w:t>
      </w:r>
      <w:r w:rsidR="004D08A6" w:rsidRPr="006E6FB9">
        <w:rPr>
          <w:rFonts w:ascii="Arial" w:hAnsi="Arial" w:cs="Arial"/>
          <w:sz w:val="24"/>
          <w:szCs w:val="24"/>
        </w:rPr>
        <w:t>was</w:t>
      </w:r>
      <w:r w:rsidR="00AC3AF7" w:rsidRPr="006E6FB9">
        <w:rPr>
          <w:rFonts w:ascii="Arial" w:hAnsi="Arial" w:cs="Arial"/>
          <w:sz w:val="24"/>
          <w:szCs w:val="24"/>
        </w:rPr>
        <w:t xml:space="preserve"> </w:t>
      </w:r>
      <w:r w:rsidR="00F62A01" w:rsidRPr="006E6FB9">
        <w:rPr>
          <w:rFonts w:ascii="Arial" w:hAnsi="Arial" w:cs="Arial"/>
          <w:sz w:val="24"/>
          <w:szCs w:val="24"/>
        </w:rPr>
        <w:t>merely in relation to the amounts</w:t>
      </w:r>
      <w:r w:rsidR="0019401C" w:rsidRPr="006E6FB9">
        <w:rPr>
          <w:rFonts w:ascii="Arial" w:hAnsi="Arial" w:cs="Arial"/>
          <w:sz w:val="24"/>
          <w:szCs w:val="24"/>
        </w:rPr>
        <w:t xml:space="preserve">, that she </w:t>
      </w:r>
      <w:r w:rsidR="00F62A01" w:rsidRPr="006E6FB9">
        <w:rPr>
          <w:rFonts w:ascii="Arial" w:hAnsi="Arial" w:cs="Arial"/>
          <w:sz w:val="24"/>
          <w:szCs w:val="24"/>
        </w:rPr>
        <w:t xml:space="preserve">was short paid. </w:t>
      </w:r>
      <w:r w:rsidR="004D08A6" w:rsidRPr="006E6FB9">
        <w:rPr>
          <w:rFonts w:ascii="Arial" w:hAnsi="Arial" w:cs="Arial"/>
          <w:sz w:val="24"/>
          <w:szCs w:val="24"/>
        </w:rPr>
        <w:t xml:space="preserve">Inexplicably, in the next month, </w:t>
      </w:r>
      <w:r w:rsidR="00390853" w:rsidRPr="006E6FB9">
        <w:rPr>
          <w:rFonts w:ascii="Arial" w:hAnsi="Arial" w:cs="Arial"/>
          <w:sz w:val="24"/>
          <w:szCs w:val="24"/>
        </w:rPr>
        <w:t xml:space="preserve">on 18 December 2021 the respondent </w:t>
      </w:r>
      <w:r w:rsidR="00AC3AF7" w:rsidRPr="006E6FB9">
        <w:rPr>
          <w:rFonts w:ascii="Arial" w:hAnsi="Arial" w:cs="Arial"/>
          <w:sz w:val="24"/>
          <w:szCs w:val="24"/>
        </w:rPr>
        <w:t>wrote to Centlec</w:t>
      </w:r>
      <w:r w:rsidR="003869E5" w:rsidRPr="006E6FB9">
        <w:rPr>
          <w:rFonts w:ascii="Arial" w:hAnsi="Arial" w:cs="Arial"/>
          <w:sz w:val="24"/>
          <w:szCs w:val="24"/>
        </w:rPr>
        <w:t xml:space="preserve"> </w:t>
      </w:r>
      <w:r w:rsidR="0050244E" w:rsidRPr="006E6FB9">
        <w:rPr>
          <w:rFonts w:ascii="Arial" w:hAnsi="Arial" w:cs="Arial"/>
          <w:sz w:val="24"/>
          <w:szCs w:val="24"/>
        </w:rPr>
        <w:t xml:space="preserve">stating </w:t>
      </w:r>
      <w:r w:rsidR="003869E5" w:rsidRPr="006E6FB9">
        <w:rPr>
          <w:rFonts w:ascii="Arial" w:hAnsi="Arial" w:cs="Arial"/>
          <w:sz w:val="24"/>
          <w:szCs w:val="24"/>
        </w:rPr>
        <w:t xml:space="preserve">that she had been overpaid with an amount of R62 584.81. </w:t>
      </w:r>
      <w:r w:rsidR="0050244E" w:rsidRPr="006E6FB9">
        <w:rPr>
          <w:rFonts w:ascii="Arial" w:hAnsi="Arial" w:cs="Arial"/>
          <w:sz w:val="24"/>
          <w:szCs w:val="24"/>
        </w:rPr>
        <w:t xml:space="preserve">Again on her own </w:t>
      </w:r>
      <w:r w:rsidR="003869E5" w:rsidRPr="006E6FB9">
        <w:rPr>
          <w:rFonts w:ascii="Arial" w:hAnsi="Arial" w:cs="Arial"/>
          <w:sz w:val="24"/>
          <w:szCs w:val="24"/>
        </w:rPr>
        <w:t xml:space="preserve">version, she paid back the </w:t>
      </w:r>
      <w:r w:rsidR="0050244E" w:rsidRPr="006E6FB9">
        <w:rPr>
          <w:rFonts w:ascii="Arial" w:hAnsi="Arial" w:cs="Arial"/>
          <w:sz w:val="24"/>
          <w:szCs w:val="24"/>
        </w:rPr>
        <w:t xml:space="preserve">said </w:t>
      </w:r>
      <w:r w:rsidR="003869E5" w:rsidRPr="006E6FB9">
        <w:rPr>
          <w:rFonts w:ascii="Arial" w:hAnsi="Arial" w:cs="Arial"/>
          <w:sz w:val="24"/>
          <w:szCs w:val="24"/>
        </w:rPr>
        <w:t>amount to Centlec.</w:t>
      </w:r>
      <w:r w:rsidR="003869E5" w:rsidRPr="006E6FB9">
        <w:rPr>
          <w:rStyle w:val="FootnoteReference"/>
          <w:rFonts w:ascii="Arial" w:hAnsi="Arial" w:cs="Arial"/>
          <w:sz w:val="24"/>
          <w:szCs w:val="24"/>
        </w:rPr>
        <w:footnoteReference w:id="10"/>
      </w:r>
      <w:r w:rsidR="0050244E" w:rsidRPr="006E6FB9">
        <w:rPr>
          <w:rFonts w:ascii="Arial" w:hAnsi="Arial" w:cs="Arial"/>
          <w:sz w:val="24"/>
          <w:szCs w:val="24"/>
        </w:rPr>
        <w:t xml:space="preserve"> As correctly pointed out by, Mr Sibeko, it does not make sense to complain about being unpaid </w:t>
      </w:r>
      <w:r w:rsidR="0019401C" w:rsidRPr="006E6FB9">
        <w:rPr>
          <w:rFonts w:ascii="Arial" w:hAnsi="Arial" w:cs="Arial"/>
          <w:sz w:val="24"/>
          <w:szCs w:val="24"/>
        </w:rPr>
        <w:t xml:space="preserve">or even short paid </w:t>
      </w:r>
      <w:r w:rsidR="0050244E" w:rsidRPr="006E6FB9">
        <w:rPr>
          <w:rFonts w:ascii="Arial" w:hAnsi="Arial" w:cs="Arial"/>
          <w:sz w:val="24"/>
          <w:szCs w:val="24"/>
        </w:rPr>
        <w:t xml:space="preserve">then on the other hand complain about being overpaid. </w:t>
      </w:r>
    </w:p>
    <w:p w:rsidR="003869E5" w:rsidRPr="006E6FB9" w:rsidRDefault="003869E5" w:rsidP="00BF26EB">
      <w:pPr>
        <w:spacing w:after="0" w:line="360" w:lineRule="auto"/>
        <w:ind w:left="720" w:hanging="720"/>
        <w:jc w:val="both"/>
        <w:rPr>
          <w:rFonts w:ascii="Arial" w:hAnsi="Arial" w:cs="Arial"/>
          <w:sz w:val="24"/>
          <w:szCs w:val="24"/>
        </w:rPr>
      </w:pPr>
    </w:p>
    <w:p w:rsidR="0019401C"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[3</w:t>
      </w:r>
      <w:r w:rsidR="006E6FB9" w:rsidRPr="006E6FB9">
        <w:rPr>
          <w:rFonts w:ascii="Arial" w:hAnsi="Arial" w:cs="Arial"/>
          <w:sz w:val="24"/>
          <w:szCs w:val="24"/>
        </w:rPr>
        <w:t>8</w:t>
      </w:r>
      <w:r w:rsidR="003869E5" w:rsidRPr="006E6FB9">
        <w:rPr>
          <w:rFonts w:ascii="Arial" w:hAnsi="Arial" w:cs="Arial"/>
          <w:sz w:val="24"/>
          <w:szCs w:val="24"/>
        </w:rPr>
        <w:t>]</w:t>
      </w:r>
      <w:r w:rsidR="003869E5" w:rsidRPr="006E6FB9">
        <w:rPr>
          <w:rFonts w:ascii="Arial" w:hAnsi="Arial" w:cs="Arial"/>
          <w:sz w:val="24"/>
          <w:szCs w:val="24"/>
        </w:rPr>
        <w:tab/>
      </w:r>
      <w:r w:rsidR="0050244E" w:rsidRPr="006E6FB9">
        <w:rPr>
          <w:rFonts w:ascii="Arial" w:hAnsi="Arial" w:cs="Arial"/>
          <w:sz w:val="24"/>
          <w:szCs w:val="24"/>
        </w:rPr>
        <w:t>Clause</w:t>
      </w:r>
      <w:r w:rsidR="00371B1A" w:rsidRPr="006E6FB9">
        <w:rPr>
          <w:rFonts w:ascii="Arial" w:hAnsi="Arial" w:cs="Arial"/>
          <w:sz w:val="24"/>
          <w:szCs w:val="24"/>
        </w:rPr>
        <w:t xml:space="preserve"> 4 </w:t>
      </w:r>
      <w:r w:rsidR="00680879" w:rsidRPr="006E6FB9">
        <w:rPr>
          <w:rFonts w:ascii="Arial" w:hAnsi="Arial" w:cs="Arial"/>
          <w:sz w:val="24"/>
          <w:szCs w:val="24"/>
        </w:rPr>
        <w:t xml:space="preserve">begins with “Thereafter…” and </w:t>
      </w:r>
      <w:r w:rsidR="00371B1A" w:rsidRPr="006E6FB9">
        <w:rPr>
          <w:rFonts w:ascii="Arial" w:hAnsi="Arial" w:cs="Arial"/>
          <w:sz w:val="24"/>
          <w:szCs w:val="24"/>
        </w:rPr>
        <w:t>clearly states that the respondent will be paid further payments equivalent to two months “subsequent to the lapsing of the November period…”</w:t>
      </w:r>
      <w:r w:rsidR="00680879" w:rsidRPr="006E6FB9">
        <w:rPr>
          <w:rFonts w:ascii="Arial" w:hAnsi="Arial" w:cs="Arial"/>
          <w:sz w:val="24"/>
          <w:szCs w:val="24"/>
        </w:rPr>
        <w:t xml:space="preserve"> therefore, Centlec’s obligation is reciprocal to the respondent’s obligation namely, to resign at the end of November 2021.</w:t>
      </w:r>
    </w:p>
    <w:p w:rsidR="0019401C" w:rsidRPr="006E6FB9" w:rsidRDefault="0019401C" w:rsidP="00BF26EB">
      <w:pPr>
        <w:spacing w:after="0" w:line="360" w:lineRule="auto"/>
        <w:ind w:left="720" w:hanging="720"/>
        <w:jc w:val="both"/>
        <w:rPr>
          <w:rFonts w:ascii="Arial" w:hAnsi="Arial" w:cs="Arial"/>
          <w:sz w:val="24"/>
          <w:szCs w:val="24"/>
        </w:rPr>
      </w:pPr>
    </w:p>
    <w:p w:rsidR="00265A58"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[3</w:t>
      </w:r>
      <w:r w:rsidR="006E6FB9" w:rsidRPr="006E6FB9">
        <w:rPr>
          <w:rFonts w:ascii="Arial" w:hAnsi="Arial" w:cs="Arial"/>
          <w:sz w:val="24"/>
          <w:szCs w:val="24"/>
        </w:rPr>
        <w:t>9</w:t>
      </w:r>
      <w:r w:rsidR="0019401C" w:rsidRPr="006E6FB9">
        <w:rPr>
          <w:rFonts w:ascii="Arial" w:hAnsi="Arial" w:cs="Arial"/>
          <w:sz w:val="24"/>
          <w:szCs w:val="24"/>
        </w:rPr>
        <w:t>]</w:t>
      </w:r>
      <w:r w:rsidR="0019401C" w:rsidRPr="006E6FB9">
        <w:rPr>
          <w:rFonts w:ascii="Arial" w:hAnsi="Arial" w:cs="Arial"/>
          <w:sz w:val="24"/>
          <w:szCs w:val="24"/>
        </w:rPr>
        <w:tab/>
      </w:r>
      <w:r w:rsidR="00371B1A" w:rsidRPr="006E6FB9">
        <w:rPr>
          <w:rFonts w:ascii="Arial" w:hAnsi="Arial" w:cs="Arial"/>
          <w:sz w:val="24"/>
          <w:szCs w:val="24"/>
        </w:rPr>
        <w:t xml:space="preserve">It is undisputed that the November period refers to the date on which the respondent undertook to resign </w:t>
      </w:r>
      <w:r w:rsidR="0019401C" w:rsidRPr="006E6FB9">
        <w:rPr>
          <w:rFonts w:ascii="Arial" w:hAnsi="Arial" w:cs="Arial"/>
          <w:sz w:val="24"/>
          <w:szCs w:val="24"/>
        </w:rPr>
        <w:t>(</w:t>
      </w:r>
      <w:r w:rsidR="00265A58" w:rsidRPr="006E6FB9">
        <w:rPr>
          <w:rFonts w:ascii="Arial" w:hAnsi="Arial" w:cs="Arial"/>
          <w:sz w:val="24"/>
          <w:szCs w:val="24"/>
        </w:rPr>
        <w:t>clause 3 of the settlement agreement</w:t>
      </w:r>
      <w:r w:rsidR="0019401C" w:rsidRPr="006E6FB9">
        <w:rPr>
          <w:rFonts w:ascii="Arial" w:hAnsi="Arial" w:cs="Arial"/>
          <w:sz w:val="24"/>
          <w:szCs w:val="24"/>
        </w:rPr>
        <w:t>)</w:t>
      </w:r>
      <w:r w:rsidR="00265A58" w:rsidRPr="006E6FB9">
        <w:rPr>
          <w:rFonts w:ascii="Arial" w:hAnsi="Arial" w:cs="Arial"/>
          <w:sz w:val="24"/>
          <w:szCs w:val="24"/>
        </w:rPr>
        <w:t>. Centlec has made the payment despite the fact that the respondent has not resigned</w:t>
      </w:r>
      <w:r w:rsidR="0019401C" w:rsidRPr="006E6FB9">
        <w:rPr>
          <w:rFonts w:ascii="Arial" w:hAnsi="Arial" w:cs="Arial"/>
          <w:sz w:val="24"/>
          <w:szCs w:val="24"/>
        </w:rPr>
        <w:t>, see a</w:t>
      </w:r>
      <w:r w:rsidR="00265A58" w:rsidRPr="006E6FB9">
        <w:rPr>
          <w:rFonts w:ascii="Arial" w:hAnsi="Arial" w:cs="Arial"/>
          <w:sz w:val="24"/>
          <w:szCs w:val="24"/>
        </w:rPr>
        <w:t xml:space="preserve">nnexure “CNT28” to “CNT30” </w:t>
      </w:r>
      <w:r w:rsidR="0019401C" w:rsidRPr="006E6FB9">
        <w:rPr>
          <w:rFonts w:ascii="Arial" w:hAnsi="Arial" w:cs="Arial"/>
          <w:sz w:val="24"/>
          <w:szCs w:val="24"/>
        </w:rPr>
        <w:t xml:space="preserve">as </w:t>
      </w:r>
      <w:r w:rsidR="00265A58" w:rsidRPr="006E6FB9">
        <w:rPr>
          <w:rFonts w:ascii="Arial" w:hAnsi="Arial" w:cs="Arial"/>
          <w:sz w:val="24"/>
          <w:szCs w:val="24"/>
        </w:rPr>
        <w:t>copies of the salary slips in that regard.</w:t>
      </w:r>
    </w:p>
    <w:p w:rsidR="00265A58" w:rsidRPr="006E6FB9" w:rsidRDefault="00265A58" w:rsidP="00BF26EB">
      <w:pPr>
        <w:spacing w:after="0" w:line="360" w:lineRule="auto"/>
        <w:ind w:left="720" w:hanging="720"/>
        <w:jc w:val="both"/>
        <w:rPr>
          <w:rFonts w:ascii="Arial" w:hAnsi="Arial" w:cs="Arial"/>
          <w:sz w:val="24"/>
          <w:szCs w:val="24"/>
        </w:rPr>
      </w:pPr>
    </w:p>
    <w:p w:rsidR="00784DEA"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w:t>
      </w:r>
      <w:r w:rsidR="006E6FB9" w:rsidRPr="006E6FB9">
        <w:rPr>
          <w:rFonts w:ascii="Arial" w:hAnsi="Arial" w:cs="Arial"/>
          <w:sz w:val="24"/>
          <w:szCs w:val="24"/>
        </w:rPr>
        <w:t>40</w:t>
      </w:r>
      <w:r w:rsidR="00265A58" w:rsidRPr="006E6FB9">
        <w:rPr>
          <w:rFonts w:ascii="Arial" w:hAnsi="Arial" w:cs="Arial"/>
          <w:sz w:val="24"/>
          <w:szCs w:val="24"/>
        </w:rPr>
        <w:t>]</w:t>
      </w:r>
      <w:r w:rsidR="00265A58" w:rsidRPr="006E6FB9">
        <w:rPr>
          <w:rFonts w:ascii="Arial" w:hAnsi="Arial" w:cs="Arial"/>
          <w:sz w:val="24"/>
          <w:szCs w:val="24"/>
        </w:rPr>
        <w:tab/>
        <w:t xml:space="preserve">In terms of clause 6, 7 and 8. Centlec was required to allow the respondent to collect her personal belongings from its premises, </w:t>
      </w:r>
      <w:r w:rsidR="0019401C" w:rsidRPr="006E6FB9">
        <w:rPr>
          <w:rFonts w:ascii="Arial" w:hAnsi="Arial" w:cs="Arial"/>
          <w:sz w:val="24"/>
          <w:szCs w:val="24"/>
        </w:rPr>
        <w:t xml:space="preserve">to </w:t>
      </w:r>
      <w:r w:rsidR="00265A58" w:rsidRPr="006E6FB9">
        <w:rPr>
          <w:rFonts w:ascii="Arial" w:hAnsi="Arial" w:cs="Arial"/>
          <w:sz w:val="24"/>
          <w:szCs w:val="24"/>
        </w:rPr>
        <w:t xml:space="preserve">withdraw the criminal charge it laid against </w:t>
      </w:r>
      <w:r w:rsidR="0019401C" w:rsidRPr="006E6FB9">
        <w:rPr>
          <w:rFonts w:ascii="Arial" w:hAnsi="Arial" w:cs="Arial"/>
          <w:sz w:val="24"/>
          <w:szCs w:val="24"/>
        </w:rPr>
        <w:t xml:space="preserve">her </w:t>
      </w:r>
      <w:r w:rsidR="00265A58" w:rsidRPr="006E6FB9">
        <w:rPr>
          <w:rFonts w:ascii="Arial" w:hAnsi="Arial" w:cs="Arial"/>
          <w:sz w:val="24"/>
          <w:szCs w:val="24"/>
        </w:rPr>
        <w:t xml:space="preserve">upon </w:t>
      </w:r>
      <w:r w:rsidR="00784DEA" w:rsidRPr="006E6FB9">
        <w:rPr>
          <w:rFonts w:ascii="Arial" w:hAnsi="Arial" w:cs="Arial"/>
          <w:sz w:val="24"/>
          <w:szCs w:val="24"/>
        </w:rPr>
        <w:t xml:space="preserve">her returning Centlec’s laptop and to </w:t>
      </w:r>
      <w:r w:rsidR="0019401C" w:rsidRPr="006E6FB9">
        <w:rPr>
          <w:rFonts w:ascii="Arial" w:hAnsi="Arial" w:cs="Arial"/>
          <w:sz w:val="24"/>
          <w:szCs w:val="24"/>
        </w:rPr>
        <w:t xml:space="preserve">also </w:t>
      </w:r>
      <w:r w:rsidR="00784DEA" w:rsidRPr="006E6FB9">
        <w:rPr>
          <w:rFonts w:ascii="Arial" w:hAnsi="Arial" w:cs="Arial"/>
          <w:sz w:val="24"/>
          <w:szCs w:val="24"/>
        </w:rPr>
        <w:t>furnish her with a letter of good standing.</w:t>
      </w:r>
    </w:p>
    <w:p w:rsidR="00784DEA" w:rsidRPr="006E6FB9" w:rsidRDefault="00784DEA" w:rsidP="00BF26EB">
      <w:pPr>
        <w:spacing w:after="0" w:line="360" w:lineRule="auto"/>
        <w:ind w:left="720" w:hanging="720"/>
        <w:jc w:val="both"/>
        <w:rPr>
          <w:rFonts w:ascii="Arial" w:hAnsi="Arial" w:cs="Arial"/>
          <w:sz w:val="24"/>
          <w:szCs w:val="24"/>
        </w:rPr>
      </w:pPr>
    </w:p>
    <w:p w:rsidR="0019401C" w:rsidRPr="006E6FB9" w:rsidRDefault="007F6900" w:rsidP="00BF26EB">
      <w:pPr>
        <w:spacing w:after="0" w:line="360" w:lineRule="auto"/>
        <w:ind w:left="720" w:hanging="720"/>
        <w:jc w:val="both"/>
        <w:rPr>
          <w:rFonts w:ascii="Arial" w:hAnsi="Arial" w:cs="Arial"/>
          <w:sz w:val="24"/>
          <w:szCs w:val="24"/>
        </w:rPr>
      </w:pPr>
      <w:r w:rsidRPr="006E6FB9">
        <w:rPr>
          <w:rFonts w:ascii="Arial" w:hAnsi="Arial" w:cs="Arial"/>
          <w:sz w:val="24"/>
          <w:szCs w:val="24"/>
        </w:rPr>
        <w:t>[</w:t>
      </w:r>
      <w:r w:rsidR="006E6FB9" w:rsidRPr="006E6FB9">
        <w:rPr>
          <w:rFonts w:ascii="Arial" w:hAnsi="Arial" w:cs="Arial"/>
          <w:sz w:val="24"/>
          <w:szCs w:val="24"/>
        </w:rPr>
        <w:t>41</w:t>
      </w:r>
      <w:r w:rsidR="00784DEA" w:rsidRPr="006E6FB9">
        <w:rPr>
          <w:rFonts w:ascii="Arial" w:hAnsi="Arial" w:cs="Arial"/>
          <w:sz w:val="24"/>
          <w:szCs w:val="24"/>
        </w:rPr>
        <w:t>]</w:t>
      </w:r>
      <w:r w:rsidR="00784DEA" w:rsidRPr="006E6FB9">
        <w:rPr>
          <w:rFonts w:ascii="Arial" w:hAnsi="Arial" w:cs="Arial"/>
          <w:sz w:val="24"/>
          <w:szCs w:val="24"/>
        </w:rPr>
        <w:tab/>
        <w:t xml:space="preserve">The </w:t>
      </w:r>
      <w:r w:rsidR="00265A58" w:rsidRPr="006E6FB9">
        <w:rPr>
          <w:rFonts w:ascii="Arial" w:hAnsi="Arial" w:cs="Arial"/>
          <w:sz w:val="24"/>
          <w:szCs w:val="24"/>
        </w:rPr>
        <w:t xml:space="preserve">respondent </w:t>
      </w:r>
      <w:r w:rsidR="00784DEA" w:rsidRPr="006E6FB9">
        <w:rPr>
          <w:rFonts w:ascii="Arial" w:hAnsi="Arial" w:cs="Arial"/>
          <w:sz w:val="24"/>
          <w:szCs w:val="24"/>
        </w:rPr>
        <w:t>does not dispute that she has collected her personal belongings</w:t>
      </w:r>
      <w:r w:rsidR="0019401C" w:rsidRPr="006E6FB9">
        <w:rPr>
          <w:rFonts w:ascii="Arial" w:hAnsi="Arial" w:cs="Arial"/>
          <w:sz w:val="24"/>
          <w:szCs w:val="24"/>
        </w:rPr>
        <w:t xml:space="preserve"> and that on </w:t>
      </w:r>
      <w:r w:rsidR="00784DEA" w:rsidRPr="006E6FB9">
        <w:rPr>
          <w:rFonts w:ascii="Arial" w:hAnsi="Arial" w:cs="Arial"/>
          <w:sz w:val="24"/>
          <w:szCs w:val="24"/>
        </w:rPr>
        <w:t xml:space="preserve">28 October 2021 proof of withdrawal of the charge and the letter of good standing was furnished to her erstwhile attorneys of record. </w:t>
      </w:r>
    </w:p>
    <w:p w:rsidR="0019401C" w:rsidRPr="006E6FB9" w:rsidRDefault="0019401C" w:rsidP="00BF26EB">
      <w:pPr>
        <w:spacing w:after="0" w:line="360" w:lineRule="auto"/>
        <w:ind w:left="720" w:hanging="720"/>
        <w:jc w:val="both"/>
        <w:rPr>
          <w:rFonts w:ascii="Arial" w:hAnsi="Arial" w:cs="Arial"/>
          <w:sz w:val="24"/>
          <w:szCs w:val="24"/>
        </w:rPr>
      </w:pPr>
    </w:p>
    <w:p w:rsidR="00AF2985" w:rsidRPr="006E6FB9" w:rsidRDefault="007F6900" w:rsidP="00680879">
      <w:pPr>
        <w:spacing w:after="0" w:line="360" w:lineRule="auto"/>
        <w:ind w:left="720" w:hanging="720"/>
        <w:jc w:val="both"/>
        <w:rPr>
          <w:rFonts w:ascii="Arial" w:hAnsi="Arial" w:cs="Arial"/>
          <w:sz w:val="24"/>
          <w:szCs w:val="24"/>
        </w:rPr>
      </w:pPr>
      <w:r w:rsidRPr="006E6FB9">
        <w:rPr>
          <w:rFonts w:ascii="Arial" w:hAnsi="Arial" w:cs="Arial"/>
          <w:sz w:val="24"/>
          <w:szCs w:val="24"/>
        </w:rPr>
        <w:t>[4</w:t>
      </w:r>
      <w:r w:rsidR="006E6FB9" w:rsidRPr="006E6FB9">
        <w:rPr>
          <w:rFonts w:ascii="Arial" w:hAnsi="Arial" w:cs="Arial"/>
          <w:sz w:val="24"/>
          <w:szCs w:val="24"/>
        </w:rPr>
        <w:t>2</w:t>
      </w:r>
      <w:r w:rsidR="0019401C" w:rsidRPr="006E6FB9">
        <w:rPr>
          <w:rFonts w:ascii="Arial" w:hAnsi="Arial" w:cs="Arial"/>
          <w:sz w:val="24"/>
          <w:szCs w:val="24"/>
        </w:rPr>
        <w:t>]</w:t>
      </w:r>
      <w:r w:rsidR="0019401C" w:rsidRPr="006E6FB9">
        <w:rPr>
          <w:rFonts w:ascii="Arial" w:hAnsi="Arial" w:cs="Arial"/>
          <w:sz w:val="24"/>
          <w:szCs w:val="24"/>
        </w:rPr>
        <w:tab/>
        <w:t xml:space="preserve">With regard to the withdrawal of the charges, she insists that Centlec has not complied because </w:t>
      </w:r>
      <w:r w:rsidR="00795820" w:rsidRPr="006E6FB9">
        <w:rPr>
          <w:rFonts w:ascii="Arial" w:hAnsi="Arial" w:cs="Arial"/>
          <w:sz w:val="24"/>
          <w:szCs w:val="24"/>
        </w:rPr>
        <w:t>not all the charges instituted against her were withdrawn instead</w:t>
      </w:r>
      <w:r w:rsidR="0019401C" w:rsidRPr="006E6FB9">
        <w:rPr>
          <w:rFonts w:ascii="Arial" w:hAnsi="Arial" w:cs="Arial"/>
          <w:sz w:val="24"/>
          <w:szCs w:val="24"/>
        </w:rPr>
        <w:t xml:space="preserve"> </w:t>
      </w:r>
      <w:r w:rsidR="00795820" w:rsidRPr="006E6FB9">
        <w:rPr>
          <w:rFonts w:ascii="Arial" w:hAnsi="Arial" w:cs="Arial"/>
          <w:sz w:val="24"/>
          <w:szCs w:val="24"/>
        </w:rPr>
        <w:t xml:space="preserve">more </w:t>
      </w:r>
      <w:r w:rsidR="00784DEA" w:rsidRPr="006E6FB9">
        <w:rPr>
          <w:rFonts w:ascii="Arial" w:hAnsi="Arial" w:cs="Arial"/>
          <w:sz w:val="24"/>
          <w:szCs w:val="24"/>
        </w:rPr>
        <w:t xml:space="preserve">charges </w:t>
      </w:r>
      <w:r w:rsidR="00AF2985" w:rsidRPr="006E6FB9">
        <w:rPr>
          <w:rFonts w:ascii="Arial" w:hAnsi="Arial" w:cs="Arial"/>
          <w:sz w:val="24"/>
          <w:szCs w:val="24"/>
        </w:rPr>
        <w:t xml:space="preserve">were </w:t>
      </w:r>
      <w:r w:rsidR="00784DEA" w:rsidRPr="006E6FB9">
        <w:rPr>
          <w:rFonts w:ascii="Arial" w:hAnsi="Arial" w:cs="Arial"/>
          <w:sz w:val="24"/>
          <w:szCs w:val="24"/>
        </w:rPr>
        <w:t>lodged even after court proceedings were instituted</w:t>
      </w:r>
      <w:r w:rsidR="00680879" w:rsidRPr="006E6FB9">
        <w:rPr>
          <w:rFonts w:ascii="Arial" w:hAnsi="Arial" w:cs="Arial"/>
          <w:sz w:val="24"/>
          <w:szCs w:val="24"/>
        </w:rPr>
        <w:t xml:space="preserve"> against her</w:t>
      </w:r>
      <w:r w:rsidR="00784DEA" w:rsidRPr="006E6FB9">
        <w:rPr>
          <w:rFonts w:ascii="Arial" w:hAnsi="Arial" w:cs="Arial"/>
          <w:sz w:val="24"/>
          <w:szCs w:val="24"/>
        </w:rPr>
        <w:t>.  Clause 7 states clearly that the charge that will be withdrawn is the charge relating to the theft of the laptop and on condition that that she has returned it as stated in clause 5</w:t>
      </w:r>
      <w:r w:rsidR="00AF2985" w:rsidRPr="006E6FB9">
        <w:rPr>
          <w:rFonts w:ascii="Arial" w:hAnsi="Arial" w:cs="Arial"/>
          <w:sz w:val="24"/>
          <w:szCs w:val="24"/>
        </w:rPr>
        <w:t>.</w:t>
      </w:r>
      <w:r w:rsidR="00784DEA" w:rsidRPr="006E6FB9">
        <w:rPr>
          <w:rFonts w:ascii="Arial" w:hAnsi="Arial" w:cs="Arial"/>
          <w:sz w:val="24"/>
          <w:szCs w:val="24"/>
        </w:rPr>
        <w:t xml:space="preserve">  The</w:t>
      </w:r>
      <w:r w:rsidR="00680879" w:rsidRPr="006E6FB9">
        <w:rPr>
          <w:rFonts w:ascii="Arial" w:hAnsi="Arial" w:cs="Arial"/>
          <w:sz w:val="24"/>
          <w:szCs w:val="24"/>
        </w:rPr>
        <w:t xml:space="preserve"> contention that Centlec was required to withdraw all the criminal cases is fallacious. </w:t>
      </w:r>
    </w:p>
    <w:p w:rsidR="00AF2985" w:rsidRPr="006E6FB9" w:rsidRDefault="00AF2985" w:rsidP="00BF26EB">
      <w:pPr>
        <w:spacing w:after="0" w:line="360" w:lineRule="auto"/>
        <w:ind w:left="720" w:hanging="720"/>
        <w:jc w:val="both"/>
        <w:rPr>
          <w:rFonts w:ascii="Arial" w:hAnsi="Arial" w:cs="Arial"/>
          <w:sz w:val="24"/>
          <w:szCs w:val="24"/>
        </w:rPr>
      </w:pPr>
    </w:p>
    <w:p w:rsidR="006765E2" w:rsidRPr="006E6FB9" w:rsidRDefault="007F6900" w:rsidP="006765E2">
      <w:pPr>
        <w:spacing w:after="0" w:line="360" w:lineRule="auto"/>
        <w:ind w:left="720" w:hanging="720"/>
        <w:jc w:val="both"/>
        <w:rPr>
          <w:rFonts w:ascii="Arial" w:hAnsi="Arial" w:cs="Arial"/>
          <w:sz w:val="24"/>
          <w:szCs w:val="24"/>
        </w:rPr>
      </w:pPr>
      <w:r w:rsidRPr="006E6FB9">
        <w:rPr>
          <w:rFonts w:ascii="Arial" w:hAnsi="Arial" w:cs="Arial"/>
          <w:sz w:val="24"/>
          <w:szCs w:val="24"/>
        </w:rPr>
        <w:t>[4</w:t>
      </w:r>
      <w:r w:rsidR="006E6FB9" w:rsidRPr="006E6FB9">
        <w:rPr>
          <w:rFonts w:ascii="Arial" w:hAnsi="Arial" w:cs="Arial"/>
          <w:sz w:val="24"/>
          <w:szCs w:val="24"/>
        </w:rPr>
        <w:t>3</w:t>
      </w:r>
      <w:r w:rsidR="00AF2985" w:rsidRPr="006E6FB9">
        <w:rPr>
          <w:rFonts w:ascii="Arial" w:hAnsi="Arial" w:cs="Arial"/>
          <w:sz w:val="24"/>
          <w:szCs w:val="24"/>
        </w:rPr>
        <w:t>]</w:t>
      </w:r>
      <w:r w:rsidR="00AF2985" w:rsidRPr="006E6FB9">
        <w:rPr>
          <w:rFonts w:ascii="Arial" w:hAnsi="Arial" w:cs="Arial"/>
          <w:sz w:val="24"/>
          <w:szCs w:val="24"/>
        </w:rPr>
        <w:tab/>
      </w:r>
      <w:r w:rsidR="006765E2" w:rsidRPr="006E6FB9">
        <w:rPr>
          <w:rFonts w:ascii="Arial" w:hAnsi="Arial" w:cs="Arial"/>
          <w:sz w:val="24"/>
          <w:szCs w:val="24"/>
        </w:rPr>
        <w:t xml:space="preserve">In conclusion, I’m of the view that Centlec has complied with its </w:t>
      </w:r>
      <w:r w:rsidR="00680879" w:rsidRPr="006E6FB9">
        <w:rPr>
          <w:rFonts w:ascii="Arial" w:hAnsi="Arial" w:cs="Arial"/>
          <w:sz w:val="24"/>
          <w:szCs w:val="24"/>
        </w:rPr>
        <w:t xml:space="preserve">obligations in terms of the settlement agreement. </w:t>
      </w:r>
      <w:r w:rsidR="006765E2" w:rsidRPr="006E6FB9">
        <w:rPr>
          <w:rFonts w:ascii="Arial" w:hAnsi="Arial" w:cs="Arial"/>
          <w:sz w:val="24"/>
          <w:szCs w:val="24"/>
        </w:rPr>
        <w:t xml:space="preserve">The obligation to release a press statement falls squarely on both Centlec and the respondent and </w:t>
      </w:r>
      <w:r w:rsidR="00D33A1C" w:rsidRPr="006E6FB9">
        <w:rPr>
          <w:rFonts w:ascii="Arial" w:hAnsi="Arial" w:cs="Arial"/>
          <w:sz w:val="24"/>
          <w:szCs w:val="24"/>
        </w:rPr>
        <w:t>pursuant to the respondent’s resignation.</w:t>
      </w:r>
    </w:p>
    <w:p w:rsidR="006765E2" w:rsidRPr="006E6FB9" w:rsidRDefault="006765E2" w:rsidP="006765E2">
      <w:pPr>
        <w:spacing w:after="0" w:line="360" w:lineRule="auto"/>
        <w:ind w:left="720" w:hanging="720"/>
        <w:jc w:val="both"/>
        <w:rPr>
          <w:rFonts w:ascii="Arial" w:hAnsi="Arial" w:cs="Arial"/>
          <w:sz w:val="24"/>
          <w:szCs w:val="24"/>
        </w:rPr>
      </w:pPr>
    </w:p>
    <w:p w:rsidR="00AF5CA4" w:rsidRPr="006E6FB9" w:rsidRDefault="007F6900" w:rsidP="006765E2">
      <w:pPr>
        <w:spacing w:after="0" w:line="360" w:lineRule="auto"/>
        <w:ind w:left="720" w:hanging="720"/>
        <w:jc w:val="both"/>
        <w:rPr>
          <w:rFonts w:ascii="Arial" w:hAnsi="Arial" w:cs="Arial"/>
          <w:sz w:val="24"/>
          <w:szCs w:val="24"/>
        </w:rPr>
      </w:pPr>
      <w:r w:rsidRPr="006E6FB9">
        <w:rPr>
          <w:rFonts w:ascii="Arial" w:hAnsi="Arial" w:cs="Arial"/>
          <w:sz w:val="24"/>
          <w:szCs w:val="24"/>
        </w:rPr>
        <w:t>[4</w:t>
      </w:r>
      <w:r w:rsidR="006E6FB9" w:rsidRPr="006E6FB9">
        <w:rPr>
          <w:rFonts w:ascii="Arial" w:hAnsi="Arial" w:cs="Arial"/>
          <w:sz w:val="24"/>
          <w:szCs w:val="24"/>
        </w:rPr>
        <w:t>4</w:t>
      </w:r>
      <w:r w:rsidR="006765E2" w:rsidRPr="006E6FB9">
        <w:rPr>
          <w:rFonts w:ascii="Arial" w:hAnsi="Arial" w:cs="Arial"/>
          <w:sz w:val="24"/>
          <w:szCs w:val="24"/>
        </w:rPr>
        <w:t>]</w:t>
      </w:r>
      <w:r w:rsidR="006765E2" w:rsidRPr="006E6FB9">
        <w:rPr>
          <w:rFonts w:ascii="Arial" w:hAnsi="Arial" w:cs="Arial"/>
          <w:sz w:val="24"/>
          <w:szCs w:val="24"/>
        </w:rPr>
        <w:tab/>
        <w:t xml:space="preserve">I have consequently arrived at the conclusion that the application ought to succeed. </w:t>
      </w:r>
      <w:r w:rsidR="006765E2" w:rsidRPr="006E6FB9">
        <w:rPr>
          <w:rFonts w:ascii="Arial" w:hAnsi="Arial" w:cs="Arial"/>
          <w:sz w:val="24"/>
          <w:szCs w:val="24"/>
          <w:lang w:val="en-GB"/>
        </w:rPr>
        <w:t xml:space="preserve">There is no reason why the costs should not follow the result, the </w:t>
      </w:r>
      <w:r w:rsidR="00AF5CA4" w:rsidRPr="006E6FB9">
        <w:rPr>
          <w:rFonts w:ascii="Arial" w:hAnsi="Arial" w:cs="Arial"/>
          <w:sz w:val="24"/>
          <w:szCs w:val="24"/>
        </w:rPr>
        <w:t>respondent shall therefore bear the costs herein.</w:t>
      </w:r>
    </w:p>
    <w:p w:rsidR="00AF5CA4" w:rsidRPr="006E6FB9" w:rsidRDefault="00AF5CA4" w:rsidP="006765E2">
      <w:pPr>
        <w:spacing w:after="0" w:line="360" w:lineRule="auto"/>
        <w:ind w:left="720" w:hanging="720"/>
        <w:jc w:val="both"/>
        <w:rPr>
          <w:rFonts w:ascii="Arial" w:hAnsi="Arial" w:cs="Arial"/>
          <w:sz w:val="24"/>
          <w:szCs w:val="24"/>
        </w:rPr>
      </w:pPr>
    </w:p>
    <w:p w:rsidR="006765E2" w:rsidRPr="006E6FB9" w:rsidRDefault="007F6900" w:rsidP="006765E2">
      <w:pPr>
        <w:spacing w:after="0" w:line="360" w:lineRule="auto"/>
        <w:ind w:left="720" w:hanging="720"/>
        <w:jc w:val="both"/>
        <w:rPr>
          <w:rFonts w:ascii="Arial" w:hAnsi="Arial" w:cs="Arial"/>
          <w:sz w:val="24"/>
          <w:szCs w:val="24"/>
          <w:shd w:val="clear" w:color="auto" w:fill="FFFFFF"/>
        </w:rPr>
      </w:pPr>
      <w:r w:rsidRPr="006E6FB9">
        <w:rPr>
          <w:rFonts w:ascii="Arial" w:hAnsi="Arial" w:cs="Arial"/>
          <w:sz w:val="24"/>
          <w:szCs w:val="24"/>
        </w:rPr>
        <w:t>[4</w:t>
      </w:r>
      <w:r w:rsidR="006E6FB9" w:rsidRPr="006E6FB9">
        <w:rPr>
          <w:rFonts w:ascii="Arial" w:hAnsi="Arial" w:cs="Arial"/>
          <w:sz w:val="24"/>
          <w:szCs w:val="24"/>
        </w:rPr>
        <w:t>5</w:t>
      </w:r>
      <w:r w:rsidR="00AF5CA4" w:rsidRPr="006E6FB9">
        <w:rPr>
          <w:rFonts w:ascii="Arial" w:hAnsi="Arial" w:cs="Arial"/>
          <w:sz w:val="24"/>
          <w:szCs w:val="24"/>
        </w:rPr>
        <w:t>]</w:t>
      </w:r>
      <w:r w:rsidR="00AF5CA4" w:rsidRPr="006E6FB9">
        <w:rPr>
          <w:rFonts w:ascii="Arial" w:hAnsi="Arial" w:cs="Arial"/>
          <w:sz w:val="24"/>
          <w:szCs w:val="24"/>
        </w:rPr>
        <w:tab/>
        <w:t xml:space="preserve">In the </w:t>
      </w:r>
      <w:r w:rsidR="006765E2" w:rsidRPr="006E6FB9">
        <w:rPr>
          <w:rFonts w:ascii="Arial" w:hAnsi="Arial" w:cs="Arial"/>
          <w:sz w:val="24"/>
          <w:szCs w:val="24"/>
        </w:rPr>
        <w:t>premises, the following order is granted</w:t>
      </w:r>
      <w:r w:rsidR="006765E2" w:rsidRPr="006E6FB9">
        <w:rPr>
          <w:rFonts w:ascii="Arial" w:hAnsi="Arial" w:cs="Arial"/>
          <w:sz w:val="24"/>
          <w:szCs w:val="24"/>
          <w:shd w:val="clear" w:color="auto" w:fill="FFFFFF"/>
        </w:rPr>
        <w:t>:</w:t>
      </w:r>
    </w:p>
    <w:p w:rsidR="006765E2" w:rsidRPr="006E6FB9" w:rsidRDefault="006765E2" w:rsidP="006765E2">
      <w:pPr>
        <w:spacing w:after="0" w:line="360" w:lineRule="auto"/>
        <w:ind w:left="720" w:hanging="720"/>
        <w:jc w:val="both"/>
        <w:rPr>
          <w:rFonts w:ascii="Arial" w:hAnsi="Arial" w:cs="Arial"/>
          <w:sz w:val="24"/>
          <w:szCs w:val="24"/>
          <w:shd w:val="clear" w:color="auto" w:fill="FFFFFF"/>
        </w:rPr>
      </w:pPr>
    </w:p>
    <w:p w:rsidR="006765E2" w:rsidRPr="006E6FB9" w:rsidRDefault="006765E2" w:rsidP="006765E2">
      <w:pPr>
        <w:pStyle w:val="ListParagraph"/>
        <w:numPr>
          <w:ilvl w:val="0"/>
          <w:numId w:val="30"/>
        </w:numPr>
        <w:autoSpaceDE w:val="0"/>
        <w:autoSpaceDN w:val="0"/>
        <w:adjustRightInd w:val="0"/>
        <w:spacing w:after="0" w:line="360" w:lineRule="auto"/>
        <w:jc w:val="both"/>
        <w:rPr>
          <w:rFonts w:ascii="Arial" w:hAnsi="Arial" w:cs="Arial"/>
          <w:sz w:val="24"/>
          <w:szCs w:val="24"/>
        </w:rPr>
      </w:pPr>
      <w:r w:rsidRPr="006E6FB9">
        <w:rPr>
          <w:rFonts w:ascii="Arial" w:hAnsi="Arial" w:cs="Arial"/>
          <w:sz w:val="24"/>
          <w:szCs w:val="24"/>
        </w:rPr>
        <w:t xml:space="preserve">The application for condonation for the late filing of the respondent’s answering affidavit and the heads of argument is granted. </w:t>
      </w:r>
    </w:p>
    <w:p w:rsidR="006765E2" w:rsidRPr="006E6FB9" w:rsidRDefault="006765E2" w:rsidP="006765E2">
      <w:pPr>
        <w:pStyle w:val="ListParagraph"/>
        <w:autoSpaceDE w:val="0"/>
        <w:autoSpaceDN w:val="0"/>
        <w:adjustRightInd w:val="0"/>
        <w:spacing w:after="0" w:line="360" w:lineRule="auto"/>
        <w:ind w:left="1069"/>
        <w:jc w:val="both"/>
        <w:rPr>
          <w:rFonts w:ascii="Arial" w:hAnsi="Arial" w:cs="Arial"/>
          <w:sz w:val="24"/>
          <w:szCs w:val="24"/>
        </w:rPr>
      </w:pPr>
    </w:p>
    <w:p w:rsidR="006765E2" w:rsidRPr="006E6FB9" w:rsidRDefault="006765E2" w:rsidP="002A10C7">
      <w:pPr>
        <w:pStyle w:val="ListParagraph"/>
        <w:numPr>
          <w:ilvl w:val="0"/>
          <w:numId w:val="30"/>
        </w:numPr>
        <w:spacing w:after="0" w:line="360" w:lineRule="auto"/>
        <w:ind w:left="1066" w:hanging="357"/>
        <w:jc w:val="both"/>
        <w:rPr>
          <w:rFonts w:ascii="Arial" w:hAnsi="Arial" w:cs="Arial"/>
          <w:sz w:val="24"/>
          <w:szCs w:val="24"/>
        </w:rPr>
      </w:pPr>
      <w:r w:rsidRPr="006E6FB9">
        <w:rPr>
          <w:rFonts w:ascii="Arial" w:hAnsi="Arial" w:cs="Arial"/>
          <w:sz w:val="24"/>
          <w:szCs w:val="24"/>
        </w:rPr>
        <w:t xml:space="preserve">It is declared the respondent’s employment contract concluded between the parties on 1 June 2021 has been terminated </w:t>
      </w:r>
      <w:r w:rsidR="00D33A1C" w:rsidRPr="006E6FB9">
        <w:rPr>
          <w:rFonts w:ascii="Arial" w:hAnsi="Arial" w:cs="Arial"/>
          <w:sz w:val="24"/>
          <w:szCs w:val="24"/>
        </w:rPr>
        <w:t xml:space="preserve">as provided for in the </w:t>
      </w:r>
      <w:r w:rsidR="00D33A1C" w:rsidRPr="006E6FB9">
        <w:rPr>
          <w:rFonts w:ascii="Arial" w:hAnsi="Arial" w:cs="Arial"/>
          <w:sz w:val="24"/>
          <w:szCs w:val="24"/>
        </w:rPr>
        <w:lastRenderedPageBreak/>
        <w:t xml:space="preserve">settlement </w:t>
      </w:r>
      <w:r w:rsidRPr="006E6FB9">
        <w:rPr>
          <w:rFonts w:ascii="Arial" w:hAnsi="Arial" w:cs="Arial"/>
          <w:sz w:val="24"/>
          <w:szCs w:val="24"/>
        </w:rPr>
        <w:t>agreement concluded between the parties on 18 October 2021 in terms of which they mutually agreed to terminate their employment relationship.</w:t>
      </w:r>
    </w:p>
    <w:p w:rsidR="006765E2" w:rsidRPr="006E6FB9" w:rsidRDefault="006765E2" w:rsidP="006765E2">
      <w:pPr>
        <w:pStyle w:val="ListParagraph"/>
        <w:spacing w:after="0" w:line="360" w:lineRule="auto"/>
        <w:ind w:left="1069"/>
        <w:jc w:val="both"/>
        <w:rPr>
          <w:rFonts w:ascii="Arial" w:hAnsi="Arial" w:cs="Arial"/>
          <w:sz w:val="24"/>
          <w:szCs w:val="24"/>
        </w:rPr>
      </w:pPr>
    </w:p>
    <w:p w:rsidR="0008784F" w:rsidRPr="006E6FB9" w:rsidRDefault="00AF5CA4" w:rsidP="00AF5CA4">
      <w:pPr>
        <w:pStyle w:val="ListParagraph"/>
        <w:numPr>
          <w:ilvl w:val="0"/>
          <w:numId w:val="30"/>
        </w:numPr>
        <w:spacing w:after="0" w:line="360" w:lineRule="auto"/>
        <w:jc w:val="both"/>
        <w:rPr>
          <w:rFonts w:ascii="Arial" w:hAnsi="Arial" w:cs="Arial"/>
          <w:sz w:val="24"/>
          <w:szCs w:val="24"/>
        </w:rPr>
      </w:pPr>
      <w:r w:rsidRPr="006E6FB9">
        <w:rPr>
          <w:rFonts w:ascii="Arial" w:hAnsi="Arial" w:cs="Arial"/>
          <w:sz w:val="24"/>
          <w:szCs w:val="24"/>
        </w:rPr>
        <w:t>T</w:t>
      </w:r>
      <w:r w:rsidR="0008784F" w:rsidRPr="006E6FB9">
        <w:rPr>
          <w:rFonts w:ascii="Arial" w:hAnsi="Arial" w:cs="Arial"/>
          <w:sz w:val="24"/>
          <w:szCs w:val="24"/>
        </w:rPr>
        <w:t xml:space="preserve">he </w:t>
      </w:r>
      <w:r w:rsidR="000A4B0D">
        <w:rPr>
          <w:rFonts w:ascii="Arial" w:hAnsi="Arial" w:cs="Arial"/>
          <w:sz w:val="24"/>
          <w:szCs w:val="24"/>
        </w:rPr>
        <w:t>respondent</w:t>
      </w:r>
      <w:r w:rsidR="0008784F" w:rsidRPr="006E6FB9">
        <w:rPr>
          <w:rFonts w:ascii="Arial" w:hAnsi="Arial" w:cs="Arial"/>
          <w:sz w:val="24"/>
          <w:szCs w:val="24"/>
        </w:rPr>
        <w:t xml:space="preserve"> shall pay the costs of this application</w:t>
      </w:r>
      <w:r w:rsidRPr="006E6FB9">
        <w:rPr>
          <w:rFonts w:ascii="Arial" w:hAnsi="Arial" w:cs="Arial"/>
          <w:sz w:val="24"/>
          <w:szCs w:val="24"/>
        </w:rPr>
        <w:t xml:space="preserve"> (Part B) including the costs in respect of Part A and the costs of the application for a postponement heard on 25 March 2022</w:t>
      </w:r>
      <w:r w:rsidR="0008784F" w:rsidRPr="006E6FB9">
        <w:rPr>
          <w:rFonts w:ascii="Arial" w:hAnsi="Arial" w:cs="Arial"/>
          <w:sz w:val="24"/>
          <w:szCs w:val="24"/>
        </w:rPr>
        <w:t>.</w:t>
      </w:r>
    </w:p>
    <w:p w:rsidR="009E09A9" w:rsidRPr="006E6FB9" w:rsidRDefault="009E09A9" w:rsidP="00932CFC">
      <w:pPr>
        <w:pStyle w:val="ListParagraph"/>
        <w:autoSpaceDE w:val="0"/>
        <w:autoSpaceDN w:val="0"/>
        <w:adjustRightInd w:val="0"/>
        <w:spacing w:after="0" w:line="360" w:lineRule="auto"/>
        <w:ind w:left="1069"/>
        <w:jc w:val="both"/>
        <w:rPr>
          <w:rFonts w:ascii="Arial" w:hAnsi="Arial" w:cs="Arial"/>
          <w:sz w:val="24"/>
          <w:szCs w:val="24"/>
        </w:rPr>
      </w:pPr>
    </w:p>
    <w:p w:rsidR="0014277B" w:rsidRPr="006E6FB9" w:rsidRDefault="0014277B" w:rsidP="006F674A">
      <w:pPr>
        <w:autoSpaceDE w:val="0"/>
        <w:autoSpaceDN w:val="0"/>
        <w:adjustRightInd w:val="0"/>
        <w:spacing w:after="0" w:line="360" w:lineRule="auto"/>
        <w:ind w:left="720"/>
        <w:jc w:val="right"/>
        <w:rPr>
          <w:rFonts w:ascii="Arial" w:hAnsi="Arial" w:cs="Arial"/>
          <w:b/>
          <w:sz w:val="24"/>
          <w:szCs w:val="24"/>
        </w:rPr>
      </w:pPr>
      <w:r w:rsidRPr="006E6FB9">
        <w:rPr>
          <w:rFonts w:ascii="Arial" w:hAnsi="Arial" w:cs="Arial"/>
          <w:b/>
          <w:sz w:val="24"/>
          <w:szCs w:val="24"/>
        </w:rPr>
        <w:t>_____________</w:t>
      </w:r>
    </w:p>
    <w:p w:rsidR="0014277B" w:rsidRPr="006E6FB9" w:rsidRDefault="000F7DF1" w:rsidP="006F674A">
      <w:pPr>
        <w:autoSpaceDE w:val="0"/>
        <w:autoSpaceDN w:val="0"/>
        <w:adjustRightInd w:val="0"/>
        <w:spacing w:after="0" w:line="360" w:lineRule="auto"/>
        <w:ind w:left="720"/>
        <w:jc w:val="right"/>
        <w:rPr>
          <w:rFonts w:ascii="Arial" w:hAnsi="Arial" w:cs="Arial"/>
          <w:b/>
          <w:sz w:val="24"/>
          <w:szCs w:val="24"/>
        </w:rPr>
      </w:pPr>
      <w:r w:rsidRPr="006E6FB9">
        <w:rPr>
          <w:rFonts w:ascii="Arial" w:hAnsi="Arial" w:cs="Arial"/>
          <w:b/>
          <w:sz w:val="24"/>
          <w:szCs w:val="24"/>
        </w:rPr>
        <w:t xml:space="preserve">NS </w:t>
      </w:r>
      <w:r w:rsidR="0014277B" w:rsidRPr="006E6FB9">
        <w:rPr>
          <w:rFonts w:ascii="Arial" w:hAnsi="Arial" w:cs="Arial"/>
          <w:b/>
          <w:sz w:val="24"/>
          <w:szCs w:val="24"/>
        </w:rPr>
        <w:t>DANISO</w:t>
      </w:r>
      <w:r w:rsidRPr="006E6FB9">
        <w:rPr>
          <w:rFonts w:ascii="Arial" w:hAnsi="Arial" w:cs="Arial"/>
          <w:b/>
          <w:sz w:val="24"/>
          <w:szCs w:val="24"/>
        </w:rPr>
        <w:t>, J</w:t>
      </w:r>
      <w:r w:rsidR="0014277B" w:rsidRPr="006E6FB9">
        <w:rPr>
          <w:rFonts w:ascii="Arial" w:hAnsi="Arial" w:cs="Arial"/>
          <w:b/>
          <w:sz w:val="24"/>
          <w:szCs w:val="24"/>
        </w:rPr>
        <w:t xml:space="preserve"> </w:t>
      </w:r>
    </w:p>
    <w:p w:rsidR="001C4D99" w:rsidRPr="006E6FB9" w:rsidRDefault="001C4D99" w:rsidP="001C4D99">
      <w:pPr>
        <w:spacing w:after="0" w:line="360" w:lineRule="auto"/>
        <w:ind w:left="851" w:hanging="851"/>
        <w:jc w:val="both"/>
        <w:rPr>
          <w:rFonts w:ascii="Arial" w:hAnsi="Arial" w:cs="Arial"/>
          <w:sz w:val="24"/>
          <w:szCs w:val="24"/>
        </w:rPr>
      </w:pPr>
    </w:p>
    <w:p w:rsidR="0014277B" w:rsidRPr="006E6FB9" w:rsidRDefault="0014277B" w:rsidP="0089505D">
      <w:pPr>
        <w:autoSpaceDE w:val="0"/>
        <w:autoSpaceDN w:val="0"/>
        <w:adjustRightInd w:val="0"/>
        <w:spacing w:after="0" w:line="360" w:lineRule="auto"/>
        <w:rPr>
          <w:rFonts w:ascii="Arial" w:hAnsi="Arial" w:cs="Arial"/>
          <w:sz w:val="24"/>
          <w:szCs w:val="24"/>
        </w:rPr>
      </w:pPr>
      <w:r w:rsidRPr="006E6FB9">
        <w:rPr>
          <w:rFonts w:ascii="Arial" w:hAnsi="Arial" w:cs="Arial"/>
          <w:sz w:val="24"/>
          <w:szCs w:val="24"/>
        </w:rPr>
        <w:t xml:space="preserve">APPEARANCES: </w:t>
      </w:r>
      <w:r w:rsidRPr="006E6FB9">
        <w:rPr>
          <w:rFonts w:ascii="Arial" w:hAnsi="Arial" w:cs="Arial"/>
          <w:sz w:val="24"/>
          <w:szCs w:val="24"/>
        </w:rPr>
        <w:tab/>
      </w:r>
    </w:p>
    <w:p w:rsidR="00081E2B" w:rsidRPr="006E6FB9" w:rsidRDefault="00081E2B" w:rsidP="0089505D">
      <w:pPr>
        <w:autoSpaceDE w:val="0"/>
        <w:autoSpaceDN w:val="0"/>
        <w:adjustRightInd w:val="0"/>
        <w:spacing w:after="0" w:line="360" w:lineRule="auto"/>
        <w:rPr>
          <w:rFonts w:ascii="Arial" w:hAnsi="Arial" w:cs="Arial"/>
          <w:sz w:val="24"/>
          <w:szCs w:val="24"/>
        </w:rPr>
      </w:pPr>
    </w:p>
    <w:p w:rsidR="0056006E" w:rsidRPr="006E6FB9" w:rsidRDefault="0014277B" w:rsidP="0089505D">
      <w:pPr>
        <w:autoSpaceDE w:val="0"/>
        <w:autoSpaceDN w:val="0"/>
        <w:adjustRightInd w:val="0"/>
        <w:spacing w:after="0" w:line="360" w:lineRule="auto"/>
        <w:rPr>
          <w:rFonts w:ascii="Arial" w:hAnsi="Arial" w:cs="Arial"/>
          <w:sz w:val="24"/>
          <w:szCs w:val="24"/>
        </w:rPr>
      </w:pPr>
      <w:r w:rsidRPr="006E6FB9">
        <w:rPr>
          <w:rFonts w:ascii="Arial" w:hAnsi="Arial" w:cs="Arial"/>
          <w:sz w:val="24"/>
          <w:szCs w:val="24"/>
        </w:rPr>
        <w:t xml:space="preserve">Counsel on behalf of </w:t>
      </w:r>
      <w:r w:rsidR="00661819" w:rsidRPr="006E6FB9">
        <w:rPr>
          <w:rFonts w:ascii="Arial" w:hAnsi="Arial" w:cs="Arial"/>
          <w:sz w:val="24"/>
          <w:szCs w:val="24"/>
        </w:rPr>
        <w:t>Applicant</w:t>
      </w:r>
      <w:r w:rsidR="00FD17FB" w:rsidRPr="006E6FB9">
        <w:rPr>
          <w:rFonts w:ascii="Arial" w:hAnsi="Arial" w:cs="Arial"/>
          <w:sz w:val="24"/>
          <w:szCs w:val="24"/>
        </w:rPr>
        <w:t>:</w:t>
      </w:r>
      <w:r w:rsidR="00FD17FB" w:rsidRPr="006E6FB9">
        <w:rPr>
          <w:rFonts w:ascii="Arial" w:hAnsi="Arial" w:cs="Arial"/>
          <w:sz w:val="24"/>
          <w:szCs w:val="24"/>
        </w:rPr>
        <w:tab/>
      </w:r>
      <w:r w:rsidRPr="006E6FB9">
        <w:rPr>
          <w:rFonts w:ascii="Arial" w:hAnsi="Arial" w:cs="Arial"/>
          <w:sz w:val="24"/>
          <w:szCs w:val="24"/>
        </w:rPr>
        <w:tab/>
      </w:r>
      <w:r w:rsidR="00FD17FB" w:rsidRPr="006E6FB9">
        <w:rPr>
          <w:rFonts w:ascii="Arial" w:hAnsi="Arial" w:cs="Arial"/>
          <w:sz w:val="24"/>
          <w:szCs w:val="24"/>
        </w:rPr>
        <w:tab/>
      </w:r>
      <w:r w:rsidR="00081E2B" w:rsidRPr="006E6FB9">
        <w:rPr>
          <w:rFonts w:ascii="Arial" w:hAnsi="Arial" w:cs="Arial"/>
          <w:sz w:val="24"/>
          <w:szCs w:val="24"/>
        </w:rPr>
        <w:tab/>
      </w:r>
      <w:r w:rsidR="006F674A" w:rsidRPr="006E6FB9">
        <w:rPr>
          <w:rFonts w:ascii="Arial" w:hAnsi="Arial" w:cs="Arial"/>
          <w:sz w:val="24"/>
          <w:szCs w:val="24"/>
        </w:rPr>
        <w:t xml:space="preserve">Adv. </w:t>
      </w:r>
      <w:r w:rsidR="00A53ECB" w:rsidRPr="006E6FB9">
        <w:rPr>
          <w:rFonts w:ascii="Arial" w:hAnsi="Arial" w:cs="Arial"/>
          <w:sz w:val="24"/>
          <w:szCs w:val="24"/>
        </w:rPr>
        <w:t>L.T Sibeko SC</w:t>
      </w:r>
    </w:p>
    <w:p w:rsidR="0014277B" w:rsidRPr="006E6FB9" w:rsidRDefault="0014277B" w:rsidP="0089505D">
      <w:pPr>
        <w:autoSpaceDE w:val="0"/>
        <w:autoSpaceDN w:val="0"/>
        <w:adjustRightInd w:val="0"/>
        <w:spacing w:after="0" w:line="360" w:lineRule="auto"/>
        <w:rPr>
          <w:rFonts w:ascii="Arial" w:hAnsi="Arial" w:cs="Arial"/>
          <w:sz w:val="24"/>
          <w:szCs w:val="24"/>
        </w:rPr>
      </w:pPr>
      <w:r w:rsidRPr="006E6FB9">
        <w:rPr>
          <w:rFonts w:ascii="Arial" w:hAnsi="Arial" w:cs="Arial"/>
          <w:sz w:val="24"/>
          <w:szCs w:val="24"/>
        </w:rPr>
        <w:t>Instructed by:</w:t>
      </w:r>
      <w:r w:rsidRPr="006E6FB9">
        <w:rPr>
          <w:rFonts w:ascii="Arial" w:hAnsi="Arial" w:cs="Arial"/>
          <w:sz w:val="24"/>
          <w:szCs w:val="24"/>
        </w:rPr>
        <w:tab/>
      </w:r>
      <w:r w:rsidRPr="006E6FB9">
        <w:rPr>
          <w:rFonts w:ascii="Arial" w:hAnsi="Arial" w:cs="Arial"/>
          <w:sz w:val="24"/>
          <w:szCs w:val="24"/>
        </w:rPr>
        <w:tab/>
      </w:r>
      <w:r w:rsidRPr="006E6FB9">
        <w:rPr>
          <w:rFonts w:ascii="Arial" w:hAnsi="Arial" w:cs="Arial"/>
          <w:sz w:val="24"/>
          <w:szCs w:val="24"/>
        </w:rPr>
        <w:tab/>
      </w:r>
      <w:r w:rsidRPr="006E6FB9">
        <w:rPr>
          <w:rFonts w:ascii="Arial" w:hAnsi="Arial" w:cs="Arial"/>
          <w:sz w:val="24"/>
          <w:szCs w:val="24"/>
        </w:rPr>
        <w:tab/>
      </w:r>
      <w:r w:rsidRPr="006E6FB9">
        <w:rPr>
          <w:rFonts w:ascii="Arial" w:hAnsi="Arial" w:cs="Arial"/>
          <w:sz w:val="24"/>
          <w:szCs w:val="24"/>
        </w:rPr>
        <w:tab/>
      </w:r>
      <w:r w:rsidR="00FD17FB" w:rsidRPr="006E6FB9">
        <w:rPr>
          <w:rFonts w:ascii="Arial" w:hAnsi="Arial" w:cs="Arial"/>
          <w:sz w:val="24"/>
          <w:szCs w:val="24"/>
        </w:rPr>
        <w:tab/>
      </w:r>
      <w:r w:rsidR="00783623" w:rsidRPr="006E6FB9">
        <w:rPr>
          <w:rFonts w:ascii="Arial" w:hAnsi="Arial" w:cs="Arial"/>
          <w:sz w:val="24"/>
          <w:szCs w:val="24"/>
        </w:rPr>
        <w:t>Tshangana &amp; Associates INC</w:t>
      </w:r>
    </w:p>
    <w:p w:rsidR="007D149A" w:rsidRPr="006E6FB9" w:rsidRDefault="007D149A" w:rsidP="0089505D">
      <w:pPr>
        <w:autoSpaceDE w:val="0"/>
        <w:autoSpaceDN w:val="0"/>
        <w:adjustRightInd w:val="0"/>
        <w:spacing w:after="0" w:line="360" w:lineRule="auto"/>
        <w:ind w:left="5040" w:firstLine="720"/>
        <w:rPr>
          <w:rFonts w:ascii="Arial" w:hAnsi="Arial" w:cs="Arial"/>
          <w:b/>
          <w:sz w:val="24"/>
          <w:szCs w:val="24"/>
        </w:rPr>
      </w:pPr>
      <w:r w:rsidRPr="006E6FB9">
        <w:rPr>
          <w:rFonts w:ascii="Arial" w:hAnsi="Arial" w:cs="Arial"/>
          <w:b/>
          <w:sz w:val="24"/>
          <w:szCs w:val="24"/>
        </w:rPr>
        <w:t>BLOEMFONTEIN</w:t>
      </w:r>
    </w:p>
    <w:p w:rsidR="007D149A" w:rsidRPr="006E6FB9" w:rsidRDefault="007D149A" w:rsidP="0089505D">
      <w:pPr>
        <w:autoSpaceDE w:val="0"/>
        <w:autoSpaceDN w:val="0"/>
        <w:adjustRightInd w:val="0"/>
        <w:spacing w:after="0" w:line="360" w:lineRule="auto"/>
        <w:ind w:left="5040" w:firstLine="720"/>
        <w:rPr>
          <w:rFonts w:ascii="Arial" w:hAnsi="Arial" w:cs="Arial"/>
          <w:sz w:val="24"/>
          <w:szCs w:val="24"/>
        </w:rPr>
      </w:pPr>
    </w:p>
    <w:p w:rsidR="00FD17FB" w:rsidRPr="006E6FB9" w:rsidRDefault="0014277B" w:rsidP="00783623">
      <w:pPr>
        <w:autoSpaceDE w:val="0"/>
        <w:autoSpaceDN w:val="0"/>
        <w:adjustRightInd w:val="0"/>
        <w:spacing w:after="0" w:line="360" w:lineRule="auto"/>
        <w:ind w:left="5760" w:hanging="5760"/>
        <w:rPr>
          <w:rFonts w:ascii="Arial" w:hAnsi="Arial" w:cs="Arial"/>
          <w:sz w:val="24"/>
          <w:szCs w:val="24"/>
        </w:rPr>
      </w:pPr>
      <w:r w:rsidRPr="006E6FB9">
        <w:rPr>
          <w:rFonts w:ascii="Arial" w:hAnsi="Arial" w:cs="Arial"/>
          <w:sz w:val="24"/>
          <w:szCs w:val="24"/>
        </w:rPr>
        <w:t xml:space="preserve">Counsel on behalf </w:t>
      </w:r>
      <w:r w:rsidR="00661819" w:rsidRPr="006E6FB9">
        <w:rPr>
          <w:rFonts w:ascii="Arial" w:hAnsi="Arial" w:cs="Arial"/>
          <w:sz w:val="24"/>
          <w:szCs w:val="24"/>
        </w:rPr>
        <w:t>Respondent:</w:t>
      </w:r>
      <w:r w:rsidR="00661819" w:rsidRPr="006E6FB9">
        <w:rPr>
          <w:rFonts w:ascii="Arial" w:hAnsi="Arial" w:cs="Arial"/>
          <w:sz w:val="24"/>
          <w:szCs w:val="24"/>
        </w:rPr>
        <w:tab/>
      </w:r>
      <w:r w:rsidR="00783623" w:rsidRPr="006E6FB9">
        <w:rPr>
          <w:rFonts w:ascii="Arial" w:hAnsi="Arial" w:cs="Arial"/>
          <w:sz w:val="24"/>
          <w:szCs w:val="24"/>
        </w:rPr>
        <w:t>Respondent appears in person</w:t>
      </w:r>
    </w:p>
    <w:p w:rsidR="00383DB0" w:rsidRPr="002C202F" w:rsidRDefault="00383DB0" w:rsidP="0089505D">
      <w:pPr>
        <w:autoSpaceDE w:val="0"/>
        <w:autoSpaceDN w:val="0"/>
        <w:adjustRightInd w:val="0"/>
        <w:spacing w:after="0" w:line="360" w:lineRule="auto"/>
        <w:rPr>
          <w:rFonts w:ascii="Arial" w:hAnsi="Arial" w:cs="Arial"/>
          <w:b/>
          <w:sz w:val="24"/>
          <w:szCs w:val="24"/>
        </w:rPr>
      </w:pPr>
    </w:p>
    <w:p w:rsidR="00383DB0" w:rsidRPr="002C202F" w:rsidRDefault="00383DB0" w:rsidP="0089505D">
      <w:pPr>
        <w:autoSpaceDE w:val="0"/>
        <w:autoSpaceDN w:val="0"/>
        <w:adjustRightInd w:val="0"/>
        <w:spacing w:after="0" w:line="360" w:lineRule="auto"/>
        <w:rPr>
          <w:rFonts w:ascii="Arial" w:hAnsi="Arial" w:cs="Arial"/>
          <w:b/>
          <w:sz w:val="24"/>
          <w:szCs w:val="24"/>
        </w:rPr>
      </w:pPr>
    </w:p>
    <w:p w:rsidR="00383DB0" w:rsidRPr="002C202F" w:rsidRDefault="00383DB0" w:rsidP="0089505D">
      <w:pPr>
        <w:autoSpaceDE w:val="0"/>
        <w:autoSpaceDN w:val="0"/>
        <w:adjustRightInd w:val="0"/>
        <w:spacing w:after="0" w:line="360" w:lineRule="auto"/>
        <w:rPr>
          <w:rFonts w:ascii="Arial" w:hAnsi="Arial" w:cs="Arial"/>
          <w:b/>
          <w:sz w:val="24"/>
          <w:szCs w:val="24"/>
        </w:rPr>
      </w:pPr>
    </w:p>
    <w:p w:rsidR="00383DB0" w:rsidRDefault="00383DB0" w:rsidP="0089505D">
      <w:pPr>
        <w:autoSpaceDE w:val="0"/>
        <w:autoSpaceDN w:val="0"/>
        <w:adjustRightInd w:val="0"/>
        <w:spacing w:after="0" w:line="360" w:lineRule="auto"/>
        <w:rPr>
          <w:rFonts w:ascii="Arial" w:hAnsi="Arial" w:cs="Arial"/>
          <w:b/>
          <w:sz w:val="24"/>
          <w:szCs w:val="24"/>
        </w:rPr>
      </w:pPr>
    </w:p>
    <w:p w:rsidR="00383DB0" w:rsidRDefault="00383DB0" w:rsidP="0089505D">
      <w:pPr>
        <w:autoSpaceDE w:val="0"/>
        <w:autoSpaceDN w:val="0"/>
        <w:adjustRightInd w:val="0"/>
        <w:spacing w:after="0" w:line="360" w:lineRule="auto"/>
        <w:rPr>
          <w:rFonts w:ascii="Arial" w:hAnsi="Arial" w:cs="Arial"/>
          <w:b/>
          <w:sz w:val="24"/>
          <w:szCs w:val="24"/>
        </w:rPr>
      </w:pPr>
    </w:p>
    <w:p w:rsidR="00383DB0" w:rsidRDefault="00383DB0" w:rsidP="0089505D">
      <w:pPr>
        <w:autoSpaceDE w:val="0"/>
        <w:autoSpaceDN w:val="0"/>
        <w:adjustRightInd w:val="0"/>
        <w:spacing w:after="0" w:line="360" w:lineRule="auto"/>
        <w:rPr>
          <w:rFonts w:ascii="Arial" w:hAnsi="Arial" w:cs="Arial"/>
          <w:b/>
          <w:sz w:val="24"/>
          <w:szCs w:val="24"/>
        </w:rPr>
      </w:pPr>
    </w:p>
    <w:sectPr w:rsidR="00383DB0"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71" w:rsidRDefault="00561871" w:rsidP="003A2C84">
      <w:pPr>
        <w:spacing w:after="0" w:line="240" w:lineRule="auto"/>
      </w:pPr>
      <w:r>
        <w:separator/>
      </w:r>
    </w:p>
  </w:endnote>
  <w:endnote w:type="continuationSeparator" w:id="0">
    <w:p w:rsidR="00561871" w:rsidRDefault="00561871"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71" w:rsidRDefault="00561871" w:rsidP="003A2C84">
      <w:pPr>
        <w:spacing w:after="0" w:line="240" w:lineRule="auto"/>
      </w:pPr>
      <w:r>
        <w:separator/>
      </w:r>
    </w:p>
  </w:footnote>
  <w:footnote w:type="continuationSeparator" w:id="0">
    <w:p w:rsidR="00561871" w:rsidRDefault="00561871" w:rsidP="003A2C84">
      <w:pPr>
        <w:spacing w:after="0" w:line="240" w:lineRule="auto"/>
      </w:pPr>
      <w:r>
        <w:continuationSeparator/>
      </w:r>
    </w:p>
  </w:footnote>
  <w:footnote w:id="1">
    <w:p w:rsidR="00AF73E1" w:rsidRDefault="00AF73E1" w:rsidP="00F0615B">
      <w:pPr>
        <w:pStyle w:val="FootnoteText"/>
      </w:pPr>
      <w:r>
        <w:rPr>
          <w:rStyle w:val="FootnoteReference"/>
        </w:rPr>
        <w:footnoteRef/>
      </w:r>
      <w:r>
        <w:t xml:space="preserve"> See in this regard, Annexure “CNT3” of the applicant’s founding affidavit. </w:t>
      </w:r>
    </w:p>
  </w:footnote>
  <w:footnote w:id="2">
    <w:p w:rsidR="00AF73E1" w:rsidRDefault="00AF73E1" w:rsidP="000509C2">
      <w:pPr>
        <w:pStyle w:val="FootnoteText"/>
        <w:jc w:val="both"/>
      </w:pPr>
      <w:r>
        <w:rPr>
          <w:rStyle w:val="FootnoteReference"/>
        </w:rPr>
        <w:footnoteRef/>
      </w:r>
      <w:r>
        <w:t xml:space="preserve"> Annexure “CN35” of the applicant’s founding affidavit is a letter addressed to the respondent’s attorneys on 15 February 2022 reacting to the respondent’s presence at Centlec’s premises stating that Centlec will be laying trespassing charges and also launching a court application against the respondent as she was no longer entitled to report for duty at their premises.</w:t>
      </w:r>
    </w:p>
  </w:footnote>
  <w:footnote w:id="3">
    <w:p w:rsidR="00AF73E1" w:rsidRDefault="00AF73E1" w:rsidP="000509C2">
      <w:pPr>
        <w:pStyle w:val="FootnoteText"/>
        <w:jc w:val="both"/>
      </w:pPr>
      <w:r>
        <w:rPr>
          <w:rStyle w:val="FootnoteReference"/>
        </w:rPr>
        <w:footnoteRef/>
      </w:r>
      <w:r>
        <w:t xml:space="preserve"> Page 136 of the applicant’s bundle is a copy of the Sheriff’s return of service in that regard.</w:t>
      </w:r>
    </w:p>
  </w:footnote>
  <w:footnote w:id="4">
    <w:p w:rsidR="00AF73E1" w:rsidRPr="00AA1AF3" w:rsidRDefault="00AF73E1" w:rsidP="00720551">
      <w:pPr>
        <w:spacing w:after="0" w:line="240" w:lineRule="auto"/>
        <w:jc w:val="both"/>
        <w:rPr>
          <w:rFonts w:ascii="Calibri" w:eastAsia="Times New Roman" w:hAnsi="Calibri" w:cs="Calibri"/>
          <w:bCs/>
          <w:color w:val="000000"/>
          <w:sz w:val="20"/>
          <w:szCs w:val="20"/>
          <w:lang w:eastAsia="en-ZA"/>
        </w:rPr>
      </w:pPr>
      <w:r>
        <w:rPr>
          <w:rStyle w:val="FootnoteReference"/>
        </w:rPr>
        <w:footnoteRef/>
      </w:r>
      <w:r>
        <w:t xml:space="preserve"> </w:t>
      </w:r>
      <w:r w:rsidRPr="003D7843">
        <w:rPr>
          <w:rFonts w:ascii="Calibri" w:eastAsia="Times New Roman" w:hAnsi="Calibri" w:cs="Calibri"/>
          <w:i/>
          <w:sz w:val="20"/>
          <w:szCs w:val="20"/>
          <w:lang w:eastAsia="en-ZA"/>
        </w:rPr>
        <w:t>United Plant Hire (Pty) Ltd v Hills and others</w:t>
      </w:r>
      <w:r w:rsidRPr="00C97FC4">
        <w:rPr>
          <w:rFonts w:ascii="Calibri" w:eastAsia="Times New Roman" w:hAnsi="Calibri" w:cs="Calibri"/>
          <w:sz w:val="20"/>
          <w:szCs w:val="20"/>
          <w:lang w:eastAsia="en-ZA"/>
        </w:rPr>
        <w:t xml:space="preserve"> </w:t>
      </w:r>
      <w:r w:rsidRPr="00C97FC4">
        <w:rPr>
          <w:rFonts w:ascii="Calibri" w:eastAsia="Times New Roman" w:hAnsi="Calibri" w:cs="Calibri"/>
          <w:b/>
          <w:sz w:val="20"/>
          <w:szCs w:val="20"/>
          <w:u w:val="single"/>
          <w:lang w:eastAsia="en-ZA"/>
        </w:rPr>
        <w:t xml:space="preserve">1976 (1) SA 717 </w:t>
      </w:r>
      <w:r w:rsidRPr="003D7843">
        <w:rPr>
          <w:rFonts w:ascii="Calibri" w:eastAsia="Times New Roman" w:hAnsi="Calibri" w:cs="Calibri"/>
          <w:sz w:val="20"/>
          <w:szCs w:val="20"/>
          <w:lang w:eastAsia="en-ZA"/>
        </w:rPr>
        <w:t>(A)</w:t>
      </w:r>
      <w:r w:rsidRPr="00C97FC4">
        <w:rPr>
          <w:rFonts w:ascii="Calibri" w:eastAsia="Times New Roman" w:hAnsi="Calibri" w:cs="Calibri"/>
          <w:sz w:val="20"/>
          <w:szCs w:val="20"/>
          <w:lang w:eastAsia="en-ZA"/>
        </w:rPr>
        <w:t xml:space="preserve"> page 720 para E-G</w:t>
      </w:r>
      <w:r>
        <w:rPr>
          <w:rFonts w:ascii="Calibri" w:eastAsia="Times New Roman" w:hAnsi="Calibri" w:cs="Calibri"/>
          <w:sz w:val="20"/>
          <w:szCs w:val="20"/>
          <w:lang w:eastAsia="en-ZA"/>
        </w:rPr>
        <w:t xml:space="preserve">; </w:t>
      </w:r>
      <w:r w:rsidRPr="00AA1AF3">
        <w:rPr>
          <w:rFonts w:ascii="Calibri" w:eastAsia="Times New Roman" w:hAnsi="Calibri" w:cs="Calibri"/>
          <w:bCs/>
          <w:i/>
          <w:color w:val="000000"/>
          <w:sz w:val="20"/>
          <w:szCs w:val="20"/>
          <w:lang w:eastAsia="en-ZA"/>
        </w:rPr>
        <w:t>U</w:t>
      </w:r>
      <w:r w:rsidRPr="003D7843">
        <w:rPr>
          <w:rFonts w:ascii="Calibri" w:eastAsia="Times New Roman" w:hAnsi="Calibri" w:cs="Calibri"/>
          <w:bCs/>
          <w:i/>
          <w:color w:val="000000"/>
          <w:sz w:val="20"/>
          <w:szCs w:val="20"/>
          <w:lang w:eastAsia="en-ZA"/>
        </w:rPr>
        <w:t>itenhage</w:t>
      </w:r>
      <w:r w:rsidRPr="00AA1AF3">
        <w:rPr>
          <w:rFonts w:ascii="Calibri" w:eastAsia="Times New Roman" w:hAnsi="Calibri" w:cs="Calibri"/>
          <w:bCs/>
          <w:i/>
          <w:color w:val="000000"/>
          <w:sz w:val="20"/>
          <w:szCs w:val="20"/>
          <w:lang w:eastAsia="en-ZA"/>
        </w:rPr>
        <w:t xml:space="preserve"> T</w:t>
      </w:r>
      <w:r w:rsidRPr="003D7843">
        <w:rPr>
          <w:rFonts w:ascii="Calibri" w:eastAsia="Times New Roman" w:hAnsi="Calibri" w:cs="Calibri"/>
          <w:bCs/>
          <w:i/>
          <w:color w:val="000000"/>
          <w:sz w:val="20"/>
          <w:szCs w:val="20"/>
          <w:lang w:eastAsia="en-ZA"/>
        </w:rPr>
        <w:t>ransitional</w:t>
      </w:r>
      <w:r w:rsidRPr="00AA1AF3">
        <w:rPr>
          <w:rFonts w:ascii="Calibri" w:eastAsia="Times New Roman" w:hAnsi="Calibri" w:cs="Calibri"/>
          <w:bCs/>
          <w:i/>
          <w:color w:val="000000"/>
          <w:sz w:val="20"/>
          <w:szCs w:val="20"/>
          <w:lang w:eastAsia="en-ZA"/>
        </w:rPr>
        <w:t xml:space="preserve"> L</w:t>
      </w:r>
      <w:r w:rsidRPr="003D7843">
        <w:rPr>
          <w:rFonts w:ascii="Calibri" w:eastAsia="Times New Roman" w:hAnsi="Calibri" w:cs="Calibri"/>
          <w:bCs/>
          <w:i/>
          <w:color w:val="000000"/>
          <w:sz w:val="20"/>
          <w:szCs w:val="20"/>
          <w:lang w:eastAsia="en-ZA"/>
        </w:rPr>
        <w:t>ocal</w:t>
      </w:r>
      <w:r w:rsidRPr="00AA1AF3">
        <w:rPr>
          <w:rFonts w:ascii="Calibri" w:eastAsia="Times New Roman" w:hAnsi="Calibri" w:cs="Calibri"/>
          <w:bCs/>
          <w:i/>
          <w:color w:val="000000"/>
          <w:sz w:val="20"/>
          <w:szCs w:val="20"/>
          <w:lang w:eastAsia="en-ZA"/>
        </w:rPr>
        <w:t xml:space="preserve"> C</w:t>
      </w:r>
      <w:r w:rsidRPr="003D7843">
        <w:rPr>
          <w:rFonts w:ascii="Calibri" w:eastAsia="Times New Roman" w:hAnsi="Calibri" w:cs="Calibri"/>
          <w:bCs/>
          <w:i/>
          <w:color w:val="000000"/>
          <w:sz w:val="20"/>
          <w:szCs w:val="20"/>
          <w:lang w:eastAsia="en-ZA"/>
        </w:rPr>
        <w:t>ouncil</w:t>
      </w:r>
      <w:r w:rsidRPr="00AA1AF3">
        <w:rPr>
          <w:rFonts w:ascii="Calibri" w:eastAsia="Times New Roman" w:hAnsi="Calibri" w:cs="Calibri"/>
          <w:bCs/>
          <w:i/>
          <w:color w:val="000000"/>
          <w:sz w:val="20"/>
          <w:szCs w:val="20"/>
          <w:lang w:eastAsia="en-ZA"/>
        </w:rPr>
        <w:t xml:space="preserve"> v S</w:t>
      </w:r>
      <w:r w:rsidRPr="003D7843">
        <w:rPr>
          <w:rFonts w:ascii="Calibri" w:eastAsia="Times New Roman" w:hAnsi="Calibri" w:cs="Calibri"/>
          <w:bCs/>
          <w:i/>
          <w:color w:val="000000"/>
          <w:sz w:val="20"/>
          <w:szCs w:val="20"/>
          <w:lang w:eastAsia="en-ZA"/>
        </w:rPr>
        <w:t>outh</w:t>
      </w:r>
      <w:r w:rsidRPr="00AA1AF3">
        <w:rPr>
          <w:rFonts w:ascii="Calibri" w:eastAsia="Times New Roman" w:hAnsi="Calibri" w:cs="Calibri"/>
          <w:bCs/>
          <w:i/>
          <w:color w:val="000000"/>
          <w:sz w:val="20"/>
          <w:szCs w:val="20"/>
          <w:lang w:eastAsia="en-ZA"/>
        </w:rPr>
        <w:t xml:space="preserve"> A</w:t>
      </w:r>
      <w:r w:rsidRPr="003D7843">
        <w:rPr>
          <w:rFonts w:ascii="Calibri" w:eastAsia="Times New Roman" w:hAnsi="Calibri" w:cs="Calibri"/>
          <w:bCs/>
          <w:i/>
          <w:color w:val="000000"/>
          <w:sz w:val="20"/>
          <w:szCs w:val="20"/>
          <w:lang w:eastAsia="en-ZA"/>
        </w:rPr>
        <w:t>frican</w:t>
      </w:r>
      <w:r w:rsidRPr="00AA1AF3">
        <w:rPr>
          <w:rFonts w:ascii="Calibri" w:eastAsia="Times New Roman" w:hAnsi="Calibri" w:cs="Calibri"/>
          <w:bCs/>
          <w:i/>
          <w:color w:val="000000"/>
          <w:sz w:val="20"/>
          <w:szCs w:val="20"/>
          <w:lang w:eastAsia="en-ZA"/>
        </w:rPr>
        <w:t xml:space="preserve"> R</w:t>
      </w:r>
      <w:r w:rsidRPr="003D7843">
        <w:rPr>
          <w:rFonts w:ascii="Calibri" w:eastAsia="Times New Roman" w:hAnsi="Calibri" w:cs="Calibri"/>
          <w:bCs/>
          <w:i/>
          <w:color w:val="000000"/>
          <w:sz w:val="20"/>
          <w:szCs w:val="20"/>
          <w:lang w:eastAsia="en-ZA"/>
        </w:rPr>
        <w:t>evenue</w:t>
      </w:r>
      <w:r w:rsidRPr="00AA1AF3">
        <w:rPr>
          <w:rFonts w:ascii="Calibri" w:eastAsia="Times New Roman" w:hAnsi="Calibri" w:cs="Calibri"/>
          <w:bCs/>
          <w:i/>
          <w:color w:val="000000"/>
          <w:sz w:val="20"/>
          <w:szCs w:val="20"/>
          <w:lang w:eastAsia="en-ZA"/>
        </w:rPr>
        <w:t xml:space="preserve"> S</w:t>
      </w:r>
      <w:r w:rsidRPr="003D7843">
        <w:rPr>
          <w:rFonts w:ascii="Calibri" w:eastAsia="Times New Roman" w:hAnsi="Calibri" w:cs="Calibri"/>
          <w:bCs/>
          <w:i/>
          <w:color w:val="000000"/>
          <w:sz w:val="20"/>
          <w:szCs w:val="20"/>
          <w:lang w:eastAsia="en-ZA"/>
        </w:rPr>
        <w:t>ervice</w:t>
      </w:r>
      <w:r w:rsidRPr="00AA1AF3">
        <w:rPr>
          <w:rFonts w:ascii="Calibri" w:eastAsia="Times New Roman" w:hAnsi="Calibri" w:cs="Calibri"/>
          <w:bCs/>
          <w:color w:val="000000"/>
          <w:sz w:val="20"/>
          <w:szCs w:val="20"/>
          <w:lang w:eastAsia="en-ZA"/>
        </w:rPr>
        <w:t xml:space="preserve"> </w:t>
      </w:r>
      <w:r w:rsidRPr="00AA1AF3">
        <w:rPr>
          <w:rFonts w:ascii="Calibri" w:eastAsia="Times New Roman" w:hAnsi="Calibri" w:cs="Calibri"/>
          <w:b/>
          <w:bCs/>
          <w:color w:val="000000"/>
          <w:sz w:val="20"/>
          <w:szCs w:val="20"/>
          <w:lang w:eastAsia="en-ZA"/>
        </w:rPr>
        <w:t>2004 (1) SA 292</w:t>
      </w:r>
      <w:r w:rsidRPr="00AA1AF3">
        <w:rPr>
          <w:rFonts w:ascii="Calibri" w:eastAsia="Times New Roman" w:hAnsi="Calibri" w:cs="Calibri"/>
          <w:bCs/>
          <w:color w:val="000000"/>
          <w:sz w:val="20"/>
          <w:szCs w:val="20"/>
          <w:lang w:eastAsia="en-ZA"/>
        </w:rPr>
        <w:t xml:space="preserve"> (SCA)</w:t>
      </w:r>
      <w:r w:rsidRPr="00C538BA">
        <w:rPr>
          <w:rFonts w:ascii="Calibri" w:eastAsia="Times New Roman" w:hAnsi="Calibri" w:cs="Calibri"/>
          <w:bCs/>
          <w:color w:val="000000"/>
          <w:sz w:val="20"/>
          <w:szCs w:val="20"/>
          <w:lang w:eastAsia="en-ZA"/>
        </w:rPr>
        <w:t xml:space="preserve"> para 6</w:t>
      </w:r>
      <w:r>
        <w:rPr>
          <w:rFonts w:ascii="Calibri" w:eastAsia="Times New Roman" w:hAnsi="Calibri" w:cs="Calibri"/>
          <w:bCs/>
          <w:color w:val="000000"/>
          <w:sz w:val="20"/>
          <w:szCs w:val="20"/>
          <w:lang w:eastAsia="en-ZA"/>
        </w:rPr>
        <w:t>.</w:t>
      </w:r>
    </w:p>
    <w:p w:rsidR="00AF73E1" w:rsidRPr="00F24132" w:rsidRDefault="00AF73E1" w:rsidP="00720551">
      <w:pPr>
        <w:spacing w:after="0" w:line="360" w:lineRule="auto"/>
        <w:ind w:left="709" w:hanging="851"/>
        <w:jc w:val="both"/>
        <w:rPr>
          <w:rFonts w:cstheme="minorHAnsi"/>
          <w:bCs/>
          <w:sz w:val="20"/>
          <w:szCs w:val="20"/>
          <w:shd w:val="clear" w:color="auto" w:fill="FFFFFF"/>
        </w:rPr>
      </w:pPr>
    </w:p>
    <w:p w:rsidR="00AF73E1" w:rsidRDefault="00AF73E1" w:rsidP="00720551">
      <w:pPr>
        <w:pStyle w:val="FootnoteText"/>
        <w:jc w:val="both"/>
      </w:pPr>
    </w:p>
  </w:footnote>
  <w:footnote w:id="5">
    <w:p w:rsidR="00AF73E1" w:rsidRDefault="00AF73E1" w:rsidP="00720551">
      <w:pPr>
        <w:pStyle w:val="FootnoteText"/>
        <w:jc w:val="both"/>
      </w:pPr>
      <w:r>
        <w:rPr>
          <w:rStyle w:val="FootnoteReference"/>
        </w:rPr>
        <w:footnoteRef/>
      </w:r>
      <w:r w:rsidRPr="00C6793E">
        <w:rPr>
          <w:rFonts w:cs="Arial"/>
          <w:i/>
          <w:iCs/>
          <w:color w:val="000000" w:themeColor="text1"/>
        </w:rPr>
        <w:t xml:space="preserve">Eskom v Soweto City Council </w:t>
      </w:r>
      <w:r w:rsidRPr="00C6793E">
        <w:rPr>
          <w:rFonts w:cs="Arial"/>
          <w:color w:val="000000" w:themeColor="text1"/>
          <w:lang w:val="en-US"/>
        </w:rPr>
        <w:t>1992 (2) SA 703 (W)</w:t>
      </w:r>
      <w:r>
        <w:rPr>
          <w:rFonts w:cs="Arial"/>
          <w:color w:val="000000" w:themeColor="text1"/>
          <w:lang w:val="en-US"/>
        </w:rPr>
        <w:t xml:space="preserve">; </w:t>
      </w:r>
      <w:r w:rsidRPr="00C6793E">
        <w:rPr>
          <w:rFonts w:cs="Arial"/>
          <w:i/>
          <w:iCs/>
        </w:rPr>
        <w:t>Ganes v Telecom Namibia Ltd</w:t>
      </w:r>
      <w:r w:rsidRPr="00B42437">
        <w:rPr>
          <w:rFonts w:cs="Calibri"/>
          <w:lang w:val="en-US"/>
        </w:rPr>
        <w:t xml:space="preserve"> 2004 (4) SA 615 (SCA) at 624I – 625A</w:t>
      </w:r>
      <w:r>
        <w:rPr>
          <w:rFonts w:cs="Calibri"/>
          <w:lang w:val="en-US"/>
        </w:rPr>
        <w:t xml:space="preserve">; </w:t>
      </w:r>
      <w:r w:rsidRPr="00FA2B2F">
        <w:rPr>
          <w:rFonts w:cs="Arial"/>
          <w:i/>
          <w:iCs/>
        </w:rPr>
        <w:t xml:space="preserve">Unlawful Occupiers, School Site v City of Johannesburg </w:t>
      </w:r>
      <w:r w:rsidRPr="00FA2B2F">
        <w:rPr>
          <w:rFonts w:cs="Arial"/>
          <w:lang w:val="en-US"/>
        </w:rPr>
        <w:t>2005 (4) SA 199 (SCA)</w:t>
      </w:r>
      <w:r>
        <w:rPr>
          <w:rFonts w:cs="Arial"/>
          <w:lang w:val="en-US"/>
        </w:rPr>
        <w:t>.</w:t>
      </w:r>
      <w:r>
        <w:rPr>
          <w:rFonts w:cs="Calibri"/>
          <w:lang w:val="en-US"/>
        </w:rPr>
        <w:t xml:space="preserve"> </w:t>
      </w:r>
    </w:p>
  </w:footnote>
  <w:footnote w:id="6">
    <w:p w:rsidR="00AF73E1" w:rsidRDefault="00AF73E1" w:rsidP="00DE286A">
      <w:pPr>
        <w:pStyle w:val="FootnoteText"/>
        <w:ind w:left="709" w:hanging="709"/>
        <w:contextualSpacing/>
        <w:jc w:val="both"/>
      </w:pPr>
      <w:r>
        <w:rPr>
          <w:rStyle w:val="FootnoteReference"/>
        </w:rPr>
        <w:footnoteRef/>
      </w:r>
      <w:r>
        <w:t xml:space="preserve"> </w:t>
      </w:r>
      <w:hyperlink r:id="rId1" w:tooltip="View LawCiteRecord" w:history="1">
        <w:r w:rsidRPr="00D3746F">
          <w:rPr>
            <w:rStyle w:val="Hyperlink"/>
            <w:rFonts w:cs="Arial"/>
            <w:bCs w:val="0"/>
            <w:color w:val="auto"/>
            <w:shd w:val="clear" w:color="auto" w:fill="FFFFFF"/>
          </w:rPr>
          <w:t>[2020] ZACC 27</w:t>
        </w:r>
      </w:hyperlink>
      <w:r w:rsidRPr="00D3746F">
        <w:rPr>
          <w:rFonts w:cs="Arial"/>
        </w:rPr>
        <w:t xml:space="preserve"> at </w:t>
      </w:r>
      <w:r>
        <w:rPr>
          <w:rFonts w:cs="Arial"/>
        </w:rPr>
        <w:t>Para 45.</w:t>
      </w:r>
    </w:p>
  </w:footnote>
  <w:footnote w:id="7">
    <w:p w:rsidR="00AF73E1" w:rsidRDefault="00AF73E1" w:rsidP="00DE286A">
      <w:pPr>
        <w:pStyle w:val="FootnoteText"/>
        <w:contextualSpacing/>
      </w:pPr>
      <w:r>
        <w:rPr>
          <w:rStyle w:val="FootnoteReference"/>
        </w:rPr>
        <w:footnoteRef/>
      </w:r>
      <w:r>
        <w:t xml:space="preserve"> </w:t>
      </w:r>
      <w:hyperlink r:id="rId2" w:tooltip="View LawCiteRecord" w:history="1">
        <w:r w:rsidRPr="00D3746F">
          <w:rPr>
            <w:rStyle w:val="Hyperlink"/>
            <w:b w:val="0"/>
            <w:bCs w:val="0"/>
            <w:color w:val="auto"/>
            <w:shd w:val="clear" w:color="auto" w:fill="FFFFFF"/>
          </w:rPr>
          <w:t>[</w:t>
        </w:r>
        <w:r w:rsidRPr="00D3746F">
          <w:rPr>
            <w:rStyle w:val="Hyperlink"/>
            <w:bCs w:val="0"/>
            <w:color w:val="auto"/>
            <w:shd w:val="clear" w:color="auto" w:fill="FFFFFF"/>
          </w:rPr>
          <w:t>2009] ZACC 26</w:t>
        </w:r>
      </w:hyperlink>
      <w:r w:rsidRPr="00D3746F">
        <w:rPr>
          <w:shd w:val="clear" w:color="auto" w:fill="FFFFFF"/>
        </w:rPr>
        <w:t>; </w:t>
      </w:r>
      <w:hyperlink r:id="rId3" w:tooltip="View LawCiteRecord" w:history="1">
        <w:r w:rsidRPr="00D3746F">
          <w:rPr>
            <w:rStyle w:val="Hyperlink"/>
            <w:bCs w:val="0"/>
            <w:color w:val="auto"/>
            <w:shd w:val="clear" w:color="auto" w:fill="FFFFFF"/>
          </w:rPr>
          <w:t>2010 (1) SA 238</w:t>
        </w:r>
      </w:hyperlink>
      <w:r w:rsidRPr="00D3746F">
        <w:rPr>
          <w:shd w:val="clear" w:color="auto" w:fill="FFFFFF"/>
        </w:rPr>
        <w:t> (CC); </w:t>
      </w:r>
      <w:hyperlink r:id="rId4" w:tooltip="View LawCiteRecord" w:history="1">
        <w:r w:rsidRPr="00D3746F">
          <w:rPr>
            <w:rStyle w:val="Hyperlink"/>
            <w:bCs w:val="0"/>
            <w:color w:val="auto"/>
            <w:shd w:val="clear" w:color="auto" w:fill="FFFFFF"/>
          </w:rPr>
          <w:t>2010 (1) BCLR 35</w:t>
        </w:r>
      </w:hyperlink>
      <w:r w:rsidRPr="00D3746F">
        <w:rPr>
          <w:shd w:val="clear" w:color="auto" w:fill="FFFFFF"/>
        </w:rPr>
        <w:t> (CC)</w:t>
      </w:r>
    </w:p>
  </w:footnote>
  <w:footnote w:id="8">
    <w:p w:rsidR="00AF73E1" w:rsidRDefault="00AF73E1">
      <w:pPr>
        <w:pStyle w:val="FootnoteText"/>
      </w:pPr>
      <w:r>
        <w:rPr>
          <w:rStyle w:val="FootnoteReference"/>
        </w:rPr>
        <w:footnoteRef/>
      </w:r>
      <w:r>
        <w:t xml:space="preserve"> Annexures “CNT33” to “CNT36”.</w:t>
      </w:r>
    </w:p>
  </w:footnote>
  <w:footnote w:id="9">
    <w:p w:rsidR="00AF73E1" w:rsidRDefault="00AF73E1" w:rsidP="002A10C7">
      <w:pPr>
        <w:pStyle w:val="FootnoteText"/>
        <w:jc w:val="both"/>
      </w:pPr>
      <w:r>
        <w:rPr>
          <w:rStyle w:val="FootnoteReference"/>
        </w:rPr>
        <w:footnoteRef/>
      </w:r>
      <w:r>
        <w:t xml:space="preserve"> Annexure “CHN28” of the respondent’s answering affidavit.</w:t>
      </w:r>
    </w:p>
  </w:footnote>
  <w:footnote w:id="10">
    <w:p w:rsidR="00AF73E1" w:rsidRDefault="00AF73E1" w:rsidP="002A10C7">
      <w:pPr>
        <w:pStyle w:val="FootnoteText"/>
        <w:jc w:val="both"/>
      </w:pPr>
      <w:r>
        <w:rPr>
          <w:rStyle w:val="FootnoteReference"/>
        </w:rPr>
        <w:footnoteRef/>
      </w:r>
      <w:r>
        <w:t xml:space="preserve"> See in this regard Annexure “CHN28.1” of her answering affidavit.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AF73E1" w:rsidRDefault="00AF73E1">
        <w:pPr>
          <w:pStyle w:val="Header"/>
          <w:jc w:val="right"/>
        </w:pPr>
        <w:r>
          <w:fldChar w:fldCharType="begin"/>
        </w:r>
        <w:r>
          <w:instrText xml:space="preserve"> PAGE   \* MERGEFORMAT </w:instrText>
        </w:r>
        <w:r>
          <w:fldChar w:fldCharType="separate"/>
        </w:r>
        <w:r w:rsidR="003766FF">
          <w:rPr>
            <w:noProof/>
          </w:rPr>
          <w:t>2</w:t>
        </w:r>
        <w:r>
          <w:rPr>
            <w:noProof/>
          </w:rPr>
          <w:fldChar w:fldCharType="end"/>
        </w:r>
      </w:p>
    </w:sdtContent>
  </w:sdt>
  <w:p w:rsidR="00AF73E1" w:rsidRDefault="00AF73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A1E"/>
    <w:multiLevelType w:val="hybridMultilevel"/>
    <w:tmpl w:val="64BCE2E8"/>
    <w:lvl w:ilvl="0" w:tplc="B23A04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5E7BC3"/>
    <w:multiLevelType w:val="hybridMultilevel"/>
    <w:tmpl w:val="DFA42054"/>
    <w:lvl w:ilvl="0" w:tplc="B4DCE1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79752D"/>
    <w:multiLevelType w:val="multilevel"/>
    <w:tmpl w:val="0BFC326C"/>
    <w:lvl w:ilvl="0">
      <w:start w:val="1"/>
      <w:numFmt w:val="decimal"/>
      <w:lvlText w:val="%1."/>
      <w:lvlJc w:val="left"/>
      <w:pPr>
        <w:ind w:left="400" w:hanging="400"/>
      </w:pPr>
      <w:rPr>
        <w:rFonts w:hint="default"/>
        <w:color w:val="auto"/>
        <w:sz w:val="24"/>
      </w:rPr>
    </w:lvl>
    <w:lvl w:ilvl="1">
      <w:start w:val="1"/>
      <w:numFmt w:val="decimal"/>
      <w:lvlText w:val="%1.%2."/>
      <w:lvlJc w:val="left"/>
      <w:pPr>
        <w:ind w:left="1440" w:hanging="720"/>
      </w:pPr>
      <w:rPr>
        <w:rFonts w:hint="default"/>
        <w:color w:val="auto"/>
        <w:sz w:val="24"/>
      </w:rPr>
    </w:lvl>
    <w:lvl w:ilvl="2">
      <w:start w:val="1"/>
      <w:numFmt w:val="decimal"/>
      <w:lvlText w:val="%1.%2.%3."/>
      <w:lvlJc w:val="left"/>
      <w:pPr>
        <w:ind w:left="2160" w:hanging="720"/>
      </w:pPr>
      <w:rPr>
        <w:rFonts w:hint="default"/>
        <w:color w:val="auto"/>
        <w:sz w:val="24"/>
      </w:rPr>
    </w:lvl>
    <w:lvl w:ilvl="3">
      <w:start w:val="1"/>
      <w:numFmt w:val="decimal"/>
      <w:lvlText w:val="%1.%2.%3.%4."/>
      <w:lvlJc w:val="left"/>
      <w:pPr>
        <w:ind w:left="3240" w:hanging="1080"/>
      </w:pPr>
      <w:rPr>
        <w:rFonts w:hint="default"/>
        <w:color w:val="auto"/>
        <w:sz w:val="24"/>
      </w:rPr>
    </w:lvl>
    <w:lvl w:ilvl="4">
      <w:start w:val="1"/>
      <w:numFmt w:val="decimal"/>
      <w:lvlText w:val="%1.%2.%3.%4.%5."/>
      <w:lvlJc w:val="left"/>
      <w:pPr>
        <w:ind w:left="4320" w:hanging="1440"/>
      </w:pPr>
      <w:rPr>
        <w:rFonts w:hint="default"/>
        <w:color w:val="auto"/>
        <w:sz w:val="24"/>
      </w:rPr>
    </w:lvl>
    <w:lvl w:ilvl="5">
      <w:start w:val="1"/>
      <w:numFmt w:val="decimal"/>
      <w:lvlText w:val="%1.%2.%3.%4.%5.%6."/>
      <w:lvlJc w:val="left"/>
      <w:pPr>
        <w:ind w:left="5040" w:hanging="1440"/>
      </w:pPr>
      <w:rPr>
        <w:rFonts w:hint="default"/>
        <w:color w:val="auto"/>
        <w:sz w:val="24"/>
      </w:rPr>
    </w:lvl>
    <w:lvl w:ilvl="6">
      <w:start w:val="1"/>
      <w:numFmt w:val="decimal"/>
      <w:lvlText w:val="%1.%2.%3.%4.%5.%6.%7."/>
      <w:lvlJc w:val="left"/>
      <w:pPr>
        <w:ind w:left="6120" w:hanging="1800"/>
      </w:pPr>
      <w:rPr>
        <w:rFonts w:hint="default"/>
        <w:color w:val="auto"/>
        <w:sz w:val="24"/>
      </w:rPr>
    </w:lvl>
    <w:lvl w:ilvl="7">
      <w:start w:val="1"/>
      <w:numFmt w:val="decimal"/>
      <w:lvlText w:val="%1.%2.%3.%4.%5.%6.%7.%8."/>
      <w:lvlJc w:val="left"/>
      <w:pPr>
        <w:ind w:left="7200" w:hanging="2160"/>
      </w:pPr>
      <w:rPr>
        <w:rFonts w:hint="default"/>
        <w:color w:val="auto"/>
        <w:sz w:val="24"/>
      </w:rPr>
    </w:lvl>
    <w:lvl w:ilvl="8">
      <w:start w:val="1"/>
      <w:numFmt w:val="decimal"/>
      <w:lvlText w:val="%1.%2.%3.%4.%5.%6.%7.%8.%9."/>
      <w:lvlJc w:val="left"/>
      <w:pPr>
        <w:ind w:left="7920" w:hanging="2160"/>
      </w:pPr>
      <w:rPr>
        <w:rFonts w:hint="default"/>
        <w:color w:val="auto"/>
        <w:sz w:val="24"/>
      </w:rPr>
    </w:lvl>
  </w:abstractNum>
  <w:abstractNum w:abstractNumId="3" w15:restartNumberingAfterBreak="0">
    <w:nsid w:val="0B061315"/>
    <w:multiLevelType w:val="hybridMultilevel"/>
    <w:tmpl w:val="E20431BC"/>
    <w:lvl w:ilvl="0" w:tplc="CDBE8F5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260264"/>
    <w:multiLevelType w:val="hybridMultilevel"/>
    <w:tmpl w:val="8D28C02A"/>
    <w:lvl w:ilvl="0" w:tplc="6404737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4D8502B"/>
    <w:multiLevelType w:val="hybridMultilevel"/>
    <w:tmpl w:val="19263470"/>
    <w:lvl w:ilvl="0" w:tplc="28A21424">
      <w:start w:val="1"/>
      <w:numFmt w:val="decimal"/>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7"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11D0CE0"/>
    <w:multiLevelType w:val="hybridMultilevel"/>
    <w:tmpl w:val="587E4998"/>
    <w:lvl w:ilvl="0" w:tplc="6980D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433D14"/>
    <w:multiLevelType w:val="multilevel"/>
    <w:tmpl w:val="692E8A00"/>
    <w:lvl w:ilvl="0">
      <w:start w:val="1"/>
      <w:numFmt w:val="decimal"/>
      <w:lvlText w:val="%1."/>
      <w:lvlJc w:val="left"/>
      <w:pPr>
        <w:ind w:left="1572" w:hanging="360"/>
      </w:pPr>
      <w:rPr>
        <w:rFonts w:hint="default"/>
      </w:rPr>
    </w:lvl>
    <w:lvl w:ilvl="1">
      <w:start w:val="1"/>
      <w:numFmt w:val="decimal"/>
      <w:isLgl/>
      <w:lvlText w:val="%1.%2"/>
      <w:lvlJc w:val="left"/>
      <w:pPr>
        <w:ind w:left="2292" w:hanging="72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92" w:hanging="1440"/>
      </w:pPr>
      <w:rPr>
        <w:rFonts w:hint="default"/>
      </w:rPr>
    </w:lvl>
    <w:lvl w:ilvl="5">
      <w:start w:val="1"/>
      <w:numFmt w:val="decimal"/>
      <w:isLgl/>
      <w:lvlText w:val="%1.%2.%3.%4.%5.%6"/>
      <w:lvlJc w:val="left"/>
      <w:pPr>
        <w:ind w:left="4452" w:hanging="1440"/>
      </w:pPr>
      <w:rPr>
        <w:rFonts w:hint="default"/>
      </w:rPr>
    </w:lvl>
    <w:lvl w:ilvl="6">
      <w:start w:val="1"/>
      <w:numFmt w:val="decimal"/>
      <w:isLgl/>
      <w:lvlText w:val="%1.%2.%3.%4.%5.%6.%7"/>
      <w:lvlJc w:val="left"/>
      <w:pPr>
        <w:ind w:left="5172" w:hanging="1800"/>
      </w:pPr>
      <w:rPr>
        <w:rFonts w:hint="default"/>
      </w:rPr>
    </w:lvl>
    <w:lvl w:ilvl="7">
      <w:start w:val="1"/>
      <w:numFmt w:val="decimal"/>
      <w:isLgl/>
      <w:lvlText w:val="%1.%2.%3.%4.%5.%6.%7.%8"/>
      <w:lvlJc w:val="left"/>
      <w:pPr>
        <w:ind w:left="5532" w:hanging="1800"/>
      </w:pPr>
      <w:rPr>
        <w:rFonts w:hint="default"/>
      </w:rPr>
    </w:lvl>
    <w:lvl w:ilvl="8">
      <w:start w:val="1"/>
      <w:numFmt w:val="decimal"/>
      <w:isLgl/>
      <w:lvlText w:val="%1.%2.%3.%4.%5.%6.%7.%8.%9"/>
      <w:lvlJc w:val="left"/>
      <w:pPr>
        <w:ind w:left="6252" w:hanging="2160"/>
      </w:pPr>
      <w:rPr>
        <w:rFonts w:hint="default"/>
      </w:rPr>
    </w:lvl>
  </w:abstractNum>
  <w:abstractNum w:abstractNumId="11" w15:restartNumberingAfterBreak="0">
    <w:nsid w:val="2259699C"/>
    <w:multiLevelType w:val="hybridMultilevel"/>
    <w:tmpl w:val="8150462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0250CA"/>
    <w:multiLevelType w:val="hybridMultilevel"/>
    <w:tmpl w:val="E45AF1E2"/>
    <w:lvl w:ilvl="0" w:tplc="BF1E5D9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2D3107C"/>
    <w:multiLevelType w:val="hybridMultilevel"/>
    <w:tmpl w:val="C2FE43A4"/>
    <w:lvl w:ilvl="0" w:tplc="6FA69B6A">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8125648"/>
    <w:multiLevelType w:val="hybridMultilevel"/>
    <w:tmpl w:val="E368C7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D080DAC"/>
    <w:multiLevelType w:val="hybridMultilevel"/>
    <w:tmpl w:val="7E10C7E4"/>
    <w:lvl w:ilvl="0" w:tplc="C1B0F25C">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6203D8"/>
    <w:multiLevelType w:val="multilevel"/>
    <w:tmpl w:val="314A380A"/>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38A4AE7"/>
    <w:multiLevelType w:val="hybridMultilevel"/>
    <w:tmpl w:val="E2C0628C"/>
    <w:lvl w:ilvl="0" w:tplc="DCA892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C3269A4"/>
    <w:multiLevelType w:val="hybridMultilevel"/>
    <w:tmpl w:val="CFEAD302"/>
    <w:lvl w:ilvl="0" w:tplc="D046A0E0">
      <w:start w:val="1"/>
      <w:numFmt w:val="decimal"/>
      <w:lvlText w:val="[%1]"/>
      <w:lvlJc w:val="left"/>
      <w:pPr>
        <w:tabs>
          <w:tab w:val="num" w:pos="1440"/>
        </w:tabs>
        <w:ind w:left="720" w:firstLine="0"/>
      </w:pPr>
      <w:rPr>
        <w:rFonts w:ascii="Times New Roman" w:hAnsi="Times New Roman" w:cs="Times New Roman" w:hint="default"/>
        <w:b w:val="0"/>
        <w:i w:val="0"/>
        <w:spacing w:val="20"/>
        <w:w w:val="120"/>
      </w:rPr>
    </w:lvl>
    <w:lvl w:ilvl="1" w:tplc="1C090019">
      <w:start w:val="1"/>
      <w:numFmt w:val="lowerLetter"/>
      <w:lvlText w:val="%2."/>
      <w:lvlJc w:val="left"/>
      <w:pPr>
        <w:tabs>
          <w:tab w:val="num" w:pos="1440"/>
        </w:tabs>
        <w:ind w:left="1440" w:hanging="360"/>
      </w:pPr>
      <w:rPr>
        <w:rFonts w:cs="Times New Roman"/>
      </w:rPr>
    </w:lvl>
    <w:lvl w:ilvl="2" w:tplc="663A46AA">
      <w:start w:val="118"/>
      <w:numFmt w:val="decimal"/>
      <w:lvlText w:val="%3."/>
      <w:lvlJc w:val="left"/>
      <w:pPr>
        <w:tabs>
          <w:tab w:val="num" w:pos="2400"/>
        </w:tabs>
        <w:ind w:left="2400" w:hanging="420"/>
      </w:pPr>
      <w:rPr>
        <w:rFonts w:ascii="Times New Roman" w:eastAsia="Times New Roman" w:hAnsi="Times New Roman" w:cs="Times New Roman" w:hint="default"/>
      </w:rPr>
    </w:lvl>
    <w:lvl w:ilvl="3" w:tplc="ED0460BA">
      <w:start w:val="1"/>
      <w:numFmt w:val="decimal"/>
      <w:lvlText w:val="%4."/>
      <w:lvlJc w:val="left"/>
      <w:pPr>
        <w:tabs>
          <w:tab w:val="num" w:pos="3240"/>
        </w:tabs>
        <w:ind w:left="3240" w:hanging="720"/>
      </w:pPr>
      <w:rPr>
        <w:rFonts w:cs="Times New Roman"/>
      </w:rPr>
    </w:lvl>
    <w:lvl w:ilvl="4" w:tplc="76EA906A">
      <w:start w:val="1"/>
      <w:numFmt w:val="lowerLetter"/>
      <w:lvlText w:val="%5)"/>
      <w:lvlJc w:val="left"/>
      <w:pPr>
        <w:tabs>
          <w:tab w:val="num" w:pos="3960"/>
        </w:tabs>
        <w:ind w:left="3960" w:hanging="720"/>
      </w:pPr>
      <w:rPr>
        <w:rFonts w:cs="Times New Roman"/>
      </w:rPr>
    </w:lvl>
    <w:lvl w:ilvl="5" w:tplc="76CA9562">
      <w:start w:val="1"/>
      <w:numFmt w:val="lowerLetter"/>
      <w:lvlText w:val="(%6)"/>
      <w:lvlJc w:val="left"/>
      <w:pPr>
        <w:tabs>
          <w:tab w:val="num" w:pos="4860"/>
        </w:tabs>
        <w:ind w:left="4860" w:hanging="72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lowerLetter"/>
      <w:lvlText w:val="%8."/>
      <w:lvlJc w:val="left"/>
      <w:pPr>
        <w:tabs>
          <w:tab w:val="num" w:pos="5760"/>
        </w:tabs>
        <w:ind w:left="5760" w:hanging="360"/>
      </w:pPr>
      <w:rPr>
        <w:rFonts w:cs="Times New Roman"/>
      </w:rPr>
    </w:lvl>
    <w:lvl w:ilvl="8" w:tplc="1C09001B">
      <w:start w:val="1"/>
      <w:numFmt w:val="lowerRoman"/>
      <w:lvlText w:val="%9."/>
      <w:lvlJc w:val="right"/>
      <w:pPr>
        <w:tabs>
          <w:tab w:val="num" w:pos="6480"/>
        </w:tabs>
        <w:ind w:left="6480" w:hanging="180"/>
      </w:pPr>
      <w:rPr>
        <w:rFonts w:cs="Times New Roman"/>
      </w:rPr>
    </w:lvl>
  </w:abstractNum>
  <w:abstractNum w:abstractNumId="22" w15:restartNumberingAfterBreak="0">
    <w:nsid w:val="58FC0612"/>
    <w:multiLevelType w:val="multilevel"/>
    <w:tmpl w:val="1360997A"/>
    <w:lvl w:ilvl="0">
      <w:start w:val="1"/>
      <w:numFmt w:val="decimal"/>
      <w:lvlText w:val="%1"/>
      <w:lvlJc w:val="left"/>
      <w:pPr>
        <w:ind w:left="384" w:hanging="384"/>
      </w:pPr>
      <w:rPr>
        <w:rFonts w:hint="default"/>
      </w:rPr>
    </w:lvl>
    <w:lvl w:ilvl="1">
      <w:start w:val="2"/>
      <w:numFmt w:val="decimal"/>
      <w:lvlText w:val="%1.%2"/>
      <w:lvlJc w:val="left"/>
      <w:pPr>
        <w:ind w:left="2292" w:hanging="72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796" w:hanging="1080"/>
      </w:pPr>
      <w:rPr>
        <w:rFonts w:hint="default"/>
      </w:rPr>
    </w:lvl>
    <w:lvl w:ilvl="4">
      <w:start w:val="1"/>
      <w:numFmt w:val="decimal"/>
      <w:lvlText w:val="%1.%2.%3.%4.%5"/>
      <w:lvlJc w:val="left"/>
      <w:pPr>
        <w:ind w:left="7728" w:hanging="1440"/>
      </w:pPr>
      <w:rPr>
        <w:rFonts w:hint="default"/>
      </w:rPr>
    </w:lvl>
    <w:lvl w:ilvl="5">
      <w:start w:val="1"/>
      <w:numFmt w:val="decimal"/>
      <w:lvlText w:val="%1.%2.%3.%4.%5.%6"/>
      <w:lvlJc w:val="left"/>
      <w:pPr>
        <w:ind w:left="9300" w:hanging="1440"/>
      </w:pPr>
      <w:rPr>
        <w:rFonts w:hint="default"/>
      </w:rPr>
    </w:lvl>
    <w:lvl w:ilvl="6">
      <w:start w:val="1"/>
      <w:numFmt w:val="decimal"/>
      <w:lvlText w:val="%1.%2.%3.%4.%5.%6.%7"/>
      <w:lvlJc w:val="left"/>
      <w:pPr>
        <w:ind w:left="11232" w:hanging="1800"/>
      </w:pPr>
      <w:rPr>
        <w:rFonts w:hint="default"/>
      </w:rPr>
    </w:lvl>
    <w:lvl w:ilvl="7">
      <w:start w:val="1"/>
      <w:numFmt w:val="decimal"/>
      <w:lvlText w:val="%1.%2.%3.%4.%5.%6.%7.%8"/>
      <w:lvlJc w:val="left"/>
      <w:pPr>
        <w:ind w:left="12804" w:hanging="1800"/>
      </w:pPr>
      <w:rPr>
        <w:rFonts w:hint="default"/>
      </w:rPr>
    </w:lvl>
    <w:lvl w:ilvl="8">
      <w:start w:val="1"/>
      <w:numFmt w:val="decimal"/>
      <w:lvlText w:val="%1.%2.%3.%4.%5.%6.%7.%8.%9"/>
      <w:lvlJc w:val="left"/>
      <w:pPr>
        <w:ind w:left="14736" w:hanging="2160"/>
      </w:pPr>
      <w:rPr>
        <w:rFonts w:hint="default"/>
      </w:rPr>
    </w:lvl>
  </w:abstractNum>
  <w:abstractNum w:abstractNumId="23" w15:restartNumberingAfterBreak="0">
    <w:nsid w:val="592D6284"/>
    <w:multiLevelType w:val="hybridMultilevel"/>
    <w:tmpl w:val="E056029C"/>
    <w:lvl w:ilvl="0" w:tplc="BF5A618E">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8A7129B"/>
    <w:multiLevelType w:val="hybridMultilevel"/>
    <w:tmpl w:val="EB9C3D06"/>
    <w:lvl w:ilvl="0" w:tplc="D5DE450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68B35800"/>
    <w:multiLevelType w:val="hybridMultilevel"/>
    <w:tmpl w:val="64E89262"/>
    <w:lvl w:ilvl="0" w:tplc="1A58F5FC">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AF267A2"/>
    <w:multiLevelType w:val="hybridMultilevel"/>
    <w:tmpl w:val="DB5A9E1A"/>
    <w:lvl w:ilvl="0" w:tplc="0E38FE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B2923C5"/>
    <w:multiLevelType w:val="hybridMultilevel"/>
    <w:tmpl w:val="2D36CC68"/>
    <w:lvl w:ilvl="0" w:tplc="D03076FC">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8" w15:restartNumberingAfterBreak="0">
    <w:nsid w:val="7C8C5883"/>
    <w:multiLevelType w:val="hybridMultilevel"/>
    <w:tmpl w:val="7FFEA3C6"/>
    <w:lvl w:ilvl="0" w:tplc="7638DE34">
      <w:start w:val="1"/>
      <w:numFmt w:val="decimal"/>
      <w:lvlText w:val="[%1]"/>
      <w:lvlJc w:val="left"/>
      <w:pPr>
        <w:tabs>
          <w:tab w:val="num" w:pos="851"/>
        </w:tabs>
        <w:ind w:left="0" w:firstLine="0"/>
      </w:pPr>
      <w:rPr>
        <w:rFonts w:ascii="Times New Roman" w:hAnsi="Times New Roman" w:cs="Times New Roman" w:hint="default"/>
      </w:rPr>
    </w:lvl>
    <w:lvl w:ilvl="1" w:tplc="8964364E">
      <w:start w:val="1"/>
      <w:numFmt w:val="lowerLetter"/>
      <w:lvlText w:val="(%2)"/>
      <w:lvlJc w:val="left"/>
      <w:pPr>
        <w:tabs>
          <w:tab w:val="num" w:pos="1800"/>
        </w:tabs>
        <w:ind w:left="1800" w:hanging="720"/>
      </w:pPr>
      <w:rPr>
        <w:rFonts w:cs="Times New Roman"/>
        <w:sz w:val="24"/>
        <w:szCs w:val="24"/>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7E6A7C58"/>
    <w:multiLevelType w:val="hybridMultilevel"/>
    <w:tmpl w:val="3544FD2C"/>
    <w:lvl w:ilvl="0" w:tplc="C7524CA8">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3"/>
  </w:num>
  <w:num w:numId="13">
    <w:abstractNumId w:val="23"/>
  </w:num>
  <w:num w:numId="14">
    <w:abstractNumId w:val="9"/>
  </w:num>
  <w:num w:numId="15">
    <w:abstractNumId w:val="20"/>
  </w:num>
  <w:num w:numId="16">
    <w:abstractNumId w:val="27"/>
  </w:num>
  <w:num w:numId="17">
    <w:abstractNumId w:val="10"/>
  </w:num>
  <w:num w:numId="18">
    <w:abstractNumId w:val="22"/>
  </w:num>
  <w:num w:numId="19">
    <w:abstractNumId w:val="11"/>
  </w:num>
  <w:num w:numId="20">
    <w:abstractNumId w:val="0"/>
  </w:num>
  <w:num w:numId="21">
    <w:abstractNumId w:val="29"/>
  </w:num>
  <w:num w:numId="22">
    <w:abstractNumId w:val="2"/>
  </w:num>
  <w:num w:numId="23">
    <w:abstractNumId w:val="25"/>
  </w:num>
  <w:num w:numId="24">
    <w:abstractNumId w:val="26"/>
  </w:num>
  <w:num w:numId="25">
    <w:abstractNumId w:val="18"/>
  </w:num>
  <w:num w:numId="26">
    <w:abstractNumId w:val="6"/>
  </w:num>
  <w:num w:numId="27">
    <w:abstractNumId w:val="16"/>
  </w:num>
  <w:num w:numId="28">
    <w:abstractNumId w:val="15"/>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0946"/>
    <w:rsid w:val="0000303C"/>
    <w:rsid w:val="00007E35"/>
    <w:rsid w:val="000123BA"/>
    <w:rsid w:val="00014459"/>
    <w:rsid w:val="000153D6"/>
    <w:rsid w:val="000167D1"/>
    <w:rsid w:val="000179D0"/>
    <w:rsid w:val="00021C6A"/>
    <w:rsid w:val="000225F7"/>
    <w:rsid w:val="00022A1F"/>
    <w:rsid w:val="00023015"/>
    <w:rsid w:val="0002396D"/>
    <w:rsid w:val="0002432E"/>
    <w:rsid w:val="00024A54"/>
    <w:rsid w:val="00026A1A"/>
    <w:rsid w:val="00026D17"/>
    <w:rsid w:val="00027178"/>
    <w:rsid w:val="00033EAC"/>
    <w:rsid w:val="00034709"/>
    <w:rsid w:val="000361B2"/>
    <w:rsid w:val="000368CF"/>
    <w:rsid w:val="00044AA1"/>
    <w:rsid w:val="000509C2"/>
    <w:rsid w:val="00054A38"/>
    <w:rsid w:val="00054CC3"/>
    <w:rsid w:val="00054D78"/>
    <w:rsid w:val="00055A08"/>
    <w:rsid w:val="00056063"/>
    <w:rsid w:val="0006145D"/>
    <w:rsid w:val="000615D3"/>
    <w:rsid w:val="00062D18"/>
    <w:rsid w:val="00063B76"/>
    <w:rsid w:val="00064E7A"/>
    <w:rsid w:val="00065F0A"/>
    <w:rsid w:val="00066F64"/>
    <w:rsid w:val="00067930"/>
    <w:rsid w:val="00067FC1"/>
    <w:rsid w:val="000708F2"/>
    <w:rsid w:val="00072808"/>
    <w:rsid w:val="00074E1C"/>
    <w:rsid w:val="00075BFD"/>
    <w:rsid w:val="00075EBD"/>
    <w:rsid w:val="00076CEF"/>
    <w:rsid w:val="00080761"/>
    <w:rsid w:val="00081E2B"/>
    <w:rsid w:val="00082350"/>
    <w:rsid w:val="0008324E"/>
    <w:rsid w:val="0008784F"/>
    <w:rsid w:val="0009145B"/>
    <w:rsid w:val="0009378F"/>
    <w:rsid w:val="0009433D"/>
    <w:rsid w:val="00096E9A"/>
    <w:rsid w:val="000970DB"/>
    <w:rsid w:val="000A15BF"/>
    <w:rsid w:val="000A2933"/>
    <w:rsid w:val="000A2E94"/>
    <w:rsid w:val="000A3193"/>
    <w:rsid w:val="000A391C"/>
    <w:rsid w:val="000A4581"/>
    <w:rsid w:val="000A4B0D"/>
    <w:rsid w:val="000A5BAA"/>
    <w:rsid w:val="000A70B5"/>
    <w:rsid w:val="000B09C9"/>
    <w:rsid w:val="000B0B36"/>
    <w:rsid w:val="000B0DA0"/>
    <w:rsid w:val="000B18D4"/>
    <w:rsid w:val="000B1E90"/>
    <w:rsid w:val="000B281B"/>
    <w:rsid w:val="000B35BE"/>
    <w:rsid w:val="000B3852"/>
    <w:rsid w:val="000B3FF1"/>
    <w:rsid w:val="000B5527"/>
    <w:rsid w:val="000B577E"/>
    <w:rsid w:val="000B636D"/>
    <w:rsid w:val="000C1213"/>
    <w:rsid w:val="000C32C6"/>
    <w:rsid w:val="000C3808"/>
    <w:rsid w:val="000C52B5"/>
    <w:rsid w:val="000C5BA0"/>
    <w:rsid w:val="000C62CC"/>
    <w:rsid w:val="000C678C"/>
    <w:rsid w:val="000D1F89"/>
    <w:rsid w:val="000D289F"/>
    <w:rsid w:val="000D29F9"/>
    <w:rsid w:val="000D44DF"/>
    <w:rsid w:val="000D75F5"/>
    <w:rsid w:val="000E1102"/>
    <w:rsid w:val="000E3BC4"/>
    <w:rsid w:val="000E596A"/>
    <w:rsid w:val="000E67F0"/>
    <w:rsid w:val="000F28E1"/>
    <w:rsid w:val="000F3F6F"/>
    <w:rsid w:val="000F7DF1"/>
    <w:rsid w:val="001022E0"/>
    <w:rsid w:val="0010252E"/>
    <w:rsid w:val="00107105"/>
    <w:rsid w:val="0011030D"/>
    <w:rsid w:val="001105DF"/>
    <w:rsid w:val="00113015"/>
    <w:rsid w:val="001145DF"/>
    <w:rsid w:val="00114D92"/>
    <w:rsid w:val="00115690"/>
    <w:rsid w:val="00116270"/>
    <w:rsid w:val="001163DC"/>
    <w:rsid w:val="00120FF8"/>
    <w:rsid w:val="001230C1"/>
    <w:rsid w:val="00124067"/>
    <w:rsid w:val="00125294"/>
    <w:rsid w:val="00126CFE"/>
    <w:rsid w:val="00130482"/>
    <w:rsid w:val="00130E98"/>
    <w:rsid w:val="0013252A"/>
    <w:rsid w:val="001331B6"/>
    <w:rsid w:val="0013332E"/>
    <w:rsid w:val="00133CCB"/>
    <w:rsid w:val="00134368"/>
    <w:rsid w:val="001347CC"/>
    <w:rsid w:val="001376E2"/>
    <w:rsid w:val="0014034A"/>
    <w:rsid w:val="001425BC"/>
    <w:rsid w:val="0014277B"/>
    <w:rsid w:val="0014573C"/>
    <w:rsid w:val="00146C61"/>
    <w:rsid w:val="00150385"/>
    <w:rsid w:val="0015170C"/>
    <w:rsid w:val="0015413C"/>
    <w:rsid w:val="00155095"/>
    <w:rsid w:val="00156583"/>
    <w:rsid w:val="00156D1F"/>
    <w:rsid w:val="001574EA"/>
    <w:rsid w:val="0015782A"/>
    <w:rsid w:val="00161928"/>
    <w:rsid w:val="001654B4"/>
    <w:rsid w:val="00166E97"/>
    <w:rsid w:val="001672CD"/>
    <w:rsid w:val="00170755"/>
    <w:rsid w:val="001707D5"/>
    <w:rsid w:val="00173119"/>
    <w:rsid w:val="001733A4"/>
    <w:rsid w:val="0017624A"/>
    <w:rsid w:val="001763EC"/>
    <w:rsid w:val="0018140A"/>
    <w:rsid w:val="001814AA"/>
    <w:rsid w:val="00182927"/>
    <w:rsid w:val="0018386C"/>
    <w:rsid w:val="00186FEC"/>
    <w:rsid w:val="001923CC"/>
    <w:rsid w:val="00193C05"/>
    <w:rsid w:val="0019401C"/>
    <w:rsid w:val="00196FFF"/>
    <w:rsid w:val="00197831"/>
    <w:rsid w:val="001A504C"/>
    <w:rsid w:val="001A546D"/>
    <w:rsid w:val="001B08D3"/>
    <w:rsid w:val="001B0B03"/>
    <w:rsid w:val="001B3F16"/>
    <w:rsid w:val="001C1CF5"/>
    <w:rsid w:val="001C2335"/>
    <w:rsid w:val="001C3DE1"/>
    <w:rsid w:val="001C4D99"/>
    <w:rsid w:val="001C6720"/>
    <w:rsid w:val="001D0EE2"/>
    <w:rsid w:val="001D2C3D"/>
    <w:rsid w:val="001D39A2"/>
    <w:rsid w:val="001D41D6"/>
    <w:rsid w:val="001D53D8"/>
    <w:rsid w:val="001D7275"/>
    <w:rsid w:val="001E060B"/>
    <w:rsid w:val="001E1616"/>
    <w:rsid w:val="001E32C3"/>
    <w:rsid w:val="001E552A"/>
    <w:rsid w:val="001F2206"/>
    <w:rsid w:val="001F23E6"/>
    <w:rsid w:val="001F25C1"/>
    <w:rsid w:val="001F26BC"/>
    <w:rsid w:val="001F45B4"/>
    <w:rsid w:val="001F6527"/>
    <w:rsid w:val="001F66B1"/>
    <w:rsid w:val="00201D83"/>
    <w:rsid w:val="0020482A"/>
    <w:rsid w:val="00204A0F"/>
    <w:rsid w:val="0020553D"/>
    <w:rsid w:val="00207436"/>
    <w:rsid w:val="00211A70"/>
    <w:rsid w:val="00212F70"/>
    <w:rsid w:val="00213EF9"/>
    <w:rsid w:val="00216C5C"/>
    <w:rsid w:val="002207EA"/>
    <w:rsid w:val="00223802"/>
    <w:rsid w:val="00225C08"/>
    <w:rsid w:val="00225CC3"/>
    <w:rsid w:val="002270DA"/>
    <w:rsid w:val="00230BB5"/>
    <w:rsid w:val="0023131E"/>
    <w:rsid w:val="00232724"/>
    <w:rsid w:val="00232AD0"/>
    <w:rsid w:val="00232E11"/>
    <w:rsid w:val="00233D90"/>
    <w:rsid w:val="00234C34"/>
    <w:rsid w:val="00237D4E"/>
    <w:rsid w:val="0024182E"/>
    <w:rsid w:val="002430BA"/>
    <w:rsid w:val="0024500F"/>
    <w:rsid w:val="00251D47"/>
    <w:rsid w:val="00252071"/>
    <w:rsid w:val="00252FEC"/>
    <w:rsid w:val="0025415C"/>
    <w:rsid w:val="00254183"/>
    <w:rsid w:val="00254424"/>
    <w:rsid w:val="00254DA0"/>
    <w:rsid w:val="00255908"/>
    <w:rsid w:val="002616F9"/>
    <w:rsid w:val="00262BAF"/>
    <w:rsid w:val="002635C3"/>
    <w:rsid w:val="00265A58"/>
    <w:rsid w:val="0026605A"/>
    <w:rsid w:val="00266C60"/>
    <w:rsid w:val="00267F6E"/>
    <w:rsid w:val="0027016F"/>
    <w:rsid w:val="00270F5F"/>
    <w:rsid w:val="00273F54"/>
    <w:rsid w:val="00274131"/>
    <w:rsid w:val="00274264"/>
    <w:rsid w:val="002830AD"/>
    <w:rsid w:val="00283FAF"/>
    <w:rsid w:val="00286566"/>
    <w:rsid w:val="00286909"/>
    <w:rsid w:val="00287432"/>
    <w:rsid w:val="0029299B"/>
    <w:rsid w:val="00292A86"/>
    <w:rsid w:val="00292C73"/>
    <w:rsid w:val="00296467"/>
    <w:rsid w:val="002A10C7"/>
    <w:rsid w:val="002A345E"/>
    <w:rsid w:val="002A479B"/>
    <w:rsid w:val="002A485A"/>
    <w:rsid w:val="002A5F17"/>
    <w:rsid w:val="002A778E"/>
    <w:rsid w:val="002B096F"/>
    <w:rsid w:val="002B6911"/>
    <w:rsid w:val="002B7F25"/>
    <w:rsid w:val="002C1CEF"/>
    <w:rsid w:val="002C202F"/>
    <w:rsid w:val="002C2B22"/>
    <w:rsid w:val="002C2CCC"/>
    <w:rsid w:val="002C3CFC"/>
    <w:rsid w:val="002C6E54"/>
    <w:rsid w:val="002D0404"/>
    <w:rsid w:val="002D073B"/>
    <w:rsid w:val="002D31F1"/>
    <w:rsid w:val="002D4C0E"/>
    <w:rsid w:val="002E170E"/>
    <w:rsid w:val="002E1959"/>
    <w:rsid w:val="002E3574"/>
    <w:rsid w:val="002E4F5B"/>
    <w:rsid w:val="002E7E3B"/>
    <w:rsid w:val="002F126A"/>
    <w:rsid w:val="002F75D7"/>
    <w:rsid w:val="00301612"/>
    <w:rsid w:val="003031A5"/>
    <w:rsid w:val="003039BD"/>
    <w:rsid w:val="00303FC3"/>
    <w:rsid w:val="003053A3"/>
    <w:rsid w:val="00306B77"/>
    <w:rsid w:val="003078BA"/>
    <w:rsid w:val="00311CBE"/>
    <w:rsid w:val="00312D5F"/>
    <w:rsid w:val="00314D7C"/>
    <w:rsid w:val="00314DD2"/>
    <w:rsid w:val="00315264"/>
    <w:rsid w:val="00320F22"/>
    <w:rsid w:val="00321D38"/>
    <w:rsid w:val="00322359"/>
    <w:rsid w:val="00324A95"/>
    <w:rsid w:val="003253F4"/>
    <w:rsid w:val="0033010D"/>
    <w:rsid w:val="00330710"/>
    <w:rsid w:val="003326F1"/>
    <w:rsid w:val="00336352"/>
    <w:rsid w:val="00336BFD"/>
    <w:rsid w:val="00342A10"/>
    <w:rsid w:val="00344659"/>
    <w:rsid w:val="00347D11"/>
    <w:rsid w:val="00350687"/>
    <w:rsid w:val="00350D69"/>
    <w:rsid w:val="00352CBD"/>
    <w:rsid w:val="0035315E"/>
    <w:rsid w:val="00355432"/>
    <w:rsid w:val="00361246"/>
    <w:rsid w:val="00362347"/>
    <w:rsid w:val="003624ED"/>
    <w:rsid w:val="00362A10"/>
    <w:rsid w:val="003662D5"/>
    <w:rsid w:val="00370B5C"/>
    <w:rsid w:val="00370F09"/>
    <w:rsid w:val="003717D1"/>
    <w:rsid w:val="00371B1A"/>
    <w:rsid w:val="00372D12"/>
    <w:rsid w:val="003739A2"/>
    <w:rsid w:val="0037422A"/>
    <w:rsid w:val="003749CB"/>
    <w:rsid w:val="0037580C"/>
    <w:rsid w:val="003766FF"/>
    <w:rsid w:val="00377329"/>
    <w:rsid w:val="00380B8E"/>
    <w:rsid w:val="00381BC8"/>
    <w:rsid w:val="00382520"/>
    <w:rsid w:val="00383C13"/>
    <w:rsid w:val="00383DB0"/>
    <w:rsid w:val="00384A92"/>
    <w:rsid w:val="00384F98"/>
    <w:rsid w:val="003861A4"/>
    <w:rsid w:val="003869E5"/>
    <w:rsid w:val="00390853"/>
    <w:rsid w:val="003A2C84"/>
    <w:rsid w:val="003A43D8"/>
    <w:rsid w:val="003B1DA8"/>
    <w:rsid w:val="003B40F7"/>
    <w:rsid w:val="003C2A13"/>
    <w:rsid w:val="003C5BC0"/>
    <w:rsid w:val="003D102A"/>
    <w:rsid w:val="003D2671"/>
    <w:rsid w:val="003D5AAA"/>
    <w:rsid w:val="003D6216"/>
    <w:rsid w:val="003D669E"/>
    <w:rsid w:val="003D6B8E"/>
    <w:rsid w:val="003D7843"/>
    <w:rsid w:val="003E0376"/>
    <w:rsid w:val="003E16E3"/>
    <w:rsid w:val="003E1C40"/>
    <w:rsid w:val="003E1D76"/>
    <w:rsid w:val="003E2965"/>
    <w:rsid w:val="003E533D"/>
    <w:rsid w:val="003F0AA3"/>
    <w:rsid w:val="003F0D0C"/>
    <w:rsid w:val="003F31C7"/>
    <w:rsid w:val="003F43BB"/>
    <w:rsid w:val="00400DF9"/>
    <w:rsid w:val="0040254C"/>
    <w:rsid w:val="00405F7D"/>
    <w:rsid w:val="0041023B"/>
    <w:rsid w:val="0041108B"/>
    <w:rsid w:val="00412168"/>
    <w:rsid w:val="00412B6E"/>
    <w:rsid w:val="00414654"/>
    <w:rsid w:val="0041495B"/>
    <w:rsid w:val="004149F0"/>
    <w:rsid w:val="00417B0A"/>
    <w:rsid w:val="00421625"/>
    <w:rsid w:val="0042172E"/>
    <w:rsid w:val="00421BD8"/>
    <w:rsid w:val="00425640"/>
    <w:rsid w:val="00426012"/>
    <w:rsid w:val="00426B0D"/>
    <w:rsid w:val="00430BBE"/>
    <w:rsid w:val="004326D9"/>
    <w:rsid w:val="0043413D"/>
    <w:rsid w:val="00437338"/>
    <w:rsid w:val="00440808"/>
    <w:rsid w:val="00443BE6"/>
    <w:rsid w:val="00444115"/>
    <w:rsid w:val="00444D5F"/>
    <w:rsid w:val="00445B60"/>
    <w:rsid w:val="00446C64"/>
    <w:rsid w:val="00452444"/>
    <w:rsid w:val="0045376C"/>
    <w:rsid w:val="00454CF3"/>
    <w:rsid w:val="004556F8"/>
    <w:rsid w:val="004623B1"/>
    <w:rsid w:val="00462B73"/>
    <w:rsid w:val="004652D1"/>
    <w:rsid w:val="0046680F"/>
    <w:rsid w:val="00466C30"/>
    <w:rsid w:val="00470B68"/>
    <w:rsid w:val="0047263B"/>
    <w:rsid w:val="00472F33"/>
    <w:rsid w:val="00473253"/>
    <w:rsid w:val="00474CE3"/>
    <w:rsid w:val="0047684E"/>
    <w:rsid w:val="00477292"/>
    <w:rsid w:val="0047745E"/>
    <w:rsid w:val="0048025B"/>
    <w:rsid w:val="004822E4"/>
    <w:rsid w:val="00483B2D"/>
    <w:rsid w:val="00483F49"/>
    <w:rsid w:val="00485BB5"/>
    <w:rsid w:val="00490CB1"/>
    <w:rsid w:val="0049244A"/>
    <w:rsid w:val="00492F7F"/>
    <w:rsid w:val="00493122"/>
    <w:rsid w:val="004939B8"/>
    <w:rsid w:val="00493AD1"/>
    <w:rsid w:val="004955DF"/>
    <w:rsid w:val="00495AC6"/>
    <w:rsid w:val="0049784F"/>
    <w:rsid w:val="004A1DC8"/>
    <w:rsid w:val="004A5633"/>
    <w:rsid w:val="004A5C5A"/>
    <w:rsid w:val="004A5FBE"/>
    <w:rsid w:val="004A651C"/>
    <w:rsid w:val="004B0023"/>
    <w:rsid w:val="004B0578"/>
    <w:rsid w:val="004B089C"/>
    <w:rsid w:val="004B5A68"/>
    <w:rsid w:val="004B5BB5"/>
    <w:rsid w:val="004C1DF2"/>
    <w:rsid w:val="004C443D"/>
    <w:rsid w:val="004C5B3B"/>
    <w:rsid w:val="004C76D0"/>
    <w:rsid w:val="004C79D6"/>
    <w:rsid w:val="004D08A6"/>
    <w:rsid w:val="004D0EBB"/>
    <w:rsid w:val="004D16A9"/>
    <w:rsid w:val="004D275E"/>
    <w:rsid w:val="004D4608"/>
    <w:rsid w:val="004D598C"/>
    <w:rsid w:val="004E138C"/>
    <w:rsid w:val="004E4C30"/>
    <w:rsid w:val="004E5719"/>
    <w:rsid w:val="004E684E"/>
    <w:rsid w:val="004F21A0"/>
    <w:rsid w:val="004F2B99"/>
    <w:rsid w:val="004F3D08"/>
    <w:rsid w:val="004F6D3B"/>
    <w:rsid w:val="004F7657"/>
    <w:rsid w:val="005005D6"/>
    <w:rsid w:val="0050244E"/>
    <w:rsid w:val="00504267"/>
    <w:rsid w:val="00506824"/>
    <w:rsid w:val="00506E59"/>
    <w:rsid w:val="005107AC"/>
    <w:rsid w:val="00511F09"/>
    <w:rsid w:val="00512F76"/>
    <w:rsid w:val="00512FCF"/>
    <w:rsid w:val="00515043"/>
    <w:rsid w:val="005155A1"/>
    <w:rsid w:val="00516A17"/>
    <w:rsid w:val="005218A7"/>
    <w:rsid w:val="005222E2"/>
    <w:rsid w:val="00524B9A"/>
    <w:rsid w:val="00524C54"/>
    <w:rsid w:val="005263D6"/>
    <w:rsid w:val="00530530"/>
    <w:rsid w:val="00531890"/>
    <w:rsid w:val="0053195B"/>
    <w:rsid w:val="005327C1"/>
    <w:rsid w:val="00537832"/>
    <w:rsid w:val="00543FAD"/>
    <w:rsid w:val="0054575C"/>
    <w:rsid w:val="00546EF4"/>
    <w:rsid w:val="0054758C"/>
    <w:rsid w:val="005556AD"/>
    <w:rsid w:val="00556070"/>
    <w:rsid w:val="0055679D"/>
    <w:rsid w:val="00557DFD"/>
    <w:rsid w:val="0056006E"/>
    <w:rsid w:val="0056064A"/>
    <w:rsid w:val="00561871"/>
    <w:rsid w:val="005623EF"/>
    <w:rsid w:val="00562E13"/>
    <w:rsid w:val="005671C1"/>
    <w:rsid w:val="00567790"/>
    <w:rsid w:val="00571222"/>
    <w:rsid w:val="005716A7"/>
    <w:rsid w:val="00573047"/>
    <w:rsid w:val="005739F0"/>
    <w:rsid w:val="00573FC6"/>
    <w:rsid w:val="005740BB"/>
    <w:rsid w:val="00575504"/>
    <w:rsid w:val="005772E9"/>
    <w:rsid w:val="00582646"/>
    <w:rsid w:val="00590048"/>
    <w:rsid w:val="00591384"/>
    <w:rsid w:val="00591F38"/>
    <w:rsid w:val="00594838"/>
    <w:rsid w:val="005969A1"/>
    <w:rsid w:val="0059753E"/>
    <w:rsid w:val="005A32DB"/>
    <w:rsid w:val="005A4899"/>
    <w:rsid w:val="005A6851"/>
    <w:rsid w:val="005A6A3A"/>
    <w:rsid w:val="005A6BE9"/>
    <w:rsid w:val="005A7EAB"/>
    <w:rsid w:val="005B1104"/>
    <w:rsid w:val="005B1C1B"/>
    <w:rsid w:val="005B21E5"/>
    <w:rsid w:val="005B2ACD"/>
    <w:rsid w:val="005B4B87"/>
    <w:rsid w:val="005B5953"/>
    <w:rsid w:val="005B7C41"/>
    <w:rsid w:val="005C6A01"/>
    <w:rsid w:val="005C7061"/>
    <w:rsid w:val="005D0CE2"/>
    <w:rsid w:val="005D1441"/>
    <w:rsid w:val="005D6395"/>
    <w:rsid w:val="005E062B"/>
    <w:rsid w:val="005E1E60"/>
    <w:rsid w:val="005E3DAD"/>
    <w:rsid w:val="005E3E61"/>
    <w:rsid w:val="005E5868"/>
    <w:rsid w:val="005E59BF"/>
    <w:rsid w:val="005E6320"/>
    <w:rsid w:val="005E6716"/>
    <w:rsid w:val="005E6E79"/>
    <w:rsid w:val="005E7DC3"/>
    <w:rsid w:val="005F23E6"/>
    <w:rsid w:val="005F5F30"/>
    <w:rsid w:val="005F70B9"/>
    <w:rsid w:val="005F75D5"/>
    <w:rsid w:val="00600753"/>
    <w:rsid w:val="0060383B"/>
    <w:rsid w:val="00604E39"/>
    <w:rsid w:val="00604F5D"/>
    <w:rsid w:val="0060742F"/>
    <w:rsid w:val="00607BB1"/>
    <w:rsid w:val="00610BB1"/>
    <w:rsid w:val="00617454"/>
    <w:rsid w:val="00620DBA"/>
    <w:rsid w:val="00620DE1"/>
    <w:rsid w:val="00620EF1"/>
    <w:rsid w:val="00621C9B"/>
    <w:rsid w:val="006236F2"/>
    <w:rsid w:val="006248E5"/>
    <w:rsid w:val="00624E85"/>
    <w:rsid w:val="0062644A"/>
    <w:rsid w:val="006269A9"/>
    <w:rsid w:val="0062737B"/>
    <w:rsid w:val="00631689"/>
    <w:rsid w:val="0063361E"/>
    <w:rsid w:val="0063378F"/>
    <w:rsid w:val="006338C9"/>
    <w:rsid w:val="006355AF"/>
    <w:rsid w:val="00636341"/>
    <w:rsid w:val="006377C5"/>
    <w:rsid w:val="00637F15"/>
    <w:rsid w:val="00640D8F"/>
    <w:rsid w:val="00640F97"/>
    <w:rsid w:val="00644861"/>
    <w:rsid w:val="00650EEE"/>
    <w:rsid w:val="00651204"/>
    <w:rsid w:val="00651640"/>
    <w:rsid w:val="0065358F"/>
    <w:rsid w:val="00653F26"/>
    <w:rsid w:val="00653F8C"/>
    <w:rsid w:val="00654473"/>
    <w:rsid w:val="006546B8"/>
    <w:rsid w:val="006558CB"/>
    <w:rsid w:val="00657777"/>
    <w:rsid w:val="00661819"/>
    <w:rsid w:val="00661828"/>
    <w:rsid w:val="00666B68"/>
    <w:rsid w:val="00667792"/>
    <w:rsid w:val="00672CDC"/>
    <w:rsid w:val="00672EBF"/>
    <w:rsid w:val="006765E2"/>
    <w:rsid w:val="006770E1"/>
    <w:rsid w:val="00680879"/>
    <w:rsid w:val="00681DBB"/>
    <w:rsid w:val="006838E9"/>
    <w:rsid w:val="00683B54"/>
    <w:rsid w:val="00683B69"/>
    <w:rsid w:val="00684C95"/>
    <w:rsid w:val="00686F98"/>
    <w:rsid w:val="00687881"/>
    <w:rsid w:val="0069021C"/>
    <w:rsid w:val="006915D9"/>
    <w:rsid w:val="006943C4"/>
    <w:rsid w:val="006943C6"/>
    <w:rsid w:val="00694FF6"/>
    <w:rsid w:val="006956D8"/>
    <w:rsid w:val="00696F97"/>
    <w:rsid w:val="006A0A9A"/>
    <w:rsid w:val="006A0C2D"/>
    <w:rsid w:val="006A2A43"/>
    <w:rsid w:val="006A34A1"/>
    <w:rsid w:val="006A3885"/>
    <w:rsid w:val="006A79E5"/>
    <w:rsid w:val="006B1712"/>
    <w:rsid w:val="006B3823"/>
    <w:rsid w:val="006B52F1"/>
    <w:rsid w:val="006B68F7"/>
    <w:rsid w:val="006B76D1"/>
    <w:rsid w:val="006C15E8"/>
    <w:rsid w:val="006C34C8"/>
    <w:rsid w:val="006C5063"/>
    <w:rsid w:val="006D0609"/>
    <w:rsid w:val="006D0EF4"/>
    <w:rsid w:val="006D14F5"/>
    <w:rsid w:val="006D1A93"/>
    <w:rsid w:val="006D2E03"/>
    <w:rsid w:val="006D530D"/>
    <w:rsid w:val="006E26B2"/>
    <w:rsid w:val="006E3A49"/>
    <w:rsid w:val="006E6C6D"/>
    <w:rsid w:val="006E6CE8"/>
    <w:rsid w:val="006E6FB9"/>
    <w:rsid w:val="006F092A"/>
    <w:rsid w:val="006F0B9A"/>
    <w:rsid w:val="006F625F"/>
    <w:rsid w:val="006F674A"/>
    <w:rsid w:val="00703A22"/>
    <w:rsid w:val="00707B68"/>
    <w:rsid w:val="0071075A"/>
    <w:rsid w:val="00714BB7"/>
    <w:rsid w:val="00715706"/>
    <w:rsid w:val="0071608B"/>
    <w:rsid w:val="00717F5A"/>
    <w:rsid w:val="00720551"/>
    <w:rsid w:val="00720AA2"/>
    <w:rsid w:val="00721894"/>
    <w:rsid w:val="007259A3"/>
    <w:rsid w:val="00727C82"/>
    <w:rsid w:val="00732C81"/>
    <w:rsid w:val="0073338C"/>
    <w:rsid w:val="0073645D"/>
    <w:rsid w:val="00736591"/>
    <w:rsid w:val="00736DEB"/>
    <w:rsid w:val="007421C6"/>
    <w:rsid w:val="00742204"/>
    <w:rsid w:val="007438D0"/>
    <w:rsid w:val="007442EF"/>
    <w:rsid w:val="0074479F"/>
    <w:rsid w:val="0074592E"/>
    <w:rsid w:val="00746E2D"/>
    <w:rsid w:val="007500EC"/>
    <w:rsid w:val="0075022D"/>
    <w:rsid w:val="00750424"/>
    <w:rsid w:val="00751475"/>
    <w:rsid w:val="00752813"/>
    <w:rsid w:val="00752932"/>
    <w:rsid w:val="00752E93"/>
    <w:rsid w:val="0075335C"/>
    <w:rsid w:val="00753D2B"/>
    <w:rsid w:val="00761618"/>
    <w:rsid w:val="007650B6"/>
    <w:rsid w:val="00765BA5"/>
    <w:rsid w:val="00765CCA"/>
    <w:rsid w:val="0076731E"/>
    <w:rsid w:val="007718C9"/>
    <w:rsid w:val="00773518"/>
    <w:rsid w:val="007735F3"/>
    <w:rsid w:val="007736A0"/>
    <w:rsid w:val="00773FA7"/>
    <w:rsid w:val="00775564"/>
    <w:rsid w:val="00775980"/>
    <w:rsid w:val="007803EA"/>
    <w:rsid w:val="0078178F"/>
    <w:rsid w:val="00782AD1"/>
    <w:rsid w:val="00783623"/>
    <w:rsid w:val="00784DEA"/>
    <w:rsid w:val="00784E88"/>
    <w:rsid w:val="00785D13"/>
    <w:rsid w:val="00790860"/>
    <w:rsid w:val="00792122"/>
    <w:rsid w:val="00792B5F"/>
    <w:rsid w:val="007940C6"/>
    <w:rsid w:val="00794A57"/>
    <w:rsid w:val="00795820"/>
    <w:rsid w:val="00796B5D"/>
    <w:rsid w:val="007974E6"/>
    <w:rsid w:val="007A0753"/>
    <w:rsid w:val="007A081B"/>
    <w:rsid w:val="007A1F84"/>
    <w:rsid w:val="007A274C"/>
    <w:rsid w:val="007A2B66"/>
    <w:rsid w:val="007A52EF"/>
    <w:rsid w:val="007A5516"/>
    <w:rsid w:val="007A7334"/>
    <w:rsid w:val="007A7730"/>
    <w:rsid w:val="007A7EF8"/>
    <w:rsid w:val="007B015D"/>
    <w:rsid w:val="007B1AA7"/>
    <w:rsid w:val="007B2146"/>
    <w:rsid w:val="007B73E1"/>
    <w:rsid w:val="007C02EF"/>
    <w:rsid w:val="007C21FF"/>
    <w:rsid w:val="007C2E9A"/>
    <w:rsid w:val="007C38C3"/>
    <w:rsid w:val="007C6A50"/>
    <w:rsid w:val="007D1141"/>
    <w:rsid w:val="007D1465"/>
    <w:rsid w:val="007D149A"/>
    <w:rsid w:val="007D2DDF"/>
    <w:rsid w:val="007D3DF2"/>
    <w:rsid w:val="007D491A"/>
    <w:rsid w:val="007D4D74"/>
    <w:rsid w:val="007D4F6D"/>
    <w:rsid w:val="007D55D0"/>
    <w:rsid w:val="007E08F4"/>
    <w:rsid w:val="007E2A20"/>
    <w:rsid w:val="007E41F3"/>
    <w:rsid w:val="007E52DC"/>
    <w:rsid w:val="007E6C5D"/>
    <w:rsid w:val="007F1406"/>
    <w:rsid w:val="007F4F26"/>
    <w:rsid w:val="007F6900"/>
    <w:rsid w:val="00803BD3"/>
    <w:rsid w:val="008040D6"/>
    <w:rsid w:val="00805319"/>
    <w:rsid w:val="00807748"/>
    <w:rsid w:val="00810ED3"/>
    <w:rsid w:val="008127DF"/>
    <w:rsid w:val="00812D91"/>
    <w:rsid w:val="00813597"/>
    <w:rsid w:val="0081422A"/>
    <w:rsid w:val="008160BE"/>
    <w:rsid w:val="008167C4"/>
    <w:rsid w:val="008227DE"/>
    <w:rsid w:val="008230F5"/>
    <w:rsid w:val="00824C86"/>
    <w:rsid w:val="0082722B"/>
    <w:rsid w:val="008310A0"/>
    <w:rsid w:val="0083138A"/>
    <w:rsid w:val="00836900"/>
    <w:rsid w:val="00836DD5"/>
    <w:rsid w:val="0083784A"/>
    <w:rsid w:val="00840961"/>
    <w:rsid w:val="00843A23"/>
    <w:rsid w:val="00846439"/>
    <w:rsid w:val="00847325"/>
    <w:rsid w:val="00847DD8"/>
    <w:rsid w:val="00853C0B"/>
    <w:rsid w:val="00854254"/>
    <w:rsid w:val="0085475B"/>
    <w:rsid w:val="00855146"/>
    <w:rsid w:val="0085574E"/>
    <w:rsid w:val="00855E9E"/>
    <w:rsid w:val="008563BA"/>
    <w:rsid w:val="00856DF2"/>
    <w:rsid w:val="00857129"/>
    <w:rsid w:val="008607EA"/>
    <w:rsid w:val="00861C3F"/>
    <w:rsid w:val="00861C6C"/>
    <w:rsid w:val="00863172"/>
    <w:rsid w:val="0086474F"/>
    <w:rsid w:val="00864E9F"/>
    <w:rsid w:val="0086559A"/>
    <w:rsid w:val="00865E4D"/>
    <w:rsid w:val="008661C5"/>
    <w:rsid w:val="008707C3"/>
    <w:rsid w:val="0087117E"/>
    <w:rsid w:val="00871CBB"/>
    <w:rsid w:val="00874B9F"/>
    <w:rsid w:val="0087671C"/>
    <w:rsid w:val="0087673B"/>
    <w:rsid w:val="00880152"/>
    <w:rsid w:val="0088158B"/>
    <w:rsid w:val="00881CF3"/>
    <w:rsid w:val="0088387E"/>
    <w:rsid w:val="0088775E"/>
    <w:rsid w:val="00890BE4"/>
    <w:rsid w:val="00891F57"/>
    <w:rsid w:val="0089505D"/>
    <w:rsid w:val="00895C12"/>
    <w:rsid w:val="008A363C"/>
    <w:rsid w:val="008A4227"/>
    <w:rsid w:val="008A4625"/>
    <w:rsid w:val="008A553F"/>
    <w:rsid w:val="008A56A9"/>
    <w:rsid w:val="008A61F2"/>
    <w:rsid w:val="008A6C71"/>
    <w:rsid w:val="008A7AE8"/>
    <w:rsid w:val="008B2445"/>
    <w:rsid w:val="008B5453"/>
    <w:rsid w:val="008B5882"/>
    <w:rsid w:val="008B640D"/>
    <w:rsid w:val="008B66A5"/>
    <w:rsid w:val="008B693B"/>
    <w:rsid w:val="008B6F75"/>
    <w:rsid w:val="008B7998"/>
    <w:rsid w:val="008C2102"/>
    <w:rsid w:val="008C2B48"/>
    <w:rsid w:val="008C48DF"/>
    <w:rsid w:val="008C4E92"/>
    <w:rsid w:val="008C51BC"/>
    <w:rsid w:val="008C6841"/>
    <w:rsid w:val="008D2F0E"/>
    <w:rsid w:val="008D5DCB"/>
    <w:rsid w:val="008E033D"/>
    <w:rsid w:val="008E5CD1"/>
    <w:rsid w:val="008E6F22"/>
    <w:rsid w:val="008F29DB"/>
    <w:rsid w:val="008F3B34"/>
    <w:rsid w:val="008F4966"/>
    <w:rsid w:val="00902D0A"/>
    <w:rsid w:val="00904CC0"/>
    <w:rsid w:val="00911D71"/>
    <w:rsid w:val="009134A7"/>
    <w:rsid w:val="00913659"/>
    <w:rsid w:val="00915AD7"/>
    <w:rsid w:val="0092266C"/>
    <w:rsid w:val="0092275E"/>
    <w:rsid w:val="00923483"/>
    <w:rsid w:val="00923508"/>
    <w:rsid w:val="00923E33"/>
    <w:rsid w:val="00924F89"/>
    <w:rsid w:val="00930100"/>
    <w:rsid w:val="00932CFC"/>
    <w:rsid w:val="00934785"/>
    <w:rsid w:val="00934FCD"/>
    <w:rsid w:val="00935AA5"/>
    <w:rsid w:val="00935C4C"/>
    <w:rsid w:val="0093627D"/>
    <w:rsid w:val="00942517"/>
    <w:rsid w:val="00942D6B"/>
    <w:rsid w:val="00945BA6"/>
    <w:rsid w:val="00945EE1"/>
    <w:rsid w:val="00947F41"/>
    <w:rsid w:val="0095265F"/>
    <w:rsid w:val="0095408C"/>
    <w:rsid w:val="00955601"/>
    <w:rsid w:val="009630DA"/>
    <w:rsid w:val="009640B4"/>
    <w:rsid w:val="00964BC9"/>
    <w:rsid w:val="00966701"/>
    <w:rsid w:val="00966AFF"/>
    <w:rsid w:val="00966C4C"/>
    <w:rsid w:val="00971C24"/>
    <w:rsid w:val="00972772"/>
    <w:rsid w:val="00972C1A"/>
    <w:rsid w:val="009743FA"/>
    <w:rsid w:val="00974A4F"/>
    <w:rsid w:val="009752E5"/>
    <w:rsid w:val="00983993"/>
    <w:rsid w:val="00984676"/>
    <w:rsid w:val="00984771"/>
    <w:rsid w:val="009853DC"/>
    <w:rsid w:val="009858D7"/>
    <w:rsid w:val="009861DF"/>
    <w:rsid w:val="00990407"/>
    <w:rsid w:val="00994749"/>
    <w:rsid w:val="0099562F"/>
    <w:rsid w:val="009956DF"/>
    <w:rsid w:val="00995FFC"/>
    <w:rsid w:val="009974AD"/>
    <w:rsid w:val="009A16A4"/>
    <w:rsid w:val="009A2AE6"/>
    <w:rsid w:val="009A36AD"/>
    <w:rsid w:val="009A4BF9"/>
    <w:rsid w:val="009B0CFD"/>
    <w:rsid w:val="009B1509"/>
    <w:rsid w:val="009B49B2"/>
    <w:rsid w:val="009B5631"/>
    <w:rsid w:val="009C2FC5"/>
    <w:rsid w:val="009C41A0"/>
    <w:rsid w:val="009D10BC"/>
    <w:rsid w:val="009D1201"/>
    <w:rsid w:val="009D1FA9"/>
    <w:rsid w:val="009D3722"/>
    <w:rsid w:val="009D3904"/>
    <w:rsid w:val="009D3E26"/>
    <w:rsid w:val="009D4026"/>
    <w:rsid w:val="009D5D62"/>
    <w:rsid w:val="009E09A9"/>
    <w:rsid w:val="009E3CCB"/>
    <w:rsid w:val="009E3FD5"/>
    <w:rsid w:val="009E7557"/>
    <w:rsid w:val="009E7988"/>
    <w:rsid w:val="009F13ED"/>
    <w:rsid w:val="009F1748"/>
    <w:rsid w:val="009F363A"/>
    <w:rsid w:val="009F698C"/>
    <w:rsid w:val="00A0052E"/>
    <w:rsid w:val="00A02657"/>
    <w:rsid w:val="00A02917"/>
    <w:rsid w:val="00A0334D"/>
    <w:rsid w:val="00A053C0"/>
    <w:rsid w:val="00A064A8"/>
    <w:rsid w:val="00A06610"/>
    <w:rsid w:val="00A077A3"/>
    <w:rsid w:val="00A103FE"/>
    <w:rsid w:val="00A104EE"/>
    <w:rsid w:val="00A11A9E"/>
    <w:rsid w:val="00A11C78"/>
    <w:rsid w:val="00A16CF6"/>
    <w:rsid w:val="00A2101F"/>
    <w:rsid w:val="00A215C4"/>
    <w:rsid w:val="00A217DA"/>
    <w:rsid w:val="00A22171"/>
    <w:rsid w:val="00A240B4"/>
    <w:rsid w:val="00A2591D"/>
    <w:rsid w:val="00A2777F"/>
    <w:rsid w:val="00A317B8"/>
    <w:rsid w:val="00A33921"/>
    <w:rsid w:val="00A33F68"/>
    <w:rsid w:val="00A340BF"/>
    <w:rsid w:val="00A35FB3"/>
    <w:rsid w:val="00A41266"/>
    <w:rsid w:val="00A44A5C"/>
    <w:rsid w:val="00A45BF8"/>
    <w:rsid w:val="00A460A9"/>
    <w:rsid w:val="00A46730"/>
    <w:rsid w:val="00A51079"/>
    <w:rsid w:val="00A53ECB"/>
    <w:rsid w:val="00A561FE"/>
    <w:rsid w:val="00A56475"/>
    <w:rsid w:val="00A567AD"/>
    <w:rsid w:val="00A6293A"/>
    <w:rsid w:val="00A62A86"/>
    <w:rsid w:val="00A62F42"/>
    <w:rsid w:val="00A6473F"/>
    <w:rsid w:val="00A664BC"/>
    <w:rsid w:val="00A67659"/>
    <w:rsid w:val="00A7015D"/>
    <w:rsid w:val="00A704C1"/>
    <w:rsid w:val="00A719A1"/>
    <w:rsid w:val="00A71F83"/>
    <w:rsid w:val="00A758C5"/>
    <w:rsid w:val="00A768D1"/>
    <w:rsid w:val="00A80B72"/>
    <w:rsid w:val="00A86E63"/>
    <w:rsid w:val="00A87EF7"/>
    <w:rsid w:val="00A9033F"/>
    <w:rsid w:val="00A91720"/>
    <w:rsid w:val="00A93F6B"/>
    <w:rsid w:val="00A941F4"/>
    <w:rsid w:val="00AA0341"/>
    <w:rsid w:val="00AA6540"/>
    <w:rsid w:val="00AA76A7"/>
    <w:rsid w:val="00AB0623"/>
    <w:rsid w:val="00AB775E"/>
    <w:rsid w:val="00AC1E98"/>
    <w:rsid w:val="00AC3AF7"/>
    <w:rsid w:val="00AC4DD4"/>
    <w:rsid w:val="00AC64E1"/>
    <w:rsid w:val="00AC7514"/>
    <w:rsid w:val="00AC7A6D"/>
    <w:rsid w:val="00AD0172"/>
    <w:rsid w:val="00AD13A3"/>
    <w:rsid w:val="00AD3C52"/>
    <w:rsid w:val="00AD4D0D"/>
    <w:rsid w:val="00AD7371"/>
    <w:rsid w:val="00AE1BD5"/>
    <w:rsid w:val="00AE25E6"/>
    <w:rsid w:val="00AE37FF"/>
    <w:rsid w:val="00AE3E22"/>
    <w:rsid w:val="00AE5291"/>
    <w:rsid w:val="00AE56A2"/>
    <w:rsid w:val="00AE677A"/>
    <w:rsid w:val="00AE7A12"/>
    <w:rsid w:val="00AF10B0"/>
    <w:rsid w:val="00AF243A"/>
    <w:rsid w:val="00AF2985"/>
    <w:rsid w:val="00AF2ABB"/>
    <w:rsid w:val="00AF3F4F"/>
    <w:rsid w:val="00AF5CA4"/>
    <w:rsid w:val="00AF5FC4"/>
    <w:rsid w:val="00AF6DFB"/>
    <w:rsid w:val="00AF73E1"/>
    <w:rsid w:val="00AF7B22"/>
    <w:rsid w:val="00B01801"/>
    <w:rsid w:val="00B01D5F"/>
    <w:rsid w:val="00B0409D"/>
    <w:rsid w:val="00B04C49"/>
    <w:rsid w:val="00B061AA"/>
    <w:rsid w:val="00B066EF"/>
    <w:rsid w:val="00B07522"/>
    <w:rsid w:val="00B07BA2"/>
    <w:rsid w:val="00B11E97"/>
    <w:rsid w:val="00B12FC3"/>
    <w:rsid w:val="00B14447"/>
    <w:rsid w:val="00B20B29"/>
    <w:rsid w:val="00B255EE"/>
    <w:rsid w:val="00B26D82"/>
    <w:rsid w:val="00B26DC4"/>
    <w:rsid w:val="00B30F9A"/>
    <w:rsid w:val="00B32C91"/>
    <w:rsid w:val="00B332D2"/>
    <w:rsid w:val="00B3495A"/>
    <w:rsid w:val="00B37684"/>
    <w:rsid w:val="00B3775F"/>
    <w:rsid w:val="00B37EC2"/>
    <w:rsid w:val="00B37F33"/>
    <w:rsid w:val="00B40501"/>
    <w:rsid w:val="00B4107D"/>
    <w:rsid w:val="00B42437"/>
    <w:rsid w:val="00B426E7"/>
    <w:rsid w:val="00B43679"/>
    <w:rsid w:val="00B43A24"/>
    <w:rsid w:val="00B43A89"/>
    <w:rsid w:val="00B44545"/>
    <w:rsid w:val="00B4640B"/>
    <w:rsid w:val="00B5127E"/>
    <w:rsid w:val="00B5172C"/>
    <w:rsid w:val="00B53C82"/>
    <w:rsid w:val="00B56136"/>
    <w:rsid w:val="00B603BE"/>
    <w:rsid w:val="00B615B8"/>
    <w:rsid w:val="00B619A1"/>
    <w:rsid w:val="00B63104"/>
    <w:rsid w:val="00B63296"/>
    <w:rsid w:val="00B63874"/>
    <w:rsid w:val="00B6439D"/>
    <w:rsid w:val="00B651BE"/>
    <w:rsid w:val="00B665F3"/>
    <w:rsid w:val="00B66C69"/>
    <w:rsid w:val="00B70483"/>
    <w:rsid w:val="00B706BD"/>
    <w:rsid w:val="00B708F0"/>
    <w:rsid w:val="00B71694"/>
    <w:rsid w:val="00B72E17"/>
    <w:rsid w:val="00B746A4"/>
    <w:rsid w:val="00B75478"/>
    <w:rsid w:val="00B8047D"/>
    <w:rsid w:val="00B8223F"/>
    <w:rsid w:val="00B83096"/>
    <w:rsid w:val="00B848CA"/>
    <w:rsid w:val="00B85F43"/>
    <w:rsid w:val="00B87FE0"/>
    <w:rsid w:val="00B90332"/>
    <w:rsid w:val="00B9269D"/>
    <w:rsid w:val="00B9478A"/>
    <w:rsid w:val="00BA2244"/>
    <w:rsid w:val="00BA3DFB"/>
    <w:rsid w:val="00BA5421"/>
    <w:rsid w:val="00BB139F"/>
    <w:rsid w:val="00BB15AF"/>
    <w:rsid w:val="00BB15CB"/>
    <w:rsid w:val="00BB2DB1"/>
    <w:rsid w:val="00BB3A6E"/>
    <w:rsid w:val="00BB3A6F"/>
    <w:rsid w:val="00BB3D8C"/>
    <w:rsid w:val="00BB61EC"/>
    <w:rsid w:val="00BB625D"/>
    <w:rsid w:val="00BB7844"/>
    <w:rsid w:val="00BB7FDB"/>
    <w:rsid w:val="00BC2CF7"/>
    <w:rsid w:val="00BC2F13"/>
    <w:rsid w:val="00BC3E23"/>
    <w:rsid w:val="00BC4D68"/>
    <w:rsid w:val="00BC504B"/>
    <w:rsid w:val="00BC74BB"/>
    <w:rsid w:val="00BD129D"/>
    <w:rsid w:val="00BD3A5E"/>
    <w:rsid w:val="00BD3B71"/>
    <w:rsid w:val="00BD673F"/>
    <w:rsid w:val="00BD78C3"/>
    <w:rsid w:val="00BD7AB5"/>
    <w:rsid w:val="00BE430D"/>
    <w:rsid w:val="00BE474B"/>
    <w:rsid w:val="00BE7F18"/>
    <w:rsid w:val="00BF0CEE"/>
    <w:rsid w:val="00BF26EB"/>
    <w:rsid w:val="00BF2F80"/>
    <w:rsid w:val="00BF423B"/>
    <w:rsid w:val="00BF79DB"/>
    <w:rsid w:val="00BF7F5D"/>
    <w:rsid w:val="00C005AE"/>
    <w:rsid w:val="00C016C5"/>
    <w:rsid w:val="00C045EA"/>
    <w:rsid w:val="00C047F3"/>
    <w:rsid w:val="00C052EA"/>
    <w:rsid w:val="00C05704"/>
    <w:rsid w:val="00C074F0"/>
    <w:rsid w:val="00C117DA"/>
    <w:rsid w:val="00C149BF"/>
    <w:rsid w:val="00C14C67"/>
    <w:rsid w:val="00C1548A"/>
    <w:rsid w:val="00C15C13"/>
    <w:rsid w:val="00C16700"/>
    <w:rsid w:val="00C2101F"/>
    <w:rsid w:val="00C21F9F"/>
    <w:rsid w:val="00C229B2"/>
    <w:rsid w:val="00C22CDF"/>
    <w:rsid w:val="00C2372C"/>
    <w:rsid w:val="00C2655F"/>
    <w:rsid w:val="00C26CC3"/>
    <w:rsid w:val="00C3445B"/>
    <w:rsid w:val="00C34911"/>
    <w:rsid w:val="00C35F45"/>
    <w:rsid w:val="00C37986"/>
    <w:rsid w:val="00C4098F"/>
    <w:rsid w:val="00C41B6C"/>
    <w:rsid w:val="00C41BAE"/>
    <w:rsid w:val="00C4229F"/>
    <w:rsid w:val="00C45283"/>
    <w:rsid w:val="00C45C31"/>
    <w:rsid w:val="00C46597"/>
    <w:rsid w:val="00C5114A"/>
    <w:rsid w:val="00C51CF0"/>
    <w:rsid w:val="00C522E7"/>
    <w:rsid w:val="00C52A09"/>
    <w:rsid w:val="00C53385"/>
    <w:rsid w:val="00C556C3"/>
    <w:rsid w:val="00C62B4A"/>
    <w:rsid w:val="00C63769"/>
    <w:rsid w:val="00C6376B"/>
    <w:rsid w:val="00C638D2"/>
    <w:rsid w:val="00C65548"/>
    <w:rsid w:val="00C6793E"/>
    <w:rsid w:val="00C72A68"/>
    <w:rsid w:val="00C74272"/>
    <w:rsid w:val="00C75E98"/>
    <w:rsid w:val="00C76514"/>
    <w:rsid w:val="00C803F6"/>
    <w:rsid w:val="00C82198"/>
    <w:rsid w:val="00C822BE"/>
    <w:rsid w:val="00C82361"/>
    <w:rsid w:val="00C84F9B"/>
    <w:rsid w:val="00C85CF3"/>
    <w:rsid w:val="00C92AA1"/>
    <w:rsid w:val="00C964E8"/>
    <w:rsid w:val="00C975F7"/>
    <w:rsid w:val="00C976CF"/>
    <w:rsid w:val="00CA253F"/>
    <w:rsid w:val="00CA39DC"/>
    <w:rsid w:val="00CA6EA4"/>
    <w:rsid w:val="00CB0CAB"/>
    <w:rsid w:val="00CB187B"/>
    <w:rsid w:val="00CB3A18"/>
    <w:rsid w:val="00CC1F1C"/>
    <w:rsid w:val="00CC2777"/>
    <w:rsid w:val="00CC3987"/>
    <w:rsid w:val="00CC5292"/>
    <w:rsid w:val="00CC6728"/>
    <w:rsid w:val="00CC774B"/>
    <w:rsid w:val="00CD26B4"/>
    <w:rsid w:val="00CD297F"/>
    <w:rsid w:val="00CD5FF9"/>
    <w:rsid w:val="00CD6638"/>
    <w:rsid w:val="00CD792B"/>
    <w:rsid w:val="00CE2E55"/>
    <w:rsid w:val="00CE3B64"/>
    <w:rsid w:val="00CE40D7"/>
    <w:rsid w:val="00CE544A"/>
    <w:rsid w:val="00CE5AE6"/>
    <w:rsid w:val="00CF0443"/>
    <w:rsid w:val="00CF1853"/>
    <w:rsid w:val="00CF20A3"/>
    <w:rsid w:val="00CF2810"/>
    <w:rsid w:val="00CF32BC"/>
    <w:rsid w:val="00CF55FA"/>
    <w:rsid w:val="00CF7DAF"/>
    <w:rsid w:val="00D00144"/>
    <w:rsid w:val="00D00424"/>
    <w:rsid w:val="00D0133E"/>
    <w:rsid w:val="00D019CC"/>
    <w:rsid w:val="00D035F3"/>
    <w:rsid w:val="00D03CD6"/>
    <w:rsid w:val="00D04CCD"/>
    <w:rsid w:val="00D078D0"/>
    <w:rsid w:val="00D157B3"/>
    <w:rsid w:val="00D163E7"/>
    <w:rsid w:val="00D16644"/>
    <w:rsid w:val="00D20BE3"/>
    <w:rsid w:val="00D23AB7"/>
    <w:rsid w:val="00D23CF7"/>
    <w:rsid w:val="00D268F9"/>
    <w:rsid w:val="00D3102A"/>
    <w:rsid w:val="00D323EC"/>
    <w:rsid w:val="00D32488"/>
    <w:rsid w:val="00D32898"/>
    <w:rsid w:val="00D333DB"/>
    <w:rsid w:val="00D33A1C"/>
    <w:rsid w:val="00D344D6"/>
    <w:rsid w:val="00D34959"/>
    <w:rsid w:val="00D358AE"/>
    <w:rsid w:val="00D35C95"/>
    <w:rsid w:val="00D36900"/>
    <w:rsid w:val="00D3746F"/>
    <w:rsid w:val="00D43A54"/>
    <w:rsid w:val="00D448C7"/>
    <w:rsid w:val="00D45588"/>
    <w:rsid w:val="00D51B19"/>
    <w:rsid w:val="00D525C9"/>
    <w:rsid w:val="00D53D80"/>
    <w:rsid w:val="00D54F45"/>
    <w:rsid w:val="00D555E8"/>
    <w:rsid w:val="00D56972"/>
    <w:rsid w:val="00D574F1"/>
    <w:rsid w:val="00D61771"/>
    <w:rsid w:val="00D62541"/>
    <w:rsid w:val="00D6389B"/>
    <w:rsid w:val="00D63C2A"/>
    <w:rsid w:val="00D64151"/>
    <w:rsid w:val="00D65336"/>
    <w:rsid w:val="00D708AB"/>
    <w:rsid w:val="00D71277"/>
    <w:rsid w:val="00D71453"/>
    <w:rsid w:val="00D723F0"/>
    <w:rsid w:val="00D751EA"/>
    <w:rsid w:val="00D7580C"/>
    <w:rsid w:val="00D76027"/>
    <w:rsid w:val="00D77418"/>
    <w:rsid w:val="00D84DB5"/>
    <w:rsid w:val="00D858D5"/>
    <w:rsid w:val="00D92204"/>
    <w:rsid w:val="00D924EC"/>
    <w:rsid w:val="00D96A92"/>
    <w:rsid w:val="00D97AF4"/>
    <w:rsid w:val="00DA2FD5"/>
    <w:rsid w:val="00DA3903"/>
    <w:rsid w:val="00DA3E6B"/>
    <w:rsid w:val="00DA6039"/>
    <w:rsid w:val="00DA6619"/>
    <w:rsid w:val="00DA79AD"/>
    <w:rsid w:val="00DA7FC7"/>
    <w:rsid w:val="00DB0388"/>
    <w:rsid w:val="00DB0C34"/>
    <w:rsid w:val="00DB2AE6"/>
    <w:rsid w:val="00DB4961"/>
    <w:rsid w:val="00DC254C"/>
    <w:rsid w:val="00DC300E"/>
    <w:rsid w:val="00DD3673"/>
    <w:rsid w:val="00DD3C43"/>
    <w:rsid w:val="00DD463B"/>
    <w:rsid w:val="00DD6203"/>
    <w:rsid w:val="00DD7351"/>
    <w:rsid w:val="00DE173A"/>
    <w:rsid w:val="00DE286A"/>
    <w:rsid w:val="00DE34F2"/>
    <w:rsid w:val="00DE535A"/>
    <w:rsid w:val="00DE5527"/>
    <w:rsid w:val="00DE69ED"/>
    <w:rsid w:val="00DE6B5B"/>
    <w:rsid w:val="00DE6C52"/>
    <w:rsid w:val="00DE7A73"/>
    <w:rsid w:val="00DF1F4C"/>
    <w:rsid w:val="00DF3D79"/>
    <w:rsid w:val="00DF412B"/>
    <w:rsid w:val="00DF60B0"/>
    <w:rsid w:val="00E00FD6"/>
    <w:rsid w:val="00E026FF"/>
    <w:rsid w:val="00E04DF3"/>
    <w:rsid w:val="00E0530D"/>
    <w:rsid w:val="00E0627F"/>
    <w:rsid w:val="00E076E8"/>
    <w:rsid w:val="00E10403"/>
    <w:rsid w:val="00E136D4"/>
    <w:rsid w:val="00E14325"/>
    <w:rsid w:val="00E14D3B"/>
    <w:rsid w:val="00E15AE4"/>
    <w:rsid w:val="00E16EB6"/>
    <w:rsid w:val="00E23136"/>
    <w:rsid w:val="00E23A77"/>
    <w:rsid w:val="00E2481F"/>
    <w:rsid w:val="00E2743B"/>
    <w:rsid w:val="00E318A9"/>
    <w:rsid w:val="00E35134"/>
    <w:rsid w:val="00E37C45"/>
    <w:rsid w:val="00E37D35"/>
    <w:rsid w:val="00E40A52"/>
    <w:rsid w:val="00E40F8D"/>
    <w:rsid w:val="00E440D1"/>
    <w:rsid w:val="00E449BF"/>
    <w:rsid w:val="00E47B53"/>
    <w:rsid w:val="00E51C12"/>
    <w:rsid w:val="00E521A8"/>
    <w:rsid w:val="00E5432E"/>
    <w:rsid w:val="00E574D8"/>
    <w:rsid w:val="00E611BC"/>
    <w:rsid w:val="00E6143B"/>
    <w:rsid w:val="00E62263"/>
    <w:rsid w:val="00E63EDC"/>
    <w:rsid w:val="00E65F26"/>
    <w:rsid w:val="00E67C7D"/>
    <w:rsid w:val="00E70D8C"/>
    <w:rsid w:val="00E747B2"/>
    <w:rsid w:val="00E7497C"/>
    <w:rsid w:val="00E760C2"/>
    <w:rsid w:val="00E76BC2"/>
    <w:rsid w:val="00E77B82"/>
    <w:rsid w:val="00E83533"/>
    <w:rsid w:val="00E8553F"/>
    <w:rsid w:val="00E87F63"/>
    <w:rsid w:val="00E94554"/>
    <w:rsid w:val="00E94A12"/>
    <w:rsid w:val="00E964CE"/>
    <w:rsid w:val="00EA08DF"/>
    <w:rsid w:val="00EA0B10"/>
    <w:rsid w:val="00EA1D27"/>
    <w:rsid w:val="00EA562B"/>
    <w:rsid w:val="00EA77E0"/>
    <w:rsid w:val="00EB2BC1"/>
    <w:rsid w:val="00EB594E"/>
    <w:rsid w:val="00EB7572"/>
    <w:rsid w:val="00EC14C5"/>
    <w:rsid w:val="00EC14EC"/>
    <w:rsid w:val="00EC1B9F"/>
    <w:rsid w:val="00EC6CB5"/>
    <w:rsid w:val="00EC7C24"/>
    <w:rsid w:val="00ED072E"/>
    <w:rsid w:val="00ED12E5"/>
    <w:rsid w:val="00ED2A3A"/>
    <w:rsid w:val="00ED3BDB"/>
    <w:rsid w:val="00ED4F94"/>
    <w:rsid w:val="00ED5F9D"/>
    <w:rsid w:val="00EE0B7F"/>
    <w:rsid w:val="00EE21D4"/>
    <w:rsid w:val="00EE40E7"/>
    <w:rsid w:val="00EE55DC"/>
    <w:rsid w:val="00EE5B18"/>
    <w:rsid w:val="00EF09AE"/>
    <w:rsid w:val="00EF163D"/>
    <w:rsid w:val="00EF1C78"/>
    <w:rsid w:val="00EF317A"/>
    <w:rsid w:val="00F00D42"/>
    <w:rsid w:val="00F01393"/>
    <w:rsid w:val="00F019AE"/>
    <w:rsid w:val="00F01EC3"/>
    <w:rsid w:val="00F021A6"/>
    <w:rsid w:val="00F027AD"/>
    <w:rsid w:val="00F05D11"/>
    <w:rsid w:val="00F0615B"/>
    <w:rsid w:val="00F071CC"/>
    <w:rsid w:val="00F07709"/>
    <w:rsid w:val="00F122E1"/>
    <w:rsid w:val="00F13D1E"/>
    <w:rsid w:val="00F142A9"/>
    <w:rsid w:val="00F14DB0"/>
    <w:rsid w:val="00F151B3"/>
    <w:rsid w:val="00F15DD8"/>
    <w:rsid w:val="00F175C5"/>
    <w:rsid w:val="00F17676"/>
    <w:rsid w:val="00F2047C"/>
    <w:rsid w:val="00F20860"/>
    <w:rsid w:val="00F2335F"/>
    <w:rsid w:val="00F240AA"/>
    <w:rsid w:val="00F24132"/>
    <w:rsid w:val="00F249B9"/>
    <w:rsid w:val="00F2554F"/>
    <w:rsid w:val="00F27F09"/>
    <w:rsid w:val="00F33BFD"/>
    <w:rsid w:val="00F356FE"/>
    <w:rsid w:val="00F360D1"/>
    <w:rsid w:val="00F36A1B"/>
    <w:rsid w:val="00F410FD"/>
    <w:rsid w:val="00F41372"/>
    <w:rsid w:val="00F425A0"/>
    <w:rsid w:val="00F43A8B"/>
    <w:rsid w:val="00F51CEF"/>
    <w:rsid w:val="00F547F8"/>
    <w:rsid w:val="00F55D0D"/>
    <w:rsid w:val="00F5633A"/>
    <w:rsid w:val="00F57F20"/>
    <w:rsid w:val="00F61D3D"/>
    <w:rsid w:val="00F61F57"/>
    <w:rsid w:val="00F6200F"/>
    <w:rsid w:val="00F62A01"/>
    <w:rsid w:val="00F67B3F"/>
    <w:rsid w:val="00F779C2"/>
    <w:rsid w:val="00F8129A"/>
    <w:rsid w:val="00F818B5"/>
    <w:rsid w:val="00F84004"/>
    <w:rsid w:val="00F861F5"/>
    <w:rsid w:val="00F87FEF"/>
    <w:rsid w:val="00F91B88"/>
    <w:rsid w:val="00F9232C"/>
    <w:rsid w:val="00F92CD9"/>
    <w:rsid w:val="00F95096"/>
    <w:rsid w:val="00F957A0"/>
    <w:rsid w:val="00F96B7B"/>
    <w:rsid w:val="00FA0B2A"/>
    <w:rsid w:val="00FA24DA"/>
    <w:rsid w:val="00FA27A3"/>
    <w:rsid w:val="00FA2B2F"/>
    <w:rsid w:val="00FA2F5A"/>
    <w:rsid w:val="00FA6080"/>
    <w:rsid w:val="00FA6F19"/>
    <w:rsid w:val="00FA7222"/>
    <w:rsid w:val="00FA7559"/>
    <w:rsid w:val="00FB382E"/>
    <w:rsid w:val="00FB48A8"/>
    <w:rsid w:val="00FB5E8F"/>
    <w:rsid w:val="00FB7A41"/>
    <w:rsid w:val="00FC177B"/>
    <w:rsid w:val="00FC2AE9"/>
    <w:rsid w:val="00FC2F9B"/>
    <w:rsid w:val="00FC38A8"/>
    <w:rsid w:val="00FC61C6"/>
    <w:rsid w:val="00FC6461"/>
    <w:rsid w:val="00FC7F00"/>
    <w:rsid w:val="00FC7F2C"/>
    <w:rsid w:val="00FD0818"/>
    <w:rsid w:val="00FD1502"/>
    <w:rsid w:val="00FD17FB"/>
    <w:rsid w:val="00FD1925"/>
    <w:rsid w:val="00FD20A1"/>
    <w:rsid w:val="00FD4395"/>
    <w:rsid w:val="00FD6C73"/>
    <w:rsid w:val="00FE06DE"/>
    <w:rsid w:val="00FE1B66"/>
    <w:rsid w:val="00FE1DBD"/>
    <w:rsid w:val="00FE3206"/>
    <w:rsid w:val="00FE414E"/>
    <w:rsid w:val="00FE425F"/>
    <w:rsid w:val="00FE7B6A"/>
    <w:rsid w:val="00FE7E22"/>
    <w:rsid w:val="00FF2D0B"/>
    <w:rsid w:val="00FF59BF"/>
    <w:rsid w:val="00FF73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32E1-08F3-44D0-AEE2-D1F36724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F0"/>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HCR: - 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aliases w:val="HCR: - 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Indent">
    <w:name w:val="Body Text Indent"/>
    <w:basedOn w:val="Normal"/>
    <w:link w:val="BodyTextIndentChar"/>
    <w:uiPriority w:val="99"/>
    <w:unhideWhenUsed/>
    <w:rsid w:val="005B7C41"/>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B7C41"/>
    <w:rPr>
      <w:rFonts w:ascii="Times New Roman" w:eastAsia="Times New Roman" w:hAnsi="Times New Roman" w:cs="Times New Roman"/>
      <w:sz w:val="24"/>
      <w:szCs w:val="24"/>
    </w:rPr>
  </w:style>
  <w:style w:type="character" w:customStyle="1" w:styleId="mc2">
    <w:name w:val="mc2"/>
    <w:basedOn w:val="DefaultParagraphFont"/>
    <w:rsid w:val="009F13ED"/>
    <w:rPr>
      <w:rFonts w:ascii="Verdana" w:hAnsi="Verdana" w:hint="default"/>
      <w:b w:val="0"/>
      <w:bCs w:val="0"/>
      <w:i w:val="0"/>
      <w:iCs w:val="0"/>
      <w:color w:val="000000"/>
      <w:sz w:val="13"/>
      <w:szCs w:val="13"/>
      <w:shd w:val="clear" w:color="auto" w:fill="C0C0C0"/>
    </w:rPr>
  </w:style>
  <w:style w:type="character" w:styleId="Emphasis">
    <w:name w:val="Emphasis"/>
    <w:basedOn w:val="DefaultParagraphFont"/>
    <w:uiPriority w:val="20"/>
    <w:qFormat/>
    <w:rsid w:val="00CD26B4"/>
    <w:rPr>
      <w:i/>
      <w:iCs/>
    </w:rPr>
  </w:style>
  <w:style w:type="character" w:styleId="FollowedHyperlink">
    <w:name w:val="FollowedHyperlink"/>
    <w:basedOn w:val="DefaultParagraphFont"/>
    <w:uiPriority w:val="99"/>
    <w:semiHidden/>
    <w:unhideWhenUsed/>
    <w:rsid w:val="00D37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5506">
      <w:bodyDiv w:val="1"/>
      <w:marLeft w:val="0"/>
      <w:marRight w:val="0"/>
      <w:marTop w:val="0"/>
      <w:marBottom w:val="0"/>
      <w:divBdr>
        <w:top w:val="none" w:sz="0" w:space="0" w:color="auto"/>
        <w:left w:val="none" w:sz="0" w:space="0" w:color="auto"/>
        <w:bottom w:val="none" w:sz="0" w:space="0" w:color="auto"/>
        <w:right w:val="none" w:sz="0" w:space="0" w:color="auto"/>
      </w:divBdr>
    </w:div>
    <w:div w:id="560752835">
      <w:bodyDiv w:val="1"/>
      <w:marLeft w:val="0"/>
      <w:marRight w:val="0"/>
      <w:marTop w:val="0"/>
      <w:marBottom w:val="0"/>
      <w:divBdr>
        <w:top w:val="none" w:sz="0" w:space="0" w:color="auto"/>
        <w:left w:val="none" w:sz="0" w:space="0" w:color="auto"/>
        <w:bottom w:val="none" w:sz="0" w:space="0" w:color="auto"/>
        <w:right w:val="none" w:sz="0" w:space="0" w:color="auto"/>
      </w:divBdr>
    </w:div>
    <w:div w:id="574319616">
      <w:bodyDiv w:val="1"/>
      <w:marLeft w:val="0"/>
      <w:marRight w:val="0"/>
      <w:marTop w:val="0"/>
      <w:marBottom w:val="0"/>
      <w:divBdr>
        <w:top w:val="none" w:sz="0" w:space="0" w:color="auto"/>
        <w:left w:val="none" w:sz="0" w:space="0" w:color="auto"/>
        <w:bottom w:val="none" w:sz="0" w:space="0" w:color="auto"/>
        <w:right w:val="none" w:sz="0" w:space="0" w:color="auto"/>
      </w:divBdr>
    </w:div>
    <w:div w:id="614286032">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50395977">
      <w:bodyDiv w:val="1"/>
      <w:marLeft w:val="0"/>
      <w:marRight w:val="0"/>
      <w:marTop w:val="0"/>
      <w:marBottom w:val="0"/>
      <w:divBdr>
        <w:top w:val="none" w:sz="0" w:space="0" w:color="auto"/>
        <w:left w:val="none" w:sz="0" w:space="0" w:color="auto"/>
        <w:bottom w:val="none" w:sz="0" w:space="0" w:color="auto"/>
        <w:right w:val="none" w:sz="0" w:space="0" w:color="auto"/>
      </w:divBdr>
    </w:div>
    <w:div w:id="878859106">
      <w:bodyDiv w:val="1"/>
      <w:marLeft w:val="360"/>
      <w:marRight w:val="360"/>
      <w:marTop w:val="0"/>
      <w:marBottom w:val="0"/>
      <w:divBdr>
        <w:top w:val="none" w:sz="0" w:space="0" w:color="auto"/>
        <w:left w:val="none" w:sz="0" w:space="0" w:color="auto"/>
        <w:bottom w:val="none" w:sz="0" w:space="0" w:color="auto"/>
        <w:right w:val="none" w:sz="0" w:space="0" w:color="auto"/>
      </w:divBdr>
      <w:divsChild>
        <w:div w:id="516431236">
          <w:marLeft w:val="0"/>
          <w:marRight w:val="0"/>
          <w:marTop w:val="0"/>
          <w:marBottom w:val="0"/>
          <w:divBdr>
            <w:top w:val="none" w:sz="0" w:space="0" w:color="auto"/>
            <w:left w:val="none" w:sz="0" w:space="0" w:color="auto"/>
            <w:bottom w:val="none" w:sz="0" w:space="0" w:color="auto"/>
            <w:right w:val="none" w:sz="0" w:space="0" w:color="auto"/>
          </w:divBdr>
        </w:div>
        <w:div w:id="1378510890">
          <w:marLeft w:val="0"/>
          <w:marRight w:val="0"/>
          <w:marTop w:val="0"/>
          <w:marBottom w:val="0"/>
          <w:divBdr>
            <w:top w:val="none" w:sz="0" w:space="0" w:color="auto"/>
            <w:left w:val="none" w:sz="0" w:space="0" w:color="auto"/>
            <w:bottom w:val="none" w:sz="0" w:space="0" w:color="auto"/>
            <w:right w:val="none" w:sz="0" w:space="0" w:color="auto"/>
          </w:divBdr>
        </w:div>
        <w:div w:id="1894851762">
          <w:marLeft w:val="0"/>
          <w:marRight w:val="0"/>
          <w:marTop w:val="0"/>
          <w:marBottom w:val="0"/>
          <w:divBdr>
            <w:top w:val="none" w:sz="0" w:space="0" w:color="auto"/>
            <w:left w:val="none" w:sz="0" w:space="0" w:color="auto"/>
            <w:bottom w:val="none" w:sz="0" w:space="0" w:color="auto"/>
            <w:right w:val="none" w:sz="0" w:space="0" w:color="auto"/>
          </w:divBdr>
        </w:div>
      </w:divsChild>
    </w:div>
    <w:div w:id="888733710">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11825104">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25022722">
      <w:bodyDiv w:val="1"/>
      <w:marLeft w:val="0"/>
      <w:marRight w:val="0"/>
      <w:marTop w:val="0"/>
      <w:marBottom w:val="0"/>
      <w:divBdr>
        <w:top w:val="none" w:sz="0" w:space="0" w:color="auto"/>
        <w:left w:val="none" w:sz="0" w:space="0" w:color="auto"/>
        <w:bottom w:val="none" w:sz="0" w:space="0" w:color="auto"/>
        <w:right w:val="none" w:sz="0" w:space="0" w:color="auto"/>
      </w:divBdr>
    </w:div>
    <w:div w:id="1266958111">
      <w:bodyDiv w:val="1"/>
      <w:marLeft w:val="0"/>
      <w:marRight w:val="0"/>
      <w:marTop w:val="0"/>
      <w:marBottom w:val="0"/>
      <w:divBdr>
        <w:top w:val="none" w:sz="0" w:space="0" w:color="auto"/>
        <w:left w:val="none" w:sz="0" w:space="0" w:color="auto"/>
        <w:bottom w:val="none" w:sz="0" w:space="0" w:color="auto"/>
        <w:right w:val="none" w:sz="0" w:space="0" w:color="auto"/>
      </w:divBdr>
    </w:div>
    <w:div w:id="1292520993">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563983045">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837725107">
      <w:bodyDiv w:val="1"/>
      <w:marLeft w:val="360"/>
      <w:marRight w:val="360"/>
      <w:marTop w:val="0"/>
      <w:marBottom w:val="0"/>
      <w:divBdr>
        <w:top w:val="none" w:sz="0" w:space="0" w:color="auto"/>
        <w:left w:val="none" w:sz="0" w:space="0" w:color="auto"/>
        <w:bottom w:val="none" w:sz="0" w:space="0" w:color="auto"/>
        <w:right w:val="none" w:sz="0" w:space="0" w:color="auto"/>
      </w:divBdr>
      <w:divsChild>
        <w:div w:id="1227840218">
          <w:marLeft w:val="0"/>
          <w:marRight w:val="0"/>
          <w:marTop w:val="120"/>
          <w:marBottom w:val="0"/>
          <w:divBdr>
            <w:top w:val="none" w:sz="0" w:space="0" w:color="auto"/>
            <w:left w:val="none" w:sz="0" w:space="0" w:color="auto"/>
            <w:bottom w:val="none" w:sz="0" w:space="0" w:color="auto"/>
            <w:right w:val="none" w:sz="0" w:space="0" w:color="auto"/>
          </w:divBdr>
        </w:div>
        <w:div w:id="1864634304">
          <w:marLeft w:val="0"/>
          <w:marRight w:val="0"/>
          <w:marTop w:val="240"/>
          <w:marBottom w:val="0"/>
          <w:divBdr>
            <w:top w:val="none" w:sz="0" w:space="0" w:color="auto"/>
            <w:left w:val="none" w:sz="0" w:space="0" w:color="auto"/>
            <w:bottom w:val="none" w:sz="0" w:space="0" w:color="auto"/>
            <w:right w:val="none" w:sz="0" w:space="0" w:color="auto"/>
          </w:divBdr>
        </w:div>
      </w:divsChild>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46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10%20%281%29%20SA%20238" TargetMode="External"/><Relationship Id="rId2" Type="http://schemas.openxmlformats.org/officeDocument/2006/relationships/hyperlink" Target="http://www.saflii.org/cgi-bin/LawCite?cit=%5b2009%5d%20ZACC%2026" TargetMode="External"/><Relationship Id="rId1" Type="http://schemas.openxmlformats.org/officeDocument/2006/relationships/hyperlink" Target="http://www.saflii.org/cgi-bin/LawCite?cit=%5b2020%5d%20ZACC%2027" TargetMode="External"/><Relationship Id="rId4" Type="http://schemas.openxmlformats.org/officeDocument/2006/relationships/hyperlink" Target="http://www.saflii.org/cgi-bin/LawCite?cit=2010%20%281%29%20BCLR%2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D065-9143-49AB-8ABE-1D094789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Lerato Tlhaole</cp:lastModifiedBy>
  <cp:revision>2</cp:revision>
  <cp:lastPrinted>2022-08-29T13:57:00Z</cp:lastPrinted>
  <dcterms:created xsi:type="dcterms:W3CDTF">2022-08-29T14:02:00Z</dcterms:created>
  <dcterms:modified xsi:type="dcterms:W3CDTF">2022-08-29T14:02:00Z</dcterms:modified>
</cp:coreProperties>
</file>