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9EFB" w14:textId="77777777" w:rsidR="00FD20A1" w:rsidRDefault="00FD20A1" w:rsidP="00FD20A1">
      <w:pPr>
        <w:jc w:val="center"/>
        <w:rPr>
          <w:szCs w:val="24"/>
        </w:rPr>
      </w:pPr>
      <w:bookmarkStart w:id="0" w:name="_GoBack"/>
      <w:bookmarkEnd w:id="0"/>
      <w:r>
        <w:rPr>
          <w:noProof/>
          <w:lang w:eastAsia="en-ZA"/>
        </w:rPr>
        <w:drawing>
          <wp:anchor distT="0" distB="0" distL="114300" distR="114300" simplePos="0" relativeHeight="251660288" behindDoc="1" locked="0" layoutInCell="1" allowOverlap="1" wp14:anchorId="01C41B19" wp14:editId="5B5046CD">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14:paraId="26A0FD65" w14:textId="77777777" w:rsidR="00FD20A1" w:rsidRDefault="00FD20A1" w:rsidP="00FD20A1">
      <w:pPr>
        <w:pStyle w:val="Heading1"/>
        <w:rPr>
          <w:szCs w:val="24"/>
        </w:rPr>
      </w:pPr>
    </w:p>
    <w:p w14:paraId="0925C8FD" w14:textId="77777777" w:rsidR="00FD20A1" w:rsidRDefault="00FD20A1" w:rsidP="00FD20A1">
      <w:pPr>
        <w:pStyle w:val="Heading1"/>
        <w:rPr>
          <w:szCs w:val="24"/>
        </w:rPr>
      </w:pPr>
    </w:p>
    <w:p w14:paraId="099C355B" w14:textId="77777777" w:rsidR="00FD20A1" w:rsidRDefault="00FD20A1" w:rsidP="00FD20A1">
      <w:pPr>
        <w:pStyle w:val="Heading1"/>
        <w:rPr>
          <w:szCs w:val="24"/>
        </w:rPr>
      </w:pPr>
    </w:p>
    <w:p w14:paraId="48B79450" w14:textId="77777777" w:rsidR="00FA7222" w:rsidRDefault="00FA7222" w:rsidP="008E5CD1">
      <w:pPr>
        <w:spacing w:line="360" w:lineRule="auto"/>
        <w:jc w:val="center"/>
        <w:rPr>
          <w:rFonts w:ascii="Arial" w:hAnsi="Arial" w:cs="Arial"/>
          <w:b/>
          <w:sz w:val="28"/>
          <w:szCs w:val="28"/>
          <w:u w:val="single"/>
        </w:rPr>
      </w:pPr>
    </w:p>
    <w:p w14:paraId="45C19A01" w14:textId="77777777" w:rsidR="00531890" w:rsidRPr="00531890" w:rsidRDefault="00531890" w:rsidP="008E5CD1">
      <w:pPr>
        <w:spacing w:line="360" w:lineRule="auto"/>
        <w:jc w:val="center"/>
        <w:rPr>
          <w:rFonts w:ascii="Arial" w:hAnsi="Arial" w:cs="Arial"/>
          <w:b/>
          <w:sz w:val="16"/>
          <w:szCs w:val="16"/>
          <w:u w:val="single"/>
        </w:rPr>
      </w:pPr>
    </w:p>
    <w:p w14:paraId="2F3DE325" w14:textId="77777777" w:rsidR="008E5CD1" w:rsidRPr="00342A10" w:rsidRDefault="008E5CD1" w:rsidP="008E5CD1">
      <w:pPr>
        <w:spacing w:line="360" w:lineRule="auto"/>
        <w:jc w:val="center"/>
        <w:rPr>
          <w:rFonts w:ascii="Arial" w:hAnsi="Arial" w:cs="Arial"/>
          <w:b/>
          <w:sz w:val="28"/>
          <w:szCs w:val="28"/>
          <w:u w:val="single"/>
        </w:rPr>
      </w:pPr>
      <w:r w:rsidRPr="00342A10">
        <w:rPr>
          <w:rFonts w:ascii="Arial" w:hAnsi="Arial" w:cs="Arial"/>
          <w:b/>
          <w:sz w:val="28"/>
          <w:szCs w:val="28"/>
          <w:u w:val="single"/>
        </w:rPr>
        <w:t>IN THE HIGH COURT OF SOUTH AFRICA,</w:t>
      </w:r>
    </w:p>
    <w:p w14:paraId="743FC08E" w14:textId="77777777" w:rsidR="008E5CD1" w:rsidRPr="00342A10" w:rsidRDefault="008E5CD1" w:rsidP="008E5CD1">
      <w:pPr>
        <w:spacing w:line="360" w:lineRule="auto"/>
        <w:jc w:val="center"/>
        <w:rPr>
          <w:rFonts w:ascii="Arial" w:hAnsi="Arial" w:cs="Arial"/>
          <w:b/>
          <w:sz w:val="28"/>
          <w:szCs w:val="28"/>
          <w:u w:val="single"/>
        </w:rPr>
      </w:pPr>
      <w:r w:rsidRPr="00342A10">
        <w:rPr>
          <w:rFonts w:ascii="Arial" w:hAnsi="Arial" w:cs="Arial"/>
          <w:b/>
          <w:sz w:val="28"/>
          <w:szCs w:val="28"/>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653F26" w14:paraId="12A0D6F4" w14:textId="77777777" w:rsidTr="00653F26">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AF7AE" w14:textId="77777777" w:rsidR="00653F26" w:rsidRPr="0046367D" w:rsidRDefault="00653F26">
            <w:pPr>
              <w:spacing w:after="0" w:line="360" w:lineRule="auto"/>
              <w:rPr>
                <w:rFonts w:ascii="Arial" w:eastAsia="Times New Roman" w:hAnsi="Arial" w:cs="Arial"/>
                <w:b/>
                <w:sz w:val="16"/>
                <w:szCs w:val="16"/>
                <w:lang w:eastAsia="en-GB"/>
              </w:rPr>
            </w:pPr>
            <w:r>
              <w:rPr>
                <w:rFonts w:ascii="Arial" w:hAnsi="Arial" w:cs="Arial"/>
                <w:b/>
                <w:sz w:val="16"/>
                <w:szCs w:val="16"/>
              </w:rPr>
              <w:t xml:space="preserve">Reportable:                             </w:t>
            </w:r>
            <w:r w:rsidRPr="00E5067E">
              <w:rPr>
                <w:rFonts w:ascii="Arial" w:hAnsi="Arial" w:cs="Arial"/>
                <w:b/>
                <w:sz w:val="16"/>
                <w:szCs w:val="16"/>
              </w:rPr>
              <w:t xml:space="preserve"> </w:t>
            </w:r>
            <w:r w:rsidRPr="0046367D">
              <w:rPr>
                <w:rFonts w:ascii="Arial" w:hAnsi="Arial" w:cs="Arial"/>
                <w:b/>
                <w:sz w:val="16"/>
                <w:szCs w:val="16"/>
              </w:rPr>
              <w:t>YES/NO</w:t>
            </w:r>
          </w:p>
          <w:p w14:paraId="218C9DDD" w14:textId="77777777" w:rsidR="00653F26" w:rsidRPr="0046367D" w:rsidRDefault="00653F26">
            <w:pPr>
              <w:spacing w:after="0" w:line="360" w:lineRule="auto"/>
              <w:rPr>
                <w:rFonts w:ascii="Arial" w:hAnsi="Arial" w:cs="Arial"/>
                <w:b/>
                <w:sz w:val="16"/>
                <w:szCs w:val="16"/>
              </w:rPr>
            </w:pPr>
            <w:r w:rsidRPr="0046367D">
              <w:rPr>
                <w:rFonts w:ascii="Arial" w:hAnsi="Arial" w:cs="Arial"/>
                <w:b/>
                <w:sz w:val="16"/>
                <w:szCs w:val="16"/>
              </w:rPr>
              <w:t>Of Interest to other Judges:   YES/NO</w:t>
            </w:r>
          </w:p>
          <w:p w14:paraId="2A90DDFC" w14:textId="77777777" w:rsidR="00653F26" w:rsidRDefault="00653F26">
            <w:pPr>
              <w:spacing w:after="0" w:line="360" w:lineRule="auto"/>
              <w:rPr>
                <w:rFonts w:ascii="Arial" w:eastAsia="Times New Roman" w:hAnsi="Arial" w:cs="Arial"/>
                <w:b/>
                <w:sz w:val="16"/>
                <w:szCs w:val="16"/>
                <w:u w:val="single"/>
                <w:lang w:eastAsia="en-GB"/>
              </w:rPr>
            </w:pPr>
            <w:r w:rsidRPr="0046367D">
              <w:rPr>
                <w:rFonts w:ascii="Arial" w:hAnsi="Arial" w:cs="Arial"/>
                <w:b/>
                <w:sz w:val="16"/>
                <w:szCs w:val="16"/>
              </w:rPr>
              <w:t>Circulate to Magistrates:        YES/NO</w:t>
            </w:r>
          </w:p>
        </w:tc>
      </w:tr>
    </w:tbl>
    <w:p w14:paraId="3F631047" w14:textId="77777777" w:rsidR="00CB3FA5" w:rsidRDefault="00CB3FA5" w:rsidP="00CB3FA5">
      <w:pPr>
        <w:widowControl w:val="0"/>
        <w:autoSpaceDE w:val="0"/>
        <w:autoSpaceDN w:val="0"/>
        <w:adjustRightInd w:val="0"/>
        <w:jc w:val="right"/>
        <w:rPr>
          <w:rFonts w:ascii="Arial" w:hAnsi="Arial" w:cs="Arial"/>
          <w:sz w:val="28"/>
          <w:szCs w:val="28"/>
        </w:rPr>
      </w:pPr>
    </w:p>
    <w:p w14:paraId="477F89C4" w14:textId="51031EDC" w:rsidR="00CB3FA5" w:rsidRDefault="00E5067E" w:rsidP="003F3CEF">
      <w:pPr>
        <w:widowControl w:val="0"/>
        <w:autoSpaceDE w:val="0"/>
        <w:autoSpaceDN w:val="0"/>
        <w:adjustRightInd w:val="0"/>
        <w:jc w:val="right"/>
        <w:rPr>
          <w:rFonts w:ascii="Arial" w:hAnsi="Arial" w:cs="Arial"/>
          <w:sz w:val="24"/>
          <w:szCs w:val="24"/>
        </w:rPr>
      </w:pPr>
      <w:r w:rsidRPr="0054368D">
        <w:rPr>
          <w:rFonts w:ascii="Arial" w:hAnsi="Arial" w:cs="Arial"/>
          <w:sz w:val="24"/>
          <w:szCs w:val="24"/>
        </w:rPr>
        <w:t xml:space="preserve">Case No.: </w:t>
      </w:r>
      <w:r w:rsidR="0054368D" w:rsidRPr="0054368D">
        <w:rPr>
          <w:rFonts w:ascii="Arial" w:hAnsi="Arial" w:cs="Arial"/>
          <w:sz w:val="24"/>
          <w:szCs w:val="24"/>
        </w:rPr>
        <w:t>4620/2021</w:t>
      </w:r>
      <w:r w:rsidR="00CB3FA5" w:rsidRPr="0054368D">
        <w:rPr>
          <w:rFonts w:ascii="Arial" w:hAnsi="Arial" w:cs="Arial"/>
          <w:sz w:val="24"/>
          <w:szCs w:val="24"/>
        </w:rPr>
        <w:t xml:space="preserve"> </w:t>
      </w:r>
    </w:p>
    <w:p w14:paraId="7FC3B596" w14:textId="77777777" w:rsidR="003F3CEF" w:rsidRPr="0054368D" w:rsidRDefault="003F3CEF" w:rsidP="003F3CEF">
      <w:pPr>
        <w:widowControl w:val="0"/>
        <w:autoSpaceDE w:val="0"/>
        <w:autoSpaceDN w:val="0"/>
        <w:adjustRightInd w:val="0"/>
        <w:jc w:val="right"/>
        <w:rPr>
          <w:rFonts w:ascii="Arial" w:hAnsi="Arial" w:cs="Arial"/>
          <w:sz w:val="24"/>
          <w:szCs w:val="24"/>
        </w:rPr>
      </w:pPr>
    </w:p>
    <w:p w14:paraId="02D4EC83" w14:textId="77777777" w:rsidR="00CB3FA5" w:rsidRPr="0054368D" w:rsidRDefault="00CB3FA5" w:rsidP="00CB3FA5">
      <w:pPr>
        <w:widowControl w:val="0"/>
        <w:autoSpaceDE w:val="0"/>
        <w:autoSpaceDN w:val="0"/>
        <w:adjustRightInd w:val="0"/>
        <w:jc w:val="both"/>
        <w:rPr>
          <w:rFonts w:ascii="Arial" w:hAnsi="Arial" w:cs="Arial"/>
          <w:sz w:val="24"/>
          <w:szCs w:val="24"/>
        </w:rPr>
      </w:pPr>
      <w:r w:rsidRPr="0054368D">
        <w:rPr>
          <w:rFonts w:ascii="Arial" w:hAnsi="Arial" w:cs="Arial"/>
          <w:sz w:val="24"/>
          <w:szCs w:val="24"/>
        </w:rPr>
        <w:t>In the matter between:</w:t>
      </w:r>
    </w:p>
    <w:p w14:paraId="3D821BEE" w14:textId="77777777" w:rsidR="00CB3FA5" w:rsidRPr="0054368D" w:rsidRDefault="00CB3FA5" w:rsidP="00CB3FA5">
      <w:pPr>
        <w:widowControl w:val="0"/>
        <w:autoSpaceDE w:val="0"/>
        <w:autoSpaceDN w:val="0"/>
        <w:adjustRightInd w:val="0"/>
        <w:jc w:val="both"/>
        <w:rPr>
          <w:rFonts w:ascii="Arial" w:hAnsi="Arial" w:cs="Arial"/>
          <w:sz w:val="24"/>
          <w:szCs w:val="24"/>
        </w:rPr>
      </w:pPr>
    </w:p>
    <w:p w14:paraId="43765819" w14:textId="77777777" w:rsidR="00CB3FA5" w:rsidRPr="0054368D" w:rsidRDefault="0054368D" w:rsidP="00CB3FA5">
      <w:pPr>
        <w:widowControl w:val="0"/>
        <w:autoSpaceDE w:val="0"/>
        <w:autoSpaceDN w:val="0"/>
        <w:adjustRightInd w:val="0"/>
        <w:jc w:val="both"/>
        <w:rPr>
          <w:rFonts w:ascii="Arial" w:hAnsi="Arial" w:cs="Arial"/>
          <w:sz w:val="24"/>
          <w:szCs w:val="24"/>
        </w:rPr>
      </w:pPr>
      <w:r w:rsidRPr="0054368D">
        <w:rPr>
          <w:rFonts w:ascii="Arial" w:hAnsi="Arial" w:cs="Arial"/>
          <w:b/>
          <w:sz w:val="24"/>
          <w:szCs w:val="24"/>
        </w:rPr>
        <w:t>FIRSTRAND BANK LTD</w:t>
      </w:r>
      <w:r w:rsidR="00CB3FA5" w:rsidRPr="0054368D">
        <w:rPr>
          <w:rFonts w:ascii="Arial" w:hAnsi="Arial" w:cs="Arial"/>
          <w:sz w:val="24"/>
          <w:szCs w:val="24"/>
        </w:rPr>
        <w:tab/>
      </w:r>
      <w:r w:rsidR="00CB3FA5" w:rsidRPr="0054368D">
        <w:rPr>
          <w:rFonts w:ascii="Arial" w:hAnsi="Arial" w:cs="Arial"/>
          <w:sz w:val="24"/>
          <w:szCs w:val="24"/>
        </w:rPr>
        <w:tab/>
      </w:r>
      <w:r w:rsidR="00CB3FA5" w:rsidRPr="0054368D">
        <w:rPr>
          <w:rFonts w:ascii="Arial" w:hAnsi="Arial" w:cs="Arial"/>
          <w:sz w:val="24"/>
          <w:szCs w:val="24"/>
        </w:rPr>
        <w:tab/>
      </w:r>
      <w:r w:rsidR="00CB3FA5" w:rsidRPr="0054368D">
        <w:rPr>
          <w:rFonts w:ascii="Arial" w:hAnsi="Arial" w:cs="Arial"/>
          <w:sz w:val="24"/>
          <w:szCs w:val="24"/>
        </w:rPr>
        <w:tab/>
      </w:r>
      <w:r w:rsidRPr="0054368D">
        <w:rPr>
          <w:rFonts w:ascii="Arial" w:hAnsi="Arial" w:cs="Arial"/>
          <w:sz w:val="24"/>
          <w:szCs w:val="24"/>
        </w:rPr>
        <w:tab/>
      </w:r>
      <w:r w:rsidRPr="0054368D">
        <w:rPr>
          <w:rFonts w:ascii="Arial" w:hAnsi="Arial" w:cs="Arial"/>
          <w:sz w:val="24"/>
          <w:szCs w:val="24"/>
        </w:rPr>
        <w:tab/>
      </w:r>
      <w:r w:rsidRPr="0054368D">
        <w:rPr>
          <w:rFonts w:ascii="Arial" w:hAnsi="Arial" w:cs="Arial"/>
          <w:sz w:val="24"/>
          <w:szCs w:val="24"/>
        </w:rPr>
        <w:tab/>
      </w:r>
      <w:r w:rsidRPr="0054368D">
        <w:rPr>
          <w:rFonts w:ascii="Arial" w:hAnsi="Arial" w:cs="Arial"/>
          <w:sz w:val="24"/>
          <w:szCs w:val="24"/>
        </w:rPr>
        <w:tab/>
        <w:t>Applicant</w:t>
      </w:r>
      <w:r w:rsidR="00BC7DC2" w:rsidRPr="0054368D">
        <w:rPr>
          <w:rFonts w:ascii="Arial" w:hAnsi="Arial" w:cs="Arial"/>
          <w:sz w:val="24"/>
          <w:szCs w:val="24"/>
        </w:rPr>
        <w:t xml:space="preserve"> </w:t>
      </w:r>
    </w:p>
    <w:p w14:paraId="2E1E915F" w14:textId="77777777" w:rsidR="00CB3FA5" w:rsidRPr="0054368D" w:rsidRDefault="00CB3FA5" w:rsidP="00CB3FA5">
      <w:pPr>
        <w:widowControl w:val="0"/>
        <w:tabs>
          <w:tab w:val="right" w:pos="8640"/>
        </w:tabs>
        <w:autoSpaceDE w:val="0"/>
        <w:autoSpaceDN w:val="0"/>
        <w:adjustRightInd w:val="0"/>
        <w:jc w:val="both"/>
        <w:rPr>
          <w:rFonts w:ascii="Arial" w:hAnsi="Arial" w:cs="Arial"/>
          <w:bCs/>
          <w:sz w:val="24"/>
          <w:szCs w:val="24"/>
        </w:rPr>
      </w:pPr>
      <w:r w:rsidRPr="0054368D">
        <w:rPr>
          <w:rFonts w:ascii="Arial" w:hAnsi="Arial" w:cs="Arial"/>
          <w:bCs/>
          <w:sz w:val="24"/>
          <w:szCs w:val="24"/>
        </w:rPr>
        <w:t>and</w:t>
      </w:r>
    </w:p>
    <w:p w14:paraId="65BBBEA1" w14:textId="77777777" w:rsidR="00CB3FA5" w:rsidRPr="0054368D" w:rsidRDefault="0054368D" w:rsidP="00CB3FA5">
      <w:pPr>
        <w:widowControl w:val="0"/>
        <w:tabs>
          <w:tab w:val="right" w:pos="8640"/>
        </w:tabs>
        <w:autoSpaceDE w:val="0"/>
        <w:autoSpaceDN w:val="0"/>
        <w:adjustRightInd w:val="0"/>
        <w:jc w:val="both"/>
        <w:rPr>
          <w:rFonts w:ascii="Arial" w:hAnsi="Arial" w:cs="Arial"/>
          <w:bCs/>
          <w:sz w:val="24"/>
          <w:szCs w:val="24"/>
        </w:rPr>
      </w:pPr>
      <w:r w:rsidRPr="0054368D">
        <w:rPr>
          <w:rFonts w:ascii="Arial" w:hAnsi="Arial" w:cs="Arial"/>
          <w:b/>
          <w:bCs/>
          <w:sz w:val="24"/>
          <w:szCs w:val="24"/>
        </w:rPr>
        <w:t>JANETTE VAN DEN HEEVER</w:t>
      </w:r>
      <w:r w:rsidRPr="0054368D">
        <w:rPr>
          <w:rFonts w:ascii="Arial" w:hAnsi="Arial" w:cs="Arial"/>
          <w:bCs/>
          <w:sz w:val="24"/>
          <w:szCs w:val="24"/>
        </w:rPr>
        <w:t xml:space="preserve">                                  </w:t>
      </w:r>
      <w:r w:rsidRPr="0054368D">
        <w:rPr>
          <w:rFonts w:ascii="Arial" w:hAnsi="Arial" w:cs="Arial"/>
          <w:bCs/>
          <w:sz w:val="24"/>
          <w:szCs w:val="24"/>
        </w:rPr>
        <w:tab/>
        <w:t xml:space="preserve">               1</w:t>
      </w:r>
      <w:r w:rsidRPr="0054368D">
        <w:rPr>
          <w:rFonts w:ascii="Arial" w:hAnsi="Arial" w:cs="Arial"/>
          <w:bCs/>
          <w:sz w:val="24"/>
          <w:szCs w:val="24"/>
          <w:vertAlign w:val="superscript"/>
        </w:rPr>
        <w:t>st</w:t>
      </w:r>
      <w:r w:rsidRPr="0054368D">
        <w:rPr>
          <w:rFonts w:ascii="Arial" w:hAnsi="Arial" w:cs="Arial"/>
          <w:bCs/>
          <w:sz w:val="24"/>
          <w:szCs w:val="24"/>
        </w:rPr>
        <w:t xml:space="preserve"> Respondent</w:t>
      </w:r>
    </w:p>
    <w:p w14:paraId="6E8D0D83" w14:textId="121A2944" w:rsidR="0054368D" w:rsidRPr="0054368D" w:rsidRDefault="0054368D" w:rsidP="0054368D">
      <w:pPr>
        <w:widowControl w:val="0"/>
        <w:tabs>
          <w:tab w:val="right" w:pos="8640"/>
        </w:tabs>
        <w:autoSpaceDE w:val="0"/>
        <w:autoSpaceDN w:val="0"/>
        <w:adjustRightInd w:val="0"/>
        <w:jc w:val="both"/>
        <w:rPr>
          <w:rFonts w:ascii="Arial" w:hAnsi="Arial" w:cs="Arial"/>
          <w:bCs/>
          <w:sz w:val="24"/>
          <w:szCs w:val="24"/>
        </w:rPr>
      </w:pPr>
      <w:r w:rsidRPr="0054368D">
        <w:rPr>
          <w:rFonts w:ascii="Arial" w:hAnsi="Arial" w:cs="Arial"/>
          <w:b/>
          <w:bCs/>
          <w:sz w:val="24"/>
          <w:szCs w:val="24"/>
        </w:rPr>
        <w:t>THEODORUS</w:t>
      </w:r>
      <w:r w:rsidR="002545CC">
        <w:rPr>
          <w:rFonts w:ascii="Arial" w:hAnsi="Arial" w:cs="Arial"/>
          <w:b/>
          <w:bCs/>
          <w:sz w:val="24"/>
          <w:szCs w:val="24"/>
        </w:rPr>
        <w:t xml:space="preserve"> I</w:t>
      </w:r>
      <w:r w:rsidRPr="0054368D">
        <w:rPr>
          <w:rFonts w:ascii="Arial" w:hAnsi="Arial" w:cs="Arial"/>
          <w:b/>
          <w:bCs/>
          <w:sz w:val="24"/>
          <w:szCs w:val="24"/>
        </w:rPr>
        <w:t xml:space="preserve"> VAN DEN HEEVER               </w:t>
      </w:r>
      <w:r w:rsidRPr="0054368D">
        <w:rPr>
          <w:rFonts w:ascii="Arial" w:hAnsi="Arial" w:cs="Arial"/>
          <w:bCs/>
          <w:sz w:val="24"/>
          <w:szCs w:val="24"/>
        </w:rPr>
        <w:t xml:space="preserve">                              </w:t>
      </w:r>
      <w:r w:rsidRPr="0054368D">
        <w:rPr>
          <w:rFonts w:ascii="Arial" w:hAnsi="Arial" w:cs="Arial"/>
          <w:bCs/>
          <w:sz w:val="24"/>
          <w:szCs w:val="24"/>
        </w:rPr>
        <w:tab/>
        <w:t xml:space="preserve">   2</w:t>
      </w:r>
      <w:r w:rsidRPr="0054368D">
        <w:rPr>
          <w:rFonts w:ascii="Arial" w:hAnsi="Arial" w:cs="Arial"/>
          <w:bCs/>
          <w:sz w:val="24"/>
          <w:szCs w:val="24"/>
          <w:vertAlign w:val="superscript"/>
        </w:rPr>
        <w:t>nd</w:t>
      </w:r>
      <w:r w:rsidRPr="0054368D">
        <w:rPr>
          <w:rFonts w:ascii="Arial" w:hAnsi="Arial" w:cs="Arial"/>
          <w:bCs/>
          <w:sz w:val="24"/>
          <w:szCs w:val="24"/>
        </w:rPr>
        <w:t xml:space="preserve"> Respondent</w:t>
      </w:r>
    </w:p>
    <w:p w14:paraId="344C516D" w14:textId="77777777" w:rsidR="0054368D" w:rsidRPr="0054368D" w:rsidRDefault="0054368D" w:rsidP="00CB3FA5">
      <w:pPr>
        <w:widowControl w:val="0"/>
        <w:tabs>
          <w:tab w:val="right" w:pos="8640"/>
        </w:tabs>
        <w:autoSpaceDE w:val="0"/>
        <w:autoSpaceDN w:val="0"/>
        <w:adjustRightInd w:val="0"/>
        <w:jc w:val="both"/>
        <w:rPr>
          <w:rFonts w:ascii="Arial" w:hAnsi="Arial" w:cs="Arial"/>
          <w:bCs/>
          <w:sz w:val="24"/>
          <w:szCs w:val="24"/>
        </w:rPr>
      </w:pPr>
      <w:r w:rsidRPr="0054368D">
        <w:rPr>
          <w:rFonts w:ascii="Arial" w:hAnsi="Arial" w:cs="Arial"/>
          <w:b/>
          <w:bCs/>
          <w:sz w:val="24"/>
          <w:szCs w:val="24"/>
        </w:rPr>
        <w:t xml:space="preserve">THERESE VAN DEN HEEVER                       </w:t>
      </w:r>
      <w:r w:rsidRPr="0054368D">
        <w:rPr>
          <w:rFonts w:ascii="Arial" w:hAnsi="Arial" w:cs="Arial"/>
          <w:bCs/>
          <w:sz w:val="24"/>
          <w:szCs w:val="24"/>
        </w:rPr>
        <w:t xml:space="preserve">                      </w:t>
      </w:r>
      <w:r>
        <w:rPr>
          <w:rFonts w:ascii="Arial" w:hAnsi="Arial" w:cs="Arial"/>
          <w:bCs/>
          <w:sz w:val="24"/>
          <w:szCs w:val="24"/>
        </w:rPr>
        <w:tab/>
      </w:r>
      <w:r w:rsidRPr="0054368D">
        <w:rPr>
          <w:rFonts w:ascii="Arial" w:hAnsi="Arial" w:cs="Arial"/>
          <w:bCs/>
          <w:sz w:val="24"/>
          <w:szCs w:val="24"/>
        </w:rPr>
        <w:t xml:space="preserve">           3</w:t>
      </w:r>
      <w:r w:rsidRPr="0054368D">
        <w:rPr>
          <w:rFonts w:ascii="Arial" w:hAnsi="Arial" w:cs="Arial"/>
          <w:bCs/>
          <w:sz w:val="24"/>
          <w:szCs w:val="24"/>
          <w:vertAlign w:val="superscript"/>
        </w:rPr>
        <w:t>rd</w:t>
      </w:r>
      <w:r w:rsidRPr="0054368D">
        <w:rPr>
          <w:rFonts w:ascii="Arial" w:hAnsi="Arial" w:cs="Arial"/>
          <w:bCs/>
          <w:sz w:val="24"/>
          <w:szCs w:val="24"/>
        </w:rPr>
        <w:t xml:space="preserve"> Respondent</w:t>
      </w:r>
    </w:p>
    <w:p w14:paraId="6EDC9FBB" w14:textId="77777777" w:rsidR="00CB3FA5" w:rsidRPr="0054368D" w:rsidRDefault="00CB3FA5" w:rsidP="00CB3FA5">
      <w:pPr>
        <w:widowControl w:val="0"/>
        <w:tabs>
          <w:tab w:val="right" w:pos="8640"/>
        </w:tabs>
        <w:autoSpaceDE w:val="0"/>
        <w:autoSpaceDN w:val="0"/>
        <w:adjustRightInd w:val="0"/>
        <w:jc w:val="both"/>
        <w:rPr>
          <w:rFonts w:ascii="Arial" w:hAnsi="Arial" w:cs="Arial"/>
          <w:bCs/>
          <w:sz w:val="24"/>
          <w:szCs w:val="24"/>
        </w:rPr>
      </w:pPr>
      <w:r w:rsidRPr="0054368D">
        <w:rPr>
          <w:rFonts w:ascii="Arial" w:hAnsi="Arial" w:cs="Arial"/>
          <w:noProof/>
          <w:sz w:val="24"/>
          <w:szCs w:val="24"/>
          <w:lang w:eastAsia="en-ZA"/>
        </w:rPr>
        <mc:AlternateContent>
          <mc:Choice Requires="wps">
            <w:drawing>
              <wp:anchor distT="0" distB="0" distL="114300" distR="114300" simplePos="0" relativeHeight="251662336" behindDoc="0" locked="0" layoutInCell="1" allowOverlap="1" wp14:anchorId="31B91392" wp14:editId="2430A481">
                <wp:simplePos x="0" y="0"/>
                <wp:positionH relativeFrom="column">
                  <wp:posOffset>0</wp:posOffset>
                </wp:positionH>
                <wp:positionV relativeFrom="paragraph">
                  <wp:posOffset>175260</wp:posOffset>
                </wp:positionV>
                <wp:extent cx="5486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7785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6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N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" strokeweight="1.5pt"/>
            </w:pict>
          </mc:Fallback>
        </mc:AlternateContent>
      </w:r>
    </w:p>
    <w:p w14:paraId="20E8C0AC" w14:textId="77777777" w:rsidR="00CB3FA5" w:rsidRPr="0054368D" w:rsidRDefault="00CB3FA5" w:rsidP="00CB3FA5">
      <w:pPr>
        <w:widowControl w:val="0"/>
        <w:autoSpaceDE w:val="0"/>
        <w:autoSpaceDN w:val="0"/>
        <w:adjustRightInd w:val="0"/>
        <w:jc w:val="both"/>
        <w:rPr>
          <w:rFonts w:ascii="Arial" w:hAnsi="Arial" w:cs="Arial"/>
          <w:sz w:val="24"/>
          <w:szCs w:val="24"/>
        </w:rPr>
      </w:pPr>
      <w:r w:rsidRPr="0054368D">
        <w:rPr>
          <w:rFonts w:ascii="Arial" w:hAnsi="Arial" w:cs="Arial"/>
          <w:b/>
          <w:bCs/>
          <w:sz w:val="24"/>
          <w:szCs w:val="24"/>
          <w:u w:val="single"/>
        </w:rPr>
        <w:t>JUDGMENT</w:t>
      </w:r>
      <w:r w:rsidR="0054368D" w:rsidRPr="0054368D">
        <w:rPr>
          <w:rFonts w:ascii="Arial" w:hAnsi="Arial" w:cs="Arial"/>
          <w:b/>
          <w:bCs/>
          <w:sz w:val="24"/>
          <w:szCs w:val="24"/>
          <w:u w:val="single"/>
        </w:rPr>
        <w:t xml:space="preserve"> BY</w:t>
      </w:r>
      <w:r w:rsidRPr="0054368D">
        <w:rPr>
          <w:rFonts w:ascii="Arial" w:hAnsi="Arial" w:cs="Arial"/>
          <w:b/>
          <w:bCs/>
          <w:sz w:val="24"/>
          <w:szCs w:val="24"/>
          <w:u w:val="single"/>
        </w:rPr>
        <w:t>:</w:t>
      </w:r>
      <w:r w:rsidRPr="0054368D">
        <w:rPr>
          <w:rFonts w:ascii="Arial" w:hAnsi="Arial" w:cs="Arial"/>
          <w:sz w:val="24"/>
          <w:szCs w:val="24"/>
        </w:rPr>
        <w:tab/>
      </w:r>
      <w:r w:rsidRPr="0054368D">
        <w:rPr>
          <w:rFonts w:ascii="Arial" w:hAnsi="Arial" w:cs="Arial"/>
          <w:sz w:val="24"/>
          <w:szCs w:val="24"/>
        </w:rPr>
        <w:tab/>
        <w:t xml:space="preserve"> </w:t>
      </w:r>
      <w:r w:rsidR="00BC7DC2" w:rsidRPr="0054368D">
        <w:rPr>
          <w:rFonts w:ascii="Arial" w:hAnsi="Arial" w:cs="Arial"/>
          <w:sz w:val="24"/>
          <w:szCs w:val="24"/>
        </w:rPr>
        <w:t>AK RAMLAL</w:t>
      </w:r>
      <w:r w:rsidRPr="0054368D">
        <w:rPr>
          <w:rFonts w:ascii="Arial" w:hAnsi="Arial" w:cs="Arial"/>
          <w:sz w:val="24"/>
          <w:szCs w:val="24"/>
        </w:rPr>
        <w:t>, AJ</w:t>
      </w:r>
    </w:p>
    <w:p w14:paraId="1C344427" w14:textId="77777777" w:rsidR="00CB3FA5" w:rsidRPr="00D91236" w:rsidRDefault="00CB3FA5" w:rsidP="00CB3FA5">
      <w:pPr>
        <w:widowControl w:val="0"/>
        <w:autoSpaceDE w:val="0"/>
        <w:autoSpaceDN w:val="0"/>
        <w:adjustRightInd w:val="0"/>
        <w:ind w:left="900" w:hanging="900"/>
        <w:jc w:val="both"/>
        <w:rPr>
          <w:rFonts w:ascii="Arial" w:hAnsi="Arial" w:cs="Arial"/>
          <w:sz w:val="24"/>
          <w:szCs w:val="24"/>
        </w:rPr>
      </w:pPr>
      <w:r w:rsidRPr="00D91236">
        <w:rPr>
          <w:rFonts w:ascii="Arial" w:hAnsi="Arial" w:cs="Arial"/>
          <w:noProof/>
          <w:sz w:val="24"/>
          <w:szCs w:val="24"/>
          <w:lang w:eastAsia="en-ZA"/>
        </w:rPr>
        <mc:AlternateContent>
          <mc:Choice Requires="wps">
            <w:drawing>
              <wp:anchor distT="0" distB="0" distL="114300" distR="114300" simplePos="0" relativeHeight="251663360" behindDoc="0" locked="0" layoutInCell="1" allowOverlap="1" wp14:anchorId="7923A1E1" wp14:editId="67063DB5">
                <wp:simplePos x="0" y="0"/>
                <wp:positionH relativeFrom="column">
                  <wp:posOffset>0</wp:posOffset>
                </wp:positionH>
                <wp:positionV relativeFrom="paragraph">
                  <wp:posOffset>133350</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6B06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Hn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" strokeweight="1.5pt"/>
            </w:pict>
          </mc:Fallback>
        </mc:AlternateContent>
      </w:r>
    </w:p>
    <w:p w14:paraId="1C275274" w14:textId="77777777" w:rsidR="00CB3FA5" w:rsidRPr="0054368D" w:rsidRDefault="00CB3FA5" w:rsidP="00CB3FA5">
      <w:pPr>
        <w:widowControl w:val="0"/>
        <w:autoSpaceDE w:val="0"/>
        <w:autoSpaceDN w:val="0"/>
        <w:adjustRightInd w:val="0"/>
        <w:jc w:val="both"/>
        <w:rPr>
          <w:rFonts w:ascii="Arial" w:hAnsi="Arial" w:cs="Arial"/>
          <w:sz w:val="24"/>
          <w:szCs w:val="24"/>
        </w:rPr>
      </w:pPr>
      <w:r w:rsidRPr="0054368D">
        <w:rPr>
          <w:rFonts w:ascii="Arial" w:hAnsi="Arial" w:cs="Arial"/>
          <w:b/>
          <w:sz w:val="24"/>
          <w:szCs w:val="24"/>
          <w:u w:val="single"/>
        </w:rPr>
        <w:t>HEARD ON:</w:t>
      </w:r>
      <w:r w:rsidRPr="0054368D">
        <w:rPr>
          <w:rFonts w:ascii="Arial" w:hAnsi="Arial" w:cs="Arial"/>
          <w:b/>
          <w:sz w:val="24"/>
          <w:szCs w:val="24"/>
        </w:rPr>
        <w:tab/>
      </w:r>
      <w:r w:rsidRPr="0054368D">
        <w:rPr>
          <w:rFonts w:ascii="Arial" w:hAnsi="Arial" w:cs="Arial"/>
          <w:b/>
          <w:sz w:val="24"/>
          <w:szCs w:val="24"/>
        </w:rPr>
        <w:tab/>
      </w:r>
      <w:r w:rsidRPr="0054368D">
        <w:rPr>
          <w:rFonts w:ascii="Arial" w:hAnsi="Arial" w:cs="Arial"/>
          <w:b/>
          <w:sz w:val="24"/>
          <w:szCs w:val="24"/>
        </w:rPr>
        <w:tab/>
      </w:r>
      <w:r w:rsidR="0054368D" w:rsidRPr="0054368D">
        <w:rPr>
          <w:rFonts w:ascii="Arial" w:hAnsi="Arial" w:cs="Arial"/>
          <w:sz w:val="24"/>
          <w:szCs w:val="24"/>
        </w:rPr>
        <w:t>10</w:t>
      </w:r>
      <w:r w:rsidR="00D46770" w:rsidRPr="0054368D">
        <w:rPr>
          <w:rFonts w:ascii="Arial" w:hAnsi="Arial" w:cs="Arial"/>
          <w:sz w:val="24"/>
          <w:szCs w:val="24"/>
        </w:rPr>
        <w:t xml:space="preserve"> FEBRUARY 2022</w:t>
      </w:r>
    </w:p>
    <w:p w14:paraId="2B92EE27" w14:textId="77777777" w:rsidR="00CB3FA5" w:rsidRPr="0054368D" w:rsidRDefault="00CB3FA5" w:rsidP="00CB3FA5">
      <w:pPr>
        <w:widowControl w:val="0"/>
        <w:autoSpaceDE w:val="0"/>
        <w:autoSpaceDN w:val="0"/>
        <w:adjustRightInd w:val="0"/>
        <w:jc w:val="both"/>
        <w:rPr>
          <w:rFonts w:ascii="Arial" w:hAnsi="Arial" w:cs="Arial"/>
          <w:b/>
          <w:sz w:val="24"/>
          <w:szCs w:val="24"/>
        </w:rPr>
      </w:pPr>
      <w:r w:rsidRPr="0054368D">
        <w:rPr>
          <w:rFonts w:ascii="Arial" w:hAnsi="Arial" w:cs="Arial"/>
          <w:b/>
          <w:sz w:val="24"/>
          <w:szCs w:val="24"/>
        </w:rPr>
        <w:t>_______________________________________________________</w:t>
      </w:r>
      <w:r w:rsidR="0058558D">
        <w:rPr>
          <w:rFonts w:ascii="Arial" w:hAnsi="Arial" w:cs="Arial"/>
          <w:b/>
          <w:sz w:val="24"/>
          <w:szCs w:val="24"/>
        </w:rPr>
        <w:t>____________</w:t>
      </w:r>
    </w:p>
    <w:p w14:paraId="548B6415" w14:textId="77777777" w:rsidR="003F3CEF" w:rsidRDefault="00CB3FA5" w:rsidP="003F3CEF">
      <w:pPr>
        <w:tabs>
          <w:tab w:val="left" w:pos="2835"/>
          <w:tab w:val="left" w:pos="2977"/>
        </w:tabs>
        <w:spacing w:after="0" w:line="240" w:lineRule="auto"/>
        <w:jc w:val="both"/>
        <w:rPr>
          <w:rFonts w:ascii="Arial" w:eastAsia="Times New Roman" w:hAnsi="Arial" w:cs="Arial"/>
          <w:sz w:val="24"/>
          <w:szCs w:val="24"/>
        </w:rPr>
      </w:pPr>
      <w:r w:rsidRPr="0054368D">
        <w:rPr>
          <w:rFonts w:ascii="Arial" w:hAnsi="Arial" w:cs="Arial"/>
          <w:b/>
          <w:sz w:val="24"/>
          <w:szCs w:val="24"/>
          <w:u w:val="single"/>
        </w:rPr>
        <w:t>DELIVERED ON:</w:t>
      </w:r>
      <w:r w:rsidR="00E5067E" w:rsidRPr="0054368D">
        <w:rPr>
          <w:rFonts w:ascii="Arial" w:hAnsi="Arial" w:cs="Arial"/>
          <w:sz w:val="24"/>
          <w:szCs w:val="24"/>
        </w:rPr>
        <w:tab/>
      </w:r>
      <w:r w:rsidR="00D104E3" w:rsidRPr="0054368D">
        <w:rPr>
          <w:rFonts w:ascii="Arial" w:hAnsi="Arial" w:cs="Arial"/>
          <w:sz w:val="24"/>
          <w:szCs w:val="24"/>
        </w:rPr>
        <w:tab/>
      </w:r>
      <w:r w:rsidR="00A829E9">
        <w:rPr>
          <w:rFonts w:ascii="Arial" w:hAnsi="Arial" w:cs="Arial"/>
          <w:sz w:val="24"/>
          <w:szCs w:val="24"/>
        </w:rPr>
        <w:t xml:space="preserve"> 2</w:t>
      </w:r>
      <w:r w:rsidR="00D70F23">
        <w:rPr>
          <w:rFonts w:ascii="Arial" w:hAnsi="Arial" w:cs="Arial"/>
          <w:sz w:val="24"/>
          <w:szCs w:val="24"/>
        </w:rPr>
        <w:t>9</w:t>
      </w:r>
      <w:r w:rsidR="00A829E9">
        <w:rPr>
          <w:rFonts w:ascii="Arial" w:hAnsi="Arial" w:cs="Arial"/>
          <w:sz w:val="24"/>
          <w:szCs w:val="24"/>
        </w:rPr>
        <w:t xml:space="preserve"> APRIL</w:t>
      </w:r>
      <w:r w:rsidR="00D46770" w:rsidRPr="0054368D">
        <w:rPr>
          <w:rFonts w:ascii="Arial" w:hAnsi="Arial" w:cs="Arial"/>
          <w:sz w:val="24"/>
          <w:szCs w:val="24"/>
        </w:rPr>
        <w:t xml:space="preserve"> 2022</w:t>
      </w:r>
      <w:r w:rsidR="003F3CEF" w:rsidRPr="003F3CEF">
        <w:rPr>
          <w:rFonts w:ascii="Arial" w:eastAsia="Times New Roman" w:hAnsi="Arial" w:cs="Arial"/>
          <w:sz w:val="24"/>
          <w:szCs w:val="24"/>
        </w:rPr>
        <w:t xml:space="preserve"> </w:t>
      </w:r>
    </w:p>
    <w:p w14:paraId="34E301B7" w14:textId="77777777" w:rsidR="003F3CEF" w:rsidRDefault="003F3CEF" w:rsidP="003F3CEF">
      <w:pPr>
        <w:tabs>
          <w:tab w:val="left" w:pos="2835"/>
          <w:tab w:val="left" w:pos="2977"/>
        </w:tabs>
        <w:spacing w:after="0" w:line="240" w:lineRule="auto"/>
        <w:jc w:val="both"/>
        <w:rPr>
          <w:rFonts w:ascii="Arial" w:eastAsia="Times New Roman" w:hAnsi="Arial" w:cs="Arial"/>
          <w:sz w:val="24"/>
          <w:szCs w:val="24"/>
        </w:rPr>
      </w:pPr>
    </w:p>
    <w:p w14:paraId="61FF7FB8" w14:textId="4B4BD451" w:rsidR="003F3CEF" w:rsidRPr="00A23399" w:rsidRDefault="003F3CEF" w:rsidP="003F3CEF">
      <w:pPr>
        <w:tabs>
          <w:tab w:val="left" w:pos="2835"/>
          <w:tab w:val="left" w:pos="2977"/>
        </w:tabs>
        <w:spacing w:after="0" w:line="240" w:lineRule="auto"/>
        <w:jc w:val="both"/>
        <w:rPr>
          <w:rFonts w:ascii="Arial" w:eastAsia="Times New Roman" w:hAnsi="Arial" w:cs="Arial"/>
          <w:sz w:val="24"/>
          <w:szCs w:val="24"/>
        </w:rPr>
      </w:pPr>
      <w:r w:rsidRPr="00A23399">
        <w:rPr>
          <w:rFonts w:ascii="Arial" w:eastAsia="Times New Roman" w:hAnsi="Arial" w:cs="Arial"/>
          <w:sz w:val="24"/>
          <w:szCs w:val="24"/>
        </w:rPr>
        <w:t>This judgment was handed down electronically by circulation to the parties’ representatives by email, and release to SAFLII.  The date and time for hand-down is deemed to be 1</w:t>
      </w:r>
      <w:r w:rsidR="00EA3179">
        <w:rPr>
          <w:rFonts w:ascii="Arial" w:eastAsia="Times New Roman" w:hAnsi="Arial" w:cs="Arial"/>
          <w:sz w:val="24"/>
          <w:szCs w:val="24"/>
        </w:rPr>
        <w:t>3h30</w:t>
      </w:r>
      <w:r w:rsidRPr="00A23399">
        <w:rPr>
          <w:rFonts w:ascii="Arial" w:eastAsia="Times New Roman" w:hAnsi="Arial" w:cs="Arial"/>
          <w:sz w:val="24"/>
          <w:szCs w:val="24"/>
        </w:rPr>
        <w:t xml:space="preserve"> on 2</w:t>
      </w:r>
      <w:r>
        <w:rPr>
          <w:rFonts w:ascii="Arial" w:eastAsia="Times New Roman" w:hAnsi="Arial" w:cs="Arial"/>
          <w:sz w:val="24"/>
          <w:szCs w:val="24"/>
        </w:rPr>
        <w:t>9</w:t>
      </w:r>
      <w:r w:rsidRPr="00A23399">
        <w:rPr>
          <w:rFonts w:ascii="Arial" w:eastAsia="Times New Roman" w:hAnsi="Arial" w:cs="Arial"/>
          <w:sz w:val="24"/>
          <w:szCs w:val="24"/>
        </w:rPr>
        <w:t xml:space="preserve"> April 2022.</w:t>
      </w:r>
    </w:p>
    <w:p w14:paraId="3EC728FB" w14:textId="0AE42174" w:rsidR="00CB3FA5" w:rsidRPr="0054368D" w:rsidRDefault="00CB3FA5" w:rsidP="003F3CEF">
      <w:pPr>
        <w:widowControl w:val="0"/>
        <w:pBdr>
          <w:bottom w:val="single" w:sz="12" w:space="4" w:color="auto"/>
        </w:pBdr>
        <w:autoSpaceDE w:val="0"/>
        <w:autoSpaceDN w:val="0"/>
        <w:adjustRightInd w:val="0"/>
        <w:jc w:val="both"/>
        <w:rPr>
          <w:rFonts w:ascii="Arial" w:hAnsi="Arial" w:cs="Arial"/>
          <w:sz w:val="24"/>
          <w:szCs w:val="24"/>
        </w:rPr>
      </w:pPr>
    </w:p>
    <w:p w14:paraId="5D07C29A" w14:textId="77777777" w:rsidR="003F3CEF" w:rsidRDefault="003F3CEF" w:rsidP="00CB3FA5">
      <w:pPr>
        <w:spacing w:after="0" w:line="360" w:lineRule="auto"/>
        <w:ind w:left="851" w:hanging="851"/>
        <w:jc w:val="both"/>
        <w:rPr>
          <w:rFonts w:ascii="Arial" w:eastAsia="Times New Roman" w:hAnsi="Arial" w:cs="Arial"/>
          <w:color w:val="000000"/>
          <w:sz w:val="24"/>
          <w:szCs w:val="24"/>
          <w:lang w:val="en-US"/>
        </w:rPr>
      </w:pPr>
    </w:p>
    <w:p w14:paraId="63D8A66C" w14:textId="15C260C9" w:rsidR="00CB3FA5" w:rsidRPr="0054368D" w:rsidRDefault="003F3CEF" w:rsidP="00CB3FA5">
      <w:pPr>
        <w:spacing w:after="0" w:line="360" w:lineRule="auto"/>
        <w:ind w:left="851" w:hanging="851"/>
        <w:jc w:val="both"/>
        <w:rPr>
          <w:rFonts w:ascii="Arial" w:eastAsia="Times New Roman" w:hAnsi="Arial" w:cs="Arial"/>
          <w:color w:val="000000"/>
          <w:sz w:val="24"/>
          <w:szCs w:val="24"/>
          <w:lang w:val="en-US"/>
        </w:rPr>
      </w:pPr>
      <w:r w:rsidRPr="0054368D">
        <w:rPr>
          <w:rFonts w:ascii="Arial" w:eastAsia="Times New Roman" w:hAnsi="Arial" w:cs="Arial"/>
          <w:color w:val="000000"/>
          <w:sz w:val="24"/>
          <w:szCs w:val="24"/>
          <w:lang w:val="en-US"/>
        </w:rPr>
        <w:t xml:space="preserve"> </w:t>
      </w:r>
      <w:r w:rsidR="00CB3FA5" w:rsidRPr="0054368D">
        <w:rPr>
          <w:rFonts w:ascii="Arial" w:eastAsia="Times New Roman" w:hAnsi="Arial" w:cs="Arial"/>
          <w:color w:val="000000"/>
          <w:sz w:val="24"/>
          <w:szCs w:val="24"/>
          <w:lang w:val="en-US"/>
        </w:rPr>
        <w:t>[1]</w:t>
      </w:r>
      <w:r w:rsidR="00CB3FA5" w:rsidRPr="0054368D">
        <w:rPr>
          <w:rFonts w:ascii="Arial" w:eastAsia="Times New Roman" w:hAnsi="Arial" w:cs="Arial"/>
          <w:color w:val="000000"/>
          <w:sz w:val="24"/>
          <w:szCs w:val="24"/>
          <w:lang w:val="en-US"/>
        </w:rPr>
        <w:tab/>
        <w:t xml:space="preserve">The </w:t>
      </w:r>
      <w:r w:rsidR="00827F17">
        <w:rPr>
          <w:rFonts w:ascii="Arial" w:eastAsia="Times New Roman" w:hAnsi="Arial" w:cs="Arial"/>
          <w:color w:val="000000"/>
          <w:sz w:val="24"/>
          <w:szCs w:val="24"/>
          <w:lang w:val="en-US"/>
        </w:rPr>
        <w:t>application before th</w:t>
      </w:r>
      <w:r w:rsidR="00C45AEC">
        <w:rPr>
          <w:rFonts w:ascii="Arial" w:eastAsia="Times New Roman" w:hAnsi="Arial" w:cs="Arial"/>
          <w:color w:val="000000"/>
          <w:sz w:val="24"/>
          <w:szCs w:val="24"/>
          <w:lang w:val="en-US"/>
        </w:rPr>
        <w:t>is</w:t>
      </w:r>
      <w:r w:rsidR="00827F17">
        <w:rPr>
          <w:rFonts w:ascii="Arial" w:eastAsia="Times New Roman" w:hAnsi="Arial" w:cs="Arial"/>
          <w:color w:val="000000"/>
          <w:sz w:val="24"/>
          <w:szCs w:val="24"/>
          <w:lang w:val="en-US"/>
        </w:rPr>
        <w:t xml:space="preserve"> court is for a judgment sounding in money against the Respondents, jointly and severally, the one to pay, the other(s) to be absolved, in their capacities as sureties and co-principal debtors.</w:t>
      </w:r>
    </w:p>
    <w:p w14:paraId="097575DF" w14:textId="77777777" w:rsidR="00CB3FA5" w:rsidRPr="0054368D" w:rsidRDefault="00CB3FA5" w:rsidP="00CB3FA5">
      <w:pPr>
        <w:spacing w:after="0" w:line="360" w:lineRule="auto"/>
        <w:ind w:left="851" w:hanging="851"/>
        <w:jc w:val="both"/>
        <w:rPr>
          <w:rFonts w:ascii="Arial" w:eastAsia="Times New Roman" w:hAnsi="Arial" w:cs="Arial"/>
          <w:color w:val="000000"/>
          <w:sz w:val="24"/>
          <w:szCs w:val="24"/>
          <w:lang w:val="en-US"/>
        </w:rPr>
      </w:pPr>
    </w:p>
    <w:p w14:paraId="7A37B06B" w14:textId="77777777" w:rsidR="00CB3FA5" w:rsidRPr="0054368D" w:rsidRDefault="00AC2594" w:rsidP="00AC2594">
      <w:pPr>
        <w:spacing w:after="0" w:line="360" w:lineRule="auto"/>
        <w:ind w:left="851" w:hanging="851"/>
        <w:jc w:val="both"/>
        <w:rPr>
          <w:rFonts w:ascii="Arial" w:hAnsi="Arial" w:cs="Arial"/>
          <w:bCs/>
          <w:sz w:val="24"/>
          <w:szCs w:val="24"/>
        </w:rPr>
      </w:pPr>
      <w:r w:rsidRPr="0054368D">
        <w:rPr>
          <w:rFonts w:ascii="Arial" w:eastAsia="Times New Roman" w:hAnsi="Arial" w:cs="Arial"/>
          <w:color w:val="000000"/>
          <w:sz w:val="24"/>
          <w:szCs w:val="24"/>
          <w:lang w:val="en-US"/>
        </w:rPr>
        <w:t>[2]</w:t>
      </w:r>
      <w:r w:rsidRPr="0054368D">
        <w:rPr>
          <w:rFonts w:ascii="Arial" w:eastAsia="Times New Roman" w:hAnsi="Arial" w:cs="Arial"/>
          <w:color w:val="000000"/>
          <w:sz w:val="24"/>
          <w:szCs w:val="24"/>
          <w:lang w:val="en-US"/>
        </w:rPr>
        <w:tab/>
      </w:r>
      <w:r w:rsidR="004A0120">
        <w:rPr>
          <w:rFonts w:ascii="Arial" w:hAnsi="Arial" w:cs="Arial"/>
          <w:bCs/>
          <w:sz w:val="24"/>
          <w:szCs w:val="24"/>
        </w:rPr>
        <w:t>The Respondents also apply for condonation for the late filing of their Answering Affidavit</w:t>
      </w:r>
      <w:r w:rsidR="00FA1732">
        <w:rPr>
          <w:rFonts w:ascii="Arial" w:hAnsi="Arial" w:cs="Arial"/>
          <w:bCs/>
          <w:sz w:val="24"/>
          <w:szCs w:val="24"/>
        </w:rPr>
        <w:t>.</w:t>
      </w:r>
      <w:r w:rsidR="00504790">
        <w:rPr>
          <w:rStyle w:val="FootnoteReference"/>
          <w:rFonts w:ascii="Arial" w:hAnsi="Arial" w:cs="Arial"/>
          <w:bCs/>
          <w:sz w:val="24"/>
          <w:szCs w:val="24"/>
        </w:rPr>
        <w:footnoteReference w:id="1"/>
      </w:r>
    </w:p>
    <w:p w14:paraId="4577F2DB" w14:textId="77777777" w:rsidR="00AC2594" w:rsidRPr="0054368D" w:rsidRDefault="00AC2594" w:rsidP="00AC2594">
      <w:pPr>
        <w:spacing w:after="0" w:line="360" w:lineRule="auto"/>
        <w:ind w:left="851" w:hanging="851"/>
        <w:jc w:val="both"/>
        <w:rPr>
          <w:rFonts w:ascii="Arial" w:hAnsi="Arial" w:cs="Arial"/>
          <w:bCs/>
          <w:sz w:val="24"/>
          <w:szCs w:val="24"/>
        </w:rPr>
      </w:pPr>
    </w:p>
    <w:p w14:paraId="25AC8A4F" w14:textId="77777777" w:rsidR="00476438" w:rsidRDefault="00170325" w:rsidP="00026DF7">
      <w:pPr>
        <w:spacing w:after="0" w:line="360" w:lineRule="auto"/>
        <w:ind w:left="851" w:hanging="851"/>
        <w:jc w:val="both"/>
        <w:rPr>
          <w:rFonts w:ascii="Arial" w:eastAsia="Times New Roman" w:hAnsi="Arial" w:cs="Arial"/>
          <w:color w:val="000000"/>
          <w:sz w:val="24"/>
          <w:szCs w:val="24"/>
          <w:lang w:val="en-US"/>
        </w:rPr>
      </w:pPr>
      <w:r w:rsidRPr="0054368D">
        <w:rPr>
          <w:rFonts w:ascii="Arial" w:eastAsia="Times New Roman" w:hAnsi="Arial" w:cs="Arial"/>
          <w:color w:val="000000"/>
          <w:sz w:val="24"/>
          <w:szCs w:val="24"/>
          <w:lang w:val="en-US"/>
        </w:rPr>
        <w:t>[3</w:t>
      </w:r>
      <w:r w:rsidR="00CB3FA5" w:rsidRPr="0054368D">
        <w:rPr>
          <w:rFonts w:ascii="Arial" w:eastAsia="Times New Roman" w:hAnsi="Arial" w:cs="Arial"/>
          <w:color w:val="000000"/>
          <w:sz w:val="24"/>
          <w:szCs w:val="24"/>
          <w:lang w:val="en-US"/>
        </w:rPr>
        <w:t>]</w:t>
      </w:r>
      <w:r w:rsidR="00CB3FA5" w:rsidRPr="0054368D">
        <w:rPr>
          <w:rFonts w:ascii="Arial" w:eastAsia="Times New Roman" w:hAnsi="Arial" w:cs="Arial"/>
          <w:color w:val="000000"/>
          <w:sz w:val="24"/>
          <w:szCs w:val="24"/>
          <w:lang w:val="en-US"/>
        </w:rPr>
        <w:tab/>
      </w:r>
      <w:r w:rsidR="00FA1732">
        <w:rPr>
          <w:rFonts w:ascii="Arial" w:eastAsia="Times New Roman" w:hAnsi="Arial" w:cs="Arial"/>
          <w:color w:val="000000"/>
          <w:sz w:val="24"/>
          <w:szCs w:val="24"/>
          <w:lang w:val="en-US"/>
        </w:rPr>
        <w:t>The Applicant concluded an agreement with Heever Boerdery CC (in liqui</w:t>
      </w:r>
      <w:r w:rsidR="00362C1E">
        <w:rPr>
          <w:rFonts w:ascii="Arial" w:eastAsia="Times New Roman" w:hAnsi="Arial" w:cs="Arial"/>
          <w:color w:val="000000"/>
          <w:sz w:val="24"/>
          <w:szCs w:val="24"/>
          <w:lang w:val="en-US"/>
        </w:rPr>
        <w:t>d</w:t>
      </w:r>
      <w:r w:rsidR="00FA1732">
        <w:rPr>
          <w:rFonts w:ascii="Arial" w:eastAsia="Times New Roman" w:hAnsi="Arial" w:cs="Arial"/>
          <w:color w:val="000000"/>
          <w:sz w:val="24"/>
          <w:szCs w:val="24"/>
          <w:lang w:val="en-US"/>
        </w:rPr>
        <w:t>ation)</w:t>
      </w:r>
      <w:r w:rsidR="00362C1E">
        <w:rPr>
          <w:rFonts w:ascii="Arial" w:eastAsia="Times New Roman" w:hAnsi="Arial" w:cs="Arial"/>
          <w:color w:val="000000"/>
          <w:sz w:val="24"/>
          <w:szCs w:val="24"/>
          <w:lang w:val="en-US"/>
        </w:rPr>
        <w:t xml:space="preserve"> </w:t>
      </w:r>
      <w:r w:rsidR="00FA1732" w:rsidRPr="00FA1732">
        <w:rPr>
          <w:rFonts w:ascii="Arial" w:eastAsia="Times New Roman" w:hAnsi="Arial" w:cs="Arial"/>
          <w:i/>
          <w:iCs/>
          <w:color w:val="000000"/>
          <w:sz w:val="24"/>
          <w:szCs w:val="24"/>
          <w:lang w:val="en-US"/>
        </w:rPr>
        <w:t xml:space="preserve">(“the principal debtor”) </w:t>
      </w:r>
      <w:r w:rsidR="00FA1732">
        <w:rPr>
          <w:rFonts w:ascii="Arial" w:eastAsia="Times New Roman" w:hAnsi="Arial" w:cs="Arial"/>
          <w:color w:val="000000"/>
          <w:sz w:val="24"/>
          <w:szCs w:val="24"/>
          <w:lang w:val="en-US"/>
        </w:rPr>
        <w:t>on or about 12 July 2018 in terms of which the Applicant made available a credit facility to the principal debtor, limited to the capital amount of R197 000.00</w:t>
      </w:r>
      <w:r w:rsidR="00FA1732">
        <w:rPr>
          <w:rStyle w:val="FootnoteReference"/>
          <w:rFonts w:ascii="Arial" w:eastAsia="Times New Roman" w:hAnsi="Arial" w:cs="Arial"/>
          <w:color w:val="000000"/>
          <w:sz w:val="24"/>
          <w:szCs w:val="24"/>
          <w:lang w:val="en-US"/>
        </w:rPr>
        <w:footnoteReference w:id="2"/>
      </w:r>
    </w:p>
    <w:p w14:paraId="6742CEDD" w14:textId="77777777" w:rsidR="00AD2834" w:rsidRPr="0054368D" w:rsidRDefault="00AD2834" w:rsidP="00026DF7">
      <w:pPr>
        <w:spacing w:after="0" w:line="360" w:lineRule="auto"/>
        <w:ind w:left="851" w:hanging="851"/>
        <w:jc w:val="both"/>
        <w:rPr>
          <w:rFonts w:ascii="Arial" w:eastAsia="Times New Roman" w:hAnsi="Arial" w:cs="Arial"/>
          <w:color w:val="000000"/>
          <w:sz w:val="24"/>
          <w:szCs w:val="24"/>
          <w:lang w:val="en-US"/>
        </w:rPr>
      </w:pPr>
    </w:p>
    <w:p w14:paraId="0906F025" w14:textId="77777777" w:rsidR="008E156D" w:rsidRPr="0054368D" w:rsidRDefault="00170325" w:rsidP="00FB40F0">
      <w:pPr>
        <w:spacing w:after="0" w:line="360" w:lineRule="auto"/>
        <w:ind w:left="851" w:hanging="851"/>
        <w:jc w:val="both"/>
        <w:rPr>
          <w:rFonts w:ascii="Arial" w:hAnsi="Arial" w:cs="Arial"/>
          <w:iCs/>
          <w:sz w:val="24"/>
          <w:szCs w:val="24"/>
        </w:rPr>
      </w:pPr>
      <w:r w:rsidRPr="0054368D">
        <w:rPr>
          <w:rFonts w:ascii="Arial" w:eastAsia="Times New Roman" w:hAnsi="Arial" w:cs="Arial"/>
          <w:color w:val="000000"/>
          <w:sz w:val="24"/>
          <w:szCs w:val="24"/>
          <w:lang w:val="en-US"/>
        </w:rPr>
        <w:t>[4]</w:t>
      </w:r>
      <w:r w:rsidRPr="0054368D">
        <w:rPr>
          <w:rFonts w:ascii="Arial" w:eastAsia="Times New Roman" w:hAnsi="Arial" w:cs="Arial"/>
          <w:color w:val="000000"/>
          <w:sz w:val="24"/>
          <w:szCs w:val="24"/>
          <w:lang w:val="en-US"/>
        </w:rPr>
        <w:tab/>
      </w:r>
      <w:r w:rsidR="00704D77" w:rsidRPr="0054368D">
        <w:rPr>
          <w:rFonts w:ascii="Arial" w:eastAsia="Times New Roman" w:hAnsi="Arial" w:cs="Arial"/>
          <w:color w:val="000000"/>
          <w:sz w:val="24"/>
          <w:szCs w:val="24"/>
          <w:lang w:val="en-US"/>
        </w:rPr>
        <w:t xml:space="preserve"> </w:t>
      </w:r>
      <w:r w:rsidR="00AD2834">
        <w:rPr>
          <w:rFonts w:ascii="Arial" w:eastAsia="Times New Roman" w:hAnsi="Arial" w:cs="Arial"/>
          <w:color w:val="000000"/>
          <w:sz w:val="24"/>
          <w:szCs w:val="24"/>
          <w:lang w:val="en-US"/>
        </w:rPr>
        <w:t>The Applicant has complied with its obligation in terms of the agr</w:t>
      </w:r>
      <w:r w:rsidR="00F30212">
        <w:rPr>
          <w:rFonts w:ascii="Arial" w:eastAsia="Times New Roman" w:hAnsi="Arial" w:cs="Arial"/>
          <w:color w:val="000000"/>
          <w:sz w:val="24"/>
          <w:szCs w:val="24"/>
          <w:lang w:val="en-US"/>
        </w:rPr>
        <w:t>e</w:t>
      </w:r>
      <w:r w:rsidR="00AD2834">
        <w:rPr>
          <w:rFonts w:ascii="Arial" w:eastAsia="Times New Roman" w:hAnsi="Arial" w:cs="Arial"/>
          <w:color w:val="000000"/>
          <w:sz w:val="24"/>
          <w:szCs w:val="24"/>
          <w:lang w:val="en-US"/>
        </w:rPr>
        <w:t>ement.</w:t>
      </w:r>
      <w:r w:rsidR="00AD2834">
        <w:rPr>
          <w:rStyle w:val="FootnoteReference"/>
          <w:rFonts w:ascii="Arial" w:eastAsia="Times New Roman" w:hAnsi="Arial" w:cs="Arial"/>
          <w:color w:val="000000"/>
          <w:sz w:val="24"/>
          <w:szCs w:val="24"/>
          <w:lang w:val="en-US"/>
        </w:rPr>
        <w:footnoteReference w:id="3"/>
      </w:r>
    </w:p>
    <w:p w14:paraId="6A377895" w14:textId="77777777" w:rsidR="008E156D" w:rsidRPr="0054368D" w:rsidRDefault="008E156D" w:rsidP="00F24D06">
      <w:pPr>
        <w:spacing w:after="0" w:line="360" w:lineRule="auto"/>
        <w:ind w:left="851" w:hanging="851"/>
        <w:jc w:val="both"/>
        <w:rPr>
          <w:rFonts w:ascii="Arial" w:eastAsia="Times New Roman" w:hAnsi="Arial" w:cs="Arial"/>
          <w:color w:val="000000"/>
          <w:sz w:val="24"/>
          <w:szCs w:val="24"/>
          <w:lang w:val="en-US"/>
        </w:rPr>
      </w:pPr>
    </w:p>
    <w:p w14:paraId="6D19CE5C" w14:textId="1771AF78" w:rsidR="007935A0" w:rsidRDefault="00170325" w:rsidP="00D67F40">
      <w:pPr>
        <w:spacing w:after="0" w:line="360" w:lineRule="auto"/>
        <w:ind w:left="851" w:hanging="851"/>
        <w:jc w:val="both"/>
        <w:rPr>
          <w:rFonts w:ascii="Arial" w:eastAsia="Times New Roman" w:hAnsi="Arial" w:cs="Arial"/>
          <w:color w:val="000000"/>
          <w:sz w:val="24"/>
          <w:szCs w:val="24"/>
          <w:lang w:val="en-US"/>
        </w:rPr>
      </w:pPr>
      <w:r w:rsidRPr="0054368D">
        <w:rPr>
          <w:rFonts w:ascii="Arial" w:eastAsia="Times New Roman" w:hAnsi="Arial" w:cs="Arial"/>
          <w:color w:val="000000"/>
          <w:sz w:val="24"/>
          <w:szCs w:val="24"/>
          <w:lang w:val="en-US"/>
        </w:rPr>
        <w:t>[5]</w:t>
      </w:r>
      <w:r w:rsidRPr="0054368D">
        <w:rPr>
          <w:rFonts w:ascii="Arial" w:eastAsia="Times New Roman" w:hAnsi="Arial" w:cs="Arial"/>
          <w:color w:val="000000"/>
          <w:sz w:val="24"/>
          <w:szCs w:val="24"/>
          <w:lang w:val="en-US"/>
        </w:rPr>
        <w:tab/>
      </w:r>
      <w:r w:rsidR="00F30212">
        <w:rPr>
          <w:rFonts w:ascii="Arial" w:eastAsia="Times New Roman" w:hAnsi="Arial" w:cs="Arial"/>
          <w:color w:val="000000"/>
          <w:sz w:val="24"/>
          <w:szCs w:val="24"/>
          <w:lang w:val="en-US"/>
        </w:rPr>
        <w:t>The principal debtor failed to maintain the minimum monthly instalments in terms of the agreement and the last payment made by the principal debtor was on 24 March 2021</w:t>
      </w:r>
      <w:r w:rsidR="00F30212">
        <w:rPr>
          <w:rStyle w:val="FootnoteReference"/>
          <w:rFonts w:ascii="Arial" w:eastAsia="Times New Roman" w:hAnsi="Arial" w:cs="Arial"/>
          <w:color w:val="000000"/>
          <w:sz w:val="24"/>
          <w:szCs w:val="24"/>
          <w:lang w:val="en-US"/>
        </w:rPr>
        <w:footnoteReference w:id="4"/>
      </w:r>
    </w:p>
    <w:p w14:paraId="120E7E49" w14:textId="77777777" w:rsidR="00210DF1" w:rsidRDefault="00210DF1" w:rsidP="00D67F40">
      <w:pPr>
        <w:spacing w:after="0" w:line="360" w:lineRule="auto"/>
        <w:ind w:left="851" w:hanging="851"/>
        <w:jc w:val="both"/>
        <w:rPr>
          <w:rFonts w:ascii="Arial" w:eastAsia="Times New Roman" w:hAnsi="Arial" w:cs="Arial"/>
          <w:color w:val="000000"/>
          <w:sz w:val="24"/>
          <w:szCs w:val="24"/>
          <w:lang w:val="en-US"/>
        </w:rPr>
      </w:pPr>
    </w:p>
    <w:p w14:paraId="510F687F" w14:textId="42E57435" w:rsidR="00210DF1" w:rsidRDefault="00210DF1" w:rsidP="00D67F40">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[6]</w:t>
      </w:r>
      <w:r>
        <w:rPr>
          <w:rFonts w:ascii="Arial" w:eastAsia="Times New Roman" w:hAnsi="Arial" w:cs="Arial"/>
          <w:color w:val="000000"/>
          <w:sz w:val="24"/>
          <w:szCs w:val="24"/>
          <w:lang w:val="en-US"/>
        </w:rPr>
        <w:tab/>
        <w:t>Notwithstanding written demand, which was duly served on the principal debtor, the principal debtor has failed to pay the outstanding amount due to the Applicant under the credit facility</w:t>
      </w:r>
      <w:r w:rsidR="00C575E6">
        <w:rPr>
          <w:rFonts w:ascii="Arial" w:eastAsia="Times New Roman" w:hAnsi="Arial" w:cs="Arial"/>
          <w:color w:val="000000"/>
          <w:sz w:val="24"/>
          <w:szCs w:val="24"/>
          <w:lang w:val="en-US"/>
        </w:rPr>
        <w:t>.</w:t>
      </w:r>
      <w:r>
        <w:rPr>
          <w:rStyle w:val="FootnoteReference"/>
          <w:rFonts w:ascii="Arial" w:eastAsia="Times New Roman" w:hAnsi="Arial" w:cs="Arial"/>
          <w:color w:val="000000"/>
          <w:sz w:val="24"/>
          <w:szCs w:val="24"/>
          <w:lang w:val="en-US"/>
        </w:rPr>
        <w:footnoteReference w:id="5"/>
      </w:r>
    </w:p>
    <w:p w14:paraId="5728AFE5" w14:textId="77777777" w:rsidR="00C73DA4" w:rsidRDefault="00C73DA4" w:rsidP="00D67F40">
      <w:pPr>
        <w:spacing w:after="0" w:line="360" w:lineRule="auto"/>
        <w:ind w:left="851" w:hanging="851"/>
        <w:jc w:val="both"/>
        <w:rPr>
          <w:rFonts w:ascii="Arial" w:eastAsia="Times New Roman" w:hAnsi="Arial" w:cs="Arial"/>
          <w:color w:val="000000"/>
          <w:sz w:val="24"/>
          <w:szCs w:val="24"/>
          <w:lang w:val="en-US"/>
        </w:rPr>
      </w:pPr>
    </w:p>
    <w:p w14:paraId="4EF0C346" w14:textId="195E5692" w:rsidR="00C73DA4" w:rsidRDefault="00C73DA4" w:rsidP="00D67F40">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ab/>
        <w:t xml:space="preserve">The principal debtor is </w:t>
      </w:r>
      <w:r w:rsidR="00C267DE">
        <w:rPr>
          <w:rFonts w:ascii="Arial" w:eastAsia="Times New Roman" w:hAnsi="Arial" w:cs="Arial"/>
          <w:color w:val="000000"/>
          <w:sz w:val="24"/>
          <w:szCs w:val="24"/>
          <w:lang w:val="en-US"/>
        </w:rPr>
        <w:t xml:space="preserve">accordingly </w:t>
      </w:r>
      <w:r>
        <w:rPr>
          <w:rFonts w:ascii="Arial" w:eastAsia="Times New Roman" w:hAnsi="Arial" w:cs="Arial"/>
          <w:color w:val="000000"/>
          <w:sz w:val="24"/>
          <w:szCs w:val="24"/>
          <w:lang w:val="en-US"/>
        </w:rPr>
        <w:t>indebted to the Applicant</w:t>
      </w:r>
      <w:r w:rsidR="00C41E4F">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in the amount of R205 884.78 plus interest calculated daily and compounded monthly in arrears from 1 September 2021.</w:t>
      </w:r>
      <w:r>
        <w:rPr>
          <w:rStyle w:val="FootnoteReference"/>
          <w:rFonts w:ascii="Arial" w:eastAsia="Times New Roman" w:hAnsi="Arial" w:cs="Arial"/>
          <w:color w:val="000000"/>
          <w:sz w:val="24"/>
          <w:szCs w:val="24"/>
          <w:lang w:val="en-US"/>
        </w:rPr>
        <w:footnoteReference w:id="6"/>
      </w:r>
    </w:p>
    <w:p w14:paraId="05804187" w14:textId="77777777" w:rsidR="00A46127" w:rsidRDefault="00A46127" w:rsidP="00C41E4F">
      <w:pPr>
        <w:spacing w:after="0" w:line="360" w:lineRule="auto"/>
        <w:jc w:val="both"/>
        <w:rPr>
          <w:rFonts w:ascii="Arial" w:eastAsia="Times New Roman" w:hAnsi="Arial" w:cs="Arial"/>
          <w:color w:val="000000"/>
          <w:sz w:val="24"/>
          <w:szCs w:val="24"/>
          <w:lang w:val="en-US"/>
        </w:rPr>
      </w:pPr>
    </w:p>
    <w:p w14:paraId="245E9D81" w14:textId="77777777" w:rsidR="00A46127" w:rsidRDefault="00A46127" w:rsidP="00D67F40">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[8]</w:t>
      </w:r>
      <w:r>
        <w:rPr>
          <w:rFonts w:ascii="Arial" w:eastAsia="Times New Roman" w:hAnsi="Arial" w:cs="Arial"/>
          <w:color w:val="000000"/>
          <w:sz w:val="24"/>
          <w:szCs w:val="24"/>
          <w:lang w:val="en-US"/>
        </w:rPr>
        <w:tab/>
        <w:t xml:space="preserve">In terms of the suretyship agreements concluded between the Applicant and the First, Second and Third Respondents, the Respondents bound themselves as sureties and co-principal debtors </w:t>
      </w:r>
      <w:r>
        <w:rPr>
          <w:rFonts w:ascii="Arial" w:eastAsia="Times New Roman" w:hAnsi="Arial" w:cs="Arial"/>
          <w:i/>
          <w:iCs/>
          <w:color w:val="000000"/>
          <w:sz w:val="24"/>
          <w:szCs w:val="24"/>
          <w:lang w:val="en-US"/>
        </w:rPr>
        <w:t>in solidium</w:t>
      </w:r>
      <w:r>
        <w:rPr>
          <w:rFonts w:ascii="Arial" w:eastAsia="Times New Roman" w:hAnsi="Arial" w:cs="Arial"/>
          <w:color w:val="000000"/>
          <w:sz w:val="24"/>
          <w:szCs w:val="24"/>
          <w:lang w:val="en-US"/>
        </w:rPr>
        <w:t xml:space="preserve"> to the Applicant for the repayment of the amounts that may from time to time become due in terms of the credit facility advanced by the Applicant to the principal debtor.</w:t>
      </w:r>
      <w:r>
        <w:rPr>
          <w:rStyle w:val="FootnoteReference"/>
          <w:rFonts w:ascii="Arial" w:eastAsia="Times New Roman" w:hAnsi="Arial" w:cs="Arial"/>
          <w:color w:val="000000"/>
          <w:sz w:val="24"/>
          <w:szCs w:val="24"/>
          <w:lang w:val="en-US"/>
        </w:rPr>
        <w:footnoteReference w:id="7"/>
      </w:r>
    </w:p>
    <w:p w14:paraId="5CCD1FF3" w14:textId="4ADDB17B" w:rsidR="00CB10C2" w:rsidRPr="00CB10C2" w:rsidRDefault="00CB10C2" w:rsidP="00736DDE">
      <w:pPr>
        <w:spacing w:after="0" w:line="360" w:lineRule="auto"/>
        <w:ind w:left="851" w:hanging="851"/>
        <w:jc w:val="both"/>
        <w:rPr>
          <w:rFonts w:ascii="Arial" w:eastAsia="Times New Roman" w:hAnsi="Arial" w:cs="Arial"/>
          <w:color w:val="000000"/>
          <w:sz w:val="24"/>
          <w:szCs w:val="24"/>
        </w:rPr>
      </w:pPr>
      <w:r>
        <w:rPr>
          <w:rFonts w:ascii="Arial" w:eastAsia="Times New Roman" w:hAnsi="Arial" w:cs="Arial"/>
          <w:color w:val="000000"/>
          <w:sz w:val="24"/>
          <w:szCs w:val="24"/>
          <w:lang w:val="en-US"/>
        </w:rPr>
        <w:t>[9]</w:t>
      </w:r>
      <w:r>
        <w:rPr>
          <w:rFonts w:ascii="Arial" w:eastAsia="Times New Roman" w:hAnsi="Arial" w:cs="Arial"/>
          <w:color w:val="000000"/>
          <w:sz w:val="24"/>
          <w:szCs w:val="24"/>
          <w:lang w:val="en-US"/>
        </w:rPr>
        <w:tab/>
      </w:r>
      <w:r w:rsidR="002111D4">
        <w:rPr>
          <w:rFonts w:ascii="Arial" w:eastAsia="Times New Roman" w:hAnsi="Arial" w:cs="Arial"/>
          <w:color w:val="000000"/>
          <w:sz w:val="24"/>
          <w:szCs w:val="24"/>
        </w:rPr>
        <w:t>The first defence raised by the Respondent’s to the Applicant’s claim is that on 10 May 2021, Mr Oosthuizen (a creditor of the principal debtor) lodged an application to place the principal debtor under business rescue.</w:t>
      </w:r>
      <w:r w:rsidR="002111D4">
        <w:rPr>
          <w:rStyle w:val="FootnoteReference"/>
          <w:rFonts w:ascii="Arial" w:eastAsia="Times New Roman" w:hAnsi="Arial" w:cs="Arial"/>
          <w:color w:val="000000"/>
          <w:sz w:val="24"/>
          <w:szCs w:val="24"/>
        </w:rPr>
        <w:footnoteReference w:id="8"/>
      </w:r>
      <w:r w:rsidR="005327DE" w:rsidRPr="005327DE">
        <w:rPr>
          <w:rFonts w:ascii="Arial" w:eastAsia="Times New Roman" w:hAnsi="Arial" w:cs="Arial"/>
          <w:color w:val="000000"/>
          <w:sz w:val="24"/>
          <w:szCs w:val="24"/>
          <w:lang w:val="en-US"/>
        </w:rPr>
        <w:t xml:space="preserve"> </w:t>
      </w:r>
      <w:r w:rsidR="005327DE">
        <w:rPr>
          <w:rFonts w:ascii="Arial" w:eastAsia="Times New Roman" w:hAnsi="Arial" w:cs="Arial"/>
          <w:color w:val="000000"/>
          <w:sz w:val="24"/>
          <w:szCs w:val="24"/>
          <w:lang w:val="en-US"/>
        </w:rPr>
        <w:t>This business rescue application was heard on 4 November 2021 and the judgment has to date not been handed down.</w:t>
      </w:r>
      <w:r w:rsidR="005327DE">
        <w:rPr>
          <w:rStyle w:val="FootnoteReference"/>
          <w:rFonts w:ascii="Arial" w:eastAsia="Times New Roman" w:hAnsi="Arial" w:cs="Arial"/>
          <w:color w:val="000000"/>
          <w:sz w:val="24"/>
          <w:szCs w:val="24"/>
          <w:lang w:val="en-US"/>
        </w:rPr>
        <w:footnoteReference w:id="9"/>
      </w:r>
    </w:p>
    <w:p w14:paraId="3D90A1D7" w14:textId="3A734B81" w:rsidR="00133AED" w:rsidRDefault="007935A0" w:rsidP="00736DDE">
      <w:pPr>
        <w:spacing w:after="0" w:line="360" w:lineRule="auto"/>
        <w:ind w:left="851" w:hanging="851"/>
        <w:jc w:val="both"/>
        <w:rPr>
          <w:rFonts w:ascii="Arial" w:eastAsia="Times New Roman" w:hAnsi="Arial" w:cs="Arial"/>
          <w:color w:val="000000"/>
          <w:sz w:val="24"/>
          <w:szCs w:val="24"/>
          <w:lang w:val="en-US"/>
        </w:rPr>
      </w:pPr>
      <w:r w:rsidRPr="0054368D">
        <w:rPr>
          <w:rFonts w:ascii="Arial" w:eastAsia="Times New Roman" w:hAnsi="Arial" w:cs="Arial"/>
          <w:color w:val="000000"/>
          <w:sz w:val="24"/>
          <w:szCs w:val="24"/>
          <w:lang w:val="en-US"/>
        </w:rPr>
        <w:t xml:space="preserve"> </w:t>
      </w:r>
    </w:p>
    <w:p w14:paraId="709D84AD" w14:textId="7C78F58F" w:rsidR="00133AED" w:rsidRDefault="00133AED" w:rsidP="00233825">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563178">
        <w:rPr>
          <w:rFonts w:ascii="Arial" w:eastAsia="Times New Roman" w:hAnsi="Arial" w:cs="Arial"/>
          <w:color w:val="000000"/>
          <w:sz w:val="24"/>
          <w:szCs w:val="24"/>
          <w:lang w:val="en-US"/>
        </w:rPr>
        <w:t>0</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The Respondents have been advised that Section 133(2) of the Companies Act 71 of 2008, provides for a moratorium on the legal proceedings against the sureties of a company which is placed under business rescue and because </w:t>
      </w:r>
      <w:r w:rsidR="00161228">
        <w:rPr>
          <w:rFonts w:ascii="Arial" w:eastAsia="Times New Roman" w:hAnsi="Arial" w:cs="Arial"/>
          <w:color w:val="000000"/>
          <w:sz w:val="24"/>
          <w:szCs w:val="24"/>
          <w:lang w:val="en-US"/>
        </w:rPr>
        <w:t xml:space="preserve">there is a possibility that the </w:t>
      </w:r>
      <w:r>
        <w:rPr>
          <w:rFonts w:ascii="Arial" w:eastAsia="Times New Roman" w:hAnsi="Arial" w:cs="Arial"/>
          <w:color w:val="000000"/>
          <w:sz w:val="24"/>
          <w:szCs w:val="24"/>
          <w:lang w:val="en-US"/>
        </w:rPr>
        <w:t>principal debtor might be placed under business rescue, it would be prudent for the present application to be stayed, alternatively, dismissed.</w:t>
      </w:r>
      <w:r>
        <w:rPr>
          <w:rStyle w:val="FootnoteReference"/>
          <w:rFonts w:ascii="Arial" w:eastAsia="Times New Roman" w:hAnsi="Arial" w:cs="Arial"/>
          <w:color w:val="000000"/>
          <w:sz w:val="24"/>
          <w:szCs w:val="24"/>
          <w:lang w:val="en-US"/>
        </w:rPr>
        <w:footnoteReference w:id="10"/>
      </w:r>
    </w:p>
    <w:p w14:paraId="7AC848B2" w14:textId="7099CAD3" w:rsidR="00C340F2" w:rsidRDefault="00C340F2" w:rsidP="00233825">
      <w:pPr>
        <w:spacing w:after="0" w:line="360" w:lineRule="auto"/>
        <w:ind w:left="851" w:hanging="851"/>
        <w:jc w:val="both"/>
        <w:rPr>
          <w:rFonts w:ascii="Arial" w:eastAsia="Times New Roman" w:hAnsi="Arial" w:cs="Arial"/>
          <w:color w:val="000000"/>
          <w:sz w:val="24"/>
          <w:szCs w:val="24"/>
          <w:lang w:val="en-US"/>
        </w:rPr>
      </w:pPr>
    </w:p>
    <w:p w14:paraId="5706EBB9" w14:textId="5664DE5B" w:rsidR="00C340F2" w:rsidRDefault="00C340F2" w:rsidP="00233825">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563178">
        <w:rPr>
          <w:rFonts w:ascii="Arial" w:eastAsia="Times New Roman" w:hAnsi="Arial" w:cs="Arial"/>
          <w:color w:val="000000"/>
          <w:sz w:val="24"/>
          <w:szCs w:val="24"/>
          <w:lang w:val="en-US"/>
        </w:rPr>
        <w:t>1</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Section 133(2) of the Companies Act 71 of 2008 reads:</w:t>
      </w:r>
    </w:p>
    <w:p w14:paraId="03045909" w14:textId="62174A27" w:rsidR="00C340F2" w:rsidRDefault="00C340F2" w:rsidP="007053CC">
      <w:pPr>
        <w:spacing w:after="0" w:line="360" w:lineRule="auto"/>
        <w:ind w:left="1440"/>
        <w:jc w:val="both"/>
        <w:rPr>
          <w:rFonts w:ascii="Arial" w:eastAsia="Times New Roman" w:hAnsi="Arial" w:cs="Arial"/>
          <w:i/>
          <w:iCs/>
          <w:color w:val="000000"/>
          <w:sz w:val="24"/>
          <w:szCs w:val="24"/>
          <w:lang w:val="en-US"/>
        </w:rPr>
      </w:pPr>
      <w:r>
        <w:rPr>
          <w:rFonts w:ascii="Arial" w:eastAsia="Times New Roman" w:hAnsi="Arial" w:cs="Arial"/>
          <w:i/>
          <w:iCs/>
          <w:color w:val="000000"/>
          <w:sz w:val="24"/>
          <w:szCs w:val="24"/>
          <w:lang w:val="en-US"/>
        </w:rPr>
        <w:t>“During business rescue proceedings, a guarantee or surety</w:t>
      </w:r>
      <w:r w:rsidR="007053CC">
        <w:rPr>
          <w:rFonts w:ascii="Arial" w:eastAsia="Times New Roman" w:hAnsi="Arial" w:cs="Arial"/>
          <w:i/>
          <w:iCs/>
          <w:color w:val="000000"/>
          <w:sz w:val="24"/>
          <w:szCs w:val="24"/>
          <w:lang w:val="en-US"/>
        </w:rPr>
        <w:t xml:space="preserve"> by a company in favour of any other person may not be enforced by any person against the company except with leave of the court and in accordance with the terms the court considers just and equitable in the circumstances”</w:t>
      </w:r>
    </w:p>
    <w:p w14:paraId="3284A89D" w14:textId="26455ED6" w:rsidR="007053CC" w:rsidRDefault="007053CC" w:rsidP="007053CC">
      <w:pPr>
        <w:spacing w:after="0" w:line="360" w:lineRule="auto"/>
        <w:jc w:val="both"/>
        <w:rPr>
          <w:rFonts w:ascii="Arial" w:eastAsia="Times New Roman" w:hAnsi="Arial" w:cs="Arial"/>
          <w:color w:val="000000"/>
          <w:sz w:val="24"/>
          <w:szCs w:val="24"/>
          <w:lang w:val="en-US"/>
        </w:rPr>
      </w:pPr>
    </w:p>
    <w:p w14:paraId="4E53FC60" w14:textId="539908D8" w:rsidR="007053CC" w:rsidRDefault="007053CC" w:rsidP="007053CC">
      <w:pPr>
        <w:spacing w:after="0" w:line="360" w:lineRule="auto"/>
        <w:ind w:left="720" w:hanging="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563178">
        <w:rPr>
          <w:rFonts w:ascii="Arial" w:eastAsia="Times New Roman" w:hAnsi="Arial" w:cs="Arial"/>
          <w:color w:val="000000"/>
          <w:sz w:val="24"/>
          <w:szCs w:val="24"/>
          <w:lang w:val="en-US"/>
        </w:rPr>
        <w:t>2</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 </w:t>
      </w:r>
      <w:r w:rsidR="004E179D">
        <w:rPr>
          <w:rFonts w:ascii="Arial" w:eastAsia="Times New Roman" w:hAnsi="Arial" w:cs="Arial"/>
          <w:color w:val="000000"/>
          <w:sz w:val="24"/>
          <w:szCs w:val="24"/>
          <w:lang w:val="en-US"/>
        </w:rPr>
        <w:t xml:space="preserve">A plain reading of </w:t>
      </w:r>
      <w:r>
        <w:rPr>
          <w:rFonts w:ascii="Arial" w:eastAsia="Times New Roman" w:hAnsi="Arial" w:cs="Arial"/>
          <w:color w:val="000000"/>
          <w:sz w:val="24"/>
          <w:szCs w:val="24"/>
          <w:lang w:val="en-US"/>
        </w:rPr>
        <w:t>Section 132(2)</w:t>
      </w:r>
      <w:r>
        <w:rPr>
          <w:rStyle w:val="FootnoteReference"/>
          <w:rFonts w:ascii="Arial" w:eastAsia="Times New Roman" w:hAnsi="Arial" w:cs="Arial"/>
          <w:color w:val="000000"/>
          <w:sz w:val="24"/>
          <w:szCs w:val="24"/>
          <w:lang w:val="en-US"/>
        </w:rPr>
        <w:footnoteReference w:id="11"/>
      </w:r>
      <w:r>
        <w:rPr>
          <w:rFonts w:ascii="Arial" w:eastAsia="Times New Roman" w:hAnsi="Arial" w:cs="Arial"/>
          <w:color w:val="000000"/>
          <w:sz w:val="24"/>
          <w:szCs w:val="24"/>
          <w:lang w:val="en-US"/>
        </w:rPr>
        <w:t xml:space="preserve"> is </w:t>
      </w:r>
      <w:r w:rsidR="004E179D">
        <w:rPr>
          <w:rFonts w:ascii="Arial" w:eastAsia="Times New Roman" w:hAnsi="Arial" w:cs="Arial"/>
          <w:color w:val="000000"/>
          <w:sz w:val="24"/>
          <w:szCs w:val="24"/>
          <w:lang w:val="en-US"/>
        </w:rPr>
        <w:t xml:space="preserve">that it is </w:t>
      </w:r>
      <w:r>
        <w:rPr>
          <w:rFonts w:ascii="Arial" w:eastAsia="Times New Roman" w:hAnsi="Arial" w:cs="Arial"/>
          <w:color w:val="000000"/>
          <w:sz w:val="24"/>
          <w:szCs w:val="24"/>
          <w:lang w:val="en-US"/>
        </w:rPr>
        <w:t xml:space="preserve">a provision that deals specifically with the enforcement of claims against a company based on </w:t>
      </w:r>
      <w:r w:rsidR="004E179D">
        <w:rPr>
          <w:rFonts w:ascii="Arial" w:eastAsia="Times New Roman" w:hAnsi="Arial" w:cs="Arial"/>
          <w:color w:val="000000"/>
          <w:sz w:val="24"/>
          <w:szCs w:val="24"/>
          <w:lang w:val="en-US"/>
        </w:rPr>
        <w:t>guarantees and suretyships, and it contains a stipulation that in such cases the claims against the company may be enforced only with the leave of the court.</w:t>
      </w:r>
    </w:p>
    <w:p w14:paraId="43901679" w14:textId="1137FF2F" w:rsidR="00362216" w:rsidRPr="00362216" w:rsidRDefault="00362216" w:rsidP="007053CC">
      <w:pPr>
        <w:spacing w:after="0" w:line="360" w:lineRule="auto"/>
        <w:ind w:left="720" w:hanging="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ab/>
      </w:r>
      <w:r w:rsidRPr="00362216">
        <w:rPr>
          <w:rFonts w:ascii="Arial" w:eastAsia="Times New Roman" w:hAnsi="Arial" w:cs="Arial"/>
          <w:i/>
          <w:iCs/>
          <w:color w:val="000000"/>
          <w:sz w:val="24"/>
          <w:szCs w:val="24"/>
          <w:lang w:val="en-US"/>
        </w:rPr>
        <w:t>See Investec Bank Ltd v Bruyns 2021 (5) SA 430 (WCC)</w:t>
      </w:r>
    </w:p>
    <w:p w14:paraId="728EF1F3" w14:textId="70E4F6CD" w:rsidR="00362216" w:rsidRDefault="00362216" w:rsidP="007053CC">
      <w:pPr>
        <w:spacing w:after="0" w:line="360" w:lineRule="auto"/>
        <w:ind w:left="720" w:hanging="720"/>
        <w:jc w:val="both"/>
        <w:rPr>
          <w:rFonts w:ascii="Arial" w:eastAsia="Times New Roman" w:hAnsi="Arial" w:cs="Arial"/>
          <w:color w:val="000000"/>
          <w:sz w:val="24"/>
          <w:szCs w:val="24"/>
          <w:lang w:val="en-US"/>
        </w:rPr>
      </w:pPr>
    </w:p>
    <w:p w14:paraId="1ADD1CAC" w14:textId="47584333" w:rsidR="00362216" w:rsidRDefault="00362216" w:rsidP="007053CC">
      <w:pPr>
        <w:spacing w:after="0" w:line="360" w:lineRule="auto"/>
        <w:ind w:left="720" w:hanging="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563178">
        <w:rPr>
          <w:rFonts w:ascii="Arial" w:eastAsia="Times New Roman" w:hAnsi="Arial" w:cs="Arial"/>
          <w:color w:val="000000"/>
          <w:sz w:val="24"/>
          <w:szCs w:val="24"/>
          <w:lang w:val="en-US"/>
        </w:rPr>
        <w:t>3</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CE585B">
        <w:rPr>
          <w:rFonts w:ascii="Arial" w:eastAsia="Times New Roman" w:hAnsi="Arial" w:cs="Arial"/>
          <w:color w:val="000000"/>
          <w:sz w:val="24"/>
          <w:szCs w:val="24"/>
          <w:lang w:val="en-US"/>
        </w:rPr>
        <w:t>The possible granting of the business rescue application will have no effect on the Respondents’ indebtedness to the Applicant. All three Respondents</w:t>
      </w:r>
      <w:r w:rsidR="00D1665E">
        <w:rPr>
          <w:rFonts w:ascii="Arial" w:eastAsia="Times New Roman" w:hAnsi="Arial" w:cs="Arial"/>
          <w:color w:val="000000"/>
          <w:sz w:val="24"/>
          <w:szCs w:val="24"/>
          <w:lang w:val="en-US"/>
        </w:rPr>
        <w:t>, have specifically entered into suretyship agreements which contain clauses which preserve the rights of the Applicant to recover the balance owing from the Respondents in the event of it being unable to recover the full amount from the principal debtor.</w:t>
      </w:r>
      <w:r w:rsidR="00D1665E">
        <w:rPr>
          <w:rStyle w:val="FootnoteReference"/>
          <w:rFonts w:ascii="Arial" w:eastAsia="Times New Roman" w:hAnsi="Arial" w:cs="Arial"/>
          <w:color w:val="000000"/>
          <w:sz w:val="24"/>
          <w:szCs w:val="24"/>
          <w:lang w:val="en-US"/>
        </w:rPr>
        <w:footnoteReference w:id="12"/>
      </w:r>
    </w:p>
    <w:p w14:paraId="65F7DD4D" w14:textId="77777777" w:rsidR="0081758B" w:rsidRDefault="0081758B" w:rsidP="00432FFB">
      <w:pPr>
        <w:spacing w:after="0" w:line="360" w:lineRule="auto"/>
        <w:jc w:val="both"/>
        <w:rPr>
          <w:rFonts w:ascii="Arial" w:eastAsia="Times New Roman" w:hAnsi="Arial" w:cs="Arial"/>
          <w:color w:val="000000"/>
          <w:sz w:val="24"/>
          <w:szCs w:val="24"/>
          <w:lang w:val="en-US"/>
        </w:rPr>
      </w:pPr>
    </w:p>
    <w:p w14:paraId="70F1C7EF" w14:textId="042DAA12" w:rsidR="0081758B" w:rsidRDefault="0081758B" w:rsidP="00233825">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581A8E">
        <w:rPr>
          <w:rFonts w:ascii="Arial" w:eastAsia="Times New Roman" w:hAnsi="Arial" w:cs="Arial"/>
          <w:color w:val="000000"/>
          <w:sz w:val="24"/>
          <w:szCs w:val="24"/>
          <w:lang w:val="en-US"/>
        </w:rPr>
        <w:t>4</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3A47AA">
        <w:rPr>
          <w:rFonts w:ascii="Arial" w:eastAsia="Times New Roman" w:hAnsi="Arial" w:cs="Arial"/>
          <w:color w:val="000000"/>
          <w:sz w:val="24"/>
          <w:szCs w:val="24"/>
          <w:lang w:val="en-US"/>
        </w:rPr>
        <w:t>The second defence raised by the Respondents is that the principal debtor is in liquidation and a liquidator has been appointed.</w:t>
      </w:r>
      <w:r w:rsidR="003A47AA">
        <w:rPr>
          <w:rStyle w:val="FootnoteReference"/>
          <w:rFonts w:ascii="Arial" w:eastAsia="Times New Roman" w:hAnsi="Arial" w:cs="Arial"/>
          <w:color w:val="000000"/>
          <w:sz w:val="24"/>
          <w:szCs w:val="24"/>
          <w:lang w:val="en-US"/>
        </w:rPr>
        <w:footnoteReference w:id="13"/>
      </w:r>
      <w:r w:rsidR="00237D4C">
        <w:rPr>
          <w:rFonts w:ascii="Arial" w:eastAsia="Times New Roman" w:hAnsi="Arial" w:cs="Arial"/>
          <w:color w:val="000000"/>
          <w:sz w:val="24"/>
          <w:szCs w:val="24"/>
          <w:lang w:val="en-US"/>
        </w:rPr>
        <w:t>It is not clear</w:t>
      </w:r>
      <w:r w:rsidR="0028453A">
        <w:rPr>
          <w:rFonts w:ascii="Arial" w:eastAsia="Times New Roman" w:hAnsi="Arial" w:cs="Arial"/>
          <w:color w:val="000000"/>
          <w:sz w:val="24"/>
          <w:szCs w:val="24"/>
          <w:lang w:val="en-US"/>
        </w:rPr>
        <w:t xml:space="preserve"> to the Respondents</w:t>
      </w:r>
      <w:r w:rsidR="00237D4C">
        <w:rPr>
          <w:rFonts w:ascii="Arial" w:eastAsia="Times New Roman" w:hAnsi="Arial" w:cs="Arial"/>
          <w:color w:val="000000"/>
          <w:sz w:val="24"/>
          <w:szCs w:val="24"/>
          <w:lang w:val="en-US"/>
        </w:rPr>
        <w:t xml:space="preserve"> whether the Applicant has submitted a claim in the liquidation at the first meeting of creditors that was held on 21 April 2021</w:t>
      </w:r>
      <w:r w:rsidR="00F263B5">
        <w:rPr>
          <w:rFonts w:ascii="Arial" w:eastAsia="Times New Roman" w:hAnsi="Arial" w:cs="Arial"/>
          <w:color w:val="000000"/>
          <w:sz w:val="24"/>
          <w:szCs w:val="24"/>
          <w:lang w:val="en-US"/>
        </w:rPr>
        <w:t>,</w:t>
      </w:r>
      <w:r w:rsidR="00237D4C">
        <w:rPr>
          <w:rStyle w:val="FootnoteReference"/>
          <w:rFonts w:ascii="Arial" w:eastAsia="Times New Roman" w:hAnsi="Arial" w:cs="Arial"/>
          <w:color w:val="000000"/>
          <w:sz w:val="24"/>
          <w:szCs w:val="24"/>
          <w:lang w:val="en-US"/>
        </w:rPr>
        <w:footnoteReference w:id="14"/>
      </w:r>
      <w:r w:rsidR="00F263B5" w:rsidRPr="00F263B5">
        <w:rPr>
          <w:rFonts w:ascii="Arial" w:eastAsia="Times New Roman" w:hAnsi="Arial" w:cs="Arial"/>
          <w:color w:val="000000"/>
          <w:sz w:val="24"/>
          <w:szCs w:val="24"/>
          <w:lang w:val="en-US"/>
        </w:rPr>
        <w:t xml:space="preserve"> </w:t>
      </w:r>
      <w:r w:rsidR="00F263B5">
        <w:rPr>
          <w:rFonts w:ascii="Arial" w:eastAsia="Times New Roman" w:hAnsi="Arial" w:cs="Arial"/>
          <w:color w:val="000000"/>
          <w:sz w:val="24"/>
          <w:szCs w:val="24"/>
          <w:lang w:val="en-US"/>
        </w:rPr>
        <w:t xml:space="preserve"> and that the Applicant is not entitled to lodge a successful claim against both the closed corporation and obtain judgment against the sureties</w:t>
      </w:r>
      <w:r w:rsidR="00C9603B">
        <w:rPr>
          <w:rFonts w:ascii="Arial" w:eastAsia="Times New Roman" w:hAnsi="Arial" w:cs="Arial"/>
          <w:color w:val="000000"/>
          <w:sz w:val="24"/>
          <w:szCs w:val="24"/>
          <w:lang w:val="en-US"/>
        </w:rPr>
        <w:t>.</w:t>
      </w:r>
      <w:r w:rsidR="00F263B5">
        <w:rPr>
          <w:rStyle w:val="FootnoteReference"/>
          <w:rFonts w:ascii="Arial" w:eastAsia="Times New Roman" w:hAnsi="Arial" w:cs="Arial"/>
          <w:color w:val="000000"/>
          <w:sz w:val="24"/>
          <w:szCs w:val="24"/>
          <w:lang w:val="en-US"/>
        </w:rPr>
        <w:footnoteReference w:id="15"/>
      </w:r>
    </w:p>
    <w:p w14:paraId="1D2E126A" w14:textId="0B852F59" w:rsidR="00411B53" w:rsidRDefault="00411B53" w:rsidP="00233825">
      <w:pPr>
        <w:spacing w:after="0" w:line="360" w:lineRule="auto"/>
        <w:ind w:left="851" w:hanging="851"/>
        <w:jc w:val="both"/>
        <w:rPr>
          <w:rFonts w:ascii="Arial" w:eastAsia="Times New Roman" w:hAnsi="Arial" w:cs="Arial"/>
          <w:color w:val="000000"/>
          <w:sz w:val="24"/>
          <w:szCs w:val="24"/>
          <w:lang w:val="en-US"/>
        </w:rPr>
      </w:pPr>
    </w:p>
    <w:p w14:paraId="0F761DB6" w14:textId="72A9B4A3" w:rsidR="00411B53" w:rsidRDefault="00411B53" w:rsidP="00233825">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D33589">
        <w:rPr>
          <w:rFonts w:ascii="Arial" w:eastAsia="Times New Roman" w:hAnsi="Arial" w:cs="Arial"/>
          <w:color w:val="000000"/>
          <w:sz w:val="24"/>
          <w:szCs w:val="24"/>
          <w:lang w:val="en-US"/>
        </w:rPr>
        <w:t>5</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432FFB">
        <w:rPr>
          <w:rFonts w:ascii="Arial" w:eastAsia="Times New Roman" w:hAnsi="Arial" w:cs="Arial"/>
          <w:color w:val="000000"/>
          <w:sz w:val="24"/>
          <w:szCs w:val="24"/>
          <w:lang w:val="en-US"/>
        </w:rPr>
        <w:t xml:space="preserve">All three Respondents have </w:t>
      </w:r>
      <w:r w:rsidR="00D33589">
        <w:rPr>
          <w:rFonts w:ascii="Arial" w:eastAsia="Times New Roman" w:hAnsi="Arial" w:cs="Arial"/>
          <w:color w:val="000000"/>
          <w:sz w:val="24"/>
          <w:szCs w:val="24"/>
          <w:lang w:val="en-US"/>
        </w:rPr>
        <w:t>bound</w:t>
      </w:r>
      <w:r w:rsidR="00432FFB">
        <w:rPr>
          <w:rFonts w:ascii="Arial" w:eastAsia="Times New Roman" w:hAnsi="Arial" w:cs="Arial"/>
          <w:color w:val="000000"/>
          <w:sz w:val="24"/>
          <w:szCs w:val="24"/>
          <w:lang w:val="en-US"/>
        </w:rPr>
        <w:t xml:space="preserve"> themselves</w:t>
      </w:r>
      <w:r w:rsidR="00D33589">
        <w:rPr>
          <w:rFonts w:ascii="Arial" w:eastAsia="Times New Roman" w:hAnsi="Arial" w:cs="Arial"/>
          <w:color w:val="000000"/>
          <w:sz w:val="24"/>
          <w:szCs w:val="24"/>
          <w:lang w:val="en-US"/>
        </w:rPr>
        <w:t>, in favour of the Applicant,</w:t>
      </w:r>
      <w:r w:rsidR="00432FFB">
        <w:rPr>
          <w:rFonts w:ascii="Arial" w:eastAsia="Times New Roman" w:hAnsi="Arial" w:cs="Arial"/>
          <w:color w:val="000000"/>
          <w:sz w:val="24"/>
          <w:szCs w:val="24"/>
          <w:lang w:val="en-US"/>
        </w:rPr>
        <w:t xml:space="preserve"> as sureties and co-principal debtors, jointly and severally</w:t>
      </w:r>
      <w:r w:rsidR="00D33589">
        <w:rPr>
          <w:rFonts w:ascii="Arial" w:eastAsia="Times New Roman" w:hAnsi="Arial" w:cs="Arial"/>
          <w:color w:val="000000"/>
          <w:sz w:val="24"/>
          <w:szCs w:val="24"/>
          <w:lang w:val="en-US"/>
        </w:rPr>
        <w:t>.</w:t>
      </w:r>
      <w:r w:rsidR="00432FFB">
        <w:rPr>
          <w:rStyle w:val="FootnoteReference"/>
          <w:rFonts w:ascii="Arial" w:eastAsia="Times New Roman" w:hAnsi="Arial" w:cs="Arial"/>
          <w:color w:val="000000"/>
          <w:sz w:val="24"/>
          <w:szCs w:val="24"/>
          <w:lang w:val="en-US"/>
        </w:rPr>
        <w:footnoteReference w:id="16"/>
      </w:r>
      <w:r w:rsidR="00D33589">
        <w:rPr>
          <w:rFonts w:ascii="Arial" w:eastAsia="Times New Roman" w:hAnsi="Arial" w:cs="Arial"/>
          <w:color w:val="000000"/>
          <w:sz w:val="24"/>
          <w:szCs w:val="24"/>
          <w:lang w:val="en-US"/>
        </w:rPr>
        <w:t xml:space="preserve"> The Applicant herein therefor has the choice and can decide on whether to proceed against one or more of the Respondents in their capacities as co-principal debtors.</w:t>
      </w:r>
    </w:p>
    <w:p w14:paraId="7383D8E8" w14:textId="24253AB0" w:rsidR="00793C6A" w:rsidRDefault="00793C6A" w:rsidP="00233825">
      <w:pPr>
        <w:spacing w:after="0" w:line="360" w:lineRule="auto"/>
        <w:ind w:left="851" w:hanging="851"/>
        <w:jc w:val="both"/>
        <w:rPr>
          <w:rFonts w:ascii="Arial" w:eastAsia="Times New Roman" w:hAnsi="Arial" w:cs="Arial"/>
          <w:color w:val="000000"/>
          <w:sz w:val="24"/>
          <w:szCs w:val="24"/>
          <w:lang w:val="en-US"/>
        </w:rPr>
      </w:pPr>
    </w:p>
    <w:p w14:paraId="434935E6" w14:textId="3B833295" w:rsidR="00793C6A" w:rsidRDefault="00793C6A" w:rsidP="00233825">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[16]</w:t>
      </w:r>
      <w:r>
        <w:rPr>
          <w:rFonts w:ascii="Arial" w:eastAsia="Times New Roman" w:hAnsi="Arial" w:cs="Arial"/>
          <w:color w:val="000000"/>
          <w:sz w:val="24"/>
          <w:szCs w:val="24"/>
          <w:lang w:val="en-US"/>
        </w:rPr>
        <w:tab/>
        <w:t>Sight must further not be lost of the fact that all three Respondents in this case have renounced the benefits of excussion</w:t>
      </w:r>
      <w:r>
        <w:rPr>
          <w:rStyle w:val="FootnoteReference"/>
          <w:rFonts w:ascii="Arial" w:eastAsia="Times New Roman" w:hAnsi="Arial" w:cs="Arial"/>
          <w:color w:val="000000"/>
          <w:sz w:val="24"/>
          <w:szCs w:val="24"/>
          <w:lang w:val="en-US"/>
        </w:rPr>
        <w:footnoteReference w:id="17"/>
      </w:r>
      <w:r w:rsidR="00872018">
        <w:rPr>
          <w:rFonts w:ascii="Arial" w:eastAsia="Times New Roman" w:hAnsi="Arial" w:cs="Arial"/>
          <w:color w:val="000000"/>
          <w:sz w:val="24"/>
          <w:szCs w:val="24"/>
          <w:lang w:val="en-US"/>
        </w:rPr>
        <w:t xml:space="preserve"> in their respective agreements of suretyship, thus entitling the Applicant to proceed with its claim against any or all of the sureties and the sureties are in turn precluded from dictating that the Applicant must first excuss the principal debtor.</w:t>
      </w:r>
    </w:p>
    <w:p w14:paraId="06900A6C" w14:textId="4199D6DE" w:rsidR="00237D4C" w:rsidRDefault="00237D4C" w:rsidP="00C72294">
      <w:pPr>
        <w:spacing w:after="0" w:line="360" w:lineRule="auto"/>
        <w:jc w:val="both"/>
        <w:rPr>
          <w:rFonts w:ascii="Arial" w:eastAsia="Times New Roman" w:hAnsi="Arial" w:cs="Arial"/>
          <w:color w:val="000000"/>
          <w:sz w:val="24"/>
          <w:szCs w:val="24"/>
          <w:lang w:val="en-US"/>
        </w:rPr>
      </w:pPr>
    </w:p>
    <w:p w14:paraId="5EEC889B" w14:textId="787EBF85" w:rsidR="009C493D" w:rsidRDefault="00237D4C" w:rsidP="00233825">
      <w:pPr>
        <w:spacing w:after="0" w:line="360" w:lineRule="auto"/>
        <w:ind w:left="851" w:hanging="851"/>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3A5BB6">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EA1854">
        <w:rPr>
          <w:rFonts w:ascii="Arial" w:eastAsia="Times New Roman" w:hAnsi="Arial" w:cs="Arial"/>
          <w:color w:val="000000"/>
          <w:sz w:val="24"/>
          <w:szCs w:val="24"/>
          <w:lang w:val="en-US"/>
        </w:rPr>
        <w:t xml:space="preserve">In respect of the application for the condonation of the late filing of the Respondents Answering Affidavit, the Respondents </w:t>
      </w:r>
      <w:r w:rsidR="009C493D">
        <w:rPr>
          <w:rFonts w:ascii="Arial" w:eastAsia="Times New Roman" w:hAnsi="Arial" w:cs="Arial"/>
          <w:color w:val="000000"/>
          <w:sz w:val="24"/>
          <w:szCs w:val="24"/>
          <w:lang w:val="en-US"/>
        </w:rPr>
        <w:t>explain:</w:t>
      </w:r>
    </w:p>
    <w:p w14:paraId="33418511" w14:textId="77777777" w:rsidR="009C493D" w:rsidRDefault="009C493D" w:rsidP="00233825">
      <w:pPr>
        <w:spacing w:after="0" w:line="360" w:lineRule="auto"/>
        <w:ind w:left="851" w:hanging="851"/>
        <w:jc w:val="both"/>
        <w:rPr>
          <w:rFonts w:ascii="Arial" w:eastAsia="Times New Roman" w:hAnsi="Arial" w:cs="Arial"/>
          <w:color w:val="000000"/>
          <w:sz w:val="24"/>
          <w:szCs w:val="24"/>
          <w:lang w:val="en-US"/>
        </w:rPr>
      </w:pPr>
    </w:p>
    <w:p w14:paraId="739AA015" w14:textId="7A1A30D3" w:rsidR="00237D4C" w:rsidRDefault="009C493D" w:rsidP="00E56CB3">
      <w:pPr>
        <w:spacing w:after="0" w:line="360" w:lineRule="auto"/>
        <w:ind w:left="1440" w:hanging="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3A5BB6">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.1</w:t>
      </w:r>
      <w:r>
        <w:rPr>
          <w:rFonts w:ascii="Arial" w:eastAsia="Times New Roman" w:hAnsi="Arial" w:cs="Arial"/>
          <w:color w:val="000000"/>
          <w:sz w:val="24"/>
          <w:szCs w:val="24"/>
          <w:lang w:val="en-US"/>
        </w:rPr>
        <w:tab/>
        <w:t xml:space="preserve"> that a day before the issuing of this application, this Court heard an opposed motion, in which two of the principal debtor’s creditors applied for orders</w:t>
      </w:r>
      <w:r w:rsidR="00436B15">
        <w:rPr>
          <w:rFonts w:ascii="Arial" w:eastAsia="Times New Roman" w:hAnsi="Arial" w:cs="Arial"/>
          <w:color w:val="000000"/>
          <w:sz w:val="24"/>
          <w:szCs w:val="24"/>
          <w:lang w:val="en-US"/>
        </w:rPr>
        <w:t xml:space="preserve"> against the principal debtor: One</w:t>
      </w:r>
      <w:r>
        <w:rPr>
          <w:rFonts w:ascii="Arial" w:eastAsia="Times New Roman" w:hAnsi="Arial" w:cs="Arial"/>
          <w:color w:val="000000"/>
          <w:sz w:val="24"/>
          <w:szCs w:val="24"/>
          <w:lang w:val="en-US"/>
        </w:rPr>
        <w:t xml:space="preserve"> for the placing of the principal debtor under business rescue and </w:t>
      </w:r>
      <w:r w:rsidR="00436B15">
        <w:rPr>
          <w:rFonts w:ascii="Arial" w:eastAsia="Times New Roman" w:hAnsi="Arial" w:cs="Arial"/>
          <w:color w:val="000000"/>
          <w:sz w:val="24"/>
          <w:szCs w:val="24"/>
          <w:lang w:val="en-US"/>
        </w:rPr>
        <w:t>the other</w:t>
      </w:r>
      <w:r w:rsidR="00EF149D">
        <w:rPr>
          <w:rFonts w:ascii="Arial" w:eastAsia="Times New Roman" w:hAnsi="Arial" w:cs="Arial"/>
          <w:color w:val="000000"/>
          <w:sz w:val="24"/>
          <w:szCs w:val="24"/>
          <w:lang w:val="en-US"/>
        </w:rPr>
        <w:t>,</w:t>
      </w:r>
      <w:r w:rsidR="00436B15">
        <w:rPr>
          <w:rFonts w:ascii="Arial" w:eastAsia="Times New Roman" w:hAnsi="Arial" w:cs="Arial"/>
          <w:color w:val="000000"/>
          <w:sz w:val="24"/>
          <w:szCs w:val="24"/>
          <w:lang w:val="en-US"/>
        </w:rPr>
        <w:t xml:space="preserve"> for</w:t>
      </w:r>
      <w:r>
        <w:rPr>
          <w:rFonts w:ascii="Arial" w:eastAsia="Times New Roman" w:hAnsi="Arial" w:cs="Arial"/>
          <w:color w:val="000000"/>
          <w:sz w:val="24"/>
          <w:szCs w:val="24"/>
          <w:lang w:val="en-US"/>
        </w:rPr>
        <w:t xml:space="preserve"> the resolution passed by the principal debtor to be placed under voluntary liquidation</w:t>
      </w:r>
      <w:r w:rsidR="00EF149D">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to be set aside;</w:t>
      </w:r>
    </w:p>
    <w:p w14:paraId="7A5894A5" w14:textId="77777777" w:rsidR="003E3291" w:rsidRDefault="003E3291" w:rsidP="00E56CB3">
      <w:pPr>
        <w:spacing w:after="0" w:line="360" w:lineRule="auto"/>
        <w:ind w:left="1440" w:hanging="720"/>
        <w:jc w:val="both"/>
        <w:rPr>
          <w:rFonts w:ascii="Arial" w:eastAsia="Times New Roman" w:hAnsi="Arial" w:cs="Arial"/>
          <w:color w:val="000000"/>
          <w:sz w:val="24"/>
          <w:szCs w:val="24"/>
          <w:lang w:val="en-US"/>
        </w:rPr>
      </w:pPr>
    </w:p>
    <w:p w14:paraId="0DFC4DB4" w14:textId="2AC05DD4" w:rsidR="009C493D" w:rsidRDefault="009C493D" w:rsidP="00E56CB3">
      <w:pPr>
        <w:spacing w:after="0" w:line="360" w:lineRule="auto"/>
        <w:ind w:left="1440" w:hanging="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3A5BB6">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.2</w:t>
      </w:r>
      <w:r>
        <w:rPr>
          <w:rFonts w:ascii="Arial" w:eastAsia="Times New Roman" w:hAnsi="Arial" w:cs="Arial"/>
          <w:color w:val="000000"/>
          <w:sz w:val="24"/>
          <w:szCs w:val="24"/>
          <w:lang w:val="en-US"/>
        </w:rPr>
        <w:tab/>
        <w:t>The Respondents anticipated that the judgment in the aforesaid opposed motion would be given by this Court prior to the date on which they were required to file their answering affidavit and that this</w:t>
      </w:r>
      <w:r w:rsidR="00F740A5">
        <w:rPr>
          <w:rFonts w:ascii="Arial" w:eastAsia="Times New Roman" w:hAnsi="Arial" w:cs="Arial"/>
          <w:color w:val="000000"/>
          <w:sz w:val="24"/>
          <w:szCs w:val="24"/>
          <w:lang w:val="en-US"/>
        </w:rPr>
        <w:t xml:space="preserve"> expectation led to the delay in the filing of the answering affidavit</w:t>
      </w:r>
      <w:r w:rsidR="00415A4F">
        <w:rPr>
          <w:rFonts w:ascii="Arial" w:eastAsia="Times New Roman" w:hAnsi="Arial" w:cs="Arial"/>
          <w:color w:val="000000"/>
          <w:sz w:val="24"/>
          <w:szCs w:val="24"/>
          <w:lang w:val="en-US"/>
        </w:rPr>
        <w:t>;</w:t>
      </w:r>
    </w:p>
    <w:p w14:paraId="233DA079" w14:textId="77777777" w:rsidR="00415A4F" w:rsidRDefault="00415A4F" w:rsidP="009C493D">
      <w:pPr>
        <w:spacing w:after="0" w:line="360" w:lineRule="auto"/>
        <w:ind w:left="2160" w:hanging="720"/>
        <w:jc w:val="both"/>
        <w:rPr>
          <w:rFonts w:ascii="Arial" w:eastAsia="Times New Roman" w:hAnsi="Arial" w:cs="Arial"/>
          <w:color w:val="000000"/>
          <w:sz w:val="24"/>
          <w:szCs w:val="24"/>
          <w:lang w:val="en-US"/>
        </w:rPr>
      </w:pPr>
    </w:p>
    <w:p w14:paraId="0E4210A3" w14:textId="2D2A1117" w:rsidR="00415A4F" w:rsidRDefault="00415A4F" w:rsidP="00E56CB3">
      <w:pPr>
        <w:spacing w:after="0" w:line="360" w:lineRule="auto"/>
        <w:ind w:left="1440" w:hanging="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3A5BB6">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.3</w:t>
      </w:r>
      <w:r>
        <w:rPr>
          <w:rFonts w:ascii="Arial" w:eastAsia="Times New Roman" w:hAnsi="Arial" w:cs="Arial"/>
          <w:color w:val="000000"/>
          <w:sz w:val="24"/>
          <w:szCs w:val="24"/>
          <w:lang w:val="en-US"/>
        </w:rPr>
        <w:tab/>
        <w:t>There were severe logistical constraints that the Respondents endured that resulted in their inability to serve and file their answering affidavit within the stipulated time. These are:</w:t>
      </w:r>
    </w:p>
    <w:p w14:paraId="1784E60E" w14:textId="77777777" w:rsidR="00E56CB3" w:rsidRDefault="00E56CB3" w:rsidP="00E56CB3">
      <w:pPr>
        <w:spacing w:after="0" w:line="360" w:lineRule="auto"/>
        <w:jc w:val="both"/>
        <w:rPr>
          <w:rFonts w:ascii="Arial" w:eastAsia="Times New Roman" w:hAnsi="Arial" w:cs="Arial"/>
          <w:color w:val="000000"/>
          <w:sz w:val="24"/>
          <w:szCs w:val="24"/>
          <w:lang w:val="en-US"/>
        </w:rPr>
      </w:pPr>
    </w:p>
    <w:p w14:paraId="607A5A56" w14:textId="0DAE726B" w:rsidR="00E56CB3" w:rsidRDefault="00415A4F" w:rsidP="00E56CB3">
      <w:pPr>
        <w:spacing w:after="0" w:line="360" w:lineRule="auto"/>
        <w:ind w:left="720" w:firstLine="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3A5BB6">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.3.1</w:t>
      </w:r>
      <w:r w:rsidR="00E56CB3">
        <w:rPr>
          <w:rFonts w:ascii="Arial" w:eastAsia="Times New Roman" w:hAnsi="Arial" w:cs="Arial"/>
          <w:color w:val="000000"/>
          <w:sz w:val="24"/>
          <w:szCs w:val="24"/>
          <w:lang w:val="en-US"/>
        </w:rPr>
        <w:tab/>
      </w:r>
      <w:r w:rsidR="00E56CB3">
        <w:rPr>
          <w:rFonts w:ascii="Arial" w:eastAsia="Times New Roman" w:hAnsi="Arial" w:cs="Arial"/>
          <w:color w:val="000000"/>
          <w:sz w:val="24"/>
          <w:szCs w:val="24"/>
          <w:lang w:val="en-US"/>
        </w:rPr>
        <w:tab/>
      </w:r>
      <w:r>
        <w:rPr>
          <w:rFonts w:ascii="Arial" w:eastAsia="Times New Roman" w:hAnsi="Arial" w:cs="Arial"/>
          <w:color w:val="000000"/>
          <w:sz w:val="24"/>
          <w:szCs w:val="24"/>
          <w:lang w:val="en-US"/>
        </w:rPr>
        <w:t>That the first and Second Respondents reside in Senekal</w:t>
      </w:r>
    </w:p>
    <w:p w14:paraId="50E8785F" w14:textId="6F77B6C5" w:rsidR="00E56CB3" w:rsidRDefault="0034450C" w:rsidP="00E56CB3">
      <w:pPr>
        <w:spacing w:after="0" w:line="360" w:lineRule="auto"/>
        <w:ind w:left="3600" w:hanging="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i</w:t>
      </w:r>
      <w:r w:rsidR="00415A4F">
        <w:rPr>
          <w:rFonts w:ascii="Arial" w:eastAsia="Times New Roman" w:hAnsi="Arial" w:cs="Arial"/>
          <w:color w:val="000000"/>
          <w:sz w:val="24"/>
          <w:szCs w:val="24"/>
          <w:lang w:val="en-US"/>
        </w:rPr>
        <w:t>n the Free State Province</w:t>
      </w:r>
      <w:r w:rsidR="00E56CB3">
        <w:rPr>
          <w:rFonts w:ascii="Arial" w:eastAsia="Times New Roman" w:hAnsi="Arial" w:cs="Arial"/>
          <w:color w:val="000000"/>
          <w:sz w:val="24"/>
          <w:szCs w:val="24"/>
          <w:lang w:val="en-US"/>
        </w:rPr>
        <w:t xml:space="preserve">, which is two to three hours’  </w:t>
      </w:r>
    </w:p>
    <w:p w14:paraId="015EBA45" w14:textId="77777777" w:rsidR="00415A4F" w:rsidRDefault="00E56CB3" w:rsidP="00E56CB3">
      <w:pPr>
        <w:spacing w:after="0" w:line="360" w:lineRule="auto"/>
        <w:ind w:left="3600" w:hanging="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drive from Bloemfontein;</w:t>
      </w:r>
      <w:r w:rsidR="00F457C2">
        <w:rPr>
          <w:rStyle w:val="FootnoteReference"/>
          <w:rFonts w:ascii="Arial" w:eastAsia="Times New Roman" w:hAnsi="Arial" w:cs="Arial"/>
          <w:color w:val="000000"/>
          <w:sz w:val="24"/>
          <w:szCs w:val="24"/>
          <w:lang w:val="en-US"/>
        </w:rPr>
        <w:footnoteReference w:id="18"/>
      </w:r>
    </w:p>
    <w:p w14:paraId="2A1C8FCE" w14:textId="0F2FD9DB" w:rsidR="00D160E2" w:rsidRDefault="00E56CB3" w:rsidP="00D160E2">
      <w:pPr>
        <w:spacing w:after="0" w:line="360" w:lineRule="auto"/>
        <w:ind w:left="2880" w:hanging="144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3A5BB6">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.3.2</w:t>
      </w:r>
      <w:r>
        <w:rPr>
          <w:rFonts w:ascii="Arial" w:eastAsia="Times New Roman" w:hAnsi="Arial" w:cs="Arial"/>
          <w:color w:val="000000"/>
          <w:sz w:val="24"/>
          <w:szCs w:val="24"/>
          <w:lang w:val="en-US"/>
        </w:rPr>
        <w:tab/>
      </w:r>
      <w:r w:rsidR="00D160E2">
        <w:rPr>
          <w:rFonts w:ascii="Arial" w:eastAsia="Times New Roman" w:hAnsi="Arial" w:cs="Arial"/>
          <w:color w:val="000000"/>
          <w:sz w:val="24"/>
          <w:szCs w:val="24"/>
          <w:lang w:val="en-US"/>
        </w:rPr>
        <w:t>That the Third Respondent was in Bethlehem in the Free State Province which is two to three hours’ drive from Bloemfontein and she could not obtain leave from her employer to attend to the signing and commissioning of a confirmatory affidavit;</w:t>
      </w:r>
      <w:r w:rsidR="00F457C2">
        <w:rPr>
          <w:rStyle w:val="FootnoteReference"/>
          <w:rFonts w:ascii="Arial" w:eastAsia="Times New Roman" w:hAnsi="Arial" w:cs="Arial"/>
          <w:color w:val="000000"/>
          <w:sz w:val="24"/>
          <w:szCs w:val="24"/>
          <w:lang w:val="en-US"/>
        </w:rPr>
        <w:footnoteReference w:id="19"/>
      </w:r>
      <w:r w:rsidR="0034450C">
        <w:rPr>
          <w:rFonts w:ascii="Arial" w:eastAsia="Times New Roman" w:hAnsi="Arial" w:cs="Arial"/>
          <w:color w:val="000000"/>
          <w:sz w:val="24"/>
          <w:szCs w:val="24"/>
          <w:lang w:val="en-US"/>
        </w:rPr>
        <w:t>and</w:t>
      </w:r>
    </w:p>
    <w:p w14:paraId="24C5A828" w14:textId="19604EFE" w:rsidR="00D160E2" w:rsidRDefault="00D160E2" w:rsidP="00D160E2">
      <w:pPr>
        <w:spacing w:after="0" w:line="360" w:lineRule="auto"/>
        <w:ind w:left="2880" w:hanging="144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r w:rsidR="003A5BB6">
        <w:rPr>
          <w:rFonts w:ascii="Arial" w:eastAsia="Times New Roman" w:hAnsi="Arial" w:cs="Arial"/>
          <w:color w:val="000000"/>
          <w:sz w:val="24"/>
          <w:szCs w:val="24"/>
          <w:lang w:val="en-US"/>
        </w:rPr>
        <w:t>7</w:t>
      </w:r>
      <w:r>
        <w:rPr>
          <w:rFonts w:ascii="Arial" w:eastAsia="Times New Roman" w:hAnsi="Arial" w:cs="Arial"/>
          <w:color w:val="000000"/>
          <w:sz w:val="24"/>
          <w:szCs w:val="24"/>
          <w:lang w:val="en-US"/>
        </w:rPr>
        <w:t>.3.3</w:t>
      </w:r>
      <w:r>
        <w:rPr>
          <w:rFonts w:ascii="Arial" w:eastAsia="Times New Roman" w:hAnsi="Arial" w:cs="Arial"/>
          <w:color w:val="000000"/>
          <w:sz w:val="24"/>
          <w:szCs w:val="24"/>
          <w:lang w:val="en-US"/>
        </w:rPr>
        <w:tab/>
        <w:t>That the attorney of record of the Respondents is situated in Pretoria, which further made the practical logistical arrangements extremely difficult and cumbersome</w:t>
      </w:r>
      <w:r w:rsidR="00233AB4">
        <w:rPr>
          <w:rStyle w:val="FootnoteReference"/>
          <w:rFonts w:ascii="Arial" w:eastAsia="Times New Roman" w:hAnsi="Arial" w:cs="Arial"/>
          <w:color w:val="000000"/>
          <w:sz w:val="24"/>
          <w:szCs w:val="24"/>
          <w:lang w:val="en-US"/>
        </w:rPr>
        <w:footnoteReference w:id="20"/>
      </w:r>
    </w:p>
    <w:p w14:paraId="4DD0CF19" w14:textId="3D3A9328" w:rsidR="00D160E2" w:rsidRDefault="00D160E2" w:rsidP="00A72911">
      <w:pPr>
        <w:spacing w:after="0" w:line="360" w:lineRule="auto"/>
        <w:jc w:val="both"/>
        <w:rPr>
          <w:rFonts w:ascii="Arial" w:hAnsi="Arial" w:cs="Arial"/>
          <w:iCs/>
          <w:color w:val="000000"/>
          <w:sz w:val="24"/>
          <w:szCs w:val="24"/>
          <w:lang w:val="en-US"/>
        </w:rPr>
      </w:pPr>
    </w:p>
    <w:p w14:paraId="0B2C3C4D" w14:textId="3D74EFC9" w:rsidR="00A72911" w:rsidRDefault="00A72911" w:rsidP="00A72911">
      <w:pPr>
        <w:spacing w:after="0" w:line="360" w:lineRule="auto"/>
        <w:ind w:left="720" w:hanging="720"/>
        <w:jc w:val="both"/>
        <w:rPr>
          <w:rFonts w:ascii="Arial" w:hAnsi="Arial" w:cs="Arial"/>
          <w:iCs/>
          <w:color w:val="000000"/>
          <w:sz w:val="24"/>
          <w:szCs w:val="24"/>
          <w:lang w:val="en-US"/>
        </w:rPr>
      </w:pPr>
      <w:r>
        <w:rPr>
          <w:rFonts w:ascii="Arial" w:hAnsi="Arial" w:cs="Arial"/>
          <w:iCs/>
          <w:color w:val="000000"/>
          <w:sz w:val="24"/>
          <w:szCs w:val="24"/>
          <w:lang w:val="en-US"/>
        </w:rPr>
        <w:t>[1</w:t>
      </w:r>
      <w:r w:rsidR="003A5BB6">
        <w:rPr>
          <w:rFonts w:ascii="Arial" w:hAnsi="Arial" w:cs="Arial"/>
          <w:iCs/>
          <w:color w:val="000000"/>
          <w:sz w:val="24"/>
          <w:szCs w:val="24"/>
          <w:lang w:val="en-US"/>
        </w:rPr>
        <w:t>8</w:t>
      </w:r>
      <w:r>
        <w:rPr>
          <w:rFonts w:ascii="Arial" w:hAnsi="Arial" w:cs="Arial"/>
          <w:iCs/>
          <w:color w:val="000000"/>
          <w:sz w:val="24"/>
          <w:szCs w:val="24"/>
          <w:lang w:val="en-US"/>
        </w:rPr>
        <w:t>]</w:t>
      </w:r>
      <w:r>
        <w:rPr>
          <w:rFonts w:ascii="Arial" w:hAnsi="Arial" w:cs="Arial"/>
          <w:iCs/>
          <w:color w:val="000000"/>
          <w:sz w:val="24"/>
          <w:szCs w:val="24"/>
          <w:lang w:val="en-US"/>
        </w:rPr>
        <w:tab/>
        <w:t>The factors relevant to the Court’s discretion to grant or refuse an application for condonation include:</w:t>
      </w:r>
    </w:p>
    <w:p w14:paraId="592153A9" w14:textId="45D4C748" w:rsidR="00A72911" w:rsidRDefault="00A72911" w:rsidP="00A72911">
      <w:pPr>
        <w:spacing w:after="0" w:line="360" w:lineRule="auto"/>
        <w:ind w:left="720" w:hanging="720"/>
        <w:jc w:val="both"/>
        <w:rPr>
          <w:rFonts w:ascii="Arial" w:hAnsi="Arial" w:cs="Arial"/>
          <w:i/>
          <w:color w:val="000000"/>
          <w:sz w:val="24"/>
          <w:szCs w:val="24"/>
          <w:lang w:val="en-US"/>
        </w:rPr>
      </w:pPr>
      <w:r>
        <w:rPr>
          <w:rFonts w:ascii="Arial" w:hAnsi="Arial" w:cs="Arial"/>
          <w:iCs/>
          <w:color w:val="000000"/>
          <w:sz w:val="24"/>
          <w:szCs w:val="24"/>
          <w:lang w:val="en-US"/>
        </w:rPr>
        <w:tab/>
      </w:r>
      <w:r>
        <w:rPr>
          <w:rFonts w:ascii="Arial" w:hAnsi="Arial" w:cs="Arial"/>
          <w:i/>
          <w:color w:val="000000"/>
          <w:sz w:val="24"/>
          <w:szCs w:val="24"/>
          <w:lang w:val="en-US"/>
        </w:rPr>
        <w:t xml:space="preserve"> “the degree of non-compliance, the explanation therefor, the importance of the case, a respondent’s interest in the finality of the judgment of the court, the convenience of the court and the avoidance of unnecessary delay in the administration of justice”</w:t>
      </w:r>
      <w:r>
        <w:rPr>
          <w:rStyle w:val="FootnoteReference"/>
          <w:rFonts w:ascii="Arial" w:hAnsi="Arial" w:cs="Arial"/>
          <w:i/>
          <w:color w:val="000000"/>
          <w:sz w:val="24"/>
          <w:szCs w:val="24"/>
          <w:lang w:val="en-US"/>
        </w:rPr>
        <w:footnoteReference w:id="21"/>
      </w:r>
    </w:p>
    <w:p w14:paraId="0EEDFDAF" w14:textId="5B29E4F6" w:rsidR="00C72294" w:rsidRDefault="00C72294" w:rsidP="00A72911">
      <w:pPr>
        <w:spacing w:after="0" w:line="360" w:lineRule="auto"/>
        <w:ind w:left="720" w:hanging="720"/>
        <w:jc w:val="both"/>
        <w:rPr>
          <w:rFonts w:ascii="Arial" w:hAnsi="Arial" w:cs="Arial"/>
          <w:iCs/>
          <w:color w:val="000000"/>
          <w:sz w:val="24"/>
          <w:szCs w:val="24"/>
          <w:lang w:val="en-US"/>
        </w:rPr>
      </w:pPr>
    </w:p>
    <w:p w14:paraId="714188A8" w14:textId="44C15AFD" w:rsidR="00C72294" w:rsidRDefault="00C72294" w:rsidP="00A72911">
      <w:pPr>
        <w:spacing w:after="0" w:line="360" w:lineRule="auto"/>
        <w:ind w:left="720" w:hanging="720"/>
        <w:jc w:val="both"/>
        <w:rPr>
          <w:rFonts w:ascii="Arial" w:hAnsi="Arial" w:cs="Arial"/>
          <w:iCs/>
          <w:color w:val="000000"/>
          <w:sz w:val="24"/>
          <w:szCs w:val="24"/>
          <w:lang w:val="en-US"/>
        </w:rPr>
      </w:pPr>
      <w:r>
        <w:rPr>
          <w:rFonts w:ascii="Arial" w:hAnsi="Arial" w:cs="Arial"/>
          <w:iCs/>
          <w:color w:val="000000"/>
          <w:sz w:val="24"/>
          <w:szCs w:val="24"/>
          <w:lang w:val="en-US"/>
        </w:rPr>
        <w:t>[1</w:t>
      </w:r>
      <w:r w:rsidR="003A5BB6">
        <w:rPr>
          <w:rFonts w:ascii="Arial" w:hAnsi="Arial" w:cs="Arial"/>
          <w:iCs/>
          <w:color w:val="000000"/>
          <w:sz w:val="24"/>
          <w:szCs w:val="24"/>
          <w:lang w:val="en-US"/>
        </w:rPr>
        <w:t>9</w:t>
      </w:r>
      <w:r>
        <w:rPr>
          <w:rFonts w:ascii="Arial" w:hAnsi="Arial" w:cs="Arial"/>
          <w:iCs/>
          <w:color w:val="000000"/>
          <w:sz w:val="24"/>
          <w:szCs w:val="24"/>
          <w:lang w:val="en-US"/>
        </w:rPr>
        <w:t>]</w:t>
      </w:r>
      <w:r>
        <w:rPr>
          <w:rFonts w:ascii="Arial" w:hAnsi="Arial" w:cs="Arial"/>
          <w:iCs/>
          <w:color w:val="000000"/>
          <w:sz w:val="24"/>
          <w:szCs w:val="24"/>
          <w:lang w:val="en-US"/>
        </w:rPr>
        <w:tab/>
        <w:t xml:space="preserve">It is expected of a party seeking condonation for the non-observance of the Rules of Court to tender a reasonable and acceptable explanation and to try to remedy the non-compliance as soon as possible. A consideration of the Applicants prospects of success in the main action is a relevant factor in the exercise of the discretion of the court on </w:t>
      </w:r>
      <w:r w:rsidR="00FA640B">
        <w:rPr>
          <w:rFonts w:ascii="Arial" w:hAnsi="Arial" w:cs="Arial"/>
          <w:iCs/>
          <w:color w:val="000000"/>
          <w:sz w:val="24"/>
          <w:szCs w:val="24"/>
          <w:lang w:val="en-US"/>
        </w:rPr>
        <w:t>whether</w:t>
      </w:r>
      <w:r>
        <w:rPr>
          <w:rFonts w:ascii="Arial" w:hAnsi="Arial" w:cs="Arial"/>
          <w:iCs/>
          <w:color w:val="000000"/>
          <w:sz w:val="24"/>
          <w:szCs w:val="24"/>
          <w:lang w:val="en-US"/>
        </w:rPr>
        <w:t xml:space="preserve"> the application for condonation must succeed</w:t>
      </w:r>
      <w:r w:rsidR="008E2231">
        <w:rPr>
          <w:rFonts w:ascii="Arial" w:hAnsi="Arial" w:cs="Arial"/>
          <w:iCs/>
          <w:color w:val="000000"/>
          <w:sz w:val="24"/>
          <w:szCs w:val="24"/>
          <w:lang w:val="en-US"/>
        </w:rPr>
        <w:t>,</w:t>
      </w:r>
      <w:r>
        <w:rPr>
          <w:rFonts w:ascii="Arial" w:hAnsi="Arial" w:cs="Arial"/>
          <w:iCs/>
          <w:color w:val="000000"/>
          <w:sz w:val="24"/>
          <w:szCs w:val="24"/>
          <w:lang w:val="en-US"/>
        </w:rPr>
        <w:t xml:space="preserve"> but it is not the only fact</w:t>
      </w:r>
      <w:r w:rsidR="008B5C73">
        <w:rPr>
          <w:rFonts w:ascii="Arial" w:hAnsi="Arial" w:cs="Arial"/>
          <w:iCs/>
          <w:color w:val="000000"/>
          <w:sz w:val="24"/>
          <w:szCs w:val="24"/>
          <w:lang w:val="en-US"/>
        </w:rPr>
        <w:t xml:space="preserve">or. </w:t>
      </w:r>
      <w:r w:rsidR="000E1B13">
        <w:rPr>
          <w:rFonts w:ascii="Arial" w:hAnsi="Arial" w:cs="Arial"/>
          <w:iCs/>
          <w:color w:val="000000"/>
          <w:sz w:val="24"/>
          <w:szCs w:val="24"/>
          <w:lang w:val="en-US"/>
        </w:rPr>
        <w:t>A</w:t>
      </w:r>
      <w:r w:rsidR="008B5C73">
        <w:rPr>
          <w:rFonts w:ascii="Arial" w:hAnsi="Arial" w:cs="Arial"/>
          <w:iCs/>
          <w:color w:val="000000"/>
          <w:sz w:val="24"/>
          <w:szCs w:val="24"/>
          <w:lang w:val="en-US"/>
        </w:rPr>
        <w:t xml:space="preserve"> flagrant disregard of the Rules, even if there are reasonable prospects of success, should result in the application for condonation not being granted.</w:t>
      </w:r>
      <w:r w:rsidR="008B5C73">
        <w:rPr>
          <w:rStyle w:val="FootnoteReference"/>
          <w:rFonts w:ascii="Arial" w:hAnsi="Arial" w:cs="Arial"/>
          <w:iCs/>
          <w:color w:val="000000"/>
          <w:sz w:val="24"/>
          <w:szCs w:val="24"/>
          <w:lang w:val="en-US"/>
        </w:rPr>
        <w:footnoteReference w:id="22"/>
      </w:r>
    </w:p>
    <w:p w14:paraId="48CC7C58" w14:textId="5EC0EA4F" w:rsidR="002734AF" w:rsidRDefault="002734AF" w:rsidP="00A72911">
      <w:pPr>
        <w:spacing w:after="0" w:line="360" w:lineRule="auto"/>
        <w:ind w:left="720" w:hanging="720"/>
        <w:jc w:val="both"/>
        <w:rPr>
          <w:rFonts w:ascii="Arial" w:hAnsi="Arial" w:cs="Arial"/>
          <w:iCs/>
          <w:color w:val="000000"/>
          <w:sz w:val="24"/>
          <w:szCs w:val="24"/>
          <w:lang w:val="en-US"/>
        </w:rPr>
      </w:pPr>
    </w:p>
    <w:p w14:paraId="29E9B670" w14:textId="2DF4904E" w:rsidR="002734AF" w:rsidRDefault="002734AF" w:rsidP="00A72911">
      <w:pPr>
        <w:spacing w:after="0" w:line="360" w:lineRule="auto"/>
        <w:ind w:left="720" w:hanging="720"/>
        <w:jc w:val="both"/>
        <w:rPr>
          <w:rFonts w:ascii="Arial" w:hAnsi="Arial" w:cs="Arial"/>
          <w:iCs/>
          <w:color w:val="000000"/>
          <w:sz w:val="24"/>
          <w:szCs w:val="24"/>
          <w:lang w:val="en-US"/>
        </w:rPr>
      </w:pPr>
      <w:r>
        <w:rPr>
          <w:rFonts w:ascii="Arial" w:hAnsi="Arial" w:cs="Arial"/>
          <w:iCs/>
          <w:color w:val="000000"/>
          <w:sz w:val="24"/>
          <w:szCs w:val="24"/>
          <w:lang w:val="en-US"/>
        </w:rPr>
        <w:t>[20]</w:t>
      </w:r>
      <w:r>
        <w:rPr>
          <w:rFonts w:ascii="Arial" w:hAnsi="Arial" w:cs="Arial"/>
          <w:iCs/>
          <w:color w:val="000000"/>
          <w:sz w:val="24"/>
          <w:szCs w:val="24"/>
          <w:lang w:val="en-US"/>
        </w:rPr>
        <w:tab/>
      </w:r>
      <w:r w:rsidR="006B45AE">
        <w:rPr>
          <w:rFonts w:ascii="Arial" w:hAnsi="Arial" w:cs="Arial"/>
          <w:iCs/>
          <w:color w:val="000000"/>
          <w:sz w:val="24"/>
          <w:szCs w:val="24"/>
          <w:lang w:val="en-US"/>
        </w:rPr>
        <w:t>The evidence by the Respondent</w:t>
      </w:r>
      <w:r w:rsidR="00FD48CB">
        <w:rPr>
          <w:rFonts w:ascii="Arial" w:hAnsi="Arial" w:cs="Arial"/>
          <w:iCs/>
          <w:color w:val="000000"/>
          <w:sz w:val="24"/>
          <w:szCs w:val="24"/>
          <w:lang w:val="en-US"/>
        </w:rPr>
        <w:t>s</w:t>
      </w:r>
      <w:r w:rsidR="006B45AE">
        <w:rPr>
          <w:rFonts w:ascii="Arial" w:hAnsi="Arial" w:cs="Arial"/>
          <w:iCs/>
          <w:color w:val="000000"/>
          <w:sz w:val="24"/>
          <w:szCs w:val="24"/>
          <w:lang w:val="en-US"/>
        </w:rPr>
        <w:t xml:space="preserve"> that they did not file their answering affidavit because they anticipated that the judgment in the opposed motion would be given prior to the date on which they were required to serve and file their answering affidavit  confirms that the Respondent</w:t>
      </w:r>
      <w:r w:rsidR="00FD48CB">
        <w:rPr>
          <w:rFonts w:ascii="Arial" w:hAnsi="Arial" w:cs="Arial"/>
          <w:iCs/>
          <w:color w:val="000000"/>
          <w:sz w:val="24"/>
          <w:szCs w:val="24"/>
          <w:lang w:val="en-US"/>
        </w:rPr>
        <w:t>s</w:t>
      </w:r>
      <w:r w:rsidR="006B45AE">
        <w:rPr>
          <w:rFonts w:ascii="Arial" w:hAnsi="Arial" w:cs="Arial"/>
          <w:iCs/>
          <w:color w:val="000000"/>
          <w:sz w:val="24"/>
          <w:szCs w:val="24"/>
          <w:lang w:val="en-US"/>
        </w:rPr>
        <w:t xml:space="preserve"> freely and voluntarily took the decision to refrain from acting in accordance with the Rules of Court and that their default was willful.</w:t>
      </w:r>
    </w:p>
    <w:p w14:paraId="3C50064A" w14:textId="650E28D6" w:rsidR="002E1FD4" w:rsidRDefault="002E1FD4" w:rsidP="00A72911">
      <w:pPr>
        <w:spacing w:after="0" w:line="360" w:lineRule="auto"/>
        <w:ind w:left="720" w:hanging="720"/>
        <w:jc w:val="both"/>
        <w:rPr>
          <w:rFonts w:ascii="Arial" w:hAnsi="Arial" w:cs="Arial"/>
          <w:iCs/>
          <w:color w:val="000000"/>
          <w:sz w:val="24"/>
          <w:szCs w:val="24"/>
          <w:lang w:val="en-US"/>
        </w:rPr>
      </w:pPr>
    </w:p>
    <w:p w14:paraId="6B417F6B" w14:textId="6DF27536" w:rsidR="002E1FD4" w:rsidRDefault="002E1FD4" w:rsidP="00A72911">
      <w:pPr>
        <w:spacing w:after="0" w:line="360" w:lineRule="auto"/>
        <w:ind w:left="720" w:hanging="720"/>
        <w:jc w:val="both"/>
        <w:rPr>
          <w:rFonts w:ascii="Arial" w:hAnsi="Arial" w:cs="Arial"/>
          <w:iCs/>
          <w:color w:val="000000"/>
          <w:sz w:val="24"/>
          <w:szCs w:val="24"/>
          <w:lang w:val="en-US"/>
        </w:rPr>
      </w:pPr>
      <w:r>
        <w:rPr>
          <w:rFonts w:ascii="Arial" w:hAnsi="Arial" w:cs="Arial"/>
          <w:iCs/>
          <w:color w:val="000000"/>
          <w:sz w:val="24"/>
          <w:szCs w:val="24"/>
          <w:lang w:val="en-US"/>
        </w:rPr>
        <w:t>[</w:t>
      </w:r>
      <w:r w:rsidR="003A5BB6">
        <w:rPr>
          <w:rFonts w:ascii="Arial" w:hAnsi="Arial" w:cs="Arial"/>
          <w:iCs/>
          <w:color w:val="000000"/>
          <w:sz w:val="24"/>
          <w:szCs w:val="24"/>
          <w:lang w:val="en-US"/>
        </w:rPr>
        <w:t>2</w:t>
      </w:r>
      <w:r w:rsidR="00402C1A">
        <w:rPr>
          <w:rFonts w:ascii="Arial" w:hAnsi="Arial" w:cs="Arial"/>
          <w:iCs/>
          <w:color w:val="000000"/>
          <w:sz w:val="24"/>
          <w:szCs w:val="24"/>
          <w:lang w:val="en-US"/>
        </w:rPr>
        <w:t>1</w:t>
      </w:r>
      <w:r>
        <w:rPr>
          <w:rFonts w:ascii="Arial" w:hAnsi="Arial" w:cs="Arial"/>
          <w:iCs/>
          <w:color w:val="000000"/>
          <w:sz w:val="24"/>
          <w:szCs w:val="24"/>
          <w:lang w:val="en-US"/>
        </w:rPr>
        <w:t>]</w:t>
      </w:r>
      <w:r>
        <w:rPr>
          <w:rFonts w:ascii="Arial" w:hAnsi="Arial" w:cs="Arial"/>
          <w:iCs/>
          <w:color w:val="000000"/>
          <w:sz w:val="24"/>
          <w:szCs w:val="24"/>
          <w:lang w:val="en-US"/>
        </w:rPr>
        <w:tab/>
      </w:r>
      <w:r w:rsidR="000641C0">
        <w:rPr>
          <w:rFonts w:ascii="Arial" w:hAnsi="Arial" w:cs="Arial"/>
          <w:iCs/>
          <w:color w:val="000000"/>
          <w:sz w:val="24"/>
          <w:szCs w:val="24"/>
          <w:lang w:val="en-US"/>
        </w:rPr>
        <w:t xml:space="preserve">The Respondents </w:t>
      </w:r>
      <w:r w:rsidR="00D60AC5">
        <w:rPr>
          <w:rFonts w:ascii="Arial" w:hAnsi="Arial" w:cs="Arial"/>
          <w:iCs/>
          <w:color w:val="000000"/>
          <w:sz w:val="24"/>
          <w:szCs w:val="24"/>
          <w:lang w:val="en-US"/>
        </w:rPr>
        <w:t>have placed reliance</w:t>
      </w:r>
      <w:r w:rsidR="000641C0">
        <w:rPr>
          <w:rFonts w:ascii="Arial" w:hAnsi="Arial" w:cs="Arial"/>
          <w:iCs/>
          <w:color w:val="000000"/>
          <w:sz w:val="24"/>
          <w:szCs w:val="24"/>
          <w:lang w:val="en-US"/>
        </w:rPr>
        <w:t xml:space="preserve"> on the severe logistical constraints that were experienced. However the grounds on which the Respondents rely lack sufficient detail and substance in the form of why alternate arrangements could not be made, for example, in the form of the use of correspondent attorneys, after hours available services for the commissioning of documents and even the use of other electronic or virtual and digital platforms that could have been utilized to circumvent the alleged hinderances.</w:t>
      </w:r>
      <w:r w:rsidR="00D60AC5">
        <w:rPr>
          <w:rFonts w:ascii="Arial" w:hAnsi="Arial" w:cs="Arial"/>
          <w:iCs/>
          <w:color w:val="000000"/>
          <w:sz w:val="24"/>
          <w:szCs w:val="24"/>
          <w:lang w:val="en-US"/>
        </w:rPr>
        <w:t xml:space="preserve"> In particular, the Respondents tender no explanation as to why they did not, at the earliest available opportunity, apply for an extension of time in which to file their answering affidavit. </w:t>
      </w:r>
    </w:p>
    <w:p w14:paraId="24C64648" w14:textId="658303D5" w:rsidR="00411B53" w:rsidRDefault="00411B53" w:rsidP="00A72911">
      <w:pPr>
        <w:spacing w:after="0" w:line="360" w:lineRule="auto"/>
        <w:ind w:left="720" w:hanging="720"/>
        <w:jc w:val="both"/>
        <w:rPr>
          <w:rFonts w:ascii="Arial" w:hAnsi="Arial" w:cs="Arial"/>
          <w:iCs/>
          <w:color w:val="000000"/>
          <w:sz w:val="24"/>
          <w:szCs w:val="24"/>
          <w:lang w:val="en-US"/>
        </w:rPr>
      </w:pPr>
    </w:p>
    <w:p w14:paraId="5EA5DBFE" w14:textId="11CD8296" w:rsidR="000842E2" w:rsidRDefault="00411B53" w:rsidP="00411B53">
      <w:pPr>
        <w:spacing w:after="0" w:line="360" w:lineRule="auto"/>
        <w:ind w:left="720" w:hanging="720"/>
        <w:jc w:val="both"/>
        <w:rPr>
          <w:rFonts w:ascii="Arial" w:hAnsi="Arial" w:cs="Arial"/>
          <w:iCs/>
          <w:color w:val="000000"/>
          <w:sz w:val="24"/>
          <w:szCs w:val="24"/>
          <w:lang w:val="en-US"/>
        </w:rPr>
      </w:pPr>
      <w:r>
        <w:rPr>
          <w:rFonts w:ascii="Arial" w:hAnsi="Arial" w:cs="Arial"/>
          <w:iCs/>
          <w:color w:val="000000"/>
          <w:sz w:val="24"/>
          <w:szCs w:val="24"/>
          <w:lang w:val="en-US"/>
        </w:rPr>
        <w:t>[</w:t>
      </w:r>
      <w:r w:rsidR="003A5BB6">
        <w:rPr>
          <w:rFonts w:ascii="Arial" w:hAnsi="Arial" w:cs="Arial"/>
          <w:iCs/>
          <w:color w:val="000000"/>
          <w:sz w:val="24"/>
          <w:szCs w:val="24"/>
          <w:lang w:val="en-US"/>
        </w:rPr>
        <w:t>2</w:t>
      </w:r>
      <w:r w:rsidR="007E6BD7">
        <w:rPr>
          <w:rFonts w:ascii="Arial" w:hAnsi="Arial" w:cs="Arial"/>
          <w:iCs/>
          <w:color w:val="000000"/>
          <w:sz w:val="24"/>
          <w:szCs w:val="24"/>
          <w:lang w:val="en-US"/>
        </w:rPr>
        <w:t>2</w:t>
      </w:r>
      <w:r>
        <w:rPr>
          <w:rFonts w:ascii="Arial" w:hAnsi="Arial" w:cs="Arial"/>
          <w:iCs/>
          <w:color w:val="000000"/>
          <w:sz w:val="24"/>
          <w:szCs w:val="24"/>
          <w:lang w:val="en-US"/>
        </w:rPr>
        <w:t>]</w:t>
      </w:r>
      <w:r>
        <w:rPr>
          <w:rFonts w:ascii="Arial" w:hAnsi="Arial" w:cs="Arial"/>
          <w:iCs/>
          <w:color w:val="000000"/>
          <w:sz w:val="24"/>
          <w:szCs w:val="24"/>
          <w:lang w:val="en-US"/>
        </w:rPr>
        <w:tab/>
      </w:r>
      <w:r w:rsidR="002734AF">
        <w:rPr>
          <w:rFonts w:ascii="Arial" w:hAnsi="Arial" w:cs="Arial"/>
          <w:iCs/>
          <w:color w:val="000000"/>
          <w:sz w:val="24"/>
          <w:szCs w:val="24"/>
          <w:lang w:val="en-US"/>
        </w:rPr>
        <w:t xml:space="preserve">The failure of the Respondents to address these logistical challenges with more vigour and conscientiousness cannot </w:t>
      </w:r>
      <w:r w:rsidR="00402C1A">
        <w:rPr>
          <w:rFonts w:ascii="Arial" w:hAnsi="Arial" w:cs="Arial"/>
          <w:iCs/>
          <w:color w:val="000000"/>
          <w:sz w:val="24"/>
          <w:szCs w:val="24"/>
          <w:lang w:val="en-US"/>
        </w:rPr>
        <w:t xml:space="preserve">be </w:t>
      </w:r>
      <w:r w:rsidR="002734AF">
        <w:rPr>
          <w:rFonts w:ascii="Arial" w:hAnsi="Arial" w:cs="Arial"/>
          <w:iCs/>
          <w:color w:val="000000"/>
          <w:sz w:val="24"/>
          <w:szCs w:val="24"/>
          <w:lang w:val="en-US"/>
        </w:rPr>
        <w:t xml:space="preserve">overlooked. </w:t>
      </w:r>
      <w:r>
        <w:rPr>
          <w:rFonts w:ascii="Arial" w:hAnsi="Arial" w:cs="Arial"/>
          <w:iCs/>
          <w:color w:val="000000"/>
          <w:sz w:val="24"/>
          <w:szCs w:val="24"/>
          <w:lang w:val="en-US"/>
        </w:rPr>
        <w:t xml:space="preserve">The Respondents have not persuaded the Court that their application for condonation is </w:t>
      </w:r>
      <w:r w:rsidRPr="009E3496">
        <w:rPr>
          <w:rFonts w:ascii="Arial" w:hAnsi="Arial" w:cs="Arial"/>
          <w:i/>
          <w:color w:val="000000"/>
          <w:sz w:val="24"/>
          <w:szCs w:val="24"/>
          <w:lang w:val="en-US"/>
        </w:rPr>
        <w:t>bona fide</w:t>
      </w:r>
      <w:r>
        <w:rPr>
          <w:rFonts w:ascii="Arial" w:hAnsi="Arial" w:cs="Arial"/>
          <w:iCs/>
          <w:color w:val="000000"/>
          <w:sz w:val="24"/>
          <w:szCs w:val="24"/>
          <w:lang w:val="en-US"/>
        </w:rPr>
        <w:t xml:space="preserve"> and the reasons provided are not deemed to be reasonable or acceptable for the non-compliance with the Rules of Court. </w:t>
      </w:r>
      <w:r w:rsidR="009E3496">
        <w:rPr>
          <w:rFonts w:ascii="Arial" w:hAnsi="Arial" w:cs="Arial"/>
          <w:iCs/>
          <w:color w:val="000000"/>
          <w:sz w:val="24"/>
          <w:szCs w:val="24"/>
          <w:lang w:val="en-US"/>
        </w:rPr>
        <w:t>No good cause has also been shown for the granting of the application for condonation.</w:t>
      </w:r>
    </w:p>
    <w:p w14:paraId="352ACE75" w14:textId="463F2DC7" w:rsidR="00D065CD" w:rsidRDefault="00D065CD" w:rsidP="00411B53">
      <w:pPr>
        <w:spacing w:after="0" w:line="360" w:lineRule="auto"/>
        <w:ind w:left="720" w:hanging="720"/>
        <w:jc w:val="both"/>
        <w:rPr>
          <w:rFonts w:ascii="Arial" w:hAnsi="Arial" w:cs="Arial"/>
          <w:iCs/>
          <w:color w:val="000000"/>
          <w:sz w:val="24"/>
          <w:szCs w:val="24"/>
          <w:lang w:val="en-US"/>
        </w:rPr>
      </w:pPr>
    </w:p>
    <w:p w14:paraId="059E2689" w14:textId="5F9DB68B" w:rsidR="00120831" w:rsidRDefault="00D065CD" w:rsidP="00D065CD">
      <w:pPr>
        <w:spacing w:after="0" w:line="360" w:lineRule="auto"/>
        <w:ind w:left="720" w:hanging="720"/>
        <w:jc w:val="both"/>
        <w:rPr>
          <w:rFonts w:ascii="Arial" w:hAnsi="Arial" w:cs="Arial"/>
          <w:iCs/>
          <w:color w:val="000000"/>
          <w:sz w:val="24"/>
          <w:szCs w:val="24"/>
          <w:lang w:val="en-US"/>
        </w:rPr>
      </w:pPr>
      <w:r>
        <w:rPr>
          <w:rFonts w:ascii="Arial" w:hAnsi="Arial" w:cs="Arial"/>
          <w:iCs/>
          <w:color w:val="000000"/>
          <w:sz w:val="24"/>
          <w:szCs w:val="24"/>
          <w:lang w:val="en-US"/>
        </w:rPr>
        <w:t>[</w:t>
      </w:r>
      <w:r w:rsidR="003A5BB6">
        <w:rPr>
          <w:rFonts w:ascii="Arial" w:hAnsi="Arial" w:cs="Arial"/>
          <w:iCs/>
          <w:color w:val="000000"/>
          <w:sz w:val="24"/>
          <w:szCs w:val="24"/>
          <w:lang w:val="en-US"/>
        </w:rPr>
        <w:t>2</w:t>
      </w:r>
      <w:r w:rsidR="007E6BD7">
        <w:rPr>
          <w:rFonts w:ascii="Arial" w:hAnsi="Arial" w:cs="Arial"/>
          <w:iCs/>
          <w:color w:val="000000"/>
          <w:sz w:val="24"/>
          <w:szCs w:val="24"/>
          <w:lang w:val="en-US"/>
        </w:rPr>
        <w:t>3</w:t>
      </w:r>
      <w:r>
        <w:rPr>
          <w:rFonts w:ascii="Arial" w:hAnsi="Arial" w:cs="Arial"/>
          <w:iCs/>
          <w:color w:val="000000"/>
          <w:sz w:val="24"/>
          <w:szCs w:val="24"/>
          <w:lang w:val="en-US"/>
        </w:rPr>
        <w:t>]</w:t>
      </w:r>
      <w:r>
        <w:rPr>
          <w:rFonts w:ascii="Arial" w:hAnsi="Arial" w:cs="Arial"/>
          <w:iCs/>
          <w:color w:val="000000"/>
          <w:sz w:val="24"/>
          <w:szCs w:val="24"/>
          <w:lang w:val="en-US"/>
        </w:rPr>
        <w:tab/>
        <w:t>All the aspects that the Applicant is required to prove in order to obtain judgment in the main action have been admitted by the Respondents.</w:t>
      </w:r>
      <w:r w:rsidR="005035E8">
        <w:rPr>
          <w:rStyle w:val="FootnoteReference"/>
          <w:rFonts w:ascii="Arial" w:hAnsi="Arial" w:cs="Arial"/>
          <w:iCs/>
          <w:color w:val="000000"/>
          <w:sz w:val="24"/>
          <w:szCs w:val="24"/>
          <w:lang w:val="en-US"/>
        </w:rPr>
        <w:footnoteReference w:id="23"/>
      </w:r>
      <w:r>
        <w:rPr>
          <w:rFonts w:ascii="Arial" w:hAnsi="Arial" w:cs="Arial"/>
          <w:iCs/>
          <w:color w:val="000000"/>
          <w:sz w:val="24"/>
          <w:szCs w:val="24"/>
          <w:lang w:val="en-US"/>
        </w:rPr>
        <w:t xml:space="preserve"> The defences raised by the Respondents (as discussed above) are not sound in law and must therefore fail. </w:t>
      </w:r>
    </w:p>
    <w:p w14:paraId="6A6ECDC1" w14:textId="77777777" w:rsidR="000209C9" w:rsidRPr="00D065CD" w:rsidRDefault="000209C9" w:rsidP="00D065CD">
      <w:pPr>
        <w:spacing w:after="0" w:line="360" w:lineRule="auto"/>
        <w:ind w:left="720" w:hanging="720"/>
        <w:jc w:val="both"/>
      </w:pPr>
    </w:p>
    <w:p w14:paraId="1F3906A0" w14:textId="42E5CAB5" w:rsidR="00120831" w:rsidRPr="0054368D" w:rsidRDefault="00E069B8" w:rsidP="00120831">
      <w:pPr>
        <w:spacing w:before="180" w:after="0" w:line="360" w:lineRule="auto"/>
        <w:ind w:left="851" w:hanging="851"/>
        <w:jc w:val="both"/>
        <w:rPr>
          <w:rFonts w:ascii="Arial" w:hAnsi="Arial" w:cs="Arial"/>
          <w:color w:val="000000"/>
          <w:sz w:val="24"/>
          <w:szCs w:val="24"/>
        </w:rPr>
      </w:pPr>
      <w:r w:rsidRPr="0054368D">
        <w:rPr>
          <w:rFonts w:ascii="Arial" w:eastAsia="Times New Roman" w:hAnsi="Arial" w:cs="Arial"/>
          <w:color w:val="000000"/>
          <w:sz w:val="24"/>
          <w:szCs w:val="24"/>
          <w:lang w:val="en-US"/>
        </w:rPr>
        <w:t>[</w:t>
      </w:r>
      <w:r w:rsidR="003A5BB6">
        <w:rPr>
          <w:rFonts w:ascii="Arial" w:eastAsia="Times New Roman" w:hAnsi="Arial" w:cs="Arial"/>
          <w:color w:val="000000"/>
          <w:sz w:val="24"/>
          <w:szCs w:val="24"/>
          <w:lang w:val="en-US"/>
        </w:rPr>
        <w:t>2</w:t>
      </w:r>
      <w:r w:rsidR="007E6BD7">
        <w:rPr>
          <w:rFonts w:ascii="Arial" w:eastAsia="Times New Roman" w:hAnsi="Arial" w:cs="Arial"/>
          <w:color w:val="000000"/>
          <w:sz w:val="24"/>
          <w:szCs w:val="24"/>
          <w:lang w:val="en-US"/>
        </w:rPr>
        <w:t>4</w:t>
      </w:r>
      <w:r w:rsidR="00120831" w:rsidRPr="0054368D">
        <w:rPr>
          <w:rFonts w:ascii="Arial" w:eastAsia="Times New Roman" w:hAnsi="Arial" w:cs="Arial"/>
          <w:color w:val="000000"/>
          <w:sz w:val="24"/>
          <w:szCs w:val="24"/>
          <w:lang w:val="en-US"/>
        </w:rPr>
        <w:t>]</w:t>
      </w:r>
      <w:r w:rsidR="00120831" w:rsidRPr="0054368D">
        <w:rPr>
          <w:rFonts w:ascii="Arial" w:eastAsia="Times New Roman" w:hAnsi="Arial" w:cs="Arial"/>
          <w:color w:val="000000"/>
          <w:sz w:val="24"/>
          <w:szCs w:val="24"/>
          <w:lang w:val="en-US"/>
        </w:rPr>
        <w:tab/>
      </w:r>
      <w:r w:rsidR="00120831" w:rsidRPr="0054368D">
        <w:rPr>
          <w:rFonts w:ascii="Arial" w:hAnsi="Arial" w:cs="Arial"/>
          <w:color w:val="000000"/>
          <w:sz w:val="24"/>
          <w:szCs w:val="24"/>
        </w:rPr>
        <w:t>In the result the following order is made:</w:t>
      </w:r>
    </w:p>
    <w:p w14:paraId="69BFEC15" w14:textId="77777777" w:rsidR="00142FB4" w:rsidRPr="0054368D" w:rsidRDefault="00344D8E" w:rsidP="00120831">
      <w:pPr>
        <w:spacing w:line="360" w:lineRule="auto"/>
        <w:ind w:left="720" w:hanging="720"/>
        <w:jc w:val="both"/>
        <w:rPr>
          <w:rFonts w:ascii="Arial" w:eastAsia="Times New Roman" w:hAnsi="Arial" w:cs="Arial"/>
          <w:color w:val="000000"/>
          <w:sz w:val="24"/>
          <w:szCs w:val="24"/>
          <w:lang w:val="en-US"/>
        </w:rPr>
      </w:pPr>
      <w:r w:rsidRPr="0054368D">
        <w:rPr>
          <w:rFonts w:ascii="Arial" w:eastAsia="Times New Roman" w:hAnsi="Arial" w:cs="Arial"/>
          <w:color w:val="000000"/>
          <w:sz w:val="24"/>
          <w:szCs w:val="24"/>
          <w:lang w:val="en-US"/>
        </w:rPr>
        <w:t xml:space="preserve">  </w:t>
      </w:r>
    </w:p>
    <w:p w14:paraId="02D0D82B" w14:textId="37AE34AE" w:rsidR="00197C00" w:rsidRDefault="00D065CD" w:rsidP="004E14CE">
      <w:pPr>
        <w:pStyle w:val="ListParagraph"/>
        <w:numPr>
          <w:ilvl w:val="0"/>
          <w:numId w:val="10"/>
        </w:numPr>
        <w:spacing w:after="240" w:line="480" w:lineRule="auto"/>
        <w:jc w:val="both"/>
        <w:rPr>
          <w:rFonts w:ascii="Arial" w:hAnsi="Arial" w:cs="Arial"/>
          <w:sz w:val="24"/>
          <w:szCs w:val="24"/>
        </w:rPr>
      </w:pPr>
      <w:r>
        <w:rPr>
          <w:rFonts w:ascii="Arial" w:hAnsi="Arial" w:cs="Arial"/>
          <w:sz w:val="24"/>
          <w:szCs w:val="24"/>
        </w:rPr>
        <w:t>The application for condonation is dismissed, with costs.</w:t>
      </w:r>
    </w:p>
    <w:p w14:paraId="3127B94D" w14:textId="16465E66" w:rsidR="00D065CD" w:rsidRDefault="00D065CD" w:rsidP="004E14CE">
      <w:pPr>
        <w:pStyle w:val="ListParagraph"/>
        <w:numPr>
          <w:ilvl w:val="0"/>
          <w:numId w:val="10"/>
        </w:numPr>
        <w:spacing w:after="240" w:line="480" w:lineRule="auto"/>
        <w:jc w:val="both"/>
        <w:rPr>
          <w:rFonts w:ascii="Arial" w:hAnsi="Arial" w:cs="Arial"/>
          <w:sz w:val="24"/>
          <w:szCs w:val="24"/>
        </w:rPr>
      </w:pPr>
      <w:r>
        <w:rPr>
          <w:rFonts w:ascii="Arial" w:hAnsi="Arial" w:cs="Arial"/>
          <w:sz w:val="24"/>
          <w:szCs w:val="24"/>
        </w:rPr>
        <w:t>Judgment is granted again</w:t>
      </w:r>
      <w:r w:rsidR="00C71C65">
        <w:rPr>
          <w:rFonts w:ascii="Arial" w:hAnsi="Arial" w:cs="Arial"/>
          <w:sz w:val="24"/>
          <w:szCs w:val="24"/>
        </w:rPr>
        <w:t>s</w:t>
      </w:r>
      <w:r>
        <w:rPr>
          <w:rFonts w:ascii="Arial" w:hAnsi="Arial" w:cs="Arial"/>
          <w:sz w:val="24"/>
          <w:szCs w:val="24"/>
        </w:rPr>
        <w:t>t the Respondents, jointly and severally, the one paying the others to be absolved, for the sum of R205 884.78 plus interest thereon at the prime rate, plus 11% per annum, calculated daily and compounded monthly in arrears from 1 September 2021, until the date of payment, both days, inclusive</w:t>
      </w:r>
    </w:p>
    <w:p w14:paraId="2C156D37" w14:textId="4856663D" w:rsidR="00197C00" w:rsidRPr="00F61BF8" w:rsidRDefault="00F61BF8" w:rsidP="00F61BF8">
      <w:pPr>
        <w:pStyle w:val="ListParagraph"/>
        <w:numPr>
          <w:ilvl w:val="0"/>
          <w:numId w:val="10"/>
        </w:numPr>
        <w:spacing w:after="240" w:line="480" w:lineRule="auto"/>
        <w:jc w:val="both"/>
        <w:rPr>
          <w:rFonts w:ascii="Arial" w:hAnsi="Arial" w:cs="Arial"/>
          <w:sz w:val="24"/>
          <w:szCs w:val="24"/>
        </w:rPr>
      </w:pPr>
      <w:r>
        <w:rPr>
          <w:rFonts w:ascii="Arial" w:hAnsi="Arial" w:cs="Arial"/>
          <w:sz w:val="24"/>
          <w:szCs w:val="24"/>
        </w:rPr>
        <w:t>The Respondent is directed to pay the costs of this application on the scale of attorney and client.</w:t>
      </w:r>
    </w:p>
    <w:p w14:paraId="4D0BB0D2" w14:textId="77777777" w:rsidR="00197C00" w:rsidRPr="0054368D" w:rsidRDefault="00197C00" w:rsidP="00120831">
      <w:pPr>
        <w:spacing w:line="360" w:lineRule="auto"/>
        <w:ind w:left="720" w:hanging="720"/>
        <w:jc w:val="both"/>
        <w:rPr>
          <w:rFonts w:ascii="Arial" w:eastAsia="Times New Roman" w:hAnsi="Arial" w:cs="Arial"/>
          <w:color w:val="000000"/>
          <w:sz w:val="24"/>
          <w:szCs w:val="24"/>
          <w:lang w:val="en-US"/>
        </w:rPr>
      </w:pPr>
    </w:p>
    <w:p w14:paraId="548B39F6" w14:textId="77777777" w:rsidR="00CB3FA5" w:rsidRPr="0054368D" w:rsidRDefault="00CB3FA5" w:rsidP="00A7659E">
      <w:pPr>
        <w:widowControl w:val="0"/>
        <w:autoSpaceDE w:val="0"/>
        <w:autoSpaceDN w:val="0"/>
        <w:adjustRightInd w:val="0"/>
        <w:rPr>
          <w:rFonts w:ascii="Arial" w:hAnsi="Arial" w:cs="Arial"/>
          <w:b/>
          <w:bCs/>
          <w:sz w:val="24"/>
          <w:szCs w:val="24"/>
        </w:rPr>
      </w:pPr>
    </w:p>
    <w:p w14:paraId="7C3B6BC1" w14:textId="77777777" w:rsidR="00CB3FA5" w:rsidRPr="0054368D" w:rsidRDefault="00CB3FA5" w:rsidP="00CB3FA5">
      <w:pPr>
        <w:widowControl w:val="0"/>
        <w:autoSpaceDE w:val="0"/>
        <w:autoSpaceDN w:val="0"/>
        <w:adjustRightInd w:val="0"/>
        <w:ind w:left="902" w:hanging="902"/>
        <w:jc w:val="right"/>
        <w:rPr>
          <w:rFonts w:ascii="Arial" w:hAnsi="Arial" w:cs="Arial"/>
          <w:b/>
          <w:bCs/>
          <w:sz w:val="24"/>
          <w:szCs w:val="24"/>
        </w:rPr>
      </w:pPr>
      <w:r w:rsidRPr="0054368D">
        <w:rPr>
          <w:rFonts w:ascii="Arial" w:hAnsi="Arial" w:cs="Arial"/>
          <w:b/>
          <w:bCs/>
          <w:sz w:val="24"/>
          <w:szCs w:val="24"/>
        </w:rPr>
        <w:t>_______________</w:t>
      </w:r>
    </w:p>
    <w:p w14:paraId="0EA1BFB4" w14:textId="77777777" w:rsidR="00CB3FA5" w:rsidRPr="0054368D" w:rsidRDefault="00FC27DE" w:rsidP="00CB3FA5">
      <w:pPr>
        <w:widowControl w:val="0"/>
        <w:autoSpaceDE w:val="0"/>
        <w:autoSpaceDN w:val="0"/>
        <w:adjustRightInd w:val="0"/>
        <w:ind w:left="902" w:hanging="902"/>
        <w:jc w:val="right"/>
        <w:rPr>
          <w:rFonts w:ascii="Arial" w:hAnsi="Arial" w:cs="Arial"/>
          <w:b/>
          <w:bCs/>
          <w:sz w:val="24"/>
          <w:szCs w:val="24"/>
        </w:rPr>
      </w:pPr>
      <w:r w:rsidRPr="0054368D">
        <w:rPr>
          <w:rFonts w:ascii="Arial" w:hAnsi="Arial" w:cs="Arial"/>
          <w:b/>
          <w:bCs/>
          <w:sz w:val="24"/>
          <w:szCs w:val="24"/>
        </w:rPr>
        <w:t>A.K RAMLAL</w:t>
      </w:r>
      <w:r w:rsidR="00CB3FA5" w:rsidRPr="0054368D">
        <w:rPr>
          <w:rFonts w:ascii="Arial" w:hAnsi="Arial" w:cs="Arial"/>
          <w:b/>
          <w:bCs/>
          <w:sz w:val="24"/>
          <w:szCs w:val="24"/>
        </w:rPr>
        <w:t>, AJ</w:t>
      </w:r>
    </w:p>
    <w:p w14:paraId="47C4DF6B" w14:textId="77777777" w:rsidR="00CB3FA5" w:rsidRPr="0054368D" w:rsidRDefault="00CB3FA5" w:rsidP="006A74AD">
      <w:pPr>
        <w:widowControl w:val="0"/>
        <w:autoSpaceDE w:val="0"/>
        <w:autoSpaceDN w:val="0"/>
        <w:adjustRightInd w:val="0"/>
        <w:jc w:val="both"/>
        <w:rPr>
          <w:rFonts w:ascii="Arial" w:hAnsi="Arial" w:cs="Arial"/>
          <w:bCs/>
          <w:sz w:val="24"/>
          <w:szCs w:val="24"/>
        </w:rPr>
      </w:pPr>
    </w:p>
    <w:p w14:paraId="66BBECE7" w14:textId="77777777" w:rsidR="00CB3FA5" w:rsidRPr="0054368D" w:rsidRDefault="00CB3FA5" w:rsidP="00CB3FA5">
      <w:pPr>
        <w:widowControl w:val="0"/>
        <w:autoSpaceDE w:val="0"/>
        <w:autoSpaceDN w:val="0"/>
        <w:adjustRightInd w:val="0"/>
        <w:ind w:left="902" w:hanging="902"/>
        <w:jc w:val="both"/>
        <w:rPr>
          <w:rFonts w:ascii="Arial" w:hAnsi="Arial" w:cs="Arial"/>
          <w:bCs/>
          <w:sz w:val="24"/>
          <w:szCs w:val="24"/>
        </w:rPr>
      </w:pPr>
    </w:p>
    <w:p w14:paraId="527C3C5F" w14:textId="77777777" w:rsidR="006871C0" w:rsidRPr="0054368D" w:rsidRDefault="00CB3FA5" w:rsidP="006871C0">
      <w:pPr>
        <w:widowControl w:val="0"/>
        <w:autoSpaceDE w:val="0"/>
        <w:autoSpaceDN w:val="0"/>
        <w:adjustRightInd w:val="0"/>
        <w:ind w:left="902" w:hanging="902"/>
        <w:jc w:val="both"/>
        <w:rPr>
          <w:rFonts w:ascii="Arial" w:hAnsi="Arial" w:cs="Arial"/>
          <w:bCs/>
          <w:sz w:val="24"/>
          <w:szCs w:val="24"/>
        </w:rPr>
      </w:pPr>
      <w:r w:rsidRPr="0054368D">
        <w:rPr>
          <w:rFonts w:ascii="Arial" w:hAnsi="Arial" w:cs="Arial"/>
          <w:bCs/>
          <w:sz w:val="24"/>
          <w:szCs w:val="24"/>
        </w:rPr>
        <w:t xml:space="preserve">On behalf of </w:t>
      </w:r>
      <w:r w:rsidR="00225A99" w:rsidRPr="0054368D">
        <w:rPr>
          <w:rFonts w:ascii="Arial" w:hAnsi="Arial" w:cs="Arial"/>
          <w:bCs/>
          <w:sz w:val="24"/>
          <w:szCs w:val="24"/>
        </w:rPr>
        <w:t xml:space="preserve">the </w:t>
      </w:r>
      <w:r w:rsidR="006871C0">
        <w:rPr>
          <w:rFonts w:ascii="Arial" w:hAnsi="Arial" w:cs="Arial"/>
          <w:bCs/>
          <w:sz w:val="24"/>
          <w:szCs w:val="24"/>
        </w:rPr>
        <w:t>Applicant</w:t>
      </w:r>
      <w:r w:rsidR="006871C0">
        <w:rPr>
          <w:rFonts w:ascii="Arial" w:hAnsi="Arial" w:cs="Arial"/>
          <w:bCs/>
          <w:sz w:val="24"/>
          <w:szCs w:val="24"/>
        </w:rPr>
        <w:tab/>
      </w:r>
      <w:r w:rsidR="00225A99" w:rsidRPr="0054368D">
        <w:rPr>
          <w:rFonts w:ascii="Arial" w:hAnsi="Arial" w:cs="Arial"/>
          <w:bCs/>
          <w:sz w:val="24"/>
          <w:szCs w:val="24"/>
        </w:rPr>
        <w:t>:</w:t>
      </w:r>
      <w:r w:rsidR="00225A99" w:rsidRPr="0054368D">
        <w:rPr>
          <w:rFonts w:ascii="Arial" w:hAnsi="Arial" w:cs="Arial"/>
          <w:bCs/>
          <w:sz w:val="24"/>
          <w:szCs w:val="24"/>
        </w:rPr>
        <w:tab/>
        <w:t xml:space="preserve">Adv. </w:t>
      </w:r>
      <w:r w:rsidR="006871C0">
        <w:rPr>
          <w:rFonts w:ascii="Arial" w:hAnsi="Arial" w:cs="Arial"/>
          <w:bCs/>
          <w:sz w:val="24"/>
          <w:szCs w:val="24"/>
        </w:rPr>
        <w:t>R R van der Merwe</w:t>
      </w:r>
    </w:p>
    <w:p w14:paraId="0324FC48" w14:textId="77777777" w:rsidR="00D01364" w:rsidRPr="0054368D" w:rsidRDefault="006871C0" w:rsidP="006871C0">
      <w:pPr>
        <w:widowControl w:val="0"/>
        <w:autoSpaceDE w:val="0"/>
        <w:autoSpaceDN w:val="0"/>
        <w:adjustRightInd w:val="0"/>
        <w:ind w:left="902" w:hanging="902"/>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t>:</w:t>
      </w:r>
      <w:r>
        <w:rPr>
          <w:rFonts w:ascii="Arial" w:hAnsi="Arial" w:cs="Arial"/>
          <w:bCs/>
          <w:sz w:val="24"/>
          <w:szCs w:val="24"/>
        </w:rPr>
        <w:tab/>
        <w:t>Honey Attorneys</w:t>
      </w:r>
    </w:p>
    <w:p w14:paraId="3CEEFB9F" w14:textId="77777777" w:rsidR="00CB3FA5" w:rsidRPr="0054368D" w:rsidRDefault="00CB3FA5" w:rsidP="00225A99">
      <w:pPr>
        <w:widowControl w:val="0"/>
        <w:autoSpaceDE w:val="0"/>
        <w:autoSpaceDN w:val="0"/>
        <w:adjustRightInd w:val="0"/>
        <w:ind w:left="902" w:hanging="902"/>
        <w:jc w:val="both"/>
        <w:rPr>
          <w:rFonts w:ascii="Arial" w:hAnsi="Arial" w:cs="Arial"/>
          <w:bCs/>
          <w:sz w:val="24"/>
          <w:szCs w:val="24"/>
        </w:rPr>
      </w:pP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t>BLOEMFONTEIN</w:t>
      </w: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r>
    </w:p>
    <w:p w14:paraId="3737D5B6" w14:textId="77777777" w:rsidR="006871C0" w:rsidRDefault="006871C0" w:rsidP="00CB3FA5">
      <w:pPr>
        <w:widowControl w:val="0"/>
        <w:autoSpaceDE w:val="0"/>
        <w:autoSpaceDN w:val="0"/>
        <w:adjustRightInd w:val="0"/>
        <w:ind w:left="902" w:hanging="902"/>
        <w:jc w:val="both"/>
        <w:rPr>
          <w:rFonts w:ascii="Arial" w:hAnsi="Arial" w:cs="Arial"/>
          <w:bCs/>
          <w:sz w:val="24"/>
          <w:szCs w:val="24"/>
        </w:rPr>
      </w:pPr>
    </w:p>
    <w:p w14:paraId="740E7484" w14:textId="77777777" w:rsidR="00CB3FA5" w:rsidRPr="0054368D" w:rsidRDefault="00CB3FA5" w:rsidP="00CB3FA5">
      <w:pPr>
        <w:widowControl w:val="0"/>
        <w:autoSpaceDE w:val="0"/>
        <w:autoSpaceDN w:val="0"/>
        <w:adjustRightInd w:val="0"/>
        <w:ind w:left="902" w:hanging="902"/>
        <w:jc w:val="both"/>
        <w:rPr>
          <w:rFonts w:ascii="Arial" w:hAnsi="Arial" w:cs="Arial"/>
          <w:bCs/>
          <w:sz w:val="24"/>
          <w:szCs w:val="24"/>
        </w:rPr>
      </w:pPr>
      <w:r w:rsidRPr="0054368D">
        <w:rPr>
          <w:rFonts w:ascii="Arial" w:hAnsi="Arial" w:cs="Arial"/>
          <w:bCs/>
          <w:sz w:val="24"/>
          <w:szCs w:val="24"/>
        </w:rPr>
        <w:t xml:space="preserve">On behalf </w:t>
      </w:r>
      <w:r w:rsidR="00225A99" w:rsidRPr="0054368D">
        <w:rPr>
          <w:rFonts w:ascii="Arial" w:hAnsi="Arial" w:cs="Arial"/>
          <w:bCs/>
          <w:sz w:val="24"/>
          <w:szCs w:val="24"/>
        </w:rPr>
        <w:t xml:space="preserve">of the </w:t>
      </w:r>
      <w:r w:rsidR="006871C0">
        <w:rPr>
          <w:rFonts w:ascii="Arial" w:hAnsi="Arial" w:cs="Arial"/>
          <w:bCs/>
          <w:sz w:val="24"/>
          <w:szCs w:val="24"/>
        </w:rPr>
        <w:t>Respondent</w:t>
      </w:r>
      <w:r w:rsidR="00225A99" w:rsidRPr="0054368D">
        <w:rPr>
          <w:rFonts w:ascii="Arial" w:hAnsi="Arial" w:cs="Arial"/>
          <w:bCs/>
          <w:sz w:val="24"/>
          <w:szCs w:val="24"/>
        </w:rPr>
        <w:t>:</w:t>
      </w:r>
      <w:r w:rsidR="00225A99" w:rsidRPr="0054368D">
        <w:rPr>
          <w:rFonts w:ascii="Arial" w:hAnsi="Arial" w:cs="Arial"/>
          <w:bCs/>
          <w:sz w:val="24"/>
          <w:szCs w:val="24"/>
        </w:rPr>
        <w:tab/>
      </w:r>
      <w:r w:rsidR="006871C0">
        <w:rPr>
          <w:rFonts w:ascii="Arial" w:hAnsi="Arial" w:cs="Arial"/>
          <w:bCs/>
          <w:sz w:val="24"/>
          <w:szCs w:val="24"/>
        </w:rPr>
        <w:t>Adv J B Cilliers</w:t>
      </w:r>
      <w:r w:rsidRPr="0054368D">
        <w:rPr>
          <w:rFonts w:ascii="Arial" w:hAnsi="Arial" w:cs="Arial"/>
          <w:bCs/>
          <w:sz w:val="24"/>
          <w:szCs w:val="24"/>
        </w:rPr>
        <w:t xml:space="preserve"> </w:t>
      </w:r>
    </w:p>
    <w:p w14:paraId="6998DE24" w14:textId="77777777" w:rsidR="00CB3FA5" w:rsidRPr="0054368D" w:rsidRDefault="006871C0" w:rsidP="00CB3FA5">
      <w:pPr>
        <w:widowControl w:val="0"/>
        <w:autoSpaceDE w:val="0"/>
        <w:autoSpaceDN w:val="0"/>
        <w:adjustRightInd w:val="0"/>
        <w:ind w:left="902" w:hanging="902"/>
        <w:jc w:val="both"/>
        <w:rPr>
          <w:rFonts w:ascii="Arial" w:hAnsi="Arial" w:cs="Arial"/>
          <w:bCs/>
          <w:sz w:val="24"/>
          <w:szCs w:val="24"/>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r>
      <w:r>
        <w:rPr>
          <w:rFonts w:ascii="Arial" w:hAnsi="Arial" w:cs="Arial"/>
          <w:bCs/>
          <w:sz w:val="24"/>
          <w:szCs w:val="24"/>
        </w:rPr>
        <w:tab/>
        <w:t>:</w:t>
      </w:r>
      <w:r>
        <w:rPr>
          <w:rFonts w:ascii="Arial" w:hAnsi="Arial" w:cs="Arial"/>
          <w:bCs/>
          <w:sz w:val="24"/>
          <w:szCs w:val="24"/>
        </w:rPr>
        <w:tab/>
        <w:t>Viljoen Attorneys</w:t>
      </w:r>
    </w:p>
    <w:p w14:paraId="288F0464" w14:textId="4F34AF87" w:rsidR="000209C9" w:rsidRPr="0054368D" w:rsidRDefault="00225A99" w:rsidP="000209C9">
      <w:pPr>
        <w:spacing w:line="480" w:lineRule="auto"/>
        <w:rPr>
          <w:rFonts w:ascii="Arial" w:hAnsi="Arial" w:cs="Arial"/>
          <w:bCs/>
          <w:sz w:val="24"/>
          <w:szCs w:val="24"/>
        </w:rPr>
      </w:pP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r>
      <w:r w:rsidRPr="0054368D">
        <w:rPr>
          <w:rFonts w:ascii="Arial" w:hAnsi="Arial" w:cs="Arial"/>
          <w:bCs/>
          <w:sz w:val="24"/>
          <w:szCs w:val="24"/>
        </w:rPr>
        <w:tab/>
        <w:t>BLOEMFONTEIN</w:t>
      </w:r>
      <w:r w:rsidR="001A4C08" w:rsidRPr="0054368D">
        <w:rPr>
          <w:rFonts w:ascii="Arial" w:eastAsia="Times New Roman" w:hAnsi="Arial" w:cs="Arial"/>
          <w:sz w:val="24"/>
          <w:szCs w:val="24"/>
        </w:rPr>
        <w:t xml:space="preserve"> </w:t>
      </w:r>
    </w:p>
    <w:p w14:paraId="042B074F" w14:textId="003B6E10" w:rsidR="001A4C08" w:rsidRPr="0054368D" w:rsidRDefault="001A4C08" w:rsidP="000209C9">
      <w:pPr>
        <w:spacing w:after="200" w:line="480" w:lineRule="auto"/>
        <w:rPr>
          <w:rFonts w:ascii="Arial" w:hAnsi="Arial" w:cs="Arial"/>
          <w:bCs/>
          <w:sz w:val="24"/>
          <w:szCs w:val="24"/>
        </w:rPr>
      </w:pPr>
    </w:p>
    <w:sectPr w:rsidR="001A4C08" w:rsidRPr="0054368D"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7E06C" w14:textId="77777777" w:rsidR="003853C1" w:rsidRDefault="003853C1" w:rsidP="003A2C84">
      <w:pPr>
        <w:spacing w:after="0" w:line="240" w:lineRule="auto"/>
      </w:pPr>
      <w:r>
        <w:separator/>
      </w:r>
    </w:p>
  </w:endnote>
  <w:endnote w:type="continuationSeparator" w:id="0">
    <w:p w14:paraId="653E1B36" w14:textId="77777777" w:rsidR="003853C1" w:rsidRDefault="003853C1"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altName w:val="sans-serif"/>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58AF9" w14:textId="77777777" w:rsidR="003853C1" w:rsidRDefault="003853C1" w:rsidP="003A2C84">
      <w:pPr>
        <w:spacing w:after="0" w:line="240" w:lineRule="auto"/>
      </w:pPr>
      <w:r>
        <w:separator/>
      </w:r>
    </w:p>
  </w:footnote>
  <w:footnote w:type="continuationSeparator" w:id="0">
    <w:p w14:paraId="64867831" w14:textId="77777777" w:rsidR="003853C1" w:rsidRDefault="003853C1" w:rsidP="003A2C84">
      <w:pPr>
        <w:spacing w:after="0" w:line="240" w:lineRule="auto"/>
      </w:pPr>
      <w:r>
        <w:continuationSeparator/>
      </w:r>
    </w:p>
  </w:footnote>
  <w:footnote w:id="1">
    <w:p w14:paraId="7D5EB907" w14:textId="77777777" w:rsidR="00504790" w:rsidRPr="00504790" w:rsidRDefault="00504790">
      <w:pPr>
        <w:pStyle w:val="FootnoteText"/>
        <w:rPr>
          <w:lang w:val="en-GB"/>
        </w:rPr>
      </w:pPr>
      <w:r>
        <w:rPr>
          <w:rStyle w:val="FootnoteReference"/>
        </w:rPr>
        <w:footnoteRef/>
      </w:r>
      <w:r>
        <w:t xml:space="preserve"> </w:t>
      </w:r>
      <w:r>
        <w:rPr>
          <w:lang w:val="en-GB"/>
        </w:rPr>
        <w:t>Order of Court dated 25 November 2021 Paginated page 78</w:t>
      </w:r>
    </w:p>
  </w:footnote>
  <w:footnote w:id="2">
    <w:p w14:paraId="35ED2FFD" w14:textId="53B77A73" w:rsidR="00FA1732" w:rsidRPr="00FA1732" w:rsidRDefault="00FA1732">
      <w:pPr>
        <w:pStyle w:val="FootnoteText"/>
        <w:rPr>
          <w:lang w:val="en-GB"/>
        </w:rPr>
      </w:pPr>
      <w:r>
        <w:rPr>
          <w:rStyle w:val="FootnoteReference"/>
        </w:rPr>
        <w:footnoteRef/>
      </w:r>
      <w:r>
        <w:t xml:space="preserve"> </w:t>
      </w:r>
      <w:r w:rsidR="002522A2">
        <w:t>Paginated pages 12 and 85 of the record</w:t>
      </w:r>
    </w:p>
  </w:footnote>
  <w:footnote w:id="3">
    <w:p w14:paraId="6756CCDB" w14:textId="77777777" w:rsidR="00AD2834" w:rsidRPr="00AD2834" w:rsidRDefault="00AD2834">
      <w:pPr>
        <w:pStyle w:val="FootnoteText"/>
        <w:rPr>
          <w:lang w:val="en-GB"/>
        </w:rPr>
      </w:pPr>
      <w:r>
        <w:rPr>
          <w:rStyle w:val="FootnoteReference"/>
        </w:rPr>
        <w:footnoteRef/>
      </w:r>
      <w:r>
        <w:t xml:space="preserve"> </w:t>
      </w:r>
      <w:r>
        <w:rPr>
          <w:lang w:val="en-GB"/>
        </w:rPr>
        <w:t>Pages 15 and 85 of the record</w:t>
      </w:r>
    </w:p>
  </w:footnote>
  <w:footnote w:id="4">
    <w:p w14:paraId="07FDE67F" w14:textId="77777777" w:rsidR="00F30212" w:rsidRPr="00F30212" w:rsidRDefault="00F30212">
      <w:pPr>
        <w:pStyle w:val="FootnoteText"/>
        <w:rPr>
          <w:lang w:val="en-GB"/>
        </w:rPr>
      </w:pPr>
      <w:r>
        <w:rPr>
          <w:rStyle w:val="FootnoteReference"/>
        </w:rPr>
        <w:footnoteRef/>
      </w:r>
      <w:r>
        <w:t xml:space="preserve"> </w:t>
      </w:r>
      <w:r>
        <w:rPr>
          <w:lang w:val="en-GB"/>
        </w:rPr>
        <w:t>Pages 15 and 85 of the record</w:t>
      </w:r>
    </w:p>
  </w:footnote>
  <w:footnote w:id="5">
    <w:p w14:paraId="3280500F" w14:textId="77777777" w:rsidR="00210DF1" w:rsidRPr="00210DF1" w:rsidRDefault="00210DF1">
      <w:pPr>
        <w:pStyle w:val="FootnoteText"/>
        <w:rPr>
          <w:lang w:val="en-GB"/>
        </w:rPr>
      </w:pPr>
      <w:r>
        <w:rPr>
          <w:rStyle w:val="FootnoteReference"/>
        </w:rPr>
        <w:footnoteRef/>
      </w:r>
      <w:r>
        <w:t xml:space="preserve"> </w:t>
      </w:r>
      <w:r>
        <w:rPr>
          <w:lang w:val="en-GB"/>
        </w:rPr>
        <w:t>Pages 16 and 85 of the record</w:t>
      </w:r>
    </w:p>
  </w:footnote>
  <w:footnote w:id="6">
    <w:p w14:paraId="7F8C1295" w14:textId="77777777" w:rsidR="00C73DA4" w:rsidRPr="00C73DA4" w:rsidRDefault="00C73DA4">
      <w:pPr>
        <w:pStyle w:val="FootnoteText"/>
        <w:rPr>
          <w:lang w:val="en-GB"/>
        </w:rPr>
      </w:pPr>
      <w:r>
        <w:rPr>
          <w:rStyle w:val="FootnoteReference"/>
        </w:rPr>
        <w:footnoteRef/>
      </w:r>
      <w:r>
        <w:t xml:space="preserve"> </w:t>
      </w:r>
      <w:r>
        <w:rPr>
          <w:lang w:val="en-GB"/>
        </w:rPr>
        <w:t>Anne</w:t>
      </w:r>
      <w:r w:rsidR="00A46127">
        <w:rPr>
          <w:lang w:val="en-GB"/>
        </w:rPr>
        <w:t>x</w:t>
      </w:r>
      <w:r>
        <w:rPr>
          <w:lang w:val="en-GB"/>
        </w:rPr>
        <w:t xml:space="preserve">ure </w:t>
      </w:r>
      <w:r w:rsidR="00A46127">
        <w:rPr>
          <w:lang w:val="en-GB"/>
        </w:rPr>
        <w:t>“</w:t>
      </w:r>
      <w:r>
        <w:rPr>
          <w:lang w:val="en-GB"/>
        </w:rPr>
        <w:t>FA 10</w:t>
      </w:r>
      <w:r w:rsidR="00A46127">
        <w:rPr>
          <w:lang w:val="en-GB"/>
        </w:rPr>
        <w:t>”</w:t>
      </w:r>
      <w:r>
        <w:rPr>
          <w:lang w:val="en-GB"/>
        </w:rPr>
        <w:t xml:space="preserve"> page 39 of the record</w:t>
      </w:r>
    </w:p>
  </w:footnote>
  <w:footnote w:id="7">
    <w:p w14:paraId="3BB1D4BE" w14:textId="77777777" w:rsidR="00A46127" w:rsidRPr="00A46127" w:rsidRDefault="00A46127">
      <w:pPr>
        <w:pStyle w:val="FootnoteText"/>
        <w:rPr>
          <w:lang w:val="en-GB"/>
        </w:rPr>
      </w:pPr>
      <w:r>
        <w:rPr>
          <w:rStyle w:val="FootnoteReference"/>
        </w:rPr>
        <w:footnoteRef/>
      </w:r>
      <w:r>
        <w:t xml:space="preserve"> Annexures “FA15”, “FA18” and “FA21</w:t>
      </w:r>
      <w:r w:rsidR="001D5B8C">
        <w:t>”</w:t>
      </w:r>
    </w:p>
  </w:footnote>
  <w:footnote w:id="8">
    <w:p w14:paraId="303B452E" w14:textId="77777777" w:rsidR="002111D4" w:rsidRDefault="002111D4">
      <w:pPr>
        <w:pStyle w:val="FootnoteText"/>
      </w:pPr>
      <w:r>
        <w:rPr>
          <w:rStyle w:val="FootnoteReference"/>
        </w:rPr>
        <w:footnoteRef/>
      </w:r>
      <w:r>
        <w:t xml:space="preserve"> Para 4.1.1 page 83 of the Record</w:t>
      </w:r>
    </w:p>
  </w:footnote>
  <w:footnote w:id="9">
    <w:p w14:paraId="11989ED3" w14:textId="77777777" w:rsidR="005327DE" w:rsidRDefault="005327DE" w:rsidP="005327DE">
      <w:pPr>
        <w:pStyle w:val="FootnoteText"/>
      </w:pPr>
      <w:r>
        <w:rPr>
          <w:rStyle w:val="FootnoteReference"/>
        </w:rPr>
        <w:footnoteRef/>
      </w:r>
      <w:r>
        <w:t xml:space="preserve"> Para 4.1.3 page 83 of the Record</w:t>
      </w:r>
    </w:p>
  </w:footnote>
  <w:footnote w:id="10">
    <w:p w14:paraId="7A864B32" w14:textId="77777777" w:rsidR="00133AED" w:rsidRDefault="00133AED">
      <w:pPr>
        <w:pStyle w:val="FootnoteText"/>
      </w:pPr>
      <w:r>
        <w:rPr>
          <w:rStyle w:val="FootnoteReference"/>
        </w:rPr>
        <w:footnoteRef/>
      </w:r>
      <w:r>
        <w:t xml:space="preserve"> Para 4.1.5 page 84 of the recird</w:t>
      </w:r>
    </w:p>
  </w:footnote>
  <w:footnote w:id="11">
    <w:p w14:paraId="207F220D" w14:textId="17764158" w:rsidR="007053CC" w:rsidRDefault="007053CC">
      <w:pPr>
        <w:pStyle w:val="FootnoteText"/>
      </w:pPr>
      <w:r>
        <w:rPr>
          <w:rStyle w:val="FootnoteReference"/>
        </w:rPr>
        <w:footnoteRef/>
      </w:r>
      <w:r>
        <w:t xml:space="preserve"> Companie</w:t>
      </w:r>
      <w:r w:rsidR="007D4476">
        <w:t>s</w:t>
      </w:r>
      <w:r>
        <w:t xml:space="preserve"> Act 71 </w:t>
      </w:r>
      <w:r w:rsidR="00A8118F">
        <w:t>of 2008</w:t>
      </w:r>
    </w:p>
  </w:footnote>
  <w:footnote w:id="12">
    <w:p w14:paraId="3AAD3486" w14:textId="5F7D081F" w:rsidR="00D1665E" w:rsidRDefault="00D1665E">
      <w:pPr>
        <w:pStyle w:val="FootnoteText"/>
      </w:pPr>
      <w:r>
        <w:rPr>
          <w:rStyle w:val="FootnoteReference"/>
        </w:rPr>
        <w:footnoteRef/>
      </w:r>
      <w:r>
        <w:t xml:space="preserve"> </w:t>
      </w:r>
      <w:r w:rsidR="001C686C">
        <w:t xml:space="preserve">Clauses 1 and 11 of </w:t>
      </w:r>
      <w:r w:rsidR="007D4476">
        <w:t xml:space="preserve">Annexures </w:t>
      </w:r>
      <w:r w:rsidR="001C686C">
        <w:t>“FA15”, “FA18” and “FA21”</w:t>
      </w:r>
    </w:p>
  </w:footnote>
  <w:footnote w:id="13">
    <w:p w14:paraId="0CFFA624" w14:textId="77777777" w:rsidR="003A47AA" w:rsidRDefault="003A47AA">
      <w:pPr>
        <w:pStyle w:val="FootnoteText"/>
      </w:pPr>
      <w:r>
        <w:rPr>
          <w:rStyle w:val="FootnoteReference"/>
        </w:rPr>
        <w:footnoteRef/>
      </w:r>
      <w:r>
        <w:t xml:space="preserve"> Para 6.1.1 page 85</w:t>
      </w:r>
    </w:p>
  </w:footnote>
  <w:footnote w:id="14">
    <w:p w14:paraId="469578FC" w14:textId="77777777" w:rsidR="00237D4C" w:rsidRDefault="00237D4C">
      <w:pPr>
        <w:pStyle w:val="FootnoteText"/>
      </w:pPr>
      <w:r>
        <w:rPr>
          <w:rStyle w:val="FootnoteReference"/>
        </w:rPr>
        <w:footnoteRef/>
      </w:r>
      <w:r>
        <w:t xml:space="preserve"> Para 6.1.3 page 86</w:t>
      </w:r>
    </w:p>
  </w:footnote>
  <w:footnote w:id="15">
    <w:p w14:paraId="6F4F4771" w14:textId="77777777" w:rsidR="00F263B5" w:rsidRDefault="00F263B5">
      <w:pPr>
        <w:pStyle w:val="FootnoteText"/>
      </w:pPr>
      <w:r>
        <w:rPr>
          <w:rStyle w:val="FootnoteReference"/>
        </w:rPr>
        <w:footnoteRef/>
      </w:r>
      <w:r>
        <w:t xml:space="preserve"> Para 6.1.4 page 86</w:t>
      </w:r>
    </w:p>
  </w:footnote>
  <w:footnote w:id="16">
    <w:p w14:paraId="69D4F760" w14:textId="18065EF7" w:rsidR="00432FFB" w:rsidRDefault="00432FFB">
      <w:pPr>
        <w:pStyle w:val="FootnoteText"/>
      </w:pPr>
      <w:r>
        <w:rPr>
          <w:rStyle w:val="FootnoteReference"/>
        </w:rPr>
        <w:footnoteRef/>
      </w:r>
      <w:r>
        <w:t xml:space="preserve"> Clause 1 </w:t>
      </w:r>
      <w:bookmarkStart w:id="1" w:name="_Hlk102053297"/>
      <w:r>
        <w:t>of Annexures “FA15”, “FA18” and “FA21”</w:t>
      </w:r>
    </w:p>
    <w:bookmarkEnd w:id="1"/>
  </w:footnote>
  <w:footnote w:id="17">
    <w:p w14:paraId="0B2D005B" w14:textId="77777777" w:rsidR="00793C6A" w:rsidRDefault="00793C6A" w:rsidP="00793C6A">
      <w:pPr>
        <w:pStyle w:val="FootnoteText"/>
      </w:pPr>
      <w:r>
        <w:rPr>
          <w:rStyle w:val="FootnoteReference"/>
        </w:rPr>
        <w:footnoteRef/>
      </w:r>
      <w:r>
        <w:t xml:space="preserve"> Clause 31 of Annexures “FA15”, “FA18” and “FA21”</w:t>
      </w:r>
    </w:p>
    <w:p w14:paraId="03595799" w14:textId="4996C9BD" w:rsidR="00793C6A" w:rsidRDefault="00793C6A">
      <w:pPr>
        <w:pStyle w:val="FootnoteText"/>
      </w:pPr>
    </w:p>
  </w:footnote>
  <w:footnote w:id="18">
    <w:p w14:paraId="4F74A978" w14:textId="77777777" w:rsidR="00F457C2" w:rsidRDefault="00F457C2">
      <w:pPr>
        <w:pStyle w:val="FootnoteText"/>
      </w:pPr>
      <w:r>
        <w:rPr>
          <w:rStyle w:val="FootnoteReference"/>
        </w:rPr>
        <w:footnoteRef/>
      </w:r>
      <w:r>
        <w:t xml:space="preserve"> Paginated page 114 of record</w:t>
      </w:r>
    </w:p>
  </w:footnote>
  <w:footnote w:id="19">
    <w:p w14:paraId="49963E54" w14:textId="77777777" w:rsidR="00F457C2" w:rsidRDefault="00F457C2">
      <w:pPr>
        <w:pStyle w:val="FootnoteText"/>
      </w:pPr>
      <w:r>
        <w:rPr>
          <w:rStyle w:val="FootnoteReference"/>
        </w:rPr>
        <w:footnoteRef/>
      </w:r>
      <w:r>
        <w:t xml:space="preserve"> Paginated page 115 of record</w:t>
      </w:r>
    </w:p>
  </w:footnote>
  <w:footnote w:id="20">
    <w:p w14:paraId="23E1FF46" w14:textId="77777777" w:rsidR="00233AB4" w:rsidRDefault="00233AB4">
      <w:pPr>
        <w:pStyle w:val="FootnoteText"/>
      </w:pPr>
      <w:r>
        <w:rPr>
          <w:rStyle w:val="FootnoteReference"/>
        </w:rPr>
        <w:footnoteRef/>
      </w:r>
      <w:r>
        <w:t xml:space="preserve"> Paginated page 115 of record</w:t>
      </w:r>
    </w:p>
  </w:footnote>
  <w:footnote w:id="21">
    <w:p w14:paraId="384E0EB2" w14:textId="791891EA" w:rsidR="00A72911" w:rsidRDefault="00A72911">
      <w:pPr>
        <w:pStyle w:val="FootnoteText"/>
      </w:pPr>
      <w:r>
        <w:rPr>
          <w:rStyle w:val="FootnoteReference"/>
        </w:rPr>
        <w:footnoteRef/>
      </w:r>
      <w:r>
        <w:t xml:space="preserve"> Dengetenge Holdings (Pty)Ltd v Southern Sphere Mining Development Company Ltd &amp; others[2013]2AllSA251(SCA) at para 11</w:t>
      </w:r>
    </w:p>
  </w:footnote>
  <w:footnote w:id="22">
    <w:p w14:paraId="5A322860" w14:textId="52AFC1CD" w:rsidR="008B5C73" w:rsidRDefault="008B5C73">
      <w:pPr>
        <w:pStyle w:val="FootnoteText"/>
      </w:pPr>
      <w:r>
        <w:rPr>
          <w:rStyle w:val="FootnoteReference"/>
        </w:rPr>
        <w:footnoteRef/>
      </w:r>
      <w:r>
        <w:t xml:space="preserve"> Darries v Sheriff, Magistrate’s Court Wynberg &amp; another 1998(3)</w:t>
      </w:r>
      <w:r w:rsidR="00AA2CD8">
        <w:t xml:space="preserve"> </w:t>
      </w:r>
      <w:r>
        <w:t>SA</w:t>
      </w:r>
      <w:r w:rsidR="00AA2CD8">
        <w:t xml:space="preserve"> </w:t>
      </w:r>
      <w:r>
        <w:t>34</w:t>
      </w:r>
      <w:r w:rsidR="00AA2CD8">
        <w:t xml:space="preserve"> </w:t>
      </w:r>
      <w:r>
        <w:t>SCA at 40-41E</w:t>
      </w:r>
    </w:p>
  </w:footnote>
  <w:footnote w:id="23">
    <w:p w14:paraId="136AF6D0" w14:textId="30490552" w:rsidR="005035E8" w:rsidRDefault="005035E8">
      <w:pPr>
        <w:pStyle w:val="FootnoteText"/>
      </w:pPr>
      <w:r>
        <w:rPr>
          <w:rStyle w:val="FootnoteReference"/>
        </w:rPr>
        <w:footnoteRef/>
      </w:r>
      <w:r>
        <w:t xml:space="preserve"> Para 6 page 85 of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14:paraId="2487E906" w14:textId="77777777" w:rsidR="00734B53" w:rsidRDefault="00734B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035DC1" w14:textId="77777777" w:rsidR="00734B53" w:rsidRDefault="00734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FAF716"/>
    <w:multiLevelType w:val="hybridMultilevel"/>
    <w:tmpl w:val="CB6995D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29610E"/>
    <w:multiLevelType w:val="hybridMultilevel"/>
    <w:tmpl w:val="FFDA869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37734C"/>
    <w:multiLevelType w:val="hybridMultilevel"/>
    <w:tmpl w:val="03548C1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123247"/>
    <w:multiLevelType w:val="hybridMultilevel"/>
    <w:tmpl w:val="370BD70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4F5835"/>
    <w:multiLevelType w:val="hybridMultilevel"/>
    <w:tmpl w:val="347621B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FA243A3"/>
    <w:multiLevelType w:val="hybridMultilevel"/>
    <w:tmpl w:val="17C08E7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0866A59"/>
    <w:multiLevelType w:val="hybridMultilevel"/>
    <w:tmpl w:val="5EC8BD1C"/>
    <w:lvl w:ilvl="0" w:tplc="0409000F">
      <w:start w:val="1"/>
      <w:numFmt w:val="decimal"/>
      <w:lvlText w:val="%1."/>
      <w:lvlJc w:val="left"/>
      <w:pPr>
        <w:ind w:left="3925" w:hanging="360"/>
      </w:pPr>
    </w:lvl>
    <w:lvl w:ilvl="1" w:tplc="04090019">
      <w:start w:val="1"/>
      <w:numFmt w:val="lowerLetter"/>
      <w:lvlText w:val="%2."/>
      <w:lvlJc w:val="left"/>
      <w:pPr>
        <w:ind w:left="4645" w:hanging="360"/>
      </w:pPr>
    </w:lvl>
    <w:lvl w:ilvl="2" w:tplc="0409001B">
      <w:start w:val="1"/>
      <w:numFmt w:val="lowerRoman"/>
      <w:lvlText w:val="%3."/>
      <w:lvlJc w:val="right"/>
      <w:pPr>
        <w:ind w:left="5365" w:hanging="180"/>
      </w:pPr>
    </w:lvl>
    <w:lvl w:ilvl="3" w:tplc="0409000F">
      <w:start w:val="1"/>
      <w:numFmt w:val="decimal"/>
      <w:lvlText w:val="%4."/>
      <w:lvlJc w:val="left"/>
      <w:pPr>
        <w:ind w:left="6085" w:hanging="360"/>
      </w:pPr>
    </w:lvl>
    <w:lvl w:ilvl="4" w:tplc="04090019">
      <w:start w:val="1"/>
      <w:numFmt w:val="lowerLetter"/>
      <w:lvlText w:val="%5."/>
      <w:lvlJc w:val="left"/>
      <w:pPr>
        <w:ind w:left="6805" w:hanging="360"/>
      </w:pPr>
    </w:lvl>
    <w:lvl w:ilvl="5" w:tplc="0409001B">
      <w:start w:val="1"/>
      <w:numFmt w:val="lowerRoman"/>
      <w:lvlText w:val="%6."/>
      <w:lvlJc w:val="right"/>
      <w:pPr>
        <w:ind w:left="7525" w:hanging="180"/>
      </w:pPr>
    </w:lvl>
    <w:lvl w:ilvl="6" w:tplc="0409000F">
      <w:start w:val="1"/>
      <w:numFmt w:val="decimal"/>
      <w:lvlText w:val="%7."/>
      <w:lvlJc w:val="left"/>
      <w:pPr>
        <w:ind w:left="8245" w:hanging="360"/>
      </w:pPr>
    </w:lvl>
    <w:lvl w:ilvl="7" w:tplc="04090019">
      <w:start w:val="1"/>
      <w:numFmt w:val="lowerLetter"/>
      <w:lvlText w:val="%8."/>
      <w:lvlJc w:val="left"/>
      <w:pPr>
        <w:ind w:left="8965" w:hanging="360"/>
      </w:pPr>
    </w:lvl>
    <w:lvl w:ilvl="8" w:tplc="0409001B">
      <w:start w:val="1"/>
      <w:numFmt w:val="lowerRoman"/>
      <w:lvlText w:val="%9."/>
      <w:lvlJc w:val="right"/>
      <w:pPr>
        <w:ind w:left="9685" w:hanging="180"/>
      </w:pPr>
    </w:lvl>
  </w:abstractNum>
  <w:abstractNum w:abstractNumId="8" w15:restartNumberingAfterBreak="0">
    <w:nsid w:val="63992D43"/>
    <w:multiLevelType w:val="hybridMultilevel"/>
    <w:tmpl w:val="21ECB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5A4CFA"/>
    <w:multiLevelType w:val="multilevel"/>
    <w:tmpl w:val="A8CE95D0"/>
    <w:lvl w:ilvl="0">
      <w:start w:val="20"/>
      <w:numFmt w:val="decimal"/>
      <w:lvlText w:val="%1"/>
      <w:lvlJc w:val="left"/>
      <w:pPr>
        <w:ind w:left="600" w:hanging="600"/>
      </w:pPr>
      <w:rPr>
        <w:rFonts w:cs="Times New Roman" w:hint="default"/>
      </w:rPr>
    </w:lvl>
    <w:lvl w:ilvl="1">
      <w:start w:val="5"/>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2"/>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21E9"/>
    <w:rsid w:val="0000303C"/>
    <w:rsid w:val="000179D0"/>
    <w:rsid w:val="000209C9"/>
    <w:rsid w:val="00021C6A"/>
    <w:rsid w:val="000225F7"/>
    <w:rsid w:val="00022EE3"/>
    <w:rsid w:val="00024A54"/>
    <w:rsid w:val="00026DF7"/>
    <w:rsid w:val="000361B2"/>
    <w:rsid w:val="00044AA1"/>
    <w:rsid w:val="00044F6A"/>
    <w:rsid w:val="00054CC3"/>
    <w:rsid w:val="00054D78"/>
    <w:rsid w:val="000615D3"/>
    <w:rsid w:val="00063F7D"/>
    <w:rsid w:val="000641C0"/>
    <w:rsid w:val="00065F0A"/>
    <w:rsid w:val="00066F64"/>
    <w:rsid w:val="00067FC1"/>
    <w:rsid w:val="00075685"/>
    <w:rsid w:val="00076EE7"/>
    <w:rsid w:val="0008324E"/>
    <w:rsid w:val="000842E2"/>
    <w:rsid w:val="000955AF"/>
    <w:rsid w:val="000970DB"/>
    <w:rsid w:val="000A47D5"/>
    <w:rsid w:val="000B0DA0"/>
    <w:rsid w:val="000B1ADA"/>
    <w:rsid w:val="000B35BE"/>
    <w:rsid w:val="000B577E"/>
    <w:rsid w:val="000C3808"/>
    <w:rsid w:val="000C5BEC"/>
    <w:rsid w:val="000C62CC"/>
    <w:rsid w:val="000D2E84"/>
    <w:rsid w:val="000D75F5"/>
    <w:rsid w:val="000E1B13"/>
    <w:rsid w:val="000F0C84"/>
    <w:rsid w:val="0010252E"/>
    <w:rsid w:val="00107105"/>
    <w:rsid w:val="0011030D"/>
    <w:rsid w:val="00113015"/>
    <w:rsid w:val="00120831"/>
    <w:rsid w:val="0012222A"/>
    <w:rsid w:val="00130482"/>
    <w:rsid w:val="00133AED"/>
    <w:rsid w:val="001425BC"/>
    <w:rsid w:val="00142FB4"/>
    <w:rsid w:val="001451B4"/>
    <w:rsid w:val="00156B59"/>
    <w:rsid w:val="001570FA"/>
    <w:rsid w:val="00161228"/>
    <w:rsid w:val="001646C6"/>
    <w:rsid w:val="00166E97"/>
    <w:rsid w:val="001677D2"/>
    <w:rsid w:val="00167B7B"/>
    <w:rsid w:val="00170325"/>
    <w:rsid w:val="001707D5"/>
    <w:rsid w:val="001721AC"/>
    <w:rsid w:val="001847E5"/>
    <w:rsid w:val="00186FEC"/>
    <w:rsid w:val="00197831"/>
    <w:rsid w:val="00197C00"/>
    <w:rsid w:val="001A4C08"/>
    <w:rsid w:val="001B4910"/>
    <w:rsid w:val="001C686C"/>
    <w:rsid w:val="001D0939"/>
    <w:rsid w:val="001D5B8C"/>
    <w:rsid w:val="001D7275"/>
    <w:rsid w:val="001F23E6"/>
    <w:rsid w:val="001F37CC"/>
    <w:rsid w:val="001F3F59"/>
    <w:rsid w:val="001F6527"/>
    <w:rsid w:val="0020482A"/>
    <w:rsid w:val="00210DF1"/>
    <w:rsid w:val="002111D4"/>
    <w:rsid w:val="00211A70"/>
    <w:rsid w:val="00216574"/>
    <w:rsid w:val="00225A99"/>
    <w:rsid w:val="00230BB5"/>
    <w:rsid w:val="00232840"/>
    <w:rsid w:val="00233825"/>
    <w:rsid w:val="00233AB4"/>
    <w:rsid w:val="00233D90"/>
    <w:rsid w:val="00234C34"/>
    <w:rsid w:val="00235323"/>
    <w:rsid w:val="00237D4C"/>
    <w:rsid w:val="00237D4E"/>
    <w:rsid w:val="0024500F"/>
    <w:rsid w:val="002522A2"/>
    <w:rsid w:val="0025415C"/>
    <w:rsid w:val="002545CC"/>
    <w:rsid w:val="00262568"/>
    <w:rsid w:val="002734AF"/>
    <w:rsid w:val="0028453A"/>
    <w:rsid w:val="00286909"/>
    <w:rsid w:val="00290238"/>
    <w:rsid w:val="00292A86"/>
    <w:rsid w:val="00292C73"/>
    <w:rsid w:val="002A1820"/>
    <w:rsid w:val="002B6911"/>
    <w:rsid w:val="002C2B22"/>
    <w:rsid w:val="002C2CCC"/>
    <w:rsid w:val="002C68C5"/>
    <w:rsid w:val="002D0404"/>
    <w:rsid w:val="002D1B3D"/>
    <w:rsid w:val="002E1FD4"/>
    <w:rsid w:val="002E4F5B"/>
    <w:rsid w:val="002F7700"/>
    <w:rsid w:val="00306B77"/>
    <w:rsid w:val="0031340D"/>
    <w:rsid w:val="003143BE"/>
    <w:rsid w:val="00315264"/>
    <w:rsid w:val="00316700"/>
    <w:rsid w:val="0032174E"/>
    <w:rsid w:val="00321D38"/>
    <w:rsid w:val="003251F4"/>
    <w:rsid w:val="003253F4"/>
    <w:rsid w:val="00332AE2"/>
    <w:rsid w:val="0033306E"/>
    <w:rsid w:val="00336352"/>
    <w:rsid w:val="00342A10"/>
    <w:rsid w:val="0034450C"/>
    <w:rsid w:val="00344D8E"/>
    <w:rsid w:val="00362216"/>
    <w:rsid w:val="003624ED"/>
    <w:rsid w:val="00362A10"/>
    <w:rsid w:val="00362C1E"/>
    <w:rsid w:val="003719FE"/>
    <w:rsid w:val="00372C82"/>
    <w:rsid w:val="00380B8E"/>
    <w:rsid w:val="00383C13"/>
    <w:rsid w:val="003853C1"/>
    <w:rsid w:val="003879FC"/>
    <w:rsid w:val="003917A8"/>
    <w:rsid w:val="003A2C84"/>
    <w:rsid w:val="003A43D8"/>
    <w:rsid w:val="003A47AA"/>
    <w:rsid w:val="003A5BB6"/>
    <w:rsid w:val="003C2A13"/>
    <w:rsid w:val="003C3F96"/>
    <w:rsid w:val="003D2496"/>
    <w:rsid w:val="003D6B8E"/>
    <w:rsid w:val="003E16E3"/>
    <w:rsid w:val="003E2965"/>
    <w:rsid w:val="003E3291"/>
    <w:rsid w:val="003E533D"/>
    <w:rsid w:val="003F079D"/>
    <w:rsid w:val="003F0D0C"/>
    <w:rsid w:val="003F3CEF"/>
    <w:rsid w:val="0040078C"/>
    <w:rsid w:val="00400D50"/>
    <w:rsid w:val="00400DF9"/>
    <w:rsid w:val="00402C1A"/>
    <w:rsid w:val="00404738"/>
    <w:rsid w:val="0041023B"/>
    <w:rsid w:val="00411B53"/>
    <w:rsid w:val="00414654"/>
    <w:rsid w:val="0041495B"/>
    <w:rsid w:val="004149F0"/>
    <w:rsid w:val="00415A4F"/>
    <w:rsid w:val="00417B0A"/>
    <w:rsid w:val="00425640"/>
    <w:rsid w:val="00426B0D"/>
    <w:rsid w:val="00426E77"/>
    <w:rsid w:val="00432FFB"/>
    <w:rsid w:val="0043519C"/>
    <w:rsid w:val="00436B15"/>
    <w:rsid w:val="00437338"/>
    <w:rsid w:val="0044155E"/>
    <w:rsid w:val="0045582D"/>
    <w:rsid w:val="00462B73"/>
    <w:rsid w:val="0046367D"/>
    <w:rsid w:val="00473253"/>
    <w:rsid w:val="00476438"/>
    <w:rsid w:val="0047745E"/>
    <w:rsid w:val="00480B4B"/>
    <w:rsid w:val="00482729"/>
    <w:rsid w:val="00485BB5"/>
    <w:rsid w:val="0049244A"/>
    <w:rsid w:val="00495AC6"/>
    <w:rsid w:val="0049784F"/>
    <w:rsid w:val="004A0120"/>
    <w:rsid w:val="004A7643"/>
    <w:rsid w:val="004C1DF2"/>
    <w:rsid w:val="004C79D6"/>
    <w:rsid w:val="004C7AE7"/>
    <w:rsid w:val="004D0EBB"/>
    <w:rsid w:val="004D275E"/>
    <w:rsid w:val="004D4608"/>
    <w:rsid w:val="004D598C"/>
    <w:rsid w:val="004E138C"/>
    <w:rsid w:val="004E14CE"/>
    <w:rsid w:val="004E179D"/>
    <w:rsid w:val="004E4C30"/>
    <w:rsid w:val="004F3D08"/>
    <w:rsid w:val="004F4115"/>
    <w:rsid w:val="00500363"/>
    <w:rsid w:val="005035E8"/>
    <w:rsid w:val="00504790"/>
    <w:rsid w:val="00515043"/>
    <w:rsid w:val="005155A1"/>
    <w:rsid w:val="005222E2"/>
    <w:rsid w:val="005263D6"/>
    <w:rsid w:val="00527C9D"/>
    <w:rsid w:val="00530530"/>
    <w:rsid w:val="00531890"/>
    <w:rsid w:val="005327DE"/>
    <w:rsid w:val="0054368D"/>
    <w:rsid w:val="00543FAD"/>
    <w:rsid w:val="0054575C"/>
    <w:rsid w:val="00546EF4"/>
    <w:rsid w:val="0054758C"/>
    <w:rsid w:val="005556AD"/>
    <w:rsid w:val="005574FB"/>
    <w:rsid w:val="00563178"/>
    <w:rsid w:val="005671C1"/>
    <w:rsid w:val="005772E9"/>
    <w:rsid w:val="005818D9"/>
    <w:rsid w:val="00581A8E"/>
    <w:rsid w:val="00582646"/>
    <w:rsid w:val="00585026"/>
    <w:rsid w:val="0058558D"/>
    <w:rsid w:val="00594838"/>
    <w:rsid w:val="005A32DB"/>
    <w:rsid w:val="005B1990"/>
    <w:rsid w:val="005B1B93"/>
    <w:rsid w:val="005B5953"/>
    <w:rsid w:val="005D22AC"/>
    <w:rsid w:val="005D3E4B"/>
    <w:rsid w:val="005D4DB6"/>
    <w:rsid w:val="005D6395"/>
    <w:rsid w:val="005E062B"/>
    <w:rsid w:val="005E0795"/>
    <w:rsid w:val="005E3F6A"/>
    <w:rsid w:val="00602F31"/>
    <w:rsid w:val="00604ED9"/>
    <w:rsid w:val="006157A4"/>
    <w:rsid w:val="0061742C"/>
    <w:rsid w:val="00620EF1"/>
    <w:rsid w:val="00621C9B"/>
    <w:rsid w:val="0062737B"/>
    <w:rsid w:val="00632421"/>
    <w:rsid w:val="0063378F"/>
    <w:rsid w:val="00640D8F"/>
    <w:rsid w:val="00653F26"/>
    <w:rsid w:val="00656E9D"/>
    <w:rsid w:val="00667792"/>
    <w:rsid w:val="0067652C"/>
    <w:rsid w:val="006838E9"/>
    <w:rsid w:val="006865C1"/>
    <w:rsid w:val="006871C0"/>
    <w:rsid w:val="006943C4"/>
    <w:rsid w:val="006943C6"/>
    <w:rsid w:val="006A2A43"/>
    <w:rsid w:val="006A74AD"/>
    <w:rsid w:val="006B45AE"/>
    <w:rsid w:val="006B76D1"/>
    <w:rsid w:val="006D0609"/>
    <w:rsid w:val="006D2E03"/>
    <w:rsid w:val="006D35F8"/>
    <w:rsid w:val="006E6CE8"/>
    <w:rsid w:val="006E762E"/>
    <w:rsid w:val="00703A22"/>
    <w:rsid w:val="00704D77"/>
    <w:rsid w:val="007053CC"/>
    <w:rsid w:val="00717640"/>
    <w:rsid w:val="00717E14"/>
    <w:rsid w:val="00721894"/>
    <w:rsid w:val="007259A3"/>
    <w:rsid w:val="00732BDE"/>
    <w:rsid w:val="00734B53"/>
    <w:rsid w:val="00736DDE"/>
    <w:rsid w:val="007421C6"/>
    <w:rsid w:val="007438D0"/>
    <w:rsid w:val="007442EF"/>
    <w:rsid w:val="0074479F"/>
    <w:rsid w:val="007456BB"/>
    <w:rsid w:val="00746E2D"/>
    <w:rsid w:val="007500EC"/>
    <w:rsid w:val="00750424"/>
    <w:rsid w:val="00752813"/>
    <w:rsid w:val="007650B6"/>
    <w:rsid w:val="00765BA5"/>
    <w:rsid w:val="00765CCA"/>
    <w:rsid w:val="00773518"/>
    <w:rsid w:val="00773FA7"/>
    <w:rsid w:val="00775980"/>
    <w:rsid w:val="007803EA"/>
    <w:rsid w:val="007935A0"/>
    <w:rsid w:val="00793C6A"/>
    <w:rsid w:val="007955E8"/>
    <w:rsid w:val="007A52EF"/>
    <w:rsid w:val="007A7334"/>
    <w:rsid w:val="007A7730"/>
    <w:rsid w:val="007B22A9"/>
    <w:rsid w:val="007D1465"/>
    <w:rsid w:val="007D3713"/>
    <w:rsid w:val="007D4476"/>
    <w:rsid w:val="007D491A"/>
    <w:rsid w:val="007E08F4"/>
    <w:rsid w:val="007E2A20"/>
    <w:rsid w:val="007E52DC"/>
    <w:rsid w:val="007E6BD7"/>
    <w:rsid w:val="007F1406"/>
    <w:rsid w:val="007F5C1B"/>
    <w:rsid w:val="008006FB"/>
    <w:rsid w:val="0080148C"/>
    <w:rsid w:val="00801D69"/>
    <w:rsid w:val="008040D6"/>
    <w:rsid w:val="00807748"/>
    <w:rsid w:val="0081727B"/>
    <w:rsid w:val="0081758B"/>
    <w:rsid w:val="00824C86"/>
    <w:rsid w:val="00827F17"/>
    <w:rsid w:val="008310A0"/>
    <w:rsid w:val="0083138A"/>
    <w:rsid w:val="00852736"/>
    <w:rsid w:val="0085401C"/>
    <w:rsid w:val="008550AD"/>
    <w:rsid w:val="00863172"/>
    <w:rsid w:val="00864E79"/>
    <w:rsid w:val="00864E9F"/>
    <w:rsid w:val="0086726A"/>
    <w:rsid w:val="008707C3"/>
    <w:rsid w:val="00871CBB"/>
    <w:rsid w:val="00872018"/>
    <w:rsid w:val="0088158B"/>
    <w:rsid w:val="0088609E"/>
    <w:rsid w:val="00891F57"/>
    <w:rsid w:val="00892E68"/>
    <w:rsid w:val="008A330D"/>
    <w:rsid w:val="008A5D4F"/>
    <w:rsid w:val="008B2445"/>
    <w:rsid w:val="008B5C73"/>
    <w:rsid w:val="008C2102"/>
    <w:rsid w:val="008C2937"/>
    <w:rsid w:val="008D30F5"/>
    <w:rsid w:val="008E156D"/>
    <w:rsid w:val="008E2231"/>
    <w:rsid w:val="008E330A"/>
    <w:rsid w:val="008E5CD1"/>
    <w:rsid w:val="00900326"/>
    <w:rsid w:val="00904FCA"/>
    <w:rsid w:val="009070CE"/>
    <w:rsid w:val="00910E29"/>
    <w:rsid w:val="00911D71"/>
    <w:rsid w:val="009134A7"/>
    <w:rsid w:val="00915AD7"/>
    <w:rsid w:val="00924FB0"/>
    <w:rsid w:val="009330AD"/>
    <w:rsid w:val="00934785"/>
    <w:rsid w:val="00934FCD"/>
    <w:rsid w:val="00935AA5"/>
    <w:rsid w:val="00955080"/>
    <w:rsid w:val="00964BC9"/>
    <w:rsid w:val="00966701"/>
    <w:rsid w:val="00966AFF"/>
    <w:rsid w:val="00971C24"/>
    <w:rsid w:val="00973519"/>
    <w:rsid w:val="0098271E"/>
    <w:rsid w:val="009856A4"/>
    <w:rsid w:val="009861DF"/>
    <w:rsid w:val="00987747"/>
    <w:rsid w:val="00990407"/>
    <w:rsid w:val="009956DF"/>
    <w:rsid w:val="00995FFC"/>
    <w:rsid w:val="009C493D"/>
    <w:rsid w:val="009D4026"/>
    <w:rsid w:val="009E2DC2"/>
    <w:rsid w:val="009E3496"/>
    <w:rsid w:val="00A0518A"/>
    <w:rsid w:val="00A2101F"/>
    <w:rsid w:val="00A215C4"/>
    <w:rsid w:val="00A240B4"/>
    <w:rsid w:val="00A31A81"/>
    <w:rsid w:val="00A33F68"/>
    <w:rsid w:val="00A35FB3"/>
    <w:rsid w:val="00A460A9"/>
    <w:rsid w:val="00A46127"/>
    <w:rsid w:val="00A46730"/>
    <w:rsid w:val="00A51079"/>
    <w:rsid w:val="00A530E0"/>
    <w:rsid w:val="00A567AD"/>
    <w:rsid w:val="00A664BC"/>
    <w:rsid w:val="00A719A1"/>
    <w:rsid w:val="00A72911"/>
    <w:rsid w:val="00A7659E"/>
    <w:rsid w:val="00A8118F"/>
    <w:rsid w:val="00A829E9"/>
    <w:rsid w:val="00A9033F"/>
    <w:rsid w:val="00A941F4"/>
    <w:rsid w:val="00AA2CD8"/>
    <w:rsid w:val="00AA76A7"/>
    <w:rsid w:val="00AB2641"/>
    <w:rsid w:val="00AC2594"/>
    <w:rsid w:val="00AC3B5D"/>
    <w:rsid w:val="00AC4DD4"/>
    <w:rsid w:val="00AC7A6D"/>
    <w:rsid w:val="00AD0172"/>
    <w:rsid w:val="00AD2834"/>
    <w:rsid w:val="00AE56A2"/>
    <w:rsid w:val="00AF10B0"/>
    <w:rsid w:val="00AF5FC4"/>
    <w:rsid w:val="00AF6DFB"/>
    <w:rsid w:val="00B00FAF"/>
    <w:rsid w:val="00B01801"/>
    <w:rsid w:val="00B01D5F"/>
    <w:rsid w:val="00B12FC3"/>
    <w:rsid w:val="00B21523"/>
    <w:rsid w:val="00B255EE"/>
    <w:rsid w:val="00B30F9A"/>
    <w:rsid w:val="00B3495A"/>
    <w:rsid w:val="00B53859"/>
    <w:rsid w:val="00B603BE"/>
    <w:rsid w:val="00B63104"/>
    <w:rsid w:val="00B63296"/>
    <w:rsid w:val="00B75478"/>
    <w:rsid w:val="00B90332"/>
    <w:rsid w:val="00B9269D"/>
    <w:rsid w:val="00BA2244"/>
    <w:rsid w:val="00BB15CB"/>
    <w:rsid w:val="00BB7844"/>
    <w:rsid w:val="00BC7DC2"/>
    <w:rsid w:val="00BD243F"/>
    <w:rsid w:val="00BD3B71"/>
    <w:rsid w:val="00BD5B49"/>
    <w:rsid w:val="00BD673F"/>
    <w:rsid w:val="00BD6763"/>
    <w:rsid w:val="00BF0CEE"/>
    <w:rsid w:val="00BF2F80"/>
    <w:rsid w:val="00C005AE"/>
    <w:rsid w:val="00C045EA"/>
    <w:rsid w:val="00C06C28"/>
    <w:rsid w:val="00C146CD"/>
    <w:rsid w:val="00C15C13"/>
    <w:rsid w:val="00C20B2C"/>
    <w:rsid w:val="00C21F9F"/>
    <w:rsid w:val="00C229B2"/>
    <w:rsid w:val="00C22CDF"/>
    <w:rsid w:val="00C267DE"/>
    <w:rsid w:val="00C26CC3"/>
    <w:rsid w:val="00C340F2"/>
    <w:rsid w:val="00C40918"/>
    <w:rsid w:val="00C41E4F"/>
    <w:rsid w:val="00C45283"/>
    <w:rsid w:val="00C45AEC"/>
    <w:rsid w:val="00C5114A"/>
    <w:rsid w:val="00C52A09"/>
    <w:rsid w:val="00C556C3"/>
    <w:rsid w:val="00C575E6"/>
    <w:rsid w:val="00C62B4A"/>
    <w:rsid w:val="00C71C65"/>
    <w:rsid w:val="00C72294"/>
    <w:rsid w:val="00C72A68"/>
    <w:rsid w:val="00C73DA4"/>
    <w:rsid w:val="00C763FE"/>
    <w:rsid w:val="00C800FA"/>
    <w:rsid w:val="00C85CF3"/>
    <w:rsid w:val="00C91E75"/>
    <w:rsid w:val="00C9603B"/>
    <w:rsid w:val="00CA53E2"/>
    <w:rsid w:val="00CB10C2"/>
    <w:rsid w:val="00CB187B"/>
    <w:rsid w:val="00CB3FA5"/>
    <w:rsid w:val="00CC05E9"/>
    <w:rsid w:val="00CD297F"/>
    <w:rsid w:val="00CE40D7"/>
    <w:rsid w:val="00CE585B"/>
    <w:rsid w:val="00CF1853"/>
    <w:rsid w:val="00CF4A79"/>
    <w:rsid w:val="00CF6BC7"/>
    <w:rsid w:val="00D00144"/>
    <w:rsid w:val="00D00E0C"/>
    <w:rsid w:val="00D0133E"/>
    <w:rsid w:val="00D01364"/>
    <w:rsid w:val="00D0396A"/>
    <w:rsid w:val="00D05EC7"/>
    <w:rsid w:val="00D065CD"/>
    <w:rsid w:val="00D104E3"/>
    <w:rsid w:val="00D134C2"/>
    <w:rsid w:val="00D136BA"/>
    <w:rsid w:val="00D15726"/>
    <w:rsid w:val="00D157B3"/>
    <w:rsid w:val="00D15E86"/>
    <w:rsid w:val="00D160E2"/>
    <w:rsid w:val="00D1665E"/>
    <w:rsid w:val="00D20CCE"/>
    <w:rsid w:val="00D323EC"/>
    <w:rsid w:val="00D32898"/>
    <w:rsid w:val="00D33589"/>
    <w:rsid w:val="00D34959"/>
    <w:rsid w:val="00D36900"/>
    <w:rsid w:val="00D46770"/>
    <w:rsid w:val="00D525C9"/>
    <w:rsid w:val="00D555E8"/>
    <w:rsid w:val="00D56972"/>
    <w:rsid w:val="00D60AC5"/>
    <w:rsid w:val="00D61771"/>
    <w:rsid w:val="00D62541"/>
    <w:rsid w:val="00D6389B"/>
    <w:rsid w:val="00D63C2A"/>
    <w:rsid w:val="00D677AA"/>
    <w:rsid w:val="00D67F40"/>
    <w:rsid w:val="00D70422"/>
    <w:rsid w:val="00D70D1C"/>
    <w:rsid w:val="00D70F23"/>
    <w:rsid w:val="00D71453"/>
    <w:rsid w:val="00D8401D"/>
    <w:rsid w:val="00D91236"/>
    <w:rsid w:val="00D924EC"/>
    <w:rsid w:val="00D96A92"/>
    <w:rsid w:val="00DA6619"/>
    <w:rsid w:val="00DD4AE5"/>
    <w:rsid w:val="00DD7351"/>
    <w:rsid w:val="00DE5527"/>
    <w:rsid w:val="00DF288C"/>
    <w:rsid w:val="00DF412B"/>
    <w:rsid w:val="00E0627F"/>
    <w:rsid w:val="00E069B8"/>
    <w:rsid w:val="00E15AE4"/>
    <w:rsid w:val="00E16A72"/>
    <w:rsid w:val="00E23136"/>
    <w:rsid w:val="00E24733"/>
    <w:rsid w:val="00E2743B"/>
    <w:rsid w:val="00E35134"/>
    <w:rsid w:val="00E440D1"/>
    <w:rsid w:val="00E47B53"/>
    <w:rsid w:val="00E5067E"/>
    <w:rsid w:val="00E52B16"/>
    <w:rsid w:val="00E52E2F"/>
    <w:rsid w:val="00E56CB3"/>
    <w:rsid w:val="00E57A25"/>
    <w:rsid w:val="00E6410F"/>
    <w:rsid w:val="00E747B2"/>
    <w:rsid w:val="00E76ED5"/>
    <w:rsid w:val="00E77B82"/>
    <w:rsid w:val="00E82CC7"/>
    <w:rsid w:val="00E83DBD"/>
    <w:rsid w:val="00E86158"/>
    <w:rsid w:val="00E94554"/>
    <w:rsid w:val="00E964CE"/>
    <w:rsid w:val="00EA08DF"/>
    <w:rsid w:val="00EA1854"/>
    <w:rsid w:val="00EA3179"/>
    <w:rsid w:val="00EA77E0"/>
    <w:rsid w:val="00EB2BC1"/>
    <w:rsid w:val="00EC0DF4"/>
    <w:rsid w:val="00EC14EC"/>
    <w:rsid w:val="00ED032E"/>
    <w:rsid w:val="00EE55DC"/>
    <w:rsid w:val="00EE6624"/>
    <w:rsid w:val="00EE7976"/>
    <w:rsid w:val="00EF01EF"/>
    <w:rsid w:val="00EF149D"/>
    <w:rsid w:val="00EF317A"/>
    <w:rsid w:val="00F01393"/>
    <w:rsid w:val="00F019AE"/>
    <w:rsid w:val="00F01ED6"/>
    <w:rsid w:val="00F122E1"/>
    <w:rsid w:val="00F142A9"/>
    <w:rsid w:val="00F14DB0"/>
    <w:rsid w:val="00F151B3"/>
    <w:rsid w:val="00F20860"/>
    <w:rsid w:val="00F240AA"/>
    <w:rsid w:val="00F24D06"/>
    <w:rsid w:val="00F2554F"/>
    <w:rsid w:val="00F263B5"/>
    <w:rsid w:val="00F30212"/>
    <w:rsid w:val="00F316B6"/>
    <w:rsid w:val="00F457C2"/>
    <w:rsid w:val="00F51CEF"/>
    <w:rsid w:val="00F55D0D"/>
    <w:rsid w:val="00F61BF8"/>
    <w:rsid w:val="00F67B3F"/>
    <w:rsid w:val="00F740A5"/>
    <w:rsid w:val="00F95096"/>
    <w:rsid w:val="00F957A0"/>
    <w:rsid w:val="00F95F41"/>
    <w:rsid w:val="00F96B7B"/>
    <w:rsid w:val="00FA1732"/>
    <w:rsid w:val="00FA640B"/>
    <w:rsid w:val="00FA6F19"/>
    <w:rsid w:val="00FA7222"/>
    <w:rsid w:val="00FA7559"/>
    <w:rsid w:val="00FB0F0A"/>
    <w:rsid w:val="00FB40F0"/>
    <w:rsid w:val="00FB48A8"/>
    <w:rsid w:val="00FB6078"/>
    <w:rsid w:val="00FC27DE"/>
    <w:rsid w:val="00FC38A8"/>
    <w:rsid w:val="00FC61C6"/>
    <w:rsid w:val="00FC6461"/>
    <w:rsid w:val="00FD20A1"/>
    <w:rsid w:val="00FD4395"/>
    <w:rsid w:val="00FD48CB"/>
    <w:rsid w:val="00FE06DE"/>
    <w:rsid w:val="00FE1B66"/>
    <w:rsid w:val="00FE7B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4581"/>
  <w15:docId w15:val="{D4A993B3-1B46-472E-A069-48B18B75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semiHidden/>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paragraph" w:customStyle="1" w:styleId="Default">
    <w:name w:val="Default"/>
    <w:rsid w:val="00026DF7"/>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4A7643"/>
    <w:pPr>
      <w:spacing w:before="180" w:after="0" w:line="240" w:lineRule="auto"/>
      <w:jc w:val="both"/>
    </w:pPr>
    <w:rPr>
      <w:rFonts w:ascii="Verdana" w:eastAsia="Times New Roman" w:hAnsi="Verdana" w:cs="Times New Roman"/>
      <w:color w:val="000000"/>
      <w:sz w:val="18"/>
      <w:szCs w:val="18"/>
      <w:lang w:val="en-US"/>
    </w:rPr>
  </w:style>
  <w:style w:type="paragraph" w:customStyle="1" w:styleId="para1quad">
    <w:name w:val="para1quad"/>
    <w:basedOn w:val="Normal"/>
    <w:rsid w:val="004A7643"/>
    <w:pPr>
      <w:spacing w:before="180" w:after="0" w:line="240" w:lineRule="auto"/>
      <w:ind w:firstLine="284"/>
      <w:jc w:val="both"/>
    </w:pPr>
    <w:rPr>
      <w:rFonts w:ascii="Verdana" w:eastAsia="Times New Roman" w:hAnsi="Verdana" w:cs="Times New Roman"/>
      <w:color w:val="000000"/>
      <w:sz w:val="18"/>
      <w:szCs w:val="18"/>
      <w:lang w:val="en-US"/>
    </w:rPr>
  </w:style>
  <w:style w:type="character" w:customStyle="1" w:styleId="footnote-link1">
    <w:name w:val="footnote-link1"/>
    <w:basedOn w:val="DefaultParagraphFont"/>
    <w:rsid w:val="00E82CC7"/>
    <w:rPr>
      <w:color w:val="660000"/>
      <w:u w:val="single"/>
    </w:rPr>
  </w:style>
  <w:style w:type="character" w:styleId="CommentReference">
    <w:name w:val="annotation reference"/>
    <w:basedOn w:val="DefaultParagraphFont"/>
    <w:uiPriority w:val="99"/>
    <w:semiHidden/>
    <w:unhideWhenUsed/>
    <w:rsid w:val="000641C0"/>
    <w:rPr>
      <w:sz w:val="16"/>
      <w:szCs w:val="16"/>
    </w:rPr>
  </w:style>
  <w:style w:type="paragraph" w:styleId="CommentText">
    <w:name w:val="annotation text"/>
    <w:basedOn w:val="Normal"/>
    <w:link w:val="CommentTextChar"/>
    <w:uiPriority w:val="99"/>
    <w:semiHidden/>
    <w:unhideWhenUsed/>
    <w:rsid w:val="000641C0"/>
    <w:pPr>
      <w:spacing w:line="240" w:lineRule="auto"/>
    </w:pPr>
    <w:rPr>
      <w:sz w:val="20"/>
      <w:szCs w:val="20"/>
    </w:rPr>
  </w:style>
  <w:style w:type="character" w:customStyle="1" w:styleId="CommentTextChar">
    <w:name w:val="Comment Text Char"/>
    <w:basedOn w:val="DefaultParagraphFont"/>
    <w:link w:val="CommentText"/>
    <w:uiPriority w:val="99"/>
    <w:semiHidden/>
    <w:rsid w:val="000641C0"/>
    <w:rPr>
      <w:sz w:val="20"/>
      <w:szCs w:val="20"/>
    </w:rPr>
  </w:style>
  <w:style w:type="paragraph" w:styleId="CommentSubject">
    <w:name w:val="annotation subject"/>
    <w:basedOn w:val="CommentText"/>
    <w:next w:val="CommentText"/>
    <w:link w:val="CommentSubjectChar"/>
    <w:uiPriority w:val="99"/>
    <w:semiHidden/>
    <w:unhideWhenUsed/>
    <w:rsid w:val="000641C0"/>
    <w:rPr>
      <w:b/>
      <w:bCs/>
    </w:rPr>
  </w:style>
  <w:style w:type="character" w:customStyle="1" w:styleId="CommentSubjectChar">
    <w:name w:val="Comment Subject Char"/>
    <w:basedOn w:val="CommentTextChar"/>
    <w:link w:val="CommentSubject"/>
    <w:uiPriority w:val="99"/>
    <w:semiHidden/>
    <w:rsid w:val="00064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05916">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52753100">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5725-5921-477E-9279-A3912E83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HOME</cp:lastModifiedBy>
  <cp:revision>2</cp:revision>
  <cp:lastPrinted>2017-09-05T10:14:00Z</cp:lastPrinted>
  <dcterms:created xsi:type="dcterms:W3CDTF">2022-05-11T15:15:00Z</dcterms:created>
  <dcterms:modified xsi:type="dcterms:W3CDTF">2022-05-11T15:15:00Z</dcterms:modified>
</cp:coreProperties>
</file>