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D422" w14:textId="77777777" w:rsidR="00091DAB" w:rsidRDefault="00391977" w:rsidP="00091DAB">
      <w:pPr>
        <w:jc w:val="center"/>
        <w:rPr>
          <w:rFonts w:ascii="Arial" w:hAnsi="Arial" w:cs="Arial"/>
          <w:b/>
          <w:u w:val="single"/>
        </w:rPr>
      </w:pPr>
      <w:r>
        <w:rPr>
          <w:noProof/>
          <w:lang w:eastAsia="en-ZA"/>
        </w:rPr>
        <w:drawing>
          <wp:anchor distT="0" distB="0" distL="114300" distR="114300" simplePos="0" relativeHeight="251659264" behindDoc="1" locked="0" layoutInCell="1" allowOverlap="1" wp14:anchorId="377C3364" wp14:editId="32CC553A">
            <wp:simplePos x="0" y="0"/>
            <wp:positionH relativeFrom="column">
              <wp:posOffset>2333625</wp:posOffset>
            </wp:positionH>
            <wp:positionV relativeFrom="paragraph">
              <wp:posOffset>-200025</wp:posOffset>
            </wp:positionV>
            <wp:extent cx="1190444" cy="1019175"/>
            <wp:effectExtent l="0" t="0" r="0" b="0"/>
            <wp:wrapNone/>
            <wp:docPr id="2" name="Picture 2"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444" cy="1019175"/>
                    </a:xfrm>
                    <a:prstGeom prst="rect">
                      <a:avLst/>
                    </a:prstGeom>
                    <a:noFill/>
                  </pic:spPr>
                </pic:pic>
              </a:graphicData>
            </a:graphic>
            <wp14:sizeRelH relativeFrom="page">
              <wp14:pctWidth>0</wp14:pctWidth>
            </wp14:sizeRelH>
            <wp14:sizeRelV relativeFrom="page">
              <wp14:pctHeight>0</wp14:pctHeight>
            </wp14:sizeRelV>
          </wp:anchor>
        </w:drawing>
      </w:r>
    </w:p>
    <w:p w14:paraId="581BD84B" w14:textId="77777777" w:rsidR="00091DAB" w:rsidRDefault="00091DAB" w:rsidP="00091DAB">
      <w:pPr>
        <w:jc w:val="center"/>
        <w:rPr>
          <w:rFonts w:ascii="Arial" w:hAnsi="Arial" w:cs="Arial"/>
          <w:b/>
          <w:u w:val="single"/>
        </w:rPr>
      </w:pPr>
    </w:p>
    <w:p w14:paraId="3F459B13" w14:textId="77777777" w:rsidR="00091DAB" w:rsidRDefault="00091DAB" w:rsidP="00091DAB">
      <w:pPr>
        <w:jc w:val="center"/>
        <w:rPr>
          <w:rFonts w:ascii="Arial" w:hAnsi="Arial" w:cs="Arial"/>
          <w:b/>
          <w:u w:val="single"/>
        </w:rPr>
      </w:pPr>
    </w:p>
    <w:p w14:paraId="6C5AFBF8" w14:textId="77777777" w:rsidR="00091DAB" w:rsidRDefault="00091DAB" w:rsidP="00091DAB">
      <w:pPr>
        <w:jc w:val="center"/>
        <w:rPr>
          <w:rFonts w:ascii="Arial" w:hAnsi="Arial" w:cs="Arial"/>
          <w:b/>
          <w:u w:val="single"/>
        </w:rPr>
      </w:pPr>
    </w:p>
    <w:p w14:paraId="798151A6" w14:textId="77777777" w:rsidR="00091DAB" w:rsidRPr="006B533F" w:rsidRDefault="00091DAB" w:rsidP="00091DAB">
      <w:pPr>
        <w:jc w:val="center"/>
        <w:rPr>
          <w:rFonts w:ascii="Arial" w:hAnsi="Arial" w:cs="Arial"/>
          <w:b/>
          <w:sz w:val="24"/>
          <w:szCs w:val="24"/>
          <w:u w:val="single"/>
        </w:rPr>
      </w:pPr>
      <w:r w:rsidRPr="006B533F">
        <w:rPr>
          <w:rFonts w:ascii="Arial" w:hAnsi="Arial" w:cs="Arial"/>
          <w:b/>
          <w:sz w:val="24"/>
          <w:szCs w:val="24"/>
          <w:u w:val="single"/>
        </w:rPr>
        <w:t>IN THE HIGH COURT OF SOUTH AFRICA,</w:t>
      </w:r>
    </w:p>
    <w:p w14:paraId="7126578B" w14:textId="77777777" w:rsidR="00091DAB" w:rsidRPr="00693FDB" w:rsidRDefault="00091DAB" w:rsidP="00091DAB">
      <w:pPr>
        <w:jc w:val="center"/>
        <w:rPr>
          <w:rFonts w:ascii="Arial" w:hAnsi="Arial" w:cs="Arial"/>
          <w:b/>
          <w:sz w:val="24"/>
          <w:szCs w:val="24"/>
          <w:u w:val="single"/>
        </w:rPr>
      </w:pPr>
      <w:r w:rsidRPr="006B533F">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289"/>
      </w:tblGrid>
      <w:tr w:rsidR="00091DAB" w14:paraId="74CC595E" w14:textId="77777777" w:rsidTr="00D85467">
        <w:trPr>
          <w:trHeight w:val="624"/>
        </w:trPr>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974A4" w14:textId="77777777" w:rsidR="00091DAB" w:rsidRDefault="00091DAB" w:rsidP="007C2D09">
            <w:pPr>
              <w:rPr>
                <w:rFonts w:ascii="Arial" w:eastAsia="Times New Roman" w:hAnsi="Arial" w:cs="Arial"/>
                <w:b/>
                <w:sz w:val="16"/>
                <w:szCs w:val="16"/>
                <w:lang w:eastAsia="en-GB"/>
              </w:rPr>
            </w:pPr>
            <w:r>
              <w:rPr>
                <w:rFonts w:ascii="Arial" w:hAnsi="Arial" w:cs="Arial"/>
                <w:b/>
                <w:sz w:val="16"/>
                <w:szCs w:val="16"/>
              </w:rPr>
              <w:t>Reportable:                              YES/NO</w:t>
            </w:r>
          </w:p>
          <w:p w14:paraId="0AFCAF3E" w14:textId="77777777" w:rsidR="00091DAB" w:rsidRDefault="00091DAB" w:rsidP="007C2D09">
            <w:pPr>
              <w:rPr>
                <w:rFonts w:ascii="Arial" w:hAnsi="Arial" w:cs="Arial"/>
                <w:b/>
                <w:sz w:val="16"/>
                <w:szCs w:val="16"/>
              </w:rPr>
            </w:pPr>
            <w:r>
              <w:rPr>
                <w:rFonts w:ascii="Arial" w:hAnsi="Arial" w:cs="Arial"/>
                <w:b/>
                <w:sz w:val="16"/>
                <w:szCs w:val="16"/>
              </w:rPr>
              <w:t>Of Interest to other Judges:   YES/NO</w:t>
            </w:r>
          </w:p>
          <w:p w14:paraId="1ADB9413" w14:textId="77777777" w:rsidR="00091DAB" w:rsidRDefault="00091DAB" w:rsidP="007C2D09">
            <w:pPr>
              <w:rPr>
                <w:rFonts w:ascii="Arial" w:eastAsia="Times New Roman" w:hAnsi="Arial" w:cs="Arial"/>
                <w:b/>
                <w:sz w:val="16"/>
                <w:szCs w:val="16"/>
                <w:u w:val="single"/>
                <w:lang w:eastAsia="en-GB"/>
              </w:rPr>
            </w:pPr>
            <w:r>
              <w:rPr>
                <w:rFonts w:ascii="Arial" w:hAnsi="Arial" w:cs="Arial"/>
                <w:b/>
                <w:sz w:val="16"/>
                <w:szCs w:val="16"/>
              </w:rPr>
              <w:t>Circulate to Magistrates:        YES/NO</w:t>
            </w:r>
          </w:p>
        </w:tc>
      </w:tr>
    </w:tbl>
    <w:p w14:paraId="5E8D5B64" w14:textId="77777777" w:rsidR="00091DAB" w:rsidRPr="006B533F" w:rsidRDefault="00091DAB" w:rsidP="00091DAB">
      <w:pPr>
        <w:spacing w:after="0" w:line="240" w:lineRule="auto"/>
        <w:jc w:val="both"/>
        <w:rPr>
          <w:rFonts w:ascii="Arial" w:hAnsi="Arial" w:cs="Arial"/>
          <w:b/>
          <w:sz w:val="28"/>
          <w:szCs w:val="28"/>
        </w:rPr>
      </w:pPr>
      <w:r w:rsidRPr="001D52C9">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p>
    <w:p w14:paraId="6FF7E910" w14:textId="6D0ED808" w:rsidR="00091DAB" w:rsidRPr="00EB2564" w:rsidRDefault="00091DAB" w:rsidP="00091DAB">
      <w:pPr>
        <w:spacing w:after="0" w:line="240" w:lineRule="auto"/>
        <w:jc w:val="right"/>
        <w:rPr>
          <w:rFonts w:ascii="Arial" w:hAnsi="Arial" w:cs="Arial"/>
          <w:sz w:val="24"/>
          <w:szCs w:val="24"/>
        </w:rPr>
      </w:pPr>
      <w:r w:rsidRPr="00EB2564">
        <w:rPr>
          <w:rFonts w:ascii="Arial" w:hAnsi="Arial" w:cs="Arial"/>
          <w:sz w:val="24"/>
          <w:szCs w:val="24"/>
        </w:rPr>
        <w:t xml:space="preserve">Case number:   </w:t>
      </w:r>
      <w:r w:rsidR="00B26CCA">
        <w:rPr>
          <w:rFonts w:ascii="Arial" w:eastAsia="Times New Roman" w:hAnsi="Arial" w:cs="Arial"/>
          <w:bCs/>
          <w:sz w:val="24"/>
          <w:szCs w:val="24"/>
          <w:lang w:eastAsia="en-GB"/>
        </w:rPr>
        <w:t>3683/2018</w:t>
      </w:r>
    </w:p>
    <w:p w14:paraId="14B4ED92" w14:textId="77777777" w:rsidR="00091DAB" w:rsidRPr="00EB2564" w:rsidRDefault="00091DAB" w:rsidP="00091DAB">
      <w:pPr>
        <w:spacing w:after="0" w:line="240" w:lineRule="auto"/>
        <w:jc w:val="both"/>
        <w:rPr>
          <w:rFonts w:ascii="Arial" w:hAnsi="Arial" w:cs="Arial"/>
          <w:sz w:val="24"/>
          <w:szCs w:val="24"/>
        </w:rPr>
      </w:pPr>
    </w:p>
    <w:p w14:paraId="7C0ABD19" w14:textId="77777777" w:rsidR="00091DAB" w:rsidRPr="00EB2564" w:rsidRDefault="00091DAB" w:rsidP="00091DAB">
      <w:pPr>
        <w:spacing w:after="0" w:line="240" w:lineRule="auto"/>
        <w:jc w:val="both"/>
        <w:rPr>
          <w:rFonts w:ascii="Arial" w:hAnsi="Arial" w:cs="Arial"/>
          <w:sz w:val="24"/>
          <w:szCs w:val="24"/>
        </w:rPr>
      </w:pPr>
      <w:r w:rsidRPr="00EB2564">
        <w:rPr>
          <w:rFonts w:ascii="Arial" w:hAnsi="Arial" w:cs="Arial"/>
          <w:sz w:val="24"/>
          <w:szCs w:val="24"/>
        </w:rPr>
        <w:t xml:space="preserve">In the matter between: </w:t>
      </w:r>
    </w:p>
    <w:p w14:paraId="430557BA" w14:textId="77777777" w:rsidR="00091DAB" w:rsidRPr="00EB2564" w:rsidRDefault="00091DAB" w:rsidP="00091DAB">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14:paraId="52345E5D" w14:textId="73E8A950" w:rsidR="00B26CCA" w:rsidRPr="00EB2564" w:rsidRDefault="000B0A84" w:rsidP="00D85467">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PHATSHOANE HENNEY ATTORNEYS</w:t>
      </w:r>
      <w:r w:rsidR="0058757C" w:rsidRPr="00EB2564">
        <w:rPr>
          <w:rFonts w:ascii="Arial" w:eastAsia="Times New Roman" w:hAnsi="Arial" w:cs="Arial"/>
          <w:b/>
          <w:sz w:val="24"/>
          <w:szCs w:val="24"/>
          <w:lang w:eastAsia="en-GB"/>
        </w:rPr>
        <w:tab/>
      </w:r>
      <w:r>
        <w:rPr>
          <w:rFonts w:ascii="Arial" w:eastAsia="Times New Roman" w:hAnsi="Arial" w:cs="Arial"/>
          <w:sz w:val="24"/>
          <w:szCs w:val="24"/>
          <w:lang w:eastAsia="en-GB"/>
        </w:rPr>
        <w:t>First Applicant</w:t>
      </w:r>
    </w:p>
    <w:p w14:paraId="5D447FF6" w14:textId="4521D7CA" w:rsidR="000B0A84" w:rsidRPr="00B26CCA" w:rsidRDefault="000B0A84" w:rsidP="00D85467">
      <w:pPr>
        <w:tabs>
          <w:tab w:val="right" w:pos="9180"/>
        </w:tabs>
        <w:spacing w:after="0" w:line="360" w:lineRule="auto"/>
        <w:jc w:val="both"/>
        <w:rPr>
          <w:rFonts w:ascii="Arial" w:eastAsia="Times New Roman" w:hAnsi="Arial" w:cs="Arial"/>
          <w:b/>
          <w:sz w:val="24"/>
          <w:szCs w:val="24"/>
          <w:lang w:eastAsia="en-GB"/>
        </w:rPr>
      </w:pPr>
      <w:r w:rsidRPr="00B26CCA">
        <w:rPr>
          <w:rFonts w:ascii="Arial" w:eastAsia="Times New Roman" w:hAnsi="Arial" w:cs="Arial"/>
          <w:b/>
          <w:sz w:val="24"/>
          <w:szCs w:val="24"/>
          <w:lang w:eastAsia="en-GB"/>
        </w:rPr>
        <w:t>PIETER LABUSCHAGNE SKEIN</w:t>
      </w:r>
      <w:r>
        <w:rPr>
          <w:rFonts w:ascii="Arial" w:eastAsia="Times New Roman" w:hAnsi="Arial" w:cs="Arial"/>
          <w:b/>
          <w:sz w:val="24"/>
          <w:szCs w:val="24"/>
          <w:lang w:eastAsia="en-GB"/>
        </w:rPr>
        <w:t xml:space="preserve">  </w:t>
      </w:r>
      <w:r>
        <w:rPr>
          <w:rFonts w:ascii="Arial" w:eastAsia="Times New Roman" w:hAnsi="Arial" w:cs="Arial"/>
          <w:b/>
          <w:sz w:val="24"/>
          <w:szCs w:val="24"/>
          <w:lang w:eastAsia="en-GB"/>
        </w:rPr>
        <w:tab/>
      </w:r>
      <w:r w:rsidRPr="00B26CCA">
        <w:rPr>
          <w:rFonts w:ascii="Arial" w:eastAsia="Times New Roman" w:hAnsi="Arial" w:cs="Arial"/>
          <w:sz w:val="24"/>
          <w:szCs w:val="24"/>
          <w:lang w:eastAsia="en-GB"/>
        </w:rPr>
        <w:t xml:space="preserve">Second </w:t>
      </w:r>
      <w:r w:rsidR="009B5556">
        <w:rPr>
          <w:rFonts w:ascii="Arial" w:eastAsia="Times New Roman" w:hAnsi="Arial" w:cs="Arial"/>
          <w:sz w:val="24"/>
          <w:szCs w:val="24"/>
          <w:lang w:eastAsia="en-GB"/>
        </w:rPr>
        <w:t>Applicant</w:t>
      </w:r>
    </w:p>
    <w:p w14:paraId="7BC4A917" w14:textId="77777777" w:rsidR="00091DAB" w:rsidRPr="00EB2564" w:rsidRDefault="00091DAB" w:rsidP="00091DAB">
      <w:pPr>
        <w:tabs>
          <w:tab w:val="right" w:pos="8306"/>
        </w:tabs>
        <w:spacing w:after="0" w:line="360" w:lineRule="auto"/>
        <w:jc w:val="both"/>
        <w:rPr>
          <w:rFonts w:ascii="Arial" w:eastAsia="Times New Roman" w:hAnsi="Arial" w:cs="Arial"/>
          <w:b/>
          <w:sz w:val="24"/>
          <w:szCs w:val="24"/>
          <w:lang w:eastAsia="en-GB"/>
        </w:rPr>
      </w:pPr>
    </w:p>
    <w:p w14:paraId="4297E3FF" w14:textId="77777777" w:rsidR="00091DAB" w:rsidRPr="00EB2564" w:rsidRDefault="0005789D" w:rsidP="00091DAB">
      <w:pPr>
        <w:tabs>
          <w:tab w:val="right" w:pos="8306"/>
        </w:tabs>
        <w:spacing w:after="0" w:line="360" w:lineRule="auto"/>
        <w:jc w:val="both"/>
        <w:rPr>
          <w:rFonts w:ascii="Arial" w:eastAsia="Times New Roman" w:hAnsi="Arial" w:cs="Arial"/>
          <w:sz w:val="24"/>
          <w:szCs w:val="24"/>
          <w:lang w:eastAsia="en-GB"/>
        </w:rPr>
      </w:pPr>
      <w:r w:rsidRPr="00EB2564">
        <w:rPr>
          <w:rFonts w:ascii="Arial" w:eastAsia="Times New Roman" w:hAnsi="Arial" w:cs="Arial"/>
          <w:sz w:val="24"/>
          <w:szCs w:val="24"/>
          <w:lang w:eastAsia="en-GB"/>
        </w:rPr>
        <w:t>and</w:t>
      </w:r>
    </w:p>
    <w:p w14:paraId="5812853A" w14:textId="77777777" w:rsidR="0005789D" w:rsidRPr="00EB2564" w:rsidRDefault="0005789D" w:rsidP="0005789D">
      <w:pPr>
        <w:tabs>
          <w:tab w:val="right" w:pos="8306"/>
        </w:tabs>
        <w:spacing w:after="0" w:line="240" w:lineRule="auto"/>
        <w:jc w:val="both"/>
        <w:rPr>
          <w:rFonts w:ascii="Arial" w:eastAsia="Times New Roman" w:hAnsi="Arial" w:cs="Arial"/>
          <w:sz w:val="24"/>
          <w:szCs w:val="24"/>
          <w:lang w:eastAsia="en-GB"/>
        </w:rPr>
      </w:pPr>
    </w:p>
    <w:p w14:paraId="2240842C" w14:textId="7B69B8E8" w:rsidR="00B26CCA" w:rsidRPr="000B0A84" w:rsidRDefault="000B0A84" w:rsidP="00091DAB">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 xml:space="preserve">JUANITA TROLLIP                                                                            </w:t>
      </w:r>
      <w:r w:rsidR="008C43AE">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008C43AE">
        <w:rPr>
          <w:rFonts w:ascii="Arial" w:eastAsia="Times New Roman" w:hAnsi="Arial" w:cs="Arial"/>
          <w:sz w:val="24"/>
          <w:szCs w:val="24"/>
          <w:lang w:eastAsia="en-GB"/>
        </w:rPr>
        <w:t>Respondent</w:t>
      </w:r>
    </w:p>
    <w:p w14:paraId="466DACB8" w14:textId="2010960D" w:rsidR="008334F4" w:rsidRPr="00EB2564" w:rsidRDefault="008334F4" w:rsidP="000B0A84">
      <w:pPr>
        <w:pBdr>
          <w:bottom w:val="single" w:sz="12" w:space="1" w:color="auto"/>
        </w:pBdr>
        <w:spacing w:after="0" w:line="240" w:lineRule="auto"/>
        <w:jc w:val="both"/>
        <w:rPr>
          <w:rFonts w:ascii="Arial" w:hAnsi="Arial" w:cs="Arial"/>
          <w:b/>
          <w:sz w:val="24"/>
          <w:szCs w:val="24"/>
        </w:rPr>
      </w:pPr>
    </w:p>
    <w:p w14:paraId="7887FA37" w14:textId="77777777" w:rsidR="00663AFC" w:rsidRPr="00EB2564" w:rsidRDefault="00663AFC" w:rsidP="00663AFC">
      <w:pPr>
        <w:spacing w:after="0" w:line="240" w:lineRule="auto"/>
        <w:contextualSpacing/>
        <w:jc w:val="both"/>
        <w:rPr>
          <w:rFonts w:ascii="Arial" w:hAnsi="Arial" w:cs="Arial"/>
          <w:b/>
          <w:sz w:val="24"/>
          <w:szCs w:val="24"/>
          <w:u w:val="single"/>
        </w:rPr>
      </w:pPr>
    </w:p>
    <w:p w14:paraId="012EE3D5" w14:textId="678EA74E" w:rsidR="008334F4" w:rsidRPr="00EB2564" w:rsidRDefault="008334F4" w:rsidP="00B26CCA">
      <w:pPr>
        <w:spacing w:after="0" w:line="240" w:lineRule="auto"/>
        <w:contextualSpacing/>
        <w:jc w:val="both"/>
        <w:rPr>
          <w:rFonts w:ascii="Arial" w:hAnsi="Arial" w:cs="Arial"/>
          <w:sz w:val="24"/>
          <w:szCs w:val="24"/>
          <w:u w:val="single"/>
        </w:rPr>
      </w:pPr>
      <w:r w:rsidRPr="00EB2564">
        <w:rPr>
          <w:rFonts w:ascii="Arial" w:hAnsi="Arial" w:cs="Arial"/>
          <w:b/>
          <w:sz w:val="24"/>
          <w:szCs w:val="24"/>
          <w:u w:val="single"/>
        </w:rPr>
        <w:t>HEARD ON:</w:t>
      </w:r>
      <w:r w:rsidRPr="00EB2564">
        <w:rPr>
          <w:rFonts w:ascii="Arial" w:hAnsi="Arial" w:cs="Arial"/>
          <w:sz w:val="24"/>
          <w:szCs w:val="24"/>
        </w:rPr>
        <w:tab/>
      </w:r>
      <w:r w:rsidR="00B26CCA">
        <w:rPr>
          <w:rFonts w:ascii="Arial" w:hAnsi="Arial" w:cs="Arial"/>
          <w:sz w:val="24"/>
          <w:szCs w:val="24"/>
        </w:rPr>
        <w:tab/>
      </w:r>
      <w:r w:rsidR="00B26CCA">
        <w:rPr>
          <w:rFonts w:ascii="Arial" w:hAnsi="Arial" w:cs="Arial"/>
          <w:sz w:val="24"/>
          <w:szCs w:val="24"/>
        </w:rPr>
        <w:tab/>
        <w:t>2</w:t>
      </w:r>
      <w:r w:rsidR="008C43AE">
        <w:rPr>
          <w:rFonts w:ascii="Arial" w:hAnsi="Arial" w:cs="Arial"/>
          <w:sz w:val="24"/>
          <w:szCs w:val="24"/>
        </w:rPr>
        <w:t>6</w:t>
      </w:r>
      <w:r w:rsidR="00B26CCA">
        <w:rPr>
          <w:rFonts w:ascii="Arial" w:hAnsi="Arial" w:cs="Arial"/>
          <w:sz w:val="24"/>
          <w:szCs w:val="24"/>
        </w:rPr>
        <w:t xml:space="preserve"> A</w:t>
      </w:r>
      <w:r w:rsidR="008C43AE">
        <w:rPr>
          <w:rFonts w:ascii="Arial" w:hAnsi="Arial" w:cs="Arial"/>
          <w:sz w:val="24"/>
          <w:szCs w:val="24"/>
        </w:rPr>
        <w:t>UGUST</w:t>
      </w:r>
      <w:r w:rsidRPr="00EB2564">
        <w:rPr>
          <w:rFonts w:ascii="Arial" w:hAnsi="Arial" w:cs="Arial"/>
          <w:sz w:val="24"/>
          <w:szCs w:val="24"/>
        </w:rPr>
        <w:t xml:space="preserve"> 202</w:t>
      </w:r>
      <w:r w:rsidR="008D53F2">
        <w:rPr>
          <w:rFonts w:ascii="Arial" w:hAnsi="Arial" w:cs="Arial"/>
          <w:sz w:val="24"/>
          <w:szCs w:val="24"/>
        </w:rPr>
        <w:t>2</w:t>
      </w:r>
    </w:p>
    <w:p w14:paraId="7EE712C7" w14:textId="77777777" w:rsidR="008334F4" w:rsidRPr="00EB2564" w:rsidRDefault="008334F4" w:rsidP="008334F4">
      <w:pPr>
        <w:pBdr>
          <w:bottom w:val="single" w:sz="6" w:space="1" w:color="auto"/>
        </w:pBdr>
        <w:spacing w:after="0" w:line="240" w:lineRule="auto"/>
        <w:contextualSpacing/>
        <w:jc w:val="both"/>
        <w:rPr>
          <w:rFonts w:ascii="Arial" w:hAnsi="Arial" w:cs="Arial"/>
          <w:b/>
          <w:sz w:val="24"/>
          <w:szCs w:val="24"/>
        </w:rPr>
      </w:pPr>
    </w:p>
    <w:p w14:paraId="01C8698A" w14:textId="77777777" w:rsidR="008334F4" w:rsidRPr="00EB2564" w:rsidRDefault="008334F4" w:rsidP="008334F4">
      <w:pPr>
        <w:spacing w:after="0" w:line="240" w:lineRule="auto"/>
        <w:contextualSpacing/>
        <w:jc w:val="both"/>
        <w:rPr>
          <w:rFonts w:ascii="Arial" w:hAnsi="Arial" w:cs="Arial"/>
          <w:b/>
          <w:sz w:val="24"/>
          <w:szCs w:val="24"/>
        </w:rPr>
      </w:pPr>
    </w:p>
    <w:p w14:paraId="00857AED" w14:textId="77777777" w:rsidR="008334F4" w:rsidRPr="00EB2564" w:rsidRDefault="008334F4" w:rsidP="008334F4">
      <w:pPr>
        <w:spacing w:after="0" w:line="240" w:lineRule="auto"/>
        <w:contextualSpacing/>
        <w:jc w:val="both"/>
        <w:rPr>
          <w:rFonts w:ascii="Arial" w:hAnsi="Arial" w:cs="Arial"/>
          <w:sz w:val="24"/>
          <w:szCs w:val="24"/>
          <w:u w:val="single"/>
        </w:rPr>
      </w:pPr>
      <w:r w:rsidRPr="00EB2564">
        <w:rPr>
          <w:rFonts w:ascii="Arial" w:hAnsi="Arial" w:cs="Arial"/>
          <w:b/>
          <w:sz w:val="24"/>
          <w:szCs w:val="24"/>
          <w:u w:val="single"/>
        </w:rPr>
        <w:t>JUDGMENT BY:</w:t>
      </w:r>
      <w:r w:rsidRPr="00EB2564">
        <w:rPr>
          <w:rFonts w:ascii="Arial" w:hAnsi="Arial" w:cs="Arial"/>
          <w:b/>
          <w:sz w:val="24"/>
          <w:szCs w:val="24"/>
        </w:rPr>
        <w:tab/>
      </w:r>
      <w:r w:rsidRPr="00EB2564">
        <w:rPr>
          <w:rFonts w:ascii="Arial" w:hAnsi="Arial" w:cs="Arial"/>
          <w:sz w:val="24"/>
          <w:szCs w:val="24"/>
        </w:rPr>
        <w:tab/>
      </w:r>
      <w:r w:rsidRPr="00EB2564">
        <w:rPr>
          <w:rFonts w:ascii="Arial" w:eastAsia="Times New Roman" w:hAnsi="Arial" w:cs="Arial"/>
          <w:sz w:val="24"/>
          <w:szCs w:val="24"/>
          <w:lang w:eastAsia="en-GB"/>
        </w:rPr>
        <w:t>LOUBSER, J</w:t>
      </w:r>
    </w:p>
    <w:p w14:paraId="1BC97486" w14:textId="77777777" w:rsidR="008334F4" w:rsidRPr="00EB2564" w:rsidRDefault="008334F4" w:rsidP="008334F4">
      <w:pPr>
        <w:pBdr>
          <w:bottom w:val="single" w:sz="6" w:space="1" w:color="auto"/>
        </w:pBdr>
        <w:spacing w:after="0" w:line="240" w:lineRule="auto"/>
        <w:contextualSpacing/>
        <w:jc w:val="both"/>
        <w:rPr>
          <w:rFonts w:ascii="Arial" w:hAnsi="Arial" w:cs="Arial"/>
          <w:b/>
          <w:sz w:val="24"/>
          <w:szCs w:val="24"/>
        </w:rPr>
      </w:pPr>
    </w:p>
    <w:p w14:paraId="1A87F96A" w14:textId="77777777" w:rsidR="008334F4" w:rsidRPr="00EB2564" w:rsidRDefault="008334F4" w:rsidP="008334F4">
      <w:pPr>
        <w:spacing w:after="0" w:line="240" w:lineRule="auto"/>
        <w:contextualSpacing/>
        <w:jc w:val="both"/>
        <w:rPr>
          <w:rFonts w:ascii="Arial" w:hAnsi="Arial" w:cs="Arial"/>
          <w:b/>
          <w:sz w:val="24"/>
          <w:szCs w:val="24"/>
        </w:rPr>
      </w:pPr>
    </w:p>
    <w:p w14:paraId="6D781BCD" w14:textId="38681A87" w:rsidR="008334F4" w:rsidRPr="00EB2564" w:rsidRDefault="008334F4" w:rsidP="008334F4">
      <w:pPr>
        <w:tabs>
          <w:tab w:val="left" w:pos="2940"/>
        </w:tabs>
        <w:spacing w:after="0" w:line="240" w:lineRule="auto"/>
        <w:contextualSpacing/>
        <w:jc w:val="both"/>
        <w:rPr>
          <w:rFonts w:ascii="Arial" w:hAnsi="Arial" w:cs="Arial"/>
          <w:sz w:val="24"/>
          <w:szCs w:val="24"/>
          <w:u w:val="single"/>
        </w:rPr>
      </w:pPr>
      <w:r w:rsidRPr="00EB2564">
        <w:rPr>
          <w:rFonts w:ascii="Arial" w:hAnsi="Arial" w:cs="Arial"/>
          <w:b/>
          <w:sz w:val="24"/>
          <w:szCs w:val="24"/>
          <w:u w:val="single"/>
        </w:rPr>
        <w:t>DELIVERED ON:</w:t>
      </w:r>
      <w:r w:rsidRPr="00EB2564">
        <w:rPr>
          <w:rFonts w:ascii="Arial" w:hAnsi="Arial" w:cs="Arial"/>
          <w:sz w:val="24"/>
          <w:szCs w:val="24"/>
        </w:rPr>
        <w:tab/>
      </w:r>
      <w:r w:rsidR="008C43AE">
        <w:rPr>
          <w:rFonts w:ascii="Arial" w:hAnsi="Arial" w:cs="Arial"/>
          <w:sz w:val="24"/>
          <w:szCs w:val="24"/>
        </w:rPr>
        <w:t>1 SEPTEMBER</w:t>
      </w:r>
      <w:r w:rsidR="00C63E83">
        <w:rPr>
          <w:rFonts w:ascii="Arial" w:hAnsi="Arial" w:cs="Arial"/>
          <w:sz w:val="24"/>
          <w:szCs w:val="24"/>
        </w:rPr>
        <w:t xml:space="preserve"> 2022</w:t>
      </w:r>
    </w:p>
    <w:p w14:paraId="33CF8A30" w14:textId="683F8E7D" w:rsidR="00091DAB" w:rsidRPr="008D53F2" w:rsidRDefault="008D53F2" w:rsidP="00091DAB">
      <w:pPr>
        <w:spacing w:after="0" w:line="360" w:lineRule="auto"/>
        <w:jc w:val="both"/>
        <w:rPr>
          <w:rFonts w:ascii="Arial" w:hAnsi="Arial" w:cs="Arial"/>
          <w:bCs/>
          <w:sz w:val="24"/>
          <w:szCs w:val="24"/>
        </w:rPr>
      </w:pPr>
      <w:r w:rsidRPr="008D53F2">
        <w:rPr>
          <w:rFonts w:ascii="Arial" w:hAnsi="Arial" w:cs="Arial"/>
          <w:bCs/>
          <w:sz w:val="24"/>
          <w:szCs w:val="24"/>
        </w:rPr>
        <w:t>___________________________________________________________________</w:t>
      </w:r>
    </w:p>
    <w:p w14:paraId="6D2C6BC4" w14:textId="77777777" w:rsidR="008D53F2" w:rsidRPr="00EB2564" w:rsidRDefault="008D53F2" w:rsidP="00091DAB">
      <w:pPr>
        <w:spacing w:after="0" w:line="360" w:lineRule="auto"/>
        <w:jc w:val="both"/>
        <w:rPr>
          <w:rFonts w:ascii="Arial" w:hAnsi="Arial" w:cs="Arial"/>
          <w:b/>
          <w:sz w:val="24"/>
          <w:szCs w:val="24"/>
        </w:rPr>
      </w:pPr>
    </w:p>
    <w:p w14:paraId="19DD9B1B" w14:textId="2F2EADD0" w:rsidR="00C3394B" w:rsidRDefault="00091DAB" w:rsidP="00961875">
      <w:pPr>
        <w:spacing w:line="360" w:lineRule="auto"/>
        <w:ind w:left="720" w:hanging="720"/>
        <w:jc w:val="both"/>
        <w:rPr>
          <w:rFonts w:ascii="Arial" w:hAnsi="Arial" w:cs="Arial"/>
          <w:sz w:val="24"/>
          <w:szCs w:val="24"/>
        </w:rPr>
      </w:pPr>
      <w:r w:rsidRPr="00EB2564">
        <w:rPr>
          <w:rFonts w:ascii="Arial" w:hAnsi="Arial" w:cs="Arial"/>
          <w:sz w:val="24"/>
          <w:szCs w:val="24"/>
        </w:rPr>
        <w:t>[1]</w:t>
      </w:r>
      <w:r w:rsidRPr="00EB2564">
        <w:rPr>
          <w:rFonts w:ascii="Arial" w:hAnsi="Arial" w:cs="Arial"/>
          <w:sz w:val="24"/>
          <w:szCs w:val="24"/>
        </w:rPr>
        <w:tab/>
      </w:r>
      <w:r w:rsidR="00961875">
        <w:rPr>
          <w:rFonts w:ascii="Arial" w:hAnsi="Arial" w:cs="Arial"/>
          <w:sz w:val="24"/>
          <w:szCs w:val="24"/>
        </w:rPr>
        <w:t>This is a</w:t>
      </w:r>
      <w:r w:rsidR="007160E7">
        <w:rPr>
          <w:rFonts w:ascii="Arial" w:hAnsi="Arial" w:cs="Arial"/>
          <w:sz w:val="24"/>
          <w:szCs w:val="24"/>
        </w:rPr>
        <w:t>n application for leave to appeal against the dismissal of a Special</w:t>
      </w:r>
      <w:r w:rsidR="00961875">
        <w:rPr>
          <w:rFonts w:ascii="Arial" w:hAnsi="Arial" w:cs="Arial"/>
          <w:sz w:val="24"/>
          <w:szCs w:val="24"/>
        </w:rPr>
        <w:t xml:space="preserve"> </w:t>
      </w:r>
      <w:r w:rsidR="007160E7">
        <w:rPr>
          <w:rFonts w:ascii="Arial" w:hAnsi="Arial" w:cs="Arial"/>
          <w:sz w:val="24"/>
          <w:szCs w:val="24"/>
        </w:rPr>
        <w:t>P</w:t>
      </w:r>
      <w:r w:rsidR="00961875">
        <w:rPr>
          <w:rFonts w:ascii="Arial" w:hAnsi="Arial" w:cs="Arial"/>
          <w:sz w:val="24"/>
          <w:szCs w:val="24"/>
        </w:rPr>
        <w:t>le</w:t>
      </w:r>
      <w:r w:rsidR="007160E7">
        <w:rPr>
          <w:rFonts w:ascii="Arial" w:hAnsi="Arial" w:cs="Arial"/>
          <w:sz w:val="24"/>
          <w:szCs w:val="24"/>
        </w:rPr>
        <w:t>a</w:t>
      </w:r>
      <w:r w:rsidR="00961875">
        <w:rPr>
          <w:rFonts w:ascii="Arial" w:hAnsi="Arial" w:cs="Arial"/>
          <w:sz w:val="24"/>
          <w:szCs w:val="24"/>
        </w:rPr>
        <w:t xml:space="preserve"> of </w:t>
      </w:r>
      <w:r w:rsidR="00A60D76">
        <w:rPr>
          <w:rFonts w:ascii="Arial" w:hAnsi="Arial" w:cs="Arial"/>
          <w:sz w:val="24"/>
          <w:szCs w:val="24"/>
        </w:rPr>
        <w:t>prescription with costs on an attorney and client scale</w:t>
      </w:r>
      <w:r w:rsidR="00961875">
        <w:rPr>
          <w:rFonts w:ascii="Arial" w:hAnsi="Arial" w:cs="Arial"/>
          <w:sz w:val="24"/>
          <w:szCs w:val="24"/>
        </w:rPr>
        <w:t xml:space="preserve">. The </w:t>
      </w:r>
      <w:r w:rsidR="00A60D76">
        <w:rPr>
          <w:rFonts w:ascii="Arial" w:hAnsi="Arial" w:cs="Arial"/>
          <w:sz w:val="24"/>
          <w:szCs w:val="24"/>
        </w:rPr>
        <w:t xml:space="preserve">Special Plea was filed by </w:t>
      </w:r>
      <w:bookmarkStart w:id="0" w:name="_Hlk112661127"/>
      <w:r w:rsidR="00A60D76">
        <w:rPr>
          <w:rFonts w:ascii="Arial" w:hAnsi="Arial" w:cs="Arial"/>
          <w:sz w:val="24"/>
          <w:szCs w:val="24"/>
        </w:rPr>
        <w:t>the two Applicants</w:t>
      </w:r>
      <w:bookmarkEnd w:id="0"/>
      <w:r w:rsidR="00A60D76">
        <w:rPr>
          <w:rFonts w:ascii="Arial" w:hAnsi="Arial" w:cs="Arial"/>
          <w:sz w:val="24"/>
          <w:szCs w:val="24"/>
        </w:rPr>
        <w:t>, who featured as the two Defendants in the trial proceedings. The Second Applicant was in the employment of the First Applicant as an attorney at the time of the events giving rise to the litigation.</w:t>
      </w:r>
    </w:p>
    <w:p w14:paraId="2CCEC8AC" w14:textId="77777777" w:rsidR="00764923" w:rsidRDefault="00764923" w:rsidP="00764923">
      <w:pPr>
        <w:spacing w:after="0" w:line="240" w:lineRule="auto"/>
        <w:ind w:left="720" w:hanging="720"/>
        <w:jc w:val="both"/>
        <w:rPr>
          <w:rFonts w:ascii="Arial" w:hAnsi="Arial" w:cs="Arial"/>
          <w:sz w:val="24"/>
          <w:szCs w:val="24"/>
        </w:rPr>
      </w:pPr>
    </w:p>
    <w:p w14:paraId="51E2CBED" w14:textId="086F0CF3" w:rsidR="00B845BD" w:rsidRDefault="00B845BD" w:rsidP="00961875">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w:t>
      </w:r>
      <w:r w:rsidR="00B53D97">
        <w:rPr>
          <w:rFonts w:ascii="Arial" w:hAnsi="Arial" w:cs="Arial"/>
          <w:sz w:val="24"/>
          <w:szCs w:val="24"/>
        </w:rPr>
        <w:t>Respondent claimed</w:t>
      </w:r>
      <w:r>
        <w:rPr>
          <w:rFonts w:ascii="Arial" w:hAnsi="Arial" w:cs="Arial"/>
          <w:sz w:val="24"/>
          <w:szCs w:val="24"/>
        </w:rPr>
        <w:t xml:space="preserve"> damages </w:t>
      </w:r>
      <w:r w:rsidR="00B53D97">
        <w:rPr>
          <w:rFonts w:ascii="Arial" w:hAnsi="Arial" w:cs="Arial"/>
          <w:sz w:val="24"/>
          <w:szCs w:val="24"/>
        </w:rPr>
        <w:t>from the two Applicants based on the alleged negligence of the Second Applicant in his conduct of her case against the Road Accident Fund.</w:t>
      </w:r>
      <w:r>
        <w:rPr>
          <w:rFonts w:ascii="Arial" w:hAnsi="Arial" w:cs="Arial"/>
          <w:sz w:val="24"/>
          <w:szCs w:val="24"/>
        </w:rPr>
        <w:t xml:space="preserve"> </w:t>
      </w:r>
      <w:r w:rsidR="00B53D97">
        <w:rPr>
          <w:rFonts w:ascii="Arial" w:hAnsi="Arial" w:cs="Arial"/>
          <w:sz w:val="24"/>
          <w:szCs w:val="24"/>
        </w:rPr>
        <w:t>T</w:t>
      </w:r>
      <w:r>
        <w:rPr>
          <w:rFonts w:ascii="Arial" w:hAnsi="Arial" w:cs="Arial"/>
          <w:sz w:val="24"/>
          <w:szCs w:val="24"/>
        </w:rPr>
        <w:t xml:space="preserve">he Second </w:t>
      </w:r>
      <w:r w:rsidR="00B53D97">
        <w:rPr>
          <w:rFonts w:ascii="Arial" w:hAnsi="Arial" w:cs="Arial"/>
          <w:sz w:val="24"/>
          <w:szCs w:val="24"/>
        </w:rPr>
        <w:t>Applicant</w:t>
      </w:r>
      <w:r>
        <w:rPr>
          <w:rFonts w:ascii="Arial" w:hAnsi="Arial" w:cs="Arial"/>
          <w:sz w:val="24"/>
          <w:szCs w:val="24"/>
        </w:rPr>
        <w:t xml:space="preserve"> </w:t>
      </w:r>
      <w:r w:rsidR="00B53D97">
        <w:rPr>
          <w:rFonts w:ascii="Arial" w:hAnsi="Arial" w:cs="Arial"/>
          <w:sz w:val="24"/>
          <w:szCs w:val="24"/>
        </w:rPr>
        <w:t xml:space="preserve">had instituted her claim in the Regional Court, while it later transpired that the value of her claim was much </w:t>
      </w:r>
      <w:r w:rsidR="00B53D97">
        <w:rPr>
          <w:rFonts w:ascii="Arial" w:hAnsi="Arial" w:cs="Arial"/>
          <w:sz w:val="24"/>
          <w:szCs w:val="24"/>
        </w:rPr>
        <w:lastRenderedPageBreak/>
        <w:t>higher than the maximum amount that could be claimed in the Regional Court.</w:t>
      </w:r>
      <w:r>
        <w:rPr>
          <w:rFonts w:ascii="Arial" w:hAnsi="Arial" w:cs="Arial"/>
          <w:sz w:val="24"/>
          <w:szCs w:val="24"/>
        </w:rPr>
        <w:t xml:space="preserve"> </w:t>
      </w:r>
      <w:r w:rsidR="00AB4FBF">
        <w:rPr>
          <w:rFonts w:ascii="Arial" w:hAnsi="Arial" w:cs="Arial"/>
          <w:sz w:val="24"/>
          <w:szCs w:val="24"/>
        </w:rPr>
        <w:t xml:space="preserve">By the time the Second Applicant realized that this was the position, it </w:t>
      </w:r>
      <w:r w:rsidR="00E40F2C">
        <w:rPr>
          <w:rFonts w:ascii="Arial" w:hAnsi="Arial" w:cs="Arial"/>
          <w:sz w:val="24"/>
          <w:szCs w:val="24"/>
        </w:rPr>
        <w:t>w</w:t>
      </w:r>
      <w:r w:rsidR="00AB4FBF">
        <w:rPr>
          <w:rFonts w:ascii="Arial" w:hAnsi="Arial" w:cs="Arial"/>
          <w:sz w:val="24"/>
          <w:szCs w:val="24"/>
        </w:rPr>
        <w:t>as too late for the matter to be transferred to the High Court or summons to be re-issued.</w:t>
      </w:r>
      <w:r w:rsidR="00E40F2C">
        <w:rPr>
          <w:rFonts w:ascii="Arial" w:hAnsi="Arial" w:cs="Arial"/>
          <w:sz w:val="24"/>
          <w:szCs w:val="24"/>
        </w:rPr>
        <w:t xml:space="preserve"> The Respondent had to be content with the </w:t>
      </w:r>
      <w:r w:rsidR="00364632">
        <w:rPr>
          <w:rFonts w:ascii="Arial" w:hAnsi="Arial" w:cs="Arial"/>
          <w:sz w:val="24"/>
          <w:szCs w:val="24"/>
        </w:rPr>
        <w:t>maximum amount of only R400 000.00 awarded by the Regional Court for the bodily injuries she suffered. Hence the claim for the balance of her damages against the Applicants.</w:t>
      </w:r>
    </w:p>
    <w:p w14:paraId="27507E8D" w14:textId="77777777" w:rsidR="00764923" w:rsidRDefault="00764923" w:rsidP="00764923">
      <w:pPr>
        <w:spacing w:after="0" w:line="240" w:lineRule="auto"/>
        <w:ind w:left="720" w:hanging="720"/>
        <w:jc w:val="both"/>
        <w:rPr>
          <w:rFonts w:ascii="Arial" w:hAnsi="Arial" w:cs="Arial"/>
          <w:sz w:val="24"/>
          <w:szCs w:val="24"/>
        </w:rPr>
      </w:pPr>
    </w:p>
    <w:p w14:paraId="7016A6F4" w14:textId="4C367F9D" w:rsidR="00B845BD" w:rsidRDefault="00B845BD" w:rsidP="00961875">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their </w:t>
      </w:r>
      <w:r w:rsidR="00364632">
        <w:rPr>
          <w:rFonts w:ascii="Arial" w:hAnsi="Arial" w:cs="Arial"/>
          <w:sz w:val="24"/>
          <w:szCs w:val="24"/>
        </w:rPr>
        <w:t>respective</w:t>
      </w:r>
      <w:r>
        <w:rPr>
          <w:rFonts w:ascii="Arial" w:hAnsi="Arial" w:cs="Arial"/>
          <w:sz w:val="24"/>
          <w:szCs w:val="24"/>
        </w:rPr>
        <w:t xml:space="preserve"> Pleas, the </w:t>
      </w:r>
      <w:r w:rsidR="00364632">
        <w:rPr>
          <w:rFonts w:ascii="Arial" w:hAnsi="Arial" w:cs="Arial"/>
          <w:sz w:val="24"/>
          <w:szCs w:val="24"/>
        </w:rPr>
        <w:t>Applic</w:t>
      </w:r>
      <w:r>
        <w:rPr>
          <w:rFonts w:ascii="Arial" w:hAnsi="Arial" w:cs="Arial"/>
          <w:sz w:val="24"/>
          <w:szCs w:val="24"/>
        </w:rPr>
        <w:t xml:space="preserve">ants </w:t>
      </w:r>
      <w:r w:rsidR="00364632">
        <w:rPr>
          <w:rFonts w:ascii="Arial" w:hAnsi="Arial" w:cs="Arial"/>
          <w:sz w:val="24"/>
          <w:szCs w:val="24"/>
        </w:rPr>
        <w:t xml:space="preserve">raised a Special Plea of prescription, </w:t>
      </w:r>
      <w:r w:rsidR="0050438F">
        <w:rPr>
          <w:rFonts w:ascii="Arial" w:hAnsi="Arial" w:cs="Arial"/>
          <w:sz w:val="24"/>
          <w:szCs w:val="24"/>
        </w:rPr>
        <w:t>alleging that the Respondent’s claim</w:t>
      </w:r>
      <w:r w:rsidR="008E3B89">
        <w:rPr>
          <w:rFonts w:ascii="Arial" w:hAnsi="Arial" w:cs="Arial"/>
          <w:sz w:val="24"/>
          <w:szCs w:val="24"/>
        </w:rPr>
        <w:t xml:space="preserve"> became due on 10</w:t>
      </w:r>
      <w:r w:rsidR="00C63E83" w:rsidRPr="00C63E83">
        <w:rPr>
          <w:rFonts w:ascii="Arial" w:hAnsi="Arial" w:cs="Arial"/>
          <w:sz w:val="24"/>
          <w:szCs w:val="24"/>
          <w:vertAlign w:val="superscript"/>
        </w:rPr>
        <w:t>th</w:t>
      </w:r>
      <w:r w:rsidR="008E3B89">
        <w:rPr>
          <w:rFonts w:ascii="Arial" w:hAnsi="Arial" w:cs="Arial"/>
          <w:sz w:val="24"/>
          <w:szCs w:val="24"/>
        </w:rPr>
        <w:t xml:space="preserve"> June 2015, alternatively the 9</w:t>
      </w:r>
      <w:r w:rsidR="00C63E83" w:rsidRPr="00C63E83">
        <w:rPr>
          <w:rFonts w:ascii="Arial" w:hAnsi="Arial" w:cs="Arial"/>
          <w:sz w:val="24"/>
          <w:szCs w:val="24"/>
          <w:vertAlign w:val="superscript"/>
        </w:rPr>
        <w:t>th</w:t>
      </w:r>
      <w:r w:rsidR="008E3B89">
        <w:rPr>
          <w:rFonts w:ascii="Arial" w:hAnsi="Arial" w:cs="Arial"/>
          <w:sz w:val="24"/>
          <w:szCs w:val="24"/>
        </w:rPr>
        <w:t xml:space="preserve"> July 2015, being the date on which the </w:t>
      </w:r>
      <w:r w:rsidR="0050438F">
        <w:rPr>
          <w:rFonts w:ascii="Arial" w:hAnsi="Arial" w:cs="Arial"/>
          <w:sz w:val="24"/>
          <w:szCs w:val="24"/>
        </w:rPr>
        <w:t>Respondent</w:t>
      </w:r>
      <w:r w:rsidR="008E3B89">
        <w:rPr>
          <w:rFonts w:ascii="Arial" w:hAnsi="Arial" w:cs="Arial"/>
          <w:sz w:val="24"/>
          <w:szCs w:val="24"/>
        </w:rPr>
        <w:t xml:space="preserve"> acquired a complete cause of action for </w:t>
      </w:r>
      <w:r w:rsidR="0050438F">
        <w:rPr>
          <w:rFonts w:ascii="Arial" w:hAnsi="Arial" w:cs="Arial"/>
          <w:sz w:val="24"/>
          <w:szCs w:val="24"/>
        </w:rPr>
        <w:t>her claim</w:t>
      </w:r>
      <w:r w:rsidR="008E3B89">
        <w:rPr>
          <w:rFonts w:ascii="Arial" w:hAnsi="Arial" w:cs="Arial"/>
          <w:sz w:val="24"/>
          <w:szCs w:val="24"/>
        </w:rPr>
        <w:t xml:space="preserve">. </w:t>
      </w:r>
      <w:r w:rsidR="0050438F">
        <w:rPr>
          <w:rFonts w:ascii="Arial" w:hAnsi="Arial" w:cs="Arial"/>
          <w:sz w:val="24"/>
          <w:szCs w:val="24"/>
        </w:rPr>
        <w:t>Summons in the action was only served on 24 July 2018, and therefore</w:t>
      </w:r>
      <w:r w:rsidR="008E3B89">
        <w:rPr>
          <w:rFonts w:ascii="Arial" w:hAnsi="Arial" w:cs="Arial"/>
          <w:sz w:val="24"/>
          <w:szCs w:val="24"/>
        </w:rPr>
        <w:t xml:space="preserve"> more than (3) years have lapsed bet</w:t>
      </w:r>
      <w:r w:rsidR="00C63E83">
        <w:rPr>
          <w:rFonts w:ascii="Arial" w:hAnsi="Arial" w:cs="Arial"/>
          <w:sz w:val="24"/>
          <w:szCs w:val="24"/>
        </w:rPr>
        <w:t>ween the debt</w:t>
      </w:r>
      <w:r w:rsidR="008E3B89">
        <w:rPr>
          <w:rFonts w:ascii="Arial" w:hAnsi="Arial" w:cs="Arial"/>
          <w:sz w:val="24"/>
          <w:szCs w:val="24"/>
        </w:rPr>
        <w:t xml:space="preserve"> falling due and the institution of the action, </w:t>
      </w:r>
      <w:r w:rsidR="0050438F">
        <w:rPr>
          <w:rFonts w:ascii="Arial" w:hAnsi="Arial" w:cs="Arial"/>
          <w:sz w:val="24"/>
          <w:szCs w:val="24"/>
        </w:rPr>
        <w:t>it was pleaded. In the Plea, the Applicants denied any negligence.</w:t>
      </w:r>
    </w:p>
    <w:p w14:paraId="61CA88F8" w14:textId="77777777" w:rsidR="00764923" w:rsidRDefault="00764923" w:rsidP="00764923">
      <w:pPr>
        <w:spacing w:after="0" w:line="240" w:lineRule="auto"/>
        <w:ind w:left="720" w:hanging="720"/>
        <w:jc w:val="both"/>
        <w:rPr>
          <w:rFonts w:ascii="Arial" w:hAnsi="Arial" w:cs="Arial"/>
          <w:sz w:val="24"/>
          <w:szCs w:val="24"/>
        </w:rPr>
      </w:pPr>
    </w:p>
    <w:p w14:paraId="45A98455" w14:textId="4A11F931" w:rsidR="008E3B89" w:rsidRDefault="008E3B89" w:rsidP="00CE396D">
      <w:pPr>
        <w:spacing w:line="360" w:lineRule="auto"/>
        <w:ind w:left="720" w:hanging="720"/>
        <w:jc w:val="both"/>
        <w:rPr>
          <w:rFonts w:ascii="Arial" w:hAnsi="Arial" w:cs="Arial"/>
          <w:bCs/>
          <w:color w:val="000000" w:themeColor="text1"/>
          <w:sz w:val="24"/>
          <w:szCs w:val="24"/>
        </w:rPr>
      </w:pPr>
      <w:r>
        <w:rPr>
          <w:rFonts w:ascii="Arial" w:hAnsi="Arial" w:cs="Arial"/>
          <w:sz w:val="24"/>
          <w:szCs w:val="24"/>
        </w:rPr>
        <w:t>[4]</w:t>
      </w:r>
      <w:r>
        <w:rPr>
          <w:rFonts w:ascii="Arial" w:hAnsi="Arial" w:cs="Arial"/>
          <w:sz w:val="24"/>
          <w:szCs w:val="24"/>
        </w:rPr>
        <w:tab/>
      </w:r>
      <w:r w:rsidR="00CE396D" w:rsidRPr="00CE396D">
        <w:rPr>
          <w:rFonts w:ascii="Arial" w:hAnsi="Arial" w:cs="Arial"/>
          <w:bCs/>
          <w:color w:val="000000" w:themeColor="text1"/>
          <w:sz w:val="24"/>
          <w:szCs w:val="24"/>
        </w:rPr>
        <w:t>In a Replication filed by the Respondent, she alleged that she had only bec</w:t>
      </w:r>
      <w:r w:rsidR="004D32D2">
        <w:rPr>
          <w:rFonts w:ascii="Arial" w:hAnsi="Arial" w:cs="Arial"/>
          <w:bCs/>
          <w:color w:val="000000" w:themeColor="text1"/>
          <w:sz w:val="24"/>
          <w:szCs w:val="24"/>
        </w:rPr>
        <w:t>o</w:t>
      </w:r>
      <w:r w:rsidR="00CE396D" w:rsidRPr="00CE396D">
        <w:rPr>
          <w:rFonts w:ascii="Arial" w:hAnsi="Arial" w:cs="Arial"/>
          <w:bCs/>
          <w:color w:val="000000" w:themeColor="text1"/>
          <w:sz w:val="24"/>
          <w:szCs w:val="24"/>
        </w:rPr>
        <w:t xml:space="preserve">me aware of the identity of the debtor and the facts of the claim after she had consulted with her new attorneys on 19 July 2016. In the alternative, she pleaded that the Second Applicant had wilfully prevented her from coming to know of the </w:t>
      </w:r>
      <w:r w:rsidR="0019615C" w:rsidRPr="00CE396D">
        <w:rPr>
          <w:rFonts w:ascii="Arial" w:hAnsi="Arial" w:cs="Arial"/>
          <w:bCs/>
          <w:color w:val="000000" w:themeColor="text1"/>
          <w:sz w:val="24"/>
          <w:szCs w:val="24"/>
        </w:rPr>
        <w:t>existence</w:t>
      </w:r>
      <w:r w:rsidR="00CE396D" w:rsidRPr="00CE396D">
        <w:rPr>
          <w:rFonts w:ascii="Arial" w:hAnsi="Arial" w:cs="Arial"/>
          <w:bCs/>
          <w:color w:val="000000" w:themeColor="text1"/>
          <w:sz w:val="24"/>
          <w:szCs w:val="24"/>
        </w:rPr>
        <w:t xml:space="preserve"> of the debt, causing prescription to commence running only on 19 July 2016.</w:t>
      </w:r>
    </w:p>
    <w:p w14:paraId="77E28DBC" w14:textId="77777777" w:rsidR="00764923" w:rsidRDefault="00764923" w:rsidP="00764923">
      <w:pPr>
        <w:spacing w:after="0" w:line="240" w:lineRule="auto"/>
        <w:ind w:left="720" w:hanging="720"/>
        <w:jc w:val="both"/>
        <w:rPr>
          <w:color w:val="000000" w:themeColor="text1"/>
          <w:sz w:val="20"/>
          <w:szCs w:val="20"/>
        </w:rPr>
      </w:pPr>
    </w:p>
    <w:p w14:paraId="45E4272D" w14:textId="5E0E6AD9" w:rsidR="0061435D" w:rsidRDefault="00232FF6" w:rsidP="0061435D">
      <w:pPr>
        <w:tabs>
          <w:tab w:val="left" w:pos="0"/>
        </w:tabs>
        <w:spacing w:after="0" w:line="360" w:lineRule="auto"/>
        <w:ind w:left="1418" w:hanging="1418"/>
        <w:jc w:val="both"/>
        <w:rPr>
          <w:rFonts w:ascii="Arial" w:hAnsi="Arial" w:cs="Arial"/>
          <w:color w:val="000000" w:themeColor="text1"/>
          <w:sz w:val="24"/>
          <w:szCs w:val="24"/>
        </w:rPr>
      </w:pPr>
      <w:r>
        <w:rPr>
          <w:rFonts w:ascii="Arial" w:hAnsi="Arial" w:cs="Arial"/>
          <w:color w:val="000000" w:themeColor="text1"/>
          <w:sz w:val="24"/>
          <w:szCs w:val="24"/>
        </w:rPr>
        <w:t>[5]</w:t>
      </w:r>
      <w:r w:rsidR="0061435D">
        <w:rPr>
          <w:rFonts w:ascii="Arial" w:hAnsi="Arial" w:cs="Arial"/>
          <w:color w:val="000000" w:themeColor="text1"/>
          <w:sz w:val="24"/>
          <w:szCs w:val="24"/>
        </w:rPr>
        <w:t xml:space="preserve">       </w:t>
      </w:r>
      <w:r w:rsidR="007228B1">
        <w:rPr>
          <w:rFonts w:ascii="Arial" w:hAnsi="Arial" w:cs="Arial"/>
          <w:color w:val="000000" w:themeColor="text1"/>
          <w:sz w:val="24"/>
          <w:szCs w:val="24"/>
        </w:rPr>
        <w:t>Shortly before the proceedings came before this Court, the Applicants filed an Amended Plea in which the negligence of the Second Applicant was conceded. It was now admitted that he -</w:t>
      </w:r>
    </w:p>
    <w:p w14:paraId="45E620A2" w14:textId="77777777" w:rsidR="0061435D" w:rsidRDefault="0061435D" w:rsidP="0061435D">
      <w:pPr>
        <w:tabs>
          <w:tab w:val="left" w:pos="0"/>
        </w:tabs>
        <w:spacing w:after="0" w:line="360" w:lineRule="auto"/>
        <w:ind w:left="1418" w:hanging="1418"/>
        <w:jc w:val="both"/>
        <w:rPr>
          <w:rFonts w:ascii="Arial" w:hAnsi="Arial" w:cs="Arial"/>
          <w:color w:val="000000" w:themeColor="text1"/>
          <w:sz w:val="24"/>
          <w:szCs w:val="24"/>
        </w:rPr>
      </w:pPr>
    </w:p>
    <w:p w14:paraId="516139E6" w14:textId="416C5CCC" w:rsidR="00D85467" w:rsidRDefault="0061435D" w:rsidP="003A254B">
      <w:pPr>
        <w:tabs>
          <w:tab w:val="left" w:pos="0"/>
        </w:tabs>
        <w:spacing w:after="0" w:line="360"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5.1</w:t>
      </w:r>
      <w:r>
        <w:rPr>
          <w:rFonts w:ascii="Arial" w:hAnsi="Arial" w:cs="Arial"/>
          <w:color w:val="000000" w:themeColor="text1"/>
          <w:sz w:val="24"/>
          <w:szCs w:val="24"/>
        </w:rPr>
        <w:tab/>
        <w:t xml:space="preserve">Failed to properly assess the value of the </w:t>
      </w:r>
      <w:bookmarkStart w:id="1" w:name="_Hlk112663838"/>
      <w:r>
        <w:rPr>
          <w:rFonts w:ascii="Arial" w:hAnsi="Arial" w:cs="Arial"/>
          <w:color w:val="000000" w:themeColor="text1"/>
          <w:sz w:val="24"/>
          <w:szCs w:val="24"/>
        </w:rPr>
        <w:t>Respondent</w:t>
      </w:r>
      <w:bookmarkEnd w:id="1"/>
      <w:r>
        <w:rPr>
          <w:rFonts w:ascii="Arial" w:hAnsi="Arial" w:cs="Arial"/>
          <w:color w:val="000000" w:themeColor="text1"/>
          <w:sz w:val="24"/>
          <w:szCs w:val="24"/>
        </w:rPr>
        <w:t xml:space="preserve">’s claim against the Road Accident Fund before instituting action in the prosecution of the Respondent’s claim against the Road Accident Fund in the Regional Court. </w:t>
      </w:r>
    </w:p>
    <w:p w14:paraId="360D733C" w14:textId="7530C7B0" w:rsidR="00D85467" w:rsidRDefault="0061435D" w:rsidP="003A254B">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5.2</w:t>
      </w:r>
      <w:r>
        <w:rPr>
          <w:rFonts w:ascii="Arial" w:hAnsi="Arial" w:cs="Arial"/>
          <w:color w:val="000000" w:themeColor="text1"/>
          <w:sz w:val="24"/>
          <w:szCs w:val="24"/>
        </w:rPr>
        <w:tab/>
        <w:t>Failed to timeously either transfer the Respondent’s action to the High Court, or reinstitute action in the prosecution of the Respondent’s claim against the Road Accident Fund in the High Court.</w:t>
      </w:r>
    </w:p>
    <w:p w14:paraId="797FA6D4" w14:textId="5B287250" w:rsidR="008F44D8" w:rsidRDefault="0061435D" w:rsidP="00D85467">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5.3</w:t>
      </w:r>
      <w:r>
        <w:rPr>
          <w:rFonts w:ascii="Arial" w:hAnsi="Arial" w:cs="Arial"/>
          <w:color w:val="000000" w:themeColor="text1"/>
          <w:sz w:val="24"/>
          <w:szCs w:val="24"/>
        </w:rPr>
        <w:tab/>
        <w:t>Caused the Respondent’s claim against the Road Accident Fund to be limited to the monetary value of R 400 000.00.</w:t>
      </w:r>
    </w:p>
    <w:p w14:paraId="5087294F" w14:textId="77777777" w:rsidR="005548F4" w:rsidRDefault="005548F4" w:rsidP="005548F4">
      <w:pPr>
        <w:tabs>
          <w:tab w:val="left" w:pos="0"/>
        </w:tabs>
        <w:spacing w:after="0" w:line="360" w:lineRule="auto"/>
        <w:ind w:left="720" w:hanging="720"/>
        <w:jc w:val="both"/>
        <w:rPr>
          <w:rFonts w:ascii="Arial" w:hAnsi="Arial" w:cs="Arial"/>
          <w:color w:val="000000" w:themeColor="text1"/>
          <w:sz w:val="24"/>
          <w:szCs w:val="24"/>
        </w:rPr>
      </w:pPr>
    </w:p>
    <w:p w14:paraId="79335D09" w14:textId="72FC8F32" w:rsidR="00C63203" w:rsidRDefault="008F44D8" w:rsidP="005548F4">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006B0D13">
        <w:rPr>
          <w:rFonts w:ascii="Arial" w:hAnsi="Arial" w:cs="Arial"/>
          <w:color w:val="000000" w:themeColor="text1"/>
          <w:sz w:val="24"/>
          <w:szCs w:val="24"/>
        </w:rPr>
        <w:t>Otherwise, the Applicants persisted in their Special Plea when they filed their Amended Plea.</w:t>
      </w:r>
    </w:p>
    <w:p w14:paraId="5B445C13" w14:textId="77777777" w:rsidR="005548F4" w:rsidRDefault="005548F4" w:rsidP="005548F4">
      <w:pPr>
        <w:tabs>
          <w:tab w:val="left" w:pos="0"/>
        </w:tabs>
        <w:spacing w:after="0" w:line="360" w:lineRule="auto"/>
        <w:ind w:left="720" w:hanging="720"/>
        <w:jc w:val="both"/>
        <w:rPr>
          <w:rFonts w:ascii="Arial" w:hAnsi="Arial" w:cs="Arial"/>
          <w:color w:val="000000" w:themeColor="text1"/>
          <w:sz w:val="24"/>
          <w:szCs w:val="24"/>
        </w:rPr>
      </w:pPr>
    </w:p>
    <w:p w14:paraId="2A23CD91" w14:textId="41569E3F" w:rsidR="00463483" w:rsidRDefault="00C63203" w:rsidP="00C63E83">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[7]</w:t>
      </w:r>
      <w:r>
        <w:rPr>
          <w:rFonts w:ascii="Arial" w:hAnsi="Arial" w:cs="Arial"/>
          <w:color w:val="000000" w:themeColor="text1"/>
          <w:sz w:val="24"/>
          <w:szCs w:val="24"/>
        </w:rPr>
        <w:tab/>
      </w:r>
      <w:r w:rsidR="006B0D13">
        <w:rPr>
          <w:rFonts w:ascii="Arial" w:hAnsi="Arial" w:cs="Arial"/>
          <w:color w:val="000000" w:themeColor="text1"/>
          <w:sz w:val="24"/>
          <w:szCs w:val="24"/>
        </w:rPr>
        <w:t>When the matter came before this Court, the Court was called upon to first adjudicate the issue of prescription as raised in the Special Plea. Only one witness testified</w:t>
      </w:r>
      <w:r w:rsidR="009A1BA5">
        <w:rPr>
          <w:rFonts w:ascii="Arial" w:hAnsi="Arial" w:cs="Arial"/>
          <w:color w:val="000000" w:themeColor="text1"/>
          <w:sz w:val="24"/>
          <w:szCs w:val="24"/>
        </w:rPr>
        <w:t xml:space="preserve"> in the process, namely the Second Applicant himself. He was called by the Applicants to testify. After his testimony, the Respondent was not called to the witness stand, and the Respondent’s case was closed.</w:t>
      </w:r>
    </w:p>
    <w:p w14:paraId="1A6EC1FD" w14:textId="77777777" w:rsidR="005548F4" w:rsidRDefault="005548F4" w:rsidP="005548F4">
      <w:pPr>
        <w:tabs>
          <w:tab w:val="left" w:pos="0"/>
        </w:tabs>
        <w:spacing w:after="0" w:line="360" w:lineRule="auto"/>
        <w:ind w:left="720" w:hanging="720"/>
        <w:jc w:val="both"/>
        <w:rPr>
          <w:rFonts w:ascii="Arial" w:hAnsi="Arial" w:cs="Arial"/>
          <w:color w:val="000000" w:themeColor="text1"/>
          <w:sz w:val="24"/>
          <w:szCs w:val="24"/>
        </w:rPr>
      </w:pPr>
    </w:p>
    <w:p w14:paraId="7B614846" w14:textId="435E443A" w:rsidR="007B5032" w:rsidRDefault="00463483" w:rsidP="007B5032">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[8]</w:t>
      </w:r>
      <w:r>
        <w:rPr>
          <w:rFonts w:ascii="Arial" w:hAnsi="Arial" w:cs="Arial"/>
          <w:color w:val="000000" w:themeColor="text1"/>
          <w:sz w:val="24"/>
          <w:szCs w:val="24"/>
        </w:rPr>
        <w:tab/>
      </w:r>
      <w:r w:rsidR="007B5032">
        <w:rPr>
          <w:rFonts w:ascii="Arial" w:hAnsi="Arial" w:cs="Arial"/>
          <w:color w:val="000000" w:themeColor="text1"/>
          <w:sz w:val="24"/>
          <w:szCs w:val="24"/>
        </w:rPr>
        <w:t>In his testimony, and more particularly under cross-examination, the Second Applicant testified the following:</w:t>
      </w:r>
    </w:p>
    <w:p w14:paraId="5F7F4DC1" w14:textId="77777777" w:rsidR="007B5032" w:rsidRDefault="007B5032" w:rsidP="007B5032">
      <w:pPr>
        <w:tabs>
          <w:tab w:val="left" w:pos="0"/>
        </w:tabs>
        <w:spacing w:after="0" w:line="360" w:lineRule="auto"/>
        <w:ind w:left="1440" w:hanging="720"/>
        <w:jc w:val="both"/>
        <w:rPr>
          <w:rFonts w:ascii="Arial" w:hAnsi="Arial" w:cs="Arial"/>
          <w:color w:val="000000" w:themeColor="text1"/>
          <w:sz w:val="24"/>
          <w:szCs w:val="24"/>
        </w:rPr>
      </w:pPr>
    </w:p>
    <w:p w14:paraId="784A93E8" w14:textId="601930A7" w:rsidR="003A254B" w:rsidRDefault="007B5032" w:rsidP="003A254B">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8.1</w:t>
      </w:r>
      <w:r>
        <w:rPr>
          <w:rFonts w:ascii="Arial" w:hAnsi="Arial" w:cs="Arial"/>
          <w:color w:val="000000" w:themeColor="text1"/>
          <w:sz w:val="24"/>
          <w:szCs w:val="24"/>
        </w:rPr>
        <w:tab/>
        <w:t xml:space="preserve">He conceded that the date of 10 June 2015 can be disregarded because                                                                                                       the Respondent was then still under the impression that the case was going to be transferred to the High Court. </w:t>
      </w:r>
    </w:p>
    <w:p w14:paraId="59F2DBF1" w14:textId="77777777" w:rsidR="007B5032" w:rsidRDefault="007B5032" w:rsidP="007B5032">
      <w:pPr>
        <w:tabs>
          <w:tab w:val="left" w:pos="0"/>
        </w:tabs>
        <w:spacing w:after="0" w:line="360" w:lineRule="auto"/>
        <w:ind w:left="1440" w:hanging="731"/>
        <w:jc w:val="both"/>
        <w:rPr>
          <w:rFonts w:ascii="Arial" w:hAnsi="Arial" w:cs="Arial"/>
          <w:color w:val="000000" w:themeColor="text1"/>
          <w:sz w:val="24"/>
          <w:szCs w:val="24"/>
        </w:rPr>
      </w:pPr>
      <w:r>
        <w:rPr>
          <w:rFonts w:ascii="Arial" w:hAnsi="Arial" w:cs="Arial"/>
          <w:color w:val="000000" w:themeColor="text1"/>
          <w:sz w:val="24"/>
          <w:szCs w:val="24"/>
        </w:rPr>
        <w:t>8.2</w:t>
      </w:r>
      <w:r>
        <w:rPr>
          <w:rFonts w:ascii="Arial" w:hAnsi="Arial" w:cs="Arial"/>
          <w:color w:val="000000" w:themeColor="text1"/>
          <w:sz w:val="24"/>
          <w:szCs w:val="24"/>
        </w:rPr>
        <w:tab/>
        <w:t xml:space="preserve">He conceded that the Respondent is a lay person as far as the law is concerned. </w:t>
      </w:r>
    </w:p>
    <w:p w14:paraId="54ECA196" w14:textId="77777777" w:rsidR="007B5032" w:rsidRDefault="007B5032" w:rsidP="007B5032">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8.3</w:t>
      </w:r>
      <w:r>
        <w:rPr>
          <w:rFonts w:ascii="Arial" w:hAnsi="Arial" w:cs="Arial"/>
          <w:color w:val="000000" w:themeColor="text1"/>
          <w:sz w:val="24"/>
          <w:szCs w:val="24"/>
        </w:rPr>
        <w:tab/>
        <w:t xml:space="preserve">When he received the calculations from the actuary in July 2015, he realised that the action instituted in the Regional Court was due to his own negligence. </w:t>
      </w:r>
    </w:p>
    <w:p w14:paraId="14FFED0F" w14:textId="77777777" w:rsidR="007B5032" w:rsidRDefault="007B5032" w:rsidP="007B5032">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8.4</w:t>
      </w:r>
      <w:r>
        <w:rPr>
          <w:rFonts w:ascii="Arial" w:hAnsi="Arial" w:cs="Arial"/>
          <w:color w:val="000000" w:themeColor="text1"/>
          <w:sz w:val="24"/>
          <w:szCs w:val="24"/>
        </w:rPr>
        <w:tab/>
        <w:t xml:space="preserve">He therefore knew in July 2015 that he would be liable should the Respondent claim from him. </w:t>
      </w:r>
    </w:p>
    <w:p w14:paraId="39360BB3" w14:textId="77777777" w:rsidR="007B5032" w:rsidRDefault="007B5032" w:rsidP="007B5032">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8.5</w:t>
      </w:r>
      <w:r>
        <w:rPr>
          <w:rFonts w:ascii="Arial" w:hAnsi="Arial" w:cs="Arial"/>
          <w:color w:val="000000" w:themeColor="text1"/>
          <w:sz w:val="24"/>
          <w:szCs w:val="24"/>
        </w:rPr>
        <w:tab/>
        <w:t xml:space="preserve">On 9 July 2015 he did not inform the Respondent that the limited claim was the result of his negligence, because he did not regard it as his duty to inform her accordingly. He was not aware of such a duty. </w:t>
      </w:r>
    </w:p>
    <w:p w14:paraId="696BB528" w14:textId="77777777" w:rsidR="007B5032" w:rsidRDefault="007B5032" w:rsidP="007B5032">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8.6</w:t>
      </w:r>
      <w:r>
        <w:rPr>
          <w:rFonts w:ascii="Arial" w:hAnsi="Arial" w:cs="Arial"/>
          <w:color w:val="000000" w:themeColor="text1"/>
          <w:sz w:val="24"/>
          <w:szCs w:val="24"/>
        </w:rPr>
        <w:tab/>
        <w:t xml:space="preserve">He also did not regard it as his duty to refer the Respondent to another attorney in the circumstances. </w:t>
      </w:r>
    </w:p>
    <w:p w14:paraId="6411A548" w14:textId="77777777" w:rsidR="007B5032" w:rsidRDefault="007B5032" w:rsidP="007B5032">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8.7</w:t>
      </w:r>
      <w:r>
        <w:rPr>
          <w:rFonts w:ascii="Arial" w:hAnsi="Arial" w:cs="Arial"/>
          <w:color w:val="000000" w:themeColor="text1"/>
          <w:sz w:val="24"/>
          <w:szCs w:val="24"/>
        </w:rPr>
        <w:tab/>
        <w:t>On 9 July 2015 the Respondent was therefore unaware that she could claim from him, but she was aware that she had a bigger claim than the R 400 000.00.</w:t>
      </w:r>
    </w:p>
    <w:p w14:paraId="13FEAEA0" w14:textId="77777777" w:rsidR="007B5032" w:rsidRDefault="007B5032" w:rsidP="007B5032">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8.8</w:t>
      </w:r>
      <w:r>
        <w:rPr>
          <w:rFonts w:ascii="Arial" w:hAnsi="Arial" w:cs="Arial"/>
          <w:color w:val="000000" w:themeColor="text1"/>
          <w:sz w:val="24"/>
          <w:szCs w:val="24"/>
        </w:rPr>
        <w:tab/>
        <w:t>The Respondent did not know on the 9 July 2015 that she could also claim form the First Applicant, because he did not inform her as such. He was not aware of a duty to inform her accordingly.</w:t>
      </w:r>
    </w:p>
    <w:p w14:paraId="2C7DE015" w14:textId="77777777" w:rsidR="007B5032" w:rsidRDefault="007B5032" w:rsidP="007B5032">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lastRenderedPageBreak/>
        <w:t>8.9</w:t>
      </w:r>
      <w:r>
        <w:rPr>
          <w:rFonts w:ascii="Arial" w:hAnsi="Arial" w:cs="Arial"/>
          <w:color w:val="000000" w:themeColor="text1"/>
          <w:sz w:val="24"/>
          <w:szCs w:val="24"/>
        </w:rPr>
        <w:tab/>
        <w:t xml:space="preserve">He created the impression with the Respondent that the limited claim was the result of circumstances beyond his control, and he failed to inform her of his omission relating to the obtaining of reports. </w:t>
      </w:r>
    </w:p>
    <w:p w14:paraId="1830194F" w14:textId="15E14E65" w:rsidR="00FC7B3E" w:rsidRDefault="007B5032" w:rsidP="007B5032">
      <w:pPr>
        <w:tabs>
          <w:tab w:val="left" w:pos="0"/>
        </w:tabs>
        <w:spacing w:after="0" w:line="360" w:lineRule="auto"/>
        <w:ind w:left="1440" w:hanging="731"/>
        <w:jc w:val="both"/>
        <w:rPr>
          <w:rFonts w:ascii="Arial" w:hAnsi="Arial" w:cs="Arial"/>
          <w:color w:val="000000" w:themeColor="text1"/>
          <w:sz w:val="24"/>
          <w:szCs w:val="24"/>
        </w:rPr>
      </w:pPr>
      <w:r>
        <w:rPr>
          <w:rFonts w:ascii="Arial" w:hAnsi="Arial" w:cs="Arial"/>
          <w:color w:val="000000" w:themeColor="text1"/>
          <w:sz w:val="24"/>
          <w:szCs w:val="24"/>
        </w:rPr>
        <w:t>8.10</w:t>
      </w:r>
      <w:r>
        <w:rPr>
          <w:rFonts w:ascii="Arial" w:hAnsi="Arial" w:cs="Arial"/>
          <w:color w:val="000000" w:themeColor="text1"/>
          <w:sz w:val="24"/>
          <w:szCs w:val="24"/>
        </w:rPr>
        <w:tab/>
        <w:t>As a result of her dissatisfaction with the situation, the Respondent consulted with another attorney on 19 July 2016, whereafter she was advised that she potentially had a claim against the Applicants</w:t>
      </w:r>
      <w:r w:rsidR="005548F4">
        <w:rPr>
          <w:rFonts w:ascii="Arial" w:hAnsi="Arial" w:cs="Arial"/>
          <w:color w:val="000000" w:themeColor="text1"/>
          <w:sz w:val="24"/>
          <w:szCs w:val="24"/>
        </w:rPr>
        <w:t>.</w:t>
      </w:r>
    </w:p>
    <w:p w14:paraId="7ACC43B1" w14:textId="77777777" w:rsidR="005548F4" w:rsidRDefault="005548F4" w:rsidP="005548F4">
      <w:pPr>
        <w:tabs>
          <w:tab w:val="left" w:pos="0"/>
        </w:tabs>
        <w:spacing w:after="0" w:line="360" w:lineRule="auto"/>
        <w:ind w:left="720"/>
        <w:jc w:val="both"/>
        <w:rPr>
          <w:rFonts w:ascii="Arial" w:hAnsi="Arial" w:cs="Arial"/>
          <w:color w:val="000000" w:themeColor="text1"/>
          <w:sz w:val="24"/>
          <w:szCs w:val="24"/>
        </w:rPr>
      </w:pPr>
    </w:p>
    <w:p w14:paraId="117E50BF" w14:textId="6E7B7B18" w:rsidR="00FC7B3E" w:rsidRDefault="00FC7B3E" w:rsidP="00FC7B3E">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[9]</w:t>
      </w:r>
      <w:r>
        <w:rPr>
          <w:rFonts w:ascii="Arial" w:hAnsi="Arial" w:cs="Arial"/>
          <w:color w:val="000000" w:themeColor="text1"/>
          <w:sz w:val="24"/>
          <w:szCs w:val="24"/>
        </w:rPr>
        <w:tab/>
      </w:r>
      <w:r w:rsidR="006E29B3">
        <w:rPr>
          <w:rFonts w:ascii="Arial" w:hAnsi="Arial" w:cs="Arial"/>
          <w:color w:val="000000" w:themeColor="text1"/>
          <w:sz w:val="24"/>
          <w:szCs w:val="24"/>
        </w:rPr>
        <w:t xml:space="preserve">This Court then found in the light of this evidence by the Second Applicant that the Respondent did not have all the facts on 9 July 2015, nor did she know that it was the Second Applicant who was responsible for her predicament. The Court found that there was indeed a duty upon Second Applicant to inform the Respondent of these facts, and by his failure to do so, he had wilfully prevented the Respondent to know of the existence of the debt. The Court then found that the Applicants have failed to prove that the Respondent’s claim had become prescribed. </w:t>
      </w:r>
      <w:r w:rsidR="00982F5B">
        <w:rPr>
          <w:rFonts w:ascii="Arial" w:hAnsi="Arial" w:cs="Arial"/>
          <w:color w:val="000000" w:themeColor="text1"/>
          <w:sz w:val="24"/>
          <w:szCs w:val="24"/>
        </w:rPr>
        <w:t xml:space="preserve">This finding was based on the provisions of </w:t>
      </w:r>
      <w:r w:rsidR="00982F5B">
        <w:rPr>
          <w:rFonts w:ascii="Arial" w:hAnsi="Arial" w:cs="Arial"/>
          <w:sz w:val="24"/>
          <w:szCs w:val="24"/>
        </w:rPr>
        <w:t>Section 12 (1), (2) and (3) of the Prescription Act 68 of 1969.</w:t>
      </w:r>
    </w:p>
    <w:p w14:paraId="2F09F6B9" w14:textId="77777777" w:rsidR="005548F4" w:rsidRDefault="005548F4" w:rsidP="00F1572D">
      <w:pPr>
        <w:tabs>
          <w:tab w:val="left" w:pos="0"/>
        </w:tabs>
        <w:spacing w:after="0" w:line="360" w:lineRule="auto"/>
        <w:jc w:val="both"/>
        <w:rPr>
          <w:rFonts w:ascii="Arial" w:hAnsi="Arial" w:cs="Arial"/>
          <w:color w:val="000000" w:themeColor="text1"/>
          <w:sz w:val="24"/>
          <w:szCs w:val="24"/>
        </w:rPr>
      </w:pPr>
    </w:p>
    <w:p w14:paraId="4A607E8A" w14:textId="2C054CF0" w:rsidR="00363879" w:rsidRDefault="00363879" w:rsidP="005548F4">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[10]</w:t>
      </w:r>
      <w:r>
        <w:rPr>
          <w:rFonts w:ascii="Arial" w:hAnsi="Arial" w:cs="Arial"/>
          <w:color w:val="000000" w:themeColor="text1"/>
          <w:sz w:val="24"/>
          <w:szCs w:val="24"/>
        </w:rPr>
        <w:tab/>
      </w:r>
      <w:r w:rsidR="005548F4">
        <w:rPr>
          <w:rFonts w:ascii="Arial" w:hAnsi="Arial" w:cs="Arial"/>
          <w:color w:val="000000" w:themeColor="text1"/>
          <w:sz w:val="24"/>
          <w:szCs w:val="24"/>
        </w:rPr>
        <w:t xml:space="preserve"> </w:t>
      </w:r>
      <w:r w:rsidR="009E1869">
        <w:rPr>
          <w:rFonts w:ascii="Arial" w:hAnsi="Arial" w:cs="Arial"/>
          <w:color w:val="000000" w:themeColor="text1"/>
          <w:sz w:val="24"/>
          <w:szCs w:val="24"/>
        </w:rPr>
        <w:t>At the hearing of this application for leave a number of grounds for the intended appeal were raised on behalf of the Applicants, one of them being that the Court had erred in finding that there was a duty on the Second Applicant to inform the Respondent of his omissions and that she could claim from him. It soon became clear, however, that the main challenge was directed at the Court’s finding that the Respondent did not have the required knowledge on 9 July 2015 to realize that possibly there had been negligence on the side of the Second Applicant, and that the Respondent therefore did not know what caused her predicament on that date.</w:t>
      </w:r>
    </w:p>
    <w:p w14:paraId="7E4E1834" w14:textId="77777777" w:rsidR="005548F4" w:rsidRDefault="005548F4" w:rsidP="005548F4">
      <w:pPr>
        <w:tabs>
          <w:tab w:val="left" w:pos="0"/>
        </w:tabs>
        <w:spacing w:after="0" w:line="360" w:lineRule="auto"/>
        <w:ind w:left="720" w:hanging="720"/>
        <w:jc w:val="both"/>
        <w:rPr>
          <w:rFonts w:ascii="Arial" w:hAnsi="Arial" w:cs="Arial"/>
          <w:color w:val="000000" w:themeColor="text1"/>
          <w:sz w:val="24"/>
          <w:szCs w:val="24"/>
        </w:rPr>
      </w:pPr>
    </w:p>
    <w:p w14:paraId="58311E11" w14:textId="576FB195" w:rsidR="00E85846" w:rsidRDefault="00363879" w:rsidP="005548F4">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[11]</w:t>
      </w:r>
      <w:r>
        <w:rPr>
          <w:rFonts w:ascii="Arial" w:hAnsi="Arial" w:cs="Arial"/>
          <w:color w:val="000000" w:themeColor="text1"/>
          <w:sz w:val="24"/>
          <w:szCs w:val="24"/>
        </w:rPr>
        <w:tab/>
      </w:r>
      <w:r w:rsidR="008F279B">
        <w:rPr>
          <w:rFonts w:ascii="Arial" w:hAnsi="Arial" w:cs="Arial"/>
          <w:color w:val="000000" w:themeColor="text1"/>
          <w:sz w:val="24"/>
          <w:szCs w:val="24"/>
        </w:rPr>
        <w:t xml:space="preserve"> </w:t>
      </w:r>
      <w:r w:rsidR="00E16EE0">
        <w:rPr>
          <w:rFonts w:ascii="Arial" w:hAnsi="Arial" w:cs="Arial"/>
          <w:color w:val="000000" w:themeColor="text1"/>
          <w:sz w:val="24"/>
          <w:szCs w:val="24"/>
        </w:rPr>
        <w:t>Mr. Grobler, appearing for the Applicants, submitted that on 9 July 2015, the Respondent kn</w:t>
      </w:r>
      <w:r w:rsidR="004D32D2">
        <w:rPr>
          <w:rFonts w:ascii="Arial" w:hAnsi="Arial" w:cs="Arial"/>
          <w:color w:val="000000" w:themeColor="text1"/>
          <w:sz w:val="24"/>
          <w:szCs w:val="24"/>
        </w:rPr>
        <w:t>e</w:t>
      </w:r>
      <w:r w:rsidR="00E16EE0">
        <w:rPr>
          <w:rFonts w:ascii="Arial" w:hAnsi="Arial" w:cs="Arial"/>
          <w:color w:val="000000" w:themeColor="text1"/>
          <w:sz w:val="24"/>
          <w:szCs w:val="24"/>
        </w:rPr>
        <w:t xml:space="preserve">w that something had gone wrong. In addition, she knew that her claim was limited in the Regional Court, while the actuarial calculations obtained after the issue of summons in the Regional Court, suggested that her claim was much higher than the limit in that Court. She also knew that her action could not be transferred to, or re-instituted, in the High Court. On the basis of this knowledge, she must have known, or could have established it by the exercise </w:t>
      </w:r>
      <w:r w:rsidR="003C76DB">
        <w:rPr>
          <w:rFonts w:ascii="Arial" w:hAnsi="Arial" w:cs="Arial"/>
          <w:color w:val="000000" w:themeColor="text1"/>
          <w:sz w:val="24"/>
          <w:szCs w:val="24"/>
        </w:rPr>
        <w:t xml:space="preserve">of reasonable care, that she had a claim against her attorney, the </w:t>
      </w:r>
      <w:r w:rsidR="003C76DB">
        <w:rPr>
          <w:rFonts w:ascii="Arial" w:hAnsi="Arial" w:cs="Arial"/>
          <w:color w:val="000000" w:themeColor="text1"/>
          <w:sz w:val="24"/>
          <w:szCs w:val="24"/>
        </w:rPr>
        <w:lastRenderedPageBreak/>
        <w:t>argument went. Mr. Grobler submitted that the specific grounds of negligence were therefore irrelevant in establishing whether the Respondent had the required knowledge.</w:t>
      </w:r>
    </w:p>
    <w:p w14:paraId="4796206A" w14:textId="77777777" w:rsidR="005548F4" w:rsidRDefault="005548F4" w:rsidP="005548F4">
      <w:pPr>
        <w:tabs>
          <w:tab w:val="left" w:pos="0"/>
        </w:tabs>
        <w:spacing w:after="0" w:line="360" w:lineRule="auto"/>
        <w:ind w:left="720" w:hanging="720"/>
        <w:jc w:val="both"/>
        <w:rPr>
          <w:rFonts w:ascii="Arial" w:hAnsi="Arial" w:cs="Arial"/>
          <w:color w:val="000000" w:themeColor="text1"/>
          <w:sz w:val="24"/>
          <w:szCs w:val="24"/>
        </w:rPr>
      </w:pPr>
    </w:p>
    <w:p w14:paraId="3DD06A54" w14:textId="2B280B4A" w:rsidR="00000008" w:rsidRPr="007502AE" w:rsidRDefault="00E85846" w:rsidP="007502AE">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00F91524">
        <w:rPr>
          <w:rFonts w:ascii="Arial" w:hAnsi="Arial" w:cs="Arial"/>
          <w:color w:val="000000" w:themeColor="text1"/>
          <w:sz w:val="24"/>
          <w:szCs w:val="24"/>
        </w:rPr>
        <w:t xml:space="preserve">I respectfully do not agree. In </w:t>
      </w:r>
      <w:r w:rsidR="00F91524" w:rsidRPr="009F2221">
        <w:rPr>
          <w:rFonts w:ascii="Arial" w:hAnsi="Arial" w:cs="Arial"/>
          <w:b/>
          <w:bCs/>
          <w:color w:val="000000" w:themeColor="text1"/>
          <w:sz w:val="24"/>
          <w:szCs w:val="24"/>
        </w:rPr>
        <w:t>Links v Department of Health 2016</w:t>
      </w:r>
      <w:r w:rsidR="00F91524" w:rsidRPr="009F2221">
        <w:rPr>
          <w:b/>
          <w:bCs/>
        </w:rPr>
        <w:t xml:space="preserve"> </w:t>
      </w:r>
      <w:r w:rsidR="00F91524" w:rsidRPr="009F2221">
        <w:rPr>
          <w:rFonts w:ascii="Arial" w:hAnsi="Arial" w:cs="Arial"/>
          <w:b/>
          <w:bCs/>
          <w:sz w:val="24"/>
          <w:szCs w:val="24"/>
        </w:rPr>
        <w:t xml:space="preserve">(4) SA 414 (CC) </w:t>
      </w:r>
      <w:r w:rsidR="00F91524">
        <w:rPr>
          <w:rFonts w:ascii="Arial" w:hAnsi="Arial" w:cs="Arial"/>
          <w:color w:val="000000" w:themeColor="text1"/>
          <w:sz w:val="24"/>
          <w:szCs w:val="24"/>
        </w:rPr>
        <w:t>the Constitutional Court held unanimous</w:t>
      </w:r>
      <w:r w:rsidR="00B60DFD">
        <w:rPr>
          <w:rFonts w:ascii="Arial" w:hAnsi="Arial" w:cs="Arial"/>
          <w:color w:val="000000" w:themeColor="text1"/>
          <w:sz w:val="24"/>
          <w:szCs w:val="24"/>
        </w:rPr>
        <w:t>ly</w:t>
      </w:r>
      <w:r w:rsidR="00F91524">
        <w:rPr>
          <w:rFonts w:ascii="Arial" w:hAnsi="Arial" w:cs="Arial"/>
          <w:color w:val="000000" w:themeColor="text1"/>
          <w:sz w:val="24"/>
          <w:szCs w:val="24"/>
        </w:rPr>
        <w:t xml:space="preserve"> as follows in par 45</w:t>
      </w:r>
      <w:r w:rsidR="00000008">
        <w:rPr>
          <w:rFonts w:ascii="Arial" w:hAnsi="Arial" w:cs="Arial"/>
          <w:color w:val="000000" w:themeColor="text1"/>
          <w:sz w:val="24"/>
          <w:szCs w:val="24"/>
        </w:rPr>
        <w:t xml:space="preserve"> of its Judgement:</w:t>
      </w:r>
      <w:r w:rsidR="007502AE">
        <w:rPr>
          <w:rFonts w:ascii="Arial" w:hAnsi="Arial" w:cs="Arial"/>
          <w:color w:val="000000" w:themeColor="text1"/>
          <w:sz w:val="24"/>
          <w:szCs w:val="24"/>
        </w:rPr>
        <w:t xml:space="preserve"> </w:t>
      </w:r>
      <w:r w:rsidR="00000008" w:rsidRPr="007502AE">
        <w:rPr>
          <w:rFonts w:ascii="Arial" w:hAnsi="Arial" w:cs="Arial"/>
          <w:color w:val="000000" w:themeColor="text1"/>
          <w:sz w:val="24"/>
          <w:szCs w:val="24"/>
        </w:rPr>
        <w:t>“</w:t>
      </w:r>
      <w:r w:rsidR="007502AE" w:rsidRPr="007502AE">
        <w:rPr>
          <w:rFonts w:ascii="Arial" w:hAnsi="Arial" w:cs="Arial"/>
          <w:color w:val="242121"/>
          <w:sz w:val="24"/>
          <w:szCs w:val="24"/>
          <w:shd w:val="clear" w:color="auto" w:fill="FFFFFF"/>
        </w:rPr>
        <w:t>Until the applicant had knowledge of facts that would have led him to think that possibly there had been negligence and that this had caused his disability, he lacked knowledge of the necessary facts contemplated in section 12(3).”</w:t>
      </w:r>
      <w:r w:rsidR="007502AE">
        <w:rPr>
          <w:rFonts w:ascii="Arial" w:hAnsi="Arial" w:cs="Arial"/>
          <w:color w:val="242121"/>
          <w:sz w:val="24"/>
          <w:szCs w:val="24"/>
          <w:shd w:val="clear" w:color="auto" w:fill="FFFFFF"/>
        </w:rPr>
        <w:t xml:space="preserve"> And in par 46 of the Judgement: “</w:t>
      </w:r>
      <w:r w:rsidR="009F2221" w:rsidRPr="009F2221">
        <w:rPr>
          <w:rFonts w:ascii="Arial" w:hAnsi="Arial" w:cs="Arial"/>
          <w:color w:val="242121"/>
          <w:sz w:val="24"/>
          <w:szCs w:val="24"/>
          <w:shd w:val="clear" w:color="auto" w:fill="FFFFFF"/>
        </w:rPr>
        <w:t>A firm finding that the applicant did not know what caused his condition as at 5 August 2006 can, therefore, be justifiably made. That was a material fact that a litigant wishing to sue in a case such as this would need to know.</w:t>
      </w:r>
      <w:r w:rsidR="009F2221">
        <w:rPr>
          <w:rFonts w:ascii="Arial" w:hAnsi="Arial" w:cs="Arial"/>
          <w:color w:val="242121"/>
          <w:sz w:val="24"/>
          <w:szCs w:val="24"/>
          <w:shd w:val="clear" w:color="auto" w:fill="FFFFFF"/>
        </w:rPr>
        <w:t>”</w:t>
      </w:r>
    </w:p>
    <w:p w14:paraId="6D35AD01" w14:textId="35D44517" w:rsidR="005548F4" w:rsidRDefault="00143993" w:rsidP="00DF4B99">
      <w:pPr>
        <w:tabs>
          <w:tab w:val="left" w:pos="0"/>
        </w:tabs>
        <w:spacing w:after="0"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0620704D" w14:textId="633B022E" w:rsidR="000962F1" w:rsidRDefault="00143993" w:rsidP="005548F4">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[13]</w:t>
      </w:r>
      <w:r>
        <w:rPr>
          <w:rFonts w:ascii="Arial" w:hAnsi="Arial" w:cs="Arial"/>
          <w:color w:val="000000" w:themeColor="text1"/>
          <w:sz w:val="24"/>
          <w:szCs w:val="24"/>
        </w:rPr>
        <w:tab/>
        <w:t xml:space="preserve"> </w:t>
      </w:r>
      <w:r w:rsidR="00987F4A">
        <w:rPr>
          <w:rFonts w:ascii="Arial" w:hAnsi="Arial" w:cs="Arial"/>
          <w:color w:val="000000" w:themeColor="text1"/>
          <w:sz w:val="24"/>
          <w:szCs w:val="24"/>
        </w:rPr>
        <w:t xml:space="preserve">In the premises, I am therefore of the view that there is not a reasonable prospect that a court of appeal would come to a </w:t>
      </w:r>
      <w:r w:rsidR="00066BFF">
        <w:rPr>
          <w:rFonts w:ascii="Arial" w:hAnsi="Arial" w:cs="Arial"/>
          <w:color w:val="000000" w:themeColor="text1"/>
          <w:sz w:val="24"/>
          <w:szCs w:val="24"/>
        </w:rPr>
        <w:t xml:space="preserve">different conclusion on this main point of contention. As for this Court’s finding on the duty of an attorney, the reality remains that the Second </w:t>
      </w:r>
      <w:r w:rsidR="0079186F">
        <w:rPr>
          <w:rFonts w:ascii="Arial" w:hAnsi="Arial" w:cs="Arial"/>
          <w:color w:val="000000" w:themeColor="text1"/>
          <w:sz w:val="24"/>
          <w:szCs w:val="24"/>
        </w:rPr>
        <w:t xml:space="preserve">Applicant did not inform the Respondent of the facts, whether he had the duty to inform her as such, or not. Consequently, I do not think that this ground of appeal has the potential of altering the outcome of the proceedings on appeal. The remaining grounds of appeal, for instance </w:t>
      </w:r>
      <w:r w:rsidR="00522C30">
        <w:rPr>
          <w:rFonts w:ascii="Arial" w:hAnsi="Arial" w:cs="Arial"/>
          <w:color w:val="000000" w:themeColor="text1"/>
          <w:sz w:val="24"/>
          <w:szCs w:val="24"/>
        </w:rPr>
        <w:t>that the Court has erred in respect of certain facts of the case fall in the same category, in my view.</w:t>
      </w:r>
      <w:r w:rsidR="00B60DFD">
        <w:rPr>
          <w:rFonts w:ascii="Arial" w:hAnsi="Arial" w:cs="Arial"/>
          <w:color w:val="000000" w:themeColor="text1"/>
          <w:sz w:val="24"/>
          <w:szCs w:val="24"/>
        </w:rPr>
        <w:t xml:space="preserve"> For instance, it was submitted that this Court should have taken into account that the Respondent was never called to testify about the knowledge she had on 9 July 2015, and that the Court should have held it against her. However, the onus of proof was on the Applicants, and not </w:t>
      </w:r>
      <w:r w:rsidR="00144333">
        <w:rPr>
          <w:rFonts w:ascii="Arial" w:hAnsi="Arial" w:cs="Arial"/>
          <w:color w:val="000000" w:themeColor="text1"/>
          <w:sz w:val="24"/>
          <w:szCs w:val="24"/>
        </w:rPr>
        <w:t xml:space="preserve">on </w:t>
      </w:r>
      <w:r w:rsidR="00B60DFD">
        <w:rPr>
          <w:rFonts w:ascii="Arial" w:hAnsi="Arial" w:cs="Arial"/>
          <w:color w:val="000000" w:themeColor="text1"/>
          <w:sz w:val="24"/>
          <w:szCs w:val="24"/>
        </w:rPr>
        <w:t>the Respondent. The Respondent probably felt that it was not necessary to testify in view of what the Second Applicant had testified.</w:t>
      </w:r>
    </w:p>
    <w:p w14:paraId="69FCB4B9" w14:textId="77777777" w:rsidR="005548F4" w:rsidRDefault="005548F4" w:rsidP="005548F4">
      <w:pPr>
        <w:tabs>
          <w:tab w:val="left" w:pos="0"/>
        </w:tabs>
        <w:spacing w:after="0" w:line="360" w:lineRule="auto"/>
        <w:ind w:left="720" w:hanging="720"/>
        <w:jc w:val="both"/>
        <w:rPr>
          <w:rFonts w:ascii="Arial" w:hAnsi="Arial" w:cs="Arial"/>
          <w:color w:val="000000" w:themeColor="text1"/>
          <w:sz w:val="24"/>
          <w:szCs w:val="24"/>
        </w:rPr>
      </w:pPr>
    </w:p>
    <w:p w14:paraId="6DBE3A2F" w14:textId="77F9A704" w:rsidR="00EB2F5E" w:rsidRDefault="000962F1" w:rsidP="000962F1">
      <w:pPr>
        <w:tabs>
          <w:tab w:val="left" w:pos="0"/>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[14]</w:t>
      </w:r>
      <w:r>
        <w:rPr>
          <w:rFonts w:ascii="Arial" w:hAnsi="Arial" w:cs="Arial"/>
          <w:color w:val="000000" w:themeColor="text1"/>
          <w:sz w:val="24"/>
          <w:szCs w:val="24"/>
        </w:rPr>
        <w:tab/>
      </w:r>
      <w:r w:rsidR="00A55450">
        <w:rPr>
          <w:rFonts w:ascii="Arial" w:hAnsi="Arial" w:cs="Arial"/>
          <w:color w:val="000000" w:themeColor="text1"/>
          <w:sz w:val="24"/>
          <w:szCs w:val="24"/>
        </w:rPr>
        <w:t xml:space="preserve">There are two remaining grounds of appeal, however, that needs to be mentioned. The first is that the Court erred by ordering </w:t>
      </w:r>
      <w:r w:rsidR="00D0617E">
        <w:rPr>
          <w:rFonts w:ascii="Arial" w:hAnsi="Arial" w:cs="Arial"/>
          <w:color w:val="000000" w:themeColor="text1"/>
          <w:sz w:val="24"/>
          <w:szCs w:val="24"/>
        </w:rPr>
        <w:t xml:space="preserve">the Applicants to pay costs on a punitive scale. This order of costs was made because the Applicants persisted in their Special Plea on prescription while the Second </w:t>
      </w:r>
      <w:r w:rsidR="00E710C3">
        <w:rPr>
          <w:rFonts w:ascii="Arial" w:hAnsi="Arial" w:cs="Arial"/>
          <w:color w:val="000000" w:themeColor="text1"/>
          <w:sz w:val="24"/>
          <w:szCs w:val="24"/>
        </w:rPr>
        <w:t>Applicant</w:t>
      </w:r>
      <w:r w:rsidR="00D0617E">
        <w:rPr>
          <w:rFonts w:ascii="Arial" w:hAnsi="Arial" w:cs="Arial"/>
          <w:color w:val="000000" w:themeColor="text1"/>
          <w:sz w:val="24"/>
          <w:szCs w:val="24"/>
        </w:rPr>
        <w:t xml:space="preserve"> was well aware of the fact that he had withheld crucial information from the Respondent, which caused her to lack the necessary knowledge to the effect </w:t>
      </w:r>
      <w:r w:rsidR="00D0617E">
        <w:rPr>
          <w:rFonts w:ascii="Arial" w:hAnsi="Arial" w:cs="Arial"/>
          <w:color w:val="000000" w:themeColor="text1"/>
          <w:sz w:val="24"/>
          <w:szCs w:val="24"/>
        </w:rPr>
        <w:lastRenderedPageBreak/>
        <w:t>that there had been negligence on the part of her attorney. This Court found that in such circumstances, the Respondent should not be left out of pocket.</w:t>
      </w:r>
    </w:p>
    <w:p w14:paraId="7BE67854" w14:textId="77777777" w:rsidR="00C63E83" w:rsidRDefault="00C63E83" w:rsidP="000962F1">
      <w:pPr>
        <w:tabs>
          <w:tab w:val="left" w:pos="0"/>
        </w:tabs>
        <w:spacing w:after="0" w:line="360" w:lineRule="auto"/>
        <w:ind w:left="720" w:hanging="720"/>
        <w:jc w:val="both"/>
        <w:rPr>
          <w:rFonts w:ascii="Arial" w:hAnsi="Arial" w:cs="Arial"/>
          <w:color w:val="000000" w:themeColor="text1"/>
          <w:sz w:val="24"/>
          <w:szCs w:val="24"/>
        </w:rPr>
      </w:pPr>
    </w:p>
    <w:p w14:paraId="7ED9554C" w14:textId="1D5F8C59" w:rsidR="00FF3D1E" w:rsidRDefault="00EB2F5E" w:rsidP="00FF3D1E">
      <w:pPr>
        <w:spacing w:after="0" w:line="360" w:lineRule="auto"/>
        <w:ind w:left="720" w:hanging="720"/>
        <w:rPr>
          <w:rStyle w:val="Citation"/>
          <w:rFonts w:ascii="Arial" w:eastAsia="MS Mincho" w:hAnsi="Arial" w:cs="Arial"/>
          <w:sz w:val="24"/>
          <w:szCs w:val="24"/>
        </w:rPr>
      </w:pPr>
      <w:r>
        <w:rPr>
          <w:rFonts w:ascii="Arial" w:hAnsi="Arial" w:cs="Arial"/>
          <w:color w:val="000000" w:themeColor="text1"/>
          <w:sz w:val="24"/>
          <w:szCs w:val="24"/>
        </w:rPr>
        <w:t>[15]</w:t>
      </w:r>
      <w:r>
        <w:rPr>
          <w:rFonts w:ascii="Arial" w:hAnsi="Arial" w:cs="Arial"/>
          <w:color w:val="000000" w:themeColor="text1"/>
          <w:sz w:val="24"/>
          <w:szCs w:val="24"/>
        </w:rPr>
        <w:tab/>
      </w:r>
      <w:r w:rsidR="00765670">
        <w:rPr>
          <w:rFonts w:ascii="Arial" w:hAnsi="Arial" w:cs="Arial"/>
          <w:color w:val="000000" w:themeColor="text1"/>
          <w:sz w:val="24"/>
          <w:szCs w:val="24"/>
        </w:rPr>
        <w:t xml:space="preserve">The second is that this Court erred by ordering the Applicants to pay the fees of a witness by the name of Weideman. Now Weideman did not testify in the proceedings, but he was present at the Court as an expert attorney </w:t>
      </w:r>
      <w:r w:rsidR="00A55450">
        <w:rPr>
          <w:rFonts w:ascii="Arial" w:hAnsi="Arial" w:cs="Arial"/>
          <w:color w:val="000000" w:themeColor="text1"/>
          <w:sz w:val="24"/>
          <w:szCs w:val="24"/>
        </w:rPr>
        <w:t>to testify that the Second Applicant was negligent in the conduct of the Respondent’s case. After the testimony of the Second Applicant, the Respondent obviously did not regard it necessary to call him anymore. As far as these two grounds are concerned, I therefore do not think that there is a reasonable prospect that another court would come to different conclusion.</w:t>
      </w:r>
    </w:p>
    <w:p w14:paraId="4744C7F5" w14:textId="5ED31315" w:rsidR="00FF3D1E" w:rsidRDefault="00FF3D1E" w:rsidP="00FF3D1E">
      <w:pPr>
        <w:spacing w:after="0" w:line="360" w:lineRule="auto"/>
        <w:ind w:left="720" w:hanging="720"/>
        <w:rPr>
          <w:rStyle w:val="Citation"/>
          <w:rFonts w:ascii="Arial" w:eastAsia="MS Mincho" w:hAnsi="Arial" w:cs="Arial"/>
          <w:sz w:val="24"/>
          <w:szCs w:val="24"/>
        </w:rPr>
      </w:pPr>
    </w:p>
    <w:p w14:paraId="0A0A7ABD" w14:textId="3B63B58D" w:rsidR="0067462D" w:rsidRDefault="00FF3D1E" w:rsidP="005513C1">
      <w:pPr>
        <w:widowControl w:val="0"/>
        <w:autoSpaceDE w:val="0"/>
        <w:autoSpaceDN w:val="0"/>
        <w:adjustRightInd w:val="0"/>
        <w:spacing w:after="0" w:line="360" w:lineRule="auto"/>
        <w:ind w:left="720" w:hanging="720"/>
        <w:jc w:val="both"/>
        <w:rPr>
          <w:rFonts w:ascii="Arial" w:hAnsi="Arial" w:cs="Arial"/>
          <w:sz w:val="24"/>
          <w:szCs w:val="24"/>
        </w:rPr>
      </w:pPr>
      <w:r>
        <w:rPr>
          <w:rStyle w:val="Citation"/>
          <w:rFonts w:ascii="Arial" w:eastAsia="MS Mincho" w:hAnsi="Arial" w:cs="Arial"/>
          <w:sz w:val="24"/>
          <w:szCs w:val="24"/>
        </w:rPr>
        <w:t>[16]</w:t>
      </w:r>
      <w:r>
        <w:rPr>
          <w:rStyle w:val="Citation"/>
          <w:rFonts w:ascii="Arial" w:eastAsia="MS Mincho" w:hAnsi="Arial" w:cs="Arial"/>
          <w:sz w:val="24"/>
          <w:szCs w:val="24"/>
        </w:rPr>
        <w:tab/>
      </w:r>
      <w:r w:rsidR="005513C1">
        <w:rPr>
          <w:rFonts w:ascii="Arial" w:hAnsi="Arial" w:cs="Arial"/>
          <w:sz w:val="24"/>
          <w:szCs w:val="24"/>
        </w:rPr>
        <w:t>In the premises, the following order is made:</w:t>
      </w:r>
      <w:r w:rsidR="0067462D">
        <w:rPr>
          <w:rFonts w:ascii="Arial" w:hAnsi="Arial" w:cs="Arial"/>
          <w:sz w:val="24"/>
          <w:szCs w:val="24"/>
        </w:rPr>
        <w:tab/>
        <w:t xml:space="preserve"> </w:t>
      </w:r>
    </w:p>
    <w:p w14:paraId="0F85CF01" w14:textId="77777777" w:rsidR="00C63E83" w:rsidRDefault="00C63E83" w:rsidP="0067462D">
      <w:pPr>
        <w:widowControl w:val="0"/>
        <w:autoSpaceDE w:val="0"/>
        <w:autoSpaceDN w:val="0"/>
        <w:adjustRightInd w:val="0"/>
        <w:spacing w:after="0" w:line="360" w:lineRule="auto"/>
        <w:jc w:val="both"/>
        <w:rPr>
          <w:rFonts w:ascii="Arial" w:hAnsi="Arial" w:cs="Arial"/>
          <w:sz w:val="24"/>
          <w:szCs w:val="24"/>
        </w:rPr>
      </w:pPr>
    </w:p>
    <w:p w14:paraId="16E37DF7" w14:textId="2BD2CEE4" w:rsidR="00DE299E" w:rsidRDefault="0067462D" w:rsidP="005513C1">
      <w:pPr>
        <w:widowControl w:val="0"/>
        <w:autoSpaceDE w:val="0"/>
        <w:autoSpaceDN w:val="0"/>
        <w:adjustRightInd w:val="0"/>
        <w:spacing w:after="0" w:line="36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w:t>
      </w:r>
      <w:r w:rsidR="005513C1">
        <w:rPr>
          <w:rFonts w:ascii="Arial" w:hAnsi="Arial" w:cs="Arial"/>
          <w:sz w:val="24"/>
          <w:szCs w:val="24"/>
        </w:rPr>
        <w:t>Application for leave to appeal is dismissed with costs.</w:t>
      </w:r>
    </w:p>
    <w:p w14:paraId="38148B99" w14:textId="0977055E" w:rsidR="005C4C12" w:rsidRPr="00EB2564" w:rsidRDefault="005C4C12" w:rsidP="005548F4">
      <w:pPr>
        <w:spacing w:line="276" w:lineRule="auto"/>
        <w:rPr>
          <w:rFonts w:ascii="Arial" w:hAnsi="Arial" w:cs="Arial"/>
          <w:sz w:val="24"/>
          <w:szCs w:val="24"/>
        </w:rPr>
      </w:pPr>
    </w:p>
    <w:p w14:paraId="37907B89" w14:textId="04832EEF" w:rsidR="00F53342" w:rsidRDefault="00F53342" w:rsidP="005548F4">
      <w:pPr>
        <w:spacing w:after="0" w:line="276" w:lineRule="auto"/>
        <w:ind w:left="720" w:hanging="720"/>
        <w:jc w:val="right"/>
        <w:rPr>
          <w:rFonts w:ascii="Arial" w:hAnsi="Arial" w:cs="Arial"/>
          <w:sz w:val="24"/>
          <w:szCs w:val="24"/>
        </w:rPr>
      </w:pPr>
    </w:p>
    <w:p w14:paraId="0D24969A" w14:textId="10380FDD" w:rsidR="00054163" w:rsidRDefault="00054163" w:rsidP="005548F4">
      <w:pPr>
        <w:spacing w:after="0" w:line="276" w:lineRule="auto"/>
        <w:ind w:left="720" w:hanging="720"/>
        <w:jc w:val="right"/>
        <w:rPr>
          <w:rFonts w:ascii="Arial" w:hAnsi="Arial" w:cs="Arial"/>
          <w:sz w:val="24"/>
          <w:szCs w:val="24"/>
        </w:rPr>
      </w:pPr>
    </w:p>
    <w:p w14:paraId="51C53E17" w14:textId="16EBEA06" w:rsidR="00764923" w:rsidRDefault="00764923" w:rsidP="005548F4">
      <w:pPr>
        <w:spacing w:after="0" w:line="276" w:lineRule="auto"/>
        <w:ind w:left="720" w:hanging="720"/>
        <w:jc w:val="right"/>
        <w:rPr>
          <w:rFonts w:ascii="Arial" w:hAnsi="Arial" w:cs="Arial"/>
          <w:sz w:val="24"/>
          <w:szCs w:val="24"/>
        </w:rPr>
      </w:pPr>
    </w:p>
    <w:p w14:paraId="35010722" w14:textId="3AC837ED" w:rsidR="00764923" w:rsidRDefault="00764923" w:rsidP="00906A2E">
      <w:pPr>
        <w:spacing w:after="0" w:line="276" w:lineRule="auto"/>
        <w:rPr>
          <w:rFonts w:ascii="Arial" w:hAnsi="Arial" w:cs="Arial"/>
          <w:sz w:val="24"/>
          <w:szCs w:val="24"/>
        </w:rPr>
      </w:pPr>
    </w:p>
    <w:p w14:paraId="2E164B87" w14:textId="77777777" w:rsidR="00D85467" w:rsidRDefault="00D85467" w:rsidP="005548F4">
      <w:pPr>
        <w:spacing w:after="0" w:line="276" w:lineRule="auto"/>
        <w:ind w:left="720" w:hanging="720"/>
        <w:jc w:val="right"/>
        <w:rPr>
          <w:rFonts w:ascii="Arial" w:hAnsi="Arial" w:cs="Arial"/>
          <w:sz w:val="24"/>
          <w:szCs w:val="24"/>
        </w:rPr>
      </w:pPr>
    </w:p>
    <w:p w14:paraId="284A83F2" w14:textId="2AA8DF5D" w:rsidR="00091DAB" w:rsidRPr="00EB2564" w:rsidRDefault="005E7F11" w:rsidP="005548F4">
      <w:pPr>
        <w:spacing w:after="0" w:line="276" w:lineRule="auto"/>
        <w:ind w:left="720" w:hanging="720"/>
        <w:jc w:val="right"/>
        <w:rPr>
          <w:rFonts w:ascii="Arial" w:hAnsi="Arial" w:cs="Arial"/>
          <w:sz w:val="24"/>
          <w:szCs w:val="24"/>
        </w:rPr>
      </w:pPr>
      <w:r w:rsidRPr="00EB2564">
        <w:rPr>
          <w:rFonts w:ascii="Arial" w:hAnsi="Arial" w:cs="Arial"/>
          <w:sz w:val="24"/>
          <w:szCs w:val="24"/>
        </w:rPr>
        <w:t>_</w:t>
      </w:r>
      <w:r w:rsidR="00091DAB" w:rsidRPr="00EB2564">
        <w:rPr>
          <w:rFonts w:ascii="Arial" w:hAnsi="Arial" w:cs="Arial"/>
          <w:sz w:val="24"/>
          <w:szCs w:val="24"/>
        </w:rPr>
        <w:t>______________</w:t>
      </w:r>
    </w:p>
    <w:p w14:paraId="4DB494D5" w14:textId="1C3C4C59" w:rsidR="00091DAB" w:rsidRDefault="005E7F11" w:rsidP="005548F4">
      <w:pPr>
        <w:spacing w:after="0" w:line="276" w:lineRule="auto"/>
        <w:ind w:left="720" w:hanging="720"/>
        <w:jc w:val="right"/>
        <w:rPr>
          <w:rFonts w:ascii="Arial" w:hAnsi="Arial" w:cs="Arial"/>
          <w:sz w:val="24"/>
          <w:szCs w:val="24"/>
        </w:rPr>
      </w:pPr>
      <w:r w:rsidRPr="00EB2564">
        <w:rPr>
          <w:rFonts w:ascii="Arial" w:hAnsi="Arial" w:cs="Arial"/>
          <w:sz w:val="24"/>
          <w:szCs w:val="24"/>
        </w:rPr>
        <w:t>P. J. LOUBSER</w:t>
      </w:r>
      <w:r w:rsidR="00091DAB" w:rsidRPr="00EB2564">
        <w:rPr>
          <w:rFonts w:ascii="Arial" w:hAnsi="Arial" w:cs="Arial"/>
          <w:sz w:val="24"/>
          <w:szCs w:val="24"/>
        </w:rPr>
        <w:t>, J</w:t>
      </w:r>
    </w:p>
    <w:p w14:paraId="2E075850" w14:textId="66BE23E9" w:rsidR="00507BFF" w:rsidRPr="00EB2564" w:rsidRDefault="00507BFF" w:rsidP="005548F4">
      <w:pPr>
        <w:tabs>
          <w:tab w:val="left" w:pos="1701"/>
        </w:tabs>
        <w:spacing w:line="276" w:lineRule="auto"/>
        <w:rPr>
          <w:rFonts w:ascii="Arial" w:hAnsi="Arial" w:cs="Arial"/>
          <w:color w:val="000000" w:themeColor="text1"/>
          <w:sz w:val="24"/>
          <w:szCs w:val="24"/>
        </w:rPr>
      </w:pPr>
    </w:p>
    <w:p w14:paraId="6AD3C53C" w14:textId="7EA65756" w:rsidR="00711C20" w:rsidRPr="00EB2564" w:rsidRDefault="00DE299E" w:rsidP="005548F4">
      <w:pPr>
        <w:tabs>
          <w:tab w:val="left" w:pos="1701"/>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For the </w:t>
      </w:r>
      <w:r w:rsidR="005513C1">
        <w:rPr>
          <w:rFonts w:ascii="Arial" w:hAnsi="Arial" w:cs="Arial"/>
          <w:color w:val="000000" w:themeColor="text1"/>
          <w:sz w:val="24"/>
          <w:szCs w:val="24"/>
        </w:rPr>
        <w:t>Applicants</w:t>
      </w:r>
      <w:r w:rsidR="00091DAB" w:rsidRPr="00EB2564">
        <w:rPr>
          <w:rFonts w:ascii="Arial" w:hAnsi="Arial" w:cs="Arial"/>
          <w:color w:val="000000" w:themeColor="text1"/>
          <w:sz w:val="24"/>
          <w:szCs w:val="24"/>
        </w:rPr>
        <w:t>:</w:t>
      </w:r>
      <w:r w:rsidR="00091DAB" w:rsidRPr="00EB2564">
        <w:rPr>
          <w:rFonts w:ascii="Arial" w:hAnsi="Arial" w:cs="Arial"/>
          <w:color w:val="000000" w:themeColor="text1"/>
          <w:sz w:val="24"/>
          <w:szCs w:val="24"/>
        </w:rPr>
        <w:tab/>
      </w:r>
      <w:r w:rsidR="00091DAB" w:rsidRPr="00EB2564">
        <w:rPr>
          <w:rFonts w:ascii="Arial" w:hAnsi="Arial" w:cs="Arial"/>
          <w:color w:val="000000" w:themeColor="text1"/>
          <w:sz w:val="24"/>
          <w:szCs w:val="24"/>
        </w:rPr>
        <w:tab/>
      </w:r>
      <w:r w:rsidR="00091DAB" w:rsidRPr="00EB2564">
        <w:rPr>
          <w:rFonts w:ascii="Arial" w:hAnsi="Arial" w:cs="Arial"/>
          <w:color w:val="000000" w:themeColor="text1"/>
          <w:sz w:val="24"/>
          <w:szCs w:val="24"/>
        </w:rPr>
        <w:tab/>
      </w:r>
      <w:r w:rsidR="005513C1" w:rsidRPr="00EB2564">
        <w:rPr>
          <w:rFonts w:ascii="Arial" w:hAnsi="Arial" w:cs="Arial"/>
          <w:color w:val="000000" w:themeColor="text1"/>
          <w:sz w:val="24"/>
          <w:szCs w:val="24"/>
        </w:rPr>
        <w:t xml:space="preserve">Adv. </w:t>
      </w:r>
      <w:r w:rsidR="006B0B94">
        <w:rPr>
          <w:rFonts w:ascii="Arial" w:hAnsi="Arial" w:cs="Arial"/>
          <w:color w:val="000000" w:themeColor="text1"/>
          <w:sz w:val="24"/>
          <w:szCs w:val="24"/>
        </w:rPr>
        <w:t xml:space="preserve">J. </w:t>
      </w:r>
      <w:r w:rsidR="005513C1">
        <w:rPr>
          <w:rFonts w:ascii="Arial" w:hAnsi="Arial" w:cs="Arial"/>
          <w:color w:val="000000" w:themeColor="text1"/>
          <w:sz w:val="24"/>
          <w:szCs w:val="24"/>
        </w:rPr>
        <w:t>F. Grobler SC</w:t>
      </w:r>
      <w:r>
        <w:rPr>
          <w:rFonts w:ascii="Arial" w:hAnsi="Arial" w:cs="Arial"/>
          <w:color w:val="000000" w:themeColor="text1"/>
          <w:sz w:val="24"/>
          <w:szCs w:val="24"/>
        </w:rPr>
        <w:t xml:space="preserve">         </w:t>
      </w:r>
    </w:p>
    <w:p w14:paraId="59427646" w14:textId="3E904288" w:rsidR="00711C20" w:rsidRDefault="00711C20" w:rsidP="006B0B94">
      <w:pPr>
        <w:tabs>
          <w:tab w:val="left" w:pos="1701"/>
        </w:tabs>
        <w:spacing w:line="276" w:lineRule="auto"/>
        <w:ind w:left="851" w:hanging="851"/>
        <w:jc w:val="both"/>
        <w:rPr>
          <w:rFonts w:ascii="Arial" w:hAnsi="Arial" w:cs="Arial"/>
          <w:color w:val="000000" w:themeColor="text1"/>
          <w:sz w:val="24"/>
          <w:szCs w:val="24"/>
        </w:rPr>
      </w:pPr>
      <w:r w:rsidRPr="00EB2564">
        <w:rPr>
          <w:rFonts w:ascii="Arial" w:hAnsi="Arial" w:cs="Arial"/>
          <w:color w:val="000000" w:themeColor="text1"/>
          <w:sz w:val="24"/>
          <w:szCs w:val="24"/>
        </w:rPr>
        <w:t>Instructed by:</w:t>
      </w:r>
      <w:r w:rsidR="006B0B94">
        <w:rPr>
          <w:rFonts w:ascii="Arial" w:hAnsi="Arial" w:cs="Arial"/>
          <w:color w:val="000000" w:themeColor="text1"/>
          <w:sz w:val="24"/>
          <w:szCs w:val="24"/>
        </w:rPr>
        <w:tab/>
      </w:r>
      <w:r w:rsidR="006B0B94">
        <w:rPr>
          <w:rFonts w:ascii="Arial" w:hAnsi="Arial" w:cs="Arial"/>
          <w:color w:val="000000" w:themeColor="text1"/>
          <w:sz w:val="24"/>
          <w:szCs w:val="24"/>
        </w:rPr>
        <w:tab/>
      </w:r>
      <w:r w:rsidR="00DE299E">
        <w:rPr>
          <w:rFonts w:ascii="Arial" w:hAnsi="Arial" w:cs="Arial"/>
          <w:color w:val="000000" w:themeColor="text1"/>
          <w:sz w:val="24"/>
          <w:szCs w:val="24"/>
        </w:rPr>
        <w:tab/>
      </w:r>
      <w:r w:rsidR="00DE299E">
        <w:rPr>
          <w:rFonts w:ascii="Arial" w:hAnsi="Arial" w:cs="Arial"/>
          <w:color w:val="000000" w:themeColor="text1"/>
          <w:sz w:val="24"/>
          <w:szCs w:val="24"/>
        </w:rPr>
        <w:tab/>
      </w:r>
      <w:r w:rsidR="006B0B94">
        <w:rPr>
          <w:rFonts w:ascii="Arial" w:hAnsi="Arial" w:cs="Arial"/>
          <w:color w:val="000000" w:themeColor="text1"/>
          <w:sz w:val="24"/>
          <w:szCs w:val="24"/>
        </w:rPr>
        <w:t>Ditsela Inc. Attorneys, Pretoria</w:t>
      </w:r>
    </w:p>
    <w:p w14:paraId="1D46B244" w14:textId="049DE776" w:rsidR="00FD3E8A" w:rsidRDefault="00DE299E" w:rsidP="00FD3E8A">
      <w:pPr>
        <w:tabs>
          <w:tab w:val="left" w:pos="1701"/>
        </w:tabs>
        <w:spacing w:line="276" w:lineRule="auto"/>
        <w:ind w:left="3544" w:hanging="354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6B0B94">
        <w:rPr>
          <w:rFonts w:ascii="Arial" w:hAnsi="Arial" w:cs="Arial"/>
          <w:color w:val="000000" w:themeColor="text1"/>
          <w:sz w:val="24"/>
          <w:szCs w:val="24"/>
        </w:rPr>
        <w:t xml:space="preserve"> c/o Phatshoane Henney Attorneys, </w:t>
      </w:r>
      <w:r w:rsidR="006B0B94" w:rsidRPr="00EB2564">
        <w:rPr>
          <w:rFonts w:ascii="Arial" w:hAnsi="Arial" w:cs="Arial"/>
          <w:color w:val="000000" w:themeColor="text1"/>
          <w:sz w:val="24"/>
          <w:szCs w:val="24"/>
        </w:rPr>
        <w:t>Bloemfontein</w:t>
      </w:r>
    </w:p>
    <w:p w14:paraId="2DBAAC58" w14:textId="77777777" w:rsidR="00054163" w:rsidRPr="00EB2564" w:rsidRDefault="00054163" w:rsidP="00FD3E8A">
      <w:pPr>
        <w:tabs>
          <w:tab w:val="left" w:pos="1701"/>
        </w:tabs>
        <w:spacing w:line="276" w:lineRule="auto"/>
        <w:ind w:left="3544" w:hanging="3544"/>
        <w:jc w:val="both"/>
        <w:rPr>
          <w:rFonts w:ascii="Arial" w:hAnsi="Arial" w:cs="Arial"/>
          <w:color w:val="000000" w:themeColor="text1"/>
          <w:sz w:val="24"/>
          <w:szCs w:val="24"/>
        </w:rPr>
      </w:pPr>
    </w:p>
    <w:p w14:paraId="1F190D95" w14:textId="38C0E546" w:rsidR="00711C20" w:rsidRPr="00EB2564" w:rsidRDefault="007C2D09" w:rsidP="005548F4">
      <w:pPr>
        <w:tabs>
          <w:tab w:val="left" w:pos="1701"/>
        </w:tabs>
        <w:spacing w:line="276" w:lineRule="auto"/>
        <w:ind w:left="851" w:hanging="851"/>
        <w:jc w:val="both"/>
        <w:rPr>
          <w:rFonts w:ascii="Arial" w:hAnsi="Arial" w:cs="Arial"/>
          <w:color w:val="000000" w:themeColor="text1"/>
          <w:sz w:val="24"/>
          <w:szCs w:val="24"/>
        </w:rPr>
      </w:pPr>
      <w:r w:rsidRPr="00EB2564">
        <w:rPr>
          <w:rFonts w:ascii="Arial" w:hAnsi="Arial" w:cs="Arial"/>
          <w:color w:val="000000" w:themeColor="text1"/>
          <w:sz w:val="24"/>
          <w:szCs w:val="24"/>
        </w:rPr>
        <w:t>F</w:t>
      </w:r>
      <w:r w:rsidR="00182D08">
        <w:rPr>
          <w:rFonts w:ascii="Arial" w:hAnsi="Arial" w:cs="Arial"/>
          <w:color w:val="000000" w:themeColor="text1"/>
          <w:sz w:val="24"/>
          <w:szCs w:val="24"/>
        </w:rPr>
        <w:t>or</w:t>
      </w:r>
      <w:r w:rsidR="00DE299E">
        <w:rPr>
          <w:rFonts w:ascii="Arial" w:hAnsi="Arial" w:cs="Arial"/>
          <w:color w:val="000000" w:themeColor="text1"/>
          <w:sz w:val="24"/>
          <w:szCs w:val="24"/>
        </w:rPr>
        <w:t xml:space="preserve"> the </w:t>
      </w:r>
      <w:r w:rsidR="00253130">
        <w:rPr>
          <w:rFonts w:ascii="Arial" w:hAnsi="Arial" w:cs="Arial"/>
          <w:color w:val="000000" w:themeColor="text1"/>
          <w:sz w:val="24"/>
          <w:szCs w:val="24"/>
        </w:rPr>
        <w:t>Respondent</w:t>
      </w:r>
      <w:r w:rsidR="004303A5" w:rsidRPr="00EB2564">
        <w:rPr>
          <w:rFonts w:ascii="Arial" w:hAnsi="Arial" w:cs="Arial"/>
          <w:color w:val="000000" w:themeColor="text1"/>
          <w:sz w:val="24"/>
          <w:szCs w:val="24"/>
        </w:rPr>
        <w:t>:</w:t>
      </w:r>
      <w:r w:rsidR="004303A5" w:rsidRPr="00EB2564">
        <w:rPr>
          <w:rFonts w:ascii="Arial" w:hAnsi="Arial" w:cs="Arial"/>
          <w:color w:val="000000" w:themeColor="text1"/>
          <w:sz w:val="24"/>
          <w:szCs w:val="24"/>
        </w:rPr>
        <w:tab/>
      </w:r>
      <w:r w:rsidR="00EB2564">
        <w:rPr>
          <w:rFonts w:ascii="Arial" w:hAnsi="Arial" w:cs="Arial"/>
          <w:color w:val="000000" w:themeColor="text1"/>
          <w:sz w:val="24"/>
          <w:szCs w:val="24"/>
        </w:rPr>
        <w:tab/>
      </w:r>
      <w:r w:rsidR="005513C1" w:rsidRPr="00EB2564">
        <w:rPr>
          <w:rFonts w:ascii="Arial" w:hAnsi="Arial" w:cs="Arial"/>
          <w:color w:val="000000" w:themeColor="text1"/>
          <w:sz w:val="24"/>
          <w:szCs w:val="24"/>
        </w:rPr>
        <w:t xml:space="preserve">Adv. </w:t>
      </w:r>
      <w:r w:rsidR="005513C1">
        <w:rPr>
          <w:rFonts w:ascii="Arial" w:hAnsi="Arial" w:cs="Arial"/>
          <w:color w:val="000000" w:themeColor="text1"/>
          <w:sz w:val="24"/>
          <w:szCs w:val="24"/>
        </w:rPr>
        <w:t>J.J. Wessels SC</w:t>
      </w:r>
      <w:r w:rsidR="005513C1" w:rsidRPr="00EB2564">
        <w:rPr>
          <w:rFonts w:ascii="Arial" w:hAnsi="Arial" w:cs="Arial"/>
          <w:color w:val="000000" w:themeColor="text1"/>
          <w:sz w:val="24"/>
          <w:szCs w:val="24"/>
        </w:rPr>
        <w:t xml:space="preserve"> </w:t>
      </w:r>
    </w:p>
    <w:p w14:paraId="790ECD9C" w14:textId="0598F9C0" w:rsidR="006B0B94" w:rsidRDefault="00711C20" w:rsidP="006B0B94">
      <w:pPr>
        <w:tabs>
          <w:tab w:val="left" w:pos="1701"/>
        </w:tabs>
        <w:spacing w:line="276" w:lineRule="auto"/>
        <w:ind w:left="3544" w:hanging="3544"/>
        <w:jc w:val="both"/>
        <w:rPr>
          <w:rFonts w:ascii="Arial" w:hAnsi="Arial" w:cs="Arial"/>
          <w:color w:val="000000" w:themeColor="text1"/>
          <w:sz w:val="24"/>
          <w:szCs w:val="24"/>
        </w:rPr>
      </w:pPr>
      <w:r w:rsidRPr="00EB2564">
        <w:rPr>
          <w:rFonts w:ascii="Arial" w:hAnsi="Arial" w:cs="Arial"/>
          <w:color w:val="000000" w:themeColor="text1"/>
          <w:sz w:val="24"/>
          <w:szCs w:val="24"/>
        </w:rPr>
        <w:t>Instructed by:</w:t>
      </w:r>
      <w:r w:rsidRPr="00EB2564">
        <w:rPr>
          <w:rFonts w:ascii="Arial" w:hAnsi="Arial" w:cs="Arial"/>
          <w:color w:val="000000" w:themeColor="text1"/>
          <w:sz w:val="24"/>
          <w:szCs w:val="24"/>
        </w:rPr>
        <w:tab/>
      </w:r>
      <w:r w:rsidRPr="00EB2564">
        <w:rPr>
          <w:rFonts w:ascii="Arial" w:hAnsi="Arial" w:cs="Arial"/>
          <w:color w:val="000000" w:themeColor="text1"/>
          <w:sz w:val="24"/>
          <w:szCs w:val="24"/>
        </w:rPr>
        <w:tab/>
      </w:r>
      <w:r w:rsidRPr="00EB2564">
        <w:rPr>
          <w:rFonts w:ascii="Arial" w:hAnsi="Arial" w:cs="Arial"/>
          <w:color w:val="000000" w:themeColor="text1"/>
          <w:sz w:val="24"/>
          <w:szCs w:val="24"/>
        </w:rPr>
        <w:tab/>
      </w:r>
      <w:r w:rsidR="006B0B94">
        <w:rPr>
          <w:rFonts w:ascii="Arial" w:hAnsi="Arial" w:cs="Arial"/>
          <w:color w:val="000000" w:themeColor="text1"/>
          <w:sz w:val="24"/>
          <w:szCs w:val="24"/>
        </w:rPr>
        <w:t>Munro, Flowers &amp; Vermaak, Johannesburg</w:t>
      </w:r>
    </w:p>
    <w:p w14:paraId="2C4A3FBE" w14:textId="3AEAD151" w:rsidR="00091DAB" w:rsidRDefault="00182D08" w:rsidP="005548F4">
      <w:pPr>
        <w:tabs>
          <w:tab w:val="left" w:pos="1701"/>
        </w:tabs>
        <w:spacing w:line="276" w:lineRule="auto"/>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6B0B94">
        <w:rPr>
          <w:rFonts w:ascii="Arial" w:hAnsi="Arial" w:cs="Arial"/>
          <w:color w:val="000000" w:themeColor="text1"/>
          <w:sz w:val="24"/>
          <w:szCs w:val="24"/>
        </w:rPr>
        <w:t xml:space="preserve">c/o Lovius Block Attorneys, </w:t>
      </w:r>
      <w:r w:rsidR="006B0B94" w:rsidRPr="00EB2564">
        <w:rPr>
          <w:rFonts w:ascii="Arial" w:hAnsi="Arial" w:cs="Arial"/>
          <w:color w:val="000000" w:themeColor="text1"/>
          <w:sz w:val="24"/>
          <w:szCs w:val="24"/>
        </w:rPr>
        <w:t>Bloemfontein</w:t>
      </w:r>
    </w:p>
    <w:p w14:paraId="27BBA5CC" w14:textId="64D459F3" w:rsidR="00D85467" w:rsidRDefault="00D85467" w:rsidP="005A34F4">
      <w:pPr>
        <w:tabs>
          <w:tab w:val="left" w:pos="1701"/>
        </w:tabs>
        <w:spacing w:line="276" w:lineRule="auto"/>
        <w:jc w:val="both"/>
        <w:rPr>
          <w:rFonts w:ascii="Arial" w:hAnsi="Arial" w:cs="Arial"/>
          <w:color w:val="000000" w:themeColor="text1"/>
          <w:sz w:val="24"/>
          <w:szCs w:val="24"/>
        </w:rPr>
      </w:pPr>
    </w:p>
    <w:p w14:paraId="1E979878" w14:textId="3B90AE63" w:rsidR="00D85467" w:rsidRDefault="00D85467" w:rsidP="005A34F4">
      <w:pPr>
        <w:tabs>
          <w:tab w:val="left" w:pos="1701"/>
        </w:tabs>
        <w:spacing w:line="276" w:lineRule="auto"/>
        <w:jc w:val="both"/>
        <w:rPr>
          <w:rFonts w:ascii="Arial" w:hAnsi="Arial" w:cs="Arial"/>
          <w:color w:val="000000" w:themeColor="text1"/>
          <w:sz w:val="24"/>
          <w:szCs w:val="24"/>
        </w:rPr>
      </w:pPr>
    </w:p>
    <w:p w14:paraId="387EE26F" w14:textId="77777777" w:rsidR="00906A2E" w:rsidRDefault="00906A2E" w:rsidP="005A34F4">
      <w:pPr>
        <w:tabs>
          <w:tab w:val="left" w:pos="1701"/>
        </w:tabs>
        <w:spacing w:line="276" w:lineRule="auto"/>
        <w:jc w:val="both"/>
        <w:rPr>
          <w:rFonts w:ascii="Arial" w:hAnsi="Arial" w:cs="Arial"/>
          <w:color w:val="000000" w:themeColor="text1"/>
          <w:sz w:val="24"/>
          <w:szCs w:val="24"/>
        </w:rPr>
      </w:pPr>
    </w:p>
    <w:p w14:paraId="4535808D" w14:textId="4C128B0B" w:rsidR="006B0B94" w:rsidRPr="006B0B94" w:rsidRDefault="006B0B94" w:rsidP="005548F4">
      <w:pPr>
        <w:tabs>
          <w:tab w:val="left" w:pos="1701"/>
        </w:tabs>
        <w:spacing w:line="276" w:lineRule="auto"/>
        <w:ind w:left="851" w:hanging="851"/>
        <w:jc w:val="both"/>
        <w:rPr>
          <w:rFonts w:ascii="Arial" w:hAnsi="Arial" w:cs="Arial"/>
          <w:color w:val="000000" w:themeColor="text1"/>
          <w:sz w:val="18"/>
          <w:szCs w:val="18"/>
        </w:rPr>
      </w:pPr>
      <w:r w:rsidRPr="006B0B94">
        <w:rPr>
          <w:rFonts w:ascii="Arial" w:hAnsi="Arial" w:cs="Arial"/>
          <w:color w:val="000000" w:themeColor="text1"/>
          <w:sz w:val="18"/>
          <w:szCs w:val="18"/>
        </w:rPr>
        <w:t>/roosthuizen</w:t>
      </w:r>
    </w:p>
    <w:sectPr w:rsidR="006B0B94" w:rsidRPr="006B0B94" w:rsidSect="00D85467">
      <w:headerReference w:type="default" r:id="rId10"/>
      <w:pgSz w:w="11906" w:h="16838"/>
      <w:pgMar w:top="1134"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66F7" w14:textId="77777777" w:rsidR="0093296E" w:rsidRDefault="0093296E" w:rsidP="00A603BB">
      <w:pPr>
        <w:spacing w:after="0" w:line="240" w:lineRule="auto"/>
      </w:pPr>
      <w:r>
        <w:separator/>
      </w:r>
    </w:p>
  </w:endnote>
  <w:endnote w:type="continuationSeparator" w:id="0">
    <w:p w14:paraId="50E988BF" w14:textId="77777777" w:rsidR="0093296E" w:rsidRDefault="0093296E" w:rsidP="00A6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FFA2" w14:textId="77777777" w:rsidR="0093296E" w:rsidRDefault="0093296E" w:rsidP="00A603BB">
      <w:pPr>
        <w:spacing w:after="0" w:line="240" w:lineRule="auto"/>
      </w:pPr>
      <w:r>
        <w:separator/>
      </w:r>
    </w:p>
  </w:footnote>
  <w:footnote w:type="continuationSeparator" w:id="0">
    <w:p w14:paraId="1BB90BA1" w14:textId="77777777" w:rsidR="0093296E" w:rsidRDefault="0093296E" w:rsidP="00A6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844108"/>
      <w:docPartObj>
        <w:docPartGallery w:val="Page Numbers (Top of Page)"/>
        <w:docPartUnique/>
      </w:docPartObj>
    </w:sdtPr>
    <w:sdtEndPr>
      <w:rPr>
        <w:noProof/>
      </w:rPr>
    </w:sdtEndPr>
    <w:sdtContent>
      <w:p w14:paraId="74F087A5" w14:textId="1FD72D97" w:rsidR="00E85846" w:rsidRDefault="00E85846">
        <w:pPr>
          <w:pStyle w:val="Header"/>
          <w:jc w:val="right"/>
        </w:pPr>
        <w:r>
          <w:fldChar w:fldCharType="begin"/>
        </w:r>
        <w:r>
          <w:instrText xml:space="preserve"> PAGE   \* MERGEFORMAT </w:instrText>
        </w:r>
        <w:r>
          <w:fldChar w:fldCharType="separate"/>
        </w:r>
        <w:r w:rsidR="00F53342">
          <w:rPr>
            <w:noProof/>
          </w:rPr>
          <w:t>11</w:t>
        </w:r>
        <w:r>
          <w:rPr>
            <w:noProof/>
          </w:rPr>
          <w:fldChar w:fldCharType="end"/>
        </w:r>
      </w:p>
    </w:sdtContent>
  </w:sdt>
  <w:p w14:paraId="4A90BABA" w14:textId="77777777" w:rsidR="00E85846" w:rsidRDefault="00E85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ind w:left="142" w:firstLine="0"/>
      </w:pPr>
      <w:rPr>
        <w:rFonts w:ascii="Times New Roman" w:hAnsi="Times New Roman"/>
        <w:sz w:val="28"/>
      </w:rPr>
    </w:lvl>
  </w:abstractNum>
  <w:abstractNum w:abstractNumId="1" w15:restartNumberingAfterBreak="0">
    <w:nsid w:val="0A797277"/>
    <w:multiLevelType w:val="hybridMultilevel"/>
    <w:tmpl w:val="C238555A"/>
    <w:lvl w:ilvl="0" w:tplc="FD1A81C4">
      <w:start w:val="8"/>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1CB620CA"/>
    <w:multiLevelType w:val="hybridMultilevel"/>
    <w:tmpl w:val="ACF6EAB6"/>
    <w:lvl w:ilvl="0" w:tplc="07BC3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50A32"/>
    <w:multiLevelType w:val="hybridMultilevel"/>
    <w:tmpl w:val="9030E7F8"/>
    <w:lvl w:ilvl="0" w:tplc="D1461DAC">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36493B3F"/>
    <w:multiLevelType w:val="hybridMultilevel"/>
    <w:tmpl w:val="1B444A5A"/>
    <w:lvl w:ilvl="0" w:tplc="1C09000F">
      <w:start w:val="1"/>
      <w:numFmt w:val="decimal"/>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5" w15:restartNumberingAfterBreak="0">
    <w:nsid w:val="37841145"/>
    <w:multiLevelType w:val="hybridMultilevel"/>
    <w:tmpl w:val="526ED7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F570B1C"/>
    <w:multiLevelType w:val="hybridMultilevel"/>
    <w:tmpl w:val="29006DCE"/>
    <w:lvl w:ilvl="0" w:tplc="63948490">
      <w:start w:val="8"/>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546E45CA"/>
    <w:multiLevelType w:val="hybridMultilevel"/>
    <w:tmpl w:val="C8A85E40"/>
    <w:lvl w:ilvl="0" w:tplc="6C5A2124">
      <w:start w:val="5"/>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5C22454B"/>
    <w:multiLevelType w:val="hybridMultilevel"/>
    <w:tmpl w:val="079C3486"/>
    <w:lvl w:ilvl="0" w:tplc="668C8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EA5543"/>
    <w:multiLevelType w:val="hybridMultilevel"/>
    <w:tmpl w:val="5E0EB48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1959296575">
    <w:abstractNumId w:val="7"/>
  </w:num>
  <w:num w:numId="2" w16cid:durableId="386756822">
    <w:abstractNumId w:val="3"/>
  </w:num>
  <w:num w:numId="3" w16cid:durableId="1791705940">
    <w:abstractNumId w:val="8"/>
  </w:num>
  <w:num w:numId="4" w16cid:durableId="596257070">
    <w:abstractNumId w:val="2"/>
  </w:num>
  <w:num w:numId="5" w16cid:durableId="1003244279">
    <w:abstractNumId w:val="9"/>
  </w:num>
  <w:num w:numId="6" w16cid:durableId="383525277">
    <w:abstractNumId w:val="1"/>
  </w:num>
  <w:num w:numId="7" w16cid:durableId="1847088488">
    <w:abstractNumId w:val="6"/>
  </w:num>
  <w:num w:numId="8" w16cid:durableId="498737372">
    <w:abstractNumId w:val="4"/>
  </w:num>
  <w:num w:numId="9" w16cid:durableId="131138564">
    <w:abstractNumId w:val="5"/>
  </w:num>
  <w:num w:numId="10" w16cid:durableId="119223852">
    <w:abstractNumId w:val="0"/>
    <w:lvlOverride w:ilvl="0">
      <w:startOverride w:val="1"/>
    </w:lvlOverride>
  </w:num>
  <w:num w:numId="11" w16cid:durableId="1045106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AB"/>
    <w:rsid w:val="00000008"/>
    <w:rsid w:val="00000CED"/>
    <w:rsid w:val="00014516"/>
    <w:rsid w:val="00023903"/>
    <w:rsid w:val="0002450A"/>
    <w:rsid w:val="00025384"/>
    <w:rsid w:val="000368DC"/>
    <w:rsid w:val="00052A89"/>
    <w:rsid w:val="00054163"/>
    <w:rsid w:val="000546BC"/>
    <w:rsid w:val="0005789D"/>
    <w:rsid w:val="0006366C"/>
    <w:rsid w:val="00066BFF"/>
    <w:rsid w:val="000707A9"/>
    <w:rsid w:val="00071B25"/>
    <w:rsid w:val="00072BCC"/>
    <w:rsid w:val="000741EB"/>
    <w:rsid w:val="00077DAD"/>
    <w:rsid w:val="00082426"/>
    <w:rsid w:val="00090844"/>
    <w:rsid w:val="000917D4"/>
    <w:rsid w:val="00091DAB"/>
    <w:rsid w:val="00092E2D"/>
    <w:rsid w:val="0009342F"/>
    <w:rsid w:val="000937EC"/>
    <w:rsid w:val="000962F1"/>
    <w:rsid w:val="000968C8"/>
    <w:rsid w:val="000A28E9"/>
    <w:rsid w:val="000B0A84"/>
    <w:rsid w:val="000B5E07"/>
    <w:rsid w:val="000C02A5"/>
    <w:rsid w:val="000E12C4"/>
    <w:rsid w:val="000F6F85"/>
    <w:rsid w:val="000F7D26"/>
    <w:rsid w:val="00106F3A"/>
    <w:rsid w:val="00110B99"/>
    <w:rsid w:val="00117292"/>
    <w:rsid w:val="00117488"/>
    <w:rsid w:val="00120212"/>
    <w:rsid w:val="00124BA6"/>
    <w:rsid w:val="00127183"/>
    <w:rsid w:val="00131F9A"/>
    <w:rsid w:val="00143993"/>
    <w:rsid w:val="00144333"/>
    <w:rsid w:val="00147703"/>
    <w:rsid w:val="00154E2E"/>
    <w:rsid w:val="00174303"/>
    <w:rsid w:val="001748F7"/>
    <w:rsid w:val="00182CFA"/>
    <w:rsid w:val="00182D08"/>
    <w:rsid w:val="0019275C"/>
    <w:rsid w:val="0019615C"/>
    <w:rsid w:val="001A1C93"/>
    <w:rsid w:val="001A27F7"/>
    <w:rsid w:val="001A29A5"/>
    <w:rsid w:val="001A4C08"/>
    <w:rsid w:val="001A5879"/>
    <w:rsid w:val="001C1C9D"/>
    <w:rsid w:val="001C7378"/>
    <w:rsid w:val="001D3DC7"/>
    <w:rsid w:val="001D5A74"/>
    <w:rsid w:val="001F2DA1"/>
    <w:rsid w:val="001F3692"/>
    <w:rsid w:val="00214448"/>
    <w:rsid w:val="00232036"/>
    <w:rsid w:val="00232EA0"/>
    <w:rsid w:val="00232FF6"/>
    <w:rsid w:val="002447A0"/>
    <w:rsid w:val="00253130"/>
    <w:rsid w:val="00261691"/>
    <w:rsid w:val="00266A9C"/>
    <w:rsid w:val="00272513"/>
    <w:rsid w:val="00272679"/>
    <w:rsid w:val="00283D2D"/>
    <w:rsid w:val="00285D41"/>
    <w:rsid w:val="002A7635"/>
    <w:rsid w:val="002C575F"/>
    <w:rsid w:val="002C79A5"/>
    <w:rsid w:val="002D60C8"/>
    <w:rsid w:val="002E104D"/>
    <w:rsid w:val="00300AF3"/>
    <w:rsid w:val="003038F8"/>
    <w:rsid w:val="00310EB7"/>
    <w:rsid w:val="00312E85"/>
    <w:rsid w:val="00312F90"/>
    <w:rsid w:val="00315E43"/>
    <w:rsid w:val="00320188"/>
    <w:rsid w:val="00327BB7"/>
    <w:rsid w:val="00327BC7"/>
    <w:rsid w:val="00335261"/>
    <w:rsid w:val="00335AE4"/>
    <w:rsid w:val="0035552D"/>
    <w:rsid w:val="00361F8D"/>
    <w:rsid w:val="00363879"/>
    <w:rsid w:val="00364632"/>
    <w:rsid w:val="0036666E"/>
    <w:rsid w:val="00370DEF"/>
    <w:rsid w:val="0037497E"/>
    <w:rsid w:val="00381EAB"/>
    <w:rsid w:val="0039001D"/>
    <w:rsid w:val="0039037A"/>
    <w:rsid w:val="00391977"/>
    <w:rsid w:val="003A254B"/>
    <w:rsid w:val="003B0957"/>
    <w:rsid w:val="003B0B71"/>
    <w:rsid w:val="003C76DB"/>
    <w:rsid w:val="003C77DD"/>
    <w:rsid w:val="003E1C6C"/>
    <w:rsid w:val="003E7369"/>
    <w:rsid w:val="003F1D9C"/>
    <w:rsid w:val="003F4D8C"/>
    <w:rsid w:val="003F7F14"/>
    <w:rsid w:val="00405B43"/>
    <w:rsid w:val="004075D5"/>
    <w:rsid w:val="00421371"/>
    <w:rsid w:val="004303A5"/>
    <w:rsid w:val="004369DA"/>
    <w:rsid w:val="0044509D"/>
    <w:rsid w:val="004604AA"/>
    <w:rsid w:val="004614AB"/>
    <w:rsid w:val="00463483"/>
    <w:rsid w:val="004640F3"/>
    <w:rsid w:val="00483C17"/>
    <w:rsid w:val="004867B7"/>
    <w:rsid w:val="004C2DF1"/>
    <w:rsid w:val="004C55CD"/>
    <w:rsid w:val="004D0C47"/>
    <w:rsid w:val="004D32D2"/>
    <w:rsid w:val="004D4974"/>
    <w:rsid w:val="004D5B9C"/>
    <w:rsid w:val="004F2A4E"/>
    <w:rsid w:val="004F3771"/>
    <w:rsid w:val="004F3B87"/>
    <w:rsid w:val="004F3E58"/>
    <w:rsid w:val="004F5F63"/>
    <w:rsid w:val="004F62CC"/>
    <w:rsid w:val="00500DD0"/>
    <w:rsid w:val="00503CC3"/>
    <w:rsid w:val="0050438F"/>
    <w:rsid w:val="00507BFF"/>
    <w:rsid w:val="00514845"/>
    <w:rsid w:val="00522C30"/>
    <w:rsid w:val="0052741E"/>
    <w:rsid w:val="00536B2C"/>
    <w:rsid w:val="005404C5"/>
    <w:rsid w:val="005454DA"/>
    <w:rsid w:val="005513C1"/>
    <w:rsid w:val="00554719"/>
    <w:rsid w:val="005548F4"/>
    <w:rsid w:val="00585D0B"/>
    <w:rsid w:val="00586427"/>
    <w:rsid w:val="0058757C"/>
    <w:rsid w:val="005954E1"/>
    <w:rsid w:val="00595DDF"/>
    <w:rsid w:val="005A34F4"/>
    <w:rsid w:val="005B034C"/>
    <w:rsid w:val="005C4C12"/>
    <w:rsid w:val="005C6D51"/>
    <w:rsid w:val="005E6F34"/>
    <w:rsid w:val="005E7F11"/>
    <w:rsid w:val="0060172F"/>
    <w:rsid w:val="0061435D"/>
    <w:rsid w:val="00616CE2"/>
    <w:rsid w:val="00644FEC"/>
    <w:rsid w:val="006464B3"/>
    <w:rsid w:val="006475ED"/>
    <w:rsid w:val="00651929"/>
    <w:rsid w:val="006553C9"/>
    <w:rsid w:val="006622E0"/>
    <w:rsid w:val="00663AFC"/>
    <w:rsid w:val="00665608"/>
    <w:rsid w:val="006713C7"/>
    <w:rsid w:val="00672A97"/>
    <w:rsid w:val="0067462D"/>
    <w:rsid w:val="00674772"/>
    <w:rsid w:val="00683CFC"/>
    <w:rsid w:val="00691041"/>
    <w:rsid w:val="006A5125"/>
    <w:rsid w:val="006B0B94"/>
    <w:rsid w:val="006B0D13"/>
    <w:rsid w:val="006B479A"/>
    <w:rsid w:val="006C20A0"/>
    <w:rsid w:val="006E29B3"/>
    <w:rsid w:val="006F36C7"/>
    <w:rsid w:val="0070034D"/>
    <w:rsid w:val="007003D7"/>
    <w:rsid w:val="007022E3"/>
    <w:rsid w:val="0070705C"/>
    <w:rsid w:val="00710DBE"/>
    <w:rsid w:val="00711C20"/>
    <w:rsid w:val="0071316D"/>
    <w:rsid w:val="007160E7"/>
    <w:rsid w:val="007201D7"/>
    <w:rsid w:val="007228B1"/>
    <w:rsid w:val="007264B9"/>
    <w:rsid w:val="007266D1"/>
    <w:rsid w:val="00737C36"/>
    <w:rsid w:val="007411F9"/>
    <w:rsid w:val="007452E1"/>
    <w:rsid w:val="007464F1"/>
    <w:rsid w:val="00746A8C"/>
    <w:rsid w:val="007502AE"/>
    <w:rsid w:val="00764923"/>
    <w:rsid w:val="00765670"/>
    <w:rsid w:val="00770516"/>
    <w:rsid w:val="0077294E"/>
    <w:rsid w:val="00776AA3"/>
    <w:rsid w:val="00787D15"/>
    <w:rsid w:val="0079186F"/>
    <w:rsid w:val="007933F8"/>
    <w:rsid w:val="00797AFF"/>
    <w:rsid w:val="007A1510"/>
    <w:rsid w:val="007A734E"/>
    <w:rsid w:val="007B5032"/>
    <w:rsid w:val="007B7F42"/>
    <w:rsid w:val="007C0005"/>
    <w:rsid w:val="007C2D09"/>
    <w:rsid w:val="007C7740"/>
    <w:rsid w:val="007E179D"/>
    <w:rsid w:val="007E302C"/>
    <w:rsid w:val="007E3A18"/>
    <w:rsid w:val="007E72B5"/>
    <w:rsid w:val="007F2A92"/>
    <w:rsid w:val="007F37E2"/>
    <w:rsid w:val="007F408A"/>
    <w:rsid w:val="008070FE"/>
    <w:rsid w:val="00821385"/>
    <w:rsid w:val="008334F4"/>
    <w:rsid w:val="00845A38"/>
    <w:rsid w:val="00852021"/>
    <w:rsid w:val="008533E1"/>
    <w:rsid w:val="00866F8A"/>
    <w:rsid w:val="00875E90"/>
    <w:rsid w:val="00881EE9"/>
    <w:rsid w:val="008860D4"/>
    <w:rsid w:val="008A0354"/>
    <w:rsid w:val="008A2061"/>
    <w:rsid w:val="008A4E1D"/>
    <w:rsid w:val="008B0047"/>
    <w:rsid w:val="008C2848"/>
    <w:rsid w:val="008C319C"/>
    <w:rsid w:val="008C43AE"/>
    <w:rsid w:val="008D53F2"/>
    <w:rsid w:val="008E3B89"/>
    <w:rsid w:val="008F1AC5"/>
    <w:rsid w:val="008F279B"/>
    <w:rsid w:val="008F44D8"/>
    <w:rsid w:val="008F48A6"/>
    <w:rsid w:val="0090238E"/>
    <w:rsid w:val="00906A2E"/>
    <w:rsid w:val="00907B90"/>
    <w:rsid w:val="0091039D"/>
    <w:rsid w:val="0093296E"/>
    <w:rsid w:val="0093463A"/>
    <w:rsid w:val="00956CBC"/>
    <w:rsid w:val="00961875"/>
    <w:rsid w:val="00967DBF"/>
    <w:rsid w:val="00982F5B"/>
    <w:rsid w:val="00985B5D"/>
    <w:rsid w:val="00987F4A"/>
    <w:rsid w:val="0099412F"/>
    <w:rsid w:val="009A1BA5"/>
    <w:rsid w:val="009A33EF"/>
    <w:rsid w:val="009B1C23"/>
    <w:rsid w:val="009B5556"/>
    <w:rsid w:val="009B5DE0"/>
    <w:rsid w:val="009C0D62"/>
    <w:rsid w:val="009C57C6"/>
    <w:rsid w:val="009D00EA"/>
    <w:rsid w:val="009D2367"/>
    <w:rsid w:val="009D5F12"/>
    <w:rsid w:val="009E1869"/>
    <w:rsid w:val="009E418C"/>
    <w:rsid w:val="009F2221"/>
    <w:rsid w:val="009F37D1"/>
    <w:rsid w:val="009F7F5B"/>
    <w:rsid w:val="00A06A05"/>
    <w:rsid w:val="00A14F95"/>
    <w:rsid w:val="00A22B38"/>
    <w:rsid w:val="00A2386F"/>
    <w:rsid w:val="00A23E6C"/>
    <w:rsid w:val="00A25873"/>
    <w:rsid w:val="00A25C32"/>
    <w:rsid w:val="00A32299"/>
    <w:rsid w:val="00A33646"/>
    <w:rsid w:val="00A33B4A"/>
    <w:rsid w:val="00A3749C"/>
    <w:rsid w:val="00A3751B"/>
    <w:rsid w:val="00A50416"/>
    <w:rsid w:val="00A55450"/>
    <w:rsid w:val="00A603BB"/>
    <w:rsid w:val="00A60D76"/>
    <w:rsid w:val="00A95B7A"/>
    <w:rsid w:val="00AA1B0B"/>
    <w:rsid w:val="00AA450E"/>
    <w:rsid w:val="00AA53FE"/>
    <w:rsid w:val="00AA7368"/>
    <w:rsid w:val="00AB2F04"/>
    <w:rsid w:val="00AB4FBF"/>
    <w:rsid w:val="00AC1216"/>
    <w:rsid w:val="00AC3418"/>
    <w:rsid w:val="00AE1F15"/>
    <w:rsid w:val="00AE3B10"/>
    <w:rsid w:val="00AE671C"/>
    <w:rsid w:val="00B026BA"/>
    <w:rsid w:val="00B02C3E"/>
    <w:rsid w:val="00B26CCA"/>
    <w:rsid w:val="00B43847"/>
    <w:rsid w:val="00B4718C"/>
    <w:rsid w:val="00B53D97"/>
    <w:rsid w:val="00B60DFD"/>
    <w:rsid w:val="00B63A5F"/>
    <w:rsid w:val="00B71460"/>
    <w:rsid w:val="00B7596C"/>
    <w:rsid w:val="00B845BD"/>
    <w:rsid w:val="00B9196E"/>
    <w:rsid w:val="00BA3095"/>
    <w:rsid w:val="00BA3BE5"/>
    <w:rsid w:val="00BA53EF"/>
    <w:rsid w:val="00BC281A"/>
    <w:rsid w:val="00BD210A"/>
    <w:rsid w:val="00BD549E"/>
    <w:rsid w:val="00BE7177"/>
    <w:rsid w:val="00BE7FD2"/>
    <w:rsid w:val="00BF5B47"/>
    <w:rsid w:val="00C00EAB"/>
    <w:rsid w:val="00C1361A"/>
    <w:rsid w:val="00C31BF3"/>
    <w:rsid w:val="00C3394B"/>
    <w:rsid w:val="00C416A2"/>
    <w:rsid w:val="00C44933"/>
    <w:rsid w:val="00C56010"/>
    <w:rsid w:val="00C63203"/>
    <w:rsid w:val="00C63E83"/>
    <w:rsid w:val="00C77DAE"/>
    <w:rsid w:val="00CA4003"/>
    <w:rsid w:val="00CA4357"/>
    <w:rsid w:val="00CC5275"/>
    <w:rsid w:val="00CC5DEC"/>
    <w:rsid w:val="00CE1BE3"/>
    <w:rsid w:val="00CE2CED"/>
    <w:rsid w:val="00CE3441"/>
    <w:rsid w:val="00CE396D"/>
    <w:rsid w:val="00CE5BBE"/>
    <w:rsid w:val="00CF228D"/>
    <w:rsid w:val="00CF456C"/>
    <w:rsid w:val="00CF4720"/>
    <w:rsid w:val="00D015B7"/>
    <w:rsid w:val="00D04623"/>
    <w:rsid w:val="00D0617E"/>
    <w:rsid w:val="00D065A7"/>
    <w:rsid w:val="00D120EF"/>
    <w:rsid w:val="00D12270"/>
    <w:rsid w:val="00D13A03"/>
    <w:rsid w:val="00D30264"/>
    <w:rsid w:val="00D37806"/>
    <w:rsid w:val="00D41AFF"/>
    <w:rsid w:val="00D54774"/>
    <w:rsid w:val="00D60EAF"/>
    <w:rsid w:val="00D82265"/>
    <w:rsid w:val="00D83EDD"/>
    <w:rsid w:val="00D85467"/>
    <w:rsid w:val="00D871E6"/>
    <w:rsid w:val="00DA5A4A"/>
    <w:rsid w:val="00DB3F53"/>
    <w:rsid w:val="00DB3FE8"/>
    <w:rsid w:val="00DB4A99"/>
    <w:rsid w:val="00DB53A0"/>
    <w:rsid w:val="00DC1D26"/>
    <w:rsid w:val="00DC511B"/>
    <w:rsid w:val="00DD5841"/>
    <w:rsid w:val="00DE09D3"/>
    <w:rsid w:val="00DE1922"/>
    <w:rsid w:val="00DE1FE8"/>
    <w:rsid w:val="00DE299E"/>
    <w:rsid w:val="00DF0444"/>
    <w:rsid w:val="00DF4B99"/>
    <w:rsid w:val="00E02224"/>
    <w:rsid w:val="00E02A94"/>
    <w:rsid w:val="00E042D5"/>
    <w:rsid w:val="00E11FB6"/>
    <w:rsid w:val="00E122D6"/>
    <w:rsid w:val="00E16EE0"/>
    <w:rsid w:val="00E30DC6"/>
    <w:rsid w:val="00E40F2C"/>
    <w:rsid w:val="00E64C21"/>
    <w:rsid w:val="00E64FE7"/>
    <w:rsid w:val="00E6799B"/>
    <w:rsid w:val="00E710C3"/>
    <w:rsid w:val="00E729F3"/>
    <w:rsid w:val="00E74D54"/>
    <w:rsid w:val="00E85846"/>
    <w:rsid w:val="00E90690"/>
    <w:rsid w:val="00E9364F"/>
    <w:rsid w:val="00EA0568"/>
    <w:rsid w:val="00EB2564"/>
    <w:rsid w:val="00EB2F5E"/>
    <w:rsid w:val="00EB486F"/>
    <w:rsid w:val="00EB4A05"/>
    <w:rsid w:val="00F0017D"/>
    <w:rsid w:val="00F10E6C"/>
    <w:rsid w:val="00F1572D"/>
    <w:rsid w:val="00F21A5B"/>
    <w:rsid w:val="00F22C15"/>
    <w:rsid w:val="00F3638F"/>
    <w:rsid w:val="00F36441"/>
    <w:rsid w:val="00F52CE1"/>
    <w:rsid w:val="00F53342"/>
    <w:rsid w:val="00F53A38"/>
    <w:rsid w:val="00F57047"/>
    <w:rsid w:val="00F61643"/>
    <w:rsid w:val="00F63E2B"/>
    <w:rsid w:val="00F674BC"/>
    <w:rsid w:val="00F723C3"/>
    <w:rsid w:val="00F73EAF"/>
    <w:rsid w:val="00F74D5D"/>
    <w:rsid w:val="00F8424C"/>
    <w:rsid w:val="00F91524"/>
    <w:rsid w:val="00F97AF9"/>
    <w:rsid w:val="00FA1F6F"/>
    <w:rsid w:val="00FB031B"/>
    <w:rsid w:val="00FB22B8"/>
    <w:rsid w:val="00FB29F6"/>
    <w:rsid w:val="00FC4E3A"/>
    <w:rsid w:val="00FC74B9"/>
    <w:rsid w:val="00FC7B3E"/>
    <w:rsid w:val="00FD3E8A"/>
    <w:rsid w:val="00FE31F1"/>
    <w:rsid w:val="00FF165F"/>
    <w:rsid w:val="00FF3D1E"/>
    <w:rsid w:val="00FF507E"/>
    <w:rsid w:val="00FF6080"/>
    <w:rsid w:val="00FF6C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8692"/>
  <w15:chartTrackingRefBased/>
  <w15:docId w15:val="{7D1EB473-FA69-4276-96D4-92CB4336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A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AB"/>
    <w:rPr>
      <w:rFonts w:ascii="Segoe UI" w:hAnsi="Segoe UI" w:cs="Segoe UI"/>
      <w:sz w:val="18"/>
      <w:szCs w:val="18"/>
    </w:rPr>
  </w:style>
  <w:style w:type="paragraph" w:styleId="ListParagraph">
    <w:name w:val="List Paragraph"/>
    <w:basedOn w:val="Normal"/>
    <w:uiPriority w:val="34"/>
    <w:qFormat/>
    <w:rsid w:val="006464B3"/>
    <w:pPr>
      <w:ind w:left="720"/>
      <w:contextualSpacing/>
    </w:pPr>
  </w:style>
  <w:style w:type="paragraph" w:styleId="Header">
    <w:name w:val="header"/>
    <w:basedOn w:val="Normal"/>
    <w:link w:val="HeaderChar"/>
    <w:uiPriority w:val="99"/>
    <w:unhideWhenUsed/>
    <w:rsid w:val="00A6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3BB"/>
  </w:style>
  <w:style w:type="paragraph" w:styleId="Footer">
    <w:name w:val="footer"/>
    <w:basedOn w:val="Normal"/>
    <w:link w:val="FooterChar"/>
    <w:uiPriority w:val="99"/>
    <w:unhideWhenUsed/>
    <w:rsid w:val="00A6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3BB"/>
  </w:style>
  <w:style w:type="paragraph" w:styleId="FootnoteText">
    <w:name w:val="footnote text"/>
    <w:basedOn w:val="Normal"/>
    <w:link w:val="FootnoteTextChar"/>
    <w:uiPriority w:val="99"/>
    <w:semiHidden/>
    <w:unhideWhenUsed/>
    <w:rsid w:val="00E042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2D5"/>
    <w:rPr>
      <w:sz w:val="20"/>
      <w:szCs w:val="20"/>
    </w:rPr>
  </w:style>
  <w:style w:type="character" w:styleId="FootnoteReference">
    <w:name w:val="footnote reference"/>
    <w:basedOn w:val="DefaultParagraphFont"/>
    <w:uiPriority w:val="99"/>
    <w:semiHidden/>
    <w:unhideWhenUsed/>
    <w:rsid w:val="00E042D5"/>
    <w:rPr>
      <w:vertAlign w:val="superscript"/>
    </w:rPr>
  </w:style>
  <w:style w:type="paragraph" w:styleId="EndnoteText">
    <w:name w:val="endnote text"/>
    <w:basedOn w:val="Normal"/>
    <w:link w:val="EndnoteTextChar"/>
    <w:uiPriority w:val="99"/>
    <w:semiHidden/>
    <w:unhideWhenUsed/>
    <w:rsid w:val="008E3B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3B89"/>
    <w:rPr>
      <w:sz w:val="20"/>
      <w:szCs w:val="20"/>
    </w:rPr>
  </w:style>
  <w:style w:type="character" w:styleId="EndnoteReference">
    <w:name w:val="endnote reference"/>
    <w:basedOn w:val="DefaultParagraphFont"/>
    <w:uiPriority w:val="99"/>
    <w:semiHidden/>
    <w:unhideWhenUsed/>
    <w:rsid w:val="008E3B89"/>
    <w:rPr>
      <w:vertAlign w:val="superscript"/>
    </w:rPr>
  </w:style>
  <w:style w:type="character" w:customStyle="1" w:styleId="Citation">
    <w:name w:val="Citation"/>
    <w:basedOn w:val="DefaultParagraphFont"/>
    <w:uiPriority w:val="99"/>
    <w:rsid w:val="00FF3D1E"/>
    <w:rPr>
      <w:rFonts w:ascii="Times New Roman" w:eastAsia="Times New Roman" w:hAnsi="Times New Roman" w:cs="DejaVu San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94754">
      <w:bodyDiv w:val="1"/>
      <w:marLeft w:val="0"/>
      <w:marRight w:val="0"/>
      <w:marTop w:val="0"/>
      <w:marBottom w:val="0"/>
      <w:divBdr>
        <w:top w:val="none" w:sz="0" w:space="0" w:color="auto"/>
        <w:left w:val="none" w:sz="0" w:space="0" w:color="auto"/>
        <w:bottom w:val="none" w:sz="0" w:space="0" w:color="auto"/>
        <w:right w:val="none" w:sz="0" w:space="0" w:color="auto"/>
      </w:divBdr>
    </w:div>
    <w:div w:id="20641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59B6-AF0B-4639-A01F-71ED1A7E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Oosthuizen</dc:creator>
  <cp:keywords/>
  <dc:description/>
  <cp:lastModifiedBy>Riana Oosthuizen</cp:lastModifiedBy>
  <cp:revision>78</cp:revision>
  <cp:lastPrinted>2022-06-22T09:03:00Z</cp:lastPrinted>
  <dcterms:created xsi:type="dcterms:W3CDTF">2022-07-11T06:28:00Z</dcterms:created>
  <dcterms:modified xsi:type="dcterms:W3CDTF">2022-09-01T06:07:00Z</dcterms:modified>
</cp:coreProperties>
</file>