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3B" w:rsidRPr="00F85635" w:rsidRDefault="00DC5EC0" w:rsidP="00A92A3B">
      <w:pPr>
        <w:jc w:val="center"/>
        <w:rPr>
          <w:rFonts w:ascii="Arial" w:hAnsi="Arial" w:cs="Arial"/>
          <w:b/>
          <w:u w:val="single"/>
          <w:lang w:val="en-ZA"/>
        </w:rPr>
      </w:pPr>
      <w:bookmarkStart w:id="0" w:name="_GoBack"/>
      <w:bookmarkEnd w:id="0"/>
      <w:r w:rsidRPr="00F85635">
        <w:rPr>
          <w:noProof/>
          <w:lang w:val="en-US" w:eastAsia="en-US"/>
        </w:rPr>
        <w:drawing>
          <wp:anchor distT="0" distB="0" distL="114300" distR="114300" simplePos="0" relativeHeight="251657216" behindDoc="1" locked="0" layoutInCell="1" allowOverlap="1" wp14:anchorId="69D285ED" wp14:editId="4C68C81D">
            <wp:simplePos x="0" y="0"/>
            <wp:positionH relativeFrom="column">
              <wp:posOffset>2181225</wp:posOffset>
            </wp:positionH>
            <wp:positionV relativeFrom="paragraph">
              <wp:posOffset>-314325</wp:posOffset>
            </wp:positionV>
            <wp:extent cx="1190625" cy="1162862"/>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rsidR="00A92A3B" w:rsidRPr="00F85635" w:rsidRDefault="00A92A3B" w:rsidP="00A92A3B">
      <w:pPr>
        <w:jc w:val="center"/>
        <w:rPr>
          <w:rFonts w:ascii="Arial" w:hAnsi="Arial" w:cs="Arial"/>
          <w:b/>
          <w:u w:val="single"/>
          <w:lang w:val="en-ZA"/>
        </w:rPr>
      </w:pPr>
    </w:p>
    <w:p w:rsidR="00A92A3B" w:rsidRPr="00F85635" w:rsidRDefault="00A92A3B" w:rsidP="00A92A3B">
      <w:pPr>
        <w:jc w:val="center"/>
        <w:rPr>
          <w:rFonts w:ascii="Arial" w:hAnsi="Arial" w:cs="Arial"/>
          <w:b/>
          <w:u w:val="single"/>
          <w:lang w:val="en-ZA"/>
        </w:rPr>
      </w:pPr>
    </w:p>
    <w:p w:rsidR="00A92A3B" w:rsidRPr="00F85635" w:rsidRDefault="00A92A3B" w:rsidP="00A92A3B">
      <w:pPr>
        <w:jc w:val="center"/>
        <w:rPr>
          <w:rFonts w:ascii="Arial" w:hAnsi="Arial" w:cs="Arial"/>
          <w:b/>
          <w:u w:val="single"/>
          <w:lang w:val="en-ZA"/>
        </w:rPr>
      </w:pPr>
    </w:p>
    <w:p w:rsidR="00A92A3B" w:rsidRPr="00F85635" w:rsidRDefault="00A92A3B" w:rsidP="00A92A3B">
      <w:pPr>
        <w:jc w:val="center"/>
        <w:rPr>
          <w:rFonts w:ascii="Arial" w:hAnsi="Arial" w:cs="Arial"/>
          <w:b/>
          <w:u w:val="single"/>
          <w:lang w:val="en-ZA"/>
        </w:rPr>
      </w:pPr>
    </w:p>
    <w:p w:rsidR="00A92A3B" w:rsidRPr="00F85635" w:rsidRDefault="00A92A3B" w:rsidP="007909F9">
      <w:pPr>
        <w:rPr>
          <w:rFonts w:ascii="Arial" w:hAnsi="Arial" w:cs="Arial"/>
          <w:b/>
          <w:u w:val="single"/>
          <w:lang w:val="en-ZA"/>
        </w:rPr>
      </w:pPr>
    </w:p>
    <w:p w:rsidR="00A92A3B" w:rsidRPr="00F85635" w:rsidRDefault="00A92A3B" w:rsidP="008C539F">
      <w:pPr>
        <w:spacing w:line="276" w:lineRule="auto"/>
        <w:jc w:val="center"/>
        <w:rPr>
          <w:rFonts w:ascii="Arial" w:hAnsi="Arial" w:cs="Arial"/>
          <w:b/>
          <w:u w:val="single"/>
          <w:lang w:val="en-ZA"/>
        </w:rPr>
      </w:pPr>
      <w:r w:rsidRPr="00F85635">
        <w:rPr>
          <w:rFonts w:ascii="Arial" w:hAnsi="Arial" w:cs="Arial"/>
          <w:b/>
          <w:u w:val="single"/>
          <w:lang w:val="en-ZA"/>
        </w:rPr>
        <w:t>IN THE HIGH COURT OF SOUTH AFRICA,</w:t>
      </w:r>
    </w:p>
    <w:p w:rsidR="00A92A3B" w:rsidRPr="00F85635" w:rsidRDefault="00A92A3B" w:rsidP="008C539F">
      <w:pPr>
        <w:spacing w:line="276" w:lineRule="auto"/>
        <w:jc w:val="center"/>
        <w:rPr>
          <w:rFonts w:ascii="Arial" w:hAnsi="Arial" w:cs="Arial"/>
          <w:b/>
          <w:u w:val="single"/>
          <w:lang w:val="en-ZA"/>
        </w:rPr>
      </w:pPr>
      <w:r w:rsidRPr="00F85635">
        <w:rPr>
          <w:rFonts w:ascii="Arial" w:hAnsi="Arial" w:cs="Arial"/>
          <w:b/>
          <w:u w:val="single"/>
          <w:lang w:val="en-ZA"/>
        </w:rPr>
        <w:t>FREE STATE DIVISION, BLOEMFONTEIN</w:t>
      </w:r>
    </w:p>
    <w:p w:rsidR="00A92A3B" w:rsidRPr="00F85635" w:rsidRDefault="00A92A3B" w:rsidP="00DF35B6">
      <w:pPr>
        <w:rPr>
          <w:rFonts w:ascii="Arial" w:hAnsi="Arial" w:cs="Arial"/>
          <w:b/>
          <w:u w:val="single"/>
          <w:lang w:val="en-ZA"/>
        </w:rPr>
      </w:pPr>
    </w:p>
    <w:tbl>
      <w:tblPr>
        <w:tblStyle w:val="TableGrid"/>
        <w:tblW w:w="0" w:type="auto"/>
        <w:tblInd w:w="5353" w:type="dxa"/>
        <w:tblLook w:val="04A0" w:firstRow="1" w:lastRow="0" w:firstColumn="1" w:lastColumn="0" w:noHBand="0" w:noVBand="1"/>
      </w:tblPr>
      <w:tblGrid>
        <w:gridCol w:w="3663"/>
      </w:tblGrid>
      <w:tr w:rsidR="00A92A3B" w:rsidRPr="00F85635" w:rsidTr="007909F9">
        <w:trPr>
          <w:trHeight w:val="682"/>
        </w:trPr>
        <w:tc>
          <w:tcPr>
            <w:tcW w:w="3705" w:type="dxa"/>
            <w:shd w:val="clear" w:color="auto" w:fill="FFFFFF" w:themeFill="background1"/>
          </w:tcPr>
          <w:p w:rsidR="00A92A3B" w:rsidRPr="00F85635" w:rsidRDefault="00A92A3B" w:rsidP="007909F9">
            <w:pPr>
              <w:ind w:right="-230"/>
              <w:rPr>
                <w:rFonts w:ascii="Arial" w:hAnsi="Arial" w:cs="Arial"/>
                <w:b/>
                <w:sz w:val="16"/>
                <w:szCs w:val="16"/>
                <w:lang w:val="en-ZA"/>
              </w:rPr>
            </w:pPr>
            <w:r w:rsidRPr="00F85635">
              <w:rPr>
                <w:rFonts w:ascii="Arial" w:hAnsi="Arial" w:cs="Arial"/>
                <w:b/>
                <w:sz w:val="16"/>
                <w:szCs w:val="16"/>
                <w:lang w:val="en-ZA"/>
              </w:rPr>
              <w:t xml:space="preserve">Reportable:  </w:t>
            </w:r>
            <w:r w:rsidR="001141BB" w:rsidRPr="00F85635">
              <w:rPr>
                <w:rFonts w:ascii="Arial" w:hAnsi="Arial" w:cs="Arial"/>
                <w:b/>
                <w:sz w:val="16"/>
                <w:szCs w:val="16"/>
                <w:lang w:val="en-ZA"/>
              </w:rPr>
              <w:t xml:space="preserve">                            </w:t>
            </w:r>
            <w:r w:rsidR="00640A64" w:rsidRPr="00F85635">
              <w:rPr>
                <w:rFonts w:ascii="Arial" w:hAnsi="Arial" w:cs="Arial"/>
                <w:b/>
                <w:sz w:val="16"/>
                <w:szCs w:val="16"/>
                <w:lang w:val="en-ZA"/>
              </w:rPr>
              <w:t>YES/</w:t>
            </w:r>
            <w:r w:rsidRPr="00F85635">
              <w:rPr>
                <w:rFonts w:ascii="Arial" w:hAnsi="Arial" w:cs="Arial"/>
                <w:b/>
                <w:sz w:val="16"/>
                <w:szCs w:val="16"/>
                <w:lang w:val="en-ZA"/>
              </w:rPr>
              <w:t>NO</w:t>
            </w:r>
          </w:p>
          <w:p w:rsidR="00A92A3B" w:rsidRPr="00F85635" w:rsidRDefault="00A92A3B" w:rsidP="000D4C61">
            <w:pPr>
              <w:rPr>
                <w:rFonts w:ascii="Arial" w:hAnsi="Arial" w:cs="Arial"/>
                <w:b/>
                <w:sz w:val="16"/>
                <w:szCs w:val="16"/>
                <w:lang w:val="en-ZA"/>
              </w:rPr>
            </w:pPr>
            <w:r w:rsidRPr="00F85635">
              <w:rPr>
                <w:rFonts w:ascii="Arial" w:hAnsi="Arial" w:cs="Arial"/>
                <w:b/>
                <w:sz w:val="16"/>
                <w:szCs w:val="16"/>
                <w:lang w:val="en-ZA"/>
              </w:rPr>
              <w:t xml:space="preserve">Of </w:t>
            </w:r>
            <w:r w:rsidR="001141BB" w:rsidRPr="00F85635">
              <w:rPr>
                <w:rFonts w:ascii="Arial" w:hAnsi="Arial" w:cs="Arial"/>
                <w:b/>
                <w:sz w:val="16"/>
                <w:szCs w:val="16"/>
                <w:lang w:val="en-ZA"/>
              </w:rPr>
              <w:t xml:space="preserve">Interest to other Judges:   </w:t>
            </w:r>
            <w:r w:rsidR="00640A64" w:rsidRPr="00F85635">
              <w:rPr>
                <w:rFonts w:ascii="Arial" w:hAnsi="Arial" w:cs="Arial"/>
                <w:b/>
                <w:sz w:val="16"/>
                <w:szCs w:val="16"/>
                <w:lang w:val="en-ZA"/>
              </w:rPr>
              <w:t>YES/NO</w:t>
            </w:r>
          </w:p>
          <w:p w:rsidR="00A92A3B" w:rsidRPr="00F85635" w:rsidRDefault="00A92A3B" w:rsidP="000D4C61">
            <w:pPr>
              <w:rPr>
                <w:rFonts w:ascii="Arial" w:hAnsi="Arial" w:cs="Arial"/>
                <w:b/>
                <w:sz w:val="16"/>
                <w:szCs w:val="16"/>
                <w:u w:val="single"/>
                <w:lang w:val="en-ZA"/>
              </w:rPr>
            </w:pPr>
            <w:r w:rsidRPr="00F85635">
              <w:rPr>
                <w:rFonts w:ascii="Arial" w:hAnsi="Arial" w:cs="Arial"/>
                <w:b/>
                <w:sz w:val="16"/>
                <w:szCs w:val="16"/>
                <w:lang w:val="en-ZA"/>
              </w:rPr>
              <w:t>Circu</w:t>
            </w:r>
            <w:r w:rsidR="001141BB" w:rsidRPr="00F85635">
              <w:rPr>
                <w:rFonts w:ascii="Arial" w:hAnsi="Arial" w:cs="Arial"/>
                <w:b/>
                <w:sz w:val="16"/>
                <w:szCs w:val="16"/>
                <w:lang w:val="en-ZA"/>
              </w:rPr>
              <w:t xml:space="preserve">late to Magistrates:       </w:t>
            </w:r>
            <w:r w:rsidR="00640A64" w:rsidRPr="00F85635">
              <w:rPr>
                <w:rFonts w:ascii="Arial" w:hAnsi="Arial" w:cs="Arial"/>
                <w:b/>
                <w:sz w:val="16"/>
                <w:szCs w:val="16"/>
                <w:lang w:val="en-ZA"/>
              </w:rPr>
              <w:t>YES/NO</w:t>
            </w:r>
          </w:p>
        </w:tc>
      </w:tr>
    </w:tbl>
    <w:p w:rsidR="002C5D3A" w:rsidRPr="00F85635" w:rsidRDefault="002C5D3A" w:rsidP="000D4C61">
      <w:pPr>
        <w:jc w:val="both"/>
        <w:rPr>
          <w:rFonts w:ascii="Arial" w:hAnsi="Arial" w:cs="Arial"/>
          <w:b/>
          <w:sz w:val="28"/>
          <w:szCs w:val="28"/>
          <w:lang w:val="en-ZA"/>
        </w:rPr>
      </w:pPr>
    </w:p>
    <w:p w:rsidR="002C5D3A" w:rsidRPr="008A7967" w:rsidRDefault="00DE730A" w:rsidP="000D4C61">
      <w:pPr>
        <w:jc w:val="right"/>
        <w:rPr>
          <w:rFonts w:ascii="Arial" w:hAnsi="Arial" w:cs="Arial"/>
          <w:lang w:val="en-ZA"/>
        </w:rPr>
      </w:pPr>
      <w:r w:rsidRPr="008A7967">
        <w:rPr>
          <w:rFonts w:ascii="Arial" w:hAnsi="Arial" w:cs="Arial"/>
          <w:lang w:val="en-ZA"/>
        </w:rPr>
        <w:t xml:space="preserve">Case </w:t>
      </w:r>
      <w:r w:rsidR="002C5D3A" w:rsidRPr="008A7967">
        <w:rPr>
          <w:rFonts w:ascii="Arial" w:hAnsi="Arial" w:cs="Arial"/>
          <w:lang w:val="en-ZA"/>
        </w:rPr>
        <w:t xml:space="preserve">number:   </w:t>
      </w:r>
      <w:r w:rsidR="0055327D" w:rsidRPr="008A7967">
        <w:rPr>
          <w:rFonts w:ascii="Arial" w:hAnsi="Arial" w:cs="Arial"/>
          <w:lang w:val="en-ZA"/>
        </w:rPr>
        <w:t>5159/2021</w:t>
      </w:r>
    </w:p>
    <w:p w:rsidR="002F3751" w:rsidRPr="008A7967" w:rsidRDefault="002F3751" w:rsidP="000D4C61">
      <w:pPr>
        <w:jc w:val="both"/>
        <w:rPr>
          <w:rFonts w:ascii="Arial" w:hAnsi="Arial" w:cs="Arial"/>
          <w:lang w:val="en-ZA"/>
        </w:rPr>
      </w:pPr>
    </w:p>
    <w:p w:rsidR="002F3751" w:rsidRPr="008A7967" w:rsidRDefault="002F3751" w:rsidP="000D4C61">
      <w:pPr>
        <w:jc w:val="both"/>
        <w:rPr>
          <w:rFonts w:ascii="Arial" w:hAnsi="Arial" w:cs="Arial"/>
          <w:lang w:val="en-ZA"/>
        </w:rPr>
      </w:pPr>
    </w:p>
    <w:p w:rsidR="002C5D3A" w:rsidRPr="008A7967" w:rsidRDefault="002C5D3A" w:rsidP="000D4C61">
      <w:pPr>
        <w:jc w:val="both"/>
        <w:rPr>
          <w:rFonts w:ascii="Arial" w:hAnsi="Arial" w:cs="Arial"/>
          <w:lang w:val="en-ZA"/>
        </w:rPr>
      </w:pPr>
      <w:r w:rsidRPr="008A7967">
        <w:rPr>
          <w:rFonts w:ascii="Arial" w:hAnsi="Arial" w:cs="Arial"/>
          <w:lang w:val="en-ZA"/>
        </w:rPr>
        <w:t xml:space="preserve">In the matter between: </w:t>
      </w:r>
    </w:p>
    <w:p w:rsidR="002C5D3A" w:rsidRPr="008A7967" w:rsidRDefault="002C5D3A" w:rsidP="000D4C61">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u w:val="single"/>
          <w:lang w:val="en-ZA"/>
        </w:rPr>
      </w:pPr>
    </w:p>
    <w:p w:rsidR="0096293F" w:rsidRPr="008A7967" w:rsidRDefault="0055327D"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r w:rsidRPr="008A7967">
        <w:rPr>
          <w:rFonts w:ascii="Arial" w:hAnsi="Arial" w:cs="Arial"/>
          <w:b/>
          <w:lang w:val="en-ZA"/>
        </w:rPr>
        <w:t>JAN GABRIEL VERMEULEN N.O.</w:t>
      </w:r>
      <w:r w:rsidR="00D9065D" w:rsidRPr="008A7967">
        <w:rPr>
          <w:rFonts w:ascii="Arial" w:hAnsi="Arial" w:cs="Arial"/>
          <w:lang w:val="en-ZA"/>
        </w:rPr>
        <w:tab/>
      </w:r>
      <w:r w:rsidR="00D9065D" w:rsidRPr="008A7967">
        <w:rPr>
          <w:rFonts w:ascii="Arial" w:hAnsi="Arial" w:cs="Arial"/>
          <w:lang w:val="en-ZA"/>
        </w:rPr>
        <w:tab/>
      </w:r>
      <w:r w:rsidR="00CA4F7F" w:rsidRPr="008A7967">
        <w:rPr>
          <w:rFonts w:ascii="Arial" w:hAnsi="Arial" w:cs="Arial"/>
          <w:lang w:val="en-ZA"/>
        </w:rPr>
        <w:tab/>
      </w:r>
      <w:r w:rsidR="00D9065D" w:rsidRPr="008A7967">
        <w:rPr>
          <w:rFonts w:ascii="Arial" w:hAnsi="Arial" w:cs="Arial"/>
          <w:lang w:val="en-ZA"/>
        </w:rPr>
        <w:tab/>
      </w:r>
      <w:r w:rsidR="00DF35B6" w:rsidRPr="008A7967">
        <w:rPr>
          <w:rFonts w:ascii="Arial" w:hAnsi="Arial" w:cs="Arial"/>
          <w:vertAlign w:val="superscript"/>
          <w:lang w:val="en-ZA"/>
        </w:rPr>
        <w:t xml:space="preserve"> </w:t>
      </w:r>
      <w:r w:rsidRPr="008A7967">
        <w:rPr>
          <w:rFonts w:ascii="Arial" w:hAnsi="Arial" w:cs="Arial"/>
          <w:lang w:val="en-ZA"/>
        </w:rPr>
        <w:t>1</w:t>
      </w:r>
      <w:r w:rsidRPr="008A7967">
        <w:rPr>
          <w:rFonts w:ascii="Arial" w:hAnsi="Arial" w:cs="Arial"/>
          <w:vertAlign w:val="superscript"/>
          <w:lang w:val="en-ZA"/>
        </w:rPr>
        <w:t>st</w:t>
      </w:r>
      <w:r w:rsidRPr="008A7967">
        <w:rPr>
          <w:rFonts w:ascii="Arial" w:hAnsi="Arial" w:cs="Arial"/>
          <w:lang w:val="en-ZA"/>
        </w:rPr>
        <w:t xml:space="preserve"> APPLICANT</w:t>
      </w:r>
    </w:p>
    <w:p w:rsidR="0055327D" w:rsidRPr="008A7967" w:rsidRDefault="0055327D"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r w:rsidRPr="008A7967">
        <w:rPr>
          <w:rFonts w:ascii="Arial" w:hAnsi="Arial" w:cs="Arial"/>
          <w:lang w:val="en-ZA"/>
        </w:rPr>
        <w:t>(In his capacity as Co-Executor of the</w:t>
      </w:r>
    </w:p>
    <w:p w:rsidR="00251944" w:rsidRPr="008A7967" w:rsidRDefault="00251944"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r w:rsidRPr="008A7967">
        <w:rPr>
          <w:rFonts w:ascii="Arial" w:hAnsi="Arial" w:cs="Arial"/>
          <w:lang w:val="en-ZA"/>
        </w:rPr>
        <w:t>Estate of Late J.G. Vermeulen Nr. B00423</w:t>
      </w:r>
      <w:r w:rsidR="00A74E20" w:rsidRPr="008A7967">
        <w:rPr>
          <w:rFonts w:ascii="Arial" w:hAnsi="Arial" w:cs="Arial"/>
          <w:lang w:val="en-ZA"/>
        </w:rPr>
        <w:t>3</w:t>
      </w:r>
      <w:r w:rsidRPr="008A7967">
        <w:rPr>
          <w:rFonts w:ascii="Arial" w:hAnsi="Arial" w:cs="Arial"/>
          <w:lang w:val="en-ZA"/>
        </w:rPr>
        <w:t>/2021)</w:t>
      </w:r>
    </w:p>
    <w:p w:rsidR="00251944" w:rsidRPr="008A7967" w:rsidRDefault="00251944" w:rsidP="007909F9">
      <w:pPr>
        <w:tabs>
          <w:tab w:val="left" w:pos="720"/>
          <w:tab w:val="left" w:pos="1440"/>
          <w:tab w:val="left" w:pos="2160"/>
          <w:tab w:val="left" w:pos="2880"/>
          <w:tab w:val="left" w:pos="3600"/>
          <w:tab w:val="left" w:pos="4320"/>
          <w:tab w:val="left" w:pos="5040"/>
          <w:tab w:val="left" w:pos="5760"/>
          <w:tab w:val="left" w:pos="6480"/>
          <w:tab w:val="right" w:pos="9026"/>
        </w:tabs>
        <w:spacing w:line="360" w:lineRule="auto"/>
        <w:jc w:val="both"/>
        <w:rPr>
          <w:rFonts w:ascii="Arial" w:hAnsi="Arial" w:cs="Arial"/>
          <w:lang w:val="en-ZA"/>
        </w:rPr>
      </w:pPr>
    </w:p>
    <w:p w:rsidR="00251944" w:rsidRPr="008A7967" w:rsidRDefault="00251944"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r w:rsidRPr="008A7967">
        <w:rPr>
          <w:rFonts w:ascii="Arial" w:hAnsi="Arial" w:cs="Arial"/>
          <w:b/>
          <w:lang w:val="en-ZA"/>
        </w:rPr>
        <w:t>ANDREAS STEFANUS CAROL DU PREEZ N.O.</w:t>
      </w:r>
      <w:r w:rsidRPr="008A7967">
        <w:rPr>
          <w:rFonts w:ascii="Arial" w:hAnsi="Arial" w:cs="Arial"/>
          <w:lang w:val="en-ZA"/>
        </w:rPr>
        <w:tab/>
      </w:r>
      <w:r w:rsidRPr="008A7967">
        <w:rPr>
          <w:rFonts w:ascii="Arial" w:hAnsi="Arial" w:cs="Arial"/>
          <w:lang w:val="en-ZA"/>
        </w:rPr>
        <w:tab/>
      </w:r>
      <w:r w:rsidRPr="008A7967">
        <w:rPr>
          <w:rFonts w:ascii="Arial" w:hAnsi="Arial" w:cs="Arial"/>
          <w:vertAlign w:val="superscript"/>
          <w:lang w:val="en-ZA"/>
        </w:rPr>
        <w:t xml:space="preserve"> </w:t>
      </w:r>
      <w:r w:rsidRPr="008A7967">
        <w:rPr>
          <w:rFonts w:ascii="Arial" w:hAnsi="Arial" w:cs="Arial"/>
          <w:lang w:val="en-ZA"/>
        </w:rPr>
        <w:t>2</w:t>
      </w:r>
      <w:r w:rsidRPr="008A7967">
        <w:rPr>
          <w:rFonts w:ascii="Arial" w:hAnsi="Arial" w:cs="Arial"/>
          <w:vertAlign w:val="superscript"/>
          <w:lang w:val="en-ZA"/>
        </w:rPr>
        <w:t>nd</w:t>
      </w:r>
      <w:r w:rsidRPr="008A7967">
        <w:rPr>
          <w:rFonts w:ascii="Arial" w:hAnsi="Arial" w:cs="Arial"/>
          <w:lang w:val="en-ZA"/>
        </w:rPr>
        <w:t xml:space="preserve"> APPLICANT</w:t>
      </w:r>
    </w:p>
    <w:p w:rsidR="00251944" w:rsidRPr="008A7967" w:rsidRDefault="00251944"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r w:rsidRPr="008A7967">
        <w:rPr>
          <w:rFonts w:ascii="Arial" w:hAnsi="Arial" w:cs="Arial"/>
          <w:lang w:val="en-ZA"/>
        </w:rPr>
        <w:t>(In his capacity as Co-Executor of the</w:t>
      </w:r>
    </w:p>
    <w:p w:rsidR="00251944" w:rsidRPr="008A7967" w:rsidRDefault="00251944"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r w:rsidRPr="008A7967">
        <w:rPr>
          <w:rFonts w:ascii="Arial" w:hAnsi="Arial" w:cs="Arial"/>
          <w:lang w:val="en-ZA"/>
        </w:rPr>
        <w:t>Estate of Late J.G. Vermeulen Nr. B0042</w:t>
      </w:r>
      <w:r w:rsidR="00A74E20" w:rsidRPr="008A7967">
        <w:rPr>
          <w:rFonts w:ascii="Arial" w:hAnsi="Arial" w:cs="Arial"/>
          <w:lang w:val="en-ZA"/>
        </w:rPr>
        <w:t>3</w:t>
      </w:r>
      <w:r w:rsidRPr="008A7967">
        <w:rPr>
          <w:rFonts w:ascii="Arial" w:hAnsi="Arial" w:cs="Arial"/>
          <w:lang w:val="en-ZA"/>
        </w:rPr>
        <w:t>3/2021)</w:t>
      </w:r>
    </w:p>
    <w:p w:rsidR="00251944" w:rsidRPr="008A7967" w:rsidRDefault="00251944" w:rsidP="007909F9">
      <w:pPr>
        <w:tabs>
          <w:tab w:val="left" w:pos="720"/>
          <w:tab w:val="left" w:pos="1440"/>
          <w:tab w:val="left" w:pos="2160"/>
          <w:tab w:val="left" w:pos="2880"/>
          <w:tab w:val="left" w:pos="3600"/>
          <w:tab w:val="left" w:pos="4320"/>
          <w:tab w:val="left" w:pos="5040"/>
          <w:tab w:val="left" w:pos="5760"/>
          <w:tab w:val="left" w:pos="6480"/>
          <w:tab w:val="right" w:pos="9026"/>
        </w:tabs>
        <w:spacing w:line="360" w:lineRule="auto"/>
        <w:jc w:val="both"/>
        <w:rPr>
          <w:rFonts w:ascii="Arial" w:hAnsi="Arial" w:cs="Arial"/>
          <w:lang w:val="en-ZA"/>
        </w:rPr>
      </w:pPr>
    </w:p>
    <w:p w:rsidR="008A7967" w:rsidRPr="008A7967" w:rsidRDefault="002C5D3A" w:rsidP="000D4C61">
      <w:pPr>
        <w:jc w:val="both"/>
        <w:rPr>
          <w:rFonts w:ascii="Arial" w:hAnsi="Arial" w:cs="Arial"/>
          <w:lang w:val="en-ZA"/>
        </w:rPr>
      </w:pPr>
      <w:r w:rsidRPr="008A7967">
        <w:rPr>
          <w:rFonts w:ascii="Arial" w:hAnsi="Arial" w:cs="Arial"/>
          <w:lang w:val="en-ZA"/>
        </w:rPr>
        <w:t xml:space="preserve">and </w:t>
      </w:r>
    </w:p>
    <w:p w:rsidR="00D326BC" w:rsidRPr="008A7967" w:rsidRDefault="00D326BC" w:rsidP="000D4C61">
      <w:pPr>
        <w:jc w:val="both"/>
        <w:rPr>
          <w:rFonts w:ascii="Arial" w:hAnsi="Arial" w:cs="Arial"/>
          <w:lang w:val="en-ZA"/>
        </w:rPr>
      </w:pPr>
    </w:p>
    <w:p w:rsidR="00251944" w:rsidRPr="008A7967" w:rsidRDefault="00251944"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r w:rsidRPr="008A7967">
        <w:rPr>
          <w:rFonts w:ascii="Arial" w:hAnsi="Arial" w:cs="Arial"/>
          <w:b/>
          <w:lang w:val="en-ZA"/>
        </w:rPr>
        <w:t>GETRUIDA SOPHIA VERMEULEN</w:t>
      </w:r>
      <w:r w:rsidRPr="008A7967">
        <w:rPr>
          <w:rFonts w:ascii="Arial" w:hAnsi="Arial" w:cs="Arial"/>
          <w:b/>
          <w:lang w:val="en-ZA"/>
        </w:rPr>
        <w:tab/>
      </w:r>
      <w:r w:rsidRPr="008A7967">
        <w:rPr>
          <w:rFonts w:ascii="Arial" w:hAnsi="Arial" w:cs="Arial"/>
          <w:b/>
          <w:lang w:val="en-ZA"/>
        </w:rPr>
        <w:tab/>
      </w:r>
      <w:r w:rsidRPr="008A7967">
        <w:rPr>
          <w:rFonts w:ascii="Arial" w:hAnsi="Arial" w:cs="Arial"/>
          <w:lang w:val="en-ZA"/>
        </w:rPr>
        <w:tab/>
      </w:r>
      <w:r w:rsidRPr="008A7967">
        <w:rPr>
          <w:rFonts w:ascii="Arial" w:hAnsi="Arial" w:cs="Arial"/>
          <w:lang w:val="en-ZA"/>
        </w:rPr>
        <w:tab/>
      </w:r>
      <w:r w:rsidRPr="008A7967">
        <w:rPr>
          <w:rFonts w:ascii="Arial" w:hAnsi="Arial" w:cs="Arial"/>
          <w:vertAlign w:val="superscript"/>
          <w:lang w:val="en-ZA"/>
        </w:rPr>
        <w:t xml:space="preserve"> </w:t>
      </w:r>
      <w:r w:rsidRPr="008A7967">
        <w:rPr>
          <w:rFonts w:ascii="Arial" w:hAnsi="Arial" w:cs="Arial"/>
          <w:lang w:val="en-ZA"/>
        </w:rPr>
        <w:t>1</w:t>
      </w:r>
      <w:r w:rsidRPr="008A7967">
        <w:rPr>
          <w:rFonts w:ascii="Arial" w:hAnsi="Arial" w:cs="Arial"/>
          <w:vertAlign w:val="superscript"/>
          <w:lang w:val="en-ZA"/>
        </w:rPr>
        <w:t>st</w:t>
      </w:r>
      <w:r w:rsidRPr="008A7967">
        <w:rPr>
          <w:rFonts w:ascii="Arial" w:hAnsi="Arial" w:cs="Arial"/>
          <w:lang w:val="en-ZA"/>
        </w:rPr>
        <w:t xml:space="preserve"> RESPONDENT</w:t>
      </w:r>
    </w:p>
    <w:p w:rsidR="002C5D3A" w:rsidRPr="008A7967" w:rsidRDefault="002C5D3A"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lang w:val="en-ZA"/>
        </w:rPr>
      </w:pPr>
    </w:p>
    <w:p w:rsidR="00251944" w:rsidRPr="008A7967" w:rsidRDefault="00251944" w:rsidP="00486CE3">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bCs/>
          <w:lang w:val="en-ZA"/>
        </w:rPr>
      </w:pPr>
      <w:r w:rsidRPr="008A7967">
        <w:rPr>
          <w:rFonts w:ascii="Arial" w:hAnsi="Arial" w:cs="Arial"/>
          <w:b/>
          <w:bCs/>
          <w:lang w:val="en-ZA"/>
        </w:rPr>
        <w:t>MASTER OF THE HIGH COURT</w:t>
      </w:r>
      <w:r w:rsidR="002C52A7" w:rsidRPr="008A7967">
        <w:rPr>
          <w:rFonts w:ascii="Arial" w:hAnsi="Arial" w:cs="Arial"/>
          <w:b/>
          <w:bCs/>
          <w:lang w:val="en-ZA"/>
        </w:rPr>
        <w:t>,</w:t>
      </w:r>
    </w:p>
    <w:p w:rsidR="002C52A7" w:rsidRPr="002C52A7" w:rsidRDefault="002C52A7" w:rsidP="00251944">
      <w:pPr>
        <w:tabs>
          <w:tab w:val="left" w:pos="720"/>
          <w:tab w:val="left" w:pos="1440"/>
          <w:tab w:val="left" w:pos="2160"/>
          <w:tab w:val="left" w:pos="2880"/>
          <w:tab w:val="left" w:pos="3600"/>
          <w:tab w:val="left" w:pos="4320"/>
          <w:tab w:val="left" w:pos="5040"/>
          <w:tab w:val="left" w:pos="5760"/>
          <w:tab w:val="left" w:pos="6480"/>
          <w:tab w:val="right" w:pos="9026"/>
        </w:tabs>
        <w:spacing w:line="360" w:lineRule="auto"/>
        <w:jc w:val="both"/>
        <w:rPr>
          <w:rFonts w:ascii="Arial" w:hAnsi="Arial" w:cs="Arial"/>
          <w:sz w:val="28"/>
          <w:szCs w:val="28"/>
          <w:lang w:val="en-ZA"/>
        </w:rPr>
      </w:pPr>
      <w:r w:rsidRPr="008A7967">
        <w:rPr>
          <w:rFonts w:ascii="Arial" w:hAnsi="Arial" w:cs="Arial"/>
          <w:b/>
          <w:bCs/>
          <w:lang w:val="en-ZA"/>
        </w:rPr>
        <w:t>BLOEMFONTEIN</w:t>
      </w:r>
      <w:r w:rsidRPr="008A7967">
        <w:rPr>
          <w:rFonts w:ascii="Arial" w:hAnsi="Arial" w:cs="Arial"/>
          <w:b/>
          <w:bCs/>
          <w:lang w:val="en-ZA"/>
        </w:rPr>
        <w:tab/>
      </w:r>
      <w:r w:rsidRPr="008A7967">
        <w:rPr>
          <w:rFonts w:ascii="Arial" w:hAnsi="Arial" w:cs="Arial"/>
          <w:b/>
          <w:bCs/>
          <w:lang w:val="en-ZA"/>
        </w:rPr>
        <w:tab/>
      </w:r>
      <w:r w:rsidRPr="008A7967">
        <w:rPr>
          <w:rFonts w:ascii="Arial" w:hAnsi="Arial" w:cs="Arial"/>
          <w:b/>
          <w:bCs/>
          <w:lang w:val="en-ZA"/>
        </w:rPr>
        <w:tab/>
      </w:r>
      <w:r w:rsidRPr="008A7967">
        <w:rPr>
          <w:rFonts w:ascii="Arial" w:hAnsi="Arial" w:cs="Arial"/>
          <w:b/>
          <w:bCs/>
          <w:lang w:val="en-ZA"/>
        </w:rPr>
        <w:tab/>
      </w:r>
      <w:r w:rsidRPr="008A7967">
        <w:rPr>
          <w:rFonts w:ascii="Arial" w:hAnsi="Arial" w:cs="Arial"/>
          <w:b/>
          <w:bCs/>
          <w:lang w:val="en-ZA"/>
        </w:rPr>
        <w:tab/>
      </w:r>
      <w:r w:rsidRPr="008A7967">
        <w:rPr>
          <w:rFonts w:ascii="Arial" w:hAnsi="Arial" w:cs="Arial"/>
          <w:b/>
          <w:bCs/>
          <w:lang w:val="en-ZA"/>
        </w:rPr>
        <w:tab/>
      </w:r>
      <w:r w:rsidRPr="008A7967">
        <w:rPr>
          <w:rFonts w:ascii="Arial" w:hAnsi="Arial" w:cs="Arial"/>
          <w:b/>
          <w:bCs/>
          <w:lang w:val="en-ZA"/>
        </w:rPr>
        <w:tab/>
      </w:r>
      <w:r w:rsidRPr="008A7967">
        <w:rPr>
          <w:rFonts w:ascii="Arial" w:hAnsi="Arial" w:cs="Arial"/>
          <w:lang w:val="en-ZA"/>
        </w:rPr>
        <w:t>2</w:t>
      </w:r>
      <w:r w:rsidRPr="008A7967">
        <w:rPr>
          <w:rFonts w:ascii="Arial" w:hAnsi="Arial" w:cs="Arial"/>
          <w:vertAlign w:val="superscript"/>
          <w:lang w:val="en-ZA"/>
        </w:rPr>
        <w:t>nd</w:t>
      </w:r>
      <w:r w:rsidRPr="008A7967">
        <w:rPr>
          <w:rFonts w:ascii="Arial" w:hAnsi="Arial" w:cs="Arial"/>
          <w:lang w:val="en-ZA"/>
        </w:rPr>
        <w:t xml:space="preserve"> RESPONDENT</w:t>
      </w:r>
    </w:p>
    <w:p w:rsidR="002C5D3A" w:rsidRPr="00F85635" w:rsidRDefault="002C5D3A" w:rsidP="000D4C61">
      <w:pPr>
        <w:pBdr>
          <w:bottom w:val="single" w:sz="12" w:space="1" w:color="auto"/>
        </w:pBdr>
        <w:jc w:val="both"/>
        <w:rPr>
          <w:rFonts w:ascii="Arial" w:hAnsi="Arial" w:cs="Arial"/>
          <w:b/>
          <w:sz w:val="28"/>
          <w:szCs w:val="28"/>
          <w:lang w:val="en-ZA"/>
        </w:rPr>
      </w:pPr>
      <w:r w:rsidRPr="00F85635">
        <w:rPr>
          <w:rFonts w:ascii="Arial" w:hAnsi="Arial" w:cs="Arial"/>
          <w:b/>
          <w:sz w:val="28"/>
          <w:szCs w:val="28"/>
          <w:lang w:val="en-ZA"/>
        </w:rPr>
        <w:tab/>
      </w:r>
      <w:r w:rsidRPr="00F85635">
        <w:rPr>
          <w:rFonts w:ascii="Arial" w:hAnsi="Arial" w:cs="Arial"/>
          <w:b/>
          <w:sz w:val="28"/>
          <w:szCs w:val="28"/>
          <w:lang w:val="en-ZA"/>
        </w:rPr>
        <w:tab/>
      </w:r>
    </w:p>
    <w:p w:rsidR="002C5D3A" w:rsidRPr="00F85635" w:rsidRDefault="002C5D3A" w:rsidP="000D4C61">
      <w:pPr>
        <w:pBdr>
          <w:bottom w:val="single" w:sz="6" w:space="1" w:color="auto"/>
        </w:pBdr>
        <w:contextualSpacing/>
        <w:jc w:val="both"/>
        <w:rPr>
          <w:rFonts w:ascii="Arial" w:hAnsi="Arial" w:cs="Arial"/>
          <w:b/>
          <w:sz w:val="28"/>
          <w:szCs w:val="28"/>
          <w:u w:val="single"/>
          <w:lang w:val="en-ZA"/>
        </w:rPr>
      </w:pPr>
    </w:p>
    <w:p w:rsidR="002C5D3A" w:rsidRPr="008A7967" w:rsidRDefault="002C52A7" w:rsidP="000D4C61">
      <w:pPr>
        <w:pBdr>
          <w:bottom w:val="single" w:sz="6" w:space="1" w:color="auto"/>
        </w:pBdr>
        <w:contextualSpacing/>
        <w:jc w:val="both"/>
        <w:rPr>
          <w:rFonts w:ascii="Arial" w:hAnsi="Arial" w:cs="Arial"/>
          <w:lang w:val="en-ZA"/>
        </w:rPr>
      </w:pPr>
      <w:r w:rsidRPr="008A7967">
        <w:rPr>
          <w:rFonts w:ascii="Arial" w:hAnsi="Arial" w:cs="Arial"/>
          <w:b/>
          <w:u w:val="single"/>
          <w:lang w:val="en-ZA"/>
        </w:rPr>
        <w:t>HEARD ON</w:t>
      </w:r>
      <w:r w:rsidR="002C5D3A" w:rsidRPr="008A7967">
        <w:rPr>
          <w:rFonts w:ascii="Arial" w:hAnsi="Arial" w:cs="Arial"/>
          <w:b/>
          <w:u w:val="single"/>
          <w:lang w:val="en-ZA"/>
        </w:rPr>
        <w:t>:</w:t>
      </w:r>
      <w:r w:rsidR="002C5D3A" w:rsidRPr="008A7967">
        <w:rPr>
          <w:rFonts w:ascii="Arial" w:hAnsi="Arial" w:cs="Arial"/>
          <w:b/>
          <w:lang w:val="en-ZA"/>
        </w:rPr>
        <w:tab/>
      </w:r>
      <w:r w:rsidR="002C5D3A" w:rsidRPr="008A7967">
        <w:rPr>
          <w:rFonts w:ascii="Arial" w:hAnsi="Arial" w:cs="Arial"/>
          <w:b/>
          <w:lang w:val="en-ZA"/>
        </w:rPr>
        <w:tab/>
      </w:r>
      <w:r w:rsidR="00A74E20" w:rsidRPr="008A7967">
        <w:rPr>
          <w:rFonts w:ascii="Arial" w:hAnsi="Arial" w:cs="Arial"/>
          <w:b/>
          <w:lang w:val="en-ZA"/>
        </w:rPr>
        <w:tab/>
      </w:r>
      <w:r w:rsidR="008047AB" w:rsidRPr="008A7967">
        <w:rPr>
          <w:rFonts w:ascii="Arial" w:hAnsi="Arial" w:cs="Arial"/>
          <w:lang w:val="en-ZA"/>
        </w:rPr>
        <w:t>27 JANUARY 2022</w:t>
      </w:r>
      <w:r w:rsidR="00033BD6" w:rsidRPr="008A7967">
        <w:rPr>
          <w:rFonts w:ascii="Arial" w:hAnsi="Arial" w:cs="Arial"/>
          <w:lang w:val="en-ZA"/>
        </w:rPr>
        <w:t xml:space="preserve"> </w:t>
      </w:r>
    </w:p>
    <w:p w:rsidR="002C5D3A" w:rsidRPr="00F85635" w:rsidRDefault="002C5D3A" w:rsidP="000D4C61">
      <w:pPr>
        <w:pBdr>
          <w:bottom w:val="single" w:sz="6" w:space="1" w:color="auto"/>
        </w:pBdr>
        <w:contextualSpacing/>
        <w:jc w:val="both"/>
        <w:rPr>
          <w:rFonts w:ascii="Arial" w:hAnsi="Arial" w:cs="Arial"/>
          <w:b/>
          <w:sz w:val="28"/>
          <w:szCs w:val="28"/>
          <w:lang w:val="en-ZA"/>
        </w:rPr>
      </w:pPr>
    </w:p>
    <w:p w:rsidR="002C5D3A" w:rsidRPr="00F85635" w:rsidRDefault="002C5D3A" w:rsidP="000D4C61">
      <w:pPr>
        <w:contextualSpacing/>
        <w:jc w:val="both"/>
        <w:rPr>
          <w:rFonts w:ascii="Arial" w:hAnsi="Arial" w:cs="Arial"/>
          <w:b/>
          <w:sz w:val="28"/>
          <w:szCs w:val="28"/>
          <w:u w:val="single"/>
          <w:lang w:val="en-ZA"/>
        </w:rPr>
      </w:pPr>
    </w:p>
    <w:p w:rsidR="002C5D3A" w:rsidRPr="008A7967" w:rsidRDefault="00A74E20" w:rsidP="000D4C61">
      <w:pPr>
        <w:contextualSpacing/>
        <w:jc w:val="both"/>
        <w:rPr>
          <w:rFonts w:ascii="Arial" w:hAnsi="Arial" w:cs="Arial"/>
          <w:b/>
          <w:lang w:val="en-ZA"/>
        </w:rPr>
      </w:pPr>
      <w:r w:rsidRPr="008A7967">
        <w:rPr>
          <w:rFonts w:ascii="Arial" w:hAnsi="Arial" w:cs="Arial"/>
          <w:b/>
          <w:u w:val="single"/>
          <w:lang w:val="en-ZA"/>
        </w:rPr>
        <w:t>JUDGMENT BY</w:t>
      </w:r>
      <w:r w:rsidR="002C5D3A" w:rsidRPr="008A7967">
        <w:rPr>
          <w:rFonts w:ascii="Arial" w:hAnsi="Arial" w:cs="Arial"/>
          <w:b/>
          <w:u w:val="single"/>
          <w:lang w:val="en-ZA"/>
        </w:rPr>
        <w:t>:</w:t>
      </w:r>
      <w:r w:rsidR="002C5D3A" w:rsidRPr="008A7967">
        <w:rPr>
          <w:rFonts w:ascii="Arial" w:hAnsi="Arial" w:cs="Arial"/>
          <w:lang w:val="en-ZA"/>
        </w:rPr>
        <w:tab/>
      </w:r>
      <w:r w:rsidR="002C5D3A" w:rsidRPr="008A7967">
        <w:rPr>
          <w:rFonts w:ascii="Arial" w:hAnsi="Arial" w:cs="Arial"/>
          <w:lang w:val="en-ZA"/>
        </w:rPr>
        <w:tab/>
      </w:r>
      <w:r w:rsidR="008047AB" w:rsidRPr="008A7967">
        <w:rPr>
          <w:rFonts w:ascii="Arial" w:hAnsi="Arial" w:cs="Arial"/>
          <w:lang w:val="en-ZA"/>
        </w:rPr>
        <w:t>MATHEBULA, J</w:t>
      </w:r>
      <w:r w:rsidR="002C5D3A" w:rsidRPr="008A7967">
        <w:rPr>
          <w:rFonts w:ascii="Arial" w:hAnsi="Arial" w:cs="Arial"/>
          <w:b/>
          <w:lang w:val="en-ZA"/>
        </w:rPr>
        <w:tab/>
      </w:r>
    </w:p>
    <w:p w:rsidR="002C5D3A" w:rsidRPr="00486CE3" w:rsidRDefault="00A74E20" w:rsidP="00486CE3">
      <w:pPr>
        <w:contextualSpacing/>
        <w:jc w:val="both"/>
        <w:rPr>
          <w:rFonts w:ascii="Arial" w:hAnsi="Arial" w:cs="Arial"/>
          <w:sz w:val="28"/>
          <w:szCs w:val="28"/>
          <w:u w:val="single"/>
          <w:lang w:val="en-ZA"/>
        </w:rPr>
      </w:pPr>
      <w:r>
        <w:rPr>
          <w:rFonts w:ascii="Arial" w:hAnsi="Arial" w:cs="Arial"/>
          <w:sz w:val="28"/>
          <w:szCs w:val="28"/>
          <w:lang w:val="en-ZA"/>
        </w:rPr>
        <w:t>_________________________________________________________</w:t>
      </w:r>
    </w:p>
    <w:p w:rsidR="002C5D3A" w:rsidRPr="00F85635" w:rsidRDefault="002C5D3A" w:rsidP="000D4C61">
      <w:pPr>
        <w:contextualSpacing/>
        <w:jc w:val="both"/>
        <w:rPr>
          <w:rFonts w:ascii="Arial" w:hAnsi="Arial" w:cs="Arial"/>
          <w:b/>
          <w:sz w:val="28"/>
          <w:szCs w:val="28"/>
          <w:lang w:val="en-ZA"/>
        </w:rPr>
      </w:pPr>
    </w:p>
    <w:p w:rsidR="002C5D3A" w:rsidRPr="00486CE3" w:rsidRDefault="002C52A7" w:rsidP="00A74E20">
      <w:pPr>
        <w:ind w:left="2880" w:hanging="2880"/>
        <w:contextualSpacing/>
        <w:jc w:val="both"/>
        <w:rPr>
          <w:rFonts w:ascii="Arial" w:hAnsi="Arial" w:cs="Arial"/>
          <w:u w:val="single"/>
          <w:lang w:val="en-ZA"/>
        </w:rPr>
      </w:pPr>
      <w:r w:rsidRPr="00486CE3">
        <w:rPr>
          <w:rFonts w:ascii="Arial" w:hAnsi="Arial" w:cs="Arial"/>
          <w:b/>
          <w:u w:val="single"/>
          <w:lang w:val="en-ZA"/>
        </w:rPr>
        <w:t>DELIVERED ON</w:t>
      </w:r>
      <w:r w:rsidR="002C5D3A" w:rsidRPr="00486CE3">
        <w:rPr>
          <w:rFonts w:ascii="Arial" w:hAnsi="Arial" w:cs="Arial"/>
          <w:b/>
          <w:u w:val="single"/>
          <w:lang w:val="en-ZA"/>
        </w:rPr>
        <w:t>:</w:t>
      </w:r>
      <w:r w:rsidR="002C5D3A" w:rsidRPr="00486CE3">
        <w:rPr>
          <w:rFonts w:ascii="Arial" w:hAnsi="Arial" w:cs="Arial"/>
          <w:b/>
          <w:lang w:val="en-ZA"/>
        </w:rPr>
        <w:tab/>
      </w:r>
      <w:r w:rsidR="00A74E20" w:rsidRPr="00486CE3">
        <w:rPr>
          <w:rFonts w:ascii="Arial" w:hAnsi="Arial" w:cs="Arial"/>
        </w:rPr>
        <w:t>The judgment was handed down electronically by circulation to the parties’ legal representatives by email and release to SAFLII on 0</w:t>
      </w:r>
      <w:r w:rsidR="00193759" w:rsidRPr="00486CE3">
        <w:rPr>
          <w:rFonts w:ascii="Arial" w:hAnsi="Arial" w:cs="Arial"/>
        </w:rPr>
        <w:t>3</w:t>
      </w:r>
      <w:r w:rsidR="00A74E20" w:rsidRPr="00486CE3">
        <w:rPr>
          <w:rFonts w:ascii="Arial" w:hAnsi="Arial" w:cs="Arial"/>
        </w:rPr>
        <w:t xml:space="preserve"> May 2022. The date and time for hand-down is deemed to be 0</w:t>
      </w:r>
      <w:r w:rsidR="00193759" w:rsidRPr="00486CE3">
        <w:rPr>
          <w:rFonts w:ascii="Arial" w:hAnsi="Arial" w:cs="Arial"/>
        </w:rPr>
        <w:t>3</w:t>
      </w:r>
      <w:r w:rsidR="00A74E20" w:rsidRPr="00486CE3">
        <w:rPr>
          <w:rFonts w:ascii="Arial" w:hAnsi="Arial" w:cs="Arial"/>
        </w:rPr>
        <w:t xml:space="preserve"> May 2022 at 12H00.</w:t>
      </w:r>
    </w:p>
    <w:p w:rsidR="002C5D3A" w:rsidRPr="00F85635" w:rsidRDefault="002C5D3A" w:rsidP="000D4C61">
      <w:pPr>
        <w:pBdr>
          <w:bottom w:val="single" w:sz="6" w:space="1" w:color="auto"/>
        </w:pBdr>
        <w:contextualSpacing/>
        <w:jc w:val="both"/>
        <w:rPr>
          <w:rFonts w:ascii="Arial" w:hAnsi="Arial" w:cs="Arial"/>
          <w:b/>
          <w:sz w:val="28"/>
          <w:szCs w:val="28"/>
          <w:lang w:val="en-ZA"/>
        </w:rPr>
      </w:pPr>
    </w:p>
    <w:p w:rsidR="00033BD6" w:rsidRDefault="00033BD6" w:rsidP="00D9065D">
      <w:pPr>
        <w:spacing w:line="360" w:lineRule="auto"/>
        <w:jc w:val="both"/>
        <w:rPr>
          <w:rFonts w:ascii="Arial" w:hAnsi="Arial" w:cs="Arial"/>
          <w:b/>
          <w:sz w:val="28"/>
          <w:szCs w:val="28"/>
          <w:u w:val="single"/>
          <w:lang w:val="en-ZA"/>
        </w:rPr>
      </w:pPr>
    </w:p>
    <w:p w:rsidR="00486CE3" w:rsidRDefault="00486CE3" w:rsidP="00023839">
      <w:pPr>
        <w:spacing w:line="360" w:lineRule="auto"/>
        <w:jc w:val="both"/>
        <w:rPr>
          <w:rFonts w:ascii="Arial" w:hAnsi="Arial" w:cs="Arial"/>
          <w:b/>
          <w:u w:val="single"/>
          <w:lang w:val="en-ZA"/>
        </w:rPr>
      </w:pPr>
    </w:p>
    <w:p w:rsidR="00023839" w:rsidRPr="00486CE3" w:rsidRDefault="00023839" w:rsidP="00023839">
      <w:pPr>
        <w:spacing w:line="360" w:lineRule="auto"/>
        <w:jc w:val="both"/>
        <w:rPr>
          <w:rFonts w:ascii="Arial" w:hAnsi="Arial" w:cs="Arial"/>
          <w:b/>
          <w:u w:val="single"/>
          <w:lang w:val="en-ZA"/>
        </w:rPr>
      </w:pPr>
      <w:r w:rsidRPr="00486CE3">
        <w:rPr>
          <w:rFonts w:ascii="Arial" w:hAnsi="Arial" w:cs="Arial"/>
          <w:b/>
          <w:u w:val="single"/>
          <w:lang w:val="en-ZA"/>
        </w:rPr>
        <w:lastRenderedPageBreak/>
        <w:t>Introduction</w:t>
      </w:r>
    </w:p>
    <w:p w:rsidR="00023839" w:rsidRPr="00486CE3" w:rsidRDefault="00023839" w:rsidP="00D9065D">
      <w:pPr>
        <w:spacing w:line="360" w:lineRule="auto"/>
        <w:jc w:val="both"/>
        <w:rPr>
          <w:rFonts w:ascii="Arial" w:hAnsi="Arial" w:cs="Arial"/>
          <w:b/>
          <w:u w:val="single"/>
          <w:lang w:val="en-ZA"/>
        </w:rPr>
      </w:pPr>
    </w:p>
    <w:p w:rsidR="001A6C4F" w:rsidRPr="00486CE3" w:rsidRDefault="00A61B27" w:rsidP="00F22240">
      <w:pPr>
        <w:spacing w:line="360" w:lineRule="auto"/>
        <w:ind w:left="851" w:hanging="851"/>
        <w:jc w:val="both"/>
        <w:rPr>
          <w:rFonts w:ascii="Arial" w:hAnsi="Arial" w:cs="Arial"/>
          <w:lang w:val="en-ZA"/>
        </w:rPr>
      </w:pPr>
      <w:r w:rsidRPr="00486CE3">
        <w:rPr>
          <w:rFonts w:ascii="Arial" w:hAnsi="Arial" w:cs="Arial"/>
          <w:lang w:val="en-ZA"/>
        </w:rPr>
        <w:t>[1]</w:t>
      </w:r>
      <w:r w:rsidRPr="00486CE3">
        <w:rPr>
          <w:rFonts w:ascii="Arial" w:hAnsi="Arial" w:cs="Arial"/>
          <w:lang w:val="en-ZA"/>
        </w:rPr>
        <w:tab/>
      </w:r>
      <w:r w:rsidR="000B1680" w:rsidRPr="00486CE3">
        <w:rPr>
          <w:rFonts w:ascii="Arial" w:hAnsi="Arial" w:cs="Arial"/>
          <w:lang w:val="en-ZA"/>
        </w:rPr>
        <w:t>At the centre of the dispute between the parties is the delivery by the first respondent of the 2008</w:t>
      </w:r>
      <w:r w:rsidR="00A74E20" w:rsidRPr="00486CE3">
        <w:rPr>
          <w:rFonts w:ascii="Arial" w:hAnsi="Arial" w:cs="Arial"/>
          <w:lang w:val="en-ZA"/>
        </w:rPr>
        <w:t xml:space="preserve"> model</w:t>
      </w:r>
      <w:r w:rsidR="000B1680" w:rsidRPr="00486CE3">
        <w:rPr>
          <w:rFonts w:ascii="Arial" w:hAnsi="Arial" w:cs="Arial"/>
          <w:lang w:val="en-ZA"/>
        </w:rPr>
        <w:t xml:space="preserve"> Nissan X-Trail</w:t>
      </w:r>
      <w:r w:rsidR="00A74E20" w:rsidRPr="00486CE3">
        <w:rPr>
          <w:rFonts w:ascii="Arial" w:hAnsi="Arial" w:cs="Arial"/>
          <w:lang w:val="en-ZA"/>
        </w:rPr>
        <w:t xml:space="preserve"> (hereinafter referred to as “X</w:t>
      </w:r>
      <w:r w:rsidR="002D27DE" w:rsidRPr="00486CE3">
        <w:rPr>
          <w:rFonts w:ascii="Arial" w:hAnsi="Arial" w:cs="Arial"/>
          <w:lang w:val="en-ZA"/>
        </w:rPr>
        <w:t>-T</w:t>
      </w:r>
      <w:r w:rsidR="00A74E20" w:rsidRPr="00486CE3">
        <w:rPr>
          <w:rFonts w:ascii="Arial" w:hAnsi="Arial" w:cs="Arial"/>
          <w:lang w:val="en-ZA"/>
        </w:rPr>
        <w:t>rail”)</w:t>
      </w:r>
      <w:r w:rsidR="000B1680" w:rsidRPr="00486CE3">
        <w:rPr>
          <w:rFonts w:ascii="Arial" w:hAnsi="Arial" w:cs="Arial"/>
          <w:lang w:val="en-ZA"/>
        </w:rPr>
        <w:t xml:space="preserve"> with registration letters and numbers DSJ 690 FS to the app</w:t>
      </w:r>
      <w:r w:rsidR="00A74E20" w:rsidRPr="00486CE3">
        <w:rPr>
          <w:rFonts w:ascii="Arial" w:hAnsi="Arial" w:cs="Arial"/>
          <w:lang w:val="en-ZA"/>
        </w:rPr>
        <w:t xml:space="preserve">licants. The applicants are </w:t>
      </w:r>
      <w:r w:rsidR="000B1680" w:rsidRPr="00486CE3">
        <w:rPr>
          <w:rFonts w:ascii="Arial" w:hAnsi="Arial" w:cs="Arial"/>
          <w:lang w:val="en-ZA"/>
        </w:rPr>
        <w:t>co-executors of the Estate Late Jan Gabriel Vermeulen</w:t>
      </w:r>
      <w:r w:rsidR="00A74E20" w:rsidRPr="00486CE3">
        <w:rPr>
          <w:rFonts w:ascii="Arial" w:hAnsi="Arial" w:cs="Arial"/>
          <w:lang w:val="en-ZA"/>
        </w:rPr>
        <w:t xml:space="preserve"> (</w:t>
      </w:r>
      <w:r w:rsidR="00DC62A4" w:rsidRPr="00486CE3">
        <w:rPr>
          <w:rFonts w:ascii="Arial" w:hAnsi="Arial" w:cs="Arial"/>
          <w:lang w:val="en-ZA"/>
        </w:rPr>
        <w:t>hereinafter referred to as “</w:t>
      </w:r>
      <w:r w:rsidR="00A74E20" w:rsidRPr="00486CE3">
        <w:rPr>
          <w:rFonts w:ascii="Arial" w:hAnsi="Arial" w:cs="Arial"/>
          <w:lang w:val="en-ZA"/>
        </w:rPr>
        <w:t>the deceased</w:t>
      </w:r>
      <w:r w:rsidR="00DC62A4" w:rsidRPr="00486CE3">
        <w:rPr>
          <w:rFonts w:ascii="Arial" w:hAnsi="Arial" w:cs="Arial"/>
          <w:lang w:val="en-ZA"/>
        </w:rPr>
        <w:t>”</w:t>
      </w:r>
      <w:r w:rsidR="00A74E20" w:rsidRPr="00486CE3">
        <w:rPr>
          <w:rFonts w:ascii="Arial" w:hAnsi="Arial" w:cs="Arial"/>
          <w:lang w:val="en-ZA"/>
        </w:rPr>
        <w:t>)</w:t>
      </w:r>
      <w:r w:rsidR="000B1680" w:rsidRPr="00486CE3">
        <w:rPr>
          <w:rFonts w:ascii="Arial" w:hAnsi="Arial" w:cs="Arial"/>
          <w:lang w:val="en-ZA"/>
        </w:rPr>
        <w:t>. The first applicant</w:t>
      </w:r>
      <w:r w:rsidR="00DC62A4" w:rsidRPr="00486CE3">
        <w:rPr>
          <w:rFonts w:ascii="Arial" w:hAnsi="Arial" w:cs="Arial"/>
          <w:lang w:val="en-ZA"/>
        </w:rPr>
        <w:t>,</w:t>
      </w:r>
      <w:r w:rsidR="00434CD3" w:rsidRPr="00486CE3">
        <w:rPr>
          <w:rFonts w:ascii="Arial" w:hAnsi="Arial" w:cs="Arial"/>
          <w:lang w:val="en-ZA"/>
        </w:rPr>
        <w:t xml:space="preserve"> who is the deponent of the founding affidavit,</w:t>
      </w:r>
      <w:r w:rsidR="000B1680" w:rsidRPr="00486CE3">
        <w:rPr>
          <w:rFonts w:ascii="Arial" w:hAnsi="Arial" w:cs="Arial"/>
          <w:lang w:val="en-ZA"/>
        </w:rPr>
        <w:t xml:space="preserve"> is the son o</w:t>
      </w:r>
      <w:r w:rsidR="00434CD3" w:rsidRPr="00486CE3">
        <w:rPr>
          <w:rFonts w:ascii="Arial" w:hAnsi="Arial" w:cs="Arial"/>
          <w:lang w:val="en-ZA"/>
        </w:rPr>
        <w:t>f the deceased</w:t>
      </w:r>
      <w:r w:rsidR="000B1680" w:rsidRPr="00486CE3">
        <w:rPr>
          <w:rFonts w:ascii="Arial" w:hAnsi="Arial" w:cs="Arial"/>
          <w:lang w:val="en-ZA"/>
        </w:rPr>
        <w:t>.</w:t>
      </w:r>
      <w:r w:rsidR="00434CD3" w:rsidRPr="00486CE3">
        <w:rPr>
          <w:rFonts w:ascii="Arial" w:hAnsi="Arial" w:cs="Arial"/>
          <w:lang w:val="en-ZA"/>
        </w:rPr>
        <w:t xml:space="preserve"> His appointment is in terms of the last will of the deceased.</w:t>
      </w:r>
      <w:r w:rsidR="000B1680" w:rsidRPr="00486CE3">
        <w:rPr>
          <w:rFonts w:ascii="Arial" w:hAnsi="Arial" w:cs="Arial"/>
          <w:lang w:val="en-ZA"/>
        </w:rPr>
        <w:t xml:space="preserve"> The first respondent is the </w:t>
      </w:r>
      <w:r w:rsidR="00023839" w:rsidRPr="00486CE3">
        <w:rPr>
          <w:rFonts w:ascii="Arial" w:hAnsi="Arial" w:cs="Arial"/>
          <w:lang w:val="en-ZA"/>
        </w:rPr>
        <w:t>widow of the aforementioned. No relief is claimed against the second respondent.</w:t>
      </w:r>
    </w:p>
    <w:p w:rsidR="00E90053" w:rsidRPr="00486CE3" w:rsidRDefault="00E90053" w:rsidP="00F22240">
      <w:pPr>
        <w:spacing w:line="360" w:lineRule="auto"/>
        <w:ind w:left="851" w:hanging="851"/>
        <w:jc w:val="both"/>
        <w:rPr>
          <w:rFonts w:ascii="Arial" w:hAnsi="Arial" w:cs="Arial"/>
          <w:lang w:val="en-ZA"/>
        </w:rPr>
      </w:pPr>
    </w:p>
    <w:p w:rsidR="00E90053" w:rsidRPr="00486CE3" w:rsidRDefault="00023839" w:rsidP="00E90053">
      <w:pPr>
        <w:spacing w:line="360" w:lineRule="auto"/>
        <w:jc w:val="both"/>
        <w:rPr>
          <w:rFonts w:ascii="Arial" w:hAnsi="Arial" w:cs="Arial"/>
          <w:b/>
          <w:u w:val="single"/>
          <w:lang w:val="en-ZA"/>
        </w:rPr>
      </w:pPr>
      <w:r w:rsidRPr="00486CE3">
        <w:rPr>
          <w:rFonts w:ascii="Arial" w:hAnsi="Arial" w:cs="Arial"/>
          <w:b/>
          <w:u w:val="single"/>
          <w:lang w:val="en-ZA"/>
        </w:rPr>
        <w:t>Brief exposition of the facts</w:t>
      </w:r>
    </w:p>
    <w:p w:rsidR="0068590E" w:rsidRPr="00486CE3" w:rsidRDefault="0068590E" w:rsidP="00F22240">
      <w:pPr>
        <w:spacing w:line="360" w:lineRule="auto"/>
        <w:ind w:left="851" w:hanging="851"/>
        <w:jc w:val="both"/>
        <w:rPr>
          <w:rFonts w:ascii="Arial" w:hAnsi="Arial" w:cs="Arial"/>
          <w:lang w:val="en-ZA"/>
        </w:rPr>
      </w:pPr>
    </w:p>
    <w:p w:rsidR="00755A0A" w:rsidRPr="00486CE3" w:rsidRDefault="00033BD6" w:rsidP="00755A0A">
      <w:pPr>
        <w:spacing w:line="360" w:lineRule="auto"/>
        <w:ind w:left="851" w:hanging="851"/>
        <w:jc w:val="both"/>
        <w:rPr>
          <w:rFonts w:ascii="Arial" w:hAnsi="Arial" w:cs="Arial"/>
          <w:lang w:val="en-ZA"/>
        </w:rPr>
      </w:pPr>
      <w:r w:rsidRPr="00486CE3">
        <w:rPr>
          <w:rFonts w:ascii="Arial" w:hAnsi="Arial" w:cs="Arial"/>
          <w:lang w:val="en-ZA"/>
        </w:rPr>
        <w:t>[2]</w:t>
      </w:r>
      <w:r w:rsidRPr="00486CE3">
        <w:rPr>
          <w:rFonts w:ascii="Arial" w:hAnsi="Arial" w:cs="Arial"/>
          <w:lang w:val="en-ZA"/>
        </w:rPr>
        <w:tab/>
      </w:r>
      <w:r w:rsidR="00023839" w:rsidRPr="00486CE3">
        <w:rPr>
          <w:rFonts w:ascii="Arial" w:hAnsi="Arial" w:cs="Arial"/>
          <w:lang w:val="en-ZA"/>
        </w:rPr>
        <w:t xml:space="preserve">On 10 June 2004 the late J.G. Vermeulen entered into an </w:t>
      </w:r>
      <w:r w:rsidR="000E619D" w:rsidRPr="00486CE3">
        <w:rPr>
          <w:rFonts w:ascii="Arial" w:hAnsi="Arial" w:cs="Arial"/>
          <w:lang w:val="en-ZA"/>
        </w:rPr>
        <w:t>ante-nuptial agreement</w:t>
      </w:r>
      <w:r w:rsidR="00023839" w:rsidRPr="00486CE3">
        <w:rPr>
          <w:rFonts w:ascii="Arial" w:hAnsi="Arial" w:cs="Arial"/>
          <w:lang w:val="en-ZA"/>
        </w:rPr>
        <w:t xml:space="preserve"> with the first respondent. It was duly registered on 24 June 2004 at the Deeds Registry, Bloemfontein. </w:t>
      </w:r>
      <w:r w:rsidR="00DC62A4" w:rsidRPr="00486CE3">
        <w:rPr>
          <w:rFonts w:ascii="Arial" w:hAnsi="Arial" w:cs="Arial"/>
          <w:lang w:val="en-ZA"/>
        </w:rPr>
        <w:t>P</w:t>
      </w:r>
      <w:r w:rsidR="007855B3" w:rsidRPr="00486CE3">
        <w:rPr>
          <w:rFonts w:ascii="Arial" w:hAnsi="Arial" w:cs="Arial"/>
          <w:lang w:val="en-ZA"/>
        </w:rPr>
        <w:t>aragraph</w:t>
      </w:r>
      <w:r w:rsidR="00DC62A4" w:rsidRPr="00486CE3">
        <w:rPr>
          <w:rFonts w:ascii="Arial" w:hAnsi="Arial" w:cs="Arial"/>
          <w:lang w:val="en-ZA"/>
        </w:rPr>
        <w:t xml:space="preserve"> </w:t>
      </w:r>
      <w:r w:rsidR="007855B3" w:rsidRPr="00486CE3">
        <w:rPr>
          <w:rFonts w:ascii="Arial" w:hAnsi="Arial" w:cs="Arial"/>
          <w:lang w:val="en-ZA"/>
        </w:rPr>
        <w:t xml:space="preserve">4 of the </w:t>
      </w:r>
      <w:r w:rsidR="00CC3C0B" w:rsidRPr="00486CE3">
        <w:rPr>
          <w:rFonts w:ascii="Arial" w:hAnsi="Arial" w:cs="Arial"/>
          <w:lang w:val="en-ZA"/>
        </w:rPr>
        <w:t>ante-nuptial</w:t>
      </w:r>
      <w:r w:rsidR="00DC62A4" w:rsidRPr="00486CE3">
        <w:rPr>
          <w:rFonts w:ascii="Arial" w:hAnsi="Arial" w:cs="Arial"/>
          <w:lang w:val="en-ZA"/>
        </w:rPr>
        <w:t xml:space="preserve"> agreement</w:t>
      </w:r>
      <w:r w:rsidR="007855B3" w:rsidRPr="00486CE3">
        <w:rPr>
          <w:rFonts w:ascii="Arial" w:hAnsi="Arial" w:cs="Arial"/>
          <w:lang w:val="en-ZA"/>
        </w:rPr>
        <w:t xml:space="preserve"> reads as follows: -</w:t>
      </w:r>
    </w:p>
    <w:p w:rsidR="00755A0A" w:rsidRPr="00486CE3" w:rsidRDefault="00755A0A" w:rsidP="00F827FA">
      <w:pPr>
        <w:spacing w:line="360" w:lineRule="auto"/>
        <w:ind w:left="1134" w:right="1088" w:hanging="851"/>
        <w:jc w:val="both"/>
        <w:rPr>
          <w:rFonts w:ascii="Arial" w:hAnsi="Arial" w:cs="Arial"/>
          <w:sz w:val="20"/>
          <w:szCs w:val="20"/>
          <w:lang w:val="en-ZA"/>
        </w:rPr>
      </w:pPr>
      <w:r>
        <w:rPr>
          <w:rFonts w:ascii="Arial" w:hAnsi="Arial" w:cs="Arial"/>
          <w:sz w:val="28"/>
          <w:szCs w:val="28"/>
          <w:lang w:val="en-ZA"/>
        </w:rPr>
        <w:tab/>
      </w:r>
      <w:r w:rsidRPr="00486CE3">
        <w:rPr>
          <w:rFonts w:ascii="Arial" w:hAnsi="Arial" w:cs="Arial"/>
          <w:sz w:val="20"/>
          <w:szCs w:val="20"/>
          <w:lang w:val="en-ZA"/>
        </w:rPr>
        <w:t>“Dat die partye hiermee ooreenkom dat indien Jan Gabriel Vermeulen te sterwe sou</w:t>
      </w:r>
      <w:r w:rsidR="00DC62A4" w:rsidRPr="00486CE3">
        <w:rPr>
          <w:rFonts w:ascii="Arial" w:hAnsi="Arial" w:cs="Arial"/>
          <w:sz w:val="20"/>
          <w:szCs w:val="20"/>
          <w:lang w:val="en-ZA"/>
        </w:rPr>
        <w:t xml:space="preserve"> k</w:t>
      </w:r>
      <w:r w:rsidRPr="00486CE3">
        <w:rPr>
          <w:rFonts w:ascii="Arial" w:hAnsi="Arial" w:cs="Arial"/>
          <w:sz w:val="20"/>
          <w:szCs w:val="20"/>
          <w:lang w:val="en-ZA"/>
        </w:rPr>
        <w:t>om voor Gertruida Sophia Cronje, dan en in daardie geval, sal Gertruida Sophia Cronje ‘n onderhoudseis het teen die boedel van Jan Gabriel Vermeulen in die bedrag van R500,000.00 [vyfhonderd duisend rand] synde vir en ten opsigte van die eerste jaar van die huwelik, waarna ‘n bedrag van R100,000.00 [eenhonderd duisend rand] per jaar vir elke jaar wat die huwelik voortgeduur het tot datum van afsterwe van Jan Gabriel Vermeulen bygevoeg sal word by die R500,00.00 [vyfhonderd duisend rand] van die eerste jaar.</w:t>
      </w:r>
    </w:p>
    <w:p w:rsidR="00DC62A4" w:rsidRPr="00486CE3" w:rsidRDefault="00DC62A4" w:rsidP="00F827FA">
      <w:pPr>
        <w:spacing w:line="360" w:lineRule="auto"/>
        <w:ind w:left="1134" w:right="1088" w:hanging="851"/>
        <w:jc w:val="both"/>
        <w:rPr>
          <w:rFonts w:ascii="Arial" w:hAnsi="Arial" w:cs="Arial"/>
          <w:sz w:val="20"/>
          <w:szCs w:val="20"/>
          <w:lang w:val="en-ZA"/>
        </w:rPr>
      </w:pPr>
    </w:p>
    <w:p w:rsidR="00755A0A" w:rsidRPr="00486CE3" w:rsidRDefault="00755A0A" w:rsidP="00F827FA">
      <w:pPr>
        <w:spacing w:line="360" w:lineRule="auto"/>
        <w:ind w:left="1134" w:right="1088" w:hanging="851"/>
        <w:jc w:val="both"/>
        <w:rPr>
          <w:rFonts w:ascii="Arial" w:hAnsi="Arial" w:cs="Arial"/>
          <w:sz w:val="20"/>
          <w:szCs w:val="20"/>
          <w:lang w:val="en-ZA"/>
        </w:rPr>
      </w:pPr>
      <w:r w:rsidRPr="00486CE3">
        <w:rPr>
          <w:rFonts w:ascii="Arial" w:hAnsi="Arial" w:cs="Arial"/>
          <w:sz w:val="20"/>
          <w:szCs w:val="20"/>
          <w:lang w:val="en-ZA"/>
        </w:rPr>
        <w:tab/>
        <w:t>Verdermeer by die afsterwe van Jan Gabriel Vermeulen skenk Jan Gabriel Vermeulen aan Gertruida</w:t>
      </w:r>
      <w:r w:rsidR="00F827FA" w:rsidRPr="00486CE3">
        <w:rPr>
          <w:rFonts w:ascii="Arial" w:hAnsi="Arial" w:cs="Arial"/>
          <w:sz w:val="20"/>
          <w:szCs w:val="20"/>
          <w:lang w:val="en-ZA"/>
        </w:rPr>
        <w:t xml:space="preserve"> Sophia Cronje die motorvoertuig waarmee sy op daardie stadium daagliks ry as haar uitsluitlike eiendom.”</w:t>
      </w:r>
      <w:r w:rsidR="000E619D" w:rsidRPr="00486CE3">
        <w:rPr>
          <w:rStyle w:val="FootnoteReference"/>
          <w:rFonts w:ascii="Arial" w:hAnsi="Arial" w:cs="Arial"/>
          <w:sz w:val="20"/>
          <w:szCs w:val="20"/>
          <w:lang w:val="en-ZA"/>
        </w:rPr>
        <w:footnoteReference w:id="1"/>
      </w:r>
    </w:p>
    <w:p w:rsidR="00434CD3" w:rsidRDefault="00434CD3" w:rsidP="00434CD3">
      <w:pPr>
        <w:spacing w:line="360" w:lineRule="auto"/>
        <w:ind w:right="1088"/>
        <w:jc w:val="both"/>
        <w:rPr>
          <w:rFonts w:ascii="Arial" w:hAnsi="Arial" w:cs="Arial"/>
          <w:lang w:val="en-ZA"/>
        </w:rPr>
      </w:pPr>
    </w:p>
    <w:p w:rsidR="000E619D" w:rsidRPr="00486CE3" w:rsidRDefault="00434CD3" w:rsidP="00434CD3">
      <w:pPr>
        <w:spacing w:line="360" w:lineRule="auto"/>
        <w:ind w:left="851" w:hanging="851"/>
        <w:jc w:val="both"/>
        <w:rPr>
          <w:rFonts w:ascii="Arial" w:hAnsi="Arial" w:cs="Arial"/>
          <w:lang w:val="en-ZA"/>
        </w:rPr>
      </w:pPr>
      <w:r w:rsidRPr="00486CE3">
        <w:rPr>
          <w:rFonts w:ascii="Arial" w:hAnsi="Arial" w:cs="Arial"/>
          <w:lang w:val="en-ZA"/>
        </w:rPr>
        <w:t>[3]</w:t>
      </w:r>
      <w:r w:rsidRPr="00486CE3">
        <w:rPr>
          <w:rFonts w:ascii="Arial" w:hAnsi="Arial" w:cs="Arial"/>
          <w:lang w:val="en-ZA"/>
        </w:rPr>
        <w:tab/>
        <w:t>The loose translation in English reads as follows: -</w:t>
      </w:r>
    </w:p>
    <w:p w:rsidR="00A819E9" w:rsidRPr="00486CE3" w:rsidRDefault="00F827FA" w:rsidP="00F827FA">
      <w:pPr>
        <w:spacing w:line="360" w:lineRule="auto"/>
        <w:ind w:left="1134" w:right="1088" w:hanging="851"/>
        <w:jc w:val="both"/>
        <w:rPr>
          <w:rFonts w:ascii="Arial" w:hAnsi="Arial" w:cs="Arial"/>
          <w:sz w:val="20"/>
          <w:szCs w:val="20"/>
          <w:lang w:val="en-ZA"/>
        </w:rPr>
      </w:pPr>
      <w:r>
        <w:rPr>
          <w:rFonts w:ascii="Arial" w:hAnsi="Arial" w:cs="Arial"/>
          <w:lang w:val="en-ZA"/>
        </w:rPr>
        <w:tab/>
      </w:r>
      <w:r w:rsidRPr="00486CE3">
        <w:rPr>
          <w:rFonts w:ascii="Arial" w:hAnsi="Arial" w:cs="Arial"/>
          <w:sz w:val="20"/>
          <w:szCs w:val="20"/>
          <w:lang w:val="en-ZA"/>
        </w:rPr>
        <w:t>“That the parties agree that if Jan Gabriel Vermeulen were to die before Gertruida Sophia Cronje, then and in that case, Gertruida Sophia Cronje would have a maintainance claim against the estate of Jan Gabriel Vermeulen in the amount of R500,000.</w:t>
      </w:r>
      <w:r w:rsidR="000E619D" w:rsidRPr="00486CE3">
        <w:rPr>
          <w:rFonts w:ascii="Arial" w:hAnsi="Arial" w:cs="Arial"/>
          <w:sz w:val="20"/>
          <w:szCs w:val="20"/>
          <w:lang w:val="en-ZA"/>
        </w:rPr>
        <w:t>00</w:t>
      </w:r>
      <w:r w:rsidRPr="00486CE3">
        <w:rPr>
          <w:rFonts w:ascii="Arial" w:hAnsi="Arial" w:cs="Arial"/>
          <w:sz w:val="20"/>
          <w:szCs w:val="20"/>
          <w:lang w:val="en-ZA"/>
        </w:rPr>
        <w:t xml:space="preserve"> [five hundred thousand rand] being for and in </w:t>
      </w:r>
      <w:r w:rsidRPr="00486CE3">
        <w:rPr>
          <w:rFonts w:ascii="Arial" w:hAnsi="Arial" w:cs="Arial"/>
          <w:sz w:val="20"/>
          <w:szCs w:val="20"/>
          <w:lang w:val="en-ZA"/>
        </w:rPr>
        <w:lastRenderedPageBreak/>
        <w:t>respect of the first year of the marriage, after which an amount of R100,000.00 [one hundred thousand rand] per annum for each year that the marriage continued until the date of death of Jan Gabriel Vermeulen will be added to the R500,000.00 [five hundred thousand rand] of the first year.</w:t>
      </w:r>
    </w:p>
    <w:p w:rsidR="00DC62A4" w:rsidRPr="00486CE3" w:rsidRDefault="00DC62A4" w:rsidP="00F827FA">
      <w:pPr>
        <w:spacing w:line="360" w:lineRule="auto"/>
        <w:ind w:left="1134" w:right="1088" w:hanging="851"/>
        <w:jc w:val="both"/>
        <w:rPr>
          <w:rFonts w:ascii="Arial" w:hAnsi="Arial" w:cs="Arial"/>
          <w:sz w:val="20"/>
          <w:szCs w:val="20"/>
          <w:lang w:val="en-ZA"/>
        </w:rPr>
      </w:pPr>
    </w:p>
    <w:p w:rsidR="00F827FA" w:rsidRPr="00486CE3" w:rsidRDefault="00A819E9" w:rsidP="00A819E9">
      <w:pPr>
        <w:spacing w:line="360" w:lineRule="auto"/>
        <w:ind w:left="1134" w:right="1088"/>
        <w:jc w:val="both"/>
        <w:rPr>
          <w:rFonts w:ascii="Arial" w:hAnsi="Arial" w:cs="Arial"/>
          <w:sz w:val="20"/>
          <w:szCs w:val="20"/>
          <w:lang w:val="en-ZA"/>
        </w:rPr>
      </w:pPr>
      <w:r w:rsidRPr="00486CE3">
        <w:rPr>
          <w:rFonts w:ascii="Arial" w:hAnsi="Arial" w:cs="Arial"/>
          <w:sz w:val="20"/>
          <w:szCs w:val="20"/>
          <w:lang w:val="en-ZA"/>
        </w:rPr>
        <w:t xml:space="preserve">Furthermore, on the death of Jan Gabriel Vermeulen, Jan </w:t>
      </w:r>
      <w:r w:rsidR="000E619D" w:rsidRPr="00486CE3">
        <w:rPr>
          <w:rFonts w:ascii="Arial" w:hAnsi="Arial" w:cs="Arial"/>
          <w:sz w:val="20"/>
          <w:szCs w:val="20"/>
          <w:lang w:val="en-ZA"/>
        </w:rPr>
        <w:t>Gabriel Vermeulen donated to Gertruida Sophia Cronje the motor vehicle she was driving daily at that time as her exclusive property</w:t>
      </w:r>
      <w:r w:rsidR="00B87235" w:rsidRPr="00486CE3">
        <w:rPr>
          <w:rFonts w:ascii="Arial" w:hAnsi="Arial" w:cs="Arial"/>
          <w:sz w:val="20"/>
          <w:szCs w:val="20"/>
          <w:lang w:val="en-ZA"/>
        </w:rPr>
        <w:t>.</w:t>
      </w:r>
      <w:r w:rsidR="00F827FA" w:rsidRPr="00486CE3">
        <w:rPr>
          <w:rFonts w:ascii="Arial" w:hAnsi="Arial" w:cs="Arial"/>
          <w:sz w:val="20"/>
          <w:szCs w:val="20"/>
          <w:lang w:val="en-ZA"/>
        </w:rPr>
        <w:t>”</w:t>
      </w:r>
    </w:p>
    <w:p w:rsidR="0055743D" w:rsidRPr="00F85635" w:rsidRDefault="0055743D" w:rsidP="007969A2">
      <w:pPr>
        <w:spacing w:line="360" w:lineRule="auto"/>
        <w:ind w:left="851" w:hanging="851"/>
        <w:jc w:val="both"/>
        <w:rPr>
          <w:rFonts w:ascii="Arial" w:hAnsi="Arial" w:cs="Arial"/>
          <w:sz w:val="28"/>
          <w:szCs w:val="28"/>
          <w:lang w:val="en-ZA"/>
        </w:rPr>
      </w:pPr>
    </w:p>
    <w:p w:rsidR="003A6272" w:rsidRPr="00486CE3" w:rsidRDefault="00434CD3" w:rsidP="0042344A">
      <w:pPr>
        <w:spacing w:line="360" w:lineRule="auto"/>
        <w:ind w:left="851" w:hanging="851"/>
        <w:jc w:val="both"/>
        <w:rPr>
          <w:rFonts w:ascii="Arial" w:hAnsi="Arial" w:cs="Arial"/>
          <w:b/>
          <w:u w:val="single"/>
          <w:lang w:val="en-ZA"/>
        </w:rPr>
      </w:pPr>
      <w:r w:rsidRPr="00486CE3">
        <w:rPr>
          <w:rFonts w:ascii="Arial" w:hAnsi="Arial" w:cs="Arial"/>
          <w:lang w:val="en-ZA"/>
        </w:rPr>
        <w:t>[4</w:t>
      </w:r>
      <w:r w:rsidR="00E57C0F" w:rsidRPr="00486CE3">
        <w:rPr>
          <w:rFonts w:ascii="Arial" w:hAnsi="Arial" w:cs="Arial"/>
          <w:lang w:val="en-ZA"/>
        </w:rPr>
        <w:t>]</w:t>
      </w:r>
      <w:r w:rsidR="00E57C0F" w:rsidRPr="00486CE3">
        <w:rPr>
          <w:rFonts w:ascii="Arial" w:hAnsi="Arial" w:cs="Arial"/>
          <w:lang w:val="en-ZA"/>
        </w:rPr>
        <w:tab/>
      </w:r>
      <w:r w:rsidR="007855B3" w:rsidRPr="00486CE3">
        <w:rPr>
          <w:rFonts w:ascii="Arial" w:hAnsi="Arial" w:cs="Arial"/>
          <w:lang w:val="en-ZA"/>
        </w:rPr>
        <w:t xml:space="preserve">The </w:t>
      </w:r>
      <w:r w:rsidR="00DE730A" w:rsidRPr="00486CE3">
        <w:rPr>
          <w:rFonts w:ascii="Arial" w:hAnsi="Arial" w:cs="Arial"/>
          <w:lang w:val="en-ZA"/>
        </w:rPr>
        <w:t>deceased</w:t>
      </w:r>
      <w:r w:rsidRPr="00486CE3">
        <w:rPr>
          <w:rFonts w:ascii="Arial" w:hAnsi="Arial" w:cs="Arial"/>
          <w:lang w:val="en-ZA"/>
        </w:rPr>
        <w:t xml:space="preserve"> regulated his affairs by attesting</w:t>
      </w:r>
      <w:r w:rsidR="007855B3" w:rsidRPr="00486CE3">
        <w:rPr>
          <w:rFonts w:ascii="Arial" w:hAnsi="Arial" w:cs="Arial"/>
          <w:lang w:val="en-ZA"/>
        </w:rPr>
        <w:t xml:space="preserve"> to two </w:t>
      </w:r>
      <w:r w:rsidRPr="00486CE3">
        <w:rPr>
          <w:rFonts w:ascii="Arial" w:hAnsi="Arial" w:cs="Arial"/>
          <w:lang w:val="en-ZA"/>
        </w:rPr>
        <w:t>(2) known wills in his life. T</w:t>
      </w:r>
      <w:r w:rsidR="007855B3" w:rsidRPr="00486CE3">
        <w:rPr>
          <w:rFonts w:ascii="Arial" w:hAnsi="Arial" w:cs="Arial"/>
          <w:lang w:val="en-ZA"/>
        </w:rPr>
        <w:t>he</w:t>
      </w:r>
      <w:r w:rsidRPr="00486CE3">
        <w:rPr>
          <w:rFonts w:ascii="Arial" w:hAnsi="Arial" w:cs="Arial"/>
          <w:lang w:val="en-ZA"/>
        </w:rPr>
        <w:t xml:space="preserve"> </w:t>
      </w:r>
      <w:r w:rsidR="007855B3" w:rsidRPr="00486CE3">
        <w:rPr>
          <w:rFonts w:ascii="Arial" w:hAnsi="Arial" w:cs="Arial"/>
          <w:lang w:val="en-ZA"/>
        </w:rPr>
        <w:t>first will</w:t>
      </w:r>
      <w:r w:rsidR="00DC62A4" w:rsidRPr="00486CE3">
        <w:rPr>
          <w:rFonts w:ascii="Arial" w:hAnsi="Arial" w:cs="Arial"/>
          <w:lang w:val="en-ZA"/>
        </w:rPr>
        <w:t xml:space="preserve"> was</w:t>
      </w:r>
      <w:r w:rsidRPr="00486CE3">
        <w:rPr>
          <w:rFonts w:ascii="Arial" w:hAnsi="Arial" w:cs="Arial"/>
          <w:lang w:val="en-ZA"/>
        </w:rPr>
        <w:t xml:space="preserve"> dated 5 December 2014. In it</w:t>
      </w:r>
      <w:r w:rsidR="007855B3" w:rsidRPr="00486CE3">
        <w:rPr>
          <w:rFonts w:ascii="Arial" w:hAnsi="Arial" w:cs="Arial"/>
          <w:lang w:val="en-ZA"/>
        </w:rPr>
        <w:t xml:space="preserve"> he bequeathed his motor vehicle for his daily use</w:t>
      </w:r>
      <w:r w:rsidRPr="00486CE3">
        <w:rPr>
          <w:rFonts w:ascii="Arial" w:hAnsi="Arial" w:cs="Arial"/>
          <w:lang w:val="en-ZA"/>
        </w:rPr>
        <w:t xml:space="preserve"> before and at the time of his death to his</w:t>
      </w:r>
      <w:r w:rsidR="007855B3" w:rsidRPr="00486CE3">
        <w:rPr>
          <w:rFonts w:ascii="Arial" w:hAnsi="Arial" w:cs="Arial"/>
          <w:lang w:val="en-ZA"/>
        </w:rPr>
        <w:t xml:space="preserve"> </w:t>
      </w:r>
      <w:r w:rsidR="00EA3BCD" w:rsidRPr="00486CE3">
        <w:rPr>
          <w:rFonts w:ascii="Arial" w:hAnsi="Arial" w:cs="Arial"/>
          <w:lang w:val="en-ZA"/>
        </w:rPr>
        <w:t>daughter.</w:t>
      </w:r>
      <w:r w:rsidR="005F5A9F" w:rsidRPr="00486CE3">
        <w:rPr>
          <w:rStyle w:val="FootnoteReference"/>
          <w:rFonts w:ascii="Arial" w:hAnsi="Arial" w:cs="Arial"/>
          <w:lang w:val="en-ZA"/>
        </w:rPr>
        <w:footnoteReference w:id="2"/>
      </w:r>
      <w:r w:rsidR="0042344A" w:rsidRPr="00486CE3">
        <w:rPr>
          <w:rFonts w:ascii="Arial" w:hAnsi="Arial" w:cs="Arial"/>
          <w:lang w:val="en-ZA"/>
        </w:rPr>
        <w:t xml:space="preserve"> </w:t>
      </w:r>
      <w:r w:rsidRPr="00486CE3">
        <w:rPr>
          <w:rFonts w:ascii="Arial" w:hAnsi="Arial" w:cs="Arial"/>
          <w:lang w:val="en-ZA"/>
        </w:rPr>
        <w:t>For ease of reference I will refer to it as the first will</w:t>
      </w:r>
      <w:r w:rsidR="00891BDA" w:rsidRPr="00486CE3">
        <w:rPr>
          <w:rFonts w:ascii="Arial" w:hAnsi="Arial" w:cs="Arial"/>
          <w:lang w:val="en-ZA"/>
        </w:rPr>
        <w:t>.</w:t>
      </w:r>
      <w:r w:rsidRPr="00486CE3">
        <w:rPr>
          <w:rFonts w:ascii="Arial" w:hAnsi="Arial" w:cs="Arial"/>
          <w:lang w:val="en-ZA"/>
        </w:rPr>
        <w:t xml:space="preserve"> </w:t>
      </w:r>
      <w:r w:rsidR="00891BDA" w:rsidRPr="00486CE3">
        <w:rPr>
          <w:rFonts w:ascii="Arial" w:hAnsi="Arial" w:cs="Arial"/>
          <w:lang w:val="en-ZA"/>
        </w:rPr>
        <w:t>T</w:t>
      </w:r>
      <w:r w:rsidR="0042344A" w:rsidRPr="00486CE3">
        <w:rPr>
          <w:rFonts w:ascii="Arial" w:hAnsi="Arial" w:cs="Arial"/>
          <w:lang w:val="en-ZA"/>
        </w:rPr>
        <w:t>his</w:t>
      </w:r>
      <w:r w:rsidR="00891BDA" w:rsidRPr="00486CE3">
        <w:rPr>
          <w:rFonts w:ascii="Arial" w:hAnsi="Arial" w:cs="Arial"/>
          <w:lang w:val="en-ZA"/>
        </w:rPr>
        <w:t xml:space="preserve"> </w:t>
      </w:r>
      <w:r w:rsidR="0042344A" w:rsidRPr="00486CE3">
        <w:rPr>
          <w:rFonts w:ascii="Arial" w:hAnsi="Arial" w:cs="Arial"/>
          <w:lang w:val="en-ZA"/>
        </w:rPr>
        <w:t>will was revoked or cancelled by the subseque</w:t>
      </w:r>
      <w:r w:rsidR="00891BDA" w:rsidRPr="00486CE3">
        <w:rPr>
          <w:rFonts w:ascii="Arial" w:hAnsi="Arial" w:cs="Arial"/>
          <w:lang w:val="en-ZA"/>
        </w:rPr>
        <w:t>nt will attested to on 28</w:t>
      </w:r>
      <w:r w:rsidR="0042344A" w:rsidRPr="00486CE3">
        <w:rPr>
          <w:rFonts w:ascii="Arial" w:hAnsi="Arial" w:cs="Arial"/>
          <w:lang w:val="en-ZA"/>
        </w:rPr>
        <w:t xml:space="preserve"> March 2018.</w:t>
      </w:r>
      <w:r w:rsidR="00891BDA" w:rsidRPr="00486CE3">
        <w:rPr>
          <w:rStyle w:val="FootnoteReference"/>
          <w:rFonts w:ascii="Arial" w:hAnsi="Arial" w:cs="Arial"/>
          <w:lang w:val="en-ZA"/>
        </w:rPr>
        <w:footnoteReference w:id="3"/>
      </w:r>
      <w:r w:rsidR="007C033C" w:rsidRPr="00486CE3">
        <w:rPr>
          <w:rFonts w:ascii="Arial" w:hAnsi="Arial" w:cs="Arial"/>
          <w:lang w:val="en-ZA"/>
        </w:rPr>
        <w:t xml:space="preserve"> This will be referred to as the second will.</w:t>
      </w:r>
      <w:r w:rsidR="00891BDA" w:rsidRPr="00486CE3">
        <w:rPr>
          <w:rFonts w:ascii="Arial" w:hAnsi="Arial" w:cs="Arial"/>
          <w:lang w:val="en-ZA"/>
        </w:rPr>
        <w:t xml:space="preserve"> The bequest mentioned in the first will</w:t>
      </w:r>
      <w:r w:rsidR="007C033C" w:rsidRPr="00486CE3">
        <w:rPr>
          <w:rFonts w:ascii="Arial" w:hAnsi="Arial" w:cs="Arial"/>
          <w:lang w:val="en-ZA"/>
        </w:rPr>
        <w:t xml:space="preserve"> was </w:t>
      </w:r>
      <w:r w:rsidR="0042344A" w:rsidRPr="00486CE3">
        <w:rPr>
          <w:rFonts w:ascii="Arial" w:hAnsi="Arial" w:cs="Arial"/>
          <w:lang w:val="en-ZA"/>
        </w:rPr>
        <w:t>excluded a</w:t>
      </w:r>
      <w:r w:rsidR="00CC3C0B" w:rsidRPr="00486CE3">
        <w:rPr>
          <w:rFonts w:ascii="Arial" w:hAnsi="Arial" w:cs="Arial"/>
          <w:lang w:val="en-ZA"/>
        </w:rPr>
        <w:t xml:space="preserve">nd certain loans were recorded </w:t>
      </w:r>
      <w:r w:rsidR="00891BDA" w:rsidRPr="00486CE3">
        <w:rPr>
          <w:rFonts w:ascii="Arial" w:hAnsi="Arial" w:cs="Arial"/>
          <w:lang w:val="en-ZA"/>
        </w:rPr>
        <w:t xml:space="preserve">between the deceased and </w:t>
      </w:r>
      <w:r w:rsidR="002D27DE" w:rsidRPr="00486CE3">
        <w:rPr>
          <w:rFonts w:ascii="Arial" w:hAnsi="Arial" w:cs="Arial"/>
          <w:lang w:val="en-ZA"/>
        </w:rPr>
        <w:t xml:space="preserve">the </w:t>
      </w:r>
      <w:r w:rsidR="00891BDA" w:rsidRPr="00486CE3">
        <w:rPr>
          <w:rFonts w:ascii="Arial" w:hAnsi="Arial" w:cs="Arial"/>
          <w:lang w:val="en-ZA"/>
        </w:rPr>
        <w:t>first res</w:t>
      </w:r>
      <w:r w:rsidR="002D27DE" w:rsidRPr="00486CE3">
        <w:rPr>
          <w:rFonts w:ascii="Arial" w:hAnsi="Arial" w:cs="Arial"/>
          <w:lang w:val="en-ZA"/>
        </w:rPr>
        <w:t>p</w:t>
      </w:r>
      <w:r w:rsidR="00891BDA" w:rsidRPr="00486CE3">
        <w:rPr>
          <w:rFonts w:ascii="Arial" w:hAnsi="Arial" w:cs="Arial"/>
          <w:lang w:val="en-ZA"/>
        </w:rPr>
        <w:t>ondent. Pertinently</w:t>
      </w:r>
      <w:r w:rsidR="0042344A" w:rsidRPr="00486CE3">
        <w:rPr>
          <w:rFonts w:ascii="Arial" w:hAnsi="Arial" w:cs="Arial"/>
          <w:lang w:val="en-ZA"/>
        </w:rPr>
        <w:t xml:space="preserve">, the </w:t>
      </w:r>
      <w:r w:rsidR="00DE730A" w:rsidRPr="00486CE3">
        <w:rPr>
          <w:rFonts w:ascii="Arial" w:hAnsi="Arial" w:cs="Arial"/>
          <w:lang w:val="en-ZA"/>
        </w:rPr>
        <w:t>deceased</w:t>
      </w:r>
      <w:r w:rsidR="0042344A" w:rsidRPr="00486CE3">
        <w:rPr>
          <w:rFonts w:ascii="Arial" w:hAnsi="Arial" w:cs="Arial"/>
          <w:lang w:val="en-ZA"/>
        </w:rPr>
        <w:t xml:space="preserve"> had bequeathed to the first respondent to her any amount still owed to him at the time of his death.</w:t>
      </w:r>
    </w:p>
    <w:p w:rsidR="000E409B" w:rsidRPr="00486CE3" w:rsidRDefault="000E409B" w:rsidP="007969A2">
      <w:pPr>
        <w:spacing w:line="360" w:lineRule="auto"/>
        <w:ind w:left="851" w:hanging="851"/>
        <w:jc w:val="both"/>
        <w:rPr>
          <w:rFonts w:ascii="Arial" w:hAnsi="Arial" w:cs="Arial"/>
          <w:lang w:val="en-ZA"/>
        </w:rPr>
      </w:pPr>
    </w:p>
    <w:p w:rsidR="007C033C" w:rsidRPr="00486CE3" w:rsidRDefault="00891BDA" w:rsidP="001B1AEE">
      <w:pPr>
        <w:spacing w:line="360" w:lineRule="auto"/>
        <w:ind w:left="851" w:hanging="851"/>
        <w:jc w:val="both"/>
        <w:rPr>
          <w:rFonts w:ascii="Arial" w:hAnsi="Arial" w:cs="Arial"/>
          <w:lang w:val="en-ZA"/>
        </w:rPr>
      </w:pPr>
      <w:r w:rsidRPr="00486CE3">
        <w:rPr>
          <w:rFonts w:ascii="Arial" w:hAnsi="Arial" w:cs="Arial"/>
          <w:lang w:val="en-ZA"/>
        </w:rPr>
        <w:t>[5</w:t>
      </w:r>
      <w:r w:rsidR="000E409B" w:rsidRPr="00486CE3">
        <w:rPr>
          <w:rFonts w:ascii="Arial" w:hAnsi="Arial" w:cs="Arial"/>
          <w:lang w:val="en-ZA"/>
        </w:rPr>
        <w:t>]</w:t>
      </w:r>
      <w:r w:rsidR="000E409B" w:rsidRPr="00486CE3">
        <w:rPr>
          <w:rFonts w:ascii="Arial" w:hAnsi="Arial" w:cs="Arial"/>
          <w:lang w:val="en-ZA"/>
        </w:rPr>
        <w:tab/>
      </w:r>
      <w:r w:rsidR="003A6272" w:rsidRPr="00486CE3">
        <w:rPr>
          <w:rFonts w:ascii="Arial" w:hAnsi="Arial" w:cs="Arial"/>
          <w:lang w:val="en-ZA"/>
        </w:rPr>
        <w:t xml:space="preserve">The </w:t>
      </w:r>
      <w:r w:rsidR="0042344A" w:rsidRPr="00486CE3">
        <w:rPr>
          <w:rFonts w:ascii="Arial" w:hAnsi="Arial" w:cs="Arial"/>
          <w:lang w:val="en-ZA"/>
        </w:rPr>
        <w:t xml:space="preserve">contested subject matter was acquired by the </w:t>
      </w:r>
      <w:r w:rsidR="00DE730A" w:rsidRPr="00486CE3">
        <w:rPr>
          <w:rFonts w:ascii="Arial" w:hAnsi="Arial" w:cs="Arial"/>
          <w:lang w:val="en-ZA"/>
        </w:rPr>
        <w:t>deceased</w:t>
      </w:r>
      <w:r w:rsidR="003A5CC1" w:rsidRPr="00486CE3">
        <w:rPr>
          <w:rFonts w:ascii="Arial" w:hAnsi="Arial" w:cs="Arial"/>
          <w:lang w:val="en-ZA"/>
        </w:rPr>
        <w:t xml:space="preserve"> and registered in his name on 5 November 2008. It </w:t>
      </w:r>
      <w:r w:rsidR="0042344A" w:rsidRPr="00486CE3">
        <w:rPr>
          <w:rFonts w:ascii="Arial" w:hAnsi="Arial" w:cs="Arial"/>
          <w:lang w:val="en-ZA"/>
        </w:rPr>
        <w:t xml:space="preserve">was for his </w:t>
      </w:r>
      <w:r w:rsidR="002E463E" w:rsidRPr="00486CE3">
        <w:rPr>
          <w:rFonts w:ascii="Arial" w:hAnsi="Arial" w:cs="Arial"/>
          <w:lang w:val="en-ZA"/>
        </w:rPr>
        <w:t>per</w:t>
      </w:r>
      <w:r w:rsidR="003A5CC1" w:rsidRPr="00486CE3">
        <w:rPr>
          <w:rFonts w:ascii="Arial" w:hAnsi="Arial" w:cs="Arial"/>
          <w:lang w:val="en-ZA"/>
        </w:rPr>
        <w:t>sonal everyday use. In March 201</w:t>
      </w:r>
      <w:r w:rsidR="002E463E" w:rsidRPr="00486CE3">
        <w:rPr>
          <w:rFonts w:ascii="Arial" w:hAnsi="Arial" w:cs="Arial"/>
          <w:lang w:val="en-ZA"/>
        </w:rPr>
        <w:t xml:space="preserve">0 he bought a Mercedes Benz S320 for the first respondent. </w:t>
      </w:r>
      <w:r w:rsidR="003A5CC1" w:rsidRPr="00486CE3">
        <w:rPr>
          <w:rFonts w:ascii="Arial" w:hAnsi="Arial" w:cs="Arial"/>
          <w:lang w:val="en-ZA"/>
        </w:rPr>
        <w:t>Initially the X</w:t>
      </w:r>
      <w:r w:rsidR="002D27DE" w:rsidRPr="00486CE3">
        <w:rPr>
          <w:rFonts w:ascii="Arial" w:hAnsi="Arial" w:cs="Arial"/>
          <w:lang w:val="en-ZA"/>
        </w:rPr>
        <w:t>-Trail was used by the deceased and the first respondent.</w:t>
      </w:r>
      <w:r w:rsidR="002E463E" w:rsidRPr="00486CE3">
        <w:rPr>
          <w:rFonts w:ascii="Arial" w:hAnsi="Arial" w:cs="Arial"/>
          <w:lang w:val="en-ZA"/>
        </w:rPr>
        <w:t xml:space="preserve"> As his health deteriorated, he desisted from driving </w:t>
      </w:r>
      <w:r w:rsidR="002D27DE" w:rsidRPr="00486CE3">
        <w:rPr>
          <w:rFonts w:ascii="Arial" w:hAnsi="Arial" w:cs="Arial"/>
          <w:lang w:val="en-ZA"/>
        </w:rPr>
        <w:t>the X-Trail from November 2020</w:t>
      </w:r>
      <w:r w:rsidR="002E463E" w:rsidRPr="00486CE3">
        <w:rPr>
          <w:rFonts w:ascii="Arial" w:hAnsi="Arial" w:cs="Arial"/>
          <w:lang w:val="en-ZA"/>
        </w:rPr>
        <w:t>.</w:t>
      </w:r>
      <w:r w:rsidR="002D27DE" w:rsidRPr="00486CE3">
        <w:rPr>
          <w:rFonts w:ascii="Arial" w:hAnsi="Arial" w:cs="Arial"/>
          <w:lang w:val="en-ZA"/>
        </w:rPr>
        <w:t xml:space="preserve"> It was used on daily basis by the first respondent for their household and farming activities.</w:t>
      </w:r>
      <w:r w:rsidR="002E463E" w:rsidRPr="00486CE3">
        <w:rPr>
          <w:rFonts w:ascii="Arial" w:hAnsi="Arial" w:cs="Arial"/>
          <w:lang w:val="en-ZA"/>
        </w:rPr>
        <w:t xml:space="preserve"> For all intents and purposes, the possession of the motor vehicle resides with the first respondent. Before engaging</w:t>
      </w:r>
      <w:r w:rsidR="00E119AD" w:rsidRPr="00486CE3">
        <w:rPr>
          <w:rFonts w:ascii="Arial" w:hAnsi="Arial" w:cs="Arial"/>
          <w:lang w:val="en-ZA"/>
        </w:rPr>
        <w:t xml:space="preserve"> in this litigation, the parties reasoned with each other</w:t>
      </w:r>
      <w:r w:rsidR="002D27DE" w:rsidRPr="00486CE3">
        <w:rPr>
          <w:rFonts w:ascii="Arial" w:hAnsi="Arial" w:cs="Arial"/>
          <w:lang w:val="en-ZA"/>
        </w:rPr>
        <w:t xml:space="preserve"> through letters</w:t>
      </w:r>
      <w:r w:rsidR="00E119AD" w:rsidRPr="00486CE3">
        <w:rPr>
          <w:rFonts w:ascii="Arial" w:hAnsi="Arial" w:cs="Arial"/>
          <w:lang w:val="en-ZA"/>
        </w:rPr>
        <w:t xml:space="preserve"> for the return or continued possession of the </w:t>
      </w:r>
      <w:r w:rsidR="002D27DE" w:rsidRPr="00486CE3">
        <w:rPr>
          <w:rFonts w:ascii="Arial" w:hAnsi="Arial" w:cs="Arial"/>
          <w:lang w:val="en-ZA"/>
        </w:rPr>
        <w:t>X-Trail which did not produce any solution</w:t>
      </w:r>
      <w:r w:rsidR="00E119AD" w:rsidRPr="00486CE3">
        <w:rPr>
          <w:rFonts w:ascii="Arial" w:hAnsi="Arial" w:cs="Arial"/>
          <w:lang w:val="en-ZA"/>
        </w:rPr>
        <w:t>. It is apparen</w:t>
      </w:r>
      <w:r w:rsidR="002D27DE" w:rsidRPr="00486CE3">
        <w:rPr>
          <w:rFonts w:ascii="Arial" w:hAnsi="Arial" w:cs="Arial"/>
          <w:lang w:val="en-ZA"/>
        </w:rPr>
        <w:t>t that they have different opinions</w:t>
      </w:r>
      <w:r w:rsidR="00E119AD" w:rsidRPr="00486CE3">
        <w:rPr>
          <w:rFonts w:ascii="Arial" w:hAnsi="Arial" w:cs="Arial"/>
          <w:lang w:val="en-ZA"/>
        </w:rPr>
        <w:t xml:space="preserve"> about </w:t>
      </w:r>
      <w:r w:rsidR="002D27DE" w:rsidRPr="00486CE3">
        <w:rPr>
          <w:rFonts w:ascii="Arial" w:hAnsi="Arial" w:cs="Arial"/>
          <w:lang w:val="en-ZA"/>
        </w:rPr>
        <w:t>both the facts and law underpinning</w:t>
      </w:r>
      <w:r w:rsidR="007C033C" w:rsidRPr="00486CE3">
        <w:rPr>
          <w:rFonts w:ascii="Arial" w:hAnsi="Arial" w:cs="Arial"/>
          <w:lang w:val="en-ZA"/>
        </w:rPr>
        <w:t xml:space="preserve"> their contentions</w:t>
      </w:r>
      <w:r w:rsidR="00E119AD" w:rsidRPr="00486CE3">
        <w:rPr>
          <w:rFonts w:ascii="Arial" w:hAnsi="Arial" w:cs="Arial"/>
          <w:lang w:val="en-ZA"/>
        </w:rPr>
        <w:t>.</w:t>
      </w:r>
      <w:r w:rsidR="002D27DE" w:rsidRPr="00486CE3">
        <w:rPr>
          <w:rStyle w:val="FootnoteReference"/>
          <w:rFonts w:ascii="Arial" w:hAnsi="Arial" w:cs="Arial"/>
          <w:lang w:val="en-ZA"/>
        </w:rPr>
        <w:footnoteReference w:id="4"/>
      </w:r>
    </w:p>
    <w:p w:rsidR="001267DD" w:rsidRPr="00486CE3" w:rsidRDefault="001267DD" w:rsidP="001B1AEE">
      <w:pPr>
        <w:spacing w:line="360" w:lineRule="auto"/>
        <w:ind w:left="851" w:hanging="851"/>
        <w:jc w:val="both"/>
        <w:rPr>
          <w:rFonts w:ascii="Arial" w:hAnsi="Arial" w:cs="Arial"/>
          <w:b/>
          <w:u w:val="single"/>
          <w:lang w:val="en-ZA"/>
        </w:rPr>
      </w:pPr>
    </w:p>
    <w:p w:rsidR="00E119AD" w:rsidRPr="00486CE3" w:rsidRDefault="00E119AD" w:rsidP="00E119AD">
      <w:pPr>
        <w:spacing w:line="360" w:lineRule="auto"/>
        <w:jc w:val="both"/>
        <w:rPr>
          <w:rFonts w:ascii="Arial" w:hAnsi="Arial" w:cs="Arial"/>
          <w:lang w:val="en-ZA"/>
        </w:rPr>
      </w:pPr>
      <w:r w:rsidRPr="00486CE3">
        <w:rPr>
          <w:rFonts w:ascii="Arial" w:hAnsi="Arial" w:cs="Arial"/>
          <w:b/>
          <w:u w:val="single"/>
          <w:lang w:val="en-ZA"/>
        </w:rPr>
        <w:lastRenderedPageBreak/>
        <w:t>Contentions of the parties</w:t>
      </w:r>
    </w:p>
    <w:p w:rsidR="006156A6" w:rsidRPr="00486CE3" w:rsidRDefault="006156A6" w:rsidP="007969A2">
      <w:pPr>
        <w:spacing w:line="360" w:lineRule="auto"/>
        <w:ind w:left="851" w:hanging="851"/>
        <w:jc w:val="both"/>
        <w:rPr>
          <w:rFonts w:ascii="Arial" w:hAnsi="Arial" w:cs="Arial"/>
          <w:lang w:val="en-ZA"/>
        </w:rPr>
      </w:pPr>
    </w:p>
    <w:p w:rsidR="00240527" w:rsidRPr="00486CE3" w:rsidRDefault="001267DD" w:rsidP="007969A2">
      <w:pPr>
        <w:spacing w:line="360" w:lineRule="auto"/>
        <w:ind w:left="851" w:hanging="851"/>
        <w:jc w:val="both"/>
        <w:rPr>
          <w:rFonts w:ascii="Arial" w:hAnsi="Arial" w:cs="Arial"/>
          <w:lang w:val="en-ZA"/>
        </w:rPr>
      </w:pPr>
      <w:r w:rsidRPr="00486CE3">
        <w:rPr>
          <w:rFonts w:ascii="Arial" w:hAnsi="Arial" w:cs="Arial"/>
          <w:lang w:val="en-ZA"/>
        </w:rPr>
        <w:t>[6</w:t>
      </w:r>
      <w:r w:rsidR="00930AAA" w:rsidRPr="00486CE3">
        <w:rPr>
          <w:rFonts w:ascii="Arial" w:hAnsi="Arial" w:cs="Arial"/>
          <w:lang w:val="en-ZA"/>
        </w:rPr>
        <w:t>]</w:t>
      </w:r>
      <w:r w:rsidR="00930AAA" w:rsidRPr="00486CE3">
        <w:rPr>
          <w:rFonts w:ascii="Arial" w:hAnsi="Arial" w:cs="Arial"/>
          <w:lang w:val="en-ZA"/>
        </w:rPr>
        <w:tab/>
      </w:r>
      <w:r w:rsidR="00E119AD" w:rsidRPr="00486CE3">
        <w:rPr>
          <w:rFonts w:ascii="Arial" w:hAnsi="Arial" w:cs="Arial"/>
          <w:lang w:val="en-ZA"/>
        </w:rPr>
        <w:t>The contentions</w:t>
      </w:r>
      <w:r w:rsidR="00230590" w:rsidRPr="00486CE3">
        <w:rPr>
          <w:rFonts w:ascii="Arial" w:hAnsi="Arial" w:cs="Arial"/>
          <w:lang w:val="en-ZA"/>
        </w:rPr>
        <w:t xml:space="preserve"> raised on</w:t>
      </w:r>
      <w:r w:rsidRPr="00486CE3">
        <w:rPr>
          <w:rFonts w:ascii="Arial" w:hAnsi="Arial" w:cs="Arial"/>
          <w:lang w:val="en-ZA"/>
        </w:rPr>
        <w:t xml:space="preserve"> behalf of the applicants are based on</w:t>
      </w:r>
      <w:r w:rsidR="00230590" w:rsidRPr="00486CE3">
        <w:rPr>
          <w:rFonts w:ascii="Arial" w:hAnsi="Arial" w:cs="Arial"/>
          <w:lang w:val="en-ZA"/>
        </w:rPr>
        <w:t xml:space="preserve"> the provisions of the Administration of Estates Act 66 of 1965. </w:t>
      </w:r>
      <w:r w:rsidRPr="00486CE3">
        <w:rPr>
          <w:rFonts w:ascii="Arial" w:hAnsi="Arial" w:cs="Arial"/>
          <w:lang w:val="en-ZA"/>
        </w:rPr>
        <w:t>The topics covered detailed aspect</w:t>
      </w:r>
      <w:r w:rsidR="007C033C" w:rsidRPr="00486CE3">
        <w:rPr>
          <w:rFonts w:ascii="Arial" w:hAnsi="Arial" w:cs="Arial"/>
          <w:lang w:val="en-ZA"/>
        </w:rPr>
        <w:t>s</w:t>
      </w:r>
      <w:r w:rsidRPr="00486CE3">
        <w:rPr>
          <w:rFonts w:ascii="Arial" w:hAnsi="Arial" w:cs="Arial"/>
          <w:lang w:val="en-ZA"/>
        </w:rPr>
        <w:t xml:space="preserve"> of the administration of the estate</w:t>
      </w:r>
      <w:r w:rsidR="00230590" w:rsidRPr="00486CE3">
        <w:rPr>
          <w:rFonts w:ascii="Arial" w:hAnsi="Arial" w:cs="Arial"/>
          <w:lang w:val="en-ZA"/>
        </w:rPr>
        <w:t xml:space="preserve"> from reporting the estate, retention of possession of the property prior to the appointment of the executor and surrenderin</w:t>
      </w:r>
      <w:r w:rsidRPr="00486CE3">
        <w:rPr>
          <w:rFonts w:ascii="Arial" w:hAnsi="Arial" w:cs="Arial"/>
          <w:lang w:val="en-ZA"/>
        </w:rPr>
        <w:t>g the property</w:t>
      </w:r>
      <w:r w:rsidR="00230590" w:rsidRPr="00486CE3">
        <w:rPr>
          <w:rFonts w:ascii="Arial" w:hAnsi="Arial" w:cs="Arial"/>
          <w:lang w:val="en-ZA"/>
        </w:rPr>
        <w:t xml:space="preserve"> when such a demand i</w:t>
      </w:r>
      <w:r w:rsidRPr="00486CE3">
        <w:rPr>
          <w:rFonts w:ascii="Arial" w:hAnsi="Arial" w:cs="Arial"/>
          <w:lang w:val="en-ZA"/>
        </w:rPr>
        <w:t>s made to do so</w:t>
      </w:r>
      <w:r w:rsidR="007C033C" w:rsidRPr="00486CE3">
        <w:rPr>
          <w:rFonts w:ascii="Arial" w:hAnsi="Arial" w:cs="Arial"/>
          <w:lang w:val="en-ZA"/>
        </w:rPr>
        <w:t xml:space="preserve"> once the executor has been appointed</w:t>
      </w:r>
      <w:r w:rsidRPr="00486CE3">
        <w:rPr>
          <w:rFonts w:ascii="Arial" w:hAnsi="Arial" w:cs="Arial"/>
          <w:lang w:val="en-ZA"/>
        </w:rPr>
        <w:t>. The emphasis made was</w:t>
      </w:r>
      <w:r w:rsidR="00230590" w:rsidRPr="00486CE3">
        <w:rPr>
          <w:rFonts w:ascii="Arial" w:hAnsi="Arial" w:cs="Arial"/>
          <w:lang w:val="en-ZA"/>
        </w:rPr>
        <w:t xml:space="preserve"> that the property belonging to the estate must be under the control and custody of the executor not the claimant irrespective of the source</w:t>
      </w:r>
      <w:r w:rsidRPr="00486CE3">
        <w:rPr>
          <w:rFonts w:ascii="Arial" w:hAnsi="Arial" w:cs="Arial"/>
          <w:lang w:val="en-ZA"/>
        </w:rPr>
        <w:t xml:space="preserve"> of his right. This assertion was</w:t>
      </w:r>
      <w:r w:rsidR="00230590" w:rsidRPr="00486CE3">
        <w:rPr>
          <w:rFonts w:ascii="Arial" w:hAnsi="Arial" w:cs="Arial"/>
          <w:lang w:val="en-ZA"/>
        </w:rPr>
        <w:t xml:space="preserve"> made against the background that the motor vehicle is the property of the estate.</w:t>
      </w:r>
    </w:p>
    <w:p w:rsidR="001267DD" w:rsidRPr="00486CE3" w:rsidRDefault="001267DD" w:rsidP="007969A2">
      <w:pPr>
        <w:spacing w:line="360" w:lineRule="auto"/>
        <w:ind w:left="851" w:hanging="851"/>
        <w:jc w:val="both"/>
        <w:rPr>
          <w:rFonts w:ascii="Arial" w:hAnsi="Arial" w:cs="Arial"/>
          <w:lang w:val="en-ZA"/>
        </w:rPr>
      </w:pPr>
    </w:p>
    <w:p w:rsidR="000C2B32" w:rsidRPr="00486CE3" w:rsidRDefault="00240527" w:rsidP="007969A2">
      <w:pPr>
        <w:spacing w:line="360" w:lineRule="auto"/>
        <w:ind w:left="851" w:hanging="851"/>
        <w:jc w:val="both"/>
        <w:rPr>
          <w:rFonts w:ascii="Arial" w:hAnsi="Arial" w:cs="Arial"/>
          <w:lang w:val="en-ZA"/>
        </w:rPr>
      </w:pPr>
      <w:r w:rsidRPr="00486CE3">
        <w:rPr>
          <w:rFonts w:ascii="Arial" w:hAnsi="Arial" w:cs="Arial"/>
          <w:lang w:val="en-ZA"/>
        </w:rPr>
        <w:t>[</w:t>
      </w:r>
      <w:r w:rsidR="001267DD" w:rsidRPr="00486CE3">
        <w:rPr>
          <w:rFonts w:ascii="Arial" w:hAnsi="Arial" w:cs="Arial"/>
          <w:lang w:val="en-ZA"/>
        </w:rPr>
        <w:t>7</w:t>
      </w:r>
      <w:r w:rsidRPr="00486CE3">
        <w:rPr>
          <w:rFonts w:ascii="Arial" w:hAnsi="Arial" w:cs="Arial"/>
          <w:lang w:val="en-ZA"/>
        </w:rPr>
        <w:t>]</w:t>
      </w:r>
      <w:r w:rsidRPr="00486CE3">
        <w:rPr>
          <w:rFonts w:ascii="Arial" w:hAnsi="Arial" w:cs="Arial"/>
          <w:lang w:val="en-ZA"/>
        </w:rPr>
        <w:tab/>
      </w:r>
      <w:r w:rsidR="003F517B" w:rsidRPr="00486CE3">
        <w:rPr>
          <w:rFonts w:ascii="Arial" w:hAnsi="Arial" w:cs="Arial"/>
          <w:lang w:val="en-ZA"/>
        </w:rPr>
        <w:t xml:space="preserve">The </w:t>
      </w:r>
      <w:r w:rsidR="00230590" w:rsidRPr="00486CE3">
        <w:rPr>
          <w:rFonts w:ascii="Arial" w:hAnsi="Arial" w:cs="Arial"/>
          <w:lang w:val="en-ZA"/>
        </w:rPr>
        <w:t xml:space="preserve">second </w:t>
      </w:r>
      <w:r w:rsidR="001267DD" w:rsidRPr="00486CE3">
        <w:rPr>
          <w:rFonts w:ascii="Arial" w:hAnsi="Arial" w:cs="Arial"/>
          <w:lang w:val="en-ZA"/>
        </w:rPr>
        <w:t xml:space="preserve">point raised concerned </w:t>
      </w:r>
      <w:r w:rsidR="002D0152" w:rsidRPr="00486CE3">
        <w:rPr>
          <w:rFonts w:ascii="Arial" w:hAnsi="Arial" w:cs="Arial"/>
          <w:lang w:val="en-ZA"/>
        </w:rPr>
        <w:t>the correct approach to the interpretat</w:t>
      </w:r>
      <w:r w:rsidR="001267DD" w:rsidRPr="00486CE3">
        <w:rPr>
          <w:rFonts w:ascii="Arial" w:hAnsi="Arial" w:cs="Arial"/>
          <w:lang w:val="en-ZA"/>
        </w:rPr>
        <w:t>ion of contracts. Counsel placed heavy reliance</w:t>
      </w:r>
      <w:r w:rsidR="002D0152" w:rsidRPr="00486CE3">
        <w:rPr>
          <w:rFonts w:ascii="Arial" w:hAnsi="Arial" w:cs="Arial"/>
          <w:lang w:val="en-ZA"/>
        </w:rPr>
        <w:t xml:space="preserve"> on the often-quoted passage in the </w:t>
      </w:r>
      <w:r w:rsidR="002D0152" w:rsidRPr="00486CE3">
        <w:rPr>
          <w:rFonts w:ascii="Arial" w:hAnsi="Arial" w:cs="Arial"/>
          <w:b/>
          <w:bCs/>
          <w:lang w:val="en-ZA"/>
        </w:rPr>
        <w:t xml:space="preserve">Natal Joint Municipal Pension Fund v </w:t>
      </w:r>
      <w:r w:rsidR="00CC3C0B" w:rsidRPr="00486CE3">
        <w:rPr>
          <w:rFonts w:ascii="Arial" w:hAnsi="Arial" w:cs="Arial"/>
          <w:b/>
          <w:bCs/>
          <w:lang w:val="en-ZA"/>
        </w:rPr>
        <w:t>Endum</w:t>
      </w:r>
      <w:r w:rsidR="002D0152" w:rsidRPr="00486CE3">
        <w:rPr>
          <w:rFonts w:ascii="Arial" w:hAnsi="Arial" w:cs="Arial"/>
          <w:b/>
          <w:bCs/>
          <w:lang w:val="en-ZA"/>
        </w:rPr>
        <w:t xml:space="preserve">eni Municipality </w:t>
      </w:r>
      <w:r w:rsidR="002D0152" w:rsidRPr="00486CE3">
        <w:rPr>
          <w:rFonts w:ascii="Arial" w:hAnsi="Arial" w:cs="Arial"/>
          <w:lang w:val="en-ZA"/>
        </w:rPr>
        <w:t xml:space="preserve">where the Supreme Court of Appeal restated the </w:t>
      </w:r>
      <w:r w:rsidR="001267DD" w:rsidRPr="00486CE3">
        <w:rPr>
          <w:rFonts w:ascii="Arial" w:hAnsi="Arial" w:cs="Arial"/>
          <w:lang w:val="en-ZA"/>
        </w:rPr>
        <w:t>principles of interpretation</w:t>
      </w:r>
      <w:r w:rsidR="002D0152" w:rsidRPr="00486CE3">
        <w:rPr>
          <w:rFonts w:ascii="Arial" w:hAnsi="Arial" w:cs="Arial"/>
          <w:lang w:val="en-ZA"/>
        </w:rPr>
        <w:t>. The quinte</w:t>
      </w:r>
      <w:r w:rsidR="00DD1EF2" w:rsidRPr="00486CE3">
        <w:rPr>
          <w:rFonts w:ascii="Arial" w:hAnsi="Arial" w:cs="Arial"/>
          <w:lang w:val="en-ZA"/>
        </w:rPr>
        <w:t>ssence of interpretation is that ‘consideration must be given to the language used in the light of the ordinary rules of grammar and syntax’.</w:t>
      </w:r>
      <w:r w:rsidR="00DD1EF2" w:rsidRPr="00486CE3">
        <w:rPr>
          <w:rStyle w:val="FootnoteReference"/>
          <w:rFonts w:ascii="Arial" w:hAnsi="Arial" w:cs="Arial"/>
          <w:lang w:val="en-ZA"/>
        </w:rPr>
        <w:footnoteReference w:id="5"/>
      </w:r>
    </w:p>
    <w:p w:rsidR="000C2B32" w:rsidRPr="00486CE3" w:rsidRDefault="000C2B32" w:rsidP="007969A2">
      <w:pPr>
        <w:spacing w:line="360" w:lineRule="auto"/>
        <w:ind w:left="851" w:hanging="851"/>
        <w:jc w:val="both"/>
        <w:rPr>
          <w:rFonts w:ascii="Arial" w:hAnsi="Arial" w:cs="Arial"/>
          <w:lang w:val="en-ZA"/>
        </w:rPr>
      </w:pPr>
    </w:p>
    <w:p w:rsidR="009E636C" w:rsidRPr="00486CE3" w:rsidRDefault="000C2B32" w:rsidP="007969A2">
      <w:pPr>
        <w:spacing w:line="360" w:lineRule="auto"/>
        <w:ind w:left="851" w:hanging="851"/>
        <w:jc w:val="both"/>
        <w:rPr>
          <w:rFonts w:ascii="Arial" w:eastAsia="Calibri" w:hAnsi="Arial" w:cs="Arial"/>
          <w:lang w:val="en-ZA"/>
        </w:rPr>
      </w:pPr>
      <w:r w:rsidRPr="00486CE3">
        <w:rPr>
          <w:rFonts w:ascii="Arial" w:hAnsi="Arial" w:cs="Arial"/>
          <w:lang w:val="en-ZA"/>
        </w:rPr>
        <w:t>[</w:t>
      </w:r>
      <w:r w:rsidR="001267DD" w:rsidRPr="00486CE3">
        <w:rPr>
          <w:rFonts w:ascii="Arial" w:hAnsi="Arial" w:cs="Arial"/>
          <w:lang w:val="en-ZA"/>
        </w:rPr>
        <w:t>8</w:t>
      </w:r>
      <w:r w:rsidRPr="00486CE3">
        <w:rPr>
          <w:rFonts w:ascii="Arial" w:hAnsi="Arial" w:cs="Arial"/>
          <w:lang w:val="en-ZA"/>
        </w:rPr>
        <w:t>]</w:t>
      </w:r>
      <w:r w:rsidRPr="00486CE3">
        <w:rPr>
          <w:rFonts w:ascii="Arial" w:hAnsi="Arial" w:cs="Arial"/>
          <w:lang w:val="en-ZA"/>
        </w:rPr>
        <w:tab/>
      </w:r>
      <w:r w:rsidR="00DD1EF2" w:rsidRPr="00486CE3">
        <w:rPr>
          <w:rFonts w:ascii="Arial" w:eastAsia="Calibri" w:hAnsi="Arial" w:cs="Arial"/>
          <w:lang w:val="en-ZA"/>
        </w:rPr>
        <w:t xml:space="preserve">Mr Zietsman for the applicants, on the third point contended that the </w:t>
      </w:r>
      <w:r w:rsidR="000E619D" w:rsidRPr="00486CE3">
        <w:rPr>
          <w:rFonts w:ascii="Arial" w:eastAsia="Calibri" w:hAnsi="Arial" w:cs="Arial"/>
          <w:lang w:val="en-ZA"/>
        </w:rPr>
        <w:t>ante-nuptial agreement</w:t>
      </w:r>
      <w:r w:rsidR="00DD1EF2" w:rsidRPr="00486CE3">
        <w:rPr>
          <w:rFonts w:ascii="Arial" w:eastAsia="Calibri" w:hAnsi="Arial" w:cs="Arial"/>
          <w:lang w:val="en-ZA"/>
        </w:rPr>
        <w:t xml:space="preserve"> does not constitute a will. He argued that although the </w:t>
      </w:r>
      <w:r w:rsidR="000E619D" w:rsidRPr="00486CE3">
        <w:rPr>
          <w:rFonts w:ascii="Arial" w:eastAsia="Calibri" w:hAnsi="Arial" w:cs="Arial"/>
          <w:lang w:val="en-ZA"/>
        </w:rPr>
        <w:t>ante-nuptial agreement</w:t>
      </w:r>
      <w:r w:rsidR="00DD1EF2" w:rsidRPr="00486CE3">
        <w:rPr>
          <w:rFonts w:ascii="Arial" w:eastAsia="Calibri" w:hAnsi="Arial" w:cs="Arial"/>
          <w:lang w:val="en-ZA"/>
        </w:rPr>
        <w:t xml:space="preserve"> may contain valid provision in regard to property to take effect upon death and may</w:t>
      </w:r>
      <w:r w:rsidR="00FB044A" w:rsidRPr="00486CE3">
        <w:rPr>
          <w:rFonts w:ascii="Arial" w:eastAsia="Calibri" w:hAnsi="Arial" w:cs="Arial"/>
          <w:lang w:val="en-ZA"/>
        </w:rPr>
        <w:t xml:space="preserve"> resemble a will, the </w:t>
      </w:r>
      <w:r w:rsidR="000E619D" w:rsidRPr="00486CE3">
        <w:rPr>
          <w:rFonts w:ascii="Arial" w:eastAsia="Calibri" w:hAnsi="Arial" w:cs="Arial"/>
          <w:lang w:val="en-ZA"/>
        </w:rPr>
        <w:t>ante-nuptial agreement</w:t>
      </w:r>
      <w:r w:rsidR="00FB044A" w:rsidRPr="00486CE3">
        <w:rPr>
          <w:rFonts w:ascii="Arial" w:eastAsia="Calibri" w:hAnsi="Arial" w:cs="Arial"/>
          <w:lang w:val="en-ZA"/>
        </w:rPr>
        <w:t xml:space="preserve"> is not deprived its character as an agreement between the parties. The </w:t>
      </w:r>
      <w:r w:rsidR="001267DD" w:rsidRPr="00486CE3">
        <w:rPr>
          <w:rFonts w:ascii="Arial" w:eastAsia="Calibri" w:hAnsi="Arial" w:cs="Arial"/>
          <w:lang w:val="en-ZA"/>
        </w:rPr>
        <w:t>nub</w:t>
      </w:r>
      <w:r w:rsidR="00FB044A" w:rsidRPr="00486CE3">
        <w:rPr>
          <w:rFonts w:ascii="Arial" w:eastAsia="Calibri" w:hAnsi="Arial" w:cs="Arial"/>
          <w:lang w:val="en-ZA"/>
        </w:rPr>
        <w:t xml:space="preserve"> of his submission is that despite</w:t>
      </w:r>
      <w:r w:rsidR="000F2E42" w:rsidRPr="00486CE3">
        <w:rPr>
          <w:rFonts w:ascii="Arial" w:eastAsia="Calibri" w:hAnsi="Arial" w:cs="Arial"/>
          <w:lang w:val="en-ZA"/>
        </w:rPr>
        <w:t xml:space="preserve"> the resemblance of such an agreement to a will, it does not make it the last will and testament. On the conspectus of evidence, he submitted that the intention of the </w:t>
      </w:r>
      <w:r w:rsidR="00DE730A" w:rsidRPr="00486CE3">
        <w:rPr>
          <w:rFonts w:ascii="Arial" w:eastAsia="Calibri" w:hAnsi="Arial" w:cs="Arial"/>
          <w:lang w:val="en-ZA"/>
        </w:rPr>
        <w:t>deceased</w:t>
      </w:r>
      <w:r w:rsidR="000F2E42" w:rsidRPr="00486CE3">
        <w:rPr>
          <w:rFonts w:ascii="Arial" w:eastAsia="Calibri" w:hAnsi="Arial" w:cs="Arial"/>
          <w:lang w:val="en-ZA"/>
        </w:rPr>
        <w:t xml:space="preserve"> clearly indicate</w:t>
      </w:r>
      <w:r w:rsidR="00B24701" w:rsidRPr="00486CE3">
        <w:rPr>
          <w:rFonts w:ascii="Arial" w:eastAsia="Calibri" w:hAnsi="Arial" w:cs="Arial"/>
          <w:lang w:val="en-ZA"/>
        </w:rPr>
        <w:t>d</w:t>
      </w:r>
      <w:r w:rsidR="000F2E42" w:rsidRPr="00486CE3">
        <w:rPr>
          <w:rFonts w:ascii="Arial" w:eastAsia="Calibri" w:hAnsi="Arial" w:cs="Arial"/>
          <w:lang w:val="en-ZA"/>
        </w:rPr>
        <w:t xml:space="preserve"> that the motor vehicle is an asset of the estate.</w:t>
      </w:r>
      <w:r w:rsidR="00B24701" w:rsidRPr="00486CE3">
        <w:rPr>
          <w:rFonts w:ascii="Arial" w:eastAsia="Calibri" w:hAnsi="Arial" w:cs="Arial"/>
          <w:lang w:val="en-ZA"/>
        </w:rPr>
        <w:t xml:space="preserve"> As a result, the first respondent has no valid ground in law not to surrender the X-Trail to the applicants.</w:t>
      </w:r>
    </w:p>
    <w:p w:rsidR="00EE1606" w:rsidRPr="00486CE3" w:rsidRDefault="00EE1606" w:rsidP="007969A2">
      <w:pPr>
        <w:spacing w:line="360" w:lineRule="auto"/>
        <w:ind w:left="851" w:hanging="851"/>
        <w:jc w:val="both"/>
        <w:rPr>
          <w:rFonts w:ascii="Arial" w:eastAsia="Calibri" w:hAnsi="Arial" w:cs="Arial"/>
          <w:lang w:val="en-ZA"/>
        </w:rPr>
      </w:pPr>
    </w:p>
    <w:p w:rsidR="007C033C" w:rsidRPr="00486CE3" w:rsidRDefault="003D4B8A" w:rsidP="007969A2">
      <w:pPr>
        <w:spacing w:line="360" w:lineRule="auto"/>
        <w:ind w:left="851" w:hanging="851"/>
        <w:jc w:val="both"/>
        <w:rPr>
          <w:rFonts w:ascii="Arial" w:eastAsia="Calibri" w:hAnsi="Arial" w:cs="Arial"/>
          <w:lang w:val="en-ZA"/>
        </w:rPr>
      </w:pPr>
      <w:r w:rsidRPr="00486CE3">
        <w:rPr>
          <w:rFonts w:ascii="Arial" w:eastAsia="Calibri" w:hAnsi="Arial" w:cs="Arial"/>
          <w:lang w:val="en-ZA"/>
        </w:rPr>
        <w:lastRenderedPageBreak/>
        <w:t>[</w:t>
      </w:r>
      <w:r w:rsidR="00B24701" w:rsidRPr="00486CE3">
        <w:rPr>
          <w:rFonts w:ascii="Arial" w:eastAsia="Calibri" w:hAnsi="Arial" w:cs="Arial"/>
          <w:lang w:val="en-ZA"/>
        </w:rPr>
        <w:t>9</w:t>
      </w:r>
      <w:r w:rsidR="000C0346" w:rsidRPr="00486CE3">
        <w:rPr>
          <w:rFonts w:ascii="Arial" w:eastAsia="Calibri" w:hAnsi="Arial" w:cs="Arial"/>
          <w:lang w:val="en-ZA"/>
        </w:rPr>
        <w:t>]</w:t>
      </w:r>
      <w:r w:rsidR="000C0346" w:rsidRPr="00486CE3">
        <w:rPr>
          <w:rFonts w:ascii="Arial" w:eastAsia="Calibri" w:hAnsi="Arial" w:cs="Arial"/>
          <w:lang w:val="en-ZA"/>
        </w:rPr>
        <w:tab/>
      </w:r>
      <w:r w:rsidR="000F2E42" w:rsidRPr="00486CE3">
        <w:rPr>
          <w:rFonts w:ascii="Arial" w:eastAsia="Calibri" w:hAnsi="Arial" w:cs="Arial"/>
          <w:lang w:val="en-ZA"/>
        </w:rPr>
        <w:t xml:space="preserve">The defence of the </w:t>
      </w:r>
      <w:r w:rsidR="00B24701" w:rsidRPr="00486CE3">
        <w:rPr>
          <w:rFonts w:ascii="Arial" w:eastAsia="Calibri" w:hAnsi="Arial" w:cs="Arial"/>
          <w:lang w:val="en-ZA"/>
        </w:rPr>
        <w:t xml:space="preserve">first respondent is </w:t>
      </w:r>
      <w:r w:rsidR="000F2E42" w:rsidRPr="00486CE3">
        <w:rPr>
          <w:rFonts w:ascii="Arial" w:eastAsia="Calibri" w:hAnsi="Arial" w:cs="Arial"/>
          <w:lang w:val="en-ZA"/>
        </w:rPr>
        <w:t xml:space="preserve">that the terms of an </w:t>
      </w:r>
      <w:r w:rsidR="00CC3C0B" w:rsidRPr="00486CE3">
        <w:rPr>
          <w:rFonts w:ascii="Arial" w:eastAsia="Calibri" w:hAnsi="Arial" w:cs="Arial"/>
          <w:lang w:val="en-ZA"/>
        </w:rPr>
        <w:t>ante-nuptial</w:t>
      </w:r>
      <w:r w:rsidR="000F2E42" w:rsidRPr="00486CE3">
        <w:rPr>
          <w:rFonts w:ascii="Arial" w:eastAsia="Calibri" w:hAnsi="Arial" w:cs="Arial"/>
          <w:lang w:val="en-ZA"/>
        </w:rPr>
        <w:t xml:space="preserve"> agreement cannot be revoked by means </w:t>
      </w:r>
      <w:r w:rsidR="00EE0B77" w:rsidRPr="00486CE3">
        <w:rPr>
          <w:rFonts w:ascii="Arial" w:eastAsia="Calibri" w:hAnsi="Arial" w:cs="Arial"/>
          <w:lang w:val="en-ZA"/>
        </w:rPr>
        <w:t xml:space="preserve">of a will without the permission of the other party. Mr Coetzee contended that the first respondent did indeed have a legitimate and protectable right in terms of a contract. That being the case, the provisions of section 26 (1) of the Administration of Estates Act 66 of 1965 stipulated that the executor had no authority to take into custody such contested property. </w:t>
      </w:r>
    </w:p>
    <w:p w:rsidR="007C033C" w:rsidRPr="00486CE3" w:rsidRDefault="007C033C" w:rsidP="007969A2">
      <w:pPr>
        <w:spacing w:line="360" w:lineRule="auto"/>
        <w:ind w:left="851" w:hanging="851"/>
        <w:jc w:val="both"/>
        <w:rPr>
          <w:rFonts w:ascii="Arial" w:eastAsia="Calibri" w:hAnsi="Arial" w:cs="Arial"/>
          <w:lang w:val="en-ZA"/>
        </w:rPr>
      </w:pPr>
    </w:p>
    <w:p w:rsidR="007C033C" w:rsidRPr="00486CE3" w:rsidRDefault="007C033C" w:rsidP="007969A2">
      <w:pPr>
        <w:spacing w:line="360" w:lineRule="auto"/>
        <w:ind w:left="851" w:hanging="851"/>
        <w:jc w:val="both"/>
        <w:rPr>
          <w:rFonts w:ascii="Arial" w:eastAsia="Calibri" w:hAnsi="Arial" w:cs="Arial"/>
          <w:lang w:val="en-ZA"/>
        </w:rPr>
      </w:pPr>
      <w:r w:rsidRPr="00486CE3">
        <w:rPr>
          <w:rFonts w:ascii="Arial" w:eastAsia="Calibri" w:hAnsi="Arial" w:cs="Arial"/>
          <w:lang w:val="en-ZA"/>
        </w:rPr>
        <w:t>[10]</w:t>
      </w:r>
      <w:r w:rsidRPr="00486CE3">
        <w:rPr>
          <w:rFonts w:ascii="Arial" w:eastAsia="Calibri" w:hAnsi="Arial" w:cs="Arial"/>
          <w:lang w:val="en-ZA"/>
        </w:rPr>
        <w:tab/>
      </w:r>
      <w:r w:rsidR="00EE0B77" w:rsidRPr="00486CE3">
        <w:rPr>
          <w:rFonts w:ascii="Arial" w:eastAsia="Calibri" w:hAnsi="Arial" w:cs="Arial"/>
          <w:lang w:val="en-ZA"/>
        </w:rPr>
        <w:t>The other point relied upon is that there is a real and genuine dispute of fact that ha</w:t>
      </w:r>
      <w:r w:rsidR="00832C17" w:rsidRPr="00486CE3">
        <w:rPr>
          <w:rFonts w:ascii="Arial" w:eastAsia="Calibri" w:hAnsi="Arial" w:cs="Arial"/>
          <w:lang w:val="en-ZA"/>
        </w:rPr>
        <w:t>s</w:t>
      </w:r>
      <w:r w:rsidR="00EE0B77" w:rsidRPr="00486CE3">
        <w:rPr>
          <w:rFonts w:ascii="Arial" w:eastAsia="Calibri" w:hAnsi="Arial" w:cs="Arial"/>
          <w:lang w:val="en-ZA"/>
        </w:rPr>
        <w:t xml:space="preserve"> arisen in the affidavits. He pointed on the dispute raised </w:t>
      </w:r>
      <w:r w:rsidR="00B24701" w:rsidRPr="00486CE3">
        <w:rPr>
          <w:rFonts w:ascii="Arial" w:eastAsia="Calibri" w:hAnsi="Arial" w:cs="Arial"/>
          <w:lang w:val="en-ZA"/>
        </w:rPr>
        <w:t>regarding who was driving</w:t>
      </w:r>
      <w:r w:rsidR="00EE0B77" w:rsidRPr="00486CE3">
        <w:rPr>
          <w:rFonts w:ascii="Arial" w:eastAsia="Calibri" w:hAnsi="Arial" w:cs="Arial"/>
          <w:lang w:val="en-ZA"/>
        </w:rPr>
        <w:t xml:space="preserve"> the motor vehicle on </w:t>
      </w:r>
      <w:r w:rsidR="004359A7" w:rsidRPr="00486CE3">
        <w:rPr>
          <w:rFonts w:ascii="Arial" w:eastAsia="Calibri" w:hAnsi="Arial" w:cs="Arial"/>
          <w:lang w:val="en-ZA"/>
        </w:rPr>
        <w:t>daily</w:t>
      </w:r>
      <w:r w:rsidR="00833215" w:rsidRPr="00486CE3">
        <w:rPr>
          <w:rFonts w:ascii="Arial" w:eastAsia="Calibri" w:hAnsi="Arial" w:cs="Arial"/>
          <w:lang w:val="en-ZA"/>
        </w:rPr>
        <w:t xml:space="preserve"> basis at the time the deceased passed away. The other dispute revolves around whether the deceased drove any motor vehicle since January 2021 or that the first re</w:t>
      </w:r>
      <w:r w:rsidR="00B24701" w:rsidRPr="00486CE3">
        <w:rPr>
          <w:rFonts w:ascii="Arial" w:eastAsia="Calibri" w:hAnsi="Arial" w:cs="Arial"/>
          <w:lang w:val="en-ZA"/>
        </w:rPr>
        <w:t>spondent drove the X-Trail since November</w:t>
      </w:r>
      <w:r w:rsidR="00833215" w:rsidRPr="00486CE3">
        <w:rPr>
          <w:rFonts w:ascii="Arial" w:eastAsia="Calibri" w:hAnsi="Arial" w:cs="Arial"/>
          <w:lang w:val="en-ZA"/>
        </w:rPr>
        <w:t xml:space="preserve"> 2020. These</w:t>
      </w:r>
      <w:r w:rsidR="00B24701" w:rsidRPr="00486CE3">
        <w:rPr>
          <w:rFonts w:ascii="Arial" w:eastAsia="Calibri" w:hAnsi="Arial" w:cs="Arial"/>
          <w:lang w:val="en-ZA"/>
        </w:rPr>
        <w:t xml:space="preserve"> issues</w:t>
      </w:r>
      <w:r w:rsidR="00833215" w:rsidRPr="00486CE3">
        <w:rPr>
          <w:rFonts w:ascii="Arial" w:eastAsia="Calibri" w:hAnsi="Arial" w:cs="Arial"/>
          <w:lang w:val="en-ZA"/>
        </w:rPr>
        <w:t xml:space="preserve"> could not be reso</w:t>
      </w:r>
      <w:r w:rsidR="00B24701" w:rsidRPr="00486CE3">
        <w:rPr>
          <w:rFonts w:ascii="Arial" w:eastAsia="Calibri" w:hAnsi="Arial" w:cs="Arial"/>
          <w:lang w:val="en-ZA"/>
        </w:rPr>
        <w:t>lved without resorting to listening to</w:t>
      </w:r>
      <w:r w:rsidR="00833215" w:rsidRPr="00486CE3">
        <w:rPr>
          <w:rFonts w:ascii="Arial" w:eastAsia="Calibri" w:hAnsi="Arial" w:cs="Arial"/>
          <w:lang w:val="en-ZA"/>
        </w:rPr>
        <w:t xml:space="preserve"> </w:t>
      </w:r>
      <w:r w:rsidR="00833215" w:rsidRPr="00486CE3">
        <w:rPr>
          <w:rFonts w:ascii="Arial" w:eastAsia="Calibri" w:hAnsi="Arial" w:cs="Arial"/>
          <w:i/>
          <w:iCs/>
          <w:lang w:val="en-ZA"/>
        </w:rPr>
        <w:t xml:space="preserve">viva voce </w:t>
      </w:r>
      <w:r w:rsidR="00833215" w:rsidRPr="00486CE3">
        <w:rPr>
          <w:rFonts w:ascii="Arial" w:eastAsia="Calibri" w:hAnsi="Arial" w:cs="Arial"/>
          <w:lang w:val="en-ZA"/>
        </w:rPr>
        <w:t xml:space="preserve">evidence. On this basis, the </w:t>
      </w:r>
      <w:r w:rsidR="00687F12" w:rsidRPr="00486CE3">
        <w:rPr>
          <w:rFonts w:ascii="Arial" w:eastAsia="Calibri" w:hAnsi="Arial" w:cs="Arial"/>
          <w:lang w:val="en-ZA"/>
        </w:rPr>
        <w:t>dispute of fact should have been fores</w:t>
      </w:r>
      <w:r w:rsidR="00B24701" w:rsidRPr="00486CE3">
        <w:rPr>
          <w:rFonts w:ascii="Arial" w:eastAsia="Calibri" w:hAnsi="Arial" w:cs="Arial"/>
          <w:lang w:val="en-ZA"/>
        </w:rPr>
        <w:t>een by the applicants. Accordingly</w:t>
      </w:r>
      <w:r w:rsidR="00687F12" w:rsidRPr="00486CE3">
        <w:rPr>
          <w:rFonts w:ascii="Arial" w:eastAsia="Calibri" w:hAnsi="Arial" w:cs="Arial"/>
          <w:lang w:val="en-ZA"/>
        </w:rPr>
        <w:t>, the application must be dismissed with costs.</w:t>
      </w:r>
    </w:p>
    <w:p w:rsidR="00687F12" w:rsidRPr="00486CE3" w:rsidRDefault="00687F12" w:rsidP="00687F12">
      <w:pPr>
        <w:spacing w:line="360" w:lineRule="auto"/>
        <w:jc w:val="both"/>
        <w:rPr>
          <w:rFonts w:ascii="Arial" w:hAnsi="Arial" w:cs="Arial"/>
          <w:b/>
          <w:u w:val="single"/>
          <w:lang w:val="en-ZA"/>
        </w:rPr>
      </w:pPr>
    </w:p>
    <w:p w:rsidR="00687F12" w:rsidRPr="00486CE3" w:rsidRDefault="00687F12" w:rsidP="00687F12">
      <w:pPr>
        <w:spacing w:line="360" w:lineRule="auto"/>
        <w:jc w:val="both"/>
        <w:rPr>
          <w:rFonts w:ascii="Arial" w:hAnsi="Arial" w:cs="Arial"/>
          <w:lang w:val="en-ZA"/>
        </w:rPr>
      </w:pPr>
      <w:r w:rsidRPr="00486CE3">
        <w:rPr>
          <w:rFonts w:ascii="Arial" w:hAnsi="Arial" w:cs="Arial"/>
          <w:b/>
          <w:u w:val="single"/>
          <w:lang w:val="en-ZA"/>
        </w:rPr>
        <w:t>Discussion</w:t>
      </w:r>
    </w:p>
    <w:p w:rsidR="00484A4A" w:rsidRPr="00486CE3" w:rsidRDefault="00484A4A" w:rsidP="007969A2">
      <w:pPr>
        <w:spacing w:line="360" w:lineRule="auto"/>
        <w:ind w:left="851" w:hanging="851"/>
        <w:jc w:val="both"/>
        <w:rPr>
          <w:rFonts w:ascii="Arial" w:hAnsi="Arial" w:cs="Arial"/>
          <w:lang w:val="en-ZA"/>
        </w:rPr>
      </w:pPr>
    </w:p>
    <w:p w:rsidR="00484A4A" w:rsidRPr="00486CE3" w:rsidRDefault="00493C72" w:rsidP="007969A2">
      <w:pPr>
        <w:spacing w:line="360" w:lineRule="auto"/>
        <w:ind w:left="851" w:hanging="851"/>
        <w:jc w:val="both"/>
        <w:rPr>
          <w:rFonts w:ascii="Arial" w:hAnsi="Arial" w:cs="Arial"/>
          <w:lang w:val="en-ZA"/>
        </w:rPr>
      </w:pPr>
      <w:r w:rsidRPr="00486CE3">
        <w:rPr>
          <w:rFonts w:ascii="Arial" w:hAnsi="Arial" w:cs="Arial"/>
          <w:lang w:val="en-ZA"/>
        </w:rPr>
        <w:t>[</w:t>
      </w:r>
      <w:r w:rsidR="007C033C" w:rsidRPr="00486CE3">
        <w:rPr>
          <w:rFonts w:ascii="Arial" w:hAnsi="Arial" w:cs="Arial"/>
          <w:lang w:val="en-ZA"/>
        </w:rPr>
        <w:t>11</w:t>
      </w:r>
      <w:r w:rsidR="00484A4A" w:rsidRPr="00486CE3">
        <w:rPr>
          <w:rFonts w:ascii="Arial" w:hAnsi="Arial" w:cs="Arial"/>
          <w:lang w:val="en-ZA"/>
        </w:rPr>
        <w:t>]</w:t>
      </w:r>
      <w:r w:rsidR="00484A4A" w:rsidRPr="00486CE3">
        <w:rPr>
          <w:rFonts w:ascii="Arial" w:hAnsi="Arial" w:cs="Arial"/>
          <w:lang w:val="en-ZA"/>
        </w:rPr>
        <w:tab/>
      </w:r>
      <w:r w:rsidRPr="00486CE3">
        <w:rPr>
          <w:rFonts w:ascii="Arial" w:hAnsi="Arial" w:cs="Arial"/>
          <w:lang w:val="en-ZA"/>
        </w:rPr>
        <w:t>Th</w:t>
      </w:r>
      <w:r w:rsidR="00687102" w:rsidRPr="00486CE3">
        <w:rPr>
          <w:rFonts w:ascii="Arial" w:hAnsi="Arial" w:cs="Arial"/>
          <w:lang w:val="en-ZA"/>
        </w:rPr>
        <w:t xml:space="preserve">e </w:t>
      </w:r>
      <w:r w:rsidR="00B24701" w:rsidRPr="00486CE3">
        <w:rPr>
          <w:rFonts w:ascii="Arial" w:hAnsi="Arial" w:cs="Arial"/>
          <w:lang w:val="en-ZA"/>
        </w:rPr>
        <w:t xml:space="preserve">first respondent alleged </w:t>
      </w:r>
      <w:r w:rsidR="00687F12" w:rsidRPr="00486CE3">
        <w:rPr>
          <w:rFonts w:ascii="Arial" w:hAnsi="Arial" w:cs="Arial"/>
          <w:lang w:val="en-ZA"/>
        </w:rPr>
        <w:t>the existence of the dispute</w:t>
      </w:r>
      <w:r w:rsidR="004500BD" w:rsidRPr="00486CE3">
        <w:rPr>
          <w:rFonts w:ascii="Arial" w:hAnsi="Arial" w:cs="Arial"/>
          <w:lang w:val="en-ZA"/>
        </w:rPr>
        <w:t xml:space="preserve"> of</w:t>
      </w:r>
      <w:r w:rsidR="00687F12" w:rsidRPr="00486CE3">
        <w:rPr>
          <w:rFonts w:ascii="Arial" w:hAnsi="Arial" w:cs="Arial"/>
          <w:lang w:val="en-ZA"/>
        </w:rPr>
        <w:t xml:space="preserve"> fact and argued that this is dispositive of the dispute between t</w:t>
      </w:r>
      <w:r w:rsidR="00B24701" w:rsidRPr="00486CE3">
        <w:rPr>
          <w:rFonts w:ascii="Arial" w:hAnsi="Arial" w:cs="Arial"/>
          <w:lang w:val="en-ZA"/>
        </w:rPr>
        <w:t xml:space="preserve">he parties. Our law is clear </w:t>
      </w:r>
      <w:r w:rsidR="00687F12" w:rsidRPr="00486CE3">
        <w:rPr>
          <w:rFonts w:ascii="Arial" w:hAnsi="Arial" w:cs="Arial"/>
          <w:lang w:val="en-ZA"/>
        </w:rPr>
        <w:t xml:space="preserve">that motion proceedings are not configured to resolve factual disputes. The proper approach to </w:t>
      </w:r>
      <w:r w:rsidR="001B451C" w:rsidRPr="00486CE3">
        <w:rPr>
          <w:rFonts w:ascii="Arial" w:hAnsi="Arial" w:cs="Arial"/>
          <w:lang w:val="en-ZA"/>
        </w:rPr>
        <w:t xml:space="preserve">be followed by a court when confronted with by such dispute of fact in motion proceedings was laid out in the often-quoted </w:t>
      </w:r>
      <w:r w:rsidR="001B451C" w:rsidRPr="00486CE3">
        <w:rPr>
          <w:rFonts w:ascii="Arial" w:hAnsi="Arial" w:cs="Arial"/>
          <w:b/>
          <w:bCs/>
          <w:lang w:val="en-ZA"/>
        </w:rPr>
        <w:t>Plascon-Evans Paints Ltd v Van Riebeeck Paints (Pty) Ltd</w:t>
      </w:r>
      <w:r w:rsidR="001B451C" w:rsidRPr="00486CE3">
        <w:rPr>
          <w:rFonts w:ascii="Arial" w:hAnsi="Arial" w:cs="Arial"/>
          <w:lang w:val="en-ZA"/>
        </w:rPr>
        <w:t>.</w:t>
      </w:r>
      <w:r w:rsidR="001B451C" w:rsidRPr="00486CE3">
        <w:rPr>
          <w:rStyle w:val="FootnoteReference"/>
          <w:rFonts w:ascii="Arial" w:hAnsi="Arial" w:cs="Arial"/>
          <w:lang w:val="en-ZA"/>
        </w:rPr>
        <w:footnoteReference w:id="6"/>
      </w:r>
      <w:r w:rsidR="001B451C" w:rsidRPr="00486CE3">
        <w:rPr>
          <w:rFonts w:ascii="Arial" w:hAnsi="Arial" w:cs="Arial"/>
          <w:lang w:val="en-ZA"/>
        </w:rPr>
        <w:t xml:space="preserve"> The aptly named Plascon-Evans Rule holds that when factual disputes arise where the applicant seeks final relief, it can only be granted if the facts averred in the applicant’s</w:t>
      </w:r>
      <w:r w:rsidR="00CA3D03" w:rsidRPr="00486CE3">
        <w:rPr>
          <w:rFonts w:ascii="Arial" w:hAnsi="Arial" w:cs="Arial"/>
          <w:lang w:val="en-ZA"/>
        </w:rPr>
        <w:t xml:space="preserve"> founding</w:t>
      </w:r>
      <w:r w:rsidR="001B451C" w:rsidRPr="00486CE3">
        <w:rPr>
          <w:rFonts w:ascii="Arial" w:hAnsi="Arial" w:cs="Arial"/>
          <w:lang w:val="en-ZA"/>
        </w:rPr>
        <w:t xml:space="preserve"> affidavit which have been admitted by the respondent together with the facts alleged by the respondent</w:t>
      </w:r>
      <w:r w:rsidR="00CA3D03" w:rsidRPr="00486CE3">
        <w:rPr>
          <w:rFonts w:ascii="Arial" w:hAnsi="Arial" w:cs="Arial"/>
          <w:lang w:val="en-ZA"/>
        </w:rPr>
        <w:t xml:space="preserve"> in the</w:t>
      </w:r>
      <w:r w:rsidR="00B24701" w:rsidRPr="00486CE3">
        <w:rPr>
          <w:rFonts w:ascii="Arial" w:hAnsi="Arial" w:cs="Arial"/>
          <w:lang w:val="en-ZA"/>
        </w:rPr>
        <w:t xml:space="preserve"> answering affidavit, justify</w:t>
      </w:r>
      <w:r w:rsidR="00CA3D03" w:rsidRPr="00486CE3">
        <w:rPr>
          <w:rFonts w:ascii="Arial" w:hAnsi="Arial" w:cs="Arial"/>
          <w:lang w:val="en-ZA"/>
        </w:rPr>
        <w:t xml:space="preserve"> the order prayed for.</w:t>
      </w:r>
    </w:p>
    <w:p w:rsidR="00484A4A" w:rsidRPr="00486CE3" w:rsidRDefault="00484A4A" w:rsidP="007969A2">
      <w:pPr>
        <w:spacing w:line="360" w:lineRule="auto"/>
        <w:ind w:left="851" w:hanging="851"/>
        <w:jc w:val="both"/>
        <w:rPr>
          <w:rFonts w:ascii="Arial" w:hAnsi="Arial" w:cs="Arial"/>
          <w:lang w:val="en-ZA"/>
        </w:rPr>
      </w:pPr>
    </w:p>
    <w:p w:rsidR="00484A4A" w:rsidRPr="00486CE3" w:rsidRDefault="003D4B8A" w:rsidP="007969A2">
      <w:pPr>
        <w:spacing w:line="360" w:lineRule="auto"/>
        <w:ind w:left="851" w:hanging="851"/>
        <w:jc w:val="both"/>
        <w:rPr>
          <w:rFonts w:ascii="Arial" w:hAnsi="Arial" w:cs="Arial"/>
          <w:lang w:val="en-ZA"/>
        </w:rPr>
      </w:pPr>
      <w:r w:rsidRPr="00486CE3">
        <w:rPr>
          <w:rFonts w:ascii="Arial" w:hAnsi="Arial" w:cs="Arial"/>
          <w:lang w:val="en-ZA"/>
        </w:rPr>
        <w:lastRenderedPageBreak/>
        <w:t>[</w:t>
      </w:r>
      <w:r w:rsidR="00493C72" w:rsidRPr="00486CE3">
        <w:rPr>
          <w:rFonts w:ascii="Arial" w:hAnsi="Arial" w:cs="Arial"/>
          <w:lang w:val="en-ZA"/>
        </w:rPr>
        <w:t>1</w:t>
      </w:r>
      <w:r w:rsidR="007C033C" w:rsidRPr="00486CE3">
        <w:rPr>
          <w:rFonts w:ascii="Arial" w:hAnsi="Arial" w:cs="Arial"/>
          <w:lang w:val="en-ZA"/>
        </w:rPr>
        <w:t>2</w:t>
      </w:r>
      <w:r w:rsidR="00484A4A" w:rsidRPr="00486CE3">
        <w:rPr>
          <w:rFonts w:ascii="Arial" w:hAnsi="Arial" w:cs="Arial"/>
          <w:lang w:val="en-ZA"/>
        </w:rPr>
        <w:t>]</w:t>
      </w:r>
      <w:r w:rsidR="00484A4A" w:rsidRPr="00486CE3">
        <w:rPr>
          <w:rFonts w:ascii="Arial" w:hAnsi="Arial" w:cs="Arial"/>
          <w:lang w:val="en-ZA"/>
        </w:rPr>
        <w:tab/>
      </w:r>
      <w:r w:rsidR="00CA3D03" w:rsidRPr="00486CE3">
        <w:rPr>
          <w:rFonts w:ascii="Arial" w:hAnsi="Arial" w:cs="Arial"/>
          <w:lang w:val="en-ZA"/>
        </w:rPr>
        <w:t>As a starting point</w:t>
      </w:r>
      <w:r w:rsidR="007C033C" w:rsidRPr="00486CE3">
        <w:rPr>
          <w:rFonts w:ascii="Arial" w:hAnsi="Arial" w:cs="Arial"/>
          <w:lang w:val="en-ZA"/>
        </w:rPr>
        <w:t>,</w:t>
      </w:r>
      <w:r w:rsidR="00CA3D03" w:rsidRPr="00486CE3">
        <w:rPr>
          <w:rFonts w:ascii="Arial" w:hAnsi="Arial" w:cs="Arial"/>
          <w:lang w:val="en-ZA"/>
        </w:rPr>
        <w:t xml:space="preserve"> the court should not decide</w:t>
      </w:r>
      <w:r w:rsidR="00B24701" w:rsidRPr="00486CE3">
        <w:rPr>
          <w:rFonts w:ascii="Arial" w:hAnsi="Arial" w:cs="Arial"/>
          <w:lang w:val="en-ZA"/>
        </w:rPr>
        <w:t xml:space="preserve"> matters</w:t>
      </w:r>
      <w:r w:rsidR="0065270F" w:rsidRPr="00486CE3">
        <w:rPr>
          <w:rFonts w:ascii="Arial" w:hAnsi="Arial" w:cs="Arial"/>
          <w:lang w:val="en-ZA"/>
        </w:rPr>
        <w:t xml:space="preserve"> </w:t>
      </w:r>
      <w:r w:rsidR="00CA3D03" w:rsidRPr="00486CE3">
        <w:rPr>
          <w:rFonts w:ascii="Arial" w:hAnsi="Arial" w:cs="Arial"/>
          <w:lang w:val="en-ZA"/>
        </w:rPr>
        <w:t xml:space="preserve">on application where such material dispute of facts exists. Equally such disputes should not be taken as true and genuine without being questioned or doubted. They must be scrutinised whether they are real and could be resolved without oral evidence. </w:t>
      </w:r>
      <w:r w:rsidR="000F46A6" w:rsidRPr="00486CE3">
        <w:rPr>
          <w:rFonts w:ascii="Arial" w:hAnsi="Arial" w:cs="Arial"/>
          <w:lang w:val="en-ZA"/>
        </w:rPr>
        <w:t xml:space="preserve">This approach was </w:t>
      </w:r>
      <w:r w:rsidR="00770EFB" w:rsidRPr="00486CE3">
        <w:rPr>
          <w:rFonts w:ascii="Arial" w:hAnsi="Arial" w:cs="Arial"/>
          <w:lang w:val="en-ZA"/>
        </w:rPr>
        <w:t xml:space="preserve">laid out by the Supreme Court of Appeal in </w:t>
      </w:r>
      <w:r w:rsidR="00770EFB" w:rsidRPr="00486CE3">
        <w:rPr>
          <w:rFonts w:ascii="Arial" w:hAnsi="Arial" w:cs="Arial"/>
          <w:b/>
          <w:lang w:val="en-ZA"/>
        </w:rPr>
        <w:t>Wightman t/a JW Construction v Headfour (Pty) Ltd and Another</w:t>
      </w:r>
      <w:r w:rsidR="00770EFB" w:rsidRPr="00486CE3">
        <w:rPr>
          <w:rFonts w:ascii="Arial" w:hAnsi="Arial" w:cs="Arial"/>
          <w:lang w:val="en-ZA"/>
        </w:rPr>
        <w:t>.</w:t>
      </w:r>
      <w:r w:rsidR="00770EFB" w:rsidRPr="00486CE3">
        <w:rPr>
          <w:rStyle w:val="FootnoteReference"/>
          <w:rFonts w:ascii="Arial" w:hAnsi="Arial" w:cs="Arial"/>
          <w:lang w:val="en-ZA"/>
        </w:rPr>
        <w:footnoteReference w:id="7"/>
      </w:r>
    </w:p>
    <w:p w:rsidR="00484A4A" w:rsidRPr="00486CE3" w:rsidRDefault="00484A4A" w:rsidP="007969A2">
      <w:pPr>
        <w:spacing w:line="360" w:lineRule="auto"/>
        <w:ind w:left="851" w:hanging="851"/>
        <w:jc w:val="both"/>
        <w:rPr>
          <w:rFonts w:ascii="Arial" w:hAnsi="Arial" w:cs="Arial"/>
          <w:lang w:val="en-ZA"/>
        </w:rPr>
      </w:pPr>
    </w:p>
    <w:p w:rsidR="00484A4A" w:rsidRPr="00486CE3" w:rsidRDefault="00484A4A" w:rsidP="007969A2">
      <w:pPr>
        <w:spacing w:line="360" w:lineRule="auto"/>
        <w:ind w:left="851" w:hanging="851"/>
        <w:jc w:val="both"/>
        <w:rPr>
          <w:rFonts w:ascii="Arial" w:hAnsi="Arial" w:cs="Arial"/>
          <w:lang w:val="en-ZA"/>
        </w:rPr>
      </w:pPr>
      <w:r w:rsidRPr="00486CE3">
        <w:rPr>
          <w:rFonts w:ascii="Arial" w:hAnsi="Arial" w:cs="Arial"/>
          <w:lang w:val="en-ZA"/>
        </w:rPr>
        <w:t>[1</w:t>
      </w:r>
      <w:r w:rsidR="000F46A6" w:rsidRPr="00486CE3">
        <w:rPr>
          <w:rFonts w:ascii="Arial" w:hAnsi="Arial" w:cs="Arial"/>
          <w:lang w:val="en-ZA"/>
        </w:rPr>
        <w:t>3</w:t>
      </w:r>
      <w:r w:rsidRPr="00486CE3">
        <w:rPr>
          <w:rFonts w:ascii="Arial" w:hAnsi="Arial" w:cs="Arial"/>
          <w:lang w:val="en-ZA"/>
        </w:rPr>
        <w:t>]</w:t>
      </w:r>
      <w:r w:rsidRPr="00486CE3">
        <w:rPr>
          <w:rFonts w:ascii="Arial" w:hAnsi="Arial" w:cs="Arial"/>
          <w:lang w:val="en-ZA"/>
        </w:rPr>
        <w:tab/>
      </w:r>
      <w:r w:rsidR="00770EFB" w:rsidRPr="00486CE3">
        <w:rPr>
          <w:rFonts w:ascii="Arial" w:hAnsi="Arial" w:cs="Arial"/>
          <w:lang w:val="en-ZA"/>
        </w:rPr>
        <w:t>This contention is premised on two (2) averments made by the applicant</w:t>
      </w:r>
      <w:r w:rsidR="0065270F" w:rsidRPr="00486CE3">
        <w:rPr>
          <w:rFonts w:ascii="Arial" w:hAnsi="Arial" w:cs="Arial"/>
          <w:lang w:val="en-ZA"/>
        </w:rPr>
        <w:t>s</w:t>
      </w:r>
      <w:r w:rsidR="00770EFB" w:rsidRPr="00486CE3">
        <w:rPr>
          <w:rFonts w:ascii="Arial" w:hAnsi="Arial" w:cs="Arial"/>
          <w:lang w:val="en-ZA"/>
        </w:rPr>
        <w:t xml:space="preserve"> in the</w:t>
      </w:r>
      <w:r w:rsidR="0065270F" w:rsidRPr="00486CE3">
        <w:rPr>
          <w:rFonts w:ascii="Arial" w:hAnsi="Arial" w:cs="Arial"/>
          <w:lang w:val="en-ZA"/>
        </w:rPr>
        <w:t>ir</w:t>
      </w:r>
      <w:r w:rsidR="00770EFB" w:rsidRPr="00486CE3">
        <w:rPr>
          <w:rFonts w:ascii="Arial" w:hAnsi="Arial" w:cs="Arial"/>
          <w:lang w:val="en-ZA"/>
        </w:rPr>
        <w:t xml:space="preserve"> papers. Firstly, that the </w:t>
      </w:r>
      <w:r w:rsidR="00DE730A" w:rsidRPr="00486CE3">
        <w:rPr>
          <w:rFonts w:ascii="Arial" w:hAnsi="Arial" w:cs="Arial"/>
          <w:lang w:val="en-ZA"/>
        </w:rPr>
        <w:t>deceased</w:t>
      </w:r>
      <w:r w:rsidR="0065270F" w:rsidRPr="00486CE3">
        <w:rPr>
          <w:rFonts w:ascii="Arial" w:hAnsi="Arial" w:cs="Arial"/>
          <w:lang w:val="en-ZA"/>
        </w:rPr>
        <w:t xml:space="preserve"> was driving the X-Trail</w:t>
      </w:r>
      <w:r w:rsidR="00770EFB" w:rsidRPr="00486CE3">
        <w:rPr>
          <w:rFonts w:ascii="Arial" w:hAnsi="Arial" w:cs="Arial"/>
          <w:lang w:val="en-ZA"/>
        </w:rPr>
        <w:t xml:space="preserve"> on a daily basis prior to his death and the first respondent</w:t>
      </w:r>
      <w:r w:rsidR="004359A7" w:rsidRPr="00486CE3">
        <w:rPr>
          <w:rFonts w:ascii="Arial" w:hAnsi="Arial" w:cs="Arial"/>
          <w:lang w:val="en-ZA"/>
        </w:rPr>
        <w:t xml:space="preserve"> drove</w:t>
      </w:r>
      <w:r w:rsidR="00770EFB" w:rsidRPr="00486CE3">
        <w:rPr>
          <w:rFonts w:ascii="Arial" w:hAnsi="Arial" w:cs="Arial"/>
          <w:lang w:val="en-ZA"/>
        </w:rPr>
        <w:t xml:space="preserve"> the Mercedes Benz S3</w:t>
      </w:r>
      <w:r w:rsidR="004359A7" w:rsidRPr="00486CE3">
        <w:rPr>
          <w:rFonts w:ascii="Arial" w:hAnsi="Arial" w:cs="Arial"/>
          <w:lang w:val="en-ZA"/>
        </w:rPr>
        <w:t>2</w:t>
      </w:r>
      <w:r w:rsidR="00770EFB" w:rsidRPr="00486CE3">
        <w:rPr>
          <w:rFonts w:ascii="Arial" w:hAnsi="Arial" w:cs="Arial"/>
          <w:lang w:val="en-ZA"/>
        </w:rPr>
        <w:t xml:space="preserve">0. According to the first respondent the </w:t>
      </w:r>
      <w:r w:rsidR="00DE730A" w:rsidRPr="00486CE3">
        <w:rPr>
          <w:rFonts w:ascii="Arial" w:hAnsi="Arial" w:cs="Arial"/>
          <w:lang w:val="en-ZA"/>
        </w:rPr>
        <w:t>deceased</w:t>
      </w:r>
      <w:r w:rsidR="0065270F" w:rsidRPr="00486CE3">
        <w:rPr>
          <w:rFonts w:ascii="Arial" w:hAnsi="Arial" w:cs="Arial"/>
          <w:lang w:val="en-ZA"/>
        </w:rPr>
        <w:t xml:space="preserve"> was unable to drive</w:t>
      </w:r>
      <w:r w:rsidR="00770EFB" w:rsidRPr="00486CE3">
        <w:rPr>
          <w:rFonts w:ascii="Arial" w:hAnsi="Arial" w:cs="Arial"/>
          <w:lang w:val="en-ZA"/>
        </w:rPr>
        <w:t xml:space="preserve"> a motor vehicle </w:t>
      </w:r>
      <w:r w:rsidR="0065270F" w:rsidRPr="00486CE3">
        <w:rPr>
          <w:rFonts w:ascii="Arial" w:hAnsi="Arial" w:cs="Arial"/>
          <w:lang w:val="en-ZA"/>
        </w:rPr>
        <w:t>from January 2021. Secondly</w:t>
      </w:r>
      <w:r w:rsidR="00770EFB" w:rsidRPr="00486CE3">
        <w:rPr>
          <w:rFonts w:ascii="Arial" w:hAnsi="Arial" w:cs="Arial"/>
          <w:lang w:val="en-ZA"/>
        </w:rPr>
        <w:t>, the Mercedes Benz S3</w:t>
      </w:r>
      <w:r w:rsidR="004359A7" w:rsidRPr="00486CE3">
        <w:rPr>
          <w:rFonts w:ascii="Arial" w:hAnsi="Arial" w:cs="Arial"/>
          <w:lang w:val="en-ZA"/>
        </w:rPr>
        <w:t>2</w:t>
      </w:r>
      <w:r w:rsidR="0065270F" w:rsidRPr="00486CE3">
        <w:rPr>
          <w:rFonts w:ascii="Arial" w:hAnsi="Arial" w:cs="Arial"/>
          <w:lang w:val="en-ZA"/>
        </w:rPr>
        <w:t>0 had</w:t>
      </w:r>
      <w:r w:rsidR="00770EFB" w:rsidRPr="00486CE3">
        <w:rPr>
          <w:rFonts w:ascii="Arial" w:hAnsi="Arial" w:cs="Arial"/>
          <w:lang w:val="en-ZA"/>
        </w:rPr>
        <w:t xml:space="preserve"> not</w:t>
      </w:r>
      <w:r w:rsidR="0065270F" w:rsidRPr="00486CE3">
        <w:rPr>
          <w:rFonts w:ascii="Arial" w:hAnsi="Arial" w:cs="Arial"/>
          <w:lang w:val="en-ZA"/>
        </w:rPr>
        <w:t xml:space="preserve"> been</w:t>
      </w:r>
      <w:r w:rsidR="00770EFB" w:rsidRPr="00486CE3">
        <w:rPr>
          <w:rFonts w:ascii="Arial" w:hAnsi="Arial" w:cs="Arial"/>
          <w:lang w:val="en-ZA"/>
        </w:rPr>
        <w:t xml:space="preserve"> driven from August 2020. It was only driven around the time of the funeral be</w:t>
      </w:r>
      <w:r w:rsidR="0065270F" w:rsidRPr="00486CE3">
        <w:rPr>
          <w:rFonts w:ascii="Arial" w:hAnsi="Arial" w:cs="Arial"/>
          <w:lang w:val="en-ZA"/>
        </w:rPr>
        <w:t>cause transport was required to ferry</w:t>
      </w:r>
      <w:r w:rsidR="00770EFB" w:rsidRPr="00486CE3">
        <w:rPr>
          <w:rFonts w:ascii="Arial" w:hAnsi="Arial" w:cs="Arial"/>
          <w:lang w:val="en-ZA"/>
        </w:rPr>
        <w:t xml:space="preserve"> guests. </w:t>
      </w:r>
    </w:p>
    <w:p w:rsidR="005E615E" w:rsidRPr="00486CE3" w:rsidRDefault="005E615E" w:rsidP="007969A2">
      <w:pPr>
        <w:spacing w:line="360" w:lineRule="auto"/>
        <w:ind w:left="851" w:hanging="851"/>
        <w:jc w:val="both"/>
        <w:rPr>
          <w:rFonts w:ascii="Arial" w:hAnsi="Arial" w:cs="Arial"/>
          <w:lang w:val="en-ZA"/>
        </w:rPr>
      </w:pPr>
    </w:p>
    <w:p w:rsidR="005E615E" w:rsidRPr="00486CE3" w:rsidRDefault="000F46A6" w:rsidP="005E615E">
      <w:pPr>
        <w:spacing w:line="360" w:lineRule="auto"/>
        <w:ind w:left="851" w:hanging="851"/>
        <w:jc w:val="both"/>
        <w:rPr>
          <w:rFonts w:ascii="Arial" w:hAnsi="Arial" w:cs="Arial"/>
          <w:lang w:val="en-ZA"/>
        </w:rPr>
      </w:pPr>
      <w:r w:rsidRPr="00486CE3">
        <w:rPr>
          <w:rFonts w:ascii="Arial" w:hAnsi="Arial" w:cs="Arial"/>
          <w:lang w:val="en-ZA"/>
        </w:rPr>
        <w:t>[14</w:t>
      </w:r>
      <w:r w:rsidR="005E615E" w:rsidRPr="00486CE3">
        <w:rPr>
          <w:rFonts w:ascii="Arial" w:hAnsi="Arial" w:cs="Arial"/>
          <w:lang w:val="en-ZA"/>
        </w:rPr>
        <w:t>]</w:t>
      </w:r>
      <w:r w:rsidR="005E615E" w:rsidRPr="00486CE3">
        <w:rPr>
          <w:rFonts w:ascii="Arial" w:hAnsi="Arial" w:cs="Arial"/>
          <w:lang w:val="en-ZA"/>
        </w:rPr>
        <w:tab/>
      </w:r>
      <w:r w:rsidR="0096430F" w:rsidRPr="00486CE3">
        <w:rPr>
          <w:rFonts w:ascii="Arial" w:hAnsi="Arial" w:cs="Arial"/>
          <w:lang w:val="en-ZA"/>
        </w:rPr>
        <w:t>My view is that the deponent of the found</w:t>
      </w:r>
      <w:r w:rsidR="0065270F" w:rsidRPr="00486CE3">
        <w:rPr>
          <w:rFonts w:ascii="Arial" w:hAnsi="Arial" w:cs="Arial"/>
          <w:lang w:val="en-ZA"/>
        </w:rPr>
        <w:t>ing and replying affidavit made</w:t>
      </w:r>
      <w:r w:rsidR="0096430F" w:rsidRPr="00486CE3">
        <w:rPr>
          <w:rFonts w:ascii="Arial" w:hAnsi="Arial" w:cs="Arial"/>
          <w:lang w:val="en-ZA"/>
        </w:rPr>
        <w:t xml:space="preserve"> these averments without any factual basis. These are bare claims that are made without being sustained by any facts. In the founding affi</w:t>
      </w:r>
      <w:r w:rsidR="0065270F" w:rsidRPr="00486CE3">
        <w:rPr>
          <w:rFonts w:ascii="Arial" w:hAnsi="Arial" w:cs="Arial"/>
          <w:lang w:val="en-ZA"/>
        </w:rPr>
        <w:t>davit, the first applicant averred</w:t>
      </w:r>
      <w:r w:rsidR="0096430F" w:rsidRPr="00486CE3">
        <w:rPr>
          <w:rFonts w:ascii="Arial" w:hAnsi="Arial" w:cs="Arial"/>
          <w:lang w:val="en-ZA"/>
        </w:rPr>
        <w:t xml:space="preserve"> that he has personal knowledge about the usage of the motor vehicle by the </w:t>
      </w:r>
      <w:r w:rsidR="00DE730A" w:rsidRPr="00486CE3">
        <w:rPr>
          <w:rFonts w:ascii="Arial" w:hAnsi="Arial" w:cs="Arial"/>
          <w:lang w:val="en-ZA"/>
        </w:rPr>
        <w:t>deceased</w:t>
      </w:r>
      <w:r w:rsidR="0096430F" w:rsidRPr="00486CE3">
        <w:rPr>
          <w:rFonts w:ascii="Arial" w:hAnsi="Arial" w:cs="Arial"/>
          <w:lang w:val="en-ZA"/>
        </w:rPr>
        <w:t xml:space="preserve"> and the first respondent. What is missing is the evi</w:t>
      </w:r>
      <w:r w:rsidR="00A702F0" w:rsidRPr="00486CE3">
        <w:rPr>
          <w:rFonts w:ascii="Arial" w:hAnsi="Arial" w:cs="Arial"/>
          <w:lang w:val="en-ZA"/>
        </w:rPr>
        <w:t>dence as to how he gained that</w:t>
      </w:r>
      <w:r w:rsidR="0096430F" w:rsidRPr="00486CE3">
        <w:rPr>
          <w:rFonts w:ascii="Arial" w:hAnsi="Arial" w:cs="Arial"/>
          <w:lang w:val="en-ZA"/>
        </w:rPr>
        <w:t xml:space="preserve"> personal knowledge. Later in the replying affidavit he changed tack and seem</w:t>
      </w:r>
      <w:r w:rsidR="00A702F0" w:rsidRPr="00486CE3">
        <w:rPr>
          <w:rFonts w:ascii="Arial" w:hAnsi="Arial" w:cs="Arial"/>
          <w:lang w:val="en-ZA"/>
        </w:rPr>
        <w:t>ed</w:t>
      </w:r>
      <w:r w:rsidR="0096430F" w:rsidRPr="00486CE3">
        <w:rPr>
          <w:rFonts w:ascii="Arial" w:hAnsi="Arial" w:cs="Arial"/>
          <w:lang w:val="en-ZA"/>
        </w:rPr>
        <w:t xml:space="preserve"> to acknowledge that the first respondent was driving the motor vehicle from time to time. The paucity of detail in the rest of the paragraph is astonishing.</w:t>
      </w:r>
    </w:p>
    <w:p w:rsidR="005E615E" w:rsidRPr="00486CE3" w:rsidRDefault="005E615E" w:rsidP="005E615E">
      <w:pPr>
        <w:spacing w:line="360" w:lineRule="auto"/>
        <w:ind w:left="851" w:hanging="851"/>
        <w:jc w:val="both"/>
        <w:rPr>
          <w:rFonts w:ascii="Arial" w:hAnsi="Arial" w:cs="Arial"/>
          <w:lang w:val="en-ZA"/>
        </w:rPr>
      </w:pPr>
    </w:p>
    <w:p w:rsidR="005E615E" w:rsidRPr="00486CE3" w:rsidRDefault="000F46A6" w:rsidP="005E615E">
      <w:pPr>
        <w:spacing w:line="360" w:lineRule="auto"/>
        <w:ind w:left="851" w:hanging="851"/>
        <w:jc w:val="both"/>
        <w:rPr>
          <w:rFonts w:ascii="Arial" w:hAnsi="Arial" w:cs="Arial"/>
          <w:lang w:val="en-ZA"/>
        </w:rPr>
      </w:pPr>
      <w:r w:rsidRPr="00486CE3">
        <w:rPr>
          <w:rFonts w:ascii="Arial" w:hAnsi="Arial" w:cs="Arial"/>
          <w:lang w:val="en-ZA"/>
        </w:rPr>
        <w:t>[15</w:t>
      </w:r>
      <w:r w:rsidR="005E615E" w:rsidRPr="00486CE3">
        <w:rPr>
          <w:rFonts w:ascii="Arial" w:hAnsi="Arial" w:cs="Arial"/>
          <w:lang w:val="en-ZA"/>
        </w:rPr>
        <w:t>]</w:t>
      </w:r>
      <w:r w:rsidR="005E615E" w:rsidRPr="00486CE3">
        <w:rPr>
          <w:rFonts w:ascii="Arial" w:hAnsi="Arial" w:cs="Arial"/>
          <w:lang w:val="en-ZA"/>
        </w:rPr>
        <w:tab/>
      </w:r>
      <w:r w:rsidR="0096430F" w:rsidRPr="00486CE3">
        <w:rPr>
          <w:rFonts w:ascii="Arial" w:hAnsi="Arial" w:cs="Arial"/>
          <w:lang w:val="en-ZA"/>
        </w:rPr>
        <w:t>These facts, assuming they are correct, are within his knowledge and should have been laid out in the affidavits. The important part is that the veracity or accuracy of these averments</w:t>
      </w:r>
      <w:r w:rsidR="00A702F0" w:rsidRPr="00486CE3">
        <w:rPr>
          <w:rFonts w:ascii="Arial" w:hAnsi="Arial" w:cs="Arial"/>
          <w:lang w:val="en-ZA"/>
        </w:rPr>
        <w:t xml:space="preserve"> </w:t>
      </w:r>
      <w:r w:rsidR="0065270F" w:rsidRPr="00486CE3">
        <w:rPr>
          <w:rFonts w:ascii="Arial" w:hAnsi="Arial" w:cs="Arial"/>
          <w:lang w:val="en-ZA"/>
        </w:rPr>
        <w:t>is with him. The first respondent denied</w:t>
      </w:r>
      <w:r w:rsidR="00D60F0D" w:rsidRPr="00486CE3">
        <w:rPr>
          <w:rFonts w:ascii="Arial" w:hAnsi="Arial" w:cs="Arial"/>
          <w:lang w:val="en-ZA"/>
        </w:rPr>
        <w:t xml:space="preserve"> these averments with clarity and detail. The conclusion is that these are not real or genuine dispute of facts. The</w:t>
      </w:r>
      <w:r w:rsidR="0065270F" w:rsidRPr="00486CE3">
        <w:rPr>
          <w:rFonts w:ascii="Arial" w:hAnsi="Arial" w:cs="Arial"/>
          <w:lang w:val="en-ZA"/>
        </w:rPr>
        <w:t xml:space="preserve"> inescapable conclusion is that the </w:t>
      </w:r>
      <w:r w:rsidR="00D60F0D" w:rsidRPr="00486CE3">
        <w:rPr>
          <w:rFonts w:ascii="Arial" w:hAnsi="Arial" w:cs="Arial"/>
          <w:lang w:val="en-ZA"/>
        </w:rPr>
        <w:t>application is capable of b</w:t>
      </w:r>
      <w:r w:rsidR="00980970" w:rsidRPr="00486CE3">
        <w:rPr>
          <w:rFonts w:ascii="Arial" w:hAnsi="Arial" w:cs="Arial"/>
          <w:lang w:val="en-ZA"/>
        </w:rPr>
        <w:t>eing adjudicated on the papers.</w:t>
      </w:r>
    </w:p>
    <w:p w:rsidR="00CD421D" w:rsidRPr="00486CE3" w:rsidRDefault="00CD421D" w:rsidP="0065270F">
      <w:pPr>
        <w:spacing w:line="360" w:lineRule="auto"/>
        <w:jc w:val="both"/>
        <w:rPr>
          <w:rFonts w:ascii="Arial" w:hAnsi="Arial" w:cs="Arial"/>
          <w:lang w:val="en-ZA"/>
        </w:rPr>
      </w:pPr>
    </w:p>
    <w:p w:rsidR="00CD421D" w:rsidRPr="00486CE3" w:rsidRDefault="00CD421D" w:rsidP="00CD421D">
      <w:pPr>
        <w:spacing w:line="360" w:lineRule="auto"/>
        <w:ind w:left="851" w:hanging="851"/>
        <w:jc w:val="both"/>
        <w:rPr>
          <w:rFonts w:ascii="Arial" w:hAnsi="Arial" w:cs="Arial"/>
          <w:lang w:val="en-ZA"/>
        </w:rPr>
      </w:pPr>
      <w:r w:rsidRPr="00486CE3">
        <w:rPr>
          <w:rFonts w:ascii="Arial" w:hAnsi="Arial" w:cs="Arial"/>
          <w:lang w:val="en-ZA"/>
        </w:rPr>
        <w:lastRenderedPageBreak/>
        <w:t>[1</w:t>
      </w:r>
      <w:r w:rsidR="000F46A6" w:rsidRPr="00486CE3">
        <w:rPr>
          <w:rFonts w:ascii="Arial" w:hAnsi="Arial" w:cs="Arial"/>
          <w:lang w:val="en-ZA"/>
        </w:rPr>
        <w:t>6</w:t>
      </w:r>
      <w:r w:rsidRPr="00486CE3">
        <w:rPr>
          <w:rFonts w:ascii="Arial" w:hAnsi="Arial" w:cs="Arial"/>
          <w:lang w:val="en-ZA"/>
        </w:rPr>
        <w:t>]</w:t>
      </w:r>
      <w:r w:rsidRPr="00486CE3">
        <w:rPr>
          <w:rFonts w:ascii="Arial" w:hAnsi="Arial" w:cs="Arial"/>
          <w:lang w:val="en-ZA"/>
        </w:rPr>
        <w:tab/>
      </w:r>
      <w:r w:rsidR="000C213D" w:rsidRPr="00486CE3">
        <w:rPr>
          <w:rFonts w:ascii="Arial" w:hAnsi="Arial" w:cs="Arial"/>
          <w:lang w:val="en-ZA"/>
        </w:rPr>
        <w:t xml:space="preserve">Counsel for the applicants advanced </w:t>
      </w:r>
      <w:r w:rsidRPr="00486CE3">
        <w:rPr>
          <w:rFonts w:ascii="Arial" w:hAnsi="Arial" w:cs="Arial"/>
          <w:lang w:val="en-ZA"/>
        </w:rPr>
        <w:t>argument that the provision</w:t>
      </w:r>
      <w:r w:rsidR="000C213D" w:rsidRPr="00486CE3">
        <w:rPr>
          <w:rFonts w:ascii="Arial" w:hAnsi="Arial" w:cs="Arial"/>
          <w:lang w:val="en-ZA"/>
        </w:rPr>
        <w:t>s</w:t>
      </w:r>
      <w:r w:rsidRPr="00486CE3">
        <w:rPr>
          <w:rFonts w:ascii="Arial" w:hAnsi="Arial" w:cs="Arial"/>
          <w:lang w:val="en-ZA"/>
        </w:rPr>
        <w:t xml:space="preserve"> of the </w:t>
      </w:r>
      <w:r w:rsidR="000E619D" w:rsidRPr="00486CE3">
        <w:rPr>
          <w:rFonts w:ascii="Arial" w:hAnsi="Arial" w:cs="Arial"/>
          <w:lang w:val="en-ZA"/>
        </w:rPr>
        <w:t>ante-nuptial agreement</w:t>
      </w:r>
      <w:r w:rsidRPr="00486CE3">
        <w:rPr>
          <w:rFonts w:ascii="Arial" w:hAnsi="Arial" w:cs="Arial"/>
          <w:lang w:val="en-ZA"/>
        </w:rPr>
        <w:t xml:space="preserve"> registered on 24 June 2004 constitutes an indirect </w:t>
      </w:r>
      <w:r w:rsidRPr="00486CE3">
        <w:rPr>
          <w:rFonts w:ascii="Arial" w:hAnsi="Arial" w:cs="Arial"/>
          <w:i/>
          <w:lang w:val="en-ZA"/>
        </w:rPr>
        <w:t>pactum successorium</w:t>
      </w:r>
      <w:r w:rsidRPr="00486CE3">
        <w:rPr>
          <w:rFonts w:ascii="Arial" w:hAnsi="Arial" w:cs="Arial"/>
          <w:lang w:val="en-ZA"/>
        </w:rPr>
        <w:t xml:space="preserve">. This legal concept was defined by Gubbay J in </w:t>
      </w:r>
      <w:r w:rsidRPr="00486CE3">
        <w:rPr>
          <w:rFonts w:ascii="Arial" w:hAnsi="Arial" w:cs="Arial"/>
          <w:b/>
          <w:i/>
          <w:lang w:val="en-ZA"/>
        </w:rPr>
        <w:t xml:space="preserve">Ex parte </w:t>
      </w:r>
      <w:r w:rsidRPr="00486CE3">
        <w:rPr>
          <w:rFonts w:ascii="Arial" w:hAnsi="Arial" w:cs="Arial"/>
          <w:b/>
          <w:lang w:val="en-ZA"/>
        </w:rPr>
        <w:t xml:space="preserve">Calder Wood NO: In Re Estate Wixley </w:t>
      </w:r>
      <w:r w:rsidRPr="00486CE3">
        <w:rPr>
          <w:rFonts w:ascii="Arial" w:hAnsi="Arial" w:cs="Arial"/>
          <w:lang w:val="en-ZA"/>
        </w:rPr>
        <w:t>in the following terms: -</w:t>
      </w:r>
    </w:p>
    <w:p w:rsidR="008F7EFF" w:rsidRDefault="008F7EFF" w:rsidP="00486CE3">
      <w:pPr>
        <w:autoSpaceDE w:val="0"/>
        <w:autoSpaceDN w:val="0"/>
        <w:adjustRightInd w:val="0"/>
        <w:spacing w:line="360" w:lineRule="auto"/>
        <w:ind w:left="1418" w:right="521"/>
        <w:jc w:val="both"/>
        <w:rPr>
          <w:rFonts w:ascii="Arial" w:eastAsiaTheme="minorHAnsi" w:hAnsi="Arial" w:cs="Arial"/>
          <w:lang w:val="en-ZA" w:eastAsia="en-US"/>
        </w:rPr>
      </w:pPr>
      <w:r w:rsidRPr="00486CE3">
        <w:rPr>
          <w:rFonts w:ascii="Arial" w:eastAsiaTheme="minorHAnsi" w:hAnsi="Arial" w:cs="Arial"/>
          <w:sz w:val="20"/>
          <w:szCs w:val="20"/>
          <w:lang w:val="en-ZA" w:eastAsia="en-US"/>
        </w:rPr>
        <w:t xml:space="preserve">“I think these cases show that a </w:t>
      </w:r>
      <w:r w:rsidRPr="00486CE3">
        <w:rPr>
          <w:rFonts w:ascii="Arial" w:eastAsiaTheme="minorHAnsi" w:hAnsi="Arial" w:cs="Arial"/>
          <w:i/>
          <w:iCs/>
          <w:sz w:val="20"/>
          <w:szCs w:val="20"/>
          <w:lang w:val="en-ZA" w:eastAsia="en-US"/>
        </w:rPr>
        <w:t xml:space="preserve">pactum successorium </w:t>
      </w:r>
      <w:r w:rsidRPr="00486CE3">
        <w:rPr>
          <w:rFonts w:ascii="Arial" w:eastAsiaTheme="minorHAnsi" w:hAnsi="Arial" w:cs="Arial"/>
          <w:sz w:val="20"/>
          <w:szCs w:val="20"/>
          <w:lang w:val="en-ZA" w:eastAsia="en-US"/>
        </w:rPr>
        <w:t>is an agreement relating to the succession to an estate, or a portion thereof, or to a specific asset or benefit belonging thereto, which postpones the devolution of personal rights until the death of the owner and which prevents the latter from bequeathing his estate or property to another person when otherwise he would be entitled to do so. It is the deprivation or curtailment of testamentary freedom that justifies the prohibition of such an agreement.”</w:t>
      </w:r>
      <w:r w:rsidRPr="00486CE3">
        <w:rPr>
          <w:rStyle w:val="FootnoteReference"/>
          <w:rFonts w:ascii="Arial" w:eastAsiaTheme="minorHAnsi" w:hAnsi="Arial" w:cs="Arial"/>
          <w:sz w:val="20"/>
          <w:szCs w:val="20"/>
          <w:lang w:val="en-ZA" w:eastAsia="en-US"/>
        </w:rPr>
        <w:footnoteReference w:id="8"/>
      </w:r>
    </w:p>
    <w:p w:rsidR="008F7EFF" w:rsidRPr="008F7EFF" w:rsidRDefault="008F7EFF" w:rsidP="008F7EFF">
      <w:pPr>
        <w:autoSpaceDE w:val="0"/>
        <w:autoSpaceDN w:val="0"/>
        <w:adjustRightInd w:val="0"/>
        <w:spacing w:line="360" w:lineRule="auto"/>
        <w:ind w:right="521"/>
        <w:jc w:val="both"/>
        <w:rPr>
          <w:rFonts w:ascii="Arial" w:hAnsi="Arial" w:cs="Arial"/>
          <w:lang w:val="en-ZA"/>
        </w:rPr>
      </w:pPr>
    </w:p>
    <w:p w:rsidR="008F7EFF" w:rsidRPr="00486CE3" w:rsidRDefault="008F7EFF" w:rsidP="008F7EFF">
      <w:pPr>
        <w:spacing w:line="360" w:lineRule="auto"/>
        <w:ind w:left="851" w:hanging="851"/>
        <w:jc w:val="both"/>
        <w:rPr>
          <w:rFonts w:ascii="Arial" w:hAnsi="Arial" w:cs="Arial"/>
          <w:lang w:val="en-ZA"/>
        </w:rPr>
      </w:pPr>
      <w:r w:rsidRPr="00486CE3">
        <w:rPr>
          <w:rFonts w:ascii="Arial" w:hAnsi="Arial" w:cs="Arial"/>
          <w:lang w:val="en-ZA"/>
        </w:rPr>
        <w:t>[1</w:t>
      </w:r>
      <w:r w:rsidR="000F46A6" w:rsidRPr="00486CE3">
        <w:rPr>
          <w:rFonts w:ascii="Arial" w:hAnsi="Arial" w:cs="Arial"/>
          <w:lang w:val="en-ZA"/>
        </w:rPr>
        <w:t>7</w:t>
      </w:r>
      <w:r w:rsidRPr="00486CE3">
        <w:rPr>
          <w:rFonts w:ascii="Arial" w:hAnsi="Arial" w:cs="Arial"/>
          <w:lang w:val="en-ZA"/>
        </w:rPr>
        <w:t>]</w:t>
      </w:r>
      <w:r w:rsidRPr="00486CE3">
        <w:rPr>
          <w:rFonts w:ascii="Arial" w:hAnsi="Arial" w:cs="Arial"/>
          <w:lang w:val="en-ZA"/>
        </w:rPr>
        <w:tab/>
        <w:t xml:space="preserve">As a general rule </w:t>
      </w:r>
      <w:r w:rsidRPr="00486CE3">
        <w:rPr>
          <w:rFonts w:ascii="Arial" w:hAnsi="Arial" w:cs="Arial"/>
          <w:i/>
          <w:lang w:val="en-ZA"/>
        </w:rPr>
        <w:t xml:space="preserve">pactum successorium </w:t>
      </w:r>
      <w:r w:rsidRPr="00486CE3">
        <w:rPr>
          <w:rFonts w:ascii="Arial" w:hAnsi="Arial" w:cs="Arial"/>
          <w:lang w:val="en-ZA"/>
        </w:rPr>
        <w:t>is invalid and not enforceable. The main reason is that these agreements infringe the freedom of testation and courts are reluctant to uphold such agreements which chiefly infringe that principle. The main point, it seems, that if allowed it would result in the circumvention of the formal execution of wills.</w:t>
      </w:r>
      <w:r w:rsidRPr="00486CE3">
        <w:rPr>
          <w:rStyle w:val="FootnoteReference"/>
          <w:rFonts w:ascii="Arial" w:hAnsi="Arial" w:cs="Arial"/>
          <w:lang w:val="en-ZA"/>
        </w:rPr>
        <w:footnoteReference w:id="9"/>
      </w:r>
      <w:r w:rsidR="001B04D1" w:rsidRPr="00486CE3">
        <w:rPr>
          <w:rFonts w:ascii="Arial" w:hAnsi="Arial" w:cs="Arial"/>
          <w:lang w:val="en-ZA"/>
        </w:rPr>
        <w:t xml:space="preserve"> The exception to the rule is that the succession agreement incorporated in the </w:t>
      </w:r>
      <w:r w:rsidR="000E619D" w:rsidRPr="00486CE3">
        <w:rPr>
          <w:rFonts w:ascii="Arial" w:hAnsi="Arial" w:cs="Arial"/>
          <w:lang w:val="en-ZA"/>
        </w:rPr>
        <w:t>ante-nuptial agreement</w:t>
      </w:r>
      <w:r w:rsidR="001B04D1" w:rsidRPr="00486CE3">
        <w:rPr>
          <w:rFonts w:ascii="Arial" w:hAnsi="Arial" w:cs="Arial"/>
          <w:lang w:val="en-ZA"/>
        </w:rPr>
        <w:t xml:space="preserve"> is valid provided it complies with the prerequisite of the testamentary formalities. In this matter, it is conceded, although not expressly</w:t>
      </w:r>
      <w:r w:rsidR="000C213D" w:rsidRPr="00486CE3">
        <w:rPr>
          <w:rFonts w:ascii="Arial" w:hAnsi="Arial" w:cs="Arial"/>
          <w:lang w:val="en-ZA"/>
        </w:rPr>
        <w:t>,</w:t>
      </w:r>
      <w:r w:rsidR="001B04D1" w:rsidRPr="00486CE3">
        <w:rPr>
          <w:rFonts w:ascii="Arial" w:hAnsi="Arial" w:cs="Arial"/>
          <w:lang w:val="en-ZA"/>
        </w:rPr>
        <w:t xml:space="preserve"> that </w:t>
      </w:r>
      <w:r w:rsidR="00C92E02" w:rsidRPr="00486CE3">
        <w:rPr>
          <w:rFonts w:ascii="Arial" w:hAnsi="Arial" w:cs="Arial"/>
          <w:lang w:val="en-ZA"/>
        </w:rPr>
        <w:t xml:space="preserve">the </w:t>
      </w:r>
      <w:r w:rsidR="000E619D" w:rsidRPr="00486CE3">
        <w:rPr>
          <w:rFonts w:ascii="Arial" w:hAnsi="Arial" w:cs="Arial"/>
          <w:lang w:val="en-ZA"/>
        </w:rPr>
        <w:t>ante-nuptial agreement</w:t>
      </w:r>
      <w:r w:rsidR="00C92E02" w:rsidRPr="00486CE3">
        <w:rPr>
          <w:rFonts w:ascii="Arial" w:hAnsi="Arial" w:cs="Arial"/>
          <w:lang w:val="en-ZA"/>
        </w:rPr>
        <w:t xml:space="preserve"> does qualify as a valid testamentary document.</w:t>
      </w:r>
    </w:p>
    <w:p w:rsidR="00C92E02" w:rsidRPr="00486CE3" w:rsidRDefault="00C92E02" w:rsidP="008F7EFF">
      <w:pPr>
        <w:spacing w:line="360" w:lineRule="auto"/>
        <w:ind w:left="851" w:hanging="851"/>
        <w:jc w:val="both"/>
        <w:rPr>
          <w:rFonts w:ascii="Arial" w:hAnsi="Arial" w:cs="Arial"/>
          <w:lang w:val="en-ZA"/>
        </w:rPr>
      </w:pPr>
    </w:p>
    <w:p w:rsidR="008B2600" w:rsidRPr="00486CE3" w:rsidRDefault="00C92E02" w:rsidP="00C92E02">
      <w:pPr>
        <w:spacing w:line="360" w:lineRule="auto"/>
        <w:ind w:left="851" w:hanging="851"/>
        <w:jc w:val="both"/>
        <w:rPr>
          <w:rFonts w:ascii="Arial" w:hAnsi="Arial" w:cs="Arial"/>
          <w:bCs/>
          <w:lang w:val="en-ZA"/>
        </w:rPr>
      </w:pPr>
      <w:r w:rsidRPr="00486CE3">
        <w:rPr>
          <w:rFonts w:ascii="Arial" w:hAnsi="Arial" w:cs="Arial"/>
          <w:lang w:val="en-ZA"/>
        </w:rPr>
        <w:t>[1</w:t>
      </w:r>
      <w:r w:rsidR="000F46A6" w:rsidRPr="00486CE3">
        <w:rPr>
          <w:rFonts w:ascii="Arial" w:hAnsi="Arial" w:cs="Arial"/>
          <w:lang w:val="en-ZA"/>
        </w:rPr>
        <w:t>8</w:t>
      </w:r>
      <w:r w:rsidRPr="00486CE3">
        <w:rPr>
          <w:rFonts w:ascii="Arial" w:hAnsi="Arial" w:cs="Arial"/>
          <w:lang w:val="en-ZA"/>
        </w:rPr>
        <w:t>]</w:t>
      </w:r>
      <w:r w:rsidRPr="00486CE3">
        <w:rPr>
          <w:rFonts w:ascii="Arial" w:hAnsi="Arial" w:cs="Arial"/>
          <w:lang w:val="en-ZA"/>
        </w:rPr>
        <w:tab/>
        <w:t>This brings me to the next question which is the mainstay of the case for the applicants. It boil</w:t>
      </w:r>
      <w:r w:rsidR="00D34553" w:rsidRPr="00486CE3">
        <w:rPr>
          <w:rFonts w:ascii="Arial" w:hAnsi="Arial" w:cs="Arial"/>
          <w:lang w:val="en-ZA"/>
        </w:rPr>
        <w:t>s</w:t>
      </w:r>
      <w:r w:rsidRPr="00486CE3">
        <w:rPr>
          <w:rFonts w:ascii="Arial" w:hAnsi="Arial" w:cs="Arial"/>
          <w:lang w:val="en-ZA"/>
        </w:rPr>
        <w:t xml:space="preserve"> down to interpretation of the two (2) wills attested to by the </w:t>
      </w:r>
      <w:r w:rsidR="00DE730A" w:rsidRPr="00486CE3">
        <w:rPr>
          <w:rFonts w:ascii="Arial" w:hAnsi="Arial" w:cs="Arial"/>
          <w:lang w:val="en-ZA"/>
        </w:rPr>
        <w:t>deceased</w:t>
      </w:r>
      <w:r w:rsidRPr="00486CE3">
        <w:rPr>
          <w:rFonts w:ascii="Arial" w:hAnsi="Arial" w:cs="Arial"/>
          <w:lang w:val="en-ZA"/>
        </w:rPr>
        <w:t>.</w:t>
      </w:r>
      <w:r w:rsidR="00D34553" w:rsidRPr="00486CE3">
        <w:rPr>
          <w:rFonts w:ascii="Arial" w:hAnsi="Arial" w:cs="Arial"/>
          <w:lang w:val="en-ZA"/>
        </w:rPr>
        <w:t xml:space="preserve"> In support of his contentions, counsel for the applicants relied on the passage in </w:t>
      </w:r>
      <w:r w:rsidR="00570501" w:rsidRPr="00486CE3">
        <w:rPr>
          <w:rFonts w:ascii="Arial" w:hAnsi="Arial" w:cs="Arial"/>
          <w:b/>
          <w:bCs/>
          <w:lang w:val="en-ZA"/>
        </w:rPr>
        <w:t>Natal Joint Municipal Pension Fund v Endumeni Municipality</w:t>
      </w:r>
      <w:r w:rsidR="008B2600" w:rsidRPr="00486CE3">
        <w:rPr>
          <w:rFonts w:ascii="Arial" w:hAnsi="Arial" w:cs="Arial"/>
          <w:b/>
          <w:bCs/>
          <w:lang w:val="en-ZA"/>
        </w:rPr>
        <w:t xml:space="preserve"> </w:t>
      </w:r>
      <w:r w:rsidR="008B2600" w:rsidRPr="00486CE3">
        <w:rPr>
          <w:rFonts w:ascii="Arial" w:hAnsi="Arial" w:cs="Arial"/>
          <w:bCs/>
          <w:lang w:val="en-ZA"/>
        </w:rPr>
        <w:t>where the Supreme Court of Appeal</w:t>
      </w:r>
      <w:r w:rsidR="000C213D" w:rsidRPr="00486CE3">
        <w:rPr>
          <w:rFonts w:ascii="Arial" w:hAnsi="Arial" w:cs="Arial"/>
          <w:bCs/>
          <w:lang w:val="en-ZA"/>
        </w:rPr>
        <w:t xml:space="preserve"> adopted the objective process as a stated principle and </w:t>
      </w:r>
      <w:r w:rsidR="008B2600" w:rsidRPr="00486CE3">
        <w:rPr>
          <w:rFonts w:ascii="Arial" w:hAnsi="Arial" w:cs="Arial"/>
          <w:bCs/>
          <w:lang w:val="en-ZA"/>
        </w:rPr>
        <w:t>said the following: -</w:t>
      </w:r>
    </w:p>
    <w:p w:rsidR="008B2600" w:rsidRPr="00486CE3" w:rsidRDefault="008B2600" w:rsidP="008B2600">
      <w:pPr>
        <w:spacing w:line="360" w:lineRule="auto"/>
        <w:ind w:left="1701" w:right="1088"/>
        <w:jc w:val="both"/>
        <w:rPr>
          <w:rFonts w:ascii="Verdana" w:hAnsi="Verdana"/>
          <w:color w:val="000000"/>
          <w:sz w:val="20"/>
          <w:szCs w:val="20"/>
        </w:rPr>
      </w:pPr>
      <w:r w:rsidRPr="00486CE3">
        <w:rPr>
          <w:rFonts w:ascii="Arial" w:hAnsi="Arial" w:cs="Arial"/>
          <w:bCs/>
          <w:sz w:val="20"/>
          <w:szCs w:val="20"/>
          <w:lang w:val="en-ZA"/>
        </w:rPr>
        <w:t>“</w:t>
      </w:r>
      <w:r w:rsidRPr="00486CE3">
        <w:rPr>
          <w:rFonts w:ascii="Arial" w:hAnsi="Arial" w:cs="Arial"/>
          <w:color w:val="000000"/>
          <w:sz w:val="20"/>
          <w:szCs w:val="20"/>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w:t>
      </w:r>
      <w:r w:rsidRPr="00486CE3">
        <w:rPr>
          <w:rFonts w:ascii="Arial" w:hAnsi="Arial" w:cs="Arial"/>
          <w:color w:val="000000"/>
          <w:sz w:val="20"/>
          <w:szCs w:val="20"/>
        </w:rPr>
        <w:lastRenderedPageBreak/>
        <w:t>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1" w:name="0-0-0-57943"/>
      <w:bookmarkEnd w:id="1"/>
      <w:r w:rsidRPr="00486CE3">
        <w:rPr>
          <w:rFonts w:ascii="Arial" w:hAnsi="Arial" w:cs="Arial"/>
          <w:color w:val="000000"/>
          <w:sz w:val="20"/>
          <w:szCs w:val="20"/>
        </w:rPr>
        <w:t>.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bookmarkStart w:id="2" w:name="0-0-0-57947"/>
      <w:bookmarkEnd w:id="2"/>
      <w:r w:rsidRPr="00486CE3">
        <w:rPr>
          <w:rStyle w:val="g1"/>
          <w:rFonts w:ascii="Arial" w:hAnsi="Arial" w:cs="Arial"/>
          <w:b/>
          <w:bCs/>
          <w:color w:val="808080"/>
          <w:sz w:val="20"/>
          <w:szCs w:val="20"/>
          <w:u w:val="single"/>
          <w:vertAlign w:val="superscript"/>
        </w:rPr>
        <w:t xml:space="preserve"> </w:t>
      </w:r>
      <w:r w:rsidRPr="00486CE3">
        <w:rPr>
          <w:rFonts w:ascii="Arial" w:hAnsi="Arial" w:cs="Arial"/>
          <w:color w:val="000000"/>
          <w:sz w:val="20"/>
          <w:szCs w:val="20"/>
        </w:rPr>
        <w:t>read in context and having regard to the purpose of the provision and the background to the preparation and production of the document.”</w:t>
      </w:r>
      <w:r w:rsidRPr="00486CE3">
        <w:rPr>
          <w:rStyle w:val="FootnoteReference"/>
          <w:rFonts w:ascii="Arial" w:hAnsi="Arial" w:cs="Arial"/>
          <w:color w:val="000000"/>
          <w:sz w:val="20"/>
          <w:szCs w:val="20"/>
        </w:rPr>
        <w:footnoteReference w:id="10"/>
      </w:r>
    </w:p>
    <w:p w:rsidR="008B2600" w:rsidRPr="008B2600" w:rsidRDefault="008B2600" w:rsidP="00C92E02">
      <w:pPr>
        <w:spacing w:line="360" w:lineRule="auto"/>
        <w:ind w:left="851" w:hanging="851"/>
        <w:jc w:val="both"/>
        <w:rPr>
          <w:rFonts w:ascii="Arial" w:hAnsi="Arial" w:cs="Arial"/>
          <w:sz w:val="28"/>
          <w:szCs w:val="28"/>
          <w:lang w:val="en-ZA"/>
        </w:rPr>
      </w:pPr>
    </w:p>
    <w:p w:rsidR="00C43D46" w:rsidRPr="00486CE3" w:rsidRDefault="00C43D46" w:rsidP="00C43D46">
      <w:pPr>
        <w:spacing w:line="360" w:lineRule="auto"/>
        <w:ind w:left="851" w:hanging="851"/>
        <w:jc w:val="both"/>
        <w:rPr>
          <w:rFonts w:ascii="Arial" w:hAnsi="Arial" w:cs="Arial"/>
          <w:lang w:val="en-ZA"/>
        </w:rPr>
      </w:pPr>
      <w:r w:rsidRPr="00486CE3">
        <w:rPr>
          <w:rFonts w:ascii="Arial" w:hAnsi="Arial" w:cs="Arial"/>
          <w:lang w:val="en-ZA"/>
        </w:rPr>
        <w:t>[1</w:t>
      </w:r>
      <w:r w:rsidR="000F46A6" w:rsidRPr="00486CE3">
        <w:rPr>
          <w:rFonts w:ascii="Arial" w:hAnsi="Arial" w:cs="Arial"/>
          <w:lang w:val="en-ZA"/>
        </w:rPr>
        <w:t>9</w:t>
      </w:r>
      <w:r w:rsidRPr="00486CE3">
        <w:rPr>
          <w:rFonts w:ascii="Arial" w:hAnsi="Arial" w:cs="Arial"/>
          <w:lang w:val="en-ZA"/>
        </w:rPr>
        <w:t>]</w:t>
      </w:r>
      <w:r w:rsidRPr="00486CE3">
        <w:rPr>
          <w:rFonts w:ascii="Arial" w:hAnsi="Arial" w:cs="Arial"/>
          <w:lang w:val="en-ZA"/>
        </w:rPr>
        <w:tab/>
      </w:r>
      <w:r w:rsidR="003521EE" w:rsidRPr="00486CE3">
        <w:rPr>
          <w:rFonts w:ascii="Arial" w:hAnsi="Arial" w:cs="Arial"/>
          <w:lang w:val="en-ZA"/>
        </w:rPr>
        <w:t xml:space="preserve">The emphasis is that consideration must be placed on the context and the language together with </w:t>
      </w:r>
      <w:r w:rsidR="000C213D" w:rsidRPr="00486CE3">
        <w:rPr>
          <w:rFonts w:ascii="Arial" w:hAnsi="Arial" w:cs="Arial"/>
          <w:lang w:val="en-ZA"/>
        </w:rPr>
        <w:t xml:space="preserve">neither </w:t>
      </w:r>
      <w:r w:rsidR="003521EE" w:rsidRPr="00486CE3">
        <w:rPr>
          <w:rFonts w:ascii="Arial" w:hAnsi="Arial" w:cs="Arial"/>
          <w:lang w:val="en-ZA"/>
        </w:rPr>
        <w:t xml:space="preserve">the strongest of the other. The submission on behalf of the applicants is that it was the intention of the </w:t>
      </w:r>
      <w:r w:rsidR="00DE730A" w:rsidRPr="00486CE3">
        <w:rPr>
          <w:rFonts w:ascii="Arial" w:hAnsi="Arial" w:cs="Arial"/>
          <w:lang w:val="en-ZA"/>
        </w:rPr>
        <w:t>deceased</w:t>
      </w:r>
      <w:r w:rsidR="000C213D" w:rsidRPr="00486CE3">
        <w:rPr>
          <w:rFonts w:ascii="Arial" w:hAnsi="Arial" w:cs="Arial"/>
          <w:lang w:val="en-ZA"/>
        </w:rPr>
        <w:t xml:space="preserve"> as stated in the ante-nuptial agreement </w:t>
      </w:r>
      <w:r w:rsidR="003521EE" w:rsidRPr="00486CE3">
        <w:rPr>
          <w:rFonts w:ascii="Arial" w:hAnsi="Arial" w:cs="Arial"/>
          <w:lang w:val="en-ZA"/>
        </w:rPr>
        <w:t xml:space="preserve">to provide the first respondent with a motor vehicle. This proposition is based on the fact that when the ante-nuptial agreement was entered into, both the two (2) motor vehicles were not acquired by the </w:t>
      </w:r>
      <w:r w:rsidR="00DE730A" w:rsidRPr="00486CE3">
        <w:rPr>
          <w:rFonts w:ascii="Arial" w:hAnsi="Arial" w:cs="Arial"/>
          <w:lang w:val="en-ZA"/>
        </w:rPr>
        <w:t>deceased</w:t>
      </w:r>
      <w:r w:rsidR="000C213D" w:rsidRPr="00486CE3">
        <w:rPr>
          <w:rFonts w:ascii="Arial" w:hAnsi="Arial" w:cs="Arial"/>
          <w:lang w:val="en-ZA"/>
        </w:rPr>
        <w:t>. Therefore, the c</w:t>
      </w:r>
      <w:r w:rsidR="003521EE" w:rsidRPr="00486CE3">
        <w:rPr>
          <w:rFonts w:ascii="Arial" w:hAnsi="Arial" w:cs="Arial"/>
          <w:lang w:val="en-ZA"/>
        </w:rPr>
        <w:t>ould be no talk of the contract or agreement entered into</w:t>
      </w:r>
      <w:r w:rsidR="000C213D" w:rsidRPr="00486CE3">
        <w:rPr>
          <w:rFonts w:ascii="Arial" w:hAnsi="Arial" w:cs="Arial"/>
          <w:lang w:val="en-ZA"/>
        </w:rPr>
        <w:t xml:space="preserve"> pertaining to the X-Trail</w:t>
      </w:r>
      <w:r w:rsidR="003521EE" w:rsidRPr="00486CE3">
        <w:rPr>
          <w:rFonts w:ascii="Arial" w:hAnsi="Arial" w:cs="Arial"/>
          <w:lang w:val="en-ZA"/>
        </w:rPr>
        <w:t xml:space="preserve">. In amplification </w:t>
      </w:r>
      <w:r w:rsidR="005D7BAF" w:rsidRPr="00486CE3">
        <w:rPr>
          <w:rFonts w:ascii="Arial" w:hAnsi="Arial" w:cs="Arial"/>
          <w:lang w:val="en-ZA"/>
        </w:rPr>
        <w:t xml:space="preserve">of this argument, it was pointed out that the </w:t>
      </w:r>
      <w:r w:rsidR="00DE730A" w:rsidRPr="00486CE3">
        <w:rPr>
          <w:rFonts w:ascii="Arial" w:hAnsi="Arial" w:cs="Arial"/>
          <w:lang w:val="en-ZA"/>
        </w:rPr>
        <w:t>deceased</w:t>
      </w:r>
      <w:r w:rsidR="005D7BAF" w:rsidRPr="00486CE3">
        <w:rPr>
          <w:rFonts w:ascii="Arial" w:hAnsi="Arial" w:cs="Arial"/>
          <w:lang w:val="en-ZA"/>
        </w:rPr>
        <w:t xml:space="preserve"> specifically dealt with the motor vehicle in the first will and was silent in the second will. Accordingly, it was self-evident that his intention was achieved</w:t>
      </w:r>
      <w:r w:rsidR="000C213D" w:rsidRPr="00486CE3">
        <w:rPr>
          <w:rFonts w:ascii="Arial" w:hAnsi="Arial" w:cs="Arial"/>
          <w:lang w:val="en-ZA"/>
        </w:rPr>
        <w:t xml:space="preserve"> when he purchased the Mercedes Benz S320 for the first respondent</w:t>
      </w:r>
      <w:r w:rsidR="005D7BAF" w:rsidRPr="00486CE3">
        <w:rPr>
          <w:rFonts w:ascii="Arial" w:hAnsi="Arial" w:cs="Arial"/>
          <w:lang w:val="en-ZA"/>
        </w:rPr>
        <w:t xml:space="preserve"> and any reliance on the</w:t>
      </w:r>
      <w:r w:rsidR="000C213D" w:rsidRPr="00486CE3">
        <w:rPr>
          <w:rFonts w:ascii="Arial" w:hAnsi="Arial" w:cs="Arial"/>
          <w:lang w:val="en-ZA"/>
        </w:rPr>
        <w:t xml:space="preserve"> provisions of the ante-nuptial agreement was</w:t>
      </w:r>
      <w:r w:rsidR="005D7BAF" w:rsidRPr="00486CE3">
        <w:rPr>
          <w:rFonts w:ascii="Arial" w:hAnsi="Arial" w:cs="Arial"/>
          <w:lang w:val="en-ZA"/>
        </w:rPr>
        <w:t xml:space="preserve"> fallacious.</w:t>
      </w:r>
      <w:r w:rsidR="000F46A6" w:rsidRPr="00486CE3">
        <w:rPr>
          <w:rFonts w:ascii="Arial" w:hAnsi="Arial" w:cs="Arial"/>
          <w:lang w:val="en-ZA"/>
        </w:rPr>
        <w:t xml:space="preserve"> Right at the very beginning the Mercedes Benz S320 belonged to the first respondent and did not form part of the estate of the deceased.</w:t>
      </w:r>
    </w:p>
    <w:p w:rsidR="00C73EAC" w:rsidRPr="00486CE3" w:rsidRDefault="00C73EAC" w:rsidP="00C43D46">
      <w:pPr>
        <w:spacing w:line="360" w:lineRule="auto"/>
        <w:ind w:left="851" w:hanging="851"/>
        <w:jc w:val="both"/>
        <w:rPr>
          <w:rFonts w:ascii="Arial" w:hAnsi="Arial" w:cs="Arial"/>
          <w:lang w:val="en-ZA"/>
        </w:rPr>
      </w:pPr>
    </w:p>
    <w:p w:rsidR="000F46A6" w:rsidRPr="00486CE3" w:rsidRDefault="000F46A6" w:rsidP="00C73EAC">
      <w:pPr>
        <w:spacing w:line="360" w:lineRule="auto"/>
        <w:ind w:left="851" w:hanging="851"/>
        <w:jc w:val="both"/>
        <w:rPr>
          <w:rFonts w:ascii="Arial" w:hAnsi="Arial" w:cs="Arial"/>
          <w:lang w:val="en-ZA"/>
        </w:rPr>
      </w:pPr>
      <w:r w:rsidRPr="00486CE3">
        <w:rPr>
          <w:rFonts w:ascii="Arial" w:hAnsi="Arial" w:cs="Arial"/>
          <w:lang w:val="en-ZA"/>
        </w:rPr>
        <w:lastRenderedPageBreak/>
        <w:t>[20</w:t>
      </w:r>
      <w:r w:rsidR="00C73EAC" w:rsidRPr="00486CE3">
        <w:rPr>
          <w:rFonts w:ascii="Arial" w:hAnsi="Arial" w:cs="Arial"/>
          <w:lang w:val="en-ZA"/>
        </w:rPr>
        <w:t>]</w:t>
      </w:r>
      <w:r w:rsidR="00C73EAC" w:rsidRPr="00486CE3">
        <w:rPr>
          <w:rFonts w:ascii="Arial" w:hAnsi="Arial" w:cs="Arial"/>
          <w:lang w:val="en-ZA"/>
        </w:rPr>
        <w:tab/>
      </w:r>
      <w:r w:rsidR="000C213D" w:rsidRPr="00486CE3">
        <w:rPr>
          <w:rFonts w:ascii="Arial" w:hAnsi="Arial" w:cs="Arial"/>
          <w:lang w:val="en-ZA"/>
        </w:rPr>
        <w:t>The argument</w:t>
      </w:r>
      <w:r w:rsidR="00C73EAC" w:rsidRPr="00486CE3">
        <w:rPr>
          <w:rFonts w:ascii="Arial" w:hAnsi="Arial" w:cs="Arial"/>
          <w:lang w:val="en-ZA"/>
        </w:rPr>
        <w:t xml:space="preserve"> is only alive when a comparison is made between the two (2) wills. I have difficulty with it in the absence of any extrinsic evidence why the </w:t>
      </w:r>
      <w:r w:rsidR="00DE730A" w:rsidRPr="00486CE3">
        <w:rPr>
          <w:rFonts w:ascii="Arial" w:hAnsi="Arial" w:cs="Arial"/>
          <w:lang w:val="en-ZA"/>
        </w:rPr>
        <w:t>deceased</w:t>
      </w:r>
      <w:r w:rsidR="00C73EAC" w:rsidRPr="00486CE3">
        <w:rPr>
          <w:rFonts w:ascii="Arial" w:hAnsi="Arial" w:cs="Arial"/>
          <w:lang w:val="en-ZA"/>
        </w:rPr>
        <w:t xml:space="preserve"> acquired the two (2) motor vehicles in the first place.</w:t>
      </w:r>
      <w:r w:rsidR="00196146" w:rsidRPr="00486CE3">
        <w:rPr>
          <w:rFonts w:ascii="Arial" w:hAnsi="Arial" w:cs="Arial"/>
          <w:lang w:val="en-ZA"/>
        </w:rPr>
        <w:t xml:space="preserve"> It does not logically follow that because he bought the motor vehicle for the first respondent therefore he had achieved his intention.</w:t>
      </w:r>
      <w:r w:rsidR="00C73EAC" w:rsidRPr="00486CE3">
        <w:rPr>
          <w:rFonts w:ascii="Arial" w:hAnsi="Arial" w:cs="Arial"/>
          <w:lang w:val="en-ZA"/>
        </w:rPr>
        <w:t xml:space="preserve"> It cannot be easily concluded that because he mentioned it in one (1) will and did not do so in the other will, therefore it absolves him of his obligation as contained in the ante-nuptial agreement. </w:t>
      </w:r>
      <w:r w:rsidR="00196146" w:rsidRPr="00486CE3">
        <w:rPr>
          <w:rFonts w:ascii="Arial" w:hAnsi="Arial" w:cs="Arial"/>
          <w:lang w:val="en-ZA"/>
        </w:rPr>
        <w:t>In the contrary paragraph 4 of the first will, the deceased expressly gave his executors an order/instruction to comply with the provisions of his matrimonial property regime. That to me is an objective fact indicative of his intentions at all times</w:t>
      </w:r>
      <w:r w:rsidR="00C73EAC" w:rsidRPr="00486CE3">
        <w:rPr>
          <w:rFonts w:ascii="Arial" w:hAnsi="Arial" w:cs="Arial"/>
          <w:lang w:val="en-ZA"/>
        </w:rPr>
        <w:t xml:space="preserve">. </w:t>
      </w:r>
    </w:p>
    <w:p w:rsidR="000F46A6" w:rsidRPr="00486CE3" w:rsidRDefault="000F46A6" w:rsidP="00C73EAC">
      <w:pPr>
        <w:spacing w:line="360" w:lineRule="auto"/>
        <w:ind w:left="851" w:hanging="851"/>
        <w:jc w:val="both"/>
        <w:rPr>
          <w:rFonts w:ascii="Arial" w:hAnsi="Arial" w:cs="Arial"/>
          <w:lang w:val="en-ZA"/>
        </w:rPr>
      </w:pPr>
    </w:p>
    <w:p w:rsidR="00C73EAC" w:rsidRPr="00486CE3" w:rsidRDefault="000F46A6" w:rsidP="00C73EAC">
      <w:pPr>
        <w:spacing w:line="360" w:lineRule="auto"/>
        <w:ind w:left="851" w:hanging="851"/>
        <w:jc w:val="both"/>
        <w:rPr>
          <w:rFonts w:ascii="Arial" w:hAnsi="Arial" w:cs="Arial"/>
          <w:lang w:val="en-ZA"/>
        </w:rPr>
      </w:pPr>
      <w:r w:rsidRPr="00486CE3">
        <w:rPr>
          <w:rFonts w:ascii="Arial" w:hAnsi="Arial" w:cs="Arial"/>
          <w:lang w:val="en-ZA"/>
        </w:rPr>
        <w:t>[21]</w:t>
      </w:r>
      <w:r w:rsidRPr="00486CE3">
        <w:rPr>
          <w:rFonts w:ascii="Arial" w:hAnsi="Arial" w:cs="Arial"/>
          <w:lang w:val="en-ZA"/>
        </w:rPr>
        <w:tab/>
      </w:r>
      <w:r w:rsidR="00C73EAC" w:rsidRPr="00486CE3">
        <w:rPr>
          <w:rFonts w:ascii="Arial" w:hAnsi="Arial" w:cs="Arial"/>
          <w:lang w:val="en-ZA"/>
        </w:rPr>
        <w:t xml:space="preserve">The argument that at </w:t>
      </w:r>
      <w:r w:rsidR="009F0590" w:rsidRPr="00486CE3">
        <w:rPr>
          <w:rFonts w:ascii="Arial" w:hAnsi="Arial" w:cs="Arial"/>
          <w:lang w:val="en-ZA"/>
        </w:rPr>
        <w:t xml:space="preserve">the time the </w:t>
      </w:r>
      <w:r w:rsidR="000E619D" w:rsidRPr="00486CE3">
        <w:rPr>
          <w:rFonts w:ascii="Arial" w:hAnsi="Arial" w:cs="Arial"/>
          <w:lang w:val="en-ZA"/>
        </w:rPr>
        <w:t>ante-nuptial agreement</w:t>
      </w:r>
      <w:r w:rsidR="009F0590" w:rsidRPr="00486CE3">
        <w:rPr>
          <w:rFonts w:ascii="Arial" w:hAnsi="Arial" w:cs="Arial"/>
          <w:lang w:val="en-ZA"/>
        </w:rPr>
        <w:t xml:space="preserve"> was entered into the motor vehicle concerned was not acquired is fundamentally flawed. The </w:t>
      </w:r>
      <w:r w:rsidR="00DE730A" w:rsidRPr="00486CE3">
        <w:rPr>
          <w:rFonts w:ascii="Arial" w:hAnsi="Arial" w:cs="Arial"/>
          <w:lang w:val="en-ZA"/>
        </w:rPr>
        <w:t>deceased</w:t>
      </w:r>
      <w:r w:rsidR="009F0590" w:rsidRPr="00486CE3">
        <w:rPr>
          <w:rFonts w:ascii="Arial" w:hAnsi="Arial" w:cs="Arial"/>
          <w:lang w:val="en-ZA"/>
        </w:rPr>
        <w:t xml:space="preserve"> did not specify the motor vehicle but simply referred to the one</w:t>
      </w:r>
      <w:r w:rsidRPr="00486CE3">
        <w:rPr>
          <w:rFonts w:ascii="Arial" w:hAnsi="Arial" w:cs="Arial"/>
          <w:lang w:val="en-ZA"/>
        </w:rPr>
        <w:t>s</w:t>
      </w:r>
      <w:r w:rsidR="009F0590" w:rsidRPr="00486CE3">
        <w:rPr>
          <w:rFonts w:ascii="Arial" w:hAnsi="Arial" w:cs="Arial"/>
          <w:lang w:val="en-ZA"/>
        </w:rPr>
        <w:t xml:space="preserve"> he will be driving on a daily basis at the time of his death. In this case the motor vehicle is the X-Trail. It does no</w:t>
      </w:r>
      <w:r w:rsidRPr="00486CE3">
        <w:rPr>
          <w:rFonts w:ascii="Arial" w:hAnsi="Arial" w:cs="Arial"/>
          <w:lang w:val="en-ZA"/>
        </w:rPr>
        <w:t>t get clearer than that. I</w:t>
      </w:r>
      <w:r w:rsidR="009F0590" w:rsidRPr="00486CE3">
        <w:rPr>
          <w:rFonts w:ascii="Arial" w:hAnsi="Arial" w:cs="Arial"/>
          <w:lang w:val="en-ZA"/>
        </w:rPr>
        <w:t xml:space="preserve">t will not be </w:t>
      </w:r>
      <w:r w:rsidR="00196146" w:rsidRPr="00486CE3">
        <w:rPr>
          <w:rFonts w:ascii="Arial" w:hAnsi="Arial" w:cs="Arial"/>
          <w:lang w:val="en-ZA"/>
        </w:rPr>
        <w:t>interpreting this will business-like</w:t>
      </w:r>
      <w:r w:rsidR="009F0590" w:rsidRPr="00486CE3">
        <w:rPr>
          <w:rFonts w:ascii="Arial" w:hAnsi="Arial" w:cs="Arial"/>
          <w:lang w:val="en-ZA"/>
        </w:rPr>
        <w:t xml:space="preserve"> if such clear intention is not given effect to.</w:t>
      </w:r>
      <w:r w:rsidR="00196146" w:rsidRPr="00486CE3">
        <w:rPr>
          <w:rFonts w:ascii="Arial" w:hAnsi="Arial" w:cs="Arial"/>
          <w:lang w:val="en-ZA"/>
        </w:rPr>
        <w:t xml:space="preserve"> The contention cannot stand at all.</w:t>
      </w:r>
    </w:p>
    <w:p w:rsidR="009F0590" w:rsidRPr="00486CE3" w:rsidRDefault="009F0590" w:rsidP="00C73EAC">
      <w:pPr>
        <w:spacing w:line="360" w:lineRule="auto"/>
        <w:ind w:left="851" w:hanging="851"/>
        <w:jc w:val="both"/>
        <w:rPr>
          <w:rFonts w:ascii="Arial" w:hAnsi="Arial" w:cs="Arial"/>
          <w:lang w:val="en-ZA"/>
        </w:rPr>
      </w:pPr>
    </w:p>
    <w:p w:rsidR="009F0590" w:rsidRPr="00486CE3" w:rsidRDefault="008A7967" w:rsidP="009F0590">
      <w:pPr>
        <w:spacing w:line="360" w:lineRule="auto"/>
        <w:ind w:left="851" w:hanging="851"/>
        <w:jc w:val="both"/>
        <w:rPr>
          <w:rFonts w:ascii="Arial" w:hAnsi="Arial" w:cs="Arial"/>
          <w:lang w:val="en-ZA"/>
        </w:rPr>
      </w:pPr>
      <w:r w:rsidRPr="00486CE3">
        <w:rPr>
          <w:rFonts w:ascii="Arial" w:hAnsi="Arial" w:cs="Arial"/>
          <w:lang w:val="en-ZA"/>
        </w:rPr>
        <w:t>[22</w:t>
      </w:r>
      <w:r w:rsidR="009F0590" w:rsidRPr="00486CE3">
        <w:rPr>
          <w:rFonts w:ascii="Arial" w:hAnsi="Arial" w:cs="Arial"/>
          <w:lang w:val="en-ZA"/>
        </w:rPr>
        <w:t>]</w:t>
      </w:r>
      <w:r w:rsidR="009F0590" w:rsidRPr="00486CE3">
        <w:rPr>
          <w:rFonts w:ascii="Arial" w:hAnsi="Arial" w:cs="Arial"/>
          <w:lang w:val="en-ZA"/>
        </w:rPr>
        <w:tab/>
        <w:t>There is one point that the applicants did not argue. I suppose they</w:t>
      </w:r>
      <w:r w:rsidR="00196146" w:rsidRPr="00486CE3">
        <w:rPr>
          <w:rFonts w:ascii="Arial" w:hAnsi="Arial" w:cs="Arial"/>
          <w:lang w:val="en-ZA"/>
        </w:rPr>
        <w:t xml:space="preserve"> could not do so because it </w:t>
      </w:r>
      <w:r w:rsidR="009F0590" w:rsidRPr="00486CE3">
        <w:rPr>
          <w:rFonts w:ascii="Arial" w:hAnsi="Arial" w:cs="Arial"/>
          <w:lang w:val="en-ZA"/>
        </w:rPr>
        <w:t xml:space="preserve">simply </w:t>
      </w:r>
      <w:r w:rsidR="00196146" w:rsidRPr="00486CE3">
        <w:rPr>
          <w:rFonts w:ascii="Arial" w:hAnsi="Arial" w:cs="Arial"/>
          <w:lang w:val="en-ZA"/>
        </w:rPr>
        <w:t>annihilates</w:t>
      </w:r>
      <w:r w:rsidR="009F0590" w:rsidRPr="00486CE3">
        <w:rPr>
          <w:rFonts w:ascii="Arial" w:hAnsi="Arial" w:cs="Arial"/>
          <w:lang w:val="en-ZA"/>
        </w:rPr>
        <w:t xml:space="preserve"> their case. That concerns the revocation of wills. In the second will the </w:t>
      </w:r>
      <w:r w:rsidR="00DE730A" w:rsidRPr="00486CE3">
        <w:rPr>
          <w:rFonts w:ascii="Arial" w:hAnsi="Arial" w:cs="Arial"/>
          <w:lang w:val="en-ZA"/>
        </w:rPr>
        <w:t>deceased</w:t>
      </w:r>
      <w:r w:rsidR="009F0590" w:rsidRPr="00486CE3">
        <w:rPr>
          <w:rFonts w:ascii="Arial" w:hAnsi="Arial" w:cs="Arial"/>
          <w:lang w:val="en-ZA"/>
        </w:rPr>
        <w:t xml:space="preserve"> inserted a revocatory clause expressly revoking</w:t>
      </w:r>
      <w:r w:rsidR="00307601" w:rsidRPr="00486CE3">
        <w:rPr>
          <w:rFonts w:ascii="Arial" w:hAnsi="Arial" w:cs="Arial"/>
          <w:lang w:val="en-ZA"/>
        </w:rPr>
        <w:t xml:space="preserve"> and cancelling previous wills, testaments, codicils or any document purporting to such which he might have had</w:t>
      </w:r>
      <w:r w:rsidR="009F0590" w:rsidRPr="00486CE3">
        <w:rPr>
          <w:rFonts w:ascii="Arial" w:hAnsi="Arial" w:cs="Arial"/>
          <w:lang w:val="en-ZA"/>
        </w:rPr>
        <w:t xml:space="preserve">. What is clear in both </w:t>
      </w:r>
      <w:r w:rsidRPr="00486CE3">
        <w:rPr>
          <w:rFonts w:ascii="Arial" w:hAnsi="Arial" w:cs="Arial"/>
          <w:lang w:val="en-ZA"/>
        </w:rPr>
        <w:t xml:space="preserve">wills </w:t>
      </w:r>
      <w:r w:rsidR="009F0590" w:rsidRPr="00486CE3">
        <w:rPr>
          <w:rFonts w:ascii="Arial" w:hAnsi="Arial" w:cs="Arial"/>
          <w:lang w:val="en-ZA"/>
        </w:rPr>
        <w:t xml:space="preserve">is that it is apparent that the intention of the </w:t>
      </w:r>
      <w:r w:rsidR="00DE730A" w:rsidRPr="00486CE3">
        <w:rPr>
          <w:rFonts w:ascii="Arial" w:hAnsi="Arial" w:cs="Arial"/>
          <w:lang w:val="en-ZA"/>
        </w:rPr>
        <w:t>deceased</w:t>
      </w:r>
      <w:r w:rsidR="009F0590" w:rsidRPr="00486CE3">
        <w:rPr>
          <w:rFonts w:ascii="Arial" w:hAnsi="Arial" w:cs="Arial"/>
          <w:lang w:val="en-ZA"/>
        </w:rPr>
        <w:t xml:space="preserve"> was to dispose of his entire estate.</w:t>
      </w:r>
    </w:p>
    <w:p w:rsidR="00E02F83" w:rsidRPr="00486CE3" w:rsidRDefault="00E02F83" w:rsidP="009F0590">
      <w:pPr>
        <w:spacing w:line="360" w:lineRule="auto"/>
        <w:ind w:left="851" w:hanging="851"/>
        <w:jc w:val="both"/>
        <w:rPr>
          <w:rFonts w:ascii="Arial" w:hAnsi="Arial" w:cs="Arial"/>
          <w:lang w:val="en-ZA"/>
        </w:rPr>
      </w:pPr>
    </w:p>
    <w:p w:rsidR="00E02F83" w:rsidRPr="00486CE3" w:rsidRDefault="00E02F83" w:rsidP="00E02F83">
      <w:pPr>
        <w:spacing w:line="360" w:lineRule="auto"/>
        <w:ind w:left="851" w:hanging="851"/>
        <w:jc w:val="both"/>
        <w:rPr>
          <w:rFonts w:ascii="Arial" w:hAnsi="Arial" w:cs="Arial"/>
          <w:lang w:val="en-ZA"/>
        </w:rPr>
      </w:pPr>
      <w:r w:rsidRPr="00486CE3">
        <w:rPr>
          <w:rFonts w:ascii="Arial" w:hAnsi="Arial" w:cs="Arial"/>
          <w:lang w:val="en-ZA"/>
        </w:rPr>
        <w:t>[2</w:t>
      </w:r>
      <w:r w:rsidR="008A7967" w:rsidRPr="00486CE3">
        <w:rPr>
          <w:rFonts w:ascii="Arial" w:hAnsi="Arial" w:cs="Arial"/>
          <w:lang w:val="en-ZA"/>
        </w:rPr>
        <w:t>3</w:t>
      </w:r>
      <w:r w:rsidRPr="00486CE3">
        <w:rPr>
          <w:rFonts w:ascii="Arial" w:hAnsi="Arial" w:cs="Arial"/>
          <w:lang w:val="en-ZA"/>
        </w:rPr>
        <w:t>]</w:t>
      </w:r>
      <w:r w:rsidRPr="00486CE3">
        <w:rPr>
          <w:rFonts w:ascii="Arial" w:hAnsi="Arial" w:cs="Arial"/>
          <w:lang w:val="en-ZA"/>
        </w:rPr>
        <w:tab/>
        <w:t xml:space="preserve">The </w:t>
      </w:r>
      <w:r w:rsidR="008A7967" w:rsidRPr="00486CE3">
        <w:rPr>
          <w:rFonts w:ascii="Arial" w:hAnsi="Arial" w:cs="Arial"/>
          <w:lang w:val="en-ZA"/>
        </w:rPr>
        <w:t xml:space="preserve">correct </w:t>
      </w:r>
      <w:r w:rsidRPr="00486CE3">
        <w:rPr>
          <w:rFonts w:ascii="Arial" w:hAnsi="Arial" w:cs="Arial"/>
          <w:lang w:val="en-ZA"/>
        </w:rPr>
        <w:t xml:space="preserve">approach was articulated in </w:t>
      </w:r>
      <w:r w:rsidRPr="00486CE3">
        <w:rPr>
          <w:rFonts w:ascii="Arial" w:hAnsi="Arial" w:cs="Arial"/>
          <w:b/>
          <w:lang w:val="en-ZA"/>
        </w:rPr>
        <w:t>Pienaar and Another v Master of the Free State High Court, Bloemfontein and Others</w:t>
      </w:r>
      <w:r w:rsidRPr="00486CE3">
        <w:rPr>
          <w:rFonts w:ascii="Arial" w:hAnsi="Arial" w:cs="Arial"/>
          <w:lang w:val="en-ZA"/>
        </w:rPr>
        <w:t>. Writing for the undivided bench Theron JA said the following: -</w:t>
      </w:r>
    </w:p>
    <w:p w:rsidR="00E02F83" w:rsidRPr="00486CE3" w:rsidRDefault="00E02F83" w:rsidP="00E02F83">
      <w:pPr>
        <w:spacing w:line="360" w:lineRule="auto"/>
        <w:ind w:left="1701" w:right="1088" w:hanging="851"/>
        <w:jc w:val="both"/>
        <w:rPr>
          <w:rFonts w:ascii="Arial" w:hAnsi="Arial" w:cs="Arial"/>
          <w:color w:val="242121"/>
          <w:sz w:val="20"/>
          <w:szCs w:val="20"/>
          <w:shd w:val="clear" w:color="auto" w:fill="FFFFFF"/>
        </w:rPr>
      </w:pPr>
      <w:r>
        <w:rPr>
          <w:rFonts w:ascii="Arial" w:hAnsi="Arial" w:cs="Arial"/>
          <w:sz w:val="28"/>
          <w:szCs w:val="28"/>
          <w:lang w:val="en-ZA"/>
        </w:rPr>
        <w:tab/>
      </w:r>
      <w:r w:rsidRPr="00486CE3">
        <w:rPr>
          <w:rFonts w:ascii="Arial" w:hAnsi="Arial" w:cs="Arial"/>
          <w:sz w:val="20"/>
          <w:szCs w:val="20"/>
          <w:lang w:val="en-ZA"/>
        </w:rPr>
        <w:t>“</w:t>
      </w:r>
      <w:r w:rsidRPr="00486CE3">
        <w:rPr>
          <w:rFonts w:ascii="Arial" w:hAnsi="Arial" w:cs="Arial"/>
          <w:color w:val="242121"/>
          <w:sz w:val="20"/>
          <w:szCs w:val="20"/>
          <w:shd w:val="clear" w:color="auto" w:fill="FFFFFF"/>
        </w:rPr>
        <w:t xml:space="preserve">Where a </w:t>
      </w:r>
      <w:r w:rsidR="00DE730A" w:rsidRPr="00486CE3">
        <w:rPr>
          <w:rFonts w:ascii="Arial" w:hAnsi="Arial" w:cs="Arial"/>
          <w:color w:val="242121"/>
          <w:sz w:val="20"/>
          <w:szCs w:val="20"/>
          <w:shd w:val="clear" w:color="auto" w:fill="FFFFFF"/>
        </w:rPr>
        <w:t>deceased</w:t>
      </w:r>
      <w:r w:rsidRPr="00486CE3">
        <w:rPr>
          <w:rFonts w:ascii="Arial" w:hAnsi="Arial" w:cs="Arial"/>
          <w:color w:val="242121"/>
          <w:sz w:val="20"/>
          <w:szCs w:val="20"/>
          <w:shd w:val="clear" w:color="auto" w:fill="FFFFFF"/>
        </w:rPr>
        <w:t xml:space="preserve"> dies leaving more than one testamentary disposition the wills must be read together and reconciled and the provisions of the earlier testaments are deemed to be revoked in so far as they are inconsistent with the later ones. Where there is conflict </w:t>
      </w:r>
      <w:r w:rsidRPr="00486CE3">
        <w:rPr>
          <w:rFonts w:ascii="Arial" w:hAnsi="Arial" w:cs="Arial"/>
          <w:color w:val="242121"/>
          <w:sz w:val="20"/>
          <w:szCs w:val="20"/>
          <w:shd w:val="clear" w:color="auto" w:fill="FFFFFF"/>
        </w:rPr>
        <w:lastRenderedPageBreak/>
        <w:t>between the provisions of the two wills, the conflicting provisions of the earlier testament are deemed to have been revoked by implication.”</w:t>
      </w:r>
      <w:r w:rsidRPr="00486CE3">
        <w:rPr>
          <w:rStyle w:val="FootnoteReference"/>
          <w:rFonts w:ascii="Arial" w:hAnsi="Arial" w:cs="Arial"/>
          <w:color w:val="242121"/>
          <w:sz w:val="20"/>
          <w:szCs w:val="20"/>
          <w:shd w:val="clear" w:color="auto" w:fill="FFFFFF"/>
        </w:rPr>
        <w:footnoteReference w:id="11"/>
      </w:r>
    </w:p>
    <w:p w:rsidR="00E02F83" w:rsidRDefault="00E02F83" w:rsidP="00E02F83">
      <w:pPr>
        <w:spacing w:line="360" w:lineRule="auto"/>
        <w:ind w:right="1088"/>
        <w:jc w:val="both"/>
        <w:rPr>
          <w:rFonts w:ascii="Arial" w:hAnsi="Arial" w:cs="Arial"/>
          <w:color w:val="242121"/>
          <w:shd w:val="clear" w:color="auto" w:fill="FFFFFF"/>
        </w:rPr>
      </w:pPr>
    </w:p>
    <w:p w:rsidR="00E02F83" w:rsidRPr="00486CE3" w:rsidRDefault="008A7967" w:rsidP="00E02F83">
      <w:pPr>
        <w:spacing w:line="360" w:lineRule="auto"/>
        <w:ind w:left="720" w:right="1088" w:hanging="720"/>
        <w:jc w:val="both"/>
        <w:rPr>
          <w:rFonts w:ascii="Arial" w:hAnsi="Arial" w:cs="Arial"/>
          <w:lang w:val="en-ZA"/>
        </w:rPr>
      </w:pPr>
      <w:r w:rsidRPr="00486CE3">
        <w:rPr>
          <w:rFonts w:ascii="Arial" w:hAnsi="Arial" w:cs="Arial"/>
          <w:lang w:val="en-ZA"/>
        </w:rPr>
        <w:t>[24</w:t>
      </w:r>
      <w:r w:rsidR="00E02F83" w:rsidRPr="00486CE3">
        <w:rPr>
          <w:rFonts w:ascii="Arial" w:hAnsi="Arial" w:cs="Arial"/>
          <w:lang w:val="en-ZA"/>
        </w:rPr>
        <w:t>]</w:t>
      </w:r>
      <w:r w:rsidR="00E02F83" w:rsidRPr="00486CE3">
        <w:rPr>
          <w:rFonts w:ascii="Arial" w:hAnsi="Arial" w:cs="Arial"/>
          <w:lang w:val="en-ZA"/>
        </w:rPr>
        <w:tab/>
        <w:t xml:space="preserve">It is trite that the golden rule for the interpretation of wills must be ascertained from the language used in the will. I could not find any import of the argument advanced on behalf of the applicants. </w:t>
      </w:r>
      <w:r w:rsidR="00307601" w:rsidRPr="00486CE3">
        <w:rPr>
          <w:rFonts w:ascii="Arial" w:hAnsi="Arial" w:cs="Arial"/>
          <w:lang w:val="en-ZA"/>
        </w:rPr>
        <w:t xml:space="preserve">The applicants beseech me to read into the second will that </w:t>
      </w:r>
      <w:r w:rsidRPr="00486CE3">
        <w:rPr>
          <w:rFonts w:ascii="Arial" w:hAnsi="Arial" w:cs="Arial"/>
          <w:lang w:val="en-ZA"/>
        </w:rPr>
        <w:t xml:space="preserve">which </w:t>
      </w:r>
      <w:r w:rsidR="00307601" w:rsidRPr="00486CE3">
        <w:rPr>
          <w:rFonts w:ascii="Arial" w:hAnsi="Arial" w:cs="Arial"/>
          <w:lang w:val="en-ZA"/>
        </w:rPr>
        <w:t xml:space="preserve">is unwritten. This suggestion is untenable as it lacks no basis in law. </w:t>
      </w:r>
      <w:r w:rsidR="00E02F83" w:rsidRPr="00486CE3">
        <w:rPr>
          <w:rFonts w:ascii="Arial" w:hAnsi="Arial" w:cs="Arial"/>
          <w:lang w:val="en-ZA"/>
        </w:rPr>
        <w:t xml:space="preserve">The purported intention of the </w:t>
      </w:r>
      <w:r w:rsidR="00DE730A" w:rsidRPr="00486CE3">
        <w:rPr>
          <w:rFonts w:ascii="Arial" w:hAnsi="Arial" w:cs="Arial"/>
          <w:lang w:val="en-ZA"/>
        </w:rPr>
        <w:t>deceased</w:t>
      </w:r>
      <w:r w:rsidR="00E02F83" w:rsidRPr="00486CE3">
        <w:rPr>
          <w:rFonts w:ascii="Arial" w:hAnsi="Arial" w:cs="Arial"/>
          <w:lang w:val="en-ZA"/>
        </w:rPr>
        <w:t xml:space="preserve"> seems to be far-fetched and lacks no basis. In any event, the earlier will was revoked. The principle is clear that where the wills contain conflicting provisions, effect</w:t>
      </w:r>
      <w:r w:rsidR="008B593A" w:rsidRPr="00486CE3">
        <w:rPr>
          <w:rFonts w:ascii="Arial" w:hAnsi="Arial" w:cs="Arial"/>
          <w:lang w:val="en-ZA"/>
        </w:rPr>
        <w:t xml:space="preserve"> must be given to the last will.</w:t>
      </w:r>
    </w:p>
    <w:p w:rsidR="008B593A" w:rsidRPr="00486CE3" w:rsidRDefault="008B593A" w:rsidP="00E02F83">
      <w:pPr>
        <w:spacing w:line="360" w:lineRule="auto"/>
        <w:ind w:left="720" w:right="1088" w:hanging="720"/>
        <w:jc w:val="both"/>
        <w:rPr>
          <w:rFonts w:ascii="Arial" w:hAnsi="Arial" w:cs="Arial"/>
          <w:lang w:val="en-ZA"/>
        </w:rPr>
      </w:pPr>
    </w:p>
    <w:p w:rsidR="008B593A" w:rsidRPr="00486CE3" w:rsidRDefault="008A7967" w:rsidP="00E02F83">
      <w:pPr>
        <w:spacing w:line="360" w:lineRule="auto"/>
        <w:ind w:left="720" w:right="1088" w:hanging="720"/>
        <w:jc w:val="both"/>
        <w:rPr>
          <w:rFonts w:ascii="Arial" w:hAnsi="Arial" w:cs="Arial"/>
          <w:lang w:val="en-ZA"/>
        </w:rPr>
      </w:pPr>
      <w:r w:rsidRPr="00486CE3">
        <w:rPr>
          <w:rFonts w:ascii="Arial" w:hAnsi="Arial" w:cs="Arial"/>
          <w:lang w:val="en-ZA"/>
        </w:rPr>
        <w:t>[25</w:t>
      </w:r>
      <w:r w:rsidR="008B593A" w:rsidRPr="00486CE3">
        <w:rPr>
          <w:rFonts w:ascii="Arial" w:hAnsi="Arial" w:cs="Arial"/>
          <w:lang w:val="en-ZA"/>
        </w:rPr>
        <w:t>]</w:t>
      </w:r>
      <w:r w:rsidR="008B593A" w:rsidRPr="00486CE3">
        <w:rPr>
          <w:rFonts w:ascii="Arial" w:hAnsi="Arial" w:cs="Arial"/>
          <w:lang w:val="en-ZA"/>
        </w:rPr>
        <w:tab/>
        <w:t xml:space="preserve">For the aforegoing </w:t>
      </w:r>
      <w:r w:rsidR="00307601" w:rsidRPr="00486CE3">
        <w:rPr>
          <w:rFonts w:ascii="Arial" w:hAnsi="Arial" w:cs="Arial"/>
          <w:lang w:val="en-ZA"/>
        </w:rPr>
        <w:t>reasons the application must</w:t>
      </w:r>
      <w:r w:rsidR="008B593A" w:rsidRPr="00486CE3">
        <w:rPr>
          <w:rFonts w:ascii="Arial" w:hAnsi="Arial" w:cs="Arial"/>
          <w:lang w:val="en-ZA"/>
        </w:rPr>
        <w:t xml:space="preserve"> fail.</w:t>
      </w:r>
      <w:r w:rsidR="00307601" w:rsidRPr="00486CE3">
        <w:rPr>
          <w:rFonts w:ascii="Arial" w:hAnsi="Arial" w:cs="Arial"/>
          <w:lang w:val="en-ZA"/>
        </w:rPr>
        <w:t xml:space="preserve"> The remaining issue is that of costs.</w:t>
      </w:r>
      <w:r w:rsidR="008B593A" w:rsidRPr="00486CE3">
        <w:rPr>
          <w:rFonts w:ascii="Arial" w:hAnsi="Arial" w:cs="Arial"/>
          <w:lang w:val="en-ZA"/>
        </w:rPr>
        <w:t xml:space="preserve"> Th</w:t>
      </w:r>
      <w:r w:rsidR="00307601" w:rsidRPr="00486CE3">
        <w:rPr>
          <w:rFonts w:ascii="Arial" w:hAnsi="Arial" w:cs="Arial"/>
          <w:lang w:val="en-ZA"/>
        </w:rPr>
        <w:t xml:space="preserve">e consequence </w:t>
      </w:r>
      <w:r w:rsidR="008B593A" w:rsidRPr="00486CE3">
        <w:rPr>
          <w:rFonts w:ascii="Arial" w:hAnsi="Arial" w:cs="Arial"/>
          <w:lang w:val="en-ZA"/>
        </w:rPr>
        <w:t>is that the losing party must pay the costs.</w:t>
      </w:r>
    </w:p>
    <w:p w:rsidR="008B593A" w:rsidRPr="00486CE3" w:rsidRDefault="008B593A" w:rsidP="00E02F83">
      <w:pPr>
        <w:spacing w:line="360" w:lineRule="auto"/>
        <w:ind w:left="720" w:right="1088" w:hanging="720"/>
        <w:jc w:val="both"/>
        <w:rPr>
          <w:rFonts w:ascii="Arial" w:hAnsi="Arial" w:cs="Arial"/>
          <w:lang w:val="en-ZA"/>
        </w:rPr>
      </w:pPr>
    </w:p>
    <w:p w:rsidR="008B593A" w:rsidRPr="00486CE3" w:rsidRDefault="008A7967" w:rsidP="00E02F83">
      <w:pPr>
        <w:spacing w:line="360" w:lineRule="auto"/>
        <w:ind w:left="720" w:right="1088" w:hanging="720"/>
        <w:jc w:val="both"/>
        <w:rPr>
          <w:rFonts w:ascii="Arial" w:hAnsi="Arial" w:cs="Arial"/>
          <w:lang w:val="en-ZA"/>
        </w:rPr>
      </w:pPr>
      <w:r w:rsidRPr="00486CE3">
        <w:rPr>
          <w:rFonts w:ascii="Arial" w:hAnsi="Arial" w:cs="Arial"/>
          <w:lang w:val="en-ZA"/>
        </w:rPr>
        <w:t>[26</w:t>
      </w:r>
      <w:r w:rsidR="008B593A" w:rsidRPr="00486CE3">
        <w:rPr>
          <w:rFonts w:ascii="Arial" w:hAnsi="Arial" w:cs="Arial"/>
          <w:lang w:val="en-ZA"/>
        </w:rPr>
        <w:t>]</w:t>
      </w:r>
      <w:r w:rsidR="008B593A" w:rsidRPr="00486CE3">
        <w:rPr>
          <w:rFonts w:ascii="Arial" w:hAnsi="Arial" w:cs="Arial"/>
          <w:lang w:val="en-ZA"/>
        </w:rPr>
        <w:tab/>
        <w:t>I make the following order: -</w:t>
      </w:r>
    </w:p>
    <w:p w:rsidR="008B593A" w:rsidRPr="00486CE3" w:rsidRDefault="008B593A" w:rsidP="00E02F83">
      <w:pPr>
        <w:spacing w:line="360" w:lineRule="auto"/>
        <w:ind w:left="720" w:right="1088" w:hanging="720"/>
        <w:jc w:val="both"/>
        <w:rPr>
          <w:rFonts w:ascii="Arial" w:hAnsi="Arial" w:cs="Arial"/>
          <w:lang w:val="en-ZA"/>
        </w:rPr>
      </w:pPr>
      <w:r w:rsidRPr="00486CE3">
        <w:rPr>
          <w:rFonts w:ascii="Arial" w:hAnsi="Arial" w:cs="Arial"/>
          <w:lang w:val="en-ZA"/>
        </w:rPr>
        <w:tab/>
      </w:r>
    </w:p>
    <w:p w:rsidR="00AB0C56" w:rsidRPr="00486CE3" w:rsidRDefault="008B593A" w:rsidP="008B593A">
      <w:pPr>
        <w:spacing w:line="360" w:lineRule="auto"/>
        <w:ind w:left="720" w:right="1088" w:hanging="720"/>
        <w:jc w:val="both"/>
        <w:rPr>
          <w:rFonts w:ascii="Arial" w:hAnsi="Arial" w:cs="Arial"/>
          <w:lang w:val="en-ZA"/>
        </w:rPr>
      </w:pPr>
      <w:r w:rsidRPr="00486CE3">
        <w:rPr>
          <w:rFonts w:ascii="Arial" w:hAnsi="Arial" w:cs="Arial"/>
          <w:lang w:val="en-ZA"/>
        </w:rPr>
        <w:tab/>
      </w:r>
      <w:r w:rsidR="008A7967" w:rsidRPr="00486CE3">
        <w:rPr>
          <w:rFonts w:ascii="Arial" w:hAnsi="Arial" w:cs="Arial"/>
          <w:lang w:val="en-ZA"/>
        </w:rPr>
        <w:t>26</w:t>
      </w:r>
      <w:r w:rsidRPr="00486CE3">
        <w:rPr>
          <w:rFonts w:ascii="Arial" w:hAnsi="Arial" w:cs="Arial"/>
          <w:lang w:val="en-ZA"/>
        </w:rPr>
        <w:t>.1.</w:t>
      </w:r>
      <w:r w:rsidRPr="00486CE3">
        <w:rPr>
          <w:rFonts w:ascii="Arial" w:hAnsi="Arial" w:cs="Arial"/>
          <w:lang w:val="en-ZA"/>
        </w:rPr>
        <w:tab/>
        <w:t>The application is dismissed with costs.</w:t>
      </w:r>
    </w:p>
    <w:p w:rsidR="00AB0C56" w:rsidRPr="00486CE3" w:rsidRDefault="00AB0C56" w:rsidP="005E615E">
      <w:pPr>
        <w:spacing w:line="360" w:lineRule="auto"/>
        <w:ind w:left="851" w:hanging="851"/>
        <w:jc w:val="both"/>
        <w:rPr>
          <w:rFonts w:ascii="Arial" w:hAnsi="Arial" w:cs="Arial"/>
          <w:lang w:val="en-ZA"/>
        </w:rPr>
      </w:pPr>
    </w:p>
    <w:p w:rsidR="00AB0C56" w:rsidRPr="00486CE3" w:rsidRDefault="00AB0C56" w:rsidP="005E615E">
      <w:pPr>
        <w:spacing w:line="360" w:lineRule="auto"/>
        <w:ind w:left="851" w:hanging="851"/>
        <w:jc w:val="both"/>
        <w:rPr>
          <w:rFonts w:ascii="Arial" w:hAnsi="Arial" w:cs="Arial"/>
          <w:lang w:val="en-ZA"/>
        </w:rPr>
      </w:pPr>
    </w:p>
    <w:p w:rsidR="00AB0C56" w:rsidRPr="00486CE3" w:rsidRDefault="00AB0C56" w:rsidP="005E615E">
      <w:pPr>
        <w:spacing w:line="360" w:lineRule="auto"/>
        <w:ind w:left="851" w:hanging="851"/>
        <w:jc w:val="both"/>
        <w:rPr>
          <w:rFonts w:ascii="Arial" w:hAnsi="Arial" w:cs="Arial"/>
          <w:lang w:val="en-ZA"/>
        </w:rPr>
      </w:pPr>
    </w:p>
    <w:p w:rsidR="002F3751" w:rsidRPr="00486CE3" w:rsidRDefault="00537B21" w:rsidP="002F3751">
      <w:pPr>
        <w:jc w:val="right"/>
        <w:rPr>
          <w:rFonts w:ascii="Arial" w:hAnsi="Arial" w:cs="Arial"/>
          <w:b/>
          <w:color w:val="000000" w:themeColor="text1"/>
          <w:lang w:val="en-ZA"/>
        </w:rPr>
      </w:pPr>
      <w:r w:rsidRPr="00486CE3">
        <w:rPr>
          <w:rFonts w:ascii="Arial" w:hAnsi="Arial" w:cs="Arial"/>
          <w:b/>
          <w:color w:val="000000" w:themeColor="text1"/>
          <w:lang w:val="en-ZA"/>
        </w:rPr>
        <w:t>___</w:t>
      </w:r>
      <w:r w:rsidR="00377DE4" w:rsidRPr="00486CE3">
        <w:rPr>
          <w:rFonts w:ascii="Arial" w:hAnsi="Arial" w:cs="Arial"/>
          <w:b/>
          <w:color w:val="000000" w:themeColor="text1"/>
          <w:lang w:val="en-ZA"/>
        </w:rPr>
        <w:t>_</w:t>
      </w:r>
      <w:r w:rsidR="002A684F" w:rsidRPr="00486CE3">
        <w:rPr>
          <w:rFonts w:ascii="Arial" w:hAnsi="Arial" w:cs="Arial"/>
          <w:b/>
          <w:color w:val="000000" w:themeColor="text1"/>
          <w:lang w:val="en-ZA"/>
        </w:rPr>
        <w:t>__</w:t>
      </w:r>
      <w:r w:rsidR="002F3751" w:rsidRPr="00486CE3">
        <w:rPr>
          <w:rFonts w:ascii="Arial" w:hAnsi="Arial" w:cs="Arial"/>
          <w:b/>
          <w:color w:val="000000" w:themeColor="text1"/>
          <w:lang w:val="en-ZA"/>
        </w:rPr>
        <w:t>____________</w:t>
      </w:r>
    </w:p>
    <w:p w:rsidR="00256298" w:rsidRPr="00486CE3" w:rsidRDefault="00537B21" w:rsidP="00537B21">
      <w:pPr>
        <w:jc w:val="right"/>
        <w:rPr>
          <w:rFonts w:ascii="Arial" w:hAnsi="Arial" w:cs="Arial"/>
          <w:lang w:val="en-ZA"/>
        </w:rPr>
      </w:pPr>
      <w:r w:rsidRPr="00486CE3">
        <w:rPr>
          <w:rFonts w:ascii="Arial" w:hAnsi="Arial" w:cs="Arial"/>
          <w:b/>
          <w:color w:val="000000" w:themeColor="text1"/>
          <w:lang w:val="en-ZA"/>
        </w:rPr>
        <w:t>M</w:t>
      </w:r>
      <w:r w:rsidR="00377DE4" w:rsidRPr="00486CE3">
        <w:rPr>
          <w:rFonts w:ascii="Arial" w:hAnsi="Arial" w:cs="Arial"/>
          <w:b/>
          <w:color w:val="000000" w:themeColor="text1"/>
          <w:lang w:val="en-ZA"/>
        </w:rPr>
        <w:t>.</w:t>
      </w:r>
      <w:r w:rsidRPr="00486CE3">
        <w:rPr>
          <w:rFonts w:ascii="Arial" w:hAnsi="Arial" w:cs="Arial"/>
          <w:b/>
          <w:color w:val="000000" w:themeColor="text1"/>
          <w:lang w:val="en-ZA"/>
        </w:rPr>
        <w:t>A</w:t>
      </w:r>
      <w:r w:rsidR="00377DE4" w:rsidRPr="00486CE3">
        <w:rPr>
          <w:rFonts w:ascii="Arial" w:hAnsi="Arial" w:cs="Arial"/>
          <w:b/>
          <w:color w:val="000000" w:themeColor="text1"/>
          <w:lang w:val="en-ZA"/>
        </w:rPr>
        <w:t>.</w:t>
      </w:r>
      <w:r w:rsidRPr="00486CE3">
        <w:rPr>
          <w:rFonts w:ascii="Arial" w:hAnsi="Arial" w:cs="Arial"/>
          <w:b/>
          <w:color w:val="000000" w:themeColor="text1"/>
          <w:lang w:val="en-ZA"/>
        </w:rPr>
        <w:t xml:space="preserve"> </w:t>
      </w:r>
      <w:r w:rsidR="00892FB3" w:rsidRPr="00486CE3">
        <w:rPr>
          <w:rFonts w:ascii="Arial" w:hAnsi="Arial" w:cs="Arial"/>
          <w:b/>
          <w:color w:val="000000" w:themeColor="text1"/>
          <w:lang w:val="en-ZA"/>
        </w:rPr>
        <w:t xml:space="preserve">MATHEBULA, </w:t>
      </w:r>
      <w:r w:rsidR="002F3751" w:rsidRPr="00486CE3">
        <w:rPr>
          <w:rFonts w:ascii="Arial" w:hAnsi="Arial" w:cs="Arial"/>
          <w:b/>
          <w:color w:val="000000" w:themeColor="text1"/>
          <w:lang w:val="en-ZA"/>
        </w:rPr>
        <w:t>J</w:t>
      </w:r>
    </w:p>
    <w:p w:rsidR="009F0C96" w:rsidRPr="00486CE3" w:rsidRDefault="009F0C96" w:rsidP="00537B21">
      <w:pPr>
        <w:jc w:val="right"/>
        <w:rPr>
          <w:rFonts w:ascii="Arial" w:hAnsi="Arial" w:cs="Arial"/>
          <w:lang w:val="en-ZA"/>
        </w:rPr>
      </w:pPr>
    </w:p>
    <w:p w:rsidR="00256298" w:rsidRPr="00486CE3" w:rsidRDefault="00256298" w:rsidP="00463B95">
      <w:pPr>
        <w:rPr>
          <w:rFonts w:ascii="Arial" w:hAnsi="Arial" w:cs="Arial"/>
          <w:lang w:val="en-ZA"/>
        </w:rPr>
      </w:pPr>
    </w:p>
    <w:p w:rsidR="00256298" w:rsidRPr="00486CE3" w:rsidRDefault="00256298" w:rsidP="00537B21">
      <w:pPr>
        <w:jc w:val="right"/>
        <w:rPr>
          <w:rFonts w:ascii="Arial" w:hAnsi="Arial" w:cs="Arial"/>
          <w:lang w:val="en-ZA"/>
        </w:rPr>
      </w:pPr>
    </w:p>
    <w:p w:rsidR="00C158DB" w:rsidRPr="00486CE3" w:rsidRDefault="00C158DB" w:rsidP="00AE627D">
      <w:pPr>
        <w:tabs>
          <w:tab w:val="left" w:pos="1701"/>
        </w:tabs>
        <w:ind w:left="851" w:hanging="851"/>
        <w:rPr>
          <w:rFonts w:ascii="Arial" w:hAnsi="Arial" w:cs="Arial"/>
          <w:color w:val="000000" w:themeColor="text1"/>
          <w:lang w:val="en-ZA"/>
        </w:rPr>
      </w:pPr>
    </w:p>
    <w:p w:rsidR="00C158DB" w:rsidRPr="00486CE3" w:rsidRDefault="00C158DB" w:rsidP="00AE627D">
      <w:pPr>
        <w:tabs>
          <w:tab w:val="left" w:pos="1701"/>
        </w:tabs>
        <w:ind w:left="851" w:hanging="851"/>
        <w:rPr>
          <w:rFonts w:ascii="Arial" w:hAnsi="Arial" w:cs="Arial"/>
          <w:color w:val="000000" w:themeColor="text1"/>
          <w:lang w:val="en-ZA"/>
        </w:rPr>
      </w:pPr>
    </w:p>
    <w:p w:rsidR="00C158DB" w:rsidRPr="00486CE3" w:rsidRDefault="00C158DB" w:rsidP="00AE627D">
      <w:pPr>
        <w:tabs>
          <w:tab w:val="left" w:pos="1701"/>
        </w:tabs>
        <w:ind w:left="851" w:hanging="851"/>
        <w:rPr>
          <w:rFonts w:ascii="Arial" w:hAnsi="Arial" w:cs="Arial"/>
          <w:color w:val="000000" w:themeColor="text1"/>
          <w:lang w:val="en-ZA"/>
        </w:rPr>
      </w:pPr>
    </w:p>
    <w:p w:rsidR="00C158DB" w:rsidRPr="00486CE3" w:rsidRDefault="00C158DB" w:rsidP="00AE627D">
      <w:pPr>
        <w:tabs>
          <w:tab w:val="left" w:pos="1701"/>
        </w:tabs>
        <w:ind w:left="851" w:hanging="851"/>
        <w:rPr>
          <w:rFonts w:ascii="Arial" w:hAnsi="Arial" w:cs="Arial"/>
          <w:color w:val="000000" w:themeColor="text1"/>
          <w:lang w:val="en-ZA"/>
        </w:rPr>
      </w:pPr>
    </w:p>
    <w:p w:rsidR="00AE627D" w:rsidRPr="00486CE3" w:rsidRDefault="00307601" w:rsidP="008A7967">
      <w:pPr>
        <w:tabs>
          <w:tab w:val="left" w:pos="1701"/>
        </w:tabs>
        <w:ind w:left="4320" w:hanging="4320"/>
        <w:rPr>
          <w:rFonts w:ascii="Arial" w:hAnsi="Arial" w:cs="Arial"/>
          <w:color w:val="000000" w:themeColor="text1"/>
          <w:lang w:val="en-ZA"/>
        </w:rPr>
      </w:pPr>
      <w:r w:rsidRPr="00486CE3">
        <w:rPr>
          <w:rFonts w:ascii="Arial" w:hAnsi="Arial" w:cs="Arial"/>
          <w:color w:val="000000" w:themeColor="text1"/>
          <w:lang w:val="en-ZA"/>
        </w:rPr>
        <w:t>On behalf of the applicants</w:t>
      </w:r>
      <w:r w:rsidR="00AE627D" w:rsidRPr="00486CE3">
        <w:rPr>
          <w:rFonts w:ascii="Arial" w:hAnsi="Arial" w:cs="Arial"/>
          <w:color w:val="000000" w:themeColor="text1"/>
          <w:lang w:val="en-ZA"/>
        </w:rPr>
        <w:t>:</w:t>
      </w:r>
      <w:r w:rsidR="00AE627D" w:rsidRPr="00486CE3">
        <w:rPr>
          <w:rFonts w:ascii="Arial" w:hAnsi="Arial" w:cs="Arial"/>
          <w:color w:val="000000" w:themeColor="text1"/>
          <w:lang w:val="en-ZA"/>
        </w:rPr>
        <w:tab/>
      </w:r>
      <w:r w:rsidR="008A7967" w:rsidRPr="00486CE3">
        <w:rPr>
          <w:rFonts w:ascii="Arial" w:hAnsi="Arial" w:cs="Arial"/>
          <w:color w:val="000000" w:themeColor="text1"/>
          <w:lang w:val="en-ZA"/>
        </w:rPr>
        <w:t>Adv P. Zietsman SC assisted by</w:t>
      </w:r>
      <w:r w:rsidRPr="00486CE3">
        <w:rPr>
          <w:rFonts w:ascii="Arial" w:hAnsi="Arial" w:cs="Arial"/>
          <w:color w:val="000000" w:themeColor="text1"/>
          <w:lang w:val="en-ZA"/>
        </w:rPr>
        <w:t xml:space="preserve"> Adv J. Ferreira</w:t>
      </w:r>
    </w:p>
    <w:p w:rsidR="00AE627D" w:rsidRPr="00486CE3" w:rsidRDefault="007909F9" w:rsidP="00AE627D">
      <w:pPr>
        <w:tabs>
          <w:tab w:val="left" w:pos="1701"/>
        </w:tabs>
        <w:ind w:left="851" w:hanging="851"/>
        <w:rPr>
          <w:rFonts w:ascii="Arial" w:hAnsi="Arial" w:cs="Arial"/>
          <w:color w:val="000000" w:themeColor="text1"/>
          <w:lang w:val="en-ZA"/>
        </w:rPr>
      </w:pPr>
      <w:r w:rsidRPr="00486CE3">
        <w:rPr>
          <w:rFonts w:ascii="Arial" w:hAnsi="Arial" w:cs="Arial"/>
          <w:color w:val="000000" w:themeColor="text1"/>
          <w:lang w:val="en-ZA"/>
        </w:rPr>
        <w:t>Instructed by:</w:t>
      </w: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00C158DB" w:rsidRPr="00486CE3">
        <w:rPr>
          <w:rFonts w:ascii="Arial" w:hAnsi="Arial" w:cs="Arial"/>
          <w:color w:val="000000" w:themeColor="text1"/>
          <w:lang w:val="en-ZA"/>
        </w:rPr>
        <w:tab/>
      </w:r>
      <w:r w:rsidR="008A7967" w:rsidRPr="00486CE3">
        <w:rPr>
          <w:rFonts w:ascii="Arial" w:hAnsi="Arial" w:cs="Arial"/>
          <w:color w:val="000000" w:themeColor="text1"/>
          <w:lang w:val="en-ZA"/>
        </w:rPr>
        <w:t>Stander and</w:t>
      </w:r>
      <w:r w:rsidR="00307601" w:rsidRPr="00486CE3">
        <w:rPr>
          <w:rFonts w:ascii="Arial" w:hAnsi="Arial" w:cs="Arial"/>
          <w:color w:val="000000" w:themeColor="text1"/>
          <w:lang w:val="en-ZA"/>
        </w:rPr>
        <w:t xml:space="preserve"> Associates</w:t>
      </w:r>
    </w:p>
    <w:p w:rsidR="00AE627D" w:rsidRPr="00486CE3" w:rsidRDefault="00AE627D" w:rsidP="00AE627D">
      <w:pPr>
        <w:tabs>
          <w:tab w:val="left" w:pos="1701"/>
        </w:tabs>
        <w:ind w:left="851" w:hanging="851"/>
        <w:rPr>
          <w:rFonts w:ascii="Arial" w:hAnsi="Arial" w:cs="Arial"/>
          <w:color w:val="000000" w:themeColor="text1"/>
          <w:lang w:val="en-ZA"/>
        </w:rPr>
      </w:pP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00C158DB" w:rsidRPr="00486CE3">
        <w:rPr>
          <w:rFonts w:ascii="Arial" w:hAnsi="Arial" w:cs="Arial"/>
          <w:color w:val="000000" w:themeColor="text1"/>
          <w:lang w:val="en-ZA"/>
        </w:rPr>
        <w:tab/>
      </w:r>
      <w:r w:rsidRPr="00486CE3">
        <w:rPr>
          <w:rFonts w:ascii="Arial" w:hAnsi="Arial" w:cs="Arial"/>
          <w:color w:val="000000" w:themeColor="text1"/>
          <w:lang w:val="en-ZA"/>
        </w:rPr>
        <w:t>Bloemfontein</w:t>
      </w:r>
    </w:p>
    <w:p w:rsidR="00AE627D" w:rsidRPr="00486CE3" w:rsidRDefault="00AE627D" w:rsidP="00AE627D">
      <w:pPr>
        <w:tabs>
          <w:tab w:val="left" w:pos="1701"/>
        </w:tabs>
        <w:ind w:left="851" w:hanging="851"/>
        <w:rPr>
          <w:rFonts w:ascii="Arial" w:hAnsi="Arial" w:cs="Arial"/>
          <w:color w:val="000000" w:themeColor="text1"/>
          <w:lang w:val="en-ZA"/>
        </w:rPr>
      </w:pPr>
    </w:p>
    <w:p w:rsidR="00AE627D" w:rsidRPr="00486CE3" w:rsidRDefault="00AE627D" w:rsidP="00AE627D">
      <w:pPr>
        <w:tabs>
          <w:tab w:val="left" w:pos="1701"/>
        </w:tabs>
        <w:ind w:left="851" w:hanging="851"/>
        <w:rPr>
          <w:rFonts w:ascii="Arial" w:hAnsi="Arial" w:cs="Arial"/>
          <w:color w:val="000000" w:themeColor="text1"/>
          <w:lang w:val="en-ZA"/>
        </w:rPr>
      </w:pPr>
    </w:p>
    <w:p w:rsidR="00C158DB" w:rsidRPr="00486CE3" w:rsidRDefault="00C158DB" w:rsidP="00AE627D">
      <w:pPr>
        <w:tabs>
          <w:tab w:val="left" w:pos="1701"/>
        </w:tabs>
        <w:ind w:left="851" w:hanging="851"/>
        <w:rPr>
          <w:rFonts w:ascii="Arial" w:hAnsi="Arial" w:cs="Arial"/>
          <w:color w:val="000000" w:themeColor="text1"/>
          <w:lang w:val="en-ZA"/>
        </w:rPr>
      </w:pPr>
    </w:p>
    <w:p w:rsidR="00C158DB" w:rsidRPr="00486CE3" w:rsidRDefault="00C158DB" w:rsidP="00AE627D">
      <w:pPr>
        <w:tabs>
          <w:tab w:val="left" w:pos="1701"/>
        </w:tabs>
        <w:ind w:left="851" w:hanging="851"/>
        <w:rPr>
          <w:rFonts w:ascii="Arial" w:hAnsi="Arial" w:cs="Arial"/>
          <w:color w:val="000000" w:themeColor="text1"/>
          <w:lang w:val="en-ZA"/>
        </w:rPr>
      </w:pPr>
    </w:p>
    <w:p w:rsidR="00AE627D" w:rsidRPr="00486CE3" w:rsidRDefault="00AE627D" w:rsidP="00AE627D">
      <w:pPr>
        <w:tabs>
          <w:tab w:val="left" w:pos="1701"/>
        </w:tabs>
        <w:ind w:left="851" w:hanging="851"/>
        <w:rPr>
          <w:rFonts w:ascii="Arial" w:hAnsi="Arial" w:cs="Arial"/>
          <w:color w:val="000000" w:themeColor="text1"/>
          <w:lang w:val="en-ZA"/>
        </w:rPr>
      </w:pPr>
      <w:r w:rsidRPr="00486CE3">
        <w:rPr>
          <w:rFonts w:ascii="Arial" w:hAnsi="Arial" w:cs="Arial"/>
          <w:color w:val="000000" w:themeColor="text1"/>
          <w:lang w:val="en-ZA"/>
        </w:rPr>
        <w:t xml:space="preserve">On behalf of </w:t>
      </w:r>
      <w:r w:rsidR="00C158DB" w:rsidRPr="00486CE3">
        <w:rPr>
          <w:rFonts w:ascii="Arial" w:hAnsi="Arial" w:cs="Arial"/>
          <w:color w:val="000000" w:themeColor="text1"/>
          <w:lang w:val="en-ZA"/>
        </w:rPr>
        <w:t>the</w:t>
      </w:r>
      <w:r w:rsidR="008A7967" w:rsidRPr="00486CE3">
        <w:rPr>
          <w:rFonts w:ascii="Arial" w:hAnsi="Arial" w:cs="Arial"/>
          <w:color w:val="000000" w:themeColor="text1"/>
          <w:lang w:val="en-ZA"/>
        </w:rPr>
        <w:t xml:space="preserve"> first</w:t>
      </w:r>
      <w:r w:rsidR="00C158DB" w:rsidRPr="00486CE3">
        <w:rPr>
          <w:rFonts w:ascii="Arial" w:hAnsi="Arial" w:cs="Arial"/>
          <w:color w:val="000000" w:themeColor="text1"/>
          <w:lang w:val="en-ZA"/>
        </w:rPr>
        <w:t xml:space="preserve"> </w:t>
      </w:r>
      <w:r w:rsidRPr="00486CE3">
        <w:rPr>
          <w:rFonts w:ascii="Arial" w:hAnsi="Arial" w:cs="Arial"/>
          <w:color w:val="000000" w:themeColor="text1"/>
          <w:lang w:val="en-ZA"/>
        </w:rPr>
        <w:t>respondent:</w:t>
      </w:r>
      <w:r w:rsidR="00C158DB" w:rsidRPr="00486CE3">
        <w:rPr>
          <w:rFonts w:ascii="Arial" w:hAnsi="Arial" w:cs="Arial"/>
          <w:color w:val="000000" w:themeColor="text1"/>
          <w:lang w:val="en-ZA"/>
        </w:rPr>
        <w:tab/>
      </w:r>
      <w:r w:rsidR="00486CE3">
        <w:rPr>
          <w:rFonts w:ascii="Arial" w:hAnsi="Arial" w:cs="Arial"/>
          <w:color w:val="000000" w:themeColor="text1"/>
          <w:lang w:val="en-ZA"/>
        </w:rPr>
        <w:tab/>
      </w:r>
      <w:r w:rsidR="008A7967" w:rsidRPr="00486CE3">
        <w:rPr>
          <w:rFonts w:ascii="Arial" w:hAnsi="Arial" w:cs="Arial"/>
          <w:color w:val="000000" w:themeColor="text1"/>
          <w:lang w:val="en-ZA"/>
        </w:rPr>
        <w:t>Mr R. Coe</w:t>
      </w:r>
      <w:r w:rsidR="00307601" w:rsidRPr="00486CE3">
        <w:rPr>
          <w:rFonts w:ascii="Arial" w:hAnsi="Arial" w:cs="Arial"/>
          <w:color w:val="000000" w:themeColor="text1"/>
          <w:lang w:val="en-ZA"/>
        </w:rPr>
        <w:t>tzee</w:t>
      </w:r>
    </w:p>
    <w:p w:rsidR="00AE627D" w:rsidRPr="00486CE3" w:rsidRDefault="00AE627D" w:rsidP="00AE627D">
      <w:pPr>
        <w:tabs>
          <w:tab w:val="left" w:pos="1701"/>
        </w:tabs>
        <w:ind w:left="851" w:hanging="851"/>
        <w:rPr>
          <w:rFonts w:ascii="Arial" w:hAnsi="Arial" w:cs="Arial"/>
          <w:color w:val="000000" w:themeColor="text1"/>
          <w:lang w:val="en-ZA"/>
        </w:rPr>
      </w:pPr>
      <w:r w:rsidRPr="00486CE3">
        <w:rPr>
          <w:rFonts w:ascii="Arial" w:hAnsi="Arial" w:cs="Arial"/>
          <w:color w:val="000000" w:themeColor="text1"/>
          <w:lang w:val="en-ZA"/>
        </w:rPr>
        <w:t>Instr</w:t>
      </w:r>
      <w:r w:rsidR="00AB0C56" w:rsidRPr="00486CE3">
        <w:rPr>
          <w:rFonts w:ascii="Arial" w:hAnsi="Arial" w:cs="Arial"/>
          <w:color w:val="000000" w:themeColor="text1"/>
          <w:lang w:val="en-ZA"/>
        </w:rPr>
        <w:t>uct</w:t>
      </w:r>
      <w:r w:rsidR="00307601" w:rsidRPr="00486CE3">
        <w:rPr>
          <w:rFonts w:ascii="Arial" w:hAnsi="Arial" w:cs="Arial"/>
          <w:color w:val="000000" w:themeColor="text1"/>
          <w:lang w:val="en-ZA"/>
        </w:rPr>
        <w:t>ed by:</w:t>
      </w:r>
      <w:r w:rsidR="00307601" w:rsidRPr="00486CE3">
        <w:rPr>
          <w:rFonts w:ascii="Arial" w:hAnsi="Arial" w:cs="Arial"/>
          <w:color w:val="000000" w:themeColor="text1"/>
          <w:lang w:val="en-ZA"/>
        </w:rPr>
        <w:tab/>
      </w:r>
      <w:r w:rsidR="00307601" w:rsidRPr="00486CE3">
        <w:rPr>
          <w:rFonts w:ascii="Arial" w:hAnsi="Arial" w:cs="Arial"/>
          <w:color w:val="000000" w:themeColor="text1"/>
          <w:lang w:val="en-ZA"/>
        </w:rPr>
        <w:tab/>
      </w:r>
      <w:r w:rsidR="00307601" w:rsidRPr="00486CE3">
        <w:rPr>
          <w:rFonts w:ascii="Arial" w:hAnsi="Arial" w:cs="Arial"/>
          <w:color w:val="000000" w:themeColor="text1"/>
          <w:lang w:val="en-ZA"/>
        </w:rPr>
        <w:tab/>
      </w:r>
      <w:r w:rsidR="00307601" w:rsidRPr="00486CE3">
        <w:rPr>
          <w:rFonts w:ascii="Arial" w:hAnsi="Arial" w:cs="Arial"/>
          <w:color w:val="000000" w:themeColor="text1"/>
          <w:lang w:val="en-ZA"/>
        </w:rPr>
        <w:tab/>
      </w:r>
      <w:r w:rsidR="00C158DB" w:rsidRPr="00486CE3">
        <w:rPr>
          <w:rFonts w:ascii="Arial" w:hAnsi="Arial" w:cs="Arial"/>
          <w:color w:val="000000" w:themeColor="text1"/>
          <w:lang w:val="en-ZA"/>
        </w:rPr>
        <w:tab/>
      </w:r>
      <w:r w:rsidR="00307601" w:rsidRPr="00486CE3">
        <w:rPr>
          <w:rFonts w:ascii="Arial" w:hAnsi="Arial" w:cs="Arial"/>
          <w:color w:val="000000" w:themeColor="text1"/>
          <w:lang w:val="en-ZA"/>
        </w:rPr>
        <w:t>Steenkamp</w:t>
      </w:r>
      <w:r w:rsidR="008A7967" w:rsidRPr="00486CE3">
        <w:rPr>
          <w:rFonts w:ascii="Arial" w:hAnsi="Arial" w:cs="Arial"/>
          <w:color w:val="000000" w:themeColor="text1"/>
          <w:lang w:val="en-ZA"/>
        </w:rPr>
        <w:t xml:space="preserve"> and</w:t>
      </w:r>
      <w:r w:rsidR="00307601" w:rsidRPr="00486CE3">
        <w:rPr>
          <w:rFonts w:ascii="Arial" w:hAnsi="Arial" w:cs="Arial"/>
          <w:color w:val="000000" w:themeColor="text1"/>
          <w:lang w:val="en-ZA"/>
        </w:rPr>
        <w:t xml:space="preserve"> Jansen Incorporated</w:t>
      </w:r>
    </w:p>
    <w:p w:rsidR="001A76FC" w:rsidRPr="00486CE3" w:rsidRDefault="00AE627D" w:rsidP="00FF2725">
      <w:pPr>
        <w:tabs>
          <w:tab w:val="left" w:pos="1701"/>
        </w:tabs>
        <w:ind w:left="851" w:hanging="851"/>
        <w:rPr>
          <w:rFonts w:ascii="Arial" w:hAnsi="Arial" w:cs="Arial"/>
          <w:lang w:val="en-ZA"/>
        </w:rPr>
      </w:pP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Pr="00486CE3">
        <w:rPr>
          <w:rFonts w:ascii="Arial" w:hAnsi="Arial" w:cs="Arial"/>
          <w:color w:val="000000" w:themeColor="text1"/>
          <w:lang w:val="en-ZA"/>
        </w:rPr>
        <w:tab/>
      </w:r>
      <w:r w:rsidR="00C158DB" w:rsidRPr="00486CE3">
        <w:rPr>
          <w:rFonts w:ascii="Arial" w:hAnsi="Arial" w:cs="Arial"/>
          <w:color w:val="000000" w:themeColor="text1"/>
          <w:lang w:val="en-ZA"/>
        </w:rPr>
        <w:tab/>
      </w:r>
      <w:r w:rsidRPr="00486CE3">
        <w:rPr>
          <w:rFonts w:ascii="Arial" w:hAnsi="Arial" w:cs="Arial"/>
          <w:color w:val="000000" w:themeColor="text1"/>
          <w:lang w:val="en-ZA"/>
        </w:rPr>
        <w:t>Bloemfontein</w:t>
      </w:r>
    </w:p>
    <w:p w:rsidR="001A76FC" w:rsidRDefault="001A76FC" w:rsidP="00256298">
      <w:pPr>
        <w:rPr>
          <w:rFonts w:ascii="Arial" w:hAnsi="Arial" w:cs="Arial"/>
          <w:sz w:val="12"/>
          <w:szCs w:val="12"/>
          <w:lang w:val="en-ZA"/>
        </w:rPr>
      </w:pPr>
    </w:p>
    <w:p w:rsidR="001A76FC" w:rsidRDefault="001A76FC" w:rsidP="00256298">
      <w:pPr>
        <w:rPr>
          <w:rFonts w:ascii="Arial" w:hAnsi="Arial" w:cs="Arial"/>
          <w:sz w:val="12"/>
          <w:szCs w:val="12"/>
          <w:lang w:val="en-ZA"/>
        </w:rPr>
      </w:pPr>
    </w:p>
    <w:p w:rsidR="001A76FC" w:rsidRDefault="001A76FC" w:rsidP="00256298">
      <w:pPr>
        <w:rPr>
          <w:rFonts w:ascii="Arial" w:hAnsi="Arial" w:cs="Arial"/>
          <w:sz w:val="12"/>
          <w:szCs w:val="12"/>
          <w:lang w:val="en-ZA"/>
        </w:rPr>
      </w:pPr>
    </w:p>
    <w:p w:rsidR="00C158DB" w:rsidRDefault="00C158DB" w:rsidP="00256298">
      <w:pPr>
        <w:rPr>
          <w:rFonts w:ascii="Arial" w:hAnsi="Arial" w:cs="Arial"/>
          <w:sz w:val="12"/>
          <w:szCs w:val="12"/>
          <w:lang w:val="en-ZA"/>
        </w:rPr>
      </w:pPr>
    </w:p>
    <w:p w:rsidR="00C158DB" w:rsidRDefault="00C158DB" w:rsidP="00256298">
      <w:pPr>
        <w:rPr>
          <w:rFonts w:ascii="Arial" w:hAnsi="Arial" w:cs="Arial"/>
          <w:sz w:val="12"/>
          <w:szCs w:val="12"/>
          <w:lang w:val="en-ZA"/>
        </w:rPr>
      </w:pPr>
    </w:p>
    <w:p w:rsidR="00C158DB" w:rsidRDefault="00C158DB" w:rsidP="00256298">
      <w:pPr>
        <w:rPr>
          <w:rFonts w:ascii="Arial" w:hAnsi="Arial" w:cs="Arial"/>
          <w:sz w:val="12"/>
          <w:szCs w:val="12"/>
          <w:lang w:val="en-ZA"/>
        </w:rPr>
      </w:pPr>
    </w:p>
    <w:p w:rsidR="00C158DB" w:rsidRDefault="00C158DB" w:rsidP="00256298">
      <w:pPr>
        <w:rPr>
          <w:rFonts w:ascii="Arial" w:hAnsi="Arial" w:cs="Arial"/>
          <w:sz w:val="12"/>
          <w:szCs w:val="12"/>
          <w:lang w:val="en-ZA"/>
        </w:rPr>
      </w:pPr>
    </w:p>
    <w:p w:rsidR="00C158DB" w:rsidRDefault="00C158DB" w:rsidP="00256298">
      <w:pPr>
        <w:rPr>
          <w:rFonts w:ascii="Arial" w:hAnsi="Arial" w:cs="Arial"/>
          <w:sz w:val="12"/>
          <w:szCs w:val="12"/>
          <w:lang w:val="en-ZA"/>
        </w:rPr>
      </w:pPr>
    </w:p>
    <w:p w:rsidR="00C158DB" w:rsidRDefault="00C158DB" w:rsidP="00256298">
      <w:pPr>
        <w:rPr>
          <w:rFonts w:ascii="Arial" w:hAnsi="Arial" w:cs="Arial"/>
          <w:sz w:val="12"/>
          <w:szCs w:val="12"/>
          <w:lang w:val="en-ZA"/>
        </w:rPr>
      </w:pPr>
    </w:p>
    <w:p w:rsidR="00C158DB" w:rsidRDefault="00C158DB" w:rsidP="00256298">
      <w:pPr>
        <w:rPr>
          <w:rFonts w:ascii="Arial" w:hAnsi="Arial" w:cs="Arial"/>
          <w:sz w:val="12"/>
          <w:szCs w:val="12"/>
          <w:lang w:val="en-ZA"/>
        </w:rPr>
      </w:pPr>
    </w:p>
    <w:p w:rsidR="001A76FC" w:rsidRDefault="001A76FC" w:rsidP="00256298">
      <w:pPr>
        <w:rPr>
          <w:rFonts w:ascii="Arial" w:hAnsi="Arial" w:cs="Arial"/>
          <w:sz w:val="12"/>
          <w:szCs w:val="12"/>
          <w:lang w:val="en-ZA"/>
        </w:rPr>
      </w:pPr>
    </w:p>
    <w:p w:rsidR="00B60EF8" w:rsidRPr="00F85635" w:rsidRDefault="00D326BC" w:rsidP="00256298">
      <w:pPr>
        <w:rPr>
          <w:rFonts w:ascii="Arial" w:hAnsi="Arial" w:cs="Arial"/>
          <w:sz w:val="12"/>
          <w:szCs w:val="12"/>
          <w:lang w:val="en-ZA"/>
        </w:rPr>
      </w:pPr>
      <w:r w:rsidRPr="00F85635">
        <w:rPr>
          <w:rFonts w:ascii="Arial" w:hAnsi="Arial" w:cs="Arial"/>
          <w:sz w:val="12"/>
          <w:szCs w:val="12"/>
          <w:lang w:val="en-ZA"/>
        </w:rPr>
        <w:t>/</w:t>
      </w:r>
      <w:r w:rsidR="00FF2725">
        <w:rPr>
          <w:rFonts w:ascii="Arial" w:hAnsi="Arial" w:cs="Arial"/>
          <w:sz w:val="12"/>
          <w:szCs w:val="12"/>
          <w:lang w:val="en-ZA"/>
        </w:rPr>
        <w:t>TK</w:t>
      </w:r>
      <w:r w:rsidRPr="00F85635">
        <w:rPr>
          <w:rFonts w:ascii="Arial" w:hAnsi="Arial" w:cs="Arial"/>
          <w:sz w:val="12"/>
          <w:szCs w:val="12"/>
          <w:lang w:val="en-ZA"/>
        </w:rPr>
        <w:t>wapa</w:t>
      </w:r>
    </w:p>
    <w:sectPr w:rsidR="00B60EF8" w:rsidRPr="00F85635" w:rsidSect="00DF35B6">
      <w:headerReference w:type="even" r:id="rId10"/>
      <w:headerReference w:type="default" r:id="rId11"/>
      <w:headerReference w:type="first" r:id="rId12"/>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26" w:rsidRDefault="00384626" w:rsidP="002F3751">
      <w:r>
        <w:separator/>
      </w:r>
    </w:p>
  </w:endnote>
  <w:endnote w:type="continuationSeparator" w:id="0">
    <w:p w:rsidR="00384626" w:rsidRDefault="00384626" w:rsidP="002F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26" w:rsidRDefault="00384626" w:rsidP="002F3751">
      <w:r>
        <w:separator/>
      </w:r>
    </w:p>
  </w:footnote>
  <w:footnote w:type="continuationSeparator" w:id="0">
    <w:p w:rsidR="00384626" w:rsidRDefault="00384626" w:rsidP="002F3751">
      <w:r>
        <w:continuationSeparator/>
      </w:r>
    </w:p>
  </w:footnote>
  <w:footnote w:id="1">
    <w:p w:rsidR="000E619D" w:rsidRPr="000E619D" w:rsidRDefault="000E619D">
      <w:pPr>
        <w:pStyle w:val="FootnoteText"/>
        <w:rPr>
          <w:rFonts w:ascii="Arial" w:hAnsi="Arial" w:cs="Arial"/>
          <w:lang w:val="en-ZA"/>
        </w:rPr>
      </w:pPr>
      <w:r>
        <w:rPr>
          <w:rStyle w:val="FootnoteReference"/>
        </w:rPr>
        <w:footnoteRef/>
      </w:r>
      <w:r>
        <w:t xml:space="preserve"> </w:t>
      </w:r>
      <w:r>
        <w:rPr>
          <w:rFonts w:ascii="Arial" w:hAnsi="Arial" w:cs="Arial"/>
          <w:lang w:val="en-ZA"/>
        </w:rPr>
        <w:t>Page 37 of the Paginated Papers.</w:t>
      </w:r>
    </w:p>
  </w:footnote>
  <w:footnote w:id="2">
    <w:p w:rsidR="005F5A9F" w:rsidRPr="001B1AEE" w:rsidRDefault="005F5A9F">
      <w:pPr>
        <w:pStyle w:val="FootnoteText"/>
        <w:rPr>
          <w:rFonts w:ascii="Arial" w:hAnsi="Arial" w:cs="Arial"/>
          <w:lang w:val="en-ZA"/>
        </w:rPr>
      </w:pPr>
      <w:r>
        <w:rPr>
          <w:rStyle w:val="FootnoteReference"/>
        </w:rPr>
        <w:footnoteRef/>
      </w:r>
      <w:r>
        <w:t xml:space="preserve"> </w:t>
      </w:r>
      <w:r w:rsidR="001B1AEE">
        <w:rPr>
          <w:rFonts w:ascii="Arial" w:hAnsi="Arial" w:cs="Arial"/>
          <w:lang w:val="en-ZA"/>
        </w:rPr>
        <w:t>Clause 3.1.1 of the Will on page 43 of the Paginated Papers.</w:t>
      </w:r>
    </w:p>
  </w:footnote>
  <w:footnote w:id="3">
    <w:p w:rsidR="00891BDA" w:rsidRPr="00891BDA" w:rsidRDefault="00891BDA">
      <w:pPr>
        <w:pStyle w:val="FootnoteText"/>
        <w:rPr>
          <w:rFonts w:ascii="Arial" w:hAnsi="Arial" w:cs="Arial"/>
          <w:lang w:val="en-ZA"/>
        </w:rPr>
      </w:pPr>
      <w:r>
        <w:rPr>
          <w:rStyle w:val="FootnoteReference"/>
        </w:rPr>
        <w:footnoteRef/>
      </w:r>
      <w:r>
        <w:t xml:space="preserve"> </w:t>
      </w:r>
      <w:r>
        <w:rPr>
          <w:rFonts w:ascii="Arial" w:hAnsi="Arial" w:cs="Arial"/>
          <w:lang w:val="en-ZA"/>
        </w:rPr>
        <w:t>Page</w:t>
      </w:r>
      <w:r w:rsidR="001267DD">
        <w:rPr>
          <w:rFonts w:ascii="Arial" w:hAnsi="Arial" w:cs="Arial"/>
          <w:lang w:val="en-ZA"/>
        </w:rPr>
        <w:t>s</w:t>
      </w:r>
      <w:r>
        <w:rPr>
          <w:rFonts w:ascii="Arial" w:hAnsi="Arial" w:cs="Arial"/>
          <w:lang w:val="en-ZA"/>
        </w:rPr>
        <w:t xml:space="preserve"> 49-54 of the Paginated Papers.</w:t>
      </w:r>
    </w:p>
  </w:footnote>
  <w:footnote w:id="4">
    <w:p w:rsidR="002D27DE" w:rsidRPr="002D27DE" w:rsidRDefault="002D27DE">
      <w:pPr>
        <w:pStyle w:val="FootnoteText"/>
        <w:rPr>
          <w:rFonts w:ascii="Arial" w:hAnsi="Arial" w:cs="Arial"/>
          <w:lang w:val="en-ZA"/>
        </w:rPr>
      </w:pPr>
      <w:r>
        <w:rPr>
          <w:rStyle w:val="FootnoteReference"/>
        </w:rPr>
        <w:footnoteRef/>
      </w:r>
      <w:r>
        <w:t xml:space="preserve"> </w:t>
      </w:r>
      <w:r w:rsidR="001267DD">
        <w:rPr>
          <w:rFonts w:ascii="Arial" w:hAnsi="Arial" w:cs="Arial"/>
          <w:lang w:val="en-ZA"/>
        </w:rPr>
        <w:t>Pages 56-78 of the Paginated Papers.</w:t>
      </w:r>
    </w:p>
  </w:footnote>
  <w:footnote w:id="5">
    <w:p w:rsidR="00DD1EF2" w:rsidRPr="00DD1EF2" w:rsidRDefault="00DD1EF2">
      <w:pPr>
        <w:pStyle w:val="FootnoteText"/>
        <w:rPr>
          <w:rFonts w:ascii="Arial" w:hAnsi="Arial" w:cs="Arial"/>
          <w:lang w:val="en-ZA"/>
        </w:rPr>
      </w:pPr>
      <w:r>
        <w:rPr>
          <w:rStyle w:val="FootnoteReference"/>
        </w:rPr>
        <w:footnoteRef/>
      </w:r>
      <w:r>
        <w:t xml:space="preserve"> </w:t>
      </w:r>
      <w:r>
        <w:rPr>
          <w:rFonts w:ascii="Arial" w:hAnsi="Arial" w:cs="Arial"/>
          <w:lang w:val="en-ZA"/>
        </w:rPr>
        <w:t>2012 (4) SA 593 (SCA) at para 18.</w:t>
      </w:r>
    </w:p>
  </w:footnote>
  <w:footnote w:id="6">
    <w:p w:rsidR="001B451C" w:rsidRPr="001B451C" w:rsidRDefault="001B451C">
      <w:pPr>
        <w:pStyle w:val="FootnoteText"/>
        <w:rPr>
          <w:rFonts w:ascii="Arial" w:hAnsi="Arial" w:cs="Arial"/>
          <w:lang w:val="en-ZA"/>
        </w:rPr>
      </w:pPr>
      <w:r>
        <w:rPr>
          <w:rStyle w:val="FootnoteReference"/>
        </w:rPr>
        <w:footnoteRef/>
      </w:r>
      <w:r>
        <w:t xml:space="preserve"> </w:t>
      </w:r>
      <w:r>
        <w:rPr>
          <w:rFonts w:ascii="Arial" w:hAnsi="Arial" w:cs="Arial"/>
          <w:lang w:val="en-ZA"/>
        </w:rPr>
        <w:t>1984 (3) SA 623 (A) at 634F</w:t>
      </w:r>
      <w:r w:rsidR="002575F8">
        <w:rPr>
          <w:rFonts w:ascii="Arial" w:hAnsi="Arial" w:cs="Arial"/>
          <w:lang w:val="en-ZA"/>
        </w:rPr>
        <w:t>.</w:t>
      </w:r>
    </w:p>
  </w:footnote>
  <w:footnote w:id="7">
    <w:p w:rsidR="00770EFB" w:rsidRPr="00770EFB" w:rsidRDefault="00770EFB">
      <w:pPr>
        <w:pStyle w:val="FootnoteText"/>
        <w:rPr>
          <w:rFonts w:ascii="Arial" w:hAnsi="Arial" w:cs="Arial"/>
          <w:lang w:val="en-ZA"/>
        </w:rPr>
      </w:pPr>
      <w:r>
        <w:rPr>
          <w:rStyle w:val="FootnoteReference"/>
        </w:rPr>
        <w:footnoteRef/>
      </w:r>
      <w:r>
        <w:t xml:space="preserve"> </w:t>
      </w:r>
      <w:r>
        <w:rPr>
          <w:rFonts w:ascii="Arial" w:hAnsi="Arial" w:cs="Arial"/>
          <w:lang w:val="en-ZA"/>
        </w:rPr>
        <w:t>2008 (3) SA 371 (SCA) at para 1</w:t>
      </w:r>
      <w:r w:rsidR="0065270F">
        <w:rPr>
          <w:rFonts w:ascii="Arial" w:hAnsi="Arial" w:cs="Arial"/>
          <w:lang w:val="en-ZA"/>
        </w:rPr>
        <w:t>1</w:t>
      </w:r>
      <w:r>
        <w:rPr>
          <w:rFonts w:ascii="Arial" w:hAnsi="Arial" w:cs="Arial"/>
          <w:lang w:val="en-ZA"/>
        </w:rPr>
        <w:t>.</w:t>
      </w:r>
    </w:p>
  </w:footnote>
  <w:footnote w:id="8">
    <w:p w:rsidR="008F7EFF" w:rsidRPr="008F7EFF" w:rsidRDefault="008F7EFF">
      <w:pPr>
        <w:pStyle w:val="FootnoteText"/>
        <w:rPr>
          <w:rFonts w:ascii="Arial" w:hAnsi="Arial" w:cs="Arial"/>
          <w:lang w:val="en-US"/>
        </w:rPr>
      </w:pPr>
      <w:r>
        <w:rPr>
          <w:rStyle w:val="FootnoteReference"/>
        </w:rPr>
        <w:footnoteRef/>
      </w:r>
      <w:r>
        <w:t xml:space="preserve"> </w:t>
      </w:r>
      <w:r>
        <w:rPr>
          <w:rFonts w:ascii="Arial" w:hAnsi="Arial" w:cs="Arial"/>
          <w:lang w:val="en-US"/>
        </w:rPr>
        <w:t>1981 (3) SA 727 (Z) at 735 A-C.</w:t>
      </w:r>
    </w:p>
  </w:footnote>
  <w:footnote w:id="9">
    <w:p w:rsidR="008F7EFF" w:rsidRPr="008F7EFF" w:rsidRDefault="008F7EFF">
      <w:pPr>
        <w:pStyle w:val="FootnoteText"/>
        <w:rPr>
          <w:rFonts w:ascii="Arial" w:hAnsi="Arial" w:cs="Arial"/>
          <w:lang w:val="en-US"/>
        </w:rPr>
      </w:pPr>
      <w:r>
        <w:rPr>
          <w:rStyle w:val="FootnoteReference"/>
        </w:rPr>
        <w:footnoteRef/>
      </w:r>
      <w:r>
        <w:t xml:space="preserve"> </w:t>
      </w:r>
      <w:r w:rsidR="001B04D1">
        <w:rPr>
          <w:rFonts w:ascii="Arial" w:hAnsi="Arial" w:cs="Arial"/>
          <w:lang w:val="en-US"/>
        </w:rPr>
        <w:t>McAlpine v McAlpine NO and Another 1997 (1) SA 736 (A) at 751.</w:t>
      </w:r>
    </w:p>
  </w:footnote>
  <w:footnote w:id="10">
    <w:p w:rsidR="008B2600" w:rsidRPr="00F1309A" w:rsidRDefault="008B2600">
      <w:pPr>
        <w:pStyle w:val="FootnoteText"/>
        <w:rPr>
          <w:rFonts w:ascii="Arial" w:hAnsi="Arial" w:cs="Arial"/>
          <w:lang w:val="en-US"/>
        </w:rPr>
      </w:pPr>
      <w:r>
        <w:rPr>
          <w:rStyle w:val="FootnoteReference"/>
        </w:rPr>
        <w:footnoteRef/>
      </w:r>
      <w:r>
        <w:t xml:space="preserve"> </w:t>
      </w:r>
      <w:r>
        <w:rPr>
          <w:rFonts w:ascii="Arial" w:hAnsi="Arial" w:cs="Arial"/>
        </w:rPr>
        <w:t>2012 (4) SA 593 (SCA)</w:t>
      </w:r>
      <w:r w:rsidR="00F1309A">
        <w:rPr>
          <w:rFonts w:ascii="Arial" w:hAnsi="Arial" w:cs="Arial"/>
        </w:rPr>
        <w:t xml:space="preserve"> </w:t>
      </w:r>
      <w:r w:rsidR="00F1309A">
        <w:rPr>
          <w:rFonts w:ascii="Arial" w:hAnsi="Arial" w:cs="Arial"/>
          <w:i/>
        </w:rPr>
        <w:t>supra</w:t>
      </w:r>
      <w:r w:rsidR="00F1309A">
        <w:rPr>
          <w:rFonts w:ascii="Arial" w:hAnsi="Arial" w:cs="Arial"/>
        </w:rPr>
        <w:t>.</w:t>
      </w:r>
    </w:p>
  </w:footnote>
  <w:footnote w:id="11">
    <w:p w:rsidR="00E02F83" w:rsidRPr="00E02F83" w:rsidRDefault="00E02F83">
      <w:pPr>
        <w:pStyle w:val="FootnoteText"/>
        <w:rPr>
          <w:rFonts w:ascii="Arial" w:hAnsi="Arial" w:cs="Arial"/>
          <w:lang w:val="en-ZA"/>
        </w:rPr>
      </w:pPr>
      <w:r>
        <w:rPr>
          <w:rStyle w:val="FootnoteReference"/>
        </w:rPr>
        <w:footnoteRef/>
      </w:r>
      <w:r>
        <w:t xml:space="preserve"> </w:t>
      </w:r>
      <w:r>
        <w:rPr>
          <w:rFonts w:ascii="Arial" w:hAnsi="Arial" w:cs="Arial"/>
          <w:lang w:val="en-ZA"/>
        </w:rPr>
        <w:t>2011 (6) SA 338 (SCA) at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C" w:rsidRDefault="00D32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61" w:rsidRDefault="00384626">
    <w:pPr>
      <w:pStyle w:val="Header"/>
      <w:jc w:val="right"/>
    </w:pPr>
    <w:sdt>
      <w:sdtPr>
        <w:id w:val="835499699"/>
        <w:docPartObj>
          <w:docPartGallery w:val="Page Numbers (Top of Page)"/>
          <w:docPartUnique/>
        </w:docPartObj>
      </w:sdtPr>
      <w:sdtEndPr>
        <w:rPr>
          <w:noProof/>
        </w:rPr>
      </w:sdtEndPr>
      <w:sdtContent>
        <w:r w:rsidR="000D4C61">
          <w:fldChar w:fldCharType="begin"/>
        </w:r>
        <w:r w:rsidR="000D4C61">
          <w:instrText xml:space="preserve"> PAGE   \* MERGEFORMAT </w:instrText>
        </w:r>
        <w:r w:rsidR="000D4C61">
          <w:fldChar w:fldCharType="separate"/>
        </w:r>
        <w:r w:rsidR="001B3A6B">
          <w:rPr>
            <w:noProof/>
          </w:rPr>
          <w:t>2</w:t>
        </w:r>
        <w:r w:rsidR="000D4C61">
          <w:rPr>
            <w:noProof/>
          </w:rPr>
          <w:fldChar w:fldCharType="end"/>
        </w:r>
      </w:sdtContent>
    </w:sdt>
  </w:p>
  <w:p w:rsidR="000D4C61" w:rsidRDefault="000D4C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C" w:rsidRDefault="00D3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7731"/>
    <w:multiLevelType w:val="hybridMultilevel"/>
    <w:tmpl w:val="5B1A8A9C"/>
    <w:lvl w:ilvl="0" w:tplc="6EB80E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066757"/>
    <w:multiLevelType w:val="multilevel"/>
    <w:tmpl w:val="98905D80"/>
    <w:lvl w:ilvl="0">
      <w:start w:val="21"/>
      <w:numFmt w:val="decimal"/>
      <w:lvlText w:val="%1"/>
      <w:lvlJc w:val="left"/>
      <w:pPr>
        <w:ind w:left="570" w:hanging="57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nsid w:val="3704658B"/>
    <w:multiLevelType w:val="hybridMultilevel"/>
    <w:tmpl w:val="7ED084CE"/>
    <w:lvl w:ilvl="0" w:tplc="DA86DE9A">
      <w:start w:val="1"/>
      <w:numFmt w:val="upperLetter"/>
      <w:lvlText w:val="%1."/>
      <w:lvlJc w:val="left"/>
      <w:pPr>
        <w:ind w:left="720" w:hanging="360"/>
      </w:pPr>
      <w:rPr>
        <w:rFonts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8A324E"/>
    <w:multiLevelType w:val="hybridMultilevel"/>
    <w:tmpl w:val="A1F0E656"/>
    <w:lvl w:ilvl="0" w:tplc="1E8079A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423D4E14"/>
    <w:multiLevelType w:val="hybridMultilevel"/>
    <w:tmpl w:val="F04666E6"/>
    <w:lvl w:ilvl="0" w:tplc="8CFABA20">
      <w:start w:val="13"/>
      <w:numFmt w:val="upperLetter"/>
      <w:lvlText w:val="%1."/>
      <w:lvlJc w:val="left"/>
      <w:pPr>
        <w:ind w:left="720" w:hanging="360"/>
      </w:pPr>
      <w:rPr>
        <w:rFonts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5C44DB"/>
    <w:multiLevelType w:val="hybridMultilevel"/>
    <w:tmpl w:val="DE8430D8"/>
    <w:lvl w:ilvl="0" w:tplc="6F547144">
      <w:start w:val="84"/>
      <w:numFmt w:val="bullet"/>
      <w:lvlText w:val="-"/>
      <w:lvlJc w:val="left"/>
      <w:pPr>
        <w:ind w:left="2061" w:hanging="360"/>
      </w:pPr>
      <w:rPr>
        <w:rFonts w:ascii="Arial" w:eastAsia="Times New Roman" w:hAnsi="Aria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6">
    <w:nsid w:val="49352F3D"/>
    <w:multiLevelType w:val="multilevel"/>
    <w:tmpl w:val="F9A4A000"/>
    <w:lvl w:ilvl="0">
      <w:start w:val="18"/>
      <w:numFmt w:val="decimal"/>
      <w:lvlText w:val="%1"/>
      <w:lvlJc w:val="left"/>
      <w:pPr>
        <w:ind w:left="570" w:hanging="57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7">
    <w:nsid w:val="4E93144F"/>
    <w:multiLevelType w:val="hybridMultilevel"/>
    <w:tmpl w:val="97F8948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532D29E2"/>
    <w:multiLevelType w:val="hybridMultilevel"/>
    <w:tmpl w:val="E0C8E934"/>
    <w:lvl w:ilvl="0" w:tplc="DA3608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F5D37FB"/>
    <w:multiLevelType w:val="hybridMultilevel"/>
    <w:tmpl w:val="883830FA"/>
    <w:lvl w:ilvl="0" w:tplc="FB22EBC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791F6800"/>
    <w:multiLevelType w:val="hybridMultilevel"/>
    <w:tmpl w:val="C5142294"/>
    <w:lvl w:ilvl="0" w:tplc="A7527FD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5"/>
  </w:num>
  <w:num w:numId="2">
    <w:abstractNumId w:val="0"/>
  </w:num>
  <w:num w:numId="3">
    <w:abstractNumId w:val="8"/>
  </w:num>
  <w:num w:numId="4">
    <w:abstractNumId w:val="10"/>
  </w:num>
  <w:num w:numId="5">
    <w:abstractNumId w:val="3"/>
  </w:num>
  <w:num w:numId="6">
    <w:abstractNumId w:val="9"/>
  </w:num>
  <w:num w:numId="7">
    <w:abstractNumId w:val="6"/>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02838B-39B4-4F72-8B2F-C960E8896539}"/>
    <w:docVar w:name="dgnword-eventsink" w:val="430769728"/>
  </w:docVars>
  <w:rsids>
    <w:rsidRoot w:val="00A92A3B"/>
    <w:rsid w:val="000123EF"/>
    <w:rsid w:val="0001451D"/>
    <w:rsid w:val="00015795"/>
    <w:rsid w:val="00017EDB"/>
    <w:rsid w:val="00020B5E"/>
    <w:rsid w:val="00023839"/>
    <w:rsid w:val="00027449"/>
    <w:rsid w:val="00033BD6"/>
    <w:rsid w:val="00042693"/>
    <w:rsid w:val="00044DFE"/>
    <w:rsid w:val="0005215C"/>
    <w:rsid w:val="00060C20"/>
    <w:rsid w:val="00061862"/>
    <w:rsid w:val="00067738"/>
    <w:rsid w:val="00090643"/>
    <w:rsid w:val="0009226C"/>
    <w:rsid w:val="000973E2"/>
    <w:rsid w:val="000A7FCA"/>
    <w:rsid w:val="000B1680"/>
    <w:rsid w:val="000B5A8F"/>
    <w:rsid w:val="000B7DA9"/>
    <w:rsid w:val="000C0346"/>
    <w:rsid w:val="000C1EF4"/>
    <w:rsid w:val="000C213D"/>
    <w:rsid w:val="000C2B32"/>
    <w:rsid w:val="000C2C58"/>
    <w:rsid w:val="000D4C61"/>
    <w:rsid w:val="000E03DD"/>
    <w:rsid w:val="000E409B"/>
    <w:rsid w:val="000E619D"/>
    <w:rsid w:val="000F2E42"/>
    <w:rsid w:val="000F463E"/>
    <w:rsid w:val="000F46A6"/>
    <w:rsid w:val="000F4783"/>
    <w:rsid w:val="000F5783"/>
    <w:rsid w:val="00104E1D"/>
    <w:rsid w:val="001141BB"/>
    <w:rsid w:val="00114DE2"/>
    <w:rsid w:val="00121FDC"/>
    <w:rsid w:val="001247A8"/>
    <w:rsid w:val="001264BC"/>
    <w:rsid w:val="001267DD"/>
    <w:rsid w:val="00132DEC"/>
    <w:rsid w:val="0013460E"/>
    <w:rsid w:val="00135996"/>
    <w:rsid w:val="00137B89"/>
    <w:rsid w:val="001513AD"/>
    <w:rsid w:val="00154BF6"/>
    <w:rsid w:val="00162D71"/>
    <w:rsid w:val="00167361"/>
    <w:rsid w:val="001730D9"/>
    <w:rsid w:val="001751DD"/>
    <w:rsid w:val="00183B58"/>
    <w:rsid w:val="00193759"/>
    <w:rsid w:val="00196146"/>
    <w:rsid w:val="001A453C"/>
    <w:rsid w:val="001A6C4F"/>
    <w:rsid w:val="001A76FC"/>
    <w:rsid w:val="001B04D1"/>
    <w:rsid w:val="001B1AEE"/>
    <w:rsid w:val="001B3703"/>
    <w:rsid w:val="001B3A6B"/>
    <w:rsid w:val="001B451C"/>
    <w:rsid w:val="001B48CF"/>
    <w:rsid w:val="001C1E80"/>
    <w:rsid w:val="001C39CD"/>
    <w:rsid w:val="001D080B"/>
    <w:rsid w:val="001D709A"/>
    <w:rsid w:val="001E2CCC"/>
    <w:rsid w:val="001E2DCB"/>
    <w:rsid w:val="001F0EB2"/>
    <w:rsid w:val="001F51BB"/>
    <w:rsid w:val="001F6051"/>
    <w:rsid w:val="00200B7E"/>
    <w:rsid w:val="00204274"/>
    <w:rsid w:val="00205E84"/>
    <w:rsid w:val="00212831"/>
    <w:rsid w:val="0022322A"/>
    <w:rsid w:val="0022764B"/>
    <w:rsid w:val="00230590"/>
    <w:rsid w:val="002316A8"/>
    <w:rsid w:val="002374E7"/>
    <w:rsid w:val="00240104"/>
    <w:rsid w:val="00240527"/>
    <w:rsid w:val="00244077"/>
    <w:rsid w:val="00244E75"/>
    <w:rsid w:val="002475A1"/>
    <w:rsid w:val="00250CF0"/>
    <w:rsid w:val="00251340"/>
    <w:rsid w:val="00251944"/>
    <w:rsid w:val="00256298"/>
    <w:rsid w:val="0025636E"/>
    <w:rsid w:val="002575F8"/>
    <w:rsid w:val="00262F6E"/>
    <w:rsid w:val="00263A24"/>
    <w:rsid w:val="00264A1F"/>
    <w:rsid w:val="00265BEF"/>
    <w:rsid w:val="002671EB"/>
    <w:rsid w:val="002717D1"/>
    <w:rsid w:val="00281E07"/>
    <w:rsid w:val="00284482"/>
    <w:rsid w:val="00286FDD"/>
    <w:rsid w:val="002A313F"/>
    <w:rsid w:val="002A55C8"/>
    <w:rsid w:val="002A684F"/>
    <w:rsid w:val="002B0E70"/>
    <w:rsid w:val="002B2166"/>
    <w:rsid w:val="002B5E49"/>
    <w:rsid w:val="002C52A7"/>
    <w:rsid w:val="002C5D3A"/>
    <w:rsid w:val="002C686C"/>
    <w:rsid w:val="002D0152"/>
    <w:rsid w:val="002D22FA"/>
    <w:rsid w:val="002D27DE"/>
    <w:rsid w:val="002D52D6"/>
    <w:rsid w:val="002E4606"/>
    <w:rsid w:val="002E463E"/>
    <w:rsid w:val="002E605F"/>
    <w:rsid w:val="002E6187"/>
    <w:rsid w:val="002F28B6"/>
    <w:rsid w:val="002F3751"/>
    <w:rsid w:val="002F55EE"/>
    <w:rsid w:val="002F7721"/>
    <w:rsid w:val="00307601"/>
    <w:rsid w:val="00316659"/>
    <w:rsid w:val="00325C4A"/>
    <w:rsid w:val="00340C80"/>
    <w:rsid w:val="00341388"/>
    <w:rsid w:val="003445EC"/>
    <w:rsid w:val="003521EE"/>
    <w:rsid w:val="00363669"/>
    <w:rsid w:val="003641B6"/>
    <w:rsid w:val="0037085A"/>
    <w:rsid w:val="003715EF"/>
    <w:rsid w:val="00374E2E"/>
    <w:rsid w:val="00377DE4"/>
    <w:rsid w:val="003825D7"/>
    <w:rsid w:val="003837AF"/>
    <w:rsid w:val="00384626"/>
    <w:rsid w:val="00392218"/>
    <w:rsid w:val="003A1105"/>
    <w:rsid w:val="003A5CC1"/>
    <w:rsid w:val="003A6272"/>
    <w:rsid w:val="003A76CE"/>
    <w:rsid w:val="003B104C"/>
    <w:rsid w:val="003B2F0B"/>
    <w:rsid w:val="003B6A4D"/>
    <w:rsid w:val="003C27F2"/>
    <w:rsid w:val="003D4B8A"/>
    <w:rsid w:val="003D5F47"/>
    <w:rsid w:val="003E3DEB"/>
    <w:rsid w:val="003E671B"/>
    <w:rsid w:val="003E76C2"/>
    <w:rsid w:val="003F517B"/>
    <w:rsid w:val="003F7383"/>
    <w:rsid w:val="00406B5C"/>
    <w:rsid w:val="0041379F"/>
    <w:rsid w:val="0042344A"/>
    <w:rsid w:val="00424C22"/>
    <w:rsid w:val="004266EC"/>
    <w:rsid w:val="00430EC9"/>
    <w:rsid w:val="00434CD3"/>
    <w:rsid w:val="004359A7"/>
    <w:rsid w:val="004455DF"/>
    <w:rsid w:val="004500BD"/>
    <w:rsid w:val="0045293D"/>
    <w:rsid w:val="00455C64"/>
    <w:rsid w:val="00463B95"/>
    <w:rsid w:val="0046685D"/>
    <w:rsid w:val="00470051"/>
    <w:rsid w:val="00474660"/>
    <w:rsid w:val="00476868"/>
    <w:rsid w:val="00476C1B"/>
    <w:rsid w:val="00484A4A"/>
    <w:rsid w:val="00486410"/>
    <w:rsid w:val="00486CE3"/>
    <w:rsid w:val="00490A39"/>
    <w:rsid w:val="00493C72"/>
    <w:rsid w:val="00497A18"/>
    <w:rsid w:val="004A24EC"/>
    <w:rsid w:val="004A791F"/>
    <w:rsid w:val="004B04BA"/>
    <w:rsid w:val="004B2791"/>
    <w:rsid w:val="004B45E9"/>
    <w:rsid w:val="004B5E3B"/>
    <w:rsid w:val="004D077B"/>
    <w:rsid w:val="004E2A18"/>
    <w:rsid w:val="004E43A2"/>
    <w:rsid w:val="004E4548"/>
    <w:rsid w:val="004F0B03"/>
    <w:rsid w:val="004F6952"/>
    <w:rsid w:val="00503008"/>
    <w:rsid w:val="00503A16"/>
    <w:rsid w:val="005149C6"/>
    <w:rsid w:val="005272A4"/>
    <w:rsid w:val="00527F62"/>
    <w:rsid w:val="00534800"/>
    <w:rsid w:val="00537B21"/>
    <w:rsid w:val="00541A61"/>
    <w:rsid w:val="005454BB"/>
    <w:rsid w:val="00545F0C"/>
    <w:rsid w:val="00547195"/>
    <w:rsid w:val="005518E8"/>
    <w:rsid w:val="005526B3"/>
    <w:rsid w:val="0055327D"/>
    <w:rsid w:val="00556E20"/>
    <w:rsid w:val="0055743D"/>
    <w:rsid w:val="00570501"/>
    <w:rsid w:val="005809A4"/>
    <w:rsid w:val="00580CF0"/>
    <w:rsid w:val="0058706A"/>
    <w:rsid w:val="00587866"/>
    <w:rsid w:val="00591132"/>
    <w:rsid w:val="00591620"/>
    <w:rsid w:val="00597445"/>
    <w:rsid w:val="005A0CD2"/>
    <w:rsid w:val="005C5C56"/>
    <w:rsid w:val="005D3C48"/>
    <w:rsid w:val="005D75AE"/>
    <w:rsid w:val="005D7BAF"/>
    <w:rsid w:val="005E615E"/>
    <w:rsid w:val="005F1BD9"/>
    <w:rsid w:val="005F2A8D"/>
    <w:rsid w:val="005F5A9F"/>
    <w:rsid w:val="00605002"/>
    <w:rsid w:val="0060574B"/>
    <w:rsid w:val="00607930"/>
    <w:rsid w:val="006156A6"/>
    <w:rsid w:val="006170FB"/>
    <w:rsid w:val="00624DF5"/>
    <w:rsid w:val="006363A7"/>
    <w:rsid w:val="00640A64"/>
    <w:rsid w:val="00641CAB"/>
    <w:rsid w:val="00644AE5"/>
    <w:rsid w:val="0064730D"/>
    <w:rsid w:val="00651202"/>
    <w:rsid w:val="0065270F"/>
    <w:rsid w:val="006609DF"/>
    <w:rsid w:val="00671ADC"/>
    <w:rsid w:val="006747E7"/>
    <w:rsid w:val="00676B3C"/>
    <w:rsid w:val="0068590E"/>
    <w:rsid w:val="00687102"/>
    <w:rsid w:val="00687F12"/>
    <w:rsid w:val="0069052A"/>
    <w:rsid w:val="00693F5A"/>
    <w:rsid w:val="0069597C"/>
    <w:rsid w:val="006A0941"/>
    <w:rsid w:val="006A2CF6"/>
    <w:rsid w:val="006A3489"/>
    <w:rsid w:val="006B2D7C"/>
    <w:rsid w:val="006B75D7"/>
    <w:rsid w:val="006C7C0D"/>
    <w:rsid w:val="006D141E"/>
    <w:rsid w:val="006D5A24"/>
    <w:rsid w:val="006E2234"/>
    <w:rsid w:val="006E347F"/>
    <w:rsid w:val="006F16C6"/>
    <w:rsid w:val="006F4DF9"/>
    <w:rsid w:val="006F5083"/>
    <w:rsid w:val="0070336C"/>
    <w:rsid w:val="00713831"/>
    <w:rsid w:val="007265B9"/>
    <w:rsid w:val="00726C78"/>
    <w:rsid w:val="007327A7"/>
    <w:rsid w:val="00741C30"/>
    <w:rsid w:val="007442CE"/>
    <w:rsid w:val="00745E3A"/>
    <w:rsid w:val="0074761F"/>
    <w:rsid w:val="00753679"/>
    <w:rsid w:val="00755A0A"/>
    <w:rsid w:val="00756CC2"/>
    <w:rsid w:val="007656B8"/>
    <w:rsid w:val="00770EFB"/>
    <w:rsid w:val="00776411"/>
    <w:rsid w:val="007822B0"/>
    <w:rsid w:val="00782798"/>
    <w:rsid w:val="007855B3"/>
    <w:rsid w:val="00786378"/>
    <w:rsid w:val="007909F9"/>
    <w:rsid w:val="00793F54"/>
    <w:rsid w:val="007963AE"/>
    <w:rsid w:val="007969A2"/>
    <w:rsid w:val="007A284D"/>
    <w:rsid w:val="007A422C"/>
    <w:rsid w:val="007A5647"/>
    <w:rsid w:val="007A6020"/>
    <w:rsid w:val="007B4B86"/>
    <w:rsid w:val="007C033C"/>
    <w:rsid w:val="007C1638"/>
    <w:rsid w:val="007D438F"/>
    <w:rsid w:val="007E7386"/>
    <w:rsid w:val="007E7BD4"/>
    <w:rsid w:val="007F5203"/>
    <w:rsid w:val="008047AB"/>
    <w:rsid w:val="00813A57"/>
    <w:rsid w:val="00823763"/>
    <w:rsid w:val="00832C17"/>
    <w:rsid w:val="00833215"/>
    <w:rsid w:val="00847C44"/>
    <w:rsid w:val="008504AF"/>
    <w:rsid w:val="008610F8"/>
    <w:rsid w:val="00883FF8"/>
    <w:rsid w:val="00884809"/>
    <w:rsid w:val="00891BDA"/>
    <w:rsid w:val="00892FB3"/>
    <w:rsid w:val="008A642E"/>
    <w:rsid w:val="008A66E8"/>
    <w:rsid w:val="008A7967"/>
    <w:rsid w:val="008B2600"/>
    <w:rsid w:val="008B2B5E"/>
    <w:rsid w:val="008B593A"/>
    <w:rsid w:val="008C539F"/>
    <w:rsid w:val="008C545B"/>
    <w:rsid w:val="008D013D"/>
    <w:rsid w:val="008D3DA7"/>
    <w:rsid w:val="008E0AFF"/>
    <w:rsid w:val="008F4341"/>
    <w:rsid w:val="008F5060"/>
    <w:rsid w:val="008F7EFF"/>
    <w:rsid w:val="00900851"/>
    <w:rsid w:val="00901906"/>
    <w:rsid w:val="00904531"/>
    <w:rsid w:val="00906915"/>
    <w:rsid w:val="00910506"/>
    <w:rsid w:val="00926426"/>
    <w:rsid w:val="00930AAA"/>
    <w:rsid w:val="00934422"/>
    <w:rsid w:val="00936FDE"/>
    <w:rsid w:val="0096293F"/>
    <w:rsid w:val="0096430F"/>
    <w:rsid w:val="0097683D"/>
    <w:rsid w:val="00980873"/>
    <w:rsid w:val="00980970"/>
    <w:rsid w:val="00981D12"/>
    <w:rsid w:val="009842E6"/>
    <w:rsid w:val="009861E0"/>
    <w:rsid w:val="0099332E"/>
    <w:rsid w:val="00997019"/>
    <w:rsid w:val="00997235"/>
    <w:rsid w:val="009A1C19"/>
    <w:rsid w:val="009A3BCE"/>
    <w:rsid w:val="009C715C"/>
    <w:rsid w:val="009D00DD"/>
    <w:rsid w:val="009E636C"/>
    <w:rsid w:val="009E6D2E"/>
    <w:rsid w:val="009E75E7"/>
    <w:rsid w:val="009F0590"/>
    <w:rsid w:val="009F0C96"/>
    <w:rsid w:val="009F683B"/>
    <w:rsid w:val="00A045D3"/>
    <w:rsid w:val="00A07517"/>
    <w:rsid w:val="00A07D1A"/>
    <w:rsid w:val="00A13D6E"/>
    <w:rsid w:val="00A27D29"/>
    <w:rsid w:val="00A44276"/>
    <w:rsid w:val="00A476FE"/>
    <w:rsid w:val="00A52625"/>
    <w:rsid w:val="00A527FA"/>
    <w:rsid w:val="00A54410"/>
    <w:rsid w:val="00A56D11"/>
    <w:rsid w:val="00A61B27"/>
    <w:rsid w:val="00A62DEF"/>
    <w:rsid w:val="00A702F0"/>
    <w:rsid w:val="00A71BBF"/>
    <w:rsid w:val="00A74E20"/>
    <w:rsid w:val="00A819E9"/>
    <w:rsid w:val="00A82F8C"/>
    <w:rsid w:val="00A83FB3"/>
    <w:rsid w:val="00A85E87"/>
    <w:rsid w:val="00A92A3B"/>
    <w:rsid w:val="00A9471B"/>
    <w:rsid w:val="00A960B0"/>
    <w:rsid w:val="00A96AF4"/>
    <w:rsid w:val="00AA6B00"/>
    <w:rsid w:val="00AB0C56"/>
    <w:rsid w:val="00AC7D62"/>
    <w:rsid w:val="00AE26D6"/>
    <w:rsid w:val="00AE5214"/>
    <w:rsid w:val="00AE627D"/>
    <w:rsid w:val="00AF2384"/>
    <w:rsid w:val="00AF4EFB"/>
    <w:rsid w:val="00AF6304"/>
    <w:rsid w:val="00B03D28"/>
    <w:rsid w:val="00B06364"/>
    <w:rsid w:val="00B06486"/>
    <w:rsid w:val="00B071AB"/>
    <w:rsid w:val="00B0798C"/>
    <w:rsid w:val="00B07E15"/>
    <w:rsid w:val="00B14CB4"/>
    <w:rsid w:val="00B2099B"/>
    <w:rsid w:val="00B24701"/>
    <w:rsid w:val="00B27365"/>
    <w:rsid w:val="00B30D5B"/>
    <w:rsid w:val="00B31CE1"/>
    <w:rsid w:val="00B3692B"/>
    <w:rsid w:val="00B37167"/>
    <w:rsid w:val="00B429AB"/>
    <w:rsid w:val="00B5323A"/>
    <w:rsid w:val="00B60EF8"/>
    <w:rsid w:val="00B61EF4"/>
    <w:rsid w:val="00B639DD"/>
    <w:rsid w:val="00B65CCA"/>
    <w:rsid w:val="00B778C4"/>
    <w:rsid w:val="00B82E62"/>
    <w:rsid w:val="00B87235"/>
    <w:rsid w:val="00B91FC5"/>
    <w:rsid w:val="00BA06DD"/>
    <w:rsid w:val="00BA1BE8"/>
    <w:rsid w:val="00BB3936"/>
    <w:rsid w:val="00BC5C88"/>
    <w:rsid w:val="00BD2AC4"/>
    <w:rsid w:val="00BD62F5"/>
    <w:rsid w:val="00BD79FD"/>
    <w:rsid w:val="00BE30ED"/>
    <w:rsid w:val="00BE6B61"/>
    <w:rsid w:val="00C0438C"/>
    <w:rsid w:val="00C0468C"/>
    <w:rsid w:val="00C05478"/>
    <w:rsid w:val="00C158DB"/>
    <w:rsid w:val="00C316CD"/>
    <w:rsid w:val="00C37E8E"/>
    <w:rsid w:val="00C43D46"/>
    <w:rsid w:val="00C54539"/>
    <w:rsid w:val="00C73EAC"/>
    <w:rsid w:val="00C76A61"/>
    <w:rsid w:val="00C8239D"/>
    <w:rsid w:val="00C90D72"/>
    <w:rsid w:val="00C91D12"/>
    <w:rsid w:val="00C92E02"/>
    <w:rsid w:val="00CA05B8"/>
    <w:rsid w:val="00CA32DD"/>
    <w:rsid w:val="00CA3D03"/>
    <w:rsid w:val="00CA4F7F"/>
    <w:rsid w:val="00CB1FD5"/>
    <w:rsid w:val="00CB5082"/>
    <w:rsid w:val="00CB6865"/>
    <w:rsid w:val="00CC2020"/>
    <w:rsid w:val="00CC2226"/>
    <w:rsid w:val="00CC2E7D"/>
    <w:rsid w:val="00CC3C0B"/>
    <w:rsid w:val="00CD421D"/>
    <w:rsid w:val="00CE0DE9"/>
    <w:rsid w:val="00CE2296"/>
    <w:rsid w:val="00CE2DC3"/>
    <w:rsid w:val="00CE2EDA"/>
    <w:rsid w:val="00CF38CF"/>
    <w:rsid w:val="00CF3C41"/>
    <w:rsid w:val="00D13D33"/>
    <w:rsid w:val="00D326BC"/>
    <w:rsid w:val="00D344F3"/>
    <w:rsid w:val="00D34553"/>
    <w:rsid w:val="00D44E63"/>
    <w:rsid w:val="00D60F0D"/>
    <w:rsid w:val="00D6571F"/>
    <w:rsid w:val="00D663B2"/>
    <w:rsid w:val="00D760F3"/>
    <w:rsid w:val="00D85FCA"/>
    <w:rsid w:val="00D8630C"/>
    <w:rsid w:val="00D87EBA"/>
    <w:rsid w:val="00D9065D"/>
    <w:rsid w:val="00D91B52"/>
    <w:rsid w:val="00DA4D21"/>
    <w:rsid w:val="00DB2A06"/>
    <w:rsid w:val="00DB5598"/>
    <w:rsid w:val="00DB67CE"/>
    <w:rsid w:val="00DC2D0C"/>
    <w:rsid w:val="00DC5EC0"/>
    <w:rsid w:val="00DC62A4"/>
    <w:rsid w:val="00DD1EF2"/>
    <w:rsid w:val="00DD41A4"/>
    <w:rsid w:val="00DE0EEE"/>
    <w:rsid w:val="00DE26C8"/>
    <w:rsid w:val="00DE68D6"/>
    <w:rsid w:val="00DE730A"/>
    <w:rsid w:val="00DF35B6"/>
    <w:rsid w:val="00DF36F0"/>
    <w:rsid w:val="00DF5734"/>
    <w:rsid w:val="00DF79BD"/>
    <w:rsid w:val="00E01422"/>
    <w:rsid w:val="00E02A1D"/>
    <w:rsid w:val="00E02F83"/>
    <w:rsid w:val="00E119AD"/>
    <w:rsid w:val="00E1312E"/>
    <w:rsid w:val="00E215FA"/>
    <w:rsid w:val="00E25507"/>
    <w:rsid w:val="00E423C8"/>
    <w:rsid w:val="00E5239F"/>
    <w:rsid w:val="00E53AE8"/>
    <w:rsid w:val="00E57C0F"/>
    <w:rsid w:val="00E61E7A"/>
    <w:rsid w:val="00E62B34"/>
    <w:rsid w:val="00E62D35"/>
    <w:rsid w:val="00E6681B"/>
    <w:rsid w:val="00E71249"/>
    <w:rsid w:val="00E74F69"/>
    <w:rsid w:val="00E81E03"/>
    <w:rsid w:val="00E90053"/>
    <w:rsid w:val="00EA3BCD"/>
    <w:rsid w:val="00EA5446"/>
    <w:rsid w:val="00EA5586"/>
    <w:rsid w:val="00EB3759"/>
    <w:rsid w:val="00EC1904"/>
    <w:rsid w:val="00EC4D0A"/>
    <w:rsid w:val="00EC5074"/>
    <w:rsid w:val="00ED44A9"/>
    <w:rsid w:val="00ED7D30"/>
    <w:rsid w:val="00EE03B0"/>
    <w:rsid w:val="00EE0B77"/>
    <w:rsid w:val="00EE1606"/>
    <w:rsid w:val="00EE2674"/>
    <w:rsid w:val="00EE35CD"/>
    <w:rsid w:val="00EF0340"/>
    <w:rsid w:val="00EF12C8"/>
    <w:rsid w:val="00EF380F"/>
    <w:rsid w:val="00EF48AE"/>
    <w:rsid w:val="00F0110D"/>
    <w:rsid w:val="00F042AF"/>
    <w:rsid w:val="00F07937"/>
    <w:rsid w:val="00F07EBA"/>
    <w:rsid w:val="00F12629"/>
    <w:rsid w:val="00F1309A"/>
    <w:rsid w:val="00F16265"/>
    <w:rsid w:val="00F22240"/>
    <w:rsid w:val="00F23FFB"/>
    <w:rsid w:val="00F35DB8"/>
    <w:rsid w:val="00F4266F"/>
    <w:rsid w:val="00F47827"/>
    <w:rsid w:val="00F54CDF"/>
    <w:rsid w:val="00F56E5A"/>
    <w:rsid w:val="00F7052F"/>
    <w:rsid w:val="00F80138"/>
    <w:rsid w:val="00F827FA"/>
    <w:rsid w:val="00F85635"/>
    <w:rsid w:val="00F85F33"/>
    <w:rsid w:val="00F86CF1"/>
    <w:rsid w:val="00F90890"/>
    <w:rsid w:val="00F91583"/>
    <w:rsid w:val="00F9366D"/>
    <w:rsid w:val="00FA38E2"/>
    <w:rsid w:val="00FA612B"/>
    <w:rsid w:val="00FB044A"/>
    <w:rsid w:val="00FB074E"/>
    <w:rsid w:val="00FC056D"/>
    <w:rsid w:val="00FC06A2"/>
    <w:rsid w:val="00FC6E85"/>
    <w:rsid w:val="00FD0261"/>
    <w:rsid w:val="00FD1D28"/>
    <w:rsid w:val="00FD2D19"/>
    <w:rsid w:val="00FD56FE"/>
    <w:rsid w:val="00FD68A2"/>
    <w:rsid w:val="00FE3D0D"/>
    <w:rsid w:val="00FE3D82"/>
    <w:rsid w:val="00FF2725"/>
    <w:rsid w:val="00FF5A4B"/>
    <w:rsid w:val="00FF7A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9A37-310E-410D-94BF-7EA723DB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3B"/>
    <w:pPr>
      <w:spacing w:after="0" w:line="240" w:lineRule="auto"/>
    </w:pPr>
    <w:rPr>
      <w:rFonts w:ascii="Times New Roman" w:eastAsia="Times New Roman" w:hAnsi="Times New Roman" w:cs="Times New Roman"/>
      <w:sz w:val="24"/>
      <w:szCs w:val="24"/>
      <w:lang w:val="af-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47F"/>
    <w:pPr>
      <w:ind w:left="720"/>
      <w:contextualSpacing/>
    </w:pPr>
  </w:style>
  <w:style w:type="paragraph" w:styleId="Header">
    <w:name w:val="header"/>
    <w:basedOn w:val="Normal"/>
    <w:link w:val="HeaderChar"/>
    <w:uiPriority w:val="99"/>
    <w:unhideWhenUsed/>
    <w:rsid w:val="002F3751"/>
    <w:pPr>
      <w:tabs>
        <w:tab w:val="center" w:pos="4513"/>
        <w:tab w:val="right" w:pos="9026"/>
      </w:tabs>
    </w:pPr>
  </w:style>
  <w:style w:type="character" w:customStyle="1" w:styleId="HeaderChar">
    <w:name w:val="Header Char"/>
    <w:basedOn w:val="DefaultParagraphFont"/>
    <w:link w:val="Header"/>
    <w:uiPriority w:val="99"/>
    <w:rsid w:val="002F3751"/>
    <w:rPr>
      <w:rFonts w:ascii="Times New Roman" w:eastAsia="Times New Roman" w:hAnsi="Times New Roman" w:cs="Times New Roman"/>
      <w:sz w:val="24"/>
      <w:szCs w:val="24"/>
      <w:lang w:val="af-ZA" w:eastAsia="en-GB"/>
    </w:rPr>
  </w:style>
  <w:style w:type="paragraph" w:styleId="Footer">
    <w:name w:val="footer"/>
    <w:basedOn w:val="Normal"/>
    <w:link w:val="FooterChar"/>
    <w:uiPriority w:val="99"/>
    <w:unhideWhenUsed/>
    <w:rsid w:val="002F3751"/>
    <w:pPr>
      <w:tabs>
        <w:tab w:val="center" w:pos="4513"/>
        <w:tab w:val="right" w:pos="9026"/>
      </w:tabs>
    </w:pPr>
  </w:style>
  <w:style w:type="character" w:customStyle="1" w:styleId="FooterChar">
    <w:name w:val="Footer Char"/>
    <w:basedOn w:val="DefaultParagraphFont"/>
    <w:link w:val="Footer"/>
    <w:uiPriority w:val="99"/>
    <w:rsid w:val="002F3751"/>
    <w:rPr>
      <w:rFonts w:ascii="Times New Roman" w:eastAsia="Times New Roman" w:hAnsi="Times New Roman" w:cs="Times New Roman"/>
      <w:sz w:val="24"/>
      <w:szCs w:val="24"/>
      <w:lang w:val="af-ZA" w:eastAsia="en-GB"/>
    </w:rPr>
  </w:style>
  <w:style w:type="paragraph" w:styleId="BalloonText">
    <w:name w:val="Balloon Text"/>
    <w:basedOn w:val="Normal"/>
    <w:link w:val="BalloonTextChar"/>
    <w:uiPriority w:val="99"/>
    <w:semiHidden/>
    <w:unhideWhenUsed/>
    <w:rsid w:val="00A52625"/>
    <w:rPr>
      <w:rFonts w:ascii="Tahoma" w:hAnsi="Tahoma" w:cs="Tahoma"/>
      <w:sz w:val="16"/>
      <w:szCs w:val="16"/>
    </w:rPr>
  </w:style>
  <w:style w:type="character" w:customStyle="1" w:styleId="BalloonTextChar">
    <w:name w:val="Balloon Text Char"/>
    <w:basedOn w:val="DefaultParagraphFont"/>
    <w:link w:val="BalloonText"/>
    <w:uiPriority w:val="99"/>
    <w:semiHidden/>
    <w:rsid w:val="00A52625"/>
    <w:rPr>
      <w:rFonts w:ascii="Tahoma" w:eastAsia="Times New Roman" w:hAnsi="Tahoma" w:cs="Tahoma"/>
      <w:sz w:val="16"/>
      <w:szCs w:val="16"/>
      <w:lang w:val="af-ZA" w:eastAsia="en-GB"/>
    </w:rPr>
  </w:style>
  <w:style w:type="paragraph" w:styleId="FootnoteText">
    <w:name w:val="footnote text"/>
    <w:basedOn w:val="Normal"/>
    <w:link w:val="FootnoteTextChar"/>
    <w:uiPriority w:val="99"/>
    <w:semiHidden/>
    <w:unhideWhenUsed/>
    <w:rsid w:val="00651202"/>
    <w:rPr>
      <w:sz w:val="20"/>
      <w:szCs w:val="20"/>
    </w:rPr>
  </w:style>
  <w:style w:type="character" w:customStyle="1" w:styleId="FootnoteTextChar">
    <w:name w:val="Footnote Text Char"/>
    <w:basedOn w:val="DefaultParagraphFont"/>
    <w:link w:val="FootnoteText"/>
    <w:uiPriority w:val="99"/>
    <w:semiHidden/>
    <w:rsid w:val="00651202"/>
    <w:rPr>
      <w:rFonts w:ascii="Times New Roman" w:eastAsia="Times New Roman" w:hAnsi="Times New Roman" w:cs="Times New Roman"/>
      <w:sz w:val="20"/>
      <w:szCs w:val="20"/>
      <w:lang w:val="af-ZA" w:eastAsia="en-GB"/>
    </w:rPr>
  </w:style>
  <w:style w:type="character" w:styleId="FootnoteReference">
    <w:name w:val="footnote reference"/>
    <w:basedOn w:val="DefaultParagraphFont"/>
    <w:uiPriority w:val="99"/>
    <w:semiHidden/>
    <w:unhideWhenUsed/>
    <w:rsid w:val="00651202"/>
    <w:rPr>
      <w:vertAlign w:val="superscript"/>
    </w:rPr>
  </w:style>
  <w:style w:type="character" w:styleId="Hyperlink">
    <w:name w:val="Hyperlink"/>
    <w:basedOn w:val="DefaultParagraphFont"/>
    <w:uiPriority w:val="99"/>
    <w:semiHidden/>
    <w:unhideWhenUsed/>
    <w:rsid w:val="00EF0340"/>
    <w:rPr>
      <w:color w:val="0000FF"/>
      <w:u w:val="single"/>
    </w:rPr>
  </w:style>
  <w:style w:type="character" w:customStyle="1" w:styleId="mc">
    <w:name w:val="mc"/>
    <w:basedOn w:val="DefaultParagraphFont"/>
    <w:rsid w:val="00EF0340"/>
  </w:style>
  <w:style w:type="character" w:customStyle="1" w:styleId="g1">
    <w:name w:val="g1"/>
    <w:basedOn w:val="DefaultParagraphFont"/>
    <w:rsid w:val="008B2600"/>
  </w:style>
  <w:style w:type="paragraph" w:styleId="HTMLPreformatted">
    <w:name w:val="HTML Preformatted"/>
    <w:basedOn w:val="Normal"/>
    <w:link w:val="HTMLPreformattedChar"/>
    <w:uiPriority w:val="99"/>
    <w:unhideWhenUsed/>
    <w:rsid w:val="005F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5F5A9F"/>
    <w:rPr>
      <w:rFonts w:ascii="Courier New" w:eastAsia="Times New Roman" w:hAnsi="Courier New" w:cs="Courier New"/>
      <w:sz w:val="20"/>
      <w:szCs w:val="20"/>
      <w:lang w:eastAsia="en-ZA"/>
    </w:rPr>
  </w:style>
  <w:style w:type="character" w:styleId="CommentReference">
    <w:name w:val="annotation reference"/>
    <w:basedOn w:val="DefaultParagraphFont"/>
    <w:uiPriority w:val="99"/>
    <w:semiHidden/>
    <w:unhideWhenUsed/>
    <w:rsid w:val="004500BD"/>
    <w:rPr>
      <w:sz w:val="16"/>
      <w:szCs w:val="16"/>
    </w:rPr>
  </w:style>
  <w:style w:type="paragraph" w:styleId="CommentText">
    <w:name w:val="annotation text"/>
    <w:basedOn w:val="Normal"/>
    <w:link w:val="CommentTextChar"/>
    <w:uiPriority w:val="99"/>
    <w:semiHidden/>
    <w:unhideWhenUsed/>
    <w:rsid w:val="004500BD"/>
    <w:rPr>
      <w:sz w:val="20"/>
      <w:szCs w:val="20"/>
    </w:rPr>
  </w:style>
  <w:style w:type="character" w:customStyle="1" w:styleId="CommentTextChar">
    <w:name w:val="Comment Text Char"/>
    <w:basedOn w:val="DefaultParagraphFont"/>
    <w:link w:val="CommentText"/>
    <w:uiPriority w:val="99"/>
    <w:semiHidden/>
    <w:rsid w:val="004500BD"/>
    <w:rPr>
      <w:rFonts w:ascii="Times New Roman" w:eastAsia="Times New Roman" w:hAnsi="Times New Roman" w:cs="Times New Roman"/>
      <w:sz w:val="20"/>
      <w:szCs w:val="20"/>
      <w:lang w:val="af-ZA" w:eastAsia="en-GB"/>
    </w:rPr>
  </w:style>
  <w:style w:type="paragraph" w:styleId="CommentSubject">
    <w:name w:val="annotation subject"/>
    <w:basedOn w:val="CommentText"/>
    <w:next w:val="CommentText"/>
    <w:link w:val="CommentSubjectChar"/>
    <w:uiPriority w:val="99"/>
    <w:semiHidden/>
    <w:unhideWhenUsed/>
    <w:rsid w:val="004500BD"/>
    <w:rPr>
      <w:b/>
      <w:bCs/>
    </w:rPr>
  </w:style>
  <w:style w:type="character" w:customStyle="1" w:styleId="CommentSubjectChar">
    <w:name w:val="Comment Subject Char"/>
    <w:basedOn w:val="CommentTextChar"/>
    <w:link w:val="CommentSubject"/>
    <w:uiPriority w:val="99"/>
    <w:semiHidden/>
    <w:rsid w:val="004500BD"/>
    <w:rPr>
      <w:rFonts w:ascii="Times New Roman" w:eastAsia="Times New Roman" w:hAnsi="Times New Roman" w:cs="Times New Roman"/>
      <w:b/>
      <w:bCs/>
      <w:sz w:val="20"/>
      <w:szCs w:val="20"/>
      <w:lang w:val="af-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1996">
      <w:bodyDiv w:val="1"/>
      <w:marLeft w:val="0"/>
      <w:marRight w:val="0"/>
      <w:marTop w:val="0"/>
      <w:marBottom w:val="0"/>
      <w:divBdr>
        <w:top w:val="none" w:sz="0" w:space="0" w:color="auto"/>
        <w:left w:val="none" w:sz="0" w:space="0" w:color="auto"/>
        <w:bottom w:val="none" w:sz="0" w:space="0" w:color="auto"/>
        <w:right w:val="none" w:sz="0" w:space="0" w:color="auto"/>
      </w:divBdr>
    </w:div>
    <w:div w:id="739180787">
      <w:bodyDiv w:val="1"/>
      <w:marLeft w:val="0"/>
      <w:marRight w:val="0"/>
      <w:marTop w:val="0"/>
      <w:marBottom w:val="0"/>
      <w:divBdr>
        <w:top w:val="none" w:sz="0" w:space="0" w:color="auto"/>
        <w:left w:val="none" w:sz="0" w:space="0" w:color="auto"/>
        <w:bottom w:val="none" w:sz="0" w:space="0" w:color="auto"/>
        <w:right w:val="none" w:sz="0" w:space="0" w:color="auto"/>
      </w:divBdr>
    </w:div>
    <w:div w:id="902906669">
      <w:bodyDiv w:val="1"/>
      <w:marLeft w:val="0"/>
      <w:marRight w:val="0"/>
      <w:marTop w:val="0"/>
      <w:marBottom w:val="0"/>
      <w:divBdr>
        <w:top w:val="none" w:sz="0" w:space="0" w:color="auto"/>
        <w:left w:val="none" w:sz="0" w:space="0" w:color="auto"/>
        <w:bottom w:val="none" w:sz="0" w:space="0" w:color="auto"/>
        <w:right w:val="none" w:sz="0" w:space="0" w:color="auto"/>
      </w:divBdr>
    </w:div>
    <w:div w:id="1301958604">
      <w:bodyDiv w:val="1"/>
      <w:marLeft w:val="0"/>
      <w:marRight w:val="0"/>
      <w:marTop w:val="0"/>
      <w:marBottom w:val="0"/>
      <w:divBdr>
        <w:top w:val="none" w:sz="0" w:space="0" w:color="auto"/>
        <w:left w:val="none" w:sz="0" w:space="0" w:color="auto"/>
        <w:bottom w:val="none" w:sz="0" w:space="0" w:color="auto"/>
        <w:right w:val="none" w:sz="0" w:space="0" w:color="auto"/>
      </w:divBdr>
    </w:div>
    <w:div w:id="1302229312">
      <w:bodyDiv w:val="1"/>
      <w:marLeft w:val="0"/>
      <w:marRight w:val="0"/>
      <w:marTop w:val="0"/>
      <w:marBottom w:val="0"/>
      <w:divBdr>
        <w:top w:val="none" w:sz="0" w:space="0" w:color="auto"/>
        <w:left w:val="none" w:sz="0" w:space="0" w:color="auto"/>
        <w:bottom w:val="none" w:sz="0" w:space="0" w:color="auto"/>
        <w:right w:val="none" w:sz="0" w:space="0" w:color="auto"/>
      </w:divBdr>
      <w:divsChild>
        <w:div w:id="288051918">
          <w:marLeft w:val="0"/>
          <w:marRight w:val="0"/>
          <w:marTop w:val="180"/>
          <w:marBottom w:val="0"/>
          <w:divBdr>
            <w:top w:val="none" w:sz="0" w:space="0" w:color="auto"/>
            <w:left w:val="none" w:sz="0" w:space="0" w:color="auto"/>
            <w:bottom w:val="none" w:sz="0" w:space="0" w:color="auto"/>
            <w:right w:val="none" w:sz="0" w:space="0" w:color="auto"/>
          </w:divBdr>
        </w:div>
        <w:div w:id="1030107417">
          <w:marLeft w:val="0"/>
          <w:marRight w:val="0"/>
          <w:marTop w:val="180"/>
          <w:marBottom w:val="0"/>
          <w:divBdr>
            <w:top w:val="none" w:sz="0" w:space="0" w:color="auto"/>
            <w:left w:val="none" w:sz="0" w:space="0" w:color="auto"/>
            <w:bottom w:val="none" w:sz="0" w:space="0" w:color="auto"/>
            <w:right w:val="none" w:sz="0" w:space="0" w:color="auto"/>
          </w:divBdr>
        </w:div>
        <w:div w:id="1038437002">
          <w:marLeft w:val="0"/>
          <w:marRight w:val="0"/>
          <w:marTop w:val="240"/>
          <w:marBottom w:val="24"/>
          <w:divBdr>
            <w:top w:val="single" w:sz="8" w:space="2" w:color="808080"/>
            <w:left w:val="none" w:sz="0" w:space="0" w:color="auto"/>
            <w:bottom w:val="none" w:sz="0" w:space="0" w:color="auto"/>
            <w:right w:val="none" w:sz="0" w:space="0" w:color="auto"/>
          </w:divBdr>
        </w:div>
        <w:div w:id="2030914100">
          <w:marLeft w:val="0"/>
          <w:marRight w:val="0"/>
          <w:marTop w:val="180"/>
          <w:marBottom w:val="0"/>
          <w:divBdr>
            <w:top w:val="none" w:sz="0" w:space="0" w:color="auto"/>
            <w:left w:val="none" w:sz="0" w:space="0" w:color="auto"/>
            <w:bottom w:val="none" w:sz="0" w:space="0" w:color="auto"/>
            <w:right w:val="none" w:sz="0" w:space="0" w:color="auto"/>
          </w:divBdr>
        </w:div>
      </w:divsChild>
    </w:div>
    <w:div w:id="21272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5961-E376-495D-A462-F6E40C48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Beket Elsa</dc:creator>
  <cp:keywords/>
  <dc:description/>
  <cp:lastModifiedBy>Mokone</cp:lastModifiedBy>
  <cp:revision>2</cp:revision>
  <cp:lastPrinted>2022-05-03T09:56:00Z</cp:lastPrinted>
  <dcterms:created xsi:type="dcterms:W3CDTF">2023-02-06T09:20:00Z</dcterms:created>
  <dcterms:modified xsi:type="dcterms:W3CDTF">2023-02-06T09:20:00Z</dcterms:modified>
</cp:coreProperties>
</file>