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0A1" w:rsidRDefault="00FD20A1" w:rsidP="00FD20A1">
      <w:pPr>
        <w:jc w:val="center"/>
        <w:rPr>
          <w:szCs w:val="24"/>
        </w:rPr>
      </w:pPr>
      <w:r>
        <w:rPr>
          <w:noProof/>
          <w:lang w:eastAsia="en-ZA"/>
        </w:rPr>
        <w:drawing>
          <wp:anchor distT="0" distB="0" distL="114300" distR="114300" simplePos="0" relativeHeight="251660288" behindDoc="1" locked="0" layoutInCell="1" allowOverlap="1" wp14:anchorId="38C792BB" wp14:editId="73820131">
            <wp:simplePos x="0" y="0"/>
            <wp:positionH relativeFrom="margin">
              <wp:posOffset>2033752</wp:posOffset>
            </wp:positionH>
            <wp:positionV relativeFrom="paragraph">
              <wp:posOffset>22991</wp:posOffset>
            </wp:positionV>
            <wp:extent cx="1659890" cy="1429071"/>
            <wp:effectExtent l="0" t="0" r="0" b="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95176" cy="1459450"/>
                    </a:xfrm>
                    <a:prstGeom prst="rect">
                      <a:avLst/>
                    </a:prstGeom>
                    <a:noFill/>
                  </pic:spPr>
                </pic:pic>
              </a:graphicData>
            </a:graphic>
            <wp14:sizeRelH relativeFrom="page">
              <wp14:pctWidth>0</wp14:pctWidth>
            </wp14:sizeRelH>
            <wp14:sizeRelV relativeFrom="page">
              <wp14:pctHeight>0</wp14:pctHeight>
            </wp14:sizeRelV>
          </wp:anchor>
        </w:drawing>
      </w:r>
      <w:r w:rsidR="00860436">
        <w:rPr>
          <w:szCs w:val="24"/>
        </w:rPr>
        <w:t>;</w:t>
      </w:r>
    </w:p>
    <w:p w:rsidR="00FD20A1" w:rsidRDefault="00FD20A1" w:rsidP="00FD20A1">
      <w:pPr>
        <w:pStyle w:val="Heading1"/>
        <w:rPr>
          <w:szCs w:val="24"/>
        </w:rPr>
      </w:pPr>
    </w:p>
    <w:p w:rsidR="00FD20A1" w:rsidRDefault="00FD20A1" w:rsidP="00FD20A1">
      <w:pPr>
        <w:pStyle w:val="Heading1"/>
        <w:rPr>
          <w:szCs w:val="24"/>
        </w:rPr>
      </w:pPr>
    </w:p>
    <w:p w:rsidR="00FD20A1" w:rsidRDefault="00FD20A1" w:rsidP="00FD20A1">
      <w:pPr>
        <w:pStyle w:val="Heading1"/>
        <w:rPr>
          <w:szCs w:val="24"/>
        </w:rPr>
      </w:pPr>
    </w:p>
    <w:p w:rsidR="00FA7222" w:rsidRDefault="00FA7222" w:rsidP="008E5CD1">
      <w:pPr>
        <w:spacing w:line="360" w:lineRule="auto"/>
        <w:jc w:val="center"/>
        <w:rPr>
          <w:rFonts w:ascii="Arial" w:hAnsi="Arial" w:cs="Arial"/>
          <w:b/>
          <w:sz w:val="28"/>
          <w:szCs w:val="28"/>
          <w:u w:val="single"/>
        </w:rPr>
      </w:pPr>
    </w:p>
    <w:p w:rsidR="00BB58C5" w:rsidRDefault="00BB58C5" w:rsidP="00A0334D">
      <w:pPr>
        <w:jc w:val="center"/>
        <w:rPr>
          <w:rFonts w:ascii="Arial" w:hAnsi="Arial" w:cs="Arial"/>
          <w:b/>
          <w:u w:val="single"/>
        </w:rPr>
      </w:pPr>
    </w:p>
    <w:p w:rsidR="00A0334D" w:rsidRDefault="00A0334D" w:rsidP="00A0334D">
      <w:pPr>
        <w:jc w:val="center"/>
        <w:rPr>
          <w:rFonts w:ascii="Arial" w:hAnsi="Arial" w:cs="Arial"/>
          <w:b/>
          <w:u w:val="single"/>
        </w:rPr>
      </w:pPr>
      <w:r>
        <w:rPr>
          <w:rFonts w:ascii="Arial" w:hAnsi="Arial" w:cs="Arial"/>
          <w:b/>
          <w:u w:val="single"/>
        </w:rPr>
        <w:t>IN THE HIGH COURT OF SOUTH AFRICA,</w:t>
      </w:r>
    </w:p>
    <w:p w:rsidR="00A0334D" w:rsidRDefault="00A0334D" w:rsidP="00A0334D">
      <w:pPr>
        <w:jc w:val="center"/>
        <w:rPr>
          <w:rFonts w:ascii="Arial" w:hAnsi="Arial" w:cs="Arial"/>
          <w:b/>
          <w:u w:val="single"/>
        </w:rPr>
      </w:pPr>
      <w:r>
        <w:rPr>
          <w:rFonts w:ascii="Arial" w:hAnsi="Arial" w:cs="Arial"/>
          <w:b/>
          <w:u w:val="single"/>
        </w:rPr>
        <w:t>FREE STATE DIVISION, BLOEMFONTEIN</w:t>
      </w:r>
    </w:p>
    <w:tbl>
      <w:tblPr>
        <w:tblStyle w:val="TableGrid"/>
        <w:tblW w:w="0" w:type="auto"/>
        <w:tblInd w:w="5098" w:type="dxa"/>
        <w:tblLook w:val="04A0" w:firstRow="1" w:lastRow="0" w:firstColumn="1" w:lastColumn="0" w:noHBand="0" w:noVBand="1"/>
      </w:tblPr>
      <w:tblGrid>
        <w:gridCol w:w="3321"/>
      </w:tblGrid>
      <w:tr w:rsidR="00A0334D" w:rsidTr="003E2DDB">
        <w:trPr>
          <w:trHeight w:val="642"/>
        </w:trPr>
        <w:tc>
          <w:tcPr>
            <w:tcW w:w="33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334D" w:rsidRDefault="00A0334D" w:rsidP="00531F49">
            <w:pPr>
              <w:spacing w:after="0"/>
              <w:rPr>
                <w:rFonts w:ascii="Arial" w:eastAsia="Times New Roman" w:hAnsi="Arial" w:cs="Arial"/>
                <w:b/>
                <w:sz w:val="16"/>
                <w:szCs w:val="16"/>
                <w:lang w:eastAsia="en-GB"/>
              </w:rPr>
            </w:pPr>
            <w:r>
              <w:rPr>
                <w:rFonts w:ascii="Arial" w:hAnsi="Arial" w:cs="Arial"/>
                <w:b/>
                <w:sz w:val="16"/>
                <w:szCs w:val="16"/>
              </w:rPr>
              <w:t xml:space="preserve">Reportable:    </w:t>
            </w:r>
            <w:r w:rsidR="00050872">
              <w:rPr>
                <w:rFonts w:ascii="Arial" w:hAnsi="Arial" w:cs="Arial"/>
                <w:b/>
                <w:sz w:val="16"/>
                <w:szCs w:val="16"/>
              </w:rPr>
              <w:t xml:space="preserve">                          YES</w:t>
            </w:r>
          </w:p>
          <w:p w:rsidR="00A0334D" w:rsidRDefault="00A0334D" w:rsidP="00531F49">
            <w:pPr>
              <w:spacing w:after="0"/>
              <w:rPr>
                <w:rFonts w:ascii="Arial" w:hAnsi="Arial" w:cs="Arial"/>
                <w:b/>
                <w:sz w:val="16"/>
                <w:szCs w:val="16"/>
              </w:rPr>
            </w:pPr>
            <w:r>
              <w:rPr>
                <w:rFonts w:ascii="Arial" w:hAnsi="Arial" w:cs="Arial"/>
                <w:b/>
                <w:sz w:val="16"/>
                <w:szCs w:val="16"/>
              </w:rPr>
              <w:t xml:space="preserve">Of </w:t>
            </w:r>
            <w:r w:rsidR="00050872">
              <w:rPr>
                <w:rFonts w:ascii="Arial" w:hAnsi="Arial" w:cs="Arial"/>
                <w:b/>
                <w:sz w:val="16"/>
                <w:szCs w:val="16"/>
              </w:rPr>
              <w:t xml:space="preserve">Interest to other Judges:   </w:t>
            </w:r>
            <w:r>
              <w:rPr>
                <w:rFonts w:ascii="Arial" w:hAnsi="Arial" w:cs="Arial"/>
                <w:b/>
                <w:sz w:val="16"/>
                <w:szCs w:val="16"/>
              </w:rPr>
              <w:t>NO</w:t>
            </w:r>
          </w:p>
          <w:p w:rsidR="00A0334D" w:rsidRDefault="00A0334D" w:rsidP="00531F49">
            <w:pPr>
              <w:spacing w:after="0"/>
              <w:rPr>
                <w:rFonts w:ascii="Arial" w:eastAsia="Times New Roman" w:hAnsi="Arial" w:cs="Arial"/>
                <w:b/>
                <w:sz w:val="16"/>
                <w:szCs w:val="16"/>
                <w:u w:val="single"/>
                <w:lang w:eastAsia="en-GB"/>
              </w:rPr>
            </w:pPr>
            <w:r>
              <w:rPr>
                <w:rFonts w:ascii="Arial" w:hAnsi="Arial" w:cs="Arial"/>
                <w:b/>
                <w:sz w:val="16"/>
                <w:szCs w:val="16"/>
              </w:rPr>
              <w:t>Circu</w:t>
            </w:r>
            <w:r w:rsidR="00050872">
              <w:rPr>
                <w:rFonts w:ascii="Arial" w:hAnsi="Arial" w:cs="Arial"/>
                <w:b/>
                <w:sz w:val="16"/>
                <w:szCs w:val="16"/>
              </w:rPr>
              <w:t xml:space="preserve">late to Magistrates:        </w:t>
            </w:r>
            <w:r>
              <w:rPr>
                <w:rFonts w:ascii="Arial" w:hAnsi="Arial" w:cs="Arial"/>
                <w:b/>
                <w:sz w:val="16"/>
                <w:szCs w:val="16"/>
              </w:rPr>
              <w:t>NO</w:t>
            </w:r>
          </w:p>
        </w:tc>
      </w:tr>
    </w:tbl>
    <w:p w:rsidR="00A0334D" w:rsidRPr="0014277B" w:rsidRDefault="00A0334D" w:rsidP="00277B98">
      <w:pPr>
        <w:jc w:val="both"/>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14277B">
        <w:rPr>
          <w:rFonts w:ascii="Arial" w:hAnsi="Arial" w:cs="Arial"/>
          <w:b/>
          <w:sz w:val="28"/>
          <w:szCs w:val="28"/>
        </w:rPr>
        <w:tab/>
      </w:r>
      <w:r w:rsidRPr="0014277B">
        <w:rPr>
          <w:rFonts w:ascii="Arial" w:hAnsi="Arial" w:cs="Arial"/>
          <w:b/>
          <w:sz w:val="28"/>
          <w:szCs w:val="28"/>
        </w:rPr>
        <w:tab/>
      </w:r>
      <w:r w:rsidRPr="0014277B">
        <w:rPr>
          <w:rFonts w:ascii="Arial" w:hAnsi="Arial" w:cs="Arial"/>
          <w:b/>
          <w:sz w:val="28"/>
          <w:szCs w:val="28"/>
        </w:rPr>
        <w:tab/>
      </w:r>
      <w:r w:rsidRPr="0014277B">
        <w:rPr>
          <w:rFonts w:ascii="Arial" w:hAnsi="Arial" w:cs="Arial"/>
          <w:b/>
          <w:sz w:val="28"/>
          <w:szCs w:val="28"/>
        </w:rPr>
        <w:tab/>
      </w:r>
      <w:r w:rsidRPr="0014277B">
        <w:rPr>
          <w:rFonts w:ascii="Arial" w:hAnsi="Arial" w:cs="Arial"/>
          <w:b/>
          <w:sz w:val="28"/>
          <w:szCs w:val="28"/>
        </w:rPr>
        <w:tab/>
      </w:r>
    </w:p>
    <w:p w:rsidR="0014277B" w:rsidRDefault="00D4554F" w:rsidP="00C516EA">
      <w:pPr>
        <w:spacing w:after="0" w:line="240" w:lineRule="auto"/>
        <w:jc w:val="right"/>
        <w:rPr>
          <w:rFonts w:ascii="Arial" w:hAnsi="Arial" w:cs="Arial"/>
          <w:sz w:val="24"/>
          <w:szCs w:val="24"/>
        </w:rPr>
      </w:pPr>
      <w:r w:rsidRPr="009B26CC">
        <w:rPr>
          <w:rFonts w:ascii="Arial" w:hAnsi="Arial" w:cs="Arial"/>
          <w:sz w:val="24"/>
          <w:szCs w:val="24"/>
        </w:rPr>
        <w:t xml:space="preserve">  </w:t>
      </w:r>
      <w:r w:rsidR="00CB4D6F">
        <w:rPr>
          <w:rFonts w:ascii="Arial" w:hAnsi="Arial" w:cs="Arial"/>
          <w:sz w:val="24"/>
          <w:szCs w:val="24"/>
        </w:rPr>
        <w:t>Case number: A62/2022</w:t>
      </w:r>
    </w:p>
    <w:p w:rsidR="00DD470F" w:rsidRDefault="00DD470F" w:rsidP="00C516EA">
      <w:pPr>
        <w:spacing w:after="0" w:line="240" w:lineRule="auto"/>
        <w:jc w:val="right"/>
        <w:rPr>
          <w:rFonts w:ascii="Arial" w:hAnsi="Arial" w:cs="Arial"/>
          <w:sz w:val="24"/>
          <w:szCs w:val="24"/>
        </w:rPr>
      </w:pPr>
    </w:p>
    <w:p w:rsidR="00DD470F" w:rsidRPr="009B26CC" w:rsidRDefault="00DD470F" w:rsidP="00C516EA">
      <w:pPr>
        <w:spacing w:after="0" w:line="240" w:lineRule="auto"/>
        <w:jc w:val="right"/>
        <w:rPr>
          <w:rFonts w:ascii="Arial" w:hAnsi="Arial" w:cs="Arial"/>
          <w:sz w:val="24"/>
          <w:szCs w:val="24"/>
        </w:rPr>
      </w:pPr>
    </w:p>
    <w:p w:rsidR="00A0334D" w:rsidRPr="00BB58C5" w:rsidRDefault="00A0334D" w:rsidP="00A0334D">
      <w:pPr>
        <w:spacing w:after="0" w:line="240" w:lineRule="auto"/>
        <w:jc w:val="both"/>
        <w:rPr>
          <w:rFonts w:ascii="Arial" w:hAnsi="Arial" w:cs="Arial"/>
          <w:sz w:val="24"/>
          <w:szCs w:val="24"/>
        </w:rPr>
      </w:pPr>
      <w:r w:rsidRPr="00BB58C5">
        <w:rPr>
          <w:rFonts w:ascii="Arial" w:hAnsi="Arial" w:cs="Arial"/>
          <w:sz w:val="24"/>
          <w:szCs w:val="24"/>
        </w:rPr>
        <w:t xml:space="preserve">In the matter between: </w:t>
      </w:r>
    </w:p>
    <w:p w:rsidR="00A0334D" w:rsidRPr="00BB58C5" w:rsidRDefault="00A0334D" w:rsidP="00A0334D">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4"/>
          <w:szCs w:val="24"/>
          <w:u w:val="single"/>
        </w:rPr>
      </w:pPr>
    </w:p>
    <w:p w:rsidR="00277B98" w:rsidRPr="00BB58C5" w:rsidRDefault="00DD470F" w:rsidP="00277B98">
      <w:pPr>
        <w:rPr>
          <w:rFonts w:ascii="Arial" w:hAnsi="Arial" w:cs="Arial"/>
          <w:sz w:val="24"/>
          <w:szCs w:val="24"/>
        </w:rPr>
      </w:pPr>
      <w:r>
        <w:rPr>
          <w:rFonts w:ascii="Arial" w:hAnsi="Arial" w:cs="Arial"/>
          <w:b/>
          <w:sz w:val="24"/>
          <w:szCs w:val="24"/>
        </w:rPr>
        <w:t>HT PELATONA PROJECTS (PTY) LTD</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ab/>
      </w:r>
      <w:r>
        <w:rPr>
          <w:rFonts w:ascii="Arial" w:hAnsi="Arial" w:cs="Arial"/>
          <w:sz w:val="24"/>
          <w:szCs w:val="24"/>
        </w:rPr>
        <w:tab/>
        <w:t>Applicant</w:t>
      </w:r>
      <w:r w:rsidR="00277B98" w:rsidRPr="00BB58C5">
        <w:rPr>
          <w:rFonts w:ascii="Arial" w:hAnsi="Arial" w:cs="Arial"/>
          <w:sz w:val="24"/>
          <w:szCs w:val="24"/>
        </w:rPr>
        <w:t xml:space="preserve"> </w:t>
      </w:r>
    </w:p>
    <w:p w:rsidR="00277B98" w:rsidRPr="00BB58C5" w:rsidRDefault="00277B98" w:rsidP="0014277B">
      <w:pPr>
        <w:rPr>
          <w:rFonts w:ascii="Arial" w:hAnsi="Arial" w:cs="Arial"/>
          <w:sz w:val="24"/>
          <w:szCs w:val="24"/>
        </w:rPr>
      </w:pPr>
    </w:p>
    <w:p w:rsidR="0014277B" w:rsidRPr="00BB58C5" w:rsidRDefault="00C610AF" w:rsidP="0014277B">
      <w:pPr>
        <w:rPr>
          <w:rFonts w:ascii="Arial" w:hAnsi="Arial" w:cs="Arial"/>
          <w:sz w:val="24"/>
          <w:szCs w:val="24"/>
        </w:rPr>
      </w:pPr>
      <w:r w:rsidRPr="00BB58C5">
        <w:rPr>
          <w:rFonts w:ascii="Arial" w:hAnsi="Arial" w:cs="Arial"/>
          <w:sz w:val="24"/>
          <w:szCs w:val="24"/>
        </w:rPr>
        <w:t>A</w:t>
      </w:r>
      <w:r w:rsidR="0014277B" w:rsidRPr="00BB58C5">
        <w:rPr>
          <w:rFonts w:ascii="Arial" w:hAnsi="Arial" w:cs="Arial"/>
          <w:sz w:val="24"/>
          <w:szCs w:val="24"/>
        </w:rPr>
        <w:t>nd</w:t>
      </w:r>
    </w:p>
    <w:p w:rsidR="00DD470F" w:rsidRDefault="00DD470F" w:rsidP="00277B98">
      <w:pPr>
        <w:rPr>
          <w:rFonts w:ascii="Arial" w:hAnsi="Arial" w:cs="Arial"/>
          <w:b/>
          <w:sz w:val="24"/>
          <w:szCs w:val="24"/>
          <w:u w:val="single"/>
        </w:rPr>
      </w:pPr>
    </w:p>
    <w:p w:rsidR="00277B98" w:rsidRPr="00BB58C5" w:rsidRDefault="00DD470F" w:rsidP="00277B98">
      <w:pPr>
        <w:rPr>
          <w:rFonts w:ascii="Arial" w:hAnsi="Arial" w:cs="Arial"/>
          <w:sz w:val="24"/>
          <w:szCs w:val="24"/>
        </w:rPr>
      </w:pPr>
      <w:r>
        <w:rPr>
          <w:rFonts w:ascii="Arial" w:hAnsi="Arial" w:cs="Arial"/>
          <w:b/>
          <w:sz w:val="24"/>
          <w:szCs w:val="24"/>
        </w:rPr>
        <w:t>TSWELOPELE LOCAL MUNICIPALITY</w:t>
      </w:r>
      <w:r w:rsidR="00277B98" w:rsidRPr="00BB58C5">
        <w:rPr>
          <w:rFonts w:ascii="Arial" w:hAnsi="Arial" w:cs="Arial"/>
          <w:sz w:val="24"/>
          <w:szCs w:val="24"/>
        </w:rPr>
        <w:tab/>
      </w:r>
      <w:r w:rsidR="00277B98" w:rsidRPr="00BB58C5">
        <w:rPr>
          <w:rFonts w:ascii="Arial" w:hAnsi="Arial" w:cs="Arial"/>
          <w:sz w:val="24"/>
          <w:szCs w:val="24"/>
        </w:rPr>
        <w:tab/>
      </w:r>
      <w:r w:rsidR="00277B98" w:rsidRPr="00BB58C5">
        <w:rPr>
          <w:rFonts w:ascii="Arial" w:hAnsi="Arial" w:cs="Arial"/>
          <w:sz w:val="24"/>
          <w:szCs w:val="24"/>
        </w:rPr>
        <w:tab/>
      </w:r>
      <w:r w:rsidR="00277B98" w:rsidRPr="00BB58C5">
        <w:rPr>
          <w:rFonts w:ascii="Arial" w:hAnsi="Arial" w:cs="Arial"/>
          <w:sz w:val="24"/>
          <w:szCs w:val="24"/>
        </w:rPr>
        <w:tab/>
      </w:r>
      <w:r>
        <w:rPr>
          <w:rFonts w:ascii="Arial" w:hAnsi="Arial" w:cs="Arial"/>
          <w:sz w:val="24"/>
          <w:szCs w:val="24"/>
        </w:rPr>
        <w:t xml:space="preserve">First </w:t>
      </w:r>
      <w:r w:rsidR="00245267">
        <w:rPr>
          <w:rFonts w:ascii="Arial" w:hAnsi="Arial" w:cs="Arial"/>
          <w:sz w:val="24"/>
          <w:szCs w:val="24"/>
        </w:rPr>
        <w:t xml:space="preserve">Respondent </w:t>
      </w:r>
    </w:p>
    <w:p w:rsidR="00277B98" w:rsidRPr="00BB58C5" w:rsidRDefault="00277B98" w:rsidP="00277B98">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4"/>
          <w:szCs w:val="24"/>
          <w:u w:val="single"/>
        </w:rPr>
      </w:pPr>
    </w:p>
    <w:p w:rsidR="00DD470F" w:rsidRDefault="00DD470F" w:rsidP="0014277B">
      <w:pPr>
        <w:rPr>
          <w:rFonts w:ascii="Arial" w:hAnsi="Arial" w:cs="Arial"/>
          <w:b/>
          <w:sz w:val="24"/>
          <w:szCs w:val="24"/>
        </w:rPr>
      </w:pPr>
      <w:r>
        <w:rPr>
          <w:rFonts w:ascii="Arial" w:hAnsi="Arial" w:cs="Arial"/>
          <w:b/>
          <w:sz w:val="24"/>
          <w:szCs w:val="24"/>
        </w:rPr>
        <w:t>NSM PROFESSIONAL SERVICES AND GENERAL</w:t>
      </w:r>
    </w:p>
    <w:p w:rsidR="00DD470F" w:rsidRDefault="00DD470F" w:rsidP="0014277B">
      <w:pPr>
        <w:rPr>
          <w:rFonts w:ascii="Arial" w:hAnsi="Arial" w:cs="Arial"/>
          <w:sz w:val="24"/>
          <w:szCs w:val="24"/>
        </w:rPr>
      </w:pPr>
      <w:r>
        <w:rPr>
          <w:rFonts w:ascii="Arial" w:hAnsi="Arial" w:cs="Arial"/>
          <w:b/>
          <w:sz w:val="24"/>
          <w:szCs w:val="24"/>
        </w:rPr>
        <w:t>PROJECTS (PTY) LTD</w:t>
      </w:r>
      <w:r>
        <w:rPr>
          <w:rFonts w:ascii="Arial" w:hAnsi="Arial" w:cs="Arial"/>
          <w:b/>
          <w:sz w:val="24"/>
          <w:szCs w:val="24"/>
        </w:rPr>
        <w:tab/>
      </w:r>
      <w:r>
        <w:rPr>
          <w:rFonts w:ascii="Arial" w:hAnsi="Arial" w:cs="Arial"/>
          <w:b/>
          <w:sz w:val="24"/>
          <w:szCs w:val="24"/>
        </w:rPr>
        <w:tab/>
      </w:r>
      <w:r w:rsidRPr="00BB58C5">
        <w:rPr>
          <w:rFonts w:ascii="Arial" w:hAnsi="Arial" w:cs="Arial"/>
          <w:sz w:val="24"/>
          <w:szCs w:val="24"/>
        </w:rPr>
        <w:tab/>
      </w:r>
      <w:r w:rsidRPr="00BB58C5">
        <w:rPr>
          <w:rFonts w:ascii="Arial" w:hAnsi="Arial" w:cs="Arial"/>
          <w:sz w:val="24"/>
          <w:szCs w:val="24"/>
        </w:rPr>
        <w:tab/>
      </w:r>
      <w:r w:rsidRPr="00BB58C5">
        <w:rPr>
          <w:rFonts w:ascii="Arial" w:hAnsi="Arial" w:cs="Arial"/>
          <w:sz w:val="24"/>
          <w:szCs w:val="24"/>
        </w:rPr>
        <w:tab/>
      </w:r>
      <w:r w:rsidRPr="00BB58C5">
        <w:rPr>
          <w:rFonts w:ascii="Arial" w:hAnsi="Arial" w:cs="Arial"/>
          <w:sz w:val="24"/>
          <w:szCs w:val="24"/>
        </w:rPr>
        <w:tab/>
      </w:r>
      <w:r>
        <w:rPr>
          <w:rFonts w:ascii="Arial" w:hAnsi="Arial" w:cs="Arial"/>
          <w:sz w:val="24"/>
          <w:szCs w:val="24"/>
        </w:rPr>
        <w:t>Second Respondent</w:t>
      </w:r>
    </w:p>
    <w:p w:rsidR="00DD470F" w:rsidRDefault="00DD470F" w:rsidP="0014277B">
      <w:pPr>
        <w:rPr>
          <w:rFonts w:ascii="Arial" w:hAnsi="Arial" w:cs="Arial"/>
          <w:sz w:val="24"/>
          <w:szCs w:val="24"/>
        </w:rPr>
      </w:pPr>
      <w:r>
        <w:rPr>
          <w:rFonts w:ascii="Arial" w:hAnsi="Arial" w:cs="Arial"/>
          <w:sz w:val="24"/>
          <w:szCs w:val="24"/>
        </w:rPr>
        <w:t>[as joint venture partner of NSM Professional Services</w:t>
      </w:r>
    </w:p>
    <w:p w:rsidR="00DD470F" w:rsidRDefault="00DD470F" w:rsidP="0014277B">
      <w:pPr>
        <w:rPr>
          <w:rFonts w:ascii="Arial" w:hAnsi="Arial" w:cs="Arial"/>
          <w:sz w:val="24"/>
          <w:szCs w:val="24"/>
        </w:rPr>
      </w:pPr>
      <w:r>
        <w:rPr>
          <w:rFonts w:ascii="Arial" w:hAnsi="Arial" w:cs="Arial"/>
          <w:sz w:val="24"/>
          <w:szCs w:val="24"/>
        </w:rPr>
        <w:t>and General Projects JV Tamane Civils</w:t>
      </w:r>
      <w:r w:rsidRPr="00DD470F">
        <w:rPr>
          <w:rFonts w:ascii="Arial" w:hAnsi="Arial" w:cs="Arial"/>
          <w:sz w:val="24"/>
          <w:szCs w:val="24"/>
        </w:rPr>
        <w:t>]</w:t>
      </w:r>
    </w:p>
    <w:p w:rsidR="00DD470F" w:rsidRDefault="00DD470F" w:rsidP="0014277B">
      <w:pPr>
        <w:rPr>
          <w:rFonts w:ascii="Arial" w:hAnsi="Arial" w:cs="Arial"/>
          <w:sz w:val="24"/>
          <w:szCs w:val="24"/>
        </w:rPr>
      </w:pPr>
    </w:p>
    <w:p w:rsidR="00DD470F" w:rsidRDefault="00DD470F" w:rsidP="00DD470F">
      <w:pPr>
        <w:rPr>
          <w:rFonts w:ascii="Arial" w:hAnsi="Arial" w:cs="Arial"/>
          <w:sz w:val="24"/>
          <w:szCs w:val="24"/>
        </w:rPr>
      </w:pPr>
      <w:r>
        <w:rPr>
          <w:rFonts w:ascii="Arial" w:hAnsi="Arial" w:cs="Arial"/>
          <w:b/>
          <w:sz w:val="24"/>
          <w:szCs w:val="24"/>
        </w:rPr>
        <w:t>TAMANE CIVIL CONSTRUCTION (PTY) LTD</w:t>
      </w:r>
      <w:r w:rsidRPr="00BB58C5">
        <w:rPr>
          <w:rFonts w:ascii="Arial" w:hAnsi="Arial" w:cs="Arial"/>
          <w:sz w:val="24"/>
          <w:szCs w:val="24"/>
        </w:rPr>
        <w:tab/>
      </w:r>
      <w:r w:rsidRPr="00BB58C5">
        <w:rPr>
          <w:rFonts w:ascii="Arial" w:hAnsi="Arial" w:cs="Arial"/>
          <w:sz w:val="24"/>
          <w:szCs w:val="24"/>
        </w:rPr>
        <w:tab/>
      </w:r>
      <w:r w:rsidRPr="00BB58C5">
        <w:rPr>
          <w:rFonts w:ascii="Arial" w:hAnsi="Arial" w:cs="Arial"/>
          <w:sz w:val="24"/>
          <w:szCs w:val="24"/>
        </w:rPr>
        <w:tab/>
      </w:r>
      <w:r>
        <w:rPr>
          <w:rFonts w:ascii="Arial" w:hAnsi="Arial" w:cs="Arial"/>
          <w:sz w:val="24"/>
          <w:szCs w:val="24"/>
        </w:rPr>
        <w:t>Third Respondent</w:t>
      </w:r>
    </w:p>
    <w:p w:rsidR="00DD470F" w:rsidRDefault="00DD470F" w:rsidP="00DD470F">
      <w:pPr>
        <w:rPr>
          <w:rFonts w:ascii="Arial" w:hAnsi="Arial" w:cs="Arial"/>
          <w:sz w:val="24"/>
          <w:szCs w:val="24"/>
        </w:rPr>
      </w:pPr>
      <w:r>
        <w:rPr>
          <w:rFonts w:ascii="Arial" w:hAnsi="Arial" w:cs="Arial"/>
          <w:sz w:val="24"/>
          <w:szCs w:val="24"/>
        </w:rPr>
        <w:t>[as joint venture partner of NSM Professional Services</w:t>
      </w:r>
    </w:p>
    <w:p w:rsidR="0014277B" w:rsidRPr="00BB58C5" w:rsidRDefault="00DD470F" w:rsidP="00DD470F">
      <w:pPr>
        <w:rPr>
          <w:rFonts w:ascii="Arial" w:hAnsi="Arial" w:cs="Arial"/>
          <w:sz w:val="24"/>
          <w:szCs w:val="24"/>
        </w:rPr>
      </w:pPr>
      <w:r>
        <w:rPr>
          <w:rFonts w:ascii="Arial" w:hAnsi="Arial" w:cs="Arial"/>
          <w:sz w:val="24"/>
          <w:szCs w:val="24"/>
        </w:rPr>
        <w:t>and General Projects JV Tamane Civils]</w:t>
      </w:r>
      <w:r w:rsidR="00277B98" w:rsidRPr="00BB58C5">
        <w:rPr>
          <w:rFonts w:ascii="Arial" w:hAnsi="Arial" w:cs="Arial"/>
          <w:sz w:val="24"/>
          <w:szCs w:val="24"/>
        </w:rPr>
        <w:tab/>
      </w:r>
      <w:r w:rsidR="00277B98" w:rsidRPr="00BB58C5">
        <w:rPr>
          <w:rFonts w:ascii="Arial" w:hAnsi="Arial" w:cs="Arial"/>
          <w:sz w:val="24"/>
          <w:szCs w:val="24"/>
        </w:rPr>
        <w:tab/>
      </w:r>
      <w:r w:rsidR="00277B98" w:rsidRPr="00BB58C5">
        <w:rPr>
          <w:rFonts w:ascii="Arial" w:hAnsi="Arial" w:cs="Arial"/>
          <w:sz w:val="24"/>
          <w:szCs w:val="24"/>
        </w:rPr>
        <w:tab/>
      </w:r>
      <w:r w:rsidR="00277B98" w:rsidRPr="00BB58C5">
        <w:rPr>
          <w:rFonts w:ascii="Arial" w:hAnsi="Arial" w:cs="Arial"/>
          <w:sz w:val="24"/>
          <w:szCs w:val="24"/>
        </w:rPr>
        <w:tab/>
      </w:r>
      <w:r w:rsidR="00277B98" w:rsidRPr="00BB58C5">
        <w:rPr>
          <w:rFonts w:ascii="Arial" w:hAnsi="Arial" w:cs="Arial"/>
          <w:sz w:val="24"/>
          <w:szCs w:val="24"/>
        </w:rPr>
        <w:tab/>
      </w:r>
      <w:r w:rsidR="00277B98" w:rsidRPr="00BB58C5">
        <w:rPr>
          <w:rFonts w:ascii="Arial" w:hAnsi="Arial" w:cs="Arial"/>
          <w:sz w:val="24"/>
          <w:szCs w:val="24"/>
        </w:rPr>
        <w:tab/>
      </w:r>
    </w:p>
    <w:p w:rsidR="00DD470F" w:rsidRPr="00BB58C5" w:rsidRDefault="00DD470F" w:rsidP="00DD470F">
      <w:pPr>
        <w:pBdr>
          <w:bottom w:val="single" w:sz="6" w:space="1" w:color="auto"/>
        </w:pBdr>
        <w:spacing w:after="0" w:line="240" w:lineRule="auto"/>
        <w:contextualSpacing/>
        <w:jc w:val="both"/>
        <w:rPr>
          <w:rFonts w:ascii="Arial" w:hAnsi="Arial" w:cs="Arial"/>
          <w:b/>
          <w:sz w:val="24"/>
          <w:szCs w:val="24"/>
        </w:rPr>
      </w:pPr>
    </w:p>
    <w:p w:rsidR="00DD470F" w:rsidRPr="00BB58C5" w:rsidRDefault="00DD470F" w:rsidP="00DD470F">
      <w:pPr>
        <w:spacing w:after="0" w:line="240" w:lineRule="auto"/>
        <w:contextualSpacing/>
        <w:jc w:val="both"/>
        <w:rPr>
          <w:rFonts w:ascii="Arial" w:hAnsi="Arial" w:cs="Arial"/>
          <w:b/>
          <w:sz w:val="24"/>
          <w:szCs w:val="24"/>
        </w:rPr>
      </w:pPr>
    </w:p>
    <w:p w:rsidR="00DD470F" w:rsidRPr="00DD470F" w:rsidRDefault="00DD470F" w:rsidP="00DD470F">
      <w:pPr>
        <w:rPr>
          <w:rFonts w:ascii="Arial" w:hAnsi="Arial" w:cs="Arial"/>
          <w:sz w:val="24"/>
          <w:szCs w:val="24"/>
        </w:rPr>
      </w:pPr>
      <w:r>
        <w:rPr>
          <w:rFonts w:ascii="Arial" w:hAnsi="Arial" w:cs="Arial"/>
          <w:b/>
          <w:sz w:val="24"/>
          <w:szCs w:val="24"/>
          <w:u w:val="single"/>
        </w:rPr>
        <w:t>CORAM</w:t>
      </w:r>
      <w:r w:rsidRPr="00BB58C5">
        <w:rPr>
          <w:rFonts w:ascii="Arial" w:hAnsi="Arial" w:cs="Arial"/>
          <w:b/>
          <w:sz w:val="24"/>
          <w:szCs w:val="24"/>
          <w:u w:val="single"/>
        </w:rPr>
        <w:t>:</w:t>
      </w:r>
      <w:r w:rsidRPr="00BB58C5">
        <w:rPr>
          <w:rFonts w:ascii="Arial" w:hAnsi="Arial" w:cs="Arial"/>
          <w:b/>
          <w:sz w:val="24"/>
          <w:szCs w:val="24"/>
        </w:rPr>
        <w:tab/>
      </w:r>
      <w:r w:rsidRPr="00BB58C5">
        <w:rPr>
          <w:rFonts w:ascii="Arial" w:hAnsi="Arial" w:cs="Arial"/>
          <w:b/>
          <w:sz w:val="24"/>
          <w:szCs w:val="24"/>
        </w:rPr>
        <w:tab/>
      </w:r>
      <w:r>
        <w:rPr>
          <w:rFonts w:ascii="Arial" w:hAnsi="Arial" w:cs="Arial"/>
          <w:b/>
          <w:sz w:val="24"/>
          <w:szCs w:val="24"/>
        </w:rPr>
        <w:tab/>
      </w:r>
      <w:r>
        <w:rPr>
          <w:rFonts w:ascii="Arial" w:hAnsi="Arial" w:cs="Arial"/>
          <w:sz w:val="24"/>
          <w:szCs w:val="24"/>
        </w:rPr>
        <w:t>MATHEBULA,</w:t>
      </w:r>
      <w:r w:rsidRPr="00BB58C5">
        <w:rPr>
          <w:rFonts w:ascii="Arial" w:hAnsi="Arial" w:cs="Arial"/>
          <w:sz w:val="24"/>
          <w:szCs w:val="24"/>
        </w:rPr>
        <w:t xml:space="preserve"> J</w:t>
      </w:r>
      <w:r>
        <w:rPr>
          <w:rFonts w:ascii="Arial" w:hAnsi="Arial" w:cs="Arial"/>
          <w:sz w:val="24"/>
          <w:szCs w:val="24"/>
        </w:rPr>
        <w:t xml:space="preserve"> </w:t>
      </w:r>
      <w:r>
        <w:rPr>
          <w:rFonts w:ascii="Arial" w:hAnsi="Arial" w:cs="Arial"/>
          <w:i/>
          <w:sz w:val="24"/>
          <w:szCs w:val="24"/>
        </w:rPr>
        <w:t xml:space="preserve">et </w:t>
      </w:r>
      <w:r>
        <w:rPr>
          <w:rFonts w:ascii="Arial" w:hAnsi="Arial" w:cs="Arial"/>
          <w:sz w:val="24"/>
          <w:szCs w:val="24"/>
        </w:rPr>
        <w:t>MOLITSOANE, J</w:t>
      </w:r>
    </w:p>
    <w:p w:rsidR="00A0334D" w:rsidRPr="00BB58C5" w:rsidRDefault="004F7657" w:rsidP="004F7657">
      <w:pPr>
        <w:pBdr>
          <w:bottom w:val="single" w:sz="12" w:space="1" w:color="auto"/>
        </w:pBdr>
        <w:spacing w:after="0" w:line="240" w:lineRule="auto"/>
        <w:rPr>
          <w:rFonts w:ascii="Arial" w:hAnsi="Arial" w:cs="Arial"/>
          <w:b/>
          <w:sz w:val="24"/>
          <w:szCs w:val="24"/>
        </w:rPr>
      </w:pPr>
      <w:r w:rsidRPr="00BB58C5">
        <w:rPr>
          <w:rFonts w:ascii="Arial" w:hAnsi="Arial" w:cs="Arial"/>
          <w:sz w:val="24"/>
          <w:szCs w:val="24"/>
        </w:rPr>
        <w:tab/>
      </w:r>
      <w:r w:rsidR="00A0334D" w:rsidRPr="00BB58C5">
        <w:rPr>
          <w:rFonts w:ascii="Arial" w:hAnsi="Arial" w:cs="Arial"/>
          <w:b/>
          <w:sz w:val="24"/>
          <w:szCs w:val="24"/>
        </w:rPr>
        <w:tab/>
      </w:r>
      <w:r w:rsidR="00A0334D" w:rsidRPr="00BB58C5">
        <w:rPr>
          <w:rFonts w:ascii="Arial" w:hAnsi="Arial" w:cs="Arial"/>
          <w:b/>
          <w:sz w:val="24"/>
          <w:szCs w:val="24"/>
        </w:rPr>
        <w:tab/>
      </w:r>
    </w:p>
    <w:p w:rsidR="00A0334D" w:rsidRPr="00BB58C5" w:rsidRDefault="00A0334D" w:rsidP="00A0334D">
      <w:pPr>
        <w:spacing w:after="0" w:line="240" w:lineRule="auto"/>
        <w:contextualSpacing/>
        <w:jc w:val="both"/>
        <w:rPr>
          <w:rFonts w:ascii="Arial" w:hAnsi="Arial" w:cs="Arial"/>
          <w:b/>
          <w:sz w:val="24"/>
          <w:szCs w:val="24"/>
          <w:u w:val="single"/>
        </w:rPr>
      </w:pPr>
    </w:p>
    <w:p w:rsidR="00A0334D" w:rsidRPr="00DD470F" w:rsidRDefault="00A0334D" w:rsidP="00A0334D">
      <w:pPr>
        <w:spacing w:after="0" w:line="240" w:lineRule="auto"/>
        <w:contextualSpacing/>
        <w:jc w:val="both"/>
        <w:rPr>
          <w:rFonts w:ascii="Arial" w:hAnsi="Arial" w:cs="Arial"/>
          <w:sz w:val="24"/>
          <w:szCs w:val="24"/>
        </w:rPr>
      </w:pPr>
      <w:r w:rsidRPr="00BB58C5">
        <w:rPr>
          <w:rFonts w:ascii="Arial" w:hAnsi="Arial" w:cs="Arial"/>
          <w:b/>
          <w:sz w:val="24"/>
          <w:szCs w:val="24"/>
          <w:u w:val="single"/>
        </w:rPr>
        <w:t>HEARD ON:</w:t>
      </w:r>
      <w:r w:rsidRPr="00BB58C5">
        <w:rPr>
          <w:rFonts w:ascii="Arial" w:hAnsi="Arial" w:cs="Arial"/>
          <w:b/>
          <w:sz w:val="24"/>
          <w:szCs w:val="24"/>
        </w:rPr>
        <w:tab/>
      </w:r>
      <w:r w:rsidRPr="00BB58C5">
        <w:rPr>
          <w:rFonts w:ascii="Arial" w:hAnsi="Arial" w:cs="Arial"/>
          <w:b/>
          <w:sz w:val="24"/>
          <w:szCs w:val="24"/>
        </w:rPr>
        <w:tab/>
      </w:r>
      <w:r w:rsidR="00DD470F">
        <w:rPr>
          <w:rFonts w:ascii="Arial" w:hAnsi="Arial" w:cs="Arial"/>
          <w:b/>
          <w:sz w:val="24"/>
          <w:szCs w:val="24"/>
        </w:rPr>
        <w:tab/>
      </w:r>
      <w:r w:rsidR="00DD470F">
        <w:rPr>
          <w:rFonts w:ascii="Arial" w:hAnsi="Arial" w:cs="Arial"/>
          <w:sz w:val="24"/>
          <w:szCs w:val="24"/>
        </w:rPr>
        <w:t>08 AUGUST 2022</w:t>
      </w:r>
    </w:p>
    <w:p w:rsidR="00A0334D" w:rsidRPr="00BB58C5" w:rsidRDefault="00A0334D" w:rsidP="00A0334D">
      <w:pPr>
        <w:pBdr>
          <w:bottom w:val="single" w:sz="6" w:space="1" w:color="auto"/>
        </w:pBdr>
        <w:spacing w:after="0" w:line="240" w:lineRule="auto"/>
        <w:contextualSpacing/>
        <w:jc w:val="both"/>
        <w:rPr>
          <w:rFonts w:ascii="Arial" w:hAnsi="Arial" w:cs="Arial"/>
          <w:b/>
          <w:sz w:val="24"/>
          <w:szCs w:val="24"/>
        </w:rPr>
      </w:pPr>
    </w:p>
    <w:p w:rsidR="00A0334D" w:rsidRPr="00BB58C5" w:rsidRDefault="00A0334D" w:rsidP="00A0334D">
      <w:pPr>
        <w:spacing w:after="0" w:line="240" w:lineRule="auto"/>
        <w:contextualSpacing/>
        <w:jc w:val="both"/>
        <w:rPr>
          <w:rFonts w:ascii="Arial" w:hAnsi="Arial" w:cs="Arial"/>
          <w:b/>
          <w:sz w:val="24"/>
          <w:szCs w:val="24"/>
        </w:rPr>
      </w:pPr>
    </w:p>
    <w:p w:rsidR="0014277B" w:rsidRPr="00BB58C5" w:rsidRDefault="00A0334D" w:rsidP="0014277B">
      <w:pPr>
        <w:rPr>
          <w:rFonts w:ascii="Arial" w:hAnsi="Arial" w:cs="Arial"/>
          <w:sz w:val="24"/>
          <w:szCs w:val="24"/>
        </w:rPr>
      </w:pPr>
      <w:r w:rsidRPr="00BB58C5">
        <w:rPr>
          <w:rFonts w:ascii="Arial" w:hAnsi="Arial" w:cs="Arial"/>
          <w:b/>
          <w:sz w:val="24"/>
          <w:szCs w:val="24"/>
          <w:u w:val="single"/>
        </w:rPr>
        <w:t>JUDGMENT BY:</w:t>
      </w:r>
      <w:r w:rsidRPr="00BB58C5">
        <w:rPr>
          <w:rFonts w:ascii="Arial" w:hAnsi="Arial" w:cs="Arial"/>
          <w:b/>
          <w:sz w:val="24"/>
          <w:szCs w:val="24"/>
        </w:rPr>
        <w:tab/>
      </w:r>
      <w:r w:rsidRPr="00BB58C5">
        <w:rPr>
          <w:rFonts w:ascii="Arial" w:hAnsi="Arial" w:cs="Arial"/>
          <w:b/>
          <w:sz w:val="24"/>
          <w:szCs w:val="24"/>
        </w:rPr>
        <w:tab/>
      </w:r>
      <w:r w:rsidR="00C516EA">
        <w:rPr>
          <w:rFonts w:ascii="Arial" w:hAnsi="Arial" w:cs="Arial"/>
          <w:sz w:val="24"/>
          <w:szCs w:val="24"/>
        </w:rPr>
        <w:t>MATHEBULA,</w:t>
      </w:r>
      <w:r w:rsidR="0014277B" w:rsidRPr="00BB58C5">
        <w:rPr>
          <w:rFonts w:ascii="Arial" w:hAnsi="Arial" w:cs="Arial"/>
          <w:sz w:val="24"/>
          <w:szCs w:val="24"/>
        </w:rPr>
        <w:t xml:space="preserve"> J</w:t>
      </w:r>
    </w:p>
    <w:p w:rsidR="00A0334D" w:rsidRPr="00BB58C5" w:rsidRDefault="00A0334D" w:rsidP="00A0334D">
      <w:pPr>
        <w:pBdr>
          <w:bottom w:val="single" w:sz="6" w:space="1" w:color="auto"/>
        </w:pBdr>
        <w:spacing w:after="0" w:line="240" w:lineRule="auto"/>
        <w:contextualSpacing/>
        <w:jc w:val="both"/>
        <w:rPr>
          <w:rFonts w:ascii="Arial" w:hAnsi="Arial" w:cs="Arial"/>
          <w:b/>
          <w:sz w:val="24"/>
          <w:szCs w:val="24"/>
        </w:rPr>
      </w:pPr>
    </w:p>
    <w:p w:rsidR="00A0334D" w:rsidRPr="00BB58C5" w:rsidRDefault="00A0334D" w:rsidP="00A0334D">
      <w:pPr>
        <w:spacing w:after="0" w:line="240" w:lineRule="auto"/>
        <w:contextualSpacing/>
        <w:jc w:val="both"/>
        <w:rPr>
          <w:rFonts w:ascii="Arial" w:hAnsi="Arial" w:cs="Arial"/>
          <w:b/>
          <w:sz w:val="24"/>
          <w:szCs w:val="24"/>
        </w:rPr>
      </w:pPr>
    </w:p>
    <w:p w:rsidR="007954EA" w:rsidRPr="00BB58C5" w:rsidRDefault="00A0334D" w:rsidP="00732322">
      <w:pPr>
        <w:spacing w:after="0" w:line="360" w:lineRule="auto"/>
        <w:ind w:left="2880" w:hanging="2880"/>
        <w:jc w:val="both"/>
        <w:rPr>
          <w:rFonts w:ascii="Arial" w:hAnsi="Arial" w:cs="Arial"/>
          <w:sz w:val="24"/>
          <w:szCs w:val="24"/>
        </w:rPr>
      </w:pPr>
      <w:r w:rsidRPr="00BB58C5">
        <w:rPr>
          <w:rFonts w:ascii="Arial" w:hAnsi="Arial" w:cs="Arial"/>
          <w:b/>
          <w:sz w:val="24"/>
          <w:szCs w:val="24"/>
          <w:u w:val="single"/>
        </w:rPr>
        <w:t>DELIVERED ON:</w:t>
      </w:r>
      <w:r w:rsidRPr="00BB58C5">
        <w:rPr>
          <w:rFonts w:ascii="Arial" w:hAnsi="Arial" w:cs="Arial"/>
          <w:b/>
          <w:sz w:val="24"/>
          <w:szCs w:val="24"/>
        </w:rPr>
        <w:tab/>
      </w:r>
      <w:r w:rsidR="007954EA" w:rsidRPr="00BB58C5">
        <w:rPr>
          <w:rFonts w:ascii="Arial" w:hAnsi="Arial" w:cs="Arial"/>
          <w:sz w:val="24"/>
          <w:szCs w:val="24"/>
          <w:shd w:val="clear" w:color="auto" w:fill="FFFFFF"/>
        </w:rPr>
        <w:t>This judgment was handed down electronically by circulation to the parties' representatives by email and by release to SAFLII</w:t>
      </w:r>
      <w:r w:rsidR="002572D3">
        <w:rPr>
          <w:rFonts w:ascii="Arial" w:hAnsi="Arial" w:cs="Arial"/>
          <w:sz w:val="24"/>
          <w:szCs w:val="24"/>
          <w:shd w:val="clear" w:color="auto" w:fill="FFFFFF"/>
        </w:rPr>
        <w:t xml:space="preserve"> on 13 OCTOBER 2022</w:t>
      </w:r>
      <w:r w:rsidR="007954EA" w:rsidRPr="00BB58C5">
        <w:rPr>
          <w:rFonts w:ascii="Arial" w:hAnsi="Arial" w:cs="Arial"/>
          <w:sz w:val="24"/>
          <w:szCs w:val="24"/>
          <w:shd w:val="clear" w:color="auto" w:fill="FFFFFF"/>
        </w:rPr>
        <w:t xml:space="preserve">. The date and time for hand-down is deemed to be </w:t>
      </w:r>
      <w:r w:rsidR="002572D3">
        <w:rPr>
          <w:rFonts w:ascii="Arial" w:hAnsi="Arial" w:cs="Arial"/>
          <w:sz w:val="24"/>
          <w:szCs w:val="24"/>
          <w:shd w:val="clear" w:color="auto" w:fill="FFFFFF"/>
        </w:rPr>
        <w:t>on 13 OCTOBER 202</w:t>
      </w:r>
      <w:r w:rsidR="00D86D23">
        <w:rPr>
          <w:rFonts w:ascii="Arial" w:hAnsi="Arial" w:cs="Arial"/>
          <w:sz w:val="24"/>
          <w:szCs w:val="24"/>
          <w:shd w:val="clear" w:color="auto" w:fill="FFFFFF"/>
        </w:rPr>
        <w:t>2</w:t>
      </w:r>
      <w:r w:rsidR="002572D3">
        <w:rPr>
          <w:rFonts w:ascii="Arial" w:hAnsi="Arial" w:cs="Arial"/>
          <w:sz w:val="24"/>
          <w:szCs w:val="24"/>
          <w:shd w:val="clear" w:color="auto" w:fill="FFFFFF"/>
        </w:rPr>
        <w:t xml:space="preserve"> at 14H30</w:t>
      </w:r>
      <w:r w:rsidR="00976131" w:rsidRPr="00BB58C5">
        <w:rPr>
          <w:rFonts w:ascii="Arial" w:hAnsi="Arial" w:cs="Arial"/>
          <w:sz w:val="24"/>
          <w:szCs w:val="24"/>
          <w:shd w:val="clear" w:color="auto" w:fill="FFFFFF"/>
        </w:rPr>
        <w:t>.</w:t>
      </w:r>
    </w:p>
    <w:p w:rsidR="00A0334D" w:rsidRPr="00BB58C5" w:rsidRDefault="00A0334D" w:rsidP="00732322">
      <w:pPr>
        <w:pBdr>
          <w:bottom w:val="single" w:sz="12" w:space="1" w:color="auto"/>
        </w:pBdr>
        <w:spacing w:after="0" w:line="360" w:lineRule="auto"/>
        <w:jc w:val="both"/>
        <w:rPr>
          <w:rFonts w:ascii="Arial" w:hAnsi="Arial" w:cs="Arial"/>
          <w:sz w:val="28"/>
          <w:szCs w:val="28"/>
        </w:rPr>
      </w:pPr>
    </w:p>
    <w:p w:rsidR="0003607A" w:rsidRPr="00BB58C5" w:rsidRDefault="0003607A" w:rsidP="0003607A">
      <w:pPr>
        <w:spacing w:after="0" w:line="360" w:lineRule="auto"/>
        <w:jc w:val="both"/>
        <w:rPr>
          <w:rFonts w:ascii="Arial" w:hAnsi="Arial" w:cs="Arial"/>
          <w:sz w:val="28"/>
          <w:szCs w:val="28"/>
        </w:rPr>
      </w:pPr>
    </w:p>
    <w:p w:rsidR="005649E6" w:rsidRPr="003C1A98" w:rsidRDefault="00C516EA" w:rsidP="00C516EA">
      <w:pPr>
        <w:spacing w:after="0" w:line="360" w:lineRule="auto"/>
        <w:ind w:left="709" w:hanging="709"/>
        <w:jc w:val="both"/>
        <w:rPr>
          <w:rFonts w:ascii="Arial" w:hAnsi="Arial" w:cs="Arial"/>
          <w:b/>
          <w:sz w:val="28"/>
          <w:szCs w:val="28"/>
        </w:rPr>
      </w:pPr>
      <w:r w:rsidRPr="003C1A98">
        <w:rPr>
          <w:rFonts w:ascii="Arial" w:hAnsi="Arial" w:cs="Arial"/>
          <w:b/>
          <w:sz w:val="28"/>
          <w:szCs w:val="28"/>
        </w:rPr>
        <w:t>Introduction and relief sought</w:t>
      </w:r>
    </w:p>
    <w:p w:rsidR="00184371" w:rsidRPr="003C1A98" w:rsidRDefault="00C516EA" w:rsidP="00184371">
      <w:pPr>
        <w:spacing w:after="0" w:line="360" w:lineRule="auto"/>
        <w:ind w:left="709" w:hanging="709"/>
        <w:jc w:val="both"/>
        <w:rPr>
          <w:rFonts w:ascii="Arial" w:hAnsi="Arial" w:cs="Arial"/>
          <w:sz w:val="28"/>
          <w:szCs w:val="28"/>
        </w:rPr>
      </w:pPr>
      <w:r w:rsidRPr="003C1A98">
        <w:rPr>
          <w:rFonts w:ascii="Arial" w:hAnsi="Arial" w:cs="Arial"/>
          <w:sz w:val="28"/>
          <w:szCs w:val="28"/>
        </w:rPr>
        <w:t>[1]</w:t>
      </w:r>
      <w:r w:rsidR="00184371" w:rsidRPr="003C1A98">
        <w:rPr>
          <w:rFonts w:ascii="Arial" w:hAnsi="Arial" w:cs="Arial"/>
          <w:sz w:val="28"/>
          <w:szCs w:val="28"/>
        </w:rPr>
        <w:tab/>
      </w:r>
      <w:r w:rsidRPr="003C1A98">
        <w:rPr>
          <w:rFonts w:ascii="Arial" w:hAnsi="Arial" w:cs="Arial"/>
          <w:sz w:val="28"/>
          <w:szCs w:val="28"/>
        </w:rPr>
        <w:tab/>
      </w:r>
      <w:r w:rsidR="00184371" w:rsidRPr="003C1A98">
        <w:rPr>
          <w:rFonts w:ascii="Arial" w:hAnsi="Arial" w:cs="Arial"/>
          <w:sz w:val="28"/>
          <w:szCs w:val="28"/>
        </w:rPr>
        <w:t>The applicant seeks, on review, to declare as unlawful and set aside certain decision made by the first respondent. There are other ancillary orders sought as well. The discontent of the applicant emanat</w:t>
      </w:r>
      <w:r w:rsidR="00184371" w:rsidRPr="001378BF">
        <w:rPr>
          <w:rFonts w:ascii="Arial" w:hAnsi="Arial" w:cs="Arial"/>
          <w:sz w:val="28"/>
          <w:szCs w:val="28"/>
        </w:rPr>
        <w:t>e</w:t>
      </w:r>
      <w:r w:rsidR="002572D3" w:rsidRPr="001378BF">
        <w:rPr>
          <w:rFonts w:ascii="Arial" w:hAnsi="Arial" w:cs="Arial"/>
          <w:sz w:val="28"/>
          <w:szCs w:val="28"/>
        </w:rPr>
        <w:t>s</w:t>
      </w:r>
      <w:r w:rsidR="00184371" w:rsidRPr="001378BF">
        <w:rPr>
          <w:rFonts w:ascii="Arial" w:hAnsi="Arial" w:cs="Arial"/>
          <w:sz w:val="28"/>
          <w:szCs w:val="28"/>
        </w:rPr>
        <w:t xml:space="preserve"> </w:t>
      </w:r>
      <w:r w:rsidR="00184371" w:rsidRPr="003C1A98">
        <w:rPr>
          <w:rFonts w:ascii="Arial" w:hAnsi="Arial" w:cs="Arial"/>
          <w:sz w:val="28"/>
          <w:szCs w:val="28"/>
        </w:rPr>
        <w:t>from the appointment made by the highest decision making body of the first respondent on 26 February 2022. The grounds for review are dealt with sufficiently in the founding affidavit. The first respondent is opposing the application while the second and third respondents abide the decision of the court.</w:t>
      </w:r>
    </w:p>
    <w:p w:rsidR="00184371" w:rsidRPr="003C1A98" w:rsidRDefault="00184371" w:rsidP="00184371">
      <w:pPr>
        <w:spacing w:after="0" w:line="360" w:lineRule="auto"/>
        <w:ind w:left="709" w:hanging="709"/>
        <w:jc w:val="both"/>
        <w:rPr>
          <w:rFonts w:ascii="Arial" w:hAnsi="Arial" w:cs="Arial"/>
          <w:sz w:val="28"/>
          <w:szCs w:val="28"/>
        </w:rPr>
      </w:pPr>
    </w:p>
    <w:p w:rsidR="00184371" w:rsidRPr="003C1A98" w:rsidRDefault="00184371" w:rsidP="00184371">
      <w:pPr>
        <w:spacing w:after="0" w:line="360" w:lineRule="auto"/>
        <w:ind w:left="709" w:hanging="709"/>
        <w:jc w:val="both"/>
        <w:rPr>
          <w:rFonts w:ascii="Arial" w:hAnsi="Arial" w:cs="Arial"/>
          <w:sz w:val="28"/>
          <w:szCs w:val="28"/>
        </w:rPr>
      </w:pPr>
      <w:r w:rsidRPr="003C1A98">
        <w:rPr>
          <w:rFonts w:ascii="Arial" w:hAnsi="Arial" w:cs="Arial"/>
          <w:sz w:val="28"/>
          <w:szCs w:val="28"/>
        </w:rPr>
        <w:t>[2]</w:t>
      </w:r>
      <w:r w:rsidRPr="003C1A98">
        <w:rPr>
          <w:rFonts w:ascii="Arial" w:hAnsi="Arial" w:cs="Arial"/>
          <w:sz w:val="28"/>
          <w:szCs w:val="28"/>
        </w:rPr>
        <w:tab/>
        <w:t xml:space="preserve">On 23 May 2022 the applicant approached the court on an urgent basis for an interim interdict before </w:t>
      </w:r>
      <w:r w:rsidR="001378BF" w:rsidRPr="003C1A98">
        <w:rPr>
          <w:rFonts w:ascii="Arial" w:hAnsi="Arial" w:cs="Arial"/>
          <w:sz w:val="28"/>
          <w:szCs w:val="28"/>
        </w:rPr>
        <w:t>Daffu</w:t>
      </w:r>
      <w:r w:rsidR="001378BF" w:rsidRPr="001378BF">
        <w:rPr>
          <w:rFonts w:ascii="Arial" w:hAnsi="Arial" w:cs="Arial"/>
          <w:sz w:val="28"/>
          <w:szCs w:val="28"/>
        </w:rPr>
        <w:t>e</w:t>
      </w:r>
      <w:r w:rsidR="001378BF">
        <w:rPr>
          <w:rFonts w:ascii="Arial" w:hAnsi="Arial" w:cs="Arial"/>
          <w:sz w:val="28"/>
          <w:szCs w:val="28"/>
        </w:rPr>
        <w:t xml:space="preserve"> J</w:t>
      </w:r>
      <w:r w:rsidRPr="003C1A98">
        <w:rPr>
          <w:rFonts w:ascii="Arial" w:hAnsi="Arial" w:cs="Arial"/>
          <w:sz w:val="28"/>
          <w:szCs w:val="28"/>
        </w:rPr>
        <w:t>. It was granted and the costs related thereto remains an issue that will be dealt with later in this judgment. The notice of motion issued on 27 May 2022 was subsequently amended to incorporate the prayer to declare and set aside the contract entered into by and between the respondents. The amendment, we presume, was necessitated by the receipt of the full record of the decision which brought to the fore more facts and concomitant</w:t>
      </w:r>
      <w:r w:rsidR="00DC3947" w:rsidRPr="003C1A98">
        <w:rPr>
          <w:rFonts w:ascii="Arial" w:hAnsi="Arial" w:cs="Arial"/>
          <w:sz w:val="28"/>
          <w:szCs w:val="28"/>
        </w:rPr>
        <w:t xml:space="preserve"> further</w:t>
      </w:r>
      <w:r w:rsidRPr="003C1A98">
        <w:rPr>
          <w:rFonts w:ascii="Arial" w:hAnsi="Arial" w:cs="Arial"/>
          <w:sz w:val="28"/>
          <w:szCs w:val="28"/>
        </w:rPr>
        <w:t xml:space="preserve"> grounds for review.</w:t>
      </w:r>
    </w:p>
    <w:p w:rsidR="00184371" w:rsidRPr="003C1A98" w:rsidRDefault="00184371" w:rsidP="00184371">
      <w:pPr>
        <w:spacing w:after="0" w:line="360" w:lineRule="auto"/>
        <w:ind w:left="709" w:hanging="709"/>
        <w:jc w:val="both"/>
        <w:rPr>
          <w:rFonts w:ascii="Arial" w:hAnsi="Arial" w:cs="Arial"/>
          <w:sz w:val="28"/>
          <w:szCs w:val="28"/>
        </w:rPr>
      </w:pPr>
    </w:p>
    <w:p w:rsidR="00184371" w:rsidRPr="003C1A98" w:rsidRDefault="00184371" w:rsidP="0063260A">
      <w:pPr>
        <w:spacing w:after="0" w:line="360" w:lineRule="auto"/>
        <w:ind w:firstLine="709"/>
        <w:jc w:val="both"/>
        <w:rPr>
          <w:rFonts w:ascii="Arial" w:hAnsi="Arial" w:cs="Arial"/>
          <w:b/>
          <w:sz w:val="28"/>
          <w:szCs w:val="28"/>
        </w:rPr>
      </w:pPr>
      <w:r w:rsidRPr="003C1A98">
        <w:rPr>
          <w:rFonts w:ascii="Arial" w:hAnsi="Arial" w:cs="Arial"/>
          <w:b/>
          <w:sz w:val="28"/>
          <w:szCs w:val="28"/>
        </w:rPr>
        <w:t>Facts</w:t>
      </w:r>
    </w:p>
    <w:p w:rsidR="00184371" w:rsidRPr="003C1A98" w:rsidRDefault="00184371" w:rsidP="00184371">
      <w:pPr>
        <w:spacing w:after="0" w:line="360" w:lineRule="auto"/>
        <w:ind w:left="709" w:hanging="709"/>
        <w:jc w:val="both"/>
        <w:rPr>
          <w:rFonts w:ascii="Arial" w:hAnsi="Arial" w:cs="Arial"/>
          <w:sz w:val="28"/>
          <w:szCs w:val="28"/>
        </w:rPr>
      </w:pPr>
      <w:r w:rsidRPr="003C1A98">
        <w:rPr>
          <w:rFonts w:ascii="Arial" w:hAnsi="Arial" w:cs="Arial"/>
          <w:sz w:val="28"/>
          <w:szCs w:val="28"/>
        </w:rPr>
        <w:t>[3]</w:t>
      </w:r>
      <w:r w:rsidRPr="003C1A98">
        <w:rPr>
          <w:rFonts w:ascii="Arial" w:hAnsi="Arial" w:cs="Arial"/>
          <w:sz w:val="28"/>
          <w:szCs w:val="28"/>
        </w:rPr>
        <w:tab/>
        <w:t xml:space="preserve">Sometime in January 2022, the first respondent, a municipality duly constituted in terms of the governing laws published a </w:t>
      </w:r>
      <w:r w:rsidR="00DC3947" w:rsidRPr="003C1A98">
        <w:rPr>
          <w:rFonts w:ascii="Arial" w:hAnsi="Arial" w:cs="Arial"/>
          <w:sz w:val="28"/>
          <w:szCs w:val="28"/>
        </w:rPr>
        <w:t xml:space="preserve">notice for bid </w:t>
      </w:r>
      <w:r w:rsidRPr="003C1A98">
        <w:rPr>
          <w:rFonts w:ascii="Arial" w:hAnsi="Arial" w:cs="Arial"/>
          <w:sz w:val="28"/>
          <w:szCs w:val="28"/>
        </w:rPr>
        <w:t>number SCM/TSW/11/2021-2022</w:t>
      </w:r>
      <w:r w:rsidR="001378BF">
        <w:rPr>
          <w:rFonts w:ascii="Arial" w:hAnsi="Arial" w:cs="Arial"/>
          <w:color w:val="FF0000"/>
          <w:sz w:val="28"/>
          <w:szCs w:val="28"/>
        </w:rPr>
        <w:t xml:space="preserve"> </w:t>
      </w:r>
      <w:r w:rsidRPr="002572D3">
        <w:rPr>
          <w:rFonts w:ascii="Arial" w:hAnsi="Arial" w:cs="Arial"/>
          <w:sz w:val="28"/>
          <w:szCs w:val="28"/>
        </w:rPr>
        <w:t>for</w:t>
      </w:r>
      <w:r w:rsidRPr="002572D3">
        <w:rPr>
          <w:rFonts w:ascii="Arial" w:hAnsi="Arial" w:cs="Arial"/>
          <w:color w:val="FF0000"/>
          <w:sz w:val="28"/>
          <w:szCs w:val="28"/>
        </w:rPr>
        <w:t xml:space="preserve"> </w:t>
      </w:r>
      <w:r w:rsidRPr="003C1A98">
        <w:rPr>
          <w:rFonts w:ascii="Arial" w:hAnsi="Arial" w:cs="Arial"/>
          <w:sz w:val="28"/>
          <w:szCs w:val="28"/>
        </w:rPr>
        <w:t>the refurbishment of the sewer pump station at Phahameng Township, Bultfontein. The requirements and closing date are set out in the copy of the advertisement annexed to the founding affidavit</w:t>
      </w:r>
      <w:r w:rsidRPr="003C1A98">
        <w:rPr>
          <w:rStyle w:val="FootnoteReference"/>
          <w:rFonts w:ascii="Arial" w:hAnsi="Arial" w:cs="Arial"/>
          <w:sz w:val="28"/>
          <w:szCs w:val="28"/>
        </w:rPr>
        <w:footnoteReference w:id="1"/>
      </w:r>
      <w:r w:rsidRPr="003C1A98">
        <w:rPr>
          <w:rFonts w:ascii="Arial" w:hAnsi="Arial" w:cs="Arial"/>
          <w:sz w:val="28"/>
          <w:szCs w:val="28"/>
        </w:rPr>
        <w:t xml:space="preserve">. It is common cause that the applicant, second and third respondents submitted bids. </w:t>
      </w:r>
    </w:p>
    <w:p w:rsidR="00184371" w:rsidRPr="003C1A98" w:rsidRDefault="00184371" w:rsidP="00184371">
      <w:pPr>
        <w:spacing w:after="0" w:line="360" w:lineRule="auto"/>
        <w:ind w:left="709" w:hanging="709"/>
        <w:jc w:val="both"/>
        <w:rPr>
          <w:rFonts w:ascii="Arial" w:hAnsi="Arial" w:cs="Arial"/>
          <w:sz w:val="28"/>
          <w:szCs w:val="28"/>
        </w:rPr>
      </w:pPr>
    </w:p>
    <w:p w:rsidR="00184371" w:rsidRPr="003C1A98" w:rsidRDefault="00184371" w:rsidP="00184371">
      <w:pPr>
        <w:spacing w:after="0" w:line="360" w:lineRule="auto"/>
        <w:ind w:left="709" w:hanging="709"/>
        <w:jc w:val="both"/>
        <w:rPr>
          <w:rFonts w:ascii="Arial" w:hAnsi="Arial" w:cs="Arial"/>
          <w:sz w:val="28"/>
          <w:szCs w:val="28"/>
        </w:rPr>
      </w:pPr>
      <w:r w:rsidRPr="003C1A98">
        <w:rPr>
          <w:rFonts w:ascii="Arial" w:hAnsi="Arial" w:cs="Arial"/>
          <w:sz w:val="28"/>
          <w:szCs w:val="28"/>
        </w:rPr>
        <w:t>[4]</w:t>
      </w:r>
      <w:r w:rsidRPr="003C1A98">
        <w:rPr>
          <w:rFonts w:ascii="Arial" w:hAnsi="Arial" w:cs="Arial"/>
          <w:sz w:val="28"/>
          <w:szCs w:val="28"/>
        </w:rPr>
        <w:tab/>
        <w:t>The Bid Evaluation Committee (BEC) of the first respondent evaluated the bids in accordance with the specifications contained in the bid invitation as well as the applicable points system. The other important factor considered was the ability of the bidder to execute the contract. At the end of its meeting held on 16 February 2022 it submitted its report and recommendation</w:t>
      </w:r>
      <w:r w:rsidR="00DC3947" w:rsidRPr="003C1A98">
        <w:rPr>
          <w:rFonts w:ascii="Arial" w:hAnsi="Arial" w:cs="Arial"/>
          <w:sz w:val="28"/>
          <w:szCs w:val="28"/>
        </w:rPr>
        <w:t>s</w:t>
      </w:r>
      <w:r w:rsidRPr="003C1A98">
        <w:rPr>
          <w:rFonts w:ascii="Arial" w:hAnsi="Arial" w:cs="Arial"/>
          <w:sz w:val="28"/>
          <w:szCs w:val="28"/>
        </w:rPr>
        <w:t xml:space="preserve"> to</w:t>
      </w:r>
      <w:r w:rsidR="00DC3947" w:rsidRPr="003C1A98">
        <w:rPr>
          <w:rFonts w:ascii="Arial" w:hAnsi="Arial" w:cs="Arial"/>
          <w:sz w:val="28"/>
          <w:szCs w:val="28"/>
        </w:rPr>
        <w:t xml:space="preserve"> the Bid Evaluation Committee (</w:t>
      </w:r>
      <w:r w:rsidRPr="003C1A98">
        <w:rPr>
          <w:rFonts w:ascii="Arial" w:hAnsi="Arial" w:cs="Arial"/>
          <w:sz w:val="28"/>
          <w:szCs w:val="28"/>
        </w:rPr>
        <w:t>BAC</w:t>
      </w:r>
      <w:r w:rsidR="00DC3947" w:rsidRPr="003C1A98">
        <w:rPr>
          <w:rFonts w:ascii="Arial" w:hAnsi="Arial" w:cs="Arial"/>
          <w:sz w:val="28"/>
          <w:szCs w:val="28"/>
        </w:rPr>
        <w:t>)</w:t>
      </w:r>
      <w:r w:rsidRPr="003C1A98">
        <w:rPr>
          <w:rFonts w:ascii="Arial" w:hAnsi="Arial" w:cs="Arial"/>
          <w:sz w:val="28"/>
          <w:szCs w:val="28"/>
        </w:rPr>
        <w:t xml:space="preserve"> for the award of the bid</w:t>
      </w:r>
      <w:r w:rsidRPr="003C1A98">
        <w:rPr>
          <w:rStyle w:val="FootnoteReference"/>
          <w:rFonts w:ascii="Arial" w:hAnsi="Arial" w:cs="Arial"/>
          <w:sz w:val="28"/>
          <w:szCs w:val="28"/>
        </w:rPr>
        <w:footnoteReference w:id="2"/>
      </w:r>
      <w:r w:rsidRPr="003C1A98">
        <w:rPr>
          <w:rFonts w:ascii="Arial" w:hAnsi="Arial" w:cs="Arial"/>
          <w:sz w:val="28"/>
          <w:szCs w:val="28"/>
        </w:rPr>
        <w:t>. The second and third respondents, as a joint venture, were named the preferred bidders. The applicant was named the second preferred bidder. The budget of the first respondent for the work</w:t>
      </w:r>
      <w:r w:rsidR="00DC3947" w:rsidRPr="003C1A98">
        <w:rPr>
          <w:rFonts w:ascii="Arial" w:hAnsi="Arial" w:cs="Arial"/>
          <w:sz w:val="28"/>
          <w:szCs w:val="28"/>
        </w:rPr>
        <w:t>s</w:t>
      </w:r>
      <w:r w:rsidRPr="003C1A98">
        <w:rPr>
          <w:rFonts w:ascii="Arial" w:hAnsi="Arial" w:cs="Arial"/>
          <w:sz w:val="28"/>
          <w:szCs w:val="28"/>
        </w:rPr>
        <w:t xml:space="preserve"> was</w:t>
      </w:r>
      <w:r w:rsidR="00DC3947" w:rsidRPr="003C1A98">
        <w:rPr>
          <w:rFonts w:ascii="Arial" w:hAnsi="Arial" w:cs="Arial"/>
          <w:sz w:val="28"/>
          <w:szCs w:val="28"/>
        </w:rPr>
        <w:t xml:space="preserve"> set at</w:t>
      </w:r>
      <w:r w:rsidRPr="003C1A98">
        <w:rPr>
          <w:rFonts w:ascii="Arial" w:hAnsi="Arial" w:cs="Arial"/>
          <w:sz w:val="28"/>
          <w:szCs w:val="28"/>
        </w:rPr>
        <w:t xml:space="preserve"> R7 million. The bid of the successful bidder was R11 081 891.96 while that of the applicant was R15 652 851.29</w:t>
      </w:r>
      <w:r w:rsidR="00DC3947" w:rsidRPr="003C1A98">
        <w:rPr>
          <w:rFonts w:ascii="Arial" w:hAnsi="Arial" w:cs="Arial"/>
          <w:sz w:val="28"/>
          <w:szCs w:val="28"/>
        </w:rPr>
        <w:t xml:space="preserve">. Both of them were over the budget in varying amounts. </w:t>
      </w:r>
      <w:r w:rsidRPr="003C1A98">
        <w:rPr>
          <w:rFonts w:ascii="Arial" w:hAnsi="Arial" w:cs="Arial"/>
          <w:sz w:val="28"/>
          <w:szCs w:val="28"/>
        </w:rPr>
        <w:t xml:space="preserve">  </w:t>
      </w:r>
    </w:p>
    <w:p w:rsidR="00184371" w:rsidRPr="003C1A98" w:rsidRDefault="00184371" w:rsidP="00184371">
      <w:pPr>
        <w:spacing w:after="0" w:line="360" w:lineRule="auto"/>
        <w:ind w:left="709" w:hanging="709"/>
        <w:jc w:val="both"/>
        <w:rPr>
          <w:rFonts w:ascii="Arial" w:hAnsi="Arial" w:cs="Arial"/>
          <w:sz w:val="28"/>
          <w:szCs w:val="28"/>
        </w:rPr>
      </w:pPr>
    </w:p>
    <w:p w:rsidR="00184371" w:rsidRPr="003C1A98" w:rsidRDefault="00184371" w:rsidP="00184371">
      <w:pPr>
        <w:spacing w:after="0" w:line="360" w:lineRule="auto"/>
        <w:ind w:left="709" w:hanging="709"/>
        <w:jc w:val="both"/>
        <w:rPr>
          <w:rFonts w:ascii="Arial" w:hAnsi="Arial" w:cs="Arial"/>
          <w:sz w:val="28"/>
          <w:szCs w:val="28"/>
        </w:rPr>
      </w:pPr>
      <w:r w:rsidRPr="003C1A98">
        <w:rPr>
          <w:rFonts w:ascii="Arial" w:hAnsi="Arial" w:cs="Arial"/>
          <w:sz w:val="28"/>
          <w:szCs w:val="28"/>
        </w:rPr>
        <w:t>[5]</w:t>
      </w:r>
      <w:r w:rsidRPr="003C1A98">
        <w:rPr>
          <w:rFonts w:ascii="Arial" w:hAnsi="Arial" w:cs="Arial"/>
          <w:sz w:val="28"/>
          <w:szCs w:val="28"/>
        </w:rPr>
        <w:tab/>
        <w:t>The bid committee system provides that the BAC may be required to make recommendations therein to the municipal manager for the award of the bid. In this matter</w:t>
      </w:r>
      <w:r w:rsidR="00DC3947" w:rsidRPr="003C1A98">
        <w:rPr>
          <w:rFonts w:ascii="Arial" w:hAnsi="Arial" w:cs="Arial"/>
          <w:sz w:val="28"/>
          <w:szCs w:val="28"/>
        </w:rPr>
        <w:t>,</w:t>
      </w:r>
      <w:r w:rsidRPr="003C1A98">
        <w:rPr>
          <w:rFonts w:ascii="Arial" w:hAnsi="Arial" w:cs="Arial"/>
          <w:sz w:val="28"/>
          <w:szCs w:val="28"/>
        </w:rPr>
        <w:t xml:space="preserve"> it was in agreement with the recommendations of the BEC as recorded in the minutes of its meeting held on 25 February 2022. The appointment of the successful bidder was conveyed as such in the letter from the municipal manager dated 21 February 2022. The decision was sanctioned by the Executive Committee of the first respondent.  Although th</w:t>
      </w:r>
      <w:r w:rsidR="00DC3947" w:rsidRPr="003C1A98">
        <w:rPr>
          <w:rFonts w:ascii="Arial" w:hAnsi="Arial" w:cs="Arial"/>
          <w:sz w:val="28"/>
          <w:szCs w:val="28"/>
        </w:rPr>
        <w:t>e</w:t>
      </w:r>
      <w:r w:rsidRPr="003C1A98">
        <w:rPr>
          <w:rFonts w:ascii="Arial" w:hAnsi="Arial" w:cs="Arial"/>
          <w:sz w:val="28"/>
          <w:szCs w:val="28"/>
        </w:rPr>
        <w:t xml:space="preserve"> date</w:t>
      </w:r>
      <w:r w:rsidR="00DC3947" w:rsidRPr="003C1A98">
        <w:rPr>
          <w:rFonts w:ascii="Arial" w:hAnsi="Arial" w:cs="Arial"/>
          <w:sz w:val="28"/>
          <w:szCs w:val="28"/>
        </w:rPr>
        <w:t xml:space="preserve"> of the letter from the municipal manager</w:t>
      </w:r>
      <w:r w:rsidRPr="003C1A98">
        <w:rPr>
          <w:rFonts w:ascii="Arial" w:hAnsi="Arial" w:cs="Arial"/>
          <w:sz w:val="28"/>
          <w:szCs w:val="28"/>
        </w:rPr>
        <w:t xml:space="preserve"> </w:t>
      </w:r>
      <w:r w:rsidR="00DC3947" w:rsidRPr="003C1A98">
        <w:rPr>
          <w:rFonts w:ascii="Arial" w:hAnsi="Arial" w:cs="Arial"/>
          <w:sz w:val="28"/>
          <w:szCs w:val="28"/>
        </w:rPr>
        <w:t>precede</w:t>
      </w:r>
      <w:r w:rsidRPr="003C1A98">
        <w:rPr>
          <w:rFonts w:ascii="Arial" w:hAnsi="Arial" w:cs="Arial"/>
          <w:sz w:val="28"/>
          <w:szCs w:val="28"/>
        </w:rPr>
        <w:t xml:space="preserve"> the date of the meeting of the BAC, none of the parties raised any issue around it. The court does not express any opinion on this apparent anomaly whether it constitutes an irregularity or it is a plain error. For the purpose of this judgment the court will shy away from discussing the powers of the municipal manager in the event he/she disagree</w:t>
      </w:r>
      <w:r w:rsidR="002572D3" w:rsidRPr="001378BF">
        <w:rPr>
          <w:rFonts w:ascii="Arial" w:hAnsi="Arial" w:cs="Arial"/>
          <w:sz w:val="28"/>
          <w:szCs w:val="28"/>
        </w:rPr>
        <w:t>s</w:t>
      </w:r>
      <w:r w:rsidRPr="001378BF">
        <w:rPr>
          <w:rFonts w:ascii="Arial" w:hAnsi="Arial" w:cs="Arial"/>
          <w:sz w:val="28"/>
          <w:szCs w:val="28"/>
        </w:rPr>
        <w:t xml:space="preserve"> </w:t>
      </w:r>
      <w:r w:rsidRPr="003C1A98">
        <w:rPr>
          <w:rFonts w:ascii="Arial" w:hAnsi="Arial" w:cs="Arial"/>
          <w:sz w:val="28"/>
          <w:szCs w:val="28"/>
        </w:rPr>
        <w:t xml:space="preserve">with these committees. </w:t>
      </w:r>
    </w:p>
    <w:p w:rsidR="00184371" w:rsidRPr="003C1A98" w:rsidRDefault="00184371" w:rsidP="00184371">
      <w:pPr>
        <w:spacing w:after="0" w:line="360" w:lineRule="auto"/>
        <w:ind w:left="709" w:hanging="709"/>
        <w:jc w:val="both"/>
        <w:rPr>
          <w:rFonts w:ascii="Arial" w:hAnsi="Arial" w:cs="Arial"/>
          <w:sz w:val="28"/>
          <w:szCs w:val="28"/>
        </w:rPr>
      </w:pPr>
    </w:p>
    <w:p w:rsidR="00184371" w:rsidRPr="003C1A98" w:rsidRDefault="00184371" w:rsidP="00184371">
      <w:pPr>
        <w:spacing w:after="0" w:line="360" w:lineRule="auto"/>
        <w:ind w:left="709" w:hanging="709"/>
        <w:jc w:val="both"/>
        <w:rPr>
          <w:rFonts w:ascii="Arial" w:hAnsi="Arial" w:cs="Arial"/>
          <w:sz w:val="28"/>
          <w:szCs w:val="28"/>
        </w:rPr>
      </w:pPr>
      <w:r w:rsidRPr="003C1A98">
        <w:rPr>
          <w:rFonts w:ascii="Arial" w:hAnsi="Arial" w:cs="Arial"/>
          <w:sz w:val="28"/>
          <w:szCs w:val="28"/>
        </w:rPr>
        <w:t>[6]</w:t>
      </w:r>
      <w:r w:rsidRPr="003C1A98">
        <w:rPr>
          <w:rFonts w:ascii="Arial" w:hAnsi="Arial" w:cs="Arial"/>
          <w:sz w:val="28"/>
          <w:szCs w:val="28"/>
        </w:rPr>
        <w:tab/>
        <w:t xml:space="preserve">Clearly dissatisfied with the outcome, the applicant readied itself for challenging it. Sensing that there might be some irregularities committed, the applicant requested documents and records and reasons that informed the decision. These were set out in the letter to the </w:t>
      </w:r>
      <w:r w:rsidR="00DC3947" w:rsidRPr="003C1A98">
        <w:rPr>
          <w:rFonts w:ascii="Arial" w:hAnsi="Arial" w:cs="Arial"/>
          <w:sz w:val="28"/>
          <w:szCs w:val="28"/>
        </w:rPr>
        <w:t xml:space="preserve">first respondent </w:t>
      </w:r>
      <w:r w:rsidRPr="003C1A98">
        <w:rPr>
          <w:rFonts w:ascii="Arial" w:hAnsi="Arial" w:cs="Arial"/>
          <w:sz w:val="28"/>
          <w:szCs w:val="28"/>
        </w:rPr>
        <w:t xml:space="preserve">dated 24 February 2022. The response of the first respondent in a letter dated 1 March 2022 specifically pointed out that the applicant was the second </w:t>
      </w:r>
      <w:r w:rsidR="00DC3947" w:rsidRPr="003C1A98">
        <w:rPr>
          <w:rFonts w:ascii="Arial" w:hAnsi="Arial" w:cs="Arial"/>
          <w:sz w:val="28"/>
          <w:szCs w:val="28"/>
        </w:rPr>
        <w:t xml:space="preserve">preferred </w:t>
      </w:r>
      <w:r w:rsidRPr="003C1A98">
        <w:rPr>
          <w:rFonts w:ascii="Arial" w:hAnsi="Arial" w:cs="Arial"/>
          <w:sz w:val="28"/>
          <w:szCs w:val="28"/>
        </w:rPr>
        <w:t xml:space="preserve">bidder and that the </w:t>
      </w:r>
      <w:r w:rsidR="00DC3947" w:rsidRPr="003C1A98">
        <w:rPr>
          <w:rFonts w:ascii="Arial" w:hAnsi="Arial" w:cs="Arial"/>
          <w:sz w:val="28"/>
          <w:szCs w:val="28"/>
        </w:rPr>
        <w:t>Broad Based Black Economic Empowerment Certificate (</w:t>
      </w:r>
      <w:r w:rsidR="001378BF" w:rsidRPr="003C1A98">
        <w:rPr>
          <w:rFonts w:ascii="Arial" w:hAnsi="Arial" w:cs="Arial"/>
          <w:sz w:val="28"/>
          <w:szCs w:val="28"/>
        </w:rPr>
        <w:t>BBBEE) annexed</w:t>
      </w:r>
      <w:r w:rsidRPr="003C1A98">
        <w:rPr>
          <w:rFonts w:ascii="Arial" w:hAnsi="Arial" w:cs="Arial"/>
          <w:sz w:val="28"/>
          <w:szCs w:val="28"/>
        </w:rPr>
        <w:t xml:space="preserve"> for the purpose of the bid had already expired on 31 December 2021. It was also mentioned that the certificate could not have made a difference in the final adjudication of the bid and the first respondent could not accept any documents after the closing date of the </w:t>
      </w:r>
      <w:r w:rsidR="00DC3947" w:rsidRPr="003C1A98">
        <w:rPr>
          <w:rFonts w:ascii="Arial" w:hAnsi="Arial" w:cs="Arial"/>
          <w:sz w:val="28"/>
          <w:szCs w:val="28"/>
        </w:rPr>
        <w:t>bid</w:t>
      </w:r>
      <w:r w:rsidRPr="003C1A98">
        <w:rPr>
          <w:rFonts w:ascii="Arial" w:hAnsi="Arial" w:cs="Arial"/>
          <w:sz w:val="28"/>
          <w:szCs w:val="28"/>
        </w:rPr>
        <w:t xml:space="preserve"> which was </w:t>
      </w:r>
      <w:r w:rsidR="00DC3947" w:rsidRPr="003C1A98">
        <w:rPr>
          <w:rFonts w:ascii="Arial" w:hAnsi="Arial" w:cs="Arial"/>
          <w:sz w:val="28"/>
          <w:szCs w:val="28"/>
        </w:rPr>
        <w:t xml:space="preserve">on </w:t>
      </w:r>
      <w:r w:rsidRPr="003C1A98">
        <w:rPr>
          <w:rFonts w:ascii="Arial" w:hAnsi="Arial" w:cs="Arial"/>
          <w:sz w:val="28"/>
          <w:szCs w:val="28"/>
        </w:rPr>
        <w:t xml:space="preserve">26 January 2022. </w:t>
      </w:r>
    </w:p>
    <w:p w:rsidR="00184371" w:rsidRPr="003C1A98" w:rsidRDefault="00184371" w:rsidP="00184371">
      <w:pPr>
        <w:spacing w:after="0" w:line="360" w:lineRule="auto"/>
        <w:ind w:left="709" w:hanging="709"/>
        <w:jc w:val="both"/>
        <w:rPr>
          <w:rFonts w:ascii="Arial" w:hAnsi="Arial" w:cs="Arial"/>
          <w:sz w:val="28"/>
          <w:szCs w:val="28"/>
        </w:rPr>
      </w:pPr>
    </w:p>
    <w:p w:rsidR="00184371" w:rsidRPr="003C1A98" w:rsidRDefault="00184371" w:rsidP="00184371">
      <w:pPr>
        <w:spacing w:after="0" w:line="360" w:lineRule="auto"/>
        <w:ind w:left="709" w:hanging="709"/>
        <w:jc w:val="both"/>
        <w:rPr>
          <w:rFonts w:ascii="Arial" w:hAnsi="Arial" w:cs="Arial"/>
          <w:sz w:val="28"/>
          <w:szCs w:val="28"/>
        </w:rPr>
      </w:pPr>
      <w:r w:rsidRPr="003C1A98">
        <w:rPr>
          <w:rFonts w:ascii="Arial" w:hAnsi="Arial" w:cs="Arial"/>
          <w:sz w:val="28"/>
          <w:szCs w:val="28"/>
        </w:rPr>
        <w:t>[7]</w:t>
      </w:r>
      <w:r w:rsidRPr="003C1A98">
        <w:rPr>
          <w:rFonts w:ascii="Arial" w:hAnsi="Arial" w:cs="Arial"/>
          <w:sz w:val="28"/>
          <w:szCs w:val="28"/>
        </w:rPr>
        <w:tab/>
        <w:t>The applicant launched an appeal in terms of Section 62 of the Local Government: Municipal System Act 32 of 2000</w:t>
      </w:r>
      <w:r w:rsidRPr="003C1A98">
        <w:rPr>
          <w:rStyle w:val="FootnoteReference"/>
          <w:rFonts w:ascii="Arial" w:hAnsi="Arial" w:cs="Arial"/>
          <w:sz w:val="28"/>
          <w:szCs w:val="28"/>
        </w:rPr>
        <w:footnoteReference w:id="3"/>
      </w:r>
      <w:r w:rsidRPr="003C1A98">
        <w:rPr>
          <w:rFonts w:ascii="Arial" w:hAnsi="Arial" w:cs="Arial"/>
          <w:sz w:val="28"/>
          <w:szCs w:val="28"/>
        </w:rPr>
        <w:t>. The matter served before the Executive Committee of the first respondent on 12 April 2022 and it was dismissed. The first respondent gave no undertaking of halting the works</w:t>
      </w:r>
      <w:r w:rsidR="009F19BB" w:rsidRPr="003C1A98">
        <w:rPr>
          <w:rFonts w:ascii="Arial" w:hAnsi="Arial" w:cs="Arial"/>
          <w:sz w:val="28"/>
          <w:szCs w:val="28"/>
        </w:rPr>
        <w:t xml:space="preserve"> while the applicant was still considering its remaining options</w:t>
      </w:r>
      <w:r w:rsidR="00F37961" w:rsidRPr="003C1A98">
        <w:rPr>
          <w:rFonts w:ascii="Arial" w:hAnsi="Arial" w:cs="Arial"/>
          <w:sz w:val="28"/>
          <w:szCs w:val="28"/>
        </w:rPr>
        <w:t>,</w:t>
      </w:r>
      <w:r w:rsidRPr="003C1A98">
        <w:rPr>
          <w:rFonts w:ascii="Arial" w:hAnsi="Arial" w:cs="Arial"/>
          <w:sz w:val="28"/>
          <w:szCs w:val="28"/>
        </w:rPr>
        <w:t xml:space="preserve"> and that resulted in the launching of the urgent application before Daffue J.</w:t>
      </w:r>
    </w:p>
    <w:p w:rsidR="00184371" w:rsidRPr="003C1A98" w:rsidRDefault="00184371" w:rsidP="00184371">
      <w:pPr>
        <w:spacing w:after="0" w:line="360" w:lineRule="auto"/>
        <w:ind w:left="709" w:hanging="709"/>
        <w:jc w:val="both"/>
        <w:rPr>
          <w:rFonts w:ascii="Arial" w:hAnsi="Arial" w:cs="Arial"/>
          <w:sz w:val="28"/>
          <w:szCs w:val="28"/>
        </w:rPr>
      </w:pPr>
    </w:p>
    <w:p w:rsidR="00184371" w:rsidRPr="003C1A98" w:rsidRDefault="00184371" w:rsidP="00184371">
      <w:pPr>
        <w:spacing w:after="0" w:line="360" w:lineRule="auto"/>
        <w:ind w:left="709" w:hanging="709"/>
        <w:jc w:val="both"/>
        <w:rPr>
          <w:rFonts w:ascii="Arial" w:hAnsi="Arial" w:cs="Arial"/>
          <w:sz w:val="28"/>
          <w:szCs w:val="28"/>
        </w:rPr>
      </w:pPr>
      <w:r w:rsidRPr="003C1A98">
        <w:rPr>
          <w:rFonts w:ascii="Arial" w:hAnsi="Arial" w:cs="Arial"/>
          <w:sz w:val="28"/>
          <w:szCs w:val="28"/>
        </w:rPr>
        <w:t>[8]</w:t>
      </w:r>
      <w:r w:rsidRPr="003C1A98">
        <w:rPr>
          <w:rFonts w:ascii="Arial" w:hAnsi="Arial" w:cs="Arial"/>
          <w:sz w:val="28"/>
          <w:szCs w:val="28"/>
        </w:rPr>
        <w:tab/>
        <w:t>As to whether the order he granted was final in effect or not was considered by Reinders ADJP who ruled that it was not. Her well-reasoned judgment was delivered on 13 June 2022. It appears that in the interim the second and the third respondents continued with the works. At the time of the oral hearing of this matter, the court was</w:t>
      </w:r>
      <w:r w:rsidR="001378BF">
        <w:rPr>
          <w:rFonts w:ascii="Arial" w:hAnsi="Arial" w:cs="Arial"/>
          <w:sz w:val="28"/>
          <w:szCs w:val="28"/>
        </w:rPr>
        <w:t xml:space="preserve"> informed that 78% of the works was already</w:t>
      </w:r>
      <w:r w:rsidRPr="003C1A98">
        <w:rPr>
          <w:rFonts w:ascii="Arial" w:hAnsi="Arial" w:cs="Arial"/>
          <w:sz w:val="28"/>
          <w:szCs w:val="28"/>
        </w:rPr>
        <w:t xml:space="preserve"> concluded. It is imperative to set out the background to understand the context that informed the decision of the court. </w:t>
      </w:r>
    </w:p>
    <w:p w:rsidR="00184371" w:rsidRPr="003C1A98" w:rsidRDefault="00184371" w:rsidP="00184371">
      <w:pPr>
        <w:spacing w:after="0" w:line="360" w:lineRule="auto"/>
        <w:ind w:left="709" w:hanging="709"/>
        <w:jc w:val="both"/>
        <w:rPr>
          <w:rFonts w:ascii="Arial" w:hAnsi="Arial" w:cs="Arial"/>
          <w:sz w:val="28"/>
          <w:szCs w:val="28"/>
        </w:rPr>
      </w:pPr>
    </w:p>
    <w:p w:rsidR="00184371" w:rsidRPr="003C1A98" w:rsidRDefault="00184371" w:rsidP="0063260A">
      <w:pPr>
        <w:spacing w:after="0" w:line="360" w:lineRule="auto"/>
        <w:ind w:left="709"/>
        <w:jc w:val="both"/>
        <w:rPr>
          <w:rFonts w:ascii="Arial" w:hAnsi="Arial" w:cs="Arial"/>
          <w:b/>
          <w:sz w:val="28"/>
          <w:szCs w:val="28"/>
        </w:rPr>
      </w:pPr>
      <w:r w:rsidRPr="003C1A98">
        <w:rPr>
          <w:rFonts w:ascii="Arial" w:hAnsi="Arial" w:cs="Arial"/>
          <w:b/>
          <w:sz w:val="28"/>
          <w:szCs w:val="28"/>
        </w:rPr>
        <w:t>Grounds of review</w:t>
      </w:r>
    </w:p>
    <w:p w:rsidR="00184371" w:rsidRPr="003C1A98" w:rsidRDefault="00184371" w:rsidP="00184371">
      <w:pPr>
        <w:spacing w:after="0" w:line="360" w:lineRule="auto"/>
        <w:ind w:left="709" w:hanging="709"/>
        <w:jc w:val="both"/>
        <w:rPr>
          <w:rFonts w:ascii="Arial" w:hAnsi="Arial" w:cs="Arial"/>
          <w:sz w:val="28"/>
          <w:szCs w:val="28"/>
        </w:rPr>
      </w:pPr>
      <w:r w:rsidRPr="003C1A98">
        <w:rPr>
          <w:rFonts w:ascii="Arial" w:hAnsi="Arial" w:cs="Arial"/>
          <w:sz w:val="28"/>
          <w:szCs w:val="28"/>
        </w:rPr>
        <w:t>[9]</w:t>
      </w:r>
      <w:r w:rsidRPr="003C1A98">
        <w:rPr>
          <w:rFonts w:ascii="Arial" w:hAnsi="Arial" w:cs="Arial"/>
          <w:sz w:val="28"/>
          <w:szCs w:val="28"/>
        </w:rPr>
        <w:tab/>
        <w:t xml:space="preserve">The applicant has raised various grounds of review. Chief among them is the averment that the second and third respondents did not meet the peremptory </w:t>
      </w:r>
      <w:r w:rsidR="009F19BB" w:rsidRPr="003C1A98">
        <w:rPr>
          <w:rFonts w:ascii="Arial" w:hAnsi="Arial" w:cs="Arial"/>
          <w:sz w:val="28"/>
          <w:szCs w:val="28"/>
        </w:rPr>
        <w:t>Construction Industry Development Board (</w:t>
      </w:r>
      <w:r w:rsidRPr="003C1A98">
        <w:rPr>
          <w:rFonts w:ascii="Arial" w:hAnsi="Arial" w:cs="Arial"/>
          <w:sz w:val="28"/>
          <w:szCs w:val="28"/>
        </w:rPr>
        <w:t>CIDB</w:t>
      </w:r>
      <w:r w:rsidR="009F19BB" w:rsidRPr="003C1A98">
        <w:rPr>
          <w:rFonts w:ascii="Arial" w:hAnsi="Arial" w:cs="Arial"/>
          <w:sz w:val="28"/>
          <w:szCs w:val="28"/>
        </w:rPr>
        <w:t>)</w:t>
      </w:r>
      <w:r w:rsidRPr="003C1A98">
        <w:rPr>
          <w:rFonts w:ascii="Arial" w:hAnsi="Arial" w:cs="Arial"/>
          <w:sz w:val="28"/>
          <w:szCs w:val="28"/>
        </w:rPr>
        <w:t xml:space="preserve"> grading requirements in terms of the tender data. The key point made is that </w:t>
      </w:r>
      <w:r w:rsidR="009F19BB" w:rsidRPr="003C1A98">
        <w:rPr>
          <w:rFonts w:ascii="Arial" w:hAnsi="Arial" w:cs="Arial"/>
          <w:sz w:val="28"/>
          <w:szCs w:val="28"/>
        </w:rPr>
        <w:t>any</w:t>
      </w:r>
      <w:r w:rsidRPr="003C1A98">
        <w:rPr>
          <w:rFonts w:ascii="Arial" w:hAnsi="Arial" w:cs="Arial"/>
          <w:sz w:val="28"/>
          <w:szCs w:val="28"/>
        </w:rPr>
        <w:t xml:space="preserve"> bidder was in a position to submit a bid only if the bid met the criteria stated in the tender data. The second ground relied upon is that the second and third respondents, that is their new entity as the joint venture, failed to submit mandatory returnable documents. The document referred to is that its bank rating could not be verified. The third ground is that the bid awarded was in excess of the budget for the works in issue. The amount approved for the two (2) respondents was in excess of R10 million. All the </w:t>
      </w:r>
      <w:r w:rsidR="009F19BB" w:rsidRPr="003C1A98">
        <w:rPr>
          <w:rFonts w:ascii="Arial" w:hAnsi="Arial" w:cs="Arial"/>
          <w:sz w:val="28"/>
          <w:szCs w:val="28"/>
        </w:rPr>
        <w:t xml:space="preserve">stated </w:t>
      </w:r>
      <w:r w:rsidRPr="003C1A98">
        <w:rPr>
          <w:rFonts w:ascii="Arial" w:hAnsi="Arial" w:cs="Arial"/>
          <w:sz w:val="28"/>
          <w:szCs w:val="28"/>
        </w:rPr>
        <w:t xml:space="preserve">grounds are vehemently opposed by the first respondent. </w:t>
      </w:r>
    </w:p>
    <w:p w:rsidR="00184371" w:rsidRPr="003C1A98" w:rsidRDefault="00184371" w:rsidP="00184371">
      <w:pPr>
        <w:spacing w:after="0" w:line="360" w:lineRule="auto"/>
        <w:ind w:left="709" w:hanging="709"/>
        <w:jc w:val="both"/>
        <w:rPr>
          <w:rFonts w:ascii="Arial" w:hAnsi="Arial" w:cs="Arial"/>
          <w:sz w:val="28"/>
          <w:szCs w:val="28"/>
        </w:rPr>
      </w:pPr>
    </w:p>
    <w:p w:rsidR="00184371" w:rsidRPr="003C1A98" w:rsidRDefault="00184371" w:rsidP="0063260A">
      <w:pPr>
        <w:spacing w:after="0" w:line="360" w:lineRule="auto"/>
        <w:ind w:firstLine="709"/>
        <w:jc w:val="both"/>
        <w:rPr>
          <w:rFonts w:ascii="Arial" w:hAnsi="Arial" w:cs="Arial"/>
          <w:b/>
          <w:sz w:val="28"/>
          <w:szCs w:val="28"/>
        </w:rPr>
      </w:pPr>
      <w:r w:rsidRPr="003C1A98">
        <w:rPr>
          <w:rFonts w:ascii="Arial" w:hAnsi="Arial" w:cs="Arial"/>
          <w:b/>
          <w:sz w:val="28"/>
          <w:szCs w:val="28"/>
        </w:rPr>
        <w:t>Submissions</w:t>
      </w:r>
    </w:p>
    <w:p w:rsidR="00184371" w:rsidRPr="003C1A98" w:rsidRDefault="00184371" w:rsidP="00184371">
      <w:pPr>
        <w:spacing w:after="0" w:line="360" w:lineRule="auto"/>
        <w:ind w:left="720" w:hanging="720"/>
        <w:jc w:val="both"/>
        <w:rPr>
          <w:rFonts w:ascii="Arial" w:hAnsi="Arial" w:cs="Arial"/>
          <w:sz w:val="28"/>
          <w:szCs w:val="28"/>
        </w:rPr>
      </w:pPr>
      <w:r w:rsidRPr="003C1A98">
        <w:rPr>
          <w:rFonts w:ascii="Arial" w:hAnsi="Arial" w:cs="Arial"/>
          <w:sz w:val="28"/>
          <w:szCs w:val="28"/>
        </w:rPr>
        <w:t>[10]</w:t>
      </w:r>
      <w:r w:rsidRPr="003C1A98">
        <w:rPr>
          <w:rFonts w:ascii="Arial" w:hAnsi="Arial" w:cs="Arial"/>
          <w:sz w:val="28"/>
          <w:szCs w:val="28"/>
        </w:rPr>
        <w:tab/>
        <w:t>Both counsel made compelling submissions and referred us to a wealth of authorities</w:t>
      </w:r>
      <w:r w:rsidR="009F19BB" w:rsidRPr="003C1A98">
        <w:rPr>
          <w:rFonts w:ascii="Arial" w:hAnsi="Arial" w:cs="Arial"/>
          <w:sz w:val="28"/>
          <w:szCs w:val="28"/>
        </w:rPr>
        <w:t>. T</w:t>
      </w:r>
      <w:r w:rsidRPr="003C1A98">
        <w:rPr>
          <w:rFonts w:ascii="Arial" w:hAnsi="Arial" w:cs="Arial"/>
          <w:sz w:val="28"/>
          <w:szCs w:val="28"/>
        </w:rPr>
        <w:t xml:space="preserve">hey presented and interpreted the facts and the law from diametrically opposing views. It is imperative to briefly repeat them. </w:t>
      </w:r>
    </w:p>
    <w:p w:rsidR="00184371" w:rsidRPr="003C1A98" w:rsidRDefault="00184371" w:rsidP="00184371">
      <w:pPr>
        <w:spacing w:after="0" w:line="360" w:lineRule="auto"/>
        <w:ind w:left="720" w:hanging="720"/>
        <w:jc w:val="both"/>
        <w:rPr>
          <w:rFonts w:ascii="Arial" w:hAnsi="Arial" w:cs="Arial"/>
          <w:sz w:val="28"/>
          <w:szCs w:val="28"/>
        </w:rPr>
      </w:pPr>
    </w:p>
    <w:p w:rsidR="00184371" w:rsidRPr="003C1A98" w:rsidRDefault="00184371" w:rsidP="00184371">
      <w:pPr>
        <w:spacing w:after="0" w:line="360" w:lineRule="auto"/>
        <w:ind w:left="720" w:hanging="720"/>
        <w:jc w:val="both"/>
        <w:rPr>
          <w:rFonts w:ascii="Arial" w:hAnsi="Arial" w:cs="Arial"/>
          <w:sz w:val="28"/>
          <w:szCs w:val="28"/>
        </w:rPr>
      </w:pPr>
      <w:r w:rsidRPr="003C1A98">
        <w:rPr>
          <w:rFonts w:ascii="Arial" w:hAnsi="Arial" w:cs="Arial"/>
          <w:sz w:val="28"/>
          <w:szCs w:val="28"/>
        </w:rPr>
        <w:t>[11]</w:t>
      </w:r>
      <w:r w:rsidRPr="003C1A98">
        <w:rPr>
          <w:rFonts w:ascii="Arial" w:hAnsi="Arial" w:cs="Arial"/>
          <w:sz w:val="28"/>
          <w:szCs w:val="28"/>
        </w:rPr>
        <w:tab/>
        <w:t xml:space="preserve">Mr </w:t>
      </w:r>
      <w:r w:rsidR="009F19BB" w:rsidRPr="003C1A98">
        <w:rPr>
          <w:rFonts w:ascii="Arial" w:hAnsi="Arial" w:cs="Arial"/>
          <w:sz w:val="28"/>
          <w:szCs w:val="28"/>
        </w:rPr>
        <w:t>v</w:t>
      </w:r>
      <w:r w:rsidRPr="003C1A98">
        <w:rPr>
          <w:rFonts w:ascii="Arial" w:hAnsi="Arial" w:cs="Arial"/>
          <w:sz w:val="28"/>
          <w:szCs w:val="28"/>
        </w:rPr>
        <w:t>an Aswegen submitted for the applicant that procurement in the public domain is underpinned by the requirements of fair and competitive process</w:t>
      </w:r>
      <w:r w:rsidR="009F19BB" w:rsidRPr="003C1A98">
        <w:rPr>
          <w:rFonts w:ascii="Arial" w:hAnsi="Arial" w:cs="Arial"/>
          <w:sz w:val="28"/>
          <w:szCs w:val="28"/>
        </w:rPr>
        <w:t>es</w:t>
      </w:r>
      <w:r w:rsidRPr="003C1A98">
        <w:rPr>
          <w:rFonts w:ascii="Arial" w:hAnsi="Arial" w:cs="Arial"/>
          <w:sz w:val="28"/>
          <w:szCs w:val="28"/>
        </w:rPr>
        <w:t xml:space="preserve">. On this matter the first respondent has </w:t>
      </w:r>
      <w:r w:rsidR="00060852" w:rsidRPr="003C1A98">
        <w:rPr>
          <w:rFonts w:ascii="Arial" w:hAnsi="Arial" w:cs="Arial"/>
          <w:sz w:val="28"/>
          <w:szCs w:val="28"/>
        </w:rPr>
        <w:t>strikingly</w:t>
      </w:r>
      <w:r w:rsidRPr="003C1A98">
        <w:rPr>
          <w:rFonts w:ascii="Arial" w:hAnsi="Arial" w:cs="Arial"/>
          <w:sz w:val="28"/>
          <w:szCs w:val="28"/>
        </w:rPr>
        <w:t xml:space="preserve"> failed through non-compliance with mandatory requirements. On that score alone he opined that</w:t>
      </w:r>
      <w:r w:rsidRPr="00060852">
        <w:rPr>
          <w:rFonts w:ascii="Arial" w:hAnsi="Arial" w:cs="Arial"/>
          <w:sz w:val="28"/>
          <w:szCs w:val="28"/>
        </w:rPr>
        <w:t xml:space="preserve"> the </w:t>
      </w:r>
      <w:r w:rsidRPr="00987FE2">
        <w:rPr>
          <w:rFonts w:ascii="Arial" w:hAnsi="Arial" w:cs="Arial"/>
          <w:sz w:val="28"/>
          <w:szCs w:val="28"/>
        </w:rPr>
        <w:t xml:space="preserve">opposition to the </w:t>
      </w:r>
      <w:r w:rsidR="00987FE2" w:rsidRPr="00987FE2">
        <w:rPr>
          <w:rFonts w:ascii="Arial" w:hAnsi="Arial" w:cs="Arial"/>
          <w:sz w:val="28"/>
          <w:szCs w:val="28"/>
        </w:rPr>
        <w:t>application should</w:t>
      </w:r>
      <w:r w:rsidRPr="00987FE2">
        <w:rPr>
          <w:rFonts w:ascii="Arial" w:hAnsi="Arial" w:cs="Arial"/>
          <w:sz w:val="28"/>
          <w:szCs w:val="28"/>
        </w:rPr>
        <w:t xml:space="preserve"> fail. This point is strongly reliant on the notice </w:t>
      </w:r>
      <w:r w:rsidRPr="007C5A3A">
        <w:rPr>
          <w:rFonts w:ascii="Arial" w:hAnsi="Arial" w:cs="Arial"/>
          <w:sz w:val="28"/>
          <w:szCs w:val="28"/>
        </w:rPr>
        <w:t>on</w:t>
      </w:r>
      <w:r w:rsidR="00060852">
        <w:rPr>
          <w:rFonts w:ascii="Arial" w:hAnsi="Arial" w:cs="Arial"/>
          <w:sz w:val="28"/>
          <w:szCs w:val="28"/>
        </w:rPr>
        <w:t xml:space="preserve"> </w:t>
      </w:r>
      <w:r w:rsidRPr="003C1A98">
        <w:rPr>
          <w:rFonts w:ascii="Arial" w:hAnsi="Arial" w:cs="Arial"/>
          <w:sz w:val="28"/>
          <w:szCs w:val="28"/>
        </w:rPr>
        <w:t xml:space="preserve"> evaluation which provided that the bids with errors or omissions on peremptory requirements will be deemed non responsive.</w:t>
      </w:r>
      <w:r w:rsidRPr="003C1A98">
        <w:rPr>
          <w:rStyle w:val="FootnoteReference"/>
          <w:rFonts w:ascii="Arial" w:hAnsi="Arial" w:cs="Arial"/>
          <w:sz w:val="28"/>
          <w:szCs w:val="28"/>
        </w:rPr>
        <w:footnoteReference w:id="4"/>
      </w:r>
      <w:r w:rsidRPr="003C1A98">
        <w:rPr>
          <w:rFonts w:ascii="Arial" w:hAnsi="Arial" w:cs="Arial"/>
          <w:sz w:val="28"/>
          <w:szCs w:val="28"/>
        </w:rPr>
        <w:t xml:space="preserve"> The document in issue is the bank rating certificate which was not </w:t>
      </w:r>
      <w:r w:rsidRPr="00987FE2">
        <w:rPr>
          <w:rFonts w:ascii="Arial" w:hAnsi="Arial" w:cs="Arial"/>
          <w:sz w:val="28"/>
          <w:szCs w:val="28"/>
        </w:rPr>
        <w:t>submitted</w:t>
      </w:r>
      <w:r w:rsidR="00987FE2" w:rsidRPr="00987FE2">
        <w:rPr>
          <w:rFonts w:ascii="Arial" w:hAnsi="Arial" w:cs="Arial"/>
          <w:sz w:val="28"/>
          <w:szCs w:val="28"/>
        </w:rPr>
        <w:t xml:space="preserve"> </w:t>
      </w:r>
      <w:r w:rsidR="00987FE2">
        <w:rPr>
          <w:rFonts w:ascii="Arial" w:hAnsi="Arial" w:cs="Arial"/>
          <w:sz w:val="28"/>
          <w:szCs w:val="28"/>
        </w:rPr>
        <w:t xml:space="preserve">and verified </w:t>
      </w:r>
      <w:r w:rsidRPr="003C1A98">
        <w:rPr>
          <w:rFonts w:ascii="Arial" w:hAnsi="Arial" w:cs="Arial"/>
          <w:sz w:val="28"/>
          <w:szCs w:val="28"/>
        </w:rPr>
        <w:t xml:space="preserve">on behalf of the </w:t>
      </w:r>
      <w:r w:rsidRPr="0082431C">
        <w:rPr>
          <w:rFonts w:ascii="Arial" w:hAnsi="Arial" w:cs="Arial"/>
          <w:sz w:val="28"/>
          <w:szCs w:val="28"/>
        </w:rPr>
        <w:t xml:space="preserve">third </w:t>
      </w:r>
      <w:r w:rsidRPr="003C1A98">
        <w:rPr>
          <w:rFonts w:ascii="Arial" w:hAnsi="Arial" w:cs="Arial"/>
          <w:sz w:val="28"/>
          <w:szCs w:val="28"/>
        </w:rPr>
        <w:t xml:space="preserve">respondent. The second document was the company profile. He argued that the non-compliance thereof carried with it consequences that such a bidder </w:t>
      </w:r>
      <w:r w:rsidR="009F19BB" w:rsidRPr="003C1A98">
        <w:rPr>
          <w:rFonts w:ascii="Arial" w:hAnsi="Arial" w:cs="Arial"/>
          <w:sz w:val="28"/>
          <w:szCs w:val="28"/>
        </w:rPr>
        <w:t>should</w:t>
      </w:r>
      <w:r w:rsidRPr="003C1A98">
        <w:rPr>
          <w:rFonts w:ascii="Arial" w:hAnsi="Arial" w:cs="Arial"/>
          <w:sz w:val="28"/>
          <w:szCs w:val="28"/>
        </w:rPr>
        <w:t xml:space="preserve"> be disqualified. </w:t>
      </w:r>
    </w:p>
    <w:p w:rsidR="00184371" w:rsidRPr="003C1A98" w:rsidRDefault="00184371" w:rsidP="00184371">
      <w:pPr>
        <w:spacing w:after="0" w:line="360" w:lineRule="auto"/>
        <w:ind w:left="720" w:hanging="720"/>
        <w:jc w:val="both"/>
        <w:rPr>
          <w:rFonts w:ascii="Arial" w:hAnsi="Arial" w:cs="Arial"/>
          <w:sz w:val="28"/>
          <w:szCs w:val="28"/>
        </w:rPr>
      </w:pPr>
    </w:p>
    <w:p w:rsidR="00184371" w:rsidRPr="003C1A98" w:rsidRDefault="00184371" w:rsidP="00184371">
      <w:pPr>
        <w:spacing w:after="0" w:line="360" w:lineRule="auto"/>
        <w:ind w:left="720" w:hanging="720"/>
        <w:jc w:val="both"/>
        <w:rPr>
          <w:rFonts w:ascii="Arial" w:hAnsi="Arial" w:cs="Arial"/>
          <w:sz w:val="28"/>
          <w:szCs w:val="28"/>
        </w:rPr>
      </w:pPr>
      <w:r w:rsidRPr="003C1A98">
        <w:rPr>
          <w:rFonts w:ascii="Arial" w:hAnsi="Arial" w:cs="Arial"/>
          <w:sz w:val="28"/>
          <w:szCs w:val="28"/>
        </w:rPr>
        <w:t>[12]</w:t>
      </w:r>
      <w:r w:rsidRPr="003C1A98">
        <w:rPr>
          <w:rFonts w:ascii="Arial" w:hAnsi="Arial" w:cs="Arial"/>
          <w:sz w:val="28"/>
          <w:szCs w:val="28"/>
        </w:rPr>
        <w:tab/>
        <w:t xml:space="preserve">He raised another issue relating to the CIDB registration requirements. The fact is that the third respondent was not registered in the Mechanical Engineering (ME) class. The works involved Mechanical and Construction Engineering capabilities. That being the mandatory requirement and non-compliance thereto should have led to disqualification of the joint bid of the second and third respondents. </w:t>
      </w:r>
    </w:p>
    <w:p w:rsidR="00184371" w:rsidRPr="003C1A98" w:rsidRDefault="00184371" w:rsidP="00184371">
      <w:pPr>
        <w:spacing w:after="0" w:line="360" w:lineRule="auto"/>
        <w:ind w:left="720" w:hanging="720"/>
        <w:jc w:val="both"/>
        <w:rPr>
          <w:rFonts w:ascii="Arial" w:hAnsi="Arial" w:cs="Arial"/>
          <w:sz w:val="28"/>
          <w:szCs w:val="28"/>
        </w:rPr>
      </w:pPr>
    </w:p>
    <w:p w:rsidR="00184371" w:rsidRPr="003C1A98" w:rsidRDefault="00184371" w:rsidP="00184371">
      <w:pPr>
        <w:spacing w:after="0" w:line="360" w:lineRule="auto"/>
        <w:ind w:left="720" w:hanging="720"/>
        <w:jc w:val="both"/>
        <w:rPr>
          <w:rFonts w:ascii="Arial" w:hAnsi="Arial" w:cs="Arial"/>
          <w:sz w:val="28"/>
          <w:szCs w:val="28"/>
        </w:rPr>
      </w:pPr>
      <w:r w:rsidRPr="003C1A98">
        <w:rPr>
          <w:rFonts w:ascii="Arial" w:hAnsi="Arial" w:cs="Arial"/>
          <w:sz w:val="28"/>
          <w:szCs w:val="28"/>
        </w:rPr>
        <w:t>[13]</w:t>
      </w:r>
      <w:r w:rsidRPr="003C1A98">
        <w:rPr>
          <w:rFonts w:ascii="Arial" w:hAnsi="Arial" w:cs="Arial"/>
          <w:sz w:val="28"/>
          <w:szCs w:val="28"/>
        </w:rPr>
        <w:tab/>
        <w:t xml:space="preserve">The other ground argued was whether a bidder had to be registered at level of four or higher in both mechanical and construction engineering class. The contention between the parties is that the bid invitation required 4CE/4ME PE or higher. The lead partner was not registered in both and relying on the report of NEP Consulting Engineers, he posed a question as to what was done with the incongruities mentioned in it. He submitted that upon proper interpretation of the document, a bidder was required to be registered at the set level in both classes. </w:t>
      </w:r>
    </w:p>
    <w:p w:rsidR="00184371" w:rsidRPr="003C1A98" w:rsidRDefault="00184371" w:rsidP="00184371">
      <w:pPr>
        <w:spacing w:after="0" w:line="360" w:lineRule="auto"/>
        <w:ind w:left="720" w:hanging="720"/>
        <w:jc w:val="both"/>
        <w:rPr>
          <w:rFonts w:ascii="Arial" w:hAnsi="Arial" w:cs="Arial"/>
          <w:sz w:val="28"/>
          <w:szCs w:val="28"/>
        </w:rPr>
      </w:pPr>
    </w:p>
    <w:p w:rsidR="00184371" w:rsidRPr="003C1A98" w:rsidRDefault="00184371" w:rsidP="00184371">
      <w:pPr>
        <w:spacing w:after="0" w:line="360" w:lineRule="auto"/>
        <w:ind w:left="720" w:hanging="720"/>
        <w:jc w:val="both"/>
        <w:rPr>
          <w:rFonts w:ascii="Arial" w:hAnsi="Arial" w:cs="Arial"/>
          <w:sz w:val="28"/>
          <w:szCs w:val="28"/>
        </w:rPr>
      </w:pPr>
      <w:r w:rsidRPr="003C1A98">
        <w:rPr>
          <w:rFonts w:ascii="Arial" w:hAnsi="Arial" w:cs="Arial"/>
          <w:sz w:val="28"/>
          <w:szCs w:val="28"/>
        </w:rPr>
        <w:t>[</w:t>
      </w:r>
      <w:r w:rsidR="0063260A" w:rsidRPr="003C1A98">
        <w:rPr>
          <w:rFonts w:ascii="Arial" w:hAnsi="Arial" w:cs="Arial"/>
          <w:sz w:val="28"/>
          <w:szCs w:val="28"/>
        </w:rPr>
        <w:t>14</w:t>
      </w:r>
      <w:r w:rsidRPr="003C1A98">
        <w:rPr>
          <w:rFonts w:ascii="Arial" w:hAnsi="Arial" w:cs="Arial"/>
          <w:sz w:val="28"/>
          <w:szCs w:val="28"/>
        </w:rPr>
        <w:t>]</w:t>
      </w:r>
      <w:r w:rsidRPr="003C1A98">
        <w:rPr>
          <w:rFonts w:ascii="Arial" w:hAnsi="Arial" w:cs="Arial"/>
          <w:sz w:val="28"/>
          <w:szCs w:val="28"/>
        </w:rPr>
        <w:tab/>
        <w:t>The last ground argued was that the form of offer and acceptance was in excess of R10 million.</w:t>
      </w:r>
      <w:r w:rsidRPr="003C1A98">
        <w:rPr>
          <w:rStyle w:val="FootnoteReference"/>
          <w:rFonts w:ascii="Arial" w:hAnsi="Arial" w:cs="Arial"/>
          <w:sz w:val="28"/>
          <w:szCs w:val="28"/>
        </w:rPr>
        <w:footnoteReference w:id="5"/>
      </w:r>
      <w:r w:rsidRPr="003C1A98">
        <w:rPr>
          <w:rFonts w:ascii="Arial" w:hAnsi="Arial" w:cs="Arial"/>
          <w:sz w:val="28"/>
          <w:szCs w:val="28"/>
        </w:rPr>
        <w:t xml:space="preserve"> The first respondent contracted with the two respondents for the amount exceeding the budget. My brother broached it with counsel as to how we should read the agreement which was in excess of R10 million with the letter of appointment which specifically provided that the contract amount was R9 969 447.24 VAT included.</w:t>
      </w:r>
      <w:r w:rsidRPr="003C1A98">
        <w:rPr>
          <w:rStyle w:val="FootnoteReference"/>
          <w:rFonts w:ascii="Arial" w:hAnsi="Arial" w:cs="Arial"/>
          <w:sz w:val="28"/>
          <w:szCs w:val="28"/>
        </w:rPr>
        <w:footnoteReference w:id="6"/>
      </w:r>
      <w:r w:rsidRPr="003C1A98">
        <w:rPr>
          <w:rFonts w:ascii="Arial" w:hAnsi="Arial" w:cs="Arial"/>
          <w:sz w:val="28"/>
          <w:szCs w:val="28"/>
        </w:rPr>
        <w:t xml:space="preserve"> His response was that he was unsure as to how it will play out should a dispute arise between the respondents. He plainly conceded that it was a conundrum. </w:t>
      </w:r>
    </w:p>
    <w:p w:rsidR="00184371" w:rsidRPr="003C1A98" w:rsidRDefault="00184371" w:rsidP="00184371">
      <w:pPr>
        <w:spacing w:after="0" w:line="360" w:lineRule="auto"/>
        <w:ind w:left="720" w:hanging="720"/>
        <w:jc w:val="both"/>
        <w:rPr>
          <w:rFonts w:ascii="Arial" w:hAnsi="Arial" w:cs="Arial"/>
          <w:sz w:val="28"/>
          <w:szCs w:val="28"/>
        </w:rPr>
      </w:pPr>
    </w:p>
    <w:p w:rsidR="00184371" w:rsidRPr="003C1A98" w:rsidRDefault="00184371" w:rsidP="00184371">
      <w:pPr>
        <w:spacing w:after="0" w:line="360" w:lineRule="auto"/>
        <w:ind w:left="720" w:hanging="720"/>
        <w:jc w:val="both"/>
        <w:rPr>
          <w:rFonts w:ascii="Arial" w:hAnsi="Arial" w:cs="Arial"/>
          <w:sz w:val="28"/>
          <w:szCs w:val="28"/>
        </w:rPr>
      </w:pPr>
      <w:r w:rsidRPr="003C1A98">
        <w:rPr>
          <w:rFonts w:ascii="Arial" w:hAnsi="Arial" w:cs="Arial"/>
          <w:sz w:val="28"/>
          <w:szCs w:val="28"/>
        </w:rPr>
        <w:t>[1</w:t>
      </w:r>
      <w:r w:rsidR="0063260A" w:rsidRPr="003C1A98">
        <w:rPr>
          <w:rFonts w:ascii="Arial" w:hAnsi="Arial" w:cs="Arial"/>
          <w:sz w:val="28"/>
          <w:szCs w:val="28"/>
        </w:rPr>
        <w:t>5</w:t>
      </w:r>
      <w:r w:rsidRPr="003C1A98">
        <w:rPr>
          <w:rFonts w:ascii="Arial" w:hAnsi="Arial" w:cs="Arial"/>
          <w:sz w:val="28"/>
          <w:szCs w:val="28"/>
        </w:rPr>
        <w:t>]</w:t>
      </w:r>
      <w:r w:rsidRPr="003C1A98">
        <w:rPr>
          <w:rFonts w:ascii="Arial" w:hAnsi="Arial" w:cs="Arial"/>
          <w:sz w:val="28"/>
          <w:szCs w:val="28"/>
        </w:rPr>
        <w:tab/>
        <w:t xml:space="preserve">He launched a scathing attack on the issue that the funds were spent by the first respondent to purchase the material. That, he argued, was a fertile ground for malfeasance. Despite its submitted bid being almost double the budget, </w:t>
      </w:r>
      <w:r w:rsidR="009F19BB" w:rsidRPr="003C1A98">
        <w:rPr>
          <w:rFonts w:ascii="Arial" w:hAnsi="Arial" w:cs="Arial"/>
          <w:sz w:val="28"/>
          <w:szCs w:val="28"/>
        </w:rPr>
        <w:t>the applicant</w:t>
      </w:r>
      <w:r w:rsidRPr="003C1A98">
        <w:rPr>
          <w:rFonts w:ascii="Arial" w:hAnsi="Arial" w:cs="Arial"/>
          <w:sz w:val="28"/>
          <w:szCs w:val="28"/>
        </w:rPr>
        <w:t xml:space="preserve"> was committing to complete the works within the stated cap. The cornerstone of his submissions was that the courts were perfectly placed to make a far reaching order of substituting the joint venture with the applicant. We pointed out to him that the horse may have bolted in that over 70% of the work</w:t>
      </w:r>
      <w:r w:rsidR="009F19BB" w:rsidRPr="003C1A98">
        <w:rPr>
          <w:rFonts w:ascii="Arial" w:hAnsi="Arial" w:cs="Arial"/>
          <w:sz w:val="28"/>
          <w:szCs w:val="28"/>
        </w:rPr>
        <w:t>s</w:t>
      </w:r>
      <w:r w:rsidRPr="003C1A98">
        <w:rPr>
          <w:rFonts w:ascii="Arial" w:hAnsi="Arial" w:cs="Arial"/>
          <w:sz w:val="28"/>
          <w:szCs w:val="28"/>
        </w:rPr>
        <w:t xml:space="preserve"> was already completed. He sharply differed and responded that it was only the purchase of the material and site establishment. The </w:t>
      </w:r>
      <w:r w:rsidR="009F19BB" w:rsidRPr="003C1A98">
        <w:rPr>
          <w:rFonts w:ascii="Arial" w:hAnsi="Arial" w:cs="Arial"/>
          <w:sz w:val="28"/>
          <w:szCs w:val="28"/>
        </w:rPr>
        <w:t>nub of his submission</w:t>
      </w:r>
      <w:r w:rsidRPr="003C1A98">
        <w:rPr>
          <w:rFonts w:ascii="Arial" w:hAnsi="Arial" w:cs="Arial"/>
          <w:sz w:val="28"/>
          <w:szCs w:val="28"/>
        </w:rPr>
        <w:t xml:space="preserve"> was that substantial work still had to be done and that there is no evidence that the applicant will be unable to complete it. </w:t>
      </w:r>
    </w:p>
    <w:p w:rsidR="00184371" w:rsidRPr="003C1A98" w:rsidRDefault="00184371" w:rsidP="00184371">
      <w:pPr>
        <w:spacing w:after="0" w:line="360" w:lineRule="auto"/>
        <w:ind w:left="720" w:hanging="720"/>
        <w:jc w:val="both"/>
        <w:rPr>
          <w:rFonts w:ascii="Arial" w:hAnsi="Arial" w:cs="Arial"/>
          <w:sz w:val="28"/>
          <w:szCs w:val="28"/>
        </w:rPr>
      </w:pPr>
    </w:p>
    <w:p w:rsidR="00184371" w:rsidRPr="003C1A98" w:rsidRDefault="00184371" w:rsidP="00184371">
      <w:pPr>
        <w:spacing w:after="0" w:line="360" w:lineRule="auto"/>
        <w:ind w:left="720" w:hanging="720"/>
        <w:jc w:val="both"/>
        <w:rPr>
          <w:rFonts w:ascii="Arial" w:hAnsi="Arial" w:cs="Arial"/>
          <w:sz w:val="28"/>
          <w:szCs w:val="28"/>
        </w:rPr>
      </w:pPr>
      <w:r w:rsidRPr="003C1A98">
        <w:rPr>
          <w:rFonts w:ascii="Arial" w:hAnsi="Arial" w:cs="Arial"/>
          <w:sz w:val="28"/>
          <w:szCs w:val="28"/>
        </w:rPr>
        <w:t>[1</w:t>
      </w:r>
      <w:r w:rsidR="0063260A" w:rsidRPr="003C1A98">
        <w:rPr>
          <w:rFonts w:ascii="Arial" w:hAnsi="Arial" w:cs="Arial"/>
          <w:sz w:val="28"/>
          <w:szCs w:val="28"/>
        </w:rPr>
        <w:t>6</w:t>
      </w:r>
      <w:r w:rsidRPr="003C1A98">
        <w:rPr>
          <w:rFonts w:ascii="Arial" w:hAnsi="Arial" w:cs="Arial"/>
          <w:sz w:val="28"/>
          <w:szCs w:val="28"/>
        </w:rPr>
        <w:t>]</w:t>
      </w:r>
      <w:r w:rsidRPr="003C1A98">
        <w:rPr>
          <w:rFonts w:ascii="Arial" w:hAnsi="Arial" w:cs="Arial"/>
          <w:sz w:val="28"/>
          <w:szCs w:val="28"/>
        </w:rPr>
        <w:tab/>
        <w:t xml:space="preserve">The contrasting approach of Mr Ayeye was to refer to the amended notice of motion as a basis </w:t>
      </w:r>
      <w:r w:rsidR="009F19BB" w:rsidRPr="003C1A98">
        <w:rPr>
          <w:rFonts w:ascii="Arial" w:hAnsi="Arial" w:cs="Arial"/>
          <w:sz w:val="28"/>
          <w:szCs w:val="28"/>
        </w:rPr>
        <w:t>upon which the application should be dismissed.</w:t>
      </w:r>
      <w:r w:rsidRPr="003C1A98">
        <w:rPr>
          <w:rStyle w:val="FootnoteReference"/>
          <w:rFonts w:ascii="Arial" w:hAnsi="Arial" w:cs="Arial"/>
          <w:sz w:val="28"/>
          <w:szCs w:val="28"/>
        </w:rPr>
        <w:footnoteReference w:id="7"/>
      </w:r>
      <w:r w:rsidRPr="003C1A98">
        <w:rPr>
          <w:rFonts w:ascii="Arial" w:hAnsi="Arial" w:cs="Arial"/>
          <w:sz w:val="28"/>
          <w:szCs w:val="28"/>
        </w:rPr>
        <w:t xml:space="preserve">. The </w:t>
      </w:r>
      <w:r w:rsidR="009F19BB" w:rsidRPr="003C1A98">
        <w:rPr>
          <w:rFonts w:ascii="Arial" w:hAnsi="Arial" w:cs="Arial"/>
          <w:sz w:val="28"/>
          <w:szCs w:val="28"/>
        </w:rPr>
        <w:t xml:space="preserve">proper </w:t>
      </w:r>
      <w:r w:rsidRPr="003C1A98">
        <w:rPr>
          <w:rFonts w:ascii="Arial" w:hAnsi="Arial" w:cs="Arial"/>
          <w:sz w:val="28"/>
          <w:szCs w:val="28"/>
        </w:rPr>
        <w:t>enquiry was whether or not a review ground has been stablished in terms of section 6 of Promotion of Administrative Justice Act 3 of 2000 (PAJA). Once the ground has been established, the court is enjoined with the discretion to determine the just and</w:t>
      </w:r>
      <w:r w:rsidR="009F19BB" w:rsidRPr="003C1A98">
        <w:rPr>
          <w:rFonts w:ascii="Arial" w:hAnsi="Arial" w:cs="Arial"/>
          <w:sz w:val="28"/>
          <w:szCs w:val="28"/>
        </w:rPr>
        <w:t xml:space="preserve"> </w:t>
      </w:r>
      <w:r w:rsidRPr="003C1A98">
        <w:rPr>
          <w:rFonts w:ascii="Arial" w:hAnsi="Arial" w:cs="Arial"/>
          <w:sz w:val="28"/>
          <w:szCs w:val="28"/>
        </w:rPr>
        <w:t xml:space="preserve">equitable remedy. Turning to the distinct prayers in the notice of motion, he pointed out that the applicant was timidly pursuing prayer number 5. The gist of his argument was that the applicant did not make a case in its papers that entitled </w:t>
      </w:r>
      <w:r w:rsidR="009F19BB" w:rsidRPr="003C1A98">
        <w:rPr>
          <w:rFonts w:ascii="Arial" w:hAnsi="Arial" w:cs="Arial"/>
          <w:sz w:val="28"/>
          <w:szCs w:val="28"/>
        </w:rPr>
        <w:t>it</w:t>
      </w:r>
      <w:r w:rsidRPr="003C1A98">
        <w:rPr>
          <w:rFonts w:ascii="Arial" w:hAnsi="Arial" w:cs="Arial"/>
          <w:sz w:val="28"/>
          <w:szCs w:val="28"/>
        </w:rPr>
        <w:t xml:space="preserve"> to be awarded the bid. The case made found its traction on the default position in the event the second and third respondents were removed. </w:t>
      </w:r>
    </w:p>
    <w:p w:rsidR="00184371" w:rsidRPr="003C1A98" w:rsidRDefault="00184371" w:rsidP="00184371">
      <w:pPr>
        <w:spacing w:after="0" w:line="360" w:lineRule="auto"/>
        <w:ind w:left="720" w:hanging="720"/>
        <w:jc w:val="both"/>
        <w:rPr>
          <w:rFonts w:ascii="Arial" w:hAnsi="Arial" w:cs="Arial"/>
          <w:sz w:val="28"/>
          <w:szCs w:val="28"/>
        </w:rPr>
      </w:pPr>
    </w:p>
    <w:p w:rsidR="00184371" w:rsidRPr="003C1A98" w:rsidRDefault="00184371" w:rsidP="00184371">
      <w:pPr>
        <w:spacing w:after="0" w:line="360" w:lineRule="auto"/>
        <w:ind w:left="720" w:hanging="720"/>
        <w:jc w:val="both"/>
        <w:rPr>
          <w:rFonts w:ascii="Arial" w:hAnsi="Arial" w:cs="Arial"/>
          <w:sz w:val="28"/>
          <w:szCs w:val="28"/>
        </w:rPr>
      </w:pPr>
      <w:r w:rsidRPr="003C1A98">
        <w:rPr>
          <w:rFonts w:ascii="Arial" w:hAnsi="Arial" w:cs="Arial"/>
          <w:sz w:val="28"/>
          <w:szCs w:val="28"/>
        </w:rPr>
        <w:t>[1</w:t>
      </w:r>
      <w:r w:rsidR="0063260A" w:rsidRPr="003C1A98">
        <w:rPr>
          <w:rFonts w:ascii="Arial" w:hAnsi="Arial" w:cs="Arial"/>
          <w:sz w:val="28"/>
          <w:szCs w:val="28"/>
        </w:rPr>
        <w:t>7</w:t>
      </w:r>
      <w:r w:rsidRPr="003C1A98">
        <w:rPr>
          <w:rFonts w:ascii="Arial" w:hAnsi="Arial" w:cs="Arial"/>
          <w:sz w:val="28"/>
          <w:szCs w:val="28"/>
        </w:rPr>
        <w:t>]</w:t>
      </w:r>
      <w:r w:rsidRPr="003C1A98">
        <w:rPr>
          <w:rFonts w:ascii="Arial" w:hAnsi="Arial" w:cs="Arial"/>
          <w:sz w:val="28"/>
          <w:szCs w:val="28"/>
        </w:rPr>
        <w:tab/>
        <w:t xml:space="preserve">The reasoning that this argument is fallacious is found on Regulation 21 of the Municipal Supply Chain Regulation. The substitution relief cannot be sustained given its value. He referred to the tender notice and invitation which requires that 30% of the work must be allocated to a local contractor within the municipal area of the first respondent. </w:t>
      </w:r>
      <w:r w:rsidR="004F2519" w:rsidRPr="003C1A98">
        <w:rPr>
          <w:rFonts w:ascii="Arial" w:hAnsi="Arial" w:cs="Arial"/>
          <w:sz w:val="28"/>
          <w:szCs w:val="28"/>
        </w:rPr>
        <w:t>Therefore</w:t>
      </w:r>
      <w:r w:rsidR="004F2519" w:rsidRPr="004F2519">
        <w:rPr>
          <w:rFonts w:ascii="Arial" w:hAnsi="Arial" w:cs="Arial"/>
          <w:color w:val="00B0F0"/>
          <w:sz w:val="28"/>
          <w:szCs w:val="28"/>
        </w:rPr>
        <w:t>,</w:t>
      </w:r>
      <w:r w:rsidRPr="003C1A98">
        <w:rPr>
          <w:rFonts w:ascii="Arial" w:hAnsi="Arial" w:cs="Arial"/>
          <w:sz w:val="28"/>
          <w:szCs w:val="28"/>
        </w:rPr>
        <w:t xml:space="preserve"> there is nothing much left on the works still to be completed by the applicant in the context of the bid.</w:t>
      </w:r>
    </w:p>
    <w:p w:rsidR="00184371" w:rsidRPr="003C1A98" w:rsidRDefault="00184371" w:rsidP="00184371">
      <w:pPr>
        <w:spacing w:after="0" w:line="360" w:lineRule="auto"/>
        <w:ind w:left="720" w:hanging="720"/>
        <w:jc w:val="both"/>
        <w:rPr>
          <w:rFonts w:ascii="Arial" w:hAnsi="Arial" w:cs="Arial"/>
          <w:sz w:val="28"/>
          <w:szCs w:val="28"/>
        </w:rPr>
      </w:pPr>
    </w:p>
    <w:p w:rsidR="00184371" w:rsidRPr="003C1A98" w:rsidRDefault="00184371" w:rsidP="00184371">
      <w:pPr>
        <w:spacing w:after="0" w:line="360" w:lineRule="auto"/>
        <w:ind w:left="720" w:hanging="720"/>
        <w:jc w:val="both"/>
        <w:rPr>
          <w:rFonts w:ascii="Arial" w:hAnsi="Arial" w:cs="Arial"/>
          <w:sz w:val="28"/>
          <w:szCs w:val="28"/>
        </w:rPr>
      </w:pPr>
      <w:r w:rsidRPr="003C1A98">
        <w:rPr>
          <w:rFonts w:ascii="Arial" w:hAnsi="Arial" w:cs="Arial"/>
          <w:sz w:val="28"/>
          <w:szCs w:val="28"/>
        </w:rPr>
        <w:t>[1</w:t>
      </w:r>
      <w:r w:rsidR="0063260A" w:rsidRPr="003C1A98">
        <w:rPr>
          <w:rFonts w:ascii="Arial" w:hAnsi="Arial" w:cs="Arial"/>
          <w:sz w:val="28"/>
          <w:szCs w:val="28"/>
        </w:rPr>
        <w:t>8</w:t>
      </w:r>
      <w:r w:rsidRPr="003C1A98">
        <w:rPr>
          <w:rFonts w:ascii="Arial" w:hAnsi="Arial" w:cs="Arial"/>
          <w:sz w:val="28"/>
          <w:szCs w:val="28"/>
        </w:rPr>
        <w:t>]</w:t>
      </w:r>
      <w:r w:rsidRPr="003C1A98">
        <w:rPr>
          <w:rFonts w:ascii="Arial" w:hAnsi="Arial" w:cs="Arial"/>
          <w:sz w:val="28"/>
          <w:szCs w:val="28"/>
        </w:rPr>
        <w:tab/>
        <w:t xml:space="preserve">Turning to the values set out in the law pertaining to procurement he argued that there is no absolute standard to explain a particular value mentioned in section 217 of the Constitution of the Republic. The joint venture bid was competitive in terms of price. The mere fact of the existence of irregularities does not establish a ground for review. The centrepiece of his argument was that the irregularities referred to must be adjudged to transgress all values not one or two that are suitable to the applicant. </w:t>
      </w:r>
      <w:r w:rsidR="003246D6" w:rsidRPr="003C1A98">
        <w:rPr>
          <w:rFonts w:ascii="Arial" w:hAnsi="Arial" w:cs="Arial"/>
          <w:sz w:val="28"/>
          <w:szCs w:val="28"/>
        </w:rPr>
        <w:t>In essence</w:t>
      </w:r>
      <w:r w:rsidRPr="003C1A98">
        <w:rPr>
          <w:rFonts w:ascii="Arial" w:hAnsi="Arial" w:cs="Arial"/>
          <w:sz w:val="28"/>
          <w:szCs w:val="28"/>
        </w:rPr>
        <w:t xml:space="preserve"> not every slip in the process can be visited by judicial scrutiny and sanction. </w:t>
      </w:r>
    </w:p>
    <w:p w:rsidR="00184371" w:rsidRPr="003C1A98" w:rsidRDefault="00184371" w:rsidP="00184371">
      <w:pPr>
        <w:spacing w:after="0" w:line="360" w:lineRule="auto"/>
        <w:ind w:left="720" w:hanging="720"/>
        <w:jc w:val="both"/>
        <w:rPr>
          <w:rFonts w:ascii="Arial" w:hAnsi="Arial" w:cs="Arial"/>
          <w:sz w:val="28"/>
          <w:szCs w:val="28"/>
        </w:rPr>
      </w:pPr>
    </w:p>
    <w:p w:rsidR="00184371" w:rsidRPr="003C1A98" w:rsidRDefault="00184371" w:rsidP="00184371">
      <w:pPr>
        <w:spacing w:after="0" w:line="360" w:lineRule="auto"/>
        <w:ind w:left="720" w:hanging="720"/>
        <w:jc w:val="both"/>
        <w:rPr>
          <w:rFonts w:ascii="Arial" w:hAnsi="Arial" w:cs="Arial"/>
          <w:sz w:val="28"/>
          <w:szCs w:val="28"/>
        </w:rPr>
      </w:pPr>
      <w:r w:rsidRPr="003C1A98">
        <w:rPr>
          <w:rFonts w:ascii="Arial" w:hAnsi="Arial" w:cs="Arial"/>
          <w:sz w:val="28"/>
          <w:szCs w:val="28"/>
        </w:rPr>
        <w:t>[1</w:t>
      </w:r>
      <w:r w:rsidR="0063260A" w:rsidRPr="003C1A98">
        <w:rPr>
          <w:rFonts w:ascii="Arial" w:hAnsi="Arial" w:cs="Arial"/>
          <w:sz w:val="28"/>
          <w:szCs w:val="28"/>
        </w:rPr>
        <w:t>9</w:t>
      </w:r>
      <w:r w:rsidRPr="003C1A98">
        <w:rPr>
          <w:rFonts w:ascii="Arial" w:hAnsi="Arial" w:cs="Arial"/>
          <w:sz w:val="28"/>
          <w:szCs w:val="28"/>
        </w:rPr>
        <w:t>]</w:t>
      </w:r>
      <w:r w:rsidRPr="003C1A98">
        <w:rPr>
          <w:rFonts w:ascii="Arial" w:hAnsi="Arial" w:cs="Arial"/>
          <w:sz w:val="28"/>
          <w:szCs w:val="28"/>
        </w:rPr>
        <w:tab/>
        <w:t>In answer to more questions from the court, he pointed out that this was not a case where both partners</w:t>
      </w:r>
      <w:r w:rsidR="003246D6" w:rsidRPr="003C1A98">
        <w:rPr>
          <w:rFonts w:ascii="Arial" w:hAnsi="Arial" w:cs="Arial"/>
          <w:sz w:val="28"/>
          <w:szCs w:val="28"/>
        </w:rPr>
        <w:t xml:space="preserve"> of the joint venture</w:t>
      </w:r>
      <w:r w:rsidRPr="003C1A98">
        <w:rPr>
          <w:rFonts w:ascii="Arial" w:hAnsi="Arial" w:cs="Arial"/>
          <w:sz w:val="28"/>
          <w:szCs w:val="28"/>
        </w:rPr>
        <w:t xml:space="preserve"> did not provide the bank rating certificate. In the present matter only one partner mainly the third respondent did not do so. The bank rating certificate of the second respondent was sufficient on its own. On the issue of the company profile, he argued that the BEC did not place much emphasis on it. It was not part of the checklist</w:t>
      </w:r>
      <w:r w:rsidR="003246D6" w:rsidRPr="003C1A98">
        <w:rPr>
          <w:rFonts w:ascii="Arial" w:hAnsi="Arial" w:cs="Arial"/>
          <w:sz w:val="28"/>
          <w:szCs w:val="28"/>
        </w:rPr>
        <w:t xml:space="preserve"> of key documents submitted by bidders</w:t>
      </w:r>
      <w:r w:rsidRPr="003C1A98">
        <w:rPr>
          <w:rFonts w:ascii="Arial" w:hAnsi="Arial" w:cs="Arial"/>
          <w:sz w:val="28"/>
          <w:szCs w:val="28"/>
        </w:rPr>
        <w:t xml:space="preserve">. This information was nothing more than an information provided by the entity concerned about itself. </w:t>
      </w:r>
    </w:p>
    <w:p w:rsidR="00184371" w:rsidRPr="003C1A98" w:rsidRDefault="00184371" w:rsidP="00184371">
      <w:pPr>
        <w:spacing w:after="0" w:line="360" w:lineRule="auto"/>
        <w:ind w:left="720" w:hanging="720"/>
        <w:jc w:val="both"/>
        <w:rPr>
          <w:rFonts w:ascii="Arial" w:hAnsi="Arial" w:cs="Arial"/>
          <w:sz w:val="28"/>
          <w:szCs w:val="28"/>
        </w:rPr>
      </w:pPr>
    </w:p>
    <w:p w:rsidR="00184371" w:rsidRPr="003C1A98" w:rsidRDefault="00184371" w:rsidP="00184371">
      <w:pPr>
        <w:spacing w:after="0" w:line="360" w:lineRule="auto"/>
        <w:ind w:left="720" w:hanging="720"/>
        <w:jc w:val="both"/>
        <w:rPr>
          <w:rFonts w:ascii="Arial" w:hAnsi="Arial" w:cs="Arial"/>
          <w:sz w:val="28"/>
          <w:szCs w:val="28"/>
        </w:rPr>
      </w:pPr>
      <w:r w:rsidRPr="003C1A98">
        <w:rPr>
          <w:rFonts w:ascii="Arial" w:hAnsi="Arial" w:cs="Arial"/>
          <w:sz w:val="28"/>
          <w:szCs w:val="28"/>
        </w:rPr>
        <w:t>[</w:t>
      </w:r>
      <w:r w:rsidR="0063260A" w:rsidRPr="003C1A98">
        <w:rPr>
          <w:rFonts w:ascii="Arial" w:hAnsi="Arial" w:cs="Arial"/>
          <w:sz w:val="28"/>
          <w:szCs w:val="28"/>
        </w:rPr>
        <w:t>20</w:t>
      </w:r>
      <w:r w:rsidRPr="003C1A98">
        <w:rPr>
          <w:rFonts w:ascii="Arial" w:hAnsi="Arial" w:cs="Arial"/>
          <w:sz w:val="28"/>
          <w:szCs w:val="28"/>
        </w:rPr>
        <w:t>]</w:t>
      </w:r>
      <w:r w:rsidRPr="003C1A98">
        <w:rPr>
          <w:rFonts w:ascii="Arial" w:hAnsi="Arial" w:cs="Arial"/>
          <w:sz w:val="28"/>
          <w:szCs w:val="28"/>
        </w:rPr>
        <w:tab/>
        <w:t xml:space="preserve">On the CIDB registration, he readily conceded that the third respondent was not registered. </w:t>
      </w:r>
      <w:r w:rsidR="00605215" w:rsidRPr="003C1A98">
        <w:rPr>
          <w:rFonts w:ascii="Arial" w:hAnsi="Arial" w:cs="Arial"/>
          <w:sz w:val="28"/>
          <w:szCs w:val="28"/>
        </w:rPr>
        <w:t>However,</w:t>
      </w:r>
      <w:r w:rsidRPr="003C1A98">
        <w:rPr>
          <w:rFonts w:ascii="Arial" w:hAnsi="Arial" w:cs="Arial"/>
          <w:sz w:val="28"/>
          <w:szCs w:val="28"/>
        </w:rPr>
        <w:t xml:space="preserve"> the third respondent was not on its own but had partnered with the second respondent who had more than what was required. Another concession was that </w:t>
      </w:r>
      <w:r w:rsidR="00987FE2">
        <w:rPr>
          <w:rFonts w:ascii="Arial" w:hAnsi="Arial" w:cs="Arial"/>
          <w:sz w:val="28"/>
          <w:szCs w:val="28"/>
        </w:rPr>
        <w:t>there</w:t>
      </w:r>
      <w:r w:rsidR="00605215" w:rsidRPr="00987FE2">
        <w:rPr>
          <w:rFonts w:ascii="Arial" w:hAnsi="Arial" w:cs="Arial"/>
          <w:sz w:val="28"/>
          <w:szCs w:val="28"/>
        </w:rPr>
        <w:t xml:space="preserve"> were</w:t>
      </w:r>
      <w:r w:rsidRPr="00987FE2">
        <w:rPr>
          <w:rFonts w:ascii="Arial" w:hAnsi="Arial" w:cs="Arial"/>
          <w:sz w:val="28"/>
          <w:szCs w:val="28"/>
        </w:rPr>
        <w:t xml:space="preserve"> </w:t>
      </w:r>
      <w:r w:rsidRPr="003C1A98">
        <w:rPr>
          <w:rFonts w:ascii="Arial" w:hAnsi="Arial" w:cs="Arial"/>
          <w:sz w:val="28"/>
          <w:szCs w:val="28"/>
        </w:rPr>
        <w:t>conflicting requirements set out in various documents. Notwithstanding these problems, the list of returnable documents was explained in the compulsory site meeting. Therefore, the bid of the applicant was not jeopardised or prejudiced by allowing the third respondent to bid.</w:t>
      </w:r>
    </w:p>
    <w:p w:rsidR="00184371" w:rsidRPr="003C1A98" w:rsidRDefault="00184371" w:rsidP="00184371">
      <w:pPr>
        <w:spacing w:after="0" w:line="360" w:lineRule="auto"/>
        <w:ind w:left="720" w:hanging="720"/>
        <w:jc w:val="both"/>
        <w:rPr>
          <w:rFonts w:ascii="Arial" w:hAnsi="Arial" w:cs="Arial"/>
          <w:sz w:val="28"/>
          <w:szCs w:val="28"/>
        </w:rPr>
      </w:pPr>
    </w:p>
    <w:p w:rsidR="00184371" w:rsidRPr="003C1A98" w:rsidRDefault="00184371" w:rsidP="00184371">
      <w:pPr>
        <w:spacing w:after="0" w:line="360" w:lineRule="auto"/>
        <w:ind w:left="720" w:hanging="720"/>
        <w:jc w:val="both"/>
        <w:rPr>
          <w:rFonts w:ascii="Arial" w:hAnsi="Arial" w:cs="Arial"/>
          <w:sz w:val="28"/>
          <w:szCs w:val="28"/>
        </w:rPr>
      </w:pPr>
      <w:r w:rsidRPr="003C1A98">
        <w:rPr>
          <w:rFonts w:ascii="Arial" w:hAnsi="Arial" w:cs="Arial"/>
          <w:sz w:val="28"/>
          <w:szCs w:val="28"/>
        </w:rPr>
        <w:t>[2</w:t>
      </w:r>
      <w:r w:rsidR="0063260A" w:rsidRPr="003C1A98">
        <w:rPr>
          <w:rFonts w:ascii="Arial" w:hAnsi="Arial" w:cs="Arial"/>
          <w:sz w:val="28"/>
          <w:szCs w:val="28"/>
        </w:rPr>
        <w:t>1</w:t>
      </w:r>
      <w:r w:rsidRPr="003C1A98">
        <w:rPr>
          <w:rFonts w:ascii="Arial" w:hAnsi="Arial" w:cs="Arial"/>
          <w:sz w:val="28"/>
          <w:szCs w:val="28"/>
        </w:rPr>
        <w:t>]</w:t>
      </w:r>
      <w:r w:rsidRPr="003C1A98">
        <w:rPr>
          <w:rFonts w:ascii="Arial" w:hAnsi="Arial" w:cs="Arial"/>
          <w:sz w:val="28"/>
          <w:szCs w:val="28"/>
        </w:rPr>
        <w:tab/>
        <w:t xml:space="preserve">He made light work of the complaint pertaining to the grading level. According to him the bidders simply had to have either or but not both. In order to fortify his point, he referred to the document circulated during the compulsory bid briefing which required that a bid must comply with tender data. Paragraph F.2.1 of the tender data required a bidder to have one not both of the grading level in different categories. He conceded that the first respondent had overlooked the requirements of the second respondent to register in ME class, but it was </w:t>
      </w:r>
      <w:r w:rsidRPr="00987FE2">
        <w:rPr>
          <w:rFonts w:ascii="Arial" w:hAnsi="Arial" w:cs="Arial"/>
          <w:sz w:val="28"/>
          <w:szCs w:val="28"/>
        </w:rPr>
        <w:t>superfluous</w:t>
      </w:r>
      <w:r w:rsidR="00137B3A" w:rsidRPr="00987FE2">
        <w:rPr>
          <w:rFonts w:ascii="Arial" w:hAnsi="Arial" w:cs="Arial"/>
          <w:sz w:val="28"/>
          <w:szCs w:val="28"/>
        </w:rPr>
        <w:t>, so he submitted</w:t>
      </w:r>
      <w:r w:rsidRPr="003C1A98">
        <w:rPr>
          <w:rFonts w:ascii="Arial" w:hAnsi="Arial" w:cs="Arial"/>
          <w:sz w:val="28"/>
          <w:szCs w:val="28"/>
        </w:rPr>
        <w:t>. It did not work to directly prejudice the applicant. Importantly it ha</w:t>
      </w:r>
      <w:r w:rsidR="003246D6" w:rsidRPr="003C1A98">
        <w:rPr>
          <w:rFonts w:ascii="Arial" w:hAnsi="Arial" w:cs="Arial"/>
          <w:sz w:val="28"/>
          <w:szCs w:val="28"/>
        </w:rPr>
        <w:t>d</w:t>
      </w:r>
      <w:r w:rsidRPr="003C1A98">
        <w:rPr>
          <w:rFonts w:ascii="Arial" w:hAnsi="Arial" w:cs="Arial"/>
          <w:sz w:val="28"/>
          <w:szCs w:val="28"/>
        </w:rPr>
        <w:t xml:space="preserve"> the negative effect of excluding joint ventures. He beseeched the court to dismiss the application. In the alternative, should we find for the applicant on prayer 1, taking all circumstances into consideration we should not struck down the service agreement.</w:t>
      </w:r>
    </w:p>
    <w:p w:rsidR="00184371" w:rsidRPr="003C1A98" w:rsidRDefault="00184371" w:rsidP="00184371">
      <w:pPr>
        <w:spacing w:after="0" w:line="360" w:lineRule="auto"/>
        <w:ind w:left="720" w:hanging="720"/>
        <w:jc w:val="both"/>
        <w:rPr>
          <w:rFonts w:ascii="Arial" w:hAnsi="Arial" w:cs="Arial"/>
          <w:sz w:val="28"/>
          <w:szCs w:val="28"/>
        </w:rPr>
      </w:pPr>
    </w:p>
    <w:p w:rsidR="00184371" w:rsidRPr="003C1A98" w:rsidRDefault="00184371" w:rsidP="0063260A">
      <w:pPr>
        <w:spacing w:after="0" w:line="360" w:lineRule="auto"/>
        <w:ind w:left="720"/>
        <w:jc w:val="both"/>
        <w:rPr>
          <w:rFonts w:ascii="Arial" w:hAnsi="Arial" w:cs="Arial"/>
          <w:sz w:val="28"/>
          <w:szCs w:val="28"/>
        </w:rPr>
      </w:pPr>
      <w:r w:rsidRPr="003C1A98">
        <w:rPr>
          <w:rFonts w:ascii="Arial" w:hAnsi="Arial" w:cs="Arial"/>
          <w:b/>
          <w:sz w:val="28"/>
          <w:szCs w:val="28"/>
        </w:rPr>
        <w:t>Discussion</w:t>
      </w:r>
    </w:p>
    <w:p w:rsidR="00184371" w:rsidRPr="003C1A98" w:rsidRDefault="00184371" w:rsidP="00184371">
      <w:pPr>
        <w:spacing w:after="0" w:line="360" w:lineRule="auto"/>
        <w:ind w:left="720" w:hanging="720"/>
        <w:jc w:val="both"/>
        <w:rPr>
          <w:rFonts w:ascii="Arial" w:hAnsi="Arial" w:cs="Arial"/>
          <w:sz w:val="28"/>
          <w:szCs w:val="28"/>
        </w:rPr>
      </w:pPr>
      <w:r w:rsidRPr="003C1A98">
        <w:rPr>
          <w:rFonts w:ascii="Arial" w:hAnsi="Arial" w:cs="Arial"/>
          <w:sz w:val="28"/>
          <w:szCs w:val="28"/>
        </w:rPr>
        <w:t>[2</w:t>
      </w:r>
      <w:r w:rsidR="0063260A" w:rsidRPr="003C1A98">
        <w:rPr>
          <w:rFonts w:ascii="Arial" w:hAnsi="Arial" w:cs="Arial"/>
          <w:sz w:val="28"/>
          <w:szCs w:val="28"/>
        </w:rPr>
        <w:t>2</w:t>
      </w:r>
      <w:r w:rsidRPr="003C1A98">
        <w:rPr>
          <w:rFonts w:ascii="Arial" w:hAnsi="Arial" w:cs="Arial"/>
          <w:sz w:val="28"/>
          <w:szCs w:val="28"/>
        </w:rPr>
        <w:t>]</w:t>
      </w:r>
      <w:r w:rsidRPr="003C1A98">
        <w:rPr>
          <w:rFonts w:ascii="Arial" w:hAnsi="Arial" w:cs="Arial"/>
          <w:sz w:val="28"/>
          <w:szCs w:val="28"/>
        </w:rPr>
        <w:tab/>
        <w:t>The starting point of the discussion in procurement matters</w:t>
      </w:r>
      <w:r w:rsidR="003246D6" w:rsidRPr="003C1A98">
        <w:rPr>
          <w:rFonts w:ascii="Arial" w:hAnsi="Arial" w:cs="Arial"/>
          <w:sz w:val="28"/>
          <w:szCs w:val="28"/>
        </w:rPr>
        <w:t xml:space="preserve"> is</w:t>
      </w:r>
      <w:r w:rsidRPr="003C1A98">
        <w:rPr>
          <w:rFonts w:ascii="Arial" w:hAnsi="Arial" w:cs="Arial"/>
          <w:sz w:val="28"/>
          <w:szCs w:val="28"/>
        </w:rPr>
        <w:t xml:space="preserve"> fixed firmly in s</w:t>
      </w:r>
      <w:r w:rsidR="003246D6" w:rsidRPr="003C1A98">
        <w:rPr>
          <w:rFonts w:ascii="Arial" w:hAnsi="Arial" w:cs="Arial"/>
          <w:sz w:val="28"/>
          <w:szCs w:val="28"/>
        </w:rPr>
        <w:t>ection</w:t>
      </w:r>
      <w:r w:rsidRPr="003C1A98">
        <w:rPr>
          <w:rFonts w:ascii="Arial" w:hAnsi="Arial" w:cs="Arial"/>
          <w:sz w:val="28"/>
          <w:szCs w:val="28"/>
        </w:rPr>
        <w:t xml:space="preserve"> 217 of the Constitution of the Republic of South Africa Act 108 of 1996. Th</w:t>
      </w:r>
      <w:r w:rsidR="003246D6" w:rsidRPr="003C1A98">
        <w:rPr>
          <w:rFonts w:ascii="Arial" w:hAnsi="Arial" w:cs="Arial"/>
          <w:sz w:val="28"/>
          <w:szCs w:val="28"/>
        </w:rPr>
        <w:t>e</w:t>
      </w:r>
      <w:r w:rsidRPr="003C1A98">
        <w:rPr>
          <w:rFonts w:ascii="Arial" w:hAnsi="Arial" w:cs="Arial"/>
          <w:sz w:val="28"/>
          <w:szCs w:val="28"/>
        </w:rPr>
        <w:t xml:space="preserve"> section provides that an organ of state must acquire goods and services in accordance with a system which is fair, equitable, transparent, competitive and cost effective. Flowing from this section is a myriad of other acts, regulations and policies that buttress this point. There is no doubt that any evaluation and adjudication of a bid can only take place when any decision meet these requirements.</w:t>
      </w:r>
      <w:r w:rsidR="003246D6" w:rsidRPr="003C1A98">
        <w:rPr>
          <w:rFonts w:ascii="Arial" w:hAnsi="Arial" w:cs="Arial"/>
          <w:sz w:val="28"/>
          <w:szCs w:val="28"/>
        </w:rPr>
        <w:t xml:space="preserve"> These cardinal values must exist at the same time for the process to be compliant. </w:t>
      </w:r>
      <w:r w:rsidRPr="003C1A98">
        <w:rPr>
          <w:rFonts w:ascii="Arial" w:hAnsi="Arial" w:cs="Arial"/>
          <w:sz w:val="28"/>
          <w:szCs w:val="28"/>
        </w:rPr>
        <w:t>The decision to award a bid is an administrative action</w:t>
      </w:r>
      <w:r w:rsidR="003246D6" w:rsidRPr="003C1A98">
        <w:rPr>
          <w:rFonts w:ascii="Arial" w:hAnsi="Arial" w:cs="Arial"/>
          <w:sz w:val="28"/>
          <w:szCs w:val="28"/>
        </w:rPr>
        <w:t xml:space="preserve"> and</w:t>
      </w:r>
      <w:r w:rsidRPr="003C1A98">
        <w:rPr>
          <w:rFonts w:ascii="Arial" w:hAnsi="Arial" w:cs="Arial"/>
          <w:sz w:val="28"/>
          <w:szCs w:val="28"/>
        </w:rPr>
        <w:t xml:space="preserve"> must comply with the prescripts of the Promotion of Administrative Justice Act 3 of 2000.</w:t>
      </w:r>
    </w:p>
    <w:p w:rsidR="00184371" w:rsidRPr="003C1A98" w:rsidRDefault="00184371" w:rsidP="00184371">
      <w:pPr>
        <w:spacing w:after="0" w:line="360" w:lineRule="auto"/>
        <w:ind w:left="720" w:hanging="720"/>
        <w:jc w:val="both"/>
        <w:rPr>
          <w:rFonts w:ascii="Arial" w:hAnsi="Arial" w:cs="Arial"/>
          <w:sz w:val="24"/>
          <w:szCs w:val="24"/>
        </w:rPr>
      </w:pPr>
      <w:r w:rsidRPr="003C1A98">
        <w:rPr>
          <w:rFonts w:ascii="Arial" w:hAnsi="Arial" w:cs="Arial"/>
          <w:sz w:val="24"/>
          <w:szCs w:val="24"/>
        </w:rPr>
        <w:t xml:space="preserve"> </w:t>
      </w:r>
    </w:p>
    <w:p w:rsidR="0095256F" w:rsidRPr="003C1A98" w:rsidRDefault="005576DD" w:rsidP="0095256F">
      <w:pPr>
        <w:spacing w:after="0" w:line="360" w:lineRule="auto"/>
        <w:ind w:left="720" w:hanging="720"/>
        <w:jc w:val="both"/>
        <w:rPr>
          <w:rFonts w:ascii="Arial" w:hAnsi="Arial" w:cs="Arial"/>
          <w:sz w:val="28"/>
          <w:szCs w:val="28"/>
        </w:rPr>
      </w:pPr>
      <w:r w:rsidRPr="003C1A98">
        <w:rPr>
          <w:rFonts w:ascii="Arial" w:hAnsi="Arial" w:cs="Arial"/>
          <w:sz w:val="28"/>
          <w:szCs w:val="28"/>
        </w:rPr>
        <w:t>[2</w:t>
      </w:r>
      <w:r w:rsidR="0063260A" w:rsidRPr="003C1A98">
        <w:rPr>
          <w:rFonts w:ascii="Arial" w:hAnsi="Arial" w:cs="Arial"/>
          <w:sz w:val="28"/>
          <w:szCs w:val="28"/>
        </w:rPr>
        <w:t>3</w:t>
      </w:r>
      <w:r w:rsidRPr="003C1A98">
        <w:rPr>
          <w:rFonts w:ascii="Arial" w:hAnsi="Arial" w:cs="Arial"/>
          <w:sz w:val="28"/>
          <w:szCs w:val="28"/>
        </w:rPr>
        <w:t>]</w:t>
      </w:r>
      <w:r w:rsidRPr="003C1A98">
        <w:rPr>
          <w:rFonts w:ascii="Arial" w:hAnsi="Arial" w:cs="Arial"/>
          <w:sz w:val="28"/>
          <w:szCs w:val="28"/>
        </w:rPr>
        <w:tab/>
        <w:t>The contentions always centre</w:t>
      </w:r>
      <w:r w:rsidR="0053007A" w:rsidRPr="003C1A98">
        <w:rPr>
          <w:rFonts w:ascii="Arial" w:hAnsi="Arial" w:cs="Arial"/>
          <w:sz w:val="28"/>
          <w:szCs w:val="28"/>
        </w:rPr>
        <w:t>s</w:t>
      </w:r>
      <w:r w:rsidRPr="003C1A98">
        <w:rPr>
          <w:rFonts w:ascii="Arial" w:hAnsi="Arial" w:cs="Arial"/>
          <w:sz w:val="28"/>
          <w:szCs w:val="28"/>
        </w:rPr>
        <w:t xml:space="preserve"> around the interpretation and application of these noble principles to the facts and circumstances on hand. </w:t>
      </w:r>
      <w:r w:rsidR="00AE40D5" w:rsidRPr="003C1A98">
        <w:rPr>
          <w:rFonts w:ascii="Arial" w:hAnsi="Arial" w:cs="Arial"/>
          <w:sz w:val="28"/>
          <w:szCs w:val="28"/>
        </w:rPr>
        <w:t>That is the crux of this matter. It is to the wealth of authorities that this court will turn to in an effort to unlock this difficult conundrum. It must be understood that the courts are not there to legislate or inform broad policy decisions for other spheres of government.</w:t>
      </w:r>
      <w:r w:rsidR="00184371" w:rsidRPr="003C1A98">
        <w:rPr>
          <w:rFonts w:ascii="Arial" w:hAnsi="Arial" w:cs="Arial"/>
          <w:sz w:val="28"/>
          <w:szCs w:val="28"/>
        </w:rPr>
        <w:t xml:space="preserve"> </w:t>
      </w:r>
      <w:r w:rsidR="0095256F" w:rsidRPr="003C1A98">
        <w:rPr>
          <w:rFonts w:ascii="Arial" w:hAnsi="Arial" w:cs="Arial"/>
          <w:sz w:val="28"/>
          <w:szCs w:val="28"/>
        </w:rPr>
        <w:t xml:space="preserve">The returnable documents lie at the heart of the dispute </w:t>
      </w:r>
      <w:r w:rsidR="00184371" w:rsidRPr="003C1A98">
        <w:rPr>
          <w:rFonts w:ascii="Arial" w:hAnsi="Arial" w:cs="Arial"/>
          <w:sz w:val="28"/>
          <w:szCs w:val="28"/>
        </w:rPr>
        <w:t>between the parties</w:t>
      </w:r>
      <w:r w:rsidR="0095256F" w:rsidRPr="003C1A98">
        <w:rPr>
          <w:rFonts w:ascii="Arial" w:hAnsi="Arial" w:cs="Arial"/>
          <w:sz w:val="28"/>
          <w:szCs w:val="28"/>
        </w:rPr>
        <w:t xml:space="preserve">. The matter is not made any easier by the apparent obfuscation created by documents emanating from the first respondent which do not talk to each other </w:t>
      </w:r>
      <w:r w:rsidR="0053007A" w:rsidRPr="003C1A98">
        <w:rPr>
          <w:rFonts w:ascii="Arial" w:hAnsi="Arial" w:cs="Arial"/>
          <w:sz w:val="28"/>
          <w:szCs w:val="28"/>
        </w:rPr>
        <w:t xml:space="preserve">in </w:t>
      </w:r>
      <w:r w:rsidR="00184371" w:rsidRPr="003C1A98">
        <w:rPr>
          <w:rFonts w:ascii="Arial" w:hAnsi="Arial" w:cs="Arial"/>
          <w:sz w:val="28"/>
          <w:szCs w:val="28"/>
        </w:rPr>
        <w:t>material respects</w:t>
      </w:r>
      <w:r w:rsidR="0095256F" w:rsidRPr="003C1A98">
        <w:rPr>
          <w:rFonts w:ascii="Arial" w:hAnsi="Arial" w:cs="Arial"/>
          <w:sz w:val="28"/>
          <w:szCs w:val="28"/>
        </w:rPr>
        <w:t>. At times they seem to be prejudicial</w:t>
      </w:r>
      <w:r w:rsidR="0053007A" w:rsidRPr="003C1A98">
        <w:rPr>
          <w:rFonts w:ascii="Arial" w:hAnsi="Arial" w:cs="Arial"/>
          <w:sz w:val="28"/>
          <w:szCs w:val="28"/>
        </w:rPr>
        <w:t xml:space="preserve"> and onerous to</w:t>
      </w:r>
      <w:r w:rsidR="0095256F" w:rsidRPr="003C1A98">
        <w:rPr>
          <w:rFonts w:ascii="Arial" w:hAnsi="Arial" w:cs="Arial"/>
          <w:sz w:val="28"/>
          <w:szCs w:val="28"/>
        </w:rPr>
        <w:t xml:space="preserve"> a particular category of bidders like the joint venture.</w:t>
      </w:r>
    </w:p>
    <w:p w:rsidR="0095256F" w:rsidRPr="003C1A98" w:rsidRDefault="0095256F" w:rsidP="0095256F">
      <w:pPr>
        <w:spacing w:after="0" w:line="360" w:lineRule="auto"/>
        <w:ind w:left="720" w:hanging="720"/>
        <w:jc w:val="both"/>
        <w:rPr>
          <w:rFonts w:ascii="Arial" w:hAnsi="Arial" w:cs="Arial"/>
          <w:sz w:val="28"/>
          <w:szCs w:val="28"/>
        </w:rPr>
      </w:pPr>
    </w:p>
    <w:p w:rsidR="0095256F" w:rsidRPr="003C1A98" w:rsidRDefault="0095256F" w:rsidP="0095256F">
      <w:pPr>
        <w:spacing w:after="0" w:line="360" w:lineRule="auto"/>
        <w:ind w:left="720" w:hanging="720"/>
        <w:jc w:val="both"/>
        <w:rPr>
          <w:rFonts w:ascii="Arial" w:hAnsi="Arial" w:cs="Arial"/>
          <w:sz w:val="28"/>
          <w:szCs w:val="28"/>
        </w:rPr>
      </w:pPr>
      <w:r w:rsidRPr="003C1A98">
        <w:rPr>
          <w:rFonts w:ascii="Arial" w:hAnsi="Arial" w:cs="Arial"/>
          <w:sz w:val="28"/>
          <w:szCs w:val="28"/>
        </w:rPr>
        <w:t>[24]</w:t>
      </w:r>
      <w:r w:rsidRPr="003C1A98">
        <w:rPr>
          <w:rFonts w:ascii="Arial" w:hAnsi="Arial" w:cs="Arial"/>
          <w:sz w:val="28"/>
          <w:szCs w:val="28"/>
        </w:rPr>
        <w:tab/>
        <w:t xml:space="preserve">The notice and invitation to </w:t>
      </w:r>
      <w:r w:rsidR="0053007A" w:rsidRPr="003C1A98">
        <w:rPr>
          <w:rFonts w:ascii="Arial" w:hAnsi="Arial" w:cs="Arial"/>
          <w:sz w:val="28"/>
          <w:szCs w:val="28"/>
        </w:rPr>
        <w:t>bid</w:t>
      </w:r>
      <w:r w:rsidRPr="003C1A98">
        <w:rPr>
          <w:rFonts w:ascii="Arial" w:hAnsi="Arial" w:cs="Arial"/>
          <w:sz w:val="28"/>
          <w:szCs w:val="28"/>
        </w:rPr>
        <w:t xml:space="preserve"> required bidders to be registered with the CIDB</w:t>
      </w:r>
      <w:r w:rsidR="00070ADB" w:rsidRPr="003C1A98">
        <w:rPr>
          <w:rFonts w:ascii="Arial" w:hAnsi="Arial" w:cs="Arial"/>
          <w:sz w:val="28"/>
          <w:szCs w:val="28"/>
        </w:rPr>
        <w:t xml:space="preserve"> in both Civil Engineering (CE) and Mechanical Engineering (ME) class of Construction Works (Grade 5 CE/ME or higher, 4 CE/ 4 ME PE (Potentially Emerging Contractors) or higher). On the other hand, paragraph 12 (a) of the Notice on </w:t>
      </w:r>
      <w:r w:rsidR="00070ADB" w:rsidRPr="00D5305A">
        <w:rPr>
          <w:rFonts w:ascii="Arial" w:hAnsi="Arial" w:cs="Arial"/>
          <w:sz w:val="28"/>
          <w:szCs w:val="28"/>
        </w:rPr>
        <w:t>Evaluation reads as follows: - “</w:t>
      </w:r>
      <w:r w:rsidR="00D5305A">
        <w:rPr>
          <w:rFonts w:ascii="Arial" w:hAnsi="Arial" w:cs="Arial"/>
          <w:b/>
          <w:sz w:val="28"/>
          <w:szCs w:val="28"/>
        </w:rPr>
        <w:t>F</w:t>
      </w:r>
      <w:r w:rsidR="00070ADB" w:rsidRPr="00D5305A">
        <w:rPr>
          <w:rFonts w:ascii="Arial" w:hAnsi="Arial" w:cs="Arial"/>
          <w:b/>
          <w:sz w:val="28"/>
          <w:szCs w:val="28"/>
        </w:rPr>
        <w:t>ailure to provide written proof of registration with the CIBD, in an appropriate contractor grading designation 4CE / 4ME PE or higher, as required in the bid document</w:t>
      </w:r>
      <w:r w:rsidR="00070ADB" w:rsidRPr="00D5305A">
        <w:rPr>
          <w:rFonts w:ascii="Arial" w:hAnsi="Arial" w:cs="Arial"/>
          <w:sz w:val="28"/>
          <w:szCs w:val="28"/>
        </w:rPr>
        <w:t>”.</w:t>
      </w:r>
      <w:r w:rsidR="00070ADB" w:rsidRPr="003C1A98">
        <w:rPr>
          <w:rFonts w:ascii="Arial" w:hAnsi="Arial" w:cs="Arial"/>
          <w:sz w:val="28"/>
          <w:szCs w:val="28"/>
        </w:rPr>
        <w:t xml:space="preserve"> </w:t>
      </w:r>
      <w:r w:rsidR="0053007A" w:rsidRPr="003C1A98">
        <w:rPr>
          <w:rFonts w:ascii="Arial" w:hAnsi="Arial" w:cs="Arial"/>
          <w:sz w:val="28"/>
          <w:szCs w:val="28"/>
        </w:rPr>
        <w:t>On plain reading of the provision, i</w:t>
      </w:r>
      <w:r w:rsidR="00A22BAC" w:rsidRPr="003C1A98">
        <w:rPr>
          <w:rFonts w:ascii="Arial" w:hAnsi="Arial" w:cs="Arial"/>
          <w:sz w:val="28"/>
          <w:szCs w:val="28"/>
        </w:rPr>
        <w:t xml:space="preserve">t will appear that there </w:t>
      </w:r>
      <w:r w:rsidR="00184371" w:rsidRPr="003C1A98">
        <w:rPr>
          <w:rFonts w:ascii="Arial" w:hAnsi="Arial" w:cs="Arial"/>
          <w:sz w:val="28"/>
          <w:szCs w:val="28"/>
        </w:rPr>
        <w:t>is</w:t>
      </w:r>
      <w:r w:rsidR="00A22BAC" w:rsidRPr="003C1A98">
        <w:rPr>
          <w:rFonts w:ascii="Arial" w:hAnsi="Arial" w:cs="Arial"/>
          <w:sz w:val="28"/>
          <w:szCs w:val="28"/>
        </w:rPr>
        <w:t xml:space="preserve"> no longer</w:t>
      </w:r>
      <w:r w:rsidR="00184371" w:rsidRPr="003C1A98">
        <w:rPr>
          <w:rFonts w:ascii="Arial" w:hAnsi="Arial" w:cs="Arial"/>
          <w:sz w:val="28"/>
          <w:szCs w:val="28"/>
        </w:rPr>
        <w:t xml:space="preserve"> a</w:t>
      </w:r>
      <w:r w:rsidR="00A22BAC" w:rsidRPr="003C1A98">
        <w:rPr>
          <w:rFonts w:ascii="Arial" w:hAnsi="Arial" w:cs="Arial"/>
          <w:sz w:val="28"/>
          <w:szCs w:val="28"/>
        </w:rPr>
        <w:t xml:space="preserve"> requirement for registration in both categories.</w:t>
      </w:r>
    </w:p>
    <w:p w:rsidR="00220AB3" w:rsidRPr="003C1A98" w:rsidRDefault="00220AB3" w:rsidP="0095256F">
      <w:pPr>
        <w:spacing w:after="0" w:line="360" w:lineRule="auto"/>
        <w:ind w:left="720" w:hanging="720"/>
        <w:jc w:val="both"/>
        <w:rPr>
          <w:rFonts w:ascii="Arial" w:hAnsi="Arial" w:cs="Arial"/>
          <w:sz w:val="28"/>
          <w:szCs w:val="28"/>
        </w:rPr>
      </w:pPr>
    </w:p>
    <w:p w:rsidR="00220AB3" w:rsidRPr="003C1A98" w:rsidRDefault="00220AB3" w:rsidP="00220AB3">
      <w:pPr>
        <w:spacing w:after="0" w:line="360" w:lineRule="auto"/>
        <w:ind w:left="720" w:hanging="720"/>
        <w:jc w:val="both"/>
        <w:rPr>
          <w:rFonts w:ascii="Arial" w:hAnsi="Arial" w:cs="Arial"/>
          <w:sz w:val="28"/>
          <w:szCs w:val="28"/>
        </w:rPr>
      </w:pPr>
      <w:r w:rsidRPr="003C1A98">
        <w:rPr>
          <w:rFonts w:ascii="Arial" w:hAnsi="Arial" w:cs="Arial"/>
          <w:sz w:val="28"/>
          <w:szCs w:val="28"/>
        </w:rPr>
        <w:t>[25]</w:t>
      </w:r>
      <w:r w:rsidRPr="003C1A98">
        <w:rPr>
          <w:rFonts w:ascii="Arial" w:hAnsi="Arial" w:cs="Arial"/>
          <w:sz w:val="28"/>
          <w:szCs w:val="28"/>
        </w:rPr>
        <w:tab/>
        <w:t>The battle cry for the applicant is that the first respondent did not comply with its own processes and that should put paid to the opposition of the first respondent.</w:t>
      </w:r>
      <w:r w:rsidR="00A6204C" w:rsidRPr="003C1A98">
        <w:rPr>
          <w:rFonts w:ascii="Arial" w:hAnsi="Arial" w:cs="Arial"/>
          <w:sz w:val="28"/>
          <w:szCs w:val="28"/>
        </w:rPr>
        <w:t xml:space="preserve"> Only strict compliance will be considered to be satisfactory.</w:t>
      </w:r>
      <w:r w:rsidRPr="003C1A98">
        <w:rPr>
          <w:rFonts w:ascii="Arial" w:hAnsi="Arial" w:cs="Arial"/>
          <w:sz w:val="28"/>
          <w:szCs w:val="28"/>
        </w:rPr>
        <w:t xml:space="preserve"> This proposition is reliant on the decision of </w:t>
      </w:r>
      <w:r w:rsidRPr="003C1A98">
        <w:rPr>
          <w:rFonts w:ascii="Arial" w:hAnsi="Arial" w:cs="Arial"/>
          <w:b/>
          <w:sz w:val="28"/>
          <w:szCs w:val="28"/>
        </w:rPr>
        <w:t>Dr J.S. Moroka Municipality and Others v Betram (Pty) Ltd and Another</w:t>
      </w:r>
      <w:r w:rsidRPr="003C1A98">
        <w:rPr>
          <w:rFonts w:ascii="Arial" w:hAnsi="Arial" w:cs="Arial"/>
          <w:sz w:val="28"/>
          <w:szCs w:val="28"/>
        </w:rPr>
        <w:t xml:space="preserve">. In that matter the court held that it was for the applicant (municipality), and not the court, to decide what should be the prerequisite for a valid bid. The failure to comply thereto would result </w:t>
      </w:r>
      <w:r w:rsidR="00A6204C" w:rsidRPr="003C1A98">
        <w:rPr>
          <w:rFonts w:ascii="Arial" w:hAnsi="Arial" w:cs="Arial"/>
          <w:sz w:val="28"/>
          <w:szCs w:val="28"/>
        </w:rPr>
        <w:t xml:space="preserve">in </w:t>
      </w:r>
      <w:r w:rsidRPr="003C1A98">
        <w:rPr>
          <w:rFonts w:ascii="Arial" w:hAnsi="Arial" w:cs="Arial"/>
          <w:sz w:val="28"/>
          <w:szCs w:val="28"/>
        </w:rPr>
        <w:t>a tender being disqualified as an acceptable tender. It seems that the only acceptable excuse will be where the condition(s) is/are immaterial, unreasonable and unconstitutional.</w:t>
      </w:r>
      <w:r w:rsidRPr="003C1A98">
        <w:rPr>
          <w:rStyle w:val="FootnoteReference"/>
          <w:rFonts w:ascii="Arial" w:hAnsi="Arial" w:cs="Arial"/>
          <w:sz w:val="28"/>
          <w:szCs w:val="28"/>
        </w:rPr>
        <w:footnoteReference w:id="8"/>
      </w:r>
    </w:p>
    <w:p w:rsidR="00735ECE" w:rsidRPr="003C1A98" w:rsidRDefault="00735ECE" w:rsidP="00220AB3">
      <w:pPr>
        <w:spacing w:after="0" w:line="360" w:lineRule="auto"/>
        <w:ind w:left="720" w:hanging="720"/>
        <w:jc w:val="both"/>
        <w:rPr>
          <w:rFonts w:ascii="Arial" w:hAnsi="Arial" w:cs="Arial"/>
          <w:sz w:val="28"/>
          <w:szCs w:val="28"/>
        </w:rPr>
      </w:pPr>
    </w:p>
    <w:p w:rsidR="00735ECE" w:rsidRPr="003C1A98" w:rsidRDefault="00735ECE" w:rsidP="00220AB3">
      <w:pPr>
        <w:spacing w:after="0" w:line="360" w:lineRule="auto"/>
        <w:ind w:left="720" w:hanging="720"/>
        <w:jc w:val="both"/>
        <w:rPr>
          <w:rFonts w:ascii="Arial" w:hAnsi="Arial" w:cs="Arial"/>
          <w:sz w:val="28"/>
          <w:szCs w:val="28"/>
        </w:rPr>
      </w:pPr>
      <w:r w:rsidRPr="003C1A98">
        <w:rPr>
          <w:rFonts w:ascii="Arial" w:hAnsi="Arial" w:cs="Arial"/>
          <w:sz w:val="28"/>
          <w:szCs w:val="28"/>
        </w:rPr>
        <w:t>[26]</w:t>
      </w:r>
      <w:r w:rsidRPr="003C1A98">
        <w:rPr>
          <w:rFonts w:ascii="Arial" w:hAnsi="Arial" w:cs="Arial"/>
          <w:sz w:val="28"/>
          <w:szCs w:val="28"/>
        </w:rPr>
        <w:tab/>
        <w:t xml:space="preserve">The decision of Dr J.S. Moroka </w:t>
      </w:r>
      <w:r w:rsidRPr="003C1A98">
        <w:rPr>
          <w:rFonts w:ascii="Arial" w:hAnsi="Arial" w:cs="Arial"/>
          <w:i/>
          <w:sz w:val="28"/>
          <w:szCs w:val="28"/>
        </w:rPr>
        <w:t xml:space="preserve">supra </w:t>
      </w:r>
      <w:r w:rsidRPr="003C1A98">
        <w:rPr>
          <w:rFonts w:ascii="Arial" w:hAnsi="Arial" w:cs="Arial"/>
          <w:sz w:val="28"/>
          <w:szCs w:val="28"/>
        </w:rPr>
        <w:t xml:space="preserve">was predicated on an earlier decision of the same court where Brand JA </w:t>
      </w:r>
      <w:r w:rsidR="0053007A" w:rsidRPr="003C1A98">
        <w:rPr>
          <w:rFonts w:ascii="Arial" w:hAnsi="Arial" w:cs="Arial"/>
          <w:sz w:val="28"/>
          <w:szCs w:val="28"/>
        </w:rPr>
        <w:t xml:space="preserve">in </w:t>
      </w:r>
      <w:r w:rsidR="0053007A" w:rsidRPr="003C1A98">
        <w:rPr>
          <w:rFonts w:ascii="Arial" w:hAnsi="Arial" w:cs="Arial"/>
          <w:i/>
          <w:sz w:val="28"/>
          <w:szCs w:val="28"/>
        </w:rPr>
        <w:t>Minister of Environmental Affairs and Tourism v Pepper Bay Fishing</w:t>
      </w:r>
      <w:r w:rsidR="00985775">
        <w:rPr>
          <w:rStyle w:val="FootnoteReference"/>
          <w:rFonts w:ascii="Arial" w:hAnsi="Arial" w:cs="Arial"/>
          <w:i/>
          <w:sz w:val="28"/>
          <w:szCs w:val="28"/>
        </w:rPr>
        <w:footnoteReference w:id="9"/>
      </w:r>
      <w:r w:rsidR="0053007A" w:rsidRPr="003C1A98">
        <w:rPr>
          <w:rFonts w:ascii="Arial" w:hAnsi="Arial" w:cs="Arial"/>
          <w:i/>
          <w:sz w:val="28"/>
          <w:szCs w:val="28"/>
        </w:rPr>
        <w:t xml:space="preserve"> </w:t>
      </w:r>
      <w:r w:rsidR="00985775">
        <w:rPr>
          <w:rFonts w:ascii="Arial" w:hAnsi="Arial" w:cs="Arial"/>
          <w:sz w:val="28"/>
          <w:szCs w:val="28"/>
        </w:rPr>
        <w:t xml:space="preserve">stated </w:t>
      </w:r>
      <w:r w:rsidR="0053007A" w:rsidRPr="003C1A98">
        <w:rPr>
          <w:rFonts w:ascii="Arial" w:hAnsi="Arial" w:cs="Arial"/>
          <w:sz w:val="28"/>
          <w:szCs w:val="28"/>
        </w:rPr>
        <w:t xml:space="preserve">: </w:t>
      </w:r>
      <w:r w:rsidRPr="003C1A98">
        <w:rPr>
          <w:rFonts w:ascii="Arial" w:hAnsi="Arial" w:cs="Arial"/>
          <w:sz w:val="28"/>
          <w:szCs w:val="28"/>
        </w:rPr>
        <w:t>-</w:t>
      </w:r>
    </w:p>
    <w:p w:rsidR="00735ECE" w:rsidRPr="003C1A98" w:rsidRDefault="00735ECE" w:rsidP="00985820">
      <w:pPr>
        <w:spacing w:after="0" w:line="360" w:lineRule="auto"/>
        <w:ind w:left="1701" w:right="1088"/>
        <w:jc w:val="both"/>
        <w:rPr>
          <w:rFonts w:ascii="Arial" w:hAnsi="Arial" w:cs="Arial"/>
          <w:color w:val="000000"/>
          <w:sz w:val="24"/>
          <w:szCs w:val="24"/>
        </w:rPr>
      </w:pPr>
      <w:r w:rsidRPr="003C1A98">
        <w:rPr>
          <w:rFonts w:ascii="Arial" w:hAnsi="Arial" w:cs="Arial"/>
          <w:sz w:val="24"/>
          <w:szCs w:val="24"/>
        </w:rPr>
        <w:t>“</w:t>
      </w:r>
      <w:r w:rsidR="00DC7FFC" w:rsidRPr="003C1A98">
        <w:rPr>
          <w:rFonts w:ascii="Arial" w:hAnsi="Arial" w:cs="Arial"/>
          <w:color w:val="000000"/>
          <w:sz w:val="24"/>
          <w:szCs w:val="24"/>
        </w:rPr>
        <w:t>As a general principle an administrative authority has no inherent power to condone failure to comply with a peremptory requirement. It only has such power if it has been afforded the discretion to do so</w:t>
      </w:r>
      <w:r w:rsidR="00A6204C" w:rsidRPr="003C1A98">
        <w:rPr>
          <w:rFonts w:ascii="Arial" w:hAnsi="Arial" w:cs="Arial"/>
          <w:color w:val="000000"/>
          <w:sz w:val="24"/>
          <w:szCs w:val="24"/>
        </w:rPr>
        <w:t>.”</w:t>
      </w:r>
    </w:p>
    <w:p w:rsidR="0053007A" w:rsidRPr="003C1A98" w:rsidRDefault="0053007A" w:rsidP="00985820">
      <w:pPr>
        <w:spacing w:after="0" w:line="360" w:lineRule="auto"/>
        <w:ind w:left="1701" w:right="1088"/>
        <w:jc w:val="both"/>
        <w:rPr>
          <w:rFonts w:ascii="Arial" w:hAnsi="Arial" w:cs="Arial"/>
          <w:color w:val="000000"/>
          <w:sz w:val="24"/>
          <w:szCs w:val="24"/>
        </w:rPr>
      </w:pPr>
    </w:p>
    <w:p w:rsidR="00A6204C" w:rsidRPr="003C1A98" w:rsidRDefault="00A6204C" w:rsidP="000851BF">
      <w:pPr>
        <w:spacing w:after="0" w:line="360" w:lineRule="auto"/>
        <w:ind w:left="720"/>
        <w:jc w:val="both"/>
        <w:rPr>
          <w:rFonts w:ascii="Arial" w:hAnsi="Arial" w:cs="Arial"/>
          <w:sz w:val="28"/>
          <w:szCs w:val="28"/>
        </w:rPr>
      </w:pPr>
      <w:r w:rsidRPr="003C1A98">
        <w:rPr>
          <w:rFonts w:ascii="Arial" w:hAnsi="Arial" w:cs="Arial"/>
          <w:color w:val="000000"/>
          <w:sz w:val="28"/>
          <w:szCs w:val="28"/>
        </w:rPr>
        <w:t>The point made pertinent to thi</w:t>
      </w:r>
      <w:r w:rsidR="00A71416" w:rsidRPr="003C1A98">
        <w:rPr>
          <w:rFonts w:ascii="Arial" w:hAnsi="Arial" w:cs="Arial"/>
          <w:color w:val="000000"/>
          <w:sz w:val="28"/>
          <w:szCs w:val="28"/>
        </w:rPr>
        <w:t>s</w:t>
      </w:r>
      <w:r w:rsidRPr="003C1A98">
        <w:rPr>
          <w:rFonts w:ascii="Arial" w:hAnsi="Arial" w:cs="Arial"/>
          <w:color w:val="000000"/>
          <w:sz w:val="28"/>
          <w:szCs w:val="28"/>
        </w:rPr>
        <w:t xml:space="preserve"> matter is that the first respondent on any reading of the bid invitation document did not possess any discretion. </w:t>
      </w:r>
    </w:p>
    <w:p w:rsidR="0095256F" w:rsidRPr="003C1A98" w:rsidRDefault="0095256F" w:rsidP="005576DD">
      <w:pPr>
        <w:spacing w:after="0" w:line="360" w:lineRule="auto"/>
        <w:ind w:left="720" w:hanging="720"/>
        <w:jc w:val="both"/>
        <w:rPr>
          <w:rFonts w:ascii="Arial" w:hAnsi="Arial" w:cs="Arial"/>
          <w:sz w:val="24"/>
          <w:szCs w:val="24"/>
        </w:rPr>
      </w:pPr>
    </w:p>
    <w:p w:rsidR="00985820" w:rsidRPr="003C1A98" w:rsidRDefault="00985820" w:rsidP="00985820">
      <w:pPr>
        <w:spacing w:after="0" w:line="360" w:lineRule="auto"/>
        <w:ind w:left="720" w:hanging="720"/>
        <w:jc w:val="both"/>
        <w:rPr>
          <w:rFonts w:ascii="Arial" w:hAnsi="Arial" w:cs="Arial"/>
          <w:sz w:val="28"/>
          <w:szCs w:val="28"/>
        </w:rPr>
      </w:pPr>
      <w:r w:rsidRPr="003C1A98">
        <w:rPr>
          <w:rFonts w:ascii="Arial" w:hAnsi="Arial" w:cs="Arial"/>
          <w:sz w:val="28"/>
          <w:szCs w:val="28"/>
        </w:rPr>
        <w:t>[27]</w:t>
      </w:r>
      <w:r w:rsidRPr="003C1A98">
        <w:rPr>
          <w:rFonts w:ascii="Arial" w:hAnsi="Arial" w:cs="Arial"/>
          <w:sz w:val="28"/>
          <w:szCs w:val="28"/>
        </w:rPr>
        <w:tab/>
        <w:t xml:space="preserve">The first respondent relies </w:t>
      </w:r>
      <w:r w:rsidRPr="003C1A98">
        <w:rPr>
          <w:rFonts w:ascii="Arial" w:hAnsi="Arial" w:cs="Arial"/>
          <w:i/>
          <w:sz w:val="28"/>
          <w:szCs w:val="28"/>
        </w:rPr>
        <w:t xml:space="preserve">inter alia </w:t>
      </w:r>
      <w:r w:rsidRPr="003C1A98">
        <w:rPr>
          <w:rFonts w:ascii="Arial" w:hAnsi="Arial" w:cs="Arial"/>
          <w:sz w:val="28"/>
          <w:szCs w:val="28"/>
        </w:rPr>
        <w:t xml:space="preserve">on the judgment of the Supreme Court of Appeal in </w:t>
      </w:r>
      <w:r w:rsidRPr="003C1A98">
        <w:rPr>
          <w:rFonts w:ascii="Arial" w:hAnsi="Arial" w:cs="Arial"/>
          <w:b/>
          <w:sz w:val="28"/>
          <w:szCs w:val="28"/>
        </w:rPr>
        <w:t>Millennium Waste Management (Pty) Ltd v Chairperson, Tender Board: Limpopo Province and Others</w:t>
      </w:r>
      <w:r w:rsidRPr="003C1A98">
        <w:rPr>
          <w:rFonts w:ascii="Arial" w:hAnsi="Arial" w:cs="Arial"/>
          <w:sz w:val="28"/>
          <w:szCs w:val="28"/>
        </w:rPr>
        <w:t>. On paragraph 17 the court said the following: -</w:t>
      </w:r>
    </w:p>
    <w:p w:rsidR="00985820" w:rsidRPr="003C1A98" w:rsidRDefault="00985820" w:rsidP="00F11648">
      <w:pPr>
        <w:spacing w:after="0" w:line="360" w:lineRule="auto"/>
        <w:ind w:left="1701" w:right="1088"/>
        <w:jc w:val="both"/>
        <w:rPr>
          <w:rFonts w:ascii="Arial" w:eastAsia="Times New Roman" w:hAnsi="Arial" w:cs="Arial"/>
          <w:color w:val="000000"/>
          <w:sz w:val="24"/>
          <w:szCs w:val="24"/>
          <w:lang w:eastAsia="en-ZA"/>
        </w:rPr>
      </w:pPr>
      <w:r w:rsidRPr="003C1A98">
        <w:rPr>
          <w:rFonts w:ascii="Arial" w:hAnsi="Arial" w:cs="Arial"/>
          <w:sz w:val="24"/>
          <w:szCs w:val="24"/>
        </w:rPr>
        <w:t>“</w:t>
      </w:r>
      <w:r w:rsidR="00F11648" w:rsidRPr="003C1A98">
        <w:rPr>
          <w:rFonts w:ascii="Arial" w:eastAsia="Times New Roman" w:hAnsi="Arial" w:cs="Arial"/>
          <w:color w:val="000000"/>
          <w:sz w:val="24"/>
          <w:szCs w:val="24"/>
          <w:lang w:eastAsia="en-ZA"/>
        </w:rPr>
        <w:t>Moreover, our law permits condonation of non-compliance with peremptory requirements in cases where condonation is not incompatible with public interest and if such condonation is granted by the body in whose benefit the provision was enacted (</w:t>
      </w:r>
      <w:r w:rsidR="00F11648" w:rsidRPr="003C1A98">
        <w:rPr>
          <w:rFonts w:ascii="Arial" w:eastAsia="Times New Roman" w:hAnsi="Arial" w:cs="Arial"/>
          <w:i/>
          <w:iCs/>
          <w:color w:val="000000"/>
          <w:sz w:val="24"/>
          <w:szCs w:val="24"/>
          <w:lang w:eastAsia="en-ZA"/>
        </w:rPr>
        <w:t>SA Eagle Co Ltd v Bavuma</w:t>
      </w:r>
      <w:r w:rsidR="00F11648" w:rsidRPr="003C1A98">
        <w:rPr>
          <w:rFonts w:ascii="Arial" w:eastAsia="Times New Roman" w:hAnsi="Arial" w:cs="Arial"/>
          <w:color w:val="000000"/>
          <w:sz w:val="24"/>
          <w:szCs w:val="24"/>
          <w:lang w:eastAsia="en-ZA"/>
        </w:rPr>
        <w:t>).</w:t>
      </w:r>
      <w:bookmarkStart w:id="4" w:name="0-0-0-86165"/>
      <w:bookmarkEnd w:id="4"/>
      <w:r w:rsidR="00F11648" w:rsidRPr="003C1A98">
        <w:rPr>
          <w:rFonts w:ascii="Arial" w:eastAsia="Times New Roman" w:hAnsi="Arial" w:cs="Arial"/>
          <w:color w:val="808080"/>
          <w:sz w:val="24"/>
          <w:szCs w:val="24"/>
          <w:lang w:eastAsia="en-ZA"/>
        </w:rPr>
        <w:t xml:space="preserve"> </w:t>
      </w:r>
      <w:r w:rsidR="00F11648" w:rsidRPr="003C1A98">
        <w:rPr>
          <w:rFonts w:ascii="Arial" w:eastAsia="Times New Roman" w:hAnsi="Arial" w:cs="Arial"/>
          <w:color w:val="000000"/>
          <w:sz w:val="24"/>
          <w:szCs w:val="24"/>
          <w:lang w:eastAsia="en-ZA"/>
        </w:rPr>
        <w:t>In this case condonation of the appellant's failure to sign would have served the public interest as it would have facilitated competition among the tenderers. By condoning the failure, the tender committee would have promoted the values of fairness, competitiveness and cost-effectiveness which are listed in s 217. The appellant had tendered to provide the needed service at a cost of R444 244</w:t>
      </w:r>
      <w:r w:rsidR="00A71416" w:rsidRPr="003C1A98">
        <w:rPr>
          <w:rFonts w:ascii="Arial" w:eastAsia="Times New Roman" w:hAnsi="Arial" w:cs="Arial"/>
          <w:color w:val="000000"/>
          <w:sz w:val="24"/>
          <w:szCs w:val="24"/>
          <w:lang w:eastAsia="en-ZA"/>
        </w:rPr>
        <w:t>, 43</w:t>
      </w:r>
      <w:r w:rsidR="00F11648" w:rsidRPr="003C1A98">
        <w:rPr>
          <w:rFonts w:ascii="Arial" w:eastAsia="Times New Roman" w:hAnsi="Arial" w:cs="Arial"/>
          <w:color w:val="000000"/>
          <w:sz w:val="24"/>
          <w:szCs w:val="24"/>
          <w:lang w:eastAsia="en-ZA"/>
        </w:rPr>
        <w:t xml:space="preserve"> per month whereas the consortium had quoted and was awarded the tender at the amount of R3 642 257</w:t>
      </w:r>
      <w:r w:rsidR="00A71416" w:rsidRPr="003C1A98">
        <w:rPr>
          <w:rFonts w:ascii="Arial" w:eastAsia="Times New Roman" w:hAnsi="Arial" w:cs="Arial"/>
          <w:color w:val="000000"/>
          <w:sz w:val="24"/>
          <w:szCs w:val="24"/>
          <w:lang w:eastAsia="en-ZA"/>
        </w:rPr>
        <w:t>, 28</w:t>
      </w:r>
      <w:r w:rsidR="00F11648" w:rsidRPr="003C1A98">
        <w:rPr>
          <w:rFonts w:ascii="Arial" w:eastAsia="Times New Roman" w:hAnsi="Arial" w:cs="Arial"/>
          <w:color w:val="000000"/>
          <w:sz w:val="24"/>
          <w:szCs w:val="24"/>
          <w:lang w:eastAsia="en-ZA"/>
        </w:rPr>
        <w:t xml:space="preserve"> per month”.</w:t>
      </w:r>
      <w:r w:rsidR="00F11648" w:rsidRPr="003C1A98">
        <w:rPr>
          <w:rStyle w:val="FootnoteReference"/>
          <w:rFonts w:ascii="Arial" w:eastAsia="Times New Roman" w:hAnsi="Arial" w:cs="Arial"/>
          <w:color w:val="000000"/>
          <w:sz w:val="24"/>
          <w:szCs w:val="24"/>
          <w:lang w:eastAsia="en-ZA"/>
        </w:rPr>
        <w:footnoteReference w:id="10"/>
      </w:r>
    </w:p>
    <w:p w:rsidR="00F37961" w:rsidRPr="003C1A98" w:rsidRDefault="00F37961" w:rsidP="00F11648">
      <w:pPr>
        <w:spacing w:after="0" w:line="360" w:lineRule="auto"/>
        <w:ind w:left="1701" w:right="1088"/>
        <w:jc w:val="both"/>
        <w:rPr>
          <w:rFonts w:ascii="Arial" w:hAnsi="Arial" w:cs="Arial"/>
          <w:sz w:val="24"/>
          <w:szCs w:val="24"/>
        </w:rPr>
      </w:pPr>
    </w:p>
    <w:p w:rsidR="00F11648" w:rsidRPr="003C1A98" w:rsidRDefault="00F11648" w:rsidP="00F11648">
      <w:pPr>
        <w:spacing w:after="0" w:line="360" w:lineRule="auto"/>
        <w:ind w:left="720" w:hanging="720"/>
        <w:jc w:val="both"/>
        <w:rPr>
          <w:rFonts w:ascii="Arial" w:hAnsi="Arial" w:cs="Arial"/>
          <w:sz w:val="28"/>
          <w:szCs w:val="28"/>
        </w:rPr>
      </w:pPr>
      <w:r w:rsidRPr="003C1A98">
        <w:rPr>
          <w:rFonts w:ascii="Arial" w:hAnsi="Arial" w:cs="Arial"/>
          <w:sz w:val="28"/>
          <w:szCs w:val="28"/>
        </w:rPr>
        <w:t>[28]</w:t>
      </w:r>
      <w:r w:rsidRPr="003C1A98">
        <w:rPr>
          <w:rFonts w:ascii="Arial" w:hAnsi="Arial" w:cs="Arial"/>
          <w:sz w:val="28"/>
          <w:szCs w:val="28"/>
        </w:rPr>
        <w:tab/>
      </w:r>
      <w:r w:rsidR="00A6204C" w:rsidRPr="003C1A98">
        <w:rPr>
          <w:rFonts w:ascii="Arial" w:hAnsi="Arial" w:cs="Arial"/>
          <w:sz w:val="28"/>
          <w:szCs w:val="28"/>
        </w:rPr>
        <w:t>The notice</w:t>
      </w:r>
      <w:r w:rsidR="0053007A" w:rsidRPr="003C1A98">
        <w:rPr>
          <w:rFonts w:ascii="Arial" w:hAnsi="Arial" w:cs="Arial"/>
          <w:sz w:val="28"/>
          <w:szCs w:val="28"/>
        </w:rPr>
        <w:t xml:space="preserve"> of</w:t>
      </w:r>
      <w:r w:rsidR="00A6204C" w:rsidRPr="003C1A98">
        <w:rPr>
          <w:rFonts w:ascii="Arial" w:hAnsi="Arial" w:cs="Arial"/>
          <w:sz w:val="28"/>
          <w:szCs w:val="28"/>
        </w:rPr>
        <w:t xml:space="preserve"> evaluation circulated at the meeting is substantively different to the notice and invitation to </w:t>
      </w:r>
      <w:r w:rsidR="0053007A" w:rsidRPr="003C1A98">
        <w:rPr>
          <w:rFonts w:ascii="Arial" w:hAnsi="Arial" w:cs="Arial"/>
          <w:sz w:val="28"/>
          <w:szCs w:val="28"/>
        </w:rPr>
        <w:t>bid</w:t>
      </w:r>
      <w:r w:rsidR="00A6204C" w:rsidRPr="003C1A98">
        <w:rPr>
          <w:rFonts w:ascii="Arial" w:hAnsi="Arial" w:cs="Arial"/>
          <w:sz w:val="28"/>
          <w:szCs w:val="28"/>
        </w:rPr>
        <w:t xml:space="preserve">. </w:t>
      </w:r>
      <w:r w:rsidR="00343F66" w:rsidRPr="003C1A98">
        <w:rPr>
          <w:rFonts w:ascii="Arial" w:hAnsi="Arial" w:cs="Arial"/>
          <w:sz w:val="28"/>
          <w:szCs w:val="28"/>
        </w:rPr>
        <w:t>It seems that during the briefing session the bidders who did not even qualify were told they c</w:t>
      </w:r>
      <w:r w:rsidR="00A6204C" w:rsidRPr="003C1A98">
        <w:rPr>
          <w:rFonts w:ascii="Arial" w:hAnsi="Arial" w:cs="Arial"/>
          <w:sz w:val="28"/>
          <w:szCs w:val="28"/>
        </w:rPr>
        <w:t>ould</w:t>
      </w:r>
      <w:r w:rsidR="00343F66" w:rsidRPr="003C1A98">
        <w:rPr>
          <w:rFonts w:ascii="Arial" w:hAnsi="Arial" w:cs="Arial"/>
          <w:sz w:val="28"/>
          <w:szCs w:val="28"/>
        </w:rPr>
        <w:t xml:space="preserve"> qualify. The question is whether the f</w:t>
      </w:r>
      <w:r w:rsidR="00A6204C" w:rsidRPr="003C1A98">
        <w:rPr>
          <w:rFonts w:ascii="Arial" w:hAnsi="Arial" w:cs="Arial"/>
          <w:sz w:val="28"/>
          <w:szCs w:val="28"/>
        </w:rPr>
        <w:t xml:space="preserve">act that certain </w:t>
      </w:r>
      <w:r w:rsidR="00343F66" w:rsidRPr="003C1A98">
        <w:rPr>
          <w:rFonts w:ascii="Arial" w:hAnsi="Arial" w:cs="Arial"/>
          <w:sz w:val="28"/>
          <w:szCs w:val="28"/>
        </w:rPr>
        <w:t xml:space="preserve">irregularities existed does mean that there is a ground for review. </w:t>
      </w:r>
      <w:r w:rsidR="00D5305A" w:rsidRPr="00D5305A">
        <w:rPr>
          <w:rFonts w:ascii="Arial" w:hAnsi="Arial" w:cs="Arial"/>
          <w:sz w:val="28"/>
          <w:szCs w:val="28"/>
        </w:rPr>
        <w:t>The second</w:t>
      </w:r>
      <w:r w:rsidR="00343F66" w:rsidRPr="00D5305A">
        <w:rPr>
          <w:rFonts w:ascii="Arial" w:hAnsi="Arial" w:cs="Arial"/>
          <w:sz w:val="28"/>
          <w:szCs w:val="28"/>
        </w:rPr>
        <w:t xml:space="preserve"> respondent provided the bank rating certificate which </w:t>
      </w:r>
      <w:r w:rsidR="00A6204C" w:rsidRPr="00D5305A">
        <w:rPr>
          <w:rFonts w:ascii="Arial" w:hAnsi="Arial" w:cs="Arial"/>
          <w:sz w:val="28"/>
          <w:szCs w:val="28"/>
        </w:rPr>
        <w:t xml:space="preserve">if it submitted the bid </w:t>
      </w:r>
      <w:r w:rsidR="00343F66" w:rsidRPr="00D5305A">
        <w:rPr>
          <w:rFonts w:ascii="Arial" w:hAnsi="Arial" w:cs="Arial"/>
          <w:sz w:val="28"/>
          <w:szCs w:val="28"/>
        </w:rPr>
        <w:t>on its own would have been sufficient.</w:t>
      </w:r>
      <w:r w:rsidR="00343F66" w:rsidRPr="003C1A98">
        <w:rPr>
          <w:rFonts w:ascii="Arial" w:hAnsi="Arial" w:cs="Arial"/>
          <w:sz w:val="28"/>
          <w:szCs w:val="28"/>
        </w:rPr>
        <w:t xml:space="preserve"> Therefore, there is no merit in the </w:t>
      </w:r>
      <w:r w:rsidR="00D5305A">
        <w:rPr>
          <w:rFonts w:ascii="Arial" w:hAnsi="Arial" w:cs="Arial"/>
          <w:sz w:val="28"/>
          <w:szCs w:val="28"/>
        </w:rPr>
        <w:t>argument that because the third respondent did not attach the</w:t>
      </w:r>
      <w:r w:rsidR="00343F66" w:rsidRPr="003C1A98">
        <w:rPr>
          <w:rFonts w:ascii="Arial" w:hAnsi="Arial" w:cs="Arial"/>
          <w:sz w:val="28"/>
          <w:szCs w:val="28"/>
        </w:rPr>
        <w:t xml:space="preserve"> bank rating certificate </w:t>
      </w:r>
      <w:r w:rsidR="00A6204C" w:rsidRPr="003C1A98">
        <w:rPr>
          <w:rFonts w:ascii="Arial" w:hAnsi="Arial" w:cs="Arial"/>
          <w:sz w:val="28"/>
          <w:szCs w:val="28"/>
        </w:rPr>
        <w:t xml:space="preserve">it </w:t>
      </w:r>
      <w:r w:rsidR="00343F66" w:rsidRPr="003C1A98">
        <w:rPr>
          <w:rFonts w:ascii="Arial" w:hAnsi="Arial" w:cs="Arial"/>
          <w:sz w:val="28"/>
          <w:szCs w:val="28"/>
        </w:rPr>
        <w:t>is fatal to the</w:t>
      </w:r>
      <w:r w:rsidR="00D5305A">
        <w:rPr>
          <w:rFonts w:ascii="Arial" w:hAnsi="Arial" w:cs="Arial"/>
          <w:sz w:val="28"/>
          <w:szCs w:val="28"/>
        </w:rPr>
        <w:t xml:space="preserve"> joint</w:t>
      </w:r>
      <w:r w:rsidR="00343F66" w:rsidRPr="003C1A98">
        <w:rPr>
          <w:rFonts w:ascii="Arial" w:hAnsi="Arial" w:cs="Arial"/>
          <w:sz w:val="28"/>
          <w:szCs w:val="28"/>
        </w:rPr>
        <w:t xml:space="preserve"> bid</w:t>
      </w:r>
      <w:r w:rsidR="00D5305A">
        <w:rPr>
          <w:rFonts w:ascii="Arial" w:hAnsi="Arial" w:cs="Arial"/>
          <w:sz w:val="28"/>
          <w:szCs w:val="28"/>
        </w:rPr>
        <w:t>.</w:t>
      </w:r>
    </w:p>
    <w:p w:rsidR="00BF7568" w:rsidRPr="003C1A98" w:rsidRDefault="00BF7568" w:rsidP="00F11648">
      <w:pPr>
        <w:spacing w:after="0" w:line="360" w:lineRule="auto"/>
        <w:ind w:left="720" w:hanging="720"/>
        <w:jc w:val="both"/>
        <w:rPr>
          <w:rFonts w:ascii="Arial" w:hAnsi="Arial" w:cs="Arial"/>
          <w:sz w:val="28"/>
          <w:szCs w:val="28"/>
        </w:rPr>
      </w:pPr>
    </w:p>
    <w:p w:rsidR="00BF7568" w:rsidRPr="003C1A98" w:rsidRDefault="00BF7568" w:rsidP="00BF7568">
      <w:pPr>
        <w:spacing w:after="0" w:line="360" w:lineRule="auto"/>
        <w:ind w:left="720" w:hanging="720"/>
        <w:jc w:val="both"/>
        <w:rPr>
          <w:rFonts w:ascii="Arial" w:hAnsi="Arial" w:cs="Arial"/>
          <w:sz w:val="28"/>
          <w:szCs w:val="28"/>
        </w:rPr>
      </w:pPr>
      <w:r w:rsidRPr="003C1A98">
        <w:rPr>
          <w:rFonts w:ascii="Arial" w:hAnsi="Arial" w:cs="Arial"/>
          <w:sz w:val="28"/>
          <w:szCs w:val="28"/>
        </w:rPr>
        <w:t>[29]</w:t>
      </w:r>
      <w:r w:rsidRPr="003C1A98">
        <w:rPr>
          <w:rFonts w:ascii="Arial" w:hAnsi="Arial" w:cs="Arial"/>
          <w:sz w:val="28"/>
          <w:szCs w:val="28"/>
        </w:rPr>
        <w:tab/>
        <w:t xml:space="preserve">Obviously the purpose of the returnable documents must be assessed in context. The importance of the bank rating certificate is to establish the financial muscle of the bidder to complete the work. This is clearly demonstrable in the bank rating certificate provided by the </w:t>
      </w:r>
      <w:r w:rsidR="00A6204C" w:rsidRPr="003C1A98">
        <w:rPr>
          <w:rFonts w:ascii="Arial" w:hAnsi="Arial" w:cs="Arial"/>
          <w:sz w:val="28"/>
          <w:szCs w:val="28"/>
        </w:rPr>
        <w:t>third</w:t>
      </w:r>
      <w:r w:rsidRPr="003C1A98">
        <w:rPr>
          <w:rFonts w:ascii="Arial" w:hAnsi="Arial" w:cs="Arial"/>
          <w:sz w:val="28"/>
          <w:szCs w:val="28"/>
        </w:rPr>
        <w:t xml:space="preserve"> respondent. This is distinguishable from a situation where </w:t>
      </w:r>
      <w:r w:rsidR="00A6204C" w:rsidRPr="003C1A98">
        <w:rPr>
          <w:rFonts w:ascii="Arial" w:hAnsi="Arial" w:cs="Arial"/>
          <w:sz w:val="28"/>
          <w:szCs w:val="28"/>
        </w:rPr>
        <w:t>both</w:t>
      </w:r>
      <w:r w:rsidR="00EF1031" w:rsidRPr="003C1A98">
        <w:rPr>
          <w:rFonts w:ascii="Arial" w:hAnsi="Arial" w:cs="Arial"/>
          <w:sz w:val="28"/>
          <w:szCs w:val="28"/>
        </w:rPr>
        <w:t xml:space="preserve"> partners</w:t>
      </w:r>
      <w:r w:rsidRPr="003C1A98">
        <w:rPr>
          <w:rFonts w:ascii="Arial" w:hAnsi="Arial" w:cs="Arial"/>
          <w:sz w:val="28"/>
          <w:szCs w:val="28"/>
        </w:rPr>
        <w:t xml:space="preserve"> of the joint venture </w:t>
      </w:r>
      <w:r w:rsidR="00EF1031" w:rsidRPr="003C1A98">
        <w:rPr>
          <w:rFonts w:ascii="Arial" w:hAnsi="Arial" w:cs="Arial"/>
          <w:sz w:val="28"/>
          <w:szCs w:val="28"/>
        </w:rPr>
        <w:t>failed to</w:t>
      </w:r>
      <w:r w:rsidRPr="003C1A98">
        <w:rPr>
          <w:rFonts w:ascii="Arial" w:hAnsi="Arial" w:cs="Arial"/>
          <w:sz w:val="28"/>
          <w:szCs w:val="28"/>
        </w:rPr>
        <w:t xml:space="preserve"> </w:t>
      </w:r>
      <w:r w:rsidR="00EF1031" w:rsidRPr="003C1A98">
        <w:rPr>
          <w:rFonts w:ascii="Arial" w:hAnsi="Arial" w:cs="Arial"/>
          <w:sz w:val="28"/>
          <w:szCs w:val="28"/>
        </w:rPr>
        <w:t>provide</w:t>
      </w:r>
      <w:r w:rsidRPr="003C1A98">
        <w:rPr>
          <w:rFonts w:ascii="Arial" w:hAnsi="Arial" w:cs="Arial"/>
          <w:sz w:val="28"/>
          <w:szCs w:val="28"/>
        </w:rPr>
        <w:t xml:space="preserve"> the same. That the second respondent has not provided the bank rating certificate is immaterial in the bigger of scheme of things. The court takes the view that substantial compliance with the returnable documents was achieved on this aspect.</w:t>
      </w:r>
    </w:p>
    <w:p w:rsidR="00BF7568" w:rsidRPr="003C1A98" w:rsidRDefault="00BF7568" w:rsidP="00BF7568">
      <w:pPr>
        <w:spacing w:after="0" w:line="360" w:lineRule="auto"/>
        <w:ind w:left="720" w:hanging="720"/>
        <w:jc w:val="both"/>
        <w:rPr>
          <w:rFonts w:ascii="Arial" w:hAnsi="Arial" w:cs="Arial"/>
          <w:sz w:val="28"/>
          <w:szCs w:val="28"/>
        </w:rPr>
      </w:pPr>
    </w:p>
    <w:p w:rsidR="00BF7568" w:rsidRPr="003C1A98" w:rsidRDefault="00BF7568" w:rsidP="00BF7568">
      <w:pPr>
        <w:spacing w:after="0" w:line="360" w:lineRule="auto"/>
        <w:ind w:left="720" w:hanging="720"/>
        <w:jc w:val="both"/>
        <w:rPr>
          <w:rFonts w:ascii="Arial" w:hAnsi="Arial" w:cs="Arial"/>
          <w:sz w:val="28"/>
          <w:szCs w:val="28"/>
        </w:rPr>
      </w:pPr>
      <w:r w:rsidRPr="003C1A98">
        <w:rPr>
          <w:rFonts w:ascii="Arial" w:hAnsi="Arial" w:cs="Arial"/>
          <w:sz w:val="28"/>
          <w:szCs w:val="28"/>
        </w:rPr>
        <w:t>[30]</w:t>
      </w:r>
      <w:r w:rsidRPr="003C1A98">
        <w:rPr>
          <w:rFonts w:ascii="Arial" w:hAnsi="Arial" w:cs="Arial"/>
          <w:sz w:val="28"/>
          <w:szCs w:val="28"/>
        </w:rPr>
        <w:tab/>
        <w:t xml:space="preserve">The failure to </w:t>
      </w:r>
      <w:r w:rsidR="00F661E9" w:rsidRPr="003C1A98">
        <w:rPr>
          <w:rFonts w:ascii="Arial" w:hAnsi="Arial" w:cs="Arial"/>
          <w:sz w:val="28"/>
          <w:szCs w:val="28"/>
        </w:rPr>
        <w:t xml:space="preserve">annex a </w:t>
      </w:r>
      <w:r w:rsidR="000367FC" w:rsidRPr="003C1A98">
        <w:rPr>
          <w:rFonts w:ascii="Arial" w:hAnsi="Arial" w:cs="Arial"/>
          <w:sz w:val="28"/>
          <w:szCs w:val="28"/>
        </w:rPr>
        <w:t xml:space="preserve">company profile does not take the matter </w:t>
      </w:r>
      <w:r w:rsidR="00A6204C" w:rsidRPr="003C1A98">
        <w:rPr>
          <w:rFonts w:ascii="Arial" w:hAnsi="Arial" w:cs="Arial"/>
          <w:sz w:val="28"/>
          <w:szCs w:val="28"/>
        </w:rPr>
        <w:t xml:space="preserve">on behalf of the applicant </w:t>
      </w:r>
      <w:r w:rsidR="000367FC" w:rsidRPr="003C1A98">
        <w:rPr>
          <w:rFonts w:ascii="Arial" w:hAnsi="Arial" w:cs="Arial"/>
          <w:sz w:val="28"/>
          <w:szCs w:val="28"/>
        </w:rPr>
        <w:t>any further</w:t>
      </w:r>
      <w:r w:rsidR="00A6204C" w:rsidRPr="003C1A98">
        <w:rPr>
          <w:rFonts w:ascii="Arial" w:hAnsi="Arial" w:cs="Arial"/>
          <w:sz w:val="28"/>
          <w:szCs w:val="28"/>
        </w:rPr>
        <w:t xml:space="preserve"> either</w:t>
      </w:r>
      <w:r w:rsidR="000367FC" w:rsidRPr="003C1A98">
        <w:rPr>
          <w:rFonts w:ascii="Arial" w:hAnsi="Arial" w:cs="Arial"/>
          <w:sz w:val="28"/>
          <w:szCs w:val="28"/>
        </w:rPr>
        <w:t>. The court agrees with counsel for the first respondent that this is the document that an entity presents it</w:t>
      </w:r>
      <w:r w:rsidR="0063260A" w:rsidRPr="003C1A98">
        <w:rPr>
          <w:rFonts w:ascii="Arial" w:hAnsi="Arial" w:cs="Arial"/>
          <w:sz w:val="28"/>
          <w:szCs w:val="28"/>
        </w:rPr>
        <w:t>self</w:t>
      </w:r>
      <w:r w:rsidR="000367FC" w:rsidRPr="003C1A98">
        <w:rPr>
          <w:rFonts w:ascii="Arial" w:hAnsi="Arial" w:cs="Arial"/>
          <w:sz w:val="28"/>
          <w:szCs w:val="28"/>
        </w:rPr>
        <w:t xml:space="preserve"> to </w:t>
      </w:r>
      <w:r w:rsidR="0063260A" w:rsidRPr="003C1A98">
        <w:rPr>
          <w:rFonts w:ascii="Arial" w:hAnsi="Arial" w:cs="Arial"/>
          <w:sz w:val="28"/>
          <w:szCs w:val="28"/>
        </w:rPr>
        <w:t xml:space="preserve">the </w:t>
      </w:r>
      <w:r w:rsidR="000367FC" w:rsidRPr="003C1A98">
        <w:rPr>
          <w:rFonts w:ascii="Arial" w:hAnsi="Arial" w:cs="Arial"/>
          <w:sz w:val="28"/>
          <w:szCs w:val="28"/>
        </w:rPr>
        <w:t>public primarily for marketing purposes. Most of what is required without which</w:t>
      </w:r>
      <w:r w:rsidR="00EF6D7D" w:rsidRPr="003C1A98">
        <w:rPr>
          <w:rFonts w:ascii="Arial" w:hAnsi="Arial" w:cs="Arial"/>
          <w:sz w:val="28"/>
          <w:szCs w:val="28"/>
        </w:rPr>
        <w:t xml:space="preserve"> a proper</w:t>
      </w:r>
      <w:r w:rsidR="000367FC" w:rsidRPr="003C1A98">
        <w:rPr>
          <w:rFonts w:ascii="Arial" w:hAnsi="Arial" w:cs="Arial"/>
          <w:sz w:val="28"/>
          <w:szCs w:val="28"/>
        </w:rPr>
        <w:t xml:space="preserve"> assessment of a bid</w:t>
      </w:r>
      <w:r w:rsidR="00EF6D7D" w:rsidRPr="003C1A98">
        <w:rPr>
          <w:rFonts w:ascii="Arial" w:hAnsi="Arial" w:cs="Arial"/>
          <w:sz w:val="28"/>
          <w:szCs w:val="28"/>
        </w:rPr>
        <w:t xml:space="preserve"> cannot take place are already provided in other returnable documents. A curious observation about the crucial importance of this document</w:t>
      </w:r>
      <w:r w:rsidR="00A6204C" w:rsidRPr="003C1A98">
        <w:rPr>
          <w:rFonts w:ascii="Arial" w:hAnsi="Arial" w:cs="Arial"/>
          <w:sz w:val="28"/>
          <w:szCs w:val="28"/>
        </w:rPr>
        <w:t xml:space="preserve"> </w:t>
      </w:r>
      <w:r w:rsidR="00EF1031" w:rsidRPr="003C1A98">
        <w:rPr>
          <w:rFonts w:ascii="Arial" w:hAnsi="Arial" w:cs="Arial"/>
          <w:sz w:val="28"/>
          <w:szCs w:val="28"/>
        </w:rPr>
        <w:t>(</w:t>
      </w:r>
      <w:r w:rsidR="00A6204C" w:rsidRPr="003C1A98">
        <w:rPr>
          <w:rFonts w:ascii="Arial" w:hAnsi="Arial" w:cs="Arial"/>
          <w:sz w:val="28"/>
          <w:szCs w:val="28"/>
        </w:rPr>
        <w:t>if any</w:t>
      </w:r>
      <w:r w:rsidR="00EF1031" w:rsidRPr="003C1A98">
        <w:rPr>
          <w:rFonts w:ascii="Arial" w:hAnsi="Arial" w:cs="Arial"/>
          <w:sz w:val="28"/>
          <w:szCs w:val="28"/>
        </w:rPr>
        <w:t>)</w:t>
      </w:r>
      <w:r w:rsidR="00EF6D7D" w:rsidRPr="003C1A98">
        <w:rPr>
          <w:rFonts w:ascii="Arial" w:hAnsi="Arial" w:cs="Arial"/>
          <w:sz w:val="28"/>
          <w:szCs w:val="28"/>
        </w:rPr>
        <w:t xml:space="preserve"> can be found in the report compiled by </w:t>
      </w:r>
      <w:r w:rsidR="00EF1031" w:rsidRPr="003C1A98">
        <w:rPr>
          <w:rFonts w:ascii="Arial" w:hAnsi="Arial" w:cs="Arial"/>
          <w:sz w:val="28"/>
          <w:szCs w:val="28"/>
        </w:rPr>
        <w:t xml:space="preserve">the </w:t>
      </w:r>
      <w:r w:rsidR="00EF6D7D" w:rsidRPr="003C1A98">
        <w:rPr>
          <w:rFonts w:ascii="Arial" w:hAnsi="Arial" w:cs="Arial"/>
          <w:sz w:val="28"/>
          <w:szCs w:val="28"/>
        </w:rPr>
        <w:t xml:space="preserve">Supply Chain Management (SCM) practitioner on the closing ceremony of tenders. It was not among the </w:t>
      </w:r>
      <w:r w:rsidR="00D02792" w:rsidRPr="003C1A98">
        <w:rPr>
          <w:rFonts w:ascii="Arial" w:hAnsi="Arial" w:cs="Arial"/>
          <w:sz w:val="28"/>
          <w:szCs w:val="28"/>
        </w:rPr>
        <w:t xml:space="preserve">list of </w:t>
      </w:r>
      <w:r w:rsidR="00EF6D7D" w:rsidRPr="003C1A98">
        <w:rPr>
          <w:rFonts w:ascii="Arial" w:hAnsi="Arial" w:cs="Arial"/>
          <w:sz w:val="28"/>
          <w:szCs w:val="28"/>
        </w:rPr>
        <w:t>documents which were considered for all bidders</w:t>
      </w:r>
      <w:r w:rsidR="00D02792" w:rsidRPr="003C1A98">
        <w:rPr>
          <w:rFonts w:ascii="Arial" w:hAnsi="Arial" w:cs="Arial"/>
          <w:sz w:val="28"/>
          <w:szCs w:val="28"/>
        </w:rPr>
        <w:t xml:space="preserve"> to determine the responsiveness of any bid by bidders</w:t>
      </w:r>
      <w:r w:rsidR="00EF6D7D" w:rsidRPr="003C1A98">
        <w:rPr>
          <w:rFonts w:ascii="Arial" w:hAnsi="Arial" w:cs="Arial"/>
          <w:sz w:val="28"/>
          <w:szCs w:val="28"/>
        </w:rPr>
        <w:t>. On the papers before us, it cannot be said to have played any role to advantage or disadvantage any bidder.</w:t>
      </w:r>
    </w:p>
    <w:p w:rsidR="00EF6D7D" w:rsidRPr="003C1A98" w:rsidRDefault="00EF6D7D" w:rsidP="00BF7568">
      <w:pPr>
        <w:spacing w:after="0" w:line="360" w:lineRule="auto"/>
        <w:ind w:left="720" w:hanging="720"/>
        <w:jc w:val="both"/>
        <w:rPr>
          <w:rFonts w:ascii="Arial" w:hAnsi="Arial" w:cs="Arial"/>
          <w:sz w:val="28"/>
          <w:szCs w:val="28"/>
        </w:rPr>
      </w:pPr>
    </w:p>
    <w:p w:rsidR="00EF6D7D" w:rsidRPr="003C1A98" w:rsidRDefault="00EF6D7D" w:rsidP="00BF7568">
      <w:pPr>
        <w:spacing w:after="0" w:line="360" w:lineRule="auto"/>
        <w:ind w:left="720" w:hanging="720"/>
        <w:jc w:val="both"/>
        <w:rPr>
          <w:rFonts w:ascii="Arial" w:hAnsi="Arial" w:cs="Arial"/>
          <w:sz w:val="28"/>
          <w:szCs w:val="28"/>
        </w:rPr>
      </w:pPr>
      <w:r w:rsidRPr="003C1A98">
        <w:rPr>
          <w:rFonts w:ascii="Arial" w:hAnsi="Arial" w:cs="Arial"/>
          <w:sz w:val="28"/>
          <w:szCs w:val="28"/>
        </w:rPr>
        <w:t>[31]</w:t>
      </w:r>
      <w:r w:rsidRPr="003C1A98">
        <w:rPr>
          <w:rFonts w:ascii="Arial" w:hAnsi="Arial" w:cs="Arial"/>
          <w:sz w:val="28"/>
          <w:szCs w:val="28"/>
        </w:rPr>
        <w:tab/>
        <w:t xml:space="preserve">Then there is an issue of the </w:t>
      </w:r>
      <w:r w:rsidR="00863F05" w:rsidRPr="003C1A98">
        <w:rPr>
          <w:rFonts w:ascii="Arial" w:hAnsi="Arial" w:cs="Arial"/>
          <w:sz w:val="28"/>
          <w:szCs w:val="28"/>
        </w:rPr>
        <w:t>registration with CIBD grading requirements. The lead partner in the joint venture more than qualify as per the requirements. The case for the applicant may be predicated on the confusion created by documents that do not tally with each other. Clearly the tender data require a grading designation of 4CE or 4ME PE or higher. This defeat the argument of the applicant that what was required was either CE and ME. The applicant cannot succeed on this point.</w:t>
      </w:r>
    </w:p>
    <w:p w:rsidR="00863F05" w:rsidRPr="003C1A98" w:rsidRDefault="00863F05" w:rsidP="00BF7568">
      <w:pPr>
        <w:spacing w:after="0" w:line="360" w:lineRule="auto"/>
        <w:ind w:left="720" w:hanging="720"/>
        <w:jc w:val="both"/>
        <w:rPr>
          <w:rFonts w:ascii="Arial" w:hAnsi="Arial" w:cs="Arial"/>
          <w:sz w:val="28"/>
          <w:szCs w:val="28"/>
        </w:rPr>
      </w:pPr>
    </w:p>
    <w:p w:rsidR="00EF1031" w:rsidRPr="003C1A98" w:rsidRDefault="00863F05" w:rsidP="00F11648">
      <w:pPr>
        <w:spacing w:after="0" w:line="360" w:lineRule="auto"/>
        <w:ind w:left="720" w:hanging="720"/>
        <w:jc w:val="both"/>
        <w:rPr>
          <w:rFonts w:ascii="Arial" w:hAnsi="Arial" w:cs="Arial"/>
          <w:sz w:val="28"/>
          <w:szCs w:val="28"/>
        </w:rPr>
      </w:pPr>
      <w:r w:rsidRPr="003C1A98">
        <w:rPr>
          <w:rFonts w:ascii="Arial" w:hAnsi="Arial" w:cs="Arial"/>
          <w:sz w:val="28"/>
          <w:szCs w:val="28"/>
        </w:rPr>
        <w:t>[32]</w:t>
      </w:r>
      <w:r w:rsidR="00EF1031" w:rsidRPr="003C1A98">
        <w:rPr>
          <w:rFonts w:ascii="Arial" w:hAnsi="Arial" w:cs="Arial"/>
          <w:sz w:val="28"/>
          <w:szCs w:val="28"/>
        </w:rPr>
        <w:tab/>
        <w:t xml:space="preserve">The preceding point is also reliant on the report authored by the Consulting Engineers. The copy attached to the founding papers is unsigned and does not appear to be an official document. There is no confirmatory affidavit about its status or the weight to be attached to its contents. The only point made is that it found its way into the papers because the first respondent made it available to the applicant. Nevertheless, counsel for the applicant correctly conceded that it is not his assertion that it is an official document. What remains then is what is its role in the appointment or non-appointment of any bidder. Seemingly none and therefore the applicant cannot succeed on the strength of this point.   </w:t>
      </w:r>
      <w:r w:rsidRPr="003C1A98">
        <w:rPr>
          <w:rFonts w:ascii="Arial" w:hAnsi="Arial" w:cs="Arial"/>
          <w:sz w:val="28"/>
          <w:szCs w:val="28"/>
        </w:rPr>
        <w:tab/>
      </w:r>
    </w:p>
    <w:p w:rsidR="00EF1031" w:rsidRPr="003C1A98" w:rsidRDefault="00EF1031" w:rsidP="00F11648">
      <w:pPr>
        <w:spacing w:after="0" w:line="360" w:lineRule="auto"/>
        <w:ind w:left="720" w:hanging="720"/>
        <w:jc w:val="both"/>
        <w:rPr>
          <w:rFonts w:ascii="Arial" w:hAnsi="Arial" w:cs="Arial"/>
          <w:sz w:val="28"/>
          <w:szCs w:val="28"/>
        </w:rPr>
      </w:pPr>
    </w:p>
    <w:p w:rsidR="00EF1031" w:rsidRPr="003C1A98" w:rsidRDefault="00EF1031" w:rsidP="00F11648">
      <w:pPr>
        <w:spacing w:after="0" w:line="360" w:lineRule="auto"/>
        <w:ind w:left="720" w:hanging="720"/>
        <w:jc w:val="both"/>
        <w:rPr>
          <w:rFonts w:ascii="Arial" w:hAnsi="Arial" w:cs="Arial"/>
          <w:sz w:val="28"/>
          <w:szCs w:val="28"/>
        </w:rPr>
      </w:pPr>
    </w:p>
    <w:p w:rsidR="00F11648" w:rsidRPr="003C1A98" w:rsidRDefault="00EF1031" w:rsidP="00F11648">
      <w:pPr>
        <w:spacing w:after="0" w:line="360" w:lineRule="auto"/>
        <w:ind w:left="720" w:hanging="720"/>
        <w:jc w:val="both"/>
        <w:rPr>
          <w:rFonts w:ascii="Arial" w:hAnsi="Arial" w:cs="Arial"/>
          <w:sz w:val="28"/>
          <w:szCs w:val="28"/>
        </w:rPr>
      </w:pPr>
      <w:r w:rsidRPr="003C1A98">
        <w:rPr>
          <w:rFonts w:ascii="Arial" w:hAnsi="Arial" w:cs="Arial"/>
          <w:sz w:val="28"/>
          <w:szCs w:val="28"/>
        </w:rPr>
        <w:t>[33]</w:t>
      </w:r>
      <w:r w:rsidRPr="003C1A98">
        <w:rPr>
          <w:rFonts w:ascii="Arial" w:hAnsi="Arial" w:cs="Arial"/>
          <w:sz w:val="28"/>
          <w:szCs w:val="28"/>
        </w:rPr>
        <w:tab/>
      </w:r>
      <w:r w:rsidR="00863F05" w:rsidRPr="003C1A98">
        <w:rPr>
          <w:rFonts w:ascii="Arial" w:hAnsi="Arial" w:cs="Arial"/>
          <w:sz w:val="28"/>
          <w:szCs w:val="28"/>
        </w:rPr>
        <w:t>The applicant raised a problematic point that the bid was awarded for an amount in excess of R10</w:t>
      </w:r>
      <w:r w:rsidR="00D02792" w:rsidRPr="003C1A98">
        <w:rPr>
          <w:rFonts w:ascii="Arial" w:hAnsi="Arial" w:cs="Arial"/>
          <w:sz w:val="28"/>
          <w:szCs w:val="28"/>
        </w:rPr>
        <w:t xml:space="preserve"> </w:t>
      </w:r>
      <w:r w:rsidR="00863F05" w:rsidRPr="003C1A98">
        <w:rPr>
          <w:rFonts w:ascii="Arial" w:hAnsi="Arial" w:cs="Arial"/>
          <w:sz w:val="28"/>
          <w:szCs w:val="28"/>
        </w:rPr>
        <w:t xml:space="preserve">million. This is as a result of the difference in the bid amount between the letter of appointment and the agreement entered into by the parties. This court is not called upon to adjudicate the point which </w:t>
      </w:r>
      <w:r w:rsidR="00D02792" w:rsidRPr="003C1A98">
        <w:rPr>
          <w:rFonts w:ascii="Arial" w:hAnsi="Arial" w:cs="Arial"/>
          <w:sz w:val="28"/>
          <w:szCs w:val="28"/>
        </w:rPr>
        <w:t xml:space="preserve">one </w:t>
      </w:r>
      <w:r w:rsidR="00863F05" w:rsidRPr="003C1A98">
        <w:rPr>
          <w:rFonts w:ascii="Arial" w:hAnsi="Arial" w:cs="Arial"/>
          <w:sz w:val="28"/>
          <w:szCs w:val="28"/>
        </w:rPr>
        <w:t>of the two</w:t>
      </w:r>
      <w:r w:rsidR="00D02792" w:rsidRPr="003C1A98">
        <w:rPr>
          <w:rFonts w:ascii="Arial" w:hAnsi="Arial" w:cs="Arial"/>
          <w:sz w:val="28"/>
          <w:szCs w:val="28"/>
        </w:rPr>
        <w:t xml:space="preserve"> documents</w:t>
      </w:r>
      <w:r w:rsidR="00863F05" w:rsidRPr="003C1A98">
        <w:rPr>
          <w:rFonts w:ascii="Arial" w:hAnsi="Arial" w:cs="Arial"/>
          <w:sz w:val="28"/>
          <w:szCs w:val="28"/>
        </w:rPr>
        <w:t xml:space="preserve"> can validly be relied upon by them. The question whether the letter of appointment takes precedence over the agreement or </w:t>
      </w:r>
      <w:r w:rsidR="00863F05" w:rsidRPr="003C1A98">
        <w:rPr>
          <w:rFonts w:ascii="Arial" w:hAnsi="Arial" w:cs="Arial"/>
          <w:i/>
          <w:sz w:val="28"/>
          <w:szCs w:val="28"/>
        </w:rPr>
        <w:t>vice versa</w:t>
      </w:r>
      <w:r w:rsidR="00863F05" w:rsidRPr="003C1A98">
        <w:rPr>
          <w:rFonts w:ascii="Arial" w:hAnsi="Arial" w:cs="Arial"/>
          <w:sz w:val="28"/>
          <w:szCs w:val="28"/>
        </w:rPr>
        <w:t xml:space="preserve"> does not arise in these proceedings. What seems apparent is that the appointment was m</w:t>
      </w:r>
      <w:r w:rsidR="00D02792" w:rsidRPr="003C1A98">
        <w:rPr>
          <w:rFonts w:ascii="Arial" w:hAnsi="Arial" w:cs="Arial"/>
          <w:sz w:val="28"/>
          <w:szCs w:val="28"/>
        </w:rPr>
        <w:t xml:space="preserve">ade for an amount less than R10 </w:t>
      </w:r>
      <w:r w:rsidR="00863F05" w:rsidRPr="003C1A98">
        <w:rPr>
          <w:rFonts w:ascii="Arial" w:hAnsi="Arial" w:cs="Arial"/>
          <w:sz w:val="28"/>
          <w:szCs w:val="28"/>
        </w:rPr>
        <w:t>million.</w:t>
      </w:r>
    </w:p>
    <w:p w:rsidR="00E932D5" w:rsidRPr="003C1A98" w:rsidRDefault="00E932D5" w:rsidP="00F11648">
      <w:pPr>
        <w:spacing w:after="0" w:line="360" w:lineRule="auto"/>
        <w:ind w:left="720" w:hanging="720"/>
        <w:jc w:val="both"/>
        <w:rPr>
          <w:rFonts w:ascii="Arial" w:hAnsi="Arial" w:cs="Arial"/>
          <w:sz w:val="28"/>
          <w:szCs w:val="28"/>
        </w:rPr>
      </w:pPr>
    </w:p>
    <w:p w:rsidR="00E932D5" w:rsidRPr="003C1A98" w:rsidRDefault="00E932D5" w:rsidP="00E932D5">
      <w:pPr>
        <w:spacing w:after="0" w:line="360" w:lineRule="auto"/>
        <w:ind w:left="720" w:hanging="720"/>
        <w:jc w:val="both"/>
        <w:rPr>
          <w:rFonts w:ascii="Arial" w:hAnsi="Arial" w:cs="Arial"/>
          <w:sz w:val="28"/>
          <w:szCs w:val="28"/>
        </w:rPr>
      </w:pPr>
      <w:r w:rsidRPr="003C1A98">
        <w:rPr>
          <w:rFonts w:ascii="Arial" w:hAnsi="Arial" w:cs="Arial"/>
          <w:sz w:val="28"/>
          <w:szCs w:val="28"/>
        </w:rPr>
        <w:t>[3</w:t>
      </w:r>
      <w:r w:rsidR="00F661E9" w:rsidRPr="003C1A98">
        <w:rPr>
          <w:rFonts w:ascii="Arial" w:hAnsi="Arial" w:cs="Arial"/>
          <w:sz w:val="28"/>
          <w:szCs w:val="28"/>
        </w:rPr>
        <w:t>4</w:t>
      </w:r>
      <w:r w:rsidRPr="003C1A98">
        <w:rPr>
          <w:rFonts w:ascii="Arial" w:hAnsi="Arial" w:cs="Arial"/>
          <w:sz w:val="28"/>
          <w:szCs w:val="28"/>
        </w:rPr>
        <w:t>]</w:t>
      </w:r>
      <w:r w:rsidRPr="003C1A98">
        <w:rPr>
          <w:rFonts w:ascii="Arial" w:hAnsi="Arial" w:cs="Arial"/>
          <w:sz w:val="28"/>
          <w:szCs w:val="28"/>
        </w:rPr>
        <w:tab/>
        <w:t xml:space="preserve">Without a determination being made between the two, this point cannot be sustained. Counsel for the applicant was at pains to argue around it </w:t>
      </w:r>
      <w:r w:rsidR="0047232E" w:rsidRPr="003C1A98">
        <w:rPr>
          <w:rFonts w:ascii="Arial" w:hAnsi="Arial" w:cs="Arial"/>
          <w:sz w:val="28"/>
          <w:szCs w:val="28"/>
        </w:rPr>
        <w:t>and could only speculate what could be the cause of action in the event of a dispute arising between them. In the absence of any conclusive evidence and substantive argument on this aspect, this ground falls to be rejected.</w:t>
      </w:r>
    </w:p>
    <w:p w:rsidR="0047232E" w:rsidRPr="003C1A98" w:rsidRDefault="0047232E" w:rsidP="00E932D5">
      <w:pPr>
        <w:spacing w:after="0" w:line="360" w:lineRule="auto"/>
        <w:ind w:left="720" w:hanging="720"/>
        <w:jc w:val="both"/>
        <w:rPr>
          <w:rFonts w:ascii="Arial" w:hAnsi="Arial" w:cs="Arial"/>
          <w:sz w:val="28"/>
          <w:szCs w:val="28"/>
        </w:rPr>
      </w:pPr>
    </w:p>
    <w:p w:rsidR="0047232E" w:rsidRPr="003C1A98" w:rsidRDefault="0047232E" w:rsidP="0047232E">
      <w:pPr>
        <w:spacing w:after="0" w:line="360" w:lineRule="auto"/>
        <w:ind w:left="720" w:hanging="720"/>
        <w:jc w:val="both"/>
        <w:rPr>
          <w:rFonts w:ascii="Arial" w:hAnsi="Arial" w:cs="Arial"/>
          <w:sz w:val="28"/>
          <w:szCs w:val="28"/>
        </w:rPr>
      </w:pPr>
      <w:r w:rsidRPr="003C1A98">
        <w:rPr>
          <w:rFonts w:ascii="Arial" w:hAnsi="Arial" w:cs="Arial"/>
          <w:sz w:val="28"/>
          <w:szCs w:val="28"/>
        </w:rPr>
        <w:t>[3</w:t>
      </w:r>
      <w:r w:rsidR="00F661E9" w:rsidRPr="003C1A98">
        <w:rPr>
          <w:rFonts w:ascii="Arial" w:hAnsi="Arial" w:cs="Arial"/>
          <w:sz w:val="28"/>
          <w:szCs w:val="28"/>
        </w:rPr>
        <w:t>5</w:t>
      </w:r>
      <w:r w:rsidRPr="003C1A98">
        <w:rPr>
          <w:rFonts w:ascii="Arial" w:hAnsi="Arial" w:cs="Arial"/>
          <w:sz w:val="28"/>
          <w:szCs w:val="28"/>
        </w:rPr>
        <w:t>]</w:t>
      </w:r>
      <w:r w:rsidRPr="003C1A98">
        <w:rPr>
          <w:rFonts w:ascii="Arial" w:hAnsi="Arial" w:cs="Arial"/>
          <w:sz w:val="28"/>
          <w:szCs w:val="28"/>
        </w:rPr>
        <w:tab/>
        <w:t>The conclusion is that the irregularities pointed out did not distinctly work against the applicant. The stark reality is that there is no perfect bid process. This should not be interpreted to mean that administrators can bend the procurement system according to their whims and deviate for the sa</w:t>
      </w:r>
      <w:r w:rsidR="00D02792" w:rsidRPr="003C1A98">
        <w:rPr>
          <w:rFonts w:ascii="Arial" w:hAnsi="Arial" w:cs="Arial"/>
          <w:sz w:val="28"/>
          <w:szCs w:val="28"/>
        </w:rPr>
        <w:t>k</w:t>
      </w:r>
      <w:r w:rsidRPr="003C1A98">
        <w:rPr>
          <w:rFonts w:ascii="Arial" w:hAnsi="Arial" w:cs="Arial"/>
          <w:sz w:val="28"/>
          <w:szCs w:val="28"/>
        </w:rPr>
        <w:t xml:space="preserve">e of it. This was made clear in </w:t>
      </w:r>
      <w:r w:rsidRPr="003C1A98">
        <w:rPr>
          <w:rFonts w:ascii="Arial" w:hAnsi="Arial" w:cs="Arial"/>
          <w:b/>
          <w:sz w:val="28"/>
          <w:szCs w:val="28"/>
        </w:rPr>
        <w:t>Allpay Consolidated Investment Holdings (Pty) Ltd and Others v Chief Executive Officer, South African Social Security Agency and Others</w:t>
      </w:r>
      <w:r w:rsidRPr="003C1A98">
        <w:rPr>
          <w:rFonts w:ascii="Arial" w:hAnsi="Arial" w:cs="Arial"/>
          <w:sz w:val="28"/>
          <w:szCs w:val="28"/>
        </w:rPr>
        <w:t>.</w:t>
      </w:r>
      <w:r w:rsidRPr="003C1A98">
        <w:rPr>
          <w:rStyle w:val="FootnoteReference"/>
          <w:rFonts w:ascii="Arial" w:hAnsi="Arial" w:cs="Arial"/>
          <w:sz w:val="28"/>
          <w:szCs w:val="28"/>
        </w:rPr>
        <w:footnoteReference w:id="11"/>
      </w:r>
      <w:r w:rsidR="00D02792" w:rsidRPr="003C1A98">
        <w:rPr>
          <w:rFonts w:ascii="Arial" w:hAnsi="Arial" w:cs="Arial"/>
          <w:sz w:val="28"/>
          <w:szCs w:val="28"/>
        </w:rPr>
        <w:t xml:space="preserve"> It may well be so that public officials may bend the requirements in order to weaken efforts to achieve good administrative and governance</w:t>
      </w:r>
      <w:r w:rsidR="00F661E9" w:rsidRPr="003C1A98">
        <w:rPr>
          <w:rFonts w:ascii="Arial" w:hAnsi="Arial" w:cs="Arial"/>
          <w:sz w:val="28"/>
          <w:szCs w:val="28"/>
        </w:rPr>
        <w:t xml:space="preserve"> practices.</w:t>
      </w:r>
      <w:r w:rsidR="00D02792" w:rsidRPr="003C1A98">
        <w:rPr>
          <w:rFonts w:ascii="Arial" w:hAnsi="Arial" w:cs="Arial"/>
          <w:sz w:val="28"/>
          <w:szCs w:val="28"/>
        </w:rPr>
        <w:t xml:space="preserve"> </w:t>
      </w:r>
    </w:p>
    <w:p w:rsidR="00863F05" w:rsidRPr="003C1A98" w:rsidRDefault="00863F05" w:rsidP="00732322">
      <w:pPr>
        <w:spacing w:after="0" w:line="360" w:lineRule="auto"/>
        <w:jc w:val="both"/>
        <w:rPr>
          <w:rFonts w:ascii="Arial" w:hAnsi="Arial" w:cs="Arial"/>
          <w:sz w:val="28"/>
          <w:szCs w:val="28"/>
        </w:rPr>
      </w:pPr>
    </w:p>
    <w:p w:rsidR="004D31F1" w:rsidRPr="003C1A98" w:rsidRDefault="00AE40D5" w:rsidP="000851BF">
      <w:pPr>
        <w:spacing w:after="0" w:line="360" w:lineRule="auto"/>
        <w:ind w:firstLine="720"/>
        <w:jc w:val="both"/>
        <w:rPr>
          <w:rFonts w:ascii="Arial" w:hAnsi="Arial" w:cs="Arial"/>
          <w:sz w:val="28"/>
          <w:szCs w:val="28"/>
        </w:rPr>
      </w:pPr>
      <w:r w:rsidRPr="003C1A98">
        <w:rPr>
          <w:rFonts w:ascii="Arial" w:hAnsi="Arial" w:cs="Arial"/>
          <w:b/>
          <w:sz w:val="28"/>
          <w:szCs w:val="28"/>
        </w:rPr>
        <w:t>Remedy</w:t>
      </w:r>
    </w:p>
    <w:p w:rsidR="004D31F1" w:rsidRPr="003C1A98" w:rsidRDefault="00E932D5" w:rsidP="004D31F1">
      <w:pPr>
        <w:spacing w:after="0" w:line="360" w:lineRule="auto"/>
        <w:ind w:left="720" w:hanging="720"/>
        <w:jc w:val="both"/>
        <w:rPr>
          <w:rFonts w:ascii="Arial" w:hAnsi="Arial" w:cs="Arial"/>
          <w:sz w:val="28"/>
          <w:szCs w:val="28"/>
        </w:rPr>
      </w:pPr>
      <w:r w:rsidRPr="003C1A98">
        <w:rPr>
          <w:rFonts w:ascii="Arial" w:hAnsi="Arial" w:cs="Arial"/>
          <w:sz w:val="28"/>
          <w:szCs w:val="28"/>
        </w:rPr>
        <w:t>[3</w:t>
      </w:r>
      <w:r w:rsidR="00F661E9" w:rsidRPr="003C1A98">
        <w:rPr>
          <w:rFonts w:ascii="Arial" w:hAnsi="Arial" w:cs="Arial"/>
          <w:sz w:val="28"/>
          <w:szCs w:val="28"/>
        </w:rPr>
        <w:t>6</w:t>
      </w:r>
      <w:r w:rsidR="004D31F1" w:rsidRPr="003C1A98">
        <w:rPr>
          <w:rFonts w:ascii="Arial" w:hAnsi="Arial" w:cs="Arial"/>
          <w:sz w:val="28"/>
          <w:szCs w:val="28"/>
        </w:rPr>
        <w:t>]</w:t>
      </w:r>
      <w:r w:rsidR="004D31F1" w:rsidRPr="003C1A98">
        <w:rPr>
          <w:rFonts w:ascii="Arial" w:hAnsi="Arial" w:cs="Arial"/>
          <w:sz w:val="28"/>
          <w:szCs w:val="28"/>
        </w:rPr>
        <w:tab/>
        <w:t>Even if the court is wrong in reaching the conclusion it did, the remedy sought by the applicant cannot be afforded it. There are numerous practical problems which militate against. We have been informed conclusively that about 7</w:t>
      </w:r>
      <w:r w:rsidR="00D02792" w:rsidRPr="003C1A98">
        <w:rPr>
          <w:rFonts w:ascii="Arial" w:hAnsi="Arial" w:cs="Arial"/>
          <w:sz w:val="28"/>
          <w:szCs w:val="28"/>
        </w:rPr>
        <w:t>8</w:t>
      </w:r>
      <w:r w:rsidR="004D31F1" w:rsidRPr="003C1A98">
        <w:rPr>
          <w:rFonts w:ascii="Arial" w:hAnsi="Arial" w:cs="Arial"/>
          <w:sz w:val="28"/>
          <w:szCs w:val="28"/>
        </w:rPr>
        <w:t>% of the works have been concluded. The applicant argued that it is willing to carry out the works on the same conditions as those agreed upon</w:t>
      </w:r>
      <w:r w:rsidR="00F661E9" w:rsidRPr="003C1A98">
        <w:rPr>
          <w:rFonts w:ascii="Arial" w:hAnsi="Arial" w:cs="Arial"/>
          <w:sz w:val="28"/>
          <w:szCs w:val="28"/>
        </w:rPr>
        <w:t xml:space="preserve"> by</w:t>
      </w:r>
      <w:r w:rsidR="004D31F1" w:rsidRPr="003C1A98">
        <w:rPr>
          <w:rFonts w:ascii="Arial" w:hAnsi="Arial" w:cs="Arial"/>
          <w:sz w:val="28"/>
          <w:szCs w:val="28"/>
        </w:rPr>
        <w:t xml:space="preserve"> </w:t>
      </w:r>
      <w:r w:rsidR="00D02792" w:rsidRPr="003C1A98">
        <w:rPr>
          <w:rFonts w:ascii="Arial" w:hAnsi="Arial" w:cs="Arial"/>
          <w:sz w:val="28"/>
          <w:szCs w:val="28"/>
        </w:rPr>
        <w:t>the respondents</w:t>
      </w:r>
      <w:r w:rsidR="00F661E9" w:rsidRPr="003C1A98">
        <w:rPr>
          <w:rFonts w:ascii="Arial" w:hAnsi="Arial" w:cs="Arial"/>
          <w:sz w:val="28"/>
          <w:szCs w:val="28"/>
        </w:rPr>
        <w:t>. Not only that</w:t>
      </w:r>
      <w:r w:rsidR="004D31F1" w:rsidRPr="003C1A98">
        <w:rPr>
          <w:rFonts w:ascii="Arial" w:hAnsi="Arial" w:cs="Arial"/>
          <w:sz w:val="28"/>
          <w:szCs w:val="28"/>
        </w:rPr>
        <w:t xml:space="preserve"> but also that the percentage referred to only cover the non-essentials of the agreement</w:t>
      </w:r>
      <w:r w:rsidR="0068219C" w:rsidRPr="003C1A98">
        <w:rPr>
          <w:rFonts w:ascii="Arial" w:hAnsi="Arial" w:cs="Arial"/>
          <w:sz w:val="28"/>
          <w:szCs w:val="28"/>
        </w:rPr>
        <w:t>.</w:t>
      </w:r>
      <w:r w:rsidR="0063260A" w:rsidRPr="003C1A98">
        <w:rPr>
          <w:rFonts w:ascii="Arial" w:hAnsi="Arial" w:cs="Arial"/>
          <w:sz w:val="28"/>
          <w:szCs w:val="28"/>
        </w:rPr>
        <w:t xml:space="preserve"> It is not the duty of the court to negotiate agreements between the parties. They are free to do so themselves without the intervention of the court.</w:t>
      </w:r>
      <w:r w:rsidR="0068219C" w:rsidRPr="003C1A98">
        <w:rPr>
          <w:rFonts w:ascii="Arial" w:hAnsi="Arial" w:cs="Arial"/>
          <w:sz w:val="28"/>
          <w:szCs w:val="28"/>
        </w:rPr>
        <w:t xml:space="preserve"> We broached it with counsel that these may stem from incorrect material procured by the first respondent or poor workmanship on the part of the </w:t>
      </w:r>
      <w:r w:rsidR="00F661E9" w:rsidRPr="003C1A98">
        <w:rPr>
          <w:rFonts w:ascii="Arial" w:hAnsi="Arial" w:cs="Arial"/>
          <w:sz w:val="28"/>
          <w:szCs w:val="28"/>
        </w:rPr>
        <w:t>other respondents</w:t>
      </w:r>
      <w:r w:rsidR="0068219C" w:rsidRPr="003C1A98">
        <w:rPr>
          <w:rFonts w:ascii="Arial" w:hAnsi="Arial" w:cs="Arial"/>
          <w:sz w:val="28"/>
          <w:szCs w:val="28"/>
        </w:rPr>
        <w:t>. There may also be contractual dispute that may come to the fore. Chief among these of course, it is the interest of the community who are on the receiving end because of this bitter wrangle between the parties.</w:t>
      </w:r>
    </w:p>
    <w:p w:rsidR="0068219C" w:rsidRPr="003C1A98" w:rsidRDefault="0068219C" w:rsidP="004D31F1">
      <w:pPr>
        <w:spacing w:after="0" w:line="360" w:lineRule="auto"/>
        <w:ind w:left="720" w:hanging="720"/>
        <w:jc w:val="both"/>
        <w:rPr>
          <w:rFonts w:ascii="Arial" w:hAnsi="Arial" w:cs="Arial"/>
          <w:sz w:val="28"/>
          <w:szCs w:val="28"/>
        </w:rPr>
      </w:pPr>
    </w:p>
    <w:p w:rsidR="0068219C" w:rsidRPr="003C1A98" w:rsidRDefault="0047232E" w:rsidP="0068219C">
      <w:pPr>
        <w:spacing w:after="0" w:line="360" w:lineRule="auto"/>
        <w:ind w:left="720" w:hanging="720"/>
        <w:jc w:val="both"/>
        <w:rPr>
          <w:rFonts w:ascii="Arial" w:hAnsi="Arial" w:cs="Arial"/>
          <w:sz w:val="28"/>
          <w:szCs w:val="28"/>
        </w:rPr>
      </w:pPr>
      <w:r w:rsidRPr="003C1A98">
        <w:rPr>
          <w:rFonts w:ascii="Arial" w:hAnsi="Arial" w:cs="Arial"/>
          <w:sz w:val="28"/>
          <w:szCs w:val="28"/>
        </w:rPr>
        <w:t>[3</w:t>
      </w:r>
      <w:r w:rsidR="00F661E9" w:rsidRPr="003C1A98">
        <w:rPr>
          <w:rFonts w:ascii="Arial" w:hAnsi="Arial" w:cs="Arial"/>
          <w:sz w:val="28"/>
          <w:szCs w:val="28"/>
        </w:rPr>
        <w:t>7</w:t>
      </w:r>
      <w:r w:rsidR="0068219C" w:rsidRPr="003C1A98">
        <w:rPr>
          <w:rFonts w:ascii="Arial" w:hAnsi="Arial" w:cs="Arial"/>
          <w:sz w:val="28"/>
          <w:szCs w:val="28"/>
        </w:rPr>
        <w:t>]</w:t>
      </w:r>
      <w:r w:rsidR="0068219C" w:rsidRPr="003C1A98">
        <w:rPr>
          <w:rFonts w:ascii="Arial" w:hAnsi="Arial" w:cs="Arial"/>
          <w:sz w:val="28"/>
          <w:szCs w:val="28"/>
        </w:rPr>
        <w:tab/>
        <w:t>It is trite that an appropriate relief will undoubtedly be determined by the circumstances of that case. The court must make a just and equitable relief</w:t>
      </w:r>
      <w:r w:rsidR="004B02C0" w:rsidRPr="003C1A98">
        <w:rPr>
          <w:rFonts w:ascii="Arial" w:hAnsi="Arial" w:cs="Arial"/>
          <w:sz w:val="28"/>
          <w:szCs w:val="28"/>
        </w:rPr>
        <w:t xml:space="preserve"> after consideration of all factors which must extend beyond those of the parties but the public as well. This requires a delicate balancing act of all these competing interests.</w:t>
      </w:r>
      <w:r w:rsidR="004B02C0" w:rsidRPr="003C1A98">
        <w:rPr>
          <w:rStyle w:val="FootnoteReference"/>
          <w:rFonts w:ascii="Arial" w:hAnsi="Arial" w:cs="Arial"/>
          <w:sz w:val="28"/>
          <w:szCs w:val="28"/>
        </w:rPr>
        <w:footnoteReference w:id="12"/>
      </w:r>
      <w:r w:rsidR="004B02C0" w:rsidRPr="003C1A98">
        <w:rPr>
          <w:rFonts w:ascii="Arial" w:hAnsi="Arial" w:cs="Arial"/>
          <w:sz w:val="28"/>
          <w:szCs w:val="28"/>
        </w:rPr>
        <w:t xml:space="preserve"> In the exercise of its wide discretion, the court may not even choose one alternative relief based on what is just and equitable in the circumstances of the case.</w:t>
      </w:r>
    </w:p>
    <w:p w:rsidR="00AE40D5" w:rsidRPr="003C1A98" w:rsidRDefault="00AE40D5" w:rsidP="0068219C">
      <w:pPr>
        <w:spacing w:after="0" w:line="360" w:lineRule="auto"/>
        <w:ind w:left="720" w:hanging="720"/>
        <w:jc w:val="both"/>
        <w:rPr>
          <w:rFonts w:ascii="Arial" w:hAnsi="Arial" w:cs="Arial"/>
          <w:sz w:val="28"/>
          <w:szCs w:val="28"/>
        </w:rPr>
      </w:pPr>
    </w:p>
    <w:p w:rsidR="00AE40D5" w:rsidRPr="003C1A98" w:rsidRDefault="0047232E" w:rsidP="00AE40D5">
      <w:pPr>
        <w:spacing w:after="0" w:line="360" w:lineRule="auto"/>
        <w:ind w:left="720" w:hanging="720"/>
        <w:jc w:val="both"/>
        <w:rPr>
          <w:rFonts w:ascii="Arial" w:hAnsi="Arial" w:cs="Arial"/>
          <w:sz w:val="28"/>
          <w:szCs w:val="28"/>
        </w:rPr>
      </w:pPr>
      <w:r w:rsidRPr="003C1A98">
        <w:rPr>
          <w:rFonts w:ascii="Arial" w:hAnsi="Arial" w:cs="Arial"/>
          <w:sz w:val="28"/>
          <w:szCs w:val="28"/>
        </w:rPr>
        <w:t>[3</w:t>
      </w:r>
      <w:r w:rsidR="00F661E9" w:rsidRPr="003C1A98">
        <w:rPr>
          <w:rFonts w:ascii="Arial" w:hAnsi="Arial" w:cs="Arial"/>
          <w:sz w:val="28"/>
          <w:szCs w:val="28"/>
        </w:rPr>
        <w:t>8</w:t>
      </w:r>
      <w:r w:rsidR="00AE40D5" w:rsidRPr="003C1A98">
        <w:rPr>
          <w:rFonts w:ascii="Arial" w:hAnsi="Arial" w:cs="Arial"/>
          <w:sz w:val="28"/>
          <w:szCs w:val="28"/>
        </w:rPr>
        <w:t>]</w:t>
      </w:r>
      <w:r w:rsidR="00AE40D5" w:rsidRPr="003C1A98">
        <w:rPr>
          <w:rFonts w:ascii="Arial" w:hAnsi="Arial" w:cs="Arial"/>
          <w:sz w:val="28"/>
          <w:szCs w:val="28"/>
        </w:rPr>
        <w:tab/>
        <w:t>It is not the case of the applicant</w:t>
      </w:r>
      <w:r w:rsidR="000B2D67" w:rsidRPr="003C1A98">
        <w:rPr>
          <w:rFonts w:ascii="Arial" w:hAnsi="Arial" w:cs="Arial"/>
          <w:sz w:val="28"/>
          <w:szCs w:val="28"/>
        </w:rPr>
        <w:t xml:space="preserve"> that the </w:t>
      </w:r>
      <w:r w:rsidR="00D02792" w:rsidRPr="003C1A98">
        <w:rPr>
          <w:rFonts w:ascii="Arial" w:hAnsi="Arial" w:cs="Arial"/>
          <w:sz w:val="28"/>
          <w:szCs w:val="28"/>
        </w:rPr>
        <w:t>first and second respondents were</w:t>
      </w:r>
      <w:r w:rsidR="000B2D67" w:rsidRPr="003C1A98">
        <w:rPr>
          <w:rFonts w:ascii="Arial" w:hAnsi="Arial" w:cs="Arial"/>
          <w:sz w:val="28"/>
          <w:szCs w:val="28"/>
        </w:rPr>
        <w:t xml:space="preserve"> in any conceivable manner complicit in the awarding of the bid to </w:t>
      </w:r>
      <w:r w:rsidR="00D02792" w:rsidRPr="003C1A98">
        <w:rPr>
          <w:rFonts w:ascii="Arial" w:hAnsi="Arial" w:cs="Arial"/>
          <w:sz w:val="28"/>
          <w:szCs w:val="28"/>
        </w:rPr>
        <w:t>themselves</w:t>
      </w:r>
      <w:r w:rsidR="000B2D67" w:rsidRPr="003C1A98">
        <w:rPr>
          <w:rFonts w:ascii="Arial" w:hAnsi="Arial" w:cs="Arial"/>
          <w:sz w:val="28"/>
          <w:szCs w:val="28"/>
        </w:rPr>
        <w:t>. The Supreme Court of Appeal has pointed out there must be a distinction drawn between the lawbreakers and innocent parties. The court recognised that those who fall in the former category should not be allowed to benefit from their unlawful conduct. At the same time, innocent parties must not suffer any loss as a result of the invalidation of a contract.</w:t>
      </w:r>
      <w:r w:rsidR="000B2D67" w:rsidRPr="003C1A98">
        <w:rPr>
          <w:rStyle w:val="FootnoteReference"/>
          <w:rFonts w:ascii="Arial" w:hAnsi="Arial" w:cs="Arial"/>
          <w:sz w:val="28"/>
          <w:szCs w:val="28"/>
        </w:rPr>
        <w:footnoteReference w:id="13"/>
      </w:r>
    </w:p>
    <w:p w:rsidR="002253C1" w:rsidRPr="003C1A98" w:rsidRDefault="002253C1" w:rsidP="00AE40D5">
      <w:pPr>
        <w:spacing w:after="0" w:line="360" w:lineRule="auto"/>
        <w:ind w:left="720" w:hanging="720"/>
        <w:jc w:val="both"/>
        <w:rPr>
          <w:rFonts w:ascii="Arial" w:hAnsi="Arial" w:cs="Arial"/>
          <w:sz w:val="28"/>
          <w:szCs w:val="28"/>
        </w:rPr>
      </w:pPr>
    </w:p>
    <w:p w:rsidR="002253C1" w:rsidRPr="003C1A98" w:rsidRDefault="0047232E" w:rsidP="002253C1">
      <w:pPr>
        <w:spacing w:after="0" w:line="360" w:lineRule="auto"/>
        <w:ind w:left="720" w:hanging="720"/>
        <w:jc w:val="both"/>
        <w:rPr>
          <w:rFonts w:ascii="Arial" w:hAnsi="Arial" w:cs="Arial"/>
          <w:sz w:val="28"/>
          <w:szCs w:val="28"/>
        </w:rPr>
      </w:pPr>
      <w:r w:rsidRPr="003C1A98">
        <w:rPr>
          <w:rFonts w:ascii="Arial" w:hAnsi="Arial" w:cs="Arial"/>
          <w:sz w:val="28"/>
          <w:szCs w:val="28"/>
        </w:rPr>
        <w:t>[3</w:t>
      </w:r>
      <w:r w:rsidR="00F661E9" w:rsidRPr="003C1A98">
        <w:rPr>
          <w:rFonts w:ascii="Arial" w:hAnsi="Arial" w:cs="Arial"/>
          <w:sz w:val="28"/>
          <w:szCs w:val="28"/>
        </w:rPr>
        <w:t>9</w:t>
      </w:r>
      <w:r w:rsidR="002253C1" w:rsidRPr="003C1A98">
        <w:rPr>
          <w:rFonts w:ascii="Arial" w:hAnsi="Arial" w:cs="Arial"/>
          <w:sz w:val="28"/>
          <w:szCs w:val="28"/>
        </w:rPr>
        <w:t>]</w:t>
      </w:r>
      <w:r w:rsidR="002253C1" w:rsidRPr="003C1A98">
        <w:rPr>
          <w:rFonts w:ascii="Arial" w:hAnsi="Arial" w:cs="Arial"/>
          <w:sz w:val="28"/>
          <w:szCs w:val="28"/>
        </w:rPr>
        <w:tab/>
        <w:t>Taking all the facts and circumstances of the matter on hand the court conclude that it will not be just and equitable to invalidate the contract. The sizeable bulk of the</w:t>
      </w:r>
      <w:r w:rsidR="00D02792" w:rsidRPr="003C1A98">
        <w:rPr>
          <w:rFonts w:ascii="Arial" w:hAnsi="Arial" w:cs="Arial"/>
          <w:sz w:val="28"/>
          <w:szCs w:val="28"/>
        </w:rPr>
        <w:t xml:space="preserve"> works in terms of the </w:t>
      </w:r>
      <w:r w:rsidR="002253C1" w:rsidRPr="003C1A98">
        <w:rPr>
          <w:rFonts w:ascii="Arial" w:hAnsi="Arial" w:cs="Arial"/>
          <w:sz w:val="28"/>
          <w:szCs w:val="28"/>
        </w:rPr>
        <w:t xml:space="preserve">contract has been performed. The </w:t>
      </w:r>
      <w:r w:rsidR="00D02792" w:rsidRPr="003C1A98">
        <w:rPr>
          <w:rFonts w:ascii="Arial" w:hAnsi="Arial" w:cs="Arial"/>
          <w:sz w:val="28"/>
          <w:szCs w:val="28"/>
        </w:rPr>
        <w:t>first and second respondents are</w:t>
      </w:r>
      <w:r w:rsidR="002253C1" w:rsidRPr="003C1A98">
        <w:rPr>
          <w:rFonts w:ascii="Arial" w:hAnsi="Arial" w:cs="Arial"/>
          <w:sz w:val="28"/>
          <w:szCs w:val="28"/>
        </w:rPr>
        <w:t xml:space="preserve"> an innocent party and will be hard </w:t>
      </w:r>
      <w:r w:rsidR="00D02792" w:rsidRPr="003C1A98">
        <w:rPr>
          <w:rFonts w:ascii="Arial" w:hAnsi="Arial" w:cs="Arial"/>
          <w:sz w:val="28"/>
          <w:szCs w:val="28"/>
        </w:rPr>
        <w:t>done</w:t>
      </w:r>
      <w:r w:rsidR="002253C1" w:rsidRPr="003C1A98">
        <w:rPr>
          <w:rFonts w:ascii="Arial" w:hAnsi="Arial" w:cs="Arial"/>
          <w:sz w:val="28"/>
          <w:szCs w:val="28"/>
        </w:rPr>
        <w:t xml:space="preserve"> to be punished for the wrong </w:t>
      </w:r>
      <w:r w:rsidR="00F661E9" w:rsidRPr="003C1A98">
        <w:rPr>
          <w:rFonts w:ascii="Arial" w:hAnsi="Arial" w:cs="Arial"/>
          <w:sz w:val="28"/>
          <w:szCs w:val="28"/>
        </w:rPr>
        <w:t>they</w:t>
      </w:r>
      <w:r w:rsidR="002253C1" w:rsidRPr="003C1A98">
        <w:rPr>
          <w:rFonts w:ascii="Arial" w:hAnsi="Arial" w:cs="Arial"/>
          <w:sz w:val="28"/>
          <w:szCs w:val="28"/>
        </w:rPr>
        <w:t xml:space="preserve"> did not </w:t>
      </w:r>
      <w:r w:rsidR="00D02792" w:rsidRPr="003C1A98">
        <w:rPr>
          <w:rFonts w:ascii="Arial" w:hAnsi="Arial" w:cs="Arial"/>
          <w:sz w:val="28"/>
          <w:szCs w:val="28"/>
        </w:rPr>
        <w:t>commit</w:t>
      </w:r>
      <w:r w:rsidR="002253C1" w:rsidRPr="003C1A98">
        <w:rPr>
          <w:rFonts w:ascii="Arial" w:hAnsi="Arial" w:cs="Arial"/>
          <w:sz w:val="28"/>
          <w:szCs w:val="28"/>
        </w:rPr>
        <w:t xml:space="preserve">. Most importantly, the community is desperate for service delivery in that regard to improve the quality of life and restore its dignity. </w:t>
      </w:r>
      <w:r w:rsidR="00D02792" w:rsidRPr="003C1A98">
        <w:rPr>
          <w:rFonts w:ascii="Arial" w:hAnsi="Arial" w:cs="Arial"/>
          <w:sz w:val="28"/>
          <w:szCs w:val="28"/>
        </w:rPr>
        <w:t>It is a well-known fact</w:t>
      </w:r>
      <w:r w:rsidR="002253C1" w:rsidRPr="003C1A98">
        <w:rPr>
          <w:rFonts w:ascii="Arial" w:hAnsi="Arial" w:cs="Arial"/>
          <w:sz w:val="28"/>
          <w:szCs w:val="28"/>
        </w:rPr>
        <w:t xml:space="preserve"> how bureaucratic ineptness will impact negatively on service delivery should the allocated funds be returned to the Treasury coffers.</w:t>
      </w:r>
      <w:r w:rsidR="00F661E9" w:rsidRPr="003C1A98">
        <w:rPr>
          <w:rFonts w:ascii="Arial" w:hAnsi="Arial" w:cs="Arial"/>
          <w:sz w:val="28"/>
          <w:szCs w:val="28"/>
        </w:rPr>
        <w:t xml:space="preserve"> The process of starting the bid process </w:t>
      </w:r>
      <w:r w:rsidR="00F661E9" w:rsidRPr="003C1A98">
        <w:rPr>
          <w:rFonts w:ascii="Arial" w:hAnsi="Arial" w:cs="Arial"/>
          <w:i/>
          <w:sz w:val="28"/>
          <w:szCs w:val="28"/>
        </w:rPr>
        <w:t>de novo</w:t>
      </w:r>
      <w:r w:rsidR="00F661E9" w:rsidRPr="003C1A98">
        <w:rPr>
          <w:rFonts w:ascii="Arial" w:hAnsi="Arial" w:cs="Arial"/>
          <w:sz w:val="28"/>
          <w:szCs w:val="28"/>
        </w:rPr>
        <w:t xml:space="preserve"> is not a palatable option in the circumstances. The cost of further delay is too much to contemplate.</w:t>
      </w:r>
    </w:p>
    <w:p w:rsidR="002253C1" w:rsidRPr="003C1A98" w:rsidRDefault="002253C1" w:rsidP="002253C1">
      <w:pPr>
        <w:spacing w:after="0" w:line="360" w:lineRule="auto"/>
        <w:ind w:left="720" w:hanging="720"/>
        <w:jc w:val="both"/>
        <w:rPr>
          <w:rFonts w:ascii="Arial" w:hAnsi="Arial" w:cs="Arial"/>
          <w:sz w:val="28"/>
          <w:szCs w:val="28"/>
        </w:rPr>
      </w:pPr>
    </w:p>
    <w:p w:rsidR="002253C1" w:rsidRPr="003C1A98" w:rsidRDefault="002253C1" w:rsidP="000851BF">
      <w:pPr>
        <w:spacing w:after="0" w:line="360" w:lineRule="auto"/>
        <w:ind w:firstLine="720"/>
        <w:jc w:val="both"/>
        <w:rPr>
          <w:rFonts w:ascii="Arial" w:hAnsi="Arial" w:cs="Arial"/>
          <w:sz w:val="28"/>
          <w:szCs w:val="28"/>
        </w:rPr>
      </w:pPr>
      <w:r w:rsidRPr="003C1A98">
        <w:rPr>
          <w:rFonts w:ascii="Arial" w:hAnsi="Arial" w:cs="Arial"/>
          <w:b/>
          <w:sz w:val="28"/>
          <w:szCs w:val="28"/>
        </w:rPr>
        <w:t>Costs</w:t>
      </w:r>
    </w:p>
    <w:p w:rsidR="002253C1" w:rsidRPr="003C1A98" w:rsidRDefault="0047232E" w:rsidP="002253C1">
      <w:pPr>
        <w:spacing w:after="0" w:line="360" w:lineRule="auto"/>
        <w:ind w:left="720" w:hanging="720"/>
        <w:jc w:val="both"/>
        <w:rPr>
          <w:rFonts w:ascii="Arial" w:hAnsi="Arial" w:cs="Arial"/>
          <w:sz w:val="28"/>
          <w:szCs w:val="28"/>
        </w:rPr>
      </w:pPr>
      <w:r w:rsidRPr="003C1A98">
        <w:rPr>
          <w:rFonts w:ascii="Arial" w:hAnsi="Arial" w:cs="Arial"/>
          <w:sz w:val="28"/>
          <w:szCs w:val="28"/>
        </w:rPr>
        <w:t>[39</w:t>
      </w:r>
      <w:r w:rsidR="002253C1" w:rsidRPr="003C1A98">
        <w:rPr>
          <w:rFonts w:ascii="Arial" w:hAnsi="Arial" w:cs="Arial"/>
          <w:sz w:val="28"/>
          <w:szCs w:val="28"/>
        </w:rPr>
        <w:t>]</w:t>
      </w:r>
      <w:r w:rsidR="002253C1" w:rsidRPr="003C1A98">
        <w:rPr>
          <w:rFonts w:ascii="Arial" w:hAnsi="Arial" w:cs="Arial"/>
          <w:sz w:val="28"/>
          <w:szCs w:val="28"/>
        </w:rPr>
        <w:tab/>
        <w:t xml:space="preserve">The applicant sought </w:t>
      </w:r>
      <w:r w:rsidR="00F661E9" w:rsidRPr="003C1A98">
        <w:rPr>
          <w:rFonts w:ascii="Arial" w:hAnsi="Arial" w:cs="Arial"/>
          <w:sz w:val="28"/>
          <w:szCs w:val="28"/>
        </w:rPr>
        <w:t xml:space="preserve">urgent </w:t>
      </w:r>
      <w:r w:rsidR="002253C1" w:rsidRPr="003C1A98">
        <w:rPr>
          <w:rFonts w:ascii="Arial" w:hAnsi="Arial" w:cs="Arial"/>
          <w:sz w:val="28"/>
          <w:szCs w:val="28"/>
        </w:rPr>
        <w:t xml:space="preserve">interim relief pending finalisation of the application on review. The costs were reserved in the sense that they will be dealt with </w:t>
      </w:r>
      <w:r w:rsidR="0095256F" w:rsidRPr="003C1A98">
        <w:rPr>
          <w:rFonts w:ascii="Arial" w:hAnsi="Arial" w:cs="Arial"/>
          <w:sz w:val="28"/>
          <w:szCs w:val="28"/>
        </w:rPr>
        <w:t>as costs in the cause. In that way, they will be dealt with in accordance with the principle that the losing party must pay the costs. There is no reason why the court should depart from the principle mentioned above.</w:t>
      </w:r>
    </w:p>
    <w:p w:rsidR="0047232E" w:rsidRPr="003C1A98" w:rsidRDefault="0047232E" w:rsidP="002253C1">
      <w:pPr>
        <w:spacing w:after="0" w:line="360" w:lineRule="auto"/>
        <w:ind w:left="720" w:hanging="720"/>
        <w:jc w:val="both"/>
        <w:rPr>
          <w:rFonts w:ascii="Arial" w:hAnsi="Arial" w:cs="Arial"/>
          <w:sz w:val="28"/>
          <w:szCs w:val="28"/>
        </w:rPr>
      </w:pPr>
    </w:p>
    <w:p w:rsidR="00DD470F" w:rsidRPr="003C1A98" w:rsidRDefault="00EC63C3" w:rsidP="000851BF">
      <w:pPr>
        <w:spacing w:after="0" w:line="360" w:lineRule="auto"/>
        <w:ind w:firstLine="720"/>
        <w:jc w:val="both"/>
        <w:rPr>
          <w:rFonts w:ascii="Arial" w:hAnsi="Arial" w:cs="Arial"/>
          <w:b/>
          <w:sz w:val="28"/>
          <w:szCs w:val="28"/>
        </w:rPr>
      </w:pPr>
      <w:r w:rsidRPr="003C1A98">
        <w:rPr>
          <w:rFonts w:ascii="Arial" w:hAnsi="Arial" w:cs="Arial"/>
          <w:b/>
          <w:sz w:val="28"/>
          <w:szCs w:val="28"/>
        </w:rPr>
        <w:t>Order</w:t>
      </w:r>
    </w:p>
    <w:p w:rsidR="00EC63C3" w:rsidRPr="003C1A98" w:rsidRDefault="00EC63C3" w:rsidP="00EC63C3">
      <w:pPr>
        <w:spacing w:after="0" w:line="360" w:lineRule="auto"/>
        <w:ind w:left="720" w:hanging="720"/>
        <w:jc w:val="both"/>
        <w:rPr>
          <w:rFonts w:ascii="Arial" w:hAnsi="Arial" w:cs="Arial"/>
          <w:sz w:val="28"/>
          <w:szCs w:val="28"/>
        </w:rPr>
      </w:pPr>
      <w:r w:rsidRPr="003C1A98">
        <w:rPr>
          <w:rFonts w:ascii="Arial" w:hAnsi="Arial" w:cs="Arial"/>
          <w:sz w:val="28"/>
          <w:szCs w:val="28"/>
        </w:rPr>
        <w:t>[40]</w:t>
      </w:r>
      <w:r w:rsidRPr="003C1A98">
        <w:rPr>
          <w:rFonts w:ascii="Arial" w:hAnsi="Arial" w:cs="Arial"/>
          <w:sz w:val="28"/>
          <w:szCs w:val="28"/>
        </w:rPr>
        <w:tab/>
        <w:t>The following order is made: -</w:t>
      </w:r>
    </w:p>
    <w:p w:rsidR="00EC63C3" w:rsidRPr="003C1A98" w:rsidRDefault="00EC63C3" w:rsidP="00EC63C3">
      <w:pPr>
        <w:spacing w:after="0" w:line="360" w:lineRule="auto"/>
        <w:ind w:left="720" w:hanging="720"/>
        <w:jc w:val="both"/>
        <w:rPr>
          <w:rFonts w:ascii="Arial" w:hAnsi="Arial" w:cs="Arial"/>
          <w:sz w:val="28"/>
          <w:szCs w:val="28"/>
        </w:rPr>
      </w:pPr>
      <w:r w:rsidRPr="003C1A98">
        <w:rPr>
          <w:rFonts w:ascii="Arial" w:hAnsi="Arial" w:cs="Arial"/>
          <w:sz w:val="28"/>
          <w:szCs w:val="28"/>
        </w:rPr>
        <w:tab/>
      </w:r>
    </w:p>
    <w:p w:rsidR="00F7564D" w:rsidRPr="00985775" w:rsidRDefault="00EC63C3" w:rsidP="00EC63C3">
      <w:pPr>
        <w:spacing w:after="0" w:line="360" w:lineRule="auto"/>
        <w:ind w:left="720" w:hanging="720"/>
        <w:jc w:val="both"/>
        <w:rPr>
          <w:rFonts w:ascii="Arial" w:hAnsi="Arial" w:cs="Arial"/>
          <w:sz w:val="28"/>
          <w:szCs w:val="28"/>
        </w:rPr>
      </w:pPr>
      <w:r w:rsidRPr="003C1A98">
        <w:rPr>
          <w:rFonts w:ascii="Arial" w:hAnsi="Arial" w:cs="Arial"/>
          <w:sz w:val="28"/>
          <w:szCs w:val="28"/>
        </w:rPr>
        <w:tab/>
        <w:t>40.1.</w:t>
      </w:r>
      <w:r w:rsidRPr="003C1A98">
        <w:rPr>
          <w:rFonts w:ascii="Arial" w:hAnsi="Arial" w:cs="Arial"/>
          <w:sz w:val="28"/>
          <w:szCs w:val="28"/>
        </w:rPr>
        <w:tab/>
      </w:r>
      <w:r w:rsidRPr="00985775">
        <w:rPr>
          <w:rFonts w:ascii="Arial" w:hAnsi="Arial" w:cs="Arial"/>
          <w:sz w:val="28"/>
          <w:szCs w:val="28"/>
        </w:rPr>
        <w:t>The application for review is dismissed with costs</w:t>
      </w:r>
      <w:r w:rsidR="00370C13" w:rsidRPr="00985775">
        <w:rPr>
          <w:rFonts w:ascii="Arial" w:hAnsi="Arial" w:cs="Arial"/>
          <w:sz w:val="28"/>
          <w:szCs w:val="28"/>
        </w:rPr>
        <w:t xml:space="preserve"> </w:t>
      </w:r>
      <w:r w:rsidR="00F7564D" w:rsidRPr="00985775">
        <w:rPr>
          <w:rFonts w:ascii="Arial" w:hAnsi="Arial" w:cs="Arial"/>
          <w:sz w:val="28"/>
          <w:szCs w:val="28"/>
        </w:rPr>
        <w:t>which</w:t>
      </w:r>
    </w:p>
    <w:p w:rsidR="00EC63C3" w:rsidRPr="00985775" w:rsidRDefault="00985775" w:rsidP="00EC63C3">
      <w:pPr>
        <w:spacing w:after="0" w:line="360" w:lineRule="auto"/>
        <w:ind w:left="720" w:hanging="720"/>
        <w:jc w:val="both"/>
        <w:rPr>
          <w:rFonts w:ascii="Arial" w:hAnsi="Arial" w:cs="Arial"/>
          <w:sz w:val="24"/>
          <w:szCs w:val="24"/>
        </w:rPr>
      </w:pPr>
      <w:r w:rsidRPr="00985775">
        <w:rPr>
          <w:rFonts w:ascii="Arial" w:hAnsi="Arial" w:cs="Arial"/>
          <w:sz w:val="28"/>
          <w:szCs w:val="28"/>
        </w:rPr>
        <w:t xml:space="preserve">                   i</w:t>
      </w:r>
      <w:r w:rsidR="00F7564D" w:rsidRPr="00985775">
        <w:rPr>
          <w:rFonts w:ascii="Arial" w:hAnsi="Arial" w:cs="Arial"/>
          <w:sz w:val="28"/>
          <w:szCs w:val="28"/>
        </w:rPr>
        <w:t xml:space="preserve">ncludes the reserved costs of 23 May 2022.  </w:t>
      </w:r>
    </w:p>
    <w:p w:rsidR="00EC63C3" w:rsidRPr="003C1A98" w:rsidRDefault="00EC63C3" w:rsidP="00EC63C3">
      <w:pPr>
        <w:spacing w:line="360" w:lineRule="auto"/>
        <w:jc w:val="both"/>
        <w:rPr>
          <w:rFonts w:ascii="Arial" w:hAnsi="Arial" w:cs="Arial"/>
          <w:sz w:val="28"/>
          <w:szCs w:val="28"/>
        </w:rPr>
      </w:pPr>
    </w:p>
    <w:p w:rsidR="00EC63C3" w:rsidRPr="003C1A98" w:rsidRDefault="00EC63C3" w:rsidP="00EC63C3">
      <w:pPr>
        <w:spacing w:after="0"/>
        <w:jc w:val="right"/>
        <w:rPr>
          <w:rFonts w:ascii="Arial" w:hAnsi="Arial" w:cs="Arial"/>
          <w:b/>
          <w:color w:val="000000" w:themeColor="text1"/>
          <w:sz w:val="28"/>
          <w:szCs w:val="28"/>
        </w:rPr>
      </w:pPr>
      <w:r w:rsidRPr="003C1A98">
        <w:rPr>
          <w:rFonts w:ascii="Arial" w:hAnsi="Arial" w:cs="Arial"/>
          <w:b/>
          <w:color w:val="000000" w:themeColor="text1"/>
          <w:sz w:val="28"/>
          <w:szCs w:val="28"/>
        </w:rPr>
        <w:t>__________________</w:t>
      </w:r>
    </w:p>
    <w:p w:rsidR="00EC63C3" w:rsidRPr="003C1A98" w:rsidRDefault="00EC63C3" w:rsidP="00EC63C3">
      <w:pPr>
        <w:spacing w:after="0"/>
        <w:jc w:val="right"/>
        <w:rPr>
          <w:rFonts w:ascii="Arial" w:hAnsi="Arial" w:cs="Arial"/>
          <w:b/>
          <w:color w:val="000000" w:themeColor="text1"/>
          <w:sz w:val="28"/>
          <w:szCs w:val="28"/>
        </w:rPr>
      </w:pPr>
      <w:r w:rsidRPr="003C1A98">
        <w:rPr>
          <w:rFonts w:ascii="Arial" w:hAnsi="Arial" w:cs="Arial"/>
          <w:b/>
          <w:color w:val="000000" w:themeColor="text1"/>
          <w:sz w:val="28"/>
          <w:szCs w:val="28"/>
        </w:rPr>
        <w:t>M.A. MATHEBULA, J</w:t>
      </w:r>
    </w:p>
    <w:p w:rsidR="00EC63C3" w:rsidRPr="003C1A98" w:rsidRDefault="00EC63C3" w:rsidP="00EC63C3">
      <w:pPr>
        <w:rPr>
          <w:rFonts w:ascii="Arial" w:hAnsi="Arial" w:cs="Arial"/>
          <w:b/>
          <w:color w:val="000000" w:themeColor="text1"/>
          <w:sz w:val="28"/>
          <w:szCs w:val="28"/>
        </w:rPr>
      </w:pPr>
    </w:p>
    <w:p w:rsidR="00EC63C3" w:rsidRPr="003C1A98" w:rsidRDefault="00EC63C3" w:rsidP="00EC63C3">
      <w:pPr>
        <w:rPr>
          <w:rFonts w:ascii="Arial" w:hAnsi="Arial" w:cs="Arial"/>
          <w:color w:val="000000" w:themeColor="text1"/>
          <w:sz w:val="28"/>
          <w:szCs w:val="28"/>
        </w:rPr>
      </w:pPr>
      <w:r w:rsidRPr="003C1A98">
        <w:rPr>
          <w:rFonts w:ascii="Arial" w:hAnsi="Arial" w:cs="Arial"/>
          <w:color w:val="000000" w:themeColor="text1"/>
          <w:sz w:val="28"/>
          <w:szCs w:val="28"/>
        </w:rPr>
        <w:t>I concur,</w:t>
      </w:r>
    </w:p>
    <w:p w:rsidR="00EC63C3" w:rsidRPr="003C1A98" w:rsidRDefault="00EC63C3" w:rsidP="00EC63C3">
      <w:pPr>
        <w:rPr>
          <w:rFonts w:ascii="Arial" w:hAnsi="Arial" w:cs="Arial"/>
          <w:color w:val="000000" w:themeColor="text1"/>
          <w:sz w:val="28"/>
          <w:szCs w:val="28"/>
        </w:rPr>
      </w:pPr>
    </w:p>
    <w:p w:rsidR="00EC63C3" w:rsidRPr="003C1A98" w:rsidRDefault="00EC63C3" w:rsidP="00EC63C3">
      <w:pPr>
        <w:spacing w:after="0"/>
        <w:jc w:val="right"/>
        <w:rPr>
          <w:rFonts w:ascii="Arial" w:hAnsi="Arial" w:cs="Arial"/>
          <w:b/>
          <w:color w:val="000000" w:themeColor="text1"/>
          <w:sz w:val="28"/>
          <w:szCs w:val="28"/>
        </w:rPr>
      </w:pPr>
      <w:r w:rsidRPr="003C1A98">
        <w:rPr>
          <w:rFonts w:ascii="Arial" w:hAnsi="Arial" w:cs="Arial"/>
          <w:b/>
          <w:color w:val="000000" w:themeColor="text1"/>
          <w:sz w:val="28"/>
          <w:szCs w:val="28"/>
        </w:rPr>
        <w:t>___________________</w:t>
      </w:r>
    </w:p>
    <w:p w:rsidR="00EC63C3" w:rsidRPr="003C1A98" w:rsidRDefault="00EC63C3" w:rsidP="00EC63C3">
      <w:pPr>
        <w:spacing w:after="0"/>
        <w:jc w:val="right"/>
        <w:rPr>
          <w:rFonts w:ascii="Arial" w:hAnsi="Arial" w:cs="Arial"/>
          <w:b/>
          <w:color w:val="000000" w:themeColor="text1"/>
          <w:sz w:val="28"/>
          <w:szCs w:val="28"/>
        </w:rPr>
      </w:pPr>
      <w:r w:rsidRPr="003C1A98">
        <w:rPr>
          <w:rFonts w:ascii="Arial" w:hAnsi="Arial" w:cs="Arial"/>
          <w:sz w:val="28"/>
          <w:szCs w:val="28"/>
        </w:rPr>
        <w:tab/>
      </w:r>
      <w:r w:rsidRPr="003C1A98">
        <w:rPr>
          <w:rFonts w:ascii="Arial" w:hAnsi="Arial" w:cs="Arial"/>
          <w:sz w:val="28"/>
          <w:szCs w:val="28"/>
        </w:rPr>
        <w:tab/>
      </w:r>
      <w:r w:rsidRPr="003C1A98">
        <w:rPr>
          <w:rFonts w:ascii="Arial" w:hAnsi="Arial" w:cs="Arial"/>
          <w:sz w:val="28"/>
          <w:szCs w:val="28"/>
        </w:rPr>
        <w:tab/>
      </w:r>
      <w:r w:rsidRPr="003C1A98">
        <w:rPr>
          <w:rFonts w:ascii="Arial" w:hAnsi="Arial" w:cs="Arial"/>
          <w:sz w:val="28"/>
          <w:szCs w:val="28"/>
        </w:rPr>
        <w:tab/>
      </w:r>
      <w:r w:rsidRPr="003C1A98">
        <w:rPr>
          <w:rFonts w:ascii="Arial" w:hAnsi="Arial" w:cs="Arial"/>
          <w:sz w:val="28"/>
          <w:szCs w:val="28"/>
        </w:rPr>
        <w:tab/>
      </w:r>
      <w:r w:rsidRPr="003C1A98">
        <w:rPr>
          <w:rFonts w:ascii="Arial" w:hAnsi="Arial" w:cs="Arial"/>
          <w:sz w:val="28"/>
          <w:szCs w:val="28"/>
        </w:rPr>
        <w:tab/>
      </w:r>
      <w:r w:rsidRPr="003C1A98">
        <w:rPr>
          <w:rFonts w:ascii="Arial" w:hAnsi="Arial" w:cs="Arial"/>
          <w:sz w:val="28"/>
          <w:szCs w:val="28"/>
        </w:rPr>
        <w:tab/>
      </w:r>
      <w:r w:rsidRPr="003C1A98">
        <w:rPr>
          <w:rFonts w:ascii="Arial" w:hAnsi="Arial" w:cs="Arial"/>
          <w:sz w:val="28"/>
          <w:szCs w:val="28"/>
        </w:rPr>
        <w:tab/>
      </w:r>
      <w:r w:rsidRPr="003C1A98">
        <w:rPr>
          <w:rFonts w:ascii="Arial" w:hAnsi="Arial" w:cs="Arial"/>
          <w:b/>
          <w:color w:val="000000" w:themeColor="text1"/>
          <w:sz w:val="28"/>
          <w:szCs w:val="28"/>
        </w:rPr>
        <w:t>P.E. MOLITSOANE, J</w:t>
      </w:r>
    </w:p>
    <w:p w:rsidR="00EC63C3" w:rsidRPr="003C1A98" w:rsidRDefault="00EC63C3" w:rsidP="00EC63C3">
      <w:pPr>
        <w:spacing w:after="0" w:line="240" w:lineRule="auto"/>
        <w:rPr>
          <w:rFonts w:ascii="Arial" w:hAnsi="Arial" w:cs="Arial"/>
          <w:sz w:val="28"/>
          <w:szCs w:val="28"/>
        </w:rPr>
      </w:pPr>
      <w:r w:rsidRPr="003C1A98">
        <w:rPr>
          <w:rFonts w:ascii="Arial" w:hAnsi="Arial" w:cs="Arial"/>
          <w:sz w:val="28"/>
          <w:szCs w:val="28"/>
        </w:rPr>
        <w:t xml:space="preserve">    </w:t>
      </w:r>
    </w:p>
    <w:p w:rsidR="00EC63C3" w:rsidRPr="003C1A98" w:rsidRDefault="00EC63C3" w:rsidP="00EC63C3">
      <w:pPr>
        <w:rPr>
          <w:rFonts w:ascii="Arial" w:hAnsi="Arial" w:cs="Arial"/>
          <w:sz w:val="28"/>
          <w:szCs w:val="28"/>
        </w:rPr>
      </w:pPr>
    </w:p>
    <w:p w:rsidR="00EC63C3" w:rsidRPr="003C1A98" w:rsidRDefault="00EC63C3" w:rsidP="00EC63C3">
      <w:pPr>
        <w:jc w:val="right"/>
        <w:rPr>
          <w:rFonts w:ascii="Arial" w:hAnsi="Arial" w:cs="Arial"/>
          <w:sz w:val="28"/>
          <w:szCs w:val="28"/>
        </w:rPr>
      </w:pPr>
    </w:p>
    <w:p w:rsidR="00A71416" w:rsidRPr="003C1A98" w:rsidRDefault="00A71416" w:rsidP="00EC63C3">
      <w:pPr>
        <w:jc w:val="right"/>
        <w:rPr>
          <w:rFonts w:ascii="Arial" w:hAnsi="Arial" w:cs="Arial"/>
          <w:sz w:val="28"/>
          <w:szCs w:val="28"/>
        </w:rPr>
      </w:pPr>
    </w:p>
    <w:p w:rsidR="00A71416" w:rsidRPr="003C1A98" w:rsidRDefault="00A71416" w:rsidP="00EC63C3">
      <w:pPr>
        <w:jc w:val="right"/>
        <w:rPr>
          <w:rFonts w:ascii="Arial" w:hAnsi="Arial" w:cs="Arial"/>
          <w:sz w:val="28"/>
          <w:szCs w:val="28"/>
        </w:rPr>
      </w:pPr>
    </w:p>
    <w:p w:rsidR="00A71416" w:rsidRPr="003C1A98" w:rsidRDefault="00A71416" w:rsidP="00EC63C3">
      <w:pPr>
        <w:jc w:val="right"/>
        <w:rPr>
          <w:rFonts w:ascii="Arial" w:hAnsi="Arial" w:cs="Arial"/>
          <w:sz w:val="28"/>
          <w:szCs w:val="28"/>
        </w:rPr>
      </w:pPr>
    </w:p>
    <w:p w:rsidR="00EC63C3" w:rsidRPr="003C1A98" w:rsidRDefault="00EC63C3" w:rsidP="00EC63C3">
      <w:pPr>
        <w:tabs>
          <w:tab w:val="left" w:pos="1701"/>
        </w:tabs>
        <w:ind w:left="851" w:hanging="851"/>
        <w:rPr>
          <w:rFonts w:ascii="Arial" w:hAnsi="Arial" w:cs="Arial"/>
          <w:color w:val="000000" w:themeColor="text1"/>
          <w:sz w:val="28"/>
          <w:szCs w:val="28"/>
        </w:rPr>
      </w:pPr>
      <w:r w:rsidRPr="003C1A98">
        <w:rPr>
          <w:rFonts w:ascii="Arial" w:hAnsi="Arial" w:cs="Arial"/>
          <w:color w:val="000000" w:themeColor="text1"/>
          <w:sz w:val="28"/>
          <w:szCs w:val="28"/>
        </w:rPr>
        <w:t>On behalf of the applicant:</w:t>
      </w:r>
      <w:r w:rsidRPr="003C1A98">
        <w:rPr>
          <w:rFonts w:ascii="Arial" w:hAnsi="Arial" w:cs="Arial"/>
          <w:color w:val="000000" w:themeColor="text1"/>
          <w:sz w:val="28"/>
          <w:szCs w:val="28"/>
        </w:rPr>
        <w:tab/>
      </w:r>
      <w:r w:rsidRPr="003C1A98">
        <w:rPr>
          <w:rFonts w:ascii="Arial" w:hAnsi="Arial" w:cs="Arial"/>
          <w:color w:val="000000" w:themeColor="text1"/>
          <w:sz w:val="28"/>
          <w:szCs w:val="28"/>
        </w:rPr>
        <w:tab/>
      </w:r>
      <w:r w:rsidRPr="003C1A98">
        <w:rPr>
          <w:rFonts w:ascii="Arial" w:hAnsi="Arial" w:cs="Arial"/>
          <w:color w:val="000000" w:themeColor="text1"/>
          <w:sz w:val="28"/>
          <w:szCs w:val="28"/>
        </w:rPr>
        <w:tab/>
        <w:t>Adv. W.A. Van Aswegen</w:t>
      </w:r>
    </w:p>
    <w:p w:rsidR="00EC63C3" w:rsidRPr="003C1A98" w:rsidRDefault="00EC63C3" w:rsidP="00EC63C3">
      <w:pPr>
        <w:tabs>
          <w:tab w:val="left" w:pos="1701"/>
        </w:tabs>
        <w:ind w:left="851" w:hanging="851"/>
        <w:rPr>
          <w:rFonts w:ascii="Arial" w:hAnsi="Arial" w:cs="Arial"/>
          <w:color w:val="000000" w:themeColor="text1"/>
          <w:sz w:val="28"/>
          <w:szCs w:val="28"/>
        </w:rPr>
      </w:pPr>
      <w:r w:rsidRPr="003C1A98">
        <w:rPr>
          <w:rFonts w:ascii="Arial" w:hAnsi="Arial" w:cs="Arial"/>
          <w:color w:val="000000" w:themeColor="text1"/>
          <w:sz w:val="28"/>
          <w:szCs w:val="28"/>
        </w:rPr>
        <w:t>Instructed by:</w:t>
      </w:r>
      <w:r w:rsidRPr="003C1A98">
        <w:rPr>
          <w:rFonts w:ascii="Arial" w:hAnsi="Arial" w:cs="Arial"/>
          <w:color w:val="000000" w:themeColor="text1"/>
          <w:sz w:val="28"/>
          <w:szCs w:val="28"/>
        </w:rPr>
        <w:tab/>
      </w:r>
      <w:r w:rsidRPr="003C1A98">
        <w:rPr>
          <w:rFonts w:ascii="Arial" w:hAnsi="Arial" w:cs="Arial"/>
          <w:color w:val="000000" w:themeColor="text1"/>
          <w:sz w:val="28"/>
          <w:szCs w:val="28"/>
        </w:rPr>
        <w:tab/>
      </w:r>
      <w:r w:rsidRPr="003C1A98">
        <w:rPr>
          <w:rFonts w:ascii="Arial" w:hAnsi="Arial" w:cs="Arial"/>
          <w:color w:val="000000" w:themeColor="text1"/>
          <w:sz w:val="28"/>
          <w:szCs w:val="28"/>
        </w:rPr>
        <w:tab/>
      </w:r>
      <w:r w:rsidRPr="003C1A98">
        <w:rPr>
          <w:rFonts w:ascii="Arial" w:hAnsi="Arial" w:cs="Arial"/>
          <w:color w:val="000000" w:themeColor="text1"/>
          <w:sz w:val="28"/>
          <w:szCs w:val="28"/>
        </w:rPr>
        <w:tab/>
      </w:r>
      <w:r w:rsidRPr="003C1A98">
        <w:rPr>
          <w:rFonts w:ascii="Arial" w:hAnsi="Arial" w:cs="Arial"/>
          <w:color w:val="000000" w:themeColor="text1"/>
          <w:sz w:val="28"/>
          <w:szCs w:val="28"/>
        </w:rPr>
        <w:tab/>
      </w:r>
      <w:r w:rsidRPr="003C1A98">
        <w:rPr>
          <w:rFonts w:ascii="Arial" w:hAnsi="Arial" w:cs="Arial"/>
          <w:color w:val="000000" w:themeColor="text1"/>
          <w:sz w:val="28"/>
          <w:szCs w:val="28"/>
        </w:rPr>
        <w:tab/>
        <w:t>Peyper Attorneys</w:t>
      </w:r>
    </w:p>
    <w:p w:rsidR="00EC63C3" w:rsidRPr="003C1A98" w:rsidRDefault="00EC63C3" w:rsidP="00EC63C3">
      <w:pPr>
        <w:tabs>
          <w:tab w:val="left" w:pos="1701"/>
        </w:tabs>
        <w:ind w:left="851" w:hanging="851"/>
        <w:rPr>
          <w:rFonts w:ascii="Arial" w:hAnsi="Arial" w:cs="Arial"/>
          <w:color w:val="000000" w:themeColor="text1"/>
          <w:sz w:val="28"/>
          <w:szCs w:val="28"/>
        </w:rPr>
      </w:pPr>
      <w:r w:rsidRPr="003C1A98">
        <w:rPr>
          <w:rFonts w:ascii="Arial" w:hAnsi="Arial" w:cs="Arial"/>
          <w:color w:val="000000" w:themeColor="text1"/>
          <w:sz w:val="28"/>
          <w:szCs w:val="28"/>
        </w:rPr>
        <w:tab/>
      </w:r>
      <w:r w:rsidRPr="003C1A98">
        <w:rPr>
          <w:rFonts w:ascii="Arial" w:hAnsi="Arial" w:cs="Arial"/>
          <w:color w:val="000000" w:themeColor="text1"/>
          <w:sz w:val="28"/>
          <w:szCs w:val="28"/>
        </w:rPr>
        <w:tab/>
      </w:r>
      <w:r w:rsidRPr="003C1A98">
        <w:rPr>
          <w:rFonts w:ascii="Arial" w:hAnsi="Arial" w:cs="Arial"/>
          <w:color w:val="000000" w:themeColor="text1"/>
          <w:sz w:val="28"/>
          <w:szCs w:val="28"/>
        </w:rPr>
        <w:tab/>
      </w:r>
      <w:r w:rsidRPr="003C1A98">
        <w:rPr>
          <w:rFonts w:ascii="Arial" w:hAnsi="Arial" w:cs="Arial"/>
          <w:color w:val="000000" w:themeColor="text1"/>
          <w:sz w:val="28"/>
          <w:szCs w:val="28"/>
        </w:rPr>
        <w:tab/>
      </w:r>
      <w:r w:rsidRPr="003C1A98">
        <w:rPr>
          <w:rFonts w:ascii="Arial" w:hAnsi="Arial" w:cs="Arial"/>
          <w:color w:val="000000" w:themeColor="text1"/>
          <w:sz w:val="28"/>
          <w:szCs w:val="28"/>
        </w:rPr>
        <w:tab/>
      </w:r>
      <w:r w:rsidRPr="003C1A98">
        <w:rPr>
          <w:rFonts w:ascii="Arial" w:hAnsi="Arial" w:cs="Arial"/>
          <w:color w:val="000000" w:themeColor="text1"/>
          <w:sz w:val="28"/>
          <w:szCs w:val="28"/>
        </w:rPr>
        <w:tab/>
      </w:r>
      <w:r w:rsidRPr="003C1A98">
        <w:rPr>
          <w:rFonts w:ascii="Arial" w:hAnsi="Arial" w:cs="Arial"/>
          <w:color w:val="000000" w:themeColor="text1"/>
          <w:sz w:val="28"/>
          <w:szCs w:val="28"/>
        </w:rPr>
        <w:tab/>
        <w:t>Bloemfontein</w:t>
      </w:r>
    </w:p>
    <w:p w:rsidR="00EC63C3" w:rsidRPr="003C1A98" w:rsidRDefault="00EC63C3" w:rsidP="00EC63C3">
      <w:pPr>
        <w:tabs>
          <w:tab w:val="left" w:pos="1701"/>
        </w:tabs>
        <w:ind w:left="851" w:hanging="851"/>
        <w:rPr>
          <w:rFonts w:ascii="Arial" w:hAnsi="Arial" w:cs="Arial"/>
          <w:color w:val="000000" w:themeColor="text1"/>
          <w:sz w:val="28"/>
          <w:szCs w:val="28"/>
        </w:rPr>
      </w:pPr>
    </w:p>
    <w:p w:rsidR="00EC63C3" w:rsidRPr="003C1A98" w:rsidRDefault="00EC63C3" w:rsidP="00EC63C3">
      <w:pPr>
        <w:tabs>
          <w:tab w:val="left" w:pos="1701"/>
        </w:tabs>
        <w:ind w:left="851" w:hanging="851"/>
        <w:rPr>
          <w:rFonts w:ascii="Arial" w:hAnsi="Arial" w:cs="Arial"/>
          <w:color w:val="000000" w:themeColor="text1"/>
          <w:sz w:val="28"/>
          <w:szCs w:val="28"/>
        </w:rPr>
      </w:pPr>
      <w:r w:rsidRPr="003C1A98">
        <w:rPr>
          <w:rFonts w:ascii="Arial" w:hAnsi="Arial" w:cs="Arial"/>
          <w:color w:val="000000" w:themeColor="text1"/>
          <w:sz w:val="28"/>
          <w:szCs w:val="28"/>
        </w:rPr>
        <w:t>On behalf of the first respondent:</w:t>
      </w:r>
      <w:r w:rsidRPr="003C1A98">
        <w:rPr>
          <w:rFonts w:ascii="Arial" w:hAnsi="Arial" w:cs="Arial"/>
          <w:color w:val="000000" w:themeColor="text1"/>
          <w:sz w:val="28"/>
          <w:szCs w:val="28"/>
        </w:rPr>
        <w:tab/>
      </w:r>
      <w:r w:rsidRPr="003C1A98">
        <w:rPr>
          <w:rFonts w:ascii="Arial" w:hAnsi="Arial" w:cs="Arial"/>
          <w:color w:val="000000" w:themeColor="text1"/>
          <w:sz w:val="28"/>
          <w:szCs w:val="28"/>
        </w:rPr>
        <w:tab/>
        <w:t>Adv. A.E. Ayayee</w:t>
      </w:r>
    </w:p>
    <w:p w:rsidR="00EC63C3" w:rsidRPr="003C1A98" w:rsidRDefault="00EC63C3" w:rsidP="00EC63C3">
      <w:pPr>
        <w:tabs>
          <w:tab w:val="left" w:pos="1701"/>
        </w:tabs>
        <w:ind w:left="851" w:hanging="851"/>
        <w:rPr>
          <w:rFonts w:ascii="Arial" w:hAnsi="Arial" w:cs="Arial"/>
          <w:color w:val="000000" w:themeColor="text1"/>
          <w:sz w:val="28"/>
          <w:szCs w:val="28"/>
        </w:rPr>
      </w:pPr>
      <w:r w:rsidRPr="003C1A98">
        <w:rPr>
          <w:rFonts w:ascii="Arial" w:hAnsi="Arial" w:cs="Arial"/>
          <w:color w:val="000000" w:themeColor="text1"/>
          <w:sz w:val="28"/>
          <w:szCs w:val="28"/>
        </w:rPr>
        <w:t>Instructed by:</w:t>
      </w:r>
      <w:r w:rsidRPr="003C1A98">
        <w:rPr>
          <w:rFonts w:ascii="Arial" w:hAnsi="Arial" w:cs="Arial"/>
          <w:color w:val="000000" w:themeColor="text1"/>
          <w:sz w:val="28"/>
          <w:szCs w:val="28"/>
        </w:rPr>
        <w:tab/>
      </w:r>
      <w:r w:rsidRPr="003C1A98">
        <w:rPr>
          <w:rFonts w:ascii="Arial" w:hAnsi="Arial" w:cs="Arial"/>
          <w:color w:val="000000" w:themeColor="text1"/>
          <w:sz w:val="28"/>
          <w:szCs w:val="28"/>
        </w:rPr>
        <w:tab/>
      </w:r>
      <w:r w:rsidRPr="003C1A98">
        <w:rPr>
          <w:rFonts w:ascii="Arial" w:hAnsi="Arial" w:cs="Arial"/>
          <w:color w:val="000000" w:themeColor="text1"/>
          <w:sz w:val="28"/>
          <w:szCs w:val="28"/>
        </w:rPr>
        <w:tab/>
      </w:r>
      <w:r w:rsidRPr="003C1A98">
        <w:rPr>
          <w:rFonts w:ascii="Arial" w:hAnsi="Arial" w:cs="Arial"/>
          <w:color w:val="000000" w:themeColor="text1"/>
          <w:sz w:val="28"/>
          <w:szCs w:val="28"/>
        </w:rPr>
        <w:tab/>
      </w:r>
      <w:r w:rsidRPr="003C1A98">
        <w:rPr>
          <w:rFonts w:ascii="Arial" w:hAnsi="Arial" w:cs="Arial"/>
          <w:color w:val="000000" w:themeColor="text1"/>
          <w:sz w:val="28"/>
          <w:szCs w:val="28"/>
        </w:rPr>
        <w:tab/>
      </w:r>
      <w:r w:rsidRPr="003C1A98">
        <w:rPr>
          <w:rFonts w:ascii="Arial" w:hAnsi="Arial" w:cs="Arial"/>
          <w:color w:val="000000" w:themeColor="text1"/>
          <w:sz w:val="28"/>
          <w:szCs w:val="28"/>
        </w:rPr>
        <w:tab/>
        <w:t>Majavu Incorporated</w:t>
      </w:r>
    </w:p>
    <w:p w:rsidR="00EC63C3" w:rsidRPr="003C1A98" w:rsidRDefault="00EC63C3" w:rsidP="00EC63C3">
      <w:pPr>
        <w:tabs>
          <w:tab w:val="left" w:pos="1701"/>
        </w:tabs>
        <w:ind w:left="851" w:hanging="851"/>
        <w:rPr>
          <w:rFonts w:ascii="Arial" w:hAnsi="Arial" w:cs="Arial"/>
          <w:color w:val="000000" w:themeColor="text1"/>
          <w:sz w:val="28"/>
          <w:szCs w:val="28"/>
        </w:rPr>
      </w:pPr>
      <w:r w:rsidRPr="003C1A98">
        <w:rPr>
          <w:rFonts w:ascii="Arial" w:hAnsi="Arial" w:cs="Arial"/>
          <w:color w:val="000000" w:themeColor="text1"/>
          <w:sz w:val="28"/>
          <w:szCs w:val="28"/>
        </w:rPr>
        <w:tab/>
      </w:r>
      <w:r w:rsidRPr="003C1A98">
        <w:rPr>
          <w:rFonts w:ascii="Arial" w:hAnsi="Arial" w:cs="Arial"/>
          <w:color w:val="000000" w:themeColor="text1"/>
          <w:sz w:val="28"/>
          <w:szCs w:val="28"/>
        </w:rPr>
        <w:tab/>
      </w:r>
      <w:r w:rsidRPr="003C1A98">
        <w:rPr>
          <w:rFonts w:ascii="Arial" w:hAnsi="Arial" w:cs="Arial"/>
          <w:color w:val="000000" w:themeColor="text1"/>
          <w:sz w:val="28"/>
          <w:szCs w:val="28"/>
        </w:rPr>
        <w:tab/>
      </w:r>
      <w:r w:rsidRPr="003C1A98">
        <w:rPr>
          <w:rFonts w:ascii="Arial" w:hAnsi="Arial" w:cs="Arial"/>
          <w:color w:val="000000" w:themeColor="text1"/>
          <w:sz w:val="28"/>
          <w:szCs w:val="28"/>
        </w:rPr>
        <w:tab/>
      </w:r>
      <w:r w:rsidRPr="003C1A98">
        <w:rPr>
          <w:rFonts w:ascii="Arial" w:hAnsi="Arial" w:cs="Arial"/>
          <w:color w:val="000000" w:themeColor="text1"/>
          <w:sz w:val="28"/>
          <w:szCs w:val="28"/>
        </w:rPr>
        <w:tab/>
      </w:r>
      <w:r w:rsidRPr="003C1A98">
        <w:rPr>
          <w:rFonts w:ascii="Arial" w:hAnsi="Arial" w:cs="Arial"/>
          <w:color w:val="000000" w:themeColor="text1"/>
          <w:sz w:val="28"/>
          <w:szCs w:val="28"/>
        </w:rPr>
        <w:tab/>
      </w:r>
      <w:r w:rsidRPr="003C1A98">
        <w:rPr>
          <w:rFonts w:ascii="Arial" w:hAnsi="Arial" w:cs="Arial"/>
          <w:color w:val="000000" w:themeColor="text1"/>
          <w:sz w:val="28"/>
          <w:szCs w:val="28"/>
        </w:rPr>
        <w:tab/>
        <w:t>Johannesburg</w:t>
      </w:r>
    </w:p>
    <w:p w:rsidR="00EC63C3" w:rsidRPr="003C1A98" w:rsidRDefault="00EC63C3" w:rsidP="00EC63C3">
      <w:pPr>
        <w:tabs>
          <w:tab w:val="left" w:pos="1701"/>
        </w:tabs>
        <w:ind w:left="851" w:hanging="851"/>
        <w:rPr>
          <w:rFonts w:ascii="Arial" w:hAnsi="Arial" w:cs="Arial"/>
          <w:color w:val="000000" w:themeColor="text1"/>
          <w:sz w:val="28"/>
          <w:szCs w:val="28"/>
        </w:rPr>
      </w:pPr>
      <w:r w:rsidRPr="003C1A98">
        <w:rPr>
          <w:rFonts w:ascii="Arial" w:hAnsi="Arial" w:cs="Arial"/>
          <w:color w:val="000000" w:themeColor="text1"/>
          <w:sz w:val="28"/>
          <w:szCs w:val="28"/>
        </w:rPr>
        <w:tab/>
      </w:r>
      <w:r w:rsidRPr="003C1A98">
        <w:rPr>
          <w:rFonts w:ascii="Arial" w:hAnsi="Arial" w:cs="Arial"/>
          <w:color w:val="000000" w:themeColor="text1"/>
          <w:sz w:val="28"/>
          <w:szCs w:val="28"/>
        </w:rPr>
        <w:tab/>
      </w:r>
      <w:r w:rsidRPr="003C1A98">
        <w:rPr>
          <w:rFonts w:ascii="Arial" w:hAnsi="Arial" w:cs="Arial"/>
          <w:color w:val="000000" w:themeColor="text1"/>
          <w:sz w:val="28"/>
          <w:szCs w:val="28"/>
        </w:rPr>
        <w:tab/>
      </w:r>
      <w:r w:rsidRPr="003C1A98">
        <w:rPr>
          <w:rFonts w:ascii="Arial" w:hAnsi="Arial" w:cs="Arial"/>
          <w:color w:val="000000" w:themeColor="text1"/>
          <w:sz w:val="28"/>
          <w:szCs w:val="28"/>
        </w:rPr>
        <w:tab/>
      </w:r>
      <w:r w:rsidRPr="003C1A98">
        <w:rPr>
          <w:rFonts w:ascii="Arial" w:hAnsi="Arial" w:cs="Arial"/>
          <w:color w:val="000000" w:themeColor="text1"/>
          <w:sz w:val="28"/>
          <w:szCs w:val="28"/>
        </w:rPr>
        <w:tab/>
      </w:r>
      <w:r w:rsidRPr="003C1A98">
        <w:rPr>
          <w:rFonts w:ascii="Arial" w:hAnsi="Arial" w:cs="Arial"/>
          <w:color w:val="000000" w:themeColor="text1"/>
          <w:sz w:val="28"/>
          <w:szCs w:val="28"/>
        </w:rPr>
        <w:tab/>
      </w:r>
      <w:r w:rsidRPr="003C1A98">
        <w:rPr>
          <w:rFonts w:ascii="Arial" w:hAnsi="Arial" w:cs="Arial"/>
          <w:color w:val="000000" w:themeColor="text1"/>
          <w:sz w:val="28"/>
          <w:szCs w:val="28"/>
        </w:rPr>
        <w:tab/>
        <w:t>C/O Rampai Attorneys</w:t>
      </w:r>
    </w:p>
    <w:p w:rsidR="00EC63C3" w:rsidRPr="003C1A98" w:rsidRDefault="00EC63C3" w:rsidP="00EC63C3">
      <w:pPr>
        <w:tabs>
          <w:tab w:val="left" w:pos="1701"/>
        </w:tabs>
        <w:ind w:left="851" w:hanging="851"/>
        <w:rPr>
          <w:rFonts w:ascii="Arial" w:hAnsi="Arial" w:cs="Arial"/>
          <w:color w:val="000000" w:themeColor="text1"/>
          <w:sz w:val="28"/>
          <w:szCs w:val="28"/>
        </w:rPr>
      </w:pPr>
      <w:r w:rsidRPr="003C1A98">
        <w:rPr>
          <w:rFonts w:ascii="Arial" w:hAnsi="Arial" w:cs="Arial"/>
          <w:color w:val="000000" w:themeColor="text1"/>
          <w:sz w:val="28"/>
          <w:szCs w:val="28"/>
        </w:rPr>
        <w:tab/>
      </w:r>
      <w:r w:rsidRPr="003C1A98">
        <w:rPr>
          <w:rFonts w:ascii="Arial" w:hAnsi="Arial" w:cs="Arial"/>
          <w:color w:val="000000" w:themeColor="text1"/>
          <w:sz w:val="28"/>
          <w:szCs w:val="28"/>
        </w:rPr>
        <w:tab/>
      </w:r>
      <w:r w:rsidRPr="003C1A98">
        <w:rPr>
          <w:rFonts w:ascii="Arial" w:hAnsi="Arial" w:cs="Arial"/>
          <w:color w:val="000000" w:themeColor="text1"/>
          <w:sz w:val="28"/>
          <w:szCs w:val="28"/>
        </w:rPr>
        <w:tab/>
      </w:r>
      <w:r w:rsidRPr="003C1A98">
        <w:rPr>
          <w:rFonts w:ascii="Arial" w:hAnsi="Arial" w:cs="Arial"/>
          <w:color w:val="000000" w:themeColor="text1"/>
          <w:sz w:val="28"/>
          <w:szCs w:val="28"/>
        </w:rPr>
        <w:tab/>
      </w:r>
      <w:r w:rsidRPr="003C1A98">
        <w:rPr>
          <w:rFonts w:ascii="Arial" w:hAnsi="Arial" w:cs="Arial"/>
          <w:color w:val="000000" w:themeColor="text1"/>
          <w:sz w:val="28"/>
          <w:szCs w:val="28"/>
        </w:rPr>
        <w:tab/>
      </w:r>
      <w:r w:rsidRPr="003C1A98">
        <w:rPr>
          <w:rFonts w:ascii="Arial" w:hAnsi="Arial" w:cs="Arial"/>
          <w:color w:val="000000" w:themeColor="text1"/>
          <w:sz w:val="28"/>
          <w:szCs w:val="28"/>
        </w:rPr>
        <w:tab/>
      </w:r>
      <w:r w:rsidRPr="003C1A98">
        <w:rPr>
          <w:rFonts w:ascii="Arial" w:hAnsi="Arial" w:cs="Arial"/>
          <w:color w:val="000000" w:themeColor="text1"/>
          <w:sz w:val="28"/>
          <w:szCs w:val="28"/>
        </w:rPr>
        <w:tab/>
        <w:t>Bloemfontein</w:t>
      </w:r>
    </w:p>
    <w:p w:rsidR="00EC63C3" w:rsidRPr="003C1A98" w:rsidRDefault="00EC63C3" w:rsidP="00EC63C3">
      <w:pPr>
        <w:tabs>
          <w:tab w:val="left" w:pos="1701"/>
        </w:tabs>
        <w:ind w:left="851" w:hanging="851"/>
        <w:rPr>
          <w:rFonts w:ascii="Arial" w:hAnsi="Arial" w:cs="Arial"/>
          <w:color w:val="000000" w:themeColor="text1"/>
          <w:sz w:val="28"/>
          <w:szCs w:val="28"/>
        </w:rPr>
      </w:pPr>
    </w:p>
    <w:p w:rsidR="00EC63C3" w:rsidRPr="003C1A98" w:rsidRDefault="00EC63C3" w:rsidP="00EC63C3">
      <w:pPr>
        <w:tabs>
          <w:tab w:val="left" w:pos="1701"/>
        </w:tabs>
        <w:ind w:left="851" w:hanging="851"/>
        <w:rPr>
          <w:rFonts w:ascii="Arial" w:hAnsi="Arial" w:cs="Arial"/>
          <w:color w:val="000000" w:themeColor="text1"/>
          <w:sz w:val="28"/>
          <w:szCs w:val="28"/>
        </w:rPr>
      </w:pPr>
      <w:r w:rsidRPr="003C1A98">
        <w:rPr>
          <w:rFonts w:ascii="Arial" w:hAnsi="Arial" w:cs="Arial"/>
          <w:color w:val="000000" w:themeColor="text1"/>
          <w:sz w:val="28"/>
          <w:szCs w:val="28"/>
        </w:rPr>
        <w:t>On behalf of the second respondent:</w:t>
      </w:r>
      <w:r w:rsidRPr="003C1A98">
        <w:rPr>
          <w:rFonts w:ascii="Arial" w:hAnsi="Arial" w:cs="Arial"/>
          <w:color w:val="000000" w:themeColor="text1"/>
          <w:sz w:val="28"/>
          <w:szCs w:val="28"/>
        </w:rPr>
        <w:tab/>
        <w:t>No appearance.</w:t>
      </w:r>
    </w:p>
    <w:p w:rsidR="00EC63C3" w:rsidRPr="003C1A98" w:rsidRDefault="00EC63C3" w:rsidP="00EC63C3">
      <w:pPr>
        <w:tabs>
          <w:tab w:val="left" w:pos="1701"/>
        </w:tabs>
        <w:ind w:left="851" w:hanging="851"/>
        <w:rPr>
          <w:rFonts w:ascii="Arial" w:hAnsi="Arial" w:cs="Arial"/>
          <w:color w:val="000000" w:themeColor="text1"/>
          <w:sz w:val="28"/>
          <w:szCs w:val="28"/>
        </w:rPr>
      </w:pPr>
    </w:p>
    <w:p w:rsidR="00EC63C3" w:rsidRPr="003C1A98" w:rsidRDefault="00EC63C3" w:rsidP="00EC63C3">
      <w:pPr>
        <w:tabs>
          <w:tab w:val="left" w:pos="1701"/>
        </w:tabs>
        <w:ind w:left="851" w:hanging="851"/>
        <w:rPr>
          <w:rFonts w:ascii="Arial" w:hAnsi="Arial" w:cs="Arial"/>
          <w:color w:val="000000" w:themeColor="text1"/>
          <w:sz w:val="28"/>
          <w:szCs w:val="28"/>
        </w:rPr>
      </w:pPr>
      <w:r w:rsidRPr="003C1A98">
        <w:rPr>
          <w:rFonts w:ascii="Arial" w:hAnsi="Arial" w:cs="Arial"/>
          <w:color w:val="000000" w:themeColor="text1"/>
          <w:sz w:val="28"/>
          <w:szCs w:val="28"/>
        </w:rPr>
        <w:t>On behalf of the third respondent:</w:t>
      </w:r>
      <w:r w:rsidRPr="003C1A98">
        <w:rPr>
          <w:rFonts w:ascii="Arial" w:hAnsi="Arial" w:cs="Arial"/>
          <w:color w:val="000000" w:themeColor="text1"/>
          <w:sz w:val="28"/>
          <w:szCs w:val="28"/>
        </w:rPr>
        <w:tab/>
      </w:r>
      <w:r w:rsidRPr="003C1A98">
        <w:rPr>
          <w:rFonts w:ascii="Arial" w:hAnsi="Arial" w:cs="Arial"/>
          <w:color w:val="000000" w:themeColor="text1"/>
          <w:sz w:val="28"/>
          <w:szCs w:val="28"/>
        </w:rPr>
        <w:tab/>
        <w:t>No appearance.</w:t>
      </w:r>
    </w:p>
    <w:p w:rsidR="00EA0CB0" w:rsidRPr="00EC63C3" w:rsidRDefault="00EC63C3" w:rsidP="00EC63C3">
      <w:pPr>
        <w:rPr>
          <w:rFonts w:ascii="Arial" w:hAnsi="Arial" w:cs="Arial"/>
          <w:b/>
          <w:sz w:val="10"/>
          <w:szCs w:val="10"/>
        </w:rPr>
      </w:pPr>
      <w:r w:rsidRPr="003C1A98">
        <w:rPr>
          <w:rFonts w:ascii="Arial" w:hAnsi="Arial" w:cs="Arial"/>
          <w:sz w:val="10"/>
          <w:szCs w:val="10"/>
        </w:rPr>
        <w:t>/TKwapa</w:t>
      </w:r>
    </w:p>
    <w:sectPr w:rsidR="00EA0CB0" w:rsidRPr="00EC63C3" w:rsidSect="00D4554F">
      <w:headerReference w:type="default" r:id="rId10"/>
      <w:pgSz w:w="11906" w:h="16838"/>
      <w:pgMar w:top="270" w:right="1440" w:bottom="117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83A" w:rsidRDefault="0068383A" w:rsidP="003A2C84">
      <w:pPr>
        <w:spacing w:after="0" w:line="240" w:lineRule="auto"/>
      </w:pPr>
      <w:r>
        <w:separator/>
      </w:r>
    </w:p>
  </w:endnote>
  <w:endnote w:type="continuationSeparator" w:id="0">
    <w:p w:rsidR="0068383A" w:rsidRDefault="0068383A" w:rsidP="003A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83A" w:rsidRDefault="0068383A" w:rsidP="003A2C84">
      <w:pPr>
        <w:spacing w:after="0" w:line="240" w:lineRule="auto"/>
      </w:pPr>
      <w:r>
        <w:separator/>
      </w:r>
    </w:p>
  </w:footnote>
  <w:footnote w:type="continuationSeparator" w:id="0">
    <w:p w:rsidR="0068383A" w:rsidRDefault="0068383A" w:rsidP="003A2C84">
      <w:pPr>
        <w:spacing w:after="0" w:line="240" w:lineRule="auto"/>
      </w:pPr>
      <w:r>
        <w:continuationSeparator/>
      </w:r>
    </w:p>
  </w:footnote>
  <w:footnote w:id="1">
    <w:p w:rsidR="00184371" w:rsidRDefault="00184371" w:rsidP="00184371">
      <w:pPr>
        <w:pStyle w:val="FootnoteText"/>
      </w:pPr>
      <w:r>
        <w:rPr>
          <w:rStyle w:val="FootnoteReference"/>
        </w:rPr>
        <w:footnoteRef/>
      </w:r>
      <w:r>
        <w:t xml:space="preserve"> Page 26 of the indexed papers.</w:t>
      </w:r>
    </w:p>
  </w:footnote>
  <w:footnote w:id="2">
    <w:p w:rsidR="00184371" w:rsidRDefault="00184371" w:rsidP="00184371">
      <w:pPr>
        <w:pStyle w:val="FootnoteText"/>
      </w:pPr>
      <w:r>
        <w:rPr>
          <w:rStyle w:val="FootnoteReference"/>
        </w:rPr>
        <w:footnoteRef/>
      </w:r>
      <w:r>
        <w:t xml:space="preserve"> Page 40 to 50 of the indexed papers.</w:t>
      </w:r>
    </w:p>
  </w:footnote>
  <w:footnote w:id="3">
    <w:p w:rsidR="00A22433" w:rsidRPr="00A22433" w:rsidRDefault="00184371" w:rsidP="00A22433">
      <w:pPr>
        <w:spacing w:after="0" w:line="240" w:lineRule="auto"/>
        <w:rPr>
          <w:rFonts w:ascii="Arial" w:eastAsia="Times New Roman" w:hAnsi="Arial" w:cs="Arial"/>
          <w:color w:val="000000"/>
          <w:sz w:val="20"/>
          <w:szCs w:val="20"/>
          <w:lang w:eastAsia="en-ZA"/>
        </w:rPr>
      </w:pPr>
      <w:r>
        <w:rPr>
          <w:rStyle w:val="FootnoteReference"/>
        </w:rPr>
        <w:footnoteRef/>
      </w:r>
      <w:r>
        <w:t xml:space="preserve"> </w:t>
      </w:r>
      <w:r w:rsidR="00A22433" w:rsidRPr="00A22433">
        <w:rPr>
          <w:rFonts w:ascii="Arial" w:hAnsi="Arial" w:cs="Arial"/>
          <w:sz w:val="20"/>
          <w:szCs w:val="20"/>
          <w:lang w:val="en-US"/>
        </w:rPr>
        <w:t xml:space="preserve">Section 62 reads as follows: </w:t>
      </w:r>
      <w:r w:rsidR="00A22433">
        <w:rPr>
          <w:rFonts w:ascii="Arial" w:hAnsi="Arial" w:cs="Arial"/>
          <w:sz w:val="20"/>
          <w:szCs w:val="20"/>
          <w:lang w:val="en-US"/>
        </w:rPr>
        <w:t>(1) A</w:t>
      </w:r>
      <w:r w:rsidR="00A22433" w:rsidRPr="00A22433">
        <w:rPr>
          <w:rFonts w:ascii="Arial" w:eastAsia="Times New Roman" w:hAnsi="Arial" w:cs="Arial"/>
          <w:color w:val="000000"/>
          <w:sz w:val="20"/>
          <w:szCs w:val="20"/>
          <w:lang w:eastAsia="en-ZA"/>
        </w:rPr>
        <w:t> person whose rights are affected by a decision taken by a political structure, political office bearer, councillor or staff member of a municipality in terms of a power or duty delegated or sub-delegated by a delegating authority to the political structure, political office bearer, councillor or staff member, may appeal against that decision by giving written notice of the appeal and reasons to the municipal manager within 21 days of the date of the notification of the decision.</w:t>
      </w:r>
      <w:bookmarkStart w:id="0" w:name="0-0-0-162359"/>
      <w:bookmarkEnd w:id="0"/>
      <w:r w:rsidR="00A22433" w:rsidRPr="00A22433">
        <w:rPr>
          <w:rFonts w:ascii="Arial" w:eastAsia="Times New Roman" w:hAnsi="Arial" w:cs="Arial"/>
          <w:color w:val="000000"/>
          <w:sz w:val="20"/>
          <w:szCs w:val="20"/>
          <w:lang w:eastAsia="en-ZA"/>
        </w:rPr>
        <w:t>(2) The municipal manager must promptly submit the appeal to the appropriate appeal authority mentioned in subsection (4).</w:t>
      </w:r>
      <w:r w:rsidR="00A22433">
        <w:rPr>
          <w:rFonts w:ascii="Arial" w:eastAsia="Times New Roman" w:hAnsi="Arial" w:cs="Arial"/>
          <w:color w:val="000000"/>
          <w:sz w:val="20"/>
          <w:szCs w:val="20"/>
          <w:lang w:eastAsia="en-ZA"/>
        </w:rPr>
        <w:t xml:space="preserve"> </w:t>
      </w:r>
      <w:bookmarkStart w:id="1" w:name="0-0-0-162361"/>
      <w:bookmarkEnd w:id="1"/>
      <w:r w:rsidR="00A22433">
        <w:rPr>
          <w:rFonts w:ascii="Arial" w:eastAsia="Times New Roman" w:hAnsi="Arial" w:cs="Arial"/>
          <w:color w:val="000000"/>
          <w:sz w:val="20"/>
          <w:szCs w:val="20"/>
          <w:lang w:eastAsia="en-ZA"/>
        </w:rPr>
        <w:t xml:space="preserve">(3) </w:t>
      </w:r>
      <w:r w:rsidR="00A22433" w:rsidRPr="00A22433">
        <w:rPr>
          <w:rFonts w:ascii="Arial" w:eastAsia="Times New Roman" w:hAnsi="Arial" w:cs="Arial"/>
          <w:color w:val="000000"/>
          <w:sz w:val="20"/>
          <w:szCs w:val="20"/>
          <w:lang w:eastAsia="en-ZA"/>
        </w:rPr>
        <w:t>The appeal authority must consider the appeal, and confirm, vary or revoke the decision, but no such variation or revocation of a decision may detract from any rights that may have accrued as a result of the decision.</w:t>
      </w:r>
    </w:p>
    <w:p w:rsidR="00A22433" w:rsidRPr="00A22433" w:rsidRDefault="00A22433" w:rsidP="00A22433">
      <w:pPr>
        <w:spacing w:after="0" w:line="240" w:lineRule="auto"/>
        <w:rPr>
          <w:rFonts w:ascii="Arial" w:eastAsia="Times New Roman" w:hAnsi="Arial" w:cs="Arial"/>
          <w:color w:val="000000"/>
          <w:sz w:val="20"/>
          <w:szCs w:val="20"/>
          <w:lang w:eastAsia="en-ZA"/>
        </w:rPr>
      </w:pPr>
      <w:bookmarkStart w:id="2" w:name="0-0-0-162365"/>
      <w:bookmarkEnd w:id="2"/>
      <w:r w:rsidRPr="00A22433">
        <w:rPr>
          <w:rFonts w:ascii="Arial" w:eastAsia="Times New Roman" w:hAnsi="Arial" w:cs="Arial"/>
          <w:color w:val="000000"/>
          <w:sz w:val="20"/>
          <w:szCs w:val="20"/>
          <w:lang w:eastAsia="en-ZA"/>
        </w:rPr>
        <w:t>(4) When the appeal is against a decision taken by-</w:t>
      </w:r>
    </w:p>
    <w:p w:rsidR="00A22433" w:rsidRPr="00A22433" w:rsidRDefault="00A22433" w:rsidP="00A22433">
      <w:pPr>
        <w:spacing w:after="0" w:line="240" w:lineRule="auto"/>
        <w:rPr>
          <w:rFonts w:ascii="Arial" w:eastAsia="Times New Roman" w:hAnsi="Arial" w:cs="Arial"/>
          <w:color w:val="000000"/>
          <w:sz w:val="20"/>
          <w:szCs w:val="20"/>
          <w:lang w:eastAsia="en-ZA"/>
        </w:rPr>
      </w:pPr>
      <w:bookmarkStart w:id="3" w:name="0-0-0-162367"/>
      <w:bookmarkEnd w:id="3"/>
      <w:r>
        <w:rPr>
          <w:rFonts w:ascii="Arial" w:eastAsia="Times New Roman" w:hAnsi="Arial" w:cs="Arial"/>
          <w:color w:val="000000"/>
          <w:sz w:val="20"/>
          <w:szCs w:val="20"/>
          <w:lang w:eastAsia="en-ZA"/>
        </w:rPr>
        <w:t>(</w:t>
      </w:r>
      <w:r w:rsidRPr="00A22433">
        <w:rPr>
          <w:rFonts w:ascii="Arial" w:eastAsia="Times New Roman" w:hAnsi="Arial" w:cs="Arial"/>
          <w:i/>
          <w:iCs/>
          <w:color w:val="000000"/>
          <w:sz w:val="20"/>
          <w:szCs w:val="20"/>
          <w:lang w:eastAsia="en-ZA"/>
        </w:rPr>
        <w:t>a)</w:t>
      </w:r>
      <w:r w:rsidR="003C1A98">
        <w:rPr>
          <w:rFonts w:ascii="Arial" w:eastAsia="Times New Roman" w:hAnsi="Arial" w:cs="Arial"/>
          <w:color w:val="000000"/>
          <w:sz w:val="20"/>
          <w:szCs w:val="20"/>
          <w:lang w:eastAsia="en-ZA"/>
        </w:rPr>
        <w:t> </w:t>
      </w:r>
      <w:r w:rsidRPr="00A22433">
        <w:rPr>
          <w:rFonts w:ascii="Arial" w:eastAsia="Times New Roman" w:hAnsi="Arial" w:cs="Arial"/>
          <w:color w:val="000000"/>
          <w:sz w:val="20"/>
          <w:szCs w:val="20"/>
          <w:lang w:eastAsia="en-ZA"/>
        </w:rPr>
        <w:t>a staff member other than the municipal manager, the municipal manager is the appeal authority</w:t>
      </w:r>
      <w:r>
        <w:rPr>
          <w:rFonts w:ascii="Arial" w:eastAsia="Times New Roman" w:hAnsi="Arial" w:cs="Arial"/>
          <w:color w:val="000000"/>
          <w:sz w:val="20"/>
          <w:szCs w:val="20"/>
          <w:lang w:eastAsia="en-ZA"/>
        </w:rPr>
        <w:t>.</w:t>
      </w:r>
    </w:p>
    <w:p w:rsidR="00184371" w:rsidRPr="00A22433" w:rsidRDefault="00184371" w:rsidP="00A22433">
      <w:pPr>
        <w:pStyle w:val="FootnoteText"/>
        <w:rPr>
          <w:rFonts w:ascii="Arial" w:hAnsi="Arial" w:cs="Arial"/>
          <w:lang w:val="en-US"/>
        </w:rPr>
      </w:pPr>
    </w:p>
    <w:p w:rsidR="00A22433" w:rsidRPr="00FC479B" w:rsidRDefault="00A22433" w:rsidP="00A22433">
      <w:pPr>
        <w:pStyle w:val="FootnoteText"/>
        <w:rPr>
          <w:lang w:val="en-US"/>
        </w:rPr>
      </w:pPr>
    </w:p>
  </w:footnote>
  <w:footnote w:id="4">
    <w:p w:rsidR="00184371" w:rsidRPr="004840F6" w:rsidRDefault="00184371" w:rsidP="00184371">
      <w:pPr>
        <w:pStyle w:val="FootnoteText"/>
        <w:rPr>
          <w:lang w:val="en-US"/>
        </w:rPr>
      </w:pPr>
      <w:r>
        <w:rPr>
          <w:rStyle w:val="FootnoteReference"/>
        </w:rPr>
        <w:footnoteRef/>
      </w:r>
      <w:r>
        <w:t xml:space="preserve"> </w:t>
      </w:r>
      <w:r>
        <w:rPr>
          <w:lang w:val="en-US"/>
        </w:rPr>
        <w:t xml:space="preserve">Page 83 of volume 1 of the indexed papers. </w:t>
      </w:r>
    </w:p>
  </w:footnote>
  <w:footnote w:id="5">
    <w:p w:rsidR="00184371" w:rsidRPr="00722933" w:rsidRDefault="00184371" w:rsidP="00184371">
      <w:pPr>
        <w:pStyle w:val="FootnoteText"/>
        <w:rPr>
          <w:lang w:val="en-US"/>
        </w:rPr>
      </w:pPr>
      <w:r>
        <w:rPr>
          <w:rStyle w:val="FootnoteReference"/>
        </w:rPr>
        <w:footnoteRef/>
      </w:r>
      <w:r>
        <w:t xml:space="preserve"> </w:t>
      </w:r>
      <w:r>
        <w:rPr>
          <w:lang w:val="en-US"/>
        </w:rPr>
        <w:t>Page 37 of volume 1 of the indexed papers.</w:t>
      </w:r>
    </w:p>
  </w:footnote>
  <w:footnote w:id="6">
    <w:p w:rsidR="00184371" w:rsidRPr="001E09F2" w:rsidRDefault="00184371" w:rsidP="00184371">
      <w:pPr>
        <w:pStyle w:val="FootnoteText"/>
        <w:rPr>
          <w:lang w:val="en-US"/>
        </w:rPr>
      </w:pPr>
      <w:r>
        <w:rPr>
          <w:rStyle w:val="FootnoteReference"/>
        </w:rPr>
        <w:footnoteRef/>
      </w:r>
      <w:r>
        <w:t xml:space="preserve"> </w:t>
      </w:r>
      <w:r>
        <w:rPr>
          <w:lang w:val="en-US"/>
        </w:rPr>
        <w:t>Page 386 of volume 3 of the indexed papers.</w:t>
      </w:r>
    </w:p>
  </w:footnote>
  <w:footnote w:id="7">
    <w:p w:rsidR="00184371" w:rsidRDefault="00184371" w:rsidP="00184371">
      <w:pPr>
        <w:pStyle w:val="FootnoteText"/>
      </w:pPr>
      <w:r>
        <w:rPr>
          <w:rStyle w:val="FootnoteReference"/>
        </w:rPr>
        <w:footnoteRef/>
      </w:r>
      <w:r>
        <w:t xml:space="preserve"> </w:t>
      </w:r>
      <w:r>
        <w:rPr>
          <w:lang w:val="en-US"/>
        </w:rPr>
        <w:t>Page 107</w:t>
      </w:r>
      <w:r w:rsidR="003246D6">
        <w:rPr>
          <w:lang w:val="en-US"/>
        </w:rPr>
        <w:t xml:space="preserve"> </w:t>
      </w:r>
      <w:r>
        <w:rPr>
          <w:lang w:val="en-US"/>
        </w:rPr>
        <w:t>of volume 2 of the indexed papers</w:t>
      </w:r>
    </w:p>
  </w:footnote>
  <w:footnote w:id="8">
    <w:p w:rsidR="0047232E" w:rsidRPr="00220AB3" w:rsidRDefault="0047232E">
      <w:pPr>
        <w:pStyle w:val="FootnoteText"/>
        <w:rPr>
          <w:rFonts w:ascii="Arial" w:hAnsi="Arial" w:cs="Arial"/>
        </w:rPr>
      </w:pPr>
      <w:r>
        <w:rPr>
          <w:rStyle w:val="FootnoteReference"/>
        </w:rPr>
        <w:footnoteRef/>
      </w:r>
      <w:r>
        <w:t xml:space="preserve"> </w:t>
      </w:r>
      <w:r>
        <w:rPr>
          <w:rFonts w:ascii="Arial" w:hAnsi="Arial" w:cs="Arial"/>
        </w:rPr>
        <w:t>2014 (1) All SA 545 (SCA) at para 10.</w:t>
      </w:r>
    </w:p>
  </w:footnote>
  <w:footnote w:id="9">
    <w:p w:rsidR="00985775" w:rsidRDefault="00985775">
      <w:pPr>
        <w:pStyle w:val="FootnoteText"/>
      </w:pPr>
      <w:r>
        <w:rPr>
          <w:rStyle w:val="FootnoteReference"/>
        </w:rPr>
        <w:footnoteRef/>
      </w:r>
      <w:r>
        <w:t xml:space="preserve"> 2004 (1) SA 308 (SCA) at para 31.</w:t>
      </w:r>
    </w:p>
  </w:footnote>
  <w:footnote w:id="10">
    <w:p w:rsidR="0047232E" w:rsidRPr="00F11648" w:rsidRDefault="0047232E">
      <w:pPr>
        <w:pStyle w:val="FootnoteText"/>
        <w:rPr>
          <w:rFonts w:ascii="Arial" w:hAnsi="Arial" w:cs="Arial"/>
        </w:rPr>
      </w:pPr>
      <w:r>
        <w:rPr>
          <w:rStyle w:val="FootnoteReference"/>
        </w:rPr>
        <w:footnoteRef/>
      </w:r>
      <w:r>
        <w:t xml:space="preserve"> </w:t>
      </w:r>
      <w:r>
        <w:rPr>
          <w:rFonts w:ascii="Arial" w:hAnsi="Arial" w:cs="Arial"/>
        </w:rPr>
        <w:t>2008 (2) SA 481 (SCA).</w:t>
      </w:r>
    </w:p>
  </w:footnote>
  <w:footnote w:id="11">
    <w:p w:rsidR="0047232E" w:rsidRPr="0047232E" w:rsidRDefault="0047232E">
      <w:pPr>
        <w:pStyle w:val="FootnoteText"/>
        <w:rPr>
          <w:rFonts w:ascii="Arial" w:hAnsi="Arial" w:cs="Arial"/>
        </w:rPr>
      </w:pPr>
      <w:r>
        <w:rPr>
          <w:rStyle w:val="FootnoteReference"/>
        </w:rPr>
        <w:footnoteRef/>
      </w:r>
      <w:r>
        <w:t xml:space="preserve"> </w:t>
      </w:r>
      <w:r>
        <w:rPr>
          <w:rFonts w:ascii="Arial" w:hAnsi="Arial" w:cs="Arial"/>
        </w:rPr>
        <w:t>2014 (1) SA 604 (CC) at para 40.</w:t>
      </w:r>
    </w:p>
  </w:footnote>
  <w:footnote w:id="12">
    <w:p w:rsidR="0047232E" w:rsidRPr="004B02C0" w:rsidRDefault="0047232E">
      <w:pPr>
        <w:pStyle w:val="FootnoteText"/>
        <w:rPr>
          <w:rFonts w:ascii="Arial" w:hAnsi="Arial" w:cs="Arial"/>
        </w:rPr>
      </w:pPr>
      <w:r>
        <w:rPr>
          <w:rStyle w:val="FootnoteReference"/>
        </w:rPr>
        <w:footnoteRef/>
      </w:r>
      <w:r>
        <w:t xml:space="preserve"> </w:t>
      </w:r>
      <w:r>
        <w:rPr>
          <w:rFonts w:ascii="Arial" w:hAnsi="Arial" w:cs="Arial"/>
        </w:rPr>
        <w:t>Residents of Industry House, 5 Davies Street, New Doornfontein, Johannesburg and Others v Minister of Police and Others 2022 (1) BCLR 46 (CC) at para 114.</w:t>
      </w:r>
    </w:p>
  </w:footnote>
  <w:footnote w:id="13">
    <w:p w:rsidR="0047232E" w:rsidRPr="000B2D67" w:rsidRDefault="0047232E">
      <w:pPr>
        <w:pStyle w:val="FootnoteText"/>
        <w:rPr>
          <w:rFonts w:ascii="Arial" w:hAnsi="Arial" w:cs="Arial"/>
          <w:lang w:val="en-US"/>
        </w:rPr>
      </w:pPr>
      <w:r>
        <w:rPr>
          <w:rStyle w:val="FootnoteReference"/>
        </w:rPr>
        <w:footnoteRef/>
      </w:r>
      <w:r>
        <w:t xml:space="preserve"> </w:t>
      </w:r>
      <w:r>
        <w:rPr>
          <w:rFonts w:ascii="Arial" w:hAnsi="Arial" w:cs="Arial"/>
          <w:lang w:val="en-US"/>
        </w:rPr>
        <w:t>Central Energy Fund SOC Ltd and Another v Venus Rays Trade (Pty) Ltd and Others 2022 (5) SA 56 (SCA) at para 42.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440617"/>
      <w:docPartObj>
        <w:docPartGallery w:val="Page Numbers (Top of Page)"/>
        <w:docPartUnique/>
      </w:docPartObj>
    </w:sdtPr>
    <w:sdtEndPr>
      <w:rPr>
        <w:noProof/>
      </w:rPr>
    </w:sdtEndPr>
    <w:sdtContent>
      <w:p w:rsidR="0047232E" w:rsidRDefault="0047232E">
        <w:pPr>
          <w:pStyle w:val="Header"/>
          <w:jc w:val="right"/>
        </w:pPr>
        <w:r>
          <w:fldChar w:fldCharType="begin"/>
        </w:r>
        <w:r>
          <w:instrText xml:space="preserve"> PAGE   \* MERGEFORMAT </w:instrText>
        </w:r>
        <w:r>
          <w:fldChar w:fldCharType="separate"/>
        </w:r>
        <w:r w:rsidR="00D5332A">
          <w:rPr>
            <w:noProof/>
          </w:rPr>
          <w:t>2</w:t>
        </w:r>
        <w:r>
          <w:rPr>
            <w:noProof/>
          </w:rPr>
          <w:fldChar w:fldCharType="end"/>
        </w:r>
      </w:p>
    </w:sdtContent>
  </w:sdt>
  <w:p w:rsidR="0047232E" w:rsidRDefault="0047232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7086"/>
    <w:multiLevelType w:val="hybridMultilevel"/>
    <w:tmpl w:val="665EAA66"/>
    <w:lvl w:ilvl="0" w:tplc="460499E4">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15:restartNumberingAfterBreak="0">
    <w:nsid w:val="06B03223"/>
    <w:multiLevelType w:val="multilevel"/>
    <w:tmpl w:val="52888E40"/>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E144D99"/>
    <w:multiLevelType w:val="hybridMultilevel"/>
    <w:tmpl w:val="1AC20670"/>
    <w:lvl w:ilvl="0" w:tplc="56BE0A3E">
      <w:start w:val="1"/>
      <w:numFmt w:val="decimal"/>
      <w:lvlText w:val="(%1)"/>
      <w:lvlJc w:val="left"/>
      <w:pPr>
        <w:ind w:left="36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8397EC4"/>
    <w:multiLevelType w:val="hybridMultilevel"/>
    <w:tmpl w:val="575CDB46"/>
    <w:lvl w:ilvl="0" w:tplc="8D547162">
      <w:start w:val="1"/>
      <w:numFmt w:val="upperLetter"/>
      <w:lvlText w:val="%1."/>
      <w:lvlJc w:val="left"/>
      <w:pPr>
        <w:ind w:left="7230" w:hanging="360"/>
      </w:pPr>
      <w:rPr>
        <w:rFonts w:hint="default"/>
        <w:b/>
        <w:color w:val="000000" w:themeColor="text1"/>
      </w:rPr>
    </w:lvl>
    <w:lvl w:ilvl="1" w:tplc="1C090019" w:tentative="1">
      <w:start w:val="1"/>
      <w:numFmt w:val="lowerLetter"/>
      <w:lvlText w:val="%2."/>
      <w:lvlJc w:val="left"/>
      <w:pPr>
        <w:ind w:left="7950" w:hanging="360"/>
      </w:pPr>
    </w:lvl>
    <w:lvl w:ilvl="2" w:tplc="1C09001B" w:tentative="1">
      <w:start w:val="1"/>
      <w:numFmt w:val="lowerRoman"/>
      <w:lvlText w:val="%3."/>
      <w:lvlJc w:val="right"/>
      <w:pPr>
        <w:ind w:left="8670" w:hanging="180"/>
      </w:pPr>
    </w:lvl>
    <w:lvl w:ilvl="3" w:tplc="1C09000F" w:tentative="1">
      <w:start w:val="1"/>
      <w:numFmt w:val="decimal"/>
      <w:lvlText w:val="%4."/>
      <w:lvlJc w:val="left"/>
      <w:pPr>
        <w:ind w:left="9390" w:hanging="360"/>
      </w:pPr>
    </w:lvl>
    <w:lvl w:ilvl="4" w:tplc="1C090019" w:tentative="1">
      <w:start w:val="1"/>
      <w:numFmt w:val="lowerLetter"/>
      <w:lvlText w:val="%5."/>
      <w:lvlJc w:val="left"/>
      <w:pPr>
        <w:ind w:left="10110" w:hanging="360"/>
      </w:pPr>
    </w:lvl>
    <w:lvl w:ilvl="5" w:tplc="1C09001B" w:tentative="1">
      <w:start w:val="1"/>
      <w:numFmt w:val="lowerRoman"/>
      <w:lvlText w:val="%6."/>
      <w:lvlJc w:val="right"/>
      <w:pPr>
        <w:ind w:left="10830" w:hanging="180"/>
      </w:pPr>
    </w:lvl>
    <w:lvl w:ilvl="6" w:tplc="1C09000F" w:tentative="1">
      <w:start w:val="1"/>
      <w:numFmt w:val="decimal"/>
      <w:lvlText w:val="%7."/>
      <w:lvlJc w:val="left"/>
      <w:pPr>
        <w:ind w:left="11550" w:hanging="360"/>
      </w:pPr>
    </w:lvl>
    <w:lvl w:ilvl="7" w:tplc="1C090019" w:tentative="1">
      <w:start w:val="1"/>
      <w:numFmt w:val="lowerLetter"/>
      <w:lvlText w:val="%8."/>
      <w:lvlJc w:val="left"/>
      <w:pPr>
        <w:ind w:left="12270" w:hanging="360"/>
      </w:pPr>
    </w:lvl>
    <w:lvl w:ilvl="8" w:tplc="1C09001B" w:tentative="1">
      <w:start w:val="1"/>
      <w:numFmt w:val="lowerRoman"/>
      <w:lvlText w:val="%9."/>
      <w:lvlJc w:val="right"/>
      <w:pPr>
        <w:ind w:left="12990" w:hanging="180"/>
      </w:pPr>
    </w:lvl>
  </w:abstractNum>
  <w:abstractNum w:abstractNumId="4" w15:restartNumberingAfterBreak="0">
    <w:nsid w:val="1C412166"/>
    <w:multiLevelType w:val="multilevel"/>
    <w:tmpl w:val="14A20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EC51FD8"/>
    <w:multiLevelType w:val="hybridMultilevel"/>
    <w:tmpl w:val="24B6D36A"/>
    <w:lvl w:ilvl="0" w:tplc="AE2C58D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2D42003F"/>
    <w:multiLevelType w:val="hybridMultilevel"/>
    <w:tmpl w:val="0C2EC0B0"/>
    <w:lvl w:ilvl="0" w:tplc="D8803614">
      <w:start w:val="1"/>
      <w:numFmt w:val="decimal"/>
      <w:lvlText w:val="%1."/>
      <w:lvlJc w:val="left"/>
      <w:pPr>
        <w:ind w:left="720" w:hanging="360"/>
      </w:pPr>
      <w:rPr>
        <w:rFonts w:ascii="Arial" w:eastAsiaTheme="minorHAnsi" w:hAnsi="Arial" w:cs="Arial"/>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F9658A7"/>
    <w:multiLevelType w:val="multilevel"/>
    <w:tmpl w:val="70B099C6"/>
    <w:lvl w:ilvl="0">
      <w:start w:val="5"/>
      <w:numFmt w:val="decimal"/>
      <w:lvlText w:val="%1."/>
      <w:lvlJc w:val="left"/>
      <w:pPr>
        <w:ind w:left="456" w:hanging="45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D885A79"/>
    <w:multiLevelType w:val="multilevel"/>
    <w:tmpl w:val="31864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19775F9"/>
    <w:multiLevelType w:val="multilevel"/>
    <w:tmpl w:val="493C1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8391169"/>
    <w:multiLevelType w:val="multilevel"/>
    <w:tmpl w:val="238AEF10"/>
    <w:lvl w:ilvl="0">
      <w:start w:val="1"/>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0F"/>
    <w:rsid w:val="00001B6B"/>
    <w:rsid w:val="00002584"/>
    <w:rsid w:val="0000303C"/>
    <w:rsid w:val="00011AD2"/>
    <w:rsid w:val="000167D1"/>
    <w:rsid w:val="000179D0"/>
    <w:rsid w:val="00021C6A"/>
    <w:rsid w:val="000225F7"/>
    <w:rsid w:val="000249DA"/>
    <w:rsid w:val="00024A54"/>
    <w:rsid w:val="00027921"/>
    <w:rsid w:val="00032AD0"/>
    <w:rsid w:val="00033270"/>
    <w:rsid w:val="0003607A"/>
    <w:rsid w:val="0003612A"/>
    <w:rsid w:val="000361B2"/>
    <w:rsid w:val="000367FC"/>
    <w:rsid w:val="00041297"/>
    <w:rsid w:val="00041B2F"/>
    <w:rsid w:val="00044AA1"/>
    <w:rsid w:val="00044EE1"/>
    <w:rsid w:val="00045DA6"/>
    <w:rsid w:val="000471A2"/>
    <w:rsid w:val="00050872"/>
    <w:rsid w:val="000536CD"/>
    <w:rsid w:val="00054CC3"/>
    <w:rsid w:val="00054D78"/>
    <w:rsid w:val="00054DFA"/>
    <w:rsid w:val="00057DDD"/>
    <w:rsid w:val="00057E20"/>
    <w:rsid w:val="00060852"/>
    <w:rsid w:val="000615D3"/>
    <w:rsid w:val="00061ACA"/>
    <w:rsid w:val="00065E84"/>
    <w:rsid w:val="00065F0A"/>
    <w:rsid w:val="00066F64"/>
    <w:rsid w:val="00067FC1"/>
    <w:rsid w:val="0007057B"/>
    <w:rsid w:val="00070ADB"/>
    <w:rsid w:val="00071752"/>
    <w:rsid w:val="000726BF"/>
    <w:rsid w:val="0007272B"/>
    <w:rsid w:val="00077680"/>
    <w:rsid w:val="0008324E"/>
    <w:rsid w:val="00084218"/>
    <w:rsid w:val="000851BF"/>
    <w:rsid w:val="00086182"/>
    <w:rsid w:val="00091997"/>
    <w:rsid w:val="000931ED"/>
    <w:rsid w:val="000942C3"/>
    <w:rsid w:val="00094FED"/>
    <w:rsid w:val="00096E9A"/>
    <w:rsid w:val="000970DB"/>
    <w:rsid w:val="000A05B2"/>
    <w:rsid w:val="000A1822"/>
    <w:rsid w:val="000A3867"/>
    <w:rsid w:val="000A7031"/>
    <w:rsid w:val="000A771D"/>
    <w:rsid w:val="000B0DA0"/>
    <w:rsid w:val="000B2D67"/>
    <w:rsid w:val="000B35BE"/>
    <w:rsid w:val="000B559F"/>
    <w:rsid w:val="000B577E"/>
    <w:rsid w:val="000B5A04"/>
    <w:rsid w:val="000C01C5"/>
    <w:rsid w:val="000C1E88"/>
    <w:rsid w:val="000C3808"/>
    <w:rsid w:val="000C3942"/>
    <w:rsid w:val="000C4216"/>
    <w:rsid w:val="000C62CC"/>
    <w:rsid w:val="000D09C1"/>
    <w:rsid w:val="000D17D0"/>
    <w:rsid w:val="000D23C6"/>
    <w:rsid w:val="000D289F"/>
    <w:rsid w:val="000D321D"/>
    <w:rsid w:val="000D75F5"/>
    <w:rsid w:val="000D7AB4"/>
    <w:rsid w:val="000E04AB"/>
    <w:rsid w:val="000E1BCC"/>
    <w:rsid w:val="000F2052"/>
    <w:rsid w:val="000F69B9"/>
    <w:rsid w:val="0010252E"/>
    <w:rsid w:val="001049FA"/>
    <w:rsid w:val="00107105"/>
    <w:rsid w:val="0011030D"/>
    <w:rsid w:val="001105DF"/>
    <w:rsid w:val="00113015"/>
    <w:rsid w:val="001145A9"/>
    <w:rsid w:val="0012041F"/>
    <w:rsid w:val="00122FBA"/>
    <w:rsid w:val="0012334C"/>
    <w:rsid w:val="00124FF9"/>
    <w:rsid w:val="0012623E"/>
    <w:rsid w:val="00127F36"/>
    <w:rsid w:val="00130482"/>
    <w:rsid w:val="001306DC"/>
    <w:rsid w:val="00132DF7"/>
    <w:rsid w:val="00133CCB"/>
    <w:rsid w:val="001344AA"/>
    <w:rsid w:val="001376C3"/>
    <w:rsid w:val="001378BF"/>
    <w:rsid w:val="00137B3A"/>
    <w:rsid w:val="001425BC"/>
    <w:rsid w:val="0014277B"/>
    <w:rsid w:val="00146FD7"/>
    <w:rsid w:val="00156583"/>
    <w:rsid w:val="00156DA3"/>
    <w:rsid w:val="001572BA"/>
    <w:rsid w:val="00164410"/>
    <w:rsid w:val="00164BC1"/>
    <w:rsid w:val="00165D1B"/>
    <w:rsid w:val="00166E97"/>
    <w:rsid w:val="001707D5"/>
    <w:rsid w:val="00171E08"/>
    <w:rsid w:val="00172E56"/>
    <w:rsid w:val="00175D2D"/>
    <w:rsid w:val="00176D72"/>
    <w:rsid w:val="00184371"/>
    <w:rsid w:val="00186FEC"/>
    <w:rsid w:val="0018710E"/>
    <w:rsid w:val="001903A6"/>
    <w:rsid w:val="00191B25"/>
    <w:rsid w:val="00191C69"/>
    <w:rsid w:val="00191EE3"/>
    <w:rsid w:val="00193C05"/>
    <w:rsid w:val="00195B08"/>
    <w:rsid w:val="00196D38"/>
    <w:rsid w:val="00197831"/>
    <w:rsid w:val="001A06CD"/>
    <w:rsid w:val="001A42F1"/>
    <w:rsid w:val="001A5603"/>
    <w:rsid w:val="001A5CF5"/>
    <w:rsid w:val="001A6510"/>
    <w:rsid w:val="001A6A6C"/>
    <w:rsid w:val="001C2335"/>
    <w:rsid w:val="001C2980"/>
    <w:rsid w:val="001C6BF2"/>
    <w:rsid w:val="001D1628"/>
    <w:rsid w:val="001D20BF"/>
    <w:rsid w:val="001D3476"/>
    <w:rsid w:val="001D5F4D"/>
    <w:rsid w:val="001D6197"/>
    <w:rsid w:val="001D7275"/>
    <w:rsid w:val="001E09F2"/>
    <w:rsid w:val="001E1E93"/>
    <w:rsid w:val="001E486E"/>
    <w:rsid w:val="001F1A46"/>
    <w:rsid w:val="001F23E6"/>
    <w:rsid w:val="001F6527"/>
    <w:rsid w:val="00202102"/>
    <w:rsid w:val="0020482A"/>
    <w:rsid w:val="00204A0F"/>
    <w:rsid w:val="00204B43"/>
    <w:rsid w:val="00210414"/>
    <w:rsid w:val="00211A70"/>
    <w:rsid w:val="00211E34"/>
    <w:rsid w:val="00220AB3"/>
    <w:rsid w:val="00220E12"/>
    <w:rsid w:val="0022249D"/>
    <w:rsid w:val="00224E49"/>
    <w:rsid w:val="002253C1"/>
    <w:rsid w:val="00225B9E"/>
    <w:rsid w:val="00225BA8"/>
    <w:rsid w:val="002269D8"/>
    <w:rsid w:val="0023059B"/>
    <w:rsid w:val="00230BB5"/>
    <w:rsid w:val="0023123D"/>
    <w:rsid w:val="00231B59"/>
    <w:rsid w:val="00233D90"/>
    <w:rsid w:val="0023451A"/>
    <w:rsid w:val="00234C34"/>
    <w:rsid w:val="00237D4E"/>
    <w:rsid w:val="002405FC"/>
    <w:rsid w:val="00241894"/>
    <w:rsid w:val="00242207"/>
    <w:rsid w:val="0024295D"/>
    <w:rsid w:val="00243FEE"/>
    <w:rsid w:val="0024500F"/>
    <w:rsid w:val="00245267"/>
    <w:rsid w:val="002475FF"/>
    <w:rsid w:val="002523F4"/>
    <w:rsid w:val="0025415C"/>
    <w:rsid w:val="00255891"/>
    <w:rsid w:val="00256E0D"/>
    <w:rsid w:val="002572D3"/>
    <w:rsid w:val="00257895"/>
    <w:rsid w:val="00260FB3"/>
    <w:rsid w:val="002616F9"/>
    <w:rsid w:val="00262342"/>
    <w:rsid w:val="00263E5C"/>
    <w:rsid w:val="00265184"/>
    <w:rsid w:val="002712F3"/>
    <w:rsid w:val="0027499D"/>
    <w:rsid w:val="00275226"/>
    <w:rsid w:val="00277B98"/>
    <w:rsid w:val="00277E47"/>
    <w:rsid w:val="002805CB"/>
    <w:rsid w:val="0028265B"/>
    <w:rsid w:val="0028652A"/>
    <w:rsid w:val="00286909"/>
    <w:rsid w:val="002878CC"/>
    <w:rsid w:val="00292A86"/>
    <w:rsid w:val="00292C73"/>
    <w:rsid w:val="002A04B6"/>
    <w:rsid w:val="002A27A4"/>
    <w:rsid w:val="002A4191"/>
    <w:rsid w:val="002B096F"/>
    <w:rsid w:val="002B4F10"/>
    <w:rsid w:val="002B6911"/>
    <w:rsid w:val="002C2B22"/>
    <w:rsid w:val="002C2CCC"/>
    <w:rsid w:val="002D0404"/>
    <w:rsid w:val="002D053F"/>
    <w:rsid w:val="002D1531"/>
    <w:rsid w:val="002D23AB"/>
    <w:rsid w:val="002D5CB5"/>
    <w:rsid w:val="002D5FC3"/>
    <w:rsid w:val="002E00D1"/>
    <w:rsid w:val="002E1E09"/>
    <w:rsid w:val="002E41DF"/>
    <w:rsid w:val="002E4F5B"/>
    <w:rsid w:val="002E51AA"/>
    <w:rsid w:val="002E6A27"/>
    <w:rsid w:val="002F22C4"/>
    <w:rsid w:val="00302769"/>
    <w:rsid w:val="00306B77"/>
    <w:rsid w:val="003144EE"/>
    <w:rsid w:val="00314E03"/>
    <w:rsid w:val="00315264"/>
    <w:rsid w:val="00315FAD"/>
    <w:rsid w:val="00320F22"/>
    <w:rsid w:val="00321C7B"/>
    <w:rsid w:val="00321D38"/>
    <w:rsid w:val="00322A9B"/>
    <w:rsid w:val="003246D6"/>
    <w:rsid w:val="003253F4"/>
    <w:rsid w:val="00326D0D"/>
    <w:rsid w:val="00333CD0"/>
    <w:rsid w:val="00335B9A"/>
    <w:rsid w:val="00336352"/>
    <w:rsid w:val="00336A3A"/>
    <w:rsid w:val="00336D8B"/>
    <w:rsid w:val="00342A10"/>
    <w:rsid w:val="00343F66"/>
    <w:rsid w:val="003456B3"/>
    <w:rsid w:val="00346FD4"/>
    <w:rsid w:val="00356B81"/>
    <w:rsid w:val="003604CF"/>
    <w:rsid w:val="00360AAB"/>
    <w:rsid w:val="0036112C"/>
    <w:rsid w:val="003624ED"/>
    <w:rsid w:val="00362A10"/>
    <w:rsid w:val="00370C13"/>
    <w:rsid w:val="003758AA"/>
    <w:rsid w:val="003807B0"/>
    <w:rsid w:val="00380B8E"/>
    <w:rsid w:val="00383C13"/>
    <w:rsid w:val="00384718"/>
    <w:rsid w:val="003963FF"/>
    <w:rsid w:val="00397823"/>
    <w:rsid w:val="00397BB9"/>
    <w:rsid w:val="003A2C84"/>
    <w:rsid w:val="003A31B0"/>
    <w:rsid w:val="003A43D8"/>
    <w:rsid w:val="003A5EB5"/>
    <w:rsid w:val="003B0F7C"/>
    <w:rsid w:val="003C077D"/>
    <w:rsid w:val="003C1A98"/>
    <w:rsid w:val="003C1EEA"/>
    <w:rsid w:val="003C2A13"/>
    <w:rsid w:val="003C33DA"/>
    <w:rsid w:val="003C48EA"/>
    <w:rsid w:val="003C71D5"/>
    <w:rsid w:val="003D5049"/>
    <w:rsid w:val="003D6B8E"/>
    <w:rsid w:val="003E16E3"/>
    <w:rsid w:val="003E2965"/>
    <w:rsid w:val="003E2DDB"/>
    <w:rsid w:val="003E533D"/>
    <w:rsid w:val="003E6303"/>
    <w:rsid w:val="003F0D0C"/>
    <w:rsid w:val="003F3BE7"/>
    <w:rsid w:val="003F4D18"/>
    <w:rsid w:val="003F6E45"/>
    <w:rsid w:val="00400DF9"/>
    <w:rsid w:val="004034CF"/>
    <w:rsid w:val="00406A1A"/>
    <w:rsid w:val="0041023B"/>
    <w:rsid w:val="00410B6D"/>
    <w:rsid w:val="004137B3"/>
    <w:rsid w:val="004142F9"/>
    <w:rsid w:val="00414654"/>
    <w:rsid w:val="0041495B"/>
    <w:rsid w:val="004149F0"/>
    <w:rsid w:val="00417B0A"/>
    <w:rsid w:val="00422DEB"/>
    <w:rsid w:val="00425640"/>
    <w:rsid w:val="00425D6E"/>
    <w:rsid w:val="00426B0D"/>
    <w:rsid w:val="0042791B"/>
    <w:rsid w:val="00430BBE"/>
    <w:rsid w:val="00436823"/>
    <w:rsid w:val="00437338"/>
    <w:rsid w:val="004454D3"/>
    <w:rsid w:val="00445B60"/>
    <w:rsid w:val="0045185A"/>
    <w:rsid w:val="00462B73"/>
    <w:rsid w:val="00463FC5"/>
    <w:rsid w:val="00465FF1"/>
    <w:rsid w:val="0047232E"/>
    <w:rsid w:val="00473253"/>
    <w:rsid w:val="0047554A"/>
    <w:rsid w:val="00475808"/>
    <w:rsid w:val="0047745E"/>
    <w:rsid w:val="00483B2E"/>
    <w:rsid w:val="004840F6"/>
    <w:rsid w:val="00485BB5"/>
    <w:rsid w:val="00487970"/>
    <w:rsid w:val="00491E26"/>
    <w:rsid w:val="0049244A"/>
    <w:rsid w:val="00495AC6"/>
    <w:rsid w:val="0049784F"/>
    <w:rsid w:val="004B02C0"/>
    <w:rsid w:val="004B1E32"/>
    <w:rsid w:val="004B298B"/>
    <w:rsid w:val="004B4E34"/>
    <w:rsid w:val="004B7D09"/>
    <w:rsid w:val="004C1DF2"/>
    <w:rsid w:val="004C6F2F"/>
    <w:rsid w:val="004C6F42"/>
    <w:rsid w:val="004C79D6"/>
    <w:rsid w:val="004D084C"/>
    <w:rsid w:val="004D0EBB"/>
    <w:rsid w:val="004D25CB"/>
    <w:rsid w:val="004D275E"/>
    <w:rsid w:val="004D3102"/>
    <w:rsid w:val="004D31F1"/>
    <w:rsid w:val="004D4608"/>
    <w:rsid w:val="004D598C"/>
    <w:rsid w:val="004D75D9"/>
    <w:rsid w:val="004E138C"/>
    <w:rsid w:val="004E36E4"/>
    <w:rsid w:val="004E4C30"/>
    <w:rsid w:val="004E502C"/>
    <w:rsid w:val="004F019A"/>
    <w:rsid w:val="004F18E2"/>
    <w:rsid w:val="004F2519"/>
    <w:rsid w:val="004F3C32"/>
    <w:rsid w:val="004F3D08"/>
    <w:rsid w:val="004F4861"/>
    <w:rsid w:val="004F6399"/>
    <w:rsid w:val="004F6DD6"/>
    <w:rsid w:val="004F7657"/>
    <w:rsid w:val="004F77B7"/>
    <w:rsid w:val="00500AF5"/>
    <w:rsid w:val="00502625"/>
    <w:rsid w:val="005105CB"/>
    <w:rsid w:val="00511262"/>
    <w:rsid w:val="00511769"/>
    <w:rsid w:val="00515043"/>
    <w:rsid w:val="005155A1"/>
    <w:rsid w:val="005222E2"/>
    <w:rsid w:val="00524123"/>
    <w:rsid w:val="005263D6"/>
    <w:rsid w:val="00526DFA"/>
    <w:rsid w:val="0053007A"/>
    <w:rsid w:val="00530530"/>
    <w:rsid w:val="00531890"/>
    <w:rsid w:val="00531E74"/>
    <w:rsid w:val="00531F49"/>
    <w:rsid w:val="0053235B"/>
    <w:rsid w:val="005356E2"/>
    <w:rsid w:val="00543FAD"/>
    <w:rsid w:val="00544E3A"/>
    <w:rsid w:val="0054575C"/>
    <w:rsid w:val="00545A8D"/>
    <w:rsid w:val="00546BF4"/>
    <w:rsid w:val="00546EF4"/>
    <w:rsid w:val="0054758C"/>
    <w:rsid w:val="005512F5"/>
    <w:rsid w:val="00551AA3"/>
    <w:rsid w:val="0055368B"/>
    <w:rsid w:val="00555483"/>
    <w:rsid w:val="005556AD"/>
    <w:rsid w:val="005576DD"/>
    <w:rsid w:val="005649E6"/>
    <w:rsid w:val="005671C1"/>
    <w:rsid w:val="00570F4D"/>
    <w:rsid w:val="005758C9"/>
    <w:rsid w:val="005772E9"/>
    <w:rsid w:val="00580082"/>
    <w:rsid w:val="00582646"/>
    <w:rsid w:val="00585AED"/>
    <w:rsid w:val="00586095"/>
    <w:rsid w:val="0059133E"/>
    <w:rsid w:val="00591577"/>
    <w:rsid w:val="00592A99"/>
    <w:rsid w:val="00594838"/>
    <w:rsid w:val="005969A1"/>
    <w:rsid w:val="00597098"/>
    <w:rsid w:val="005A0345"/>
    <w:rsid w:val="005A219C"/>
    <w:rsid w:val="005A2A7E"/>
    <w:rsid w:val="005A32DB"/>
    <w:rsid w:val="005A4899"/>
    <w:rsid w:val="005A6BE9"/>
    <w:rsid w:val="005A7540"/>
    <w:rsid w:val="005B0785"/>
    <w:rsid w:val="005B5953"/>
    <w:rsid w:val="005B5EBD"/>
    <w:rsid w:val="005B7959"/>
    <w:rsid w:val="005C3552"/>
    <w:rsid w:val="005C5CFB"/>
    <w:rsid w:val="005D3667"/>
    <w:rsid w:val="005D3954"/>
    <w:rsid w:val="005D6395"/>
    <w:rsid w:val="005D7DC4"/>
    <w:rsid w:val="005E03C4"/>
    <w:rsid w:val="005E062B"/>
    <w:rsid w:val="005E0CE2"/>
    <w:rsid w:val="005E3504"/>
    <w:rsid w:val="005F0E1D"/>
    <w:rsid w:val="005F196D"/>
    <w:rsid w:val="005F56F7"/>
    <w:rsid w:val="005F5EDC"/>
    <w:rsid w:val="005F6885"/>
    <w:rsid w:val="005F6E98"/>
    <w:rsid w:val="005F7F39"/>
    <w:rsid w:val="00605215"/>
    <w:rsid w:val="0061240A"/>
    <w:rsid w:val="00614ED5"/>
    <w:rsid w:val="00615EF9"/>
    <w:rsid w:val="00616710"/>
    <w:rsid w:val="00616CAE"/>
    <w:rsid w:val="00620EF1"/>
    <w:rsid w:val="00621C9B"/>
    <w:rsid w:val="00621EC5"/>
    <w:rsid w:val="0062737B"/>
    <w:rsid w:val="00631689"/>
    <w:rsid w:val="00631D89"/>
    <w:rsid w:val="0063260A"/>
    <w:rsid w:val="0063378F"/>
    <w:rsid w:val="006341CE"/>
    <w:rsid w:val="006352BB"/>
    <w:rsid w:val="00635332"/>
    <w:rsid w:val="0063774D"/>
    <w:rsid w:val="00640D8F"/>
    <w:rsid w:val="00640F2E"/>
    <w:rsid w:val="00642064"/>
    <w:rsid w:val="006470F2"/>
    <w:rsid w:val="00650D46"/>
    <w:rsid w:val="00653F26"/>
    <w:rsid w:val="006562FF"/>
    <w:rsid w:val="00661285"/>
    <w:rsid w:val="00665647"/>
    <w:rsid w:val="006656CC"/>
    <w:rsid w:val="0066627D"/>
    <w:rsid w:val="00667792"/>
    <w:rsid w:val="006713CB"/>
    <w:rsid w:val="00671D8C"/>
    <w:rsid w:val="0067222E"/>
    <w:rsid w:val="00676AA0"/>
    <w:rsid w:val="00676BD8"/>
    <w:rsid w:val="0067792F"/>
    <w:rsid w:val="00677D9F"/>
    <w:rsid w:val="0068017F"/>
    <w:rsid w:val="00681DBB"/>
    <w:rsid w:val="0068219C"/>
    <w:rsid w:val="0068383A"/>
    <w:rsid w:val="006838E9"/>
    <w:rsid w:val="006845B7"/>
    <w:rsid w:val="00686D03"/>
    <w:rsid w:val="0068769C"/>
    <w:rsid w:val="0069021C"/>
    <w:rsid w:val="006917E7"/>
    <w:rsid w:val="006927C0"/>
    <w:rsid w:val="006943C4"/>
    <w:rsid w:val="006943C6"/>
    <w:rsid w:val="006966B3"/>
    <w:rsid w:val="006A2646"/>
    <w:rsid w:val="006A2A43"/>
    <w:rsid w:val="006A39D3"/>
    <w:rsid w:val="006A54C8"/>
    <w:rsid w:val="006B231C"/>
    <w:rsid w:val="006B453A"/>
    <w:rsid w:val="006B6DB5"/>
    <w:rsid w:val="006B76D1"/>
    <w:rsid w:val="006B7A2A"/>
    <w:rsid w:val="006C15E8"/>
    <w:rsid w:val="006C269E"/>
    <w:rsid w:val="006C2F34"/>
    <w:rsid w:val="006D0609"/>
    <w:rsid w:val="006D2786"/>
    <w:rsid w:val="006D2E03"/>
    <w:rsid w:val="006D50AA"/>
    <w:rsid w:val="006D6181"/>
    <w:rsid w:val="006E0453"/>
    <w:rsid w:val="006E26B2"/>
    <w:rsid w:val="006E280B"/>
    <w:rsid w:val="006E6709"/>
    <w:rsid w:val="006E6C6D"/>
    <w:rsid w:val="006E6CE8"/>
    <w:rsid w:val="006E7184"/>
    <w:rsid w:val="006F5FE4"/>
    <w:rsid w:val="007015D9"/>
    <w:rsid w:val="00703A22"/>
    <w:rsid w:val="007058B3"/>
    <w:rsid w:val="00706DDB"/>
    <w:rsid w:val="00716208"/>
    <w:rsid w:val="00720DBF"/>
    <w:rsid w:val="00721894"/>
    <w:rsid w:val="00722933"/>
    <w:rsid w:val="007259A3"/>
    <w:rsid w:val="00727044"/>
    <w:rsid w:val="00732322"/>
    <w:rsid w:val="0073262B"/>
    <w:rsid w:val="007329B1"/>
    <w:rsid w:val="00734026"/>
    <w:rsid w:val="00735ECE"/>
    <w:rsid w:val="0074063E"/>
    <w:rsid w:val="007421C6"/>
    <w:rsid w:val="00743191"/>
    <w:rsid w:val="007438D0"/>
    <w:rsid w:val="007442EF"/>
    <w:rsid w:val="0074479F"/>
    <w:rsid w:val="00746AC0"/>
    <w:rsid w:val="00746E2D"/>
    <w:rsid w:val="007500EC"/>
    <w:rsid w:val="00750424"/>
    <w:rsid w:val="00751475"/>
    <w:rsid w:val="00752813"/>
    <w:rsid w:val="0075459D"/>
    <w:rsid w:val="007570F7"/>
    <w:rsid w:val="0076064F"/>
    <w:rsid w:val="007650B6"/>
    <w:rsid w:val="00765BA5"/>
    <w:rsid w:val="00765CCA"/>
    <w:rsid w:val="00773518"/>
    <w:rsid w:val="00773FA7"/>
    <w:rsid w:val="00774271"/>
    <w:rsid w:val="00775980"/>
    <w:rsid w:val="00776EEB"/>
    <w:rsid w:val="007803EA"/>
    <w:rsid w:val="00781437"/>
    <w:rsid w:val="0078284B"/>
    <w:rsid w:val="00786129"/>
    <w:rsid w:val="007912E3"/>
    <w:rsid w:val="00792122"/>
    <w:rsid w:val="007954EA"/>
    <w:rsid w:val="007974E6"/>
    <w:rsid w:val="007A4AA3"/>
    <w:rsid w:val="007A52EF"/>
    <w:rsid w:val="007A5516"/>
    <w:rsid w:val="007A7334"/>
    <w:rsid w:val="007A7730"/>
    <w:rsid w:val="007A7FB0"/>
    <w:rsid w:val="007B18DE"/>
    <w:rsid w:val="007B1E3C"/>
    <w:rsid w:val="007B298D"/>
    <w:rsid w:val="007B76B1"/>
    <w:rsid w:val="007C2DB2"/>
    <w:rsid w:val="007C5A3A"/>
    <w:rsid w:val="007D1465"/>
    <w:rsid w:val="007D2754"/>
    <w:rsid w:val="007D2CC5"/>
    <w:rsid w:val="007D3592"/>
    <w:rsid w:val="007D491A"/>
    <w:rsid w:val="007D5EBA"/>
    <w:rsid w:val="007D68FC"/>
    <w:rsid w:val="007E08F4"/>
    <w:rsid w:val="007E2A20"/>
    <w:rsid w:val="007E52DC"/>
    <w:rsid w:val="007E63AA"/>
    <w:rsid w:val="007E7554"/>
    <w:rsid w:val="007F02EF"/>
    <w:rsid w:val="007F088D"/>
    <w:rsid w:val="007F1406"/>
    <w:rsid w:val="007F22B0"/>
    <w:rsid w:val="007F7641"/>
    <w:rsid w:val="008004F9"/>
    <w:rsid w:val="00802655"/>
    <w:rsid w:val="0080340C"/>
    <w:rsid w:val="008038F3"/>
    <w:rsid w:val="008040D6"/>
    <w:rsid w:val="00805168"/>
    <w:rsid w:val="0080518F"/>
    <w:rsid w:val="00806519"/>
    <w:rsid w:val="00806D1F"/>
    <w:rsid w:val="00807748"/>
    <w:rsid w:val="008145D9"/>
    <w:rsid w:val="008160BE"/>
    <w:rsid w:val="00822DBF"/>
    <w:rsid w:val="008230AA"/>
    <w:rsid w:val="0082431C"/>
    <w:rsid w:val="00824C86"/>
    <w:rsid w:val="0082606B"/>
    <w:rsid w:val="008310A0"/>
    <w:rsid w:val="0083138A"/>
    <w:rsid w:val="008327BF"/>
    <w:rsid w:val="0083360E"/>
    <w:rsid w:val="00833EFE"/>
    <w:rsid w:val="00835C26"/>
    <w:rsid w:val="00836DD5"/>
    <w:rsid w:val="0083784A"/>
    <w:rsid w:val="00840E67"/>
    <w:rsid w:val="0085175B"/>
    <w:rsid w:val="0085366E"/>
    <w:rsid w:val="0085490F"/>
    <w:rsid w:val="00860436"/>
    <w:rsid w:val="00863172"/>
    <w:rsid w:val="00863F05"/>
    <w:rsid w:val="00864E9F"/>
    <w:rsid w:val="008707C3"/>
    <w:rsid w:val="00871CBB"/>
    <w:rsid w:val="00875899"/>
    <w:rsid w:val="008814AE"/>
    <w:rsid w:val="0088158B"/>
    <w:rsid w:val="008818B9"/>
    <w:rsid w:val="00882DF2"/>
    <w:rsid w:val="008855A3"/>
    <w:rsid w:val="00887F1E"/>
    <w:rsid w:val="00890997"/>
    <w:rsid w:val="00890D3D"/>
    <w:rsid w:val="00891F57"/>
    <w:rsid w:val="00892051"/>
    <w:rsid w:val="008925FC"/>
    <w:rsid w:val="00893094"/>
    <w:rsid w:val="008A05F9"/>
    <w:rsid w:val="008B0864"/>
    <w:rsid w:val="008B0D10"/>
    <w:rsid w:val="008B2445"/>
    <w:rsid w:val="008C011C"/>
    <w:rsid w:val="008C2102"/>
    <w:rsid w:val="008C4026"/>
    <w:rsid w:val="008C4E84"/>
    <w:rsid w:val="008C52F5"/>
    <w:rsid w:val="008C755F"/>
    <w:rsid w:val="008D3E7F"/>
    <w:rsid w:val="008D4225"/>
    <w:rsid w:val="008D5ECA"/>
    <w:rsid w:val="008E0B0B"/>
    <w:rsid w:val="008E5CD1"/>
    <w:rsid w:val="008F4CAC"/>
    <w:rsid w:val="008F4D8F"/>
    <w:rsid w:val="008F65A4"/>
    <w:rsid w:val="0090084C"/>
    <w:rsid w:val="00900AD2"/>
    <w:rsid w:val="00904631"/>
    <w:rsid w:val="00911353"/>
    <w:rsid w:val="009116D2"/>
    <w:rsid w:val="00911D71"/>
    <w:rsid w:val="009134A7"/>
    <w:rsid w:val="0091519C"/>
    <w:rsid w:val="00915AD7"/>
    <w:rsid w:val="00915D6D"/>
    <w:rsid w:val="0092215B"/>
    <w:rsid w:val="009253A4"/>
    <w:rsid w:val="009267B8"/>
    <w:rsid w:val="00934785"/>
    <w:rsid w:val="00934FCD"/>
    <w:rsid w:val="00935AA5"/>
    <w:rsid w:val="00947D2D"/>
    <w:rsid w:val="0095256F"/>
    <w:rsid w:val="00955A5E"/>
    <w:rsid w:val="00956CA3"/>
    <w:rsid w:val="00957435"/>
    <w:rsid w:val="00961D8F"/>
    <w:rsid w:val="00961DF6"/>
    <w:rsid w:val="00964BC9"/>
    <w:rsid w:val="00966701"/>
    <w:rsid w:val="00966AFF"/>
    <w:rsid w:val="00970D20"/>
    <w:rsid w:val="00971C24"/>
    <w:rsid w:val="009729FF"/>
    <w:rsid w:val="00976131"/>
    <w:rsid w:val="00976C27"/>
    <w:rsid w:val="00983CF0"/>
    <w:rsid w:val="00985775"/>
    <w:rsid w:val="00985820"/>
    <w:rsid w:val="009861DF"/>
    <w:rsid w:val="00987BA8"/>
    <w:rsid w:val="00987FE2"/>
    <w:rsid w:val="00990407"/>
    <w:rsid w:val="00991980"/>
    <w:rsid w:val="009923F3"/>
    <w:rsid w:val="009940C8"/>
    <w:rsid w:val="009956DF"/>
    <w:rsid w:val="00995FFC"/>
    <w:rsid w:val="00997FA2"/>
    <w:rsid w:val="009A034B"/>
    <w:rsid w:val="009A15D1"/>
    <w:rsid w:val="009A16A4"/>
    <w:rsid w:val="009A56A3"/>
    <w:rsid w:val="009A6482"/>
    <w:rsid w:val="009B26CC"/>
    <w:rsid w:val="009B52B5"/>
    <w:rsid w:val="009B74D1"/>
    <w:rsid w:val="009C13BA"/>
    <w:rsid w:val="009C3E56"/>
    <w:rsid w:val="009D14CC"/>
    <w:rsid w:val="009D4026"/>
    <w:rsid w:val="009D7717"/>
    <w:rsid w:val="009D7A78"/>
    <w:rsid w:val="009D7D5C"/>
    <w:rsid w:val="009E375B"/>
    <w:rsid w:val="009E663B"/>
    <w:rsid w:val="009E696E"/>
    <w:rsid w:val="009F0D28"/>
    <w:rsid w:val="009F19BB"/>
    <w:rsid w:val="009F1E99"/>
    <w:rsid w:val="009F26F4"/>
    <w:rsid w:val="009F5CFE"/>
    <w:rsid w:val="00A00632"/>
    <w:rsid w:val="00A00B12"/>
    <w:rsid w:val="00A01C83"/>
    <w:rsid w:val="00A0334D"/>
    <w:rsid w:val="00A1188C"/>
    <w:rsid w:val="00A136FA"/>
    <w:rsid w:val="00A17CAB"/>
    <w:rsid w:val="00A2101F"/>
    <w:rsid w:val="00A215C4"/>
    <w:rsid w:val="00A22433"/>
    <w:rsid w:val="00A22BAC"/>
    <w:rsid w:val="00A22EC7"/>
    <w:rsid w:val="00A240B4"/>
    <w:rsid w:val="00A3278A"/>
    <w:rsid w:val="00A33F68"/>
    <w:rsid w:val="00A35FB3"/>
    <w:rsid w:val="00A460A9"/>
    <w:rsid w:val="00A46730"/>
    <w:rsid w:val="00A47B82"/>
    <w:rsid w:val="00A51079"/>
    <w:rsid w:val="00A530C8"/>
    <w:rsid w:val="00A54915"/>
    <w:rsid w:val="00A567AD"/>
    <w:rsid w:val="00A56982"/>
    <w:rsid w:val="00A578D0"/>
    <w:rsid w:val="00A57DEC"/>
    <w:rsid w:val="00A6204C"/>
    <w:rsid w:val="00A65363"/>
    <w:rsid w:val="00A6638A"/>
    <w:rsid w:val="00A664BC"/>
    <w:rsid w:val="00A667F5"/>
    <w:rsid w:val="00A66B55"/>
    <w:rsid w:val="00A67CED"/>
    <w:rsid w:val="00A71416"/>
    <w:rsid w:val="00A7183D"/>
    <w:rsid w:val="00A719A1"/>
    <w:rsid w:val="00A73609"/>
    <w:rsid w:val="00A7413A"/>
    <w:rsid w:val="00A7659D"/>
    <w:rsid w:val="00A77BA3"/>
    <w:rsid w:val="00A77C05"/>
    <w:rsid w:val="00A82525"/>
    <w:rsid w:val="00A84470"/>
    <w:rsid w:val="00A87E0D"/>
    <w:rsid w:val="00A87EF7"/>
    <w:rsid w:val="00A9033F"/>
    <w:rsid w:val="00A936C2"/>
    <w:rsid w:val="00A941F4"/>
    <w:rsid w:val="00A951BF"/>
    <w:rsid w:val="00A96CDA"/>
    <w:rsid w:val="00A97BF8"/>
    <w:rsid w:val="00AA5533"/>
    <w:rsid w:val="00AA6308"/>
    <w:rsid w:val="00AA6EDE"/>
    <w:rsid w:val="00AA76A7"/>
    <w:rsid w:val="00AB1FCE"/>
    <w:rsid w:val="00AB419C"/>
    <w:rsid w:val="00AB670D"/>
    <w:rsid w:val="00AC4DD4"/>
    <w:rsid w:val="00AC6B51"/>
    <w:rsid w:val="00AC7A6D"/>
    <w:rsid w:val="00AD0172"/>
    <w:rsid w:val="00AD5312"/>
    <w:rsid w:val="00AD55E5"/>
    <w:rsid w:val="00AD6E56"/>
    <w:rsid w:val="00AE1247"/>
    <w:rsid w:val="00AE36C4"/>
    <w:rsid w:val="00AE387A"/>
    <w:rsid w:val="00AE40D5"/>
    <w:rsid w:val="00AE474C"/>
    <w:rsid w:val="00AE56A2"/>
    <w:rsid w:val="00AE793F"/>
    <w:rsid w:val="00AF10B0"/>
    <w:rsid w:val="00AF28D4"/>
    <w:rsid w:val="00AF4016"/>
    <w:rsid w:val="00AF5FC4"/>
    <w:rsid w:val="00AF6DFB"/>
    <w:rsid w:val="00B01801"/>
    <w:rsid w:val="00B01AC0"/>
    <w:rsid w:val="00B01D5F"/>
    <w:rsid w:val="00B01D8D"/>
    <w:rsid w:val="00B12FC3"/>
    <w:rsid w:val="00B135D7"/>
    <w:rsid w:val="00B14068"/>
    <w:rsid w:val="00B17841"/>
    <w:rsid w:val="00B255EE"/>
    <w:rsid w:val="00B26C29"/>
    <w:rsid w:val="00B30F9A"/>
    <w:rsid w:val="00B3168E"/>
    <w:rsid w:val="00B31BA5"/>
    <w:rsid w:val="00B32312"/>
    <w:rsid w:val="00B33A82"/>
    <w:rsid w:val="00B33DA9"/>
    <w:rsid w:val="00B3495A"/>
    <w:rsid w:val="00B366ED"/>
    <w:rsid w:val="00B4107D"/>
    <w:rsid w:val="00B44C09"/>
    <w:rsid w:val="00B47345"/>
    <w:rsid w:val="00B475D7"/>
    <w:rsid w:val="00B536A1"/>
    <w:rsid w:val="00B557B3"/>
    <w:rsid w:val="00B603BE"/>
    <w:rsid w:val="00B63104"/>
    <w:rsid w:val="00B63296"/>
    <w:rsid w:val="00B74B72"/>
    <w:rsid w:val="00B75478"/>
    <w:rsid w:val="00B86DC2"/>
    <w:rsid w:val="00B90332"/>
    <w:rsid w:val="00B9269D"/>
    <w:rsid w:val="00B96B19"/>
    <w:rsid w:val="00BA2244"/>
    <w:rsid w:val="00BA4E2E"/>
    <w:rsid w:val="00BA5A93"/>
    <w:rsid w:val="00BB0D05"/>
    <w:rsid w:val="00BB15CB"/>
    <w:rsid w:val="00BB58C5"/>
    <w:rsid w:val="00BB7844"/>
    <w:rsid w:val="00BC2CF7"/>
    <w:rsid w:val="00BC365F"/>
    <w:rsid w:val="00BC49DC"/>
    <w:rsid w:val="00BC6605"/>
    <w:rsid w:val="00BC7BC9"/>
    <w:rsid w:val="00BC7DB8"/>
    <w:rsid w:val="00BC7DC7"/>
    <w:rsid w:val="00BD3B71"/>
    <w:rsid w:val="00BD673F"/>
    <w:rsid w:val="00BE3B68"/>
    <w:rsid w:val="00BE6FFC"/>
    <w:rsid w:val="00BF0CEE"/>
    <w:rsid w:val="00BF10D9"/>
    <w:rsid w:val="00BF2F80"/>
    <w:rsid w:val="00BF4E43"/>
    <w:rsid w:val="00BF55F2"/>
    <w:rsid w:val="00BF7568"/>
    <w:rsid w:val="00C005AE"/>
    <w:rsid w:val="00C045EA"/>
    <w:rsid w:val="00C113AF"/>
    <w:rsid w:val="00C12C0E"/>
    <w:rsid w:val="00C12C40"/>
    <w:rsid w:val="00C12F9E"/>
    <w:rsid w:val="00C13C78"/>
    <w:rsid w:val="00C15C13"/>
    <w:rsid w:val="00C20022"/>
    <w:rsid w:val="00C21F9F"/>
    <w:rsid w:val="00C229B2"/>
    <w:rsid w:val="00C22CDF"/>
    <w:rsid w:val="00C25A94"/>
    <w:rsid w:val="00C26CC3"/>
    <w:rsid w:val="00C30ADF"/>
    <w:rsid w:val="00C318A7"/>
    <w:rsid w:val="00C3284B"/>
    <w:rsid w:val="00C36723"/>
    <w:rsid w:val="00C4098F"/>
    <w:rsid w:val="00C40ADB"/>
    <w:rsid w:val="00C4154C"/>
    <w:rsid w:val="00C43C2A"/>
    <w:rsid w:val="00C45283"/>
    <w:rsid w:val="00C5114A"/>
    <w:rsid w:val="00C516EA"/>
    <w:rsid w:val="00C52A09"/>
    <w:rsid w:val="00C556C3"/>
    <w:rsid w:val="00C60048"/>
    <w:rsid w:val="00C610AF"/>
    <w:rsid w:val="00C62AE4"/>
    <w:rsid w:val="00C62B4A"/>
    <w:rsid w:val="00C638D2"/>
    <w:rsid w:val="00C63921"/>
    <w:rsid w:val="00C6536A"/>
    <w:rsid w:val="00C65692"/>
    <w:rsid w:val="00C65BB8"/>
    <w:rsid w:val="00C66986"/>
    <w:rsid w:val="00C676F8"/>
    <w:rsid w:val="00C72A68"/>
    <w:rsid w:val="00C76979"/>
    <w:rsid w:val="00C77BB6"/>
    <w:rsid w:val="00C77F85"/>
    <w:rsid w:val="00C85CF3"/>
    <w:rsid w:val="00C90B04"/>
    <w:rsid w:val="00CA3D95"/>
    <w:rsid w:val="00CA73A8"/>
    <w:rsid w:val="00CB187B"/>
    <w:rsid w:val="00CB4217"/>
    <w:rsid w:val="00CB4D6F"/>
    <w:rsid w:val="00CC0BBF"/>
    <w:rsid w:val="00CC7897"/>
    <w:rsid w:val="00CD1A04"/>
    <w:rsid w:val="00CD297F"/>
    <w:rsid w:val="00CD6D73"/>
    <w:rsid w:val="00CE08B1"/>
    <w:rsid w:val="00CE22A3"/>
    <w:rsid w:val="00CE24A3"/>
    <w:rsid w:val="00CE40D7"/>
    <w:rsid w:val="00CE51DE"/>
    <w:rsid w:val="00CE551E"/>
    <w:rsid w:val="00CF1853"/>
    <w:rsid w:val="00CF40CF"/>
    <w:rsid w:val="00CF4685"/>
    <w:rsid w:val="00D00144"/>
    <w:rsid w:val="00D0133E"/>
    <w:rsid w:val="00D02792"/>
    <w:rsid w:val="00D06D9A"/>
    <w:rsid w:val="00D150DA"/>
    <w:rsid w:val="00D157B3"/>
    <w:rsid w:val="00D16C37"/>
    <w:rsid w:val="00D16D99"/>
    <w:rsid w:val="00D22AEB"/>
    <w:rsid w:val="00D24E81"/>
    <w:rsid w:val="00D25C5C"/>
    <w:rsid w:val="00D25EE5"/>
    <w:rsid w:val="00D323EC"/>
    <w:rsid w:val="00D32898"/>
    <w:rsid w:val="00D33BF7"/>
    <w:rsid w:val="00D34333"/>
    <w:rsid w:val="00D34959"/>
    <w:rsid w:val="00D358AE"/>
    <w:rsid w:val="00D36900"/>
    <w:rsid w:val="00D40A7C"/>
    <w:rsid w:val="00D40CBA"/>
    <w:rsid w:val="00D40D08"/>
    <w:rsid w:val="00D41481"/>
    <w:rsid w:val="00D44BED"/>
    <w:rsid w:val="00D4554F"/>
    <w:rsid w:val="00D45588"/>
    <w:rsid w:val="00D455B5"/>
    <w:rsid w:val="00D457F6"/>
    <w:rsid w:val="00D471AF"/>
    <w:rsid w:val="00D47724"/>
    <w:rsid w:val="00D525C9"/>
    <w:rsid w:val="00D5305A"/>
    <w:rsid w:val="00D5332A"/>
    <w:rsid w:val="00D53E31"/>
    <w:rsid w:val="00D555E8"/>
    <w:rsid w:val="00D55E48"/>
    <w:rsid w:val="00D56972"/>
    <w:rsid w:val="00D60D2A"/>
    <w:rsid w:val="00D60DFD"/>
    <w:rsid w:val="00D61771"/>
    <w:rsid w:val="00D62541"/>
    <w:rsid w:val="00D63665"/>
    <w:rsid w:val="00D6389B"/>
    <w:rsid w:val="00D63C2A"/>
    <w:rsid w:val="00D64884"/>
    <w:rsid w:val="00D65A02"/>
    <w:rsid w:val="00D65D91"/>
    <w:rsid w:val="00D66968"/>
    <w:rsid w:val="00D70DFD"/>
    <w:rsid w:val="00D713C5"/>
    <w:rsid w:val="00D71453"/>
    <w:rsid w:val="00D72C65"/>
    <w:rsid w:val="00D72DF6"/>
    <w:rsid w:val="00D7449F"/>
    <w:rsid w:val="00D74F28"/>
    <w:rsid w:val="00D750E2"/>
    <w:rsid w:val="00D80EEE"/>
    <w:rsid w:val="00D83385"/>
    <w:rsid w:val="00D8520E"/>
    <w:rsid w:val="00D86B19"/>
    <w:rsid w:val="00D86D23"/>
    <w:rsid w:val="00D876FF"/>
    <w:rsid w:val="00D924EC"/>
    <w:rsid w:val="00D9331B"/>
    <w:rsid w:val="00D94AB4"/>
    <w:rsid w:val="00D96A92"/>
    <w:rsid w:val="00DA1BE0"/>
    <w:rsid w:val="00DA6619"/>
    <w:rsid w:val="00DB0ECE"/>
    <w:rsid w:val="00DC086C"/>
    <w:rsid w:val="00DC217E"/>
    <w:rsid w:val="00DC29D6"/>
    <w:rsid w:val="00DC3947"/>
    <w:rsid w:val="00DC72C1"/>
    <w:rsid w:val="00DC7971"/>
    <w:rsid w:val="00DC7FFC"/>
    <w:rsid w:val="00DD284F"/>
    <w:rsid w:val="00DD28AA"/>
    <w:rsid w:val="00DD470F"/>
    <w:rsid w:val="00DD65DC"/>
    <w:rsid w:val="00DD7351"/>
    <w:rsid w:val="00DE351A"/>
    <w:rsid w:val="00DE5527"/>
    <w:rsid w:val="00DE5B6D"/>
    <w:rsid w:val="00DE6AB3"/>
    <w:rsid w:val="00DE7060"/>
    <w:rsid w:val="00DE7942"/>
    <w:rsid w:val="00DF308F"/>
    <w:rsid w:val="00DF412B"/>
    <w:rsid w:val="00DF5220"/>
    <w:rsid w:val="00E03CD0"/>
    <w:rsid w:val="00E0627F"/>
    <w:rsid w:val="00E0657D"/>
    <w:rsid w:val="00E06D0F"/>
    <w:rsid w:val="00E072AB"/>
    <w:rsid w:val="00E10455"/>
    <w:rsid w:val="00E15AE4"/>
    <w:rsid w:val="00E17CC2"/>
    <w:rsid w:val="00E201FC"/>
    <w:rsid w:val="00E22CC4"/>
    <w:rsid w:val="00E23136"/>
    <w:rsid w:val="00E25C6A"/>
    <w:rsid w:val="00E2743B"/>
    <w:rsid w:val="00E318A9"/>
    <w:rsid w:val="00E31F11"/>
    <w:rsid w:val="00E320E3"/>
    <w:rsid w:val="00E32BD8"/>
    <w:rsid w:val="00E333DF"/>
    <w:rsid w:val="00E33F4C"/>
    <w:rsid w:val="00E35134"/>
    <w:rsid w:val="00E36787"/>
    <w:rsid w:val="00E406F2"/>
    <w:rsid w:val="00E4378E"/>
    <w:rsid w:val="00E440D1"/>
    <w:rsid w:val="00E451B8"/>
    <w:rsid w:val="00E47B53"/>
    <w:rsid w:val="00E54F24"/>
    <w:rsid w:val="00E627EE"/>
    <w:rsid w:val="00E63952"/>
    <w:rsid w:val="00E65B9D"/>
    <w:rsid w:val="00E66F39"/>
    <w:rsid w:val="00E704A9"/>
    <w:rsid w:val="00E747B2"/>
    <w:rsid w:val="00E75DA6"/>
    <w:rsid w:val="00E7748F"/>
    <w:rsid w:val="00E77B82"/>
    <w:rsid w:val="00E869EB"/>
    <w:rsid w:val="00E93049"/>
    <w:rsid w:val="00E932D5"/>
    <w:rsid w:val="00E94554"/>
    <w:rsid w:val="00E95299"/>
    <w:rsid w:val="00E953ED"/>
    <w:rsid w:val="00E964CE"/>
    <w:rsid w:val="00E96E15"/>
    <w:rsid w:val="00E9704A"/>
    <w:rsid w:val="00EA08DF"/>
    <w:rsid w:val="00EA0C8A"/>
    <w:rsid w:val="00EA0CB0"/>
    <w:rsid w:val="00EA3A84"/>
    <w:rsid w:val="00EA6931"/>
    <w:rsid w:val="00EA77E0"/>
    <w:rsid w:val="00EA7833"/>
    <w:rsid w:val="00EA78FC"/>
    <w:rsid w:val="00EB1B3C"/>
    <w:rsid w:val="00EB2BC1"/>
    <w:rsid w:val="00EB4240"/>
    <w:rsid w:val="00EB5828"/>
    <w:rsid w:val="00EC04DB"/>
    <w:rsid w:val="00EC14EC"/>
    <w:rsid w:val="00EC29FD"/>
    <w:rsid w:val="00EC3913"/>
    <w:rsid w:val="00EC41E2"/>
    <w:rsid w:val="00EC63C3"/>
    <w:rsid w:val="00ED18F9"/>
    <w:rsid w:val="00ED2412"/>
    <w:rsid w:val="00ED3591"/>
    <w:rsid w:val="00ED3BDB"/>
    <w:rsid w:val="00ED43DC"/>
    <w:rsid w:val="00ED5FEE"/>
    <w:rsid w:val="00ED6853"/>
    <w:rsid w:val="00EE27E1"/>
    <w:rsid w:val="00EE55DC"/>
    <w:rsid w:val="00EE5B4A"/>
    <w:rsid w:val="00EE5BA4"/>
    <w:rsid w:val="00EE6FE5"/>
    <w:rsid w:val="00EF1031"/>
    <w:rsid w:val="00EF11FB"/>
    <w:rsid w:val="00EF317A"/>
    <w:rsid w:val="00EF68E3"/>
    <w:rsid w:val="00EF6D7D"/>
    <w:rsid w:val="00EF799C"/>
    <w:rsid w:val="00F00F73"/>
    <w:rsid w:val="00F01393"/>
    <w:rsid w:val="00F019AE"/>
    <w:rsid w:val="00F030B9"/>
    <w:rsid w:val="00F03CA8"/>
    <w:rsid w:val="00F059F8"/>
    <w:rsid w:val="00F11648"/>
    <w:rsid w:val="00F122E1"/>
    <w:rsid w:val="00F132B7"/>
    <w:rsid w:val="00F142A9"/>
    <w:rsid w:val="00F14962"/>
    <w:rsid w:val="00F14DB0"/>
    <w:rsid w:val="00F150E8"/>
    <w:rsid w:val="00F151B3"/>
    <w:rsid w:val="00F16F18"/>
    <w:rsid w:val="00F20860"/>
    <w:rsid w:val="00F20F55"/>
    <w:rsid w:val="00F240AA"/>
    <w:rsid w:val="00F2554F"/>
    <w:rsid w:val="00F356FE"/>
    <w:rsid w:val="00F367E4"/>
    <w:rsid w:val="00F3720C"/>
    <w:rsid w:val="00F37961"/>
    <w:rsid w:val="00F4005C"/>
    <w:rsid w:val="00F440E8"/>
    <w:rsid w:val="00F500C5"/>
    <w:rsid w:val="00F51CEF"/>
    <w:rsid w:val="00F52BFB"/>
    <w:rsid w:val="00F55D0D"/>
    <w:rsid w:val="00F63DE7"/>
    <w:rsid w:val="00F661E9"/>
    <w:rsid w:val="00F67B3F"/>
    <w:rsid w:val="00F7564D"/>
    <w:rsid w:val="00F77E1A"/>
    <w:rsid w:val="00F80351"/>
    <w:rsid w:val="00F81A86"/>
    <w:rsid w:val="00F85E83"/>
    <w:rsid w:val="00F8637F"/>
    <w:rsid w:val="00F91734"/>
    <w:rsid w:val="00F95096"/>
    <w:rsid w:val="00F957A0"/>
    <w:rsid w:val="00F96B7B"/>
    <w:rsid w:val="00FA6F19"/>
    <w:rsid w:val="00FA71E1"/>
    <w:rsid w:val="00FA7222"/>
    <w:rsid w:val="00FA7559"/>
    <w:rsid w:val="00FA788C"/>
    <w:rsid w:val="00FB10C5"/>
    <w:rsid w:val="00FB40A1"/>
    <w:rsid w:val="00FB48A8"/>
    <w:rsid w:val="00FB70A2"/>
    <w:rsid w:val="00FC38A8"/>
    <w:rsid w:val="00FC479B"/>
    <w:rsid w:val="00FC61C6"/>
    <w:rsid w:val="00FC6461"/>
    <w:rsid w:val="00FD20A1"/>
    <w:rsid w:val="00FD3CD0"/>
    <w:rsid w:val="00FD4395"/>
    <w:rsid w:val="00FD5A3A"/>
    <w:rsid w:val="00FD6F79"/>
    <w:rsid w:val="00FE06DE"/>
    <w:rsid w:val="00FE08B2"/>
    <w:rsid w:val="00FE1B66"/>
    <w:rsid w:val="00FE273F"/>
    <w:rsid w:val="00FE6E43"/>
    <w:rsid w:val="00FE7B6A"/>
    <w:rsid w:val="00FE7BA7"/>
    <w:rsid w:val="00FF1D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7A42C7-25A2-435A-A56F-48DCEA8E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19C"/>
    <w:pPr>
      <w:spacing w:after="160" w:line="254" w:lineRule="auto"/>
    </w:pPr>
  </w:style>
  <w:style w:type="paragraph" w:styleId="Heading1">
    <w:name w:val="heading 1"/>
    <w:basedOn w:val="Normal"/>
    <w:next w:val="Normal"/>
    <w:link w:val="Heading1Char"/>
    <w:qFormat/>
    <w:rsid w:val="00FD20A1"/>
    <w:pPr>
      <w:keepNext/>
      <w:spacing w:after="0" w:line="240" w:lineRule="auto"/>
      <w:outlineLvl w:val="0"/>
    </w:pPr>
    <w:rPr>
      <w:rFonts w:ascii="Times New Roman" w:eastAsia="Times New Roman" w:hAnsi="Times New Roman" w:cs="Times New Roman"/>
      <w:sz w:val="24"/>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A2C84"/>
    <w:pPr>
      <w:spacing w:after="0" w:line="240" w:lineRule="auto"/>
    </w:pPr>
    <w:rPr>
      <w:rFonts w:ascii="Calibri" w:eastAsia="Times New Roman" w:hAnsi="Calibri" w:cs="Times New Roman"/>
      <w:sz w:val="20"/>
      <w:szCs w:val="20"/>
      <w:lang w:eastAsia="en-ZA"/>
    </w:rPr>
  </w:style>
  <w:style w:type="character" w:customStyle="1" w:styleId="FootnoteTextChar">
    <w:name w:val="Footnote Text Char"/>
    <w:basedOn w:val="DefaultParagraphFont"/>
    <w:link w:val="FootnoteText"/>
    <w:uiPriority w:val="99"/>
    <w:rsid w:val="003A2C84"/>
    <w:rPr>
      <w:rFonts w:ascii="Calibri" w:eastAsia="Times New Roman" w:hAnsi="Calibri" w:cs="Times New Roman"/>
      <w:sz w:val="20"/>
      <w:szCs w:val="20"/>
      <w:lang w:eastAsia="en-ZA"/>
    </w:rPr>
  </w:style>
  <w:style w:type="character" w:styleId="FootnoteReference">
    <w:name w:val="footnote reference"/>
    <w:basedOn w:val="DefaultParagraphFont"/>
    <w:uiPriority w:val="99"/>
    <w:unhideWhenUsed/>
    <w:rsid w:val="003A2C84"/>
    <w:rPr>
      <w:vertAlign w:val="superscript"/>
    </w:rPr>
  </w:style>
  <w:style w:type="paragraph" w:styleId="Header">
    <w:name w:val="header"/>
    <w:basedOn w:val="Normal"/>
    <w:link w:val="HeaderChar"/>
    <w:uiPriority w:val="99"/>
    <w:unhideWhenUsed/>
    <w:rsid w:val="003A2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C84"/>
  </w:style>
  <w:style w:type="paragraph" w:styleId="Footer">
    <w:name w:val="footer"/>
    <w:basedOn w:val="Normal"/>
    <w:link w:val="FooterChar"/>
    <w:uiPriority w:val="99"/>
    <w:unhideWhenUsed/>
    <w:rsid w:val="003A2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C84"/>
  </w:style>
  <w:style w:type="paragraph" w:styleId="BalloonText">
    <w:name w:val="Balloon Text"/>
    <w:basedOn w:val="Normal"/>
    <w:link w:val="BalloonTextChar"/>
    <w:uiPriority w:val="99"/>
    <w:semiHidden/>
    <w:unhideWhenUsed/>
    <w:rsid w:val="00F12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2E1"/>
    <w:rPr>
      <w:rFonts w:ascii="Tahoma" w:hAnsi="Tahoma" w:cs="Tahoma"/>
      <w:sz w:val="16"/>
      <w:szCs w:val="16"/>
    </w:rPr>
  </w:style>
  <w:style w:type="paragraph" w:styleId="ListParagraph">
    <w:name w:val="List Paragraph"/>
    <w:basedOn w:val="Normal"/>
    <w:uiPriority w:val="34"/>
    <w:qFormat/>
    <w:rsid w:val="00C22CDF"/>
    <w:pPr>
      <w:ind w:left="720"/>
      <w:contextualSpacing/>
    </w:pPr>
  </w:style>
  <w:style w:type="paragraph" w:customStyle="1" w:styleId="bodytext">
    <w:name w:val="bodytext"/>
    <w:basedOn w:val="Normal"/>
    <w:rsid w:val="00721894"/>
    <w:pPr>
      <w:spacing w:before="180" w:after="0" w:line="240" w:lineRule="auto"/>
      <w:jc w:val="both"/>
    </w:pPr>
    <w:rPr>
      <w:rFonts w:ascii="Verdana" w:eastAsia="Times New Roman" w:hAnsi="Verdana" w:cs="Times New Roman"/>
      <w:color w:val="000000"/>
      <w:sz w:val="18"/>
      <w:szCs w:val="18"/>
      <w:lang w:eastAsia="en-ZA"/>
    </w:rPr>
  </w:style>
  <w:style w:type="character" w:customStyle="1" w:styleId="lphit1">
    <w:name w:val="lphit1"/>
    <w:basedOn w:val="DefaultParagraphFont"/>
    <w:rsid w:val="00721894"/>
    <w:rPr>
      <w:color w:val="FFFFFF"/>
      <w:shd w:val="clear" w:color="auto" w:fill="CC0033"/>
    </w:rPr>
  </w:style>
  <w:style w:type="character" w:customStyle="1" w:styleId="Heading1Char">
    <w:name w:val="Heading 1 Char"/>
    <w:basedOn w:val="DefaultParagraphFont"/>
    <w:link w:val="Heading1"/>
    <w:rsid w:val="00FD20A1"/>
    <w:rPr>
      <w:rFonts w:ascii="Times New Roman" w:eastAsia="Times New Roman" w:hAnsi="Times New Roman" w:cs="Times New Roman"/>
      <w:sz w:val="24"/>
      <w:szCs w:val="20"/>
      <w:u w:val="single"/>
      <w:lang w:val="en-AU"/>
    </w:rPr>
  </w:style>
  <w:style w:type="character" w:styleId="Hyperlink">
    <w:name w:val="Hyperlink"/>
    <w:uiPriority w:val="99"/>
    <w:unhideWhenUsed/>
    <w:rsid w:val="0014277B"/>
    <w:rPr>
      <w:b/>
      <w:bCs/>
      <w:i w:val="0"/>
      <w:iCs w:val="0"/>
      <w:color w:val="0B4B0B"/>
      <w:u w:val="single"/>
    </w:rPr>
  </w:style>
  <w:style w:type="character" w:customStyle="1" w:styleId="s8">
    <w:name w:val="s8"/>
    <w:rsid w:val="0014277B"/>
  </w:style>
  <w:style w:type="character" w:customStyle="1" w:styleId="apple-converted-space">
    <w:name w:val="apple-converted-space"/>
    <w:rsid w:val="0014277B"/>
  </w:style>
  <w:style w:type="paragraph" w:customStyle="1" w:styleId="p17">
    <w:name w:val="p17"/>
    <w:basedOn w:val="Normal"/>
    <w:rsid w:val="0014277B"/>
    <w:pPr>
      <w:spacing w:before="100" w:beforeAutospacing="1" w:after="100" w:afterAutospacing="1" w:line="240" w:lineRule="auto"/>
    </w:pPr>
    <w:rPr>
      <w:rFonts w:ascii="Times New Roman" w:eastAsia="Calibri" w:hAnsi="Times New Roman" w:cs="Times New Roman"/>
      <w:sz w:val="24"/>
      <w:szCs w:val="24"/>
      <w:lang w:eastAsia="en-ZA"/>
    </w:rPr>
  </w:style>
  <w:style w:type="character" w:customStyle="1" w:styleId="s11">
    <w:name w:val="s11"/>
    <w:rsid w:val="0014277B"/>
  </w:style>
  <w:style w:type="paragraph" w:styleId="NormalWeb">
    <w:name w:val="Normal (Web)"/>
    <w:basedOn w:val="Normal"/>
    <w:uiPriority w:val="99"/>
    <w:unhideWhenUsed/>
    <w:rsid w:val="0014277B"/>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western">
    <w:name w:val="western"/>
    <w:basedOn w:val="Normal"/>
    <w:rsid w:val="006B453A"/>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odyText0">
    <w:name w:val="Body Text"/>
    <w:basedOn w:val="Normal"/>
    <w:link w:val="BodyTextChar"/>
    <w:rsid w:val="00EB4240"/>
    <w:pPr>
      <w:spacing w:after="0" w:line="240" w:lineRule="auto"/>
    </w:pPr>
    <w:rPr>
      <w:rFonts w:ascii="Arial" w:eastAsia="Times New Roman" w:hAnsi="Arial" w:cs="Times New Roman"/>
      <w:sz w:val="24"/>
      <w:szCs w:val="20"/>
      <w:lang w:val="en-US"/>
    </w:rPr>
  </w:style>
  <w:style w:type="character" w:customStyle="1" w:styleId="BodyTextChar">
    <w:name w:val="Body Text Char"/>
    <w:basedOn w:val="DefaultParagraphFont"/>
    <w:link w:val="BodyText0"/>
    <w:rsid w:val="00EB4240"/>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687773">
      <w:bodyDiv w:val="1"/>
      <w:marLeft w:val="0"/>
      <w:marRight w:val="0"/>
      <w:marTop w:val="0"/>
      <w:marBottom w:val="0"/>
      <w:divBdr>
        <w:top w:val="none" w:sz="0" w:space="0" w:color="auto"/>
        <w:left w:val="none" w:sz="0" w:space="0" w:color="auto"/>
        <w:bottom w:val="none" w:sz="0" w:space="0" w:color="auto"/>
        <w:right w:val="none" w:sz="0" w:space="0" w:color="auto"/>
      </w:divBdr>
    </w:div>
    <w:div w:id="757288167">
      <w:bodyDiv w:val="1"/>
      <w:marLeft w:val="0"/>
      <w:marRight w:val="0"/>
      <w:marTop w:val="0"/>
      <w:marBottom w:val="0"/>
      <w:divBdr>
        <w:top w:val="none" w:sz="0" w:space="0" w:color="auto"/>
        <w:left w:val="none" w:sz="0" w:space="0" w:color="auto"/>
        <w:bottom w:val="none" w:sz="0" w:space="0" w:color="auto"/>
        <w:right w:val="none" w:sz="0" w:space="0" w:color="auto"/>
      </w:divBdr>
    </w:div>
    <w:div w:id="869148776">
      <w:bodyDiv w:val="1"/>
      <w:marLeft w:val="0"/>
      <w:marRight w:val="0"/>
      <w:marTop w:val="0"/>
      <w:marBottom w:val="0"/>
      <w:divBdr>
        <w:top w:val="none" w:sz="0" w:space="0" w:color="auto"/>
        <w:left w:val="none" w:sz="0" w:space="0" w:color="auto"/>
        <w:bottom w:val="none" w:sz="0" w:space="0" w:color="auto"/>
        <w:right w:val="none" w:sz="0" w:space="0" w:color="auto"/>
      </w:divBdr>
    </w:div>
    <w:div w:id="902563128">
      <w:bodyDiv w:val="1"/>
      <w:marLeft w:val="0"/>
      <w:marRight w:val="0"/>
      <w:marTop w:val="0"/>
      <w:marBottom w:val="0"/>
      <w:divBdr>
        <w:top w:val="none" w:sz="0" w:space="0" w:color="auto"/>
        <w:left w:val="none" w:sz="0" w:space="0" w:color="auto"/>
        <w:bottom w:val="none" w:sz="0" w:space="0" w:color="auto"/>
        <w:right w:val="none" w:sz="0" w:space="0" w:color="auto"/>
      </w:divBdr>
    </w:div>
    <w:div w:id="1089424578">
      <w:bodyDiv w:val="1"/>
      <w:marLeft w:val="0"/>
      <w:marRight w:val="0"/>
      <w:marTop w:val="0"/>
      <w:marBottom w:val="0"/>
      <w:divBdr>
        <w:top w:val="none" w:sz="0" w:space="0" w:color="auto"/>
        <w:left w:val="none" w:sz="0" w:space="0" w:color="auto"/>
        <w:bottom w:val="none" w:sz="0" w:space="0" w:color="auto"/>
        <w:right w:val="none" w:sz="0" w:space="0" w:color="auto"/>
      </w:divBdr>
    </w:div>
    <w:div w:id="1156844987">
      <w:bodyDiv w:val="1"/>
      <w:marLeft w:val="0"/>
      <w:marRight w:val="0"/>
      <w:marTop w:val="0"/>
      <w:marBottom w:val="0"/>
      <w:divBdr>
        <w:top w:val="none" w:sz="0" w:space="0" w:color="auto"/>
        <w:left w:val="none" w:sz="0" w:space="0" w:color="auto"/>
        <w:bottom w:val="none" w:sz="0" w:space="0" w:color="auto"/>
        <w:right w:val="none" w:sz="0" w:space="0" w:color="auto"/>
      </w:divBdr>
    </w:div>
    <w:div w:id="1310861306">
      <w:bodyDiv w:val="1"/>
      <w:marLeft w:val="0"/>
      <w:marRight w:val="0"/>
      <w:marTop w:val="0"/>
      <w:marBottom w:val="0"/>
      <w:divBdr>
        <w:top w:val="none" w:sz="0" w:space="0" w:color="auto"/>
        <w:left w:val="none" w:sz="0" w:space="0" w:color="auto"/>
        <w:bottom w:val="none" w:sz="0" w:space="0" w:color="auto"/>
        <w:right w:val="none" w:sz="0" w:space="0" w:color="auto"/>
      </w:divBdr>
    </w:div>
    <w:div w:id="1469202315">
      <w:bodyDiv w:val="1"/>
      <w:marLeft w:val="0"/>
      <w:marRight w:val="0"/>
      <w:marTop w:val="0"/>
      <w:marBottom w:val="0"/>
      <w:divBdr>
        <w:top w:val="none" w:sz="0" w:space="0" w:color="auto"/>
        <w:left w:val="none" w:sz="0" w:space="0" w:color="auto"/>
        <w:bottom w:val="none" w:sz="0" w:space="0" w:color="auto"/>
        <w:right w:val="none" w:sz="0" w:space="0" w:color="auto"/>
      </w:divBdr>
    </w:div>
    <w:div w:id="1482426691">
      <w:bodyDiv w:val="1"/>
      <w:marLeft w:val="0"/>
      <w:marRight w:val="0"/>
      <w:marTop w:val="0"/>
      <w:marBottom w:val="0"/>
      <w:divBdr>
        <w:top w:val="none" w:sz="0" w:space="0" w:color="auto"/>
        <w:left w:val="none" w:sz="0" w:space="0" w:color="auto"/>
        <w:bottom w:val="none" w:sz="0" w:space="0" w:color="auto"/>
        <w:right w:val="none" w:sz="0" w:space="0" w:color="auto"/>
      </w:divBdr>
    </w:div>
    <w:div w:id="1563058347">
      <w:bodyDiv w:val="1"/>
      <w:marLeft w:val="0"/>
      <w:marRight w:val="0"/>
      <w:marTop w:val="0"/>
      <w:marBottom w:val="0"/>
      <w:divBdr>
        <w:top w:val="none" w:sz="0" w:space="0" w:color="auto"/>
        <w:left w:val="none" w:sz="0" w:space="0" w:color="auto"/>
        <w:bottom w:val="none" w:sz="0" w:space="0" w:color="auto"/>
        <w:right w:val="none" w:sz="0" w:space="0" w:color="auto"/>
      </w:divBdr>
    </w:div>
    <w:div w:id="1649944543">
      <w:bodyDiv w:val="1"/>
      <w:marLeft w:val="0"/>
      <w:marRight w:val="0"/>
      <w:marTop w:val="0"/>
      <w:marBottom w:val="0"/>
      <w:divBdr>
        <w:top w:val="none" w:sz="0" w:space="0" w:color="auto"/>
        <w:left w:val="none" w:sz="0" w:space="0" w:color="auto"/>
        <w:bottom w:val="none" w:sz="0" w:space="0" w:color="auto"/>
        <w:right w:val="none" w:sz="0" w:space="0" w:color="auto"/>
      </w:divBdr>
    </w:div>
    <w:div w:id="1694069372">
      <w:bodyDiv w:val="1"/>
      <w:marLeft w:val="0"/>
      <w:marRight w:val="0"/>
      <w:marTop w:val="0"/>
      <w:marBottom w:val="0"/>
      <w:divBdr>
        <w:top w:val="none" w:sz="0" w:space="0" w:color="auto"/>
        <w:left w:val="none" w:sz="0" w:space="0" w:color="auto"/>
        <w:bottom w:val="none" w:sz="0" w:space="0" w:color="auto"/>
        <w:right w:val="none" w:sz="0" w:space="0" w:color="auto"/>
      </w:divBdr>
    </w:div>
    <w:div w:id="1940065689">
      <w:bodyDiv w:val="1"/>
      <w:marLeft w:val="0"/>
      <w:marRight w:val="0"/>
      <w:marTop w:val="0"/>
      <w:marBottom w:val="0"/>
      <w:divBdr>
        <w:top w:val="none" w:sz="0" w:space="0" w:color="auto"/>
        <w:left w:val="none" w:sz="0" w:space="0" w:color="auto"/>
        <w:bottom w:val="none" w:sz="0" w:space="0" w:color="auto"/>
        <w:right w:val="none" w:sz="0" w:space="0" w:color="auto"/>
      </w:divBdr>
    </w:div>
    <w:div w:id="1956595907">
      <w:bodyDiv w:val="1"/>
      <w:marLeft w:val="0"/>
      <w:marRight w:val="0"/>
      <w:marTop w:val="0"/>
      <w:marBottom w:val="0"/>
      <w:divBdr>
        <w:top w:val="none" w:sz="0" w:space="0" w:color="auto"/>
        <w:left w:val="none" w:sz="0" w:space="0" w:color="auto"/>
        <w:bottom w:val="none" w:sz="0" w:space="0" w:color="auto"/>
        <w:right w:val="none" w:sz="0" w:space="0" w:color="auto"/>
      </w:divBdr>
      <w:divsChild>
        <w:div w:id="1838416846">
          <w:marLeft w:val="0"/>
          <w:marRight w:val="0"/>
          <w:marTop w:val="120"/>
          <w:marBottom w:val="0"/>
          <w:divBdr>
            <w:top w:val="none" w:sz="0" w:space="0" w:color="auto"/>
            <w:left w:val="none" w:sz="0" w:space="0" w:color="auto"/>
            <w:bottom w:val="none" w:sz="0" w:space="0" w:color="auto"/>
            <w:right w:val="none" w:sz="0" w:space="0" w:color="auto"/>
          </w:divBdr>
        </w:div>
        <w:div w:id="21442855">
          <w:marLeft w:val="0"/>
          <w:marRight w:val="0"/>
          <w:marTop w:val="120"/>
          <w:marBottom w:val="0"/>
          <w:divBdr>
            <w:top w:val="none" w:sz="0" w:space="0" w:color="auto"/>
            <w:left w:val="none" w:sz="0" w:space="0" w:color="auto"/>
            <w:bottom w:val="none" w:sz="0" w:space="0" w:color="auto"/>
            <w:right w:val="none" w:sz="0" w:space="0" w:color="auto"/>
          </w:divBdr>
        </w:div>
        <w:div w:id="904536741">
          <w:marLeft w:val="0"/>
          <w:marRight w:val="0"/>
          <w:marTop w:val="120"/>
          <w:marBottom w:val="0"/>
          <w:divBdr>
            <w:top w:val="none" w:sz="0" w:space="0" w:color="auto"/>
            <w:left w:val="none" w:sz="0" w:space="0" w:color="auto"/>
            <w:bottom w:val="none" w:sz="0" w:space="0" w:color="auto"/>
            <w:right w:val="none" w:sz="0" w:space="0" w:color="auto"/>
          </w:divBdr>
        </w:div>
        <w:div w:id="899439452">
          <w:marLeft w:val="0"/>
          <w:marRight w:val="0"/>
          <w:marTop w:val="120"/>
          <w:marBottom w:val="0"/>
          <w:divBdr>
            <w:top w:val="none" w:sz="0" w:space="0" w:color="auto"/>
            <w:left w:val="none" w:sz="0" w:space="0" w:color="auto"/>
            <w:bottom w:val="none" w:sz="0" w:space="0" w:color="auto"/>
            <w:right w:val="none" w:sz="0" w:space="0" w:color="auto"/>
          </w:divBdr>
        </w:div>
        <w:div w:id="126633585">
          <w:marLeft w:val="1134"/>
          <w:marRight w:val="0"/>
          <w:marTop w:val="60"/>
          <w:marBottom w:val="0"/>
          <w:divBdr>
            <w:top w:val="none" w:sz="0" w:space="0" w:color="auto"/>
            <w:left w:val="none" w:sz="0" w:space="0" w:color="auto"/>
            <w:bottom w:val="none" w:sz="0" w:space="0" w:color="auto"/>
            <w:right w:val="none" w:sz="0" w:space="0" w:color="auto"/>
          </w:divBdr>
        </w:div>
      </w:divsChild>
    </w:div>
    <w:div w:id="211393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EC914-6E72-4CD5-8944-85A59D49B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4153</Words>
  <Characters>23674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Chatfield Pearl</dc:creator>
  <cp:lastModifiedBy>Tertius Kwapa</cp:lastModifiedBy>
  <cp:revision>2</cp:revision>
  <cp:lastPrinted>2022-11-01T06:15:00Z</cp:lastPrinted>
  <dcterms:created xsi:type="dcterms:W3CDTF">2022-11-01T06:22:00Z</dcterms:created>
  <dcterms:modified xsi:type="dcterms:W3CDTF">2022-11-01T06:22:00Z</dcterms:modified>
</cp:coreProperties>
</file>